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2.xml" ContentType="application/vnd.openxmlformats-officedocument.wordprocessingml.header+xml"/>
  <Override PartName="/word/footer6.xml" ContentType="application/vnd.openxmlformats-officedocument.wordprocessingml.footer+xml"/>
  <Override PartName="/word/header3.xml" ContentType="application/vnd.openxmlformats-officedocument.wordprocessingml.header+xml"/>
  <Override PartName="/word/footer7.xml" ContentType="application/vnd.openxmlformats-officedocument.wordprocessingml.footer+xml"/>
  <Override PartName="/word/header4.xml" ContentType="application/vnd.openxmlformats-officedocument.wordprocessingml.header+xml"/>
  <Override PartName="/word/footer8.xml" ContentType="application/vnd.openxmlformats-officedocument.wordprocessingml.footer+xml"/>
  <Override PartName="/word/header5.xml" ContentType="application/vnd.openxmlformats-officedocument.wordprocessingml.header+xml"/>
  <Override PartName="/word/footer9.xml" ContentType="application/vnd.openxmlformats-officedocument.wordprocessingml.footer+xml"/>
  <Override PartName="/word/header6.xml" ContentType="application/vnd.openxmlformats-officedocument.wordprocessingml.header+xml"/>
  <Override PartName="/word/footer10.xml" ContentType="application/vnd.openxmlformats-officedocument.wordprocessingml.footer+xml"/>
  <Override PartName="/word/header7.xml" ContentType="application/vnd.openxmlformats-officedocument.wordprocessingml.header+xml"/>
  <Override PartName="/word/footer11.xml" ContentType="application/vnd.openxmlformats-officedocument.wordprocessingml.footer+xml"/>
  <Override PartName="/word/header8.xml" ContentType="application/vnd.openxmlformats-officedocument.wordprocessingml.head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header11.xml" ContentType="application/vnd.openxmlformats-officedocument.wordprocessingml.header+xml"/>
  <Override PartName="/word/footer15.xml" ContentType="application/vnd.openxmlformats-officedocument.wordprocessingml.footer+xml"/>
  <Override PartName="/word/header12.xml" ContentType="application/vnd.openxmlformats-officedocument.wordprocessingml.header+xml"/>
  <Override PartName="/word/footer16.xml" ContentType="application/vnd.openxmlformats-officedocument.wordprocessingml.footer+xml"/>
  <Override PartName="/word/header13.xml" ContentType="application/vnd.openxmlformats-officedocument.wordprocessingml.header+xml"/>
  <Override PartName="/word/footer17.xml" ContentType="application/vnd.openxmlformats-officedocument.wordprocessingml.footer+xml"/>
  <Override PartName="/word/header14.xml" ContentType="application/vnd.openxmlformats-officedocument.wordprocessingml.header+xml"/>
  <Override PartName="/word/footer18.xml" ContentType="application/vnd.openxmlformats-officedocument.wordprocessingml.footer+xml"/>
  <Override PartName="/word/header15.xml" ContentType="application/vnd.openxmlformats-officedocument.wordprocessingml.header+xml"/>
  <Override PartName="/word/footer19.xml" ContentType="application/vnd.openxmlformats-officedocument.wordprocessingml.footer+xml"/>
  <Override PartName="/word/header16.xml" ContentType="application/vnd.openxmlformats-officedocument.wordprocessingml.header+xml"/>
  <Override PartName="/word/footer20.xml" ContentType="application/vnd.openxmlformats-officedocument.wordprocessingml.footer+xml"/>
  <Override PartName="/word/header17.xml" ContentType="application/vnd.openxmlformats-officedocument.wordprocessingml.header+xml"/>
  <Override PartName="/word/footer21.xml" ContentType="application/vnd.openxmlformats-officedocument.wordprocessingml.footer+xml"/>
  <Override PartName="/word/header18.xml" ContentType="application/vnd.openxmlformats-officedocument.wordprocessingml.header+xml"/>
  <Override PartName="/word/footer22.xml" ContentType="application/vnd.openxmlformats-officedocument.wordprocessingml.footer+xml"/>
  <Override PartName="/word/header19.xml" ContentType="application/vnd.openxmlformats-officedocument.wordprocessingml.header+xml"/>
  <Override PartName="/word/footer23.xml" ContentType="application/vnd.openxmlformats-officedocument.wordprocessingml.footer+xml"/>
  <Override PartName="/word/header20.xml" ContentType="application/vnd.openxmlformats-officedocument.wordprocessingml.header+xml"/>
  <Override PartName="/word/footer24.xml" ContentType="application/vnd.openxmlformats-officedocument.wordprocessingml.footer+xml"/>
  <Override PartName="/word/header21.xml" ContentType="application/vnd.openxmlformats-officedocument.wordprocessingml.header+xml"/>
  <Override PartName="/word/footer25.xml" ContentType="application/vnd.openxmlformats-officedocument.wordprocessingml.footer+xml"/>
  <Override PartName="/word/header22.xml" ContentType="application/vnd.openxmlformats-officedocument.wordprocessingml.header+xml"/>
  <Override PartName="/word/footer26.xml" ContentType="application/vnd.openxmlformats-officedocument.wordprocessingml.footer+xml"/>
  <Override PartName="/word/header23.xml" ContentType="application/vnd.openxmlformats-officedocument.wordprocessingml.header+xml"/>
  <Override PartName="/word/footer27.xml" ContentType="application/vnd.openxmlformats-officedocument.wordprocessingml.footer+xml"/>
  <Override PartName="/word/header24.xml" ContentType="application/vnd.openxmlformats-officedocument.wordprocessingml.header+xml"/>
  <Override PartName="/word/footer28.xml" ContentType="application/vnd.openxmlformats-officedocument.wordprocessingml.footer+xml"/>
  <Override PartName="/word/header25.xml" ContentType="application/vnd.openxmlformats-officedocument.wordprocessingml.header+xml"/>
  <Override PartName="/word/footer29.xml" ContentType="application/vnd.openxmlformats-officedocument.wordprocessingml.footer+xml"/>
  <Override PartName="/word/header26.xml" ContentType="application/vnd.openxmlformats-officedocument.wordprocessingml.header+xml"/>
  <Override PartName="/word/footer30.xml" ContentType="application/vnd.openxmlformats-officedocument.wordprocessingml.footer+xml"/>
  <Override PartName="/word/header27.xml" ContentType="application/vnd.openxmlformats-officedocument.wordprocessingml.header+xml"/>
  <Override PartName="/word/footer31.xml" ContentType="application/vnd.openxmlformats-officedocument.wordprocessingml.footer+xml"/>
  <Override PartName="/word/header28.xml" ContentType="application/vnd.openxmlformats-officedocument.wordprocessingml.header+xml"/>
  <Override PartName="/word/footer32.xml" ContentType="application/vnd.openxmlformats-officedocument.wordprocessingml.footer+xml"/>
  <Override PartName="/word/header29.xml" ContentType="application/vnd.openxmlformats-officedocument.wordprocessingml.header+xml"/>
  <Override PartName="/word/footer33.xml" ContentType="application/vnd.openxmlformats-officedocument.wordprocessingml.footer+xml"/>
  <Override PartName="/word/header30.xml" ContentType="application/vnd.openxmlformats-officedocument.wordprocessingml.header+xml"/>
  <Override PartName="/word/footer34.xml" ContentType="application/vnd.openxmlformats-officedocument.wordprocessingml.footer+xml"/>
  <Override PartName="/word/header31.xml" ContentType="application/vnd.openxmlformats-officedocument.wordprocessingml.header+xml"/>
  <Override PartName="/word/footer35.xml" ContentType="application/vnd.openxmlformats-officedocument.wordprocessingml.footer+xml"/>
  <Override PartName="/word/header32.xml" ContentType="application/vnd.openxmlformats-officedocument.wordprocessingml.header+xml"/>
  <Override PartName="/word/footer3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bookmarkStart w:name="Portada" w:id="1"/>
      <w:bookmarkEnd w:id="1"/>
      <w:r>
        <w:rPr/>
      </w:r>
      <w:r>
        <w:rPr>
          <w:rFonts w:ascii="Times New Roman"/>
          <w:sz w:val="20"/>
        </w:rPr>
        <w:drawing>
          <wp:inline distT="0" distB="0" distL="0" distR="0">
            <wp:extent cx="7751064" cy="10040112"/>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7751064" cy="10040112"/>
                    </a:xfrm>
                    <a:prstGeom prst="rect">
                      <a:avLst/>
                    </a:prstGeom>
                  </pic:spPr>
                </pic:pic>
              </a:graphicData>
            </a:graphic>
          </wp:inline>
        </w:drawing>
      </w:r>
      <w:r>
        <w:rPr>
          <w:rFonts w:ascii="Times New Roman"/>
          <w:sz w:val="20"/>
        </w:rPr>
      </w:r>
    </w:p>
    <w:p>
      <w:pPr>
        <w:spacing w:after="0"/>
        <w:rPr>
          <w:rFonts w:ascii="Times New Roman"/>
          <w:sz w:val="20"/>
        </w:rPr>
        <w:sectPr>
          <w:type w:val="continuous"/>
          <w:pgSz w:w="12210" w:h="15820"/>
          <w:pgMar w:top="0" w:bottom="0" w:left="0" w:right="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9"/>
        </w:rPr>
      </w:pPr>
    </w:p>
    <w:p>
      <w:pPr>
        <w:pStyle w:val="BodyText"/>
        <w:ind w:left="812"/>
        <w:rPr>
          <w:rFonts w:ascii="Times New Roman"/>
          <w:sz w:val="20"/>
        </w:rPr>
      </w:pPr>
      <w:bookmarkStart w:name="Oficio de impresión" w:id="2"/>
      <w:bookmarkEnd w:id="2"/>
      <w:r>
        <w:rPr/>
      </w:r>
      <w:r>
        <w:rPr>
          <w:rFonts w:ascii="Times New Roman"/>
          <w:sz w:val="20"/>
        </w:rPr>
        <w:drawing>
          <wp:inline distT="0" distB="0" distL="0" distR="0">
            <wp:extent cx="5529112" cy="7138892"/>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8" cstate="print"/>
                    <a:stretch>
                      <a:fillRect/>
                    </a:stretch>
                  </pic:blipFill>
                  <pic:spPr>
                    <a:xfrm>
                      <a:off x="0" y="0"/>
                      <a:ext cx="5529112" cy="7138892"/>
                    </a:xfrm>
                    <a:prstGeom prst="rect">
                      <a:avLst/>
                    </a:prstGeom>
                  </pic:spPr>
                </pic:pic>
              </a:graphicData>
            </a:graphic>
          </wp:inline>
        </w:drawing>
      </w:r>
      <w:r>
        <w:rPr>
          <w:rFonts w:ascii="Times New Roman"/>
          <w:sz w:val="20"/>
        </w:rPr>
      </w:r>
    </w:p>
    <w:p>
      <w:pPr>
        <w:spacing w:after="0"/>
        <w:rPr>
          <w:rFonts w:ascii="Times New Roman"/>
          <w:sz w:val="20"/>
        </w:rPr>
        <w:sectPr>
          <w:headerReference w:type="default" r:id="rId6"/>
          <w:footerReference w:type="default" r:id="rId7"/>
          <w:pgSz w:w="12240" w:h="15840"/>
          <w:pgMar w:header="725" w:footer="1084" w:top="1340" w:bottom="1280" w:left="920" w:right="1200"/>
          <w:pgNumType w:start="2"/>
        </w:sectPr>
      </w:pPr>
    </w:p>
    <w:p>
      <w:pPr>
        <w:pStyle w:val="BodyText"/>
        <w:spacing w:before="8"/>
        <w:rPr>
          <w:rFonts w:ascii="Times New Roman"/>
          <w:sz w:val="8"/>
        </w:rPr>
      </w:pPr>
    </w:p>
    <w:p>
      <w:pPr>
        <w:spacing w:before="69"/>
        <w:ind w:left="781" w:right="501" w:firstLine="0"/>
        <w:jc w:val="both"/>
        <w:rPr>
          <w:rFonts w:ascii="Times New Roman" w:hAnsi="Times New Roman"/>
          <w:i/>
          <w:sz w:val="24"/>
        </w:rPr>
      </w:pPr>
      <w:bookmarkStart w:name="Agradecimientos" w:id="3"/>
      <w:bookmarkEnd w:id="3"/>
      <w:r>
        <w:rPr/>
      </w:r>
      <w:r>
        <w:rPr>
          <w:rFonts w:ascii="Times New Roman" w:hAnsi="Times New Roman"/>
          <w:i/>
          <w:sz w:val="24"/>
        </w:rPr>
        <w:t>Todo trabajo implica la ayuda y colaboración de un sinfín de amigos, compañeros y </w:t>
      </w:r>
      <w:r>
        <w:rPr>
          <w:rFonts w:ascii="Times New Roman" w:hAnsi="Times New Roman"/>
          <w:i/>
          <w:sz w:val="24"/>
        </w:rPr>
        <w:t>familiares, por lo que agradezco eternamente a . . .</w:t>
      </w:r>
    </w:p>
    <w:p>
      <w:pPr>
        <w:pStyle w:val="BodyText"/>
        <w:spacing w:before="7"/>
        <w:rPr>
          <w:rFonts w:ascii="Times New Roman"/>
          <w:i/>
          <w:sz w:val="24"/>
        </w:rPr>
      </w:pPr>
    </w:p>
    <w:p>
      <w:pPr>
        <w:pStyle w:val="BodyText"/>
        <w:ind w:left="781" w:right="497" w:hanging="1"/>
        <w:jc w:val="both"/>
      </w:pPr>
      <w:r>
        <w:rPr>
          <w:rFonts w:ascii="Times New Roman" w:hAnsi="Times New Roman"/>
          <w:b/>
          <w:i/>
          <w:sz w:val="26"/>
        </w:rPr>
        <w:t>Leonor Guadalupe</w:t>
      </w:r>
      <w:r>
        <w:rPr/>
        <w:t>, compañera y amiga, nuevamente me encuentro en la culminación de una meta. Otra vez te agradezco infinitamente por tu paciencia y amor, por permitirme sentir que cada logro mío también es tuyo. Tu cariño me recompensa cada momento de mi vida. Te</w:t>
      </w:r>
      <w:r>
        <w:rPr>
          <w:spacing w:val="-4"/>
        </w:rPr>
        <w:t> </w:t>
      </w:r>
      <w:r>
        <w:rPr/>
        <w:t>amo.</w:t>
      </w:r>
    </w:p>
    <w:p>
      <w:pPr>
        <w:pStyle w:val="BodyText"/>
        <w:spacing w:before="2"/>
      </w:pPr>
    </w:p>
    <w:p>
      <w:pPr>
        <w:pStyle w:val="BodyText"/>
        <w:ind w:left="781" w:right="496" w:hanging="1"/>
        <w:jc w:val="both"/>
      </w:pPr>
      <w:r>
        <w:rPr>
          <w:rFonts w:ascii="Times New Roman" w:hAnsi="Times New Roman"/>
          <w:b/>
          <w:i/>
          <w:sz w:val="26"/>
        </w:rPr>
        <w:t>Iván y Andrés</w:t>
      </w:r>
      <w:r>
        <w:rPr>
          <w:i/>
        </w:rPr>
        <w:t>, </w:t>
      </w:r>
      <w:r>
        <w:rPr/>
        <w:t>hijos, ustedes son y seguirán siendo la luz de la esperanza que guía mi camino y el porqué de todas mis acciones.</w:t>
      </w:r>
    </w:p>
    <w:p>
      <w:pPr>
        <w:pStyle w:val="BodyText"/>
        <w:spacing w:before="2"/>
      </w:pPr>
    </w:p>
    <w:p>
      <w:pPr>
        <w:pStyle w:val="BodyText"/>
        <w:ind w:left="781" w:right="497" w:hanging="1"/>
        <w:jc w:val="both"/>
      </w:pPr>
      <w:r>
        <w:rPr>
          <w:rFonts w:ascii="Times New Roman" w:hAnsi="Times New Roman"/>
          <w:b/>
          <w:i/>
          <w:sz w:val="26"/>
        </w:rPr>
        <w:t>Rafael Gallego Vargas</w:t>
      </w:r>
      <w:r>
        <w:rPr/>
        <w:t>, padre, gracias por tus sabios consejos y ayuda en los momentos difíciles. Gracias por tus voces de aliento y por tu estimulo para convertirme siempre en una mejor persona. Tu guía me ha servido para continuar firme y seguro con mi camino. Estoy muy orgulloso de ser tu</w:t>
      </w:r>
      <w:r>
        <w:rPr>
          <w:spacing w:val="-17"/>
        </w:rPr>
        <w:t> </w:t>
      </w:r>
      <w:r>
        <w:rPr/>
        <w:t>hijo.</w:t>
      </w:r>
    </w:p>
    <w:p>
      <w:pPr>
        <w:pStyle w:val="BodyText"/>
        <w:spacing w:before="2"/>
      </w:pPr>
    </w:p>
    <w:p>
      <w:pPr>
        <w:pStyle w:val="BodyText"/>
        <w:ind w:left="781" w:right="499" w:hanging="1"/>
        <w:jc w:val="both"/>
      </w:pPr>
      <w:r>
        <w:rPr>
          <w:rFonts w:ascii="Times New Roman" w:hAnsi="Times New Roman"/>
          <w:b/>
          <w:i/>
          <w:sz w:val="26"/>
        </w:rPr>
        <w:t>Elia Alarcón Estrada</w:t>
      </w:r>
      <w:r>
        <w:rPr/>
        <w:t>, madre, no sé como agradecerte el apoyo incondicional que siempre me has dado, las sabias palabras en los momentos más oportunos y el cariño que sólo una madre puede dar. Simplemente decirte, gracias</w:t>
      </w:r>
      <w:r>
        <w:rPr>
          <w:spacing w:val="-24"/>
        </w:rPr>
        <w:t> </w:t>
      </w:r>
      <w:r>
        <w:rPr/>
        <w:t>mamá.</w:t>
      </w:r>
    </w:p>
    <w:p>
      <w:pPr>
        <w:pStyle w:val="BodyText"/>
        <w:spacing w:before="2"/>
        <w:rPr>
          <w:sz w:val="25"/>
        </w:rPr>
      </w:pPr>
    </w:p>
    <w:p>
      <w:pPr>
        <w:pStyle w:val="BodyText"/>
        <w:spacing w:line="260" w:lineRule="exact"/>
        <w:ind w:left="781" w:right="500" w:hanging="1"/>
        <w:jc w:val="both"/>
      </w:pPr>
      <w:r>
        <w:rPr>
          <w:rFonts w:ascii="Times New Roman" w:hAnsi="Times New Roman"/>
          <w:b/>
          <w:i/>
          <w:sz w:val="26"/>
        </w:rPr>
        <w:t>Erick y Rafael</w:t>
      </w:r>
      <w:r>
        <w:rPr/>
        <w:t>, hermanos, el soporte que siempre me han brindado me fortifica y ayuda para superarme cada día.</w:t>
      </w:r>
    </w:p>
    <w:p>
      <w:pPr>
        <w:pStyle w:val="BodyText"/>
        <w:spacing w:before="8"/>
        <w:rPr>
          <w:sz w:val="24"/>
        </w:rPr>
      </w:pPr>
    </w:p>
    <w:p>
      <w:pPr>
        <w:pStyle w:val="BodyText"/>
        <w:spacing w:line="260" w:lineRule="exact" w:before="1"/>
        <w:ind w:left="781" w:right="499" w:hanging="1"/>
        <w:jc w:val="both"/>
      </w:pPr>
      <w:r>
        <w:rPr>
          <w:rFonts w:ascii="Times New Roman" w:hAnsi="Times New Roman"/>
          <w:b/>
          <w:i/>
          <w:sz w:val="26"/>
        </w:rPr>
        <w:t>Luciano y María de los Ángeles</w:t>
      </w:r>
      <w:r>
        <w:rPr/>
        <w:t>, suegros, aunque se encuentran lejos de nosotros, siempre he sentido su apoyo incondicional en cada momento de nuestras vidas.</w:t>
      </w:r>
    </w:p>
    <w:p>
      <w:pPr>
        <w:pStyle w:val="BodyText"/>
        <w:spacing w:before="8"/>
        <w:rPr>
          <w:sz w:val="21"/>
        </w:rPr>
      </w:pPr>
    </w:p>
    <w:p>
      <w:pPr>
        <w:spacing w:before="0"/>
        <w:ind w:left="781" w:right="499" w:hanging="1"/>
        <w:jc w:val="both"/>
        <w:rPr>
          <w:sz w:val="22"/>
        </w:rPr>
      </w:pPr>
      <w:r>
        <w:rPr>
          <w:rFonts w:ascii="Times New Roman" w:hAnsi="Times New Roman"/>
          <w:b/>
          <w:i/>
          <w:sz w:val="26"/>
        </w:rPr>
        <w:t>Luciano, Leonel, Sergio, Melchor, Noe, Zeus</w:t>
      </w:r>
      <w:r>
        <w:rPr>
          <w:sz w:val="22"/>
        </w:rPr>
        <w:t>, cuñados, gracias por su apoyo a mi familia y a mí, los considero mis hermanos.</w:t>
      </w:r>
    </w:p>
    <w:p>
      <w:pPr>
        <w:pStyle w:val="BodyText"/>
        <w:spacing w:before="2"/>
      </w:pPr>
    </w:p>
    <w:p>
      <w:pPr>
        <w:pStyle w:val="BodyText"/>
        <w:ind w:left="781" w:right="498" w:hanging="1"/>
        <w:jc w:val="both"/>
      </w:pPr>
      <w:r>
        <w:rPr>
          <w:rFonts w:ascii="Times New Roman" w:hAnsi="Times New Roman"/>
          <w:b/>
          <w:i/>
          <w:sz w:val="26"/>
        </w:rPr>
        <w:t>Daury García Pulido</w:t>
      </w:r>
      <w:r>
        <w:rPr/>
        <w:t>, amigo, como agradecerte, es difícil expresarlo, no sólo me has apoyado a cumplir con esta meta, siempre me has dado tu mano amiga, me has brindado tu confianza y tu amistad.</w:t>
      </w:r>
    </w:p>
    <w:p>
      <w:pPr>
        <w:pStyle w:val="BodyText"/>
      </w:pPr>
    </w:p>
    <w:p>
      <w:pPr>
        <w:pStyle w:val="BodyText"/>
        <w:ind w:left="781" w:right="498"/>
        <w:jc w:val="both"/>
      </w:pPr>
      <w:r>
        <w:rPr>
          <w:rFonts w:ascii="Times New Roman" w:hAnsi="Times New Roman"/>
          <w:b/>
          <w:i/>
          <w:sz w:val="26"/>
        </w:rPr>
        <w:t>Carlos Díaz Delgado</w:t>
      </w:r>
      <w:r>
        <w:rPr/>
        <w:t>, amigo es verdad, no se puede ser un investigador si no primero  se estudia un doctorado. Gracias a ti he superado una etapa donde se me abren las puertas a lo que más nos gusta:</w:t>
      </w:r>
      <w:r>
        <w:rPr>
          <w:spacing w:val="-15"/>
        </w:rPr>
        <w:t> </w:t>
      </w:r>
      <w:r>
        <w:rPr/>
        <w:t>aprender.</w:t>
      </w:r>
    </w:p>
    <w:p>
      <w:pPr>
        <w:pStyle w:val="BodyText"/>
        <w:spacing w:before="3"/>
        <w:rPr>
          <w:sz w:val="27"/>
        </w:rPr>
      </w:pPr>
    </w:p>
    <w:p>
      <w:pPr>
        <w:pStyle w:val="BodyText"/>
        <w:spacing w:line="260" w:lineRule="exact"/>
        <w:ind w:left="781" w:right="498"/>
        <w:jc w:val="both"/>
      </w:pPr>
      <w:r>
        <w:rPr>
          <w:rFonts w:ascii="Times New Roman"/>
          <w:b/>
          <w:i/>
          <w:sz w:val="26"/>
        </w:rPr>
        <w:t>Cheikh Fall, </w:t>
      </w:r>
      <w:r>
        <w:rPr/>
        <w:t>muchas gracias por tu mano amiga que ha guiado mi trabajo y me ha permitido llegar a la meta de esta aventura que es el doctorado.</w:t>
      </w:r>
    </w:p>
    <w:p>
      <w:pPr>
        <w:pStyle w:val="BodyText"/>
        <w:spacing w:before="8"/>
        <w:rPr>
          <w:sz w:val="21"/>
        </w:rPr>
      </w:pPr>
    </w:p>
    <w:p>
      <w:pPr>
        <w:pStyle w:val="BodyText"/>
        <w:ind w:left="781" w:right="497"/>
        <w:jc w:val="both"/>
      </w:pPr>
      <w:r>
        <w:rPr>
          <w:rFonts w:ascii="Times New Roman" w:hAnsi="Times New Roman"/>
          <w:b/>
          <w:i/>
          <w:sz w:val="26"/>
        </w:rPr>
        <w:t>Carlos Arriaga Jordán</w:t>
      </w:r>
      <w:r>
        <w:rPr/>
        <w:t>, estimado amigo y compañero de pesca, gracias por mostrarme tu paradigma de la ciencia. Tus consejos han sido muy valiosos para este trabajo, pero más importante me han servido para desarrollarme como persona y como investigador.</w:t>
      </w:r>
    </w:p>
    <w:p>
      <w:pPr>
        <w:pStyle w:val="BodyText"/>
        <w:spacing w:before="3"/>
        <w:rPr>
          <w:sz w:val="24"/>
        </w:rPr>
      </w:pPr>
    </w:p>
    <w:p>
      <w:pPr>
        <w:pStyle w:val="BodyText"/>
        <w:ind w:left="781" w:right="496" w:hanging="1"/>
        <w:jc w:val="both"/>
      </w:pPr>
      <w:r>
        <w:rPr>
          <w:rFonts w:ascii="Times New Roman" w:hAnsi="Times New Roman"/>
          <w:b/>
          <w:i/>
          <w:sz w:val="26"/>
        </w:rPr>
        <w:t>David, Iván y Eric</w:t>
      </w:r>
      <w:r>
        <w:rPr/>
        <w:t>, amigos, estimo mucho sus voces de aliento, las discusiones sin fin que hemos protagonizado, su apoyo incondicional cada vez que lo he necesitado y principalmente su amistad, gracias.</w:t>
      </w:r>
    </w:p>
    <w:p>
      <w:pPr>
        <w:spacing w:after="0"/>
        <w:jc w:val="both"/>
        <w:sectPr>
          <w:pgSz w:w="12240" w:h="15840"/>
          <w:pgMar w:header="725" w:footer="1084" w:top="1340" w:bottom="1280" w:left="920" w:right="1200"/>
        </w:sectPr>
      </w:pPr>
    </w:p>
    <w:p>
      <w:pPr>
        <w:pStyle w:val="BodyText"/>
        <w:spacing w:before="7"/>
        <w:rPr>
          <w:sz w:val="9"/>
        </w:rPr>
      </w:pPr>
    </w:p>
    <w:p>
      <w:pPr>
        <w:spacing w:before="66"/>
        <w:ind w:left="781" w:right="497" w:hanging="1"/>
        <w:jc w:val="both"/>
        <w:rPr>
          <w:sz w:val="22"/>
        </w:rPr>
      </w:pPr>
      <w:r>
        <w:rPr>
          <w:rFonts w:ascii="Times New Roman" w:hAnsi="Times New Roman"/>
          <w:b/>
          <w:i/>
          <w:sz w:val="26"/>
        </w:rPr>
        <w:t>Mario, Andrés, Toño, Alfonso, Alejandro y Agustín</w:t>
      </w:r>
      <w:r>
        <w:rPr>
          <w:sz w:val="22"/>
        </w:rPr>
        <w:t>, gracias amigos por todo su apoyo que me permitió culminar este trabajo y llegar a una meta más en mi vida.</w:t>
      </w:r>
    </w:p>
    <w:p>
      <w:pPr>
        <w:pStyle w:val="BodyText"/>
        <w:spacing w:before="9"/>
        <w:rPr>
          <w:sz w:val="21"/>
        </w:rPr>
      </w:pPr>
    </w:p>
    <w:p>
      <w:pPr>
        <w:pStyle w:val="BodyText"/>
        <w:ind w:left="781" w:right="502" w:hanging="1"/>
        <w:jc w:val="both"/>
      </w:pPr>
      <w:r>
        <w:rPr/>
        <w:t>Agradezco los consejos y voces de aliento de todos aquellos que me han permitido llevar a cabo un trabajo desde paradigmas diferentes, en especial</w:t>
      </w:r>
      <w:r>
        <w:rPr>
          <w:spacing w:val="-25"/>
        </w:rPr>
        <w:t> </w:t>
      </w:r>
      <w:r>
        <w:rPr/>
        <w:t>a:</w:t>
      </w:r>
    </w:p>
    <w:p>
      <w:pPr>
        <w:pStyle w:val="BodyText"/>
      </w:pPr>
    </w:p>
    <w:p>
      <w:pPr>
        <w:pStyle w:val="BodyText"/>
        <w:ind w:left="4751" w:right="2707"/>
      </w:pPr>
      <w:r>
        <w:rPr/>
        <w:t>Mario Esparza Soto Verónica Martínez Miranda Pedro Ávila Reyes</w:t>
      </w:r>
    </w:p>
    <w:p>
      <w:pPr>
        <w:pStyle w:val="BodyText"/>
        <w:spacing w:before="1"/>
        <w:ind w:left="4751" w:right="2426"/>
      </w:pPr>
      <w:r>
        <w:rPr/>
        <w:t>María del Carmen Arcos Ávila José Luis Damas Aguilar</w:t>
      </w:r>
    </w:p>
    <w:p>
      <w:pPr>
        <w:pStyle w:val="BodyText"/>
      </w:pPr>
    </w:p>
    <w:p>
      <w:pPr>
        <w:spacing w:before="0"/>
        <w:ind w:left="781" w:right="496" w:hanging="1"/>
        <w:jc w:val="both"/>
        <w:rPr>
          <w:sz w:val="22"/>
        </w:rPr>
      </w:pPr>
      <w:r>
        <w:rPr>
          <w:sz w:val="22"/>
        </w:rPr>
        <w:t>Así también agradezco la beca otorgada por el </w:t>
      </w:r>
      <w:r>
        <w:rPr>
          <w:b/>
          <w:i/>
          <w:sz w:val="22"/>
        </w:rPr>
        <w:t>Consejo Mexiquense de Ciencia y </w:t>
      </w:r>
      <w:r>
        <w:rPr>
          <w:b/>
          <w:i/>
          <w:sz w:val="22"/>
        </w:rPr>
        <w:t>Tecnología </w:t>
      </w:r>
      <w:r>
        <w:rPr>
          <w:sz w:val="22"/>
        </w:rPr>
        <w:t>para realizar los estudios de Doctorado en Ciencias del Agua y el trabajo de tesis.</w:t>
      </w:r>
    </w:p>
    <w:p>
      <w:pPr>
        <w:spacing w:after="0"/>
        <w:jc w:val="both"/>
        <w:rPr>
          <w:sz w:val="22"/>
        </w:rPr>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64"/>
        <w:ind w:left="0" w:right="501" w:firstLine="0"/>
        <w:jc w:val="right"/>
        <w:rPr>
          <w:rFonts w:ascii="Times New Roman" w:hAnsi="Times New Roman"/>
          <w:sz w:val="36"/>
        </w:rPr>
      </w:pPr>
      <w:r>
        <w:rPr>
          <w:rFonts w:ascii="Times New Roman" w:hAnsi="Times New Roman"/>
          <w:w w:val="85"/>
          <w:sz w:val="36"/>
        </w:rPr>
        <w:t>Lo que sabemos es una gota de agua; lo que ignoramos es el océano</w:t>
      </w:r>
    </w:p>
    <w:p>
      <w:pPr>
        <w:spacing w:line="292" w:lineRule="auto" w:before="90"/>
        <w:ind w:left="3246" w:right="496" w:firstLine="4668"/>
        <w:jc w:val="right"/>
        <w:rPr>
          <w:rFonts w:ascii="Times New Roman" w:hAnsi="Times New Roman"/>
          <w:sz w:val="36"/>
        </w:rPr>
      </w:pPr>
      <w:r>
        <w:rPr>
          <w:rFonts w:ascii="Times New Roman" w:hAnsi="Times New Roman"/>
          <w:w w:val="171"/>
          <w:sz w:val="36"/>
        </w:rPr>
        <w:t>I</w:t>
      </w:r>
      <w:r>
        <w:rPr>
          <w:rFonts w:ascii="Times New Roman" w:hAnsi="Times New Roman"/>
          <w:spacing w:val="1"/>
          <w:w w:val="73"/>
          <w:sz w:val="36"/>
        </w:rPr>
        <w:t>s</w:t>
      </w:r>
      <w:r>
        <w:rPr>
          <w:rFonts w:ascii="Times New Roman" w:hAnsi="Times New Roman"/>
          <w:w w:val="83"/>
          <w:sz w:val="36"/>
        </w:rPr>
        <w:t>aa</w:t>
      </w:r>
      <w:r>
        <w:rPr>
          <w:rFonts w:ascii="Times New Roman" w:hAnsi="Times New Roman"/>
          <w:w w:val="68"/>
          <w:sz w:val="36"/>
        </w:rPr>
        <w:t>c</w:t>
      </w:r>
      <w:r>
        <w:rPr>
          <w:rFonts w:ascii="Times New Roman" w:hAnsi="Times New Roman"/>
          <w:spacing w:val="1"/>
          <w:sz w:val="36"/>
        </w:rPr>
        <w:t> </w:t>
      </w:r>
      <w:r>
        <w:rPr>
          <w:rFonts w:ascii="Times New Roman" w:hAnsi="Times New Roman"/>
          <w:w w:val="100"/>
          <w:sz w:val="36"/>
        </w:rPr>
        <w:t>N</w:t>
      </w:r>
      <w:r>
        <w:rPr>
          <w:rFonts w:ascii="Times New Roman" w:hAnsi="Times New Roman"/>
          <w:spacing w:val="-1"/>
          <w:w w:val="66"/>
          <w:sz w:val="36"/>
        </w:rPr>
        <w:t>e</w:t>
      </w:r>
      <w:r>
        <w:rPr>
          <w:rFonts w:ascii="Times New Roman" w:hAnsi="Times New Roman"/>
          <w:w w:val="77"/>
          <w:sz w:val="36"/>
        </w:rPr>
        <w:t>w</w:t>
      </w:r>
      <w:r>
        <w:rPr>
          <w:rFonts w:ascii="Times New Roman" w:hAnsi="Times New Roman"/>
          <w:spacing w:val="1"/>
          <w:w w:val="77"/>
          <w:sz w:val="36"/>
        </w:rPr>
        <w:t>t</w:t>
      </w:r>
      <w:r>
        <w:rPr>
          <w:rFonts w:ascii="Times New Roman" w:hAnsi="Times New Roman"/>
          <w:w w:val="70"/>
          <w:sz w:val="36"/>
        </w:rPr>
        <w:t>o</w:t>
      </w:r>
      <w:r>
        <w:rPr>
          <w:rFonts w:ascii="Times New Roman" w:hAnsi="Times New Roman"/>
          <w:w w:val="83"/>
          <w:sz w:val="36"/>
        </w:rPr>
        <w:t>n </w:t>
      </w:r>
      <w:r>
        <w:rPr>
          <w:rFonts w:ascii="Times New Roman" w:hAnsi="Times New Roman"/>
          <w:w w:val="85"/>
          <w:sz w:val="36"/>
        </w:rPr>
        <w:t>No</w:t>
      </w:r>
      <w:r>
        <w:rPr>
          <w:rFonts w:ascii="Times New Roman" w:hAnsi="Times New Roman"/>
          <w:spacing w:val="-44"/>
          <w:w w:val="85"/>
          <w:sz w:val="36"/>
        </w:rPr>
        <w:t> </w:t>
      </w:r>
      <w:r>
        <w:rPr>
          <w:rFonts w:ascii="Times New Roman" w:hAnsi="Times New Roman"/>
          <w:w w:val="85"/>
          <w:sz w:val="36"/>
        </w:rPr>
        <w:t>se</w:t>
      </w:r>
      <w:r>
        <w:rPr>
          <w:rFonts w:ascii="Times New Roman" w:hAnsi="Times New Roman"/>
          <w:spacing w:val="-45"/>
          <w:w w:val="85"/>
          <w:sz w:val="36"/>
        </w:rPr>
        <w:t> </w:t>
      </w:r>
      <w:r>
        <w:rPr>
          <w:rFonts w:ascii="Times New Roman" w:hAnsi="Times New Roman"/>
          <w:w w:val="85"/>
          <w:sz w:val="36"/>
        </w:rPr>
        <w:t>puede</w:t>
      </w:r>
      <w:r>
        <w:rPr>
          <w:rFonts w:ascii="Times New Roman" w:hAnsi="Times New Roman"/>
          <w:spacing w:val="-45"/>
          <w:w w:val="85"/>
          <w:sz w:val="36"/>
        </w:rPr>
        <w:t> </w:t>
      </w:r>
      <w:r>
        <w:rPr>
          <w:rFonts w:ascii="Times New Roman" w:hAnsi="Times New Roman"/>
          <w:w w:val="85"/>
          <w:sz w:val="36"/>
        </w:rPr>
        <w:t>desatar</w:t>
      </w:r>
      <w:r>
        <w:rPr>
          <w:rFonts w:ascii="Times New Roman" w:hAnsi="Times New Roman"/>
          <w:spacing w:val="-45"/>
          <w:w w:val="85"/>
          <w:sz w:val="36"/>
        </w:rPr>
        <w:t> </w:t>
      </w:r>
      <w:r>
        <w:rPr>
          <w:rFonts w:ascii="Times New Roman" w:hAnsi="Times New Roman"/>
          <w:w w:val="85"/>
          <w:sz w:val="36"/>
        </w:rPr>
        <w:t>un</w:t>
      </w:r>
      <w:r>
        <w:rPr>
          <w:rFonts w:ascii="Times New Roman" w:hAnsi="Times New Roman"/>
          <w:spacing w:val="-45"/>
          <w:w w:val="85"/>
          <w:sz w:val="36"/>
        </w:rPr>
        <w:t> </w:t>
      </w:r>
      <w:r>
        <w:rPr>
          <w:rFonts w:ascii="Times New Roman" w:hAnsi="Times New Roman"/>
          <w:w w:val="85"/>
          <w:sz w:val="36"/>
        </w:rPr>
        <w:t>nudo</w:t>
      </w:r>
      <w:r>
        <w:rPr>
          <w:rFonts w:ascii="Times New Roman" w:hAnsi="Times New Roman"/>
          <w:spacing w:val="-45"/>
          <w:w w:val="85"/>
          <w:sz w:val="36"/>
        </w:rPr>
        <w:t> </w:t>
      </w:r>
      <w:r>
        <w:rPr>
          <w:rFonts w:ascii="Times New Roman" w:hAnsi="Times New Roman"/>
          <w:w w:val="85"/>
          <w:sz w:val="36"/>
        </w:rPr>
        <w:t>sin</w:t>
      </w:r>
      <w:r>
        <w:rPr>
          <w:rFonts w:ascii="Times New Roman" w:hAnsi="Times New Roman"/>
          <w:spacing w:val="-46"/>
          <w:w w:val="85"/>
          <w:sz w:val="36"/>
        </w:rPr>
        <w:t> </w:t>
      </w:r>
      <w:r>
        <w:rPr>
          <w:rFonts w:ascii="Times New Roman" w:hAnsi="Times New Roman"/>
          <w:w w:val="85"/>
          <w:sz w:val="36"/>
        </w:rPr>
        <w:t>saber</w:t>
      </w:r>
      <w:r>
        <w:rPr>
          <w:rFonts w:ascii="Times New Roman" w:hAnsi="Times New Roman"/>
          <w:spacing w:val="-44"/>
          <w:w w:val="85"/>
          <w:sz w:val="36"/>
        </w:rPr>
        <w:t> </w:t>
      </w:r>
      <w:r>
        <w:rPr>
          <w:rFonts w:ascii="Times New Roman" w:hAnsi="Times New Roman"/>
          <w:w w:val="85"/>
          <w:sz w:val="36"/>
        </w:rPr>
        <w:t>cómo</w:t>
      </w:r>
      <w:r>
        <w:rPr>
          <w:rFonts w:ascii="Times New Roman" w:hAnsi="Times New Roman"/>
          <w:spacing w:val="-44"/>
          <w:w w:val="85"/>
          <w:sz w:val="36"/>
        </w:rPr>
        <w:t> </w:t>
      </w:r>
      <w:r>
        <w:rPr>
          <w:rFonts w:ascii="Times New Roman" w:hAnsi="Times New Roman"/>
          <w:w w:val="85"/>
          <w:sz w:val="36"/>
        </w:rPr>
        <w:t>está</w:t>
      </w:r>
      <w:r>
        <w:rPr>
          <w:rFonts w:ascii="Times New Roman" w:hAnsi="Times New Roman"/>
          <w:spacing w:val="-46"/>
          <w:w w:val="85"/>
          <w:sz w:val="36"/>
        </w:rPr>
        <w:t> </w:t>
      </w:r>
      <w:r>
        <w:rPr>
          <w:rFonts w:ascii="Times New Roman" w:hAnsi="Times New Roman"/>
          <w:w w:val="85"/>
          <w:sz w:val="36"/>
        </w:rPr>
        <w:t>hecho</w:t>
      </w:r>
    </w:p>
    <w:p>
      <w:pPr>
        <w:spacing w:before="2"/>
        <w:ind w:left="0" w:right="498" w:firstLine="0"/>
        <w:jc w:val="right"/>
        <w:rPr>
          <w:rFonts w:ascii="Times New Roman" w:hAnsi="Times New Roman"/>
          <w:sz w:val="36"/>
        </w:rPr>
      </w:pPr>
      <w:r>
        <w:rPr>
          <w:rFonts w:ascii="Times New Roman" w:hAnsi="Times New Roman"/>
          <w:w w:val="80"/>
          <w:sz w:val="36"/>
        </w:rPr>
        <w:t>Aristóteles</w:t>
      </w:r>
    </w:p>
    <w:p>
      <w:pPr>
        <w:spacing w:after="0"/>
        <w:jc w:val="right"/>
        <w:rPr>
          <w:rFonts w:ascii="Times New Roman" w:hAnsi="Times New Roman"/>
          <w:sz w:val="36"/>
        </w:rPr>
        <w:sectPr>
          <w:pgSz w:w="12240" w:h="15840"/>
          <w:pgMar w:header="725" w:footer="1084" w:top="1340" w:bottom="1280" w:left="920" w:right="1200"/>
        </w:sectPr>
      </w:pPr>
    </w:p>
    <w:p>
      <w:pPr>
        <w:pStyle w:val="Heading5"/>
        <w:spacing w:before="172"/>
        <w:ind w:left="781"/>
      </w:pPr>
      <w:bookmarkStart w:name="Resumen" w:id="4"/>
      <w:bookmarkEnd w:id="4"/>
      <w:r>
        <w:rPr>
          <w:b w:val="0"/>
        </w:rPr>
      </w:r>
      <w:r>
        <w:rPr/>
        <w:t>RESUMEN.</w:t>
      </w:r>
    </w:p>
    <w:p>
      <w:pPr>
        <w:pStyle w:val="BodyText"/>
        <w:spacing w:before="2"/>
        <w:rPr>
          <w:b/>
        </w:rPr>
      </w:pPr>
    </w:p>
    <w:p>
      <w:pPr>
        <w:spacing w:line="360" w:lineRule="auto" w:before="0"/>
        <w:ind w:left="781" w:right="499" w:firstLine="0"/>
        <w:jc w:val="both"/>
        <w:rPr>
          <w:sz w:val="20"/>
        </w:rPr>
      </w:pPr>
      <w:r>
        <w:rPr>
          <w:sz w:val="20"/>
        </w:rPr>
        <w:t>La acuicultura en el Estado de México se ha desarrollado en un marco de presiones ambientales y legales, la competencia por el recurso agua ha impactado negativamente las actividades como el cultivo de la trucha. Las presiones sociales y gubernamentales cada vez son mayores, a tal grado que las concesiones de uso de agua son más difíciles de obtener y el trámite es más estricto que en décadas</w:t>
      </w:r>
      <w:r>
        <w:rPr>
          <w:spacing w:val="-10"/>
          <w:sz w:val="20"/>
        </w:rPr>
        <w:t> </w:t>
      </w:r>
      <w:r>
        <w:rPr>
          <w:sz w:val="20"/>
        </w:rPr>
        <w:t>pasadas.</w:t>
      </w:r>
    </w:p>
    <w:p>
      <w:pPr>
        <w:pStyle w:val="BodyText"/>
        <w:spacing w:before="5"/>
        <w:rPr>
          <w:sz w:val="17"/>
        </w:rPr>
      </w:pPr>
    </w:p>
    <w:p>
      <w:pPr>
        <w:spacing w:line="360" w:lineRule="auto" w:before="0"/>
        <w:ind w:left="781" w:right="499" w:firstLine="0"/>
        <w:jc w:val="both"/>
        <w:rPr>
          <w:sz w:val="20"/>
        </w:rPr>
      </w:pPr>
      <w:r>
        <w:rPr>
          <w:sz w:val="20"/>
        </w:rPr>
        <w:t>Para encontrar alternativas de solución bajo este esquema, existen dos propuestas con las que se ha trabajado en esta investigación; la primera es la cosecha de agua de lluvia como fuente abastecedora de agua para el cultivo de trucha arco iris y la segunda es el uso de sistemas de recirculación acuícola para tratar y reutilizar el agua, teniendo como finalidad concebir y construir las instalaciones piloto para desarrollar un cultivo trutícola en un sistema de recirculación acuícola alimentado con agua pluvial con el objeto de representar matemáticamente el comportamiento de los diferentes procesos involucrados en el del tren de tratamiento de agua residual acoplado al sistema de producción trucha y a los procesos biológicos consecuencia del cultivo de organismos acuáticos.</w:t>
      </w:r>
    </w:p>
    <w:p>
      <w:pPr>
        <w:pStyle w:val="BodyText"/>
        <w:spacing w:before="5"/>
        <w:rPr>
          <w:sz w:val="17"/>
        </w:rPr>
      </w:pPr>
    </w:p>
    <w:p>
      <w:pPr>
        <w:spacing w:line="350" w:lineRule="auto" w:before="0"/>
        <w:ind w:left="781" w:right="497" w:firstLine="0"/>
        <w:jc w:val="both"/>
        <w:rPr>
          <w:sz w:val="20"/>
        </w:rPr>
      </w:pPr>
      <w:r>
        <w:rPr>
          <w:sz w:val="20"/>
        </w:rPr>
        <w:t>La investigación se llevó a cabo con un experimento de 150 días en un sistema de recirculación acuícola integrado por un estanque circular y un tren de tratamiento compuesto de un sedimentador, un filtro biológico (percolador) y un filtro de arena descendente. En el sistema se sembraron organismos de trucha arco iris (</w:t>
      </w:r>
      <w:r>
        <w:rPr>
          <w:i/>
          <w:sz w:val="20"/>
        </w:rPr>
        <w:t>Oncorhynchus mykiss</w:t>
      </w:r>
      <w:r>
        <w:rPr>
          <w:sz w:val="20"/>
        </w:rPr>
        <w:t>) con una biomasa inicial de 41,51 kg, una densidad de 6,61 kg/m</w:t>
      </w:r>
      <w:r>
        <w:rPr>
          <w:position w:val="10"/>
          <w:sz w:val="13"/>
        </w:rPr>
        <w:t>3  </w:t>
      </w:r>
      <w:r>
        <w:rPr>
          <w:sz w:val="20"/>
        </w:rPr>
        <w:t>hasta llegar a 180,42 kg con una densidad de 28,73 kg/m</w:t>
      </w:r>
      <w:r>
        <w:rPr>
          <w:position w:val="10"/>
          <w:sz w:val="13"/>
        </w:rPr>
        <w:t>3</w:t>
      </w:r>
      <w:r>
        <w:rPr>
          <w:sz w:val="20"/>
        </w:rPr>
        <w:t>;</w:t>
      </w:r>
    </w:p>
    <w:p>
      <w:pPr>
        <w:spacing w:line="362" w:lineRule="auto" w:before="0"/>
        <w:ind w:left="781" w:right="501" w:firstLine="0"/>
        <w:jc w:val="both"/>
        <w:rPr>
          <w:sz w:val="20"/>
        </w:rPr>
      </w:pPr>
      <w:r>
        <w:rPr>
          <w:sz w:val="20"/>
        </w:rPr>
        <w:t>crecimiento de los peces de 4,23 g/d; con un caudal de 2,1 L/s; un recambio de agua limpia de lluvia de 2,21 %.</w:t>
      </w:r>
    </w:p>
    <w:p>
      <w:pPr>
        <w:pStyle w:val="BodyText"/>
        <w:spacing w:before="3"/>
        <w:rPr>
          <w:sz w:val="17"/>
        </w:rPr>
      </w:pPr>
    </w:p>
    <w:p>
      <w:pPr>
        <w:spacing w:line="360" w:lineRule="auto" w:before="0"/>
        <w:ind w:left="781" w:right="500" w:firstLine="0"/>
        <w:jc w:val="both"/>
        <w:rPr>
          <w:sz w:val="13"/>
        </w:rPr>
      </w:pPr>
      <w:r>
        <w:rPr/>
        <w:pict>
          <v:shape style="position:absolute;margin-left:524.759949pt;margin-top:16.369032pt;width:2.2pt;height:6.5pt;mso-position-horizontal-relative:page;mso-position-vertical-relative:paragraph;z-index:-1530784"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pict>
          <v:shape style="position:absolute;margin-left:287.400055pt;margin-top:33.649033pt;width:2.2pt;height:6.5pt;mso-position-horizontal-relative:page;mso-position-vertical-relative:paragraph;z-index:-1530760"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Se evaluó la eficiencia de remoción de contaminantes en el tren de tratamiento, de manera general se  obtuvo  un  44.54  %,  23.15  %,  78.99  %,  29.36  %  para  SST,  DQO,  N-NH</w:t>
      </w:r>
      <w:r>
        <w:rPr>
          <w:position w:val="-2"/>
          <w:sz w:val="13"/>
        </w:rPr>
        <w:t>3   </w:t>
      </w:r>
      <w:r>
        <w:rPr>
          <w:sz w:val="20"/>
        </w:rPr>
        <w:t>y  N-NO</w:t>
      </w:r>
      <w:r>
        <w:rPr>
          <w:position w:val="-2"/>
          <w:sz w:val="13"/>
        </w:rPr>
        <w:t>2</w:t>
      </w:r>
    </w:p>
    <w:p>
      <w:pPr>
        <w:spacing w:line="226" w:lineRule="exact" w:before="0"/>
        <w:ind w:left="781" w:right="0" w:hanging="1"/>
        <w:jc w:val="both"/>
        <w:rPr>
          <w:sz w:val="20"/>
        </w:rPr>
      </w:pPr>
      <w:r>
        <w:rPr>
          <w:sz w:val="20"/>
        </w:rPr>
        <w:t>respectivamente; una generación de N-NO</w:t>
      </w:r>
      <w:r>
        <w:rPr>
          <w:position w:val="-2"/>
          <w:sz w:val="13"/>
        </w:rPr>
        <w:t>3   </w:t>
      </w:r>
      <w:r>
        <w:rPr>
          <w:sz w:val="20"/>
        </w:rPr>
        <w:t>en el sistema de 4.23 %. Las tasas de remoción</w:t>
      </w:r>
    </w:p>
    <w:p>
      <w:pPr>
        <w:spacing w:line="348" w:lineRule="auto" w:before="98"/>
        <w:ind w:left="781" w:right="501" w:firstLine="0"/>
        <w:jc w:val="both"/>
        <w:rPr>
          <w:sz w:val="20"/>
        </w:rPr>
      </w:pPr>
      <w:r>
        <w:rPr/>
        <w:pict>
          <v:shape style="position:absolute;margin-left:103.680145pt;margin-top:21.389046pt;width:2.2pt;height:6.5pt;mso-position-horizontal-relative:page;mso-position-vertical-relative:paragraph;z-index:-1530736"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generales del tren de tratamiento fueron de los parámetros 96,08 g N-NH</w:t>
      </w:r>
      <w:r>
        <w:rPr>
          <w:position w:val="-2"/>
          <w:sz w:val="13"/>
        </w:rPr>
        <w:t>3</w:t>
      </w:r>
      <w:r>
        <w:rPr>
          <w:sz w:val="20"/>
        </w:rPr>
        <w:t>/d (66,23 %), 8,87 g N- NO</w:t>
      </w:r>
      <w:r>
        <w:rPr>
          <w:position w:val="-2"/>
          <w:sz w:val="13"/>
        </w:rPr>
        <w:t>2 </w:t>
      </w:r>
      <w:r>
        <w:rPr>
          <w:sz w:val="20"/>
        </w:rPr>
        <w:t>/d (19,56 %), 286,31 g SST/d (43,38 %), 1 404,63 g DQO/d (38,79 %).</w:t>
      </w:r>
    </w:p>
    <w:p>
      <w:pPr>
        <w:spacing w:line="357" w:lineRule="auto" w:before="190"/>
        <w:ind w:left="781" w:right="497" w:firstLine="0"/>
        <w:jc w:val="both"/>
        <w:rPr>
          <w:sz w:val="20"/>
        </w:rPr>
      </w:pPr>
      <w:r>
        <w:rPr>
          <w:sz w:val="20"/>
        </w:rPr>
        <w:t>La modelación matemática de los procesos limitantes ocurridos en el SRA se realizó de manera regresiva, los modelos dinámicos no se pudieron implementar debido a que las concentraciones de los contaminantes son bajas, la media matemática, la desviación estándar y el error en la determinación de las mismas son del mismo orden (por ejemplo, en la entrada al biofiltro la concentración de N-NH</w:t>
      </w:r>
      <w:r>
        <w:rPr>
          <w:position w:val="-2"/>
          <w:sz w:val="13"/>
        </w:rPr>
        <w:t>3 </w:t>
      </w:r>
      <w:r>
        <w:rPr>
          <w:sz w:val="20"/>
        </w:rPr>
        <w:t>es de 0,80 ± 0,012 mg/L a la salida se tiene 0,66 ± 0,012 mg/L), siendo estos valores inadecuados para los modelos.</w:t>
      </w:r>
    </w:p>
    <w:p>
      <w:pPr>
        <w:spacing w:after="0" w:line="357" w:lineRule="auto"/>
        <w:jc w:val="both"/>
        <w:rPr>
          <w:sz w:val="20"/>
        </w:rPr>
        <w:sectPr>
          <w:pgSz w:w="12240" w:h="15840"/>
          <w:pgMar w:header="725" w:footer="1084" w:top="1340" w:bottom="1280" w:left="920" w:right="1200"/>
        </w:sectPr>
      </w:pPr>
    </w:p>
    <w:p>
      <w:pPr>
        <w:pStyle w:val="BodyText"/>
        <w:spacing w:before="8"/>
        <w:rPr>
          <w:sz w:val="8"/>
        </w:rPr>
      </w:pPr>
    </w:p>
    <w:p>
      <w:pPr>
        <w:spacing w:line="345" w:lineRule="auto" w:before="74"/>
        <w:ind w:left="781" w:right="497" w:firstLine="0"/>
        <w:jc w:val="both"/>
        <w:rPr>
          <w:sz w:val="20"/>
        </w:rPr>
      </w:pPr>
      <w:r>
        <w:rPr>
          <w:sz w:val="20"/>
        </w:rPr>
        <w:t>Los modelos matemáticos encontrados en este trabajo para la tasa volumétrica de conversión de nitrógeno amoniacal total fueron, para el percolador: TVNA (g N-NH</w:t>
      </w:r>
      <w:r>
        <w:rPr>
          <w:position w:val="-2"/>
          <w:sz w:val="13"/>
        </w:rPr>
        <w:t>3</w:t>
      </w:r>
      <w:r>
        <w:rPr>
          <w:sz w:val="20"/>
        </w:rPr>
        <w:t>/L h) =63,083 [(concentración de N-NH</w:t>
      </w:r>
      <w:r>
        <w:rPr>
          <w:position w:val="-2"/>
          <w:sz w:val="13"/>
        </w:rPr>
        <w:t>3 </w:t>
      </w:r>
      <w:r>
        <w:rPr>
          <w:sz w:val="20"/>
        </w:rPr>
        <w:t>influente (mg/L)] – 6,33; y para el filtro de arena: TVNA (g N-NH</w:t>
      </w:r>
      <w:r>
        <w:rPr>
          <w:position w:val="-2"/>
          <w:sz w:val="13"/>
        </w:rPr>
        <w:t>3</w:t>
      </w:r>
      <w:r>
        <w:rPr>
          <w:sz w:val="20"/>
        </w:rPr>
        <w:t>/L h) = 228,45 [(concentración de N-NH</w:t>
      </w:r>
      <w:r>
        <w:rPr>
          <w:position w:val="-2"/>
          <w:sz w:val="13"/>
        </w:rPr>
        <w:t>3 </w:t>
      </w:r>
      <w:r>
        <w:rPr>
          <w:sz w:val="20"/>
        </w:rPr>
        <w:t>influente (mg/L)] + 7,18. Ambos biofiltros presentaron un modelo de primer orden entre la concentración de nitrógeno amoniacal y la TVNA con una fuerte  dependencia: R = 0,96 y R</w:t>
      </w:r>
      <w:r>
        <w:rPr>
          <w:position w:val="10"/>
          <w:sz w:val="13"/>
        </w:rPr>
        <w:t>2 </w:t>
      </w:r>
      <w:r>
        <w:rPr>
          <w:sz w:val="20"/>
        </w:rPr>
        <w:t>= 0,91 para el filtro de arena; R = 0,85 y R</w:t>
      </w:r>
      <w:r>
        <w:rPr>
          <w:position w:val="10"/>
          <w:sz w:val="13"/>
        </w:rPr>
        <w:t>2 </w:t>
      </w:r>
      <w:r>
        <w:rPr>
          <w:sz w:val="20"/>
        </w:rPr>
        <w:t>= 0,72 para el filtro percolador.</w:t>
      </w:r>
    </w:p>
    <w:p>
      <w:pPr>
        <w:pStyle w:val="BodyText"/>
        <w:spacing w:before="7"/>
        <w:rPr>
          <w:sz w:val="18"/>
        </w:rPr>
      </w:pPr>
    </w:p>
    <w:p>
      <w:pPr>
        <w:spacing w:line="331" w:lineRule="auto" w:before="0"/>
        <w:ind w:left="781" w:right="496" w:firstLine="0"/>
        <w:jc w:val="both"/>
        <w:rPr>
          <w:sz w:val="20"/>
        </w:rPr>
      </w:pPr>
      <w:r>
        <w:rPr>
          <w:sz w:val="20"/>
        </w:rPr>
        <w:t>La modelación del consumo de oxígeno en el SRA se describe mediante la ecuación: rO</w:t>
      </w:r>
      <w:r>
        <w:rPr>
          <w:position w:val="-2"/>
          <w:sz w:val="13"/>
        </w:rPr>
        <w:t>2 </w:t>
      </w:r>
      <w:r>
        <w:rPr>
          <w:sz w:val="20"/>
        </w:rPr>
        <w:t>(mg O</w:t>
      </w:r>
      <w:r>
        <w:rPr>
          <w:position w:val="-2"/>
          <w:sz w:val="13"/>
        </w:rPr>
        <w:t>2</w:t>
      </w:r>
      <w:r>
        <w:rPr>
          <w:sz w:val="20"/>
        </w:rPr>
        <w:t>/L h)= 0,041 [Temperatura (°C)] [Densidad (kg/m3)] – 0,454 [Densidad (kg/m3)] - 1,324 [Temperatura (°C)] + 22,447 con una R</w:t>
      </w:r>
      <w:r>
        <w:rPr>
          <w:position w:val="10"/>
          <w:sz w:val="13"/>
        </w:rPr>
        <w:t>2 </w:t>
      </w:r>
      <w:r>
        <w:rPr>
          <w:sz w:val="20"/>
        </w:rPr>
        <w:t>= 0,747 y R = 0,864. El modelo es válido para un intervalo de  temperatura de 12 a 23 °C, densidades de 8 a 60 kg/m</w:t>
      </w:r>
      <w:r>
        <w:rPr>
          <w:position w:val="10"/>
          <w:sz w:val="13"/>
        </w:rPr>
        <w:t>3 </w:t>
      </w:r>
      <w:r>
        <w:rPr>
          <w:sz w:val="20"/>
        </w:rPr>
        <w:t>para una altitud de 2 660</w:t>
      </w:r>
      <w:r>
        <w:rPr>
          <w:spacing w:val="-15"/>
          <w:sz w:val="20"/>
        </w:rPr>
        <w:t> </w:t>
      </w:r>
      <w:r>
        <w:rPr>
          <w:sz w:val="20"/>
        </w:rPr>
        <w:t>msnm.</w:t>
      </w:r>
    </w:p>
    <w:p>
      <w:pPr>
        <w:spacing w:line="360" w:lineRule="auto" w:before="213"/>
        <w:ind w:left="781" w:right="501" w:firstLine="0"/>
        <w:jc w:val="both"/>
        <w:rPr>
          <w:sz w:val="20"/>
        </w:rPr>
      </w:pPr>
      <w:r>
        <w:rPr>
          <w:sz w:val="20"/>
        </w:rPr>
        <w:t>Los modelos matemáticos que se encontraron en el presente trabajo de generación de residuos contaminantes al cultivo fueron:</w:t>
      </w:r>
    </w:p>
    <w:p>
      <w:pPr>
        <w:pStyle w:val="BodyText"/>
        <w:spacing w:before="7"/>
        <w:rPr>
          <w:sz w:val="17"/>
        </w:rPr>
      </w:pPr>
    </w:p>
    <w:p>
      <w:pPr>
        <w:spacing w:line="324" w:lineRule="auto" w:before="0"/>
        <w:ind w:left="781" w:right="501" w:firstLine="0"/>
        <w:jc w:val="both"/>
        <w:rPr>
          <w:sz w:val="20"/>
        </w:rPr>
      </w:pPr>
      <w:r>
        <w:rPr>
          <w:sz w:val="20"/>
        </w:rPr>
        <w:t>Nitrógeno amoniacal, en relación con la biomasa se describe por la ecuación nitrógeno amoniacal (mg/L) = 0,0063[biomasa (kg)] – 0,3027, con un coeficiente de determinación R</w:t>
      </w:r>
      <w:r>
        <w:rPr>
          <w:position w:val="10"/>
          <w:sz w:val="13"/>
        </w:rPr>
        <w:t>2 </w:t>
      </w:r>
      <w:r>
        <w:rPr>
          <w:sz w:val="20"/>
        </w:rPr>
        <w:t>= 0,56, R = 0,75.</w:t>
      </w:r>
    </w:p>
    <w:p>
      <w:pPr>
        <w:pStyle w:val="BodyText"/>
        <w:spacing w:before="2"/>
        <w:rPr>
          <w:sz w:val="19"/>
        </w:rPr>
      </w:pPr>
    </w:p>
    <w:p>
      <w:pPr>
        <w:spacing w:line="326" w:lineRule="auto" w:before="1"/>
        <w:ind w:left="781" w:right="501" w:firstLine="0"/>
        <w:jc w:val="both"/>
        <w:rPr>
          <w:sz w:val="20"/>
        </w:rPr>
      </w:pPr>
      <w:r>
        <w:rPr>
          <w:sz w:val="20"/>
        </w:rPr>
        <w:t>DQO, se expresa por la ecuación DQO (mg/L) = 0,5992[biomasa (kg)] – 30,29, con un coeficiente de determinación R</w:t>
      </w:r>
      <w:r>
        <w:rPr>
          <w:position w:val="10"/>
          <w:sz w:val="13"/>
        </w:rPr>
        <w:t>2  </w:t>
      </w:r>
      <w:r>
        <w:rPr>
          <w:sz w:val="20"/>
        </w:rPr>
        <w:t>= 0,46, R = 0,68.</w:t>
      </w:r>
    </w:p>
    <w:p>
      <w:pPr>
        <w:pStyle w:val="BodyText"/>
        <w:rPr>
          <w:sz w:val="19"/>
        </w:rPr>
      </w:pPr>
    </w:p>
    <w:p>
      <w:pPr>
        <w:spacing w:line="326" w:lineRule="auto" w:before="0"/>
        <w:ind w:left="781" w:right="500" w:firstLine="0"/>
        <w:jc w:val="both"/>
        <w:rPr>
          <w:sz w:val="20"/>
        </w:rPr>
      </w:pPr>
      <w:r>
        <w:rPr>
          <w:sz w:val="20"/>
        </w:rPr>
        <w:t>SST, con la ecuación SST (mg/L) = 0,0873[biomasa (kg)] – 8,218, con un coeficiente de determinación R</w:t>
      </w:r>
      <w:r>
        <w:rPr>
          <w:position w:val="10"/>
          <w:sz w:val="13"/>
        </w:rPr>
        <w:t>2 </w:t>
      </w:r>
      <w:r>
        <w:rPr>
          <w:sz w:val="20"/>
        </w:rPr>
        <w:t>= 0,76, R = 0,87.</w:t>
      </w:r>
    </w:p>
    <w:p>
      <w:pPr>
        <w:pStyle w:val="BodyText"/>
        <w:rPr>
          <w:sz w:val="19"/>
        </w:rPr>
      </w:pPr>
    </w:p>
    <w:p>
      <w:pPr>
        <w:spacing w:line="312" w:lineRule="auto" w:before="0"/>
        <w:ind w:left="781" w:right="503" w:firstLine="0"/>
        <w:jc w:val="both"/>
        <w:rPr>
          <w:sz w:val="20"/>
        </w:rPr>
      </w:pPr>
      <w:r>
        <w:rPr/>
        <w:pict>
          <v:shape style="position:absolute;margin-left:255.120041pt;margin-top:-.910958pt;width:2.2pt;height:6.5pt;mso-position-horizontal-relative:page;mso-position-vertical-relative:paragraph;z-index:-1530712"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sz w:val="20"/>
        </w:rPr>
        <w:t>Nitratos, mediante la ecuación N-NO</w:t>
      </w:r>
      <w:r>
        <w:rPr>
          <w:position w:val="-2"/>
          <w:sz w:val="13"/>
        </w:rPr>
        <w:t>3  </w:t>
      </w:r>
      <w:r>
        <w:rPr>
          <w:sz w:val="20"/>
        </w:rPr>
        <w:t>(mg/L) = 0,5821[biomasa(kg)] – 20,647, con un coeficiente  de determinación de R</w:t>
      </w:r>
      <w:r>
        <w:rPr>
          <w:position w:val="10"/>
          <w:sz w:val="13"/>
        </w:rPr>
        <w:t>2 </w:t>
      </w:r>
      <w:r>
        <w:rPr>
          <w:sz w:val="20"/>
        </w:rPr>
        <w:t>= 0,66 y un coeficiente de correlación de R =</w:t>
      </w:r>
      <w:r>
        <w:rPr>
          <w:spacing w:val="-13"/>
          <w:sz w:val="20"/>
        </w:rPr>
        <w:t> </w:t>
      </w:r>
      <w:r>
        <w:rPr>
          <w:sz w:val="20"/>
        </w:rPr>
        <w:t>0,81.</w:t>
      </w:r>
    </w:p>
    <w:p>
      <w:pPr>
        <w:pStyle w:val="BodyText"/>
        <w:spacing w:before="4"/>
        <w:rPr>
          <w:sz w:val="20"/>
        </w:rPr>
      </w:pPr>
    </w:p>
    <w:p>
      <w:pPr>
        <w:spacing w:line="360" w:lineRule="auto" w:before="0"/>
        <w:ind w:left="781" w:right="500" w:firstLine="0"/>
        <w:jc w:val="both"/>
        <w:rPr>
          <w:sz w:val="20"/>
        </w:rPr>
      </w:pPr>
      <w:r>
        <w:rPr>
          <w:sz w:val="20"/>
        </w:rPr>
        <w:t>En conclusión, el agua pluvial cosechada es una opción viable para su uso en cultivos acuícolas cerrados. La contribución tecnológica del prototipo permite tener un manejo más adecuado lo que se puede traducir en un mejor crecimiento y menor tiempo de cultivo. Siendo la parte medular del sistema de tratamiento que hace posible la recirculación el conjunto de biofiltros (percolador – filtro de arena).</w:t>
      </w:r>
    </w:p>
    <w:p>
      <w:pPr>
        <w:pStyle w:val="BodyText"/>
        <w:spacing w:before="7"/>
        <w:rPr>
          <w:sz w:val="17"/>
        </w:rPr>
      </w:pPr>
    </w:p>
    <w:p>
      <w:pPr>
        <w:spacing w:before="0"/>
        <w:ind w:left="781" w:right="0" w:firstLine="0"/>
        <w:jc w:val="both"/>
        <w:rPr>
          <w:sz w:val="20"/>
        </w:rPr>
      </w:pPr>
      <w:r>
        <w:rPr>
          <w:sz w:val="20"/>
        </w:rPr>
        <w:t>Palabras clave</w:t>
      </w:r>
    </w:p>
    <w:p>
      <w:pPr>
        <w:pStyle w:val="BodyText"/>
        <w:spacing w:before="11"/>
        <w:rPr>
          <w:sz w:val="26"/>
        </w:rPr>
      </w:pPr>
    </w:p>
    <w:p>
      <w:pPr>
        <w:spacing w:line="364" w:lineRule="auto" w:before="0"/>
        <w:ind w:left="781" w:right="500" w:firstLine="0"/>
        <w:jc w:val="both"/>
        <w:rPr>
          <w:sz w:val="20"/>
        </w:rPr>
      </w:pPr>
      <w:r>
        <w:rPr>
          <w:sz w:val="20"/>
        </w:rPr>
        <w:t>1. </w:t>
      </w:r>
      <w:r>
        <w:rPr>
          <w:i/>
          <w:sz w:val="20"/>
        </w:rPr>
        <w:t>Oncorhynchus mykiss </w:t>
      </w:r>
      <w:r>
        <w:rPr>
          <w:sz w:val="20"/>
        </w:rPr>
        <w:t>Trucha arco iris; 2. Sistema de recirculación acuícola; 3. Modelación matemática; 4. Oxígeno disuelto.</w:t>
      </w:r>
    </w:p>
    <w:p>
      <w:pPr>
        <w:spacing w:after="0" w:line="364" w:lineRule="auto"/>
        <w:jc w:val="both"/>
        <w:rPr>
          <w:sz w:val="20"/>
        </w:rPr>
        <w:sectPr>
          <w:pgSz w:w="12240" w:h="15840"/>
          <w:pgMar w:header="725" w:footer="1084" w:top="1340" w:bottom="1280" w:left="920" w:right="1200"/>
        </w:sectPr>
      </w:pPr>
    </w:p>
    <w:p>
      <w:pPr>
        <w:pStyle w:val="Heading5"/>
        <w:spacing w:before="172"/>
        <w:ind w:left="781"/>
      </w:pPr>
      <w:bookmarkStart w:name="Abstract" w:id="5"/>
      <w:bookmarkEnd w:id="5"/>
      <w:r>
        <w:rPr>
          <w:b w:val="0"/>
        </w:rPr>
      </w:r>
      <w:r>
        <w:rPr/>
        <w:t>ABSTRACT</w:t>
      </w:r>
    </w:p>
    <w:p>
      <w:pPr>
        <w:pStyle w:val="BodyText"/>
        <w:spacing w:before="5"/>
        <w:rPr>
          <w:b/>
          <w:sz w:val="28"/>
        </w:rPr>
      </w:pPr>
    </w:p>
    <w:p>
      <w:pPr>
        <w:spacing w:line="360" w:lineRule="auto" w:before="0"/>
        <w:ind w:left="781" w:right="501" w:firstLine="0"/>
        <w:jc w:val="both"/>
        <w:rPr>
          <w:sz w:val="20"/>
        </w:rPr>
      </w:pPr>
      <w:r>
        <w:rPr>
          <w:sz w:val="20"/>
        </w:rPr>
        <w:t>The trout culture in Mexico has growth with a lot of pressure on the use of the water resources, in order to optimize this resource there has been researches that search for the development of sustainable water use in aquaculture. In this study we propose the use of harvested rainwater in a recirculating aquaculture system (RAS) as an alternative to strengthen the production of high nutrition food and an alternative water use.</w:t>
      </w:r>
    </w:p>
    <w:p>
      <w:pPr>
        <w:pStyle w:val="BodyText"/>
        <w:spacing w:before="5"/>
        <w:rPr>
          <w:sz w:val="17"/>
        </w:rPr>
      </w:pPr>
    </w:p>
    <w:p>
      <w:pPr>
        <w:spacing w:line="360" w:lineRule="auto" w:before="0"/>
        <w:ind w:left="781" w:right="500" w:hanging="1"/>
        <w:jc w:val="both"/>
        <w:rPr>
          <w:sz w:val="20"/>
        </w:rPr>
      </w:pPr>
      <w:r>
        <w:rPr>
          <w:sz w:val="20"/>
        </w:rPr>
        <w:t>A 150 days experiment was done in a recirculating aquaculture system suitable for the conditions of the trout activity at the State of Mexico. The RAS had one circular tank for the trout culture and a wastewater treatment integrated with a settling tank for solids removal, a trickling filter as a biofliter and a down flow sand filter with two functions, biofilter and to remove death biofilm. It had 2.1 L/s flow. To achieve good rainwater quality, sodium bicarbonate, marine salt and lime was added to the water in daily basis in order to maintain the pH and alkalinity at optimum ranges.</w:t>
      </w:r>
    </w:p>
    <w:p>
      <w:pPr>
        <w:pStyle w:val="BodyText"/>
        <w:spacing w:before="5"/>
        <w:rPr>
          <w:sz w:val="17"/>
        </w:rPr>
      </w:pPr>
    </w:p>
    <w:p>
      <w:pPr>
        <w:spacing w:line="362" w:lineRule="auto" w:before="0"/>
        <w:ind w:left="781" w:right="497" w:firstLine="0"/>
        <w:jc w:val="both"/>
        <w:rPr>
          <w:sz w:val="20"/>
        </w:rPr>
      </w:pPr>
      <w:r>
        <w:rPr>
          <w:sz w:val="20"/>
        </w:rPr>
        <w:t>To evaluate the system the individual weight increment, the density and the biomass in the tank were determined. The average removal percentage of the main parameters for the trout culture, COD, TSS, total ammoniacal nitrogen (TAN), nitrite and nitrate was obtained.</w:t>
      </w:r>
    </w:p>
    <w:p>
      <w:pPr>
        <w:pStyle w:val="BodyText"/>
        <w:spacing w:before="3"/>
        <w:rPr>
          <w:sz w:val="17"/>
        </w:rPr>
      </w:pPr>
    </w:p>
    <w:p>
      <w:pPr>
        <w:spacing w:line="360" w:lineRule="auto" w:before="0"/>
        <w:ind w:left="781" w:right="498" w:firstLine="0"/>
        <w:jc w:val="both"/>
        <w:rPr>
          <w:sz w:val="20"/>
        </w:rPr>
      </w:pPr>
      <w:r>
        <w:rPr>
          <w:sz w:val="20"/>
        </w:rPr>
        <w:t>The initial density in the system was 6,61 kg/m3 at the end of the experiment we had 28,73 kg/m3. Biomass started at 41,49 kg and ended with 180,42 kg. An average of 4,23 g/d of individual increment weight was observed.</w:t>
      </w:r>
    </w:p>
    <w:p>
      <w:pPr>
        <w:pStyle w:val="BodyText"/>
        <w:spacing w:before="5"/>
        <w:rPr>
          <w:sz w:val="17"/>
        </w:rPr>
      </w:pPr>
    </w:p>
    <w:p>
      <w:pPr>
        <w:spacing w:line="352" w:lineRule="auto" w:before="0"/>
        <w:ind w:left="781" w:right="499" w:firstLine="0"/>
        <w:jc w:val="both"/>
        <w:rPr>
          <w:sz w:val="20"/>
        </w:rPr>
      </w:pPr>
      <w:r>
        <w:rPr/>
        <w:pict>
          <v:shape style="position:absolute;margin-left:343.200043pt;margin-top:33.648857pt;width:2.2pt;height:6.5pt;mso-position-horizontal-relative:page;mso-position-vertical-relative:paragraph;z-index:-1530688" type="#_x0000_t202" filled="false" stroked="false">
            <v:textbox inset="0,0,0,0">
              <w:txbxContent>
                <w:p>
                  <w:pPr>
                    <w:spacing w:line="130" w:lineRule="exact" w:before="0"/>
                    <w:ind w:left="0" w:right="0" w:firstLine="0"/>
                    <w:jc w:val="left"/>
                    <w:rPr>
                      <w:sz w:val="13"/>
                    </w:rPr>
                  </w:pPr>
                  <w:r>
                    <w:rPr>
                      <w:w w:val="99"/>
                      <w:sz w:val="13"/>
                    </w:rPr>
                    <w:t>-</w:t>
                  </w:r>
                </w:p>
              </w:txbxContent>
            </v:textbox>
            <w10:wrap type="none"/>
          </v:shape>
        </w:pict>
      </w:r>
      <w:r>
        <w:rPr/>
        <w:pict>
          <v:shape style="position:absolute;margin-left:185.880051pt;margin-top:16.368856pt;width:58.2pt;height:6.5pt;mso-position-horizontal-relative:page;mso-position-vertical-relative:paragraph;z-index:-1530664" type="#_x0000_t202" filled="false" stroked="false">
            <v:textbox inset="0,0,0,0">
              <w:txbxContent>
                <w:p>
                  <w:pPr>
                    <w:tabs>
                      <w:tab w:pos="1120" w:val="left" w:leader="none"/>
                    </w:tabs>
                    <w:spacing w:line="130" w:lineRule="exact" w:before="0"/>
                    <w:ind w:left="0" w:right="0" w:firstLine="0"/>
                    <w:jc w:val="left"/>
                    <w:rPr>
                      <w:sz w:val="13"/>
                    </w:rPr>
                  </w:pPr>
                  <w:r>
                    <w:rPr>
                      <w:sz w:val="13"/>
                    </w:rPr>
                    <w:t>-</w:t>
                    <w:tab/>
                    <w:t>-</w:t>
                  </w:r>
                </w:p>
              </w:txbxContent>
            </v:textbox>
            <w10:wrap type="none"/>
          </v:shape>
        </w:pict>
      </w:r>
      <w:r>
        <w:rPr>
          <w:sz w:val="20"/>
        </w:rPr>
        <w:t>The percentage of removal observed were 44.54 %, 23.15 %, 78.99 %, 29.36 % and -4.23 % for TSS, COD, TAN, NO</w:t>
      </w:r>
      <w:r>
        <w:rPr>
          <w:position w:val="-2"/>
          <w:sz w:val="13"/>
        </w:rPr>
        <w:t>2 </w:t>
      </w:r>
      <w:r>
        <w:rPr>
          <w:sz w:val="20"/>
        </w:rPr>
        <w:t>-N and NO</w:t>
      </w:r>
      <w:r>
        <w:rPr>
          <w:position w:val="-2"/>
          <w:sz w:val="13"/>
        </w:rPr>
        <w:t>3 </w:t>
      </w:r>
      <w:r>
        <w:rPr>
          <w:sz w:val="20"/>
        </w:rPr>
        <w:t>-N, respectively. The general removal rates of the wastewater treatment were 96,08 g N-NH</w:t>
      </w:r>
      <w:r>
        <w:rPr>
          <w:position w:val="-2"/>
          <w:sz w:val="13"/>
        </w:rPr>
        <w:t>3</w:t>
      </w:r>
      <w:r>
        <w:rPr>
          <w:sz w:val="20"/>
        </w:rPr>
        <w:t>/d (66,23 %), 8,87 g N-NO</w:t>
      </w:r>
      <w:r>
        <w:rPr>
          <w:position w:val="-2"/>
          <w:sz w:val="13"/>
        </w:rPr>
        <w:t>2 </w:t>
      </w:r>
      <w:r>
        <w:rPr>
          <w:sz w:val="20"/>
        </w:rPr>
        <w:t>/d (19,56 %), 286,31 g SST/d (43,38   %),</w:t>
      </w:r>
    </w:p>
    <w:p>
      <w:pPr>
        <w:spacing w:line="221" w:lineRule="exact" w:before="0"/>
        <w:ind w:left="781" w:right="0" w:firstLine="0"/>
        <w:jc w:val="both"/>
        <w:rPr>
          <w:sz w:val="20"/>
        </w:rPr>
      </w:pPr>
      <w:r>
        <w:rPr>
          <w:sz w:val="20"/>
        </w:rPr>
        <w:t>1 404,63 g DQO/d (38,79 %).</w:t>
      </w:r>
    </w:p>
    <w:p>
      <w:pPr>
        <w:pStyle w:val="BodyText"/>
        <w:spacing w:before="1"/>
        <w:rPr>
          <w:sz w:val="27"/>
        </w:rPr>
      </w:pPr>
    </w:p>
    <w:p>
      <w:pPr>
        <w:spacing w:line="350" w:lineRule="auto" w:before="1"/>
        <w:ind w:left="781" w:right="500" w:firstLine="0"/>
        <w:jc w:val="both"/>
        <w:rPr>
          <w:sz w:val="20"/>
        </w:rPr>
      </w:pPr>
      <w:r>
        <w:rPr>
          <w:sz w:val="20"/>
        </w:rPr>
        <w:t>The mathematical model constructed for the volumetric TAN conversion rates were, for the trickling filter VTR (g NH</w:t>
      </w:r>
      <w:r>
        <w:rPr>
          <w:position w:val="-2"/>
          <w:sz w:val="13"/>
        </w:rPr>
        <w:t>3</w:t>
      </w:r>
      <w:r>
        <w:rPr>
          <w:sz w:val="20"/>
        </w:rPr>
        <w:t>-N/L h) =63,083 [(NH</w:t>
      </w:r>
      <w:r>
        <w:rPr>
          <w:position w:val="-2"/>
          <w:sz w:val="13"/>
        </w:rPr>
        <w:t>3</w:t>
      </w:r>
      <w:r>
        <w:rPr>
          <w:sz w:val="20"/>
        </w:rPr>
        <w:t>-N influent (mg/L)] – 6,33; and for the sand filter VTR (g NH</w:t>
      </w:r>
      <w:r>
        <w:rPr>
          <w:position w:val="-2"/>
          <w:sz w:val="13"/>
        </w:rPr>
        <w:t>3</w:t>
      </w:r>
      <w:r>
        <w:rPr>
          <w:sz w:val="20"/>
        </w:rPr>
        <w:t>- N/L  h)  =  228,45  [(NH</w:t>
      </w:r>
      <w:r>
        <w:rPr>
          <w:position w:val="-2"/>
          <w:sz w:val="13"/>
        </w:rPr>
        <w:t>3</w:t>
      </w:r>
      <w:r>
        <w:rPr>
          <w:sz w:val="20"/>
        </w:rPr>
        <w:t>-N  influent  (mg/L)]  +  7,18.  Both  biofilters  presented  a  strong       linear</w:t>
      </w:r>
    </w:p>
    <w:p>
      <w:pPr>
        <w:spacing w:line="223" w:lineRule="exact" w:before="0"/>
        <w:ind w:left="781" w:right="0" w:firstLine="0"/>
        <w:jc w:val="both"/>
        <w:rPr>
          <w:sz w:val="20"/>
        </w:rPr>
      </w:pPr>
      <w:r>
        <w:rPr>
          <w:sz w:val="20"/>
        </w:rPr>
        <w:t>dependency: R = 0,96 y R</w:t>
      </w:r>
      <w:r>
        <w:rPr>
          <w:position w:val="10"/>
          <w:sz w:val="13"/>
        </w:rPr>
        <w:t>2 </w:t>
      </w:r>
      <w:r>
        <w:rPr>
          <w:sz w:val="20"/>
        </w:rPr>
        <w:t>= 0,91 for the sand filter;  R = 0,85 y R</w:t>
      </w:r>
      <w:r>
        <w:rPr>
          <w:position w:val="10"/>
          <w:sz w:val="13"/>
        </w:rPr>
        <w:t>2 </w:t>
      </w:r>
      <w:r>
        <w:rPr>
          <w:sz w:val="20"/>
        </w:rPr>
        <w:t>= 0,72 for the trickling filter.</w:t>
      </w:r>
    </w:p>
    <w:p>
      <w:pPr>
        <w:pStyle w:val="BodyText"/>
        <w:spacing w:before="1"/>
        <w:rPr>
          <w:sz w:val="27"/>
        </w:rPr>
      </w:pPr>
    </w:p>
    <w:p>
      <w:pPr>
        <w:spacing w:line="331" w:lineRule="auto" w:before="1"/>
        <w:ind w:left="781" w:right="496" w:firstLine="0"/>
        <w:jc w:val="both"/>
        <w:rPr>
          <w:sz w:val="20"/>
        </w:rPr>
      </w:pPr>
      <w:r>
        <w:rPr>
          <w:sz w:val="20"/>
        </w:rPr>
        <w:t>The oxygen consumption model was represented by the equation rO</w:t>
      </w:r>
      <w:r>
        <w:rPr>
          <w:position w:val="-2"/>
          <w:sz w:val="13"/>
        </w:rPr>
        <w:t>2 </w:t>
      </w:r>
      <w:r>
        <w:rPr>
          <w:sz w:val="20"/>
        </w:rPr>
        <w:t>(mg O</w:t>
      </w:r>
      <w:r>
        <w:rPr>
          <w:position w:val="-2"/>
          <w:sz w:val="13"/>
        </w:rPr>
        <w:t>2</w:t>
      </w:r>
      <w:r>
        <w:rPr>
          <w:sz w:val="20"/>
        </w:rPr>
        <w:t>/L h)= 0,041 [Temperatura (°C)] [Densidad (kg/m3)] – 0,454 [Densidad (kg/m3)] - 1,324 [Temperatura (°C)] + 22,447; R</w:t>
      </w:r>
      <w:r>
        <w:rPr>
          <w:position w:val="10"/>
          <w:sz w:val="13"/>
        </w:rPr>
        <w:t>2 </w:t>
      </w:r>
      <w:r>
        <w:rPr>
          <w:sz w:val="20"/>
        </w:rPr>
        <w:t>= 0,747 y R = 0,864. The model is applicable for a temperature of 12 to 23 ºC; densities of 8 to 60 kg/m</w:t>
      </w:r>
      <w:r>
        <w:rPr>
          <w:position w:val="10"/>
          <w:sz w:val="13"/>
        </w:rPr>
        <w:t>3 </w:t>
      </w:r>
      <w:r>
        <w:rPr>
          <w:sz w:val="20"/>
        </w:rPr>
        <w:t>and an altitude of 2 660 meter above sea level.</w:t>
      </w:r>
    </w:p>
    <w:p>
      <w:pPr>
        <w:spacing w:line="362" w:lineRule="auto" w:before="213"/>
        <w:ind w:left="781" w:right="499" w:firstLine="0"/>
        <w:jc w:val="both"/>
        <w:rPr>
          <w:sz w:val="20"/>
        </w:rPr>
      </w:pPr>
      <w:r>
        <w:rPr>
          <w:sz w:val="20"/>
        </w:rPr>
        <w:t>The mathematical models constructed for the generation of residual pollution to the trout culture were:</w:t>
      </w:r>
    </w:p>
    <w:p>
      <w:pPr>
        <w:spacing w:after="0" w:line="362" w:lineRule="auto"/>
        <w:jc w:val="both"/>
        <w:rPr>
          <w:sz w:val="20"/>
        </w:rPr>
        <w:sectPr>
          <w:pgSz w:w="12240" w:h="15840"/>
          <w:pgMar w:header="725" w:footer="1084" w:top="1340" w:bottom="1280" w:left="920" w:right="1200"/>
        </w:sectPr>
      </w:pPr>
    </w:p>
    <w:p>
      <w:pPr>
        <w:spacing w:line="532" w:lineRule="auto" w:before="142"/>
        <w:ind w:left="781" w:right="636" w:firstLine="0"/>
        <w:jc w:val="both"/>
        <w:rPr>
          <w:sz w:val="20"/>
        </w:rPr>
      </w:pPr>
      <w:r>
        <w:rPr/>
        <w:pict>
          <v:shape style="position:absolute;margin-left:138.600052pt;margin-top:89.626007pt;width:204.5pt;height:6.5pt;mso-position-horizontal-relative:page;mso-position-vertical-relative:paragraph;z-index:-1530640" type="#_x0000_t202" filled="false" stroked="false">
            <v:textbox inset="0,0,0,0">
              <w:txbxContent>
                <w:p>
                  <w:pPr>
                    <w:tabs>
                      <w:tab w:pos="4017" w:val="left" w:leader="none"/>
                    </w:tabs>
                    <w:spacing w:line="130" w:lineRule="exact" w:before="0"/>
                    <w:ind w:left="0" w:right="0" w:firstLine="0"/>
                    <w:jc w:val="left"/>
                    <w:rPr>
                      <w:sz w:val="13"/>
                    </w:rPr>
                  </w:pPr>
                  <w:r>
                    <w:rPr>
                      <w:sz w:val="13"/>
                    </w:rPr>
                    <w:t>-</w:t>
                    <w:tab/>
                    <w:t>2</w:t>
                  </w:r>
                </w:p>
              </w:txbxContent>
            </v:textbox>
            <w10:wrap type="none"/>
          </v:shape>
        </w:pict>
      </w:r>
      <w:r>
        <w:rPr>
          <w:sz w:val="20"/>
        </w:rPr>
        <w:t>TAN in function of the biomass: TAN (mg/L) = 0,0063[biomass (kg)] – 0,3027; R</w:t>
      </w:r>
      <w:r>
        <w:rPr>
          <w:position w:val="10"/>
          <w:sz w:val="13"/>
        </w:rPr>
        <w:t>2 </w:t>
      </w:r>
      <w:r>
        <w:rPr>
          <w:sz w:val="20"/>
        </w:rPr>
        <w:t>= 0,56, R = 0,75. COD, in function of the biomass: COD (mg/L) = 0,5992[biomass (kg)] – 30,29; R</w:t>
      </w:r>
      <w:r>
        <w:rPr>
          <w:position w:val="10"/>
          <w:sz w:val="13"/>
        </w:rPr>
        <w:t>2 </w:t>
      </w:r>
      <w:r>
        <w:rPr>
          <w:sz w:val="20"/>
        </w:rPr>
        <w:t>= 0,46, R = 0,68. TSS, with the linear equation: TSS (mg/L) = 0,0873[biomass (kg)] – 8,218; R</w:t>
      </w:r>
      <w:r>
        <w:rPr>
          <w:position w:val="10"/>
          <w:sz w:val="13"/>
        </w:rPr>
        <w:t>2 </w:t>
      </w:r>
      <w:r>
        <w:rPr>
          <w:sz w:val="20"/>
        </w:rPr>
        <w:t>= 0,76, R = 0,87.</w:t>
      </w:r>
    </w:p>
    <w:p>
      <w:pPr>
        <w:spacing w:line="243" w:lineRule="exact" w:before="0"/>
        <w:ind w:left="781" w:right="0" w:firstLine="0"/>
        <w:jc w:val="both"/>
        <w:rPr>
          <w:sz w:val="20"/>
        </w:rPr>
      </w:pPr>
      <w:r>
        <w:rPr>
          <w:sz w:val="20"/>
        </w:rPr>
        <w:t>Nitrate, NO</w:t>
      </w:r>
      <w:r>
        <w:rPr>
          <w:position w:val="-2"/>
          <w:sz w:val="13"/>
        </w:rPr>
        <w:t>3 </w:t>
      </w:r>
      <w:r>
        <w:rPr>
          <w:sz w:val="20"/>
        </w:rPr>
        <w:t>-N (mg/L) = 0,5821[biomass(kg)] – 20,647; R  = 0,66, R = 0,81.</w:t>
      </w:r>
    </w:p>
    <w:p>
      <w:pPr>
        <w:pStyle w:val="BodyText"/>
        <w:spacing w:before="9"/>
        <w:rPr>
          <w:sz w:val="25"/>
        </w:rPr>
      </w:pPr>
    </w:p>
    <w:p>
      <w:pPr>
        <w:spacing w:line="362" w:lineRule="auto" w:before="0"/>
        <w:ind w:left="781" w:right="498" w:firstLine="0"/>
        <w:jc w:val="both"/>
        <w:rPr>
          <w:sz w:val="20"/>
        </w:rPr>
      </w:pPr>
      <w:r>
        <w:rPr>
          <w:sz w:val="20"/>
        </w:rPr>
        <w:t>The results indicate that the RAS with rainwater harvest as an alternative of source water used in this study was suitable to the conditions predominant in the State of Mexico for the trout culture, using less than 2,21% of the water needed for a flow trough farm trout.</w:t>
      </w:r>
    </w:p>
    <w:p>
      <w:pPr>
        <w:pStyle w:val="BodyText"/>
        <w:spacing w:before="5"/>
        <w:rPr>
          <w:sz w:val="17"/>
        </w:rPr>
      </w:pPr>
    </w:p>
    <w:p>
      <w:pPr>
        <w:spacing w:before="0"/>
        <w:ind w:left="781" w:right="0" w:firstLine="0"/>
        <w:jc w:val="both"/>
        <w:rPr>
          <w:sz w:val="20"/>
        </w:rPr>
      </w:pPr>
      <w:r>
        <w:rPr>
          <w:sz w:val="20"/>
        </w:rPr>
        <w:t>Key words</w:t>
      </w:r>
    </w:p>
    <w:p>
      <w:pPr>
        <w:pStyle w:val="BodyText"/>
        <w:spacing w:before="11"/>
        <w:rPr>
          <w:sz w:val="26"/>
        </w:rPr>
      </w:pPr>
    </w:p>
    <w:p>
      <w:pPr>
        <w:spacing w:line="364" w:lineRule="auto" w:before="0"/>
        <w:ind w:left="781" w:right="948" w:firstLine="0"/>
        <w:jc w:val="left"/>
        <w:rPr>
          <w:sz w:val="20"/>
        </w:rPr>
      </w:pPr>
      <w:r>
        <w:rPr>
          <w:sz w:val="20"/>
        </w:rPr>
        <w:t>1. </w:t>
      </w:r>
      <w:r>
        <w:rPr>
          <w:i/>
          <w:sz w:val="20"/>
        </w:rPr>
        <w:t>Oncorhynchus mykiss </w:t>
      </w:r>
      <w:r>
        <w:rPr>
          <w:sz w:val="20"/>
        </w:rPr>
        <w:t>Rainbow trout; 2. Recirculating aquaculture systems; 3. Mathematical model; 4. Dissolved Oxygen.</w:t>
      </w:r>
    </w:p>
    <w:p>
      <w:pPr>
        <w:spacing w:after="0" w:line="364" w:lineRule="auto"/>
        <w:jc w:val="left"/>
        <w:rPr>
          <w:sz w:val="20"/>
        </w:rPr>
        <w:sectPr>
          <w:pgSz w:w="12240" w:h="15840"/>
          <w:pgMar w:header="725" w:footer="1084" w:top="1340" w:bottom="1280" w:left="920" w:right="1200"/>
        </w:sectPr>
      </w:pPr>
    </w:p>
    <w:p>
      <w:pPr>
        <w:pStyle w:val="Heading5"/>
        <w:spacing w:before="172"/>
        <w:ind w:left="781" w:right="2707"/>
        <w:jc w:val="left"/>
      </w:pPr>
      <w:bookmarkStart w:name="Índice" w:id="6"/>
      <w:bookmarkEnd w:id="6"/>
      <w:r>
        <w:rPr>
          <w:b w:val="0"/>
        </w:rPr>
      </w:r>
      <w:bookmarkStart w:name="Contenido" w:id="7"/>
      <w:bookmarkEnd w:id="7"/>
      <w:r>
        <w:rPr>
          <w:b w:val="0"/>
        </w:rPr>
      </w:r>
      <w:r>
        <w:rPr/>
        <w:t>ÍNDICE DE CONTENIDO</w:t>
      </w:r>
    </w:p>
    <w:p>
      <w:pPr>
        <w:spacing w:after="0"/>
        <w:jc w:val="left"/>
        <w:sectPr>
          <w:pgSz w:w="12240" w:h="15840"/>
          <w:pgMar w:header="725" w:footer="1084" w:top="1340" w:bottom="1510" w:left="920" w:right="1200"/>
        </w:sectPr>
      </w:pPr>
    </w:p>
    <w:sdt>
      <w:sdtPr>
        <w:docPartObj>
          <w:docPartGallery w:val="Table of Contents"/>
          <w:docPartUnique/>
        </w:docPartObj>
      </w:sdtPr>
      <w:sdtEndPr/>
      <w:sdtContent>
        <w:p>
          <w:pPr>
            <w:pStyle w:val="TOC1"/>
            <w:tabs>
              <w:tab w:pos="9602" w:val="right" w:leader="dot"/>
            </w:tabs>
            <w:spacing w:before="256"/>
          </w:pPr>
          <w:hyperlink w:history="true" w:anchor="_TOC_250072">
            <w:r>
              <w:rPr/>
              <w:t>Capítulo 1.</w:t>
            </w:r>
            <w:r>
              <w:rPr>
                <w:spacing w:val="-2"/>
              </w:rPr>
              <w:t> </w:t>
            </w:r>
            <w:r>
              <w:rPr/>
              <w:t>Introducción</w:t>
            </w:r>
            <w:r>
              <w:rPr>
                <w:rFonts w:ascii="Times New Roman" w:hAnsi="Times New Roman"/>
              </w:rPr>
              <w:tab/>
            </w:r>
            <w:r>
              <w:rPr/>
              <w:t>21</w:t>
            </w:r>
          </w:hyperlink>
        </w:p>
        <w:p>
          <w:pPr>
            <w:pStyle w:val="TOC1"/>
            <w:tabs>
              <w:tab w:pos="9602" w:val="right" w:leader="dot"/>
            </w:tabs>
          </w:pPr>
          <w:hyperlink w:history="true" w:anchor="_TOC_250071">
            <w:r>
              <w:rPr/>
              <w:t>Capítulo 2.</w:t>
            </w:r>
            <w:r>
              <w:rPr>
                <w:spacing w:val="1"/>
              </w:rPr>
              <w:t> </w:t>
            </w:r>
            <w:r>
              <w:rPr/>
              <w:t>Antecedentes</w:t>
            </w:r>
            <w:r>
              <w:rPr>
                <w:rFonts w:ascii="Times New Roman" w:hAnsi="Times New Roman"/>
              </w:rPr>
              <w:tab/>
            </w:r>
            <w:r>
              <w:rPr/>
              <w:t>26</w:t>
            </w:r>
          </w:hyperlink>
        </w:p>
        <w:p>
          <w:pPr>
            <w:pStyle w:val="TOC2"/>
            <w:numPr>
              <w:ilvl w:val="1"/>
              <w:numId w:val="1"/>
            </w:numPr>
            <w:tabs>
              <w:tab w:pos="1449" w:val="left" w:leader="none"/>
              <w:tab w:pos="9603" w:val="right" w:leader="dot"/>
            </w:tabs>
            <w:spacing w:line="240" w:lineRule="auto" w:before="126" w:after="0"/>
            <w:ind w:left="1448" w:right="0" w:hanging="427"/>
            <w:jc w:val="left"/>
          </w:pPr>
          <w:hyperlink w:history="true" w:anchor="_TOC_250070">
            <w:r>
              <w:rPr/>
              <w:t>Truticultura en el Estado</w:t>
            </w:r>
            <w:r>
              <w:rPr>
                <w:spacing w:val="-1"/>
              </w:rPr>
              <w:t> </w:t>
            </w:r>
            <w:r>
              <w:rPr/>
              <w:t>de México</w:t>
            </w:r>
            <w:r>
              <w:rPr>
                <w:rFonts w:ascii="Times New Roman" w:hAnsi="Times New Roman"/>
              </w:rPr>
              <w:tab/>
            </w:r>
            <w:r>
              <w:rPr/>
              <w:t>27</w:t>
            </w:r>
          </w:hyperlink>
        </w:p>
        <w:p>
          <w:pPr>
            <w:pStyle w:val="TOC2"/>
            <w:numPr>
              <w:ilvl w:val="1"/>
              <w:numId w:val="1"/>
            </w:numPr>
            <w:tabs>
              <w:tab w:pos="1451" w:val="left" w:leader="none"/>
              <w:tab w:pos="9603" w:val="right" w:leader="dot"/>
            </w:tabs>
            <w:spacing w:line="240" w:lineRule="auto" w:before="126" w:after="0"/>
            <w:ind w:left="1450" w:right="0" w:hanging="429"/>
            <w:jc w:val="left"/>
          </w:pPr>
          <w:hyperlink w:history="true" w:anchor="_TOC_250069">
            <w:r>
              <w:rPr/>
              <w:t>Uso de agua pluvial en</w:t>
            </w:r>
            <w:r>
              <w:rPr>
                <w:spacing w:val="-1"/>
              </w:rPr>
              <w:t> </w:t>
            </w:r>
            <w:r>
              <w:rPr/>
              <w:t>actividades humanas</w:t>
            </w:r>
            <w:r>
              <w:rPr>
                <w:rFonts w:ascii="Times New Roman"/>
              </w:rPr>
              <w:tab/>
            </w:r>
            <w:r>
              <w:rPr/>
              <w:t>29</w:t>
            </w:r>
          </w:hyperlink>
        </w:p>
        <w:p>
          <w:pPr>
            <w:pStyle w:val="TOC2"/>
            <w:numPr>
              <w:ilvl w:val="1"/>
              <w:numId w:val="1"/>
            </w:numPr>
            <w:tabs>
              <w:tab w:pos="1451" w:val="left" w:leader="none"/>
              <w:tab w:pos="9603" w:val="right" w:leader="dot"/>
            </w:tabs>
            <w:spacing w:line="240" w:lineRule="auto" w:before="126" w:after="0"/>
            <w:ind w:left="1450" w:right="0" w:hanging="429"/>
            <w:jc w:val="left"/>
          </w:pPr>
          <w:hyperlink w:history="true" w:anchor="_TOC_250068">
            <w:r>
              <w:rPr/>
              <w:t>Uso de agua pluvial</w:t>
            </w:r>
            <w:r>
              <w:rPr>
                <w:spacing w:val="-1"/>
              </w:rPr>
              <w:t> </w:t>
            </w:r>
            <w:r>
              <w:rPr/>
              <w:t>en acuicultura</w:t>
            </w:r>
            <w:r>
              <w:rPr>
                <w:rFonts w:ascii="Times New Roman"/>
              </w:rPr>
              <w:tab/>
            </w:r>
            <w:r>
              <w:rPr/>
              <w:t>32</w:t>
            </w:r>
          </w:hyperlink>
        </w:p>
        <w:p>
          <w:pPr>
            <w:pStyle w:val="TOC2"/>
            <w:numPr>
              <w:ilvl w:val="1"/>
              <w:numId w:val="1"/>
            </w:numPr>
            <w:tabs>
              <w:tab w:pos="1451" w:val="left" w:leader="none"/>
              <w:tab w:pos="9603" w:val="right" w:leader="dot"/>
            </w:tabs>
            <w:spacing w:line="240" w:lineRule="auto" w:before="126" w:after="0"/>
            <w:ind w:left="1450" w:right="0" w:hanging="429"/>
            <w:jc w:val="left"/>
          </w:pPr>
          <w:hyperlink w:history="true" w:anchor="_TOC_250067">
            <w:r>
              <w:rPr/>
              <w:t>Sistemas de</w:t>
            </w:r>
            <w:r>
              <w:rPr>
                <w:spacing w:val="-2"/>
              </w:rPr>
              <w:t> </w:t>
            </w:r>
            <w:r>
              <w:rPr/>
              <w:t>recirculación acuícola</w:t>
            </w:r>
            <w:r>
              <w:rPr>
                <w:rFonts w:ascii="Times New Roman" w:hAnsi="Times New Roman"/>
              </w:rPr>
              <w:tab/>
            </w:r>
            <w:r>
              <w:rPr/>
              <w:t>32</w:t>
            </w:r>
          </w:hyperlink>
        </w:p>
        <w:p>
          <w:pPr>
            <w:pStyle w:val="TOC2"/>
            <w:numPr>
              <w:ilvl w:val="1"/>
              <w:numId w:val="1"/>
            </w:numPr>
            <w:tabs>
              <w:tab w:pos="1451" w:val="left" w:leader="none"/>
              <w:tab w:pos="9604" w:val="right" w:leader="dot"/>
            </w:tabs>
            <w:spacing w:line="240" w:lineRule="auto" w:before="126" w:after="0"/>
            <w:ind w:left="1450" w:right="0" w:hanging="429"/>
            <w:jc w:val="left"/>
          </w:pPr>
          <w:hyperlink w:history="true" w:anchor="_TOC_250066">
            <w:r>
              <w:rPr/>
              <w:t>Modelación del Sistema de</w:t>
            </w:r>
            <w:r>
              <w:rPr>
                <w:spacing w:val="-2"/>
              </w:rPr>
              <w:t> </w:t>
            </w:r>
            <w:r>
              <w:rPr/>
              <w:t>Recirculación Acuícola</w:t>
            </w:r>
            <w:r>
              <w:rPr>
                <w:rFonts w:ascii="Times New Roman" w:hAnsi="Times New Roman"/>
              </w:rPr>
              <w:tab/>
            </w:r>
            <w:r>
              <w:rPr/>
              <w:t>41</w:t>
            </w:r>
          </w:hyperlink>
        </w:p>
        <w:p>
          <w:pPr>
            <w:pStyle w:val="TOC1"/>
            <w:tabs>
              <w:tab w:pos="9603" w:val="right" w:leader="dot"/>
            </w:tabs>
            <w:spacing w:before="128"/>
          </w:pPr>
          <w:r>
            <w:rPr/>
            <w:t>Capítulo 3. Planteamineto de</w:t>
          </w:r>
          <w:r>
            <w:rPr>
              <w:spacing w:val="3"/>
            </w:rPr>
            <w:t> </w:t>
          </w:r>
          <w:r>
            <w:rPr/>
            <w:t>la investigación</w:t>
          </w:r>
          <w:r>
            <w:rPr>
              <w:rFonts w:ascii="Times New Roman" w:hAnsi="Times New Roman"/>
            </w:rPr>
            <w:tab/>
          </w:r>
          <w:r>
            <w:rPr/>
            <w:t>47</w:t>
          </w:r>
        </w:p>
        <w:p>
          <w:pPr>
            <w:pStyle w:val="TOC2"/>
            <w:numPr>
              <w:ilvl w:val="1"/>
              <w:numId w:val="2"/>
            </w:numPr>
            <w:tabs>
              <w:tab w:pos="1451" w:val="left" w:leader="none"/>
              <w:tab w:pos="9602" w:val="right" w:leader="dot"/>
            </w:tabs>
            <w:spacing w:line="240" w:lineRule="auto" w:before="126" w:after="0"/>
            <w:ind w:left="1450" w:right="0" w:hanging="429"/>
            <w:jc w:val="left"/>
          </w:pPr>
          <w:hyperlink w:history="true" w:anchor="_TOC_250065">
            <w:r>
              <w:rPr/>
              <w:t>Justificación</w:t>
            </w:r>
            <w:r>
              <w:rPr>
                <w:rFonts w:ascii="Times New Roman" w:hAnsi="Times New Roman"/>
              </w:rPr>
              <w:tab/>
            </w:r>
            <w:r>
              <w:rPr/>
              <w:t>48</w:t>
            </w:r>
          </w:hyperlink>
        </w:p>
        <w:p>
          <w:pPr>
            <w:pStyle w:val="TOC2"/>
            <w:numPr>
              <w:ilvl w:val="1"/>
              <w:numId w:val="2"/>
            </w:numPr>
            <w:tabs>
              <w:tab w:pos="1451" w:val="left" w:leader="none"/>
              <w:tab w:pos="9602" w:val="right" w:leader="dot"/>
            </w:tabs>
            <w:spacing w:line="240" w:lineRule="auto" w:before="126" w:after="0"/>
            <w:ind w:left="1450" w:right="0" w:hanging="429"/>
            <w:jc w:val="left"/>
          </w:pPr>
          <w:hyperlink w:history="true" w:anchor="_TOC_250064">
            <w:r>
              <w:rPr/>
              <w:t>Hipótesis</w:t>
            </w:r>
            <w:r>
              <w:rPr>
                <w:rFonts w:ascii="Times New Roman" w:hAnsi="Times New Roman"/>
              </w:rPr>
              <w:tab/>
            </w:r>
            <w:r>
              <w:rPr/>
              <w:t>49</w:t>
            </w:r>
          </w:hyperlink>
        </w:p>
        <w:p>
          <w:pPr>
            <w:pStyle w:val="TOC2"/>
            <w:numPr>
              <w:ilvl w:val="1"/>
              <w:numId w:val="2"/>
            </w:numPr>
            <w:tabs>
              <w:tab w:pos="1451" w:val="left" w:leader="none"/>
              <w:tab w:pos="9601" w:val="right" w:leader="dot"/>
            </w:tabs>
            <w:spacing w:line="240" w:lineRule="auto" w:before="126" w:after="0"/>
            <w:ind w:left="1450" w:right="0" w:hanging="429"/>
            <w:jc w:val="left"/>
          </w:pPr>
          <w:hyperlink w:history="true" w:anchor="_TOC_250063">
            <w:r>
              <w:rPr/>
              <w:t>Objetivos</w:t>
            </w:r>
            <w:r>
              <w:rPr>
                <w:rFonts w:ascii="Times New Roman"/>
              </w:rPr>
              <w:tab/>
            </w:r>
            <w:r>
              <w:rPr/>
              <w:t>50</w:t>
            </w:r>
          </w:hyperlink>
        </w:p>
        <w:p>
          <w:pPr>
            <w:pStyle w:val="TOC3"/>
            <w:numPr>
              <w:ilvl w:val="2"/>
              <w:numId w:val="2"/>
            </w:numPr>
            <w:tabs>
              <w:tab w:pos="1874" w:val="left" w:leader="none"/>
              <w:tab w:pos="9602" w:val="right" w:leader="dot"/>
            </w:tabs>
            <w:spacing w:line="240" w:lineRule="auto" w:before="126" w:after="0"/>
            <w:ind w:left="1873" w:right="0" w:hanging="612"/>
            <w:jc w:val="left"/>
          </w:pPr>
          <w:hyperlink w:history="true" w:anchor="_TOC_250062">
            <w:r>
              <w:rPr/>
              <w:t>Objetivo General</w:t>
            </w:r>
            <w:r>
              <w:rPr>
                <w:rFonts w:ascii="Times New Roman"/>
              </w:rPr>
              <w:tab/>
            </w:r>
            <w:r>
              <w:rPr/>
              <w:t>50</w:t>
            </w:r>
          </w:hyperlink>
        </w:p>
        <w:p>
          <w:pPr>
            <w:pStyle w:val="TOC3"/>
            <w:numPr>
              <w:ilvl w:val="2"/>
              <w:numId w:val="2"/>
            </w:numPr>
            <w:tabs>
              <w:tab w:pos="1874" w:val="left" w:leader="none"/>
              <w:tab w:pos="9602" w:val="right" w:leader="dot"/>
            </w:tabs>
            <w:spacing w:line="240" w:lineRule="auto" w:before="126" w:after="0"/>
            <w:ind w:left="1873" w:right="0" w:hanging="612"/>
            <w:jc w:val="left"/>
          </w:pPr>
          <w:hyperlink w:history="true" w:anchor="_TOC_250061">
            <w:r>
              <w:rPr/>
              <w:t>Objetivos Específicos</w:t>
            </w:r>
            <w:r>
              <w:rPr>
                <w:rFonts w:ascii="Times New Roman" w:hAnsi="Times New Roman"/>
              </w:rPr>
              <w:tab/>
            </w:r>
            <w:r>
              <w:rPr/>
              <w:t>50</w:t>
            </w:r>
          </w:hyperlink>
        </w:p>
        <w:p>
          <w:pPr>
            <w:pStyle w:val="TOC2"/>
            <w:numPr>
              <w:ilvl w:val="1"/>
              <w:numId w:val="2"/>
            </w:numPr>
            <w:tabs>
              <w:tab w:pos="1451" w:val="left" w:leader="none"/>
              <w:tab w:pos="9601" w:val="right" w:leader="dot"/>
            </w:tabs>
            <w:spacing w:line="240" w:lineRule="auto" w:before="126" w:after="0"/>
            <w:ind w:left="1450" w:right="0" w:hanging="429"/>
            <w:jc w:val="left"/>
          </w:pPr>
          <w:hyperlink w:history="true" w:anchor="_TOC_250060">
            <w:r>
              <w:rPr/>
              <w:t>Metas</w:t>
            </w:r>
            <w:r>
              <w:rPr>
                <w:rFonts w:ascii="Times New Roman"/>
              </w:rPr>
              <w:tab/>
            </w:r>
            <w:r>
              <w:rPr/>
              <w:t>51</w:t>
            </w:r>
          </w:hyperlink>
        </w:p>
        <w:p>
          <w:pPr>
            <w:pStyle w:val="TOC1"/>
            <w:tabs>
              <w:tab w:pos="9603" w:val="right" w:leader="dot"/>
            </w:tabs>
          </w:pPr>
          <w:hyperlink w:history="true" w:anchor="_TOC_250059">
            <w:r>
              <w:rPr/>
              <w:t>Capítulo 4. Materiales</w:t>
            </w:r>
            <w:r>
              <w:rPr>
                <w:spacing w:val="3"/>
              </w:rPr>
              <w:t> </w:t>
            </w:r>
            <w:r>
              <w:rPr/>
              <w:t>y</w:t>
            </w:r>
            <w:r>
              <w:rPr>
                <w:spacing w:val="-5"/>
              </w:rPr>
              <w:t> </w:t>
            </w:r>
            <w:r>
              <w:rPr/>
              <w:t>métodos</w:t>
            </w:r>
            <w:r>
              <w:rPr>
                <w:rFonts w:ascii="Times New Roman" w:hAnsi="Times New Roman"/>
              </w:rPr>
              <w:tab/>
            </w:r>
            <w:r>
              <w:rPr/>
              <w:t>52</w:t>
            </w:r>
          </w:hyperlink>
        </w:p>
        <w:p>
          <w:pPr>
            <w:pStyle w:val="TOC2"/>
            <w:numPr>
              <w:ilvl w:val="1"/>
              <w:numId w:val="3"/>
            </w:numPr>
            <w:tabs>
              <w:tab w:pos="1451" w:val="left" w:leader="none"/>
              <w:tab w:pos="9602" w:val="right" w:leader="dot"/>
            </w:tabs>
            <w:spacing w:line="240" w:lineRule="auto" w:before="126" w:after="0"/>
            <w:ind w:left="1450" w:right="0" w:hanging="429"/>
            <w:jc w:val="left"/>
          </w:pPr>
          <w:hyperlink w:history="true" w:anchor="_TOC_250058">
            <w:r>
              <w:rPr/>
              <w:t>Cosecha de</w:t>
            </w:r>
            <w:r>
              <w:rPr>
                <w:spacing w:val="-2"/>
              </w:rPr>
              <w:t> </w:t>
            </w:r>
            <w:r>
              <w:rPr/>
              <w:t>agua</w:t>
            </w:r>
            <w:r>
              <w:rPr>
                <w:spacing w:val="-3"/>
              </w:rPr>
              <w:t> </w:t>
            </w:r>
            <w:r>
              <w:rPr/>
              <w:t>pluvial</w:t>
            </w:r>
            <w:r>
              <w:rPr>
                <w:rFonts w:ascii="Times New Roman"/>
              </w:rPr>
              <w:tab/>
            </w:r>
            <w:r>
              <w:rPr/>
              <w:t>54</w:t>
            </w:r>
          </w:hyperlink>
        </w:p>
        <w:p>
          <w:pPr>
            <w:pStyle w:val="TOC2"/>
            <w:numPr>
              <w:ilvl w:val="1"/>
              <w:numId w:val="3"/>
            </w:numPr>
            <w:tabs>
              <w:tab w:pos="1451" w:val="left" w:leader="none"/>
              <w:tab w:pos="9604" w:val="right" w:leader="dot"/>
            </w:tabs>
            <w:spacing w:line="240" w:lineRule="auto" w:before="128" w:after="0"/>
            <w:ind w:left="1450" w:right="0" w:hanging="429"/>
            <w:jc w:val="left"/>
          </w:pPr>
          <w:hyperlink w:history="true" w:anchor="_TOC_250057">
            <w:r>
              <w:rPr/>
              <w:t>Diseño y puesta en marcha del</w:t>
            </w:r>
            <w:r>
              <w:rPr>
                <w:spacing w:val="-8"/>
              </w:rPr>
              <w:t> </w:t>
            </w:r>
            <w:r>
              <w:rPr/>
              <w:t>sistema</w:t>
            </w:r>
            <w:r>
              <w:rPr>
                <w:spacing w:val="-3"/>
              </w:rPr>
              <w:t> </w:t>
            </w:r>
            <w:r>
              <w:rPr/>
              <w:t>prototipo</w:t>
            </w:r>
            <w:r>
              <w:rPr>
                <w:rFonts w:ascii="Times New Roman" w:hAnsi="Times New Roman"/>
              </w:rPr>
              <w:tab/>
            </w:r>
            <w:r>
              <w:rPr/>
              <w:t>56</w:t>
            </w:r>
          </w:hyperlink>
        </w:p>
        <w:p>
          <w:pPr>
            <w:pStyle w:val="TOC3"/>
            <w:numPr>
              <w:ilvl w:val="2"/>
              <w:numId w:val="3"/>
            </w:numPr>
            <w:tabs>
              <w:tab w:pos="1876" w:val="left" w:leader="none"/>
              <w:tab w:pos="9602" w:val="right" w:leader="dot"/>
            </w:tabs>
            <w:spacing w:line="240" w:lineRule="auto" w:before="126" w:after="0"/>
            <w:ind w:left="1875" w:right="0" w:hanging="614"/>
            <w:jc w:val="left"/>
          </w:pPr>
          <w:hyperlink w:history="true" w:anchor="_TOC_250056">
            <w:r>
              <w:rPr/>
              <w:t>Estanquería</w:t>
            </w:r>
            <w:r>
              <w:rPr>
                <w:rFonts w:ascii="Times New Roman" w:hAnsi="Times New Roman"/>
              </w:rPr>
              <w:tab/>
            </w:r>
            <w:r>
              <w:rPr/>
              <w:t>58</w:t>
            </w:r>
          </w:hyperlink>
        </w:p>
        <w:p>
          <w:pPr>
            <w:pStyle w:val="TOC3"/>
            <w:numPr>
              <w:ilvl w:val="2"/>
              <w:numId w:val="3"/>
            </w:numPr>
            <w:tabs>
              <w:tab w:pos="1874" w:val="left" w:leader="none"/>
              <w:tab w:pos="9602" w:val="right" w:leader="dot"/>
            </w:tabs>
            <w:spacing w:line="240" w:lineRule="auto" w:before="126" w:after="0"/>
            <w:ind w:left="1873" w:right="0" w:hanging="612"/>
            <w:jc w:val="left"/>
          </w:pPr>
          <w:hyperlink w:history="true" w:anchor="_TOC_250055">
            <w:r>
              <w:rPr/>
              <w:t>Tren de</w:t>
            </w:r>
            <w:r>
              <w:rPr>
                <w:spacing w:val="-3"/>
              </w:rPr>
              <w:t> </w:t>
            </w:r>
            <w:r>
              <w:rPr/>
              <w:t>tratamiento</w:t>
            </w:r>
            <w:r>
              <w:rPr>
                <w:rFonts w:ascii="Times New Roman"/>
              </w:rPr>
              <w:tab/>
            </w:r>
            <w:r>
              <w:rPr/>
              <w:t>59</w:t>
            </w:r>
          </w:hyperlink>
        </w:p>
        <w:p>
          <w:pPr>
            <w:pStyle w:val="TOC2"/>
            <w:numPr>
              <w:ilvl w:val="1"/>
              <w:numId w:val="3"/>
            </w:numPr>
            <w:tabs>
              <w:tab w:pos="1451" w:val="left" w:leader="none"/>
              <w:tab w:pos="9602" w:val="right" w:leader="dot"/>
            </w:tabs>
            <w:spacing w:line="240" w:lineRule="auto" w:before="126" w:after="0"/>
            <w:ind w:left="1450" w:right="0" w:hanging="429"/>
            <w:jc w:val="left"/>
          </w:pPr>
          <w:hyperlink w:history="true" w:anchor="_TOC_250054">
            <w:r>
              <w:rPr/>
              <w:t>Maduración del</w:t>
            </w:r>
            <w:r>
              <w:rPr>
                <w:spacing w:val="-1"/>
              </w:rPr>
              <w:t> </w:t>
            </w:r>
            <w:r>
              <w:rPr/>
              <w:t>sistema</w:t>
            </w:r>
            <w:r>
              <w:rPr>
                <w:rFonts w:ascii="Times New Roman" w:hAnsi="Times New Roman"/>
              </w:rPr>
              <w:tab/>
            </w:r>
            <w:r>
              <w:rPr/>
              <w:t>64</w:t>
            </w:r>
          </w:hyperlink>
        </w:p>
        <w:p>
          <w:pPr>
            <w:pStyle w:val="TOC2"/>
            <w:numPr>
              <w:ilvl w:val="1"/>
              <w:numId w:val="3"/>
            </w:numPr>
            <w:tabs>
              <w:tab w:pos="1451" w:val="left" w:leader="none"/>
              <w:tab w:pos="9602" w:val="right" w:leader="dot"/>
            </w:tabs>
            <w:spacing w:line="240" w:lineRule="auto" w:before="126" w:after="0"/>
            <w:ind w:left="1450" w:right="0" w:hanging="429"/>
            <w:jc w:val="left"/>
          </w:pPr>
          <w:hyperlink w:history="true" w:anchor="_TOC_250053">
            <w:r>
              <w:rPr/>
              <w:t>Cultivo acuícola</w:t>
            </w:r>
            <w:r>
              <w:rPr>
                <w:rFonts w:ascii="Times New Roman" w:hAnsi="Times New Roman"/>
              </w:rPr>
              <w:tab/>
            </w:r>
            <w:r>
              <w:rPr/>
              <w:t>65</w:t>
            </w:r>
          </w:hyperlink>
        </w:p>
        <w:p>
          <w:pPr>
            <w:pStyle w:val="TOC2"/>
            <w:numPr>
              <w:ilvl w:val="1"/>
              <w:numId w:val="3"/>
            </w:numPr>
            <w:tabs>
              <w:tab w:pos="1451" w:val="left" w:leader="none"/>
              <w:tab w:pos="9606" w:val="right" w:leader="dot"/>
            </w:tabs>
            <w:spacing w:line="240" w:lineRule="auto" w:before="126" w:after="0"/>
            <w:ind w:left="1450" w:right="0" w:hanging="429"/>
            <w:jc w:val="left"/>
          </w:pPr>
          <w:r>
            <w:rPr/>
            <w:t>Eficiencia del tren de tratamiento y evaluación de las tasas</w:t>
          </w:r>
          <w:r>
            <w:rPr>
              <w:spacing w:val="-12"/>
            </w:rPr>
            <w:t> </w:t>
          </w:r>
          <w:r>
            <w:rPr/>
            <w:t>de</w:t>
          </w:r>
          <w:r>
            <w:rPr>
              <w:spacing w:val="-3"/>
            </w:rPr>
            <w:t> </w:t>
          </w:r>
          <w:r>
            <w:rPr/>
            <w:t>remoción</w:t>
          </w:r>
          <w:r>
            <w:rPr>
              <w:rFonts w:ascii="Times New Roman" w:hAnsi="Times New Roman"/>
            </w:rPr>
            <w:tab/>
          </w:r>
          <w:r>
            <w:rPr/>
            <w:t>66</w:t>
          </w:r>
        </w:p>
        <w:p>
          <w:pPr>
            <w:pStyle w:val="TOC2"/>
            <w:numPr>
              <w:ilvl w:val="1"/>
              <w:numId w:val="3"/>
            </w:numPr>
            <w:tabs>
              <w:tab w:pos="1451" w:val="left" w:leader="none"/>
              <w:tab w:pos="9606" w:val="right" w:leader="dot"/>
            </w:tabs>
            <w:spacing w:line="240" w:lineRule="auto" w:before="126" w:after="0"/>
            <w:ind w:left="1450" w:right="0" w:hanging="429"/>
            <w:jc w:val="left"/>
          </w:pPr>
          <w:hyperlink w:history="true" w:anchor="_TOC_250052">
            <w:r>
              <w:rPr/>
              <w:t>Modelación matemática de los procesos limitantes del</w:t>
            </w:r>
            <w:r>
              <w:rPr>
                <w:spacing w:val="-1"/>
              </w:rPr>
              <w:t> </w:t>
            </w:r>
            <w:r>
              <w:rPr/>
              <w:t>SRA</w:t>
            </w:r>
            <w:r>
              <w:rPr>
                <w:rFonts w:ascii="Times New Roman" w:hAnsi="Times New Roman"/>
              </w:rPr>
              <w:tab/>
            </w:r>
            <w:r>
              <w:rPr/>
              <w:t>69</w:t>
            </w:r>
          </w:hyperlink>
        </w:p>
        <w:p>
          <w:pPr>
            <w:pStyle w:val="TOC3"/>
            <w:numPr>
              <w:ilvl w:val="2"/>
              <w:numId w:val="3"/>
            </w:numPr>
            <w:tabs>
              <w:tab w:pos="1876" w:val="left" w:leader="none"/>
              <w:tab w:pos="9602" w:val="right" w:leader="dot"/>
            </w:tabs>
            <w:spacing w:line="240" w:lineRule="auto" w:before="126" w:after="0"/>
            <w:ind w:left="1875" w:right="0" w:hanging="614"/>
            <w:jc w:val="left"/>
          </w:pPr>
          <w:hyperlink w:history="true" w:anchor="_TOC_250051">
            <w:r>
              <w:rPr/>
              <w:t>Biofiltro</w:t>
            </w:r>
            <w:r>
              <w:rPr>
                <w:rFonts w:ascii="Times New Roman"/>
              </w:rPr>
              <w:tab/>
            </w:r>
            <w:r>
              <w:rPr/>
              <w:t>69</w:t>
            </w:r>
          </w:hyperlink>
        </w:p>
        <w:p>
          <w:pPr>
            <w:pStyle w:val="TOC4"/>
            <w:numPr>
              <w:ilvl w:val="3"/>
              <w:numId w:val="3"/>
            </w:numPr>
            <w:tabs>
              <w:tab w:pos="2298" w:val="left" w:leader="none"/>
              <w:tab w:pos="9603" w:val="right" w:leader="dot"/>
            </w:tabs>
            <w:spacing w:line="240" w:lineRule="auto" w:before="126" w:after="0"/>
            <w:ind w:left="2297" w:right="0" w:hanging="796"/>
            <w:jc w:val="left"/>
          </w:pPr>
          <w:hyperlink w:history="true" w:anchor="_TOC_250050">
            <w:r>
              <w:rPr/>
              <w:t>Modelación determinística</w:t>
            </w:r>
            <w:r>
              <w:rPr>
                <w:rFonts w:ascii="Times New Roman" w:hAnsi="Times New Roman"/>
              </w:rPr>
              <w:tab/>
            </w:r>
            <w:r>
              <w:rPr/>
              <w:t>69</w:t>
            </w:r>
          </w:hyperlink>
        </w:p>
        <w:p>
          <w:pPr>
            <w:pStyle w:val="TOC4"/>
            <w:numPr>
              <w:ilvl w:val="3"/>
              <w:numId w:val="3"/>
            </w:numPr>
            <w:tabs>
              <w:tab w:pos="2298" w:val="left" w:leader="none"/>
              <w:tab w:pos="9603" w:val="right" w:leader="dot"/>
            </w:tabs>
            <w:spacing w:line="240" w:lineRule="auto" w:before="128" w:after="0"/>
            <w:ind w:left="2297" w:right="0" w:hanging="796"/>
            <w:jc w:val="left"/>
          </w:pPr>
          <w:hyperlink w:history="true" w:anchor="_TOC_250049">
            <w:r>
              <w:rPr/>
              <w:t>Modelación de TVNA</w:t>
            </w:r>
            <w:r>
              <w:rPr>
                <w:spacing w:val="1"/>
              </w:rPr>
              <w:t> </w:t>
            </w:r>
            <w:r>
              <w:rPr/>
              <w:t>y</w:t>
            </w:r>
            <w:r>
              <w:rPr>
                <w:spacing w:val="-2"/>
              </w:rPr>
              <w:t> </w:t>
            </w:r>
            <w:r>
              <w:rPr/>
              <w:t>TVCN</w:t>
            </w:r>
            <w:r>
              <w:rPr>
                <w:rFonts w:ascii="Times New Roman" w:hAnsi="Times New Roman"/>
              </w:rPr>
              <w:tab/>
            </w:r>
            <w:r>
              <w:rPr/>
              <w:t>70</w:t>
            </w:r>
          </w:hyperlink>
        </w:p>
        <w:p>
          <w:pPr>
            <w:pStyle w:val="TOC3"/>
            <w:numPr>
              <w:ilvl w:val="2"/>
              <w:numId w:val="3"/>
            </w:numPr>
            <w:tabs>
              <w:tab w:pos="1876" w:val="left" w:leader="none"/>
              <w:tab w:pos="9605" w:val="right" w:leader="dot"/>
            </w:tabs>
            <w:spacing w:line="240" w:lineRule="auto" w:before="126" w:after="0"/>
            <w:ind w:left="1875" w:right="0" w:hanging="614"/>
            <w:jc w:val="left"/>
          </w:pPr>
          <w:hyperlink w:history="true" w:anchor="_TOC_250048">
            <w:r>
              <w:rPr/>
              <w:t>Consumo de oxígeno disuelto por</w:t>
            </w:r>
            <w:r>
              <w:rPr>
                <w:spacing w:val="1"/>
              </w:rPr>
              <w:t> </w:t>
            </w:r>
            <w:r>
              <w:rPr/>
              <w:t>los</w:t>
            </w:r>
            <w:r>
              <w:rPr>
                <w:spacing w:val="-2"/>
              </w:rPr>
              <w:t> </w:t>
            </w:r>
            <w:r>
              <w:rPr/>
              <w:t>peces</w:t>
            </w:r>
            <w:r>
              <w:rPr>
                <w:rFonts w:ascii="Times New Roman" w:hAnsi="Times New Roman"/>
              </w:rPr>
              <w:tab/>
            </w:r>
            <w:r>
              <w:rPr/>
              <w:t>70</w:t>
            </w:r>
          </w:hyperlink>
        </w:p>
        <w:p>
          <w:pPr>
            <w:pStyle w:val="TOC3"/>
            <w:numPr>
              <w:ilvl w:val="2"/>
              <w:numId w:val="3"/>
            </w:numPr>
            <w:tabs>
              <w:tab w:pos="1874" w:val="left" w:leader="none"/>
              <w:tab w:pos="9602" w:val="right" w:leader="dot"/>
            </w:tabs>
            <w:spacing w:line="240" w:lineRule="auto" w:before="126" w:after="0"/>
            <w:ind w:left="1873" w:right="0" w:hanging="612"/>
            <w:jc w:val="left"/>
          </w:pPr>
          <w:r>
            <w:rPr/>
            <w:t>Tipo</w:t>
          </w:r>
          <w:r>
            <w:rPr>
              <w:spacing w:val="-3"/>
            </w:rPr>
            <w:t> </w:t>
          </w:r>
          <w:r>
            <w:rPr/>
            <w:t>regresivo</w:t>
          </w:r>
          <w:r>
            <w:rPr>
              <w:rFonts w:ascii="Times New Roman"/>
            </w:rPr>
            <w:tab/>
          </w:r>
          <w:r>
            <w:rPr/>
            <w:t>73</w:t>
          </w:r>
        </w:p>
        <w:p>
          <w:pPr>
            <w:pStyle w:val="TOC1"/>
            <w:tabs>
              <w:tab w:pos="9603" w:val="right" w:leader="dot"/>
            </w:tabs>
          </w:pPr>
          <w:hyperlink w:history="true" w:anchor="_TOC_250047">
            <w:r>
              <w:rPr/>
              <w:t>Capítulo 5. Resultados</w:t>
            </w:r>
            <w:r>
              <w:rPr>
                <w:spacing w:val="3"/>
              </w:rPr>
              <w:t> </w:t>
            </w:r>
            <w:r>
              <w:rPr/>
              <w:t>y</w:t>
            </w:r>
            <w:r>
              <w:rPr>
                <w:spacing w:val="-2"/>
              </w:rPr>
              <w:t> </w:t>
            </w:r>
            <w:r>
              <w:rPr/>
              <w:t>discusión</w:t>
            </w:r>
            <w:r>
              <w:rPr>
                <w:rFonts w:ascii="Times New Roman" w:hAnsi="Times New Roman"/>
              </w:rPr>
              <w:tab/>
            </w:r>
            <w:r>
              <w:rPr/>
              <w:t>74</w:t>
            </w:r>
          </w:hyperlink>
        </w:p>
        <w:p>
          <w:pPr>
            <w:pStyle w:val="TOC2"/>
            <w:numPr>
              <w:ilvl w:val="1"/>
              <w:numId w:val="4"/>
            </w:numPr>
            <w:tabs>
              <w:tab w:pos="1451" w:val="left" w:leader="none"/>
              <w:tab w:pos="9602" w:val="right" w:leader="dot"/>
            </w:tabs>
            <w:spacing w:line="240" w:lineRule="auto" w:before="126" w:after="0"/>
            <w:ind w:left="1450" w:right="0" w:hanging="429"/>
            <w:jc w:val="left"/>
          </w:pPr>
          <w:hyperlink w:history="true" w:anchor="_TOC_250046">
            <w:r>
              <w:rPr/>
              <w:t>Cosecha de</w:t>
            </w:r>
            <w:r>
              <w:rPr>
                <w:spacing w:val="-2"/>
              </w:rPr>
              <w:t> </w:t>
            </w:r>
            <w:r>
              <w:rPr/>
              <w:t>agua</w:t>
            </w:r>
            <w:r>
              <w:rPr>
                <w:spacing w:val="-3"/>
              </w:rPr>
              <w:t> </w:t>
            </w:r>
            <w:r>
              <w:rPr/>
              <w:t>pluvial</w:t>
            </w:r>
            <w:r>
              <w:rPr>
                <w:rFonts w:ascii="Times New Roman"/>
              </w:rPr>
              <w:tab/>
            </w:r>
            <w:r>
              <w:rPr/>
              <w:t>75</w:t>
            </w:r>
          </w:hyperlink>
        </w:p>
        <w:p>
          <w:pPr>
            <w:pStyle w:val="TOC2"/>
            <w:numPr>
              <w:ilvl w:val="1"/>
              <w:numId w:val="4"/>
            </w:numPr>
            <w:tabs>
              <w:tab w:pos="1451" w:val="left" w:leader="none"/>
              <w:tab w:pos="9603" w:val="right" w:leader="dot"/>
            </w:tabs>
            <w:spacing w:line="240" w:lineRule="auto" w:before="126" w:after="0"/>
            <w:ind w:left="1450" w:right="0" w:hanging="429"/>
            <w:jc w:val="left"/>
          </w:pPr>
          <w:hyperlink w:history="true" w:anchor="_TOC_250045">
            <w:r>
              <w:rPr/>
              <w:t>Puesta en marcha y estabilización</w:t>
            </w:r>
            <w:r>
              <w:rPr>
                <w:spacing w:val="-8"/>
              </w:rPr>
              <w:t> </w:t>
            </w:r>
            <w:r>
              <w:rPr/>
              <w:t>del</w:t>
            </w:r>
            <w:r>
              <w:rPr>
                <w:spacing w:val="-1"/>
              </w:rPr>
              <w:t> </w:t>
            </w:r>
            <w:r>
              <w:rPr/>
              <w:t>SRA</w:t>
            </w:r>
            <w:r>
              <w:rPr>
                <w:rFonts w:ascii="Times New Roman" w:hAnsi="Times New Roman"/>
              </w:rPr>
              <w:tab/>
            </w:r>
            <w:r>
              <w:rPr/>
              <w:t>77</w:t>
            </w:r>
          </w:hyperlink>
        </w:p>
        <w:p>
          <w:pPr>
            <w:pStyle w:val="TOC2"/>
            <w:numPr>
              <w:ilvl w:val="1"/>
              <w:numId w:val="4"/>
            </w:numPr>
            <w:tabs>
              <w:tab w:pos="1451" w:val="left" w:leader="none"/>
              <w:tab w:pos="9602" w:val="right" w:leader="dot"/>
            </w:tabs>
            <w:spacing w:line="240" w:lineRule="auto" w:before="126" w:after="0"/>
            <w:ind w:left="1450" w:right="0" w:hanging="429"/>
            <w:jc w:val="left"/>
          </w:pPr>
          <w:hyperlink w:history="true" w:anchor="_TOC_250044">
            <w:r>
              <w:rPr/>
              <w:t>Maduración del</w:t>
            </w:r>
            <w:r>
              <w:rPr>
                <w:spacing w:val="-1"/>
              </w:rPr>
              <w:t> </w:t>
            </w:r>
            <w:r>
              <w:rPr/>
              <w:t>sistema</w:t>
            </w:r>
            <w:r>
              <w:rPr>
                <w:rFonts w:ascii="Times New Roman" w:hAnsi="Times New Roman"/>
              </w:rPr>
              <w:tab/>
            </w:r>
            <w:r>
              <w:rPr/>
              <w:t>79</w:t>
            </w:r>
          </w:hyperlink>
        </w:p>
        <w:p>
          <w:pPr>
            <w:pStyle w:val="TOC2"/>
            <w:numPr>
              <w:ilvl w:val="1"/>
              <w:numId w:val="4"/>
            </w:numPr>
            <w:tabs>
              <w:tab w:pos="1451" w:val="left" w:leader="none"/>
              <w:tab w:pos="9602" w:val="right" w:leader="dot"/>
            </w:tabs>
            <w:spacing w:line="240" w:lineRule="auto" w:before="175" w:after="0"/>
            <w:ind w:left="1450" w:right="0" w:hanging="429"/>
            <w:jc w:val="left"/>
          </w:pPr>
          <w:hyperlink w:history="true" w:anchor="_TOC_250043">
            <w:r>
              <w:rPr/>
              <w:t>Cultivo Acuícola</w:t>
            </w:r>
            <w:r>
              <w:rPr>
                <w:rFonts w:ascii="Times New Roman" w:hAnsi="Times New Roman"/>
              </w:rPr>
              <w:tab/>
            </w:r>
            <w:r>
              <w:rPr/>
              <w:t>81</w:t>
            </w:r>
          </w:hyperlink>
        </w:p>
        <w:p>
          <w:pPr>
            <w:pStyle w:val="TOC3"/>
            <w:numPr>
              <w:ilvl w:val="2"/>
              <w:numId w:val="4"/>
            </w:numPr>
            <w:tabs>
              <w:tab w:pos="1876" w:val="left" w:leader="none"/>
              <w:tab w:pos="9603" w:val="right" w:leader="dot"/>
            </w:tabs>
            <w:spacing w:line="240" w:lineRule="auto" w:before="126" w:after="0"/>
            <w:ind w:left="1875" w:right="0" w:hanging="614"/>
            <w:jc w:val="left"/>
          </w:pPr>
          <w:hyperlink w:history="true" w:anchor="_TOC_250042">
            <w:r>
              <w:rPr/>
              <w:t>Desarrollo de la trucha arco</w:t>
            </w:r>
            <w:r>
              <w:rPr>
                <w:spacing w:val="-3"/>
              </w:rPr>
              <w:t> </w:t>
            </w:r>
            <w:r>
              <w:rPr/>
              <w:t>iris</w:t>
            </w:r>
            <w:r>
              <w:rPr>
                <w:rFonts w:ascii="Times New Roman"/>
              </w:rPr>
              <w:tab/>
            </w:r>
            <w:r>
              <w:rPr/>
              <w:t>82</w:t>
            </w:r>
          </w:hyperlink>
        </w:p>
        <w:p>
          <w:pPr>
            <w:pStyle w:val="TOC3"/>
            <w:numPr>
              <w:ilvl w:val="2"/>
              <w:numId w:val="4"/>
            </w:numPr>
            <w:tabs>
              <w:tab w:pos="1876" w:val="left" w:leader="none"/>
              <w:tab w:pos="9606" w:val="right" w:leader="dot"/>
            </w:tabs>
            <w:spacing w:line="240" w:lineRule="auto" w:before="126" w:after="0"/>
            <w:ind w:left="1875" w:right="0" w:hanging="614"/>
            <w:jc w:val="left"/>
          </w:pPr>
          <w:hyperlink w:history="true" w:anchor="_TOC_250041">
            <w:r>
              <w:rPr/>
              <w:t>Condición corporal de los</w:t>
            </w:r>
            <w:r>
              <w:rPr>
                <w:spacing w:val="-2"/>
              </w:rPr>
              <w:t> </w:t>
            </w:r>
            <w:r>
              <w:rPr/>
              <w:t>organismos acuáticos</w:t>
            </w:r>
            <w:r>
              <w:rPr>
                <w:rFonts w:ascii="Times New Roman" w:hAnsi="Times New Roman"/>
              </w:rPr>
              <w:tab/>
            </w:r>
            <w:r>
              <w:rPr/>
              <w:t>85</w:t>
            </w:r>
          </w:hyperlink>
        </w:p>
        <w:p>
          <w:pPr>
            <w:pStyle w:val="TOC3"/>
            <w:numPr>
              <w:ilvl w:val="2"/>
              <w:numId w:val="4"/>
            </w:numPr>
            <w:tabs>
              <w:tab w:pos="1874" w:val="left" w:leader="none"/>
              <w:tab w:pos="9602" w:val="right" w:leader="dot"/>
            </w:tabs>
            <w:spacing w:line="240" w:lineRule="auto" w:before="126" w:after="0"/>
            <w:ind w:left="1873" w:right="0" w:hanging="612"/>
            <w:jc w:val="left"/>
          </w:pPr>
          <w:hyperlink w:history="true" w:anchor="_TOC_250040">
            <w:r>
              <w:rPr/>
              <w:t>Oxígeno disuelto en</w:t>
            </w:r>
            <w:r>
              <w:rPr>
                <w:spacing w:val="2"/>
              </w:rPr>
              <w:t> </w:t>
            </w:r>
            <w:r>
              <w:rPr/>
              <w:t>el</w:t>
            </w:r>
            <w:r>
              <w:rPr>
                <w:spacing w:val="-1"/>
              </w:rPr>
              <w:t> </w:t>
            </w:r>
            <w:r>
              <w:rPr/>
              <w:t>estanque</w:t>
            </w:r>
            <w:r>
              <w:rPr>
                <w:rFonts w:ascii="Times New Roman" w:hAnsi="Times New Roman"/>
              </w:rPr>
              <w:tab/>
            </w:r>
            <w:r>
              <w:rPr/>
              <w:t>88</w:t>
            </w:r>
          </w:hyperlink>
        </w:p>
        <w:p>
          <w:pPr>
            <w:pStyle w:val="TOC3"/>
            <w:numPr>
              <w:ilvl w:val="2"/>
              <w:numId w:val="4"/>
            </w:numPr>
            <w:tabs>
              <w:tab w:pos="1876" w:val="left" w:leader="none"/>
              <w:tab w:pos="9603" w:val="right" w:leader="dot"/>
            </w:tabs>
            <w:spacing w:line="240" w:lineRule="auto" w:before="126" w:after="0"/>
            <w:ind w:left="1875" w:right="0" w:hanging="614"/>
            <w:jc w:val="left"/>
          </w:pPr>
          <w:hyperlink w:history="true" w:anchor="_TOC_250039">
            <w:r>
              <w:rPr/>
              <w:t>Comportamiento del pH en el</w:t>
            </w:r>
            <w:r>
              <w:rPr>
                <w:spacing w:val="-1"/>
              </w:rPr>
              <w:t> </w:t>
            </w:r>
            <w:r>
              <w:rPr/>
              <w:t>estanque</w:t>
            </w:r>
            <w:r>
              <w:rPr>
                <w:rFonts w:ascii="Times New Roman"/>
              </w:rPr>
              <w:tab/>
            </w:r>
            <w:r>
              <w:rPr/>
              <w:t>89</w:t>
            </w:r>
          </w:hyperlink>
        </w:p>
        <w:p>
          <w:pPr>
            <w:pStyle w:val="TOC2"/>
            <w:numPr>
              <w:ilvl w:val="1"/>
              <w:numId w:val="4"/>
            </w:numPr>
            <w:tabs>
              <w:tab w:pos="1451" w:val="left" w:leader="none"/>
              <w:tab w:pos="9605" w:val="right" w:leader="dot"/>
            </w:tabs>
            <w:spacing w:line="240" w:lineRule="auto" w:before="128" w:after="0"/>
            <w:ind w:left="1450" w:right="0" w:hanging="429"/>
            <w:jc w:val="left"/>
          </w:pPr>
          <w:hyperlink w:history="true" w:anchor="_TOC_250038">
            <w:r>
              <w:rPr/>
              <w:t>Evaluación del desempeño y eficiencia del tren</w:t>
            </w:r>
            <w:r>
              <w:rPr>
                <w:spacing w:val="-4"/>
              </w:rPr>
              <w:t> </w:t>
            </w:r>
            <w:r>
              <w:rPr/>
              <w:t>de</w:t>
            </w:r>
            <w:r>
              <w:rPr>
                <w:spacing w:val="-3"/>
              </w:rPr>
              <w:t> </w:t>
            </w:r>
            <w:r>
              <w:rPr/>
              <w:t>tratamiento</w:t>
            </w:r>
            <w:r>
              <w:rPr>
                <w:rFonts w:ascii="Times New Roman" w:hAnsi="Times New Roman"/>
              </w:rPr>
              <w:tab/>
            </w:r>
            <w:r>
              <w:rPr/>
              <w:t>91</w:t>
            </w:r>
          </w:hyperlink>
        </w:p>
        <w:p>
          <w:pPr>
            <w:pStyle w:val="TOC3"/>
            <w:numPr>
              <w:ilvl w:val="2"/>
              <w:numId w:val="4"/>
            </w:numPr>
            <w:tabs>
              <w:tab w:pos="1876" w:val="left" w:leader="none"/>
              <w:tab w:pos="9602" w:val="right" w:leader="dot"/>
            </w:tabs>
            <w:spacing w:line="240" w:lineRule="auto" w:before="126" w:after="0"/>
            <w:ind w:left="1875" w:right="0" w:hanging="614"/>
            <w:jc w:val="left"/>
          </w:pPr>
          <w:hyperlink w:history="true" w:anchor="_TOC_250037">
            <w:r>
              <w:rPr/>
              <w:t>Eficiencia</w:t>
            </w:r>
            <w:r>
              <w:rPr>
                <w:rFonts w:ascii="Times New Roman"/>
              </w:rPr>
              <w:tab/>
            </w:r>
            <w:r>
              <w:rPr/>
              <w:t>91</w:t>
            </w:r>
          </w:hyperlink>
        </w:p>
        <w:p>
          <w:pPr>
            <w:pStyle w:val="TOC4"/>
            <w:numPr>
              <w:ilvl w:val="3"/>
              <w:numId w:val="4"/>
            </w:numPr>
            <w:tabs>
              <w:tab w:pos="2298" w:val="left" w:leader="none"/>
              <w:tab w:pos="9602" w:val="right" w:leader="dot"/>
            </w:tabs>
            <w:spacing w:line="240" w:lineRule="auto" w:before="126" w:after="0"/>
            <w:ind w:left="2297" w:right="0" w:hanging="796"/>
            <w:jc w:val="left"/>
          </w:pPr>
          <w:hyperlink w:history="true" w:anchor="_TOC_250036">
            <w:r>
              <w:rPr/>
              <w:t>Percolador</w:t>
            </w:r>
            <w:r>
              <w:rPr>
                <w:rFonts w:ascii="Times New Roman"/>
              </w:rPr>
              <w:tab/>
            </w:r>
            <w:r>
              <w:rPr/>
              <w:t>92</w:t>
            </w:r>
          </w:hyperlink>
        </w:p>
        <w:p>
          <w:pPr>
            <w:pStyle w:val="TOC4"/>
            <w:numPr>
              <w:ilvl w:val="3"/>
              <w:numId w:val="4"/>
            </w:numPr>
            <w:tabs>
              <w:tab w:pos="2298" w:val="left" w:leader="none"/>
              <w:tab w:pos="9602" w:val="right" w:leader="dot"/>
            </w:tabs>
            <w:spacing w:line="240" w:lineRule="auto" w:before="126" w:after="0"/>
            <w:ind w:left="2297" w:right="0" w:hanging="796"/>
            <w:jc w:val="left"/>
          </w:pPr>
          <w:hyperlink w:history="true" w:anchor="_TOC_250035">
            <w:r>
              <w:rPr/>
              <w:t>Filtro</w:t>
            </w:r>
            <w:r>
              <w:rPr>
                <w:spacing w:val="-3"/>
              </w:rPr>
              <w:t> </w:t>
            </w:r>
            <w:r>
              <w:rPr/>
              <w:t>de arena</w:t>
            </w:r>
            <w:r>
              <w:rPr>
                <w:rFonts w:ascii="Times New Roman"/>
              </w:rPr>
              <w:tab/>
            </w:r>
            <w:r>
              <w:rPr/>
              <w:t>95</w:t>
            </w:r>
          </w:hyperlink>
        </w:p>
        <w:p>
          <w:pPr>
            <w:pStyle w:val="TOC4"/>
            <w:numPr>
              <w:ilvl w:val="3"/>
              <w:numId w:val="4"/>
            </w:numPr>
            <w:tabs>
              <w:tab w:pos="2298" w:val="left" w:leader="none"/>
              <w:tab w:pos="9602" w:val="right" w:leader="dot"/>
            </w:tabs>
            <w:spacing w:line="240" w:lineRule="auto" w:before="126" w:after="0"/>
            <w:ind w:left="2297" w:right="0" w:hanging="796"/>
            <w:jc w:val="left"/>
          </w:pPr>
          <w:hyperlink w:history="true" w:anchor="_TOC_250034">
            <w:r>
              <w:rPr/>
              <w:t>Estanque</w:t>
            </w:r>
            <w:r>
              <w:rPr>
                <w:spacing w:val="-3"/>
              </w:rPr>
              <w:t> </w:t>
            </w:r>
            <w:r>
              <w:rPr/>
              <w:t>y</w:t>
            </w:r>
            <w:r>
              <w:rPr>
                <w:spacing w:val="-2"/>
              </w:rPr>
              <w:t> </w:t>
            </w:r>
            <w:r>
              <w:rPr/>
              <w:t>sedimentador</w:t>
            </w:r>
            <w:r>
              <w:rPr>
                <w:rFonts w:ascii="Times New Roman"/>
              </w:rPr>
              <w:tab/>
            </w:r>
            <w:r>
              <w:rPr/>
              <w:t>97</w:t>
            </w:r>
          </w:hyperlink>
        </w:p>
        <w:p>
          <w:pPr>
            <w:pStyle w:val="TOC4"/>
            <w:numPr>
              <w:ilvl w:val="3"/>
              <w:numId w:val="4"/>
            </w:numPr>
            <w:tabs>
              <w:tab w:pos="2298" w:val="left" w:leader="none"/>
              <w:tab w:pos="9602" w:val="right" w:leader="dot"/>
            </w:tabs>
            <w:spacing w:line="240" w:lineRule="auto" w:before="126" w:after="0"/>
            <w:ind w:left="2297" w:right="0" w:hanging="796"/>
            <w:jc w:val="left"/>
          </w:pPr>
          <w:hyperlink w:history="true" w:anchor="_TOC_250033">
            <w:r>
              <w:rPr/>
              <w:t>Eficiencia</w:t>
            </w:r>
            <w:r>
              <w:rPr>
                <w:spacing w:val="-3"/>
              </w:rPr>
              <w:t> </w:t>
            </w:r>
            <w:r>
              <w:rPr/>
              <w:t>general</w:t>
            </w:r>
            <w:r>
              <w:rPr>
                <w:rFonts w:ascii="Times New Roman"/>
              </w:rPr>
              <w:tab/>
            </w:r>
            <w:r>
              <w:rPr/>
              <w:t>99</w:t>
            </w:r>
          </w:hyperlink>
        </w:p>
        <w:p>
          <w:pPr>
            <w:pStyle w:val="TOC3"/>
            <w:numPr>
              <w:ilvl w:val="2"/>
              <w:numId w:val="4"/>
            </w:numPr>
            <w:tabs>
              <w:tab w:pos="1876" w:val="left" w:leader="none"/>
              <w:tab w:pos="9602" w:val="right" w:leader="dot"/>
            </w:tabs>
            <w:spacing w:line="240" w:lineRule="auto" w:before="126" w:after="0"/>
            <w:ind w:left="1875" w:right="0" w:hanging="614"/>
            <w:jc w:val="left"/>
          </w:pPr>
          <w:hyperlink w:history="true" w:anchor="_TOC_250032">
            <w:r>
              <w:rPr/>
              <w:t>Desempeño del</w:t>
            </w:r>
            <w:r>
              <w:rPr>
                <w:spacing w:val="-4"/>
              </w:rPr>
              <w:t> </w:t>
            </w:r>
            <w:r>
              <w:rPr/>
              <w:t>prototipo</w:t>
            </w:r>
            <w:r>
              <w:rPr>
                <w:rFonts w:ascii="Times New Roman" w:hAnsi="Times New Roman"/>
              </w:rPr>
              <w:tab/>
            </w:r>
            <w:r>
              <w:rPr/>
              <w:t>101</w:t>
            </w:r>
          </w:hyperlink>
        </w:p>
        <w:p>
          <w:pPr>
            <w:pStyle w:val="TOC2"/>
            <w:numPr>
              <w:ilvl w:val="1"/>
              <w:numId w:val="4"/>
            </w:numPr>
            <w:tabs>
              <w:tab w:pos="1451" w:val="left" w:leader="none"/>
              <w:tab w:pos="9601" w:val="right" w:leader="dot"/>
            </w:tabs>
            <w:spacing w:line="240" w:lineRule="auto" w:before="126" w:after="0"/>
            <w:ind w:left="1450" w:right="0" w:hanging="429"/>
            <w:jc w:val="left"/>
          </w:pPr>
          <w:hyperlink w:history="true" w:anchor="_TOC_250031">
            <w:r>
              <w:rPr/>
              <w:t>Cinética</w:t>
            </w:r>
            <w:r>
              <w:rPr>
                <w:rFonts w:ascii="Times New Roman" w:hAnsi="Times New Roman"/>
              </w:rPr>
              <w:tab/>
            </w:r>
            <w:r>
              <w:rPr/>
              <w:t>106</w:t>
            </w:r>
          </w:hyperlink>
        </w:p>
        <w:p>
          <w:pPr>
            <w:pStyle w:val="TOC3"/>
            <w:numPr>
              <w:ilvl w:val="2"/>
              <w:numId w:val="4"/>
            </w:numPr>
            <w:tabs>
              <w:tab w:pos="1874" w:val="left" w:leader="none"/>
              <w:tab w:pos="9602" w:val="right" w:leader="dot"/>
            </w:tabs>
            <w:spacing w:line="240" w:lineRule="auto" w:before="126" w:after="0"/>
            <w:ind w:left="1873" w:right="0" w:hanging="612"/>
            <w:jc w:val="left"/>
          </w:pPr>
          <w:hyperlink w:history="true" w:anchor="_TOC_250030">
            <w:r>
              <w:rPr/>
              <w:t>Tasas de</w:t>
            </w:r>
            <w:r>
              <w:rPr>
                <w:spacing w:val="-3"/>
              </w:rPr>
              <w:t> </w:t>
            </w:r>
            <w:r>
              <w:rPr/>
              <w:t>remoción</w:t>
            </w:r>
            <w:r>
              <w:rPr>
                <w:rFonts w:ascii="Times New Roman" w:hAnsi="Times New Roman"/>
              </w:rPr>
              <w:tab/>
            </w:r>
            <w:r>
              <w:rPr/>
              <w:t>106</w:t>
            </w:r>
          </w:hyperlink>
        </w:p>
        <w:p>
          <w:pPr>
            <w:pStyle w:val="TOC4"/>
            <w:numPr>
              <w:ilvl w:val="3"/>
              <w:numId w:val="4"/>
            </w:numPr>
            <w:tabs>
              <w:tab w:pos="2298" w:val="left" w:leader="none"/>
              <w:tab w:pos="9605" w:val="right" w:leader="dot"/>
            </w:tabs>
            <w:spacing w:line="240" w:lineRule="auto" w:before="128" w:after="0"/>
            <w:ind w:left="2297" w:right="0" w:hanging="796"/>
            <w:jc w:val="left"/>
          </w:pPr>
          <w:r>
            <w:rPr/>
            <w:t>Nitrógeno</w:t>
          </w:r>
          <w:r>
            <w:rPr>
              <w:spacing w:val="-3"/>
            </w:rPr>
            <w:t> </w:t>
          </w:r>
          <w:r>
            <w:rPr/>
            <w:t>amoniacal</w:t>
          </w:r>
          <w:r>
            <w:rPr>
              <w:spacing w:val="-1"/>
            </w:rPr>
            <w:t> </w:t>
          </w:r>
          <w:r>
            <w:rPr/>
            <w:t>(N-NH</w:t>
          </w:r>
          <w:r>
            <w:rPr>
              <w:position w:val="-2"/>
              <w:sz w:val="14"/>
            </w:rPr>
            <w:t>3</w:t>
          </w:r>
          <w:r>
            <w:rPr/>
            <w:t>)</w:t>
          </w:r>
          <w:r>
            <w:rPr>
              <w:rFonts w:ascii="Times New Roman" w:hAnsi="Times New Roman"/>
            </w:rPr>
            <w:tab/>
          </w:r>
          <w:r>
            <w:rPr/>
            <w:t>107</w:t>
          </w:r>
        </w:p>
        <w:p>
          <w:pPr>
            <w:pStyle w:val="TOC4"/>
            <w:numPr>
              <w:ilvl w:val="3"/>
              <w:numId w:val="4"/>
            </w:numPr>
            <w:tabs>
              <w:tab w:pos="2298" w:val="left" w:leader="none"/>
              <w:tab w:pos="9604" w:val="right" w:leader="dot"/>
            </w:tabs>
            <w:spacing w:line="240" w:lineRule="auto" w:before="88" w:after="0"/>
            <w:ind w:left="2297" w:right="0" w:hanging="796"/>
            <w:jc w:val="left"/>
          </w:pPr>
          <w:hyperlink w:history="true" w:anchor="_TOC_250029">
            <w:r>
              <w:rPr/>
              <w:t>N –</w:t>
            </w:r>
            <w:r>
              <w:rPr>
                <w:spacing w:val="-3"/>
              </w:rPr>
              <w:t> </w:t>
            </w:r>
            <w:r>
              <w:rPr/>
              <w:t>Nitritos</w:t>
            </w:r>
            <w:r>
              <w:rPr>
                <w:spacing w:val="-2"/>
              </w:rPr>
              <w:t> </w:t>
            </w:r>
            <w:r>
              <w:rPr/>
              <w:t>(N-NO</w:t>
            </w:r>
            <w:r>
              <w:rPr>
                <w:position w:val="-2"/>
                <w:sz w:val="14"/>
              </w:rPr>
              <w:t>2</w:t>
            </w:r>
            <w:r>
              <w:rPr>
                <w:position w:val="10"/>
                <w:sz w:val="14"/>
              </w:rPr>
              <w:t>-</w:t>
            </w:r>
            <w:r>
              <w:rPr/>
              <w:t>)</w:t>
            </w:r>
            <w:r>
              <w:rPr>
                <w:rFonts w:ascii="Times New Roman" w:hAnsi="Times New Roman"/>
              </w:rPr>
              <w:tab/>
            </w:r>
            <w:r>
              <w:rPr/>
              <w:t>108</w:t>
            </w:r>
          </w:hyperlink>
        </w:p>
        <w:p>
          <w:pPr>
            <w:pStyle w:val="TOC4"/>
            <w:numPr>
              <w:ilvl w:val="3"/>
              <w:numId w:val="4"/>
            </w:numPr>
            <w:tabs>
              <w:tab w:pos="2298" w:val="left" w:leader="none"/>
              <w:tab w:pos="9604" w:val="right" w:leader="dot"/>
            </w:tabs>
            <w:spacing w:line="240" w:lineRule="auto" w:before="88" w:after="0"/>
            <w:ind w:left="2297" w:right="0" w:hanging="796"/>
            <w:jc w:val="left"/>
          </w:pPr>
          <w:hyperlink w:history="true" w:anchor="_TOC_250028">
            <w:r>
              <w:rPr/>
              <w:t>N –</w:t>
            </w:r>
            <w:r>
              <w:rPr>
                <w:spacing w:val="-3"/>
              </w:rPr>
              <w:t> </w:t>
            </w:r>
            <w:r>
              <w:rPr/>
              <w:t>Nitratos</w:t>
            </w:r>
            <w:r>
              <w:rPr>
                <w:spacing w:val="-2"/>
              </w:rPr>
              <w:t> </w:t>
            </w:r>
            <w:r>
              <w:rPr/>
              <w:t>(N-NO</w:t>
            </w:r>
            <w:r>
              <w:rPr>
                <w:position w:val="-2"/>
                <w:sz w:val="14"/>
              </w:rPr>
              <w:t>3</w:t>
            </w:r>
            <w:r>
              <w:rPr>
                <w:position w:val="10"/>
                <w:sz w:val="14"/>
              </w:rPr>
              <w:t>-</w:t>
            </w:r>
            <w:r>
              <w:rPr/>
              <w:t>)</w:t>
            </w:r>
            <w:r>
              <w:rPr>
                <w:rFonts w:ascii="Times New Roman" w:hAnsi="Times New Roman"/>
              </w:rPr>
              <w:tab/>
            </w:r>
            <w:r>
              <w:rPr/>
              <w:t>108</w:t>
            </w:r>
          </w:hyperlink>
        </w:p>
        <w:p>
          <w:pPr>
            <w:pStyle w:val="TOC4"/>
            <w:numPr>
              <w:ilvl w:val="3"/>
              <w:numId w:val="4"/>
            </w:numPr>
            <w:tabs>
              <w:tab w:pos="2298" w:val="left" w:leader="none"/>
              <w:tab w:pos="9605" w:val="right" w:leader="dot"/>
            </w:tabs>
            <w:spacing w:line="240" w:lineRule="auto" w:before="113" w:after="0"/>
            <w:ind w:left="2297" w:right="0" w:hanging="796"/>
            <w:jc w:val="left"/>
          </w:pPr>
          <w:hyperlink w:history="true" w:anchor="_TOC_250027">
            <w:r>
              <w:rPr/>
              <w:t>Demanda química de</w:t>
            </w:r>
            <w:r>
              <w:rPr>
                <w:spacing w:val="-3"/>
              </w:rPr>
              <w:t> </w:t>
            </w:r>
            <w:r>
              <w:rPr/>
              <w:t>oxígeno (DQO)</w:t>
            </w:r>
            <w:r>
              <w:rPr>
                <w:rFonts w:ascii="Times New Roman" w:hAnsi="Times New Roman"/>
              </w:rPr>
              <w:tab/>
            </w:r>
            <w:r>
              <w:rPr/>
              <w:t>110</w:t>
            </w:r>
          </w:hyperlink>
        </w:p>
        <w:p>
          <w:pPr>
            <w:pStyle w:val="TOC4"/>
            <w:numPr>
              <w:ilvl w:val="3"/>
              <w:numId w:val="4"/>
            </w:numPr>
            <w:tabs>
              <w:tab w:pos="2298" w:val="left" w:leader="none"/>
              <w:tab w:pos="9603" w:val="right" w:leader="dot"/>
            </w:tabs>
            <w:spacing w:line="240" w:lineRule="auto" w:before="126" w:after="0"/>
            <w:ind w:left="2297" w:right="0" w:hanging="796"/>
            <w:jc w:val="left"/>
          </w:pPr>
          <w:hyperlink w:history="true" w:anchor="_TOC_250026">
            <w:r>
              <w:rPr/>
              <w:t>Sólidos suspendidos</w:t>
            </w:r>
            <w:r>
              <w:rPr>
                <w:spacing w:val="1"/>
              </w:rPr>
              <w:t> </w:t>
            </w:r>
            <w:r>
              <w:rPr/>
              <w:t>totales</w:t>
            </w:r>
            <w:r>
              <w:rPr>
                <w:spacing w:val="-2"/>
              </w:rPr>
              <w:t> </w:t>
            </w:r>
            <w:r>
              <w:rPr/>
              <w:t>(SST)</w:t>
            </w:r>
            <w:r>
              <w:rPr>
                <w:rFonts w:ascii="Times New Roman" w:hAnsi="Times New Roman"/>
              </w:rPr>
              <w:tab/>
            </w:r>
            <w:r>
              <w:rPr/>
              <w:t>111</w:t>
            </w:r>
          </w:hyperlink>
        </w:p>
        <w:p>
          <w:pPr>
            <w:pStyle w:val="TOC4"/>
            <w:numPr>
              <w:ilvl w:val="3"/>
              <w:numId w:val="4"/>
            </w:numPr>
            <w:tabs>
              <w:tab w:pos="2298" w:val="left" w:leader="none"/>
              <w:tab w:pos="9602" w:val="right" w:leader="dot"/>
            </w:tabs>
            <w:spacing w:line="240" w:lineRule="auto" w:before="126" w:after="0"/>
            <w:ind w:left="2297" w:right="0" w:hanging="796"/>
            <w:jc w:val="left"/>
          </w:pPr>
          <w:hyperlink w:history="true" w:anchor="_TOC_250025">
            <w:r>
              <w:rPr/>
              <w:t>Alcalinidad</w:t>
            </w:r>
            <w:r>
              <w:rPr>
                <w:rFonts w:ascii="Times New Roman"/>
              </w:rPr>
              <w:tab/>
            </w:r>
            <w:r>
              <w:rPr/>
              <w:t>112</w:t>
            </w:r>
          </w:hyperlink>
        </w:p>
        <w:p>
          <w:pPr>
            <w:pStyle w:val="TOC4"/>
            <w:numPr>
              <w:ilvl w:val="3"/>
              <w:numId w:val="4"/>
            </w:numPr>
            <w:tabs>
              <w:tab w:pos="2298" w:val="left" w:leader="none"/>
              <w:tab w:pos="9605" w:val="right" w:leader="dot"/>
            </w:tabs>
            <w:spacing w:line="240" w:lineRule="auto" w:before="126" w:after="0"/>
            <w:ind w:left="2297" w:right="0" w:hanging="796"/>
            <w:jc w:val="left"/>
          </w:pPr>
          <w:hyperlink w:history="true" w:anchor="_TOC_250024">
            <w:r>
              <w:rPr/>
              <w:t>Generación de residuos en</w:t>
            </w:r>
            <w:r>
              <w:rPr>
                <w:spacing w:val="-1"/>
              </w:rPr>
              <w:t> </w:t>
            </w:r>
            <w:r>
              <w:rPr/>
              <w:t>el</w:t>
            </w:r>
            <w:r>
              <w:rPr>
                <w:spacing w:val="-1"/>
              </w:rPr>
              <w:t> </w:t>
            </w:r>
            <w:r>
              <w:rPr/>
              <w:t>estanque</w:t>
            </w:r>
            <w:r>
              <w:rPr>
                <w:rFonts w:ascii="Times New Roman" w:hAnsi="Times New Roman"/>
              </w:rPr>
              <w:tab/>
            </w:r>
            <w:r>
              <w:rPr/>
              <w:t>113</w:t>
            </w:r>
          </w:hyperlink>
        </w:p>
        <w:p>
          <w:pPr>
            <w:pStyle w:val="TOC2"/>
            <w:numPr>
              <w:ilvl w:val="1"/>
              <w:numId w:val="4"/>
            </w:numPr>
            <w:tabs>
              <w:tab w:pos="1451" w:val="left" w:leader="none"/>
              <w:tab w:pos="9602" w:val="right" w:leader="dot"/>
            </w:tabs>
            <w:spacing w:line="240" w:lineRule="auto" w:before="126" w:after="0"/>
            <w:ind w:left="1450" w:right="0" w:hanging="429"/>
            <w:jc w:val="left"/>
          </w:pPr>
          <w:hyperlink w:history="true" w:anchor="_TOC_250023">
            <w:r>
              <w:rPr/>
              <w:t>Modelación matemática</w:t>
            </w:r>
            <w:r>
              <w:rPr>
                <w:rFonts w:ascii="Times New Roman" w:hAnsi="Times New Roman"/>
              </w:rPr>
              <w:tab/>
            </w:r>
            <w:r>
              <w:rPr/>
              <w:t>114</w:t>
            </w:r>
          </w:hyperlink>
        </w:p>
        <w:p>
          <w:pPr>
            <w:pStyle w:val="TOC3"/>
            <w:numPr>
              <w:ilvl w:val="2"/>
              <w:numId w:val="4"/>
            </w:numPr>
            <w:tabs>
              <w:tab w:pos="1876" w:val="left" w:leader="none"/>
              <w:tab w:pos="9602" w:val="right" w:leader="dot"/>
            </w:tabs>
            <w:spacing w:line="240" w:lineRule="auto" w:before="126" w:after="0"/>
            <w:ind w:left="1875" w:right="0" w:hanging="614"/>
            <w:jc w:val="left"/>
          </w:pPr>
          <w:hyperlink w:history="true" w:anchor="_TOC_250022">
            <w:r>
              <w:rPr/>
              <w:t>Biofiltros</w:t>
            </w:r>
            <w:r>
              <w:rPr>
                <w:rFonts w:ascii="Times New Roman"/>
              </w:rPr>
              <w:tab/>
            </w:r>
            <w:r>
              <w:rPr/>
              <w:t>115</w:t>
            </w:r>
          </w:hyperlink>
        </w:p>
        <w:p>
          <w:pPr>
            <w:pStyle w:val="TOC3"/>
            <w:numPr>
              <w:ilvl w:val="2"/>
              <w:numId w:val="4"/>
            </w:numPr>
            <w:tabs>
              <w:tab w:pos="1876" w:val="left" w:leader="none"/>
              <w:tab w:pos="9605" w:val="right" w:leader="dot"/>
            </w:tabs>
            <w:spacing w:line="240" w:lineRule="auto" w:before="128" w:after="0"/>
            <w:ind w:left="1875" w:right="0" w:hanging="614"/>
            <w:jc w:val="left"/>
          </w:pPr>
          <w:hyperlink w:history="true" w:anchor="_TOC_250021">
            <w:r>
              <w:rPr/>
              <w:t>Consumo de oxígeno disuelto por los</w:t>
            </w:r>
            <w:r>
              <w:rPr>
                <w:spacing w:val="-2"/>
              </w:rPr>
              <w:t> </w:t>
            </w:r>
            <w:r>
              <w:rPr/>
              <w:t>peces</w:t>
            </w:r>
            <w:r>
              <w:rPr>
                <w:rFonts w:ascii="Times New Roman" w:hAnsi="Times New Roman"/>
              </w:rPr>
              <w:tab/>
            </w:r>
            <w:r>
              <w:rPr/>
              <w:t>121</w:t>
            </w:r>
          </w:hyperlink>
        </w:p>
        <w:p>
          <w:pPr>
            <w:pStyle w:val="TOC3"/>
            <w:numPr>
              <w:ilvl w:val="2"/>
              <w:numId w:val="4"/>
            </w:numPr>
            <w:tabs>
              <w:tab w:pos="1876" w:val="left" w:leader="none"/>
              <w:tab w:pos="9605" w:val="right" w:leader="dot"/>
            </w:tabs>
            <w:spacing w:line="240" w:lineRule="auto" w:before="126" w:after="0"/>
            <w:ind w:left="1875" w:right="0" w:hanging="614"/>
            <w:jc w:val="left"/>
          </w:pPr>
          <w:hyperlink w:history="true" w:anchor="_TOC_250020">
            <w:r>
              <w:rPr/>
              <w:t>Modelación de la producción</w:t>
            </w:r>
            <w:r>
              <w:rPr>
                <w:spacing w:val="-1"/>
              </w:rPr>
              <w:t> </w:t>
            </w:r>
            <w:r>
              <w:rPr/>
              <w:t>de</w:t>
            </w:r>
            <w:r>
              <w:rPr>
                <w:spacing w:val="-3"/>
              </w:rPr>
              <w:t> </w:t>
            </w:r>
            <w:r>
              <w:rPr/>
              <w:t>contaminantes</w:t>
            </w:r>
            <w:r>
              <w:rPr>
                <w:rFonts w:ascii="Times New Roman" w:hAnsi="Times New Roman"/>
              </w:rPr>
              <w:tab/>
            </w:r>
            <w:r>
              <w:rPr/>
              <w:t>127</w:t>
            </w:r>
          </w:hyperlink>
        </w:p>
        <w:p>
          <w:pPr>
            <w:pStyle w:val="TOC4"/>
            <w:numPr>
              <w:ilvl w:val="3"/>
              <w:numId w:val="4"/>
            </w:numPr>
            <w:tabs>
              <w:tab w:pos="2298" w:val="left" w:leader="none"/>
              <w:tab w:pos="9605" w:val="right" w:leader="dot"/>
            </w:tabs>
            <w:spacing w:line="240" w:lineRule="auto" w:before="126" w:after="0"/>
            <w:ind w:left="2297" w:right="0" w:hanging="796"/>
            <w:jc w:val="left"/>
          </w:pPr>
          <w:hyperlink w:history="true" w:anchor="_TOC_250019">
            <w:r>
              <w:rPr/>
              <w:t>Nitrógeno</w:t>
            </w:r>
            <w:r>
              <w:rPr>
                <w:spacing w:val="-3"/>
              </w:rPr>
              <w:t> </w:t>
            </w:r>
            <w:r>
              <w:rPr/>
              <w:t>amoniacal</w:t>
            </w:r>
            <w:r>
              <w:rPr>
                <w:spacing w:val="-1"/>
              </w:rPr>
              <w:t> </w:t>
            </w:r>
            <w:r>
              <w:rPr/>
              <w:t>(N-NH</w:t>
            </w:r>
            <w:r>
              <w:rPr>
                <w:position w:val="-2"/>
                <w:sz w:val="14"/>
              </w:rPr>
              <w:t>3</w:t>
            </w:r>
            <w:r>
              <w:rPr/>
              <w:t>)</w:t>
            </w:r>
            <w:r>
              <w:rPr>
                <w:rFonts w:ascii="Times New Roman" w:hAnsi="Times New Roman"/>
              </w:rPr>
              <w:tab/>
            </w:r>
            <w:r>
              <w:rPr/>
              <w:t>127</w:t>
            </w:r>
          </w:hyperlink>
        </w:p>
        <w:p>
          <w:pPr>
            <w:pStyle w:val="TOC4"/>
            <w:numPr>
              <w:ilvl w:val="3"/>
              <w:numId w:val="4"/>
            </w:numPr>
            <w:tabs>
              <w:tab w:pos="2298" w:val="left" w:leader="none"/>
              <w:tab w:pos="9603" w:val="right" w:leader="dot"/>
            </w:tabs>
            <w:spacing w:line="240" w:lineRule="auto" w:before="113" w:after="0"/>
            <w:ind w:left="2297" w:right="0" w:hanging="796"/>
            <w:jc w:val="left"/>
          </w:pPr>
          <w:hyperlink w:history="true" w:anchor="_TOC_250018">
            <w:r>
              <w:rPr/>
              <w:t>Sólidos suspendidos</w:t>
            </w:r>
            <w:r>
              <w:rPr>
                <w:spacing w:val="1"/>
              </w:rPr>
              <w:t> </w:t>
            </w:r>
            <w:r>
              <w:rPr/>
              <w:t>totales</w:t>
            </w:r>
            <w:r>
              <w:rPr>
                <w:spacing w:val="-2"/>
              </w:rPr>
              <w:t> </w:t>
            </w:r>
            <w:r>
              <w:rPr/>
              <w:t>(SST)</w:t>
            </w:r>
            <w:r>
              <w:rPr>
                <w:rFonts w:ascii="Times New Roman" w:hAnsi="Times New Roman"/>
              </w:rPr>
              <w:tab/>
            </w:r>
            <w:r>
              <w:rPr/>
              <w:t>129</w:t>
            </w:r>
          </w:hyperlink>
        </w:p>
        <w:p>
          <w:pPr>
            <w:pStyle w:val="TOC4"/>
            <w:numPr>
              <w:ilvl w:val="3"/>
              <w:numId w:val="4"/>
            </w:numPr>
            <w:tabs>
              <w:tab w:pos="2298" w:val="left" w:leader="none"/>
              <w:tab w:pos="9604" w:val="right" w:leader="dot"/>
            </w:tabs>
            <w:spacing w:line="240" w:lineRule="auto" w:before="101" w:after="0"/>
            <w:ind w:left="2297" w:right="0" w:hanging="796"/>
            <w:jc w:val="left"/>
          </w:pPr>
          <w:r>
            <w:rPr/>
            <w:t>Nitratos</w:t>
          </w:r>
          <w:r>
            <w:rPr>
              <w:spacing w:val="-2"/>
            </w:rPr>
            <w:t> </w:t>
          </w:r>
          <w:r>
            <w:rPr/>
            <w:t>(N-NO</w:t>
          </w:r>
          <w:r>
            <w:rPr>
              <w:position w:val="-2"/>
              <w:sz w:val="14"/>
            </w:rPr>
            <w:t>3</w:t>
          </w:r>
          <w:r>
            <w:rPr>
              <w:position w:val="10"/>
              <w:sz w:val="14"/>
            </w:rPr>
            <w:t>-</w:t>
          </w:r>
          <w:r>
            <w:rPr/>
            <w:t>)</w:t>
          </w:r>
          <w:r>
            <w:rPr>
              <w:rFonts w:ascii="Times New Roman"/>
            </w:rPr>
            <w:tab/>
          </w:r>
          <w:r>
            <w:rPr/>
            <w:t>130</w:t>
          </w:r>
        </w:p>
        <w:p>
          <w:pPr>
            <w:pStyle w:val="TOC4"/>
            <w:numPr>
              <w:ilvl w:val="3"/>
              <w:numId w:val="4"/>
            </w:numPr>
            <w:tabs>
              <w:tab w:pos="2298" w:val="left" w:leader="none"/>
              <w:tab w:pos="9605" w:val="right" w:leader="dot"/>
            </w:tabs>
            <w:spacing w:line="240" w:lineRule="auto" w:before="113" w:after="0"/>
            <w:ind w:left="2297" w:right="0" w:hanging="796"/>
            <w:jc w:val="left"/>
          </w:pPr>
          <w:hyperlink w:history="true" w:anchor="_TOC_250017">
            <w:r>
              <w:rPr/>
              <w:t>Demanda química de</w:t>
            </w:r>
            <w:r>
              <w:rPr>
                <w:spacing w:val="-3"/>
              </w:rPr>
              <w:t> </w:t>
            </w:r>
            <w:r>
              <w:rPr/>
              <w:t>oxígeno (DQO)</w:t>
            </w:r>
            <w:r>
              <w:rPr>
                <w:rFonts w:ascii="Times New Roman" w:hAnsi="Times New Roman"/>
              </w:rPr>
              <w:tab/>
            </w:r>
            <w:r>
              <w:rPr/>
              <w:t>132</w:t>
            </w:r>
          </w:hyperlink>
        </w:p>
        <w:p>
          <w:pPr>
            <w:pStyle w:val="TOC2"/>
            <w:tabs>
              <w:tab w:pos="9603" w:val="right" w:leader="dot"/>
            </w:tabs>
            <w:ind w:left="1021" w:firstLine="0"/>
          </w:pPr>
          <w:hyperlink w:history="true" w:anchor="_TOC_250016">
            <w:r>
              <w:rPr/>
              <w:t>5.8 Sistema de monitoreo y control</w:t>
            </w:r>
            <w:r>
              <w:rPr>
                <w:spacing w:val="-6"/>
              </w:rPr>
              <w:t> </w:t>
            </w:r>
            <w:r>
              <w:rPr/>
              <w:t>del</w:t>
            </w:r>
            <w:r>
              <w:rPr>
                <w:spacing w:val="-1"/>
              </w:rPr>
              <w:t> </w:t>
            </w:r>
            <w:r>
              <w:rPr/>
              <w:t>SRA</w:t>
            </w:r>
            <w:r>
              <w:rPr>
                <w:rFonts w:ascii="Times New Roman"/>
              </w:rPr>
              <w:tab/>
            </w:r>
            <w:r>
              <w:rPr/>
              <w:t>133</w:t>
            </w:r>
          </w:hyperlink>
        </w:p>
        <w:p>
          <w:pPr>
            <w:pStyle w:val="TOC1"/>
            <w:tabs>
              <w:tab w:pos="9604" w:val="right" w:leader="dot"/>
            </w:tabs>
          </w:pPr>
          <w:hyperlink w:history="true" w:anchor="_TOC_250015">
            <w:r>
              <w:rPr/>
              <w:t>Capítulo 6. Conclusiones</w:t>
            </w:r>
            <w:r>
              <w:rPr>
                <w:spacing w:val="1"/>
              </w:rPr>
              <w:t> </w:t>
            </w:r>
            <w:r>
              <w:rPr/>
              <w:t>y</w:t>
            </w:r>
            <w:r>
              <w:rPr>
                <w:spacing w:val="-2"/>
              </w:rPr>
              <w:t> </w:t>
            </w:r>
            <w:r>
              <w:rPr/>
              <w:t>recomendaciones</w:t>
            </w:r>
            <w:r>
              <w:rPr>
                <w:rFonts w:ascii="Times New Roman" w:hAnsi="Times New Roman"/>
              </w:rPr>
              <w:tab/>
            </w:r>
            <w:r>
              <w:rPr/>
              <w:t>140</w:t>
            </w:r>
          </w:hyperlink>
        </w:p>
        <w:p>
          <w:pPr>
            <w:pStyle w:val="TOC2"/>
            <w:numPr>
              <w:ilvl w:val="1"/>
              <w:numId w:val="5"/>
            </w:numPr>
            <w:tabs>
              <w:tab w:pos="1451" w:val="left" w:leader="none"/>
              <w:tab w:pos="9602" w:val="right" w:leader="dot"/>
            </w:tabs>
            <w:spacing w:line="240" w:lineRule="auto" w:before="126" w:after="0"/>
            <w:ind w:left="1450" w:right="0" w:hanging="429"/>
            <w:jc w:val="left"/>
          </w:pPr>
          <w:hyperlink w:history="true" w:anchor="_TOC_250014">
            <w:r>
              <w:rPr/>
              <w:t>Conclusiones</w:t>
            </w:r>
            <w:r>
              <w:rPr>
                <w:rFonts w:ascii="Times New Roman"/>
              </w:rPr>
              <w:tab/>
            </w:r>
            <w:r>
              <w:rPr/>
              <w:t>141</w:t>
            </w:r>
          </w:hyperlink>
        </w:p>
        <w:p>
          <w:pPr>
            <w:pStyle w:val="TOC3"/>
            <w:numPr>
              <w:ilvl w:val="2"/>
              <w:numId w:val="5"/>
            </w:numPr>
            <w:tabs>
              <w:tab w:pos="1876" w:val="left" w:leader="none"/>
              <w:tab w:pos="9602" w:val="right" w:leader="dot"/>
            </w:tabs>
            <w:spacing w:line="240" w:lineRule="auto" w:before="128" w:after="0"/>
            <w:ind w:left="1875" w:right="0" w:hanging="614"/>
            <w:jc w:val="left"/>
          </w:pPr>
          <w:hyperlink w:history="true" w:anchor="_TOC_250013">
            <w:r>
              <w:rPr/>
              <w:t>Cosecha de</w:t>
            </w:r>
            <w:r>
              <w:rPr>
                <w:spacing w:val="-2"/>
              </w:rPr>
              <w:t> </w:t>
            </w:r>
            <w:r>
              <w:rPr/>
              <w:t>Agua</w:t>
            </w:r>
            <w:r>
              <w:rPr>
                <w:spacing w:val="-5"/>
              </w:rPr>
              <w:t> </w:t>
            </w:r>
            <w:r>
              <w:rPr/>
              <w:t>Pluvial</w:t>
            </w:r>
            <w:r>
              <w:rPr>
                <w:rFonts w:ascii="Times New Roman"/>
              </w:rPr>
              <w:tab/>
            </w:r>
            <w:r>
              <w:rPr/>
              <w:t>141</w:t>
            </w:r>
          </w:hyperlink>
        </w:p>
        <w:p>
          <w:pPr>
            <w:pStyle w:val="TOC3"/>
            <w:numPr>
              <w:ilvl w:val="2"/>
              <w:numId w:val="5"/>
            </w:numPr>
            <w:tabs>
              <w:tab w:pos="1876" w:val="left" w:leader="none"/>
              <w:tab w:pos="9602" w:val="right" w:leader="dot"/>
            </w:tabs>
            <w:spacing w:line="240" w:lineRule="auto" w:before="126" w:after="0"/>
            <w:ind w:left="1875" w:right="0" w:hanging="614"/>
            <w:jc w:val="left"/>
          </w:pPr>
          <w:hyperlink w:history="true" w:anchor="_TOC_250012">
            <w:r>
              <w:rPr/>
              <w:t>Diseño del</w:t>
            </w:r>
            <w:r>
              <w:rPr>
                <w:spacing w:val="-4"/>
              </w:rPr>
              <w:t> </w:t>
            </w:r>
            <w:r>
              <w:rPr/>
              <w:t>SRA</w:t>
            </w:r>
            <w:r>
              <w:rPr>
                <w:rFonts w:ascii="Times New Roman" w:hAnsi="Times New Roman"/>
              </w:rPr>
              <w:tab/>
            </w:r>
            <w:r>
              <w:rPr/>
              <w:t>141</w:t>
            </w:r>
          </w:hyperlink>
        </w:p>
        <w:p>
          <w:pPr>
            <w:pStyle w:val="TOC3"/>
            <w:numPr>
              <w:ilvl w:val="2"/>
              <w:numId w:val="5"/>
            </w:numPr>
            <w:tabs>
              <w:tab w:pos="1876" w:val="left" w:leader="none"/>
              <w:tab w:pos="9602" w:val="right" w:leader="dot"/>
            </w:tabs>
            <w:spacing w:line="240" w:lineRule="auto" w:before="175" w:after="0"/>
            <w:ind w:left="1875" w:right="0" w:hanging="614"/>
            <w:jc w:val="left"/>
          </w:pPr>
          <w:hyperlink w:history="true" w:anchor="_TOC_250011">
            <w:r>
              <w:rPr/>
              <w:t>Maduración del</w:t>
            </w:r>
            <w:r>
              <w:rPr>
                <w:spacing w:val="-1"/>
              </w:rPr>
              <w:t> </w:t>
            </w:r>
            <w:r>
              <w:rPr/>
              <w:t>Sistema</w:t>
            </w:r>
            <w:r>
              <w:rPr>
                <w:rFonts w:ascii="Times New Roman" w:hAnsi="Times New Roman"/>
              </w:rPr>
              <w:tab/>
            </w:r>
            <w:r>
              <w:rPr/>
              <w:t>141</w:t>
            </w:r>
          </w:hyperlink>
        </w:p>
        <w:p>
          <w:pPr>
            <w:pStyle w:val="TOC3"/>
            <w:numPr>
              <w:ilvl w:val="2"/>
              <w:numId w:val="5"/>
            </w:numPr>
            <w:tabs>
              <w:tab w:pos="1876" w:val="left" w:leader="none"/>
              <w:tab w:pos="9604" w:val="right" w:leader="dot"/>
            </w:tabs>
            <w:spacing w:line="240" w:lineRule="auto" w:before="126" w:after="0"/>
            <w:ind w:left="1875" w:right="0" w:hanging="614"/>
            <w:jc w:val="left"/>
          </w:pPr>
          <w:hyperlink w:history="true" w:anchor="_TOC_250010">
            <w:r>
              <w:rPr/>
              <w:t>Desarrollo de los organismos</w:t>
            </w:r>
            <w:r>
              <w:rPr>
                <w:spacing w:val="-2"/>
              </w:rPr>
              <w:t> </w:t>
            </w:r>
            <w:r>
              <w:rPr/>
              <w:t>acuáticos</w:t>
            </w:r>
            <w:r>
              <w:rPr>
                <w:rFonts w:ascii="Times New Roman" w:hAnsi="Times New Roman"/>
              </w:rPr>
              <w:tab/>
            </w:r>
            <w:r>
              <w:rPr/>
              <w:t>141</w:t>
            </w:r>
          </w:hyperlink>
        </w:p>
        <w:p>
          <w:pPr>
            <w:pStyle w:val="TOC3"/>
            <w:numPr>
              <w:ilvl w:val="2"/>
              <w:numId w:val="5"/>
            </w:numPr>
            <w:tabs>
              <w:tab w:pos="1876" w:val="left" w:leader="none"/>
              <w:tab w:pos="9605" w:val="right" w:leader="dot"/>
            </w:tabs>
            <w:spacing w:line="240" w:lineRule="auto" w:before="126" w:after="0"/>
            <w:ind w:left="1875" w:right="0" w:hanging="614"/>
            <w:jc w:val="left"/>
          </w:pPr>
          <w:hyperlink w:history="true" w:anchor="_TOC_250009">
            <w:r>
              <w:rPr/>
              <w:t>Desempeño del tren de tratamiento</w:t>
            </w:r>
            <w:r>
              <w:rPr>
                <w:spacing w:val="-4"/>
              </w:rPr>
              <w:t> </w:t>
            </w:r>
            <w:r>
              <w:rPr/>
              <w:t>del</w:t>
            </w:r>
            <w:r>
              <w:rPr>
                <w:spacing w:val="-1"/>
              </w:rPr>
              <w:t> </w:t>
            </w:r>
            <w:r>
              <w:rPr/>
              <w:t>SRA</w:t>
            </w:r>
            <w:r>
              <w:rPr>
                <w:rFonts w:ascii="Times New Roman" w:hAnsi="Times New Roman"/>
              </w:rPr>
              <w:tab/>
            </w:r>
            <w:r>
              <w:rPr/>
              <w:t>142</w:t>
            </w:r>
          </w:hyperlink>
        </w:p>
        <w:p>
          <w:pPr>
            <w:pStyle w:val="TOC3"/>
            <w:numPr>
              <w:ilvl w:val="2"/>
              <w:numId w:val="5"/>
            </w:numPr>
            <w:tabs>
              <w:tab w:pos="1876" w:val="left" w:leader="none"/>
              <w:tab w:pos="9606" w:val="right" w:leader="dot"/>
            </w:tabs>
            <w:spacing w:line="240" w:lineRule="auto" w:before="126" w:after="0"/>
            <w:ind w:left="1875" w:right="0" w:hanging="614"/>
            <w:jc w:val="left"/>
          </w:pPr>
          <w:r>
            <w:rPr/>
            <w:t>Modelación de los principales precesos</w:t>
          </w:r>
          <w:r>
            <w:rPr>
              <w:spacing w:val="-2"/>
            </w:rPr>
            <w:t> </w:t>
          </w:r>
          <w:r>
            <w:rPr/>
            <w:t>del</w:t>
          </w:r>
          <w:r>
            <w:rPr>
              <w:spacing w:val="-4"/>
            </w:rPr>
            <w:t> </w:t>
          </w:r>
          <w:r>
            <w:rPr/>
            <w:t>SRA</w:t>
          </w:r>
          <w:r>
            <w:rPr>
              <w:rFonts w:ascii="Times New Roman" w:hAnsi="Times New Roman"/>
            </w:rPr>
            <w:tab/>
          </w:r>
          <w:r>
            <w:rPr/>
            <w:t>142</w:t>
          </w:r>
        </w:p>
        <w:p>
          <w:pPr>
            <w:pStyle w:val="TOC2"/>
            <w:numPr>
              <w:ilvl w:val="1"/>
              <w:numId w:val="5"/>
            </w:numPr>
            <w:tabs>
              <w:tab w:pos="1451" w:val="left" w:leader="none"/>
              <w:tab w:pos="9602" w:val="right" w:leader="dot"/>
            </w:tabs>
            <w:spacing w:line="240" w:lineRule="auto" w:before="126" w:after="0"/>
            <w:ind w:left="1450" w:right="0" w:hanging="429"/>
            <w:jc w:val="left"/>
          </w:pPr>
          <w:hyperlink w:history="true" w:anchor="_TOC_250008">
            <w:r>
              <w:rPr/>
              <w:t>Recomendaciones</w:t>
            </w:r>
            <w:r>
              <w:rPr>
                <w:rFonts w:ascii="Times New Roman"/>
              </w:rPr>
              <w:tab/>
            </w:r>
            <w:r>
              <w:rPr/>
              <w:t>145</w:t>
            </w:r>
          </w:hyperlink>
        </w:p>
        <w:p>
          <w:pPr>
            <w:pStyle w:val="TOC1"/>
            <w:tabs>
              <w:tab w:pos="9601" w:val="right" w:leader="dot"/>
            </w:tabs>
            <w:spacing w:before="128"/>
          </w:pPr>
          <w:hyperlink w:history="true" w:anchor="_TOC_250007">
            <w:r>
              <w:rPr/>
              <w:t>Literatura citada</w:t>
            </w:r>
            <w:r>
              <w:rPr>
                <w:rFonts w:ascii="Times New Roman"/>
              </w:rPr>
              <w:tab/>
            </w:r>
            <w:r>
              <w:rPr/>
              <w:t>147</w:t>
            </w:r>
          </w:hyperlink>
        </w:p>
        <w:p>
          <w:pPr>
            <w:pStyle w:val="TOC1"/>
            <w:tabs>
              <w:tab w:pos="9601" w:val="right" w:leader="dot"/>
            </w:tabs>
          </w:pPr>
          <w:r>
            <w:rPr/>
            <w:t>Anexos</w:t>
          </w:r>
          <w:r>
            <w:rPr>
              <w:rFonts w:ascii="Times New Roman"/>
            </w:rPr>
            <w:tab/>
          </w:r>
          <w:r>
            <w:rPr/>
            <w:t>156</w:t>
          </w:r>
        </w:p>
        <w:p>
          <w:pPr>
            <w:pStyle w:val="TOC2"/>
            <w:tabs>
              <w:tab w:pos="9605" w:val="right" w:leader="dot"/>
            </w:tabs>
            <w:ind w:left="1021" w:firstLine="0"/>
          </w:pPr>
          <w:hyperlink w:history="true" w:anchor="_TOC_250006">
            <w:r>
              <w:rPr/>
              <w:t>Anexo 1. Determinación de sales agregadas para adecuar el agua</w:t>
            </w:r>
            <w:r>
              <w:rPr>
                <w:spacing w:val="-14"/>
              </w:rPr>
              <w:t> </w:t>
            </w:r>
            <w:r>
              <w:rPr/>
              <w:t>de</w:t>
            </w:r>
            <w:r>
              <w:rPr>
                <w:spacing w:val="-1"/>
              </w:rPr>
              <w:t> </w:t>
            </w:r>
            <w:r>
              <w:rPr/>
              <w:t>lluvia</w:t>
            </w:r>
            <w:r>
              <w:rPr>
                <w:rFonts w:ascii="Times New Roman" w:hAnsi="Times New Roman"/>
              </w:rPr>
              <w:tab/>
            </w:r>
            <w:r>
              <w:rPr/>
              <w:t>157</w:t>
            </w:r>
          </w:hyperlink>
        </w:p>
        <w:p>
          <w:pPr>
            <w:pStyle w:val="TOC2"/>
            <w:tabs>
              <w:tab w:pos="9603" w:val="right" w:leader="dot"/>
            </w:tabs>
            <w:spacing w:line="360" w:lineRule="auto"/>
            <w:ind w:left="1261" w:right="514" w:hanging="241"/>
          </w:pPr>
          <w:r>
            <w:rPr/>
            <w:t>Anexo 2. Promedio, desviación estándar, coeficiente de variación e intervalos de confianza de los</w:t>
          </w:r>
          <w:r>
            <w:rPr>
              <w:spacing w:val="2"/>
            </w:rPr>
            <w:t> </w:t>
          </w:r>
          <w:r>
            <w:rPr/>
            <w:t>parámetros</w:t>
          </w:r>
          <w:r>
            <w:rPr>
              <w:spacing w:val="-2"/>
            </w:rPr>
            <w:t> </w:t>
          </w:r>
          <w:r>
            <w:rPr/>
            <w:t>estudiados</w:t>
          </w:r>
          <w:r>
            <w:rPr>
              <w:rFonts w:ascii="Times New Roman" w:hAnsi="Times New Roman"/>
            </w:rPr>
            <w:tab/>
          </w:r>
          <w:r>
            <w:rPr/>
            <w:t>158</w:t>
          </w:r>
        </w:p>
        <w:p>
          <w:pPr>
            <w:pStyle w:val="TOC2"/>
            <w:tabs>
              <w:tab w:pos="9607" w:val="right" w:leader="dot"/>
            </w:tabs>
            <w:spacing w:before="3"/>
            <w:ind w:left="1021" w:firstLine="0"/>
          </w:pPr>
          <w:hyperlink w:history="true" w:anchor="_TOC_250005">
            <w:r>
              <w:rPr/>
              <w:t>Anexo 3. Datos utilizados para determinar los</w:t>
            </w:r>
            <w:r>
              <w:rPr>
                <w:spacing w:val="-5"/>
              </w:rPr>
              <w:t> </w:t>
            </w:r>
            <w:r>
              <w:rPr/>
              <w:t>parámetros</w:t>
            </w:r>
            <w:r>
              <w:rPr>
                <w:spacing w:val="-3"/>
              </w:rPr>
              <w:t> </w:t>
            </w:r>
            <w:r>
              <w:rPr/>
              <w:t>fisicoquímicos</w:t>
            </w:r>
            <w:r>
              <w:rPr>
                <w:rFonts w:ascii="Times New Roman" w:hAnsi="Times New Roman"/>
              </w:rPr>
              <w:tab/>
            </w:r>
            <w:r>
              <w:rPr/>
              <w:t>160</w:t>
            </w:r>
          </w:hyperlink>
        </w:p>
        <w:p>
          <w:pPr>
            <w:pStyle w:val="TOC2"/>
            <w:tabs>
              <w:tab w:pos="9603" w:val="right" w:leader="dot"/>
            </w:tabs>
            <w:ind w:left="1021" w:firstLine="0"/>
          </w:pPr>
          <w:hyperlink w:history="true" w:anchor="_TOC_250004">
            <w:r>
              <w:rPr/>
              <w:t>Anexo 4.</w:t>
            </w:r>
            <w:r>
              <w:rPr>
                <w:spacing w:val="2"/>
              </w:rPr>
              <w:t> </w:t>
            </w:r>
            <w:r>
              <w:rPr/>
              <w:t>Parámetros biométricos</w:t>
            </w:r>
            <w:r>
              <w:rPr>
                <w:rFonts w:ascii="Times New Roman" w:hAnsi="Times New Roman"/>
              </w:rPr>
              <w:tab/>
            </w:r>
            <w:r>
              <w:rPr/>
              <w:t>179</w:t>
            </w:r>
          </w:hyperlink>
        </w:p>
        <w:p>
          <w:pPr>
            <w:pStyle w:val="TOC2"/>
            <w:tabs>
              <w:tab w:pos="9605" w:val="right" w:leader="dot"/>
            </w:tabs>
            <w:ind w:left="1021" w:firstLine="0"/>
          </w:pPr>
          <w:hyperlink w:history="true" w:anchor="_TOC_250003">
            <w:r>
              <w:rPr/>
              <w:t>Anexo 5. Resultados de la prueba Plakett – Burman para el consumo</w:t>
            </w:r>
            <w:r>
              <w:rPr>
                <w:spacing w:val="-19"/>
              </w:rPr>
              <w:t> </w:t>
            </w:r>
            <w:r>
              <w:rPr/>
              <w:t>de</w:t>
            </w:r>
            <w:r>
              <w:rPr>
                <w:spacing w:val="-4"/>
              </w:rPr>
              <w:t> </w:t>
            </w:r>
            <w:r>
              <w:rPr/>
              <w:t>oxígeno</w:t>
            </w:r>
            <w:r>
              <w:rPr>
                <w:rFonts w:ascii="Times New Roman" w:hAnsi="Times New Roman"/>
              </w:rPr>
              <w:tab/>
            </w:r>
            <w:r>
              <w:rPr/>
              <w:t>183</w:t>
            </w:r>
          </w:hyperlink>
        </w:p>
        <w:p>
          <w:pPr>
            <w:pStyle w:val="TOC2"/>
            <w:tabs>
              <w:tab w:pos="9603" w:val="right" w:leader="dot"/>
            </w:tabs>
            <w:ind w:left="1021" w:firstLine="0"/>
          </w:pPr>
          <w:hyperlink w:history="true" w:anchor="_TOC_250002">
            <w:r>
              <w:rPr/>
              <w:t>Anexo 6. Tarjetas de valoración</w:t>
            </w:r>
            <w:r>
              <w:rPr>
                <w:spacing w:val="-2"/>
              </w:rPr>
              <w:t> </w:t>
            </w:r>
            <w:r>
              <w:rPr/>
              <w:t>(García,</w:t>
            </w:r>
            <w:r>
              <w:rPr>
                <w:spacing w:val="1"/>
              </w:rPr>
              <w:t> </w:t>
            </w:r>
            <w:r>
              <w:rPr/>
              <w:t>2008)</w:t>
            </w:r>
            <w:r>
              <w:rPr>
                <w:rFonts w:ascii="Times New Roman" w:hAnsi="Times New Roman"/>
              </w:rPr>
              <w:tab/>
            </w:r>
            <w:r>
              <w:rPr/>
              <w:t>184</w:t>
            </w:r>
          </w:hyperlink>
        </w:p>
        <w:p>
          <w:pPr>
            <w:pStyle w:val="TOC2"/>
            <w:tabs>
              <w:tab w:pos="9602" w:val="right" w:leader="dot"/>
            </w:tabs>
            <w:spacing w:line="360" w:lineRule="auto" w:before="128"/>
            <w:ind w:left="1261" w:right="515" w:hanging="241"/>
          </w:pPr>
          <w:hyperlink w:history="true" w:anchor="_TOC_250001">
            <w:r>
              <w:rPr/>
              <w:t>Anexo 7. Memoria de cálculo de estimadores estadísticos con base en la teoría de muestreo estratificado</w:t>
            </w:r>
            <w:r>
              <w:rPr>
                <w:rFonts w:ascii="Times New Roman" w:hAnsi="Times New Roman"/>
              </w:rPr>
              <w:tab/>
            </w:r>
            <w:r>
              <w:rPr/>
              <w:t>192</w:t>
            </w:r>
          </w:hyperlink>
        </w:p>
        <w:p>
          <w:pPr>
            <w:pStyle w:val="TOC2"/>
            <w:tabs>
              <w:tab w:pos="9606" w:val="right" w:leader="dot"/>
            </w:tabs>
            <w:spacing w:before="3"/>
            <w:ind w:left="1021" w:firstLine="0"/>
          </w:pPr>
          <w:hyperlink w:history="true" w:anchor="_TOC_250000">
            <w:r>
              <w:rPr/>
              <w:t>Anexo 8. Metodología para el análisis de</w:t>
            </w:r>
            <w:r>
              <w:rPr>
                <w:spacing w:val="-1"/>
              </w:rPr>
              <w:t> </w:t>
            </w:r>
            <w:r>
              <w:rPr/>
              <w:t>parámetros</w:t>
            </w:r>
            <w:r>
              <w:rPr>
                <w:spacing w:val="1"/>
              </w:rPr>
              <w:t> </w:t>
            </w:r>
            <w:r>
              <w:rPr/>
              <w:t>limitantes</w:t>
            </w:r>
            <w:r>
              <w:rPr>
                <w:rFonts w:ascii="Times New Roman" w:hAnsi="Times New Roman"/>
              </w:rPr>
              <w:tab/>
            </w:r>
            <w:r>
              <w:rPr/>
              <w:t>222</w:t>
            </w:r>
          </w:hyperlink>
        </w:p>
      </w:sdtContent>
    </w:sdt>
    <w:p>
      <w:pPr>
        <w:spacing w:after="0"/>
        <w:sectPr>
          <w:type w:val="continuous"/>
          <w:pgSz w:w="12240" w:h="15840"/>
          <w:pgMar w:top="1358" w:bottom="1510" w:left="920" w:right="1200"/>
        </w:sectPr>
      </w:pPr>
    </w:p>
    <w:p>
      <w:pPr>
        <w:spacing w:before="173"/>
        <w:ind w:left="781" w:right="2707" w:firstLine="0"/>
        <w:jc w:val="left"/>
        <w:rPr>
          <w:b/>
          <w:sz w:val="24"/>
        </w:rPr>
      </w:pPr>
      <w:bookmarkStart w:name="Tablas" w:id="8"/>
      <w:bookmarkEnd w:id="8"/>
      <w:r>
        <w:rPr/>
      </w:r>
      <w:r>
        <w:rPr>
          <w:b/>
          <w:sz w:val="24"/>
        </w:rPr>
        <w:t>ÍNDICE DE TABLAS</w:t>
      </w:r>
    </w:p>
    <w:p>
      <w:pPr>
        <w:pStyle w:val="BodyText"/>
        <w:spacing w:before="1"/>
        <w:rPr>
          <w:b/>
          <w:sz w:val="33"/>
        </w:rPr>
      </w:pPr>
    </w:p>
    <w:p>
      <w:pPr>
        <w:pStyle w:val="BodyText"/>
        <w:tabs>
          <w:tab w:pos="9361" w:val="left" w:leader="dot"/>
        </w:tabs>
        <w:spacing w:line="360" w:lineRule="auto"/>
        <w:ind w:left="1775" w:right="511" w:hanging="994"/>
      </w:pPr>
      <w:r>
        <w:rPr/>
        <w:t>Tabla 1. Parámetros físico – químicos importantes en la evaluación y operación de un biofiltro (Tomado parcialmente de</w:t>
      </w:r>
      <w:r>
        <w:rPr>
          <w:spacing w:val="-14"/>
        </w:rPr>
        <w:t> </w:t>
      </w:r>
      <w:r>
        <w:rPr/>
        <w:t>Colt,</w:t>
      </w:r>
      <w:r>
        <w:rPr>
          <w:spacing w:val="-1"/>
        </w:rPr>
        <w:t> </w:t>
      </w:r>
      <w:r>
        <w:rPr/>
        <w:t>2006)</w:t>
      </w:r>
      <w:r>
        <w:rPr>
          <w:rFonts w:ascii="Times New Roman" w:hAnsi="Times New Roman"/>
        </w:rPr>
        <w:tab/>
      </w:r>
      <w:r>
        <w:rPr/>
        <w:t>34</w:t>
      </w:r>
    </w:p>
    <w:p>
      <w:pPr>
        <w:pStyle w:val="BodyText"/>
        <w:tabs>
          <w:tab w:pos="9361" w:val="left" w:leader="dot"/>
        </w:tabs>
        <w:spacing w:line="360" w:lineRule="auto" w:before="3"/>
        <w:ind w:left="1775" w:right="511" w:hanging="994"/>
      </w:pPr>
      <w:r>
        <w:rPr/>
        <w:t>Tabla 2. Criterios de clasificación con base en el nivel trófico y las necesidades en la actividad acuícola (Malone y</w:t>
      </w:r>
      <w:r>
        <w:rPr>
          <w:spacing w:val="-8"/>
        </w:rPr>
        <w:t> </w:t>
      </w:r>
      <w:r>
        <w:rPr/>
        <w:t>Pfieffer,</w:t>
      </w:r>
      <w:r>
        <w:rPr>
          <w:spacing w:val="-4"/>
        </w:rPr>
        <w:t> </w:t>
      </w:r>
      <w:r>
        <w:rPr/>
        <w:t>2006)</w:t>
      </w:r>
      <w:r>
        <w:rPr>
          <w:rFonts w:ascii="Times New Roman" w:hAnsi="Times New Roman"/>
        </w:rPr>
        <w:tab/>
      </w:r>
      <w:r>
        <w:rPr/>
        <w:t>36</w:t>
      </w:r>
    </w:p>
    <w:p>
      <w:pPr>
        <w:pStyle w:val="BodyText"/>
        <w:tabs>
          <w:tab w:pos="9359" w:val="left" w:leader="dot"/>
        </w:tabs>
        <w:spacing w:line="360" w:lineRule="auto" w:before="5"/>
        <w:ind w:left="1775" w:right="514" w:hanging="994"/>
      </w:pPr>
      <w:r>
        <w:rPr/>
        <w:t>Tabla 3.  Rangos permitidos para los parámetros y lugares de muestreo para el análisis de biofiltros (Malone y</w:t>
      </w:r>
      <w:r>
        <w:rPr>
          <w:spacing w:val="-8"/>
        </w:rPr>
        <w:t> </w:t>
      </w:r>
      <w:r>
        <w:rPr/>
        <w:t>Pfeiffer,</w:t>
      </w:r>
      <w:r>
        <w:rPr>
          <w:spacing w:val="-1"/>
        </w:rPr>
        <w:t> </w:t>
      </w:r>
      <w:r>
        <w:rPr/>
        <w:t>2006)</w:t>
      </w:r>
      <w:r>
        <w:rPr>
          <w:rFonts w:ascii="Times New Roman" w:hAnsi="Times New Roman"/>
        </w:rPr>
        <w:tab/>
      </w:r>
      <w:r>
        <w:rPr/>
        <w:t>36</w:t>
      </w:r>
    </w:p>
    <w:p>
      <w:pPr>
        <w:pStyle w:val="BodyText"/>
        <w:spacing w:before="3"/>
        <w:ind w:left="781"/>
      </w:pPr>
      <w:r>
        <w:rPr/>
        <w:t>Tabla 4. Calidad del agua dependiendo del nivel trófico del cultivo (Drennan </w:t>
      </w:r>
      <w:r>
        <w:rPr>
          <w:i/>
        </w:rPr>
        <w:t>et al</w:t>
      </w:r>
      <w:r>
        <w:rPr/>
        <w:t>., 2006)</w:t>
      </w:r>
    </w:p>
    <w:p>
      <w:pPr>
        <w:pStyle w:val="BodyText"/>
        <w:spacing w:before="126"/>
        <w:ind w:left="1825"/>
      </w:pPr>
      <w:r>
        <w:rPr/>
        <w:t>........................................................................................................................ </w:t>
      </w:r>
      <w:r>
        <w:rPr>
          <w:spacing w:val="55"/>
        </w:rPr>
        <w:t> </w:t>
      </w:r>
      <w:r>
        <w:rPr/>
        <w:t>37</w:t>
      </w:r>
    </w:p>
    <w:p>
      <w:pPr>
        <w:pStyle w:val="BodyText"/>
        <w:tabs>
          <w:tab w:pos="9356" w:val="left" w:leader="dot"/>
        </w:tabs>
        <w:spacing w:line="360" w:lineRule="auto" w:before="126"/>
        <w:ind w:left="1775" w:right="516" w:hanging="994"/>
      </w:pPr>
      <w:r>
        <w:rPr/>
        <w:t>Tabla 5. Clasificación de los estudios de SRA de acuerdo con su objetivo (Colt </w:t>
      </w:r>
      <w:r>
        <w:rPr>
          <w:i/>
        </w:rPr>
        <w:t>et al</w:t>
      </w:r>
      <w:r>
        <w:rPr/>
        <w:t>., 2006)</w:t>
      </w:r>
      <w:r>
        <w:rPr>
          <w:rFonts w:ascii="Times New Roman" w:hAnsi="Times New Roman"/>
        </w:rPr>
        <w:tab/>
      </w:r>
      <w:r>
        <w:rPr/>
        <w:t>37</w:t>
      </w:r>
    </w:p>
    <w:p>
      <w:pPr>
        <w:pStyle w:val="BodyText"/>
        <w:tabs>
          <w:tab w:pos="9363" w:val="left" w:leader="dot"/>
        </w:tabs>
        <w:spacing w:before="3"/>
        <w:ind w:left="781"/>
      </w:pPr>
      <w:r>
        <w:rPr/>
        <w:t>Tabla 6. Memoria de cálculo del biofiltro (Tomado de Wheaton </w:t>
      </w:r>
      <w:r>
        <w:rPr>
          <w:i/>
        </w:rPr>
        <w:t>et</w:t>
      </w:r>
      <w:r>
        <w:rPr>
          <w:i/>
          <w:spacing w:val="-26"/>
        </w:rPr>
        <w:t> </w:t>
      </w:r>
      <w:r>
        <w:rPr>
          <w:i/>
        </w:rPr>
        <w:t>al</w:t>
      </w:r>
      <w:r>
        <w:rPr/>
        <w:t>., 2000)</w:t>
      </w:r>
      <w:r>
        <w:rPr>
          <w:rFonts w:ascii="Times New Roman" w:hAnsi="Times New Roman"/>
        </w:rPr>
        <w:tab/>
      </w:r>
      <w:r>
        <w:rPr/>
        <w:t>60</w:t>
      </w:r>
    </w:p>
    <w:p>
      <w:pPr>
        <w:pStyle w:val="BodyText"/>
        <w:tabs>
          <w:tab w:pos="9361" w:val="left" w:leader="dot"/>
        </w:tabs>
        <w:spacing w:before="126"/>
        <w:ind w:left="781"/>
      </w:pPr>
      <w:r>
        <w:rPr/>
        <w:t>Tabla 7. Memoria de cálculo del filtro de arena ascendente</w:t>
      </w:r>
      <w:r>
        <w:rPr>
          <w:spacing w:val="-27"/>
        </w:rPr>
        <w:t> </w:t>
      </w:r>
      <w:r>
        <w:rPr/>
        <w:t>(García,</w:t>
      </w:r>
      <w:r>
        <w:rPr>
          <w:spacing w:val="-1"/>
        </w:rPr>
        <w:t> </w:t>
      </w:r>
      <w:r>
        <w:rPr/>
        <w:t>1999)</w:t>
      </w:r>
      <w:r>
        <w:rPr>
          <w:rFonts w:ascii="Times New Roman" w:hAnsi="Times New Roman"/>
        </w:rPr>
        <w:tab/>
      </w:r>
      <w:r>
        <w:rPr/>
        <w:t>62</w:t>
      </w:r>
    </w:p>
    <w:p>
      <w:pPr>
        <w:pStyle w:val="BodyText"/>
        <w:tabs>
          <w:tab w:pos="9360" w:val="left" w:leader="dot"/>
        </w:tabs>
        <w:spacing w:before="126"/>
        <w:ind w:left="781"/>
      </w:pPr>
      <w:r>
        <w:rPr/>
        <w:t>Tabla 8. Tamaño de la muestra de acuerdo a la población de</w:t>
      </w:r>
      <w:r>
        <w:rPr>
          <w:spacing w:val="-19"/>
        </w:rPr>
        <w:t> </w:t>
      </w:r>
      <w:r>
        <w:rPr/>
        <w:t>cada</w:t>
      </w:r>
      <w:r>
        <w:rPr>
          <w:spacing w:val="-1"/>
        </w:rPr>
        <w:t> </w:t>
      </w:r>
      <w:r>
        <w:rPr/>
        <w:t>estrato</w:t>
      </w:r>
      <w:r>
        <w:rPr>
          <w:rFonts w:ascii="Times New Roman" w:hAnsi="Times New Roman"/>
        </w:rPr>
        <w:tab/>
      </w:r>
      <w:r>
        <w:rPr/>
        <w:t>66</w:t>
      </w:r>
    </w:p>
    <w:p>
      <w:pPr>
        <w:pStyle w:val="BodyText"/>
        <w:tabs>
          <w:tab w:pos="9360" w:val="left" w:leader="dot"/>
        </w:tabs>
        <w:spacing w:before="128"/>
        <w:ind w:left="781"/>
      </w:pPr>
      <w:r>
        <w:rPr/>
        <w:t>Tabla 9. Parámetros analizados en cada punto</w:t>
      </w:r>
      <w:r>
        <w:rPr>
          <w:spacing w:val="-12"/>
        </w:rPr>
        <w:t> </w:t>
      </w:r>
      <w:r>
        <w:rPr/>
        <w:t>de</w:t>
      </w:r>
      <w:r>
        <w:rPr>
          <w:spacing w:val="-4"/>
        </w:rPr>
        <w:t> </w:t>
      </w:r>
      <w:r>
        <w:rPr/>
        <w:t>muestreo</w:t>
      </w:r>
      <w:r>
        <w:rPr>
          <w:rFonts w:ascii="Times New Roman" w:hAnsi="Times New Roman"/>
        </w:rPr>
        <w:tab/>
      </w:r>
      <w:r>
        <w:rPr/>
        <w:t>67</w:t>
      </w:r>
    </w:p>
    <w:p>
      <w:pPr>
        <w:pStyle w:val="BodyText"/>
        <w:spacing w:line="360" w:lineRule="auto" w:before="126"/>
        <w:ind w:left="781" w:right="511"/>
        <w:jc w:val="both"/>
      </w:pPr>
      <w:r>
        <w:rPr/>
        <w:t>Tabla 10. Definición de estratos para la determinación de los estimadores estadísticos..</w:t>
      </w:r>
      <w:r>
        <w:rPr>
          <w:spacing w:val="-33"/>
        </w:rPr>
        <w:t> </w:t>
      </w:r>
      <w:r>
        <w:rPr/>
        <w:t>68 Tabla</w:t>
      </w:r>
      <w:r>
        <w:rPr>
          <w:spacing w:val="-2"/>
        </w:rPr>
        <w:t> </w:t>
      </w:r>
      <w:r>
        <w:rPr/>
        <w:t>11.</w:t>
      </w:r>
      <w:r>
        <w:rPr>
          <w:spacing w:val="-1"/>
        </w:rPr>
        <w:t> </w:t>
      </w:r>
      <w:r>
        <w:rPr/>
        <w:t>Estimadores</w:t>
      </w:r>
      <w:r>
        <w:rPr>
          <w:spacing w:val="-2"/>
        </w:rPr>
        <w:t> </w:t>
      </w:r>
      <w:r>
        <w:rPr/>
        <w:t>estadísticos</w:t>
      </w:r>
      <w:r>
        <w:rPr>
          <w:spacing w:val="-2"/>
        </w:rPr>
        <w:t> </w:t>
      </w:r>
      <w:r>
        <w:rPr/>
        <w:t>de</w:t>
      </w:r>
      <w:r>
        <w:rPr>
          <w:spacing w:val="-2"/>
        </w:rPr>
        <w:t> </w:t>
      </w:r>
      <w:r>
        <w:rPr/>
        <w:t>la</w:t>
      </w:r>
      <w:r>
        <w:rPr>
          <w:spacing w:val="-5"/>
        </w:rPr>
        <w:t> </w:t>
      </w:r>
      <w:r>
        <w:rPr/>
        <w:t>teoría</w:t>
      </w:r>
      <w:r>
        <w:rPr>
          <w:spacing w:val="-2"/>
        </w:rPr>
        <w:t> </w:t>
      </w:r>
      <w:r>
        <w:rPr/>
        <w:t>del</w:t>
      </w:r>
      <w:r>
        <w:rPr>
          <w:spacing w:val="-3"/>
        </w:rPr>
        <w:t> </w:t>
      </w:r>
      <w:r>
        <w:rPr/>
        <w:t>muestreo</w:t>
      </w:r>
      <w:r>
        <w:rPr>
          <w:spacing w:val="-5"/>
        </w:rPr>
        <w:t> </w:t>
      </w:r>
      <w:r>
        <w:rPr/>
        <w:t>estratificado</w:t>
      </w:r>
      <w:r>
        <w:rPr>
          <w:spacing w:val="-5"/>
        </w:rPr>
        <w:t> </w:t>
      </w:r>
      <w:r>
        <w:rPr/>
        <w:t>(Lohr,</w:t>
      </w:r>
      <w:r>
        <w:rPr>
          <w:spacing w:val="-4"/>
        </w:rPr>
        <w:t> </w:t>
      </w:r>
      <w:r>
        <w:rPr/>
        <w:t>2000)</w:t>
      </w:r>
      <w:r>
        <w:rPr>
          <w:spacing w:val="-24"/>
        </w:rPr>
        <w:t> </w:t>
      </w:r>
      <w:r>
        <w:rPr/>
        <w:t>.</w:t>
      </w:r>
      <w:r>
        <w:rPr>
          <w:spacing w:val="-13"/>
        </w:rPr>
        <w:t> </w:t>
      </w:r>
      <w:r>
        <w:rPr/>
        <w:t>68 Tabla 12. Valores menores y mayores utilizados en las 16 pruebas de Plackett –</w:t>
      </w:r>
      <w:r>
        <w:rPr>
          <w:spacing w:val="-31"/>
        </w:rPr>
        <w:t> </w:t>
      </w:r>
      <w:r>
        <w:rPr/>
        <w:t>Burman</w:t>
      </w:r>
    </w:p>
    <w:p>
      <w:pPr>
        <w:pStyle w:val="BodyText"/>
        <w:spacing w:before="3"/>
        <w:ind w:left="1825"/>
      </w:pPr>
      <w:r>
        <w:rPr/>
        <w:t>........................................................................................................................ </w:t>
      </w:r>
      <w:r>
        <w:rPr>
          <w:spacing w:val="55"/>
        </w:rPr>
        <w:t> </w:t>
      </w:r>
      <w:r>
        <w:rPr/>
        <w:t>71</w:t>
      </w:r>
    </w:p>
    <w:p>
      <w:pPr>
        <w:pStyle w:val="BodyText"/>
        <w:tabs>
          <w:tab w:pos="9360" w:val="left" w:leader="dot"/>
        </w:tabs>
        <w:spacing w:before="126"/>
        <w:ind w:left="781"/>
      </w:pPr>
      <w:r>
        <w:rPr/>
        <w:t>Tabla 13. Diseño de 16 pruebas Plackett – Burman</w:t>
      </w:r>
      <w:r>
        <w:rPr>
          <w:spacing w:val="-18"/>
        </w:rPr>
        <w:t> </w:t>
      </w:r>
      <w:r>
        <w:rPr/>
        <w:t>(Wheeler,</w:t>
      </w:r>
      <w:r>
        <w:rPr>
          <w:spacing w:val="-4"/>
        </w:rPr>
        <w:t> </w:t>
      </w:r>
      <w:r>
        <w:rPr/>
        <w:t>1989)</w:t>
      </w:r>
      <w:r>
        <w:rPr>
          <w:rFonts w:ascii="Times New Roman" w:hAnsi="Times New Roman"/>
        </w:rPr>
        <w:tab/>
      </w:r>
      <w:r>
        <w:rPr/>
        <w:t>72</w:t>
      </w:r>
    </w:p>
    <w:p>
      <w:pPr>
        <w:pStyle w:val="BodyText"/>
        <w:spacing w:before="126"/>
        <w:ind w:left="781"/>
      </w:pPr>
      <w:r>
        <w:rPr/>
        <w:t>Tabla 14. Contrastes definidos por el diseño básico de Plackett – Burman (Wheeler, 1989)</w:t>
      </w:r>
    </w:p>
    <w:p>
      <w:pPr>
        <w:pStyle w:val="BodyText"/>
        <w:spacing w:before="126"/>
        <w:ind w:left="1825"/>
      </w:pPr>
      <w:r>
        <w:rPr/>
        <w:t>........................................................................................................................ </w:t>
      </w:r>
      <w:r>
        <w:rPr>
          <w:spacing w:val="55"/>
        </w:rPr>
        <w:t> </w:t>
      </w:r>
      <w:r>
        <w:rPr/>
        <w:t>72</w:t>
      </w:r>
    </w:p>
    <w:p>
      <w:pPr>
        <w:pStyle w:val="BodyText"/>
        <w:tabs>
          <w:tab w:pos="9361" w:val="left" w:leader="dot"/>
        </w:tabs>
        <w:spacing w:before="126"/>
        <w:ind w:left="781"/>
      </w:pPr>
      <w:r>
        <w:rPr/>
        <w:t>Tabla 15. Caracterización del agua pluvial</w:t>
      </w:r>
      <w:r>
        <w:rPr>
          <w:spacing w:val="-15"/>
        </w:rPr>
        <w:t> </w:t>
      </w:r>
      <w:r>
        <w:rPr/>
        <w:t>almacenada</w:t>
      </w:r>
      <w:r>
        <w:rPr>
          <w:spacing w:val="-3"/>
        </w:rPr>
        <w:t> </w:t>
      </w:r>
      <w:r>
        <w:rPr/>
        <w:t>(03/11/2008)</w:t>
      </w:r>
      <w:r>
        <w:rPr>
          <w:rFonts w:ascii="Times New Roman" w:hAnsi="Times New Roman"/>
        </w:rPr>
        <w:tab/>
      </w:r>
      <w:r>
        <w:rPr/>
        <w:t>75</w:t>
      </w:r>
    </w:p>
    <w:p>
      <w:pPr>
        <w:pStyle w:val="BodyText"/>
        <w:tabs>
          <w:tab w:pos="9360" w:val="left" w:leader="dot"/>
        </w:tabs>
        <w:spacing w:before="128"/>
        <w:ind w:left="781"/>
      </w:pPr>
      <w:r>
        <w:rPr/>
        <w:t>Tabla 16. Velocidades promedio del agua a</w:t>
      </w:r>
      <w:r>
        <w:rPr>
          <w:spacing w:val="-19"/>
        </w:rPr>
        <w:t> </w:t>
      </w:r>
      <w:r>
        <w:rPr/>
        <w:t>diferentes</w:t>
      </w:r>
      <w:r>
        <w:rPr>
          <w:spacing w:val="-3"/>
        </w:rPr>
        <w:t> </w:t>
      </w:r>
      <w:r>
        <w:rPr/>
        <w:t>profundidades</w:t>
      </w:r>
      <w:r>
        <w:rPr>
          <w:rFonts w:ascii="Times New Roman"/>
        </w:rPr>
        <w:tab/>
      </w:r>
      <w:r>
        <w:rPr/>
        <w:t>79</w:t>
      </w:r>
    </w:p>
    <w:p>
      <w:pPr>
        <w:pStyle w:val="BodyText"/>
        <w:tabs>
          <w:tab w:pos="9357" w:val="left" w:leader="dot"/>
        </w:tabs>
        <w:spacing w:line="360" w:lineRule="auto" w:before="126"/>
        <w:ind w:left="1775" w:right="515" w:hanging="994"/>
      </w:pPr>
      <w:r>
        <w:rPr/>
        <w:t>Tabla 17. Memoria de cálculo de los estimadores estadísticos para el muestreo estratificado de la concentración de nitrógeno amoniacal en el punto de muestreo C</w:t>
      </w:r>
      <w:r>
        <w:rPr>
          <w:rFonts w:ascii="Times New Roman" w:hAnsi="Times New Roman"/>
        </w:rPr>
        <w:tab/>
      </w:r>
      <w:r>
        <w:rPr/>
        <w:t>92</w:t>
      </w:r>
    </w:p>
    <w:p>
      <w:pPr>
        <w:pStyle w:val="BodyText"/>
        <w:tabs>
          <w:tab w:pos="9237" w:val="left" w:leader="dot"/>
        </w:tabs>
        <w:spacing w:before="3"/>
        <w:ind w:left="781"/>
      </w:pPr>
      <w:r>
        <w:rPr/>
        <w:t>Tabla 18. Características del biofiltro y</w:t>
      </w:r>
      <w:r>
        <w:rPr>
          <w:spacing w:val="-11"/>
        </w:rPr>
        <w:t> </w:t>
      </w:r>
      <w:r>
        <w:rPr/>
        <w:t>del</w:t>
      </w:r>
      <w:r>
        <w:rPr>
          <w:spacing w:val="-2"/>
        </w:rPr>
        <w:t> </w:t>
      </w:r>
      <w:r>
        <w:rPr/>
        <w:t>empaque</w:t>
      </w:r>
      <w:r>
        <w:rPr>
          <w:rFonts w:ascii="Times New Roman" w:hAnsi="Times New Roman"/>
        </w:rPr>
        <w:tab/>
      </w:r>
      <w:r>
        <w:rPr/>
        <w:t>102</w:t>
      </w:r>
    </w:p>
    <w:p>
      <w:pPr>
        <w:pStyle w:val="BodyText"/>
        <w:tabs>
          <w:tab w:pos="9237" w:val="left" w:leader="dot"/>
        </w:tabs>
        <w:spacing w:before="126"/>
        <w:ind w:left="781"/>
      </w:pPr>
      <w:r>
        <w:rPr/>
        <w:t>Tabla 19. Características generales del influente y</w:t>
      </w:r>
      <w:r>
        <w:rPr>
          <w:spacing w:val="-18"/>
        </w:rPr>
        <w:t> </w:t>
      </w:r>
      <w:r>
        <w:rPr/>
        <w:t>del</w:t>
      </w:r>
      <w:r>
        <w:rPr>
          <w:spacing w:val="-3"/>
        </w:rPr>
        <w:t> </w:t>
      </w:r>
      <w:r>
        <w:rPr/>
        <w:t>cultivo</w:t>
      </w:r>
      <w:r>
        <w:rPr>
          <w:rFonts w:ascii="Times New Roman" w:hAnsi="Times New Roman"/>
        </w:rPr>
        <w:tab/>
      </w:r>
      <w:r>
        <w:rPr/>
        <w:t>103</w:t>
      </w:r>
    </w:p>
    <w:p>
      <w:pPr>
        <w:pStyle w:val="BodyText"/>
        <w:tabs>
          <w:tab w:pos="9234" w:val="left" w:leader="dot"/>
        </w:tabs>
        <w:spacing w:line="360" w:lineRule="auto" w:before="126"/>
        <w:ind w:left="1775" w:right="515" w:hanging="994"/>
      </w:pPr>
      <w:r>
        <w:rPr/>
        <w:t>Tabla 20. Características del efluente de del percolador y el filtro de arena del SRA prototipo</w:t>
      </w:r>
      <w:r>
        <w:rPr>
          <w:rFonts w:ascii="Times New Roman" w:hAnsi="Times New Roman"/>
        </w:rPr>
        <w:tab/>
      </w:r>
      <w:r>
        <w:rPr/>
        <w:t>104</w:t>
      </w:r>
    </w:p>
    <w:p>
      <w:pPr>
        <w:pStyle w:val="BodyText"/>
        <w:spacing w:before="3"/>
        <w:ind w:left="781"/>
      </w:pPr>
      <w:r>
        <w:rPr/>
        <w:t>Tabla 21. Balance de masa del nitrógeno amoniacal total (N-NH</w:t>
      </w:r>
      <w:r>
        <w:rPr>
          <w:position w:val="-2"/>
          <w:sz w:val="14"/>
        </w:rPr>
        <w:t>3</w:t>
      </w:r>
      <w:r>
        <w:rPr/>
        <w:t>) en el sistema prototipo.</w:t>
      </w:r>
    </w:p>
    <w:p>
      <w:pPr>
        <w:pStyle w:val="BodyText"/>
        <w:spacing w:before="115"/>
        <w:ind w:left="1825"/>
      </w:pPr>
      <w:r>
        <w:rPr/>
        <w:t>...................................................................................................................... </w:t>
      </w:r>
      <w:r>
        <w:rPr>
          <w:spacing w:val="54"/>
        </w:rPr>
        <w:t> </w:t>
      </w:r>
      <w:r>
        <w:rPr/>
        <w:t>107</w:t>
      </w:r>
    </w:p>
    <w:p>
      <w:pPr>
        <w:spacing w:after="0"/>
        <w:sectPr>
          <w:pgSz w:w="12240" w:h="15840"/>
          <w:pgMar w:header="725" w:footer="1084" w:top="1340" w:bottom="1280" w:left="920" w:right="1200"/>
        </w:sectPr>
      </w:pPr>
    </w:p>
    <w:p>
      <w:pPr>
        <w:pStyle w:val="BodyText"/>
        <w:tabs>
          <w:tab w:pos="9607" w:val="right" w:leader="dot"/>
        </w:tabs>
        <w:spacing w:before="150"/>
        <w:ind w:left="781"/>
      </w:pPr>
      <w:r>
        <w:rPr/>
        <w:t>Tabla 22. Balance de masa de N – nitritos (N-NO</w:t>
      </w:r>
      <w:r>
        <w:rPr>
          <w:position w:val="-2"/>
          <w:sz w:val="14"/>
        </w:rPr>
        <w:t>2</w:t>
      </w:r>
      <w:r>
        <w:rPr>
          <w:position w:val="10"/>
          <w:sz w:val="14"/>
        </w:rPr>
        <w:t>-</w:t>
      </w:r>
      <w:r>
        <w:rPr/>
        <w:t>) en el</w:t>
      </w:r>
      <w:r>
        <w:rPr>
          <w:spacing w:val="-7"/>
        </w:rPr>
        <w:t> </w:t>
      </w:r>
      <w:r>
        <w:rPr/>
        <w:t>sistema</w:t>
      </w:r>
      <w:r>
        <w:rPr>
          <w:spacing w:val="-3"/>
        </w:rPr>
        <w:t> </w:t>
      </w:r>
      <w:r>
        <w:rPr/>
        <w:t>prototipo</w:t>
      </w:r>
      <w:r>
        <w:rPr>
          <w:rFonts w:ascii="Times New Roman" w:hAnsi="Times New Roman"/>
        </w:rPr>
        <w:tab/>
      </w:r>
      <w:r>
        <w:rPr/>
        <w:t>108</w:t>
      </w:r>
    </w:p>
    <w:p>
      <w:pPr>
        <w:pStyle w:val="BodyText"/>
        <w:tabs>
          <w:tab w:pos="9606" w:val="right" w:leader="dot"/>
        </w:tabs>
        <w:spacing w:before="88"/>
        <w:ind w:left="781"/>
      </w:pPr>
      <w:r>
        <w:rPr/>
        <w:t>Tabla 23.Balance de masa de nitratos (N-NO</w:t>
      </w:r>
      <w:r>
        <w:rPr>
          <w:position w:val="-2"/>
          <w:sz w:val="14"/>
        </w:rPr>
        <w:t>3</w:t>
      </w:r>
      <w:r>
        <w:rPr>
          <w:position w:val="10"/>
          <w:sz w:val="14"/>
        </w:rPr>
        <w:t>-</w:t>
      </w:r>
      <w:r>
        <w:rPr/>
        <w:t>) en el</w:t>
      </w:r>
      <w:r>
        <w:rPr>
          <w:spacing w:val="-5"/>
        </w:rPr>
        <w:t> </w:t>
      </w:r>
      <w:r>
        <w:rPr/>
        <w:t>sistema prototipo</w:t>
      </w:r>
      <w:r>
        <w:rPr>
          <w:rFonts w:ascii="Times New Roman"/>
        </w:rPr>
        <w:tab/>
      </w:r>
      <w:r>
        <w:rPr/>
        <w:t>109</w:t>
      </w:r>
    </w:p>
    <w:p>
      <w:pPr>
        <w:pStyle w:val="BodyText"/>
        <w:tabs>
          <w:tab w:pos="9605" w:val="right" w:leader="dot"/>
        </w:tabs>
        <w:spacing w:before="113"/>
        <w:ind w:left="781"/>
      </w:pPr>
      <w:r>
        <w:rPr/>
        <w:t>Tabla 24. Balance de masa de DQO en el</w:t>
      </w:r>
      <w:r>
        <w:rPr>
          <w:spacing w:val="-5"/>
        </w:rPr>
        <w:t> </w:t>
      </w:r>
      <w:r>
        <w:rPr/>
        <w:t>sistema prototipo</w:t>
      </w:r>
      <w:r>
        <w:rPr>
          <w:rFonts w:ascii="Times New Roman"/>
        </w:rPr>
        <w:tab/>
      </w:r>
      <w:r>
        <w:rPr/>
        <w:t>110</w:t>
      </w:r>
    </w:p>
    <w:p>
      <w:pPr>
        <w:pStyle w:val="BodyText"/>
        <w:tabs>
          <w:tab w:pos="9603" w:val="right" w:leader="dot"/>
        </w:tabs>
        <w:spacing w:before="126"/>
        <w:ind w:left="781"/>
      </w:pPr>
      <w:r>
        <w:rPr/>
        <w:t>Tabla 25. Balance de masa de SST en el</w:t>
      </w:r>
      <w:r>
        <w:rPr>
          <w:spacing w:val="-1"/>
        </w:rPr>
        <w:t> </w:t>
      </w:r>
      <w:r>
        <w:rPr/>
        <w:t>sistema</w:t>
      </w:r>
      <w:r>
        <w:rPr>
          <w:spacing w:val="-5"/>
        </w:rPr>
        <w:t> </w:t>
      </w:r>
      <w:r>
        <w:rPr/>
        <w:t>prototipo</w:t>
      </w:r>
      <w:r>
        <w:rPr>
          <w:rFonts w:ascii="Times New Roman"/>
        </w:rPr>
        <w:tab/>
      </w:r>
      <w:r>
        <w:rPr/>
        <w:t>111</w:t>
      </w:r>
    </w:p>
    <w:p>
      <w:pPr>
        <w:pStyle w:val="BodyText"/>
        <w:tabs>
          <w:tab w:pos="9605" w:val="right" w:leader="dot"/>
        </w:tabs>
        <w:spacing w:before="126"/>
        <w:ind w:left="781"/>
      </w:pPr>
      <w:r>
        <w:rPr/>
        <w:t>Tabla 26. Balance de masa de alcalinidad en el</w:t>
      </w:r>
      <w:r>
        <w:rPr>
          <w:spacing w:val="-2"/>
        </w:rPr>
        <w:t> </w:t>
      </w:r>
      <w:r>
        <w:rPr/>
        <w:t>sistema</w:t>
      </w:r>
      <w:r>
        <w:rPr>
          <w:spacing w:val="-3"/>
        </w:rPr>
        <w:t> </w:t>
      </w:r>
      <w:r>
        <w:rPr/>
        <w:t>prototipo</w:t>
      </w:r>
      <w:r>
        <w:rPr>
          <w:rFonts w:ascii="Times New Roman"/>
        </w:rPr>
        <w:tab/>
      </w:r>
      <w:r>
        <w:rPr/>
        <w:t>112</w:t>
      </w:r>
    </w:p>
    <w:p>
      <w:pPr>
        <w:pStyle w:val="BodyText"/>
        <w:spacing w:before="128"/>
        <w:ind w:left="781"/>
      </w:pPr>
      <w:r>
        <w:rPr/>
        <w:t>Tabla 27. Escala de las zonas de los parámetros en el sistema de seguimiento y control</w:t>
      </w:r>
    </w:p>
    <w:p>
      <w:pPr>
        <w:pStyle w:val="BodyText"/>
        <w:spacing w:before="126"/>
        <w:ind w:left="1825"/>
      </w:pPr>
      <w:r>
        <w:rPr/>
        <w:t>...................................................................................................................... </w:t>
      </w:r>
      <w:r>
        <w:rPr>
          <w:spacing w:val="54"/>
        </w:rPr>
        <w:t> </w:t>
      </w:r>
      <w:r>
        <w:rPr/>
        <w:t>134</w:t>
      </w:r>
    </w:p>
    <w:p>
      <w:pPr>
        <w:spacing w:after="0"/>
        <w:sectPr>
          <w:pgSz w:w="12240" w:h="15840"/>
          <w:pgMar w:header="725" w:footer="1084" w:top="1340" w:bottom="1280" w:left="920" w:right="1200"/>
        </w:sectPr>
      </w:pPr>
    </w:p>
    <w:p>
      <w:pPr>
        <w:pStyle w:val="Heading5"/>
        <w:spacing w:before="172"/>
        <w:ind w:left="781" w:right="2707"/>
        <w:jc w:val="left"/>
      </w:pPr>
      <w:bookmarkStart w:name="Figuras" w:id="9"/>
      <w:bookmarkEnd w:id="9"/>
      <w:r>
        <w:rPr>
          <w:b w:val="0"/>
        </w:rPr>
      </w:r>
      <w:r>
        <w:rPr/>
        <w:t>ÍNDICE DE FIGURAS</w:t>
      </w:r>
    </w:p>
    <w:p>
      <w:pPr>
        <w:pStyle w:val="BodyText"/>
        <w:rPr>
          <w:b/>
        </w:rPr>
      </w:pPr>
    </w:p>
    <w:p>
      <w:pPr>
        <w:pStyle w:val="BodyText"/>
        <w:spacing w:line="362" w:lineRule="auto" w:before="127"/>
        <w:ind w:left="781"/>
      </w:pPr>
      <w:r>
        <w:rPr/>
        <w:t>Figura 1. Operaciones básicas y complementarias de los SRA (Timmons </w:t>
      </w:r>
      <w:r>
        <w:rPr>
          <w:i/>
        </w:rPr>
        <w:t>et al</w:t>
      </w:r>
      <w:r>
        <w:rPr/>
        <w:t>., 2002). .. 23 Figura 2. Ubicación por cuenca de las unidades de producción trutícola en el Estado de</w:t>
      </w:r>
    </w:p>
    <w:p>
      <w:pPr>
        <w:pStyle w:val="BodyText"/>
        <w:tabs>
          <w:tab w:pos="9359" w:val="left" w:leader="dot"/>
        </w:tabs>
        <w:spacing w:before="1"/>
        <w:ind w:left="1914"/>
      </w:pPr>
      <w:r>
        <w:rPr/>
        <w:t>México (Gallego </w:t>
      </w:r>
      <w:r>
        <w:rPr>
          <w:i/>
        </w:rPr>
        <w:t>et</w:t>
      </w:r>
      <w:r>
        <w:rPr>
          <w:i/>
          <w:spacing w:val="-3"/>
        </w:rPr>
        <w:t> </w:t>
      </w:r>
      <w:r>
        <w:rPr>
          <w:i/>
        </w:rPr>
        <w:t>al</w:t>
      </w:r>
      <w:r>
        <w:rPr/>
        <w:t>.,</w:t>
      </w:r>
      <w:r>
        <w:rPr>
          <w:spacing w:val="-4"/>
        </w:rPr>
        <w:t> </w:t>
      </w:r>
      <w:r>
        <w:rPr/>
        <w:t>2007)</w:t>
      </w:r>
      <w:r>
        <w:rPr>
          <w:rFonts w:ascii="Times New Roman" w:hAnsi="Times New Roman"/>
        </w:rPr>
        <w:tab/>
      </w:r>
      <w:r>
        <w:rPr/>
        <w:t>27</w:t>
      </w:r>
    </w:p>
    <w:p>
      <w:pPr>
        <w:pStyle w:val="BodyText"/>
        <w:tabs>
          <w:tab w:pos="9357" w:val="left" w:leader="dot"/>
        </w:tabs>
        <w:spacing w:line="360" w:lineRule="auto" w:before="126"/>
        <w:ind w:left="1914" w:right="516" w:hanging="1133"/>
      </w:pPr>
      <w:r>
        <w:rPr/>
        <w:t>Figura 3. Origen del agua utilizada en las unidades de producción trutícola (Gallego </w:t>
      </w:r>
      <w:r>
        <w:rPr>
          <w:i/>
        </w:rPr>
        <w:t>et al</w:t>
      </w:r>
      <w:r>
        <w:rPr/>
        <w:t>., 2007)</w:t>
      </w:r>
      <w:r>
        <w:rPr>
          <w:rFonts w:ascii="Times New Roman" w:hAnsi="Times New Roman"/>
        </w:rPr>
        <w:tab/>
      </w:r>
      <w:r>
        <w:rPr/>
        <w:t>28</w:t>
      </w:r>
    </w:p>
    <w:p>
      <w:pPr>
        <w:pStyle w:val="BodyText"/>
        <w:tabs>
          <w:tab w:pos="9356" w:val="left" w:leader="dot"/>
        </w:tabs>
        <w:spacing w:line="360" w:lineRule="auto" w:before="3"/>
        <w:ind w:left="1914" w:right="516" w:hanging="1133"/>
      </w:pPr>
      <w:r>
        <w:rPr/>
        <w:t>Figura 4. Caudal utilizado en las granjas de trucha por origen del agua (Gallego </w:t>
      </w:r>
      <w:r>
        <w:rPr>
          <w:i/>
        </w:rPr>
        <w:t>et al</w:t>
      </w:r>
      <w:r>
        <w:rPr/>
        <w:t>., 2007)</w:t>
      </w:r>
      <w:r>
        <w:rPr>
          <w:rFonts w:ascii="Times New Roman"/>
        </w:rPr>
        <w:tab/>
      </w:r>
      <w:r>
        <w:rPr/>
        <w:t>28</w:t>
      </w:r>
    </w:p>
    <w:p>
      <w:pPr>
        <w:pStyle w:val="BodyText"/>
        <w:tabs>
          <w:tab w:pos="9361" w:val="left" w:leader="dot"/>
        </w:tabs>
        <w:spacing w:before="3"/>
        <w:ind w:left="781"/>
      </w:pPr>
      <w:r>
        <w:rPr/>
        <w:t>Figura 5. Clasificación de los SRA propuesta por Malone y</w:t>
      </w:r>
      <w:r>
        <w:rPr>
          <w:spacing w:val="-22"/>
        </w:rPr>
        <w:t> </w:t>
      </w:r>
      <w:r>
        <w:rPr/>
        <w:t>Pfeiffer</w:t>
      </w:r>
      <w:r>
        <w:rPr>
          <w:spacing w:val="-3"/>
        </w:rPr>
        <w:t> </w:t>
      </w:r>
      <w:r>
        <w:rPr/>
        <w:t>(2006)</w:t>
      </w:r>
      <w:r>
        <w:rPr>
          <w:rFonts w:ascii="Times New Roman" w:hAnsi="Times New Roman"/>
        </w:rPr>
        <w:tab/>
      </w:r>
      <w:r>
        <w:rPr/>
        <w:t>34</w:t>
      </w:r>
    </w:p>
    <w:p>
      <w:pPr>
        <w:pStyle w:val="BodyText"/>
        <w:tabs>
          <w:tab w:pos="9357" w:val="left" w:leader="dot"/>
        </w:tabs>
        <w:spacing w:line="360" w:lineRule="auto" w:before="126"/>
        <w:ind w:left="1914" w:right="515" w:hanging="1133"/>
      </w:pPr>
      <w:r>
        <w:rPr/>
        <w:t>Figura 6. Mapa conceptual de la clasificación de los SRA de acuerdo con el tipo de agua, temperatura y nivel trófico (en azul ubicación de SRA usado en esta investigación)</w:t>
      </w:r>
      <w:r>
        <w:rPr>
          <w:rFonts w:ascii="Times New Roman" w:hAnsi="Times New Roman"/>
        </w:rPr>
        <w:tab/>
      </w:r>
      <w:r>
        <w:rPr/>
        <w:t>35</w:t>
      </w:r>
    </w:p>
    <w:p>
      <w:pPr>
        <w:pStyle w:val="BodyText"/>
        <w:tabs>
          <w:tab w:pos="9357" w:val="left" w:leader="dot"/>
        </w:tabs>
        <w:spacing w:line="360" w:lineRule="auto" w:before="3"/>
        <w:ind w:left="1914" w:right="515" w:hanging="1133"/>
      </w:pPr>
      <w:r>
        <w:rPr/>
        <w:t>Figura 7. Sistema de recirculación acuícola para el cultivo de cría y juvenil de trucha (Gallego,</w:t>
      </w:r>
      <w:r>
        <w:rPr>
          <w:spacing w:val="-3"/>
        </w:rPr>
        <w:t> </w:t>
      </w:r>
      <w:r>
        <w:rPr/>
        <w:t>2004)</w:t>
      </w:r>
      <w:r>
        <w:rPr>
          <w:rFonts w:ascii="Times New Roman" w:hAnsi="Times New Roman"/>
        </w:rPr>
        <w:tab/>
      </w:r>
      <w:r>
        <w:rPr/>
        <w:t>39</w:t>
      </w:r>
    </w:p>
    <w:p>
      <w:pPr>
        <w:pStyle w:val="BodyText"/>
        <w:tabs>
          <w:tab w:pos="9361" w:val="left" w:leader="dot"/>
        </w:tabs>
        <w:spacing w:before="3"/>
        <w:ind w:left="781"/>
      </w:pPr>
      <w:r>
        <w:rPr/>
        <w:t>Figura 8. SRA para el cultivo de trucha arco iris propuesto por</w:t>
      </w:r>
      <w:r>
        <w:rPr>
          <w:spacing w:val="-26"/>
        </w:rPr>
        <w:t> </w:t>
      </w:r>
      <w:r>
        <w:rPr/>
        <w:t>García</w:t>
      </w:r>
      <w:r>
        <w:rPr>
          <w:spacing w:val="-1"/>
        </w:rPr>
        <w:t> </w:t>
      </w:r>
      <w:r>
        <w:rPr/>
        <w:t>(2008)</w:t>
      </w:r>
      <w:r>
        <w:rPr>
          <w:rFonts w:ascii="Times New Roman" w:hAnsi="Times New Roman"/>
        </w:rPr>
        <w:tab/>
      </w:r>
      <w:r>
        <w:rPr/>
        <w:t>40</w:t>
      </w:r>
    </w:p>
    <w:p>
      <w:pPr>
        <w:pStyle w:val="BodyText"/>
        <w:tabs>
          <w:tab w:pos="9362" w:val="left" w:leader="dot"/>
        </w:tabs>
        <w:spacing w:before="126"/>
        <w:ind w:left="781"/>
      </w:pPr>
      <w:r>
        <w:rPr/>
        <w:t>Figura 9. Eficiencia de remoción reportada por García </w:t>
      </w:r>
      <w:r>
        <w:rPr>
          <w:i/>
        </w:rPr>
        <w:t>et al.</w:t>
      </w:r>
      <w:r>
        <w:rPr>
          <w:i/>
          <w:spacing w:val="-19"/>
        </w:rPr>
        <w:t> </w:t>
      </w:r>
      <w:r>
        <w:rPr/>
        <w:t>(en</w:t>
      </w:r>
      <w:r>
        <w:rPr>
          <w:spacing w:val="-4"/>
        </w:rPr>
        <w:t> </w:t>
      </w:r>
      <w:r>
        <w:rPr/>
        <w:t>prensa)</w:t>
      </w:r>
      <w:r>
        <w:rPr>
          <w:rFonts w:ascii="Times New Roman" w:hAnsi="Times New Roman"/>
        </w:rPr>
        <w:tab/>
      </w:r>
      <w:r>
        <w:rPr/>
        <w:t>41</w:t>
      </w:r>
    </w:p>
    <w:p>
      <w:pPr>
        <w:pStyle w:val="BodyText"/>
        <w:spacing w:line="360" w:lineRule="auto" w:before="126"/>
        <w:ind w:left="1914" w:right="506" w:hanging="1133"/>
      </w:pPr>
      <w:r>
        <w:rPr/>
        <w:t>Figura 10. Esquema de la metodología propuesta. TVNA: Tasa volumétrica de conversión de nitrógeno amoniacal, TVNC Tasa volumétrica de conversión de nitritos... 54</w:t>
      </w:r>
    </w:p>
    <w:p>
      <w:pPr>
        <w:pStyle w:val="BodyText"/>
        <w:tabs>
          <w:tab w:pos="9359" w:val="left" w:leader="dot"/>
        </w:tabs>
        <w:spacing w:before="3"/>
        <w:ind w:left="781"/>
      </w:pPr>
      <w:r>
        <w:rPr/>
        <w:t>Figura 11. Reservorios de almacenamiento de</w:t>
      </w:r>
      <w:r>
        <w:rPr>
          <w:spacing w:val="-19"/>
        </w:rPr>
        <w:t> </w:t>
      </w:r>
      <w:r>
        <w:rPr/>
        <w:t>agua</w:t>
      </w:r>
      <w:r>
        <w:rPr>
          <w:spacing w:val="-2"/>
        </w:rPr>
        <w:t> </w:t>
      </w:r>
      <w:r>
        <w:rPr/>
        <w:t>pluvial</w:t>
      </w:r>
      <w:r>
        <w:rPr>
          <w:rFonts w:ascii="Times New Roman"/>
        </w:rPr>
        <w:tab/>
      </w:r>
      <w:r>
        <w:rPr/>
        <w:t>55</w:t>
      </w:r>
    </w:p>
    <w:p>
      <w:pPr>
        <w:pStyle w:val="BodyText"/>
        <w:tabs>
          <w:tab w:pos="9358" w:val="left" w:leader="dot"/>
        </w:tabs>
        <w:spacing w:line="362" w:lineRule="auto" w:before="126"/>
        <w:ind w:left="1914" w:right="514" w:hanging="1133"/>
      </w:pPr>
      <w:r>
        <w:rPr/>
        <w:t>Figura 12. Prototipo construido en la playa de modelos a escala reducida del laboratorio de</w:t>
      </w:r>
      <w:r>
        <w:rPr>
          <w:spacing w:val="-2"/>
        </w:rPr>
        <w:t> </w:t>
      </w:r>
      <w:r>
        <w:rPr/>
        <w:t>modelos</w:t>
      </w:r>
      <w:r>
        <w:rPr>
          <w:spacing w:val="-3"/>
        </w:rPr>
        <w:t> </w:t>
      </w:r>
      <w:r>
        <w:rPr/>
        <w:t>hidráulicos</w:t>
      </w:r>
      <w:r>
        <w:rPr>
          <w:rFonts w:ascii="Times New Roman" w:hAnsi="Times New Roman"/>
        </w:rPr>
        <w:tab/>
      </w:r>
      <w:r>
        <w:rPr/>
        <w:t>57</w:t>
      </w:r>
    </w:p>
    <w:p>
      <w:pPr>
        <w:pStyle w:val="BodyText"/>
        <w:tabs>
          <w:tab w:pos="9360" w:val="left" w:leader="dot"/>
        </w:tabs>
        <w:spacing w:before="1"/>
        <w:ind w:left="781"/>
      </w:pPr>
      <w:r>
        <w:rPr/>
        <w:t>Figura 13. Sistema de recirculación acuícola</w:t>
      </w:r>
      <w:r>
        <w:rPr>
          <w:spacing w:val="-18"/>
        </w:rPr>
        <w:t> </w:t>
      </w:r>
      <w:r>
        <w:rPr/>
        <w:t>prototipo</w:t>
      </w:r>
      <w:r>
        <w:rPr>
          <w:spacing w:val="-2"/>
        </w:rPr>
        <w:t> </w:t>
      </w:r>
      <w:r>
        <w:rPr/>
        <w:t>utilizado</w:t>
      </w:r>
      <w:r>
        <w:rPr>
          <w:rFonts w:ascii="Times New Roman" w:hAnsi="Times New Roman"/>
        </w:rPr>
        <w:tab/>
      </w:r>
      <w:r>
        <w:rPr/>
        <w:t>57</w:t>
      </w:r>
    </w:p>
    <w:p>
      <w:pPr>
        <w:pStyle w:val="BodyText"/>
        <w:tabs>
          <w:tab w:pos="9357" w:val="left" w:leader="dot"/>
        </w:tabs>
        <w:spacing w:line="360" w:lineRule="auto" w:before="126"/>
        <w:ind w:left="1914" w:right="515" w:hanging="1133"/>
      </w:pPr>
      <w:r>
        <w:rPr/>
        <w:t>Figura 14. Vista en planta y corte transversal del estanque y sedimentador (cotas en metros)</w:t>
      </w:r>
      <w:r>
        <w:rPr>
          <w:rFonts w:ascii="Times New Roman"/>
        </w:rPr>
        <w:tab/>
      </w:r>
      <w:r>
        <w:rPr/>
        <w:t>58</w:t>
      </w:r>
    </w:p>
    <w:p>
      <w:pPr>
        <w:pStyle w:val="BodyText"/>
        <w:tabs>
          <w:tab w:pos="9357" w:val="left" w:leader="dot"/>
        </w:tabs>
        <w:spacing w:before="3"/>
        <w:ind w:left="781"/>
      </w:pPr>
      <w:r>
        <w:rPr/>
        <w:t>Figura 15. Estanque</w:t>
      </w:r>
      <w:r>
        <w:rPr>
          <w:spacing w:val="-9"/>
        </w:rPr>
        <w:t> </w:t>
      </w:r>
      <w:r>
        <w:rPr/>
        <w:t>y</w:t>
      </w:r>
      <w:r>
        <w:rPr>
          <w:spacing w:val="-3"/>
        </w:rPr>
        <w:t> </w:t>
      </w:r>
      <w:r>
        <w:rPr/>
        <w:t>sedimentador</w:t>
      </w:r>
      <w:r>
        <w:rPr>
          <w:rFonts w:ascii="Times New Roman"/>
        </w:rPr>
        <w:tab/>
      </w:r>
      <w:r>
        <w:rPr/>
        <w:t>59</w:t>
      </w:r>
    </w:p>
    <w:p>
      <w:pPr>
        <w:pStyle w:val="BodyText"/>
        <w:tabs>
          <w:tab w:pos="9360" w:val="left" w:leader="dot"/>
        </w:tabs>
        <w:spacing w:before="126"/>
        <w:ind w:left="781"/>
      </w:pPr>
      <w:r>
        <w:rPr/>
        <w:t>Figura 16. Empaque utilizado en el biofiltro</w:t>
      </w:r>
      <w:r>
        <w:rPr>
          <w:spacing w:val="-17"/>
        </w:rPr>
        <w:t> </w:t>
      </w:r>
      <w:r>
        <w:rPr/>
        <w:t>(poliducto</w:t>
      </w:r>
      <w:r>
        <w:rPr>
          <w:spacing w:val="-4"/>
        </w:rPr>
        <w:t> </w:t>
      </w:r>
      <w:r>
        <w:rPr/>
        <w:t>flexible)</w:t>
      </w:r>
      <w:r>
        <w:rPr>
          <w:rFonts w:ascii="Times New Roman"/>
        </w:rPr>
        <w:tab/>
      </w:r>
      <w:r>
        <w:rPr/>
        <w:t>61</w:t>
      </w:r>
    </w:p>
    <w:p>
      <w:pPr>
        <w:pStyle w:val="BodyText"/>
        <w:tabs>
          <w:tab w:pos="9359" w:val="left" w:leader="dot"/>
        </w:tabs>
        <w:spacing w:before="126"/>
        <w:ind w:left="781"/>
      </w:pPr>
      <w:r>
        <w:rPr/>
        <w:t>Figura 17. Diseño de la torre de tratamiento (cotas</w:t>
      </w:r>
      <w:r>
        <w:rPr>
          <w:spacing w:val="-19"/>
        </w:rPr>
        <w:t> </w:t>
      </w:r>
      <w:r>
        <w:rPr/>
        <w:t>en</w:t>
      </w:r>
      <w:r>
        <w:rPr>
          <w:spacing w:val="-4"/>
        </w:rPr>
        <w:t> </w:t>
      </w:r>
      <w:r>
        <w:rPr/>
        <w:t>metros)</w:t>
      </w:r>
      <w:r>
        <w:rPr>
          <w:rFonts w:ascii="Times New Roman" w:hAnsi="Times New Roman"/>
        </w:rPr>
        <w:tab/>
      </w:r>
      <w:r>
        <w:rPr/>
        <w:t>63</w:t>
      </w:r>
    </w:p>
    <w:p>
      <w:pPr>
        <w:pStyle w:val="BodyText"/>
        <w:tabs>
          <w:tab w:pos="9361" w:val="left" w:leader="dot"/>
        </w:tabs>
        <w:spacing w:before="126"/>
        <w:ind w:left="781"/>
      </w:pPr>
      <w:r>
        <w:rPr/>
        <w:t>Figura 18. Esquema isométrico sistema prototipo (cotas</w:t>
      </w:r>
      <w:r>
        <w:rPr>
          <w:spacing w:val="-14"/>
        </w:rPr>
        <w:t> </w:t>
      </w:r>
      <w:r>
        <w:rPr/>
        <w:t>en</w:t>
      </w:r>
      <w:r>
        <w:rPr>
          <w:spacing w:val="-6"/>
        </w:rPr>
        <w:t> </w:t>
      </w:r>
      <w:r>
        <w:rPr/>
        <w:t>metros)</w:t>
      </w:r>
      <w:r>
        <w:rPr>
          <w:rFonts w:ascii="Times New Roman" w:hAnsi="Times New Roman"/>
        </w:rPr>
        <w:tab/>
      </w:r>
      <w:r>
        <w:rPr/>
        <w:t>64</w:t>
      </w:r>
    </w:p>
    <w:p>
      <w:pPr>
        <w:pStyle w:val="BodyText"/>
        <w:tabs>
          <w:tab w:pos="9361" w:val="left" w:leader="dot"/>
        </w:tabs>
        <w:spacing w:before="128"/>
        <w:ind w:left="781"/>
      </w:pPr>
      <w:r>
        <w:rPr/>
        <w:t>Figura 19. Puntos de muestreo en el sistema (cotas</w:t>
      </w:r>
      <w:r>
        <w:rPr>
          <w:spacing w:val="-20"/>
        </w:rPr>
        <w:t> </w:t>
      </w:r>
      <w:r>
        <w:rPr/>
        <w:t>en</w:t>
      </w:r>
      <w:r>
        <w:rPr>
          <w:spacing w:val="-3"/>
        </w:rPr>
        <w:t> </w:t>
      </w:r>
      <w:r>
        <w:rPr/>
        <w:t>metros)</w:t>
      </w:r>
      <w:r>
        <w:rPr>
          <w:rFonts w:ascii="Times New Roman"/>
        </w:rPr>
        <w:tab/>
      </w:r>
      <w:r>
        <w:rPr/>
        <w:t>67</w:t>
      </w:r>
    </w:p>
    <w:p>
      <w:pPr>
        <w:pStyle w:val="BodyText"/>
        <w:tabs>
          <w:tab w:pos="9357" w:val="left" w:leader="dot"/>
        </w:tabs>
        <w:spacing w:line="360" w:lineRule="auto" w:before="126"/>
        <w:ind w:left="1914" w:right="506" w:hanging="1133"/>
      </w:pPr>
      <w:r>
        <w:rPr/>
        <w:t>Figura 20. Respirómetro utilizado para determinar las velocidades de consumo de oxígeno de la trucha</w:t>
      </w:r>
      <w:r>
        <w:rPr>
          <w:rFonts w:ascii="Times New Roman" w:hAnsi="Times New Roman"/>
        </w:rPr>
        <w:tab/>
      </w:r>
      <w:r>
        <w:rPr/>
        <w:t>71</w:t>
      </w:r>
    </w:p>
    <w:p>
      <w:pPr>
        <w:pStyle w:val="BodyText"/>
        <w:tabs>
          <w:tab w:pos="9360" w:val="left" w:leader="dot"/>
        </w:tabs>
        <w:spacing w:before="3"/>
        <w:ind w:left="781"/>
      </w:pPr>
      <w:r>
        <w:rPr/>
        <w:t>Figura 21. Equipo montado para medir la velocidad del agua en</w:t>
      </w:r>
      <w:r>
        <w:rPr>
          <w:spacing w:val="-26"/>
        </w:rPr>
        <w:t> </w:t>
      </w:r>
      <w:r>
        <w:rPr/>
        <w:t>el</w:t>
      </w:r>
      <w:r>
        <w:rPr>
          <w:spacing w:val="-3"/>
        </w:rPr>
        <w:t> </w:t>
      </w:r>
      <w:r>
        <w:rPr/>
        <w:t>estanque</w:t>
      </w:r>
      <w:r>
        <w:rPr>
          <w:rFonts w:ascii="Times New Roman"/>
        </w:rPr>
        <w:tab/>
      </w:r>
      <w:r>
        <w:rPr/>
        <w:t>78</w:t>
      </w:r>
    </w:p>
    <w:p>
      <w:pPr>
        <w:pStyle w:val="BodyText"/>
        <w:tabs>
          <w:tab w:pos="9361" w:val="left" w:leader="dot"/>
        </w:tabs>
        <w:spacing w:before="126"/>
        <w:ind w:left="781"/>
      </w:pPr>
      <w:r>
        <w:rPr/>
        <w:t>Figura 22. Curva de maduración del tren de tratamiento en la</w:t>
      </w:r>
      <w:r>
        <w:rPr>
          <w:spacing w:val="-22"/>
        </w:rPr>
        <w:t> </w:t>
      </w:r>
      <w:r>
        <w:rPr/>
        <w:t>primera</w:t>
      </w:r>
      <w:r>
        <w:rPr>
          <w:spacing w:val="-3"/>
        </w:rPr>
        <w:t> </w:t>
      </w:r>
      <w:r>
        <w:rPr/>
        <w:t>etapa</w:t>
      </w:r>
      <w:r>
        <w:rPr>
          <w:rFonts w:ascii="Times New Roman" w:hAnsi="Times New Roman"/>
        </w:rPr>
        <w:tab/>
      </w:r>
      <w:r>
        <w:rPr/>
        <w:t>80</w:t>
      </w:r>
    </w:p>
    <w:p>
      <w:pPr>
        <w:spacing w:after="0"/>
        <w:sectPr>
          <w:pgSz w:w="12240" w:h="15840"/>
          <w:pgMar w:header="725" w:footer="1084" w:top="1340" w:bottom="1280" w:left="920" w:right="1200"/>
        </w:sectPr>
      </w:pPr>
    </w:p>
    <w:p>
      <w:pPr>
        <w:pStyle w:val="BodyText"/>
        <w:spacing w:before="10"/>
        <w:rPr>
          <w:sz w:val="8"/>
        </w:rPr>
      </w:pPr>
    </w:p>
    <w:p>
      <w:pPr>
        <w:pStyle w:val="BodyText"/>
        <w:tabs>
          <w:tab w:pos="9606" w:val="right" w:leader="dot"/>
        </w:tabs>
        <w:spacing w:before="73"/>
        <w:ind w:left="781"/>
      </w:pPr>
      <w:r>
        <w:rPr/>
        <w:t>Figura 23. Maduración del tren de tratamiento en la reposición</w:t>
      </w:r>
      <w:r>
        <w:rPr>
          <w:spacing w:val="-13"/>
        </w:rPr>
        <w:t> </w:t>
      </w:r>
      <w:r>
        <w:rPr/>
        <w:t>de biomasa</w:t>
      </w:r>
      <w:r>
        <w:rPr>
          <w:rFonts w:ascii="Times New Roman" w:hAnsi="Times New Roman"/>
        </w:rPr>
        <w:tab/>
      </w:r>
      <w:r>
        <w:rPr/>
        <w:t>81</w:t>
      </w:r>
    </w:p>
    <w:p>
      <w:pPr>
        <w:pStyle w:val="BodyText"/>
        <w:tabs>
          <w:tab w:pos="9604" w:val="right" w:leader="dot"/>
        </w:tabs>
        <w:spacing w:before="126"/>
        <w:ind w:left="781"/>
      </w:pPr>
      <w:r>
        <w:rPr/>
        <w:t>Figura 24. Temperatura observada en el estanque</w:t>
      </w:r>
      <w:r>
        <w:rPr>
          <w:spacing w:val="-9"/>
        </w:rPr>
        <w:t> </w:t>
      </w:r>
      <w:r>
        <w:rPr/>
        <w:t>del</w:t>
      </w:r>
      <w:r>
        <w:rPr>
          <w:spacing w:val="-1"/>
        </w:rPr>
        <w:t> </w:t>
      </w:r>
      <w:r>
        <w:rPr/>
        <w:t>SRA</w:t>
      </w:r>
      <w:r>
        <w:rPr>
          <w:rFonts w:ascii="Times New Roman"/>
        </w:rPr>
        <w:tab/>
      </w:r>
      <w:r>
        <w:rPr/>
        <w:t>82</w:t>
      </w:r>
    </w:p>
    <w:p>
      <w:pPr>
        <w:pStyle w:val="BodyText"/>
        <w:tabs>
          <w:tab w:pos="9606" w:val="right" w:leader="dot"/>
        </w:tabs>
        <w:spacing w:before="126"/>
        <w:ind w:left="781"/>
      </w:pPr>
      <w:r>
        <w:rPr/>
        <w:t>Figura 25. Biomasa producida y densidad alcanzada en</w:t>
      </w:r>
      <w:r>
        <w:rPr>
          <w:spacing w:val="-5"/>
        </w:rPr>
        <w:t> </w:t>
      </w:r>
      <w:r>
        <w:rPr/>
        <w:t>el</w:t>
      </w:r>
      <w:r>
        <w:rPr>
          <w:spacing w:val="-1"/>
        </w:rPr>
        <w:t> </w:t>
      </w:r>
      <w:r>
        <w:rPr/>
        <w:t>SRA</w:t>
      </w:r>
      <w:r>
        <w:rPr>
          <w:rFonts w:ascii="Times New Roman"/>
        </w:rPr>
        <w:tab/>
      </w:r>
      <w:r>
        <w:rPr/>
        <w:t>84</w:t>
      </w:r>
    </w:p>
    <w:p>
      <w:pPr>
        <w:pStyle w:val="BodyText"/>
        <w:tabs>
          <w:tab w:pos="9605" w:val="right" w:leader="dot"/>
        </w:tabs>
        <w:spacing w:before="126"/>
        <w:ind w:left="781"/>
      </w:pPr>
      <w:r>
        <w:rPr/>
        <w:t>Figura 26. Mortalidad en el cultivo de la trucha arco iris en</w:t>
      </w:r>
      <w:r>
        <w:rPr>
          <w:spacing w:val="-6"/>
        </w:rPr>
        <w:t> </w:t>
      </w:r>
      <w:r>
        <w:rPr/>
        <w:t>el</w:t>
      </w:r>
      <w:r>
        <w:rPr>
          <w:spacing w:val="-1"/>
        </w:rPr>
        <w:t> </w:t>
      </w:r>
      <w:r>
        <w:rPr/>
        <w:t>SRA</w:t>
      </w:r>
      <w:r>
        <w:rPr>
          <w:rFonts w:ascii="Times New Roman"/>
        </w:rPr>
        <w:tab/>
      </w:r>
      <w:r>
        <w:rPr/>
        <w:t>85</w:t>
      </w:r>
    </w:p>
    <w:p>
      <w:pPr>
        <w:pStyle w:val="BodyText"/>
        <w:tabs>
          <w:tab w:pos="9606" w:val="right" w:leader="dot"/>
        </w:tabs>
        <w:spacing w:before="126"/>
        <w:ind w:left="781"/>
      </w:pPr>
      <w:r>
        <w:rPr/>
        <w:t>Figura 27. Desarrollo de la trucha arco iris en el sistema (relación longitud</w:t>
      </w:r>
      <w:r>
        <w:rPr>
          <w:spacing w:val="-18"/>
        </w:rPr>
        <w:t> </w:t>
      </w:r>
      <w:r>
        <w:rPr/>
        <w:t>– peso)</w:t>
      </w:r>
      <w:r>
        <w:rPr>
          <w:rFonts w:ascii="Times New Roman" w:hAnsi="Times New Roman"/>
        </w:rPr>
        <w:tab/>
      </w:r>
      <w:r>
        <w:rPr/>
        <w:t>86</w:t>
      </w:r>
    </w:p>
    <w:p>
      <w:pPr>
        <w:pStyle w:val="BodyText"/>
        <w:tabs>
          <w:tab w:pos="9606" w:val="right" w:leader="dot"/>
        </w:tabs>
        <w:spacing w:before="128"/>
        <w:ind w:left="781"/>
      </w:pPr>
      <w:r>
        <w:rPr/>
        <w:t>Figura 28. Condición corporal de la trucha de acuerdo al Factor</w:t>
      </w:r>
      <w:r>
        <w:rPr>
          <w:spacing w:val="-12"/>
        </w:rPr>
        <w:t> </w:t>
      </w:r>
      <w:r>
        <w:rPr/>
        <w:t>de</w:t>
      </w:r>
      <w:r>
        <w:rPr>
          <w:spacing w:val="-3"/>
        </w:rPr>
        <w:t> </w:t>
      </w:r>
      <w:r>
        <w:rPr/>
        <w:t>Fulton</w:t>
      </w:r>
      <w:r>
        <w:rPr>
          <w:rFonts w:ascii="Times New Roman" w:hAnsi="Times New Roman"/>
        </w:rPr>
        <w:tab/>
      </w:r>
      <w:r>
        <w:rPr/>
        <w:t>88</w:t>
      </w:r>
    </w:p>
    <w:p>
      <w:pPr>
        <w:pStyle w:val="BodyText"/>
        <w:tabs>
          <w:tab w:pos="9605" w:val="right" w:leader="dot"/>
        </w:tabs>
        <w:spacing w:before="126"/>
        <w:ind w:left="781"/>
      </w:pPr>
      <w:r>
        <w:rPr/>
        <w:t>Figura 29. Concentración de oxígeno disuelto en el estanque</w:t>
      </w:r>
      <w:r>
        <w:rPr>
          <w:spacing w:val="-9"/>
        </w:rPr>
        <w:t> </w:t>
      </w:r>
      <w:r>
        <w:rPr/>
        <w:t>de</w:t>
      </w:r>
      <w:r>
        <w:rPr>
          <w:spacing w:val="-3"/>
        </w:rPr>
        <w:t> </w:t>
      </w:r>
      <w:r>
        <w:rPr/>
        <w:t>cultivo</w:t>
      </w:r>
      <w:r>
        <w:rPr>
          <w:rFonts w:ascii="Times New Roman" w:hAnsi="Times New Roman"/>
        </w:rPr>
        <w:tab/>
      </w:r>
      <w:r>
        <w:rPr/>
        <w:t>89</w:t>
      </w:r>
    </w:p>
    <w:p>
      <w:pPr>
        <w:pStyle w:val="BodyText"/>
        <w:tabs>
          <w:tab w:pos="9604" w:val="right" w:leader="dot"/>
        </w:tabs>
        <w:spacing w:before="126"/>
        <w:ind w:left="781"/>
      </w:pPr>
      <w:r>
        <w:rPr/>
        <w:t>Figura 30. Comportamiento del pH en el estanque</w:t>
      </w:r>
      <w:r>
        <w:rPr>
          <w:spacing w:val="-5"/>
        </w:rPr>
        <w:t> </w:t>
      </w:r>
      <w:r>
        <w:rPr/>
        <w:t>de cultivo</w:t>
      </w:r>
      <w:r>
        <w:rPr>
          <w:rFonts w:ascii="Times New Roman"/>
        </w:rPr>
        <w:tab/>
      </w:r>
      <w:r>
        <w:rPr/>
        <w:t>91</w:t>
      </w:r>
    </w:p>
    <w:p>
      <w:pPr>
        <w:pStyle w:val="BodyText"/>
        <w:tabs>
          <w:tab w:pos="9605" w:val="right" w:leader="dot"/>
        </w:tabs>
        <w:spacing w:line="360" w:lineRule="auto" w:before="126"/>
        <w:ind w:left="1914" w:right="512" w:hanging="1133"/>
      </w:pPr>
      <w:r>
        <w:rPr/>
        <w:t>Figura 31. Comportamiento de las concentraciones y eficiencia de remoción de los diferentes parámetros en</w:t>
      </w:r>
      <w:r>
        <w:rPr>
          <w:spacing w:val="-5"/>
        </w:rPr>
        <w:t> </w:t>
      </w:r>
      <w:r>
        <w:rPr/>
        <w:t>el</w:t>
      </w:r>
      <w:r>
        <w:rPr>
          <w:spacing w:val="-1"/>
        </w:rPr>
        <w:t> </w:t>
      </w:r>
      <w:r>
        <w:rPr/>
        <w:t>percolador</w:t>
      </w:r>
      <w:r>
        <w:rPr>
          <w:rFonts w:ascii="Times New Roman" w:hAnsi="Times New Roman"/>
        </w:rPr>
        <w:tab/>
      </w:r>
      <w:r>
        <w:rPr/>
        <w:t>93</w:t>
      </w:r>
    </w:p>
    <w:p>
      <w:pPr>
        <w:pStyle w:val="BodyText"/>
        <w:tabs>
          <w:tab w:pos="9605" w:val="right" w:leader="dot"/>
        </w:tabs>
        <w:spacing w:line="360" w:lineRule="auto" w:before="3"/>
        <w:ind w:left="1914" w:right="512" w:hanging="1133"/>
      </w:pPr>
      <w:r>
        <w:rPr/>
        <w:t>Figura 32. Comportamiento de las concentraciones y eficiencia de remoción de los diferentes parámetros en el filtro</w:t>
      </w:r>
      <w:r>
        <w:rPr>
          <w:spacing w:val="-7"/>
        </w:rPr>
        <w:t> </w:t>
      </w:r>
      <w:r>
        <w:rPr/>
        <w:t>de</w:t>
      </w:r>
      <w:r>
        <w:rPr>
          <w:spacing w:val="-3"/>
        </w:rPr>
        <w:t> </w:t>
      </w:r>
      <w:r>
        <w:rPr/>
        <w:t>arena</w:t>
      </w:r>
      <w:r>
        <w:rPr>
          <w:rFonts w:ascii="Times New Roman" w:hAnsi="Times New Roman"/>
        </w:rPr>
        <w:tab/>
      </w:r>
      <w:r>
        <w:rPr/>
        <w:t>96</w:t>
      </w:r>
    </w:p>
    <w:p>
      <w:pPr>
        <w:pStyle w:val="BodyText"/>
        <w:tabs>
          <w:tab w:pos="9602" w:val="right" w:leader="dot"/>
        </w:tabs>
        <w:spacing w:line="360" w:lineRule="auto" w:before="3"/>
        <w:ind w:left="1914" w:right="515" w:hanging="1133"/>
      </w:pPr>
      <w:r>
        <w:rPr/>
        <w:t>Figura 33. Esquema del balance de masas para SST en el estanque de cultivo y el sedimentador</w:t>
      </w:r>
      <w:r>
        <w:rPr>
          <w:rFonts w:ascii="Times New Roman"/>
        </w:rPr>
        <w:tab/>
      </w:r>
      <w:r>
        <w:rPr/>
        <w:t>98</w:t>
      </w:r>
    </w:p>
    <w:p>
      <w:pPr>
        <w:pStyle w:val="BodyText"/>
        <w:tabs>
          <w:tab w:pos="9606" w:val="right" w:leader="dot"/>
        </w:tabs>
        <w:spacing w:line="360" w:lineRule="auto" w:before="5"/>
        <w:ind w:left="1914" w:right="511" w:hanging="1133"/>
      </w:pPr>
      <w:r>
        <w:rPr/>
        <w:t>Figura 34. Comportamiento de las concentraciones y eficiencia de remoción de los diferentes parámetros en el estanque</w:t>
      </w:r>
      <w:r>
        <w:rPr>
          <w:spacing w:val="-8"/>
        </w:rPr>
        <w:t> </w:t>
      </w:r>
      <w:r>
        <w:rPr/>
        <w:t>–</w:t>
      </w:r>
      <w:r>
        <w:rPr>
          <w:spacing w:val="-3"/>
        </w:rPr>
        <w:t> </w:t>
      </w:r>
      <w:r>
        <w:rPr/>
        <w:t>sedimentador</w:t>
      </w:r>
      <w:r>
        <w:rPr>
          <w:rFonts w:ascii="Times New Roman" w:hAnsi="Times New Roman"/>
        </w:rPr>
        <w:tab/>
      </w:r>
      <w:r>
        <w:rPr/>
        <w:t>99</w:t>
      </w:r>
    </w:p>
    <w:p>
      <w:pPr>
        <w:pStyle w:val="BodyText"/>
        <w:tabs>
          <w:tab w:pos="9605" w:val="right" w:leader="dot"/>
        </w:tabs>
        <w:spacing w:line="360" w:lineRule="auto" w:before="3"/>
        <w:ind w:left="1914" w:right="512" w:hanging="1133"/>
      </w:pPr>
      <w:r>
        <w:rPr/>
        <w:t>Figura 35. Comportamiento de las concentraciones y eficiencias de remoción de los diferentes parámetros en el tren</w:t>
      </w:r>
      <w:r>
        <w:rPr>
          <w:spacing w:val="-5"/>
        </w:rPr>
        <w:t> </w:t>
      </w:r>
      <w:r>
        <w:rPr/>
        <w:t>de</w:t>
      </w:r>
      <w:r>
        <w:rPr>
          <w:spacing w:val="-3"/>
        </w:rPr>
        <w:t> </w:t>
      </w:r>
      <w:r>
        <w:rPr/>
        <w:t>tratamiento</w:t>
      </w:r>
      <w:r>
        <w:rPr>
          <w:rFonts w:ascii="Times New Roman" w:hAnsi="Times New Roman"/>
        </w:rPr>
        <w:tab/>
      </w:r>
      <w:r>
        <w:rPr/>
        <w:t>100</w:t>
      </w:r>
    </w:p>
    <w:p>
      <w:pPr>
        <w:pStyle w:val="BodyText"/>
        <w:tabs>
          <w:tab w:pos="9606" w:val="right" w:leader="dot"/>
        </w:tabs>
        <w:spacing w:before="3"/>
        <w:ind w:left="781"/>
      </w:pPr>
      <w:r>
        <w:rPr/>
        <w:t>Figura 36.Esquema utilizado para el balance de masas en el</w:t>
      </w:r>
      <w:r>
        <w:rPr>
          <w:spacing w:val="-17"/>
        </w:rPr>
        <w:t> </w:t>
      </w:r>
      <w:r>
        <w:rPr/>
        <w:t>sistema</w:t>
      </w:r>
      <w:r>
        <w:rPr>
          <w:spacing w:val="-3"/>
        </w:rPr>
        <w:t> </w:t>
      </w:r>
      <w:r>
        <w:rPr/>
        <w:t>prototipo</w:t>
      </w:r>
      <w:r>
        <w:rPr>
          <w:rFonts w:ascii="Times New Roman"/>
        </w:rPr>
        <w:tab/>
      </w:r>
      <w:r>
        <w:rPr/>
        <w:t>106</w:t>
      </w:r>
    </w:p>
    <w:p>
      <w:pPr>
        <w:pStyle w:val="BodyText"/>
        <w:tabs>
          <w:tab w:pos="9605" w:val="right" w:leader="dot"/>
        </w:tabs>
        <w:spacing w:before="126"/>
        <w:ind w:left="781"/>
      </w:pPr>
      <w:r>
        <w:rPr/>
        <w:t>Figura 37. Esquema de generación de residuos en</w:t>
      </w:r>
      <w:r>
        <w:rPr>
          <w:spacing w:val="-13"/>
        </w:rPr>
        <w:t> </w:t>
      </w:r>
      <w:r>
        <w:rPr/>
        <w:t>el estanque</w:t>
      </w:r>
      <w:r>
        <w:rPr>
          <w:rFonts w:ascii="Times New Roman" w:hAnsi="Times New Roman"/>
        </w:rPr>
        <w:tab/>
      </w:r>
      <w:r>
        <w:rPr/>
        <w:t>113</w:t>
      </w:r>
    </w:p>
    <w:p>
      <w:pPr>
        <w:pStyle w:val="BodyText"/>
        <w:tabs>
          <w:tab w:pos="9602" w:val="right" w:leader="dot"/>
        </w:tabs>
        <w:spacing w:line="360" w:lineRule="auto" w:before="126"/>
        <w:ind w:left="1914" w:right="515" w:hanging="1133"/>
      </w:pPr>
      <w:r>
        <w:rPr/>
        <w:t>Figura 38. Efecto de la concentración de nitrógeno amoniacal en el influente y la tasa volumétrica de conversión de nitrógeno amoniacal total (TVNA) en el filtro lento de arena</w:t>
      </w:r>
      <w:r>
        <w:rPr>
          <w:rFonts w:ascii="Times New Roman" w:hAnsi="Times New Roman"/>
        </w:rPr>
        <w:tab/>
      </w:r>
      <w:r>
        <w:rPr/>
        <w:t>116</w:t>
      </w:r>
    </w:p>
    <w:p>
      <w:pPr>
        <w:pStyle w:val="BodyText"/>
        <w:tabs>
          <w:tab w:pos="9602" w:val="right" w:leader="dot"/>
        </w:tabs>
        <w:spacing w:line="360" w:lineRule="auto" w:before="5"/>
        <w:ind w:left="1914" w:right="515" w:hanging="1133"/>
      </w:pPr>
      <w:r>
        <w:rPr/>
        <w:t>Figura 39. Efecto de la concentración de nitrógeno amoniacal en el influente y la tasa volumétrica de conversión de nitrógeno amoniacal total (TVNA) en el percolador</w:t>
      </w:r>
      <w:r>
        <w:rPr>
          <w:rFonts w:ascii="Times New Roman" w:hAnsi="Times New Roman"/>
        </w:rPr>
        <w:tab/>
      </w:r>
      <w:r>
        <w:rPr/>
        <w:t>116</w:t>
      </w:r>
    </w:p>
    <w:p>
      <w:pPr>
        <w:pStyle w:val="BodyText"/>
        <w:spacing w:before="3"/>
        <w:ind w:left="781"/>
      </w:pPr>
      <w:r>
        <w:rPr/>
        <w:t>Figura 40. Comparación de desempeño de filtros de arena de trabajos previos y el actual.</w:t>
      </w:r>
    </w:p>
    <w:p>
      <w:pPr>
        <w:pStyle w:val="BodyText"/>
        <w:spacing w:before="126"/>
        <w:ind w:left="1950"/>
      </w:pPr>
      <w:r>
        <w:rPr/>
        <w:t>.................................................................................................................... </w:t>
      </w:r>
      <w:r>
        <w:rPr>
          <w:spacing w:val="52"/>
        </w:rPr>
        <w:t> </w:t>
      </w:r>
      <w:r>
        <w:rPr/>
        <w:t>118</w:t>
      </w:r>
    </w:p>
    <w:p>
      <w:pPr>
        <w:pStyle w:val="BodyText"/>
        <w:tabs>
          <w:tab w:pos="9601" w:val="right" w:leader="dot"/>
        </w:tabs>
        <w:spacing w:line="360" w:lineRule="auto" w:before="126"/>
        <w:ind w:left="1914" w:right="516" w:hanging="1133"/>
      </w:pPr>
      <w:r>
        <w:rPr/>
        <w:t>Figura 41. Comparación de desempeño de filtros percoladores de trabajos previos y el actual</w:t>
      </w:r>
      <w:r>
        <w:rPr>
          <w:rFonts w:ascii="Times New Roman" w:hAnsi="Times New Roman"/>
        </w:rPr>
        <w:tab/>
      </w:r>
      <w:r>
        <w:rPr/>
        <w:t>118</w:t>
      </w:r>
    </w:p>
    <w:p>
      <w:pPr>
        <w:pStyle w:val="BodyText"/>
        <w:tabs>
          <w:tab w:pos="9602" w:val="right" w:leader="dot"/>
        </w:tabs>
        <w:spacing w:line="360" w:lineRule="auto" w:before="3"/>
        <w:ind w:left="1914" w:right="515" w:hanging="1133"/>
      </w:pPr>
      <w:r>
        <w:rPr/>
        <w:t>Figura 42. Comparación de la TVCN con la concentración de nitrógeno amoniacal y la TVNA del filtro lento</w:t>
      </w:r>
      <w:r>
        <w:rPr>
          <w:spacing w:val="-5"/>
        </w:rPr>
        <w:t> </w:t>
      </w:r>
      <w:r>
        <w:rPr/>
        <w:t>de</w:t>
      </w:r>
      <w:r>
        <w:rPr>
          <w:spacing w:val="-3"/>
        </w:rPr>
        <w:t> </w:t>
      </w:r>
      <w:r>
        <w:rPr/>
        <w:t>arena</w:t>
      </w:r>
      <w:r>
        <w:rPr>
          <w:rFonts w:ascii="Times New Roman" w:hAnsi="Times New Roman"/>
        </w:rPr>
        <w:tab/>
      </w:r>
      <w:r>
        <w:rPr/>
        <w:t>120</w:t>
      </w:r>
    </w:p>
    <w:p>
      <w:pPr>
        <w:pStyle w:val="BodyText"/>
        <w:tabs>
          <w:tab w:pos="9603" w:val="right" w:leader="dot"/>
        </w:tabs>
        <w:spacing w:line="360" w:lineRule="auto" w:before="5"/>
        <w:ind w:left="1914" w:right="514" w:hanging="1133"/>
      </w:pPr>
      <w:r>
        <w:rPr/>
        <w:t>Figura 43. Comparación de la TVCN con la concentración de nitrógeno amoniacal y la TVNA del</w:t>
      </w:r>
      <w:r>
        <w:rPr>
          <w:spacing w:val="-4"/>
        </w:rPr>
        <w:t> </w:t>
      </w:r>
      <w:r>
        <w:rPr/>
        <w:t>filtro</w:t>
      </w:r>
      <w:r>
        <w:rPr>
          <w:spacing w:val="-3"/>
        </w:rPr>
        <w:t> </w:t>
      </w:r>
      <w:r>
        <w:rPr/>
        <w:t>percolador</w:t>
      </w:r>
      <w:r>
        <w:rPr>
          <w:rFonts w:ascii="Times New Roman" w:hAnsi="Times New Roman"/>
        </w:rPr>
        <w:tab/>
      </w:r>
      <w:r>
        <w:rPr/>
        <w:t>120</w:t>
      </w:r>
    </w:p>
    <w:p>
      <w:pPr>
        <w:spacing w:after="0" w:line="360" w:lineRule="auto"/>
        <w:sectPr>
          <w:pgSz w:w="12240" w:h="15840"/>
          <w:pgMar w:header="725" w:footer="1084" w:top="1340" w:bottom="1280" w:left="920" w:right="1200"/>
        </w:sectPr>
      </w:pPr>
    </w:p>
    <w:p>
      <w:pPr>
        <w:pStyle w:val="BodyText"/>
        <w:tabs>
          <w:tab w:pos="9605" w:val="right" w:leader="dot"/>
        </w:tabs>
        <w:spacing w:before="175"/>
        <w:ind w:left="781"/>
      </w:pPr>
      <w:r>
        <w:rPr/>
        <w:t>Figura 44. Saturación de oxígeno en el agua para el caso</w:t>
      </w:r>
      <w:r>
        <w:rPr>
          <w:spacing w:val="-14"/>
        </w:rPr>
        <w:t> </w:t>
      </w:r>
      <w:r>
        <w:rPr/>
        <w:t>de estudio</w:t>
      </w:r>
      <w:r>
        <w:rPr>
          <w:rFonts w:ascii="Times New Roman" w:hAnsi="Times New Roman"/>
        </w:rPr>
        <w:tab/>
      </w:r>
      <w:r>
        <w:rPr/>
        <w:t>122</w:t>
      </w:r>
    </w:p>
    <w:p>
      <w:pPr>
        <w:pStyle w:val="BodyText"/>
        <w:tabs>
          <w:tab w:pos="9604" w:val="right" w:leader="dot"/>
        </w:tabs>
        <w:spacing w:before="126"/>
        <w:ind w:left="781"/>
      </w:pPr>
      <w:r>
        <w:rPr/>
        <w:t>Figura 45. Concentración de equilibrio para</w:t>
      </w:r>
      <w:r>
        <w:rPr>
          <w:spacing w:val="-4"/>
        </w:rPr>
        <w:t> </w:t>
      </w:r>
      <w:r>
        <w:rPr/>
        <w:t>el</w:t>
      </w:r>
      <w:r>
        <w:rPr>
          <w:spacing w:val="-1"/>
        </w:rPr>
        <w:t> </w:t>
      </w:r>
      <w:r>
        <w:rPr/>
        <w:t>SRA</w:t>
      </w:r>
      <w:r>
        <w:rPr>
          <w:rFonts w:ascii="Times New Roman" w:hAnsi="Times New Roman"/>
        </w:rPr>
        <w:tab/>
      </w:r>
      <w:r>
        <w:rPr/>
        <w:t>123</w:t>
      </w:r>
    </w:p>
    <w:p>
      <w:pPr>
        <w:pStyle w:val="BodyText"/>
        <w:tabs>
          <w:tab w:pos="9602" w:val="right" w:leader="dot"/>
        </w:tabs>
        <w:spacing w:line="360" w:lineRule="auto" w:before="126"/>
        <w:ind w:left="1914" w:right="515" w:hanging="1133"/>
      </w:pPr>
      <w:r>
        <w:rPr/>
        <w:t>Figura 46. Porcentaje de impacto de los factores determinantes de la tasa de consumo de oxígeno en</w:t>
      </w:r>
      <w:r>
        <w:rPr>
          <w:spacing w:val="1"/>
        </w:rPr>
        <w:t> </w:t>
      </w:r>
      <w:r>
        <w:rPr/>
        <w:t>los estanques</w:t>
      </w:r>
      <w:r>
        <w:rPr>
          <w:rFonts w:ascii="Times New Roman" w:hAnsi="Times New Roman"/>
        </w:rPr>
        <w:tab/>
      </w:r>
      <w:r>
        <w:rPr/>
        <w:t>124</w:t>
      </w:r>
    </w:p>
    <w:p>
      <w:pPr>
        <w:pStyle w:val="BodyText"/>
        <w:tabs>
          <w:tab w:pos="9606" w:val="right" w:leader="dot"/>
        </w:tabs>
        <w:spacing w:line="362" w:lineRule="auto" w:before="3"/>
        <w:ind w:left="1914" w:right="511" w:hanging="1133"/>
      </w:pPr>
      <w:r>
        <w:rPr/>
        <w:t>Figura 47. Comportamiento de la tasa de consumo de oxígeno a diferentes temperaturas y densidades para la trucha arco iris a</w:t>
      </w:r>
      <w:r>
        <w:rPr>
          <w:spacing w:val="-6"/>
        </w:rPr>
        <w:t> </w:t>
      </w:r>
      <w:r>
        <w:rPr/>
        <w:t>2660</w:t>
      </w:r>
      <w:r>
        <w:rPr>
          <w:spacing w:val="-3"/>
        </w:rPr>
        <w:t> </w:t>
      </w:r>
      <w:r>
        <w:rPr/>
        <w:t>msnm</w:t>
      </w:r>
      <w:r>
        <w:rPr>
          <w:rFonts w:ascii="Times New Roman" w:hAnsi="Times New Roman"/>
        </w:rPr>
        <w:tab/>
      </w:r>
      <w:r>
        <w:rPr/>
        <w:t>126</w:t>
      </w:r>
    </w:p>
    <w:p>
      <w:pPr>
        <w:pStyle w:val="BodyText"/>
        <w:tabs>
          <w:tab w:pos="9606" w:val="right" w:leader="dot"/>
        </w:tabs>
        <w:spacing w:before="1"/>
        <w:ind w:left="781"/>
      </w:pPr>
      <w:r>
        <w:rPr/>
        <w:t>Figura 48. Relación entre la biomasa y la producción de</w:t>
      </w:r>
      <w:r>
        <w:rPr>
          <w:spacing w:val="-11"/>
        </w:rPr>
        <w:t> </w:t>
      </w:r>
      <w:r>
        <w:rPr/>
        <w:t>nitrógeno</w:t>
      </w:r>
      <w:r>
        <w:rPr>
          <w:spacing w:val="-1"/>
        </w:rPr>
        <w:t> </w:t>
      </w:r>
      <w:r>
        <w:rPr/>
        <w:t>amoniacal</w:t>
      </w:r>
      <w:r>
        <w:rPr>
          <w:rFonts w:ascii="Times New Roman" w:hAnsi="Times New Roman"/>
        </w:rPr>
        <w:tab/>
      </w:r>
      <w:r>
        <w:rPr/>
        <w:t>128</w:t>
      </w:r>
    </w:p>
    <w:p>
      <w:pPr>
        <w:pStyle w:val="BodyText"/>
        <w:tabs>
          <w:tab w:pos="9606" w:val="right" w:leader="dot"/>
        </w:tabs>
        <w:spacing w:before="126"/>
        <w:ind w:left="781"/>
      </w:pPr>
      <w:r>
        <w:rPr/>
        <w:t>Figura 49. Relación entre la biomasa y la concentración</w:t>
      </w:r>
      <w:r>
        <w:rPr>
          <w:spacing w:val="-6"/>
        </w:rPr>
        <w:t> </w:t>
      </w:r>
      <w:r>
        <w:rPr/>
        <w:t>de</w:t>
      </w:r>
      <w:r>
        <w:rPr>
          <w:spacing w:val="-3"/>
        </w:rPr>
        <w:t> </w:t>
      </w:r>
      <w:r>
        <w:rPr/>
        <w:t>SST</w:t>
      </w:r>
      <w:r>
        <w:rPr>
          <w:rFonts w:ascii="Times New Roman" w:hAnsi="Times New Roman"/>
        </w:rPr>
        <w:tab/>
      </w:r>
      <w:r>
        <w:rPr/>
        <w:t>130</w:t>
      </w:r>
    </w:p>
    <w:p>
      <w:pPr>
        <w:pStyle w:val="BodyText"/>
        <w:tabs>
          <w:tab w:pos="9604" w:val="right" w:leader="dot"/>
        </w:tabs>
        <w:spacing w:before="126"/>
        <w:ind w:left="781"/>
      </w:pPr>
      <w:r>
        <w:rPr/>
        <w:t>Figura 50. Relación entre la biomasa y la producción</w:t>
      </w:r>
      <w:r>
        <w:rPr>
          <w:spacing w:val="-6"/>
        </w:rPr>
        <w:t> </w:t>
      </w:r>
      <w:r>
        <w:rPr/>
        <w:t>de nitratos</w:t>
      </w:r>
      <w:r>
        <w:rPr>
          <w:rFonts w:ascii="Times New Roman" w:hAnsi="Times New Roman"/>
        </w:rPr>
        <w:tab/>
      </w:r>
      <w:r>
        <w:rPr/>
        <w:t>131</w:t>
      </w:r>
    </w:p>
    <w:p>
      <w:pPr>
        <w:pStyle w:val="BodyText"/>
        <w:tabs>
          <w:tab w:pos="9602" w:val="right" w:leader="dot"/>
        </w:tabs>
        <w:spacing w:line="348" w:lineRule="auto" w:before="101"/>
        <w:ind w:left="1914" w:right="515" w:hanging="1133"/>
      </w:pPr>
      <w:r>
        <w:rPr/>
        <w:t>Figura 51. Comportamiento de los nitratos (N-NO</w:t>
      </w:r>
      <w:r>
        <w:rPr>
          <w:position w:val="-2"/>
          <w:sz w:val="14"/>
        </w:rPr>
        <w:t>3</w:t>
      </w:r>
      <w:r>
        <w:rPr>
          <w:position w:val="10"/>
          <w:sz w:val="14"/>
        </w:rPr>
        <w:t>-</w:t>
      </w:r>
      <w:r>
        <w:rPr/>
        <w:t>) en el influente y efluente del tren de tratamiento</w:t>
      </w:r>
      <w:r>
        <w:rPr>
          <w:rFonts w:ascii="Times New Roman"/>
        </w:rPr>
        <w:tab/>
      </w:r>
      <w:r>
        <w:rPr/>
        <w:t>132</w:t>
      </w:r>
    </w:p>
    <w:p>
      <w:pPr>
        <w:pStyle w:val="BodyText"/>
        <w:tabs>
          <w:tab w:pos="9606" w:val="right" w:leader="dot"/>
        </w:tabs>
        <w:spacing w:before="15"/>
        <w:ind w:left="781"/>
      </w:pPr>
      <w:r>
        <w:rPr/>
        <w:t>Figura 52. Relación de la producción de biomasa y la concentración</w:t>
      </w:r>
      <w:r>
        <w:rPr>
          <w:spacing w:val="-16"/>
        </w:rPr>
        <w:t> </w:t>
      </w:r>
      <w:r>
        <w:rPr/>
        <w:t>de DQO</w:t>
      </w:r>
      <w:r>
        <w:rPr>
          <w:rFonts w:ascii="Times New Roman" w:hAnsi="Times New Roman"/>
        </w:rPr>
        <w:tab/>
      </w:r>
      <w:r>
        <w:rPr/>
        <w:t>133</w:t>
      </w:r>
    </w:p>
    <w:p>
      <w:pPr>
        <w:pStyle w:val="BodyText"/>
        <w:tabs>
          <w:tab w:pos="9601" w:val="right" w:leader="dot"/>
        </w:tabs>
        <w:spacing w:line="360" w:lineRule="auto" w:before="126"/>
        <w:ind w:left="1914" w:right="516" w:hanging="1133"/>
      </w:pPr>
      <w:r>
        <w:rPr/>
        <w:t>Figura 53. Representación gráfica de los valores promedio a la entrada y salida del estanque</w:t>
      </w:r>
      <w:r>
        <w:rPr>
          <w:rFonts w:ascii="Times New Roman" w:hAnsi="Times New Roman"/>
        </w:rPr>
        <w:tab/>
      </w:r>
      <w:r>
        <w:rPr/>
        <w:t>135</w:t>
      </w:r>
    </w:p>
    <w:p>
      <w:pPr>
        <w:pStyle w:val="BodyText"/>
        <w:spacing w:before="5"/>
        <w:ind w:left="781"/>
      </w:pPr>
      <w:r>
        <w:rPr/>
        <w:t>Figura 54. Control del SRA donde se muestra el promedio general por punto de muestreo.</w:t>
      </w:r>
    </w:p>
    <w:p>
      <w:pPr>
        <w:pStyle w:val="BodyText"/>
        <w:spacing w:before="126"/>
        <w:ind w:left="1950"/>
      </w:pPr>
      <w:r>
        <w:rPr/>
        <w:t>.................................................................................................................... </w:t>
      </w:r>
      <w:r>
        <w:rPr>
          <w:spacing w:val="52"/>
        </w:rPr>
        <w:t> </w:t>
      </w:r>
      <w:r>
        <w:rPr/>
        <w:t>136</w:t>
      </w:r>
    </w:p>
    <w:p>
      <w:pPr>
        <w:pStyle w:val="BodyText"/>
        <w:tabs>
          <w:tab w:pos="9602" w:val="right" w:leader="dot"/>
        </w:tabs>
        <w:spacing w:line="360" w:lineRule="auto" w:before="126"/>
        <w:ind w:left="1914" w:right="515" w:hanging="1133"/>
      </w:pPr>
      <w:r>
        <w:rPr/>
        <w:t>Figura 55. Representación gráfica de los valores puntuales en el SRA a la entrada del percolador</w:t>
      </w:r>
      <w:r>
        <w:rPr>
          <w:rFonts w:ascii="Times New Roman" w:hAnsi="Times New Roman"/>
        </w:rPr>
        <w:tab/>
      </w:r>
      <w:r>
        <w:rPr/>
        <w:t>137</w:t>
      </w:r>
    </w:p>
    <w:p>
      <w:pPr>
        <w:pStyle w:val="BodyText"/>
        <w:tabs>
          <w:tab w:pos="9602" w:val="right" w:leader="dot"/>
        </w:tabs>
        <w:spacing w:line="360" w:lineRule="auto" w:before="3"/>
        <w:ind w:left="1914" w:right="515" w:hanging="1133"/>
      </w:pPr>
      <w:r>
        <w:rPr/>
        <w:t>Figura 56. Representación gráfica de los valores puntuales en el SRA a la salida del percolador</w:t>
      </w:r>
      <w:r>
        <w:rPr>
          <w:rFonts w:ascii="Times New Roman" w:hAnsi="Times New Roman"/>
        </w:rPr>
        <w:tab/>
      </w:r>
      <w:r>
        <w:rPr/>
        <w:t>137</w:t>
      </w:r>
    </w:p>
    <w:p>
      <w:pPr>
        <w:pStyle w:val="BodyText"/>
        <w:tabs>
          <w:tab w:pos="9605" w:val="right" w:leader="dot"/>
        </w:tabs>
        <w:spacing w:line="360" w:lineRule="auto" w:before="3"/>
        <w:ind w:left="1914" w:right="512" w:hanging="1133"/>
      </w:pPr>
      <w:r>
        <w:rPr/>
        <w:t>Figura 57. Representación gráfica de los valores puntuales en el SRA a salida del filtro de arena y efluente del tren</w:t>
      </w:r>
      <w:r>
        <w:rPr>
          <w:spacing w:val="-7"/>
        </w:rPr>
        <w:t> </w:t>
      </w:r>
      <w:r>
        <w:rPr/>
        <w:t>de tratamiento</w:t>
      </w:r>
      <w:r>
        <w:rPr>
          <w:rFonts w:ascii="Times New Roman" w:hAnsi="Times New Roman"/>
        </w:rPr>
        <w:tab/>
      </w:r>
      <w:r>
        <w:rPr/>
        <w:t>138</w:t>
      </w:r>
    </w:p>
    <w:p>
      <w:pPr>
        <w:pStyle w:val="BodyText"/>
        <w:tabs>
          <w:tab w:pos="9605" w:val="right" w:leader="dot"/>
        </w:tabs>
        <w:spacing w:line="362" w:lineRule="auto" w:before="3"/>
        <w:ind w:left="1914" w:right="512" w:hanging="1133"/>
      </w:pPr>
      <w:r>
        <w:rPr/>
        <w:t>Figura 58. Representación gráfica de los valores puntuales en el SRA a la salida del estanque e influente del tren</w:t>
      </w:r>
      <w:r>
        <w:rPr>
          <w:spacing w:val="-9"/>
        </w:rPr>
        <w:t> </w:t>
      </w:r>
      <w:r>
        <w:rPr/>
        <w:t>de</w:t>
      </w:r>
      <w:r>
        <w:rPr>
          <w:spacing w:val="-3"/>
        </w:rPr>
        <w:t> </w:t>
      </w:r>
      <w:r>
        <w:rPr/>
        <w:t>tratamiento</w:t>
      </w:r>
      <w:r>
        <w:rPr>
          <w:rFonts w:ascii="Times New Roman" w:hAnsi="Times New Roman"/>
        </w:rPr>
        <w:tab/>
      </w:r>
      <w:r>
        <w:rPr/>
        <w:t>138</w:t>
      </w:r>
    </w:p>
    <w:p>
      <w:pPr>
        <w:spacing w:after="0" w:line="362" w:lineRule="auto"/>
        <w:sectPr>
          <w:pgSz w:w="12240" w:h="15840"/>
          <w:pgMar w:header="725" w:footer="1084" w:top="1340" w:bottom="1280" w:left="920" w:right="1200"/>
        </w:sectPr>
      </w:pPr>
    </w:p>
    <w:p>
      <w:pPr>
        <w:pStyle w:val="Heading5"/>
        <w:spacing w:before="172"/>
        <w:ind w:left="781" w:right="2707"/>
        <w:jc w:val="left"/>
      </w:pPr>
      <w:bookmarkStart w:name="Nomenclatura" w:id="10"/>
      <w:bookmarkEnd w:id="10"/>
      <w:r>
        <w:rPr>
          <w:b w:val="0"/>
        </w:rPr>
      </w:r>
      <w:r>
        <w:rPr/>
        <w:t>NOMENCLATURA</w:t>
      </w:r>
    </w:p>
    <w:p>
      <w:pPr>
        <w:pStyle w:val="Heading5"/>
        <w:tabs>
          <w:tab w:pos="4779" w:val="left" w:leader="none"/>
          <w:tab w:pos="8576" w:val="left" w:leader="none"/>
        </w:tabs>
        <w:spacing w:before="248"/>
        <w:ind w:left="865"/>
        <w:jc w:val="left"/>
      </w:pPr>
      <w:r>
        <w:rPr/>
        <w:t>Nomenclatura</w:t>
        <w:tab/>
        <w:t>Descripción</w:t>
        <w:tab/>
        <w:t>Unidades</w:t>
      </w:r>
    </w:p>
    <w:p>
      <w:pPr>
        <w:spacing w:after="0"/>
        <w:jc w:val="left"/>
        <w:sectPr>
          <w:pgSz w:w="12240" w:h="15840"/>
          <w:pgMar w:header="725" w:footer="1084" w:top="1340" w:bottom="1280" w:left="920" w:right="1200"/>
        </w:sectPr>
      </w:pPr>
    </w:p>
    <w:p>
      <w:pPr>
        <w:spacing w:before="178"/>
        <w:ind w:left="0" w:right="0" w:firstLine="0"/>
        <w:jc w:val="right"/>
        <w:rPr>
          <w:sz w:val="14"/>
        </w:rPr>
      </w:pPr>
      <w:r>
        <w:rPr>
          <w:position w:val="3"/>
          <w:sz w:val="22"/>
        </w:rPr>
        <w:t>a</w:t>
      </w:r>
      <w:r>
        <w:rPr>
          <w:sz w:val="14"/>
        </w:rPr>
        <w:t>AM</w:t>
      </w:r>
    </w:p>
    <w:p>
      <w:pPr>
        <w:pStyle w:val="BodyText"/>
        <w:tabs>
          <w:tab w:pos="6548" w:val="left" w:leader="none"/>
        </w:tabs>
        <w:spacing w:line="117" w:lineRule="auto" w:before="152"/>
        <w:ind w:left="6548" w:right="501" w:hanging="5768"/>
      </w:pPr>
      <w:r>
        <w:rPr/>
        <w:br w:type="column"/>
      </w:r>
      <w:r>
        <w:rPr/>
        <w:t>Producción de</w:t>
      </w:r>
      <w:r>
        <w:rPr>
          <w:spacing w:val="-2"/>
        </w:rPr>
        <w:t> </w:t>
      </w:r>
      <w:r>
        <w:rPr/>
        <w:t>nitrógeno</w:t>
      </w:r>
      <w:r>
        <w:rPr>
          <w:spacing w:val="-6"/>
        </w:rPr>
        <w:t> </w:t>
      </w:r>
      <w:r>
        <w:rPr/>
        <w:t>amoniacal</w:t>
        <w:tab/>
      </w:r>
      <w:r>
        <w:rPr>
          <w:position w:val="13"/>
        </w:rPr>
        <w:t>kg</w:t>
      </w:r>
      <w:r>
        <w:rPr>
          <w:spacing w:val="-3"/>
          <w:position w:val="13"/>
        </w:rPr>
        <w:t> </w:t>
      </w:r>
      <w:r>
        <w:rPr>
          <w:position w:val="13"/>
        </w:rPr>
        <w:t>N-NH</w:t>
      </w:r>
      <w:r>
        <w:rPr>
          <w:position w:val="10"/>
          <w:sz w:val="14"/>
        </w:rPr>
        <w:t>3</w:t>
      </w:r>
      <w:r>
        <w:rPr>
          <w:position w:val="13"/>
        </w:rPr>
        <w:t>/kg</w:t>
      </w:r>
      <w:r>
        <w:rPr>
          <w:w w:val="100"/>
          <w:position w:val="13"/>
        </w:rPr>
        <w:t> </w:t>
      </w:r>
      <w:r>
        <w:rPr/>
        <w:t>de</w:t>
      </w:r>
      <w:r>
        <w:rPr>
          <w:spacing w:val="-2"/>
        </w:rPr>
        <w:t> </w:t>
      </w:r>
      <w:r>
        <w:rPr/>
        <w:t>alimento</w:t>
      </w:r>
    </w:p>
    <w:p>
      <w:pPr>
        <w:spacing w:after="0" w:line="117" w:lineRule="auto"/>
        <w:sectPr>
          <w:type w:val="continuous"/>
          <w:pgSz w:w="12240" w:h="15840"/>
          <w:pgMar w:top="0" w:bottom="0" w:left="920" w:right="1200"/>
          <w:cols w:num="2" w:equalWidth="0">
            <w:col w:w="1114" w:space="739"/>
            <w:col w:w="8267"/>
          </w:cols>
        </w:sectPr>
      </w:pPr>
    </w:p>
    <w:p>
      <w:pPr>
        <w:spacing w:before="153"/>
        <w:ind w:left="0" w:right="0" w:firstLine="0"/>
        <w:jc w:val="right"/>
        <w:rPr>
          <w:sz w:val="14"/>
        </w:rPr>
      </w:pPr>
      <w:r>
        <w:rPr>
          <w:position w:val="3"/>
          <w:sz w:val="22"/>
        </w:rPr>
        <w:t>A</w:t>
      </w:r>
      <w:r>
        <w:rPr>
          <w:sz w:val="14"/>
        </w:rPr>
        <w:t>AM</w:t>
      </w:r>
    </w:p>
    <w:p>
      <w:pPr>
        <w:pStyle w:val="BodyText"/>
        <w:tabs>
          <w:tab w:pos="7350" w:val="right" w:leader="none"/>
        </w:tabs>
        <w:spacing w:line="199" w:lineRule="exact" w:before="25"/>
        <w:ind w:left="781"/>
        <w:rPr>
          <w:sz w:val="14"/>
        </w:rPr>
      </w:pPr>
      <w:r>
        <w:rPr/>
        <w:br w:type="column"/>
      </w:r>
      <w:r>
        <w:rPr/>
        <w:t>Área superficial requerida para remover</w:t>
      </w:r>
      <w:r>
        <w:rPr>
          <w:spacing w:val="-3"/>
        </w:rPr>
        <w:t> </w:t>
      </w:r>
      <w:r>
        <w:rPr/>
        <w:t>la producción</w:t>
      </w:r>
      <w:r>
        <w:rPr>
          <w:rFonts w:ascii="Times New Roman" w:hAnsi="Times New Roman"/>
          <w:position w:val="-2"/>
          <w:sz w:val="14"/>
        </w:rPr>
        <w:tab/>
      </w:r>
      <w:r>
        <w:rPr>
          <w:position w:val="-2"/>
          <w:sz w:val="14"/>
        </w:rPr>
        <w:t>2</w:t>
      </w:r>
    </w:p>
    <w:p>
      <w:pPr>
        <w:pStyle w:val="BodyText"/>
        <w:tabs>
          <w:tab w:pos="7088" w:val="left" w:leader="none"/>
        </w:tabs>
        <w:spacing w:line="300" w:lineRule="exact"/>
        <w:ind w:left="781"/>
      </w:pPr>
      <w:r>
        <w:rPr/>
        <w:t>de</w:t>
      </w:r>
      <w:r>
        <w:rPr>
          <w:spacing w:val="-1"/>
        </w:rPr>
        <w:t> </w:t>
      </w:r>
      <w:r>
        <w:rPr/>
        <w:t>nitrógeno</w:t>
      </w:r>
      <w:r>
        <w:rPr>
          <w:spacing w:val="-3"/>
        </w:rPr>
        <w:t> </w:t>
      </w:r>
      <w:r>
        <w:rPr/>
        <w:t>amoniacal</w:t>
        <w:tab/>
      </w:r>
      <w:r>
        <w:rPr>
          <w:position w:val="12"/>
        </w:rPr>
        <w:t>m</w:t>
      </w:r>
    </w:p>
    <w:p>
      <w:pPr>
        <w:spacing w:after="0" w:line="300" w:lineRule="exact"/>
        <w:sectPr>
          <w:type w:val="continuous"/>
          <w:pgSz w:w="12240" w:h="15840"/>
          <w:pgMar w:top="0" w:bottom="0" w:left="920" w:right="1200"/>
          <w:cols w:num="2" w:equalWidth="0">
            <w:col w:w="1140" w:space="713"/>
            <w:col w:w="8267"/>
          </w:cols>
        </w:sectPr>
      </w:pPr>
    </w:p>
    <w:p>
      <w:pPr>
        <w:tabs>
          <w:tab w:pos="2624" w:val="left" w:leader="none"/>
          <w:tab w:pos="8941" w:val="left" w:leader="none"/>
        </w:tabs>
        <w:spacing w:line="273" w:lineRule="exact" w:before="0"/>
        <w:ind w:left="781" w:right="0" w:firstLine="0"/>
        <w:jc w:val="left"/>
        <w:rPr>
          <w:sz w:val="14"/>
        </w:rPr>
      </w:pPr>
      <w:r>
        <w:rPr>
          <w:i/>
          <w:sz w:val="22"/>
        </w:rPr>
        <w:t>A</w:t>
      </w:r>
      <w:r>
        <w:rPr>
          <w:i/>
          <w:position w:val="-2"/>
          <w:sz w:val="14"/>
        </w:rPr>
        <w:t>cross</w:t>
        <w:tab/>
      </w:r>
      <w:r>
        <w:rPr>
          <w:sz w:val="22"/>
        </w:rPr>
        <w:t>Área seccional</w:t>
      </w:r>
      <w:r>
        <w:rPr>
          <w:spacing w:val="-1"/>
          <w:sz w:val="22"/>
        </w:rPr>
        <w:t> </w:t>
      </w:r>
      <w:r>
        <w:rPr>
          <w:sz w:val="22"/>
        </w:rPr>
        <w:t>del</w:t>
      </w:r>
      <w:r>
        <w:rPr>
          <w:spacing w:val="-4"/>
          <w:sz w:val="22"/>
        </w:rPr>
        <w:t> </w:t>
      </w:r>
      <w:r>
        <w:rPr>
          <w:sz w:val="22"/>
        </w:rPr>
        <w:t>filtro</w:t>
        <w:tab/>
        <w:t>m</w:t>
      </w:r>
      <w:r>
        <w:rPr>
          <w:position w:val="10"/>
          <w:sz w:val="14"/>
        </w:rPr>
        <w:t>2</w:t>
      </w:r>
    </w:p>
    <w:p>
      <w:pPr>
        <w:spacing w:after="0" w:line="273" w:lineRule="exact"/>
        <w:jc w:val="left"/>
        <w:rPr>
          <w:sz w:val="14"/>
        </w:rPr>
        <w:sectPr>
          <w:type w:val="continuous"/>
          <w:pgSz w:w="12240" w:h="15840"/>
          <w:pgMar w:top="0" w:bottom="0" w:left="920" w:right="1200"/>
        </w:sectPr>
      </w:pPr>
    </w:p>
    <w:p>
      <w:pPr>
        <w:spacing w:before="114"/>
        <w:ind w:left="781" w:right="0" w:firstLine="0"/>
        <w:jc w:val="left"/>
        <w:rPr>
          <w:sz w:val="14"/>
        </w:rPr>
      </w:pPr>
      <w:r>
        <w:rPr>
          <w:position w:val="3"/>
          <w:sz w:val="22"/>
        </w:rPr>
        <w:t>a</w:t>
      </w:r>
      <w:r>
        <w:rPr>
          <w:sz w:val="14"/>
        </w:rPr>
        <w:t>DO</w:t>
      </w:r>
    </w:p>
    <w:p>
      <w:pPr>
        <w:spacing w:before="239"/>
        <w:ind w:left="781" w:right="0" w:firstLine="0"/>
        <w:jc w:val="left"/>
        <w:rPr>
          <w:i/>
          <w:sz w:val="14"/>
        </w:rPr>
      </w:pPr>
      <w:r>
        <w:rPr>
          <w:i/>
          <w:w w:val="95"/>
          <w:sz w:val="22"/>
        </w:rPr>
        <w:t>ALK</w:t>
      </w:r>
      <w:r>
        <w:rPr>
          <w:i/>
          <w:w w:val="95"/>
          <w:position w:val="-2"/>
          <w:sz w:val="14"/>
        </w:rPr>
        <w:t>in</w:t>
      </w:r>
    </w:p>
    <w:p>
      <w:pPr>
        <w:pStyle w:val="BodyText"/>
        <w:tabs>
          <w:tab w:pos="6639" w:val="left" w:leader="none"/>
        </w:tabs>
        <w:spacing w:line="303" w:lineRule="exact"/>
        <w:ind w:left="791"/>
      </w:pPr>
      <w:r>
        <w:rPr/>
        <w:br w:type="column"/>
      </w:r>
      <w:r>
        <w:rPr/>
        <w:t>Demanda de oxígeno por kilogramo de</w:t>
      </w:r>
      <w:r>
        <w:rPr>
          <w:spacing w:val="-12"/>
        </w:rPr>
        <w:t> </w:t>
      </w:r>
      <w:r>
        <w:rPr/>
        <w:t>alimento</w:t>
      </w:r>
      <w:r>
        <w:rPr>
          <w:spacing w:val="-6"/>
        </w:rPr>
        <w:t> </w:t>
      </w:r>
      <w:r>
        <w:rPr/>
        <w:t>dado</w:t>
        <w:tab/>
      </w:r>
      <w:r>
        <w:rPr>
          <w:position w:val="13"/>
        </w:rPr>
        <w:t>kg O</w:t>
      </w:r>
      <w:r>
        <w:rPr>
          <w:position w:val="10"/>
          <w:sz w:val="14"/>
        </w:rPr>
        <w:t>2</w:t>
      </w:r>
      <w:r>
        <w:rPr>
          <w:position w:val="13"/>
        </w:rPr>
        <w:t>/Kg</w:t>
      </w:r>
      <w:r>
        <w:rPr>
          <w:spacing w:val="-1"/>
          <w:position w:val="13"/>
        </w:rPr>
        <w:t> </w:t>
      </w:r>
      <w:r>
        <w:rPr>
          <w:position w:val="13"/>
        </w:rPr>
        <w:t>de</w:t>
      </w:r>
    </w:p>
    <w:p>
      <w:pPr>
        <w:pStyle w:val="BodyText"/>
        <w:spacing w:line="188" w:lineRule="exact"/>
        <w:ind w:right="629"/>
        <w:jc w:val="right"/>
      </w:pPr>
      <w:r>
        <w:rPr/>
        <w:t>alimento</w:t>
      </w:r>
    </w:p>
    <w:p>
      <w:pPr>
        <w:pStyle w:val="BodyText"/>
        <w:tabs>
          <w:tab w:pos="6685" w:val="left" w:leader="none"/>
        </w:tabs>
        <w:spacing w:line="317" w:lineRule="exact"/>
        <w:ind w:left="781"/>
      </w:pPr>
      <w:r>
        <w:rPr/>
        <w:t>Alcalinidad</w:t>
        <w:tab/>
      </w:r>
      <w:r>
        <w:rPr>
          <w:position w:val="13"/>
        </w:rPr>
        <w:t>mg/L</w:t>
      </w:r>
      <w:r>
        <w:rPr>
          <w:spacing w:val="-2"/>
          <w:position w:val="13"/>
        </w:rPr>
        <w:t> </w:t>
      </w:r>
      <w:r>
        <w:rPr>
          <w:position w:val="13"/>
        </w:rPr>
        <w:t>como</w:t>
      </w:r>
    </w:p>
    <w:p>
      <w:pPr>
        <w:pStyle w:val="BodyText"/>
        <w:spacing w:line="183" w:lineRule="exact"/>
        <w:ind w:right="700"/>
        <w:jc w:val="right"/>
        <w:rPr>
          <w:sz w:val="14"/>
        </w:rPr>
      </w:pPr>
      <w:r>
        <w:rPr/>
        <w:t>CaCO</w:t>
      </w:r>
      <w:r>
        <w:rPr>
          <w:position w:val="-2"/>
          <w:sz w:val="14"/>
        </w:rPr>
        <w:t>3</w:t>
      </w:r>
    </w:p>
    <w:p>
      <w:pPr>
        <w:spacing w:after="0" w:line="183" w:lineRule="exact"/>
        <w:jc w:val="right"/>
        <w:rPr>
          <w:sz w:val="14"/>
        </w:rPr>
        <w:sectPr>
          <w:type w:val="continuous"/>
          <w:pgSz w:w="12240" w:h="15840"/>
          <w:pgMar w:top="0" w:bottom="0" w:left="920" w:right="1200"/>
          <w:cols w:num="2" w:equalWidth="0">
            <w:col w:w="1306" w:space="538"/>
            <w:col w:w="8276"/>
          </w:cols>
        </w:sectPr>
      </w:pPr>
    </w:p>
    <w:p>
      <w:pPr>
        <w:pStyle w:val="BodyText"/>
        <w:tabs>
          <w:tab w:pos="2624" w:val="left" w:leader="none"/>
          <w:tab w:pos="8941" w:val="left" w:leader="none"/>
        </w:tabs>
        <w:spacing w:line="252" w:lineRule="exact" w:before="12"/>
        <w:ind w:left="2624" w:right="914" w:hanging="1844"/>
      </w:pPr>
      <w:r>
        <w:rPr/>
        <w:pict>
          <v:shape style="position:absolute;margin-left:85.0746pt;margin-top:20.694120pt;width:22.6pt;height:11.05pt;mso-position-horizontal-relative:page;mso-position-vertical-relative:paragraph;z-index:-1530592" type="#_x0000_t202" filled="false" stroked="false">
            <v:textbox inset="0,0,0,0">
              <w:txbxContent>
                <w:p>
                  <w:pPr>
                    <w:spacing w:line="221" w:lineRule="exact" w:before="0"/>
                    <w:ind w:left="0" w:right="-18" w:firstLine="0"/>
                    <w:jc w:val="left"/>
                    <w:rPr>
                      <w:i/>
                      <w:sz w:val="22"/>
                    </w:rPr>
                  </w:pPr>
                  <w:r>
                    <w:rPr>
                      <w:i/>
                      <w:spacing w:val="-1"/>
                      <w:sz w:val="22"/>
                    </w:rPr>
                    <w:t>ARE</w:t>
                  </w:r>
                </w:p>
              </w:txbxContent>
            </v:textbox>
            <w10:wrap type="none"/>
          </v:shape>
        </w:pict>
      </w:r>
      <w:r>
        <w:rPr>
          <w:i/>
        </w:rPr>
        <w:t>A</w:t>
      </w:r>
      <w:r>
        <w:rPr>
          <w:i/>
          <w:position w:val="-2"/>
          <w:sz w:val="14"/>
        </w:rPr>
        <w:t>media</w:t>
        <w:tab/>
      </w:r>
      <w:r>
        <w:rPr/>
        <w:t>Área superficial activa</w:t>
      </w:r>
      <w:r>
        <w:rPr>
          <w:spacing w:val="-5"/>
        </w:rPr>
        <w:t> </w:t>
      </w:r>
      <w:r>
        <w:rPr/>
        <w:t>del</w:t>
      </w:r>
      <w:r>
        <w:rPr>
          <w:spacing w:val="-3"/>
        </w:rPr>
        <w:t> </w:t>
      </w:r>
      <w:r>
        <w:rPr/>
        <w:t>empaque</w:t>
        <w:tab/>
        <w:t>m</w:t>
      </w:r>
      <w:r>
        <w:rPr>
          <w:position w:val="10"/>
          <w:sz w:val="14"/>
        </w:rPr>
        <w:t>2 </w:t>
      </w:r>
      <w:r>
        <w:rPr/>
        <w:t>Eficiencia energética de remoción de</w:t>
      </w:r>
      <w:r>
        <w:rPr>
          <w:spacing w:val="-16"/>
        </w:rPr>
        <w:t> </w:t>
      </w:r>
      <w:r>
        <w:rPr/>
        <w:t>nitrógeno</w:t>
      </w:r>
    </w:p>
    <w:p>
      <w:pPr>
        <w:pStyle w:val="BodyText"/>
        <w:tabs>
          <w:tab w:pos="8416" w:val="left" w:leader="none"/>
        </w:tabs>
        <w:spacing w:line="239" w:lineRule="exact"/>
        <w:ind w:left="2624"/>
      </w:pPr>
      <w:r>
        <w:rPr>
          <w:position w:val="-12"/>
        </w:rPr>
        <w:t>amoniacal</w:t>
        <w:tab/>
      </w:r>
      <w:r>
        <w:rPr/>
        <w:t>g</w:t>
      </w:r>
      <w:r>
        <w:rPr>
          <w:spacing w:val="1"/>
        </w:rPr>
        <w:t> </w:t>
      </w:r>
      <w:r>
        <w:rPr/>
        <w:t>N-NH</w:t>
      </w:r>
      <w:r>
        <w:rPr>
          <w:position w:val="-2"/>
          <w:sz w:val="14"/>
        </w:rPr>
        <w:t>3</w:t>
      </w:r>
      <w:r>
        <w:rPr/>
        <w:t>/kWh</w:t>
      </w:r>
    </w:p>
    <w:p>
      <w:pPr>
        <w:pStyle w:val="BodyText"/>
        <w:tabs>
          <w:tab w:pos="2634" w:val="left" w:leader="none"/>
          <w:tab w:pos="8941" w:val="left" w:leader="none"/>
        </w:tabs>
        <w:spacing w:line="257" w:lineRule="exact"/>
        <w:ind w:left="781"/>
        <w:rPr>
          <w:sz w:val="14"/>
        </w:rPr>
      </w:pPr>
      <w:r>
        <w:rPr/>
        <w:t>A</w:t>
      </w:r>
      <w:r>
        <w:rPr>
          <w:position w:val="-2"/>
          <w:sz w:val="14"/>
        </w:rPr>
        <w:t>S</w:t>
        <w:tab/>
      </w:r>
      <w:r>
        <w:rPr/>
        <w:t>Área</w:t>
      </w:r>
      <w:r>
        <w:rPr>
          <w:spacing w:val="-1"/>
        </w:rPr>
        <w:t> </w:t>
      </w:r>
      <w:r>
        <w:rPr/>
        <w:t>superficial</w:t>
        <w:tab/>
        <w:t>m</w:t>
      </w:r>
      <w:r>
        <w:rPr>
          <w:position w:val="10"/>
          <w:sz w:val="14"/>
        </w:rPr>
        <w:t>2</w:t>
      </w:r>
    </w:p>
    <w:p>
      <w:pPr>
        <w:pStyle w:val="BodyText"/>
        <w:tabs>
          <w:tab w:pos="2634" w:val="left" w:leader="none"/>
          <w:tab w:pos="8780" w:val="left" w:leader="none"/>
        </w:tabs>
        <w:spacing w:line="258" w:lineRule="exact"/>
        <w:ind w:left="781"/>
        <w:rPr>
          <w:sz w:val="14"/>
        </w:rPr>
      </w:pPr>
      <w:r>
        <w:rPr/>
        <w:t>ASE</w:t>
        <w:tab/>
        <w:t>Área</w:t>
      </w:r>
      <w:r>
        <w:rPr>
          <w:spacing w:val="-2"/>
        </w:rPr>
        <w:t> </w:t>
      </w:r>
      <w:r>
        <w:rPr/>
        <w:t>superficial</w:t>
      </w:r>
      <w:r>
        <w:rPr>
          <w:spacing w:val="-3"/>
        </w:rPr>
        <w:t> </w:t>
      </w:r>
      <w:r>
        <w:rPr/>
        <w:t>específica</w:t>
        <w:tab/>
        <w:t>m</w:t>
      </w:r>
      <w:r>
        <w:rPr>
          <w:position w:val="10"/>
          <w:sz w:val="14"/>
        </w:rPr>
        <w:t>2</w:t>
      </w:r>
      <w:r>
        <w:rPr/>
        <w:t>/m</w:t>
      </w:r>
      <w:r>
        <w:rPr>
          <w:position w:val="10"/>
          <w:sz w:val="14"/>
        </w:rPr>
        <w:t>3</w:t>
      </w:r>
    </w:p>
    <w:p>
      <w:pPr>
        <w:pStyle w:val="BodyText"/>
        <w:tabs>
          <w:tab w:pos="2634" w:val="left" w:leader="none"/>
        </w:tabs>
        <w:spacing w:line="124" w:lineRule="auto" w:before="100"/>
        <w:ind w:left="2634" w:right="2060" w:hanging="1853"/>
      </w:pPr>
      <w:r>
        <w:rPr>
          <w:position w:val="-11"/>
        </w:rPr>
        <w:t>ASFA</w:t>
        <w:tab/>
      </w:r>
      <w:r>
        <w:rPr/>
        <w:t>Asociación "Resúmenes sobre las Ciencias</w:t>
      </w:r>
      <w:r>
        <w:rPr>
          <w:spacing w:val="-18"/>
        </w:rPr>
        <w:t> </w:t>
      </w:r>
      <w:r>
        <w:rPr/>
        <w:t>Acuáticas</w:t>
      </w:r>
      <w:r>
        <w:rPr>
          <w:spacing w:val="-2"/>
        </w:rPr>
        <w:t> </w:t>
      </w:r>
      <w:r>
        <w:rPr/>
        <w:t>y</w:t>
      </w:r>
      <w:r>
        <w:rPr>
          <w:w w:val="100"/>
        </w:rPr>
        <w:t> </w:t>
      </w:r>
      <w:r>
        <w:rPr/>
        <w:t>la</w:t>
      </w:r>
      <w:r>
        <w:rPr>
          <w:spacing w:val="-2"/>
        </w:rPr>
        <w:t> </w:t>
      </w:r>
      <w:r>
        <w:rPr/>
        <w:t>Pesca"</w:t>
      </w:r>
    </w:p>
    <w:p>
      <w:pPr>
        <w:pStyle w:val="BodyText"/>
        <w:tabs>
          <w:tab w:pos="2634" w:val="left" w:leader="none"/>
          <w:tab w:pos="8941" w:val="left" w:leader="none"/>
        </w:tabs>
        <w:spacing w:line="283" w:lineRule="exact"/>
        <w:ind w:left="781"/>
        <w:rPr>
          <w:sz w:val="14"/>
        </w:rPr>
      </w:pPr>
      <w:r>
        <w:rPr/>
        <w:t>A</w:t>
      </w:r>
      <w:r>
        <w:rPr>
          <w:position w:val="-2"/>
          <w:sz w:val="14"/>
        </w:rPr>
        <w:t>t</w:t>
        <w:tab/>
      </w:r>
      <w:r>
        <w:rPr/>
        <w:t>Área</w:t>
      </w:r>
      <w:r>
        <w:rPr>
          <w:spacing w:val="-1"/>
        </w:rPr>
        <w:t> </w:t>
      </w:r>
      <w:r>
        <w:rPr/>
        <w:t>transversal</w:t>
        <w:tab/>
        <w:t>m</w:t>
      </w:r>
      <w:r>
        <w:rPr>
          <w:position w:val="10"/>
          <w:sz w:val="14"/>
        </w:rPr>
        <w:t>2</w:t>
      </w:r>
    </w:p>
    <w:p>
      <w:pPr>
        <w:pStyle w:val="BodyText"/>
        <w:tabs>
          <w:tab w:pos="2634" w:val="left" w:leader="none"/>
        </w:tabs>
        <w:spacing w:line="245" w:lineRule="exact"/>
        <w:ind w:left="781" w:right="2707"/>
      </w:pPr>
      <w:r>
        <w:rPr/>
        <w:t>BIOSIS</w:t>
        <w:tab/>
        <w:t>Base de datos de revistas</w:t>
      </w:r>
      <w:r>
        <w:rPr>
          <w:spacing w:val="-12"/>
        </w:rPr>
        <w:t> </w:t>
      </w:r>
      <w:r>
        <w:rPr/>
        <w:t>científicas</w:t>
      </w:r>
    </w:p>
    <w:p>
      <w:pPr>
        <w:pStyle w:val="BodyText"/>
        <w:tabs>
          <w:tab w:pos="2634" w:val="left" w:leader="none"/>
          <w:tab w:pos="8828" w:val="left" w:leader="none"/>
        </w:tabs>
        <w:ind w:left="781" w:right="797"/>
      </w:pPr>
      <w:r>
        <w:rPr/>
        <w:t>C</w:t>
        <w:tab/>
        <w:t>Concentración actual de</w:t>
      </w:r>
      <w:r>
        <w:rPr>
          <w:spacing w:val="-10"/>
        </w:rPr>
        <w:t> </w:t>
      </w:r>
      <w:r>
        <w:rPr/>
        <w:t>oxígeno</w:t>
      </w:r>
      <w:r>
        <w:rPr>
          <w:spacing w:val="-2"/>
        </w:rPr>
        <w:t> </w:t>
      </w:r>
      <w:r>
        <w:rPr/>
        <w:t>disuelto</w:t>
        <w:tab/>
        <w:t>mg/L C/N</w:t>
        <w:tab/>
        <w:t>Relación carbono</w:t>
      </w:r>
      <w:r>
        <w:rPr>
          <w:spacing w:val="-11"/>
        </w:rPr>
        <w:t> </w:t>
      </w:r>
      <w:r>
        <w:rPr/>
        <w:t>nitrógeno</w:t>
      </w:r>
    </w:p>
    <w:p>
      <w:pPr>
        <w:spacing w:after="0"/>
        <w:sectPr>
          <w:type w:val="continuous"/>
          <w:pgSz w:w="12240" w:h="15840"/>
          <w:pgMar w:top="0" w:bottom="0" w:left="920" w:right="1200"/>
        </w:sectPr>
      </w:pPr>
    </w:p>
    <w:p>
      <w:pPr>
        <w:spacing w:line="468" w:lineRule="auto" w:before="126"/>
        <w:ind w:left="781" w:right="-20" w:firstLine="0"/>
        <w:jc w:val="left"/>
        <w:rPr>
          <w:sz w:val="14"/>
        </w:rPr>
      </w:pPr>
      <w:r>
        <w:rPr>
          <w:sz w:val="22"/>
        </w:rPr>
        <w:t>CA</w:t>
      </w:r>
      <w:r>
        <w:rPr>
          <w:position w:val="-2"/>
          <w:sz w:val="14"/>
        </w:rPr>
        <w:t>E </w:t>
      </w:r>
      <w:r>
        <w:rPr>
          <w:sz w:val="22"/>
        </w:rPr>
        <w:t>CA</w:t>
      </w:r>
      <w:r>
        <w:rPr>
          <w:position w:val="-2"/>
          <w:sz w:val="14"/>
        </w:rPr>
        <w:t>I</w:t>
      </w:r>
    </w:p>
    <w:p>
      <w:pPr>
        <w:pStyle w:val="BodyText"/>
        <w:ind w:left="781" w:right="-16"/>
      </w:pPr>
      <w:r>
        <w:rPr/>
        <w:br w:type="column"/>
      </w:r>
      <w:r>
        <w:rPr/>
        <w:t>Concentración de Nitrógeno amoniacal en el efluente del biofiltro</w:t>
      </w:r>
    </w:p>
    <w:p>
      <w:pPr>
        <w:pStyle w:val="BodyText"/>
        <w:ind w:left="781" w:right="315"/>
      </w:pPr>
      <w:r>
        <w:rPr/>
        <w:t>Concentración de Nitrógeno amoniacal a la salida del reservorio</w:t>
      </w:r>
    </w:p>
    <w:p>
      <w:pPr>
        <w:pStyle w:val="BodyText"/>
        <w:spacing w:line="456" w:lineRule="auto" w:before="101"/>
        <w:ind w:left="370" w:right="540"/>
        <w:rPr>
          <w:sz w:val="14"/>
        </w:rPr>
      </w:pPr>
      <w:r>
        <w:rPr/>
        <w:br w:type="column"/>
      </w:r>
      <w:r>
        <w:rPr/>
        <w:t>g de N/m</w:t>
      </w:r>
      <w:r>
        <w:rPr>
          <w:position w:val="10"/>
          <w:sz w:val="14"/>
        </w:rPr>
        <w:t>3 </w:t>
      </w:r>
      <w:r>
        <w:rPr/>
        <w:t>g de N/m</w:t>
      </w:r>
      <w:r>
        <w:rPr>
          <w:position w:val="10"/>
          <w:sz w:val="14"/>
        </w:rPr>
        <w:t>3</w:t>
      </w:r>
    </w:p>
    <w:p>
      <w:pPr>
        <w:spacing w:after="0" w:line="456" w:lineRule="auto"/>
        <w:rPr>
          <w:sz w:val="14"/>
        </w:rPr>
        <w:sectPr>
          <w:type w:val="continuous"/>
          <w:pgSz w:w="12240" w:h="15840"/>
          <w:pgMar w:top="0" w:bottom="0" w:left="920" w:right="1200"/>
          <w:cols w:num="3" w:equalWidth="0">
            <w:col w:w="1180" w:space="673"/>
            <w:col w:w="6326" w:space="40"/>
            <w:col w:w="190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2240" w:h="15840"/>
          <w:pgMar w:top="0" w:bottom="0" w:left="920" w:right="1200"/>
        </w:sectPr>
      </w:pPr>
    </w:p>
    <w:p>
      <w:pPr>
        <w:pStyle w:val="BodyText"/>
        <w:rPr>
          <w:sz w:val="14"/>
        </w:rPr>
      </w:pPr>
      <w:r>
        <w:rPr/>
        <w:pict>
          <v:shape style="position:absolute;margin-left:79.680pt;margin-top:101.400017pt;width:459pt;height:610.450pt;mso-position-horizontal-relative:page;mso-position-vertical-relative:page;z-index:-1530616" coordorigin="1594,2028" coordsize="9180,12209" path="m1598,2033l3449,2033m3449,2033l3458,2033m3458,2033l9214,2033m9214,2033l9223,2033m9223,2033l10769,2033m1598,2333l3449,2333m3449,2333l3458,2333m3458,2333l9214,2333m9214,2333l9223,2333m9223,2333l10769,2333m1594,2028l1594,8410m10774,2028l10774,8410m1594,8410l1594,8662m10774,8410l10774,8662m1594,8662l1594,8916m10774,8662l10774,8916m1594,8916l1594,9168m10774,8916l10774,9168m1594,9168l1594,9420m10774,9168l10774,9420m1594,9420l1594,9674m10774,9420l10774,9674m1594,9674l1594,9926m10774,9674l10774,9926m1594,9926l1594,10181m10774,9926l10774,10181m1594,10181l1594,10433m10774,10181l10774,10433m1594,10433l1594,10687m10774,10433l10774,10687m1594,10687l1594,10939m10774,10687l10774,10939m1594,10939l1594,11191m10774,10939l10774,11191m1594,11191l1594,11446m10774,11191l10774,11446m1594,11446l1594,11698m10774,11446l10774,11698m1594,11698l1594,11952m10774,11698l10774,11952m1594,11952l1594,12204m10774,11952l10774,12204m1594,12204l1594,12456m10774,12204l10774,12456m1594,12456l1594,12710m10774,12456l10774,12710m1594,12710l1594,13217m10774,12710l10774,13217m1594,13217l1594,13469m10774,13217l10774,13469m1594,13469l1594,13721m10774,13469l10774,13721m1594,13721l1594,13975m10774,13721l10774,13975m1594,13975l1594,14237m10774,13975l10774,14237e" filled="false" stroked="true" strokeweight=".48pt" strokecolor="#000000">
            <v:path arrowok="t"/>
            <w10:wrap type="none"/>
          </v:shape>
        </w:pict>
      </w:r>
    </w:p>
    <w:p>
      <w:pPr>
        <w:spacing w:before="98"/>
        <w:ind w:left="0" w:right="0" w:firstLine="0"/>
        <w:jc w:val="right"/>
        <w:rPr>
          <w:i/>
          <w:sz w:val="14"/>
        </w:rPr>
      </w:pPr>
      <w:r>
        <w:rPr/>
        <w:pict>
          <v:shape style="position:absolute;margin-left:79.680pt;margin-top:-220.319946pt;width:459pt;height:290.350pt;mso-position-horizontal-relative:page;mso-position-vertical-relative:paragraph;z-index:124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9"/>
                    <w:gridCol w:w="5721"/>
                    <w:gridCol w:w="1610"/>
                  </w:tblGrid>
                  <w:tr>
                    <w:trPr>
                      <w:trHeight w:val="497" w:hRule="exact"/>
                    </w:trPr>
                    <w:tc>
                      <w:tcPr>
                        <w:tcW w:w="1849" w:type="dxa"/>
                      </w:tcPr>
                      <w:p>
                        <w:pPr>
                          <w:pStyle w:val="TableParagraph"/>
                          <w:spacing w:line="225" w:lineRule="exact" w:before="0"/>
                          <w:ind w:left="108" w:right="0"/>
                          <w:jc w:val="left"/>
                          <w:rPr>
                            <w:rFonts w:ascii="Arial"/>
                            <w:i/>
                            <w:sz w:val="22"/>
                          </w:rPr>
                        </w:pPr>
                        <w:r>
                          <w:rPr>
                            <w:rFonts w:ascii="Arial"/>
                            <w:i/>
                            <w:sz w:val="22"/>
                          </w:rPr>
                          <w:t>CBF</w:t>
                        </w:r>
                      </w:p>
                      <w:p>
                        <w:pPr>
                          <w:pStyle w:val="TableParagraph"/>
                          <w:spacing w:line="266" w:lineRule="exact" w:before="0"/>
                          <w:ind w:left="108" w:right="0"/>
                          <w:jc w:val="left"/>
                          <w:rPr>
                            <w:rFonts w:ascii="Arial"/>
                            <w:sz w:val="14"/>
                          </w:rPr>
                        </w:pPr>
                        <w:r>
                          <w:rPr>
                            <w:rFonts w:ascii="Arial"/>
                            <w:sz w:val="22"/>
                          </w:rPr>
                          <w:t>C</w:t>
                        </w:r>
                        <w:r>
                          <w:rPr>
                            <w:rFonts w:ascii="Arial"/>
                            <w:position w:val="-2"/>
                            <w:sz w:val="14"/>
                          </w:rPr>
                          <w:t>E</w:t>
                        </w:r>
                      </w:p>
                    </w:tc>
                    <w:tc>
                      <w:tcPr>
                        <w:tcW w:w="5721" w:type="dxa"/>
                      </w:tcPr>
                      <w:p>
                        <w:pPr>
                          <w:pStyle w:val="TableParagraph"/>
                          <w:spacing w:line="225" w:lineRule="exact" w:before="0"/>
                          <w:ind w:left="101" w:right="0"/>
                          <w:jc w:val="left"/>
                          <w:rPr>
                            <w:rFonts w:ascii="Arial"/>
                            <w:sz w:val="22"/>
                          </w:rPr>
                        </w:pPr>
                        <w:r>
                          <w:rPr>
                            <w:rFonts w:ascii="Arial"/>
                            <w:sz w:val="22"/>
                          </w:rPr>
                          <w:t>Carga acumulativa de alimento</w:t>
                        </w:r>
                      </w:p>
                      <w:p>
                        <w:pPr>
                          <w:pStyle w:val="TableParagraph"/>
                          <w:spacing w:line="252" w:lineRule="exact" w:before="0"/>
                          <w:ind w:left="111" w:right="0"/>
                          <w:jc w:val="left"/>
                          <w:rPr>
                            <w:rFonts w:ascii="Arial" w:hAnsi="Arial"/>
                            <w:sz w:val="22"/>
                          </w:rPr>
                        </w:pPr>
                        <w:r>
                          <w:rPr>
                            <w:rFonts w:ascii="Arial" w:hAnsi="Arial"/>
                            <w:sz w:val="22"/>
                          </w:rPr>
                          <w:t>Concentración de entrada</w:t>
                        </w:r>
                      </w:p>
                    </w:tc>
                    <w:tc>
                      <w:tcPr>
                        <w:tcW w:w="1610" w:type="dxa"/>
                      </w:tcPr>
                      <w:p>
                        <w:pPr>
                          <w:pStyle w:val="TableParagraph"/>
                          <w:spacing w:line="225" w:lineRule="exact" w:before="0"/>
                          <w:ind w:left="585" w:right="0" w:hanging="1"/>
                          <w:jc w:val="left"/>
                          <w:rPr>
                            <w:rFonts w:ascii="Arial"/>
                            <w:sz w:val="22"/>
                          </w:rPr>
                        </w:pPr>
                        <w:r>
                          <w:rPr>
                            <w:rFonts w:ascii="Arial"/>
                            <w:sz w:val="22"/>
                          </w:rPr>
                          <w:t>mg/L</w:t>
                        </w:r>
                      </w:p>
                      <w:p>
                        <w:pPr>
                          <w:pStyle w:val="TableParagraph"/>
                          <w:spacing w:line="252" w:lineRule="exact" w:before="0"/>
                          <w:ind w:left="585" w:right="0"/>
                          <w:jc w:val="left"/>
                          <w:rPr>
                            <w:rFonts w:ascii="Arial"/>
                            <w:sz w:val="22"/>
                          </w:rPr>
                        </w:pPr>
                        <w:r>
                          <w:rPr>
                            <w:rFonts w:ascii="Arial"/>
                            <w:sz w:val="22"/>
                          </w:rPr>
                          <w:t>mg/L</w:t>
                        </w:r>
                      </w:p>
                    </w:tc>
                  </w:tr>
                  <w:tr>
                    <w:trPr>
                      <w:trHeight w:val="236" w:hRule="exact"/>
                    </w:trPr>
                    <w:tc>
                      <w:tcPr>
                        <w:tcW w:w="1849" w:type="dxa"/>
                      </w:tcPr>
                      <w:p>
                        <w:pPr>
                          <w:pStyle w:val="TableParagraph"/>
                          <w:spacing w:line="249" w:lineRule="exact" w:before="0"/>
                          <w:ind w:left="108" w:right="0"/>
                          <w:jc w:val="left"/>
                          <w:rPr>
                            <w:rFonts w:ascii="Arial"/>
                            <w:sz w:val="14"/>
                          </w:rPr>
                        </w:pPr>
                        <w:r>
                          <w:rPr>
                            <w:rFonts w:ascii="Arial"/>
                            <w:position w:val="3"/>
                            <w:sz w:val="22"/>
                          </w:rPr>
                          <w:t>C</w:t>
                        </w:r>
                        <w:r>
                          <w:rPr>
                            <w:rFonts w:ascii="Arial"/>
                            <w:sz w:val="14"/>
                          </w:rPr>
                          <w:t>EQ</w:t>
                        </w:r>
                      </w:p>
                    </w:tc>
                    <w:tc>
                      <w:tcPr>
                        <w:tcW w:w="5721" w:type="dxa"/>
                      </w:tcPr>
                      <w:p>
                        <w:pPr>
                          <w:pStyle w:val="TableParagraph"/>
                          <w:spacing w:line="234" w:lineRule="exact" w:before="0"/>
                          <w:ind w:left="111" w:right="0"/>
                          <w:jc w:val="left"/>
                          <w:rPr>
                            <w:rFonts w:ascii="Arial" w:hAnsi="Arial"/>
                            <w:sz w:val="22"/>
                          </w:rPr>
                        </w:pPr>
                        <w:r>
                          <w:rPr>
                            <w:rFonts w:ascii="Arial" w:hAnsi="Arial"/>
                            <w:sz w:val="22"/>
                          </w:rPr>
                          <w:t>Concentración de equilibrio de oxígeno disuelto</w:t>
                        </w:r>
                      </w:p>
                    </w:tc>
                    <w:tc>
                      <w:tcPr>
                        <w:tcW w:w="1610" w:type="dxa"/>
                      </w:tcPr>
                      <w:p>
                        <w:pPr>
                          <w:pStyle w:val="TableParagraph"/>
                          <w:spacing w:line="234" w:lineRule="exact" w:before="0"/>
                          <w:ind w:left="486" w:right="434"/>
                          <w:jc w:val="center"/>
                          <w:rPr>
                            <w:rFonts w:ascii="Arial"/>
                            <w:sz w:val="22"/>
                          </w:rPr>
                        </w:pPr>
                        <w:r>
                          <w:rPr>
                            <w:rFonts w:ascii="Arial"/>
                            <w:sz w:val="22"/>
                          </w:rPr>
                          <w:t>mg/L</w:t>
                        </w:r>
                      </w:p>
                    </w:tc>
                  </w:tr>
                  <w:tr>
                    <w:trPr>
                      <w:trHeight w:val="261" w:hRule="exact"/>
                    </w:trPr>
                    <w:tc>
                      <w:tcPr>
                        <w:tcW w:w="1849" w:type="dxa"/>
                      </w:tcPr>
                      <w:p>
                        <w:pPr>
                          <w:pStyle w:val="TableParagraph"/>
                          <w:spacing w:line="251" w:lineRule="exact" w:before="0"/>
                          <w:ind w:left="108" w:right="0"/>
                          <w:jc w:val="left"/>
                          <w:rPr>
                            <w:rFonts w:ascii="Arial"/>
                            <w:sz w:val="22"/>
                          </w:rPr>
                        </w:pPr>
                        <w:r>
                          <w:rPr>
                            <w:rFonts w:ascii="Arial"/>
                            <w:sz w:val="22"/>
                          </w:rPr>
                          <w:t>CH</w:t>
                        </w:r>
                      </w:p>
                    </w:tc>
                    <w:tc>
                      <w:tcPr>
                        <w:tcW w:w="5721" w:type="dxa"/>
                      </w:tcPr>
                      <w:p>
                        <w:pPr>
                          <w:pStyle w:val="TableParagraph"/>
                          <w:spacing w:line="251" w:lineRule="exact" w:before="0"/>
                          <w:ind w:left="111" w:right="0"/>
                          <w:jc w:val="left"/>
                          <w:rPr>
                            <w:rFonts w:ascii="Arial" w:hAnsi="Arial"/>
                            <w:sz w:val="22"/>
                          </w:rPr>
                        </w:pPr>
                        <w:r>
                          <w:rPr>
                            <w:rFonts w:ascii="Arial" w:hAnsi="Arial"/>
                            <w:sz w:val="22"/>
                          </w:rPr>
                          <w:t>Carga hidráulica</w:t>
                        </w:r>
                      </w:p>
                    </w:tc>
                    <w:tc>
                      <w:tcPr>
                        <w:tcW w:w="1610" w:type="dxa"/>
                      </w:tcPr>
                      <w:p>
                        <w:pPr>
                          <w:pStyle w:val="TableParagraph"/>
                          <w:spacing w:line="251" w:lineRule="exact" w:before="0"/>
                          <w:ind w:left="485" w:right="435"/>
                          <w:jc w:val="center"/>
                          <w:rPr>
                            <w:rFonts w:ascii="Arial"/>
                            <w:sz w:val="14"/>
                          </w:rPr>
                        </w:pPr>
                        <w:r>
                          <w:rPr>
                            <w:rFonts w:ascii="Arial"/>
                            <w:sz w:val="22"/>
                          </w:rPr>
                          <w:t>m</w:t>
                        </w:r>
                        <w:r>
                          <w:rPr>
                            <w:rFonts w:ascii="Arial"/>
                            <w:position w:val="10"/>
                            <w:sz w:val="14"/>
                          </w:rPr>
                          <w:t>3</w:t>
                        </w:r>
                        <w:r>
                          <w:rPr>
                            <w:rFonts w:ascii="Arial"/>
                            <w:sz w:val="22"/>
                          </w:rPr>
                          <w:t>/m</w:t>
                        </w:r>
                        <w:r>
                          <w:rPr>
                            <w:rFonts w:ascii="Arial"/>
                            <w:position w:val="10"/>
                            <w:sz w:val="14"/>
                          </w:rPr>
                          <w:t>2</w:t>
                        </w:r>
                      </w:p>
                    </w:tc>
                  </w:tr>
                  <w:tr>
                    <w:trPr>
                      <w:trHeight w:val="253" w:hRule="exact"/>
                    </w:trPr>
                    <w:tc>
                      <w:tcPr>
                        <w:tcW w:w="1849" w:type="dxa"/>
                      </w:tcPr>
                      <w:p>
                        <w:pPr>
                          <w:pStyle w:val="TableParagraph"/>
                          <w:spacing w:line="241" w:lineRule="exact" w:before="0"/>
                          <w:ind w:left="108" w:right="0"/>
                          <w:jc w:val="left"/>
                          <w:rPr>
                            <w:rFonts w:ascii="Arial"/>
                            <w:sz w:val="22"/>
                          </w:rPr>
                        </w:pPr>
                        <w:r>
                          <w:rPr>
                            <w:rFonts w:ascii="Arial"/>
                            <w:sz w:val="22"/>
                          </w:rPr>
                          <w:t>CIESA</w:t>
                        </w:r>
                      </w:p>
                    </w:tc>
                    <w:tc>
                      <w:tcPr>
                        <w:tcW w:w="5721" w:type="dxa"/>
                      </w:tcPr>
                      <w:p>
                        <w:pPr>
                          <w:pStyle w:val="TableParagraph"/>
                          <w:spacing w:line="241" w:lineRule="exact" w:before="0"/>
                          <w:ind w:left="111" w:right="0"/>
                          <w:jc w:val="left"/>
                          <w:rPr>
                            <w:rFonts w:ascii="Arial" w:hAnsi="Arial"/>
                            <w:sz w:val="22"/>
                          </w:rPr>
                        </w:pPr>
                        <w:r>
                          <w:rPr>
                            <w:rFonts w:ascii="Arial" w:hAnsi="Arial"/>
                            <w:sz w:val="22"/>
                          </w:rPr>
                          <w:t>Centro de Investigación y Estudios en Salud Animal</w:t>
                        </w:r>
                      </w:p>
                    </w:tc>
                    <w:tc>
                      <w:tcPr>
                        <w:tcW w:w="1610" w:type="dxa"/>
                      </w:tcPr>
                      <w:p>
                        <w:pPr/>
                      </w:p>
                    </w:tc>
                  </w:tr>
                  <w:tr>
                    <w:trPr>
                      <w:trHeight w:val="253" w:hRule="exact"/>
                    </w:trPr>
                    <w:tc>
                      <w:tcPr>
                        <w:tcW w:w="1849" w:type="dxa"/>
                      </w:tcPr>
                      <w:p>
                        <w:pPr>
                          <w:pStyle w:val="TableParagraph"/>
                          <w:spacing w:line="242" w:lineRule="exact" w:before="0"/>
                          <w:ind w:left="108" w:right="0"/>
                          <w:jc w:val="left"/>
                          <w:rPr>
                            <w:rFonts w:ascii="Arial"/>
                            <w:sz w:val="22"/>
                          </w:rPr>
                        </w:pPr>
                        <w:r>
                          <w:rPr>
                            <w:rFonts w:ascii="Arial"/>
                            <w:sz w:val="22"/>
                          </w:rPr>
                          <w:t>CIRA</w:t>
                        </w:r>
                      </w:p>
                    </w:tc>
                    <w:tc>
                      <w:tcPr>
                        <w:tcW w:w="5721" w:type="dxa"/>
                      </w:tcPr>
                      <w:p>
                        <w:pPr>
                          <w:pStyle w:val="TableParagraph"/>
                          <w:spacing w:line="242" w:lineRule="exact" w:before="0"/>
                          <w:ind w:left="111" w:right="0"/>
                          <w:jc w:val="left"/>
                          <w:rPr>
                            <w:rFonts w:ascii="Arial"/>
                            <w:sz w:val="22"/>
                          </w:rPr>
                        </w:pPr>
                        <w:r>
                          <w:rPr>
                            <w:rFonts w:ascii="Arial"/>
                            <w:sz w:val="22"/>
                          </w:rPr>
                          <w:t>Centro Interamericano de Recursos del Agua</w:t>
                        </w:r>
                      </w:p>
                    </w:tc>
                    <w:tc>
                      <w:tcPr>
                        <w:tcW w:w="1610" w:type="dxa"/>
                      </w:tcPr>
                      <w:p>
                        <w:pPr/>
                      </w:p>
                    </w:tc>
                  </w:tr>
                  <w:tr>
                    <w:trPr>
                      <w:trHeight w:val="253" w:hRule="exact"/>
                    </w:trPr>
                    <w:tc>
                      <w:tcPr>
                        <w:tcW w:w="1849" w:type="dxa"/>
                      </w:tcPr>
                      <w:p>
                        <w:pPr>
                          <w:pStyle w:val="TableParagraph"/>
                          <w:spacing w:line="241" w:lineRule="exact" w:before="0"/>
                          <w:ind w:left="108" w:right="0"/>
                          <w:jc w:val="left"/>
                          <w:rPr>
                            <w:rFonts w:ascii="Arial"/>
                            <w:sz w:val="22"/>
                          </w:rPr>
                        </w:pPr>
                        <w:r>
                          <w:rPr>
                            <w:rFonts w:ascii="Arial"/>
                            <w:sz w:val="22"/>
                          </w:rPr>
                          <w:t>CIRB</w:t>
                        </w:r>
                      </w:p>
                    </w:tc>
                    <w:tc>
                      <w:tcPr>
                        <w:tcW w:w="5721" w:type="dxa"/>
                      </w:tcPr>
                      <w:p>
                        <w:pPr>
                          <w:pStyle w:val="TableParagraph"/>
                          <w:spacing w:line="241" w:lineRule="exact" w:before="0"/>
                          <w:ind w:left="111" w:right="0"/>
                          <w:jc w:val="left"/>
                          <w:rPr>
                            <w:rFonts w:ascii="Arial" w:hAnsi="Arial"/>
                            <w:sz w:val="22"/>
                          </w:rPr>
                        </w:pPr>
                        <w:r>
                          <w:rPr>
                            <w:rFonts w:ascii="Arial" w:hAnsi="Arial"/>
                            <w:sz w:val="22"/>
                          </w:rPr>
                          <w:t>Centro de Investigación en Recursos Bióticos</w:t>
                        </w:r>
                      </w:p>
                    </w:tc>
                    <w:tc>
                      <w:tcPr>
                        <w:tcW w:w="1610" w:type="dxa"/>
                      </w:tcPr>
                      <w:p>
                        <w:pPr/>
                      </w:p>
                    </w:tc>
                  </w:tr>
                  <w:tr>
                    <w:trPr>
                      <w:trHeight w:val="253" w:hRule="exact"/>
                    </w:trPr>
                    <w:tc>
                      <w:tcPr>
                        <w:tcW w:w="1849" w:type="dxa"/>
                      </w:tcPr>
                      <w:p>
                        <w:pPr>
                          <w:pStyle w:val="TableParagraph"/>
                          <w:spacing w:line="242" w:lineRule="exact" w:before="0"/>
                          <w:ind w:left="108" w:right="0"/>
                          <w:jc w:val="left"/>
                          <w:rPr>
                            <w:rFonts w:ascii="Arial"/>
                            <w:i/>
                            <w:sz w:val="22"/>
                          </w:rPr>
                        </w:pPr>
                        <w:r>
                          <w:rPr>
                            <w:rFonts w:ascii="Arial"/>
                            <w:i/>
                            <w:sz w:val="22"/>
                          </w:rPr>
                          <w:t>CL</w:t>
                        </w:r>
                      </w:p>
                    </w:tc>
                    <w:tc>
                      <w:tcPr>
                        <w:tcW w:w="5721" w:type="dxa"/>
                      </w:tcPr>
                      <w:p>
                        <w:pPr>
                          <w:pStyle w:val="TableParagraph"/>
                          <w:spacing w:line="242" w:lineRule="exact" w:before="0"/>
                          <w:ind w:left="101" w:right="0"/>
                          <w:jc w:val="left"/>
                          <w:rPr>
                            <w:rFonts w:ascii="Arial"/>
                            <w:sz w:val="22"/>
                          </w:rPr>
                        </w:pPr>
                        <w:r>
                          <w:rPr>
                            <w:rFonts w:ascii="Arial"/>
                            <w:sz w:val="22"/>
                          </w:rPr>
                          <w:t>Carga acumulativa</w:t>
                        </w:r>
                      </w:p>
                    </w:tc>
                    <w:tc>
                      <w:tcPr>
                        <w:tcW w:w="1610" w:type="dxa"/>
                      </w:tcPr>
                      <w:p>
                        <w:pPr>
                          <w:pStyle w:val="TableParagraph"/>
                          <w:spacing w:line="242" w:lineRule="exact" w:before="0"/>
                          <w:ind w:left="486" w:right="435"/>
                          <w:jc w:val="center"/>
                          <w:rPr>
                            <w:rFonts w:ascii="Arial"/>
                            <w:sz w:val="22"/>
                          </w:rPr>
                        </w:pPr>
                        <w:r>
                          <w:rPr>
                            <w:rFonts w:ascii="Arial"/>
                            <w:sz w:val="22"/>
                          </w:rPr>
                          <w:t>kg/lpm</w:t>
                        </w:r>
                      </w:p>
                    </w:tc>
                  </w:tr>
                  <w:tr>
                    <w:trPr>
                      <w:trHeight w:val="236" w:hRule="exact"/>
                    </w:trPr>
                    <w:tc>
                      <w:tcPr>
                        <w:tcW w:w="1849" w:type="dxa"/>
                      </w:tcPr>
                      <w:p>
                        <w:pPr>
                          <w:pStyle w:val="TableParagraph"/>
                          <w:spacing w:line="241" w:lineRule="exact" w:before="0"/>
                          <w:ind w:left="108" w:right="0"/>
                          <w:jc w:val="left"/>
                          <w:rPr>
                            <w:rFonts w:ascii="Arial"/>
                            <w:sz w:val="22"/>
                          </w:rPr>
                        </w:pPr>
                        <w:r>
                          <w:rPr>
                            <w:rFonts w:ascii="Arial"/>
                            <w:sz w:val="22"/>
                          </w:rPr>
                          <w:t>CNA/CONAGUA</w:t>
                        </w:r>
                      </w:p>
                    </w:tc>
                    <w:tc>
                      <w:tcPr>
                        <w:tcW w:w="5721" w:type="dxa"/>
                      </w:tcPr>
                      <w:p>
                        <w:pPr>
                          <w:pStyle w:val="TableParagraph"/>
                          <w:spacing w:line="241" w:lineRule="exact" w:before="0"/>
                          <w:ind w:left="111" w:right="0"/>
                          <w:jc w:val="left"/>
                          <w:rPr>
                            <w:rFonts w:ascii="Arial" w:hAnsi="Arial"/>
                            <w:sz w:val="22"/>
                          </w:rPr>
                        </w:pPr>
                        <w:r>
                          <w:rPr>
                            <w:rFonts w:ascii="Arial" w:hAnsi="Arial"/>
                            <w:sz w:val="22"/>
                          </w:rPr>
                          <w:t>Comisión Nacional del Agua</w:t>
                        </w:r>
                      </w:p>
                    </w:tc>
                    <w:tc>
                      <w:tcPr>
                        <w:tcW w:w="1610" w:type="dxa"/>
                      </w:tcPr>
                      <w:p>
                        <w:pPr/>
                      </w:p>
                    </w:tc>
                  </w:tr>
                  <w:tr>
                    <w:trPr>
                      <w:trHeight w:val="271" w:hRule="exact"/>
                    </w:trPr>
                    <w:tc>
                      <w:tcPr>
                        <w:tcW w:w="1849" w:type="dxa"/>
                      </w:tcPr>
                      <w:p>
                        <w:pPr>
                          <w:pStyle w:val="TableParagraph"/>
                          <w:spacing w:before="6"/>
                          <w:ind w:left="108" w:right="0"/>
                          <w:jc w:val="left"/>
                          <w:rPr>
                            <w:rFonts w:ascii="Arial"/>
                            <w:sz w:val="22"/>
                          </w:rPr>
                        </w:pPr>
                        <w:r>
                          <w:rPr>
                            <w:rFonts w:ascii="Arial"/>
                            <w:sz w:val="22"/>
                          </w:rPr>
                          <w:t>CO</w:t>
                        </w:r>
                      </w:p>
                    </w:tc>
                    <w:tc>
                      <w:tcPr>
                        <w:tcW w:w="5721" w:type="dxa"/>
                      </w:tcPr>
                      <w:p>
                        <w:pPr>
                          <w:pStyle w:val="TableParagraph"/>
                          <w:spacing w:before="6"/>
                          <w:ind w:left="111" w:right="0"/>
                          <w:jc w:val="left"/>
                          <w:rPr>
                            <w:rFonts w:ascii="Arial" w:hAnsi="Arial"/>
                            <w:sz w:val="22"/>
                          </w:rPr>
                        </w:pPr>
                        <w:r>
                          <w:rPr>
                            <w:rFonts w:ascii="Arial" w:hAnsi="Arial"/>
                            <w:sz w:val="22"/>
                          </w:rPr>
                          <w:t>Consumo de oxígeno disuelto</w:t>
                        </w:r>
                      </w:p>
                    </w:tc>
                    <w:tc>
                      <w:tcPr>
                        <w:tcW w:w="1610" w:type="dxa"/>
                      </w:tcPr>
                      <w:p>
                        <w:pPr>
                          <w:pStyle w:val="TableParagraph"/>
                          <w:spacing w:line="260" w:lineRule="exact" w:before="0"/>
                          <w:ind w:left="485" w:right="435"/>
                          <w:jc w:val="center"/>
                          <w:rPr>
                            <w:rFonts w:ascii="Arial"/>
                            <w:sz w:val="14"/>
                          </w:rPr>
                        </w:pPr>
                        <w:r>
                          <w:rPr>
                            <w:rFonts w:ascii="Arial"/>
                            <w:sz w:val="22"/>
                          </w:rPr>
                          <w:t>kg/m</w:t>
                        </w:r>
                        <w:r>
                          <w:rPr>
                            <w:rFonts w:ascii="Arial"/>
                            <w:position w:val="10"/>
                            <w:sz w:val="14"/>
                          </w:rPr>
                          <w:t>3</w:t>
                        </w:r>
                      </w:p>
                    </w:tc>
                  </w:tr>
                  <w:tr>
                    <w:trPr>
                      <w:trHeight w:val="252" w:hRule="exact"/>
                    </w:trPr>
                    <w:tc>
                      <w:tcPr>
                        <w:tcW w:w="1849" w:type="dxa"/>
                      </w:tcPr>
                      <w:p>
                        <w:pPr>
                          <w:pStyle w:val="TableParagraph"/>
                          <w:spacing w:line="241" w:lineRule="exact" w:before="0"/>
                          <w:ind w:left="108" w:right="0"/>
                          <w:jc w:val="left"/>
                          <w:rPr>
                            <w:rFonts w:ascii="Arial"/>
                            <w:sz w:val="22"/>
                          </w:rPr>
                        </w:pPr>
                        <w:r>
                          <w:rPr>
                            <w:rFonts w:ascii="Arial"/>
                            <w:sz w:val="22"/>
                          </w:rPr>
                          <w:t>CONAPESCA</w:t>
                        </w:r>
                      </w:p>
                    </w:tc>
                    <w:tc>
                      <w:tcPr>
                        <w:tcW w:w="5721" w:type="dxa"/>
                      </w:tcPr>
                      <w:p>
                        <w:pPr>
                          <w:pStyle w:val="TableParagraph"/>
                          <w:spacing w:line="241" w:lineRule="exact" w:before="0"/>
                          <w:ind w:left="111" w:right="0"/>
                          <w:jc w:val="left"/>
                          <w:rPr>
                            <w:rFonts w:ascii="Arial" w:hAnsi="Arial"/>
                            <w:sz w:val="22"/>
                          </w:rPr>
                        </w:pPr>
                        <w:r>
                          <w:rPr>
                            <w:rFonts w:ascii="Arial" w:hAnsi="Arial"/>
                            <w:sz w:val="22"/>
                          </w:rPr>
                          <w:t>Comisión Nacional de Acuacultura y Pesca</w:t>
                        </w:r>
                      </w:p>
                    </w:tc>
                    <w:tc>
                      <w:tcPr>
                        <w:tcW w:w="1610" w:type="dxa"/>
                      </w:tcPr>
                      <w:p>
                        <w:pPr/>
                      </w:p>
                    </w:tc>
                  </w:tr>
                  <w:tr>
                    <w:trPr>
                      <w:trHeight w:val="253" w:hRule="exact"/>
                    </w:trPr>
                    <w:tc>
                      <w:tcPr>
                        <w:tcW w:w="1849" w:type="dxa"/>
                      </w:tcPr>
                      <w:p>
                        <w:pPr>
                          <w:pStyle w:val="TableParagraph"/>
                          <w:spacing w:line="241" w:lineRule="exact" w:before="0"/>
                          <w:ind w:left="108" w:right="0"/>
                          <w:jc w:val="left"/>
                          <w:rPr>
                            <w:rFonts w:ascii="Arial"/>
                            <w:i/>
                            <w:sz w:val="22"/>
                          </w:rPr>
                        </w:pPr>
                        <w:r>
                          <w:rPr>
                            <w:rFonts w:ascii="Arial"/>
                            <w:i/>
                            <w:sz w:val="22"/>
                          </w:rPr>
                          <w:t>CP</w:t>
                        </w:r>
                      </w:p>
                    </w:tc>
                    <w:tc>
                      <w:tcPr>
                        <w:tcW w:w="5721" w:type="dxa"/>
                      </w:tcPr>
                      <w:p>
                        <w:pPr>
                          <w:pStyle w:val="TableParagraph"/>
                          <w:spacing w:line="241" w:lineRule="exact" w:before="0"/>
                          <w:ind w:left="101" w:right="0"/>
                          <w:jc w:val="left"/>
                          <w:rPr>
                            <w:rFonts w:ascii="Arial" w:hAnsi="Arial"/>
                            <w:sz w:val="22"/>
                          </w:rPr>
                        </w:pPr>
                        <w:r>
                          <w:rPr>
                            <w:rFonts w:ascii="Arial" w:hAnsi="Arial"/>
                            <w:sz w:val="22"/>
                          </w:rPr>
                          <w:t>Contenido de proteínas</w:t>
                        </w:r>
                      </w:p>
                    </w:tc>
                    <w:tc>
                      <w:tcPr>
                        <w:tcW w:w="1610" w:type="dxa"/>
                      </w:tcPr>
                      <w:p>
                        <w:pPr>
                          <w:pStyle w:val="TableParagraph"/>
                          <w:spacing w:line="241" w:lineRule="exact" w:before="0"/>
                          <w:ind w:left="49" w:right="0"/>
                          <w:jc w:val="center"/>
                          <w:rPr>
                            <w:rFonts w:ascii="Arial"/>
                            <w:sz w:val="22"/>
                          </w:rPr>
                        </w:pPr>
                        <w:r>
                          <w:rPr>
                            <w:rFonts w:ascii="Arial"/>
                            <w:w w:val="100"/>
                            <w:sz w:val="22"/>
                          </w:rPr>
                          <w:t>%</w:t>
                        </w:r>
                      </w:p>
                    </w:tc>
                  </w:tr>
                  <w:tr>
                    <w:trPr>
                      <w:trHeight w:val="261" w:hRule="exact"/>
                    </w:trPr>
                    <w:tc>
                      <w:tcPr>
                        <w:tcW w:w="1849" w:type="dxa"/>
                      </w:tcPr>
                      <w:p>
                        <w:pPr>
                          <w:pStyle w:val="TableParagraph"/>
                          <w:spacing w:line="255" w:lineRule="exact" w:before="0"/>
                          <w:ind w:left="108" w:right="0"/>
                          <w:jc w:val="left"/>
                          <w:rPr>
                            <w:rFonts w:ascii="Arial"/>
                            <w:sz w:val="14"/>
                          </w:rPr>
                        </w:pPr>
                        <w:r>
                          <w:rPr>
                            <w:rFonts w:ascii="Arial"/>
                            <w:sz w:val="22"/>
                          </w:rPr>
                          <w:t>C</w:t>
                        </w:r>
                        <w:r>
                          <w:rPr>
                            <w:rFonts w:ascii="Arial"/>
                            <w:position w:val="-2"/>
                            <w:sz w:val="14"/>
                          </w:rPr>
                          <w:t>S</w:t>
                        </w:r>
                      </w:p>
                    </w:tc>
                    <w:tc>
                      <w:tcPr>
                        <w:tcW w:w="5721" w:type="dxa"/>
                      </w:tcPr>
                      <w:p>
                        <w:pPr>
                          <w:pStyle w:val="TableParagraph"/>
                          <w:spacing w:line="242" w:lineRule="exact" w:before="0"/>
                          <w:ind w:left="111" w:right="0"/>
                          <w:jc w:val="left"/>
                          <w:rPr>
                            <w:rFonts w:ascii="Arial" w:hAnsi="Arial"/>
                            <w:sz w:val="22"/>
                          </w:rPr>
                        </w:pPr>
                        <w:r>
                          <w:rPr>
                            <w:rFonts w:ascii="Arial" w:hAnsi="Arial"/>
                            <w:sz w:val="22"/>
                          </w:rPr>
                          <w:t>Concentración de salida</w:t>
                        </w:r>
                      </w:p>
                    </w:tc>
                    <w:tc>
                      <w:tcPr>
                        <w:tcW w:w="1610" w:type="dxa"/>
                      </w:tcPr>
                      <w:p>
                        <w:pPr>
                          <w:pStyle w:val="TableParagraph"/>
                          <w:spacing w:line="242" w:lineRule="exact" w:before="0"/>
                          <w:ind w:left="486" w:right="434"/>
                          <w:jc w:val="center"/>
                          <w:rPr>
                            <w:rFonts w:ascii="Arial"/>
                            <w:sz w:val="22"/>
                          </w:rPr>
                        </w:pPr>
                        <w:r>
                          <w:rPr>
                            <w:rFonts w:ascii="Arial"/>
                            <w:sz w:val="22"/>
                          </w:rPr>
                          <w:t>mg/L</w:t>
                        </w:r>
                      </w:p>
                    </w:tc>
                  </w:tr>
                  <w:tr>
                    <w:trPr>
                      <w:trHeight w:val="236" w:hRule="exact"/>
                    </w:trPr>
                    <w:tc>
                      <w:tcPr>
                        <w:tcW w:w="1849" w:type="dxa"/>
                      </w:tcPr>
                      <w:p>
                        <w:pPr>
                          <w:pStyle w:val="TableParagraph"/>
                          <w:spacing w:line="248" w:lineRule="exact" w:before="0"/>
                          <w:ind w:left="108" w:right="0"/>
                          <w:jc w:val="left"/>
                          <w:rPr>
                            <w:rFonts w:ascii="Arial"/>
                            <w:sz w:val="14"/>
                          </w:rPr>
                        </w:pPr>
                        <w:r>
                          <w:rPr>
                            <w:rFonts w:ascii="Arial"/>
                            <w:position w:val="3"/>
                            <w:sz w:val="22"/>
                          </w:rPr>
                          <w:t>C</w:t>
                        </w:r>
                        <w:r>
                          <w:rPr>
                            <w:rFonts w:ascii="Arial"/>
                            <w:sz w:val="14"/>
                          </w:rPr>
                          <w:t>SAT</w:t>
                        </w:r>
                      </w:p>
                    </w:tc>
                    <w:tc>
                      <w:tcPr>
                        <w:tcW w:w="5721" w:type="dxa"/>
                      </w:tcPr>
                      <w:p>
                        <w:pPr>
                          <w:pStyle w:val="TableParagraph"/>
                          <w:spacing w:line="233" w:lineRule="exact" w:before="0"/>
                          <w:ind w:left="111" w:right="0"/>
                          <w:jc w:val="left"/>
                          <w:rPr>
                            <w:rFonts w:ascii="Arial" w:hAnsi="Arial"/>
                            <w:sz w:val="22"/>
                          </w:rPr>
                        </w:pPr>
                        <w:r>
                          <w:rPr>
                            <w:rFonts w:ascii="Arial" w:hAnsi="Arial"/>
                            <w:sz w:val="22"/>
                          </w:rPr>
                          <w:t>Concentración de saturación de oxígeno disuelto</w:t>
                        </w:r>
                      </w:p>
                    </w:tc>
                    <w:tc>
                      <w:tcPr>
                        <w:tcW w:w="1610" w:type="dxa"/>
                      </w:tcPr>
                      <w:p>
                        <w:pPr>
                          <w:pStyle w:val="TableParagraph"/>
                          <w:spacing w:line="233" w:lineRule="exact" w:before="0"/>
                          <w:ind w:left="486" w:right="434"/>
                          <w:jc w:val="center"/>
                          <w:rPr>
                            <w:rFonts w:ascii="Arial"/>
                            <w:sz w:val="22"/>
                          </w:rPr>
                        </w:pPr>
                        <w:r>
                          <w:rPr>
                            <w:rFonts w:ascii="Arial"/>
                            <w:sz w:val="22"/>
                          </w:rPr>
                          <w:t>mg/L</w:t>
                        </w:r>
                      </w:p>
                    </w:tc>
                  </w:tr>
                  <w:tr>
                    <w:trPr>
                      <w:trHeight w:val="263" w:hRule="exact"/>
                    </w:trPr>
                    <w:tc>
                      <w:tcPr>
                        <w:tcW w:w="1849" w:type="dxa"/>
                      </w:tcPr>
                      <w:p>
                        <w:pPr>
                          <w:pStyle w:val="TableParagraph"/>
                          <w:spacing w:line="252" w:lineRule="exact" w:before="0"/>
                          <w:ind w:left="108" w:right="0"/>
                          <w:jc w:val="left"/>
                          <w:rPr>
                            <w:rFonts w:ascii="Arial"/>
                            <w:sz w:val="22"/>
                          </w:rPr>
                        </w:pPr>
                        <w:r>
                          <w:rPr>
                            <w:rFonts w:ascii="Arial"/>
                            <w:w w:val="100"/>
                            <w:sz w:val="22"/>
                          </w:rPr>
                          <w:t>D</w:t>
                        </w:r>
                      </w:p>
                    </w:tc>
                    <w:tc>
                      <w:tcPr>
                        <w:tcW w:w="5721" w:type="dxa"/>
                      </w:tcPr>
                      <w:p>
                        <w:pPr>
                          <w:pStyle w:val="TableParagraph"/>
                          <w:spacing w:line="252" w:lineRule="exact" w:before="0"/>
                          <w:ind w:left="111" w:right="0"/>
                          <w:jc w:val="left"/>
                          <w:rPr>
                            <w:rFonts w:ascii="Arial" w:hAnsi="Arial"/>
                            <w:sz w:val="22"/>
                          </w:rPr>
                        </w:pPr>
                        <w:r>
                          <w:rPr>
                            <w:rFonts w:ascii="Arial" w:hAnsi="Arial"/>
                            <w:sz w:val="22"/>
                          </w:rPr>
                          <w:t>Diámetro</w:t>
                        </w:r>
                      </w:p>
                    </w:tc>
                    <w:tc>
                      <w:tcPr>
                        <w:tcW w:w="1610" w:type="dxa"/>
                      </w:tcPr>
                      <w:p>
                        <w:pPr>
                          <w:pStyle w:val="TableParagraph"/>
                          <w:spacing w:line="252" w:lineRule="exact" w:before="0"/>
                          <w:ind w:left="486" w:right="434"/>
                          <w:jc w:val="center"/>
                          <w:rPr>
                            <w:rFonts w:ascii="Arial"/>
                            <w:sz w:val="14"/>
                          </w:rPr>
                        </w:pPr>
                        <w:r>
                          <w:rPr>
                            <w:rFonts w:ascii="Arial"/>
                            <w:sz w:val="22"/>
                          </w:rPr>
                          <w:t>Kg/m</w:t>
                        </w:r>
                        <w:r>
                          <w:rPr>
                            <w:rFonts w:ascii="Arial"/>
                            <w:position w:val="10"/>
                            <w:sz w:val="14"/>
                          </w:rPr>
                          <w:t>3</w:t>
                        </w:r>
                      </w:p>
                    </w:tc>
                  </w:tr>
                  <w:tr>
                    <w:trPr>
                      <w:trHeight w:val="252" w:hRule="exact"/>
                    </w:trPr>
                    <w:tc>
                      <w:tcPr>
                        <w:tcW w:w="1849" w:type="dxa"/>
                      </w:tcPr>
                      <w:p>
                        <w:pPr>
                          <w:pStyle w:val="TableParagraph"/>
                          <w:spacing w:line="241" w:lineRule="exact" w:before="0"/>
                          <w:ind w:left="108" w:right="0"/>
                          <w:jc w:val="left"/>
                          <w:rPr>
                            <w:rFonts w:ascii="Arial"/>
                            <w:sz w:val="22"/>
                          </w:rPr>
                        </w:pPr>
                        <w:r>
                          <w:rPr>
                            <w:rFonts w:ascii="Arial"/>
                            <w:sz w:val="22"/>
                          </w:rPr>
                          <w:t>D10</w:t>
                        </w:r>
                      </w:p>
                    </w:tc>
                    <w:tc>
                      <w:tcPr>
                        <w:tcW w:w="5721" w:type="dxa"/>
                      </w:tcPr>
                      <w:p>
                        <w:pPr>
                          <w:pStyle w:val="TableParagraph"/>
                          <w:spacing w:line="241" w:lineRule="exact" w:before="0"/>
                          <w:ind w:left="111" w:right="0"/>
                          <w:jc w:val="left"/>
                          <w:rPr>
                            <w:rFonts w:ascii="Arial" w:hAnsi="Arial"/>
                            <w:sz w:val="22"/>
                          </w:rPr>
                        </w:pPr>
                        <w:r>
                          <w:rPr>
                            <w:rFonts w:ascii="Arial" w:hAnsi="Arial"/>
                            <w:sz w:val="22"/>
                          </w:rPr>
                          <w:t>Diámetro efectivo del grano</w:t>
                        </w:r>
                      </w:p>
                    </w:tc>
                    <w:tc>
                      <w:tcPr>
                        <w:tcW w:w="1610" w:type="dxa"/>
                      </w:tcPr>
                      <w:p>
                        <w:pPr>
                          <w:pStyle w:val="TableParagraph"/>
                          <w:spacing w:line="241" w:lineRule="exact" w:before="0"/>
                          <w:ind w:left="483" w:right="435"/>
                          <w:jc w:val="center"/>
                          <w:rPr>
                            <w:rFonts w:ascii="Arial"/>
                            <w:sz w:val="22"/>
                          </w:rPr>
                        </w:pPr>
                        <w:r>
                          <w:rPr>
                            <w:rFonts w:ascii="Arial"/>
                            <w:sz w:val="22"/>
                          </w:rPr>
                          <w:t>mm</w:t>
                        </w:r>
                      </w:p>
                    </w:tc>
                  </w:tr>
                  <w:tr>
                    <w:trPr>
                      <w:trHeight w:val="252" w:hRule="exact"/>
                    </w:trPr>
                    <w:tc>
                      <w:tcPr>
                        <w:tcW w:w="1849" w:type="dxa"/>
                      </w:tcPr>
                      <w:p>
                        <w:pPr>
                          <w:pStyle w:val="TableParagraph"/>
                          <w:spacing w:line="254" w:lineRule="exact" w:before="0"/>
                          <w:ind w:left="108" w:right="0"/>
                          <w:jc w:val="left"/>
                          <w:rPr>
                            <w:rFonts w:ascii="Arial"/>
                            <w:sz w:val="14"/>
                          </w:rPr>
                        </w:pPr>
                        <w:r>
                          <w:rPr>
                            <w:rFonts w:ascii="Arial"/>
                            <w:sz w:val="22"/>
                          </w:rPr>
                          <w:t>DBO</w:t>
                        </w:r>
                        <w:r>
                          <w:rPr>
                            <w:rFonts w:ascii="Arial"/>
                            <w:position w:val="-2"/>
                            <w:sz w:val="14"/>
                          </w:rPr>
                          <w:t>5</w:t>
                        </w:r>
                      </w:p>
                    </w:tc>
                    <w:tc>
                      <w:tcPr>
                        <w:tcW w:w="5721" w:type="dxa"/>
                      </w:tcPr>
                      <w:p>
                        <w:pPr>
                          <w:pStyle w:val="TableParagraph"/>
                          <w:spacing w:line="241" w:lineRule="exact" w:before="0"/>
                          <w:ind w:left="111" w:right="0"/>
                          <w:jc w:val="left"/>
                          <w:rPr>
                            <w:rFonts w:ascii="Arial" w:hAnsi="Arial"/>
                            <w:sz w:val="22"/>
                          </w:rPr>
                        </w:pPr>
                        <w:r>
                          <w:rPr>
                            <w:rFonts w:ascii="Arial" w:hAnsi="Arial"/>
                            <w:sz w:val="22"/>
                          </w:rPr>
                          <w:t>Demanda biológica de oxígeno a los cinco días</w:t>
                        </w:r>
                      </w:p>
                    </w:tc>
                    <w:tc>
                      <w:tcPr>
                        <w:tcW w:w="1610" w:type="dxa"/>
                      </w:tcPr>
                      <w:p>
                        <w:pPr>
                          <w:pStyle w:val="TableParagraph"/>
                          <w:spacing w:line="241" w:lineRule="exact" w:before="0"/>
                          <w:ind w:left="486" w:right="435"/>
                          <w:jc w:val="center"/>
                          <w:rPr>
                            <w:rFonts w:ascii="Arial"/>
                            <w:sz w:val="22"/>
                          </w:rPr>
                        </w:pPr>
                        <w:r>
                          <w:rPr>
                            <w:rFonts w:ascii="Arial"/>
                            <w:sz w:val="22"/>
                          </w:rPr>
                          <w:t>mg/L</w:t>
                        </w:r>
                      </w:p>
                    </w:tc>
                  </w:tr>
                  <w:tr>
                    <w:trPr>
                      <w:trHeight w:val="524" w:hRule="exact"/>
                    </w:trPr>
                    <w:tc>
                      <w:tcPr>
                        <w:tcW w:w="9180" w:type="dxa"/>
                        <w:gridSpan w:val="3"/>
                      </w:tcPr>
                      <w:p>
                        <w:pPr>
                          <w:pStyle w:val="TableParagraph"/>
                          <w:tabs>
                            <w:tab w:pos="1951" w:val="left" w:leader="none"/>
                            <w:tab w:pos="8155" w:val="left" w:leader="none"/>
                          </w:tabs>
                          <w:spacing w:line="363" w:lineRule="exact" w:before="0"/>
                          <w:ind w:left="108" w:right="0"/>
                          <w:jc w:val="left"/>
                          <w:rPr>
                            <w:rFonts w:ascii="Arial" w:hAnsi="Arial"/>
                            <w:sz w:val="22"/>
                          </w:rPr>
                        </w:pPr>
                        <w:r>
                          <w:rPr>
                            <w:rFonts w:ascii="Arial" w:hAnsi="Arial"/>
                            <w:i/>
                            <w:position w:val="-11"/>
                            <w:sz w:val="22"/>
                          </w:rPr>
                          <w:t>DBO</w:t>
                          <w:tab/>
                        </w:r>
                        <w:r>
                          <w:rPr>
                            <w:rFonts w:ascii="Arial" w:hAnsi="Arial"/>
                            <w:sz w:val="22"/>
                          </w:rPr>
                          <w:t>Demanda bioquímica de oxígeno a la</w:t>
                        </w:r>
                        <w:r>
                          <w:rPr>
                            <w:rFonts w:ascii="Arial" w:hAnsi="Arial"/>
                            <w:spacing w:val="-8"/>
                            <w:sz w:val="22"/>
                          </w:rPr>
                          <w:t> </w:t>
                        </w:r>
                        <w:r>
                          <w:rPr>
                            <w:rFonts w:ascii="Arial" w:hAnsi="Arial"/>
                            <w:sz w:val="22"/>
                          </w:rPr>
                          <w:t>entrada</w:t>
                        </w:r>
                        <w:r>
                          <w:rPr>
                            <w:rFonts w:ascii="Arial" w:hAnsi="Arial"/>
                            <w:spacing w:val="-4"/>
                            <w:sz w:val="22"/>
                          </w:rPr>
                          <w:t> </w:t>
                        </w:r>
                        <w:r>
                          <w:rPr>
                            <w:rFonts w:ascii="Arial" w:hAnsi="Arial"/>
                            <w:sz w:val="22"/>
                          </w:rPr>
                          <w:t>del</w:t>
                          <w:tab/>
                        </w:r>
                        <w:r>
                          <w:rPr>
                            <w:rFonts w:ascii="Arial" w:hAnsi="Arial"/>
                            <w:position w:val="-11"/>
                            <w:sz w:val="22"/>
                          </w:rPr>
                          <w:t>mg/L</w:t>
                        </w:r>
                      </w:p>
                    </w:tc>
                  </w:tr>
                  <w:tr>
                    <w:trPr>
                      <w:trHeight w:val="236" w:hRule="exact"/>
                    </w:trPr>
                    <w:tc>
                      <w:tcPr>
                        <w:tcW w:w="1849" w:type="dxa"/>
                      </w:tcPr>
                      <w:p>
                        <w:pPr>
                          <w:pStyle w:val="TableParagraph"/>
                          <w:spacing w:line="226" w:lineRule="exact" w:before="0"/>
                          <w:ind w:left="108" w:right="0"/>
                          <w:jc w:val="left"/>
                          <w:rPr>
                            <w:rFonts w:ascii="Arial"/>
                            <w:sz w:val="22"/>
                          </w:rPr>
                        </w:pPr>
                        <w:r>
                          <w:rPr>
                            <w:rFonts w:ascii="Arial"/>
                            <w:sz w:val="22"/>
                          </w:rPr>
                          <w:t>DOF</w:t>
                        </w:r>
                      </w:p>
                    </w:tc>
                    <w:tc>
                      <w:tcPr>
                        <w:tcW w:w="5721" w:type="dxa"/>
                      </w:tcPr>
                      <w:p>
                        <w:pPr>
                          <w:pStyle w:val="TableParagraph"/>
                          <w:spacing w:line="226" w:lineRule="exact" w:before="0"/>
                          <w:ind w:left="111" w:right="0"/>
                          <w:jc w:val="left"/>
                          <w:rPr>
                            <w:rFonts w:ascii="Arial" w:hAnsi="Arial"/>
                            <w:sz w:val="22"/>
                          </w:rPr>
                        </w:pPr>
                        <w:r>
                          <w:rPr>
                            <w:rFonts w:ascii="Arial" w:hAnsi="Arial"/>
                            <w:sz w:val="22"/>
                          </w:rPr>
                          <w:t>Diario Oficial de la Federación</w:t>
                        </w:r>
                      </w:p>
                    </w:tc>
                    <w:tc>
                      <w:tcPr>
                        <w:tcW w:w="1610" w:type="dxa"/>
                      </w:tcPr>
                      <w:p>
                        <w:pPr/>
                      </w:p>
                    </w:tc>
                  </w:tr>
                  <w:tr>
                    <w:trPr>
                      <w:trHeight w:val="252" w:hRule="exact"/>
                    </w:trPr>
                    <w:tc>
                      <w:tcPr>
                        <w:tcW w:w="1849" w:type="dxa"/>
                      </w:tcPr>
                      <w:p>
                        <w:pPr>
                          <w:pStyle w:val="TableParagraph"/>
                          <w:spacing w:line="241" w:lineRule="exact" w:before="0"/>
                          <w:ind w:left="108" w:right="0"/>
                          <w:jc w:val="left"/>
                          <w:rPr>
                            <w:rFonts w:ascii="Arial"/>
                            <w:sz w:val="22"/>
                          </w:rPr>
                        </w:pPr>
                        <w:r>
                          <w:rPr>
                            <w:rFonts w:ascii="Arial"/>
                            <w:sz w:val="22"/>
                          </w:rPr>
                          <w:t>DQO</w:t>
                        </w:r>
                      </w:p>
                    </w:tc>
                    <w:tc>
                      <w:tcPr>
                        <w:tcW w:w="5721" w:type="dxa"/>
                      </w:tcPr>
                      <w:p>
                        <w:pPr>
                          <w:pStyle w:val="TableParagraph"/>
                          <w:spacing w:line="241" w:lineRule="exact" w:before="0"/>
                          <w:ind w:left="111" w:right="0"/>
                          <w:jc w:val="left"/>
                          <w:rPr>
                            <w:rFonts w:ascii="Arial" w:hAnsi="Arial"/>
                            <w:sz w:val="22"/>
                          </w:rPr>
                        </w:pPr>
                        <w:r>
                          <w:rPr>
                            <w:rFonts w:ascii="Arial" w:hAnsi="Arial"/>
                            <w:sz w:val="22"/>
                          </w:rPr>
                          <w:t>Demanda química de oxígeno</w:t>
                        </w:r>
                      </w:p>
                    </w:tc>
                    <w:tc>
                      <w:tcPr>
                        <w:tcW w:w="1610" w:type="dxa"/>
                      </w:tcPr>
                      <w:p>
                        <w:pPr>
                          <w:pStyle w:val="TableParagraph"/>
                          <w:spacing w:line="241" w:lineRule="exact" w:before="0"/>
                          <w:ind w:left="486" w:right="434"/>
                          <w:jc w:val="center"/>
                          <w:rPr>
                            <w:rFonts w:ascii="Arial"/>
                            <w:sz w:val="22"/>
                          </w:rPr>
                        </w:pPr>
                        <w:r>
                          <w:rPr>
                            <w:rFonts w:ascii="Arial"/>
                            <w:sz w:val="22"/>
                          </w:rPr>
                          <w:t>mg/L</w:t>
                        </w:r>
                      </w:p>
                    </w:tc>
                  </w:tr>
                  <w:tr>
                    <w:trPr>
                      <w:trHeight w:val="261" w:hRule="exact"/>
                    </w:trPr>
                    <w:tc>
                      <w:tcPr>
                        <w:tcW w:w="1849" w:type="dxa"/>
                      </w:tcPr>
                      <w:p>
                        <w:pPr>
                          <w:pStyle w:val="TableParagraph"/>
                          <w:spacing w:line="254" w:lineRule="exact" w:before="0"/>
                          <w:ind w:left="108" w:right="0"/>
                          <w:jc w:val="left"/>
                          <w:rPr>
                            <w:rFonts w:ascii="Arial"/>
                            <w:i/>
                            <w:sz w:val="14"/>
                          </w:rPr>
                        </w:pPr>
                        <w:r>
                          <w:rPr>
                            <w:rFonts w:ascii="Arial"/>
                            <w:i/>
                            <w:sz w:val="22"/>
                          </w:rPr>
                          <w:t>DQO</w:t>
                        </w:r>
                        <w:r>
                          <w:rPr>
                            <w:rFonts w:ascii="Arial"/>
                            <w:i/>
                            <w:position w:val="-2"/>
                            <w:sz w:val="14"/>
                          </w:rPr>
                          <w:t>in</w:t>
                        </w:r>
                      </w:p>
                    </w:tc>
                    <w:tc>
                      <w:tcPr>
                        <w:tcW w:w="5721" w:type="dxa"/>
                      </w:tcPr>
                      <w:p>
                        <w:pPr>
                          <w:pStyle w:val="TableParagraph"/>
                          <w:spacing w:line="241" w:lineRule="exact" w:before="0"/>
                          <w:ind w:left="101" w:right="0"/>
                          <w:jc w:val="left"/>
                          <w:rPr>
                            <w:rFonts w:ascii="Arial" w:hAnsi="Arial"/>
                            <w:sz w:val="22"/>
                          </w:rPr>
                        </w:pPr>
                        <w:r>
                          <w:rPr>
                            <w:rFonts w:ascii="Arial" w:hAnsi="Arial"/>
                            <w:sz w:val="22"/>
                          </w:rPr>
                          <w:t>Demanda química de oxígeno en la entrada del filtro</w:t>
                        </w:r>
                      </w:p>
                    </w:tc>
                    <w:tc>
                      <w:tcPr>
                        <w:tcW w:w="1610" w:type="dxa"/>
                      </w:tcPr>
                      <w:p>
                        <w:pPr>
                          <w:pStyle w:val="TableParagraph"/>
                          <w:spacing w:line="241" w:lineRule="exact" w:before="0"/>
                          <w:ind w:left="484" w:right="435"/>
                          <w:jc w:val="center"/>
                          <w:rPr>
                            <w:rFonts w:ascii="Arial"/>
                            <w:sz w:val="22"/>
                          </w:rPr>
                        </w:pPr>
                        <w:r>
                          <w:rPr>
                            <w:rFonts w:ascii="Arial"/>
                            <w:sz w:val="22"/>
                          </w:rPr>
                          <w:t>mg/L</w:t>
                        </w:r>
                      </w:p>
                    </w:tc>
                  </w:tr>
                  <w:tr>
                    <w:trPr>
                      <w:trHeight w:val="241" w:hRule="exact"/>
                    </w:trPr>
                    <w:tc>
                      <w:tcPr>
                        <w:tcW w:w="1849" w:type="dxa"/>
                        <w:tcBorders>
                          <w:bottom w:val="single" w:sz="4" w:space="0" w:color="000000"/>
                        </w:tcBorders>
                      </w:tcPr>
                      <w:p>
                        <w:pPr>
                          <w:pStyle w:val="TableParagraph"/>
                          <w:spacing w:line="248" w:lineRule="exact" w:before="0"/>
                          <w:ind w:left="108" w:right="0"/>
                          <w:jc w:val="left"/>
                          <w:rPr>
                            <w:rFonts w:ascii="Arial"/>
                            <w:sz w:val="14"/>
                          </w:rPr>
                        </w:pPr>
                        <w:r>
                          <w:rPr>
                            <w:rFonts w:ascii="Arial"/>
                            <w:sz w:val="22"/>
                          </w:rPr>
                          <w:t>DQO</w:t>
                        </w:r>
                        <w:r>
                          <w:rPr>
                            <w:rFonts w:ascii="Arial"/>
                            <w:position w:val="-2"/>
                            <w:sz w:val="14"/>
                          </w:rPr>
                          <w:t>T</w:t>
                        </w:r>
                      </w:p>
                    </w:tc>
                    <w:tc>
                      <w:tcPr>
                        <w:tcW w:w="5721" w:type="dxa"/>
                        <w:tcBorders>
                          <w:bottom w:val="single" w:sz="4" w:space="0" w:color="000000"/>
                        </w:tcBorders>
                      </w:tcPr>
                      <w:p>
                        <w:pPr>
                          <w:pStyle w:val="TableParagraph"/>
                          <w:spacing w:line="234" w:lineRule="exact" w:before="0"/>
                          <w:ind w:left="111" w:right="0"/>
                          <w:jc w:val="left"/>
                          <w:rPr>
                            <w:rFonts w:ascii="Arial" w:hAnsi="Arial"/>
                            <w:sz w:val="22"/>
                          </w:rPr>
                        </w:pPr>
                        <w:r>
                          <w:rPr>
                            <w:rFonts w:ascii="Arial" w:hAnsi="Arial"/>
                            <w:sz w:val="22"/>
                          </w:rPr>
                          <w:t>Demanda química de oxígeno total</w:t>
                        </w:r>
                      </w:p>
                    </w:tc>
                    <w:tc>
                      <w:tcPr>
                        <w:tcW w:w="1610" w:type="dxa"/>
                        <w:tcBorders>
                          <w:bottom w:val="single" w:sz="4" w:space="0" w:color="000000"/>
                        </w:tcBorders>
                      </w:tcPr>
                      <w:p>
                        <w:pPr>
                          <w:pStyle w:val="TableParagraph"/>
                          <w:spacing w:line="234" w:lineRule="exact" w:before="0"/>
                          <w:ind w:left="486" w:right="434"/>
                          <w:jc w:val="center"/>
                          <w:rPr>
                            <w:rFonts w:ascii="Arial"/>
                            <w:sz w:val="22"/>
                          </w:rPr>
                        </w:pPr>
                        <w:r>
                          <w:rPr>
                            <w:rFonts w:ascii="Arial"/>
                            <w:sz w:val="22"/>
                          </w:rPr>
                          <w:t>mg/L</w:t>
                        </w:r>
                      </w:p>
                    </w:tc>
                  </w:tr>
                </w:tbl>
                <w:p>
                  <w:pPr>
                    <w:pStyle w:val="BodyText"/>
                  </w:pPr>
                </w:p>
              </w:txbxContent>
            </v:textbox>
            <w10:wrap type="none"/>
          </v:shape>
        </w:pict>
      </w:r>
      <w:r>
        <w:rPr>
          <w:i/>
          <w:sz w:val="14"/>
        </w:rPr>
        <w:t>5in</w:t>
      </w:r>
    </w:p>
    <w:p>
      <w:pPr>
        <w:pStyle w:val="BodyText"/>
        <w:spacing w:before="4"/>
        <w:rPr>
          <w:i/>
          <w:sz w:val="24"/>
        </w:rPr>
      </w:pPr>
      <w:r>
        <w:rPr/>
        <w:br w:type="column"/>
      </w:r>
      <w:r>
        <w:rPr>
          <w:i/>
          <w:sz w:val="24"/>
        </w:rPr>
      </w:r>
    </w:p>
    <w:p>
      <w:pPr>
        <w:pStyle w:val="BodyText"/>
        <w:ind w:left="1140"/>
      </w:pPr>
      <w:r>
        <w:rPr/>
        <w:t>biofiltro</w:t>
      </w:r>
    </w:p>
    <w:p>
      <w:pPr>
        <w:spacing w:after="0"/>
        <w:sectPr>
          <w:type w:val="continuous"/>
          <w:pgSz w:w="12240" w:h="15840"/>
          <w:pgMar w:top="0" w:bottom="0" w:left="920" w:right="1200"/>
          <w:cols w:num="2" w:equalWidth="0">
            <w:col w:w="1445" w:space="40"/>
            <w:col w:w="8635"/>
          </w:cols>
        </w:sectPr>
      </w:pPr>
    </w:p>
    <w:p>
      <w:pPr>
        <w:pStyle w:val="BodyText"/>
        <w:rPr>
          <w:sz w:val="20"/>
        </w:rPr>
      </w:pPr>
      <w:r>
        <w:rPr/>
        <w:pict>
          <v:shape style="position:absolute;margin-left:79.680pt;margin-top:76.800018pt;width:.1pt;height:635.9pt;mso-position-horizontal-relative:page;mso-position-vertical-relative:page;z-index:1264" coordorigin="1594,1536" coordsize="0,12718" path="m1594,1536l1594,4378m1594,4378l1594,4630m1594,4630l1594,4882m1594,4882l1594,5136m1594,5136l1594,5388m1594,5388l1594,5642m1594,5642l1594,5894m1594,5894l1594,6146m1594,6146l1594,6401m1594,6401l1594,6653m1594,6653l1594,6907m1594,6907l1594,7159m1594,7159l1594,7411m1594,7411l1594,7666m1594,7666l1594,7918m1594,7918l1594,8424m1594,8424l1594,8678m1594,8678l1594,8930m1594,8930l1594,9182m1594,9182l1594,9437m1594,9437l1594,9689m1594,9689l1594,9943m1594,9943l1594,10195m1594,10195l1594,10447m1594,10447l1594,10702m1594,10702l1594,10954m1594,10954l1594,11208m1594,11208l1594,11460m1594,11460l1594,11712m1594,11712l1594,11966m1594,11966l1594,12218m1594,12218l1594,12725m1594,12725l1594,12977m1594,12977l1594,13231m1594,13231l1594,13483m1594,13483l1594,13738m1594,13738l1594,13990m1594,13990l1594,14254e" filled="false" stroked="true" strokeweight=".48pt" strokecolor="#000000">
            <v:path arrowok="t"/>
            <w10:wrap type="none"/>
          </v:shape>
        </w:pict>
      </w:r>
      <w:r>
        <w:rPr/>
        <w:pict>
          <v:shape style="position:absolute;margin-left:538.679993pt;margin-top:76.800018pt;width:.1pt;height:635.9pt;mso-position-horizontal-relative:page;mso-position-vertical-relative:page;z-index:1288" coordorigin="10774,1536" coordsize="0,12718" path="m10774,1536l10774,4378m10774,4378l10774,4630m10774,4630l10774,4882m10774,4882l10774,5136m10774,5136l10774,5388m10774,5388l10774,5642m10774,5642l10774,5894m10774,5894l10774,6146m10774,6146l10774,6401m10774,6401l10774,6653m10774,6653l10774,6907m10774,6907l10774,7159m10774,7159l10774,7411m10774,7411l10774,7666m10774,7666l10774,7918m10774,7918l10774,8424m10774,8424l10774,8678m10774,8678l10774,8930m10774,8930l10774,9182m10774,9182l10774,9437m10774,9437l10774,9689m10774,9689l10774,9943m10774,9943l10774,10195m10774,10195l10774,10447m10774,10447l10774,10702m10774,10702l10774,10954m10774,10954l10774,11208m10774,11208l10774,11460m10774,11460l10774,11712m10774,11712l10774,11966m10774,11966l10774,12218m10774,12218l10774,12725m10774,12725l10774,12977m10774,12977l10774,13231m10774,13231l10774,13483m10774,13483l10774,13738m10774,13738l10774,13990m10774,13990l10774,14254e" filled="false" stroked="true" strokeweight=".48pt" strokecolor="#000000">
            <v:path arrowok="t"/>
            <w10:wrap type="none"/>
          </v:shape>
        </w:pict>
      </w:r>
      <w:r>
        <w:rPr/>
        <w:pict>
          <v:shape style="position:absolute;margin-left:79.680pt;margin-top:77.040016pt;width:459pt;height:635.9pt;mso-position-horizontal-relative:page;mso-position-vertical-relative:page;z-index:1312"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6"/>
                    <w:gridCol w:w="5557"/>
                    <w:gridCol w:w="1817"/>
                  </w:tblGrid>
                  <w:tr>
                    <w:trPr>
                      <w:trHeight w:val="300" w:hRule="exact"/>
                    </w:trPr>
                    <w:tc>
                      <w:tcPr>
                        <w:tcW w:w="1806" w:type="dxa"/>
                        <w:tcBorders>
                          <w:left w:val="nil"/>
                          <w:right w:val="nil"/>
                        </w:tcBorders>
                      </w:tcPr>
                      <w:p>
                        <w:pPr>
                          <w:pStyle w:val="TableParagraph"/>
                          <w:spacing w:line="248" w:lineRule="exact" w:before="0"/>
                          <w:ind w:left="192" w:right="0"/>
                          <w:jc w:val="left"/>
                          <w:rPr>
                            <w:rFonts w:ascii="Arial"/>
                            <w:b/>
                            <w:sz w:val="22"/>
                          </w:rPr>
                        </w:pPr>
                        <w:r>
                          <w:rPr>
                            <w:rFonts w:ascii="Arial"/>
                            <w:b/>
                            <w:sz w:val="22"/>
                          </w:rPr>
                          <w:t>Nomenclatura</w:t>
                        </w:r>
                      </w:p>
                    </w:tc>
                    <w:tc>
                      <w:tcPr>
                        <w:tcW w:w="5557" w:type="dxa"/>
                        <w:tcBorders>
                          <w:left w:val="nil"/>
                          <w:right w:val="nil"/>
                        </w:tcBorders>
                      </w:tcPr>
                      <w:p>
                        <w:pPr>
                          <w:pStyle w:val="TableParagraph"/>
                          <w:spacing w:line="248" w:lineRule="exact" w:before="0"/>
                          <w:ind w:left="2281" w:right="1976"/>
                          <w:jc w:val="center"/>
                          <w:rPr>
                            <w:rFonts w:ascii="Arial" w:hAnsi="Arial"/>
                            <w:b/>
                            <w:sz w:val="22"/>
                          </w:rPr>
                        </w:pPr>
                        <w:r>
                          <w:rPr>
                            <w:rFonts w:ascii="Arial" w:hAnsi="Arial"/>
                            <w:b/>
                            <w:sz w:val="22"/>
                          </w:rPr>
                          <w:t>Descripción</w:t>
                        </w:r>
                      </w:p>
                    </w:tc>
                    <w:tc>
                      <w:tcPr>
                        <w:tcW w:w="1817" w:type="dxa"/>
                        <w:tcBorders>
                          <w:left w:val="nil"/>
                          <w:right w:val="nil"/>
                        </w:tcBorders>
                      </w:tcPr>
                      <w:p>
                        <w:pPr>
                          <w:pStyle w:val="TableParagraph"/>
                          <w:spacing w:line="248" w:lineRule="exact" w:before="0"/>
                          <w:ind w:left="402" w:right="148"/>
                          <w:jc w:val="center"/>
                          <w:rPr>
                            <w:rFonts w:ascii="Arial"/>
                            <w:b/>
                            <w:sz w:val="22"/>
                          </w:rPr>
                        </w:pPr>
                        <w:r>
                          <w:rPr>
                            <w:rFonts w:ascii="Arial"/>
                            <w:b/>
                            <w:sz w:val="22"/>
                          </w:rPr>
                          <w:t>Unidades</w:t>
                        </w:r>
                      </w:p>
                    </w:tc>
                  </w:tr>
                  <w:tr>
                    <w:trPr>
                      <w:trHeight w:val="269" w:hRule="exact"/>
                    </w:trPr>
                    <w:tc>
                      <w:tcPr>
                        <w:tcW w:w="1806" w:type="dxa"/>
                        <w:tcBorders>
                          <w:left w:val="nil"/>
                          <w:bottom w:val="nil"/>
                          <w:right w:val="nil"/>
                        </w:tcBorders>
                      </w:tcPr>
                      <w:p>
                        <w:pPr>
                          <w:pStyle w:val="TableParagraph"/>
                          <w:spacing w:before="0"/>
                          <w:ind w:left="108" w:right="0"/>
                          <w:jc w:val="left"/>
                          <w:rPr>
                            <w:rFonts w:ascii="Arial"/>
                            <w:sz w:val="22"/>
                          </w:rPr>
                        </w:pPr>
                        <w:r>
                          <w:rPr>
                            <w:rFonts w:ascii="Arial"/>
                            <w:w w:val="100"/>
                            <w:sz w:val="22"/>
                          </w:rPr>
                          <w:t>E</w:t>
                        </w:r>
                      </w:p>
                    </w:tc>
                    <w:tc>
                      <w:tcPr>
                        <w:tcW w:w="5557" w:type="dxa"/>
                        <w:tcBorders>
                          <w:left w:val="nil"/>
                          <w:bottom w:val="nil"/>
                          <w:right w:val="nil"/>
                        </w:tcBorders>
                      </w:tcPr>
                      <w:p>
                        <w:pPr>
                          <w:pStyle w:val="TableParagraph"/>
                          <w:spacing w:before="0"/>
                          <w:ind w:left="154" w:right="0"/>
                          <w:jc w:val="left"/>
                          <w:rPr>
                            <w:rFonts w:ascii="Arial"/>
                            <w:sz w:val="22"/>
                          </w:rPr>
                        </w:pPr>
                        <w:r>
                          <w:rPr>
                            <w:rFonts w:ascii="Arial"/>
                            <w:sz w:val="22"/>
                          </w:rPr>
                          <w:t>Eficiencia</w:t>
                        </w:r>
                      </w:p>
                    </w:tc>
                    <w:tc>
                      <w:tcPr>
                        <w:tcW w:w="1817" w:type="dxa"/>
                        <w:tcBorders>
                          <w:left w:val="nil"/>
                          <w:bottom w:val="nil"/>
                          <w:right w:val="nil"/>
                        </w:tcBorders>
                      </w:tcPr>
                      <w:p>
                        <w:pPr>
                          <w:pStyle w:val="TableParagraph"/>
                          <w:spacing w:before="0"/>
                          <w:ind w:left="255" w:right="0"/>
                          <w:jc w:val="center"/>
                          <w:rPr>
                            <w:rFonts w:ascii="Arial"/>
                            <w:sz w:val="22"/>
                          </w:rPr>
                        </w:pPr>
                        <w:r>
                          <w:rPr>
                            <w:rFonts w:ascii="Arial"/>
                            <w:w w:val="100"/>
                            <w:sz w:val="22"/>
                          </w:rPr>
                          <w:t>%</w:t>
                        </w:r>
                      </w:p>
                    </w:tc>
                  </w:tr>
                  <w:tr>
                    <w:trPr>
                      <w:trHeight w:val="252"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EMCIRA</w:t>
                        </w:r>
                      </w:p>
                    </w:tc>
                    <w:tc>
                      <w:tcPr>
                        <w:tcW w:w="5557" w:type="dxa"/>
                        <w:tcBorders>
                          <w:top w:val="nil"/>
                          <w:left w:val="nil"/>
                          <w:bottom w:val="nil"/>
                          <w:right w:val="nil"/>
                        </w:tcBorders>
                      </w:tcPr>
                      <w:p>
                        <w:pPr>
                          <w:pStyle w:val="TableParagraph"/>
                          <w:spacing w:line="241" w:lineRule="exact" w:before="0"/>
                          <w:ind w:left="154" w:right="0"/>
                          <w:jc w:val="left"/>
                          <w:rPr>
                            <w:rFonts w:ascii="Arial" w:hAnsi="Arial"/>
                            <w:sz w:val="22"/>
                          </w:rPr>
                        </w:pPr>
                        <w:r>
                          <w:rPr>
                            <w:rFonts w:ascii="Arial" w:hAnsi="Arial"/>
                            <w:sz w:val="22"/>
                          </w:rPr>
                          <w:t>Estación meteorológica del CIRA</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i/>
                            <w:sz w:val="22"/>
                          </w:rPr>
                        </w:pPr>
                        <w:r>
                          <w:rPr>
                            <w:rFonts w:ascii="Arial"/>
                            <w:i/>
                            <w:sz w:val="22"/>
                          </w:rPr>
                          <w:t>FA</w:t>
                        </w:r>
                      </w:p>
                    </w:tc>
                    <w:tc>
                      <w:tcPr>
                        <w:tcW w:w="5557"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Frecuencia de alimentación</w:t>
                        </w:r>
                      </w:p>
                    </w:tc>
                    <w:tc>
                      <w:tcPr>
                        <w:tcW w:w="1817" w:type="dxa"/>
                        <w:tcBorders>
                          <w:top w:val="nil"/>
                          <w:left w:val="nil"/>
                          <w:bottom w:val="nil"/>
                          <w:right w:val="nil"/>
                        </w:tcBorders>
                      </w:tcPr>
                      <w:p>
                        <w:pPr>
                          <w:pStyle w:val="TableParagraph"/>
                          <w:spacing w:line="241" w:lineRule="exact" w:before="0"/>
                          <w:ind w:left="402" w:right="148"/>
                          <w:jc w:val="center"/>
                          <w:rPr>
                            <w:rFonts w:ascii="Arial"/>
                            <w:sz w:val="22"/>
                          </w:rPr>
                        </w:pPr>
                        <w:r>
                          <w:rPr>
                            <w:rFonts w:ascii="Arial"/>
                            <w:sz w:val="22"/>
                          </w:rPr>
                          <w:t>#/d</w:t>
                        </w: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i/>
                            <w:sz w:val="22"/>
                          </w:rPr>
                        </w:pPr>
                        <w:r>
                          <w:rPr>
                            <w:rFonts w:ascii="Arial"/>
                            <w:i/>
                            <w:sz w:val="22"/>
                          </w:rPr>
                          <w:t>FCA</w:t>
                        </w:r>
                      </w:p>
                    </w:tc>
                    <w:tc>
                      <w:tcPr>
                        <w:tcW w:w="5557" w:type="dxa"/>
                        <w:tcBorders>
                          <w:top w:val="nil"/>
                          <w:left w:val="nil"/>
                          <w:bottom w:val="nil"/>
                          <w:right w:val="nil"/>
                        </w:tcBorders>
                      </w:tcPr>
                      <w:p>
                        <w:pPr>
                          <w:pStyle w:val="TableParagraph"/>
                          <w:spacing w:line="242" w:lineRule="exact" w:before="0"/>
                          <w:ind w:left="145" w:right="0"/>
                          <w:jc w:val="left"/>
                          <w:rPr>
                            <w:rFonts w:ascii="Arial" w:hAnsi="Arial"/>
                            <w:sz w:val="22"/>
                          </w:rPr>
                        </w:pPr>
                        <w:r>
                          <w:rPr>
                            <w:rFonts w:ascii="Arial" w:hAnsi="Arial"/>
                            <w:sz w:val="22"/>
                          </w:rPr>
                          <w:t>Factor de conversión alimenticia</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i/>
                            <w:sz w:val="22"/>
                          </w:rPr>
                        </w:pPr>
                        <w:r>
                          <w:rPr>
                            <w:rFonts w:ascii="Arial"/>
                            <w:i/>
                            <w:sz w:val="22"/>
                          </w:rPr>
                          <w:t>FR</w:t>
                        </w:r>
                      </w:p>
                    </w:tc>
                    <w:tc>
                      <w:tcPr>
                        <w:tcW w:w="5557"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Tasa de alimentación y tipo de alimento</w:t>
                        </w:r>
                      </w:p>
                    </w:tc>
                    <w:tc>
                      <w:tcPr>
                        <w:tcW w:w="1817" w:type="dxa"/>
                        <w:tcBorders>
                          <w:top w:val="nil"/>
                          <w:left w:val="nil"/>
                          <w:bottom w:val="nil"/>
                          <w:right w:val="nil"/>
                        </w:tcBorders>
                      </w:tcPr>
                      <w:p>
                        <w:pPr>
                          <w:pStyle w:val="TableParagraph"/>
                          <w:spacing w:line="241" w:lineRule="exact" w:before="0"/>
                          <w:ind w:left="401" w:right="148"/>
                          <w:jc w:val="center"/>
                          <w:rPr>
                            <w:rFonts w:ascii="Arial"/>
                            <w:sz w:val="22"/>
                          </w:rPr>
                        </w:pPr>
                        <w:r>
                          <w:rPr>
                            <w:rFonts w:ascii="Arial"/>
                            <w:sz w:val="22"/>
                          </w:rPr>
                          <w:t>kg/d</w:t>
                        </w: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sz w:val="22"/>
                          </w:rPr>
                        </w:pPr>
                        <w:r>
                          <w:rPr>
                            <w:rFonts w:ascii="Arial"/>
                            <w:w w:val="100"/>
                            <w:sz w:val="22"/>
                          </w:rPr>
                          <w:t>H</w:t>
                        </w:r>
                      </w:p>
                    </w:tc>
                    <w:tc>
                      <w:tcPr>
                        <w:tcW w:w="5557" w:type="dxa"/>
                        <w:tcBorders>
                          <w:top w:val="nil"/>
                          <w:left w:val="nil"/>
                          <w:bottom w:val="nil"/>
                          <w:right w:val="nil"/>
                        </w:tcBorders>
                      </w:tcPr>
                      <w:p>
                        <w:pPr>
                          <w:pStyle w:val="TableParagraph"/>
                          <w:spacing w:line="242" w:lineRule="exact" w:before="0"/>
                          <w:ind w:left="154" w:right="0"/>
                          <w:jc w:val="left"/>
                          <w:rPr>
                            <w:rFonts w:ascii="Arial"/>
                            <w:sz w:val="22"/>
                          </w:rPr>
                        </w:pPr>
                        <w:r>
                          <w:rPr>
                            <w:rFonts w:ascii="Arial"/>
                            <w:sz w:val="22"/>
                          </w:rPr>
                          <w:t>Altura del empaque en el biofiltro</w:t>
                        </w:r>
                      </w:p>
                    </w:tc>
                    <w:tc>
                      <w:tcPr>
                        <w:tcW w:w="1817" w:type="dxa"/>
                        <w:tcBorders>
                          <w:top w:val="nil"/>
                          <w:left w:val="nil"/>
                          <w:bottom w:val="nil"/>
                          <w:right w:val="nil"/>
                        </w:tcBorders>
                      </w:tcPr>
                      <w:p>
                        <w:pPr>
                          <w:pStyle w:val="TableParagraph"/>
                          <w:spacing w:line="242" w:lineRule="exact" w:before="0"/>
                          <w:ind w:left="257" w:right="0"/>
                          <w:jc w:val="center"/>
                          <w:rPr>
                            <w:rFonts w:ascii="Arial"/>
                            <w:sz w:val="22"/>
                          </w:rPr>
                        </w:pPr>
                        <w:r>
                          <w:rPr>
                            <w:rFonts w:ascii="Arial"/>
                            <w:w w:val="100"/>
                            <w:sz w:val="22"/>
                          </w:rPr>
                          <w:t>m</w:t>
                        </w:r>
                      </w:p>
                    </w:tc>
                  </w:tr>
                  <w:tr>
                    <w:trPr>
                      <w:trHeight w:val="260" w:hRule="exact"/>
                    </w:trPr>
                    <w:tc>
                      <w:tcPr>
                        <w:tcW w:w="1806" w:type="dxa"/>
                        <w:tcBorders>
                          <w:top w:val="nil"/>
                          <w:left w:val="nil"/>
                          <w:bottom w:val="nil"/>
                          <w:right w:val="nil"/>
                        </w:tcBorders>
                      </w:tcPr>
                      <w:p>
                        <w:pPr>
                          <w:pStyle w:val="TableParagraph"/>
                          <w:spacing w:line="255" w:lineRule="exact" w:before="0"/>
                          <w:ind w:left="108" w:right="0"/>
                          <w:jc w:val="left"/>
                          <w:rPr>
                            <w:rFonts w:ascii="Arial"/>
                            <w:i/>
                            <w:sz w:val="14"/>
                          </w:rPr>
                        </w:pPr>
                        <w:r>
                          <w:rPr>
                            <w:rFonts w:ascii="Arial"/>
                            <w:i/>
                            <w:position w:val="3"/>
                            <w:sz w:val="22"/>
                          </w:rPr>
                          <w:t>H</w:t>
                        </w:r>
                        <w:r>
                          <w:rPr>
                            <w:rFonts w:ascii="Arial"/>
                            <w:i/>
                            <w:sz w:val="14"/>
                          </w:rPr>
                          <w:t>tank</w:t>
                        </w:r>
                      </w:p>
                    </w:tc>
                    <w:tc>
                      <w:tcPr>
                        <w:tcW w:w="5557" w:type="dxa"/>
                        <w:tcBorders>
                          <w:top w:val="nil"/>
                          <w:left w:val="nil"/>
                          <w:bottom w:val="nil"/>
                          <w:right w:val="nil"/>
                        </w:tcBorders>
                      </w:tcPr>
                      <w:p>
                        <w:pPr>
                          <w:pStyle w:val="TableParagraph"/>
                          <w:spacing w:line="241" w:lineRule="exact" w:before="0"/>
                          <w:ind w:left="145" w:right="0"/>
                          <w:jc w:val="left"/>
                          <w:rPr>
                            <w:rFonts w:ascii="Arial"/>
                            <w:sz w:val="22"/>
                          </w:rPr>
                        </w:pPr>
                        <w:r>
                          <w:rPr>
                            <w:rFonts w:ascii="Arial"/>
                            <w:sz w:val="22"/>
                          </w:rPr>
                          <w:t>Altura total</w:t>
                        </w:r>
                      </w:p>
                    </w:tc>
                    <w:tc>
                      <w:tcPr>
                        <w:tcW w:w="1817" w:type="dxa"/>
                        <w:tcBorders>
                          <w:top w:val="nil"/>
                          <w:left w:val="nil"/>
                          <w:bottom w:val="nil"/>
                          <w:right w:val="nil"/>
                        </w:tcBorders>
                      </w:tcPr>
                      <w:p>
                        <w:pPr>
                          <w:pStyle w:val="TableParagraph"/>
                          <w:spacing w:line="241" w:lineRule="exact" w:before="0"/>
                          <w:ind w:left="258" w:right="0"/>
                          <w:jc w:val="center"/>
                          <w:rPr>
                            <w:rFonts w:ascii="Arial"/>
                            <w:sz w:val="22"/>
                          </w:rPr>
                        </w:pPr>
                        <w:r>
                          <w:rPr>
                            <w:rFonts w:ascii="Arial"/>
                            <w:w w:val="100"/>
                            <w:sz w:val="22"/>
                          </w:rPr>
                          <w:t>m</w:t>
                        </w:r>
                      </w:p>
                    </w:tc>
                  </w:tr>
                  <w:tr>
                    <w:trPr>
                      <w:trHeight w:val="244" w:hRule="exact"/>
                    </w:trPr>
                    <w:tc>
                      <w:tcPr>
                        <w:tcW w:w="1806" w:type="dxa"/>
                        <w:tcBorders>
                          <w:top w:val="nil"/>
                          <w:left w:val="nil"/>
                          <w:bottom w:val="nil"/>
                          <w:right w:val="nil"/>
                        </w:tcBorders>
                      </w:tcPr>
                      <w:p>
                        <w:pPr>
                          <w:pStyle w:val="TableParagraph"/>
                          <w:spacing w:line="248" w:lineRule="exact" w:before="0"/>
                          <w:ind w:left="108" w:right="0"/>
                          <w:jc w:val="left"/>
                          <w:rPr>
                            <w:rFonts w:ascii="Arial"/>
                            <w:i/>
                            <w:sz w:val="14"/>
                          </w:rPr>
                        </w:pPr>
                        <w:r>
                          <w:rPr>
                            <w:rFonts w:ascii="Arial"/>
                            <w:i/>
                            <w:position w:val="3"/>
                            <w:sz w:val="22"/>
                          </w:rPr>
                          <w:t>H</w:t>
                        </w:r>
                        <w:r>
                          <w:rPr>
                            <w:rFonts w:ascii="Arial"/>
                            <w:i/>
                            <w:sz w:val="14"/>
                          </w:rPr>
                          <w:t>water</w:t>
                        </w:r>
                      </w:p>
                    </w:tc>
                    <w:tc>
                      <w:tcPr>
                        <w:tcW w:w="5557" w:type="dxa"/>
                        <w:tcBorders>
                          <w:top w:val="nil"/>
                          <w:left w:val="nil"/>
                          <w:bottom w:val="nil"/>
                          <w:right w:val="nil"/>
                        </w:tcBorders>
                      </w:tcPr>
                      <w:p>
                        <w:pPr>
                          <w:pStyle w:val="TableParagraph"/>
                          <w:spacing w:line="233" w:lineRule="exact" w:before="0"/>
                          <w:ind w:left="145" w:right="0"/>
                          <w:jc w:val="left"/>
                          <w:rPr>
                            <w:rFonts w:ascii="Arial"/>
                            <w:sz w:val="22"/>
                          </w:rPr>
                        </w:pPr>
                        <w:r>
                          <w:rPr>
                            <w:rFonts w:ascii="Arial"/>
                            <w:sz w:val="22"/>
                          </w:rPr>
                          <w:t>Altura del agua</w:t>
                        </w:r>
                      </w:p>
                    </w:tc>
                    <w:tc>
                      <w:tcPr>
                        <w:tcW w:w="1817" w:type="dxa"/>
                        <w:tcBorders>
                          <w:top w:val="nil"/>
                          <w:left w:val="nil"/>
                          <w:bottom w:val="nil"/>
                          <w:right w:val="nil"/>
                        </w:tcBorders>
                      </w:tcPr>
                      <w:p>
                        <w:pPr>
                          <w:pStyle w:val="TableParagraph"/>
                          <w:spacing w:line="233" w:lineRule="exact" w:before="0"/>
                          <w:ind w:left="258" w:right="0"/>
                          <w:jc w:val="center"/>
                          <w:rPr>
                            <w:rFonts w:ascii="Arial"/>
                            <w:sz w:val="22"/>
                          </w:rPr>
                        </w:pPr>
                        <w:r>
                          <w:rPr>
                            <w:rFonts w:ascii="Arial"/>
                            <w:w w:val="100"/>
                            <w:sz w:val="22"/>
                          </w:rPr>
                          <w:t>m</w:t>
                        </w:r>
                      </w:p>
                    </w:tc>
                  </w:tr>
                  <w:tr>
                    <w:trPr>
                      <w:trHeight w:val="1248" w:hRule="exact"/>
                    </w:trPr>
                    <w:tc>
                      <w:tcPr>
                        <w:tcW w:w="9180" w:type="dxa"/>
                        <w:gridSpan w:val="3"/>
                        <w:tcBorders>
                          <w:top w:val="nil"/>
                          <w:left w:val="nil"/>
                          <w:bottom w:val="nil"/>
                          <w:right w:val="nil"/>
                        </w:tcBorders>
                      </w:tcPr>
                      <w:p>
                        <w:pPr>
                          <w:pStyle w:val="TableParagraph"/>
                          <w:tabs>
                            <w:tab w:pos="1960" w:val="left" w:leader="none"/>
                          </w:tabs>
                          <w:spacing w:line="363" w:lineRule="exact" w:before="0"/>
                          <w:ind w:left="108" w:right="0"/>
                          <w:jc w:val="left"/>
                          <w:rPr>
                            <w:rFonts w:ascii="Arial" w:hAnsi="Arial"/>
                            <w:sz w:val="22"/>
                          </w:rPr>
                        </w:pPr>
                        <w:r>
                          <w:rPr>
                            <w:rFonts w:ascii="Arial" w:hAnsi="Arial"/>
                            <w:position w:val="-11"/>
                            <w:sz w:val="22"/>
                          </w:rPr>
                          <w:t>IICA</w:t>
                          <w:tab/>
                        </w:r>
                        <w:r>
                          <w:rPr>
                            <w:rFonts w:ascii="Arial" w:hAnsi="Arial"/>
                            <w:sz w:val="22"/>
                          </w:rPr>
                          <w:t>Instituto Interamericano de la Cooperación para</w:t>
                        </w:r>
                        <w:r>
                          <w:rPr>
                            <w:rFonts w:ascii="Arial" w:hAnsi="Arial"/>
                            <w:spacing w:val="-18"/>
                            <w:sz w:val="22"/>
                          </w:rPr>
                          <w:t> </w:t>
                        </w:r>
                        <w:r>
                          <w:rPr>
                            <w:rFonts w:ascii="Arial" w:hAnsi="Arial"/>
                            <w:sz w:val="22"/>
                          </w:rPr>
                          <w:t>la</w:t>
                        </w:r>
                      </w:p>
                      <w:p>
                        <w:pPr>
                          <w:pStyle w:val="TableParagraph"/>
                          <w:tabs>
                            <w:tab w:pos="1960" w:val="left" w:leader="none"/>
                          </w:tabs>
                          <w:spacing w:line="252" w:lineRule="exact" w:before="133"/>
                          <w:ind w:left="108" w:right="0"/>
                          <w:jc w:val="left"/>
                          <w:rPr>
                            <w:rFonts w:ascii="Arial" w:hAnsi="Arial"/>
                            <w:sz w:val="22"/>
                          </w:rPr>
                        </w:pPr>
                        <w:r>
                          <w:rPr>
                            <w:rFonts w:ascii="Arial" w:hAnsi="Arial"/>
                            <w:sz w:val="22"/>
                          </w:rPr>
                          <w:t>IMTA</w:t>
                          <w:tab/>
                          <w:t>Instituto Mexicano de Tecnología del</w:t>
                        </w:r>
                        <w:r>
                          <w:rPr>
                            <w:rFonts w:ascii="Arial" w:hAnsi="Arial"/>
                            <w:spacing w:val="-12"/>
                            <w:sz w:val="22"/>
                          </w:rPr>
                          <w:t> </w:t>
                        </w:r>
                        <w:r>
                          <w:rPr>
                            <w:rFonts w:ascii="Arial" w:hAnsi="Arial"/>
                            <w:sz w:val="22"/>
                          </w:rPr>
                          <w:t>Agua</w:t>
                        </w:r>
                      </w:p>
                      <w:p>
                        <w:pPr>
                          <w:pStyle w:val="TableParagraph"/>
                          <w:tabs>
                            <w:tab w:pos="1960" w:val="left" w:leader="none"/>
                          </w:tabs>
                          <w:spacing w:line="240" w:lineRule="exact" w:before="0"/>
                          <w:ind w:left="108" w:right="0"/>
                          <w:jc w:val="left"/>
                          <w:rPr>
                            <w:rFonts w:ascii="Arial" w:hAnsi="Arial"/>
                            <w:sz w:val="22"/>
                          </w:rPr>
                        </w:pPr>
                        <w:r>
                          <w:rPr>
                            <w:rFonts w:ascii="Arial" w:hAnsi="Arial"/>
                            <w:sz w:val="22"/>
                          </w:rPr>
                          <w:t>K</w:t>
                          <w:tab/>
                          <w:t>Factor de condición corporal de</w:t>
                        </w:r>
                        <w:r>
                          <w:rPr>
                            <w:rFonts w:ascii="Arial" w:hAnsi="Arial"/>
                            <w:spacing w:val="-12"/>
                            <w:sz w:val="22"/>
                          </w:rPr>
                          <w:t> </w:t>
                        </w:r>
                        <w:r>
                          <w:rPr>
                            <w:rFonts w:ascii="Arial" w:hAnsi="Arial"/>
                            <w:sz w:val="22"/>
                          </w:rPr>
                          <w:t>Fulton</w:t>
                        </w:r>
                      </w:p>
                      <w:p>
                        <w:pPr>
                          <w:pStyle w:val="TableParagraph"/>
                          <w:tabs>
                            <w:tab w:pos="1960" w:val="left" w:leader="none"/>
                            <w:tab w:pos="8274" w:val="left" w:leader="none"/>
                          </w:tabs>
                          <w:spacing w:line="278" w:lineRule="exact" w:before="0"/>
                          <w:ind w:left="108" w:right="0"/>
                          <w:jc w:val="left"/>
                          <w:rPr>
                            <w:rFonts w:ascii="Arial" w:hAnsi="Arial"/>
                            <w:sz w:val="14"/>
                          </w:rPr>
                        </w:pPr>
                        <w:r>
                          <w:rPr>
                            <w:rFonts w:ascii="Arial" w:hAnsi="Arial"/>
                            <w:sz w:val="22"/>
                          </w:rPr>
                          <w:t>K</w:t>
                        </w:r>
                        <w:r>
                          <w:rPr>
                            <w:rFonts w:ascii="Arial" w:hAnsi="Arial"/>
                            <w:position w:val="-2"/>
                            <w:sz w:val="14"/>
                          </w:rPr>
                          <w:t>L</w:t>
                        </w:r>
                        <w:r>
                          <w:rPr>
                            <w:rFonts w:ascii="Arial" w:hAnsi="Arial"/>
                            <w:sz w:val="22"/>
                          </w:rPr>
                          <w:t>a</w:t>
                          <w:tab/>
                          <w:t>Coeficiente de</w:t>
                        </w:r>
                        <w:r>
                          <w:rPr>
                            <w:rFonts w:ascii="Arial" w:hAnsi="Arial"/>
                            <w:spacing w:val="-9"/>
                            <w:sz w:val="22"/>
                          </w:rPr>
                          <w:t> </w:t>
                        </w:r>
                        <w:r>
                          <w:rPr>
                            <w:rFonts w:ascii="Arial" w:hAnsi="Arial"/>
                            <w:sz w:val="22"/>
                          </w:rPr>
                          <w:t>transferencia</w:t>
                        </w:r>
                        <w:r>
                          <w:rPr>
                            <w:rFonts w:ascii="Arial" w:hAnsi="Arial"/>
                            <w:spacing w:val="-2"/>
                            <w:sz w:val="22"/>
                          </w:rPr>
                          <w:t> </w:t>
                        </w:r>
                        <w:r>
                          <w:rPr>
                            <w:rFonts w:ascii="Arial" w:hAnsi="Arial"/>
                            <w:sz w:val="22"/>
                          </w:rPr>
                          <w:t>volumétrico</w:t>
                          <w:tab/>
                          <w:t>h</w:t>
                        </w:r>
                        <w:r>
                          <w:rPr>
                            <w:rFonts w:ascii="Arial" w:hAnsi="Arial"/>
                            <w:position w:val="10"/>
                            <w:sz w:val="14"/>
                          </w:rPr>
                          <w:t>-1</w:t>
                        </w:r>
                      </w:p>
                    </w:tc>
                  </w:tr>
                  <w:tr>
                    <w:trPr>
                      <w:trHeight w:val="262" w:hRule="exact"/>
                    </w:trPr>
                    <w:tc>
                      <w:tcPr>
                        <w:tcW w:w="1806" w:type="dxa"/>
                        <w:tcBorders>
                          <w:top w:val="nil"/>
                          <w:left w:val="nil"/>
                          <w:bottom w:val="nil"/>
                          <w:right w:val="nil"/>
                        </w:tcBorders>
                      </w:tcPr>
                      <w:p>
                        <w:pPr>
                          <w:pStyle w:val="TableParagraph"/>
                          <w:spacing w:before="8"/>
                          <w:ind w:left="108" w:right="0"/>
                          <w:jc w:val="left"/>
                          <w:rPr>
                            <w:rFonts w:ascii="Arial"/>
                            <w:i/>
                            <w:sz w:val="14"/>
                          </w:rPr>
                        </w:pPr>
                        <w:r>
                          <w:rPr>
                            <w:rFonts w:ascii="Arial"/>
                            <w:i/>
                            <w:position w:val="3"/>
                            <w:sz w:val="22"/>
                          </w:rPr>
                          <w:t>L</w:t>
                        </w:r>
                        <w:r>
                          <w:rPr>
                            <w:rFonts w:ascii="Arial"/>
                            <w:i/>
                            <w:sz w:val="14"/>
                          </w:rPr>
                          <w:t>hyd</w:t>
                        </w:r>
                      </w:p>
                    </w:tc>
                    <w:tc>
                      <w:tcPr>
                        <w:tcW w:w="5557" w:type="dxa"/>
                        <w:tcBorders>
                          <w:top w:val="nil"/>
                          <w:left w:val="nil"/>
                          <w:bottom w:val="nil"/>
                          <w:right w:val="nil"/>
                        </w:tcBorders>
                      </w:tcPr>
                      <w:p>
                        <w:pPr>
                          <w:pStyle w:val="TableParagraph"/>
                          <w:spacing w:before="7"/>
                          <w:ind w:left="145" w:right="0"/>
                          <w:jc w:val="left"/>
                          <w:rPr>
                            <w:rFonts w:ascii="Arial" w:hAnsi="Arial"/>
                            <w:sz w:val="22"/>
                          </w:rPr>
                        </w:pPr>
                        <w:r>
                          <w:rPr>
                            <w:rFonts w:ascii="Arial" w:hAnsi="Arial"/>
                            <w:sz w:val="22"/>
                          </w:rPr>
                          <w:t>Tasa de carga hidráulica</w:t>
                        </w:r>
                      </w:p>
                    </w:tc>
                    <w:tc>
                      <w:tcPr>
                        <w:tcW w:w="1817" w:type="dxa"/>
                        <w:tcBorders>
                          <w:top w:val="nil"/>
                          <w:left w:val="nil"/>
                          <w:bottom w:val="nil"/>
                          <w:right w:val="nil"/>
                        </w:tcBorders>
                      </w:tcPr>
                      <w:p>
                        <w:pPr>
                          <w:pStyle w:val="TableParagraph"/>
                          <w:spacing w:line="260" w:lineRule="exact" w:before="0"/>
                          <w:ind w:left="405" w:right="146"/>
                          <w:jc w:val="center"/>
                          <w:rPr>
                            <w:rFonts w:ascii="Arial"/>
                            <w:sz w:val="22"/>
                          </w:rPr>
                        </w:pPr>
                        <w:r>
                          <w:rPr>
                            <w:rFonts w:ascii="Arial"/>
                            <w:sz w:val="22"/>
                          </w:rPr>
                          <w:t>m</w:t>
                        </w:r>
                        <w:r>
                          <w:rPr>
                            <w:rFonts w:ascii="Arial"/>
                            <w:position w:val="10"/>
                            <w:sz w:val="14"/>
                          </w:rPr>
                          <w:t>3</w:t>
                        </w:r>
                        <w:r>
                          <w:rPr>
                            <w:rFonts w:ascii="Arial"/>
                            <w:sz w:val="22"/>
                          </w:rPr>
                          <w:t>/m</w:t>
                        </w:r>
                        <w:r>
                          <w:rPr>
                            <w:rFonts w:ascii="Arial"/>
                            <w:position w:val="10"/>
                            <w:sz w:val="14"/>
                          </w:rPr>
                          <w:t>2 </w:t>
                        </w:r>
                        <w:r>
                          <w:rPr>
                            <w:rFonts w:ascii="Arial"/>
                            <w:sz w:val="22"/>
                          </w:rPr>
                          <w:t>d</w:t>
                        </w:r>
                      </w:p>
                    </w:tc>
                  </w:tr>
                  <w:tr>
                    <w:trPr>
                      <w:trHeight w:val="271" w:hRule="exact"/>
                    </w:trPr>
                    <w:tc>
                      <w:tcPr>
                        <w:tcW w:w="1806" w:type="dxa"/>
                        <w:tcBorders>
                          <w:top w:val="nil"/>
                          <w:left w:val="nil"/>
                          <w:bottom w:val="nil"/>
                          <w:right w:val="nil"/>
                        </w:tcBorders>
                      </w:tcPr>
                      <w:p>
                        <w:pPr>
                          <w:pStyle w:val="TableParagraph"/>
                          <w:spacing w:line="265" w:lineRule="exact" w:before="0"/>
                          <w:ind w:left="108" w:right="0"/>
                          <w:jc w:val="left"/>
                          <w:rPr>
                            <w:rFonts w:ascii="Arial"/>
                            <w:i/>
                            <w:sz w:val="14"/>
                          </w:rPr>
                        </w:pPr>
                        <w:r>
                          <w:rPr>
                            <w:rFonts w:ascii="Arial"/>
                            <w:i/>
                            <w:position w:val="3"/>
                            <w:sz w:val="22"/>
                          </w:rPr>
                          <w:t>L</w:t>
                        </w:r>
                        <w:r>
                          <w:rPr>
                            <w:rFonts w:ascii="Arial"/>
                            <w:i/>
                            <w:sz w:val="14"/>
                          </w:rPr>
                          <w:t>media</w:t>
                        </w:r>
                      </w:p>
                    </w:tc>
                    <w:tc>
                      <w:tcPr>
                        <w:tcW w:w="5557" w:type="dxa"/>
                        <w:tcBorders>
                          <w:top w:val="nil"/>
                          <w:left w:val="nil"/>
                          <w:bottom w:val="nil"/>
                          <w:right w:val="nil"/>
                        </w:tcBorders>
                      </w:tcPr>
                      <w:p>
                        <w:pPr>
                          <w:pStyle w:val="TableParagraph"/>
                          <w:spacing w:line="251" w:lineRule="exact" w:before="0"/>
                          <w:ind w:left="145" w:right="0"/>
                          <w:jc w:val="left"/>
                          <w:rPr>
                            <w:rFonts w:ascii="Arial" w:hAnsi="Arial"/>
                            <w:sz w:val="22"/>
                          </w:rPr>
                        </w:pPr>
                        <w:r>
                          <w:rPr>
                            <w:rFonts w:ascii="Arial" w:hAnsi="Arial"/>
                            <w:sz w:val="22"/>
                          </w:rPr>
                          <w:t>Carga hidráulica del empaque</w:t>
                        </w:r>
                      </w:p>
                    </w:tc>
                    <w:tc>
                      <w:tcPr>
                        <w:tcW w:w="1817" w:type="dxa"/>
                        <w:tcBorders>
                          <w:top w:val="nil"/>
                          <w:left w:val="nil"/>
                          <w:bottom w:val="nil"/>
                          <w:right w:val="nil"/>
                        </w:tcBorders>
                      </w:tcPr>
                      <w:p>
                        <w:pPr>
                          <w:pStyle w:val="TableParagraph"/>
                          <w:spacing w:line="251" w:lineRule="exact" w:before="0"/>
                          <w:ind w:left="405" w:right="147"/>
                          <w:jc w:val="center"/>
                          <w:rPr>
                            <w:rFonts w:ascii="Arial"/>
                            <w:sz w:val="22"/>
                          </w:rPr>
                        </w:pPr>
                        <w:r>
                          <w:rPr>
                            <w:rFonts w:ascii="Arial"/>
                            <w:sz w:val="22"/>
                          </w:rPr>
                          <w:t>m</w:t>
                        </w:r>
                        <w:r>
                          <w:rPr>
                            <w:rFonts w:ascii="Arial"/>
                            <w:position w:val="10"/>
                            <w:sz w:val="14"/>
                          </w:rPr>
                          <w:t>3</w:t>
                        </w:r>
                        <w:r>
                          <w:rPr>
                            <w:rFonts w:ascii="Arial"/>
                            <w:sz w:val="22"/>
                          </w:rPr>
                          <w:t>/m</w:t>
                        </w:r>
                        <w:r>
                          <w:rPr>
                            <w:rFonts w:ascii="Arial"/>
                            <w:position w:val="10"/>
                            <w:sz w:val="14"/>
                          </w:rPr>
                          <w:t>2 </w:t>
                        </w:r>
                        <w:r>
                          <w:rPr>
                            <w:rFonts w:ascii="Arial"/>
                            <w:sz w:val="22"/>
                          </w:rPr>
                          <w:t>d</w:t>
                        </w:r>
                      </w:p>
                    </w:tc>
                  </w:tr>
                  <w:tr>
                    <w:trPr>
                      <w:trHeight w:val="245" w:hRule="exact"/>
                    </w:trPr>
                    <w:tc>
                      <w:tcPr>
                        <w:tcW w:w="1806" w:type="dxa"/>
                        <w:tcBorders>
                          <w:top w:val="nil"/>
                          <w:left w:val="nil"/>
                          <w:bottom w:val="nil"/>
                          <w:right w:val="nil"/>
                        </w:tcBorders>
                      </w:tcPr>
                      <w:p>
                        <w:pPr>
                          <w:pStyle w:val="TableParagraph"/>
                          <w:spacing w:line="234" w:lineRule="exact" w:before="0"/>
                          <w:ind w:left="108" w:right="0"/>
                          <w:jc w:val="left"/>
                          <w:rPr>
                            <w:rFonts w:ascii="Arial"/>
                            <w:sz w:val="22"/>
                          </w:rPr>
                        </w:pPr>
                        <w:r>
                          <w:rPr>
                            <w:rFonts w:ascii="Arial"/>
                            <w:sz w:val="22"/>
                          </w:rPr>
                          <w:t>msnm</w:t>
                        </w:r>
                      </w:p>
                    </w:tc>
                    <w:tc>
                      <w:tcPr>
                        <w:tcW w:w="5557" w:type="dxa"/>
                        <w:tcBorders>
                          <w:top w:val="nil"/>
                          <w:left w:val="nil"/>
                          <w:bottom w:val="nil"/>
                          <w:right w:val="nil"/>
                        </w:tcBorders>
                      </w:tcPr>
                      <w:p>
                        <w:pPr>
                          <w:pStyle w:val="TableParagraph"/>
                          <w:spacing w:line="234" w:lineRule="exact" w:before="0"/>
                          <w:ind w:left="154" w:right="0"/>
                          <w:jc w:val="left"/>
                          <w:rPr>
                            <w:rFonts w:ascii="Arial"/>
                            <w:sz w:val="22"/>
                          </w:rPr>
                        </w:pPr>
                        <w:r>
                          <w:rPr>
                            <w:rFonts w:ascii="Arial"/>
                            <w:sz w:val="22"/>
                          </w:rPr>
                          <w:t>Metros sobre el nivel del mar</w:t>
                        </w:r>
                      </w:p>
                    </w:tc>
                    <w:tc>
                      <w:tcPr>
                        <w:tcW w:w="1817" w:type="dxa"/>
                        <w:tcBorders>
                          <w:top w:val="nil"/>
                          <w:left w:val="nil"/>
                          <w:bottom w:val="nil"/>
                          <w:right w:val="nil"/>
                        </w:tcBorders>
                      </w:tcPr>
                      <w:p>
                        <w:pPr>
                          <w:pStyle w:val="TableParagraph"/>
                          <w:spacing w:line="234" w:lineRule="exact" w:before="0"/>
                          <w:ind w:left="257" w:right="0"/>
                          <w:jc w:val="center"/>
                          <w:rPr>
                            <w:rFonts w:ascii="Arial"/>
                            <w:sz w:val="22"/>
                          </w:rPr>
                        </w:pPr>
                        <w:r>
                          <w:rPr>
                            <w:rFonts w:ascii="Arial"/>
                            <w:w w:val="100"/>
                            <w:sz w:val="22"/>
                          </w:rPr>
                          <w:t>m</w:t>
                        </w:r>
                      </w:p>
                    </w:tc>
                  </w:tr>
                  <w:tr>
                    <w:trPr>
                      <w:trHeight w:val="260" w:hRule="exact"/>
                    </w:trPr>
                    <w:tc>
                      <w:tcPr>
                        <w:tcW w:w="1806" w:type="dxa"/>
                        <w:tcBorders>
                          <w:top w:val="nil"/>
                          <w:left w:val="nil"/>
                          <w:bottom w:val="nil"/>
                          <w:right w:val="nil"/>
                        </w:tcBorders>
                      </w:tcPr>
                      <w:p>
                        <w:pPr>
                          <w:pStyle w:val="TableParagraph"/>
                          <w:spacing w:line="254" w:lineRule="exact" w:before="0"/>
                          <w:ind w:left="108" w:right="0"/>
                          <w:jc w:val="left"/>
                          <w:rPr>
                            <w:rFonts w:ascii="Arial"/>
                            <w:i/>
                            <w:sz w:val="14"/>
                          </w:rPr>
                        </w:pPr>
                        <w:r>
                          <w:rPr>
                            <w:rFonts w:ascii="Arial"/>
                            <w:i/>
                            <w:sz w:val="22"/>
                          </w:rPr>
                          <w:t>N-NH</w:t>
                        </w:r>
                        <w:r>
                          <w:rPr>
                            <w:rFonts w:ascii="Arial"/>
                            <w:i/>
                            <w:position w:val="-2"/>
                            <w:sz w:val="14"/>
                          </w:rPr>
                          <w:t>3in</w:t>
                        </w:r>
                      </w:p>
                    </w:tc>
                    <w:tc>
                      <w:tcPr>
                        <w:tcW w:w="5557"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Nitrógeno amoniacal entrada biofiltro</w:t>
                        </w:r>
                      </w:p>
                    </w:tc>
                    <w:tc>
                      <w:tcPr>
                        <w:tcW w:w="1817" w:type="dxa"/>
                        <w:tcBorders>
                          <w:top w:val="nil"/>
                          <w:left w:val="nil"/>
                          <w:bottom w:val="nil"/>
                          <w:right w:val="nil"/>
                        </w:tcBorders>
                      </w:tcPr>
                      <w:p>
                        <w:pPr>
                          <w:pStyle w:val="TableParagraph"/>
                          <w:spacing w:line="254" w:lineRule="exact" w:before="0"/>
                          <w:ind w:left="403" w:right="148"/>
                          <w:jc w:val="center"/>
                          <w:rPr>
                            <w:rFonts w:ascii="Arial"/>
                            <w:sz w:val="22"/>
                          </w:rPr>
                        </w:pPr>
                        <w:r>
                          <w:rPr>
                            <w:rFonts w:ascii="Arial"/>
                            <w:sz w:val="22"/>
                          </w:rPr>
                          <w:t>mg N-NH</w:t>
                        </w:r>
                        <w:r>
                          <w:rPr>
                            <w:rFonts w:ascii="Arial"/>
                            <w:position w:val="-2"/>
                            <w:sz w:val="14"/>
                          </w:rPr>
                          <w:t>3</w:t>
                        </w:r>
                        <w:r>
                          <w:rPr>
                            <w:rFonts w:ascii="Arial"/>
                            <w:sz w:val="22"/>
                          </w:rPr>
                          <w:t>/L</w:t>
                        </w:r>
                      </w:p>
                    </w:tc>
                  </w:tr>
                  <w:tr>
                    <w:trPr>
                      <w:trHeight w:val="236" w:hRule="exact"/>
                    </w:trPr>
                    <w:tc>
                      <w:tcPr>
                        <w:tcW w:w="1806" w:type="dxa"/>
                        <w:tcBorders>
                          <w:top w:val="nil"/>
                          <w:left w:val="nil"/>
                          <w:bottom w:val="nil"/>
                          <w:right w:val="nil"/>
                        </w:tcBorders>
                      </w:tcPr>
                      <w:p>
                        <w:pPr>
                          <w:pStyle w:val="TableParagraph"/>
                          <w:spacing w:line="246" w:lineRule="exact" w:before="0"/>
                          <w:ind w:left="108" w:right="0"/>
                          <w:jc w:val="left"/>
                          <w:rPr>
                            <w:rFonts w:ascii="Arial"/>
                            <w:i/>
                            <w:sz w:val="14"/>
                          </w:rPr>
                        </w:pPr>
                        <w:r>
                          <w:rPr>
                            <w:rFonts w:ascii="Arial"/>
                            <w:i/>
                            <w:sz w:val="22"/>
                          </w:rPr>
                          <w:t>N-NH</w:t>
                        </w:r>
                        <w:r>
                          <w:rPr>
                            <w:rFonts w:ascii="Arial"/>
                            <w:i/>
                            <w:position w:val="-2"/>
                            <w:sz w:val="14"/>
                          </w:rPr>
                          <w:t>3out</w:t>
                        </w:r>
                      </w:p>
                    </w:tc>
                    <w:tc>
                      <w:tcPr>
                        <w:tcW w:w="5557" w:type="dxa"/>
                        <w:tcBorders>
                          <w:top w:val="nil"/>
                          <w:left w:val="nil"/>
                          <w:bottom w:val="nil"/>
                          <w:right w:val="nil"/>
                        </w:tcBorders>
                      </w:tcPr>
                      <w:p>
                        <w:pPr>
                          <w:pStyle w:val="TableParagraph"/>
                          <w:spacing w:line="233" w:lineRule="exact" w:before="0"/>
                          <w:ind w:left="145" w:right="0"/>
                          <w:jc w:val="left"/>
                          <w:rPr>
                            <w:rFonts w:ascii="Arial" w:hAnsi="Arial"/>
                            <w:sz w:val="22"/>
                          </w:rPr>
                        </w:pPr>
                        <w:r>
                          <w:rPr>
                            <w:rFonts w:ascii="Arial" w:hAnsi="Arial"/>
                            <w:sz w:val="22"/>
                          </w:rPr>
                          <w:t>Nitrógeno amoniacal salida biofiltro</w:t>
                        </w:r>
                      </w:p>
                    </w:tc>
                    <w:tc>
                      <w:tcPr>
                        <w:tcW w:w="1817" w:type="dxa"/>
                        <w:tcBorders>
                          <w:top w:val="nil"/>
                          <w:left w:val="nil"/>
                          <w:bottom w:val="nil"/>
                          <w:right w:val="nil"/>
                        </w:tcBorders>
                      </w:tcPr>
                      <w:p>
                        <w:pPr>
                          <w:pStyle w:val="TableParagraph"/>
                          <w:spacing w:line="246" w:lineRule="exact" w:before="0"/>
                          <w:ind w:left="403" w:right="148"/>
                          <w:jc w:val="center"/>
                          <w:rPr>
                            <w:rFonts w:ascii="Arial"/>
                            <w:sz w:val="22"/>
                          </w:rPr>
                        </w:pPr>
                        <w:r>
                          <w:rPr>
                            <w:rFonts w:ascii="Arial"/>
                            <w:sz w:val="22"/>
                          </w:rPr>
                          <w:t>mg N-NH</w:t>
                        </w:r>
                        <w:r>
                          <w:rPr>
                            <w:rFonts w:ascii="Arial"/>
                            <w:position w:val="-2"/>
                            <w:sz w:val="14"/>
                          </w:rPr>
                          <w:t>3</w:t>
                        </w:r>
                        <w:r>
                          <w:rPr>
                            <w:rFonts w:ascii="Arial"/>
                            <w:sz w:val="22"/>
                          </w:rPr>
                          <w:t>/L</w:t>
                        </w:r>
                      </w:p>
                    </w:tc>
                  </w:tr>
                  <w:tr>
                    <w:trPr>
                      <w:trHeight w:val="245" w:hRule="exact"/>
                    </w:trPr>
                    <w:tc>
                      <w:tcPr>
                        <w:tcW w:w="1806" w:type="dxa"/>
                        <w:tcBorders>
                          <w:top w:val="nil"/>
                          <w:left w:val="nil"/>
                          <w:bottom w:val="nil"/>
                          <w:right w:val="nil"/>
                        </w:tcBorders>
                      </w:tcPr>
                      <w:p>
                        <w:pPr>
                          <w:pStyle w:val="TableParagraph"/>
                          <w:spacing w:line="252" w:lineRule="exact" w:before="0"/>
                          <w:ind w:left="108" w:right="0"/>
                          <w:jc w:val="left"/>
                          <w:rPr>
                            <w:rFonts w:ascii="Arial"/>
                            <w:i/>
                            <w:sz w:val="14"/>
                          </w:rPr>
                        </w:pPr>
                        <w:r>
                          <w:rPr>
                            <w:rFonts w:ascii="Arial"/>
                            <w:i/>
                            <w:sz w:val="22"/>
                          </w:rPr>
                          <w:t>N-NO </w:t>
                        </w:r>
                        <w:r>
                          <w:rPr>
                            <w:rFonts w:ascii="Arial"/>
                            <w:i/>
                            <w:position w:val="10"/>
                            <w:sz w:val="14"/>
                          </w:rPr>
                          <w:t>-</w:t>
                        </w:r>
                      </w:p>
                    </w:tc>
                    <w:tc>
                      <w:tcPr>
                        <w:tcW w:w="5557" w:type="dxa"/>
                        <w:tcBorders>
                          <w:top w:val="nil"/>
                          <w:left w:val="nil"/>
                          <w:bottom w:val="nil"/>
                          <w:right w:val="nil"/>
                        </w:tcBorders>
                      </w:tcPr>
                      <w:p>
                        <w:pPr>
                          <w:pStyle w:val="TableParagraph"/>
                          <w:spacing w:line="252" w:lineRule="exact" w:before="0"/>
                          <w:ind w:left="145" w:right="0"/>
                          <w:jc w:val="left"/>
                          <w:rPr>
                            <w:rFonts w:ascii="Arial" w:hAnsi="Arial"/>
                            <w:sz w:val="22"/>
                          </w:rPr>
                        </w:pPr>
                        <w:r>
                          <w:rPr>
                            <w:rFonts w:ascii="Arial" w:hAnsi="Arial"/>
                            <w:sz w:val="22"/>
                          </w:rPr>
                          <w:t>Generación de N – nitritos</w:t>
                        </w:r>
                      </w:p>
                    </w:tc>
                    <w:tc>
                      <w:tcPr>
                        <w:tcW w:w="1817" w:type="dxa"/>
                        <w:tcBorders>
                          <w:top w:val="nil"/>
                          <w:left w:val="nil"/>
                          <w:bottom w:val="nil"/>
                          <w:right w:val="nil"/>
                        </w:tcBorders>
                      </w:tcPr>
                      <w:p>
                        <w:pPr>
                          <w:pStyle w:val="TableParagraph"/>
                          <w:spacing w:line="252" w:lineRule="exact" w:before="0"/>
                          <w:ind w:left="255" w:right="0"/>
                          <w:jc w:val="center"/>
                          <w:rPr>
                            <w:rFonts w:ascii="Arial"/>
                            <w:sz w:val="22"/>
                          </w:rPr>
                        </w:pPr>
                        <w:r>
                          <w:rPr>
                            <w:rFonts w:ascii="Arial"/>
                            <w:w w:val="100"/>
                            <w:sz w:val="22"/>
                          </w:rPr>
                          <w:t>%</w:t>
                        </w:r>
                      </w:p>
                    </w:tc>
                  </w:tr>
                  <w:tr>
                    <w:trPr>
                      <w:trHeight w:val="271" w:hRule="exact"/>
                    </w:trPr>
                    <w:tc>
                      <w:tcPr>
                        <w:tcW w:w="1806" w:type="dxa"/>
                        <w:tcBorders>
                          <w:top w:val="nil"/>
                          <w:left w:val="nil"/>
                          <w:bottom w:val="nil"/>
                          <w:right w:val="nil"/>
                        </w:tcBorders>
                      </w:tcPr>
                      <w:p>
                        <w:pPr>
                          <w:pStyle w:val="TableParagraph"/>
                          <w:spacing w:line="258" w:lineRule="exact" w:before="0"/>
                          <w:ind w:left="108" w:right="0"/>
                          <w:jc w:val="left"/>
                          <w:rPr>
                            <w:rFonts w:ascii="Arial"/>
                            <w:i/>
                            <w:sz w:val="14"/>
                          </w:rPr>
                        </w:pPr>
                        <w:r>
                          <w:rPr>
                            <w:rFonts w:ascii="Arial"/>
                            <w:i/>
                            <w:sz w:val="22"/>
                          </w:rPr>
                          <w:t>N-NO </w:t>
                        </w:r>
                        <w:r>
                          <w:rPr>
                            <w:rFonts w:ascii="Arial"/>
                            <w:i/>
                            <w:position w:val="10"/>
                            <w:sz w:val="14"/>
                          </w:rPr>
                          <w:t>-</w:t>
                        </w:r>
                      </w:p>
                    </w:tc>
                    <w:tc>
                      <w:tcPr>
                        <w:tcW w:w="5557" w:type="dxa"/>
                        <w:tcBorders>
                          <w:top w:val="nil"/>
                          <w:left w:val="nil"/>
                          <w:bottom w:val="nil"/>
                          <w:right w:val="nil"/>
                        </w:tcBorders>
                      </w:tcPr>
                      <w:p>
                        <w:pPr>
                          <w:pStyle w:val="TableParagraph"/>
                          <w:spacing w:before="5"/>
                          <w:ind w:left="145" w:right="0"/>
                          <w:jc w:val="left"/>
                          <w:rPr>
                            <w:rFonts w:ascii="Arial" w:hAnsi="Arial"/>
                            <w:sz w:val="22"/>
                          </w:rPr>
                        </w:pPr>
                        <w:r>
                          <w:rPr>
                            <w:rFonts w:ascii="Arial" w:hAnsi="Arial"/>
                            <w:sz w:val="22"/>
                          </w:rPr>
                          <w:t>N – nitritos entrada biofiltro</w:t>
                        </w:r>
                      </w:p>
                    </w:tc>
                    <w:tc>
                      <w:tcPr>
                        <w:tcW w:w="1817" w:type="dxa"/>
                        <w:tcBorders>
                          <w:top w:val="nil"/>
                          <w:left w:val="nil"/>
                          <w:bottom w:val="nil"/>
                          <w:right w:val="nil"/>
                        </w:tcBorders>
                      </w:tcPr>
                      <w:p>
                        <w:pPr>
                          <w:pStyle w:val="TableParagraph"/>
                          <w:spacing w:line="258" w:lineRule="exact" w:before="0"/>
                          <w:ind w:left="404" w:right="148"/>
                          <w:jc w:val="center"/>
                          <w:rPr>
                            <w:rFonts w:ascii="Arial"/>
                            <w:sz w:val="22"/>
                          </w:rPr>
                        </w:pPr>
                        <w:r>
                          <w:rPr>
                            <w:rFonts w:ascii="Arial"/>
                            <w:sz w:val="22"/>
                          </w:rPr>
                          <w:t>mg N-NO </w:t>
                        </w:r>
                        <w:r>
                          <w:rPr>
                            <w:rFonts w:ascii="Arial"/>
                            <w:position w:val="10"/>
                            <w:sz w:val="14"/>
                          </w:rPr>
                          <w:t>-</w:t>
                        </w:r>
                        <w:r>
                          <w:rPr>
                            <w:rFonts w:ascii="Arial"/>
                            <w:sz w:val="22"/>
                          </w:rPr>
                          <w:t>/L</w:t>
                        </w: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i/>
                            <w:sz w:val="14"/>
                          </w:rPr>
                        </w:pPr>
                        <w:r>
                          <w:rPr>
                            <w:rFonts w:ascii="Arial"/>
                            <w:i/>
                            <w:sz w:val="22"/>
                          </w:rPr>
                          <w:t>N-NO </w:t>
                        </w:r>
                        <w:r>
                          <w:rPr>
                            <w:rFonts w:ascii="Arial"/>
                            <w:i/>
                            <w:position w:val="10"/>
                            <w:sz w:val="14"/>
                          </w:rPr>
                          <w:t>-</w:t>
                        </w:r>
                      </w:p>
                    </w:tc>
                    <w:tc>
                      <w:tcPr>
                        <w:tcW w:w="5557" w:type="dxa"/>
                        <w:tcBorders>
                          <w:top w:val="nil"/>
                          <w:left w:val="nil"/>
                          <w:bottom w:val="nil"/>
                          <w:right w:val="nil"/>
                        </w:tcBorders>
                      </w:tcPr>
                      <w:p>
                        <w:pPr>
                          <w:pStyle w:val="TableParagraph"/>
                          <w:spacing w:line="242" w:lineRule="exact" w:before="0"/>
                          <w:ind w:left="145" w:right="0"/>
                          <w:jc w:val="left"/>
                          <w:rPr>
                            <w:rFonts w:ascii="Arial" w:hAnsi="Arial"/>
                            <w:sz w:val="22"/>
                          </w:rPr>
                        </w:pPr>
                        <w:r>
                          <w:rPr>
                            <w:rFonts w:ascii="Arial" w:hAnsi="Arial"/>
                            <w:sz w:val="22"/>
                          </w:rPr>
                          <w:t>N – nitritos salida biofiltro</w:t>
                        </w:r>
                      </w:p>
                    </w:tc>
                    <w:tc>
                      <w:tcPr>
                        <w:tcW w:w="1817" w:type="dxa"/>
                        <w:tcBorders>
                          <w:top w:val="nil"/>
                          <w:left w:val="nil"/>
                          <w:bottom w:val="nil"/>
                          <w:right w:val="nil"/>
                        </w:tcBorders>
                      </w:tcPr>
                      <w:p>
                        <w:pPr>
                          <w:pStyle w:val="TableParagraph"/>
                          <w:spacing w:line="242" w:lineRule="exact" w:before="0"/>
                          <w:ind w:left="404" w:right="148"/>
                          <w:jc w:val="center"/>
                          <w:rPr>
                            <w:rFonts w:ascii="Arial"/>
                            <w:sz w:val="22"/>
                          </w:rPr>
                        </w:pPr>
                        <w:r>
                          <w:rPr>
                            <w:rFonts w:ascii="Arial"/>
                            <w:sz w:val="22"/>
                          </w:rPr>
                          <w:t>mg N-NO </w:t>
                        </w:r>
                        <w:r>
                          <w:rPr>
                            <w:rFonts w:ascii="Arial"/>
                            <w:position w:val="10"/>
                            <w:sz w:val="14"/>
                          </w:rPr>
                          <w:t>-</w:t>
                        </w:r>
                        <w:r>
                          <w:rPr>
                            <w:rFonts w:ascii="Arial"/>
                            <w:sz w:val="22"/>
                          </w:rPr>
                          <w:t>/L</w:t>
                        </w:r>
                      </w:p>
                    </w:tc>
                  </w:tr>
                  <w:tr>
                    <w:trPr>
                      <w:trHeight w:val="252" w:hRule="exact"/>
                    </w:trPr>
                    <w:tc>
                      <w:tcPr>
                        <w:tcW w:w="1806" w:type="dxa"/>
                        <w:tcBorders>
                          <w:top w:val="nil"/>
                          <w:left w:val="nil"/>
                          <w:bottom w:val="nil"/>
                          <w:right w:val="nil"/>
                        </w:tcBorders>
                      </w:tcPr>
                      <w:p>
                        <w:pPr>
                          <w:pStyle w:val="TableParagraph"/>
                          <w:spacing w:line="241" w:lineRule="exact" w:before="0"/>
                          <w:ind w:left="108" w:right="0"/>
                          <w:jc w:val="left"/>
                          <w:rPr>
                            <w:rFonts w:ascii="Arial"/>
                            <w:i/>
                            <w:sz w:val="14"/>
                          </w:rPr>
                        </w:pPr>
                        <w:r>
                          <w:rPr>
                            <w:rFonts w:ascii="Arial"/>
                            <w:i/>
                            <w:sz w:val="22"/>
                          </w:rPr>
                          <w:t>N-NO </w:t>
                        </w:r>
                        <w:r>
                          <w:rPr>
                            <w:rFonts w:ascii="Arial"/>
                            <w:i/>
                            <w:position w:val="10"/>
                            <w:sz w:val="14"/>
                          </w:rPr>
                          <w:t>-</w:t>
                        </w:r>
                      </w:p>
                    </w:tc>
                    <w:tc>
                      <w:tcPr>
                        <w:tcW w:w="5557"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Generación de N-nitratos</w:t>
                        </w:r>
                      </w:p>
                    </w:tc>
                    <w:tc>
                      <w:tcPr>
                        <w:tcW w:w="1817" w:type="dxa"/>
                        <w:tcBorders>
                          <w:top w:val="nil"/>
                          <w:left w:val="nil"/>
                          <w:bottom w:val="nil"/>
                          <w:right w:val="nil"/>
                        </w:tcBorders>
                      </w:tcPr>
                      <w:p>
                        <w:pPr>
                          <w:pStyle w:val="TableParagraph"/>
                          <w:spacing w:line="241" w:lineRule="exact" w:before="0"/>
                          <w:ind w:left="255" w:right="0"/>
                          <w:jc w:val="center"/>
                          <w:rPr>
                            <w:rFonts w:ascii="Arial"/>
                            <w:sz w:val="22"/>
                          </w:rPr>
                        </w:pPr>
                        <w:r>
                          <w:rPr>
                            <w:rFonts w:ascii="Arial"/>
                            <w:w w:val="100"/>
                            <w:sz w:val="22"/>
                          </w:rPr>
                          <w:t>%</w:t>
                        </w: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i/>
                            <w:sz w:val="14"/>
                          </w:rPr>
                        </w:pPr>
                        <w:r>
                          <w:rPr>
                            <w:rFonts w:ascii="Arial"/>
                            <w:i/>
                            <w:sz w:val="22"/>
                          </w:rPr>
                          <w:t>N-NO </w:t>
                        </w:r>
                        <w:r>
                          <w:rPr>
                            <w:rFonts w:ascii="Arial"/>
                            <w:i/>
                            <w:position w:val="10"/>
                            <w:sz w:val="14"/>
                          </w:rPr>
                          <w:t>-</w:t>
                        </w:r>
                      </w:p>
                    </w:tc>
                    <w:tc>
                      <w:tcPr>
                        <w:tcW w:w="5557"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N – nitratos entrada biofiltro</w:t>
                        </w:r>
                      </w:p>
                    </w:tc>
                    <w:tc>
                      <w:tcPr>
                        <w:tcW w:w="1817" w:type="dxa"/>
                        <w:tcBorders>
                          <w:top w:val="nil"/>
                          <w:left w:val="nil"/>
                          <w:bottom w:val="nil"/>
                          <w:right w:val="nil"/>
                        </w:tcBorders>
                      </w:tcPr>
                      <w:p>
                        <w:pPr>
                          <w:pStyle w:val="TableParagraph"/>
                          <w:spacing w:line="241" w:lineRule="exact" w:before="0"/>
                          <w:ind w:left="403" w:right="148"/>
                          <w:jc w:val="center"/>
                          <w:rPr>
                            <w:rFonts w:ascii="Arial"/>
                            <w:sz w:val="22"/>
                          </w:rPr>
                        </w:pPr>
                        <w:r>
                          <w:rPr>
                            <w:rFonts w:ascii="Arial"/>
                            <w:sz w:val="22"/>
                          </w:rPr>
                          <w:t>mg N-NO </w:t>
                        </w:r>
                        <w:r>
                          <w:rPr>
                            <w:rFonts w:ascii="Arial"/>
                            <w:position w:val="10"/>
                            <w:sz w:val="14"/>
                          </w:rPr>
                          <w:t>-</w:t>
                        </w:r>
                        <w:r>
                          <w:rPr>
                            <w:rFonts w:ascii="Arial"/>
                            <w:sz w:val="22"/>
                          </w:rPr>
                          <w:t>/L</w:t>
                        </w:r>
                      </w:p>
                    </w:tc>
                  </w:tr>
                  <w:tr>
                    <w:trPr>
                      <w:trHeight w:val="238" w:hRule="exact"/>
                    </w:trPr>
                    <w:tc>
                      <w:tcPr>
                        <w:tcW w:w="1806" w:type="dxa"/>
                        <w:tcBorders>
                          <w:top w:val="nil"/>
                          <w:left w:val="nil"/>
                          <w:bottom w:val="nil"/>
                          <w:right w:val="nil"/>
                        </w:tcBorders>
                      </w:tcPr>
                      <w:p>
                        <w:pPr>
                          <w:pStyle w:val="TableParagraph"/>
                          <w:spacing w:line="242" w:lineRule="exact" w:before="0"/>
                          <w:ind w:left="108" w:right="0"/>
                          <w:jc w:val="left"/>
                          <w:rPr>
                            <w:rFonts w:ascii="Arial"/>
                            <w:i/>
                            <w:sz w:val="14"/>
                          </w:rPr>
                        </w:pPr>
                        <w:r>
                          <w:rPr>
                            <w:rFonts w:ascii="Arial"/>
                            <w:i/>
                            <w:sz w:val="22"/>
                          </w:rPr>
                          <w:t>N-NO </w:t>
                        </w:r>
                        <w:r>
                          <w:rPr>
                            <w:rFonts w:ascii="Arial"/>
                            <w:i/>
                            <w:position w:val="10"/>
                            <w:sz w:val="14"/>
                          </w:rPr>
                          <w:t>-</w:t>
                        </w:r>
                      </w:p>
                    </w:tc>
                    <w:tc>
                      <w:tcPr>
                        <w:tcW w:w="5557" w:type="dxa"/>
                        <w:tcBorders>
                          <w:top w:val="nil"/>
                          <w:left w:val="nil"/>
                          <w:bottom w:val="nil"/>
                          <w:right w:val="nil"/>
                        </w:tcBorders>
                      </w:tcPr>
                      <w:p>
                        <w:pPr>
                          <w:pStyle w:val="TableParagraph"/>
                          <w:spacing w:line="242" w:lineRule="exact" w:before="0"/>
                          <w:ind w:left="145" w:right="0"/>
                          <w:jc w:val="left"/>
                          <w:rPr>
                            <w:rFonts w:ascii="Arial" w:hAnsi="Arial"/>
                            <w:sz w:val="22"/>
                          </w:rPr>
                        </w:pPr>
                        <w:r>
                          <w:rPr>
                            <w:rFonts w:ascii="Arial" w:hAnsi="Arial"/>
                            <w:sz w:val="22"/>
                          </w:rPr>
                          <w:t>N – nitratos salida biofiltro</w:t>
                        </w:r>
                      </w:p>
                    </w:tc>
                    <w:tc>
                      <w:tcPr>
                        <w:tcW w:w="1817" w:type="dxa"/>
                        <w:tcBorders>
                          <w:top w:val="nil"/>
                          <w:left w:val="nil"/>
                          <w:bottom w:val="nil"/>
                          <w:right w:val="nil"/>
                        </w:tcBorders>
                      </w:tcPr>
                      <w:p>
                        <w:pPr>
                          <w:pStyle w:val="TableParagraph"/>
                          <w:spacing w:line="242" w:lineRule="exact" w:before="0"/>
                          <w:ind w:left="404" w:right="148"/>
                          <w:jc w:val="center"/>
                          <w:rPr>
                            <w:rFonts w:ascii="Arial"/>
                            <w:sz w:val="22"/>
                          </w:rPr>
                        </w:pPr>
                        <w:r>
                          <w:rPr>
                            <w:rFonts w:ascii="Arial"/>
                            <w:sz w:val="22"/>
                          </w:rPr>
                          <w:t>mg N-NO </w:t>
                        </w:r>
                        <w:r>
                          <w:rPr>
                            <w:rFonts w:ascii="Arial"/>
                            <w:position w:val="10"/>
                            <w:sz w:val="14"/>
                          </w:rPr>
                          <w:t>-</w:t>
                        </w:r>
                        <w:r>
                          <w:rPr>
                            <w:rFonts w:ascii="Arial"/>
                            <w:sz w:val="22"/>
                          </w:rPr>
                          <w:t>/L</w:t>
                        </w:r>
                      </w:p>
                    </w:tc>
                  </w:tr>
                  <w:tr>
                    <w:trPr>
                      <w:trHeight w:val="332" w:hRule="exact"/>
                    </w:trPr>
                    <w:tc>
                      <w:tcPr>
                        <w:tcW w:w="9180" w:type="dxa"/>
                        <w:gridSpan w:val="3"/>
                        <w:tcBorders>
                          <w:top w:val="nil"/>
                          <w:left w:val="nil"/>
                          <w:bottom w:val="nil"/>
                          <w:right w:val="nil"/>
                        </w:tcBorders>
                      </w:tcPr>
                      <w:p>
                        <w:pPr>
                          <w:pStyle w:val="TableParagraph"/>
                          <w:tabs>
                            <w:tab w:pos="1960" w:val="left" w:leader="none"/>
                          </w:tabs>
                          <w:spacing w:line="369" w:lineRule="exact" w:before="3"/>
                          <w:ind w:left="108" w:right="0"/>
                          <w:jc w:val="left"/>
                          <w:rPr>
                            <w:rFonts w:ascii="Arial" w:hAnsi="Arial"/>
                            <w:sz w:val="22"/>
                          </w:rPr>
                        </w:pPr>
                        <w:r>
                          <w:rPr>
                            <w:rFonts w:ascii="Arial" w:hAnsi="Arial"/>
                            <w:position w:val="-12"/>
                            <w:sz w:val="22"/>
                          </w:rPr>
                          <w:t>NOAA</w:t>
                          <w:tab/>
                        </w:r>
                        <w:r>
                          <w:rPr>
                            <w:rFonts w:ascii="Arial" w:hAnsi="Arial"/>
                            <w:sz w:val="22"/>
                          </w:rPr>
                          <w:t>Administración nacional oceánica y</w:t>
                        </w:r>
                        <w:r>
                          <w:rPr>
                            <w:rFonts w:ascii="Arial" w:hAnsi="Arial"/>
                            <w:spacing w:val="-15"/>
                            <w:sz w:val="22"/>
                          </w:rPr>
                          <w:t> </w:t>
                        </w:r>
                        <w:r>
                          <w:rPr>
                            <w:rFonts w:ascii="Arial" w:hAnsi="Arial"/>
                            <w:sz w:val="22"/>
                          </w:rPr>
                          <w:t>atmosférica</w:t>
                        </w:r>
                      </w:p>
                    </w:tc>
                  </w:tr>
                  <w:tr>
                    <w:trPr>
                      <w:trHeight w:val="190" w:hRule="exact"/>
                    </w:trPr>
                    <w:tc>
                      <w:tcPr>
                        <w:tcW w:w="1806" w:type="dxa"/>
                        <w:tcBorders>
                          <w:top w:val="nil"/>
                          <w:left w:val="nil"/>
                          <w:bottom w:val="nil"/>
                          <w:right w:val="nil"/>
                        </w:tcBorders>
                      </w:tcPr>
                      <w:p>
                        <w:pPr/>
                      </w:p>
                    </w:tc>
                    <w:tc>
                      <w:tcPr>
                        <w:tcW w:w="5557" w:type="dxa"/>
                        <w:tcBorders>
                          <w:top w:val="nil"/>
                          <w:left w:val="nil"/>
                          <w:bottom w:val="nil"/>
                          <w:right w:val="nil"/>
                        </w:tcBorders>
                      </w:tcPr>
                      <w:p>
                        <w:pPr>
                          <w:pStyle w:val="TableParagraph"/>
                          <w:spacing w:line="179" w:lineRule="exact" w:before="0"/>
                          <w:ind w:left="154" w:right="0"/>
                          <w:jc w:val="left"/>
                          <w:rPr>
                            <w:rFonts w:ascii="Arial"/>
                            <w:sz w:val="22"/>
                          </w:rPr>
                        </w:pPr>
                        <w:r>
                          <w:rPr>
                            <w:rFonts w:ascii="Arial"/>
                            <w:sz w:val="22"/>
                          </w:rPr>
                          <w:t>(National Oceanic and Atmospheric Administration)</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i/>
                            <w:sz w:val="22"/>
                          </w:rPr>
                        </w:pPr>
                        <w:r>
                          <w:rPr>
                            <w:rFonts w:ascii="Arial"/>
                            <w:i/>
                            <w:sz w:val="22"/>
                          </w:rPr>
                          <w:t>OCR</w:t>
                        </w:r>
                      </w:p>
                    </w:tc>
                    <w:tc>
                      <w:tcPr>
                        <w:tcW w:w="5557"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Razón de consumo de oxígeno</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sz w:val="22"/>
                          </w:rPr>
                        </w:pPr>
                        <w:r>
                          <w:rPr>
                            <w:rFonts w:ascii="Arial"/>
                            <w:sz w:val="22"/>
                          </w:rPr>
                          <w:t>OD</w:t>
                        </w:r>
                      </w:p>
                    </w:tc>
                    <w:tc>
                      <w:tcPr>
                        <w:tcW w:w="5557" w:type="dxa"/>
                        <w:tcBorders>
                          <w:top w:val="nil"/>
                          <w:left w:val="nil"/>
                          <w:bottom w:val="nil"/>
                          <w:right w:val="nil"/>
                        </w:tcBorders>
                      </w:tcPr>
                      <w:p>
                        <w:pPr>
                          <w:pStyle w:val="TableParagraph"/>
                          <w:spacing w:line="242" w:lineRule="exact" w:before="0"/>
                          <w:ind w:left="154" w:right="0"/>
                          <w:jc w:val="left"/>
                          <w:rPr>
                            <w:rFonts w:ascii="Arial" w:hAnsi="Arial"/>
                            <w:sz w:val="22"/>
                          </w:rPr>
                        </w:pPr>
                        <w:r>
                          <w:rPr>
                            <w:rFonts w:ascii="Arial" w:hAnsi="Arial"/>
                            <w:sz w:val="22"/>
                          </w:rPr>
                          <w:t>Oxígeno disuelto en el agua</w:t>
                        </w:r>
                      </w:p>
                    </w:tc>
                    <w:tc>
                      <w:tcPr>
                        <w:tcW w:w="1817" w:type="dxa"/>
                        <w:tcBorders>
                          <w:top w:val="nil"/>
                          <w:left w:val="nil"/>
                          <w:bottom w:val="nil"/>
                          <w:right w:val="nil"/>
                        </w:tcBorders>
                      </w:tcPr>
                      <w:p>
                        <w:pPr>
                          <w:pStyle w:val="TableParagraph"/>
                          <w:spacing w:line="242" w:lineRule="exact" w:before="0"/>
                          <w:ind w:left="405" w:right="147"/>
                          <w:jc w:val="center"/>
                          <w:rPr>
                            <w:rFonts w:ascii="Arial"/>
                            <w:sz w:val="22"/>
                          </w:rPr>
                        </w:pPr>
                        <w:r>
                          <w:rPr>
                            <w:rFonts w:ascii="Arial"/>
                            <w:sz w:val="22"/>
                          </w:rPr>
                          <w:t>mg/L</w:t>
                        </w:r>
                      </w:p>
                    </w:tc>
                  </w:tr>
                  <w:tr>
                    <w:trPr>
                      <w:trHeight w:val="260" w:hRule="exact"/>
                    </w:trPr>
                    <w:tc>
                      <w:tcPr>
                        <w:tcW w:w="1806" w:type="dxa"/>
                        <w:tcBorders>
                          <w:top w:val="nil"/>
                          <w:left w:val="nil"/>
                          <w:bottom w:val="nil"/>
                          <w:right w:val="nil"/>
                        </w:tcBorders>
                      </w:tcPr>
                      <w:p>
                        <w:pPr>
                          <w:pStyle w:val="TableParagraph"/>
                          <w:spacing w:line="254" w:lineRule="exact" w:before="0"/>
                          <w:ind w:left="108" w:right="0"/>
                          <w:jc w:val="left"/>
                          <w:rPr>
                            <w:rFonts w:ascii="Arial"/>
                            <w:i/>
                            <w:sz w:val="14"/>
                          </w:rPr>
                        </w:pPr>
                        <w:r>
                          <w:rPr>
                            <w:rFonts w:ascii="Arial"/>
                            <w:i/>
                            <w:sz w:val="22"/>
                          </w:rPr>
                          <w:t>Od</w:t>
                        </w:r>
                        <w:r>
                          <w:rPr>
                            <w:rFonts w:ascii="Arial"/>
                            <w:i/>
                            <w:position w:val="-2"/>
                            <w:sz w:val="14"/>
                          </w:rPr>
                          <w:t>in</w:t>
                        </w:r>
                      </w:p>
                    </w:tc>
                    <w:tc>
                      <w:tcPr>
                        <w:tcW w:w="5557"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Oxígeno disuelto en el influente</w:t>
                        </w:r>
                      </w:p>
                    </w:tc>
                    <w:tc>
                      <w:tcPr>
                        <w:tcW w:w="1817" w:type="dxa"/>
                        <w:tcBorders>
                          <w:top w:val="nil"/>
                          <w:left w:val="nil"/>
                          <w:bottom w:val="nil"/>
                          <w:right w:val="nil"/>
                        </w:tcBorders>
                      </w:tcPr>
                      <w:p>
                        <w:pPr>
                          <w:pStyle w:val="TableParagraph"/>
                          <w:spacing w:line="241" w:lineRule="exact" w:before="0"/>
                          <w:ind w:left="404" w:right="148"/>
                          <w:jc w:val="center"/>
                          <w:rPr>
                            <w:rFonts w:ascii="Arial"/>
                            <w:sz w:val="22"/>
                          </w:rPr>
                        </w:pPr>
                        <w:r>
                          <w:rPr>
                            <w:rFonts w:ascii="Arial"/>
                            <w:sz w:val="22"/>
                          </w:rPr>
                          <w:t>mg/L</w:t>
                        </w:r>
                      </w:p>
                    </w:tc>
                  </w:tr>
                  <w:tr>
                    <w:trPr>
                      <w:trHeight w:val="253" w:hRule="exact"/>
                    </w:trPr>
                    <w:tc>
                      <w:tcPr>
                        <w:tcW w:w="1806" w:type="dxa"/>
                        <w:tcBorders>
                          <w:top w:val="nil"/>
                          <w:left w:val="nil"/>
                          <w:bottom w:val="nil"/>
                          <w:right w:val="nil"/>
                        </w:tcBorders>
                      </w:tcPr>
                      <w:p>
                        <w:pPr>
                          <w:pStyle w:val="TableParagraph"/>
                          <w:spacing w:line="233" w:lineRule="exact" w:before="0"/>
                          <w:ind w:left="108" w:right="0"/>
                          <w:jc w:val="left"/>
                          <w:rPr>
                            <w:rFonts w:ascii="Arial"/>
                            <w:i/>
                            <w:sz w:val="22"/>
                          </w:rPr>
                        </w:pPr>
                        <w:r>
                          <w:rPr>
                            <w:rFonts w:ascii="Arial"/>
                            <w:i/>
                            <w:sz w:val="22"/>
                          </w:rPr>
                          <w:t>OUE</w:t>
                        </w:r>
                      </w:p>
                    </w:tc>
                    <w:tc>
                      <w:tcPr>
                        <w:tcW w:w="5557" w:type="dxa"/>
                        <w:tcBorders>
                          <w:top w:val="nil"/>
                          <w:left w:val="nil"/>
                          <w:bottom w:val="nil"/>
                          <w:right w:val="nil"/>
                        </w:tcBorders>
                      </w:tcPr>
                      <w:p>
                        <w:pPr>
                          <w:pStyle w:val="TableParagraph"/>
                          <w:spacing w:line="233" w:lineRule="exact" w:before="0"/>
                          <w:ind w:left="145" w:right="0"/>
                          <w:jc w:val="left"/>
                          <w:rPr>
                            <w:rFonts w:ascii="Arial" w:hAnsi="Arial"/>
                            <w:sz w:val="22"/>
                          </w:rPr>
                        </w:pPr>
                        <w:r>
                          <w:rPr>
                            <w:rFonts w:ascii="Arial" w:hAnsi="Arial"/>
                            <w:sz w:val="22"/>
                          </w:rPr>
                          <w:t>Eficiencia energética de uso de oxígeno</w:t>
                        </w:r>
                      </w:p>
                    </w:tc>
                    <w:tc>
                      <w:tcPr>
                        <w:tcW w:w="1817" w:type="dxa"/>
                        <w:tcBorders>
                          <w:top w:val="nil"/>
                          <w:left w:val="nil"/>
                          <w:bottom w:val="nil"/>
                          <w:right w:val="nil"/>
                        </w:tcBorders>
                      </w:tcPr>
                      <w:p>
                        <w:pPr>
                          <w:pStyle w:val="TableParagraph"/>
                          <w:spacing w:line="246" w:lineRule="exact" w:before="0"/>
                          <w:ind w:left="405" w:right="148"/>
                          <w:jc w:val="center"/>
                          <w:rPr>
                            <w:rFonts w:ascii="Arial"/>
                            <w:sz w:val="22"/>
                          </w:rPr>
                        </w:pPr>
                        <w:r>
                          <w:rPr>
                            <w:rFonts w:ascii="Arial"/>
                            <w:sz w:val="22"/>
                          </w:rPr>
                          <w:t>g O</w:t>
                        </w:r>
                        <w:r>
                          <w:rPr>
                            <w:rFonts w:ascii="Arial"/>
                            <w:position w:val="-2"/>
                            <w:sz w:val="14"/>
                          </w:rPr>
                          <w:t>2</w:t>
                        </w:r>
                        <w:r>
                          <w:rPr>
                            <w:rFonts w:ascii="Arial"/>
                            <w:sz w:val="22"/>
                          </w:rPr>
                          <w:t>/kWh</w:t>
                        </w:r>
                      </w:p>
                    </w:tc>
                  </w:tr>
                  <w:tr>
                    <w:trPr>
                      <w:trHeight w:val="245" w:hRule="exact"/>
                    </w:trPr>
                    <w:tc>
                      <w:tcPr>
                        <w:tcW w:w="1806" w:type="dxa"/>
                        <w:tcBorders>
                          <w:top w:val="nil"/>
                          <w:left w:val="nil"/>
                          <w:bottom w:val="nil"/>
                          <w:right w:val="nil"/>
                        </w:tcBorders>
                      </w:tcPr>
                      <w:p>
                        <w:pPr>
                          <w:pStyle w:val="TableParagraph"/>
                          <w:spacing w:line="234" w:lineRule="exact" w:before="0"/>
                          <w:ind w:left="108" w:right="0"/>
                          <w:jc w:val="left"/>
                          <w:rPr>
                            <w:rFonts w:ascii="Arial"/>
                            <w:i/>
                            <w:sz w:val="22"/>
                          </w:rPr>
                        </w:pPr>
                        <w:r>
                          <w:rPr>
                            <w:rFonts w:ascii="Arial"/>
                            <w:i/>
                            <w:w w:val="100"/>
                            <w:sz w:val="22"/>
                          </w:rPr>
                          <w:t>P</w:t>
                        </w:r>
                      </w:p>
                    </w:tc>
                    <w:tc>
                      <w:tcPr>
                        <w:tcW w:w="5557" w:type="dxa"/>
                        <w:tcBorders>
                          <w:top w:val="nil"/>
                          <w:left w:val="nil"/>
                          <w:bottom w:val="nil"/>
                          <w:right w:val="nil"/>
                        </w:tcBorders>
                      </w:tcPr>
                      <w:p>
                        <w:pPr>
                          <w:pStyle w:val="TableParagraph"/>
                          <w:spacing w:line="234" w:lineRule="exact" w:before="0"/>
                          <w:ind w:left="145" w:right="0"/>
                          <w:jc w:val="left"/>
                          <w:rPr>
                            <w:rFonts w:ascii="Arial" w:hAnsi="Arial"/>
                            <w:sz w:val="22"/>
                          </w:rPr>
                        </w:pPr>
                        <w:r>
                          <w:rPr>
                            <w:rFonts w:ascii="Arial" w:hAnsi="Arial"/>
                            <w:sz w:val="22"/>
                          </w:rPr>
                          <w:t>Energía total</w:t>
                        </w:r>
                      </w:p>
                    </w:tc>
                    <w:tc>
                      <w:tcPr>
                        <w:tcW w:w="1817" w:type="dxa"/>
                        <w:tcBorders>
                          <w:top w:val="nil"/>
                          <w:left w:val="nil"/>
                          <w:bottom w:val="nil"/>
                          <w:right w:val="nil"/>
                        </w:tcBorders>
                      </w:tcPr>
                      <w:p>
                        <w:pPr>
                          <w:pStyle w:val="TableParagraph"/>
                          <w:spacing w:line="234" w:lineRule="exact" w:before="0"/>
                          <w:ind w:left="404" w:right="148"/>
                          <w:jc w:val="center"/>
                          <w:rPr>
                            <w:rFonts w:ascii="Arial"/>
                            <w:sz w:val="22"/>
                          </w:rPr>
                        </w:pPr>
                        <w:r>
                          <w:rPr>
                            <w:rFonts w:ascii="Arial"/>
                            <w:sz w:val="22"/>
                          </w:rPr>
                          <w:t>kW/d</w:t>
                        </w: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PAM</w:t>
                        </w:r>
                      </w:p>
                    </w:tc>
                    <w:tc>
                      <w:tcPr>
                        <w:tcW w:w="5557" w:type="dxa"/>
                        <w:tcBorders>
                          <w:top w:val="nil"/>
                          <w:left w:val="nil"/>
                          <w:bottom w:val="nil"/>
                          <w:right w:val="nil"/>
                        </w:tcBorders>
                      </w:tcPr>
                      <w:p>
                        <w:pPr>
                          <w:pStyle w:val="TableParagraph"/>
                          <w:spacing w:line="241" w:lineRule="exact" w:before="0"/>
                          <w:ind w:left="154" w:right="0"/>
                          <w:jc w:val="left"/>
                          <w:rPr>
                            <w:rFonts w:ascii="Arial" w:hAnsi="Arial"/>
                            <w:sz w:val="22"/>
                          </w:rPr>
                        </w:pPr>
                        <w:r>
                          <w:rPr>
                            <w:rFonts w:ascii="Arial" w:hAnsi="Arial"/>
                            <w:sz w:val="22"/>
                          </w:rPr>
                          <w:t>Producción de nitrógeno amoniacal por peces</w:t>
                        </w:r>
                      </w:p>
                    </w:tc>
                    <w:tc>
                      <w:tcPr>
                        <w:tcW w:w="1817" w:type="dxa"/>
                        <w:tcBorders>
                          <w:top w:val="nil"/>
                          <w:left w:val="nil"/>
                          <w:bottom w:val="nil"/>
                          <w:right w:val="nil"/>
                        </w:tcBorders>
                      </w:tcPr>
                      <w:p>
                        <w:pPr>
                          <w:pStyle w:val="TableParagraph"/>
                          <w:spacing w:line="241" w:lineRule="exact" w:before="0"/>
                          <w:ind w:left="404" w:right="148"/>
                          <w:jc w:val="center"/>
                          <w:rPr>
                            <w:rFonts w:ascii="Arial"/>
                            <w:sz w:val="22"/>
                          </w:rPr>
                        </w:pPr>
                        <w:r>
                          <w:rPr>
                            <w:rFonts w:ascii="Arial"/>
                            <w:sz w:val="22"/>
                          </w:rPr>
                          <w:t>Kg/d</w:t>
                        </w: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sz w:val="22"/>
                          </w:rPr>
                        </w:pPr>
                        <w:r>
                          <w:rPr>
                            <w:rFonts w:ascii="Arial"/>
                            <w:sz w:val="22"/>
                          </w:rPr>
                          <w:t>pH</w:t>
                        </w:r>
                      </w:p>
                    </w:tc>
                    <w:tc>
                      <w:tcPr>
                        <w:tcW w:w="5557" w:type="dxa"/>
                        <w:tcBorders>
                          <w:top w:val="nil"/>
                          <w:left w:val="nil"/>
                          <w:bottom w:val="nil"/>
                          <w:right w:val="nil"/>
                        </w:tcBorders>
                      </w:tcPr>
                      <w:p>
                        <w:pPr>
                          <w:pStyle w:val="TableParagraph"/>
                          <w:spacing w:line="242" w:lineRule="exact" w:before="0"/>
                          <w:ind w:left="154" w:right="0"/>
                          <w:jc w:val="left"/>
                          <w:rPr>
                            <w:rFonts w:ascii="Arial" w:hAnsi="Arial"/>
                            <w:sz w:val="22"/>
                          </w:rPr>
                        </w:pPr>
                        <w:r>
                          <w:rPr>
                            <w:rFonts w:ascii="Arial" w:hAnsi="Arial"/>
                            <w:sz w:val="22"/>
                          </w:rPr>
                          <w:t>Potencial de hidrógeno</w:t>
                        </w:r>
                      </w:p>
                    </w:tc>
                    <w:tc>
                      <w:tcPr>
                        <w:tcW w:w="1817" w:type="dxa"/>
                        <w:tcBorders>
                          <w:top w:val="nil"/>
                          <w:left w:val="nil"/>
                          <w:bottom w:val="nil"/>
                          <w:right w:val="nil"/>
                        </w:tcBorders>
                      </w:tcPr>
                      <w:p>
                        <w:pPr/>
                      </w:p>
                    </w:tc>
                  </w:tr>
                  <w:tr>
                    <w:trPr>
                      <w:trHeight w:val="260" w:hRule="exact"/>
                    </w:trPr>
                    <w:tc>
                      <w:tcPr>
                        <w:tcW w:w="1806" w:type="dxa"/>
                        <w:tcBorders>
                          <w:top w:val="nil"/>
                          <w:left w:val="nil"/>
                          <w:bottom w:val="nil"/>
                          <w:right w:val="nil"/>
                        </w:tcBorders>
                      </w:tcPr>
                      <w:p>
                        <w:pPr>
                          <w:pStyle w:val="TableParagraph"/>
                          <w:spacing w:line="254" w:lineRule="exact" w:before="0"/>
                          <w:ind w:left="107" w:right="0"/>
                          <w:jc w:val="left"/>
                          <w:rPr>
                            <w:rFonts w:ascii="Arial"/>
                            <w:i/>
                            <w:sz w:val="14"/>
                          </w:rPr>
                        </w:pPr>
                        <w:r>
                          <w:rPr>
                            <w:rFonts w:ascii="Arial"/>
                            <w:i/>
                            <w:sz w:val="22"/>
                          </w:rPr>
                          <w:t>pH</w:t>
                        </w:r>
                        <w:r>
                          <w:rPr>
                            <w:rFonts w:ascii="Arial"/>
                            <w:i/>
                            <w:position w:val="-2"/>
                            <w:sz w:val="14"/>
                          </w:rPr>
                          <w:t>in</w:t>
                        </w:r>
                      </w:p>
                    </w:tc>
                    <w:tc>
                      <w:tcPr>
                        <w:tcW w:w="5557" w:type="dxa"/>
                        <w:tcBorders>
                          <w:top w:val="nil"/>
                          <w:left w:val="nil"/>
                          <w:bottom w:val="nil"/>
                          <w:right w:val="nil"/>
                        </w:tcBorders>
                      </w:tcPr>
                      <w:p>
                        <w:pPr>
                          <w:pStyle w:val="TableParagraph"/>
                          <w:spacing w:line="241" w:lineRule="exact" w:before="0"/>
                          <w:ind w:left="145" w:right="0"/>
                          <w:jc w:val="left"/>
                          <w:rPr>
                            <w:rFonts w:ascii="Arial"/>
                            <w:sz w:val="22"/>
                          </w:rPr>
                        </w:pPr>
                        <w:r>
                          <w:rPr>
                            <w:rFonts w:ascii="Arial"/>
                            <w:sz w:val="22"/>
                          </w:rPr>
                          <w:t>pH a la entrada del biofiltro</w:t>
                        </w:r>
                      </w:p>
                    </w:tc>
                    <w:tc>
                      <w:tcPr>
                        <w:tcW w:w="1817" w:type="dxa"/>
                        <w:tcBorders>
                          <w:top w:val="nil"/>
                          <w:left w:val="nil"/>
                          <w:bottom w:val="nil"/>
                          <w:right w:val="nil"/>
                        </w:tcBorders>
                      </w:tcPr>
                      <w:p>
                        <w:pPr/>
                      </w:p>
                    </w:tc>
                  </w:tr>
                  <w:tr>
                    <w:trPr>
                      <w:trHeight w:val="245" w:hRule="exact"/>
                    </w:trPr>
                    <w:tc>
                      <w:tcPr>
                        <w:tcW w:w="1806" w:type="dxa"/>
                        <w:tcBorders>
                          <w:top w:val="nil"/>
                          <w:left w:val="nil"/>
                          <w:bottom w:val="nil"/>
                          <w:right w:val="nil"/>
                        </w:tcBorders>
                      </w:tcPr>
                      <w:p>
                        <w:pPr>
                          <w:pStyle w:val="TableParagraph"/>
                          <w:spacing w:line="233" w:lineRule="exact" w:before="0"/>
                          <w:ind w:left="108" w:right="0"/>
                          <w:jc w:val="left"/>
                          <w:rPr>
                            <w:rFonts w:ascii="Arial"/>
                            <w:sz w:val="22"/>
                          </w:rPr>
                        </w:pPr>
                        <w:r>
                          <w:rPr>
                            <w:rFonts w:ascii="Arial"/>
                            <w:sz w:val="22"/>
                          </w:rPr>
                          <w:t>PMA</w:t>
                        </w:r>
                      </w:p>
                    </w:tc>
                    <w:tc>
                      <w:tcPr>
                        <w:tcW w:w="5557" w:type="dxa"/>
                        <w:tcBorders>
                          <w:top w:val="nil"/>
                          <w:left w:val="nil"/>
                          <w:bottom w:val="nil"/>
                          <w:right w:val="nil"/>
                        </w:tcBorders>
                      </w:tcPr>
                      <w:p>
                        <w:pPr>
                          <w:pStyle w:val="TableParagraph"/>
                          <w:spacing w:line="233" w:lineRule="exact" w:before="0"/>
                          <w:ind w:left="145" w:right="0"/>
                          <w:jc w:val="left"/>
                          <w:rPr>
                            <w:rFonts w:ascii="Arial"/>
                            <w:sz w:val="22"/>
                          </w:rPr>
                        </w:pPr>
                        <w:r>
                          <w:rPr>
                            <w:rFonts w:ascii="Arial"/>
                            <w:sz w:val="22"/>
                          </w:rPr>
                          <w:t>Punto de muestreo A</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sz w:val="22"/>
                          </w:rPr>
                        </w:pPr>
                        <w:r>
                          <w:rPr>
                            <w:rFonts w:ascii="Arial"/>
                            <w:sz w:val="22"/>
                          </w:rPr>
                          <w:t>PMB</w:t>
                        </w:r>
                      </w:p>
                    </w:tc>
                    <w:tc>
                      <w:tcPr>
                        <w:tcW w:w="5557" w:type="dxa"/>
                        <w:tcBorders>
                          <w:top w:val="nil"/>
                          <w:left w:val="nil"/>
                          <w:bottom w:val="nil"/>
                          <w:right w:val="nil"/>
                        </w:tcBorders>
                      </w:tcPr>
                      <w:p>
                        <w:pPr>
                          <w:pStyle w:val="TableParagraph"/>
                          <w:spacing w:line="242" w:lineRule="exact" w:before="0"/>
                          <w:ind w:left="145" w:right="0"/>
                          <w:jc w:val="left"/>
                          <w:rPr>
                            <w:rFonts w:ascii="Arial"/>
                            <w:sz w:val="22"/>
                          </w:rPr>
                        </w:pPr>
                        <w:r>
                          <w:rPr>
                            <w:rFonts w:ascii="Arial"/>
                            <w:sz w:val="22"/>
                          </w:rPr>
                          <w:t>Punto de muestreo B</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PMC</w:t>
                        </w:r>
                      </w:p>
                    </w:tc>
                    <w:tc>
                      <w:tcPr>
                        <w:tcW w:w="5557" w:type="dxa"/>
                        <w:tcBorders>
                          <w:top w:val="nil"/>
                          <w:left w:val="nil"/>
                          <w:bottom w:val="nil"/>
                          <w:right w:val="nil"/>
                        </w:tcBorders>
                      </w:tcPr>
                      <w:p>
                        <w:pPr>
                          <w:pStyle w:val="TableParagraph"/>
                          <w:spacing w:line="241" w:lineRule="exact" w:before="0"/>
                          <w:ind w:left="145" w:right="0"/>
                          <w:jc w:val="left"/>
                          <w:rPr>
                            <w:rFonts w:ascii="Arial"/>
                            <w:sz w:val="22"/>
                          </w:rPr>
                        </w:pPr>
                        <w:r>
                          <w:rPr>
                            <w:rFonts w:ascii="Arial"/>
                            <w:sz w:val="22"/>
                          </w:rPr>
                          <w:t>Punto de muestreo C</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sz w:val="22"/>
                          </w:rPr>
                        </w:pPr>
                        <w:r>
                          <w:rPr>
                            <w:rFonts w:ascii="Arial"/>
                            <w:sz w:val="22"/>
                          </w:rPr>
                          <w:t>PMD</w:t>
                        </w:r>
                      </w:p>
                    </w:tc>
                    <w:tc>
                      <w:tcPr>
                        <w:tcW w:w="5557" w:type="dxa"/>
                        <w:tcBorders>
                          <w:top w:val="nil"/>
                          <w:left w:val="nil"/>
                          <w:bottom w:val="nil"/>
                          <w:right w:val="nil"/>
                        </w:tcBorders>
                      </w:tcPr>
                      <w:p>
                        <w:pPr>
                          <w:pStyle w:val="TableParagraph"/>
                          <w:spacing w:line="242" w:lineRule="exact" w:before="0"/>
                          <w:ind w:left="145" w:right="0"/>
                          <w:jc w:val="left"/>
                          <w:rPr>
                            <w:rFonts w:ascii="Arial"/>
                            <w:sz w:val="22"/>
                          </w:rPr>
                        </w:pPr>
                        <w:r>
                          <w:rPr>
                            <w:rFonts w:ascii="Arial"/>
                            <w:sz w:val="22"/>
                          </w:rPr>
                          <w:t>Punto de muestreo D</w:t>
                        </w:r>
                      </w:p>
                    </w:tc>
                    <w:tc>
                      <w:tcPr>
                        <w:tcW w:w="1817" w:type="dxa"/>
                        <w:tcBorders>
                          <w:top w:val="nil"/>
                          <w:left w:val="nil"/>
                          <w:bottom w:val="nil"/>
                          <w:right w:val="nil"/>
                        </w:tcBorders>
                      </w:tcPr>
                      <w:p>
                        <w:pPr/>
                      </w:p>
                    </w:tc>
                  </w:tr>
                  <w:tr>
                    <w:trPr>
                      <w:trHeight w:val="252"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PME</w:t>
                        </w:r>
                      </w:p>
                    </w:tc>
                    <w:tc>
                      <w:tcPr>
                        <w:tcW w:w="5557" w:type="dxa"/>
                        <w:tcBorders>
                          <w:top w:val="nil"/>
                          <w:left w:val="nil"/>
                          <w:bottom w:val="nil"/>
                          <w:right w:val="nil"/>
                        </w:tcBorders>
                      </w:tcPr>
                      <w:p>
                        <w:pPr>
                          <w:pStyle w:val="TableParagraph"/>
                          <w:spacing w:line="241" w:lineRule="exact" w:before="0"/>
                          <w:ind w:left="145" w:right="0"/>
                          <w:jc w:val="left"/>
                          <w:rPr>
                            <w:rFonts w:ascii="Arial"/>
                            <w:sz w:val="22"/>
                          </w:rPr>
                        </w:pPr>
                        <w:r>
                          <w:rPr>
                            <w:rFonts w:ascii="Arial"/>
                            <w:sz w:val="22"/>
                          </w:rPr>
                          <w:t>Punto de muestreo E</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PMG</w:t>
                        </w:r>
                      </w:p>
                    </w:tc>
                    <w:tc>
                      <w:tcPr>
                        <w:tcW w:w="5557" w:type="dxa"/>
                        <w:tcBorders>
                          <w:top w:val="nil"/>
                          <w:left w:val="nil"/>
                          <w:bottom w:val="nil"/>
                          <w:right w:val="nil"/>
                        </w:tcBorders>
                      </w:tcPr>
                      <w:p>
                        <w:pPr>
                          <w:pStyle w:val="TableParagraph"/>
                          <w:spacing w:line="241" w:lineRule="exact" w:before="0"/>
                          <w:ind w:left="145" w:right="0"/>
                          <w:jc w:val="left"/>
                          <w:rPr>
                            <w:rFonts w:ascii="Arial"/>
                            <w:sz w:val="22"/>
                          </w:rPr>
                        </w:pPr>
                        <w:r>
                          <w:rPr>
                            <w:rFonts w:ascii="Arial"/>
                            <w:sz w:val="22"/>
                          </w:rPr>
                          <w:t>Punto de muestreo G</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i/>
                            <w:sz w:val="22"/>
                          </w:rPr>
                        </w:pPr>
                        <w:r>
                          <w:rPr>
                            <w:rFonts w:ascii="Arial"/>
                            <w:i/>
                            <w:sz w:val="22"/>
                          </w:rPr>
                          <w:t>PTR</w:t>
                        </w:r>
                      </w:p>
                    </w:tc>
                    <w:tc>
                      <w:tcPr>
                        <w:tcW w:w="5557" w:type="dxa"/>
                        <w:tcBorders>
                          <w:top w:val="nil"/>
                          <w:left w:val="nil"/>
                          <w:bottom w:val="nil"/>
                          <w:right w:val="nil"/>
                        </w:tcBorders>
                      </w:tcPr>
                      <w:p>
                        <w:pPr>
                          <w:pStyle w:val="TableParagraph"/>
                          <w:spacing w:line="255" w:lineRule="exact" w:before="0"/>
                          <w:ind w:left="145" w:right="0"/>
                          <w:jc w:val="left"/>
                          <w:rPr>
                            <w:rFonts w:ascii="Arial" w:hAnsi="Arial"/>
                            <w:sz w:val="14"/>
                          </w:rPr>
                        </w:pPr>
                        <w:r>
                          <w:rPr>
                            <w:rFonts w:ascii="Arial" w:hAnsi="Arial"/>
                            <w:sz w:val="22"/>
                          </w:rPr>
                          <w:t>Porcentaje de remoción de N-NH</w:t>
                        </w:r>
                        <w:r>
                          <w:rPr>
                            <w:rFonts w:ascii="Arial" w:hAnsi="Arial"/>
                            <w:position w:val="-2"/>
                            <w:sz w:val="14"/>
                          </w:rPr>
                          <w:t>3</w:t>
                        </w:r>
                      </w:p>
                    </w:tc>
                    <w:tc>
                      <w:tcPr>
                        <w:tcW w:w="1817" w:type="dxa"/>
                        <w:tcBorders>
                          <w:top w:val="nil"/>
                          <w:left w:val="nil"/>
                          <w:bottom w:val="nil"/>
                          <w:right w:val="nil"/>
                        </w:tcBorders>
                      </w:tcPr>
                      <w:p>
                        <w:pPr>
                          <w:pStyle w:val="TableParagraph"/>
                          <w:spacing w:line="242" w:lineRule="exact" w:before="0"/>
                          <w:ind w:left="255" w:right="0"/>
                          <w:jc w:val="center"/>
                          <w:rPr>
                            <w:rFonts w:ascii="Arial"/>
                            <w:sz w:val="22"/>
                          </w:rPr>
                        </w:pPr>
                        <w:r>
                          <w:rPr>
                            <w:rFonts w:ascii="Arial"/>
                            <w:w w:val="100"/>
                            <w:sz w:val="22"/>
                          </w:rPr>
                          <w:t>%</w:t>
                        </w:r>
                      </w:p>
                    </w:tc>
                  </w:tr>
                  <w:tr>
                    <w:trPr>
                      <w:trHeight w:val="506" w:hRule="exact"/>
                    </w:trPr>
                    <w:tc>
                      <w:tcPr>
                        <w:tcW w:w="1806" w:type="dxa"/>
                        <w:tcBorders>
                          <w:top w:val="nil"/>
                          <w:left w:val="nil"/>
                          <w:bottom w:val="nil"/>
                          <w:right w:val="nil"/>
                        </w:tcBorders>
                      </w:tcPr>
                      <w:p>
                        <w:pPr>
                          <w:pStyle w:val="TableParagraph"/>
                          <w:spacing w:before="115"/>
                          <w:ind w:left="108" w:right="0"/>
                          <w:jc w:val="left"/>
                          <w:rPr>
                            <w:rFonts w:ascii="Arial"/>
                            <w:sz w:val="22"/>
                          </w:rPr>
                        </w:pPr>
                        <w:r>
                          <w:rPr>
                            <w:rFonts w:ascii="Arial"/>
                            <w:sz w:val="22"/>
                          </w:rPr>
                          <w:t>PTV</w:t>
                        </w:r>
                      </w:p>
                    </w:tc>
                    <w:tc>
                      <w:tcPr>
                        <w:tcW w:w="5557" w:type="dxa"/>
                        <w:tcBorders>
                          <w:top w:val="nil"/>
                          <w:left w:val="nil"/>
                          <w:bottom w:val="nil"/>
                          <w:right w:val="nil"/>
                        </w:tcBorders>
                      </w:tcPr>
                      <w:p>
                        <w:pPr>
                          <w:pStyle w:val="TableParagraph"/>
                          <w:spacing w:line="242" w:lineRule="auto" w:before="0"/>
                          <w:ind w:left="154" w:right="664"/>
                          <w:jc w:val="left"/>
                          <w:rPr>
                            <w:rFonts w:ascii="Arial" w:hAnsi="Arial"/>
                            <w:sz w:val="22"/>
                          </w:rPr>
                        </w:pPr>
                        <w:r>
                          <w:rPr>
                            <w:rFonts w:ascii="Arial" w:hAnsi="Arial"/>
                            <w:sz w:val="22"/>
                          </w:rPr>
                          <w:t>“Particle Tracking Velocimetry” (Velocimetria por seguimiento de partículas)</w:t>
                        </w:r>
                      </w:p>
                    </w:tc>
                    <w:tc>
                      <w:tcPr>
                        <w:tcW w:w="1817" w:type="dxa"/>
                        <w:tcBorders>
                          <w:top w:val="nil"/>
                          <w:left w:val="nil"/>
                          <w:bottom w:val="nil"/>
                          <w:right w:val="nil"/>
                        </w:tcBorders>
                      </w:tcPr>
                      <w:p>
                        <w:pPr/>
                      </w:p>
                    </w:tc>
                  </w:tr>
                  <w:tr>
                    <w:trPr>
                      <w:trHeight w:val="235"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PVC</w:t>
                        </w:r>
                      </w:p>
                    </w:tc>
                    <w:tc>
                      <w:tcPr>
                        <w:tcW w:w="5557" w:type="dxa"/>
                        <w:tcBorders>
                          <w:top w:val="nil"/>
                          <w:left w:val="nil"/>
                          <w:bottom w:val="nil"/>
                          <w:right w:val="nil"/>
                        </w:tcBorders>
                      </w:tcPr>
                      <w:p>
                        <w:pPr>
                          <w:pStyle w:val="TableParagraph"/>
                          <w:spacing w:line="241" w:lineRule="exact" w:before="0"/>
                          <w:ind w:left="154" w:right="0"/>
                          <w:jc w:val="left"/>
                          <w:rPr>
                            <w:rFonts w:ascii="Arial"/>
                            <w:sz w:val="22"/>
                          </w:rPr>
                        </w:pPr>
                        <w:r>
                          <w:rPr>
                            <w:rFonts w:ascii="Arial"/>
                            <w:sz w:val="22"/>
                          </w:rPr>
                          <w:t>Policloruro de vinilo</w:t>
                        </w:r>
                      </w:p>
                    </w:tc>
                    <w:tc>
                      <w:tcPr>
                        <w:tcW w:w="1817"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before="5"/>
                          <w:ind w:left="108" w:right="0"/>
                          <w:jc w:val="left"/>
                          <w:rPr>
                            <w:rFonts w:ascii="Arial"/>
                            <w:sz w:val="22"/>
                          </w:rPr>
                        </w:pPr>
                        <w:r>
                          <w:rPr>
                            <w:rFonts w:ascii="Arial"/>
                            <w:w w:val="100"/>
                            <w:sz w:val="22"/>
                          </w:rPr>
                          <w:t>Q</w:t>
                        </w:r>
                      </w:p>
                    </w:tc>
                    <w:tc>
                      <w:tcPr>
                        <w:tcW w:w="5557" w:type="dxa"/>
                        <w:tcBorders>
                          <w:top w:val="nil"/>
                          <w:left w:val="nil"/>
                          <w:bottom w:val="nil"/>
                          <w:right w:val="nil"/>
                        </w:tcBorders>
                      </w:tcPr>
                      <w:p>
                        <w:pPr>
                          <w:pStyle w:val="TableParagraph"/>
                          <w:spacing w:before="5"/>
                          <w:ind w:left="154" w:right="0"/>
                          <w:jc w:val="left"/>
                          <w:rPr>
                            <w:rFonts w:ascii="Arial"/>
                            <w:sz w:val="22"/>
                          </w:rPr>
                        </w:pPr>
                        <w:r>
                          <w:rPr>
                            <w:rFonts w:ascii="Arial"/>
                            <w:sz w:val="22"/>
                          </w:rPr>
                          <w:t>Caudal</w:t>
                        </w:r>
                      </w:p>
                    </w:tc>
                    <w:tc>
                      <w:tcPr>
                        <w:tcW w:w="1817" w:type="dxa"/>
                        <w:tcBorders>
                          <w:top w:val="nil"/>
                          <w:left w:val="nil"/>
                          <w:bottom w:val="nil"/>
                          <w:right w:val="nil"/>
                        </w:tcBorders>
                      </w:tcPr>
                      <w:p>
                        <w:pPr>
                          <w:pStyle w:val="TableParagraph"/>
                          <w:spacing w:line="258" w:lineRule="exact" w:before="0"/>
                          <w:ind w:left="404" w:right="148"/>
                          <w:jc w:val="center"/>
                          <w:rPr>
                            <w:rFonts w:ascii="Arial"/>
                            <w:sz w:val="22"/>
                          </w:rPr>
                        </w:pPr>
                        <w:r>
                          <w:rPr>
                            <w:rFonts w:ascii="Arial"/>
                            <w:sz w:val="22"/>
                          </w:rPr>
                          <w:t>m</w:t>
                        </w:r>
                        <w:r>
                          <w:rPr>
                            <w:rFonts w:ascii="Arial"/>
                            <w:position w:val="10"/>
                            <w:sz w:val="14"/>
                          </w:rPr>
                          <w:t>3</w:t>
                        </w:r>
                        <w:r>
                          <w:rPr>
                            <w:rFonts w:ascii="Arial"/>
                            <w:sz w:val="22"/>
                          </w:rPr>
                          <w:t>/d o L/s</w:t>
                        </w:r>
                      </w:p>
                    </w:tc>
                  </w:tr>
                  <w:tr>
                    <w:trPr>
                      <w:trHeight w:val="261" w:hRule="exact"/>
                    </w:trPr>
                    <w:tc>
                      <w:tcPr>
                        <w:tcW w:w="1806" w:type="dxa"/>
                        <w:tcBorders>
                          <w:top w:val="nil"/>
                          <w:left w:val="nil"/>
                          <w:bottom w:val="nil"/>
                          <w:right w:val="nil"/>
                        </w:tcBorders>
                      </w:tcPr>
                      <w:p>
                        <w:pPr>
                          <w:pStyle w:val="TableParagraph"/>
                          <w:spacing w:before="8"/>
                          <w:ind w:left="108" w:right="0"/>
                          <w:jc w:val="left"/>
                          <w:rPr>
                            <w:rFonts w:ascii="Arial" w:hAnsi="Arial"/>
                            <w:sz w:val="14"/>
                          </w:rPr>
                        </w:pPr>
                        <w:r>
                          <w:rPr>
                            <w:rFonts w:ascii="Arial" w:hAnsi="Arial"/>
                            <w:position w:val="3"/>
                            <w:sz w:val="22"/>
                          </w:rPr>
                          <w:t>Q</w:t>
                        </w:r>
                        <w:r>
                          <w:rPr>
                            <w:rFonts w:ascii="Arial" w:hAnsi="Arial"/>
                            <w:sz w:val="14"/>
                          </w:rPr>
                          <w:t>A….E</w:t>
                        </w:r>
                      </w:p>
                    </w:tc>
                    <w:tc>
                      <w:tcPr>
                        <w:tcW w:w="5557" w:type="dxa"/>
                        <w:tcBorders>
                          <w:top w:val="nil"/>
                          <w:left w:val="nil"/>
                          <w:bottom w:val="nil"/>
                          <w:right w:val="nil"/>
                        </w:tcBorders>
                      </w:tcPr>
                      <w:p>
                        <w:pPr>
                          <w:pStyle w:val="TableParagraph"/>
                          <w:spacing w:before="6"/>
                          <w:ind w:left="154" w:right="0"/>
                          <w:jc w:val="left"/>
                          <w:rPr>
                            <w:rFonts w:ascii="Arial" w:hAnsi="Arial"/>
                            <w:sz w:val="22"/>
                          </w:rPr>
                        </w:pPr>
                        <w:r>
                          <w:rPr>
                            <w:rFonts w:ascii="Arial" w:hAnsi="Arial"/>
                            <w:sz w:val="22"/>
                          </w:rPr>
                          <w:t>Caudal en los puntos de muestreo A – E</w:t>
                        </w:r>
                      </w:p>
                    </w:tc>
                    <w:tc>
                      <w:tcPr>
                        <w:tcW w:w="1817" w:type="dxa"/>
                        <w:tcBorders>
                          <w:top w:val="nil"/>
                          <w:left w:val="nil"/>
                          <w:bottom w:val="nil"/>
                          <w:right w:val="nil"/>
                        </w:tcBorders>
                      </w:tcPr>
                      <w:p>
                        <w:pPr>
                          <w:pStyle w:val="TableParagraph"/>
                          <w:spacing w:line="260" w:lineRule="exact" w:before="0"/>
                          <w:ind w:left="404" w:right="148"/>
                          <w:jc w:val="center"/>
                          <w:rPr>
                            <w:rFonts w:ascii="Arial"/>
                            <w:sz w:val="22"/>
                          </w:rPr>
                        </w:pPr>
                        <w:r>
                          <w:rPr>
                            <w:rFonts w:ascii="Arial"/>
                            <w:sz w:val="22"/>
                          </w:rPr>
                          <w:t>m</w:t>
                        </w:r>
                        <w:r>
                          <w:rPr>
                            <w:rFonts w:ascii="Arial"/>
                            <w:position w:val="10"/>
                            <w:sz w:val="14"/>
                          </w:rPr>
                          <w:t>3</w:t>
                        </w:r>
                        <w:r>
                          <w:rPr>
                            <w:rFonts w:ascii="Arial"/>
                            <w:sz w:val="22"/>
                          </w:rPr>
                          <w:t>/d</w:t>
                        </w:r>
                      </w:p>
                    </w:tc>
                  </w:tr>
                  <w:tr>
                    <w:trPr>
                      <w:trHeight w:val="271" w:hRule="exact"/>
                    </w:trPr>
                    <w:tc>
                      <w:tcPr>
                        <w:tcW w:w="1806" w:type="dxa"/>
                        <w:tcBorders>
                          <w:top w:val="nil"/>
                          <w:left w:val="nil"/>
                          <w:bottom w:val="nil"/>
                          <w:right w:val="nil"/>
                        </w:tcBorders>
                      </w:tcPr>
                      <w:p>
                        <w:pPr>
                          <w:pStyle w:val="TableParagraph"/>
                          <w:spacing w:line="265" w:lineRule="exact" w:before="0"/>
                          <w:ind w:left="108" w:right="0"/>
                          <w:jc w:val="left"/>
                          <w:rPr>
                            <w:rFonts w:ascii="Arial"/>
                            <w:i/>
                            <w:sz w:val="14"/>
                          </w:rPr>
                        </w:pPr>
                        <w:r>
                          <w:rPr>
                            <w:rFonts w:ascii="Arial"/>
                            <w:i/>
                            <w:position w:val="3"/>
                            <w:sz w:val="22"/>
                          </w:rPr>
                          <w:t>Q</w:t>
                        </w:r>
                        <w:r>
                          <w:rPr>
                            <w:rFonts w:ascii="Arial"/>
                            <w:i/>
                            <w:sz w:val="14"/>
                          </w:rPr>
                          <w:t>DBO5E</w:t>
                        </w:r>
                      </w:p>
                    </w:tc>
                    <w:tc>
                      <w:tcPr>
                        <w:tcW w:w="5557" w:type="dxa"/>
                        <w:tcBorders>
                          <w:top w:val="nil"/>
                          <w:left w:val="nil"/>
                          <w:bottom w:val="nil"/>
                          <w:right w:val="nil"/>
                        </w:tcBorders>
                      </w:tcPr>
                      <w:p>
                        <w:pPr>
                          <w:pStyle w:val="TableParagraph"/>
                          <w:spacing w:line="264" w:lineRule="exact" w:before="0"/>
                          <w:ind w:left="145" w:right="0"/>
                          <w:jc w:val="left"/>
                          <w:rPr>
                            <w:rFonts w:ascii="Arial"/>
                            <w:sz w:val="22"/>
                          </w:rPr>
                        </w:pPr>
                        <w:r>
                          <w:rPr>
                            <w:rFonts w:ascii="Arial"/>
                            <w:sz w:val="22"/>
                          </w:rPr>
                          <w:t>Carga de DBO</w:t>
                        </w:r>
                        <w:r>
                          <w:rPr>
                            <w:rFonts w:ascii="Arial"/>
                            <w:position w:val="-2"/>
                            <w:sz w:val="14"/>
                          </w:rPr>
                          <w:t>5 </w:t>
                        </w:r>
                        <w:r>
                          <w:rPr>
                            <w:rFonts w:ascii="Arial"/>
                            <w:sz w:val="22"/>
                          </w:rPr>
                          <w:t>(empaque)</w:t>
                        </w:r>
                      </w:p>
                    </w:tc>
                    <w:tc>
                      <w:tcPr>
                        <w:tcW w:w="1817" w:type="dxa"/>
                        <w:tcBorders>
                          <w:top w:val="nil"/>
                          <w:left w:val="nil"/>
                          <w:bottom w:val="nil"/>
                          <w:right w:val="nil"/>
                        </w:tcBorders>
                      </w:tcPr>
                      <w:p>
                        <w:pPr>
                          <w:pStyle w:val="TableParagraph"/>
                          <w:spacing w:line="264" w:lineRule="exact" w:before="0"/>
                          <w:ind w:left="405" w:right="146"/>
                          <w:jc w:val="center"/>
                          <w:rPr>
                            <w:rFonts w:ascii="Arial"/>
                            <w:sz w:val="22"/>
                          </w:rPr>
                        </w:pPr>
                        <w:r>
                          <w:rPr>
                            <w:rFonts w:ascii="Arial"/>
                            <w:sz w:val="22"/>
                          </w:rPr>
                          <w:t>g DBO</w:t>
                        </w:r>
                        <w:r>
                          <w:rPr>
                            <w:rFonts w:ascii="Arial"/>
                            <w:position w:val="-2"/>
                            <w:sz w:val="14"/>
                          </w:rPr>
                          <w:t>5</w:t>
                        </w:r>
                        <w:r>
                          <w:rPr>
                            <w:rFonts w:ascii="Arial"/>
                            <w:sz w:val="22"/>
                          </w:rPr>
                          <w:t>/m</w:t>
                        </w:r>
                        <w:r>
                          <w:rPr>
                            <w:rFonts w:ascii="Arial"/>
                            <w:position w:val="10"/>
                            <w:sz w:val="14"/>
                          </w:rPr>
                          <w:t>2 </w:t>
                        </w:r>
                        <w:r>
                          <w:rPr>
                            <w:rFonts w:ascii="Arial"/>
                            <w:sz w:val="22"/>
                          </w:rPr>
                          <w:t>d</w:t>
                        </w:r>
                      </w:p>
                    </w:tc>
                  </w:tr>
                  <w:tr>
                    <w:trPr>
                      <w:trHeight w:val="236" w:hRule="exact"/>
                    </w:trPr>
                    <w:tc>
                      <w:tcPr>
                        <w:tcW w:w="1806" w:type="dxa"/>
                        <w:tcBorders>
                          <w:top w:val="nil"/>
                          <w:left w:val="nil"/>
                          <w:bottom w:val="nil"/>
                          <w:right w:val="nil"/>
                        </w:tcBorders>
                      </w:tcPr>
                      <w:p>
                        <w:pPr>
                          <w:pStyle w:val="TableParagraph"/>
                          <w:spacing w:line="249" w:lineRule="exact" w:before="0"/>
                          <w:ind w:left="108" w:right="0"/>
                          <w:jc w:val="left"/>
                          <w:rPr>
                            <w:rFonts w:ascii="Arial"/>
                            <w:sz w:val="14"/>
                          </w:rPr>
                        </w:pPr>
                        <w:r>
                          <w:rPr>
                            <w:rFonts w:ascii="Arial"/>
                            <w:position w:val="3"/>
                            <w:sz w:val="22"/>
                          </w:rPr>
                          <w:t>Q</w:t>
                        </w:r>
                        <w:r>
                          <w:rPr>
                            <w:rFonts w:ascii="Arial"/>
                            <w:sz w:val="14"/>
                          </w:rPr>
                          <w:t>DI</w:t>
                        </w:r>
                      </w:p>
                    </w:tc>
                    <w:tc>
                      <w:tcPr>
                        <w:tcW w:w="5557" w:type="dxa"/>
                        <w:tcBorders>
                          <w:top w:val="nil"/>
                          <w:left w:val="nil"/>
                          <w:bottom w:val="nil"/>
                          <w:right w:val="nil"/>
                        </w:tcBorders>
                      </w:tcPr>
                      <w:p>
                        <w:pPr>
                          <w:pStyle w:val="TableParagraph"/>
                          <w:spacing w:line="234" w:lineRule="exact" w:before="0"/>
                          <w:ind w:left="154" w:right="0"/>
                          <w:jc w:val="left"/>
                          <w:rPr>
                            <w:rFonts w:ascii="Arial" w:hAnsi="Arial"/>
                            <w:sz w:val="22"/>
                          </w:rPr>
                        </w:pPr>
                        <w:r>
                          <w:rPr>
                            <w:rFonts w:ascii="Arial" w:hAnsi="Arial"/>
                            <w:sz w:val="22"/>
                          </w:rPr>
                          <w:t>Caudal de diseño</w:t>
                        </w:r>
                      </w:p>
                    </w:tc>
                    <w:tc>
                      <w:tcPr>
                        <w:tcW w:w="1817" w:type="dxa"/>
                        <w:tcBorders>
                          <w:top w:val="nil"/>
                          <w:left w:val="nil"/>
                          <w:bottom w:val="nil"/>
                          <w:right w:val="nil"/>
                        </w:tcBorders>
                      </w:tcPr>
                      <w:p>
                        <w:pPr>
                          <w:pStyle w:val="TableParagraph"/>
                          <w:spacing w:line="234" w:lineRule="exact" w:before="0"/>
                          <w:ind w:left="405" w:right="147"/>
                          <w:jc w:val="center"/>
                          <w:rPr>
                            <w:rFonts w:ascii="Arial"/>
                            <w:sz w:val="22"/>
                          </w:rPr>
                        </w:pPr>
                        <w:r>
                          <w:rPr>
                            <w:rFonts w:ascii="Arial"/>
                            <w:sz w:val="22"/>
                          </w:rPr>
                          <w:t>L/s</w:t>
                        </w:r>
                      </w:p>
                    </w:tc>
                  </w:tr>
                  <w:tr>
                    <w:trPr>
                      <w:trHeight w:val="259" w:hRule="exact"/>
                    </w:trPr>
                    <w:tc>
                      <w:tcPr>
                        <w:tcW w:w="1806" w:type="dxa"/>
                        <w:tcBorders>
                          <w:top w:val="nil"/>
                          <w:left w:val="nil"/>
                          <w:right w:val="nil"/>
                        </w:tcBorders>
                      </w:tcPr>
                      <w:p>
                        <w:pPr>
                          <w:pStyle w:val="TableParagraph"/>
                          <w:spacing w:line="265" w:lineRule="exact" w:before="0"/>
                          <w:ind w:left="108" w:right="0"/>
                          <w:jc w:val="left"/>
                          <w:rPr>
                            <w:rFonts w:ascii="Arial"/>
                            <w:i/>
                            <w:sz w:val="14"/>
                          </w:rPr>
                        </w:pPr>
                        <w:r>
                          <w:rPr>
                            <w:rFonts w:ascii="Arial"/>
                            <w:i/>
                            <w:position w:val="3"/>
                            <w:sz w:val="22"/>
                          </w:rPr>
                          <w:t>Q</w:t>
                        </w:r>
                        <w:r>
                          <w:rPr>
                            <w:rFonts w:ascii="Arial"/>
                            <w:i/>
                            <w:sz w:val="14"/>
                          </w:rPr>
                          <w:t>DQOE</w:t>
                        </w:r>
                      </w:p>
                    </w:tc>
                    <w:tc>
                      <w:tcPr>
                        <w:tcW w:w="5557" w:type="dxa"/>
                        <w:tcBorders>
                          <w:top w:val="nil"/>
                          <w:left w:val="nil"/>
                          <w:right w:val="nil"/>
                        </w:tcBorders>
                      </w:tcPr>
                      <w:p>
                        <w:pPr>
                          <w:pStyle w:val="TableParagraph"/>
                          <w:spacing w:line="251" w:lineRule="exact" w:before="0"/>
                          <w:ind w:left="145" w:right="0"/>
                          <w:jc w:val="left"/>
                          <w:rPr>
                            <w:rFonts w:ascii="Arial"/>
                            <w:sz w:val="22"/>
                          </w:rPr>
                        </w:pPr>
                        <w:r>
                          <w:rPr>
                            <w:rFonts w:ascii="Arial"/>
                            <w:sz w:val="22"/>
                          </w:rPr>
                          <w:t>Carga de DQO (empaque)</w:t>
                        </w:r>
                      </w:p>
                    </w:tc>
                    <w:tc>
                      <w:tcPr>
                        <w:tcW w:w="1817" w:type="dxa"/>
                        <w:tcBorders>
                          <w:top w:val="nil"/>
                          <w:left w:val="nil"/>
                          <w:right w:val="nil"/>
                        </w:tcBorders>
                      </w:tcPr>
                      <w:p>
                        <w:pPr>
                          <w:pStyle w:val="TableParagraph"/>
                          <w:spacing w:line="251" w:lineRule="exact" w:before="0"/>
                          <w:ind w:left="405" w:right="146"/>
                          <w:jc w:val="center"/>
                          <w:rPr>
                            <w:rFonts w:ascii="Arial"/>
                            <w:sz w:val="22"/>
                          </w:rPr>
                        </w:pPr>
                        <w:r>
                          <w:rPr>
                            <w:rFonts w:ascii="Arial"/>
                            <w:sz w:val="22"/>
                          </w:rPr>
                          <w:t>g DQO/m</w:t>
                        </w:r>
                        <w:r>
                          <w:rPr>
                            <w:rFonts w:ascii="Arial"/>
                            <w:position w:val="10"/>
                            <w:sz w:val="14"/>
                          </w:rPr>
                          <w:t>2 </w:t>
                        </w:r>
                        <w:r>
                          <w:rPr>
                            <w:rFonts w:ascii="Arial"/>
                            <w:sz w:val="22"/>
                          </w:rPr>
                          <w:t>d</w:t>
                        </w:r>
                      </w:p>
                    </w:tc>
                  </w:tr>
                </w:tbl>
                <w:p>
                  <w:pPr>
                    <w:pStyle w:val="BodyText"/>
                  </w:pP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0"/>
        </w:rPr>
      </w:pPr>
    </w:p>
    <w:p>
      <w:pPr>
        <w:pStyle w:val="BodyText"/>
        <w:ind w:left="2634" w:right="2707"/>
      </w:pPr>
      <w:r>
        <w:rPr/>
        <w:t>Agricultura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before="82"/>
        <w:ind w:left="1345" w:right="2707" w:firstLine="0"/>
        <w:jc w:val="left"/>
        <w:rPr>
          <w:i/>
          <w:sz w:val="14"/>
        </w:rPr>
      </w:pPr>
      <w:r>
        <w:rPr>
          <w:i/>
          <w:sz w:val="14"/>
        </w:rPr>
        <w:t>2 gen</w:t>
      </w:r>
    </w:p>
    <w:p>
      <w:pPr>
        <w:tabs>
          <w:tab w:pos="9462" w:val="right" w:leader="none"/>
        </w:tabs>
        <w:spacing w:before="91"/>
        <w:ind w:left="1345" w:right="0" w:firstLine="0"/>
        <w:jc w:val="left"/>
        <w:rPr>
          <w:sz w:val="14"/>
        </w:rPr>
      </w:pPr>
      <w:r>
        <w:rPr>
          <w:i/>
          <w:sz w:val="14"/>
        </w:rPr>
        <w:t>2</w:t>
      </w:r>
      <w:r>
        <w:rPr>
          <w:i/>
          <w:spacing w:val="6"/>
          <w:sz w:val="14"/>
        </w:rPr>
        <w:t> </w:t>
      </w:r>
      <w:r>
        <w:rPr>
          <w:i/>
          <w:sz w:val="14"/>
        </w:rPr>
        <w:t>in</w:t>
      </w:r>
      <w:r>
        <w:rPr>
          <w:rFonts w:ascii="Times New Roman"/>
          <w:sz w:val="14"/>
        </w:rPr>
        <w:tab/>
      </w:r>
      <w:r>
        <w:rPr>
          <w:sz w:val="14"/>
        </w:rPr>
        <w:t>2</w:t>
      </w:r>
    </w:p>
    <w:p>
      <w:pPr>
        <w:pStyle w:val="ListParagraph"/>
        <w:numPr>
          <w:ilvl w:val="0"/>
          <w:numId w:val="6"/>
        </w:numPr>
        <w:tabs>
          <w:tab w:pos="1468" w:val="left" w:leader="none"/>
          <w:tab w:pos="9462" w:val="right" w:leader="none"/>
        </w:tabs>
        <w:spacing w:line="240" w:lineRule="auto" w:before="93" w:after="0"/>
        <w:ind w:left="1468" w:right="0" w:hanging="123"/>
        <w:jc w:val="left"/>
        <w:rPr>
          <w:sz w:val="14"/>
        </w:rPr>
      </w:pPr>
      <w:r>
        <w:rPr>
          <w:i/>
          <w:sz w:val="14"/>
        </w:rPr>
        <w:t>out</w:t>
      </w:r>
      <w:r>
        <w:rPr>
          <w:rFonts w:ascii="Times New Roman"/>
          <w:sz w:val="14"/>
        </w:rPr>
        <w:tab/>
      </w:r>
      <w:r>
        <w:rPr>
          <w:sz w:val="14"/>
        </w:rPr>
        <w:t>2</w:t>
      </w:r>
    </w:p>
    <w:p>
      <w:pPr>
        <w:pStyle w:val="ListParagraph"/>
        <w:numPr>
          <w:ilvl w:val="0"/>
          <w:numId w:val="6"/>
        </w:numPr>
        <w:tabs>
          <w:tab w:pos="1468" w:val="left" w:leader="none"/>
        </w:tabs>
        <w:spacing w:line="240" w:lineRule="auto" w:before="91" w:after="0"/>
        <w:ind w:left="1468" w:right="0" w:hanging="123"/>
        <w:jc w:val="left"/>
        <w:rPr>
          <w:i/>
          <w:sz w:val="14"/>
        </w:rPr>
      </w:pPr>
      <w:r>
        <w:rPr>
          <w:i/>
          <w:sz w:val="14"/>
        </w:rPr>
        <w:t>gen</w:t>
      </w:r>
    </w:p>
    <w:p>
      <w:pPr>
        <w:tabs>
          <w:tab w:pos="9462" w:val="right" w:leader="none"/>
        </w:tabs>
        <w:spacing w:before="91"/>
        <w:ind w:left="1345" w:right="0" w:firstLine="0"/>
        <w:jc w:val="left"/>
        <w:rPr>
          <w:sz w:val="14"/>
        </w:rPr>
      </w:pPr>
      <w:r>
        <w:rPr>
          <w:i/>
          <w:sz w:val="14"/>
        </w:rPr>
        <w:t>3</w:t>
      </w:r>
      <w:r>
        <w:rPr>
          <w:i/>
          <w:spacing w:val="6"/>
          <w:sz w:val="14"/>
        </w:rPr>
        <w:t> </w:t>
      </w:r>
      <w:r>
        <w:rPr>
          <w:i/>
          <w:sz w:val="14"/>
        </w:rPr>
        <w:t>in</w:t>
      </w:r>
      <w:r>
        <w:rPr>
          <w:rFonts w:ascii="Times New Roman"/>
          <w:sz w:val="14"/>
        </w:rPr>
        <w:tab/>
      </w:r>
      <w:r>
        <w:rPr>
          <w:sz w:val="14"/>
        </w:rPr>
        <w:t>3</w:t>
      </w:r>
    </w:p>
    <w:p>
      <w:pPr>
        <w:tabs>
          <w:tab w:pos="9462" w:val="right" w:leader="none"/>
        </w:tabs>
        <w:spacing w:before="93"/>
        <w:ind w:left="1345" w:right="0" w:firstLine="0"/>
        <w:jc w:val="left"/>
        <w:rPr>
          <w:sz w:val="14"/>
        </w:rPr>
      </w:pPr>
      <w:r>
        <w:rPr>
          <w:i/>
          <w:sz w:val="14"/>
        </w:rPr>
        <w:t>3</w:t>
      </w:r>
      <w:r>
        <w:rPr>
          <w:i/>
          <w:spacing w:val="5"/>
          <w:sz w:val="14"/>
        </w:rPr>
        <w:t> </w:t>
      </w:r>
      <w:r>
        <w:rPr>
          <w:i/>
          <w:sz w:val="14"/>
        </w:rPr>
        <w:t>out</w:t>
      </w:r>
      <w:r>
        <w:rPr>
          <w:rFonts w:ascii="Times New Roman"/>
          <w:sz w:val="14"/>
        </w:rPr>
        <w:tab/>
      </w:r>
      <w:r>
        <w:rPr>
          <w:sz w:val="14"/>
        </w:rPr>
        <w:t>3</w:t>
      </w:r>
    </w:p>
    <w:p>
      <w:pPr>
        <w:spacing w:after="0"/>
        <w:jc w:val="left"/>
        <w:rPr>
          <w:sz w:val="14"/>
        </w:rPr>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p>
    <w:p>
      <w:pPr>
        <w:pStyle w:val="BodyText"/>
        <w:ind w:right="984"/>
        <w:jc w:val="right"/>
      </w:pPr>
      <w:r>
        <w:rPr/>
        <w:pict>
          <v:line style="position:absolute;mso-position-horizontal-relative:page;mso-position-vertical-relative:paragraph;z-index:1336" from="79.680pt,-313.802307pt" to="79.680pt,272.63768pt" stroked="true" strokeweight=".48pt" strokecolor="#000000">
            <w10:wrap type="none"/>
          </v:line>
        </w:pict>
      </w:r>
      <w:r>
        <w:rPr/>
        <w:pict>
          <v:line style="position:absolute;mso-position-horizontal-relative:page;mso-position-vertical-relative:paragraph;z-index:1360" from="538.679993pt,-313.802307pt" to="538.679993pt,272.63768pt" stroked="true" strokeweight=".48pt" strokecolor="#000000">
            <w10:wrap type="none"/>
          </v:line>
        </w:pict>
      </w:r>
      <w:r>
        <w:rPr>
          <w:w w:val="100"/>
        </w:rPr>
        <w:t>d</w:t>
      </w:r>
    </w:p>
    <w:p>
      <w:pPr>
        <w:pStyle w:val="BodyText"/>
        <w:spacing w:before="4"/>
        <w:rPr>
          <w:sz w:val="20"/>
        </w:rPr>
      </w:pPr>
    </w:p>
    <w:p>
      <w:pPr>
        <w:spacing w:before="0"/>
        <w:ind w:left="0" w:right="941" w:firstLine="0"/>
        <w:jc w:val="right"/>
        <w:rPr>
          <w:sz w:val="13"/>
        </w:rPr>
      </w:pPr>
      <w:r>
        <w:rPr>
          <w:w w:val="99"/>
          <w:sz w:val="13"/>
        </w:rPr>
        <w:t>3</w:t>
      </w:r>
    </w:p>
    <w:p>
      <w:pPr>
        <w:pStyle w:val="BodyText"/>
        <w:spacing w:before="8"/>
        <w:rPr>
          <w:sz w:val="23"/>
        </w:rPr>
      </w:pPr>
    </w:p>
    <w:p>
      <w:pPr>
        <w:spacing w:before="82"/>
        <w:ind w:left="0" w:right="875" w:firstLine="0"/>
        <w:jc w:val="right"/>
        <w:rPr>
          <w:sz w:val="14"/>
        </w:rPr>
      </w:pPr>
      <w:r>
        <w:rPr>
          <w:w w:val="99"/>
          <w:sz w:val="14"/>
        </w:rPr>
        <w:t>2</w:t>
      </w:r>
    </w:p>
    <w:p>
      <w:pPr>
        <w:spacing w:before="93"/>
        <w:ind w:left="0" w:right="875" w:firstLine="0"/>
        <w:jc w:val="right"/>
        <w:rPr>
          <w:sz w:val="14"/>
        </w:rPr>
      </w:pPr>
      <w:r>
        <w:rPr>
          <w:w w:val="99"/>
          <w:sz w:val="14"/>
        </w:rPr>
        <w:t>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p>
    <w:p>
      <w:pPr>
        <w:spacing w:after="0"/>
        <w:rPr>
          <w:sz w:val="27"/>
        </w:rPr>
        <w:sectPr>
          <w:pgSz w:w="12240" w:h="15840"/>
          <w:pgMar w:header="725" w:footer="1084" w:top="1340" w:bottom="1280" w:left="920" w:right="1200"/>
        </w:sectPr>
      </w:pPr>
    </w:p>
    <w:p>
      <w:pPr>
        <w:spacing w:before="82"/>
        <w:ind w:left="0" w:right="0" w:firstLine="0"/>
        <w:jc w:val="right"/>
        <w:rPr>
          <w:i/>
          <w:sz w:val="14"/>
        </w:rPr>
      </w:pPr>
      <w:r>
        <w:rPr>
          <w:i/>
          <w:w w:val="95"/>
          <w:sz w:val="14"/>
        </w:rPr>
        <w:t>het</w:t>
      </w:r>
    </w:p>
    <w:p>
      <w:pPr>
        <w:pStyle w:val="BodyText"/>
        <w:tabs>
          <w:tab w:pos="7388" w:val="right" w:leader="none"/>
        </w:tabs>
        <w:spacing w:before="78"/>
        <w:ind w:left="974"/>
        <w:rPr>
          <w:sz w:val="14"/>
        </w:rPr>
      </w:pPr>
      <w:r>
        <w:rPr/>
        <w:br w:type="column"/>
      </w:r>
      <w:r>
        <w:rPr/>
        <w:t>heterótrofas</w:t>
      </w:r>
      <w:r>
        <w:rPr>
          <w:rFonts w:ascii="Times New Roman" w:hAnsi="Times New Roman"/>
          <w:position w:val="10"/>
          <w:sz w:val="14"/>
        </w:rPr>
        <w:tab/>
      </w:r>
      <w:r>
        <w:rPr>
          <w:position w:val="10"/>
          <w:sz w:val="14"/>
        </w:rPr>
        <w:t>2</w:t>
      </w:r>
    </w:p>
    <w:p>
      <w:pPr>
        <w:spacing w:after="0"/>
        <w:rPr>
          <w:sz w:val="14"/>
        </w:rPr>
        <w:sectPr>
          <w:type w:val="continuous"/>
          <w:pgSz w:w="12240" w:h="15840"/>
          <w:pgMar w:top="0" w:bottom="0" w:left="920" w:right="1200"/>
          <w:cols w:num="2" w:equalWidth="0">
            <w:col w:w="1610" w:space="40"/>
            <w:col w:w="8470"/>
          </w:cols>
        </w:sectPr>
      </w:pPr>
    </w:p>
    <w:p>
      <w:pPr>
        <w:spacing w:before="232"/>
        <w:ind w:left="0" w:right="0" w:firstLine="0"/>
        <w:jc w:val="right"/>
        <w:rPr>
          <w:i/>
          <w:sz w:val="14"/>
        </w:rPr>
      </w:pPr>
      <w:r>
        <w:rPr/>
        <w:pict>
          <v:shape style="position:absolute;margin-left:79.680pt;margin-top:77.040016pt;width:459pt;height:586.450pt;mso-position-horizontal-relative:page;mso-position-vertical-relative:page;z-index:13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6"/>
                    <w:gridCol w:w="5771"/>
                    <w:gridCol w:w="1603"/>
                  </w:tblGrid>
                  <w:tr>
                    <w:trPr>
                      <w:trHeight w:val="298" w:hRule="exact"/>
                    </w:trPr>
                    <w:tc>
                      <w:tcPr>
                        <w:tcW w:w="1806" w:type="dxa"/>
                        <w:tcBorders>
                          <w:left w:val="nil"/>
                          <w:right w:val="nil"/>
                        </w:tcBorders>
                      </w:tcPr>
                      <w:p>
                        <w:pPr>
                          <w:pStyle w:val="TableParagraph"/>
                          <w:spacing w:line="248" w:lineRule="exact" w:before="0"/>
                          <w:ind w:left="192" w:right="0"/>
                          <w:jc w:val="left"/>
                          <w:rPr>
                            <w:rFonts w:ascii="Arial"/>
                            <w:b/>
                            <w:sz w:val="22"/>
                          </w:rPr>
                        </w:pPr>
                        <w:r>
                          <w:rPr>
                            <w:rFonts w:ascii="Arial"/>
                            <w:b/>
                            <w:sz w:val="22"/>
                          </w:rPr>
                          <w:t>Nomenclatura</w:t>
                        </w:r>
                      </w:p>
                    </w:tc>
                    <w:tc>
                      <w:tcPr>
                        <w:tcW w:w="5771" w:type="dxa"/>
                        <w:tcBorders>
                          <w:left w:val="nil"/>
                          <w:right w:val="nil"/>
                        </w:tcBorders>
                      </w:tcPr>
                      <w:p>
                        <w:pPr>
                          <w:pStyle w:val="TableParagraph"/>
                          <w:spacing w:line="248" w:lineRule="exact" w:before="0"/>
                          <w:ind w:left="2281" w:right="2190"/>
                          <w:jc w:val="center"/>
                          <w:rPr>
                            <w:rFonts w:ascii="Arial" w:hAnsi="Arial"/>
                            <w:b/>
                            <w:sz w:val="22"/>
                          </w:rPr>
                        </w:pPr>
                        <w:r>
                          <w:rPr>
                            <w:rFonts w:ascii="Arial" w:hAnsi="Arial"/>
                            <w:b/>
                            <w:sz w:val="22"/>
                          </w:rPr>
                          <w:t>Descripción</w:t>
                        </w:r>
                      </w:p>
                    </w:tc>
                    <w:tc>
                      <w:tcPr>
                        <w:tcW w:w="1603" w:type="dxa"/>
                        <w:tcBorders>
                          <w:left w:val="nil"/>
                          <w:right w:val="nil"/>
                        </w:tcBorders>
                      </w:tcPr>
                      <w:p>
                        <w:pPr>
                          <w:pStyle w:val="TableParagraph"/>
                          <w:spacing w:line="248" w:lineRule="exact" w:before="0"/>
                          <w:ind w:left="151" w:right="111"/>
                          <w:jc w:val="center"/>
                          <w:rPr>
                            <w:rFonts w:ascii="Arial"/>
                            <w:b/>
                            <w:sz w:val="22"/>
                          </w:rPr>
                        </w:pPr>
                        <w:r>
                          <w:rPr>
                            <w:rFonts w:ascii="Arial"/>
                            <w:b/>
                            <w:sz w:val="22"/>
                          </w:rPr>
                          <w:t>Unidades</w:t>
                        </w:r>
                      </w:p>
                    </w:tc>
                  </w:tr>
                  <w:tr>
                    <w:trPr>
                      <w:trHeight w:val="262" w:hRule="exact"/>
                    </w:trPr>
                    <w:tc>
                      <w:tcPr>
                        <w:tcW w:w="1806" w:type="dxa"/>
                        <w:tcBorders>
                          <w:left w:val="nil"/>
                          <w:bottom w:val="nil"/>
                          <w:right w:val="nil"/>
                        </w:tcBorders>
                      </w:tcPr>
                      <w:p>
                        <w:pPr>
                          <w:pStyle w:val="TableParagraph"/>
                          <w:spacing w:before="1"/>
                          <w:ind w:left="108" w:right="0"/>
                          <w:jc w:val="left"/>
                          <w:rPr>
                            <w:rFonts w:ascii="Arial"/>
                            <w:sz w:val="14"/>
                          </w:rPr>
                        </w:pPr>
                        <w:r>
                          <w:rPr>
                            <w:rFonts w:ascii="Arial"/>
                            <w:position w:val="3"/>
                            <w:sz w:val="22"/>
                          </w:rPr>
                          <w:t>Q</w:t>
                        </w:r>
                        <w:r>
                          <w:rPr>
                            <w:rFonts w:ascii="Arial"/>
                            <w:sz w:val="14"/>
                          </w:rPr>
                          <w:t>ENT</w:t>
                        </w:r>
                      </w:p>
                    </w:tc>
                    <w:tc>
                      <w:tcPr>
                        <w:tcW w:w="5771" w:type="dxa"/>
                        <w:tcBorders>
                          <w:left w:val="nil"/>
                          <w:bottom w:val="nil"/>
                          <w:right w:val="nil"/>
                        </w:tcBorders>
                      </w:tcPr>
                      <w:p>
                        <w:pPr>
                          <w:pStyle w:val="TableParagraph"/>
                          <w:spacing w:before="0"/>
                          <w:ind w:left="154" w:right="0"/>
                          <w:jc w:val="left"/>
                          <w:rPr>
                            <w:rFonts w:ascii="Arial"/>
                            <w:sz w:val="22"/>
                          </w:rPr>
                        </w:pPr>
                        <w:r>
                          <w:rPr>
                            <w:rFonts w:ascii="Arial"/>
                            <w:sz w:val="22"/>
                          </w:rPr>
                          <w:t>Caudal de entrada al SRA</w:t>
                        </w:r>
                      </w:p>
                    </w:tc>
                    <w:tc>
                      <w:tcPr>
                        <w:tcW w:w="1603" w:type="dxa"/>
                        <w:tcBorders>
                          <w:left w:val="nil"/>
                          <w:bottom w:val="nil"/>
                          <w:right w:val="nil"/>
                        </w:tcBorders>
                      </w:tcPr>
                      <w:p>
                        <w:pPr>
                          <w:pStyle w:val="TableParagraph"/>
                          <w:spacing w:line="253" w:lineRule="exact" w:before="0"/>
                          <w:ind w:left="153" w:right="110"/>
                          <w:jc w:val="center"/>
                          <w:rPr>
                            <w:rFonts w:ascii="Arial"/>
                            <w:sz w:val="22"/>
                          </w:rPr>
                        </w:pPr>
                        <w:r>
                          <w:rPr>
                            <w:rFonts w:ascii="Arial"/>
                            <w:sz w:val="22"/>
                          </w:rPr>
                          <w:t>m</w:t>
                        </w:r>
                        <w:r>
                          <w:rPr>
                            <w:rFonts w:ascii="Arial"/>
                            <w:position w:val="10"/>
                            <w:sz w:val="14"/>
                          </w:rPr>
                          <w:t>3</w:t>
                        </w:r>
                        <w:r>
                          <w:rPr>
                            <w:rFonts w:ascii="Arial"/>
                            <w:sz w:val="22"/>
                          </w:rPr>
                          <w:t>/d</w:t>
                        </w:r>
                      </w:p>
                    </w:tc>
                  </w:tr>
                  <w:tr>
                    <w:trPr>
                      <w:trHeight w:val="252" w:hRule="exact"/>
                    </w:trPr>
                    <w:tc>
                      <w:tcPr>
                        <w:tcW w:w="1806" w:type="dxa"/>
                        <w:tcBorders>
                          <w:top w:val="nil"/>
                          <w:left w:val="nil"/>
                          <w:bottom w:val="nil"/>
                          <w:right w:val="nil"/>
                        </w:tcBorders>
                      </w:tcPr>
                      <w:p>
                        <w:pPr>
                          <w:pStyle w:val="TableParagraph"/>
                          <w:spacing w:line="265" w:lineRule="exact" w:before="0"/>
                          <w:ind w:left="108" w:right="0"/>
                          <w:jc w:val="left"/>
                          <w:rPr>
                            <w:rFonts w:ascii="Arial"/>
                            <w:i/>
                            <w:sz w:val="14"/>
                          </w:rPr>
                        </w:pPr>
                        <w:r>
                          <w:rPr>
                            <w:rFonts w:ascii="Arial"/>
                            <w:i/>
                            <w:position w:val="3"/>
                            <w:sz w:val="22"/>
                          </w:rPr>
                          <w:t>Q</w:t>
                        </w:r>
                        <w:r>
                          <w:rPr>
                            <w:rFonts w:ascii="Arial"/>
                            <w:i/>
                            <w:sz w:val="14"/>
                          </w:rPr>
                          <w:t>filter</w:t>
                        </w:r>
                      </w:p>
                    </w:tc>
                    <w:tc>
                      <w:tcPr>
                        <w:tcW w:w="5771" w:type="dxa"/>
                        <w:tcBorders>
                          <w:top w:val="nil"/>
                          <w:left w:val="nil"/>
                          <w:bottom w:val="nil"/>
                          <w:right w:val="nil"/>
                        </w:tcBorders>
                      </w:tcPr>
                      <w:p>
                        <w:pPr>
                          <w:pStyle w:val="TableParagraph"/>
                          <w:spacing w:line="251" w:lineRule="exact" w:before="0"/>
                          <w:ind w:left="145" w:right="0"/>
                          <w:jc w:val="left"/>
                          <w:rPr>
                            <w:rFonts w:ascii="Arial"/>
                            <w:sz w:val="22"/>
                          </w:rPr>
                        </w:pPr>
                        <w:r>
                          <w:rPr>
                            <w:rFonts w:ascii="Arial"/>
                            <w:sz w:val="22"/>
                          </w:rPr>
                          <w:t>Caudal del biofiltro</w:t>
                        </w:r>
                      </w:p>
                    </w:tc>
                    <w:tc>
                      <w:tcPr>
                        <w:tcW w:w="1603" w:type="dxa"/>
                        <w:tcBorders>
                          <w:top w:val="nil"/>
                          <w:left w:val="nil"/>
                          <w:bottom w:val="nil"/>
                          <w:right w:val="nil"/>
                        </w:tcBorders>
                      </w:tcPr>
                      <w:p>
                        <w:pPr>
                          <w:pStyle w:val="TableParagraph"/>
                          <w:spacing w:line="251" w:lineRule="exact" w:before="0"/>
                          <w:ind w:left="153" w:right="110"/>
                          <w:jc w:val="center"/>
                          <w:rPr>
                            <w:rFonts w:ascii="Arial"/>
                            <w:sz w:val="22"/>
                          </w:rPr>
                        </w:pPr>
                        <w:r>
                          <w:rPr>
                            <w:rFonts w:ascii="Arial"/>
                            <w:sz w:val="22"/>
                          </w:rPr>
                          <w:t>m</w:t>
                        </w:r>
                        <w:r>
                          <w:rPr>
                            <w:rFonts w:ascii="Arial"/>
                            <w:position w:val="10"/>
                            <w:sz w:val="14"/>
                          </w:rPr>
                          <w:t>3</w:t>
                        </w:r>
                        <w:r>
                          <w:rPr>
                            <w:rFonts w:ascii="Arial"/>
                            <w:sz w:val="22"/>
                          </w:rPr>
                          <w:t>/d</w:t>
                        </w:r>
                      </w:p>
                    </w:tc>
                  </w:tr>
                  <w:tr>
                    <w:trPr>
                      <w:trHeight w:val="253" w:hRule="exact"/>
                    </w:trPr>
                    <w:tc>
                      <w:tcPr>
                        <w:tcW w:w="1806" w:type="dxa"/>
                        <w:tcBorders>
                          <w:top w:val="nil"/>
                          <w:left w:val="nil"/>
                          <w:bottom w:val="nil"/>
                          <w:right w:val="nil"/>
                        </w:tcBorders>
                      </w:tcPr>
                      <w:p>
                        <w:pPr>
                          <w:pStyle w:val="TableParagraph"/>
                          <w:spacing w:line="265" w:lineRule="exact" w:before="0"/>
                          <w:ind w:left="108" w:right="0"/>
                          <w:jc w:val="left"/>
                          <w:rPr>
                            <w:rFonts w:ascii="Arial"/>
                            <w:i/>
                            <w:sz w:val="14"/>
                          </w:rPr>
                        </w:pPr>
                        <w:r>
                          <w:rPr>
                            <w:rFonts w:ascii="Arial"/>
                            <w:i/>
                            <w:position w:val="3"/>
                            <w:sz w:val="22"/>
                          </w:rPr>
                          <w:t>Q</w:t>
                        </w:r>
                        <w:r>
                          <w:rPr>
                            <w:rFonts w:ascii="Arial"/>
                            <w:i/>
                            <w:sz w:val="14"/>
                          </w:rPr>
                          <w:t>mu</w:t>
                        </w:r>
                      </w:p>
                    </w:tc>
                    <w:tc>
                      <w:tcPr>
                        <w:tcW w:w="5771" w:type="dxa"/>
                        <w:tcBorders>
                          <w:top w:val="nil"/>
                          <w:left w:val="nil"/>
                          <w:bottom w:val="nil"/>
                          <w:right w:val="nil"/>
                        </w:tcBorders>
                      </w:tcPr>
                      <w:p>
                        <w:pPr>
                          <w:pStyle w:val="TableParagraph"/>
                          <w:spacing w:line="251" w:lineRule="exact" w:before="0"/>
                          <w:ind w:left="145" w:right="0"/>
                          <w:jc w:val="left"/>
                          <w:rPr>
                            <w:rFonts w:ascii="Arial"/>
                            <w:sz w:val="22"/>
                          </w:rPr>
                        </w:pPr>
                        <w:r>
                          <w:rPr>
                            <w:rFonts w:ascii="Arial"/>
                            <w:sz w:val="22"/>
                          </w:rPr>
                          <w:t>Caudal de agua tratada</w:t>
                        </w:r>
                      </w:p>
                    </w:tc>
                    <w:tc>
                      <w:tcPr>
                        <w:tcW w:w="1603" w:type="dxa"/>
                        <w:tcBorders>
                          <w:top w:val="nil"/>
                          <w:left w:val="nil"/>
                          <w:bottom w:val="nil"/>
                          <w:right w:val="nil"/>
                        </w:tcBorders>
                      </w:tcPr>
                      <w:p>
                        <w:pPr>
                          <w:pStyle w:val="TableParagraph"/>
                          <w:spacing w:line="251" w:lineRule="exact" w:before="0"/>
                          <w:ind w:left="153" w:right="110"/>
                          <w:jc w:val="center"/>
                          <w:rPr>
                            <w:rFonts w:ascii="Arial"/>
                            <w:sz w:val="22"/>
                          </w:rPr>
                        </w:pPr>
                        <w:r>
                          <w:rPr>
                            <w:rFonts w:ascii="Arial"/>
                            <w:sz w:val="22"/>
                          </w:rPr>
                          <w:t>m</w:t>
                        </w:r>
                        <w:r>
                          <w:rPr>
                            <w:rFonts w:ascii="Arial"/>
                            <w:position w:val="10"/>
                            <w:sz w:val="14"/>
                          </w:rPr>
                          <w:t>3</w:t>
                        </w:r>
                        <w:r>
                          <w:rPr>
                            <w:rFonts w:ascii="Arial"/>
                            <w:sz w:val="22"/>
                          </w:rPr>
                          <w:t>/d</w:t>
                        </w:r>
                      </w:p>
                    </w:tc>
                  </w:tr>
                  <w:tr>
                    <w:trPr>
                      <w:trHeight w:val="253" w:hRule="exact"/>
                    </w:trPr>
                    <w:tc>
                      <w:tcPr>
                        <w:tcW w:w="1806" w:type="dxa"/>
                        <w:tcBorders>
                          <w:top w:val="nil"/>
                          <w:left w:val="nil"/>
                          <w:bottom w:val="nil"/>
                          <w:right w:val="nil"/>
                        </w:tcBorders>
                      </w:tcPr>
                      <w:p>
                        <w:pPr>
                          <w:pStyle w:val="TableParagraph"/>
                          <w:spacing w:before="0"/>
                          <w:ind w:left="108" w:right="0"/>
                          <w:jc w:val="left"/>
                          <w:rPr>
                            <w:rFonts w:ascii="Arial"/>
                            <w:i/>
                            <w:sz w:val="14"/>
                          </w:rPr>
                        </w:pPr>
                        <w:r>
                          <w:rPr>
                            <w:rFonts w:ascii="Arial"/>
                            <w:i/>
                            <w:position w:val="3"/>
                            <w:sz w:val="22"/>
                          </w:rPr>
                          <w:t>Q</w:t>
                        </w:r>
                        <w:r>
                          <w:rPr>
                            <w:rFonts w:ascii="Arial"/>
                            <w:i/>
                            <w:sz w:val="14"/>
                          </w:rPr>
                          <w:t>NH3AS</w:t>
                        </w:r>
                      </w:p>
                    </w:tc>
                    <w:tc>
                      <w:tcPr>
                        <w:tcW w:w="5771" w:type="dxa"/>
                        <w:tcBorders>
                          <w:top w:val="nil"/>
                          <w:left w:val="nil"/>
                          <w:bottom w:val="nil"/>
                          <w:right w:val="nil"/>
                        </w:tcBorders>
                      </w:tcPr>
                      <w:p>
                        <w:pPr>
                          <w:pStyle w:val="TableParagraph"/>
                          <w:spacing w:line="252" w:lineRule="exact" w:before="0"/>
                          <w:ind w:left="145" w:right="0"/>
                          <w:jc w:val="left"/>
                          <w:rPr>
                            <w:rFonts w:ascii="Arial" w:hAnsi="Arial"/>
                            <w:sz w:val="22"/>
                          </w:rPr>
                        </w:pPr>
                        <w:r>
                          <w:rPr>
                            <w:rFonts w:ascii="Arial" w:hAnsi="Arial"/>
                            <w:sz w:val="22"/>
                          </w:rPr>
                          <w:t>Carga de amonio (área superficial)</w:t>
                        </w:r>
                      </w:p>
                    </w:tc>
                    <w:tc>
                      <w:tcPr>
                        <w:tcW w:w="1603" w:type="dxa"/>
                        <w:tcBorders>
                          <w:top w:val="nil"/>
                          <w:left w:val="nil"/>
                          <w:bottom w:val="nil"/>
                          <w:right w:val="nil"/>
                        </w:tcBorders>
                      </w:tcPr>
                      <w:p>
                        <w:pPr>
                          <w:pStyle w:val="TableParagraph"/>
                          <w:spacing w:line="265" w:lineRule="exact" w:before="0"/>
                          <w:ind w:left="153" w:right="111"/>
                          <w:jc w:val="center"/>
                          <w:rPr>
                            <w:rFonts w:ascii="Arial"/>
                            <w:sz w:val="22"/>
                          </w:rPr>
                        </w:pPr>
                        <w:r>
                          <w:rPr>
                            <w:rFonts w:ascii="Arial"/>
                            <w:sz w:val="22"/>
                          </w:rPr>
                          <w:t>g N-NH</w:t>
                        </w:r>
                        <w:r>
                          <w:rPr>
                            <w:rFonts w:ascii="Arial"/>
                            <w:position w:val="-2"/>
                            <w:sz w:val="14"/>
                          </w:rPr>
                          <w:t>3</w:t>
                        </w:r>
                        <w:r>
                          <w:rPr>
                            <w:rFonts w:ascii="Arial"/>
                            <w:sz w:val="22"/>
                          </w:rPr>
                          <w:t>/m</w:t>
                        </w:r>
                        <w:r>
                          <w:rPr>
                            <w:rFonts w:ascii="Arial"/>
                            <w:position w:val="10"/>
                            <w:sz w:val="14"/>
                          </w:rPr>
                          <w:t>2 </w:t>
                        </w:r>
                        <w:r>
                          <w:rPr>
                            <w:rFonts w:ascii="Arial"/>
                            <w:sz w:val="22"/>
                          </w:rPr>
                          <w:t>d</w:t>
                        </w:r>
                      </w:p>
                    </w:tc>
                  </w:tr>
                  <w:tr>
                    <w:trPr>
                      <w:trHeight w:val="253" w:hRule="exact"/>
                    </w:trPr>
                    <w:tc>
                      <w:tcPr>
                        <w:tcW w:w="1806" w:type="dxa"/>
                        <w:tcBorders>
                          <w:top w:val="nil"/>
                          <w:left w:val="nil"/>
                          <w:bottom w:val="nil"/>
                          <w:right w:val="nil"/>
                        </w:tcBorders>
                      </w:tcPr>
                      <w:p>
                        <w:pPr>
                          <w:pStyle w:val="TableParagraph"/>
                          <w:spacing w:line="265" w:lineRule="exact" w:before="0"/>
                          <w:ind w:left="108" w:right="0"/>
                          <w:jc w:val="left"/>
                          <w:rPr>
                            <w:rFonts w:ascii="Arial"/>
                            <w:i/>
                            <w:sz w:val="14"/>
                          </w:rPr>
                        </w:pPr>
                        <w:r>
                          <w:rPr>
                            <w:rFonts w:ascii="Arial"/>
                            <w:i/>
                            <w:position w:val="3"/>
                            <w:sz w:val="22"/>
                          </w:rPr>
                          <w:t>Q</w:t>
                        </w:r>
                        <w:r>
                          <w:rPr>
                            <w:rFonts w:ascii="Arial"/>
                            <w:i/>
                            <w:sz w:val="14"/>
                          </w:rPr>
                          <w:t>NH3E</w:t>
                        </w:r>
                      </w:p>
                    </w:tc>
                    <w:tc>
                      <w:tcPr>
                        <w:tcW w:w="5771" w:type="dxa"/>
                        <w:tcBorders>
                          <w:top w:val="nil"/>
                          <w:left w:val="nil"/>
                          <w:bottom w:val="nil"/>
                          <w:right w:val="nil"/>
                        </w:tcBorders>
                      </w:tcPr>
                      <w:p>
                        <w:pPr>
                          <w:pStyle w:val="TableParagraph"/>
                          <w:spacing w:line="251" w:lineRule="exact" w:before="0"/>
                          <w:ind w:left="145" w:right="0"/>
                          <w:jc w:val="left"/>
                          <w:rPr>
                            <w:rFonts w:ascii="Arial"/>
                            <w:sz w:val="22"/>
                          </w:rPr>
                        </w:pPr>
                        <w:r>
                          <w:rPr>
                            <w:rFonts w:ascii="Arial"/>
                            <w:sz w:val="22"/>
                          </w:rPr>
                          <w:t>Carga de amonio (empaque)</w:t>
                        </w:r>
                      </w:p>
                    </w:tc>
                    <w:tc>
                      <w:tcPr>
                        <w:tcW w:w="1603" w:type="dxa"/>
                        <w:tcBorders>
                          <w:top w:val="nil"/>
                          <w:left w:val="nil"/>
                          <w:bottom w:val="nil"/>
                          <w:right w:val="nil"/>
                        </w:tcBorders>
                      </w:tcPr>
                      <w:p>
                        <w:pPr>
                          <w:pStyle w:val="TableParagraph"/>
                          <w:spacing w:line="264" w:lineRule="exact" w:before="0"/>
                          <w:ind w:left="153" w:right="111"/>
                          <w:jc w:val="center"/>
                          <w:rPr>
                            <w:rFonts w:ascii="Arial"/>
                            <w:sz w:val="22"/>
                          </w:rPr>
                        </w:pPr>
                        <w:r>
                          <w:rPr>
                            <w:rFonts w:ascii="Arial"/>
                            <w:sz w:val="22"/>
                          </w:rPr>
                          <w:t>g N-NH</w:t>
                        </w:r>
                        <w:r>
                          <w:rPr>
                            <w:rFonts w:ascii="Arial"/>
                            <w:position w:val="-2"/>
                            <w:sz w:val="14"/>
                          </w:rPr>
                          <w:t>3</w:t>
                        </w:r>
                        <w:r>
                          <w:rPr>
                            <w:rFonts w:ascii="Arial"/>
                            <w:sz w:val="22"/>
                          </w:rPr>
                          <w:t>/m</w:t>
                        </w:r>
                        <w:r>
                          <w:rPr>
                            <w:rFonts w:ascii="Arial"/>
                            <w:position w:val="10"/>
                            <w:sz w:val="14"/>
                          </w:rPr>
                          <w:t>2 </w:t>
                        </w:r>
                        <w:r>
                          <w:rPr>
                            <w:rFonts w:ascii="Arial"/>
                            <w:sz w:val="22"/>
                          </w:rPr>
                          <w:t>d</w:t>
                        </w:r>
                      </w:p>
                    </w:tc>
                  </w:tr>
                  <w:tr>
                    <w:trPr>
                      <w:trHeight w:val="253" w:hRule="exact"/>
                    </w:trPr>
                    <w:tc>
                      <w:tcPr>
                        <w:tcW w:w="1806" w:type="dxa"/>
                        <w:tcBorders>
                          <w:top w:val="nil"/>
                          <w:left w:val="nil"/>
                          <w:bottom w:val="nil"/>
                          <w:right w:val="nil"/>
                        </w:tcBorders>
                      </w:tcPr>
                      <w:p>
                        <w:pPr>
                          <w:pStyle w:val="TableParagraph"/>
                          <w:spacing w:before="0"/>
                          <w:ind w:left="108" w:right="0"/>
                          <w:jc w:val="left"/>
                          <w:rPr>
                            <w:rFonts w:ascii="Arial"/>
                            <w:i/>
                            <w:sz w:val="14"/>
                          </w:rPr>
                        </w:pPr>
                        <w:r>
                          <w:rPr>
                            <w:rFonts w:ascii="Arial"/>
                            <w:i/>
                            <w:position w:val="3"/>
                            <w:sz w:val="22"/>
                          </w:rPr>
                          <w:t>Q</w:t>
                        </w:r>
                        <w:r>
                          <w:rPr>
                            <w:rFonts w:ascii="Arial"/>
                            <w:i/>
                            <w:sz w:val="14"/>
                          </w:rPr>
                          <w:t>out</w:t>
                        </w:r>
                      </w:p>
                    </w:tc>
                    <w:tc>
                      <w:tcPr>
                        <w:tcW w:w="5771" w:type="dxa"/>
                        <w:tcBorders>
                          <w:top w:val="nil"/>
                          <w:left w:val="nil"/>
                          <w:bottom w:val="nil"/>
                          <w:right w:val="nil"/>
                        </w:tcBorders>
                      </w:tcPr>
                      <w:p>
                        <w:pPr>
                          <w:pStyle w:val="TableParagraph"/>
                          <w:spacing w:line="252" w:lineRule="exact" w:before="0"/>
                          <w:ind w:left="145" w:right="0"/>
                          <w:jc w:val="left"/>
                          <w:rPr>
                            <w:rFonts w:ascii="Arial"/>
                            <w:sz w:val="22"/>
                          </w:rPr>
                        </w:pPr>
                        <w:r>
                          <w:rPr>
                            <w:rFonts w:ascii="Arial"/>
                            <w:sz w:val="22"/>
                          </w:rPr>
                          <w:t>Caudal de descarga</w:t>
                        </w:r>
                      </w:p>
                    </w:tc>
                    <w:tc>
                      <w:tcPr>
                        <w:tcW w:w="1603" w:type="dxa"/>
                        <w:tcBorders>
                          <w:top w:val="nil"/>
                          <w:left w:val="nil"/>
                          <w:bottom w:val="nil"/>
                          <w:right w:val="nil"/>
                        </w:tcBorders>
                      </w:tcPr>
                      <w:p>
                        <w:pPr>
                          <w:pStyle w:val="TableParagraph"/>
                          <w:spacing w:line="252" w:lineRule="exact" w:before="0"/>
                          <w:ind w:left="153" w:right="110"/>
                          <w:jc w:val="center"/>
                          <w:rPr>
                            <w:rFonts w:ascii="Arial"/>
                            <w:sz w:val="22"/>
                          </w:rPr>
                        </w:pPr>
                        <w:r>
                          <w:rPr>
                            <w:rFonts w:ascii="Arial"/>
                            <w:sz w:val="22"/>
                          </w:rPr>
                          <w:t>m</w:t>
                        </w:r>
                        <w:r>
                          <w:rPr>
                            <w:rFonts w:ascii="Arial"/>
                            <w:position w:val="10"/>
                            <w:sz w:val="14"/>
                          </w:rPr>
                          <w:t>3</w:t>
                        </w:r>
                        <w:r>
                          <w:rPr>
                            <w:rFonts w:ascii="Arial"/>
                            <w:sz w:val="22"/>
                          </w:rPr>
                          <w:t>/d</w:t>
                        </w:r>
                      </w:p>
                    </w:tc>
                  </w:tr>
                  <w:tr>
                    <w:trPr>
                      <w:trHeight w:val="252" w:hRule="exact"/>
                    </w:trPr>
                    <w:tc>
                      <w:tcPr>
                        <w:tcW w:w="1806" w:type="dxa"/>
                        <w:tcBorders>
                          <w:top w:val="nil"/>
                          <w:left w:val="nil"/>
                          <w:bottom w:val="nil"/>
                          <w:right w:val="nil"/>
                        </w:tcBorders>
                      </w:tcPr>
                      <w:p>
                        <w:pPr>
                          <w:pStyle w:val="TableParagraph"/>
                          <w:spacing w:line="265" w:lineRule="exact" w:before="0"/>
                          <w:ind w:left="108" w:right="0"/>
                          <w:jc w:val="left"/>
                          <w:rPr>
                            <w:rFonts w:ascii="Arial"/>
                            <w:i/>
                            <w:sz w:val="14"/>
                          </w:rPr>
                        </w:pPr>
                        <w:r>
                          <w:rPr>
                            <w:rFonts w:ascii="Arial"/>
                            <w:i/>
                            <w:position w:val="3"/>
                            <w:sz w:val="22"/>
                          </w:rPr>
                          <w:t>Q</w:t>
                        </w:r>
                        <w:r>
                          <w:rPr>
                            <w:rFonts w:ascii="Arial"/>
                            <w:i/>
                            <w:sz w:val="14"/>
                          </w:rPr>
                          <w:t>reuse</w:t>
                        </w:r>
                      </w:p>
                    </w:tc>
                    <w:tc>
                      <w:tcPr>
                        <w:tcW w:w="5771" w:type="dxa"/>
                        <w:tcBorders>
                          <w:top w:val="nil"/>
                          <w:left w:val="nil"/>
                          <w:bottom w:val="nil"/>
                          <w:right w:val="nil"/>
                        </w:tcBorders>
                      </w:tcPr>
                      <w:p>
                        <w:pPr>
                          <w:pStyle w:val="TableParagraph"/>
                          <w:spacing w:line="251" w:lineRule="exact" w:before="0"/>
                          <w:ind w:left="145" w:right="0"/>
                          <w:jc w:val="left"/>
                          <w:rPr>
                            <w:rFonts w:ascii="Arial"/>
                            <w:sz w:val="22"/>
                          </w:rPr>
                        </w:pPr>
                        <w:r>
                          <w:rPr>
                            <w:rFonts w:ascii="Arial"/>
                            <w:sz w:val="22"/>
                          </w:rPr>
                          <w:t>Caudal reuso</w:t>
                        </w:r>
                      </w:p>
                    </w:tc>
                    <w:tc>
                      <w:tcPr>
                        <w:tcW w:w="1603" w:type="dxa"/>
                        <w:tcBorders>
                          <w:top w:val="nil"/>
                          <w:left w:val="nil"/>
                          <w:bottom w:val="nil"/>
                          <w:right w:val="nil"/>
                        </w:tcBorders>
                      </w:tcPr>
                      <w:p>
                        <w:pPr>
                          <w:pStyle w:val="TableParagraph"/>
                          <w:spacing w:line="251" w:lineRule="exact" w:before="0"/>
                          <w:ind w:left="153" w:right="110"/>
                          <w:jc w:val="center"/>
                          <w:rPr>
                            <w:rFonts w:ascii="Arial"/>
                            <w:sz w:val="22"/>
                          </w:rPr>
                        </w:pPr>
                        <w:r>
                          <w:rPr>
                            <w:rFonts w:ascii="Arial"/>
                            <w:sz w:val="22"/>
                          </w:rPr>
                          <w:t>m</w:t>
                        </w:r>
                        <w:r>
                          <w:rPr>
                            <w:rFonts w:ascii="Arial"/>
                            <w:position w:val="10"/>
                            <w:sz w:val="14"/>
                          </w:rPr>
                          <w:t>3</w:t>
                        </w:r>
                        <w:r>
                          <w:rPr>
                            <w:rFonts w:ascii="Arial"/>
                            <w:sz w:val="22"/>
                          </w:rPr>
                          <w:t>/d</w:t>
                        </w:r>
                      </w:p>
                    </w:tc>
                  </w:tr>
                  <w:tr>
                    <w:trPr>
                      <w:trHeight w:val="253" w:hRule="exact"/>
                    </w:trPr>
                    <w:tc>
                      <w:tcPr>
                        <w:tcW w:w="1806" w:type="dxa"/>
                        <w:tcBorders>
                          <w:top w:val="nil"/>
                          <w:left w:val="nil"/>
                          <w:bottom w:val="nil"/>
                          <w:right w:val="nil"/>
                        </w:tcBorders>
                      </w:tcPr>
                      <w:p>
                        <w:pPr>
                          <w:pStyle w:val="TableParagraph"/>
                          <w:spacing w:line="265" w:lineRule="exact" w:before="0"/>
                          <w:ind w:left="108" w:right="0"/>
                          <w:jc w:val="left"/>
                          <w:rPr>
                            <w:rFonts w:ascii="Arial"/>
                            <w:i/>
                            <w:sz w:val="14"/>
                          </w:rPr>
                        </w:pPr>
                        <w:r>
                          <w:rPr>
                            <w:rFonts w:ascii="Arial"/>
                            <w:i/>
                            <w:position w:val="3"/>
                            <w:sz w:val="22"/>
                          </w:rPr>
                          <w:t>Q</w:t>
                        </w:r>
                        <w:r>
                          <w:rPr>
                            <w:rFonts w:ascii="Arial"/>
                            <w:i/>
                            <w:sz w:val="14"/>
                          </w:rPr>
                          <w:t>ru</w:t>
                        </w:r>
                      </w:p>
                    </w:tc>
                    <w:tc>
                      <w:tcPr>
                        <w:tcW w:w="5771" w:type="dxa"/>
                        <w:tcBorders>
                          <w:top w:val="nil"/>
                          <w:left w:val="nil"/>
                          <w:bottom w:val="nil"/>
                          <w:right w:val="nil"/>
                        </w:tcBorders>
                      </w:tcPr>
                      <w:p>
                        <w:pPr>
                          <w:pStyle w:val="TableParagraph"/>
                          <w:spacing w:line="251" w:lineRule="exact" w:before="0"/>
                          <w:ind w:left="145" w:right="0"/>
                          <w:jc w:val="left"/>
                          <w:rPr>
                            <w:rFonts w:ascii="Arial"/>
                            <w:sz w:val="22"/>
                          </w:rPr>
                        </w:pPr>
                        <w:r>
                          <w:rPr>
                            <w:rFonts w:ascii="Arial"/>
                            <w:sz w:val="22"/>
                          </w:rPr>
                          <w:t>Caudal estanque</w:t>
                        </w:r>
                      </w:p>
                    </w:tc>
                    <w:tc>
                      <w:tcPr>
                        <w:tcW w:w="1603" w:type="dxa"/>
                        <w:tcBorders>
                          <w:top w:val="nil"/>
                          <w:left w:val="nil"/>
                          <w:bottom w:val="nil"/>
                          <w:right w:val="nil"/>
                        </w:tcBorders>
                      </w:tcPr>
                      <w:p>
                        <w:pPr>
                          <w:pStyle w:val="TableParagraph"/>
                          <w:spacing w:line="251" w:lineRule="exact" w:before="0"/>
                          <w:ind w:left="153" w:right="110"/>
                          <w:jc w:val="center"/>
                          <w:rPr>
                            <w:rFonts w:ascii="Arial"/>
                            <w:sz w:val="22"/>
                          </w:rPr>
                        </w:pPr>
                        <w:r>
                          <w:rPr>
                            <w:rFonts w:ascii="Arial"/>
                            <w:sz w:val="22"/>
                          </w:rPr>
                          <w:t>m</w:t>
                        </w:r>
                        <w:r>
                          <w:rPr>
                            <w:rFonts w:ascii="Arial"/>
                            <w:position w:val="10"/>
                            <w:sz w:val="14"/>
                          </w:rPr>
                          <w:t>3</w:t>
                        </w:r>
                        <w:r>
                          <w:rPr>
                            <w:rFonts w:ascii="Arial"/>
                            <w:sz w:val="22"/>
                          </w:rPr>
                          <w:t>/d</w:t>
                        </w:r>
                      </w:p>
                    </w:tc>
                  </w:tr>
                  <w:tr>
                    <w:trPr>
                      <w:trHeight w:val="271" w:hRule="exact"/>
                    </w:trPr>
                    <w:tc>
                      <w:tcPr>
                        <w:tcW w:w="1806" w:type="dxa"/>
                        <w:tcBorders>
                          <w:top w:val="nil"/>
                          <w:left w:val="nil"/>
                          <w:bottom w:val="nil"/>
                          <w:right w:val="nil"/>
                        </w:tcBorders>
                      </w:tcPr>
                      <w:p>
                        <w:pPr>
                          <w:pStyle w:val="TableParagraph"/>
                          <w:spacing w:before="0"/>
                          <w:ind w:left="108" w:right="0"/>
                          <w:jc w:val="left"/>
                          <w:rPr>
                            <w:rFonts w:ascii="Arial"/>
                            <w:sz w:val="14"/>
                          </w:rPr>
                        </w:pPr>
                        <w:r>
                          <w:rPr>
                            <w:rFonts w:ascii="Arial"/>
                            <w:position w:val="3"/>
                            <w:sz w:val="22"/>
                          </w:rPr>
                          <w:t>Q</w:t>
                        </w:r>
                        <w:r>
                          <w:rPr>
                            <w:rFonts w:ascii="Arial"/>
                            <w:sz w:val="14"/>
                          </w:rPr>
                          <w:t>SAL</w:t>
                        </w:r>
                      </w:p>
                    </w:tc>
                    <w:tc>
                      <w:tcPr>
                        <w:tcW w:w="5771" w:type="dxa"/>
                        <w:tcBorders>
                          <w:top w:val="nil"/>
                          <w:left w:val="nil"/>
                          <w:bottom w:val="nil"/>
                          <w:right w:val="nil"/>
                        </w:tcBorders>
                      </w:tcPr>
                      <w:p>
                        <w:pPr>
                          <w:pStyle w:val="TableParagraph"/>
                          <w:spacing w:line="252" w:lineRule="exact" w:before="0"/>
                          <w:ind w:left="154" w:right="0"/>
                          <w:jc w:val="left"/>
                          <w:rPr>
                            <w:rFonts w:ascii="Arial"/>
                            <w:sz w:val="22"/>
                          </w:rPr>
                        </w:pPr>
                        <w:r>
                          <w:rPr>
                            <w:rFonts w:ascii="Arial"/>
                            <w:sz w:val="22"/>
                          </w:rPr>
                          <w:t>Caudal de salida</w:t>
                        </w:r>
                      </w:p>
                    </w:tc>
                    <w:tc>
                      <w:tcPr>
                        <w:tcW w:w="1603" w:type="dxa"/>
                        <w:tcBorders>
                          <w:top w:val="nil"/>
                          <w:left w:val="nil"/>
                          <w:bottom w:val="nil"/>
                          <w:right w:val="nil"/>
                        </w:tcBorders>
                      </w:tcPr>
                      <w:p>
                        <w:pPr>
                          <w:pStyle w:val="TableParagraph"/>
                          <w:spacing w:line="252" w:lineRule="exact" w:before="0"/>
                          <w:ind w:left="153" w:right="110"/>
                          <w:jc w:val="center"/>
                          <w:rPr>
                            <w:rFonts w:ascii="Arial"/>
                            <w:sz w:val="22"/>
                          </w:rPr>
                        </w:pPr>
                        <w:r>
                          <w:rPr>
                            <w:rFonts w:ascii="Arial"/>
                            <w:sz w:val="22"/>
                          </w:rPr>
                          <w:t>m</w:t>
                        </w:r>
                        <w:r>
                          <w:rPr>
                            <w:rFonts w:ascii="Arial"/>
                            <w:position w:val="10"/>
                            <w:sz w:val="14"/>
                          </w:rPr>
                          <w:t>3</w:t>
                        </w:r>
                        <w:r>
                          <w:rPr>
                            <w:rFonts w:ascii="Arial"/>
                            <w:sz w:val="22"/>
                          </w:rPr>
                          <w:t>/d</w:t>
                        </w:r>
                      </w:p>
                    </w:tc>
                  </w:tr>
                  <w:tr>
                    <w:trPr>
                      <w:trHeight w:val="514" w:hRule="exact"/>
                    </w:trPr>
                    <w:tc>
                      <w:tcPr>
                        <w:tcW w:w="1806" w:type="dxa"/>
                        <w:tcBorders>
                          <w:top w:val="nil"/>
                          <w:left w:val="nil"/>
                          <w:bottom w:val="nil"/>
                          <w:right w:val="nil"/>
                        </w:tcBorders>
                      </w:tcPr>
                      <w:p>
                        <w:pPr>
                          <w:pStyle w:val="TableParagraph"/>
                          <w:spacing w:line="216" w:lineRule="auto" w:before="1"/>
                          <w:ind w:left="108" w:right="1441"/>
                          <w:jc w:val="left"/>
                          <w:rPr>
                            <w:rFonts w:ascii="Arial"/>
                            <w:sz w:val="14"/>
                          </w:rPr>
                        </w:pPr>
                        <w:r>
                          <w:rPr>
                            <w:rFonts w:ascii="Arial"/>
                            <w:sz w:val="22"/>
                          </w:rPr>
                          <w:t>R </w:t>
                        </w:r>
                        <w:r>
                          <w:rPr>
                            <w:rFonts w:ascii="Arial"/>
                            <w:position w:val="-9"/>
                            <w:sz w:val="22"/>
                          </w:rPr>
                          <w:t>R</w:t>
                        </w:r>
                        <w:r>
                          <w:rPr>
                            <w:rFonts w:ascii="Arial"/>
                            <w:sz w:val="14"/>
                          </w:rPr>
                          <w:t>2</w:t>
                        </w:r>
                      </w:p>
                    </w:tc>
                    <w:tc>
                      <w:tcPr>
                        <w:tcW w:w="5771" w:type="dxa"/>
                        <w:tcBorders>
                          <w:top w:val="nil"/>
                          <w:left w:val="nil"/>
                          <w:bottom w:val="nil"/>
                          <w:right w:val="nil"/>
                        </w:tcBorders>
                      </w:tcPr>
                      <w:p>
                        <w:pPr>
                          <w:pStyle w:val="TableParagraph"/>
                          <w:spacing w:line="233" w:lineRule="exact" w:before="0"/>
                          <w:ind w:left="154" w:right="0"/>
                          <w:jc w:val="left"/>
                          <w:rPr>
                            <w:rFonts w:ascii="Arial" w:hAnsi="Arial"/>
                            <w:sz w:val="22"/>
                          </w:rPr>
                        </w:pPr>
                        <w:r>
                          <w:rPr>
                            <w:rFonts w:ascii="Arial" w:hAnsi="Arial"/>
                            <w:sz w:val="22"/>
                          </w:rPr>
                          <w:t>Coeficiente de correlación</w:t>
                        </w:r>
                      </w:p>
                      <w:p>
                        <w:pPr>
                          <w:pStyle w:val="TableParagraph"/>
                          <w:spacing w:before="1"/>
                          <w:ind w:left="154" w:right="0"/>
                          <w:jc w:val="left"/>
                          <w:rPr>
                            <w:rFonts w:ascii="Arial" w:hAnsi="Arial"/>
                            <w:sz w:val="22"/>
                          </w:rPr>
                        </w:pPr>
                        <w:r>
                          <w:rPr>
                            <w:rFonts w:ascii="Arial" w:hAnsi="Arial"/>
                            <w:sz w:val="22"/>
                          </w:rPr>
                          <w:t>Coeficiente de determinación</w:t>
                        </w:r>
                      </w:p>
                    </w:tc>
                    <w:tc>
                      <w:tcPr>
                        <w:tcW w:w="1603" w:type="dxa"/>
                        <w:tcBorders>
                          <w:top w:val="nil"/>
                          <w:left w:val="nil"/>
                          <w:bottom w:val="nil"/>
                          <w:right w:val="nil"/>
                        </w:tcBorders>
                      </w:tcPr>
                      <w:p>
                        <w:pPr/>
                      </w:p>
                    </w:tc>
                  </w:tr>
                  <w:tr>
                    <w:trPr>
                      <w:trHeight w:val="244" w:hRule="exact"/>
                    </w:trPr>
                    <w:tc>
                      <w:tcPr>
                        <w:tcW w:w="1806" w:type="dxa"/>
                        <w:tcBorders>
                          <w:top w:val="nil"/>
                          <w:left w:val="nil"/>
                          <w:bottom w:val="nil"/>
                          <w:right w:val="nil"/>
                        </w:tcBorders>
                      </w:tcPr>
                      <w:p>
                        <w:pPr>
                          <w:pStyle w:val="TableParagraph"/>
                          <w:spacing w:line="240" w:lineRule="exact" w:before="0"/>
                          <w:ind w:left="108" w:right="0"/>
                          <w:jc w:val="left"/>
                          <w:rPr>
                            <w:rFonts w:ascii="Arial"/>
                            <w:sz w:val="14"/>
                          </w:rPr>
                        </w:pPr>
                        <w:r>
                          <w:rPr>
                            <w:rFonts w:ascii="Arial"/>
                            <w:position w:val="3"/>
                            <w:sz w:val="22"/>
                          </w:rPr>
                          <w:t>r</w:t>
                        </w:r>
                        <w:r>
                          <w:rPr>
                            <w:rFonts w:ascii="Arial"/>
                            <w:sz w:val="14"/>
                          </w:rPr>
                          <w:t>ALI</w:t>
                        </w:r>
                      </w:p>
                    </w:tc>
                    <w:tc>
                      <w:tcPr>
                        <w:tcW w:w="5771" w:type="dxa"/>
                        <w:tcBorders>
                          <w:top w:val="nil"/>
                          <w:left w:val="nil"/>
                          <w:bottom w:val="nil"/>
                          <w:right w:val="nil"/>
                        </w:tcBorders>
                      </w:tcPr>
                      <w:p>
                        <w:pPr>
                          <w:pStyle w:val="TableParagraph"/>
                          <w:spacing w:line="226" w:lineRule="exact" w:before="0"/>
                          <w:ind w:left="154" w:right="0"/>
                          <w:jc w:val="left"/>
                          <w:rPr>
                            <w:rFonts w:ascii="Arial" w:hAnsi="Arial"/>
                            <w:sz w:val="22"/>
                          </w:rPr>
                        </w:pPr>
                        <w:r>
                          <w:rPr>
                            <w:rFonts w:ascii="Arial" w:hAnsi="Arial"/>
                            <w:sz w:val="22"/>
                          </w:rPr>
                          <w:t>Tasa de alimentación</w:t>
                        </w:r>
                      </w:p>
                    </w:tc>
                    <w:tc>
                      <w:tcPr>
                        <w:tcW w:w="1603" w:type="dxa"/>
                        <w:tcBorders>
                          <w:top w:val="nil"/>
                          <w:left w:val="nil"/>
                          <w:bottom w:val="nil"/>
                          <w:right w:val="nil"/>
                        </w:tcBorders>
                      </w:tcPr>
                      <w:p>
                        <w:pPr>
                          <w:pStyle w:val="TableParagraph"/>
                          <w:spacing w:line="226" w:lineRule="exact" w:before="0"/>
                          <w:ind w:left="42" w:right="0"/>
                          <w:jc w:val="center"/>
                          <w:rPr>
                            <w:rFonts w:ascii="Arial"/>
                            <w:sz w:val="22"/>
                          </w:rPr>
                        </w:pPr>
                        <w:r>
                          <w:rPr>
                            <w:rFonts w:ascii="Arial"/>
                            <w:w w:val="100"/>
                            <w:sz w:val="22"/>
                          </w:rPr>
                          <w:t>%</w:t>
                        </w:r>
                      </w:p>
                    </w:tc>
                  </w:tr>
                  <w:tr>
                    <w:trPr>
                      <w:trHeight w:val="254" w:hRule="exact"/>
                    </w:trPr>
                    <w:tc>
                      <w:tcPr>
                        <w:tcW w:w="1806" w:type="dxa"/>
                        <w:tcBorders>
                          <w:top w:val="nil"/>
                          <w:left w:val="nil"/>
                          <w:bottom w:val="nil"/>
                          <w:right w:val="nil"/>
                        </w:tcBorders>
                      </w:tcPr>
                      <w:p>
                        <w:pPr>
                          <w:pStyle w:val="TableParagraph"/>
                          <w:spacing w:line="248" w:lineRule="exact" w:before="0"/>
                          <w:ind w:left="108" w:right="0"/>
                          <w:jc w:val="left"/>
                          <w:rPr>
                            <w:rFonts w:ascii="Arial"/>
                            <w:sz w:val="14"/>
                          </w:rPr>
                        </w:pPr>
                        <w:r>
                          <w:rPr>
                            <w:rFonts w:ascii="Arial"/>
                            <w:position w:val="3"/>
                            <w:sz w:val="22"/>
                          </w:rPr>
                          <w:t>R</w:t>
                        </w:r>
                        <w:r>
                          <w:rPr>
                            <w:rFonts w:ascii="Arial"/>
                            <w:sz w:val="14"/>
                          </w:rPr>
                          <w:t>ALI</w:t>
                        </w:r>
                      </w:p>
                    </w:tc>
                    <w:tc>
                      <w:tcPr>
                        <w:tcW w:w="5771" w:type="dxa"/>
                        <w:tcBorders>
                          <w:top w:val="nil"/>
                          <w:left w:val="nil"/>
                          <w:bottom w:val="nil"/>
                          <w:right w:val="nil"/>
                        </w:tcBorders>
                      </w:tcPr>
                      <w:p>
                        <w:pPr>
                          <w:pStyle w:val="TableParagraph"/>
                          <w:spacing w:line="233" w:lineRule="exact" w:before="0"/>
                          <w:ind w:left="154" w:right="0"/>
                          <w:jc w:val="left"/>
                          <w:rPr>
                            <w:rFonts w:ascii="Arial"/>
                            <w:sz w:val="22"/>
                          </w:rPr>
                        </w:pPr>
                        <w:r>
                          <w:rPr>
                            <w:rFonts w:ascii="Arial"/>
                            <w:sz w:val="22"/>
                          </w:rPr>
                          <w:t>Alimento total diario</w:t>
                        </w:r>
                      </w:p>
                    </w:tc>
                    <w:tc>
                      <w:tcPr>
                        <w:tcW w:w="1603" w:type="dxa"/>
                        <w:tcBorders>
                          <w:top w:val="nil"/>
                          <w:left w:val="nil"/>
                          <w:bottom w:val="nil"/>
                          <w:right w:val="nil"/>
                        </w:tcBorders>
                      </w:tcPr>
                      <w:p>
                        <w:pPr>
                          <w:pStyle w:val="TableParagraph"/>
                          <w:spacing w:line="233" w:lineRule="exact" w:before="0"/>
                          <w:ind w:left="153" w:right="111"/>
                          <w:jc w:val="center"/>
                          <w:rPr>
                            <w:rFonts w:ascii="Arial"/>
                            <w:sz w:val="22"/>
                          </w:rPr>
                        </w:pPr>
                        <w:r>
                          <w:rPr>
                            <w:rFonts w:ascii="Arial"/>
                            <w:sz w:val="22"/>
                          </w:rPr>
                          <w:t>Kg/d</w:t>
                        </w:r>
                      </w:p>
                    </w:tc>
                  </w:tr>
                  <w:tr>
                    <w:trPr>
                      <w:trHeight w:val="271" w:hRule="exact"/>
                    </w:trPr>
                    <w:tc>
                      <w:tcPr>
                        <w:tcW w:w="1806" w:type="dxa"/>
                        <w:tcBorders>
                          <w:top w:val="nil"/>
                          <w:left w:val="nil"/>
                          <w:bottom w:val="nil"/>
                          <w:right w:val="nil"/>
                        </w:tcBorders>
                      </w:tcPr>
                      <w:p>
                        <w:pPr>
                          <w:pStyle w:val="TableParagraph"/>
                          <w:spacing w:line="259" w:lineRule="exact" w:before="0"/>
                          <w:ind w:left="108" w:right="0"/>
                          <w:jc w:val="left"/>
                          <w:rPr>
                            <w:rFonts w:ascii="Arial"/>
                            <w:sz w:val="14"/>
                          </w:rPr>
                        </w:pPr>
                        <w:r>
                          <w:rPr>
                            <w:rFonts w:ascii="Arial"/>
                            <w:sz w:val="22"/>
                          </w:rPr>
                          <w:t>rO</w:t>
                        </w:r>
                        <w:r>
                          <w:rPr>
                            <w:rFonts w:ascii="Arial"/>
                            <w:position w:val="-2"/>
                            <w:sz w:val="14"/>
                          </w:rPr>
                          <w:t>2</w:t>
                        </w:r>
                      </w:p>
                    </w:tc>
                    <w:tc>
                      <w:tcPr>
                        <w:tcW w:w="5771" w:type="dxa"/>
                        <w:tcBorders>
                          <w:top w:val="nil"/>
                          <w:left w:val="nil"/>
                          <w:bottom w:val="nil"/>
                          <w:right w:val="nil"/>
                        </w:tcBorders>
                      </w:tcPr>
                      <w:p>
                        <w:pPr>
                          <w:pStyle w:val="TableParagraph"/>
                          <w:spacing w:line="255" w:lineRule="exact" w:before="0"/>
                          <w:ind w:left="154" w:right="0"/>
                          <w:jc w:val="left"/>
                          <w:rPr>
                            <w:rFonts w:ascii="Arial" w:hAnsi="Arial"/>
                            <w:sz w:val="24"/>
                          </w:rPr>
                        </w:pPr>
                        <w:r>
                          <w:rPr>
                            <w:rFonts w:ascii="Arial" w:hAnsi="Arial"/>
                            <w:sz w:val="22"/>
                          </w:rPr>
                          <w:t>Tasa de consumo de oxígeno </w:t>
                        </w:r>
                        <w:r>
                          <w:rPr>
                            <w:rFonts w:ascii="Arial" w:hAnsi="Arial"/>
                            <w:sz w:val="24"/>
                          </w:rPr>
                          <w:t>disuelto por los peces</w:t>
                        </w:r>
                      </w:p>
                    </w:tc>
                    <w:tc>
                      <w:tcPr>
                        <w:tcW w:w="1603" w:type="dxa"/>
                        <w:tcBorders>
                          <w:top w:val="nil"/>
                          <w:left w:val="nil"/>
                          <w:bottom w:val="nil"/>
                          <w:right w:val="nil"/>
                        </w:tcBorders>
                      </w:tcPr>
                      <w:p>
                        <w:pPr>
                          <w:pStyle w:val="TableParagraph"/>
                          <w:spacing w:line="259" w:lineRule="exact" w:before="0"/>
                          <w:ind w:left="153" w:right="111"/>
                          <w:jc w:val="center"/>
                          <w:rPr>
                            <w:rFonts w:ascii="Arial"/>
                            <w:sz w:val="22"/>
                          </w:rPr>
                        </w:pPr>
                        <w:r>
                          <w:rPr>
                            <w:rFonts w:ascii="Arial"/>
                            <w:sz w:val="22"/>
                          </w:rPr>
                          <w:t>mg O</w:t>
                        </w:r>
                        <w:r>
                          <w:rPr>
                            <w:rFonts w:ascii="Arial"/>
                            <w:position w:val="-2"/>
                            <w:sz w:val="14"/>
                          </w:rPr>
                          <w:t>2</w:t>
                        </w:r>
                        <w:r>
                          <w:rPr>
                            <w:rFonts w:ascii="Arial"/>
                            <w:sz w:val="22"/>
                          </w:rPr>
                          <w:t>/L h</w:t>
                        </w:r>
                      </w:p>
                    </w:tc>
                  </w:tr>
                  <w:tr>
                    <w:trPr>
                      <w:trHeight w:val="250" w:hRule="exact"/>
                    </w:trPr>
                    <w:tc>
                      <w:tcPr>
                        <w:tcW w:w="1806" w:type="dxa"/>
                        <w:tcBorders>
                          <w:top w:val="nil"/>
                          <w:left w:val="nil"/>
                          <w:bottom w:val="nil"/>
                          <w:right w:val="nil"/>
                        </w:tcBorders>
                      </w:tcPr>
                      <w:p>
                        <w:pPr>
                          <w:pStyle w:val="TableParagraph"/>
                          <w:spacing w:line="254" w:lineRule="exact" w:before="0"/>
                          <w:ind w:left="108" w:right="0"/>
                          <w:jc w:val="left"/>
                          <w:rPr>
                            <w:rFonts w:ascii="Arial"/>
                            <w:sz w:val="14"/>
                          </w:rPr>
                        </w:pPr>
                        <w:r>
                          <w:rPr>
                            <w:rFonts w:ascii="Arial"/>
                            <w:position w:val="3"/>
                            <w:sz w:val="22"/>
                          </w:rPr>
                          <w:t>R</w:t>
                        </w:r>
                        <w:r>
                          <w:rPr>
                            <w:rFonts w:ascii="Arial"/>
                            <w:sz w:val="14"/>
                          </w:rPr>
                          <w:t>OD</w:t>
                        </w:r>
                      </w:p>
                    </w:tc>
                    <w:tc>
                      <w:tcPr>
                        <w:tcW w:w="5771" w:type="dxa"/>
                        <w:tcBorders>
                          <w:top w:val="nil"/>
                          <w:left w:val="nil"/>
                          <w:bottom w:val="nil"/>
                          <w:right w:val="nil"/>
                        </w:tcBorders>
                      </w:tcPr>
                      <w:p>
                        <w:pPr>
                          <w:pStyle w:val="TableParagraph"/>
                          <w:spacing w:line="239" w:lineRule="exact" w:before="0"/>
                          <w:ind w:left="154" w:right="0"/>
                          <w:jc w:val="left"/>
                          <w:rPr>
                            <w:rFonts w:ascii="Arial" w:hAnsi="Arial"/>
                            <w:sz w:val="22"/>
                          </w:rPr>
                        </w:pPr>
                        <w:r>
                          <w:rPr>
                            <w:rFonts w:ascii="Arial" w:hAnsi="Arial"/>
                            <w:sz w:val="22"/>
                          </w:rPr>
                          <w:t>Requerimiento de oxígeno</w:t>
                        </w:r>
                      </w:p>
                    </w:tc>
                    <w:tc>
                      <w:tcPr>
                        <w:tcW w:w="1603" w:type="dxa"/>
                        <w:tcBorders>
                          <w:top w:val="nil"/>
                          <w:left w:val="nil"/>
                          <w:bottom w:val="nil"/>
                          <w:right w:val="nil"/>
                        </w:tcBorders>
                      </w:tcPr>
                      <w:p>
                        <w:pPr>
                          <w:pStyle w:val="TableParagraph"/>
                          <w:spacing w:line="239" w:lineRule="exact" w:before="0"/>
                          <w:ind w:left="153" w:right="109"/>
                          <w:jc w:val="center"/>
                          <w:rPr>
                            <w:rFonts w:ascii="Arial"/>
                            <w:sz w:val="22"/>
                          </w:rPr>
                        </w:pPr>
                        <w:r>
                          <w:rPr>
                            <w:rFonts w:ascii="Arial"/>
                            <w:sz w:val="22"/>
                          </w:rPr>
                          <w:t>mg/L</w:t>
                        </w:r>
                      </w:p>
                    </w:tc>
                  </w:tr>
                  <w:tr>
                    <w:trPr>
                      <w:trHeight w:val="317" w:hRule="exact"/>
                    </w:trPr>
                    <w:tc>
                      <w:tcPr>
                        <w:tcW w:w="9180" w:type="dxa"/>
                        <w:gridSpan w:val="3"/>
                        <w:tcBorders>
                          <w:top w:val="nil"/>
                          <w:left w:val="nil"/>
                          <w:bottom w:val="nil"/>
                          <w:right w:val="nil"/>
                        </w:tcBorders>
                      </w:tcPr>
                      <w:p>
                        <w:pPr>
                          <w:pStyle w:val="TableParagraph"/>
                          <w:tabs>
                            <w:tab w:pos="1960" w:val="left" w:leader="none"/>
                          </w:tabs>
                          <w:spacing w:line="357" w:lineRule="exact" w:before="0"/>
                          <w:ind w:left="108" w:right="0"/>
                          <w:jc w:val="left"/>
                          <w:rPr>
                            <w:rFonts w:ascii="Arial" w:hAnsi="Arial"/>
                            <w:sz w:val="22"/>
                          </w:rPr>
                        </w:pPr>
                        <w:r>
                          <w:rPr>
                            <w:rFonts w:ascii="Arial" w:hAnsi="Arial"/>
                            <w:position w:val="-12"/>
                            <w:sz w:val="22"/>
                          </w:rPr>
                          <w:t>SAGARPA</w:t>
                          <w:tab/>
                        </w:r>
                        <w:r>
                          <w:rPr>
                            <w:rFonts w:ascii="Arial" w:hAnsi="Arial"/>
                            <w:sz w:val="22"/>
                          </w:rPr>
                          <w:t>Secretaría de Agricultura, Ganadería, Desarrollo</w:t>
                        </w:r>
                        <w:r>
                          <w:rPr>
                            <w:rFonts w:ascii="Arial" w:hAnsi="Arial"/>
                            <w:spacing w:val="-22"/>
                            <w:sz w:val="22"/>
                          </w:rPr>
                          <w:t> </w:t>
                        </w:r>
                        <w:r>
                          <w:rPr>
                            <w:rFonts w:ascii="Arial" w:hAnsi="Arial"/>
                            <w:sz w:val="22"/>
                          </w:rPr>
                          <w:t>Rural,</w:t>
                        </w:r>
                      </w:p>
                    </w:tc>
                  </w:tr>
                  <w:tr>
                    <w:trPr>
                      <w:trHeight w:val="190" w:hRule="exact"/>
                    </w:trPr>
                    <w:tc>
                      <w:tcPr>
                        <w:tcW w:w="1806" w:type="dxa"/>
                        <w:tcBorders>
                          <w:top w:val="nil"/>
                          <w:left w:val="nil"/>
                          <w:bottom w:val="nil"/>
                          <w:right w:val="nil"/>
                        </w:tcBorders>
                      </w:tcPr>
                      <w:p>
                        <w:pPr/>
                      </w:p>
                    </w:tc>
                    <w:tc>
                      <w:tcPr>
                        <w:tcW w:w="5771" w:type="dxa"/>
                        <w:tcBorders>
                          <w:top w:val="nil"/>
                          <w:left w:val="nil"/>
                          <w:bottom w:val="nil"/>
                          <w:right w:val="nil"/>
                        </w:tcBorders>
                      </w:tcPr>
                      <w:p>
                        <w:pPr>
                          <w:pStyle w:val="TableParagraph"/>
                          <w:spacing w:line="179" w:lineRule="exact" w:before="0"/>
                          <w:ind w:left="154" w:right="0"/>
                          <w:jc w:val="left"/>
                          <w:rPr>
                            <w:rFonts w:ascii="Arial"/>
                            <w:sz w:val="22"/>
                          </w:rPr>
                        </w:pPr>
                        <w:r>
                          <w:rPr>
                            <w:rFonts w:ascii="Arial"/>
                            <w:sz w:val="22"/>
                          </w:rPr>
                          <w:t>Pesca y Alimentos</w:t>
                        </w:r>
                      </w:p>
                    </w:tc>
                    <w:tc>
                      <w:tcPr>
                        <w:tcW w:w="1603" w:type="dxa"/>
                        <w:tcBorders>
                          <w:top w:val="nil"/>
                          <w:left w:val="nil"/>
                          <w:bottom w:val="nil"/>
                          <w:right w:val="nil"/>
                        </w:tcBorders>
                      </w:tcPr>
                      <w:p>
                        <w:pPr/>
                      </w:p>
                    </w:tc>
                  </w:tr>
                  <w:tr>
                    <w:trPr>
                      <w:trHeight w:val="252"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SEMARNAT</w:t>
                        </w:r>
                      </w:p>
                    </w:tc>
                    <w:tc>
                      <w:tcPr>
                        <w:tcW w:w="5771" w:type="dxa"/>
                        <w:tcBorders>
                          <w:top w:val="nil"/>
                          <w:left w:val="nil"/>
                          <w:bottom w:val="nil"/>
                          <w:right w:val="nil"/>
                        </w:tcBorders>
                      </w:tcPr>
                      <w:p>
                        <w:pPr>
                          <w:pStyle w:val="TableParagraph"/>
                          <w:spacing w:line="241" w:lineRule="exact" w:before="0"/>
                          <w:ind w:left="154" w:right="0"/>
                          <w:jc w:val="left"/>
                          <w:rPr>
                            <w:rFonts w:ascii="Arial" w:hAnsi="Arial"/>
                            <w:sz w:val="22"/>
                          </w:rPr>
                        </w:pPr>
                        <w:r>
                          <w:rPr>
                            <w:rFonts w:ascii="Arial" w:hAnsi="Arial"/>
                            <w:sz w:val="22"/>
                          </w:rPr>
                          <w:t>Secretaría de Medio Ambiente y Recursos Naturales</w:t>
                        </w:r>
                      </w:p>
                    </w:tc>
                    <w:tc>
                      <w:tcPr>
                        <w:tcW w:w="1603" w:type="dxa"/>
                        <w:tcBorders>
                          <w:top w:val="nil"/>
                          <w:left w:val="nil"/>
                          <w:bottom w:val="nil"/>
                          <w:right w:val="nil"/>
                        </w:tcBorders>
                      </w:tcPr>
                      <w:p>
                        <w:pPr/>
                      </w:p>
                    </w:tc>
                  </w:tr>
                  <w:tr>
                    <w:trPr>
                      <w:trHeight w:val="236"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SRA</w:t>
                        </w:r>
                      </w:p>
                    </w:tc>
                    <w:tc>
                      <w:tcPr>
                        <w:tcW w:w="5771" w:type="dxa"/>
                        <w:tcBorders>
                          <w:top w:val="nil"/>
                          <w:left w:val="nil"/>
                          <w:bottom w:val="nil"/>
                          <w:right w:val="nil"/>
                        </w:tcBorders>
                      </w:tcPr>
                      <w:p>
                        <w:pPr>
                          <w:pStyle w:val="TableParagraph"/>
                          <w:spacing w:line="241" w:lineRule="exact" w:before="0"/>
                          <w:ind w:left="154" w:right="0"/>
                          <w:jc w:val="left"/>
                          <w:rPr>
                            <w:rFonts w:ascii="Arial" w:hAnsi="Arial"/>
                            <w:sz w:val="22"/>
                          </w:rPr>
                        </w:pPr>
                        <w:r>
                          <w:rPr>
                            <w:rFonts w:ascii="Arial" w:hAnsi="Arial"/>
                            <w:sz w:val="22"/>
                          </w:rPr>
                          <w:t>Sistema de recirculación acuícola</w:t>
                        </w:r>
                      </w:p>
                    </w:tc>
                    <w:tc>
                      <w:tcPr>
                        <w:tcW w:w="1603" w:type="dxa"/>
                        <w:tcBorders>
                          <w:top w:val="nil"/>
                          <w:left w:val="nil"/>
                          <w:bottom w:val="nil"/>
                          <w:right w:val="nil"/>
                        </w:tcBorders>
                      </w:tcPr>
                      <w:p>
                        <w:pPr/>
                      </w:p>
                    </w:tc>
                  </w:tr>
                  <w:tr>
                    <w:trPr>
                      <w:trHeight w:val="271" w:hRule="exact"/>
                    </w:trPr>
                    <w:tc>
                      <w:tcPr>
                        <w:tcW w:w="1806" w:type="dxa"/>
                        <w:tcBorders>
                          <w:top w:val="nil"/>
                          <w:left w:val="nil"/>
                          <w:bottom w:val="nil"/>
                          <w:right w:val="nil"/>
                        </w:tcBorders>
                      </w:tcPr>
                      <w:p>
                        <w:pPr>
                          <w:pStyle w:val="TableParagraph"/>
                          <w:spacing w:before="6"/>
                          <w:ind w:left="108" w:right="0"/>
                          <w:jc w:val="left"/>
                          <w:rPr>
                            <w:rFonts w:ascii="Arial"/>
                            <w:i/>
                            <w:sz w:val="22"/>
                          </w:rPr>
                        </w:pPr>
                        <w:r>
                          <w:rPr>
                            <w:rFonts w:ascii="Arial"/>
                            <w:i/>
                            <w:sz w:val="22"/>
                          </w:rPr>
                          <w:t>SSA</w:t>
                        </w:r>
                      </w:p>
                    </w:tc>
                    <w:tc>
                      <w:tcPr>
                        <w:tcW w:w="5771" w:type="dxa"/>
                        <w:tcBorders>
                          <w:top w:val="nil"/>
                          <w:left w:val="nil"/>
                          <w:bottom w:val="nil"/>
                          <w:right w:val="nil"/>
                        </w:tcBorders>
                      </w:tcPr>
                      <w:p>
                        <w:pPr>
                          <w:pStyle w:val="TableParagraph"/>
                          <w:spacing w:before="6"/>
                          <w:ind w:left="154" w:right="0"/>
                          <w:jc w:val="left"/>
                          <w:rPr>
                            <w:rFonts w:ascii="Arial" w:hAnsi="Arial"/>
                            <w:sz w:val="22"/>
                          </w:rPr>
                        </w:pPr>
                        <w:r>
                          <w:rPr>
                            <w:rFonts w:ascii="Arial" w:hAnsi="Arial"/>
                            <w:sz w:val="22"/>
                          </w:rPr>
                          <w:t>Área de superficie específica</w:t>
                        </w:r>
                      </w:p>
                    </w:tc>
                    <w:tc>
                      <w:tcPr>
                        <w:tcW w:w="1603" w:type="dxa"/>
                        <w:tcBorders>
                          <w:top w:val="nil"/>
                          <w:left w:val="nil"/>
                          <w:bottom w:val="nil"/>
                          <w:right w:val="nil"/>
                        </w:tcBorders>
                      </w:tcPr>
                      <w:p>
                        <w:pPr>
                          <w:pStyle w:val="TableParagraph"/>
                          <w:spacing w:line="260" w:lineRule="exact" w:before="0"/>
                          <w:ind w:left="153" w:right="110"/>
                          <w:jc w:val="center"/>
                          <w:rPr>
                            <w:rFonts w:ascii="Arial"/>
                            <w:sz w:val="14"/>
                          </w:rPr>
                        </w:pPr>
                        <w:r>
                          <w:rPr>
                            <w:rFonts w:ascii="Arial"/>
                            <w:sz w:val="22"/>
                          </w:rPr>
                          <w:t>m</w:t>
                        </w:r>
                        <w:r>
                          <w:rPr>
                            <w:rFonts w:ascii="Arial"/>
                            <w:position w:val="10"/>
                            <w:sz w:val="14"/>
                          </w:rPr>
                          <w:t>2</w:t>
                        </w:r>
                        <w:r>
                          <w:rPr>
                            <w:rFonts w:ascii="Arial"/>
                            <w:sz w:val="22"/>
                          </w:rPr>
                          <w:t>/m</w:t>
                        </w:r>
                        <w:r>
                          <w:rPr>
                            <w:rFonts w:ascii="Arial"/>
                            <w:position w:val="10"/>
                            <w:sz w:val="14"/>
                          </w:rPr>
                          <w:t>3</w:t>
                        </w:r>
                      </w:p>
                    </w:tc>
                  </w:tr>
                  <w:tr>
                    <w:trPr>
                      <w:trHeight w:val="236"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SST</w:t>
                        </w:r>
                      </w:p>
                    </w:tc>
                    <w:tc>
                      <w:tcPr>
                        <w:tcW w:w="5771" w:type="dxa"/>
                        <w:tcBorders>
                          <w:top w:val="nil"/>
                          <w:left w:val="nil"/>
                          <w:bottom w:val="nil"/>
                          <w:right w:val="nil"/>
                        </w:tcBorders>
                      </w:tcPr>
                      <w:p>
                        <w:pPr>
                          <w:pStyle w:val="TableParagraph"/>
                          <w:spacing w:line="241" w:lineRule="exact" w:before="0"/>
                          <w:ind w:left="154" w:right="0"/>
                          <w:jc w:val="left"/>
                          <w:rPr>
                            <w:rFonts w:ascii="Arial" w:hAnsi="Arial"/>
                            <w:sz w:val="22"/>
                          </w:rPr>
                        </w:pPr>
                        <w:r>
                          <w:rPr>
                            <w:rFonts w:ascii="Arial" w:hAnsi="Arial"/>
                            <w:sz w:val="22"/>
                          </w:rPr>
                          <w:t>Sólidos suspendidos totales</w:t>
                        </w:r>
                      </w:p>
                    </w:tc>
                    <w:tc>
                      <w:tcPr>
                        <w:tcW w:w="1603" w:type="dxa"/>
                        <w:tcBorders>
                          <w:top w:val="nil"/>
                          <w:left w:val="nil"/>
                          <w:bottom w:val="nil"/>
                          <w:right w:val="nil"/>
                        </w:tcBorders>
                      </w:tcPr>
                      <w:p>
                        <w:pPr>
                          <w:pStyle w:val="TableParagraph"/>
                          <w:spacing w:line="241" w:lineRule="exact" w:before="0"/>
                          <w:ind w:left="153" w:right="109"/>
                          <w:jc w:val="center"/>
                          <w:rPr>
                            <w:rFonts w:ascii="Arial"/>
                            <w:sz w:val="22"/>
                          </w:rPr>
                        </w:pPr>
                        <w:r>
                          <w:rPr>
                            <w:rFonts w:ascii="Arial"/>
                            <w:sz w:val="22"/>
                          </w:rPr>
                          <w:t>mg/L</w:t>
                        </w:r>
                      </w:p>
                    </w:tc>
                  </w:tr>
                  <w:tr>
                    <w:trPr>
                      <w:trHeight w:val="278" w:hRule="exact"/>
                    </w:trPr>
                    <w:tc>
                      <w:tcPr>
                        <w:tcW w:w="1806" w:type="dxa"/>
                        <w:tcBorders>
                          <w:top w:val="nil"/>
                          <w:left w:val="nil"/>
                          <w:bottom w:val="nil"/>
                          <w:right w:val="nil"/>
                        </w:tcBorders>
                      </w:tcPr>
                      <w:p>
                        <w:pPr>
                          <w:pStyle w:val="TableParagraph"/>
                          <w:spacing w:before="6"/>
                          <w:ind w:left="108" w:right="0"/>
                          <w:jc w:val="left"/>
                          <w:rPr>
                            <w:rFonts w:ascii="Arial"/>
                            <w:i/>
                            <w:sz w:val="22"/>
                          </w:rPr>
                        </w:pPr>
                        <w:r>
                          <w:rPr>
                            <w:rFonts w:ascii="Arial"/>
                            <w:i/>
                            <w:sz w:val="22"/>
                          </w:rPr>
                          <w:t>STR</w:t>
                        </w:r>
                      </w:p>
                    </w:tc>
                    <w:tc>
                      <w:tcPr>
                        <w:tcW w:w="5771" w:type="dxa"/>
                        <w:tcBorders>
                          <w:top w:val="nil"/>
                          <w:left w:val="nil"/>
                          <w:bottom w:val="nil"/>
                          <w:right w:val="nil"/>
                        </w:tcBorders>
                      </w:tcPr>
                      <w:p>
                        <w:pPr>
                          <w:pStyle w:val="TableParagraph"/>
                          <w:spacing w:before="6"/>
                          <w:ind w:left="145" w:right="0"/>
                          <w:jc w:val="left"/>
                          <w:rPr>
                            <w:rFonts w:ascii="Arial" w:hAnsi="Arial"/>
                            <w:sz w:val="22"/>
                          </w:rPr>
                        </w:pPr>
                        <w:r>
                          <w:rPr>
                            <w:rFonts w:ascii="Arial" w:hAnsi="Arial"/>
                            <w:sz w:val="22"/>
                          </w:rPr>
                          <w:t>Tasa de conversión de nitrógeno amoniacal superficial</w:t>
                        </w:r>
                      </w:p>
                    </w:tc>
                    <w:tc>
                      <w:tcPr>
                        <w:tcW w:w="1603" w:type="dxa"/>
                        <w:tcBorders>
                          <w:top w:val="nil"/>
                          <w:left w:val="nil"/>
                          <w:bottom w:val="nil"/>
                          <w:right w:val="nil"/>
                        </w:tcBorders>
                      </w:tcPr>
                      <w:p>
                        <w:pPr>
                          <w:pStyle w:val="TableParagraph"/>
                          <w:spacing w:line="273" w:lineRule="exact" w:before="0"/>
                          <w:ind w:left="152" w:right="111"/>
                          <w:jc w:val="center"/>
                          <w:rPr>
                            <w:rFonts w:ascii="Arial"/>
                            <w:sz w:val="22"/>
                          </w:rPr>
                        </w:pPr>
                        <w:r>
                          <w:rPr>
                            <w:rFonts w:ascii="Arial"/>
                            <w:sz w:val="22"/>
                          </w:rPr>
                          <w:t>g N-NH</w:t>
                        </w:r>
                        <w:r>
                          <w:rPr>
                            <w:rFonts w:ascii="Arial"/>
                            <w:position w:val="-2"/>
                            <w:sz w:val="14"/>
                          </w:rPr>
                          <w:t>3</w:t>
                        </w:r>
                        <w:r>
                          <w:rPr>
                            <w:rFonts w:ascii="Arial"/>
                            <w:sz w:val="22"/>
                          </w:rPr>
                          <w:t>/m</w:t>
                        </w:r>
                        <w:r>
                          <w:rPr>
                            <w:rFonts w:ascii="Arial"/>
                            <w:position w:val="10"/>
                            <w:sz w:val="14"/>
                          </w:rPr>
                          <w:t>2 </w:t>
                        </w:r>
                        <w:r>
                          <w:rPr>
                            <w:rFonts w:ascii="Arial"/>
                            <w:sz w:val="22"/>
                          </w:rPr>
                          <w:t>d</w:t>
                        </w:r>
                      </w:p>
                    </w:tc>
                  </w:tr>
                  <w:tr>
                    <w:trPr>
                      <w:trHeight w:val="229" w:hRule="exact"/>
                    </w:trPr>
                    <w:tc>
                      <w:tcPr>
                        <w:tcW w:w="1806" w:type="dxa"/>
                        <w:tcBorders>
                          <w:top w:val="nil"/>
                          <w:left w:val="nil"/>
                          <w:bottom w:val="nil"/>
                          <w:right w:val="nil"/>
                        </w:tcBorders>
                      </w:tcPr>
                      <w:p>
                        <w:pPr>
                          <w:pStyle w:val="TableParagraph"/>
                          <w:spacing w:line="233" w:lineRule="exact" w:before="0"/>
                          <w:ind w:left="108" w:right="0"/>
                          <w:jc w:val="left"/>
                          <w:rPr>
                            <w:rFonts w:ascii="Arial"/>
                            <w:sz w:val="22"/>
                          </w:rPr>
                        </w:pPr>
                        <w:r>
                          <w:rPr>
                            <w:rFonts w:ascii="Arial"/>
                            <w:w w:val="100"/>
                            <w:sz w:val="22"/>
                          </w:rPr>
                          <w:t>T</w:t>
                        </w:r>
                      </w:p>
                    </w:tc>
                    <w:tc>
                      <w:tcPr>
                        <w:tcW w:w="5771" w:type="dxa"/>
                        <w:tcBorders>
                          <w:top w:val="nil"/>
                          <w:left w:val="nil"/>
                          <w:bottom w:val="nil"/>
                          <w:right w:val="nil"/>
                        </w:tcBorders>
                      </w:tcPr>
                      <w:p>
                        <w:pPr>
                          <w:pStyle w:val="TableParagraph"/>
                          <w:spacing w:line="233" w:lineRule="exact" w:before="0"/>
                          <w:ind w:left="154" w:right="0"/>
                          <w:jc w:val="left"/>
                          <w:rPr>
                            <w:rFonts w:ascii="Arial"/>
                            <w:sz w:val="22"/>
                          </w:rPr>
                        </w:pPr>
                        <w:r>
                          <w:rPr>
                            <w:rFonts w:ascii="Arial"/>
                            <w:sz w:val="22"/>
                          </w:rPr>
                          <w:t>Temperatura del agua</w:t>
                        </w:r>
                      </w:p>
                    </w:tc>
                    <w:tc>
                      <w:tcPr>
                        <w:tcW w:w="1603" w:type="dxa"/>
                        <w:tcBorders>
                          <w:top w:val="nil"/>
                          <w:left w:val="nil"/>
                          <w:bottom w:val="nil"/>
                          <w:right w:val="nil"/>
                        </w:tcBorders>
                      </w:tcPr>
                      <w:p>
                        <w:pPr>
                          <w:pStyle w:val="TableParagraph"/>
                          <w:spacing w:line="233" w:lineRule="exact" w:before="0"/>
                          <w:ind w:left="152" w:right="111"/>
                          <w:jc w:val="center"/>
                          <w:rPr>
                            <w:rFonts w:ascii="Arial" w:hAnsi="Arial"/>
                            <w:sz w:val="22"/>
                          </w:rPr>
                        </w:pPr>
                        <w:r>
                          <w:rPr>
                            <w:rFonts w:ascii="Arial" w:hAnsi="Arial"/>
                            <w:sz w:val="22"/>
                          </w:rPr>
                          <w:t>°C</w:t>
                        </w:r>
                      </w:p>
                    </w:tc>
                  </w:tr>
                  <w:tr>
                    <w:trPr>
                      <w:trHeight w:val="332" w:hRule="exact"/>
                    </w:trPr>
                    <w:tc>
                      <w:tcPr>
                        <w:tcW w:w="9180" w:type="dxa"/>
                        <w:gridSpan w:val="3"/>
                        <w:tcBorders>
                          <w:top w:val="nil"/>
                          <w:left w:val="nil"/>
                          <w:bottom w:val="nil"/>
                          <w:right w:val="nil"/>
                        </w:tcBorders>
                      </w:tcPr>
                      <w:p>
                        <w:pPr>
                          <w:pStyle w:val="TableParagraph"/>
                          <w:tabs>
                            <w:tab w:pos="1951" w:val="left" w:leader="none"/>
                          </w:tabs>
                          <w:spacing w:line="369" w:lineRule="exact" w:before="3"/>
                          <w:ind w:left="108" w:right="0"/>
                          <w:jc w:val="left"/>
                          <w:rPr>
                            <w:rFonts w:ascii="Arial" w:hAnsi="Arial"/>
                            <w:sz w:val="22"/>
                          </w:rPr>
                        </w:pPr>
                        <w:r>
                          <w:rPr>
                            <w:rFonts w:ascii="Arial" w:hAnsi="Arial"/>
                            <w:i/>
                            <w:position w:val="-12"/>
                            <w:sz w:val="22"/>
                          </w:rPr>
                          <w:t>t</w:t>
                          <w:tab/>
                        </w:r>
                        <w:r>
                          <w:rPr>
                            <w:rFonts w:ascii="Arial" w:hAnsi="Arial"/>
                            <w:sz w:val="22"/>
                          </w:rPr>
                          <w:t>Tiempo de aclimatación antes de empezar la</w:t>
                        </w:r>
                        <w:r>
                          <w:rPr>
                            <w:rFonts w:ascii="Arial" w:hAnsi="Arial"/>
                            <w:spacing w:val="-23"/>
                            <w:sz w:val="22"/>
                          </w:rPr>
                          <w:t> </w:t>
                        </w:r>
                        <w:r>
                          <w:rPr>
                            <w:rFonts w:ascii="Arial" w:hAnsi="Arial"/>
                            <w:sz w:val="22"/>
                          </w:rPr>
                          <w:t>adquisición</w:t>
                        </w:r>
                      </w:p>
                    </w:tc>
                  </w:tr>
                  <w:tr>
                    <w:trPr>
                      <w:trHeight w:val="173" w:hRule="exact"/>
                    </w:trPr>
                    <w:tc>
                      <w:tcPr>
                        <w:tcW w:w="1806" w:type="dxa"/>
                        <w:tcBorders>
                          <w:top w:val="nil"/>
                          <w:left w:val="nil"/>
                          <w:bottom w:val="nil"/>
                          <w:right w:val="nil"/>
                        </w:tcBorders>
                      </w:tcPr>
                      <w:p>
                        <w:pPr/>
                      </w:p>
                    </w:tc>
                    <w:tc>
                      <w:tcPr>
                        <w:tcW w:w="5771" w:type="dxa"/>
                        <w:tcBorders>
                          <w:top w:val="nil"/>
                          <w:left w:val="nil"/>
                          <w:bottom w:val="nil"/>
                          <w:right w:val="nil"/>
                        </w:tcBorders>
                      </w:tcPr>
                      <w:p>
                        <w:pPr>
                          <w:pStyle w:val="TableParagraph"/>
                          <w:spacing w:line="179" w:lineRule="exact" w:before="0"/>
                          <w:ind w:left="145" w:right="0"/>
                          <w:jc w:val="left"/>
                          <w:rPr>
                            <w:rFonts w:ascii="Arial"/>
                            <w:sz w:val="22"/>
                          </w:rPr>
                        </w:pPr>
                        <w:r>
                          <w:rPr>
                            <w:rFonts w:ascii="Arial"/>
                            <w:sz w:val="22"/>
                          </w:rPr>
                          <w:t>de datos</w:t>
                        </w:r>
                      </w:p>
                    </w:tc>
                    <w:tc>
                      <w:tcPr>
                        <w:tcW w:w="1603" w:type="dxa"/>
                        <w:tcBorders>
                          <w:top w:val="nil"/>
                          <w:left w:val="nil"/>
                          <w:bottom w:val="nil"/>
                          <w:right w:val="nil"/>
                        </w:tcBorders>
                      </w:tcPr>
                      <w:p>
                        <w:pPr/>
                      </w:p>
                    </w:tc>
                  </w:tr>
                  <w:tr>
                    <w:trPr>
                      <w:trHeight w:val="270" w:hRule="exact"/>
                    </w:trPr>
                    <w:tc>
                      <w:tcPr>
                        <w:tcW w:w="1806" w:type="dxa"/>
                        <w:tcBorders>
                          <w:top w:val="nil"/>
                          <w:left w:val="nil"/>
                          <w:bottom w:val="nil"/>
                          <w:right w:val="nil"/>
                        </w:tcBorders>
                      </w:tcPr>
                      <w:p>
                        <w:pPr>
                          <w:pStyle w:val="TableParagraph"/>
                          <w:spacing w:before="5"/>
                          <w:ind w:left="108" w:right="0"/>
                          <w:jc w:val="left"/>
                          <w:rPr>
                            <w:rFonts w:ascii="Arial"/>
                            <w:sz w:val="22"/>
                          </w:rPr>
                        </w:pPr>
                        <w:r>
                          <w:rPr>
                            <w:rFonts w:ascii="Arial"/>
                            <w:sz w:val="22"/>
                          </w:rPr>
                          <w:t>TAA</w:t>
                        </w:r>
                      </w:p>
                    </w:tc>
                    <w:tc>
                      <w:tcPr>
                        <w:tcW w:w="5771" w:type="dxa"/>
                        <w:tcBorders>
                          <w:top w:val="nil"/>
                          <w:left w:val="nil"/>
                          <w:bottom w:val="nil"/>
                          <w:right w:val="nil"/>
                        </w:tcBorders>
                      </w:tcPr>
                      <w:p>
                        <w:pPr>
                          <w:pStyle w:val="TableParagraph"/>
                          <w:spacing w:before="5"/>
                          <w:ind w:left="154" w:right="0"/>
                          <w:jc w:val="left"/>
                          <w:rPr>
                            <w:rFonts w:ascii="Arial" w:hAnsi="Arial"/>
                            <w:sz w:val="22"/>
                          </w:rPr>
                        </w:pPr>
                        <w:r>
                          <w:rPr>
                            <w:rFonts w:ascii="Arial" w:hAnsi="Arial"/>
                            <w:sz w:val="22"/>
                          </w:rPr>
                          <w:t>Tasa aérea de remoción de nitrógeno amoniacal</w:t>
                        </w:r>
                      </w:p>
                    </w:tc>
                    <w:tc>
                      <w:tcPr>
                        <w:tcW w:w="1603" w:type="dxa"/>
                        <w:tcBorders>
                          <w:top w:val="nil"/>
                          <w:left w:val="nil"/>
                          <w:bottom w:val="nil"/>
                          <w:right w:val="nil"/>
                        </w:tcBorders>
                      </w:tcPr>
                      <w:p>
                        <w:pPr>
                          <w:pStyle w:val="TableParagraph"/>
                          <w:spacing w:line="247" w:lineRule="exact" w:before="0"/>
                          <w:ind w:left="152" w:right="111"/>
                          <w:jc w:val="center"/>
                          <w:rPr>
                            <w:rFonts w:ascii="Arial"/>
                            <w:sz w:val="20"/>
                          </w:rPr>
                        </w:pPr>
                        <w:r>
                          <w:rPr>
                            <w:rFonts w:ascii="Arial"/>
                            <w:sz w:val="20"/>
                          </w:rPr>
                          <w:t>g N-NH /m</w:t>
                        </w:r>
                        <w:r>
                          <w:rPr>
                            <w:rFonts w:ascii="Arial"/>
                            <w:position w:val="10"/>
                            <w:sz w:val="13"/>
                          </w:rPr>
                          <w:t>2 </w:t>
                        </w:r>
                        <w:r>
                          <w:rPr>
                            <w:rFonts w:ascii="Arial"/>
                            <w:sz w:val="20"/>
                          </w:rPr>
                          <w:t>d)</w:t>
                        </w: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sz w:val="22"/>
                          </w:rPr>
                        </w:pPr>
                        <w:r>
                          <w:rPr>
                            <w:rFonts w:ascii="Arial"/>
                            <w:sz w:val="22"/>
                          </w:rPr>
                          <w:t>THR</w:t>
                        </w:r>
                      </w:p>
                    </w:tc>
                    <w:tc>
                      <w:tcPr>
                        <w:tcW w:w="5771" w:type="dxa"/>
                        <w:tcBorders>
                          <w:top w:val="nil"/>
                          <w:left w:val="nil"/>
                          <w:bottom w:val="nil"/>
                          <w:right w:val="nil"/>
                        </w:tcBorders>
                      </w:tcPr>
                      <w:p>
                        <w:pPr>
                          <w:pStyle w:val="TableParagraph"/>
                          <w:spacing w:line="242" w:lineRule="exact" w:before="0"/>
                          <w:ind w:left="154" w:right="0"/>
                          <w:jc w:val="left"/>
                          <w:rPr>
                            <w:rFonts w:ascii="Arial" w:hAnsi="Arial"/>
                            <w:sz w:val="22"/>
                          </w:rPr>
                        </w:pPr>
                        <w:r>
                          <w:rPr>
                            <w:rFonts w:ascii="Arial" w:hAnsi="Arial"/>
                            <w:sz w:val="22"/>
                          </w:rPr>
                          <w:t>Tiempo de retención hidráulica</w:t>
                        </w:r>
                      </w:p>
                    </w:tc>
                    <w:tc>
                      <w:tcPr>
                        <w:tcW w:w="1603" w:type="dxa"/>
                        <w:tcBorders>
                          <w:top w:val="nil"/>
                          <w:left w:val="nil"/>
                          <w:bottom w:val="nil"/>
                          <w:right w:val="nil"/>
                        </w:tcBorders>
                      </w:tcPr>
                      <w:p>
                        <w:pPr>
                          <w:pStyle w:val="TableParagraph"/>
                          <w:spacing w:line="242" w:lineRule="exact" w:before="0"/>
                          <w:ind w:left="153" w:right="111"/>
                          <w:jc w:val="center"/>
                          <w:rPr>
                            <w:rFonts w:ascii="Arial"/>
                            <w:sz w:val="22"/>
                          </w:rPr>
                        </w:pPr>
                        <w:r>
                          <w:rPr>
                            <w:rFonts w:ascii="Arial"/>
                            <w:sz w:val="22"/>
                          </w:rPr>
                          <w:t>min</w:t>
                        </w: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i/>
                            <w:sz w:val="22"/>
                          </w:rPr>
                        </w:pPr>
                        <w:r>
                          <w:rPr>
                            <w:rFonts w:ascii="Arial"/>
                            <w:i/>
                            <w:sz w:val="22"/>
                          </w:rPr>
                          <w:t>TVCN</w:t>
                        </w:r>
                      </w:p>
                    </w:tc>
                    <w:tc>
                      <w:tcPr>
                        <w:tcW w:w="5771"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Tasa volumétrica de conversión de nitritos</w:t>
                        </w:r>
                      </w:p>
                    </w:tc>
                    <w:tc>
                      <w:tcPr>
                        <w:tcW w:w="1603" w:type="dxa"/>
                        <w:tcBorders>
                          <w:top w:val="nil"/>
                          <w:left w:val="nil"/>
                          <w:bottom w:val="nil"/>
                          <w:right w:val="nil"/>
                        </w:tcBorders>
                      </w:tcPr>
                      <w:p>
                        <w:pPr>
                          <w:pStyle w:val="TableParagraph"/>
                          <w:spacing w:line="241" w:lineRule="exact" w:before="0"/>
                          <w:ind w:left="153" w:right="111"/>
                          <w:jc w:val="center"/>
                          <w:rPr>
                            <w:rFonts w:ascii="Arial"/>
                            <w:sz w:val="22"/>
                          </w:rPr>
                        </w:pPr>
                        <w:r>
                          <w:rPr>
                            <w:rFonts w:ascii="Arial"/>
                            <w:sz w:val="22"/>
                          </w:rPr>
                          <w:t>g N-NO </w:t>
                        </w:r>
                        <w:r>
                          <w:rPr>
                            <w:rFonts w:ascii="Arial"/>
                            <w:position w:val="10"/>
                            <w:sz w:val="14"/>
                          </w:rPr>
                          <w:t>-</w:t>
                        </w:r>
                        <w:r>
                          <w:rPr>
                            <w:rFonts w:ascii="Arial"/>
                            <w:sz w:val="22"/>
                          </w:rPr>
                          <w:t>/m</w:t>
                        </w:r>
                        <w:r>
                          <w:rPr>
                            <w:rFonts w:ascii="Arial"/>
                            <w:position w:val="10"/>
                            <w:sz w:val="14"/>
                          </w:rPr>
                          <w:t>3</w:t>
                        </w:r>
                        <w:r>
                          <w:rPr>
                            <w:rFonts w:ascii="Arial"/>
                            <w:sz w:val="22"/>
                          </w:rPr>
                          <w:t>d</w:t>
                        </w:r>
                      </w:p>
                    </w:tc>
                  </w:tr>
                  <w:tr>
                    <w:trPr>
                      <w:trHeight w:val="261" w:hRule="exact"/>
                    </w:trPr>
                    <w:tc>
                      <w:tcPr>
                        <w:tcW w:w="1806" w:type="dxa"/>
                        <w:tcBorders>
                          <w:top w:val="nil"/>
                          <w:left w:val="nil"/>
                          <w:bottom w:val="nil"/>
                          <w:right w:val="nil"/>
                        </w:tcBorders>
                      </w:tcPr>
                      <w:p>
                        <w:pPr>
                          <w:pStyle w:val="TableParagraph"/>
                          <w:spacing w:line="255" w:lineRule="exact" w:before="0"/>
                          <w:ind w:left="108" w:right="0"/>
                          <w:jc w:val="left"/>
                          <w:rPr>
                            <w:rFonts w:ascii="Arial"/>
                            <w:i/>
                            <w:sz w:val="14"/>
                          </w:rPr>
                        </w:pPr>
                        <w:r>
                          <w:rPr>
                            <w:rFonts w:ascii="Arial"/>
                            <w:i/>
                            <w:sz w:val="22"/>
                          </w:rPr>
                          <w:t>TVCN</w:t>
                        </w:r>
                        <w:r>
                          <w:rPr>
                            <w:rFonts w:ascii="Arial"/>
                            <w:i/>
                            <w:position w:val="-2"/>
                            <w:sz w:val="14"/>
                          </w:rPr>
                          <w:t>A</w:t>
                        </w:r>
                      </w:p>
                    </w:tc>
                    <w:tc>
                      <w:tcPr>
                        <w:tcW w:w="5771" w:type="dxa"/>
                        <w:tcBorders>
                          <w:top w:val="nil"/>
                          <w:left w:val="nil"/>
                          <w:bottom w:val="nil"/>
                          <w:right w:val="nil"/>
                        </w:tcBorders>
                      </w:tcPr>
                      <w:p>
                        <w:pPr>
                          <w:pStyle w:val="TableParagraph"/>
                          <w:spacing w:line="255" w:lineRule="exact" w:before="0"/>
                          <w:ind w:left="145" w:right="0"/>
                          <w:jc w:val="left"/>
                          <w:rPr>
                            <w:rFonts w:ascii="Arial" w:hAnsi="Arial"/>
                            <w:sz w:val="22"/>
                          </w:rPr>
                        </w:pPr>
                        <w:r>
                          <w:rPr>
                            <w:rFonts w:ascii="Arial" w:hAnsi="Arial"/>
                            <w:sz w:val="22"/>
                          </w:rPr>
                          <w:t>Tasa volumétrica de de N-NO</w:t>
                        </w:r>
                        <w:r>
                          <w:rPr>
                            <w:rFonts w:ascii="Arial" w:hAnsi="Arial"/>
                            <w:position w:val="-2"/>
                            <w:sz w:val="14"/>
                          </w:rPr>
                          <w:t>2 </w:t>
                        </w:r>
                        <w:r>
                          <w:rPr>
                            <w:rFonts w:ascii="Arial" w:hAnsi="Arial"/>
                            <w:sz w:val="22"/>
                          </w:rPr>
                          <w:t>aparente</w:t>
                        </w:r>
                      </w:p>
                    </w:tc>
                    <w:tc>
                      <w:tcPr>
                        <w:tcW w:w="1603" w:type="dxa"/>
                        <w:tcBorders>
                          <w:top w:val="nil"/>
                          <w:left w:val="nil"/>
                          <w:bottom w:val="nil"/>
                          <w:right w:val="nil"/>
                        </w:tcBorders>
                      </w:tcPr>
                      <w:p>
                        <w:pPr>
                          <w:pStyle w:val="TableParagraph"/>
                          <w:spacing w:line="242" w:lineRule="exact" w:before="0"/>
                          <w:ind w:left="153" w:right="111"/>
                          <w:jc w:val="center"/>
                          <w:rPr>
                            <w:rFonts w:ascii="Arial"/>
                            <w:sz w:val="22"/>
                          </w:rPr>
                        </w:pPr>
                        <w:r>
                          <w:rPr>
                            <w:rFonts w:ascii="Arial"/>
                            <w:sz w:val="22"/>
                          </w:rPr>
                          <w:t>g N-NO </w:t>
                        </w:r>
                        <w:r>
                          <w:rPr>
                            <w:rFonts w:ascii="Arial"/>
                            <w:position w:val="10"/>
                            <w:sz w:val="14"/>
                          </w:rPr>
                          <w:t>-</w:t>
                        </w:r>
                        <w:r>
                          <w:rPr>
                            <w:rFonts w:ascii="Arial"/>
                            <w:sz w:val="22"/>
                          </w:rPr>
                          <w:t>/m</w:t>
                        </w:r>
                        <w:r>
                          <w:rPr>
                            <w:rFonts w:ascii="Arial"/>
                            <w:position w:val="10"/>
                            <w:sz w:val="14"/>
                          </w:rPr>
                          <w:t>3</w:t>
                        </w:r>
                        <w:r>
                          <w:rPr>
                            <w:rFonts w:ascii="Arial"/>
                            <w:sz w:val="22"/>
                          </w:rPr>
                          <w:t>d</w:t>
                        </w:r>
                      </w:p>
                    </w:tc>
                  </w:tr>
                  <w:tr>
                    <w:trPr>
                      <w:trHeight w:val="244" w:hRule="exact"/>
                    </w:trPr>
                    <w:tc>
                      <w:tcPr>
                        <w:tcW w:w="1806" w:type="dxa"/>
                        <w:tcBorders>
                          <w:top w:val="nil"/>
                          <w:left w:val="nil"/>
                          <w:bottom w:val="nil"/>
                          <w:right w:val="nil"/>
                        </w:tcBorders>
                      </w:tcPr>
                      <w:p>
                        <w:pPr>
                          <w:pStyle w:val="TableParagraph"/>
                          <w:spacing w:line="233" w:lineRule="exact" w:before="0"/>
                          <w:ind w:left="108" w:right="0"/>
                          <w:jc w:val="left"/>
                          <w:rPr>
                            <w:rFonts w:ascii="Arial"/>
                            <w:sz w:val="22"/>
                          </w:rPr>
                        </w:pPr>
                        <w:r>
                          <w:rPr>
                            <w:rFonts w:ascii="Arial"/>
                            <w:sz w:val="22"/>
                          </w:rPr>
                          <w:t>TVNA</w:t>
                        </w:r>
                      </w:p>
                    </w:tc>
                    <w:tc>
                      <w:tcPr>
                        <w:tcW w:w="5771" w:type="dxa"/>
                        <w:tcBorders>
                          <w:top w:val="nil"/>
                          <w:left w:val="nil"/>
                          <w:bottom w:val="nil"/>
                          <w:right w:val="nil"/>
                        </w:tcBorders>
                      </w:tcPr>
                      <w:p>
                        <w:pPr>
                          <w:pStyle w:val="TableParagraph"/>
                          <w:spacing w:line="233" w:lineRule="exact" w:before="0"/>
                          <w:ind w:left="154" w:right="0"/>
                          <w:jc w:val="left"/>
                          <w:rPr>
                            <w:rFonts w:ascii="Arial" w:hAnsi="Arial"/>
                            <w:sz w:val="22"/>
                          </w:rPr>
                        </w:pPr>
                        <w:r>
                          <w:rPr>
                            <w:rFonts w:ascii="Arial" w:hAnsi="Arial"/>
                            <w:sz w:val="22"/>
                          </w:rPr>
                          <w:t>Tasa volumétrica de conversión de nitrógeno amoniacal</w:t>
                        </w:r>
                      </w:p>
                    </w:tc>
                    <w:tc>
                      <w:tcPr>
                        <w:tcW w:w="1603" w:type="dxa"/>
                        <w:tcBorders>
                          <w:top w:val="nil"/>
                          <w:left w:val="nil"/>
                          <w:bottom w:val="nil"/>
                          <w:right w:val="nil"/>
                        </w:tcBorders>
                      </w:tcPr>
                      <w:p>
                        <w:pPr>
                          <w:pStyle w:val="TableParagraph"/>
                          <w:spacing w:line="246" w:lineRule="exact" w:before="0"/>
                          <w:ind w:left="152" w:right="111"/>
                          <w:jc w:val="center"/>
                          <w:rPr>
                            <w:rFonts w:ascii="Arial"/>
                            <w:sz w:val="22"/>
                          </w:rPr>
                        </w:pPr>
                        <w:r>
                          <w:rPr>
                            <w:rFonts w:ascii="Arial"/>
                            <w:sz w:val="22"/>
                          </w:rPr>
                          <w:t>g N-NH</w:t>
                        </w:r>
                        <w:r>
                          <w:rPr>
                            <w:rFonts w:ascii="Arial"/>
                            <w:position w:val="-2"/>
                            <w:sz w:val="14"/>
                          </w:rPr>
                          <w:t>3</w:t>
                        </w:r>
                        <w:r>
                          <w:rPr>
                            <w:rFonts w:ascii="Arial"/>
                            <w:sz w:val="22"/>
                          </w:rPr>
                          <w:t>/m</w:t>
                        </w:r>
                        <w:r>
                          <w:rPr>
                            <w:rFonts w:ascii="Arial"/>
                            <w:position w:val="10"/>
                            <w:sz w:val="14"/>
                          </w:rPr>
                          <w:t>3 </w:t>
                        </w:r>
                        <w:r>
                          <w:rPr>
                            <w:rFonts w:ascii="Arial"/>
                            <w:sz w:val="22"/>
                          </w:rPr>
                          <w:t>d</w:t>
                        </w:r>
                      </w:p>
                    </w:tc>
                  </w:tr>
                  <w:tr>
                    <w:trPr>
                      <w:trHeight w:val="253" w:hRule="exact"/>
                    </w:trPr>
                    <w:tc>
                      <w:tcPr>
                        <w:tcW w:w="1806" w:type="dxa"/>
                        <w:tcBorders>
                          <w:top w:val="nil"/>
                          <w:left w:val="nil"/>
                          <w:bottom w:val="nil"/>
                          <w:right w:val="nil"/>
                        </w:tcBorders>
                      </w:tcPr>
                      <w:p>
                        <w:pPr>
                          <w:pStyle w:val="TableParagraph"/>
                          <w:spacing w:line="241" w:lineRule="exact" w:before="0"/>
                          <w:ind w:left="108" w:right="0"/>
                          <w:jc w:val="left"/>
                          <w:rPr>
                            <w:rFonts w:ascii="Arial"/>
                            <w:sz w:val="22"/>
                          </w:rPr>
                        </w:pPr>
                        <w:r>
                          <w:rPr>
                            <w:rFonts w:ascii="Arial"/>
                            <w:sz w:val="22"/>
                          </w:rPr>
                          <w:t>UAEM</w:t>
                        </w:r>
                      </w:p>
                    </w:tc>
                    <w:tc>
                      <w:tcPr>
                        <w:tcW w:w="5771" w:type="dxa"/>
                        <w:tcBorders>
                          <w:top w:val="nil"/>
                          <w:left w:val="nil"/>
                          <w:bottom w:val="nil"/>
                          <w:right w:val="nil"/>
                        </w:tcBorders>
                      </w:tcPr>
                      <w:p>
                        <w:pPr>
                          <w:pStyle w:val="TableParagraph"/>
                          <w:spacing w:line="241" w:lineRule="exact" w:before="0"/>
                          <w:ind w:left="154" w:right="0"/>
                          <w:jc w:val="left"/>
                          <w:rPr>
                            <w:rFonts w:ascii="Arial" w:hAnsi="Arial"/>
                            <w:sz w:val="22"/>
                          </w:rPr>
                        </w:pPr>
                        <w:r>
                          <w:rPr>
                            <w:rFonts w:ascii="Arial" w:hAnsi="Arial"/>
                            <w:sz w:val="22"/>
                          </w:rPr>
                          <w:t>Universidad Autónoma del Estado de México</w:t>
                        </w:r>
                      </w:p>
                    </w:tc>
                    <w:tc>
                      <w:tcPr>
                        <w:tcW w:w="1603" w:type="dxa"/>
                        <w:tcBorders>
                          <w:top w:val="nil"/>
                          <w:left w:val="nil"/>
                          <w:bottom w:val="nil"/>
                          <w:right w:val="nil"/>
                        </w:tcBorders>
                      </w:tcPr>
                      <w:p>
                        <w:pPr/>
                      </w:p>
                    </w:tc>
                  </w:tr>
                  <w:tr>
                    <w:trPr>
                      <w:trHeight w:val="253" w:hRule="exact"/>
                    </w:trPr>
                    <w:tc>
                      <w:tcPr>
                        <w:tcW w:w="1806" w:type="dxa"/>
                        <w:tcBorders>
                          <w:top w:val="nil"/>
                          <w:left w:val="nil"/>
                          <w:bottom w:val="nil"/>
                          <w:right w:val="nil"/>
                        </w:tcBorders>
                      </w:tcPr>
                      <w:p>
                        <w:pPr>
                          <w:pStyle w:val="TableParagraph"/>
                          <w:spacing w:line="242" w:lineRule="exact" w:before="0"/>
                          <w:ind w:left="108" w:right="0"/>
                          <w:jc w:val="left"/>
                          <w:rPr>
                            <w:rFonts w:ascii="Arial"/>
                            <w:sz w:val="22"/>
                          </w:rPr>
                        </w:pPr>
                        <w:r>
                          <w:rPr>
                            <w:rFonts w:ascii="Arial"/>
                            <w:w w:val="100"/>
                            <w:sz w:val="22"/>
                          </w:rPr>
                          <w:t>V</w:t>
                        </w:r>
                      </w:p>
                    </w:tc>
                    <w:tc>
                      <w:tcPr>
                        <w:tcW w:w="5771" w:type="dxa"/>
                        <w:tcBorders>
                          <w:top w:val="nil"/>
                          <w:left w:val="nil"/>
                          <w:bottom w:val="nil"/>
                          <w:right w:val="nil"/>
                        </w:tcBorders>
                      </w:tcPr>
                      <w:p>
                        <w:pPr>
                          <w:pStyle w:val="TableParagraph"/>
                          <w:spacing w:line="242" w:lineRule="exact" w:before="0"/>
                          <w:ind w:left="154" w:right="0"/>
                          <w:jc w:val="left"/>
                          <w:rPr>
                            <w:rFonts w:ascii="Arial"/>
                            <w:sz w:val="22"/>
                          </w:rPr>
                        </w:pPr>
                        <w:r>
                          <w:rPr>
                            <w:rFonts w:ascii="Arial"/>
                            <w:sz w:val="22"/>
                          </w:rPr>
                          <w:t>Volumen</w:t>
                        </w:r>
                      </w:p>
                    </w:tc>
                    <w:tc>
                      <w:tcPr>
                        <w:tcW w:w="1603" w:type="dxa"/>
                        <w:tcBorders>
                          <w:top w:val="nil"/>
                          <w:left w:val="nil"/>
                          <w:bottom w:val="nil"/>
                          <w:right w:val="nil"/>
                        </w:tcBorders>
                      </w:tcPr>
                      <w:p>
                        <w:pPr>
                          <w:pStyle w:val="TableParagraph"/>
                          <w:spacing w:line="242" w:lineRule="exact" w:before="0"/>
                          <w:ind w:left="151" w:right="111"/>
                          <w:jc w:val="center"/>
                          <w:rPr>
                            <w:rFonts w:ascii="Arial"/>
                            <w:sz w:val="14"/>
                          </w:rPr>
                        </w:pPr>
                        <w:r>
                          <w:rPr>
                            <w:rFonts w:ascii="Arial"/>
                            <w:position w:val="-9"/>
                            <w:sz w:val="22"/>
                          </w:rPr>
                          <w:t>m</w:t>
                        </w:r>
                        <w:r>
                          <w:rPr>
                            <w:rFonts w:ascii="Arial"/>
                            <w:sz w:val="14"/>
                          </w:rPr>
                          <w:t>3</w:t>
                        </w:r>
                      </w:p>
                    </w:tc>
                  </w:tr>
                  <w:tr>
                    <w:trPr>
                      <w:trHeight w:val="261" w:hRule="exact"/>
                    </w:trPr>
                    <w:tc>
                      <w:tcPr>
                        <w:tcW w:w="1806" w:type="dxa"/>
                        <w:tcBorders>
                          <w:top w:val="nil"/>
                          <w:left w:val="nil"/>
                          <w:bottom w:val="nil"/>
                          <w:right w:val="nil"/>
                        </w:tcBorders>
                      </w:tcPr>
                      <w:p>
                        <w:pPr>
                          <w:pStyle w:val="TableParagraph"/>
                          <w:spacing w:line="254" w:lineRule="exact" w:before="0"/>
                          <w:ind w:left="108" w:right="0"/>
                          <w:jc w:val="left"/>
                          <w:rPr>
                            <w:rFonts w:ascii="Arial"/>
                            <w:i/>
                            <w:sz w:val="14"/>
                          </w:rPr>
                        </w:pPr>
                        <w:r>
                          <w:rPr>
                            <w:rFonts w:ascii="Arial"/>
                            <w:i/>
                            <w:sz w:val="22"/>
                          </w:rPr>
                          <w:t>V</w:t>
                        </w:r>
                        <w:r>
                          <w:rPr>
                            <w:rFonts w:ascii="Arial"/>
                            <w:i/>
                            <w:position w:val="-2"/>
                            <w:sz w:val="14"/>
                          </w:rPr>
                          <w:t>0</w:t>
                        </w:r>
                      </w:p>
                    </w:tc>
                    <w:tc>
                      <w:tcPr>
                        <w:tcW w:w="5771" w:type="dxa"/>
                        <w:tcBorders>
                          <w:top w:val="nil"/>
                          <w:left w:val="nil"/>
                          <w:bottom w:val="nil"/>
                          <w:right w:val="nil"/>
                        </w:tcBorders>
                      </w:tcPr>
                      <w:p>
                        <w:pPr>
                          <w:pStyle w:val="TableParagraph"/>
                          <w:spacing w:line="241" w:lineRule="exact" w:before="0"/>
                          <w:ind w:left="145" w:right="0"/>
                          <w:jc w:val="left"/>
                          <w:rPr>
                            <w:rFonts w:ascii="Arial"/>
                            <w:sz w:val="22"/>
                          </w:rPr>
                        </w:pPr>
                        <w:r>
                          <w:rPr>
                            <w:rFonts w:ascii="Arial"/>
                            <w:sz w:val="22"/>
                          </w:rPr>
                          <w:t>Volumen del filtro</w:t>
                        </w:r>
                      </w:p>
                    </w:tc>
                    <w:tc>
                      <w:tcPr>
                        <w:tcW w:w="1603" w:type="dxa"/>
                        <w:tcBorders>
                          <w:top w:val="nil"/>
                          <w:left w:val="nil"/>
                          <w:bottom w:val="nil"/>
                          <w:right w:val="nil"/>
                        </w:tcBorders>
                      </w:tcPr>
                      <w:p>
                        <w:pPr>
                          <w:pStyle w:val="TableParagraph"/>
                          <w:spacing w:line="241" w:lineRule="exact" w:before="0"/>
                          <w:ind w:left="153" w:right="108"/>
                          <w:jc w:val="center"/>
                          <w:rPr>
                            <w:rFonts w:ascii="Arial" w:hAnsi="Arial"/>
                            <w:sz w:val="22"/>
                          </w:rPr>
                        </w:pPr>
                        <w:r>
                          <w:rPr>
                            <w:rFonts w:ascii="Arial" w:hAnsi="Arial"/>
                            <w:sz w:val="22"/>
                          </w:rPr>
                          <w:t>m</w:t>
                        </w:r>
                        <w:r>
                          <w:rPr>
                            <w:rFonts w:ascii="Arial" w:hAnsi="Arial"/>
                            <w:position w:val="10"/>
                            <w:sz w:val="14"/>
                          </w:rPr>
                          <w:t>3  </w:t>
                        </w:r>
                        <w:r>
                          <w:rPr>
                            <w:rFonts w:ascii="Arial" w:hAnsi="Arial"/>
                            <w:sz w:val="22"/>
                          </w:rPr>
                          <w:t>ó L</w:t>
                        </w:r>
                      </w:p>
                    </w:tc>
                  </w:tr>
                  <w:tr>
                    <w:trPr>
                      <w:trHeight w:val="253" w:hRule="exact"/>
                    </w:trPr>
                    <w:tc>
                      <w:tcPr>
                        <w:tcW w:w="1806" w:type="dxa"/>
                        <w:tcBorders>
                          <w:top w:val="nil"/>
                          <w:left w:val="nil"/>
                          <w:bottom w:val="nil"/>
                          <w:right w:val="nil"/>
                        </w:tcBorders>
                      </w:tcPr>
                      <w:p>
                        <w:pPr>
                          <w:pStyle w:val="TableParagraph"/>
                          <w:spacing w:line="249" w:lineRule="exact" w:before="0"/>
                          <w:ind w:left="108" w:right="0"/>
                          <w:jc w:val="left"/>
                          <w:rPr>
                            <w:rFonts w:ascii="Arial"/>
                            <w:sz w:val="14"/>
                          </w:rPr>
                        </w:pPr>
                        <w:r>
                          <w:rPr>
                            <w:rFonts w:ascii="Arial"/>
                            <w:position w:val="3"/>
                            <w:sz w:val="22"/>
                          </w:rPr>
                          <w:t>V</w:t>
                        </w:r>
                        <w:r>
                          <w:rPr>
                            <w:rFonts w:ascii="Arial"/>
                            <w:sz w:val="14"/>
                          </w:rPr>
                          <w:t>AM</w:t>
                        </w:r>
                      </w:p>
                    </w:tc>
                    <w:tc>
                      <w:tcPr>
                        <w:tcW w:w="5771" w:type="dxa"/>
                        <w:tcBorders>
                          <w:top w:val="nil"/>
                          <w:left w:val="nil"/>
                          <w:bottom w:val="nil"/>
                          <w:right w:val="nil"/>
                        </w:tcBorders>
                      </w:tcPr>
                      <w:p>
                        <w:pPr>
                          <w:pStyle w:val="TableParagraph"/>
                          <w:spacing w:line="234" w:lineRule="exact" w:before="0"/>
                          <w:ind w:left="154" w:right="0"/>
                          <w:jc w:val="left"/>
                          <w:rPr>
                            <w:rFonts w:ascii="Arial"/>
                            <w:sz w:val="22"/>
                          </w:rPr>
                        </w:pPr>
                        <w:r>
                          <w:rPr>
                            <w:rFonts w:ascii="Arial"/>
                            <w:sz w:val="22"/>
                          </w:rPr>
                          <w:t>Volumen del empaque</w:t>
                        </w:r>
                      </w:p>
                    </w:tc>
                    <w:tc>
                      <w:tcPr>
                        <w:tcW w:w="1603" w:type="dxa"/>
                        <w:tcBorders>
                          <w:top w:val="nil"/>
                          <w:left w:val="nil"/>
                          <w:bottom w:val="nil"/>
                          <w:right w:val="nil"/>
                        </w:tcBorders>
                      </w:tcPr>
                      <w:p>
                        <w:pPr>
                          <w:pStyle w:val="TableParagraph"/>
                          <w:spacing w:line="234" w:lineRule="exact" w:before="0"/>
                          <w:ind w:left="151" w:right="111"/>
                          <w:jc w:val="center"/>
                          <w:rPr>
                            <w:rFonts w:ascii="Arial"/>
                            <w:sz w:val="14"/>
                          </w:rPr>
                        </w:pPr>
                        <w:r>
                          <w:rPr>
                            <w:rFonts w:ascii="Arial"/>
                            <w:position w:val="-9"/>
                            <w:sz w:val="22"/>
                          </w:rPr>
                          <w:t>m</w:t>
                        </w:r>
                        <w:r>
                          <w:rPr>
                            <w:rFonts w:ascii="Arial"/>
                            <w:sz w:val="14"/>
                          </w:rPr>
                          <w:t>3</w:t>
                        </w:r>
                      </w:p>
                    </w:tc>
                  </w:tr>
                  <w:tr>
                    <w:trPr>
                      <w:trHeight w:val="252" w:hRule="exact"/>
                    </w:trPr>
                    <w:tc>
                      <w:tcPr>
                        <w:tcW w:w="1806" w:type="dxa"/>
                        <w:tcBorders>
                          <w:top w:val="nil"/>
                          <w:left w:val="nil"/>
                          <w:bottom w:val="nil"/>
                          <w:right w:val="nil"/>
                        </w:tcBorders>
                      </w:tcPr>
                      <w:p>
                        <w:pPr>
                          <w:pStyle w:val="TableParagraph"/>
                          <w:spacing w:line="246" w:lineRule="exact" w:before="0"/>
                          <w:ind w:left="108" w:right="0"/>
                          <w:jc w:val="left"/>
                          <w:rPr>
                            <w:rFonts w:ascii="Arial"/>
                            <w:sz w:val="14"/>
                          </w:rPr>
                        </w:pPr>
                        <w:r>
                          <w:rPr>
                            <w:rFonts w:ascii="Arial"/>
                            <w:sz w:val="22"/>
                          </w:rPr>
                          <w:t>V</w:t>
                        </w:r>
                        <w:r>
                          <w:rPr>
                            <w:rFonts w:ascii="Arial"/>
                            <w:position w:val="-2"/>
                            <w:sz w:val="14"/>
                          </w:rPr>
                          <w:t>b</w:t>
                        </w:r>
                      </w:p>
                    </w:tc>
                    <w:tc>
                      <w:tcPr>
                        <w:tcW w:w="5771" w:type="dxa"/>
                        <w:tcBorders>
                          <w:top w:val="nil"/>
                          <w:left w:val="nil"/>
                          <w:bottom w:val="nil"/>
                          <w:right w:val="nil"/>
                        </w:tcBorders>
                      </w:tcPr>
                      <w:p>
                        <w:pPr>
                          <w:pStyle w:val="TableParagraph"/>
                          <w:spacing w:line="233" w:lineRule="exact" w:before="0"/>
                          <w:ind w:left="154" w:right="0"/>
                          <w:jc w:val="left"/>
                          <w:rPr>
                            <w:rFonts w:ascii="Arial"/>
                            <w:sz w:val="22"/>
                          </w:rPr>
                        </w:pPr>
                        <w:r>
                          <w:rPr>
                            <w:rFonts w:ascii="Arial"/>
                            <w:sz w:val="22"/>
                          </w:rPr>
                          <w:t>Volumen de empaque en el biofiltro</w:t>
                        </w:r>
                      </w:p>
                    </w:tc>
                    <w:tc>
                      <w:tcPr>
                        <w:tcW w:w="1603" w:type="dxa"/>
                        <w:tcBorders>
                          <w:top w:val="nil"/>
                          <w:left w:val="nil"/>
                          <w:bottom w:val="nil"/>
                          <w:right w:val="nil"/>
                        </w:tcBorders>
                      </w:tcPr>
                      <w:p>
                        <w:pPr>
                          <w:pStyle w:val="TableParagraph"/>
                          <w:spacing w:line="232" w:lineRule="exact" w:before="0"/>
                          <w:ind w:left="151" w:right="111"/>
                          <w:jc w:val="center"/>
                          <w:rPr>
                            <w:rFonts w:ascii="Arial"/>
                            <w:sz w:val="14"/>
                          </w:rPr>
                        </w:pPr>
                        <w:r>
                          <w:rPr>
                            <w:rFonts w:ascii="Arial"/>
                            <w:position w:val="-9"/>
                            <w:sz w:val="22"/>
                          </w:rPr>
                          <w:t>m</w:t>
                        </w:r>
                        <w:r>
                          <w:rPr>
                            <w:rFonts w:ascii="Arial"/>
                            <w:sz w:val="14"/>
                          </w:rPr>
                          <w:t>3</w:t>
                        </w:r>
                      </w:p>
                    </w:tc>
                  </w:tr>
                  <w:tr>
                    <w:trPr>
                      <w:trHeight w:val="253" w:hRule="exact"/>
                    </w:trPr>
                    <w:tc>
                      <w:tcPr>
                        <w:tcW w:w="1806" w:type="dxa"/>
                        <w:tcBorders>
                          <w:top w:val="nil"/>
                          <w:left w:val="nil"/>
                          <w:bottom w:val="nil"/>
                          <w:right w:val="nil"/>
                        </w:tcBorders>
                      </w:tcPr>
                      <w:p>
                        <w:pPr>
                          <w:pStyle w:val="TableParagraph"/>
                          <w:spacing w:line="246" w:lineRule="exact" w:before="0"/>
                          <w:ind w:left="108" w:right="0"/>
                          <w:jc w:val="left"/>
                          <w:rPr>
                            <w:rFonts w:ascii="Arial"/>
                            <w:sz w:val="14"/>
                          </w:rPr>
                        </w:pPr>
                        <w:r>
                          <w:rPr>
                            <w:rFonts w:ascii="Arial"/>
                            <w:sz w:val="22"/>
                          </w:rPr>
                          <w:t>V</w:t>
                        </w:r>
                        <w:r>
                          <w:rPr>
                            <w:rFonts w:ascii="Arial"/>
                            <w:position w:val="-2"/>
                            <w:sz w:val="14"/>
                          </w:rPr>
                          <w:t>E</w:t>
                        </w:r>
                      </w:p>
                    </w:tc>
                    <w:tc>
                      <w:tcPr>
                        <w:tcW w:w="5771" w:type="dxa"/>
                        <w:tcBorders>
                          <w:top w:val="nil"/>
                          <w:left w:val="nil"/>
                          <w:bottom w:val="nil"/>
                          <w:right w:val="nil"/>
                        </w:tcBorders>
                      </w:tcPr>
                      <w:p>
                        <w:pPr>
                          <w:pStyle w:val="TableParagraph"/>
                          <w:spacing w:line="233" w:lineRule="exact" w:before="0"/>
                          <w:ind w:left="154" w:right="0"/>
                          <w:jc w:val="left"/>
                          <w:rPr>
                            <w:rFonts w:ascii="Arial"/>
                            <w:sz w:val="22"/>
                          </w:rPr>
                        </w:pPr>
                        <w:r>
                          <w:rPr>
                            <w:rFonts w:ascii="Arial"/>
                            <w:sz w:val="22"/>
                          </w:rPr>
                          <w:t>Volumen del estanque</w:t>
                        </w:r>
                      </w:p>
                    </w:tc>
                    <w:tc>
                      <w:tcPr>
                        <w:tcW w:w="1603" w:type="dxa"/>
                        <w:tcBorders>
                          <w:top w:val="nil"/>
                          <w:left w:val="nil"/>
                          <w:bottom w:val="nil"/>
                          <w:right w:val="nil"/>
                        </w:tcBorders>
                      </w:tcPr>
                      <w:p>
                        <w:pPr>
                          <w:pStyle w:val="TableParagraph"/>
                          <w:spacing w:line="232" w:lineRule="exact" w:before="0"/>
                          <w:ind w:left="151" w:right="111"/>
                          <w:jc w:val="center"/>
                          <w:rPr>
                            <w:rFonts w:ascii="Arial"/>
                            <w:sz w:val="14"/>
                          </w:rPr>
                        </w:pPr>
                        <w:r>
                          <w:rPr>
                            <w:rFonts w:ascii="Arial"/>
                            <w:position w:val="-9"/>
                            <w:sz w:val="22"/>
                          </w:rPr>
                          <w:t>m</w:t>
                        </w:r>
                        <w:r>
                          <w:rPr>
                            <w:rFonts w:ascii="Arial"/>
                            <w:sz w:val="14"/>
                          </w:rPr>
                          <w:t>3</w:t>
                        </w:r>
                      </w:p>
                    </w:tc>
                  </w:tr>
                  <w:tr>
                    <w:trPr>
                      <w:trHeight w:val="245" w:hRule="exact"/>
                    </w:trPr>
                    <w:tc>
                      <w:tcPr>
                        <w:tcW w:w="1806" w:type="dxa"/>
                        <w:tcBorders>
                          <w:top w:val="nil"/>
                          <w:left w:val="nil"/>
                          <w:bottom w:val="nil"/>
                          <w:right w:val="nil"/>
                        </w:tcBorders>
                      </w:tcPr>
                      <w:p>
                        <w:pPr>
                          <w:pStyle w:val="TableParagraph"/>
                          <w:spacing w:line="249" w:lineRule="exact" w:before="0"/>
                          <w:ind w:left="108" w:right="0"/>
                          <w:jc w:val="left"/>
                          <w:rPr>
                            <w:rFonts w:ascii="Arial"/>
                            <w:i/>
                            <w:sz w:val="14"/>
                          </w:rPr>
                        </w:pPr>
                        <w:r>
                          <w:rPr>
                            <w:rFonts w:ascii="Arial"/>
                            <w:i/>
                            <w:position w:val="3"/>
                            <w:sz w:val="22"/>
                          </w:rPr>
                          <w:t>V</w:t>
                        </w:r>
                        <w:r>
                          <w:rPr>
                            <w:rFonts w:ascii="Arial"/>
                            <w:i/>
                            <w:sz w:val="14"/>
                          </w:rPr>
                          <w:t>media</w:t>
                        </w:r>
                      </w:p>
                    </w:tc>
                    <w:tc>
                      <w:tcPr>
                        <w:tcW w:w="5771" w:type="dxa"/>
                        <w:tcBorders>
                          <w:top w:val="nil"/>
                          <w:left w:val="nil"/>
                          <w:bottom w:val="nil"/>
                          <w:right w:val="nil"/>
                        </w:tcBorders>
                      </w:tcPr>
                      <w:p>
                        <w:pPr>
                          <w:pStyle w:val="TableParagraph"/>
                          <w:spacing w:line="234" w:lineRule="exact" w:before="0"/>
                          <w:ind w:left="145" w:right="0"/>
                          <w:jc w:val="left"/>
                          <w:rPr>
                            <w:rFonts w:ascii="Arial"/>
                            <w:sz w:val="22"/>
                          </w:rPr>
                        </w:pPr>
                        <w:r>
                          <w:rPr>
                            <w:rFonts w:ascii="Arial"/>
                            <w:sz w:val="22"/>
                          </w:rPr>
                          <w:t>Volumen del empaque</w:t>
                        </w:r>
                      </w:p>
                    </w:tc>
                    <w:tc>
                      <w:tcPr>
                        <w:tcW w:w="1603" w:type="dxa"/>
                        <w:tcBorders>
                          <w:top w:val="nil"/>
                          <w:left w:val="nil"/>
                          <w:bottom w:val="nil"/>
                          <w:right w:val="nil"/>
                        </w:tcBorders>
                      </w:tcPr>
                      <w:p>
                        <w:pPr>
                          <w:pStyle w:val="TableParagraph"/>
                          <w:spacing w:line="234" w:lineRule="exact" w:before="0"/>
                          <w:ind w:left="151" w:right="111"/>
                          <w:jc w:val="center"/>
                          <w:rPr>
                            <w:rFonts w:ascii="Arial"/>
                            <w:sz w:val="14"/>
                          </w:rPr>
                        </w:pPr>
                        <w:r>
                          <w:rPr>
                            <w:rFonts w:ascii="Arial"/>
                            <w:position w:val="-9"/>
                            <w:sz w:val="22"/>
                          </w:rPr>
                          <w:t>m</w:t>
                        </w:r>
                        <w:r>
                          <w:rPr>
                            <w:rFonts w:ascii="Arial"/>
                            <w:sz w:val="14"/>
                          </w:rPr>
                          <w:t>3</w:t>
                        </w:r>
                      </w:p>
                    </w:tc>
                  </w:tr>
                  <w:tr>
                    <w:trPr>
                      <w:trHeight w:val="1028" w:hRule="exact"/>
                    </w:trPr>
                    <w:tc>
                      <w:tcPr>
                        <w:tcW w:w="9180" w:type="dxa"/>
                        <w:gridSpan w:val="3"/>
                        <w:tcBorders>
                          <w:top w:val="nil"/>
                          <w:left w:val="nil"/>
                          <w:bottom w:val="nil"/>
                          <w:right w:val="nil"/>
                        </w:tcBorders>
                      </w:tcPr>
                      <w:p>
                        <w:pPr>
                          <w:pStyle w:val="TableParagraph"/>
                          <w:tabs>
                            <w:tab w:pos="1951" w:val="left" w:leader="none"/>
                            <w:tab w:pos="7929" w:val="left" w:leader="none"/>
                          </w:tabs>
                          <w:spacing w:line="371" w:lineRule="exact" w:before="0"/>
                          <w:ind w:left="108" w:right="0"/>
                          <w:jc w:val="left"/>
                          <w:rPr>
                            <w:rFonts w:ascii="Arial" w:hAnsi="Arial"/>
                            <w:sz w:val="22"/>
                          </w:rPr>
                        </w:pPr>
                        <w:r>
                          <w:rPr>
                            <w:rFonts w:ascii="Arial" w:hAnsi="Arial"/>
                            <w:i/>
                            <w:position w:val="-12"/>
                            <w:sz w:val="22"/>
                          </w:rPr>
                          <w:t>VOCR</w:t>
                          <w:tab/>
                        </w:r>
                        <w:r>
                          <w:rPr>
                            <w:rFonts w:ascii="Arial" w:hAnsi="Arial"/>
                            <w:sz w:val="22"/>
                          </w:rPr>
                          <w:t>Tasa volumétrica de consumo de oxígeno</w:t>
                        </w:r>
                        <w:r>
                          <w:rPr>
                            <w:rFonts w:ascii="Arial" w:hAnsi="Arial"/>
                            <w:spacing w:val="-12"/>
                            <w:sz w:val="22"/>
                          </w:rPr>
                          <w:t> </w:t>
                        </w:r>
                        <w:r>
                          <w:rPr>
                            <w:rFonts w:ascii="Arial" w:hAnsi="Arial"/>
                            <w:sz w:val="22"/>
                          </w:rPr>
                          <w:t>por bacterias</w:t>
                          <w:tab/>
                        </w:r>
                        <w:r>
                          <w:rPr>
                            <w:rFonts w:ascii="Arial" w:hAnsi="Arial"/>
                            <w:position w:val="-12"/>
                            <w:sz w:val="22"/>
                          </w:rPr>
                          <w:t>g O /m</w:t>
                        </w:r>
                        <w:r>
                          <w:rPr>
                            <w:rFonts w:ascii="Arial" w:hAnsi="Arial"/>
                            <w:position w:val="-2"/>
                            <w:sz w:val="14"/>
                          </w:rPr>
                          <w:t>3 </w:t>
                        </w:r>
                        <w:r>
                          <w:rPr>
                            <w:rFonts w:ascii="Arial" w:hAnsi="Arial"/>
                            <w:spacing w:val="1"/>
                            <w:position w:val="-2"/>
                            <w:sz w:val="14"/>
                          </w:rPr>
                          <w:t> </w:t>
                        </w:r>
                        <w:r>
                          <w:rPr>
                            <w:rFonts w:ascii="Arial" w:hAnsi="Arial"/>
                            <w:position w:val="-12"/>
                            <w:sz w:val="22"/>
                          </w:rPr>
                          <w:t>d</w:t>
                        </w:r>
                      </w:p>
                      <w:p>
                        <w:pPr>
                          <w:pStyle w:val="TableParagraph"/>
                          <w:tabs>
                            <w:tab w:pos="1951" w:val="left" w:leader="none"/>
                            <w:tab w:pos="7929" w:val="left" w:leader="none"/>
                          </w:tabs>
                          <w:spacing w:before="123"/>
                          <w:ind w:left="108" w:right="0"/>
                          <w:jc w:val="left"/>
                          <w:rPr>
                            <w:rFonts w:ascii="Arial" w:hAnsi="Arial"/>
                            <w:sz w:val="22"/>
                          </w:rPr>
                        </w:pPr>
                        <w:r>
                          <w:rPr>
                            <w:rFonts w:ascii="Arial" w:hAnsi="Arial"/>
                            <w:i/>
                            <w:position w:val="-12"/>
                            <w:sz w:val="22"/>
                          </w:rPr>
                          <w:t>VOCR</w:t>
                          <w:tab/>
                        </w:r>
                        <w:r>
                          <w:rPr>
                            <w:rFonts w:ascii="Arial" w:hAnsi="Arial"/>
                            <w:sz w:val="22"/>
                          </w:rPr>
                          <w:t>Tasa volumétrica de consumo de oxígeno</w:t>
                        </w:r>
                        <w:r>
                          <w:rPr>
                            <w:rFonts w:ascii="Arial" w:hAnsi="Arial"/>
                            <w:spacing w:val="-12"/>
                            <w:sz w:val="22"/>
                          </w:rPr>
                          <w:t> </w:t>
                        </w:r>
                        <w:r>
                          <w:rPr>
                            <w:rFonts w:ascii="Arial" w:hAnsi="Arial"/>
                            <w:sz w:val="22"/>
                          </w:rPr>
                          <w:t>por bacterias</w:t>
                          <w:tab/>
                        </w:r>
                        <w:r>
                          <w:rPr>
                            <w:rFonts w:ascii="Arial" w:hAnsi="Arial"/>
                            <w:position w:val="-12"/>
                            <w:sz w:val="22"/>
                          </w:rPr>
                          <w:t>g O /m</w:t>
                        </w:r>
                        <w:r>
                          <w:rPr>
                            <w:rFonts w:ascii="Arial" w:hAnsi="Arial"/>
                            <w:position w:val="-2"/>
                            <w:sz w:val="14"/>
                          </w:rPr>
                          <w:t>3 </w:t>
                        </w:r>
                        <w:r>
                          <w:rPr>
                            <w:rFonts w:ascii="Arial" w:hAnsi="Arial"/>
                            <w:spacing w:val="1"/>
                            <w:position w:val="-2"/>
                            <w:sz w:val="14"/>
                          </w:rPr>
                          <w:t> </w:t>
                        </w:r>
                        <w:r>
                          <w:rPr>
                            <w:rFonts w:ascii="Arial" w:hAnsi="Arial"/>
                            <w:position w:val="-12"/>
                            <w:sz w:val="22"/>
                          </w:rPr>
                          <w:t>d</w:t>
                        </w:r>
                      </w:p>
                    </w:tc>
                  </w:tr>
                  <w:tr>
                    <w:trPr>
                      <w:trHeight w:val="236" w:hRule="exact"/>
                    </w:trPr>
                    <w:tc>
                      <w:tcPr>
                        <w:tcW w:w="1806" w:type="dxa"/>
                        <w:tcBorders>
                          <w:top w:val="nil"/>
                          <w:left w:val="nil"/>
                          <w:bottom w:val="nil"/>
                          <w:right w:val="nil"/>
                        </w:tcBorders>
                      </w:tcPr>
                      <w:p>
                        <w:pPr>
                          <w:pStyle w:val="TableParagraph"/>
                          <w:spacing w:line="226" w:lineRule="exact" w:before="0"/>
                          <w:ind w:left="108" w:right="0"/>
                          <w:jc w:val="left"/>
                          <w:rPr>
                            <w:rFonts w:ascii="Arial"/>
                            <w:sz w:val="22"/>
                          </w:rPr>
                        </w:pPr>
                        <w:r>
                          <w:rPr>
                            <w:rFonts w:ascii="Arial"/>
                            <w:sz w:val="22"/>
                          </w:rPr>
                          <w:t>YSI</w:t>
                        </w:r>
                      </w:p>
                    </w:tc>
                    <w:tc>
                      <w:tcPr>
                        <w:tcW w:w="5771" w:type="dxa"/>
                        <w:tcBorders>
                          <w:top w:val="nil"/>
                          <w:left w:val="nil"/>
                          <w:bottom w:val="nil"/>
                          <w:right w:val="nil"/>
                        </w:tcBorders>
                      </w:tcPr>
                      <w:p>
                        <w:pPr>
                          <w:pStyle w:val="TableParagraph"/>
                          <w:spacing w:line="226" w:lineRule="exact" w:before="0"/>
                          <w:ind w:left="154" w:right="0"/>
                          <w:jc w:val="left"/>
                          <w:rPr>
                            <w:rFonts w:ascii="Arial"/>
                            <w:sz w:val="22"/>
                          </w:rPr>
                        </w:pPr>
                        <w:r>
                          <w:rPr>
                            <w:rFonts w:ascii="Arial"/>
                            <w:sz w:val="22"/>
                          </w:rPr>
                          <w:t>Yellow Springs Instrument Company</w:t>
                        </w:r>
                      </w:p>
                    </w:tc>
                    <w:tc>
                      <w:tcPr>
                        <w:tcW w:w="1603" w:type="dxa"/>
                        <w:tcBorders>
                          <w:top w:val="nil"/>
                          <w:left w:val="nil"/>
                          <w:bottom w:val="nil"/>
                          <w:right w:val="nil"/>
                        </w:tcBorders>
                      </w:tcPr>
                      <w:p>
                        <w:pPr/>
                      </w:p>
                    </w:tc>
                  </w:tr>
                  <w:tr>
                    <w:trPr>
                      <w:trHeight w:val="261" w:hRule="exact"/>
                    </w:trPr>
                    <w:tc>
                      <w:tcPr>
                        <w:tcW w:w="1806" w:type="dxa"/>
                        <w:tcBorders>
                          <w:top w:val="nil"/>
                          <w:left w:val="nil"/>
                          <w:bottom w:val="nil"/>
                          <w:right w:val="nil"/>
                        </w:tcBorders>
                      </w:tcPr>
                      <w:p>
                        <w:pPr>
                          <w:pStyle w:val="TableParagraph"/>
                          <w:spacing w:line="254" w:lineRule="exact" w:before="0"/>
                          <w:ind w:left="107" w:right="0"/>
                          <w:jc w:val="left"/>
                          <w:rPr>
                            <w:rFonts w:ascii="Arial" w:hAnsi="Arial"/>
                            <w:i/>
                            <w:sz w:val="14"/>
                          </w:rPr>
                        </w:pPr>
                        <w:r>
                          <w:rPr>
                            <w:rFonts w:ascii="Arial" w:hAnsi="Arial"/>
                            <w:i/>
                            <w:w w:val="105"/>
                            <w:sz w:val="22"/>
                          </w:rPr>
                          <w:t>∆O</w:t>
                        </w:r>
                        <w:r>
                          <w:rPr>
                            <w:rFonts w:ascii="Arial" w:hAnsi="Arial"/>
                            <w:i/>
                            <w:w w:val="105"/>
                            <w:position w:val="-2"/>
                            <w:sz w:val="14"/>
                          </w:rPr>
                          <w:t>2</w:t>
                        </w:r>
                      </w:p>
                    </w:tc>
                    <w:tc>
                      <w:tcPr>
                        <w:tcW w:w="5771" w:type="dxa"/>
                        <w:tcBorders>
                          <w:top w:val="nil"/>
                          <w:left w:val="nil"/>
                          <w:bottom w:val="nil"/>
                          <w:right w:val="nil"/>
                        </w:tcBorders>
                      </w:tcPr>
                      <w:p>
                        <w:pPr>
                          <w:pStyle w:val="TableParagraph"/>
                          <w:spacing w:line="241" w:lineRule="exact" w:before="0"/>
                          <w:ind w:left="145" w:right="0"/>
                          <w:jc w:val="left"/>
                          <w:rPr>
                            <w:rFonts w:ascii="Arial" w:hAnsi="Arial"/>
                            <w:sz w:val="22"/>
                          </w:rPr>
                        </w:pPr>
                        <w:r>
                          <w:rPr>
                            <w:rFonts w:ascii="Arial" w:hAnsi="Arial"/>
                            <w:sz w:val="22"/>
                          </w:rPr>
                          <w:t>Tasa de cambio de oxígeno disuelto en el agua</w:t>
                        </w:r>
                      </w:p>
                    </w:tc>
                    <w:tc>
                      <w:tcPr>
                        <w:tcW w:w="1603" w:type="dxa"/>
                        <w:tcBorders>
                          <w:top w:val="nil"/>
                          <w:left w:val="nil"/>
                          <w:bottom w:val="nil"/>
                          <w:right w:val="nil"/>
                        </w:tcBorders>
                      </w:tcPr>
                      <w:p>
                        <w:pPr>
                          <w:pStyle w:val="TableParagraph"/>
                          <w:spacing w:line="241" w:lineRule="exact" w:before="0"/>
                          <w:ind w:left="152" w:right="111"/>
                          <w:jc w:val="center"/>
                          <w:rPr>
                            <w:rFonts w:ascii="Arial"/>
                            <w:sz w:val="22"/>
                          </w:rPr>
                        </w:pPr>
                        <w:r>
                          <w:rPr>
                            <w:rFonts w:ascii="Arial"/>
                            <w:sz w:val="22"/>
                          </w:rPr>
                          <w:t>mg/L</w:t>
                        </w:r>
                      </w:p>
                    </w:tc>
                  </w:tr>
                  <w:tr>
                    <w:trPr>
                      <w:trHeight w:val="228" w:hRule="exact"/>
                    </w:trPr>
                    <w:tc>
                      <w:tcPr>
                        <w:tcW w:w="1806" w:type="dxa"/>
                        <w:tcBorders>
                          <w:top w:val="nil"/>
                          <w:left w:val="nil"/>
                          <w:bottom w:val="nil"/>
                          <w:right w:val="nil"/>
                        </w:tcBorders>
                      </w:tcPr>
                      <w:p>
                        <w:pPr>
                          <w:pStyle w:val="TableParagraph"/>
                          <w:spacing w:line="234" w:lineRule="exact" w:before="0"/>
                          <w:ind w:left="107" w:right="0"/>
                          <w:jc w:val="left"/>
                          <w:rPr>
                            <w:rFonts w:ascii="Arial" w:hAnsi="Arial"/>
                            <w:i/>
                            <w:sz w:val="22"/>
                          </w:rPr>
                        </w:pPr>
                        <w:r>
                          <w:rPr>
                            <w:rFonts w:ascii="Arial" w:hAnsi="Arial"/>
                            <w:i/>
                            <w:w w:val="105"/>
                            <w:sz w:val="22"/>
                          </w:rPr>
                          <w:t>∆pH</w:t>
                        </w:r>
                      </w:p>
                    </w:tc>
                    <w:tc>
                      <w:tcPr>
                        <w:tcW w:w="5771" w:type="dxa"/>
                        <w:tcBorders>
                          <w:top w:val="nil"/>
                          <w:left w:val="nil"/>
                          <w:bottom w:val="nil"/>
                          <w:right w:val="nil"/>
                        </w:tcBorders>
                      </w:tcPr>
                      <w:p>
                        <w:pPr>
                          <w:pStyle w:val="TableParagraph"/>
                          <w:spacing w:line="234" w:lineRule="exact" w:before="0"/>
                          <w:ind w:left="145" w:right="0"/>
                          <w:jc w:val="left"/>
                          <w:rPr>
                            <w:rFonts w:ascii="Arial" w:hAnsi="Arial"/>
                            <w:sz w:val="22"/>
                          </w:rPr>
                        </w:pPr>
                        <w:r>
                          <w:rPr>
                            <w:rFonts w:ascii="Arial" w:hAnsi="Arial"/>
                            <w:sz w:val="22"/>
                          </w:rPr>
                          <w:t>Tasa de cambio en la concentración de pH</w:t>
                        </w:r>
                      </w:p>
                    </w:tc>
                    <w:tc>
                      <w:tcPr>
                        <w:tcW w:w="1603" w:type="dxa"/>
                        <w:tcBorders>
                          <w:top w:val="nil"/>
                          <w:left w:val="nil"/>
                          <w:bottom w:val="nil"/>
                          <w:right w:val="nil"/>
                        </w:tcBorders>
                      </w:tcPr>
                      <w:p>
                        <w:pPr/>
                      </w:p>
                    </w:tc>
                  </w:tr>
                  <w:tr>
                    <w:trPr>
                      <w:trHeight w:val="267" w:hRule="exact"/>
                    </w:trPr>
                    <w:tc>
                      <w:tcPr>
                        <w:tcW w:w="1806" w:type="dxa"/>
                        <w:tcBorders>
                          <w:top w:val="nil"/>
                          <w:left w:val="nil"/>
                          <w:right w:val="nil"/>
                        </w:tcBorders>
                      </w:tcPr>
                      <w:p>
                        <w:pPr>
                          <w:pStyle w:val="TableParagraph"/>
                          <w:spacing w:before="5"/>
                          <w:ind w:left="108" w:right="0"/>
                          <w:jc w:val="left"/>
                          <w:rPr>
                            <w:rFonts w:ascii="Arial" w:hAnsi="Arial"/>
                            <w:sz w:val="22"/>
                          </w:rPr>
                        </w:pPr>
                        <w:r>
                          <w:rPr>
                            <w:rFonts w:ascii="Arial" w:hAnsi="Arial"/>
                            <w:w w:val="100"/>
                            <w:sz w:val="22"/>
                          </w:rPr>
                          <w:t>ρ</w:t>
                        </w:r>
                      </w:p>
                    </w:tc>
                    <w:tc>
                      <w:tcPr>
                        <w:tcW w:w="5771" w:type="dxa"/>
                        <w:tcBorders>
                          <w:top w:val="nil"/>
                          <w:left w:val="nil"/>
                          <w:right w:val="nil"/>
                        </w:tcBorders>
                      </w:tcPr>
                      <w:p>
                        <w:pPr>
                          <w:pStyle w:val="TableParagraph"/>
                          <w:spacing w:before="5"/>
                          <w:ind w:left="154" w:right="0"/>
                          <w:jc w:val="left"/>
                          <w:rPr>
                            <w:rFonts w:ascii="Arial"/>
                            <w:sz w:val="22"/>
                          </w:rPr>
                        </w:pPr>
                        <w:r>
                          <w:rPr>
                            <w:rFonts w:ascii="Arial"/>
                            <w:sz w:val="22"/>
                          </w:rPr>
                          <w:t>Densidad</w:t>
                        </w:r>
                      </w:p>
                    </w:tc>
                    <w:tc>
                      <w:tcPr>
                        <w:tcW w:w="1603" w:type="dxa"/>
                        <w:tcBorders>
                          <w:top w:val="nil"/>
                          <w:left w:val="nil"/>
                          <w:right w:val="nil"/>
                        </w:tcBorders>
                      </w:tcPr>
                      <w:p>
                        <w:pPr>
                          <w:pStyle w:val="TableParagraph"/>
                          <w:spacing w:line="258" w:lineRule="exact" w:before="0"/>
                          <w:ind w:left="153" w:right="110"/>
                          <w:jc w:val="center"/>
                          <w:rPr>
                            <w:rFonts w:ascii="Arial"/>
                            <w:sz w:val="14"/>
                          </w:rPr>
                        </w:pPr>
                        <w:r>
                          <w:rPr>
                            <w:rFonts w:ascii="Arial"/>
                            <w:sz w:val="22"/>
                          </w:rPr>
                          <w:t>kg/m</w:t>
                        </w:r>
                        <w:r>
                          <w:rPr>
                            <w:rFonts w:ascii="Arial"/>
                            <w:position w:val="10"/>
                            <w:sz w:val="14"/>
                          </w:rPr>
                          <w:t>3</w:t>
                        </w:r>
                      </w:p>
                    </w:tc>
                  </w:tr>
                </w:tbl>
                <w:p>
                  <w:pPr>
                    <w:pStyle w:val="BodyText"/>
                  </w:pPr>
                </w:p>
              </w:txbxContent>
            </v:textbox>
            <w10:wrap type="none"/>
          </v:shape>
        </w:pict>
      </w:r>
      <w:r>
        <w:rPr>
          <w:i/>
          <w:sz w:val="14"/>
        </w:rPr>
        <w:t>nit</w:t>
      </w:r>
    </w:p>
    <w:p>
      <w:pPr>
        <w:pStyle w:val="BodyText"/>
        <w:tabs>
          <w:tab w:pos="7433" w:val="right" w:leader="none"/>
        </w:tabs>
        <w:spacing w:before="236"/>
        <w:ind w:left="1020"/>
        <w:rPr>
          <w:sz w:val="14"/>
        </w:rPr>
      </w:pPr>
      <w:r>
        <w:rPr/>
        <w:br w:type="column"/>
      </w:r>
      <w:r>
        <w:rPr/>
        <w:t>nitrificantes</w:t>
      </w:r>
      <w:r>
        <w:rPr>
          <w:rFonts w:ascii="Times New Roman"/>
          <w:position w:val="9"/>
          <w:sz w:val="14"/>
        </w:rPr>
        <w:tab/>
      </w:r>
      <w:r>
        <w:rPr>
          <w:position w:val="9"/>
          <w:sz w:val="14"/>
        </w:rPr>
        <w:t>2</w:t>
      </w:r>
    </w:p>
    <w:p>
      <w:pPr>
        <w:spacing w:after="0"/>
        <w:rPr>
          <w:sz w:val="14"/>
        </w:rPr>
        <w:sectPr>
          <w:type w:val="continuous"/>
          <w:pgSz w:w="12240" w:h="15840"/>
          <w:pgMar w:top="0" w:bottom="0" w:left="920" w:right="1200"/>
          <w:cols w:num="2" w:equalWidth="0">
            <w:col w:w="1565" w:space="40"/>
            <w:col w:w="851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Heading2"/>
        <w:spacing w:line="242" w:lineRule="auto" w:before="53"/>
        <w:ind w:left="3589" w:firstLine="396"/>
      </w:pPr>
      <w:bookmarkStart w:name="_TOC_250072" w:id="11"/>
      <w:bookmarkStart w:name="Capítulo 1. Introducción" w:id="12"/>
      <w:r>
        <w:rPr/>
      </w:r>
      <w:r>
        <w:rPr>
          <w:w w:val="105"/>
        </w:rPr>
        <w:t>CAPÍTULO 1 </w:t>
      </w:r>
      <w:bookmarkEnd w:id="11"/>
      <w:r>
        <w:rPr/>
        <w:t>INTRODUCCIÓN</w:t>
      </w:r>
    </w:p>
    <w:p>
      <w:pPr>
        <w:spacing w:after="0" w:line="242" w:lineRule="auto"/>
        <w:sectPr>
          <w:pgSz w:w="12240" w:h="15840"/>
          <w:pgMar w:header="725" w:footer="1084" w:top="1340" w:bottom="1280" w:left="920" w:right="1200"/>
        </w:sectPr>
      </w:pPr>
    </w:p>
    <w:p>
      <w:pPr>
        <w:pStyle w:val="Heading5"/>
        <w:numPr>
          <w:ilvl w:val="0"/>
          <w:numId w:val="7"/>
        </w:numPr>
        <w:tabs>
          <w:tab w:pos="1027" w:val="left" w:leader="none"/>
        </w:tabs>
        <w:spacing w:line="240" w:lineRule="auto" w:before="172" w:after="0"/>
        <w:ind w:left="1026" w:right="0" w:hanging="245"/>
        <w:jc w:val="both"/>
      </w:pPr>
      <w:r>
        <w:rPr/>
        <w:t>INTRODUCCIÓN</w:t>
      </w:r>
    </w:p>
    <w:p>
      <w:pPr>
        <w:pStyle w:val="BodyText"/>
        <w:spacing w:before="11"/>
        <w:rPr>
          <w:b/>
          <w:sz w:val="20"/>
        </w:rPr>
      </w:pPr>
    </w:p>
    <w:p>
      <w:pPr>
        <w:pStyle w:val="BodyText"/>
        <w:spacing w:line="360" w:lineRule="auto"/>
        <w:ind w:left="781" w:right="499"/>
        <w:jc w:val="both"/>
      </w:pPr>
      <w:r>
        <w:rPr/>
        <w:t>En México, la competencia por el recurso agua ha impactado negativamente algunas actividades como la acuicultura. Las presiones sociales y gubernamentales cada vez son mayores, a tal grado que las concesiones de uso de agua son más difíciles de obtener y  el trámite es más estricto que en décadas pasadas (CNA,</w:t>
      </w:r>
      <w:r>
        <w:rPr>
          <w:spacing w:val="-25"/>
        </w:rPr>
        <w:t> </w:t>
      </w:r>
      <w:r>
        <w:rPr/>
        <w:t>2006).</w:t>
      </w:r>
    </w:p>
    <w:p>
      <w:pPr>
        <w:pStyle w:val="BodyText"/>
        <w:spacing w:before="7"/>
        <w:rPr>
          <w:sz w:val="17"/>
        </w:rPr>
      </w:pPr>
    </w:p>
    <w:p>
      <w:pPr>
        <w:pStyle w:val="BodyText"/>
        <w:spacing w:line="360" w:lineRule="auto"/>
        <w:ind w:left="781" w:right="499"/>
        <w:jc w:val="both"/>
      </w:pPr>
      <w:r>
        <w:rPr/>
        <w:t>La Ley de Aguas Nacionales decreta que el agua disponible para la acuicultura se encuentra en el número ocho de prelación, es decir, existen siete actividades humanas prioritarias en el uso del agua en México antes que la acuicultura (DOF, 2004).</w:t>
      </w:r>
    </w:p>
    <w:p>
      <w:pPr>
        <w:pStyle w:val="BodyText"/>
        <w:spacing w:before="7"/>
        <w:rPr>
          <w:sz w:val="17"/>
        </w:rPr>
      </w:pPr>
    </w:p>
    <w:p>
      <w:pPr>
        <w:pStyle w:val="BodyText"/>
        <w:spacing w:line="360" w:lineRule="auto"/>
        <w:ind w:left="781" w:right="498"/>
        <w:jc w:val="both"/>
      </w:pPr>
      <w:r>
        <w:rPr/>
        <w:t>En el marco de esta problemática, los productores de trucha arcoíris del Estado de México realizan esfuerzos en la búsqueda de estrategias técnicas más viables y rentables que se puedan aplicar a la producción de este organismo. Lo anterior incluye la recirculación acuícola, el uso de fuentes alternas de agua y de energía, la intensificación en la producción del cultivo, la diversificación del producto final, entre otras (Gallego </w:t>
      </w:r>
      <w:r>
        <w:rPr>
          <w:i/>
        </w:rPr>
        <w:t>et al</w:t>
      </w:r>
      <w:r>
        <w:rPr/>
        <w:t>., 2007). No obstante que la tecnología puede ayudar a dar soluciones a esta problemática, para que pueda ser transferida a los productores, debe ser adaptada a las características de la actividad trutícola en México.</w:t>
      </w:r>
    </w:p>
    <w:p>
      <w:pPr>
        <w:pStyle w:val="BodyText"/>
        <w:spacing w:before="7"/>
        <w:rPr>
          <w:sz w:val="17"/>
        </w:rPr>
      </w:pPr>
    </w:p>
    <w:p>
      <w:pPr>
        <w:pStyle w:val="BodyText"/>
        <w:spacing w:line="360" w:lineRule="auto"/>
        <w:ind w:left="781" w:right="498"/>
        <w:jc w:val="both"/>
      </w:pPr>
      <w:r>
        <w:rPr/>
        <w:t>Bajo este esquema, existen dos propuestas con las que se ha trabajado en esta investigación; la primera es la cosecha de agua de lluvia como fuente abastecedora de agua para el cultivo de trucha arcoíris y la segunda es el uso de sistemas de recirculación de agua (sistemas cerrados) en este cultivo para tratar y reutilizar el agua.</w:t>
      </w:r>
    </w:p>
    <w:p>
      <w:pPr>
        <w:pStyle w:val="BodyText"/>
        <w:spacing w:before="7"/>
        <w:rPr>
          <w:sz w:val="17"/>
        </w:rPr>
      </w:pPr>
    </w:p>
    <w:p>
      <w:pPr>
        <w:pStyle w:val="BodyText"/>
        <w:spacing w:line="360" w:lineRule="auto"/>
        <w:ind w:left="781" w:right="496"/>
        <w:jc w:val="both"/>
      </w:pPr>
      <w:r>
        <w:rPr/>
        <w:t>La técnica de captación y aprovechamiento del agua de lluvia se ha utilizado en lugares donde la precipitación anual es media o alta (&gt; 800 mm anuales). En México, los  depósitos artificiales de almacenamiento de agua han sido utilizados desde los tiempos precolombinos para actividades agropecuarias en áreas pequeñas. En zonas arqueológicas como Xochicalco, Morelos, así como en la península de Yucatán desde el año 300 a.C., se emplearon sistemas conocidos como chulés (Garrido </w:t>
      </w:r>
      <w:r>
        <w:rPr>
          <w:i/>
        </w:rPr>
        <w:t>et al., </w:t>
      </w:r>
      <w:r>
        <w:rPr/>
        <w:t>2005). Las ventajas de utilizar el agua de lluvia son que ésta tiene, en la mayoría de los casos, una buena calidad físico-química, y que aprovecharla demanda un escaso o nulo consumo de energía</w:t>
      </w:r>
      <w:r>
        <w:rPr>
          <w:spacing w:val="-7"/>
        </w:rPr>
        <w:t> </w:t>
      </w:r>
      <w:r>
        <w:rPr/>
        <w:t>eléctrica.</w:t>
      </w:r>
    </w:p>
    <w:p>
      <w:pPr>
        <w:pStyle w:val="BodyText"/>
        <w:spacing w:before="7"/>
        <w:rPr>
          <w:sz w:val="17"/>
        </w:rPr>
      </w:pPr>
    </w:p>
    <w:p>
      <w:pPr>
        <w:pStyle w:val="BodyText"/>
        <w:spacing w:line="360" w:lineRule="auto"/>
        <w:ind w:left="781" w:right="498"/>
        <w:jc w:val="both"/>
      </w:pPr>
      <w:r>
        <w:rPr/>
        <w:t>En la actualidad, existe una gran diversidad de técnicas utilizadas para captar agua de lluvia, almacenarla y depurarla. Estas variantes están en función de los usos y costumbres</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500"/>
        <w:jc w:val="both"/>
      </w:pPr>
      <w:r>
        <w:rPr/>
        <w:t>de cada región. Los estudios que se han realizado, muestran la viabilidad de implementar este tipo de sistemas en comunidades rurales (Ávila, 2008).</w:t>
      </w:r>
    </w:p>
    <w:p>
      <w:pPr>
        <w:pStyle w:val="BodyText"/>
        <w:spacing w:before="9"/>
        <w:rPr>
          <w:sz w:val="17"/>
        </w:rPr>
      </w:pPr>
    </w:p>
    <w:p>
      <w:pPr>
        <w:pStyle w:val="BodyText"/>
        <w:spacing w:line="360" w:lineRule="auto"/>
        <w:ind w:left="781" w:right="497"/>
        <w:jc w:val="both"/>
      </w:pPr>
      <w:r>
        <w:rPr/>
        <w:pict>
          <v:shape style="position:absolute;margin-left:213pt;margin-top:203.037582pt;width:67.6pt;height:28.45pt;mso-position-horizontal-relative:page;mso-position-vertical-relative:paragraph;z-index:-1530112" type="#_x0000_t202" filled="false" stroked="false">
            <v:textbox inset="0,0,0,0">
              <w:txbxContent>
                <w:p>
                  <w:pPr>
                    <w:pStyle w:val="BodyText"/>
                    <w:spacing w:before="8"/>
                    <w:rPr>
                      <w:sz w:val="11"/>
                    </w:rPr>
                  </w:pPr>
                </w:p>
                <w:p>
                  <w:pPr>
                    <w:spacing w:line="254" w:lineRule="auto" w:before="1"/>
                    <w:ind w:left="343" w:right="28" w:hanging="276"/>
                    <w:jc w:val="left"/>
                    <w:rPr>
                      <w:rFonts w:ascii="Times New Roman" w:hAnsi="Times New Roman"/>
                      <w:b/>
                      <w:sz w:val="13"/>
                    </w:rPr>
                  </w:pPr>
                  <w:r>
                    <w:rPr>
                      <w:rFonts w:ascii="Times New Roman" w:hAnsi="Times New Roman"/>
                      <w:b/>
                      <w:w w:val="105"/>
                      <w:sz w:val="13"/>
                    </w:rPr>
                    <w:t>Remoción de Bióxido de Carbono</w:t>
                  </w:r>
                </w:p>
              </w:txbxContent>
            </v:textbox>
            <w10:wrap type="none"/>
          </v:shape>
        </w:pict>
      </w:r>
      <w:r>
        <w:rPr/>
        <w:t>Los sistemas de recirculación acuícola se han venido desarrollando desde hace más de 30 años, principalmente en los países en desarrollo con el objeto de disminuir la cantidad de agua utilizada en las unidades de producción acuícola, mejorando también el control  de enfermedades, crecimiento y en general la eficiencia del cultivo. No obstante de los beneficios descritos, los sistemas de recirculación acuícola (SRA) tienen la limitante de requerir de un consumo energético (Timmons, </w:t>
      </w:r>
      <w:r>
        <w:rPr>
          <w:i/>
        </w:rPr>
        <w:t>et al</w:t>
      </w:r>
      <w:r>
        <w:rPr/>
        <w:t>., 2002). En general, los SRA se componen de cinco principales etapas (procesos y operaciones) que permiten sostener la calidad de agua necesaria para la vida acuática, los cuales son: circulación de agua, remoción de sólidos, biofiltración, oxigenación y eliminación de gases. Otros componentes complementarios son: eliminación de color, filtración y desinfección (figura</w:t>
      </w:r>
      <w:r>
        <w:rPr>
          <w:spacing w:val="-27"/>
        </w:rPr>
        <w:t> </w:t>
      </w:r>
      <w:r>
        <w:rPr/>
        <w:t>1).</w:t>
      </w:r>
    </w:p>
    <w:p>
      <w:pPr>
        <w:pStyle w:val="BodyText"/>
        <w:spacing w:before="6"/>
        <w:rPr>
          <w:sz w:val="14"/>
        </w:rPr>
      </w:pPr>
      <w:r>
        <w:rPr/>
        <w:pict>
          <v:group style="position:absolute;margin-left:144.419998pt;margin-top:10.30411pt;width:325pt;height:244.6pt;mso-position-horizontal-relative:page;mso-position-vertical-relative:paragraph;z-index:1672;mso-wrap-distance-left:0;mso-wrap-distance-right:0" coordorigin="2888,206" coordsize="6500,4892">
            <v:shape style="position:absolute;left:5909;top:1030;width:1651;height:1799" type="#_x0000_t75" stroked="false">
              <v:imagedata r:id="rId9" o:title=""/>
            </v:shape>
            <v:shape style="position:absolute;left:5909;top:1035;width:1652;height:1788" coordorigin="5909,1035" coordsize="1652,1788" path="m6734,1035l6674,1038,6614,1045,6547,1058,6483,1078,6421,1102,6361,1132,6304,1167,6249,1206,6198,1250,6151,1297,6106,1349,6066,1405,6034,1456,6006,1510,5980,1566,5959,1624,5941,1684,5926,1746,5916,1809,5910,1874,5909,1930,5909,1940,5912,2005,5919,2070,5930,2132,5945,2193,5964,2253,5987,2310,6013,2365,6043,2418,6076,2469,6117,2523,6162,2574,6211,2620,6263,2663,6318,2701,6376,2735,6436,2763,6499,2786,6564,2804,6631,2816,6691,2822,6734,2823,6743,2823,6804,2820,6872,2811,6938,2796,7002,2775,7063,2749,7123,2718,7179,2683,7232,2642,7283,2598,7330,2549,7373,2496,7412,2440,7443,2388,7471,2334,7495,2278,7516,2219,7533,2159,7546,2097,7555,2033,7559,1968,7560,1930,7560,1921,7557,1855,7550,1791,7539,1728,7524,1666,7504,1607,7482,1549,7455,1494,7426,1441,7393,1390,7352,1336,7307,1285,7258,1238,7206,1196,7151,1158,7093,1124,7033,1096,6970,1072,6905,1054,6838,1042,6778,1037,6734,1035xe" filled="false" stroked="true" strokeweight=".57348pt" strokecolor="#000000">
              <v:path arrowok="t"/>
            </v:shape>
            <v:shape style="position:absolute;left:6132;top:2823;width:137;height:550" coordorigin="6132,2823" coordsize="137,550" path="m6178,3236l6132,3236,6202,3373,6258,3258,6178,3258,6178,3236xm6223,2823l6178,2823,6178,3258,6223,3258,6223,2823xm6269,3236l6223,3236,6223,3258,6258,3258,6269,3236xe" filled="true" fillcolor="#99cc00" stroked="false">
              <v:path arrowok="t"/>
              <v:fill type="solid"/>
            </v:shape>
            <v:rect style="position:absolute;left:3912;top:2274;width:1615;height:686" filled="true" fillcolor="#ffcc00" stroked="false">
              <v:fill type="solid"/>
            </v:rect>
            <v:rect style="position:absolute;left:3912;top:2274;width:1615;height:686" filled="false" stroked="true" strokeweight=".57348pt" strokecolor="#000000"/>
            <v:shape style="position:absolute;left:4366;top:3373;width:792;height:413" coordorigin="4366,3373" coordsize="792,413" path="m4762,3373l4693,3376,4628,3385,4568,3399,4506,3421,4453,3450,4406,3488,4372,3543,4366,3579,4366,3585,4386,3644,4429,3691,4486,3727,4546,3752,4605,3769,4669,3780,4738,3785,4762,3786,4773,3786,4843,3781,4908,3771,4968,3755,5030,3731,5088,3696,5134,3650,5157,3592,5158,3579,5157,3573,5138,3515,5096,3468,5041,3433,4983,3408,4916,3389,4852,3378,4785,3373,4762,3373xe" filled="true" fillcolor="#ccffcc" stroked="false">
              <v:path arrowok="t"/>
              <v:fill type="solid"/>
            </v:shape>
            <v:shape style="position:absolute;left:4366;top:3373;width:792;height:413" coordorigin="4366,3373" coordsize="792,413" path="m4762,3373l4693,3376,4628,3385,4568,3399,4506,3421,4453,3450,4406,3488,4372,3543,4366,3579,4366,3585,4386,3644,4429,3691,4486,3727,4546,3752,4605,3769,4669,3780,4738,3785,4762,3786,4773,3786,4843,3781,4908,3771,4968,3755,5030,3731,5088,3696,5134,3650,5157,3592,5158,3579,5157,3573,5138,3515,5096,3468,5041,3433,4983,3408,4916,3389,4852,3378,4785,3373,4762,3373xe" filled="false" stroked="true" strokeweight=".57348pt" strokecolor="#000000">
              <v:path arrowok="t"/>
            </v:shape>
            <v:shape style="position:absolute;left:4723;top:2960;width:137;height:413" coordorigin="4723,2960" coordsize="137,413" path="m4769,3236l4723,3236,4793,3373,4849,3258,4769,3258,4769,3236xm4814,2960l4769,2960,4769,3258,4814,3258,4814,2960xm4860,3236l4814,3236,4814,3258,4849,3258,4860,3236xe" filled="true" fillcolor="#99cc00" stroked="false">
              <v:path arrowok="t"/>
              <v:fill type="solid"/>
            </v:shape>
            <v:shape style="position:absolute;left:5527;top:2547;width:430;height:140" coordorigin="5527,2547" coordsize="430,140" path="m5664,2547l5527,2617,5664,2686,5664,2638,5640,2638,5640,2593,5664,2593,5664,2547xm5664,2593l5640,2593,5640,2638,5664,2638,5664,2593xm5957,2593l5664,2593,5664,2638,5957,2638,5957,2593xe" filled="true" fillcolor="#99cc00" stroked="false">
              <v:path arrowok="t"/>
              <v:fill type="solid"/>
            </v:shape>
            <v:line style="position:absolute" from="4793,2274" to="4793,1930" stroked="true" strokeweight="2.294160pt" strokecolor="#99cc00"/>
            <v:shape style="position:absolute;left:4793;top:1861;width:1164;height:137" coordorigin="4793,1861" coordsize="1164,137" path="m5818,1861l5818,1998,5912,1952,5842,1952,5842,1906,5909,1906,5818,1861xm5818,1906l4793,1906,4793,1952,5818,1952,5818,1906xm5909,1906l5842,1906,5842,1952,5912,1952,5957,1930,5909,1906xe" filled="true" fillcolor="#99cc00" stroked="false">
              <v:path arrowok="t"/>
              <v:fill type="solid"/>
            </v:shape>
            <v:rect style="position:absolute;left:4188;top:212;width:1522;height:686" filled="true" fillcolor="#ffcc00" stroked="false">
              <v:fill type="solid"/>
            </v:rect>
            <v:rect style="position:absolute;left:4188;top:212;width:1522;height:686" filled="false" stroked="true" strokeweight=".57348pt" strokecolor="#000000"/>
            <v:line style="position:absolute" from="5710,486" to="6202,486" stroked="true" strokeweight="2.294160pt" strokecolor="#99cc00"/>
            <v:shape style="position:absolute;left:4968;top:831;width:140;height:411" coordorigin="4968,831" coordsize="140,411" path="m5059,944l5014,944,5014,1242,5059,1242,5059,944xm5038,831l4968,968,5014,968,5014,944,5095,944,5038,831xm5095,944l5059,944,5059,968,5107,968,5095,944xe" filled="true" fillcolor="#99cc00" stroked="false">
              <v:path arrowok="t"/>
              <v:fill type="solid"/>
            </v:shape>
            <v:rect style="position:absolute;left:7608;top:212;width:1346;height:550" filled="true" fillcolor="#ffcc00" stroked="false">
              <v:fill type="solid"/>
            </v:rect>
            <v:rect style="position:absolute;left:7608;top:212;width:1346;height:550" filled="false" stroked="true" strokeweight=".57348pt" strokecolor="#000000"/>
            <v:line style="position:absolute" from="7118,486" to="7608,486" stroked="true" strokeweight="2.294160pt" strokecolor="#99cc00"/>
            <v:shape style="position:absolute;left:7051;top:486;width:137;height:550" coordorigin="7051,486" coordsize="137,550" path="m7097,898l7051,898,7118,1035,7176,922,7097,922,7097,898xm7142,486l7097,486,7097,922,7142,922,7142,486xm7188,898l7142,898,7142,922,7176,922,7188,898xe" filled="true" fillcolor="#99cc00" stroked="false">
              <v:path arrowok="t"/>
              <v:fill type="solid"/>
            </v:shape>
            <v:line style="position:absolute" from="5038,1242" to="5957,1242" stroked="true" strokeweight="2.294160pt" strokecolor="#99cc00"/>
            <v:shape style="position:absolute;left:6132;top:486;width:137;height:550" coordorigin="6132,486" coordsize="137,550" path="m6178,898l6132,898,6202,1035,6257,922,6178,922,6178,898xm6223,486l6178,486,6178,922,6223,922,6223,486xm6269,898l6223,898,6223,922,6257,922,6269,898xe" filled="true" fillcolor="#99cc00" stroked="false">
              <v:path arrowok="t"/>
              <v:fill type="solid"/>
            </v:shape>
            <v:rect style="position:absolute;left:7486;top:3373;width:1042;height:550" filled="true" fillcolor="#ffcc00" stroked="false">
              <v:fill type="solid"/>
            </v:rect>
            <v:rect style="position:absolute;left:7486;top:3373;width:1042;height:550" filled="false" stroked="true" strokeweight=".57348pt" strokecolor="#000000"/>
            <v:shape style="position:absolute;left:7670;top:4266;width:735;height:413" coordorigin="7670,4266" coordsize="735,413" path="m8038,4266l7970,4269,7907,4279,7849,4295,7789,4320,7734,4357,7690,4405,7671,4466,7670,4472,7671,4478,7690,4539,7734,4588,7789,4624,7849,4649,7907,4665,7970,4675,8038,4678,8049,4678,8115,4674,8178,4663,8243,4642,8301,4615,8353,4577,8391,4528,8405,4472,8405,4466,8385,4405,8341,4357,8285,4320,8225,4295,8167,4279,8104,4269,8038,4266xe" filled="true" fillcolor="#ccffcc" stroked="false">
              <v:path arrowok="t"/>
              <v:fill type="solid"/>
            </v:shape>
            <v:shape style="position:absolute;left:7670;top:4266;width:735;height:413" coordorigin="7670,4266" coordsize="735,413" path="m8038,4266l7970,4269,7907,4279,7849,4295,7789,4320,7734,4357,7690,4405,7671,4466,7670,4472,7671,4478,7690,4539,7734,4588,7789,4624,7849,4649,7907,4665,7970,4675,8038,4678,8049,4678,8115,4674,8178,4663,8243,4642,8301,4615,8353,4577,8391,4528,8405,4472,8405,4466,8385,4405,8341,4357,8285,4320,8225,4295,8167,4279,8104,4269,8038,4266xe" filled="false" stroked="true" strokeweight=".57348pt" strokecolor="#000000">
              <v:path arrowok="t"/>
            </v:shape>
            <v:shape style="position:absolute;left:7968;top:3922;width:137;height:343" type="#_x0000_t75" stroked="false">
              <v:imagedata r:id="rId10" o:title=""/>
            </v:shape>
            <v:shape style="position:absolute;left:6811;top:3579;width:675;height:137" coordorigin="6811,3579" coordsize="675,137" path="m7349,3579l7349,3716,7438,3670,7370,3670,7370,3625,7442,3625,7349,3579xm7349,3625l6811,3625,6811,3670,7349,3670,7349,3625xm7442,3625l7370,3625,7370,3670,7438,3670,7486,3646,7442,3625xe" filled="true" fillcolor="#99cc00" stroked="false">
              <v:path arrowok="t"/>
              <v:fill type="solid"/>
            </v:shape>
            <v:shape style="position:absolute;left:6989;top:2823;width:137;height:824" coordorigin="6989,2823" coordsize="137,824" path="m7034,3510l6989,3510,7058,3646,7114,3534,7034,3534,7034,3510xm7080,2823l7034,2823,7034,3534,7080,3534,7080,2823xm7126,3510l7080,3510,7080,3534,7114,3534,7126,3510xe" filled="true" fillcolor="#99cc00" stroked="false">
              <v:path arrowok="t"/>
              <v:fill type="solid"/>
            </v:shape>
            <v:line style="position:absolute" from="8527,3646" to="8772,3646" stroked="true" strokeweight="2.294160pt" strokecolor="#99cc00"/>
            <v:shape style="position:absolute;left:8702;top:3030;width:137;height:617" coordorigin="8702,3030" coordsize="137,617" path="m8794,3142l8748,3142,8748,3646,8794,3646,8794,3142xm8772,3030l8702,3166,8748,3166,8748,3142,8827,3142,8772,3030xm8827,3142l8794,3142,8794,3166,8839,3166,8827,3142xe" filled="true" fillcolor="#99cc00" stroked="false">
              <v:path arrowok="t"/>
              <v:fill type="solid"/>
            </v:shape>
            <v:shape style="position:absolute;left:8702;top:1794;width:137;height:617" coordorigin="8702,1794" coordsize="137,617" path="m8794,1906l8748,1906,8748,2410,8794,2410,8794,1906xm8772,1794l8702,1930,8748,1930,8748,1906,8827,1906,8772,1794xm8827,1906l8794,1906,8794,1930,8839,1930,8827,1906xe" filled="true" fillcolor="#99cc00" stroked="false">
              <v:path arrowok="t"/>
              <v:fill type="solid"/>
            </v:shape>
            <v:shape style="position:absolute;left:8702;top:762;width:137;height:620" coordorigin="8702,762" coordsize="137,620" path="m8794,877l8748,877,8748,1381,8794,1381,8794,877xm8772,762l8702,898,8748,898,8748,877,8829,877,8772,762xm8829,877l8794,877,8794,898,8839,898,8829,877xe" filled="true" fillcolor="#99cc00" stroked="false">
              <v:path arrowok="t"/>
              <v:fill type="solid"/>
            </v:shape>
            <v:shape style="position:absolute;left:6062;top:2958;width:533;height:276" type="#_x0000_t75" stroked="false">
              <v:imagedata r:id="rId11" o:title=""/>
            </v:shape>
            <v:rect style="position:absolute;left:4260;top:270;width:1351;height:569" filled="true" fillcolor="#ffbf00" stroked="false">
              <v:fill type="solid"/>
            </v:rect>
            <v:shape style="position:absolute;left:4188;top:212;width:1522;height:687" type="#_x0000_t202" filled="false" stroked="false">
              <v:textbox inset="0,0,0,0">
                <w:txbxContent>
                  <w:p>
                    <w:pPr>
                      <w:spacing w:line="240" w:lineRule="auto" w:before="1"/>
                      <w:rPr>
                        <w:sz w:val="11"/>
                      </w:rPr>
                    </w:pPr>
                  </w:p>
                  <w:p>
                    <w:pPr>
                      <w:spacing w:before="0"/>
                      <w:ind w:left="215" w:right="225" w:firstLine="0"/>
                      <w:jc w:val="left"/>
                      <w:rPr>
                        <w:rFonts w:ascii="Times New Roman" w:hAnsi="Times New Roman"/>
                        <w:b/>
                        <w:sz w:val="13"/>
                      </w:rPr>
                    </w:pPr>
                    <w:r>
                      <w:rPr>
                        <w:rFonts w:ascii="Times New Roman" w:hAnsi="Times New Roman"/>
                        <w:b/>
                        <w:sz w:val="13"/>
                      </w:rPr>
                      <w:t>Remoción de dióxido de carbono</w:t>
                    </w:r>
                  </w:p>
                </w:txbxContent>
              </v:textbox>
              <w10:wrap type="none"/>
            </v:shape>
            <v:shape style="position:absolute;left:7608;top:212;width:1347;height:550" type="#_x0000_t202" filled="false" stroked="false">
              <v:textbox inset="0,0,0,0">
                <w:txbxContent>
                  <w:p>
                    <w:pPr>
                      <w:spacing w:line="259" w:lineRule="auto" w:before="123"/>
                      <w:ind w:left="247" w:right="230" w:firstLine="144"/>
                      <w:jc w:val="left"/>
                      <w:rPr>
                        <w:rFonts w:ascii="Times New Roman" w:hAnsi="Times New Roman"/>
                        <w:b/>
                        <w:sz w:val="13"/>
                      </w:rPr>
                    </w:pPr>
                    <w:r>
                      <w:rPr>
                        <w:rFonts w:ascii="Times New Roman" w:hAnsi="Times New Roman"/>
                        <w:b/>
                        <w:w w:val="105"/>
                        <w:sz w:val="13"/>
                      </w:rPr>
                      <w:t>Aireación Aire / Oxígeno</w:t>
                    </w:r>
                  </w:p>
                </w:txbxContent>
              </v:textbox>
              <w10:wrap type="none"/>
            </v:shape>
            <v:shape style="position:absolute;left:3912;top:2274;width:1616;height:687" type="#_x0000_t202" filled="false" stroked="false">
              <v:textbox inset="0,0,0,0">
                <w:txbxContent>
                  <w:p>
                    <w:pPr>
                      <w:spacing w:line="240" w:lineRule="auto" w:before="9"/>
                      <w:rPr>
                        <w:sz w:val="16"/>
                      </w:rPr>
                    </w:pPr>
                  </w:p>
                  <w:p>
                    <w:pPr>
                      <w:spacing w:line="259" w:lineRule="auto" w:before="0"/>
                      <w:ind w:left="340" w:right="200" w:hanging="128"/>
                      <w:jc w:val="left"/>
                      <w:rPr>
                        <w:rFonts w:ascii="Times New Roman" w:hAnsi="Times New Roman"/>
                        <w:b/>
                        <w:sz w:val="13"/>
                      </w:rPr>
                    </w:pPr>
                    <w:r>
                      <w:rPr>
                        <w:rFonts w:ascii="Times New Roman" w:hAnsi="Times New Roman"/>
                        <w:b/>
                        <w:w w:val="105"/>
                        <w:sz w:val="13"/>
                      </w:rPr>
                      <w:t>Remoción de sólidos disueltos y finos</w:t>
                    </w:r>
                  </w:p>
                </w:txbxContent>
              </v:textbox>
              <w10:wrap type="none"/>
            </v:shape>
            <v:shape style="position:absolute;left:7486;top:3373;width:1042;height:550" type="#_x0000_t202" filled="false" stroked="false">
              <v:textbox inset="0,0,0,0">
                <w:txbxContent>
                  <w:p>
                    <w:pPr>
                      <w:spacing w:line="261" w:lineRule="auto" w:before="123"/>
                      <w:ind w:left="155" w:right="138" w:firstLine="156"/>
                      <w:jc w:val="left"/>
                      <w:rPr>
                        <w:rFonts w:ascii="Times New Roman" w:hAnsi="Times New Roman"/>
                        <w:b/>
                        <w:sz w:val="13"/>
                      </w:rPr>
                    </w:pPr>
                    <w:r>
                      <w:rPr>
                        <w:rFonts w:ascii="Times New Roman" w:hAnsi="Times New Roman"/>
                        <w:b/>
                        <w:w w:val="105"/>
                        <w:sz w:val="13"/>
                      </w:rPr>
                      <w:t>Sólidos Suspendidos</w:t>
                    </w:r>
                  </w:p>
                </w:txbxContent>
              </v:textbox>
              <w10:wrap type="none"/>
            </v:shape>
            <v:shape style="position:absolute;left:6228;top:1363;width:1012;height:1160" type="#_x0000_t202" filled="false" stroked="false">
              <v:textbox inset="0,0,0,0">
                <w:txbxContent>
                  <w:p>
                    <w:pPr>
                      <w:spacing w:line="210" w:lineRule="exact" w:before="0"/>
                      <w:ind w:left="65" w:right="66" w:firstLine="0"/>
                      <w:jc w:val="center"/>
                      <w:rPr>
                        <w:rFonts w:ascii="Times New Roman"/>
                        <w:b/>
                        <w:sz w:val="20"/>
                      </w:rPr>
                    </w:pPr>
                    <w:r>
                      <w:rPr>
                        <w:rFonts w:ascii="Times New Roman"/>
                        <w:b/>
                        <w:w w:val="105"/>
                        <w:sz w:val="20"/>
                      </w:rPr>
                      <w:t>Estanque</w:t>
                    </w:r>
                  </w:p>
                  <w:p>
                    <w:pPr>
                      <w:spacing w:line="249" w:lineRule="auto" w:before="7"/>
                      <w:ind w:left="-1" w:right="0" w:hanging="2"/>
                      <w:jc w:val="center"/>
                      <w:rPr>
                        <w:rFonts w:ascii="Times New Roman" w:hAnsi="Times New Roman"/>
                        <w:b/>
                        <w:sz w:val="20"/>
                      </w:rPr>
                    </w:pPr>
                    <w:r>
                      <w:rPr>
                        <w:rFonts w:ascii="Times New Roman" w:hAnsi="Times New Roman"/>
                        <w:b/>
                        <w:w w:val="105"/>
                        <w:sz w:val="20"/>
                      </w:rPr>
                      <w:t>de cultivo de    </w:t>
                    </w:r>
                    <w:r>
                      <w:rPr>
                        <w:rFonts w:ascii="Times New Roman" w:hAnsi="Times New Roman"/>
                        <w:b/>
                        <w:sz w:val="20"/>
                      </w:rPr>
                      <w:t>organismos </w:t>
                    </w:r>
                    <w:r>
                      <w:rPr>
                        <w:rFonts w:ascii="Times New Roman" w:hAnsi="Times New Roman"/>
                        <w:b/>
                        <w:w w:val="105"/>
                        <w:sz w:val="20"/>
                      </w:rPr>
                      <w:t>acuícolas</w:t>
                    </w:r>
                  </w:p>
                </w:txbxContent>
              </v:textbox>
              <w10:wrap type="none"/>
            </v:shape>
            <v:shape style="position:absolute;left:6055;top:3012;width:514;height:138" type="#_x0000_t202" filled="false" stroked="false">
              <v:textbox inset="0,0,0,0">
                <w:txbxContent>
                  <w:p>
                    <w:pPr>
                      <w:spacing w:line="137" w:lineRule="exact" w:before="0"/>
                      <w:ind w:left="0" w:right="-15" w:firstLine="0"/>
                      <w:jc w:val="left"/>
                      <w:rPr>
                        <w:sz w:val="13"/>
                      </w:rPr>
                    </w:pPr>
                    <w:r>
                      <w:rPr>
                        <w:w w:val="105"/>
                        <w:sz w:val="13"/>
                      </w:rPr>
                      <w:t>Bombeo</w:t>
                    </w:r>
                  </w:p>
                </w:txbxContent>
              </v:textbox>
              <w10:wrap type="none"/>
            </v:shape>
            <v:shape style="position:absolute;left:4582;top:3519;width:359;height:138" type="#_x0000_t202" filled="false" stroked="false">
              <v:textbox inset="0,0,0,0">
                <w:txbxContent>
                  <w:p>
                    <w:pPr>
                      <w:spacing w:line="137" w:lineRule="exact" w:before="0"/>
                      <w:ind w:left="0" w:right="-18" w:firstLine="0"/>
                      <w:jc w:val="left"/>
                      <w:rPr>
                        <w:rFonts w:ascii="Times New Roman"/>
                        <w:b/>
                        <w:sz w:val="13"/>
                      </w:rPr>
                    </w:pPr>
                    <w:r>
                      <w:rPr>
                        <w:rFonts w:ascii="Times New Roman"/>
                        <w:b/>
                        <w:w w:val="105"/>
                        <w:sz w:val="13"/>
                      </w:rPr>
                      <w:t>Lodos</w:t>
                    </w:r>
                  </w:p>
                </w:txbxContent>
              </v:textbox>
              <w10:wrap type="none"/>
            </v:shape>
            <v:shape style="position:absolute;left:7860;top:4412;width:359;height:138" type="#_x0000_t202" filled="false" stroked="false">
              <v:textbox inset="0,0,0,0">
                <w:txbxContent>
                  <w:p>
                    <w:pPr>
                      <w:spacing w:line="137" w:lineRule="exact" w:before="0"/>
                      <w:ind w:left="0" w:right="-18" w:firstLine="0"/>
                      <w:jc w:val="left"/>
                      <w:rPr>
                        <w:rFonts w:ascii="Times New Roman"/>
                        <w:b/>
                        <w:sz w:val="13"/>
                      </w:rPr>
                    </w:pPr>
                    <w:r>
                      <w:rPr>
                        <w:rFonts w:ascii="Times New Roman"/>
                        <w:b/>
                        <w:w w:val="105"/>
                        <w:sz w:val="13"/>
                      </w:rPr>
                      <w:t>Lodos</w:t>
                    </w:r>
                  </w:p>
                </w:txbxContent>
              </v:textbox>
              <w10:wrap type="none"/>
            </v:shape>
            <v:shape style="position:absolute;left:8220;top:1381;width:1104;height:413" type="#_x0000_t202" filled="true" fillcolor="#ccffcc" stroked="true" strokeweight=".57348pt" strokecolor="#000000">
              <v:textbox inset="0,0,0,0">
                <w:txbxContent>
                  <w:p>
                    <w:pPr>
                      <w:spacing w:line="240" w:lineRule="auto" w:before="3"/>
                      <w:rPr>
                        <w:sz w:val="11"/>
                      </w:rPr>
                    </w:pPr>
                  </w:p>
                  <w:p>
                    <w:pPr>
                      <w:spacing w:before="0"/>
                      <w:ind w:left="179" w:right="0" w:firstLine="0"/>
                      <w:jc w:val="left"/>
                      <w:rPr>
                        <w:rFonts w:ascii="Times New Roman" w:hAnsi="Times New Roman"/>
                        <w:b/>
                        <w:sz w:val="13"/>
                      </w:rPr>
                    </w:pPr>
                    <w:r>
                      <w:rPr>
                        <w:rFonts w:ascii="Times New Roman" w:hAnsi="Times New Roman"/>
                        <w:b/>
                        <w:w w:val="105"/>
                        <w:sz w:val="13"/>
                      </w:rPr>
                      <w:t>Desinfección</w:t>
                    </w:r>
                  </w:p>
                </w:txbxContent>
              </v:textbox>
              <v:fill type="solid"/>
              <w10:wrap type="none"/>
            </v:shape>
            <v:shape style="position:absolute;left:8160;top:2410;width:1222;height:620" type="#_x0000_t202" filled="true" fillcolor="#ffcc00" stroked="true" strokeweight=".57348pt" strokecolor="#000000">
              <v:textbox inset="0,0,0,0">
                <w:txbxContent>
                  <w:p>
                    <w:pPr>
                      <w:spacing w:line="240" w:lineRule="auto" w:before="5"/>
                      <w:rPr>
                        <w:sz w:val="20"/>
                      </w:rPr>
                    </w:pPr>
                  </w:p>
                  <w:p>
                    <w:pPr>
                      <w:spacing w:before="0"/>
                      <w:ind w:left="236" w:right="0" w:firstLine="0"/>
                      <w:jc w:val="left"/>
                      <w:rPr>
                        <w:rFonts w:ascii="Times New Roman" w:hAnsi="Times New Roman"/>
                        <w:b/>
                        <w:sz w:val="13"/>
                      </w:rPr>
                    </w:pPr>
                    <w:r>
                      <w:rPr>
                        <w:rFonts w:ascii="Times New Roman" w:hAnsi="Times New Roman"/>
                        <w:b/>
                        <w:w w:val="105"/>
                        <w:sz w:val="13"/>
                      </w:rPr>
                      <w:t>Biofiltración</w:t>
                    </w:r>
                  </w:p>
                </w:txbxContent>
              </v:textbox>
              <v:fill type="solid"/>
              <w10:wrap type="none"/>
            </v:shape>
            <v:shape style="position:absolute;left:2894;top:4196;width:1654;height:896" type="#_x0000_t202" filled="true" fillcolor="#009999" stroked="true" strokeweight=".57348pt" strokecolor="#000000">
              <v:textbox inset="0,0,0,0">
                <w:txbxContent>
                  <w:p>
                    <w:pPr>
                      <w:spacing w:line="249" w:lineRule="auto" w:before="42"/>
                      <w:ind w:left="270" w:right="299" w:firstLine="0"/>
                      <w:jc w:val="center"/>
                      <w:rPr>
                        <w:rFonts w:ascii="Times New Roman"/>
                        <w:b/>
                        <w:sz w:val="20"/>
                      </w:rPr>
                    </w:pPr>
                    <w:r>
                      <w:rPr>
                        <w:rFonts w:ascii="Times New Roman"/>
                        <w:b/>
                        <w:w w:val="105"/>
                        <w:sz w:val="20"/>
                      </w:rPr>
                      <w:t>Sistemas de control y monitoreo</w:t>
                    </w:r>
                  </w:p>
                </w:txbxContent>
              </v:textbox>
              <v:fill type="solid"/>
              <w10:wrap type="none"/>
            </v:shape>
            <w10:wrap type="topAndBottom"/>
          </v:group>
        </w:pict>
      </w:r>
    </w:p>
    <w:p>
      <w:pPr>
        <w:pStyle w:val="BodyText"/>
        <w:spacing w:before="6"/>
        <w:rPr>
          <w:sz w:val="26"/>
        </w:rPr>
      </w:pPr>
    </w:p>
    <w:p>
      <w:pPr>
        <w:spacing w:before="0"/>
        <w:ind w:left="1568" w:right="948" w:firstLine="0"/>
        <w:jc w:val="left"/>
        <w:rPr>
          <w:b/>
          <w:sz w:val="18"/>
        </w:rPr>
      </w:pPr>
      <w:r>
        <w:rPr/>
        <w:pict>
          <v:group style="position:absolute;margin-left:288.299988pt;margin-top:-103.218193pt;width:52.6pt;height:65.9pt;mso-position-horizontal-relative:page;mso-position-vertical-relative:paragraph;z-index:-1530040" coordorigin="5766,-2064" coordsize="1052,1318">
            <v:shape style="position:absolute;left:5957;top:-1166;width:732;height:413" coordorigin="5957,-1166" coordsize="732,413" path="m6324,-1166l6256,-1162,6193,-1152,6135,-1136,6075,-1111,6020,-1075,5977,-1026,5957,-966,5957,-959,5957,-953,5977,-892,6020,-844,6075,-807,6135,-782,6193,-766,6256,-756,6324,-753,6336,-753,6403,-758,6466,-769,6524,-787,6582,-814,6635,-852,6675,-903,6689,-959,6689,-966,6668,-1027,6623,-1077,6566,-1113,6505,-1138,6446,-1154,6381,-1163,6324,-1166xe" filled="true" fillcolor="#ccffcc" stroked="false">
              <v:path arrowok="t"/>
              <v:fill type="solid"/>
            </v:shape>
            <v:shape style="position:absolute;left:5957;top:-1166;width:732;height:413" coordorigin="5957,-1166" coordsize="732,413" path="m6324,-1166l6256,-1162,6193,-1152,6135,-1136,6075,-1111,6020,-1075,5977,-1026,5957,-966,5957,-959,5957,-953,5977,-892,6020,-844,6075,-807,6135,-782,6193,-766,6256,-756,6324,-753,6336,-753,6403,-758,6466,-769,6524,-787,6582,-814,6635,-852,6675,-903,6689,-959,6689,-966,6668,-1027,6623,-1077,6566,-1113,6505,-1138,6446,-1154,6381,-1163,6324,-1166xe" filled="false" stroked="true" strokeweight=".57348pt" strokecolor="#000000">
              <v:path arrowok="t"/>
            </v:shape>
            <v:shape style="position:absolute;left:6254;top:-1509;width:137;height:343" type="#_x0000_t75" stroked="false">
              <v:imagedata r:id="rId12" o:title=""/>
            </v:shape>
            <v:shape style="position:absolute;left:5951;top:-1509;width:744;height:762" type="#_x0000_t202" filled="false" stroked="false">
              <v:textbox inset="0,0,0,0">
                <w:txbxContent>
                  <w:p>
                    <w:pPr>
                      <w:spacing w:line="240" w:lineRule="auto" w:before="0"/>
                      <w:rPr>
                        <w:sz w:val="14"/>
                      </w:rPr>
                    </w:pPr>
                  </w:p>
                  <w:p>
                    <w:pPr>
                      <w:spacing w:line="240" w:lineRule="auto" w:before="0"/>
                      <w:rPr>
                        <w:sz w:val="14"/>
                      </w:rPr>
                    </w:pPr>
                  </w:p>
                  <w:p>
                    <w:pPr>
                      <w:spacing w:line="240" w:lineRule="auto" w:before="7"/>
                      <w:rPr>
                        <w:sz w:val="13"/>
                      </w:rPr>
                    </w:pPr>
                  </w:p>
                  <w:p>
                    <w:pPr>
                      <w:spacing w:before="0"/>
                      <w:ind w:left="192" w:right="0" w:firstLine="0"/>
                      <w:jc w:val="left"/>
                      <w:rPr>
                        <w:rFonts w:ascii="Times New Roman"/>
                        <w:b/>
                        <w:sz w:val="13"/>
                      </w:rPr>
                    </w:pPr>
                    <w:r>
                      <w:rPr>
                        <w:rFonts w:ascii="Times New Roman"/>
                        <w:b/>
                        <w:w w:val="105"/>
                        <w:sz w:val="13"/>
                      </w:rPr>
                      <w:t>Lodos</w:t>
                    </w:r>
                  </w:p>
                </w:txbxContent>
              </v:textbox>
              <w10:wrap type="none"/>
            </v:shape>
            <v:shape style="position:absolute;left:5772;top:-2058;width:1040;height:550" type="#_x0000_t202" filled="true" fillcolor="#ffcc00" stroked="true" strokeweight=".57348pt" strokecolor="#000000">
              <v:textbox inset="0,0,0,0">
                <w:txbxContent>
                  <w:p>
                    <w:pPr>
                      <w:spacing w:line="261" w:lineRule="auto" w:before="117"/>
                      <w:ind w:left="90" w:right="0" w:firstLine="216"/>
                      <w:jc w:val="left"/>
                      <w:rPr>
                        <w:rFonts w:ascii="Times New Roman" w:hAnsi="Times New Roman"/>
                        <w:b/>
                        <w:sz w:val="13"/>
                      </w:rPr>
                    </w:pPr>
                    <w:r>
                      <w:rPr>
                        <w:rFonts w:ascii="Times New Roman" w:hAnsi="Times New Roman"/>
                        <w:b/>
                        <w:w w:val="105"/>
                        <w:sz w:val="13"/>
                      </w:rPr>
                      <w:t>Sólidos Sedimentables</w:t>
                    </w:r>
                  </w:p>
                </w:txbxContent>
              </v:textbox>
              <v:fill type="solid"/>
              <w10:wrap type="none"/>
            </v:shape>
            <w10:wrap type="none"/>
          </v:group>
        </w:pict>
      </w:r>
      <w:r>
        <w:rPr>
          <w:b/>
          <w:sz w:val="18"/>
        </w:rPr>
        <w:t>Figura 1. Operaciones básicas y complementarias de los SRA (Timmons </w:t>
      </w:r>
      <w:r>
        <w:rPr>
          <w:b/>
          <w:i/>
          <w:sz w:val="18"/>
        </w:rPr>
        <w:t>et al</w:t>
      </w:r>
      <w:r>
        <w:rPr>
          <w:b/>
          <w:sz w:val="18"/>
        </w:rPr>
        <w:t>., 2002).</w:t>
      </w:r>
    </w:p>
    <w:p>
      <w:pPr>
        <w:pStyle w:val="BodyText"/>
        <w:spacing w:line="360" w:lineRule="auto" w:before="122"/>
        <w:ind w:left="781" w:right="498"/>
        <w:jc w:val="both"/>
      </w:pPr>
      <w:r>
        <w:rPr/>
        <w:t>Estas propuestas han sido probadas en situaciones independientes, es decir, la cosecha de agua pluvial ha sido utilizada principalmente para abastecer al ser humano de agua para consumo directo y los sistemas de recirculación acuícola han sido operados con agua proveniente de cuerpos naturales como lagos, ríos, océanos y pozos entre</w:t>
      </w:r>
      <w:r>
        <w:rPr>
          <w:spacing w:val="-38"/>
        </w:rPr>
        <w:t> </w:t>
      </w:r>
      <w:r>
        <w:rPr/>
        <w:t>otros.</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Para lograr en un momento dado la transferencia de estas propuestas al sector productivo, es necesario conocer el desempeño de la tecnología adaptada al entorno socioeconómico y ambiental de la región. Por lo que se deben optimizar los prototipos ya probados (García </w:t>
      </w:r>
      <w:r>
        <w:rPr>
          <w:i/>
        </w:rPr>
        <w:t>et al</w:t>
      </w:r>
      <w:r>
        <w:rPr/>
        <w:t>., en prensa; Ávila, 2008; Ávila </w:t>
      </w:r>
      <w:r>
        <w:rPr>
          <w:i/>
        </w:rPr>
        <w:t>et al</w:t>
      </w:r>
      <w:r>
        <w:rPr/>
        <w:t>., 2006; Gallego, 2004; Díaz </w:t>
      </w:r>
      <w:r>
        <w:rPr>
          <w:i/>
        </w:rPr>
        <w:t>et </w:t>
      </w:r>
      <w:r>
        <w:rPr>
          <w:i/>
        </w:rPr>
        <w:t>al</w:t>
      </w:r>
      <w:r>
        <w:rPr/>
        <w:t>., 2000), evaluar éstos enfocándose a la eficiencia de remoción de contaminantes para el cultivo de la trucha, determinar las características del recurso agua utilizado, que permita la modelación del comportamiento de los diferentes procesos involucrados en el sistema.</w:t>
      </w:r>
    </w:p>
    <w:p>
      <w:pPr>
        <w:pStyle w:val="BodyText"/>
        <w:spacing w:before="7"/>
        <w:rPr>
          <w:sz w:val="17"/>
        </w:rPr>
      </w:pPr>
    </w:p>
    <w:p>
      <w:pPr>
        <w:pStyle w:val="BodyText"/>
        <w:spacing w:line="360" w:lineRule="auto"/>
        <w:ind w:left="781" w:right="496" w:hanging="1"/>
        <w:jc w:val="both"/>
      </w:pPr>
      <w:r>
        <w:rPr/>
        <w:t>Actualmente la evaluación y modelación de estos prototipos se ha enfocado a  expresiones matemáticas simples donde se relaciona la generación de residuos tóxicos para el cultivo con la producción en kilos de carne de trucha (García </w:t>
      </w:r>
      <w:r>
        <w:rPr>
          <w:i/>
        </w:rPr>
        <w:t>et al</w:t>
      </w:r>
      <w:r>
        <w:rPr/>
        <w:t>. en prensa; García 2008; Gallego 2004), estas ecuaciones se han construido de relaciones derivadas del análisis de observaciones para cada caso. Es necesario profundizar en modelos de parámetros limitantes al cultivo como: OD, generación de residuos y eficiencia o tasa de generación de</w:t>
      </w:r>
      <w:r>
        <w:rPr>
          <w:spacing w:val="-10"/>
        </w:rPr>
        <w:t> </w:t>
      </w:r>
      <w:r>
        <w:rPr/>
        <w:t>contaminantes.</w:t>
      </w:r>
    </w:p>
    <w:p>
      <w:pPr>
        <w:pStyle w:val="BodyText"/>
        <w:spacing w:before="7"/>
        <w:rPr>
          <w:sz w:val="17"/>
        </w:rPr>
      </w:pPr>
    </w:p>
    <w:p>
      <w:pPr>
        <w:pStyle w:val="BodyText"/>
        <w:spacing w:line="360" w:lineRule="auto"/>
        <w:ind w:left="781" w:right="497"/>
        <w:jc w:val="both"/>
      </w:pPr>
      <w:r>
        <w:rPr/>
        <w:t>Es también util explorar la aplicabilidad y pertinencia de uso de modelos dinámicos recientes. Son aquellos en los que se representa la realidad basada en leyes fundamentales de la física, química y biología. El proceso de modelos basado en estas leyes generales lleva invariablemente a reforzar el proceso intuitivo, desarrollando ordenada y racionalmente métodos para resolver el problema (Picioreanu y Van Loosdrecht, 2003).</w:t>
      </w:r>
    </w:p>
    <w:p>
      <w:pPr>
        <w:pStyle w:val="BodyText"/>
        <w:spacing w:before="7"/>
        <w:rPr>
          <w:sz w:val="17"/>
        </w:rPr>
      </w:pPr>
    </w:p>
    <w:p>
      <w:pPr>
        <w:pStyle w:val="BodyText"/>
        <w:spacing w:line="360" w:lineRule="auto"/>
        <w:ind w:left="781" w:right="497"/>
        <w:jc w:val="both"/>
      </w:pPr>
      <w:r>
        <w:rPr/>
        <w:t>Como ejemplo, se han desarrollado modelos que simulan los procesos llevados a cabo en reactores biológicos acoplados a trenes de tratamiento de agua residual. El primero, ampliamente estudiado, es el proceso de lodos activados en aguas residuales  municipales mediante el modelo ASM1 (Activated Sludge Model No. 1), el cual modela y simula los procesos de remoción de carbono orgánico y nitrógeno, con consumo de oxígeno y nitratos, así como la cantidad de lodos activados producidos por el reactor biológico. Este mismo, se ha modificado para describir otros procesos involucrados en los biofiltros de lodos activados generando así los modelos ASM2, ASM2d y ASM3  (Pettersen, 2000). Así mismo, el modelo ASM1 debido a sus características, se ha modificado para poder modelar plantas de tratamiento de agua residual que acoplan a su tren un biofiltro diferente a lodos activados (Plattes </w:t>
      </w:r>
      <w:r>
        <w:rPr>
          <w:i/>
        </w:rPr>
        <w:t>et al.</w:t>
      </w:r>
      <w:r>
        <w:rPr/>
        <w:t>, 2006, 2007, 2008; Takacs e</w:t>
      </w:r>
      <w:r>
        <w:rPr>
          <w:i/>
        </w:rPr>
        <w:t>t</w:t>
      </w:r>
      <w:r>
        <w:rPr>
          <w:i/>
          <w:spacing w:val="54"/>
        </w:rPr>
        <w:t> </w:t>
      </w:r>
      <w:r>
        <w:rPr>
          <w:i/>
        </w:rPr>
        <w:t>al</w:t>
      </w:r>
      <w:r>
        <w:rPr/>
        <w:t>.,</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2007; Larrea </w:t>
      </w:r>
      <w:r>
        <w:rPr>
          <w:i/>
        </w:rPr>
        <w:t>et al., </w:t>
      </w:r>
      <w:r>
        <w:rPr/>
        <w:t>2007; Mannina </w:t>
      </w:r>
      <w:r>
        <w:rPr>
          <w:i/>
        </w:rPr>
        <w:t>et al., </w:t>
      </w:r>
      <w:r>
        <w:rPr/>
        <w:t>2007), la modificación más importante ha sido el no incorporar la estructura de la biopelícula en ninguna forma.</w:t>
      </w:r>
    </w:p>
    <w:p>
      <w:pPr>
        <w:pStyle w:val="BodyText"/>
        <w:spacing w:before="9"/>
        <w:rPr>
          <w:sz w:val="17"/>
        </w:rPr>
      </w:pPr>
    </w:p>
    <w:p>
      <w:pPr>
        <w:pStyle w:val="BodyText"/>
        <w:spacing w:line="360" w:lineRule="auto"/>
        <w:ind w:left="781" w:right="498"/>
        <w:jc w:val="both"/>
      </w:pPr>
      <w:r>
        <w:rPr/>
        <w:t>Un segundo esfuerzo importante en el modelo de procesos biológicos en reactores de tratamiento de agua residual es la biopelícula, la cual se entiende como una capa de células procariotas y eucariotas ancladas a la superficie de un sustrato y envueltas en una matriz orgánica de origen biológico. Los modelos desarrollados han dividido a la biopelícula en cuatro compartimientos: 1) volumen de agua, 2) capa de frontera, 3) biopelícula y, 4) sustrato (Wanner </w:t>
      </w:r>
      <w:r>
        <w:rPr>
          <w:i/>
        </w:rPr>
        <w:t>et al</w:t>
      </w:r>
      <w:r>
        <w:rPr/>
        <w:t>., 2006).</w:t>
      </w:r>
    </w:p>
    <w:p>
      <w:pPr>
        <w:pStyle w:val="BodyText"/>
        <w:spacing w:before="9"/>
        <w:rPr>
          <w:sz w:val="17"/>
        </w:rPr>
      </w:pPr>
    </w:p>
    <w:p>
      <w:pPr>
        <w:pStyle w:val="BodyText"/>
        <w:spacing w:line="360" w:lineRule="auto"/>
        <w:ind w:left="781" w:right="497"/>
        <w:jc w:val="both"/>
      </w:pPr>
      <w:r>
        <w:rPr/>
        <w:t>Los primeros modelos permitían conocer los procesos de una sola especie en una dimensión haciendo énfasis en la transformación bioquímica y el balance de masas, más adelante se pudo modelar biopelículas de multiespecies y multisustratos permitiendo así conocer la interacción entre los procesos involucrados, sin embargo todavía se trabajaba con una sola dimensión (Noguera </w:t>
      </w:r>
      <w:r>
        <w:rPr>
          <w:i/>
        </w:rPr>
        <w:t>et al</w:t>
      </w:r>
      <w:r>
        <w:rPr/>
        <w:t>., 1999), recientemente con el desarrollo de las ciencias computacionales se ha trabajado con modelos en varias dimensiones desarrollando así el estudio de la estructura de la biopelícula (Van Loosdrecht </w:t>
      </w:r>
      <w:r>
        <w:rPr>
          <w:i/>
        </w:rPr>
        <w:t>et al., </w:t>
      </w:r>
      <w:r>
        <w:rPr/>
        <w:t>2002), en el 2006 se publican, por parte del comité de modelación de biopelícula bajo la responsabilidad de la IWA (Wanner </w:t>
      </w:r>
      <w:r>
        <w:rPr>
          <w:i/>
        </w:rPr>
        <w:t>et al</w:t>
      </w:r>
      <w:r>
        <w:rPr/>
        <w:t>., 2006), cinco modelos matemáticos que describen los procesos involucrados en el desarrollo de la</w:t>
      </w:r>
      <w:r>
        <w:rPr>
          <w:spacing w:val="-31"/>
        </w:rPr>
        <w:t> </w:t>
      </w:r>
      <w:r>
        <w:rPr/>
        <w:t>biopelícula</w:t>
      </w:r>
    </w:p>
    <w:p>
      <w:pPr>
        <w:pStyle w:val="BodyText"/>
        <w:spacing w:before="7"/>
        <w:rPr>
          <w:sz w:val="17"/>
        </w:rPr>
      </w:pPr>
    </w:p>
    <w:p>
      <w:pPr>
        <w:pStyle w:val="BodyText"/>
        <w:spacing w:line="360" w:lineRule="auto"/>
        <w:ind w:left="781" w:right="496"/>
        <w:jc w:val="both"/>
      </w:pPr>
      <w:r>
        <w:rPr/>
        <w:t>Como consecuencia del desarrollo de sistemas de producción acuícola con recirculación de agua, el requerimiento de biofiltro en este proceso y la revisión bibliográfica, la  presente investigación ha tenido como finalidad diseñar y construir las instalaciones piloto para desarrollar un cultivo trutícola en un sistema de recirculación acuícola alimentado  con agua pluvial, con el objeto de estudiar las características del agua residual, que permita el análisis del comportamiento de los diferentes procesos involucrados en el tren de tratamiento de agua residual acoplado al sistema de producción de trucha y a los procesos biológicos consecuencia del cultivo de organismos</w:t>
      </w:r>
      <w:r>
        <w:rPr>
          <w:spacing w:val="-27"/>
        </w:rPr>
        <w:t> </w:t>
      </w:r>
      <w:r>
        <w:rPr/>
        <w:t>acuáticos.</w:t>
      </w:r>
    </w:p>
    <w:p>
      <w:pPr>
        <w:spacing w:after="0" w:line="360" w:lineRule="auto"/>
        <w:jc w:val="both"/>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pStyle w:val="Heading2"/>
        <w:spacing w:before="52"/>
        <w:ind w:left="3539" w:firstLine="446"/>
      </w:pPr>
      <w:bookmarkStart w:name="_TOC_250071" w:id="13"/>
      <w:bookmarkStart w:name="Capítulo 2. Antecedentes" w:id="14"/>
      <w:r>
        <w:rPr/>
      </w:r>
      <w:r>
        <w:rPr>
          <w:w w:val="105"/>
        </w:rPr>
        <w:t>CAPÍTULO 2 </w:t>
      </w:r>
      <w:bookmarkEnd w:id="13"/>
      <w:r>
        <w:rPr/>
        <w:t>ANTECEDENTES</w:t>
      </w:r>
    </w:p>
    <w:p>
      <w:pPr>
        <w:spacing w:after="0"/>
        <w:sectPr>
          <w:pgSz w:w="12240" w:h="15840"/>
          <w:pgMar w:header="725" w:footer="1084" w:top="1340" w:bottom="1280" w:left="920" w:right="1200"/>
        </w:sectPr>
      </w:pPr>
    </w:p>
    <w:p>
      <w:pPr>
        <w:pStyle w:val="Heading5"/>
        <w:numPr>
          <w:ilvl w:val="0"/>
          <w:numId w:val="7"/>
        </w:numPr>
        <w:tabs>
          <w:tab w:pos="1032" w:val="left" w:leader="none"/>
        </w:tabs>
        <w:spacing w:line="240" w:lineRule="auto" w:before="172" w:after="0"/>
        <w:ind w:left="1031" w:right="0" w:hanging="250"/>
        <w:jc w:val="both"/>
      </w:pPr>
      <w:r>
        <w:rPr/>
        <w:t>ANTECEDENTES</w:t>
      </w:r>
    </w:p>
    <w:p>
      <w:pPr>
        <w:pStyle w:val="BodyText"/>
        <w:spacing w:before="3"/>
        <w:rPr>
          <w:b/>
          <w:sz w:val="28"/>
        </w:rPr>
      </w:pPr>
    </w:p>
    <w:p>
      <w:pPr>
        <w:pStyle w:val="Heading5"/>
        <w:numPr>
          <w:ilvl w:val="1"/>
          <w:numId w:val="7"/>
        </w:numPr>
        <w:tabs>
          <w:tab w:pos="1211" w:val="left" w:leader="none"/>
        </w:tabs>
        <w:spacing w:line="240" w:lineRule="auto" w:before="0" w:after="0"/>
        <w:ind w:left="1210" w:right="0" w:hanging="429"/>
        <w:jc w:val="both"/>
      </w:pPr>
      <w:bookmarkStart w:name="_TOC_250070" w:id="15"/>
      <w:bookmarkStart w:name="2.1. Truticultura en el Estado de México" w:id="16"/>
      <w:r>
        <w:rPr>
          <w:b w:val="0"/>
        </w:rPr>
      </w:r>
      <w:bookmarkEnd w:id="16"/>
      <w:bookmarkStart w:name="2.1. Truticultura en el Estado de México" w:id="17"/>
      <w:r>
        <w:rPr/>
        <w:t>T</w:t>
      </w:r>
      <w:r>
        <w:rPr/>
        <w:t>RUTICULTURA EN EL ESTADO DE</w:t>
      </w:r>
      <w:r>
        <w:rPr>
          <w:spacing w:val="-13"/>
        </w:rPr>
        <w:t> </w:t>
      </w:r>
      <w:bookmarkEnd w:id="15"/>
      <w:r>
        <w:rPr/>
        <w:t>MÉXICO</w:t>
      </w:r>
    </w:p>
    <w:p>
      <w:pPr>
        <w:pStyle w:val="BodyText"/>
        <w:spacing w:before="8"/>
        <w:rPr>
          <w:b/>
          <w:sz w:val="28"/>
        </w:rPr>
      </w:pPr>
    </w:p>
    <w:p>
      <w:pPr>
        <w:pStyle w:val="BodyText"/>
        <w:spacing w:line="360" w:lineRule="auto"/>
        <w:ind w:left="781" w:right="497"/>
        <w:jc w:val="both"/>
      </w:pPr>
      <w:r>
        <w:rPr/>
        <w:t>El cultivo de la trucha en el Estado de México se inició a finales de los 70’s con tres granjas ubicadas en el municipio de Amanalco. En la figura 2 se muestra la ubicación geográfica de cada unidad de producción por cuenca hidrológica, actualmente se ubican aproximadamente 400 granjas trutícolas en el estado en tres cuencas hidrológicas (Balsas, 62,71 %, Lerma 21,61 % y Panuco 15,68%) (Gallego </w:t>
      </w:r>
      <w:r>
        <w:rPr>
          <w:i/>
        </w:rPr>
        <w:t>et al</w:t>
      </w:r>
      <w:r>
        <w:rPr/>
        <w:t>., 2007) con un producción en el 2008 de 2 900 toneladas (SAGARPA,</w:t>
      </w:r>
      <w:r>
        <w:rPr>
          <w:spacing w:val="-20"/>
        </w:rPr>
        <w:t> </w:t>
      </w:r>
      <w:r>
        <w:rPr/>
        <w:t>2009).</w:t>
      </w:r>
    </w:p>
    <w:p>
      <w:pPr>
        <w:pStyle w:val="BodyText"/>
        <w:spacing w:before="1"/>
        <w:rPr>
          <w:sz w:val="16"/>
        </w:rPr>
      </w:pPr>
      <w:r>
        <w:rPr/>
        <w:pict>
          <v:group style="position:absolute;margin-left:120pt;margin-top:11.204099pt;width:372.75pt;height:304.7pt;mso-position-horizontal-relative:page;mso-position-vertical-relative:paragraph;z-index:1864;mso-wrap-distance-left:0;mso-wrap-distance-right:0" coordorigin="2400,224" coordsize="7455,6094">
            <v:shape style="position:absolute;left:2417;top:238;width:7423;height:6062" type="#_x0000_t75" stroked="false">
              <v:imagedata r:id="rId13" o:title=""/>
            </v:shape>
            <v:shape style="position:absolute;left:2400;top:224;width:7455;height:6094" coordorigin="2400,224" coordsize="7455,6094" path="m9854,224l2400,224,2400,6318,9854,6318,9854,6310,2417,6310,2410,6301,2417,6301,2417,238,2410,238,2417,231,9854,231,9854,224xm2417,6301l2410,6301,2417,6310,2417,6301xm9840,6301l2417,6301,2417,6310,9840,6310,9840,6301xm9840,231l9840,6310,9847,6301,9854,6301,9854,238,9847,238,9840,231xm9854,6301l9847,6301,9840,6310,9854,6310,9854,6301xm2417,231l2410,238,2417,238,2417,231xm9840,231l2417,231,2417,238,9840,238,9840,231xm9854,231l9840,231,9847,238,9854,238,9854,231xe" filled="true" fillcolor="#000000" stroked="false">
              <v:path arrowok="t"/>
              <v:fill type="solid"/>
            </v:shape>
            <v:shape style="position:absolute;left:6348;top:750;width:1786;height:358" type="#_x0000_t202" filled="true" fillcolor="#ffffff" stroked="true" strokeweight=".75pt" strokecolor="#000000">
              <v:textbox inset="0,0,0,0">
                <w:txbxContent>
                  <w:p>
                    <w:pPr>
                      <w:spacing w:before="66"/>
                      <w:ind w:left="198" w:right="0" w:firstLine="0"/>
                      <w:jc w:val="left"/>
                      <w:rPr>
                        <w:b/>
                        <w:sz w:val="18"/>
                      </w:rPr>
                    </w:pPr>
                    <w:r>
                      <w:rPr>
                        <w:b/>
                        <w:sz w:val="18"/>
                      </w:rPr>
                      <w:t>Panuco: 15,68%</w:t>
                    </w:r>
                  </w:p>
                </w:txbxContent>
              </v:textbox>
              <v:fill type="solid"/>
              <w10:wrap type="none"/>
            </v:shape>
            <v:shape style="position:absolute;left:2544;top:1347;width:1786;height:356" type="#_x0000_t202" filled="true" fillcolor="#ffffff" stroked="true" strokeweight=".75pt" strokecolor="#000000">
              <v:textbox inset="0,0,0,0">
                <w:txbxContent>
                  <w:p>
                    <w:pPr>
                      <w:spacing w:before="66"/>
                      <w:ind w:left="254" w:right="0" w:firstLine="0"/>
                      <w:jc w:val="left"/>
                      <w:rPr>
                        <w:b/>
                        <w:sz w:val="18"/>
                      </w:rPr>
                    </w:pPr>
                    <w:r>
                      <w:rPr>
                        <w:b/>
                        <w:sz w:val="18"/>
                      </w:rPr>
                      <w:t>Lerma: 21,61%</w:t>
                    </w:r>
                  </w:p>
                </w:txbxContent>
              </v:textbox>
              <v:fill type="solid"/>
              <w10:wrap type="none"/>
            </v:shape>
            <v:shape style="position:absolute;left:5688;top:5506;width:1719;height:358" type="#_x0000_t202" filled="true" fillcolor="#ffffff" stroked="true" strokeweight=".75pt" strokecolor="#000000">
              <v:textbox inset="0,0,0,0">
                <w:txbxContent>
                  <w:p>
                    <w:pPr>
                      <w:spacing w:before="68"/>
                      <w:ind w:left="203" w:right="0" w:firstLine="0"/>
                      <w:jc w:val="left"/>
                      <w:rPr>
                        <w:b/>
                        <w:sz w:val="18"/>
                      </w:rPr>
                    </w:pPr>
                    <w:r>
                      <w:rPr>
                        <w:b/>
                        <w:sz w:val="18"/>
                      </w:rPr>
                      <w:t>Balsas: 62,71%</w:t>
                    </w:r>
                  </w:p>
                </w:txbxContent>
              </v:textbox>
              <v:fill type="solid"/>
              <w10:wrap type="none"/>
            </v:shape>
            <w10:wrap type="topAndBottom"/>
          </v:group>
        </w:pict>
      </w:r>
    </w:p>
    <w:p>
      <w:pPr>
        <w:pStyle w:val="BodyText"/>
        <w:spacing w:before="3"/>
        <w:rPr>
          <w:sz w:val="19"/>
        </w:rPr>
      </w:pPr>
    </w:p>
    <w:p>
      <w:pPr>
        <w:spacing w:before="0"/>
        <w:ind w:left="4328" w:right="827" w:hanging="3207"/>
        <w:jc w:val="left"/>
        <w:rPr>
          <w:b/>
          <w:sz w:val="18"/>
        </w:rPr>
      </w:pPr>
      <w:r>
        <w:rPr>
          <w:b/>
          <w:sz w:val="18"/>
        </w:rPr>
        <w:t>Figura 2. Ubicación por cuenca de las unidades de producción trutícola en el Estado de México (Gallego </w:t>
      </w:r>
      <w:r>
        <w:rPr>
          <w:b/>
          <w:i/>
          <w:sz w:val="18"/>
        </w:rPr>
        <w:t>et al</w:t>
      </w:r>
      <w:r>
        <w:rPr>
          <w:b/>
          <w:sz w:val="18"/>
        </w:rPr>
        <w:t>., 2007)</w:t>
      </w:r>
    </w:p>
    <w:p>
      <w:pPr>
        <w:pStyle w:val="BodyText"/>
        <w:spacing w:before="6"/>
        <w:rPr>
          <w:b/>
          <w:sz w:val="17"/>
        </w:rPr>
      </w:pPr>
    </w:p>
    <w:p>
      <w:pPr>
        <w:pStyle w:val="BodyText"/>
        <w:spacing w:line="360" w:lineRule="auto"/>
        <w:ind w:left="781" w:right="497"/>
        <w:jc w:val="both"/>
      </w:pPr>
      <w:r>
        <w:rPr/>
        <w:t>El uso de paso del agua en las granjas de trucha arco iris tiene como origen en un 70 % los manantiales localizados en los terrenos de las unidades o cercanos a éstas, el resto  de las granjas obtiene el agua de ríos, presas, arroyos y escurrimientos. Los orígenes del agua se encuentran influenciados por las condiciones climáticas de la región, causando dos de los problemas reportados por los truticultores: la calidad del agua en temporada de lluvia y la cantidad de la misma en el</w:t>
      </w:r>
      <w:r>
        <w:rPr>
          <w:spacing w:val="-12"/>
        </w:rPr>
        <w:t> </w:t>
      </w:r>
      <w:r>
        <w:rPr/>
        <w:t>estiaje.</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pict>
          <v:shape style="position:absolute;margin-left:236.159988pt;margin-top:95.687576pt;width:135.4pt;height:14.4pt;mso-position-horizontal-relative:page;mso-position-vertical-relative:paragraph;z-index:-1529632" type="#_x0000_t202" filled="false" stroked="false">
            <v:textbox inset="0,0,0,0">
              <w:txbxContent>
                <w:p>
                  <w:pPr>
                    <w:spacing w:before="46"/>
                    <w:ind w:left="141" w:right="0" w:firstLine="0"/>
                    <w:jc w:val="left"/>
                    <w:rPr>
                      <w:b/>
                      <w:sz w:val="12"/>
                    </w:rPr>
                  </w:pPr>
                  <w:r>
                    <w:rPr>
                      <w:b/>
                      <w:w w:val="110"/>
                      <w:sz w:val="12"/>
                    </w:rPr>
                    <w:t>Fuente de agua de las granjas trutícolas</w:t>
                  </w:r>
                </w:p>
              </w:txbxContent>
            </v:textbox>
            <w10:wrap type="none"/>
          </v:shape>
        </w:pict>
      </w:r>
      <w:r>
        <w:rPr/>
        <w:pict>
          <v:shape style="position:absolute;margin-left:215.399994pt;margin-top:355.487579pt;width:181.45pt;height:18.5pt;mso-position-horizontal-relative:page;mso-position-vertical-relative:paragraph;z-index:-1529608" type="#_x0000_t202" filled="false" stroked="false">
            <v:textbox inset="0,0,0,0">
              <w:txbxContent>
                <w:p>
                  <w:pPr>
                    <w:spacing w:before="58"/>
                    <w:ind w:left="69" w:right="0" w:firstLine="0"/>
                    <w:jc w:val="left"/>
                    <w:rPr>
                      <w:b/>
                      <w:sz w:val="12"/>
                    </w:rPr>
                  </w:pPr>
                  <w:r>
                    <w:rPr>
                      <w:b/>
                      <w:w w:val="110"/>
                      <w:sz w:val="12"/>
                    </w:rPr>
                    <w:t>Litros por segundo utilizada de paso por tipo de fuente</w:t>
                  </w:r>
                </w:p>
              </w:txbxContent>
            </v:textbox>
            <w10:wrap type="none"/>
          </v:shape>
        </w:pict>
      </w:r>
      <w:r>
        <w:rPr/>
        <w:pict>
          <v:shape style="position:absolute;margin-left:243.599991pt;margin-top:541.007568pt;width:246pt;height:44.3pt;mso-position-horizontal-relative:page;mso-position-vertical-relative:paragraph;z-index:-1529584" type="#_x0000_t202" filled="false" stroked="false">
            <v:textbox inset="0,0,0,0">
              <w:txbxContent>
                <w:p>
                  <w:pPr>
                    <w:pStyle w:val="BodyText"/>
                    <w:rPr>
                      <w:b/>
                      <w:sz w:val="10"/>
                    </w:rPr>
                  </w:pPr>
                </w:p>
                <w:p>
                  <w:pPr>
                    <w:pStyle w:val="BodyText"/>
                    <w:rPr>
                      <w:b/>
                      <w:sz w:val="10"/>
                    </w:rPr>
                  </w:pPr>
                </w:p>
                <w:p>
                  <w:pPr>
                    <w:pStyle w:val="BodyText"/>
                    <w:rPr>
                      <w:b/>
                      <w:sz w:val="10"/>
                    </w:rPr>
                  </w:pPr>
                </w:p>
                <w:p>
                  <w:pPr>
                    <w:pStyle w:val="BodyText"/>
                    <w:rPr>
                      <w:b/>
                      <w:sz w:val="10"/>
                    </w:rPr>
                  </w:pPr>
                </w:p>
                <w:p>
                  <w:pPr>
                    <w:pStyle w:val="BodyText"/>
                    <w:rPr>
                      <w:b/>
                      <w:sz w:val="10"/>
                    </w:rPr>
                  </w:pPr>
                </w:p>
                <w:p>
                  <w:pPr>
                    <w:pStyle w:val="BodyText"/>
                    <w:rPr>
                      <w:b/>
                      <w:sz w:val="10"/>
                    </w:rPr>
                  </w:pPr>
                </w:p>
                <w:p>
                  <w:pPr>
                    <w:spacing w:before="75"/>
                    <w:ind w:left="131" w:right="0" w:firstLine="0"/>
                    <w:jc w:val="left"/>
                    <w:rPr>
                      <w:b/>
                      <w:sz w:val="10"/>
                    </w:rPr>
                  </w:pPr>
                  <w:r>
                    <w:rPr>
                      <w:w w:val="110"/>
                      <w:sz w:val="10"/>
                    </w:rPr>
                    <w:t>Total de agua que reportan, utilizada de paso, los trutícultores del Estado de México: </w:t>
                  </w:r>
                  <w:r>
                    <w:rPr>
                      <w:b/>
                      <w:color w:val="00007F"/>
                      <w:w w:val="110"/>
                      <w:sz w:val="10"/>
                    </w:rPr>
                    <w:t>2,881.30L/s</w:t>
                  </w:r>
                </w:p>
              </w:txbxContent>
            </v:textbox>
            <w10:wrap type="none"/>
          </v:shape>
        </w:pict>
      </w:r>
      <w:r>
        <w:rPr/>
        <w:t>En la figura 3 se muestra el origen del agua que abastece a las unidades de producción  en el Estado de México, destacando el uso de manantiales en un 70 %. En la figura 4 se observa el caudal utilizado por origen del agua, la cantidad utilizada en la temporada de lluvia es del doble de la disponible para el mismo cultivo en el</w:t>
      </w:r>
      <w:r>
        <w:rPr>
          <w:spacing w:val="-22"/>
        </w:rPr>
        <w:t> </w:t>
      </w:r>
      <w:r>
        <w:rPr/>
        <w:t>estiaje.</w:t>
      </w:r>
    </w:p>
    <w:p>
      <w:pPr>
        <w:pStyle w:val="BodyText"/>
        <w:spacing w:before="9"/>
        <w:rPr>
          <w:sz w:val="17"/>
        </w:rPr>
      </w:pPr>
      <w:r>
        <w:rPr/>
        <w:pict>
          <v:group style="position:absolute;margin-left:122.084999pt;margin-top:12.209118pt;width:367.95pt;height:234.15pt;mso-position-horizontal-relative:page;mso-position-vertical-relative:paragraph;z-index:1984;mso-wrap-distance-left:0;mso-wrap-distance-right:0" coordorigin="2442,244" coordsize="7359,4683">
            <v:rect style="position:absolute;left:2443;top:246;width:7356;height:4680" filled="false" stroked="true" strokeweight=".12pt" strokecolor="#000000"/>
            <v:shape style="position:absolute;left:3802;top:1384;width:4640;height:2250" type="#_x0000_t75" stroked="false">
              <v:imagedata r:id="rId14" o:title=""/>
            </v:shape>
            <v:rect style="position:absolute;left:2443;top:246;width:7356;height:4680" filled="false" stroked="true" strokeweight=".12pt" strokecolor="#000000"/>
            <v:rect style="position:absolute;left:4723;top:327;width:2707;height:288" filled="true" fillcolor="#ffffff" stroked="false">
              <v:fill type="solid"/>
            </v:rect>
            <v:shape style="position:absolute;left:5179;top:1275;width:1237;height:613" type="#_x0000_t202" filled="false" stroked="false">
              <v:textbox inset="0,0,0,0">
                <w:txbxContent>
                  <w:p>
                    <w:pPr>
                      <w:spacing w:line="103" w:lineRule="exact" w:before="0"/>
                      <w:ind w:left="0" w:right="561" w:firstLine="0"/>
                      <w:jc w:val="center"/>
                      <w:rPr>
                        <w:sz w:val="10"/>
                      </w:rPr>
                    </w:pPr>
                    <w:r>
                      <w:rPr>
                        <w:w w:val="105"/>
                        <w:sz w:val="10"/>
                      </w:rPr>
                      <w:t>Escurrimiento</w:t>
                    </w:r>
                  </w:p>
                  <w:p>
                    <w:pPr>
                      <w:spacing w:before="10"/>
                      <w:ind w:left="256" w:right="0" w:firstLine="0"/>
                      <w:jc w:val="left"/>
                      <w:rPr>
                        <w:sz w:val="10"/>
                      </w:rPr>
                    </w:pPr>
                    <w:r>
                      <w:rPr>
                        <w:w w:val="110"/>
                        <w:sz w:val="10"/>
                      </w:rPr>
                      <w:t>1%</w:t>
                    </w:r>
                  </w:p>
                  <w:p>
                    <w:pPr>
                      <w:spacing w:line="240" w:lineRule="auto" w:before="0"/>
                      <w:rPr>
                        <w:sz w:val="11"/>
                      </w:rPr>
                    </w:pPr>
                  </w:p>
                  <w:p>
                    <w:pPr>
                      <w:tabs>
                        <w:tab w:pos="950" w:val="left" w:leader="none"/>
                      </w:tabs>
                      <w:spacing w:line="130" w:lineRule="exact" w:before="0"/>
                      <w:ind w:left="208" w:right="0" w:firstLine="0"/>
                      <w:jc w:val="left"/>
                      <w:rPr>
                        <w:sz w:val="10"/>
                      </w:rPr>
                    </w:pPr>
                    <w:r>
                      <w:rPr>
                        <w:w w:val="110"/>
                        <w:position w:val="2"/>
                        <w:sz w:val="10"/>
                      </w:rPr>
                      <w:t>Reuso</w:t>
                      <w:tab/>
                    </w:r>
                    <w:r>
                      <w:rPr>
                        <w:w w:val="105"/>
                        <w:sz w:val="10"/>
                      </w:rPr>
                      <w:t>Presa</w:t>
                    </w:r>
                  </w:p>
                  <w:p>
                    <w:pPr>
                      <w:tabs>
                        <w:tab w:pos="1015" w:val="left" w:leader="none"/>
                      </w:tabs>
                      <w:spacing w:line="128" w:lineRule="exact" w:before="0"/>
                      <w:ind w:left="287" w:right="0" w:firstLine="0"/>
                      <w:jc w:val="left"/>
                      <w:rPr>
                        <w:sz w:val="10"/>
                      </w:rPr>
                    </w:pPr>
                    <w:r>
                      <w:rPr>
                        <w:w w:val="110"/>
                        <w:position w:val="2"/>
                        <w:sz w:val="10"/>
                      </w:rPr>
                      <w:t>1%</w:t>
                      <w:tab/>
                    </w:r>
                    <w:r>
                      <w:rPr>
                        <w:w w:val="110"/>
                        <w:sz w:val="10"/>
                      </w:rPr>
                      <w:t>2%</w:t>
                    </w:r>
                  </w:p>
                </w:txbxContent>
              </v:textbox>
              <w10:wrap type="none"/>
            </v:shape>
            <v:shape style="position:absolute;left:7639;top:1786;width:217;height:226" type="#_x0000_t202" filled="false" stroked="false">
              <v:textbox inset="0,0,0,0">
                <w:txbxContent>
                  <w:p>
                    <w:pPr>
                      <w:spacing w:line="103" w:lineRule="exact" w:before="0"/>
                      <w:ind w:left="0" w:right="-14" w:firstLine="26"/>
                      <w:jc w:val="left"/>
                      <w:rPr>
                        <w:sz w:val="10"/>
                      </w:rPr>
                    </w:pPr>
                    <w:r>
                      <w:rPr>
                        <w:w w:val="110"/>
                        <w:sz w:val="10"/>
                      </w:rPr>
                      <w:t>Rio</w:t>
                    </w:r>
                  </w:p>
                  <w:p>
                    <w:pPr>
                      <w:spacing w:line="113" w:lineRule="exact" w:before="10"/>
                      <w:ind w:left="0" w:right="-14" w:firstLine="0"/>
                      <w:jc w:val="left"/>
                      <w:rPr>
                        <w:sz w:val="10"/>
                      </w:rPr>
                    </w:pPr>
                    <w:r>
                      <w:rPr>
                        <w:w w:val="105"/>
                        <w:sz w:val="10"/>
                      </w:rPr>
                      <w:t>18%</w:t>
                    </w:r>
                  </w:p>
                </w:txbxContent>
              </v:textbox>
              <w10:wrap type="none"/>
            </v:shape>
            <v:shape style="position:absolute;left:8517;top:2338;width:320;height:226" type="#_x0000_t202" filled="false" stroked="false">
              <v:textbox inset="0,0,0,0">
                <w:txbxContent>
                  <w:p>
                    <w:pPr>
                      <w:spacing w:line="103" w:lineRule="exact" w:before="0"/>
                      <w:ind w:left="81" w:right="-17" w:hanging="82"/>
                      <w:jc w:val="left"/>
                      <w:rPr>
                        <w:sz w:val="10"/>
                      </w:rPr>
                    </w:pPr>
                    <w:r>
                      <w:rPr>
                        <w:spacing w:val="-1"/>
                        <w:w w:val="110"/>
                        <w:sz w:val="10"/>
                      </w:rPr>
                      <w:t>Arroyo</w:t>
                    </w:r>
                  </w:p>
                  <w:p>
                    <w:pPr>
                      <w:spacing w:line="113" w:lineRule="exact" w:before="10"/>
                      <w:ind w:left="81" w:right="-17" w:firstLine="0"/>
                      <w:jc w:val="left"/>
                      <w:rPr>
                        <w:sz w:val="10"/>
                      </w:rPr>
                    </w:pPr>
                    <w:r>
                      <w:rPr>
                        <w:w w:val="110"/>
                        <w:sz w:val="10"/>
                      </w:rPr>
                      <w:t>8%</w:t>
                    </w:r>
                  </w:p>
                </w:txbxContent>
              </v:textbox>
              <w10:wrap type="none"/>
            </v:shape>
            <v:shape style="position:absolute;left:3864;top:3481;width:473;height:226" type="#_x0000_t202" filled="false" stroked="false">
              <v:textbox inset="0,0,0,0">
                <w:txbxContent>
                  <w:p>
                    <w:pPr>
                      <w:spacing w:line="103" w:lineRule="exact" w:before="0"/>
                      <w:ind w:left="0" w:right="0" w:firstLine="0"/>
                      <w:jc w:val="center"/>
                      <w:rPr>
                        <w:sz w:val="10"/>
                      </w:rPr>
                    </w:pPr>
                    <w:r>
                      <w:rPr>
                        <w:spacing w:val="-1"/>
                        <w:w w:val="110"/>
                        <w:sz w:val="10"/>
                      </w:rPr>
                      <w:t>Manantial</w:t>
                    </w:r>
                  </w:p>
                  <w:p>
                    <w:pPr>
                      <w:spacing w:line="113" w:lineRule="exact" w:before="10"/>
                      <w:ind w:left="0" w:right="1" w:firstLine="0"/>
                      <w:jc w:val="center"/>
                      <w:rPr>
                        <w:sz w:val="10"/>
                      </w:rPr>
                    </w:pPr>
                    <w:r>
                      <w:rPr>
                        <w:w w:val="110"/>
                        <w:sz w:val="10"/>
                      </w:rPr>
                      <w:t>70%</w:t>
                    </w:r>
                  </w:p>
                </w:txbxContent>
              </v:textbox>
              <w10:wrap type="none"/>
            </v:shape>
            <w10:wrap type="topAndBottom"/>
          </v:group>
        </w:pict>
      </w:r>
    </w:p>
    <w:p>
      <w:pPr>
        <w:spacing w:before="122"/>
        <w:ind w:left="868" w:right="588" w:firstLine="0"/>
        <w:jc w:val="center"/>
        <w:rPr>
          <w:b/>
          <w:sz w:val="18"/>
        </w:rPr>
      </w:pPr>
      <w:r>
        <w:rPr>
          <w:b/>
          <w:sz w:val="18"/>
        </w:rPr>
        <w:t>Figura 3. Origen del agua utilizada en las unidades de producción trutícola (Gallego </w:t>
      </w:r>
      <w:r>
        <w:rPr>
          <w:b/>
          <w:i/>
          <w:sz w:val="18"/>
        </w:rPr>
        <w:t>et al</w:t>
      </w:r>
      <w:r>
        <w:rPr>
          <w:b/>
          <w:sz w:val="18"/>
        </w:rPr>
        <w:t>., 2007)</w:t>
      </w:r>
    </w:p>
    <w:p>
      <w:pPr>
        <w:pStyle w:val="BodyText"/>
        <w:spacing w:before="10"/>
        <w:rPr>
          <w:b/>
          <w:sz w:val="10"/>
        </w:rPr>
      </w:pPr>
      <w:r>
        <w:rPr/>
        <w:pict>
          <v:group style="position:absolute;margin-left:120.044998pt;margin-top:8.217566pt;width:372.05pt;height:237.05pt;mso-position-horizontal-relative:page;mso-position-vertical-relative:paragraph;z-index:2152;mso-wrap-distance-left:0;mso-wrap-distance-right:0" coordorigin="2401,164" coordsize="7441,4741">
            <v:rect style="position:absolute;left:2402;top:166;width:7438;height:4738" filled="false" stroked="true" strokeweight=".12pt" strokecolor="#000000"/>
            <v:shape style="position:absolute;left:6122;top:1191;width:140;height:684" coordorigin="6122,1191" coordsize="140,684" path="m6262,1191l6122,1191,6122,1875e" filled="false" stroked="true" strokeweight=".12pt" strokecolor="#000000">
              <v:path arrowok="t"/>
            </v:shape>
            <v:shape style="position:absolute;left:6122;top:1491;width:140;height:384" coordorigin="6122,1491" coordsize="140,384" path="m6262,1491l6122,1491,6122,1875e" filled="false" stroked="true" strokeweight=".12pt" strokecolor="#000000">
              <v:path arrowok="t"/>
            </v:shape>
            <v:shape style="position:absolute;left:5998;top:1877;width:125;height:1155" coordorigin="5998,1877" coordsize="125,1155" path="m5998,1877l5998,2472,6122,3031,6122,2434,5998,1877xe" filled="true" fillcolor="#320032" stroked="false">
              <v:path arrowok="t"/>
              <v:fill type="solid"/>
            </v:shape>
            <v:shape style="position:absolute;left:5998;top:1877;width:125;height:1155" coordorigin="5998,1877" coordsize="125,1155" path="m6122,2434l5998,1877,5998,2472,6122,3031,6122,2434xe" filled="false" stroked="true" strokeweight=".532323pt" strokecolor="#000000">
              <v:path arrowok="t"/>
            </v:shape>
            <v:shape style="position:absolute;left:5998;top:1877;width:125;height:557" coordorigin="5998,1877" coordsize="125,557" path="m6122,1877l5998,1877,6122,2434,6122,1877xe" filled="true" fillcolor="#650065" stroked="false">
              <v:path arrowok="t"/>
              <v:fill type="solid"/>
            </v:shape>
            <v:shape style="position:absolute;left:5998;top:1877;width:125;height:557" coordorigin="5998,1877" coordsize="125,557" path="m5998,1877l6038,1877,6079,1877,6122,1877,6122,2434,5998,1877xe" filled="false" stroked="true" strokeweight=".530825pt" strokecolor="#000000">
              <v:path arrowok="t"/>
            </v:shape>
            <v:shape style="position:absolute;left:5842;top:1680;width:200;height:195" coordorigin="5842,1680" coordsize="200,195" path="m5842,1680l5983,1680,6041,1875e" filled="false" stroked="true" strokeweight=".12pt" strokecolor="#000000">
              <v:path arrowok="t"/>
            </v:shape>
            <v:shape style="position:absolute;left:6122;top:1877;width:2064;height:557" coordorigin="6122,1877" coordsize="2064,557" path="m6324,1877l6122,1877,6122,2434,8186,2172,8167,2165,8146,2155,8126,2146,8083,2131,8062,2122,8038,2115,8014,2105,7966,2091,7886,2069,7860,2059,7831,2052,7805,2047,7747,2033,7716,2026,7687,2019,7656,2011,7625,2007,7594,1999,7562,1995,7529,1987,7498,1983,7464,1978,7430,1971,7147,1932,7109,1927,7073,1925,6998,1915,6960,1913,6922,1908,6804,1901,6766,1896,6648,1889,6607,1889,6487,1882,6446,1882,6406,1879,6365,1879,6324,1877xe" filled="true" fillcolor="#993265" stroked="false">
              <v:path arrowok="t"/>
              <v:fill type="solid"/>
            </v:shape>
            <v:shape style="position:absolute;left:6122;top:1877;width:2064;height:557" coordorigin="6122,1877" coordsize="2064,557" path="m6122,1877l6161,1877,6202,1877,6245,1877,6283,1877,6324,1877,6365,1879,6406,1879,6446,1882,6487,1882,6528,1884,6569,1887,6607,1889,6648,1889,6686,1891,6727,1894,6766,1896,6804,1901,6842,1903,6883,1906,6922,1908,6960,1913,6998,1915,7034,1920,7073,1925,7109,1927,7147,1932,7183,1937,7219,1942,7255,1947,7291,1951,7325,1956,7361,1961,7394,1966,7430,1971,7464,1978,7498,1983,7529,1987,7562,1995,7594,1999,7625,2007,7656,2011,7687,2019,7716,2026,7747,2033,7776,2040,7805,2047,7831,2052,7860,2059,7886,2069,7913,2076,7939,2083,7966,2091,7990,2098,8014,2105,8038,2115,8062,2122,8083,2131,8105,2139,8126,2146,8146,2155,8167,2165,8186,2172,6122,2434,6122,1877xe" filled="false" stroked="true" strokeweight=".49432pt" strokecolor="#000000">
              <v:path arrowok="t"/>
            </v:shape>
            <v:shape style="position:absolute;left:6122;top:2386;width:2331;height:646" coordorigin="6122,2386" coordsize="2331,646" path="m8453,2386l6122,2434,6122,3031,8453,2983,8453,2386xe" filled="true" fillcolor="#7f7f65" stroked="false">
              <v:path arrowok="t"/>
              <v:fill type="solid"/>
            </v:shape>
            <v:shape style="position:absolute;left:6122;top:2386;width:2331;height:646" coordorigin="6122,2386" coordsize="2331,646" path="m6122,2434l8453,2386,8453,2983,6122,3031,6122,2434xe" filled="false" stroked="true" strokeweight=".494462pt" strokecolor="#000000">
              <v:path arrowok="t"/>
            </v:shape>
            <v:shape style="position:absolute;left:6122;top:2172;width:2331;height:262" coordorigin="6122,2172" coordsize="2331,262" path="m8186,2172l6122,2434,8453,2386,8438,2357,8431,2347,8426,2338,8417,2328,8402,2309,8393,2299,8381,2290,8371,2280,8359,2271,8347,2263,8333,2254,8321,2244,8306,2235,8290,2225,8275,2218,8225,2189,8206,2182,8186,2172xe" filled="true" fillcolor="#ffffcc" stroked="false">
              <v:path arrowok="t"/>
              <v:fill type="solid"/>
            </v:shape>
            <v:shape style="position:absolute;left:6122;top:2172;width:2331;height:262" coordorigin="6122,2172" coordsize="2331,262" path="m8186,2172l8206,2182,8225,2189,8242,2199,8258,2208,8275,2218,8290,2225,8306,2235,8321,2244,8333,2254,8347,2263,8359,2271,8371,2280,8381,2290,8393,2299,8402,2309,8410,2319,8417,2328,8426,2338,8431,2347,8438,2357,8443,2367,8448,2376,8453,2386,6122,2434,8186,2172xe" filled="false" stroked="true" strokeweight=".492034pt" strokecolor="#000000">
              <v:path arrowok="t"/>
            </v:shape>
            <v:shape style="position:absolute;left:3569;top:2507;width:4680;height:1146" type="#_x0000_t75" stroked="false">
              <v:imagedata r:id="rId15" o:title=""/>
            </v:shape>
            <v:shape style="position:absolute;left:3566;top:2494;width:4680;height:1157" coordorigin="3566,2494" coordsize="4680,1157" path="m8246,2494l8246,2513,8242,2523,8239,2535,8237,2544,8234,2554,8230,2563,8225,2573,8218,2583,8210,2592,8203,2602,8194,2611,8186,2619,8177,2631,8167,2640,8155,2650,8143,2657,8131,2667,8119,2676,8105,2686,8090,2695,8076,2705,8059,2712,8045,2722,8026,2731,8009,2739,7992,2748,7973,2758,7954,2765,7932,2775,7913,2782,7891,2791,7867,2799,7848,2806,7824,2815,7800,2823,7776,2832,7752,2839,7723,2847,7699,2854,7673,2861,7646,2868,7618,2875,7589,2883,7560,2890,7534,2897,7502,2904,7474,2909,7442,2916,7409,2923,7380,2928,7346,2935,7315,2940,7282,2947,7248,2952,7214,2957,7181,2964,7145,2969,7111,2974,7078,2979,7042,2983,7006,2988,6970,2993,6934,2998,6895,3000,6859,3005,6821,3010,6782,3015,6744,3017,6706,3019,6667,3024,6629,3027,6590,3029,6552,3031,6511,3034,6473,3036,6432,3039,6394,3041,6353,3043,6312,3046,6271,3046,6233,3048,6192,3048,6151,3051,6110,3051,6070,3053,5988,3053,5947,3055,5866,3055,5825,3053,5743,3053,5702,3051,5662,3051,5621,3048,5580,3048,5539,3046,5501,3046,5460,3043,5419,3041,5381,3039,5340,3036,5299,3034,5261,3031,5222,3029,5184,3027,5146,3024,5105,3019,5066,3017,5030,3015,4992,3010,4954,3005,4918,3000,4882,2998,4846,2993,4807,2988,4771,2983,4738,2979,4702,2974,4666,2969,4632,2964,4598,2957,4565,2952,4531,2947,4498,2940,4466,2935,4435,2928,4402,2923,4370,2916,4342,2909,4310,2904,4282,2897,4253,2890,4224,2883,4195,2875,4169,2868,4140,2861,4114,2854,4087,2847,4063,2839,4037,2832,4013,2823,3989,2815,3967,2806,3943,2799,3922,2791,3900,2782,3881,2775,3859,2765,3840,2758,3821,2748,3802,2739,3785,2731,3770,2722,3751,2712,3737,2705,3722,2695,3708,2686,3694,2676,3682,2667,3667,2657,3658,2650,3646,2640,3636,2631,3626,2619,3617,2611,3610,2602,3602,2592,3595,2583,3590,2573,3583,2563,3578,2554,3574,2544,3571,2535,3569,2523,3569,2513,3566,2503,3566,2494,3566,3101,3569,3111,3569,3120,3571,3130,3574,3139,3578,3151,3583,3161,3590,3171,3595,3178,3602,3187,3610,3199,3617,3209,3626,3216,3636,3226,3646,3235,3658,3247,3667,3255,3682,3264,3694,3274,3708,3283,3722,3293,3737,3303,3751,3310,3770,3319,3785,3327,3802,3336,3821,3346,3840,3355,3859,3363,3881,3372,3900,3379,3922,3389,3943,3396,3967,3403,3989,3413,4013,3420,4037,3427,4063,3437,4087,3444,4114,3451,4140,3459,4169,3466,4195,3473,4224,3480,4253,3487,4282,3495,4310,3502,4342,3507,4370,3514,4402,3519,4435,3526,4466,3533,4498,3538,4531,3545,4565,3550,4598,3555,4632,3559,4666,3567,4702,3571,4738,3576,4771,3581,4807,3586,4846,3591,4882,3595,4918,3598,4954,3603,4992,3607,5030,3610,5066,3615,5105,3617,5146,3622,5184,3624,5222,3627,5261,3629,5299,3631,5340,3634,5381,3636,5419,3639,5460,3641,5501,3643,5539,3643,5580,3646,5621,3646,5662,3648,5702,3648,5743,3651,5866,3651,5947,3651,6070,3651,6110,3648,6151,3648,6192,3646,6233,3646,6271,3643,6312,3643,6353,3641,6394,3639,6432,3636,6473,3634,6511,3631,6552,3629,6590,3627,6629,3624,6667,3622,6706,3617,6744,3615,6782,3610,6821,3607,6859,3603,6895,3598,6934,3595,6970,3591,7006,3586,7042,3581,7078,3576,7111,3571,7145,3567,7181,3559,7214,3555,7248,3550,7282,3545,7315,3538,7346,3533,7380,3526,7409,3519,7442,3514,7474,3507,7502,3502,7534,3495,7560,3487,7589,3480,7618,3473,7646,3466,7673,3459,7699,3451,7723,3444,7752,3437,7776,3427,7800,3420,7824,3413,7848,3403,7867,3396,7891,3389,7913,3379,7932,3372,7954,3363,7973,3355,7992,3346,8009,3336,8026,3327,8045,3319,8059,3310,8076,3303,8090,3293,8105,3283,8119,3274,8131,3264,8143,3255,8155,3247,8167,3235,8177,3226,8186,3216,8194,3209,8203,3199,8210,3187,8218,3178,8225,3171,8230,3161,8234,3151,8237,3139,8239,3130,8242,3120,8246,3111,8246,2494xe" filled="false" stroked="true" strokeweight=".493897pt" strokecolor="#000000">
              <v:path arrowok="t"/>
            </v:shape>
            <v:shape style="position:absolute;left:3569;top:1937;width:4680;height:1118" type="#_x0000_t75" stroked="false">
              <v:imagedata r:id="rId16" o:title=""/>
            </v:shape>
            <v:shape style="position:absolute;left:3566;top:1935;width:4680;height:1121" coordorigin="3566,1935" coordsize="4680,1121" path="m8237,2446l8237,2446,8239,2455,8242,2465,8246,2475,8246,2513,8230,2563,8225,2573,8218,2583,8177,2631,8167,2640,8155,2650,8105,2686,8090,2695,8076,2705,8009,2739,7992,2748,7973,2758,7891,2791,7867,2799,7848,2806,7752,2839,7723,2847,7699,2854,7589,2883,7560,2890,7534,2897,7380,2928,7346,2935,7315,2940,7181,2964,7145,2969,7111,2974,6970,2993,6934,2998,6895,3000,6511,3034,6473,3036,6432,3039,6312,3046,6271,3046,6233,3048,6192,3048,6151,3051,6110,3051,6070,3053,6029,3053,5988,3053,5947,3055,5906,3055,5866,3055,5825,3053,5784,3053,5743,3053,5702,3051,5662,3051,5621,3048,5580,3048,5539,3046,5501,3046,5261,3031,5222,3029,5184,3027,5030,3015,4992,3010,4954,3005,4771,2983,4738,2979,4702,2974,4565,2952,4531,2947,4498,2940,4370,2916,4342,2909,4310,2904,4195,2875,4169,2868,4140,2861,4037,2832,4013,2823,3989,2815,3881,2775,3859,2765,3840,2758,3770,2722,3751,2712,3737,2705,3682,2667,3667,2657,3658,2650,3617,2611,3610,2602,3602,2592,3578,2554,3574,2544,3571,2535,3569,2523,3569,2513,3566,2503,3566,2484,3569,2475,3569,2465,3571,2455,3574,2446,3578,2436,3583,2427,3590,2417,3595,2407,3602,2398,3610,2388,3617,2379,3626,2369,3636,2359,3646,2350,3658,2340,3667,2331,3682,2321,3694,2311,3708,2304,3722,2292,3737,2285,3751,2275,3770,2266,3785,2259,3802,2249,3821,2239,3840,2232,3859,2223,3881,2215,3900,2206,3922,2196,3943,2189,3967,2182,3989,2175,4013,2165,4037,2158,4063,2148,4087,2141,4114,2134,4140,2127,4169,2119,4195,2112,4224,2105,4253,2098,4282,2091,4310,2086,4342,2079,4370,2071,4402,2067,4435,2059,4466,2052,4498,2047,4531,2043,4565,2035,4598,2031,4632,2026,4666,2021,4702,2016,4738,2009,4771,2004,4807,1999,4846,1995,4882,1992,4918,1987,4954,1983,4992,1980,5030,1975,5066,1973,5105,1968,5146,1966,5184,1961,5222,1959,5261,1956,5299,1954,5340,1951,5381,1949,5419,1947,5460,1944,5501,1944,5539,1942,5580,1939,5621,1939,5662,1937,5702,1937,5743,1937,5784,1935,5906,2494,8237,2446xe" filled="false" stroked="true" strokeweight=".493759pt" strokecolor="#000000">
              <v:path arrowok="t"/>
            </v:shape>
            <v:rect style="position:absolute;left:2402;top:166;width:7438;height:4738" filled="false" stroked="true" strokeweight=".12pt" strokecolor="#000000"/>
            <v:rect style="position:absolute;left:4308;top:238;width:3629;height:370" filled="true" fillcolor="#ffffff" stroked="false">
              <v:fill type="solid"/>
            </v:rect>
            <v:rect style="position:absolute;left:4872;top:3948;width:4920;height:886" filled="true" fillcolor="#ffffff" stroked="false">
              <v:fill type="solid"/>
            </v:rect>
            <v:shape style="position:absolute;left:5510;top:1569;width:319;height:230" type="#_x0000_t202" filled="false" stroked="false">
              <v:textbox inset="0,0,0,0">
                <w:txbxContent>
                  <w:p>
                    <w:pPr>
                      <w:spacing w:line="104" w:lineRule="exact" w:before="0"/>
                      <w:ind w:left="21" w:right="-18" w:hanging="22"/>
                      <w:jc w:val="left"/>
                      <w:rPr>
                        <w:sz w:val="10"/>
                      </w:rPr>
                    </w:pPr>
                    <w:r>
                      <w:rPr>
                        <w:w w:val="110"/>
                        <w:sz w:val="10"/>
                      </w:rPr>
                      <w:t>Reuso</w:t>
                    </w:r>
                  </w:p>
                  <w:p>
                    <w:pPr>
                      <w:spacing w:line="113" w:lineRule="exact" w:before="12"/>
                      <w:ind w:left="21" w:right="-18" w:firstLine="0"/>
                      <w:jc w:val="left"/>
                      <w:rPr>
                        <w:sz w:val="10"/>
                      </w:rPr>
                    </w:pPr>
                    <w:r>
                      <w:rPr>
                        <w:w w:val="110"/>
                        <w:sz w:val="10"/>
                      </w:rPr>
                      <w:t>20.00</w:t>
                    </w:r>
                  </w:p>
                </w:txbxContent>
              </v:textbox>
              <w10:wrap type="none"/>
            </v:shape>
            <v:shape style="position:absolute;left:6278;top:1079;width:678;height:532" type="#_x0000_t202" filled="false" stroked="false">
              <v:textbox inset="0,0,0,0">
                <w:txbxContent>
                  <w:p>
                    <w:pPr>
                      <w:spacing w:line="104" w:lineRule="exact" w:before="0"/>
                      <w:ind w:left="-1" w:right="0" w:firstLine="0"/>
                      <w:jc w:val="center"/>
                      <w:rPr>
                        <w:sz w:val="10"/>
                      </w:rPr>
                    </w:pPr>
                    <w:r>
                      <w:rPr>
                        <w:spacing w:val="-1"/>
                        <w:w w:val="110"/>
                        <w:sz w:val="10"/>
                      </w:rPr>
                      <w:t>Escurrimiento</w:t>
                    </w:r>
                  </w:p>
                  <w:p>
                    <w:pPr>
                      <w:spacing w:before="12"/>
                      <w:ind w:left="0" w:right="0" w:firstLine="0"/>
                      <w:jc w:val="center"/>
                      <w:rPr>
                        <w:sz w:val="10"/>
                      </w:rPr>
                    </w:pPr>
                    <w:r>
                      <w:rPr>
                        <w:w w:val="110"/>
                        <w:sz w:val="10"/>
                      </w:rPr>
                      <w:t>1.50</w:t>
                    </w:r>
                  </w:p>
                  <w:p>
                    <w:pPr>
                      <w:spacing w:line="266" w:lineRule="auto" w:before="60"/>
                      <w:ind w:left="38" w:right="371" w:hanging="39"/>
                      <w:jc w:val="left"/>
                      <w:rPr>
                        <w:sz w:val="10"/>
                      </w:rPr>
                    </w:pPr>
                    <w:r>
                      <w:rPr>
                        <w:w w:val="110"/>
                        <w:sz w:val="10"/>
                      </w:rPr>
                      <w:t>Presa 4.00</w:t>
                    </w:r>
                  </w:p>
                </w:txbxContent>
              </v:textbox>
              <w10:wrap type="none"/>
            </v:shape>
            <v:shape style="position:absolute;left:7380;top:1681;width:338;height:230" type="#_x0000_t202" filled="false" stroked="false">
              <v:textbox inset="0,0,0,0">
                <w:txbxContent>
                  <w:p>
                    <w:pPr>
                      <w:spacing w:line="104" w:lineRule="exact" w:before="0"/>
                      <w:ind w:left="0" w:right="-19" w:firstLine="86"/>
                      <w:jc w:val="left"/>
                      <w:rPr>
                        <w:sz w:val="10"/>
                      </w:rPr>
                    </w:pPr>
                    <w:r>
                      <w:rPr>
                        <w:w w:val="110"/>
                        <w:sz w:val="10"/>
                      </w:rPr>
                      <w:t>Rio</w:t>
                    </w:r>
                  </w:p>
                  <w:p>
                    <w:pPr>
                      <w:spacing w:line="113" w:lineRule="exact" w:before="12"/>
                      <w:ind w:left="0" w:right="-19" w:firstLine="0"/>
                      <w:jc w:val="left"/>
                      <w:rPr>
                        <w:sz w:val="10"/>
                      </w:rPr>
                    </w:pPr>
                    <w:r>
                      <w:rPr>
                        <w:w w:val="110"/>
                        <w:sz w:val="10"/>
                      </w:rPr>
                      <w:t>492.00</w:t>
                    </w:r>
                  </w:p>
                </w:txbxContent>
              </v:textbox>
              <w10:wrap type="none"/>
            </v:shape>
            <v:shape style="position:absolute;left:8443;top:2109;width:338;height:230" type="#_x0000_t202" filled="false" stroked="false">
              <v:textbox inset="0,0,0,0">
                <w:txbxContent>
                  <w:p>
                    <w:pPr>
                      <w:spacing w:line="104" w:lineRule="exact" w:before="0"/>
                      <w:ind w:left="0" w:right="-15" w:firstLine="9"/>
                      <w:jc w:val="left"/>
                      <w:rPr>
                        <w:sz w:val="10"/>
                      </w:rPr>
                    </w:pPr>
                    <w:r>
                      <w:rPr>
                        <w:w w:val="110"/>
                        <w:sz w:val="10"/>
                      </w:rPr>
                      <w:t>Arroyo</w:t>
                    </w:r>
                  </w:p>
                  <w:p>
                    <w:pPr>
                      <w:spacing w:line="113" w:lineRule="exact" w:before="12"/>
                      <w:ind w:left="0" w:right="-19" w:firstLine="0"/>
                      <w:jc w:val="left"/>
                      <w:rPr>
                        <w:sz w:val="10"/>
                      </w:rPr>
                    </w:pPr>
                    <w:r>
                      <w:rPr>
                        <w:w w:val="110"/>
                        <w:sz w:val="10"/>
                      </w:rPr>
                      <w:t>183.00</w:t>
                    </w:r>
                  </w:p>
                </w:txbxContent>
              </v:textbox>
              <w10:wrap type="none"/>
            </v:shape>
            <v:shape style="position:absolute;left:3828;top:3565;width:479;height:230" type="#_x0000_t202" filled="false" stroked="false">
              <v:textbox inset="0,0,0,0">
                <w:txbxContent>
                  <w:p>
                    <w:pPr>
                      <w:spacing w:line="104" w:lineRule="exact" w:before="0"/>
                      <w:ind w:left="23" w:right="-17" w:hanging="24"/>
                      <w:jc w:val="left"/>
                      <w:rPr>
                        <w:sz w:val="10"/>
                      </w:rPr>
                    </w:pPr>
                    <w:r>
                      <w:rPr>
                        <w:w w:val="110"/>
                        <w:sz w:val="10"/>
                      </w:rPr>
                      <w:t>Manantial</w:t>
                    </w:r>
                  </w:p>
                  <w:p>
                    <w:pPr>
                      <w:spacing w:line="113" w:lineRule="exact" w:before="12"/>
                      <w:ind w:left="23" w:right="-17" w:firstLine="0"/>
                      <w:jc w:val="left"/>
                      <w:rPr>
                        <w:sz w:val="10"/>
                      </w:rPr>
                    </w:pPr>
                    <w:r>
                      <w:rPr>
                        <w:w w:val="110"/>
                        <w:sz w:val="10"/>
                      </w:rPr>
                      <w:t>2,180.80</w:t>
                    </w:r>
                  </w:p>
                </w:txbxContent>
              </v:textbox>
              <w10:wrap type="none"/>
            </v:shape>
            <v:shape style="position:absolute;left:5822;top:4044;width:3825;height:658" type="#_x0000_t202" filled="false" stroked="false">
              <v:textbox inset="0,0,0,0">
                <w:txbxContent>
                  <w:p>
                    <w:pPr>
                      <w:spacing w:line="203" w:lineRule="exact" w:before="0"/>
                      <w:ind w:left="912" w:right="-19" w:hanging="913"/>
                      <w:jc w:val="left"/>
                      <w:rPr>
                        <w:sz w:val="20"/>
                      </w:rPr>
                    </w:pPr>
                    <w:r>
                      <w:rPr>
                        <w:sz w:val="20"/>
                      </w:rPr>
                      <w:t>Agua de paso utilizada por los truticultores:</w:t>
                    </w:r>
                  </w:p>
                  <w:p>
                    <w:pPr>
                      <w:spacing w:line="229" w:lineRule="exact" w:before="0"/>
                      <w:ind w:left="912" w:right="-20" w:firstLine="0"/>
                      <w:jc w:val="left"/>
                      <w:rPr>
                        <w:sz w:val="20"/>
                      </w:rPr>
                    </w:pPr>
                    <w:r>
                      <w:rPr>
                        <w:sz w:val="20"/>
                      </w:rPr>
                      <w:t>Temporada de lluvia: 3 383,4 L/s</w:t>
                    </w:r>
                  </w:p>
                  <w:p>
                    <w:pPr>
                      <w:spacing w:line="225" w:lineRule="exact" w:before="0"/>
                      <w:ind w:left="2013" w:right="-11" w:firstLine="0"/>
                      <w:jc w:val="left"/>
                      <w:rPr>
                        <w:sz w:val="20"/>
                      </w:rPr>
                    </w:pPr>
                    <w:r>
                      <w:rPr>
                        <w:sz w:val="20"/>
                      </w:rPr>
                      <w:t>Estiaje: 1 952,34</w:t>
                    </w:r>
                    <w:r>
                      <w:rPr>
                        <w:spacing w:val="-10"/>
                        <w:sz w:val="20"/>
                      </w:rPr>
                      <w:t> </w:t>
                    </w:r>
                    <w:r>
                      <w:rPr>
                        <w:sz w:val="20"/>
                      </w:rPr>
                      <w:t>L/s</w:t>
                    </w:r>
                  </w:p>
                </w:txbxContent>
              </v:textbox>
              <w10:wrap type="none"/>
            </v:shape>
            <w10:wrap type="topAndBottom"/>
          </v:group>
        </w:pict>
      </w:r>
    </w:p>
    <w:p>
      <w:pPr>
        <w:spacing w:before="122"/>
        <w:ind w:left="868" w:right="589" w:firstLine="0"/>
        <w:jc w:val="center"/>
        <w:rPr>
          <w:b/>
          <w:sz w:val="18"/>
        </w:rPr>
      </w:pPr>
      <w:r>
        <w:rPr>
          <w:b/>
          <w:sz w:val="18"/>
        </w:rPr>
        <w:t>Figura 4. Caudal utilizado en las granjas de trucha por origen del agua (Gallego </w:t>
      </w:r>
      <w:r>
        <w:rPr>
          <w:b/>
          <w:i/>
          <w:sz w:val="18"/>
        </w:rPr>
        <w:t>et al</w:t>
      </w:r>
      <w:r>
        <w:rPr>
          <w:b/>
          <w:sz w:val="18"/>
        </w:rPr>
        <w:t>., 2007).</w:t>
      </w:r>
    </w:p>
    <w:p>
      <w:pPr>
        <w:spacing w:after="0"/>
        <w:jc w:val="center"/>
        <w:rPr>
          <w:sz w:val="18"/>
        </w:rPr>
        <w:sectPr>
          <w:pgSz w:w="12240" w:h="15840"/>
          <w:pgMar w:header="725" w:footer="1084" w:top="1340" w:bottom="1280" w:left="920" w:right="1200"/>
        </w:sectPr>
      </w:pPr>
    </w:p>
    <w:p>
      <w:pPr>
        <w:pStyle w:val="Heading5"/>
        <w:numPr>
          <w:ilvl w:val="1"/>
          <w:numId w:val="7"/>
        </w:numPr>
        <w:tabs>
          <w:tab w:pos="1211" w:val="left" w:leader="none"/>
        </w:tabs>
        <w:spacing w:line="240" w:lineRule="auto" w:before="172" w:after="0"/>
        <w:ind w:left="1210" w:right="0" w:hanging="429"/>
        <w:jc w:val="both"/>
      </w:pPr>
      <w:bookmarkStart w:name="_TOC_250069" w:id="18"/>
      <w:bookmarkStart w:name="2.2. Uso de agua pluvial en actividades " w:id="19"/>
      <w:r>
        <w:rPr>
          <w:b w:val="0"/>
        </w:rPr>
      </w:r>
      <w:bookmarkEnd w:id="19"/>
      <w:bookmarkStart w:name="2.2. Uso de agua pluvial en actividades " w:id="20"/>
      <w:r>
        <w:rPr/>
        <w:t>U</w:t>
      </w:r>
      <w:r>
        <w:rPr/>
        <w:t>SO DE AGUA PLUVIAL EN ACTIVIDADES</w:t>
      </w:r>
      <w:r>
        <w:rPr>
          <w:spacing w:val="-18"/>
        </w:rPr>
        <w:t> </w:t>
      </w:r>
      <w:bookmarkEnd w:id="18"/>
      <w:r>
        <w:rPr/>
        <w:t>HUMANAS</w:t>
      </w:r>
    </w:p>
    <w:p>
      <w:pPr>
        <w:pStyle w:val="BodyText"/>
        <w:spacing w:before="5"/>
        <w:rPr>
          <w:b/>
          <w:sz w:val="28"/>
        </w:rPr>
      </w:pPr>
    </w:p>
    <w:p>
      <w:pPr>
        <w:pStyle w:val="BodyText"/>
        <w:spacing w:line="360" w:lineRule="auto" w:before="1"/>
        <w:ind w:left="781" w:right="497"/>
        <w:jc w:val="both"/>
      </w:pPr>
      <w:r>
        <w:rPr/>
        <w:t>La captación de agua de lluvia es una técnica que se ha desarrollado y llevado a cabo con éxito, en diferentes partes del mundo con éxito. En la región del Chaco Central del Paraguay, el abastecimiento de agua en las comunidades indígenas y latino-paraguayas se realiza principalmente mediante pozos, tanques a cielo abierto cubiertos de plástico (llamados tajamares) y lagunas. El agua acumulada de las precipitaciones que escurre  por la superficie muestra concentraciones altas de potasio debido a que es arrastrado en la conducción del agua hacia los tajamares (agua de escorrentía). Lo mismo sucede con el calcio, magnesio, sodio y cloruros, los cuales también reflejan concentraciones altas a causa de la lixiviación del suelo circundante. Además tiene un alto contenido de fosfatos, nitratos y coliformes totales (Duarte </w:t>
      </w:r>
      <w:r>
        <w:rPr>
          <w:i/>
        </w:rPr>
        <w:t>et al</w:t>
      </w:r>
      <w:r>
        <w:rPr/>
        <w:t>.,</w:t>
      </w:r>
      <w:r>
        <w:rPr>
          <w:spacing w:val="-21"/>
        </w:rPr>
        <w:t> </w:t>
      </w:r>
      <w:r>
        <w:rPr/>
        <w:t>2003).</w:t>
      </w:r>
    </w:p>
    <w:p>
      <w:pPr>
        <w:pStyle w:val="BodyText"/>
        <w:spacing w:before="9"/>
        <w:rPr>
          <w:sz w:val="17"/>
        </w:rPr>
      </w:pPr>
    </w:p>
    <w:p>
      <w:pPr>
        <w:pStyle w:val="BodyText"/>
        <w:spacing w:line="357" w:lineRule="auto"/>
        <w:ind w:left="781" w:right="498"/>
        <w:jc w:val="both"/>
      </w:pPr>
      <w:r>
        <w:rPr/>
        <w:t>La elevada contaminación bacteriológica en los tajamares, se debe a las heces fecales humanas y animales, sin embargo, se ha comprobado que el agua es apta para todo uso, previo tratamiento. Los autores mencionan que, para abastecer una familia de seis personas, es necesario construir una techumbre de 100 m</w:t>
      </w:r>
      <w:r>
        <w:rPr>
          <w:position w:val="10"/>
          <w:sz w:val="13"/>
        </w:rPr>
        <w:t>2 </w:t>
      </w:r>
      <w:r>
        <w:rPr/>
        <w:t>y una cisterna de 35 000 L, asumiendo un consumo de 33 L/hab d, precipitaciones de 1 000 mm, una tasa de uso de 75% y la recarga del aljibe dos veces al  año (Duarte </w:t>
      </w:r>
      <w:r>
        <w:rPr>
          <w:i/>
        </w:rPr>
        <w:t>et al</w:t>
      </w:r>
      <w:r>
        <w:rPr/>
        <w:t>., 2003).</w:t>
      </w:r>
    </w:p>
    <w:p>
      <w:pPr>
        <w:pStyle w:val="BodyText"/>
        <w:rPr>
          <w:sz w:val="18"/>
        </w:rPr>
      </w:pPr>
    </w:p>
    <w:p>
      <w:pPr>
        <w:pStyle w:val="BodyText"/>
        <w:spacing w:line="360" w:lineRule="auto"/>
        <w:ind w:left="781" w:right="497"/>
        <w:jc w:val="both"/>
      </w:pPr>
      <w:r>
        <w:rPr/>
        <w:t>En la región, se registra una precipitación media anual entre 700 y 1000 mm. La Comisión Acueducto “Agua Limpia” ha experimentado con un filtro rápido de piedra y carbón activado seguido de un tanque de cloración para mejorar la calidad del agua de los tajamares (Duarte </w:t>
      </w:r>
      <w:r>
        <w:rPr>
          <w:i/>
        </w:rPr>
        <w:t>et al</w:t>
      </w:r>
      <w:r>
        <w:rPr/>
        <w:t>., 2003). Aunque la mejora es apreciable, no se alcanza el grado  de potabilidad y, durante el experimento, se observó poca durabilidad del sistema ya que se obstruye con facilidad debido al gran generación de algas. La Comisión recomienda que, a corto plazo, el agua debería ser tratada de manera más completa con un sistema que incluya floculación de algas y coloides, para remover sedimentos finos y  color, seguido de una filtración rápida o lenta y, finalmente, la desinfección con cloro, para asegurar una buena calidad física, química y bacteriológica (Duarte </w:t>
      </w:r>
      <w:r>
        <w:rPr>
          <w:i/>
        </w:rPr>
        <w:t>et al.</w:t>
      </w:r>
      <w:r>
        <w:rPr/>
        <w:t>,</w:t>
      </w:r>
      <w:r>
        <w:rPr>
          <w:spacing w:val="-32"/>
        </w:rPr>
        <w:t> </w:t>
      </w:r>
      <w:r>
        <w:rPr/>
        <w:t>2003).</w:t>
      </w:r>
    </w:p>
    <w:p>
      <w:pPr>
        <w:pStyle w:val="BodyText"/>
        <w:spacing w:before="7"/>
        <w:rPr>
          <w:sz w:val="17"/>
        </w:rPr>
      </w:pPr>
    </w:p>
    <w:p>
      <w:pPr>
        <w:pStyle w:val="BodyText"/>
        <w:spacing w:line="360" w:lineRule="auto"/>
        <w:ind w:left="781" w:right="497"/>
        <w:jc w:val="both"/>
      </w:pPr>
      <w:r>
        <w:rPr/>
        <w:t>En Auckland, Nueva Zelanda, 125 casas de un distrito cuentan con sistemas de cosecha de agua en sus techos, con el objeto de abastecerse de agua para uso doméstico. El  agua obtenida de esta manera tiene una calidad físico – química y microbiológica pobre debido principalmente al material de los techos con que se construyeron las casas, por </w:t>
      </w:r>
      <w:r>
        <w:rPr>
          <w:spacing w:val="34"/>
        </w:rPr>
        <w:t> </w:t>
      </w:r>
      <w:r>
        <w:rPr/>
        <w:t>lo</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501"/>
        <w:jc w:val="both"/>
      </w:pPr>
      <w:r>
        <w:rPr/>
        <w:t>que se subraya que se debe de contar con un tratamiento adecuado antes de utilizar este recurso en actividades humanas (Simmons, </w:t>
      </w:r>
      <w:r>
        <w:rPr>
          <w:i/>
        </w:rPr>
        <w:t>et al</w:t>
      </w:r>
      <w:r>
        <w:rPr/>
        <w:t>., 2001).</w:t>
      </w:r>
    </w:p>
    <w:p>
      <w:pPr>
        <w:pStyle w:val="BodyText"/>
        <w:spacing w:before="9"/>
        <w:rPr>
          <w:sz w:val="17"/>
        </w:rPr>
      </w:pPr>
    </w:p>
    <w:p>
      <w:pPr>
        <w:pStyle w:val="BodyText"/>
        <w:spacing w:line="352" w:lineRule="auto"/>
        <w:ind w:left="781" w:right="497"/>
        <w:jc w:val="both"/>
      </w:pPr>
      <w:r>
        <w:rPr/>
        <w:t>En Japón (Zaizen, </w:t>
      </w:r>
      <w:r>
        <w:rPr>
          <w:i/>
        </w:rPr>
        <w:t>et al</w:t>
      </w:r>
      <w:r>
        <w:rPr/>
        <w:t>., 1999) realizaron un estudio de tres estadios deportivos que cuentan con un sistema de captación de agua de lluvia, en techos de más de 28 000m</w:t>
      </w:r>
      <w:r>
        <w:rPr>
          <w:position w:val="10"/>
          <w:sz w:val="13"/>
        </w:rPr>
        <w:t>2</w:t>
      </w:r>
      <w:r>
        <w:rPr/>
        <w:t>. Esta agua es usada para la limpieza del estadio, baños y riego de jardines, cuentan con una capacidad de almacenaje de hasta 1800m</w:t>
      </w:r>
      <w:r>
        <w:rPr>
          <w:position w:val="10"/>
          <w:sz w:val="13"/>
        </w:rPr>
        <w:t>3</w:t>
      </w:r>
      <w:r>
        <w:rPr/>
        <w:t>. Estos autores mencionan que para obtener éxito en los sistemas de cosecha de lluvia se debe de tomar en cuenta: 1) Información anual de la precipitación en el área, 2) estimar la cantidad de agua requerida,</w:t>
      </w:r>
    </w:p>
    <w:p>
      <w:pPr>
        <w:pStyle w:val="BodyText"/>
        <w:spacing w:line="360" w:lineRule="auto" w:before="10"/>
        <w:ind w:left="781" w:right="498"/>
        <w:jc w:val="both"/>
      </w:pPr>
      <w:r>
        <w:rPr/>
        <w:t>3) analizar el balance de demanda de agua del sistema, y 4) calcular el volumen de almacenamiento para el control del agua de lluvia.</w:t>
      </w:r>
    </w:p>
    <w:p>
      <w:pPr>
        <w:pStyle w:val="BodyText"/>
        <w:spacing w:before="9"/>
        <w:rPr>
          <w:sz w:val="17"/>
        </w:rPr>
      </w:pPr>
    </w:p>
    <w:p>
      <w:pPr>
        <w:pStyle w:val="BodyText"/>
        <w:spacing w:line="360" w:lineRule="auto"/>
        <w:ind w:left="781" w:right="496"/>
        <w:jc w:val="both"/>
      </w:pPr>
      <w:r>
        <w:rPr/>
        <w:t>En México, en la región Tarahumara, en el 2001, se realizó un proyecto donde mediante un colector de agua de lluvia (Villanueva y Ontiveros, 2001) se provee de agua para consumo humano a los habitantes de la zona. En dicha región, se  registran precipitaciones desde 340 mm hasta 1017 mm. El sistema consta de techos de láminas galvanizadas, estructura de almacenamiento, tubería PVC y cisterna. Además, tiene un reservorio para las demasías del tinaco, a éste se le colocó una cubierta plástica para evitar la infiltración y se circundó con malla para evitar que los animales lo utilicen como bebedero.</w:t>
      </w:r>
    </w:p>
    <w:p>
      <w:pPr>
        <w:pStyle w:val="BodyText"/>
        <w:spacing w:before="7"/>
        <w:rPr>
          <w:sz w:val="17"/>
        </w:rPr>
      </w:pPr>
    </w:p>
    <w:p>
      <w:pPr>
        <w:pStyle w:val="BodyText"/>
        <w:spacing w:line="360" w:lineRule="auto"/>
        <w:ind w:left="781" w:right="497"/>
        <w:jc w:val="both"/>
      </w:pPr>
      <w:r>
        <w:rPr/>
        <w:t>En el estado de Oaxaca se desarrolló un sistema parecido (Ríos, 2002), sin embargo,  éste cuenta con un sistema de tratamiento primario. El sistema de tratamiento cuenta con dos alternativas, una de ellas es una trampa de sedimentos y la otra es una válvula de desfogue. El tratamiento a que se hace referencia es simple y contribuye a que se proporcione agua de mayor calidad. Se aclara que en este sistema no se realiza desinfección, sin embargo estos autores mencionan que es necesario para llegar a potabilizar el</w:t>
      </w:r>
      <w:r>
        <w:rPr>
          <w:spacing w:val="-7"/>
        </w:rPr>
        <w:t> </w:t>
      </w:r>
      <w:r>
        <w:rPr/>
        <w:t>agua.</w:t>
      </w:r>
    </w:p>
    <w:p>
      <w:pPr>
        <w:pStyle w:val="BodyText"/>
        <w:spacing w:before="7"/>
        <w:rPr>
          <w:sz w:val="17"/>
        </w:rPr>
      </w:pPr>
    </w:p>
    <w:p>
      <w:pPr>
        <w:pStyle w:val="BodyText"/>
        <w:spacing w:line="360" w:lineRule="auto"/>
        <w:ind w:left="781" w:right="498"/>
        <w:jc w:val="both"/>
      </w:pPr>
      <w:r>
        <w:rPr/>
        <w:t>En Yalenday, Chiapas (Mundo–Molina, 1997), el Instituto Mexicano de Tecnología del Agua (IMTA) construyó un colector de agua de lluvia que consiste principalmente de: 1. Techumbre de aluminio, 2. Cisterna bajo tierra, 3. Filtros y 4. Tanque regulador. Para la captación en techumbres (IICA, 1998).</w:t>
      </w:r>
    </w:p>
    <w:p>
      <w:pPr>
        <w:pStyle w:val="BodyText"/>
        <w:spacing w:before="9"/>
        <w:rPr>
          <w:sz w:val="17"/>
        </w:rPr>
      </w:pPr>
    </w:p>
    <w:p>
      <w:pPr>
        <w:pStyle w:val="BodyText"/>
        <w:spacing w:line="360" w:lineRule="auto"/>
        <w:ind w:left="781" w:right="498"/>
        <w:jc w:val="both"/>
      </w:pPr>
      <w:r>
        <w:rPr/>
        <w:t>Garrido, </w:t>
      </w:r>
      <w:r>
        <w:rPr>
          <w:i/>
        </w:rPr>
        <w:t>et al. </w:t>
      </w:r>
      <w:r>
        <w:rPr/>
        <w:t>(2005) describen la potabilización del agua de lluvia en tres comunidades del Estado de Morelos, en donde utilizan la filtración en múltiples etapas modificada   para</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8"/>
        <w:jc w:val="both"/>
      </w:pPr>
      <w:r>
        <w:rPr/>
        <w:t>potabilizar agua de lluvia para comunidades menores a 2 500 habitantes. El objeto de utilizar este sistema de filtración fue debido a que, según los autores, elimina progresivamente los contaminantes para producir agua para uso y consumo humano con criterios de continuidad y calidad a un costo manejable por los usuarios. Los autores concluyen que el agua de lluvia es una excelente solución alternativa en el abastecimiento de agua para uso y consumo humano.</w:t>
      </w:r>
    </w:p>
    <w:p>
      <w:pPr>
        <w:pStyle w:val="BodyText"/>
        <w:spacing w:before="7"/>
        <w:rPr>
          <w:sz w:val="17"/>
        </w:rPr>
      </w:pPr>
    </w:p>
    <w:p>
      <w:pPr>
        <w:pStyle w:val="BodyText"/>
        <w:spacing w:line="360" w:lineRule="auto"/>
        <w:ind w:left="781" w:right="498" w:hanging="1"/>
        <w:jc w:val="both"/>
      </w:pPr>
      <w:r>
        <w:rPr/>
        <w:t>Ávila </w:t>
      </w:r>
      <w:r>
        <w:rPr>
          <w:i/>
        </w:rPr>
        <w:t>et al</w:t>
      </w:r>
      <w:r>
        <w:rPr/>
        <w:t>. (2006), reportan el uso de filtros de lecho flotante como un sistema de tratamiento adecuado para modificar la calidad del agua de lluvia, utilizada en actividades humanas en el estado de Morelos, México. Este tipo de filtros, reportan los autores, satisface una demanda de tecnología de bajo costo y alta eficiencia, recomendando su uso en comunidades pequeñas y con poder adquisitivo</w:t>
      </w:r>
      <w:r>
        <w:rPr>
          <w:spacing w:val="-26"/>
        </w:rPr>
        <w:t> </w:t>
      </w:r>
      <w:r>
        <w:rPr/>
        <w:t>limitado.</w:t>
      </w:r>
    </w:p>
    <w:p>
      <w:pPr>
        <w:pStyle w:val="BodyText"/>
        <w:spacing w:before="9"/>
        <w:rPr>
          <w:sz w:val="17"/>
        </w:rPr>
      </w:pPr>
    </w:p>
    <w:p>
      <w:pPr>
        <w:pStyle w:val="BodyText"/>
        <w:spacing w:line="360" w:lineRule="auto"/>
        <w:ind w:left="781" w:right="498"/>
        <w:jc w:val="both"/>
      </w:pPr>
      <w:r>
        <w:rPr/>
        <w:t>Adicionalmente, Fall </w:t>
      </w:r>
      <w:r>
        <w:rPr>
          <w:i/>
        </w:rPr>
        <w:t>et al</w:t>
      </w:r>
      <w:r>
        <w:rPr/>
        <w:t>. (2006), trabajaron con un sistema de potabilización de agua de lluvia para una comunidad rural de no más de 200 habitantes ubicada en el municipio de Almoloya de Juárez en el Estado de México, el agua de lluvia fue acondicionada para el uso y consumo de los habitantes de la comunidad con un tratamiento de agua al cual se  le implementó un sistema de bombeo soportado por energía</w:t>
      </w:r>
      <w:r>
        <w:rPr>
          <w:spacing w:val="-30"/>
        </w:rPr>
        <w:t> </w:t>
      </w:r>
      <w:r>
        <w:rPr/>
        <w:t>hidráulica.</w:t>
      </w:r>
    </w:p>
    <w:p>
      <w:pPr>
        <w:pStyle w:val="BodyText"/>
        <w:spacing w:before="9"/>
        <w:rPr>
          <w:sz w:val="17"/>
        </w:rPr>
      </w:pPr>
    </w:p>
    <w:p>
      <w:pPr>
        <w:pStyle w:val="BodyText"/>
        <w:spacing w:line="360" w:lineRule="auto"/>
        <w:ind w:left="781" w:right="497"/>
        <w:jc w:val="both"/>
      </w:pPr>
      <w:r>
        <w:rPr/>
        <w:t>Otros estudios se enfocan sobre la calidad del agua cosechada; Lee </w:t>
      </w:r>
      <w:r>
        <w:rPr>
          <w:i/>
        </w:rPr>
        <w:t>et al</w:t>
      </w:r>
      <w:r>
        <w:rPr/>
        <w:t>. (2004) reportan que la calidad del agua colectada con origen en las primeras lluvias de la temporada no  es la adecuada para actividades humanas, concluyendo que ésta se debe de desechar o aumentar el control en el tratamiento, ya que las primeras lluvias acarrean los contaminantes acumulados durante la temporada de</w:t>
      </w:r>
      <w:r>
        <w:rPr>
          <w:spacing w:val="-26"/>
        </w:rPr>
        <w:t> </w:t>
      </w:r>
      <w:r>
        <w:rPr/>
        <w:t>sequía.</w:t>
      </w:r>
    </w:p>
    <w:p>
      <w:pPr>
        <w:pStyle w:val="BodyText"/>
        <w:spacing w:before="9"/>
        <w:rPr>
          <w:sz w:val="17"/>
        </w:rPr>
      </w:pPr>
    </w:p>
    <w:p>
      <w:pPr>
        <w:pStyle w:val="BodyText"/>
        <w:spacing w:line="360" w:lineRule="auto"/>
        <w:ind w:left="781" w:right="497"/>
        <w:jc w:val="both"/>
      </w:pPr>
      <w:r>
        <w:rPr/>
        <w:t>Taylor </w:t>
      </w:r>
      <w:r>
        <w:rPr>
          <w:i/>
        </w:rPr>
        <w:t>et al</w:t>
      </w:r>
      <w:r>
        <w:rPr/>
        <w:t>. (2005), encontraron la composición de las especies nitrogenadas en el agua de lluvia urbana, la presencia de amonio es el ión de menos abundancia en el agua de lluvia, sin embargo, la concentración de iones nitrito es la mayor en este tipo de agua. Así también recomiendan que los sistemas de tratamiento de agua de lluvia deben ser diseñados para cubrir las características de variación de las concentraciones de especies nitrogenadas en el influente.</w:t>
      </w:r>
    </w:p>
    <w:p>
      <w:pPr>
        <w:pStyle w:val="BodyText"/>
        <w:spacing w:before="9"/>
        <w:rPr>
          <w:sz w:val="17"/>
        </w:rPr>
      </w:pPr>
    </w:p>
    <w:p>
      <w:pPr>
        <w:pStyle w:val="BodyText"/>
        <w:spacing w:line="360" w:lineRule="auto"/>
        <w:ind w:left="781" w:right="497"/>
        <w:jc w:val="both"/>
      </w:pPr>
      <w:r>
        <w:rPr/>
        <w:t>Evans </w:t>
      </w:r>
      <w:r>
        <w:rPr>
          <w:i/>
        </w:rPr>
        <w:t>et al</w:t>
      </w:r>
      <w:r>
        <w:rPr/>
        <w:t>. (2006), estudiaron el efecto del clima en la composición bacteriana de la cosecha de agua de lluvia urbana, la cual puede ser conformada por dos factores: la contaminación por insectos, aves, pequeños mamíferos o por la contaminación </w:t>
      </w:r>
      <w:r>
        <w:rPr>
          <w:spacing w:val="58"/>
        </w:rPr>
        <w:t> </w:t>
      </w:r>
      <w:r>
        <w:rPr/>
        <w:t>mediante</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8"/>
        <w:jc w:val="both"/>
      </w:pPr>
      <w:r>
        <w:rPr/>
        <w:t>la deposición atmosférica. En general encontraron que el efecto de los coliformes fecales no es significativo en la cosecha de lluvia.</w:t>
      </w:r>
    </w:p>
    <w:p>
      <w:pPr>
        <w:pStyle w:val="BodyText"/>
        <w:spacing w:before="7"/>
        <w:rPr>
          <w:sz w:val="17"/>
        </w:rPr>
      </w:pPr>
    </w:p>
    <w:p>
      <w:pPr>
        <w:pStyle w:val="Heading5"/>
        <w:numPr>
          <w:ilvl w:val="1"/>
          <w:numId w:val="7"/>
        </w:numPr>
        <w:tabs>
          <w:tab w:pos="1211" w:val="left" w:leader="none"/>
        </w:tabs>
        <w:spacing w:line="240" w:lineRule="auto" w:before="0" w:after="0"/>
        <w:ind w:left="1210" w:right="0" w:hanging="429"/>
        <w:jc w:val="both"/>
      </w:pPr>
      <w:bookmarkStart w:name="_TOC_250068" w:id="21"/>
      <w:bookmarkStart w:name="2.3. Uso de agua pluvial en acuicultura" w:id="22"/>
      <w:r>
        <w:rPr>
          <w:b w:val="0"/>
        </w:rPr>
      </w:r>
      <w:bookmarkEnd w:id="22"/>
      <w:bookmarkStart w:name="2.3. Uso de agua pluvial en acuicultura" w:id="23"/>
      <w:r>
        <w:rPr/>
        <w:t>U</w:t>
      </w:r>
      <w:r>
        <w:rPr/>
        <w:t>SO DE AGUA PLUVIAL EN</w:t>
      </w:r>
      <w:r>
        <w:rPr>
          <w:spacing w:val="-10"/>
        </w:rPr>
        <w:t> </w:t>
      </w:r>
      <w:bookmarkEnd w:id="21"/>
      <w:r>
        <w:rPr/>
        <w:t>ACUICULTURA</w:t>
      </w:r>
    </w:p>
    <w:p>
      <w:pPr>
        <w:pStyle w:val="BodyText"/>
        <w:spacing w:before="5"/>
        <w:rPr>
          <w:b/>
          <w:sz w:val="28"/>
        </w:rPr>
      </w:pPr>
    </w:p>
    <w:p>
      <w:pPr>
        <w:pStyle w:val="BodyText"/>
        <w:spacing w:line="360" w:lineRule="auto" w:before="1"/>
        <w:ind w:left="781" w:right="498"/>
        <w:jc w:val="both"/>
      </w:pPr>
      <w:r>
        <w:rPr/>
        <w:t>En Australia, Ingram </w:t>
      </w:r>
      <w:r>
        <w:rPr>
          <w:i/>
        </w:rPr>
        <w:t>et al</w:t>
      </w:r>
      <w:r>
        <w:rPr/>
        <w:t>. (2002), estudiaron el crecimiento de diferentes organismos acuáticos en aguas salobres, las cuales eran alimentadas por agua de lluvia y agua de pozo. Entre los organismos estudiados se tiene a la trucha arco iris; en este estudio, el animal presentó un crecimiento de 0,8 g diarios a 11 g/L de salinidad y de 4,6 g diarios a 16,8 g/L de salinidad.</w:t>
      </w:r>
    </w:p>
    <w:p>
      <w:pPr>
        <w:pStyle w:val="BodyText"/>
        <w:spacing w:before="9"/>
        <w:rPr>
          <w:sz w:val="17"/>
        </w:rPr>
      </w:pPr>
    </w:p>
    <w:p>
      <w:pPr>
        <w:pStyle w:val="BodyText"/>
        <w:spacing w:line="360" w:lineRule="auto"/>
        <w:ind w:left="781" w:right="498"/>
        <w:jc w:val="both"/>
      </w:pPr>
      <w:r>
        <w:rPr/>
        <w:t>En India, Mohanty (2004) reporta el crecimiento de diferentes especies de carpas en reservorios de agua de lluvia a diferentes densidades de siembra. En conclusión, Mohanty, observó que la producción máxima de carpa en estos sistemas es de 1 572 Kg por hectárea. Además señala que cuando se incrementa la densidad, los incrementos en la biomasa disminuyen y aumentan las tasas de mortalidad, todo esto independiente de la calidad del agua en el</w:t>
      </w:r>
      <w:r>
        <w:rPr>
          <w:spacing w:val="-11"/>
        </w:rPr>
        <w:t> </w:t>
      </w:r>
      <w:r>
        <w:rPr/>
        <w:t>sistema.</w:t>
      </w:r>
    </w:p>
    <w:p>
      <w:pPr>
        <w:pStyle w:val="BodyText"/>
        <w:spacing w:before="9"/>
        <w:rPr>
          <w:sz w:val="17"/>
        </w:rPr>
      </w:pPr>
    </w:p>
    <w:p>
      <w:pPr>
        <w:pStyle w:val="BodyText"/>
        <w:spacing w:line="360" w:lineRule="auto"/>
        <w:ind w:left="781" w:right="498"/>
        <w:jc w:val="both"/>
      </w:pPr>
      <w:r>
        <w:rPr/>
        <w:t>Tollner </w:t>
      </w:r>
      <w:r>
        <w:rPr>
          <w:i/>
        </w:rPr>
        <w:t>et al</w:t>
      </w:r>
      <w:r>
        <w:rPr/>
        <w:t>. (2006) desarrollaron hojas de cálculo para estimar el abastecimiento de agua superficial en cultivos de agua dulce para países en desarrollo. Estos autores señalan  que una de las variables importantes a tomar en cuenta es el agua de lluvia que puede abastecer al sistema. La hoja de cálculo puede llegar a ser muy útil siempre y cuando sea alimentada con los datos de entrada adecuados, particularmente la precipitación mensual, la frecuencia de tormentas y su</w:t>
      </w:r>
      <w:r>
        <w:rPr>
          <w:spacing w:val="-16"/>
        </w:rPr>
        <w:t> </w:t>
      </w:r>
      <w:r>
        <w:rPr/>
        <w:t>duración.</w:t>
      </w:r>
    </w:p>
    <w:p>
      <w:pPr>
        <w:pStyle w:val="BodyText"/>
        <w:spacing w:before="9"/>
        <w:rPr>
          <w:sz w:val="17"/>
        </w:rPr>
      </w:pPr>
    </w:p>
    <w:p>
      <w:pPr>
        <w:pStyle w:val="BodyText"/>
        <w:spacing w:line="360" w:lineRule="auto"/>
        <w:ind w:left="781" w:right="497"/>
        <w:jc w:val="both"/>
      </w:pPr>
      <w:r>
        <w:rPr/>
        <w:t>El uso de agua pluvial como fuente de agua alterna para el cultivo de especies acuícolas no ha se ha contemplado como una propuesta factible a la problemática acuícola, lo que se refleja en la escaza literatura reportada hasta el momento, sin embargo en esta investigación se considera a la cosecha de agua pluvial como una solución viable a la variabilidad en cantidad y calidad del agua disponible para los cultivos de organismos acuáticos combinada con el uso de los sistemas de recirculación acuícola.</w:t>
      </w:r>
    </w:p>
    <w:p>
      <w:pPr>
        <w:pStyle w:val="BodyText"/>
        <w:spacing w:before="7"/>
        <w:rPr>
          <w:sz w:val="17"/>
        </w:rPr>
      </w:pPr>
    </w:p>
    <w:p>
      <w:pPr>
        <w:pStyle w:val="Heading5"/>
        <w:numPr>
          <w:ilvl w:val="1"/>
          <w:numId w:val="7"/>
        </w:numPr>
        <w:tabs>
          <w:tab w:pos="1211" w:val="left" w:leader="none"/>
        </w:tabs>
        <w:spacing w:line="240" w:lineRule="auto" w:before="0" w:after="0"/>
        <w:ind w:left="1210" w:right="0" w:hanging="429"/>
        <w:jc w:val="both"/>
      </w:pPr>
      <w:bookmarkStart w:name="_TOC_250067" w:id="24"/>
      <w:r>
        <w:rPr/>
        <w:t>SISTEMAS DE RECIRCULACIÓN</w:t>
      </w:r>
      <w:r>
        <w:rPr>
          <w:spacing w:val="-12"/>
        </w:rPr>
        <w:t> </w:t>
      </w:r>
      <w:bookmarkEnd w:id="24"/>
      <w:r>
        <w:rPr/>
        <w:t>ACUÍCOLA</w:t>
      </w:r>
    </w:p>
    <w:p>
      <w:pPr>
        <w:pStyle w:val="BodyText"/>
        <w:spacing w:before="5"/>
        <w:rPr>
          <w:b/>
          <w:sz w:val="28"/>
        </w:rPr>
      </w:pPr>
    </w:p>
    <w:p>
      <w:pPr>
        <w:pStyle w:val="BodyText"/>
        <w:spacing w:line="360" w:lineRule="auto" w:before="1"/>
        <w:ind w:left="781" w:right="496"/>
        <w:jc w:val="both"/>
      </w:pPr>
      <w:r>
        <w:rPr/>
        <w:t>Los sistemas de recirculación acuícola (SRA) han sido estudiados desde hace más de cuatro décadas, enfocando los esfuerzos hacia los SRA con biofiltros de película fija y recientemente a los SRA con biofiltros suspendidos (Malone y Pfeiffer, 2006). En los</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bookmarkStart w:name="2.4. Sistemas de Recirculación Acuícola" w:id="25"/>
      <w:bookmarkEnd w:id="25"/>
      <w:r>
        <w:rPr/>
      </w:r>
      <w:r>
        <w:rPr/>
        <w:t>últimos años se han evaluado diferentes SRA orientados a especies de alto valor comercial o ecológico (Sharrer </w:t>
      </w:r>
      <w:r>
        <w:rPr>
          <w:i/>
        </w:rPr>
        <w:t>et al</w:t>
      </w:r>
      <w:r>
        <w:rPr/>
        <w:t>., 2007; Maillard </w:t>
      </w:r>
      <w:r>
        <w:rPr>
          <w:i/>
        </w:rPr>
        <w:t>et al</w:t>
      </w:r>
      <w:r>
        <w:rPr/>
        <w:t>., 2006; Montagne, 2006; Atwood </w:t>
      </w:r>
      <w:r>
        <w:rPr>
          <w:i/>
        </w:rPr>
        <w:t>et al</w:t>
      </w:r>
      <w:r>
        <w:rPr/>
        <w:t>. 2005; Summerfelt </w:t>
      </w:r>
      <w:r>
        <w:rPr>
          <w:i/>
        </w:rPr>
        <w:t>et al</w:t>
      </w:r>
      <w:r>
        <w:rPr/>
        <w:t>., 2004; Hafed </w:t>
      </w:r>
      <w:r>
        <w:rPr>
          <w:i/>
        </w:rPr>
        <w:t>et al</w:t>
      </w:r>
      <w:r>
        <w:rPr/>
        <w:t>., 2003; Paterson y Watts, 2003; Simonel  </w:t>
      </w:r>
      <w:r>
        <w:rPr>
          <w:i/>
        </w:rPr>
        <w:t>et al</w:t>
      </w:r>
      <w:r>
        <w:rPr/>
        <w:t>., 2002; Tilley </w:t>
      </w:r>
      <w:r>
        <w:rPr>
          <w:i/>
        </w:rPr>
        <w:t>et al</w:t>
      </w:r>
      <w:r>
        <w:rPr/>
        <w:t>., 2002). En todos se reporta el uso de diferentes trenes de tratamiento, su eficiencia y desarrollo de las unidades del tratamiento de agua, así como, el crecimiento ideal de cada</w:t>
      </w:r>
      <w:r>
        <w:rPr>
          <w:spacing w:val="-16"/>
        </w:rPr>
        <w:t> </w:t>
      </w:r>
      <w:r>
        <w:rPr/>
        <w:t>especie.</w:t>
      </w:r>
    </w:p>
    <w:p>
      <w:pPr>
        <w:pStyle w:val="BodyText"/>
        <w:spacing w:before="7"/>
        <w:rPr>
          <w:sz w:val="17"/>
        </w:rPr>
      </w:pPr>
    </w:p>
    <w:p>
      <w:pPr>
        <w:pStyle w:val="BodyText"/>
        <w:spacing w:line="360" w:lineRule="auto"/>
        <w:ind w:left="781" w:right="497" w:hanging="1"/>
        <w:jc w:val="both"/>
      </w:pPr>
      <w:r>
        <w:rPr/>
        <w:t>Aunque se tienen diversos estudios de los sistemas, recientemente se han propuesto estándares para la investigación de los sistemas de recirculación acuícola, entre los más importantes han surgido cuatro propuestas: 1) requerimientos de la calidad del agua en  los SRA (Colt, 2006); 2) clasificación de biofiltros nitrificantes de biopelícula fija (Malone y Pfeiffer, 2006); 3) estandarización de la evaluación de biofiltros (Drennan </w:t>
      </w:r>
      <w:r>
        <w:rPr>
          <w:i/>
        </w:rPr>
        <w:t>et al</w:t>
      </w:r>
      <w:r>
        <w:rPr/>
        <w:t>., 2006); y 4) estándares para reportar el desempeño en los estudios de biofiltros (Colt </w:t>
      </w:r>
      <w:r>
        <w:rPr>
          <w:i/>
        </w:rPr>
        <w:t>et al</w:t>
      </w:r>
      <w:r>
        <w:rPr/>
        <w:t>.,</w:t>
      </w:r>
      <w:r>
        <w:rPr>
          <w:spacing w:val="-34"/>
        </w:rPr>
        <w:t> </w:t>
      </w:r>
      <w:r>
        <w:rPr/>
        <w:t>2006).</w:t>
      </w:r>
    </w:p>
    <w:p>
      <w:pPr>
        <w:pStyle w:val="BodyText"/>
        <w:spacing w:before="7"/>
        <w:rPr>
          <w:sz w:val="17"/>
        </w:rPr>
      </w:pPr>
    </w:p>
    <w:p>
      <w:pPr>
        <w:pStyle w:val="BodyText"/>
        <w:spacing w:line="360" w:lineRule="auto"/>
        <w:ind w:left="781" w:right="497"/>
        <w:jc w:val="both"/>
      </w:pPr>
      <w:r>
        <w:rPr/>
        <w:t>Estas propuestas están encaminadas hacia el ordenamiento de las investigaciones para que la industria acuícola pueda contar con una transferencia tecnológica entendible que a su vez permita a los productores, consultores, asesores, etc., tomar decisiones para diseñar, construir y operar un SRA en una unidad de producción.</w:t>
      </w:r>
    </w:p>
    <w:p>
      <w:pPr>
        <w:pStyle w:val="BodyText"/>
        <w:spacing w:before="9"/>
        <w:rPr>
          <w:sz w:val="17"/>
        </w:rPr>
      </w:pPr>
    </w:p>
    <w:p>
      <w:pPr>
        <w:pStyle w:val="BodyText"/>
        <w:spacing w:line="360" w:lineRule="auto"/>
        <w:ind w:left="781" w:right="497"/>
        <w:jc w:val="both"/>
      </w:pPr>
      <w:r>
        <w:rPr/>
        <w:t>La primera propuesta, respecto a los requerimientos de la calidad del agua en los SRA sugerida por Colt (2006), divide a los criterios de calidad del agua en dos tipos: criterios para el cultivo de la especie y criterios para la operación de procesos y unidades del tren de tratamiento. El primer tipo, según este autor, está ampliamente abordado en la literatura como en libros acuícolas y bases de datos (BIOSIS, NOAA y ASFA). Sin embargo, los criterios para la operación de procesos y unidades del tren de tratamiento se han discutido desde un punto de vista ambiental, por lo que este trabajo propuso considerar diferentes parámetros críticos para la evaluación y operación de los biofiltros (tabla</w:t>
      </w:r>
      <w:r>
        <w:rPr>
          <w:spacing w:val="-1"/>
        </w:rPr>
        <w:t> </w:t>
      </w:r>
      <w:r>
        <w:rPr/>
        <w:t>1).</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line="360" w:lineRule="auto" w:before="0"/>
        <w:ind w:left="3604" w:right="877" w:hanging="2434"/>
        <w:jc w:val="left"/>
        <w:rPr>
          <w:b/>
          <w:sz w:val="18"/>
        </w:rPr>
      </w:pPr>
      <w:r>
        <w:rPr>
          <w:b/>
          <w:sz w:val="18"/>
        </w:rPr>
        <w:t>Tabla 1. Parámetros físico – químicos importantes en la evaluación y operación de un biofiltro (Tomado parcialmente de Colt, 2006).</w:t>
      </w:r>
    </w:p>
    <w:p>
      <w:pPr>
        <w:pStyle w:val="BodyText"/>
        <w:spacing w:before="3"/>
        <w:rPr>
          <w:b/>
          <w:sz w:val="11"/>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84"/>
        <w:gridCol w:w="5894"/>
      </w:tblGrid>
      <w:tr>
        <w:trPr>
          <w:trHeight w:val="240" w:hRule="exact"/>
        </w:trPr>
        <w:tc>
          <w:tcPr>
            <w:tcW w:w="3084" w:type="dxa"/>
          </w:tcPr>
          <w:p>
            <w:pPr>
              <w:pStyle w:val="TableParagraph"/>
              <w:spacing w:line="225" w:lineRule="exact" w:before="0"/>
              <w:ind w:left="1020" w:right="1024"/>
              <w:jc w:val="center"/>
              <w:rPr>
                <w:rFonts w:ascii="Arial" w:hAnsi="Arial"/>
                <w:b/>
                <w:sz w:val="20"/>
              </w:rPr>
            </w:pPr>
            <w:r>
              <w:rPr>
                <w:rFonts w:ascii="Arial" w:hAnsi="Arial"/>
                <w:b/>
                <w:sz w:val="20"/>
              </w:rPr>
              <w:t>Parámetro</w:t>
            </w:r>
          </w:p>
        </w:tc>
        <w:tc>
          <w:tcPr>
            <w:tcW w:w="5894" w:type="dxa"/>
          </w:tcPr>
          <w:p>
            <w:pPr>
              <w:pStyle w:val="TableParagraph"/>
              <w:spacing w:line="225" w:lineRule="exact" w:before="0"/>
              <w:ind w:left="2260" w:right="2262"/>
              <w:jc w:val="center"/>
              <w:rPr>
                <w:rFonts w:ascii="Arial"/>
                <w:b/>
                <w:sz w:val="20"/>
              </w:rPr>
            </w:pPr>
            <w:r>
              <w:rPr>
                <w:rFonts w:ascii="Arial"/>
                <w:b/>
                <w:sz w:val="20"/>
              </w:rPr>
              <w:t>Implicaciones</w:t>
            </w:r>
          </w:p>
        </w:tc>
      </w:tr>
      <w:tr>
        <w:trPr>
          <w:trHeight w:val="698" w:hRule="exact"/>
        </w:trPr>
        <w:tc>
          <w:tcPr>
            <w:tcW w:w="3084" w:type="dxa"/>
          </w:tcPr>
          <w:p>
            <w:pPr>
              <w:pStyle w:val="TableParagraph"/>
              <w:spacing w:line="227" w:lineRule="exact" w:before="0"/>
              <w:ind w:left="103" w:right="0"/>
              <w:jc w:val="left"/>
              <w:rPr>
                <w:rFonts w:ascii="Arial" w:hAnsi="Arial"/>
                <w:sz w:val="20"/>
              </w:rPr>
            </w:pPr>
            <w:r>
              <w:rPr>
                <w:rFonts w:ascii="Arial" w:hAnsi="Arial"/>
                <w:sz w:val="20"/>
              </w:rPr>
              <w:t>Nitrógeno amoniacal</w:t>
            </w:r>
          </w:p>
        </w:tc>
        <w:tc>
          <w:tcPr>
            <w:tcW w:w="5894" w:type="dxa"/>
          </w:tcPr>
          <w:p>
            <w:pPr>
              <w:pStyle w:val="TableParagraph"/>
              <w:spacing w:before="0"/>
              <w:ind w:left="103" w:right="106" w:hanging="1"/>
              <w:jc w:val="both"/>
              <w:rPr>
                <w:rFonts w:ascii="Arial" w:hAnsi="Arial"/>
                <w:sz w:val="20"/>
              </w:rPr>
            </w:pPr>
            <w:r>
              <w:rPr>
                <w:rFonts w:ascii="Arial" w:hAnsi="Arial"/>
                <w:sz w:val="20"/>
              </w:rPr>
              <w:t>Tiene un efecto directo en el desempeño del biofiltro, el contenido de nitrógeno amoniacal debe de estar dentro de los rangos permitidos para una buena nitrificación</w:t>
            </w:r>
          </w:p>
        </w:tc>
      </w:tr>
      <w:tr>
        <w:trPr>
          <w:trHeight w:val="470" w:hRule="exact"/>
        </w:trPr>
        <w:tc>
          <w:tcPr>
            <w:tcW w:w="3084" w:type="dxa"/>
          </w:tcPr>
          <w:p>
            <w:pPr>
              <w:pStyle w:val="TableParagraph"/>
              <w:spacing w:line="227" w:lineRule="exact" w:before="0"/>
              <w:ind w:left="103" w:right="0"/>
              <w:jc w:val="left"/>
              <w:rPr>
                <w:rFonts w:ascii="Arial"/>
                <w:sz w:val="20"/>
              </w:rPr>
            </w:pPr>
            <w:r>
              <w:rPr>
                <w:rFonts w:ascii="Arial"/>
                <w:sz w:val="20"/>
              </w:rPr>
              <w:t>Nitratos</w:t>
            </w:r>
          </w:p>
        </w:tc>
        <w:tc>
          <w:tcPr>
            <w:tcW w:w="5894" w:type="dxa"/>
          </w:tcPr>
          <w:p>
            <w:pPr>
              <w:pStyle w:val="TableParagraph"/>
              <w:spacing w:line="230" w:lineRule="exact" w:before="1"/>
              <w:ind w:left="103" w:right="146"/>
              <w:jc w:val="left"/>
              <w:rPr>
                <w:rFonts w:ascii="Arial" w:hAnsi="Arial"/>
                <w:sz w:val="20"/>
              </w:rPr>
            </w:pPr>
            <w:r>
              <w:rPr>
                <w:rFonts w:ascii="Arial" w:hAnsi="Arial"/>
                <w:sz w:val="20"/>
              </w:rPr>
              <w:t>Un nivel mínimo de iones nitrato previene la formación de H</w:t>
            </w:r>
            <w:r>
              <w:rPr>
                <w:rFonts w:ascii="Arial" w:hAnsi="Arial"/>
                <w:position w:val="-2"/>
                <w:sz w:val="13"/>
              </w:rPr>
              <w:t>2</w:t>
            </w:r>
            <w:r>
              <w:rPr>
                <w:rFonts w:ascii="Arial" w:hAnsi="Arial"/>
                <w:sz w:val="20"/>
              </w:rPr>
              <w:t>S debido a condiciones anaeróbicas</w:t>
            </w:r>
          </w:p>
        </w:tc>
      </w:tr>
      <w:tr>
        <w:trPr>
          <w:trHeight w:val="240" w:hRule="exact"/>
        </w:trPr>
        <w:tc>
          <w:tcPr>
            <w:tcW w:w="3084" w:type="dxa"/>
          </w:tcPr>
          <w:p>
            <w:pPr>
              <w:pStyle w:val="TableParagraph"/>
              <w:spacing w:line="227" w:lineRule="exact" w:before="0"/>
              <w:ind w:left="103" w:right="0"/>
              <w:jc w:val="left"/>
              <w:rPr>
                <w:rFonts w:ascii="Arial" w:hAnsi="Arial"/>
                <w:sz w:val="20"/>
              </w:rPr>
            </w:pPr>
            <w:r>
              <w:rPr>
                <w:rFonts w:ascii="Arial" w:hAnsi="Arial"/>
                <w:sz w:val="20"/>
              </w:rPr>
              <w:t>Oxígeno disuelto</w:t>
            </w:r>
          </w:p>
        </w:tc>
        <w:tc>
          <w:tcPr>
            <w:tcW w:w="5894" w:type="dxa"/>
          </w:tcPr>
          <w:p>
            <w:pPr>
              <w:pStyle w:val="TableParagraph"/>
              <w:spacing w:line="227" w:lineRule="exact" w:before="0"/>
              <w:ind w:left="103" w:right="146"/>
              <w:jc w:val="left"/>
              <w:rPr>
                <w:rFonts w:ascii="Arial" w:hAnsi="Arial"/>
                <w:sz w:val="20"/>
              </w:rPr>
            </w:pPr>
            <w:r>
              <w:rPr>
                <w:rFonts w:ascii="Arial" w:hAnsi="Arial"/>
                <w:sz w:val="20"/>
              </w:rPr>
              <w:t>La nitrificación se detiene a concentraciones bajas de oxígeno</w:t>
            </w:r>
          </w:p>
        </w:tc>
      </w:tr>
      <w:tr>
        <w:trPr>
          <w:trHeight w:val="470" w:hRule="exact"/>
        </w:trPr>
        <w:tc>
          <w:tcPr>
            <w:tcW w:w="3084" w:type="dxa"/>
          </w:tcPr>
          <w:p>
            <w:pPr>
              <w:pStyle w:val="TableParagraph"/>
              <w:spacing w:line="227" w:lineRule="exact" w:before="0"/>
              <w:ind w:left="103" w:right="0"/>
              <w:jc w:val="left"/>
              <w:rPr>
                <w:rFonts w:ascii="Arial"/>
                <w:sz w:val="20"/>
              </w:rPr>
            </w:pPr>
            <w:r>
              <w:rPr>
                <w:rFonts w:ascii="Arial"/>
                <w:sz w:val="20"/>
              </w:rPr>
              <w:t>pH (y alcalinidad)</w:t>
            </w:r>
          </w:p>
        </w:tc>
        <w:tc>
          <w:tcPr>
            <w:tcW w:w="5894" w:type="dxa"/>
          </w:tcPr>
          <w:p>
            <w:pPr>
              <w:pStyle w:val="TableParagraph"/>
              <w:spacing w:before="0"/>
              <w:ind w:left="103" w:right="146" w:hanging="1"/>
              <w:jc w:val="left"/>
              <w:rPr>
                <w:rFonts w:ascii="Arial" w:hAnsi="Arial"/>
                <w:sz w:val="20"/>
              </w:rPr>
            </w:pPr>
            <w:r>
              <w:rPr>
                <w:rFonts w:ascii="Arial" w:hAnsi="Arial"/>
                <w:sz w:val="20"/>
              </w:rPr>
              <w:t>La nitrificación disminuye a pH altos y bajos, debido a que es  un proceso</w:t>
            </w:r>
            <w:r>
              <w:rPr>
                <w:rFonts w:ascii="Arial" w:hAnsi="Arial"/>
                <w:spacing w:val="-13"/>
                <w:sz w:val="20"/>
              </w:rPr>
              <w:t> </w:t>
            </w:r>
            <w:r>
              <w:rPr>
                <w:rFonts w:ascii="Arial" w:hAnsi="Arial"/>
                <w:sz w:val="20"/>
              </w:rPr>
              <w:t>biológico.</w:t>
            </w:r>
          </w:p>
        </w:tc>
      </w:tr>
      <w:tr>
        <w:trPr>
          <w:trHeight w:val="701" w:hRule="exact"/>
        </w:trPr>
        <w:tc>
          <w:tcPr>
            <w:tcW w:w="3084" w:type="dxa"/>
          </w:tcPr>
          <w:p>
            <w:pPr>
              <w:pStyle w:val="TableParagraph"/>
              <w:spacing w:line="227" w:lineRule="exact" w:before="0"/>
              <w:ind w:left="103" w:right="0"/>
              <w:jc w:val="left"/>
              <w:rPr>
                <w:rFonts w:ascii="Arial"/>
                <w:sz w:val="20"/>
              </w:rPr>
            </w:pPr>
            <w:r>
              <w:rPr>
                <w:rFonts w:ascii="Arial"/>
                <w:sz w:val="20"/>
              </w:rPr>
              <w:t>Salinidad</w:t>
            </w:r>
          </w:p>
        </w:tc>
        <w:tc>
          <w:tcPr>
            <w:tcW w:w="5894" w:type="dxa"/>
          </w:tcPr>
          <w:p>
            <w:pPr>
              <w:pStyle w:val="TableParagraph"/>
              <w:spacing w:before="0"/>
              <w:ind w:left="103" w:right="103" w:hanging="1"/>
              <w:jc w:val="both"/>
              <w:rPr>
                <w:rFonts w:ascii="Arial" w:hAnsi="Arial"/>
                <w:sz w:val="20"/>
              </w:rPr>
            </w:pPr>
            <w:r>
              <w:rPr>
                <w:rFonts w:ascii="Arial" w:hAnsi="Arial"/>
                <w:sz w:val="20"/>
              </w:rPr>
              <w:t>Diferentes bacterias son responsables de la nitrificación en agua dulce o salada, cambios repentinos en la salinidad reducen la tasa de nitrificación del</w:t>
            </w:r>
            <w:r>
              <w:rPr>
                <w:rFonts w:ascii="Arial" w:hAnsi="Arial"/>
                <w:spacing w:val="-24"/>
                <w:sz w:val="20"/>
              </w:rPr>
              <w:t> </w:t>
            </w:r>
            <w:r>
              <w:rPr>
                <w:rFonts w:ascii="Arial" w:hAnsi="Arial"/>
                <w:sz w:val="20"/>
              </w:rPr>
              <w:t>biofiltro.</w:t>
            </w:r>
          </w:p>
        </w:tc>
      </w:tr>
      <w:tr>
        <w:trPr>
          <w:trHeight w:val="470" w:hRule="exact"/>
        </w:trPr>
        <w:tc>
          <w:tcPr>
            <w:tcW w:w="3084" w:type="dxa"/>
          </w:tcPr>
          <w:p>
            <w:pPr>
              <w:pStyle w:val="TableParagraph"/>
              <w:spacing w:line="227" w:lineRule="exact" w:before="0"/>
              <w:ind w:left="103" w:right="0"/>
              <w:jc w:val="left"/>
              <w:rPr>
                <w:rFonts w:ascii="Arial" w:hAnsi="Arial"/>
                <w:sz w:val="20"/>
              </w:rPr>
            </w:pPr>
            <w:r>
              <w:rPr>
                <w:rFonts w:ascii="Arial" w:hAnsi="Arial"/>
                <w:sz w:val="20"/>
              </w:rPr>
              <w:t>Drogas terapéuticas y químicas</w:t>
            </w:r>
          </w:p>
        </w:tc>
        <w:tc>
          <w:tcPr>
            <w:tcW w:w="5894" w:type="dxa"/>
          </w:tcPr>
          <w:p>
            <w:pPr>
              <w:pStyle w:val="TableParagraph"/>
              <w:spacing w:before="0"/>
              <w:ind w:left="103" w:right="146" w:hanging="1"/>
              <w:jc w:val="left"/>
              <w:rPr>
                <w:rFonts w:ascii="Arial" w:hAnsi="Arial"/>
                <w:sz w:val="20"/>
              </w:rPr>
            </w:pPr>
            <w:r>
              <w:rPr>
                <w:rFonts w:ascii="Arial" w:hAnsi="Arial"/>
                <w:sz w:val="20"/>
              </w:rPr>
              <w:t>Impactan severamente en los microorganismos  responsables de la nitrificación en los biofiltros</w:t>
            </w:r>
          </w:p>
        </w:tc>
      </w:tr>
    </w:tbl>
    <w:p>
      <w:pPr>
        <w:pStyle w:val="BodyText"/>
        <w:spacing w:before="9"/>
        <w:rPr>
          <w:b/>
          <w:sz w:val="10"/>
        </w:rPr>
      </w:pPr>
    </w:p>
    <w:p>
      <w:pPr>
        <w:pStyle w:val="BodyText"/>
        <w:spacing w:line="360" w:lineRule="auto" w:before="73"/>
        <w:ind w:left="781" w:right="498"/>
        <w:jc w:val="both"/>
      </w:pPr>
      <w:r>
        <w:rPr/>
        <w:pict>
          <v:group style="position:absolute;margin-left:129.104996pt;margin-top:159.032684pt;width:38.7pt;height:175.75pt;mso-position-horizontal-relative:page;mso-position-vertical-relative:paragraph;z-index:-1529560" coordorigin="2582,3181" coordsize="774,3515">
            <v:line style="position:absolute" from="3348,3188" to="3348,6687" stroked="true" strokeweight=".75pt" strokecolor="#000000"/>
            <v:line style="position:absolute" from="2590,5149" to="3348,5149" stroked="true" strokeweight=".75pt" strokecolor="#000000"/>
            <w10:wrap type="none"/>
          </v:group>
        </w:pict>
      </w:r>
      <w:r>
        <w:rPr/>
        <w:pict>
          <v:group style="position:absolute;margin-left:234.225006pt;margin-top:117.152679pt;width:35.450pt;height:111.3pt;mso-position-horizontal-relative:page;mso-position-vertical-relative:paragraph;z-index:-1529536" coordorigin="4685,2343" coordsize="709,2226">
            <v:line style="position:absolute" from="5386,2351" to="5386,4561" stroked="true" strokeweight=".75pt" strokecolor="#000000"/>
            <v:line style="position:absolute" from="4692,3423" to="5376,3423" stroked="true" strokeweight=".75pt" strokecolor="#000000"/>
            <w10:wrap type="none"/>
          </v:group>
        </w:pict>
      </w:r>
      <w:r>
        <w:rPr/>
        <w:pict>
          <v:group style="position:absolute;margin-left:341.265015pt;margin-top:93.752678pt;width:31.75pt;height:77.8pt;mso-position-horizontal-relative:page;mso-position-vertical-relative:paragraph;z-index:-1529512" coordorigin="6825,1875" coordsize="635,1556">
            <v:line style="position:absolute" from="7452,1883" to="7452,3423" stroked="true" strokeweight=".75pt" strokecolor="#000000"/>
            <v:line style="position:absolute" from="6833,2737" to="7452,2737" stroked="true" strokeweight=".75pt" strokecolor="#000000"/>
            <w10:wrap type="none"/>
          </v:group>
        </w:pict>
      </w:r>
      <w:r>
        <w:rPr/>
        <w:pict>
          <v:group style="position:absolute;margin-left:336.225006pt;margin-top:186.752686pt;width:36.75pt;height:41.8pt;mso-position-horizontal-relative:page;mso-position-vertical-relative:paragraph;z-index:-1529488" coordorigin="6725,3735" coordsize="735,836">
            <v:line style="position:absolute" from="7452,3743" to="7452,4563" stroked="true" strokeweight=".75pt" strokecolor="#000000"/>
            <v:line style="position:absolute" from="6732,4093" to="7452,4093" stroked="true" strokeweight=".75pt" strokecolor="#000000"/>
            <w10:wrap type="none"/>
          </v:group>
        </w:pict>
      </w:r>
      <w:r>
        <w:rPr/>
        <w:t>La segunda propuesta, es decir la clasificación de biofiltros nitrificantes de biopelícula fija por Malone y Pfeiffer (2006), plantea que en los estudios que evalúen el desempeño de propuestas de biofiltros se clasifiquen con base en la salinidad (g/L), temperatura y niveles tróficos (figura 5).</w:t>
      </w:r>
    </w:p>
    <w:p>
      <w:pPr>
        <w:pStyle w:val="BodyText"/>
        <w:spacing w:before="1" w:after="1"/>
        <w:rPr>
          <w:sz w:val="17"/>
        </w:rPr>
      </w:pPr>
    </w:p>
    <w:tbl>
      <w:tblPr>
        <w:tblW w:w="0" w:type="auto"/>
        <w:jc w:val="left"/>
        <w:tblInd w:w="89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82"/>
        <w:gridCol w:w="1705"/>
        <w:gridCol w:w="670"/>
        <w:gridCol w:w="1356"/>
        <w:gridCol w:w="720"/>
        <w:gridCol w:w="2626"/>
      </w:tblGrid>
      <w:tr>
        <w:trPr>
          <w:trHeight w:val="425" w:hRule="exact"/>
        </w:trPr>
        <w:tc>
          <w:tcPr>
            <w:tcW w:w="1182" w:type="dxa"/>
            <w:tcBorders>
              <w:bottom w:val="nil"/>
              <w:right w:val="nil"/>
            </w:tcBorders>
          </w:tcPr>
          <w:p>
            <w:pPr/>
          </w:p>
        </w:tc>
        <w:tc>
          <w:tcPr>
            <w:tcW w:w="1705" w:type="dxa"/>
            <w:tcBorders>
              <w:left w:val="nil"/>
              <w:bottom w:val="nil"/>
              <w:right w:val="nil"/>
            </w:tcBorders>
          </w:tcPr>
          <w:p>
            <w:pPr/>
          </w:p>
        </w:tc>
        <w:tc>
          <w:tcPr>
            <w:tcW w:w="2026" w:type="dxa"/>
            <w:gridSpan w:val="2"/>
            <w:tcBorders>
              <w:left w:val="nil"/>
              <w:bottom w:val="nil"/>
              <w:right w:val="nil"/>
            </w:tcBorders>
          </w:tcPr>
          <w:p>
            <w:pPr/>
          </w:p>
        </w:tc>
        <w:tc>
          <w:tcPr>
            <w:tcW w:w="3346" w:type="dxa"/>
            <w:gridSpan w:val="2"/>
            <w:tcBorders>
              <w:left w:val="nil"/>
              <w:bottom w:val="nil"/>
            </w:tcBorders>
          </w:tcPr>
          <w:p>
            <w:pPr>
              <w:pStyle w:val="TableParagraph"/>
              <w:spacing w:before="153"/>
              <w:ind w:left="1144" w:right="0"/>
              <w:jc w:val="left"/>
              <w:rPr>
                <w:rFonts w:ascii="Arial" w:hAnsi="Arial"/>
                <w:sz w:val="22"/>
              </w:rPr>
            </w:pPr>
            <w:r>
              <w:rPr>
                <w:rFonts w:ascii="Arial" w:hAnsi="Arial"/>
                <w:sz w:val="22"/>
              </w:rPr>
              <w:t>Ácido – oligotrófico</w:t>
            </w:r>
          </w:p>
        </w:tc>
      </w:tr>
      <w:tr>
        <w:trPr>
          <w:trHeight w:val="252" w:hRule="exact"/>
        </w:trPr>
        <w:tc>
          <w:tcPr>
            <w:tcW w:w="1182" w:type="dxa"/>
            <w:tcBorders>
              <w:top w:val="nil"/>
              <w:bottom w:val="nil"/>
              <w:right w:val="nil"/>
            </w:tcBorders>
          </w:tcPr>
          <w:p>
            <w:pPr/>
          </w:p>
        </w:tc>
        <w:tc>
          <w:tcPr>
            <w:tcW w:w="1705" w:type="dxa"/>
            <w:tcBorders>
              <w:top w:val="nil"/>
              <w:left w:val="nil"/>
              <w:bottom w:val="nil"/>
              <w:right w:val="nil"/>
            </w:tcBorders>
          </w:tcPr>
          <w:p>
            <w:pPr/>
          </w:p>
        </w:tc>
        <w:tc>
          <w:tcPr>
            <w:tcW w:w="2026" w:type="dxa"/>
            <w:gridSpan w:val="2"/>
            <w:tcBorders>
              <w:top w:val="nil"/>
              <w:left w:val="nil"/>
              <w:bottom w:val="nil"/>
              <w:right w:val="nil"/>
            </w:tcBorders>
          </w:tcPr>
          <w:p>
            <w:pPr/>
          </w:p>
        </w:tc>
        <w:tc>
          <w:tcPr>
            <w:tcW w:w="3346" w:type="dxa"/>
            <w:gridSpan w:val="2"/>
            <w:tcBorders>
              <w:top w:val="nil"/>
              <w:left w:val="nil"/>
              <w:bottom w:val="nil"/>
            </w:tcBorders>
          </w:tcPr>
          <w:p>
            <w:pPr>
              <w:pStyle w:val="TableParagraph"/>
              <w:spacing w:line="241" w:lineRule="exact" w:before="0"/>
              <w:ind w:left="1519" w:right="0"/>
              <w:jc w:val="left"/>
              <w:rPr>
                <w:rFonts w:ascii="Arial" w:hAnsi="Arial"/>
                <w:sz w:val="22"/>
              </w:rPr>
            </w:pPr>
            <w:r>
              <w:rPr>
                <w:rFonts w:ascii="Arial" w:hAnsi="Arial"/>
                <w:sz w:val="22"/>
              </w:rPr>
              <w:t>Oligotrófico</w:t>
            </w:r>
          </w:p>
        </w:tc>
      </w:tr>
      <w:tr>
        <w:trPr>
          <w:trHeight w:val="760" w:hRule="exact"/>
        </w:trPr>
        <w:tc>
          <w:tcPr>
            <w:tcW w:w="1182" w:type="dxa"/>
            <w:tcBorders>
              <w:top w:val="nil"/>
              <w:bottom w:val="nil"/>
              <w:right w:val="nil"/>
            </w:tcBorders>
          </w:tcPr>
          <w:p>
            <w:pPr/>
          </w:p>
        </w:tc>
        <w:tc>
          <w:tcPr>
            <w:tcW w:w="1705" w:type="dxa"/>
            <w:tcBorders>
              <w:top w:val="nil"/>
              <w:left w:val="nil"/>
              <w:bottom w:val="nil"/>
              <w:right w:val="nil"/>
            </w:tcBorders>
          </w:tcPr>
          <w:p>
            <w:pPr/>
          </w:p>
        </w:tc>
        <w:tc>
          <w:tcPr>
            <w:tcW w:w="2026" w:type="dxa"/>
            <w:gridSpan w:val="2"/>
            <w:tcBorders>
              <w:top w:val="nil"/>
              <w:left w:val="nil"/>
              <w:bottom w:val="nil"/>
              <w:right w:val="nil"/>
            </w:tcBorders>
          </w:tcPr>
          <w:p>
            <w:pPr>
              <w:pStyle w:val="TableParagraph"/>
              <w:spacing w:before="53"/>
              <w:ind w:left="962" w:right="111" w:hanging="46"/>
              <w:jc w:val="left"/>
              <w:rPr>
                <w:rFonts w:ascii="Arial" w:hAnsi="Arial"/>
                <w:sz w:val="22"/>
              </w:rPr>
            </w:pPr>
            <w:r>
              <w:rPr>
                <w:rFonts w:ascii="Arial" w:hAnsi="Arial"/>
                <w:sz w:val="22"/>
              </w:rPr>
              <w:t>Templada (&gt; 15 °C)</w:t>
            </w:r>
          </w:p>
        </w:tc>
        <w:tc>
          <w:tcPr>
            <w:tcW w:w="3346" w:type="dxa"/>
            <w:gridSpan w:val="2"/>
            <w:tcBorders>
              <w:top w:val="nil"/>
              <w:left w:val="nil"/>
              <w:bottom w:val="nil"/>
            </w:tcBorders>
          </w:tcPr>
          <w:p>
            <w:pPr>
              <w:pStyle w:val="TableParagraph"/>
              <w:spacing w:line="242" w:lineRule="auto" w:before="0"/>
              <w:ind w:left="1248" w:right="429"/>
              <w:jc w:val="center"/>
              <w:rPr>
                <w:rFonts w:ascii="Arial" w:hAnsi="Arial"/>
                <w:sz w:val="22"/>
              </w:rPr>
            </w:pPr>
            <w:r>
              <w:rPr>
                <w:rFonts w:ascii="Arial" w:hAnsi="Arial"/>
                <w:sz w:val="22"/>
              </w:rPr>
              <w:t>Mesotrófico Eutrófico</w:t>
            </w:r>
          </w:p>
          <w:p>
            <w:pPr>
              <w:pStyle w:val="TableParagraph"/>
              <w:spacing w:line="250" w:lineRule="exact" w:before="0"/>
              <w:ind w:left="1248" w:right="435"/>
              <w:jc w:val="center"/>
              <w:rPr>
                <w:rFonts w:ascii="Arial" w:hAnsi="Arial"/>
                <w:sz w:val="22"/>
              </w:rPr>
            </w:pPr>
            <w:r>
              <w:rPr>
                <w:rFonts w:ascii="Arial" w:hAnsi="Arial"/>
                <w:sz w:val="22"/>
              </w:rPr>
              <w:t>Hiper – eutrófico</w:t>
            </w:r>
          </w:p>
        </w:tc>
      </w:tr>
      <w:tr>
        <w:trPr>
          <w:trHeight w:val="294" w:hRule="exact"/>
        </w:trPr>
        <w:tc>
          <w:tcPr>
            <w:tcW w:w="1182" w:type="dxa"/>
            <w:tcBorders>
              <w:top w:val="nil"/>
              <w:bottom w:val="nil"/>
              <w:right w:val="nil"/>
            </w:tcBorders>
          </w:tcPr>
          <w:p>
            <w:pPr/>
          </w:p>
        </w:tc>
        <w:tc>
          <w:tcPr>
            <w:tcW w:w="1705" w:type="dxa"/>
            <w:tcBorders>
              <w:top w:val="nil"/>
              <w:left w:val="nil"/>
              <w:bottom w:val="nil"/>
              <w:right w:val="nil"/>
            </w:tcBorders>
          </w:tcPr>
          <w:p>
            <w:pPr>
              <w:pStyle w:val="TableParagraph"/>
              <w:spacing w:before="30"/>
              <w:ind w:left="563" w:right="150"/>
              <w:jc w:val="center"/>
              <w:rPr>
                <w:rFonts w:ascii="Arial"/>
                <w:sz w:val="22"/>
              </w:rPr>
            </w:pPr>
            <w:r>
              <w:rPr>
                <w:rFonts w:ascii="Arial"/>
                <w:sz w:val="22"/>
              </w:rPr>
              <w:t>Dulce</w:t>
            </w:r>
          </w:p>
        </w:tc>
        <w:tc>
          <w:tcPr>
            <w:tcW w:w="2026" w:type="dxa"/>
            <w:gridSpan w:val="2"/>
            <w:tcBorders>
              <w:top w:val="nil"/>
              <w:left w:val="nil"/>
              <w:bottom w:val="nil"/>
              <w:right w:val="nil"/>
            </w:tcBorders>
          </w:tcPr>
          <w:p>
            <w:pPr/>
          </w:p>
        </w:tc>
        <w:tc>
          <w:tcPr>
            <w:tcW w:w="3346" w:type="dxa"/>
            <w:gridSpan w:val="2"/>
            <w:tcBorders>
              <w:top w:val="nil"/>
              <w:left w:val="nil"/>
              <w:bottom w:val="nil"/>
            </w:tcBorders>
          </w:tcPr>
          <w:p>
            <w:pPr>
              <w:pStyle w:val="TableParagraph"/>
              <w:spacing w:line="242" w:lineRule="exact" w:before="0"/>
              <w:ind w:left="1036" w:right="0"/>
              <w:jc w:val="left"/>
              <w:rPr>
                <w:rFonts w:ascii="Arial" w:hAnsi="Arial"/>
                <w:sz w:val="22"/>
              </w:rPr>
            </w:pPr>
            <w:r>
              <w:rPr>
                <w:rFonts w:ascii="Arial" w:hAnsi="Arial"/>
                <w:sz w:val="22"/>
              </w:rPr>
              <w:t>Ácido - hipereutrófico</w:t>
            </w:r>
          </w:p>
        </w:tc>
      </w:tr>
      <w:tr>
        <w:trPr>
          <w:trHeight w:val="277" w:hRule="exact"/>
        </w:trPr>
        <w:tc>
          <w:tcPr>
            <w:tcW w:w="1182" w:type="dxa"/>
            <w:tcBorders>
              <w:top w:val="nil"/>
              <w:bottom w:val="nil"/>
              <w:right w:val="nil"/>
            </w:tcBorders>
          </w:tcPr>
          <w:p>
            <w:pPr/>
          </w:p>
        </w:tc>
        <w:tc>
          <w:tcPr>
            <w:tcW w:w="1705" w:type="dxa"/>
            <w:tcBorders>
              <w:top w:val="nil"/>
              <w:left w:val="nil"/>
              <w:bottom w:val="nil"/>
              <w:right w:val="nil"/>
            </w:tcBorders>
          </w:tcPr>
          <w:p>
            <w:pPr>
              <w:pStyle w:val="TableParagraph"/>
              <w:spacing w:line="241" w:lineRule="exact" w:before="0"/>
              <w:ind w:left="567" w:right="150"/>
              <w:jc w:val="center"/>
              <w:rPr>
                <w:rFonts w:ascii="Arial"/>
                <w:sz w:val="22"/>
              </w:rPr>
            </w:pPr>
            <w:r>
              <w:rPr>
                <w:rFonts w:ascii="Arial"/>
                <w:sz w:val="22"/>
              </w:rPr>
              <w:t>(&lt; 10 g/L)</w:t>
            </w:r>
          </w:p>
        </w:tc>
        <w:tc>
          <w:tcPr>
            <w:tcW w:w="2026" w:type="dxa"/>
            <w:gridSpan w:val="2"/>
            <w:tcBorders>
              <w:top w:val="nil"/>
              <w:left w:val="nil"/>
              <w:bottom w:val="nil"/>
              <w:right w:val="nil"/>
            </w:tcBorders>
          </w:tcPr>
          <w:p>
            <w:pPr/>
          </w:p>
        </w:tc>
        <w:tc>
          <w:tcPr>
            <w:tcW w:w="3346" w:type="dxa"/>
            <w:gridSpan w:val="2"/>
            <w:tcBorders>
              <w:top w:val="nil"/>
              <w:left w:val="nil"/>
              <w:bottom w:val="nil"/>
            </w:tcBorders>
          </w:tcPr>
          <w:p>
            <w:pPr/>
          </w:p>
        </w:tc>
      </w:tr>
      <w:tr>
        <w:trPr>
          <w:trHeight w:val="1013" w:hRule="exact"/>
        </w:trPr>
        <w:tc>
          <w:tcPr>
            <w:tcW w:w="1182" w:type="dxa"/>
            <w:tcBorders>
              <w:top w:val="nil"/>
              <w:bottom w:val="nil"/>
              <w:right w:val="nil"/>
            </w:tcBorders>
          </w:tcPr>
          <w:p>
            <w:pPr/>
          </w:p>
        </w:tc>
        <w:tc>
          <w:tcPr>
            <w:tcW w:w="1705" w:type="dxa"/>
            <w:tcBorders>
              <w:top w:val="nil"/>
              <w:left w:val="nil"/>
              <w:bottom w:val="nil"/>
              <w:right w:val="nil"/>
            </w:tcBorders>
          </w:tcPr>
          <w:p>
            <w:pPr/>
          </w:p>
        </w:tc>
        <w:tc>
          <w:tcPr>
            <w:tcW w:w="2026" w:type="dxa"/>
            <w:gridSpan w:val="2"/>
            <w:tcBorders>
              <w:top w:val="nil"/>
              <w:left w:val="nil"/>
              <w:bottom w:val="nil"/>
              <w:right w:val="nil"/>
            </w:tcBorders>
          </w:tcPr>
          <w:p>
            <w:pPr>
              <w:pStyle w:val="TableParagraph"/>
              <w:spacing w:before="97"/>
              <w:ind w:left="952" w:right="181" w:firstLine="249"/>
              <w:jc w:val="left"/>
              <w:rPr>
                <w:rFonts w:ascii="Arial" w:hAnsi="Arial"/>
                <w:sz w:val="22"/>
              </w:rPr>
            </w:pPr>
            <w:r>
              <w:rPr>
                <w:rFonts w:ascii="Arial" w:hAnsi="Arial"/>
                <w:sz w:val="22"/>
              </w:rPr>
              <w:t>Fría (&lt; 15</w:t>
            </w:r>
            <w:r>
              <w:rPr>
                <w:rFonts w:ascii="Arial" w:hAnsi="Arial"/>
                <w:spacing w:val="-3"/>
                <w:sz w:val="22"/>
              </w:rPr>
              <w:t> </w:t>
            </w:r>
            <w:r>
              <w:rPr>
                <w:rFonts w:ascii="Arial" w:hAnsi="Arial"/>
                <w:sz w:val="22"/>
              </w:rPr>
              <w:t>°C)</w:t>
            </w:r>
          </w:p>
        </w:tc>
        <w:tc>
          <w:tcPr>
            <w:tcW w:w="3346" w:type="dxa"/>
            <w:gridSpan w:val="2"/>
            <w:tcBorders>
              <w:top w:val="nil"/>
              <w:left w:val="nil"/>
              <w:bottom w:val="nil"/>
            </w:tcBorders>
          </w:tcPr>
          <w:p>
            <w:pPr>
              <w:pStyle w:val="TableParagraph"/>
              <w:spacing w:before="13"/>
              <w:ind w:left="1507" w:right="688" w:hanging="1"/>
              <w:jc w:val="center"/>
              <w:rPr>
                <w:rFonts w:ascii="Arial" w:hAnsi="Arial"/>
                <w:sz w:val="22"/>
              </w:rPr>
            </w:pPr>
            <w:r>
              <w:rPr>
                <w:rFonts w:ascii="Arial" w:hAnsi="Arial"/>
                <w:sz w:val="22"/>
              </w:rPr>
              <w:t>Oligotrófico Mesotrófico Eutrófico</w:t>
            </w:r>
          </w:p>
        </w:tc>
      </w:tr>
      <w:tr>
        <w:trPr>
          <w:trHeight w:val="486" w:hRule="exact"/>
        </w:trPr>
        <w:tc>
          <w:tcPr>
            <w:tcW w:w="1182" w:type="dxa"/>
            <w:tcBorders>
              <w:top w:val="nil"/>
              <w:bottom w:val="nil"/>
              <w:right w:val="nil"/>
            </w:tcBorders>
          </w:tcPr>
          <w:p>
            <w:pPr>
              <w:pStyle w:val="TableParagraph"/>
              <w:spacing w:before="1"/>
              <w:ind w:right="0"/>
              <w:jc w:val="left"/>
              <w:rPr>
                <w:rFonts w:ascii="Arial"/>
                <w:sz w:val="19"/>
              </w:rPr>
            </w:pPr>
          </w:p>
          <w:p>
            <w:pPr>
              <w:pStyle w:val="TableParagraph"/>
              <w:spacing w:before="0"/>
              <w:ind w:left="136" w:right="0"/>
              <w:jc w:val="left"/>
              <w:rPr>
                <w:rFonts w:ascii="Arial"/>
                <w:sz w:val="22"/>
              </w:rPr>
            </w:pPr>
            <w:r>
              <w:rPr>
                <w:rFonts w:ascii="Arial"/>
                <w:sz w:val="22"/>
              </w:rPr>
              <w:t>SRA</w:t>
            </w:r>
          </w:p>
        </w:tc>
        <w:tc>
          <w:tcPr>
            <w:tcW w:w="1705" w:type="dxa"/>
            <w:tcBorders>
              <w:top w:val="nil"/>
              <w:left w:val="nil"/>
              <w:bottom w:val="nil"/>
              <w:right w:val="nil"/>
            </w:tcBorders>
          </w:tcPr>
          <w:p>
            <w:pPr/>
          </w:p>
        </w:tc>
        <w:tc>
          <w:tcPr>
            <w:tcW w:w="2026" w:type="dxa"/>
            <w:gridSpan w:val="2"/>
            <w:tcBorders>
              <w:top w:val="nil"/>
              <w:left w:val="nil"/>
              <w:bottom w:val="nil"/>
              <w:right w:val="nil"/>
            </w:tcBorders>
          </w:tcPr>
          <w:p>
            <w:pPr/>
          </w:p>
        </w:tc>
        <w:tc>
          <w:tcPr>
            <w:tcW w:w="3346" w:type="dxa"/>
            <w:gridSpan w:val="2"/>
            <w:tcBorders>
              <w:top w:val="nil"/>
              <w:left w:val="nil"/>
              <w:bottom w:val="nil"/>
            </w:tcBorders>
          </w:tcPr>
          <w:p>
            <w:pPr>
              <w:pStyle w:val="TableParagraph"/>
              <w:spacing w:before="3"/>
              <w:ind w:right="0"/>
              <w:jc w:val="left"/>
              <w:rPr>
                <w:rFonts w:ascii="Arial"/>
                <w:sz w:val="19"/>
              </w:rPr>
            </w:pPr>
          </w:p>
          <w:p>
            <w:pPr>
              <w:pStyle w:val="TableParagraph"/>
              <w:spacing w:before="0"/>
              <w:ind w:left="1187" w:right="0"/>
              <w:jc w:val="left"/>
              <w:rPr>
                <w:rFonts w:ascii="Arial" w:hAnsi="Arial"/>
                <w:sz w:val="22"/>
              </w:rPr>
            </w:pPr>
            <w:r>
              <w:rPr>
                <w:rFonts w:ascii="Arial" w:hAnsi="Arial"/>
                <w:sz w:val="22"/>
              </w:rPr>
              <w:t>Ultra – oligotrófico</w:t>
            </w:r>
          </w:p>
        </w:tc>
      </w:tr>
      <w:tr>
        <w:trPr>
          <w:trHeight w:val="101" w:hRule="exact"/>
        </w:trPr>
        <w:tc>
          <w:tcPr>
            <w:tcW w:w="1182" w:type="dxa"/>
            <w:vMerge w:val="restart"/>
            <w:tcBorders>
              <w:top w:val="nil"/>
              <w:right w:val="nil"/>
            </w:tcBorders>
          </w:tcPr>
          <w:p>
            <w:pPr/>
          </w:p>
        </w:tc>
        <w:tc>
          <w:tcPr>
            <w:tcW w:w="1705" w:type="dxa"/>
            <w:vMerge w:val="restart"/>
            <w:tcBorders>
              <w:top w:val="nil"/>
              <w:left w:val="nil"/>
              <w:right w:val="nil"/>
            </w:tcBorders>
          </w:tcPr>
          <w:p>
            <w:pPr/>
          </w:p>
        </w:tc>
        <w:tc>
          <w:tcPr>
            <w:tcW w:w="2026" w:type="dxa"/>
            <w:gridSpan w:val="2"/>
            <w:tcBorders>
              <w:top w:val="nil"/>
              <w:left w:val="nil"/>
              <w:bottom w:val="nil"/>
              <w:right w:val="nil"/>
            </w:tcBorders>
          </w:tcPr>
          <w:p>
            <w:pPr/>
          </w:p>
        </w:tc>
        <w:tc>
          <w:tcPr>
            <w:tcW w:w="3346" w:type="dxa"/>
            <w:gridSpan w:val="2"/>
            <w:vMerge w:val="restart"/>
            <w:tcBorders>
              <w:top w:val="nil"/>
              <w:left w:val="nil"/>
            </w:tcBorders>
          </w:tcPr>
          <w:p>
            <w:pPr>
              <w:pStyle w:val="TableParagraph"/>
              <w:spacing w:before="0"/>
              <w:ind w:left="1507" w:right="688" w:hanging="1"/>
              <w:jc w:val="center"/>
              <w:rPr>
                <w:rFonts w:ascii="Arial" w:hAnsi="Arial"/>
                <w:sz w:val="22"/>
              </w:rPr>
            </w:pPr>
            <w:r>
              <w:rPr>
                <w:rFonts w:ascii="Arial" w:hAnsi="Arial"/>
                <w:sz w:val="22"/>
              </w:rPr>
              <w:t>Oligotrófico Mesotrófico Eutrófico</w:t>
            </w:r>
          </w:p>
        </w:tc>
      </w:tr>
      <w:tr>
        <w:trPr>
          <w:trHeight w:val="657" w:hRule="exact"/>
        </w:trPr>
        <w:tc>
          <w:tcPr>
            <w:tcW w:w="1182" w:type="dxa"/>
            <w:vMerge/>
            <w:tcBorders>
              <w:bottom w:val="nil"/>
              <w:right w:val="nil"/>
            </w:tcBorders>
          </w:tcPr>
          <w:p>
            <w:pPr/>
          </w:p>
        </w:tc>
        <w:tc>
          <w:tcPr>
            <w:tcW w:w="1705" w:type="dxa"/>
            <w:vMerge/>
            <w:tcBorders>
              <w:left w:val="nil"/>
              <w:bottom w:val="nil"/>
              <w:right w:val="nil"/>
            </w:tcBorders>
          </w:tcPr>
          <w:p>
            <w:pPr/>
          </w:p>
        </w:tc>
        <w:tc>
          <w:tcPr>
            <w:tcW w:w="670" w:type="dxa"/>
            <w:vMerge w:val="restart"/>
            <w:tcBorders>
              <w:top w:val="nil"/>
              <w:left w:val="nil"/>
            </w:tcBorders>
          </w:tcPr>
          <w:p>
            <w:pPr/>
          </w:p>
        </w:tc>
        <w:tc>
          <w:tcPr>
            <w:tcW w:w="1356" w:type="dxa"/>
            <w:tcBorders>
              <w:top w:val="nil"/>
              <w:bottom w:val="nil"/>
              <w:right w:val="nil"/>
            </w:tcBorders>
          </w:tcPr>
          <w:p>
            <w:pPr>
              <w:pStyle w:val="TableParagraph"/>
              <w:spacing w:before="69"/>
              <w:ind w:left="275" w:right="121" w:hanging="46"/>
              <w:jc w:val="left"/>
              <w:rPr>
                <w:rFonts w:ascii="Arial" w:hAnsi="Arial"/>
                <w:sz w:val="22"/>
              </w:rPr>
            </w:pPr>
            <w:r>
              <w:rPr>
                <w:rFonts w:ascii="Arial" w:hAnsi="Arial"/>
                <w:sz w:val="22"/>
              </w:rPr>
              <w:t>Templada (&gt; 15 °C)</w:t>
            </w:r>
          </w:p>
        </w:tc>
        <w:tc>
          <w:tcPr>
            <w:tcW w:w="3346" w:type="dxa"/>
            <w:gridSpan w:val="2"/>
            <w:vMerge/>
            <w:tcBorders>
              <w:left w:val="nil"/>
              <w:bottom w:val="nil"/>
            </w:tcBorders>
          </w:tcPr>
          <w:p>
            <w:pPr/>
          </w:p>
        </w:tc>
      </w:tr>
      <w:tr>
        <w:trPr>
          <w:trHeight w:val="332" w:hRule="exact"/>
        </w:trPr>
        <w:tc>
          <w:tcPr>
            <w:tcW w:w="1182" w:type="dxa"/>
            <w:tcBorders>
              <w:top w:val="nil"/>
              <w:bottom w:val="nil"/>
              <w:right w:val="nil"/>
            </w:tcBorders>
          </w:tcPr>
          <w:p>
            <w:pPr/>
          </w:p>
        </w:tc>
        <w:tc>
          <w:tcPr>
            <w:tcW w:w="1705" w:type="dxa"/>
            <w:tcBorders>
              <w:top w:val="nil"/>
              <w:left w:val="nil"/>
              <w:bottom w:val="nil"/>
              <w:right w:val="nil"/>
            </w:tcBorders>
          </w:tcPr>
          <w:p>
            <w:pPr>
              <w:pStyle w:val="TableParagraph"/>
              <w:spacing w:before="67"/>
              <w:ind w:left="567" w:right="118"/>
              <w:jc w:val="center"/>
              <w:rPr>
                <w:rFonts w:ascii="Arial"/>
                <w:sz w:val="22"/>
              </w:rPr>
            </w:pPr>
            <w:r>
              <w:rPr>
                <w:rFonts w:ascii="Arial"/>
                <w:sz w:val="22"/>
              </w:rPr>
              <w:t>Salada</w:t>
            </w:r>
          </w:p>
        </w:tc>
        <w:tc>
          <w:tcPr>
            <w:tcW w:w="670" w:type="dxa"/>
            <w:vMerge/>
            <w:tcBorders>
              <w:left w:val="nil"/>
            </w:tcBorders>
          </w:tcPr>
          <w:p>
            <w:pPr/>
          </w:p>
        </w:tc>
        <w:tc>
          <w:tcPr>
            <w:tcW w:w="1356" w:type="dxa"/>
            <w:tcBorders>
              <w:top w:val="nil"/>
              <w:bottom w:val="nil"/>
              <w:right w:val="nil"/>
            </w:tcBorders>
          </w:tcPr>
          <w:p>
            <w:pPr/>
          </w:p>
        </w:tc>
        <w:tc>
          <w:tcPr>
            <w:tcW w:w="3346" w:type="dxa"/>
            <w:gridSpan w:val="2"/>
            <w:tcBorders>
              <w:top w:val="nil"/>
              <w:left w:val="nil"/>
              <w:bottom w:val="nil"/>
            </w:tcBorders>
          </w:tcPr>
          <w:p>
            <w:pPr>
              <w:pStyle w:val="TableParagraph"/>
              <w:spacing w:line="241" w:lineRule="exact" w:before="0"/>
              <w:ind w:left="1267" w:right="0"/>
              <w:jc w:val="left"/>
              <w:rPr>
                <w:rFonts w:ascii="Arial" w:hAnsi="Arial"/>
                <w:sz w:val="22"/>
              </w:rPr>
            </w:pPr>
            <w:r>
              <w:rPr>
                <w:rFonts w:ascii="Arial" w:hAnsi="Arial"/>
                <w:sz w:val="22"/>
              </w:rPr>
              <w:t>Hiper – eutrófico</w:t>
            </w:r>
          </w:p>
        </w:tc>
      </w:tr>
      <w:tr>
        <w:trPr>
          <w:trHeight w:val="47" w:hRule="exact"/>
        </w:trPr>
        <w:tc>
          <w:tcPr>
            <w:tcW w:w="1182" w:type="dxa"/>
            <w:vMerge w:val="restart"/>
            <w:tcBorders>
              <w:top w:val="nil"/>
              <w:right w:val="nil"/>
            </w:tcBorders>
          </w:tcPr>
          <w:p>
            <w:pPr/>
          </w:p>
        </w:tc>
        <w:tc>
          <w:tcPr>
            <w:tcW w:w="1705" w:type="dxa"/>
            <w:vMerge w:val="restart"/>
            <w:tcBorders>
              <w:top w:val="nil"/>
              <w:left w:val="nil"/>
              <w:right w:val="nil"/>
            </w:tcBorders>
          </w:tcPr>
          <w:p>
            <w:pPr>
              <w:pStyle w:val="TableParagraph"/>
              <w:spacing w:line="242" w:lineRule="exact" w:before="0"/>
              <w:ind w:left="603" w:right="0"/>
              <w:jc w:val="left"/>
              <w:rPr>
                <w:rFonts w:ascii="Arial"/>
                <w:sz w:val="22"/>
              </w:rPr>
            </w:pPr>
            <w:r>
              <w:rPr>
                <w:rFonts w:ascii="Arial"/>
                <w:sz w:val="22"/>
              </w:rPr>
              <w:t>(&gt; 10 g/L)</w:t>
            </w:r>
          </w:p>
        </w:tc>
        <w:tc>
          <w:tcPr>
            <w:tcW w:w="670" w:type="dxa"/>
            <w:vMerge w:val="restart"/>
            <w:tcBorders>
              <w:left w:val="nil"/>
            </w:tcBorders>
          </w:tcPr>
          <w:p>
            <w:pPr/>
          </w:p>
        </w:tc>
        <w:tc>
          <w:tcPr>
            <w:tcW w:w="1356" w:type="dxa"/>
            <w:vMerge w:val="restart"/>
            <w:tcBorders>
              <w:top w:val="nil"/>
              <w:right w:val="nil"/>
            </w:tcBorders>
          </w:tcPr>
          <w:p>
            <w:pPr/>
          </w:p>
        </w:tc>
        <w:tc>
          <w:tcPr>
            <w:tcW w:w="3346" w:type="dxa"/>
            <w:gridSpan w:val="2"/>
            <w:vMerge w:val="restart"/>
            <w:tcBorders>
              <w:top w:val="nil"/>
              <w:left w:val="nil"/>
            </w:tcBorders>
          </w:tcPr>
          <w:p>
            <w:pPr/>
          </w:p>
        </w:tc>
      </w:tr>
      <w:tr>
        <w:trPr>
          <w:trHeight w:val="252" w:hRule="exact"/>
        </w:trPr>
        <w:tc>
          <w:tcPr>
            <w:tcW w:w="1182" w:type="dxa"/>
            <w:vMerge/>
            <w:tcBorders>
              <w:bottom w:val="nil"/>
              <w:right w:val="nil"/>
            </w:tcBorders>
          </w:tcPr>
          <w:p>
            <w:pPr/>
          </w:p>
        </w:tc>
        <w:tc>
          <w:tcPr>
            <w:tcW w:w="1705" w:type="dxa"/>
            <w:vMerge/>
            <w:tcBorders>
              <w:left w:val="nil"/>
              <w:bottom w:val="nil"/>
              <w:right w:val="nil"/>
            </w:tcBorders>
          </w:tcPr>
          <w:p>
            <w:pPr/>
          </w:p>
        </w:tc>
        <w:tc>
          <w:tcPr>
            <w:tcW w:w="670" w:type="dxa"/>
            <w:vMerge/>
            <w:tcBorders>
              <w:left w:val="nil"/>
            </w:tcBorders>
          </w:tcPr>
          <w:p>
            <w:pPr/>
          </w:p>
        </w:tc>
        <w:tc>
          <w:tcPr>
            <w:tcW w:w="1356" w:type="dxa"/>
            <w:vMerge/>
            <w:tcBorders>
              <w:bottom w:val="nil"/>
              <w:right w:val="nil"/>
            </w:tcBorders>
          </w:tcPr>
          <w:p>
            <w:pPr/>
          </w:p>
        </w:tc>
        <w:tc>
          <w:tcPr>
            <w:tcW w:w="3346" w:type="dxa"/>
            <w:gridSpan w:val="2"/>
            <w:vMerge/>
            <w:tcBorders>
              <w:left w:val="nil"/>
              <w:bottom w:val="nil"/>
            </w:tcBorders>
          </w:tcPr>
          <w:p>
            <w:pPr/>
          </w:p>
        </w:tc>
      </w:tr>
      <w:tr>
        <w:trPr>
          <w:trHeight w:val="386" w:hRule="exact"/>
        </w:trPr>
        <w:tc>
          <w:tcPr>
            <w:tcW w:w="1182" w:type="dxa"/>
            <w:tcBorders>
              <w:top w:val="nil"/>
              <w:bottom w:val="nil"/>
              <w:right w:val="nil"/>
            </w:tcBorders>
          </w:tcPr>
          <w:p>
            <w:pPr/>
          </w:p>
        </w:tc>
        <w:tc>
          <w:tcPr>
            <w:tcW w:w="1705" w:type="dxa"/>
            <w:tcBorders>
              <w:top w:val="nil"/>
              <w:left w:val="nil"/>
              <w:bottom w:val="nil"/>
              <w:right w:val="nil"/>
            </w:tcBorders>
          </w:tcPr>
          <w:p>
            <w:pPr/>
          </w:p>
        </w:tc>
        <w:tc>
          <w:tcPr>
            <w:tcW w:w="670" w:type="dxa"/>
            <w:vMerge/>
            <w:tcBorders>
              <w:left w:val="nil"/>
            </w:tcBorders>
          </w:tcPr>
          <w:p>
            <w:pPr/>
          </w:p>
        </w:tc>
        <w:tc>
          <w:tcPr>
            <w:tcW w:w="1356" w:type="dxa"/>
            <w:tcBorders>
              <w:top w:val="nil"/>
              <w:bottom w:val="nil"/>
              <w:right w:val="nil"/>
            </w:tcBorders>
          </w:tcPr>
          <w:p>
            <w:pPr>
              <w:pStyle w:val="TableParagraph"/>
              <w:spacing w:before="156"/>
              <w:ind w:left="254" w:right="163"/>
              <w:jc w:val="center"/>
              <w:rPr>
                <w:rFonts w:ascii="Arial" w:hAnsi="Arial"/>
                <w:sz w:val="22"/>
              </w:rPr>
            </w:pPr>
            <w:r>
              <w:rPr>
                <w:rFonts w:ascii="Arial" w:hAnsi="Arial"/>
                <w:sz w:val="22"/>
              </w:rPr>
              <w:t>Fría</w:t>
            </w:r>
          </w:p>
        </w:tc>
        <w:tc>
          <w:tcPr>
            <w:tcW w:w="720" w:type="dxa"/>
            <w:tcBorders>
              <w:top w:val="nil"/>
              <w:left w:val="nil"/>
            </w:tcBorders>
          </w:tcPr>
          <w:p>
            <w:pPr/>
          </w:p>
        </w:tc>
        <w:tc>
          <w:tcPr>
            <w:tcW w:w="2626" w:type="dxa"/>
            <w:vMerge w:val="restart"/>
            <w:tcBorders>
              <w:top w:val="nil"/>
            </w:tcBorders>
          </w:tcPr>
          <w:p>
            <w:pPr>
              <w:pStyle w:val="TableParagraph"/>
              <w:spacing w:before="69"/>
              <w:ind w:left="779" w:right="688" w:hanging="1"/>
              <w:jc w:val="center"/>
              <w:rPr>
                <w:rFonts w:ascii="Arial" w:hAnsi="Arial"/>
                <w:sz w:val="22"/>
              </w:rPr>
            </w:pPr>
            <w:r>
              <w:rPr>
                <w:rFonts w:ascii="Arial" w:hAnsi="Arial"/>
                <w:sz w:val="22"/>
              </w:rPr>
              <w:t>Oligotrófico Mesotrófico Eutrófico</w:t>
            </w:r>
          </w:p>
        </w:tc>
      </w:tr>
      <w:tr>
        <w:trPr>
          <w:trHeight w:val="434" w:hRule="exact"/>
        </w:trPr>
        <w:tc>
          <w:tcPr>
            <w:tcW w:w="1182" w:type="dxa"/>
            <w:tcBorders>
              <w:top w:val="nil"/>
              <w:right w:val="nil"/>
            </w:tcBorders>
          </w:tcPr>
          <w:p>
            <w:pPr/>
          </w:p>
        </w:tc>
        <w:tc>
          <w:tcPr>
            <w:tcW w:w="1705" w:type="dxa"/>
            <w:tcBorders>
              <w:top w:val="nil"/>
              <w:left w:val="nil"/>
              <w:right w:val="nil"/>
            </w:tcBorders>
          </w:tcPr>
          <w:p>
            <w:pPr/>
          </w:p>
        </w:tc>
        <w:tc>
          <w:tcPr>
            <w:tcW w:w="670" w:type="dxa"/>
            <w:vMerge/>
            <w:tcBorders>
              <w:left w:val="nil"/>
            </w:tcBorders>
          </w:tcPr>
          <w:p>
            <w:pPr/>
          </w:p>
        </w:tc>
        <w:tc>
          <w:tcPr>
            <w:tcW w:w="1356" w:type="dxa"/>
            <w:tcBorders>
              <w:top w:val="nil"/>
              <w:right w:val="nil"/>
            </w:tcBorders>
          </w:tcPr>
          <w:p>
            <w:pPr>
              <w:pStyle w:val="TableParagraph"/>
              <w:spacing w:before="12"/>
              <w:ind w:left="255" w:right="163"/>
              <w:jc w:val="center"/>
              <w:rPr>
                <w:rFonts w:ascii="Arial" w:hAnsi="Arial"/>
                <w:sz w:val="22"/>
              </w:rPr>
            </w:pPr>
            <w:r>
              <w:rPr>
                <w:rFonts w:ascii="Arial" w:hAnsi="Arial"/>
                <w:sz w:val="22"/>
              </w:rPr>
              <w:t>(&lt; 15 °C)</w:t>
            </w:r>
          </w:p>
        </w:tc>
        <w:tc>
          <w:tcPr>
            <w:tcW w:w="720" w:type="dxa"/>
            <w:tcBorders>
              <w:left w:val="nil"/>
            </w:tcBorders>
          </w:tcPr>
          <w:p>
            <w:pPr/>
          </w:p>
        </w:tc>
        <w:tc>
          <w:tcPr>
            <w:tcW w:w="2626" w:type="dxa"/>
            <w:vMerge/>
          </w:tcPr>
          <w:p>
            <w:pPr/>
          </w:p>
        </w:tc>
      </w:tr>
    </w:tbl>
    <w:p>
      <w:pPr>
        <w:spacing w:before="66"/>
        <w:ind w:left="2058" w:right="948" w:firstLine="0"/>
        <w:jc w:val="left"/>
        <w:rPr>
          <w:b/>
          <w:sz w:val="18"/>
        </w:rPr>
      </w:pPr>
      <w:r>
        <w:rPr/>
        <w:pict>
          <v:group style="position:absolute;margin-left:336.225006pt;margin-top:-127.953102pt;width:36.75pt;height:74.350pt;mso-position-horizontal-relative:page;mso-position-vertical-relative:paragraph;z-index:-1529464" coordorigin="6725,-2559" coordsize="735,1487">
            <v:line style="position:absolute" from="7452,-2552" to="7452,-1080" stroked="true" strokeweight=".75pt" strokecolor="#000000"/>
            <v:line style="position:absolute" from="6732,-1781" to="7452,-1781" stroked="true" strokeweight=".75pt" strokecolor="#000000"/>
            <w10:wrap type="none"/>
          </v:group>
        </w:pict>
      </w:r>
      <w:r>
        <w:rPr>
          <w:b/>
          <w:sz w:val="18"/>
        </w:rPr>
        <w:t>Figura 5. Clasificación de los SRA propuesta por Malone y Pfeiffer (2006).</w:t>
      </w:r>
    </w:p>
    <w:p>
      <w:pPr>
        <w:spacing w:after="0"/>
        <w:jc w:val="left"/>
        <w:rPr>
          <w:sz w:val="18"/>
        </w:rPr>
        <w:sectPr>
          <w:pgSz w:w="12240" w:h="15840"/>
          <w:pgMar w:header="725" w:footer="1084" w:top="1340" w:bottom="1280" w:left="920" w:right="1200"/>
        </w:sectPr>
      </w:pPr>
    </w:p>
    <w:p>
      <w:pPr>
        <w:pStyle w:val="BodyText"/>
        <w:spacing w:before="10"/>
        <w:rPr>
          <w:b/>
          <w:sz w:val="8"/>
        </w:rPr>
      </w:pPr>
    </w:p>
    <w:p>
      <w:pPr>
        <w:pStyle w:val="BodyText"/>
        <w:spacing w:line="360" w:lineRule="auto" w:before="73"/>
        <w:ind w:left="781" w:right="498"/>
        <w:jc w:val="both"/>
      </w:pPr>
      <w:r>
        <w:rPr/>
        <w:t>Esta clasificación obedece a que las características de diseño y operación de los biofiltros son diferentes para cada nivel expresado en la figura 5, a su vez, esta propuesta permite encasillar el uso de los biofiltros y su dimensionamiento según los factores que influencian en el proceso de nitrificación.</w:t>
      </w:r>
    </w:p>
    <w:p>
      <w:pPr>
        <w:pStyle w:val="BodyText"/>
        <w:spacing w:before="9"/>
        <w:rPr>
          <w:sz w:val="17"/>
        </w:rPr>
      </w:pPr>
    </w:p>
    <w:p>
      <w:pPr>
        <w:pStyle w:val="BodyText"/>
        <w:spacing w:line="360" w:lineRule="auto"/>
        <w:ind w:left="781" w:right="497"/>
        <w:jc w:val="both"/>
      </w:pPr>
      <w:r>
        <w:rPr/>
        <w:t>En la figura 6 se muestra un ejemplo de organismos o especies aptos para los tipos de nivel trófico determinados por Malone y Pfieffer (2006), en color azul se indica en donde se ubica el SRA utilizado para esta</w:t>
      </w:r>
      <w:r>
        <w:rPr>
          <w:spacing w:val="-17"/>
        </w:rPr>
        <w:t> </w:t>
      </w:r>
      <w:r>
        <w:rPr/>
        <w:t>investigación.</w:t>
      </w:r>
    </w:p>
    <w:p>
      <w:pPr>
        <w:pStyle w:val="BodyText"/>
        <w:spacing w:before="10"/>
        <w:rPr>
          <w:sz w:val="15"/>
        </w:rPr>
      </w:pPr>
      <w:r>
        <w:rPr/>
        <w:pict>
          <v:group style="position:absolute;margin-left:85.800003pt;margin-top:11.084143pt;width:443.4pt;height:306.850pt;mso-position-horizontal-relative:page;mso-position-vertical-relative:paragraph;z-index:2368;mso-wrap-distance-left:0;mso-wrap-distance-right:0" coordorigin="1716,222" coordsize="8868,6137">
            <v:shape style="position:absolute;left:1733;top:236;width:8837;height:6108" type="#_x0000_t75" stroked="false">
              <v:imagedata r:id="rId17" o:title=""/>
            </v:shape>
            <v:shape style="position:absolute;left:1716;top:222;width:8868;height:6137" coordorigin="1716,222" coordsize="8868,6137" path="m10577,222l1726,222,1718,224,1716,229,1716,6351,1718,6356,1726,6358,10577,6358,10584,6356,10584,6351,1733,6351,1726,6344,1733,6344,1733,236,1726,236,1733,229,10584,229,10584,224,10577,222xm1733,6344l1726,6344,1733,6351,1733,6344xm10570,6344l1733,6344,1733,6351,10570,6351,10570,6344xm10570,229l10570,6351,10577,6344,10584,6344,10584,236,10577,236,10570,229xm10584,6344l10577,6344,10570,6351,10584,6351,10584,6344xm1733,229l1726,236,1733,236,1733,229xm10570,229l1733,229,1733,236,10570,236,10570,229xm10584,229l10570,229,10577,236,10584,236,10584,229xe" filled="true" fillcolor="#000000" stroked="false">
              <v:path arrowok="t"/>
              <v:fill type="solid"/>
            </v:shape>
            <w10:wrap type="topAndBottom"/>
          </v:group>
        </w:pict>
      </w:r>
    </w:p>
    <w:p>
      <w:pPr>
        <w:spacing w:before="111"/>
        <w:ind w:left="2284" w:right="484" w:hanging="1501"/>
        <w:jc w:val="left"/>
        <w:rPr>
          <w:b/>
          <w:sz w:val="18"/>
        </w:rPr>
      </w:pPr>
      <w:r>
        <w:rPr>
          <w:b/>
          <w:sz w:val="18"/>
        </w:rPr>
        <w:t>Figura 6. Mapa conceptual de la clasificación de los SRA de acuerdo con el tipo de agua, temperatura y nivel trófico (en azul ubicación de SRA usado en esta investigación)</w:t>
      </w:r>
    </w:p>
    <w:p>
      <w:pPr>
        <w:pStyle w:val="BodyText"/>
        <w:spacing w:before="6"/>
        <w:rPr>
          <w:b/>
          <w:sz w:val="17"/>
        </w:rPr>
      </w:pPr>
    </w:p>
    <w:p>
      <w:pPr>
        <w:pStyle w:val="BodyText"/>
        <w:spacing w:line="360" w:lineRule="auto"/>
        <w:ind w:left="781" w:right="497"/>
        <w:jc w:val="both"/>
      </w:pPr>
      <w:r>
        <w:rPr/>
        <w:t>De acuerdo a los organismos a cultivar estos se pueden catalogar en un nivel trófico y en un intervalo de nitrógeno amoniacal total. En la tabla 2, se detallan los criterios de clasificación de los biofiltros con base en su nivel trófico, los más comunes son: oligotróficos, mesotróficos y eutróficos.</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before="0"/>
        <w:ind w:left="3757" w:right="861" w:hanging="2602"/>
        <w:jc w:val="left"/>
        <w:rPr>
          <w:b/>
          <w:sz w:val="18"/>
        </w:rPr>
      </w:pPr>
      <w:r>
        <w:rPr>
          <w:b/>
          <w:sz w:val="18"/>
        </w:rPr>
        <w:t>Tabla 2. Criterios de clasificación con base en el nivel trófico y las necesidades en la actividad acuícola (Malone y Pfieffer, 2006).</w:t>
      </w:r>
    </w:p>
    <w:p>
      <w:pPr>
        <w:pStyle w:val="BodyText"/>
        <w:spacing w:before="10"/>
        <w:rPr>
          <w:b/>
          <w:sz w:val="10"/>
        </w:rPr>
      </w:pPr>
    </w:p>
    <w:tbl>
      <w:tblPr>
        <w:tblW w:w="0" w:type="auto"/>
        <w:jc w:val="left"/>
        <w:tblInd w:w="17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2268"/>
        <w:gridCol w:w="2410"/>
      </w:tblGrid>
      <w:tr>
        <w:trPr>
          <w:trHeight w:val="470" w:hRule="exact"/>
        </w:trPr>
        <w:tc>
          <w:tcPr>
            <w:tcW w:w="2376" w:type="dxa"/>
          </w:tcPr>
          <w:p>
            <w:pPr>
              <w:pStyle w:val="TableParagraph"/>
              <w:spacing w:line="227" w:lineRule="exact" w:before="0"/>
              <w:ind w:left="602" w:right="0"/>
              <w:jc w:val="left"/>
              <w:rPr>
                <w:rFonts w:ascii="Arial" w:hAnsi="Arial"/>
                <w:b/>
                <w:sz w:val="20"/>
              </w:rPr>
            </w:pPr>
            <w:r>
              <w:rPr>
                <w:rFonts w:ascii="Arial" w:hAnsi="Arial"/>
                <w:b/>
                <w:sz w:val="20"/>
              </w:rPr>
              <w:t>Nivel trófico</w:t>
            </w:r>
          </w:p>
        </w:tc>
        <w:tc>
          <w:tcPr>
            <w:tcW w:w="2268" w:type="dxa"/>
          </w:tcPr>
          <w:p>
            <w:pPr>
              <w:pStyle w:val="TableParagraph"/>
              <w:spacing w:line="227" w:lineRule="exact" w:before="0"/>
              <w:ind w:left="621" w:right="154"/>
              <w:jc w:val="left"/>
              <w:rPr>
                <w:rFonts w:ascii="Arial" w:hAnsi="Arial"/>
                <w:b/>
                <w:sz w:val="20"/>
              </w:rPr>
            </w:pPr>
            <w:r>
              <w:rPr>
                <w:rFonts w:ascii="Arial" w:hAnsi="Arial"/>
                <w:b/>
                <w:sz w:val="20"/>
              </w:rPr>
              <w:t>Aplicación</w:t>
            </w:r>
          </w:p>
        </w:tc>
        <w:tc>
          <w:tcPr>
            <w:tcW w:w="2410" w:type="dxa"/>
          </w:tcPr>
          <w:p>
            <w:pPr>
              <w:pStyle w:val="TableParagraph"/>
              <w:spacing w:line="228" w:lineRule="exact" w:before="2"/>
              <w:ind w:left="892" w:right="306" w:hanging="569"/>
              <w:jc w:val="left"/>
              <w:rPr>
                <w:rFonts w:ascii="Arial"/>
                <w:b/>
                <w:sz w:val="20"/>
              </w:rPr>
            </w:pPr>
            <w:r>
              <w:rPr>
                <w:rFonts w:ascii="Arial"/>
                <w:b/>
                <w:sz w:val="20"/>
              </w:rPr>
              <w:t>Intervalo de N-NH</w:t>
            </w:r>
            <w:r>
              <w:rPr>
                <w:rFonts w:ascii="Arial"/>
                <w:b/>
                <w:position w:val="-2"/>
                <w:sz w:val="13"/>
              </w:rPr>
              <w:t>3 </w:t>
            </w:r>
            <w:r>
              <w:rPr>
                <w:rFonts w:ascii="Arial"/>
                <w:b/>
                <w:sz w:val="20"/>
              </w:rPr>
              <w:t>(mg/L)</w:t>
            </w:r>
          </w:p>
        </w:tc>
      </w:tr>
      <w:tr>
        <w:trPr>
          <w:trHeight w:val="240" w:hRule="exact"/>
        </w:trPr>
        <w:tc>
          <w:tcPr>
            <w:tcW w:w="2376" w:type="dxa"/>
          </w:tcPr>
          <w:p>
            <w:pPr>
              <w:pStyle w:val="TableParagraph"/>
              <w:spacing w:line="227" w:lineRule="exact" w:before="0"/>
              <w:ind w:left="100" w:right="0"/>
              <w:jc w:val="left"/>
              <w:rPr>
                <w:rFonts w:ascii="Arial" w:hAnsi="Arial"/>
                <w:sz w:val="20"/>
              </w:rPr>
            </w:pPr>
            <w:r>
              <w:rPr>
                <w:rFonts w:ascii="Arial" w:hAnsi="Arial"/>
                <w:sz w:val="20"/>
              </w:rPr>
              <w:t>Ultra – oligotrófico</w:t>
            </w:r>
          </w:p>
        </w:tc>
        <w:tc>
          <w:tcPr>
            <w:tcW w:w="2268" w:type="dxa"/>
          </w:tcPr>
          <w:p>
            <w:pPr>
              <w:pStyle w:val="TableParagraph"/>
              <w:spacing w:line="227" w:lineRule="exact" w:before="0"/>
              <w:ind w:left="100" w:right="154"/>
              <w:jc w:val="left"/>
              <w:rPr>
                <w:rFonts w:ascii="Arial"/>
                <w:sz w:val="20"/>
              </w:rPr>
            </w:pPr>
            <w:r>
              <w:rPr>
                <w:rFonts w:ascii="Arial"/>
                <w:sz w:val="20"/>
              </w:rPr>
              <w:t>Larvas (marinas)</w:t>
            </w:r>
          </w:p>
        </w:tc>
        <w:tc>
          <w:tcPr>
            <w:tcW w:w="2410" w:type="dxa"/>
          </w:tcPr>
          <w:p>
            <w:pPr>
              <w:pStyle w:val="TableParagraph"/>
              <w:spacing w:line="227" w:lineRule="exact" w:before="0"/>
              <w:ind w:left="811" w:right="306"/>
              <w:jc w:val="left"/>
              <w:rPr>
                <w:rFonts w:ascii="Arial" w:hAnsi="Arial"/>
                <w:sz w:val="20"/>
              </w:rPr>
            </w:pPr>
            <w:r>
              <w:rPr>
                <w:rFonts w:ascii="Arial" w:hAnsi="Arial"/>
                <w:sz w:val="20"/>
              </w:rPr>
              <w:t>0,0 – 0,1</w:t>
            </w:r>
          </w:p>
        </w:tc>
      </w:tr>
      <w:tr>
        <w:trPr>
          <w:trHeight w:val="288" w:hRule="exact"/>
        </w:trPr>
        <w:tc>
          <w:tcPr>
            <w:tcW w:w="2376" w:type="dxa"/>
          </w:tcPr>
          <w:p>
            <w:pPr>
              <w:pStyle w:val="TableParagraph"/>
              <w:spacing w:before="21"/>
              <w:ind w:left="100" w:right="0"/>
              <w:jc w:val="left"/>
              <w:rPr>
                <w:rFonts w:ascii="Arial" w:hAnsi="Arial"/>
                <w:sz w:val="20"/>
              </w:rPr>
            </w:pPr>
            <w:r>
              <w:rPr>
                <w:rFonts w:ascii="Arial" w:hAnsi="Arial"/>
                <w:sz w:val="20"/>
              </w:rPr>
              <w:t>Ácido – oligotrófico</w:t>
            </w:r>
          </w:p>
        </w:tc>
        <w:tc>
          <w:tcPr>
            <w:tcW w:w="2268" w:type="dxa"/>
          </w:tcPr>
          <w:p>
            <w:pPr>
              <w:pStyle w:val="TableParagraph"/>
              <w:spacing w:line="227" w:lineRule="exact" w:before="0"/>
              <w:ind w:left="100" w:right="154"/>
              <w:jc w:val="left"/>
              <w:rPr>
                <w:rFonts w:ascii="Arial"/>
                <w:sz w:val="20"/>
              </w:rPr>
            </w:pPr>
            <w:r>
              <w:rPr>
                <w:rFonts w:ascii="Arial"/>
                <w:sz w:val="20"/>
              </w:rPr>
              <w:t>Peces ornamentales</w:t>
            </w:r>
          </w:p>
        </w:tc>
        <w:tc>
          <w:tcPr>
            <w:tcW w:w="2410" w:type="dxa"/>
          </w:tcPr>
          <w:p>
            <w:pPr>
              <w:pStyle w:val="TableParagraph"/>
              <w:spacing w:line="227" w:lineRule="exact" w:before="0"/>
              <w:ind w:left="811" w:right="306"/>
              <w:jc w:val="left"/>
              <w:rPr>
                <w:rFonts w:ascii="Arial" w:hAnsi="Arial"/>
                <w:sz w:val="20"/>
              </w:rPr>
            </w:pPr>
            <w:r>
              <w:rPr>
                <w:rFonts w:ascii="Arial" w:hAnsi="Arial"/>
                <w:sz w:val="20"/>
              </w:rPr>
              <w:t>0,1 – 0,3</w:t>
            </w:r>
          </w:p>
        </w:tc>
      </w:tr>
      <w:tr>
        <w:trPr>
          <w:trHeight w:val="240" w:hRule="exact"/>
        </w:trPr>
        <w:tc>
          <w:tcPr>
            <w:tcW w:w="2376" w:type="dxa"/>
          </w:tcPr>
          <w:p>
            <w:pPr>
              <w:pStyle w:val="TableParagraph"/>
              <w:spacing w:line="227" w:lineRule="exact" w:before="0"/>
              <w:ind w:left="100" w:right="0"/>
              <w:jc w:val="left"/>
              <w:rPr>
                <w:rFonts w:ascii="Arial" w:hAnsi="Arial"/>
                <w:sz w:val="20"/>
              </w:rPr>
            </w:pPr>
            <w:r>
              <w:rPr>
                <w:rFonts w:ascii="Arial" w:hAnsi="Arial"/>
                <w:sz w:val="20"/>
              </w:rPr>
              <w:t>Oligotrófico</w:t>
            </w:r>
          </w:p>
        </w:tc>
        <w:tc>
          <w:tcPr>
            <w:tcW w:w="2268" w:type="dxa"/>
          </w:tcPr>
          <w:p>
            <w:pPr>
              <w:pStyle w:val="TableParagraph"/>
              <w:spacing w:line="227" w:lineRule="exact" w:before="0"/>
              <w:ind w:left="100" w:right="154"/>
              <w:jc w:val="left"/>
              <w:rPr>
                <w:rFonts w:ascii="Arial"/>
                <w:sz w:val="20"/>
              </w:rPr>
            </w:pPr>
            <w:r>
              <w:rPr>
                <w:rFonts w:ascii="Arial"/>
                <w:sz w:val="20"/>
              </w:rPr>
              <w:t>Reproductores</w:t>
            </w:r>
          </w:p>
        </w:tc>
        <w:tc>
          <w:tcPr>
            <w:tcW w:w="2410" w:type="dxa"/>
          </w:tcPr>
          <w:p>
            <w:pPr>
              <w:pStyle w:val="TableParagraph"/>
              <w:spacing w:line="227" w:lineRule="exact" w:before="0"/>
              <w:ind w:left="811" w:right="306"/>
              <w:jc w:val="left"/>
              <w:rPr>
                <w:rFonts w:ascii="Arial" w:hAnsi="Arial"/>
                <w:sz w:val="20"/>
              </w:rPr>
            </w:pPr>
            <w:r>
              <w:rPr>
                <w:rFonts w:ascii="Arial" w:hAnsi="Arial"/>
                <w:sz w:val="20"/>
              </w:rPr>
              <w:t>0,1 – 0,3</w:t>
            </w:r>
          </w:p>
        </w:tc>
      </w:tr>
      <w:tr>
        <w:trPr>
          <w:trHeight w:val="240" w:hRule="exact"/>
        </w:trPr>
        <w:tc>
          <w:tcPr>
            <w:tcW w:w="2376" w:type="dxa"/>
          </w:tcPr>
          <w:p>
            <w:pPr>
              <w:pStyle w:val="TableParagraph"/>
              <w:spacing w:line="227" w:lineRule="exact" w:before="0"/>
              <w:ind w:left="100" w:right="0"/>
              <w:jc w:val="left"/>
              <w:rPr>
                <w:rFonts w:ascii="Arial" w:hAnsi="Arial"/>
                <w:sz w:val="20"/>
              </w:rPr>
            </w:pPr>
            <w:r>
              <w:rPr>
                <w:rFonts w:ascii="Arial" w:hAnsi="Arial"/>
                <w:sz w:val="20"/>
              </w:rPr>
              <w:t>Mesotrófico</w:t>
            </w:r>
          </w:p>
        </w:tc>
        <w:tc>
          <w:tcPr>
            <w:tcW w:w="2268" w:type="dxa"/>
          </w:tcPr>
          <w:p>
            <w:pPr>
              <w:pStyle w:val="TableParagraph"/>
              <w:spacing w:line="227" w:lineRule="exact" w:before="0"/>
              <w:ind w:left="100" w:right="154"/>
              <w:jc w:val="left"/>
              <w:rPr>
                <w:rFonts w:ascii="Arial"/>
                <w:sz w:val="20"/>
              </w:rPr>
            </w:pPr>
            <w:r>
              <w:rPr>
                <w:rFonts w:ascii="Arial"/>
                <w:sz w:val="20"/>
              </w:rPr>
              <w:t>Alevines y engorda</w:t>
            </w:r>
          </w:p>
        </w:tc>
        <w:tc>
          <w:tcPr>
            <w:tcW w:w="2410" w:type="dxa"/>
          </w:tcPr>
          <w:p>
            <w:pPr>
              <w:pStyle w:val="TableParagraph"/>
              <w:spacing w:line="227" w:lineRule="exact" w:before="0"/>
              <w:ind w:left="811" w:right="306"/>
              <w:jc w:val="left"/>
              <w:rPr>
                <w:rFonts w:ascii="Arial" w:hAnsi="Arial"/>
                <w:sz w:val="20"/>
              </w:rPr>
            </w:pPr>
            <w:r>
              <w:rPr>
                <w:rFonts w:ascii="Arial" w:hAnsi="Arial"/>
                <w:sz w:val="20"/>
              </w:rPr>
              <w:t>0,3 – 0,5</w:t>
            </w:r>
          </w:p>
        </w:tc>
      </w:tr>
      <w:tr>
        <w:trPr>
          <w:trHeight w:val="240" w:hRule="exact"/>
        </w:trPr>
        <w:tc>
          <w:tcPr>
            <w:tcW w:w="2376" w:type="dxa"/>
          </w:tcPr>
          <w:p>
            <w:pPr>
              <w:pStyle w:val="TableParagraph"/>
              <w:spacing w:line="227" w:lineRule="exact" w:before="0"/>
              <w:ind w:left="100" w:right="0"/>
              <w:jc w:val="left"/>
              <w:rPr>
                <w:rFonts w:ascii="Arial" w:hAnsi="Arial"/>
                <w:sz w:val="20"/>
              </w:rPr>
            </w:pPr>
            <w:r>
              <w:rPr>
                <w:rFonts w:ascii="Arial" w:hAnsi="Arial"/>
                <w:sz w:val="20"/>
              </w:rPr>
              <w:t>Eutrófico</w:t>
            </w:r>
          </w:p>
        </w:tc>
        <w:tc>
          <w:tcPr>
            <w:tcW w:w="2268" w:type="dxa"/>
          </w:tcPr>
          <w:p>
            <w:pPr>
              <w:pStyle w:val="TableParagraph"/>
              <w:spacing w:line="227" w:lineRule="exact" w:before="0"/>
              <w:ind w:left="100" w:right="154"/>
              <w:jc w:val="left"/>
              <w:rPr>
                <w:rFonts w:ascii="Arial"/>
                <w:sz w:val="20"/>
              </w:rPr>
            </w:pPr>
            <w:r>
              <w:rPr>
                <w:rFonts w:ascii="Arial"/>
                <w:sz w:val="20"/>
              </w:rPr>
              <w:t>Engorda</w:t>
            </w:r>
          </w:p>
        </w:tc>
        <w:tc>
          <w:tcPr>
            <w:tcW w:w="2410" w:type="dxa"/>
          </w:tcPr>
          <w:p>
            <w:pPr>
              <w:pStyle w:val="TableParagraph"/>
              <w:spacing w:line="227" w:lineRule="exact" w:before="0"/>
              <w:ind w:left="811" w:right="306"/>
              <w:jc w:val="left"/>
              <w:rPr>
                <w:rFonts w:ascii="Arial" w:hAnsi="Arial"/>
                <w:sz w:val="20"/>
              </w:rPr>
            </w:pPr>
            <w:r>
              <w:rPr>
                <w:rFonts w:ascii="Arial" w:hAnsi="Arial"/>
                <w:sz w:val="20"/>
              </w:rPr>
              <w:t>0,5 – 1,0</w:t>
            </w:r>
          </w:p>
        </w:tc>
      </w:tr>
      <w:tr>
        <w:trPr>
          <w:trHeight w:val="470" w:hRule="exact"/>
        </w:trPr>
        <w:tc>
          <w:tcPr>
            <w:tcW w:w="2376" w:type="dxa"/>
          </w:tcPr>
          <w:p>
            <w:pPr>
              <w:pStyle w:val="TableParagraph"/>
              <w:spacing w:before="112"/>
              <w:ind w:left="100" w:right="0"/>
              <w:jc w:val="left"/>
              <w:rPr>
                <w:rFonts w:ascii="Arial" w:hAnsi="Arial"/>
                <w:sz w:val="20"/>
              </w:rPr>
            </w:pPr>
            <w:r>
              <w:rPr>
                <w:rFonts w:ascii="Arial" w:hAnsi="Arial"/>
                <w:sz w:val="20"/>
              </w:rPr>
              <w:t>Hiper – eutrófico</w:t>
            </w:r>
          </w:p>
        </w:tc>
        <w:tc>
          <w:tcPr>
            <w:tcW w:w="2268" w:type="dxa"/>
          </w:tcPr>
          <w:p>
            <w:pPr>
              <w:pStyle w:val="TableParagraph"/>
              <w:spacing w:before="0"/>
              <w:ind w:left="100" w:right="154"/>
              <w:jc w:val="left"/>
              <w:rPr>
                <w:rFonts w:ascii="Arial"/>
                <w:sz w:val="20"/>
              </w:rPr>
            </w:pPr>
            <w:r>
              <w:rPr>
                <w:rFonts w:ascii="Arial"/>
                <w:sz w:val="20"/>
              </w:rPr>
              <w:t>Engorda de especies resistentes</w:t>
            </w:r>
          </w:p>
        </w:tc>
        <w:tc>
          <w:tcPr>
            <w:tcW w:w="2410" w:type="dxa"/>
          </w:tcPr>
          <w:p>
            <w:pPr>
              <w:pStyle w:val="TableParagraph"/>
              <w:spacing w:line="227" w:lineRule="exact" w:before="0"/>
              <w:ind w:left="811" w:right="306"/>
              <w:jc w:val="left"/>
              <w:rPr>
                <w:rFonts w:ascii="Arial" w:hAnsi="Arial"/>
                <w:sz w:val="20"/>
              </w:rPr>
            </w:pPr>
            <w:r>
              <w:rPr>
                <w:rFonts w:ascii="Arial" w:hAnsi="Arial"/>
                <w:sz w:val="20"/>
              </w:rPr>
              <w:t>1,0 – 5,0</w:t>
            </w:r>
          </w:p>
        </w:tc>
      </w:tr>
      <w:tr>
        <w:trPr>
          <w:trHeight w:val="470" w:hRule="exact"/>
        </w:trPr>
        <w:tc>
          <w:tcPr>
            <w:tcW w:w="2376" w:type="dxa"/>
          </w:tcPr>
          <w:p>
            <w:pPr>
              <w:pStyle w:val="TableParagraph"/>
              <w:spacing w:before="112"/>
              <w:ind w:left="100" w:right="0"/>
              <w:jc w:val="left"/>
              <w:rPr>
                <w:rFonts w:ascii="Arial" w:hAnsi="Arial"/>
                <w:sz w:val="20"/>
              </w:rPr>
            </w:pPr>
            <w:r>
              <w:rPr>
                <w:rFonts w:ascii="Arial" w:hAnsi="Arial"/>
                <w:sz w:val="20"/>
              </w:rPr>
              <w:t>Ácido hiper - eutrófico</w:t>
            </w:r>
          </w:p>
        </w:tc>
        <w:tc>
          <w:tcPr>
            <w:tcW w:w="2268" w:type="dxa"/>
          </w:tcPr>
          <w:p>
            <w:pPr>
              <w:pStyle w:val="TableParagraph"/>
              <w:spacing w:before="0"/>
              <w:ind w:left="100" w:right="154"/>
              <w:jc w:val="left"/>
              <w:rPr>
                <w:rFonts w:ascii="Arial"/>
                <w:sz w:val="20"/>
              </w:rPr>
            </w:pPr>
            <w:r>
              <w:rPr>
                <w:rFonts w:ascii="Arial"/>
                <w:sz w:val="20"/>
              </w:rPr>
              <w:t>Engorda de especies resistentes</w:t>
            </w:r>
          </w:p>
        </w:tc>
        <w:tc>
          <w:tcPr>
            <w:tcW w:w="2410" w:type="dxa"/>
          </w:tcPr>
          <w:p>
            <w:pPr>
              <w:pStyle w:val="TableParagraph"/>
              <w:spacing w:line="227" w:lineRule="exact" w:before="0"/>
              <w:ind w:left="753" w:right="306"/>
              <w:jc w:val="left"/>
              <w:rPr>
                <w:rFonts w:ascii="Arial" w:hAnsi="Arial"/>
                <w:sz w:val="20"/>
              </w:rPr>
            </w:pPr>
            <w:r>
              <w:rPr>
                <w:rFonts w:ascii="Arial" w:hAnsi="Arial"/>
                <w:sz w:val="20"/>
              </w:rPr>
              <w:t>1,0 – 20,0</w:t>
            </w:r>
          </w:p>
        </w:tc>
      </w:tr>
    </w:tbl>
    <w:p>
      <w:pPr>
        <w:pStyle w:val="BodyText"/>
        <w:spacing w:before="9"/>
        <w:rPr>
          <w:b/>
          <w:sz w:val="10"/>
        </w:rPr>
      </w:pPr>
    </w:p>
    <w:p>
      <w:pPr>
        <w:pStyle w:val="BodyText"/>
        <w:spacing w:line="360" w:lineRule="auto" w:before="73"/>
        <w:ind w:left="781" w:right="498"/>
        <w:jc w:val="both"/>
      </w:pPr>
      <w:r>
        <w:rPr/>
        <w:t>Estos autores también proponen que para el análisis de los filtros biológicos con biopelícula fija, se deben estandarizar algunas variables, así como el lugar de muestreo  en el biofiltro. Lo anterior se realiza para poder determinar la capacidad de carga de la unidad. En la tabla 3, se muestran los parámetros y los lugares de muestreo en un experimento secuencial (batch). Una vez que se presentan estas condiciones en el experimento, se puede modelar la tasa volumétrica de transformación de nitrógeno amoniacal, mediante la ecuación</w:t>
      </w:r>
      <w:r>
        <w:rPr>
          <w:spacing w:val="-14"/>
        </w:rPr>
        <w:t> </w:t>
      </w:r>
      <w:r>
        <w:rPr/>
        <w:t>(1).</w:t>
      </w:r>
    </w:p>
    <w:p>
      <w:pPr>
        <w:pStyle w:val="BodyText"/>
        <w:spacing w:before="8"/>
        <w:rPr>
          <w:sz w:val="9"/>
        </w:rPr>
      </w:pPr>
    </w:p>
    <w:p>
      <w:pPr>
        <w:spacing w:after="0"/>
        <w:rPr>
          <w:sz w:val="9"/>
        </w:rPr>
        <w:sectPr>
          <w:pgSz w:w="12240" w:h="15840"/>
          <w:pgMar w:header="725" w:footer="1084" w:top="1340" w:bottom="1280" w:left="920" w:right="1200"/>
        </w:sectPr>
      </w:pPr>
    </w:p>
    <w:p>
      <w:pPr>
        <w:pStyle w:val="BodyText"/>
        <w:spacing w:line="203" w:lineRule="exact" w:before="257"/>
        <w:ind w:left="1170" w:right="-9"/>
        <w:rPr>
          <w:rFonts w:ascii="Cambria Math" w:hAnsi="Cambria Math"/>
        </w:rPr>
      </w:pPr>
      <w:r>
        <w:rPr>
          <w:rFonts w:ascii="Cambria Math" w:hAnsi="Cambria Math"/>
          <w:w w:val="110"/>
        </w:rPr>
        <w:t>TVNA (</w:t>
      </w:r>
      <w:r>
        <w:rPr>
          <w:rFonts w:ascii="Cambria Math" w:hAnsi="Cambria Math"/>
          <w:w w:val="110"/>
          <w:position w:val="13"/>
          <w:sz w:val="16"/>
        </w:rPr>
        <w:t>g–N</w:t>
      </w:r>
      <w:r>
        <w:rPr>
          <w:rFonts w:ascii="Cambria Math" w:hAnsi="Cambria Math"/>
          <w:w w:val="110"/>
        </w:rPr>
        <w:t>) = (CA</w:t>
      </w:r>
    </w:p>
    <w:p>
      <w:pPr>
        <w:pStyle w:val="BodyText"/>
        <w:rPr>
          <w:rFonts w:ascii="Cambria Math"/>
        </w:rPr>
      </w:pPr>
      <w:r>
        <w:rPr/>
        <w:br w:type="column"/>
      </w:r>
      <w:r>
        <w:rPr>
          <w:rFonts w:ascii="Cambria Math"/>
        </w:rPr>
      </w:r>
    </w:p>
    <w:p>
      <w:pPr>
        <w:spacing w:line="130" w:lineRule="exact" w:before="0"/>
        <w:ind w:left="180" w:right="-19" w:firstLine="0"/>
        <w:jc w:val="left"/>
        <w:rPr>
          <w:rFonts w:ascii="Cambria Math" w:hAnsi="Cambria Math"/>
          <w:sz w:val="16"/>
        </w:rPr>
      </w:pPr>
      <w:r>
        <w:rPr>
          <w:rFonts w:ascii="Cambria Math" w:hAnsi="Cambria Math"/>
          <w:w w:val="130"/>
          <w:sz w:val="16"/>
        </w:rPr>
        <w:t>g–N</w:t>
      </w:r>
    </w:p>
    <w:p>
      <w:pPr>
        <w:pStyle w:val="BodyText"/>
        <w:spacing w:line="72" w:lineRule="exact"/>
        <w:ind w:left="72"/>
        <w:rPr>
          <w:rFonts w:ascii="Cambria Math"/>
        </w:rPr>
      </w:pPr>
      <w:r>
        <w:rPr/>
        <w:pict>
          <v:line style="position:absolute;mso-position-horizontal-relative:page;mso-position-vertical-relative:paragraph;z-index:-1529368" from="207.479996pt,4.457211pt" to="224.999995pt,4.457211pt" stroked="true" strokeweight=".72pt" strokecolor="#000000">
            <w10:wrap type="none"/>
          </v:line>
        </w:pict>
      </w:r>
      <w:r>
        <w:rPr>
          <w:rFonts w:ascii="Cambria Math"/>
          <w:w w:val="118"/>
        </w:rPr>
        <w:t>(</w:t>
      </w:r>
    </w:p>
    <w:p>
      <w:pPr>
        <w:pStyle w:val="BodyText"/>
        <w:spacing w:before="2"/>
        <w:rPr>
          <w:rFonts w:ascii="Cambria Math"/>
          <w:sz w:val="28"/>
        </w:rPr>
      </w:pPr>
      <w:r>
        <w:rPr/>
        <w:br w:type="column"/>
      </w:r>
      <w:r>
        <w:rPr>
          <w:rFonts w:ascii="Cambria Math"/>
          <w:sz w:val="28"/>
        </w:rPr>
      </w:r>
    </w:p>
    <w:p>
      <w:pPr>
        <w:pStyle w:val="BodyText"/>
        <w:spacing w:line="130" w:lineRule="exact"/>
        <w:ind w:left="-37" w:right="-18"/>
        <w:rPr>
          <w:rFonts w:ascii="Cambria Math" w:hAnsi="Cambria Math"/>
        </w:rPr>
      </w:pPr>
      <w:r>
        <w:rPr>
          <w:rFonts w:ascii="Cambria Math" w:hAnsi="Cambria Math"/>
          <w:w w:val="105"/>
        </w:rPr>
        <w:t>) −</w:t>
      </w:r>
      <w:r>
        <w:rPr>
          <w:rFonts w:ascii="Cambria Math" w:hAnsi="Cambria Math"/>
          <w:spacing w:val="-7"/>
          <w:w w:val="105"/>
        </w:rPr>
        <w:t> </w:t>
      </w:r>
      <w:r>
        <w:rPr>
          <w:rFonts w:ascii="Cambria Math" w:hAnsi="Cambria Math"/>
          <w:w w:val="105"/>
        </w:rPr>
        <w:t>CA</w:t>
      </w:r>
    </w:p>
    <w:p>
      <w:pPr>
        <w:spacing w:line="159" w:lineRule="exact" w:before="78"/>
        <w:ind w:left="0" w:right="84" w:firstLine="0"/>
        <w:jc w:val="right"/>
        <w:rPr>
          <w:rFonts w:ascii="Cambria Math"/>
          <w:sz w:val="13"/>
        </w:rPr>
      </w:pPr>
      <w:r>
        <w:rPr/>
        <w:br w:type="column"/>
      </w:r>
      <w:r>
        <w:rPr>
          <w:rFonts w:ascii="Cambria Math"/>
          <w:w w:val="110"/>
          <w:position w:val="-4"/>
          <w:sz w:val="13"/>
        </w:rPr>
        <w:t>m</w:t>
      </w:r>
      <w:r>
        <w:rPr>
          <w:rFonts w:ascii="Cambria Math"/>
          <w:w w:val="110"/>
          <w:sz w:val="13"/>
        </w:rPr>
        <w:t>3</w:t>
      </w:r>
    </w:p>
    <w:p>
      <w:pPr>
        <w:tabs>
          <w:tab w:pos="755" w:val="left" w:leader="none"/>
        </w:tabs>
        <w:spacing w:line="156" w:lineRule="exact" w:before="0"/>
        <w:ind w:left="0" w:right="140" w:firstLine="0"/>
        <w:jc w:val="right"/>
        <w:rPr>
          <w:rFonts w:ascii="Cambria Math" w:hAnsi="Cambria Math"/>
          <w:sz w:val="13"/>
        </w:rPr>
      </w:pPr>
      <w:r>
        <w:rPr/>
        <w:pict>
          <v:line style="position:absolute;mso-position-horizontal-relative:page;mso-position-vertical-relative:paragraph;z-index:-1529320" from="311.880005pt,3.048551pt" to="322.560005pt,3.048551pt" stroked="true" strokeweight=".48pt" strokecolor="#000000">
            <w10:wrap type="none"/>
          </v:line>
        </w:pict>
      </w:r>
      <w:r>
        <w:rPr/>
        <w:pict>
          <v:shape style="position:absolute;margin-left:302.159912pt;margin-top:-.92677pt;width:5.6pt;height:8.0500pt;mso-position-horizontal-relative:page;mso-position-vertical-relative:paragraph;z-index:-1529296" type="#_x0000_t202" filled="false" stroked="false">
            <v:textbox inset="0,0,0,0">
              <w:txbxContent>
                <w:p>
                  <w:pPr>
                    <w:spacing w:line="161" w:lineRule="exact" w:before="0"/>
                    <w:ind w:left="0" w:right="0" w:firstLine="0"/>
                    <w:jc w:val="left"/>
                    <w:rPr>
                      <w:rFonts w:ascii="Cambria Math"/>
                      <w:sz w:val="16"/>
                    </w:rPr>
                  </w:pPr>
                  <w:r>
                    <w:rPr>
                      <w:rFonts w:ascii="Cambria Math"/>
                      <w:w w:val="107"/>
                      <w:sz w:val="16"/>
                    </w:rPr>
                    <w:t>Q</w:t>
                  </w:r>
                </w:p>
              </w:txbxContent>
            </v:textbox>
            <w10:wrap type="none"/>
          </v:shape>
        </w:pict>
      </w:r>
      <w:r>
        <w:rPr/>
        <w:pict>
          <v:shape style="position:absolute;margin-left:322.559906pt;margin-top:-.92677pt;width:4pt;height:8.0500pt;mso-position-horizontal-relative:page;mso-position-vertical-relative:paragraph;z-index:2536" type="#_x0000_t202" filled="false" stroked="false">
            <v:textbox inset="0,0,0,0">
              <w:txbxContent>
                <w:p>
                  <w:pPr>
                    <w:spacing w:line="161" w:lineRule="exact" w:before="0"/>
                    <w:ind w:left="0" w:right="0" w:firstLine="0"/>
                    <w:jc w:val="left"/>
                    <w:rPr>
                      <w:rFonts w:ascii="Cambria Math"/>
                      <w:sz w:val="16"/>
                    </w:rPr>
                  </w:pPr>
                  <w:r>
                    <w:rPr>
                      <w:rFonts w:ascii="Cambria Math"/>
                      <w:w w:val="119"/>
                      <w:sz w:val="16"/>
                    </w:rPr>
                    <w:t>)</w:t>
                  </w:r>
                </w:p>
              </w:txbxContent>
            </v:textbox>
            <w10:wrap type="none"/>
          </v:shape>
        </w:pict>
      </w:r>
      <w:r>
        <w:rPr>
          <w:rFonts w:ascii="Cambria Math" w:hAnsi="Cambria Math"/>
          <w:w w:val="125"/>
          <w:position w:val="1"/>
          <w:sz w:val="16"/>
        </w:rPr>
        <w:t>g–N</w:t>
        <w:tab/>
      </w:r>
      <w:r>
        <w:rPr>
          <w:rFonts w:ascii="Cambria Math" w:hAnsi="Cambria Math"/>
          <w:w w:val="125"/>
          <w:position w:val="8"/>
          <w:sz w:val="16"/>
        </w:rPr>
        <w:t>(</w:t>
      </w:r>
      <w:r>
        <w:rPr>
          <w:rFonts w:ascii="Cambria Math" w:hAnsi="Cambria Math"/>
          <w:spacing w:val="11"/>
          <w:w w:val="125"/>
          <w:position w:val="8"/>
          <w:sz w:val="16"/>
        </w:rPr>
        <w:t> </w:t>
      </w:r>
      <w:r>
        <w:rPr>
          <w:rFonts w:ascii="Cambria Math" w:hAnsi="Cambria Math"/>
          <w:w w:val="125"/>
          <w:sz w:val="13"/>
        </w:rPr>
        <w:t>d</w:t>
      </w:r>
    </w:p>
    <w:p>
      <w:pPr>
        <w:pStyle w:val="BodyText"/>
        <w:tabs>
          <w:tab w:pos="573" w:val="left" w:leader="none"/>
        </w:tabs>
        <w:spacing w:line="68" w:lineRule="exact"/>
        <w:ind w:left="113"/>
        <w:rPr>
          <w:rFonts w:ascii="Cambria Math"/>
        </w:rPr>
      </w:pPr>
      <w:r>
        <w:rPr>
          <w:rFonts w:ascii="Cambria Math"/>
          <w:w w:val="120"/>
        </w:rPr>
        <w:t>(</w:t>
        <w:tab/>
        <w:t>))</w:t>
      </w:r>
    </w:p>
    <w:p>
      <w:pPr>
        <w:pStyle w:val="BodyText"/>
        <w:spacing w:before="5"/>
        <w:rPr>
          <w:rFonts w:ascii="Cambria Math"/>
          <w:sz w:val="28"/>
        </w:rPr>
      </w:pPr>
      <w:r>
        <w:rPr/>
        <w:br w:type="column"/>
      </w:r>
      <w:r>
        <w:rPr>
          <w:rFonts w:ascii="Cambria Math"/>
          <w:sz w:val="28"/>
        </w:rPr>
      </w:r>
    </w:p>
    <w:p>
      <w:pPr>
        <w:pStyle w:val="BodyText"/>
        <w:spacing w:line="127" w:lineRule="exact"/>
        <w:ind w:left="1150" w:right="871"/>
        <w:jc w:val="center"/>
      </w:pPr>
      <w:r>
        <w:rPr/>
        <w:t>(1)</w:t>
      </w:r>
    </w:p>
    <w:p>
      <w:pPr>
        <w:spacing w:after="0" w:line="127" w:lineRule="exact"/>
        <w:jc w:val="center"/>
        <w:sectPr>
          <w:type w:val="continuous"/>
          <w:pgSz w:w="12240" w:h="15840"/>
          <w:pgMar w:top="0" w:bottom="0" w:left="920" w:right="1200"/>
          <w:cols w:num="5" w:equalWidth="0">
            <w:col w:w="3010" w:space="40"/>
            <w:col w:w="530" w:space="40"/>
            <w:col w:w="603" w:space="40"/>
            <w:col w:w="1350" w:space="2177"/>
            <w:col w:w="2330"/>
          </w:cols>
        </w:sectPr>
      </w:pPr>
    </w:p>
    <w:p>
      <w:pPr>
        <w:spacing w:before="16"/>
        <w:ind w:left="0" w:right="0" w:firstLine="0"/>
        <w:jc w:val="right"/>
        <w:rPr>
          <w:rFonts w:ascii="Cambria Math"/>
          <w:sz w:val="16"/>
        </w:rPr>
      </w:pPr>
      <w:r>
        <w:rPr/>
        <w:pict>
          <v:line style="position:absolute;mso-position-horizontal-relative:page;mso-position-vertical-relative:paragraph;z-index:-1529392" from="140.279999pt,.836084pt" to="157.799998pt,.836084pt" stroked="true" strokeweight=".72pt" strokecolor="#000000">
            <w10:wrap type="none"/>
          </v:line>
        </w:pict>
      </w:r>
      <w:r>
        <w:rPr>
          <w:rFonts w:ascii="Cambria Math"/>
          <w:w w:val="110"/>
          <w:sz w:val="16"/>
        </w:rPr>
        <w:t>m</w:t>
      </w:r>
      <w:r>
        <w:rPr>
          <w:rFonts w:ascii="Cambria Math"/>
          <w:w w:val="110"/>
          <w:position w:val="5"/>
          <w:sz w:val="13"/>
        </w:rPr>
        <w:t>3</w:t>
      </w:r>
      <w:r>
        <w:rPr>
          <w:rFonts w:ascii="Cambria Math"/>
          <w:w w:val="110"/>
          <w:sz w:val="16"/>
        </w:rPr>
        <w:t>d</w:t>
      </w:r>
    </w:p>
    <w:p>
      <w:pPr>
        <w:tabs>
          <w:tab w:pos="1018" w:val="left" w:leader="none"/>
        </w:tabs>
        <w:spacing w:line="227" w:lineRule="exact" w:before="0"/>
        <w:ind w:left="740" w:right="0" w:firstLine="0"/>
        <w:jc w:val="left"/>
        <w:rPr>
          <w:rFonts w:ascii="Cambria Math"/>
          <w:sz w:val="13"/>
        </w:rPr>
      </w:pPr>
      <w:r>
        <w:rPr/>
        <w:br w:type="column"/>
      </w:r>
      <w:r>
        <w:rPr>
          <w:rFonts w:ascii="Cambria Math"/>
          <w:w w:val="115"/>
          <w:position w:val="2"/>
          <w:sz w:val="16"/>
        </w:rPr>
        <w:t>I</w:t>
        <w:tab/>
      </w:r>
      <w:r>
        <w:rPr>
          <w:rFonts w:ascii="Cambria Math"/>
          <w:w w:val="110"/>
          <w:position w:val="-4"/>
          <w:sz w:val="16"/>
        </w:rPr>
        <w:t>m</w:t>
      </w:r>
      <w:r>
        <w:rPr>
          <w:rFonts w:ascii="Cambria Math"/>
          <w:w w:val="110"/>
          <w:sz w:val="13"/>
        </w:rPr>
        <w:t>3</w:t>
      </w:r>
    </w:p>
    <w:p>
      <w:pPr>
        <w:tabs>
          <w:tab w:pos="982" w:val="left" w:leader="none"/>
        </w:tabs>
        <w:spacing w:line="227" w:lineRule="exact" w:before="0"/>
        <w:ind w:left="663" w:right="0" w:firstLine="0"/>
        <w:jc w:val="left"/>
        <w:rPr>
          <w:rFonts w:ascii="Cambria Math"/>
          <w:sz w:val="13"/>
        </w:rPr>
      </w:pPr>
      <w:r>
        <w:rPr/>
        <w:br w:type="column"/>
      </w:r>
      <w:r>
        <w:rPr>
          <w:rFonts w:ascii="Cambria Math"/>
          <w:w w:val="110"/>
          <w:position w:val="2"/>
          <w:sz w:val="16"/>
        </w:rPr>
        <w:t>E</w:t>
        <w:tab/>
      </w:r>
      <w:r>
        <w:rPr>
          <w:rFonts w:ascii="Cambria Math"/>
          <w:w w:val="110"/>
          <w:position w:val="-4"/>
          <w:sz w:val="16"/>
        </w:rPr>
        <w:t>m</w:t>
      </w:r>
      <w:r>
        <w:rPr>
          <w:rFonts w:ascii="Cambria Math"/>
          <w:w w:val="110"/>
          <w:sz w:val="13"/>
        </w:rPr>
        <w:t>3</w:t>
      </w:r>
    </w:p>
    <w:p>
      <w:pPr>
        <w:pStyle w:val="BodyText"/>
        <w:spacing w:line="20" w:lineRule="exact"/>
        <w:ind w:left="266"/>
        <w:rPr>
          <w:rFonts w:ascii="Cambria Math"/>
          <w:sz w:val="2"/>
        </w:rPr>
      </w:pPr>
      <w:r>
        <w:rPr/>
        <w:br w:type="column"/>
      </w:r>
      <w:r>
        <w:rPr>
          <w:rFonts w:ascii="Cambria Math"/>
          <w:sz w:val="2"/>
        </w:rPr>
        <w:pict>
          <v:group style="width:28.95pt;height:.75pt;mso-position-horizontal-relative:char;mso-position-vertical-relative:line" coordorigin="0,0" coordsize="579,15">
            <v:line style="position:absolute" from="8,8" to="571,8" stroked="true" strokeweight=".72pt" strokecolor="#000000"/>
          </v:group>
        </w:pict>
      </w:r>
      <w:r>
        <w:rPr>
          <w:rFonts w:ascii="Cambria Math"/>
          <w:sz w:val="2"/>
        </w:rPr>
      </w:r>
    </w:p>
    <w:p>
      <w:pPr>
        <w:spacing w:before="0"/>
        <w:ind w:left="274" w:right="0" w:firstLine="0"/>
        <w:jc w:val="left"/>
        <w:rPr>
          <w:rFonts w:ascii="Cambria Math"/>
          <w:sz w:val="16"/>
        </w:rPr>
      </w:pPr>
      <w:r>
        <w:rPr/>
        <w:pict>
          <v:line style="position:absolute;mso-position-horizontal-relative:page;mso-position-vertical-relative:paragraph;z-index:-1529344" from="270.119995pt,.036084pt" to="287.639995pt,.036084pt" stroked="true" strokeweight=".72pt" strokecolor="#000000">
            <w10:wrap type="none"/>
          </v:line>
        </w:pict>
      </w:r>
      <w:r>
        <w:rPr>
          <w:rFonts w:ascii="Cambria Math"/>
          <w:w w:val="110"/>
          <w:sz w:val="16"/>
        </w:rPr>
        <w:t>V</w:t>
      </w:r>
      <w:r>
        <w:rPr>
          <w:rFonts w:ascii="Cambria Math"/>
          <w:w w:val="110"/>
          <w:position w:val="-2"/>
          <w:sz w:val="13"/>
        </w:rPr>
        <w:t>b</w:t>
      </w:r>
      <w:r>
        <w:rPr>
          <w:rFonts w:ascii="Cambria Math"/>
          <w:w w:val="110"/>
          <w:position w:val="1"/>
          <w:sz w:val="16"/>
        </w:rPr>
        <w:t>(</w:t>
      </w:r>
      <w:r>
        <w:rPr>
          <w:rFonts w:ascii="Cambria Math"/>
          <w:w w:val="110"/>
          <w:sz w:val="16"/>
        </w:rPr>
        <w:t>m</w:t>
      </w:r>
      <w:r>
        <w:rPr>
          <w:rFonts w:ascii="Cambria Math"/>
          <w:w w:val="110"/>
          <w:position w:val="5"/>
          <w:sz w:val="13"/>
        </w:rPr>
        <w:t>3</w:t>
      </w:r>
      <w:r>
        <w:rPr>
          <w:rFonts w:ascii="Cambria Math"/>
          <w:w w:val="110"/>
          <w:position w:val="1"/>
          <w:sz w:val="16"/>
        </w:rPr>
        <w:t>)</w:t>
      </w:r>
    </w:p>
    <w:p>
      <w:pPr>
        <w:spacing w:after="0"/>
        <w:jc w:val="left"/>
        <w:rPr>
          <w:rFonts w:ascii="Cambria Math"/>
          <w:sz w:val="16"/>
        </w:rPr>
        <w:sectPr>
          <w:type w:val="continuous"/>
          <w:pgSz w:w="12240" w:h="15840"/>
          <w:pgMar w:top="0" w:bottom="0" w:left="920" w:right="1200"/>
          <w:cols w:num="4" w:equalWidth="0">
            <w:col w:w="2229" w:space="40"/>
            <w:col w:w="1250" w:space="40"/>
            <w:col w:w="1213" w:space="40"/>
            <w:col w:w="5308"/>
          </w:cols>
        </w:sectPr>
      </w:pPr>
    </w:p>
    <w:p>
      <w:pPr>
        <w:pStyle w:val="BodyText"/>
        <w:spacing w:before="5"/>
        <w:rPr>
          <w:rFonts w:ascii="Cambria Math"/>
          <w:sz w:val="20"/>
        </w:rPr>
      </w:pPr>
    </w:p>
    <w:p>
      <w:pPr>
        <w:spacing w:line="206" w:lineRule="exact" w:before="101"/>
        <w:ind w:left="781" w:right="484" w:firstLine="0"/>
        <w:jc w:val="left"/>
        <w:rPr>
          <w:sz w:val="18"/>
        </w:rPr>
      </w:pPr>
      <w:r>
        <w:rPr>
          <w:position w:val="2"/>
          <w:sz w:val="18"/>
        </w:rPr>
        <w:t>Donde: TVNA = Tasa volumétrica de remoción de nitrógeno amoniacal; CA</w:t>
      </w:r>
      <w:r>
        <w:rPr>
          <w:sz w:val="12"/>
        </w:rPr>
        <w:t>I </w:t>
      </w:r>
      <w:r>
        <w:rPr>
          <w:position w:val="2"/>
          <w:sz w:val="18"/>
        </w:rPr>
        <w:t>= Concentración de nitrógeno amoniacal a la salida del reservorio; CA</w:t>
      </w:r>
      <w:r>
        <w:rPr>
          <w:sz w:val="12"/>
        </w:rPr>
        <w:t>E </w:t>
      </w:r>
      <w:r>
        <w:rPr>
          <w:position w:val="2"/>
          <w:sz w:val="18"/>
        </w:rPr>
        <w:t>= Concentración de nitrógeno amoniacal en el efluente del biofiltro; Q</w:t>
      </w:r>
    </w:p>
    <w:p>
      <w:pPr>
        <w:spacing w:line="191" w:lineRule="exact" w:before="0"/>
        <w:ind w:left="781" w:right="2707" w:firstLine="0"/>
        <w:jc w:val="left"/>
        <w:rPr>
          <w:sz w:val="18"/>
        </w:rPr>
      </w:pPr>
      <w:r>
        <w:rPr>
          <w:position w:val="2"/>
          <w:sz w:val="18"/>
        </w:rPr>
        <w:t>= Caudal que pasa a través del biofiltro y V</w:t>
      </w:r>
      <w:r>
        <w:rPr>
          <w:sz w:val="12"/>
        </w:rPr>
        <w:t>b </w:t>
      </w:r>
      <w:r>
        <w:rPr>
          <w:position w:val="2"/>
          <w:sz w:val="18"/>
        </w:rPr>
        <w:t>= Volumen de empaque en el biofiltro.</w:t>
      </w:r>
    </w:p>
    <w:p>
      <w:pPr>
        <w:pStyle w:val="BodyText"/>
        <w:rPr>
          <w:sz w:val="18"/>
        </w:rPr>
      </w:pPr>
    </w:p>
    <w:p>
      <w:pPr>
        <w:pStyle w:val="BodyText"/>
        <w:spacing w:before="11"/>
        <w:rPr>
          <w:sz w:val="19"/>
        </w:rPr>
      </w:pPr>
    </w:p>
    <w:p>
      <w:pPr>
        <w:spacing w:before="0"/>
        <w:ind w:left="868" w:right="587" w:firstLine="0"/>
        <w:jc w:val="center"/>
        <w:rPr>
          <w:b/>
          <w:sz w:val="18"/>
        </w:rPr>
      </w:pPr>
      <w:r>
        <w:rPr>
          <w:b/>
          <w:sz w:val="18"/>
        </w:rPr>
        <w:t>Tabla 3. Rangos permitidos para los parámetros y lugares de muestreo para el análisis de biofiltros (Malone y Pfeiffer, 2006)</w:t>
      </w:r>
    </w:p>
    <w:p>
      <w:pPr>
        <w:pStyle w:val="BodyText"/>
        <w:spacing w:before="10"/>
        <w:rPr>
          <w:b/>
          <w:sz w:val="10"/>
        </w:rPr>
      </w:pPr>
    </w:p>
    <w:tbl>
      <w:tblPr>
        <w:tblW w:w="0" w:type="auto"/>
        <w:jc w:val="left"/>
        <w:tblInd w:w="1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62"/>
        <w:gridCol w:w="1322"/>
        <w:gridCol w:w="1322"/>
        <w:gridCol w:w="2126"/>
      </w:tblGrid>
      <w:tr>
        <w:trPr>
          <w:trHeight w:val="240" w:hRule="exact"/>
        </w:trPr>
        <w:tc>
          <w:tcPr>
            <w:tcW w:w="2362" w:type="dxa"/>
            <w:vMerge w:val="restart"/>
          </w:tcPr>
          <w:p>
            <w:pPr>
              <w:pStyle w:val="TableParagraph"/>
              <w:spacing w:before="117"/>
              <w:ind w:left="679" w:right="0"/>
              <w:jc w:val="left"/>
              <w:rPr>
                <w:rFonts w:ascii="Arial" w:hAnsi="Arial"/>
                <w:b/>
                <w:sz w:val="20"/>
              </w:rPr>
            </w:pPr>
            <w:r>
              <w:rPr>
                <w:rFonts w:ascii="Arial" w:hAnsi="Arial"/>
                <w:b/>
                <w:sz w:val="20"/>
              </w:rPr>
              <w:t>Parámetro</w:t>
            </w:r>
          </w:p>
        </w:tc>
        <w:tc>
          <w:tcPr>
            <w:tcW w:w="1322" w:type="dxa"/>
            <w:vMerge w:val="restart"/>
          </w:tcPr>
          <w:p>
            <w:pPr>
              <w:pStyle w:val="TableParagraph"/>
              <w:spacing w:before="117"/>
              <w:ind w:left="203" w:right="146"/>
              <w:jc w:val="left"/>
              <w:rPr>
                <w:rFonts w:ascii="Arial"/>
                <w:b/>
                <w:sz w:val="20"/>
              </w:rPr>
            </w:pPr>
            <w:r>
              <w:rPr>
                <w:rFonts w:ascii="Arial"/>
                <w:b/>
                <w:sz w:val="20"/>
              </w:rPr>
              <w:t>Unidades</w:t>
            </w:r>
          </w:p>
        </w:tc>
        <w:tc>
          <w:tcPr>
            <w:tcW w:w="3449" w:type="dxa"/>
            <w:gridSpan w:val="2"/>
          </w:tcPr>
          <w:p>
            <w:pPr>
              <w:pStyle w:val="TableParagraph"/>
              <w:spacing w:line="227" w:lineRule="exact" w:before="0"/>
              <w:ind w:left="1420" w:right="1422"/>
              <w:jc w:val="center"/>
              <w:rPr>
                <w:rFonts w:ascii="Arial"/>
                <w:b/>
                <w:sz w:val="20"/>
              </w:rPr>
            </w:pPr>
            <w:r>
              <w:rPr>
                <w:rFonts w:ascii="Arial"/>
                <w:b/>
                <w:sz w:val="20"/>
              </w:rPr>
              <w:t>Lugar</w:t>
            </w:r>
          </w:p>
        </w:tc>
      </w:tr>
      <w:tr>
        <w:trPr>
          <w:trHeight w:val="240" w:hRule="exact"/>
        </w:trPr>
        <w:tc>
          <w:tcPr>
            <w:tcW w:w="2362" w:type="dxa"/>
            <w:vMerge/>
          </w:tcPr>
          <w:p>
            <w:pPr/>
          </w:p>
        </w:tc>
        <w:tc>
          <w:tcPr>
            <w:tcW w:w="1322" w:type="dxa"/>
            <w:vMerge/>
          </w:tcPr>
          <w:p>
            <w:pPr/>
          </w:p>
        </w:tc>
        <w:tc>
          <w:tcPr>
            <w:tcW w:w="1322" w:type="dxa"/>
          </w:tcPr>
          <w:p>
            <w:pPr>
              <w:pStyle w:val="TableParagraph"/>
              <w:spacing w:line="227" w:lineRule="exact" w:before="0"/>
              <w:ind w:left="83" w:right="144"/>
              <w:jc w:val="center"/>
              <w:rPr>
                <w:rFonts w:ascii="Arial"/>
                <w:b/>
                <w:sz w:val="20"/>
              </w:rPr>
            </w:pPr>
            <w:r>
              <w:rPr>
                <w:rFonts w:ascii="Arial"/>
                <w:b/>
                <w:sz w:val="20"/>
              </w:rPr>
              <w:t>Reservorio</w:t>
            </w:r>
          </w:p>
        </w:tc>
        <w:tc>
          <w:tcPr>
            <w:tcW w:w="2126" w:type="dxa"/>
          </w:tcPr>
          <w:p>
            <w:pPr>
              <w:pStyle w:val="TableParagraph"/>
              <w:spacing w:line="227" w:lineRule="exact" w:before="0"/>
              <w:ind w:left="83" w:right="115"/>
              <w:jc w:val="center"/>
              <w:rPr>
                <w:rFonts w:ascii="Arial"/>
                <w:b/>
                <w:sz w:val="20"/>
              </w:rPr>
            </w:pPr>
            <w:r>
              <w:rPr>
                <w:rFonts w:ascii="Arial"/>
                <w:b/>
                <w:sz w:val="20"/>
              </w:rPr>
              <w:t>Efluente de biofiltro</w:t>
            </w:r>
          </w:p>
        </w:tc>
      </w:tr>
      <w:tr>
        <w:trPr>
          <w:trHeight w:val="254" w:hRule="exact"/>
        </w:trPr>
        <w:tc>
          <w:tcPr>
            <w:tcW w:w="2362" w:type="dxa"/>
          </w:tcPr>
          <w:p>
            <w:pPr>
              <w:pStyle w:val="TableParagraph"/>
              <w:spacing w:line="230" w:lineRule="exact" w:before="0"/>
              <w:ind w:left="100" w:right="0"/>
              <w:jc w:val="left"/>
              <w:rPr>
                <w:rFonts w:ascii="Arial"/>
                <w:sz w:val="20"/>
              </w:rPr>
            </w:pPr>
            <w:r>
              <w:rPr>
                <w:rFonts w:ascii="Arial"/>
                <w:sz w:val="20"/>
              </w:rPr>
              <w:t>Temperatura</w:t>
            </w:r>
          </w:p>
        </w:tc>
        <w:tc>
          <w:tcPr>
            <w:tcW w:w="1322" w:type="dxa"/>
          </w:tcPr>
          <w:p>
            <w:pPr>
              <w:pStyle w:val="TableParagraph"/>
              <w:spacing w:before="1"/>
              <w:ind w:left="83" w:right="88"/>
              <w:jc w:val="center"/>
              <w:rPr>
                <w:rFonts w:ascii="Arial" w:hAnsi="Arial"/>
                <w:sz w:val="20"/>
              </w:rPr>
            </w:pPr>
            <w:r>
              <w:rPr>
                <w:sz w:val="20"/>
              </w:rPr>
              <w:t>⁰</w:t>
            </w:r>
            <w:r>
              <w:rPr>
                <w:rFonts w:ascii="Arial" w:hAnsi="Arial"/>
                <w:sz w:val="20"/>
              </w:rPr>
              <w:t>C</w:t>
            </w:r>
          </w:p>
        </w:tc>
        <w:tc>
          <w:tcPr>
            <w:tcW w:w="1322" w:type="dxa"/>
          </w:tcPr>
          <w:p>
            <w:pPr>
              <w:pStyle w:val="TableParagraph"/>
              <w:spacing w:before="4"/>
              <w:ind w:left="83" w:right="84"/>
              <w:jc w:val="center"/>
              <w:rPr>
                <w:rFonts w:ascii="Arial" w:hAnsi="Arial"/>
                <w:sz w:val="20"/>
              </w:rPr>
            </w:pPr>
            <w:r>
              <w:rPr>
                <w:rFonts w:ascii="Arial" w:hAnsi="Arial"/>
                <w:sz w:val="20"/>
              </w:rPr>
              <w:t>20 ± 0,5</w:t>
            </w:r>
          </w:p>
        </w:tc>
        <w:tc>
          <w:tcPr>
            <w:tcW w:w="2126" w:type="dxa"/>
          </w:tcPr>
          <w:p>
            <w:pPr>
              <w:pStyle w:val="TableParagraph"/>
              <w:spacing w:before="4"/>
              <w:ind w:left="83" w:right="85"/>
              <w:jc w:val="center"/>
              <w:rPr>
                <w:rFonts w:ascii="Arial" w:hAnsi="Arial"/>
                <w:sz w:val="20"/>
              </w:rPr>
            </w:pPr>
            <w:r>
              <w:rPr>
                <w:rFonts w:ascii="Arial" w:hAnsi="Arial"/>
                <w:sz w:val="20"/>
              </w:rPr>
              <w:t>20 ± 0,5</w:t>
            </w:r>
          </w:p>
        </w:tc>
      </w:tr>
      <w:tr>
        <w:trPr>
          <w:trHeight w:val="240" w:hRule="exact"/>
        </w:trPr>
        <w:tc>
          <w:tcPr>
            <w:tcW w:w="2362" w:type="dxa"/>
          </w:tcPr>
          <w:p>
            <w:pPr>
              <w:pStyle w:val="TableParagraph"/>
              <w:spacing w:line="227" w:lineRule="exact" w:before="0"/>
              <w:ind w:left="100" w:right="0"/>
              <w:jc w:val="left"/>
              <w:rPr>
                <w:rFonts w:ascii="Arial" w:hAnsi="Arial"/>
                <w:sz w:val="20"/>
              </w:rPr>
            </w:pPr>
            <w:r>
              <w:rPr>
                <w:rFonts w:ascii="Arial" w:hAnsi="Arial"/>
                <w:sz w:val="20"/>
              </w:rPr>
              <w:t>Oxígeno disuelto</w:t>
            </w:r>
          </w:p>
        </w:tc>
        <w:tc>
          <w:tcPr>
            <w:tcW w:w="1322" w:type="dxa"/>
          </w:tcPr>
          <w:p>
            <w:pPr>
              <w:pStyle w:val="TableParagraph"/>
              <w:spacing w:line="227" w:lineRule="exact" w:before="0"/>
              <w:ind w:left="83" w:right="83"/>
              <w:jc w:val="center"/>
              <w:rPr>
                <w:rFonts w:ascii="Arial"/>
                <w:sz w:val="20"/>
              </w:rPr>
            </w:pPr>
            <w:r>
              <w:rPr>
                <w:rFonts w:ascii="Arial"/>
                <w:sz w:val="20"/>
              </w:rPr>
              <w:t>mg/L</w:t>
            </w:r>
          </w:p>
        </w:tc>
        <w:tc>
          <w:tcPr>
            <w:tcW w:w="1322" w:type="dxa"/>
          </w:tcPr>
          <w:p>
            <w:pPr>
              <w:pStyle w:val="TableParagraph"/>
              <w:spacing w:line="227" w:lineRule="exact" w:before="0"/>
              <w:ind w:left="83" w:right="85"/>
              <w:jc w:val="center"/>
              <w:rPr>
                <w:rFonts w:ascii="Arial"/>
                <w:sz w:val="20"/>
              </w:rPr>
            </w:pPr>
            <w:r>
              <w:rPr>
                <w:rFonts w:ascii="Arial"/>
                <w:sz w:val="20"/>
              </w:rPr>
              <w:t>&gt; 5,0</w:t>
            </w:r>
          </w:p>
        </w:tc>
        <w:tc>
          <w:tcPr>
            <w:tcW w:w="2126" w:type="dxa"/>
          </w:tcPr>
          <w:p>
            <w:pPr>
              <w:pStyle w:val="TableParagraph"/>
              <w:spacing w:line="227" w:lineRule="exact" w:before="0"/>
              <w:ind w:left="83" w:right="83"/>
              <w:jc w:val="center"/>
              <w:rPr>
                <w:rFonts w:ascii="Arial"/>
                <w:sz w:val="20"/>
              </w:rPr>
            </w:pPr>
            <w:r>
              <w:rPr>
                <w:rFonts w:ascii="Arial"/>
                <w:sz w:val="20"/>
              </w:rPr>
              <w:t>&gt; 3,0</w:t>
            </w:r>
          </w:p>
        </w:tc>
      </w:tr>
      <w:tr>
        <w:trPr>
          <w:trHeight w:val="470" w:hRule="exact"/>
        </w:trPr>
        <w:tc>
          <w:tcPr>
            <w:tcW w:w="2362" w:type="dxa"/>
          </w:tcPr>
          <w:p>
            <w:pPr>
              <w:pStyle w:val="TableParagraph"/>
              <w:spacing w:line="227" w:lineRule="exact" w:before="0"/>
              <w:ind w:left="100" w:right="0"/>
              <w:jc w:val="left"/>
              <w:rPr>
                <w:rFonts w:ascii="Arial" w:hAnsi="Arial"/>
                <w:sz w:val="20"/>
              </w:rPr>
            </w:pPr>
            <w:r>
              <w:rPr>
                <w:rFonts w:ascii="Arial" w:hAnsi="Arial"/>
                <w:sz w:val="20"/>
              </w:rPr>
              <w:t>Alcalinidad (estándar)</w:t>
            </w:r>
          </w:p>
        </w:tc>
        <w:tc>
          <w:tcPr>
            <w:tcW w:w="1322" w:type="dxa"/>
          </w:tcPr>
          <w:p>
            <w:pPr>
              <w:pStyle w:val="TableParagraph"/>
              <w:spacing w:before="0"/>
              <w:ind w:left="338" w:right="146" w:hanging="181"/>
              <w:jc w:val="left"/>
              <w:rPr>
                <w:rFonts w:ascii="Arial"/>
                <w:sz w:val="13"/>
              </w:rPr>
            </w:pPr>
            <w:r>
              <w:rPr>
                <w:rFonts w:ascii="Arial"/>
                <w:sz w:val="20"/>
              </w:rPr>
              <w:t>mg/L como CaCO</w:t>
            </w:r>
            <w:r>
              <w:rPr>
                <w:rFonts w:ascii="Arial"/>
                <w:position w:val="-2"/>
                <w:sz w:val="13"/>
              </w:rPr>
              <w:t>3</w:t>
            </w:r>
          </w:p>
        </w:tc>
        <w:tc>
          <w:tcPr>
            <w:tcW w:w="1322" w:type="dxa"/>
          </w:tcPr>
          <w:p>
            <w:pPr>
              <w:pStyle w:val="TableParagraph"/>
              <w:spacing w:before="112"/>
              <w:ind w:left="83" w:right="83"/>
              <w:jc w:val="center"/>
              <w:rPr>
                <w:rFonts w:ascii="Arial"/>
                <w:sz w:val="20"/>
              </w:rPr>
            </w:pPr>
            <w:r>
              <w:rPr>
                <w:rFonts w:ascii="Arial"/>
                <w:sz w:val="20"/>
              </w:rPr>
              <w:t>150</w:t>
            </w:r>
          </w:p>
        </w:tc>
        <w:tc>
          <w:tcPr>
            <w:tcW w:w="2126" w:type="dxa"/>
          </w:tcPr>
          <w:p>
            <w:pPr/>
          </w:p>
        </w:tc>
      </w:tr>
      <w:tr>
        <w:trPr>
          <w:trHeight w:val="240" w:hRule="exact"/>
        </w:trPr>
        <w:tc>
          <w:tcPr>
            <w:tcW w:w="2362" w:type="dxa"/>
          </w:tcPr>
          <w:p>
            <w:pPr>
              <w:pStyle w:val="TableParagraph"/>
              <w:spacing w:line="227" w:lineRule="exact" w:before="0"/>
              <w:ind w:left="100" w:right="0"/>
              <w:jc w:val="left"/>
              <w:rPr>
                <w:rFonts w:ascii="Arial"/>
                <w:sz w:val="20"/>
              </w:rPr>
            </w:pPr>
            <w:r>
              <w:rPr>
                <w:rFonts w:ascii="Arial"/>
                <w:sz w:val="20"/>
              </w:rPr>
              <w:t>pH</w:t>
            </w:r>
          </w:p>
        </w:tc>
        <w:tc>
          <w:tcPr>
            <w:tcW w:w="1322" w:type="dxa"/>
          </w:tcPr>
          <w:p>
            <w:pPr/>
          </w:p>
        </w:tc>
        <w:tc>
          <w:tcPr>
            <w:tcW w:w="1322" w:type="dxa"/>
          </w:tcPr>
          <w:p>
            <w:pPr>
              <w:pStyle w:val="TableParagraph"/>
              <w:spacing w:line="227" w:lineRule="exact" w:before="0"/>
              <w:ind w:left="83" w:right="85"/>
              <w:jc w:val="center"/>
              <w:rPr>
                <w:rFonts w:ascii="Arial" w:hAnsi="Arial"/>
                <w:sz w:val="20"/>
              </w:rPr>
            </w:pPr>
            <w:r>
              <w:rPr>
                <w:rFonts w:ascii="Arial" w:hAnsi="Arial"/>
                <w:sz w:val="20"/>
              </w:rPr>
              <w:t>7,7 ± 0,1</w:t>
            </w:r>
          </w:p>
        </w:tc>
        <w:tc>
          <w:tcPr>
            <w:tcW w:w="2126" w:type="dxa"/>
          </w:tcPr>
          <w:p>
            <w:pPr/>
          </w:p>
        </w:tc>
      </w:tr>
    </w:tbl>
    <w:p>
      <w:pPr>
        <w:pStyle w:val="BodyText"/>
        <w:spacing w:before="9"/>
        <w:rPr>
          <w:b/>
          <w:sz w:val="10"/>
        </w:rPr>
      </w:pPr>
    </w:p>
    <w:p>
      <w:pPr>
        <w:pStyle w:val="BodyText"/>
        <w:spacing w:line="360" w:lineRule="auto" w:before="73"/>
        <w:ind w:left="781" w:right="497"/>
        <w:jc w:val="both"/>
      </w:pPr>
      <w:r>
        <w:rPr/>
        <w:t>Una tercera propuesta, está ligada con la anterior. Drennan </w:t>
      </w:r>
      <w:r>
        <w:rPr>
          <w:i/>
        </w:rPr>
        <w:t>et al</w:t>
      </w:r>
      <w:r>
        <w:rPr/>
        <w:t>. (2006) estandarizan la calidad del agua para cada nivel trófico (tabla 4) y proponen que cada biofiltro analizado presente una gráfica donde se correlacione la concentración de nitrógeno amoniacal en el influente del biofiltro y la tasa volumétrica de remoción de nitrógeno amoniacal, es decir, se muestre el modelo matemático de la capacidad de carga del</w:t>
      </w:r>
      <w:r>
        <w:rPr>
          <w:spacing w:val="-26"/>
        </w:rPr>
        <w:t> </w:t>
      </w:r>
      <w:r>
        <w:rPr/>
        <w:t>biofiltro.</w:t>
      </w:r>
    </w:p>
    <w:p>
      <w:pPr>
        <w:spacing w:after="0" w:line="360" w:lineRule="auto"/>
        <w:jc w:val="both"/>
        <w:sectPr>
          <w:type w:val="continuous"/>
          <w:pgSz w:w="12240" w:h="15840"/>
          <w:pgMar w:top="0" w:bottom="0" w:left="920" w:right="1200"/>
        </w:sectPr>
      </w:pPr>
    </w:p>
    <w:p>
      <w:pPr>
        <w:pStyle w:val="BodyText"/>
        <w:spacing w:before="10"/>
        <w:rPr>
          <w:sz w:val="14"/>
        </w:rPr>
      </w:pPr>
    </w:p>
    <w:p>
      <w:pPr>
        <w:spacing w:before="0"/>
        <w:ind w:left="1448" w:right="948" w:firstLine="0"/>
        <w:jc w:val="left"/>
        <w:rPr>
          <w:b/>
          <w:sz w:val="18"/>
        </w:rPr>
      </w:pPr>
      <w:r>
        <w:rPr>
          <w:b/>
          <w:sz w:val="18"/>
        </w:rPr>
        <w:t>Tabla 4. Calidad del agua dependiendo del nivel trófico del cultivo (Drennan </w:t>
      </w:r>
      <w:r>
        <w:rPr>
          <w:b/>
          <w:i/>
          <w:sz w:val="18"/>
        </w:rPr>
        <w:t>et al</w:t>
      </w:r>
      <w:r>
        <w:rPr>
          <w:b/>
          <w:sz w:val="18"/>
        </w:rPr>
        <w:t>., 2006)</w:t>
      </w:r>
    </w:p>
    <w:p>
      <w:pPr>
        <w:pStyle w:val="BodyText"/>
        <w:spacing w:before="9"/>
        <w:rPr>
          <w:b/>
          <w:sz w:val="19"/>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8"/>
        <w:gridCol w:w="1498"/>
        <w:gridCol w:w="1915"/>
        <w:gridCol w:w="1913"/>
        <w:gridCol w:w="1822"/>
      </w:tblGrid>
      <w:tr>
        <w:trPr>
          <w:trHeight w:val="240" w:hRule="exact"/>
        </w:trPr>
        <w:tc>
          <w:tcPr>
            <w:tcW w:w="1908" w:type="dxa"/>
            <w:vMerge w:val="restart"/>
          </w:tcPr>
          <w:p>
            <w:pPr>
              <w:pStyle w:val="TableParagraph"/>
              <w:spacing w:before="115"/>
              <w:ind w:left="453" w:right="159"/>
              <w:jc w:val="left"/>
              <w:rPr>
                <w:rFonts w:ascii="Arial" w:hAnsi="Arial"/>
                <w:b/>
                <w:sz w:val="20"/>
              </w:rPr>
            </w:pPr>
            <w:r>
              <w:rPr>
                <w:rFonts w:ascii="Arial" w:hAnsi="Arial"/>
                <w:b/>
                <w:sz w:val="20"/>
              </w:rPr>
              <w:t>Parámetro</w:t>
            </w:r>
          </w:p>
        </w:tc>
        <w:tc>
          <w:tcPr>
            <w:tcW w:w="1498" w:type="dxa"/>
            <w:vMerge w:val="restart"/>
          </w:tcPr>
          <w:p>
            <w:pPr>
              <w:pStyle w:val="TableParagraph"/>
              <w:spacing w:line="227" w:lineRule="exact" w:before="0"/>
              <w:ind w:left="292" w:right="0"/>
              <w:jc w:val="left"/>
              <w:rPr>
                <w:rFonts w:ascii="Arial"/>
                <w:b/>
                <w:sz w:val="20"/>
              </w:rPr>
            </w:pPr>
            <w:r>
              <w:rPr>
                <w:rFonts w:ascii="Arial"/>
                <w:b/>
                <w:sz w:val="20"/>
              </w:rPr>
              <w:t>Unidades</w:t>
            </w:r>
          </w:p>
        </w:tc>
        <w:tc>
          <w:tcPr>
            <w:tcW w:w="5650" w:type="dxa"/>
            <w:gridSpan w:val="3"/>
          </w:tcPr>
          <w:p>
            <w:pPr>
              <w:pStyle w:val="TableParagraph"/>
              <w:spacing w:line="227" w:lineRule="exact" w:before="0"/>
              <w:ind w:left="2219" w:right="2225"/>
              <w:jc w:val="center"/>
              <w:rPr>
                <w:rFonts w:ascii="Arial" w:hAnsi="Arial"/>
                <w:b/>
                <w:sz w:val="20"/>
              </w:rPr>
            </w:pPr>
            <w:r>
              <w:rPr>
                <w:rFonts w:ascii="Arial" w:hAnsi="Arial"/>
                <w:b/>
                <w:sz w:val="20"/>
              </w:rPr>
              <w:t>Nivel trófico</w:t>
            </w:r>
          </w:p>
        </w:tc>
      </w:tr>
      <w:tr>
        <w:trPr>
          <w:trHeight w:val="240" w:hRule="exact"/>
        </w:trPr>
        <w:tc>
          <w:tcPr>
            <w:tcW w:w="1908" w:type="dxa"/>
            <w:vMerge/>
          </w:tcPr>
          <w:p>
            <w:pPr/>
          </w:p>
        </w:tc>
        <w:tc>
          <w:tcPr>
            <w:tcW w:w="1498" w:type="dxa"/>
            <w:vMerge/>
          </w:tcPr>
          <w:p>
            <w:pPr/>
          </w:p>
        </w:tc>
        <w:tc>
          <w:tcPr>
            <w:tcW w:w="1915" w:type="dxa"/>
          </w:tcPr>
          <w:p>
            <w:pPr>
              <w:pStyle w:val="TableParagraph"/>
              <w:spacing w:line="225" w:lineRule="exact" w:before="0"/>
              <w:ind w:left="364" w:right="367"/>
              <w:jc w:val="center"/>
              <w:rPr>
                <w:rFonts w:ascii="Arial" w:hAnsi="Arial"/>
                <w:b/>
                <w:sz w:val="20"/>
              </w:rPr>
            </w:pPr>
            <w:r>
              <w:rPr>
                <w:rFonts w:ascii="Arial" w:hAnsi="Arial"/>
                <w:b/>
                <w:sz w:val="20"/>
              </w:rPr>
              <w:t>Oligotrófico</w:t>
            </w:r>
          </w:p>
        </w:tc>
        <w:tc>
          <w:tcPr>
            <w:tcW w:w="1913" w:type="dxa"/>
          </w:tcPr>
          <w:p>
            <w:pPr>
              <w:pStyle w:val="TableParagraph"/>
              <w:spacing w:line="225" w:lineRule="exact" w:before="0"/>
              <w:ind w:left="91" w:right="94"/>
              <w:jc w:val="center"/>
              <w:rPr>
                <w:rFonts w:ascii="Arial" w:hAnsi="Arial"/>
                <w:b/>
                <w:sz w:val="20"/>
              </w:rPr>
            </w:pPr>
            <w:r>
              <w:rPr>
                <w:rFonts w:ascii="Arial" w:hAnsi="Arial"/>
                <w:b/>
                <w:sz w:val="20"/>
              </w:rPr>
              <w:t>Mesotrófico</w:t>
            </w:r>
          </w:p>
        </w:tc>
        <w:tc>
          <w:tcPr>
            <w:tcW w:w="1822" w:type="dxa"/>
          </w:tcPr>
          <w:p>
            <w:pPr>
              <w:pStyle w:val="TableParagraph"/>
              <w:spacing w:line="225" w:lineRule="exact" w:before="0"/>
              <w:ind w:left="445" w:right="448"/>
              <w:jc w:val="center"/>
              <w:rPr>
                <w:rFonts w:ascii="Arial" w:hAnsi="Arial"/>
                <w:b/>
                <w:sz w:val="20"/>
              </w:rPr>
            </w:pPr>
            <w:r>
              <w:rPr>
                <w:rFonts w:ascii="Arial" w:hAnsi="Arial"/>
                <w:b/>
                <w:sz w:val="20"/>
              </w:rPr>
              <w:t>Eutrófico</w:t>
            </w:r>
          </w:p>
        </w:tc>
      </w:tr>
      <w:tr>
        <w:trPr>
          <w:trHeight w:val="240" w:hRule="exact"/>
        </w:trPr>
        <w:tc>
          <w:tcPr>
            <w:tcW w:w="1908" w:type="dxa"/>
          </w:tcPr>
          <w:p>
            <w:pPr>
              <w:pStyle w:val="TableParagraph"/>
              <w:spacing w:line="227" w:lineRule="exact" w:before="0"/>
              <w:ind w:left="103" w:right="159"/>
              <w:jc w:val="left"/>
              <w:rPr>
                <w:rFonts w:ascii="Arial" w:hAnsi="Arial"/>
                <w:sz w:val="20"/>
              </w:rPr>
            </w:pPr>
            <w:r>
              <w:rPr>
                <w:rFonts w:ascii="Arial" w:hAnsi="Arial"/>
                <w:sz w:val="20"/>
              </w:rPr>
              <w:t>Oxígeno disuelto</w:t>
            </w:r>
          </w:p>
        </w:tc>
        <w:tc>
          <w:tcPr>
            <w:tcW w:w="1498" w:type="dxa"/>
          </w:tcPr>
          <w:p>
            <w:pPr>
              <w:pStyle w:val="TableParagraph"/>
              <w:spacing w:line="227" w:lineRule="exact" w:before="0"/>
              <w:ind w:left="112" w:right="112"/>
              <w:jc w:val="center"/>
              <w:rPr>
                <w:rFonts w:ascii="Arial"/>
                <w:sz w:val="20"/>
              </w:rPr>
            </w:pPr>
            <w:r>
              <w:rPr>
                <w:rFonts w:ascii="Arial"/>
                <w:sz w:val="20"/>
              </w:rPr>
              <w:t>mg/L</w:t>
            </w:r>
          </w:p>
        </w:tc>
        <w:tc>
          <w:tcPr>
            <w:tcW w:w="1915" w:type="dxa"/>
          </w:tcPr>
          <w:p>
            <w:pPr>
              <w:pStyle w:val="TableParagraph"/>
              <w:spacing w:line="227" w:lineRule="exact" w:before="0"/>
              <w:ind w:left="362" w:right="367"/>
              <w:jc w:val="center"/>
              <w:rPr>
                <w:rFonts w:ascii="Arial"/>
                <w:sz w:val="20"/>
              </w:rPr>
            </w:pPr>
            <w:r>
              <w:rPr>
                <w:rFonts w:ascii="Arial"/>
                <w:sz w:val="20"/>
              </w:rPr>
              <w:t>&gt; 6,0</w:t>
            </w:r>
          </w:p>
        </w:tc>
        <w:tc>
          <w:tcPr>
            <w:tcW w:w="1913" w:type="dxa"/>
          </w:tcPr>
          <w:p>
            <w:pPr>
              <w:pStyle w:val="TableParagraph"/>
              <w:spacing w:line="227" w:lineRule="exact" w:before="0"/>
              <w:ind w:left="88" w:right="95"/>
              <w:jc w:val="center"/>
              <w:rPr>
                <w:rFonts w:ascii="Arial"/>
                <w:sz w:val="20"/>
              </w:rPr>
            </w:pPr>
            <w:r>
              <w:rPr>
                <w:rFonts w:ascii="Arial"/>
                <w:sz w:val="20"/>
              </w:rPr>
              <w:t>&gt; 5,0</w:t>
            </w:r>
          </w:p>
        </w:tc>
        <w:tc>
          <w:tcPr>
            <w:tcW w:w="1822" w:type="dxa"/>
          </w:tcPr>
          <w:p>
            <w:pPr>
              <w:pStyle w:val="TableParagraph"/>
              <w:spacing w:line="227" w:lineRule="exact" w:before="0"/>
              <w:ind w:left="445" w:right="447"/>
              <w:jc w:val="center"/>
              <w:rPr>
                <w:rFonts w:ascii="Arial"/>
                <w:sz w:val="20"/>
              </w:rPr>
            </w:pPr>
            <w:r>
              <w:rPr>
                <w:rFonts w:ascii="Arial"/>
                <w:sz w:val="20"/>
              </w:rPr>
              <w:t>&gt; 4,0</w:t>
            </w:r>
          </w:p>
        </w:tc>
      </w:tr>
      <w:tr>
        <w:trPr>
          <w:trHeight w:val="470" w:hRule="exact"/>
        </w:trPr>
        <w:tc>
          <w:tcPr>
            <w:tcW w:w="1908" w:type="dxa"/>
          </w:tcPr>
          <w:p>
            <w:pPr>
              <w:pStyle w:val="TableParagraph"/>
              <w:spacing w:before="0"/>
              <w:ind w:left="103" w:right="830"/>
              <w:jc w:val="left"/>
              <w:rPr>
                <w:rFonts w:ascii="Arial" w:hAnsi="Arial"/>
                <w:sz w:val="20"/>
              </w:rPr>
            </w:pPr>
            <w:r>
              <w:rPr>
                <w:rFonts w:ascii="Arial" w:hAnsi="Arial"/>
                <w:sz w:val="20"/>
              </w:rPr>
              <w:t>Dióxido de carbono</w:t>
            </w:r>
          </w:p>
        </w:tc>
        <w:tc>
          <w:tcPr>
            <w:tcW w:w="1498" w:type="dxa"/>
          </w:tcPr>
          <w:p>
            <w:pPr>
              <w:pStyle w:val="TableParagraph"/>
              <w:spacing w:line="227" w:lineRule="exact" w:before="0"/>
              <w:ind w:left="112" w:right="112"/>
              <w:jc w:val="center"/>
              <w:rPr>
                <w:rFonts w:ascii="Arial"/>
                <w:sz w:val="20"/>
              </w:rPr>
            </w:pPr>
            <w:r>
              <w:rPr>
                <w:rFonts w:ascii="Arial"/>
                <w:sz w:val="20"/>
              </w:rPr>
              <w:t>mg/L</w:t>
            </w:r>
          </w:p>
        </w:tc>
        <w:tc>
          <w:tcPr>
            <w:tcW w:w="1915" w:type="dxa"/>
          </w:tcPr>
          <w:p>
            <w:pPr>
              <w:pStyle w:val="TableParagraph"/>
              <w:spacing w:before="112"/>
              <w:ind w:left="363" w:right="367"/>
              <w:jc w:val="center"/>
              <w:rPr>
                <w:rFonts w:ascii="Arial"/>
                <w:sz w:val="20"/>
              </w:rPr>
            </w:pPr>
            <w:r>
              <w:rPr>
                <w:rFonts w:ascii="Arial"/>
                <w:sz w:val="20"/>
              </w:rPr>
              <w:t>&lt; 1,0</w:t>
            </w:r>
          </w:p>
        </w:tc>
        <w:tc>
          <w:tcPr>
            <w:tcW w:w="1913" w:type="dxa"/>
          </w:tcPr>
          <w:p>
            <w:pPr>
              <w:pStyle w:val="TableParagraph"/>
              <w:spacing w:before="112"/>
              <w:ind w:left="88" w:right="95"/>
              <w:jc w:val="center"/>
              <w:rPr>
                <w:rFonts w:ascii="Arial"/>
                <w:sz w:val="20"/>
              </w:rPr>
            </w:pPr>
            <w:r>
              <w:rPr>
                <w:rFonts w:ascii="Arial"/>
                <w:sz w:val="20"/>
              </w:rPr>
              <w:t>&lt; 5,0</w:t>
            </w:r>
          </w:p>
        </w:tc>
        <w:tc>
          <w:tcPr>
            <w:tcW w:w="1822" w:type="dxa"/>
          </w:tcPr>
          <w:p>
            <w:pPr>
              <w:pStyle w:val="TableParagraph"/>
              <w:spacing w:before="112"/>
              <w:ind w:left="445" w:right="447"/>
              <w:jc w:val="center"/>
              <w:rPr>
                <w:rFonts w:ascii="Arial"/>
                <w:sz w:val="20"/>
              </w:rPr>
            </w:pPr>
            <w:r>
              <w:rPr>
                <w:rFonts w:ascii="Arial"/>
                <w:sz w:val="20"/>
              </w:rPr>
              <w:t>&lt; 25,0</w:t>
            </w:r>
          </w:p>
        </w:tc>
      </w:tr>
      <w:tr>
        <w:trPr>
          <w:trHeight w:val="470" w:hRule="exact"/>
        </w:trPr>
        <w:tc>
          <w:tcPr>
            <w:tcW w:w="1908" w:type="dxa"/>
          </w:tcPr>
          <w:p>
            <w:pPr>
              <w:pStyle w:val="TableParagraph"/>
              <w:spacing w:before="0"/>
              <w:ind w:left="103" w:right="159"/>
              <w:jc w:val="left"/>
              <w:rPr>
                <w:rFonts w:ascii="Arial" w:hAnsi="Arial"/>
                <w:sz w:val="20"/>
              </w:rPr>
            </w:pPr>
            <w:r>
              <w:rPr>
                <w:rFonts w:ascii="Arial" w:hAnsi="Arial"/>
                <w:sz w:val="20"/>
              </w:rPr>
              <w:t>Nitrógeno </w:t>
            </w:r>
            <w:r>
              <w:rPr>
                <w:rFonts w:ascii="Arial" w:hAnsi="Arial"/>
                <w:w w:val="95"/>
                <w:sz w:val="20"/>
              </w:rPr>
              <w:t>amoniacal</w:t>
            </w:r>
          </w:p>
        </w:tc>
        <w:tc>
          <w:tcPr>
            <w:tcW w:w="1498" w:type="dxa"/>
          </w:tcPr>
          <w:p>
            <w:pPr>
              <w:pStyle w:val="TableParagraph"/>
              <w:spacing w:line="227" w:lineRule="exact" w:before="0"/>
              <w:ind w:left="112" w:right="112"/>
              <w:jc w:val="center"/>
              <w:rPr>
                <w:rFonts w:ascii="Arial"/>
                <w:sz w:val="20"/>
              </w:rPr>
            </w:pPr>
            <w:r>
              <w:rPr>
                <w:rFonts w:ascii="Arial"/>
                <w:sz w:val="20"/>
              </w:rPr>
              <w:t>mg/L</w:t>
            </w:r>
          </w:p>
        </w:tc>
        <w:tc>
          <w:tcPr>
            <w:tcW w:w="1915" w:type="dxa"/>
          </w:tcPr>
          <w:p>
            <w:pPr>
              <w:pStyle w:val="TableParagraph"/>
              <w:spacing w:before="112"/>
              <w:ind w:left="363" w:right="367"/>
              <w:jc w:val="center"/>
              <w:rPr>
                <w:rFonts w:ascii="Arial"/>
                <w:sz w:val="20"/>
              </w:rPr>
            </w:pPr>
            <w:r>
              <w:rPr>
                <w:rFonts w:ascii="Arial"/>
                <w:sz w:val="20"/>
              </w:rPr>
              <w:t>&lt; 0,3</w:t>
            </w:r>
          </w:p>
        </w:tc>
        <w:tc>
          <w:tcPr>
            <w:tcW w:w="1913" w:type="dxa"/>
          </w:tcPr>
          <w:p>
            <w:pPr>
              <w:pStyle w:val="TableParagraph"/>
              <w:spacing w:before="112"/>
              <w:ind w:left="88" w:right="95"/>
              <w:jc w:val="center"/>
              <w:rPr>
                <w:rFonts w:ascii="Arial"/>
                <w:sz w:val="20"/>
              </w:rPr>
            </w:pPr>
            <w:r>
              <w:rPr>
                <w:rFonts w:ascii="Arial"/>
                <w:sz w:val="20"/>
              </w:rPr>
              <w:t>&lt; 1,0</w:t>
            </w:r>
          </w:p>
        </w:tc>
        <w:tc>
          <w:tcPr>
            <w:tcW w:w="1822" w:type="dxa"/>
          </w:tcPr>
          <w:p>
            <w:pPr>
              <w:pStyle w:val="TableParagraph"/>
              <w:spacing w:before="112"/>
              <w:ind w:left="445" w:right="447"/>
              <w:jc w:val="center"/>
              <w:rPr>
                <w:rFonts w:ascii="Arial"/>
                <w:sz w:val="20"/>
              </w:rPr>
            </w:pPr>
            <w:r>
              <w:rPr>
                <w:rFonts w:ascii="Arial"/>
                <w:sz w:val="20"/>
              </w:rPr>
              <w:t>&lt; 2,0</w:t>
            </w:r>
          </w:p>
        </w:tc>
      </w:tr>
      <w:tr>
        <w:trPr>
          <w:trHeight w:val="240" w:hRule="exact"/>
        </w:trPr>
        <w:tc>
          <w:tcPr>
            <w:tcW w:w="1908" w:type="dxa"/>
          </w:tcPr>
          <w:p>
            <w:pPr>
              <w:pStyle w:val="TableParagraph"/>
              <w:spacing w:line="161" w:lineRule="exact" w:before="0"/>
              <w:ind w:left="103" w:right="159"/>
              <w:jc w:val="left"/>
              <w:rPr>
                <w:rFonts w:ascii="Arial"/>
                <w:sz w:val="20"/>
              </w:rPr>
            </w:pPr>
            <w:r>
              <w:rPr>
                <w:rFonts w:ascii="Arial"/>
                <w:sz w:val="20"/>
              </w:rPr>
              <w:t>Nitritos (N-NO </w:t>
            </w:r>
            <w:r>
              <w:rPr>
                <w:rFonts w:ascii="Arial"/>
                <w:position w:val="10"/>
                <w:sz w:val="13"/>
              </w:rPr>
              <w:t>-</w:t>
            </w:r>
            <w:r>
              <w:rPr>
                <w:rFonts w:ascii="Arial"/>
                <w:sz w:val="20"/>
              </w:rPr>
              <w:t>)</w:t>
            </w:r>
          </w:p>
          <w:p>
            <w:pPr>
              <w:pStyle w:val="TableParagraph"/>
              <w:spacing w:line="83" w:lineRule="exact" w:before="0"/>
              <w:ind w:right="466"/>
              <w:rPr>
                <w:rFonts w:ascii="Arial"/>
                <w:sz w:val="13"/>
              </w:rPr>
            </w:pPr>
            <w:r>
              <w:rPr>
                <w:rFonts w:ascii="Arial"/>
                <w:w w:val="99"/>
                <w:sz w:val="13"/>
              </w:rPr>
              <w:t>2</w:t>
            </w:r>
          </w:p>
        </w:tc>
        <w:tc>
          <w:tcPr>
            <w:tcW w:w="1498" w:type="dxa"/>
          </w:tcPr>
          <w:p>
            <w:pPr>
              <w:pStyle w:val="TableParagraph"/>
              <w:spacing w:line="227" w:lineRule="exact" w:before="0"/>
              <w:ind w:left="112" w:right="112"/>
              <w:jc w:val="center"/>
              <w:rPr>
                <w:rFonts w:ascii="Arial"/>
                <w:sz w:val="20"/>
              </w:rPr>
            </w:pPr>
            <w:r>
              <w:rPr>
                <w:rFonts w:ascii="Arial"/>
                <w:sz w:val="20"/>
              </w:rPr>
              <w:t>mg/L</w:t>
            </w:r>
          </w:p>
        </w:tc>
        <w:tc>
          <w:tcPr>
            <w:tcW w:w="1915" w:type="dxa"/>
          </w:tcPr>
          <w:p>
            <w:pPr>
              <w:pStyle w:val="TableParagraph"/>
              <w:spacing w:line="227" w:lineRule="exact" w:before="0"/>
              <w:ind w:left="363" w:right="367"/>
              <w:jc w:val="center"/>
              <w:rPr>
                <w:rFonts w:ascii="Arial"/>
                <w:sz w:val="20"/>
              </w:rPr>
            </w:pPr>
            <w:r>
              <w:rPr>
                <w:rFonts w:ascii="Arial"/>
                <w:sz w:val="20"/>
              </w:rPr>
              <w:t>&lt; 0,3</w:t>
            </w:r>
          </w:p>
        </w:tc>
        <w:tc>
          <w:tcPr>
            <w:tcW w:w="1913" w:type="dxa"/>
          </w:tcPr>
          <w:p>
            <w:pPr>
              <w:pStyle w:val="TableParagraph"/>
              <w:spacing w:line="227" w:lineRule="exact" w:before="0"/>
              <w:ind w:left="87" w:right="95"/>
              <w:jc w:val="center"/>
              <w:rPr>
                <w:rFonts w:ascii="Arial"/>
                <w:sz w:val="20"/>
              </w:rPr>
            </w:pPr>
            <w:r>
              <w:rPr>
                <w:rFonts w:ascii="Arial"/>
                <w:sz w:val="20"/>
              </w:rPr>
              <w:t>&lt; 1,0</w:t>
            </w:r>
          </w:p>
        </w:tc>
        <w:tc>
          <w:tcPr>
            <w:tcW w:w="1822" w:type="dxa"/>
          </w:tcPr>
          <w:p>
            <w:pPr>
              <w:pStyle w:val="TableParagraph"/>
              <w:spacing w:line="227" w:lineRule="exact" w:before="0"/>
              <w:ind w:left="445" w:right="448"/>
              <w:jc w:val="center"/>
              <w:rPr>
                <w:rFonts w:ascii="Arial"/>
                <w:sz w:val="20"/>
              </w:rPr>
            </w:pPr>
            <w:r>
              <w:rPr>
                <w:rFonts w:ascii="Arial"/>
                <w:sz w:val="20"/>
              </w:rPr>
              <w:t>&lt; 2,0</w:t>
            </w:r>
          </w:p>
        </w:tc>
      </w:tr>
      <w:tr>
        <w:trPr>
          <w:trHeight w:val="240" w:hRule="exact"/>
        </w:trPr>
        <w:tc>
          <w:tcPr>
            <w:tcW w:w="1908" w:type="dxa"/>
          </w:tcPr>
          <w:p>
            <w:pPr>
              <w:pStyle w:val="TableParagraph"/>
              <w:spacing w:line="161" w:lineRule="exact" w:before="0"/>
              <w:ind w:left="103" w:right="159"/>
              <w:jc w:val="left"/>
              <w:rPr>
                <w:rFonts w:ascii="Arial"/>
                <w:sz w:val="20"/>
              </w:rPr>
            </w:pPr>
            <w:r>
              <w:rPr>
                <w:rFonts w:ascii="Arial"/>
                <w:sz w:val="20"/>
              </w:rPr>
              <w:t>Nitratos (N-NO </w:t>
            </w:r>
            <w:r>
              <w:rPr>
                <w:rFonts w:ascii="Arial"/>
                <w:position w:val="10"/>
                <w:sz w:val="13"/>
              </w:rPr>
              <w:t>-</w:t>
            </w:r>
            <w:r>
              <w:rPr>
                <w:rFonts w:ascii="Arial"/>
                <w:sz w:val="20"/>
              </w:rPr>
              <w:t>)</w:t>
            </w:r>
          </w:p>
          <w:p>
            <w:pPr>
              <w:pStyle w:val="TableParagraph"/>
              <w:spacing w:line="83" w:lineRule="exact" w:before="0"/>
              <w:ind w:right="401"/>
              <w:rPr>
                <w:rFonts w:ascii="Arial"/>
                <w:sz w:val="13"/>
              </w:rPr>
            </w:pPr>
            <w:r>
              <w:rPr>
                <w:rFonts w:ascii="Arial"/>
                <w:w w:val="99"/>
                <w:sz w:val="13"/>
              </w:rPr>
              <w:t>3</w:t>
            </w:r>
          </w:p>
        </w:tc>
        <w:tc>
          <w:tcPr>
            <w:tcW w:w="1498" w:type="dxa"/>
          </w:tcPr>
          <w:p>
            <w:pPr>
              <w:pStyle w:val="TableParagraph"/>
              <w:spacing w:line="227" w:lineRule="exact" w:before="0"/>
              <w:ind w:left="112" w:right="112"/>
              <w:jc w:val="center"/>
              <w:rPr>
                <w:rFonts w:ascii="Arial"/>
                <w:sz w:val="20"/>
              </w:rPr>
            </w:pPr>
            <w:r>
              <w:rPr>
                <w:rFonts w:ascii="Arial"/>
                <w:sz w:val="20"/>
              </w:rPr>
              <w:t>mg/L</w:t>
            </w:r>
          </w:p>
        </w:tc>
        <w:tc>
          <w:tcPr>
            <w:tcW w:w="1915" w:type="dxa"/>
          </w:tcPr>
          <w:p>
            <w:pPr>
              <w:pStyle w:val="TableParagraph"/>
              <w:spacing w:line="227" w:lineRule="exact" w:before="0"/>
              <w:ind w:left="363" w:right="367"/>
              <w:jc w:val="center"/>
              <w:rPr>
                <w:rFonts w:ascii="Arial"/>
                <w:sz w:val="20"/>
              </w:rPr>
            </w:pPr>
            <w:r>
              <w:rPr>
                <w:rFonts w:ascii="Arial"/>
                <w:sz w:val="20"/>
              </w:rPr>
              <w:t>&lt; 50,0</w:t>
            </w:r>
          </w:p>
        </w:tc>
        <w:tc>
          <w:tcPr>
            <w:tcW w:w="1913" w:type="dxa"/>
          </w:tcPr>
          <w:p>
            <w:pPr>
              <w:pStyle w:val="TableParagraph"/>
              <w:spacing w:line="227" w:lineRule="exact" w:before="0"/>
              <w:ind w:left="88" w:right="95"/>
              <w:jc w:val="center"/>
              <w:rPr>
                <w:rFonts w:ascii="Arial"/>
                <w:sz w:val="20"/>
              </w:rPr>
            </w:pPr>
            <w:r>
              <w:rPr>
                <w:rFonts w:ascii="Arial"/>
                <w:sz w:val="20"/>
              </w:rPr>
              <w:t>&lt; 200,0</w:t>
            </w:r>
          </w:p>
        </w:tc>
        <w:tc>
          <w:tcPr>
            <w:tcW w:w="1822" w:type="dxa"/>
          </w:tcPr>
          <w:p>
            <w:pPr>
              <w:pStyle w:val="TableParagraph"/>
              <w:spacing w:line="227" w:lineRule="exact" w:before="0"/>
              <w:ind w:left="445" w:right="447"/>
              <w:jc w:val="center"/>
              <w:rPr>
                <w:rFonts w:ascii="Arial"/>
                <w:sz w:val="20"/>
              </w:rPr>
            </w:pPr>
            <w:r>
              <w:rPr>
                <w:rFonts w:ascii="Arial"/>
                <w:sz w:val="20"/>
              </w:rPr>
              <w:t>&lt; 500,0</w:t>
            </w:r>
          </w:p>
        </w:tc>
      </w:tr>
      <w:tr>
        <w:trPr>
          <w:trHeight w:val="240" w:hRule="exact"/>
        </w:trPr>
        <w:tc>
          <w:tcPr>
            <w:tcW w:w="1908" w:type="dxa"/>
          </w:tcPr>
          <w:p>
            <w:pPr>
              <w:pStyle w:val="TableParagraph"/>
              <w:spacing w:line="242" w:lineRule="exact" w:before="0"/>
              <w:ind w:left="103" w:right="159"/>
              <w:jc w:val="left"/>
              <w:rPr>
                <w:rFonts w:ascii="Arial"/>
                <w:sz w:val="13"/>
              </w:rPr>
            </w:pPr>
            <w:r>
              <w:rPr>
                <w:rFonts w:ascii="Arial"/>
                <w:sz w:val="20"/>
              </w:rPr>
              <w:t>DBO</w:t>
            </w:r>
            <w:r>
              <w:rPr>
                <w:rFonts w:ascii="Arial"/>
                <w:position w:val="-2"/>
                <w:sz w:val="13"/>
              </w:rPr>
              <w:t>5</w:t>
            </w:r>
          </w:p>
        </w:tc>
        <w:tc>
          <w:tcPr>
            <w:tcW w:w="1498" w:type="dxa"/>
          </w:tcPr>
          <w:p>
            <w:pPr>
              <w:pStyle w:val="TableParagraph"/>
              <w:spacing w:line="227" w:lineRule="exact" w:before="0"/>
              <w:ind w:left="112" w:right="112"/>
              <w:jc w:val="center"/>
              <w:rPr>
                <w:rFonts w:ascii="Arial"/>
                <w:sz w:val="20"/>
              </w:rPr>
            </w:pPr>
            <w:r>
              <w:rPr>
                <w:rFonts w:ascii="Arial"/>
                <w:sz w:val="20"/>
              </w:rPr>
              <w:t>mg/L</w:t>
            </w:r>
          </w:p>
        </w:tc>
        <w:tc>
          <w:tcPr>
            <w:tcW w:w="1915" w:type="dxa"/>
          </w:tcPr>
          <w:p>
            <w:pPr>
              <w:pStyle w:val="TableParagraph"/>
              <w:spacing w:line="227" w:lineRule="exact" w:before="0"/>
              <w:ind w:left="363" w:right="367"/>
              <w:jc w:val="center"/>
              <w:rPr>
                <w:rFonts w:ascii="Arial"/>
                <w:sz w:val="20"/>
              </w:rPr>
            </w:pPr>
            <w:r>
              <w:rPr>
                <w:rFonts w:ascii="Arial"/>
                <w:sz w:val="20"/>
              </w:rPr>
              <w:t>&lt; 5,0</w:t>
            </w:r>
          </w:p>
        </w:tc>
        <w:tc>
          <w:tcPr>
            <w:tcW w:w="1913" w:type="dxa"/>
          </w:tcPr>
          <w:p>
            <w:pPr>
              <w:pStyle w:val="TableParagraph"/>
              <w:spacing w:line="227" w:lineRule="exact" w:before="0"/>
              <w:ind w:left="89" w:right="95"/>
              <w:jc w:val="center"/>
              <w:rPr>
                <w:rFonts w:ascii="Arial"/>
                <w:sz w:val="20"/>
              </w:rPr>
            </w:pPr>
            <w:r>
              <w:rPr>
                <w:rFonts w:ascii="Arial"/>
                <w:sz w:val="20"/>
              </w:rPr>
              <w:t>&lt; 10,0</w:t>
            </w:r>
          </w:p>
        </w:tc>
        <w:tc>
          <w:tcPr>
            <w:tcW w:w="1822" w:type="dxa"/>
          </w:tcPr>
          <w:p>
            <w:pPr>
              <w:pStyle w:val="TableParagraph"/>
              <w:spacing w:line="227" w:lineRule="exact" w:before="0"/>
              <w:ind w:left="445" w:right="447"/>
              <w:jc w:val="center"/>
              <w:rPr>
                <w:rFonts w:ascii="Arial"/>
                <w:sz w:val="20"/>
              </w:rPr>
            </w:pPr>
            <w:r>
              <w:rPr>
                <w:rFonts w:ascii="Arial"/>
                <w:sz w:val="20"/>
              </w:rPr>
              <w:t>&lt; 20,0</w:t>
            </w:r>
          </w:p>
        </w:tc>
      </w:tr>
      <w:tr>
        <w:trPr>
          <w:trHeight w:val="701" w:hRule="exact"/>
        </w:trPr>
        <w:tc>
          <w:tcPr>
            <w:tcW w:w="1908" w:type="dxa"/>
          </w:tcPr>
          <w:p>
            <w:pPr>
              <w:pStyle w:val="TableParagraph"/>
              <w:spacing w:before="0"/>
              <w:ind w:left="103" w:right="159"/>
              <w:jc w:val="left"/>
              <w:rPr>
                <w:rFonts w:ascii="Arial" w:hAnsi="Arial"/>
                <w:sz w:val="20"/>
              </w:rPr>
            </w:pPr>
            <w:r>
              <w:rPr>
                <w:rFonts w:ascii="Arial" w:hAnsi="Arial"/>
                <w:sz w:val="20"/>
              </w:rPr>
              <w:t>Sólidos </w:t>
            </w:r>
            <w:r>
              <w:rPr>
                <w:rFonts w:ascii="Arial" w:hAnsi="Arial"/>
                <w:w w:val="95"/>
                <w:sz w:val="20"/>
              </w:rPr>
              <w:t>suspendidos </w:t>
            </w:r>
            <w:r>
              <w:rPr>
                <w:rFonts w:ascii="Arial" w:hAnsi="Arial"/>
                <w:sz w:val="20"/>
              </w:rPr>
              <w:t>totales</w:t>
            </w:r>
          </w:p>
        </w:tc>
        <w:tc>
          <w:tcPr>
            <w:tcW w:w="1498" w:type="dxa"/>
          </w:tcPr>
          <w:p>
            <w:pPr>
              <w:pStyle w:val="TableParagraph"/>
              <w:spacing w:before="9"/>
              <w:ind w:right="0"/>
              <w:jc w:val="left"/>
              <w:rPr>
                <w:rFonts w:ascii="Arial"/>
                <w:b/>
                <w:sz w:val="19"/>
              </w:rPr>
            </w:pPr>
          </w:p>
          <w:p>
            <w:pPr>
              <w:pStyle w:val="TableParagraph"/>
              <w:spacing w:before="0"/>
              <w:ind w:left="112" w:right="112"/>
              <w:jc w:val="center"/>
              <w:rPr>
                <w:rFonts w:ascii="Arial"/>
                <w:sz w:val="20"/>
              </w:rPr>
            </w:pPr>
            <w:r>
              <w:rPr>
                <w:rFonts w:ascii="Arial"/>
                <w:sz w:val="20"/>
              </w:rPr>
              <w:t>mg/L</w:t>
            </w:r>
          </w:p>
        </w:tc>
        <w:tc>
          <w:tcPr>
            <w:tcW w:w="1915" w:type="dxa"/>
          </w:tcPr>
          <w:p>
            <w:pPr>
              <w:pStyle w:val="TableParagraph"/>
              <w:spacing w:before="9"/>
              <w:ind w:right="0"/>
              <w:jc w:val="left"/>
              <w:rPr>
                <w:rFonts w:ascii="Arial"/>
                <w:b/>
                <w:sz w:val="19"/>
              </w:rPr>
            </w:pPr>
          </w:p>
          <w:p>
            <w:pPr>
              <w:pStyle w:val="TableParagraph"/>
              <w:spacing w:before="0"/>
              <w:ind w:left="363" w:right="367"/>
              <w:jc w:val="center"/>
              <w:rPr>
                <w:rFonts w:ascii="Arial"/>
                <w:sz w:val="20"/>
              </w:rPr>
            </w:pPr>
            <w:r>
              <w:rPr>
                <w:rFonts w:ascii="Arial"/>
                <w:sz w:val="20"/>
              </w:rPr>
              <w:t>&lt; 5,0</w:t>
            </w:r>
          </w:p>
        </w:tc>
        <w:tc>
          <w:tcPr>
            <w:tcW w:w="1913" w:type="dxa"/>
          </w:tcPr>
          <w:p>
            <w:pPr>
              <w:pStyle w:val="TableParagraph"/>
              <w:spacing w:before="9"/>
              <w:ind w:right="0"/>
              <w:jc w:val="left"/>
              <w:rPr>
                <w:rFonts w:ascii="Arial"/>
                <w:b/>
                <w:sz w:val="19"/>
              </w:rPr>
            </w:pPr>
          </w:p>
          <w:p>
            <w:pPr>
              <w:pStyle w:val="TableParagraph"/>
              <w:spacing w:before="0"/>
              <w:ind w:left="89" w:right="95"/>
              <w:jc w:val="center"/>
              <w:rPr>
                <w:rFonts w:ascii="Arial"/>
                <w:sz w:val="20"/>
              </w:rPr>
            </w:pPr>
            <w:r>
              <w:rPr>
                <w:rFonts w:ascii="Arial"/>
                <w:sz w:val="20"/>
              </w:rPr>
              <w:t>&lt; 15,0</w:t>
            </w:r>
          </w:p>
        </w:tc>
        <w:tc>
          <w:tcPr>
            <w:tcW w:w="1822" w:type="dxa"/>
          </w:tcPr>
          <w:p>
            <w:pPr>
              <w:pStyle w:val="TableParagraph"/>
              <w:spacing w:before="9"/>
              <w:ind w:right="0"/>
              <w:jc w:val="left"/>
              <w:rPr>
                <w:rFonts w:ascii="Arial"/>
                <w:b/>
                <w:sz w:val="19"/>
              </w:rPr>
            </w:pPr>
          </w:p>
          <w:p>
            <w:pPr>
              <w:pStyle w:val="TableParagraph"/>
              <w:spacing w:before="0"/>
              <w:ind w:left="445" w:right="447"/>
              <w:jc w:val="center"/>
              <w:rPr>
                <w:rFonts w:ascii="Arial"/>
                <w:sz w:val="20"/>
              </w:rPr>
            </w:pPr>
            <w:r>
              <w:rPr>
                <w:rFonts w:ascii="Arial"/>
                <w:sz w:val="20"/>
              </w:rPr>
              <w:t>&lt; 25,0</w:t>
            </w:r>
          </w:p>
        </w:tc>
      </w:tr>
      <w:tr>
        <w:trPr>
          <w:trHeight w:val="240" w:hRule="exact"/>
        </w:trPr>
        <w:tc>
          <w:tcPr>
            <w:tcW w:w="1908" w:type="dxa"/>
          </w:tcPr>
          <w:p>
            <w:pPr>
              <w:pStyle w:val="TableParagraph"/>
              <w:spacing w:line="227" w:lineRule="exact" w:before="0"/>
              <w:ind w:left="103" w:right="159"/>
              <w:jc w:val="left"/>
              <w:rPr>
                <w:rFonts w:ascii="Arial"/>
                <w:sz w:val="20"/>
              </w:rPr>
            </w:pPr>
            <w:r>
              <w:rPr>
                <w:rFonts w:ascii="Arial"/>
                <w:sz w:val="20"/>
              </w:rPr>
              <w:t>Turbidez</w:t>
            </w:r>
          </w:p>
        </w:tc>
        <w:tc>
          <w:tcPr>
            <w:tcW w:w="1498" w:type="dxa"/>
          </w:tcPr>
          <w:p>
            <w:pPr>
              <w:pStyle w:val="TableParagraph"/>
              <w:spacing w:line="227" w:lineRule="exact" w:before="0"/>
              <w:ind w:left="112" w:right="113"/>
              <w:jc w:val="center"/>
              <w:rPr>
                <w:rFonts w:ascii="Arial"/>
                <w:sz w:val="20"/>
              </w:rPr>
            </w:pPr>
            <w:r>
              <w:rPr>
                <w:rFonts w:ascii="Arial"/>
                <w:sz w:val="20"/>
              </w:rPr>
              <w:t>UNT</w:t>
            </w:r>
          </w:p>
        </w:tc>
        <w:tc>
          <w:tcPr>
            <w:tcW w:w="1915" w:type="dxa"/>
          </w:tcPr>
          <w:p>
            <w:pPr>
              <w:pStyle w:val="TableParagraph"/>
              <w:spacing w:line="227" w:lineRule="exact" w:before="0"/>
              <w:ind w:left="363" w:right="367"/>
              <w:jc w:val="center"/>
              <w:rPr>
                <w:rFonts w:ascii="Arial"/>
                <w:sz w:val="20"/>
              </w:rPr>
            </w:pPr>
            <w:r>
              <w:rPr>
                <w:rFonts w:ascii="Arial"/>
                <w:sz w:val="20"/>
              </w:rPr>
              <w:t>&lt; 1,0</w:t>
            </w:r>
          </w:p>
        </w:tc>
        <w:tc>
          <w:tcPr>
            <w:tcW w:w="1913" w:type="dxa"/>
          </w:tcPr>
          <w:p>
            <w:pPr>
              <w:pStyle w:val="TableParagraph"/>
              <w:spacing w:line="227" w:lineRule="exact" w:before="0"/>
              <w:ind w:left="88" w:right="95"/>
              <w:jc w:val="center"/>
              <w:rPr>
                <w:rFonts w:ascii="Arial"/>
                <w:sz w:val="20"/>
              </w:rPr>
            </w:pPr>
            <w:r>
              <w:rPr>
                <w:rFonts w:ascii="Arial"/>
                <w:sz w:val="20"/>
              </w:rPr>
              <w:t>&lt; 10,0</w:t>
            </w:r>
          </w:p>
        </w:tc>
        <w:tc>
          <w:tcPr>
            <w:tcW w:w="1822" w:type="dxa"/>
          </w:tcPr>
          <w:p>
            <w:pPr>
              <w:pStyle w:val="TableParagraph"/>
              <w:spacing w:line="227" w:lineRule="exact" w:before="0"/>
              <w:ind w:left="445" w:right="447"/>
              <w:jc w:val="center"/>
              <w:rPr>
                <w:rFonts w:ascii="Arial"/>
                <w:sz w:val="20"/>
              </w:rPr>
            </w:pPr>
            <w:r>
              <w:rPr>
                <w:rFonts w:ascii="Arial"/>
                <w:sz w:val="20"/>
              </w:rPr>
              <w:t>&lt; 100,0</w:t>
            </w:r>
          </w:p>
        </w:tc>
      </w:tr>
    </w:tbl>
    <w:p>
      <w:pPr>
        <w:pStyle w:val="BodyText"/>
        <w:spacing w:line="360" w:lineRule="auto" w:before="117"/>
        <w:ind w:left="781"/>
      </w:pPr>
      <w:r>
        <w:rPr/>
        <w:t>La cuarta propuesta se enfoca al desempeño de los biofiltros, en la tabla 5 se muestra la clasificación de los estudios de acuerdo con su objetivo (Colt </w:t>
      </w:r>
      <w:r>
        <w:rPr>
          <w:i/>
        </w:rPr>
        <w:t>et al</w:t>
      </w:r>
      <w:r>
        <w:rPr/>
        <w:t>., 2006).</w:t>
      </w:r>
    </w:p>
    <w:p>
      <w:pPr>
        <w:spacing w:before="120"/>
        <w:ind w:left="1328" w:right="948" w:firstLine="0"/>
        <w:jc w:val="left"/>
        <w:rPr>
          <w:b/>
          <w:sz w:val="18"/>
        </w:rPr>
      </w:pPr>
      <w:r>
        <w:rPr>
          <w:b/>
          <w:sz w:val="18"/>
        </w:rPr>
        <w:t>Tabla 5. Clasificación de los estudios de SRA de acuerdo con su objetivo (Colt </w:t>
      </w:r>
      <w:r>
        <w:rPr>
          <w:b/>
          <w:i/>
          <w:sz w:val="18"/>
        </w:rPr>
        <w:t>et al</w:t>
      </w:r>
      <w:r>
        <w:rPr>
          <w:b/>
          <w:sz w:val="18"/>
        </w:rPr>
        <w:t>., 2006)</w:t>
      </w:r>
    </w:p>
    <w:p>
      <w:pPr>
        <w:pStyle w:val="BodyText"/>
        <w:spacing w:before="9"/>
        <w:rPr>
          <w:b/>
          <w:sz w:val="19"/>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0"/>
        <w:gridCol w:w="1702"/>
        <w:gridCol w:w="2693"/>
        <w:gridCol w:w="2834"/>
      </w:tblGrid>
      <w:tr>
        <w:trPr>
          <w:trHeight w:val="710" w:hRule="exact"/>
        </w:trPr>
        <w:tc>
          <w:tcPr>
            <w:tcW w:w="1810" w:type="dxa"/>
          </w:tcPr>
          <w:p>
            <w:pPr>
              <w:pStyle w:val="TableParagraph"/>
              <w:spacing w:before="0"/>
              <w:ind w:right="0"/>
              <w:jc w:val="left"/>
              <w:rPr>
                <w:rFonts w:ascii="Arial"/>
                <w:b/>
                <w:sz w:val="20"/>
              </w:rPr>
            </w:pPr>
          </w:p>
          <w:p>
            <w:pPr>
              <w:pStyle w:val="TableParagraph"/>
              <w:spacing w:before="0"/>
              <w:ind w:left="141" w:right="141"/>
              <w:jc w:val="center"/>
              <w:rPr>
                <w:rFonts w:ascii="Arial"/>
                <w:b/>
                <w:sz w:val="20"/>
              </w:rPr>
            </w:pPr>
            <w:r>
              <w:rPr>
                <w:rFonts w:ascii="Arial"/>
                <w:b/>
                <w:sz w:val="20"/>
              </w:rPr>
              <w:t>Tipo de estudio</w:t>
            </w:r>
          </w:p>
        </w:tc>
        <w:tc>
          <w:tcPr>
            <w:tcW w:w="1702" w:type="dxa"/>
          </w:tcPr>
          <w:p>
            <w:pPr>
              <w:pStyle w:val="TableParagraph"/>
              <w:spacing w:before="115"/>
              <w:ind w:left="146" w:right="126" w:firstLine="21"/>
              <w:jc w:val="left"/>
              <w:rPr>
                <w:rFonts w:ascii="Arial" w:hAnsi="Arial"/>
                <w:b/>
                <w:sz w:val="20"/>
              </w:rPr>
            </w:pPr>
            <w:r>
              <w:rPr>
                <w:rFonts w:ascii="Arial" w:hAnsi="Arial"/>
                <w:b/>
                <w:sz w:val="20"/>
              </w:rPr>
              <w:t>Tamaño típico del biofiltro (L)</w:t>
            </w:r>
          </w:p>
        </w:tc>
        <w:tc>
          <w:tcPr>
            <w:tcW w:w="2693" w:type="dxa"/>
          </w:tcPr>
          <w:p>
            <w:pPr>
              <w:pStyle w:val="TableParagraph"/>
              <w:spacing w:before="0"/>
              <w:ind w:right="0"/>
              <w:jc w:val="left"/>
              <w:rPr>
                <w:rFonts w:ascii="Arial"/>
                <w:b/>
                <w:sz w:val="20"/>
              </w:rPr>
            </w:pPr>
          </w:p>
          <w:p>
            <w:pPr>
              <w:pStyle w:val="TableParagraph"/>
              <w:spacing w:before="0"/>
              <w:ind w:left="920" w:right="923"/>
              <w:jc w:val="center"/>
              <w:rPr>
                <w:rFonts w:ascii="Arial"/>
                <w:b/>
                <w:sz w:val="20"/>
              </w:rPr>
            </w:pPr>
            <w:r>
              <w:rPr>
                <w:rFonts w:ascii="Arial"/>
                <w:b/>
                <w:sz w:val="20"/>
              </w:rPr>
              <w:t>Objetivo</w:t>
            </w:r>
          </w:p>
        </w:tc>
        <w:tc>
          <w:tcPr>
            <w:tcW w:w="2834" w:type="dxa"/>
          </w:tcPr>
          <w:p>
            <w:pPr>
              <w:pStyle w:val="TableParagraph"/>
              <w:spacing w:before="115"/>
              <w:ind w:left="1027" w:right="242" w:hanging="766"/>
              <w:jc w:val="left"/>
              <w:rPr>
                <w:rFonts w:ascii="Arial" w:hAnsi="Arial"/>
                <w:b/>
                <w:sz w:val="20"/>
              </w:rPr>
            </w:pPr>
            <w:r>
              <w:rPr>
                <w:rFonts w:ascii="Arial" w:hAnsi="Arial"/>
                <w:b/>
                <w:sz w:val="20"/>
              </w:rPr>
              <w:t>Características del agua residual</w:t>
            </w:r>
          </w:p>
        </w:tc>
      </w:tr>
      <w:tr>
        <w:trPr>
          <w:trHeight w:val="838" w:hRule="exact"/>
        </w:trPr>
        <w:tc>
          <w:tcPr>
            <w:tcW w:w="1810" w:type="dxa"/>
          </w:tcPr>
          <w:p>
            <w:pPr>
              <w:pStyle w:val="TableParagraph"/>
              <w:spacing w:before="9"/>
              <w:ind w:right="0"/>
              <w:jc w:val="left"/>
              <w:rPr>
                <w:rFonts w:ascii="Arial"/>
                <w:b/>
                <w:sz w:val="25"/>
              </w:rPr>
            </w:pPr>
          </w:p>
          <w:p>
            <w:pPr>
              <w:pStyle w:val="TableParagraph"/>
              <w:spacing w:before="0"/>
              <w:ind w:left="139" w:right="141"/>
              <w:jc w:val="center"/>
              <w:rPr>
                <w:rFonts w:ascii="Arial" w:hAnsi="Arial"/>
                <w:sz w:val="20"/>
              </w:rPr>
            </w:pPr>
            <w:r>
              <w:rPr>
                <w:rFonts w:ascii="Arial" w:hAnsi="Arial"/>
                <w:sz w:val="20"/>
              </w:rPr>
              <w:t>Cinética</w:t>
            </w:r>
          </w:p>
        </w:tc>
        <w:tc>
          <w:tcPr>
            <w:tcW w:w="1702" w:type="dxa"/>
          </w:tcPr>
          <w:p>
            <w:pPr>
              <w:pStyle w:val="TableParagraph"/>
              <w:spacing w:before="9"/>
              <w:ind w:right="0"/>
              <w:jc w:val="left"/>
              <w:rPr>
                <w:rFonts w:ascii="Arial"/>
                <w:b/>
                <w:sz w:val="25"/>
              </w:rPr>
            </w:pPr>
          </w:p>
          <w:p>
            <w:pPr>
              <w:pStyle w:val="TableParagraph"/>
              <w:spacing w:before="0"/>
              <w:ind w:left="296" w:right="298"/>
              <w:jc w:val="center"/>
              <w:rPr>
                <w:rFonts w:ascii="Arial" w:hAnsi="Arial"/>
                <w:sz w:val="20"/>
              </w:rPr>
            </w:pPr>
            <w:r>
              <w:rPr>
                <w:rFonts w:ascii="Arial" w:hAnsi="Arial"/>
                <w:sz w:val="20"/>
              </w:rPr>
              <w:t>1 – 50</w:t>
            </w:r>
          </w:p>
        </w:tc>
        <w:tc>
          <w:tcPr>
            <w:tcW w:w="2693" w:type="dxa"/>
          </w:tcPr>
          <w:p>
            <w:pPr>
              <w:pStyle w:val="TableParagraph"/>
              <w:spacing w:before="0"/>
              <w:ind w:left="100" w:right="101"/>
              <w:jc w:val="both"/>
              <w:rPr>
                <w:rFonts w:ascii="Arial" w:hAnsi="Arial"/>
                <w:sz w:val="18"/>
              </w:rPr>
            </w:pPr>
            <w:r>
              <w:rPr>
                <w:rFonts w:ascii="Arial" w:hAnsi="Arial"/>
                <w:sz w:val="18"/>
              </w:rPr>
              <w:t>Determinación de la cinética  de remoción de nitrógeno amoniacal, bajo condiciones controladas</w:t>
            </w:r>
          </w:p>
        </w:tc>
        <w:tc>
          <w:tcPr>
            <w:tcW w:w="2834" w:type="dxa"/>
          </w:tcPr>
          <w:p>
            <w:pPr>
              <w:pStyle w:val="TableParagraph"/>
              <w:spacing w:before="0"/>
              <w:ind w:left="103" w:right="99" w:hanging="1"/>
              <w:jc w:val="both"/>
              <w:rPr>
                <w:rFonts w:ascii="Arial" w:hAnsi="Arial"/>
                <w:sz w:val="18"/>
              </w:rPr>
            </w:pPr>
            <w:r>
              <w:rPr>
                <w:rFonts w:ascii="Arial" w:hAnsi="Arial"/>
                <w:sz w:val="18"/>
              </w:rPr>
              <w:t>Agua residual sintética comúnmente con una DBO no significativa</w:t>
            </w:r>
          </w:p>
        </w:tc>
      </w:tr>
      <w:tr>
        <w:trPr>
          <w:trHeight w:val="631" w:hRule="exact"/>
        </w:trPr>
        <w:tc>
          <w:tcPr>
            <w:tcW w:w="1810" w:type="dxa"/>
          </w:tcPr>
          <w:p>
            <w:pPr>
              <w:pStyle w:val="TableParagraph"/>
              <w:spacing w:before="10"/>
              <w:ind w:right="0"/>
              <w:jc w:val="left"/>
              <w:rPr>
                <w:rFonts w:ascii="Arial"/>
                <w:b/>
                <w:sz w:val="16"/>
              </w:rPr>
            </w:pPr>
          </w:p>
          <w:p>
            <w:pPr>
              <w:pStyle w:val="TableParagraph"/>
              <w:spacing w:before="0"/>
              <w:ind w:left="139" w:right="141"/>
              <w:jc w:val="center"/>
              <w:rPr>
                <w:rFonts w:ascii="Arial"/>
                <w:sz w:val="20"/>
              </w:rPr>
            </w:pPr>
            <w:r>
              <w:rPr>
                <w:rFonts w:ascii="Arial"/>
                <w:sz w:val="20"/>
              </w:rPr>
              <w:t>Escala piloto</w:t>
            </w:r>
          </w:p>
        </w:tc>
        <w:tc>
          <w:tcPr>
            <w:tcW w:w="1702" w:type="dxa"/>
          </w:tcPr>
          <w:p>
            <w:pPr>
              <w:pStyle w:val="TableParagraph"/>
              <w:spacing w:before="10"/>
              <w:ind w:right="0"/>
              <w:jc w:val="left"/>
              <w:rPr>
                <w:rFonts w:ascii="Arial"/>
                <w:b/>
                <w:sz w:val="16"/>
              </w:rPr>
            </w:pPr>
          </w:p>
          <w:p>
            <w:pPr>
              <w:pStyle w:val="TableParagraph"/>
              <w:spacing w:before="0"/>
              <w:ind w:left="295" w:right="298"/>
              <w:jc w:val="center"/>
              <w:rPr>
                <w:rFonts w:ascii="Arial" w:hAnsi="Arial"/>
                <w:sz w:val="20"/>
              </w:rPr>
            </w:pPr>
            <w:r>
              <w:rPr>
                <w:rFonts w:ascii="Arial" w:hAnsi="Arial"/>
                <w:sz w:val="20"/>
              </w:rPr>
              <w:t>5 – 100</w:t>
            </w:r>
          </w:p>
        </w:tc>
        <w:tc>
          <w:tcPr>
            <w:tcW w:w="2693" w:type="dxa"/>
          </w:tcPr>
          <w:p>
            <w:pPr>
              <w:pStyle w:val="TableParagraph"/>
              <w:spacing w:before="0"/>
              <w:ind w:left="100" w:right="101"/>
              <w:jc w:val="both"/>
              <w:rPr>
                <w:rFonts w:ascii="Arial" w:hAnsi="Arial"/>
                <w:sz w:val="18"/>
              </w:rPr>
            </w:pPr>
            <w:r>
              <w:rPr>
                <w:rFonts w:ascii="Arial" w:hAnsi="Arial"/>
                <w:sz w:val="18"/>
              </w:rPr>
              <w:t>Evaluación de empaque o configuración de filtros en condiciones controladas</w:t>
            </w:r>
          </w:p>
        </w:tc>
        <w:tc>
          <w:tcPr>
            <w:tcW w:w="2834" w:type="dxa"/>
          </w:tcPr>
          <w:p>
            <w:pPr>
              <w:pStyle w:val="TableParagraph"/>
              <w:spacing w:before="0"/>
              <w:ind w:left="103" w:right="99"/>
              <w:jc w:val="both"/>
              <w:rPr>
                <w:rFonts w:ascii="Arial" w:hAnsi="Arial"/>
                <w:sz w:val="18"/>
              </w:rPr>
            </w:pPr>
            <w:r>
              <w:rPr>
                <w:rFonts w:ascii="Arial" w:hAnsi="Arial"/>
                <w:sz w:val="18"/>
              </w:rPr>
              <w:t>Se puede utilizar agua residual sintética o de un sistema experimental</w:t>
            </w:r>
          </w:p>
        </w:tc>
      </w:tr>
      <w:tr>
        <w:trPr>
          <w:trHeight w:val="631" w:hRule="exact"/>
        </w:trPr>
        <w:tc>
          <w:tcPr>
            <w:tcW w:w="1810" w:type="dxa"/>
          </w:tcPr>
          <w:p>
            <w:pPr>
              <w:pStyle w:val="TableParagraph"/>
              <w:spacing w:before="79"/>
              <w:ind w:left="616" w:right="379" w:hanging="216"/>
              <w:jc w:val="left"/>
              <w:rPr>
                <w:rFonts w:ascii="Arial"/>
                <w:sz w:val="20"/>
              </w:rPr>
            </w:pPr>
            <w:r>
              <w:rPr>
                <w:rFonts w:ascii="Arial"/>
                <w:sz w:val="20"/>
              </w:rPr>
              <w:t>Sistema de cultivo</w:t>
            </w:r>
          </w:p>
        </w:tc>
        <w:tc>
          <w:tcPr>
            <w:tcW w:w="1702" w:type="dxa"/>
          </w:tcPr>
          <w:p>
            <w:pPr>
              <w:pStyle w:val="TableParagraph"/>
              <w:spacing w:before="10"/>
              <w:ind w:right="0"/>
              <w:jc w:val="left"/>
              <w:rPr>
                <w:rFonts w:ascii="Arial"/>
                <w:b/>
                <w:sz w:val="16"/>
              </w:rPr>
            </w:pPr>
          </w:p>
          <w:p>
            <w:pPr>
              <w:pStyle w:val="TableParagraph"/>
              <w:spacing w:before="0"/>
              <w:ind w:left="296" w:right="298"/>
              <w:jc w:val="center"/>
              <w:rPr>
                <w:rFonts w:ascii="Arial" w:hAnsi="Arial"/>
                <w:sz w:val="20"/>
              </w:rPr>
            </w:pPr>
            <w:r>
              <w:rPr>
                <w:rFonts w:ascii="Arial" w:hAnsi="Arial"/>
                <w:sz w:val="20"/>
              </w:rPr>
              <w:t>100 – 1 000</w:t>
            </w:r>
          </w:p>
        </w:tc>
        <w:tc>
          <w:tcPr>
            <w:tcW w:w="2693" w:type="dxa"/>
          </w:tcPr>
          <w:p>
            <w:pPr>
              <w:pStyle w:val="TableParagraph"/>
              <w:spacing w:before="0"/>
              <w:ind w:left="100" w:right="101"/>
              <w:jc w:val="both"/>
              <w:rPr>
                <w:rFonts w:ascii="Arial" w:hAnsi="Arial"/>
                <w:sz w:val="18"/>
              </w:rPr>
            </w:pPr>
            <w:r>
              <w:rPr>
                <w:rFonts w:ascii="Arial" w:hAnsi="Arial"/>
                <w:sz w:val="18"/>
              </w:rPr>
              <w:t>Evaluación de empaque o configuración de filtros en condiciones de cultivo</w:t>
            </w:r>
          </w:p>
        </w:tc>
        <w:tc>
          <w:tcPr>
            <w:tcW w:w="2834" w:type="dxa"/>
          </w:tcPr>
          <w:p>
            <w:pPr>
              <w:pStyle w:val="TableParagraph"/>
              <w:tabs>
                <w:tab w:pos="743" w:val="left" w:leader="none"/>
                <w:tab w:pos="1593" w:val="left" w:leader="none"/>
                <w:tab w:pos="2013" w:val="left" w:leader="none"/>
              </w:tabs>
              <w:spacing w:before="0"/>
              <w:ind w:left="103" w:right="99" w:hanging="1"/>
              <w:jc w:val="left"/>
              <w:rPr>
                <w:rFonts w:ascii="Arial" w:hAnsi="Arial"/>
                <w:sz w:val="18"/>
              </w:rPr>
            </w:pPr>
            <w:r>
              <w:rPr>
                <w:rFonts w:ascii="Arial" w:hAnsi="Arial"/>
                <w:sz w:val="18"/>
              </w:rPr>
              <w:t>Agua</w:t>
              <w:tab/>
              <w:t>residual</w:t>
              <w:tab/>
              <w:t>de</w:t>
              <w:tab/>
              <w:t>sistemas grandes de</w:t>
            </w:r>
            <w:r>
              <w:rPr>
                <w:rFonts w:ascii="Arial" w:hAnsi="Arial"/>
                <w:spacing w:val="-11"/>
                <w:sz w:val="18"/>
              </w:rPr>
              <w:t> </w:t>
            </w:r>
            <w:r>
              <w:rPr>
                <w:rFonts w:ascii="Arial" w:hAnsi="Arial"/>
                <w:sz w:val="18"/>
              </w:rPr>
              <w:t>producción</w:t>
            </w:r>
          </w:p>
        </w:tc>
      </w:tr>
    </w:tbl>
    <w:p>
      <w:pPr>
        <w:pStyle w:val="BodyText"/>
        <w:spacing w:before="9"/>
        <w:rPr>
          <w:b/>
          <w:sz w:val="10"/>
        </w:rPr>
      </w:pPr>
    </w:p>
    <w:p>
      <w:pPr>
        <w:pStyle w:val="BodyText"/>
        <w:spacing w:line="360" w:lineRule="auto" w:before="73"/>
        <w:ind w:left="781" w:right="495"/>
        <w:jc w:val="both"/>
      </w:pPr>
      <w:r>
        <w:rPr/>
        <w:t>Igualmente, determinaron los parámetros estándar que un trabajo en esta área de investigación debe de tomar en cuenta. En específico, estos autores, mencionan que dependiendo del tipo de estudio que se realice (tabla 5) se deben de reportar los  principios básicos del diseño del biofiltro como las características del empaque utilizado y del biofiltro, de la calidad del agua en el influente y efluente del mismo e indicadores del desempeño del</w:t>
      </w:r>
      <w:r>
        <w:rPr>
          <w:spacing w:val="-8"/>
        </w:rPr>
        <w:t> </w:t>
      </w:r>
      <w:r>
        <w:rPr/>
        <w:t>filtro.</w:t>
      </w:r>
    </w:p>
    <w:p>
      <w:pPr>
        <w:pStyle w:val="BodyText"/>
        <w:spacing w:before="9"/>
        <w:rPr>
          <w:sz w:val="17"/>
        </w:rPr>
      </w:pPr>
    </w:p>
    <w:p>
      <w:pPr>
        <w:pStyle w:val="BodyText"/>
        <w:spacing w:line="357" w:lineRule="auto"/>
        <w:ind w:left="781" w:right="498"/>
        <w:jc w:val="both"/>
      </w:pPr>
      <w:r>
        <w:rPr/>
        <w:t>El trabajo reportado por Eding </w:t>
      </w:r>
      <w:r>
        <w:rPr>
          <w:i/>
        </w:rPr>
        <w:t>et al</w:t>
      </w:r>
      <w:r>
        <w:rPr/>
        <w:t>. (2006), da base al diseño y operación de filtros percoladores para SRA, los autores señalan que estos biofiltros tienen varias ventajas sobre otros como: alta estabilidad de los procesos debido a una alta concentración de oxígeno, remoción de CO</w:t>
      </w:r>
      <w:r>
        <w:rPr>
          <w:position w:val="-2"/>
          <w:sz w:val="13"/>
        </w:rPr>
        <w:t>2 </w:t>
      </w:r>
      <w:r>
        <w:rPr/>
        <w:t>por desgasificación, agua con temperaturas bajas en verano y diseño, construcción, operación y mantenimiento simples.</w:t>
      </w:r>
    </w:p>
    <w:p>
      <w:pPr>
        <w:spacing w:after="0" w:line="357"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Sin embargo, también comentan que se tienen desventajas como: Tasas de remoción bajas, desprendimiento de biopelícula y colmatación del empaque cuando está mal operado.</w:t>
      </w:r>
    </w:p>
    <w:p>
      <w:pPr>
        <w:pStyle w:val="BodyText"/>
        <w:spacing w:before="9"/>
        <w:rPr>
          <w:sz w:val="17"/>
        </w:rPr>
      </w:pPr>
    </w:p>
    <w:p>
      <w:pPr>
        <w:pStyle w:val="BodyText"/>
        <w:spacing w:line="360" w:lineRule="auto"/>
        <w:ind w:left="781" w:right="498"/>
        <w:jc w:val="both"/>
      </w:pPr>
      <w:r>
        <w:rPr/>
        <w:t>Su diseño, comentan, está basado en los picos de producción de residuos por parte de  los organismos que coincide con el momento de máxima biomasa y consumo de alimento. Una vez que se conoce este momento se debe de calcular la producción de residuos por kilogramo de alimento proporcionado a los organismos, para determinar el caudal y las dimensiones del percolador. Otro factor importante es el objetivo del biofiltro, es decir la concentración de nitrógeno amoniacal en el efluente del percolador necesaria para permitir el cultivo acuícola, en general, esto puede ser controlado cuando se tienen bajas concentraciones de nitrógeno amoniacal en el influente y altas tasas de remoción en el filtro.</w:t>
      </w:r>
    </w:p>
    <w:p>
      <w:pPr>
        <w:pStyle w:val="BodyText"/>
        <w:spacing w:before="7"/>
        <w:rPr>
          <w:sz w:val="17"/>
        </w:rPr>
      </w:pPr>
    </w:p>
    <w:p>
      <w:pPr>
        <w:pStyle w:val="BodyText"/>
        <w:spacing w:line="360" w:lineRule="auto"/>
        <w:ind w:left="781" w:right="499"/>
        <w:jc w:val="both"/>
      </w:pPr>
      <w:r>
        <w:rPr/>
        <w:t>Por otra parte, estos mismos autores mencionan que el uso de percoladores debe de ser apoyado por unidades de clarificación y/o filtración para eliminar la biopelícula que se desprende del empaque. Al final concluyen, que el uso de los percoladores para los SRA es una opción que se debe considerar en situaciones, tales como, bajo presupuesto de construcción, poca mano de obra y generalmente poco capacitada, necesidades de altas concentraciones de oxígeno disuelto y baja concentración de CO</w:t>
      </w:r>
      <w:r>
        <w:rPr>
          <w:position w:val="-2"/>
          <w:sz w:val="13"/>
        </w:rPr>
        <w:t>2  </w:t>
      </w:r>
      <w:r>
        <w:rPr/>
        <w:t>en el agua.</w:t>
      </w:r>
    </w:p>
    <w:p>
      <w:pPr>
        <w:pStyle w:val="BodyText"/>
        <w:spacing w:line="357" w:lineRule="auto" w:before="186"/>
        <w:ind w:left="781" w:right="497"/>
        <w:jc w:val="both"/>
      </w:pPr>
      <w:r>
        <w:rPr/>
        <w:t>Es importante subrayar que la propuesta de investigación es la continuidad de investigaciones sobre sistemas de recirculación acuícola de la presente tesis que se han realizado desde 1999 (García </w:t>
      </w:r>
      <w:r>
        <w:rPr>
          <w:i/>
        </w:rPr>
        <w:t>et al</w:t>
      </w:r>
      <w:r>
        <w:rPr/>
        <w:t>., en prensa; García, 2008; Gallego, 2004) por un grupo de investigadores pertenecientes al Centro Interamericano de Recursos del Agua y al Centro de Investigación en Recursos Bióticos, pertenecientes a la Universidad Autónoma del Estado de México. En estos trabajos se reporta un SRA para el cultivo de trucha arco iris en diferentes etapas de su ciclo de vida en cautiverio, obteniendo como resultados un prototipo que permite densidades de biomasa de trucha de hasta 12 kg/m</w:t>
      </w:r>
      <w:r>
        <w:rPr>
          <w:position w:val="10"/>
          <w:sz w:val="13"/>
        </w:rPr>
        <w:t>3</w:t>
      </w:r>
      <w:r>
        <w:rPr/>
        <w:t>.</w:t>
      </w:r>
    </w:p>
    <w:p>
      <w:pPr>
        <w:pStyle w:val="BodyText"/>
        <w:spacing w:line="360" w:lineRule="auto" w:before="196"/>
        <w:ind w:left="781" w:right="498"/>
        <w:jc w:val="both"/>
      </w:pPr>
      <w:r>
        <w:rPr/>
        <w:t>Gallego (2004) diseñó y evaluó un tratamiento de agua residual acuícola para el cultivo de cría y juvenil de trucha arco iris, el tren consistió en un filtro de maya de 300 µm en forma de parábola, un percolador como biofiltro y un filtro de arena (figura 7). Se concluye en este trabajo que el cultivo de cría y juveniles de trucha en sistemas cerrados es factible para las condiciones socioeconómicas de la actividad en el Estado de México, logrando</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55" w:lineRule="auto" w:before="73"/>
        <w:ind w:left="781" w:right="498"/>
        <w:jc w:val="both"/>
      </w:pPr>
      <w:r>
        <w:rPr/>
        <w:t>un crecimiento promedio durante la fase experimental de 7,62 g de peso y 5,85 cm de longitud en un periodo de 12 semanas, los cuales son considerados aceptables al compararse con lo reportado en la literatura correspondiente. La biomasa alcanzada fue de 2,0 kg/m</w:t>
      </w:r>
      <w:r>
        <w:rPr>
          <w:position w:val="10"/>
          <w:sz w:val="13"/>
        </w:rPr>
        <w:t>3</w:t>
      </w:r>
      <w:r>
        <w:rPr/>
        <w:t>. La eficiencia acumulada obtenida por el tren de tratamiento para los parámetros clave fue de 90,51 % de remoción para sólidos suspendidos totales, de  88,00</w:t>
      </w:r>
    </w:p>
    <w:p>
      <w:pPr>
        <w:pStyle w:val="BodyText"/>
        <w:spacing w:line="333" w:lineRule="auto" w:before="10"/>
        <w:ind w:left="781" w:right="498"/>
        <w:jc w:val="both"/>
      </w:pPr>
      <w:r>
        <w:rPr/>
        <w:t>% para turbidez, 78,97 % para DBO</w:t>
      </w:r>
      <w:r>
        <w:rPr>
          <w:position w:val="-2"/>
          <w:sz w:val="13"/>
        </w:rPr>
        <w:t>5</w:t>
      </w:r>
      <w:r>
        <w:rPr/>
        <w:t>, 82,47 % para DQO, 78,14 % para N-NH</w:t>
      </w:r>
      <w:r>
        <w:rPr>
          <w:position w:val="-2"/>
          <w:sz w:val="13"/>
        </w:rPr>
        <w:t>3 </w:t>
      </w:r>
      <w:r>
        <w:rPr/>
        <w:t>y 57,73 % para N-NO</w:t>
      </w:r>
      <w:r>
        <w:rPr>
          <w:position w:val="-2"/>
          <w:sz w:val="13"/>
        </w:rPr>
        <w:t>2</w:t>
      </w:r>
      <w:r>
        <w:rPr>
          <w:position w:val="10"/>
          <w:sz w:val="13"/>
        </w:rPr>
        <w:t>-</w:t>
      </w:r>
      <w:r>
        <w:rPr/>
        <w:t>. Una contribución original del trabajo fue el uso de poliducto flexible como empaque para el biofiltro que cuenta con una superficie específica de 414 m</w:t>
      </w:r>
      <w:r>
        <w:rPr>
          <w:position w:val="10"/>
          <w:sz w:val="13"/>
        </w:rPr>
        <w:t>2</w:t>
      </w:r>
      <w:r>
        <w:rPr/>
        <w:t>/m</w:t>
      </w:r>
      <w:r>
        <w:rPr>
          <w:position w:val="10"/>
          <w:sz w:val="13"/>
        </w:rPr>
        <w:t>3</w:t>
      </w:r>
      <w:r>
        <w:rPr/>
        <w:t>.</w:t>
      </w:r>
    </w:p>
    <w:p>
      <w:pPr>
        <w:pStyle w:val="BodyText"/>
        <w:spacing w:before="1"/>
        <w:rPr>
          <w:sz w:val="29"/>
        </w:rPr>
      </w:pPr>
      <w:r>
        <w:rPr/>
        <w:pict>
          <v:group style="position:absolute;margin-left:118.724998pt;margin-top:18.719769pt;width:373.6pt;height:272.2pt;mso-position-horizontal-relative:page;mso-position-vertical-relative:paragraph;z-index:2896;mso-wrap-distance-left:0;mso-wrap-distance-right:0" coordorigin="2374,374" coordsize="7472,5444">
            <v:shape style="position:absolute;left:5302;top:3899;width:850;height:106" coordorigin="5302,3899" coordsize="850,106" path="m5302,3952l5369,3981,5479,3995,5549,4000,5626,4002,5707,4005,5786,4005,5866,4002,5940,3997,6005,3993,6062,3983,6106,3976,6134,3966,6151,3957,6151,3947,6062,3918,5940,3904,5866,3901,5786,3899,5626,3899,5549,3904,5479,3909,5419,3913,5369,3923,5330,3930,5309,3942,5302,3952xe" filled="false" stroked="true" strokeweight=".12pt" strokecolor="#000000">
              <v:path arrowok="t"/>
            </v:shape>
            <v:line style="position:absolute" from="5302,3952" to="5302,4720" stroked="true" strokeweight=".12pt" strokecolor="#000000"/>
            <v:shape style="position:absolute;left:5302;top:4667;width:850;height:106" coordorigin="5302,4667" coordsize="850,106" path="m5302,4720l5369,4749,5479,4763,5549,4768,5626,4773,5786,4773,5866,4770,5940,4765,6005,4761,6106,4744,6151,4725,6151,4715,6062,4689,5940,4674,5866,4669,5786,4667,5707,4667,5626,4669,5549,4672,5479,4677,5419,4684,5330,4701,5302,4720xe" filled="false" stroked="true" strokeweight=".12pt" strokecolor="#000000">
              <v:path arrowok="t"/>
            </v:shape>
            <v:line style="position:absolute" from="6154,3952" to="6154,4720" stroked="true" strokeweight=".12pt" strokecolor="#000000"/>
            <v:line style="position:absolute" from="2827,4657" to="4874,4657" stroked="true" strokeweight=".12pt" strokecolor="#000000"/>
            <v:line style="position:absolute" from="2998,4657" to="2998,1451" stroked="true" strokeweight=".12pt" strokecolor="#000000"/>
            <v:line style="position:absolute" from="4704,4657" to="4704,1451" stroked="true" strokeweight=".12pt" strokecolor="#000000"/>
            <v:line style="position:absolute" from="2827,4720" to="4874,4720" stroked="true" strokeweight=".12pt" strokecolor="#000000"/>
            <v:line style="position:absolute" from="2827,4657" to="2827,4720" stroked="true" strokeweight=".12pt" strokecolor="#000000"/>
            <v:line style="position:absolute" from="4874,4657" to="4874,4720" stroked="true" strokeweight=".12pt" strokecolor="#000000"/>
            <v:line style="position:absolute" from="3041,3803" to="4661,3803" stroked="true" strokeweight=".12pt" strokecolor="#000000"/>
            <v:line style="position:absolute" from="3041,2946" to="4661,2946" stroked="true" strokeweight=".12pt" strokecolor="#000000"/>
            <v:line style="position:absolute" from="3041,2092" to="4661,2092" stroked="true" strokeweight=".12pt" strokecolor="#000000"/>
            <v:line style="position:absolute" from="3041,3973" to="4661,3973" stroked="true" strokeweight=".12pt" strokecolor="#000000"/>
            <v:line style="position:absolute" from="3041,3119" to="4661,3119" stroked="true" strokeweight=".12pt" strokecolor="#000000"/>
            <v:line style="position:absolute" from="3041,2262" to="4661,2262" stroked="true" strokeweight=".12pt" strokecolor="#000000"/>
            <v:shape style="position:absolute;left:3083;top:3459;width:641;height:346" type="#_x0000_t75" stroked="false">
              <v:imagedata r:id="rId18" o:title=""/>
            </v:shape>
            <v:shape style="position:absolute;left:3083;top:1750;width:641;height:343" type="#_x0000_t75" stroked="false">
              <v:imagedata r:id="rId19" o:title=""/>
            </v:shape>
            <v:shape style="position:absolute;left:3083;top:2604;width:641;height:343" type="#_x0000_t75" stroked="false">
              <v:imagedata r:id="rId20" o:title=""/>
            </v:shape>
            <v:shape style="position:absolute;left:3978;top:3459;width:641;height:346" type="#_x0000_t75" stroked="false">
              <v:imagedata r:id="rId21" o:title=""/>
            </v:shape>
            <v:shape style="position:absolute;left:3978;top:2604;width:641;height:343" type="#_x0000_t75" stroked="false">
              <v:imagedata r:id="rId22" o:title=""/>
            </v:shape>
            <v:shape style="position:absolute;left:3979;top:1751;width:639;height:197" coordorigin="3979,1751" coordsize="639,197" path="m3979,1751l4618,1751,4618,1948e" filled="false" stroked="true" strokeweight=".12pt" strokecolor="#000000">
              <v:path arrowok="t"/>
            </v:shape>
            <v:line style="position:absolute" from="4327,2092" to="4186,2092" stroked="true" strokeweight=".12pt" strokecolor="#000000"/>
            <v:line style="position:absolute" from="3979,1948" to="4073,2092" stroked="true" strokeweight=".12pt" strokecolor="#000000"/>
            <v:line style="position:absolute" from="3979,1948" to="3979,1751" stroked="true" strokeweight=".12pt" strokecolor="#000000"/>
            <v:line style="position:absolute" from="4524,2092" to="4404,2092" stroked="true" strokeweight=".12pt" strokecolor="#000000"/>
            <v:line style="position:absolute" from="4310,1948" to="4404,2092" stroked="true" strokeweight=".12pt" strokecolor="#000000"/>
            <v:line style="position:absolute" from="4310,1948" to="4214,2092" stroked="true" strokeweight=".12pt" strokecolor="#000000"/>
            <v:line style="position:absolute" from="4618,1948" to="4524,2092" stroked="true" strokeweight=".12pt" strokecolor="#000000"/>
            <v:line style="position:absolute" from="4661,4657" to="4661,1451" stroked="true" strokeweight=".12pt" strokecolor="#000000"/>
            <v:line style="position:absolute" from="3041,4657" to="3041,1451" stroked="true" strokeweight=".12pt" strokecolor="#000000"/>
            <v:line style="position:absolute" from="2998,1451" to="4704,1451" stroked="true" strokeweight=".12pt" strokecolor="#000000"/>
            <v:line style="position:absolute" from="2998,1494" to="4704,1494" stroked="true" strokeweight=".12pt" strokecolor="#000000"/>
            <v:shape style="position:absolute;left:3314;top:781;width:468;height:63" coordorigin="3314,781" coordsize="468,63" path="m3314,813l3379,834,3451,841,3494,844,3583,844,3667,839,3734,832,3782,815,3782,810,3703,789,3626,784,3583,781,3538,781,3494,784,3451,784,3413,789,3379,791,3353,796,3331,801,3319,808,3314,813xe" filled="false" stroked="true" strokeweight=".12pt" strokecolor="#000000">
              <v:path arrowok="t"/>
            </v:shape>
            <v:line style="position:absolute" from="3314,813" to="3314,1410" stroked="true" strokeweight=".12pt" strokecolor="#000000"/>
            <v:shape style="position:absolute;left:3314;top:1379;width:468;height:63" coordorigin="3314,1379" coordsize="468,63" path="m3314,1410l3379,1432,3451,1439,3494,1441,3626,1441,3703,1434,3775,1420,3782,1415,3782,1408,3775,1403,3758,1396,3734,1391,3703,1389,3667,1384,3626,1381,3583,1381,3538,1379,3494,1381,3451,1384,3413,1386,3379,1389,3353,1393,3331,1401,3319,1405,3314,1410xe" filled="false" stroked="true" strokeweight=".12pt" strokecolor="#000000">
              <v:path arrowok="t"/>
            </v:shape>
            <v:line style="position:absolute" from="3782,813" to="3782,1410" stroked="true" strokeweight=".12pt" strokecolor="#000000"/>
            <v:shape style="position:absolute;left:3970;top:781;width:466;height:63" coordorigin="3970,781" coordsize="466,63" path="m3970,813l4032,834,4106,841,4147,844,4236,844,4320,839,4387,832,4435,815,4435,810,4356,789,4279,784,4236,781,4190,781,4147,784,4106,784,4068,789,4032,791,4006,796,3984,801,3972,808,3970,813xe" filled="false" stroked="true" strokeweight=".12pt" strokecolor="#000000">
              <v:path arrowok="t"/>
            </v:shape>
            <v:shape style="position:absolute;left:3970;top:1379;width:466;height:63" coordorigin="3970,1379" coordsize="466,63" path="m3970,1410l4032,1432,4106,1439,4147,1441,4279,1441,4356,1434,4428,1420,4435,1415,4435,1408,4428,1403,4411,1396,4387,1391,4356,1389,4320,1384,4279,1381,4236,1381,4190,1379,4106,1384,4032,1389,3972,1405,3970,1410xe" filled="false" stroked="true" strokeweight=".12pt" strokecolor="#000000">
              <v:path arrowok="t"/>
            </v:shape>
            <v:line style="position:absolute" from="3970,813" to="3970,1410" stroked="true" strokeweight=".12pt" strokecolor="#000000"/>
            <v:line style="position:absolute" from="4438,813" to="4438,1410" stroked="true" strokeweight=".12pt" strokecolor="#000000"/>
            <v:line style="position:absolute" from="3550,1410" to="4202,1410" stroked="true" strokeweight=".12pt" strokecolor="#0000ff"/>
            <v:line style="position:absolute" from="3533,1427" to="3869,1427" stroked="true" strokeweight=".12pt" strokecolor="#0000ff"/>
            <v:line style="position:absolute" from="3886,1427" to="3886,1528" stroked="true" strokeweight=".12pt" strokecolor="#0000ff"/>
            <v:line style="position:absolute" from="3869,1427" to="3869,1528" stroked="true" strokeweight=".12pt" strokecolor="#0000ff"/>
            <v:line style="position:absolute" from="3886,1427" to="4219,1427" stroked="true" strokeweight=".12pt" strokecolor="#0000ff"/>
            <v:line style="position:absolute" from="3550,1410" to="3550,1398" stroked="true" strokeweight=".12pt" strokecolor="#0000ff"/>
            <v:line style="position:absolute" from="3533,1427" to="3533,1398" stroked="true" strokeweight=".12pt" strokecolor="#0000ff"/>
            <v:line style="position:absolute" from="4219,1427" to="4219,1398" stroked="true" strokeweight=".12pt" strokecolor="#0000ff"/>
            <v:line style="position:absolute" from="4202,1410" to="4202,1398" stroked="true" strokeweight=".12pt" strokecolor="#0000ff"/>
            <v:line style="position:absolute" from="3350,1528" to="3869,1528" stroked="true" strokeweight=".12pt" strokecolor="#0000ff"/>
            <v:line style="position:absolute" from="3367,1545" to="3869,1545" stroked="true" strokeweight=".12pt" strokecolor="#0000ff"/>
            <v:line style="position:absolute" from="3886,1528" to="4402,1528" stroked="true" strokeweight=".12pt" strokecolor="#0000ff"/>
            <v:line style="position:absolute" from="3886,1545" to="4385,1545" stroked="true" strokeweight=".12pt" strokecolor="#0000ff"/>
            <v:line style="position:absolute" from="3869,1545" to="3869,2329" stroked="true" strokeweight=".12pt" strokecolor="#0000ff"/>
            <v:line style="position:absolute" from="3886,1545" to="3886,2329" stroked="true" strokeweight=".12pt" strokecolor="#0000ff"/>
            <v:line style="position:absolute" from="3869,2346" to="3869,3181" stroked="true" strokeweight=".12pt" strokecolor="#0000ff"/>
            <v:line style="position:absolute" from="3886,2346" to="3886,3181" stroked="true" strokeweight=".12pt" strokecolor="#0000ff"/>
            <v:line style="position:absolute" from="3533,1398" to="3550,1398" stroked="true" strokeweight=".12pt" strokecolor="#0000ff"/>
            <v:line style="position:absolute" from="4202,1398" to="4219,1398" stroked="true" strokeweight=".12pt" strokecolor="#0000ff"/>
            <v:line style="position:absolute" from="3350,1559" to="3350,1528" stroked="true" strokeweight=".12pt" strokecolor="#0000ff"/>
            <v:line style="position:absolute" from="4402,1559" to="4402,1528" stroked="true" strokeweight=".12pt" strokecolor="#0000ff"/>
            <v:line style="position:absolute" from="4385,1559" to="4385,1545" stroked="true" strokeweight=".12pt" strokecolor="#0000ff"/>
            <v:line style="position:absolute" from="3367,1559" to="3367,1545" stroked="true" strokeweight=".12pt" strokecolor="#0000ff"/>
            <v:line style="position:absolute" from="3350,1559" to="3367,1559" stroked="true" strokeweight=".12pt" strokecolor="#0000ff"/>
            <v:line style="position:absolute" from="4385,1559" to="4402,1559" stroked="true" strokeweight=".12pt" strokecolor="#0000ff"/>
            <v:line style="position:absolute" from="3886,2346" to="4385,2346" stroked="true" strokeweight=".12pt" strokecolor="#0000ff"/>
            <v:line style="position:absolute" from="3886,2329" to="4402,2329" stroked="true" strokeweight=".12pt" strokecolor="#0000ff"/>
            <v:line style="position:absolute" from="3367,2346" to="3869,2346" stroked="true" strokeweight=".12pt" strokecolor="#0000ff"/>
            <v:line style="position:absolute" from="3350,2329" to="3869,2329" stroked="true" strokeweight=".12pt" strokecolor="#0000ff"/>
            <v:line style="position:absolute" from="3350,2358" to="3367,2358" stroked="true" strokeweight=".12pt" strokecolor="#0000ff"/>
            <v:line style="position:absolute" from="3350,2358" to="3350,2329" stroked="true" strokeweight=".12pt" strokecolor="#0000ff"/>
            <v:line style="position:absolute" from="3367,2358" to="3367,2346" stroked="true" strokeweight=".12pt" strokecolor="#0000ff"/>
            <v:line style="position:absolute" from="4385,2358" to="4402,2358" stroked="true" strokeweight=".12pt" strokecolor="#0000ff"/>
            <v:line style="position:absolute" from="4385,2358" to="4385,2346" stroked="true" strokeweight=".12pt" strokecolor="#0000ff"/>
            <v:line style="position:absolute" from="4402,2358" to="4402,2329" stroked="true" strokeweight=".12pt" strokecolor="#0000ff"/>
            <v:line style="position:absolute" from="3886,3181" to="4402,3181" stroked="true" strokeweight=".12pt" strokecolor="#0000ff"/>
            <v:line style="position:absolute" from="3886,3198" to="4385,3198" stroked="true" strokeweight=".12pt" strokecolor="#0000ff"/>
            <v:line style="position:absolute" from="4385,3213" to="4402,3213" stroked="true" strokeweight=".12pt" strokecolor="#0000ff"/>
            <v:line style="position:absolute" from="4385,3213" to="4385,3198" stroked="true" strokeweight=".12pt" strokecolor="#0000ff"/>
            <v:line style="position:absolute" from="4402,3213" to="4402,3181" stroked="true" strokeweight=".12pt" strokecolor="#0000ff"/>
            <v:line style="position:absolute" from="3350,3181" to="3869,3181" stroked="true" strokeweight=".12pt" strokecolor="#0000ff"/>
            <v:line style="position:absolute" from="3367,3198" to="3886,3198" stroked="true" strokeweight=".12pt" strokecolor="#0000ff"/>
            <v:line style="position:absolute" from="3350,3213" to="3367,3213" stroked="true" strokeweight=".12pt" strokecolor="#0000ff"/>
            <v:line style="position:absolute" from="3350,3213" to="3350,3181" stroked="true" strokeweight=".12pt" strokecolor="#0000ff"/>
            <v:line style="position:absolute" from="3367,3213" to="3367,3198" stroked="true" strokeweight=".12pt" strokecolor="#0000ff"/>
            <v:shape style="position:absolute;left:4202;top:1398;width:17;height:12" coordorigin="4202,1398" coordsize="17,12" path="m4202,1398l4202,1410,4219,1410,4202,1398xe" filled="true" fillcolor="#0000ff" stroked="false">
              <v:path arrowok="t"/>
              <v:fill type="solid"/>
            </v:shape>
            <v:shape style="position:absolute;left:4202;top:1398;width:17;height:12" coordorigin="4202,1398" coordsize="17,12" path="m4219,1398l4202,1398,4219,1410,4219,1398xe" filled="true" fillcolor="#0000ff" stroked="false">
              <v:path arrowok="t"/>
              <v:fill type="solid"/>
            </v:shape>
            <v:shape style="position:absolute;left:3533;top:1398;width:17;height:12" coordorigin="3533,1398" coordsize="17,12" path="m3533,1398l3533,1410,3550,1410,3533,1398xe" filled="true" fillcolor="#0000ff" stroked="false">
              <v:path arrowok="t"/>
              <v:fill type="solid"/>
            </v:shape>
            <v:shape style="position:absolute;left:3533;top:1398;width:17;height:12" coordorigin="3533,1398" coordsize="17,12" path="m3550,1398l3533,1398,3550,1410,3550,1398xe" filled="true" fillcolor="#0000ff" stroked="false">
              <v:path arrowok="t"/>
              <v:fill type="solid"/>
            </v:shape>
            <v:line style="position:absolute" from="3533,1419" to="4219,1419" stroked="true" strokeweight=".84pt" strokecolor="#0000ff"/>
            <v:line style="position:absolute" from="3533,1419" to="4219,1419" stroked="true" strokeweight=".84pt" strokecolor="#0000ff"/>
            <v:shape style="position:absolute;left:3869;top:1427;width:17;height:101" coordorigin="3869,1427" coordsize="17,101" path="m3869,1427l3869,1528,3886,1528,3869,1427xe" filled="true" fillcolor="#0000ff" stroked="false">
              <v:path arrowok="t"/>
              <v:fill type="solid"/>
            </v:shape>
            <v:shape style="position:absolute;left:3869;top:1427;width:17;height:101" coordorigin="3869,1427" coordsize="17,101" path="m3886,1427l3869,1427,3886,1528,3886,1427xe" filled="true" fillcolor="#0000ff" stroked="false">
              <v:path arrowok="t"/>
              <v:fill type="solid"/>
            </v:shape>
            <v:line style="position:absolute" from="3350,1536" to="4402,1536" stroked="true" strokeweight=".84pt" strokecolor="#0000ff"/>
            <v:line style="position:absolute" from="3350,1536" to="4402,1536" stroked="true" strokeweight=".84pt" strokecolor="#0000ff"/>
            <v:shape style="position:absolute;left:4385;top:1545;width:17;height:15" coordorigin="4385,1545" coordsize="17,15" path="m4385,1545l4385,1559,4402,1559,4385,1545xe" filled="true" fillcolor="#0000ff" stroked="false">
              <v:path arrowok="t"/>
              <v:fill type="solid"/>
            </v:shape>
            <v:shape style="position:absolute;left:4385;top:1545;width:17;height:15" coordorigin="4385,1545" coordsize="17,15" path="m4402,1545l4385,1545,4402,1559,4402,1545xe" filled="true" fillcolor="#0000ff" stroked="false">
              <v:path arrowok="t"/>
              <v:fill type="solid"/>
            </v:shape>
            <v:shape style="position:absolute;left:3350;top:1545;width:17;height:15" coordorigin="3350,1545" coordsize="17,15" path="m3350,1545l3350,1559,3367,1559,3350,1545xe" filled="true" fillcolor="#0000ff" stroked="false">
              <v:path arrowok="t"/>
              <v:fill type="solid"/>
            </v:shape>
            <v:shape style="position:absolute;left:3350;top:1545;width:17;height:15" coordorigin="3350,1545" coordsize="17,15" path="m3367,1545l3350,1545,3367,1559,3367,1545xe" filled="true" fillcolor="#0000ff" stroked="false">
              <v:path arrowok="t"/>
              <v:fill type="solid"/>
            </v:shape>
            <v:line style="position:absolute" from="3877,1545" to="3877,2329" stroked="true" strokeweight=".84pt" strokecolor="#0000ff"/>
            <v:line style="position:absolute" from="3877,1545" to="3877,2329" stroked="true" strokeweight=".84pt" strokecolor="#0000ff"/>
            <v:line style="position:absolute" from="3350,2338" to="4402,2338" stroked="true" strokeweight=".84pt" strokecolor="#0000ff"/>
            <v:line style="position:absolute" from="3350,2338" to="4402,2338" stroked="true" strokeweight=".84pt" strokecolor="#0000ff"/>
            <v:shape style="position:absolute;left:4385;top:2346;width:17;height:12" coordorigin="4385,2346" coordsize="17,12" path="m4385,2346l4385,2358,4402,2358,4385,2346xe" filled="true" fillcolor="#0000ff" stroked="false">
              <v:path arrowok="t"/>
              <v:fill type="solid"/>
            </v:shape>
            <v:shape style="position:absolute;left:4385;top:2346;width:17;height:12" coordorigin="4385,2346" coordsize="17,12" path="m4402,2346l4385,2346,4402,2358,4402,2346xe" filled="true" fillcolor="#0000ff" stroked="false">
              <v:path arrowok="t"/>
              <v:fill type="solid"/>
            </v:shape>
            <v:shape style="position:absolute;left:3350;top:2346;width:17;height:12" coordorigin="3350,2346" coordsize="17,12" path="m3350,2346l3350,2358,3367,2358,3350,2346xe" filled="true" fillcolor="#0000ff" stroked="false">
              <v:path arrowok="t"/>
              <v:fill type="solid"/>
            </v:shape>
            <v:shape style="position:absolute;left:3350;top:2346;width:17;height:12" coordorigin="3350,2346" coordsize="17,12" path="m3367,2346l3350,2346,3367,2358,3367,2346xe" filled="true" fillcolor="#0000ff" stroked="false">
              <v:path arrowok="t"/>
              <v:fill type="solid"/>
            </v:shape>
            <v:line style="position:absolute" from="3877,2346" to="3877,3181" stroked="true" strokeweight=".84pt" strokecolor="#0000ff"/>
            <v:line style="position:absolute" from="3877,2346" to="3877,3181" stroked="true" strokeweight=".84pt" strokecolor="#0000ff"/>
            <v:line style="position:absolute" from="3350,3190" to="4402,3190" stroked="true" strokeweight=".84pt" strokecolor="#0000ff"/>
            <v:line style="position:absolute" from="3350,3190" to="4402,3190" stroked="true" strokeweight=".84pt" strokecolor="#0000ff"/>
            <v:shape style="position:absolute;left:4385;top:3198;width:17;height:15" coordorigin="4385,3198" coordsize="17,15" path="m4385,3198l4385,3213,4402,3213,4385,3198xe" filled="true" fillcolor="#0000ff" stroked="false">
              <v:path arrowok="t"/>
              <v:fill type="solid"/>
            </v:shape>
            <v:shape style="position:absolute;left:4385;top:3198;width:17;height:15" coordorigin="4385,3198" coordsize="17,15" path="m4402,3198l4385,3198,4402,3213,4402,3198xe" filled="true" fillcolor="#0000ff" stroked="false">
              <v:path arrowok="t"/>
              <v:fill type="solid"/>
            </v:shape>
            <v:shape style="position:absolute;left:3350;top:3198;width:17;height:15" coordorigin="3350,3198" coordsize="17,15" path="m3350,3198l3350,3213,3367,3213,3350,3198xe" filled="true" fillcolor="#0000ff" stroked="false">
              <v:path arrowok="t"/>
              <v:fill type="solid"/>
            </v:shape>
            <v:shape style="position:absolute;left:3350;top:3198;width:17;height:15" coordorigin="3350,3198" coordsize="17,15" path="m3367,3198l3350,3198,3367,3213,3367,3198xe" filled="true" fillcolor="#0000ff" stroked="false">
              <v:path arrowok="t"/>
              <v:fill type="solid"/>
            </v:shape>
            <v:shape style="position:absolute;left:3250;top:2092;width:320;height:29" coordorigin="3250,2092" coordsize="320,29" path="m3250,2092l3250,2121,3569,2121e" filled="false" stroked="true" strokeweight=".12pt" strokecolor="#ff0000">
              <v:path arrowok="t"/>
            </v:shape>
            <v:line style="position:absolute" from="3569,2092" to="3569,2121" stroked="true" strokeweight=".12pt" strokecolor="#ff0000"/>
            <v:line style="position:absolute" from="3233,2137" to="3842,2137" stroked="true" strokeweight=".12pt" strokecolor="#ff0000"/>
            <v:line style="position:absolute" from="3586,2092" to="3586,2121" stroked="true" strokeweight=".12pt" strokecolor="#ff0000"/>
            <v:shape style="position:absolute;left:3233;top:2092;width:17;height:46" coordorigin="3233,2092" coordsize="17,46" path="m3233,2137l3233,2092,3250,2092e" filled="false" stroked="true" strokeweight=".12pt" strokecolor="#ff0000">
              <v:path arrowok="t"/>
            </v:shape>
            <v:line style="position:absolute" from="3569,2092" to="3586,2092" stroked="true" strokeweight=".12pt" strokecolor="#ff0000"/>
            <v:line style="position:absolute" from="3586,2121" to="3802,2121" stroked="true" strokeweight=".12pt" strokecolor="#ff0000"/>
            <v:line style="position:absolute" from="4464,2121" to="4145,2121" stroked="true" strokeweight=".12pt" strokecolor="#ff0000"/>
            <v:line style="position:absolute" from="4481,2137" to="3859,2137" stroked="true" strokeweight=".12pt" strokecolor="#ff0000"/>
            <v:line style="position:absolute" from="4481,2092" to="4464,2092" stroked="true" strokeweight=".12pt" strokecolor="#ff0000"/>
            <v:line style="position:absolute" from="4481,2137" to="4481,2092" stroked="true" strokeweight=".12pt" strokecolor="#ff0000"/>
            <v:line style="position:absolute" from="4464,2092" to="4464,2121" stroked="true" strokeweight=".12pt" strokecolor="#ff0000"/>
            <v:line style="position:absolute" from="4128,2121" to="3802,2121" stroked="true" strokeweight=".12pt" strokecolor="#ff0000"/>
            <v:line style="position:absolute" from="4085,2092" to="4202,2092" stroked="true" strokeweight=".12pt" strokecolor="#000000"/>
            <v:shape style="position:absolute;left:4128;top:2092;width:17;height:29" coordorigin="4128,2092" coordsize="17,29" path="m4145,2092l4128,2092,4128,2121e" filled="false" stroked="true" strokeweight=".12pt" strokecolor="#ff0000">
              <v:path arrowok="t"/>
            </v:shape>
            <v:line style="position:absolute" from="4145,2092" to="4145,2121" stroked="true" strokeweight=".12pt" strokecolor="#ff0000"/>
            <v:line style="position:absolute" from="3842,2137" to="3842,2975" stroked="true" strokeweight=".12pt" strokecolor="#ff0000"/>
            <v:line style="position:absolute" from="3859,2137" to="3859,2975" stroked="true" strokeweight=".12pt" strokecolor="#ff0000"/>
            <v:line style="position:absolute" from="3233,2992" to="3842,2992" stroked="true" strokeweight=".12pt" strokecolor="#ff0000"/>
            <v:line style="position:absolute" from="3250,2975" to="3569,2975" stroked="true" strokeweight=".12pt" strokecolor="#ff0000"/>
            <v:line style="position:absolute" from="3233,2946" to="3250,2946" stroked="true" strokeweight=".12pt" strokecolor="#ff0000"/>
            <v:line style="position:absolute" from="3233,2992" to="3233,2946" stroked="true" strokeweight=".12pt" strokecolor="#ff0000"/>
            <v:line style="position:absolute" from="3250,2946" to="3250,2975" stroked="true" strokeweight=".12pt" strokecolor="#ff0000"/>
            <v:line style="position:absolute" from="4128,2975" to="3859,2975" stroked="true" strokeweight=".12pt" strokecolor="#ff0000"/>
            <v:line style="position:absolute" from="4481,2992" to="3859,2992" stroked="true" strokeweight=".12pt" strokecolor="#ff0000"/>
            <v:line style="position:absolute" from="3586,2975" to="3802,2975" stroked="true" strokeweight=".12pt" strokecolor="#ff0000"/>
            <v:line style="position:absolute" from="3629,2946" to="3509,2946" stroked="true" strokeweight=".12pt" strokecolor="#000000"/>
            <v:shape style="position:absolute;left:3569;top:2946;width:17;height:29" coordorigin="3569,2946" coordsize="17,29" path="m3569,2946l3586,2946,3586,2975e" filled="false" stroked="true" strokeweight=".12pt" strokecolor="#ff0000">
              <v:path arrowok="t"/>
            </v:shape>
            <v:line style="position:absolute" from="3569,2946" to="3569,2975" stroked="true" strokeweight=".12pt" strokecolor="#ff0000"/>
            <v:line style="position:absolute" from="4464,2975" to="4145,2975" stroked="true" strokeweight=".12pt" strokecolor="#ff0000"/>
            <v:line style="position:absolute" from="4085,2946" to="4202,2946" stroked="true" strokeweight=".12pt" strokecolor="#000000"/>
            <v:shape style="position:absolute;left:4128;top:2946;width:17;height:29" coordorigin="4128,2946" coordsize="17,29" path="m4145,2946l4128,2946,4128,2975e" filled="false" stroked="true" strokeweight=".12pt" strokecolor="#ff0000">
              <v:path arrowok="t"/>
            </v:shape>
            <v:line style="position:absolute" from="4145,2946" to="4145,2975" stroked="true" strokeweight=".12pt" strokecolor="#ff0000"/>
            <v:line style="position:absolute" from="4481,2992" to="4481,2946" stroked="true" strokeweight=".12pt" strokecolor="#ff0000"/>
            <v:line style="position:absolute" from="4472,2945" to="4472,2992" stroked="true" strokeweight=".96pt" strokecolor="#ff0000"/>
            <v:line style="position:absolute" from="3233,3846" to="3842,3846" stroked="true" strokeweight=".12pt" strokecolor="#ff0000"/>
            <v:line style="position:absolute" from="3250,3829" to="3569,3829" stroked="true" strokeweight=".12pt" strokecolor="#ff0000"/>
            <v:line style="position:absolute" from="3233,3803" to="3250,3803" stroked="true" strokeweight=".12pt" strokecolor="#ff0000"/>
            <v:line style="position:absolute" from="3233,3846" to="3233,3803" stroked="true" strokeweight=".12pt" strokecolor="#ff0000"/>
            <v:line style="position:absolute" from="3250,3803" to="3250,3829" stroked="true" strokeweight=".12pt" strokecolor="#ff0000"/>
            <v:line style="position:absolute" from="4128,3829" to="3859,3829" stroked="true" strokeweight=".12pt" strokecolor="#ff0000"/>
            <v:line style="position:absolute" from="4481,3846" to="3859,3846" stroked="true" strokeweight=".12pt" strokecolor="#ff0000"/>
            <v:line style="position:absolute" from="3586,3829" to="3802,3829" stroked="true" strokeweight=".12pt" strokecolor="#ff0000"/>
            <v:line style="position:absolute" from="3629,3803" to="3509,3803" stroked="true" strokeweight=".12pt" strokecolor="#000000"/>
            <v:shape style="position:absolute;left:3569;top:3803;width:17;height:27" coordorigin="3569,3803" coordsize="17,27" path="m3569,3803l3586,3803,3586,3829e" filled="false" stroked="true" strokeweight=".12pt" strokecolor="#ff0000">
              <v:path arrowok="t"/>
            </v:shape>
            <v:line style="position:absolute" from="3569,3803" to="3569,3829" stroked="true" strokeweight=".12pt" strokecolor="#ff0000"/>
            <v:line style="position:absolute" from="4464,3829" to="4145,3829" stroked="true" strokeweight=".12pt" strokecolor="#ff0000"/>
            <v:line style="position:absolute" from="4085,3803" to="4202,3803" stroked="true" strokeweight=".12pt" strokecolor="#000000"/>
            <v:shape style="position:absolute;left:4128;top:3803;width:17;height:27" coordorigin="4128,3803" coordsize="17,27" path="m4145,3803l4128,3803,4128,3829e" filled="false" stroked="true" strokeweight=".12pt" strokecolor="#ff0000">
              <v:path arrowok="t"/>
            </v:shape>
            <v:line style="position:absolute" from="4145,3803" to="4145,3829" stroked="true" strokeweight=".12pt" strokecolor="#ff0000"/>
            <v:line style="position:absolute" from="4481,3846" to="4481,3803" stroked="true" strokeweight=".12pt" strokecolor="#ff0000"/>
            <v:line style="position:absolute" from="4472,3802" to="4472,3846" stroked="true" strokeweight=".96pt" strokecolor="#ff0000"/>
            <v:line style="position:absolute" from="3842,2992" to="3842,3181" stroked="true" strokeweight=".12pt" strokecolor="#ff0000"/>
            <v:line style="position:absolute" from="3842,2975" to="3802,2975" stroked="true" strokeweight=".12pt" strokecolor="#ff0000"/>
            <v:line style="position:absolute" from="3859,2992" to="3859,3181" stroked="true" strokeweight=".12pt" strokecolor="#ff0000"/>
            <v:line style="position:absolute" from="3842,3846" to="3842,3913" stroked="true" strokeweight=".12pt" strokecolor="#ff0000"/>
            <v:line style="position:absolute" from="3859,3846" to="3859,3863" stroked="true" strokeweight=".12pt" strokecolor="#ff0000"/>
            <v:line style="position:absolute" from="3842,3829" to="3802,3829" stroked="true" strokeweight=".12pt" strokecolor="#ff0000"/>
            <v:shape style="position:absolute;left:4924;top:3699;width:360;height:276" type="#_x0000_t75" stroked="false">
              <v:imagedata r:id="rId23" o:title=""/>
            </v:shape>
            <v:line style="position:absolute" from="3859,3863" to="4925,3863" stroked="true" strokeweight=".12pt" strokecolor="#ff0000"/>
            <v:line style="position:absolute" from="3859,3880" to="4925,3880" stroked="true" strokeweight=".12pt" strokecolor="#ff0000"/>
            <v:line style="position:absolute" from="3859,3880" to="3859,3913" stroked="true" strokeweight=".12pt" strokecolor="#ff0000"/>
            <v:line style="position:absolute" from="4925,3863" to="4925,3880" stroked="true" strokeweight=".12pt" strokecolor="#ff0000"/>
            <v:line style="position:absolute" from="3851,2346" to="3851,2946" stroked="true" strokeweight=".84pt" strokecolor="#ff0000"/>
            <v:line style="position:absolute" from="3851,2346" to="3851,2946" stroked="true" strokeweight=".84pt" strokecolor="#ff0000"/>
            <v:shape style="position:absolute;left:3842;top:2946;width:17;height:29" coordorigin="3842,2946" coordsize="17,29" path="m3842,2946l3842,2975,3859,2975,3842,2946xe" filled="true" fillcolor="#ff0000" stroked="false">
              <v:path arrowok="t"/>
              <v:fill type="solid"/>
            </v:shape>
            <v:shape style="position:absolute;left:3842;top:2946;width:17;height:29" coordorigin="3842,2946" coordsize="17,29" path="m3859,2946l3842,2946,3859,2975,3859,2946xe" filled="true" fillcolor="#ff0000" stroked="false">
              <v:path arrowok="t"/>
              <v:fill type="solid"/>
            </v:shape>
            <v:shape style="position:absolute;left:3569;top:2946;width:17;height:29" coordorigin="3569,2946" coordsize="17,29" path="m3569,2946l3569,2975,3586,2975,3569,2946xe" filled="true" fillcolor="#ff0000" stroked="false">
              <v:path arrowok="t"/>
              <v:fill type="solid"/>
            </v:shape>
            <v:shape style="position:absolute;left:3569;top:2946;width:17;height:29" coordorigin="3569,2946" coordsize="17,29" path="m3586,2946l3569,2946,3586,2975,3586,2946xe" filled="true" fillcolor="#ff0000" stroked="false">
              <v:path arrowok="t"/>
              <v:fill type="solid"/>
            </v:shape>
            <v:shape style="position:absolute;left:3233;top:2946;width:17;height:29" coordorigin="3233,2946" coordsize="17,29" path="m3233,2946l3233,2975,3250,2975,3233,2946xe" filled="true" fillcolor="#ff0000" stroked="false">
              <v:path arrowok="t"/>
              <v:fill type="solid"/>
            </v:shape>
            <v:shape style="position:absolute;left:3233;top:2946;width:17;height:29" coordorigin="3233,2946" coordsize="17,29" path="m3250,2946l3233,2946,3250,2975,3250,2946xe" filled="true" fillcolor="#ff0000" stroked="false">
              <v:path arrowok="t"/>
              <v:fill type="solid"/>
            </v:shape>
            <v:line style="position:absolute" from="3233,2983" to="3869,2983" stroked="true" strokeweight=".84pt" strokecolor="#ff0000"/>
            <v:line style="position:absolute" from="3233,2983" to="3869,2983" stroked="true" strokeweight=".84pt" strokecolor="#ff0000"/>
            <v:shape style="position:absolute;left:3842;top:2992;width:17;height:128" coordorigin="3842,2992" coordsize="17,128" path="m3842,2992l3842,3119,3859,3119,3842,2992xe" filled="true" fillcolor="#ff0000" stroked="false">
              <v:path arrowok="t"/>
              <v:fill type="solid"/>
            </v:shape>
            <v:shape style="position:absolute;left:3842;top:2992;width:17;height:128" coordorigin="3842,2992" coordsize="17,128" path="m3859,2992l3842,2992,3859,3119,3859,2992xe" filled="true" fillcolor="#ff0000" stroked="false">
              <v:path arrowok="t"/>
              <v:fill type="solid"/>
            </v:shape>
            <v:shape style="position:absolute;left:3842;top:3119;width:17;height:63" coordorigin="3842,3119" coordsize="17,63" path="m3842,3119l3842,3181,3859,3181,3842,3119xe" filled="true" fillcolor="#ff0000" stroked="false">
              <v:path arrowok="t"/>
              <v:fill type="solid"/>
            </v:shape>
            <v:shape style="position:absolute;left:3842;top:3119;width:17;height:63" coordorigin="3842,3119" coordsize="17,63" path="m3859,3119l3842,3119,3859,3181,3859,3119xe" filled="true" fillcolor="#ff0000" stroked="false">
              <v:path arrowok="t"/>
              <v:fill type="solid"/>
            </v:shape>
            <v:shape style="position:absolute;left:4464;top:2946;width:17;height:29" coordorigin="4464,2946" coordsize="17,29" path="m4464,2946l4464,2975,4481,2975,4464,2946xe" filled="true" fillcolor="#ff0000" stroked="false">
              <v:path arrowok="t"/>
              <v:fill type="solid"/>
            </v:shape>
            <v:shape style="position:absolute;left:4464;top:2946;width:17;height:29" coordorigin="4464,2946" coordsize="17,29" path="m4481,2946l4464,2946,4481,2975,4481,2946xe" filled="true" fillcolor="#ff0000" stroked="false">
              <v:path arrowok="t"/>
              <v:fill type="solid"/>
            </v:shape>
            <v:shape style="position:absolute;left:4128;top:2946;width:17;height:29" coordorigin="4128,2946" coordsize="17,29" path="m4128,2946l4128,2975,4145,2975,4128,2946xe" filled="true" fillcolor="#ff0000" stroked="false">
              <v:path arrowok="t"/>
              <v:fill type="solid"/>
            </v:shape>
            <v:shape style="position:absolute;left:4128;top:2946;width:17;height:29" coordorigin="4128,2946" coordsize="17,29" path="m4145,2946l4128,2946,4145,2975,4145,2946xe" filled="true" fillcolor="#ff0000" stroked="false">
              <v:path arrowok="t"/>
              <v:fill type="solid"/>
            </v:shape>
            <v:line style="position:absolute" from="3886,2983" to="4481,2983" stroked="true" strokeweight=".84pt" strokecolor="#ff0000"/>
            <v:line style="position:absolute" from="3886,2983" to="4481,2983" stroked="true" strokeweight=".84pt" strokecolor="#ff0000"/>
            <v:shape style="position:absolute;left:3569;top:2092;width:17;height:29" coordorigin="3569,2092" coordsize="17,29" path="m3569,2092l3569,2121,3586,2121,3569,2092xe" filled="true" fillcolor="#ff0000" stroked="false">
              <v:path arrowok="t"/>
              <v:fill type="solid"/>
            </v:shape>
            <v:shape style="position:absolute;left:3569;top:2092;width:17;height:29" coordorigin="3569,2092" coordsize="17,29" path="m3586,2092l3569,2092,3586,2121,3586,2092xe" filled="true" fillcolor="#ff0000" stroked="false">
              <v:path arrowok="t"/>
              <v:fill type="solid"/>
            </v:shape>
            <v:shape style="position:absolute;left:3233;top:2092;width:17;height:29" coordorigin="3233,2092" coordsize="17,29" path="m3233,2092l3233,2121,3250,2121,3233,2092xe" filled="true" fillcolor="#ff0000" stroked="false">
              <v:path arrowok="t"/>
              <v:fill type="solid"/>
            </v:shape>
            <v:shape style="position:absolute;left:3233;top:2092;width:17;height:29" coordorigin="3233,2092" coordsize="17,29" path="m3250,2092l3233,2092,3250,2121,3250,2092xe" filled="true" fillcolor="#ff0000" stroked="false">
              <v:path arrowok="t"/>
              <v:fill type="solid"/>
            </v:shape>
            <v:line style="position:absolute" from="3233,2129" to="3869,2129" stroked="true" strokeweight=".84pt" strokecolor="#ff0000"/>
            <v:line style="position:absolute" from="3233,2129" to="3869,2129" stroked="true" strokeweight=".84pt" strokecolor="#ff0000"/>
            <v:shape style="position:absolute;left:3842;top:2137;width:17;height:125" coordorigin="3842,2137" coordsize="17,125" path="m3842,2137l3842,2262,3859,2262,3842,2137xe" filled="true" fillcolor="#ff0000" stroked="false">
              <v:path arrowok="t"/>
              <v:fill type="solid"/>
            </v:shape>
            <v:shape style="position:absolute;left:3842;top:2137;width:17;height:125" coordorigin="3842,2137" coordsize="17,125" path="m3859,2137l3842,2137,3859,2262,3859,2137xe" filled="true" fillcolor="#ff0000" stroked="false">
              <v:path arrowok="t"/>
              <v:fill type="solid"/>
            </v:shape>
            <v:shape style="position:absolute;left:3842;top:2262;width:17;height:68" coordorigin="3842,2262" coordsize="17,68" path="m3842,2262l3842,2329,3859,2329,3842,2262xe" filled="true" fillcolor="#ff0000" stroked="false">
              <v:path arrowok="t"/>
              <v:fill type="solid"/>
            </v:shape>
            <v:shape style="position:absolute;left:3842;top:2262;width:17;height:68" coordorigin="3842,2262" coordsize="17,68" path="m3859,2262l3842,2262,3859,2329,3859,2262xe" filled="true" fillcolor="#ff0000" stroked="false">
              <v:path arrowok="t"/>
              <v:fill type="solid"/>
            </v:shape>
            <v:shape style="position:absolute;left:4464;top:2092;width:17;height:29" coordorigin="4464,2092" coordsize="17,29" path="m4464,2092l4464,2121,4481,2121,4464,2092xe" filled="true" fillcolor="#ff0000" stroked="false">
              <v:path arrowok="t"/>
              <v:fill type="solid"/>
            </v:shape>
            <v:shape style="position:absolute;left:4464;top:2092;width:17;height:29" coordorigin="4464,2092" coordsize="17,29" path="m4481,2092l4464,2092,4481,2121,4481,2092xe" filled="true" fillcolor="#ff0000" stroked="false">
              <v:path arrowok="t"/>
              <v:fill type="solid"/>
            </v:shape>
            <v:shape style="position:absolute;left:4128;top:2092;width:17;height:29" coordorigin="4128,2092" coordsize="17,29" path="m4128,2092l4128,2121,4145,2121,4128,2092xe" filled="true" fillcolor="#ff0000" stroked="false">
              <v:path arrowok="t"/>
              <v:fill type="solid"/>
            </v:shape>
            <v:shape style="position:absolute;left:4128;top:2092;width:17;height:29" coordorigin="4128,2092" coordsize="17,29" path="m4145,2092l4128,2092,4145,2121,4145,2092xe" filled="true" fillcolor="#ff0000" stroked="false">
              <v:path arrowok="t"/>
              <v:fill type="solid"/>
            </v:shape>
            <v:line style="position:absolute" from="3886,2129" to="4481,2129" stroked="true" strokeweight=".84pt" strokecolor="#ff0000"/>
            <v:line style="position:absolute" from="3886,2129" to="4481,2129" stroked="true" strokeweight=".84pt" strokecolor="#ff0000"/>
            <v:line style="position:absolute" from="3851,3198" to="3851,3803" stroked="true" strokeweight=".84pt" strokecolor="#ff0000"/>
            <v:line style="position:absolute" from="3851,3198" to="3851,3803" stroked="true" strokeweight=".84pt" strokecolor="#ff0000"/>
            <v:shape style="position:absolute;left:4464;top:3803;width:17;height:27" coordorigin="4464,3803" coordsize="17,27" path="m4464,3803l4464,3829,4481,3829,4464,3803xe" filled="true" fillcolor="#ff0000" stroked="false">
              <v:path arrowok="t"/>
              <v:fill type="solid"/>
            </v:shape>
            <v:shape style="position:absolute;left:4464;top:3803;width:17;height:27" coordorigin="4464,3803" coordsize="17,27" path="m4481,3803l4464,3803,4481,3829,4481,3803xe" filled="true" fillcolor="#ff0000" stroked="false">
              <v:path arrowok="t"/>
              <v:fill type="solid"/>
            </v:shape>
            <v:shape style="position:absolute;left:4128;top:3803;width:17;height:27" coordorigin="4128,3803" coordsize="17,27" path="m4128,3803l4128,3829,4145,3829,4128,3803xe" filled="true" fillcolor="#ff0000" stroked="false">
              <v:path arrowok="t"/>
              <v:fill type="solid"/>
            </v:shape>
            <v:shape style="position:absolute;left:4128;top:3803;width:17;height:27" coordorigin="4128,3803" coordsize="17,27" path="m4145,3803l4128,3803,4145,3829,4145,3803xe" filled="true" fillcolor="#ff0000" stroked="false">
              <v:path arrowok="t"/>
              <v:fill type="solid"/>
            </v:shape>
            <v:shape style="position:absolute;left:3842;top:3803;width:17;height:27" coordorigin="3842,3803" coordsize="17,27" path="m3842,3803l3842,3829,3859,3829,3842,3803xe" filled="true" fillcolor="#ff0000" stroked="false">
              <v:path arrowok="t"/>
              <v:fill type="solid"/>
            </v:shape>
            <v:shape style="position:absolute;left:3842;top:3803;width:17;height:27" coordorigin="3842,3803" coordsize="17,27" path="m3859,3803l3842,3803,3859,3829,3859,3803xe" filled="true" fillcolor="#ff0000" stroked="false">
              <v:path arrowok="t"/>
              <v:fill type="solid"/>
            </v:shape>
            <v:shape style="position:absolute;left:3569;top:3803;width:17;height:27" coordorigin="3569,3803" coordsize="17,27" path="m3569,3803l3569,3829,3586,3829,3569,3803xe" filled="true" fillcolor="#ff0000" stroked="false">
              <v:path arrowok="t"/>
              <v:fill type="solid"/>
            </v:shape>
            <v:shape style="position:absolute;left:3569;top:3803;width:17;height:27" coordorigin="3569,3803" coordsize="17,27" path="m3586,3803l3569,3803,3586,3829,3586,3803xe" filled="true" fillcolor="#ff0000" stroked="false">
              <v:path arrowok="t"/>
              <v:fill type="solid"/>
            </v:shape>
            <v:shape style="position:absolute;left:3233;top:3803;width:17;height:27" coordorigin="3233,3803" coordsize="17,27" path="m3233,3803l3233,3829,3250,3829,3233,3803xe" filled="true" fillcolor="#ff0000" stroked="false">
              <v:path arrowok="t"/>
              <v:fill type="solid"/>
            </v:shape>
            <v:shape style="position:absolute;left:3233;top:3803;width:17;height:27" coordorigin="3233,3803" coordsize="17,27" path="m3250,3803l3233,3803,3250,3829,3250,3803xe" filled="true" fillcolor="#ff0000" stroked="false">
              <v:path arrowok="t"/>
              <v:fill type="solid"/>
            </v:shape>
            <v:line style="position:absolute" from="3233,3838" to="4481,3838" stroked="true" strokeweight=".84pt" strokecolor="#ff0000"/>
            <v:line style="position:absolute" from="3233,3838" to="4481,3838" stroked="true" strokeweight=".84pt" strokecolor="#ff0000"/>
            <v:shape style="position:absolute;left:3842;top:3846;width:17;height:17" coordorigin="3842,3846" coordsize="17,17" path="m3842,3846l3842,3863,3859,3863,3842,3846xe" filled="true" fillcolor="#ff0000" stroked="false">
              <v:path arrowok="t"/>
              <v:fill type="solid"/>
            </v:shape>
            <v:shape style="position:absolute;left:3842;top:3846;width:17;height:17" coordorigin="3842,3846" coordsize="17,17" path="m3859,3846l3842,3846,3859,3863,3859,3846xe" filled="true" fillcolor="#ff0000" stroked="false">
              <v:path arrowok="t"/>
              <v:fill type="solid"/>
            </v:shape>
            <v:line style="position:absolute" from="4704,3871" to="4925,3871" stroked="true" strokeweight=".84pt" strokecolor="#ff0000"/>
            <v:line style="position:absolute" from="4704,3871" to="4925,3871" stroked="true" strokeweight=".84pt" strokecolor="#ff0000"/>
            <v:shape style="position:absolute;left:4661;top:3863;width:44;height:17" coordorigin="4661,3863" coordsize="44,17" path="m4661,3863l4661,3880,4704,3880,4661,3863xe" filled="true" fillcolor="#ff0000" stroked="false">
              <v:path arrowok="t"/>
              <v:fill type="solid"/>
            </v:shape>
            <v:shape style="position:absolute;left:4661;top:3863;width:44;height:17" coordorigin="4661,3863" coordsize="44,17" path="m4704,3863l4661,3863,4704,3880,4704,3863xe" filled="true" fillcolor="#ff0000" stroked="false">
              <v:path arrowok="t"/>
              <v:fill type="solid"/>
            </v:shape>
            <v:line style="position:absolute" from="3842,3871" to="4661,3871" stroked="true" strokeweight=".84pt" strokecolor="#ff0000"/>
            <v:line style="position:absolute" from="3842,3871" to="4661,3871" stroked="true" strokeweight=".84pt" strokecolor="#ff0000"/>
            <v:shape style="position:absolute;left:3842;top:3880;width:17;height:34" coordorigin="3842,3880" coordsize="17,34" path="m3842,3880l3842,3913,3859,3913,3842,3880xe" filled="true" fillcolor="#ff0000" stroked="false">
              <v:path arrowok="t"/>
              <v:fill type="solid"/>
            </v:shape>
            <v:shape style="position:absolute;left:3842;top:3880;width:17;height:34" coordorigin="3842,3880" coordsize="17,34" path="m3859,3880l3842,3880,3859,3913,3859,3880xe" filled="true" fillcolor="#ff0000" stroked="false">
              <v:path arrowok="t"/>
              <v:fill type="solid"/>
            </v:shape>
            <v:line style="position:absolute" from="3842,3198" to="3842,3829" stroked="true" strokeweight=".12pt" strokecolor="#ff0000"/>
            <v:line style="position:absolute" from="3851,2992" to="3851,3915" stroked="true" strokeweight=".96pt" strokecolor="#ff0000"/>
            <v:shape style="position:absolute;left:5226;top:3900;width:936;height:118" type="#_x0000_t75" stroked="false">
              <v:imagedata r:id="rId24" o:title=""/>
            </v:shape>
            <v:line style="position:absolute" from="5726,4720" to="6336,4720" stroked="true" strokeweight=".12pt" strokecolor="#00ff00"/>
            <v:line style="position:absolute" from="5726,4737" to="6319,4737" stroked="true" strokeweight=".12pt" strokecolor="#00ff00"/>
            <v:line style="position:absolute" from="5726,4720" to="5726,4737" stroked="true" strokeweight=".12pt" strokecolor="#00ff00"/>
            <v:line style="position:absolute" from="6336,4720" to="6336,5478" stroked="true" strokeweight=".12pt" strokecolor="#00ff00"/>
            <v:shape style="position:absolute;left:6487;top:4693;width:245;height:56" coordorigin="6487,4693" coordsize="245,56" path="m6487,4720l6490,4725,6494,4732,6506,4734,6521,4739,6538,4744,6559,4746,6581,4749,6626,4749,6650,4746,6672,4744,6691,4741,6706,4737,6720,4734,6727,4729,6732,4722,6732,4717,6727,4713,6720,4708,6706,4703,6691,4701,6672,4696,6650,4693,6581,4693,6559,4696,6538,4698,6521,4701,6506,4705,6494,4710,6490,4715,6487,4720xe" filled="false" stroked="true" strokeweight=".12pt" strokecolor="#000000">
              <v:path arrowok="t"/>
            </v:shape>
            <v:shape style="position:absolute;left:6487;top:5461;width:245;height:56" coordorigin="6487,5461" coordsize="245,56" path="m6487,5490l6559,5514,6581,5517,6650,5517,6672,5514,6691,5512,6706,5507,6720,5502,6727,5497,6732,5493,6732,5488,6727,5483,6720,5476,6706,5473,6691,5469,6672,5466,6650,5464,6626,5461,6581,5461,6559,5464,6538,5466,6521,5471,6506,5476,6494,5478,6490,5485,6487,5490xe" filled="false" stroked="true" strokeweight=".12pt" strokecolor="#000000">
              <v:path arrowok="t"/>
            </v:shape>
            <v:line style="position:absolute" from="6734,4720" to="6734,5490" stroked="true" strokeweight=".12pt" strokecolor="#000000"/>
            <v:line style="position:absolute" from="6487,4720" to="6487,5490" stroked="true" strokeweight=".12pt" strokecolor="#000000"/>
            <v:shape style="position:absolute;left:6319;top:4737;width:168;height:759" coordorigin="6319,4737" coordsize="168,759" path="m6319,4737l6319,5495,6487,5495e" filled="false" stroked="true" strokeweight=".12pt" strokecolor="#00ff00">
              <v:path arrowok="t"/>
            </v:shape>
            <v:line style="position:absolute" from="6336,5478" to="6487,5478" stroked="true" strokeweight=".12pt" strokecolor="#00ff00"/>
            <v:line style="position:absolute" from="6487,5495" to="6487,5478" stroked="true" strokeweight=".12pt" strokecolor="#00ff00"/>
            <v:line style="position:absolute" from="5726,4728" to="6336,4728" stroked="true" strokeweight=".84pt" strokecolor="#00ff00"/>
            <v:line style="position:absolute" from="5726,4728" to="6336,4728" stroked="true" strokeweight=".84pt" strokecolor="#00ff00"/>
            <v:line style="position:absolute" from="6328,4737" to="6328,5478" stroked="true" strokeweight=".84pt" strokecolor="#00ff00"/>
            <v:line style="position:absolute" from="6328,4737" to="6328,5478" stroked="true" strokeweight=".84pt" strokecolor="#00ff00"/>
            <v:shape style="position:absolute;left:6319;top:5478;width:168;height:17" coordorigin="6319,5478" coordsize="168,17" path="m6319,5478l6319,5495,6487,5495,6319,5478xe" filled="true" fillcolor="#00ff00" stroked="false">
              <v:path arrowok="t"/>
              <v:fill type="solid"/>
            </v:shape>
            <v:shape style="position:absolute;left:6319;top:5478;width:168;height:17" coordorigin="6319,5478" coordsize="168,17" path="m6487,5478l6319,5478,6487,5495,6487,5478xe" filled="true" fillcolor="#00ff00" stroked="false">
              <v:path arrowok="t"/>
              <v:fill type="solid"/>
            </v:shape>
            <v:shape style="position:absolute;left:7097;top:4693;width:248;height:56" coordorigin="7097,4693" coordsize="248,56" path="m7097,4720l7099,4725,7106,4732,7116,4734,7130,4739,7150,4744,7169,4746,7190,4749,7238,4749,7260,4746,7282,4744,7301,4741,7318,4737,7330,4734,7339,4729,7344,4722,7344,4717,7339,4713,7330,4708,7318,4703,7301,4701,7282,4696,7260,4693,7190,4693,7169,4696,7150,4698,7130,4701,7116,4705,7106,4710,7099,4715,7097,4720xe" filled="false" stroked="true" strokeweight=".12pt" strokecolor="#000000">
              <v:path arrowok="t"/>
            </v:shape>
            <v:line style="position:absolute" from="7097,4720" to="7097,5490" stroked="true" strokeweight=".12pt" strokecolor="#000000"/>
            <v:shape style="position:absolute;left:7097;top:5461;width:248;height:56" coordorigin="7097,5461" coordsize="248,56" path="m7097,5490l7150,5512,7169,5514,7190,5517,7260,5517,7330,5502,7344,5493,7344,5488,7339,5483,7330,5476,7318,5473,7301,5469,7282,5466,7260,5464,7238,5461,7190,5461,7169,5464,7150,5466,7130,5471,7116,5476,7106,5478,7099,5485,7097,5490xe" filled="false" stroked="true" strokeweight=".12pt" strokecolor="#000000">
              <v:path arrowok="t"/>
            </v:shape>
            <v:line style="position:absolute" from="7344,4720" to="7344,5490" stroked="true" strokeweight=".12pt" strokecolor="#000000"/>
            <v:line style="position:absolute" from="6734,4720" to="7097,4720" stroked="true" strokeweight=".12pt" strokecolor="#00ff00"/>
            <v:line style="position:absolute" from="6734,4737" to="7097,4737" stroked="true" strokeweight=".12pt" strokecolor="#00ff00"/>
            <v:line style="position:absolute" from="6734,4720" to="6734,4737" stroked="true" strokeweight=".12pt" strokecolor="#00ff00"/>
            <v:line style="position:absolute" from="7097,4720" to="7097,4737" stroked="true" strokeweight=".12pt" strokecolor="#00ff00"/>
            <v:line style="position:absolute" from="6734,4728" to="7097,4728" stroked="true" strokeweight=".84pt" strokecolor="#00ff00"/>
            <v:line style="position:absolute" from="6734,4728" to="7097,4728" stroked="true" strokeweight=".84pt" strokecolor="#00ff00"/>
            <v:line style="position:absolute" from="8003,5278" to="8003,5473" stroked="true" strokeweight=".84pt" strokecolor="#00ff00"/>
            <v:line style="position:absolute" from="7344,5482" to="8011,5482" stroked="true" strokeweight=".84pt" strokecolor="#00ff00"/>
            <v:line style="position:absolute" from="7344,5482" to="8011,5482" stroked="true" strokeweight=".84pt" strokecolor="#00ff00"/>
            <v:shape style="position:absolute;left:9022;top:5459;width:468;height:63" coordorigin="9022,5459" coordsize="468,63" path="m9022,5490l9086,5512,9120,5514,9158,5519,9202,5519,9245,5521,9288,5521,9331,5519,9372,5517,9408,5512,9439,5509,9463,5505,9480,5497,9490,5493,9490,5488,9408,5466,9372,5461,9331,5461,9288,5459,9202,5459,9158,5461,9086,5469,9026,5483,9022,5490xe" filled="false" stroked="true" strokeweight=".12pt" strokecolor="#000000">
              <v:path arrowok="t"/>
            </v:shape>
            <v:line style="position:absolute" from="9490,5190" to="9490,5490" stroked="true" strokeweight=".12pt" strokecolor="#000000"/>
            <v:line style="position:absolute" from="9022,5190" to="9022,5490" stroked="true" strokeweight=".12pt" strokecolor="#000000"/>
            <v:shape style="position:absolute;left:9022;top:5159;width:468;height:63" coordorigin="9022,5159" coordsize="468,63" path="m9022,5190l9086,5212,9158,5219,9202,5221,9288,5221,9372,5217,9439,5209,9490,5193,9490,5188,9408,5166,9331,5161,9288,5159,9245,5159,9202,5161,9158,5161,9086,5169,9026,5185,9022,5190xe" filled="false" stroked="true" strokeweight=".12pt" strokecolor="#000000">
              <v:path arrowok="t"/>
            </v:shape>
            <v:shape style="position:absolute;left:7344;top:5279;width:1678;height:212" coordorigin="7344,5279" coordsize="1678,212" path="m7344,5490l8011,5490,8011,5279,9022,5279e" filled="false" stroked="true" strokeweight=".12pt" strokecolor="#00ff00">
              <v:path arrowok="t"/>
            </v:shape>
            <v:shape style="position:absolute;left:7344;top:5279;width:651;height:195" coordorigin="7344,5279" coordsize="651,195" path="m7344,5473l7994,5473,7994,5279e" filled="false" stroked="true" strokeweight=".12pt" strokecolor="#00ff00">
              <v:path arrowok="t"/>
            </v:shape>
            <v:line style="position:absolute" from="7344,5473" to="7344,5490" stroked="true" strokeweight=".12pt" strokecolor="#00ff00"/>
            <v:line style="position:absolute" from="8011,5296" to="9022,5296" stroked="true" strokeweight=".12pt" strokecolor="#00ff00"/>
            <v:line style="position:absolute" from="8011,5287" to="9022,5287" stroked="true" strokeweight=".84pt" strokecolor="#00ff00"/>
            <v:line style="position:absolute" from="8011,5287" to="9022,5287" stroked="true" strokeweight=".84pt" strokecolor="#00ff00"/>
            <v:line style="position:absolute" from="8630,5279" to="8633,5279" stroked="true" strokeweight=".12pt" strokecolor="#ff00ff"/>
            <v:line style="position:absolute" from="9254,5190" to="9254,661" stroked="true" strokeweight=".12pt" strokecolor="#00ffff"/>
            <v:line style="position:absolute" from="4202,813" to="4202,678" stroked="true" strokeweight=".12pt" strokecolor="#00ffff"/>
            <v:line style="position:absolute" from="4219,678" to="9238,678" stroked="true" strokeweight=".12pt" strokecolor="#00ffff"/>
            <v:line style="position:absolute" from="3550,663" to="3552,663" stroked="true" strokeweight=".12pt" strokecolor="#00ffff"/>
            <v:shape style="position:absolute;left:3550;top:678;width:653;height:135" coordorigin="3550,678" coordsize="653,135" path="m3550,813l3550,678,4202,678e" filled="false" stroked="true" strokeweight=".12pt" strokecolor="#00ffff">
              <v:path arrowok="t"/>
            </v:shape>
            <v:shape style="position:absolute;left:3533;top:661;width:5722;height:152" coordorigin="3533,661" coordsize="5722,152" path="m3533,813l3533,661,4202,661,9254,661e" filled="false" stroked="true" strokeweight=".12pt" strokecolor="#00ffff">
              <v:path arrowok="t"/>
            </v:shape>
            <v:line style="position:absolute" from="4211,678" to="4211,814" stroked="true" strokeweight=".96pt" strokecolor="#00ffff"/>
            <v:line style="position:absolute" from="9238,5190" to="9238,678" stroked="true" strokeweight=".12pt" strokecolor="#00ffff"/>
            <v:line style="position:absolute" from="3533,813" to="3550,813" stroked="true" strokeweight=".12pt" strokecolor="#00ffff"/>
            <v:line style="position:absolute" from="3533,670" to="9254,670" stroked="true" strokeweight=".84pt" strokecolor="#00ffff"/>
            <v:line style="position:absolute" from="3533,670" to="9254,670" stroked="true" strokeweight=".84pt" strokecolor="#00ffff"/>
            <v:shape style="position:absolute;left:4202;top:678;width:17;height:135" coordorigin="4202,678" coordsize="17,135" path="m4202,678l4202,813,4219,813,4202,678xe" filled="true" fillcolor="#00ffff" stroked="false">
              <v:path arrowok="t"/>
              <v:fill type="solid"/>
            </v:shape>
            <v:shape style="position:absolute;left:4202;top:678;width:17;height:135" coordorigin="4202,678" coordsize="17,135" path="m4219,678l4202,678,4219,813,4219,678xe" filled="true" fillcolor="#00ffff" stroked="false">
              <v:path arrowok="t"/>
              <v:fill type="solid"/>
            </v:shape>
            <v:shape style="position:absolute;left:3533;top:678;width:17;height:135" coordorigin="3533,678" coordsize="17,135" path="m3533,678l3533,813,3550,813,3533,678xe" filled="true" fillcolor="#00ffff" stroked="false">
              <v:path arrowok="t"/>
              <v:fill type="solid"/>
            </v:shape>
            <v:shape style="position:absolute;left:3533;top:678;width:17;height:135" coordorigin="3533,678" coordsize="17,135" path="m3550,678l3533,678,3550,813,3550,678xe" filled="true" fillcolor="#00ffff" stroked="false">
              <v:path arrowok="t"/>
              <v:fill type="solid"/>
            </v:shape>
            <v:line style="position:absolute" from="9246,678" to="9246,5191" stroked="true" strokeweight=".84pt" strokecolor="#00ffff"/>
            <v:rect style="position:absolute;left:2388;top:388;width:7445;height:5417" filled="false" stroked="true" strokeweight=".12pt" strokecolor="#000000"/>
            <v:rect style="position:absolute;left:2376;top:376;width:7469;height:5441" filled="false" stroked="true" strokeweight=".12pt" strokecolor="#000000"/>
            <v:shape style="position:absolute;left:3715;top:877;width:415;height:276" type="#_x0000_t202" filled="false" stroked="false">
              <v:textbox inset="0,0,0,0">
                <w:txbxContent>
                  <w:p>
                    <w:pPr>
                      <w:spacing w:line="122" w:lineRule="exact" w:before="0"/>
                      <w:ind w:left="0" w:right="92" w:firstLine="0"/>
                      <w:jc w:val="center"/>
                      <w:rPr>
                        <w:sz w:val="12"/>
                      </w:rPr>
                    </w:pPr>
                    <w:r>
                      <w:rPr>
                        <w:w w:val="99"/>
                        <w:sz w:val="12"/>
                      </w:rPr>
                      <w:t>1</w:t>
                    </w:r>
                  </w:p>
                  <w:p>
                    <w:pPr>
                      <w:spacing w:line="135" w:lineRule="exact" w:before="18"/>
                      <w:ind w:left="-1" w:right="0" w:firstLine="0"/>
                      <w:jc w:val="center"/>
                      <w:rPr>
                        <w:sz w:val="12"/>
                      </w:rPr>
                    </w:pPr>
                    <w:r>
                      <w:rPr>
                        <w:spacing w:val="-1"/>
                        <w:sz w:val="12"/>
                      </w:rPr>
                      <w:t>Tinacos</w:t>
                    </w:r>
                  </w:p>
                </w:txbxContent>
              </v:textbox>
              <w10:wrap type="none"/>
            </v:shape>
            <v:shape style="position:absolute;left:4879;top:3459;width:343;height:120" type="#_x0000_t202" filled="false" stroked="false">
              <v:textbox inset="0,0,0,0">
                <w:txbxContent>
                  <w:p>
                    <w:pPr>
                      <w:spacing w:line="119" w:lineRule="exact" w:before="0"/>
                      <w:ind w:left="0" w:right="-18" w:firstLine="0"/>
                      <w:jc w:val="left"/>
                      <w:rPr>
                        <w:sz w:val="12"/>
                      </w:rPr>
                    </w:pPr>
                    <w:r>
                      <w:rPr>
                        <w:spacing w:val="-1"/>
                        <w:sz w:val="12"/>
                      </w:rPr>
                      <w:t>Mallas</w:t>
                    </w:r>
                  </w:p>
                </w:txbxContent>
              </v:textbox>
              <w10:wrap type="none"/>
            </v:shape>
            <v:shape style="position:absolute;left:4790;top:3735;width:67;height:120" type="#_x0000_t202" filled="false" stroked="false">
              <v:textbox inset="0,0,0,0">
                <w:txbxContent>
                  <w:p>
                    <w:pPr>
                      <w:spacing w:line="119" w:lineRule="exact" w:before="0"/>
                      <w:ind w:left="0" w:right="0" w:firstLine="0"/>
                      <w:jc w:val="left"/>
                      <w:rPr>
                        <w:sz w:val="12"/>
                      </w:rPr>
                    </w:pPr>
                    <w:r>
                      <w:rPr>
                        <w:w w:val="99"/>
                        <w:sz w:val="12"/>
                      </w:rPr>
                      <w:t>3</w:t>
                    </w:r>
                  </w:p>
                </w:txbxContent>
              </v:textbox>
              <w10:wrap type="none"/>
            </v:shape>
            <v:shape style="position:absolute;left:4891;top:3671;width:67;height:120" type="#_x0000_t202" filled="false" stroked="false">
              <v:textbox inset="0,0,0,0">
                <w:txbxContent>
                  <w:p>
                    <w:pPr>
                      <w:spacing w:line="119" w:lineRule="exact" w:before="0"/>
                      <w:ind w:left="0" w:right="0" w:firstLine="0"/>
                      <w:jc w:val="left"/>
                      <w:rPr>
                        <w:sz w:val="12"/>
                      </w:rPr>
                    </w:pPr>
                    <w:r>
                      <w:rPr>
                        <w:w w:val="99"/>
                        <w:sz w:val="12"/>
                      </w:rPr>
                      <w:t>2</w:t>
                    </w:r>
                  </w:p>
                </w:txbxContent>
              </v:textbox>
              <w10:wrap type="none"/>
            </v:shape>
            <v:shape style="position:absolute;left:5570;top:3608;width:1833;height:264" type="#_x0000_t202" filled="false" stroked="false">
              <v:textbox inset="0,0,0,0">
                <w:txbxContent>
                  <w:p>
                    <w:pPr>
                      <w:spacing w:line="122" w:lineRule="exact" w:before="0"/>
                      <w:ind w:left="0" w:right="-8" w:firstLine="0"/>
                      <w:jc w:val="left"/>
                      <w:rPr>
                        <w:sz w:val="12"/>
                      </w:rPr>
                    </w:pPr>
                    <w:r>
                      <w:rPr>
                        <w:sz w:val="12"/>
                      </w:rPr>
                      <w:t>Estructura</w:t>
                    </w:r>
                    <w:r>
                      <w:rPr>
                        <w:spacing w:val="-7"/>
                        <w:sz w:val="12"/>
                      </w:rPr>
                      <w:t> </w:t>
                    </w:r>
                    <w:r>
                      <w:rPr>
                        <w:sz w:val="12"/>
                      </w:rPr>
                      <w:t>de</w:t>
                    </w:r>
                    <w:r>
                      <w:rPr>
                        <w:spacing w:val="-6"/>
                        <w:sz w:val="12"/>
                      </w:rPr>
                      <w:t> </w:t>
                    </w:r>
                    <w:r>
                      <w:rPr>
                        <w:sz w:val="12"/>
                      </w:rPr>
                      <w:t>distribución</w:t>
                    </w:r>
                    <w:r>
                      <w:rPr>
                        <w:spacing w:val="-7"/>
                        <w:sz w:val="12"/>
                      </w:rPr>
                      <w:t> </w:t>
                    </w:r>
                    <w:r>
                      <w:rPr>
                        <w:sz w:val="12"/>
                      </w:rPr>
                      <w:t>del</w:t>
                    </w:r>
                    <w:r>
                      <w:rPr>
                        <w:spacing w:val="-7"/>
                        <w:sz w:val="12"/>
                      </w:rPr>
                      <w:t> </w:t>
                    </w:r>
                    <w:r>
                      <w:rPr>
                        <w:sz w:val="12"/>
                      </w:rPr>
                      <w:t>agua</w:t>
                    </w:r>
                  </w:p>
                  <w:p>
                    <w:pPr>
                      <w:spacing w:line="135" w:lineRule="exact" w:before="6"/>
                      <w:ind w:left="4" w:right="-8" w:firstLine="0"/>
                      <w:jc w:val="left"/>
                      <w:rPr>
                        <w:sz w:val="12"/>
                      </w:rPr>
                    </w:pPr>
                    <w:r>
                      <w:rPr>
                        <w:sz w:val="12"/>
                      </w:rPr>
                      <w:t>en el percolador</w:t>
                    </w:r>
                  </w:p>
                </w:txbxContent>
              </v:textbox>
              <w10:wrap type="none"/>
            </v:shape>
            <v:shape style="position:absolute;left:5455;top:4194;width:575;height:283" type="#_x0000_t202" filled="false" stroked="false">
              <v:textbox inset="0,0,0,0">
                <w:txbxContent>
                  <w:p>
                    <w:pPr>
                      <w:spacing w:line="122" w:lineRule="exact" w:before="0"/>
                      <w:ind w:left="0" w:right="89" w:firstLine="0"/>
                      <w:jc w:val="center"/>
                      <w:rPr>
                        <w:sz w:val="12"/>
                      </w:rPr>
                    </w:pPr>
                    <w:r>
                      <w:rPr>
                        <w:w w:val="99"/>
                        <w:sz w:val="12"/>
                      </w:rPr>
                      <w:t>4</w:t>
                    </w:r>
                  </w:p>
                  <w:p>
                    <w:pPr>
                      <w:spacing w:line="135" w:lineRule="exact" w:before="25"/>
                      <w:ind w:left="0" w:right="0" w:firstLine="0"/>
                      <w:jc w:val="center"/>
                      <w:rPr>
                        <w:sz w:val="12"/>
                      </w:rPr>
                    </w:pPr>
                    <w:r>
                      <w:rPr>
                        <w:spacing w:val="-1"/>
                        <w:sz w:val="12"/>
                      </w:rPr>
                      <w:t>Percolador</w:t>
                    </w:r>
                  </w:p>
                </w:txbxContent>
              </v:textbox>
              <w10:wrap type="none"/>
            </v:shape>
            <v:shape style="position:absolute;left:6396;top:4379;width:429;height:261" type="#_x0000_t202" filled="false" stroked="false">
              <v:textbox inset="0,0,0,0">
                <w:txbxContent>
                  <w:p>
                    <w:pPr>
                      <w:spacing w:line="122" w:lineRule="exact" w:before="0"/>
                      <w:ind w:left="0" w:right="-18" w:firstLine="0"/>
                      <w:jc w:val="left"/>
                      <w:rPr>
                        <w:sz w:val="12"/>
                      </w:rPr>
                    </w:pPr>
                    <w:r>
                      <w:rPr>
                        <w:sz w:val="12"/>
                      </w:rPr>
                      <w:t>Filtro</w:t>
                    </w:r>
                    <w:r>
                      <w:rPr>
                        <w:spacing w:val="-7"/>
                        <w:sz w:val="12"/>
                      </w:rPr>
                      <w:t> </w:t>
                    </w:r>
                    <w:r>
                      <w:rPr>
                        <w:sz w:val="12"/>
                      </w:rPr>
                      <w:t>de</w:t>
                    </w:r>
                  </w:p>
                  <w:p>
                    <w:pPr>
                      <w:spacing w:line="135" w:lineRule="exact" w:before="3"/>
                      <w:ind w:left="4" w:right="-18" w:firstLine="0"/>
                      <w:jc w:val="left"/>
                      <w:rPr>
                        <w:sz w:val="12"/>
                      </w:rPr>
                    </w:pPr>
                    <w:r>
                      <w:rPr>
                        <w:sz w:val="12"/>
                      </w:rPr>
                      <w:t>arena</w:t>
                    </w:r>
                  </w:p>
                </w:txbxContent>
              </v:textbox>
              <w10:wrap type="none"/>
            </v:shape>
            <v:shape style="position:absolute;left:6886;top:4772;width:67;height:120" type="#_x0000_t202" filled="false" stroked="false">
              <v:textbox inset="0,0,0,0">
                <w:txbxContent>
                  <w:p>
                    <w:pPr>
                      <w:spacing w:line="119" w:lineRule="exact" w:before="0"/>
                      <w:ind w:left="0" w:right="0" w:firstLine="0"/>
                      <w:jc w:val="left"/>
                      <w:rPr>
                        <w:sz w:val="12"/>
                      </w:rPr>
                    </w:pPr>
                    <w:r>
                      <w:rPr>
                        <w:w w:val="99"/>
                        <w:sz w:val="12"/>
                      </w:rPr>
                      <w:t>6</w:t>
                    </w:r>
                  </w:p>
                </w:txbxContent>
              </v:textbox>
              <w10:wrap type="none"/>
            </v:shape>
            <v:shape style="position:absolute;left:2868;top:5115;width:2649;height:261" type="#_x0000_t202" filled="false" stroked="false">
              <v:textbox inset="0,0,0,0">
                <w:txbxContent>
                  <w:p>
                    <w:pPr>
                      <w:spacing w:line="122" w:lineRule="exact" w:before="0"/>
                      <w:ind w:left="0" w:right="0" w:firstLine="0"/>
                      <w:jc w:val="left"/>
                      <w:rPr>
                        <w:sz w:val="12"/>
                      </w:rPr>
                    </w:pPr>
                    <w:r>
                      <w:rPr>
                        <w:sz w:val="12"/>
                      </w:rPr>
                      <w:t>1, 2, 3, 4 ,5, 6,7 y 9 Estaciones del Sistema</w:t>
                    </w:r>
                  </w:p>
                  <w:p>
                    <w:pPr>
                      <w:spacing w:line="135" w:lineRule="exact" w:before="3"/>
                      <w:ind w:left="4" w:right="0" w:firstLine="0"/>
                      <w:jc w:val="left"/>
                      <w:rPr>
                        <w:sz w:val="12"/>
                      </w:rPr>
                    </w:pPr>
                    <w:r>
                      <w:rPr>
                        <w:sz w:val="12"/>
                      </w:rPr>
                      <w:t>N1,</w:t>
                    </w:r>
                    <w:r>
                      <w:rPr>
                        <w:spacing w:val="-5"/>
                        <w:sz w:val="12"/>
                      </w:rPr>
                      <w:t> </w:t>
                    </w:r>
                    <w:r>
                      <w:rPr>
                        <w:sz w:val="12"/>
                      </w:rPr>
                      <w:t>N2</w:t>
                    </w:r>
                    <w:r>
                      <w:rPr>
                        <w:spacing w:val="-4"/>
                        <w:sz w:val="12"/>
                      </w:rPr>
                      <w:t> </w:t>
                    </w:r>
                    <w:r>
                      <w:rPr>
                        <w:sz w:val="12"/>
                      </w:rPr>
                      <w:t>y</w:t>
                    </w:r>
                    <w:r>
                      <w:rPr>
                        <w:spacing w:val="-6"/>
                        <w:sz w:val="12"/>
                      </w:rPr>
                      <w:t> </w:t>
                    </w:r>
                    <w:r>
                      <w:rPr>
                        <w:sz w:val="12"/>
                      </w:rPr>
                      <w:t>N3</w:t>
                    </w:r>
                    <w:r>
                      <w:rPr>
                        <w:spacing w:val="-4"/>
                        <w:sz w:val="12"/>
                      </w:rPr>
                      <w:t> </w:t>
                    </w:r>
                    <w:r>
                      <w:rPr>
                        <w:sz w:val="12"/>
                      </w:rPr>
                      <w:t>niveles</w:t>
                    </w:r>
                    <w:r>
                      <w:rPr>
                        <w:spacing w:val="-5"/>
                        <w:sz w:val="12"/>
                      </w:rPr>
                      <w:t> </w:t>
                    </w:r>
                    <w:r>
                      <w:rPr>
                        <w:sz w:val="12"/>
                      </w:rPr>
                      <w:t>de</w:t>
                    </w:r>
                    <w:r>
                      <w:rPr>
                        <w:spacing w:val="-4"/>
                        <w:sz w:val="12"/>
                      </w:rPr>
                      <w:t> </w:t>
                    </w:r>
                    <w:r>
                      <w:rPr>
                        <w:sz w:val="12"/>
                      </w:rPr>
                      <w:t>estanquería</w:t>
                    </w:r>
                    <w:r>
                      <w:rPr>
                        <w:spacing w:val="-6"/>
                        <w:sz w:val="12"/>
                      </w:rPr>
                      <w:t> </w:t>
                    </w:r>
                    <w:r>
                      <w:rPr>
                        <w:sz w:val="12"/>
                      </w:rPr>
                      <w:t>para</w:t>
                    </w:r>
                    <w:r>
                      <w:rPr>
                        <w:spacing w:val="-6"/>
                        <w:sz w:val="12"/>
                      </w:rPr>
                      <w:t> </w:t>
                    </w:r>
                    <w:r>
                      <w:rPr>
                        <w:sz w:val="12"/>
                      </w:rPr>
                      <w:t>el</w:t>
                    </w:r>
                    <w:r>
                      <w:rPr>
                        <w:spacing w:val="-5"/>
                        <w:sz w:val="12"/>
                      </w:rPr>
                      <w:t> </w:t>
                    </w:r>
                    <w:r>
                      <w:rPr>
                        <w:sz w:val="12"/>
                      </w:rPr>
                      <w:t>cultivo</w:t>
                    </w:r>
                  </w:p>
                </w:txbxContent>
              </v:textbox>
              <w10:wrap type="none"/>
            </v:shape>
            <v:shape style="position:absolute;left:7454;top:4835;width:477;height:547" type="#_x0000_t202" filled="false" stroked="false">
              <v:textbox inset="0,0,0,0">
                <w:txbxContent>
                  <w:p>
                    <w:pPr>
                      <w:spacing w:line="122" w:lineRule="exact" w:before="0"/>
                      <w:ind w:left="0" w:right="-4" w:firstLine="0"/>
                      <w:jc w:val="left"/>
                      <w:rPr>
                        <w:sz w:val="12"/>
                      </w:rPr>
                    </w:pPr>
                    <w:r>
                      <w:rPr>
                        <w:w w:val="95"/>
                        <w:sz w:val="12"/>
                      </w:rPr>
                      <w:t>Columna</w:t>
                    </w:r>
                  </w:p>
                  <w:p>
                    <w:pPr>
                      <w:spacing w:line="247" w:lineRule="auto" w:before="3"/>
                      <w:ind w:left="0" w:right="-4" w:firstLine="2"/>
                      <w:jc w:val="left"/>
                      <w:rPr>
                        <w:sz w:val="12"/>
                      </w:rPr>
                    </w:pPr>
                    <w:r>
                      <w:rPr>
                        <w:sz w:val="12"/>
                      </w:rPr>
                      <w:t>de Carbón Activado</w:t>
                    </w:r>
                  </w:p>
                </w:txbxContent>
              </v:textbox>
              <w10:wrap type="none"/>
            </v:shape>
            <v:shape style="position:absolute;left:9333;top:4890;width:357;height:120" type="#_x0000_t202" filled="false" stroked="false">
              <v:textbox inset="0,0,0,0">
                <w:txbxContent>
                  <w:p>
                    <w:pPr>
                      <w:spacing w:line="119" w:lineRule="exact" w:before="0"/>
                      <w:ind w:left="0" w:right="-18" w:firstLine="0"/>
                      <w:jc w:val="left"/>
                      <w:rPr>
                        <w:sz w:val="12"/>
                      </w:rPr>
                    </w:pPr>
                    <w:r>
                      <w:rPr>
                        <w:spacing w:val="-1"/>
                        <w:sz w:val="12"/>
                      </w:rPr>
                      <w:t>Tinaco</w:t>
                    </w:r>
                  </w:p>
                </w:txbxContent>
              </v:textbox>
              <w10:wrap type="none"/>
            </v:shape>
            <v:shape style="position:absolute;left:6204;top:5363;width:67;height:120" type="#_x0000_t202" filled="false" stroked="false">
              <v:textbox inset="0,0,0,0">
                <w:txbxContent>
                  <w:p>
                    <w:pPr>
                      <w:spacing w:line="119" w:lineRule="exact" w:before="0"/>
                      <w:ind w:left="0" w:right="0" w:firstLine="0"/>
                      <w:jc w:val="left"/>
                      <w:rPr>
                        <w:sz w:val="12"/>
                      </w:rPr>
                    </w:pPr>
                    <w:r>
                      <w:rPr>
                        <w:w w:val="99"/>
                        <w:sz w:val="12"/>
                      </w:rPr>
                      <w:t>5</w:t>
                    </w:r>
                  </w:p>
                </w:txbxContent>
              </v:textbox>
              <w10:wrap type="none"/>
            </v:shape>
            <v:shape style="position:absolute;left:9237;top:5293;width:67;height:120" type="#_x0000_t202" filled="false" stroked="false">
              <v:textbox inset="0,0,0,0">
                <w:txbxContent>
                  <w:p>
                    <w:pPr>
                      <w:spacing w:line="119" w:lineRule="exact" w:before="0"/>
                      <w:ind w:left="0" w:right="0" w:firstLine="0"/>
                      <w:jc w:val="left"/>
                      <w:rPr>
                        <w:sz w:val="12"/>
                      </w:rPr>
                    </w:pPr>
                    <w:r>
                      <w:rPr>
                        <w:w w:val="99"/>
                        <w:sz w:val="12"/>
                      </w:rPr>
                      <w:t>9</w:t>
                    </w:r>
                  </w:p>
                </w:txbxContent>
              </v:textbox>
              <w10:wrap type="none"/>
            </v:shape>
            <v:shape style="position:absolute;left:7577;top:5519;width:67;height:120" type="#_x0000_t202" filled="false" stroked="false">
              <v:textbox inset="0,0,0,0">
                <w:txbxContent>
                  <w:p>
                    <w:pPr>
                      <w:spacing w:line="119" w:lineRule="exact" w:before="0"/>
                      <w:ind w:left="0" w:right="0" w:firstLine="0"/>
                      <w:jc w:val="left"/>
                      <w:rPr>
                        <w:sz w:val="12"/>
                      </w:rPr>
                    </w:pPr>
                    <w:r>
                      <w:rPr>
                        <w:w w:val="99"/>
                        <w:sz w:val="12"/>
                      </w:rPr>
                      <w:t>7</w:t>
                    </w:r>
                  </w:p>
                </w:txbxContent>
              </v:textbox>
              <w10:wrap type="none"/>
            </v:shape>
            <w10:wrap type="topAndBottom"/>
          </v:group>
        </w:pict>
      </w:r>
    </w:p>
    <w:p>
      <w:pPr>
        <w:pStyle w:val="BodyText"/>
        <w:spacing w:before="2"/>
        <w:rPr>
          <w:sz w:val="20"/>
        </w:rPr>
      </w:pPr>
    </w:p>
    <w:p>
      <w:pPr>
        <w:spacing w:before="0"/>
        <w:ind w:left="781" w:right="0" w:firstLine="146"/>
        <w:jc w:val="left"/>
        <w:rPr>
          <w:b/>
          <w:sz w:val="18"/>
        </w:rPr>
      </w:pPr>
      <w:r>
        <w:rPr>
          <w:b/>
          <w:sz w:val="18"/>
        </w:rPr>
        <w:t>Figura 7. Sistema de recirculación acuícola para el cultivo de cría y juvenil de trucha (Gallego, 2004)</w:t>
      </w:r>
    </w:p>
    <w:p>
      <w:pPr>
        <w:pStyle w:val="BodyText"/>
        <w:spacing w:before="6"/>
        <w:rPr>
          <w:b/>
          <w:sz w:val="17"/>
        </w:rPr>
      </w:pPr>
    </w:p>
    <w:p>
      <w:pPr>
        <w:pStyle w:val="BodyText"/>
        <w:spacing w:line="357" w:lineRule="auto"/>
        <w:ind w:left="781" w:right="496"/>
        <w:jc w:val="both"/>
      </w:pPr>
      <w:r>
        <w:rPr/>
        <w:t>García (2008) modificó el tren de tratamiento propuesto por Gallego (2004) proponiendo un filtro reticular con la misma luz de malla sin forma parabólica, como biofiltro un percolador y filtro de arena (figura 8), el cual fue adecuado para producir 12 kg/m</w:t>
      </w:r>
      <w:r>
        <w:rPr>
          <w:position w:val="10"/>
          <w:sz w:val="13"/>
        </w:rPr>
        <w:t>3 </w:t>
      </w:r>
      <w:r>
        <w:rPr/>
        <w:t>de trucha arco iris a talla comercial (250 g) en 180 días, con un caudal de 1 L/s, lo que significó un ahorro de agua de hasta el 98% comparado con la tecnología vigente. Es decir, el prototipo permite producir un kilogramo de trucha con 500 litros de agua, lo que representa menos del 1 % del consumo de agua de un sistema abierto (tecnología de cultivo</w:t>
      </w:r>
      <w:r>
        <w:rPr>
          <w:spacing w:val="-6"/>
        </w:rPr>
        <w:t> </w:t>
      </w:r>
      <w:r>
        <w:rPr/>
        <w:t>tradicional).</w:t>
      </w:r>
    </w:p>
    <w:p>
      <w:pPr>
        <w:spacing w:after="0" w:line="357" w:lineRule="auto"/>
        <w:jc w:val="both"/>
        <w:sectPr>
          <w:pgSz w:w="12240" w:h="15840"/>
          <w:pgMar w:header="725" w:footer="1084" w:top="1340" w:bottom="1280" w:left="920" w:right="1200"/>
        </w:sectPr>
      </w:pPr>
    </w:p>
    <w:p>
      <w:pPr>
        <w:pStyle w:val="BodyText"/>
        <w:spacing w:before="4"/>
        <w:rPr>
          <w:sz w:val="15"/>
        </w:rPr>
      </w:pPr>
    </w:p>
    <w:p>
      <w:pPr>
        <w:pStyle w:val="BodyText"/>
        <w:ind w:left="1537"/>
        <w:rPr>
          <w:sz w:val="20"/>
        </w:rPr>
      </w:pPr>
      <w:r>
        <w:rPr>
          <w:sz w:val="20"/>
        </w:rPr>
        <w:drawing>
          <wp:inline distT="0" distB="0" distL="0" distR="0">
            <wp:extent cx="4711224" cy="4304157"/>
            <wp:effectExtent l="0" t="0" r="0" b="0"/>
            <wp:docPr id="5" name="image19.jpeg" descr=""/>
            <wp:cNvGraphicFramePr>
              <a:graphicFrameLocks noChangeAspect="1"/>
            </wp:cNvGraphicFramePr>
            <a:graphic>
              <a:graphicData uri="http://schemas.openxmlformats.org/drawingml/2006/picture">
                <pic:pic>
                  <pic:nvPicPr>
                    <pic:cNvPr id="6" name="image19.jpeg"/>
                    <pic:cNvPicPr/>
                  </pic:nvPicPr>
                  <pic:blipFill>
                    <a:blip r:embed="rId25" cstate="print"/>
                    <a:stretch>
                      <a:fillRect/>
                    </a:stretch>
                  </pic:blipFill>
                  <pic:spPr>
                    <a:xfrm>
                      <a:off x="0" y="0"/>
                      <a:ext cx="4711224" cy="4304157"/>
                    </a:xfrm>
                    <a:prstGeom prst="rect">
                      <a:avLst/>
                    </a:prstGeom>
                  </pic:spPr>
                </pic:pic>
              </a:graphicData>
            </a:graphic>
          </wp:inline>
        </w:drawing>
      </w:r>
      <w:r>
        <w:rPr>
          <w:sz w:val="20"/>
        </w:rPr>
      </w:r>
    </w:p>
    <w:p>
      <w:pPr>
        <w:pStyle w:val="BodyText"/>
        <w:rPr>
          <w:sz w:val="16"/>
        </w:rPr>
      </w:pPr>
    </w:p>
    <w:p>
      <w:pPr>
        <w:spacing w:before="77"/>
        <w:ind w:left="868" w:right="587" w:firstLine="0"/>
        <w:jc w:val="center"/>
        <w:rPr>
          <w:b/>
          <w:sz w:val="18"/>
        </w:rPr>
      </w:pPr>
      <w:r>
        <w:rPr>
          <w:b/>
          <w:sz w:val="18"/>
        </w:rPr>
        <w:t>Figura 8. SRA para el cultivo de trucha arco iris propuesto por García (2008)</w:t>
      </w:r>
    </w:p>
    <w:p>
      <w:pPr>
        <w:pStyle w:val="BodyText"/>
        <w:spacing w:before="8"/>
        <w:rPr>
          <w:b/>
          <w:sz w:val="17"/>
        </w:rPr>
      </w:pPr>
    </w:p>
    <w:p>
      <w:pPr>
        <w:pStyle w:val="BodyText"/>
        <w:spacing w:line="360" w:lineRule="auto" w:before="1"/>
        <w:ind w:left="781" w:right="497"/>
        <w:jc w:val="both"/>
      </w:pPr>
      <w:r>
        <w:rPr/>
        <w:t>Las eficiencias de remoción alcanzada por este prototipo fueron reportadas por García </w:t>
      </w:r>
      <w:r>
        <w:rPr>
          <w:i/>
        </w:rPr>
        <w:t>et </w:t>
      </w:r>
      <w:r>
        <w:rPr>
          <w:i/>
        </w:rPr>
        <w:t>al. </w:t>
      </w:r>
      <w:r>
        <w:rPr/>
        <w:t>(en prensa); la remoción de nitrógeno amoniacal fue de 86 %, en el biofiltro fue de 57</w:t>
      </w:r>
    </w:p>
    <w:p>
      <w:pPr>
        <w:pStyle w:val="BodyText"/>
        <w:spacing w:line="355" w:lineRule="auto" w:before="3"/>
        <w:ind w:left="781" w:right="496"/>
        <w:jc w:val="both"/>
      </w:pPr>
      <w:r>
        <w:rPr/>
        <w:t>% y en el filtro de arena fue del 66 %. La remoción de DQO</w:t>
      </w:r>
      <w:r>
        <w:rPr>
          <w:position w:val="-2"/>
          <w:sz w:val="13"/>
        </w:rPr>
        <w:t>T </w:t>
      </w:r>
      <w:r>
        <w:rPr/>
        <w:t>en el tren de tratamiento fue de 66 %, en el filtro biológico de 61 % y en el filtro de arena 12 %. En cuanto a la  remoción de SST, la eficiencia global fue de 88%, en el percolador de 67 % y en el filtro  de arena 64 % (figura</w:t>
      </w:r>
      <w:r>
        <w:rPr>
          <w:spacing w:val="-11"/>
        </w:rPr>
        <w:t> </w:t>
      </w:r>
      <w:r>
        <w:rPr/>
        <w:t>9).</w:t>
      </w:r>
    </w:p>
    <w:p>
      <w:pPr>
        <w:pStyle w:val="BodyText"/>
        <w:spacing w:before="2"/>
        <w:rPr>
          <w:sz w:val="18"/>
        </w:rPr>
      </w:pPr>
    </w:p>
    <w:p>
      <w:pPr>
        <w:pStyle w:val="BodyText"/>
        <w:spacing w:line="357" w:lineRule="auto" w:before="1"/>
        <w:ind w:left="781" w:right="497"/>
        <w:jc w:val="both"/>
      </w:pPr>
      <w:r>
        <w:rPr/>
        <w:t>La eficiencia lograda en el sistema, reportan estos autores, permitió un cultivo adecuado, logrando que las concentraciones de contaminantes (nitrógeno amoniacal, nitritos, nitratos, DQO</w:t>
      </w:r>
      <w:r>
        <w:rPr>
          <w:position w:val="-2"/>
          <w:sz w:val="13"/>
        </w:rPr>
        <w:t>T</w:t>
      </w:r>
      <w:r>
        <w:rPr/>
        <w:t>, SST) permanecieran por debajo de los límites máximos recomendados para el cultivo trutícola durante la totalidad del ciclo de producción (García </w:t>
      </w:r>
      <w:r>
        <w:rPr>
          <w:i/>
        </w:rPr>
        <w:t>et al.</w:t>
      </w:r>
      <w:r>
        <w:rPr/>
        <w:t>, en prensa)</w:t>
      </w:r>
    </w:p>
    <w:p>
      <w:pPr>
        <w:spacing w:after="0" w:line="357" w:lineRule="auto"/>
        <w:jc w:val="both"/>
        <w:sectPr>
          <w:pgSz w:w="12240" w:h="15840"/>
          <w:pgMar w:header="725" w:footer="1084" w:top="1340" w:bottom="1280" w:left="920" w:right="1200"/>
        </w:sectPr>
      </w:pPr>
    </w:p>
    <w:p>
      <w:pPr>
        <w:pStyle w:val="BodyText"/>
        <w:spacing w:before="4"/>
        <w:rPr>
          <w:sz w:val="15"/>
        </w:rPr>
      </w:pPr>
    </w:p>
    <w:p>
      <w:pPr>
        <w:pStyle w:val="BodyText"/>
        <w:ind w:left="1376"/>
        <w:rPr>
          <w:sz w:val="20"/>
        </w:rPr>
      </w:pPr>
      <w:r>
        <w:rPr>
          <w:sz w:val="20"/>
        </w:rPr>
        <w:drawing>
          <wp:inline distT="0" distB="0" distL="0" distR="0">
            <wp:extent cx="4926813" cy="4501134"/>
            <wp:effectExtent l="0" t="0" r="0" b="0"/>
            <wp:docPr id="7" name="image20.jpeg" descr=""/>
            <wp:cNvGraphicFramePr>
              <a:graphicFrameLocks noChangeAspect="1"/>
            </wp:cNvGraphicFramePr>
            <a:graphic>
              <a:graphicData uri="http://schemas.openxmlformats.org/drawingml/2006/picture">
                <pic:pic>
                  <pic:nvPicPr>
                    <pic:cNvPr id="8" name="image20.jpeg"/>
                    <pic:cNvPicPr/>
                  </pic:nvPicPr>
                  <pic:blipFill>
                    <a:blip r:embed="rId26" cstate="print"/>
                    <a:stretch>
                      <a:fillRect/>
                    </a:stretch>
                  </pic:blipFill>
                  <pic:spPr>
                    <a:xfrm>
                      <a:off x="0" y="0"/>
                      <a:ext cx="4926813" cy="4501134"/>
                    </a:xfrm>
                    <a:prstGeom prst="rect">
                      <a:avLst/>
                    </a:prstGeom>
                  </pic:spPr>
                </pic:pic>
              </a:graphicData>
            </a:graphic>
          </wp:inline>
        </w:drawing>
      </w:r>
      <w:r>
        <w:rPr>
          <w:sz w:val="20"/>
        </w:rPr>
      </w:r>
    </w:p>
    <w:p>
      <w:pPr>
        <w:pStyle w:val="BodyText"/>
        <w:spacing w:before="7"/>
        <w:rPr>
          <w:sz w:val="15"/>
        </w:rPr>
      </w:pPr>
    </w:p>
    <w:p>
      <w:pPr>
        <w:spacing w:before="77"/>
        <w:ind w:left="2163" w:right="948" w:firstLine="0"/>
        <w:jc w:val="left"/>
        <w:rPr>
          <w:b/>
          <w:sz w:val="18"/>
        </w:rPr>
      </w:pPr>
      <w:bookmarkStart w:name="2.5. Modelación del sistema de recircula" w:id="26"/>
      <w:bookmarkEnd w:id="26"/>
      <w:r>
        <w:rPr/>
      </w:r>
      <w:r>
        <w:rPr>
          <w:b/>
          <w:sz w:val="18"/>
        </w:rPr>
        <w:t>Figura 9. Eficiencia de remoción reportada por García </w:t>
      </w:r>
      <w:r>
        <w:rPr>
          <w:b/>
          <w:i/>
          <w:sz w:val="18"/>
        </w:rPr>
        <w:t>et al. </w:t>
      </w:r>
      <w:r>
        <w:rPr>
          <w:b/>
          <w:sz w:val="18"/>
        </w:rPr>
        <w:t>(en prensa)</w:t>
      </w:r>
    </w:p>
    <w:p>
      <w:pPr>
        <w:pStyle w:val="BodyText"/>
        <w:spacing w:before="4"/>
        <w:rPr>
          <w:b/>
          <w:sz w:val="17"/>
        </w:rPr>
      </w:pPr>
    </w:p>
    <w:p>
      <w:pPr>
        <w:pStyle w:val="Heading5"/>
        <w:numPr>
          <w:ilvl w:val="1"/>
          <w:numId w:val="7"/>
        </w:numPr>
        <w:tabs>
          <w:tab w:pos="1211" w:val="left" w:leader="none"/>
        </w:tabs>
        <w:spacing w:line="240" w:lineRule="auto" w:before="0" w:after="0"/>
        <w:ind w:left="1210" w:right="0" w:hanging="429"/>
        <w:jc w:val="both"/>
        <w:rPr>
          <w:b w:val="0"/>
        </w:rPr>
      </w:pPr>
      <w:bookmarkStart w:name="_TOC_250066" w:id="27"/>
      <w:r>
        <w:rPr/>
        <w:t>MODELACIÓN DEL SISTEMA DE RECIRCULACIÓN</w:t>
      </w:r>
      <w:r>
        <w:rPr>
          <w:spacing w:val="-20"/>
        </w:rPr>
        <w:t> </w:t>
      </w:r>
      <w:r>
        <w:rPr/>
        <w:t>ACUÍCOLA</w:t>
      </w:r>
      <w:bookmarkEnd w:id="27"/>
      <w:r>
        <w:rPr>
          <w:b w:val="0"/>
        </w:rPr>
        <w:t>.</w:t>
      </w:r>
    </w:p>
    <w:p>
      <w:pPr>
        <w:pStyle w:val="BodyText"/>
        <w:spacing w:before="8"/>
        <w:rPr>
          <w:sz w:val="28"/>
        </w:rPr>
      </w:pPr>
    </w:p>
    <w:p>
      <w:pPr>
        <w:pStyle w:val="BodyText"/>
        <w:spacing w:line="360" w:lineRule="auto"/>
        <w:ind w:left="781" w:right="497"/>
        <w:jc w:val="both"/>
      </w:pPr>
      <w:r>
        <w:rPr/>
        <w:t>Un modelo matemático, es la representación simplificada de un sistema complejo en el que su mismo comportamiento es representado por un conjunto de ecuaciones lógicas, necesarias para expresar las relaciones entre las variables y parámetros, que representan el estado del sistema y su evolución bajo la influencia de ciertas variables (Bâ </w:t>
      </w:r>
      <w:r>
        <w:rPr>
          <w:i/>
        </w:rPr>
        <w:t>et al.</w:t>
      </w:r>
      <w:r>
        <w:rPr/>
        <w:t>,  1995).</w:t>
      </w:r>
    </w:p>
    <w:p>
      <w:pPr>
        <w:pStyle w:val="BodyText"/>
        <w:spacing w:before="7"/>
        <w:rPr>
          <w:sz w:val="17"/>
        </w:rPr>
      </w:pPr>
    </w:p>
    <w:p>
      <w:pPr>
        <w:pStyle w:val="BodyText"/>
        <w:spacing w:line="360" w:lineRule="auto"/>
        <w:ind w:left="781" w:right="497"/>
        <w:jc w:val="both"/>
      </w:pPr>
      <w:r>
        <w:rPr/>
        <w:t>En general los modelos matemáticos describen desde un solo proceso mediante una ecuación matemática obtenida de forma empírica o encontrando las relaciones entre dos  o más variables involucradas en el proceso a describir. Ejemplo de procesos en la biofiltración acuícola son: la tasa de remoción de nitrógeno amoniacal o la eficiencia de remoción de un contaminante en un biofiltro en particular. En este tipo de modelación los datos  que  permiten  construir  modelos  matemáticos  de  tipo  regresivo,  que</w:t>
      </w:r>
      <w:r>
        <w:rPr>
          <w:spacing w:val="15"/>
        </w:rPr>
        <w:t> </w:t>
      </w:r>
      <w:r>
        <w:rPr/>
        <w:t>relacionan</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9"/>
        <w:jc w:val="both"/>
      </w:pPr>
      <w:r>
        <w:rPr/>
        <w:t>diferentes variables, son concentraciones totales, como oxígeno disuelto, nitrógeno amoniacal, nitritos, nitratos, DBO</w:t>
      </w:r>
      <w:r>
        <w:rPr>
          <w:position w:val="-2"/>
          <w:sz w:val="13"/>
        </w:rPr>
        <w:t>5</w:t>
      </w:r>
      <w:r>
        <w:rPr/>
        <w:t>, DQO, entre otros (Wheaton </w:t>
      </w:r>
      <w:r>
        <w:rPr>
          <w:i/>
        </w:rPr>
        <w:t>et al.</w:t>
      </w:r>
      <w:r>
        <w:rPr/>
        <w:t>, 1991).</w:t>
      </w:r>
    </w:p>
    <w:p>
      <w:pPr>
        <w:pStyle w:val="BodyText"/>
        <w:spacing w:line="360" w:lineRule="auto" w:before="188"/>
        <w:ind w:left="781" w:right="496"/>
        <w:jc w:val="both"/>
      </w:pPr>
      <w:r>
        <w:rPr/>
        <w:t>Este acercamiento a la modelación matemática de funcionamiento de biofiltros en acuicultura (tipo regresivo) es el que más se ha desarrollado. Comprende principalmente métodos empíricos donde se determina el cambio de la variable en estudio manteniendo las demás constantes. La ventaja de estos métodos es que son fáciles de implementar y al poder ser replicados por diferentes investigadores se puede llegar a un modelo mejorado de la razón de cambio de la variable en estudio (Wheaton </w:t>
      </w:r>
      <w:r>
        <w:rPr>
          <w:i/>
        </w:rPr>
        <w:t>et al.</w:t>
      </w:r>
      <w:r>
        <w:rPr/>
        <w:t>, 1991).Sin embargo, esta modelación simple conlleva a correlaciones restringidas a las condiciones en las cuales los datos experimentales fueron obtenidos (Picioreanu y Van Loosdrecht, 2003).</w:t>
      </w:r>
    </w:p>
    <w:p>
      <w:pPr>
        <w:pStyle w:val="BodyText"/>
        <w:spacing w:before="9"/>
        <w:rPr>
          <w:sz w:val="17"/>
        </w:rPr>
      </w:pPr>
    </w:p>
    <w:p>
      <w:pPr>
        <w:pStyle w:val="BodyText"/>
        <w:spacing w:line="360" w:lineRule="auto"/>
        <w:ind w:left="781" w:right="498"/>
        <w:jc w:val="both"/>
      </w:pPr>
      <w:r>
        <w:rPr/>
        <w:t>Los modelos más utilizados para conocer el comportamiento de los sistemas de recirculación acuícola son:</w:t>
      </w:r>
    </w:p>
    <w:p>
      <w:pPr>
        <w:pStyle w:val="BodyText"/>
        <w:spacing w:before="7"/>
        <w:rPr>
          <w:sz w:val="17"/>
        </w:rPr>
      </w:pPr>
    </w:p>
    <w:p>
      <w:pPr>
        <w:pStyle w:val="ListParagraph"/>
        <w:numPr>
          <w:ilvl w:val="0"/>
          <w:numId w:val="8"/>
        </w:numPr>
        <w:tabs>
          <w:tab w:pos="1092" w:val="left" w:leader="none"/>
        </w:tabs>
        <w:spacing w:line="360" w:lineRule="auto" w:before="0" w:after="0"/>
        <w:ind w:left="781" w:right="498" w:firstLine="0"/>
        <w:jc w:val="both"/>
        <w:rPr>
          <w:sz w:val="22"/>
        </w:rPr>
      </w:pPr>
      <w:r>
        <w:rPr>
          <w:sz w:val="22"/>
        </w:rPr>
        <w:t>La tasa volumétrica de remoción de nitrógeno amoniacal. Esto permite conocer la capacidad de carga de los biofiltros (Guerdat </w:t>
      </w:r>
      <w:r>
        <w:rPr>
          <w:i/>
          <w:sz w:val="22"/>
        </w:rPr>
        <w:t>et al</w:t>
      </w:r>
      <w:r>
        <w:rPr>
          <w:sz w:val="22"/>
        </w:rPr>
        <w:t>., 2010; Ling y Chen, 2005; Zhu y Chen, 2001; Zhu y Chen, 1999; Ester </w:t>
      </w:r>
      <w:r>
        <w:rPr>
          <w:i/>
          <w:sz w:val="22"/>
        </w:rPr>
        <w:t>et al</w:t>
      </w:r>
      <w:r>
        <w:rPr>
          <w:sz w:val="22"/>
        </w:rPr>
        <w:t>.,</w:t>
      </w:r>
      <w:r>
        <w:rPr>
          <w:spacing w:val="-18"/>
          <w:sz w:val="22"/>
        </w:rPr>
        <w:t> </w:t>
      </w:r>
      <w:r>
        <w:rPr>
          <w:sz w:val="22"/>
        </w:rPr>
        <w:t>1994).</w:t>
      </w:r>
    </w:p>
    <w:p>
      <w:pPr>
        <w:pStyle w:val="BodyText"/>
        <w:spacing w:before="7"/>
        <w:rPr>
          <w:sz w:val="17"/>
        </w:rPr>
      </w:pPr>
    </w:p>
    <w:p>
      <w:pPr>
        <w:pStyle w:val="ListParagraph"/>
        <w:numPr>
          <w:ilvl w:val="0"/>
          <w:numId w:val="8"/>
        </w:numPr>
        <w:tabs>
          <w:tab w:pos="1082" w:val="left" w:leader="none"/>
        </w:tabs>
        <w:spacing w:line="360" w:lineRule="auto" w:before="0" w:after="0"/>
        <w:ind w:left="781" w:right="497" w:firstLine="0"/>
        <w:jc w:val="both"/>
        <w:rPr>
          <w:sz w:val="22"/>
        </w:rPr>
      </w:pPr>
      <w:r>
        <w:rPr>
          <w:sz w:val="22"/>
        </w:rPr>
        <w:t>La generación de contaminantes por parte de los peces. Estos modelos se utilizan como base de diseño para las unidades de los procesos biológicos en los SRA en condiciones particulares para una región (García, 2008; Gallego </w:t>
      </w:r>
      <w:r>
        <w:rPr>
          <w:i/>
          <w:sz w:val="22"/>
        </w:rPr>
        <w:t>et al</w:t>
      </w:r>
      <w:r>
        <w:rPr>
          <w:sz w:val="22"/>
        </w:rPr>
        <w:t>., 2004; Gallego 2004).</w:t>
      </w:r>
    </w:p>
    <w:p>
      <w:pPr>
        <w:pStyle w:val="BodyText"/>
        <w:spacing w:before="9"/>
        <w:rPr>
          <w:sz w:val="17"/>
        </w:rPr>
      </w:pPr>
    </w:p>
    <w:p>
      <w:pPr>
        <w:pStyle w:val="ListParagraph"/>
        <w:numPr>
          <w:ilvl w:val="0"/>
          <w:numId w:val="8"/>
        </w:numPr>
        <w:tabs>
          <w:tab w:pos="1053" w:val="left" w:leader="none"/>
        </w:tabs>
        <w:spacing w:line="355" w:lineRule="auto" w:before="0" w:after="0"/>
        <w:ind w:left="781" w:right="497" w:firstLine="0"/>
        <w:jc w:val="both"/>
        <w:rPr>
          <w:sz w:val="22"/>
        </w:rPr>
      </w:pPr>
      <w:r>
        <w:rPr>
          <w:sz w:val="22"/>
        </w:rPr>
        <w:t>La modelación de consumo de oxígeno disuelto en el agua. En los sistemas cerrados; este parámetro es limitante para la densidad de peces en los estanques. Por ejemplo,  para cultivos oxigenados con aire la densidad máxima reportada es de 40 kg/m</w:t>
      </w:r>
      <w:r>
        <w:rPr>
          <w:position w:val="10"/>
          <w:sz w:val="13"/>
        </w:rPr>
        <w:t>3</w:t>
      </w:r>
      <w:r>
        <w:rPr>
          <w:sz w:val="22"/>
        </w:rPr>
        <w:t>, para cultivos que utilizan oxígeno puro se estima una densidad de 150 kg/m</w:t>
      </w:r>
      <w:r>
        <w:rPr>
          <w:position w:val="10"/>
          <w:sz w:val="13"/>
        </w:rPr>
        <w:t>3 </w:t>
      </w:r>
      <w:r>
        <w:rPr>
          <w:sz w:val="22"/>
        </w:rPr>
        <w:t>(Timmons </w:t>
      </w:r>
      <w:r>
        <w:rPr>
          <w:i/>
          <w:sz w:val="22"/>
        </w:rPr>
        <w:t>et al</w:t>
      </w:r>
      <w:r>
        <w:rPr>
          <w:sz w:val="22"/>
        </w:rPr>
        <w:t>., 2002). Otro uso de la modelación del consumo de oxígeno disuelto por parte de los organismos acuáticos es para conocer como es afectado su metabolismo por los diversos factores involucrados en el cultivo (Cerezo – Valverde </w:t>
      </w:r>
      <w:r>
        <w:rPr>
          <w:i/>
          <w:sz w:val="22"/>
        </w:rPr>
        <w:t>et al., </w:t>
      </w:r>
      <w:r>
        <w:rPr>
          <w:sz w:val="22"/>
        </w:rPr>
        <w:t>2009; Perera </w:t>
      </w:r>
      <w:r>
        <w:rPr>
          <w:i/>
          <w:sz w:val="22"/>
        </w:rPr>
        <w:t>et al., </w:t>
      </w:r>
      <w:r>
        <w:rPr>
          <w:sz w:val="22"/>
        </w:rPr>
        <w:t>2007; Debnath </w:t>
      </w:r>
      <w:r>
        <w:rPr>
          <w:i/>
          <w:sz w:val="22"/>
        </w:rPr>
        <w:t>et al</w:t>
      </w:r>
      <w:r>
        <w:rPr>
          <w:sz w:val="22"/>
        </w:rPr>
        <w:t>., 2006; Fivelstad et al.,</w:t>
      </w:r>
      <w:r>
        <w:rPr>
          <w:spacing w:val="-20"/>
          <w:sz w:val="22"/>
        </w:rPr>
        <w:t> </w:t>
      </w:r>
      <w:r>
        <w:rPr>
          <w:sz w:val="22"/>
        </w:rPr>
        <w:t>1999).</w:t>
      </w:r>
    </w:p>
    <w:p>
      <w:pPr>
        <w:pStyle w:val="BodyText"/>
        <w:rPr>
          <w:sz w:val="18"/>
        </w:rPr>
      </w:pPr>
    </w:p>
    <w:p>
      <w:pPr>
        <w:pStyle w:val="BodyText"/>
        <w:spacing w:line="360" w:lineRule="auto"/>
        <w:ind w:left="781" w:right="498"/>
        <w:jc w:val="both"/>
      </w:pPr>
      <w:r>
        <w:rPr/>
        <w:t>Otros trabajos reportan la modelación de consumo de oxígeno disuelto por parte de especies  acuícolas  para  determinar  el  comportamiento  de  la  concentración  de   este</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8"/>
        <w:jc w:val="both"/>
      </w:pPr>
      <w:r>
        <w:rPr/>
        <w:t>parámetro en el agua cuando es sometido el cultivo a diversos fenómenos como variación de temperatura, altitud, consumo de alimento, etc. (González </w:t>
      </w:r>
      <w:r>
        <w:rPr>
          <w:i/>
        </w:rPr>
        <w:t>et al</w:t>
      </w:r>
      <w:r>
        <w:rPr/>
        <w:t>., 2010; Dalvi </w:t>
      </w:r>
      <w:r>
        <w:rPr>
          <w:i/>
        </w:rPr>
        <w:t>et al</w:t>
      </w:r>
      <w:r>
        <w:rPr/>
        <w:t>., 2009; Merino </w:t>
      </w:r>
      <w:r>
        <w:rPr>
          <w:i/>
        </w:rPr>
        <w:t>et al.</w:t>
      </w:r>
      <w:r>
        <w:rPr/>
        <w:t>, 2009; Salas-Leiton et al., 2008; Tudor 1999; Grottum y Sigholt, 1998).</w:t>
      </w:r>
    </w:p>
    <w:p>
      <w:pPr>
        <w:pStyle w:val="BodyText"/>
        <w:spacing w:before="9"/>
        <w:rPr>
          <w:sz w:val="17"/>
        </w:rPr>
      </w:pPr>
    </w:p>
    <w:p>
      <w:pPr>
        <w:pStyle w:val="BodyText"/>
        <w:spacing w:line="360" w:lineRule="auto"/>
        <w:ind w:left="781" w:right="498"/>
        <w:jc w:val="both"/>
      </w:pPr>
      <w:r>
        <w:rPr/>
        <w:t>Para conocer la transferencia de oxígeno, se han planteado diferentes teorías, Sin embargo Lewis Whitman en 1924 postularon la que se considera la más sencilla y que ha probado ser correcta en un 95 % de los casos estudiados, llegando inclusive a presentar los mismos resultados que teorías más evolucionadas y complejas (Fall, 1999).</w:t>
      </w:r>
    </w:p>
    <w:p>
      <w:pPr>
        <w:pStyle w:val="BodyText"/>
        <w:spacing w:before="7"/>
        <w:rPr>
          <w:sz w:val="17"/>
        </w:rPr>
      </w:pPr>
    </w:p>
    <w:p>
      <w:pPr>
        <w:pStyle w:val="BodyText"/>
        <w:spacing w:line="360" w:lineRule="auto"/>
        <w:ind w:left="781" w:right="496"/>
        <w:jc w:val="both"/>
      </w:pPr>
      <w:r>
        <w:rPr/>
        <w:t>La teoría más utilizada para explicar el mecanismo de transferencia de gases en el intercambio gas-líquido es la teoría de la doble capa (Ramírez </w:t>
      </w:r>
      <w:r>
        <w:rPr>
          <w:i/>
        </w:rPr>
        <w:t>et al</w:t>
      </w:r>
      <w:r>
        <w:rPr/>
        <w:t>., 2002). El modelo se basa en la existencia de dos capas, una de líquido y otra de gas en la interface gas- líquido. Ambas capas dan una resistencia al paso de moléculas de gas entre las fases líquida y gaseosa. Los gases de solubilidad intermedia hallan una importante resistencia en ambas capas. La tasa de transferencia del gas es, en general, proporcional a la diferencia entre la concentración existente y la concentración de saturación del gas en la solución. En forma analítica, la relación puede expresarse como (Metcalf y Eddy, 1991):</w:t>
      </w:r>
    </w:p>
    <w:p>
      <w:pPr>
        <w:pStyle w:val="BodyText"/>
        <w:spacing w:before="10"/>
        <w:rPr>
          <w:sz w:val="10"/>
        </w:rPr>
      </w:pPr>
    </w:p>
    <w:p>
      <w:pPr>
        <w:spacing w:after="0"/>
        <w:rPr>
          <w:sz w:val="10"/>
        </w:rPr>
        <w:sectPr>
          <w:pgSz w:w="12240" w:h="15840"/>
          <w:pgMar w:header="725" w:footer="1084" w:top="1340" w:bottom="1280" w:left="920" w:right="1200"/>
        </w:sectPr>
      </w:pPr>
    </w:p>
    <w:p>
      <w:pPr>
        <w:spacing w:line="258" w:lineRule="exact" w:before="65"/>
        <w:ind w:left="781" w:right="-19" w:firstLine="0"/>
        <w:jc w:val="left"/>
        <w:rPr>
          <w:rFonts w:ascii="Cambria Math"/>
          <w:sz w:val="28"/>
        </w:rPr>
      </w:pPr>
      <w:r>
        <w:rPr>
          <w:rFonts w:ascii="Cambria Math"/>
          <w:w w:val="110"/>
          <w:sz w:val="20"/>
        </w:rPr>
        <w:t>dC  </w:t>
      </w:r>
      <w:r>
        <w:rPr>
          <w:rFonts w:ascii="Cambria Math"/>
          <w:w w:val="110"/>
          <w:position w:val="-16"/>
          <w:sz w:val="28"/>
        </w:rPr>
        <w:t>=</w:t>
      </w:r>
      <w:r>
        <w:rPr>
          <w:rFonts w:ascii="Cambria Math"/>
          <w:spacing w:val="-18"/>
          <w:w w:val="110"/>
          <w:position w:val="-16"/>
          <w:sz w:val="28"/>
        </w:rPr>
        <w:t> </w:t>
      </w:r>
      <w:r>
        <w:rPr>
          <w:rFonts w:ascii="Cambria Math"/>
          <w:w w:val="110"/>
          <w:position w:val="-16"/>
          <w:sz w:val="28"/>
        </w:rPr>
        <w:t>K</w:t>
      </w:r>
    </w:p>
    <w:p>
      <w:pPr>
        <w:spacing w:line="179" w:lineRule="exact" w:before="144"/>
        <w:ind w:left="64" w:right="-2" w:firstLine="0"/>
        <w:jc w:val="left"/>
        <w:rPr>
          <w:rFonts w:ascii="Cambria Math"/>
          <w:sz w:val="28"/>
        </w:rPr>
      </w:pPr>
      <w:r>
        <w:rPr/>
        <w:br w:type="column"/>
      </w:r>
      <w:r>
        <w:rPr>
          <w:rFonts w:ascii="Cambria Math"/>
          <w:w w:val="105"/>
          <w:sz w:val="28"/>
        </w:rPr>
        <w:t>a</w:t>
      </w:r>
      <w:r>
        <w:rPr>
          <w:rFonts w:ascii="Cambria Math"/>
          <w:w w:val="105"/>
          <w:position w:val="1"/>
          <w:sz w:val="28"/>
        </w:rPr>
        <w:t>(</w:t>
      </w:r>
      <w:r>
        <w:rPr>
          <w:rFonts w:ascii="Cambria Math"/>
          <w:w w:val="105"/>
          <w:sz w:val="28"/>
        </w:rPr>
        <w:t>C</w:t>
      </w:r>
    </w:p>
    <w:p>
      <w:pPr>
        <w:tabs>
          <w:tab w:pos="6378" w:val="left" w:leader="none"/>
        </w:tabs>
        <w:spacing w:line="179" w:lineRule="exact" w:before="144"/>
        <w:ind w:left="330" w:right="0" w:firstLine="0"/>
        <w:jc w:val="left"/>
        <w:rPr>
          <w:sz w:val="24"/>
        </w:rPr>
      </w:pPr>
      <w:r>
        <w:rPr/>
        <w:br w:type="column"/>
      </w:r>
      <w:r>
        <w:rPr>
          <w:rFonts w:ascii="Cambria Math" w:hAnsi="Cambria Math"/>
          <w:sz w:val="28"/>
        </w:rPr>
        <w:t>−</w:t>
      </w:r>
      <w:r>
        <w:rPr>
          <w:rFonts w:ascii="Cambria Math" w:hAnsi="Cambria Math"/>
          <w:spacing w:val="2"/>
          <w:sz w:val="28"/>
        </w:rPr>
        <w:t> </w:t>
      </w:r>
      <w:r>
        <w:rPr>
          <w:rFonts w:ascii="Cambria Math" w:hAnsi="Cambria Math"/>
          <w:spacing w:val="6"/>
          <w:sz w:val="28"/>
        </w:rPr>
        <w:t>C</w:t>
      </w:r>
      <w:r>
        <w:rPr>
          <w:rFonts w:ascii="Cambria Math" w:hAnsi="Cambria Math"/>
          <w:spacing w:val="6"/>
          <w:position w:val="1"/>
          <w:sz w:val="28"/>
        </w:rPr>
        <w:t>)</w:t>
        <w:tab/>
      </w:r>
      <w:r>
        <w:rPr>
          <w:sz w:val="24"/>
        </w:rPr>
        <w:t>(2)</w:t>
      </w:r>
    </w:p>
    <w:p>
      <w:pPr>
        <w:spacing w:after="0" w:line="179" w:lineRule="exact"/>
        <w:jc w:val="left"/>
        <w:rPr>
          <w:sz w:val="24"/>
        </w:rPr>
        <w:sectPr>
          <w:type w:val="continuous"/>
          <w:pgSz w:w="12240" w:h="15840"/>
          <w:pgMar w:top="0" w:bottom="0" w:left="920" w:right="1200"/>
          <w:cols w:num="3" w:equalWidth="0">
            <w:col w:w="1599" w:space="40"/>
            <w:col w:w="513" w:space="40"/>
            <w:col w:w="7928"/>
          </w:cols>
        </w:sectPr>
      </w:pPr>
    </w:p>
    <w:p>
      <w:pPr>
        <w:tabs>
          <w:tab w:pos="1578" w:val="left" w:leader="none"/>
        </w:tabs>
        <w:spacing w:line="283" w:lineRule="exact" w:before="0"/>
        <w:ind w:left="798" w:right="0" w:firstLine="0"/>
        <w:jc w:val="left"/>
        <w:rPr>
          <w:rFonts w:ascii="Cambria Math"/>
          <w:sz w:val="20"/>
        </w:rPr>
      </w:pPr>
      <w:r>
        <w:rPr/>
        <w:pict>
          <v:line style="position:absolute;mso-position-horizontal-relative:page;mso-position-vertical-relative:paragraph;z-index:-1528888" from="85.080002pt,.909175pt" to="97.920002pt,.909175pt" stroked="true" strokeweight=".96pt" strokecolor="#000000">
            <w10:wrap type="none"/>
          </v:line>
        </w:pict>
      </w:r>
      <w:r>
        <w:rPr>
          <w:rFonts w:ascii="Cambria Math"/>
          <w:w w:val="115"/>
          <w:sz w:val="20"/>
        </w:rPr>
        <w:t>dt</w:t>
        <w:tab/>
      </w:r>
      <w:r>
        <w:rPr>
          <w:rFonts w:ascii="Cambria Math"/>
          <w:position w:val="8"/>
          <w:sz w:val="20"/>
        </w:rPr>
        <w:t>L</w:t>
      </w:r>
    </w:p>
    <w:p>
      <w:pPr>
        <w:spacing w:line="199" w:lineRule="exact" w:before="0"/>
        <w:ind w:left="408" w:right="0" w:firstLine="0"/>
        <w:jc w:val="left"/>
        <w:rPr>
          <w:rFonts w:ascii="Cambria Math"/>
          <w:sz w:val="20"/>
        </w:rPr>
      </w:pPr>
      <w:r>
        <w:rPr/>
        <w:br w:type="column"/>
      </w:r>
      <w:r>
        <w:rPr>
          <w:rFonts w:ascii="Cambria Math"/>
          <w:w w:val="125"/>
          <w:sz w:val="20"/>
        </w:rPr>
        <w:t>sat</w:t>
      </w:r>
    </w:p>
    <w:p>
      <w:pPr>
        <w:spacing w:after="0" w:line="199" w:lineRule="exact"/>
        <w:jc w:val="left"/>
        <w:rPr>
          <w:rFonts w:ascii="Cambria Math"/>
          <w:sz w:val="20"/>
        </w:rPr>
        <w:sectPr>
          <w:type w:val="continuous"/>
          <w:pgSz w:w="12240" w:h="15840"/>
          <w:pgMar w:top="0" w:bottom="0" w:left="920" w:right="1200"/>
          <w:cols w:num="2" w:equalWidth="0">
            <w:col w:w="1688" w:space="40"/>
            <w:col w:w="8392"/>
          </w:cols>
        </w:sectPr>
      </w:pPr>
    </w:p>
    <w:p>
      <w:pPr>
        <w:pStyle w:val="BodyText"/>
        <w:spacing w:before="5"/>
        <w:rPr>
          <w:rFonts w:ascii="Cambria Math"/>
          <w:sz w:val="20"/>
        </w:rPr>
      </w:pPr>
    </w:p>
    <w:p>
      <w:pPr>
        <w:spacing w:line="204" w:lineRule="exact" w:before="102"/>
        <w:ind w:left="781" w:right="514" w:firstLine="0"/>
        <w:jc w:val="left"/>
        <w:rPr>
          <w:sz w:val="18"/>
        </w:rPr>
      </w:pPr>
      <w:r>
        <w:rPr>
          <w:position w:val="2"/>
          <w:sz w:val="18"/>
        </w:rPr>
        <w:t>Donde: </w:t>
      </w:r>
      <w:r>
        <w:rPr>
          <w:i/>
          <w:position w:val="2"/>
          <w:sz w:val="18"/>
        </w:rPr>
        <w:t>C </w:t>
      </w:r>
      <w:r>
        <w:rPr>
          <w:position w:val="2"/>
          <w:sz w:val="18"/>
        </w:rPr>
        <w:t>= Concentración del gas a un tiempo t (mg/L), </w:t>
      </w:r>
      <w:r>
        <w:rPr>
          <w:i/>
          <w:position w:val="2"/>
          <w:sz w:val="18"/>
        </w:rPr>
        <w:t>t </w:t>
      </w:r>
      <w:r>
        <w:rPr>
          <w:position w:val="2"/>
          <w:sz w:val="18"/>
        </w:rPr>
        <w:t>= Tiempo (s), </w:t>
      </w:r>
      <w:r>
        <w:rPr>
          <w:i/>
          <w:position w:val="2"/>
          <w:sz w:val="18"/>
        </w:rPr>
        <w:t>C</w:t>
      </w:r>
      <w:r>
        <w:rPr>
          <w:i/>
          <w:sz w:val="12"/>
        </w:rPr>
        <w:t>s</w:t>
      </w:r>
      <w:r>
        <w:rPr>
          <w:position w:val="2"/>
          <w:sz w:val="18"/>
        </w:rPr>
        <w:t>= Concentración de saturación del gas (mg/L), </w:t>
      </w:r>
      <w:r>
        <w:rPr>
          <w:i/>
          <w:position w:val="2"/>
          <w:sz w:val="18"/>
        </w:rPr>
        <w:t>K</w:t>
      </w:r>
      <w:r>
        <w:rPr>
          <w:i/>
          <w:sz w:val="12"/>
        </w:rPr>
        <w:t>L</w:t>
      </w:r>
      <w:r>
        <w:rPr>
          <w:rFonts w:ascii="Times New Roman" w:hAnsi="Times New Roman"/>
          <w:i/>
          <w:position w:val="2"/>
          <w:sz w:val="18"/>
        </w:rPr>
        <w:t>a </w:t>
      </w:r>
      <w:r>
        <w:rPr>
          <w:position w:val="2"/>
          <w:sz w:val="18"/>
        </w:rPr>
        <w:t>= Coeficiente de transferencia volumétrico (h</w:t>
      </w:r>
      <w:r>
        <w:rPr>
          <w:position w:val="11"/>
          <w:sz w:val="12"/>
        </w:rPr>
        <w:t>-1</w:t>
      </w:r>
      <w:r>
        <w:rPr>
          <w:position w:val="2"/>
          <w:sz w:val="18"/>
        </w:rPr>
        <w:t>)</w:t>
      </w:r>
    </w:p>
    <w:p>
      <w:pPr>
        <w:pStyle w:val="BodyText"/>
        <w:spacing w:line="360" w:lineRule="auto" w:before="182"/>
        <w:ind w:left="781" w:right="570"/>
      </w:pPr>
      <w:r>
        <w:rPr/>
        <w:t>Sin embargo, cuando existe aireación y respiración endógena la ecuación se expresa de la siguiente</w:t>
      </w:r>
      <w:r>
        <w:rPr>
          <w:spacing w:val="-5"/>
        </w:rPr>
        <w:t> </w:t>
      </w:r>
      <w:r>
        <w:rPr/>
        <w:t>manera:</w:t>
      </w:r>
    </w:p>
    <w:p>
      <w:pPr>
        <w:pStyle w:val="BodyText"/>
        <w:spacing w:before="7"/>
        <w:rPr>
          <w:sz w:val="10"/>
        </w:rPr>
      </w:pPr>
    </w:p>
    <w:p>
      <w:pPr>
        <w:spacing w:after="0"/>
        <w:rPr>
          <w:sz w:val="10"/>
        </w:rPr>
        <w:sectPr>
          <w:type w:val="continuous"/>
          <w:pgSz w:w="12240" w:h="15840"/>
          <w:pgMar w:top="0" w:bottom="0" w:left="920" w:right="1200"/>
        </w:sectPr>
      </w:pPr>
    </w:p>
    <w:p>
      <w:pPr>
        <w:spacing w:line="258" w:lineRule="exact" w:before="65"/>
        <w:ind w:left="781" w:right="-19" w:firstLine="0"/>
        <w:jc w:val="left"/>
        <w:rPr>
          <w:rFonts w:ascii="Cambria Math"/>
          <w:sz w:val="28"/>
        </w:rPr>
      </w:pPr>
      <w:r>
        <w:rPr>
          <w:rFonts w:ascii="Cambria Math"/>
          <w:w w:val="110"/>
          <w:sz w:val="20"/>
        </w:rPr>
        <w:t>dC  </w:t>
      </w:r>
      <w:r>
        <w:rPr>
          <w:rFonts w:ascii="Cambria Math"/>
          <w:w w:val="110"/>
          <w:position w:val="-16"/>
          <w:sz w:val="28"/>
        </w:rPr>
        <w:t>=</w:t>
      </w:r>
      <w:r>
        <w:rPr>
          <w:rFonts w:ascii="Cambria Math"/>
          <w:spacing w:val="-18"/>
          <w:w w:val="110"/>
          <w:position w:val="-16"/>
          <w:sz w:val="28"/>
        </w:rPr>
        <w:t> </w:t>
      </w:r>
      <w:r>
        <w:rPr>
          <w:rFonts w:ascii="Cambria Math"/>
          <w:w w:val="110"/>
          <w:position w:val="-16"/>
          <w:sz w:val="28"/>
        </w:rPr>
        <w:t>K</w:t>
      </w:r>
    </w:p>
    <w:p>
      <w:pPr>
        <w:tabs>
          <w:tab w:pos="882" w:val="left" w:leader="none"/>
        </w:tabs>
        <w:spacing w:line="179" w:lineRule="exact" w:before="145"/>
        <w:ind w:left="64" w:right="0" w:firstLine="0"/>
        <w:jc w:val="left"/>
        <w:rPr>
          <w:rFonts w:ascii="Cambria Math" w:hAnsi="Cambria Math"/>
          <w:sz w:val="28"/>
        </w:rPr>
      </w:pPr>
      <w:r>
        <w:rPr/>
        <w:br w:type="column"/>
      </w:r>
      <w:r>
        <w:rPr>
          <w:rFonts w:ascii="Cambria Math" w:hAnsi="Cambria Math"/>
          <w:spacing w:val="2"/>
          <w:w w:val="105"/>
          <w:sz w:val="28"/>
        </w:rPr>
        <w:t>a</w:t>
      </w:r>
      <w:r>
        <w:rPr>
          <w:rFonts w:ascii="Cambria Math" w:hAnsi="Cambria Math"/>
          <w:spacing w:val="2"/>
          <w:w w:val="105"/>
          <w:position w:val="1"/>
          <w:sz w:val="28"/>
        </w:rPr>
        <w:t>(</w:t>
      </w:r>
      <w:r>
        <w:rPr>
          <w:rFonts w:ascii="Cambria Math" w:hAnsi="Cambria Math"/>
          <w:spacing w:val="2"/>
          <w:w w:val="105"/>
          <w:sz w:val="28"/>
        </w:rPr>
        <w:t>C</w:t>
        <w:tab/>
      </w:r>
      <w:r>
        <w:rPr>
          <w:rFonts w:ascii="Cambria Math" w:hAnsi="Cambria Math"/>
          <w:w w:val="105"/>
          <w:sz w:val="28"/>
        </w:rPr>
        <w:t>− </w:t>
      </w:r>
      <w:r>
        <w:rPr>
          <w:rFonts w:ascii="Cambria Math" w:hAnsi="Cambria Math"/>
          <w:spacing w:val="6"/>
          <w:w w:val="105"/>
          <w:sz w:val="28"/>
        </w:rPr>
        <w:t>C</w:t>
      </w:r>
      <w:r>
        <w:rPr>
          <w:rFonts w:ascii="Cambria Math" w:hAnsi="Cambria Math"/>
          <w:spacing w:val="6"/>
          <w:w w:val="105"/>
          <w:position w:val="1"/>
          <w:sz w:val="28"/>
        </w:rPr>
        <w:t>) </w:t>
      </w:r>
      <w:r>
        <w:rPr>
          <w:rFonts w:ascii="Cambria Math" w:hAnsi="Cambria Math"/>
          <w:w w:val="105"/>
          <w:sz w:val="28"/>
        </w:rPr>
        <w:t>−</w:t>
      </w:r>
      <w:r>
        <w:rPr>
          <w:rFonts w:ascii="Cambria Math" w:hAnsi="Cambria Math"/>
          <w:spacing w:val="-3"/>
          <w:w w:val="105"/>
          <w:sz w:val="28"/>
        </w:rPr>
        <w:t> </w:t>
      </w:r>
      <w:r>
        <w:rPr>
          <w:rFonts w:ascii="Cambria Math" w:hAnsi="Cambria Math"/>
          <w:w w:val="105"/>
          <w:sz w:val="28"/>
        </w:rPr>
        <w:t>$o</w:t>
      </w:r>
    </w:p>
    <w:p>
      <w:pPr>
        <w:spacing w:line="128" w:lineRule="exact" w:before="196"/>
        <w:ind w:left="762" w:right="1235" w:firstLine="0"/>
        <w:jc w:val="center"/>
        <w:rPr>
          <w:sz w:val="24"/>
        </w:rPr>
      </w:pPr>
      <w:r>
        <w:rPr/>
        <w:br w:type="column"/>
      </w:r>
      <w:r>
        <w:rPr>
          <w:sz w:val="24"/>
        </w:rPr>
        <w:t>(3)</w:t>
      </w:r>
    </w:p>
    <w:p>
      <w:pPr>
        <w:spacing w:after="0" w:line="128" w:lineRule="exact"/>
        <w:jc w:val="center"/>
        <w:rPr>
          <w:sz w:val="24"/>
        </w:rPr>
        <w:sectPr>
          <w:type w:val="continuous"/>
          <w:pgSz w:w="12240" w:h="15840"/>
          <w:pgMar w:top="0" w:bottom="0" w:left="920" w:right="1200"/>
          <w:cols w:num="3" w:equalWidth="0">
            <w:col w:w="1599" w:space="40"/>
            <w:col w:w="2127" w:space="4022"/>
            <w:col w:w="2332"/>
          </w:cols>
        </w:sectPr>
      </w:pPr>
    </w:p>
    <w:p>
      <w:pPr>
        <w:tabs>
          <w:tab w:pos="1578" w:val="left" w:leader="none"/>
        </w:tabs>
        <w:spacing w:line="283" w:lineRule="exact" w:before="0"/>
        <w:ind w:left="798" w:right="0" w:firstLine="0"/>
        <w:jc w:val="left"/>
        <w:rPr>
          <w:rFonts w:ascii="Cambria Math"/>
          <w:sz w:val="20"/>
        </w:rPr>
      </w:pPr>
      <w:r>
        <w:rPr/>
        <w:pict>
          <v:line style="position:absolute;mso-position-horizontal-relative:page;mso-position-vertical-relative:paragraph;z-index:-1528864" from="85.080002pt,.909272pt" to="97.920002pt,.909272pt" stroked="true" strokeweight=".96pt" strokecolor="#000000">
            <w10:wrap type="none"/>
          </v:line>
        </w:pict>
      </w:r>
      <w:r>
        <w:rPr>
          <w:rFonts w:ascii="Cambria Math"/>
          <w:w w:val="115"/>
          <w:sz w:val="20"/>
        </w:rPr>
        <w:t>dt</w:t>
        <w:tab/>
      </w:r>
      <w:r>
        <w:rPr>
          <w:rFonts w:ascii="Cambria Math"/>
          <w:position w:val="8"/>
          <w:sz w:val="20"/>
        </w:rPr>
        <w:t>L</w:t>
      </w:r>
    </w:p>
    <w:p>
      <w:pPr>
        <w:tabs>
          <w:tab w:pos="2143" w:val="right" w:leader="none"/>
        </w:tabs>
        <w:spacing w:line="199" w:lineRule="exact" w:before="0"/>
        <w:ind w:left="408" w:right="0" w:firstLine="0"/>
        <w:jc w:val="left"/>
        <w:rPr>
          <w:rFonts w:ascii="Cambria Math"/>
          <w:sz w:val="20"/>
        </w:rPr>
      </w:pPr>
      <w:r>
        <w:rPr/>
        <w:br w:type="column"/>
      </w:r>
      <w:r>
        <w:rPr>
          <w:rFonts w:ascii="Cambria Math"/>
          <w:w w:val="115"/>
          <w:sz w:val="20"/>
        </w:rPr>
        <w:t>sat</w:t>
      </w:r>
      <w:r>
        <w:rPr>
          <w:rFonts w:ascii="Times New Roman"/>
          <w:w w:val="115"/>
          <w:sz w:val="20"/>
        </w:rPr>
        <w:tab/>
      </w:r>
      <w:r>
        <w:rPr>
          <w:rFonts w:ascii="Cambria Math"/>
          <w:w w:val="115"/>
          <w:sz w:val="20"/>
        </w:rPr>
        <w:t>2</w:t>
      </w:r>
    </w:p>
    <w:p>
      <w:pPr>
        <w:spacing w:after="0" w:line="199" w:lineRule="exact"/>
        <w:jc w:val="left"/>
        <w:rPr>
          <w:rFonts w:ascii="Cambria Math"/>
          <w:sz w:val="20"/>
        </w:rPr>
        <w:sectPr>
          <w:type w:val="continuous"/>
          <w:pgSz w:w="12240" w:h="15840"/>
          <w:pgMar w:top="0" w:bottom="0" w:left="920" w:right="1200"/>
          <w:cols w:num="2" w:equalWidth="0">
            <w:col w:w="1688" w:space="40"/>
            <w:col w:w="8392"/>
          </w:cols>
        </w:sectPr>
      </w:pPr>
    </w:p>
    <w:p>
      <w:pPr>
        <w:pStyle w:val="BodyText"/>
        <w:spacing w:before="4"/>
        <w:rPr>
          <w:rFonts w:ascii="Cambria Math"/>
          <w:sz w:val="29"/>
        </w:rPr>
      </w:pPr>
    </w:p>
    <w:p>
      <w:pPr>
        <w:spacing w:line="204" w:lineRule="exact" w:before="0"/>
        <w:ind w:left="781" w:right="497" w:firstLine="0"/>
        <w:jc w:val="both"/>
        <w:rPr>
          <w:sz w:val="18"/>
        </w:rPr>
      </w:pPr>
      <w:r>
        <w:rPr>
          <w:position w:val="2"/>
          <w:sz w:val="18"/>
        </w:rPr>
        <w:t>Donde: </w:t>
      </w:r>
      <w:r>
        <w:rPr>
          <w:i/>
          <w:position w:val="2"/>
          <w:sz w:val="18"/>
        </w:rPr>
        <w:t>C </w:t>
      </w:r>
      <w:r>
        <w:rPr>
          <w:position w:val="2"/>
          <w:sz w:val="18"/>
        </w:rPr>
        <w:t>= Concentración del gas a un tiempo t (mg/L), </w:t>
      </w:r>
      <w:r>
        <w:rPr>
          <w:i/>
          <w:position w:val="2"/>
          <w:sz w:val="18"/>
        </w:rPr>
        <w:t>t </w:t>
      </w:r>
      <w:r>
        <w:rPr>
          <w:position w:val="2"/>
          <w:sz w:val="18"/>
        </w:rPr>
        <w:t>= Tiempo (s), </w:t>
      </w:r>
      <w:r>
        <w:rPr>
          <w:i/>
          <w:position w:val="2"/>
          <w:sz w:val="18"/>
        </w:rPr>
        <w:t>C</w:t>
      </w:r>
      <w:r>
        <w:rPr>
          <w:i/>
          <w:sz w:val="12"/>
        </w:rPr>
        <w:t>s</w:t>
      </w:r>
      <w:r>
        <w:rPr>
          <w:position w:val="2"/>
          <w:sz w:val="18"/>
        </w:rPr>
        <w:t>= Concentración de saturación del gas (mg/L), </w:t>
      </w:r>
      <w:r>
        <w:rPr>
          <w:i/>
          <w:position w:val="2"/>
          <w:sz w:val="18"/>
        </w:rPr>
        <w:t>K</w:t>
      </w:r>
      <w:r>
        <w:rPr>
          <w:i/>
          <w:sz w:val="12"/>
        </w:rPr>
        <w:t>L</w:t>
      </w:r>
      <w:r>
        <w:rPr>
          <w:rFonts w:ascii="Times New Roman" w:hAnsi="Times New Roman"/>
          <w:i/>
          <w:position w:val="2"/>
          <w:sz w:val="18"/>
        </w:rPr>
        <w:t>a </w:t>
      </w:r>
      <w:r>
        <w:rPr>
          <w:position w:val="2"/>
          <w:sz w:val="18"/>
        </w:rPr>
        <w:t>= Coeficiente de transferencia volumétrico (h</w:t>
      </w:r>
      <w:r>
        <w:rPr>
          <w:position w:val="11"/>
          <w:sz w:val="12"/>
        </w:rPr>
        <w:t>-1</w:t>
      </w:r>
      <w:r>
        <w:rPr>
          <w:position w:val="2"/>
          <w:sz w:val="18"/>
        </w:rPr>
        <w:t>) y </w:t>
      </w:r>
      <w:r>
        <w:rPr>
          <w:i/>
          <w:position w:val="2"/>
          <w:sz w:val="18"/>
        </w:rPr>
        <w:t>φo</w:t>
      </w:r>
      <w:r>
        <w:rPr>
          <w:i/>
          <w:sz w:val="12"/>
        </w:rPr>
        <w:t>2  </w:t>
      </w:r>
      <w:r>
        <w:rPr>
          <w:position w:val="2"/>
          <w:sz w:val="18"/>
        </w:rPr>
        <w:t>= Velocidad de consumo de oxígeno por</w:t>
      </w:r>
    </w:p>
    <w:p>
      <w:pPr>
        <w:spacing w:line="189" w:lineRule="exact" w:before="0"/>
        <w:ind w:left="781" w:right="0" w:firstLine="0"/>
        <w:jc w:val="both"/>
        <w:rPr>
          <w:sz w:val="18"/>
        </w:rPr>
      </w:pPr>
      <w:r>
        <w:rPr>
          <w:sz w:val="18"/>
        </w:rPr>
        <w:t>los organismos.</w:t>
      </w:r>
    </w:p>
    <w:p>
      <w:pPr>
        <w:pStyle w:val="BodyText"/>
        <w:spacing w:before="4"/>
        <w:rPr>
          <w:sz w:val="17"/>
        </w:rPr>
      </w:pPr>
    </w:p>
    <w:p>
      <w:pPr>
        <w:pStyle w:val="BodyText"/>
        <w:spacing w:line="360" w:lineRule="auto"/>
        <w:ind w:left="781" w:right="498"/>
        <w:jc w:val="both"/>
      </w:pPr>
      <w:r>
        <w:rPr/>
        <w:t>Cabe mencionar que trabajar con la modelación de los parámetros limitantes al SRA permite conocer desde las distintas formas del comportamiento de un sistema integral de recirculación de agua, y de esta manera complementar la comprensión de la nueva tecnología para el cultivo de trucha con sistemas cerrados alimentados con agua pluvial.</w:t>
      </w:r>
    </w:p>
    <w:p>
      <w:pPr>
        <w:pStyle w:val="BodyText"/>
        <w:spacing w:before="9"/>
        <w:rPr>
          <w:sz w:val="17"/>
        </w:rPr>
      </w:pPr>
    </w:p>
    <w:p>
      <w:pPr>
        <w:pStyle w:val="ListParagraph"/>
        <w:numPr>
          <w:ilvl w:val="0"/>
          <w:numId w:val="8"/>
        </w:numPr>
        <w:tabs>
          <w:tab w:pos="1060" w:val="left" w:leader="none"/>
        </w:tabs>
        <w:spacing w:line="360" w:lineRule="auto" w:before="0" w:after="0"/>
        <w:ind w:left="781" w:right="498" w:firstLine="0"/>
        <w:jc w:val="both"/>
        <w:rPr>
          <w:sz w:val="22"/>
        </w:rPr>
      </w:pPr>
      <w:r>
        <w:rPr>
          <w:sz w:val="22"/>
        </w:rPr>
        <w:t>Modelación determinística. En los últimos años, surgieron cambios importantes en las teorías  y  prácticas  de  diseño  de  los  procesos  biológicos  de  tratamiento  de    </w:t>
      </w:r>
      <w:r>
        <w:rPr>
          <w:spacing w:val="15"/>
          <w:sz w:val="22"/>
        </w:rPr>
        <w:t> </w:t>
      </w:r>
      <w:r>
        <w:rPr>
          <w:sz w:val="22"/>
        </w:rPr>
        <w:t>aguas</w:t>
      </w:r>
    </w:p>
    <w:p>
      <w:pPr>
        <w:spacing w:after="0" w:line="360" w:lineRule="auto"/>
        <w:jc w:val="both"/>
        <w:rPr>
          <w:sz w:val="22"/>
        </w:rPr>
        <w:sectPr>
          <w:type w:val="continuous"/>
          <w:pgSz w:w="12240" w:h="15840"/>
          <w:pgMar w:top="0" w:bottom="0" w:left="920" w:right="1200"/>
        </w:sectPr>
      </w:pPr>
    </w:p>
    <w:p>
      <w:pPr>
        <w:pStyle w:val="BodyText"/>
        <w:spacing w:before="10"/>
        <w:rPr>
          <w:sz w:val="8"/>
        </w:rPr>
      </w:pPr>
    </w:p>
    <w:p>
      <w:pPr>
        <w:pStyle w:val="BodyText"/>
        <w:spacing w:line="360" w:lineRule="auto" w:before="73"/>
        <w:ind w:left="781" w:right="497"/>
        <w:jc w:val="both"/>
      </w:pPr>
      <w:r>
        <w:rPr/>
        <w:t>residuales, constituyendo un parte aguas entre el enfoque clásico, muchas veces empírico, y las tendencias asentadas en la formulación de proyectos de modelos más precisos (Fall,</w:t>
      </w:r>
      <w:r>
        <w:rPr>
          <w:spacing w:val="-7"/>
        </w:rPr>
        <w:t> </w:t>
      </w:r>
      <w:r>
        <w:rPr/>
        <w:t>2007).</w:t>
      </w:r>
    </w:p>
    <w:p>
      <w:pPr>
        <w:pStyle w:val="BodyText"/>
        <w:spacing w:before="9"/>
        <w:rPr>
          <w:sz w:val="17"/>
        </w:rPr>
      </w:pPr>
    </w:p>
    <w:p>
      <w:pPr>
        <w:pStyle w:val="BodyText"/>
        <w:spacing w:line="360" w:lineRule="auto"/>
        <w:ind w:left="781" w:right="497"/>
        <w:jc w:val="both"/>
      </w:pPr>
      <w:r>
        <w:rPr/>
        <w:t>En 1982, la IAWQ incentivó la formación de un grupo de estudio internacional encargado de acelerar el desarrollo de la modelación dinámica de las plantas de tratamiento, crear una plataforma comuna consensual y proponer un modelo simple de inicio (“Task Group on Mathematical Modeling for Design and Operation of Activated Sludge Process”). El grupo concentró sus primeros esfuerzos en inventariar los modelos existentes así como  los obstáculos para su desarrollo (Fall,</w:t>
      </w:r>
      <w:r>
        <w:rPr>
          <w:spacing w:val="-17"/>
        </w:rPr>
        <w:t> </w:t>
      </w:r>
      <w:r>
        <w:rPr/>
        <w:t>2007).</w:t>
      </w:r>
    </w:p>
    <w:p>
      <w:pPr>
        <w:pStyle w:val="BodyText"/>
        <w:spacing w:before="9"/>
        <w:rPr>
          <w:sz w:val="17"/>
        </w:rPr>
      </w:pPr>
    </w:p>
    <w:p>
      <w:pPr>
        <w:pStyle w:val="BodyText"/>
        <w:spacing w:line="360" w:lineRule="auto"/>
        <w:ind w:left="781" w:right="498"/>
        <w:jc w:val="both"/>
      </w:pPr>
      <w:r>
        <w:rPr/>
        <w:t>Por otra parte, existía un gran número de modelos dinámicos, cuya difusión fue obstaculizada por la complejidad, la falta de orden para presentarlos y las limitaciones en el poder de las computadoras</w:t>
      </w:r>
      <w:r>
        <w:rPr>
          <w:sz w:val="24"/>
        </w:rPr>
        <w:t>. </w:t>
      </w:r>
      <w:r>
        <w:rPr/>
        <w:t>En los años 70, la Universidad de Cap Town (Sudáfrica) fue una de las pioneras de la modelación dinámica con los trabajos del profesor G.V.R. Marais.</w:t>
      </w:r>
    </w:p>
    <w:p>
      <w:pPr>
        <w:pStyle w:val="BodyText"/>
        <w:spacing w:before="9"/>
        <w:rPr>
          <w:sz w:val="17"/>
        </w:rPr>
      </w:pPr>
    </w:p>
    <w:p>
      <w:pPr>
        <w:pStyle w:val="BodyText"/>
        <w:spacing w:line="360" w:lineRule="auto"/>
        <w:ind w:left="781" w:right="497"/>
        <w:jc w:val="both"/>
      </w:pPr>
      <w:r>
        <w:rPr/>
        <w:t>Las conclusiones del grupo fueron publicadas en 1987 en un informe que presentaba lo conocido hoy como el Modelo ASM1, modelo dedicado a describir la degradación de materia orgánica, nitrificación y desnitrificación en un proceso de lodos activados (de tipo lodos únicos). Los logros más destacados del grupo fueron un consenso en los procesos biológicos que integran el modelo, la estandarización de los símbolos, la presentación del modelo utilizando una notación matricial, la propuesta de valores de “default” de los parámetros del modelo, la adopción de la DQO y su fraccionamiento para caracterizar las aguas y lodos, un código de programación para el desarrollo futuro de software de modelización (Fall, 2007; Fall, 2003).</w:t>
      </w:r>
    </w:p>
    <w:p>
      <w:pPr>
        <w:pStyle w:val="BodyText"/>
        <w:spacing w:before="7"/>
        <w:rPr>
          <w:sz w:val="17"/>
        </w:rPr>
      </w:pPr>
    </w:p>
    <w:p>
      <w:pPr>
        <w:pStyle w:val="BodyText"/>
        <w:spacing w:line="360" w:lineRule="auto"/>
        <w:ind w:left="781" w:right="497"/>
        <w:jc w:val="both"/>
      </w:pPr>
      <w:r>
        <w:rPr/>
        <w:t>Por otro lado, en las últimas cuatro décadas se han desarrollado modelos matemáticos que han servido como herramientas para simular el comportamiento de biopelículas. Los modelos iníciales, en los 70’s, describen a la biopelícula en un estado estacionario y uniforme conteniendo un solo tipo de organismos, haciendo énfasis en la transformación bioquímica y el balance de masas de manera unidimensional (Kreft </w:t>
      </w:r>
      <w:r>
        <w:rPr>
          <w:i/>
        </w:rPr>
        <w:t>et al</w:t>
      </w:r>
      <w:r>
        <w:rPr/>
        <w:t>., 2001).</w:t>
      </w:r>
    </w:p>
    <w:p>
      <w:pPr>
        <w:pStyle w:val="BodyText"/>
        <w:spacing w:before="7"/>
        <w:rPr>
          <w:sz w:val="17"/>
        </w:rPr>
      </w:pPr>
    </w:p>
    <w:p>
      <w:pPr>
        <w:pStyle w:val="BodyText"/>
        <w:spacing w:line="360" w:lineRule="auto"/>
        <w:ind w:left="781" w:right="498"/>
        <w:jc w:val="both"/>
      </w:pPr>
      <w:r>
        <w:rPr/>
        <w:t>Para los 80’s se desarrollaron modelos dinámicos que podían representar multisubstratos y multiespecies en las biopelículas (Wanner y Gujer, 1986), sin embargo estos modelos todavía  se  desenvolvían  en  una  sola  dimensión  y  no  describían  las  </w:t>
      </w:r>
      <w:r>
        <w:rPr>
          <w:spacing w:val="60"/>
        </w:rPr>
        <w:t> </w:t>
      </w:r>
      <w:r>
        <w:rPr/>
        <w:t>características</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6"/>
        <w:jc w:val="both"/>
      </w:pPr>
      <w:r>
        <w:rPr/>
        <w:t>estructurales de la película microbiana (Noguera </w:t>
      </w:r>
      <w:r>
        <w:rPr>
          <w:i/>
        </w:rPr>
        <w:t>et al</w:t>
      </w:r>
      <w:r>
        <w:rPr/>
        <w:t>., 1999). En los 90’s, según el desarrollo computacional, modelos en dos y tres dimensiones se desarrollaron, donde incorporan no sólo el balance de masas y la transformación bioquímica, también se estudia la hidrodinámica y la dinámica de poblaciones de los microorganismos contenidos en la película. La diferencia principal entre estos últimos y los modelos de una dimensión estriba en que no se asumen factores como la interacción especifica entre los microorganismos (Van Loosdrecht </w:t>
      </w:r>
      <w:r>
        <w:rPr>
          <w:i/>
        </w:rPr>
        <w:t>et al</w:t>
      </w:r>
      <w:r>
        <w:rPr/>
        <w:t>.,</w:t>
      </w:r>
      <w:r>
        <w:rPr>
          <w:spacing w:val="-17"/>
        </w:rPr>
        <w:t> </w:t>
      </w:r>
      <w:r>
        <w:rPr/>
        <w:t>2002).</w:t>
      </w:r>
    </w:p>
    <w:p>
      <w:pPr>
        <w:pStyle w:val="BodyText"/>
        <w:spacing w:before="7"/>
        <w:rPr>
          <w:sz w:val="17"/>
        </w:rPr>
      </w:pPr>
    </w:p>
    <w:p>
      <w:pPr>
        <w:pStyle w:val="BodyText"/>
        <w:spacing w:line="360" w:lineRule="auto"/>
        <w:ind w:left="781" w:right="495"/>
        <w:jc w:val="both"/>
      </w:pPr>
      <w:r>
        <w:rPr/>
        <w:t>En el 2006 se publican, por parte del comité de modelación de biopelícula bajo la responsabilidad de la IAWQ (Wanner </w:t>
      </w:r>
      <w:r>
        <w:rPr>
          <w:i/>
        </w:rPr>
        <w:t>et al</w:t>
      </w:r>
      <w:r>
        <w:rPr/>
        <w:t>., 2006), cinco modelos matemáticos que describen los procesos involucrados en el desarrollo de la biopelícula, De los cinco modelos propuestos por Wanner </w:t>
      </w:r>
      <w:r>
        <w:rPr>
          <w:i/>
        </w:rPr>
        <w:t>et al</w:t>
      </w:r>
      <w:r>
        <w:rPr/>
        <w:t>. (2006), (Wanner y Grujer, 1986; Wanner y  Reichert,</w:t>
      </w:r>
      <w:r>
        <w:rPr>
          <w:spacing w:val="-8"/>
        </w:rPr>
        <w:t> </w:t>
      </w:r>
      <w:r>
        <w:rPr/>
        <w:t>1996).</w:t>
      </w:r>
    </w:p>
    <w:p>
      <w:pPr>
        <w:pStyle w:val="BodyText"/>
        <w:spacing w:before="7"/>
        <w:rPr>
          <w:sz w:val="17"/>
        </w:rPr>
      </w:pPr>
    </w:p>
    <w:p>
      <w:pPr>
        <w:pStyle w:val="BodyText"/>
        <w:spacing w:line="360" w:lineRule="auto"/>
        <w:ind w:left="781" w:right="496"/>
        <w:jc w:val="both"/>
      </w:pPr>
      <w:r>
        <w:rPr/>
        <w:t>Este método, como ya se mencionó, sirve en la investigación como una herramienta para expresar hipótesis sobre la estructura de la biopelícula, para evaluar datos obtenidos de manera experimental y para determinar valores numéricos de los parámetros cinéticos y las propiedades físicas de la biopelícula. (Wanner </w:t>
      </w:r>
      <w:r>
        <w:rPr>
          <w:i/>
        </w:rPr>
        <w:t>et al</w:t>
      </w:r>
      <w:r>
        <w:rPr/>
        <w:t>., 2006).</w:t>
      </w:r>
    </w:p>
    <w:p>
      <w:pPr>
        <w:pStyle w:val="BodyText"/>
        <w:spacing w:before="9"/>
        <w:rPr>
          <w:sz w:val="17"/>
        </w:rPr>
      </w:pPr>
    </w:p>
    <w:p>
      <w:pPr>
        <w:pStyle w:val="BodyText"/>
        <w:spacing w:line="360" w:lineRule="auto"/>
        <w:ind w:left="781" w:right="497"/>
        <w:jc w:val="both"/>
      </w:pPr>
      <w:r>
        <w:rPr/>
        <w:t>Plattes </w:t>
      </w:r>
      <w:r>
        <w:rPr>
          <w:i/>
        </w:rPr>
        <w:t>et al</w:t>
      </w:r>
      <w:r>
        <w:rPr/>
        <w:t>. (2008) describen un modelo cero – dimensional (es decir consideran a la biopelícula y el biofiltro como un solo elemento) utilizado para la simulación de un biorreactor y su aplicación en una planta piloto. Estos autores proponen que el trabajo desarrollado por el equipo de biopelículas de la IWA, ha descrito y desarrollado modelos que tienen una laguna entre la investigación y su aplicación en la ingeniería ambiental, sostienen que el principal factor para que no puedan ser aplicados es la complejidad de  los modelos dedicando más atención al micro ambiente y la estructura de la biopelícula que al comportamiento macro cinético del sistema de la</w:t>
      </w:r>
      <w:r>
        <w:rPr>
          <w:spacing w:val="-27"/>
        </w:rPr>
        <w:t> </w:t>
      </w:r>
      <w:r>
        <w:rPr/>
        <w:t>biopelícula.</w:t>
      </w:r>
    </w:p>
    <w:p>
      <w:pPr>
        <w:pStyle w:val="BodyText"/>
        <w:spacing w:before="7"/>
        <w:rPr>
          <w:sz w:val="17"/>
        </w:rPr>
      </w:pPr>
    </w:p>
    <w:p>
      <w:pPr>
        <w:pStyle w:val="BodyText"/>
        <w:spacing w:line="360" w:lineRule="auto"/>
        <w:ind w:left="781" w:right="497"/>
        <w:jc w:val="both"/>
      </w:pPr>
      <w:r>
        <w:rPr/>
        <w:t>Como mencionan Plattes </w:t>
      </w:r>
      <w:r>
        <w:rPr>
          <w:i/>
        </w:rPr>
        <w:t>et al</w:t>
      </w:r>
      <w:r>
        <w:rPr/>
        <w:t>. (2008), se ha realizado poca investigación aplicada sobre la modelación de biopelículas, existe una tendencia hacia la descripción de la estructura de las biopelículas (Pérez </w:t>
      </w:r>
      <w:r>
        <w:rPr>
          <w:i/>
        </w:rPr>
        <w:t>et al</w:t>
      </w:r>
      <w:r>
        <w:rPr/>
        <w:t>., 2005; Picioreanu </w:t>
      </w:r>
      <w:r>
        <w:rPr>
          <w:i/>
        </w:rPr>
        <w:t>et al</w:t>
      </w:r>
      <w:r>
        <w:rPr/>
        <w:t>., 2001; Morgenroth </w:t>
      </w:r>
      <w:r>
        <w:rPr>
          <w:i/>
        </w:rPr>
        <w:t>et al</w:t>
      </w:r>
      <w:r>
        <w:rPr/>
        <w:t>., 2004; Noguera y Picioreanu, 2004; Wolf </w:t>
      </w:r>
      <w:r>
        <w:rPr>
          <w:i/>
        </w:rPr>
        <w:t>et al</w:t>
      </w:r>
      <w:r>
        <w:rPr/>
        <w:t>., 2007; Picioreanu </w:t>
      </w:r>
      <w:r>
        <w:rPr>
          <w:i/>
        </w:rPr>
        <w:t>et al</w:t>
      </w:r>
      <w:r>
        <w:rPr/>
        <w:t>., 2007; Xavier </w:t>
      </w:r>
      <w:r>
        <w:rPr>
          <w:i/>
        </w:rPr>
        <w:t>et al</w:t>
      </w:r>
      <w:r>
        <w:rPr/>
        <w:t>., 2005) y no a la simulación de los diferentes procesos de un sistema biológico acoplado a un tren de</w:t>
      </w:r>
      <w:r>
        <w:rPr>
          <w:spacing w:val="-4"/>
        </w:rPr>
        <w:t> </w:t>
      </w:r>
      <w:r>
        <w:rPr/>
        <w:t>tratamiento.</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6"/>
        <w:jc w:val="both"/>
      </w:pPr>
      <w:r>
        <w:rPr/>
        <w:t>Los modelos matemáticos mencionados (tipo regresivo y determinístico) son de alguna manera opuestos pero a la vez se complementan. El regresivo, por lo general la primera opción, se desarrolla de relaciones empíricas del análisis de las observaciones pero con base en la relación causa – efecto (funcionabilidad), estas correlaciones son restringidas a las condiciones experimentales en las que se adquirieron los datos. El segundo tipo de modelación parte del supuesto de conocer los procesos físicos, biológicos y químicos que ocurren en un biofiltro, es decir, parte de las leyes generales de los principios primarios, el desarrollo de estos modelos permite dar solidez a los procesos involucrados y a la vez desarrollar métodos para dar solución a los problemas de una manera ordenada y  racional (Picioreanu y Van Loosdrecht,</w:t>
      </w:r>
      <w:r>
        <w:rPr>
          <w:spacing w:val="-17"/>
        </w:rPr>
        <w:t> </w:t>
      </w:r>
      <w:r>
        <w:rPr/>
        <w:t>2003).</w:t>
      </w:r>
    </w:p>
    <w:p>
      <w:pPr>
        <w:pStyle w:val="BodyText"/>
        <w:spacing w:before="7"/>
        <w:rPr>
          <w:sz w:val="17"/>
        </w:rPr>
      </w:pPr>
    </w:p>
    <w:p>
      <w:pPr>
        <w:pStyle w:val="BodyText"/>
        <w:spacing w:line="360" w:lineRule="auto"/>
        <w:ind w:left="781" w:right="497"/>
        <w:jc w:val="both"/>
      </w:pPr>
      <w:r>
        <w:rPr/>
        <w:t>La opción de utilizar uno u otro tipo de modelo, o ambos, depende del balance entre que tan precisa se requiere la respuesta y la cantidad de recursos para obtenerla. Para propósitos ingenieriles, los modelos simples (regresivos) son adecuados, con objeto de poder tomar decisiones de diseño seguras, estos modelos describen al biofiltro en un estado estable con biopelículas que tienen un solo tipo de organismos. Para conocer el comportamiento de los diferentes procesos involucrados en la biopelícula es necesario trabajar con modelos matemáticos más sofisticados (Picioreanu y Van Loosdrecht, 2003).</w:t>
      </w:r>
    </w:p>
    <w:p>
      <w:pPr>
        <w:pStyle w:val="BodyText"/>
        <w:spacing w:before="9"/>
        <w:rPr>
          <w:sz w:val="17"/>
        </w:rPr>
      </w:pPr>
    </w:p>
    <w:p>
      <w:pPr>
        <w:pStyle w:val="BodyText"/>
        <w:spacing w:line="360" w:lineRule="auto"/>
        <w:ind w:left="781" w:right="497"/>
        <w:jc w:val="both"/>
      </w:pPr>
      <w:r>
        <w:rPr/>
        <w:t>Trabajar con ambos tipos de modelación permite conocer desde dos formas distintas el comportamiento de un biofiltro de película fija, y de esta manera complementar con  ambos métodos el diseño de nueva tecnología para el cultivo de trucha con sistemas cerrados alimentados con agua</w:t>
      </w:r>
      <w:r>
        <w:rPr>
          <w:spacing w:val="-16"/>
        </w:rPr>
        <w:t> </w:t>
      </w:r>
      <w:r>
        <w:rPr/>
        <w:t>pluvial.</w:t>
      </w:r>
    </w:p>
    <w:p>
      <w:pPr>
        <w:spacing w:after="0" w:line="360" w:lineRule="auto"/>
        <w:jc w:val="both"/>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ind w:left="3116" w:right="2833"/>
        <w:jc w:val="center"/>
      </w:pPr>
      <w:bookmarkStart w:name="Capítulo 3. Plantemiento de la investiga" w:id="28"/>
      <w:bookmarkEnd w:id="28"/>
      <w:r>
        <w:rPr/>
      </w:r>
      <w:r>
        <w:rPr>
          <w:w w:val="105"/>
        </w:rPr>
        <w:t>CAPÍTULO 3 </w:t>
      </w:r>
      <w:r>
        <w:rPr/>
        <w:t>PLANTEAMIENTO DE </w:t>
      </w:r>
      <w:r>
        <w:rPr>
          <w:w w:val="105"/>
        </w:rPr>
        <w:t>LA INVESTIGACIÓN</w:t>
      </w:r>
    </w:p>
    <w:p>
      <w:pPr>
        <w:spacing w:after="0"/>
        <w:jc w:val="center"/>
        <w:sectPr>
          <w:pgSz w:w="12240" w:h="15840"/>
          <w:pgMar w:header="725" w:footer="1084" w:top="1340" w:bottom="1280" w:left="920" w:right="1200"/>
        </w:sectPr>
      </w:pPr>
    </w:p>
    <w:p>
      <w:pPr>
        <w:pStyle w:val="Heading5"/>
        <w:numPr>
          <w:ilvl w:val="0"/>
          <w:numId w:val="7"/>
        </w:numPr>
        <w:tabs>
          <w:tab w:pos="1029" w:val="left" w:leader="none"/>
        </w:tabs>
        <w:spacing w:line="240" w:lineRule="auto" w:before="172" w:after="0"/>
        <w:ind w:left="1028" w:right="0" w:hanging="247"/>
        <w:jc w:val="both"/>
      </w:pPr>
      <w:r>
        <w:rPr/>
        <w:t>PLANTEAMINETO DE LA</w:t>
      </w:r>
      <w:r>
        <w:rPr>
          <w:spacing w:val="-14"/>
        </w:rPr>
        <w:t> </w:t>
      </w:r>
      <w:r>
        <w:rPr/>
        <w:t>INVESTIGACIÓN</w:t>
      </w:r>
    </w:p>
    <w:p>
      <w:pPr>
        <w:pStyle w:val="BodyText"/>
        <w:spacing w:before="3"/>
        <w:rPr>
          <w:b/>
          <w:sz w:val="28"/>
        </w:rPr>
      </w:pPr>
    </w:p>
    <w:p>
      <w:pPr>
        <w:pStyle w:val="Heading5"/>
        <w:numPr>
          <w:ilvl w:val="1"/>
          <w:numId w:val="7"/>
        </w:numPr>
        <w:tabs>
          <w:tab w:pos="1211" w:val="left" w:leader="none"/>
        </w:tabs>
        <w:spacing w:line="240" w:lineRule="auto" w:before="0" w:after="0"/>
        <w:ind w:left="1210" w:right="0" w:hanging="429"/>
        <w:jc w:val="both"/>
      </w:pPr>
      <w:bookmarkStart w:name="_TOC_250065" w:id="29"/>
      <w:bookmarkStart w:name="3.1. Justificación" w:id="30"/>
      <w:r>
        <w:rPr>
          <w:b w:val="0"/>
        </w:rPr>
      </w:r>
      <w:bookmarkEnd w:id="30"/>
      <w:bookmarkStart w:name="3.1. Justificación" w:id="31"/>
      <w:r>
        <w:rPr/>
        <w:t>J</w:t>
      </w:r>
      <w:bookmarkEnd w:id="29"/>
      <w:r>
        <w:rPr/>
        <w:t>USTIFICACIÓN</w:t>
      </w:r>
    </w:p>
    <w:p>
      <w:pPr>
        <w:pStyle w:val="BodyText"/>
        <w:spacing w:before="8"/>
        <w:rPr>
          <w:b/>
          <w:sz w:val="28"/>
        </w:rPr>
      </w:pPr>
    </w:p>
    <w:p>
      <w:pPr>
        <w:pStyle w:val="BodyText"/>
        <w:spacing w:line="360" w:lineRule="auto"/>
        <w:ind w:left="781" w:right="498"/>
        <w:jc w:val="both"/>
      </w:pPr>
      <w:r>
        <w:rPr/>
        <w:t>El recurso agua disponible para las actividades acuícolas cada vez es más restringido. Esta actividad económica está sujeta a presiones ambientales y sociales, por lo que cultivos como el de la trucha arco iris se ven amenazados, ya que hoy en día con la tecnología vigente (tradicional) para producir un kilo de carne de trucha es necesario utilizar hasta 150 000 L de agua (Timmons </w:t>
      </w:r>
      <w:r>
        <w:rPr>
          <w:i/>
        </w:rPr>
        <w:t>et al. </w:t>
      </w:r>
      <w:r>
        <w:rPr/>
        <w:t>2002).</w:t>
      </w:r>
    </w:p>
    <w:p>
      <w:pPr>
        <w:pStyle w:val="BodyText"/>
        <w:spacing w:before="9"/>
        <w:rPr>
          <w:sz w:val="17"/>
        </w:rPr>
      </w:pPr>
    </w:p>
    <w:p>
      <w:pPr>
        <w:pStyle w:val="BodyText"/>
        <w:spacing w:line="360" w:lineRule="auto"/>
        <w:ind w:left="781" w:right="497"/>
        <w:jc w:val="both"/>
      </w:pPr>
      <w:r>
        <w:rPr/>
        <w:t>La importancia del cultivo de la trucha arco iris (</w:t>
      </w:r>
      <w:r>
        <w:rPr>
          <w:i/>
        </w:rPr>
        <w:t>Oncorhynchus mykiss</w:t>
      </w:r>
      <w:r>
        <w:rPr/>
        <w:t>) en el Estado de México se fundamenta por la producción de alimento nutritivo a bajo costo, la generación de empleos directos e indirectos en el estado en zonas con alto índice de marginación, en municipios como Amanalco de Becerra, Villa del Carbón, Temascaltepec, entre otros. Sin embargo existen diversas zonas en el Estado de México y en el país donde las condiciones del clima permiten el cultivo de esta especie, pero la cantidad y la calidad de agua existente en el lugar no es la suficiente para llevar a cabo el cultivo y a la vez dotar de este líquido a las poblaciones cercanas a las unidades de producción.</w:t>
      </w:r>
    </w:p>
    <w:p>
      <w:pPr>
        <w:pStyle w:val="BodyText"/>
        <w:spacing w:before="7"/>
        <w:rPr>
          <w:sz w:val="17"/>
        </w:rPr>
      </w:pPr>
    </w:p>
    <w:p>
      <w:pPr>
        <w:pStyle w:val="BodyText"/>
        <w:spacing w:line="360" w:lineRule="auto"/>
        <w:ind w:left="781" w:right="499"/>
        <w:jc w:val="both"/>
      </w:pPr>
      <w:r>
        <w:rPr/>
        <w:t>Por lo anterior, es necesario un cambio de paradigma, de un modelo de cultivo de producción desligado del ambiente, hacia un modelo donde lo importante es el equilibrio entre la forma de producir y el resultado de la producción, que no dependa al 100% de las fuentes de agua tradicionales como manantiales, arroyos, ríos y presas.</w:t>
      </w:r>
    </w:p>
    <w:p>
      <w:pPr>
        <w:pStyle w:val="BodyText"/>
        <w:spacing w:before="9"/>
        <w:rPr>
          <w:sz w:val="17"/>
        </w:rPr>
      </w:pPr>
    </w:p>
    <w:p>
      <w:pPr>
        <w:pStyle w:val="BodyText"/>
        <w:spacing w:line="360" w:lineRule="auto"/>
        <w:ind w:left="781" w:right="498"/>
        <w:jc w:val="both"/>
      </w:pPr>
      <w:r>
        <w:rPr/>
        <w:t>En el marco del proceso de construcción del nuevo paradigma surge la necesidad de contar con tecnología que por un lado sea amigable con el ambiente y por el otro permita obtener resultados adecuados y rentables para el productor y el consumidor. Por lo que este trabajo propone en una primera instancia el desarrollo de nueva tecnología, es decir, implementar en el uso de sistemas de recirculación acuícola la alimentación del agua mediante cosecha de agua pluvial. Lo cual presentará ventajas como bajo consumo de agua, disponibilidad y estabilidad en la calidad y cantidad del recurso agua, menor incidencia de enfermedades, producción de alimento de alto valor proteico en zonas donde antes no se contaba con esta</w:t>
      </w:r>
      <w:r>
        <w:rPr>
          <w:spacing w:val="-21"/>
        </w:rPr>
        <w:t> </w:t>
      </w:r>
      <w:r>
        <w:rPr/>
        <w:t>alternativa.</w:t>
      </w:r>
    </w:p>
    <w:p>
      <w:pPr>
        <w:pStyle w:val="BodyText"/>
        <w:spacing w:before="7"/>
        <w:rPr>
          <w:sz w:val="17"/>
        </w:rPr>
      </w:pPr>
    </w:p>
    <w:p>
      <w:pPr>
        <w:pStyle w:val="BodyText"/>
        <w:spacing w:line="360" w:lineRule="auto"/>
        <w:ind w:left="781" w:right="501"/>
        <w:jc w:val="both"/>
      </w:pPr>
      <w:r>
        <w:rPr/>
        <w:t>Sin embargo, para que el desarrollo de tecnología tenga un impacto real en la sociedad es necesario conocer a fondo todos los procesos involucrados en esta nueva tecnología. Con</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9"/>
        <w:jc w:val="both"/>
      </w:pPr>
      <w:r>
        <w:rPr/>
        <w:t>esta información es posible poder establecer las bases de diseño y estar en medida de transferir el desarrollo a los diferentes sectores de la sociedad.</w:t>
      </w:r>
    </w:p>
    <w:p>
      <w:pPr>
        <w:pStyle w:val="BodyText"/>
        <w:spacing w:before="9"/>
        <w:rPr>
          <w:sz w:val="17"/>
        </w:rPr>
      </w:pPr>
    </w:p>
    <w:p>
      <w:pPr>
        <w:pStyle w:val="BodyText"/>
        <w:spacing w:line="360" w:lineRule="auto"/>
        <w:ind w:left="781" w:right="497"/>
        <w:jc w:val="both"/>
      </w:pPr>
      <w:r>
        <w:rPr/>
        <w:t>Una forma de conocer y representar de forma simple los complejos procesos de un sistema biológico, como son los que se presentan en el cultivo de la trucha en sistemas cerrados es la modelación matemática, misma que se ha realizado para este cultivo en diferentes regiones del mundo en condiciones benignas para el cultivo.</w:t>
      </w:r>
    </w:p>
    <w:p>
      <w:pPr>
        <w:pStyle w:val="BodyText"/>
        <w:spacing w:before="7"/>
        <w:rPr>
          <w:sz w:val="17"/>
        </w:rPr>
      </w:pPr>
    </w:p>
    <w:p>
      <w:pPr>
        <w:pStyle w:val="BodyText"/>
        <w:spacing w:line="360" w:lineRule="auto"/>
        <w:ind w:left="781" w:right="496"/>
        <w:jc w:val="both"/>
      </w:pPr>
      <w:r>
        <w:rPr/>
        <w:t>No obstante que se tienen modelos matemáticos de tipo estadístico o regresivo para representar los procesos involucrados en un sistema de recirculación acuícola, las condiciones imperantes en la región del altiplano de México (altitudes mayores a los 2 500 msnm, temperaturas que oscilan entre los 5 a 23 ºC, etc.) hacen necesario que dichos modelos matemáticos se acoplen a esta región. Aún más, los modelos utilizados para representar los procesos que ocurren en los SRA, han sido empíricos y estadísticos por lo que en esta investigación no sólo se pretendió construir los modelos matemáticos tradicionales que nos permitieron conocer más el comportamiento de los procesos en el SRA para la región centro del país, sino también explorar las posibilidades de aplicar modelos más precisos como lo son los determinísticos o dinámicos que estudian los procesos a partir del comportamiento físico, químico y biológico de los parámetros del fenómeno.</w:t>
      </w:r>
    </w:p>
    <w:p>
      <w:pPr>
        <w:pStyle w:val="BodyText"/>
        <w:spacing w:before="7"/>
        <w:rPr>
          <w:sz w:val="17"/>
        </w:rPr>
      </w:pPr>
    </w:p>
    <w:p>
      <w:pPr>
        <w:pStyle w:val="BodyText"/>
        <w:spacing w:line="360" w:lineRule="auto"/>
        <w:ind w:left="781" w:right="499"/>
        <w:jc w:val="both"/>
      </w:pPr>
      <w:r>
        <w:rPr/>
        <w:t>Y a su vez sentar bases teórico – prácticas que faciliten el cultivo trutícola en sistemas cerrados para las condiciones que privan en el altiplano mexicano y así preservar  </w:t>
      </w:r>
      <w:bookmarkStart w:name="3.2. Hipótesis" w:id="32"/>
      <w:bookmarkEnd w:id="32"/>
      <w:r>
        <w:rPr/>
      </w:r>
      <w:r>
        <w:rPr/>
        <w:t>bosques y cuerpos de</w:t>
      </w:r>
      <w:r>
        <w:rPr>
          <w:spacing w:val="-12"/>
        </w:rPr>
        <w:t> </w:t>
      </w:r>
      <w:r>
        <w:rPr/>
        <w:t>agua.</w:t>
      </w:r>
    </w:p>
    <w:p>
      <w:pPr>
        <w:pStyle w:val="BodyText"/>
        <w:spacing w:before="7"/>
        <w:rPr>
          <w:sz w:val="17"/>
        </w:rPr>
      </w:pPr>
    </w:p>
    <w:p>
      <w:pPr>
        <w:pStyle w:val="Heading5"/>
        <w:numPr>
          <w:ilvl w:val="1"/>
          <w:numId w:val="7"/>
        </w:numPr>
        <w:tabs>
          <w:tab w:pos="1211" w:val="left" w:leader="none"/>
        </w:tabs>
        <w:spacing w:line="240" w:lineRule="auto" w:before="0" w:after="0"/>
        <w:ind w:left="1210" w:right="0" w:hanging="429"/>
        <w:jc w:val="both"/>
      </w:pPr>
      <w:bookmarkStart w:name="_TOC_250064" w:id="33"/>
      <w:bookmarkEnd w:id="33"/>
      <w:r>
        <w:rPr/>
        <w:t>HIPÓTESIS</w:t>
      </w:r>
    </w:p>
    <w:p>
      <w:pPr>
        <w:pStyle w:val="BodyText"/>
        <w:spacing w:before="5"/>
        <w:rPr>
          <w:b/>
          <w:sz w:val="28"/>
        </w:rPr>
      </w:pPr>
    </w:p>
    <w:p>
      <w:pPr>
        <w:pStyle w:val="ListParagraph"/>
        <w:numPr>
          <w:ilvl w:val="0"/>
          <w:numId w:val="9"/>
        </w:numPr>
        <w:tabs>
          <w:tab w:pos="1502" w:val="left" w:leader="none"/>
        </w:tabs>
        <w:spacing w:line="360" w:lineRule="auto" w:before="1" w:after="0"/>
        <w:ind w:left="1501" w:right="499" w:hanging="360"/>
        <w:jc w:val="left"/>
        <w:rPr>
          <w:sz w:val="22"/>
        </w:rPr>
      </w:pPr>
      <w:r>
        <w:rPr>
          <w:sz w:val="22"/>
        </w:rPr>
        <w:t>El cultivo de trucha arco iris a altas densidades se puede realizar en un sistema de recirculación acuícola alimentado por agua</w:t>
      </w:r>
      <w:r>
        <w:rPr>
          <w:spacing w:val="-21"/>
          <w:sz w:val="22"/>
        </w:rPr>
        <w:t> </w:t>
      </w:r>
      <w:r>
        <w:rPr>
          <w:sz w:val="22"/>
        </w:rPr>
        <w:t>pluvial.</w:t>
      </w:r>
    </w:p>
    <w:p>
      <w:pPr>
        <w:pStyle w:val="BodyText"/>
        <w:spacing w:before="9"/>
        <w:rPr>
          <w:sz w:val="17"/>
        </w:rPr>
      </w:pPr>
    </w:p>
    <w:p>
      <w:pPr>
        <w:pStyle w:val="ListParagraph"/>
        <w:numPr>
          <w:ilvl w:val="0"/>
          <w:numId w:val="9"/>
        </w:numPr>
        <w:tabs>
          <w:tab w:pos="1502" w:val="left" w:leader="none"/>
        </w:tabs>
        <w:spacing w:line="360" w:lineRule="auto" w:before="0" w:after="0"/>
        <w:ind w:left="1501" w:right="498" w:hanging="360"/>
        <w:jc w:val="left"/>
        <w:rPr>
          <w:sz w:val="22"/>
        </w:rPr>
      </w:pPr>
      <w:r>
        <w:rPr>
          <w:sz w:val="22"/>
        </w:rPr>
        <w:t>El desempeño del biofiltro y la calidad del agua en el sistema son predecibles a través de modelos matemáticos empíricos y de tipo</w:t>
      </w:r>
      <w:r>
        <w:rPr>
          <w:spacing w:val="-24"/>
          <w:sz w:val="22"/>
        </w:rPr>
        <w:t> </w:t>
      </w:r>
      <w:r>
        <w:rPr>
          <w:sz w:val="22"/>
        </w:rPr>
        <w:t>regresivo.</w:t>
      </w:r>
    </w:p>
    <w:p>
      <w:pPr>
        <w:spacing w:after="0" w:line="360" w:lineRule="auto"/>
        <w:jc w:val="left"/>
        <w:rPr>
          <w:sz w:val="22"/>
        </w:rPr>
        <w:sectPr>
          <w:pgSz w:w="12240" w:h="15840"/>
          <w:pgMar w:header="725" w:footer="1084" w:top="1340" w:bottom="1280" w:left="920" w:right="1200"/>
        </w:sectPr>
      </w:pPr>
    </w:p>
    <w:p>
      <w:pPr>
        <w:pStyle w:val="Heading5"/>
        <w:numPr>
          <w:ilvl w:val="1"/>
          <w:numId w:val="7"/>
        </w:numPr>
        <w:tabs>
          <w:tab w:pos="1211" w:val="left" w:leader="none"/>
        </w:tabs>
        <w:spacing w:line="240" w:lineRule="auto" w:before="172" w:after="0"/>
        <w:ind w:left="1210" w:right="0" w:hanging="429"/>
        <w:jc w:val="left"/>
      </w:pPr>
      <w:bookmarkStart w:name="_TOC_250063" w:id="34"/>
      <w:bookmarkStart w:name="3.3. Objetivos" w:id="35"/>
      <w:r>
        <w:rPr>
          <w:b w:val="0"/>
        </w:rPr>
      </w:r>
      <w:bookmarkEnd w:id="35"/>
      <w:bookmarkStart w:name="3.3. Objetivos" w:id="36"/>
      <w:r>
        <w:rPr/>
        <w:t>O</w:t>
      </w:r>
      <w:bookmarkEnd w:id="34"/>
      <w:r>
        <w:rPr/>
        <w:t>BJETIVOS</w:t>
      </w:r>
    </w:p>
    <w:p>
      <w:pPr>
        <w:pStyle w:val="BodyText"/>
        <w:spacing w:before="3"/>
        <w:rPr>
          <w:b/>
          <w:sz w:val="28"/>
        </w:rPr>
      </w:pPr>
    </w:p>
    <w:p>
      <w:pPr>
        <w:pStyle w:val="Heading5"/>
        <w:numPr>
          <w:ilvl w:val="2"/>
          <w:numId w:val="7"/>
        </w:numPr>
        <w:tabs>
          <w:tab w:pos="1394" w:val="left" w:leader="none"/>
        </w:tabs>
        <w:spacing w:line="240" w:lineRule="auto" w:before="0" w:after="0"/>
        <w:ind w:left="1393" w:right="0" w:hanging="612"/>
        <w:jc w:val="left"/>
      </w:pPr>
      <w:bookmarkStart w:name="_TOC_250062" w:id="37"/>
      <w:bookmarkStart w:name="3.3.1. Objetivo general" w:id="38"/>
      <w:r>
        <w:rPr>
          <w:b w:val="0"/>
        </w:rPr>
      </w:r>
      <w:bookmarkEnd w:id="38"/>
      <w:bookmarkStart w:name="3.3.1. Objetivo general" w:id="39"/>
      <w:r>
        <w:rPr/>
        <w:t>O</w:t>
      </w:r>
      <w:r>
        <w:rPr/>
        <w:t>BJETIVO</w:t>
      </w:r>
      <w:r>
        <w:rPr>
          <w:spacing w:val="-9"/>
        </w:rPr>
        <w:t> </w:t>
      </w:r>
      <w:bookmarkEnd w:id="37"/>
      <w:r>
        <w:rPr/>
        <w:t>GENERAL</w:t>
      </w:r>
    </w:p>
    <w:p>
      <w:pPr>
        <w:pStyle w:val="BodyText"/>
        <w:spacing w:before="8"/>
        <w:rPr>
          <w:b/>
          <w:sz w:val="28"/>
        </w:rPr>
      </w:pPr>
    </w:p>
    <w:p>
      <w:pPr>
        <w:pStyle w:val="BodyText"/>
        <w:spacing w:line="360" w:lineRule="auto"/>
        <w:ind w:left="781" w:right="499"/>
        <w:jc w:val="both"/>
      </w:pPr>
      <w:r>
        <w:rPr/>
        <w:t>Modelar matemáticamente el comportamiento de los diferentes procesos biológicos ocurridos en un SRA acoplado a un cultivo de trucha alimentado con cosecha de agua pluvial.</w:t>
      </w:r>
    </w:p>
    <w:p>
      <w:pPr>
        <w:pStyle w:val="BodyText"/>
        <w:spacing w:before="7"/>
        <w:rPr>
          <w:sz w:val="17"/>
        </w:rPr>
      </w:pPr>
    </w:p>
    <w:p>
      <w:pPr>
        <w:pStyle w:val="Heading5"/>
        <w:numPr>
          <w:ilvl w:val="2"/>
          <w:numId w:val="7"/>
        </w:numPr>
        <w:tabs>
          <w:tab w:pos="1394" w:val="left" w:leader="none"/>
        </w:tabs>
        <w:spacing w:line="240" w:lineRule="auto" w:before="0" w:after="0"/>
        <w:ind w:left="1393" w:right="0" w:hanging="612"/>
        <w:jc w:val="left"/>
        <w:rPr>
          <w:b w:val="0"/>
        </w:rPr>
      </w:pPr>
      <w:bookmarkStart w:name="_TOC_250061" w:id="40"/>
      <w:bookmarkStart w:name="3.3.2. Objetivos específicos" w:id="41"/>
      <w:r>
        <w:rPr>
          <w:b w:val="0"/>
        </w:rPr>
      </w:r>
      <w:bookmarkEnd w:id="41"/>
      <w:bookmarkStart w:name="3.3.2. Objetivos específicos" w:id="42"/>
      <w:r>
        <w:rPr/>
        <w:t>O</w:t>
      </w:r>
      <w:r>
        <w:rPr/>
        <w:t>BJETIVOS</w:t>
      </w:r>
      <w:r>
        <w:rPr>
          <w:spacing w:val="-10"/>
        </w:rPr>
        <w:t> </w:t>
      </w:r>
      <w:r>
        <w:rPr/>
        <w:t>ESPECÍFICOS</w:t>
      </w:r>
      <w:bookmarkEnd w:id="40"/>
      <w:r>
        <w:rPr>
          <w:b w:val="0"/>
        </w:rPr>
        <w:t>.</w:t>
      </w:r>
    </w:p>
    <w:p>
      <w:pPr>
        <w:pStyle w:val="BodyText"/>
        <w:spacing w:before="5"/>
        <w:rPr>
          <w:sz w:val="28"/>
        </w:rPr>
      </w:pPr>
    </w:p>
    <w:p>
      <w:pPr>
        <w:pStyle w:val="BodyText"/>
        <w:spacing w:line="360" w:lineRule="auto" w:before="1"/>
        <w:ind w:left="781" w:right="489"/>
      </w:pPr>
      <w:r>
        <w:rPr/>
        <w:t>Los objetivos específicos se enlistan de acuerdo con el desarrollo logístico del proyecto de investigación, para dar respuesta al objetivo general y a las hipótesis planteadas.</w:t>
      </w:r>
    </w:p>
    <w:p>
      <w:pPr>
        <w:pStyle w:val="BodyText"/>
        <w:spacing w:before="9"/>
        <w:rPr>
          <w:sz w:val="17"/>
        </w:rPr>
      </w:pPr>
    </w:p>
    <w:p>
      <w:pPr>
        <w:pStyle w:val="ListParagraph"/>
        <w:numPr>
          <w:ilvl w:val="3"/>
          <w:numId w:val="7"/>
        </w:numPr>
        <w:tabs>
          <w:tab w:pos="1348" w:val="left" w:leader="none"/>
        </w:tabs>
        <w:spacing w:line="360" w:lineRule="auto" w:before="0" w:after="0"/>
        <w:ind w:left="1348" w:right="502" w:hanging="406"/>
        <w:jc w:val="both"/>
        <w:rPr>
          <w:sz w:val="22"/>
        </w:rPr>
      </w:pPr>
      <w:r>
        <w:rPr>
          <w:sz w:val="22"/>
        </w:rPr>
        <w:t>Determinar las características físico, químicas y biológicas del agua de pluvial colectada.</w:t>
      </w:r>
    </w:p>
    <w:p>
      <w:pPr>
        <w:pStyle w:val="BodyText"/>
        <w:spacing w:before="7"/>
        <w:rPr>
          <w:sz w:val="17"/>
        </w:rPr>
      </w:pPr>
    </w:p>
    <w:p>
      <w:pPr>
        <w:pStyle w:val="ListParagraph"/>
        <w:numPr>
          <w:ilvl w:val="3"/>
          <w:numId w:val="7"/>
        </w:numPr>
        <w:tabs>
          <w:tab w:pos="1348" w:val="left" w:leader="none"/>
        </w:tabs>
        <w:spacing w:line="355" w:lineRule="auto" w:before="0" w:after="0"/>
        <w:ind w:left="1347" w:right="497" w:hanging="465"/>
        <w:jc w:val="both"/>
        <w:rPr>
          <w:sz w:val="22"/>
        </w:rPr>
      </w:pPr>
      <w:r>
        <w:rPr>
          <w:sz w:val="22"/>
        </w:rPr>
        <w:t>Adecuar los parámetros de calidad de agua pluvial (N-NH</w:t>
      </w:r>
      <w:r>
        <w:rPr>
          <w:position w:val="-2"/>
          <w:sz w:val="13"/>
        </w:rPr>
        <w:t>3</w:t>
      </w:r>
      <w:r>
        <w:rPr>
          <w:sz w:val="22"/>
        </w:rPr>
        <w:t>, alcalinidad y pH) a los criterios de producción de trucha arco iris, para que sea posible el desarrollo de un cultivo</w:t>
      </w:r>
      <w:r>
        <w:rPr>
          <w:spacing w:val="-7"/>
          <w:sz w:val="22"/>
        </w:rPr>
        <w:t> </w:t>
      </w:r>
      <w:r>
        <w:rPr>
          <w:sz w:val="22"/>
        </w:rPr>
        <w:t>trutícola.</w:t>
      </w:r>
    </w:p>
    <w:p>
      <w:pPr>
        <w:pStyle w:val="BodyText"/>
        <w:spacing w:before="2"/>
        <w:rPr>
          <w:sz w:val="18"/>
        </w:rPr>
      </w:pPr>
    </w:p>
    <w:p>
      <w:pPr>
        <w:pStyle w:val="ListParagraph"/>
        <w:numPr>
          <w:ilvl w:val="3"/>
          <w:numId w:val="7"/>
        </w:numPr>
        <w:tabs>
          <w:tab w:pos="1348" w:val="left" w:leader="none"/>
        </w:tabs>
        <w:spacing w:line="360" w:lineRule="auto" w:before="1" w:after="0"/>
        <w:ind w:left="1347" w:right="497" w:hanging="528"/>
        <w:jc w:val="both"/>
        <w:rPr>
          <w:sz w:val="22"/>
        </w:rPr>
      </w:pPr>
      <w:r>
        <w:rPr>
          <w:sz w:val="22"/>
        </w:rPr>
        <w:t>Diseñar e instalar un sistema “</w:t>
      </w:r>
      <w:r>
        <w:rPr>
          <w:i/>
          <w:sz w:val="22"/>
        </w:rPr>
        <w:t>Estanque de cultivo – Tren de tratamiento para el </w:t>
      </w:r>
      <w:r>
        <w:rPr>
          <w:i/>
          <w:sz w:val="22"/>
        </w:rPr>
        <w:t>agua residual acuícola”, </w:t>
      </w:r>
      <w:r>
        <w:rPr>
          <w:sz w:val="22"/>
        </w:rPr>
        <w:t>con base en los desarrollos tecnológicos anteriores del prototipo adecuado para el cultivo de </w:t>
      </w:r>
      <w:r>
        <w:rPr>
          <w:i/>
          <w:sz w:val="22"/>
        </w:rPr>
        <w:t>Oncorhynchus mykiss </w:t>
      </w:r>
      <w:r>
        <w:rPr>
          <w:sz w:val="22"/>
        </w:rPr>
        <w:t>en el Estado de</w:t>
      </w:r>
      <w:r>
        <w:rPr>
          <w:spacing w:val="-33"/>
          <w:sz w:val="22"/>
        </w:rPr>
        <w:t> </w:t>
      </w:r>
      <w:r>
        <w:rPr>
          <w:sz w:val="22"/>
        </w:rPr>
        <w:t>México.</w:t>
      </w:r>
    </w:p>
    <w:p>
      <w:pPr>
        <w:pStyle w:val="BodyText"/>
        <w:spacing w:before="7"/>
        <w:rPr>
          <w:sz w:val="17"/>
        </w:rPr>
      </w:pPr>
    </w:p>
    <w:p>
      <w:pPr>
        <w:pStyle w:val="ListParagraph"/>
        <w:numPr>
          <w:ilvl w:val="3"/>
          <w:numId w:val="7"/>
        </w:numPr>
        <w:tabs>
          <w:tab w:pos="1348" w:val="left" w:leader="none"/>
        </w:tabs>
        <w:spacing w:line="362" w:lineRule="auto" w:before="0" w:after="0"/>
        <w:ind w:left="1347" w:right="501" w:hanging="552"/>
        <w:jc w:val="both"/>
        <w:rPr>
          <w:sz w:val="22"/>
        </w:rPr>
      </w:pPr>
      <w:r>
        <w:rPr>
          <w:sz w:val="22"/>
        </w:rPr>
        <w:t>Madurar el sistema integral, asegurando el correcto funcionamiento de las unidades del tren de</w:t>
      </w:r>
      <w:r>
        <w:rPr>
          <w:spacing w:val="-8"/>
          <w:sz w:val="22"/>
        </w:rPr>
        <w:t> </w:t>
      </w:r>
      <w:r>
        <w:rPr>
          <w:sz w:val="22"/>
        </w:rPr>
        <w:t>tratamiento.</w:t>
      </w:r>
    </w:p>
    <w:p>
      <w:pPr>
        <w:pStyle w:val="BodyText"/>
        <w:spacing w:before="4"/>
        <w:rPr>
          <w:sz w:val="17"/>
        </w:rPr>
      </w:pPr>
    </w:p>
    <w:p>
      <w:pPr>
        <w:pStyle w:val="ListParagraph"/>
        <w:numPr>
          <w:ilvl w:val="3"/>
          <w:numId w:val="7"/>
        </w:numPr>
        <w:tabs>
          <w:tab w:pos="1348" w:val="left" w:leader="none"/>
        </w:tabs>
        <w:spacing w:line="360" w:lineRule="auto" w:before="0" w:after="0"/>
        <w:ind w:left="1347" w:right="496" w:hanging="489"/>
        <w:jc w:val="both"/>
        <w:rPr>
          <w:sz w:val="22"/>
        </w:rPr>
      </w:pPr>
      <w:r>
        <w:rPr>
          <w:sz w:val="22"/>
        </w:rPr>
        <w:t>Evaluar el crecimiento (peso y longitud) de los organismos acuícolas en el sistema integral.</w:t>
      </w:r>
    </w:p>
    <w:p>
      <w:pPr>
        <w:pStyle w:val="BodyText"/>
        <w:spacing w:before="9"/>
        <w:rPr>
          <w:sz w:val="17"/>
        </w:rPr>
      </w:pPr>
    </w:p>
    <w:p>
      <w:pPr>
        <w:pStyle w:val="ListParagraph"/>
        <w:numPr>
          <w:ilvl w:val="3"/>
          <w:numId w:val="7"/>
        </w:numPr>
        <w:tabs>
          <w:tab w:pos="1347" w:val="left" w:leader="none"/>
          <w:tab w:pos="1348" w:val="left" w:leader="none"/>
        </w:tabs>
        <w:spacing w:line="240" w:lineRule="auto" w:before="0" w:after="0"/>
        <w:ind w:left="1347" w:right="0" w:hanging="552"/>
        <w:jc w:val="left"/>
        <w:rPr>
          <w:sz w:val="22"/>
        </w:rPr>
      </w:pPr>
      <w:r>
        <w:rPr>
          <w:sz w:val="22"/>
        </w:rPr>
        <w:t>Evaluar la eficiencia de los principales procesos del tren de</w:t>
      </w:r>
      <w:r>
        <w:rPr>
          <w:spacing w:val="-28"/>
          <w:sz w:val="22"/>
        </w:rPr>
        <w:t> </w:t>
      </w:r>
      <w:r>
        <w:rPr>
          <w:sz w:val="22"/>
        </w:rPr>
        <w:t>tratamiento.</w:t>
      </w:r>
    </w:p>
    <w:p>
      <w:pPr>
        <w:pStyle w:val="BodyText"/>
        <w:spacing w:before="3"/>
        <w:rPr>
          <w:sz w:val="28"/>
        </w:rPr>
      </w:pPr>
    </w:p>
    <w:p>
      <w:pPr>
        <w:pStyle w:val="ListParagraph"/>
        <w:numPr>
          <w:ilvl w:val="3"/>
          <w:numId w:val="7"/>
        </w:numPr>
        <w:tabs>
          <w:tab w:pos="1347" w:val="left" w:leader="none"/>
          <w:tab w:pos="1348" w:val="left" w:leader="none"/>
        </w:tabs>
        <w:spacing w:line="360" w:lineRule="auto" w:before="0" w:after="0"/>
        <w:ind w:left="1347" w:right="499" w:hanging="612"/>
        <w:jc w:val="left"/>
        <w:rPr>
          <w:sz w:val="22"/>
        </w:rPr>
      </w:pPr>
      <w:r>
        <w:rPr>
          <w:sz w:val="22"/>
        </w:rPr>
        <w:t>Modelar matemáticamente los procesos más importantes en el sistema integral de recirculación</w:t>
      </w:r>
      <w:r>
        <w:rPr>
          <w:spacing w:val="-10"/>
          <w:sz w:val="22"/>
        </w:rPr>
        <w:t> </w:t>
      </w:r>
      <w:r>
        <w:rPr>
          <w:sz w:val="22"/>
        </w:rPr>
        <w:t>acuícola.</w:t>
      </w:r>
    </w:p>
    <w:p>
      <w:pPr>
        <w:spacing w:after="0" w:line="360" w:lineRule="auto"/>
        <w:jc w:val="left"/>
        <w:rPr>
          <w:sz w:val="22"/>
        </w:rPr>
        <w:sectPr>
          <w:pgSz w:w="12240" w:h="15840"/>
          <w:pgMar w:header="725" w:footer="1084" w:top="1340" w:bottom="1280" w:left="920" w:right="1200"/>
        </w:sectPr>
      </w:pPr>
    </w:p>
    <w:p>
      <w:pPr>
        <w:pStyle w:val="Heading5"/>
        <w:numPr>
          <w:ilvl w:val="1"/>
          <w:numId w:val="10"/>
        </w:numPr>
        <w:tabs>
          <w:tab w:pos="1211" w:val="left" w:leader="none"/>
        </w:tabs>
        <w:spacing w:line="240" w:lineRule="auto" w:before="172" w:after="0"/>
        <w:ind w:left="1210" w:right="0" w:hanging="429"/>
        <w:jc w:val="left"/>
      </w:pPr>
      <w:bookmarkStart w:name="_TOC_250060" w:id="43"/>
      <w:bookmarkStart w:name="3.4. Metas" w:id="44"/>
      <w:r>
        <w:rPr>
          <w:b w:val="0"/>
        </w:rPr>
      </w:r>
      <w:bookmarkEnd w:id="44"/>
      <w:bookmarkStart w:name="3.4. Metas" w:id="45"/>
      <w:r>
        <w:rPr/>
        <w:t>M</w:t>
      </w:r>
      <w:bookmarkEnd w:id="43"/>
      <w:r>
        <w:rPr/>
        <w:t>ETAS</w:t>
      </w:r>
    </w:p>
    <w:p>
      <w:pPr>
        <w:pStyle w:val="BodyText"/>
        <w:spacing w:before="5"/>
        <w:rPr>
          <w:b/>
          <w:sz w:val="28"/>
        </w:rPr>
      </w:pPr>
    </w:p>
    <w:p>
      <w:pPr>
        <w:pStyle w:val="ListParagraph"/>
        <w:numPr>
          <w:ilvl w:val="2"/>
          <w:numId w:val="10"/>
        </w:numPr>
        <w:tabs>
          <w:tab w:pos="1347" w:val="left" w:leader="none"/>
          <w:tab w:pos="1348" w:val="left" w:leader="none"/>
        </w:tabs>
        <w:spacing w:line="362" w:lineRule="auto" w:before="1" w:after="0"/>
        <w:ind w:left="1348" w:right="503" w:hanging="406"/>
        <w:jc w:val="left"/>
        <w:rPr>
          <w:sz w:val="22"/>
        </w:rPr>
      </w:pPr>
      <w:r>
        <w:rPr>
          <w:sz w:val="22"/>
        </w:rPr>
        <w:t>Instalar un sistema de almacenamiento y acondicionamiento de agua de lluvia a las características principales de calidad de agua de un cultivo</w:t>
      </w:r>
      <w:r>
        <w:rPr>
          <w:spacing w:val="-25"/>
          <w:sz w:val="22"/>
        </w:rPr>
        <w:t> </w:t>
      </w:r>
      <w:r>
        <w:rPr>
          <w:sz w:val="22"/>
        </w:rPr>
        <w:t>trutícola.</w:t>
      </w:r>
    </w:p>
    <w:p>
      <w:pPr>
        <w:pStyle w:val="BodyText"/>
        <w:spacing w:before="4"/>
        <w:rPr>
          <w:sz w:val="17"/>
        </w:rPr>
      </w:pPr>
    </w:p>
    <w:p>
      <w:pPr>
        <w:pStyle w:val="ListParagraph"/>
        <w:numPr>
          <w:ilvl w:val="2"/>
          <w:numId w:val="10"/>
        </w:numPr>
        <w:tabs>
          <w:tab w:pos="1348" w:val="left" w:leader="none"/>
        </w:tabs>
        <w:spacing w:line="360" w:lineRule="auto" w:before="0" w:after="0"/>
        <w:ind w:left="1348" w:right="500" w:hanging="466"/>
        <w:jc w:val="both"/>
        <w:rPr>
          <w:sz w:val="22"/>
        </w:rPr>
      </w:pPr>
      <w:r>
        <w:rPr>
          <w:sz w:val="22"/>
        </w:rPr>
        <w:t>Colectar y acondicionar el agua pluvial con la calidad necesaria para el cultivo de la trucha.</w:t>
      </w:r>
    </w:p>
    <w:p>
      <w:pPr>
        <w:pStyle w:val="BodyText"/>
        <w:spacing w:before="9"/>
        <w:rPr>
          <w:sz w:val="17"/>
        </w:rPr>
      </w:pPr>
    </w:p>
    <w:p>
      <w:pPr>
        <w:pStyle w:val="ListParagraph"/>
        <w:numPr>
          <w:ilvl w:val="2"/>
          <w:numId w:val="10"/>
        </w:numPr>
        <w:tabs>
          <w:tab w:pos="1348" w:val="left" w:leader="none"/>
        </w:tabs>
        <w:spacing w:line="360" w:lineRule="auto" w:before="0" w:after="0"/>
        <w:ind w:left="1348" w:right="499" w:hanging="528"/>
        <w:jc w:val="both"/>
        <w:rPr>
          <w:sz w:val="22"/>
        </w:rPr>
      </w:pPr>
      <w:r>
        <w:rPr>
          <w:sz w:val="22"/>
        </w:rPr>
        <w:t>Contar con un sistema integral prototipo optimizado, que permita niveles en  la calidad del agua residual tratada suficientes para soportar un cultivo trutícola, bajo un ciclo cerrado de flujo de</w:t>
      </w:r>
      <w:r>
        <w:rPr>
          <w:spacing w:val="-9"/>
          <w:sz w:val="22"/>
        </w:rPr>
        <w:t> </w:t>
      </w:r>
      <w:r>
        <w:rPr>
          <w:sz w:val="22"/>
        </w:rPr>
        <w:t>agua.</w:t>
      </w:r>
    </w:p>
    <w:p>
      <w:pPr>
        <w:pStyle w:val="BodyText"/>
        <w:spacing w:before="7"/>
        <w:rPr>
          <w:sz w:val="17"/>
        </w:rPr>
      </w:pPr>
    </w:p>
    <w:p>
      <w:pPr>
        <w:pStyle w:val="ListParagraph"/>
        <w:numPr>
          <w:ilvl w:val="2"/>
          <w:numId w:val="10"/>
        </w:numPr>
        <w:tabs>
          <w:tab w:pos="1348" w:val="left" w:leader="none"/>
        </w:tabs>
        <w:spacing w:line="360" w:lineRule="auto" w:before="0" w:after="0"/>
        <w:ind w:left="1348" w:right="498" w:hanging="552"/>
        <w:jc w:val="both"/>
        <w:rPr>
          <w:sz w:val="22"/>
        </w:rPr>
      </w:pPr>
      <w:r>
        <w:rPr>
          <w:sz w:val="22"/>
        </w:rPr>
        <w:t>Mantener en un sistema maduro, los niveles de los contaminantes por debajo del nivel tóxico para el cultivo de la trucha</w:t>
      </w:r>
      <w:r>
        <w:rPr>
          <w:spacing w:val="-16"/>
          <w:sz w:val="22"/>
        </w:rPr>
        <w:t> </w:t>
      </w:r>
      <w:r>
        <w:rPr>
          <w:sz w:val="22"/>
        </w:rPr>
        <w:t>arcoíris.</w:t>
      </w:r>
    </w:p>
    <w:p>
      <w:pPr>
        <w:pStyle w:val="BodyText"/>
        <w:spacing w:before="9"/>
        <w:rPr>
          <w:sz w:val="17"/>
        </w:rPr>
      </w:pPr>
    </w:p>
    <w:p>
      <w:pPr>
        <w:pStyle w:val="ListParagraph"/>
        <w:numPr>
          <w:ilvl w:val="2"/>
          <w:numId w:val="10"/>
        </w:numPr>
        <w:tabs>
          <w:tab w:pos="1348" w:val="left" w:leader="none"/>
        </w:tabs>
        <w:spacing w:line="360" w:lineRule="auto" w:before="0" w:after="0"/>
        <w:ind w:left="1348" w:right="499" w:hanging="490"/>
        <w:jc w:val="both"/>
        <w:rPr>
          <w:sz w:val="22"/>
        </w:rPr>
      </w:pPr>
      <w:r>
        <w:rPr>
          <w:sz w:val="22"/>
        </w:rPr>
        <w:t>Producir un mínimo de 170 kg de trucha en el sistema prototipo, con peso promedio mínimo de 250 g cada</w:t>
      </w:r>
      <w:r>
        <w:rPr>
          <w:spacing w:val="-10"/>
          <w:sz w:val="22"/>
        </w:rPr>
        <w:t> </w:t>
      </w:r>
      <w:r>
        <w:rPr>
          <w:sz w:val="22"/>
        </w:rPr>
        <w:t>trucha.</w:t>
      </w:r>
    </w:p>
    <w:p>
      <w:pPr>
        <w:pStyle w:val="BodyText"/>
        <w:spacing w:before="7"/>
        <w:rPr>
          <w:sz w:val="17"/>
        </w:rPr>
      </w:pPr>
    </w:p>
    <w:p>
      <w:pPr>
        <w:pStyle w:val="ListParagraph"/>
        <w:numPr>
          <w:ilvl w:val="2"/>
          <w:numId w:val="10"/>
        </w:numPr>
        <w:tabs>
          <w:tab w:pos="1348" w:val="left" w:leader="none"/>
        </w:tabs>
        <w:spacing w:line="360" w:lineRule="auto" w:before="0" w:after="0"/>
        <w:ind w:left="1348" w:right="497" w:hanging="553"/>
        <w:jc w:val="both"/>
        <w:rPr>
          <w:sz w:val="22"/>
        </w:rPr>
      </w:pPr>
      <w:r>
        <w:rPr>
          <w:sz w:val="22"/>
        </w:rPr>
        <w:t>Mantener la eficiencia de remoción de cada parámetro en el tren de tratamiento del sistema prototipo mayor a un</w:t>
      </w:r>
      <w:r>
        <w:rPr>
          <w:spacing w:val="-11"/>
          <w:sz w:val="22"/>
        </w:rPr>
        <w:t> </w:t>
      </w:r>
      <w:r>
        <w:rPr>
          <w:sz w:val="22"/>
        </w:rPr>
        <w:t>80%.</w:t>
      </w:r>
    </w:p>
    <w:p>
      <w:pPr>
        <w:pStyle w:val="BodyText"/>
        <w:spacing w:before="9"/>
        <w:rPr>
          <w:sz w:val="17"/>
        </w:rPr>
      </w:pPr>
    </w:p>
    <w:p>
      <w:pPr>
        <w:pStyle w:val="ListParagraph"/>
        <w:numPr>
          <w:ilvl w:val="2"/>
          <w:numId w:val="10"/>
        </w:numPr>
        <w:tabs>
          <w:tab w:pos="1348" w:val="left" w:leader="none"/>
        </w:tabs>
        <w:spacing w:line="360" w:lineRule="auto" w:before="0" w:after="0"/>
        <w:ind w:left="1347" w:right="498" w:hanging="612"/>
        <w:jc w:val="both"/>
        <w:rPr>
          <w:sz w:val="22"/>
        </w:rPr>
      </w:pPr>
      <w:r>
        <w:rPr>
          <w:sz w:val="22"/>
        </w:rPr>
        <w:t>Contar con un modelo matemático que describa los procesos limitantes en el  biofiltro del tren de</w:t>
      </w:r>
      <w:r>
        <w:rPr>
          <w:spacing w:val="-12"/>
          <w:sz w:val="22"/>
        </w:rPr>
        <w:t> </w:t>
      </w:r>
      <w:r>
        <w:rPr>
          <w:sz w:val="22"/>
        </w:rPr>
        <w:t>tratamiento.</w:t>
      </w:r>
    </w:p>
    <w:p>
      <w:pPr>
        <w:pStyle w:val="BodyText"/>
        <w:spacing w:before="7"/>
        <w:rPr>
          <w:sz w:val="17"/>
        </w:rPr>
      </w:pPr>
    </w:p>
    <w:p>
      <w:pPr>
        <w:pStyle w:val="ListParagraph"/>
        <w:numPr>
          <w:ilvl w:val="2"/>
          <w:numId w:val="10"/>
        </w:numPr>
        <w:tabs>
          <w:tab w:pos="1347" w:val="left" w:leader="none"/>
          <w:tab w:pos="1348" w:val="left" w:leader="none"/>
        </w:tabs>
        <w:spacing w:line="362" w:lineRule="auto" w:before="0" w:after="0"/>
        <w:ind w:left="1347" w:right="497" w:hanging="674"/>
        <w:jc w:val="left"/>
        <w:rPr>
          <w:sz w:val="22"/>
        </w:rPr>
      </w:pPr>
      <w:r>
        <w:rPr>
          <w:sz w:val="22"/>
        </w:rPr>
        <w:t>Contar con modelos matemáticos que describan los procesos ocurridos en el estanque y en el tren de tratamiento del</w:t>
      </w:r>
      <w:r>
        <w:rPr>
          <w:spacing w:val="-16"/>
          <w:sz w:val="22"/>
        </w:rPr>
        <w:t> </w:t>
      </w:r>
      <w:r>
        <w:rPr>
          <w:sz w:val="22"/>
        </w:rPr>
        <w:t>SRA.</w:t>
      </w:r>
    </w:p>
    <w:p>
      <w:pPr>
        <w:spacing w:after="0" w:line="362" w:lineRule="auto"/>
        <w:jc w:val="left"/>
        <w:rPr>
          <w:sz w:val="22"/>
        </w:rPr>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2" w:lineRule="auto"/>
        <w:ind w:left="2644" w:right="2352" w:firstLine="1341"/>
      </w:pPr>
      <w:bookmarkStart w:name="_TOC_250059" w:id="46"/>
      <w:bookmarkStart w:name="Capítulo 4. Materiales y métodos" w:id="47"/>
      <w:r>
        <w:rPr/>
      </w:r>
      <w:r>
        <w:rPr>
          <w:w w:val="105"/>
        </w:rPr>
        <w:t>CAPÍTULO 4 </w:t>
      </w:r>
      <w:r>
        <w:rPr/>
        <w:t>MATERIALES Y</w:t>
      </w:r>
      <w:r>
        <w:rPr>
          <w:spacing w:val="58"/>
        </w:rPr>
        <w:t> </w:t>
      </w:r>
      <w:bookmarkEnd w:id="46"/>
      <w:r>
        <w:rPr/>
        <w:t>MÉTODOS</w:t>
      </w:r>
    </w:p>
    <w:p>
      <w:pPr>
        <w:spacing w:after="0" w:line="242" w:lineRule="auto"/>
        <w:sectPr>
          <w:pgSz w:w="12240" w:h="15840"/>
          <w:pgMar w:header="725" w:footer="1084" w:top="1340" w:bottom="1280" w:left="920" w:right="1200"/>
        </w:sectPr>
      </w:pPr>
    </w:p>
    <w:p>
      <w:pPr>
        <w:pStyle w:val="Heading5"/>
        <w:numPr>
          <w:ilvl w:val="0"/>
          <w:numId w:val="7"/>
        </w:numPr>
        <w:tabs>
          <w:tab w:pos="1027" w:val="left" w:leader="none"/>
        </w:tabs>
        <w:spacing w:line="240" w:lineRule="auto" w:before="172" w:after="0"/>
        <w:ind w:left="1026" w:right="0" w:hanging="245"/>
        <w:jc w:val="both"/>
      </w:pPr>
      <w:r>
        <w:rPr/>
        <w:t>MATERIALES Y</w:t>
      </w:r>
      <w:r>
        <w:rPr>
          <w:spacing w:val="-6"/>
        </w:rPr>
        <w:t> </w:t>
      </w:r>
      <w:r>
        <w:rPr/>
        <w:t>MÉTODOS</w:t>
      </w:r>
    </w:p>
    <w:p>
      <w:pPr>
        <w:pStyle w:val="BodyText"/>
        <w:spacing w:before="7"/>
        <w:rPr>
          <w:b/>
          <w:sz w:val="17"/>
        </w:rPr>
      </w:pPr>
    </w:p>
    <w:p>
      <w:pPr>
        <w:pStyle w:val="BodyText"/>
        <w:spacing w:line="360" w:lineRule="auto"/>
        <w:ind w:left="781" w:right="498"/>
        <w:jc w:val="both"/>
      </w:pPr>
      <w:r>
        <w:rPr/>
        <w:t>El trabajo se realizó con un prototipo ubicado en las instalaciones del Centro Interamericano de Recursos del Agua, el cual consta de un estanque circular con un tren de tratamiento, que reacondiciona el agua.</w:t>
      </w:r>
    </w:p>
    <w:p>
      <w:pPr>
        <w:pStyle w:val="BodyText"/>
        <w:spacing w:before="7"/>
        <w:rPr>
          <w:sz w:val="17"/>
        </w:rPr>
      </w:pPr>
    </w:p>
    <w:p>
      <w:pPr>
        <w:pStyle w:val="BodyText"/>
        <w:spacing w:line="360" w:lineRule="auto"/>
        <w:ind w:left="781" w:right="497"/>
        <w:jc w:val="both"/>
      </w:pPr>
      <w:r>
        <w:rPr/>
        <w:t>En el sistema se sembraron 178 organismos de trucha arco iris (</w:t>
      </w:r>
      <w:r>
        <w:rPr>
          <w:i/>
        </w:rPr>
        <w:t>Oncorhynchus mykiss</w:t>
      </w:r>
      <w:r>
        <w:rPr/>
        <w:t>) con una longitud aproximada de 29 cm y de un peso promedio de 402 g que se llevaron hasta los 34 cm de longitud y 644 g de peso, los cuales fueron donados por la Subdelegación de Pesca del Estado de México y provenientes de sus instalaciones de la unidad Piscícola “El Zarco”. Se propusieron organismos de esta talla para llegar en un periodo de tiempo corto a los picos más altos de producción de residuos por parte de los peces.</w:t>
      </w:r>
    </w:p>
    <w:p>
      <w:pPr>
        <w:pStyle w:val="BodyText"/>
        <w:spacing w:before="7"/>
        <w:rPr>
          <w:sz w:val="17"/>
        </w:rPr>
      </w:pPr>
    </w:p>
    <w:p>
      <w:pPr>
        <w:pStyle w:val="BodyText"/>
        <w:spacing w:line="355" w:lineRule="auto"/>
        <w:ind w:left="781" w:right="497"/>
        <w:jc w:val="both"/>
      </w:pPr>
      <w:r>
        <w:rPr/>
        <w:t>El tiempo de cultivo fue de 58 días; y contó con un incrementó de biomasa, partiendo de 6,61 kg/m</w:t>
      </w:r>
      <w:r>
        <w:rPr>
          <w:position w:val="10"/>
          <w:sz w:val="13"/>
        </w:rPr>
        <w:t>3  </w:t>
      </w:r>
      <w:r>
        <w:rPr/>
        <w:t>hasta llegar a 17,24 kg/m</w:t>
      </w:r>
      <w:r>
        <w:rPr>
          <w:position w:val="10"/>
          <w:sz w:val="13"/>
        </w:rPr>
        <w:t>3</w:t>
      </w:r>
      <w:r>
        <w:rPr/>
        <w:t>. En el día 59, se tuvo una falta de energía eléctrica  y una falla en el sistema de contingencias, lo que llevó a la mortalidad total de los organismos. La biomasa se repuso 27 días después con 418 organismos de la misma especie, provenientes de la granja trutícola “Llano del Rayo” ubicada en Temoaya, Estado de México, con una longitud y peso promedio de 19 cm y 287 g, respectivamente, es decir 13,13</w:t>
      </w:r>
      <w:r>
        <w:rPr>
          <w:spacing w:val="1"/>
        </w:rPr>
        <w:t> </w:t>
      </w:r>
      <w:r>
        <w:rPr/>
        <w:t>kg/m</w:t>
      </w:r>
      <w:r>
        <w:rPr>
          <w:position w:val="10"/>
          <w:sz w:val="13"/>
        </w:rPr>
        <w:t>3</w:t>
      </w:r>
      <w:r>
        <w:rPr/>
        <w:t>.</w:t>
      </w:r>
    </w:p>
    <w:p>
      <w:pPr>
        <w:pStyle w:val="BodyText"/>
        <w:spacing w:line="360" w:lineRule="auto" w:before="201"/>
        <w:ind w:left="781" w:right="497"/>
        <w:jc w:val="both"/>
      </w:pPr>
      <w:r>
        <w:rPr/>
        <w:t>En el presente estudio se contó con agua cosechada de lluvia, colectada dentro de las instalaciones universitarias y cuyas características fisicoquímicas se determinaron para conocer y, en su caso, corregir las condiciones iníciales del agua en el sistema. Cabe aclarar que el sistema de captación de lluvia fue construido previamente por el Centro Interamericano de Recursos del Agua.</w:t>
      </w:r>
    </w:p>
    <w:p>
      <w:pPr>
        <w:pStyle w:val="BodyText"/>
        <w:spacing w:before="7"/>
        <w:rPr>
          <w:sz w:val="17"/>
        </w:rPr>
      </w:pPr>
    </w:p>
    <w:p>
      <w:pPr>
        <w:pStyle w:val="BodyText"/>
        <w:spacing w:line="360" w:lineRule="auto"/>
        <w:ind w:left="781" w:right="497"/>
        <w:jc w:val="both"/>
      </w:pPr>
      <w:r>
        <w:rPr/>
        <w:t>El agua empleada fue la suficiente para llenar una vez el prototipo y para reponer el agua debido a pérdidas por evaporación, drenado de lodos, toma de muestras, operación del tren de tratamiento y posibles fugas. De acuerdo con investigaciones anteriores (García</w:t>
      </w:r>
      <w:r>
        <w:rPr>
          <w:i/>
        </w:rPr>
        <w:t>, </w:t>
      </w:r>
      <w:r>
        <w:rPr/>
        <w:t>2008) este volumen es estimado en aproximadamente el 2 % del total del sistema. En la figura 10 se esquematiza el método seguido.</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822"/>
        <w:rPr>
          <w:sz w:val="20"/>
        </w:rPr>
      </w:pPr>
      <w:r>
        <w:rPr>
          <w:sz w:val="20"/>
        </w:rPr>
        <w:drawing>
          <wp:inline distT="0" distB="0" distL="0" distR="0">
            <wp:extent cx="5658667" cy="5879973"/>
            <wp:effectExtent l="0" t="0" r="0" b="0"/>
            <wp:docPr id="9" name="image21.jpeg" descr=""/>
            <wp:cNvGraphicFramePr>
              <a:graphicFrameLocks noChangeAspect="1"/>
            </wp:cNvGraphicFramePr>
            <a:graphic>
              <a:graphicData uri="http://schemas.openxmlformats.org/drawingml/2006/picture">
                <pic:pic>
                  <pic:nvPicPr>
                    <pic:cNvPr id="10" name="image21.jpeg"/>
                    <pic:cNvPicPr/>
                  </pic:nvPicPr>
                  <pic:blipFill>
                    <a:blip r:embed="rId27" cstate="print"/>
                    <a:stretch>
                      <a:fillRect/>
                    </a:stretch>
                  </pic:blipFill>
                  <pic:spPr>
                    <a:xfrm>
                      <a:off x="0" y="0"/>
                      <a:ext cx="5658667" cy="5879973"/>
                    </a:xfrm>
                    <a:prstGeom prst="rect">
                      <a:avLst/>
                    </a:prstGeom>
                  </pic:spPr>
                </pic:pic>
              </a:graphicData>
            </a:graphic>
          </wp:inline>
        </w:drawing>
      </w:r>
      <w:r>
        <w:rPr>
          <w:sz w:val="20"/>
        </w:rPr>
      </w:r>
    </w:p>
    <w:p>
      <w:pPr>
        <w:spacing w:line="362" w:lineRule="auto" w:before="53"/>
        <w:ind w:left="2584" w:right="511" w:hanging="1777"/>
        <w:jc w:val="left"/>
        <w:rPr>
          <w:b/>
          <w:sz w:val="18"/>
        </w:rPr>
      </w:pPr>
      <w:r>
        <w:rPr>
          <w:b/>
          <w:sz w:val="18"/>
        </w:rPr>
        <w:t>Figura 10. Esquema de la metodología propuesta. TVNA: Tasa volumétrica de conversión de nitrógeno amoniacal, TVNC Tasa volumétrica de conversión de nitritos.</w:t>
      </w:r>
    </w:p>
    <w:p>
      <w:pPr>
        <w:pStyle w:val="BodyText"/>
        <w:spacing w:before="4"/>
        <w:rPr>
          <w:b/>
          <w:sz w:val="17"/>
        </w:rPr>
      </w:pPr>
    </w:p>
    <w:p>
      <w:pPr>
        <w:pStyle w:val="Heading5"/>
        <w:numPr>
          <w:ilvl w:val="1"/>
          <w:numId w:val="7"/>
        </w:numPr>
        <w:tabs>
          <w:tab w:pos="1211" w:val="left" w:leader="none"/>
        </w:tabs>
        <w:spacing w:line="240" w:lineRule="auto" w:before="0" w:after="0"/>
        <w:ind w:left="781" w:right="0" w:firstLine="0"/>
        <w:jc w:val="both"/>
      </w:pPr>
      <w:bookmarkStart w:name="_TOC_250058" w:id="48"/>
      <w:bookmarkStart w:name="4.1. Cosecha de agua pluvial" w:id="49"/>
      <w:r>
        <w:rPr>
          <w:b w:val="0"/>
        </w:rPr>
      </w:r>
      <w:bookmarkEnd w:id="49"/>
      <w:bookmarkStart w:name="4.1. Cosecha de agua pluvial" w:id="50"/>
      <w:r>
        <w:rPr/>
        <w:t>C</w:t>
      </w:r>
      <w:r>
        <w:rPr/>
        <w:t>OSECHA DE AGUA</w:t>
      </w:r>
      <w:r>
        <w:rPr>
          <w:spacing w:val="-10"/>
        </w:rPr>
        <w:t> </w:t>
      </w:r>
      <w:bookmarkEnd w:id="48"/>
      <w:r>
        <w:rPr/>
        <w:t>PLUVIAL</w:t>
      </w:r>
    </w:p>
    <w:p>
      <w:pPr>
        <w:pStyle w:val="BodyText"/>
        <w:spacing w:before="7"/>
        <w:rPr>
          <w:b/>
          <w:sz w:val="28"/>
        </w:rPr>
      </w:pPr>
    </w:p>
    <w:p>
      <w:pPr>
        <w:pStyle w:val="BodyText"/>
        <w:spacing w:line="352" w:lineRule="auto"/>
        <w:ind w:left="781" w:right="496"/>
        <w:jc w:val="both"/>
      </w:pPr>
      <w:r>
        <w:rPr/>
        <w:t>De acuerdo con la estación meteorológica del CIRA (19</w:t>
      </w:r>
      <w:r>
        <w:rPr>
          <w:rFonts w:ascii="Calibri" w:hAnsi="Calibri"/>
        </w:rPr>
        <w:t>⁰ </w:t>
      </w:r>
      <w:r>
        <w:rPr/>
        <w:t>23’ 58.5’’N, 99</w:t>
      </w:r>
      <w:r>
        <w:rPr>
          <w:rFonts w:ascii="Calibri" w:hAnsi="Calibri"/>
        </w:rPr>
        <w:t>⁰ </w:t>
      </w:r>
      <w:r>
        <w:rPr/>
        <w:t>42’ 50.3’’W), la precipitación anual promedio en el sitio de estudio es de 818 mm (EMCIRA, 2006). El agua pluvial se cosechó del edificio del Laboratorio de Modelos Hidráulicos del CIRA, el cual cuenta con aproximadamente 1 000,00 m</w:t>
      </w:r>
      <w:r>
        <w:rPr>
          <w:position w:val="10"/>
          <w:sz w:val="13"/>
        </w:rPr>
        <w:t>2 </w:t>
      </w:r>
      <w:r>
        <w:rPr/>
        <w:t>de techo preparado para esta función. El volumen potencial de colecta de agua por lo tanto fue de 800,00 m</w:t>
      </w:r>
      <w:r>
        <w:rPr>
          <w:position w:val="10"/>
          <w:sz w:val="13"/>
        </w:rPr>
        <w:t>3</w:t>
      </w:r>
      <w:r>
        <w:rPr/>
        <w:t>. Para este trabajo,  </w:t>
      </w:r>
      <w:r>
        <w:rPr>
          <w:spacing w:val="12"/>
        </w:rPr>
        <w:t> </w:t>
      </w:r>
      <w:r>
        <w:rPr/>
        <w:t>el</w:t>
      </w:r>
    </w:p>
    <w:p>
      <w:pPr>
        <w:spacing w:after="0" w:line="352" w:lineRule="auto"/>
        <w:jc w:val="both"/>
        <w:sectPr>
          <w:pgSz w:w="12240" w:h="15840"/>
          <w:pgMar w:header="725" w:footer="1084" w:top="1340" w:bottom="1280" w:left="920" w:right="1200"/>
        </w:sectPr>
      </w:pPr>
    </w:p>
    <w:p>
      <w:pPr>
        <w:pStyle w:val="BodyText"/>
        <w:spacing w:line="357" w:lineRule="auto" w:before="159"/>
        <w:ind w:left="781" w:right="717"/>
        <w:jc w:val="both"/>
      </w:pPr>
      <w:r>
        <w:rPr/>
        <w:t>agua cosechada se almacenó en tres tinacos con un volumen total de 33,00 m</w:t>
      </w:r>
      <w:r>
        <w:rPr>
          <w:position w:val="10"/>
          <w:sz w:val="13"/>
        </w:rPr>
        <w:t>3</w:t>
      </w:r>
      <w:r>
        <w:rPr/>
        <w:t>, para abastecer el SRA durante el cultivo, se continuó cosechando agua pluvial para recuperar niveles de almacenamiento según lo permitía el clima en la zona. El almacenaje se hizo  en reservorios de plástico que no permitieron el paso de luz hacia el interior del mismo, lo que evitó el crecimiento de microalgas y la modificación de la calidad del agua pluvial, dos reservorios de 5 m</w:t>
      </w:r>
      <w:r>
        <w:rPr>
          <w:position w:val="10"/>
          <w:sz w:val="13"/>
        </w:rPr>
        <w:t>3 </w:t>
      </w:r>
      <w:r>
        <w:rPr/>
        <w:t>de capacidad y uno de 22 m</w:t>
      </w:r>
      <w:r>
        <w:rPr>
          <w:position w:val="10"/>
          <w:sz w:val="13"/>
        </w:rPr>
        <w:t>3 </w:t>
      </w:r>
      <w:r>
        <w:rPr/>
        <w:t>(figura 11). La cosecha se inició en el mes de septiembre. Una vez que se contó con los reservorios y se instaló el desvió de agua pluvial del desagüe del techo hacia los tinacos. Cabe señalar que los reservorios de 5 m</w:t>
      </w:r>
      <w:r>
        <w:rPr>
          <w:position w:val="10"/>
          <w:sz w:val="13"/>
        </w:rPr>
        <w:t>3 </w:t>
      </w:r>
      <w:r>
        <w:rPr/>
        <w:t>se alimentaron de una sola bajada de agua pluvial cada uno y el reservorio de 22 m</w:t>
      </w:r>
      <w:r>
        <w:rPr>
          <w:position w:val="10"/>
          <w:sz w:val="13"/>
        </w:rPr>
        <w:t>3 </w:t>
      </w:r>
      <w:r>
        <w:rPr/>
        <w:t>se alimentó de 3 bajadas, lo que permitió aprovechar todo el techo del laboratorio. Se inició con el almacenamiento de agua pluvial después de las primeras tres lluvias intensas de la temporada (Lee </w:t>
      </w:r>
      <w:r>
        <w:rPr>
          <w:i/>
        </w:rPr>
        <w:t>et al</w:t>
      </w:r>
      <w:r>
        <w:rPr/>
        <w:t>., 2004; Taylor </w:t>
      </w:r>
      <w:r>
        <w:rPr>
          <w:i/>
        </w:rPr>
        <w:t>et al</w:t>
      </w:r>
      <w:r>
        <w:rPr/>
        <w:t>.,</w:t>
      </w:r>
      <w:r>
        <w:rPr>
          <w:spacing w:val="-22"/>
        </w:rPr>
        <w:t> </w:t>
      </w:r>
      <w:r>
        <w:rPr/>
        <w:t>2005).</w:t>
      </w:r>
    </w:p>
    <w:p>
      <w:pPr>
        <w:pStyle w:val="BodyText"/>
        <w:spacing w:before="9"/>
        <w:rPr>
          <w:sz w:val="14"/>
        </w:rPr>
      </w:pPr>
      <w:r>
        <w:rPr/>
        <w:pict>
          <v:group style="position:absolute;margin-left:86.639999pt;margin-top:10.487109pt;width:237.75pt;height:368.55pt;mso-position-horizontal-relative:page;mso-position-vertical-relative:paragraph;z-index:2992;mso-wrap-distance-left:0;mso-wrap-distance-right:0" coordorigin="1733,210" coordsize="4755,7371">
            <v:shape style="position:absolute;left:1733;top:210;width:4694;height:3523" type="#_x0000_t75" stroked="false">
              <v:imagedata r:id="rId28" o:title=""/>
            </v:shape>
            <v:rect style="position:absolute;left:1994;top:1851;width:1440;height:718" filled="true" fillcolor="#ffffff" stroked="false">
              <v:fill type="solid"/>
            </v:rect>
            <v:line style="position:absolute" from="5042,2151" to="3554,2031" stroked="true" strokeweight=".75pt" strokecolor="#ffffff"/>
            <v:rect style="position:absolute;left:1994;top:1851;width:1440;height:718" filled="false" stroked="true" strokeweight=".75pt" strokecolor="#ffffff"/>
            <v:shape style="position:absolute;left:1733;top:4011;width:4754;height:3569" type="#_x0000_t75" stroked="false">
              <v:imagedata r:id="rId29" o:title=""/>
            </v:shape>
            <v:line style="position:absolute" from="3586,2228" to="4200,6068" stroked="true" strokeweight=".75pt" strokecolor="#ffffff"/>
            <v:shape style="position:absolute;left:2148;top:1958;width:1078;height:473" type="#_x0000_t202" filled="false" stroked="false">
              <v:textbox inset="0,0,0,0">
                <w:txbxContent>
                  <w:p>
                    <w:pPr>
                      <w:spacing w:line="217" w:lineRule="exact" w:before="0"/>
                      <w:ind w:left="0" w:right="-19" w:firstLine="0"/>
                      <w:jc w:val="left"/>
                      <w:rPr>
                        <w:sz w:val="22"/>
                      </w:rPr>
                    </w:pPr>
                    <w:r>
                      <w:rPr>
                        <w:sz w:val="22"/>
                      </w:rPr>
                      <w:t>Tinacos de</w:t>
                    </w:r>
                  </w:p>
                  <w:p>
                    <w:pPr>
                      <w:spacing w:line="256" w:lineRule="exact" w:before="0"/>
                      <w:ind w:left="0" w:right="-19" w:firstLine="0"/>
                      <w:jc w:val="left"/>
                      <w:rPr>
                        <w:sz w:val="13"/>
                      </w:rPr>
                    </w:pPr>
                    <w:r>
                      <w:rPr>
                        <w:sz w:val="22"/>
                      </w:rPr>
                      <w:t>5m</w:t>
                    </w:r>
                    <w:r>
                      <w:rPr>
                        <w:position w:val="10"/>
                        <w:sz w:val="13"/>
                      </w:rPr>
                      <w:t>3</w:t>
                    </w:r>
                  </w:p>
                </w:txbxContent>
              </v:textbox>
              <w10:wrap type="none"/>
            </v:shape>
            <w10:wrap type="topAndBottom"/>
          </v:group>
        </w:pict>
      </w:r>
      <w:r>
        <w:rPr/>
        <w:pict>
          <v:group style="position:absolute;margin-left:338.160004pt;margin-top:47.087097pt;width:219.5pt;height:276pt;mso-position-horizontal-relative:page;mso-position-vertical-relative:paragraph;z-index:3040;mso-wrap-distance-left:0;mso-wrap-distance-right:0" coordorigin="6763,942" coordsize="4390,5520">
            <v:shape style="position:absolute;left:6763;top:942;width:4145;height:5520" type="#_x0000_t75" stroked="false">
              <v:imagedata r:id="rId30" o:title=""/>
            </v:shape>
            <v:rect style="position:absolute;left:9646;top:1851;width:1500;height:718" filled="true" fillcolor="#ffffff" stroked="false">
              <v:fill type="solid"/>
            </v:rect>
            <v:line style="position:absolute" from="8866,3503" to="9526,2031" stroked="true" strokeweight=".75pt" strokecolor="#ffffff"/>
            <v:rect style="position:absolute;left:9646;top:1851;width:1500;height:718" filled="false" stroked="true" strokeweight=".75pt" strokecolor="#ffffff"/>
            <v:shape style="position:absolute;left:9797;top:1958;width:970;height:473" type="#_x0000_t202" filled="false" stroked="false">
              <v:textbox inset="0,0,0,0">
                <w:txbxContent>
                  <w:p>
                    <w:pPr>
                      <w:spacing w:line="217" w:lineRule="exact" w:before="0"/>
                      <w:ind w:left="0" w:right="-17" w:firstLine="0"/>
                      <w:jc w:val="left"/>
                      <w:rPr>
                        <w:sz w:val="22"/>
                      </w:rPr>
                    </w:pPr>
                    <w:r>
                      <w:rPr>
                        <w:sz w:val="22"/>
                      </w:rPr>
                      <w:t>Tinaco de</w:t>
                    </w:r>
                  </w:p>
                  <w:p>
                    <w:pPr>
                      <w:spacing w:line="256" w:lineRule="exact" w:before="0"/>
                      <w:ind w:left="0" w:right="-17" w:firstLine="0"/>
                      <w:jc w:val="left"/>
                      <w:rPr>
                        <w:sz w:val="13"/>
                      </w:rPr>
                    </w:pPr>
                    <w:r>
                      <w:rPr>
                        <w:sz w:val="22"/>
                      </w:rPr>
                      <w:t>22 m</w:t>
                    </w:r>
                    <w:r>
                      <w:rPr>
                        <w:position w:val="10"/>
                        <w:sz w:val="13"/>
                      </w:rPr>
                      <w:t>3</w:t>
                    </w:r>
                  </w:p>
                </w:txbxContent>
              </v:textbox>
              <w10:wrap type="none"/>
            </v:shape>
            <w10:wrap type="topAndBottom"/>
          </v:group>
        </w:pict>
      </w:r>
    </w:p>
    <w:p>
      <w:pPr>
        <w:pStyle w:val="BodyText"/>
        <w:spacing w:before="11"/>
        <w:rPr>
          <w:sz w:val="20"/>
        </w:rPr>
      </w:pPr>
    </w:p>
    <w:p>
      <w:pPr>
        <w:spacing w:before="0"/>
        <w:ind w:left="2694" w:right="101" w:firstLine="0"/>
        <w:jc w:val="left"/>
        <w:rPr>
          <w:b/>
          <w:sz w:val="18"/>
        </w:rPr>
      </w:pPr>
      <w:r>
        <w:rPr>
          <w:b/>
          <w:sz w:val="18"/>
        </w:rPr>
        <w:t>Figura 11. Reservorios de almacenamiento de agua pluvial</w:t>
      </w:r>
    </w:p>
    <w:p>
      <w:pPr>
        <w:spacing w:after="0"/>
        <w:jc w:val="left"/>
        <w:rPr>
          <w:sz w:val="18"/>
        </w:rPr>
        <w:sectPr>
          <w:pgSz w:w="12240" w:h="15840"/>
          <w:pgMar w:header="725" w:footer="1084" w:top="1340" w:bottom="1280" w:left="920" w:right="980"/>
        </w:sectPr>
      </w:pPr>
    </w:p>
    <w:p>
      <w:pPr>
        <w:pStyle w:val="BodyText"/>
        <w:spacing w:before="10"/>
        <w:rPr>
          <w:b/>
          <w:sz w:val="8"/>
        </w:rPr>
      </w:pPr>
    </w:p>
    <w:p>
      <w:pPr>
        <w:pStyle w:val="BodyText"/>
        <w:spacing w:line="360" w:lineRule="auto" w:before="73"/>
        <w:ind w:left="781" w:right="497"/>
        <w:jc w:val="both"/>
      </w:pPr>
      <w:r>
        <w:rPr/>
        <w:t>El tiempo de cosecha fue de un mes, no obstante los reservorios de almacenamiento se llenaron a dos terceras partes en una semana. En el transcurso del cultivo el agua pluvial utilizada se repuso con lluvias en toda la temporada. El agua pluvial almacenada, se caracterizó de acuerdo con los parámetros más importantes para el cultivo de la trucha.</w:t>
      </w:r>
    </w:p>
    <w:p>
      <w:pPr>
        <w:pStyle w:val="BodyText"/>
        <w:spacing w:before="9"/>
        <w:rPr>
          <w:sz w:val="17"/>
        </w:rPr>
      </w:pPr>
    </w:p>
    <w:p>
      <w:pPr>
        <w:pStyle w:val="BodyText"/>
        <w:spacing w:line="355" w:lineRule="auto"/>
        <w:ind w:left="781" w:right="497"/>
        <w:jc w:val="both"/>
      </w:pPr>
      <w:r>
        <w:rPr/>
        <w:t>La adecuación del agua pluvial almacenada se realizó mediante la adición de sales alcalinas, en cantidades que se establecieron según los valores de pH, alcalinidad, acidez y los iones determinados (Ca, K, Mn, Na, Cl</w:t>
      </w:r>
      <w:r>
        <w:rPr>
          <w:position w:val="10"/>
          <w:sz w:val="13"/>
        </w:rPr>
        <w:t>-</w:t>
      </w:r>
      <w:r>
        <w:rPr/>
        <w:t>, SO</w:t>
      </w:r>
      <w:r>
        <w:rPr>
          <w:position w:val="-2"/>
          <w:sz w:val="13"/>
        </w:rPr>
        <w:t>4</w:t>
      </w:r>
      <w:r>
        <w:rPr>
          <w:position w:val="10"/>
          <w:sz w:val="13"/>
        </w:rPr>
        <w:t>2-</w:t>
      </w:r>
      <w:r>
        <w:rPr/>
        <w:t>, Fe y Mg), mediante el programa AgrInc – Agua V.2. (Agresividad e Incrustabilidad del Agua, Método de MOJMIR MACH; Trujillo y Martínez, 2005). Para disminuir la concentración de N-NH</w:t>
      </w:r>
      <w:r>
        <w:rPr>
          <w:position w:val="-2"/>
          <w:sz w:val="13"/>
        </w:rPr>
        <w:t>3 </w:t>
      </w:r>
      <w:r>
        <w:rPr/>
        <w:t>disuelto en el agua pluvial, ésta se ingreso en el sistema al inicio del tren de tratamiento para que pasara a través del biofiltro, reduciendo los valores de esta especie nitrogenada hasta niveles propios del cultivo de la</w:t>
      </w:r>
      <w:r>
        <w:rPr>
          <w:spacing w:val="-12"/>
        </w:rPr>
        <w:t> </w:t>
      </w:r>
      <w:r>
        <w:rPr/>
        <w:t>trucha.</w:t>
      </w:r>
    </w:p>
    <w:p>
      <w:pPr>
        <w:pStyle w:val="BodyText"/>
        <w:spacing w:before="9"/>
        <w:rPr>
          <w:sz w:val="17"/>
        </w:rPr>
      </w:pPr>
    </w:p>
    <w:p>
      <w:pPr>
        <w:pStyle w:val="Heading5"/>
        <w:numPr>
          <w:ilvl w:val="1"/>
          <w:numId w:val="7"/>
        </w:numPr>
        <w:tabs>
          <w:tab w:pos="1211" w:val="left" w:leader="none"/>
        </w:tabs>
        <w:spacing w:line="240" w:lineRule="auto" w:before="0" w:after="0"/>
        <w:ind w:left="1210" w:right="0" w:hanging="429"/>
        <w:jc w:val="both"/>
      </w:pPr>
      <w:bookmarkStart w:name="_TOC_250057" w:id="51"/>
      <w:bookmarkStart w:name="4.2. Diseño y puesta en marcha del siste" w:id="52"/>
      <w:r>
        <w:rPr>
          <w:b w:val="0"/>
        </w:rPr>
      </w:r>
      <w:bookmarkEnd w:id="52"/>
      <w:bookmarkStart w:name="4.2. Diseño y puesta en marcha del siste" w:id="53"/>
      <w:r>
        <w:rPr/>
        <w:t>D</w:t>
      </w:r>
      <w:r>
        <w:rPr/>
        <w:t>ISEÑO Y PUESTA EN MARCHA DEL SISTEMA</w:t>
      </w:r>
      <w:r>
        <w:rPr>
          <w:spacing w:val="-17"/>
        </w:rPr>
        <w:t> </w:t>
      </w:r>
      <w:bookmarkEnd w:id="51"/>
      <w:r>
        <w:rPr/>
        <w:t>PROTOTIPO</w:t>
      </w:r>
    </w:p>
    <w:p>
      <w:pPr>
        <w:pStyle w:val="BodyText"/>
        <w:spacing w:before="5"/>
        <w:rPr>
          <w:b/>
          <w:sz w:val="28"/>
        </w:rPr>
      </w:pPr>
    </w:p>
    <w:p>
      <w:pPr>
        <w:pStyle w:val="BodyText"/>
        <w:spacing w:line="357" w:lineRule="auto" w:before="1"/>
        <w:ind w:left="781" w:right="498"/>
        <w:jc w:val="both"/>
      </w:pPr>
      <w:r>
        <w:rPr/>
        <w:t>El sistema prototipo se construyó en la playa del laboratorio de modelos hidráulicos (figura 12), se alimentó de un reservorio de agua de 5 m</w:t>
      </w:r>
      <w:r>
        <w:rPr>
          <w:position w:val="10"/>
          <w:sz w:val="13"/>
        </w:rPr>
        <w:t>3</w:t>
      </w:r>
      <w:r>
        <w:rPr/>
        <w:t>, el cual brindó de manera constante 2,1 L/s al percolador de forma periférica y permitiendo que todo el empaque sea humedecido. El abastecimiento de agua a este reservorio tuvo su origen en el tanque de agua cruda, la cual fue suministrada con ayuda de una bomba sumergible de un caballo de fuerza (figura 13).</w:t>
      </w:r>
    </w:p>
    <w:p>
      <w:pPr>
        <w:spacing w:after="0" w:line="357" w:lineRule="auto"/>
        <w:jc w:val="both"/>
        <w:sectPr>
          <w:pgSz w:w="12240" w:h="15840"/>
          <w:pgMar w:header="725" w:footer="1084" w:top="1340" w:bottom="1280" w:left="920" w:right="1200"/>
        </w:sectPr>
      </w:pPr>
    </w:p>
    <w:p>
      <w:pPr>
        <w:pStyle w:val="BodyText"/>
        <w:spacing w:before="4"/>
        <w:rPr>
          <w:sz w:val="15"/>
        </w:rPr>
      </w:pPr>
    </w:p>
    <w:p>
      <w:pPr>
        <w:pStyle w:val="BodyText"/>
        <w:ind w:left="2941"/>
        <w:rPr>
          <w:sz w:val="20"/>
        </w:rPr>
      </w:pPr>
      <w:r>
        <w:rPr>
          <w:sz w:val="20"/>
        </w:rPr>
        <w:pict>
          <v:group style="width:226pt;height:298.95pt;mso-position-horizontal-relative:char;mso-position-vertical-relative:line" coordorigin="0,0" coordsize="4520,5979">
            <v:shape style="position:absolute;left:39;top:0;width:4481;height:5978" type="#_x0000_t75" stroked="false">
              <v:imagedata r:id="rId31" o:title=""/>
            </v:shape>
            <v:line style="position:absolute" from="1373,965" to="8,1910" stroked="true" strokeweight=".75pt" strokecolor="#ffffff"/>
            <v:rect style="position:absolute;left:2950;top:763;width:1440;height:466" filled="true" fillcolor="#ffffff" stroked="false">
              <v:fill type="solid"/>
            </v:rect>
            <v:line style="position:absolute" from="1928,2654" to="2827,943" stroked="true" strokeweight=".75pt" strokecolor="#ffffff"/>
            <v:rect style="position:absolute;left:2947;top:763;width:1440;height:466" filled="false" stroked="true" strokeweight=".75pt" strokecolor="#ffffff"/>
            <v:shape style="position:absolute;left:3423;top:874;width:494;height:240" type="#_x0000_t202" filled="false" stroked="false">
              <v:textbox inset="0,0,0,0">
                <w:txbxContent>
                  <w:p>
                    <w:pPr>
                      <w:spacing w:line="240" w:lineRule="exact" w:before="0"/>
                      <w:ind w:left="0" w:right="0" w:firstLine="0"/>
                      <w:jc w:val="left"/>
                      <w:rPr>
                        <w:sz w:val="24"/>
                      </w:rPr>
                    </w:pPr>
                    <w:r>
                      <w:rPr>
                        <w:w w:val="95"/>
                        <w:sz w:val="24"/>
                      </w:rPr>
                      <w:t>SRA</w:t>
                    </w:r>
                  </w:p>
                </w:txbxContent>
              </v:textbox>
              <w10:wrap type="none"/>
            </v:shape>
          </v:group>
        </w:pict>
      </w:r>
      <w:r>
        <w:rPr>
          <w:sz w:val="20"/>
        </w:rPr>
      </w:r>
    </w:p>
    <w:p>
      <w:pPr>
        <w:pStyle w:val="BodyText"/>
        <w:spacing w:before="9"/>
        <w:rPr>
          <w:sz w:val="8"/>
        </w:rPr>
      </w:pPr>
    </w:p>
    <w:p>
      <w:pPr>
        <w:spacing w:before="78"/>
        <w:ind w:left="868" w:right="587" w:firstLine="0"/>
        <w:jc w:val="center"/>
        <w:rPr>
          <w:b/>
          <w:sz w:val="18"/>
        </w:rPr>
      </w:pPr>
      <w:r>
        <w:rPr>
          <w:b/>
          <w:sz w:val="18"/>
        </w:rPr>
        <w:t>Figura 12. Prototipo construido en la playa de modelos a escala reducida del laboratorio de modelos hidráulicos.</w:t>
      </w:r>
    </w:p>
    <w:p>
      <w:pPr>
        <w:pStyle w:val="BodyText"/>
        <w:rPr>
          <w:b/>
          <w:sz w:val="20"/>
        </w:rPr>
      </w:pPr>
    </w:p>
    <w:p>
      <w:pPr>
        <w:pStyle w:val="BodyText"/>
        <w:spacing w:before="8"/>
        <w:rPr>
          <w:b/>
          <w:sz w:val="11"/>
        </w:rPr>
      </w:pPr>
      <w:r>
        <w:rPr/>
        <w:pict>
          <v:group style="position:absolute;margin-left:142.320007pt;margin-top:8.673557pt;width:328.95pt;height:246.75pt;mso-position-horizontal-relative:page;mso-position-vertical-relative:paragraph;z-index:3160;mso-wrap-distance-left:0;mso-wrap-distance-right:0" coordorigin="2846,173" coordsize="6579,4935">
            <v:shape style="position:absolute;left:2846;top:173;width:6578;height:4934" type="#_x0000_t75" stroked="false">
              <v:imagedata r:id="rId32" o:title=""/>
            </v:shape>
            <v:rect style="position:absolute;left:6194;top:4501;width:1111;height:329" filled="true" fillcolor="#ffffff" stroked="false">
              <v:fill type="solid"/>
            </v:rect>
            <v:rect style="position:absolute;left:3031;top:975;width:2294;height:329" filled="true" fillcolor="#ffffff" stroked="false">
              <v:fill type="solid"/>
            </v:rect>
            <v:shape style="position:absolute;left:6113;top:3819;width:271;height:722" type="#_x0000_t75" stroked="false">
              <v:imagedata r:id="rId33" o:title=""/>
            </v:shape>
            <v:shape style="position:absolute;left:6113;top:3781;width:272;height:723" coordorigin="6113,3781" coordsize="272,723" path="m6172,3893l6168,3894,6379,4501,6382,4503,6384,4498,6172,3893xm6132,3781l6113,3913,6168,3894,6161,3874,6163,3872,6226,3872,6132,3781xm6163,3872l6161,3874,6168,3894,6172,3893,6166,3874,6163,3872xm6226,3872l6163,3872,6166,3874,6172,3893,6228,3874,6226,3872xe" filled="true" fillcolor="#000000" stroked="false">
              <v:path arrowok="t"/>
              <v:fill type="solid"/>
            </v:shape>
            <v:shape style="position:absolute;left:4099;top:1381;width:473;height:610" type="#_x0000_t75" stroked="false">
              <v:imagedata r:id="rId34" o:title=""/>
            </v:shape>
            <v:shape style="position:absolute;left:4099;top:1340;width:473;height:610" coordorigin="4099,1340" coordsize="473,610" path="m4495,1857l4450,1892,4572,1949,4556,1873,4507,1873,4495,1857xm4500,1854l4495,1857,4507,1873,4512,1873,4512,1870,4500,1854xm4546,1820l4500,1854,4512,1870,4512,1873,4556,1873,4546,1820xm4104,1340l4099,1340,4099,1342,4495,1857,4500,1854,4104,1340xe" filled="true" fillcolor="#000000" stroked="false">
              <v:path arrowok="t"/>
              <v:fill type="solid"/>
            </v:shape>
            <v:shape style="position:absolute;left:3029;top:975;width:2297;height:329" type="#_x0000_t202" filled="true" fillcolor="#ffffff" stroked="true" strokeweight=".75pt" strokecolor="#000000">
              <v:textbox inset="0,0,0,0">
                <w:txbxContent>
                  <w:p>
                    <w:pPr>
                      <w:spacing w:before="71"/>
                      <w:ind w:left="146" w:right="0" w:firstLine="0"/>
                      <w:jc w:val="left"/>
                      <w:rPr>
                        <w:sz w:val="18"/>
                      </w:rPr>
                    </w:pPr>
                    <w:r>
                      <w:rPr>
                        <w:sz w:val="18"/>
                      </w:rPr>
                      <w:t>Torre de tratamiento</w:t>
                    </w:r>
                  </w:p>
                </w:txbxContent>
              </v:textbox>
              <v:fill type="solid"/>
              <w10:wrap type="none"/>
            </v:shape>
            <v:shape style="position:absolute;left:6194;top:4501;width:1112;height:329" type="#_x0000_t202" filled="true" fillcolor="#ffffff" stroked="true" strokeweight=".75pt" strokecolor="#000000">
              <v:textbox inset="0,0,0,0">
                <w:txbxContent>
                  <w:p>
                    <w:pPr>
                      <w:spacing w:before="71"/>
                      <w:ind w:left="146" w:right="0" w:firstLine="0"/>
                      <w:jc w:val="left"/>
                      <w:rPr>
                        <w:sz w:val="18"/>
                      </w:rPr>
                    </w:pPr>
                    <w:r>
                      <w:rPr>
                        <w:sz w:val="18"/>
                      </w:rPr>
                      <w:t>Estanque</w:t>
                    </w:r>
                  </w:p>
                </w:txbxContent>
              </v:textbox>
              <v:fill type="solid"/>
              <w10:wrap type="none"/>
            </v:shape>
            <w10:wrap type="topAndBottom"/>
          </v:group>
        </w:pict>
      </w:r>
    </w:p>
    <w:p>
      <w:pPr>
        <w:pStyle w:val="BodyText"/>
        <w:spacing w:before="3"/>
        <w:rPr>
          <w:b/>
          <w:sz w:val="19"/>
        </w:rPr>
      </w:pPr>
    </w:p>
    <w:p>
      <w:pPr>
        <w:spacing w:before="0"/>
        <w:ind w:left="868" w:right="585" w:firstLine="0"/>
        <w:jc w:val="center"/>
        <w:rPr>
          <w:b/>
          <w:sz w:val="18"/>
        </w:rPr>
      </w:pPr>
      <w:r>
        <w:rPr>
          <w:b/>
          <w:sz w:val="18"/>
        </w:rPr>
        <w:t>Figura 13. Sistema de recirculación acuícola prototipo utilizado</w:t>
      </w:r>
    </w:p>
    <w:p>
      <w:pPr>
        <w:spacing w:after="0"/>
        <w:jc w:val="center"/>
        <w:rPr>
          <w:sz w:val="18"/>
        </w:rPr>
        <w:sectPr>
          <w:pgSz w:w="12240" w:h="15840"/>
          <w:pgMar w:header="725" w:footer="1084" w:top="1340" w:bottom="1280" w:left="920" w:right="1200"/>
        </w:sectPr>
      </w:pPr>
    </w:p>
    <w:p>
      <w:pPr>
        <w:pStyle w:val="Heading5"/>
        <w:numPr>
          <w:ilvl w:val="2"/>
          <w:numId w:val="7"/>
        </w:numPr>
        <w:tabs>
          <w:tab w:pos="1396" w:val="left" w:leader="none"/>
        </w:tabs>
        <w:spacing w:line="240" w:lineRule="auto" w:before="172" w:after="0"/>
        <w:ind w:left="1395" w:right="0" w:hanging="614"/>
        <w:jc w:val="both"/>
      </w:pPr>
      <w:bookmarkStart w:name="_TOC_250056" w:id="54"/>
      <w:bookmarkStart w:name="4.2.1. Estanquería" w:id="55"/>
      <w:r>
        <w:rPr>
          <w:b w:val="0"/>
        </w:rPr>
      </w:r>
      <w:bookmarkEnd w:id="55"/>
      <w:bookmarkStart w:name="4.2.1. Estanquería" w:id="56"/>
      <w:r>
        <w:rPr/>
        <w:t>E</w:t>
      </w:r>
      <w:bookmarkEnd w:id="54"/>
      <w:r>
        <w:rPr/>
        <w:t>STANQUERÍA</w:t>
      </w:r>
    </w:p>
    <w:p>
      <w:pPr>
        <w:pStyle w:val="BodyText"/>
        <w:spacing w:before="5"/>
        <w:rPr>
          <w:b/>
          <w:sz w:val="28"/>
        </w:rPr>
      </w:pPr>
    </w:p>
    <w:p>
      <w:pPr>
        <w:pStyle w:val="BodyText"/>
        <w:spacing w:line="360" w:lineRule="auto" w:before="1"/>
        <w:ind w:left="781" w:right="497"/>
        <w:jc w:val="both"/>
      </w:pPr>
      <w:r>
        <w:rPr/>
        <w:pict>
          <v:group style="position:absolute;margin-left:214.125pt;margin-top:243.667587pt;width:195.3pt;height:272.95pt;mso-position-horizontal-relative:page;mso-position-vertical-relative:paragraph;z-index:3256" coordorigin="4283,4873" coordsize="3906,5459">
            <v:line style="position:absolute" from="6614,6444" to="6617,6444" stroked="true" strokeweight=".12pt" strokecolor="#000000"/>
            <v:line style="position:absolute" from="6197,6534" to="6178,6555" stroked="true" strokeweight=".12pt" strokecolor="#000000"/>
            <v:line style="position:absolute" from="6223,6543" to="6175,6548" stroked="true" strokeweight=".12pt" strokecolor="#000000"/>
            <v:line style="position:absolute" from="6262,6618" to="6238,6591" stroked="true" strokeweight=".12pt" strokecolor="#000000"/>
            <v:line style="position:absolute" from="6290,6663" to="6288,6709" stroked="true" strokeweight=".12pt" strokecolor="#000000"/>
            <v:line style="position:absolute" from="6175,6587" to="6194,6627" stroked="true" strokeweight=".12pt" strokecolor="#000000"/>
            <v:line style="position:absolute" from="6238,6668" to="6283,6671" stroked="true" strokeweight=".12pt" strokecolor="#000000"/>
            <v:line style="position:absolute" from="6161,6656" to="6209,6620" stroked="true" strokeweight=".12pt" strokecolor="#000000"/>
            <v:line style="position:absolute" from="6211,6543" to="6221,6515" stroked="true" strokeweight=".12pt" strokecolor="#000000"/>
            <v:line style="position:absolute" from="6226,6709" to="6228,6704" stroked="true" strokeweight=".12pt" strokecolor="#000000"/>
            <v:line style="position:absolute" from="6218,6594" to="6194,6555" stroked="true" strokeweight=".12pt" strokecolor="#000000"/>
            <v:line style="position:absolute" from="6151,6546" to="6130,6543" stroked="true" strokeweight=".12pt" strokecolor="#000000"/>
            <v:line style="position:absolute" from="6365,6546" to="6312,6541" stroked="true" strokeweight=".12pt" strokecolor="#000000"/>
            <v:line style="position:absolute" from="6240,6647" to="6190,6692" stroked="true" strokeweight=".12pt" strokecolor="#000000"/>
            <v:line style="position:absolute" from="6074,6678" to="6074,6709" stroked="true" strokeweight=".12pt" strokecolor="#000000"/>
            <v:line style="position:absolute" from="6012,6709" to="6014,6704" stroked="true" strokeweight=".12pt" strokecolor="#000000"/>
            <v:line style="position:absolute" from="6134,6671" to="6118,6654" stroked="true" strokeweight=".12pt" strokecolor="#000000"/>
            <v:line style="position:absolute" from="6348,6671" to="6331,6654" stroked="true" strokeweight=".12pt" strokecolor="#000000"/>
            <v:line style="position:absolute" from="6144,6584" to="6130,6584" stroked="true" strokeweight=".12pt" strokecolor="#000000"/>
            <v:line style="position:absolute" from="6358,6584" to="6314,6579" stroked="true" strokeweight=".12pt" strokecolor="#000000"/>
            <v:line style="position:absolute" from="6223,6565" to="6204,6587" stroked="true" strokeweight=".12pt" strokecolor="#000000"/>
            <v:line style="position:absolute" from="6211,6539" to="6197,6546" stroked="true" strokeweight=".12pt" strokecolor="#000000"/>
            <v:line style="position:absolute" from="6211,6591" to="6218,6613" stroked="true" strokeweight=".12pt" strokecolor="#000000"/>
            <v:line style="position:absolute" from="6204,6565" to="6238,6546" stroked="true" strokeweight=".12pt" strokecolor="#000000"/>
            <v:line style="position:absolute" from="6238,6548" to="6211,6539" stroked="true" strokeweight=".12pt" strokecolor="#000000"/>
            <v:line style="position:absolute" from="6302,6543" to="6338,6531" stroked="true" strokeweight=".12pt" strokecolor="#000000"/>
            <v:line style="position:absolute" from="6269,6673" to="6278,6644" stroked="true" strokeweight=".12pt" strokecolor="#000000"/>
            <v:line style="position:absolute" from="6190,6620" to="6202,6651" stroked="true" strokeweight=".12pt" strokecolor="#000000"/>
            <v:line style="position:absolute" from="6146,6507" to="6182,6517" stroked="true" strokeweight=".12pt" strokecolor="#000000"/>
            <v:line style="position:absolute" from="6211,6651" to="6245,6663" stroked="true" strokeweight=".12pt" strokecolor="#000000"/>
            <v:line style="position:absolute" from="6173,6627" to="6185,6656" stroked="true" strokeweight=".12pt" strokecolor="#000000"/>
            <v:line style="position:absolute" from="6206,6575" to="6218,6543" stroked="true" strokeweight=".12pt" strokecolor="#000000"/>
            <v:line style="position:absolute" from="6074,6678" to="6084,6675" stroked="true" strokeweight=".12pt" strokecolor="#000000"/>
            <v:line style="position:absolute" from="6264,6685" to="6298,6675" stroked="true" strokeweight=".12pt" strokecolor="#000000"/>
            <v:line style="position:absolute" from="6331,6543" to="6336,6527" stroked="true" strokeweight=".12pt" strokecolor="#000000"/>
            <v:line style="position:absolute" from="6211,6644" to="6209,6635" stroked="true" strokeweight=".12pt" strokecolor="#000000"/>
            <v:line style="position:absolute" from="6216,6707" to="6173,6695" stroked="true" strokeweight=".12pt" strokecolor="#000000"/>
            <v:line style="position:absolute" from="6298,6687" to="6259,6692" stroked="true" strokeweight=".12pt" strokecolor="#000000"/>
            <v:line style="position:absolute" from="6084,6687" to="6058,6690" stroked="true" strokeweight=".12pt" strokecolor="#000000"/>
            <v:line style="position:absolute" from="6209,6594" to="6226,6620" stroked="true" strokeweight=".12pt" strokecolor="#000000"/>
            <v:line style="position:absolute" from="6346,6630" to="6365,6632" stroked="true" strokeweight=".12pt" strokecolor="#000000"/>
            <v:line style="position:absolute" from="6132,6630" to="6185,6635" stroked="true" strokeweight=".12pt" strokecolor="#000000"/>
            <v:line style="position:absolute" from="6211,6524" to="6218,6515" stroked="true" strokeweight=".12pt" strokecolor="#000000"/>
            <v:line style="position:absolute" from="6286,6599" to="6286,6587" stroked="true" strokeweight=".12pt" strokecolor="#000000"/>
            <v:line style="position:absolute" from="6166,6666" to="6151,6639" stroked="true" strokeweight=".12pt" strokecolor="#000000"/>
            <v:line style="position:absolute" from="6163,6661" to="6202,6618" stroked="true" strokeweight=".12pt" strokecolor="#000000"/>
            <v:line style="position:absolute" from="6199,6623" to="6254,6623" stroked="true" strokeweight=".12pt" strokecolor="#000000"/>
            <v:line style="position:absolute" from="6355,6685" to="6382,6704" stroked="true" strokeweight=".12pt" strokecolor="#000000"/>
            <v:line style="position:absolute" from="6142,6685" to="6168,6704" stroked="true" strokeweight=".12pt" strokecolor="#000000"/>
            <v:line style="position:absolute" from="6288,6635" to="6278,6666" stroked="true" strokeweight=".12pt" strokecolor="#000000"/>
            <v:line style="position:absolute" from="6302,6656" to="6259,6678" stroked="true" strokeweight=".12pt" strokecolor="#000000"/>
            <v:line style="position:absolute" from="6151,6704" to="6098,6699" stroked="true" strokeweight=".12pt" strokecolor="#000000"/>
            <v:line style="position:absolute" from="6365,6704" to="6312,6699" stroked="true" strokeweight=".12pt" strokecolor="#000000"/>
            <v:line style="position:absolute" from="6151,6704" to="6098,6699" stroked="true" strokeweight=".12pt" strokecolor="#000000"/>
            <v:line style="position:absolute" from="6365,6704" to="6312,6699" stroked="true" strokeweight=".12pt" strokecolor="#000000"/>
            <v:line style="position:absolute" from="4670,6709" to="7447,6709" stroked="true" strokeweight=".12pt" strokecolor="#000000"/>
            <v:line style="position:absolute" from="7448,5447" to="7448,6666" stroked="true" strokeweight=".179992pt" strokecolor="#000000"/>
            <v:line style="position:absolute" from="7265,6534" to="7246,6555" stroked="true" strokeweight=".12pt" strokecolor="#000000"/>
            <v:line style="position:absolute" from="7051,6534" to="7032,6555" stroked="true" strokeweight=".12pt" strokecolor="#000000"/>
            <v:line style="position:absolute" from="6838,6534" to="6818,6555" stroked="true" strokeweight=".12pt" strokecolor="#000000"/>
            <v:line style="position:absolute" from="6624,6534" to="6605,6555" stroked="true" strokeweight=".12pt" strokecolor="#000000"/>
            <v:line style="position:absolute" from="6410,6534" to="6406,6539" stroked="true" strokeweight=".12pt" strokecolor="#000000"/>
            <v:line style="position:absolute" from="7291,6543" to="7243,6548" stroked="true" strokeweight=".12pt" strokecolor="#000000"/>
            <v:line style="position:absolute" from="7078,6543" to="7030,6548" stroked="true" strokeweight=".12pt" strokecolor="#000000"/>
            <v:line style="position:absolute" from="6864,6543" to="6816,6548" stroked="true" strokeweight=".12pt" strokecolor="#000000"/>
            <v:line style="position:absolute" from="6650,6543" to="6602,6548" stroked="true" strokeweight=".12pt" strokecolor="#000000"/>
            <v:line style="position:absolute" from="6437,6543" to="6406,6546" stroked="true" strokeweight=".12pt" strokecolor="#000000"/>
            <v:line style="position:absolute" from="6475,6618" to="6451,6591" stroked="true" strokeweight=".12pt" strokecolor="#000000"/>
            <v:line style="position:absolute" from="6689,6618" to="6665,6591" stroked="true" strokeweight=".12pt" strokecolor="#000000"/>
            <v:line style="position:absolute" from="6902,6618" to="6878,6591" stroked="true" strokeweight=".12pt" strokecolor="#000000"/>
            <v:line style="position:absolute" from="7116,6618" to="7092,6591" stroked="true" strokeweight=".12pt" strokecolor="#000000"/>
            <v:line style="position:absolute" from="7116,6404" to="7106,6392" stroked="true" strokeweight=".12pt" strokecolor="#000000"/>
            <v:line style="position:absolute" from="7320,6606" to="7308,6591" stroked="true" strokeweight=".12pt" strokecolor="#000000"/>
            <v:line style="position:absolute" from="7320,6392" to="7308,6378" stroked="true" strokeweight=".12pt" strokecolor="#000000"/>
            <v:line style="position:absolute" from="7144,6665" to="7146,6665" stroked="true" strokeweight=".12pt" strokecolor="#000000"/>
            <v:line style="position:absolute" from="7145,6450" to="7142,6493" stroked="true" strokeweight=".12pt" strokecolor="#000000"/>
            <v:line style="position:absolute" from="6930,6665" to="6932,6665" stroked="true" strokeweight=".12pt" strokecolor="#000000"/>
            <v:line style="position:absolute" from="6931,6450" to="6929,6493" stroked="true" strokeweight=".12pt" strokecolor="#000000"/>
            <v:line style="position:absolute" from="6716,6665" to="6719,6665" stroked="true" strokeweight=".12pt" strokecolor="#000000"/>
            <v:line style="position:absolute" from="6718,6450" to="6715,6493" stroked="true" strokeweight=".12pt" strokecolor="#000000"/>
            <v:line style="position:absolute" from="6503,6665" to="6505,6665" stroked="true" strokeweight=".12pt" strokecolor="#000000"/>
            <v:line style="position:absolute" from="7246,6378" to="7262,6414" stroked="true" strokeweight=".12pt" strokecolor="#000000"/>
            <v:line style="position:absolute" from="7243,6587" to="7262,6627" stroked="true" strokeweight=".12pt" strokecolor="#000000"/>
            <v:line style="position:absolute" from="7042,6399" to="7049,6414" stroked="true" strokeweight=".12pt" strokecolor="#000000"/>
            <v:line style="position:absolute" from="7030,6587" to="7049,6627" stroked="true" strokeweight=".12pt" strokecolor="#000000"/>
            <v:line style="position:absolute" from="6816,6587" to="6835,6627" stroked="true" strokeweight=".12pt" strokecolor="#000000"/>
            <v:line style="position:absolute" from="6602,6587" to="6622,6627" stroked="true" strokeweight=".12pt" strokecolor="#000000"/>
            <v:line style="position:absolute" from="6406,6625" to="6408,6627" stroked="true" strokeweight=".12pt" strokecolor="#000000"/>
            <v:line style="position:absolute" from="7306,6455" to="7320,6455" stroked="true" strokeweight=".12pt" strokecolor="#000000"/>
            <v:line style="position:absolute" from="7092,6455" to="7138,6457" stroked="true" strokeweight=".12pt" strokecolor="#000000"/>
            <v:line style="position:absolute" from="6878,6455" to="6924,6457" stroked="true" strokeweight=".12pt" strokecolor="#000000"/>
            <v:line style="position:absolute" from="6665,6455" to="6710,6457" stroked="true" strokeweight=".12pt" strokecolor="#000000"/>
            <v:line style="position:absolute" from="6406,6632" to="6422,6620" stroked="true" strokeweight=".12pt" strokecolor="#000000"/>
            <v:line style="position:absolute" from="6802,6443" to="6830,6421" stroked="true" strokeweight=".12pt" strokecolor="#000000"/>
            <v:line style="position:absolute" from="6588,6656" to="6636,6620" stroked="true" strokeweight=".12pt" strokecolor="#000000"/>
            <v:line style="position:absolute" from="7015,6443" to="7063,6407" stroked="true" strokeweight=".12pt" strokecolor="#000000"/>
            <v:line style="position:absolute" from="6802,6656" to="6850,6620" stroked="true" strokeweight=".12pt" strokecolor="#000000"/>
            <v:line style="position:absolute" from="7229,6443" to="7277,6407" stroked="true" strokeweight=".12pt" strokecolor="#000000"/>
            <v:line style="position:absolute" from="7015,6656" to="7063,6620" stroked="true" strokeweight=".12pt" strokecolor="#000000"/>
            <v:line style="position:absolute" from="7229,6656" to="7277,6620" stroked="true" strokeweight=".12pt" strokecolor="#000000"/>
            <v:line style="position:absolute" from="6424,6542" to="6426,6542" stroked="true" strokeweight=".12pt" strokecolor="#000000"/>
            <v:line style="position:absolute" from="6638,6543" to="6655,6491" stroked="true" strokeweight=".12pt" strokecolor="#000000"/>
            <v:line style="position:absolute" from="6852,6543" to="6869,6491" stroked="true" strokeweight=".12pt" strokecolor="#000000"/>
            <v:line style="position:absolute" from="7066,6543" to="7082,6491" stroked="true" strokeweight=".12pt" strokecolor="#000000"/>
            <v:line style="position:absolute" from="7279,6543" to="7296,6491" stroked="true" strokeweight=".12pt" strokecolor="#000000"/>
            <v:line style="position:absolute" from="6432,6594" to="6408,6555" stroked="true" strokeweight=".12pt" strokecolor="#000000"/>
            <v:line style="position:absolute" from="6646,6594" to="6622,6555" stroked="true" strokeweight=".12pt" strokecolor="#000000"/>
            <v:line style="position:absolute" from="6859,6594" to="6835,6555" stroked="true" strokeweight=".12pt" strokecolor="#000000"/>
            <v:line style="position:absolute" from="7073,6594" to="7049,6555" stroked="true" strokeweight=".12pt" strokecolor="#000000"/>
            <v:line style="position:absolute" from="7286,6594" to="7262,6555" stroked="true" strokeweight=".12pt" strokecolor="#000000"/>
            <v:line style="position:absolute" from="7286,6380" to="7284,6375" stroked="true" strokeweight=".12pt" strokecolor="#000000"/>
            <v:line style="position:absolute" from="6578,6546" to="6526,6541" stroked="true" strokeweight=".12pt" strokecolor="#000000"/>
            <v:line style="position:absolute" from="6792,6546" to="6739,6541" stroked="true" strokeweight=".12pt" strokecolor="#000000"/>
            <v:line style="position:absolute" from="7006,6546" to="6953,6541" stroked="true" strokeweight=".12pt" strokecolor="#000000"/>
            <v:line style="position:absolute" from="7219,6546" to="7166,6541" stroked="true" strokeweight=".12pt" strokecolor="#000000"/>
            <v:line style="position:absolute" from="7308,6647" to="7286,6666" stroked="true" strokeweight=".12pt" strokecolor="#000000"/>
            <v:line style="position:absolute" from="7094,6647" to="7073,6666" stroked="true" strokeweight=".12pt" strokecolor="#000000"/>
            <v:line style="position:absolute" from="7308,6433" to="7258,6476" stroked="true" strokeweight=".12pt" strokecolor="#000000"/>
            <v:line style="position:absolute" from="6881,6647" to="6859,6666" stroked="true" strokeweight=".12pt" strokecolor="#000000"/>
            <v:line style="position:absolute" from="7094,6433" to="7044,6479" stroked="true" strokeweight=".12pt" strokecolor="#000000"/>
            <v:line style="position:absolute" from="6667,6647" to="6646,6666" stroked="true" strokeweight=".12pt" strokecolor="#000000"/>
            <v:line style="position:absolute" from="6881,6433" to="6830,6479" stroked="true" strokeweight=".12pt" strokecolor="#000000"/>
            <v:line style="position:absolute" from="6454,6647" to="6432,6666" stroked="true" strokeweight=".12pt" strokecolor="#000000"/>
            <v:line style="position:absolute" from="6662,6438" to="6617,6479" stroked="true" strokeweight=".12pt" strokecolor="#000000"/>
            <v:line style="position:absolute" from="6559,6666" to="6545,6654" stroked="true" strokeweight=".12pt" strokecolor="#000000"/>
            <v:line style="position:absolute" from="6773,6666" to="6758,6654" stroked="true" strokeweight=".12pt" strokecolor="#000000"/>
            <v:line style="position:absolute" from="6562,6455" to="6554,6447" stroked="true" strokeweight=".12pt" strokecolor="#000000"/>
            <v:line style="position:absolute" from="6986,6666" to="6972,6654" stroked="true" strokeweight=".12pt" strokecolor="#000000"/>
            <v:line style="position:absolute" from="6775,6455" to="6758,6440" stroked="true" strokeweight=".12pt" strokecolor="#000000"/>
            <v:line style="position:absolute" from="7200,6666" to="7186,6654" stroked="true" strokeweight=".12pt" strokecolor="#000000"/>
            <v:line style="position:absolute" from="6989,6455" to="6972,6440" stroked="true" strokeweight=".12pt" strokecolor="#000000"/>
            <v:line style="position:absolute" from="7202,6455" to="7186,6440" stroked="true" strokeweight=".12pt" strokecolor="#000000"/>
            <v:line style="position:absolute" from="6571,6584" to="6528,6579" stroked="true" strokeweight=".12pt" strokecolor="#000000"/>
            <v:line style="position:absolute" from="6785,6584" to="6742,6579" stroked="true" strokeweight=".12pt" strokecolor="#000000"/>
            <v:line style="position:absolute" from="6998,6584" to="6955,6579" stroked="true" strokeweight=".12pt" strokecolor="#000000"/>
            <v:line style="position:absolute" from="7212,6584" to="7169,6579" stroked="true" strokeweight=".12pt" strokecolor="#000000"/>
            <v:line style="position:absolute" from="7291,6565" to="7272,6587" stroked="true" strokeweight=".12pt" strokecolor="#000000"/>
            <v:line style="position:absolute" from="7078,6565" to="7058,6587" stroked="true" strokeweight=".12pt" strokecolor="#000000"/>
            <v:line style="position:absolute" from="6864,6565" to="6845,6587" stroked="true" strokeweight=".12pt" strokecolor="#000000"/>
            <v:line style="position:absolute" from="6650,6565" to="6631,6587" stroked="true" strokeweight=".12pt" strokecolor="#000000"/>
            <v:line style="position:absolute" from="6437,6565" to="6418,6587" stroked="true" strokeweight=".12pt" strokecolor="#000000"/>
            <v:line style="position:absolute" from="7279,6539" to="7265,6546" stroked="true" strokeweight=".12pt" strokecolor="#000000"/>
            <v:line style="position:absolute" from="7066,6539" to="7051,6546" stroked="true" strokeweight=".12pt" strokecolor="#000000"/>
            <v:line style="position:absolute" from="6852,6539" to="6838,6546" stroked="true" strokeweight=".12pt" strokecolor="#000000"/>
            <v:line style="position:absolute" from="6638,6539" to="6624,6546" stroked="true" strokeweight=".12pt" strokecolor="#000000"/>
            <v:line style="position:absolute" from="6422,6541" to="6410,6546" stroked="true" strokeweight=".12pt" strokecolor="#000000"/>
            <v:line style="position:absolute" from="7279,6378" to="7286,6399" stroked="true" strokeweight=".12pt" strokecolor="#000000"/>
            <v:line style="position:absolute" from="7279,6591" to="7286,6613" stroked="true" strokeweight=".12pt" strokecolor="#000000"/>
            <v:line style="position:absolute" from="7072,6398" to="7074,6398" stroked="true" strokeweight=".12pt" strokecolor="#000000"/>
            <v:line style="position:absolute" from="7066,6591" to="7073,6613" stroked="true" strokeweight=".12pt" strokecolor="#000000"/>
            <v:line style="position:absolute" from="6852,6591" to="6859,6613" stroked="true" strokeweight=".12pt" strokecolor="#000000"/>
            <v:line style="position:absolute" from="6638,6591" to="6646,6613" stroked="true" strokeweight=".12pt" strokecolor="#000000"/>
            <v:line style="position:absolute" from="6425,6591" to="6432,6613" stroked="true" strokeweight=".12pt" strokecolor="#000000"/>
            <v:line style="position:absolute" from="6420,6565" to="6451,6546" stroked="true" strokeweight=".12pt" strokecolor="#000000"/>
            <v:line style="position:absolute" from="6634,6565" to="6665,6546" stroked="true" strokeweight=".12pt" strokecolor="#000000"/>
            <v:line style="position:absolute" from="6847,6565" to="6878,6546" stroked="true" strokeweight=".12pt" strokecolor="#000000"/>
            <v:line style="position:absolute" from="7061,6565" to="7092,6546" stroked="true" strokeweight=".12pt" strokecolor="#000000"/>
            <v:line style="position:absolute" from="7274,6565" to="7306,6546" stroked="true" strokeweight=".12pt" strokecolor="#000000"/>
            <v:line style="position:absolute" from="6451,6548" to="6427,6541" stroked="true" strokeweight=".12pt" strokecolor="#000000"/>
            <v:line style="position:absolute" from="6665,6548" to="6638,6539" stroked="true" strokeweight=".12pt" strokecolor="#000000"/>
            <v:line style="position:absolute" from="6878,6548" to="6852,6539" stroked="true" strokeweight=".12pt" strokecolor="#000000"/>
            <v:line style="position:absolute" from="7092,6548" to="7066,6539" stroked="true" strokeweight=".12pt" strokecolor="#000000"/>
            <v:line style="position:absolute" from="7306,6548" to="7279,6539" stroked="true" strokeweight=".12pt" strokecolor="#000000"/>
            <v:line style="position:absolute" from="6516,6543" to="6523,6541" stroked="true" strokeweight=".12pt" strokecolor="#000000"/>
            <v:line style="position:absolute" from="6542,6534" to="6552,6531" stroked="true" strokeweight=".12pt" strokecolor="#000000"/>
            <v:line style="position:absolute" from="6730,6543" to="6766,6531" stroked="true" strokeweight=".12pt" strokecolor="#000000"/>
            <v:line style="position:absolute" from="6943,6543" to="6979,6531" stroked="true" strokeweight=".12pt" strokecolor="#000000"/>
            <v:line style="position:absolute" from="7157,6543" to="7193,6531" stroked="true" strokeweight=".12pt" strokecolor="#000000"/>
            <v:line style="position:absolute" from="6485,6666" to="6492,6644" stroked="true" strokeweight=".12pt" strokecolor="#000000"/>
            <v:line style="position:absolute" from="6696,6459" to="6706,6433" stroked="true" strokeweight=".12pt" strokecolor="#000000"/>
            <v:line style="position:absolute" from="6698,6666" to="6706,6644" stroked="true" strokeweight=".12pt" strokecolor="#000000"/>
            <v:line style="position:absolute" from="6910,6459" to="6919,6431" stroked="true" strokeweight=".12pt" strokecolor="#000000"/>
            <v:line style="position:absolute" from="6912,6666" to="6919,6644" stroked="true" strokeweight=".12pt" strokecolor="#000000"/>
            <v:line style="position:absolute" from="7123,6459" to="7133,6431" stroked="true" strokeweight=".12pt" strokecolor="#000000"/>
            <v:line style="position:absolute" from="7126,6666" to="7133,6644" stroked="true" strokeweight=".12pt" strokecolor="#000000"/>
            <v:line style="position:absolute" from="7258,6407" to="7270,6438" stroked="true" strokeweight=".12pt" strokecolor="#000000"/>
            <v:line style="position:absolute" from="7258,6620" to="7270,6651" stroked="true" strokeweight=".12pt" strokecolor="#000000"/>
            <v:line style="position:absolute" from="7044,6407" to="7056,6438" stroked="true" strokeweight=".12pt" strokecolor="#000000"/>
            <v:line style="position:absolute" from="7044,6620" to="7056,6651" stroked="true" strokeweight=".12pt" strokecolor="#000000"/>
            <v:line style="position:absolute" from="6835,6419" to="6842,6438" stroked="true" strokeweight=".12pt" strokecolor="#000000"/>
            <v:line style="position:absolute" from="6830,6620" to="6842,6651" stroked="true" strokeweight=".12pt" strokecolor="#000000"/>
            <v:line style="position:absolute" from="6617,6620" to="6629,6651" stroked="true" strokeweight=".12pt" strokecolor="#000000"/>
            <v:line style="position:absolute" from="6406,6627" to="6415,6651" stroked="true" strokeweight=".12pt" strokecolor="#000000"/>
            <v:line style="position:absolute" from="7214,6507" to="7250,6517" stroked="true" strokeweight=".12pt" strokecolor="#000000"/>
            <v:line style="position:absolute" from="7001,6507" to="7037,6517" stroked="true" strokeweight=".12pt" strokecolor="#000000"/>
            <v:line style="position:absolute" from="6787,6507" to="6823,6517" stroked="true" strokeweight=".12pt" strokecolor="#000000"/>
            <v:line style="position:absolute" from="6574,6507" to="6610,6517" stroked="true" strokeweight=".12pt" strokecolor="#000000"/>
            <v:line style="position:absolute" from="7279,6438" to="7313,6450" stroked="true" strokeweight=".12pt" strokecolor="#000000"/>
            <v:line style="position:absolute" from="7066,6438" to="7099,6450" stroked="true" strokeweight=".12pt" strokecolor="#000000"/>
            <v:line style="position:absolute" from="6852,6438" to="6886,6450" stroked="true" strokeweight=".12pt" strokecolor="#000000"/>
            <v:line style="position:absolute" from="7279,6651" to="7313,6663" stroked="true" strokeweight=".12pt" strokecolor="#000000"/>
            <v:line style="position:absolute" from="6641,6440" to="6672,6450" stroked="true" strokeweight=".12pt" strokecolor="#000000"/>
            <v:line style="position:absolute" from="7066,6651" to="7099,6663" stroked="true" strokeweight=".12pt" strokecolor="#000000"/>
            <v:line style="position:absolute" from="6852,6651" to="6886,6663" stroked="true" strokeweight=".12pt" strokecolor="#000000"/>
            <v:line style="position:absolute" from="6638,6651" to="6672,6663" stroked="true" strokeweight=".12pt" strokecolor="#000000"/>
            <v:line style="position:absolute" from="6425,6651" to="6458,6663" stroked="true" strokeweight=".12pt" strokecolor="#000000"/>
            <v:line style="position:absolute" from="7241,6414" to="7253,6443" stroked="true" strokeweight=".12pt" strokecolor="#000000"/>
            <v:line style="position:absolute" from="7241,6627" to="7253,6656" stroked="true" strokeweight=".12pt" strokecolor="#000000"/>
            <v:line style="position:absolute" from="7027,6414" to="7039,6443" stroked="true" strokeweight=".12pt" strokecolor="#000000"/>
            <v:line style="position:absolute" from="7027,6627" to="7039,6656" stroked="true" strokeweight=".12pt" strokecolor="#000000"/>
            <v:line style="position:absolute" from="6816,6421" to="6826,6443" stroked="true" strokeweight=".12pt" strokecolor="#000000"/>
            <v:line style="position:absolute" from="6814,6627" to="6826,6656" stroked="true" strokeweight=".12pt" strokecolor="#000000"/>
            <v:line style="position:absolute" from="6600,6627" to="6612,6656" stroked="true" strokeweight=".12pt" strokecolor="#000000"/>
            <v:line style="position:absolute" from="6420,6575" to="6432,6543" stroked="true" strokeweight=".12pt" strokecolor="#000000"/>
            <v:line style="position:absolute" from="6634,6575" to="6646,6543" stroked="true" strokeweight=".12pt" strokecolor="#000000"/>
            <v:line style="position:absolute" from="6847,6575" to="6859,6543" stroked="true" strokeweight=".12pt" strokecolor="#000000"/>
            <v:line style="position:absolute" from="7061,6575" to="7073,6543" stroked="true" strokeweight=".12pt" strokecolor="#000000"/>
            <v:line style="position:absolute" from="7274,6575" to="7286,6543" stroked="true" strokeweight=".12pt" strokecolor="#000000"/>
            <v:line style="position:absolute" from="6691,6471" to="6725,6462" stroked="true" strokeweight=".12pt" strokecolor="#000000"/>
            <v:line style="position:absolute" from="6905,6471" to="6938,6462" stroked="true" strokeweight=".12pt" strokecolor="#000000"/>
            <v:line style="position:absolute" from="7118,6471" to="7152,6462" stroked="true" strokeweight=".12pt" strokecolor="#000000"/>
            <v:line style="position:absolute" from="6545,6543" to="6550,6527" stroked="true" strokeweight=".12pt" strokecolor="#000000"/>
            <v:line style="position:absolute" from="6758,6543" to="6763,6527" stroked="true" strokeweight=".12pt" strokecolor="#000000"/>
            <v:line style="position:absolute" from="6972,6543" to="6977,6527" stroked="true" strokeweight=".12pt" strokecolor="#000000"/>
            <v:line style="position:absolute" from="7186,6543" to="7190,6527" stroked="true" strokeweight=".12pt" strokecolor="#000000"/>
            <v:line style="position:absolute" from="6425,6644" to="6422,6635" stroked="true" strokeweight=".12pt" strokecolor="#000000"/>
            <v:line style="position:absolute" from="6638,6644" to="6636,6635" stroked="true" strokeweight=".12pt" strokecolor="#000000"/>
            <v:line style="position:absolute" from="6852,6644" to="6850,6635" stroked="true" strokeweight=".12pt" strokecolor="#000000"/>
            <v:line style="position:absolute" from="6852,6431" to="6850,6421" stroked="true" strokeweight=".12pt" strokecolor="#000000"/>
            <v:line style="position:absolute" from="7066,6644" to="7063,6635" stroked="true" strokeweight=".12pt" strokecolor="#000000"/>
            <v:line style="position:absolute" from="7066,6431" to="7063,6421" stroked="true" strokeweight=".12pt" strokecolor="#000000"/>
            <v:line style="position:absolute" from="7279,6644" to="7277,6635" stroked="true" strokeweight=".12pt" strokecolor="#000000"/>
            <v:line style="position:absolute" from="7279,6431" to="7277,6421" stroked="true" strokeweight=".12pt" strokecolor="#000000"/>
            <v:line style="position:absolute" from="6643,6493" to="6600,6481" stroked="true" strokeweight=".12pt" strokecolor="#000000"/>
            <v:line style="position:absolute" from="6857,6493" to="6814,6481" stroked="true" strokeweight=".12pt" strokecolor="#000000"/>
            <v:line style="position:absolute" from="7070,6493" to="7027,6481" stroked="true" strokeweight=".12pt" strokecolor="#000000"/>
            <v:line style="position:absolute" from="7284,6493" to="7241,6481" stroked="true" strokeweight=".12pt" strokecolor="#000000"/>
            <v:line style="position:absolute" from="7152,6474" to="7114,6476" stroked="true" strokeweight=".12pt" strokecolor="#000000"/>
            <v:line style="position:absolute" from="6938,6474" to="6900,6476" stroked="true" strokeweight=".12pt" strokecolor="#000000"/>
            <v:line style="position:absolute" from="6725,6474" to="6686,6476" stroked="true" strokeweight=".12pt" strokecolor="#000000"/>
            <v:line style="position:absolute" from="7277,6380" to="7294,6407" stroked="true" strokeweight=".12pt" strokecolor="#000000"/>
            <v:line style="position:absolute" from="7277,6594" to="7294,6620" stroked="true" strokeweight=".12pt" strokecolor="#000000"/>
            <v:line style="position:absolute" from="7073,6397" to="7080,6407" stroked="true" strokeweight=".12pt" strokecolor="#000000"/>
            <v:line style="position:absolute" from="7063,6594" to="7080,6620" stroked="true" strokeweight=".12pt" strokecolor="#000000"/>
            <v:line style="position:absolute" from="6850,6594" to="6866,6620" stroked="true" strokeweight=".12pt" strokecolor="#000000"/>
            <v:line style="position:absolute" from="6636,6594" to="6653,6620" stroked="true" strokeweight=".12pt" strokecolor="#000000"/>
            <v:line style="position:absolute" from="6422,6594" to="6439,6620" stroked="true" strokeweight=".12pt" strokecolor="#000000"/>
            <v:line style="position:absolute" from="7200,6416" to="7253,6421" stroked="true" strokeweight=".12pt" strokecolor="#000000"/>
            <v:line style="position:absolute" from="6986,6416" to="7039,6421" stroked="true" strokeweight=".12pt" strokecolor="#000000"/>
            <v:line style="position:absolute" from="6821,6421" to="6826,6421" stroked="true" strokeweight=".12pt" strokecolor="#000000"/>
            <v:line style="position:absolute" from="7200,6630" to="7253,6635" stroked="true" strokeweight=".12pt" strokecolor="#000000"/>
            <v:line style="position:absolute" from="6986,6630" to="7039,6635" stroked="true" strokeweight=".12pt" strokecolor="#000000"/>
            <v:line style="position:absolute" from="6773,6630" to="6826,6635" stroked="true" strokeweight=".12pt" strokecolor="#000000"/>
            <v:line style="position:absolute" from="6559,6630" to="6612,6635" stroked="true" strokeweight=".12pt" strokecolor="#000000"/>
            <v:line style="position:absolute" from="6638,6524" to="6650,6505" stroked="true" strokeweight=".12pt" strokecolor="#000000"/>
            <v:line style="position:absolute" from="6852,6524" to="6864,6505" stroked="true" strokeweight=".12pt" strokecolor="#000000"/>
            <v:line style="position:absolute" from="7066,6524" to="7078,6505" stroked="true" strokeweight=".12pt" strokecolor="#000000"/>
            <v:line style="position:absolute" from="7279,6524" to="7291,6505" stroked="true" strokeweight=".12pt" strokecolor="#000000"/>
            <v:line style="position:absolute" from="6499,6599" to="6499,6587" stroked="true" strokeweight=".12pt" strokecolor="#000000"/>
            <v:line style="position:absolute" from="6713,6599" to="6713,6587" stroked="true" strokeweight=".12pt" strokecolor="#000000"/>
            <v:line style="position:absolute" from="6926,6599" to="6926,6587" stroked="true" strokeweight=".12pt" strokecolor="#000000"/>
            <v:line style="position:absolute" from="7140,6599" to="7140,6587" stroked="true" strokeweight=".12pt" strokecolor="#000000"/>
            <v:line style="position:absolute" from="6593,6666" to="6578,6639" stroked="true" strokeweight=".12pt" strokecolor="#000000"/>
            <v:line style="position:absolute" from="6593,6452" to="6588,6445" stroked="true" strokeweight=".12pt" strokecolor="#000000"/>
            <v:line style="position:absolute" from="6806,6666" to="6792,6639" stroked="true" strokeweight=".12pt" strokecolor="#000000"/>
            <v:line style="position:absolute" from="6806,6452" to="6792,6426" stroked="true" strokeweight=".12pt" strokecolor="#000000"/>
            <v:line style="position:absolute" from="7020,6666" to="7006,6639" stroked="true" strokeweight=".12pt" strokecolor="#000000"/>
            <v:line style="position:absolute" from="7020,6452" to="7006,6426" stroked="true" strokeweight=".12pt" strokecolor="#000000"/>
            <v:line style="position:absolute" from="7234,6666" to="7219,6639" stroked="true" strokeweight=".12pt" strokecolor="#000000"/>
            <v:line style="position:absolute" from="7234,6452" to="7219,6426" stroked="true" strokeweight=".12pt" strokecolor="#000000"/>
            <v:line style="position:absolute" from="6406,6627" to="6415,6618" stroked="true" strokeweight=".12pt" strokecolor="#000000"/>
            <v:line style="position:absolute" from="6590,6447" to="6593,6445" stroked="true" strokeweight=".12pt" strokecolor="#000000"/>
            <v:line style="position:absolute" from="6590,6661" to="6629,6618" stroked="true" strokeweight=".12pt" strokecolor="#000000"/>
            <v:line style="position:absolute" from="6804,6447" to="6828,6421" stroked="true" strokeweight=".12pt" strokecolor="#000000"/>
            <v:line style="position:absolute" from="6804,6661" to="6842,6618" stroked="true" strokeweight=".12pt" strokecolor="#000000"/>
            <v:line style="position:absolute" from="7018,6447" to="7056,6404" stroked="true" strokeweight=".12pt" strokecolor="#000000"/>
            <v:line style="position:absolute" from="7018,6661" to="7056,6618" stroked="true" strokeweight=".12pt" strokecolor="#000000"/>
            <v:line style="position:absolute" from="7231,6447" to="7270,6404" stroked="true" strokeweight=".12pt" strokecolor="#000000"/>
            <v:line style="position:absolute" from="7231,6661" to="7270,6618" stroked="true" strokeweight=".12pt" strokecolor="#000000"/>
            <v:line style="position:absolute" from="7054,6409" to="7109,6409" stroked="true" strokeweight=".12pt" strokecolor="#000000"/>
            <v:line style="position:absolute" from="7267,6409" to="7320,6409" stroked="true" strokeweight=".12pt" strokecolor="#000000"/>
            <v:line style="position:absolute" from="6413,6623" to="6468,6623" stroked="true" strokeweight=".12pt" strokecolor="#000000"/>
            <v:line style="position:absolute" from="6626,6623" to="6682,6623" stroked="true" strokeweight=".12pt" strokecolor="#000000"/>
            <v:line style="position:absolute" from="6840,6623" to="6895,6623" stroked="true" strokeweight=".12pt" strokecolor="#000000"/>
            <v:line style="position:absolute" from="7054,6623" to="7109,6623" stroked="true" strokeweight=".12pt" strokecolor="#000000"/>
            <v:line style="position:absolute" from="7267,6623" to="7320,6623" stroked="true" strokeweight=".12pt" strokecolor="#000000"/>
            <v:line style="position:absolute" from="7210,6471" to="7236,6491" stroked="true" strokeweight=".12pt" strokecolor="#000000"/>
            <v:line style="position:absolute" from="6996,6471" to="7022,6491" stroked="true" strokeweight=".12pt" strokecolor="#000000"/>
            <v:line style="position:absolute" from="6782,6471" to="6809,6491" stroked="true" strokeweight=".12pt" strokecolor="#000000"/>
            <v:line style="position:absolute" from="6569,6471" to="6595,6491" stroked="true" strokeweight=".12pt" strokecolor="#000000"/>
            <v:line style="position:absolute" from="7142,6635" to="7133,6666" stroked="true" strokeweight=".12pt" strokecolor="#000000"/>
            <v:line style="position:absolute" from="7142,6421" to="7133,6450" stroked="true" strokeweight=".12pt" strokecolor="#000000"/>
            <v:line style="position:absolute" from="6929,6635" to="6919,6666" stroked="true" strokeweight=".12pt" strokecolor="#000000"/>
            <v:line style="position:absolute" from="6929,6421" to="6919,6450" stroked="true" strokeweight=".12pt" strokecolor="#000000"/>
            <v:line style="position:absolute" from="6715,6635" to="6706,6666" stroked="true" strokeweight=".12pt" strokecolor="#000000"/>
            <v:line style="position:absolute" from="6713,6433" to="6706,6450" stroked="true" strokeweight=".12pt" strokecolor="#000000"/>
            <v:line style="position:absolute" from="6502,6635" to="6492,6666" stroked="true" strokeweight=".12pt" strokecolor="#000000"/>
            <v:line style="position:absolute" from="7157,6656" to="7138,6666" stroked="true" strokeweight=".12pt" strokecolor="#000000"/>
            <v:line style="position:absolute" from="6943,6656" to="6924,6666" stroked="true" strokeweight=".12pt" strokecolor="#000000"/>
            <v:line style="position:absolute" from="7157,6443" to="7114,6464" stroked="true" strokeweight=".12pt" strokecolor="#000000"/>
            <v:line style="position:absolute" from="6730,6656" to="6710,6666" stroked="true" strokeweight=".12pt" strokecolor="#000000"/>
            <v:line style="position:absolute" from="6943,6443" to="6900,6464" stroked="true" strokeweight=".12pt" strokecolor="#000000"/>
            <v:line style="position:absolute" from="6516,6656" to="6497,6666" stroked="true" strokeweight=".12pt" strokecolor="#000000"/>
            <v:line style="position:absolute" from="6730,6443" to="6686,6464" stroked="true" strokeweight=".12pt" strokecolor="#000000"/>
            <v:line style="position:absolute" from="6578,6491" to="6542,6486" stroked="true" strokeweight=".12pt" strokecolor="#000000"/>
            <v:line style="position:absolute" from="6792,6491" to="6739,6486" stroked="true" strokeweight=".12pt" strokecolor="#000000"/>
            <v:line style="position:absolute" from="7006,6491" to="6953,6486" stroked="true" strokeweight=".12pt" strokecolor="#000000"/>
            <v:line style="position:absolute" from="7219,6491" to="7166,6486" stroked="true" strokeweight=".12pt" strokecolor="#000000"/>
            <v:line style="position:absolute" from="6578,6491" to="6542,6486" stroked="true" strokeweight=".12pt" strokecolor="#000000"/>
            <v:line style="position:absolute" from="6792,6491" to="6739,6486" stroked="true" strokeweight=".12pt" strokecolor="#000000"/>
            <v:line style="position:absolute" from="7006,6491" to="6953,6486" stroked="true" strokeweight=".12pt" strokecolor="#000000"/>
            <v:line style="position:absolute" from="7219,6491" to="7166,6486" stroked="true" strokeweight=".12pt" strokecolor="#000000"/>
            <v:line style="position:absolute" from="7321,5447" to="7321,6666" stroked="true" strokeweight=".179992pt" strokecolor="#000000"/>
            <v:line style="position:absolute" from="5983,6534" to="5964,6555" stroked="true" strokeweight=".12pt" strokecolor="#000000"/>
            <v:line style="position:absolute" from="5770,6534" to="5750,6555" stroked="true" strokeweight=".12pt" strokecolor="#000000"/>
            <v:line style="position:absolute" from="5556,6534" to="5537,6555" stroked="true" strokeweight=".12pt" strokecolor="#000000"/>
            <v:line style="position:absolute" from="5342,6534" to="5323,6555" stroked="true" strokeweight=".12pt" strokecolor="#000000"/>
            <v:line style="position:absolute" from="5129,6534" to="5110,6555" stroked="true" strokeweight=".12pt" strokecolor="#000000"/>
            <v:line style="position:absolute" from="4915,6534" to="4896,6555" stroked="true" strokeweight=".12pt" strokecolor="#000000"/>
            <v:line style="position:absolute" from="5981,6546" to="5959,6548" stroked="true" strokeweight=".12pt" strokecolor="#000000"/>
            <v:line style="position:absolute" from="5796,6543" to="5746,6548" stroked="true" strokeweight=".12pt" strokecolor="#000000"/>
            <v:line style="position:absolute" from="5582,6543" to="5532,6548" stroked="true" strokeweight=".12pt" strokecolor="#000000"/>
            <v:line style="position:absolute" from="5369,6543" to="5318,6548" stroked="true" strokeweight=".12pt" strokecolor="#000000"/>
            <v:line style="position:absolute" from="5155,6543" to="5105,6548" stroked="true" strokeweight=".12pt" strokecolor="#000000"/>
            <v:line style="position:absolute" from="4942,6543" to="4891,6548" stroked="true" strokeweight=".12pt" strokecolor="#000000"/>
            <v:line style="position:absolute" from="4980,6404" to="4966,6387" stroked="true" strokeweight=".12pt" strokecolor="#000000"/>
            <v:line style="position:absolute" from="5861,6479" to="5861,6495" stroked="true" strokeweight=".12pt" strokecolor="#000000"/>
            <v:line style="position:absolute" from="5650,6457" to="5647,6495" stroked="true" strokeweight=".12pt" strokecolor="#000000"/>
            <v:line style="position:absolute" from="5436,6450" to="5434,6495" stroked="true" strokeweight=".12pt" strokecolor="#000000"/>
            <v:line style="position:absolute" from="5222,6450" to="5220,6495" stroked="true" strokeweight=".12pt" strokecolor="#000000"/>
            <v:line style="position:absolute" from="5009,6450" to="5006,6495" stroked="true" strokeweight=".12pt" strokecolor="#000000"/>
            <v:line style="position:absolute" from="5122,6404" to="5126,6414" stroked="true" strokeweight=".12pt" strokecolor="#000000"/>
            <v:line style="position:absolute" from="4898,6383" to="4913,6414" stroked="true" strokeweight=".12pt" strokecolor="#000000"/>
            <v:line style="position:absolute" from="5597,6455" to="5642,6457" stroked="true" strokeweight=".12pt" strokecolor="#000000"/>
            <v:line style="position:absolute" from="5383,6455" to="5429,6457" stroked="true" strokeweight=".12pt" strokecolor="#000000"/>
            <v:line style="position:absolute" from="5170,6455" to="5215,6457" stroked="true" strokeweight=".12pt" strokecolor="#000000"/>
            <v:line style="position:absolute" from="4956,6455" to="5002,6457" stroked="true" strokeweight=".12pt" strokecolor="#000000"/>
            <v:line style="position:absolute" from="4879,6443" to="4927,6407" stroked="true" strokeweight=".12pt" strokecolor="#000000"/>
            <v:line style="position:absolute" from="5093,6443" to="5141,6407" stroked="true" strokeweight=".12pt" strokecolor="#000000"/>
            <v:line style="position:absolute" from="5306,6443" to="5330,6423" stroked="true" strokeweight=".12pt" strokecolor="#000000"/>
            <v:line style="position:absolute" from="4930,6546" to="4946,6491" stroked="true" strokeweight=".12pt" strokecolor="#000000"/>
            <v:line style="position:absolute" from="5143,6546" to="5160,6491" stroked="true" strokeweight=".12pt" strokecolor="#000000"/>
            <v:line style="position:absolute" from="5357,6546" to="5374,6491" stroked="true" strokeweight=".12pt" strokecolor="#000000"/>
            <v:line style="position:absolute" from="5570,6546" to="5587,6491" stroked="true" strokeweight=".12pt" strokecolor="#000000"/>
            <v:line style="position:absolute" from="5784,6546" to="5801,6491" stroked="true" strokeweight=".12pt" strokecolor="#000000"/>
            <v:line style="position:absolute" from="4918,6565" to="4913,6555" stroked="true" strokeweight=".12pt" strokecolor="#000000"/>
            <v:line style="position:absolute" from="5131,6565" to="5126,6555" stroked="true" strokeweight=".12pt" strokecolor="#000000"/>
            <v:line style="position:absolute" from="5345,6565" to="5340,6555" stroked="true" strokeweight=".12pt" strokecolor="#000000"/>
            <v:line style="position:absolute" from="5558,6565" to="5554,6555" stroked="true" strokeweight=".12pt" strokecolor="#000000"/>
            <v:line style="position:absolute" from="5772,6565" to="5767,6555" stroked="true" strokeweight=".12pt" strokecolor="#000000"/>
            <v:line style="position:absolute" from="4870,6546" to="4817,6541" stroked="true" strokeweight=".12pt" strokecolor="#000000"/>
            <v:line style="position:absolute" from="5083,6546" to="5030,6541" stroked="true" strokeweight=".12pt" strokecolor="#000000"/>
            <v:line style="position:absolute" from="5297,6546" to="5244,6541" stroked="true" strokeweight=".12pt" strokecolor="#000000"/>
            <v:line style="position:absolute" from="5510,6546" to="5458,6541" stroked="true" strokeweight=".12pt" strokecolor="#000000"/>
            <v:line style="position:absolute" from="5724,6546" to="5671,6541" stroked="true" strokeweight=".12pt" strokecolor="#000000"/>
            <v:line style="position:absolute" from="5938,6546" to="5885,6541" stroked="true" strokeweight=".12pt" strokecolor="#000000"/>
            <v:line style="position:absolute" from="5772,6469" to="5762,6479" stroked="true" strokeweight=".12pt" strokecolor="#000000"/>
            <v:line style="position:absolute" from="5580,6450" to="5549,6479" stroked="true" strokeweight=".12pt" strokecolor="#000000"/>
            <v:line style="position:absolute" from="5386,6433" to="5335,6479" stroked="true" strokeweight=".12pt" strokecolor="#000000"/>
            <v:line style="position:absolute" from="5170,6433" to="5122,6479" stroked="true" strokeweight=".12pt" strokecolor="#000000"/>
            <v:line style="position:absolute" from="4956,6433" to="4908,6479" stroked="true" strokeweight=".12pt" strokecolor="#000000"/>
            <v:line style="position:absolute" from="4853,6457" to="4836,6440" stroked="true" strokeweight=".12pt" strokecolor="#000000"/>
            <v:line style="position:absolute" from="5066,6455" to="5050,6440" stroked="true" strokeweight=".12pt" strokecolor="#000000"/>
            <v:line style="position:absolute" from="5280,6455" to="5263,6440" stroked="true" strokeweight=".12pt" strokecolor="#000000"/>
            <v:line style="position:absolute" from="5494,6455" to="5477,6440" stroked="true" strokeweight=".12pt" strokecolor="#000000"/>
            <v:line style="position:absolute" from="5784,6539" to="5770,6546" stroked="true" strokeweight=".12pt" strokecolor="#000000"/>
            <v:line style="position:absolute" from="5570,6539" to="5556,6546" stroked="true" strokeweight=".12pt" strokecolor="#000000"/>
            <v:line style="position:absolute" from="5357,6539" to="5342,6546" stroked="true" strokeweight=".12pt" strokecolor="#000000"/>
            <v:line style="position:absolute" from="5143,6539" to="5129,6546" stroked="true" strokeweight=".12pt" strokecolor="#000000"/>
            <v:line style="position:absolute" from="4930,6539" to="4915,6546" stroked="true" strokeweight=".12pt" strokecolor="#000000"/>
            <v:line style="position:absolute" from="4932,6385" to="4937,6399" stroked="true" strokeweight=".12pt" strokecolor="#000000"/>
            <v:line style="position:absolute" from="4925,6565" to="4956,6546" stroked="true" strokeweight=".12pt" strokecolor="#000000"/>
            <v:line style="position:absolute" from="5138,6565" to="5170,6546" stroked="true" strokeweight=".12pt" strokecolor="#000000"/>
            <v:line style="position:absolute" from="5352,6565" to="5383,6546" stroked="true" strokeweight=".12pt" strokecolor="#000000"/>
            <v:line style="position:absolute" from="5566,6565" to="5597,6546" stroked="true" strokeweight=".12pt" strokecolor="#000000"/>
            <v:line style="position:absolute" from="5779,6565" to="5810,6546" stroked="true" strokeweight=".12pt" strokecolor="#000000"/>
            <v:line style="position:absolute" from="4954,6548" to="4930,6539" stroked="true" strokeweight=".12pt" strokecolor="#000000"/>
            <v:line style="position:absolute" from="5167,6548" to="5143,6539" stroked="true" strokeweight=".12pt" strokecolor="#000000"/>
            <v:line style="position:absolute" from="5381,6548" to="5357,6539" stroked="true" strokeweight=".12pt" strokecolor="#000000"/>
            <v:line style="position:absolute" from="5594,6548" to="5570,6539" stroked="true" strokeweight=".12pt" strokecolor="#000000"/>
            <v:line style="position:absolute" from="5808,6548" to="5784,6539" stroked="true" strokeweight=".12pt" strokecolor="#000000"/>
            <v:line style="position:absolute" from="4807,6541" to="4843,6531" stroked="true" strokeweight=".12pt" strokecolor="#000000"/>
            <v:line style="position:absolute" from="5021,6541" to="5057,6531" stroked="true" strokeweight=".12pt" strokecolor="#000000"/>
            <v:line style="position:absolute" from="5234,6543" to="5270,6531" stroked="true" strokeweight=".12pt" strokecolor="#000000"/>
            <v:line style="position:absolute" from="5448,6543" to="5484,6531" stroked="true" strokeweight=".12pt" strokecolor="#000000"/>
            <v:line style="position:absolute" from="5662,6543" to="5698,6531" stroked="true" strokeweight=".12pt" strokecolor="#000000"/>
            <v:line style="position:absolute" from="5875,6543" to="5911,6531" stroked="true" strokeweight=".12pt" strokecolor="#000000"/>
            <v:line style="position:absolute" from="4985,6459" to="4997,6428" stroked="true" strokeweight=".12pt" strokecolor="#000000"/>
            <v:line style="position:absolute" from="5198,6459" to="5210,6428" stroked="true" strokeweight=".12pt" strokecolor="#000000"/>
            <v:line style="position:absolute" from="5414,6459" to="5422,6433" stroked="true" strokeweight=".12pt" strokecolor="#000000"/>
            <v:line style="position:absolute" from="5627,6457" to="5629,6457" stroked="true" strokeweight=".24pt" strokecolor="#000000"/>
            <v:line style="position:absolute" from="5342,6426" to="5347,6438" stroked="true" strokeweight=".12pt" strokecolor="#000000"/>
            <v:line style="position:absolute" from="5122,6407" to="5134,6438" stroked="true" strokeweight=".12pt" strokecolor="#000000"/>
            <v:line style="position:absolute" from="4908,6407" to="4920,6438" stroked="true" strokeweight=".12pt" strokecolor="#000000"/>
            <v:line style="position:absolute" from="5933,6507" to="5969,6517" stroked="true" strokeweight=".12pt" strokecolor="#000000"/>
            <v:line style="position:absolute" from="5719,6507" to="5755,6517" stroked="true" strokeweight=".12pt" strokecolor="#000000"/>
            <v:line style="position:absolute" from="5506,6507" to="5542,6517" stroked="true" strokeweight=".12pt" strokecolor="#000000"/>
            <v:line style="position:absolute" from="5292,6507" to="5328,6517" stroked="true" strokeweight=".12pt" strokecolor="#000000"/>
            <v:line style="position:absolute" from="5078,6507" to="5114,6517" stroked="true" strokeweight=".12pt" strokecolor="#000000"/>
            <v:line style="position:absolute" from="4865,6507" to="4901,6517" stroked="true" strokeweight=".12pt" strokecolor="#000000"/>
            <v:line style="position:absolute" from="5357,6438" to="5390,6450" stroked="true" strokeweight=".12pt" strokecolor="#000000"/>
            <v:line style="position:absolute" from="5143,6438" to="5177,6450" stroked="true" strokeweight=".12pt" strokecolor="#000000"/>
            <v:line style="position:absolute" from="4930,6438" to="4963,6450" stroked="true" strokeweight=".12pt" strokecolor="#000000"/>
            <v:line style="position:absolute" from="5323,6423" to="5330,6443" stroked="true" strokeweight=".12pt" strokecolor="#000000"/>
            <v:line style="position:absolute" from="5105,6414" to="5117,6443" stroked="true" strokeweight=".12pt" strokecolor="#000000"/>
            <v:line style="position:absolute" from="4891,6414" to="4903,6443" stroked="true" strokeweight=".12pt" strokecolor="#000000"/>
            <v:line style="position:absolute" from="4927,6565" to="4937,6543" stroked="true" strokeweight=".12pt" strokecolor="#000000"/>
            <v:line style="position:absolute" from="5141,6565" to="5150,6543" stroked="true" strokeweight=".12pt" strokecolor="#000000"/>
            <v:line style="position:absolute" from="5354,6565" to="5364,6543" stroked="true" strokeweight=".12pt" strokecolor="#000000"/>
            <v:line style="position:absolute" from="5568,6565" to="5578,6543" stroked="true" strokeweight=".12pt" strokecolor="#000000"/>
            <v:line style="position:absolute" from="5782,6565" to="5791,6543" stroked="true" strokeweight=".12pt" strokecolor="#000000"/>
            <v:line style="position:absolute" from="4982,6471" to="5016,6462" stroked="true" strokeweight=".12pt" strokecolor="#000000"/>
            <v:line style="position:absolute" from="5196,6471" to="5230,6462" stroked="true" strokeweight=".12pt" strokecolor="#000000"/>
            <v:line style="position:absolute" from="5410,6471" to="5443,6462" stroked="true" strokeweight=".12pt" strokecolor="#000000"/>
            <v:line style="position:absolute" from="5623,6471" to="5657,6462" stroked="true" strokeweight=".12pt" strokecolor="#000000"/>
            <v:line style="position:absolute" from="4836,6543" to="4841,6527" stroked="true" strokeweight=".12pt" strokecolor="#000000"/>
            <v:line style="position:absolute" from="5050,6543" to="5054,6527" stroked="true" strokeweight=".12pt" strokecolor="#000000"/>
            <v:line style="position:absolute" from="5263,6543" to="5268,6527" stroked="true" strokeweight=".12pt" strokecolor="#000000"/>
            <v:line style="position:absolute" from="5477,6543" to="5482,6527" stroked="true" strokeweight=".12pt" strokecolor="#000000"/>
            <v:line style="position:absolute" from="5690,6543" to="5695,6527" stroked="true" strokeweight=".12pt" strokecolor="#000000"/>
            <v:line style="position:absolute" from="5904,6543" to="5909,6527" stroked="true" strokeweight=".12pt" strokecolor="#000000"/>
            <v:line style="position:absolute" from="4930,6431" to="4927,6421" stroked="true" strokeweight=".12pt" strokecolor="#000000"/>
            <v:line style="position:absolute" from="5143,6431" to="5141,6421" stroked="true" strokeweight=".12pt" strokecolor="#000000"/>
            <v:line style="position:absolute" from="5357,6431" to="5354,6428" stroked="true" strokeweight=".12pt" strokecolor="#000000"/>
            <v:line style="position:absolute" from="4934,6493" to="4891,6481" stroked="true" strokeweight=".12pt" strokecolor="#000000"/>
            <v:line style="position:absolute" from="5148,6493" to="5105,6481" stroked="true" strokeweight=".12pt" strokecolor="#000000"/>
            <v:line style="position:absolute" from="5362,6493" to="5318,6481" stroked="true" strokeweight=".12pt" strokecolor="#000000"/>
            <v:line style="position:absolute" from="5575,6493" to="5532,6481" stroked="true" strokeweight=".12pt" strokecolor="#000000"/>
            <v:line style="position:absolute" from="5789,6493" to="5746,6481" stroked="true" strokeweight=".12pt" strokecolor="#000000"/>
            <v:line style="position:absolute" from="5844,6476" to="5832,6476" stroked="true" strokeweight=".12pt" strokecolor="#000000"/>
            <v:line style="position:absolute" from="5657,6474" to="5616,6476" stroked="true" strokeweight=".12pt" strokecolor="#000000"/>
            <v:line style="position:absolute" from="5443,6474" to="5402,6476" stroked="true" strokeweight=".12pt" strokecolor="#000000"/>
            <v:line style="position:absolute" from="5230,6474" to="5189,6476" stroked="true" strokeweight=".12pt" strokecolor="#000000"/>
            <v:line style="position:absolute" from="5016,6474" to="4975,6476" stroked="true" strokeweight=".12pt" strokecolor="#000000"/>
            <v:line style="position:absolute" from="4930,6385" to="4944,6407" stroked="true" strokeweight=".12pt" strokecolor="#000000"/>
            <v:line style="position:absolute" from="5064,6416" to="5117,6421" stroked="true" strokeweight=".12pt" strokecolor="#000000"/>
            <v:line style="position:absolute" from="4850,6416" to="4903,6421" stroked="true" strokeweight=".12pt" strokecolor="#000000"/>
            <v:line style="position:absolute" from="4930,6524" to="4942,6505" stroked="true" strokeweight=".12pt" strokecolor="#000000"/>
            <v:line style="position:absolute" from="5143,6524" to="5155,6505" stroked="true" strokeweight=".12pt" strokecolor="#000000"/>
            <v:line style="position:absolute" from="5357,6524" to="5369,6505" stroked="true" strokeweight=".12pt" strokecolor="#000000"/>
            <v:line style="position:absolute" from="5570,6524" to="5582,6505" stroked="true" strokeweight=".12pt" strokecolor="#000000"/>
            <v:line style="position:absolute" from="5784,6524" to="5796,6505" stroked="true" strokeweight=".12pt" strokecolor="#000000"/>
            <v:line style="position:absolute" from="4884,6452" to="4870,6426" stroked="true" strokeweight=".12pt" strokecolor="#000000"/>
            <v:line style="position:absolute" from="5098,6452" to="5083,6426" stroked="true" strokeweight=".12pt" strokecolor="#000000"/>
            <v:line style="position:absolute" from="5311,6452" to="5297,6426" stroked="true" strokeweight=".12pt" strokecolor="#000000"/>
            <v:line style="position:absolute" from="5525,6452" to="5520,6443" stroked="true" strokeweight=".12pt" strokecolor="#000000"/>
            <v:line style="position:absolute" from="4882,6447" to="4920,6404" stroked="true" strokeweight=".12pt" strokecolor="#000000"/>
            <v:line style="position:absolute" from="5095,6447" to="5134,6404" stroked="true" strokeweight=".12pt" strokecolor="#000000"/>
            <v:line style="position:absolute" from="5309,6447" to="5328,6423" stroked="true" strokeweight=".12pt" strokecolor="#000000"/>
            <v:line style="position:absolute" from="5522,6447" to="5525,6445" stroked="true" strokeweight=".12pt" strokecolor="#000000"/>
            <v:line style="position:absolute" from="4918,6409" to="4973,6409" stroked="true" strokeweight=".12pt" strokecolor="#000000"/>
            <v:line style="position:absolute" from="5131,6409" to="5174,6409" stroked="true" strokeweight=".12pt" strokecolor="#000000"/>
            <v:line style="position:absolute" from="5950,6486" to="5954,6491" stroked="true" strokeweight=".12pt" strokecolor="#000000"/>
            <v:line style="position:absolute" from="5714,6471" to="5741,6491" stroked="true" strokeweight=".12pt" strokecolor="#000000"/>
            <v:line style="position:absolute" from="5501,6471" to="5527,6491" stroked="true" strokeweight=".12pt" strokecolor="#000000"/>
            <v:line style="position:absolute" from="5287,6471" to="5314,6491" stroked="true" strokeweight=".12pt" strokecolor="#000000"/>
            <v:line style="position:absolute" from="5074,6471" to="5100,6491" stroked="true" strokeweight=".12pt" strokecolor="#000000"/>
            <v:line style="position:absolute" from="4860,6471" to="4886,6491" stroked="true" strokeweight=".12pt" strokecolor="#000000"/>
            <v:line style="position:absolute" from="5429,6435" to="5424,6450" stroked="true" strokeweight=".12pt" strokecolor="#000000"/>
            <v:line style="position:absolute" from="5220,6421" to="5210,6450" stroked="true" strokeweight=".12pt" strokecolor="#000000"/>
            <v:line style="position:absolute" from="5006,6421" to="4997,6450" stroked="true" strokeweight=".12pt" strokecolor="#000000"/>
            <v:line style="position:absolute" from="5635,6455" to="5618,6464" stroked="true" strokeweight=".12pt" strokecolor="#000000"/>
            <v:line style="position:absolute" from="5448,6443" to="5405,6464" stroked="true" strokeweight=".12pt" strokecolor="#000000"/>
            <v:line style="position:absolute" from="5234,6443" to="5189,6464" stroked="true" strokeweight=".12pt" strokecolor="#000000"/>
            <v:line style="position:absolute" from="5021,6443" to="4975,6464" stroked="true" strokeweight=".12pt" strokecolor="#000000"/>
            <v:line style="position:absolute" from="4807,6443" to="4798,6447" stroked="true" strokeweight=".12pt" strokecolor="#000000"/>
            <v:line style="position:absolute" from="4870,6491" to="4817,6486" stroked="true" strokeweight=".12pt" strokecolor="#000000"/>
            <v:line style="position:absolute" from="5083,6491" to="5030,6486" stroked="true" strokeweight=".12pt" strokecolor="#000000"/>
            <v:line style="position:absolute" from="5297,6491" to="5244,6486" stroked="true" strokeweight=".12pt" strokecolor="#000000"/>
            <v:line style="position:absolute" from="5510,6491" to="5458,6486" stroked="true" strokeweight=".12pt" strokecolor="#000000"/>
            <v:line style="position:absolute" from="5724,6491" to="5671,6486" stroked="true" strokeweight=".12pt" strokecolor="#000000"/>
            <v:line style="position:absolute" from="5938,6491" to="5885,6486" stroked="true" strokeweight=".12pt" strokecolor="#000000"/>
            <v:line style="position:absolute" from="4870,6491" to="4817,6486" stroked="true" strokeweight=".12pt" strokecolor="#000000"/>
            <v:line style="position:absolute" from="5083,6491" to="5030,6486" stroked="true" strokeweight=".12pt" strokecolor="#000000"/>
            <v:line style="position:absolute" from="5297,6491" to="5244,6486" stroked="true" strokeweight=".12pt" strokecolor="#000000"/>
            <v:line style="position:absolute" from="5510,6491" to="5458,6486" stroked="true" strokeweight=".12pt" strokecolor="#000000"/>
            <v:line style="position:absolute" from="5724,6491" to="5671,6486" stroked="true" strokeweight=".12pt" strokecolor="#000000"/>
            <v:line style="position:absolute" from="5938,6491" to="5885,6486" stroked="true" strokeweight=".12pt" strokecolor="#000000"/>
            <v:line style="position:absolute" from="5638,6498" to="5638,6455" stroked="true" strokeweight=".12pt" strokecolor="#000000"/>
            <v:line style="position:absolute" from="5576,5447" to="5576,6423" stroked="true" strokeweight=".179994pt" strokecolor="#000000"/>
            <v:line style="position:absolute" from="6543,5447" to="6543,6541" stroked="true" strokeweight=".179993pt" strokecolor="#000000"/>
            <v:line style="position:absolute" from="5638,6455" to="4798,6371" stroked="true" strokeweight=".12pt" strokecolor="#000000"/>
            <v:line style="position:absolute" from="5640,6435" to="5618,6433" stroked="true" strokeweight=".12pt" strokecolor="#000000"/>
            <v:line style="position:absolute" from="5602,6431" to="5563,6428" stroked="true" strokeweight=".12pt" strokecolor="#000000"/>
            <v:line style="position:absolute" from="5544,6426" to="5508,6421" stroked="true" strokeweight=".12pt" strokecolor="#000000"/>
            <v:line style="position:absolute" from="5489,6419" to="5453,6416" stroked="true" strokeweight=".12pt" strokecolor="#000000"/>
            <v:line style="position:absolute" from="5434,6414" to="5395,6409" stroked="true" strokeweight=".12pt" strokecolor="#000000"/>
            <v:line style="position:absolute" from="5378,6409" to="5340,6404" stroked="true" strokeweight=".12pt" strokecolor="#000000"/>
            <v:line style="position:absolute" from="5321,6402" to="5285,6399" stroked="true" strokeweight=".12pt" strokecolor="#000000"/>
            <v:line style="position:absolute" from="5266,6397" to="5230,6395" stroked="true" strokeweight=".12pt" strokecolor="#000000"/>
            <v:line style="position:absolute" from="5210,6392" to="5172,6387" stroked="true" strokeweight=".12pt" strokecolor="#000000"/>
            <v:line style="position:absolute" from="5155,6385" to="5117,6383" stroked="true" strokeweight=".12pt" strokecolor="#000000"/>
            <v:line style="position:absolute" from="5098,6380" to="5062,6378" stroked="true" strokeweight=".12pt" strokecolor="#000000"/>
            <v:line style="position:absolute" from="5042,6375" to="5006,6371" stroked="true" strokeweight=".12pt" strokecolor="#000000"/>
            <v:line style="position:absolute" from="4987,6371" to="4949,6366" stroked="true" strokeweight=".12pt" strokecolor="#000000"/>
            <v:line style="position:absolute" from="4932,6363" to="4894,6361" stroked="true" strokeweight=".12pt" strokecolor="#000000"/>
            <v:line style="position:absolute" from="4874,6359" to="4838,6354" stroked="true" strokeweight=".12pt" strokecolor="#000000"/>
            <v:line style="position:absolute" from="4819,6351" to="4800,6351" stroked="true" strokeweight=".12pt" strokecolor="#000000"/>
            <v:line style="position:absolute" from="6415,6534" to="6406,6531" stroked="true" strokeweight=".12pt" strokecolor="#000000"/>
            <v:line style="position:absolute" from="6365,6529" to="6130,6505" stroked="true" strokeweight=".12pt" strokecolor="#000000"/>
            <v:line style="position:absolute" from="5986,6491" to="5638,6455" stroked="true" strokeweight=".12pt" strokecolor="#000000"/>
            <v:line style="position:absolute" from="7320,6371" to="6542,6450" stroked="true" strokeweight=".12pt" strokecolor="#000000"/>
            <v:line style="position:absolute" from="7318,6351" to="7274,6354" stroked="true" strokeweight=".12pt" strokecolor="#000000"/>
            <v:line style="position:absolute" from="7255,6356" to="7219,6361" stroked="true" strokeweight=".12pt" strokecolor="#000000"/>
            <v:line style="position:absolute" from="7200,6363" to="7162,6366" stroked="true" strokeweight=".12pt" strokecolor="#000000"/>
            <v:line style="position:absolute" from="7145,6368" to="7106,6371" stroked="true" strokeweight=".12pt" strokecolor="#000000"/>
            <v:line style="position:absolute" from="7087,6373" to="7051,6378" stroked="true" strokeweight=".12pt" strokecolor="#000000"/>
            <v:line style="position:absolute" from="7032,6380" to="6996,6383" stroked="true" strokeweight=".12pt" strokecolor="#000000"/>
            <v:line style="position:absolute" from="6977,6385" to="6938,6387" stroked="true" strokeweight=".12pt" strokecolor="#000000"/>
            <v:line style="position:absolute" from="6922,6390" to="6883,6395" stroked="true" strokeweight=".12pt" strokecolor="#000000"/>
            <v:line style="position:absolute" from="6864,6395" to="6828,6399" stroked="true" strokeweight=".12pt" strokecolor="#000000"/>
            <v:line style="position:absolute" from="6809,6402" to="6773,6404" stroked="true" strokeweight=".12pt" strokecolor="#000000"/>
            <v:line style="position:absolute" from="6754,6407" to="6715,6411" stroked="true" strokeweight=".12pt" strokecolor="#000000"/>
            <v:line style="position:absolute" from="6698,6414" to="6660,6416" stroked="true" strokeweight=".12pt" strokecolor="#000000"/>
            <v:line style="position:absolute" from="6641,6419" to="6605,6421" stroked="true" strokeweight=".12pt" strokecolor="#000000"/>
            <v:line style="position:absolute" from="6586,6423" to="6542,6428" stroked="true" strokeweight=".12pt" strokecolor="#000000"/>
            <v:line style="position:absolute" from="4670,5447" to="4798,5447" stroked="true" strokeweight=".12pt" strokecolor="#000000"/>
            <v:line style="position:absolute" from="7320,5447" to="7447,5447" stroked="true" strokeweight=".12pt" strokecolor="#000000"/>
            <v:line style="position:absolute" from="5947,6565" to="4404,6565" stroked="true" strokeweight=".12pt" strokecolor="#000000"/>
            <v:line style="position:absolute" from="5986,6527" to="5986,6119" stroked="true" strokeweight=".12pt" strokecolor="#000000"/>
            <v:line style="position:absolute" from="5986,5699" to="5986,5571" stroked="true" strokeweight=".12pt" strokecolor="#000000"/>
            <v:line style="position:absolute" from="6130,6565" to="6130,6119" stroked="true" strokeweight=".12pt" strokecolor="#000000"/>
            <v:line style="position:absolute" from="6130,5699" to="6130,5571" stroked="true" strokeweight=".12pt" strokecolor="#000000"/>
            <v:line style="position:absolute" from="5986,5571" to="6130,5571" stroked="true" strokeweight=".12pt" strokecolor="#000000"/>
            <v:shape style="position:absolute;left:5946;top:6525;width:185;height:185" type="#_x0000_t75" stroked="false">
              <v:imagedata r:id="rId35" o:title=""/>
            </v:shape>
            <v:line style="position:absolute" from="4670,6709" to="4397,6709" stroked="true" strokeweight=".12pt" strokecolor="#000000"/>
            <v:line style="position:absolute" from="6406,6541" to="6406,6644" stroked="true" strokeweight=".12pt" strokecolor="#000000"/>
            <v:line style="position:absolute" from="6365,6541" to="6365,6666" stroked="true" strokeweight=".12pt" strokecolor="#000000"/>
            <v:line style="position:absolute" from="6427,6666" to="7634,6666" stroked="true" strokeweight=".12pt" strokecolor="#000000"/>
            <v:shape style="position:absolute;left:6365;top:6666;width:41;height:44" coordorigin="6365,6666" coordsize="41,44" path="m6365,6666l6365,6680,6370,6685,6372,6690,6377,6695,6382,6699,6386,6704,6394,6707,6398,6707,6406,6709e" filled="false" stroked="true" strokeweight=".12pt" strokecolor="#000000">
              <v:path arrowok="t"/>
            </v:shape>
            <v:shape style="position:absolute;left:6406;top:6644;width:22;height:22" coordorigin="6406,6644" coordsize="22,22" path="m6406,6644l6406,6649,6408,6654,6410,6659,6413,6661,6418,6663,6422,6666,6427,6666e" filled="false" stroked="true" strokeweight=".12pt" strokecolor="#000000">
              <v:path arrowok="t"/>
            </v:shape>
            <v:shape style="position:absolute;left:6365;top:6522;width:41;height:20" coordorigin="6365,6522" coordsize="41,20" path="m6365,6541l6365,6522,6406,6522e" filled="false" stroked="true" strokeweight=".12pt" strokecolor="#000000">
              <v:path arrowok="t"/>
            </v:shape>
            <v:line style="position:absolute" from="7447,6709" to="7634,6709" stroked="true" strokeweight=".12pt" strokecolor="#000000"/>
            <v:line style="position:absolute" from="7320,5531" to="6480,5531" stroked="true" strokeweight=".12pt" strokecolor="#000000"/>
            <v:line style="position:absolute" from="5638,5531" to="4798,5531" stroked="true" strokeweight=".12pt" strokecolor="#000000"/>
            <v:shape style="position:absolute;left:6869;top:5499;width:60;height:32" coordorigin="6869,5499" coordsize="60,32" path="m6869,5499l6900,5531,6929,5499,6869,5499e" filled="false" stroked="true" strokeweight=".12pt" strokecolor="#000000">
              <v:path arrowok="t"/>
            </v:shape>
            <v:shape style="position:absolute;left:5186;top:5499;width:60;height:32" coordorigin="5186,5499" coordsize="60,32" path="m5186,5499l5218,5531,5246,5499,5186,5499e" filled="false" stroked="true" strokeweight=".12pt" strokecolor="#000000">
              <v:path arrowok="t"/>
            </v:shape>
            <v:line style="position:absolute" from="5189,5550" to="5258,5550" stroked="true" strokeweight=".12pt" strokecolor="#000000"/>
            <v:line style="position:absolute" from="5198,5562" to="5239,5562" stroked="true" strokeweight=".12pt" strokecolor="#000000"/>
            <v:line style="position:absolute" from="5206,5571" to="5227,5571" stroked="true" strokeweight=".12pt" strokecolor="#000000"/>
            <v:shape style="position:absolute;left:6869;top:5499;width:60;height:32" coordorigin="6869,5499" coordsize="60,32" path="m6869,5499l6900,5531,6929,5499,6869,5499e" filled="false" stroked="true" strokeweight=".12pt" strokecolor="#000000">
              <v:path arrowok="t"/>
            </v:shape>
            <v:line style="position:absolute" from="6871,5550" to="6938,5550" stroked="true" strokeweight=".12pt" strokecolor="#000000"/>
            <v:line style="position:absolute" from="6881,5562" to="6922,5562" stroked="true" strokeweight=".12pt" strokecolor="#000000"/>
            <v:line style="position:absolute" from="6888,5571" to="6910,5571" stroked="true" strokeweight=".12pt" strokecolor="#000000"/>
            <v:line style="position:absolute" from="7572,5447" to="8186,5447" stroked="true" strokeweight=".12pt" strokecolor="#000000"/>
            <v:line style="position:absolute" from="8102,6632" to="8102,6260" stroked="true" strokeweight=".12pt" strokecolor="#000000"/>
            <v:line style="position:absolute" from="8102,5521" to="8102,5895" stroked="true" strokeweight=".12pt" strokecolor="#000000"/>
            <v:line style="position:absolute" from="7762,6709" to="8186,6709" stroked="true" strokeweight=".12pt" strokecolor="#000000"/>
            <v:shape style="position:absolute;left:8088;top:5447;width:27;height:1263" coordorigin="8088,5447" coordsize="27,1263" path="m8114,6632l8088,6632,8102,6709,8114,6632m8114,5521l8102,5447,8088,5521,8114,5521e" filled="true" fillcolor="#000000" stroked="false">
              <v:path arrowok="t"/>
              <v:fill type="solid"/>
            </v:shape>
            <v:shape style="position:absolute;left:7637;top:5448;width:468;height:1263" coordorigin="7637,5448" coordsize="468,1263" path="m7637,6710l7639,6710m8102,5448l8105,5448e" filled="false" stroked="true" strokeweight=".12pt" strokecolor="#000000">
              <v:path arrowok="t"/>
            </v:shape>
            <v:line style="position:absolute" from="7762,6709" to="7822,6709" stroked="true" strokeweight=".12pt" strokecolor="#000000"/>
            <v:line style="position:absolute" from="7447,6371" to="7822,6371" stroked="true" strokeweight=".12pt" strokecolor="#000000"/>
            <v:line style="position:absolute" from="7740,6296" to="7740,6219" stroked="true" strokeweight=".12pt" strokecolor="#000000"/>
            <v:line style="position:absolute" from="7741,6371" to="7741,6709" stroked="true" strokeweight=".179991pt" strokecolor="#000000"/>
            <v:line style="position:absolute" from="7740,6783" to="7740,6860" stroked="true" strokeweight=".12pt" strokecolor="#000000"/>
            <v:shape style="position:absolute;left:7726;top:6296;width:27;height:488" coordorigin="7726,6296" coordsize="27,488" path="m7752,6783l7740,6709,7726,6783,7752,6783m7752,6296l7726,6296,7740,6371,7752,6296e" filled="true" fillcolor="#000000" stroked="false">
              <v:path arrowok="t"/>
              <v:fill type="solid"/>
            </v:shape>
            <v:line style="position:absolute" from="7637,6710" to="7639,6710" stroked="true" strokeweight=".12pt" strokecolor="#000000"/>
            <v:line style="position:absolute" from="4670,6371" to="4284,6371" stroked="true" strokeweight=".12pt" strokecolor="#000000"/>
            <v:line style="position:absolute" from="4670,5531" to="4284,5531" stroked="true" strokeweight=".12pt" strokecolor="#000000"/>
            <v:line style="position:absolute" from="4370,6296" to="4370,6133" stroked="true" strokeweight=".12pt" strokecolor="#000000"/>
            <v:line style="position:absolute" from="4370,5605" to="4370,5768" stroked="true" strokeweight=".12pt" strokecolor="#000000"/>
            <v:shape style="position:absolute;left:4356;top:5531;width:27;height:840" coordorigin="4356,5531" coordsize="27,840" path="m4382,6296l4356,6296,4370,6371,4382,6296m4382,5605l4370,5531,4356,5605,4382,5605e" filled="true" fillcolor="#000000" stroked="false">
              <v:path arrowok="t"/>
              <v:fill type="solid"/>
            </v:shape>
            <v:line style="position:absolute" from="7510,6709" to="6211,6709" stroked="true" strokeweight=".12pt" strokecolor="#000000"/>
            <v:line style="position:absolute" from="6353,6455" to="6211,6455" stroked="true" strokeweight=".12pt" strokecolor="#000000"/>
            <v:line style="position:absolute" from="6295,6380" to="6295,6303" stroked="true" strokeweight=".12pt" strokecolor="#000000"/>
            <v:shape style="position:absolute;left:-2280;top:13729;width:25420;height:2" coordorigin="-2280,13729" coordsize="25420,0" path="m4670,6793l7447,6793m4670,6793l4397,6793e" filled="false" stroked="true" strokeweight=".12pt" strokecolor="#000000">
              <v:path arrowok="t"/>
            </v:shape>
            <v:line style="position:absolute" from="7447,6793" to="7634,6793" stroked="true" strokeweight=".12pt" strokecolor="#000000"/>
            <v:line style="position:absolute" from="6295,6783" to="6295,6860" stroked="true" strokeweight=".12pt" strokecolor="#000000"/>
            <v:line style="position:absolute" from="6295,6455" to="6295,6709" stroked="true" strokeweight=".12pt" strokecolor="#000000"/>
            <v:shape style="position:absolute;left:6283;top:6380;width:24;height:404" coordorigin="6283,6380" coordsize="24,404" path="m6307,6783l6295,6709,6283,6783,6307,6783m6307,6380l6283,6380,6295,6455,6307,6380e" filled="true" fillcolor="#000000" stroked="false">
              <v:path arrowok="t"/>
              <v:fill type="solid"/>
            </v:shape>
            <v:shape style="position:absolute;left:6298;top:6458;width:1342;height:252" coordorigin="6298,6458" coordsize="1342,252" path="m7637,6710l7639,6710m6480,6458l6482,6458m6298,6458l6300,6458e" filled="false" stroked="true" strokeweight=".12pt" strokecolor="#000000">
              <v:path arrowok="t"/>
            </v:shape>
            <v:line style="position:absolute" from="4670,5531" to="4284,5531" stroked="true" strokeweight=".12pt" strokecolor="#000000"/>
            <v:line style="position:absolute" from="4670,5447" to="4284,5447" stroked="true" strokeweight=".12pt" strokecolor="#000000"/>
            <v:line style="position:absolute" from="4370,5605" to="4370,5682" stroked="true" strokeweight=".12pt" strokecolor="#000000"/>
            <v:line style="position:absolute" from="4371,5447" to="4371,5533" stroked="true" strokeweight=".180006pt" strokecolor="#000000"/>
            <v:shape style="position:absolute;left:4356;top:5531;width:27;height:75" coordorigin="4356,5531" coordsize="27,75" path="m4370,5531l4356,5605,4382,5605,4370,5531xe" filled="true" fillcolor="#000000" stroked="false">
              <v:path arrowok="t"/>
              <v:fill type="solid"/>
            </v:shape>
            <v:line style="position:absolute" from="4370,5370" to="4370,5295" stroked="true" strokeweight=".12pt" strokecolor="#000000"/>
            <v:shape style="position:absolute;left:4356;top:5370;width:27;height:77" coordorigin="4356,5370" coordsize="27,77" path="m4382,5370l4356,5370,4370,5447,4382,5370xe" filled="true" fillcolor="#000000" stroked="false">
              <v:path arrowok="t"/>
              <v:fill type="solid"/>
            </v:shape>
            <v:line style="position:absolute" from="4798,5319" to="4798,5166" stroked="true" strokeweight=".12pt" strokecolor="#000000"/>
            <v:shape style="position:absolute;left:4798;top:5238;width:778;height:24" coordorigin="4798,5238" coordsize="778,24" path="m4872,5238l4798,5250,4872,5262,4872,5238m5575,5250l5498,5238,5498,5262,5575,5250e" filled="true" fillcolor="#000000" stroked="false">
              <v:path arrowok="t"/>
              <v:fill type="solid"/>
            </v:shape>
            <v:line style="position:absolute" from="5575,5166" to="5575,5319" stroked="true" strokeweight=".12pt" strokecolor="#000000"/>
            <v:shape style="position:absolute;left:5575;top:5238;width:968;height:24" coordorigin="5575,5238" coordsize="968,24" path="m5650,5238l5575,5250,5650,5262,5650,5238m6542,5250l6466,5238,6466,5262,6542,5250e" filled="true" fillcolor="#000000" stroked="false">
              <v:path arrowok="t"/>
              <v:fill type="solid"/>
            </v:shape>
            <v:line style="position:absolute" from="6542,5166" to="6542,5319" stroked="true" strokeweight=".12pt" strokecolor="#000000"/>
            <v:line style="position:absolute" from="7321,5166" to="7321,5319" stroked="true" strokeweight=".179992pt" strokecolor="#000000"/>
            <v:shape style="position:absolute;left:6542;top:5238;width:778;height:24" coordorigin="6542,5238" coordsize="778,24" path="m6617,5238l6542,5250,6617,5262,6617,5238m7320,5250l7243,5238,7243,5262,7320,5250e" filled="true" fillcolor="#000000" stroked="false">
              <v:path arrowok="t"/>
              <v:fill type="solid"/>
            </v:shape>
            <v:line style="position:absolute" from="4670,5319" to="4670,4875" stroked="true" strokeweight=".12pt" strokecolor="#000000"/>
            <v:line style="position:absolute" from="7448,4875" to="7448,5319" stroked="true" strokeweight=".179992pt" strokecolor="#000000"/>
            <v:shape style="position:absolute;left:4670;top:4947;width:2777;height:27" coordorigin="4670,4947" coordsize="2777,27" path="m4747,4947l4670,4959,4747,4974,4747,4947m7447,4959l7370,4947,7370,4974,7447,4959e" filled="true" fillcolor="#000000" stroked="false">
              <v:path arrowok="t"/>
              <v:fill type="solid"/>
            </v:shape>
            <v:line style="position:absolute" from="4671,5447" to="4671,6685" stroked="true" strokeweight=".149993pt" strokecolor="#000000"/>
            <v:line style="position:absolute" from="4670,6738" to="4670,6846" stroked="true" strokeweight=".12pt" strokecolor="#000000"/>
            <v:line style="position:absolute" from="4670,6899" to="4670,7007" stroked="true" strokeweight=".12pt" strokecolor="#000000"/>
            <v:line style="position:absolute" from="4670,7059" to="4670,7165" stroked="true" strokeweight=".12pt" strokecolor="#000000"/>
            <v:line style="position:absolute" from="4670,7220" to="4670,7326" stroked="true" strokeweight=".12pt" strokecolor="#000000"/>
            <v:shape style="position:absolute;left:4670;top:7554;width:2770;height:2777" coordorigin="4670,7554" coordsize="2770,2777" path="m7440,8816l7430,8742,7418,8667,7402,8595,7380,8523,7356,8451,7327,8382,7296,8315,7260,8247,7222,8185,7178,8123,7133,8063,7085,8007,7032,7952,6977,7902,6919,7854,6859,7808,6797,7767,6734,7729,6667,7693,6598,7664,6528,7635,6458,7611,6386,7592,6312,7578,6238,7566,6163,7559,6089,7554,6014,7554,5940,7559,5866,7568,5791,7580,5717,7597,5645,7616,5575,7640,5506,7669,5438,7700,5371,7736,5306,7775,5246,7818,5186,7863,5129,7911,5074,7962,5023,8017,4975,8075,4930,8135,4889,8197,4850,8262,4814,8327,4783,8394,4754,8466,4730,8535,4711,8607,4694,8682,4682,8756,4675,8831,4670,8905,4670,8979,4675,9054,4682,9128,4694,9203,4711,9277,4730,9349,4754,9419,4783,9488,4814,9558,4850,9623,4889,9687,4930,9750,4975,9810,5023,9867,5074,9920,5129,9973,5186,10021,5246,10067,5306,10110,5371,10148,5438,10184,5506,10215,5575,10244,5645,10268,5717,10287,5791,10304,5866,10316,5940,10326,6014,10331,6089,10331,6163,10326,6238,10319,6312,10307,6386,10292,6458,10271,6528,10249,6598,10220,6667,10189,6734,10155,6797,10117,6859,10076,6919,10031,6977,9983,7032,9932,7085,9877,7133,9819,7178,9762,7222,9699,7260,9635,7296,9570,7327,9503,7356,9433,7380,9361,7402,9289,7418,9217,7430,9143,7440,9068e" filled="false" stroked="true" strokeweight=".12pt" strokecolor="#000000">
              <v:path arrowok="t"/>
            </v:shape>
            <v:shape style="position:absolute;left:4798;top:7681;width:2516;height:2523" coordorigin="4798,7681" coordsize="2516,2523" path="m7313,8816l7303,8744,7291,8672,7272,8600,7250,8531,7224,8463,7195,8396,7162,8331,7126,8267,7085,8207,7039,8149,6991,8094,6941,8041,6888,7991,6830,7945,6773,7902,6710,7861,6648,7825,6581,7794,6514,7765,6446,7741,6374,7719,6305,7703,6233,7691,6158,7683,6086,7681,6014,7681,5940,7686,5868,7693,5796,7707,5724,7724,5654,7746,5587,7772,5520,7801,5455,7835,5390,7871,5330,7911,5273,7955,5215,8003,5162,8053,5114,8106,5066,8161,5023,8221,4982,8281,4946,8346,4913,8411,4884,8478,4860,8547,4838,8617,4822,8689,4810,8761,4802,8833,4798,8905,4798,8979,4802,9051,4810,9123,4822,9195,4838,9267,4860,9337,4884,9407,4913,9474,4946,9539,4982,9601,5023,9663,5066,9721,5114,9779,5162,9831,5215,9882,5273,9930,5330,9973,5390,10014,5455,10050,5520,10083,5587,10112,5654,10139,5724,10160,5796,10177,5868,10189,5940,10199,6014,10203,6086,10203,6158,10201,6233,10191,6305,10179,6374,10163,6446,10143,6514,10119,6581,10091,6648,10059,6710,10021,6773,9983,6830,9939,6888,9894,6941,9843,6991,9791,7039,9735,7085,9678,7126,9615,7162,9553,7195,9488,7224,9421,7250,9354,7272,9284,7291,9212,7303,9140,7313,9068e" filled="false" stroked="true" strokeweight=".12pt" strokecolor="#000000">
              <v:path arrowok="t"/>
            </v:shape>
            <v:shape style="position:absolute;left:5638;top:8521;width:843;height:843" coordorigin="5638,8521" coordsize="843,843" path="m6480,8941l6470,8859,6446,8780,6408,8708,6355,8643,6293,8593,6218,8552,6180,8540,6142,8528,6098,8523,6058,8521,6017,8523,5935,8540,5861,8571,5791,8617,5734,8675,5688,8744,5657,8819,5640,8900,5638,8941,5640,8984,5657,9063,5688,9140,5734,9210,5791,9267,5861,9313,5935,9344,6017,9361,6058,9363,6098,9361,6180,9344,6257,9313,6326,9267,6355,9239,6384,9210,6430,9140,6461,9063,6478,8984,6480,8941xe" filled="false" stroked="true" strokeweight=".12pt" strokecolor="#000000">
              <v:path arrowok="t"/>
            </v:shape>
            <v:line style="position:absolute" from="7313,8816" to="7440,8816" stroked="true" strokeweight=".12pt" strokecolor="#000000"/>
            <v:shape style="position:absolute;left:0;top:11629;width:1060;height:2100" coordorigin="0,11629" coordsize="1060,2100" path="m7313,9068l7440,9068m7313,9068l7313,8816e" filled="false" stroked="true" strokeweight=".12pt" strokecolor="#000000">
              <v:path arrowok="t"/>
            </v:shape>
            <v:line style="position:absolute" from="7346,9068" to="7346,8816" stroked="true" strokeweight=".12pt" strokecolor="#000000"/>
            <v:line style="position:absolute" from="4670,7379" to="4670,7487" stroked="true" strokeweight=".12pt" strokecolor="#000000"/>
            <v:line style="position:absolute" from="4670,7539" to="4670,7647" stroked="true" strokeweight=".12pt" strokecolor="#000000"/>
            <v:line style="position:absolute" from="4670,7700" to="4670,7806" stroked="true" strokeweight=".12pt" strokecolor="#000000"/>
            <v:line style="position:absolute" from="4670,7861" to="4670,7967" stroked="true" strokeweight=".12pt" strokecolor="#000000"/>
            <v:line style="position:absolute" from="4670,8019" to="4670,8127" stroked="true" strokeweight=".12pt" strokecolor="#000000"/>
            <v:line style="position:absolute" from="4670,8180" to="4670,8288" stroked="true" strokeweight=".12pt" strokecolor="#000000"/>
            <v:line style="position:absolute" from="4670,8341" to="4670,8449" stroked="true" strokeweight=".12pt" strokecolor="#000000"/>
            <v:line style="position:absolute" from="4670,8502" to="4670,8607" stroked="true" strokeweight=".12pt" strokecolor="#000000"/>
            <v:line style="position:absolute" from="4670,8663" to="4670,8768" stroked="true" strokeweight=".12pt" strokecolor="#000000"/>
            <v:line style="position:absolute" from="4670,8823" to="4670,8941" stroked="true" strokeweight=".12pt" strokecolor="#000000"/>
            <v:line style="position:absolute" from="4799,5447" to="4799,6685" stroked="true" strokeweight=".300065pt" strokecolor="#000000"/>
            <v:line style="position:absolute" from="4798,6738" to="4798,6846" stroked="true" strokeweight=".12pt" strokecolor="#000000"/>
            <v:line style="position:absolute" from="4798,6899" to="4798,7007" stroked="true" strokeweight=".12pt" strokecolor="#000000"/>
            <v:line style="position:absolute" from="4798,7059" to="4798,7165" stroked="true" strokeweight=".12pt" strokecolor="#000000"/>
            <v:line style="position:absolute" from="4798,7220" to="4798,7326" stroked="true" strokeweight=".12pt" strokecolor="#000000"/>
            <v:line style="position:absolute" from="4798,7379" to="4798,7487" stroked="true" strokeweight=".12pt" strokecolor="#000000"/>
            <v:line style="position:absolute" from="4798,7539" to="4798,7647" stroked="true" strokeweight=".12pt" strokecolor="#000000"/>
            <v:line style="position:absolute" from="4798,7700" to="4798,7806" stroked="true" strokeweight=".12pt" strokecolor="#000000"/>
            <v:line style="position:absolute" from="4798,7861" to="4798,7967" stroked="true" strokeweight=".12pt" strokecolor="#000000"/>
            <v:line style="position:absolute" from="4798,8019" to="4798,8127" stroked="true" strokeweight=".12pt" strokecolor="#000000"/>
            <v:line style="position:absolute" from="4798,8180" to="4798,8288" stroked="true" strokeweight=".12pt" strokecolor="#000000"/>
            <v:line style="position:absolute" from="4798,8341" to="4798,8449" stroked="true" strokeweight=".12pt" strokecolor="#000000"/>
            <v:line style="position:absolute" from="4798,8502" to="4798,8607" stroked="true" strokeweight=".12pt" strokecolor="#000000"/>
            <v:line style="position:absolute" from="4798,8663" to="4798,8768" stroked="true" strokeweight=".12pt" strokecolor="#000000"/>
            <v:line style="position:absolute" from="4798,8823" to="4798,8941" stroked="true" strokeweight=".12pt" strokecolor="#000000"/>
            <v:line style="position:absolute" from="7320,6709" to="7320,6774" stroked="true" strokeweight=".12pt" strokecolor="#000000"/>
            <v:line style="position:absolute" from="7320,6827" to="7320,6935" stroked="true" strokeweight=".12pt" strokecolor="#000000"/>
            <v:line style="position:absolute" from="7320,6987" to="7318,7093" stroked="true" strokeweight=".12pt" strokecolor="#000000"/>
            <v:line style="position:absolute" from="7318,7148" to="7318,7254" stroked="true" strokeweight=".12pt" strokecolor="#000000"/>
            <v:line style="position:absolute" from="7318,7307" to="7318,7415" stroked="true" strokeweight=".12pt" strokecolor="#000000"/>
            <v:line style="position:absolute" from="7318,7467" to="7318,7575" stroked="true" strokeweight=".12pt" strokecolor="#000000"/>
            <v:line style="position:absolute" from="7318,7628" to="7318,7736" stroked="true" strokeweight=".12pt" strokecolor="#000000"/>
            <v:line style="position:absolute" from="7318,7789" to="7318,7895" stroked="true" strokeweight=".12pt" strokecolor="#000000"/>
            <v:line style="position:absolute" from="7315,7950" to="7315,8055" stroked="true" strokeweight=".12pt" strokecolor="#000000"/>
            <v:line style="position:absolute" from="7315,8108" to="7315,8216" stroked="true" strokeweight=".12pt" strokecolor="#000000"/>
            <v:line style="position:absolute" from="7315,8269" to="7315,8377" stroked="true" strokeweight=".12pt" strokecolor="#000000"/>
            <v:line style="position:absolute" from="7315,8430" to="7315,8538" stroked="true" strokeweight=".12pt" strokecolor="#000000"/>
            <v:line style="position:absolute" from="7315,8591" to="7313,8696" stroked="true" strokeweight=".12pt" strokecolor="#000000"/>
            <v:line style="position:absolute" from="7313,8751" to="7313,8816" stroked="true" strokeweight=".12pt" strokecolor="#000000"/>
            <v:line style="position:absolute" from="7445,6709" to="7445,6774" stroked="true" strokeweight=".12pt" strokecolor="#000000"/>
            <v:line style="position:absolute" from="7445,6827" to="7445,6935" stroked="true" strokeweight=".12pt" strokecolor="#000000"/>
            <v:line style="position:absolute" from="7445,6987" to="7445,7093" stroked="true" strokeweight=".12pt" strokecolor="#000000"/>
            <v:line style="position:absolute" from="7445,7148" to="7445,7254" stroked="true" strokeweight=".12pt" strokecolor="#000000"/>
            <v:line style="position:absolute" from="7445,7307" to="7445,7415" stroked="true" strokeweight=".12pt" strokecolor="#000000"/>
            <v:line style="position:absolute" from="7445,7467" to="7442,7575" stroked="true" strokeweight=".12pt" strokecolor="#000000"/>
            <v:line style="position:absolute" from="7442,7628" to="7442,7736" stroked="true" strokeweight=".12pt" strokecolor="#000000"/>
            <v:line style="position:absolute" from="7442,7789" to="7442,7895" stroked="true" strokeweight=".12pt" strokecolor="#000000"/>
            <v:line style="position:absolute" from="7442,7950" to="7442,8055" stroked="true" strokeweight=".12pt" strokecolor="#000000"/>
            <v:line style="position:absolute" from="7442,8108" to="7442,8216" stroked="true" strokeweight=".12pt" strokecolor="#000000"/>
            <v:line style="position:absolute" from="7442,8269" to="7442,8377" stroked="true" strokeweight=".12pt" strokecolor="#000000"/>
            <v:line style="position:absolute" from="7442,8430" to="7440,8538" stroked="true" strokeweight=".12pt" strokecolor="#000000"/>
            <v:line style="position:absolute" from="7440,8591" to="7440,8696" stroked="true" strokeweight=".12pt" strokecolor="#000000"/>
            <v:line style="position:absolute" from="7440,8751" to="7440,8816" stroked="true" strokeweight=".12pt" strokecolor="#000000"/>
            <v:line style="position:absolute" from="5700,5447" to="5575,5447" stroked="true" strokeweight=".12pt" strokecolor="#000000"/>
            <v:line style="position:absolute" from="5700,6423" to="5700,5447" stroked="true" strokeweight=".12pt" strokecolor="#000000"/>
            <v:line style="position:absolute" from="5986,5699" to="5986,6119" stroked="true" strokeweight=".12pt" strokecolor="#000000"/>
            <v:line style="position:absolute" from="6130,5699" to="6130,6119" stroked="true" strokeweight=".12pt" strokecolor="#000000"/>
            <v:line style="position:absolute" from="5700,6423" to="5575,6423" stroked="true" strokeweight=".12pt" strokecolor="#000000"/>
            <v:line style="position:absolute" from="6542,5447" to="6415,5447" stroked="true" strokeweight=".12pt" strokecolor="#000000"/>
            <v:line style="position:absolute" from="6417,5447" to="6417,6543" stroked="true" strokeweight=".299993pt" strokecolor="#000000"/>
            <v:line style="position:absolute" from="6406,6541" to="6406,6522" stroked="true" strokeweight=".12pt" strokecolor="#000000"/>
            <v:shape style="position:absolute;left:6415;top:6534;width:128;height:8" coordorigin="6415,6534" coordsize="128,8" path="m6542,6541l6415,6541,6415,6534e" filled="false" stroked="true" strokeweight=".12pt" strokecolor="#000000">
              <v:path arrowok="t"/>
            </v:shape>
            <v:shape style="position:absolute;left:4747;top:4895;width:2648;height:416" type="#_x0000_t202" filled="false" stroked="false">
              <v:textbox inset="0,0,0,0">
                <w:txbxContent>
                  <w:p>
                    <w:pPr>
                      <w:tabs>
                        <w:tab w:pos="1150" w:val="left" w:leader="none"/>
                        <w:tab w:pos="2647" w:val="left" w:leader="none"/>
                      </w:tabs>
                      <w:spacing w:line="128" w:lineRule="exact" w:before="0"/>
                      <w:ind w:left="0" w:right="0" w:firstLine="0"/>
                      <w:jc w:val="center"/>
                      <w:rPr>
                        <w:rFonts w:ascii="Times New Roman"/>
                        <w:sz w:val="12"/>
                      </w:rPr>
                    </w:pPr>
                    <w:r>
                      <w:rPr>
                        <w:rFonts w:ascii="Times New Roman"/>
                        <w:w w:val="98"/>
                        <w:sz w:val="12"/>
                        <w:u w:val="single"/>
                      </w:rPr>
                      <w:t> </w:t>
                    </w:r>
                    <w:r>
                      <w:rPr>
                        <w:rFonts w:ascii="Times New Roman"/>
                        <w:sz w:val="12"/>
                        <w:u w:val="single"/>
                      </w:rPr>
                      <w:tab/>
                    </w:r>
                    <w:r>
                      <w:rPr>
                        <w:rFonts w:ascii="Times New Roman"/>
                        <w:sz w:val="12"/>
                      </w:rPr>
                      <w:t> </w:t>
                    </w:r>
                    <w:r>
                      <w:rPr>
                        <w:rFonts w:ascii="Times New Roman"/>
                        <w:spacing w:val="-6"/>
                        <w:sz w:val="12"/>
                      </w:rPr>
                      <w:t> </w:t>
                    </w:r>
                    <w:r>
                      <w:rPr>
                        <w:rFonts w:ascii="Calibri"/>
                        <w:sz w:val="12"/>
                      </w:rPr>
                      <w:t>3,30  </w:t>
                    </w:r>
                    <w:r>
                      <w:rPr>
                        <w:rFonts w:ascii="Calibri"/>
                        <w:spacing w:val="-3"/>
                        <w:sz w:val="12"/>
                      </w:rPr>
                      <w:t> </w:t>
                    </w:r>
                    <w:r>
                      <w:rPr>
                        <w:rFonts w:ascii="Times New Roman"/>
                        <w:w w:val="98"/>
                        <w:sz w:val="12"/>
                        <w:u w:val="single"/>
                      </w:rPr>
                      <w:t> </w:t>
                    </w:r>
                    <w:r>
                      <w:rPr>
                        <w:rFonts w:ascii="Times New Roman"/>
                        <w:sz w:val="12"/>
                        <w:u w:val="single"/>
                      </w:rPr>
                      <w:tab/>
                    </w:r>
                  </w:p>
                  <w:p>
                    <w:pPr>
                      <w:spacing w:line="240" w:lineRule="auto" w:before="5"/>
                      <w:rPr>
                        <w:sz w:val="12"/>
                      </w:rPr>
                    </w:pPr>
                  </w:p>
                  <w:p>
                    <w:pPr>
                      <w:tabs>
                        <w:tab w:pos="1030" w:val="left" w:leader="none"/>
                        <w:tab w:pos="1618" w:val="left" w:leader="none"/>
                      </w:tabs>
                      <w:spacing w:line="144" w:lineRule="exact" w:before="1"/>
                      <w:ind w:left="0" w:right="0" w:firstLine="0"/>
                      <w:jc w:val="center"/>
                      <w:rPr>
                        <w:rFonts w:ascii="Times New Roman"/>
                        <w:sz w:val="12"/>
                      </w:rPr>
                    </w:pPr>
                    <w:r>
                      <w:rPr>
                        <w:rFonts w:ascii="Times New Roman"/>
                        <w:w w:val="98"/>
                        <w:sz w:val="12"/>
                        <w:u w:val="single"/>
                      </w:rPr>
                      <w:t> </w:t>
                    </w:r>
                    <w:r>
                      <w:rPr>
                        <w:rFonts w:ascii="Times New Roman"/>
                        <w:sz w:val="12"/>
                        <w:u w:val="single"/>
                      </w:rPr>
                      <w:t>   </w:t>
                    </w:r>
                    <w:r>
                      <w:rPr>
                        <w:rFonts w:ascii="Times New Roman"/>
                        <w:spacing w:val="4"/>
                        <w:sz w:val="12"/>
                        <w:u w:val="single"/>
                      </w:rPr>
                      <w:t> </w:t>
                    </w:r>
                    <w:r>
                      <w:rPr>
                        <w:rFonts w:ascii="Times New Roman"/>
                        <w:sz w:val="12"/>
                      </w:rPr>
                      <w:t> </w:t>
                    </w:r>
                    <w:r>
                      <w:rPr>
                        <w:rFonts w:ascii="Times New Roman"/>
                        <w:spacing w:val="-4"/>
                        <w:sz w:val="12"/>
                      </w:rPr>
                      <w:t> </w:t>
                    </w:r>
                    <w:r>
                      <w:rPr>
                        <w:rFonts w:ascii="Calibri"/>
                        <w:sz w:val="12"/>
                      </w:rPr>
                      <w:t>0,93</w:t>
                    </w:r>
                    <w:r>
                      <w:rPr>
                        <w:rFonts w:ascii="Times New Roman"/>
                        <w:sz w:val="12"/>
                        <w:u w:val="single"/>
                      </w:rPr>
                      <w:tab/>
                    </w:r>
                    <w:r>
                      <w:rPr>
                        <w:rFonts w:ascii="Calibri"/>
                        <w:sz w:val="12"/>
                      </w:rPr>
                      <w:t>1,15</w:t>
                    </w:r>
                    <w:r>
                      <w:rPr>
                        <w:rFonts w:ascii="Times New Roman"/>
                        <w:sz w:val="12"/>
                        <w:u w:val="single"/>
                      </w:rPr>
                      <w:tab/>
                    </w:r>
                    <w:r>
                      <w:rPr>
                        <w:rFonts w:ascii="Calibri"/>
                        <w:sz w:val="12"/>
                      </w:rPr>
                      <w:t>0,93  </w:t>
                    </w:r>
                    <w:r>
                      <w:rPr>
                        <w:rFonts w:ascii="Calibri"/>
                        <w:spacing w:val="-3"/>
                        <w:sz w:val="12"/>
                      </w:rPr>
                      <w:t> </w:t>
                    </w:r>
                    <w:r>
                      <w:rPr>
                        <w:rFonts w:ascii="Times New Roman"/>
                        <w:w w:val="98"/>
                        <w:sz w:val="12"/>
                        <w:u w:val="single"/>
                      </w:rPr>
                      <w:t> </w:t>
                    </w:r>
                    <w:r>
                      <w:rPr>
                        <w:rFonts w:ascii="Times New Roman"/>
                        <w:spacing w:val="2"/>
                        <w:sz w:val="12"/>
                        <w:u w:val="single"/>
                      </w:rPr>
                      <w:t> </w:t>
                    </w:r>
                  </w:p>
                </w:txbxContent>
              </v:textbox>
              <w10:wrap type="none"/>
            </v:shape>
            <v:shape style="position:absolute;left:5551;top:8218;width:1121;height:344" type="#_x0000_t202" filled="false" stroked="false">
              <v:textbox inset="0,0,0,0">
                <w:txbxContent>
                  <w:p>
                    <w:pPr>
                      <w:spacing w:line="163" w:lineRule="exact" w:before="0"/>
                      <w:ind w:left="0" w:right="0" w:firstLine="0"/>
                      <w:jc w:val="center"/>
                      <w:rPr>
                        <w:sz w:val="16"/>
                      </w:rPr>
                    </w:pPr>
                    <w:r>
                      <w:rPr>
                        <w:sz w:val="16"/>
                      </w:rPr>
                      <w:t>Estanque (zona</w:t>
                    </w:r>
                  </w:p>
                  <w:p>
                    <w:pPr>
                      <w:spacing w:line="180" w:lineRule="exact" w:before="0"/>
                      <w:ind w:left="0" w:right="0" w:firstLine="0"/>
                      <w:jc w:val="center"/>
                      <w:rPr>
                        <w:sz w:val="16"/>
                      </w:rPr>
                    </w:pPr>
                    <w:r>
                      <w:rPr>
                        <w:sz w:val="16"/>
                      </w:rPr>
                      <w:t>de cultivo)</w:t>
                    </w:r>
                  </w:p>
                </w:txbxContent>
              </v:textbox>
              <w10:wrap type="none"/>
            </v:shape>
            <v:shape style="position:absolute;left:5453;top:9005;width:999;height:161" type="#_x0000_t202" filled="false" stroked="false">
              <v:textbox inset="0,0,0,0">
                <w:txbxContent>
                  <w:p>
                    <w:pPr>
                      <w:spacing w:line="161" w:lineRule="exact" w:before="0"/>
                      <w:ind w:left="0" w:right="-18" w:firstLine="0"/>
                      <w:jc w:val="left"/>
                      <w:rPr>
                        <w:sz w:val="16"/>
                      </w:rPr>
                    </w:pPr>
                    <w:r>
                      <w:rPr>
                        <w:sz w:val="16"/>
                      </w:rPr>
                      <w:t>Sedimentador</w:t>
                    </w:r>
                  </w:p>
                </w:txbxContent>
              </v:textbox>
              <w10:wrap type="none"/>
            </v:shape>
            <w10:wrap type="none"/>
          </v:group>
        </w:pict>
      </w:r>
      <w:r>
        <w:rPr/>
        <w:pict>
          <v:shape style="position:absolute;margin-left:214.498154pt;margin-top:291.479645pt;width:7.95pt;height:12.6pt;mso-position-horizontal-relative:page;mso-position-vertical-relative:paragraph;z-index:3280" type="#_x0000_t202" filled="false" stroked="false">
            <v:textbox inset="0,0,0,0" style="layout-flow:vertical;mso-layout-flow-alt:bottom-to-top">
              <w:txbxContent>
                <w:p>
                  <w:pPr>
                    <w:spacing w:line="141" w:lineRule="exact" w:before="0"/>
                    <w:ind w:left="20" w:right="-91" w:firstLine="0"/>
                    <w:jc w:val="left"/>
                    <w:rPr>
                      <w:rFonts w:ascii="Calibri"/>
                      <w:sz w:val="12"/>
                    </w:rPr>
                  </w:pPr>
                  <w:r>
                    <w:rPr>
                      <w:rFonts w:ascii="Calibri"/>
                      <w:spacing w:val="-1"/>
                      <w:w w:val="98"/>
                      <w:sz w:val="12"/>
                    </w:rPr>
                    <w:t>1</w:t>
                  </w:r>
                  <w:r>
                    <w:rPr>
                      <w:rFonts w:ascii="Calibri"/>
                      <w:spacing w:val="1"/>
                      <w:w w:val="98"/>
                      <w:sz w:val="12"/>
                    </w:rPr>
                    <w:t>,</w:t>
                  </w:r>
                  <w:r>
                    <w:rPr>
                      <w:rFonts w:ascii="Calibri"/>
                      <w:spacing w:val="-1"/>
                      <w:w w:val="98"/>
                      <w:sz w:val="12"/>
                    </w:rPr>
                    <w:t>0</w:t>
                  </w:r>
                  <w:r>
                    <w:rPr>
                      <w:rFonts w:ascii="Calibri"/>
                      <w:w w:val="98"/>
                      <w:sz w:val="12"/>
                    </w:rPr>
                    <w:t>0</w:t>
                  </w:r>
                </w:p>
              </w:txbxContent>
            </v:textbox>
            <w10:wrap type="none"/>
          </v:shape>
        </w:pict>
      </w:r>
      <w:r>
        <w:rPr/>
        <w:pict>
          <v:shape style="position:absolute;margin-left:214.498154pt;margin-top:249.239655pt;width:7.95pt;height:12.6pt;mso-position-horizontal-relative:page;mso-position-vertical-relative:paragraph;z-index:3304" type="#_x0000_t202" filled="false" stroked="false">
            <v:textbox inset="0,0,0,0" style="layout-flow:vertical;mso-layout-flow-alt:bottom-to-top">
              <w:txbxContent>
                <w:p>
                  <w:pPr>
                    <w:spacing w:line="141" w:lineRule="exact" w:before="0"/>
                    <w:ind w:left="20" w:right="-91" w:firstLine="0"/>
                    <w:jc w:val="left"/>
                    <w:rPr>
                      <w:rFonts w:ascii="Calibri"/>
                      <w:sz w:val="12"/>
                    </w:rPr>
                  </w:pPr>
                  <w:r>
                    <w:rPr>
                      <w:rFonts w:ascii="Calibri"/>
                      <w:spacing w:val="-1"/>
                      <w:w w:val="98"/>
                      <w:sz w:val="12"/>
                    </w:rPr>
                    <w:t>0</w:t>
                  </w:r>
                  <w:r>
                    <w:rPr>
                      <w:rFonts w:ascii="Calibri"/>
                      <w:spacing w:val="1"/>
                      <w:w w:val="98"/>
                      <w:sz w:val="12"/>
                    </w:rPr>
                    <w:t>,</w:t>
                  </w:r>
                  <w:r>
                    <w:rPr>
                      <w:rFonts w:ascii="Calibri"/>
                      <w:spacing w:val="-1"/>
                      <w:w w:val="98"/>
                      <w:sz w:val="12"/>
                    </w:rPr>
                    <w:t>1</w:t>
                  </w:r>
                  <w:r>
                    <w:rPr>
                      <w:rFonts w:ascii="Calibri"/>
                      <w:w w:val="98"/>
                      <w:sz w:val="12"/>
                    </w:rPr>
                    <w:t>0</w:t>
                  </w:r>
                </w:p>
              </w:txbxContent>
            </v:textbox>
            <w10:wrap type="none"/>
          </v:shape>
        </w:pict>
      </w:r>
      <w:r>
        <w:rPr/>
        <w:pict>
          <v:shape style="position:absolute;margin-left:310.858154pt;margin-top:346.079559pt;width:7.95pt;height:12.6pt;mso-position-horizontal-relative:page;mso-position-vertical-relative:paragraph;z-index:3328" type="#_x0000_t202" filled="false" stroked="false">
            <v:textbox inset="0,0,0,0" style="layout-flow:vertical;mso-layout-flow-alt:bottom-to-top">
              <w:txbxContent>
                <w:p>
                  <w:pPr>
                    <w:spacing w:line="141" w:lineRule="exact" w:before="0"/>
                    <w:ind w:left="20" w:right="-91" w:firstLine="0"/>
                    <w:jc w:val="left"/>
                    <w:rPr>
                      <w:rFonts w:ascii="Calibri"/>
                      <w:sz w:val="12"/>
                    </w:rPr>
                  </w:pPr>
                  <w:r>
                    <w:rPr>
                      <w:rFonts w:ascii="Calibri"/>
                      <w:spacing w:val="-1"/>
                      <w:w w:val="98"/>
                      <w:sz w:val="12"/>
                    </w:rPr>
                    <w:t>0</w:t>
                  </w:r>
                  <w:r>
                    <w:rPr>
                      <w:rFonts w:ascii="Calibri"/>
                      <w:spacing w:val="1"/>
                      <w:w w:val="98"/>
                      <w:sz w:val="12"/>
                    </w:rPr>
                    <w:t>,</w:t>
                  </w:r>
                  <w:r>
                    <w:rPr>
                      <w:rFonts w:ascii="Calibri"/>
                      <w:spacing w:val="-1"/>
                      <w:w w:val="98"/>
                      <w:sz w:val="12"/>
                    </w:rPr>
                    <w:t>3</w:t>
                  </w:r>
                  <w:r>
                    <w:rPr>
                      <w:rFonts w:ascii="Calibri"/>
                      <w:w w:val="98"/>
                      <w:sz w:val="12"/>
                    </w:rPr>
                    <w:t>0</w:t>
                  </w:r>
                </w:p>
              </w:txbxContent>
            </v:textbox>
            <w10:wrap type="none"/>
          </v:shape>
        </w:pict>
      </w:r>
      <w:r>
        <w:rPr/>
        <w:pict>
          <v:shape style="position:absolute;margin-left:382.978058pt;margin-top:295.558411pt;width:7.95pt;height:12.45pt;mso-position-horizontal-relative:page;mso-position-vertical-relative:paragraph;z-index:3352" type="#_x0000_t202" filled="false" stroked="false">
            <v:textbox inset="0,0,0,0" style="layout-flow:vertical;mso-layout-flow-alt:bottom-to-top">
              <w:txbxContent>
                <w:p>
                  <w:pPr>
                    <w:spacing w:line="141" w:lineRule="exact" w:before="0"/>
                    <w:ind w:left="20" w:right="-89" w:firstLine="0"/>
                    <w:jc w:val="left"/>
                    <w:rPr>
                      <w:rFonts w:ascii="Calibri"/>
                      <w:sz w:val="12"/>
                    </w:rPr>
                  </w:pPr>
                  <w:r>
                    <w:rPr>
                      <w:rFonts w:ascii="Calibri"/>
                      <w:spacing w:val="-1"/>
                      <w:w w:val="98"/>
                      <w:sz w:val="12"/>
                    </w:rPr>
                    <w:t>0,4</w:t>
                  </w:r>
                  <w:r>
                    <w:rPr>
                      <w:rFonts w:ascii="Calibri"/>
                      <w:w w:val="98"/>
                      <w:sz w:val="12"/>
                    </w:rPr>
                    <w:t>0</w:t>
                  </w:r>
                </w:p>
              </w:txbxContent>
            </v:textbox>
            <w10:wrap type="none"/>
          </v:shape>
        </w:pict>
      </w:r>
      <w:r>
        <w:rPr/>
        <w:pict>
          <v:shape style="position:absolute;margin-left:401.098053pt;margin-top:297.83371pt;width:7.95pt;height:12.6pt;mso-position-horizontal-relative:page;mso-position-vertical-relative:paragraph;z-index:3376" type="#_x0000_t202" filled="false" stroked="false">
            <v:textbox inset="0,0,0,0" style="layout-flow:vertical;mso-layout-flow-alt:bottom-to-top">
              <w:txbxContent>
                <w:p>
                  <w:pPr>
                    <w:spacing w:line="141" w:lineRule="exact" w:before="0"/>
                    <w:ind w:left="20" w:right="-92" w:firstLine="0"/>
                    <w:jc w:val="left"/>
                    <w:rPr>
                      <w:rFonts w:ascii="Calibri"/>
                      <w:sz w:val="12"/>
                    </w:rPr>
                  </w:pPr>
                  <w:r>
                    <w:rPr>
                      <w:rFonts w:ascii="Calibri"/>
                      <w:spacing w:val="2"/>
                      <w:w w:val="98"/>
                      <w:sz w:val="12"/>
                    </w:rPr>
                    <w:t>1</w:t>
                  </w:r>
                  <w:r>
                    <w:rPr>
                      <w:rFonts w:ascii="Calibri"/>
                      <w:spacing w:val="-1"/>
                      <w:w w:val="98"/>
                      <w:sz w:val="12"/>
                    </w:rPr>
                    <w:t>,5</w:t>
                  </w:r>
                  <w:r>
                    <w:rPr>
                      <w:rFonts w:ascii="Calibri"/>
                      <w:w w:val="98"/>
                      <w:sz w:val="12"/>
                    </w:rPr>
                    <w:t>0</w:t>
                  </w:r>
                </w:p>
              </w:txbxContent>
            </v:textbox>
            <w10:wrap type="none"/>
          </v:shape>
        </w:pict>
      </w:r>
      <w:r>
        <w:rPr/>
        <w:t>El estanque de cultivo en el que se llevó a cabo el trabajo fue circular, de 3,0 m de diámetro, con una capacidad de 7,06 m</w:t>
      </w:r>
      <w:r>
        <w:rPr>
          <w:position w:val="10"/>
          <w:sz w:val="13"/>
        </w:rPr>
        <w:t>3</w:t>
      </w:r>
      <w:r>
        <w:rPr/>
        <w:t>, con un volumen efectivo para peces de 6,27 m</w:t>
      </w:r>
      <w:r>
        <w:rPr>
          <w:position w:val="10"/>
          <w:sz w:val="13"/>
        </w:rPr>
        <w:t>3 </w:t>
      </w:r>
      <w:r>
        <w:rPr/>
        <w:t>(figura 14), construido con tabique rojo recocido y terminado con una capa de fibra de vidrio. Su interior se pintó de color azul, ya que este color es el menos estresante para la trucha (Papoutsoglou </w:t>
      </w:r>
      <w:r>
        <w:rPr>
          <w:i/>
        </w:rPr>
        <w:t>et al</w:t>
      </w:r>
      <w:r>
        <w:rPr/>
        <w:t>., 2005). La entrada de agua se realizó de forma periférica induciendo un flujo vorticoso con el fin de mantener con buena salud a los peces y de conducir los sólidos al centro y al fondo del estanque, esto, según las recomendaciones de García (2008) y de Timmons </w:t>
      </w:r>
      <w:r>
        <w:rPr>
          <w:i/>
        </w:rPr>
        <w:t>et al</w:t>
      </w:r>
      <w:r>
        <w:rPr/>
        <w:t>. (1998). El efluente del estanque se encontró en la parte central, los sólidos fueron capturados y separados mediante un sedimentador en el centro del estanque, el caudal fue conducido del sedimentador al resto del sistema de tratamiento para su reacondicionamiento, los lodos residuales provenientes del sedimentador se purgaron</w:t>
      </w:r>
      <w:r>
        <w:rPr>
          <w:spacing w:val="-15"/>
        </w:rPr>
        <w:t> </w:t>
      </w:r>
      <w:r>
        <w:rPr/>
        <w:t>diariamente.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9"/>
        </w:rPr>
      </w:pPr>
    </w:p>
    <w:p>
      <w:pPr>
        <w:spacing w:before="0"/>
        <w:ind w:left="1222" w:right="0" w:firstLine="0"/>
        <w:jc w:val="left"/>
        <w:rPr>
          <w:b/>
          <w:sz w:val="18"/>
        </w:rPr>
      </w:pPr>
      <w:r>
        <w:rPr>
          <w:b/>
          <w:sz w:val="18"/>
        </w:rPr>
        <w:t>Figura 14. Vista en planta y corte transversal del estanque y sedimentador (cotas en metros).</w:t>
      </w:r>
    </w:p>
    <w:p>
      <w:pPr>
        <w:pStyle w:val="BodyText"/>
        <w:spacing w:line="360" w:lineRule="auto" w:before="122"/>
        <w:ind w:left="781" w:right="498"/>
        <w:jc w:val="both"/>
      </w:pPr>
      <w:r>
        <w:rPr/>
        <w:t>Una característica importante en el diseño del estanque es que al centro, como se mencionó anteriormente, se contó con un sedimentador para remover los sólidos generados y que a su vez permitió en la zona de cultivo un flujo uniforme (figura 15).</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932"/>
        <w:rPr>
          <w:sz w:val="20"/>
        </w:rPr>
      </w:pPr>
      <w:r>
        <w:rPr>
          <w:sz w:val="20"/>
        </w:rPr>
        <w:pict>
          <v:group style="width:428.55pt;height:160.450pt;mso-position-horizontal-relative:char;mso-position-vertical-relative:line" coordorigin="0,0" coordsize="8571,3209">
            <v:shape style="position:absolute;left:0;top:0;width:8570;height:3209" type="#_x0000_t75" stroked="false">
              <v:imagedata r:id="rId36" o:title=""/>
            </v:shape>
            <v:rect style="position:absolute;left:6578;top:619;width:1649;height:434" filled="true" fillcolor="#ffffff" stroked="false">
              <v:fill type="solid"/>
            </v:rect>
            <v:rect style="position:absolute;left:2474;top:2254;width:1238;height:434" filled="true" fillcolor="#ffffff" stroked="false">
              <v:fill type="solid"/>
            </v:rect>
            <v:shape style="position:absolute;left:6576;top:619;width:1652;height:435" type="#_x0000_t202" filled="false" stroked="true" strokeweight=".75pt" strokecolor="#000000">
              <v:textbox inset="0,0,0,0">
                <w:txbxContent>
                  <w:p>
                    <w:pPr>
                      <w:spacing w:before="66"/>
                      <w:ind w:left="146" w:right="0" w:firstLine="0"/>
                      <w:jc w:val="left"/>
                      <w:rPr>
                        <w:sz w:val="20"/>
                      </w:rPr>
                    </w:pPr>
                    <w:r>
                      <w:rPr>
                        <w:sz w:val="20"/>
                      </w:rPr>
                      <w:t>Sedimentador</w:t>
                    </w:r>
                  </w:p>
                </w:txbxContent>
              </v:textbox>
              <w10:wrap type="none"/>
            </v:shape>
            <v:shape style="position:absolute;left:2474;top:2254;width:1239;height:435" type="#_x0000_t202" filled="false" stroked="true" strokeweight=".75pt" strokecolor="#000000">
              <v:textbox inset="0,0,0,0">
                <w:txbxContent>
                  <w:p>
                    <w:pPr>
                      <w:spacing w:before="71"/>
                      <w:ind w:left="143" w:right="0" w:firstLine="0"/>
                      <w:jc w:val="left"/>
                      <w:rPr>
                        <w:sz w:val="20"/>
                      </w:rPr>
                    </w:pPr>
                    <w:r>
                      <w:rPr>
                        <w:sz w:val="20"/>
                      </w:rPr>
                      <w:t>Estanque</w:t>
                    </w:r>
                  </w:p>
                </w:txbxContent>
              </v:textbox>
              <w10:wrap type="none"/>
            </v:shape>
          </v:group>
        </w:pict>
      </w:r>
      <w:r>
        <w:rPr>
          <w:sz w:val="20"/>
        </w:rPr>
      </w:r>
    </w:p>
    <w:p>
      <w:pPr>
        <w:pStyle w:val="BodyText"/>
        <w:spacing w:before="10"/>
        <w:rPr>
          <w:sz w:val="12"/>
        </w:rPr>
      </w:pPr>
    </w:p>
    <w:p>
      <w:pPr>
        <w:spacing w:before="77"/>
        <w:ind w:left="3654" w:right="2707" w:firstLine="0"/>
        <w:jc w:val="left"/>
        <w:rPr>
          <w:b/>
          <w:sz w:val="18"/>
        </w:rPr>
      </w:pPr>
      <w:r>
        <w:rPr>
          <w:b/>
          <w:sz w:val="18"/>
        </w:rPr>
        <w:t>Figura 15. Estanque y sedimentador</w:t>
      </w:r>
    </w:p>
    <w:p>
      <w:pPr>
        <w:pStyle w:val="BodyText"/>
        <w:spacing w:before="6"/>
        <w:rPr>
          <w:b/>
          <w:sz w:val="17"/>
        </w:rPr>
      </w:pPr>
    </w:p>
    <w:p>
      <w:pPr>
        <w:pStyle w:val="Heading5"/>
        <w:numPr>
          <w:ilvl w:val="2"/>
          <w:numId w:val="7"/>
        </w:numPr>
        <w:tabs>
          <w:tab w:pos="1396" w:val="left" w:leader="none"/>
        </w:tabs>
        <w:spacing w:line="240" w:lineRule="auto" w:before="0" w:after="0"/>
        <w:ind w:left="1395" w:right="0" w:hanging="614"/>
        <w:jc w:val="both"/>
      </w:pPr>
      <w:bookmarkStart w:name="_TOC_250055" w:id="57"/>
      <w:bookmarkStart w:name="4.2.2. Tren de tratamiento" w:id="58"/>
      <w:r>
        <w:rPr>
          <w:b w:val="0"/>
        </w:rPr>
      </w:r>
      <w:bookmarkEnd w:id="58"/>
      <w:bookmarkStart w:name="4.2.2. Tren de tratamiento" w:id="59"/>
      <w:r>
        <w:rPr/>
        <w:t>T</w:t>
      </w:r>
      <w:r>
        <w:rPr/>
        <w:t>REN DE</w:t>
      </w:r>
      <w:r>
        <w:rPr>
          <w:spacing w:val="-10"/>
        </w:rPr>
        <w:t> </w:t>
      </w:r>
      <w:bookmarkEnd w:id="57"/>
      <w:r>
        <w:rPr/>
        <w:t>TRATAMIENTO</w:t>
      </w:r>
    </w:p>
    <w:p>
      <w:pPr>
        <w:pStyle w:val="BodyText"/>
        <w:spacing w:before="5"/>
        <w:rPr>
          <w:b/>
          <w:sz w:val="28"/>
        </w:rPr>
      </w:pPr>
    </w:p>
    <w:p>
      <w:pPr>
        <w:pStyle w:val="BodyText"/>
        <w:spacing w:line="360" w:lineRule="auto" w:before="1"/>
        <w:ind w:left="781" w:right="497"/>
        <w:jc w:val="both"/>
      </w:pPr>
      <w:r>
        <w:rPr/>
        <w:t>El tren de tratamiento se compuso de tres unidades, sedimentador (ubicado en el centro del estanque), percolador y filtro descendente de arena. Esta configuración de biofiltro y filtro de arena ha sido estudiada en casos anteriores con éxito (García, 2008; Gallego, 2004; Díaz </w:t>
      </w:r>
      <w:r>
        <w:rPr>
          <w:i/>
        </w:rPr>
        <w:t>et al</w:t>
      </w:r>
      <w:r>
        <w:rPr/>
        <w:t>., 2000).</w:t>
      </w:r>
    </w:p>
    <w:p>
      <w:pPr>
        <w:pStyle w:val="BodyText"/>
        <w:spacing w:before="7"/>
        <w:rPr>
          <w:sz w:val="17"/>
        </w:rPr>
      </w:pPr>
    </w:p>
    <w:p>
      <w:pPr>
        <w:pStyle w:val="BodyText"/>
        <w:spacing w:line="360" w:lineRule="auto"/>
        <w:ind w:left="781" w:right="498"/>
        <w:jc w:val="both"/>
      </w:pPr>
      <w:r>
        <w:rPr/>
        <w:t>El sedimentador tuvo como objeto la remoción de los sólidos suspendidos que se encuentran en el caudal de entrada al tren de tratamiento (Malone y Pfeiffer, 2006). Como biofiltro, en el tren de tratamiento, se contó con un filtro percolador con una estructura de distribución de agua para que llegue al empaque de manera uniforme el líquido, las dimensiones principales de este biofiltro son: 1,34 m de diámetro y 0,80 m de altura de empaque. La memoria de cálculo del filtro percolador se muestra en la tabla 6.</w:t>
      </w:r>
    </w:p>
    <w:p>
      <w:pPr>
        <w:spacing w:after="0" w:line="360" w:lineRule="auto"/>
        <w:jc w:val="both"/>
        <w:sectPr>
          <w:pgSz w:w="12240" w:h="15840"/>
          <w:pgMar w:header="725" w:footer="1084" w:top="1340" w:bottom="1280" w:left="920" w:right="1200"/>
        </w:sectPr>
      </w:pPr>
    </w:p>
    <w:p>
      <w:pPr>
        <w:pStyle w:val="BodyText"/>
        <w:rPr>
          <w:sz w:val="20"/>
        </w:rPr>
      </w:pPr>
      <w:r>
        <w:rPr/>
        <w:pict>
          <v:line style="position:absolute;mso-position-horizontal-relative:page;mso-position-vertical-relative:page;z-index:-1528288" from="135.119995pt,236.820007pt" to="174.599994pt,236.820007pt" stroked="true" strokeweight=".6pt" strokecolor="#000000">
            <w10:wrap type="none"/>
          </v:line>
        </w:pict>
      </w:r>
      <w:r>
        <w:rPr/>
        <w:pict>
          <v:line style="position:absolute;mso-position-horizontal-relative:page;mso-position-vertical-relative:page;z-index:-1528264" from="110.159996pt,325.140015pt" to="155.759995pt,325.140015pt" stroked="true" strokeweight=".6pt" strokecolor="#000000">
            <w10:wrap type="none"/>
          </v:line>
        </w:pict>
      </w:r>
      <w:r>
        <w:rPr/>
        <w:pict>
          <v:line style="position:absolute;mso-position-horizontal-relative:page;mso-position-vertical-relative:page;z-index:-1528240" from="189.119995pt,315.420013pt" to="228.599994pt,315.420013pt" stroked="true" strokeweight=".6pt" strokecolor="#000000">
            <w10:wrap type="none"/>
          </v:line>
        </w:pict>
      </w:r>
      <w:r>
        <w:rPr/>
        <w:pict>
          <v:line style="position:absolute;mso-position-horizontal-relative:page;mso-position-vertical-relative:page;z-index:-1528216" from="168.839996pt,325.140015pt" to="228.599995pt,325.140015pt" stroked="true" strokeweight=".6pt" strokecolor="#000000">
            <w10:wrap type="none"/>
          </v:line>
        </w:pict>
      </w:r>
      <w:r>
        <w:rPr/>
        <w:pict>
          <v:line style="position:absolute;mso-position-horizontal-relative:page;mso-position-vertical-relative:page;z-index:-1528192" from="235.439987pt,325.140015pt" to="277.199986pt,325.140015pt" stroked="true" strokeweight=".6pt" strokecolor="#000000">
            <w10:wrap type="none"/>
          </v:line>
        </w:pict>
      </w:r>
      <w:r>
        <w:rPr/>
        <w:pict>
          <v:line style="position:absolute;mso-position-horizontal-relative:page;mso-position-vertical-relative:page;z-index:-1528168" from="284.279999pt,325.140015pt" to="342.119997pt,325.140015pt" stroked="true" strokeweight=".6pt" strokecolor="#000000">
            <w10:wrap type="none"/>
          </v:line>
        </w:pict>
      </w:r>
      <w:r>
        <w:rPr/>
        <w:pict>
          <v:line style="position:absolute;mso-position-horizontal-relative:page;mso-position-vertical-relative:page;z-index:-1528144" from="110.159996pt,380.339996pt" to="132.239996pt,380.339996pt" stroked="true" strokeweight=".6pt" strokecolor="#000000">
            <w10:wrap type="none"/>
          </v:line>
        </w:pict>
      </w:r>
      <w:r>
        <w:rPr/>
        <w:pict>
          <v:line style="position:absolute;mso-position-horizontal-relative:page;mso-position-vertical-relative:page;z-index:-1528120" from="145.319992pt,380.339996pt" to="163.919992pt,380.339996pt" stroked="true" strokeweight=".6pt" strokecolor="#000000">
            <w10:wrap type="none"/>
          </v:line>
        </w:pict>
      </w:r>
      <w:r>
        <w:rPr/>
        <w:pict>
          <v:line style="position:absolute;mso-position-horizontal-relative:page;mso-position-vertical-relative:page;z-index:-1528096" from="177pt,380.339996pt" to="214.199999pt,380.339996pt" stroked="true" strokeweight=".6pt" strokecolor="#000000">
            <w10:wrap type="none"/>
          </v:line>
        </w:pict>
      </w:r>
      <w:r>
        <w:rPr/>
        <w:pict>
          <v:line style="position:absolute;mso-position-horizontal-relative:page;mso-position-vertical-relative:page;z-index:-1528072" from="114.479996pt,500.100006pt" to="157.559995pt,500.100006pt" stroked="true" strokeweight=".6pt" strokecolor="#000000">
            <w10:wrap type="none"/>
          </v:line>
        </w:pict>
      </w:r>
      <w:r>
        <w:rPr/>
        <w:pict>
          <v:line style="position:absolute;mso-position-horizontal-relative:page;mso-position-vertical-relative:page;z-index:-1528048" from="179.279999pt,500.100006pt" to="215.159998pt,500.100006pt" stroked="true" strokeweight=".6pt" strokecolor="#000000">
            <w10:wrap type="none"/>
          </v:line>
        </w:pict>
      </w:r>
      <w:r>
        <w:rPr/>
        <w:pict>
          <v:line style="position:absolute;mso-position-horizontal-relative:page;mso-position-vertical-relative:page;z-index:-1528024" from="257.279999pt,548.820007pt" to="281.759998pt,548.820007pt" stroked="true" strokeweight=".6pt" strokecolor="#000000">
            <w10:wrap type="none"/>
          </v:line>
        </w:pict>
      </w:r>
      <w:r>
        <w:rPr/>
        <w:pict>
          <v:line style="position:absolute;mso-position-horizontal-relative:page;mso-position-vertical-relative:page;z-index:-1528000" from="115.68pt,630.539978pt" to="134.4pt,630.539978pt" stroked="true" strokeweight=".6pt" strokecolor="#000000">
            <w10:wrap type="none"/>
          </v:line>
        </w:pict>
      </w:r>
      <w:r>
        <w:rPr/>
        <w:pict>
          <v:line style="position:absolute;mso-position-horizontal-relative:page;mso-position-vertical-relative:page;z-index:-1527976" from="173.279999pt,618.900024pt" to="197.759998pt,618.900024pt" stroked="true" strokeweight=".6pt" strokecolor="#000000">
            <w10:wrap type="none"/>
          </v:line>
        </w:pict>
      </w:r>
      <w:r>
        <w:rPr/>
        <w:pict>
          <v:line style="position:absolute;mso-position-horizontal-relative:page;mso-position-vertical-relative:page;z-index:-1527952" from="147.360001pt,630.539978pt" to="235.199999pt,630.539978pt" stroked="true" strokeweight=".6pt" strokecolor="#000000">
            <w10:wrap type="none"/>
          </v:line>
        </w:pict>
      </w:r>
    </w:p>
    <w:p>
      <w:pPr>
        <w:pStyle w:val="BodyText"/>
        <w:spacing w:before="7"/>
        <w:rPr>
          <w:sz w:val="16"/>
        </w:rPr>
      </w:pPr>
    </w:p>
    <w:p>
      <w:pPr>
        <w:spacing w:before="77"/>
        <w:ind w:left="2039" w:right="948" w:firstLine="0"/>
        <w:jc w:val="left"/>
        <w:rPr>
          <w:b/>
          <w:sz w:val="18"/>
        </w:rPr>
      </w:pPr>
      <w:r>
        <w:rPr/>
        <w:pict>
          <v:line style="position:absolute;mso-position-horizontal-relative:page;mso-position-vertical-relative:paragraph;z-index:-1528336" from="212.759995pt,101.751633pt" to="270.599993pt,101.751633pt" stroked="true" strokeweight=".6pt" strokecolor="#000000">
            <w10:wrap type="none"/>
          </v:line>
        </w:pict>
      </w:r>
      <w:r>
        <w:rPr/>
        <w:pict>
          <v:line style="position:absolute;mso-position-horizontal-relative:page;mso-position-vertical-relative:paragraph;z-index:-1528312" from="288.359985pt,101.751633pt" to="323.759985pt,101.751633pt" stroked="true" strokeweight=".6pt" strokecolor="#000000">
            <w10:wrap type="none"/>
          </v:line>
        </w:pict>
      </w:r>
      <w:r>
        <w:rPr>
          <w:b/>
          <w:sz w:val="18"/>
        </w:rPr>
        <w:t>Tabla 6. Memoria de cálculo del biofiltro (Tomado de Wheaton </w:t>
      </w:r>
      <w:r>
        <w:rPr>
          <w:b/>
          <w:i/>
          <w:sz w:val="18"/>
        </w:rPr>
        <w:t>et al</w:t>
      </w:r>
      <w:r>
        <w:rPr>
          <w:b/>
          <w:sz w:val="18"/>
        </w:rPr>
        <w:t>., 2000)</w:t>
      </w:r>
    </w:p>
    <w:p>
      <w:pPr>
        <w:pStyle w:val="BodyText"/>
        <w:spacing w:before="10"/>
        <w:rPr>
          <w:b/>
          <w:sz w:val="10"/>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7"/>
        <w:gridCol w:w="2491"/>
      </w:tblGrid>
      <w:tr>
        <w:trPr>
          <w:trHeight w:val="249" w:hRule="exact"/>
        </w:trPr>
        <w:tc>
          <w:tcPr>
            <w:tcW w:w="6487" w:type="dxa"/>
            <w:vMerge w:val="restart"/>
          </w:tcPr>
          <w:p>
            <w:pPr>
              <w:pStyle w:val="TableParagraph"/>
              <w:spacing w:before="1"/>
              <w:ind w:left="103" w:right="0"/>
              <w:jc w:val="left"/>
              <w:rPr>
                <w:rFonts w:ascii="Arial" w:hAnsi="Arial"/>
                <w:sz w:val="18"/>
              </w:rPr>
            </w:pPr>
            <w:r>
              <w:rPr>
                <w:rFonts w:ascii="Arial" w:hAnsi="Arial"/>
                <w:sz w:val="18"/>
              </w:rPr>
              <w:t>Paso 1. Oxígeno disuelto requerido</w:t>
            </w:r>
          </w:p>
          <w:p>
            <w:pPr>
              <w:pStyle w:val="TableParagraph"/>
              <w:spacing w:before="0"/>
              <w:ind w:right="0"/>
              <w:jc w:val="left"/>
              <w:rPr>
                <w:rFonts w:ascii="Arial"/>
                <w:b/>
                <w:sz w:val="18"/>
              </w:rPr>
            </w:pPr>
          </w:p>
          <w:p>
            <w:pPr>
              <w:pStyle w:val="TableParagraph"/>
              <w:spacing w:before="7"/>
              <w:ind w:right="0"/>
              <w:jc w:val="left"/>
              <w:rPr>
                <w:rFonts w:ascii="Arial"/>
                <w:b/>
                <w:sz w:val="22"/>
              </w:rPr>
            </w:pPr>
          </w:p>
          <w:p>
            <w:pPr>
              <w:pStyle w:val="TableParagraph"/>
              <w:spacing w:before="1"/>
              <w:ind w:left="103" w:right="0"/>
              <w:jc w:val="left"/>
              <w:rPr>
                <w:rFonts w:ascii="Cambria Math" w:hAnsi="Cambria Math"/>
                <w:sz w:val="14"/>
              </w:rPr>
            </w:pPr>
            <w:r>
              <w:rPr>
                <w:rFonts w:ascii="Cambria Math" w:hAnsi="Cambria Math"/>
                <w:spacing w:val="-2"/>
                <w:w w:val="101"/>
                <w:sz w:val="20"/>
              </w:rPr>
              <w:t>R</w:t>
            </w:r>
            <w:r>
              <w:rPr>
                <w:rFonts w:ascii="Cambria Math" w:hAnsi="Cambria Math"/>
                <w:spacing w:val="-1"/>
                <w:w w:val="105"/>
                <w:position w:val="-3"/>
                <w:sz w:val="14"/>
              </w:rPr>
              <w:t>O</w:t>
            </w:r>
            <w:r>
              <w:rPr>
                <w:rFonts w:ascii="Cambria Math" w:hAnsi="Cambria Math"/>
                <w:w w:val="107"/>
                <w:position w:val="-3"/>
                <w:sz w:val="14"/>
              </w:rPr>
              <w:t>D</w:t>
            </w:r>
            <w:r>
              <w:rPr>
                <w:rFonts w:ascii="Cambria Math" w:hAnsi="Cambria Math"/>
                <w:position w:val="-3"/>
                <w:sz w:val="14"/>
              </w:rPr>
              <w:t> </w:t>
            </w:r>
            <w:r>
              <w:rPr>
                <w:rFonts w:ascii="Cambria Math" w:hAnsi="Cambria Math"/>
                <w:spacing w:val="6"/>
                <w:position w:val="-3"/>
                <w:sz w:val="14"/>
              </w:rPr>
              <w:t> </w:t>
            </w:r>
            <w:r>
              <w:rPr>
                <w:rFonts w:ascii="Cambria Math" w:hAnsi="Cambria Math"/>
                <w:w w:val="99"/>
                <w:sz w:val="20"/>
              </w:rPr>
              <w:t>=</w:t>
            </w:r>
            <w:r>
              <w:rPr>
                <w:rFonts w:ascii="Cambria Math" w:hAnsi="Cambria Math"/>
                <w:spacing w:val="13"/>
                <w:sz w:val="20"/>
              </w:rPr>
              <w:t> </w:t>
            </w:r>
            <w:r>
              <w:rPr>
                <w:rFonts w:ascii="Cambria Math" w:hAnsi="Cambria Math"/>
                <w:spacing w:val="-1"/>
                <w:w w:val="113"/>
                <w:sz w:val="20"/>
              </w:rPr>
              <w:t>a</w:t>
            </w:r>
            <w:r>
              <w:rPr>
                <w:rFonts w:ascii="Cambria Math" w:hAnsi="Cambria Math"/>
                <w:spacing w:val="-1"/>
                <w:w w:val="105"/>
                <w:position w:val="-3"/>
                <w:sz w:val="14"/>
              </w:rPr>
              <w:t>O</w:t>
            </w:r>
            <w:r>
              <w:rPr>
                <w:rFonts w:ascii="Cambria Math" w:hAnsi="Cambria Math"/>
                <w:w w:val="107"/>
                <w:position w:val="-3"/>
                <w:sz w:val="14"/>
              </w:rPr>
              <w:t>D</w:t>
            </w:r>
            <w:r>
              <w:rPr>
                <w:rFonts w:ascii="Cambria Math" w:hAnsi="Cambria Math"/>
                <w:position w:val="-3"/>
                <w:sz w:val="14"/>
              </w:rPr>
              <w:t> </w:t>
            </w:r>
            <w:r>
              <w:rPr>
                <w:rFonts w:ascii="Cambria Math" w:hAnsi="Cambria Math"/>
                <w:spacing w:val="-3"/>
                <w:position w:val="-3"/>
                <w:sz w:val="14"/>
              </w:rPr>
              <w:t> </w:t>
            </w:r>
            <w:r>
              <w:rPr>
                <w:rFonts w:ascii="Cambria Math" w:hAnsi="Cambria Math"/>
                <w:w w:val="99"/>
                <w:sz w:val="20"/>
              </w:rPr>
              <w:t>∙</w:t>
            </w:r>
            <w:r>
              <w:rPr>
                <w:rFonts w:ascii="Cambria Math" w:hAnsi="Cambria Math"/>
                <w:sz w:val="20"/>
              </w:rPr>
              <w:t> </w:t>
            </w:r>
            <w:r>
              <w:rPr>
                <w:rFonts w:ascii="Cambria Math" w:hAnsi="Cambria Math"/>
                <w:spacing w:val="-23"/>
                <w:w w:val="114"/>
                <w:sz w:val="20"/>
              </w:rPr>
              <w:t>r</w:t>
            </w:r>
            <w:r>
              <w:rPr>
                <w:rFonts w:ascii="Cambria Math" w:hAnsi="Cambria Math"/>
                <w:spacing w:val="-1"/>
                <w:w w:val="126"/>
                <w:position w:val="-3"/>
                <w:sz w:val="14"/>
              </w:rPr>
              <w:t>a</w:t>
            </w:r>
            <w:r>
              <w:rPr>
                <w:rFonts w:ascii="Cambria Math" w:hAnsi="Cambria Math"/>
                <w:spacing w:val="-1"/>
                <w:w w:val="63"/>
                <w:position w:val="-3"/>
                <w:sz w:val="14"/>
              </w:rPr>
              <w:t>1</w:t>
            </w:r>
            <w:r>
              <w:rPr>
                <w:rFonts w:ascii="Cambria Math" w:hAnsi="Cambria Math"/>
                <w:w w:val="125"/>
                <w:position w:val="-3"/>
                <w:sz w:val="14"/>
              </w:rPr>
              <w:t>i</w:t>
            </w:r>
            <w:r>
              <w:rPr>
                <w:rFonts w:ascii="Cambria Math" w:hAnsi="Cambria Math"/>
                <w:position w:val="-3"/>
                <w:sz w:val="14"/>
              </w:rPr>
              <w:t> </w:t>
            </w:r>
            <w:r>
              <w:rPr>
                <w:rFonts w:ascii="Cambria Math" w:hAnsi="Cambria Math"/>
                <w:spacing w:val="-1"/>
                <w:position w:val="-3"/>
                <w:sz w:val="14"/>
              </w:rPr>
              <w:t> </w:t>
            </w:r>
            <w:r>
              <w:rPr>
                <w:rFonts w:ascii="Cambria Math" w:hAnsi="Cambria Math"/>
                <w:w w:val="99"/>
                <w:sz w:val="20"/>
              </w:rPr>
              <w:t>∙</w:t>
            </w:r>
            <w:r>
              <w:rPr>
                <w:rFonts w:ascii="Cambria Math" w:hAnsi="Cambria Math"/>
                <w:sz w:val="20"/>
              </w:rPr>
              <w:t> </w:t>
            </w:r>
            <w:r>
              <w:rPr>
                <w:rFonts w:ascii="Cambria Math" w:hAnsi="Cambria Math"/>
                <w:w w:val="102"/>
                <w:sz w:val="20"/>
              </w:rPr>
              <w:t>q</w:t>
            </w:r>
            <w:r>
              <w:rPr>
                <w:rFonts w:ascii="Cambria Math" w:hAnsi="Cambria Math"/>
                <w:spacing w:val="4"/>
                <w:sz w:val="20"/>
              </w:rPr>
              <w:t> </w:t>
            </w:r>
            <w:r>
              <w:rPr>
                <w:rFonts w:ascii="Cambria Math" w:hAnsi="Cambria Math"/>
                <w:w w:val="99"/>
                <w:sz w:val="20"/>
              </w:rPr>
              <w:t>∙</w:t>
            </w:r>
            <w:r>
              <w:rPr>
                <w:rFonts w:ascii="Cambria Math" w:hAnsi="Cambria Math"/>
                <w:sz w:val="20"/>
              </w:rPr>
              <w:t> </w:t>
            </w:r>
            <w:r>
              <w:rPr>
                <w:rFonts w:ascii="Cambria Math" w:hAnsi="Cambria Math"/>
                <w:spacing w:val="-26"/>
                <w:w w:val="103"/>
                <w:sz w:val="20"/>
              </w:rPr>
              <w:t>V</w:t>
            </w:r>
            <w:r>
              <w:rPr>
                <w:rFonts w:ascii="Cambria Math" w:hAnsi="Cambria Math"/>
                <w:w w:val="110"/>
                <w:position w:val="-3"/>
                <w:sz w:val="14"/>
              </w:rPr>
              <w:t>E</w:t>
            </w:r>
          </w:p>
          <w:p>
            <w:pPr>
              <w:pStyle w:val="TableParagraph"/>
              <w:spacing w:before="0"/>
              <w:ind w:right="0"/>
              <w:jc w:val="left"/>
              <w:rPr>
                <w:rFonts w:ascii="Arial"/>
                <w:b/>
                <w:sz w:val="22"/>
              </w:rPr>
            </w:pPr>
          </w:p>
          <w:p>
            <w:pPr>
              <w:pStyle w:val="TableParagraph"/>
              <w:tabs>
                <w:tab w:pos="1274" w:val="left" w:leader="none"/>
                <w:tab w:pos="2167" w:val="left" w:leader="none"/>
                <w:tab w:pos="2656" w:val="left" w:leader="none"/>
                <w:tab w:pos="4168" w:val="left" w:leader="none"/>
              </w:tabs>
              <w:spacing w:line="182" w:lineRule="exact" w:before="169"/>
              <w:ind w:left="1010" w:right="0"/>
              <w:jc w:val="left"/>
              <w:rPr>
                <w:rFonts w:ascii="Cambria Math"/>
                <w:sz w:val="18"/>
              </w:rPr>
            </w:pPr>
            <w:r>
              <w:rPr>
                <w:rFonts w:ascii="Times New Roman"/>
                <w:w w:val="99"/>
                <w:sz w:val="18"/>
                <w:u w:val="single"/>
              </w:rPr>
              <w:t> </w:t>
            </w:r>
            <w:r>
              <w:rPr>
                <w:rFonts w:ascii="Times New Roman"/>
                <w:sz w:val="18"/>
                <w:u w:val="single"/>
              </w:rPr>
              <w:tab/>
            </w:r>
            <w:r>
              <w:rPr>
                <w:rFonts w:ascii="Cambria Math"/>
                <w:w w:val="110"/>
                <w:sz w:val="18"/>
                <w:u w:val="single"/>
              </w:rPr>
              <w:t>Kgde0</w:t>
            </w:r>
            <w:r>
              <w:rPr>
                <w:rFonts w:ascii="Cambria Math"/>
                <w:w w:val="110"/>
                <w:position w:val="-3"/>
                <w:sz w:val="13"/>
                <w:u w:val="single"/>
              </w:rPr>
              <w:t>2</w:t>
              <w:tab/>
            </w:r>
            <w:r>
              <w:rPr>
                <w:rFonts w:ascii="Cambria Math"/>
                <w:w w:val="110"/>
                <w:position w:val="-3"/>
                <w:sz w:val="13"/>
              </w:rPr>
              <w:tab/>
            </w:r>
            <w:r>
              <w:rPr>
                <w:rFonts w:ascii="Cambria Math"/>
                <w:w w:val="110"/>
                <w:sz w:val="18"/>
              </w:rPr>
              <w:t>Kgdealimento</w:t>
              <w:tab/>
              <w:t>Kgdepez</w:t>
            </w:r>
          </w:p>
          <w:p>
            <w:pPr>
              <w:pStyle w:val="TableParagraph"/>
              <w:tabs>
                <w:tab w:pos="2207" w:val="left" w:leader="none"/>
                <w:tab w:pos="3856" w:val="left" w:leader="none"/>
                <w:tab w:pos="4907" w:val="left" w:leader="none"/>
              </w:tabs>
              <w:spacing w:line="128" w:lineRule="exact" w:before="0"/>
              <w:ind w:left="103" w:right="0"/>
              <w:jc w:val="left"/>
              <w:rPr>
                <w:rFonts w:ascii="Cambria Math" w:hAnsi="Cambria Math"/>
                <w:sz w:val="13"/>
              </w:rPr>
            </w:pPr>
            <w:r>
              <w:rPr>
                <w:rFonts w:ascii="Cambria Math" w:hAnsi="Cambria Math"/>
                <w:sz w:val="18"/>
              </w:rPr>
              <w:t>R</w:t>
            </w:r>
            <w:r>
              <w:rPr>
                <w:rFonts w:ascii="Cambria Math" w:hAnsi="Cambria Math"/>
                <w:position w:val="-3"/>
                <w:sz w:val="13"/>
              </w:rPr>
              <w:t>OD </w:t>
            </w:r>
            <w:r>
              <w:rPr>
                <w:rFonts w:ascii="Cambria Math" w:hAnsi="Cambria Math"/>
                <w:spacing w:val="4"/>
                <w:position w:val="-3"/>
                <w:sz w:val="13"/>
              </w:rPr>
              <w:t> </w:t>
            </w:r>
            <w:r>
              <w:rPr>
                <w:rFonts w:ascii="Cambria Math" w:hAnsi="Cambria Math"/>
                <w:sz w:val="18"/>
              </w:rPr>
              <w:t>=</w:t>
            </w:r>
            <w:r>
              <w:rPr>
                <w:rFonts w:ascii="Cambria Math" w:hAnsi="Cambria Math"/>
                <w:spacing w:val="13"/>
                <w:sz w:val="18"/>
              </w:rPr>
              <w:t> </w:t>
            </w:r>
            <w:r>
              <w:rPr>
                <w:rFonts w:ascii="Cambria Math" w:hAnsi="Cambria Math"/>
                <w:sz w:val="18"/>
              </w:rPr>
              <w:t>0,25</w:t>
              <w:tab/>
              <w:t>∙</w:t>
            </w:r>
            <w:r>
              <w:rPr>
                <w:rFonts w:ascii="Cambria Math" w:hAnsi="Cambria Math"/>
                <w:spacing w:val="-1"/>
                <w:sz w:val="18"/>
              </w:rPr>
              <w:t> </w:t>
            </w:r>
            <w:r>
              <w:rPr>
                <w:rFonts w:ascii="Cambria Math" w:hAnsi="Cambria Math"/>
                <w:sz w:val="18"/>
              </w:rPr>
              <w:t>0,02</w:t>
              <w:tab/>
              <w:t>∙</w:t>
            </w:r>
            <w:r>
              <w:rPr>
                <w:rFonts w:ascii="Cambria Math" w:hAnsi="Cambria Math"/>
                <w:spacing w:val="-1"/>
                <w:sz w:val="18"/>
              </w:rPr>
              <w:t> </w:t>
            </w:r>
            <w:r>
              <w:rPr>
                <w:rFonts w:ascii="Cambria Math" w:hAnsi="Cambria Math"/>
                <w:sz w:val="18"/>
              </w:rPr>
              <w:t>25</w:t>
              <w:tab/>
              <w:t>.</w:t>
            </w:r>
            <w:r>
              <w:rPr>
                <w:rFonts w:ascii="Cambria Math" w:hAnsi="Cambria Math"/>
                <w:spacing w:val="-3"/>
                <w:sz w:val="18"/>
              </w:rPr>
              <w:t> </w:t>
            </w:r>
            <w:r>
              <w:rPr>
                <w:rFonts w:ascii="Cambria Math" w:hAnsi="Cambria Math"/>
                <w:sz w:val="18"/>
              </w:rPr>
              <w:t>7,1m</w:t>
            </w:r>
            <w:r>
              <w:rPr>
                <w:rFonts w:ascii="Cambria Math" w:hAnsi="Cambria Math"/>
                <w:position w:val="6"/>
                <w:sz w:val="13"/>
              </w:rPr>
              <w:t>3</w:t>
            </w:r>
          </w:p>
          <w:p>
            <w:pPr>
              <w:pStyle w:val="TableParagraph"/>
              <w:tabs>
                <w:tab w:pos="2692" w:val="left" w:leader="none"/>
                <w:tab w:pos="4406" w:val="left" w:leader="none"/>
              </w:tabs>
              <w:spacing w:line="166" w:lineRule="exact" w:before="0"/>
              <w:ind w:left="1010" w:right="0"/>
              <w:jc w:val="left"/>
              <w:rPr>
                <w:rFonts w:ascii="Cambria Math" w:hAnsi="Cambria Math"/>
                <w:sz w:val="13"/>
              </w:rPr>
            </w:pPr>
            <w:r>
              <w:rPr>
                <w:rFonts w:ascii="Cambria Math" w:hAnsi="Cambria Math"/>
                <w:w w:val="105"/>
                <w:sz w:val="18"/>
              </w:rPr>
              <w:t>Kgdealimento</w:t>
              <w:tab/>
              <w:t>Kgdepez</w:t>
            </w:r>
            <w:r>
              <w:rPr>
                <w:rFonts w:ascii="Cambria Math" w:hAnsi="Cambria Math"/>
                <w:spacing w:val="5"/>
                <w:w w:val="105"/>
                <w:sz w:val="18"/>
              </w:rPr>
              <w:t> </w:t>
            </w:r>
            <w:r>
              <w:rPr>
                <w:rFonts w:ascii="Cambria Math" w:hAnsi="Cambria Math"/>
                <w:w w:val="105"/>
                <w:sz w:val="18"/>
              </w:rPr>
              <w:t>∙</w:t>
            </w:r>
            <w:r>
              <w:rPr>
                <w:rFonts w:ascii="Cambria Math" w:hAnsi="Cambria Math"/>
                <w:spacing w:val="-2"/>
                <w:w w:val="105"/>
                <w:sz w:val="18"/>
              </w:rPr>
              <w:t> </w:t>
            </w:r>
            <w:r>
              <w:rPr>
                <w:rFonts w:ascii="Cambria Math" w:hAnsi="Cambria Math"/>
                <w:w w:val="105"/>
                <w:sz w:val="18"/>
              </w:rPr>
              <w:t>d</w:t>
            </w:r>
            <w:r>
              <w:rPr>
                <w:i/>
                <w:w w:val="105"/>
                <w:sz w:val="18"/>
              </w:rPr>
              <w:t>í</w:t>
            </w:r>
            <w:r>
              <w:rPr>
                <w:rFonts w:ascii="Cambria Math" w:hAnsi="Cambria Math"/>
                <w:w w:val="105"/>
                <w:sz w:val="18"/>
              </w:rPr>
              <w:t>a</w:t>
              <w:tab/>
              <w:t>m</w:t>
            </w:r>
            <w:r>
              <w:rPr>
                <w:rFonts w:ascii="Cambria Math" w:hAnsi="Cambria Math"/>
                <w:w w:val="105"/>
                <w:position w:val="6"/>
                <w:sz w:val="13"/>
              </w:rPr>
              <w:t>3</w:t>
            </w:r>
          </w:p>
          <w:p>
            <w:pPr>
              <w:pStyle w:val="TableParagraph"/>
              <w:spacing w:before="0"/>
              <w:ind w:right="0"/>
              <w:jc w:val="left"/>
              <w:rPr>
                <w:rFonts w:ascii="Arial"/>
                <w:b/>
                <w:sz w:val="20"/>
              </w:rPr>
            </w:pPr>
          </w:p>
          <w:p>
            <w:pPr>
              <w:pStyle w:val="TableParagraph"/>
              <w:spacing w:before="7"/>
              <w:ind w:right="0"/>
              <w:jc w:val="left"/>
              <w:rPr>
                <w:rFonts w:ascii="Arial"/>
                <w:b/>
                <w:sz w:val="23"/>
              </w:rPr>
            </w:pPr>
          </w:p>
          <w:p>
            <w:pPr>
              <w:pStyle w:val="TableParagraph"/>
              <w:tabs>
                <w:tab w:pos="1353" w:val="left" w:leader="none"/>
              </w:tabs>
              <w:spacing w:line="129" w:lineRule="auto" w:before="0"/>
              <w:ind w:left="103" w:right="4592" w:firstLine="1000"/>
              <w:jc w:val="left"/>
              <w:rPr>
                <w:rFonts w:ascii="Cambria Math" w:hAnsi="Cambria Math"/>
                <w:sz w:val="20"/>
              </w:rPr>
            </w:pPr>
            <w:r>
              <w:rPr>
                <w:rFonts w:ascii="Cambria Math" w:hAnsi="Cambria Math"/>
                <w:w w:val="105"/>
                <w:sz w:val="20"/>
              </w:rPr>
              <w:t>Kg de </w:t>
            </w:r>
            <w:r>
              <w:rPr>
                <w:rFonts w:ascii="Cambria Math" w:hAnsi="Cambria Math"/>
                <w:spacing w:val="-5"/>
                <w:w w:val="105"/>
                <w:sz w:val="20"/>
              </w:rPr>
              <w:t>0</w:t>
            </w:r>
            <w:r>
              <w:rPr>
                <w:rFonts w:ascii="Cambria Math" w:hAnsi="Cambria Math"/>
                <w:spacing w:val="-5"/>
                <w:w w:val="105"/>
                <w:position w:val="-3"/>
                <w:sz w:val="14"/>
              </w:rPr>
              <w:t>2 </w:t>
            </w:r>
            <w:r>
              <w:rPr>
                <w:rFonts w:ascii="Cambria Math" w:hAnsi="Cambria Math"/>
                <w:w w:val="105"/>
                <w:sz w:val="20"/>
              </w:rPr>
              <w:t>R</w:t>
            </w:r>
            <w:r>
              <w:rPr>
                <w:rFonts w:ascii="Cambria Math" w:hAnsi="Cambria Math"/>
                <w:w w:val="105"/>
                <w:position w:val="-3"/>
                <w:sz w:val="14"/>
              </w:rPr>
              <w:t>OD</w:t>
            </w:r>
            <w:r>
              <w:rPr>
                <w:rFonts w:ascii="Cambria Math" w:hAnsi="Cambria Math"/>
                <w:spacing w:val="28"/>
                <w:w w:val="105"/>
                <w:position w:val="-3"/>
                <w:sz w:val="14"/>
              </w:rPr>
              <w:t> </w:t>
            </w:r>
            <w:r>
              <w:rPr>
                <w:rFonts w:ascii="Cambria Math" w:hAnsi="Cambria Math"/>
                <w:w w:val="105"/>
                <w:sz w:val="20"/>
              </w:rPr>
              <w:t>=</w:t>
            </w:r>
            <w:r>
              <w:rPr>
                <w:rFonts w:ascii="Cambria Math" w:hAnsi="Cambria Math"/>
                <w:spacing w:val="4"/>
                <w:w w:val="105"/>
                <w:sz w:val="20"/>
              </w:rPr>
              <w:t> </w:t>
            </w:r>
            <w:r>
              <w:rPr>
                <w:rFonts w:ascii="Cambria Math" w:hAnsi="Cambria Math"/>
                <w:w w:val="105"/>
                <w:sz w:val="20"/>
              </w:rPr>
              <w:t>0,88</w:t>
              <w:tab/>
            </w:r>
            <w:r>
              <w:rPr>
                <w:rFonts w:ascii="Cambria Math" w:hAnsi="Cambria Math"/>
                <w:w w:val="105"/>
                <w:position w:val="-12"/>
                <w:sz w:val="20"/>
              </w:rPr>
              <w:t>día</w:t>
            </w:r>
          </w:p>
          <w:p>
            <w:pPr>
              <w:pStyle w:val="TableParagraph"/>
              <w:spacing w:before="6"/>
              <w:ind w:right="0"/>
              <w:jc w:val="left"/>
              <w:rPr>
                <w:rFonts w:ascii="Arial"/>
                <w:b/>
                <w:sz w:val="39"/>
              </w:rPr>
            </w:pPr>
          </w:p>
          <w:p>
            <w:pPr>
              <w:pStyle w:val="TableParagraph"/>
              <w:spacing w:before="0"/>
              <w:ind w:left="103" w:right="0"/>
              <w:jc w:val="left"/>
              <w:rPr>
                <w:rFonts w:ascii="Arial" w:hAnsi="Arial"/>
                <w:sz w:val="18"/>
              </w:rPr>
            </w:pPr>
            <w:r>
              <w:rPr>
                <w:rFonts w:ascii="Arial" w:hAnsi="Arial"/>
                <w:sz w:val="18"/>
              </w:rPr>
              <w:t>Paso 2. Caudal de diseño requerido de acuerdo a la demanda de oxígeno</w:t>
            </w:r>
          </w:p>
          <w:p>
            <w:pPr>
              <w:pStyle w:val="TableParagraph"/>
              <w:spacing w:before="0"/>
              <w:ind w:right="0"/>
              <w:jc w:val="left"/>
              <w:rPr>
                <w:rFonts w:ascii="Arial"/>
                <w:b/>
                <w:sz w:val="18"/>
              </w:rPr>
            </w:pPr>
          </w:p>
          <w:p>
            <w:pPr>
              <w:pStyle w:val="TableParagraph"/>
              <w:spacing w:before="0"/>
              <w:ind w:right="0"/>
              <w:jc w:val="left"/>
              <w:rPr>
                <w:rFonts w:ascii="Arial"/>
                <w:b/>
                <w:sz w:val="21"/>
              </w:rPr>
            </w:pPr>
          </w:p>
          <w:p>
            <w:pPr>
              <w:pStyle w:val="TableParagraph"/>
              <w:spacing w:line="190" w:lineRule="exact" w:before="0"/>
              <w:ind w:left="2164" w:right="3492"/>
              <w:jc w:val="center"/>
              <w:rPr>
                <w:rFonts w:ascii="Cambria Math"/>
                <w:sz w:val="14"/>
              </w:rPr>
            </w:pPr>
            <w:r>
              <w:rPr>
                <w:rFonts w:ascii="Cambria Math"/>
                <w:w w:val="110"/>
                <w:sz w:val="20"/>
              </w:rPr>
              <w:t>Kg de 0</w:t>
            </w:r>
            <w:r>
              <w:rPr>
                <w:rFonts w:ascii="Cambria Math"/>
                <w:w w:val="110"/>
                <w:position w:val="-3"/>
                <w:sz w:val="14"/>
              </w:rPr>
              <w:t>2</w:t>
            </w:r>
          </w:p>
          <w:p>
            <w:pPr>
              <w:pStyle w:val="TableParagraph"/>
              <w:tabs>
                <w:tab w:pos="1778" w:val="left" w:leader="none"/>
                <w:tab w:pos="2433" w:val="left" w:leader="none"/>
                <w:tab w:pos="2635" w:val="left" w:leader="none"/>
                <w:tab w:pos="2972" w:val="left" w:leader="none"/>
                <w:tab w:pos="3383" w:val="left" w:leader="none"/>
                <w:tab w:pos="4087" w:val="left" w:leader="none"/>
                <w:tab w:pos="4547" w:val="left" w:leader="none"/>
              </w:tabs>
              <w:spacing w:line="100" w:lineRule="auto" w:before="39"/>
              <w:ind w:left="103" w:right="1236" w:firstLine="792"/>
              <w:jc w:val="left"/>
              <w:rPr>
                <w:rFonts w:ascii="Cambria Math" w:hAnsi="Cambria Math"/>
                <w:sz w:val="20"/>
              </w:rPr>
            </w:pPr>
            <w:r>
              <w:rPr>
                <w:rFonts w:ascii="Cambria Math" w:hAnsi="Cambria Math"/>
                <w:w w:val="105"/>
                <w:sz w:val="20"/>
              </w:rPr>
              <w:t>R</w:t>
            </w:r>
            <w:r>
              <w:rPr>
                <w:rFonts w:ascii="Cambria Math" w:hAnsi="Cambria Math"/>
                <w:w w:val="105"/>
                <w:position w:val="-3"/>
                <w:sz w:val="14"/>
              </w:rPr>
              <w:t>OD</w:t>
              <w:tab/>
            </w:r>
            <w:r>
              <w:rPr>
                <w:rFonts w:ascii="Cambria Math" w:hAnsi="Cambria Math"/>
                <w:w w:val="105"/>
                <w:position w:val="4"/>
                <w:sz w:val="20"/>
              </w:rPr>
              <w:t>0,88</w:t>
              <w:tab/>
            </w:r>
            <w:r>
              <w:rPr>
                <w:rFonts w:ascii="Cambria Math" w:hAnsi="Cambria Math"/>
                <w:w w:val="105"/>
                <w:position w:val="-5"/>
                <w:sz w:val="20"/>
              </w:rPr>
              <w:t>día</w:t>
              <w:tab/>
              <w:tab/>
            </w:r>
            <w:r>
              <w:rPr>
                <w:rFonts w:ascii="Cambria Math" w:hAnsi="Cambria Math"/>
                <w:w w:val="105"/>
                <w:sz w:val="20"/>
              </w:rPr>
              <w:t>día</w:t>
              <w:tab/>
              <w:t>1</w:t>
            </w:r>
            <w:r>
              <w:rPr>
                <w:rFonts w:ascii="Cambria Math" w:hAnsi="Cambria Math"/>
                <w:spacing w:val="-20"/>
                <w:w w:val="105"/>
                <w:sz w:val="20"/>
              </w:rPr>
              <w:t> </w:t>
            </w:r>
            <w:r>
              <w:rPr>
                <w:rFonts w:ascii="Cambria Math" w:hAnsi="Cambria Math"/>
                <w:w w:val="105"/>
                <w:sz w:val="20"/>
              </w:rPr>
              <w:t>000</w:t>
            </w:r>
            <w:r>
              <w:rPr>
                <w:rFonts w:ascii="Cambria Math" w:hAnsi="Cambria Math"/>
                <w:spacing w:val="-18"/>
                <w:w w:val="105"/>
                <w:sz w:val="20"/>
              </w:rPr>
              <w:t> </w:t>
            </w:r>
            <w:r>
              <w:rPr>
                <w:rFonts w:ascii="Cambria Math" w:hAnsi="Cambria Math"/>
                <w:w w:val="105"/>
                <w:sz w:val="20"/>
              </w:rPr>
              <w:t>000mg</w:t>
            </w:r>
            <w:r>
              <w:rPr>
                <w:rFonts w:ascii="Cambria Math" w:hAnsi="Cambria Math"/>
                <w:w w:val="123"/>
                <w:sz w:val="20"/>
              </w:rPr>
              <w:t> </w:t>
            </w:r>
            <w:r>
              <w:rPr>
                <w:rFonts w:ascii="Cambria Math" w:hAnsi="Cambria Math"/>
                <w:spacing w:val="-4"/>
                <w:w w:val="105"/>
                <w:position w:val="13"/>
                <w:sz w:val="20"/>
              </w:rPr>
              <w:t>Q</w:t>
            </w:r>
            <w:r>
              <w:rPr>
                <w:rFonts w:ascii="Cambria Math" w:hAnsi="Cambria Math"/>
                <w:spacing w:val="-4"/>
                <w:w w:val="105"/>
                <w:position w:val="9"/>
                <w:sz w:val="14"/>
              </w:rPr>
              <w:t>D  </w:t>
            </w:r>
            <w:r>
              <w:rPr>
                <w:rFonts w:ascii="Cambria Math" w:hAnsi="Cambria Math"/>
                <w:w w:val="105"/>
                <w:position w:val="13"/>
                <w:sz w:val="20"/>
              </w:rPr>
              <w:t>= </w:t>
            </w:r>
            <w:r>
              <w:rPr>
                <w:rFonts w:ascii="Cambria Math" w:hAnsi="Cambria Math"/>
                <w:w w:val="105"/>
                <w:sz w:val="20"/>
              </w:rPr>
              <w:t>0D  −</w:t>
            </w:r>
            <w:r>
              <w:rPr>
                <w:rFonts w:ascii="Cambria Math" w:hAnsi="Cambria Math"/>
                <w:spacing w:val="23"/>
                <w:w w:val="105"/>
                <w:sz w:val="20"/>
              </w:rPr>
              <w:t> </w:t>
            </w:r>
            <w:r>
              <w:rPr>
                <w:rFonts w:ascii="Cambria Math" w:hAnsi="Cambria Math"/>
                <w:w w:val="105"/>
                <w:sz w:val="20"/>
              </w:rPr>
              <w:t>0D </w:t>
            </w:r>
            <w:r>
              <w:rPr>
                <w:rFonts w:ascii="Cambria Math" w:hAnsi="Cambria Math"/>
                <w:spacing w:val="33"/>
                <w:w w:val="105"/>
                <w:sz w:val="20"/>
              </w:rPr>
              <w:t> </w:t>
            </w:r>
            <w:r>
              <w:rPr>
                <w:rFonts w:ascii="Cambria Math" w:hAnsi="Cambria Math"/>
                <w:w w:val="105"/>
                <w:position w:val="13"/>
                <w:sz w:val="20"/>
              </w:rPr>
              <w:t>=</w:t>
              <w:tab/>
              <w:tab/>
              <w:tab/>
            </w:r>
            <w:r>
              <w:rPr>
                <w:rFonts w:ascii="Times New Roman" w:hAnsi="Times New Roman"/>
                <w:w w:val="105"/>
                <w:position w:val="13"/>
                <w:sz w:val="20"/>
                <w:u w:val="single"/>
              </w:rPr>
              <w:tab/>
            </w:r>
            <w:r>
              <w:rPr>
                <w:rFonts w:ascii="Cambria Math" w:hAnsi="Cambria Math"/>
                <w:w w:val="105"/>
                <w:position w:val="13"/>
                <w:sz w:val="20"/>
              </w:rPr>
              <w:t>∙ </w:t>
            </w:r>
            <w:r>
              <w:rPr>
                <w:rFonts w:ascii="Cambria Math" w:hAnsi="Cambria Math"/>
                <w:w w:val="105"/>
                <w:sz w:val="20"/>
              </w:rPr>
              <w:t>1</w:t>
            </w:r>
            <w:r>
              <w:rPr>
                <w:rFonts w:ascii="Cambria Math" w:hAnsi="Cambria Math"/>
                <w:spacing w:val="-5"/>
                <w:w w:val="105"/>
                <w:sz w:val="20"/>
              </w:rPr>
              <w:t> </w:t>
            </w:r>
            <w:r>
              <w:rPr>
                <w:rFonts w:ascii="Cambria Math" w:hAnsi="Cambria Math"/>
                <w:w w:val="105"/>
                <w:sz w:val="20"/>
              </w:rPr>
              <w:t>400min</w:t>
            </w:r>
            <w:r>
              <w:rPr>
                <w:rFonts w:ascii="Cambria Math" w:hAnsi="Cambria Math"/>
                <w:spacing w:val="1"/>
                <w:w w:val="105"/>
                <w:sz w:val="20"/>
              </w:rPr>
              <w:t> </w:t>
            </w:r>
            <w:r>
              <w:rPr>
                <w:rFonts w:ascii="Cambria Math" w:hAnsi="Cambria Math"/>
                <w:w w:val="105"/>
                <w:position w:val="13"/>
                <w:sz w:val="20"/>
              </w:rPr>
              <w:t>∙</w:t>
              <w:tab/>
              <w:tab/>
            </w:r>
            <w:r>
              <w:rPr>
                <w:rFonts w:ascii="Cambria Math" w:hAnsi="Cambria Math"/>
                <w:w w:val="105"/>
                <w:sz w:val="20"/>
              </w:rPr>
              <w:t>kg</w:t>
            </w:r>
          </w:p>
          <w:p>
            <w:pPr>
              <w:pStyle w:val="TableParagraph"/>
              <w:tabs>
                <w:tab w:pos="1427" w:val="left" w:leader="none"/>
                <w:tab w:pos="1823" w:val="left" w:leader="none"/>
              </w:tabs>
              <w:spacing w:line="17" w:lineRule="exact" w:before="0"/>
              <w:ind w:left="864" w:right="0"/>
              <w:jc w:val="left"/>
              <w:rPr>
                <w:rFonts w:ascii="Cambria Math" w:hAnsi="Cambria Math"/>
                <w:sz w:val="20"/>
              </w:rPr>
            </w:pPr>
            <w:r>
              <w:rPr>
                <w:rFonts w:ascii="Cambria Math" w:hAnsi="Cambria Math"/>
                <w:w w:val="105"/>
                <w:position w:val="2"/>
                <w:sz w:val="14"/>
              </w:rPr>
              <w:t>I</w:t>
              <w:tab/>
              <w:t>S</w:t>
              <w:tab/>
            </w:r>
            <w:r>
              <w:rPr>
                <w:rFonts w:ascii="Cambria Math" w:hAnsi="Cambria Math"/>
                <w:w w:val="105"/>
                <w:position w:val="1"/>
                <w:sz w:val="20"/>
              </w:rPr>
              <w:t>(</w:t>
            </w:r>
            <w:r>
              <w:rPr>
                <w:rFonts w:ascii="Cambria Math" w:hAnsi="Cambria Math"/>
                <w:w w:val="105"/>
                <w:sz w:val="20"/>
              </w:rPr>
              <w:t>7,9</w:t>
            </w:r>
            <w:r>
              <w:rPr>
                <w:rFonts w:ascii="Cambria Math" w:hAnsi="Cambria Math"/>
                <w:spacing w:val="-13"/>
                <w:w w:val="105"/>
                <w:sz w:val="20"/>
              </w:rPr>
              <w:t> </w:t>
            </w:r>
            <w:r>
              <w:rPr>
                <w:rFonts w:ascii="Cambria Math" w:hAnsi="Cambria Math"/>
                <w:w w:val="105"/>
                <w:sz w:val="20"/>
              </w:rPr>
              <w:t>−</w:t>
            </w:r>
            <w:r>
              <w:rPr>
                <w:rFonts w:ascii="Cambria Math" w:hAnsi="Cambria Math"/>
                <w:spacing w:val="-11"/>
                <w:w w:val="105"/>
                <w:sz w:val="20"/>
              </w:rPr>
              <w:t> </w:t>
            </w:r>
            <w:r>
              <w:rPr>
                <w:rFonts w:ascii="Cambria Math" w:hAnsi="Cambria Math"/>
                <w:w w:val="105"/>
                <w:sz w:val="20"/>
              </w:rPr>
              <w:t>5</w:t>
            </w:r>
            <w:r>
              <w:rPr>
                <w:rFonts w:ascii="Cambria Math" w:hAnsi="Cambria Math"/>
                <w:w w:val="105"/>
                <w:position w:val="1"/>
                <w:sz w:val="20"/>
              </w:rPr>
              <w:t>)</w:t>
            </w:r>
            <w:r>
              <w:rPr>
                <w:rFonts w:ascii="Cambria Math" w:hAnsi="Cambria Math"/>
                <w:spacing w:val="-19"/>
                <w:w w:val="105"/>
                <w:position w:val="1"/>
                <w:sz w:val="20"/>
              </w:rPr>
              <w:t> </w:t>
            </w:r>
            <w:r>
              <w:rPr>
                <w:rFonts w:ascii="Cambria Math" w:hAnsi="Cambria Math"/>
                <w:w w:val="105"/>
                <w:position w:val="12"/>
                <w:sz w:val="20"/>
              </w:rPr>
              <w:t>mg</w:t>
            </w:r>
          </w:p>
          <w:p>
            <w:pPr>
              <w:pStyle w:val="TableParagraph"/>
              <w:spacing w:line="168" w:lineRule="exact" w:before="0"/>
              <w:ind w:left="2726" w:right="0"/>
              <w:jc w:val="left"/>
              <w:rPr>
                <w:rFonts w:ascii="Cambria Math"/>
                <w:sz w:val="20"/>
              </w:rPr>
            </w:pPr>
            <w:r>
              <w:rPr>
                <w:rFonts w:ascii="Cambria Math"/>
                <w:w w:val="98"/>
                <w:sz w:val="20"/>
              </w:rPr>
              <w:t>L</w:t>
            </w:r>
          </w:p>
          <w:p>
            <w:pPr>
              <w:pStyle w:val="TableParagraph"/>
              <w:spacing w:before="0"/>
              <w:ind w:right="0"/>
              <w:jc w:val="left"/>
              <w:rPr>
                <w:rFonts w:ascii="Arial"/>
                <w:b/>
                <w:sz w:val="20"/>
              </w:rPr>
            </w:pPr>
          </w:p>
          <w:p>
            <w:pPr>
              <w:pStyle w:val="TableParagraph"/>
              <w:spacing w:before="7"/>
              <w:ind w:right="0"/>
              <w:jc w:val="left"/>
              <w:rPr>
                <w:rFonts w:ascii="Arial"/>
                <w:b/>
                <w:sz w:val="15"/>
              </w:rPr>
            </w:pPr>
          </w:p>
          <w:p>
            <w:pPr>
              <w:pStyle w:val="TableParagraph"/>
              <w:tabs>
                <w:tab w:pos="1307" w:val="left" w:leader="none"/>
                <w:tab w:pos="1941" w:val="left" w:leader="none"/>
              </w:tabs>
              <w:spacing w:line="209" w:lineRule="exact" w:before="0"/>
              <w:ind w:left="604" w:right="0"/>
              <w:jc w:val="left"/>
              <w:rPr>
                <w:rFonts w:ascii="Cambria Math"/>
                <w:sz w:val="14"/>
              </w:rPr>
            </w:pPr>
            <w:r>
              <w:rPr>
                <w:rFonts w:ascii="Cambria Math"/>
                <w:sz w:val="20"/>
              </w:rPr>
              <w:t>210L</w:t>
              <w:tab/>
              <w:t>3,5L</w:t>
              <w:tab/>
              <w:t>302,4m</w:t>
            </w:r>
            <w:r>
              <w:rPr>
                <w:rFonts w:ascii="Cambria Math"/>
                <w:position w:val="7"/>
                <w:sz w:val="14"/>
              </w:rPr>
              <w:t>3</w:t>
            </w:r>
          </w:p>
          <w:p>
            <w:pPr>
              <w:pStyle w:val="TableParagraph"/>
              <w:tabs>
                <w:tab w:pos="2169" w:val="left" w:leader="none"/>
              </w:tabs>
              <w:spacing w:line="326" w:lineRule="exact" w:before="0"/>
              <w:ind w:left="103" w:right="0"/>
              <w:jc w:val="left"/>
              <w:rPr>
                <w:rFonts w:ascii="Cambria Math" w:hAnsi="Cambria Math"/>
                <w:sz w:val="20"/>
              </w:rPr>
            </w:pPr>
            <w:r>
              <w:rPr>
                <w:rFonts w:ascii="Cambria Math" w:hAnsi="Cambria Math"/>
                <w:spacing w:val="-4"/>
                <w:w w:val="105"/>
                <w:position w:val="13"/>
                <w:sz w:val="20"/>
              </w:rPr>
              <w:t>Q</w:t>
            </w:r>
            <w:r>
              <w:rPr>
                <w:rFonts w:ascii="Cambria Math" w:hAnsi="Cambria Math"/>
                <w:spacing w:val="-4"/>
                <w:w w:val="105"/>
                <w:position w:val="9"/>
                <w:sz w:val="14"/>
              </w:rPr>
              <w:t>D  </w:t>
            </w:r>
            <w:r>
              <w:rPr>
                <w:rFonts w:ascii="Cambria Math" w:hAnsi="Cambria Math"/>
                <w:w w:val="105"/>
                <w:position w:val="13"/>
                <w:sz w:val="20"/>
              </w:rPr>
              <w:t>=  </w:t>
            </w:r>
            <w:r>
              <w:rPr>
                <w:rFonts w:ascii="Cambria Math" w:hAnsi="Cambria Math"/>
                <w:w w:val="105"/>
                <w:sz w:val="20"/>
              </w:rPr>
              <w:t>min  </w:t>
            </w:r>
            <w:r>
              <w:rPr>
                <w:rFonts w:ascii="Cambria Math" w:hAnsi="Cambria Math"/>
                <w:w w:val="105"/>
                <w:position w:val="13"/>
                <w:sz w:val="20"/>
              </w:rPr>
              <w:t>=   </w:t>
            </w:r>
            <w:r>
              <w:rPr>
                <w:rFonts w:ascii="Cambria Math" w:hAnsi="Cambria Math"/>
                <w:spacing w:val="27"/>
                <w:w w:val="105"/>
                <w:position w:val="13"/>
                <w:sz w:val="20"/>
              </w:rPr>
              <w:t> </w:t>
            </w:r>
            <w:r>
              <w:rPr>
                <w:rFonts w:ascii="Cambria Math" w:hAnsi="Cambria Math"/>
                <w:w w:val="105"/>
                <w:sz w:val="20"/>
              </w:rPr>
              <w:t>s   </w:t>
            </w:r>
            <w:r>
              <w:rPr>
                <w:rFonts w:ascii="Cambria Math" w:hAnsi="Cambria Math"/>
                <w:spacing w:val="6"/>
                <w:w w:val="105"/>
                <w:sz w:val="20"/>
              </w:rPr>
              <w:t> </w:t>
            </w:r>
            <w:r>
              <w:rPr>
                <w:rFonts w:ascii="Cambria Math" w:hAnsi="Cambria Math"/>
                <w:w w:val="105"/>
                <w:position w:val="13"/>
                <w:sz w:val="20"/>
              </w:rPr>
              <w:t>=</w:t>
              <w:tab/>
            </w:r>
            <w:r>
              <w:rPr>
                <w:rFonts w:ascii="Cambria Math" w:hAnsi="Cambria Math"/>
                <w:w w:val="105"/>
                <w:sz w:val="20"/>
              </w:rPr>
              <w:t>día</w:t>
            </w:r>
          </w:p>
          <w:p>
            <w:pPr>
              <w:pStyle w:val="TableParagraph"/>
              <w:spacing w:before="77"/>
              <w:ind w:left="103" w:right="0"/>
              <w:jc w:val="left"/>
              <w:rPr>
                <w:rFonts w:ascii="Arial" w:hAnsi="Arial"/>
                <w:sz w:val="18"/>
              </w:rPr>
            </w:pPr>
            <w:r>
              <w:rPr>
                <w:rFonts w:ascii="Arial" w:hAnsi="Arial"/>
                <w:sz w:val="18"/>
              </w:rPr>
              <w:t>Paso 3. Producción de nitrógeno amoniacal por los peces</w:t>
            </w:r>
          </w:p>
          <w:p>
            <w:pPr>
              <w:pStyle w:val="TableParagraph"/>
              <w:spacing w:before="0"/>
              <w:ind w:right="0"/>
              <w:jc w:val="left"/>
              <w:rPr>
                <w:rFonts w:ascii="Arial"/>
                <w:b/>
                <w:sz w:val="18"/>
              </w:rPr>
            </w:pPr>
          </w:p>
          <w:p>
            <w:pPr>
              <w:pStyle w:val="TableParagraph"/>
              <w:spacing w:before="8"/>
              <w:ind w:right="0"/>
              <w:jc w:val="left"/>
              <w:rPr>
                <w:rFonts w:ascii="Arial"/>
                <w:b/>
                <w:sz w:val="22"/>
              </w:rPr>
            </w:pPr>
          </w:p>
          <w:p>
            <w:pPr>
              <w:pStyle w:val="TableParagraph"/>
              <w:spacing w:before="0"/>
              <w:ind w:left="103" w:right="0"/>
              <w:jc w:val="left"/>
              <w:rPr>
                <w:rFonts w:ascii="Cambria Math" w:hAnsi="Cambria Math"/>
                <w:sz w:val="14"/>
              </w:rPr>
            </w:pPr>
            <w:r>
              <w:rPr>
                <w:rFonts w:ascii="Cambria Math" w:hAnsi="Cambria Math"/>
                <w:position w:val="4"/>
                <w:sz w:val="20"/>
              </w:rPr>
              <w:t>P</w:t>
            </w:r>
            <w:r>
              <w:rPr>
                <w:rFonts w:ascii="Cambria Math" w:hAnsi="Cambria Math"/>
                <w:sz w:val="14"/>
              </w:rPr>
              <w:t>Æm   </w:t>
            </w:r>
            <w:r>
              <w:rPr>
                <w:rFonts w:ascii="Cambria Math" w:hAnsi="Cambria Math"/>
                <w:position w:val="4"/>
                <w:sz w:val="20"/>
              </w:rPr>
              <w:t>= a</w:t>
            </w:r>
            <w:r>
              <w:rPr>
                <w:rFonts w:ascii="Cambria Math" w:hAnsi="Cambria Math"/>
                <w:sz w:val="14"/>
              </w:rPr>
              <w:t>Æm  </w:t>
            </w:r>
            <w:r>
              <w:rPr>
                <w:rFonts w:ascii="Cambria Math" w:hAnsi="Cambria Math"/>
                <w:position w:val="4"/>
                <w:sz w:val="20"/>
              </w:rPr>
              <w:t>∙ R</w:t>
            </w:r>
            <w:r>
              <w:rPr>
                <w:rFonts w:ascii="Cambria Math" w:hAnsi="Cambria Math"/>
                <w:sz w:val="14"/>
              </w:rPr>
              <w:t>Æ1i</w:t>
            </w:r>
          </w:p>
          <w:p>
            <w:pPr>
              <w:pStyle w:val="TableParagraph"/>
              <w:spacing w:before="0"/>
              <w:ind w:right="0"/>
              <w:jc w:val="left"/>
              <w:rPr>
                <w:rFonts w:ascii="Arial"/>
                <w:b/>
                <w:sz w:val="22"/>
              </w:rPr>
            </w:pPr>
          </w:p>
          <w:p>
            <w:pPr>
              <w:pStyle w:val="TableParagraph"/>
              <w:spacing w:before="0"/>
              <w:ind w:right="0"/>
              <w:jc w:val="left"/>
              <w:rPr>
                <w:rFonts w:ascii="Arial"/>
                <w:b/>
                <w:sz w:val="22"/>
              </w:rPr>
            </w:pPr>
          </w:p>
          <w:p>
            <w:pPr>
              <w:pStyle w:val="TableParagraph"/>
              <w:spacing w:before="0"/>
              <w:ind w:right="0"/>
              <w:jc w:val="left"/>
              <w:rPr>
                <w:rFonts w:ascii="Arial"/>
                <w:b/>
                <w:sz w:val="22"/>
              </w:rPr>
            </w:pPr>
          </w:p>
          <w:p>
            <w:pPr>
              <w:pStyle w:val="TableParagraph"/>
              <w:tabs>
                <w:tab w:pos="1987" w:val="left" w:leader="none"/>
                <w:tab w:pos="2200" w:val="left" w:leader="none"/>
              </w:tabs>
              <w:spacing w:line="134" w:lineRule="auto" w:before="183"/>
              <w:ind w:left="103" w:right="3776" w:firstLine="588"/>
              <w:jc w:val="left"/>
              <w:rPr>
                <w:rFonts w:ascii="Cambria Math" w:hAnsi="Cambria Math"/>
                <w:sz w:val="20"/>
              </w:rPr>
            </w:pPr>
            <w:r>
              <w:rPr>
                <w:rFonts w:ascii="Cambria Math" w:hAnsi="Cambria Math"/>
                <w:w w:val="105"/>
                <w:sz w:val="20"/>
              </w:rPr>
              <w:t>0,03Kg</w:t>
            </w:r>
            <w:r>
              <w:rPr>
                <w:rFonts w:ascii="Cambria Math" w:hAnsi="Cambria Math"/>
                <w:w w:val="105"/>
                <w:position w:val="-3"/>
                <w:sz w:val="14"/>
              </w:rPr>
              <w:t>Æm</w:t>
              <w:tab/>
            </w:r>
            <w:r>
              <w:rPr>
                <w:rFonts w:ascii="Cambria Math" w:hAnsi="Cambria Math"/>
                <w:w w:val="105"/>
                <w:sz w:val="20"/>
              </w:rPr>
              <w:t>Kg</w:t>
            </w:r>
            <w:r>
              <w:rPr>
                <w:rFonts w:ascii="Cambria Math" w:hAnsi="Cambria Math"/>
                <w:spacing w:val="33"/>
                <w:w w:val="105"/>
                <w:sz w:val="20"/>
              </w:rPr>
              <w:t> </w:t>
            </w:r>
            <w:r>
              <w:rPr>
                <w:rFonts w:ascii="Cambria Math" w:hAnsi="Cambria Math"/>
                <w:w w:val="105"/>
                <w:sz w:val="20"/>
              </w:rPr>
              <w:t>alim</w:t>
            </w:r>
            <w:r>
              <w:rPr>
                <w:rFonts w:ascii="Cambria Math" w:hAnsi="Cambria Math"/>
                <w:w w:val="100"/>
                <w:sz w:val="20"/>
              </w:rPr>
              <w:t> </w:t>
            </w:r>
            <w:r>
              <w:rPr>
                <w:rFonts w:ascii="Cambria Math" w:hAnsi="Cambria Math"/>
                <w:spacing w:val="-12"/>
                <w:w w:val="105"/>
                <w:position w:val="13"/>
                <w:sz w:val="20"/>
              </w:rPr>
              <w:t>P</w:t>
            </w:r>
            <w:r>
              <w:rPr>
                <w:rFonts w:ascii="Cambria Math" w:hAnsi="Cambria Math"/>
                <w:spacing w:val="-12"/>
                <w:w w:val="105"/>
                <w:position w:val="9"/>
                <w:sz w:val="14"/>
              </w:rPr>
              <w:t>Æm   </w:t>
            </w:r>
            <w:r>
              <w:rPr>
                <w:rFonts w:ascii="Cambria Math" w:hAnsi="Cambria Math"/>
                <w:w w:val="105"/>
                <w:position w:val="13"/>
                <w:sz w:val="20"/>
              </w:rPr>
              <w:t>=   </w:t>
            </w:r>
            <w:r>
              <w:rPr>
                <w:rFonts w:ascii="Cambria Math" w:hAnsi="Cambria Math"/>
                <w:w w:val="105"/>
                <w:sz w:val="20"/>
              </w:rPr>
              <w:t>Kg alim </w:t>
            </w:r>
            <w:r>
              <w:rPr>
                <w:rFonts w:ascii="Cambria Math" w:hAnsi="Cambria Math"/>
                <w:spacing w:val="18"/>
                <w:w w:val="105"/>
                <w:sz w:val="20"/>
              </w:rPr>
              <w:t> </w:t>
            </w:r>
            <w:r>
              <w:rPr>
                <w:rFonts w:ascii="Cambria Math" w:hAnsi="Cambria Math"/>
                <w:w w:val="105"/>
                <w:position w:val="13"/>
                <w:sz w:val="20"/>
              </w:rPr>
              <w:t>∙</w:t>
            </w:r>
            <w:r>
              <w:rPr>
                <w:rFonts w:ascii="Cambria Math" w:hAnsi="Cambria Math"/>
                <w:spacing w:val="-4"/>
                <w:w w:val="105"/>
                <w:position w:val="13"/>
                <w:sz w:val="20"/>
              </w:rPr>
              <w:t> </w:t>
            </w:r>
            <w:r>
              <w:rPr>
                <w:rFonts w:ascii="Cambria Math" w:hAnsi="Cambria Math"/>
                <w:w w:val="105"/>
                <w:position w:val="13"/>
                <w:sz w:val="20"/>
              </w:rPr>
              <w:t>3,5</w:t>
              <w:tab/>
              <w:tab/>
            </w:r>
            <w:r>
              <w:rPr>
                <w:rFonts w:ascii="Cambria Math" w:hAnsi="Cambria Math"/>
                <w:w w:val="105"/>
                <w:sz w:val="20"/>
              </w:rPr>
              <w:t>día</w:t>
            </w:r>
          </w:p>
          <w:p>
            <w:pPr>
              <w:pStyle w:val="TableParagraph"/>
              <w:spacing w:before="0"/>
              <w:ind w:right="0"/>
              <w:jc w:val="left"/>
              <w:rPr>
                <w:rFonts w:ascii="Arial"/>
                <w:b/>
                <w:sz w:val="32"/>
              </w:rPr>
            </w:pPr>
          </w:p>
          <w:p>
            <w:pPr>
              <w:pStyle w:val="TableParagraph"/>
              <w:spacing w:line="129" w:lineRule="auto" w:before="191"/>
              <w:ind w:left="2440" w:right="2449" w:firstLine="1106"/>
              <w:jc w:val="left"/>
              <w:rPr>
                <w:rFonts w:ascii="Cambria Math" w:hAnsi="Cambria Math"/>
                <w:sz w:val="20"/>
              </w:rPr>
            </w:pPr>
            <w:r>
              <w:rPr>
                <w:rFonts w:ascii="Cambria Math" w:hAnsi="Cambria Math"/>
                <w:sz w:val="20"/>
              </w:rPr>
              <w:t>Kg</w:t>
            </w:r>
            <w:r>
              <w:rPr>
                <w:rFonts w:ascii="Cambria Math" w:hAnsi="Cambria Math"/>
                <w:position w:val="-3"/>
                <w:sz w:val="14"/>
              </w:rPr>
              <w:t>Æm </w:t>
            </w:r>
            <w:r>
              <w:rPr>
                <w:rFonts w:ascii="Cambria Math" w:hAnsi="Cambria Math"/>
                <w:sz w:val="20"/>
              </w:rPr>
              <w:t>P</w:t>
            </w:r>
            <w:r>
              <w:rPr>
                <w:rFonts w:ascii="Cambria Math" w:hAnsi="Cambria Math"/>
                <w:position w:val="-3"/>
                <w:sz w:val="14"/>
              </w:rPr>
              <w:t>Æm    </w:t>
            </w:r>
            <w:r>
              <w:rPr>
                <w:rFonts w:ascii="Cambria Math" w:hAnsi="Cambria Math"/>
                <w:sz w:val="20"/>
              </w:rPr>
              <w:t>= 0,105   </w:t>
            </w:r>
            <w:r>
              <w:rPr>
                <w:rFonts w:ascii="Cambria Math" w:hAnsi="Cambria Math"/>
                <w:position w:val="-12"/>
                <w:sz w:val="20"/>
              </w:rPr>
              <w:t>día</w:t>
            </w:r>
          </w:p>
          <w:p>
            <w:pPr>
              <w:pStyle w:val="TableParagraph"/>
              <w:spacing w:before="5"/>
              <w:ind w:right="0"/>
              <w:jc w:val="left"/>
              <w:rPr>
                <w:rFonts w:ascii="Arial"/>
                <w:b/>
                <w:sz w:val="37"/>
              </w:rPr>
            </w:pPr>
          </w:p>
          <w:p>
            <w:pPr>
              <w:pStyle w:val="TableParagraph"/>
              <w:spacing w:before="0"/>
              <w:ind w:left="103" w:right="0"/>
              <w:jc w:val="left"/>
              <w:rPr>
                <w:rFonts w:ascii="Arial" w:hAnsi="Arial"/>
                <w:sz w:val="18"/>
              </w:rPr>
            </w:pPr>
            <w:r>
              <w:rPr>
                <w:rFonts w:ascii="Arial" w:hAnsi="Arial"/>
                <w:sz w:val="18"/>
              </w:rPr>
              <w:t>Paso 4. Área superficial requerida para remover la producción de nitrógeno amoniacal</w:t>
            </w:r>
          </w:p>
          <w:p>
            <w:pPr>
              <w:pStyle w:val="TableParagraph"/>
              <w:spacing w:before="4"/>
              <w:ind w:right="0"/>
              <w:jc w:val="left"/>
              <w:rPr>
                <w:rFonts w:ascii="Arial"/>
                <w:b/>
                <w:sz w:val="18"/>
              </w:rPr>
            </w:pPr>
          </w:p>
          <w:p>
            <w:pPr>
              <w:pStyle w:val="TableParagraph"/>
              <w:tabs>
                <w:tab w:pos="1348" w:val="left" w:leader="none"/>
                <w:tab w:pos="2668" w:val="left" w:leader="none"/>
              </w:tabs>
              <w:spacing w:line="93" w:lineRule="auto" w:before="0"/>
              <w:ind w:left="741" w:right="3372" w:firstLine="1125"/>
              <w:jc w:val="left"/>
              <w:rPr>
                <w:rFonts w:ascii="Cambria Math" w:hAnsi="Cambria Math"/>
                <w:sz w:val="20"/>
              </w:rPr>
            </w:pPr>
            <w:r>
              <w:rPr>
                <w:rFonts w:ascii="Cambria Math" w:hAnsi="Cambria Math"/>
                <w:w w:val="105"/>
                <w:sz w:val="20"/>
              </w:rPr>
              <w:t>Kg</w:t>
            </w:r>
            <w:r>
              <w:rPr>
                <w:rFonts w:ascii="Cambria Math" w:hAnsi="Cambria Math"/>
                <w:w w:val="105"/>
                <w:position w:val="-3"/>
                <w:sz w:val="14"/>
              </w:rPr>
              <w:t>Æm </w:t>
            </w:r>
            <w:r>
              <w:rPr>
                <w:rFonts w:ascii="Cambria Math" w:hAnsi="Cambria Math"/>
                <w:w w:val="105"/>
                <w:sz w:val="20"/>
                <w:u w:val="single"/>
              </w:rPr>
              <w:t>1 000g </w:t>
            </w:r>
            <w:r>
              <w:rPr>
                <w:rFonts w:ascii="Cambria Math" w:hAnsi="Cambria Math"/>
                <w:spacing w:val="-11"/>
                <w:w w:val="105"/>
                <w:position w:val="4"/>
                <w:sz w:val="20"/>
              </w:rPr>
              <w:t>P</w:t>
            </w:r>
            <w:r>
              <w:rPr>
                <w:rFonts w:ascii="Cambria Math" w:hAnsi="Cambria Math"/>
                <w:spacing w:val="-11"/>
                <w:w w:val="105"/>
                <w:sz w:val="14"/>
              </w:rPr>
              <w:t>ÆM</w:t>
              <w:tab/>
            </w:r>
            <w:r>
              <w:rPr>
                <w:rFonts w:ascii="Cambria Math" w:hAnsi="Cambria Math"/>
                <w:w w:val="105"/>
                <w:position w:val="12"/>
                <w:sz w:val="20"/>
              </w:rPr>
              <w:t>0,105 </w:t>
            </w:r>
            <w:r>
              <w:rPr>
                <w:rFonts w:ascii="Cambria Math" w:hAnsi="Cambria Math"/>
                <w:spacing w:val="34"/>
                <w:w w:val="105"/>
                <w:position w:val="12"/>
                <w:sz w:val="20"/>
              </w:rPr>
              <w:t> </w:t>
            </w:r>
            <w:r>
              <w:rPr>
                <w:rFonts w:ascii="Cambria Math" w:hAnsi="Cambria Math"/>
                <w:w w:val="105"/>
                <w:position w:val="2"/>
                <w:sz w:val="20"/>
              </w:rPr>
              <w:t>día  </w:t>
            </w:r>
            <w:r>
              <w:rPr>
                <w:rFonts w:ascii="Cambria Math" w:hAnsi="Cambria Math"/>
                <w:spacing w:val="3"/>
                <w:w w:val="105"/>
                <w:position w:val="2"/>
                <w:sz w:val="20"/>
              </w:rPr>
              <w:t> </w:t>
            </w:r>
            <w:r>
              <w:rPr>
                <w:rFonts w:ascii="Cambria Math" w:hAnsi="Cambria Math"/>
                <w:w w:val="105"/>
                <w:position w:val="12"/>
                <w:sz w:val="20"/>
              </w:rPr>
              <w:t>∙</w:t>
              <w:tab/>
            </w:r>
            <w:r>
              <w:rPr>
                <w:rFonts w:ascii="Cambria Math" w:hAnsi="Cambria Math"/>
                <w:w w:val="105"/>
                <w:position w:val="2"/>
                <w:sz w:val="20"/>
              </w:rPr>
              <w:t>Kg</w:t>
            </w:r>
          </w:p>
          <w:p>
            <w:pPr>
              <w:pStyle w:val="TableParagraph"/>
              <w:tabs>
                <w:tab w:pos="1835" w:val="left" w:leader="none"/>
                <w:tab w:pos="3073" w:val="left" w:leader="none"/>
              </w:tabs>
              <w:spacing w:line="160" w:lineRule="exact" w:before="0"/>
              <w:ind w:left="103" w:right="0"/>
              <w:jc w:val="left"/>
              <w:rPr>
                <w:rFonts w:ascii="Times New Roman" w:hAnsi="Times New Roman"/>
                <w:sz w:val="20"/>
              </w:rPr>
            </w:pPr>
            <w:r>
              <w:rPr>
                <w:rFonts w:ascii="Cambria Math" w:hAnsi="Cambria Math"/>
                <w:spacing w:val="-4"/>
                <w:sz w:val="20"/>
              </w:rPr>
              <w:t>A</w:t>
            </w:r>
            <w:r>
              <w:rPr>
                <w:rFonts w:ascii="Cambria Math" w:hAnsi="Cambria Math"/>
                <w:spacing w:val="-4"/>
                <w:position w:val="-3"/>
                <w:sz w:val="14"/>
              </w:rPr>
              <w:t>Æm  </w:t>
            </w:r>
            <w:r>
              <w:rPr>
                <w:rFonts w:ascii="Cambria Math" w:hAnsi="Cambria Math"/>
                <w:sz w:val="20"/>
              </w:rPr>
              <w:t>= </w:t>
            </w:r>
            <w:r>
              <w:rPr>
                <w:rFonts w:ascii="Cambria Math" w:hAnsi="Cambria Math"/>
                <w:position w:val="-12"/>
                <w:sz w:val="20"/>
              </w:rPr>
              <w:t>TAA</w:t>
            </w:r>
            <w:r>
              <w:rPr>
                <w:rFonts w:ascii="Cambria Math" w:hAnsi="Cambria Math"/>
                <w:spacing w:val="29"/>
                <w:position w:val="-12"/>
                <w:sz w:val="20"/>
              </w:rPr>
              <w:t> </w:t>
            </w:r>
            <w:r>
              <w:rPr>
                <w:rFonts w:ascii="Cambria Math" w:hAnsi="Cambria Math"/>
                <w:sz w:val="20"/>
              </w:rPr>
              <w:t>=</w:t>
              <w:tab/>
            </w:r>
            <w:r>
              <w:rPr>
                <w:rFonts w:ascii="Times New Roman" w:hAnsi="Times New Roman"/>
                <w:w w:val="99"/>
                <w:sz w:val="20"/>
                <w:u w:val="single"/>
              </w:rPr>
              <w:t> </w:t>
            </w:r>
            <w:r>
              <w:rPr>
                <w:rFonts w:ascii="Times New Roman" w:hAnsi="Times New Roman"/>
                <w:sz w:val="20"/>
                <w:u w:val="single"/>
              </w:rPr>
              <w:tab/>
            </w:r>
          </w:p>
          <w:p>
            <w:pPr>
              <w:pStyle w:val="TableParagraph"/>
              <w:spacing w:line="166" w:lineRule="exact" w:before="0"/>
              <w:ind w:left="1427" w:right="0"/>
              <w:jc w:val="left"/>
              <w:rPr>
                <w:rFonts w:ascii="Cambria Math" w:hAnsi="Cambria Math"/>
                <w:sz w:val="14"/>
              </w:rPr>
            </w:pPr>
            <w:r>
              <w:rPr>
                <w:rFonts w:ascii="Cambria Math" w:hAnsi="Cambria Math"/>
                <w:w w:val="105"/>
                <w:position w:val="-11"/>
                <w:sz w:val="20"/>
              </w:rPr>
              <w:t>0,25 </w:t>
            </w:r>
            <w:r>
              <w:rPr>
                <w:rFonts w:ascii="Cambria Math" w:hAnsi="Cambria Math"/>
                <w:w w:val="105"/>
                <w:sz w:val="20"/>
              </w:rPr>
              <w:t>g de N − NH</w:t>
            </w:r>
            <w:r>
              <w:rPr>
                <w:rFonts w:ascii="Cambria Math" w:hAnsi="Cambria Math"/>
                <w:w w:val="105"/>
                <w:position w:val="-3"/>
                <w:sz w:val="14"/>
              </w:rPr>
              <w:t>3</w:t>
            </w:r>
          </w:p>
          <w:p>
            <w:pPr>
              <w:pStyle w:val="TableParagraph"/>
              <w:spacing w:line="173" w:lineRule="exact" w:before="0"/>
              <w:ind w:left="2087" w:right="0"/>
              <w:jc w:val="left"/>
              <w:rPr>
                <w:rFonts w:ascii="Cambria Math" w:hAnsi="Cambria Math"/>
                <w:sz w:val="20"/>
              </w:rPr>
            </w:pPr>
            <w:r>
              <w:rPr>
                <w:rFonts w:ascii="Cambria Math" w:hAnsi="Cambria Math"/>
                <w:w w:val="105"/>
                <w:sz w:val="20"/>
              </w:rPr>
              <w:t>m</w:t>
            </w:r>
            <w:r>
              <w:rPr>
                <w:rFonts w:ascii="Cambria Math" w:hAnsi="Cambria Math"/>
                <w:w w:val="105"/>
                <w:position w:val="6"/>
                <w:sz w:val="14"/>
              </w:rPr>
              <w:t>2  </w:t>
            </w:r>
            <w:r>
              <w:rPr>
                <w:rFonts w:ascii="Cambria Math" w:hAnsi="Cambria Math"/>
                <w:w w:val="105"/>
                <w:sz w:val="20"/>
              </w:rPr>
              <w:t>∙ día</w:t>
            </w:r>
          </w:p>
          <w:p>
            <w:pPr>
              <w:pStyle w:val="TableParagraph"/>
              <w:spacing w:before="0"/>
              <w:ind w:right="0"/>
              <w:jc w:val="left"/>
              <w:rPr>
                <w:rFonts w:ascii="Arial"/>
                <w:b/>
                <w:sz w:val="20"/>
              </w:rPr>
            </w:pPr>
          </w:p>
          <w:p>
            <w:pPr>
              <w:pStyle w:val="TableParagraph"/>
              <w:spacing w:before="0"/>
              <w:ind w:right="0"/>
              <w:jc w:val="left"/>
              <w:rPr>
                <w:rFonts w:ascii="Arial"/>
                <w:b/>
                <w:sz w:val="16"/>
              </w:rPr>
            </w:pPr>
          </w:p>
          <w:p>
            <w:pPr>
              <w:pStyle w:val="TableParagraph"/>
              <w:spacing w:before="1"/>
              <w:ind w:left="103" w:right="0"/>
              <w:jc w:val="left"/>
              <w:rPr>
                <w:rFonts w:ascii="Cambria Math" w:hAnsi="Cambria Math"/>
                <w:sz w:val="14"/>
              </w:rPr>
            </w:pPr>
            <w:r>
              <w:rPr>
                <w:rFonts w:ascii="Cambria Math" w:hAnsi="Cambria Math"/>
                <w:sz w:val="20"/>
              </w:rPr>
              <w:t>A</w:t>
            </w:r>
            <w:r>
              <w:rPr>
                <w:rFonts w:ascii="Cambria Math" w:hAnsi="Cambria Math"/>
                <w:position w:val="-3"/>
                <w:sz w:val="14"/>
              </w:rPr>
              <w:t>Æm  </w:t>
            </w:r>
            <w:r>
              <w:rPr>
                <w:rFonts w:ascii="Cambria Math" w:hAnsi="Cambria Math"/>
                <w:sz w:val="20"/>
              </w:rPr>
              <w:t>= 420m</w:t>
            </w:r>
            <w:r>
              <w:rPr>
                <w:rFonts w:ascii="Cambria Math" w:hAnsi="Cambria Math"/>
                <w:position w:val="7"/>
                <w:sz w:val="14"/>
              </w:rPr>
              <w:t>2</w:t>
            </w:r>
          </w:p>
        </w:tc>
        <w:tc>
          <w:tcPr>
            <w:tcW w:w="2491" w:type="dxa"/>
            <w:tcBorders>
              <w:bottom w:val="nil"/>
            </w:tcBorders>
          </w:tcPr>
          <w:p>
            <w:pPr>
              <w:pStyle w:val="TableParagraph"/>
              <w:tabs>
                <w:tab w:pos="2186" w:val="left" w:leader="none"/>
              </w:tabs>
              <w:spacing w:line="241" w:lineRule="exact" w:before="0"/>
              <w:ind w:left="103" w:right="0"/>
              <w:jc w:val="left"/>
              <w:rPr>
                <w:rFonts w:ascii="Times New Roman"/>
                <w:sz w:val="20"/>
              </w:rPr>
            </w:pPr>
            <w:r>
              <w:rPr>
                <w:rFonts w:ascii="Times New Roman"/>
                <w:sz w:val="20"/>
              </w:rPr>
              <w:t>R</w:t>
            </w:r>
            <w:r>
              <w:rPr>
                <w:rFonts w:ascii="Times New Roman"/>
                <w:position w:val="-2"/>
                <w:sz w:val="13"/>
              </w:rPr>
              <w:t>OD</w:t>
            </w:r>
            <w:r>
              <w:rPr>
                <w:rFonts w:ascii="Times New Roman"/>
                <w:sz w:val="20"/>
              </w:rPr>
              <w:t>=Requerimiento</w:t>
              <w:tab/>
              <w:t>de</w:t>
            </w:r>
          </w:p>
        </w:tc>
      </w:tr>
      <w:tr>
        <w:trPr>
          <w:trHeight w:val="280" w:hRule="exact"/>
        </w:trPr>
        <w:tc>
          <w:tcPr>
            <w:tcW w:w="6487" w:type="dxa"/>
            <w:vMerge/>
          </w:tcPr>
          <w:p>
            <w:pPr/>
          </w:p>
        </w:tc>
        <w:tc>
          <w:tcPr>
            <w:tcW w:w="2491" w:type="dxa"/>
            <w:tcBorders>
              <w:top w:val="nil"/>
              <w:bottom w:val="nil"/>
            </w:tcBorders>
          </w:tcPr>
          <w:p>
            <w:pPr>
              <w:pStyle w:val="TableParagraph"/>
              <w:spacing w:line="209" w:lineRule="exact" w:before="0"/>
              <w:ind w:left="103" w:right="0"/>
              <w:jc w:val="left"/>
              <w:rPr>
                <w:rFonts w:ascii="Times New Roman" w:hAnsi="Times New Roman"/>
                <w:sz w:val="20"/>
              </w:rPr>
            </w:pPr>
            <w:r>
              <w:rPr>
                <w:rFonts w:ascii="Times New Roman" w:hAnsi="Times New Roman"/>
                <w:sz w:val="20"/>
              </w:rPr>
              <w:t>oxígeno.</w:t>
            </w:r>
          </w:p>
        </w:tc>
      </w:tr>
      <w:tr>
        <w:trPr>
          <w:trHeight w:val="299" w:hRule="exact"/>
        </w:trPr>
        <w:tc>
          <w:tcPr>
            <w:tcW w:w="6487" w:type="dxa"/>
            <w:vMerge/>
          </w:tcPr>
          <w:p>
            <w:pPr/>
          </w:p>
        </w:tc>
        <w:tc>
          <w:tcPr>
            <w:tcW w:w="2491" w:type="dxa"/>
            <w:tcBorders>
              <w:top w:val="nil"/>
              <w:bottom w:val="nil"/>
            </w:tcBorders>
          </w:tcPr>
          <w:p>
            <w:pPr>
              <w:pStyle w:val="TableParagraph"/>
              <w:spacing w:before="49"/>
              <w:ind w:left="103" w:right="0"/>
              <w:jc w:val="left"/>
              <w:rPr>
                <w:rFonts w:ascii="Times New Roman" w:hAnsi="Times New Roman"/>
                <w:sz w:val="20"/>
              </w:rPr>
            </w:pPr>
            <w:r>
              <w:rPr>
                <w:rFonts w:ascii="Times New Roman" w:hAnsi="Times New Roman"/>
                <w:sz w:val="20"/>
              </w:rPr>
              <w:t>a</w:t>
            </w:r>
            <w:r>
              <w:rPr>
                <w:rFonts w:ascii="Times New Roman" w:hAnsi="Times New Roman"/>
                <w:position w:val="-2"/>
                <w:sz w:val="13"/>
              </w:rPr>
              <w:t>DO</w:t>
            </w:r>
            <w:r>
              <w:rPr>
                <w:rFonts w:ascii="Times New Roman" w:hAnsi="Times New Roman"/>
                <w:sz w:val="20"/>
              </w:rPr>
              <w:t>=  Demanda  de oxígeno</w:t>
            </w:r>
          </w:p>
        </w:tc>
      </w:tr>
      <w:tr>
        <w:trPr>
          <w:trHeight w:val="230" w:hRule="exact"/>
        </w:trPr>
        <w:tc>
          <w:tcPr>
            <w:tcW w:w="6487" w:type="dxa"/>
            <w:vMerge/>
          </w:tcPr>
          <w:p>
            <w:pPr/>
          </w:p>
        </w:tc>
        <w:tc>
          <w:tcPr>
            <w:tcW w:w="2491" w:type="dxa"/>
            <w:tcBorders>
              <w:top w:val="nil"/>
              <w:bottom w:val="nil"/>
            </w:tcBorders>
          </w:tcPr>
          <w:p>
            <w:pPr>
              <w:pStyle w:val="TableParagraph"/>
              <w:tabs>
                <w:tab w:pos="828" w:val="left" w:leader="none"/>
                <w:tab w:pos="1375" w:val="left" w:leader="none"/>
                <w:tab w:pos="2186" w:val="left" w:leader="none"/>
              </w:tabs>
              <w:spacing w:line="225" w:lineRule="exact" w:before="0"/>
              <w:ind w:left="103" w:right="0"/>
              <w:jc w:val="left"/>
              <w:rPr>
                <w:rFonts w:ascii="Times New Roman"/>
                <w:sz w:val="20"/>
              </w:rPr>
            </w:pPr>
            <w:r>
              <w:rPr>
                <w:rFonts w:ascii="Times New Roman"/>
                <w:sz w:val="20"/>
              </w:rPr>
              <w:t>(0,25</w:t>
              <w:tab/>
              <w:t>Kg</w:t>
              <w:tab/>
              <w:t>O</w:t>
            </w:r>
            <w:r>
              <w:rPr>
                <w:rFonts w:ascii="Times New Roman"/>
                <w:position w:val="-2"/>
                <w:sz w:val="13"/>
              </w:rPr>
              <w:t>2</w:t>
            </w:r>
            <w:r>
              <w:rPr>
                <w:rFonts w:ascii="Times New Roman"/>
                <w:sz w:val="20"/>
              </w:rPr>
              <w:t>/Kg</w:t>
              <w:tab/>
              <w:t>de</w:t>
            </w:r>
          </w:p>
        </w:tc>
      </w:tr>
      <w:tr>
        <w:trPr>
          <w:trHeight w:val="282" w:hRule="exact"/>
        </w:trPr>
        <w:tc>
          <w:tcPr>
            <w:tcW w:w="6487" w:type="dxa"/>
            <w:vMerge/>
          </w:tcPr>
          <w:p>
            <w:pPr/>
          </w:p>
        </w:tc>
        <w:tc>
          <w:tcPr>
            <w:tcW w:w="2491" w:type="dxa"/>
            <w:tcBorders>
              <w:top w:val="nil"/>
              <w:bottom w:val="nil"/>
            </w:tcBorders>
          </w:tcPr>
          <w:p>
            <w:pPr>
              <w:pStyle w:val="TableParagraph"/>
              <w:spacing w:line="210" w:lineRule="exact" w:before="0"/>
              <w:ind w:left="103" w:right="0"/>
              <w:jc w:val="left"/>
              <w:rPr>
                <w:rFonts w:ascii="Times New Roman"/>
                <w:sz w:val="20"/>
              </w:rPr>
            </w:pPr>
            <w:r>
              <w:rPr>
                <w:rFonts w:ascii="Times New Roman"/>
                <w:sz w:val="20"/>
              </w:rPr>
              <w:t>alimento)</w:t>
            </w:r>
          </w:p>
        </w:tc>
      </w:tr>
      <w:tr>
        <w:trPr>
          <w:trHeight w:val="299" w:hRule="exact"/>
        </w:trPr>
        <w:tc>
          <w:tcPr>
            <w:tcW w:w="6487" w:type="dxa"/>
            <w:vMerge/>
          </w:tcPr>
          <w:p>
            <w:pPr/>
          </w:p>
        </w:tc>
        <w:tc>
          <w:tcPr>
            <w:tcW w:w="2491" w:type="dxa"/>
            <w:tcBorders>
              <w:top w:val="nil"/>
              <w:bottom w:val="nil"/>
            </w:tcBorders>
          </w:tcPr>
          <w:p>
            <w:pPr>
              <w:pStyle w:val="TableParagraph"/>
              <w:spacing w:before="49"/>
              <w:ind w:left="103" w:right="0"/>
              <w:jc w:val="left"/>
              <w:rPr>
                <w:rFonts w:ascii="Times New Roman" w:hAnsi="Times New Roman"/>
                <w:sz w:val="20"/>
              </w:rPr>
            </w:pPr>
            <w:r>
              <w:rPr>
                <w:rFonts w:ascii="Times New Roman" w:hAnsi="Times New Roman"/>
                <w:sz w:val="20"/>
              </w:rPr>
              <w:t>r</w:t>
            </w:r>
            <w:r>
              <w:rPr>
                <w:rFonts w:ascii="Times New Roman" w:hAnsi="Times New Roman"/>
                <w:position w:val="-2"/>
                <w:sz w:val="13"/>
              </w:rPr>
              <w:t>ali</w:t>
            </w:r>
            <w:r>
              <w:rPr>
                <w:rFonts w:ascii="Times New Roman" w:hAnsi="Times New Roman"/>
                <w:sz w:val="20"/>
              </w:rPr>
              <w:t>=Tasa    de   alimentación</w:t>
            </w:r>
          </w:p>
        </w:tc>
      </w:tr>
      <w:tr>
        <w:trPr>
          <w:trHeight w:val="280" w:hRule="exact"/>
        </w:trPr>
        <w:tc>
          <w:tcPr>
            <w:tcW w:w="6487" w:type="dxa"/>
            <w:vMerge/>
          </w:tcPr>
          <w:p>
            <w:pPr/>
          </w:p>
        </w:tc>
        <w:tc>
          <w:tcPr>
            <w:tcW w:w="2491" w:type="dxa"/>
            <w:tcBorders>
              <w:top w:val="nil"/>
              <w:bottom w:val="nil"/>
            </w:tcBorders>
          </w:tcPr>
          <w:p>
            <w:pPr>
              <w:pStyle w:val="TableParagraph"/>
              <w:spacing w:line="210" w:lineRule="exact" w:before="0"/>
              <w:ind w:left="103" w:right="0"/>
              <w:jc w:val="left"/>
              <w:rPr>
                <w:rFonts w:ascii="Times New Roman"/>
                <w:sz w:val="20"/>
              </w:rPr>
            </w:pPr>
            <w:r>
              <w:rPr>
                <w:rFonts w:ascii="Times New Roman"/>
                <w:sz w:val="20"/>
              </w:rPr>
              <w:t>(2%)</w:t>
            </w:r>
          </w:p>
        </w:tc>
      </w:tr>
      <w:tr>
        <w:trPr>
          <w:trHeight w:val="272" w:hRule="exact"/>
        </w:trPr>
        <w:tc>
          <w:tcPr>
            <w:tcW w:w="6487" w:type="dxa"/>
            <w:vMerge/>
          </w:tcPr>
          <w:p>
            <w:pPr/>
          </w:p>
        </w:tc>
        <w:tc>
          <w:tcPr>
            <w:tcW w:w="2491" w:type="dxa"/>
            <w:tcBorders>
              <w:top w:val="nil"/>
              <w:bottom w:val="nil"/>
            </w:tcBorders>
          </w:tcPr>
          <w:p>
            <w:pPr>
              <w:pStyle w:val="TableParagraph"/>
              <w:tabs>
                <w:tab w:pos="1288" w:val="left" w:leader="none"/>
                <w:tab w:pos="1744" w:val="left" w:leader="none"/>
              </w:tabs>
              <w:spacing w:before="48"/>
              <w:ind w:left="103" w:right="0"/>
              <w:jc w:val="left"/>
              <w:rPr>
                <w:rFonts w:ascii="Times New Roman" w:hAnsi="Times New Roman"/>
                <w:sz w:val="20"/>
              </w:rPr>
            </w:pPr>
            <w:r>
              <w:rPr>
                <w:rFonts w:ascii="Times New Roman" w:hAnsi="Times New Roman"/>
                <w:i/>
                <w:sz w:val="20"/>
              </w:rPr>
              <w:t>ρ</w:t>
            </w:r>
            <w:r>
              <w:rPr>
                <w:rFonts w:ascii="Times New Roman" w:hAnsi="Times New Roman"/>
                <w:sz w:val="20"/>
              </w:rPr>
              <w:t>=densidad</w:t>
              <w:tab/>
              <w:t>de</w:t>
              <w:tab/>
              <w:t>siembra</w:t>
            </w:r>
          </w:p>
        </w:tc>
      </w:tr>
      <w:tr>
        <w:trPr>
          <w:trHeight w:val="308" w:hRule="exact"/>
        </w:trPr>
        <w:tc>
          <w:tcPr>
            <w:tcW w:w="6487" w:type="dxa"/>
            <w:vMerge/>
          </w:tcPr>
          <w:p>
            <w:pPr/>
          </w:p>
        </w:tc>
        <w:tc>
          <w:tcPr>
            <w:tcW w:w="2491" w:type="dxa"/>
            <w:tcBorders>
              <w:top w:val="nil"/>
              <w:bottom w:val="nil"/>
            </w:tcBorders>
          </w:tcPr>
          <w:p>
            <w:pPr>
              <w:pStyle w:val="TableParagraph"/>
              <w:spacing w:line="237" w:lineRule="exact" w:before="0"/>
              <w:ind w:left="103" w:right="0"/>
              <w:jc w:val="left"/>
              <w:rPr>
                <w:rFonts w:ascii="Times New Roman"/>
                <w:sz w:val="20"/>
              </w:rPr>
            </w:pPr>
            <w:r>
              <w:rPr>
                <w:rFonts w:ascii="Times New Roman"/>
                <w:sz w:val="20"/>
              </w:rPr>
              <w:t>(25Kg de trucha/m</w:t>
            </w:r>
            <w:r>
              <w:rPr>
                <w:rFonts w:ascii="Times New Roman"/>
                <w:position w:val="9"/>
                <w:sz w:val="13"/>
              </w:rPr>
              <w:t>3</w:t>
            </w:r>
            <w:r>
              <w:rPr>
                <w:rFonts w:ascii="Times New Roman"/>
                <w:sz w:val="20"/>
              </w:rPr>
              <w:t>)</w:t>
            </w:r>
          </w:p>
        </w:tc>
      </w:tr>
      <w:tr>
        <w:trPr>
          <w:trHeight w:val="534" w:hRule="exact"/>
        </w:trPr>
        <w:tc>
          <w:tcPr>
            <w:tcW w:w="6487" w:type="dxa"/>
            <w:vMerge/>
          </w:tcPr>
          <w:p>
            <w:pPr/>
          </w:p>
        </w:tc>
        <w:tc>
          <w:tcPr>
            <w:tcW w:w="2491" w:type="dxa"/>
            <w:tcBorders>
              <w:top w:val="nil"/>
              <w:bottom w:val="nil"/>
            </w:tcBorders>
          </w:tcPr>
          <w:p>
            <w:pPr>
              <w:pStyle w:val="TableParagraph"/>
              <w:spacing w:before="49"/>
              <w:ind w:left="103" w:right="0"/>
              <w:jc w:val="left"/>
              <w:rPr>
                <w:rFonts w:ascii="Times New Roman"/>
                <w:sz w:val="20"/>
              </w:rPr>
            </w:pPr>
            <w:r>
              <w:rPr>
                <w:rFonts w:ascii="Times New Roman"/>
                <w:sz w:val="20"/>
              </w:rPr>
              <w:t>V</w:t>
            </w:r>
            <w:r>
              <w:rPr>
                <w:rFonts w:ascii="Times New Roman"/>
                <w:position w:val="-2"/>
                <w:sz w:val="13"/>
              </w:rPr>
              <w:t>E</w:t>
            </w:r>
            <w:r>
              <w:rPr>
                <w:rFonts w:ascii="Times New Roman"/>
                <w:sz w:val="20"/>
              </w:rPr>
              <w:t>=Volumen del estanque</w:t>
            </w:r>
          </w:p>
        </w:tc>
      </w:tr>
      <w:tr>
        <w:trPr>
          <w:trHeight w:val="466" w:hRule="exact"/>
        </w:trPr>
        <w:tc>
          <w:tcPr>
            <w:tcW w:w="6487" w:type="dxa"/>
            <w:vMerge/>
          </w:tcPr>
          <w:p>
            <w:pPr/>
          </w:p>
        </w:tc>
        <w:tc>
          <w:tcPr>
            <w:tcW w:w="2491" w:type="dxa"/>
            <w:tcBorders>
              <w:top w:val="nil"/>
              <w:bottom w:val="nil"/>
            </w:tcBorders>
          </w:tcPr>
          <w:p>
            <w:pPr>
              <w:pStyle w:val="TableParagraph"/>
              <w:spacing w:before="8"/>
              <w:ind w:right="0"/>
              <w:jc w:val="left"/>
              <w:rPr>
                <w:rFonts w:ascii="Arial"/>
                <w:b/>
                <w:sz w:val="18"/>
              </w:rPr>
            </w:pPr>
          </w:p>
          <w:p>
            <w:pPr>
              <w:pStyle w:val="TableParagraph"/>
              <w:spacing w:before="0"/>
              <w:ind w:left="103" w:right="0"/>
              <w:jc w:val="left"/>
              <w:rPr>
                <w:rFonts w:ascii="Times New Roman" w:hAnsi="Times New Roman"/>
                <w:sz w:val="20"/>
              </w:rPr>
            </w:pPr>
            <w:r>
              <w:rPr>
                <w:rFonts w:ascii="Times New Roman" w:hAnsi="Times New Roman"/>
                <w:sz w:val="20"/>
              </w:rPr>
              <w:t>P</w:t>
            </w:r>
            <w:r>
              <w:rPr>
                <w:rFonts w:ascii="Times New Roman" w:hAnsi="Times New Roman"/>
                <w:position w:val="-2"/>
                <w:sz w:val="13"/>
              </w:rPr>
              <w:t>Am</w:t>
            </w:r>
            <w:r>
              <w:rPr>
                <w:rFonts w:ascii="Times New Roman" w:hAnsi="Times New Roman"/>
                <w:sz w:val="20"/>
              </w:rPr>
              <w:t>=Producción de</w:t>
            </w:r>
          </w:p>
        </w:tc>
      </w:tr>
      <w:tr>
        <w:trPr>
          <w:trHeight w:val="220" w:hRule="exact"/>
        </w:trPr>
        <w:tc>
          <w:tcPr>
            <w:tcW w:w="6487" w:type="dxa"/>
            <w:vMerge/>
          </w:tcPr>
          <w:p>
            <w:pPr/>
          </w:p>
        </w:tc>
        <w:tc>
          <w:tcPr>
            <w:tcW w:w="2491" w:type="dxa"/>
            <w:tcBorders>
              <w:top w:val="nil"/>
              <w:bottom w:val="nil"/>
            </w:tcBorders>
          </w:tcPr>
          <w:p>
            <w:pPr>
              <w:pStyle w:val="TableParagraph"/>
              <w:spacing w:line="210" w:lineRule="exact" w:before="0"/>
              <w:ind w:left="103" w:right="0"/>
              <w:jc w:val="left"/>
              <w:rPr>
                <w:rFonts w:ascii="Times New Roman" w:hAnsi="Times New Roman"/>
                <w:sz w:val="20"/>
              </w:rPr>
            </w:pPr>
            <w:r>
              <w:rPr>
                <w:rFonts w:ascii="Times New Roman" w:hAnsi="Times New Roman"/>
                <w:sz w:val="20"/>
              </w:rPr>
              <w:t>nitrógeno amoniacal por</w:t>
            </w:r>
          </w:p>
        </w:tc>
      </w:tr>
      <w:tr>
        <w:trPr>
          <w:trHeight w:val="289" w:hRule="exact"/>
        </w:trPr>
        <w:tc>
          <w:tcPr>
            <w:tcW w:w="6487" w:type="dxa"/>
            <w:vMerge/>
          </w:tcPr>
          <w:p>
            <w:pPr/>
          </w:p>
        </w:tc>
        <w:tc>
          <w:tcPr>
            <w:tcW w:w="2491" w:type="dxa"/>
            <w:tcBorders>
              <w:top w:val="nil"/>
              <w:bottom w:val="nil"/>
            </w:tcBorders>
          </w:tcPr>
          <w:p>
            <w:pPr>
              <w:pStyle w:val="TableParagraph"/>
              <w:spacing w:line="218" w:lineRule="exact" w:before="0"/>
              <w:ind w:left="103" w:right="0"/>
              <w:jc w:val="left"/>
              <w:rPr>
                <w:rFonts w:ascii="Times New Roman"/>
                <w:sz w:val="20"/>
              </w:rPr>
            </w:pPr>
            <w:r>
              <w:rPr>
                <w:rFonts w:ascii="Times New Roman"/>
                <w:sz w:val="20"/>
              </w:rPr>
              <w:t>peces</w:t>
            </w:r>
          </w:p>
        </w:tc>
      </w:tr>
      <w:tr>
        <w:trPr>
          <w:trHeight w:val="299" w:hRule="exact"/>
        </w:trPr>
        <w:tc>
          <w:tcPr>
            <w:tcW w:w="6487" w:type="dxa"/>
            <w:vMerge/>
          </w:tcPr>
          <w:p>
            <w:pPr/>
          </w:p>
        </w:tc>
        <w:tc>
          <w:tcPr>
            <w:tcW w:w="2491" w:type="dxa"/>
            <w:tcBorders>
              <w:top w:val="nil"/>
              <w:bottom w:val="nil"/>
            </w:tcBorders>
          </w:tcPr>
          <w:p>
            <w:pPr>
              <w:pStyle w:val="TableParagraph"/>
              <w:spacing w:before="49"/>
              <w:ind w:left="103" w:right="0"/>
              <w:jc w:val="left"/>
              <w:rPr>
                <w:rFonts w:ascii="Times New Roman" w:hAnsi="Times New Roman"/>
                <w:sz w:val="20"/>
              </w:rPr>
            </w:pPr>
            <w:r>
              <w:rPr>
                <w:rFonts w:ascii="Times New Roman" w:hAnsi="Times New Roman"/>
                <w:sz w:val="20"/>
              </w:rPr>
              <w:t>a</w:t>
            </w:r>
            <w:r>
              <w:rPr>
                <w:rFonts w:ascii="Times New Roman" w:hAnsi="Times New Roman"/>
                <w:position w:val="-2"/>
                <w:sz w:val="13"/>
              </w:rPr>
              <w:t>Am</w:t>
            </w:r>
            <w:r>
              <w:rPr>
                <w:rFonts w:ascii="Times New Roman" w:hAnsi="Times New Roman"/>
                <w:sz w:val="20"/>
              </w:rPr>
              <w:t>= Producción de</w:t>
            </w:r>
          </w:p>
        </w:tc>
      </w:tr>
      <w:tr>
        <w:trPr>
          <w:trHeight w:val="222" w:hRule="exact"/>
        </w:trPr>
        <w:tc>
          <w:tcPr>
            <w:tcW w:w="6487" w:type="dxa"/>
            <w:vMerge/>
          </w:tcPr>
          <w:p>
            <w:pPr/>
          </w:p>
        </w:tc>
        <w:tc>
          <w:tcPr>
            <w:tcW w:w="2491" w:type="dxa"/>
            <w:tcBorders>
              <w:top w:val="nil"/>
              <w:bottom w:val="nil"/>
            </w:tcBorders>
          </w:tcPr>
          <w:p>
            <w:pPr>
              <w:pStyle w:val="TableParagraph"/>
              <w:spacing w:line="210" w:lineRule="exact" w:before="0"/>
              <w:ind w:left="103" w:right="0"/>
              <w:jc w:val="left"/>
              <w:rPr>
                <w:rFonts w:ascii="Times New Roman" w:hAnsi="Times New Roman"/>
                <w:sz w:val="20"/>
              </w:rPr>
            </w:pPr>
            <w:r>
              <w:rPr>
                <w:rFonts w:ascii="Times New Roman" w:hAnsi="Times New Roman"/>
                <w:sz w:val="20"/>
              </w:rPr>
              <w:t>nitrógeno amoniacal</w:t>
            </w:r>
          </w:p>
        </w:tc>
      </w:tr>
      <w:tr>
        <w:trPr>
          <w:trHeight w:val="230" w:hRule="exact"/>
        </w:trPr>
        <w:tc>
          <w:tcPr>
            <w:tcW w:w="6487" w:type="dxa"/>
            <w:vMerge/>
          </w:tcPr>
          <w:p>
            <w:pPr/>
          </w:p>
        </w:tc>
        <w:tc>
          <w:tcPr>
            <w:tcW w:w="2491" w:type="dxa"/>
            <w:tcBorders>
              <w:top w:val="nil"/>
              <w:bottom w:val="nil"/>
            </w:tcBorders>
          </w:tcPr>
          <w:p>
            <w:pPr>
              <w:pStyle w:val="TableParagraph"/>
              <w:spacing w:line="219" w:lineRule="exact" w:before="0"/>
              <w:ind w:left="103" w:right="0"/>
              <w:jc w:val="left"/>
              <w:rPr>
                <w:rFonts w:ascii="Times New Roman" w:hAnsi="Times New Roman"/>
                <w:sz w:val="20"/>
              </w:rPr>
            </w:pPr>
            <w:r>
              <w:rPr>
                <w:rFonts w:ascii="Times New Roman" w:hAnsi="Times New Roman"/>
                <w:sz w:val="20"/>
              </w:rPr>
              <w:t>(0,03Kg nitrógeno</w:t>
            </w:r>
          </w:p>
        </w:tc>
      </w:tr>
      <w:tr>
        <w:trPr>
          <w:trHeight w:val="289" w:hRule="exact"/>
        </w:trPr>
        <w:tc>
          <w:tcPr>
            <w:tcW w:w="6487" w:type="dxa"/>
            <w:vMerge/>
          </w:tcPr>
          <w:p>
            <w:pPr/>
          </w:p>
        </w:tc>
        <w:tc>
          <w:tcPr>
            <w:tcW w:w="2491" w:type="dxa"/>
            <w:tcBorders>
              <w:top w:val="nil"/>
              <w:bottom w:val="nil"/>
            </w:tcBorders>
          </w:tcPr>
          <w:p>
            <w:pPr>
              <w:pStyle w:val="TableParagraph"/>
              <w:spacing w:line="219" w:lineRule="exact" w:before="0"/>
              <w:ind w:left="103" w:right="0"/>
              <w:jc w:val="left"/>
              <w:rPr>
                <w:rFonts w:ascii="Times New Roman"/>
                <w:sz w:val="20"/>
              </w:rPr>
            </w:pPr>
            <w:r>
              <w:rPr>
                <w:rFonts w:ascii="Times New Roman"/>
                <w:sz w:val="20"/>
              </w:rPr>
              <w:t>amoniacal/kg de alimento)</w:t>
            </w:r>
          </w:p>
        </w:tc>
      </w:tr>
      <w:tr>
        <w:trPr>
          <w:trHeight w:val="533" w:hRule="exact"/>
        </w:trPr>
        <w:tc>
          <w:tcPr>
            <w:tcW w:w="6487" w:type="dxa"/>
            <w:vMerge/>
          </w:tcPr>
          <w:p>
            <w:pPr/>
          </w:p>
        </w:tc>
        <w:tc>
          <w:tcPr>
            <w:tcW w:w="2491" w:type="dxa"/>
            <w:tcBorders>
              <w:top w:val="nil"/>
              <w:bottom w:val="nil"/>
            </w:tcBorders>
          </w:tcPr>
          <w:p>
            <w:pPr>
              <w:pStyle w:val="TableParagraph"/>
              <w:spacing w:before="48"/>
              <w:ind w:left="103" w:right="0"/>
              <w:jc w:val="left"/>
              <w:rPr>
                <w:rFonts w:ascii="Times New Roman"/>
                <w:sz w:val="20"/>
              </w:rPr>
            </w:pPr>
            <w:r>
              <w:rPr>
                <w:rFonts w:ascii="Times New Roman"/>
                <w:sz w:val="20"/>
              </w:rPr>
              <w:t>R</w:t>
            </w:r>
            <w:r>
              <w:rPr>
                <w:rFonts w:ascii="Times New Roman"/>
                <w:position w:val="-2"/>
                <w:sz w:val="13"/>
              </w:rPr>
              <w:t>ali</w:t>
            </w:r>
            <w:r>
              <w:rPr>
                <w:rFonts w:ascii="Times New Roman"/>
                <w:sz w:val="20"/>
              </w:rPr>
              <w:t>=Alimento total diario</w:t>
            </w:r>
          </w:p>
        </w:tc>
      </w:tr>
      <w:tr>
        <w:trPr>
          <w:trHeight w:val="466" w:hRule="exact"/>
        </w:trPr>
        <w:tc>
          <w:tcPr>
            <w:tcW w:w="6487" w:type="dxa"/>
            <w:vMerge/>
          </w:tcPr>
          <w:p>
            <w:pPr/>
          </w:p>
        </w:tc>
        <w:tc>
          <w:tcPr>
            <w:tcW w:w="2491" w:type="dxa"/>
            <w:tcBorders>
              <w:top w:val="nil"/>
              <w:bottom w:val="nil"/>
            </w:tcBorders>
          </w:tcPr>
          <w:p>
            <w:pPr>
              <w:pStyle w:val="TableParagraph"/>
              <w:spacing w:before="8"/>
              <w:ind w:right="0"/>
              <w:jc w:val="left"/>
              <w:rPr>
                <w:rFonts w:ascii="Arial"/>
                <w:b/>
                <w:sz w:val="18"/>
              </w:rPr>
            </w:pPr>
          </w:p>
          <w:p>
            <w:pPr>
              <w:pStyle w:val="TableParagraph"/>
              <w:spacing w:before="0"/>
              <w:ind w:left="103" w:right="0"/>
              <w:jc w:val="left"/>
              <w:rPr>
                <w:rFonts w:ascii="Times New Roman" w:hAnsi="Times New Roman"/>
                <w:sz w:val="20"/>
              </w:rPr>
            </w:pPr>
            <w:r>
              <w:rPr>
                <w:rFonts w:ascii="Times New Roman" w:hAnsi="Times New Roman"/>
                <w:sz w:val="20"/>
              </w:rPr>
              <w:t>A</w:t>
            </w:r>
            <w:r>
              <w:rPr>
                <w:rFonts w:ascii="Times New Roman" w:hAnsi="Times New Roman"/>
                <w:position w:val="-2"/>
                <w:sz w:val="13"/>
              </w:rPr>
              <w:t>Am</w:t>
            </w:r>
            <w:r>
              <w:rPr>
                <w:rFonts w:ascii="Times New Roman" w:hAnsi="Times New Roman"/>
                <w:sz w:val="20"/>
              </w:rPr>
              <w:t>= Área superficial</w:t>
            </w:r>
          </w:p>
        </w:tc>
      </w:tr>
      <w:tr>
        <w:trPr>
          <w:trHeight w:val="222" w:hRule="exact"/>
        </w:trPr>
        <w:tc>
          <w:tcPr>
            <w:tcW w:w="6487" w:type="dxa"/>
            <w:vMerge/>
          </w:tcPr>
          <w:p>
            <w:pPr/>
          </w:p>
        </w:tc>
        <w:tc>
          <w:tcPr>
            <w:tcW w:w="2491" w:type="dxa"/>
            <w:tcBorders>
              <w:top w:val="nil"/>
              <w:bottom w:val="nil"/>
            </w:tcBorders>
          </w:tcPr>
          <w:p>
            <w:pPr>
              <w:pStyle w:val="TableParagraph"/>
              <w:spacing w:line="210" w:lineRule="exact" w:before="0"/>
              <w:ind w:left="103" w:right="0"/>
              <w:jc w:val="left"/>
              <w:rPr>
                <w:rFonts w:ascii="Times New Roman"/>
                <w:sz w:val="20"/>
              </w:rPr>
            </w:pPr>
            <w:r>
              <w:rPr>
                <w:rFonts w:ascii="Times New Roman"/>
                <w:sz w:val="20"/>
              </w:rPr>
              <w:t>requerida para remover la</w:t>
            </w:r>
          </w:p>
        </w:tc>
      </w:tr>
      <w:tr>
        <w:trPr>
          <w:trHeight w:val="230" w:hRule="exact"/>
        </w:trPr>
        <w:tc>
          <w:tcPr>
            <w:tcW w:w="6487" w:type="dxa"/>
            <w:vMerge/>
          </w:tcPr>
          <w:p>
            <w:pPr/>
          </w:p>
        </w:tc>
        <w:tc>
          <w:tcPr>
            <w:tcW w:w="2491" w:type="dxa"/>
            <w:tcBorders>
              <w:top w:val="nil"/>
              <w:bottom w:val="nil"/>
            </w:tcBorders>
          </w:tcPr>
          <w:p>
            <w:pPr>
              <w:pStyle w:val="TableParagraph"/>
              <w:spacing w:line="219" w:lineRule="exact" w:before="0"/>
              <w:ind w:left="103" w:right="0"/>
              <w:jc w:val="left"/>
              <w:rPr>
                <w:rFonts w:ascii="Times New Roman" w:hAnsi="Times New Roman"/>
                <w:sz w:val="20"/>
              </w:rPr>
            </w:pPr>
            <w:r>
              <w:rPr>
                <w:rFonts w:ascii="Times New Roman" w:hAnsi="Times New Roman"/>
                <w:sz w:val="20"/>
              </w:rPr>
              <w:t>producción de nitrógeno</w:t>
            </w:r>
          </w:p>
        </w:tc>
      </w:tr>
      <w:tr>
        <w:trPr>
          <w:trHeight w:val="640" w:hRule="exact"/>
        </w:trPr>
        <w:tc>
          <w:tcPr>
            <w:tcW w:w="6487" w:type="dxa"/>
            <w:vMerge/>
          </w:tcPr>
          <w:p>
            <w:pPr/>
          </w:p>
        </w:tc>
        <w:tc>
          <w:tcPr>
            <w:tcW w:w="2491" w:type="dxa"/>
            <w:tcBorders>
              <w:top w:val="nil"/>
              <w:bottom w:val="nil"/>
            </w:tcBorders>
          </w:tcPr>
          <w:p>
            <w:pPr>
              <w:pStyle w:val="TableParagraph"/>
              <w:spacing w:line="219" w:lineRule="exact" w:before="0"/>
              <w:ind w:left="103" w:right="0"/>
              <w:jc w:val="left"/>
              <w:rPr>
                <w:rFonts w:ascii="Times New Roman"/>
                <w:sz w:val="20"/>
              </w:rPr>
            </w:pPr>
            <w:r>
              <w:rPr>
                <w:rFonts w:ascii="Times New Roman"/>
                <w:sz w:val="20"/>
              </w:rPr>
              <w:t>amoniacal</w:t>
            </w:r>
          </w:p>
        </w:tc>
      </w:tr>
      <w:tr>
        <w:trPr>
          <w:trHeight w:val="640" w:hRule="exact"/>
        </w:trPr>
        <w:tc>
          <w:tcPr>
            <w:tcW w:w="6487" w:type="dxa"/>
            <w:vMerge/>
          </w:tcPr>
          <w:p>
            <w:pPr/>
          </w:p>
        </w:tc>
        <w:tc>
          <w:tcPr>
            <w:tcW w:w="2491" w:type="dxa"/>
            <w:tcBorders>
              <w:top w:val="nil"/>
              <w:bottom w:val="nil"/>
            </w:tcBorders>
          </w:tcPr>
          <w:p>
            <w:pPr>
              <w:pStyle w:val="TableParagraph"/>
              <w:spacing w:before="0"/>
              <w:ind w:right="0"/>
              <w:jc w:val="left"/>
              <w:rPr>
                <w:rFonts w:ascii="Arial"/>
                <w:b/>
                <w:sz w:val="20"/>
              </w:rPr>
            </w:pPr>
          </w:p>
          <w:p>
            <w:pPr>
              <w:pStyle w:val="TableParagraph"/>
              <w:spacing w:before="168"/>
              <w:ind w:left="103" w:right="0"/>
              <w:jc w:val="left"/>
              <w:rPr>
                <w:rFonts w:ascii="Times New Roman" w:hAnsi="Times New Roman"/>
                <w:sz w:val="20"/>
              </w:rPr>
            </w:pPr>
            <w:r>
              <w:rPr>
                <w:rFonts w:ascii="Times New Roman" w:hAnsi="Times New Roman"/>
                <w:sz w:val="20"/>
              </w:rPr>
              <w:t>TAA=Tasa aérea de</w:t>
            </w:r>
          </w:p>
        </w:tc>
      </w:tr>
      <w:tr>
        <w:trPr>
          <w:trHeight w:val="230" w:hRule="exact"/>
        </w:trPr>
        <w:tc>
          <w:tcPr>
            <w:tcW w:w="6487" w:type="dxa"/>
            <w:vMerge/>
          </w:tcPr>
          <w:p>
            <w:pPr/>
          </w:p>
        </w:tc>
        <w:tc>
          <w:tcPr>
            <w:tcW w:w="2491" w:type="dxa"/>
            <w:tcBorders>
              <w:top w:val="nil"/>
              <w:bottom w:val="nil"/>
            </w:tcBorders>
          </w:tcPr>
          <w:p>
            <w:pPr>
              <w:pStyle w:val="TableParagraph"/>
              <w:spacing w:line="219" w:lineRule="exact" w:before="0"/>
              <w:ind w:left="103" w:right="0"/>
              <w:jc w:val="left"/>
              <w:rPr>
                <w:rFonts w:ascii="Times New Roman" w:hAnsi="Times New Roman"/>
                <w:sz w:val="20"/>
              </w:rPr>
            </w:pPr>
            <w:r>
              <w:rPr>
                <w:rFonts w:ascii="Times New Roman" w:hAnsi="Times New Roman"/>
                <w:sz w:val="20"/>
              </w:rPr>
              <w:t>remoción de nitrógeno</w:t>
            </w:r>
          </w:p>
        </w:tc>
      </w:tr>
      <w:tr>
        <w:trPr>
          <w:trHeight w:val="213" w:hRule="exact"/>
        </w:trPr>
        <w:tc>
          <w:tcPr>
            <w:tcW w:w="6487" w:type="dxa"/>
            <w:vMerge/>
          </w:tcPr>
          <w:p>
            <w:pPr/>
          </w:p>
        </w:tc>
        <w:tc>
          <w:tcPr>
            <w:tcW w:w="2491" w:type="dxa"/>
            <w:tcBorders>
              <w:top w:val="nil"/>
              <w:bottom w:val="nil"/>
            </w:tcBorders>
          </w:tcPr>
          <w:p>
            <w:pPr>
              <w:pStyle w:val="TableParagraph"/>
              <w:spacing w:line="219" w:lineRule="exact" w:before="0"/>
              <w:ind w:left="103" w:right="0"/>
              <w:jc w:val="left"/>
              <w:rPr>
                <w:rFonts w:ascii="Times New Roman"/>
                <w:sz w:val="20"/>
              </w:rPr>
            </w:pPr>
            <w:r>
              <w:rPr>
                <w:rFonts w:ascii="Times New Roman"/>
                <w:sz w:val="20"/>
              </w:rPr>
              <w:t>amoniacal (0,25g de</w:t>
            </w:r>
          </w:p>
        </w:tc>
      </w:tr>
      <w:tr>
        <w:trPr>
          <w:trHeight w:val="247" w:hRule="exact"/>
        </w:trPr>
        <w:tc>
          <w:tcPr>
            <w:tcW w:w="6487" w:type="dxa"/>
            <w:vMerge/>
          </w:tcPr>
          <w:p>
            <w:pPr/>
          </w:p>
        </w:tc>
        <w:tc>
          <w:tcPr>
            <w:tcW w:w="2491" w:type="dxa"/>
            <w:tcBorders>
              <w:top w:val="nil"/>
              <w:bottom w:val="nil"/>
            </w:tcBorders>
          </w:tcPr>
          <w:p>
            <w:pPr>
              <w:pStyle w:val="TableParagraph"/>
              <w:spacing w:line="237" w:lineRule="exact" w:before="0"/>
              <w:ind w:left="103" w:right="0"/>
              <w:jc w:val="left"/>
              <w:rPr>
                <w:rFonts w:ascii="Times New Roman" w:hAnsi="Times New Roman"/>
                <w:sz w:val="13"/>
              </w:rPr>
            </w:pPr>
            <w:r>
              <w:rPr>
                <w:rFonts w:ascii="Times New Roman" w:hAnsi="Times New Roman"/>
                <w:sz w:val="20"/>
              </w:rPr>
              <w:t>nitrógeno amoniacal/m</w:t>
            </w:r>
            <w:r>
              <w:rPr>
                <w:rFonts w:ascii="Times New Roman" w:hAnsi="Times New Roman"/>
                <w:position w:val="9"/>
                <w:sz w:val="13"/>
              </w:rPr>
              <w:t>2</w:t>
            </w:r>
          </w:p>
        </w:tc>
      </w:tr>
      <w:tr>
        <w:trPr>
          <w:trHeight w:val="464" w:hRule="exact"/>
        </w:trPr>
        <w:tc>
          <w:tcPr>
            <w:tcW w:w="6487" w:type="dxa"/>
            <w:vMerge/>
          </w:tcPr>
          <w:p>
            <w:pPr/>
          </w:p>
        </w:tc>
        <w:tc>
          <w:tcPr>
            <w:tcW w:w="2491" w:type="dxa"/>
            <w:tcBorders>
              <w:top w:val="nil"/>
              <w:bottom w:val="nil"/>
            </w:tcBorders>
          </w:tcPr>
          <w:p>
            <w:pPr>
              <w:pStyle w:val="TableParagraph"/>
              <w:spacing w:line="218" w:lineRule="exact" w:before="0"/>
              <w:ind w:left="103" w:right="0"/>
              <w:jc w:val="left"/>
              <w:rPr>
                <w:rFonts w:ascii="Times New Roman" w:hAnsi="Times New Roman"/>
                <w:sz w:val="20"/>
              </w:rPr>
            </w:pPr>
            <w:r>
              <w:rPr>
                <w:rFonts w:ascii="Times New Roman" w:hAnsi="Times New Roman"/>
                <w:sz w:val="20"/>
              </w:rPr>
              <w:t>día)</w:t>
            </w:r>
          </w:p>
        </w:tc>
      </w:tr>
      <w:tr>
        <w:trPr>
          <w:trHeight w:val="474" w:hRule="exact"/>
        </w:trPr>
        <w:tc>
          <w:tcPr>
            <w:tcW w:w="6487" w:type="dxa"/>
            <w:vMerge/>
          </w:tcPr>
          <w:p>
            <w:pPr/>
          </w:p>
        </w:tc>
        <w:tc>
          <w:tcPr>
            <w:tcW w:w="2491" w:type="dxa"/>
            <w:tcBorders>
              <w:top w:val="nil"/>
              <w:bottom w:val="nil"/>
            </w:tcBorders>
          </w:tcPr>
          <w:p>
            <w:pPr>
              <w:pStyle w:val="TableParagraph"/>
              <w:spacing w:before="5"/>
              <w:ind w:right="0"/>
              <w:jc w:val="left"/>
              <w:rPr>
                <w:rFonts w:ascii="Arial"/>
                <w:b/>
                <w:sz w:val="19"/>
              </w:rPr>
            </w:pPr>
          </w:p>
          <w:p>
            <w:pPr>
              <w:pStyle w:val="TableParagraph"/>
              <w:spacing w:before="1"/>
              <w:ind w:left="103" w:right="0"/>
              <w:jc w:val="left"/>
              <w:rPr>
                <w:rFonts w:ascii="Times New Roman"/>
                <w:sz w:val="20"/>
              </w:rPr>
            </w:pPr>
            <w:r>
              <w:rPr>
                <w:rFonts w:ascii="Times New Roman"/>
                <w:sz w:val="20"/>
              </w:rPr>
              <w:t>V</w:t>
            </w:r>
            <w:r>
              <w:rPr>
                <w:rFonts w:ascii="Times New Roman"/>
                <w:position w:val="-2"/>
                <w:sz w:val="13"/>
              </w:rPr>
              <w:t>Am</w:t>
            </w:r>
            <w:r>
              <w:rPr>
                <w:rFonts w:ascii="Times New Roman"/>
                <w:sz w:val="20"/>
              </w:rPr>
              <w:t>= Volumen del</w:t>
            </w:r>
          </w:p>
        </w:tc>
      </w:tr>
      <w:tr>
        <w:trPr>
          <w:trHeight w:val="457" w:hRule="exact"/>
        </w:trPr>
        <w:tc>
          <w:tcPr>
            <w:tcW w:w="6487" w:type="dxa"/>
            <w:vMerge/>
          </w:tcPr>
          <w:p>
            <w:pPr/>
          </w:p>
        </w:tc>
        <w:tc>
          <w:tcPr>
            <w:tcW w:w="2491" w:type="dxa"/>
            <w:tcBorders>
              <w:top w:val="nil"/>
              <w:bottom w:val="nil"/>
            </w:tcBorders>
          </w:tcPr>
          <w:p>
            <w:pPr>
              <w:pStyle w:val="TableParagraph"/>
              <w:spacing w:line="210" w:lineRule="exact" w:before="0"/>
              <w:ind w:left="103" w:right="0"/>
              <w:jc w:val="left"/>
              <w:rPr>
                <w:rFonts w:ascii="Times New Roman"/>
                <w:sz w:val="20"/>
              </w:rPr>
            </w:pPr>
            <w:r>
              <w:rPr>
                <w:rFonts w:ascii="Times New Roman"/>
                <w:sz w:val="20"/>
              </w:rPr>
              <w:t>empaque</w:t>
            </w:r>
          </w:p>
        </w:tc>
      </w:tr>
      <w:tr>
        <w:trPr>
          <w:trHeight w:val="447" w:hRule="exact"/>
        </w:trPr>
        <w:tc>
          <w:tcPr>
            <w:tcW w:w="6487" w:type="dxa"/>
            <w:vMerge/>
          </w:tcPr>
          <w:p>
            <w:pPr/>
          </w:p>
        </w:tc>
        <w:tc>
          <w:tcPr>
            <w:tcW w:w="2491" w:type="dxa"/>
            <w:tcBorders>
              <w:top w:val="nil"/>
              <w:bottom w:val="nil"/>
            </w:tcBorders>
          </w:tcPr>
          <w:p>
            <w:pPr>
              <w:pStyle w:val="TableParagraph"/>
              <w:spacing w:before="5"/>
              <w:ind w:right="0"/>
              <w:jc w:val="left"/>
              <w:rPr>
                <w:rFonts w:ascii="Arial"/>
                <w:b/>
                <w:sz w:val="19"/>
              </w:rPr>
            </w:pPr>
          </w:p>
          <w:p>
            <w:pPr>
              <w:pStyle w:val="TableParagraph"/>
              <w:spacing w:before="1"/>
              <w:ind w:left="103" w:right="0"/>
              <w:jc w:val="left"/>
              <w:rPr>
                <w:rFonts w:ascii="Times New Roman" w:hAnsi="Times New Roman"/>
                <w:sz w:val="20"/>
              </w:rPr>
            </w:pPr>
            <w:r>
              <w:rPr>
                <w:rFonts w:ascii="Times New Roman" w:hAnsi="Times New Roman"/>
                <w:sz w:val="20"/>
              </w:rPr>
              <w:t>ASE=Área superficial</w:t>
            </w:r>
          </w:p>
        </w:tc>
      </w:tr>
      <w:tr>
        <w:trPr>
          <w:trHeight w:val="482" w:hRule="exact"/>
        </w:trPr>
        <w:tc>
          <w:tcPr>
            <w:tcW w:w="6487" w:type="dxa"/>
            <w:vMerge/>
          </w:tcPr>
          <w:p>
            <w:pPr/>
          </w:p>
        </w:tc>
        <w:tc>
          <w:tcPr>
            <w:tcW w:w="2491" w:type="dxa"/>
            <w:tcBorders>
              <w:top w:val="nil"/>
              <w:bottom w:val="nil"/>
            </w:tcBorders>
          </w:tcPr>
          <w:p>
            <w:pPr>
              <w:pStyle w:val="TableParagraph"/>
              <w:spacing w:line="236" w:lineRule="exact" w:before="0"/>
              <w:ind w:left="103" w:right="0"/>
              <w:jc w:val="left"/>
              <w:rPr>
                <w:rFonts w:ascii="Times New Roman"/>
                <w:sz w:val="20"/>
              </w:rPr>
            </w:pPr>
            <w:r>
              <w:rPr>
                <w:rFonts w:ascii="Times New Roman"/>
                <w:sz w:val="20"/>
              </w:rPr>
              <w:t>especifica (414m</w:t>
            </w:r>
            <w:r>
              <w:rPr>
                <w:rFonts w:ascii="Times New Roman"/>
                <w:position w:val="9"/>
                <w:sz w:val="13"/>
              </w:rPr>
              <w:t>2</w:t>
            </w:r>
            <w:r>
              <w:rPr>
                <w:rFonts w:ascii="Times New Roman"/>
                <w:sz w:val="20"/>
              </w:rPr>
              <w:t>/m</w:t>
            </w:r>
            <w:r>
              <w:rPr>
                <w:rFonts w:ascii="Times New Roman"/>
                <w:position w:val="9"/>
                <w:sz w:val="13"/>
              </w:rPr>
              <w:t>3</w:t>
            </w:r>
            <w:r>
              <w:rPr>
                <w:rFonts w:ascii="Times New Roman"/>
                <w:sz w:val="20"/>
              </w:rPr>
              <w:t>)</w:t>
            </w:r>
          </w:p>
        </w:tc>
      </w:tr>
      <w:tr>
        <w:trPr>
          <w:trHeight w:val="534" w:hRule="exact"/>
        </w:trPr>
        <w:tc>
          <w:tcPr>
            <w:tcW w:w="6487" w:type="dxa"/>
            <w:vMerge/>
          </w:tcPr>
          <w:p>
            <w:pPr/>
          </w:p>
        </w:tc>
        <w:tc>
          <w:tcPr>
            <w:tcW w:w="2491" w:type="dxa"/>
            <w:tcBorders>
              <w:top w:val="nil"/>
              <w:bottom w:val="nil"/>
            </w:tcBorders>
          </w:tcPr>
          <w:p>
            <w:pPr>
              <w:pStyle w:val="TableParagraph"/>
              <w:spacing w:before="5"/>
              <w:ind w:right="0"/>
              <w:jc w:val="left"/>
              <w:rPr>
                <w:rFonts w:ascii="Arial"/>
                <w:b/>
                <w:sz w:val="19"/>
              </w:rPr>
            </w:pPr>
          </w:p>
          <w:p>
            <w:pPr>
              <w:pStyle w:val="TableParagraph"/>
              <w:spacing w:before="1"/>
              <w:ind w:left="103" w:right="0"/>
              <w:jc w:val="left"/>
              <w:rPr>
                <w:rFonts w:ascii="Times New Roman" w:hAnsi="Times New Roman"/>
                <w:sz w:val="20"/>
              </w:rPr>
            </w:pPr>
            <w:r>
              <w:rPr>
                <w:rFonts w:ascii="Times New Roman" w:hAnsi="Times New Roman"/>
                <w:sz w:val="20"/>
              </w:rPr>
              <w:t>A</w:t>
            </w:r>
            <w:r>
              <w:rPr>
                <w:rFonts w:ascii="Times New Roman" w:hAnsi="Times New Roman"/>
                <w:position w:val="-2"/>
                <w:sz w:val="13"/>
              </w:rPr>
              <w:t>t</w:t>
            </w:r>
            <w:r>
              <w:rPr>
                <w:rFonts w:ascii="Times New Roman" w:hAnsi="Times New Roman"/>
                <w:sz w:val="20"/>
              </w:rPr>
              <w:t>=Área transversal</w:t>
            </w:r>
          </w:p>
        </w:tc>
      </w:tr>
      <w:tr>
        <w:trPr>
          <w:trHeight w:val="264" w:hRule="exact"/>
        </w:trPr>
        <w:tc>
          <w:tcPr>
            <w:tcW w:w="6487" w:type="dxa"/>
            <w:vMerge/>
          </w:tcPr>
          <w:p>
            <w:pPr/>
          </w:p>
        </w:tc>
        <w:tc>
          <w:tcPr>
            <w:tcW w:w="2491" w:type="dxa"/>
            <w:tcBorders>
              <w:top w:val="nil"/>
              <w:bottom w:val="nil"/>
            </w:tcBorders>
          </w:tcPr>
          <w:p>
            <w:pPr>
              <w:pStyle w:val="TableParagraph"/>
              <w:spacing w:before="40"/>
              <w:ind w:left="103" w:right="0"/>
              <w:jc w:val="left"/>
              <w:rPr>
                <w:rFonts w:ascii="Times New Roman" w:hAnsi="Times New Roman"/>
                <w:sz w:val="20"/>
              </w:rPr>
            </w:pPr>
            <w:r>
              <w:rPr>
                <w:rFonts w:ascii="Times New Roman" w:hAnsi="Times New Roman"/>
                <w:sz w:val="20"/>
              </w:rPr>
              <w:t>CH=Carga hidráulica</w:t>
            </w:r>
          </w:p>
        </w:tc>
      </w:tr>
      <w:tr>
        <w:trPr>
          <w:trHeight w:val="424" w:hRule="exact"/>
        </w:trPr>
        <w:tc>
          <w:tcPr>
            <w:tcW w:w="6487" w:type="dxa"/>
            <w:vMerge/>
          </w:tcPr>
          <w:p>
            <w:pPr/>
          </w:p>
        </w:tc>
        <w:tc>
          <w:tcPr>
            <w:tcW w:w="2491" w:type="dxa"/>
            <w:tcBorders>
              <w:top w:val="nil"/>
            </w:tcBorders>
          </w:tcPr>
          <w:p>
            <w:pPr>
              <w:pStyle w:val="TableParagraph"/>
              <w:spacing w:line="237" w:lineRule="exact" w:before="0"/>
              <w:ind w:left="103" w:right="0"/>
              <w:jc w:val="left"/>
              <w:rPr>
                <w:rFonts w:ascii="Times New Roman"/>
                <w:sz w:val="20"/>
              </w:rPr>
            </w:pPr>
            <w:r>
              <w:rPr>
                <w:rFonts w:ascii="Times New Roman"/>
                <w:sz w:val="20"/>
              </w:rPr>
              <w:t>(212m</w:t>
            </w:r>
            <w:r>
              <w:rPr>
                <w:rFonts w:ascii="Times New Roman"/>
                <w:position w:val="9"/>
                <w:sz w:val="13"/>
              </w:rPr>
              <w:t>3</w:t>
            </w:r>
            <w:r>
              <w:rPr>
                <w:rFonts w:ascii="Times New Roman"/>
                <w:sz w:val="20"/>
              </w:rPr>
              <w:t>/m</w:t>
            </w:r>
            <w:r>
              <w:rPr>
                <w:rFonts w:ascii="Times New Roman"/>
                <w:position w:val="9"/>
                <w:sz w:val="13"/>
              </w:rPr>
              <w:t>2</w:t>
            </w:r>
            <w:r>
              <w:rPr>
                <w:rFonts w:ascii="Times New Roman"/>
                <w:sz w:val="20"/>
              </w:rPr>
              <w:t>)</w:t>
            </w:r>
          </w:p>
        </w:tc>
      </w:tr>
    </w:tbl>
    <w:p>
      <w:pPr>
        <w:spacing w:after="0" w:line="237" w:lineRule="exact"/>
        <w:jc w:val="left"/>
        <w:rPr>
          <w:rFonts w:ascii="Times New Roman"/>
          <w:sz w:val="20"/>
        </w:rPr>
        <w:sectPr>
          <w:pgSz w:w="12240" w:h="15840"/>
          <w:pgMar w:header="725" w:footer="1084" w:top="1340" w:bottom="1280" w:left="920" w:right="1200"/>
        </w:sectPr>
      </w:pPr>
    </w:p>
    <w:p>
      <w:pPr>
        <w:pStyle w:val="BodyText"/>
        <w:spacing w:before="11"/>
        <w:rPr>
          <w:b/>
          <w:sz w:val="14"/>
        </w:rPr>
      </w:pPr>
      <w:r>
        <w:rPr/>
        <w:pict>
          <v:line style="position:absolute;mso-position-horizontal-relative:page;mso-position-vertical-relative:page;z-index:-1527136" from="200.399994pt,236.460007pt" to="213.959994pt,236.460007pt" stroked="true" strokeweight=".6pt" strokecolor="#000000">
            <w10:wrap type="none"/>
          </v:line>
        </w:pict>
      </w:r>
      <w:r>
        <w:rPr/>
        <w:pict>
          <v:line style="position:absolute;mso-position-horizontal-relative:page;mso-position-vertical-relative:page;z-index:-1527112" from="252.839996pt,226.740005pt" to="267.239996pt,226.740005pt" stroked="true" strokeweight=".6pt" strokecolor="#000000">
            <w10:wrap type="none"/>
          </v:line>
        </w:pict>
      </w:r>
      <w:r>
        <w:rPr/>
        <w:pict>
          <v:line style="position:absolute;mso-position-horizontal-relative:page;mso-position-vertical-relative:page;z-index:-1527088" from="226.919998pt,236.460007pt" to="267.119997pt,236.460007pt" stroked="true" strokeweight=".6pt" strokecolor="#000000">
            <w10:wrap type="none"/>
          </v:line>
        </w:pict>
      </w:r>
      <w:r>
        <w:rPr/>
        <w:pict>
          <v:line style="position:absolute;mso-position-horizontal-relative:page;mso-position-vertical-relative:page;z-index:-1527064" from="178.199997pt,283.620026pt" to="193.799997pt,283.620026pt" stroked="true" strokeweight=".6pt" strokecolor="#000000">
            <w10:wrap type="none"/>
          </v:line>
        </w:pict>
      </w:r>
      <w:r>
        <w:rPr/>
        <w:pict>
          <v:line style="position:absolute;mso-position-horizontal-relative:page;mso-position-vertical-relative:page;z-index:-1527040" from="178.080002pt,265.860016pt" to="193.680001pt,265.860016pt" stroked="true" strokeweight=".6pt" strokecolor="#000000">
            <w10:wrap type="none"/>
          </v:line>
        </w:pict>
      </w:r>
      <w:r>
        <w:rPr/>
        <w:pict>
          <v:line style="position:absolute;mso-position-horizontal-relative:page;mso-position-vertical-relative:page;z-index:-1527016" from="214.319992pt,265.5pt" to="252.959991pt,265.5pt" stroked="true" strokeweight=".6pt" strokecolor="#000000">
            <w10:wrap type="none"/>
          </v:line>
        </w:pict>
      </w:r>
    </w:p>
    <w:p>
      <w:pPr>
        <w:pStyle w:val="BodyText"/>
        <w:ind w:left="668"/>
        <w:rPr>
          <w:sz w:val="20"/>
        </w:rPr>
      </w:pPr>
      <w:r>
        <w:rPr>
          <w:sz w:val="20"/>
        </w:rPr>
        <w:pict>
          <v:group style="width:449.45pt;height:314.9pt;mso-position-horizontal-relative:char;mso-position-vertical-relative:line" coordorigin="0,0" coordsize="8989,6298">
            <v:line style="position:absolute" from="10,10" to="6487,10" stroked="true" strokeweight=".48pt" strokecolor="#000000"/>
            <v:line style="position:absolute" from="6497,10" to="8979,10" stroked="true" strokeweight=".48pt" strokecolor="#000000"/>
            <v:line style="position:absolute" from="5,5" to="5,6293" stroked="true" strokeweight=".48pt" strokecolor="#000000"/>
            <v:line style="position:absolute" from="10,6288" to="6487,6288" stroked="true" strokeweight=".48pt" strokecolor="#000000"/>
            <v:line style="position:absolute" from="6492,5" to="6492,6293" stroked="true" strokeweight=".48pt" strokecolor="#000000"/>
            <v:line style="position:absolute" from="6497,6288" to="8979,6288" stroked="true" strokeweight=".48pt" strokecolor="#000000"/>
            <v:line style="position:absolute" from="8983,5" to="8983,6293" stroked="true" strokeweight=".48pt" strokecolor="#000000"/>
            <v:shape style="position:absolute;left:113;top:37;width:6274;height:387" type="#_x0000_t202" filled="false" stroked="false">
              <v:textbox inset="0,0,0,0">
                <w:txbxContent>
                  <w:p>
                    <w:pPr>
                      <w:spacing w:line="184" w:lineRule="exact" w:before="0"/>
                      <w:ind w:left="0" w:right="0" w:firstLine="0"/>
                      <w:jc w:val="left"/>
                      <w:rPr>
                        <w:sz w:val="18"/>
                      </w:rPr>
                    </w:pPr>
                    <w:r>
                      <w:rPr>
                        <w:sz w:val="18"/>
                      </w:rPr>
                      <w:t>Paso 5. Estimación del volumen del empaque con base en el área  superficial</w:t>
                    </w:r>
                  </w:p>
                  <w:p>
                    <w:pPr>
                      <w:spacing w:line="203" w:lineRule="exact" w:before="0"/>
                      <w:ind w:left="0" w:right="0" w:firstLine="0"/>
                      <w:jc w:val="left"/>
                      <w:rPr>
                        <w:sz w:val="18"/>
                      </w:rPr>
                    </w:pPr>
                    <w:r>
                      <w:rPr>
                        <w:sz w:val="18"/>
                      </w:rPr>
                      <w:t>específica</w:t>
                    </w:r>
                  </w:p>
                </w:txbxContent>
              </v:textbox>
              <w10:wrap type="none"/>
            </v:shape>
            <v:shape style="position:absolute;left:113;top:1050;width:2831;height:259" type="#_x0000_t202" filled="false" stroked="false">
              <v:textbox inset="0,0,0,0">
                <w:txbxContent>
                  <w:p>
                    <w:pPr>
                      <w:tabs>
                        <w:tab w:pos="977" w:val="left" w:leader="none"/>
                        <w:tab w:pos="1574" w:val="left" w:leader="none"/>
                        <w:tab w:pos="1880" w:val="left" w:leader="none"/>
                      </w:tabs>
                      <w:spacing w:line="258" w:lineRule="exact" w:before="0"/>
                      <w:ind w:left="0" w:right="0" w:firstLine="0"/>
                      <w:jc w:val="left"/>
                      <w:rPr>
                        <w:rFonts w:ascii="Cambria Math" w:hAnsi="Cambria Math"/>
                        <w:sz w:val="14"/>
                      </w:rPr>
                    </w:pPr>
                    <w:r>
                      <w:rPr>
                        <w:rFonts w:ascii="Cambria Math" w:hAnsi="Cambria Math"/>
                        <w:spacing w:val="-13"/>
                        <w:sz w:val="20"/>
                      </w:rPr>
                      <w:t>V</w:t>
                    </w:r>
                    <w:r>
                      <w:rPr>
                        <w:rFonts w:ascii="Cambria Math" w:hAnsi="Cambria Math"/>
                        <w:spacing w:val="-13"/>
                        <w:position w:val="-3"/>
                        <w:sz w:val="14"/>
                      </w:rPr>
                      <w:t>Æm  </w:t>
                    </w:r>
                    <w:r>
                      <w:rPr>
                        <w:rFonts w:ascii="Cambria Math" w:hAnsi="Cambria Math"/>
                        <w:spacing w:val="1"/>
                        <w:position w:val="-3"/>
                        <w:sz w:val="14"/>
                      </w:rPr>
                      <w:t> </w:t>
                    </w:r>
                    <w:r>
                      <w:rPr>
                        <w:rFonts w:ascii="Cambria Math" w:hAnsi="Cambria Math"/>
                        <w:sz w:val="20"/>
                      </w:rPr>
                      <w:t>=</w:t>
                    </w:r>
                    <w:r>
                      <w:rPr>
                        <w:rFonts w:ascii="Times New Roman" w:hAnsi="Times New Roman"/>
                        <w:position w:val="7"/>
                        <w:sz w:val="14"/>
                        <w:u w:val="single"/>
                      </w:rPr>
                      <w:tab/>
                    </w:r>
                    <w:r>
                      <w:rPr>
                        <w:rFonts w:ascii="Cambria Math" w:hAnsi="Cambria Math"/>
                        <w:sz w:val="20"/>
                      </w:rPr>
                      <w:t>=</w:t>
                    </w:r>
                    <w:r>
                      <w:rPr>
                        <w:rFonts w:ascii="Times New Roman" w:hAnsi="Times New Roman"/>
                        <w:position w:val="7"/>
                        <w:sz w:val="14"/>
                        <w:u w:val="single"/>
                      </w:rPr>
                      <w:t> </w:t>
                      <w:tab/>
                    </w:r>
                    <w:r>
                      <w:rPr>
                        <w:rFonts w:ascii="Times New Roman" w:hAnsi="Times New Roman"/>
                        <w:sz w:val="20"/>
                        <w:u w:val="single"/>
                      </w:rPr>
                      <w:tab/>
                    </w:r>
                    <w:r>
                      <w:rPr>
                        <w:rFonts w:ascii="Cambria Math" w:hAnsi="Cambria Math"/>
                        <w:sz w:val="20"/>
                      </w:rPr>
                      <w:t>=</w:t>
                    </w:r>
                    <w:r>
                      <w:rPr>
                        <w:rFonts w:ascii="Cambria Math" w:hAnsi="Cambria Math"/>
                        <w:spacing w:val="15"/>
                        <w:sz w:val="20"/>
                      </w:rPr>
                      <w:t> </w:t>
                    </w:r>
                    <w:r>
                      <w:rPr>
                        <w:rFonts w:ascii="Cambria Math" w:hAnsi="Cambria Math"/>
                        <w:sz w:val="20"/>
                      </w:rPr>
                      <w:t>1,015m</w:t>
                    </w:r>
                    <w:r>
                      <w:rPr>
                        <w:rFonts w:ascii="Cambria Math" w:hAnsi="Cambria Math"/>
                        <w:position w:val="7"/>
                        <w:sz w:val="14"/>
                      </w:rPr>
                      <w:t>3</w:t>
                    </w:r>
                  </w:p>
                </w:txbxContent>
              </v:textbox>
              <w10:wrap type="none"/>
            </v:shape>
            <v:shape style="position:absolute;left:708;top:928;width:331;height:227" type="#_x0000_t202" filled="false" stroked="false">
              <v:textbox inset="0,0,0,0">
                <w:txbxContent>
                  <w:p>
                    <w:pPr>
                      <w:spacing w:line="227" w:lineRule="exact" w:before="0"/>
                      <w:ind w:left="0" w:right="-20" w:firstLine="0"/>
                      <w:jc w:val="left"/>
                      <w:rPr>
                        <w:rFonts w:ascii="Cambria Math" w:hAnsi="Cambria Math"/>
                        <w:sz w:val="14"/>
                      </w:rPr>
                    </w:pPr>
                    <w:r>
                      <w:rPr>
                        <w:rFonts w:ascii="Cambria Math" w:hAnsi="Cambria Math"/>
                        <w:spacing w:val="-4"/>
                        <w:w w:val="95"/>
                        <w:position w:val="4"/>
                        <w:sz w:val="20"/>
                      </w:rPr>
                      <w:t>A</w:t>
                    </w:r>
                    <w:r>
                      <w:rPr>
                        <w:rFonts w:ascii="Cambria Math" w:hAnsi="Cambria Math"/>
                        <w:spacing w:val="-4"/>
                        <w:w w:val="95"/>
                        <w:sz w:val="14"/>
                      </w:rPr>
                      <w:t>ÆM</w:t>
                    </w:r>
                  </w:p>
                </w:txbxContent>
              </v:textbox>
              <w10:wrap type="none"/>
            </v:shape>
            <v:shape style="position:absolute;left:1339;top:900;width:582;height:227" type="#_x0000_t202" filled="false" stroked="false">
              <v:textbox inset="0,0,0,0">
                <w:txbxContent>
                  <w:p>
                    <w:pPr>
                      <w:spacing w:line="227" w:lineRule="exact" w:before="0"/>
                      <w:ind w:left="0" w:right="-15" w:firstLine="0"/>
                      <w:jc w:val="left"/>
                      <w:rPr>
                        <w:rFonts w:ascii="Cambria Math"/>
                        <w:sz w:val="14"/>
                      </w:rPr>
                    </w:pPr>
                    <w:r>
                      <w:rPr>
                        <w:rFonts w:ascii="Cambria Math"/>
                        <w:sz w:val="20"/>
                      </w:rPr>
                      <w:t>420m</w:t>
                    </w:r>
                    <w:r>
                      <w:rPr>
                        <w:rFonts w:ascii="Cambria Math"/>
                        <w:position w:val="7"/>
                        <w:sz w:val="14"/>
                      </w:rPr>
                      <w:t>2</w:t>
                    </w:r>
                  </w:p>
                </w:txbxContent>
              </v:textbox>
              <w10:wrap type="none"/>
            </v:shape>
            <v:shape style="position:absolute;left:696;top:1216;width:357;height:200" type="#_x0000_t202" filled="false" stroked="false">
              <v:textbox inset="0,0,0,0">
                <w:txbxContent>
                  <w:p>
                    <w:pPr>
                      <w:spacing w:line="199" w:lineRule="exact" w:before="0"/>
                      <w:ind w:left="0" w:right="-19" w:firstLine="0"/>
                      <w:jc w:val="left"/>
                      <w:rPr>
                        <w:rFonts w:ascii="Cambria Math"/>
                        <w:sz w:val="20"/>
                      </w:rPr>
                    </w:pPr>
                    <w:r>
                      <w:rPr>
                        <w:rFonts w:ascii="Cambria Math"/>
                        <w:w w:val="105"/>
                        <w:sz w:val="20"/>
                      </w:rPr>
                      <w:t>ASE</w:t>
                    </w:r>
                  </w:p>
                </w:txbxContent>
              </v:textbox>
              <w10:wrap type="none"/>
            </v:shape>
            <v:shape style="position:absolute;left:1323;top:1193;width:616;height:331" type="#_x0000_t202" filled="false" stroked="false">
              <v:textbox inset="0,0,0,0">
                <w:txbxContent>
                  <w:p>
                    <w:pPr>
                      <w:spacing w:line="330" w:lineRule="exact" w:before="0"/>
                      <w:ind w:left="0" w:right="-18" w:firstLine="0"/>
                      <w:jc w:val="left"/>
                      <w:rPr>
                        <w:rFonts w:ascii="Cambria Math"/>
                        <w:sz w:val="14"/>
                      </w:rPr>
                    </w:pPr>
                    <w:r>
                      <w:rPr>
                        <w:rFonts w:ascii="Cambria Math"/>
                        <w:sz w:val="20"/>
                      </w:rPr>
                      <w:t>414</w:t>
                    </w:r>
                    <w:r>
                      <w:rPr>
                        <w:rFonts w:ascii="Cambria Math"/>
                        <w:spacing w:val="-7"/>
                        <w:sz w:val="20"/>
                      </w:rPr>
                      <w:t> </w:t>
                    </w:r>
                    <w:r>
                      <w:rPr>
                        <w:rFonts w:ascii="Cambria Math"/>
                        <w:position w:val="12"/>
                        <w:sz w:val="20"/>
                      </w:rPr>
                      <w:t>m</w:t>
                    </w:r>
                    <w:r>
                      <w:rPr>
                        <w:rFonts w:ascii="Cambria Math"/>
                        <w:position w:val="18"/>
                        <w:sz w:val="14"/>
                      </w:rPr>
                      <w:t>2</w:t>
                    </w:r>
                  </w:p>
                </w:txbxContent>
              </v:textbox>
              <w10:wrap type="none"/>
            </v:shape>
            <v:shape style="position:absolute;left:1687;top:1421;width:251;height:213" type="#_x0000_t202" filled="false" stroked="false">
              <v:textbox inset="0,0,0,0">
                <w:txbxContent>
                  <w:p>
                    <w:pPr>
                      <w:spacing w:line="213" w:lineRule="exact" w:before="0"/>
                      <w:ind w:left="0" w:right="-13" w:firstLine="0"/>
                      <w:jc w:val="left"/>
                      <w:rPr>
                        <w:rFonts w:ascii="Cambria Math"/>
                        <w:sz w:val="14"/>
                      </w:rPr>
                    </w:pPr>
                    <w:r>
                      <w:rPr>
                        <w:rFonts w:ascii="Cambria Math"/>
                        <w:position w:val="-5"/>
                        <w:sz w:val="20"/>
                      </w:rPr>
                      <w:t>m</w:t>
                    </w:r>
                    <w:r>
                      <w:rPr>
                        <w:rFonts w:ascii="Cambria Math"/>
                        <w:sz w:val="14"/>
                      </w:rPr>
                      <w:t>3</w:t>
                    </w:r>
                  </w:p>
                </w:txbxContent>
              </v:textbox>
              <w10:wrap type="none"/>
            </v:shape>
            <v:shape style="position:absolute;left:113;top:2086;width:1973;height:180" type="#_x0000_t202" filled="false" stroked="false">
              <v:textbox inset="0,0,0,0">
                <w:txbxContent>
                  <w:p>
                    <w:pPr>
                      <w:spacing w:line="180" w:lineRule="exact" w:before="0"/>
                      <w:ind w:left="0" w:right="-18" w:firstLine="0"/>
                      <w:jc w:val="left"/>
                      <w:rPr>
                        <w:sz w:val="18"/>
                      </w:rPr>
                    </w:pPr>
                    <w:r>
                      <w:rPr>
                        <w:sz w:val="18"/>
                      </w:rPr>
                      <w:t>Paso 6. Área transversal</w:t>
                    </w:r>
                  </w:p>
                </w:txbxContent>
              </v:textbox>
              <w10:wrap type="none"/>
            </v:shape>
            <v:shape style="position:absolute;left:1959;top:3100;width:126;height:200" type="#_x0000_t202" filled="false" stroked="false">
              <v:textbox inset="0,0,0,0">
                <w:txbxContent>
                  <w:p>
                    <w:pPr>
                      <w:spacing w:line="199" w:lineRule="exact" w:before="0"/>
                      <w:ind w:left="0" w:right="0" w:firstLine="0"/>
                      <w:jc w:val="left"/>
                      <w:rPr>
                        <w:rFonts w:ascii="Cambria Math"/>
                        <w:sz w:val="20"/>
                      </w:rPr>
                    </w:pPr>
                    <w:r>
                      <w:rPr>
                        <w:rFonts w:ascii="Cambria Math"/>
                        <w:w w:val="101"/>
                        <w:sz w:val="20"/>
                      </w:rPr>
                      <w:t>A</w:t>
                    </w:r>
                  </w:p>
                </w:txbxContent>
              </v:textbox>
              <w10:wrap type="none"/>
            </v:shape>
            <v:shape style="position:absolute;left:2086;top:3187;width:62;height:140" type="#_x0000_t202" filled="false" stroked="false">
              <v:textbox inset="0,0,0,0">
                <w:txbxContent>
                  <w:p>
                    <w:pPr>
                      <w:spacing w:line="139" w:lineRule="exact" w:before="0"/>
                      <w:ind w:left="0" w:right="0" w:firstLine="0"/>
                      <w:jc w:val="left"/>
                      <w:rPr>
                        <w:rFonts w:ascii="Cambria Math"/>
                        <w:sz w:val="14"/>
                      </w:rPr>
                    </w:pPr>
                    <w:r>
                      <w:rPr>
                        <w:rFonts w:ascii="Cambria Math"/>
                        <w:w w:val="129"/>
                        <w:sz w:val="14"/>
                      </w:rPr>
                      <w:t>t</w:t>
                    </w:r>
                  </w:p>
                </w:txbxContent>
              </v:textbox>
              <w10:wrap type="none"/>
            </v:shape>
            <v:shape style="position:absolute;left:2213;top:2946;width:448;height:353" type="#_x0000_t202" filled="false" stroked="false">
              <v:textbox inset="0,0,0,0">
                <w:txbxContent>
                  <w:p>
                    <w:pPr>
                      <w:spacing w:line="172" w:lineRule="exact" w:before="0"/>
                      <w:ind w:left="220" w:right="-19" w:firstLine="0"/>
                      <w:jc w:val="left"/>
                      <w:rPr>
                        <w:rFonts w:ascii="Cambria Math"/>
                        <w:sz w:val="14"/>
                      </w:rPr>
                    </w:pPr>
                    <w:r>
                      <w:rPr>
                        <w:rFonts w:ascii="Cambria Math"/>
                        <w:spacing w:val="-4"/>
                        <w:w w:val="105"/>
                        <w:sz w:val="20"/>
                      </w:rPr>
                      <w:t>Q</w:t>
                    </w:r>
                    <w:r>
                      <w:rPr>
                        <w:rFonts w:ascii="Cambria Math"/>
                        <w:spacing w:val="-4"/>
                        <w:w w:val="105"/>
                        <w:position w:val="-3"/>
                        <w:sz w:val="14"/>
                      </w:rPr>
                      <w:t>D</w:t>
                    </w:r>
                  </w:p>
                  <w:p>
                    <w:pPr>
                      <w:spacing w:line="180" w:lineRule="exact" w:before="0"/>
                      <w:ind w:left="0" w:right="0" w:firstLine="0"/>
                      <w:jc w:val="left"/>
                      <w:rPr>
                        <w:rFonts w:ascii="Cambria Math"/>
                        <w:sz w:val="20"/>
                      </w:rPr>
                    </w:pPr>
                    <w:r>
                      <w:rPr>
                        <w:rFonts w:ascii="Cambria Math"/>
                        <w:w w:val="99"/>
                        <w:sz w:val="20"/>
                      </w:rPr>
                      <w:t>=</w:t>
                    </w:r>
                  </w:p>
                </w:txbxContent>
              </v:textbox>
              <w10:wrap type="none"/>
            </v:shape>
            <v:shape style="position:absolute;left:2950;top:2905;width:485;height:200" type="#_x0000_t202" filled="false" stroked="false">
              <v:textbox inset="0,0,0,0">
                <w:txbxContent>
                  <w:p>
                    <w:pPr>
                      <w:spacing w:line="199" w:lineRule="exact" w:before="0"/>
                      <w:ind w:left="0" w:right="-19" w:firstLine="0"/>
                      <w:jc w:val="left"/>
                      <w:rPr>
                        <w:rFonts w:ascii="Cambria Math"/>
                        <w:sz w:val="20"/>
                      </w:rPr>
                    </w:pPr>
                    <w:r>
                      <w:rPr>
                        <w:rFonts w:ascii="Cambria Math"/>
                        <w:sz w:val="20"/>
                      </w:rPr>
                      <w:t>302,4</w:t>
                    </w:r>
                  </w:p>
                </w:txbxContent>
              </v:textbox>
              <w10:wrap type="none"/>
            </v:shape>
            <v:shape style="position:absolute;left:3480;top:2760;width:251;height:227" type="#_x0000_t202" filled="false" stroked="false">
              <v:textbox inset="0,0,0,0">
                <w:txbxContent>
                  <w:p>
                    <w:pPr>
                      <w:spacing w:line="223" w:lineRule="exact" w:before="0"/>
                      <w:ind w:left="0" w:right="-13" w:firstLine="0"/>
                      <w:jc w:val="left"/>
                      <w:rPr>
                        <w:rFonts w:ascii="Cambria Math"/>
                        <w:sz w:val="14"/>
                      </w:rPr>
                    </w:pPr>
                    <w:r>
                      <w:rPr>
                        <w:rFonts w:ascii="Cambria Math"/>
                        <w:position w:val="-6"/>
                        <w:sz w:val="20"/>
                      </w:rPr>
                      <w:t>m</w:t>
                    </w:r>
                    <w:r>
                      <w:rPr>
                        <w:rFonts w:ascii="Cambria Math"/>
                        <w:sz w:val="14"/>
                      </w:rPr>
                      <w:t>3</w:t>
                    </w:r>
                  </w:p>
                </w:txbxContent>
              </v:textbox>
              <w10:wrap type="none"/>
            </v:shape>
            <v:shape style="position:absolute;left:2419;top:3234;width:265;height:200" type="#_x0000_t202" filled="false" stroked="false">
              <v:textbox inset="0,0,0,0">
                <w:txbxContent>
                  <w:p>
                    <w:pPr>
                      <w:spacing w:line="199" w:lineRule="exact" w:before="0"/>
                      <w:ind w:left="0" w:right="-18" w:firstLine="0"/>
                      <w:jc w:val="left"/>
                      <w:rPr>
                        <w:rFonts w:ascii="Cambria Math"/>
                        <w:sz w:val="20"/>
                      </w:rPr>
                    </w:pPr>
                    <w:r>
                      <w:rPr>
                        <w:rFonts w:ascii="Cambria Math"/>
                        <w:w w:val="105"/>
                        <w:sz w:val="20"/>
                      </w:rPr>
                      <w:t>CH</w:t>
                    </w:r>
                  </w:p>
                </w:txbxContent>
              </v:textbox>
              <w10:wrap type="none"/>
            </v:shape>
            <v:shape style="position:absolute;left:2746;top:3100;width:149;height:200" type="#_x0000_t202" filled="false" stroked="false">
              <v:textbox inset="0,0,0,0">
                <w:txbxContent>
                  <w:p>
                    <w:pPr>
                      <w:spacing w:line="199" w:lineRule="exact" w:before="0"/>
                      <w:ind w:left="0" w:right="0" w:firstLine="0"/>
                      <w:jc w:val="left"/>
                      <w:rPr>
                        <w:rFonts w:ascii="Cambria Math"/>
                        <w:sz w:val="20"/>
                      </w:rPr>
                    </w:pPr>
                    <w:r>
                      <w:rPr>
                        <w:rFonts w:ascii="Cambria Math"/>
                        <w:w w:val="99"/>
                        <w:sz w:val="20"/>
                      </w:rPr>
                      <w:t>=</w:t>
                    </w:r>
                  </w:p>
                </w:txbxContent>
              </v:textbox>
              <w10:wrap type="none"/>
            </v:shape>
            <v:shape style="position:absolute;left:3039;top:3211;width:618;height:331" type="#_x0000_t202" filled="false" stroked="false">
              <v:textbox inset="0,0,0,0">
                <w:txbxContent>
                  <w:p>
                    <w:pPr>
                      <w:spacing w:line="330" w:lineRule="exact" w:before="0"/>
                      <w:ind w:left="0" w:right="-18" w:firstLine="0"/>
                      <w:jc w:val="left"/>
                      <w:rPr>
                        <w:rFonts w:ascii="Cambria Math"/>
                        <w:sz w:val="14"/>
                      </w:rPr>
                    </w:pPr>
                    <w:r>
                      <w:rPr>
                        <w:rFonts w:ascii="Cambria Math"/>
                        <w:sz w:val="20"/>
                      </w:rPr>
                      <w:t>212</w:t>
                    </w:r>
                    <w:r>
                      <w:rPr>
                        <w:rFonts w:ascii="Cambria Math"/>
                        <w:spacing w:val="-5"/>
                        <w:sz w:val="20"/>
                      </w:rPr>
                      <w:t> </w:t>
                    </w:r>
                    <w:r>
                      <w:rPr>
                        <w:rFonts w:ascii="Cambria Math"/>
                        <w:position w:val="12"/>
                        <w:sz w:val="20"/>
                      </w:rPr>
                      <w:t>m</w:t>
                    </w:r>
                    <w:r>
                      <w:rPr>
                        <w:rFonts w:ascii="Cambria Math"/>
                        <w:position w:val="18"/>
                        <w:sz w:val="14"/>
                      </w:rPr>
                      <w:t>3</w:t>
                    </w:r>
                  </w:p>
                </w:txbxContent>
              </v:textbox>
              <w10:wrap type="none"/>
            </v:shape>
            <v:shape style="position:absolute;left:3406;top:3094;width:1041;height:205" type="#_x0000_t202" filled="false" stroked="false">
              <v:textbox inset="0,0,0,0">
                <w:txbxContent>
                  <w:p>
                    <w:pPr>
                      <w:tabs>
                        <w:tab w:pos="306" w:val="left" w:leader="none"/>
                      </w:tabs>
                      <w:spacing w:line="205" w:lineRule="exact" w:before="0"/>
                      <w:ind w:left="0" w:right="0" w:firstLine="0"/>
                      <w:jc w:val="left"/>
                      <w:rPr>
                        <w:rFonts w:ascii="Cambria Math"/>
                        <w:sz w:val="20"/>
                      </w:rPr>
                    </w:pPr>
                    <w:r>
                      <w:rPr>
                        <w:rFonts w:ascii="Times New Roman"/>
                        <w:w w:val="99"/>
                        <w:sz w:val="20"/>
                        <w:u w:val="single"/>
                      </w:rPr>
                      <w:t> </w:t>
                    </w:r>
                    <w:r>
                      <w:rPr>
                        <w:rFonts w:ascii="Times New Roman"/>
                        <w:sz w:val="20"/>
                        <w:u w:val="single"/>
                      </w:rPr>
                      <w:tab/>
                    </w:r>
                    <w:r>
                      <w:rPr>
                        <w:rFonts w:ascii="Times New Roman"/>
                        <w:sz w:val="20"/>
                      </w:rPr>
                      <w:t> </w:t>
                    </w:r>
                    <w:r>
                      <w:rPr>
                        <w:rFonts w:ascii="Times New Roman"/>
                        <w:spacing w:val="-1"/>
                        <w:sz w:val="20"/>
                      </w:rPr>
                      <w:t> </w:t>
                    </w:r>
                    <w:r>
                      <w:rPr>
                        <w:rFonts w:ascii="Cambria Math"/>
                        <w:sz w:val="20"/>
                      </w:rPr>
                      <w:t>=</w:t>
                    </w:r>
                    <w:r>
                      <w:rPr>
                        <w:rFonts w:ascii="Cambria Math"/>
                        <w:spacing w:val="10"/>
                        <w:sz w:val="20"/>
                      </w:rPr>
                      <w:t> </w:t>
                    </w:r>
                    <w:r>
                      <w:rPr>
                        <w:rFonts w:ascii="Cambria Math"/>
                        <w:sz w:val="20"/>
                      </w:rPr>
                      <w:t>1,4m</w:t>
                    </w:r>
                  </w:p>
                </w:txbxContent>
              </v:textbox>
              <w10:wrap type="none"/>
            </v:shape>
            <v:shape style="position:absolute;left:3468;top:3008;width:282;height:200" type="#_x0000_t202" filled="false" stroked="false">
              <v:textbox inset="0,0,0,0">
                <w:txbxContent>
                  <w:p>
                    <w:pPr>
                      <w:spacing w:line="199" w:lineRule="exact" w:before="0"/>
                      <w:ind w:left="0" w:right="-16" w:firstLine="0"/>
                      <w:jc w:val="left"/>
                      <w:rPr>
                        <w:rFonts w:ascii="Cambria Math" w:hAnsi="Cambria Math"/>
                        <w:sz w:val="20"/>
                      </w:rPr>
                    </w:pPr>
                    <w:r>
                      <w:rPr>
                        <w:rFonts w:ascii="Cambria Math" w:hAnsi="Cambria Math"/>
                        <w:w w:val="105"/>
                        <w:sz w:val="20"/>
                      </w:rPr>
                      <w:t>día</w:t>
                    </w:r>
                  </w:p>
                </w:txbxContent>
              </v:textbox>
              <w10:wrap type="none"/>
            </v:shape>
            <v:shape style="position:absolute;left:4450;top:3072;width:81;height:140" type="#_x0000_t202" filled="false" stroked="false">
              <v:textbox inset="0,0,0,0">
                <w:txbxContent>
                  <w:p>
                    <w:pPr>
                      <w:spacing w:line="139" w:lineRule="exact" w:before="0"/>
                      <w:ind w:left="0" w:right="0" w:firstLine="0"/>
                      <w:jc w:val="left"/>
                      <w:rPr>
                        <w:rFonts w:ascii="Cambria Math"/>
                        <w:sz w:val="14"/>
                      </w:rPr>
                    </w:pPr>
                    <w:r>
                      <w:rPr>
                        <w:rFonts w:ascii="Cambria Math"/>
                        <w:w w:val="103"/>
                        <w:sz w:val="14"/>
                      </w:rPr>
                      <w:t>2</w:t>
                    </w:r>
                  </w:p>
                </w:txbxContent>
              </v:textbox>
              <w10:wrap type="none"/>
            </v:shape>
            <v:shape style="position:absolute;left:3406;top:3439;width:251;height:213" type="#_x0000_t202" filled="false" stroked="false">
              <v:textbox inset="0,0,0,0">
                <w:txbxContent>
                  <w:p>
                    <w:pPr>
                      <w:spacing w:line="213" w:lineRule="exact" w:before="0"/>
                      <w:ind w:left="0" w:right="-13" w:firstLine="0"/>
                      <w:jc w:val="left"/>
                      <w:rPr>
                        <w:rFonts w:ascii="Cambria Math"/>
                        <w:sz w:val="14"/>
                      </w:rPr>
                    </w:pPr>
                    <w:r>
                      <w:rPr>
                        <w:rFonts w:ascii="Cambria Math"/>
                        <w:position w:val="-5"/>
                        <w:sz w:val="20"/>
                      </w:rPr>
                      <w:t>m</w:t>
                    </w:r>
                    <w:r>
                      <w:rPr>
                        <w:rFonts w:ascii="Cambria Math"/>
                        <w:sz w:val="14"/>
                      </w:rPr>
                      <w:t>2</w:t>
                    </w:r>
                  </w:p>
                </w:txbxContent>
              </v:textbox>
              <w10:wrap type="none"/>
            </v:shape>
            <v:shape style="position:absolute;left:1416;top:4009;width:3660;height:234" type="#_x0000_t202" filled="false" stroked="false">
              <v:textbox inset="0,0,0,0">
                <w:txbxContent>
                  <w:p>
                    <w:pPr>
                      <w:tabs>
                        <w:tab w:pos="924" w:val="left" w:leader="none"/>
                        <w:tab w:pos="2099" w:val="left" w:leader="none"/>
                      </w:tabs>
                      <w:spacing w:line="233" w:lineRule="exact" w:before="0"/>
                      <w:ind w:left="0" w:right="0" w:firstLine="0"/>
                      <w:jc w:val="left"/>
                      <w:rPr>
                        <w:rFonts w:ascii="Cambria Math" w:hAnsi="Cambria Math"/>
                        <w:sz w:val="20"/>
                      </w:rPr>
                    </w:pPr>
                    <w:r>
                      <w:rPr>
                        <w:rFonts w:ascii="Cambria Math" w:hAnsi="Cambria Math"/>
                        <w:w w:val="115"/>
                        <w:sz w:val="20"/>
                      </w:rPr>
                      <w:t>D</w:t>
                    </w:r>
                    <w:r>
                      <w:rPr>
                        <w:rFonts w:ascii="Cambria Math" w:hAnsi="Cambria Math"/>
                        <w:spacing w:val="9"/>
                        <w:w w:val="115"/>
                        <w:sz w:val="20"/>
                      </w:rPr>
                      <w:t> </w:t>
                    </w:r>
                    <w:r>
                      <w:rPr>
                        <w:rFonts w:ascii="Cambria Math" w:hAnsi="Cambria Math"/>
                        <w:w w:val="115"/>
                        <w:sz w:val="20"/>
                      </w:rPr>
                      <w:t>=</w:t>
                    </w:r>
                    <w:r>
                      <w:rPr>
                        <w:rFonts w:ascii="Cambria Math" w:hAnsi="Cambria Math"/>
                        <w:spacing w:val="5"/>
                        <w:w w:val="115"/>
                        <w:sz w:val="20"/>
                      </w:rPr>
                      <w:t> </w:t>
                    </w:r>
                    <w:r>
                      <w:rPr>
                        <w:rFonts w:ascii="Cambria Math" w:hAnsi="Cambria Math"/>
                        <w:w w:val="190"/>
                        <w:position w:val="2"/>
                        <w:sz w:val="20"/>
                      </w:rPr>
                      <w:t>J</w:t>
                      <w:tab/>
                    </w:r>
                    <w:r>
                      <w:rPr>
                        <w:rFonts w:ascii="Cambria Math" w:hAnsi="Cambria Math"/>
                        <w:w w:val="115"/>
                        <w:sz w:val="20"/>
                      </w:rPr>
                      <w:t>=</w:t>
                    </w:r>
                    <w:r>
                      <w:rPr>
                        <w:rFonts w:ascii="Cambria Math" w:hAnsi="Cambria Math"/>
                        <w:spacing w:val="8"/>
                        <w:w w:val="115"/>
                        <w:sz w:val="20"/>
                      </w:rPr>
                      <w:t> </w:t>
                    </w:r>
                    <w:r>
                      <w:rPr>
                        <w:rFonts w:ascii="Cambria Math" w:hAnsi="Cambria Math"/>
                        <w:w w:val="190"/>
                        <w:position w:val="3"/>
                        <w:sz w:val="20"/>
                      </w:rPr>
                      <w:t>J</w:t>
                    </w:r>
                    <w:r>
                      <w:rPr>
                        <w:rFonts w:ascii="Times New Roman" w:hAnsi="Times New Roman"/>
                        <w:w w:val="190"/>
                        <w:position w:val="3"/>
                        <w:sz w:val="20"/>
                        <w:u w:val="single"/>
                      </w:rPr>
                      <w:t> </w:t>
                      <w:tab/>
                    </w:r>
                    <w:r>
                      <w:rPr>
                        <w:rFonts w:ascii="Cambria Math" w:hAnsi="Cambria Math"/>
                        <w:w w:val="105"/>
                        <w:sz w:val="20"/>
                      </w:rPr>
                      <w:t>=</w:t>
                    </w:r>
                    <w:r>
                      <w:rPr>
                        <w:rFonts w:ascii="Cambria Math" w:hAnsi="Cambria Math"/>
                        <w:spacing w:val="-14"/>
                        <w:w w:val="105"/>
                        <w:sz w:val="20"/>
                      </w:rPr>
                      <w:t> </w:t>
                    </w:r>
                    <w:r>
                      <w:rPr>
                        <w:rFonts w:ascii="Cambria Math" w:hAnsi="Cambria Math"/>
                        <w:w w:val="105"/>
                        <w:sz w:val="20"/>
                      </w:rPr>
                      <w:t>1,34m</w:t>
                    </w:r>
                    <w:r>
                      <w:rPr>
                        <w:rFonts w:ascii="Cambria Math" w:hAnsi="Cambria Math"/>
                        <w:spacing w:val="-12"/>
                        <w:w w:val="105"/>
                        <w:sz w:val="20"/>
                      </w:rPr>
                      <w:t> </w:t>
                    </w:r>
                    <w:r>
                      <w:rPr>
                        <w:rFonts w:ascii="Cambria Math" w:hAnsi="Cambria Math"/>
                        <w:w w:val="105"/>
                        <w:sz w:val="20"/>
                      </w:rPr>
                      <w:t>≅</w:t>
                    </w:r>
                    <w:r>
                      <w:rPr>
                        <w:rFonts w:ascii="Cambria Math" w:hAnsi="Cambria Math"/>
                        <w:spacing w:val="-15"/>
                        <w:w w:val="105"/>
                        <w:sz w:val="20"/>
                      </w:rPr>
                      <w:t> </w:t>
                    </w:r>
                    <w:r>
                      <w:rPr>
                        <w:rFonts w:ascii="Cambria Math" w:hAnsi="Cambria Math"/>
                        <w:w w:val="105"/>
                        <w:sz w:val="20"/>
                      </w:rPr>
                      <w:t>1,35m</w:t>
                    </w:r>
                  </w:p>
                </w:txbxContent>
              </v:textbox>
              <w10:wrap type="none"/>
            </v:shape>
            <v:shape style="position:absolute;left:1975;top:3876;width:1487;height:240" type="#_x0000_t202" filled="false" stroked="false">
              <v:textbox inset="0,0,0,0">
                <w:txbxContent>
                  <w:p>
                    <w:pPr>
                      <w:tabs>
                        <w:tab w:pos="722" w:val="left" w:leader="none"/>
                      </w:tabs>
                      <w:spacing w:line="239" w:lineRule="exact" w:before="0"/>
                      <w:ind w:left="0" w:right="0" w:firstLine="0"/>
                      <w:jc w:val="left"/>
                      <w:rPr>
                        <w:rFonts w:ascii="Cambria Math" w:hAnsi="Cambria Math"/>
                        <w:sz w:val="14"/>
                      </w:rPr>
                    </w:pPr>
                    <w:r>
                      <w:rPr>
                        <w:rFonts w:ascii="Cambria Math" w:hAnsi="Cambria Math"/>
                        <w:sz w:val="20"/>
                      </w:rPr>
                      <w:t>4A</w:t>
                    </w:r>
                    <w:r>
                      <w:rPr>
                        <w:rFonts w:ascii="Cambria Math" w:hAnsi="Cambria Math"/>
                        <w:position w:val="-3"/>
                        <w:sz w:val="14"/>
                      </w:rPr>
                      <w:t>t</w:t>
                      <w:tab/>
                    </w:r>
                    <w:r>
                      <w:rPr>
                        <w:rFonts w:ascii="Cambria Math" w:hAnsi="Cambria Math"/>
                        <w:sz w:val="20"/>
                      </w:rPr>
                      <w:t>4 ∙</w:t>
                    </w:r>
                    <w:r>
                      <w:rPr>
                        <w:rFonts w:ascii="Cambria Math" w:hAnsi="Cambria Math"/>
                        <w:spacing w:val="6"/>
                        <w:sz w:val="20"/>
                      </w:rPr>
                      <w:t> </w:t>
                    </w:r>
                    <w:r>
                      <w:rPr>
                        <w:rFonts w:ascii="Cambria Math" w:hAnsi="Cambria Math"/>
                        <w:sz w:val="20"/>
                      </w:rPr>
                      <w:t>1,4m</w:t>
                    </w:r>
                    <w:r>
                      <w:rPr>
                        <w:rFonts w:ascii="Cambria Math" w:hAnsi="Cambria Math"/>
                        <w:position w:val="6"/>
                        <w:sz w:val="14"/>
                      </w:rPr>
                      <w:t>2</w:t>
                    </w:r>
                  </w:p>
                </w:txbxContent>
              </v:textbox>
              <w10:wrap type="none"/>
            </v:shape>
            <v:shape style="position:absolute;left:2069;top:4177;width:118;height:200" type="#_x0000_t202" filled="false" stroked="false">
              <v:textbox inset="0,0,0,0">
                <w:txbxContent>
                  <w:p>
                    <w:pPr>
                      <w:spacing w:line="199" w:lineRule="exact" w:before="0"/>
                      <w:ind w:left="0" w:right="0" w:firstLine="0"/>
                      <w:jc w:val="left"/>
                      <w:rPr>
                        <w:rFonts w:ascii="Cambria Math"/>
                        <w:sz w:val="20"/>
                      </w:rPr>
                    </w:pPr>
                    <w:r>
                      <w:rPr>
                        <w:rFonts w:ascii="Cambria Math"/>
                        <w:w w:val="105"/>
                        <w:sz w:val="20"/>
                      </w:rPr>
                      <w:t>n</w:t>
                    </w:r>
                  </w:p>
                </w:txbxContent>
              </v:textbox>
              <w10:wrap type="none"/>
            </v:shape>
            <v:shape style="position:absolute;left:3022;top:4177;width:118;height:200" type="#_x0000_t202" filled="false" stroked="false">
              <v:textbox inset="0,0,0,0">
                <w:txbxContent>
                  <w:p>
                    <w:pPr>
                      <w:spacing w:line="199" w:lineRule="exact" w:before="0"/>
                      <w:ind w:left="0" w:right="0" w:firstLine="0"/>
                      <w:jc w:val="left"/>
                      <w:rPr>
                        <w:rFonts w:ascii="Cambria Math"/>
                        <w:sz w:val="20"/>
                      </w:rPr>
                    </w:pPr>
                    <w:r>
                      <w:rPr>
                        <w:rFonts w:ascii="Cambria Math"/>
                        <w:w w:val="105"/>
                        <w:sz w:val="20"/>
                      </w:rPr>
                      <w:t>n</w:t>
                    </w:r>
                  </w:p>
                </w:txbxContent>
              </v:textbox>
              <w10:wrap type="none"/>
            </v:shape>
            <v:shape style="position:absolute;left:113;top:4970;width:2235;height:200" type="#_x0000_t202" filled="false" stroked="false">
              <v:textbox inset="0,0,0,0">
                <w:txbxContent>
                  <w:p>
                    <w:pPr>
                      <w:spacing w:line="199" w:lineRule="exact" w:before="0"/>
                      <w:ind w:left="0" w:right="-12" w:firstLine="0"/>
                      <w:jc w:val="left"/>
                      <w:rPr>
                        <w:rFonts w:ascii="Calibri"/>
                        <w:sz w:val="20"/>
                      </w:rPr>
                    </w:pPr>
                    <w:r>
                      <w:rPr>
                        <w:rFonts w:ascii="Calibri"/>
                        <w:sz w:val="20"/>
                      </w:rPr>
                      <w:t>Paso 7. Altura del</w:t>
                    </w:r>
                    <w:r>
                      <w:rPr>
                        <w:rFonts w:ascii="Calibri"/>
                        <w:spacing w:val="-9"/>
                        <w:sz w:val="20"/>
                      </w:rPr>
                      <w:t> </w:t>
                    </w:r>
                    <w:r>
                      <w:rPr>
                        <w:rFonts w:ascii="Calibri"/>
                        <w:sz w:val="20"/>
                      </w:rPr>
                      <w:t>empaque</w:t>
                    </w:r>
                  </w:p>
                </w:txbxContent>
              </v:textbox>
              <w10:wrap type="none"/>
            </v:shape>
            <v:shape style="position:absolute;left:1575;top:5845;width:939;height:200" type="#_x0000_t202" filled="false" stroked="false">
              <v:textbox inset="0,0,0,0">
                <w:txbxContent>
                  <w:p>
                    <w:pPr>
                      <w:tabs>
                        <w:tab w:pos="789" w:val="left" w:leader="none"/>
                      </w:tabs>
                      <w:spacing w:line="199" w:lineRule="exact" w:before="0"/>
                      <w:ind w:left="0" w:right="0" w:firstLine="0"/>
                      <w:jc w:val="left"/>
                      <w:rPr>
                        <w:rFonts w:ascii="Cambria Math"/>
                        <w:sz w:val="20"/>
                      </w:rPr>
                    </w:pPr>
                    <w:r>
                      <w:rPr>
                        <w:rFonts w:ascii="Cambria Math"/>
                        <w:sz w:val="20"/>
                      </w:rPr>
                      <w:t>H</w:t>
                    </w:r>
                    <w:r>
                      <w:rPr>
                        <w:rFonts w:ascii="Cambria Math"/>
                        <w:spacing w:val="19"/>
                        <w:sz w:val="20"/>
                      </w:rPr>
                      <w:t> </w:t>
                    </w:r>
                    <w:r>
                      <w:rPr>
                        <w:rFonts w:ascii="Cambria Math"/>
                        <w:sz w:val="20"/>
                      </w:rPr>
                      <w:t>=</w:t>
                      <w:tab/>
                      <w:t>=</w:t>
                    </w:r>
                  </w:p>
                </w:txbxContent>
              </v:textbox>
              <w10:wrap type="none"/>
            </v:shape>
            <v:shape style="position:absolute;left:1985;top:5692;width:310;height:227" type="#_x0000_t202" filled="false" stroked="false">
              <v:textbox inset="0,0,0,0">
                <w:txbxContent>
                  <w:p>
                    <w:pPr>
                      <w:spacing w:line="227" w:lineRule="exact" w:before="0"/>
                      <w:ind w:left="0" w:right="-12" w:firstLine="0"/>
                      <w:jc w:val="left"/>
                      <w:rPr>
                        <w:rFonts w:ascii="Cambria Math" w:hAnsi="Cambria Math"/>
                        <w:sz w:val="14"/>
                      </w:rPr>
                    </w:pPr>
                    <w:r>
                      <w:rPr>
                        <w:rFonts w:ascii="Cambria Math" w:hAnsi="Cambria Math"/>
                        <w:spacing w:val="-13"/>
                        <w:w w:val="95"/>
                        <w:position w:val="4"/>
                        <w:sz w:val="20"/>
                      </w:rPr>
                      <w:t>V</w:t>
                    </w:r>
                    <w:r>
                      <w:rPr>
                        <w:rFonts w:ascii="Cambria Math" w:hAnsi="Cambria Math"/>
                        <w:spacing w:val="-13"/>
                        <w:w w:val="95"/>
                        <w:sz w:val="14"/>
                      </w:rPr>
                      <w:t>Æm</w:t>
                    </w:r>
                  </w:p>
                </w:txbxContent>
              </v:textbox>
              <w10:wrap type="none"/>
            </v:shape>
            <v:shape style="position:absolute;left:2081;top:5664;width:1223;height:515" type="#_x0000_t202" filled="false" stroked="false">
              <v:textbox inset="0,0,0,0">
                <w:txbxContent>
                  <w:p>
                    <w:pPr>
                      <w:spacing w:line="227" w:lineRule="exact" w:before="0"/>
                      <w:ind w:left="487" w:right="-12" w:firstLine="0"/>
                      <w:jc w:val="left"/>
                      <w:rPr>
                        <w:rFonts w:ascii="Cambria Math"/>
                        <w:sz w:val="14"/>
                      </w:rPr>
                    </w:pPr>
                    <w:r>
                      <w:rPr>
                        <w:rFonts w:ascii="Cambria Math"/>
                        <w:sz w:val="20"/>
                      </w:rPr>
                      <w:t>1,015m</w:t>
                    </w:r>
                    <w:r>
                      <w:rPr>
                        <w:rFonts w:ascii="Cambria Math"/>
                        <w:position w:val="7"/>
                        <w:sz w:val="14"/>
                      </w:rPr>
                      <w:t>3</w:t>
                    </w:r>
                  </w:p>
                  <w:p>
                    <w:pPr>
                      <w:tabs>
                        <w:tab w:pos="597" w:val="left" w:leader="none"/>
                      </w:tabs>
                      <w:spacing w:line="237" w:lineRule="exact" w:before="50"/>
                      <w:ind w:left="0" w:right="0" w:firstLine="0"/>
                      <w:jc w:val="left"/>
                      <w:rPr>
                        <w:rFonts w:ascii="Cambria Math"/>
                        <w:sz w:val="14"/>
                      </w:rPr>
                    </w:pPr>
                    <w:r>
                      <w:rPr>
                        <w:rFonts w:ascii="Cambria Math"/>
                        <w:sz w:val="20"/>
                      </w:rPr>
                      <w:t>A</w:t>
                      <w:tab/>
                      <w:t>1,4m</w:t>
                    </w:r>
                    <w:r>
                      <w:rPr>
                        <w:rFonts w:ascii="Cambria Math"/>
                        <w:position w:val="6"/>
                        <w:sz w:val="14"/>
                      </w:rPr>
                      <w:t>2</w:t>
                    </w:r>
                  </w:p>
                </w:txbxContent>
              </v:textbox>
              <w10:wrap type="none"/>
            </v:shape>
            <v:shape style="position:absolute;left:3370;top:5845;width:1550;height:200" type="#_x0000_t202" filled="false" stroked="false">
              <v:textbox inset="0,0,0,0">
                <w:txbxContent>
                  <w:p>
                    <w:pPr>
                      <w:spacing w:line="199" w:lineRule="exact" w:before="0"/>
                      <w:ind w:left="0" w:right="0" w:firstLine="0"/>
                      <w:jc w:val="left"/>
                      <w:rPr>
                        <w:rFonts w:ascii="Cambria Math" w:hAnsi="Cambria Math"/>
                        <w:sz w:val="20"/>
                      </w:rPr>
                    </w:pPr>
                    <w:r>
                      <w:rPr>
                        <w:rFonts w:ascii="Cambria Math" w:hAnsi="Cambria Math"/>
                        <w:sz w:val="20"/>
                      </w:rPr>
                      <w:t>= 0,73m ≅ 0,80m</w:t>
                    </w:r>
                  </w:p>
                </w:txbxContent>
              </v:textbox>
              <w10:wrap type="none"/>
            </v:shape>
            <v:shape style="position:absolute;left:6600;top:34;width:2011;height:200" type="#_x0000_t202" filled="false" stroked="false">
              <v:textbox inset="0,0,0,0">
                <w:txbxContent>
                  <w:p>
                    <w:pPr>
                      <w:spacing w:line="199" w:lineRule="exact" w:before="0"/>
                      <w:ind w:left="0" w:right="-13" w:firstLine="0"/>
                      <w:jc w:val="left"/>
                      <w:rPr>
                        <w:rFonts w:ascii="Times New Roman" w:hAnsi="Times New Roman"/>
                        <w:sz w:val="20"/>
                      </w:rPr>
                    </w:pPr>
                    <w:r>
                      <w:rPr>
                        <w:rFonts w:ascii="Times New Roman" w:hAnsi="Times New Roman"/>
                        <w:sz w:val="20"/>
                      </w:rPr>
                      <w:t>D=Diámetro del</w:t>
                    </w:r>
                    <w:r>
                      <w:rPr>
                        <w:rFonts w:ascii="Times New Roman" w:hAnsi="Times New Roman"/>
                        <w:spacing w:val="-9"/>
                        <w:sz w:val="20"/>
                      </w:rPr>
                      <w:t> </w:t>
                    </w:r>
                    <w:r>
                      <w:rPr>
                        <w:rFonts w:ascii="Times New Roman" w:hAnsi="Times New Roman"/>
                        <w:sz w:val="20"/>
                      </w:rPr>
                      <w:t>biofiltro</w:t>
                    </w:r>
                  </w:p>
                </w:txbxContent>
              </v:textbox>
              <w10:wrap type="none"/>
            </v:shape>
            <v:shape style="position:absolute;left:6600;top:1434;width:2267;height:430" type="#_x0000_t202" filled="false" stroked="false">
              <v:textbox inset="0,0,0,0">
                <w:txbxContent>
                  <w:p>
                    <w:pPr>
                      <w:spacing w:line="204" w:lineRule="exact" w:before="0"/>
                      <w:ind w:left="0" w:right="-12" w:firstLine="0"/>
                      <w:jc w:val="left"/>
                      <w:rPr>
                        <w:rFonts w:ascii="Times New Roman"/>
                        <w:sz w:val="20"/>
                      </w:rPr>
                    </w:pPr>
                    <w:r>
                      <w:rPr>
                        <w:rFonts w:ascii="Times New Roman"/>
                        <w:sz w:val="20"/>
                      </w:rPr>
                      <w:t>H=Altura del empaque en</w:t>
                    </w:r>
                    <w:r>
                      <w:rPr>
                        <w:rFonts w:ascii="Times New Roman"/>
                        <w:spacing w:val="-9"/>
                        <w:sz w:val="20"/>
                      </w:rPr>
                      <w:t> </w:t>
                    </w:r>
                    <w:r>
                      <w:rPr>
                        <w:rFonts w:ascii="Times New Roman"/>
                        <w:sz w:val="20"/>
                      </w:rPr>
                      <w:t>el</w:t>
                    </w:r>
                  </w:p>
                  <w:p>
                    <w:pPr>
                      <w:spacing w:line="226" w:lineRule="exact" w:before="0"/>
                      <w:ind w:left="0" w:right="-12" w:firstLine="0"/>
                      <w:jc w:val="left"/>
                      <w:rPr>
                        <w:rFonts w:ascii="Times New Roman"/>
                        <w:sz w:val="20"/>
                      </w:rPr>
                    </w:pPr>
                    <w:r>
                      <w:rPr>
                        <w:rFonts w:ascii="Times New Roman"/>
                        <w:sz w:val="20"/>
                      </w:rPr>
                      <w:t>biofiltro</w:t>
                    </w:r>
                  </w:p>
                </w:txbxContent>
              </v:textbox>
              <w10:wrap type="none"/>
            </v:shape>
          </v:group>
        </w:pict>
      </w:r>
      <w:r>
        <w:rPr>
          <w:sz w:val="20"/>
        </w:rPr>
      </w:r>
    </w:p>
    <w:p>
      <w:pPr>
        <w:pStyle w:val="BodyText"/>
        <w:spacing w:before="11"/>
        <w:rPr>
          <w:b/>
          <w:sz w:val="7"/>
        </w:rPr>
      </w:pPr>
    </w:p>
    <w:p>
      <w:pPr>
        <w:pStyle w:val="BodyText"/>
        <w:spacing w:line="345" w:lineRule="auto" w:before="73"/>
        <w:ind w:left="781" w:right="498"/>
        <w:jc w:val="both"/>
      </w:pPr>
      <w:r>
        <w:rPr/>
        <w:pict>
          <v:line style="position:absolute;mso-position-horizontal-relative:page;mso-position-vertical-relative:paragraph;z-index:-1526992" from="178.679993pt,-23.652319pt" to="194.879992pt,-23.652319pt" stroked="true" strokeweight=".6pt" strokecolor="#000000">
            <w10:wrap type="none"/>
          </v:line>
        </w:pict>
      </w:r>
      <w:r>
        <w:rPr/>
        <w:pict>
          <v:line style="position:absolute;mso-position-horizontal-relative:page;mso-position-vertical-relative:paragraph;z-index:-1526968" from="207.839996pt,-23.652319pt" to="245.039996pt,-23.652319pt" stroked="true" strokeweight=".6pt" strokecolor="#000000">
            <w10:wrap type="none"/>
          </v:line>
        </w:pict>
      </w:r>
      <w:r>
        <w:rPr/>
        <w:t>El empaque utilizado fue manguera plástica corrugada con una superficie específica de contacto de 414 m</w:t>
      </w:r>
      <w:r>
        <w:rPr>
          <w:position w:val="10"/>
          <w:sz w:val="13"/>
        </w:rPr>
        <w:t>2</w:t>
      </w:r>
      <w:r>
        <w:rPr/>
        <w:t>/m</w:t>
      </w:r>
      <w:r>
        <w:rPr>
          <w:position w:val="10"/>
          <w:sz w:val="13"/>
        </w:rPr>
        <w:t>3  </w:t>
      </w:r>
      <w:r>
        <w:rPr/>
        <w:t>(Gallego, 2004) (figura 16).</w:t>
      </w:r>
    </w:p>
    <w:p>
      <w:pPr>
        <w:pStyle w:val="BodyText"/>
        <w:spacing w:before="2"/>
        <w:rPr>
          <w:sz w:val="15"/>
        </w:rPr>
      </w:pPr>
      <w:r>
        <w:rPr/>
        <w:drawing>
          <wp:anchor distT="0" distB="0" distL="0" distR="0" allowOverlap="1" layoutInCell="1" locked="0" behindDoc="0" simplePos="0" relativeHeight="4648">
            <wp:simplePos x="0" y="0"/>
            <wp:positionH relativeFrom="page">
              <wp:posOffset>2514600</wp:posOffset>
            </wp:positionH>
            <wp:positionV relativeFrom="paragraph">
              <wp:posOffset>135813</wp:posOffset>
            </wp:positionV>
            <wp:extent cx="2789384" cy="2095500"/>
            <wp:effectExtent l="0" t="0" r="0" b="0"/>
            <wp:wrapTopAndBottom/>
            <wp:docPr id="11" name="image31.jpeg" descr=""/>
            <wp:cNvGraphicFramePr>
              <a:graphicFrameLocks noChangeAspect="1"/>
            </wp:cNvGraphicFramePr>
            <a:graphic>
              <a:graphicData uri="http://schemas.openxmlformats.org/drawingml/2006/picture">
                <pic:pic>
                  <pic:nvPicPr>
                    <pic:cNvPr id="12" name="image31.jpeg"/>
                    <pic:cNvPicPr/>
                  </pic:nvPicPr>
                  <pic:blipFill>
                    <a:blip r:embed="rId37" cstate="print"/>
                    <a:stretch>
                      <a:fillRect/>
                    </a:stretch>
                  </pic:blipFill>
                  <pic:spPr>
                    <a:xfrm>
                      <a:off x="0" y="0"/>
                      <a:ext cx="2789384" cy="2095500"/>
                    </a:xfrm>
                    <a:prstGeom prst="rect">
                      <a:avLst/>
                    </a:prstGeom>
                  </pic:spPr>
                </pic:pic>
              </a:graphicData>
            </a:graphic>
          </wp:anchor>
        </w:drawing>
      </w:r>
    </w:p>
    <w:p>
      <w:pPr>
        <w:spacing w:before="71"/>
        <w:ind w:left="2538" w:right="948" w:firstLine="0"/>
        <w:jc w:val="left"/>
        <w:rPr>
          <w:b/>
          <w:sz w:val="18"/>
        </w:rPr>
      </w:pPr>
      <w:r>
        <w:rPr>
          <w:b/>
          <w:sz w:val="18"/>
        </w:rPr>
        <w:t>Figura 16. Empaque utilizado en el biofiltro (poliducto flexible)</w:t>
      </w:r>
    </w:p>
    <w:p>
      <w:pPr>
        <w:pStyle w:val="BodyText"/>
        <w:spacing w:before="8"/>
        <w:rPr>
          <w:b/>
          <w:sz w:val="26"/>
        </w:rPr>
      </w:pPr>
    </w:p>
    <w:p>
      <w:pPr>
        <w:pStyle w:val="BodyText"/>
        <w:spacing w:line="360" w:lineRule="auto"/>
        <w:ind w:left="781" w:right="497"/>
        <w:jc w:val="both"/>
      </w:pPr>
      <w:r>
        <w:rPr/>
        <w:t>Después del biofiltro, el caudal ingresó a un filtro de arena descendente cuyo propósito  fue eliminar los sólidos que ingresaron al biofiltro y aquellos que se generaron en el  mismo. Las dimensiones de esta unidad fueron: diámetro de 1,29 m y altura de 1,5 m. En la tabla 7 se muestra la memoria de cálculo del filtro lento de</w:t>
      </w:r>
      <w:r>
        <w:rPr>
          <w:spacing w:val="-24"/>
        </w:rPr>
        <w:t> </w:t>
      </w:r>
      <w:r>
        <w:rPr/>
        <w:t>arena.</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before="0"/>
        <w:ind w:left="2091" w:right="948" w:firstLine="0"/>
        <w:jc w:val="left"/>
        <w:rPr>
          <w:b/>
          <w:sz w:val="18"/>
        </w:rPr>
      </w:pPr>
      <w:r>
        <w:rPr/>
        <w:pict>
          <v:shape style="position:absolute;margin-left:81.599998pt;margin-top:16.601583pt;width:448.95pt;height:437.9pt;mso-position-horizontal-relative:page;mso-position-vertical-relative:paragraph;z-index:-1526848" coordorigin="1632,332" coordsize="8979,8758" path="m1637,337l8076,337m8086,337l10606,337m1632,332l1632,9090m1637,9085l8076,9085m8081,332l8081,9090m8086,9085l10606,9085m10610,332l10610,9090e" filled="false" stroked="true" strokeweight=".48pt" strokecolor="#000000">
            <v:path arrowok="t"/>
            <w10:wrap type="none"/>
          </v:shape>
        </w:pict>
      </w:r>
      <w:r>
        <w:rPr>
          <w:b/>
          <w:sz w:val="18"/>
        </w:rPr>
        <w:t>Tabla 7. Memoria de cálculo del filtro de arena ascendente (García, 1999)</w:t>
      </w:r>
    </w:p>
    <w:p>
      <w:pPr>
        <w:spacing w:after="0"/>
        <w:jc w:val="left"/>
        <w:rPr>
          <w:sz w:val="18"/>
        </w:rPr>
        <w:sectPr>
          <w:pgSz w:w="12240" w:h="15840"/>
          <w:pgMar w:header="725" w:footer="1084" w:top="1340" w:bottom="1280" w:left="920" w:right="1200"/>
        </w:sectPr>
      </w:pPr>
    </w:p>
    <w:p>
      <w:pPr>
        <w:spacing w:before="134"/>
        <w:ind w:left="781" w:right="-7" w:firstLine="0"/>
        <w:jc w:val="left"/>
        <w:rPr>
          <w:rFonts w:ascii="Calibri" w:hAnsi="Calibri"/>
          <w:sz w:val="20"/>
        </w:rPr>
      </w:pPr>
      <w:r>
        <w:rPr>
          <w:rFonts w:ascii="Calibri" w:hAnsi="Calibri"/>
          <w:sz w:val="20"/>
        </w:rPr>
        <w:t>Área superficial del</w:t>
      </w:r>
      <w:r>
        <w:rPr>
          <w:rFonts w:ascii="Calibri" w:hAnsi="Calibri"/>
          <w:spacing w:val="-15"/>
          <w:sz w:val="20"/>
        </w:rPr>
        <w:t> </w:t>
      </w:r>
      <w:r>
        <w:rPr>
          <w:rFonts w:ascii="Calibri" w:hAnsi="Calibri"/>
          <w:sz w:val="20"/>
        </w:rPr>
        <w:t>filtro:</w:t>
      </w:r>
    </w:p>
    <w:p>
      <w:pPr>
        <w:spacing w:before="100"/>
        <w:ind w:left="781" w:right="0" w:firstLine="0"/>
        <w:jc w:val="left"/>
        <w:rPr>
          <w:rFonts w:ascii="Calibri"/>
          <w:sz w:val="20"/>
        </w:rPr>
      </w:pPr>
      <w:r>
        <w:rPr/>
        <w:br w:type="column"/>
      </w:r>
      <w:r>
        <w:rPr>
          <w:rFonts w:ascii="Calibri"/>
          <w:sz w:val="20"/>
        </w:rPr>
        <w:t>CH = 230 m3/m</w:t>
      </w:r>
      <w:r>
        <w:rPr>
          <w:rFonts w:ascii="Calibri"/>
          <w:position w:val="10"/>
          <w:sz w:val="13"/>
        </w:rPr>
        <w:t>2 </w:t>
      </w:r>
      <w:r>
        <w:rPr>
          <w:rFonts w:ascii="Calibri"/>
          <w:sz w:val="20"/>
        </w:rPr>
        <w:t>d</w:t>
      </w:r>
    </w:p>
    <w:p>
      <w:pPr>
        <w:spacing w:after="0"/>
        <w:jc w:val="left"/>
        <w:rPr>
          <w:rFonts w:ascii="Calibri"/>
          <w:sz w:val="20"/>
        </w:rPr>
        <w:sectPr>
          <w:type w:val="continuous"/>
          <w:pgSz w:w="12240" w:h="15840"/>
          <w:pgMar w:top="0" w:bottom="0" w:left="920" w:right="1200"/>
          <w:cols w:num="2" w:equalWidth="0">
            <w:col w:w="2832" w:space="3617"/>
            <w:col w:w="3671"/>
          </w:cols>
        </w:sectPr>
      </w:pPr>
    </w:p>
    <w:p>
      <w:pPr>
        <w:pStyle w:val="BodyText"/>
        <w:spacing w:before="3"/>
        <w:rPr>
          <w:rFonts w:ascii="Calibri"/>
          <w:sz w:val="11"/>
        </w:rPr>
      </w:pPr>
    </w:p>
    <w:p>
      <w:pPr>
        <w:spacing w:after="0"/>
        <w:rPr>
          <w:rFonts w:ascii="Calibri"/>
          <w:sz w:val="11"/>
        </w:rPr>
        <w:sectPr>
          <w:type w:val="continuous"/>
          <w:pgSz w:w="12240" w:h="15840"/>
          <w:pgMar w:top="0" w:bottom="0" w:left="920" w:right="12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20"/>
        </w:rPr>
      </w:pPr>
    </w:p>
    <w:p>
      <w:pPr>
        <w:spacing w:before="1"/>
        <w:ind w:left="781" w:right="-9" w:firstLine="0"/>
        <w:jc w:val="left"/>
        <w:rPr>
          <w:rFonts w:ascii="Calibri" w:hAnsi="Calibri"/>
          <w:sz w:val="20"/>
        </w:rPr>
      </w:pPr>
      <w:r>
        <w:rPr>
          <w:rFonts w:ascii="Calibri" w:hAnsi="Calibri"/>
          <w:sz w:val="20"/>
        </w:rPr>
        <w:t>Diámetro del</w:t>
      </w:r>
      <w:r>
        <w:rPr>
          <w:rFonts w:ascii="Calibri" w:hAnsi="Calibri"/>
          <w:spacing w:val="-13"/>
          <w:sz w:val="20"/>
        </w:rPr>
        <w:t> </w:t>
      </w:r>
      <w:r>
        <w:rPr>
          <w:rFonts w:ascii="Calibri" w:hAnsi="Calibri"/>
          <w:sz w:val="20"/>
        </w:rPr>
        <w:t>filtro:</w:t>
      </w:r>
    </w:p>
    <w:p>
      <w:pPr>
        <w:pStyle w:val="BodyText"/>
        <w:spacing w:before="4"/>
        <w:rPr>
          <w:rFonts w:ascii="Calibri"/>
          <w:sz w:val="17"/>
        </w:rPr>
      </w:pPr>
      <w:r>
        <w:rPr/>
        <w:br w:type="column"/>
      </w:r>
      <w:r>
        <w:rPr>
          <w:rFonts w:ascii="Calibri"/>
          <w:sz w:val="17"/>
        </w:rPr>
      </w:r>
    </w:p>
    <w:p>
      <w:pPr>
        <w:spacing w:line="207" w:lineRule="exact" w:before="0"/>
        <w:ind w:left="0" w:right="0" w:firstLine="0"/>
        <w:jc w:val="right"/>
        <w:rPr>
          <w:rFonts w:ascii="Cambria Math"/>
          <w:sz w:val="14"/>
        </w:rPr>
      </w:pPr>
      <w:r>
        <w:rPr>
          <w:rFonts w:ascii="Cambria Math"/>
          <w:w w:val="105"/>
          <w:sz w:val="20"/>
        </w:rPr>
        <w:t>Q</w:t>
      </w:r>
      <w:r>
        <w:rPr>
          <w:rFonts w:ascii="Cambria Math"/>
          <w:w w:val="105"/>
          <w:position w:val="-3"/>
          <w:sz w:val="14"/>
        </w:rPr>
        <w:t>D</w:t>
      </w:r>
    </w:p>
    <w:p>
      <w:pPr>
        <w:spacing w:line="193" w:lineRule="exact" w:before="0"/>
        <w:ind w:left="-33" w:right="0" w:firstLine="0"/>
        <w:jc w:val="left"/>
        <w:rPr>
          <w:rFonts w:ascii="Cambria Math"/>
          <w:sz w:val="20"/>
        </w:rPr>
      </w:pPr>
      <w:r>
        <w:rPr/>
        <w:pict>
          <v:line style="position:absolute;mso-position-horizontal-relative:page;mso-position-vertical-relative:paragraph;z-index:-1526920" from="186.599991pt,3.993101pt" to="198.599991pt,3.993101pt" stroked="true" strokeweight=".6pt" strokecolor="#000000">
            <w10:wrap type="none"/>
          </v:line>
        </w:pict>
      </w:r>
      <w:r>
        <w:rPr/>
        <w:pict>
          <v:shape style="position:absolute;margin-left:186.9599pt;margin-top:5.78402pt;width:5.95pt;height:10pt;mso-position-horizontal-relative:page;mso-position-vertical-relative:paragraph;z-index:-1526800" type="#_x0000_t202" filled="false" stroked="false">
            <v:textbox inset="0,0,0,0">
              <w:txbxContent>
                <w:p>
                  <w:pPr>
                    <w:spacing w:line="199" w:lineRule="exact" w:before="0"/>
                    <w:ind w:left="0" w:right="0" w:firstLine="0"/>
                    <w:jc w:val="left"/>
                    <w:rPr>
                      <w:rFonts w:ascii="Cambria Math"/>
                      <w:sz w:val="20"/>
                    </w:rPr>
                  </w:pPr>
                  <w:r>
                    <w:rPr>
                      <w:rFonts w:ascii="Cambria Math"/>
                      <w:w w:val="105"/>
                      <w:sz w:val="20"/>
                    </w:rPr>
                    <w:t>C</w:t>
                  </w:r>
                </w:p>
              </w:txbxContent>
            </v:textbox>
            <w10:wrap type="none"/>
          </v:shape>
        </w:pict>
      </w:r>
      <w:r>
        <w:rPr>
          <w:rFonts w:ascii="Cambria Math"/>
          <w:w w:val="105"/>
          <w:sz w:val="20"/>
        </w:rPr>
        <w:t>A</w:t>
      </w:r>
      <w:r>
        <w:rPr>
          <w:rFonts w:ascii="Cambria Math"/>
          <w:w w:val="105"/>
          <w:position w:val="-3"/>
          <w:sz w:val="14"/>
        </w:rPr>
        <w:t>S </w:t>
      </w:r>
      <w:r>
        <w:rPr>
          <w:rFonts w:ascii="Cambria Math"/>
          <w:w w:val="105"/>
          <w:sz w:val="20"/>
        </w:rPr>
        <w:t>=</w:t>
      </w:r>
    </w:p>
    <w:p>
      <w:pPr>
        <w:spacing w:line="150" w:lineRule="exact" w:before="0"/>
        <w:ind w:left="0" w:right="5" w:firstLine="0"/>
        <w:jc w:val="right"/>
        <w:rPr>
          <w:rFonts w:ascii="Cambria Math"/>
          <w:sz w:val="14"/>
        </w:rPr>
      </w:pPr>
      <w:r>
        <w:rPr>
          <w:rFonts w:ascii="Cambria Math"/>
          <w:w w:val="118"/>
          <w:sz w:val="14"/>
        </w:rPr>
        <w:t>K</w:t>
      </w:r>
    </w:p>
    <w:p>
      <w:pPr>
        <w:pStyle w:val="BodyText"/>
        <w:spacing w:before="11"/>
        <w:rPr>
          <w:rFonts w:ascii="Cambria Math"/>
          <w:sz w:val="16"/>
        </w:rPr>
      </w:pPr>
      <w:r>
        <w:rPr/>
        <w:br w:type="column"/>
      </w:r>
      <w:r>
        <w:rPr>
          <w:rFonts w:ascii="Cambria Math"/>
          <w:sz w:val="16"/>
        </w:rPr>
      </w:r>
    </w:p>
    <w:p>
      <w:pPr>
        <w:spacing w:line="201" w:lineRule="exact" w:before="0"/>
        <w:ind w:left="225" w:right="991" w:firstLine="0"/>
        <w:jc w:val="center"/>
        <w:rPr>
          <w:rFonts w:ascii="Cambria Math"/>
          <w:sz w:val="20"/>
        </w:rPr>
      </w:pPr>
      <w:r>
        <w:rPr>
          <w:rFonts w:ascii="Cambria Math"/>
          <w:sz w:val="20"/>
        </w:rPr>
        <w:t>302,4 m</w:t>
      </w:r>
      <w:r>
        <w:rPr>
          <w:rFonts w:ascii="Cambria Math"/>
          <w:position w:val="7"/>
          <w:sz w:val="14"/>
        </w:rPr>
        <w:t>3</w:t>
      </w:r>
      <w:r>
        <w:rPr>
          <w:rFonts w:ascii="Cambria Math"/>
          <w:sz w:val="20"/>
        </w:rPr>
        <w:t>/d</w:t>
      </w:r>
    </w:p>
    <w:p>
      <w:pPr>
        <w:tabs>
          <w:tab w:pos="1476" w:val="left" w:leader="none"/>
        </w:tabs>
        <w:spacing w:line="149" w:lineRule="exact" w:before="0"/>
        <w:ind w:left="30" w:right="0" w:firstLine="0"/>
        <w:jc w:val="left"/>
        <w:rPr>
          <w:rFonts w:ascii="Cambria Math"/>
          <w:sz w:val="14"/>
        </w:rPr>
      </w:pPr>
      <w:r>
        <w:rPr>
          <w:rFonts w:ascii="Cambria Math"/>
          <w:sz w:val="20"/>
        </w:rPr>
        <w:t>=</w:t>
      </w:r>
      <w:r>
        <w:rPr>
          <w:rFonts w:ascii="Times New Roman"/>
          <w:position w:val="7"/>
          <w:sz w:val="14"/>
          <w:u w:val="single"/>
        </w:rPr>
        <w:tab/>
      </w:r>
      <w:r>
        <w:rPr>
          <w:rFonts w:ascii="Cambria Math"/>
          <w:sz w:val="20"/>
        </w:rPr>
        <w:t>=</w:t>
      </w:r>
      <w:r>
        <w:rPr>
          <w:rFonts w:ascii="Cambria Math"/>
          <w:spacing w:val="11"/>
          <w:sz w:val="20"/>
        </w:rPr>
        <w:t> </w:t>
      </w:r>
      <w:r>
        <w:rPr>
          <w:rFonts w:ascii="Cambria Math"/>
          <w:sz w:val="20"/>
        </w:rPr>
        <w:t>1,314m</w:t>
      </w:r>
      <w:r>
        <w:rPr>
          <w:rFonts w:ascii="Cambria Math"/>
          <w:position w:val="7"/>
          <w:sz w:val="14"/>
        </w:rPr>
        <w:t>2</w:t>
      </w:r>
    </w:p>
    <w:p>
      <w:pPr>
        <w:spacing w:line="186" w:lineRule="exact" w:before="0"/>
        <w:ind w:left="225" w:right="991" w:firstLine="0"/>
        <w:jc w:val="center"/>
        <w:rPr>
          <w:rFonts w:ascii="Cambria Math" w:hAnsi="Cambria Math"/>
          <w:sz w:val="20"/>
        </w:rPr>
      </w:pPr>
      <w:r>
        <w:rPr>
          <w:rFonts w:ascii="Cambria Math" w:hAnsi="Cambria Math"/>
          <w:sz w:val="20"/>
        </w:rPr>
        <w:t>230m</w:t>
      </w:r>
      <w:r>
        <w:rPr>
          <w:rFonts w:ascii="Cambria Math" w:hAnsi="Cambria Math"/>
          <w:position w:val="6"/>
          <w:sz w:val="14"/>
        </w:rPr>
        <w:t>3</w:t>
      </w:r>
      <w:r>
        <w:rPr>
          <w:rFonts w:ascii="Cambria Math" w:hAnsi="Cambria Math"/>
          <w:sz w:val="20"/>
        </w:rPr>
        <w:t>/m</w:t>
      </w:r>
      <w:r>
        <w:rPr>
          <w:rFonts w:ascii="Cambria Math" w:hAnsi="Cambria Math"/>
          <w:position w:val="6"/>
          <w:sz w:val="14"/>
        </w:rPr>
        <w:t>2  </w:t>
      </w:r>
      <w:r>
        <w:rPr>
          <w:rFonts w:ascii="Cambria Math" w:hAnsi="Cambria Math"/>
          <w:sz w:val="20"/>
        </w:rPr>
        <w:t>∙ d</w:t>
      </w:r>
    </w:p>
    <w:p>
      <w:pPr>
        <w:spacing w:before="75"/>
        <w:ind w:left="781" w:right="464" w:firstLine="0"/>
        <w:jc w:val="left"/>
        <w:rPr>
          <w:rFonts w:ascii="Calibri"/>
          <w:sz w:val="20"/>
        </w:rPr>
      </w:pPr>
      <w:r>
        <w:rPr/>
        <w:br w:type="column"/>
      </w:r>
      <w:r>
        <w:rPr>
          <w:rFonts w:ascii="Calibri"/>
          <w:sz w:val="20"/>
        </w:rPr>
        <w:t>Q   = 3,5L/s = 302,4m</w:t>
      </w:r>
      <w:r>
        <w:rPr>
          <w:rFonts w:ascii="Calibri"/>
          <w:position w:val="10"/>
          <w:sz w:val="13"/>
        </w:rPr>
        <w:t>3</w:t>
      </w:r>
      <w:r>
        <w:rPr>
          <w:rFonts w:ascii="Calibri"/>
          <w:sz w:val="20"/>
        </w:rPr>
        <w:t>/d</w:t>
      </w:r>
    </w:p>
    <w:p>
      <w:pPr>
        <w:pStyle w:val="BodyText"/>
        <w:spacing w:before="11"/>
        <w:rPr>
          <w:rFonts w:ascii="Calibri"/>
          <w:sz w:val="19"/>
        </w:rPr>
      </w:pPr>
    </w:p>
    <w:p>
      <w:pPr>
        <w:spacing w:before="0"/>
        <w:ind w:left="781" w:right="464" w:firstLine="0"/>
        <w:jc w:val="left"/>
        <w:rPr>
          <w:rFonts w:ascii="Calibri"/>
          <w:sz w:val="20"/>
        </w:rPr>
      </w:pPr>
      <w:r>
        <w:rPr/>
        <w:pict>
          <v:shape style="position:absolute;margin-left:414.239807pt;margin-top:-18.138504pt;width:4pt;height:6.5pt;mso-position-horizontal-relative:page;mso-position-vertical-relative:paragraph;z-index:-1526824" type="#_x0000_t202" filled="false" stroked="false">
            <v:textbox inset="0,0,0,0">
              <w:txbxContent>
                <w:p>
                  <w:pPr>
                    <w:spacing w:line="130" w:lineRule="exact" w:before="0"/>
                    <w:ind w:left="0" w:right="0" w:firstLine="0"/>
                    <w:jc w:val="left"/>
                    <w:rPr>
                      <w:rFonts w:ascii="Calibri"/>
                      <w:sz w:val="13"/>
                    </w:rPr>
                  </w:pPr>
                  <w:r>
                    <w:rPr>
                      <w:rFonts w:ascii="Calibri"/>
                      <w:w w:val="99"/>
                      <w:sz w:val="13"/>
                    </w:rPr>
                    <w:t>D</w:t>
                  </w:r>
                </w:p>
              </w:txbxContent>
            </v:textbox>
            <w10:wrap type="none"/>
          </v:shape>
        </w:pict>
      </w:r>
      <w:r>
        <w:rPr>
          <w:rFonts w:ascii="Calibri"/>
          <w:sz w:val="20"/>
        </w:rPr>
        <w:t>Se considera un falso fondo de 0,15 m.</w:t>
      </w:r>
    </w:p>
    <w:p>
      <w:pPr>
        <w:pStyle w:val="BodyText"/>
        <w:spacing w:before="11"/>
        <w:rPr>
          <w:rFonts w:ascii="Calibri"/>
          <w:sz w:val="19"/>
        </w:rPr>
      </w:pPr>
    </w:p>
    <w:p>
      <w:pPr>
        <w:spacing w:before="0"/>
        <w:ind w:left="781" w:right="464" w:firstLine="0"/>
        <w:jc w:val="left"/>
        <w:rPr>
          <w:rFonts w:ascii="Calibri" w:hAnsi="Calibri"/>
          <w:sz w:val="20"/>
        </w:rPr>
      </w:pPr>
      <w:r>
        <w:rPr/>
        <w:pict>
          <v:line style="position:absolute;mso-position-horizontal-relative:page;mso-position-vertical-relative:paragraph;z-index:-1526872" from="188.519989pt,13.421173pt" to="204.479989pt,13.421173pt" stroked="true" strokeweight=".6pt" strokecolor="#000000">
            <w10:wrap type="none"/>
          </v:line>
        </w:pict>
      </w:r>
      <w:r>
        <w:rPr>
          <w:rFonts w:ascii="Calibri" w:hAnsi="Calibri"/>
          <w:sz w:val="20"/>
        </w:rPr>
        <w:t>AS = Área superficial</w:t>
      </w:r>
    </w:p>
    <w:p>
      <w:pPr>
        <w:spacing w:after="0"/>
        <w:jc w:val="left"/>
        <w:rPr>
          <w:rFonts w:ascii="Calibri" w:hAnsi="Calibri"/>
          <w:sz w:val="20"/>
        </w:rPr>
        <w:sectPr>
          <w:type w:val="continuous"/>
          <w:pgSz w:w="12240" w:h="15840"/>
          <w:pgMar w:top="0" w:bottom="0" w:left="920" w:right="1200"/>
          <w:cols w:num="4" w:equalWidth="0">
            <w:col w:w="2335" w:space="40"/>
            <w:col w:w="665" w:space="40"/>
            <w:col w:w="2442" w:space="928"/>
            <w:col w:w="3670"/>
          </w:cols>
        </w:sectPr>
      </w:pPr>
    </w:p>
    <w:p>
      <w:pPr>
        <w:pStyle w:val="BodyText"/>
        <w:spacing w:before="6"/>
        <w:rPr>
          <w:rFonts w:ascii="Calibri"/>
          <w:sz w:val="18"/>
        </w:rPr>
      </w:pPr>
    </w:p>
    <w:p>
      <w:pPr>
        <w:spacing w:before="0"/>
        <w:ind w:left="0" w:right="0" w:firstLine="0"/>
        <w:jc w:val="right"/>
        <w:rPr>
          <w:rFonts w:ascii="Cambria Math"/>
          <w:sz w:val="20"/>
        </w:rPr>
      </w:pPr>
      <w:r>
        <w:rPr>
          <w:rFonts w:ascii="Cambria Math"/>
          <w:w w:val="110"/>
          <w:sz w:val="20"/>
        </w:rPr>
        <w:t>D = </w:t>
      </w:r>
      <w:r>
        <w:rPr>
          <w:rFonts w:ascii="Cambria Math"/>
          <w:w w:val="230"/>
          <w:position w:val="2"/>
          <w:sz w:val="20"/>
        </w:rPr>
        <w:t>J</w:t>
      </w:r>
    </w:p>
    <w:p>
      <w:pPr>
        <w:spacing w:before="92"/>
        <w:ind w:left="-39" w:right="-14" w:firstLine="0"/>
        <w:jc w:val="left"/>
        <w:rPr>
          <w:rFonts w:ascii="Cambria Math"/>
          <w:sz w:val="14"/>
        </w:rPr>
      </w:pPr>
      <w:r>
        <w:rPr/>
        <w:br w:type="column"/>
      </w:r>
      <w:r>
        <w:rPr>
          <w:rFonts w:ascii="Cambria Math"/>
          <w:sz w:val="20"/>
        </w:rPr>
        <w:t>4A</w:t>
      </w:r>
      <w:r>
        <w:rPr>
          <w:rFonts w:ascii="Cambria Math"/>
          <w:position w:val="-3"/>
          <w:sz w:val="14"/>
        </w:rPr>
        <w:t>S</w:t>
      </w:r>
    </w:p>
    <w:p>
      <w:pPr>
        <w:spacing w:before="27"/>
        <w:ind w:left="60" w:right="0" w:firstLine="0"/>
        <w:jc w:val="left"/>
        <w:rPr>
          <w:rFonts w:ascii="Cambria Math"/>
          <w:sz w:val="20"/>
        </w:rPr>
      </w:pPr>
      <w:r>
        <w:rPr/>
        <w:pict>
          <v:line style="position:absolute;mso-position-horizontal-relative:page;mso-position-vertical-relative:paragraph;z-index:-1526896" from="188.639999pt,1.311751pt" to="204.599999pt,1.311751pt" stroked="true" strokeweight=".6pt" strokecolor="#000000">
            <w10:wrap type="none"/>
          </v:line>
        </w:pict>
      </w:r>
      <w:r>
        <w:rPr>
          <w:rFonts w:ascii="Cambria Math"/>
          <w:w w:val="105"/>
          <w:sz w:val="20"/>
        </w:rPr>
        <w:t>n</w:t>
      </w:r>
    </w:p>
    <w:p>
      <w:pPr>
        <w:pStyle w:val="BodyText"/>
        <w:spacing w:line="20" w:lineRule="exact"/>
        <w:ind w:left="376"/>
        <w:rPr>
          <w:rFonts w:ascii="Cambria Math"/>
          <w:sz w:val="2"/>
        </w:rPr>
      </w:pPr>
      <w:r>
        <w:rPr/>
        <w:br w:type="column"/>
      </w:r>
      <w:r>
        <w:rPr>
          <w:rFonts w:ascii="Cambria Math"/>
          <w:sz w:val="2"/>
        </w:rPr>
        <w:pict>
          <v:group style="width:60pt;height:.6pt;mso-position-horizontal-relative:char;mso-position-vertical-relative:line" coordorigin="0,0" coordsize="1200,12">
            <v:line style="position:absolute" from="6,6" to="1194,6" stroked="true" strokeweight=".6pt" strokecolor="#000000"/>
          </v:group>
        </w:pict>
      </w:r>
      <w:r>
        <w:rPr>
          <w:rFonts w:ascii="Cambria Math"/>
          <w:sz w:val="2"/>
        </w:rPr>
      </w:r>
    </w:p>
    <w:p>
      <w:pPr>
        <w:spacing w:line="189" w:lineRule="exact" w:before="62"/>
        <w:ind w:left="373" w:right="788" w:firstLine="0"/>
        <w:jc w:val="center"/>
        <w:rPr>
          <w:rFonts w:ascii="Cambria Math"/>
          <w:sz w:val="20"/>
        </w:rPr>
      </w:pPr>
      <w:r>
        <w:rPr>
          <w:rFonts w:ascii="Cambria Math"/>
          <w:position w:val="1"/>
          <w:sz w:val="20"/>
        </w:rPr>
        <w:t>(</w:t>
      </w:r>
      <w:r>
        <w:rPr>
          <w:rFonts w:ascii="Cambria Math"/>
          <w:sz w:val="20"/>
        </w:rPr>
        <w:t>4</w:t>
      </w:r>
      <w:r>
        <w:rPr>
          <w:rFonts w:ascii="Cambria Math"/>
          <w:position w:val="1"/>
          <w:sz w:val="20"/>
        </w:rPr>
        <w:t>)(</w:t>
      </w:r>
      <w:r>
        <w:rPr>
          <w:rFonts w:ascii="Cambria Math"/>
          <w:sz w:val="20"/>
        </w:rPr>
        <w:t>1,314m</w:t>
      </w:r>
      <w:r>
        <w:rPr>
          <w:rFonts w:ascii="Cambria Math"/>
          <w:position w:val="6"/>
          <w:sz w:val="14"/>
        </w:rPr>
        <w:t>2</w:t>
      </w:r>
      <w:r>
        <w:rPr>
          <w:rFonts w:ascii="Cambria Math"/>
          <w:position w:val="1"/>
          <w:sz w:val="20"/>
        </w:rPr>
        <w:t>)</w:t>
      </w:r>
    </w:p>
    <w:p>
      <w:pPr>
        <w:tabs>
          <w:tab w:pos="1615" w:val="left" w:leader="none"/>
        </w:tabs>
        <w:spacing w:line="159" w:lineRule="exact" w:before="0"/>
        <w:ind w:left="24" w:right="0" w:firstLine="0"/>
        <w:jc w:val="left"/>
        <w:rPr>
          <w:rFonts w:ascii="Cambria Math"/>
          <w:sz w:val="20"/>
        </w:rPr>
      </w:pPr>
      <w:r>
        <w:rPr>
          <w:rFonts w:ascii="Cambria Math"/>
          <w:w w:val="110"/>
          <w:sz w:val="20"/>
        </w:rPr>
        <w:t>=</w:t>
      </w:r>
      <w:r>
        <w:rPr>
          <w:rFonts w:ascii="Cambria Math"/>
          <w:spacing w:val="8"/>
          <w:w w:val="110"/>
          <w:sz w:val="20"/>
        </w:rPr>
        <w:t> </w:t>
      </w:r>
      <w:r>
        <w:rPr>
          <w:rFonts w:ascii="Cambria Math"/>
          <w:w w:val="220"/>
          <w:position w:val="3"/>
          <w:sz w:val="20"/>
        </w:rPr>
        <w:t>J</w:t>
      </w:r>
      <w:r>
        <w:rPr>
          <w:rFonts w:ascii="Times New Roman"/>
          <w:w w:val="220"/>
          <w:position w:val="3"/>
          <w:sz w:val="20"/>
          <w:u w:val="single"/>
        </w:rPr>
        <w:t> </w:t>
        <w:tab/>
      </w:r>
      <w:r>
        <w:rPr>
          <w:rFonts w:ascii="Cambria Math"/>
          <w:w w:val="105"/>
          <w:sz w:val="20"/>
        </w:rPr>
        <w:t>=</w:t>
      </w:r>
      <w:r>
        <w:rPr>
          <w:rFonts w:ascii="Cambria Math"/>
          <w:spacing w:val="-27"/>
          <w:w w:val="105"/>
          <w:sz w:val="20"/>
        </w:rPr>
        <w:t> </w:t>
      </w:r>
      <w:r>
        <w:rPr>
          <w:rFonts w:ascii="Cambria Math"/>
          <w:w w:val="105"/>
          <w:sz w:val="20"/>
        </w:rPr>
        <w:t>1,29m</w:t>
      </w:r>
    </w:p>
    <w:p>
      <w:pPr>
        <w:spacing w:line="184" w:lineRule="exact" w:before="0"/>
        <w:ind w:left="0" w:right="420" w:firstLine="0"/>
        <w:jc w:val="center"/>
        <w:rPr>
          <w:rFonts w:ascii="Cambria Math"/>
          <w:sz w:val="20"/>
        </w:rPr>
      </w:pPr>
      <w:r>
        <w:rPr>
          <w:rFonts w:ascii="Cambria Math"/>
          <w:w w:val="105"/>
          <w:sz w:val="20"/>
        </w:rPr>
        <w:t>n</w:t>
      </w:r>
    </w:p>
    <w:p>
      <w:pPr>
        <w:pStyle w:val="BodyText"/>
        <w:spacing w:before="11"/>
        <w:rPr>
          <w:rFonts w:ascii="Cambria Math"/>
          <w:sz w:val="20"/>
        </w:rPr>
      </w:pPr>
      <w:r>
        <w:rPr/>
        <w:br w:type="column"/>
      </w:r>
      <w:r>
        <w:rPr>
          <w:rFonts w:ascii="Cambria Math"/>
          <w:sz w:val="20"/>
        </w:rPr>
      </w:r>
    </w:p>
    <w:p>
      <w:pPr>
        <w:spacing w:before="0"/>
        <w:ind w:left="1595" w:right="1789" w:firstLine="0"/>
        <w:jc w:val="center"/>
        <w:rPr>
          <w:rFonts w:ascii="Calibri" w:hAnsi="Calibri"/>
          <w:sz w:val="20"/>
        </w:rPr>
      </w:pPr>
      <w:r>
        <w:rPr>
          <w:rFonts w:ascii="Calibri" w:hAnsi="Calibri"/>
          <w:sz w:val="20"/>
        </w:rPr>
        <w:t>D = Diámetro</w:t>
      </w:r>
    </w:p>
    <w:p>
      <w:pPr>
        <w:spacing w:after="0"/>
        <w:jc w:val="center"/>
        <w:rPr>
          <w:rFonts w:ascii="Calibri" w:hAnsi="Calibri"/>
          <w:sz w:val="20"/>
        </w:rPr>
        <w:sectPr>
          <w:type w:val="continuous"/>
          <w:pgSz w:w="12240" w:h="15840"/>
          <w:pgMar w:top="0" w:bottom="0" w:left="920" w:right="1200"/>
          <w:cols w:num="4" w:equalWidth="0">
            <w:col w:w="2852" w:space="40"/>
            <w:col w:w="272" w:space="40"/>
            <w:col w:w="2372" w:space="40"/>
            <w:col w:w="4504"/>
          </w:cols>
        </w:sectPr>
      </w:pPr>
    </w:p>
    <w:p>
      <w:pPr>
        <w:pStyle w:val="BodyText"/>
        <w:spacing w:before="9"/>
        <w:rPr>
          <w:rFonts w:ascii="Calibri"/>
          <w:sz w:val="20"/>
        </w:rPr>
      </w:pPr>
    </w:p>
    <w:p>
      <w:pPr>
        <w:spacing w:after="0"/>
        <w:rPr>
          <w:rFonts w:ascii="Calibri"/>
          <w:sz w:val="20"/>
        </w:rPr>
        <w:sectPr>
          <w:type w:val="continuous"/>
          <w:pgSz w:w="12240" w:h="15840"/>
          <w:pgMar w:top="0" w:bottom="0" w:left="920" w:right="1200"/>
        </w:sectPr>
      </w:pPr>
    </w:p>
    <w:p>
      <w:pPr>
        <w:spacing w:before="59"/>
        <w:ind w:left="781" w:right="0" w:firstLine="0"/>
        <w:jc w:val="both"/>
        <w:rPr>
          <w:rFonts w:ascii="Calibri"/>
          <w:sz w:val="20"/>
        </w:rPr>
      </w:pPr>
      <w:r>
        <w:rPr>
          <w:rFonts w:ascii="Calibri"/>
          <w:sz w:val="20"/>
        </w:rPr>
        <w:t>Soporte de grava:</w:t>
      </w:r>
    </w:p>
    <w:p>
      <w:pPr>
        <w:spacing w:before="0"/>
        <w:ind w:left="781" w:right="0" w:firstLine="0"/>
        <w:jc w:val="both"/>
        <w:rPr>
          <w:rFonts w:ascii="Calibri" w:hAnsi="Calibri"/>
          <w:sz w:val="20"/>
        </w:rPr>
      </w:pPr>
      <w:r>
        <w:rPr>
          <w:rFonts w:ascii="Calibri" w:hAnsi="Calibri"/>
          <w:sz w:val="20"/>
        </w:rPr>
        <w:t>Según lo recomendado por Fall (2000) y García (2000) se diseñó el filtro de arena con un soporte de grava de cinco diferentes tamaños, cada soporte tiene una altura de 0,05 m:</w:t>
      </w:r>
    </w:p>
    <w:p>
      <w:pPr>
        <w:pStyle w:val="BodyText"/>
        <w:spacing w:before="11"/>
        <w:rPr>
          <w:rFonts w:ascii="Calibri"/>
          <w:sz w:val="19"/>
        </w:rPr>
      </w:pPr>
    </w:p>
    <w:p>
      <w:pPr>
        <w:pStyle w:val="ListParagraph"/>
        <w:numPr>
          <w:ilvl w:val="0"/>
          <w:numId w:val="11"/>
        </w:numPr>
        <w:tabs>
          <w:tab w:pos="1501" w:val="left" w:leader="none"/>
          <w:tab w:pos="1502" w:val="left" w:leader="none"/>
        </w:tabs>
        <w:spacing w:line="240" w:lineRule="auto" w:before="0" w:after="0"/>
        <w:ind w:left="1501" w:right="0" w:hanging="360"/>
        <w:jc w:val="left"/>
        <w:rPr>
          <w:rFonts w:ascii="Calibri" w:hAnsi="Calibri"/>
          <w:sz w:val="20"/>
        </w:rPr>
      </w:pPr>
      <w:r>
        <w:rPr>
          <w:rFonts w:ascii="Calibri" w:hAnsi="Calibri"/>
          <w:sz w:val="20"/>
        </w:rPr>
        <w:t>Grava tamizada de 19,05 mm de</w:t>
      </w:r>
      <w:r>
        <w:rPr>
          <w:rFonts w:ascii="Calibri" w:hAnsi="Calibri"/>
          <w:spacing w:val="-16"/>
          <w:sz w:val="20"/>
        </w:rPr>
        <w:t> </w:t>
      </w:r>
      <w:r>
        <w:rPr>
          <w:rFonts w:ascii="Calibri" w:hAnsi="Calibri"/>
          <w:sz w:val="20"/>
        </w:rPr>
        <w:t>diámetro</w:t>
      </w:r>
    </w:p>
    <w:p>
      <w:pPr>
        <w:pStyle w:val="ListParagraph"/>
        <w:numPr>
          <w:ilvl w:val="0"/>
          <w:numId w:val="11"/>
        </w:numPr>
        <w:tabs>
          <w:tab w:pos="1501" w:val="left" w:leader="none"/>
          <w:tab w:pos="1502" w:val="left" w:leader="none"/>
        </w:tabs>
        <w:spacing w:line="240" w:lineRule="auto" w:before="0" w:after="0"/>
        <w:ind w:left="1501" w:right="0" w:hanging="360"/>
        <w:jc w:val="left"/>
        <w:rPr>
          <w:rFonts w:ascii="Calibri" w:hAnsi="Calibri"/>
          <w:sz w:val="20"/>
        </w:rPr>
      </w:pPr>
      <w:r>
        <w:rPr>
          <w:rFonts w:ascii="Calibri" w:hAnsi="Calibri"/>
          <w:sz w:val="20"/>
        </w:rPr>
        <w:t>Grava tamizada de 12,7 mm de</w:t>
      </w:r>
      <w:r>
        <w:rPr>
          <w:rFonts w:ascii="Calibri" w:hAnsi="Calibri"/>
          <w:spacing w:val="-19"/>
          <w:sz w:val="20"/>
        </w:rPr>
        <w:t> </w:t>
      </w:r>
      <w:r>
        <w:rPr>
          <w:rFonts w:ascii="Calibri" w:hAnsi="Calibri"/>
          <w:sz w:val="20"/>
        </w:rPr>
        <w:t>diámetro</w:t>
      </w:r>
    </w:p>
    <w:p>
      <w:pPr>
        <w:pStyle w:val="ListParagraph"/>
        <w:numPr>
          <w:ilvl w:val="0"/>
          <w:numId w:val="11"/>
        </w:numPr>
        <w:tabs>
          <w:tab w:pos="1501" w:val="left" w:leader="none"/>
          <w:tab w:pos="1502" w:val="left" w:leader="none"/>
        </w:tabs>
        <w:spacing w:line="240" w:lineRule="auto" w:before="0" w:after="0"/>
        <w:ind w:left="1501" w:right="0" w:hanging="360"/>
        <w:jc w:val="left"/>
        <w:rPr>
          <w:rFonts w:ascii="Calibri" w:hAnsi="Calibri"/>
          <w:sz w:val="20"/>
        </w:rPr>
      </w:pPr>
      <w:r>
        <w:rPr>
          <w:rFonts w:ascii="Calibri" w:hAnsi="Calibri"/>
          <w:sz w:val="20"/>
        </w:rPr>
        <w:t>Grava tamizada se 6,35 mm de</w:t>
      </w:r>
      <w:r>
        <w:rPr>
          <w:rFonts w:ascii="Calibri" w:hAnsi="Calibri"/>
          <w:spacing w:val="-19"/>
          <w:sz w:val="20"/>
        </w:rPr>
        <w:t> </w:t>
      </w:r>
      <w:r>
        <w:rPr>
          <w:rFonts w:ascii="Calibri" w:hAnsi="Calibri"/>
          <w:sz w:val="20"/>
        </w:rPr>
        <w:t>diámetro</w:t>
      </w:r>
    </w:p>
    <w:p>
      <w:pPr>
        <w:pStyle w:val="ListParagraph"/>
        <w:numPr>
          <w:ilvl w:val="0"/>
          <w:numId w:val="11"/>
        </w:numPr>
        <w:tabs>
          <w:tab w:pos="1501" w:val="left" w:leader="none"/>
          <w:tab w:pos="1502" w:val="left" w:leader="none"/>
        </w:tabs>
        <w:spacing w:line="243" w:lineRule="exact" w:before="0" w:after="0"/>
        <w:ind w:left="1501" w:right="0" w:hanging="360"/>
        <w:jc w:val="left"/>
        <w:rPr>
          <w:rFonts w:ascii="Calibri" w:hAnsi="Calibri"/>
          <w:sz w:val="20"/>
        </w:rPr>
      </w:pPr>
      <w:r>
        <w:rPr>
          <w:rFonts w:ascii="Calibri" w:hAnsi="Calibri"/>
          <w:sz w:val="20"/>
        </w:rPr>
        <w:t>Grava tamizada de 3,18 mm de</w:t>
      </w:r>
      <w:r>
        <w:rPr>
          <w:rFonts w:ascii="Calibri" w:hAnsi="Calibri"/>
          <w:spacing w:val="-19"/>
          <w:sz w:val="20"/>
        </w:rPr>
        <w:t> </w:t>
      </w:r>
      <w:r>
        <w:rPr>
          <w:rFonts w:ascii="Calibri" w:hAnsi="Calibri"/>
          <w:sz w:val="20"/>
        </w:rPr>
        <w:t>diámetro</w:t>
      </w:r>
    </w:p>
    <w:p>
      <w:pPr>
        <w:pStyle w:val="ListParagraph"/>
        <w:numPr>
          <w:ilvl w:val="0"/>
          <w:numId w:val="11"/>
        </w:numPr>
        <w:tabs>
          <w:tab w:pos="1501" w:val="left" w:leader="none"/>
          <w:tab w:pos="1502" w:val="left" w:leader="none"/>
        </w:tabs>
        <w:spacing w:line="243" w:lineRule="exact" w:before="0" w:after="0"/>
        <w:ind w:left="1501" w:right="0" w:hanging="360"/>
        <w:jc w:val="left"/>
        <w:rPr>
          <w:rFonts w:ascii="Calibri" w:hAnsi="Calibri"/>
          <w:sz w:val="20"/>
        </w:rPr>
      </w:pPr>
      <w:r>
        <w:rPr>
          <w:rFonts w:ascii="Calibri" w:hAnsi="Calibri"/>
          <w:sz w:val="20"/>
        </w:rPr>
        <w:t>Grava tamizada de 2,57 mm de</w:t>
      </w:r>
      <w:r>
        <w:rPr>
          <w:rFonts w:ascii="Calibri" w:hAnsi="Calibri"/>
          <w:spacing w:val="-19"/>
          <w:sz w:val="20"/>
        </w:rPr>
        <w:t> </w:t>
      </w:r>
      <w:r>
        <w:rPr>
          <w:rFonts w:ascii="Calibri" w:hAnsi="Calibri"/>
          <w:sz w:val="20"/>
        </w:rPr>
        <w:t>diámetro</w:t>
      </w:r>
    </w:p>
    <w:p>
      <w:pPr>
        <w:pStyle w:val="BodyText"/>
        <w:rPr>
          <w:rFonts w:ascii="Calibri"/>
          <w:sz w:val="29"/>
        </w:rPr>
      </w:pPr>
      <w:r>
        <w:rPr/>
        <w:br w:type="column"/>
      </w:r>
      <w:r>
        <w:rPr>
          <w:rFonts w:ascii="Calibri"/>
          <w:sz w:val="29"/>
        </w:rPr>
      </w:r>
    </w:p>
    <w:p>
      <w:pPr>
        <w:spacing w:before="0"/>
        <w:ind w:left="100" w:right="0" w:firstLine="0"/>
        <w:jc w:val="left"/>
        <w:rPr>
          <w:rFonts w:ascii="Calibri"/>
          <w:sz w:val="20"/>
        </w:rPr>
      </w:pPr>
      <w:r>
        <w:rPr>
          <w:rFonts w:ascii="Calibri"/>
          <w:sz w:val="20"/>
        </w:rPr>
        <w:t>H = Altura del filtro</w:t>
      </w:r>
    </w:p>
    <w:p>
      <w:pPr>
        <w:spacing w:after="0"/>
        <w:jc w:val="left"/>
        <w:rPr>
          <w:rFonts w:ascii="Calibri"/>
          <w:sz w:val="20"/>
        </w:rPr>
        <w:sectPr>
          <w:type w:val="continuous"/>
          <w:pgSz w:w="12240" w:h="15840"/>
          <w:pgMar w:top="0" w:bottom="0" w:left="920" w:right="1200"/>
          <w:cols w:num="2" w:equalWidth="0">
            <w:col w:w="7090" w:space="40"/>
            <w:col w:w="2990"/>
          </w:cols>
        </w:sectPr>
      </w:pPr>
    </w:p>
    <w:p>
      <w:pPr>
        <w:pStyle w:val="BodyText"/>
        <w:spacing w:before="3"/>
        <w:rPr>
          <w:rFonts w:ascii="Calibri"/>
          <w:sz w:val="15"/>
        </w:rPr>
      </w:pPr>
    </w:p>
    <w:p>
      <w:pPr>
        <w:spacing w:before="59"/>
        <w:ind w:left="781" w:right="3132" w:firstLine="0"/>
        <w:jc w:val="left"/>
        <w:rPr>
          <w:rFonts w:ascii="Calibri" w:hAnsi="Calibri"/>
          <w:sz w:val="20"/>
        </w:rPr>
      </w:pPr>
      <w:r>
        <w:rPr>
          <w:rFonts w:ascii="Calibri" w:hAnsi="Calibri"/>
          <w:sz w:val="20"/>
        </w:rPr>
        <w:t>La altura de la columna de arena se tomó de lo recomendado por Metcalf y Eddy (1991) como valor típico para filtros convencionales de un solo medio.</w:t>
      </w:r>
    </w:p>
    <w:p>
      <w:pPr>
        <w:pStyle w:val="BodyText"/>
        <w:spacing w:before="11"/>
        <w:rPr>
          <w:rFonts w:ascii="Calibri"/>
          <w:sz w:val="19"/>
        </w:rPr>
      </w:pPr>
    </w:p>
    <w:p>
      <w:pPr>
        <w:spacing w:before="0"/>
        <w:ind w:left="781" w:right="2707" w:firstLine="0"/>
        <w:jc w:val="left"/>
        <w:rPr>
          <w:rFonts w:ascii="Calibri"/>
          <w:sz w:val="20"/>
        </w:rPr>
      </w:pPr>
      <w:r>
        <w:rPr>
          <w:rFonts w:ascii="Calibri"/>
          <w:sz w:val="20"/>
        </w:rPr>
        <w:t>H = 0,45 m</w:t>
      </w:r>
    </w:p>
    <w:p>
      <w:pPr>
        <w:pStyle w:val="BodyText"/>
        <w:spacing w:before="11"/>
        <w:rPr>
          <w:rFonts w:ascii="Calibri"/>
          <w:sz w:val="19"/>
        </w:rPr>
      </w:pPr>
    </w:p>
    <w:p>
      <w:pPr>
        <w:spacing w:before="0"/>
        <w:ind w:left="781" w:right="3132" w:firstLine="0"/>
        <w:jc w:val="left"/>
        <w:rPr>
          <w:rFonts w:ascii="Calibri" w:hAnsi="Calibri"/>
          <w:sz w:val="20"/>
        </w:rPr>
      </w:pPr>
      <w:r>
        <w:rPr>
          <w:rFonts w:ascii="Calibri" w:hAnsi="Calibri"/>
          <w:sz w:val="20"/>
        </w:rPr>
        <w:t>Se consideró una altura de 0,45 m para evitar la fluidización de la arena y un bordo libre de 0,10 m.</w:t>
      </w:r>
    </w:p>
    <w:p>
      <w:pPr>
        <w:pStyle w:val="BodyText"/>
        <w:spacing w:before="1"/>
        <w:rPr>
          <w:rFonts w:ascii="Calibri"/>
          <w:sz w:val="20"/>
        </w:rPr>
      </w:pPr>
    </w:p>
    <w:p>
      <w:pPr>
        <w:spacing w:before="0"/>
        <w:ind w:left="781" w:right="6330" w:firstLine="0"/>
        <w:jc w:val="left"/>
        <w:rPr>
          <w:rFonts w:ascii="Calibri"/>
          <w:sz w:val="20"/>
        </w:rPr>
      </w:pPr>
      <w:r>
        <w:rPr>
          <w:rFonts w:ascii="Calibri"/>
          <w:sz w:val="20"/>
        </w:rPr>
        <w:t>La altura total del filtro de arena es: H = 1,50m</w:t>
      </w:r>
    </w:p>
    <w:p>
      <w:pPr>
        <w:pStyle w:val="BodyText"/>
        <w:spacing w:before="1"/>
        <w:rPr>
          <w:rFonts w:ascii="Calibri"/>
          <w:sz w:val="20"/>
        </w:rPr>
      </w:pPr>
    </w:p>
    <w:p>
      <w:pPr>
        <w:spacing w:before="0"/>
        <w:ind w:left="781" w:right="2707" w:firstLine="0"/>
        <w:jc w:val="left"/>
        <w:rPr>
          <w:rFonts w:ascii="Calibri" w:hAnsi="Calibri"/>
          <w:sz w:val="20"/>
        </w:rPr>
      </w:pPr>
      <w:r>
        <w:rPr>
          <w:rFonts w:ascii="Calibri" w:hAnsi="Calibri"/>
          <w:sz w:val="20"/>
        </w:rPr>
        <w:t>Las características del empaque del filtro de arena son diámetro efectivo del grano (D</w:t>
      </w:r>
      <w:r>
        <w:rPr>
          <w:rFonts w:ascii="Calibri" w:hAnsi="Calibri"/>
          <w:position w:val="-2"/>
          <w:sz w:val="13"/>
        </w:rPr>
        <w:t>10</w:t>
      </w:r>
      <w:r>
        <w:rPr>
          <w:rFonts w:ascii="Calibri" w:hAnsi="Calibri"/>
          <w:sz w:val="20"/>
        </w:rPr>
        <w:t>) de 0,36 mm,  coeficiente de uniformidad (D</w:t>
      </w:r>
      <w:r>
        <w:rPr>
          <w:rFonts w:ascii="Calibri" w:hAnsi="Calibri"/>
          <w:position w:val="-2"/>
          <w:sz w:val="13"/>
        </w:rPr>
        <w:t>60</w:t>
      </w:r>
      <w:r>
        <w:rPr>
          <w:rFonts w:ascii="Calibri" w:hAnsi="Calibri"/>
          <w:sz w:val="20"/>
        </w:rPr>
        <w:t>/D</w:t>
      </w:r>
      <w:r>
        <w:rPr>
          <w:rFonts w:ascii="Calibri" w:hAnsi="Calibri"/>
          <w:position w:val="-2"/>
          <w:sz w:val="13"/>
        </w:rPr>
        <w:t>10</w:t>
      </w:r>
      <w:r>
        <w:rPr>
          <w:rFonts w:ascii="Calibri" w:hAnsi="Calibri"/>
          <w:sz w:val="20"/>
        </w:rPr>
        <w:t>) de 1,47</w:t>
      </w:r>
    </w:p>
    <w:p>
      <w:pPr>
        <w:pStyle w:val="BodyText"/>
        <w:spacing w:before="8"/>
        <w:rPr>
          <w:rFonts w:ascii="Calibri"/>
          <w:sz w:val="27"/>
        </w:rPr>
      </w:pPr>
    </w:p>
    <w:p>
      <w:pPr>
        <w:pStyle w:val="BodyText"/>
        <w:spacing w:line="355" w:lineRule="auto" w:before="72"/>
        <w:ind w:left="781" w:right="497" w:hanging="1"/>
        <w:jc w:val="both"/>
      </w:pPr>
      <w:r>
        <w:rPr/>
        <w:t>Al final de los procesos, el caudal ingresó al estanque donde posteriormente regresó al inicio del tren de tratamiento (sedimentador). El agua proveniente del sedimentador se almacenó en un reservorio de agua cruda de 2,0 m</w:t>
      </w:r>
      <w:r>
        <w:rPr>
          <w:position w:val="10"/>
          <w:sz w:val="13"/>
        </w:rPr>
        <w:t>3 </w:t>
      </w:r>
      <w:r>
        <w:rPr/>
        <w:t>donde fue bombeado hasta el reservorio de alimentación de agua al sistema de cultivo.</w:t>
      </w:r>
    </w:p>
    <w:p>
      <w:pPr>
        <w:pStyle w:val="BodyText"/>
        <w:spacing w:before="2"/>
        <w:rPr>
          <w:sz w:val="18"/>
        </w:rPr>
      </w:pPr>
    </w:p>
    <w:p>
      <w:pPr>
        <w:pStyle w:val="BodyText"/>
        <w:spacing w:line="360" w:lineRule="auto" w:before="1"/>
        <w:ind w:left="781" w:right="497"/>
        <w:jc w:val="both"/>
      </w:pPr>
      <w:r>
        <w:rPr/>
        <w:t>El tren de tratamiento se configuró en forma de torre para ahorrar espacio y material de construcción a excepción del sedimentador que se encuentra al centro del estanque (figura 17). Se verificó que las pérdidas de carga estimadas según Gallego (2004) entre el percolador</w:t>
      </w:r>
      <w:r>
        <w:rPr>
          <w:spacing w:val="14"/>
        </w:rPr>
        <w:t> </w:t>
      </w:r>
      <w:r>
        <w:rPr/>
        <w:t>y</w:t>
      </w:r>
      <w:r>
        <w:rPr>
          <w:spacing w:val="11"/>
        </w:rPr>
        <w:t> </w:t>
      </w:r>
      <w:r>
        <w:rPr/>
        <w:t>el</w:t>
      </w:r>
      <w:r>
        <w:rPr>
          <w:spacing w:val="10"/>
        </w:rPr>
        <w:t> </w:t>
      </w:r>
      <w:r>
        <w:rPr/>
        <w:t>filtro</w:t>
      </w:r>
      <w:r>
        <w:rPr>
          <w:spacing w:val="13"/>
        </w:rPr>
        <w:t> </w:t>
      </w:r>
      <w:r>
        <w:rPr/>
        <w:t>de</w:t>
      </w:r>
      <w:r>
        <w:rPr>
          <w:spacing w:val="11"/>
        </w:rPr>
        <w:t> </w:t>
      </w:r>
      <w:r>
        <w:rPr/>
        <w:t>arena</w:t>
      </w:r>
      <w:r>
        <w:rPr>
          <w:spacing w:val="13"/>
        </w:rPr>
        <w:t> </w:t>
      </w:r>
      <w:r>
        <w:rPr/>
        <w:t>(0,94</w:t>
      </w:r>
      <w:r>
        <w:rPr>
          <w:spacing w:val="11"/>
        </w:rPr>
        <w:t> </w:t>
      </w:r>
      <w:r>
        <w:rPr/>
        <w:t>m)</w:t>
      </w:r>
      <w:r>
        <w:rPr>
          <w:spacing w:val="14"/>
        </w:rPr>
        <w:t> </w:t>
      </w:r>
      <w:r>
        <w:rPr/>
        <w:t>no</w:t>
      </w:r>
      <w:r>
        <w:rPr>
          <w:spacing w:val="11"/>
        </w:rPr>
        <w:t> </w:t>
      </w:r>
      <w:r>
        <w:rPr/>
        <w:t>se</w:t>
      </w:r>
      <w:r>
        <w:rPr>
          <w:spacing w:val="13"/>
        </w:rPr>
        <w:t> </w:t>
      </w:r>
      <w:r>
        <w:rPr/>
        <w:t>incrementasen.</w:t>
      </w:r>
      <w:r>
        <w:rPr>
          <w:spacing w:val="14"/>
        </w:rPr>
        <w:t> </w:t>
      </w:r>
      <w:r>
        <w:rPr/>
        <w:t>Se</w:t>
      </w:r>
      <w:r>
        <w:rPr>
          <w:spacing w:val="13"/>
        </w:rPr>
        <w:t> </w:t>
      </w:r>
      <w:r>
        <w:rPr/>
        <w:t>destaca</w:t>
      </w:r>
      <w:r>
        <w:rPr>
          <w:spacing w:val="13"/>
        </w:rPr>
        <w:t> </w:t>
      </w:r>
      <w:r>
        <w:rPr/>
        <w:t>la</w:t>
      </w:r>
      <w:r>
        <w:rPr>
          <w:spacing w:val="13"/>
        </w:rPr>
        <w:t> </w:t>
      </w:r>
      <w:r>
        <w:rPr/>
        <w:t>presencia</w:t>
      </w:r>
      <w:r>
        <w:rPr>
          <w:spacing w:val="13"/>
        </w:rPr>
        <w:t> </w:t>
      </w:r>
      <w:r>
        <w:rPr/>
        <w:t>de</w:t>
      </w:r>
    </w:p>
    <w:p>
      <w:pPr>
        <w:spacing w:after="0" w:line="360" w:lineRule="auto"/>
        <w:jc w:val="both"/>
        <w:sectPr>
          <w:type w:val="continuous"/>
          <w:pgSz w:w="12240" w:h="15840"/>
          <w:pgMar w:top="0" w:bottom="0" w:left="920" w:right="1200"/>
        </w:sectPr>
      </w:pPr>
    </w:p>
    <w:p>
      <w:pPr>
        <w:pStyle w:val="BodyText"/>
        <w:spacing w:before="10"/>
        <w:rPr>
          <w:sz w:val="8"/>
        </w:rPr>
      </w:pPr>
    </w:p>
    <w:p>
      <w:pPr>
        <w:pStyle w:val="BodyText"/>
        <w:spacing w:line="360" w:lineRule="auto" w:before="73"/>
        <w:ind w:left="781" w:right="1562"/>
      </w:pPr>
      <w:r>
        <w:rPr/>
        <w:pict>
          <v:group style="position:absolute;margin-left:150.345001pt;margin-top:41.79258pt;width:296.350pt;height:485.35pt;mso-position-horizontal-relative:page;mso-position-vertical-relative:paragraph;z-index:5200" coordorigin="3007,836" coordsize="5927,9707">
            <v:line style="position:absolute" from="7079,1691" to="7079,5005" stroked="true" strokeweight=".299993pt" strokecolor="#000000"/>
            <v:line style="position:absolute" from="5847,1691" to="5847,5010" stroked="true" strokeweight=".180038pt" strokecolor="#000000"/>
            <v:line style="position:absolute" from="5892,2595" to="5892,2684" stroked="true" strokeweight=".12pt" strokecolor="#000000"/>
            <v:shape style="position:absolute;left:5846;top:1621;width:1232;height:137" coordorigin="5846,1621" coordsize="1232,137" path="m5846,1691l5904,1717,5926,1724,5954,1729,5986,1734,6022,1739,6060,1741,6103,1746,6146,1748,6194,1751,6242,1753,6293,1755,6343,1758,6554,1758,6607,1755,6658,1755,6708,1753,6756,1751,6799,1746,6842,1743,6883,1739,6922,1736,6955,1731,6984,1727,7010,1722,7032,1715,7051,1710,7063,1705,7073,1698,7078,1693,7078,1686,7010,1659,6984,1652,6955,1647,6922,1645,6883,1640,6842,1635,6799,1633,6756,1628,6708,1626,6658,1626,6607,1623,6554,1621,6396,1621,6343,1623,6293,1623,6242,1626,6194,1628,6146,1631,6103,1633,6060,1638,6022,1643,5986,1647,5954,1650,5926,1655,5904,1662,5882,1667,5868,1671,5856,1679,5849,1683,5846,1691xe" filled="false" stroked="true" strokeweight=".12pt" strokecolor="#000000">
              <v:path arrowok="t"/>
            </v:shape>
            <v:shape style="position:absolute;left:5846;top:1844;width:1232;height:68" coordorigin="5846,1844" coordsize="1232,68" path="m5846,1844l5849,1849,5856,1856,5866,1861,5882,1866,5902,1873,5983,1887,6055,1895,6096,1899,6139,1902,6185,1904,6233,1907,6283,1909,6334,1911,6593,1911,6643,1909,6691,1907,6739,1904,6785,1902,6828,1899,6869,1895,6907,1892,6972,1883,7042,1866,7058,1861,7070,1856,7075,1849,7078,1844e" filled="false" stroked="true" strokeweight=".12pt" strokecolor="#000000">
              <v:path arrowok="t"/>
            </v:shape>
            <v:shape style="position:absolute;left:0;top:14379;width:2;height:740" coordorigin="0,14379" coordsize="0,740" path="m6346,2636l6346,2660m6346,2636l6346,2725e" filled="false" stroked="true" strokeweight=".12pt" strokecolor="#000000">
              <v:path arrowok="t"/>
            </v:shape>
            <v:line style="position:absolute" from="6389,2636" to="6389,2727" stroked="true" strokeweight=".12pt" strokecolor="#000000"/>
            <v:shape style="position:absolute;left:5892;top:2595;width:454;height:41" coordorigin="5892,2595" coordsize="454,41" path="m5892,2595l5966,2610,6034,2617,6072,2622,6110,2624,6154,2629,6199,2631,6247,2634,6295,2634,6346,2636e" filled="false" stroked="true" strokeweight=".12pt" strokecolor="#000000">
              <v:path arrowok="t"/>
            </v:shape>
            <v:line style="position:absolute" from="6842,2622" to="6842,2713" stroked="true" strokeweight=".12pt" strokecolor="#000000"/>
            <v:line style="position:absolute" from="6888,2617" to="6888,2708" stroked="true" strokeweight=".12pt" strokecolor="#000000"/>
            <v:shape style="position:absolute;left:6389;top:2622;width:454;height:15" coordorigin="6389,2622" coordsize="454,15" path="m6389,2636l6581,2636,6629,2634,6674,2634,6720,2631,6763,2629,6804,2627,6842,2622e" filled="false" stroked="true" strokeweight=".12pt" strokecolor="#000000">
              <v:path arrowok="t"/>
            </v:shape>
            <v:shape style="position:absolute;left:6888;top:2569;width:190;height:48" coordorigin="6888,2569" coordsize="190,48" path="m6888,2617l6953,2610,7030,2595,7075,2574,7078,2569e" filled="false" stroked="true" strokeweight=".12pt" strokecolor="#000000">
              <v:path arrowok="t"/>
            </v:shape>
            <v:shape style="position:absolute;left:5846;top:2795;width:1232;height:70" coordorigin="5846,2795" coordsize="1232,70" path="m5846,2795l5902,2823,5983,2838,6055,2847,6139,2852,6185,2857,6233,2859,6283,2859,6334,2862,6384,2862,6437,2864,6487,2864,6540,2862,6593,2862,6643,2859,6691,2859,6739,2857,6785,2852,6828,2850,6907,2843,6972,2833,7042,2819,7058,2811,7070,2807,7075,2802,7078,2795e" filled="false" stroked="true" strokeweight=".12pt" strokecolor="#000000">
              <v:path arrowok="t"/>
            </v:shape>
            <v:shape style="position:absolute;left:5846;top:3647;width:1232;height:70" coordorigin="5846,3647" coordsize="1232,70" path="m5846,3647l5902,3675,5983,3690,6055,3699,6139,3704,6185,3709,6233,3711,6283,3711,6334,3714,6384,3714,6437,3716,6487,3716,6540,3714,6593,3714,6643,3711,6691,3711,6739,3709,6785,3704,6828,3702,6907,3695,6972,3685,7042,3671,7058,3663,7070,3659,7075,3654,7078,3647e" filled="false" stroked="true" strokeweight=".12pt" strokecolor="#000000">
              <v:path arrowok="t"/>
            </v:shape>
            <v:shape style="position:absolute;left:5846;top:4055;width:1232;height:68" coordorigin="5846,4055" coordsize="1232,68" path="m5846,4055l5902,4083,5983,4098,6055,4105,6096,4110,6139,4112,6185,4117,6233,4117,6283,4119,6334,4122,6593,4122,6643,4119,6691,4117,6739,4117,6785,4112,6828,4110,6869,4105,6941,4098,7001,4088,7058,4071,7070,4067,7075,4059,7078,4055e" filled="false" stroked="true" strokeweight=".12pt" strokecolor="#000000">
              <v:path arrowok="t"/>
            </v:shape>
            <v:shape style="position:absolute;left:5846;top:4597;width:1232;height:70" coordorigin="5846,4597" coordsize="1232,70" path="m5846,4597l5849,4604,5856,4609,5866,4616,5926,4631,6017,4645,6096,4655,6185,4659,6283,4664,6334,4664,6384,4667,6540,4667,6593,4664,6643,4664,6691,4662,6739,4659,6785,4657,6869,4650,6941,4640,7001,4631,7070,4609,7075,4604,7078,4597e" filled="false" stroked="true" strokeweight=".12pt" strokecolor="#000000">
              <v:path arrowok="t"/>
            </v:shape>
            <v:shape style="position:absolute;left:5846;top:4825;width:1232;height:68" coordorigin="5846,4825" coordsize="1232,68" path="m5846,4825l5849,4830,5856,4837,5866,4842,5882,4847,5902,4854,5983,4868,6055,4875,6096,4880,6139,4883,6185,4885,6233,4887,6283,4890,6334,4892,6593,4892,6643,4890,6691,4887,6739,4885,6785,4883,6828,4880,6869,4875,6907,4873,6972,4863,7042,4847,7058,4842,7070,4837,7075,4830,7078,4825e" filled="false" stroked="true" strokeweight=".12pt" strokecolor="#000000">
              <v:path arrowok="t"/>
            </v:shape>
            <v:shape style="position:absolute;left:5846;top:5005;width:1232;height:70" coordorigin="5846,5005" coordsize="1232,70" path="m5846,5005l5849,5012,5856,5017,5866,5024,5926,5039,6017,5053,6096,5060,6139,5065,6185,5067,6233,5070,6283,5072,6334,5072,6384,5075,6540,5075,6593,5072,6643,5072,6691,5070,6739,5067,6785,5065,6828,5060,6869,5058,6907,5053,6972,5043,7042,5029,7075,5012,7078,5005e" filled="false" stroked="true" strokeweight=".12pt" strokecolor="#000000">
              <v:path arrowok="t"/>
            </v:shape>
            <v:shape style="position:absolute;left:5892;top:2684;width:454;height:41" coordorigin="5892,2684" coordsize="454,41" path="m5892,2684l5966,2699,6034,2708,6110,2715,6199,2720,6247,2723,6295,2725,6346,2725e" filled="false" stroked="true" strokeweight=".12pt" strokecolor="#000000">
              <v:path arrowok="t"/>
            </v:shape>
            <v:shape style="position:absolute;left:6389;top:2713;width:454;height:15" coordorigin="6389,2713" coordsize="454,15" path="m6389,2727l6535,2727,6581,2725,6629,2725,6674,2723,6720,2720,6763,2718,6804,2715,6842,2713e" filled="false" stroked="true" strokeweight=".12pt" strokecolor="#000000">
              <v:path arrowok="t"/>
            </v:shape>
            <v:shape style="position:absolute;left:6888;top:2660;width:190;height:48" coordorigin="6888,2660" coordsize="190,48" path="m6888,2708l6922,2703,6953,2701,6982,2696,7008,2691,7030,2687,7046,2682,7061,2675,7070,2670,7075,2665,7078,2660e" filled="false" stroked="true" strokeweight=".12pt" strokecolor="#000000">
              <v:path arrowok="t"/>
            </v:shape>
            <v:line style="position:absolute" from="5846,1554" to="5846,1023" stroked="true" strokeweight=".12pt" strokecolor="#000000"/>
            <v:line style="position:absolute" from="7078,1554" to="7078,1023" stroked="true" strokeweight=".12pt" strokecolor="#000000"/>
            <v:line style="position:absolute" from="5928,1112" to="6266,1112" stroked="true" strokeweight=".12pt" strokecolor="#000000"/>
            <v:line style="position:absolute" from="6996,1112" to="6658,1112" stroked="true" strokeweight=".12pt" strokecolor="#000000"/>
            <v:shape style="position:absolute;left:5846;top:1100;width:1232;height:27" coordorigin="5846,1100" coordsize="1232,27" path="m5928,1100l5846,1112,5928,1127,5928,1100m7078,1112l6996,1100,6996,1127,7078,1112e" filled="true" fillcolor="#000000" stroked="false">
              <v:path arrowok="t"/>
              <v:fill type="solid"/>
            </v:shape>
            <v:line style="position:absolute" from="7080,1116" to="7082,1116" stroked="true" strokeweight=".12pt" strokecolor="#000000"/>
            <v:line style="position:absolute" from="5710,1691" to="4421,1691" stroked="true" strokeweight=".12pt" strokecolor="#000000"/>
            <v:line style="position:absolute" from="4512,1772" to="4512,3150" stroked="true" strokeweight=".12pt" strokecolor="#000000"/>
            <v:shape style="position:absolute;left:4498;top:1691;width:29;height:82" coordorigin="4498,1691" coordsize="29,82" path="m4512,1691l4498,1772,4526,1772,4512,1691xe" filled="true" fillcolor="#000000" stroked="false">
              <v:path arrowok="t"/>
              <v:fill type="solid"/>
            </v:shape>
            <v:line style="position:absolute" from="5710,2795" to="5196,2795" stroked="true" strokeweight=".12pt" strokecolor="#000000"/>
            <v:line style="position:absolute" from="5287,2876" to="5287,3020" stroked="true" strokeweight=".12pt" strokecolor="#000000"/>
            <v:shape style="position:absolute;left:5273;top:2795;width:27;height:82" coordorigin="5273,2795" coordsize="27,82" path="m5287,2795l5273,2876,5299,2876,5287,2795xe" filled="true" fillcolor="#000000" stroked="false">
              <v:path arrowok="t"/>
              <v:fill type="solid"/>
            </v:shape>
            <v:line style="position:absolute" from="5287,2798" to="5290,2798" stroked="true" strokeweight=".12pt" strokecolor="#000000"/>
            <v:line style="position:absolute" from="5710,2795" to="5196,2795" stroked="true" strokeweight=".12pt" strokecolor="#000000"/>
            <v:line style="position:absolute" from="5710,1844" to="5196,1844" stroked="true" strokeweight=".12pt" strokecolor="#000000"/>
            <v:line style="position:absolute" from="5287,2713" to="5287,2514" stroked="true" strokeweight=".12pt" strokecolor="#000000"/>
            <v:line style="position:absolute" from="5287,1926" to="5287,2125" stroked="true" strokeweight=".12pt" strokecolor="#000000"/>
            <v:shape style="position:absolute;left:5273;top:1844;width:27;height:951" coordorigin="5273,1844" coordsize="27,951" path="m5299,2713l5273,2713,5287,2795,5299,2713m5299,1926l5287,1844,5273,1926,5299,1926e" filled="true" fillcolor="#000000" stroked="false">
              <v:path arrowok="t"/>
              <v:fill type="solid"/>
            </v:shape>
            <v:line style="position:absolute" from="5287,1845" to="5290,1845" stroked="true" strokeweight=".12pt" strokecolor="#000000"/>
            <v:line style="position:absolute" from="5710,5005" to="4421,5005" stroked="true" strokeweight=".12pt" strokecolor="#000000"/>
            <v:line style="position:absolute" from="4512,4923" to="4512,3546" stroked="true" strokeweight=".12pt" strokecolor="#000000"/>
            <v:shape style="position:absolute;left:4498;top:4923;width:29;height:82" coordorigin="4498,4923" coordsize="29,82" path="m4526,4923l4498,4923,4512,5005,4526,4923xe" filled="true" fillcolor="#000000" stroked="false">
              <v:path arrowok="t"/>
              <v:fill type="solid"/>
            </v:shape>
            <v:line style="position:absolute" from="4512,5009" to="4514,5009" stroked="true" strokeweight=".12pt" strokecolor="#000000"/>
            <v:line style="position:absolute" from="5710,5005" to="4733,5005" stroked="true" strokeweight=".12pt" strokecolor="#000000"/>
            <v:line style="position:absolute" from="5710,4825" to="4733,4825" stroked="true" strokeweight=".12pt" strokecolor="#000000"/>
            <v:line style="position:absolute" from="4824,4743" to="4824,4662" stroked="true" strokeweight=".12pt" strokecolor="#000000"/>
            <v:line style="position:absolute" from="4825,4825" to="4825,5005" stroked="true" strokeweight=".179995pt" strokecolor="#000000"/>
            <v:shape style="position:absolute;left:4810;top:4743;width:29;height:82" coordorigin="4810,4743" coordsize="29,82" path="m4838,4743l4810,4743,4824,4825,4838,4743xe" filled="true" fillcolor="#000000" stroked="false">
              <v:path arrowok="t"/>
              <v:fill type="solid"/>
            </v:shape>
            <v:line style="position:absolute" from="4824,5087" to="4824,5168" stroked="true" strokeweight=".12pt" strokecolor="#000000"/>
            <v:shape style="position:absolute;left:4810;top:5005;width:29;height:82" coordorigin="4810,5005" coordsize="29,82" path="m4824,5005l4810,5087,4838,5087,4824,5005xe" filled="true" fillcolor="#000000" stroked="false">
              <v:path arrowok="t"/>
              <v:fill type="solid"/>
            </v:shape>
            <v:line style="position:absolute" from="5710,4597" to="5196,4597" stroked="true" strokeweight=".12pt" strokecolor="#000000"/>
            <v:line style="position:absolute" from="5710,4055" to="5196,4055" stroked="true" strokeweight=".12pt" strokecolor="#000000"/>
            <v:line style="position:absolute" from="5287,4681" to="5287,4760" stroked="true" strokeweight=".12pt" strokecolor="#000000"/>
            <v:line style="position:absolute" from="5287,3973" to="5287,3891" stroked="true" strokeweight=".12pt" strokecolor="#000000"/>
            <v:line style="position:absolute" from="5287,4597" to="5287,4527" stroked="true" strokeweight=".12pt" strokecolor="#000000"/>
            <v:line style="position:absolute" from="5288,4050" to="5288,4127" stroked="true" strokeweight=".179983pt" strokecolor="#000000"/>
            <v:shape style="position:absolute;left:5273;top:3973;width:27;height:708" coordorigin="5273,3973" coordsize="27,708" path="m5299,4681l5287,4597,5273,4681,5299,4681m5299,3973l5273,3973,5287,4055,5299,3973e" filled="true" fillcolor="#000000" stroked="false">
              <v:path arrowok="t"/>
              <v:fill type="solid"/>
            </v:shape>
            <v:line style="position:absolute" from="5710,4055" to="5196,4055" stroked="true" strokeweight=".12pt" strokecolor="#000000"/>
            <v:line style="position:absolute" from="5710,3647" to="5196,3647" stroked="true" strokeweight=".12pt" strokecolor="#000000"/>
            <v:line style="position:absolute" from="5287,4136" to="5287,4218" stroked="true" strokeweight=".12pt" strokecolor="#000000"/>
            <v:line style="position:absolute" from="5287,3565" to="5287,3483" stroked="true" strokeweight=".12pt" strokecolor="#000000"/>
            <v:line style="position:absolute" from="5286,3649" to="5288,3649" stroked="true" strokeweight=".24pt" strokecolor="#000000"/>
            <v:shape style="position:absolute;left:5273;top:3565;width:27;height:572" coordorigin="5273,3565" coordsize="27,572" path="m5299,4136l5287,4055,5273,4136,5299,4136m5299,3565l5273,3565,5287,3647,5299,3565e" filled="true" fillcolor="#000000" stroked="false">
              <v:path arrowok="t"/>
              <v:fill type="solid"/>
            </v:shape>
            <v:line style="position:absolute" from="5287,3650" to="5290,3650" stroked="true" strokeweight=".12pt" strokecolor="#000000"/>
            <v:line style="position:absolute" from="5710,3647" to="5196,3647" stroked="true" strokeweight=".12pt" strokecolor="#000000"/>
            <v:line style="position:absolute" from="5287,3565" to="5287,3421" stroked="true" strokeweight=".12pt" strokecolor="#000000"/>
            <v:shape style="position:absolute;left:5273;top:3565;width:27;height:82" coordorigin="5273,3565" coordsize="27,82" path="m5299,3565l5273,3565,5287,3647,5299,3565xe" filled="true" fillcolor="#000000" stroked="false">
              <v:path arrowok="t"/>
              <v:fill type="solid"/>
            </v:shape>
            <v:line style="position:absolute" from="7214,4825" to="7759,4825" stroked="true" strokeweight=".12pt" strokecolor="#000000"/>
            <v:line style="position:absolute" from="7214,4597" to="7759,4597" stroked="true" strokeweight=".12pt" strokecolor="#000000"/>
            <v:line style="position:absolute" from="7671,4597" to="7671,4825" stroked="true" strokeweight=".179991pt" strokecolor="#000000"/>
            <v:line style="position:absolute" from="7670,4518" to="7670,4436" stroked="true" strokeweight=".12pt" strokecolor="#000000"/>
            <v:shape style="position:absolute;left:7656;top:4518;width:27;height:80" coordorigin="7656,4518" coordsize="27,80" path="m7682,4518l7656,4518,7670,4597,7682,4518xe" filled="true" fillcolor="#000000" stroked="false">
              <v:path arrowok="t"/>
              <v:fill type="solid"/>
            </v:shape>
            <v:line style="position:absolute" from="7670,4907" to="7670,4988" stroked="true" strokeweight=".12pt" strokecolor="#000000"/>
            <v:shape style="position:absolute;left:7656;top:4825;width:27;height:82" coordorigin="7656,4825" coordsize="27,82" path="m7670,4825l7656,4907,7682,4907,7670,4825xe" filled="true" fillcolor="#000000" stroked="false">
              <v:path arrowok="t"/>
              <v:fill type="solid"/>
            </v:shape>
            <v:line style="position:absolute" from="7214,4055" to="7759,4055" stroked="true" strokeweight=".12pt" strokecolor="#000000"/>
            <v:line style="position:absolute" from="7669,4052" to="7672,4052" stroked="true" strokeweight=".24pt" strokecolor="#000000"/>
            <v:line style="position:absolute" from="7670,4136" to="7670,4218" stroked="true" strokeweight=".12pt" strokecolor="#000000"/>
            <v:shape style="position:absolute;left:7656;top:4055;width:27;height:82" coordorigin="7656,4055" coordsize="27,82" path="m7670,4055l7656,4136,7682,4136,7670,4055xe" filled="true" fillcolor="#000000" stroked="false">
              <v:path arrowok="t"/>
              <v:fill type="solid"/>
            </v:shape>
            <v:line style="position:absolute" from="7214,3647" to="7759,3647" stroked="true" strokeweight=".12pt" strokecolor="#000000"/>
            <v:line style="position:absolute" from="7669,3649" to="7672,3649" stroked="true" strokeweight=".24pt" strokecolor="#000000"/>
            <v:line style="position:absolute" from="7670,3565" to="7670,3483" stroked="true" strokeweight=".12pt" strokecolor="#000000"/>
            <v:shape style="position:absolute;left:7656;top:3565;width:27;height:82" coordorigin="7656,3565" coordsize="27,82" path="m7682,3565l7656,3565,7670,3647,7682,3565xe" filled="true" fillcolor="#000000" stroked="false">
              <v:path arrowok="t"/>
              <v:fill type="solid"/>
            </v:shape>
            <v:line style="position:absolute" from="7670,3650" to="7673,3650" stroked="true" strokeweight=".12pt" strokecolor="#000000"/>
            <v:line style="position:absolute" from="7214,1844" to="7759,1844" stroked="true" strokeweight=".12pt" strokecolor="#000000"/>
            <v:line style="position:absolute" from="7214,1691" to="7759,1691" stroked="true" strokeweight=".12pt" strokecolor="#000000"/>
            <v:line style="position:absolute" from="7671,1691" to="7671,1844" stroked="true" strokeweight=".179991pt" strokecolor="#000000"/>
            <v:line style="position:absolute" from="7670,1926" to="7670,2007" stroked="true" strokeweight=".12pt" strokecolor="#000000"/>
            <v:shape style="position:absolute;left:7656;top:1844;width:27;height:82" coordorigin="7656,1844" coordsize="27,82" path="m7670,1844l7656,1926,7682,1926,7670,1844xe" filled="true" fillcolor="#000000" stroked="false">
              <v:path arrowok="t"/>
              <v:fill type="solid"/>
            </v:shape>
            <v:line style="position:absolute" from="7670,1609" to="7670,1525" stroked="true" strokeweight=".12pt" strokecolor="#000000"/>
            <v:shape style="position:absolute;left:7656;top:1609;width:27;height:82" coordorigin="7656,1609" coordsize="27,82" path="m7682,1609l7656,1609,7670,1691,7682,1609xe" filled="true" fillcolor="#000000" stroked="false">
              <v:path arrowok="t"/>
              <v:fill type="solid"/>
            </v:shape>
            <v:line style="position:absolute" from="7214,2660" to="7759,2660" stroked="true" strokeweight=".12pt" strokecolor="#000000"/>
            <v:line style="position:absolute" from="7214,2569" to="7759,2569" stroked="true" strokeweight=".12pt" strokecolor="#000000"/>
            <v:line style="position:absolute" from="7671,2569" to="7671,2660" stroked="true" strokeweight=".179991pt" strokecolor="#000000"/>
            <v:line style="position:absolute" from="7670,2487" to="7670,2406" stroked="true" strokeweight=".12pt" strokecolor="#000000"/>
            <v:shape style="position:absolute;left:7656;top:2487;width:27;height:82" coordorigin="7656,2487" coordsize="27,82" path="m7682,2487l7656,2487,7670,2569,7682,2487xe" filled="true" fillcolor="#000000" stroked="false">
              <v:path arrowok="t"/>
              <v:fill type="solid"/>
            </v:shape>
            <v:line style="position:absolute" from="7670,2739" to="7670,2823" stroked="true" strokeweight=".12pt" strokecolor="#000000"/>
            <v:shape style="position:absolute;left:7656;top:2660;width:27;height:80" coordorigin="7656,2660" coordsize="27,80" path="m7670,2660l7656,2739,7682,2739,7670,2660xe" filled="true" fillcolor="#000000" stroked="false">
              <v:path arrowok="t"/>
              <v:fill type="solid"/>
            </v:shape>
            <v:shape style="position:absolute;left:4337;top:5576;width:3595;height:4793" type="#_x0000_t75" stroked="false">
              <v:imagedata r:id="rId38" o:title=""/>
            </v:shape>
            <v:rect style="position:absolute;left:3780;top:843;width:4649;height:9691" filled="false" stroked="true" strokeweight=".75pt" strokecolor="#000000"/>
            <v:rect style="position:absolute;left:6600;top:7247;width:2326;height:434" filled="true" fillcolor="#ffffff" stroked="false">
              <v:fill type="solid"/>
            </v:rect>
            <v:rect style="position:absolute;left:6600;top:7244;width:2326;height:437" filled="false" stroked="true" strokeweight=".75pt" strokecolor="#000000"/>
            <v:rect style="position:absolute;left:3014;top:9147;width:2326;height:586" filled="true" fillcolor="#ffffff" stroked="false">
              <v:fill type="solid"/>
            </v:rect>
            <v:rect style="position:absolute;left:3014;top:9147;width:2326;height:586" filled="false" stroked="true" strokeweight=".75pt" strokecolor="#000000"/>
            <v:shape style="position:absolute;left:6600;top:7244;width:1829;height:437" type="#_x0000_t202" filled="false" stroked="false">
              <v:textbox inset="0,0,0,0">
                <w:txbxContent>
                  <w:p>
                    <w:pPr>
                      <w:spacing w:before="79"/>
                      <w:ind w:left="263" w:right="-11" w:firstLine="0"/>
                      <w:jc w:val="left"/>
                      <w:rPr>
                        <w:sz w:val="20"/>
                      </w:rPr>
                    </w:pPr>
                    <w:r>
                      <w:rPr>
                        <w:sz w:val="20"/>
                      </w:rPr>
                      <w:t>Biofiltro (percolad</w:t>
                    </w:r>
                  </w:p>
                </w:txbxContent>
              </v:textbox>
              <w10:wrap type="none"/>
            </v:shape>
            <v:shape style="position:absolute;left:8429;top:7244;width:497;height:437" type="#_x0000_t202" filled="false" stroked="false">
              <v:textbox inset="0,0,0,0">
                <w:txbxContent>
                  <w:p>
                    <w:pPr>
                      <w:spacing w:before="79"/>
                      <w:ind w:left="-11" w:right="-10" w:firstLine="0"/>
                      <w:jc w:val="left"/>
                      <w:rPr>
                        <w:sz w:val="20"/>
                      </w:rPr>
                    </w:pPr>
                    <w:r>
                      <w:rPr>
                        <w:sz w:val="20"/>
                      </w:rPr>
                      <w:t>or)</w:t>
                    </w:r>
                  </w:p>
                </w:txbxContent>
              </v:textbox>
              <w10:wrap type="none"/>
            </v:shape>
            <v:shape style="position:absolute;left:3014;top:9147;width:766;height:586" type="#_x0000_t202" filled="false" stroked="false">
              <v:textbox inset="0,0,0,0">
                <w:txbxContent>
                  <w:p>
                    <w:pPr>
                      <w:spacing w:before="79"/>
                      <w:ind w:left="203" w:right="0" w:firstLine="0"/>
                      <w:jc w:val="left"/>
                      <w:rPr>
                        <w:sz w:val="20"/>
                      </w:rPr>
                    </w:pPr>
                    <w:r>
                      <w:rPr>
                        <w:sz w:val="20"/>
                      </w:rPr>
                      <w:t>Filtro</w:t>
                    </w:r>
                  </w:p>
                </w:txbxContent>
              </v:textbox>
              <w10:wrap type="none"/>
            </v:shape>
            <v:shape style="position:absolute;left:3780;top:9147;width:1560;height:586" type="#_x0000_t202" filled="false" stroked="false">
              <v:textbox inset="0,0,0,0">
                <w:txbxContent>
                  <w:p>
                    <w:pPr>
                      <w:spacing w:before="79"/>
                      <w:ind w:left="143" w:right="180" w:hanging="207"/>
                      <w:jc w:val="left"/>
                      <w:rPr>
                        <w:sz w:val="20"/>
                      </w:rPr>
                    </w:pPr>
                    <w:r>
                      <w:rPr>
                        <w:sz w:val="20"/>
                      </w:rPr>
                      <w:t>descendente de arena</w:t>
                    </w:r>
                  </w:p>
                </w:txbxContent>
              </v:textbox>
              <w10:wrap type="none"/>
            </v:shape>
            <v:shape style="position:absolute;left:6348;top:1050;width:226;height:129" type="#_x0000_t202" filled="false" stroked="false">
              <v:textbox inset="0,0,0,0">
                <w:txbxContent>
                  <w:p>
                    <w:pPr>
                      <w:spacing w:line="128" w:lineRule="exact" w:before="0"/>
                      <w:ind w:left="0" w:right="-13" w:firstLine="0"/>
                      <w:jc w:val="left"/>
                      <w:rPr>
                        <w:rFonts w:ascii="Calibri"/>
                        <w:sz w:val="13"/>
                      </w:rPr>
                    </w:pPr>
                    <w:r>
                      <w:rPr>
                        <w:rFonts w:ascii="Calibri"/>
                        <w:w w:val="95"/>
                        <w:sz w:val="13"/>
                      </w:rPr>
                      <w:t>1,36</w:t>
                    </w:r>
                  </w:p>
                </w:txbxContent>
              </v:textbox>
              <w10:wrap type="none"/>
            </v:shape>
            <v:shape style="position:absolute;left:6089;top:2181;width:631;height:143" type="#_x0000_t202" filled="false" stroked="false">
              <v:textbox inset="0,0,0,0">
                <w:txbxContent>
                  <w:p>
                    <w:pPr>
                      <w:spacing w:line="143" w:lineRule="exact" w:before="0"/>
                      <w:ind w:left="0" w:right="-9" w:firstLine="0"/>
                      <w:jc w:val="left"/>
                      <w:rPr>
                        <w:rFonts w:ascii="Calibri"/>
                        <w:sz w:val="14"/>
                      </w:rPr>
                    </w:pPr>
                    <w:r>
                      <w:rPr>
                        <w:rFonts w:ascii="Calibri"/>
                        <w:sz w:val="14"/>
                      </w:rPr>
                      <w:t>Percolador</w:t>
                    </w:r>
                  </w:p>
                </w:txbxContent>
              </v:textbox>
              <w10:wrap type="none"/>
            </v:shape>
            <v:shape style="position:absolute;left:5945;top:3849;width:1019;height:1221" type="#_x0000_t202" filled="false" stroked="false">
              <v:textbox inset="0,0,0,0">
                <w:txbxContent>
                  <w:p>
                    <w:pPr>
                      <w:spacing w:line="145" w:lineRule="exact" w:before="0"/>
                      <w:ind w:left="0" w:right="-2" w:firstLine="0"/>
                      <w:jc w:val="left"/>
                      <w:rPr>
                        <w:rFonts w:ascii="Calibri"/>
                        <w:sz w:val="14"/>
                      </w:rPr>
                    </w:pPr>
                    <w:r>
                      <w:rPr>
                        <w:rFonts w:ascii="Calibri"/>
                        <w:sz w:val="14"/>
                      </w:rPr>
                      <w:t>Columna de agua</w:t>
                    </w:r>
                  </w:p>
                  <w:p>
                    <w:pPr>
                      <w:spacing w:line="390" w:lineRule="atLeast" w:before="66"/>
                      <w:ind w:left="31" w:right="-2" w:firstLine="232"/>
                      <w:jc w:val="left"/>
                      <w:rPr>
                        <w:rFonts w:ascii="Calibri"/>
                        <w:sz w:val="14"/>
                      </w:rPr>
                    </w:pPr>
                    <w:r>
                      <w:rPr>
                        <w:rFonts w:ascii="Calibri"/>
                        <w:sz w:val="14"/>
                      </w:rPr>
                      <w:t>Arena Soporte de grava</w:t>
                    </w:r>
                  </w:p>
                  <w:p>
                    <w:pPr>
                      <w:spacing w:line="169" w:lineRule="exact" w:before="62"/>
                      <w:ind w:left="175" w:right="-2" w:firstLine="0"/>
                      <w:jc w:val="left"/>
                      <w:rPr>
                        <w:rFonts w:ascii="Calibri"/>
                        <w:sz w:val="14"/>
                      </w:rPr>
                    </w:pPr>
                    <w:r>
                      <w:rPr>
                        <w:rFonts w:ascii="Calibri"/>
                        <w:sz w:val="14"/>
                      </w:rPr>
                      <w:t>Falso Fondo</w:t>
                    </w:r>
                  </w:p>
                </w:txbxContent>
              </v:textbox>
              <w10:wrap type="none"/>
            </v:shape>
            <w10:wrap type="none"/>
          </v:group>
        </w:pict>
      </w:r>
      <w:r>
        <w:rPr/>
        <w:pict>
          <v:shape style="position:absolute;margin-left:221.472397pt;margin-top:160.794052pt;width:8.450pt;height:13.45pt;mso-position-horizontal-relative:page;mso-position-vertical-relative:paragraph;z-index:5224" type="#_x0000_t202" filled="false" stroked="false">
            <v:textbox inset="0,0,0,0" style="layout-flow:vertical;mso-layout-flow-alt:bottom-to-top">
              <w:txbxContent>
                <w:p>
                  <w:pPr>
                    <w:spacing w:line="151" w:lineRule="exact" w:before="0"/>
                    <w:ind w:left="20" w:right="-99" w:firstLine="0"/>
                    <w:jc w:val="left"/>
                    <w:rPr>
                      <w:rFonts w:ascii="Calibri"/>
                      <w:sz w:val="13"/>
                    </w:rPr>
                  </w:pPr>
                  <w:r>
                    <w:rPr>
                      <w:rFonts w:ascii="Calibri"/>
                      <w:w w:val="98"/>
                      <w:sz w:val="13"/>
                    </w:rPr>
                    <w:t>3</w:t>
                  </w:r>
                  <w:r>
                    <w:rPr>
                      <w:rFonts w:ascii="Calibri"/>
                      <w:spacing w:val="1"/>
                      <w:w w:val="98"/>
                      <w:sz w:val="13"/>
                    </w:rPr>
                    <w:t>,</w:t>
                  </w:r>
                  <w:r>
                    <w:rPr>
                      <w:rFonts w:ascii="Calibri"/>
                      <w:w w:val="98"/>
                      <w:sz w:val="13"/>
                    </w:rPr>
                    <w:t>66</w:t>
                  </w:r>
                </w:p>
              </w:txbxContent>
            </v:textbox>
            <w10:wrap type="none"/>
          </v:shape>
        </w:pict>
      </w:r>
      <w:r>
        <w:rPr/>
        <w:pict>
          <v:shape style="position:absolute;margin-left:237.072403pt;margin-top:261.834045pt;width:8.450pt;height:13.45pt;mso-position-horizontal-relative:page;mso-position-vertical-relative:paragraph;z-index:5248" type="#_x0000_t202" filled="false" stroked="false">
            <v:textbox inset="0,0,0,0" style="layout-flow:vertical;mso-layout-flow-alt:bottom-to-top">
              <w:txbxContent>
                <w:p>
                  <w:pPr>
                    <w:spacing w:line="151" w:lineRule="exact" w:before="0"/>
                    <w:ind w:left="20" w:right="-99" w:firstLine="0"/>
                    <w:jc w:val="left"/>
                    <w:rPr>
                      <w:rFonts w:ascii="Calibri"/>
                      <w:sz w:val="13"/>
                    </w:rPr>
                  </w:pPr>
                  <w:r>
                    <w:rPr>
                      <w:rFonts w:ascii="Calibri"/>
                      <w:w w:val="98"/>
                      <w:sz w:val="13"/>
                    </w:rPr>
                    <w:t>0</w:t>
                  </w:r>
                  <w:r>
                    <w:rPr>
                      <w:rFonts w:ascii="Calibri"/>
                      <w:spacing w:val="1"/>
                      <w:w w:val="98"/>
                      <w:sz w:val="13"/>
                    </w:rPr>
                    <w:t>,</w:t>
                  </w:r>
                  <w:r>
                    <w:rPr>
                      <w:rFonts w:ascii="Calibri"/>
                      <w:w w:val="98"/>
                      <w:sz w:val="13"/>
                    </w:rPr>
                    <w:t>20</w:t>
                  </w:r>
                </w:p>
              </w:txbxContent>
            </v:textbox>
            <w10:wrap type="none"/>
          </v:shape>
        </w:pict>
      </w:r>
      <w:r>
        <w:rPr/>
        <w:pict>
          <v:shape style="position:absolute;margin-left:260.112396pt;margin-top:209.755615pt;width:8.450pt;height:13.3pt;mso-position-horizontal-relative:page;mso-position-vertical-relative:paragraph;z-index:5272" type="#_x0000_t202" filled="false" stroked="false">
            <v:textbox inset="0,0,0,0" style="layout-flow:vertical;mso-layout-flow-alt:bottom-to-top">
              <w:txbxContent>
                <w:p>
                  <w:pPr>
                    <w:spacing w:line="151" w:lineRule="exact" w:before="0"/>
                    <w:ind w:left="20" w:right="-97" w:firstLine="0"/>
                    <w:jc w:val="left"/>
                    <w:rPr>
                      <w:rFonts w:ascii="Calibri"/>
                      <w:sz w:val="13"/>
                    </w:rPr>
                  </w:pPr>
                  <w:r>
                    <w:rPr>
                      <w:rFonts w:ascii="Calibri"/>
                      <w:w w:val="98"/>
                      <w:sz w:val="13"/>
                    </w:rPr>
                    <w:t>0</w:t>
                  </w:r>
                  <w:r>
                    <w:rPr>
                      <w:rFonts w:ascii="Calibri"/>
                      <w:spacing w:val="-1"/>
                      <w:w w:val="98"/>
                      <w:sz w:val="13"/>
                    </w:rPr>
                    <w:t>,</w:t>
                  </w:r>
                  <w:r>
                    <w:rPr>
                      <w:rFonts w:ascii="Calibri"/>
                      <w:w w:val="98"/>
                      <w:sz w:val="13"/>
                    </w:rPr>
                    <w:t>60</w:t>
                  </w:r>
                </w:p>
              </w:txbxContent>
            </v:textbox>
            <w10:wrap type="none"/>
          </v:shape>
        </w:pict>
      </w:r>
      <w:r>
        <w:rPr/>
        <w:pict>
          <v:shape style="position:absolute;margin-left:260.112396pt;margin-top:185.87561pt;width:8.450pt;height:13.3pt;mso-position-horizontal-relative:page;mso-position-vertical-relative:paragraph;z-index:5296" type="#_x0000_t202" filled="false" stroked="false">
            <v:textbox inset="0,0,0,0" style="layout-flow:vertical;mso-layout-flow-alt:bottom-to-top">
              <w:txbxContent>
                <w:p>
                  <w:pPr>
                    <w:spacing w:line="151" w:lineRule="exact" w:before="0"/>
                    <w:ind w:left="20" w:right="-97" w:firstLine="0"/>
                    <w:jc w:val="left"/>
                    <w:rPr>
                      <w:rFonts w:ascii="Calibri"/>
                      <w:sz w:val="13"/>
                    </w:rPr>
                  </w:pPr>
                  <w:r>
                    <w:rPr>
                      <w:rFonts w:ascii="Calibri"/>
                      <w:w w:val="98"/>
                      <w:sz w:val="13"/>
                    </w:rPr>
                    <w:t>0</w:t>
                  </w:r>
                  <w:r>
                    <w:rPr>
                      <w:rFonts w:ascii="Calibri"/>
                      <w:spacing w:val="-1"/>
                      <w:w w:val="98"/>
                      <w:sz w:val="13"/>
                    </w:rPr>
                    <w:t>,</w:t>
                  </w:r>
                  <w:r>
                    <w:rPr>
                      <w:rFonts w:ascii="Calibri"/>
                      <w:w w:val="98"/>
                      <w:sz w:val="13"/>
                    </w:rPr>
                    <w:t>45</w:t>
                  </w:r>
                </w:p>
              </w:txbxContent>
            </v:textbox>
            <w10:wrap type="none"/>
          </v:shape>
        </w:pict>
      </w:r>
      <w:r>
        <w:rPr/>
        <w:pict>
          <v:shape style="position:absolute;margin-left:260.112396pt;margin-top:154.434052pt;width:8.450pt;height:13.45pt;mso-position-horizontal-relative:page;mso-position-vertical-relative:paragraph;z-index:5320" type="#_x0000_t202" filled="false" stroked="false">
            <v:textbox inset="0,0,0,0" style="layout-flow:vertical;mso-layout-flow-alt:bottom-to-top">
              <w:txbxContent>
                <w:p>
                  <w:pPr>
                    <w:spacing w:line="151" w:lineRule="exact" w:before="0"/>
                    <w:ind w:left="20" w:right="-99" w:firstLine="0"/>
                    <w:jc w:val="left"/>
                    <w:rPr>
                      <w:rFonts w:ascii="Calibri"/>
                      <w:sz w:val="13"/>
                    </w:rPr>
                  </w:pPr>
                  <w:r>
                    <w:rPr>
                      <w:rFonts w:ascii="Calibri"/>
                      <w:w w:val="98"/>
                      <w:sz w:val="13"/>
                    </w:rPr>
                    <w:t>0</w:t>
                  </w:r>
                  <w:r>
                    <w:rPr>
                      <w:rFonts w:ascii="Calibri"/>
                      <w:spacing w:val="1"/>
                      <w:w w:val="98"/>
                      <w:sz w:val="13"/>
                    </w:rPr>
                    <w:t>,</w:t>
                  </w:r>
                  <w:r>
                    <w:rPr>
                      <w:rFonts w:ascii="Calibri"/>
                      <w:w w:val="98"/>
                      <w:sz w:val="13"/>
                    </w:rPr>
                    <w:t>94</w:t>
                  </w:r>
                </w:p>
              </w:txbxContent>
            </v:textbox>
            <w10:wrap type="none"/>
          </v:shape>
        </w:pict>
      </w:r>
      <w:r>
        <w:rPr/>
        <w:pict>
          <v:shape style="position:absolute;margin-left:260.112396pt;margin-top:109.440453pt;width:8.450pt;height:13.45pt;mso-position-horizontal-relative:page;mso-position-vertical-relative:paragraph;z-index:5344" type="#_x0000_t202" filled="false" stroked="false">
            <v:textbox inset="0,0,0,0" style="layout-flow:vertical;mso-layout-flow-alt:bottom-to-top">
              <w:txbxContent>
                <w:p>
                  <w:pPr>
                    <w:spacing w:line="151" w:lineRule="exact" w:before="0"/>
                    <w:ind w:left="20" w:right="-99" w:firstLine="0"/>
                    <w:jc w:val="left"/>
                    <w:rPr>
                      <w:rFonts w:ascii="Calibri"/>
                      <w:sz w:val="13"/>
                    </w:rPr>
                  </w:pPr>
                  <w:r>
                    <w:rPr>
                      <w:rFonts w:ascii="Calibri"/>
                      <w:spacing w:val="2"/>
                      <w:w w:val="98"/>
                      <w:sz w:val="13"/>
                    </w:rPr>
                    <w:t>1</w:t>
                  </w:r>
                  <w:r>
                    <w:rPr>
                      <w:rFonts w:ascii="Calibri"/>
                      <w:spacing w:val="-1"/>
                      <w:w w:val="98"/>
                      <w:sz w:val="13"/>
                    </w:rPr>
                    <w:t>,</w:t>
                  </w:r>
                  <w:r>
                    <w:rPr>
                      <w:rFonts w:ascii="Calibri"/>
                      <w:w w:val="98"/>
                      <w:sz w:val="13"/>
                    </w:rPr>
                    <w:t>05</w:t>
                  </w:r>
                </w:p>
              </w:txbxContent>
            </v:textbox>
            <w10:wrap type="none"/>
          </v:shape>
        </w:pict>
      </w:r>
      <w:r>
        <w:rPr/>
        <w:pict>
          <v:shape style="position:absolute;margin-left:379.272308pt;margin-top:252.594055pt;width:8.450pt;height:13.45pt;mso-position-horizontal-relative:page;mso-position-vertical-relative:paragraph;z-index:5368" type="#_x0000_t202" filled="false" stroked="false">
            <v:textbox inset="0,0,0,0" style="layout-flow:vertical;mso-layout-flow-alt:bottom-to-top">
              <w:txbxContent>
                <w:p>
                  <w:pPr>
                    <w:spacing w:line="151" w:lineRule="exact" w:before="0"/>
                    <w:ind w:left="20" w:right="-99" w:firstLine="0"/>
                    <w:jc w:val="left"/>
                    <w:rPr>
                      <w:rFonts w:ascii="Calibri"/>
                      <w:sz w:val="13"/>
                    </w:rPr>
                  </w:pPr>
                  <w:r>
                    <w:rPr>
                      <w:rFonts w:ascii="Calibri"/>
                      <w:w w:val="98"/>
                      <w:sz w:val="13"/>
                    </w:rPr>
                    <w:t>0</w:t>
                  </w:r>
                  <w:r>
                    <w:rPr>
                      <w:rFonts w:ascii="Calibri"/>
                      <w:spacing w:val="1"/>
                      <w:w w:val="98"/>
                      <w:sz w:val="13"/>
                    </w:rPr>
                    <w:t>,</w:t>
                  </w:r>
                  <w:r>
                    <w:rPr>
                      <w:rFonts w:ascii="Calibri"/>
                      <w:w w:val="98"/>
                      <w:sz w:val="13"/>
                    </w:rPr>
                    <w:t>25</w:t>
                  </w:r>
                </w:p>
              </w:txbxContent>
            </v:textbox>
            <w10:wrap type="none"/>
          </v:shape>
        </w:pict>
      </w:r>
      <w:r>
        <w:rPr/>
        <w:pict>
          <v:shape style="position:absolute;margin-left:379.272308pt;margin-top:185.87561pt;width:8.450pt;height:13.3pt;mso-position-horizontal-relative:page;mso-position-vertical-relative:paragraph;z-index:5392" type="#_x0000_t202" filled="false" stroked="false">
            <v:textbox inset="0,0,0,0" style="layout-flow:vertical;mso-layout-flow-alt:bottom-to-top">
              <w:txbxContent>
                <w:p>
                  <w:pPr>
                    <w:spacing w:line="151" w:lineRule="exact" w:before="0"/>
                    <w:ind w:left="20" w:right="-97" w:firstLine="0"/>
                    <w:jc w:val="left"/>
                    <w:rPr>
                      <w:rFonts w:ascii="Calibri"/>
                      <w:sz w:val="13"/>
                    </w:rPr>
                  </w:pPr>
                  <w:r>
                    <w:rPr>
                      <w:rFonts w:ascii="Calibri"/>
                      <w:w w:val="98"/>
                      <w:sz w:val="13"/>
                    </w:rPr>
                    <w:t>0</w:t>
                  </w:r>
                  <w:r>
                    <w:rPr>
                      <w:rFonts w:ascii="Calibri"/>
                      <w:spacing w:val="-1"/>
                      <w:w w:val="98"/>
                      <w:sz w:val="13"/>
                    </w:rPr>
                    <w:t>,</w:t>
                  </w:r>
                  <w:r>
                    <w:rPr>
                      <w:rFonts w:ascii="Calibri"/>
                      <w:w w:val="98"/>
                      <w:sz w:val="13"/>
                    </w:rPr>
                    <w:t>45</w:t>
                  </w:r>
                </w:p>
              </w:txbxContent>
            </v:textbox>
            <w10:wrap type="none"/>
          </v:shape>
        </w:pict>
      </w:r>
      <w:r>
        <w:rPr/>
        <w:pict>
          <v:shape style="position:absolute;margin-left:379.272308pt;margin-top:144.47406pt;width:8.450pt;height:13.45pt;mso-position-horizontal-relative:page;mso-position-vertical-relative:paragraph;z-index:5416" type="#_x0000_t202" filled="false" stroked="false">
            <v:textbox inset="0,0,0,0" style="layout-flow:vertical;mso-layout-flow-alt:bottom-to-top">
              <w:txbxContent>
                <w:p>
                  <w:pPr>
                    <w:spacing w:line="151" w:lineRule="exact" w:before="0"/>
                    <w:ind w:left="20" w:right="-99" w:firstLine="0"/>
                    <w:jc w:val="left"/>
                    <w:rPr>
                      <w:rFonts w:ascii="Calibri"/>
                      <w:sz w:val="13"/>
                    </w:rPr>
                  </w:pPr>
                  <w:r>
                    <w:rPr>
                      <w:rFonts w:ascii="Calibri"/>
                      <w:w w:val="98"/>
                      <w:sz w:val="13"/>
                    </w:rPr>
                    <w:t>0</w:t>
                  </w:r>
                  <w:r>
                    <w:rPr>
                      <w:rFonts w:ascii="Calibri"/>
                      <w:spacing w:val="1"/>
                      <w:w w:val="98"/>
                      <w:sz w:val="13"/>
                    </w:rPr>
                    <w:t>,</w:t>
                  </w:r>
                  <w:r>
                    <w:rPr>
                      <w:rFonts w:ascii="Calibri"/>
                      <w:w w:val="98"/>
                      <w:sz w:val="13"/>
                    </w:rPr>
                    <w:t>10</w:t>
                  </w:r>
                </w:p>
              </w:txbxContent>
            </v:textbox>
            <w10:wrap type="none"/>
          </v:shape>
        </w:pict>
      </w:r>
      <w:r>
        <w:rPr/>
        <w:pict>
          <v:shape style="position:absolute;margin-left:379.272308pt;margin-top:59.755711pt;width:8.450pt;height:13.3pt;mso-position-horizontal-relative:page;mso-position-vertical-relative:paragraph;z-index:5440" type="#_x0000_t202" filled="false" stroked="false">
            <v:textbox inset="0,0,0,0" style="layout-flow:vertical;mso-layout-flow-alt:bottom-to-top">
              <w:txbxContent>
                <w:p>
                  <w:pPr>
                    <w:spacing w:line="151" w:lineRule="exact" w:before="0"/>
                    <w:ind w:left="20" w:right="-97" w:firstLine="0"/>
                    <w:jc w:val="left"/>
                    <w:rPr>
                      <w:rFonts w:ascii="Calibri"/>
                      <w:sz w:val="13"/>
                    </w:rPr>
                  </w:pPr>
                  <w:r>
                    <w:rPr>
                      <w:rFonts w:ascii="Calibri"/>
                      <w:w w:val="98"/>
                      <w:sz w:val="13"/>
                    </w:rPr>
                    <w:t>0</w:t>
                  </w:r>
                  <w:r>
                    <w:rPr>
                      <w:rFonts w:ascii="Calibri"/>
                      <w:spacing w:val="-1"/>
                      <w:w w:val="98"/>
                      <w:sz w:val="13"/>
                    </w:rPr>
                    <w:t>,</w:t>
                  </w:r>
                  <w:r>
                    <w:rPr>
                      <w:rFonts w:ascii="Calibri"/>
                      <w:w w:val="98"/>
                      <w:sz w:val="13"/>
                    </w:rPr>
                    <w:t>17</w:t>
                  </w:r>
                </w:p>
              </w:txbxContent>
            </v:textbox>
            <w10:wrap type="none"/>
          </v:shape>
        </w:pict>
      </w:r>
      <w:r>
        <w:rPr/>
        <w:t>una ventana en material transparente de 0,30 m de ancho y 0,90 m de alto ubicada en el estanque para observar la conducta de los peces (figura 18).</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69"/>
        <w:ind w:left="2567" w:right="1562" w:firstLine="0"/>
        <w:jc w:val="left"/>
        <w:rPr>
          <w:b/>
          <w:sz w:val="18"/>
        </w:rPr>
      </w:pPr>
      <w:r>
        <w:rPr>
          <w:b/>
          <w:sz w:val="18"/>
        </w:rPr>
        <w:t>Figura 17. Diseño de la torre de tratamiento (cotas en metros)</w:t>
      </w:r>
    </w:p>
    <w:p>
      <w:pPr>
        <w:spacing w:after="0"/>
        <w:jc w:val="left"/>
        <w:rPr>
          <w:sz w:val="18"/>
        </w:rPr>
        <w:sectPr>
          <w:pgSz w:w="12240" w:h="15840"/>
          <w:pgMar w:header="725" w:footer="1084" w:top="1340" w:bottom="1280" w:left="920" w:right="0"/>
        </w:sectPr>
      </w:pPr>
    </w:p>
    <w:p>
      <w:pPr>
        <w:pStyle w:val="BodyText"/>
        <w:rPr>
          <w:b/>
          <w:sz w:val="20"/>
        </w:rPr>
      </w:pPr>
      <w:r>
        <w:rPr/>
        <w:pict>
          <v:group style="position:absolute;margin-left:203.804993pt;margin-top:88.245003pt;width:255.75pt;height:268.150pt;mso-position-horizontal-relative:page;mso-position-vertical-relative:page;z-index:-1526344" coordorigin="4076,1765" coordsize="5115,5363">
            <v:line style="position:absolute" from="5237,5268" to="5237,3626" stroked="true" strokeweight=".12pt" strokecolor="#000000"/>
            <v:line style="position:absolute" from="4214,3626" to="4214,6391" stroked="true" strokeweight=".299995pt" strokecolor="#000000"/>
            <v:line style="position:absolute" from="4250,4380" to="4250,4454" stroked="true" strokeweight=".12pt" strokecolor="#000000"/>
            <v:shape style="position:absolute;left:4212;top:3569;width:1025;height:116" coordorigin="4212,3569" coordsize="1025,116" path="m4212,3626l4214,3631,4217,3636,4224,3638,4234,3643,4246,3648,4260,3650,4277,3655,4296,3658,4318,3660,4342,3665,4366,3667,4394,3670,4423,3672,4452,3674,4486,3677,4519,3679,4553,3682,4625,3682,4661,3684,4807,3684,4843,3682,4879,3682,4915,3679,4949,3679,4982,3677,5014,3674,5042,3672,5071,3670,5098,3665,5122,3662,5143,3660,5165,3655,5182,3653,5198,3648,5210,3646,5222,3641,5230,3636,5234,3634,5237,3629,5237,3624,5234,3622,5230,3617,5222,3612,5210,3610,5198,3605,5182,3600,5165,3598,5143,3595,5122,3590,5098,3588,5071,3586,5042,3583,5014,3578,4982,3578,4949,3576,4915,3574,4879,3571,4807,3571,4771,3569,4697,3569,4661,3571,4589,3571,4553,3574,4519,3574,4486,3576,4452,3578,4423,3581,4394,3583,4366,3586,4342,3588,4318,3593,4296,3595,4277,3600,4260,3602,4246,3607,4234,3610,4224,3614,4217,3619,4214,3622,4212,3626xe" filled="false" stroked="true" strokeweight=".12pt" strokecolor="#000000">
              <v:path arrowok="t"/>
            </v:shape>
            <v:shape style="position:absolute;left:4212;top:3756;width:1025;height:56" coordorigin="4212,3756" coordsize="1025,56" path="m4212,3756l4214,3758,4217,3763,4224,3768,4234,3770,4246,3775,4260,3778,4274,3782,4294,3785,4315,3790,4339,3792,4363,3794,4390,3797,4418,3802,4447,3804,4478,3804,4512,3806,4546,3809,4582,3809,4615,3811,4834,3811,4870,3809,4906,3809,4939,3806,4970,3804,5002,3804,5033,3802,5062,3797,5088,3794,5112,3792,5136,3790,5155,3785,5174,3782,5191,3778,5206,3775,5218,3770,5225,3768,5232,3763,5237,3758,5237,3756e" filled="false" stroked="true" strokeweight=".12pt" strokecolor="#000000">
              <v:path arrowok="t"/>
            </v:shape>
            <v:shape style="position:absolute;left:0;top:15840;width:2;height:640" coordorigin="0,15840" coordsize="0,640" path="m4627,4414l4627,4433m4627,4414l4627,4490e" filled="false" stroked="true" strokeweight=".12pt" strokecolor="#000000">
              <v:path arrowok="t"/>
            </v:shape>
            <v:line style="position:absolute" from="4666,4416" to="4666,4490" stroked="true" strokeweight=".12pt" strokecolor="#000000"/>
            <v:shape style="position:absolute;left:4250;top:4380;width:377;height:34" coordorigin="4250,4380" coordsize="377,34" path="m4250,4380l4265,4385,4282,4387,4303,4390,4322,4394,4346,4397,4373,4399,4399,4402,4428,4404,4459,4406,4490,4409,4524,4411,4558,4414,4627,4414e" filled="false" stroked="true" strokeweight=".12pt" strokecolor="#000000">
              <v:path arrowok="t"/>
            </v:shape>
            <v:line style="position:absolute" from="5042,4404" to="5042,4478" stroked="true" strokeweight=".12pt" strokecolor="#000000"/>
            <v:line style="position:absolute" from="5078,4399" to="5078,4476" stroked="true" strokeweight=".12pt" strokecolor="#000000"/>
            <v:shape style="position:absolute;left:4666;top:4404;width:377;height:12" coordorigin="4666,4404" coordsize="377,12" path="m4666,4416l4810,4416,4846,4414,4882,4414,4915,4411,4949,4409,4982,4409,5011,4406,5042,4404e" filled="false" stroked="true" strokeweight=".12pt" strokecolor="#000000">
              <v:path arrowok="t"/>
            </v:shape>
            <v:shape style="position:absolute;left:5078;top:4358;width:159;height:41" coordorigin="5078,4358" coordsize="159,41" path="m5078,4399l5102,4397,5126,4394,5146,4392,5165,4387,5182,4385,5196,4380,5208,4378,5220,4373,5227,4370,5232,4366,5237,4363,5237,4358e" filled="false" stroked="true" strokeweight=".12pt" strokecolor="#000000">
              <v:path arrowok="t"/>
            </v:shape>
            <v:shape style="position:absolute;left:4212;top:4548;width:1025;height:56" coordorigin="4212,4548" coordsize="1025,56" path="m4212,4548l4214,4550,4217,4555,4224,4560,4234,4562,4246,4567,4260,4570,4274,4574,4294,4577,4315,4582,4339,4584,4363,4586,4390,4591,4418,4594,4447,4596,4478,4598,4512,4598,4546,4601,4582,4603,4870,4603,4906,4601,4939,4598,4970,4598,5002,4596,5033,4594,5062,4591,5088,4586,5112,4584,5136,4582,5155,4577,5174,4574,5191,4570,5206,4567,5218,4562,5225,4560,5232,4555,5237,4550,5237,4548e" filled="false" stroked="true" strokeweight=".12pt" strokecolor="#000000">
              <v:path arrowok="t"/>
            </v:shape>
            <v:shape style="position:absolute;left:4212;top:5256;width:514;height:58" coordorigin="4212,5256" coordsize="514,58" path="m4212,5256l4214,5261,4217,5266,4224,5268,4234,5273,4246,5278,4260,5280,4274,5285,4294,5287,4315,5290,4339,5294,4363,5297,4390,5299,4418,5302,4447,5304,4478,5306,4512,5309,4546,5309,4582,5311,4615,5311,4651,5314,4726,5314e" filled="false" stroked="true" strokeweight=".12pt" strokecolor="#000000">
              <v:path arrowok="t"/>
            </v:shape>
            <v:shape style="position:absolute;left:4212;top:5597;width:514;height:56" coordorigin="4212,5597" coordsize="514,56" path="m4212,5597l4214,5599,4217,5604,4224,5609,4234,5611,4246,5616,4260,5618,4274,5623,4294,5626,4315,5630,4339,5633,4363,5635,4390,5640,4418,5642,4447,5645,4478,5647,4512,5647,4546,5650,4582,5650,4615,5652,4726,5652e" filled="false" stroked="true" strokeweight=".12pt" strokecolor="#000000">
              <v:path arrowok="t"/>
            </v:shape>
            <v:shape style="position:absolute;left:4212;top:6048;width:514;height:58" coordorigin="4212,6048" coordsize="514,58" path="m4212,6048l4214,6053,4217,6058,4224,6060,4234,6065,4246,6070,4260,6072,4274,6077,4294,6079,4315,6082,4339,6086,4363,6089,4390,6091,4418,6094,4447,6096,4478,6098,4512,6101,4546,6103,4582,6103,4615,6106,4726,6106e" filled="false" stroked="true" strokeweight=".12pt" strokecolor="#000000">
              <v:path arrowok="t"/>
            </v:shape>
            <v:shape style="position:absolute;left:4212;top:6238;width:514;height:58" coordorigin="4212,6238" coordsize="514,58" path="m4212,6238l4214,6242,4217,6245,4224,6250,4234,6252,4246,6257,4260,6262,4274,6264,4294,6269,4315,6271,4339,6274,4363,6278,4390,6281,4418,6283,4447,6286,4478,6288,4512,6290,4546,6290,4582,6293,4651,6293,4690,6295,4726,6295e" filled="false" stroked="true" strokeweight=".12pt" strokecolor="#000000">
              <v:path arrowok="t"/>
            </v:shape>
            <v:shape style="position:absolute;left:4212;top:6389;width:514;height:56" coordorigin="4212,6389" coordsize="514,56" path="m4212,6389l4214,6391,4217,6396,4224,6401,4234,6403,4246,6408,4260,6413,4274,6415,4294,6420,4315,6422,4339,6425,4363,6430,4390,6432,4418,6434,4447,6437,4478,6439,4512,6439,4546,6442,4582,6442,4615,6444,4726,6444e" filled="false" stroked="true" strokeweight=".12pt" strokecolor="#000000">
              <v:path arrowok="t"/>
            </v:shape>
            <v:shape style="position:absolute;left:4250;top:4454;width:377;height:36" coordorigin="4250,4454" coordsize="377,36" path="m4250,4454l4265,4459,4282,4464,4303,4466,4322,4469,4346,4474,4373,4476,4399,4478,4428,4481,4459,4483,4490,4486,4524,4486,4558,4488,4591,4488,4627,4490e" filled="false" stroked="true" strokeweight=".12pt" strokecolor="#000000">
              <v:path arrowok="t"/>
            </v:shape>
            <v:shape style="position:absolute;left:4666;top:4478;width:377;height:12" coordorigin="4666,4478" coordsize="377,12" path="m4666,4490l4846,4490,4882,4488,4915,4488,4949,4486,4982,4483,5011,4481,5042,4478e" filled="false" stroked="true" strokeweight=".12pt" strokecolor="#000000">
              <v:path arrowok="t"/>
            </v:shape>
            <v:shape style="position:absolute;left:5078;top:4433;width:159;height:44" coordorigin="5078,4433" coordsize="159,44" path="m5078,4476l5102,4474,5126,4469,5146,4466,5165,4464,5182,4459,5196,4457,5208,4452,5220,4450,5227,4445,5232,4442,5237,4438,5237,4433e" filled="false" stroked="true" strokeweight=".12pt" strokecolor="#000000">
              <v:path arrowok="t"/>
            </v:shape>
            <v:line style="position:absolute" from="4726,5314" to="4726,6449" stroked="true" strokeweight=".179996pt" strokecolor="#000000"/>
            <v:line style="position:absolute" from="6691,4049" to="8314,4049" stroked="true" strokeweight=".12pt" strokecolor="#000000"/>
            <v:line style="position:absolute" from="6691,4805" to="8314,4805" stroked="true" strokeweight=".12pt" strokecolor="#000000"/>
            <v:line style="position:absolute" from="6691,4841" to="8314,4841" stroked="true" strokeweight=".12pt" strokecolor="#000000"/>
            <v:line style="position:absolute" from="8314,4049" to="8314,4805" stroked="true" strokeweight=".12pt" strokecolor="#000000"/>
            <v:line style="position:absolute" from="8314,4841" to="8314,5597" stroked="true" strokeweight=".12pt" strokecolor="#000000"/>
            <v:line style="position:absolute" from="8314,5633" to="8314,6389" stroked="true" strokeweight=".12pt" strokecolor="#000000"/>
            <v:line style="position:absolute" from="8314,6427" to="8314,6444" stroked="true" strokeweight=".179991pt" strokecolor="#000000"/>
            <v:line style="position:absolute" from="8388,3749" to="8388,3974" stroked="true" strokeweight=".12pt" strokecolor="#000000"/>
            <v:line style="position:absolute" from="8388,4049" to="8388,6444" stroked="true" strokeweight=".12pt" strokecolor="#000000"/>
            <v:shape style="position:absolute;left:8388;top:3974;width:75;height:75" coordorigin="8388,3974" coordsize="75,75" path="m8388,3974l8462,3974,8462,4049,8388,4049e" filled="false" stroked="true" strokeweight=".12pt" strokecolor="#000000">
              <v:path arrowok="t"/>
            </v:shape>
            <v:line style="position:absolute" from="8388,6444" to="8314,6444" stroked="true" strokeweight=".12pt" strokecolor="#000000"/>
            <v:line style="position:absolute" from="7212,5597" to="8314,5597" stroked="true" strokeweight=".12pt" strokecolor="#000000"/>
            <v:line style="position:absolute" from="7212,5633" to="8314,5633" stroked="true" strokeweight=".12pt" strokecolor="#000000"/>
            <v:line style="position:absolute" from="7212,6389" to="8314,6389" stroked="true" strokeweight=".12pt" strokecolor="#000000"/>
            <v:line style="position:absolute" from="7212,6427" to="8314,6427" stroked="true" strokeweight=".12pt" strokecolor="#000000"/>
            <v:line style="position:absolute" from="6691,3974" to="8314,3974" stroked="true" strokeweight=".12pt" strokecolor="#000000"/>
            <v:line style="position:absolute" from="8314,3749" to="8314,3974" stroked="true" strokeweight=".12pt" strokecolor="#000000"/>
            <v:line style="position:absolute" from="6691,3749" to="6691,3974" stroked="true" strokeweight=".12pt" strokecolor="#000000"/>
            <v:line style="position:absolute" from="6691,4049" to="6691,4805" stroked="true" strokeweight=".12pt" strokecolor="#000000"/>
            <v:line style="position:absolute" from="6691,4841" to="6691,5268" stroked="true" strokeweight=".12pt" strokecolor="#000000"/>
            <v:line style="position:absolute" from="6691,3749" to="7126,3749" stroked="true" strokeweight=".12pt" strokecolor="#000000"/>
            <v:line style="position:absolute" from="7745,3749" to="8314,3749" stroked="true" strokeweight=".12pt" strokecolor="#000000"/>
            <v:shape style="position:absolute;left:8256;top:3672;width:207;height:77" coordorigin="8256,3672" coordsize="207,77" path="m8256,3672l8388,3672,8462,3672,8462,3749,8388,3749e" filled="false" stroked="true" strokeweight=".12pt" strokecolor="#000000">
              <v:path arrowok="t"/>
            </v:shape>
            <v:shape style="position:absolute;left:6542;top:3974;width:75;height:75" coordorigin="6542,3974" coordsize="75,75" path="m6617,3974l6542,3974,6542,4049,6617,4049e" filled="false" stroked="true" strokeweight=".12pt" strokecolor="#000000">
              <v:path arrowok="t"/>
            </v:shape>
            <v:line style="position:absolute" from="6617,3749" to="6617,3974" stroked="true" strokeweight=".12pt" strokecolor="#000000"/>
            <v:line style="position:absolute" from="6617,4049" to="6617,5266" stroked="true" strokeweight=".12pt" strokecolor="#000000"/>
            <v:shape style="position:absolute;left:-620;top:15840;width:1720;height:640" coordorigin="-620,15840" coordsize="1720,640" path="m6617,3672l6749,3672m6617,3672l6542,3672,6542,3749,6617,3749e" filled="false" stroked="true" strokeweight=".12pt" strokecolor="#000000">
              <v:path arrowok="t"/>
            </v:shape>
            <v:line style="position:absolute" from="6749,3672" to="6749,2011" stroked="true" strokeweight=".12pt" strokecolor="#000000"/>
            <v:line style="position:absolute" from="8257,2011" to="8257,3677" stroked="true" strokeweight=".179994pt" strokecolor="#000000"/>
            <v:shape style="position:absolute;left:6749;top:1786;width:564;height:226" coordorigin="6749,1786" coordsize="564,226" path="m7313,1786l7313,1898,6749,2011e" filled="false" stroked="true" strokeweight=".12pt" strokecolor="#000000">
              <v:path arrowok="t"/>
            </v:shape>
            <v:line style="position:absolute" from="7690,1786" to="7690,1898" stroked="true" strokeweight=".12pt" strokecolor="#000000"/>
            <v:line style="position:absolute" from="7690,1898" to="8256,2011" stroked="true" strokeweight=".12pt" strokecolor="#000000"/>
            <v:line style="position:absolute" from="7214,5314" to="7214,6449" stroked="true" strokeweight=".299995pt" strokecolor="#000000"/>
            <v:line style="position:absolute" from="7025,5486" to="7025,6242" stroked="true" strokeweight=".12pt" strokecolor="#000000"/>
            <v:line style="position:absolute" from="7042,5465" to="7042,6259" stroked="true" strokeweight=".12pt" strokecolor="#000000"/>
            <v:line style="position:absolute" from="6797,5513" to="6797,6266" stroked="true" strokeweight=".12pt" strokecolor="#000000"/>
            <v:line style="position:absolute" from="6778,5494" to="6778,6288" stroked="true" strokeweight=".12pt" strokecolor="#000000"/>
            <v:shape style="position:absolute;left:4726;top:6444;width:2487;height:89" coordorigin="4726,6444" coordsize="2487,89" path="m4726,6444l4795,6456,4870,6466,4942,6475,5016,6482,5093,6490,5170,6497,5246,6504,5326,6511,5405,6516,5484,6521,5563,6523,5645,6526,5724,6528,5806,6530,5887,6530,5969,6533,6050,6530,6132,6530,6211,6528,6293,6526,6374,6523,6454,6521,6533,6516,6612,6511,6691,6504,6768,6497,6845,6490,6922,6482,6996,6475,7068,6466,7140,6456,7212,6444e" filled="false" stroked="true" strokeweight=".12pt" strokecolor="#000000">
              <v:path arrowok="t"/>
            </v:shape>
            <v:shape style="position:absolute;left:6797;top:6242;width:228;height:24" coordorigin="6797,6242" coordsize="228,24" path="m6797,6266l6910,6254,7025,6242e" filled="false" stroked="true" strokeweight=".12pt" strokecolor="#000000">
              <v:path arrowok="t"/>
            </v:shape>
            <v:shape style="position:absolute;left:6778;top:6259;width:264;height:29" coordorigin="6778,6259" coordsize="264,29" path="m6778,6288l6910,6274,7042,6259e" filled="false" stroked="true" strokeweight=".12pt" strokecolor="#000000">
              <v:path arrowok="t"/>
            </v:shape>
            <v:shape style="position:absolute;left:4726;top:5256;width:2487;height:116" coordorigin="4726,5256" coordsize="2487,116" path="m7212,5314l7210,5316,7207,5318,7200,5321,7190,5323,7178,5326,7164,5330,7147,5333,7128,5335,7104,5338,7080,5340,7054,5340,7022,5342,6991,5345,6958,5347,6922,5350,6883,5352,6842,5354,6802,5357,6756,5357,6710,5359,6665,5362,6614,5362,6564,5364,6514,5364,6461,5366,6408,5366,6353,5369,6127,5369,6070,5371,5839,5371,5782,5369,5611,5369,5556,5366,5450,5366,5398,5364,5347,5362,5297,5362,5249,5359,5203,5359,5158,5357,5114,5354,5074,5352,5035,5352,4997,5350,4963,5347,4930,5345,4898,5342,4870,5340,4846,5338,4822,5335,4800,5333,4781,5330,4766,5328,4752,5326,4742,5323,4733,5321,4728,5318,4726,5314,4726,5311,4728,5309,4733,5306,4742,5304,4752,5302,4766,5299,4781,5297,4800,5294,4822,5292,4846,5290,4870,5287,4898,5285,4930,5282,4963,5280,4997,5278,5035,5275,5074,5273,5114,5273,5158,5270,5203,5268,5249,5268,5297,5266,5347,5263,5398,5263,5450,5261,5503,5261,5556,5258,5724,5258,5782,5256,6185,5256,6242,5258,6353,5258,6408,5261,6461,5261,6514,5263,6564,5263,6614,5266,6665,5266,6710,5268,6756,5270,6802,5270,6842,5273,6883,5275,6922,5278,6958,5280,6991,5280,7022,5282,7054,5285,7080,5287,7104,5290,7128,5292,7190,5302,7200,5306,7207,5309,7210,5311,7212,5314xe" filled="false" stroked="true" strokeweight=".12pt" strokecolor="#000000">
              <v:path arrowok="t"/>
            </v:shape>
            <v:shape style="position:absolute;left:6797;top:5486;width:228;height:27" coordorigin="6797,5486" coordsize="228,27" path="m6797,5513l6910,5501,7025,5486e" filled="false" stroked="true" strokeweight=".12pt" strokecolor="#000000">
              <v:path arrowok="t"/>
            </v:shape>
            <v:shape style="position:absolute;left:6778;top:5465;width:264;height:29" coordorigin="6778,5465" coordsize="264,29" path="m6778,5494l6866,5486,6955,5477,7042,5465e" filled="false" stroked="true" strokeweight=".12pt" strokecolor="#000000">
              <v:path arrowok="t"/>
            </v:shape>
            <v:line style="position:absolute" from="8426,6427" to="9190,6427" stroked="true" strokeweight=".12pt" strokecolor="#000000"/>
            <v:line style="position:absolute" from="8369,3672" to="9190,3672" stroked="true" strokeweight=".12pt" strokecolor="#000000"/>
            <v:line style="position:absolute" from="9113,6358" to="9113,5213" stroked="true" strokeweight=".12pt" strokecolor="#000000"/>
            <v:line style="position:absolute" from="9113,3739" to="9113,4884" stroked="true" strokeweight=".12pt" strokecolor="#000000"/>
            <v:shape style="position:absolute;left:9103;top:3672;width:22;height:2756" coordorigin="9103,3672" coordsize="22,2756" path="m9125,6358l9103,6358,9113,6427,9125,6358m9125,3739l9113,3672,9103,3739,9125,3739e" filled="true" fillcolor="#000000" stroked="false">
              <v:path arrowok="t"/>
              <v:fill type="solid"/>
            </v:shape>
            <v:line style="position:absolute" from="9115,3676" to="9118,3676" stroked="true" strokeweight=".12pt" strokecolor="#000000"/>
            <v:line style="position:absolute" from="8575,3672" to="9190,3672" stroked="true" strokeweight=".12pt" strokecolor="#000000"/>
            <v:line style="position:absolute" from="8369,2011" to="9190,2011" stroked="true" strokeweight=".12pt" strokecolor="#000000"/>
            <v:line style="position:absolute" from="9113,3605" to="9113,3007" stroked="true" strokeweight=".12pt" strokecolor="#000000"/>
            <v:line style="position:absolute" from="9113,2081" to="9113,2676" stroked="true" strokeweight=".12pt" strokecolor="#000000"/>
            <v:shape style="position:absolute;left:9103;top:2011;width:22;height:1661" coordorigin="9103,2011" coordsize="22,1661" path="m9125,3605l9103,3605,9113,3672,9125,3605m9125,2081l9113,2011,9103,2081,9125,2081e" filled="true" fillcolor="#000000" stroked="false">
              <v:path arrowok="t"/>
              <v:fill type="solid"/>
            </v:shape>
            <v:shape style="position:absolute;left:8465;top:2015;width:653;height:1661" coordorigin="8465,2015" coordsize="653,1661" path="m8465,3676l8467,3676m9115,2015l9118,2015e" filled="false" stroked="true" strokeweight=".12pt" strokecolor="#000000">
              <v:path arrowok="t"/>
            </v:shape>
            <v:line style="position:absolute" from="7325,6444" to="8822,6444" stroked="true" strokeweight=".12pt" strokecolor="#000000"/>
            <v:line style="position:absolute" from="7325,5314" to="8822,5314" stroked="true" strokeweight=".12pt" strokecolor="#000000"/>
            <v:line style="position:absolute" from="8748,6377" to="8748,6043" stroked="true" strokeweight=".12pt" strokecolor="#000000"/>
            <v:line style="position:absolute" from="8748,5381" to="8748,5714" stroked="true" strokeweight=".12pt" strokecolor="#000000"/>
            <v:shape style="position:absolute;left:8736;top:5314;width:24;height:1131" coordorigin="8736,5314" coordsize="24,1131" path="m8760,6377l8736,6377,8748,6444,8760,6377m8760,5381l8748,5314,8736,5381,8760,5381e" filled="true" fillcolor="#000000" stroked="false">
              <v:path arrowok="t"/>
              <v:fill type="solid"/>
            </v:shape>
            <v:shape style="position:absolute;left:4214;top:4549;width:4536;height:766" coordorigin="4214,4549" coordsize="4536,766" path="m8748,5315l8750,5315m4214,5260l4217,5260m4214,4549l4217,4549e" filled="false" stroked="true" strokeweight=".12pt" strokecolor="#000000">
              <v:path arrowok="t"/>
            </v:shape>
            <v:shape style="position:absolute;left:6749;top:2011;width:1508;height:92" coordorigin="6749,2011" coordsize="1508,92" path="m6749,2011l6790,2026,6833,2038,6878,2047,6926,2059,6977,2066,7027,2076,7080,2083,7188,2093,7303,2100,7363,2102,7486,2102,7548,2100,7610,2098,7673,2093,7738,2088,7802,2083,7867,2076,7932,2066,7997,2059,8062,2047,8126,2038,8191,2026,8256,2011e" filled="false" stroked="true" strokeweight=".12pt" strokecolor="#000000">
              <v:path arrowok="t"/>
            </v:shape>
            <v:shape style="position:absolute;left:6749;top:3672;width:1508;height:89" coordorigin="6749,3672" coordsize="1508,89" path="m6749,3672l6790,3684,6833,3698,6878,3708,6926,3718,6977,3727,7027,3734,7080,3742,7133,3749,7188,3754,7246,3756,7303,3758,7363,3761,7486,3761,7548,3758,7610,3756,7673,3754,7738,3749,7802,3742,7867,3734,7932,3727,7997,3718,8062,3708,8126,3698,8191,3684,8256,3672e" filled="false" stroked="true" strokeweight=".12pt" strokecolor="#000000">
              <v:path arrowok="t"/>
            </v:shape>
            <v:shape style="position:absolute;left:7315;top:1766;width:375;height:39" coordorigin="7315,1766" coordsize="375,39" path="m7690,1786l7690,1783,7685,1781,7680,1778,7670,1778,7658,1776,7644,1774,7630,1771,7613,1771,7594,1769,7531,1769,7507,1766,7486,1766,7464,1769,7421,1769,7402,1771,7382,1771,7368,1774,7354,1774,7315,1786,7315,1788,7318,1790,7322,1790,7330,1793,7339,1795,7354,1798,7368,1798,7382,1800,7402,1802,7442,1802,7464,1805,7531,1805,7553,1802,7594,1802,7613,1800,7630,1800,7644,1798,7658,1795,7670,1795,7680,1793,7685,1790,7690,1788,7690,1786xe" filled="false" stroked="true" strokeweight=".12pt" strokecolor="#000000">
              <v:path arrowok="t"/>
            </v:shape>
            <v:line style="position:absolute" from="4212,6502" to="4212,7126" stroked="true" strokeweight=".12pt" strokecolor="#000000"/>
            <v:line style="position:absolute" from="4145,7051" to="4078,7051" stroked="true" strokeweight=".12pt" strokecolor="#000000"/>
            <v:line style="position:absolute" from="4793,7051" to="4860,7051" stroked="true" strokeweight=".12pt" strokecolor="#000000"/>
            <v:line style="position:absolute" from="4212,7051" to="4303,7051" stroked="true" strokeweight=".12pt" strokecolor="#000000"/>
            <v:line style="position:absolute" from="4726,7051" to="4634,7051" stroked="true" strokeweight=".12pt" strokecolor="#000000"/>
            <v:shape style="position:absolute;left:4145;top:7039;width:649;height:24" coordorigin="4145,7039" coordsize="649,24" path="m4212,7051l4145,7039,4145,7063,4212,7051m4793,7039l4726,7051,4793,7063,4793,7039e" filled="true" fillcolor="#000000" stroked="false">
              <v:path arrowok="t"/>
              <v:fill type="solid"/>
            </v:shape>
            <v:line style="position:absolute" from="4726,6559" to="4726,7126" stroked="true" strokeweight=".12pt" strokecolor="#000000"/>
            <v:line style="position:absolute" from="5237,6473" to="5237,7116" stroked="true" strokeweight=".12pt" strokecolor="#000000"/>
            <v:line style="position:absolute" from="4658,7039" to="4589,7039" stroked="true" strokeweight=".12pt" strokecolor="#000000"/>
            <v:line style="position:absolute" from="4726,7039" to="4817,7039" stroked="true" strokeweight=".12pt" strokecolor="#000000"/>
            <v:line style="position:absolute" from="5237,7039" to="5148,7039" stroked="true" strokeweight=".12pt" strokecolor="#000000"/>
            <v:shape style="position:absolute;left:4658;top:7027;width:648;height:24" coordorigin="4658,7027" coordsize="648,24" path="m4726,7039l4658,7027,4658,7051,4726,7039m5306,7027l5237,7039,5306,7051,5306,7027e" filled="true" fillcolor="#000000" stroked="false">
              <v:path arrowok="t"/>
              <v:fill type="solid"/>
            </v:shape>
            <v:shape style="position:absolute;left:5239;top:6364;width:3;height:680" coordorigin="5239,6364" coordsize="3,680" path="m5239,6364l5242,6364m5239,7043l5242,7043e" filled="false" stroked="true" strokeweight=".12pt" strokecolor="#000000">
              <v:path arrowok="t"/>
            </v:shape>
            <v:line style="position:absolute" from="5237,6617" to="5237,7116" stroked="true" strokeweight=".12pt" strokecolor="#000000"/>
            <v:line style="position:absolute" from="6749,6612" to="6749,7126" stroked="true" strokeweight=".12pt" strokecolor="#000000"/>
            <v:shape style="position:absolute;left:5237;top:7027;width:1512;height:24" coordorigin="5237,7027" coordsize="1512,24" path="m5306,7027l5237,7039,5306,7051,5306,7027m6749,7039l6682,7027,6682,7051,6749,7039e" filled="true" fillcolor="#000000" stroked="false">
              <v:path arrowok="t"/>
              <v:fill type="solid"/>
            </v:shape>
            <v:shape style="position:absolute;left:5239;top:6505;width:1512;height:2" coordorigin="5239,6505" coordsize="1512,0" path="m5239,6505l5242,6505m6749,6505l6751,6505e" filled="false" stroked="true" strokeweight=".12pt" strokecolor="#000000">
              <v:path arrowok="t"/>
            </v:shape>
            <v:line style="position:absolute" from="8257,6751" to="8257,7126" stroked="true" strokeweight=".179991pt" strokecolor="#000000"/>
            <v:shape style="position:absolute;left:6749;top:7039;width:1508;height:24" coordorigin="6749,7039" coordsize="1508,24" path="m6816,7039l6749,7051,6816,7063,6816,7039m8256,7051l8189,7039,8189,7063,8256,7051e" filled="true" fillcolor="#000000" stroked="false">
              <v:path arrowok="t"/>
              <v:fill type="solid"/>
            </v:shape>
            <v:shape style="position:absolute;left:6749;top:6503;width:1510;height:137" coordorigin="6749,6503" coordsize="1510,137" path="m6749,6503l6751,6503m8256,6640l8258,6640e" filled="false" stroked="true" strokeweight=".12pt" strokecolor="#000000">
              <v:path arrowok="t"/>
            </v:shape>
            <w10:wrap type="none"/>
          </v:group>
        </w:pict>
      </w:r>
      <w:r>
        <w:rPr/>
        <w:pict>
          <v:group style="position:absolute;margin-left:157.725006pt;margin-top:253.365005pt;width:47.35pt;height:66.150pt;mso-position-horizontal-relative:page;mso-position-vertical-relative:page;z-index:-1526320" coordorigin="3155,5067" coordsize="947,1323">
            <v:line style="position:absolute" from="4099,6389" to="3156,6389" stroked="true" strokeweight=".12pt" strokecolor="#000000"/>
            <v:line style="position:absolute" from="3230,6319" to="3230,5172" stroked="true" strokeweight=".12pt" strokecolor="#000000"/>
            <v:shape style="position:absolute;left:3221;top:6319;width:22;height:70" coordorigin="3221,6319" coordsize="22,70" path="m3242,6319l3221,6319,3230,6389,3242,6319xe" filled="true" fillcolor="#000000" stroked="false">
              <v:path arrowok="t"/>
              <v:fill type="solid"/>
            </v:shape>
            <v:line style="position:absolute" from="4099,6389" to="3636,6389" stroked="true" strokeweight=".12pt" strokecolor="#000000"/>
            <v:line style="position:absolute" from="4099,5256" to="3636,5256" stroked="true" strokeweight=".12pt" strokecolor="#000000"/>
            <v:line style="position:absolute" from="3710,6319" to="3710,5986" stroked="true" strokeweight=".12pt" strokecolor="#000000"/>
            <v:line style="position:absolute" from="3710,5326" to="3710,5659" stroked="true" strokeweight=".12pt" strokecolor="#000000"/>
            <v:shape style="position:absolute;left:3698;top:5256;width:24;height:1133" coordorigin="3698,5256" coordsize="24,1133" path="m3722,6319l3698,6319,3710,6389,3722,6319m3722,5326l3710,5256,3698,5326,3722,5326e" filled="true" fillcolor="#000000" stroked="false">
              <v:path arrowok="t"/>
              <v:fill type="solid"/>
            </v:shape>
            <v:line style="position:absolute" from="3713,5260" to="3715,5260" stroked="true" strokeweight=".12pt" strokecolor="#000000"/>
            <v:line style="position:absolute" from="4099,5256" to="3636,5256" stroked="true" strokeweight=".12pt" strokecolor="#000000"/>
            <v:line style="position:absolute" from="3710,5189" to="3710,5069" stroked="true" strokeweight=".12pt" strokecolor="#000000"/>
            <v:shape style="position:absolute;left:3698;top:5189;width:24;height:68" coordorigin="3698,5189" coordsize="24,68" path="m3722,5189l3698,5189,3710,5256,3722,5189xe" filled="true" fillcolor="#000000" stroked="false">
              <v:path arrowok="t"/>
              <v:fill type="solid"/>
            </v:shape>
            <w10:wrap type="none"/>
          </v:group>
        </w:pict>
      </w:r>
      <w:r>
        <w:rPr/>
        <w:pict>
          <v:shape style="position:absolute;margin-left:157.960144pt;margin-top:244.819595pt;width:7.35pt;height:11.45pt;mso-position-horizontal-relative:page;mso-position-vertical-relative:page;z-index:5560" type="#_x0000_t202" filled="false" stroked="false">
            <v:textbox inset="0,0,0,0" style="layout-flow:vertical;mso-layout-flow-alt:bottom-to-top">
              <w:txbxContent>
                <w:p>
                  <w:pPr>
                    <w:spacing w:before="4"/>
                    <w:ind w:left="20" w:right="-80" w:firstLine="0"/>
                    <w:jc w:val="left"/>
                    <w:rPr>
                      <w:rFonts w:ascii="Calibri"/>
                      <w:sz w:val="10"/>
                    </w:rPr>
                  </w:pPr>
                  <w:r>
                    <w:rPr>
                      <w:rFonts w:ascii="Calibri"/>
                      <w:spacing w:val="1"/>
                      <w:w w:val="106"/>
                      <w:sz w:val="10"/>
                    </w:rPr>
                    <w:t>3</w:t>
                  </w:r>
                  <w:r>
                    <w:rPr>
                      <w:rFonts w:ascii="Calibri"/>
                      <w:spacing w:val="-1"/>
                      <w:w w:val="106"/>
                      <w:sz w:val="10"/>
                    </w:rPr>
                    <w:t>,</w:t>
                  </w:r>
                  <w:r>
                    <w:rPr>
                      <w:rFonts w:ascii="Calibri"/>
                      <w:spacing w:val="-2"/>
                      <w:w w:val="106"/>
                      <w:sz w:val="10"/>
                    </w:rPr>
                    <w:t>6</w:t>
                  </w:r>
                  <w:r>
                    <w:rPr>
                      <w:rFonts w:ascii="Calibri"/>
                      <w:w w:val="106"/>
                      <w:sz w:val="10"/>
                    </w:rPr>
                    <w:t>6</w:t>
                  </w:r>
                </w:p>
              </w:txbxContent>
            </v:textbox>
            <w10:wrap type="none"/>
          </v:shape>
        </w:pict>
      </w:r>
      <w:r>
        <w:rPr/>
        <w:pict>
          <v:shape style="position:absolute;margin-left:181.960144pt;margin-top:285.619598pt;width:7.35pt;height:11.45pt;mso-position-horizontal-relative:page;mso-position-vertical-relative:page;z-index:5584" type="#_x0000_t202" filled="false" stroked="false">
            <v:textbox inset="0,0,0,0" style="layout-flow:vertical;mso-layout-flow-alt:bottom-to-top">
              <w:txbxContent>
                <w:p>
                  <w:pPr>
                    <w:spacing w:before="4"/>
                    <w:ind w:left="20" w:right="-80" w:firstLine="0"/>
                    <w:jc w:val="left"/>
                    <w:rPr>
                      <w:rFonts w:ascii="Calibri"/>
                      <w:sz w:val="10"/>
                    </w:rPr>
                  </w:pPr>
                  <w:r>
                    <w:rPr>
                      <w:rFonts w:ascii="Calibri"/>
                      <w:spacing w:val="1"/>
                      <w:w w:val="106"/>
                      <w:sz w:val="10"/>
                    </w:rPr>
                    <w:t>1</w:t>
                  </w:r>
                  <w:r>
                    <w:rPr>
                      <w:rFonts w:ascii="Calibri"/>
                      <w:spacing w:val="-1"/>
                      <w:w w:val="106"/>
                      <w:sz w:val="10"/>
                    </w:rPr>
                    <w:t>,</w:t>
                  </w:r>
                  <w:r>
                    <w:rPr>
                      <w:rFonts w:ascii="Calibri"/>
                      <w:spacing w:val="-2"/>
                      <w:w w:val="106"/>
                      <w:sz w:val="10"/>
                    </w:rPr>
                    <w:t>5</w:t>
                  </w:r>
                  <w:r>
                    <w:rPr>
                      <w:rFonts w:ascii="Calibri"/>
                      <w:w w:val="106"/>
                      <w:sz w:val="10"/>
                    </w:rPr>
                    <w:t>0</w:t>
                  </w:r>
                </w:p>
              </w:txbxContent>
            </v:textbox>
            <w10:wrap type="none"/>
          </v:shape>
        </w:pict>
      </w:r>
      <w:r>
        <w:rPr/>
        <w:pict>
          <v:shape style="position:absolute;margin-left:181.960144pt;margin-top:239.417175pt;width:7.35pt;height:11.55pt;mso-position-horizontal-relative:page;mso-position-vertical-relative:page;z-index:5608" type="#_x0000_t202" filled="false" stroked="false">
            <v:textbox inset="0,0,0,0" style="layout-flow:vertical;mso-layout-flow-alt:bottom-to-top">
              <w:txbxContent>
                <w:p>
                  <w:pPr>
                    <w:spacing w:before="4"/>
                    <w:ind w:left="20" w:right="-83" w:firstLine="0"/>
                    <w:jc w:val="left"/>
                    <w:rPr>
                      <w:rFonts w:ascii="Calibri"/>
                      <w:sz w:val="10"/>
                    </w:rPr>
                  </w:pPr>
                  <w:r>
                    <w:rPr>
                      <w:rFonts w:ascii="Calibri"/>
                      <w:spacing w:val="1"/>
                      <w:w w:val="106"/>
                      <w:sz w:val="10"/>
                    </w:rPr>
                    <w:t>0</w:t>
                  </w:r>
                  <w:r>
                    <w:rPr>
                      <w:rFonts w:ascii="Calibri"/>
                      <w:spacing w:val="-1"/>
                      <w:w w:val="106"/>
                      <w:sz w:val="10"/>
                    </w:rPr>
                    <w:t>,</w:t>
                  </w:r>
                  <w:r>
                    <w:rPr>
                      <w:rFonts w:ascii="Calibri"/>
                      <w:spacing w:val="1"/>
                      <w:w w:val="106"/>
                      <w:sz w:val="10"/>
                    </w:rPr>
                    <w:t>9</w:t>
                  </w:r>
                  <w:r>
                    <w:rPr>
                      <w:rFonts w:ascii="Calibri"/>
                      <w:w w:val="106"/>
                      <w:sz w:val="10"/>
                    </w:rPr>
                    <w:t>4</w:t>
                  </w:r>
                </w:p>
              </w:txbxContent>
            </v:textbox>
            <w10:wrap type="none"/>
          </v:shape>
        </w:pict>
      </w:r>
      <w:r>
        <w:rPr/>
        <w:pict>
          <v:shape style="position:absolute;margin-left:181.960144pt;margin-top:201.979599pt;width:7.35pt;height:11.45pt;mso-position-horizontal-relative:page;mso-position-vertical-relative:page;z-index:5632" type="#_x0000_t202" filled="false" stroked="false">
            <v:textbox inset="0,0,0,0" style="layout-flow:vertical;mso-layout-flow-alt:bottom-to-top">
              <w:txbxContent>
                <w:p>
                  <w:pPr>
                    <w:spacing w:before="4"/>
                    <w:ind w:left="20" w:right="-80" w:firstLine="0"/>
                    <w:jc w:val="left"/>
                    <w:rPr>
                      <w:rFonts w:ascii="Calibri"/>
                      <w:sz w:val="10"/>
                    </w:rPr>
                  </w:pPr>
                  <w:r>
                    <w:rPr>
                      <w:rFonts w:ascii="Calibri"/>
                      <w:spacing w:val="-2"/>
                      <w:w w:val="106"/>
                      <w:sz w:val="10"/>
                    </w:rPr>
                    <w:t>1</w:t>
                  </w:r>
                  <w:r>
                    <w:rPr>
                      <w:rFonts w:ascii="Calibri"/>
                      <w:spacing w:val="-1"/>
                      <w:w w:val="106"/>
                      <w:sz w:val="10"/>
                    </w:rPr>
                    <w:t>,</w:t>
                  </w:r>
                  <w:r>
                    <w:rPr>
                      <w:rFonts w:ascii="Calibri"/>
                      <w:spacing w:val="1"/>
                      <w:w w:val="106"/>
                      <w:sz w:val="10"/>
                    </w:rPr>
                    <w:t>0</w:t>
                  </w:r>
                  <w:r>
                    <w:rPr>
                      <w:rFonts w:ascii="Calibri"/>
                      <w:w w:val="106"/>
                      <w:sz w:val="10"/>
                    </w:rPr>
                    <w:t>5</w:t>
                  </w:r>
                </w:p>
              </w:txbxContent>
            </v:textbox>
            <w10:wrap type="none"/>
          </v:shape>
        </w:pict>
      </w:r>
      <w:r>
        <w:rPr/>
        <w:pict>
          <v:shape style="position:absolute;margin-left:433.720062pt;margin-top:288.499603pt;width:7.35pt;height:11.45pt;mso-position-horizontal-relative:page;mso-position-vertical-relative:page;z-index:5656" type="#_x0000_t202" filled="false" stroked="false">
            <v:textbox inset="0,0,0,0" style="layout-flow:vertical;mso-layout-flow-alt:bottom-to-top">
              <w:txbxContent>
                <w:p>
                  <w:pPr>
                    <w:spacing w:before="4"/>
                    <w:ind w:left="20" w:right="-80" w:firstLine="0"/>
                    <w:jc w:val="left"/>
                    <w:rPr>
                      <w:rFonts w:ascii="Calibri"/>
                      <w:sz w:val="10"/>
                    </w:rPr>
                  </w:pPr>
                  <w:r>
                    <w:rPr>
                      <w:rFonts w:ascii="Calibri"/>
                      <w:spacing w:val="1"/>
                      <w:w w:val="106"/>
                      <w:sz w:val="10"/>
                    </w:rPr>
                    <w:t>1</w:t>
                  </w:r>
                  <w:r>
                    <w:rPr>
                      <w:rFonts w:ascii="Calibri"/>
                      <w:spacing w:val="-1"/>
                      <w:w w:val="106"/>
                      <w:sz w:val="10"/>
                    </w:rPr>
                    <w:t>,</w:t>
                  </w:r>
                  <w:r>
                    <w:rPr>
                      <w:rFonts w:ascii="Calibri"/>
                      <w:spacing w:val="-2"/>
                      <w:w w:val="106"/>
                      <w:sz w:val="10"/>
                    </w:rPr>
                    <w:t>5</w:t>
                  </w:r>
                  <w:r>
                    <w:rPr>
                      <w:rFonts w:ascii="Calibri"/>
                      <w:w w:val="106"/>
                      <w:sz w:val="10"/>
                    </w:rPr>
                    <w:t>0</w:t>
                  </w:r>
                </w:p>
              </w:txbxContent>
            </v:textbox>
            <w10:wrap type="none"/>
          </v:shape>
        </w:pict>
      </w:r>
      <w:r>
        <w:rPr/>
        <w:pict>
          <v:shape style="position:absolute;margin-left:452.080048pt;margin-top:246.737167pt;width:7.35pt;height:11.55pt;mso-position-horizontal-relative:page;mso-position-vertical-relative:page;z-index:5680" type="#_x0000_t202" filled="false" stroked="false">
            <v:textbox inset="0,0,0,0" style="layout-flow:vertical;mso-layout-flow-alt:bottom-to-top">
              <w:txbxContent>
                <w:p>
                  <w:pPr>
                    <w:spacing w:before="4"/>
                    <w:ind w:left="20" w:right="-83" w:firstLine="0"/>
                    <w:jc w:val="left"/>
                    <w:rPr>
                      <w:rFonts w:ascii="Calibri"/>
                      <w:sz w:val="10"/>
                    </w:rPr>
                  </w:pPr>
                  <w:r>
                    <w:rPr>
                      <w:rFonts w:ascii="Calibri"/>
                      <w:spacing w:val="1"/>
                      <w:w w:val="106"/>
                      <w:sz w:val="10"/>
                    </w:rPr>
                    <w:t>3</w:t>
                  </w:r>
                  <w:r>
                    <w:rPr>
                      <w:rFonts w:ascii="Calibri"/>
                      <w:spacing w:val="-1"/>
                      <w:w w:val="106"/>
                      <w:sz w:val="10"/>
                    </w:rPr>
                    <w:t>,</w:t>
                  </w:r>
                  <w:r>
                    <w:rPr>
                      <w:rFonts w:ascii="Calibri"/>
                      <w:spacing w:val="1"/>
                      <w:w w:val="106"/>
                      <w:sz w:val="10"/>
                    </w:rPr>
                    <w:t>6</w:t>
                  </w:r>
                  <w:r>
                    <w:rPr>
                      <w:rFonts w:ascii="Calibri"/>
                      <w:w w:val="106"/>
                      <w:sz w:val="10"/>
                    </w:rPr>
                    <w:t>5</w:t>
                  </w:r>
                </w:p>
              </w:txbxContent>
            </v:textbox>
            <w10:wrap type="none"/>
          </v:shape>
        </w:pict>
      </w:r>
      <w:r>
        <w:rPr/>
        <w:pict>
          <v:shape style="position:absolute;margin-left:452.080048pt;margin-top:136.579697pt;width:7.35pt;height:11.45pt;mso-position-horizontal-relative:page;mso-position-vertical-relative:page;z-index:5704" type="#_x0000_t202" filled="false" stroked="false">
            <v:textbox inset="0,0,0,0" style="layout-flow:vertical;mso-layout-flow-alt:bottom-to-top">
              <w:txbxContent>
                <w:p>
                  <w:pPr>
                    <w:spacing w:before="4"/>
                    <w:ind w:left="20" w:right="-80" w:firstLine="0"/>
                    <w:jc w:val="left"/>
                    <w:rPr>
                      <w:rFonts w:ascii="Calibri"/>
                      <w:sz w:val="10"/>
                    </w:rPr>
                  </w:pPr>
                  <w:r>
                    <w:rPr>
                      <w:rFonts w:ascii="Calibri"/>
                      <w:spacing w:val="1"/>
                      <w:w w:val="106"/>
                      <w:sz w:val="10"/>
                    </w:rPr>
                    <w:t>2</w:t>
                  </w:r>
                  <w:r>
                    <w:rPr>
                      <w:rFonts w:ascii="Calibri"/>
                      <w:spacing w:val="-1"/>
                      <w:w w:val="106"/>
                      <w:sz w:val="10"/>
                    </w:rPr>
                    <w:t>,</w:t>
                  </w:r>
                  <w:r>
                    <w:rPr>
                      <w:rFonts w:ascii="Calibri"/>
                      <w:spacing w:val="-2"/>
                      <w:w w:val="106"/>
                      <w:sz w:val="10"/>
                    </w:rPr>
                    <w:t>2</w:t>
                  </w:r>
                  <w:r>
                    <w:rPr>
                      <w:rFonts w:ascii="Calibri"/>
                      <w:w w:val="106"/>
                      <w:sz w:val="10"/>
                    </w:rPr>
                    <w:t>0</w:t>
                  </w:r>
                </w:p>
              </w:txbxContent>
            </v:textbox>
            <w10:wrap type="none"/>
          </v:shape>
        </w:pic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9"/>
        </w:rPr>
      </w:pPr>
    </w:p>
    <w:p>
      <w:pPr>
        <w:pStyle w:val="BodyText"/>
        <w:ind w:left="2226"/>
        <w:rPr>
          <w:sz w:val="20"/>
        </w:rPr>
      </w:pPr>
      <w:r>
        <w:rPr>
          <w:sz w:val="20"/>
        </w:rPr>
        <w:drawing>
          <wp:inline distT="0" distB="0" distL="0" distR="0">
            <wp:extent cx="3838577" cy="2878550"/>
            <wp:effectExtent l="0" t="0" r="0" b="0"/>
            <wp:docPr id="13" name="image33.jpeg" descr=""/>
            <wp:cNvGraphicFramePr>
              <a:graphicFrameLocks noChangeAspect="1"/>
            </wp:cNvGraphicFramePr>
            <a:graphic>
              <a:graphicData uri="http://schemas.openxmlformats.org/drawingml/2006/picture">
                <pic:pic>
                  <pic:nvPicPr>
                    <pic:cNvPr id="14" name="image33.jpeg"/>
                    <pic:cNvPicPr/>
                  </pic:nvPicPr>
                  <pic:blipFill>
                    <a:blip r:embed="rId39" cstate="print"/>
                    <a:stretch>
                      <a:fillRect/>
                    </a:stretch>
                  </pic:blipFill>
                  <pic:spPr>
                    <a:xfrm>
                      <a:off x="0" y="0"/>
                      <a:ext cx="3838577" cy="2878550"/>
                    </a:xfrm>
                    <a:prstGeom prst="rect">
                      <a:avLst/>
                    </a:prstGeom>
                  </pic:spPr>
                </pic:pic>
              </a:graphicData>
            </a:graphic>
          </wp:inline>
        </w:drawing>
      </w:r>
      <w:r>
        <w:rPr>
          <w:sz w:val="20"/>
        </w:rPr>
      </w:r>
    </w:p>
    <w:p>
      <w:pPr>
        <w:spacing w:before="82"/>
        <w:ind w:left="2315" w:right="1562" w:firstLine="0"/>
        <w:jc w:val="left"/>
        <w:rPr>
          <w:b/>
          <w:sz w:val="18"/>
        </w:rPr>
      </w:pPr>
      <w:r>
        <w:rPr/>
        <w:pict>
          <v:group style="position:absolute;margin-left:144.345001pt;margin-top:-529.273193pt;width:321.05pt;height:531.75pt;mso-position-horizontal-relative:page;mso-position-vertical-relative:paragraph;z-index:-1526272" coordorigin="2887,-10585" coordsize="6421,10635">
            <v:line style="position:absolute" from="4099,-8468" to="3156,-8468" stroked="true" strokeweight=".12pt" strokecolor="#000000"/>
            <v:line style="position:absolute" from="3230,-8399" to="3230,-7254" stroked="true" strokeweight=".12pt" strokecolor="#000000"/>
            <v:shape style="position:absolute;left:3221;top:-8468;width:22;height:70" coordorigin="3221,-8468" coordsize="22,70" path="m3230,-8468l3221,-8399,3242,-8399,3230,-8468xe" filled="true" fillcolor="#000000" stroked="false">
              <v:path arrowok="t"/>
              <v:fill type="solid"/>
            </v:shape>
            <v:line style="position:absolute" from="3233,-8465" to="3235,-8465" stroked="true" strokeweight=".12pt" strokecolor="#000000"/>
            <v:line style="position:absolute" from="4099,-7547" to="3636,-7547" stroked="true" strokeweight=".12pt" strokecolor="#000000"/>
            <v:line style="position:absolute" from="3710,-7480" to="3710,-7360" stroked="true" strokeweight=".12pt" strokecolor="#000000"/>
            <v:shape style="position:absolute;left:3698;top:-7547;width:24;height:68" coordorigin="3698,-7547" coordsize="24,68" path="m3710,-7547l3698,-7480,3722,-7480,3710,-7547xe" filled="true" fillcolor="#000000" stroked="false">
              <v:path arrowok="t"/>
              <v:fill type="solid"/>
            </v:shape>
            <v:line style="position:absolute" from="3713,-7546" to="3715,-7546" stroked="true" strokeweight=".12pt" strokecolor="#000000"/>
            <v:line style="position:absolute" from="4099,-7547" to="3636,-7547" stroked="true" strokeweight=".12pt" strokecolor="#000000"/>
            <v:line style="position:absolute" from="4099,-8339" to="3636,-8339" stroked="true" strokeweight=".12pt" strokecolor="#000000"/>
            <v:line style="position:absolute" from="3710,-7616" to="3710,-7782" stroked="true" strokeweight=".12pt" strokecolor="#000000"/>
            <v:line style="position:absolute" from="3710,-8272" to="3710,-8106" stroked="true" strokeweight=".12pt" strokecolor="#000000"/>
            <v:shape style="position:absolute;left:3698;top:-8339;width:24;height:793" coordorigin="3698,-8339" coordsize="24,793" path="m3722,-7616l3698,-7616,3710,-7547,3722,-7616m3722,-8272l3710,-8339,3698,-8272,3722,-8272e" filled="true" fillcolor="#000000" stroked="false">
              <v:path arrowok="t"/>
              <v:fill type="solid"/>
            </v:shape>
            <v:line style="position:absolute" from="3713,-8338" to="3715,-8338" stroked="true" strokeweight=".12pt" strokecolor="#000000"/>
            <v:shape style="position:absolute;left:2894;top:-10578;width:6406;height:10620" type="#_x0000_t202" filled="false" stroked="true" strokeweight=".75pt" strokecolor="#000000">
              <v:textbox inset="0,0,0,0">
                <w:txbxContent>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4"/>
                      <w:rPr>
                        <w:sz w:val="24"/>
                      </w:rPr>
                    </w:pPr>
                  </w:p>
                  <w:p>
                    <w:pPr>
                      <w:spacing w:before="0"/>
                      <w:ind w:left="4067" w:right="0" w:firstLine="0"/>
                      <w:jc w:val="left"/>
                      <w:rPr>
                        <w:rFonts w:ascii="Calibri"/>
                        <w:sz w:val="23"/>
                      </w:rPr>
                    </w:pPr>
                    <w:r>
                      <w:rPr>
                        <w:rFonts w:ascii="Calibri"/>
                        <w:w w:val="105"/>
                        <w:sz w:val="23"/>
                      </w:rPr>
                      <w:t>Reservorio</w:t>
                    </w:r>
                  </w:p>
                  <w:p>
                    <w:pPr>
                      <w:spacing w:line="240" w:lineRule="auto" w:before="2"/>
                      <w:rPr>
                        <w:sz w:val="24"/>
                      </w:rPr>
                    </w:pPr>
                  </w:p>
                  <w:p>
                    <w:pPr>
                      <w:spacing w:before="0"/>
                      <w:ind w:left="981" w:right="0" w:firstLine="0"/>
                      <w:jc w:val="left"/>
                      <w:rPr>
                        <w:rFonts w:ascii="Calibri"/>
                        <w:sz w:val="23"/>
                      </w:rPr>
                    </w:pPr>
                    <w:r>
                      <w:rPr>
                        <w:rFonts w:ascii="Calibri"/>
                        <w:w w:val="105"/>
                        <w:sz w:val="23"/>
                      </w:rPr>
                      <w:t>Torre de tratamiento</w:t>
                    </w: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0"/>
                      <w:rPr>
                        <w:sz w:val="24"/>
                      </w:rPr>
                    </w:pPr>
                  </w:p>
                  <w:p>
                    <w:pPr>
                      <w:spacing w:line="240" w:lineRule="auto" w:before="7"/>
                      <w:rPr>
                        <w:sz w:val="33"/>
                      </w:rPr>
                    </w:pPr>
                  </w:p>
                  <w:p>
                    <w:pPr>
                      <w:spacing w:before="0"/>
                      <w:ind w:left="2427" w:right="3029" w:firstLine="0"/>
                      <w:jc w:val="center"/>
                      <w:rPr>
                        <w:rFonts w:ascii="Calibri"/>
                        <w:sz w:val="23"/>
                      </w:rPr>
                    </w:pPr>
                    <w:r>
                      <w:rPr>
                        <w:rFonts w:ascii="Calibri"/>
                        <w:w w:val="105"/>
                        <w:sz w:val="23"/>
                      </w:rPr>
                      <w:t>Estanque</w:t>
                    </w:r>
                  </w:p>
                  <w:p>
                    <w:pPr>
                      <w:spacing w:line="240" w:lineRule="auto" w:before="0"/>
                      <w:rPr>
                        <w:sz w:val="24"/>
                      </w:rPr>
                    </w:pPr>
                  </w:p>
                  <w:p>
                    <w:pPr>
                      <w:spacing w:line="240" w:lineRule="auto" w:before="0"/>
                      <w:rPr>
                        <w:sz w:val="24"/>
                      </w:rPr>
                    </w:pPr>
                  </w:p>
                  <w:p>
                    <w:pPr>
                      <w:spacing w:line="240" w:lineRule="auto" w:before="6"/>
                      <w:rPr>
                        <w:sz w:val="30"/>
                      </w:rPr>
                    </w:pPr>
                  </w:p>
                  <w:p>
                    <w:pPr>
                      <w:tabs>
                        <w:tab w:pos="1986" w:val="left" w:leader="none"/>
                        <w:tab w:pos="2404" w:val="left" w:leader="none"/>
                        <w:tab w:pos="2949" w:val="left" w:leader="none"/>
                        <w:tab w:pos="3801" w:val="left" w:leader="none"/>
                        <w:tab w:pos="4456" w:val="left" w:leader="none"/>
                        <w:tab w:pos="5308" w:val="left" w:leader="none"/>
                      </w:tabs>
                      <w:spacing w:before="0"/>
                      <w:ind w:left="1473" w:right="0" w:firstLine="0"/>
                      <w:jc w:val="left"/>
                      <w:rPr>
                        <w:rFonts w:ascii="Times New Roman"/>
                        <w:sz w:val="10"/>
                      </w:rPr>
                    </w:pPr>
                    <w:r>
                      <w:rPr>
                        <w:rFonts w:ascii="Calibri"/>
                        <w:w w:val="105"/>
                        <w:sz w:val="10"/>
                      </w:rPr>
                      <w:t>0,68</w:t>
                      <w:tab/>
                    </w:r>
                    <w:r>
                      <w:rPr>
                        <w:rFonts w:ascii="Calibri"/>
                        <w:w w:val="105"/>
                        <w:position w:val="1"/>
                        <w:sz w:val="10"/>
                      </w:rPr>
                      <w:t>0,68</w:t>
                      <w:tab/>
                    </w:r>
                    <w:r>
                      <w:rPr>
                        <w:rFonts w:ascii="Times New Roman"/>
                        <w:w w:val="105"/>
                        <w:position w:val="1"/>
                        <w:sz w:val="10"/>
                        <w:u w:val="single"/>
                      </w:rPr>
                      <w:tab/>
                    </w:r>
                    <w:r>
                      <w:rPr>
                        <w:rFonts w:ascii="Calibri"/>
                        <w:w w:val="105"/>
                        <w:position w:val="1"/>
                        <w:sz w:val="10"/>
                      </w:rPr>
                      <w:t>2,01</w:t>
                    </w:r>
                    <w:r>
                      <w:rPr>
                        <w:rFonts w:ascii="Times New Roman"/>
                        <w:w w:val="105"/>
                        <w:position w:val="1"/>
                        <w:sz w:val="10"/>
                        <w:u w:val="single"/>
                      </w:rPr>
                      <w:tab/>
                    </w:r>
                    <w:r>
                      <w:rPr>
                        <w:rFonts w:ascii="Times New Roman"/>
                        <w:w w:val="105"/>
                        <w:position w:val="1"/>
                        <w:sz w:val="10"/>
                        <w:u w:val="single"/>
                      </w:rPr>
                      <w:tab/>
                    </w:r>
                    <w:r>
                      <w:rPr>
                        <w:rFonts w:ascii="Calibri"/>
                        <w:w w:val="105"/>
                        <w:sz w:val="10"/>
                      </w:rPr>
                      <w:t>2,00</w:t>
                    </w:r>
                    <w:r>
                      <w:rPr>
                        <w:rFonts w:ascii="Calibri"/>
                        <w:sz w:val="10"/>
                      </w:rPr>
                      <w:t>  </w:t>
                    </w:r>
                    <w:r>
                      <w:rPr>
                        <w:rFonts w:ascii="Calibri"/>
                        <w:spacing w:val="2"/>
                        <w:sz w:val="10"/>
                      </w:rPr>
                      <w:t> </w:t>
                    </w:r>
                    <w:r>
                      <w:rPr>
                        <w:rFonts w:ascii="Times New Roman"/>
                        <w:w w:val="106"/>
                        <w:sz w:val="10"/>
                        <w:u w:val="single"/>
                      </w:rPr>
                      <w:t> </w:t>
                    </w:r>
                    <w:r>
                      <w:rPr>
                        <w:rFonts w:ascii="Times New Roman"/>
                        <w:sz w:val="10"/>
                        <w:u w:val="single"/>
                      </w:rPr>
                      <w:tab/>
                    </w:r>
                  </w:p>
                </w:txbxContent>
              </v:textbox>
              <w10:wrap type="none"/>
            </v:shape>
            <w10:wrap type="none"/>
          </v:group>
        </w:pict>
      </w:r>
      <w:r>
        <w:rPr>
          <w:b/>
          <w:sz w:val="18"/>
        </w:rPr>
        <w:t>Figura 18. Esquema isométrico sistema prototipo (cotas en metros)</w:t>
      </w:r>
    </w:p>
    <w:p>
      <w:pPr>
        <w:pStyle w:val="BodyText"/>
        <w:spacing w:before="3"/>
        <w:rPr>
          <w:b/>
          <w:sz w:val="26"/>
        </w:rPr>
      </w:pPr>
    </w:p>
    <w:p>
      <w:pPr>
        <w:pStyle w:val="Heading5"/>
        <w:numPr>
          <w:ilvl w:val="1"/>
          <w:numId w:val="7"/>
        </w:numPr>
        <w:tabs>
          <w:tab w:pos="1211" w:val="left" w:leader="none"/>
        </w:tabs>
        <w:spacing w:line="240" w:lineRule="auto" w:before="0" w:after="0"/>
        <w:ind w:left="1210" w:right="0" w:hanging="429"/>
        <w:jc w:val="both"/>
      </w:pPr>
      <w:bookmarkStart w:name="_TOC_250054" w:id="60"/>
      <w:r>
        <w:rPr/>
        <w:t>MADURACIÓN DEL</w:t>
      </w:r>
      <w:r>
        <w:rPr>
          <w:spacing w:val="-5"/>
        </w:rPr>
        <w:t> </w:t>
      </w:r>
      <w:bookmarkEnd w:id="60"/>
      <w:r>
        <w:rPr/>
        <w:t>SISTEMA</w:t>
      </w:r>
    </w:p>
    <w:p>
      <w:pPr>
        <w:pStyle w:val="BodyText"/>
        <w:spacing w:before="8"/>
        <w:rPr>
          <w:b/>
          <w:sz w:val="28"/>
        </w:rPr>
      </w:pPr>
    </w:p>
    <w:p>
      <w:pPr>
        <w:pStyle w:val="BodyText"/>
        <w:spacing w:line="360" w:lineRule="auto"/>
        <w:ind w:left="781" w:right="1701"/>
        <w:jc w:val="both"/>
      </w:pPr>
      <w:r>
        <w:rPr/>
        <w:t>Para que un sistema de biofiltración remueva las especies nitrogenadas tóxicas para los peces en cultivo, el empaque debe ser poblado por una comunidad de bacterias especializadas que oxiden los nutrientes disueltos en el agua. Se consideró pseudo –</w:t>
      </w:r>
    </w:p>
    <w:p>
      <w:pPr>
        <w:spacing w:after="0" w:line="360" w:lineRule="auto"/>
        <w:jc w:val="both"/>
        <w:sectPr>
          <w:pgSz w:w="12240" w:h="15840"/>
          <w:pgMar w:header="725" w:footer="1084" w:top="1340" w:bottom="1280" w:left="920" w:right="0"/>
        </w:sectPr>
      </w:pPr>
    </w:p>
    <w:p>
      <w:pPr>
        <w:pStyle w:val="BodyText"/>
        <w:spacing w:before="10"/>
        <w:rPr>
          <w:sz w:val="8"/>
        </w:rPr>
      </w:pPr>
    </w:p>
    <w:p>
      <w:pPr>
        <w:pStyle w:val="BodyText"/>
        <w:spacing w:line="360" w:lineRule="auto" w:before="73"/>
        <w:ind w:left="781" w:right="498"/>
        <w:jc w:val="both"/>
      </w:pPr>
      <w:bookmarkStart w:name="4.3. Maduración del sistema" w:id="61"/>
      <w:bookmarkEnd w:id="61"/>
      <w:r>
        <w:rPr/>
      </w:r>
      <w:r>
        <w:rPr/>
        <w:t>maduro el biofiltro, una vez sembrados los organismos y cuando la concentración de nitrógeno amoniacal total en el efluente del estanque fue constante por debajo de 0,2 mg N-NH</w:t>
      </w:r>
      <w:r>
        <w:rPr>
          <w:position w:val="-2"/>
          <w:sz w:val="13"/>
        </w:rPr>
        <w:t>3</w:t>
      </w:r>
      <w:r>
        <w:rPr/>
        <w:t>/L (Colt </w:t>
      </w:r>
      <w:r>
        <w:rPr>
          <w:i/>
        </w:rPr>
        <w:t>et al</w:t>
      </w:r>
      <w:r>
        <w:rPr/>
        <w:t>., 2006).</w:t>
      </w:r>
    </w:p>
    <w:p>
      <w:pPr>
        <w:pStyle w:val="BodyText"/>
        <w:spacing w:line="360" w:lineRule="auto" w:before="188"/>
        <w:ind w:left="781" w:right="494"/>
        <w:jc w:val="both"/>
      </w:pPr>
      <w:r>
        <w:rPr/>
        <w:t>En el presente trabajo se emplearon, para la maduración del sistema, 178 organismos de la especie </w:t>
      </w:r>
      <w:r>
        <w:rPr>
          <w:i/>
        </w:rPr>
        <w:t>Oncorhynchus mykiss </w:t>
      </w:r>
      <w:r>
        <w:rPr/>
        <w:t>(trucha arco iris) con una longitud promedio de 29 cm y un peso promedio de 402 g.</w:t>
      </w:r>
    </w:p>
    <w:p>
      <w:pPr>
        <w:pStyle w:val="BodyText"/>
        <w:spacing w:before="4"/>
        <w:rPr>
          <w:sz w:val="17"/>
        </w:rPr>
      </w:pPr>
    </w:p>
    <w:p>
      <w:pPr>
        <w:pStyle w:val="Heading5"/>
        <w:numPr>
          <w:ilvl w:val="1"/>
          <w:numId w:val="7"/>
        </w:numPr>
        <w:tabs>
          <w:tab w:pos="1211" w:val="left" w:leader="none"/>
        </w:tabs>
        <w:spacing w:line="240" w:lineRule="auto" w:before="0" w:after="0"/>
        <w:ind w:left="1210" w:right="0" w:hanging="429"/>
        <w:jc w:val="both"/>
      </w:pPr>
      <w:bookmarkStart w:name="_TOC_250053" w:id="62"/>
      <w:bookmarkStart w:name="4.4. Cultivo acuícola" w:id="63"/>
      <w:r>
        <w:rPr>
          <w:b w:val="0"/>
        </w:rPr>
      </w:r>
      <w:bookmarkEnd w:id="63"/>
      <w:bookmarkStart w:name="4.4. Cultivo acuícola" w:id="64"/>
      <w:r>
        <w:rPr/>
        <w:t>C</w:t>
      </w:r>
      <w:r>
        <w:rPr/>
        <w:t>ULTIVO</w:t>
      </w:r>
      <w:r>
        <w:rPr>
          <w:spacing w:val="-3"/>
        </w:rPr>
        <w:t> </w:t>
      </w:r>
      <w:bookmarkEnd w:id="62"/>
      <w:r>
        <w:rPr/>
        <w:t>ACUÍCOLA</w:t>
      </w:r>
    </w:p>
    <w:p>
      <w:pPr>
        <w:pStyle w:val="BodyText"/>
        <w:spacing w:before="8"/>
        <w:rPr>
          <w:b/>
          <w:sz w:val="28"/>
        </w:rPr>
      </w:pPr>
    </w:p>
    <w:p>
      <w:pPr>
        <w:pStyle w:val="BodyText"/>
        <w:spacing w:line="360" w:lineRule="auto"/>
        <w:ind w:left="781" w:right="498"/>
        <w:jc w:val="both"/>
      </w:pPr>
      <w:r>
        <w:rPr/>
        <w:t>Los organismos se alimentaron con pellet extruido de 5,5 mm de la marca “El Pedregal”, de acuerdo con las especificaciones del fabricante (Pedregal, 2005). La alimentación se hizo de forma manual con la técnica del boleo, es decir, se esparció el alimento en toda la superficie del estanque describiendo una media luna en el lance del mismo. Se registró diariamente la cantidad de alimento suministrado al cultivo.</w:t>
      </w:r>
    </w:p>
    <w:p>
      <w:pPr>
        <w:pStyle w:val="BodyText"/>
        <w:spacing w:before="9"/>
        <w:rPr>
          <w:sz w:val="17"/>
        </w:rPr>
      </w:pPr>
    </w:p>
    <w:p>
      <w:pPr>
        <w:pStyle w:val="BodyText"/>
        <w:spacing w:line="360" w:lineRule="auto"/>
        <w:ind w:left="781" w:right="497"/>
        <w:jc w:val="both"/>
      </w:pPr>
      <w:r>
        <w:rPr/>
        <w:t>El cultivo de los peces se efectuó durante 150 días. La evaluación del cultivo se llevó a cabo con un seguimiento diario de la mortalidad, un análisis quincenal de parámetros biométricos (longitud y peso), un análisis de salud de los organismos y observaciones de conductas anormales de los peces en el estanque.</w:t>
      </w:r>
    </w:p>
    <w:p>
      <w:pPr>
        <w:pStyle w:val="BodyText"/>
        <w:spacing w:before="7"/>
        <w:rPr>
          <w:sz w:val="17"/>
        </w:rPr>
      </w:pPr>
    </w:p>
    <w:p>
      <w:pPr>
        <w:pStyle w:val="BodyText"/>
        <w:spacing w:line="355" w:lineRule="auto"/>
        <w:ind w:left="781" w:right="496"/>
        <w:jc w:val="both"/>
      </w:pPr>
      <w:r>
        <w:rPr/>
        <w:t>Para las mediciones biométricas de los organismos se utilizaron dos tipos de métodos de muestreo; primero, uno tipo sistemático, cada 15 días, iniciando el 15</w:t>
      </w:r>
      <w:r>
        <w:rPr>
          <w:position w:val="10"/>
          <w:sz w:val="13"/>
        </w:rPr>
        <w:t>vo </w:t>
      </w:r>
      <w:r>
        <w:rPr/>
        <w:t>día a partir de la siembra de los organismos. Segundo, para tomar la muestra de organismos de los estanques, se siguió un muestreo aleatorio simple.</w:t>
      </w:r>
    </w:p>
    <w:p>
      <w:pPr>
        <w:pStyle w:val="BodyText"/>
        <w:rPr>
          <w:sz w:val="18"/>
        </w:rPr>
      </w:pPr>
    </w:p>
    <w:p>
      <w:pPr>
        <w:pStyle w:val="BodyText"/>
        <w:spacing w:line="360" w:lineRule="auto"/>
        <w:ind w:left="781" w:right="496"/>
        <w:jc w:val="both"/>
      </w:pPr>
      <w:r>
        <w:rPr/>
        <w:t>En la tabla 8, se observa el tamaño de muestra estimada previo a la fase experimental  con un intervalo de confianza (1 – α) de 95 % y una precisión del 6,5 %, sin embargo la población real que se tuvo en el estanque fue menor a la estimada y al mismo tiempo el tamaño de muestra se redujo para asegurar una precisión de 6,5 %. Al iniciar los muestreos se determinó usar un tamaño de muestra de 50 organismos debido al estrés ocasionado a la población cuando eran capturados los animales por lo que la precisión dada por el tamaño de muestra varió conforme a la</w:t>
      </w:r>
      <w:r>
        <w:rPr>
          <w:spacing w:val="-25"/>
        </w:rPr>
        <w:t> </w:t>
      </w:r>
      <w:r>
        <w:rPr/>
        <w:t>población.</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before="0"/>
        <w:ind w:left="2072" w:right="948" w:firstLine="0"/>
        <w:jc w:val="left"/>
        <w:rPr>
          <w:b/>
          <w:sz w:val="18"/>
        </w:rPr>
      </w:pPr>
      <w:r>
        <w:rPr>
          <w:b/>
          <w:sz w:val="18"/>
        </w:rPr>
        <w:t>Tabla 8. Tamaño de la muestra de acuerdo a la población de cada estrato</w:t>
      </w:r>
    </w:p>
    <w:p>
      <w:pPr>
        <w:pStyle w:val="BodyText"/>
        <w:spacing w:before="10"/>
        <w:rPr>
          <w:b/>
          <w:sz w:val="10"/>
        </w:rPr>
      </w:pPr>
    </w:p>
    <w:tbl>
      <w:tblPr>
        <w:tblW w:w="0" w:type="auto"/>
        <w:jc w:val="lef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01"/>
        <w:gridCol w:w="1200"/>
        <w:gridCol w:w="1200"/>
        <w:gridCol w:w="1200"/>
        <w:gridCol w:w="1200"/>
        <w:gridCol w:w="1200"/>
        <w:gridCol w:w="1200"/>
      </w:tblGrid>
      <w:tr>
        <w:trPr>
          <w:trHeight w:val="310" w:hRule="exact"/>
        </w:trPr>
        <w:tc>
          <w:tcPr>
            <w:tcW w:w="1601" w:type="dxa"/>
            <w:vMerge w:val="restart"/>
          </w:tcPr>
          <w:p>
            <w:pPr>
              <w:pStyle w:val="TableParagraph"/>
              <w:spacing w:before="0"/>
              <w:ind w:right="0"/>
              <w:jc w:val="left"/>
              <w:rPr>
                <w:rFonts w:ascii="Arial"/>
                <w:b/>
                <w:sz w:val="18"/>
              </w:rPr>
            </w:pPr>
          </w:p>
          <w:p>
            <w:pPr>
              <w:pStyle w:val="TableParagraph"/>
              <w:spacing w:before="9"/>
              <w:ind w:right="0"/>
              <w:jc w:val="left"/>
              <w:rPr>
                <w:rFonts w:ascii="Arial"/>
                <w:b/>
                <w:sz w:val="17"/>
              </w:rPr>
            </w:pPr>
          </w:p>
          <w:p>
            <w:pPr>
              <w:pStyle w:val="TableParagraph"/>
              <w:spacing w:before="0"/>
              <w:ind w:left="237" w:right="0"/>
              <w:jc w:val="left"/>
              <w:rPr>
                <w:rFonts w:ascii="Arial" w:hAnsi="Arial"/>
                <w:sz w:val="18"/>
              </w:rPr>
            </w:pPr>
            <w:r>
              <w:rPr>
                <w:rFonts w:ascii="Arial" w:hAnsi="Arial"/>
                <w:sz w:val="18"/>
              </w:rPr>
              <w:t>Tiempo (días)</w:t>
            </w:r>
          </w:p>
        </w:tc>
        <w:tc>
          <w:tcPr>
            <w:tcW w:w="2400" w:type="dxa"/>
            <w:gridSpan w:val="2"/>
          </w:tcPr>
          <w:p>
            <w:pPr>
              <w:pStyle w:val="TableParagraph"/>
              <w:spacing w:before="92"/>
              <w:ind w:left="314" w:right="0"/>
              <w:jc w:val="left"/>
              <w:rPr>
                <w:rFonts w:ascii="Arial" w:hAnsi="Arial"/>
                <w:sz w:val="18"/>
              </w:rPr>
            </w:pPr>
            <w:r>
              <w:rPr>
                <w:rFonts w:ascii="Arial" w:hAnsi="Arial"/>
                <w:sz w:val="18"/>
              </w:rPr>
              <w:t>Población (individuos)</w:t>
            </w:r>
          </w:p>
        </w:tc>
        <w:tc>
          <w:tcPr>
            <w:tcW w:w="3600" w:type="dxa"/>
            <w:gridSpan w:val="3"/>
          </w:tcPr>
          <w:p>
            <w:pPr>
              <w:pStyle w:val="TableParagraph"/>
              <w:spacing w:before="92"/>
              <w:ind w:left="408" w:right="0"/>
              <w:jc w:val="left"/>
              <w:rPr>
                <w:rFonts w:ascii="Arial" w:hAnsi="Arial"/>
                <w:sz w:val="18"/>
              </w:rPr>
            </w:pPr>
            <w:r>
              <w:rPr>
                <w:rFonts w:ascii="Arial" w:hAnsi="Arial"/>
                <w:sz w:val="18"/>
              </w:rPr>
              <w:t>Tamaño de la muestra (individuos)</w:t>
            </w:r>
          </w:p>
        </w:tc>
        <w:tc>
          <w:tcPr>
            <w:tcW w:w="1200" w:type="dxa"/>
            <w:tcBorders>
              <w:top w:val="nil"/>
              <w:right w:val="nil"/>
            </w:tcBorders>
          </w:tcPr>
          <w:p>
            <w:pPr/>
          </w:p>
        </w:tc>
      </w:tr>
      <w:tr>
        <w:trPr>
          <w:trHeight w:val="732" w:hRule="exact"/>
        </w:trPr>
        <w:tc>
          <w:tcPr>
            <w:tcW w:w="1601" w:type="dxa"/>
            <w:vMerge/>
          </w:tcPr>
          <w:p>
            <w:pPr/>
          </w:p>
        </w:tc>
        <w:tc>
          <w:tcPr>
            <w:tcW w:w="1200" w:type="dxa"/>
          </w:tcPr>
          <w:p>
            <w:pPr>
              <w:pStyle w:val="TableParagraph"/>
              <w:spacing w:before="3"/>
              <w:ind w:right="0"/>
              <w:jc w:val="left"/>
              <w:rPr>
                <w:rFonts w:ascii="Arial"/>
                <w:b/>
                <w:sz w:val="22"/>
              </w:rPr>
            </w:pPr>
          </w:p>
          <w:p>
            <w:pPr>
              <w:pStyle w:val="TableParagraph"/>
              <w:spacing w:before="0"/>
              <w:ind w:left="42" w:right="42"/>
              <w:jc w:val="center"/>
              <w:rPr>
                <w:rFonts w:ascii="Arial"/>
                <w:sz w:val="18"/>
              </w:rPr>
            </w:pPr>
            <w:r>
              <w:rPr>
                <w:rFonts w:ascii="Arial"/>
                <w:sz w:val="18"/>
              </w:rPr>
              <w:t>Estimada</w:t>
            </w:r>
          </w:p>
        </w:tc>
        <w:tc>
          <w:tcPr>
            <w:tcW w:w="1200" w:type="dxa"/>
          </w:tcPr>
          <w:p>
            <w:pPr>
              <w:pStyle w:val="TableParagraph"/>
              <w:spacing w:before="3"/>
              <w:ind w:right="0"/>
              <w:jc w:val="left"/>
              <w:rPr>
                <w:rFonts w:ascii="Arial"/>
                <w:b/>
                <w:sz w:val="22"/>
              </w:rPr>
            </w:pPr>
          </w:p>
          <w:p>
            <w:pPr>
              <w:pStyle w:val="TableParagraph"/>
              <w:spacing w:before="0"/>
              <w:ind w:left="43" w:right="42"/>
              <w:jc w:val="center"/>
              <w:rPr>
                <w:rFonts w:ascii="Arial"/>
                <w:sz w:val="18"/>
              </w:rPr>
            </w:pPr>
            <w:r>
              <w:rPr>
                <w:rFonts w:ascii="Arial"/>
                <w:sz w:val="18"/>
              </w:rPr>
              <w:t>Real</w:t>
            </w:r>
          </w:p>
        </w:tc>
        <w:tc>
          <w:tcPr>
            <w:tcW w:w="1200" w:type="dxa"/>
          </w:tcPr>
          <w:p>
            <w:pPr>
              <w:pStyle w:val="TableParagraph"/>
              <w:spacing w:before="49"/>
              <w:ind w:left="44" w:right="42"/>
              <w:jc w:val="center"/>
              <w:rPr>
                <w:rFonts w:ascii="Arial" w:hAnsi="Arial"/>
                <w:sz w:val="18"/>
              </w:rPr>
            </w:pPr>
            <w:r>
              <w:rPr>
                <w:rFonts w:ascii="Arial" w:hAnsi="Arial"/>
                <w:sz w:val="18"/>
              </w:rPr>
              <w:t>Estimada a 6.5% de precisión</w:t>
            </w:r>
          </w:p>
        </w:tc>
        <w:tc>
          <w:tcPr>
            <w:tcW w:w="1200" w:type="dxa"/>
          </w:tcPr>
          <w:p>
            <w:pPr>
              <w:pStyle w:val="TableParagraph"/>
              <w:spacing w:before="152"/>
              <w:ind w:left="110" w:right="87" w:hanging="8"/>
              <w:jc w:val="left"/>
              <w:rPr>
                <w:rFonts w:ascii="Arial" w:hAnsi="Arial"/>
                <w:sz w:val="18"/>
              </w:rPr>
            </w:pPr>
            <w:r>
              <w:rPr>
                <w:rFonts w:ascii="Arial" w:hAnsi="Arial"/>
                <w:sz w:val="18"/>
              </w:rPr>
              <w:t>Real a 6.5% de precisión</w:t>
            </w:r>
          </w:p>
        </w:tc>
        <w:tc>
          <w:tcPr>
            <w:tcW w:w="1200" w:type="dxa"/>
          </w:tcPr>
          <w:p>
            <w:pPr>
              <w:pStyle w:val="TableParagraph"/>
              <w:spacing w:before="152"/>
              <w:ind w:left="350" w:right="261" w:hanging="72"/>
              <w:jc w:val="left"/>
              <w:rPr>
                <w:rFonts w:ascii="Arial"/>
                <w:sz w:val="18"/>
              </w:rPr>
            </w:pPr>
            <w:r>
              <w:rPr>
                <w:rFonts w:ascii="Arial"/>
                <w:sz w:val="18"/>
              </w:rPr>
              <w:t>Llevada acabo</w:t>
            </w:r>
          </w:p>
        </w:tc>
        <w:tc>
          <w:tcPr>
            <w:tcW w:w="1200" w:type="dxa"/>
          </w:tcPr>
          <w:p>
            <w:pPr>
              <w:pStyle w:val="TableParagraph"/>
              <w:spacing w:before="3"/>
              <w:ind w:right="0"/>
              <w:jc w:val="left"/>
              <w:rPr>
                <w:rFonts w:ascii="Arial"/>
                <w:b/>
                <w:sz w:val="22"/>
              </w:rPr>
            </w:pPr>
          </w:p>
          <w:p>
            <w:pPr>
              <w:pStyle w:val="TableParagraph"/>
              <w:spacing w:before="0"/>
              <w:ind w:left="44" w:right="42"/>
              <w:jc w:val="center"/>
              <w:rPr>
                <w:rFonts w:ascii="Arial" w:hAnsi="Arial"/>
                <w:sz w:val="18"/>
              </w:rPr>
            </w:pPr>
            <w:r>
              <w:rPr>
                <w:rFonts w:ascii="Arial" w:hAnsi="Arial"/>
                <w:sz w:val="18"/>
              </w:rPr>
              <w:t>Precisión</w:t>
            </w:r>
          </w:p>
        </w:tc>
      </w:tr>
      <w:tr>
        <w:trPr>
          <w:trHeight w:val="216" w:hRule="exact"/>
        </w:trPr>
        <w:tc>
          <w:tcPr>
            <w:tcW w:w="1601" w:type="dxa"/>
          </w:tcPr>
          <w:p>
            <w:pPr>
              <w:pStyle w:val="TableParagraph"/>
              <w:spacing w:line="206" w:lineRule="exact" w:before="0"/>
              <w:ind w:left="545" w:right="545"/>
              <w:jc w:val="center"/>
              <w:rPr>
                <w:rFonts w:ascii="Arial"/>
                <w:sz w:val="18"/>
              </w:rPr>
            </w:pPr>
            <w:r>
              <w:rPr>
                <w:rFonts w:ascii="Arial"/>
                <w:sz w:val="18"/>
              </w:rPr>
              <w:t>0 - 15</w:t>
            </w:r>
          </w:p>
        </w:tc>
        <w:tc>
          <w:tcPr>
            <w:tcW w:w="1200" w:type="dxa"/>
          </w:tcPr>
          <w:p>
            <w:pPr>
              <w:pStyle w:val="TableParagraph"/>
              <w:spacing w:line="206" w:lineRule="exact" w:before="0"/>
              <w:ind w:left="42" w:right="42"/>
              <w:jc w:val="center"/>
              <w:rPr>
                <w:rFonts w:ascii="Arial"/>
                <w:sz w:val="18"/>
              </w:rPr>
            </w:pPr>
            <w:r>
              <w:rPr>
                <w:rFonts w:ascii="Arial"/>
                <w:sz w:val="18"/>
              </w:rPr>
              <w:t>193</w:t>
            </w:r>
          </w:p>
        </w:tc>
        <w:tc>
          <w:tcPr>
            <w:tcW w:w="1200" w:type="dxa"/>
          </w:tcPr>
          <w:p>
            <w:pPr>
              <w:pStyle w:val="TableParagraph"/>
              <w:spacing w:line="206" w:lineRule="exact" w:before="0"/>
              <w:ind w:left="42" w:right="42"/>
              <w:jc w:val="center"/>
              <w:rPr>
                <w:rFonts w:ascii="Arial"/>
                <w:sz w:val="18"/>
              </w:rPr>
            </w:pPr>
            <w:r>
              <w:rPr>
                <w:rFonts w:ascii="Arial"/>
                <w:sz w:val="18"/>
              </w:rPr>
              <w:t>102</w:t>
            </w:r>
          </w:p>
        </w:tc>
        <w:tc>
          <w:tcPr>
            <w:tcW w:w="1200" w:type="dxa"/>
          </w:tcPr>
          <w:p>
            <w:pPr>
              <w:pStyle w:val="TableParagraph"/>
              <w:spacing w:line="206" w:lineRule="exact" w:before="0"/>
              <w:ind w:right="442"/>
              <w:rPr>
                <w:rFonts w:ascii="Arial"/>
                <w:sz w:val="18"/>
              </w:rPr>
            </w:pPr>
            <w:r>
              <w:rPr>
                <w:rFonts w:ascii="Arial"/>
                <w:sz w:val="18"/>
              </w:rPr>
              <w:t>105</w:t>
            </w:r>
          </w:p>
        </w:tc>
        <w:tc>
          <w:tcPr>
            <w:tcW w:w="1200" w:type="dxa"/>
          </w:tcPr>
          <w:p>
            <w:pPr>
              <w:pStyle w:val="TableParagraph"/>
              <w:spacing w:line="206" w:lineRule="exact" w:before="0"/>
              <w:ind w:left="494" w:right="87"/>
              <w:jc w:val="left"/>
              <w:rPr>
                <w:rFonts w:ascii="Arial"/>
                <w:sz w:val="18"/>
              </w:rPr>
            </w:pPr>
            <w:r>
              <w:rPr>
                <w:rFonts w:ascii="Arial"/>
                <w:sz w:val="18"/>
              </w:rPr>
              <w:t>71</w:t>
            </w:r>
          </w:p>
        </w:tc>
        <w:tc>
          <w:tcPr>
            <w:tcW w:w="1200" w:type="dxa"/>
          </w:tcPr>
          <w:p>
            <w:pPr>
              <w:pStyle w:val="TableParagraph"/>
              <w:spacing w:line="206" w:lineRule="exact" w:before="0"/>
              <w:ind w:left="494" w:right="87"/>
              <w:jc w:val="left"/>
              <w:rPr>
                <w:rFonts w:ascii="Arial"/>
                <w:sz w:val="18"/>
              </w:rPr>
            </w:pPr>
            <w:r>
              <w:rPr>
                <w:rFonts w:ascii="Arial"/>
                <w:sz w:val="18"/>
              </w:rPr>
              <w:t>48</w:t>
            </w:r>
          </w:p>
        </w:tc>
        <w:tc>
          <w:tcPr>
            <w:tcW w:w="1200" w:type="dxa"/>
          </w:tcPr>
          <w:p>
            <w:pPr>
              <w:pStyle w:val="TableParagraph"/>
              <w:spacing w:line="206" w:lineRule="exact" w:before="0"/>
              <w:ind w:left="42" w:right="42"/>
              <w:jc w:val="center"/>
              <w:rPr>
                <w:rFonts w:ascii="Arial"/>
                <w:sz w:val="18"/>
              </w:rPr>
            </w:pPr>
            <w:r>
              <w:rPr>
                <w:rFonts w:ascii="Arial"/>
                <w:sz w:val="18"/>
              </w:rPr>
              <w:t>10.50</w:t>
            </w:r>
          </w:p>
        </w:tc>
      </w:tr>
      <w:tr>
        <w:trPr>
          <w:trHeight w:val="310" w:hRule="exact"/>
        </w:trPr>
        <w:tc>
          <w:tcPr>
            <w:tcW w:w="1601" w:type="dxa"/>
          </w:tcPr>
          <w:p>
            <w:pPr>
              <w:pStyle w:val="TableParagraph"/>
              <w:spacing w:before="92"/>
              <w:ind w:right="512"/>
              <w:rPr>
                <w:rFonts w:ascii="Arial"/>
                <w:sz w:val="18"/>
              </w:rPr>
            </w:pPr>
            <w:r>
              <w:rPr>
                <w:rFonts w:ascii="Arial"/>
                <w:sz w:val="18"/>
              </w:rPr>
              <w:t>16 - 30</w:t>
            </w:r>
          </w:p>
        </w:tc>
        <w:tc>
          <w:tcPr>
            <w:tcW w:w="1200" w:type="dxa"/>
          </w:tcPr>
          <w:p>
            <w:pPr>
              <w:pStyle w:val="TableParagraph"/>
              <w:spacing w:before="92"/>
              <w:ind w:left="42" w:right="42"/>
              <w:jc w:val="center"/>
              <w:rPr>
                <w:rFonts w:ascii="Arial"/>
                <w:sz w:val="18"/>
              </w:rPr>
            </w:pPr>
            <w:r>
              <w:rPr>
                <w:rFonts w:ascii="Arial"/>
                <w:sz w:val="18"/>
              </w:rPr>
              <w:t>257</w:t>
            </w:r>
          </w:p>
        </w:tc>
        <w:tc>
          <w:tcPr>
            <w:tcW w:w="1200" w:type="dxa"/>
          </w:tcPr>
          <w:p>
            <w:pPr>
              <w:pStyle w:val="TableParagraph"/>
              <w:spacing w:before="92"/>
              <w:ind w:left="42" w:right="42"/>
              <w:jc w:val="center"/>
              <w:rPr>
                <w:rFonts w:ascii="Arial"/>
                <w:sz w:val="18"/>
              </w:rPr>
            </w:pPr>
            <w:r>
              <w:rPr>
                <w:rFonts w:ascii="Arial"/>
                <w:sz w:val="18"/>
              </w:rPr>
              <w:t>102</w:t>
            </w:r>
          </w:p>
        </w:tc>
        <w:tc>
          <w:tcPr>
            <w:tcW w:w="1200" w:type="dxa"/>
          </w:tcPr>
          <w:p>
            <w:pPr>
              <w:pStyle w:val="TableParagraph"/>
              <w:spacing w:before="92"/>
              <w:ind w:right="442"/>
              <w:rPr>
                <w:rFonts w:ascii="Arial"/>
                <w:sz w:val="18"/>
              </w:rPr>
            </w:pPr>
            <w:r>
              <w:rPr>
                <w:rFonts w:ascii="Arial"/>
                <w:sz w:val="18"/>
              </w:rPr>
              <w:t>121</w:t>
            </w:r>
          </w:p>
        </w:tc>
        <w:tc>
          <w:tcPr>
            <w:tcW w:w="1200" w:type="dxa"/>
          </w:tcPr>
          <w:p>
            <w:pPr>
              <w:pStyle w:val="TableParagraph"/>
              <w:spacing w:before="92"/>
              <w:ind w:left="494" w:right="87"/>
              <w:jc w:val="left"/>
              <w:rPr>
                <w:rFonts w:ascii="Arial"/>
                <w:sz w:val="18"/>
              </w:rPr>
            </w:pPr>
            <w:r>
              <w:rPr>
                <w:rFonts w:ascii="Arial"/>
                <w:sz w:val="18"/>
              </w:rPr>
              <w:t>71</w:t>
            </w:r>
          </w:p>
        </w:tc>
        <w:tc>
          <w:tcPr>
            <w:tcW w:w="1200" w:type="dxa"/>
          </w:tcPr>
          <w:p>
            <w:pPr>
              <w:pStyle w:val="TableParagraph"/>
              <w:spacing w:before="92"/>
              <w:ind w:left="494" w:right="87"/>
              <w:jc w:val="left"/>
              <w:rPr>
                <w:rFonts w:ascii="Arial"/>
                <w:sz w:val="18"/>
              </w:rPr>
            </w:pPr>
            <w:r>
              <w:rPr>
                <w:rFonts w:ascii="Arial"/>
                <w:sz w:val="18"/>
              </w:rPr>
              <w:t>50</w:t>
            </w:r>
          </w:p>
        </w:tc>
        <w:tc>
          <w:tcPr>
            <w:tcW w:w="1200" w:type="dxa"/>
          </w:tcPr>
          <w:p>
            <w:pPr>
              <w:pStyle w:val="TableParagraph"/>
              <w:spacing w:before="92"/>
              <w:ind w:left="42" w:right="42"/>
              <w:jc w:val="center"/>
              <w:rPr>
                <w:rFonts w:ascii="Arial"/>
                <w:sz w:val="18"/>
              </w:rPr>
            </w:pPr>
            <w:r>
              <w:rPr>
                <w:rFonts w:ascii="Arial"/>
                <w:sz w:val="18"/>
              </w:rPr>
              <w:t>10.10</w:t>
            </w:r>
          </w:p>
        </w:tc>
      </w:tr>
      <w:tr>
        <w:trPr>
          <w:trHeight w:val="310" w:hRule="exact"/>
        </w:trPr>
        <w:tc>
          <w:tcPr>
            <w:tcW w:w="1601" w:type="dxa"/>
          </w:tcPr>
          <w:p>
            <w:pPr>
              <w:pStyle w:val="TableParagraph"/>
              <w:spacing w:before="92"/>
              <w:ind w:right="512"/>
              <w:rPr>
                <w:rFonts w:ascii="Arial"/>
                <w:sz w:val="18"/>
              </w:rPr>
            </w:pPr>
            <w:r>
              <w:rPr>
                <w:rFonts w:ascii="Arial"/>
                <w:sz w:val="18"/>
              </w:rPr>
              <w:t>31 - 45</w:t>
            </w:r>
          </w:p>
        </w:tc>
        <w:tc>
          <w:tcPr>
            <w:tcW w:w="1200" w:type="dxa"/>
          </w:tcPr>
          <w:p>
            <w:pPr>
              <w:pStyle w:val="TableParagraph"/>
              <w:spacing w:before="92"/>
              <w:ind w:left="42" w:right="42"/>
              <w:jc w:val="center"/>
              <w:rPr>
                <w:rFonts w:ascii="Arial"/>
                <w:sz w:val="18"/>
              </w:rPr>
            </w:pPr>
            <w:r>
              <w:rPr>
                <w:rFonts w:ascii="Arial"/>
                <w:sz w:val="18"/>
              </w:rPr>
              <w:t>322</w:t>
            </w:r>
          </w:p>
        </w:tc>
        <w:tc>
          <w:tcPr>
            <w:tcW w:w="1200" w:type="dxa"/>
          </w:tcPr>
          <w:p>
            <w:pPr>
              <w:pStyle w:val="TableParagraph"/>
              <w:spacing w:before="92"/>
              <w:ind w:left="42" w:right="42"/>
              <w:jc w:val="center"/>
              <w:rPr>
                <w:rFonts w:ascii="Arial"/>
                <w:sz w:val="18"/>
              </w:rPr>
            </w:pPr>
            <w:r>
              <w:rPr>
                <w:rFonts w:ascii="Arial"/>
                <w:sz w:val="18"/>
              </w:rPr>
              <w:t>178</w:t>
            </w:r>
          </w:p>
        </w:tc>
        <w:tc>
          <w:tcPr>
            <w:tcW w:w="1200" w:type="dxa"/>
          </w:tcPr>
          <w:p>
            <w:pPr>
              <w:pStyle w:val="TableParagraph"/>
              <w:spacing w:before="92"/>
              <w:ind w:right="442"/>
              <w:rPr>
                <w:rFonts w:ascii="Arial"/>
                <w:sz w:val="18"/>
              </w:rPr>
            </w:pPr>
            <w:r>
              <w:rPr>
                <w:rFonts w:ascii="Arial"/>
                <w:sz w:val="18"/>
              </w:rPr>
              <w:t>134</w:t>
            </w:r>
          </w:p>
        </w:tc>
        <w:tc>
          <w:tcPr>
            <w:tcW w:w="1200" w:type="dxa"/>
          </w:tcPr>
          <w:p>
            <w:pPr>
              <w:pStyle w:val="TableParagraph"/>
              <w:spacing w:before="92"/>
              <w:ind w:left="444" w:right="87"/>
              <w:jc w:val="left"/>
              <w:rPr>
                <w:rFonts w:ascii="Arial"/>
                <w:sz w:val="18"/>
              </w:rPr>
            </w:pPr>
            <w:r>
              <w:rPr>
                <w:rFonts w:ascii="Arial"/>
                <w:sz w:val="18"/>
              </w:rPr>
              <w:t>100</w:t>
            </w:r>
          </w:p>
        </w:tc>
        <w:tc>
          <w:tcPr>
            <w:tcW w:w="1200" w:type="dxa"/>
          </w:tcPr>
          <w:p>
            <w:pPr>
              <w:pStyle w:val="TableParagraph"/>
              <w:spacing w:before="92"/>
              <w:ind w:left="494" w:right="87"/>
              <w:jc w:val="left"/>
              <w:rPr>
                <w:rFonts w:ascii="Arial"/>
                <w:sz w:val="18"/>
              </w:rPr>
            </w:pPr>
            <w:r>
              <w:rPr>
                <w:rFonts w:ascii="Arial"/>
                <w:sz w:val="18"/>
              </w:rPr>
              <w:t>55</w:t>
            </w:r>
          </w:p>
        </w:tc>
        <w:tc>
          <w:tcPr>
            <w:tcW w:w="1200" w:type="dxa"/>
          </w:tcPr>
          <w:p>
            <w:pPr>
              <w:pStyle w:val="TableParagraph"/>
              <w:spacing w:before="92"/>
              <w:ind w:left="41" w:right="42"/>
              <w:jc w:val="center"/>
              <w:rPr>
                <w:rFonts w:ascii="Arial"/>
                <w:sz w:val="18"/>
              </w:rPr>
            </w:pPr>
            <w:r>
              <w:rPr>
                <w:rFonts w:ascii="Arial"/>
                <w:sz w:val="18"/>
              </w:rPr>
              <w:t>11.10</w:t>
            </w:r>
          </w:p>
        </w:tc>
      </w:tr>
      <w:tr>
        <w:trPr>
          <w:trHeight w:val="310" w:hRule="exact"/>
        </w:trPr>
        <w:tc>
          <w:tcPr>
            <w:tcW w:w="1601" w:type="dxa"/>
          </w:tcPr>
          <w:p>
            <w:pPr>
              <w:pStyle w:val="TableParagraph"/>
              <w:spacing w:before="92"/>
              <w:ind w:right="512"/>
              <w:rPr>
                <w:rFonts w:ascii="Arial"/>
                <w:sz w:val="18"/>
              </w:rPr>
            </w:pPr>
            <w:r>
              <w:rPr>
                <w:rFonts w:ascii="Arial"/>
                <w:sz w:val="18"/>
              </w:rPr>
              <w:t>46 - 60</w:t>
            </w:r>
          </w:p>
        </w:tc>
        <w:tc>
          <w:tcPr>
            <w:tcW w:w="1200" w:type="dxa"/>
          </w:tcPr>
          <w:p>
            <w:pPr>
              <w:pStyle w:val="TableParagraph"/>
              <w:spacing w:before="92"/>
              <w:ind w:left="42" w:right="42"/>
              <w:jc w:val="center"/>
              <w:rPr>
                <w:rFonts w:ascii="Arial"/>
                <w:sz w:val="18"/>
              </w:rPr>
            </w:pPr>
            <w:r>
              <w:rPr>
                <w:rFonts w:ascii="Arial"/>
                <w:sz w:val="18"/>
              </w:rPr>
              <w:t>386</w:t>
            </w:r>
          </w:p>
        </w:tc>
        <w:tc>
          <w:tcPr>
            <w:tcW w:w="1200" w:type="dxa"/>
          </w:tcPr>
          <w:p>
            <w:pPr>
              <w:pStyle w:val="TableParagraph"/>
              <w:spacing w:before="92"/>
              <w:ind w:left="42" w:right="42"/>
              <w:jc w:val="center"/>
              <w:rPr>
                <w:rFonts w:ascii="Arial"/>
                <w:sz w:val="18"/>
              </w:rPr>
            </w:pPr>
            <w:r>
              <w:rPr>
                <w:rFonts w:ascii="Arial"/>
                <w:sz w:val="18"/>
              </w:rPr>
              <w:t>168</w:t>
            </w:r>
          </w:p>
        </w:tc>
        <w:tc>
          <w:tcPr>
            <w:tcW w:w="1200" w:type="dxa"/>
          </w:tcPr>
          <w:p>
            <w:pPr>
              <w:pStyle w:val="TableParagraph"/>
              <w:spacing w:before="92"/>
              <w:ind w:right="442"/>
              <w:rPr>
                <w:rFonts w:ascii="Arial"/>
                <w:sz w:val="18"/>
              </w:rPr>
            </w:pPr>
            <w:r>
              <w:rPr>
                <w:rFonts w:ascii="Arial"/>
                <w:sz w:val="18"/>
              </w:rPr>
              <w:t>144</w:t>
            </w:r>
          </w:p>
        </w:tc>
        <w:tc>
          <w:tcPr>
            <w:tcW w:w="1200" w:type="dxa"/>
          </w:tcPr>
          <w:p>
            <w:pPr>
              <w:pStyle w:val="TableParagraph"/>
              <w:spacing w:before="92"/>
              <w:ind w:left="494" w:right="87"/>
              <w:jc w:val="left"/>
              <w:rPr>
                <w:rFonts w:ascii="Arial"/>
                <w:sz w:val="18"/>
              </w:rPr>
            </w:pPr>
            <w:r>
              <w:rPr>
                <w:rFonts w:ascii="Arial"/>
                <w:sz w:val="18"/>
              </w:rPr>
              <w:t>97</w:t>
            </w:r>
          </w:p>
        </w:tc>
        <w:tc>
          <w:tcPr>
            <w:tcW w:w="1200" w:type="dxa"/>
          </w:tcPr>
          <w:p>
            <w:pPr>
              <w:pStyle w:val="TableParagraph"/>
              <w:spacing w:before="92"/>
              <w:ind w:left="444" w:right="87"/>
              <w:jc w:val="left"/>
              <w:rPr>
                <w:rFonts w:ascii="Arial"/>
                <w:sz w:val="18"/>
              </w:rPr>
            </w:pPr>
            <w:r>
              <w:rPr>
                <w:rFonts w:ascii="Arial"/>
                <w:sz w:val="18"/>
              </w:rPr>
              <w:t>168</w:t>
            </w:r>
          </w:p>
        </w:tc>
        <w:tc>
          <w:tcPr>
            <w:tcW w:w="1200" w:type="dxa"/>
          </w:tcPr>
          <w:p>
            <w:pPr>
              <w:pStyle w:val="TableParagraph"/>
              <w:spacing w:before="92"/>
              <w:ind w:right="0"/>
              <w:jc w:val="center"/>
              <w:rPr>
                <w:rFonts w:ascii="Arial"/>
                <w:sz w:val="18"/>
              </w:rPr>
            </w:pPr>
            <w:r>
              <w:rPr>
                <w:rFonts w:ascii="Arial"/>
                <w:w w:val="99"/>
                <w:sz w:val="18"/>
              </w:rPr>
              <w:t>-</w:t>
            </w:r>
          </w:p>
        </w:tc>
      </w:tr>
      <w:tr>
        <w:trPr>
          <w:trHeight w:val="312" w:hRule="exact"/>
        </w:trPr>
        <w:tc>
          <w:tcPr>
            <w:tcW w:w="1601" w:type="dxa"/>
          </w:tcPr>
          <w:p>
            <w:pPr>
              <w:pStyle w:val="TableParagraph"/>
              <w:spacing w:before="92"/>
              <w:ind w:right="512"/>
              <w:rPr>
                <w:rFonts w:ascii="Arial"/>
                <w:sz w:val="18"/>
              </w:rPr>
            </w:pPr>
            <w:r>
              <w:rPr>
                <w:rFonts w:ascii="Arial"/>
                <w:sz w:val="18"/>
              </w:rPr>
              <w:t>61 - 75</w:t>
            </w:r>
          </w:p>
        </w:tc>
        <w:tc>
          <w:tcPr>
            <w:tcW w:w="1200" w:type="dxa"/>
          </w:tcPr>
          <w:p>
            <w:pPr>
              <w:pStyle w:val="TableParagraph"/>
              <w:spacing w:before="92"/>
              <w:ind w:left="42" w:right="42"/>
              <w:jc w:val="center"/>
              <w:rPr>
                <w:rFonts w:ascii="Arial"/>
                <w:sz w:val="18"/>
              </w:rPr>
            </w:pPr>
            <w:r>
              <w:rPr>
                <w:rFonts w:ascii="Arial"/>
                <w:sz w:val="18"/>
              </w:rPr>
              <w:t>450</w:t>
            </w:r>
          </w:p>
        </w:tc>
        <w:tc>
          <w:tcPr>
            <w:tcW w:w="1200" w:type="dxa"/>
          </w:tcPr>
          <w:p>
            <w:pPr>
              <w:pStyle w:val="TableParagraph"/>
              <w:spacing w:before="92"/>
              <w:ind w:left="42" w:right="42"/>
              <w:jc w:val="center"/>
              <w:rPr>
                <w:rFonts w:ascii="Arial"/>
                <w:sz w:val="18"/>
              </w:rPr>
            </w:pPr>
            <w:r>
              <w:rPr>
                <w:rFonts w:ascii="Arial"/>
                <w:sz w:val="18"/>
              </w:rPr>
              <w:t>441</w:t>
            </w:r>
          </w:p>
        </w:tc>
        <w:tc>
          <w:tcPr>
            <w:tcW w:w="1200" w:type="dxa"/>
          </w:tcPr>
          <w:p>
            <w:pPr>
              <w:pStyle w:val="TableParagraph"/>
              <w:spacing w:before="92"/>
              <w:ind w:right="442"/>
              <w:rPr>
                <w:rFonts w:ascii="Arial"/>
                <w:sz w:val="18"/>
              </w:rPr>
            </w:pPr>
            <w:r>
              <w:rPr>
                <w:rFonts w:ascii="Arial"/>
                <w:sz w:val="18"/>
              </w:rPr>
              <w:t>152</w:t>
            </w:r>
          </w:p>
        </w:tc>
        <w:tc>
          <w:tcPr>
            <w:tcW w:w="1200" w:type="dxa"/>
          </w:tcPr>
          <w:p>
            <w:pPr>
              <w:pStyle w:val="TableParagraph"/>
              <w:spacing w:before="92"/>
              <w:ind w:left="444" w:right="87"/>
              <w:jc w:val="left"/>
              <w:rPr>
                <w:rFonts w:ascii="Arial"/>
                <w:sz w:val="18"/>
              </w:rPr>
            </w:pPr>
            <w:r>
              <w:rPr>
                <w:rFonts w:ascii="Arial"/>
                <w:sz w:val="18"/>
              </w:rPr>
              <w:t>151</w:t>
            </w:r>
          </w:p>
        </w:tc>
        <w:tc>
          <w:tcPr>
            <w:tcW w:w="1200" w:type="dxa"/>
          </w:tcPr>
          <w:p>
            <w:pPr>
              <w:pStyle w:val="TableParagraph"/>
              <w:spacing w:before="92"/>
              <w:ind w:left="494" w:right="87"/>
              <w:jc w:val="left"/>
              <w:rPr>
                <w:rFonts w:ascii="Arial"/>
                <w:sz w:val="18"/>
              </w:rPr>
            </w:pPr>
            <w:r>
              <w:rPr>
                <w:rFonts w:ascii="Arial"/>
                <w:sz w:val="18"/>
              </w:rPr>
              <w:t>50</w:t>
            </w:r>
          </w:p>
        </w:tc>
        <w:tc>
          <w:tcPr>
            <w:tcW w:w="1200" w:type="dxa"/>
          </w:tcPr>
          <w:p>
            <w:pPr>
              <w:pStyle w:val="TableParagraph"/>
              <w:spacing w:before="92"/>
              <w:ind w:left="41" w:right="42"/>
              <w:jc w:val="center"/>
              <w:rPr>
                <w:rFonts w:ascii="Arial"/>
                <w:sz w:val="18"/>
              </w:rPr>
            </w:pPr>
            <w:r>
              <w:rPr>
                <w:rFonts w:ascii="Arial"/>
                <w:sz w:val="18"/>
              </w:rPr>
              <w:t>13.10</w:t>
            </w:r>
          </w:p>
        </w:tc>
      </w:tr>
      <w:tr>
        <w:trPr>
          <w:trHeight w:val="310" w:hRule="exact"/>
        </w:trPr>
        <w:tc>
          <w:tcPr>
            <w:tcW w:w="1601" w:type="dxa"/>
          </w:tcPr>
          <w:p>
            <w:pPr>
              <w:pStyle w:val="TableParagraph"/>
              <w:spacing w:before="92"/>
              <w:ind w:right="512"/>
              <w:rPr>
                <w:rFonts w:ascii="Arial"/>
                <w:sz w:val="18"/>
              </w:rPr>
            </w:pPr>
            <w:r>
              <w:rPr>
                <w:rFonts w:ascii="Arial"/>
                <w:sz w:val="18"/>
              </w:rPr>
              <w:t>76 - 90</w:t>
            </w:r>
          </w:p>
        </w:tc>
        <w:tc>
          <w:tcPr>
            <w:tcW w:w="1200" w:type="dxa"/>
          </w:tcPr>
          <w:p>
            <w:pPr>
              <w:pStyle w:val="TableParagraph"/>
              <w:spacing w:before="92"/>
              <w:ind w:left="42" w:right="42"/>
              <w:jc w:val="center"/>
              <w:rPr>
                <w:rFonts w:ascii="Arial"/>
                <w:sz w:val="18"/>
              </w:rPr>
            </w:pPr>
            <w:r>
              <w:rPr>
                <w:rFonts w:ascii="Arial"/>
                <w:sz w:val="18"/>
              </w:rPr>
              <w:t>515</w:t>
            </w:r>
          </w:p>
        </w:tc>
        <w:tc>
          <w:tcPr>
            <w:tcW w:w="1200" w:type="dxa"/>
          </w:tcPr>
          <w:p>
            <w:pPr>
              <w:pStyle w:val="TableParagraph"/>
              <w:spacing w:before="92"/>
              <w:ind w:left="42" w:right="42"/>
              <w:jc w:val="center"/>
              <w:rPr>
                <w:rFonts w:ascii="Arial"/>
                <w:sz w:val="18"/>
              </w:rPr>
            </w:pPr>
            <w:r>
              <w:rPr>
                <w:rFonts w:ascii="Arial"/>
                <w:sz w:val="18"/>
              </w:rPr>
              <w:t>396</w:t>
            </w:r>
          </w:p>
        </w:tc>
        <w:tc>
          <w:tcPr>
            <w:tcW w:w="1200" w:type="dxa"/>
          </w:tcPr>
          <w:p>
            <w:pPr>
              <w:pStyle w:val="TableParagraph"/>
              <w:spacing w:before="92"/>
              <w:ind w:right="442"/>
              <w:rPr>
                <w:rFonts w:ascii="Arial"/>
                <w:sz w:val="18"/>
              </w:rPr>
            </w:pPr>
            <w:r>
              <w:rPr>
                <w:rFonts w:ascii="Arial"/>
                <w:sz w:val="18"/>
              </w:rPr>
              <w:t>158</w:t>
            </w:r>
          </w:p>
        </w:tc>
        <w:tc>
          <w:tcPr>
            <w:tcW w:w="1200" w:type="dxa"/>
          </w:tcPr>
          <w:p>
            <w:pPr>
              <w:pStyle w:val="TableParagraph"/>
              <w:spacing w:before="92"/>
              <w:ind w:left="444" w:right="87"/>
              <w:jc w:val="left"/>
              <w:rPr>
                <w:rFonts w:ascii="Arial"/>
                <w:sz w:val="18"/>
              </w:rPr>
            </w:pPr>
            <w:r>
              <w:rPr>
                <w:rFonts w:ascii="Arial"/>
                <w:sz w:val="18"/>
              </w:rPr>
              <w:t>145</w:t>
            </w:r>
          </w:p>
        </w:tc>
        <w:tc>
          <w:tcPr>
            <w:tcW w:w="1200" w:type="dxa"/>
          </w:tcPr>
          <w:p>
            <w:pPr>
              <w:pStyle w:val="TableParagraph"/>
              <w:spacing w:before="92"/>
              <w:ind w:left="494" w:right="87"/>
              <w:jc w:val="left"/>
              <w:rPr>
                <w:rFonts w:ascii="Arial"/>
                <w:sz w:val="18"/>
              </w:rPr>
            </w:pPr>
            <w:r>
              <w:rPr>
                <w:rFonts w:ascii="Arial"/>
                <w:sz w:val="18"/>
              </w:rPr>
              <w:t>65</w:t>
            </w:r>
          </w:p>
        </w:tc>
        <w:tc>
          <w:tcPr>
            <w:tcW w:w="1200" w:type="dxa"/>
          </w:tcPr>
          <w:p>
            <w:pPr>
              <w:pStyle w:val="TableParagraph"/>
              <w:spacing w:before="92"/>
              <w:ind w:left="41" w:right="42"/>
              <w:jc w:val="center"/>
              <w:rPr>
                <w:rFonts w:ascii="Arial"/>
                <w:sz w:val="18"/>
              </w:rPr>
            </w:pPr>
            <w:r>
              <w:rPr>
                <w:rFonts w:ascii="Arial"/>
                <w:sz w:val="18"/>
              </w:rPr>
              <w:t>11.20</w:t>
            </w:r>
          </w:p>
        </w:tc>
      </w:tr>
      <w:tr>
        <w:trPr>
          <w:trHeight w:val="310" w:hRule="exact"/>
        </w:trPr>
        <w:tc>
          <w:tcPr>
            <w:tcW w:w="1601" w:type="dxa"/>
          </w:tcPr>
          <w:p>
            <w:pPr>
              <w:pStyle w:val="TableParagraph"/>
              <w:spacing w:before="92"/>
              <w:ind w:right="464"/>
              <w:rPr>
                <w:rFonts w:ascii="Arial"/>
                <w:sz w:val="18"/>
              </w:rPr>
            </w:pPr>
            <w:r>
              <w:rPr>
                <w:rFonts w:ascii="Arial"/>
                <w:sz w:val="18"/>
              </w:rPr>
              <w:t>91 - 105</w:t>
            </w:r>
          </w:p>
        </w:tc>
        <w:tc>
          <w:tcPr>
            <w:tcW w:w="1200" w:type="dxa"/>
          </w:tcPr>
          <w:p>
            <w:pPr>
              <w:pStyle w:val="TableParagraph"/>
              <w:spacing w:before="92"/>
              <w:ind w:left="42" w:right="42"/>
              <w:jc w:val="center"/>
              <w:rPr>
                <w:rFonts w:ascii="Arial"/>
                <w:sz w:val="18"/>
              </w:rPr>
            </w:pPr>
            <w:r>
              <w:rPr>
                <w:rFonts w:ascii="Arial"/>
                <w:sz w:val="18"/>
              </w:rPr>
              <w:t>579</w:t>
            </w:r>
          </w:p>
        </w:tc>
        <w:tc>
          <w:tcPr>
            <w:tcW w:w="1200" w:type="dxa"/>
          </w:tcPr>
          <w:p>
            <w:pPr>
              <w:pStyle w:val="TableParagraph"/>
              <w:spacing w:before="92"/>
              <w:ind w:left="42" w:right="42"/>
              <w:jc w:val="center"/>
              <w:rPr>
                <w:rFonts w:ascii="Arial"/>
                <w:sz w:val="18"/>
              </w:rPr>
            </w:pPr>
            <w:r>
              <w:rPr>
                <w:rFonts w:ascii="Arial"/>
                <w:sz w:val="18"/>
              </w:rPr>
              <w:t>390</w:t>
            </w:r>
          </w:p>
        </w:tc>
        <w:tc>
          <w:tcPr>
            <w:tcW w:w="1200" w:type="dxa"/>
          </w:tcPr>
          <w:p>
            <w:pPr>
              <w:pStyle w:val="TableParagraph"/>
              <w:spacing w:before="92"/>
              <w:ind w:right="442"/>
              <w:rPr>
                <w:rFonts w:ascii="Arial"/>
                <w:sz w:val="18"/>
              </w:rPr>
            </w:pPr>
            <w:r>
              <w:rPr>
                <w:rFonts w:ascii="Arial"/>
                <w:sz w:val="18"/>
              </w:rPr>
              <w:t>164</w:t>
            </w:r>
          </w:p>
        </w:tc>
        <w:tc>
          <w:tcPr>
            <w:tcW w:w="1200" w:type="dxa"/>
          </w:tcPr>
          <w:p>
            <w:pPr>
              <w:pStyle w:val="TableParagraph"/>
              <w:spacing w:before="92"/>
              <w:ind w:left="444" w:right="87"/>
              <w:jc w:val="left"/>
              <w:rPr>
                <w:rFonts w:ascii="Arial"/>
                <w:sz w:val="18"/>
              </w:rPr>
            </w:pPr>
            <w:r>
              <w:rPr>
                <w:rFonts w:ascii="Arial"/>
                <w:sz w:val="18"/>
              </w:rPr>
              <w:t>144</w:t>
            </w:r>
          </w:p>
        </w:tc>
        <w:tc>
          <w:tcPr>
            <w:tcW w:w="1200" w:type="dxa"/>
          </w:tcPr>
          <w:p>
            <w:pPr>
              <w:pStyle w:val="TableParagraph"/>
              <w:spacing w:before="92"/>
              <w:ind w:left="494" w:right="87"/>
              <w:jc w:val="left"/>
              <w:rPr>
                <w:rFonts w:ascii="Arial"/>
                <w:sz w:val="18"/>
              </w:rPr>
            </w:pPr>
            <w:r>
              <w:rPr>
                <w:rFonts w:ascii="Arial"/>
                <w:sz w:val="18"/>
              </w:rPr>
              <w:t>47</w:t>
            </w:r>
          </w:p>
        </w:tc>
        <w:tc>
          <w:tcPr>
            <w:tcW w:w="1200" w:type="dxa"/>
          </w:tcPr>
          <w:p>
            <w:pPr>
              <w:pStyle w:val="TableParagraph"/>
              <w:spacing w:before="92"/>
              <w:ind w:left="41" w:right="42"/>
              <w:jc w:val="center"/>
              <w:rPr>
                <w:rFonts w:ascii="Arial"/>
                <w:sz w:val="18"/>
              </w:rPr>
            </w:pPr>
            <w:r>
              <w:rPr>
                <w:rFonts w:ascii="Arial"/>
                <w:sz w:val="18"/>
              </w:rPr>
              <w:t>13.50</w:t>
            </w:r>
          </w:p>
        </w:tc>
      </w:tr>
      <w:tr>
        <w:trPr>
          <w:trHeight w:val="310" w:hRule="exact"/>
        </w:trPr>
        <w:tc>
          <w:tcPr>
            <w:tcW w:w="1601" w:type="dxa"/>
          </w:tcPr>
          <w:p>
            <w:pPr>
              <w:pStyle w:val="TableParagraph"/>
              <w:spacing w:before="92"/>
              <w:ind w:right="413"/>
              <w:rPr>
                <w:rFonts w:ascii="Arial"/>
                <w:sz w:val="18"/>
              </w:rPr>
            </w:pPr>
            <w:r>
              <w:rPr>
                <w:rFonts w:ascii="Arial"/>
                <w:sz w:val="18"/>
              </w:rPr>
              <w:t>106 - 120</w:t>
            </w:r>
          </w:p>
        </w:tc>
        <w:tc>
          <w:tcPr>
            <w:tcW w:w="1200" w:type="dxa"/>
          </w:tcPr>
          <w:p>
            <w:pPr>
              <w:pStyle w:val="TableParagraph"/>
              <w:spacing w:before="92"/>
              <w:ind w:left="42" w:right="42"/>
              <w:jc w:val="center"/>
              <w:rPr>
                <w:rFonts w:ascii="Arial"/>
                <w:sz w:val="18"/>
              </w:rPr>
            </w:pPr>
            <w:r>
              <w:rPr>
                <w:rFonts w:ascii="Arial"/>
                <w:sz w:val="18"/>
              </w:rPr>
              <w:t>643</w:t>
            </w:r>
          </w:p>
        </w:tc>
        <w:tc>
          <w:tcPr>
            <w:tcW w:w="1200" w:type="dxa"/>
          </w:tcPr>
          <w:p>
            <w:pPr>
              <w:pStyle w:val="TableParagraph"/>
              <w:spacing w:before="92"/>
              <w:ind w:left="42" w:right="42"/>
              <w:jc w:val="center"/>
              <w:rPr>
                <w:rFonts w:ascii="Arial"/>
                <w:sz w:val="18"/>
              </w:rPr>
            </w:pPr>
            <w:r>
              <w:rPr>
                <w:rFonts w:ascii="Arial"/>
                <w:sz w:val="18"/>
              </w:rPr>
              <w:t>384</w:t>
            </w:r>
          </w:p>
        </w:tc>
        <w:tc>
          <w:tcPr>
            <w:tcW w:w="1200" w:type="dxa"/>
          </w:tcPr>
          <w:p>
            <w:pPr>
              <w:pStyle w:val="TableParagraph"/>
              <w:spacing w:before="92"/>
              <w:ind w:right="442"/>
              <w:rPr>
                <w:rFonts w:ascii="Arial"/>
                <w:sz w:val="18"/>
              </w:rPr>
            </w:pPr>
            <w:r>
              <w:rPr>
                <w:rFonts w:ascii="Arial"/>
                <w:sz w:val="18"/>
              </w:rPr>
              <w:t>168</w:t>
            </w:r>
          </w:p>
        </w:tc>
        <w:tc>
          <w:tcPr>
            <w:tcW w:w="1200" w:type="dxa"/>
          </w:tcPr>
          <w:p>
            <w:pPr>
              <w:pStyle w:val="TableParagraph"/>
              <w:spacing w:before="92"/>
              <w:ind w:left="444" w:right="87"/>
              <w:jc w:val="left"/>
              <w:rPr>
                <w:rFonts w:ascii="Arial"/>
                <w:sz w:val="18"/>
              </w:rPr>
            </w:pPr>
            <w:r>
              <w:rPr>
                <w:rFonts w:ascii="Arial"/>
                <w:sz w:val="18"/>
              </w:rPr>
              <w:t>144</w:t>
            </w:r>
          </w:p>
        </w:tc>
        <w:tc>
          <w:tcPr>
            <w:tcW w:w="1200" w:type="dxa"/>
          </w:tcPr>
          <w:p>
            <w:pPr>
              <w:pStyle w:val="TableParagraph"/>
              <w:spacing w:before="92"/>
              <w:ind w:left="494" w:right="87"/>
              <w:jc w:val="left"/>
              <w:rPr>
                <w:rFonts w:ascii="Arial"/>
                <w:sz w:val="18"/>
              </w:rPr>
            </w:pPr>
            <w:r>
              <w:rPr>
                <w:rFonts w:ascii="Arial"/>
                <w:sz w:val="18"/>
              </w:rPr>
              <w:t>50</w:t>
            </w:r>
          </w:p>
        </w:tc>
        <w:tc>
          <w:tcPr>
            <w:tcW w:w="1200" w:type="dxa"/>
          </w:tcPr>
          <w:p>
            <w:pPr>
              <w:pStyle w:val="TableParagraph"/>
              <w:spacing w:before="92"/>
              <w:ind w:left="41" w:right="42"/>
              <w:jc w:val="center"/>
              <w:rPr>
                <w:rFonts w:ascii="Arial"/>
                <w:sz w:val="18"/>
              </w:rPr>
            </w:pPr>
            <w:r>
              <w:rPr>
                <w:rFonts w:ascii="Arial"/>
                <w:sz w:val="18"/>
              </w:rPr>
              <w:t>13.00</w:t>
            </w:r>
          </w:p>
        </w:tc>
      </w:tr>
      <w:tr>
        <w:trPr>
          <w:trHeight w:val="310" w:hRule="exact"/>
        </w:trPr>
        <w:tc>
          <w:tcPr>
            <w:tcW w:w="1601" w:type="dxa"/>
          </w:tcPr>
          <w:p>
            <w:pPr>
              <w:pStyle w:val="TableParagraph"/>
              <w:spacing w:before="92"/>
              <w:ind w:right="439"/>
              <w:rPr>
                <w:rFonts w:ascii="Arial"/>
                <w:sz w:val="18"/>
              </w:rPr>
            </w:pPr>
            <w:r>
              <w:rPr>
                <w:rFonts w:ascii="Arial"/>
                <w:sz w:val="18"/>
              </w:rPr>
              <w:t>121 -135</w:t>
            </w:r>
          </w:p>
        </w:tc>
        <w:tc>
          <w:tcPr>
            <w:tcW w:w="1200" w:type="dxa"/>
          </w:tcPr>
          <w:p>
            <w:pPr>
              <w:pStyle w:val="TableParagraph"/>
              <w:spacing w:before="92"/>
              <w:ind w:left="42" w:right="42"/>
              <w:jc w:val="center"/>
              <w:rPr>
                <w:rFonts w:ascii="Arial"/>
                <w:sz w:val="18"/>
              </w:rPr>
            </w:pPr>
            <w:r>
              <w:rPr>
                <w:rFonts w:ascii="Arial"/>
                <w:sz w:val="18"/>
              </w:rPr>
              <w:t>708</w:t>
            </w:r>
          </w:p>
        </w:tc>
        <w:tc>
          <w:tcPr>
            <w:tcW w:w="1200" w:type="dxa"/>
          </w:tcPr>
          <w:p>
            <w:pPr>
              <w:pStyle w:val="TableParagraph"/>
              <w:spacing w:before="92"/>
              <w:ind w:left="42" w:right="42"/>
              <w:jc w:val="center"/>
              <w:rPr>
                <w:rFonts w:ascii="Arial"/>
                <w:sz w:val="18"/>
              </w:rPr>
            </w:pPr>
            <w:r>
              <w:rPr>
                <w:rFonts w:ascii="Arial"/>
                <w:sz w:val="18"/>
              </w:rPr>
              <w:t>382</w:t>
            </w:r>
          </w:p>
        </w:tc>
        <w:tc>
          <w:tcPr>
            <w:tcW w:w="1200" w:type="dxa"/>
          </w:tcPr>
          <w:p>
            <w:pPr>
              <w:pStyle w:val="TableParagraph"/>
              <w:spacing w:before="92"/>
              <w:ind w:right="442"/>
              <w:rPr>
                <w:rFonts w:ascii="Arial"/>
                <w:sz w:val="18"/>
              </w:rPr>
            </w:pPr>
            <w:r>
              <w:rPr>
                <w:rFonts w:ascii="Arial"/>
                <w:sz w:val="18"/>
              </w:rPr>
              <w:t>173</w:t>
            </w:r>
          </w:p>
        </w:tc>
        <w:tc>
          <w:tcPr>
            <w:tcW w:w="1200" w:type="dxa"/>
          </w:tcPr>
          <w:p>
            <w:pPr>
              <w:pStyle w:val="TableParagraph"/>
              <w:spacing w:before="92"/>
              <w:ind w:left="444" w:right="87"/>
              <w:jc w:val="left"/>
              <w:rPr>
                <w:rFonts w:ascii="Arial"/>
                <w:sz w:val="18"/>
              </w:rPr>
            </w:pPr>
            <w:r>
              <w:rPr>
                <w:rFonts w:ascii="Arial"/>
                <w:sz w:val="18"/>
              </w:rPr>
              <w:t>143</w:t>
            </w:r>
          </w:p>
        </w:tc>
        <w:tc>
          <w:tcPr>
            <w:tcW w:w="1200" w:type="dxa"/>
          </w:tcPr>
          <w:p>
            <w:pPr>
              <w:pStyle w:val="TableParagraph"/>
              <w:spacing w:before="92"/>
              <w:ind w:left="494" w:right="87"/>
              <w:jc w:val="left"/>
              <w:rPr>
                <w:rFonts w:ascii="Arial"/>
                <w:sz w:val="18"/>
              </w:rPr>
            </w:pPr>
            <w:r>
              <w:rPr>
                <w:rFonts w:ascii="Arial"/>
                <w:sz w:val="18"/>
              </w:rPr>
              <w:t>50</w:t>
            </w:r>
          </w:p>
        </w:tc>
        <w:tc>
          <w:tcPr>
            <w:tcW w:w="1200" w:type="dxa"/>
          </w:tcPr>
          <w:p>
            <w:pPr>
              <w:pStyle w:val="TableParagraph"/>
              <w:spacing w:before="92"/>
              <w:ind w:left="41" w:right="42"/>
              <w:jc w:val="center"/>
              <w:rPr>
                <w:rFonts w:ascii="Arial"/>
                <w:sz w:val="18"/>
              </w:rPr>
            </w:pPr>
            <w:r>
              <w:rPr>
                <w:rFonts w:ascii="Arial"/>
                <w:sz w:val="18"/>
              </w:rPr>
              <w:t>13.00</w:t>
            </w:r>
          </w:p>
        </w:tc>
      </w:tr>
      <w:tr>
        <w:trPr>
          <w:trHeight w:val="310" w:hRule="exact"/>
        </w:trPr>
        <w:tc>
          <w:tcPr>
            <w:tcW w:w="1601" w:type="dxa"/>
          </w:tcPr>
          <w:p>
            <w:pPr>
              <w:pStyle w:val="TableParagraph"/>
              <w:spacing w:before="92"/>
              <w:ind w:right="413"/>
              <w:rPr>
                <w:rFonts w:ascii="Arial"/>
                <w:sz w:val="18"/>
              </w:rPr>
            </w:pPr>
            <w:r>
              <w:rPr>
                <w:rFonts w:ascii="Arial"/>
                <w:sz w:val="18"/>
              </w:rPr>
              <w:t>136 - 150</w:t>
            </w:r>
          </w:p>
        </w:tc>
        <w:tc>
          <w:tcPr>
            <w:tcW w:w="1200" w:type="dxa"/>
          </w:tcPr>
          <w:p>
            <w:pPr>
              <w:pStyle w:val="TableParagraph"/>
              <w:spacing w:before="92"/>
              <w:ind w:left="42" w:right="42"/>
              <w:jc w:val="center"/>
              <w:rPr>
                <w:rFonts w:ascii="Arial"/>
                <w:sz w:val="18"/>
              </w:rPr>
            </w:pPr>
            <w:r>
              <w:rPr>
                <w:rFonts w:ascii="Arial"/>
                <w:sz w:val="18"/>
              </w:rPr>
              <w:t>772</w:t>
            </w:r>
          </w:p>
        </w:tc>
        <w:tc>
          <w:tcPr>
            <w:tcW w:w="1200" w:type="dxa"/>
          </w:tcPr>
          <w:p>
            <w:pPr>
              <w:pStyle w:val="TableParagraph"/>
              <w:spacing w:before="92"/>
              <w:ind w:left="42" w:right="42"/>
              <w:jc w:val="center"/>
              <w:rPr>
                <w:rFonts w:ascii="Arial"/>
                <w:sz w:val="18"/>
              </w:rPr>
            </w:pPr>
            <w:r>
              <w:rPr>
                <w:rFonts w:ascii="Arial"/>
                <w:sz w:val="18"/>
              </w:rPr>
              <w:t>382</w:t>
            </w:r>
          </w:p>
        </w:tc>
        <w:tc>
          <w:tcPr>
            <w:tcW w:w="1200" w:type="dxa"/>
          </w:tcPr>
          <w:p>
            <w:pPr>
              <w:pStyle w:val="TableParagraph"/>
              <w:spacing w:before="92"/>
              <w:ind w:right="442"/>
              <w:rPr>
                <w:rFonts w:ascii="Arial"/>
                <w:sz w:val="18"/>
              </w:rPr>
            </w:pPr>
            <w:r>
              <w:rPr>
                <w:rFonts w:ascii="Arial"/>
                <w:sz w:val="18"/>
              </w:rPr>
              <w:t>176</w:t>
            </w:r>
          </w:p>
        </w:tc>
        <w:tc>
          <w:tcPr>
            <w:tcW w:w="1200" w:type="dxa"/>
          </w:tcPr>
          <w:p>
            <w:pPr>
              <w:pStyle w:val="TableParagraph"/>
              <w:spacing w:before="92"/>
              <w:ind w:left="444" w:right="87"/>
              <w:jc w:val="left"/>
              <w:rPr>
                <w:rFonts w:ascii="Arial"/>
                <w:sz w:val="18"/>
              </w:rPr>
            </w:pPr>
            <w:r>
              <w:rPr>
                <w:rFonts w:ascii="Arial"/>
                <w:sz w:val="18"/>
              </w:rPr>
              <w:t>143</w:t>
            </w:r>
          </w:p>
        </w:tc>
        <w:tc>
          <w:tcPr>
            <w:tcW w:w="1200" w:type="dxa"/>
          </w:tcPr>
          <w:p>
            <w:pPr>
              <w:pStyle w:val="TableParagraph"/>
              <w:spacing w:before="92"/>
              <w:ind w:left="444" w:right="87"/>
              <w:jc w:val="left"/>
              <w:rPr>
                <w:rFonts w:ascii="Arial"/>
                <w:sz w:val="18"/>
              </w:rPr>
            </w:pPr>
            <w:r>
              <w:rPr>
                <w:rFonts w:ascii="Arial"/>
                <w:sz w:val="18"/>
              </w:rPr>
              <w:t>382</w:t>
            </w:r>
          </w:p>
        </w:tc>
        <w:tc>
          <w:tcPr>
            <w:tcW w:w="1200" w:type="dxa"/>
          </w:tcPr>
          <w:p>
            <w:pPr>
              <w:pStyle w:val="TableParagraph"/>
              <w:spacing w:before="92"/>
              <w:ind w:right="0"/>
              <w:jc w:val="center"/>
              <w:rPr>
                <w:rFonts w:ascii="Arial"/>
                <w:sz w:val="18"/>
              </w:rPr>
            </w:pPr>
            <w:r>
              <w:rPr>
                <w:rFonts w:ascii="Arial"/>
                <w:w w:val="99"/>
                <w:sz w:val="18"/>
              </w:rPr>
              <w:t>-</w:t>
            </w:r>
          </w:p>
        </w:tc>
      </w:tr>
      <w:tr>
        <w:trPr>
          <w:trHeight w:val="312" w:hRule="exact"/>
        </w:trPr>
        <w:tc>
          <w:tcPr>
            <w:tcW w:w="8801" w:type="dxa"/>
            <w:gridSpan w:val="7"/>
          </w:tcPr>
          <w:p>
            <w:pPr>
              <w:pStyle w:val="TableParagraph"/>
              <w:spacing w:before="30"/>
              <w:ind w:left="2963" w:right="2964"/>
              <w:jc w:val="center"/>
              <w:rPr>
                <w:sz w:val="22"/>
              </w:rPr>
            </w:pPr>
            <w:r>
              <w:rPr>
                <w:sz w:val="22"/>
              </w:rPr>
              <w:t>Nivel de confianza (α-1) de 95%</w:t>
            </w:r>
          </w:p>
        </w:tc>
      </w:tr>
    </w:tbl>
    <w:p>
      <w:pPr>
        <w:pStyle w:val="BodyText"/>
        <w:rPr>
          <w:b/>
          <w:sz w:val="20"/>
        </w:rPr>
      </w:pPr>
    </w:p>
    <w:p>
      <w:pPr>
        <w:pStyle w:val="BodyText"/>
        <w:spacing w:before="6"/>
        <w:rPr>
          <w:b/>
          <w:sz w:val="23"/>
        </w:rPr>
      </w:pPr>
    </w:p>
    <w:p>
      <w:pPr>
        <w:pStyle w:val="Heading5"/>
        <w:numPr>
          <w:ilvl w:val="1"/>
          <w:numId w:val="7"/>
        </w:numPr>
        <w:tabs>
          <w:tab w:pos="1298" w:val="left" w:leader="none"/>
        </w:tabs>
        <w:spacing w:line="360" w:lineRule="auto" w:before="73" w:after="0"/>
        <w:ind w:left="781" w:right="499" w:firstLine="0"/>
        <w:jc w:val="both"/>
      </w:pPr>
      <w:bookmarkStart w:name="4.5. Eficiencia del tren de tratamiento " w:id="65"/>
      <w:bookmarkEnd w:id="65"/>
      <w:r>
        <w:rPr>
          <w:b w:val="0"/>
        </w:rPr>
      </w:r>
      <w:bookmarkStart w:name="4.5. Eficiencia del tren de tratamiento " w:id="66"/>
      <w:bookmarkEnd w:id="66"/>
      <w:r>
        <w:rPr/>
        <w:t>E</w:t>
      </w:r>
      <w:r>
        <w:rPr/>
        <w:t>FICIENCIA DEL TREN DE TRATAMIENTO Y EVALUACIÓN DE TASA DE REMOCIÓN</w:t>
      </w:r>
    </w:p>
    <w:p>
      <w:pPr>
        <w:pStyle w:val="BodyText"/>
        <w:rPr>
          <w:b/>
          <w:sz w:val="18"/>
        </w:rPr>
      </w:pPr>
    </w:p>
    <w:p>
      <w:pPr>
        <w:pStyle w:val="BodyText"/>
        <w:spacing w:line="357" w:lineRule="auto"/>
        <w:ind w:left="781" w:right="497"/>
        <w:jc w:val="both"/>
      </w:pPr>
      <w:r>
        <w:rPr/>
        <w:t>Para conocer la eficiencia del sistema se analizaron los siguientes parámetros: demanda química de oxígeno (DQO), demanda bioquímica de oxígeno  (DBO</w:t>
      </w:r>
      <w:r>
        <w:rPr>
          <w:position w:val="-2"/>
          <w:sz w:val="13"/>
        </w:rPr>
        <w:t>5</w:t>
      </w:r>
      <w:r>
        <w:rPr/>
        <w:t>),  nitrógeno amoniacal, nitritos, nitratos, alcalinidad total, acidez y sólidos suspendidos totales (SST), en laboratorio; oxígeno disuelto (OD), temperatura y pH </w:t>
      </w:r>
      <w:r>
        <w:rPr>
          <w:i/>
        </w:rPr>
        <w:t>in situ</w:t>
      </w:r>
      <w:r>
        <w:rPr/>
        <w:t>. El muestreo de los parámetros que se realizó </w:t>
      </w:r>
      <w:r>
        <w:rPr>
          <w:i/>
        </w:rPr>
        <w:t>in situ </w:t>
      </w:r>
      <w:r>
        <w:rPr/>
        <w:t>fue de tipo sistemático, de manera diaria entre las 7:00 y 8:00 horas para evaluar las condiciones más críticas de los mismos.</w:t>
      </w:r>
    </w:p>
    <w:p>
      <w:pPr>
        <w:pStyle w:val="BodyText"/>
        <w:rPr>
          <w:sz w:val="18"/>
        </w:rPr>
      </w:pPr>
    </w:p>
    <w:p>
      <w:pPr>
        <w:pStyle w:val="BodyText"/>
        <w:spacing w:line="360" w:lineRule="auto"/>
        <w:ind w:left="781" w:right="496"/>
        <w:jc w:val="both"/>
      </w:pPr>
      <w:r>
        <w:rPr/>
        <w:t>En cuanto a la obtención de los valores de los parámetros de nitrógeno amoniacal,   nitritos, nitratos, DBO</w:t>
      </w:r>
      <w:r>
        <w:rPr>
          <w:position w:val="-2"/>
          <w:sz w:val="13"/>
        </w:rPr>
        <w:t>5</w:t>
      </w:r>
      <w:r>
        <w:rPr/>
        <w:t>, DQO, alcalinidad, acidez y sólidos suspendidos totales, se efectuó mediante un muestreo aleatorio estratificado, lo que dio estimaciones más precisas (con menor varianza) para toda la población (Lohr, 2000), tomando como estratos los cambios de la biomasa, dos días por semana y con un tamaño de muestra de 67 mediciones, lo que permitió tener una precisión del 12,5% con un nivel de confianza (1 – α) de 95 %. No obstante lo planeado, debido a las fallas de energía eléctrica el tiempo de cultivo se redujo de 150 a 121 días efectivos y considerando que el muestreo se empezó después de que se tuviera un sistema maduro se realizaron 28 muestreos en la fase experimental lo que llevó a tener una precisión del 15 % con un nivel de confianza (1 – α) de 95 %. Para evitar errores por posibles comportamientos cíclicos en el muestreo sistemático, las muestras</w:t>
      </w:r>
      <w:r>
        <w:rPr>
          <w:spacing w:val="-12"/>
        </w:rPr>
        <w:t> </w:t>
      </w:r>
      <w:r>
        <w:rPr/>
        <w:t>se</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821" w:right="978"/>
        <w:jc w:val="both"/>
      </w:pPr>
      <w:r>
        <w:rPr/>
        <w:t>tomaron aleatoriamente a lo largo del día. Para la medición y determinación de los parámetros se tomaron en los puntos de muestreo identificados (figura 19) de acuerdo  con cada proceso precedente o posterior al punto de muestreo (tabla</w:t>
      </w:r>
      <w:r>
        <w:rPr>
          <w:spacing w:val="-29"/>
        </w:rPr>
        <w:t> </w:t>
      </w:r>
      <w:r>
        <w:rPr/>
        <w:t>9).</w:t>
      </w:r>
    </w:p>
    <w:p>
      <w:pPr>
        <w:pStyle w:val="BodyText"/>
        <w:spacing w:before="7"/>
        <w:rPr>
          <w:sz w:val="14"/>
        </w:rPr>
      </w:pPr>
      <w:r>
        <w:rPr/>
        <w:drawing>
          <wp:anchor distT="0" distB="0" distL="0" distR="0" allowOverlap="1" layoutInCell="1" locked="0" behindDoc="0" simplePos="0" relativeHeight="5728">
            <wp:simplePos x="0" y="0"/>
            <wp:positionH relativeFrom="page">
              <wp:posOffset>1572767</wp:posOffset>
            </wp:positionH>
            <wp:positionV relativeFrom="paragraph">
              <wp:posOffset>131624</wp:posOffset>
            </wp:positionV>
            <wp:extent cx="4677662" cy="3700653"/>
            <wp:effectExtent l="0" t="0" r="0" b="0"/>
            <wp:wrapTopAndBottom/>
            <wp:docPr id="15" name="image34.png" descr=""/>
            <wp:cNvGraphicFramePr>
              <a:graphicFrameLocks noChangeAspect="1"/>
            </wp:cNvGraphicFramePr>
            <a:graphic>
              <a:graphicData uri="http://schemas.openxmlformats.org/drawingml/2006/picture">
                <pic:pic>
                  <pic:nvPicPr>
                    <pic:cNvPr id="16" name="image34.png"/>
                    <pic:cNvPicPr/>
                  </pic:nvPicPr>
                  <pic:blipFill>
                    <a:blip r:embed="rId40" cstate="print"/>
                    <a:stretch>
                      <a:fillRect/>
                    </a:stretch>
                  </pic:blipFill>
                  <pic:spPr>
                    <a:xfrm>
                      <a:off x="0" y="0"/>
                      <a:ext cx="4677662" cy="3700653"/>
                    </a:xfrm>
                    <a:prstGeom prst="rect">
                      <a:avLst/>
                    </a:prstGeom>
                  </pic:spPr>
                </pic:pic>
              </a:graphicData>
            </a:graphic>
          </wp:anchor>
        </w:drawing>
      </w:r>
    </w:p>
    <w:p>
      <w:pPr>
        <w:spacing w:before="173"/>
        <w:ind w:left="2542" w:right="2696" w:firstLine="0"/>
        <w:jc w:val="center"/>
        <w:rPr>
          <w:b/>
          <w:sz w:val="18"/>
        </w:rPr>
      </w:pPr>
      <w:r>
        <w:rPr>
          <w:b/>
          <w:sz w:val="18"/>
        </w:rPr>
        <w:t>Figura 19. Puntos de muestreo en el sistema (cotas en metros)</w:t>
      </w:r>
    </w:p>
    <w:p>
      <w:pPr>
        <w:pStyle w:val="BodyText"/>
        <w:rPr>
          <w:b/>
          <w:sz w:val="18"/>
        </w:rPr>
      </w:pPr>
    </w:p>
    <w:p>
      <w:pPr>
        <w:pStyle w:val="BodyText"/>
        <w:rPr>
          <w:b/>
          <w:sz w:val="18"/>
        </w:rPr>
      </w:pPr>
    </w:p>
    <w:p>
      <w:pPr>
        <w:spacing w:before="104"/>
        <w:ind w:left="2539" w:right="2696" w:firstLine="0"/>
        <w:jc w:val="center"/>
        <w:rPr>
          <w:b/>
          <w:sz w:val="18"/>
        </w:rPr>
      </w:pPr>
      <w:r>
        <w:rPr>
          <w:b/>
          <w:sz w:val="18"/>
        </w:rPr>
        <w:t>Tabla 9. Parámetros analizados en cada punto de muestreo</w:t>
      </w:r>
    </w:p>
    <w:p>
      <w:pPr>
        <w:pStyle w:val="BodyText"/>
        <w:spacing w:before="10"/>
        <w:rPr>
          <w:b/>
          <w:sz w:val="10"/>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1277"/>
        <w:gridCol w:w="1385"/>
        <w:gridCol w:w="1296"/>
        <w:gridCol w:w="1344"/>
        <w:gridCol w:w="1277"/>
        <w:gridCol w:w="1416"/>
        <w:gridCol w:w="1277"/>
      </w:tblGrid>
      <w:tr>
        <w:trPr>
          <w:trHeight w:val="545" w:hRule="exact"/>
        </w:trPr>
        <w:tc>
          <w:tcPr>
            <w:tcW w:w="1133" w:type="dxa"/>
          </w:tcPr>
          <w:p>
            <w:pPr>
              <w:pStyle w:val="TableParagraph"/>
              <w:spacing w:before="0"/>
              <w:ind w:left="153" w:right="112" w:hanging="32"/>
              <w:jc w:val="left"/>
              <w:rPr>
                <w:rFonts w:ascii="Arial"/>
                <w:b/>
                <w:sz w:val="18"/>
              </w:rPr>
            </w:pPr>
            <w:r>
              <w:rPr>
                <w:rFonts w:ascii="Arial"/>
                <w:b/>
                <w:sz w:val="18"/>
              </w:rPr>
              <w:t>Puntos de muestreo</w:t>
            </w:r>
          </w:p>
        </w:tc>
        <w:tc>
          <w:tcPr>
            <w:tcW w:w="1277" w:type="dxa"/>
          </w:tcPr>
          <w:p>
            <w:pPr>
              <w:pStyle w:val="TableParagraph"/>
              <w:spacing w:before="109"/>
              <w:ind w:right="0"/>
              <w:jc w:val="center"/>
              <w:rPr>
                <w:rFonts w:ascii="Arial"/>
                <w:b/>
                <w:sz w:val="16"/>
              </w:rPr>
            </w:pPr>
            <w:r>
              <w:rPr>
                <w:rFonts w:ascii="Arial"/>
                <w:b/>
                <w:w w:val="100"/>
                <w:sz w:val="16"/>
              </w:rPr>
              <w:t>A</w:t>
            </w:r>
          </w:p>
        </w:tc>
        <w:tc>
          <w:tcPr>
            <w:tcW w:w="1385" w:type="dxa"/>
          </w:tcPr>
          <w:p>
            <w:pPr>
              <w:pStyle w:val="TableParagraph"/>
              <w:spacing w:before="109"/>
              <w:ind w:left="3" w:right="0"/>
              <w:jc w:val="center"/>
              <w:rPr>
                <w:rFonts w:ascii="Arial"/>
                <w:b/>
                <w:sz w:val="16"/>
              </w:rPr>
            </w:pPr>
            <w:r>
              <w:rPr>
                <w:rFonts w:ascii="Arial"/>
                <w:b/>
                <w:w w:val="100"/>
                <w:sz w:val="16"/>
              </w:rPr>
              <w:t>B</w:t>
            </w:r>
          </w:p>
        </w:tc>
        <w:tc>
          <w:tcPr>
            <w:tcW w:w="1296" w:type="dxa"/>
          </w:tcPr>
          <w:p>
            <w:pPr>
              <w:pStyle w:val="TableParagraph"/>
              <w:spacing w:before="109"/>
              <w:ind w:left="1" w:right="0"/>
              <w:jc w:val="center"/>
              <w:rPr>
                <w:rFonts w:ascii="Arial"/>
                <w:b/>
                <w:sz w:val="16"/>
              </w:rPr>
            </w:pPr>
            <w:r>
              <w:rPr>
                <w:rFonts w:ascii="Arial"/>
                <w:b/>
                <w:w w:val="100"/>
                <w:sz w:val="16"/>
              </w:rPr>
              <w:t>C</w:t>
            </w:r>
          </w:p>
        </w:tc>
        <w:tc>
          <w:tcPr>
            <w:tcW w:w="1344" w:type="dxa"/>
          </w:tcPr>
          <w:p>
            <w:pPr>
              <w:pStyle w:val="TableParagraph"/>
              <w:spacing w:before="109"/>
              <w:ind w:left="1" w:right="0"/>
              <w:jc w:val="center"/>
              <w:rPr>
                <w:rFonts w:ascii="Arial"/>
                <w:b/>
                <w:sz w:val="16"/>
              </w:rPr>
            </w:pPr>
            <w:r>
              <w:rPr>
                <w:rFonts w:ascii="Arial"/>
                <w:b/>
                <w:w w:val="100"/>
                <w:sz w:val="16"/>
              </w:rPr>
              <w:t>D</w:t>
            </w:r>
          </w:p>
        </w:tc>
        <w:tc>
          <w:tcPr>
            <w:tcW w:w="1277" w:type="dxa"/>
          </w:tcPr>
          <w:p>
            <w:pPr>
              <w:pStyle w:val="TableParagraph"/>
              <w:spacing w:before="109"/>
              <w:ind w:left="1" w:right="0"/>
              <w:jc w:val="center"/>
              <w:rPr>
                <w:rFonts w:ascii="Arial"/>
                <w:b/>
                <w:sz w:val="16"/>
              </w:rPr>
            </w:pPr>
            <w:r>
              <w:rPr>
                <w:rFonts w:ascii="Arial"/>
                <w:b/>
                <w:w w:val="100"/>
                <w:sz w:val="16"/>
              </w:rPr>
              <w:t>E</w:t>
            </w:r>
          </w:p>
        </w:tc>
        <w:tc>
          <w:tcPr>
            <w:tcW w:w="1416" w:type="dxa"/>
          </w:tcPr>
          <w:p>
            <w:pPr>
              <w:pStyle w:val="TableParagraph"/>
              <w:spacing w:before="109"/>
              <w:ind w:right="0"/>
              <w:jc w:val="center"/>
              <w:rPr>
                <w:rFonts w:ascii="Arial"/>
                <w:b/>
                <w:sz w:val="16"/>
              </w:rPr>
            </w:pPr>
            <w:r>
              <w:rPr>
                <w:rFonts w:ascii="Arial"/>
                <w:b/>
                <w:w w:val="100"/>
                <w:sz w:val="16"/>
              </w:rPr>
              <w:t>F</w:t>
            </w:r>
          </w:p>
        </w:tc>
        <w:tc>
          <w:tcPr>
            <w:tcW w:w="1277" w:type="dxa"/>
          </w:tcPr>
          <w:p>
            <w:pPr>
              <w:pStyle w:val="TableParagraph"/>
              <w:spacing w:before="109"/>
              <w:ind w:right="0"/>
              <w:jc w:val="center"/>
              <w:rPr>
                <w:rFonts w:ascii="Arial"/>
                <w:b/>
                <w:sz w:val="16"/>
              </w:rPr>
            </w:pPr>
            <w:r>
              <w:rPr>
                <w:rFonts w:ascii="Arial"/>
                <w:b/>
                <w:w w:val="100"/>
                <w:sz w:val="16"/>
              </w:rPr>
              <w:t>G</w:t>
            </w:r>
          </w:p>
        </w:tc>
      </w:tr>
      <w:tr>
        <w:trPr>
          <w:trHeight w:val="2700" w:hRule="exact"/>
        </w:trPr>
        <w:tc>
          <w:tcPr>
            <w:tcW w:w="1133" w:type="dxa"/>
            <w:textDirection w:val="btLr"/>
          </w:tcPr>
          <w:p>
            <w:pPr>
              <w:pStyle w:val="TableParagraph"/>
              <w:spacing w:before="0"/>
              <w:ind w:right="0"/>
              <w:jc w:val="left"/>
              <w:rPr>
                <w:rFonts w:ascii="Arial"/>
                <w:b/>
                <w:sz w:val="16"/>
              </w:rPr>
            </w:pPr>
          </w:p>
          <w:p>
            <w:pPr>
              <w:pStyle w:val="TableParagraph"/>
              <w:spacing w:before="1"/>
              <w:ind w:right="0"/>
              <w:jc w:val="left"/>
              <w:rPr>
                <w:rFonts w:ascii="Arial"/>
                <w:b/>
                <w:sz w:val="19"/>
              </w:rPr>
            </w:pPr>
          </w:p>
          <w:p>
            <w:pPr>
              <w:pStyle w:val="TableParagraph"/>
              <w:spacing w:before="1"/>
              <w:ind w:left="887" w:right="885"/>
              <w:jc w:val="center"/>
              <w:rPr>
                <w:rFonts w:ascii="Arial" w:hAnsi="Arial"/>
                <w:b/>
                <w:sz w:val="16"/>
              </w:rPr>
            </w:pPr>
            <w:r>
              <w:rPr>
                <w:rFonts w:ascii="Arial" w:hAnsi="Arial"/>
                <w:b/>
                <w:w w:val="100"/>
                <w:sz w:val="16"/>
              </w:rPr>
              <w:t>P</w:t>
            </w:r>
            <w:r>
              <w:rPr>
                <w:rFonts w:ascii="Arial" w:hAnsi="Arial"/>
                <w:b/>
                <w:spacing w:val="-1"/>
                <w:w w:val="100"/>
                <w:sz w:val="16"/>
              </w:rPr>
              <w:t>ará</w:t>
            </w:r>
            <w:r>
              <w:rPr>
                <w:rFonts w:ascii="Arial" w:hAnsi="Arial"/>
                <w:b/>
                <w:spacing w:val="1"/>
                <w:w w:val="100"/>
                <w:sz w:val="16"/>
              </w:rPr>
              <w:t>m</w:t>
            </w:r>
            <w:r>
              <w:rPr>
                <w:rFonts w:ascii="Arial" w:hAnsi="Arial"/>
                <w:b/>
                <w:spacing w:val="-1"/>
                <w:w w:val="100"/>
                <w:sz w:val="16"/>
              </w:rPr>
              <w:t>etr</w:t>
            </w:r>
            <w:r>
              <w:rPr>
                <w:rFonts w:ascii="Arial" w:hAnsi="Arial"/>
                <w:b/>
                <w:w w:val="100"/>
                <w:sz w:val="16"/>
              </w:rPr>
              <w:t>os</w:t>
            </w:r>
          </w:p>
        </w:tc>
        <w:tc>
          <w:tcPr>
            <w:tcW w:w="1277" w:type="dxa"/>
          </w:tcPr>
          <w:p>
            <w:pPr>
              <w:pStyle w:val="TableParagraph"/>
              <w:spacing w:line="242" w:lineRule="auto" w:before="0"/>
              <w:ind w:left="329" w:right="325"/>
              <w:jc w:val="center"/>
              <w:rPr>
                <w:rFonts w:ascii="Arial"/>
                <w:sz w:val="18"/>
              </w:rPr>
            </w:pPr>
            <w:r>
              <w:rPr>
                <w:rFonts w:ascii="Arial"/>
                <w:sz w:val="18"/>
              </w:rPr>
              <w:t>(</w:t>
            </w:r>
            <w:r>
              <w:rPr>
                <w:rFonts w:ascii="Arial"/>
                <w:i/>
                <w:sz w:val="18"/>
              </w:rPr>
              <w:t>In situ</w:t>
            </w:r>
            <w:r>
              <w:rPr>
                <w:rFonts w:ascii="Arial"/>
                <w:sz w:val="18"/>
              </w:rPr>
              <w:t>) OD</w:t>
            </w:r>
          </w:p>
          <w:p>
            <w:pPr>
              <w:pStyle w:val="TableParagraph"/>
              <w:spacing w:line="206" w:lineRule="exact" w:before="1"/>
              <w:ind w:left="113" w:right="111"/>
              <w:jc w:val="center"/>
              <w:rPr>
                <w:rFonts w:ascii="Arial"/>
                <w:sz w:val="18"/>
              </w:rPr>
            </w:pPr>
            <w:r>
              <w:rPr>
                <w:rFonts w:ascii="Arial"/>
                <w:sz w:val="18"/>
              </w:rPr>
              <w:t>pH    Temperatura</w:t>
            </w:r>
          </w:p>
          <w:p>
            <w:pPr>
              <w:pStyle w:val="TableParagraph"/>
              <w:spacing w:before="1"/>
              <w:ind w:right="0"/>
              <w:jc w:val="left"/>
              <w:rPr>
                <w:rFonts w:ascii="Arial"/>
                <w:b/>
                <w:sz w:val="18"/>
              </w:rPr>
            </w:pPr>
          </w:p>
          <w:p>
            <w:pPr>
              <w:pStyle w:val="TableParagraph"/>
              <w:spacing w:line="235" w:lineRule="auto" w:before="0"/>
              <w:ind w:left="391" w:right="99" w:hanging="274"/>
              <w:jc w:val="left"/>
              <w:rPr>
                <w:rFonts w:ascii="Arial"/>
                <w:sz w:val="12"/>
              </w:rPr>
            </w:pPr>
            <w:r>
              <w:rPr>
                <w:rFonts w:ascii="Arial"/>
                <w:sz w:val="18"/>
              </w:rPr>
              <w:t>(Laboratorio) </w:t>
            </w:r>
            <w:r>
              <w:rPr>
                <w:rFonts w:ascii="Arial"/>
                <w:position w:val="2"/>
                <w:sz w:val="18"/>
              </w:rPr>
              <w:t>DQO</w:t>
            </w:r>
            <w:r>
              <w:rPr>
                <w:rFonts w:ascii="Arial"/>
                <w:sz w:val="12"/>
              </w:rPr>
              <w:t>T </w:t>
            </w:r>
            <w:r>
              <w:rPr>
                <w:rFonts w:ascii="Arial"/>
                <w:position w:val="2"/>
                <w:sz w:val="18"/>
              </w:rPr>
              <w:t>DBO</w:t>
            </w:r>
            <w:r>
              <w:rPr>
                <w:rFonts w:ascii="Arial"/>
                <w:sz w:val="12"/>
              </w:rPr>
              <w:t>5</w:t>
            </w:r>
          </w:p>
          <w:p>
            <w:pPr>
              <w:pStyle w:val="TableParagraph"/>
              <w:spacing w:line="206" w:lineRule="exact" w:before="19"/>
              <w:ind w:left="350" w:right="349" w:hanging="3"/>
              <w:jc w:val="center"/>
              <w:rPr>
                <w:rFonts w:ascii="Arial"/>
                <w:sz w:val="12"/>
              </w:rPr>
            </w:pPr>
            <w:r>
              <w:rPr>
                <w:rFonts w:ascii="Arial"/>
                <w:position w:val="2"/>
                <w:sz w:val="18"/>
              </w:rPr>
              <w:t>N-NH</w:t>
            </w:r>
            <w:r>
              <w:rPr>
                <w:rFonts w:ascii="Arial"/>
                <w:sz w:val="12"/>
              </w:rPr>
              <w:t>3 </w:t>
            </w:r>
            <w:r>
              <w:rPr>
                <w:rFonts w:ascii="Arial"/>
                <w:w w:val="95"/>
                <w:position w:val="2"/>
                <w:sz w:val="18"/>
              </w:rPr>
              <w:t>N-NO</w:t>
            </w:r>
            <w:r>
              <w:rPr>
                <w:rFonts w:ascii="Arial"/>
                <w:w w:val="95"/>
                <w:sz w:val="12"/>
              </w:rPr>
              <w:t>2</w:t>
            </w:r>
            <w:r>
              <w:rPr>
                <w:rFonts w:ascii="Arial"/>
                <w:w w:val="95"/>
                <w:position w:val="11"/>
                <w:sz w:val="12"/>
              </w:rPr>
              <w:t>-</w:t>
            </w:r>
          </w:p>
          <w:p>
            <w:pPr>
              <w:pStyle w:val="TableParagraph"/>
              <w:spacing w:line="187" w:lineRule="exact" w:before="0"/>
              <w:ind w:left="328" w:right="329"/>
              <w:jc w:val="center"/>
              <w:rPr>
                <w:rFonts w:ascii="Arial"/>
                <w:sz w:val="12"/>
              </w:rPr>
            </w:pPr>
            <w:r>
              <w:rPr>
                <w:rFonts w:ascii="Arial"/>
                <w:position w:val="2"/>
                <w:sz w:val="18"/>
              </w:rPr>
              <w:t>N-NO</w:t>
            </w:r>
            <w:r>
              <w:rPr>
                <w:rFonts w:ascii="Arial"/>
                <w:sz w:val="12"/>
              </w:rPr>
              <w:t>3</w:t>
            </w:r>
            <w:r>
              <w:rPr>
                <w:rFonts w:ascii="Arial"/>
                <w:position w:val="11"/>
                <w:sz w:val="12"/>
              </w:rPr>
              <w:t>-</w:t>
            </w:r>
          </w:p>
          <w:p>
            <w:pPr>
              <w:pStyle w:val="TableParagraph"/>
              <w:spacing w:line="242" w:lineRule="auto" w:before="0"/>
              <w:ind w:left="112" w:right="111"/>
              <w:jc w:val="center"/>
              <w:rPr>
                <w:rFonts w:ascii="Arial"/>
                <w:sz w:val="18"/>
              </w:rPr>
            </w:pPr>
            <w:r>
              <w:rPr>
                <w:rFonts w:ascii="Arial"/>
                <w:w w:val="95"/>
                <w:sz w:val="18"/>
              </w:rPr>
              <w:t>Alcalinidad </w:t>
            </w:r>
            <w:r>
              <w:rPr>
                <w:rFonts w:ascii="Arial"/>
                <w:sz w:val="18"/>
              </w:rPr>
              <w:t>SST</w:t>
            </w:r>
          </w:p>
        </w:tc>
        <w:tc>
          <w:tcPr>
            <w:tcW w:w="1385" w:type="dxa"/>
          </w:tcPr>
          <w:p>
            <w:pPr>
              <w:pStyle w:val="TableParagraph"/>
              <w:spacing w:line="242" w:lineRule="auto" w:before="0"/>
              <w:ind w:left="384" w:right="378"/>
              <w:jc w:val="center"/>
              <w:rPr>
                <w:rFonts w:ascii="Arial"/>
                <w:sz w:val="18"/>
              </w:rPr>
            </w:pPr>
            <w:r>
              <w:rPr>
                <w:rFonts w:ascii="Arial"/>
                <w:sz w:val="18"/>
              </w:rPr>
              <w:t>(</w:t>
            </w:r>
            <w:r>
              <w:rPr>
                <w:rFonts w:ascii="Arial"/>
                <w:i/>
                <w:sz w:val="18"/>
              </w:rPr>
              <w:t>In situ</w:t>
            </w:r>
            <w:r>
              <w:rPr>
                <w:rFonts w:ascii="Arial"/>
                <w:sz w:val="18"/>
              </w:rPr>
              <w:t>) OD</w:t>
            </w:r>
          </w:p>
          <w:p>
            <w:pPr>
              <w:pStyle w:val="TableParagraph"/>
              <w:spacing w:line="206" w:lineRule="exact" w:before="1"/>
              <w:ind w:left="172" w:right="168"/>
              <w:jc w:val="center"/>
              <w:rPr>
                <w:rFonts w:ascii="Arial"/>
                <w:sz w:val="18"/>
              </w:rPr>
            </w:pPr>
            <w:r>
              <w:rPr>
                <w:rFonts w:ascii="Arial"/>
                <w:sz w:val="18"/>
              </w:rPr>
              <w:t>pH    Temperatura</w:t>
            </w:r>
          </w:p>
          <w:p>
            <w:pPr>
              <w:pStyle w:val="TableParagraph"/>
              <w:spacing w:before="1"/>
              <w:ind w:right="0"/>
              <w:jc w:val="left"/>
              <w:rPr>
                <w:rFonts w:ascii="Arial"/>
                <w:b/>
                <w:sz w:val="18"/>
              </w:rPr>
            </w:pPr>
          </w:p>
          <w:p>
            <w:pPr>
              <w:pStyle w:val="TableParagraph"/>
              <w:spacing w:line="235" w:lineRule="auto" w:before="0"/>
              <w:ind w:left="446" w:right="152" w:hanging="274"/>
              <w:jc w:val="left"/>
              <w:rPr>
                <w:rFonts w:ascii="Arial"/>
                <w:sz w:val="12"/>
              </w:rPr>
            </w:pPr>
            <w:r>
              <w:rPr>
                <w:rFonts w:ascii="Arial"/>
                <w:sz w:val="18"/>
              </w:rPr>
              <w:t>(Laboratorio) </w:t>
            </w:r>
            <w:r>
              <w:rPr>
                <w:rFonts w:ascii="Arial"/>
                <w:position w:val="2"/>
                <w:sz w:val="18"/>
              </w:rPr>
              <w:t>DQO</w:t>
            </w:r>
            <w:r>
              <w:rPr>
                <w:rFonts w:ascii="Arial"/>
                <w:sz w:val="12"/>
              </w:rPr>
              <w:t>T </w:t>
            </w:r>
            <w:r>
              <w:rPr>
                <w:rFonts w:ascii="Arial"/>
                <w:position w:val="2"/>
                <w:sz w:val="18"/>
              </w:rPr>
              <w:t>DBO</w:t>
            </w:r>
            <w:r>
              <w:rPr>
                <w:rFonts w:ascii="Arial"/>
                <w:sz w:val="12"/>
              </w:rPr>
              <w:t>5</w:t>
            </w:r>
          </w:p>
          <w:p>
            <w:pPr>
              <w:pStyle w:val="TableParagraph"/>
              <w:spacing w:line="206" w:lineRule="exact" w:before="19"/>
              <w:ind w:left="405" w:right="402" w:hanging="3"/>
              <w:jc w:val="center"/>
              <w:rPr>
                <w:rFonts w:ascii="Arial"/>
                <w:sz w:val="12"/>
              </w:rPr>
            </w:pPr>
            <w:r>
              <w:rPr>
                <w:rFonts w:ascii="Arial"/>
                <w:position w:val="2"/>
                <w:sz w:val="18"/>
              </w:rPr>
              <w:t>N-NH</w:t>
            </w:r>
            <w:r>
              <w:rPr>
                <w:rFonts w:ascii="Arial"/>
                <w:sz w:val="12"/>
              </w:rPr>
              <w:t>3 </w:t>
            </w:r>
            <w:r>
              <w:rPr>
                <w:rFonts w:ascii="Arial"/>
                <w:w w:val="95"/>
                <w:position w:val="2"/>
                <w:sz w:val="18"/>
              </w:rPr>
              <w:t>N-NO</w:t>
            </w:r>
            <w:r>
              <w:rPr>
                <w:rFonts w:ascii="Arial"/>
                <w:w w:val="95"/>
                <w:sz w:val="12"/>
              </w:rPr>
              <w:t>2</w:t>
            </w:r>
            <w:r>
              <w:rPr>
                <w:rFonts w:ascii="Arial"/>
                <w:w w:val="95"/>
                <w:position w:val="11"/>
                <w:sz w:val="12"/>
              </w:rPr>
              <w:t>-</w:t>
            </w:r>
          </w:p>
          <w:p>
            <w:pPr>
              <w:pStyle w:val="TableParagraph"/>
              <w:spacing w:line="187" w:lineRule="exact" w:before="0"/>
              <w:ind w:left="383" w:right="382"/>
              <w:jc w:val="center"/>
              <w:rPr>
                <w:rFonts w:ascii="Arial"/>
                <w:sz w:val="12"/>
              </w:rPr>
            </w:pPr>
            <w:r>
              <w:rPr>
                <w:rFonts w:ascii="Arial"/>
                <w:position w:val="2"/>
                <w:sz w:val="18"/>
              </w:rPr>
              <w:t>N-NO</w:t>
            </w:r>
            <w:r>
              <w:rPr>
                <w:rFonts w:ascii="Arial"/>
                <w:sz w:val="12"/>
              </w:rPr>
              <w:t>3</w:t>
            </w:r>
            <w:r>
              <w:rPr>
                <w:rFonts w:ascii="Arial"/>
                <w:position w:val="11"/>
                <w:sz w:val="12"/>
              </w:rPr>
              <w:t>-</w:t>
            </w:r>
          </w:p>
          <w:p>
            <w:pPr>
              <w:pStyle w:val="TableParagraph"/>
              <w:spacing w:line="242" w:lineRule="auto" w:before="0"/>
              <w:ind w:left="171" w:right="168"/>
              <w:jc w:val="center"/>
              <w:rPr>
                <w:rFonts w:ascii="Arial"/>
                <w:sz w:val="18"/>
              </w:rPr>
            </w:pPr>
            <w:r>
              <w:rPr>
                <w:rFonts w:ascii="Arial"/>
                <w:w w:val="95"/>
                <w:sz w:val="18"/>
              </w:rPr>
              <w:t>Alcalinidad </w:t>
            </w:r>
            <w:r>
              <w:rPr>
                <w:rFonts w:ascii="Arial"/>
                <w:sz w:val="18"/>
              </w:rPr>
              <w:t>SST</w:t>
            </w:r>
          </w:p>
        </w:tc>
        <w:tc>
          <w:tcPr>
            <w:tcW w:w="1296" w:type="dxa"/>
          </w:tcPr>
          <w:p>
            <w:pPr>
              <w:pStyle w:val="TableParagraph"/>
              <w:spacing w:line="242" w:lineRule="auto" w:before="0"/>
              <w:ind w:left="339" w:right="334"/>
              <w:jc w:val="center"/>
              <w:rPr>
                <w:rFonts w:ascii="Arial"/>
                <w:sz w:val="18"/>
              </w:rPr>
            </w:pPr>
            <w:r>
              <w:rPr>
                <w:rFonts w:ascii="Arial"/>
                <w:sz w:val="18"/>
              </w:rPr>
              <w:t>(</w:t>
            </w:r>
            <w:r>
              <w:rPr>
                <w:rFonts w:ascii="Arial"/>
                <w:i/>
                <w:sz w:val="18"/>
              </w:rPr>
              <w:t>In situ</w:t>
            </w:r>
            <w:r>
              <w:rPr>
                <w:rFonts w:ascii="Arial"/>
                <w:sz w:val="18"/>
              </w:rPr>
              <w:t>) OD</w:t>
            </w:r>
          </w:p>
          <w:p>
            <w:pPr>
              <w:pStyle w:val="TableParagraph"/>
              <w:spacing w:line="206" w:lineRule="exact" w:before="1"/>
              <w:ind w:left="127" w:right="125"/>
              <w:jc w:val="center"/>
              <w:rPr>
                <w:rFonts w:ascii="Arial"/>
                <w:sz w:val="18"/>
              </w:rPr>
            </w:pPr>
            <w:r>
              <w:rPr>
                <w:rFonts w:ascii="Arial"/>
                <w:sz w:val="18"/>
              </w:rPr>
              <w:t>pH    Temperatura</w:t>
            </w:r>
          </w:p>
          <w:p>
            <w:pPr>
              <w:pStyle w:val="TableParagraph"/>
              <w:spacing w:before="1"/>
              <w:ind w:right="0"/>
              <w:jc w:val="left"/>
              <w:rPr>
                <w:rFonts w:ascii="Arial"/>
                <w:b/>
                <w:sz w:val="18"/>
              </w:rPr>
            </w:pPr>
          </w:p>
          <w:p>
            <w:pPr>
              <w:pStyle w:val="TableParagraph"/>
              <w:spacing w:line="235" w:lineRule="auto" w:before="0"/>
              <w:ind w:left="400" w:right="109" w:hanging="274"/>
              <w:jc w:val="left"/>
              <w:rPr>
                <w:rFonts w:ascii="Arial"/>
                <w:sz w:val="12"/>
              </w:rPr>
            </w:pPr>
            <w:r>
              <w:rPr>
                <w:rFonts w:ascii="Arial"/>
                <w:sz w:val="18"/>
              </w:rPr>
              <w:t>(Laboratorio) </w:t>
            </w:r>
            <w:r>
              <w:rPr>
                <w:rFonts w:ascii="Arial"/>
                <w:position w:val="2"/>
                <w:sz w:val="18"/>
              </w:rPr>
              <w:t>DQO</w:t>
            </w:r>
            <w:r>
              <w:rPr>
                <w:rFonts w:ascii="Arial"/>
                <w:sz w:val="12"/>
              </w:rPr>
              <w:t>T </w:t>
            </w:r>
            <w:r>
              <w:rPr>
                <w:rFonts w:ascii="Arial"/>
                <w:position w:val="2"/>
                <w:sz w:val="18"/>
              </w:rPr>
              <w:t>DBO</w:t>
            </w:r>
            <w:r>
              <w:rPr>
                <w:rFonts w:ascii="Arial"/>
                <w:sz w:val="12"/>
              </w:rPr>
              <w:t>5</w:t>
            </w:r>
          </w:p>
          <w:p>
            <w:pPr>
              <w:pStyle w:val="TableParagraph"/>
              <w:spacing w:line="206" w:lineRule="exact" w:before="19"/>
              <w:ind w:left="359" w:right="359" w:hanging="3"/>
              <w:jc w:val="center"/>
              <w:rPr>
                <w:rFonts w:ascii="Arial"/>
                <w:sz w:val="12"/>
              </w:rPr>
            </w:pPr>
            <w:r>
              <w:rPr>
                <w:rFonts w:ascii="Arial"/>
                <w:position w:val="2"/>
                <w:sz w:val="18"/>
              </w:rPr>
              <w:t>N-NH</w:t>
            </w:r>
            <w:r>
              <w:rPr>
                <w:rFonts w:ascii="Arial"/>
                <w:sz w:val="12"/>
              </w:rPr>
              <w:t>3 </w:t>
            </w:r>
            <w:r>
              <w:rPr>
                <w:rFonts w:ascii="Arial"/>
                <w:w w:val="95"/>
                <w:position w:val="2"/>
                <w:sz w:val="18"/>
              </w:rPr>
              <w:t>N-NO</w:t>
            </w:r>
            <w:r>
              <w:rPr>
                <w:rFonts w:ascii="Arial"/>
                <w:w w:val="95"/>
                <w:sz w:val="12"/>
              </w:rPr>
              <w:t>2</w:t>
            </w:r>
            <w:r>
              <w:rPr>
                <w:rFonts w:ascii="Arial"/>
                <w:w w:val="95"/>
                <w:position w:val="11"/>
                <w:sz w:val="12"/>
              </w:rPr>
              <w:t>-</w:t>
            </w:r>
          </w:p>
          <w:p>
            <w:pPr>
              <w:pStyle w:val="TableParagraph"/>
              <w:spacing w:line="187" w:lineRule="exact" w:before="0"/>
              <w:ind w:left="337" w:right="338"/>
              <w:jc w:val="center"/>
              <w:rPr>
                <w:rFonts w:ascii="Arial"/>
                <w:sz w:val="12"/>
              </w:rPr>
            </w:pPr>
            <w:r>
              <w:rPr>
                <w:rFonts w:ascii="Arial"/>
                <w:position w:val="2"/>
                <w:sz w:val="18"/>
              </w:rPr>
              <w:t>N-NO</w:t>
            </w:r>
            <w:r>
              <w:rPr>
                <w:rFonts w:ascii="Arial"/>
                <w:sz w:val="12"/>
              </w:rPr>
              <w:t>3</w:t>
            </w:r>
            <w:r>
              <w:rPr>
                <w:rFonts w:ascii="Arial"/>
                <w:position w:val="11"/>
                <w:sz w:val="12"/>
              </w:rPr>
              <w:t>-</w:t>
            </w:r>
          </w:p>
          <w:p>
            <w:pPr>
              <w:pStyle w:val="TableParagraph"/>
              <w:spacing w:line="242" w:lineRule="auto" w:before="0"/>
              <w:ind w:left="126" w:right="125"/>
              <w:jc w:val="center"/>
              <w:rPr>
                <w:rFonts w:ascii="Arial"/>
                <w:sz w:val="18"/>
              </w:rPr>
            </w:pPr>
            <w:r>
              <w:rPr>
                <w:rFonts w:ascii="Arial"/>
                <w:w w:val="95"/>
                <w:sz w:val="18"/>
              </w:rPr>
              <w:t>Alcalinidad </w:t>
            </w:r>
            <w:r>
              <w:rPr>
                <w:rFonts w:ascii="Arial"/>
                <w:sz w:val="18"/>
              </w:rPr>
              <w:t>SST</w:t>
            </w:r>
          </w:p>
        </w:tc>
        <w:tc>
          <w:tcPr>
            <w:tcW w:w="1344" w:type="dxa"/>
          </w:tcPr>
          <w:p>
            <w:pPr>
              <w:pStyle w:val="TableParagraph"/>
              <w:spacing w:line="242" w:lineRule="auto" w:before="0"/>
              <w:ind w:left="363" w:right="358"/>
              <w:jc w:val="center"/>
              <w:rPr>
                <w:rFonts w:ascii="Arial"/>
                <w:sz w:val="18"/>
              </w:rPr>
            </w:pPr>
            <w:r>
              <w:rPr>
                <w:rFonts w:ascii="Arial"/>
                <w:sz w:val="18"/>
              </w:rPr>
              <w:t>(</w:t>
            </w:r>
            <w:r>
              <w:rPr>
                <w:rFonts w:ascii="Arial"/>
                <w:i/>
                <w:sz w:val="18"/>
              </w:rPr>
              <w:t>In situ</w:t>
            </w:r>
            <w:r>
              <w:rPr>
                <w:rFonts w:ascii="Arial"/>
                <w:sz w:val="18"/>
              </w:rPr>
              <w:t>) OD</w:t>
            </w:r>
          </w:p>
          <w:p>
            <w:pPr>
              <w:pStyle w:val="TableParagraph"/>
              <w:spacing w:line="206" w:lineRule="exact" w:before="1"/>
              <w:ind w:left="151" w:right="149"/>
              <w:jc w:val="center"/>
              <w:rPr>
                <w:rFonts w:ascii="Arial"/>
                <w:sz w:val="18"/>
              </w:rPr>
            </w:pPr>
            <w:r>
              <w:rPr>
                <w:rFonts w:ascii="Arial"/>
                <w:sz w:val="18"/>
              </w:rPr>
              <w:t>pH    Temperatura</w:t>
            </w:r>
          </w:p>
          <w:p>
            <w:pPr>
              <w:pStyle w:val="TableParagraph"/>
              <w:spacing w:before="1"/>
              <w:ind w:right="0"/>
              <w:jc w:val="left"/>
              <w:rPr>
                <w:rFonts w:ascii="Arial"/>
                <w:b/>
                <w:sz w:val="18"/>
              </w:rPr>
            </w:pPr>
          </w:p>
          <w:p>
            <w:pPr>
              <w:pStyle w:val="TableParagraph"/>
              <w:spacing w:line="235" w:lineRule="auto" w:before="0"/>
              <w:ind w:left="424" w:right="133" w:hanging="274"/>
              <w:jc w:val="left"/>
              <w:rPr>
                <w:rFonts w:ascii="Arial"/>
                <w:sz w:val="12"/>
              </w:rPr>
            </w:pPr>
            <w:r>
              <w:rPr>
                <w:rFonts w:ascii="Arial"/>
                <w:sz w:val="18"/>
              </w:rPr>
              <w:t>(Laboratorio) </w:t>
            </w:r>
            <w:r>
              <w:rPr>
                <w:rFonts w:ascii="Arial"/>
                <w:position w:val="2"/>
                <w:sz w:val="18"/>
              </w:rPr>
              <w:t>DQO</w:t>
            </w:r>
            <w:r>
              <w:rPr>
                <w:rFonts w:ascii="Arial"/>
                <w:sz w:val="12"/>
              </w:rPr>
              <w:t>T </w:t>
            </w:r>
            <w:r>
              <w:rPr>
                <w:rFonts w:ascii="Arial"/>
                <w:position w:val="2"/>
                <w:sz w:val="18"/>
              </w:rPr>
              <w:t>DBO</w:t>
            </w:r>
            <w:r>
              <w:rPr>
                <w:rFonts w:ascii="Arial"/>
                <w:sz w:val="12"/>
              </w:rPr>
              <w:t>5</w:t>
            </w:r>
          </w:p>
          <w:p>
            <w:pPr>
              <w:pStyle w:val="TableParagraph"/>
              <w:spacing w:line="206" w:lineRule="exact" w:before="19"/>
              <w:ind w:left="383" w:right="383" w:hanging="3"/>
              <w:jc w:val="center"/>
              <w:rPr>
                <w:rFonts w:ascii="Arial"/>
                <w:sz w:val="12"/>
              </w:rPr>
            </w:pPr>
            <w:r>
              <w:rPr>
                <w:rFonts w:ascii="Arial"/>
                <w:position w:val="2"/>
                <w:sz w:val="18"/>
              </w:rPr>
              <w:t>N-NH</w:t>
            </w:r>
            <w:r>
              <w:rPr>
                <w:rFonts w:ascii="Arial"/>
                <w:sz w:val="12"/>
              </w:rPr>
              <w:t>3 </w:t>
            </w:r>
            <w:r>
              <w:rPr>
                <w:rFonts w:ascii="Arial"/>
                <w:w w:val="95"/>
                <w:position w:val="2"/>
                <w:sz w:val="18"/>
              </w:rPr>
              <w:t>N-NO</w:t>
            </w:r>
            <w:r>
              <w:rPr>
                <w:rFonts w:ascii="Arial"/>
                <w:w w:val="95"/>
                <w:sz w:val="12"/>
              </w:rPr>
              <w:t>2</w:t>
            </w:r>
            <w:r>
              <w:rPr>
                <w:rFonts w:ascii="Arial"/>
                <w:w w:val="95"/>
                <w:position w:val="11"/>
                <w:sz w:val="12"/>
              </w:rPr>
              <w:t>-</w:t>
            </w:r>
          </w:p>
          <w:p>
            <w:pPr>
              <w:pStyle w:val="TableParagraph"/>
              <w:spacing w:line="187" w:lineRule="exact" w:before="0"/>
              <w:ind w:left="361" w:right="362"/>
              <w:jc w:val="center"/>
              <w:rPr>
                <w:rFonts w:ascii="Arial"/>
                <w:sz w:val="12"/>
              </w:rPr>
            </w:pPr>
            <w:r>
              <w:rPr>
                <w:rFonts w:ascii="Arial"/>
                <w:position w:val="2"/>
                <w:sz w:val="18"/>
              </w:rPr>
              <w:t>N-NO</w:t>
            </w:r>
            <w:r>
              <w:rPr>
                <w:rFonts w:ascii="Arial"/>
                <w:sz w:val="12"/>
              </w:rPr>
              <w:t>3</w:t>
            </w:r>
            <w:r>
              <w:rPr>
                <w:rFonts w:ascii="Arial"/>
                <w:position w:val="11"/>
                <w:sz w:val="12"/>
              </w:rPr>
              <w:t>-</w:t>
            </w:r>
          </w:p>
          <w:p>
            <w:pPr>
              <w:pStyle w:val="TableParagraph"/>
              <w:spacing w:line="242" w:lineRule="auto" w:before="0"/>
              <w:ind w:left="150" w:right="149"/>
              <w:jc w:val="center"/>
              <w:rPr>
                <w:rFonts w:ascii="Arial"/>
                <w:sz w:val="18"/>
              </w:rPr>
            </w:pPr>
            <w:r>
              <w:rPr>
                <w:rFonts w:ascii="Arial"/>
                <w:w w:val="95"/>
                <w:sz w:val="18"/>
              </w:rPr>
              <w:t>Alcalinidad </w:t>
            </w:r>
            <w:r>
              <w:rPr>
                <w:rFonts w:ascii="Arial"/>
                <w:sz w:val="18"/>
              </w:rPr>
              <w:t>SST</w:t>
            </w:r>
          </w:p>
        </w:tc>
        <w:tc>
          <w:tcPr>
            <w:tcW w:w="1277" w:type="dxa"/>
          </w:tcPr>
          <w:p>
            <w:pPr>
              <w:pStyle w:val="TableParagraph"/>
              <w:spacing w:line="242" w:lineRule="auto" w:before="0"/>
              <w:ind w:left="329" w:right="325"/>
              <w:jc w:val="center"/>
              <w:rPr>
                <w:rFonts w:ascii="Arial"/>
                <w:sz w:val="18"/>
              </w:rPr>
            </w:pPr>
            <w:r>
              <w:rPr>
                <w:rFonts w:ascii="Arial"/>
                <w:sz w:val="18"/>
              </w:rPr>
              <w:t>(</w:t>
            </w:r>
            <w:r>
              <w:rPr>
                <w:rFonts w:ascii="Arial"/>
                <w:i/>
                <w:sz w:val="18"/>
              </w:rPr>
              <w:t>In situ</w:t>
            </w:r>
            <w:r>
              <w:rPr>
                <w:rFonts w:ascii="Arial"/>
                <w:sz w:val="18"/>
              </w:rPr>
              <w:t>) OD</w:t>
            </w:r>
          </w:p>
          <w:p>
            <w:pPr>
              <w:pStyle w:val="TableParagraph"/>
              <w:spacing w:line="206" w:lineRule="exact" w:before="1"/>
              <w:ind w:left="113" w:right="111"/>
              <w:jc w:val="center"/>
              <w:rPr>
                <w:rFonts w:ascii="Arial"/>
                <w:sz w:val="18"/>
              </w:rPr>
            </w:pPr>
            <w:r>
              <w:rPr>
                <w:rFonts w:ascii="Arial"/>
                <w:sz w:val="18"/>
              </w:rPr>
              <w:t>pH    Temperatura</w:t>
            </w:r>
          </w:p>
          <w:p>
            <w:pPr>
              <w:pStyle w:val="TableParagraph"/>
              <w:spacing w:before="1"/>
              <w:ind w:right="0"/>
              <w:jc w:val="left"/>
              <w:rPr>
                <w:rFonts w:ascii="Arial"/>
                <w:b/>
                <w:sz w:val="18"/>
              </w:rPr>
            </w:pPr>
          </w:p>
          <w:p>
            <w:pPr>
              <w:pStyle w:val="TableParagraph"/>
              <w:spacing w:line="235" w:lineRule="auto" w:before="0"/>
              <w:ind w:left="391" w:right="99" w:hanging="274"/>
              <w:jc w:val="left"/>
              <w:rPr>
                <w:rFonts w:ascii="Arial"/>
                <w:sz w:val="12"/>
              </w:rPr>
            </w:pPr>
            <w:r>
              <w:rPr>
                <w:rFonts w:ascii="Arial"/>
                <w:sz w:val="18"/>
              </w:rPr>
              <w:t>(Laboratorio) </w:t>
            </w:r>
            <w:r>
              <w:rPr>
                <w:rFonts w:ascii="Arial"/>
                <w:position w:val="2"/>
                <w:sz w:val="18"/>
              </w:rPr>
              <w:t>DQO</w:t>
            </w:r>
            <w:r>
              <w:rPr>
                <w:rFonts w:ascii="Arial"/>
                <w:sz w:val="12"/>
              </w:rPr>
              <w:t>T </w:t>
            </w:r>
            <w:r>
              <w:rPr>
                <w:rFonts w:ascii="Arial"/>
                <w:position w:val="2"/>
                <w:sz w:val="18"/>
              </w:rPr>
              <w:t>DBO</w:t>
            </w:r>
            <w:r>
              <w:rPr>
                <w:rFonts w:ascii="Arial"/>
                <w:sz w:val="12"/>
              </w:rPr>
              <w:t>5</w:t>
            </w:r>
          </w:p>
          <w:p>
            <w:pPr>
              <w:pStyle w:val="TableParagraph"/>
              <w:spacing w:line="206" w:lineRule="exact" w:before="19"/>
              <w:ind w:left="350" w:right="349" w:hanging="3"/>
              <w:jc w:val="center"/>
              <w:rPr>
                <w:rFonts w:ascii="Arial"/>
                <w:sz w:val="12"/>
              </w:rPr>
            </w:pPr>
            <w:r>
              <w:rPr>
                <w:rFonts w:ascii="Arial"/>
                <w:position w:val="2"/>
                <w:sz w:val="18"/>
              </w:rPr>
              <w:t>N-NH</w:t>
            </w:r>
            <w:r>
              <w:rPr>
                <w:rFonts w:ascii="Arial"/>
                <w:sz w:val="12"/>
              </w:rPr>
              <w:t>3 </w:t>
            </w:r>
            <w:r>
              <w:rPr>
                <w:rFonts w:ascii="Arial"/>
                <w:w w:val="95"/>
                <w:position w:val="2"/>
                <w:sz w:val="18"/>
              </w:rPr>
              <w:t>N-NO</w:t>
            </w:r>
            <w:r>
              <w:rPr>
                <w:rFonts w:ascii="Arial"/>
                <w:w w:val="95"/>
                <w:sz w:val="12"/>
              </w:rPr>
              <w:t>2</w:t>
            </w:r>
            <w:r>
              <w:rPr>
                <w:rFonts w:ascii="Arial"/>
                <w:w w:val="95"/>
                <w:position w:val="11"/>
                <w:sz w:val="12"/>
              </w:rPr>
              <w:t>-</w:t>
            </w:r>
          </w:p>
          <w:p>
            <w:pPr>
              <w:pStyle w:val="TableParagraph"/>
              <w:spacing w:line="187" w:lineRule="exact" w:before="0"/>
              <w:ind w:left="328" w:right="329"/>
              <w:jc w:val="center"/>
              <w:rPr>
                <w:rFonts w:ascii="Arial"/>
                <w:sz w:val="12"/>
              </w:rPr>
            </w:pPr>
            <w:r>
              <w:rPr>
                <w:rFonts w:ascii="Arial"/>
                <w:position w:val="2"/>
                <w:sz w:val="18"/>
              </w:rPr>
              <w:t>N-NO</w:t>
            </w:r>
            <w:r>
              <w:rPr>
                <w:rFonts w:ascii="Arial"/>
                <w:sz w:val="12"/>
              </w:rPr>
              <w:t>3</w:t>
            </w:r>
            <w:r>
              <w:rPr>
                <w:rFonts w:ascii="Arial"/>
                <w:position w:val="11"/>
                <w:sz w:val="12"/>
              </w:rPr>
              <w:t>-</w:t>
            </w:r>
          </w:p>
          <w:p>
            <w:pPr>
              <w:pStyle w:val="TableParagraph"/>
              <w:spacing w:line="242" w:lineRule="auto" w:before="0"/>
              <w:ind w:left="112" w:right="111"/>
              <w:jc w:val="center"/>
              <w:rPr>
                <w:rFonts w:ascii="Arial"/>
                <w:sz w:val="18"/>
              </w:rPr>
            </w:pPr>
            <w:r>
              <w:rPr>
                <w:rFonts w:ascii="Arial"/>
                <w:w w:val="95"/>
                <w:sz w:val="18"/>
              </w:rPr>
              <w:t>Alcalinidad </w:t>
            </w:r>
            <w:r>
              <w:rPr>
                <w:rFonts w:ascii="Arial"/>
                <w:sz w:val="18"/>
              </w:rPr>
              <w:t>SST</w:t>
            </w:r>
          </w:p>
        </w:tc>
        <w:tc>
          <w:tcPr>
            <w:tcW w:w="1416" w:type="dxa"/>
          </w:tcPr>
          <w:p>
            <w:pPr>
              <w:pStyle w:val="TableParagraph"/>
              <w:spacing w:line="242" w:lineRule="auto" w:before="0"/>
              <w:ind w:left="399" w:right="394"/>
              <w:jc w:val="center"/>
              <w:rPr>
                <w:rFonts w:ascii="Arial"/>
                <w:sz w:val="18"/>
              </w:rPr>
            </w:pPr>
            <w:r>
              <w:rPr>
                <w:rFonts w:ascii="Arial"/>
                <w:sz w:val="18"/>
              </w:rPr>
              <w:t>(</w:t>
            </w:r>
            <w:r>
              <w:rPr>
                <w:rFonts w:ascii="Arial"/>
                <w:i/>
                <w:sz w:val="18"/>
              </w:rPr>
              <w:t>In situ</w:t>
            </w:r>
            <w:r>
              <w:rPr>
                <w:rFonts w:ascii="Arial"/>
                <w:sz w:val="18"/>
              </w:rPr>
              <w:t>) OD</w:t>
            </w:r>
          </w:p>
          <w:p>
            <w:pPr>
              <w:pStyle w:val="TableParagraph"/>
              <w:spacing w:line="206" w:lineRule="exact" w:before="1"/>
              <w:ind w:left="187" w:right="185"/>
              <w:jc w:val="center"/>
              <w:rPr>
                <w:rFonts w:ascii="Arial"/>
                <w:sz w:val="18"/>
              </w:rPr>
            </w:pPr>
            <w:r>
              <w:rPr>
                <w:rFonts w:ascii="Arial"/>
                <w:sz w:val="18"/>
              </w:rPr>
              <w:t>pH    Temperatura</w:t>
            </w:r>
          </w:p>
          <w:p>
            <w:pPr>
              <w:pStyle w:val="TableParagraph"/>
              <w:spacing w:before="1"/>
              <w:ind w:right="0"/>
              <w:jc w:val="left"/>
              <w:rPr>
                <w:rFonts w:ascii="Arial"/>
                <w:b/>
                <w:sz w:val="18"/>
              </w:rPr>
            </w:pPr>
          </w:p>
          <w:p>
            <w:pPr>
              <w:pStyle w:val="TableParagraph"/>
              <w:spacing w:line="235" w:lineRule="auto" w:before="0"/>
              <w:ind w:left="460" w:right="169" w:hanging="274"/>
              <w:jc w:val="left"/>
              <w:rPr>
                <w:rFonts w:ascii="Arial"/>
                <w:sz w:val="12"/>
              </w:rPr>
            </w:pPr>
            <w:r>
              <w:rPr>
                <w:rFonts w:ascii="Arial"/>
                <w:sz w:val="18"/>
              </w:rPr>
              <w:t>(Laboratorio) </w:t>
            </w:r>
            <w:r>
              <w:rPr>
                <w:rFonts w:ascii="Arial"/>
                <w:position w:val="2"/>
                <w:sz w:val="18"/>
              </w:rPr>
              <w:t>DQO</w:t>
            </w:r>
            <w:r>
              <w:rPr>
                <w:rFonts w:ascii="Arial"/>
                <w:sz w:val="12"/>
              </w:rPr>
              <w:t>T </w:t>
            </w:r>
            <w:r>
              <w:rPr>
                <w:rFonts w:ascii="Arial"/>
                <w:position w:val="2"/>
                <w:sz w:val="18"/>
              </w:rPr>
              <w:t>DBO</w:t>
            </w:r>
            <w:r>
              <w:rPr>
                <w:rFonts w:ascii="Arial"/>
                <w:sz w:val="12"/>
              </w:rPr>
              <w:t>5</w:t>
            </w:r>
          </w:p>
          <w:p>
            <w:pPr>
              <w:pStyle w:val="TableParagraph"/>
              <w:spacing w:line="206" w:lineRule="exact" w:before="19"/>
              <w:ind w:left="419" w:right="419" w:hanging="3"/>
              <w:jc w:val="center"/>
              <w:rPr>
                <w:rFonts w:ascii="Arial"/>
                <w:sz w:val="12"/>
              </w:rPr>
            </w:pPr>
            <w:r>
              <w:rPr>
                <w:rFonts w:ascii="Arial"/>
                <w:position w:val="2"/>
                <w:sz w:val="18"/>
              </w:rPr>
              <w:t>N-NH</w:t>
            </w:r>
            <w:r>
              <w:rPr>
                <w:rFonts w:ascii="Arial"/>
                <w:sz w:val="12"/>
              </w:rPr>
              <w:t>3 </w:t>
            </w:r>
            <w:r>
              <w:rPr>
                <w:rFonts w:ascii="Arial"/>
                <w:w w:val="95"/>
                <w:position w:val="2"/>
                <w:sz w:val="18"/>
              </w:rPr>
              <w:t>N-NO</w:t>
            </w:r>
            <w:r>
              <w:rPr>
                <w:rFonts w:ascii="Arial"/>
                <w:w w:val="95"/>
                <w:sz w:val="12"/>
              </w:rPr>
              <w:t>2</w:t>
            </w:r>
            <w:r>
              <w:rPr>
                <w:rFonts w:ascii="Arial"/>
                <w:w w:val="95"/>
                <w:position w:val="11"/>
                <w:sz w:val="12"/>
              </w:rPr>
              <w:t>-</w:t>
            </w:r>
          </w:p>
          <w:p>
            <w:pPr>
              <w:pStyle w:val="TableParagraph"/>
              <w:spacing w:line="187" w:lineRule="exact" w:before="0"/>
              <w:ind w:left="397" w:right="398"/>
              <w:jc w:val="center"/>
              <w:rPr>
                <w:rFonts w:ascii="Arial"/>
                <w:sz w:val="12"/>
              </w:rPr>
            </w:pPr>
            <w:r>
              <w:rPr>
                <w:rFonts w:ascii="Arial"/>
                <w:position w:val="2"/>
                <w:sz w:val="18"/>
              </w:rPr>
              <w:t>N-NO</w:t>
            </w:r>
            <w:r>
              <w:rPr>
                <w:rFonts w:ascii="Arial"/>
                <w:sz w:val="12"/>
              </w:rPr>
              <w:t>3</w:t>
            </w:r>
            <w:r>
              <w:rPr>
                <w:rFonts w:ascii="Arial"/>
                <w:position w:val="11"/>
                <w:sz w:val="12"/>
              </w:rPr>
              <w:t>-</w:t>
            </w:r>
          </w:p>
          <w:p>
            <w:pPr>
              <w:pStyle w:val="TableParagraph"/>
              <w:spacing w:line="242" w:lineRule="auto" w:before="0"/>
              <w:ind w:left="186" w:right="185"/>
              <w:jc w:val="center"/>
              <w:rPr>
                <w:rFonts w:ascii="Arial"/>
                <w:sz w:val="18"/>
              </w:rPr>
            </w:pPr>
            <w:r>
              <w:rPr>
                <w:rFonts w:ascii="Arial"/>
                <w:w w:val="95"/>
                <w:sz w:val="18"/>
              </w:rPr>
              <w:t>Alcalinidad </w:t>
            </w:r>
            <w:r>
              <w:rPr>
                <w:rFonts w:ascii="Arial"/>
                <w:sz w:val="18"/>
              </w:rPr>
              <w:t>SST</w:t>
            </w:r>
          </w:p>
        </w:tc>
        <w:tc>
          <w:tcPr>
            <w:tcW w:w="1277" w:type="dxa"/>
          </w:tcPr>
          <w:p>
            <w:pPr>
              <w:pStyle w:val="TableParagraph"/>
              <w:spacing w:line="242" w:lineRule="auto" w:before="0"/>
              <w:ind w:left="329" w:right="325"/>
              <w:jc w:val="center"/>
              <w:rPr>
                <w:rFonts w:ascii="Arial"/>
                <w:sz w:val="18"/>
              </w:rPr>
            </w:pPr>
            <w:r>
              <w:rPr>
                <w:rFonts w:ascii="Arial"/>
                <w:sz w:val="18"/>
              </w:rPr>
              <w:t>(</w:t>
            </w:r>
            <w:r>
              <w:rPr>
                <w:rFonts w:ascii="Arial"/>
                <w:i/>
                <w:sz w:val="18"/>
              </w:rPr>
              <w:t>In situ</w:t>
            </w:r>
            <w:r>
              <w:rPr>
                <w:rFonts w:ascii="Arial"/>
                <w:sz w:val="18"/>
              </w:rPr>
              <w:t>) OD</w:t>
            </w:r>
          </w:p>
          <w:p>
            <w:pPr>
              <w:pStyle w:val="TableParagraph"/>
              <w:spacing w:line="206" w:lineRule="exact" w:before="1"/>
              <w:ind w:left="113" w:right="111"/>
              <w:jc w:val="center"/>
              <w:rPr>
                <w:rFonts w:ascii="Arial"/>
                <w:sz w:val="18"/>
              </w:rPr>
            </w:pPr>
            <w:r>
              <w:rPr>
                <w:rFonts w:ascii="Arial"/>
                <w:sz w:val="18"/>
              </w:rPr>
              <w:t>pH    Temperatura</w:t>
            </w:r>
          </w:p>
          <w:p>
            <w:pPr>
              <w:pStyle w:val="TableParagraph"/>
              <w:spacing w:before="1"/>
              <w:ind w:right="0"/>
              <w:jc w:val="left"/>
              <w:rPr>
                <w:rFonts w:ascii="Arial"/>
                <w:b/>
                <w:sz w:val="18"/>
              </w:rPr>
            </w:pPr>
          </w:p>
          <w:p>
            <w:pPr>
              <w:pStyle w:val="TableParagraph"/>
              <w:spacing w:line="235" w:lineRule="auto" w:before="0"/>
              <w:ind w:left="391" w:right="99" w:hanging="274"/>
              <w:jc w:val="left"/>
              <w:rPr>
                <w:rFonts w:ascii="Arial"/>
                <w:sz w:val="12"/>
              </w:rPr>
            </w:pPr>
            <w:r>
              <w:rPr>
                <w:rFonts w:ascii="Arial"/>
                <w:sz w:val="18"/>
              </w:rPr>
              <w:t>(Laboratorio) </w:t>
            </w:r>
            <w:r>
              <w:rPr>
                <w:rFonts w:ascii="Arial"/>
                <w:position w:val="2"/>
                <w:sz w:val="18"/>
              </w:rPr>
              <w:t>DQO</w:t>
            </w:r>
            <w:r>
              <w:rPr>
                <w:rFonts w:ascii="Arial"/>
                <w:sz w:val="12"/>
              </w:rPr>
              <w:t>T </w:t>
            </w:r>
            <w:r>
              <w:rPr>
                <w:rFonts w:ascii="Arial"/>
                <w:position w:val="2"/>
                <w:sz w:val="18"/>
              </w:rPr>
              <w:t>DBO</w:t>
            </w:r>
            <w:r>
              <w:rPr>
                <w:rFonts w:ascii="Arial"/>
                <w:sz w:val="12"/>
              </w:rPr>
              <w:t>5</w:t>
            </w:r>
          </w:p>
          <w:p>
            <w:pPr>
              <w:pStyle w:val="TableParagraph"/>
              <w:spacing w:line="206" w:lineRule="exact" w:before="19"/>
              <w:ind w:left="350" w:right="349" w:hanging="3"/>
              <w:jc w:val="center"/>
              <w:rPr>
                <w:rFonts w:ascii="Arial"/>
                <w:sz w:val="12"/>
              </w:rPr>
            </w:pPr>
            <w:r>
              <w:rPr>
                <w:rFonts w:ascii="Arial"/>
                <w:position w:val="2"/>
                <w:sz w:val="18"/>
              </w:rPr>
              <w:t>N-NH</w:t>
            </w:r>
            <w:r>
              <w:rPr>
                <w:rFonts w:ascii="Arial"/>
                <w:sz w:val="12"/>
              </w:rPr>
              <w:t>3 </w:t>
            </w:r>
            <w:r>
              <w:rPr>
                <w:rFonts w:ascii="Arial"/>
                <w:w w:val="95"/>
                <w:position w:val="2"/>
                <w:sz w:val="18"/>
              </w:rPr>
              <w:t>N-NO</w:t>
            </w:r>
            <w:r>
              <w:rPr>
                <w:rFonts w:ascii="Arial"/>
                <w:w w:val="95"/>
                <w:sz w:val="12"/>
              </w:rPr>
              <w:t>2</w:t>
            </w:r>
            <w:r>
              <w:rPr>
                <w:rFonts w:ascii="Arial"/>
                <w:w w:val="95"/>
                <w:position w:val="11"/>
                <w:sz w:val="12"/>
              </w:rPr>
              <w:t>-</w:t>
            </w:r>
          </w:p>
          <w:p>
            <w:pPr>
              <w:pStyle w:val="TableParagraph"/>
              <w:spacing w:line="187" w:lineRule="exact" w:before="0"/>
              <w:ind w:left="328" w:right="329"/>
              <w:jc w:val="center"/>
              <w:rPr>
                <w:rFonts w:ascii="Arial"/>
                <w:sz w:val="12"/>
              </w:rPr>
            </w:pPr>
            <w:r>
              <w:rPr>
                <w:rFonts w:ascii="Arial"/>
                <w:position w:val="2"/>
                <w:sz w:val="18"/>
              </w:rPr>
              <w:t>N-NO</w:t>
            </w:r>
            <w:r>
              <w:rPr>
                <w:rFonts w:ascii="Arial"/>
                <w:sz w:val="12"/>
              </w:rPr>
              <w:t>3</w:t>
            </w:r>
            <w:r>
              <w:rPr>
                <w:rFonts w:ascii="Arial"/>
                <w:position w:val="11"/>
                <w:sz w:val="12"/>
              </w:rPr>
              <w:t>-</w:t>
            </w:r>
          </w:p>
          <w:p>
            <w:pPr>
              <w:pStyle w:val="TableParagraph"/>
              <w:spacing w:line="242" w:lineRule="auto" w:before="0"/>
              <w:ind w:left="112" w:right="111"/>
              <w:jc w:val="center"/>
              <w:rPr>
                <w:rFonts w:ascii="Arial"/>
                <w:sz w:val="18"/>
              </w:rPr>
            </w:pPr>
            <w:r>
              <w:rPr>
                <w:rFonts w:ascii="Arial"/>
                <w:w w:val="95"/>
                <w:sz w:val="18"/>
              </w:rPr>
              <w:t>Alcalinidad </w:t>
            </w:r>
            <w:r>
              <w:rPr>
                <w:rFonts w:ascii="Arial"/>
                <w:sz w:val="18"/>
              </w:rPr>
              <w:t>SST</w:t>
            </w:r>
          </w:p>
        </w:tc>
      </w:tr>
    </w:tbl>
    <w:p>
      <w:pPr>
        <w:spacing w:after="0" w:line="242" w:lineRule="auto"/>
        <w:jc w:val="center"/>
        <w:rPr>
          <w:rFonts w:ascii="Arial"/>
          <w:sz w:val="18"/>
        </w:rPr>
        <w:sectPr>
          <w:pgSz w:w="12240" w:h="15840"/>
          <w:pgMar w:header="725" w:footer="1084" w:top="1340" w:bottom="1280" w:left="880" w:right="720"/>
        </w:sectPr>
      </w:pPr>
    </w:p>
    <w:p>
      <w:pPr>
        <w:pStyle w:val="BodyText"/>
        <w:spacing w:before="10"/>
        <w:rPr>
          <w:b/>
          <w:sz w:val="8"/>
        </w:rPr>
      </w:pPr>
      <w:r>
        <w:rPr/>
        <w:pict>
          <v:line style="position:absolute;mso-position-horizontal-relative:page;mso-position-vertical-relative:page;z-index:-1525960" from="167.519989pt,615.119995pt" to="184.079989pt,615.119995pt" stroked="true" strokeweight=".72pt" strokecolor="#000000">
            <w10:wrap type="none"/>
          </v:line>
        </w:pict>
      </w:r>
      <w:r>
        <w:rPr/>
        <w:pict>
          <v:line style="position:absolute;mso-position-horizontal-relative:page;mso-position-vertical-relative:page;z-index:-1525936" from="309.959991pt,613.919983pt" to="322.679991pt,613.919983pt" stroked="true" strokeweight=".72pt" strokecolor="#000000">
            <w10:wrap type="none"/>
          </v:line>
        </w:pict>
      </w:r>
      <w:r>
        <w:rPr/>
        <w:pict>
          <v:line style="position:absolute;mso-position-horizontal-relative:page;mso-position-vertical-relative:page;z-index:-1525912" from="335.519989pt,613.919983pt" to="348.239989pt,613.919983pt" stroked="true" strokeweight=".72pt" strokecolor="#000000">
            <w10:wrap type="none"/>
          </v:line>
        </w:pict>
      </w:r>
      <w:r>
        <w:rPr/>
        <w:pict>
          <v:line style="position:absolute;mso-position-horizontal-relative:page;mso-position-vertical-relative:page;z-index:-1525888" from="360.600006pt,613.919983pt" to="372.600006pt,613.919983pt" stroked="true" strokeweight=".72pt" strokecolor="#000000">
            <w10:wrap type="none"/>
          </v:line>
        </w:pict>
      </w:r>
    </w:p>
    <w:p>
      <w:pPr>
        <w:pStyle w:val="BodyText"/>
        <w:spacing w:line="357" w:lineRule="auto" w:before="73"/>
        <w:ind w:left="781" w:right="497"/>
        <w:jc w:val="both"/>
      </w:pPr>
      <w:r>
        <w:rPr/>
        <w:t>La periocidad de muestreo para los parámetros medidos </w:t>
      </w:r>
      <w:r>
        <w:rPr>
          <w:i/>
        </w:rPr>
        <w:t>in situ </w:t>
      </w:r>
      <w:r>
        <w:rPr/>
        <w:t>fue diaria. Los parámetros determinados en laboratorio se realizaron dos veces por semana para los puntos de muestreo A, B, C, D, E y G, con excepción de la DBO</w:t>
      </w:r>
      <w:r>
        <w:rPr>
          <w:position w:val="-2"/>
          <w:sz w:val="13"/>
        </w:rPr>
        <w:t>5 </w:t>
      </w:r>
      <w:r>
        <w:rPr/>
        <w:t>que se determinó cada 15 días. El punto F se muestreo al inicio del cultivo. La información adquirida se ordenó y se efectuó un análisis de boxplot para analizar la posibilidad de existencia de datos aberrantes entre los resultados y, en su caso, revisar, corregir o eliminar.</w:t>
      </w:r>
    </w:p>
    <w:p>
      <w:pPr>
        <w:pStyle w:val="BodyText"/>
        <w:spacing w:before="9"/>
        <w:rPr>
          <w:sz w:val="17"/>
        </w:rPr>
      </w:pPr>
    </w:p>
    <w:p>
      <w:pPr>
        <w:pStyle w:val="BodyText"/>
        <w:spacing w:line="355" w:lineRule="auto"/>
        <w:ind w:left="781" w:right="497"/>
        <w:jc w:val="both"/>
      </w:pPr>
      <w:r>
        <w:rPr/>
        <w:t>Para determinar los estimadores estadísticos de las concentraciones de los parámetros  en estudio con un muestreo aleatorio estratificado, la información se dividió en cinco estratos con base en la biomasa obtenida en el estanque. En las tabla 10 y 11 se describen los cinco estratos utilizados, la población de cada uno (</w:t>
      </w:r>
      <w:r>
        <w:rPr>
          <w:i/>
        </w:rPr>
        <w:t>N</w:t>
      </w:r>
      <w:r>
        <w:rPr>
          <w:i/>
          <w:position w:val="-2"/>
          <w:sz w:val="14"/>
        </w:rPr>
        <w:t>h</w:t>
      </w:r>
      <w:r>
        <w:rPr/>
        <w:t>), las observaciones de las unidades de población en el estrato (</w:t>
      </w:r>
      <w:r>
        <w:rPr>
          <w:i/>
        </w:rPr>
        <w:t>n</w:t>
      </w:r>
      <w:r>
        <w:rPr>
          <w:i/>
          <w:position w:val="-2"/>
          <w:sz w:val="14"/>
        </w:rPr>
        <w:t>h</w:t>
      </w:r>
      <w:r>
        <w:rPr/>
        <w:t>), el tiempo de cultivo en cada estrato, con esta información se determino el promedio de los parámetros de calidad del agua en cada punto de muestreo por cada estrato y el promedio de la población con su</w:t>
      </w:r>
      <w:r>
        <w:rPr>
          <w:spacing w:val="-35"/>
        </w:rPr>
        <w:t> </w:t>
      </w:r>
      <w:r>
        <w:rPr/>
        <w:t>varianza.</w:t>
      </w:r>
    </w:p>
    <w:p>
      <w:pPr>
        <w:pStyle w:val="BodyText"/>
        <w:spacing w:before="8"/>
        <w:rPr>
          <w:sz w:val="17"/>
        </w:rPr>
      </w:pPr>
    </w:p>
    <w:p>
      <w:pPr>
        <w:spacing w:before="0"/>
        <w:ind w:left="1506" w:right="948" w:firstLine="0"/>
        <w:jc w:val="left"/>
        <w:rPr>
          <w:b/>
          <w:sz w:val="18"/>
        </w:rPr>
      </w:pPr>
      <w:r>
        <w:rPr>
          <w:b/>
          <w:sz w:val="18"/>
        </w:rPr>
        <w:t>Tabla 10. Definición de estratos para la determinación de los estimadores estadísticos</w:t>
      </w:r>
    </w:p>
    <w:p>
      <w:pPr>
        <w:pStyle w:val="BodyText"/>
        <w:spacing w:before="10"/>
        <w:rPr>
          <w:b/>
          <w:sz w:val="10"/>
        </w:rPr>
      </w:pPr>
    </w:p>
    <w:tbl>
      <w:tblPr>
        <w:tblW w:w="0" w:type="auto"/>
        <w:jc w:val="left"/>
        <w:tblInd w:w="1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965"/>
        <w:gridCol w:w="967"/>
        <w:gridCol w:w="1277"/>
        <w:gridCol w:w="1200"/>
        <w:gridCol w:w="1200"/>
        <w:gridCol w:w="1200"/>
      </w:tblGrid>
      <w:tr>
        <w:trPr>
          <w:trHeight w:val="310" w:hRule="exact"/>
        </w:trPr>
        <w:tc>
          <w:tcPr>
            <w:tcW w:w="1200" w:type="dxa"/>
            <w:vMerge w:val="restart"/>
          </w:tcPr>
          <w:p>
            <w:pPr>
              <w:pStyle w:val="TableParagraph"/>
              <w:spacing w:before="2"/>
              <w:ind w:right="0"/>
              <w:jc w:val="left"/>
              <w:rPr>
                <w:rFonts w:ascii="Arial"/>
                <w:b/>
                <w:sz w:val="16"/>
              </w:rPr>
            </w:pPr>
          </w:p>
          <w:p>
            <w:pPr>
              <w:pStyle w:val="TableParagraph"/>
              <w:spacing w:before="1"/>
              <w:ind w:left="247" w:right="87"/>
              <w:jc w:val="left"/>
              <w:rPr>
                <w:rFonts w:ascii="Arial"/>
                <w:b/>
                <w:sz w:val="20"/>
              </w:rPr>
            </w:pPr>
            <w:r>
              <w:rPr>
                <w:rFonts w:ascii="Arial"/>
                <w:b/>
                <w:sz w:val="20"/>
              </w:rPr>
              <w:t>Estrato</w:t>
            </w:r>
          </w:p>
        </w:tc>
        <w:tc>
          <w:tcPr>
            <w:tcW w:w="3209" w:type="dxa"/>
            <w:gridSpan w:val="3"/>
          </w:tcPr>
          <w:p>
            <w:pPr>
              <w:pStyle w:val="TableParagraph"/>
              <w:spacing w:before="31"/>
              <w:ind w:left="969" w:right="0"/>
              <w:jc w:val="left"/>
              <w:rPr>
                <w:rFonts w:ascii="Arial"/>
                <w:b/>
                <w:sz w:val="20"/>
              </w:rPr>
            </w:pPr>
            <w:r>
              <w:rPr>
                <w:rFonts w:ascii="Arial"/>
                <w:b/>
                <w:sz w:val="20"/>
              </w:rPr>
              <w:t>Biomasa (kg)</w:t>
            </w:r>
          </w:p>
        </w:tc>
        <w:tc>
          <w:tcPr>
            <w:tcW w:w="1200" w:type="dxa"/>
            <w:vMerge w:val="restart"/>
          </w:tcPr>
          <w:p>
            <w:pPr>
              <w:pStyle w:val="TableParagraph"/>
              <w:spacing w:before="2"/>
              <w:ind w:right="0"/>
              <w:jc w:val="left"/>
              <w:rPr>
                <w:rFonts w:ascii="Arial"/>
                <w:b/>
                <w:sz w:val="16"/>
              </w:rPr>
            </w:pPr>
          </w:p>
          <w:p>
            <w:pPr>
              <w:pStyle w:val="TableParagraph"/>
              <w:spacing w:before="1"/>
              <w:ind w:left="384" w:right="87"/>
              <w:jc w:val="left"/>
              <w:rPr>
                <w:rFonts w:ascii="Arial" w:hAnsi="Arial"/>
                <w:b/>
                <w:sz w:val="20"/>
              </w:rPr>
            </w:pPr>
            <w:r>
              <w:rPr>
                <w:rFonts w:ascii="Arial" w:hAnsi="Arial"/>
                <w:b/>
                <w:sz w:val="20"/>
              </w:rPr>
              <w:t>Días</w:t>
            </w:r>
          </w:p>
        </w:tc>
        <w:tc>
          <w:tcPr>
            <w:tcW w:w="1200" w:type="dxa"/>
            <w:vMerge w:val="restart"/>
          </w:tcPr>
          <w:p>
            <w:pPr>
              <w:pStyle w:val="TableParagraph"/>
              <w:spacing w:before="187"/>
              <w:ind w:left="271" w:right="87"/>
              <w:jc w:val="left"/>
              <w:rPr>
                <w:rFonts w:ascii="Arial"/>
                <w:b/>
                <w:sz w:val="20"/>
              </w:rPr>
            </w:pPr>
            <w:r>
              <w:rPr>
                <w:rFonts w:ascii="Arial"/>
                <w:b/>
                <w:i/>
                <w:sz w:val="20"/>
              </w:rPr>
              <w:t>N</w:t>
            </w:r>
            <w:r>
              <w:rPr>
                <w:rFonts w:ascii="Arial"/>
                <w:b/>
                <w:i/>
                <w:position w:val="-2"/>
                <w:sz w:val="13"/>
              </w:rPr>
              <w:t>h </w:t>
            </w:r>
            <w:r>
              <w:rPr>
                <w:rFonts w:ascii="Arial"/>
                <w:b/>
                <w:sz w:val="20"/>
              </w:rPr>
              <w:t>(kg)</w:t>
            </w:r>
          </w:p>
        </w:tc>
        <w:tc>
          <w:tcPr>
            <w:tcW w:w="1200" w:type="dxa"/>
            <w:vMerge w:val="restart"/>
          </w:tcPr>
          <w:p>
            <w:pPr>
              <w:pStyle w:val="TableParagraph"/>
              <w:spacing w:before="187"/>
              <w:ind w:left="283" w:right="87"/>
              <w:jc w:val="left"/>
              <w:rPr>
                <w:rFonts w:ascii="Arial"/>
                <w:b/>
                <w:sz w:val="20"/>
              </w:rPr>
            </w:pPr>
            <w:r>
              <w:rPr>
                <w:rFonts w:ascii="Arial"/>
                <w:b/>
                <w:i/>
                <w:sz w:val="20"/>
              </w:rPr>
              <w:t>n</w:t>
            </w:r>
            <w:r>
              <w:rPr>
                <w:rFonts w:ascii="Arial"/>
                <w:b/>
                <w:i/>
                <w:position w:val="-2"/>
                <w:sz w:val="13"/>
              </w:rPr>
              <w:t>h </w:t>
            </w:r>
            <w:r>
              <w:rPr>
                <w:rFonts w:ascii="Arial"/>
                <w:b/>
                <w:sz w:val="20"/>
              </w:rPr>
              <w:t>(kg)</w:t>
            </w:r>
          </w:p>
        </w:tc>
      </w:tr>
      <w:tr>
        <w:trPr>
          <w:trHeight w:val="312" w:hRule="exact"/>
        </w:trPr>
        <w:tc>
          <w:tcPr>
            <w:tcW w:w="1200" w:type="dxa"/>
            <w:vMerge/>
          </w:tcPr>
          <w:p>
            <w:pPr/>
          </w:p>
        </w:tc>
        <w:tc>
          <w:tcPr>
            <w:tcW w:w="965" w:type="dxa"/>
          </w:tcPr>
          <w:p>
            <w:pPr>
              <w:pStyle w:val="TableParagraph"/>
              <w:spacing w:before="31"/>
              <w:ind w:left="191" w:right="0"/>
              <w:jc w:val="left"/>
              <w:rPr>
                <w:rFonts w:ascii="Arial"/>
                <w:b/>
                <w:sz w:val="20"/>
              </w:rPr>
            </w:pPr>
            <w:r>
              <w:rPr>
                <w:rFonts w:ascii="Arial"/>
                <w:b/>
                <w:sz w:val="20"/>
              </w:rPr>
              <w:t>Inicial</w:t>
            </w:r>
          </w:p>
        </w:tc>
        <w:tc>
          <w:tcPr>
            <w:tcW w:w="967" w:type="dxa"/>
          </w:tcPr>
          <w:p>
            <w:pPr>
              <w:pStyle w:val="TableParagraph"/>
              <w:spacing w:before="31"/>
              <w:ind w:left="245" w:right="0"/>
              <w:jc w:val="left"/>
              <w:rPr>
                <w:rFonts w:ascii="Arial"/>
                <w:b/>
                <w:sz w:val="20"/>
              </w:rPr>
            </w:pPr>
            <w:r>
              <w:rPr>
                <w:rFonts w:ascii="Arial"/>
                <w:b/>
                <w:sz w:val="20"/>
              </w:rPr>
              <w:t>Final</w:t>
            </w:r>
          </w:p>
        </w:tc>
        <w:tc>
          <w:tcPr>
            <w:tcW w:w="1277" w:type="dxa"/>
          </w:tcPr>
          <w:p>
            <w:pPr>
              <w:pStyle w:val="TableParagraph"/>
              <w:spacing w:before="31"/>
              <w:ind w:right="96"/>
              <w:rPr>
                <w:rFonts w:ascii="Arial"/>
                <w:b/>
                <w:sz w:val="20"/>
              </w:rPr>
            </w:pPr>
            <w:r>
              <w:rPr>
                <w:rFonts w:ascii="Arial"/>
                <w:b/>
                <w:w w:val="95"/>
                <w:sz w:val="20"/>
              </w:rPr>
              <w:t>Incremento</w:t>
            </w:r>
          </w:p>
        </w:tc>
        <w:tc>
          <w:tcPr>
            <w:tcW w:w="1200" w:type="dxa"/>
            <w:vMerge/>
          </w:tcPr>
          <w:p>
            <w:pPr/>
          </w:p>
        </w:tc>
        <w:tc>
          <w:tcPr>
            <w:tcW w:w="1200" w:type="dxa"/>
            <w:vMerge/>
          </w:tcPr>
          <w:p>
            <w:pPr/>
          </w:p>
        </w:tc>
        <w:tc>
          <w:tcPr>
            <w:tcW w:w="1200" w:type="dxa"/>
            <w:vMerge/>
          </w:tcPr>
          <w:p>
            <w:pPr/>
          </w:p>
        </w:tc>
      </w:tr>
      <w:tr>
        <w:trPr>
          <w:trHeight w:val="310" w:hRule="exact"/>
        </w:trPr>
        <w:tc>
          <w:tcPr>
            <w:tcW w:w="1200" w:type="dxa"/>
          </w:tcPr>
          <w:p>
            <w:pPr>
              <w:pStyle w:val="TableParagraph"/>
              <w:spacing w:before="31"/>
              <w:ind w:left="537" w:right="0"/>
              <w:jc w:val="left"/>
              <w:rPr>
                <w:rFonts w:ascii="Arial"/>
                <w:sz w:val="20"/>
              </w:rPr>
            </w:pPr>
            <w:r>
              <w:rPr>
                <w:rFonts w:ascii="Arial"/>
                <w:w w:val="99"/>
                <w:sz w:val="20"/>
              </w:rPr>
              <w:t>1</w:t>
            </w:r>
          </w:p>
        </w:tc>
        <w:tc>
          <w:tcPr>
            <w:tcW w:w="965" w:type="dxa"/>
          </w:tcPr>
          <w:p>
            <w:pPr>
              <w:pStyle w:val="TableParagraph"/>
              <w:spacing w:before="67"/>
              <w:ind w:right="67"/>
              <w:rPr>
                <w:rFonts w:ascii="Arial"/>
                <w:sz w:val="20"/>
              </w:rPr>
            </w:pPr>
            <w:r>
              <w:rPr>
                <w:rFonts w:ascii="Arial"/>
                <w:w w:val="95"/>
                <w:sz w:val="20"/>
              </w:rPr>
              <w:t>99,46</w:t>
            </w:r>
          </w:p>
        </w:tc>
        <w:tc>
          <w:tcPr>
            <w:tcW w:w="967" w:type="dxa"/>
          </w:tcPr>
          <w:p>
            <w:pPr>
              <w:pStyle w:val="TableParagraph"/>
              <w:spacing w:before="67"/>
              <w:ind w:right="67"/>
              <w:rPr>
                <w:rFonts w:ascii="Arial"/>
                <w:sz w:val="20"/>
              </w:rPr>
            </w:pPr>
            <w:r>
              <w:rPr>
                <w:rFonts w:ascii="Arial"/>
                <w:sz w:val="20"/>
              </w:rPr>
              <w:t>108,6</w:t>
            </w:r>
          </w:p>
        </w:tc>
        <w:tc>
          <w:tcPr>
            <w:tcW w:w="1277" w:type="dxa"/>
          </w:tcPr>
          <w:p>
            <w:pPr>
              <w:pStyle w:val="TableParagraph"/>
              <w:spacing w:before="67"/>
              <w:ind w:right="67"/>
              <w:rPr>
                <w:rFonts w:ascii="Arial"/>
                <w:sz w:val="20"/>
              </w:rPr>
            </w:pPr>
            <w:r>
              <w:rPr>
                <w:rFonts w:ascii="Arial"/>
                <w:w w:val="95"/>
                <w:sz w:val="20"/>
              </w:rPr>
              <w:t>9,14</w:t>
            </w:r>
          </w:p>
        </w:tc>
        <w:tc>
          <w:tcPr>
            <w:tcW w:w="1200" w:type="dxa"/>
          </w:tcPr>
          <w:p>
            <w:pPr>
              <w:pStyle w:val="TableParagraph"/>
              <w:spacing w:before="67"/>
              <w:ind w:right="65"/>
              <w:rPr>
                <w:rFonts w:ascii="Arial"/>
                <w:sz w:val="20"/>
              </w:rPr>
            </w:pPr>
            <w:r>
              <w:rPr>
                <w:rFonts w:ascii="Arial"/>
                <w:w w:val="95"/>
                <w:sz w:val="20"/>
              </w:rPr>
              <w:t>18</w:t>
            </w:r>
          </w:p>
        </w:tc>
        <w:tc>
          <w:tcPr>
            <w:tcW w:w="1200" w:type="dxa"/>
          </w:tcPr>
          <w:p>
            <w:pPr>
              <w:pStyle w:val="TableParagraph"/>
              <w:spacing w:before="67"/>
              <w:ind w:right="65"/>
              <w:rPr>
                <w:rFonts w:ascii="Arial"/>
                <w:sz w:val="20"/>
              </w:rPr>
            </w:pPr>
            <w:r>
              <w:rPr>
                <w:rFonts w:ascii="Arial"/>
                <w:sz w:val="20"/>
              </w:rPr>
              <w:t>108,60</w:t>
            </w:r>
          </w:p>
        </w:tc>
        <w:tc>
          <w:tcPr>
            <w:tcW w:w="1200" w:type="dxa"/>
          </w:tcPr>
          <w:p>
            <w:pPr>
              <w:pStyle w:val="TableParagraph"/>
              <w:spacing w:before="67"/>
              <w:ind w:right="65"/>
              <w:rPr>
                <w:rFonts w:ascii="Arial"/>
                <w:sz w:val="20"/>
              </w:rPr>
            </w:pPr>
            <w:r>
              <w:rPr>
                <w:rFonts w:ascii="Arial"/>
                <w:w w:val="95"/>
                <w:sz w:val="20"/>
              </w:rPr>
              <w:t>108</w:t>
            </w:r>
          </w:p>
        </w:tc>
      </w:tr>
      <w:tr>
        <w:trPr>
          <w:trHeight w:val="310" w:hRule="exact"/>
        </w:trPr>
        <w:tc>
          <w:tcPr>
            <w:tcW w:w="1200" w:type="dxa"/>
          </w:tcPr>
          <w:p>
            <w:pPr>
              <w:pStyle w:val="TableParagraph"/>
              <w:spacing w:before="33"/>
              <w:ind w:left="537" w:right="0"/>
              <w:jc w:val="left"/>
              <w:rPr>
                <w:rFonts w:ascii="Arial"/>
                <w:sz w:val="20"/>
              </w:rPr>
            </w:pPr>
            <w:r>
              <w:rPr>
                <w:rFonts w:ascii="Arial"/>
                <w:w w:val="99"/>
                <w:sz w:val="20"/>
              </w:rPr>
              <w:t>2</w:t>
            </w:r>
          </w:p>
        </w:tc>
        <w:tc>
          <w:tcPr>
            <w:tcW w:w="965" w:type="dxa"/>
          </w:tcPr>
          <w:p>
            <w:pPr>
              <w:pStyle w:val="TableParagraph"/>
              <w:spacing w:before="67"/>
              <w:ind w:right="67"/>
              <w:rPr>
                <w:rFonts w:ascii="Arial"/>
                <w:sz w:val="20"/>
              </w:rPr>
            </w:pPr>
            <w:r>
              <w:rPr>
                <w:rFonts w:ascii="Arial"/>
                <w:sz w:val="20"/>
              </w:rPr>
              <w:t>112,07</w:t>
            </w:r>
          </w:p>
        </w:tc>
        <w:tc>
          <w:tcPr>
            <w:tcW w:w="967" w:type="dxa"/>
          </w:tcPr>
          <w:p>
            <w:pPr>
              <w:pStyle w:val="TableParagraph"/>
              <w:spacing w:before="67"/>
              <w:ind w:right="67"/>
              <w:rPr>
                <w:rFonts w:ascii="Arial"/>
                <w:sz w:val="20"/>
              </w:rPr>
            </w:pPr>
            <w:r>
              <w:rPr>
                <w:rFonts w:ascii="Arial"/>
                <w:sz w:val="20"/>
              </w:rPr>
              <w:t>121,03</w:t>
            </w:r>
          </w:p>
        </w:tc>
        <w:tc>
          <w:tcPr>
            <w:tcW w:w="1277" w:type="dxa"/>
          </w:tcPr>
          <w:p>
            <w:pPr>
              <w:pStyle w:val="TableParagraph"/>
              <w:spacing w:before="67"/>
              <w:ind w:right="67"/>
              <w:rPr>
                <w:rFonts w:ascii="Arial"/>
                <w:sz w:val="20"/>
              </w:rPr>
            </w:pPr>
            <w:r>
              <w:rPr>
                <w:rFonts w:ascii="Arial"/>
                <w:w w:val="95"/>
                <w:sz w:val="20"/>
              </w:rPr>
              <w:t>8,96</w:t>
            </w:r>
          </w:p>
        </w:tc>
        <w:tc>
          <w:tcPr>
            <w:tcW w:w="1200" w:type="dxa"/>
          </w:tcPr>
          <w:p>
            <w:pPr>
              <w:pStyle w:val="TableParagraph"/>
              <w:spacing w:before="67"/>
              <w:ind w:right="65"/>
              <w:rPr>
                <w:rFonts w:ascii="Arial"/>
                <w:sz w:val="20"/>
              </w:rPr>
            </w:pPr>
            <w:r>
              <w:rPr>
                <w:rFonts w:ascii="Arial"/>
                <w:w w:val="95"/>
                <w:sz w:val="20"/>
              </w:rPr>
              <w:t>11</w:t>
            </w:r>
          </w:p>
        </w:tc>
        <w:tc>
          <w:tcPr>
            <w:tcW w:w="1200" w:type="dxa"/>
          </w:tcPr>
          <w:p>
            <w:pPr>
              <w:pStyle w:val="TableParagraph"/>
              <w:spacing w:before="67"/>
              <w:ind w:right="65"/>
              <w:rPr>
                <w:rFonts w:ascii="Arial"/>
                <w:sz w:val="20"/>
              </w:rPr>
            </w:pPr>
            <w:r>
              <w:rPr>
                <w:rFonts w:ascii="Arial"/>
                <w:sz w:val="20"/>
              </w:rPr>
              <w:t>121,03</w:t>
            </w:r>
          </w:p>
        </w:tc>
        <w:tc>
          <w:tcPr>
            <w:tcW w:w="1200" w:type="dxa"/>
          </w:tcPr>
          <w:p>
            <w:pPr>
              <w:pStyle w:val="TableParagraph"/>
              <w:spacing w:before="67"/>
              <w:ind w:right="65"/>
              <w:rPr>
                <w:rFonts w:ascii="Arial"/>
                <w:sz w:val="20"/>
              </w:rPr>
            </w:pPr>
            <w:r>
              <w:rPr>
                <w:rFonts w:ascii="Arial"/>
                <w:w w:val="95"/>
                <w:sz w:val="20"/>
              </w:rPr>
              <w:t>81</w:t>
            </w:r>
          </w:p>
        </w:tc>
      </w:tr>
      <w:tr>
        <w:trPr>
          <w:trHeight w:val="310" w:hRule="exact"/>
        </w:trPr>
        <w:tc>
          <w:tcPr>
            <w:tcW w:w="1200" w:type="dxa"/>
          </w:tcPr>
          <w:p>
            <w:pPr>
              <w:pStyle w:val="TableParagraph"/>
              <w:spacing w:before="33"/>
              <w:ind w:left="537" w:right="0"/>
              <w:jc w:val="left"/>
              <w:rPr>
                <w:rFonts w:ascii="Arial"/>
                <w:sz w:val="20"/>
              </w:rPr>
            </w:pPr>
            <w:r>
              <w:rPr>
                <w:rFonts w:ascii="Arial"/>
                <w:w w:val="99"/>
                <w:sz w:val="20"/>
              </w:rPr>
              <w:t>3</w:t>
            </w:r>
          </w:p>
        </w:tc>
        <w:tc>
          <w:tcPr>
            <w:tcW w:w="965" w:type="dxa"/>
          </w:tcPr>
          <w:p>
            <w:pPr>
              <w:pStyle w:val="TableParagraph"/>
              <w:spacing w:before="67"/>
              <w:ind w:right="67"/>
              <w:rPr>
                <w:rFonts w:ascii="Arial"/>
                <w:sz w:val="20"/>
              </w:rPr>
            </w:pPr>
            <w:r>
              <w:rPr>
                <w:rFonts w:ascii="Arial"/>
                <w:sz w:val="20"/>
              </w:rPr>
              <w:t>121,63</w:t>
            </w:r>
          </w:p>
        </w:tc>
        <w:tc>
          <w:tcPr>
            <w:tcW w:w="967" w:type="dxa"/>
          </w:tcPr>
          <w:p>
            <w:pPr>
              <w:pStyle w:val="TableParagraph"/>
              <w:spacing w:before="67"/>
              <w:ind w:right="67"/>
              <w:rPr>
                <w:rFonts w:ascii="Arial"/>
                <w:sz w:val="20"/>
              </w:rPr>
            </w:pPr>
            <w:r>
              <w:rPr>
                <w:rFonts w:ascii="Arial"/>
                <w:sz w:val="20"/>
              </w:rPr>
              <w:t>130,21</w:t>
            </w:r>
          </w:p>
        </w:tc>
        <w:tc>
          <w:tcPr>
            <w:tcW w:w="1277" w:type="dxa"/>
          </w:tcPr>
          <w:p>
            <w:pPr>
              <w:pStyle w:val="TableParagraph"/>
              <w:spacing w:before="67"/>
              <w:ind w:right="67"/>
              <w:rPr>
                <w:rFonts w:ascii="Arial"/>
                <w:sz w:val="20"/>
              </w:rPr>
            </w:pPr>
            <w:r>
              <w:rPr>
                <w:rFonts w:ascii="Arial"/>
                <w:w w:val="95"/>
                <w:sz w:val="20"/>
              </w:rPr>
              <w:t>8,58</w:t>
            </w:r>
          </w:p>
        </w:tc>
        <w:tc>
          <w:tcPr>
            <w:tcW w:w="1200" w:type="dxa"/>
          </w:tcPr>
          <w:p>
            <w:pPr>
              <w:pStyle w:val="TableParagraph"/>
              <w:spacing w:before="67"/>
              <w:ind w:right="65"/>
              <w:rPr>
                <w:rFonts w:ascii="Arial"/>
                <w:sz w:val="20"/>
              </w:rPr>
            </w:pPr>
            <w:r>
              <w:rPr>
                <w:rFonts w:ascii="Arial"/>
                <w:w w:val="95"/>
                <w:sz w:val="20"/>
              </w:rPr>
              <w:t>18</w:t>
            </w:r>
          </w:p>
        </w:tc>
        <w:tc>
          <w:tcPr>
            <w:tcW w:w="1200" w:type="dxa"/>
          </w:tcPr>
          <w:p>
            <w:pPr>
              <w:pStyle w:val="TableParagraph"/>
              <w:spacing w:before="67"/>
              <w:ind w:right="65"/>
              <w:rPr>
                <w:rFonts w:ascii="Arial"/>
                <w:sz w:val="20"/>
              </w:rPr>
            </w:pPr>
            <w:r>
              <w:rPr>
                <w:rFonts w:ascii="Arial"/>
                <w:sz w:val="20"/>
              </w:rPr>
              <w:t>130,21</w:t>
            </w:r>
          </w:p>
        </w:tc>
        <w:tc>
          <w:tcPr>
            <w:tcW w:w="1200" w:type="dxa"/>
          </w:tcPr>
          <w:p>
            <w:pPr>
              <w:pStyle w:val="TableParagraph"/>
              <w:spacing w:before="67"/>
              <w:ind w:right="65"/>
              <w:rPr>
                <w:rFonts w:ascii="Arial"/>
                <w:sz w:val="20"/>
              </w:rPr>
            </w:pPr>
            <w:r>
              <w:rPr>
                <w:rFonts w:ascii="Arial"/>
                <w:w w:val="95"/>
                <w:sz w:val="20"/>
              </w:rPr>
              <w:t>77</w:t>
            </w:r>
          </w:p>
        </w:tc>
      </w:tr>
      <w:tr>
        <w:trPr>
          <w:trHeight w:val="310" w:hRule="exact"/>
        </w:trPr>
        <w:tc>
          <w:tcPr>
            <w:tcW w:w="1200" w:type="dxa"/>
          </w:tcPr>
          <w:p>
            <w:pPr>
              <w:pStyle w:val="TableParagraph"/>
              <w:spacing w:before="33"/>
              <w:ind w:left="537" w:right="0"/>
              <w:jc w:val="left"/>
              <w:rPr>
                <w:rFonts w:ascii="Arial"/>
                <w:sz w:val="20"/>
              </w:rPr>
            </w:pPr>
            <w:r>
              <w:rPr>
                <w:rFonts w:ascii="Arial"/>
                <w:w w:val="99"/>
                <w:sz w:val="20"/>
              </w:rPr>
              <w:t>4</w:t>
            </w:r>
          </w:p>
        </w:tc>
        <w:tc>
          <w:tcPr>
            <w:tcW w:w="965" w:type="dxa"/>
          </w:tcPr>
          <w:p>
            <w:pPr>
              <w:pStyle w:val="TableParagraph"/>
              <w:spacing w:before="69"/>
              <w:ind w:right="67"/>
              <w:rPr>
                <w:rFonts w:ascii="Arial"/>
                <w:sz w:val="20"/>
              </w:rPr>
            </w:pPr>
            <w:r>
              <w:rPr>
                <w:rFonts w:ascii="Arial"/>
                <w:sz w:val="20"/>
              </w:rPr>
              <w:t>130,64</w:t>
            </w:r>
          </w:p>
        </w:tc>
        <w:tc>
          <w:tcPr>
            <w:tcW w:w="967" w:type="dxa"/>
          </w:tcPr>
          <w:p>
            <w:pPr>
              <w:pStyle w:val="TableParagraph"/>
              <w:spacing w:before="69"/>
              <w:ind w:right="67"/>
              <w:rPr>
                <w:rFonts w:ascii="Arial"/>
                <w:sz w:val="20"/>
              </w:rPr>
            </w:pPr>
            <w:r>
              <w:rPr>
                <w:rFonts w:ascii="Arial"/>
                <w:sz w:val="20"/>
              </w:rPr>
              <w:t>155,12</w:t>
            </w:r>
          </w:p>
        </w:tc>
        <w:tc>
          <w:tcPr>
            <w:tcW w:w="1277" w:type="dxa"/>
          </w:tcPr>
          <w:p>
            <w:pPr>
              <w:pStyle w:val="TableParagraph"/>
              <w:spacing w:before="69"/>
              <w:ind w:right="67"/>
              <w:rPr>
                <w:rFonts w:ascii="Arial"/>
                <w:sz w:val="20"/>
              </w:rPr>
            </w:pPr>
            <w:r>
              <w:rPr>
                <w:rFonts w:ascii="Arial"/>
                <w:w w:val="95"/>
                <w:sz w:val="20"/>
              </w:rPr>
              <w:t>24,48</w:t>
            </w:r>
          </w:p>
        </w:tc>
        <w:tc>
          <w:tcPr>
            <w:tcW w:w="1200" w:type="dxa"/>
          </w:tcPr>
          <w:p>
            <w:pPr>
              <w:pStyle w:val="TableParagraph"/>
              <w:spacing w:before="69"/>
              <w:ind w:right="65"/>
              <w:rPr>
                <w:rFonts w:ascii="Arial"/>
                <w:sz w:val="20"/>
              </w:rPr>
            </w:pPr>
            <w:r>
              <w:rPr>
                <w:rFonts w:ascii="Arial"/>
                <w:w w:val="95"/>
                <w:sz w:val="20"/>
              </w:rPr>
              <w:t>16</w:t>
            </w:r>
          </w:p>
        </w:tc>
        <w:tc>
          <w:tcPr>
            <w:tcW w:w="1200" w:type="dxa"/>
          </w:tcPr>
          <w:p>
            <w:pPr>
              <w:pStyle w:val="TableParagraph"/>
              <w:spacing w:before="69"/>
              <w:ind w:right="65"/>
              <w:rPr>
                <w:rFonts w:ascii="Arial"/>
                <w:sz w:val="20"/>
              </w:rPr>
            </w:pPr>
            <w:r>
              <w:rPr>
                <w:rFonts w:ascii="Arial"/>
                <w:sz w:val="20"/>
              </w:rPr>
              <w:t>155,12</w:t>
            </w:r>
          </w:p>
        </w:tc>
        <w:tc>
          <w:tcPr>
            <w:tcW w:w="1200" w:type="dxa"/>
          </w:tcPr>
          <w:p>
            <w:pPr>
              <w:pStyle w:val="TableParagraph"/>
              <w:spacing w:before="69"/>
              <w:ind w:right="65"/>
              <w:rPr>
                <w:rFonts w:ascii="Arial"/>
                <w:sz w:val="20"/>
              </w:rPr>
            </w:pPr>
            <w:r>
              <w:rPr>
                <w:rFonts w:ascii="Arial"/>
                <w:w w:val="95"/>
                <w:sz w:val="20"/>
              </w:rPr>
              <w:t>92</w:t>
            </w:r>
          </w:p>
        </w:tc>
      </w:tr>
      <w:tr>
        <w:trPr>
          <w:trHeight w:val="312" w:hRule="exact"/>
        </w:trPr>
        <w:tc>
          <w:tcPr>
            <w:tcW w:w="1200" w:type="dxa"/>
          </w:tcPr>
          <w:p>
            <w:pPr>
              <w:pStyle w:val="TableParagraph"/>
              <w:spacing w:before="33"/>
              <w:ind w:left="537" w:right="0"/>
              <w:jc w:val="left"/>
              <w:rPr>
                <w:rFonts w:ascii="Arial"/>
                <w:sz w:val="20"/>
              </w:rPr>
            </w:pPr>
            <w:r>
              <w:rPr>
                <w:rFonts w:ascii="Arial"/>
                <w:w w:val="99"/>
                <w:sz w:val="20"/>
              </w:rPr>
              <w:t>5</w:t>
            </w:r>
          </w:p>
        </w:tc>
        <w:tc>
          <w:tcPr>
            <w:tcW w:w="965" w:type="dxa"/>
          </w:tcPr>
          <w:p>
            <w:pPr>
              <w:pStyle w:val="TableParagraph"/>
              <w:spacing w:before="69"/>
              <w:ind w:right="67"/>
              <w:rPr>
                <w:rFonts w:ascii="Arial"/>
                <w:sz w:val="20"/>
              </w:rPr>
            </w:pPr>
            <w:r>
              <w:rPr>
                <w:rFonts w:ascii="Arial"/>
                <w:sz w:val="20"/>
              </w:rPr>
              <w:t>156,52</w:t>
            </w:r>
          </w:p>
        </w:tc>
        <w:tc>
          <w:tcPr>
            <w:tcW w:w="967" w:type="dxa"/>
          </w:tcPr>
          <w:p>
            <w:pPr>
              <w:pStyle w:val="TableParagraph"/>
              <w:spacing w:before="69"/>
              <w:ind w:right="67"/>
              <w:rPr>
                <w:rFonts w:ascii="Arial"/>
                <w:sz w:val="20"/>
              </w:rPr>
            </w:pPr>
            <w:r>
              <w:rPr>
                <w:rFonts w:ascii="Arial"/>
                <w:sz w:val="20"/>
              </w:rPr>
              <w:t>180,42</w:t>
            </w:r>
          </w:p>
        </w:tc>
        <w:tc>
          <w:tcPr>
            <w:tcW w:w="1277" w:type="dxa"/>
          </w:tcPr>
          <w:p>
            <w:pPr>
              <w:pStyle w:val="TableParagraph"/>
              <w:spacing w:before="69"/>
              <w:ind w:right="67"/>
              <w:rPr>
                <w:rFonts w:ascii="Arial"/>
                <w:sz w:val="20"/>
              </w:rPr>
            </w:pPr>
            <w:r>
              <w:rPr>
                <w:rFonts w:ascii="Arial"/>
                <w:w w:val="95"/>
                <w:sz w:val="20"/>
              </w:rPr>
              <w:t>23,9</w:t>
            </w:r>
          </w:p>
        </w:tc>
        <w:tc>
          <w:tcPr>
            <w:tcW w:w="1200" w:type="dxa"/>
          </w:tcPr>
          <w:p>
            <w:pPr>
              <w:pStyle w:val="TableParagraph"/>
              <w:spacing w:before="69"/>
              <w:ind w:right="65"/>
              <w:rPr>
                <w:rFonts w:ascii="Arial"/>
                <w:sz w:val="20"/>
              </w:rPr>
            </w:pPr>
            <w:r>
              <w:rPr>
                <w:rFonts w:ascii="Arial"/>
                <w:w w:val="95"/>
                <w:sz w:val="20"/>
              </w:rPr>
              <w:t>17</w:t>
            </w:r>
          </w:p>
        </w:tc>
        <w:tc>
          <w:tcPr>
            <w:tcW w:w="1200" w:type="dxa"/>
          </w:tcPr>
          <w:p>
            <w:pPr>
              <w:pStyle w:val="TableParagraph"/>
              <w:spacing w:before="69"/>
              <w:ind w:right="65"/>
              <w:rPr>
                <w:rFonts w:ascii="Arial"/>
                <w:sz w:val="20"/>
              </w:rPr>
            </w:pPr>
            <w:r>
              <w:rPr>
                <w:rFonts w:ascii="Arial"/>
                <w:sz w:val="20"/>
              </w:rPr>
              <w:t>180,21</w:t>
            </w:r>
          </w:p>
        </w:tc>
        <w:tc>
          <w:tcPr>
            <w:tcW w:w="1200" w:type="dxa"/>
          </w:tcPr>
          <w:p>
            <w:pPr>
              <w:pStyle w:val="TableParagraph"/>
              <w:spacing w:before="69"/>
              <w:ind w:right="65"/>
              <w:rPr>
                <w:rFonts w:ascii="Arial"/>
                <w:sz w:val="20"/>
              </w:rPr>
            </w:pPr>
            <w:r>
              <w:rPr>
                <w:rFonts w:ascii="Arial"/>
                <w:w w:val="95"/>
                <w:sz w:val="20"/>
              </w:rPr>
              <w:t>132</w:t>
            </w:r>
          </w:p>
        </w:tc>
      </w:tr>
    </w:tbl>
    <w:p>
      <w:pPr>
        <w:pStyle w:val="BodyText"/>
        <w:spacing w:before="2"/>
        <w:rPr>
          <w:b/>
          <w:sz w:val="27"/>
        </w:rPr>
      </w:pPr>
    </w:p>
    <w:p>
      <w:pPr>
        <w:spacing w:before="78"/>
        <w:ind w:left="1523" w:right="948" w:firstLine="0"/>
        <w:jc w:val="left"/>
        <w:rPr>
          <w:b/>
          <w:sz w:val="18"/>
        </w:rPr>
      </w:pPr>
      <w:r>
        <w:rPr/>
        <w:pict>
          <v:line style="position:absolute;mso-position-horizontal-relative:page;mso-position-vertical-relative:paragraph;z-index:-1526032" from="137.520004pt,56.981789pt" to="180.600003pt,56.981789pt" stroked="true" strokeweight=".72pt" strokecolor="#000000">
            <w10:wrap type="none"/>
          </v:line>
        </w:pict>
      </w:r>
      <w:r>
        <w:rPr/>
        <w:pict>
          <v:line style="position:absolute;mso-position-horizontal-relative:page;mso-position-vertical-relative:paragraph;z-index:-1526008" from="290.880005pt,56.02179pt" to="345.720004pt,56.02179pt" stroked="true" strokeweight=".72pt" strokecolor="#000000">
            <w10:wrap type="none"/>
          </v:line>
        </w:pict>
      </w:r>
      <w:r>
        <w:rPr/>
        <w:pict>
          <v:line style="position:absolute;mso-position-horizontal-relative:page;mso-position-vertical-relative:paragraph;z-index:-1525984" from="421.679993pt,53.261791pt" to="434.399992pt,53.261791pt" stroked="true" strokeweight=".72pt" strokecolor="#000000">
            <w10:wrap type="none"/>
          </v:line>
        </w:pict>
      </w:r>
      <w:r>
        <w:rPr>
          <w:b/>
          <w:sz w:val="18"/>
        </w:rPr>
        <w:t>Tabla 11. Estimadores estadísticos de la teoría del muestreo estratificado (Lohr, 2000)</w:t>
      </w:r>
    </w:p>
    <w:p>
      <w:pPr>
        <w:pStyle w:val="BodyText"/>
        <w:spacing w:before="10"/>
        <w:rPr>
          <w:b/>
          <w:sz w:val="10"/>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59"/>
        <w:gridCol w:w="3326"/>
        <w:gridCol w:w="2993"/>
      </w:tblGrid>
      <w:tr>
        <w:trPr>
          <w:trHeight w:val="240" w:hRule="exact"/>
        </w:trPr>
        <w:tc>
          <w:tcPr>
            <w:tcW w:w="2659" w:type="dxa"/>
          </w:tcPr>
          <w:p>
            <w:pPr>
              <w:pStyle w:val="TableParagraph"/>
              <w:spacing w:line="227" w:lineRule="exact" w:before="0"/>
              <w:ind w:left="179" w:right="0"/>
              <w:jc w:val="left"/>
              <w:rPr>
                <w:rFonts w:ascii="Arial"/>
                <w:sz w:val="20"/>
              </w:rPr>
            </w:pPr>
            <w:r>
              <w:rPr>
                <w:rFonts w:ascii="Arial"/>
                <w:sz w:val="20"/>
              </w:rPr>
              <w:t>Promedio de cada estrato</w:t>
            </w:r>
          </w:p>
        </w:tc>
        <w:tc>
          <w:tcPr>
            <w:tcW w:w="3326" w:type="dxa"/>
          </w:tcPr>
          <w:p>
            <w:pPr>
              <w:pStyle w:val="TableParagraph"/>
              <w:spacing w:line="227" w:lineRule="exact" w:before="0"/>
              <w:ind w:left="524" w:right="528"/>
              <w:jc w:val="center"/>
              <w:rPr>
                <w:rFonts w:ascii="Arial"/>
                <w:sz w:val="20"/>
              </w:rPr>
            </w:pPr>
            <w:r>
              <w:rPr>
                <w:rFonts w:ascii="Arial"/>
                <w:sz w:val="20"/>
              </w:rPr>
              <w:t>Varianza de cada estrato</w:t>
            </w:r>
          </w:p>
        </w:tc>
        <w:tc>
          <w:tcPr>
            <w:tcW w:w="2993" w:type="dxa"/>
          </w:tcPr>
          <w:p>
            <w:pPr>
              <w:pStyle w:val="TableParagraph"/>
              <w:spacing w:line="227" w:lineRule="exact" w:before="0"/>
              <w:ind w:left="536" w:right="539"/>
              <w:jc w:val="center"/>
              <w:rPr>
                <w:rFonts w:ascii="Arial" w:hAnsi="Arial"/>
                <w:sz w:val="20"/>
              </w:rPr>
            </w:pPr>
            <w:r>
              <w:rPr>
                <w:rFonts w:ascii="Arial" w:hAnsi="Arial"/>
                <w:sz w:val="20"/>
              </w:rPr>
              <w:t>Población del estrato</w:t>
            </w:r>
          </w:p>
        </w:tc>
      </w:tr>
      <w:tr>
        <w:trPr>
          <w:trHeight w:val="919" w:hRule="exact"/>
        </w:trPr>
        <w:tc>
          <w:tcPr>
            <w:tcW w:w="2659" w:type="dxa"/>
          </w:tcPr>
          <w:p>
            <w:pPr>
              <w:pStyle w:val="TableParagraph"/>
              <w:spacing w:before="10"/>
              <w:ind w:right="0"/>
              <w:jc w:val="left"/>
              <w:rPr>
                <w:rFonts w:ascii="Arial"/>
                <w:b/>
                <w:sz w:val="23"/>
              </w:rPr>
            </w:pPr>
          </w:p>
          <w:p>
            <w:pPr>
              <w:pStyle w:val="TableParagraph"/>
              <w:tabs>
                <w:tab w:pos="1463" w:val="left" w:leader="none"/>
              </w:tabs>
              <w:spacing w:line="98" w:lineRule="auto" w:before="0"/>
              <w:ind w:left="751" w:right="647" w:hanging="116"/>
              <w:jc w:val="left"/>
              <w:rPr>
                <w:rFonts w:ascii="Cambria Math" w:hAnsi="Cambria Math"/>
                <w:sz w:val="16"/>
              </w:rPr>
            </w:pPr>
            <w:r>
              <w:rPr>
                <w:rFonts w:ascii="Cambria Math" w:hAnsi="Cambria Math"/>
                <w:spacing w:val="-97"/>
                <w:w w:val="111"/>
                <w:position w:val="-12"/>
                <w:sz w:val="22"/>
              </w:rPr>
              <w:t>y</w:t>
            </w:r>
            <w:r>
              <w:rPr>
                <w:rFonts w:ascii="Cambria Math" w:hAnsi="Cambria Math"/>
                <w:w w:val="151"/>
                <w:position w:val="-12"/>
                <w:sz w:val="22"/>
              </w:rPr>
              <w:t>¯</w:t>
            </w:r>
            <w:r>
              <w:rPr>
                <w:rFonts w:ascii="Cambria Math" w:hAnsi="Cambria Math"/>
                <w:position w:val="-12"/>
                <w:sz w:val="22"/>
              </w:rPr>
              <w:t>  </w:t>
            </w:r>
            <w:r>
              <w:rPr>
                <w:rFonts w:ascii="Cambria Math" w:hAnsi="Cambria Math"/>
                <w:spacing w:val="23"/>
                <w:position w:val="-12"/>
                <w:sz w:val="22"/>
              </w:rPr>
              <w:t> </w:t>
            </w:r>
            <w:r>
              <w:rPr>
                <w:rFonts w:ascii="Cambria Math" w:hAnsi="Cambria Math"/>
                <w:w w:val="100"/>
                <w:position w:val="-12"/>
                <w:sz w:val="22"/>
              </w:rPr>
              <w:t>=</w:t>
            </w:r>
            <w:r>
              <w:rPr>
                <w:rFonts w:ascii="Cambria Math" w:hAnsi="Cambria Math"/>
                <w:spacing w:val="12"/>
                <w:position w:val="-12"/>
                <w:sz w:val="22"/>
              </w:rPr>
              <w:t> </w:t>
            </w:r>
            <w:r>
              <w:rPr>
                <w:rFonts w:ascii="Cambria Math" w:hAnsi="Cambria Math"/>
                <w:spacing w:val="-1"/>
                <w:w w:val="100"/>
                <w:position w:val="5"/>
                <w:sz w:val="22"/>
              </w:rPr>
              <w:t>∑</w:t>
            </w:r>
            <w:r>
              <w:rPr>
                <w:rFonts w:ascii="Cambria Math" w:hAnsi="Cambria Math"/>
                <w:spacing w:val="6"/>
                <w:w w:val="176"/>
                <w:sz w:val="16"/>
              </w:rPr>
              <w:t>j</w:t>
            </w:r>
            <w:r>
              <w:rPr>
                <w:rFonts w:ascii="Cambria Math" w:hAnsi="Cambria Math"/>
                <w:w w:val="100"/>
                <w:sz w:val="16"/>
              </w:rPr>
              <w:t>∈</w:t>
            </w:r>
            <w:r>
              <w:rPr>
                <w:rFonts w:ascii="Cambria Math" w:hAnsi="Cambria Math"/>
                <w:w w:val="111"/>
                <w:sz w:val="16"/>
              </w:rPr>
              <w:t>S</w:t>
            </w:r>
            <w:r>
              <w:rPr>
                <w:rFonts w:ascii="Cambria Math" w:hAnsi="Cambria Math"/>
                <w:w w:val="120"/>
                <w:position w:val="-2"/>
                <w:sz w:val="13"/>
              </w:rPr>
              <w:t>h</w:t>
            </w:r>
            <w:r>
              <w:rPr>
                <w:rFonts w:ascii="Cambria Math" w:hAnsi="Cambria Math"/>
                <w:position w:val="-2"/>
                <w:sz w:val="13"/>
              </w:rPr>
              <w:t> </w:t>
            </w:r>
            <w:r>
              <w:rPr>
                <w:rFonts w:ascii="Cambria Math" w:hAnsi="Cambria Math"/>
                <w:spacing w:val="-15"/>
                <w:position w:val="-2"/>
                <w:sz w:val="13"/>
              </w:rPr>
              <w:t> </w:t>
            </w:r>
            <w:r>
              <w:rPr>
                <w:rFonts w:ascii="Cambria Math" w:hAnsi="Cambria Math"/>
                <w:spacing w:val="-9"/>
                <w:w w:val="111"/>
                <w:position w:val="5"/>
                <w:sz w:val="22"/>
              </w:rPr>
              <w:t>y</w:t>
            </w:r>
            <w:r>
              <w:rPr>
                <w:rFonts w:ascii="Cambria Math" w:hAnsi="Cambria Math"/>
                <w:spacing w:val="1"/>
                <w:w w:val="113"/>
                <w:sz w:val="16"/>
              </w:rPr>
              <w:t>h</w:t>
            </w:r>
            <w:r>
              <w:rPr>
                <w:rFonts w:ascii="Cambria Math" w:hAnsi="Cambria Math"/>
                <w:w w:val="176"/>
                <w:sz w:val="16"/>
              </w:rPr>
              <w:t>j </w:t>
            </w:r>
            <w:r>
              <w:rPr>
                <w:rFonts w:ascii="Cambria Math" w:hAnsi="Cambria Math"/>
                <w:w w:val="120"/>
                <w:sz w:val="16"/>
              </w:rPr>
              <w:t>h</w:t>
              <w:tab/>
            </w:r>
            <w:r>
              <w:rPr>
                <w:rFonts w:ascii="Cambria Math" w:hAnsi="Cambria Math"/>
                <w:w w:val="120"/>
                <w:position w:val="-9"/>
                <w:sz w:val="22"/>
              </w:rPr>
              <w:t>n</w:t>
            </w:r>
            <w:r>
              <w:rPr>
                <w:rFonts w:ascii="Cambria Math" w:hAnsi="Cambria Math"/>
                <w:w w:val="120"/>
                <w:position w:val="-14"/>
                <w:sz w:val="16"/>
              </w:rPr>
              <w:t>h</w:t>
            </w:r>
          </w:p>
        </w:tc>
        <w:tc>
          <w:tcPr>
            <w:tcW w:w="3326" w:type="dxa"/>
          </w:tcPr>
          <w:p>
            <w:pPr>
              <w:pStyle w:val="TableParagraph"/>
              <w:spacing w:line="138" w:lineRule="exact" w:before="52"/>
              <w:ind w:right="668"/>
              <w:rPr>
                <w:rFonts w:ascii="Cambria Math"/>
                <w:sz w:val="16"/>
              </w:rPr>
            </w:pPr>
            <w:r>
              <w:rPr>
                <w:rFonts w:ascii="Cambria Math"/>
                <w:w w:val="104"/>
                <w:sz w:val="16"/>
              </w:rPr>
              <w:t>2</w:t>
            </w:r>
          </w:p>
          <w:p>
            <w:pPr>
              <w:pStyle w:val="TableParagraph"/>
              <w:spacing w:line="304" w:lineRule="exact" w:before="0"/>
              <w:ind w:right="760"/>
              <w:rPr>
                <w:rFonts w:ascii="Cambria Math" w:hAnsi="Cambria Math"/>
                <w:sz w:val="22"/>
              </w:rPr>
            </w:pPr>
            <w:r>
              <w:rPr>
                <w:rFonts w:ascii="Cambria Math" w:hAnsi="Cambria Math"/>
                <w:spacing w:val="11"/>
                <w:w w:val="107"/>
                <w:position w:val="-16"/>
                <w:sz w:val="22"/>
              </w:rPr>
              <w:t>s</w:t>
            </w:r>
            <w:r>
              <w:rPr>
                <w:rFonts w:ascii="Cambria Math" w:hAnsi="Cambria Math"/>
                <w:w w:val="104"/>
                <w:position w:val="-8"/>
                <w:sz w:val="16"/>
              </w:rPr>
              <w:t>2</w:t>
            </w:r>
            <w:r>
              <w:rPr>
                <w:rFonts w:ascii="Cambria Math" w:hAnsi="Cambria Math"/>
                <w:position w:val="-8"/>
                <w:sz w:val="16"/>
              </w:rPr>
              <w:t> </w:t>
            </w:r>
            <w:r>
              <w:rPr>
                <w:rFonts w:ascii="Cambria Math" w:hAnsi="Cambria Math"/>
                <w:spacing w:val="-3"/>
                <w:position w:val="-8"/>
                <w:sz w:val="16"/>
              </w:rPr>
              <w:t> </w:t>
            </w:r>
            <w:r>
              <w:rPr>
                <w:rFonts w:ascii="Cambria Math" w:hAnsi="Cambria Math"/>
                <w:w w:val="100"/>
                <w:position w:val="-16"/>
                <w:sz w:val="22"/>
              </w:rPr>
              <w:t>=</w:t>
            </w:r>
            <w:r>
              <w:rPr>
                <w:rFonts w:ascii="Cambria Math" w:hAnsi="Cambria Math"/>
                <w:position w:val="-16"/>
                <w:sz w:val="22"/>
              </w:rPr>
              <w:t> </w:t>
            </w:r>
            <w:r>
              <w:rPr>
                <w:rFonts w:ascii="Cambria Math" w:hAnsi="Cambria Math"/>
                <w:spacing w:val="-3"/>
                <w:position w:val="-16"/>
                <w:sz w:val="22"/>
              </w:rPr>
              <w:t> </w:t>
            </w:r>
            <w:r>
              <w:rPr>
                <w:rFonts w:ascii="Cambria Math" w:hAnsi="Cambria Math"/>
                <w:w w:val="319"/>
                <w:position w:val="-16"/>
                <w:sz w:val="22"/>
              </w:rPr>
              <w:t>)</w:t>
            </w:r>
            <w:r>
              <w:rPr>
                <w:rFonts w:ascii="Cambria Math" w:hAnsi="Cambria Math"/>
                <w:position w:val="-16"/>
                <w:sz w:val="22"/>
              </w:rPr>
              <w:t> </w:t>
            </w:r>
            <w:r>
              <w:rPr>
                <w:rFonts w:ascii="Cambria Math" w:hAnsi="Cambria Math"/>
                <w:spacing w:val="-22"/>
                <w:position w:val="-16"/>
                <w:sz w:val="22"/>
              </w:rPr>
              <w:t> </w:t>
            </w:r>
            <w:r>
              <w:rPr>
                <w:rFonts w:ascii="Cambria Math" w:hAnsi="Cambria Math"/>
                <w:spacing w:val="-1"/>
                <w:w w:val="108"/>
                <w:sz w:val="22"/>
              </w:rPr>
              <w:t>(</w:t>
            </w:r>
            <w:r>
              <w:rPr>
                <w:rFonts w:ascii="Cambria Math" w:hAnsi="Cambria Math"/>
                <w:spacing w:val="-9"/>
                <w:w w:val="111"/>
                <w:sz w:val="22"/>
              </w:rPr>
              <w:t>y</w:t>
            </w:r>
            <w:r>
              <w:rPr>
                <w:rFonts w:ascii="Cambria Math" w:hAnsi="Cambria Math"/>
                <w:spacing w:val="1"/>
                <w:w w:val="113"/>
                <w:position w:val="-3"/>
                <w:sz w:val="16"/>
              </w:rPr>
              <w:t>h</w:t>
            </w:r>
            <w:r>
              <w:rPr>
                <w:rFonts w:ascii="Cambria Math" w:hAnsi="Cambria Math"/>
                <w:w w:val="176"/>
                <w:position w:val="-3"/>
                <w:sz w:val="16"/>
              </w:rPr>
              <w:t>j</w:t>
            </w:r>
            <w:r>
              <w:rPr>
                <w:rFonts w:ascii="Cambria Math" w:hAnsi="Cambria Math"/>
                <w:position w:val="-3"/>
                <w:sz w:val="16"/>
              </w:rPr>
              <w:t> </w:t>
            </w:r>
            <w:r>
              <w:rPr>
                <w:rFonts w:ascii="Cambria Math" w:hAnsi="Cambria Math"/>
                <w:spacing w:val="-7"/>
                <w:position w:val="-3"/>
                <w:sz w:val="16"/>
              </w:rPr>
              <w:t> </w:t>
            </w:r>
            <w:r>
              <w:rPr>
                <w:rFonts w:ascii="Cambria Math" w:hAnsi="Cambria Math"/>
                <w:w w:val="100"/>
                <w:sz w:val="22"/>
              </w:rPr>
              <w:t>−</w:t>
            </w:r>
            <w:r>
              <w:rPr>
                <w:rFonts w:ascii="Cambria Math" w:hAnsi="Cambria Math"/>
                <w:spacing w:val="-2"/>
                <w:sz w:val="22"/>
              </w:rPr>
              <w:t> </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5"/>
                <w:w w:val="113"/>
                <w:position w:val="-3"/>
                <w:sz w:val="16"/>
              </w:rPr>
              <w:t>h</w:t>
            </w:r>
            <w:r>
              <w:rPr>
                <w:rFonts w:ascii="Cambria Math" w:hAnsi="Cambria Math"/>
                <w:w w:val="108"/>
                <w:sz w:val="22"/>
              </w:rPr>
              <w:t>)</w:t>
            </w:r>
          </w:p>
          <w:p>
            <w:pPr>
              <w:pStyle w:val="TableParagraph"/>
              <w:tabs>
                <w:tab w:pos="1795" w:val="left" w:leader="none"/>
              </w:tabs>
              <w:spacing w:line="211" w:lineRule="exact" w:before="0"/>
              <w:ind w:left="758" w:right="0"/>
              <w:jc w:val="left"/>
              <w:rPr>
                <w:rFonts w:ascii="Cambria Math" w:hAnsi="Cambria Math"/>
                <w:sz w:val="22"/>
              </w:rPr>
            </w:pPr>
            <w:r>
              <w:rPr>
                <w:rFonts w:ascii="Cambria Math" w:hAnsi="Cambria Math"/>
                <w:w w:val="105"/>
                <w:position w:val="10"/>
                <w:sz w:val="16"/>
              </w:rPr>
              <w:t>h</w:t>
              <w:tab/>
            </w:r>
            <w:r>
              <w:rPr>
                <w:rFonts w:ascii="Cambria Math" w:hAnsi="Cambria Math"/>
                <w:w w:val="105"/>
                <w:sz w:val="22"/>
              </w:rPr>
              <w:t>n</w:t>
            </w:r>
            <w:r>
              <w:rPr>
                <w:rFonts w:ascii="Cambria Math" w:hAnsi="Cambria Math"/>
                <w:w w:val="105"/>
                <w:position w:val="-4"/>
                <w:sz w:val="16"/>
              </w:rPr>
              <w:t>h </w:t>
            </w:r>
            <w:r>
              <w:rPr>
                <w:rFonts w:ascii="Cambria Math" w:hAnsi="Cambria Math"/>
                <w:w w:val="105"/>
                <w:sz w:val="22"/>
              </w:rPr>
              <w:t>−</w:t>
            </w:r>
            <w:r>
              <w:rPr>
                <w:rFonts w:ascii="Cambria Math" w:hAnsi="Cambria Math"/>
                <w:spacing w:val="11"/>
                <w:w w:val="105"/>
                <w:sz w:val="22"/>
              </w:rPr>
              <w:t> </w:t>
            </w:r>
            <w:r>
              <w:rPr>
                <w:rFonts w:ascii="Cambria Math" w:hAnsi="Cambria Math"/>
                <w:w w:val="105"/>
                <w:sz w:val="22"/>
              </w:rPr>
              <w:t>1</w:t>
            </w:r>
          </w:p>
          <w:p>
            <w:pPr>
              <w:pStyle w:val="TableParagraph"/>
              <w:spacing w:line="159" w:lineRule="exact" w:before="0"/>
              <w:ind w:left="524" w:right="1162"/>
              <w:jc w:val="center"/>
              <w:rPr>
                <w:rFonts w:ascii="Cambria Math" w:hAnsi="Cambria Math"/>
                <w:sz w:val="13"/>
              </w:rPr>
            </w:pPr>
            <w:r>
              <w:rPr>
                <w:rFonts w:ascii="Cambria Math" w:hAnsi="Cambria Math"/>
                <w:w w:val="125"/>
                <w:sz w:val="16"/>
              </w:rPr>
              <w:t>j∈S</w:t>
            </w:r>
            <w:r>
              <w:rPr>
                <w:rFonts w:ascii="Cambria Math" w:hAnsi="Cambria Math"/>
                <w:w w:val="125"/>
                <w:position w:val="-2"/>
                <w:sz w:val="13"/>
              </w:rPr>
              <w:t>h</w:t>
            </w:r>
          </w:p>
        </w:tc>
        <w:tc>
          <w:tcPr>
            <w:tcW w:w="2993" w:type="dxa"/>
          </w:tcPr>
          <w:p>
            <w:pPr>
              <w:pStyle w:val="TableParagraph"/>
              <w:tabs>
                <w:tab w:pos="849" w:val="left" w:leader="none"/>
              </w:tabs>
              <w:spacing w:line="298" w:lineRule="exact" w:before="91"/>
              <w:ind w:left="367" w:right="353"/>
              <w:jc w:val="left"/>
              <w:rPr>
                <w:rFonts w:ascii="Cambria Math" w:hAnsi="Cambria Math"/>
                <w:sz w:val="16"/>
              </w:rPr>
            </w:pPr>
            <w:r>
              <w:rPr>
                <w:rFonts w:ascii="Cambria Math" w:hAnsi="Cambria Math"/>
                <w:w w:val="115"/>
                <w:position w:val="-16"/>
                <w:sz w:val="22"/>
              </w:rPr>
              <w:t>t</w:t>
            </w:r>
            <w:r>
              <w:rPr>
                <w:rFonts w:ascii="Cambria Math" w:hAnsi="Cambria Math"/>
                <w:w w:val="115"/>
                <w:position w:val="-13"/>
                <w:sz w:val="22"/>
              </w:rPr>
              <w:t>̂</w:t>
              <w:tab/>
            </w:r>
            <w:r>
              <w:rPr>
                <w:rFonts w:ascii="Cambria Math" w:hAnsi="Cambria Math"/>
                <w:spacing w:val="-10"/>
                <w:w w:val="115"/>
                <w:sz w:val="22"/>
              </w:rPr>
              <w:t>N</w:t>
            </w:r>
            <w:r>
              <w:rPr>
                <w:rFonts w:ascii="Cambria Math" w:hAnsi="Cambria Math"/>
                <w:spacing w:val="-10"/>
                <w:w w:val="115"/>
                <w:position w:val="-4"/>
                <w:sz w:val="16"/>
              </w:rPr>
              <w:t>h</w:t>
            </w:r>
          </w:p>
          <w:p>
            <w:pPr>
              <w:pStyle w:val="TableParagraph"/>
              <w:spacing w:line="93" w:lineRule="auto" w:before="0"/>
              <w:ind w:left="983" w:right="353" w:hanging="533"/>
              <w:jc w:val="left"/>
              <w:rPr>
                <w:rFonts w:ascii="Cambria Math" w:hAnsi="Cambria Math"/>
                <w:sz w:val="13"/>
              </w:rPr>
            </w:pPr>
            <w:r>
              <w:rPr>
                <w:rFonts w:ascii="Cambria Math" w:hAnsi="Cambria Math"/>
                <w:w w:val="113"/>
                <w:position w:val="-4"/>
                <w:sz w:val="16"/>
              </w:rPr>
              <w:t>h</w:t>
            </w:r>
            <w:r>
              <w:rPr>
                <w:rFonts w:ascii="Cambria Math" w:hAnsi="Cambria Math"/>
                <w:position w:val="-4"/>
                <w:sz w:val="16"/>
              </w:rPr>
              <w:t>  </w:t>
            </w:r>
            <w:r>
              <w:rPr>
                <w:rFonts w:ascii="Cambria Math" w:hAnsi="Cambria Math"/>
                <w:w w:val="100"/>
                <w:sz w:val="22"/>
              </w:rPr>
              <w:t>=</w:t>
            </w:r>
            <w:r>
              <w:rPr>
                <w:rFonts w:ascii="Cambria Math" w:hAnsi="Cambria Math"/>
                <w:sz w:val="22"/>
              </w:rPr>
              <w:t> </w:t>
            </w:r>
            <w:r>
              <w:rPr>
                <w:rFonts w:ascii="Cambria Math" w:hAnsi="Cambria Math"/>
                <w:w w:val="102"/>
                <w:position w:val="-14"/>
                <w:sz w:val="22"/>
              </w:rPr>
              <w:t>n</w:t>
            </w:r>
            <w:r>
              <w:rPr>
                <w:rFonts w:ascii="Cambria Math" w:hAnsi="Cambria Math"/>
                <w:position w:val="-14"/>
                <w:sz w:val="22"/>
              </w:rPr>
              <w:t>    </w:t>
            </w:r>
            <w:r>
              <w:rPr>
                <w:rFonts w:ascii="Cambria Math" w:hAnsi="Cambria Math"/>
                <w:w w:val="319"/>
                <w:sz w:val="22"/>
              </w:rPr>
              <w:t>)</w:t>
            </w:r>
            <w:r>
              <w:rPr>
                <w:rFonts w:ascii="Cambria Math" w:hAnsi="Cambria Math"/>
                <w:sz w:val="22"/>
              </w:rPr>
              <w:t> </w:t>
            </w:r>
            <w:r>
              <w:rPr>
                <w:rFonts w:ascii="Cambria Math" w:hAnsi="Cambria Math"/>
                <w:spacing w:val="-9"/>
                <w:w w:val="111"/>
                <w:sz w:val="22"/>
              </w:rPr>
              <w:t>y</w:t>
            </w:r>
            <w:r>
              <w:rPr>
                <w:rFonts w:ascii="Cambria Math" w:hAnsi="Cambria Math"/>
                <w:spacing w:val="1"/>
                <w:w w:val="113"/>
                <w:position w:val="-4"/>
                <w:sz w:val="16"/>
              </w:rPr>
              <w:t>h</w:t>
            </w:r>
            <w:r>
              <w:rPr>
                <w:rFonts w:ascii="Cambria Math" w:hAnsi="Cambria Math"/>
                <w:w w:val="176"/>
                <w:position w:val="-4"/>
                <w:sz w:val="16"/>
              </w:rPr>
              <w:t>j</w:t>
            </w:r>
            <w:r>
              <w:rPr>
                <w:rFonts w:ascii="Cambria Math" w:hAnsi="Cambria Math"/>
                <w:position w:val="-4"/>
                <w:sz w:val="16"/>
              </w:rPr>
              <w:t>  </w:t>
            </w:r>
            <w:r>
              <w:rPr>
                <w:rFonts w:ascii="Cambria Math" w:hAnsi="Cambria Math"/>
                <w:w w:val="100"/>
                <w:sz w:val="22"/>
              </w:rPr>
              <w:t>=</w:t>
            </w:r>
            <w:r>
              <w:rPr>
                <w:rFonts w:ascii="Cambria Math" w:hAnsi="Cambria Math"/>
                <w:sz w:val="22"/>
              </w:rPr>
              <w:t> </w:t>
            </w:r>
            <w:r>
              <w:rPr>
                <w:rFonts w:ascii="Cambria Math" w:hAnsi="Cambria Math"/>
                <w:spacing w:val="-20"/>
                <w:w w:val="107"/>
                <w:sz w:val="22"/>
              </w:rPr>
              <w:t>N</w:t>
            </w:r>
            <w:r>
              <w:rPr>
                <w:rFonts w:ascii="Cambria Math" w:hAnsi="Cambria Math"/>
                <w:spacing w:val="15"/>
                <w:w w:val="113"/>
                <w:position w:val="-4"/>
                <w:sz w:val="16"/>
              </w:rPr>
              <w:t>h</w:t>
            </w: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 </w:t>
            </w:r>
            <w:r>
              <w:rPr>
                <w:rFonts w:ascii="Cambria Math" w:hAnsi="Cambria Math"/>
                <w:w w:val="125"/>
                <w:position w:val="9"/>
                <w:sz w:val="16"/>
              </w:rPr>
              <w:t>h </w:t>
            </w:r>
            <w:r>
              <w:rPr>
                <w:rFonts w:ascii="Cambria Math" w:hAnsi="Cambria Math"/>
                <w:w w:val="125"/>
                <w:sz w:val="16"/>
              </w:rPr>
              <w:t>j∈S</w:t>
            </w:r>
            <w:r>
              <w:rPr>
                <w:rFonts w:ascii="Cambria Math" w:hAnsi="Cambria Math"/>
                <w:w w:val="125"/>
                <w:position w:val="-2"/>
                <w:sz w:val="13"/>
              </w:rPr>
              <w:t>h</w:t>
            </w:r>
          </w:p>
        </w:tc>
      </w:tr>
      <w:tr>
        <w:trPr>
          <w:trHeight w:val="470" w:hRule="exact"/>
        </w:trPr>
        <w:tc>
          <w:tcPr>
            <w:tcW w:w="2659" w:type="dxa"/>
          </w:tcPr>
          <w:p>
            <w:pPr>
              <w:pStyle w:val="TableParagraph"/>
              <w:spacing w:before="0"/>
              <w:ind w:left="895" w:right="410" w:hanging="466"/>
              <w:jc w:val="left"/>
              <w:rPr>
                <w:rFonts w:ascii="Arial" w:hAnsi="Arial"/>
                <w:sz w:val="20"/>
              </w:rPr>
            </w:pPr>
            <w:r>
              <w:rPr>
                <w:rFonts w:ascii="Arial" w:hAnsi="Arial"/>
                <w:sz w:val="20"/>
              </w:rPr>
              <w:t>Promedio de toda la población</w:t>
            </w:r>
          </w:p>
        </w:tc>
        <w:tc>
          <w:tcPr>
            <w:tcW w:w="3326" w:type="dxa"/>
          </w:tcPr>
          <w:p>
            <w:pPr>
              <w:pStyle w:val="TableParagraph"/>
              <w:spacing w:before="112"/>
              <w:ind w:left="524" w:right="527"/>
              <w:jc w:val="center"/>
              <w:rPr>
                <w:rFonts w:ascii="Arial" w:hAnsi="Arial"/>
                <w:sz w:val="20"/>
              </w:rPr>
            </w:pPr>
            <w:r>
              <w:rPr>
                <w:rFonts w:ascii="Arial" w:hAnsi="Arial"/>
                <w:sz w:val="20"/>
              </w:rPr>
              <w:t>Varianza de la población</w:t>
            </w:r>
          </w:p>
        </w:tc>
        <w:tc>
          <w:tcPr>
            <w:tcW w:w="2993" w:type="dxa"/>
          </w:tcPr>
          <w:p>
            <w:pPr>
              <w:pStyle w:val="TableParagraph"/>
              <w:spacing w:before="112"/>
              <w:ind w:left="536" w:right="539"/>
              <w:jc w:val="center"/>
              <w:rPr>
                <w:rFonts w:ascii="Arial" w:hAnsi="Arial"/>
                <w:sz w:val="20"/>
              </w:rPr>
            </w:pPr>
            <w:r>
              <w:rPr>
                <w:rFonts w:ascii="Arial" w:hAnsi="Arial"/>
                <w:sz w:val="20"/>
              </w:rPr>
              <w:t>Población</w:t>
            </w:r>
          </w:p>
        </w:tc>
      </w:tr>
      <w:tr>
        <w:trPr>
          <w:trHeight w:val="1039" w:hRule="exact"/>
        </w:trPr>
        <w:tc>
          <w:tcPr>
            <w:tcW w:w="2659" w:type="dxa"/>
          </w:tcPr>
          <w:p>
            <w:pPr>
              <w:pStyle w:val="TableParagraph"/>
              <w:spacing w:line="127" w:lineRule="auto" w:before="323"/>
              <w:ind w:left="568" w:right="565" w:firstLine="1183"/>
              <w:jc w:val="left"/>
              <w:rPr>
                <w:rFonts w:ascii="Cambria Math" w:hAnsi="Cambria Math"/>
                <w:sz w:val="22"/>
              </w:rPr>
            </w:pPr>
            <w:r>
              <w:rPr>
                <w:rFonts w:ascii="Cambria Math" w:hAnsi="Cambria Math"/>
                <w:spacing w:val="-1"/>
                <w:w w:val="115"/>
                <w:position w:val="5"/>
                <w:sz w:val="22"/>
              </w:rPr>
              <w:t>t</w:t>
            </w:r>
            <w:r>
              <w:rPr>
                <w:rFonts w:ascii="Cambria Math" w:hAnsi="Cambria Math"/>
                <w:spacing w:val="-1"/>
                <w:w w:val="115"/>
                <w:position w:val="7"/>
                <w:sz w:val="22"/>
              </w:rPr>
              <w:t>̂</w:t>
            </w:r>
            <w:r>
              <w:rPr>
                <w:rFonts w:ascii="Cambria Math" w:hAnsi="Cambria Math"/>
                <w:spacing w:val="-1"/>
                <w:w w:val="115"/>
                <w:sz w:val="16"/>
              </w:rPr>
              <w:t>est </w:t>
            </w:r>
            <w:r>
              <w:rPr>
                <w:rFonts w:ascii="Cambria Math" w:hAnsi="Cambria Math"/>
                <w:spacing w:val="-97"/>
                <w:w w:val="111"/>
                <w:sz w:val="22"/>
              </w:rPr>
              <w:t>y</w:t>
            </w:r>
            <w:r>
              <w:rPr>
                <w:rFonts w:ascii="Cambria Math" w:hAnsi="Cambria Math"/>
                <w:spacing w:val="-6"/>
                <w:w w:val="151"/>
                <w:sz w:val="22"/>
              </w:rPr>
              <w:t>¯</w:t>
            </w:r>
            <w:r>
              <w:rPr>
                <w:rFonts w:ascii="Cambria Math" w:hAnsi="Cambria Math"/>
                <w:w w:val="111"/>
                <w:position w:val="-4"/>
                <w:sz w:val="16"/>
              </w:rPr>
              <w:t>U</w:t>
            </w:r>
            <w:r>
              <w:rPr>
                <w:rFonts w:ascii="Cambria Math" w:hAnsi="Cambria Math"/>
                <w:position w:val="-4"/>
                <w:sz w:val="16"/>
              </w:rPr>
              <w:t>  </w:t>
            </w:r>
            <w:r>
              <w:rPr>
                <w:rFonts w:ascii="Cambria Math" w:hAnsi="Cambria Math"/>
                <w:w w:val="100"/>
                <w:sz w:val="22"/>
              </w:rPr>
              <w:t>=</w:t>
            </w:r>
            <w:r>
              <w:rPr>
                <w:rFonts w:ascii="Cambria Math" w:hAnsi="Cambria Math"/>
                <w:sz w:val="22"/>
              </w:rPr>
              <w:t> </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w w:val="100"/>
                <w:sz w:val="22"/>
              </w:rPr>
              <w:t>=</w:t>
            </w:r>
            <w:r>
              <w:rPr>
                <w:rFonts w:ascii="Cambria Math" w:hAnsi="Cambria Math"/>
                <w:sz w:val="22"/>
              </w:rPr>
              <w:t>   </w:t>
            </w:r>
            <w:r>
              <w:rPr>
                <w:rFonts w:ascii="Cambria Math" w:hAnsi="Cambria Math"/>
                <w:w w:val="107"/>
                <w:position w:val="-14"/>
                <w:sz w:val="22"/>
              </w:rPr>
              <w:t>N</w:t>
            </w:r>
          </w:p>
        </w:tc>
        <w:tc>
          <w:tcPr>
            <w:tcW w:w="3326" w:type="dxa"/>
          </w:tcPr>
          <w:p>
            <w:pPr>
              <w:pStyle w:val="TableParagraph"/>
              <w:tabs>
                <w:tab w:pos="724" w:val="left" w:leader="none"/>
                <w:tab w:pos="1588" w:val="left" w:leader="none"/>
                <w:tab w:pos="1951" w:val="left" w:leader="none"/>
                <w:tab w:pos="2107" w:val="left" w:leader="none"/>
                <w:tab w:pos="2452" w:val="left" w:leader="none"/>
                <w:tab w:pos="2601" w:val="left" w:leader="none"/>
                <w:tab w:pos="2817" w:val="left" w:leader="none"/>
                <w:tab w:pos="3064" w:val="left" w:leader="none"/>
              </w:tabs>
              <w:spacing w:line="96" w:lineRule="auto" w:before="247"/>
              <w:ind w:left="122" w:right="133" w:firstLine="1072"/>
              <w:rPr>
                <w:rFonts w:ascii="Cambria Math" w:hAnsi="Cambria Math"/>
                <w:sz w:val="16"/>
              </w:rPr>
            </w:pPr>
            <w:r>
              <w:rPr>
                <w:rFonts w:ascii="Cambria Math" w:hAnsi="Cambria Math"/>
                <w:w w:val="120"/>
                <w:position w:val="16"/>
                <w:sz w:val="16"/>
              </w:rPr>
              <w:t>K</w:t>
              <w:tab/>
              <w:tab/>
            </w:r>
            <w:r>
              <w:rPr>
                <w:rFonts w:ascii="Cambria Math" w:hAnsi="Cambria Math"/>
                <w:w w:val="115"/>
                <w:sz w:val="22"/>
              </w:rPr>
              <w:t>n</w:t>
              <w:tab/>
              <w:tab/>
            </w:r>
            <w:r>
              <w:rPr>
                <w:rFonts w:ascii="Cambria Math" w:hAnsi="Cambria Math"/>
                <w:w w:val="120"/>
                <w:sz w:val="22"/>
              </w:rPr>
              <w:t>N</w:t>
              <w:tab/>
            </w:r>
            <w:r>
              <w:rPr>
                <w:rFonts w:ascii="Cambria Math" w:hAnsi="Cambria Math"/>
                <w:w w:val="115"/>
                <w:position w:val="10"/>
                <w:sz w:val="16"/>
              </w:rPr>
              <w:t>2</w:t>
            </w:r>
            <w:r>
              <w:rPr>
                <w:rFonts w:ascii="Cambria Math" w:hAnsi="Cambria Math"/>
                <w:spacing w:val="-9"/>
                <w:w w:val="115"/>
                <w:position w:val="10"/>
                <w:sz w:val="16"/>
              </w:rPr>
              <w:t> </w:t>
            </w:r>
            <w:r>
              <w:rPr>
                <w:rFonts w:ascii="Cambria Math" w:hAnsi="Cambria Math"/>
                <w:spacing w:val="5"/>
                <w:w w:val="115"/>
                <w:sz w:val="22"/>
              </w:rPr>
              <w:t>s</w:t>
            </w:r>
            <w:r>
              <w:rPr>
                <w:rFonts w:ascii="Cambria Math" w:hAnsi="Cambria Math"/>
                <w:spacing w:val="5"/>
                <w:w w:val="115"/>
                <w:position w:val="9"/>
                <w:sz w:val="16"/>
              </w:rPr>
              <w:t>2</w:t>
            </w:r>
            <w:r>
              <w:rPr>
                <w:rFonts w:ascii="Cambria Math" w:hAnsi="Cambria Math"/>
                <w:w w:val="104"/>
                <w:position w:val="9"/>
                <w:sz w:val="16"/>
              </w:rPr>
              <w:t> </w:t>
            </w: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w w:val="151"/>
                <w:sz w:val="22"/>
              </w:rPr>
              <w:t>¯</w:t>
            </w:r>
            <w:r>
              <w:rPr>
                <w:rFonts w:ascii="Cambria Math" w:hAnsi="Cambria Math"/>
                <w:sz w:val="22"/>
              </w:rPr>
              <w:tab/>
            </w:r>
            <w:r>
              <w:rPr>
                <w:rFonts w:ascii="Cambria Math" w:hAnsi="Cambria Math"/>
                <w:w w:val="100"/>
                <w:position w:val="1"/>
                <w:sz w:val="22"/>
              </w:rPr>
              <w:t>)</w:t>
            </w:r>
            <w:r>
              <w:rPr>
                <w:rFonts w:ascii="Cambria Math" w:hAnsi="Cambria Math"/>
                <w:spacing w:val="11"/>
                <w:position w:val="1"/>
                <w:sz w:val="22"/>
              </w:rPr>
              <w:t> </w:t>
            </w:r>
            <w:r>
              <w:rPr>
                <w:rFonts w:ascii="Cambria Math" w:hAnsi="Cambria Math"/>
                <w:w w:val="100"/>
                <w:sz w:val="22"/>
              </w:rPr>
              <w:t>=</w:t>
            </w:r>
            <w:r>
              <w:rPr>
                <w:rFonts w:ascii="Cambria Math" w:hAnsi="Cambria Math"/>
                <w:spacing w:val="22"/>
                <w:sz w:val="22"/>
              </w:rPr>
              <w:t> </w:t>
            </w:r>
            <w:r>
              <w:rPr>
                <w:rFonts w:ascii="Cambria Math" w:hAnsi="Cambria Math"/>
                <w:w w:val="319"/>
                <w:sz w:val="22"/>
              </w:rPr>
              <w:t>)</w:t>
            </w:r>
            <w:r>
              <w:rPr>
                <w:rFonts w:ascii="Cambria Math" w:hAnsi="Cambria Math"/>
                <w:spacing w:val="-3"/>
                <w:sz w:val="22"/>
              </w:rPr>
              <w:t> </w:t>
            </w:r>
            <w:r>
              <w:rPr>
                <w:rFonts w:ascii="Cambria Math" w:hAnsi="Cambria Math"/>
                <w:spacing w:val="-1"/>
                <w:w w:val="119"/>
                <w:sz w:val="22"/>
              </w:rPr>
              <w:t>(</w:t>
            </w:r>
            <w:r>
              <w:rPr>
                <w:rFonts w:ascii="Cambria Math" w:hAnsi="Cambria Math"/>
                <w:w w:val="100"/>
                <w:sz w:val="22"/>
              </w:rPr>
              <w:t>1</w:t>
            </w:r>
            <w:r>
              <w:rPr>
                <w:rFonts w:ascii="Cambria Math" w:hAnsi="Cambria Math"/>
                <w:spacing w:val="-1"/>
                <w:sz w:val="22"/>
              </w:rPr>
              <w:t> </w:t>
            </w:r>
            <w:r>
              <w:rPr>
                <w:rFonts w:ascii="Cambria Math" w:hAnsi="Cambria Math"/>
                <w:w w:val="100"/>
                <w:sz w:val="22"/>
              </w:rPr>
              <w:t>−</w:t>
            </w:r>
            <w:r>
              <w:rPr>
                <w:rFonts w:ascii="Cambria Math" w:hAnsi="Cambria Math"/>
                <w:sz w:val="22"/>
              </w:rPr>
              <w:t>   </w:t>
            </w:r>
            <w:r>
              <w:rPr>
                <w:rFonts w:ascii="Cambria Math" w:hAnsi="Cambria Math"/>
                <w:spacing w:val="-9"/>
                <w:sz w:val="22"/>
              </w:rPr>
              <w:t> </w:t>
            </w:r>
            <w:r>
              <w:rPr>
                <w:rFonts w:ascii="Cambria Math" w:hAnsi="Cambria Math"/>
                <w:spacing w:val="20"/>
                <w:w w:val="113"/>
                <w:position w:val="12"/>
                <w:sz w:val="16"/>
              </w:rPr>
              <w:t>h</w:t>
            </w:r>
            <w:r>
              <w:rPr>
                <w:rFonts w:ascii="Cambria Math" w:hAnsi="Cambria Math"/>
                <w:w w:val="119"/>
                <w:sz w:val="22"/>
              </w:rPr>
              <w:t>)</w:t>
            </w:r>
            <w:r>
              <w:rPr>
                <w:rFonts w:ascii="Cambria Math" w:hAnsi="Cambria Math"/>
                <w:spacing w:val="-14"/>
                <w:sz w:val="22"/>
              </w:rPr>
              <w:t> </w:t>
            </w:r>
            <w:r>
              <w:rPr>
                <w:rFonts w:ascii="Cambria Math" w:hAnsi="Cambria Math"/>
                <w:w w:val="119"/>
                <w:sz w:val="22"/>
              </w:rPr>
              <w:t>(</w:t>
            </w:r>
            <w:r>
              <w:rPr>
                <w:rFonts w:ascii="Cambria Math" w:hAnsi="Cambria Math"/>
                <w:sz w:val="22"/>
              </w:rPr>
              <w:t>  </w:t>
            </w:r>
            <w:r>
              <w:rPr>
                <w:rFonts w:ascii="Cambria Math" w:hAnsi="Cambria Math"/>
                <w:spacing w:val="-3"/>
                <w:sz w:val="22"/>
              </w:rPr>
              <w:t> </w:t>
            </w:r>
            <w:r>
              <w:rPr>
                <w:rFonts w:ascii="Cambria Math" w:hAnsi="Cambria Math"/>
                <w:spacing w:val="15"/>
                <w:w w:val="113"/>
                <w:position w:val="12"/>
                <w:sz w:val="16"/>
              </w:rPr>
              <w:t>h</w:t>
            </w:r>
            <w:r>
              <w:rPr>
                <w:rFonts w:ascii="Cambria Math" w:hAnsi="Cambria Math"/>
                <w:w w:val="119"/>
                <w:sz w:val="22"/>
              </w:rPr>
              <w:t>)</w:t>
            </w:r>
            <w:r>
              <w:rPr>
                <w:rFonts w:ascii="Cambria Math" w:hAnsi="Cambria Math"/>
                <w:sz w:val="22"/>
              </w:rPr>
              <w:tab/>
            </w:r>
            <w:r>
              <w:rPr>
                <w:rFonts w:ascii="Cambria Math" w:hAnsi="Cambria Math"/>
                <w:w w:val="113"/>
                <w:position w:val="12"/>
                <w:sz w:val="16"/>
              </w:rPr>
              <w:t>h </w:t>
            </w:r>
            <w:r>
              <w:rPr>
                <w:rFonts w:ascii="Cambria Math" w:hAnsi="Cambria Math"/>
                <w:w w:val="120"/>
                <w:sz w:val="16"/>
              </w:rPr>
              <w:t>est</w:t>
              <w:tab/>
              <w:tab/>
            </w:r>
            <w:r>
              <w:rPr>
                <w:rFonts w:ascii="Cambria Math" w:hAnsi="Cambria Math"/>
                <w:spacing w:val="-10"/>
                <w:w w:val="120"/>
                <w:position w:val="-9"/>
                <w:sz w:val="22"/>
              </w:rPr>
              <w:t>N</w:t>
            </w:r>
            <w:r>
              <w:rPr>
                <w:rFonts w:ascii="Cambria Math" w:hAnsi="Cambria Math"/>
                <w:spacing w:val="-10"/>
                <w:w w:val="120"/>
                <w:position w:val="-14"/>
                <w:sz w:val="16"/>
              </w:rPr>
              <w:t>h</w:t>
              <w:tab/>
              <w:tab/>
            </w:r>
            <w:r>
              <w:rPr>
                <w:rFonts w:ascii="Cambria Math" w:hAnsi="Cambria Math"/>
                <w:w w:val="120"/>
                <w:position w:val="-9"/>
                <w:sz w:val="22"/>
              </w:rPr>
              <w:t>n</w:t>
            </w:r>
            <w:r>
              <w:rPr>
                <w:rFonts w:ascii="Cambria Math" w:hAnsi="Cambria Math"/>
                <w:w w:val="120"/>
                <w:position w:val="-14"/>
                <w:sz w:val="16"/>
              </w:rPr>
              <w:t>h</w:t>
              <w:tab/>
              <w:tab/>
            </w:r>
            <w:r>
              <w:rPr>
                <w:rFonts w:ascii="Cambria Math" w:hAnsi="Cambria Math"/>
                <w:spacing w:val="-1"/>
                <w:w w:val="105"/>
                <w:position w:val="-9"/>
                <w:sz w:val="22"/>
              </w:rPr>
              <w:t>n</w:t>
            </w:r>
            <w:r>
              <w:rPr>
                <w:rFonts w:ascii="Cambria Math" w:hAnsi="Cambria Math"/>
                <w:spacing w:val="-1"/>
                <w:w w:val="105"/>
                <w:position w:val="-14"/>
                <w:sz w:val="16"/>
              </w:rPr>
              <w:t>h</w:t>
            </w:r>
          </w:p>
          <w:p>
            <w:pPr>
              <w:pStyle w:val="TableParagraph"/>
              <w:spacing w:line="117" w:lineRule="exact" w:before="0"/>
              <w:ind w:left="1101" w:right="0"/>
              <w:jc w:val="left"/>
              <w:rPr>
                <w:rFonts w:ascii="Cambria Math"/>
                <w:sz w:val="16"/>
              </w:rPr>
            </w:pPr>
            <w:r>
              <w:rPr>
                <w:rFonts w:ascii="Cambria Math"/>
                <w:w w:val="105"/>
                <w:sz w:val="16"/>
              </w:rPr>
              <w:t>h=1</w:t>
            </w:r>
          </w:p>
        </w:tc>
        <w:tc>
          <w:tcPr>
            <w:tcW w:w="2993" w:type="dxa"/>
          </w:tcPr>
          <w:p>
            <w:pPr>
              <w:pStyle w:val="TableParagraph"/>
              <w:spacing w:before="124"/>
              <w:ind w:left="94" w:right="0"/>
              <w:jc w:val="center"/>
              <w:rPr>
                <w:rFonts w:ascii="Cambria Math"/>
                <w:sz w:val="16"/>
              </w:rPr>
            </w:pPr>
            <w:r>
              <w:rPr>
                <w:rFonts w:ascii="Cambria Math"/>
                <w:w w:val="119"/>
                <w:sz w:val="16"/>
              </w:rPr>
              <w:t>K</w:t>
            </w:r>
          </w:p>
          <w:p>
            <w:pPr>
              <w:pStyle w:val="TableParagraph"/>
              <w:spacing w:before="62"/>
              <w:ind w:left="528" w:right="539"/>
              <w:jc w:val="center"/>
              <w:rPr>
                <w:rFonts w:ascii="Cambria Math" w:hAnsi="Cambria Math"/>
                <w:sz w:val="16"/>
              </w:rPr>
            </w:pPr>
            <w:r>
              <w:rPr>
                <w:rFonts w:ascii="Cambria Math" w:hAnsi="Cambria Math"/>
                <w:spacing w:val="-3"/>
                <w:w w:val="116"/>
                <w:sz w:val="22"/>
              </w:rPr>
              <w:t>t</w:t>
            </w:r>
            <w:r>
              <w:rPr>
                <w:rFonts w:ascii="Cambria Math" w:hAnsi="Cambria Math"/>
                <w:w w:val="100"/>
                <w:position w:val="2"/>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rFonts w:ascii="Cambria Math" w:hAnsi="Cambria Math"/>
                <w:w w:val="100"/>
                <w:sz w:val="22"/>
              </w:rPr>
              <w:t>=</w:t>
            </w:r>
            <w:r>
              <w:rPr>
                <w:rFonts w:ascii="Cambria Math" w:hAnsi="Cambria Math"/>
                <w:spacing w:val="22"/>
                <w:sz w:val="22"/>
              </w:rPr>
              <w:t> </w:t>
            </w:r>
            <w:r>
              <w:rPr>
                <w:rFonts w:ascii="Cambria Math" w:hAnsi="Cambria Math"/>
                <w:w w:val="319"/>
                <w:sz w:val="22"/>
              </w:rPr>
              <w:t>)</w:t>
            </w:r>
            <w:r>
              <w:rPr>
                <w:rFonts w:ascii="Cambria Math" w:hAnsi="Cambria Math"/>
                <w:spacing w:val="-3"/>
                <w:sz w:val="22"/>
              </w:rPr>
              <w:t> </w:t>
            </w:r>
            <w:r>
              <w:rPr>
                <w:rFonts w:ascii="Cambria Math" w:hAnsi="Cambria Math"/>
                <w:spacing w:val="-20"/>
                <w:w w:val="107"/>
                <w:sz w:val="22"/>
              </w:rPr>
              <w:t>N</w:t>
            </w:r>
            <w:r>
              <w:rPr>
                <w:rFonts w:ascii="Cambria Math" w:hAnsi="Cambria Math"/>
                <w:spacing w:val="15"/>
                <w:w w:val="113"/>
                <w:position w:val="-4"/>
                <w:sz w:val="16"/>
              </w:rPr>
              <w:t>h</w:t>
            </w: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p>
            <w:pPr>
              <w:pStyle w:val="TableParagraph"/>
              <w:spacing w:before="45"/>
              <w:ind w:left="536" w:right="436"/>
              <w:jc w:val="center"/>
              <w:rPr>
                <w:rFonts w:ascii="Cambria Math"/>
                <w:sz w:val="16"/>
              </w:rPr>
            </w:pPr>
            <w:r>
              <w:rPr>
                <w:rFonts w:ascii="Cambria Math"/>
                <w:w w:val="105"/>
                <w:sz w:val="16"/>
              </w:rPr>
              <w:t>h=1</w:t>
            </w:r>
          </w:p>
        </w:tc>
      </w:tr>
      <w:tr>
        <w:trPr>
          <w:trHeight w:val="240" w:hRule="exact"/>
        </w:trPr>
        <w:tc>
          <w:tcPr>
            <w:tcW w:w="5986" w:type="dxa"/>
            <w:gridSpan w:val="2"/>
          </w:tcPr>
          <w:p>
            <w:pPr>
              <w:pStyle w:val="TableParagraph"/>
              <w:spacing w:line="227" w:lineRule="exact" w:before="0"/>
              <w:ind w:left="1569" w:right="0"/>
              <w:jc w:val="left"/>
              <w:rPr>
                <w:rFonts w:ascii="Arial"/>
                <w:sz w:val="20"/>
              </w:rPr>
            </w:pPr>
            <w:r>
              <w:rPr>
                <w:rFonts w:ascii="Arial"/>
                <w:sz w:val="20"/>
              </w:rPr>
              <w:t>Intervalos de confianza del 95%</w:t>
            </w:r>
          </w:p>
        </w:tc>
        <w:tc>
          <w:tcPr>
            <w:tcW w:w="2993" w:type="dxa"/>
            <w:vMerge w:val="restart"/>
          </w:tcPr>
          <w:p>
            <w:pPr/>
          </w:p>
        </w:tc>
      </w:tr>
      <w:tr>
        <w:trPr>
          <w:trHeight w:val="1039" w:hRule="exact"/>
        </w:trPr>
        <w:tc>
          <w:tcPr>
            <w:tcW w:w="5986" w:type="dxa"/>
            <w:gridSpan w:val="2"/>
          </w:tcPr>
          <w:p>
            <w:pPr>
              <w:pStyle w:val="TableParagraph"/>
              <w:spacing w:before="0"/>
              <w:ind w:right="0"/>
              <w:jc w:val="left"/>
              <w:rPr>
                <w:rFonts w:ascii="Arial"/>
                <w:b/>
                <w:sz w:val="25"/>
              </w:rPr>
            </w:pPr>
          </w:p>
          <w:p>
            <w:pPr>
              <w:pStyle w:val="TableParagraph"/>
              <w:spacing w:line="20" w:lineRule="exact" w:before="0"/>
              <w:ind w:left="3237" w:right="0"/>
              <w:jc w:val="left"/>
              <w:rPr>
                <w:rFonts w:ascii="Arial"/>
                <w:sz w:val="2"/>
              </w:rPr>
            </w:pPr>
            <w:r>
              <w:rPr>
                <w:rFonts w:ascii="Arial"/>
                <w:sz w:val="2"/>
              </w:rPr>
              <w:pict>
                <v:group style="width:35.35pt;height:.75pt;mso-position-horizontal-relative:char;mso-position-vertical-relative:line" coordorigin="0,0" coordsize="707,15">
                  <v:line style="position:absolute" from="8,8" to="699,8" stroked="true" strokeweight=".72pt" strokecolor="#000000"/>
                </v:group>
              </w:pict>
            </w:r>
            <w:r>
              <w:rPr>
                <w:rFonts w:ascii="Arial"/>
                <w:sz w:val="2"/>
              </w:rPr>
            </w:r>
          </w:p>
          <w:p>
            <w:pPr>
              <w:pStyle w:val="TableParagraph"/>
              <w:spacing w:before="62"/>
              <w:ind w:left="2023" w:right="2023"/>
              <w:jc w:val="center"/>
              <w:rPr>
                <w:rFonts w:ascii="Cambria Math" w:hAnsi="Cambria Math"/>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rFonts w:ascii="Cambria Math" w:hAnsi="Cambria Math"/>
                <w:w w:val="100"/>
                <w:sz w:val="22"/>
              </w:rPr>
              <w:t>±</w:t>
            </w:r>
            <w:r>
              <w:rPr>
                <w:rFonts w:ascii="Cambria Math" w:hAnsi="Cambria Math"/>
                <w:spacing w:val="-2"/>
                <w:sz w:val="22"/>
              </w:rPr>
              <w:t> </w:t>
            </w:r>
            <w:r>
              <w:rPr>
                <w:rFonts w:ascii="Cambria Math" w:hAnsi="Cambria Math"/>
                <w:w w:val="100"/>
                <w:sz w:val="22"/>
              </w:rPr>
              <w:t>1,96</w:t>
            </w:r>
            <w:r>
              <w:rPr>
                <w:rFonts w:ascii="Cambria Math" w:hAnsi="Cambria Math"/>
                <w:w w:val="245"/>
                <w:position w:val="1"/>
                <w:sz w:val="22"/>
              </w:rPr>
              <w:t>J</w:t>
            </w:r>
            <w:r>
              <w:rPr>
                <w:rFonts w:ascii="Cambria Math" w:hAnsi="Cambria Math"/>
                <w:spacing w:val="-105"/>
                <w:w w:val="103"/>
                <w:sz w:val="22"/>
              </w:rPr>
              <w:t>V</w:t>
            </w:r>
            <w:r>
              <w:rPr>
                <w:rFonts w:ascii="Cambria Math" w:hAnsi="Cambria Math"/>
                <w:spacing w:val="20"/>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2993" w:type="dxa"/>
            <w:vMerge/>
          </w:tcPr>
          <w:p>
            <w:pPr/>
          </w:p>
        </w:tc>
      </w:tr>
    </w:tbl>
    <w:p>
      <w:pPr>
        <w:spacing w:after="0"/>
        <w:sectPr>
          <w:pgSz w:w="12240" w:h="15840"/>
          <w:pgMar w:header="725" w:footer="1084" w:top="1340" w:bottom="1280" w:left="920" w:right="1200"/>
        </w:sectPr>
      </w:pPr>
    </w:p>
    <w:p>
      <w:pPr>
        <w:pStyle w:val="BodyText"/>
        <w:spacing w:before="10"/>
        <w:rPr>
          <w:b/>
          <w:sz w:val="8"/>
        </w:rPr>
      </w:pPr>
    </w:p>
    <w:p>
      <w:pPr>
        <w:pStyle w:val="BodyText"/>
        <w:spacing w:line="360" w:lineRule="auto" w:before="73"/>
        <w:ind w:left="781" w:right="497"/>
        <w:jc w:val="both"/>
      </w:pPr>
      <w:r>
        <w:rPr/>
        <w:t>La eficiencia se calculó para cada unidad del tren de tratamiento y de manera global para todo el tren, conforme a la ecuación 2 (García </w:t>
      </w:r>
      <w:r>
        <w:rPr>
          <w:i/>
        </w:rPr>
        <w:t>et al</w:t>
      </w:r>
      <w:r>
        <w:rPr/>
        <w:t>., en prensa; García 2008; Gallego 2004).</w:t>
      </w:r>
    </w:p>
    <w:p>
      <w:pPr>
        <w:tabs>
          <w:tab w:pos="7861" w:val="left" w:leader="none"/>
        </w:tabs>
        <w:spacing w:line="307" w:lineRule="exact" w:before="189"/>
        <w:ind w:left="781" w:right="0" w:firstLine="0"/>
        <w:jc w:val="both"/>
        <w:rPr>
          <w:sz w:val="22"/>
        </w:rPr>
      </w:pPr>
      <w:r>
        <w:rPr>
          <w:rFonts w:ascii="Cambria Math" w:hAnsi="Cambria Math"/>
          <w:spacing w:val="2"/>
          <w:w w:val="110"/>
          <w:sz w:val="24"/>
        </w:rPr>
        <w:t>E</w:t>
      </w:r>
      <w:r>
        <w:rPr>
          <w:rFonts w:ascii="Cambria Math" w:hAnsi="Cambria Math"/>
          <w:spacing w:val="2"/>
          <w:w w:val="110"/>
          <w:position w:val="1"/>
          <w:sz w:val="24"/>
        </w:rPr>
        <w:t>(</w:t>
      </w:r>
      <w:r>
        <w:rPr>
          <w:rFonts w:ascii="Cambria Math" w:hAnsi="Cambria Math"/>
          <w:spacing w:val="2"/>
          <w:w w:val="110"/>
          <w:sz w:val="24"/>
        </w:rPr>
        <w:t>%</w:t>
      </w:r>
      <w:r>
        <w:rPr>
          <w:rFonts w:ascii="Cambria Math" w:hAnsi="Cambria Math"/>
          <w:spacing w:val="2"/>
          <w:w w:val="110"/>
          <w:position w:val="1"/>
          <w:sz w:val="24"/>
        </w:rPr>
        <w:t>) </w:t>
      </w:r>
      <w:r>
        <w:rPr>
          <w:rFonts w:ascii="Cambria Math" w:hAnsi="Cambria Math"/>
          <w:w w:val="110"/>
          <w:sz w:val="24"/>
        </w:rPr>
        <w:t>=</w:t>
      </w:r>
      <w:r>
        <w:rPr>
          <w:rFonts w:ascii="Cambria Math" w:hAnsi="Cambria Math"/>
          <w:spacing w:val="-1"/>
          <w:w w:val="110"/>
          <w:sz w:val="24"/>
        </w:rPr>
        <w:t> </w:t>
      </w:r>
      <w:r>
        <w:rPr>
          <w:rFonts w:ascii="Cambria Math" w:hAnsi="Cambria Math"/>
          <w:w w:val="110"/>
          <w:position w:val="14"/>
          <w:sz w:val="17"/>
          <w:u w:val="single"/>
        </w:rPr>
        <w:t>C</w:t>
      </w:r>
      <w:r>
        <w:rPr>
          <w:rFonts w:ascii="Cambria Math" w:hAnsi="Cambria Math"/>
          <w:w w:val="110"/>
          <w:position w:val="11"/>
          <w:sz w:val="14"/>
          <w:u w:val="single"/>
        </w:rPr>
        <w:t>E</w:t>
      </w:r>
      <w:r>
        <w:rPr>
          <w:rFonts w:ascii="Cambria Math" w:hAnsi="Cambria Math"/>
          <w:w w:val="110"/>
          <w:position w:val="14"/>
          <w:sz w:val="17"/>
          <w:u w:val="single"/>
        </w:rPr>
        <w:t>–C</w:t>
      </w:r>
      <w:r>
        <w:rPr>
          <w:rFonts w:ascii="Cambria Math" w:hAnsi="Cambria Math"/>
          <w:w w:val="110"/>
          <w:position w:val="11"/>
          <w:sz w:val="14"/>
          <w:u w:val="single"/>
        </w:rPr>
        <w:t>S </w:t>
      </w:r>
      <w:r>
        <w:rPr>
          <w:rFonts w:ascii="Cambria Math" w:hAnsi="Cambria Math"/>
          <w:spacing w:val="18"/>
          <w:w w:val="110"/>
          <w:position w:val="11"/>
          <w:sz w:val="14"/>
          <w:u w:val="single"/>
        </w:rPr>
        <w:t> </w:t>
      </w:r>
      <w:r>
        <w:rPr>
          <w:rFonts w:ascii="Cambria Math" w:hAnsi="Cambria Math"/>
          <w:w w:val="110"/>
          <w:sz w:val="24"/>
        </w:rPr>
        <w:t>100</w:t>
        <w:tab/>
      </w:r>
      <w:r>
        <w:rPr>
          <w:w w:val="110"/>
          <w:sz w:val="22"/>
        </w:rPr>
        <w:t>(2)</w:t>
      </w:r>
    </w:p>
    <w:p>
      <w:pPr>
        <w:spacing w:line="175" w:lineRule="exact" w:before="0"/>
        <w:ind w:left="1825" w:right="2707" w:firstLine="0"/>
        <w:jc w:val="left"/>
        <w:rPr>
          <w:rFonts w:ascii="Cambria Math"/>
          <w:sz w:val="14"/>
        </w:rPr>
      </w:pPr>
      <w:r>
        <w:rPr>
          <w:rFonts w:ascii="Cambria Math"/>
          <w:w w:val="115"/>
          <w:sz w:val="17"/>
        </w:rPr>
        <w:t>C</w:t>
      </w:r>
      <w:r>
        <w:rPr>
          <w:rFonts w:ascii="Cambria Math"/>
          <w:w w:val="115"/>
          <w:position w:val="-2"/>
          <w:sz w:val="14"/>
        </w:rPr>
        <w:t>E</w:t>
      </w:r>
    </w:p>
    <w:p>
      <w:pPr>
        <w:pStyle w:val="BodyText"/>
        <w:spacing w:before="3"/>
        <w:rPr>
          <w:rFonts w:ascii="Cambria Math"/>
          <w:sz w:val="20"/>
        </w:rPr>
      </w:pPr>
    </w:p>
    <w:p>
      <w:pPr>
        <w:spacing w:before="76"/>
        <w:ind w:left="781" w:right="0" w:firstLine="0"/>
        <w:jc w:val="both"/>
        <w:rPr>
          <w:sz w:val="18"/>
        </w:rPr>
      </w:pPr>
      <w:r>
        <w:rPr>
          <w:position w:val="2"/>
          <w:sz w:val="18"/>
        </w:rPr>
        <w:t>Donde: E = Eficiencia (%), C</w:t>
      </w:r>
      <w:r>
        <w:rPr>
          <w:sz w:val="12"/>
        </w:rPr>
        <w:t>E </w:t>
      </w:r>
      <w:r>
        <w:rPr>
          <w:position w:val="2"/>
          <w:sz w:val="18"/>
        </w:rPr>
        <w:t>= Concentración de entrada (mg/L), C</w:t>
      </w:r>
      <w:r>
        <w:rPr>
          <w:sz w:val="12"/>
        </w:rPr>
        <w:t>S </w:t>
      </w:r>
      <w:r>
        <w:rPr>
          <w:position w:val="2"/>
          <w:sz w:val="18"/>
        </w:rPr>
        <w:t>= Concentración de salida (mg/L).</w:t>
      </w:r>
    </w:p>
    <w:p>
      <w:pPr>
        <w:pStyle w:val="BodyText"/>
        <w:spacing w:before="8"/>
        <w:rPr>
          <w:sz w:val="25"/>
        </w:rPr>
      </w:pPr>
    </w:p>
    <w:p>
      <w:pPr>
        <w:pStyle w:val="BodyText"/>
        <w:spacing w:line="360" w:lineRule="auto"/>
        <w:ind w:left="781" w:right="498"/>
        <w:jc w:val="both"/>
      </w:pPr>
      <w:r>
        <w:rPr/>
        <w:t>Se llevó a cabo un análisis de balance de masa para obtener las tasas de remoción o generación de cada unidad del sistema prototipo. Por último, la descripción del desempeño del biofiltro se realizó conforme a los estándares propuestos por Colt </w:t>
      </w:r>
      <w:r>
        <w:rPr>
          <w:i/>
        </w:rPr>
        <w:t>et al</w:t>
      </w:r>
      <w:r>
        <w:rPr/>
        <w:t>. (2006).</w:t>
      </w:r>
    </w:p>
    <w:p>
      <w:pPr>
        <w:pStyle w:val="BodyText"/>
        <w:spacing w:before="7"/>
        <w:rPr>
          <w:sz w:val="17"/>
        </w:rPr>
      </w:pPr>
    </w:p>
    <w:p>
      <w:pPr>
        <w:pStyle w:val="Heading5"/>
        <w:numPr>
          <w:ilvl w:val="1"/>
          <w:numId w:val="7"/>
        </w:numPr>
        <w:tabs>
          <w:tab w:pos="1211" w:val="left" w:leader="none"/>
        </w:tabs>
        <w:spacing w:line="240" w:lineRule="auto" w:before="0" w:after="0"/>
        <w:ind w:left="1210" w:right="0" w:hanging="429"/>
        <w:jc w:val="both"/>
      </w:pPr>
      <w:bookmarkStart w:name="_TOC_250052" w:id="67"/>
      <w:bookmarkStart w:name="4.6. Modelación de los procesos limitant" w:id="68"/>
      <w:r>
        <w:rPr>
          <w:b w:val="0"/>
        </w:rPr>
      </w:r>
      <w:bookmarkEnd w:id="68"/>
      <w:bookmarkStart w:name="4.6. Modelación de los procesos limitant" w:id="69"/>
      <w:r>
        <w:rPr/>
        <w:t>M</w:t>
      </w:r>
      <w:r>
        <w:rPr/>
        <w:t>ODELACIÓN MATEMÁTICA DE LOS PROCESOS LIMITANTES DEL</w:t>
      </w:r>
      <w:r>
        <w:rPr>
          <w:spacing w:val="-22"/>
        </w:rPr>
        <w:t> </w:t>
      </w:r>
      <w:bookmarkEnd w:id="67"/>
      <w:r>
        <w:rPr/>
        <w:t>SRA</w:t>
      </w:r>
    </w:p>
    <w:p>
      <w:pPr>
        <w:pStyle w:val="BodyText"/>
        <w:spacing w:before="3"/>
        <w:rPr>
          <w:b/>
          <w:sz w:val="28"/>
        </w:rPr>
      </w:pPr>
    </w:p>
    <w:p>
      <w:pPr>
        <w:pStyle w:val="Heading5"/>
        <w:numPr>
          <w:ilvl w:val="2"/>
          <w:numId w:val="7"/>
        </w:numPr>
        <w:tabs>
          <w:tab w:pos="1396" w:val="left" w:leader="none"/>
        </w:tabs>
        <w:spacing w:line="240" w:lineRule="auto" w:before="0" w:after="0"/>
        <w:ind w:left="1395" w:right="0" w:hanging="614"/>
        <w:jc w:val="both"/>
      </w:pPr>
      <w:bookmarkStart w:name="_TOC_250051" w:id="70"/>
      <w:bookmarkStart w:name="4.6.1. Biofiltro" w:id="71"/>
      <w:r>
        <w:rPr>
          <w:b w:val="0"/>
        </w:rPr>
      </w:r>
      <w:bookmarkEnd w:id="71"/>
      <w:bookmarkStart w:name="4.6.1. Biofiltro" w:id="72"/>
      <w:r>
        <w:rPr/>
        <w:t>B</w:t>
      </w:r>
      <w:bookmarkEnd w:id="70"/>
      <w:r>
        <w:rPr/>
        <w:t>IOFILTRO</w:t>
      </w:r>
    </w:p>
    <w:p>
      <w:pPr>
        <w:pStyle w:val="BodyText"/>
        <w:spacing w:before="3"/>
        <w:rPr>
          <w:b/>
          <w:sz w:val="28"/>
        </w:rPr>
      </w:pPr>
    </w:p>
    <w:p>
      <w:pPr>
        <w:pStyle w:val="Heading5"/>
        <w:numPr>
          <w:ilvl w:val="3"/>
          <w:numId w:val="12"/>
        </w:numPr>
        <w:tabs>
          <w:tab w:pos="1578" w:val="left" w:leader="none"/>
        </w:tabs>
        <w:spacing w:line="240" w:lineRule="auto" w:before="0" w:after="0"/>
        <w:ind w:left="1577" w:right="0" w:hanging="796"/>
        <w:jc w:val="both"/>
      </w:pPr>
      <w:bookmarkStart w:name="_TOC_250050" w:id="73"/>
      <w:bookmarkStart w:name="4.6.1.1. Modelación determinística" w:id="74"/>
      <w:r>
        <w:rPr>
          <w:b w:val="0"/>
        </w:rPr>
      </w:r>
      <w:bookmarkEnd w:id="74"/>
      <w:bookmarkStart w:name="4.6.1.1. Modelación determinística" w:id="75"/>
      <w:r>
        <w:rPr/>
        <w:t>M</w:t>
      </w:r>
      <w:r>
        <w:rPr/>
        <w:t>ODELACIÓN</w:t>
      </w:r>
      <w:r>
        <w:rPr>
          <w:spacing w:val="-8"/>
        </w:rPr>
        <w:t> </w:t>
      </w:r>
      <w:bookmarkEnd w:id="73"/>
      <w:r>
        <w:rPr/>
        <w:t>DETERMINÍSTICA</w:t>
      </w:r>
    </w:p>
    <w:p>
      <w:pPr>
        <w:pStyle w:val="BodyText"/>
        <w:spacing w:before="8"/>
        <w:rPr>
          <w:b/>
          <w:sz w:val="28"/>
        </w:rPr>
      </w:pPr>
    </w:p>
    <w:p>
      <w:pPr>
        <w:pStyle w:val="BodyText"/>
        <w:spacing w:line="357" w:lineRule="auto"/>
        <w:ind w:left="781" w:right="497"/>
        <w:jc w:val="both"/>
      </w:pPr>
      <w:r>
        <w:rPr/>
        <w:t>La modelación determinística del biofiltro se propuso realizarse con base en lo reportado por Plattes </w:t>
      </w:r>
      <w:r>
        <w:rPr>
          <w:i/>
        </w:rPr>
        <w:t>et al</w:t>
      </w:r>
      <w:r>
        <w:rPr/>
        <w:t>. (2008). Es decir, se pretendió utilizar el modelo ASM1 modificado de acuerdo a estos autores, para lo cual, sería necesario determinar la concentración de DQO total y soluble en el influente y efluente del tren de tratamiento, se obtendría también la concentración tanto total como soluble de N-NH</w:t>
      </w:r>
      <w:r>
        <w:rPr>
          <w:position w:val="-2"/>
          <w:sz w:val="13"/>
        </w:rPr>
        <w:t>3</w:t>
      </w:r>
      <w:r>
        <w:rPr/>
        <w:t>, N-NO</w:t>
      </w:r>
      <w:r>
        <w:rPr>
          <w:position w:val="-2"/>
          <w:sz w:val="13"/>
        </w:rPr>
        <w:t>2</w:t>
      </w:r>
      <w:r>
        <w:rPr>
          <w:position w:val="10"/>
          <w:sz w:val="13"/>
        </w:rPr>
        <w:t>- </w:t>
      </w:r>
      <w:r>
        <w:rPr/>
        <w:t>y N-NO</w:t>
      </w:r>
      <w:r>
        <w:rPr>
          <w:position w:val="-2"/>
          <w:sz w:val="13"/>
        </w:rPr>
        <w:t>3</w:t>
      </w:r>
      <w:r>
        <w:rPr>
          <w:position w:val="10"/>
          <w:sz w:val="13"/>
        </w:rPr>
        <w:t>-</w:t>
      </w:r>
      <w:r>
        <w:rPr/>
        <w:t>, por último se realizaría un análisis de la DBO última a la entrada y salida del tren de tratamiento. Las constantes cinéticas se utilizarían con sus valores estándar reportados por Wanner </w:t>
      </w:r>
      <w:r>
        <w:rPr>
          <w:i/>
        </w:rPr>
        <w:t>et al. </w:t>
      </w:r>
      <w:r>
        <w:rPr/>
        <w:t>(2006).</w:t>
      </w:r>
    </w:p>
    <w:p>
      <w:pPr>
        <w:pStyle w:val="BodyText"/>
        <w:spacing w:before="9"/>
        <w:rPr>
          <w:sz w:val="17"/>
        </w:rPr>
      </w:pPr>
    </w:p>
    <w:p>
      <w:pPr>
        <w:pStyle w:val="BodyText"/>
        <w:spacing w:line="360" w:lineRule="auto"/>
        <w:ind w:left="781" w:right="501"/>
        <w:jc w:val="both"/>
      </w:pPr>
      <w:r>
        <w:rPr/>
        <w:t>Los muestreos se realizarían mediante muestras compuestas, por un periodo de dos semanas de manera diaria tanto a la entrada como salida del filtro biológico.</w:t>
      </w:r>
    </w:p>
    <w:p>
      <w:pPr>
        <w:pStyle w:val="BodyText"/>
        <w:spacing w:before="9"/>
        <w:rPr>
          <w:sz w:val="17"/>
        </w:rPr>
      </w:pPr>
    </w:p>
    <w:p>
      <w:pPr>
        <w:pStyle w:val="BodyText"/>
        <w:spacing w:line="360" w:lineRule="auto"/>
        <w:ind w:left="781" w:right="495"/>
        <w:jc w:val="both"/>
      </w:pPr>
      <w:r>
        <w:rPr/>
        <w:t>Una vez adquiridos los datos se procedería a realizar la modelación con ayuda del software AQUASIM y con el modelo propuesto por Wanner y Grujer (1986); Wanner y Reichert (1996) y Wanner </w:t>
      </w:r>
      <w:r>
        <w:rPr>
          <w:i/>
        </w:rPr>
        <w:t>et al</w:t>
      </w:r>
      <w:r>
        <w:rPr/>
        <w:t>. (2006).</w:t>
      </w:r>
    </w:p>
    <w:p>
      <w:pPr>
        <w:spacing w:after="0" w:line="360" w:lineRule="auto"/>
        <w:jc w:val="both"/>
        <w:sectPr>
          <w:pgSz w:w="12240" w:h="15840"/>
          <w:pgMar w:header="725" w:footer="1084" w:top="1340" w:bottom="1280" w:left="920" w:right="1200"/>
        </w:sectPr>
      </w:pPr>
    </w:p>
    <w:p>
      <w:pPr>
        <w:pStyle w:val="Heading5"/>
        <w:numPr>
          <w:ilvl w:val="3"/>
          <w:numId w:val="12"/>
        </w:numPr>
        <w:tabs>
          <w:tab w:pos="1578" w:val="left" w:leader="none"/>
        </w:tabs>
        <w:spacing w:line="240" w:lineRule="auto" w:before="172" w:after="0"/>
        <w:ind w:left="1577" w:right="0" w:hanging="796"/>
        <w:jc w:val="both"/>
      </w:pPr>
      <w:bookmarkStart w:name="_TOC_250049" w:id="76"/>
      <w:bookmarkStart w:name="4.6.1.2. Modelación de TVNA y TVCN" w:id="77"/>
      <w:r>
        <w:rPr>
          <w:b w:val="0"/>
        </w:rPr>
      </w:r>
      <w:bookmarkEnd w:id="77"/>
      <w:bookmarkStart w:name="4.6.1.2. Modelación de TVNA y TVCN" w:id="78"/>
      <w:r>
        <w:rPr/>
        <w:t>M</w:t>
      </w:r>
      <w:r>
        <w:rPr/>
        <w:t>ODELACIÓN DE TVNA Y</w:t>
      </w:r>
      <w:r>
        <w:rPr>
          <w:spacing w:val="-13"/>
        </w:rPr>
        <w:t> </w:t>
      </w:r>
      <w:bookmarkEnd w:id="76"/>
      <w:r>
        <w:rPr/>
        <w:t>TVCN</w:t>
      </w:r>
    </w:p>
    <w:p>
      <w:pPr>
        <w:pStyle w:val="BodyText"/>
        <w:spacing w:before="1"/>
        <w:rPr>
          <w:b/>
          <w:sz w:val="27"/>
        </w:rPr>
      </w:pPr>
    </w:p>
    <w:p>
      <w:pPr>
        <w:pStyle w:val="BodyText"/>
        <w:spacing w:line="357" w:lineRule="auto"/>
        <w:ind w:left="781" w:right="495"/>
        <w:jc w:val="both"/>
      </w:pPr>
      <w:r>
        <w:rPr/>
        <w:t>Con base en los datos de nitrógeno amoniacal total y N-NO</w:t>
      </w:r>
      <w:r>
        <w:rPr>
          <w:position w:val="-2"/>
          <w:sz w:val="13"/>
        </w:rPr>
        <w:t>2</w:t>
      </w:r>
      <w:r>
        <w:rPr>
          <w:position w:val="10"/>
          <w:sz w:val="13"/>
        </w:rPr>
        <w:t>- </w:t>
      </w:r>
      <w:r>
        <w:rPr/>
        <w:t>adquiridos según la sección 4.5, se modeló la tasa volumétrica de remoción de nitrógeno amoniacal (TVNA) y la tasa volumétrica de conversión de nitritos (TVCN). Las tasas se determinaron diariamente de acuerdo con el método reportado por Guerdat </w:t>
      </w:r>
      <w:r>
        <w:rPr>
          <w:i/>
        </w:rPr>
        <w:t>et al</w:t>
      </w:r>
      <w:r>
        <w:rPr/>
        <w:t>. (2010), Malone y Pfieffer (2006) y Drennan </w:t>
      </w:r>
      <w:r>
        <w:rPr>
          <w:i/>
        </w:rPr>
        <w:t>et al. </w:t>
      </w:r>
      <w:r>
        <w:rPr/>
        <w:t>(2006).</w:t>
      </w:r>
    </w:p>
    <w:p>
      <w:pPr>
        <w:pStyle w:val="BodyText"/>
        <w:spacing w:before="9"/>
        <w:rPr>
          <w:sz w:val="17"/>
        </w:rPr>
      </w:pPr>
    </w:p>
    <w:p>
      <w:pPr>
        <w:pStyle w:val="BodyText"/>
        <w:spacing w:line="357" w:lineRule="auto"/>
        <w:ind w:left="781" w:right="498"/>
        <w:jc w:val="both"/>
      </w:pPr>
      <w:r>
        <w:rPr/>
        <w:t>Una vez que se obtuvo el modelo de la tasa de conversión de nitrógeno amoniacal total, se relacionó con la generación de N-NH</w:t>
      </w:r>
      <w:r>
        <w:rPr>
          <w:position w:val="-2"/>
          <w:sz w:val="13"/>
        </w:rPr>
        <w:t>3 </w:t>
      </w:r>
      <w:r>
        <w:rPr/>
        <w:t>y la biomasa para generar un modelo que describa la eficiencia del biofiltro con base en la biomasa de peces en el estanque de cultivo.</w:t>
      </w:r>
    </w:p>
    <w:p>
      <w:pPr>
        <w:pStyle w:val="BodyText"/>
        <w:spacing w:before="7"/>
        <w:rPr>
          <w:sz w:val="17"/>
        </w:rPr>
      </w:pPr>
    </w:p>
    <w:p>
      <w:pPr>
        <w:pStyle w:val="Heading5"/>
        <w:numPr>
          <w:ilvl w:val="2"/>
          <w:numId w:val="13"/>
        </w:numPr>
        <w:tabs>
          <w:tab w:pos="1396" w:val="left" w:leader="none"/>
        </w:tabs>
        <w:spacing w:line="240" w:lineRule="auto" w:before="0" w:after="0"/>
        <w:ind w:left="1395" w:right="0" w:hanging="614"/>
        <w:jc w:val="both"/>
      </w:pPr>
      <w:bookmarkStart w:name="_TOC_250048" w:id="79"/>
      <w:bookmarkStart w:name="4.6.2. Consumo de oxígeno disuelto por l" w:id="80"/>
      <w:r>
        <w:rPr>
          <w:b w:val="0"/>
        </w:rPr>
      </w:r>
      <w:bookmarkEnd w:id="80"/>
      <w:bookmarkStart w:name="4.6.2. Consumo de oxígeno disuelto por l" w:id="81"/>
      <w:r>
        <w:rPr/>
        <w:t>C</w:t>
      </w:r>
      <w:r>
        <w:rPr/>
        <w:t>ONSUMO DE OXÍGENO DISUELTO </w:t>
      </w:r>
      <w:r>
        <w:rPr>
          <w:spacing w:val="-2"/>
        </w:rPr>
        <w:t>POR </w:t>
      </w:r>
      <w:r>
        <w:rPr/>
        <w:t>LOS</w:t>
      </w:r>
      <w:r>
        <w:rPr>
          <w:spacing w:val="-9"/>
        </w:rPr>
        <w:t> </w:t>
      </w:r>
      <w:bookmarkEnd w:id="79"/>
      <w:r>
        <w:rPr/>
        <w:t>PECES</w:t>
      </w:r>
    </w:p>
    <w:p>
      <w:pPr>
        <w:pStyle w:val="BodyText"/>
        <w:spacing w:before="8"/>
        <w:rPr>
          <w:b/>
          <w:sz w:val="28"/>
        </w:rPr>
      </w:pPr>
    </w:p>
    <w:p>
      <w:pPr>
        <w:pStyle w:val="BodyText"/>
        <w:spacing w:line="360" w:lineRule="auto"/>
        <w:ind w:left="781" w:right="497"/>
        <w:jc w:val="both"/>
      </w:pPr>
      <w:r>
        <w:rPr/>
        <w:t>Para determinar el consumo de oxígeno disuelto por parte de la trucha se utilizó la teoría de transferencia de gases en el intercambio gas-líquido, es decir, la Teoría de la Doble Capa (Ramírez </w:t>
      </w:r>
      <w:r>
        <w:rPr>
          <w:i/>
        </w:rPr>
        <w:t>et al</w:t>
      </w:r>
      <w:r>
        <w:rPr/>
        <w:t>., 2002). El modelo se basa en la existencia de dos capas, una de líquido y otra de gas en la interface gas-líquido. Ambas capas generan una resistencia al paso de moléculas de gas entre las fases líquida y gaseosa.</w:t>
      </w:r>
    </w:p>
    <w:p>
      <w:pPr>
        <w:pStyle w:val="BodyText"/>
        <w:spacing w:before="7"/>
        <w:rPr>
          <w:sz w:val="17"/>
        </w:rPr>
      </w:pPr>
    </w:p>
    <w:p>
      <w:pPr>
        <w:pStyle w:val="BodyText"/>
        <w:spacing w:line="360" w:lineRule="auto"/>
        <w:ind w:left="781" w:right="496"/>
        <w:jc w:val="both"/>
      </w:pPr>
      <w:r>
        <w:rPr/>
        <w:t>Por otro lado, método ampliamente utilizado para conocer las velocidades de consumo de oxígeno por organismos acuáticos es la respirometría. En este caso se preparó el sistema de adquisición de datos para un oxímetro de la marca YSI, conectado a un sistema que adquiere datos y los transfiere a una computadora. El control de las bombas de aire fue a través de la computadora. Una hora antes de empezar el experimento se calibró el oxímetro, esto se logró cuando se estabilizó la lectura de porcentaje de saturación al 72</w:t>
      </w:r>
    </w:p>
    <w:p>
      <w:pPr>
        <w:pStyle w:val="BodyText"/>
        <w:spacing w:before="3"/>
        <w:ind w:left="781"/>
        <w:jc w:val="both"/>
      </w:pPr>
      <w:r>
        <w:rPr/>
        <w:t>%, según la altitud que prevalece en la zona (figura 20).</w:t>
      </w:r>
    </w:p>
    <w:p>
      <w:pPr>
        <w:pStyle w:val="BodyText"/>
        <w:spacing w:before="5"/>
        <w:rPr>
          <w:sz w:val="28"/>
        </w:rPr>
      </w:pPr>
    </w:p>
    <w:p>
      <w:pPr>
        <w:pStyle w:val="BodyText"/>
        <w:spacing w:line="360" w:lineRule="auto" w:before="1"/>
        <w:ind w:left="781" w:right="497"/>
        <w:jc w:val="both"/>
      </w:pPr>
      <w:r>
        <w:rPr/>
        <w:t>Como reactor se utilizó una pecera hermética de 64 L, donde se colocaron organismos de acuerdo con las variables a determinar en cada prueba, según un plan de escrutinio tipo factorial fraccionado clase Plackett – Burman (Wheeler, 1989).</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2029"/>
        <w:rPr>
          <w:sz w:val="20"/>
        </w:rPr>
      </w:pPr>
      <w:r>
        <w:rPr>
          <w:sz w:val="20"/>
        </w:rPr>
        <w:pict>
          <v:group style="width:388.35pt;height:238.95pt;mso-position-horizontal-relative:char;mso-position-vertical-relative:line" coordorigin="0,0" coordsize="7767,4779">
            <v:shape style="position:absolute;left:0;top:0;width:7766;height:4778" type="#_x0000_t75" stroked="false">
              <v:imagedata r:id="rId41" o:title=""/>
            </v:shape>
            <v:rect style="position:absolute;left:6312;top:545;width:1440;height:528" filled="true" fillcolor="#ffffff" stroked="false">
              <v:fill type="solid"/>
            </v:rect>
            <v:line style="position:absolute" from="4750,2364" to="6192,725" stroked="true" strokeweight="1.5pt" strokecolor="#ffffff"/>
            <v:rect style="position:absolute;left:6312;top:545;width:1440;height:528" filled="false" stroked="true" strokeweight="1.5pt" strokecolor="#ffffff"/>
            <v:shape style="position:absolute;left:6295;top:1649;width:1471;height:559" type="#_x0000_t75" stroked="false">
              <v:imagedata r:id="rId42" o:title=""/>
            </v:shape>
            <v:shape style="position:absolute;left:4154;top:1831;width:2045;height:1478" type="#_x0000_t75" stroked="false">
              <v:imagedata r:id="rId43" o:title=""/>
            </v:shape>
            <v:rect style="position:absolute;left:6312;top:1625;width:1440;height:528" filled="true" fillcolor="#ffffff" stroked="false">
              <v:fill type="solid"/>
            </v:rect>
            <v:line style="position:absolute" from="4164,3257" to="6192,1805" stroked="true" strokeweight="1.5pt" strokecolor="#ffffff"/>
            <v:rect style="position:absolute;left:6312;top:1625;width:1440;height:528" filled="false" stroked="true" strokeweight="1.5pt" strokecolor="#ffffff"/>
            <v:shape style="position:absolute;left:312;top:209;width:2054;height:559" type="#_x0000_t75" stroked="false">
              <v:imagedata r:id="rId44" o:title=""/>
            </v:shape>
            <v:shape style="position:absolute;left:2462;top:391;width:1524;height:1186" type="#_x0000_t75" stroked="false">
              <v:imagedata r:id="rId45" o:title=""/>
            </v:shape>
            <v:rect style="position:absolute;left:326;top:185;width:2026;height:528" filled="true" fillcolor="#ffffff" stroked="false">
              <v:fill type="solid"/>
            </v:rect>
            <v:line style="position:absolute" from="3977,1526" to="2472,365" stroked="true" strokeweight="1.5pt" strokecolor="#ffffff"/>
            <v:rect style="position:absolute;left:326;top:185;width:2026;height:528" filled="false" stroked="true" strokeweight="1.5pt" strokecolor="#ffffff"/>
            <v:shape style="position:absolute;left:485;top:368;width:1543;height:221" type="#_x0000_t202" filled="false" stroked="false">
              <v:textbox inset="0,0,0,0">
                <w:txbxContent>
                  <w:p>
                    <w:pPr>
                      <w:spacing w:line="221" w:lineRule="exact" w:before="0"/>
                      <w:ind w:left="0" w:right="-18" w:firstLine="0"/>
                      <w:jc w:val="left"/>
                      <w:rPr>
                        <w:sz w:val="22"/>
                      </w:rPr>
                    </w:pPr>
                    <w:r>
                      <w:rPr>
                        <w:sz w:val="22"/>
                      </w:rPr>
                      <w:t>Bombas de aire</w:t>
                    </w:r>
                  </w:p>
                </w:txbxContent>
              </v:textbox>
              <w10:wrap type="none"/>
            </v:shape>
            <v:shape style="position:absolute;left:6470;top:728;width:699;height:221" type="#_x0000_t202" filled="false" stroked="false">
              <v:textbox inset="0,0,0,0">
                <w:txbxContent>
                  <w:p>
                    <w:pPr>
                      <w:spacing w:line="221" w:lineRule="exact" w:before="0"/>
                      <w:ind w:left="0" w:right="-19" w:firstLine="0"/>
                      <w:jc w:val="left"/>
                      <w:rPr>
                        <w:sz w:val="22"/>
                      </w:rPr>
                    </w:pPr>
                    <w:r>
                      <w:rPr>
                        <w:sz w:val="22"/>
                      </w:rPr>
                      <w:t>Pecera</w:t>
                    </w:r>
                  </w:p>
                </w:txbxContent>
              </v:textbox>
              <w10:wrap type="none"/>
            </v:shape>
            <v:shape style="position:absolute;left:6470;top:1808;width:908;height:221" type="#_x0000_t202" filled="false" stroked="false">
              <v:textbox inset="0,0,0,0">
                <w:txbxContent>
                  <w:p>
                    <w:pPr>
                      <w:spacing w:line="221" w:lineRule="exact" w:before="0"/>
                      <w:ind w:left="0" w:right="-17" w:firstLine="0"/>
                      <w:jc w:val="left"/>
                      <w:rPr>
                        <w:sz w:val="22"/>
                      </w:rPr>
                    </w:pPr>
                    <w:r>
                      <w:rPr>
                        <w:sz w:val="22"/>
                      </w:rPr>
                      <w:t>Oxímetro</w:t>
                    </w:r>
                  </w:p>
                </w:txbxContent>
              </v:textbox>
              <w10:wrap type="none"/>
            </v:shape>
          </v:group>
        </w:pict>
      </w:r>
      <w:r>
        <w:rPr>
          <w:sz w:val="20"/>
        </w:rPr>
      </w:r>
    </w:p>
    <w:p>
      <w:pPr>
        <w:pStyle w:val="BodyText"/>
        <w:spacing w:before="7"/>
        <w:rPr>
          <w:sz w:val="13"/>
        </w:rPr>
      </w:pPr>
    </w:p>
    <w:p>
      <w:pPr>
        <w:spacing w:before="78"/>
        <w:ind w:left="781" w:right="0" w:firstLine="12"/>
        <w:jc w:val="both"/>
        <w:rPr>
          <w:b/>
          <w:sz w:val="18"/>
        </w:rPr>
      </w:pPr>
      <w:r>
        <w:rPr>
          <w:b/>
          <w:sz w:val="18"/>
        </w:rPr>
        <w:t>Figura 20. Respirómetro utilizado para determinar las velocidades de consumo de oxígeno de la trucha</w:t>
      </w:r>
    </w:p>
    <w:p>
      <w:pPr>
        <w:pStyle w:val="BodyText"/>
        <w:spacing w:before="6"/>
        <w:rPr>
          <w:b/>
          <w:sz w:val="17"/>
        </w:rPr>
      </w:pPr>
    </w:p>
    <w:p>
      <w:pPr>
        <w:pStyle w:val="BodyText"/>
        <w:spacing w:line="360" w:lineRule="auto"/>
        <w:ind w:left="781" w:right="498"/>
        <w:jc w:val="both"/>
      </w:pPr>
      <w:r>
        <w:rPr/>
        <w:t>El diseño experimental se basó en establecer cómo afectan los principales factores (peso de los peces, densidad de cultivo, temperatura y alimentación) en el consumo de oxígeno en el estanque por parte de los peces, estableciendo 16 pruebas (combinaciones) con dos niveles cada factor (Tabla 12).</w:t>
      </w:r>
    </w:p>
    <w:p>
      <w:pPr>
        <w:pStyle w:val="BodyText"/>
        <w:spacing w:before="3"/>
        <w:rPr>
          <w:sz w:val="17"/>
        </w:rPr>
      </w:pPr>
    </w:p>
    <w:p>
      <w:pPr>
        <w:spacing w:before="0"/>
        <w:ind w:left="868" w:right="587" w:firstLine="0"/>
        <w:jc w:val="center"/>
        <w:rPr>
          <w:b/>
          <w:sz w:val="18"/>
        </w:rPr>
      </w:pPr>
      <w:r>
        <w:rPr>
          <w:b/>
          <w:sz w:val="18"/>
        </w:rPr>
        <w:t>Tabla 12. Valores menores y mayores utilizados en las 16 pruebas de Plackett – Burman</w:t>
      </w:r>
    </w:p>
    <w:p>
      <w:pPr>
        <w:pStyle w:val="BodyText"/>
        <w:spacing w:before="10"/>
        <w:rPr>
          <w:b/>
          <w:sz w:val="10"/>
        </w:rPr>
      </w:pPr>
    </w:p>
    <w:tbl>
      <w:tblPr>
        <w:tblW w:w="0" w:type="auto"/>
        <w:jc w:val="left"/>
        <w:tblInd w:w="10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25"/>
        <w:gridCol w:w="1147"/>
        <w:gridCol w:w="1781"/>
        <w:gridCol w:w="1783"/>
        <w:gridCol w:w="1330"/>
      </w:tblGrid>
      <w:tr>
        <w:trPr>
          <w:trHeight w:val="218" w:hRule="exact"/>
        </w:trPr>
        <w:tc>
          <w:tcPr>
            <w:tcW w:w="1925" w:type="dxa"/>
          </w:tcPr>
          <w:p>
            <w:pPr>
              <w:pStyle w:val="TableParagraph"/>
              <w:spacing w:line="204" w:lineRule="exact" w:before="0"/>
              <w:ind w:left="662" w:right="662"/>
              <w:jc w:val="center"/>
              <w:rPr>
                <w:rFonts w:ascii="Arial"/>
                <w:b/>
                <w:sz w:val="18"/>
              </w:rPr>
            </w:pPr>
            <w:r>
              <w:rPr>
                <w:rFonts w:ascii="Arial"/>
                <w:b/>
                <w:sz w:val="18"/>
              </w:rPr>
              <w:t>Factor</w:t>
            </w:r>
          </w:p>
        </w:tc>
        <w:tc>
          <w:tcPr>
            <w:tcW w:w="1147" w:type="dxa"/>
          </w:tcPr>
          <w:p>
            <w:pPr>
              <w:pStyle w:val="TableParagraph"/>
              <w:spacing w:line="204" w:lineRule="exact" w:before="0"/>
              <w:ind w:left="194" w:right="193"/>
              <w:jc w:val="center"/>
              <w:rPr>
                <w:rFonts w:ascii="Arial"/>
                <w:b/>
                <w:sz w:val="18"/>
              </w:rPr>
            </w:pPr>
            <w:r>
              <w:rPr>
                <w:rFonts w:ascii="Arial"/>
                <w:b/>
                <w:sz w:val="18"/>
              </w:rPr>
              <w:t>Etiqueta</w:t>
            </w:r>
          </w:p>
        </w:tc>
        <w:tc>
          <w:tcPr>
            <w:tcW w:w="1781" w:type="dxa"/>
          </w:tcPr>
          <w:p>
            <w:pPr>
              <w:pStyle w:val="TableParagraph"/>
              <w:spacing w:line="204" w:lineRule="exact" w:before="0"/>
              <w:ind w:left="225" w:right="225"/>
              <w:jc w:val="center"/>
              <w:rPr>
                <w:rFonts w:ascii="Arial"/>
                <w:b/>
                <w:sz w:val="18"/>
              </w:rPr>
            </w:pPr>
            <w:r>
              <w:rPr>
                <w:rFonts w:ascii="Arial"/>
                <w:b/>
                <w:sz w:val="18"/>
              </w:rPr>
              <w:t>Valor menor (-)</w:t>
            </w:r>
          </w:p>
        </w:tc>
        <w:tc>
          <w:tcPr>
            <w:tcW w:w="1783" w:type="dxa"/>
          </w:tcPr>
          <w:p>
            <w:pPr>
              <w:pStyle w:val="TableParagraph"/>
              <w:spacing w:line="204" w:lineRule="exact" w:before="0"/>
              <w:ind w:left="209" w:right="209"/>
              <w:jc w:val="center"/>
              <w:rPr>
                <w:rFonts w:ascii="Arial"/>
                <w:b/>
                <w:sz w:val="18"/>
              </w:rPr>
            </w:pPr>
            <w:r>
              <w:rPr>
                <w:rFonts w:ascii="Arial"/>
                <w:b/>
                <w:sz w:val="18"/>
              </w:rPr>
              <w:t>Valor mayor (+)</w:t>
            </w:r>
          </w:p>
        </w:tc>
        <w:tc>
          <w:tcPr>
            <w:tcW w:w="1330" w:type="dxa"/>
          </w:tcPr>
          <w:p>
            <w:pPr>
              <w:pStyle w:val="TableParagraph"/>
              <w:spacing w:line="204" w:lineRule="exact" w:before="0"/>
              <w:ind w:left="235" w:right="234"/>
              <w:jc w:val="center"/>
              <w:rPr>
                <w:rFonts w:ascii="Arial"/>
                <w:b/>
                <w:sz w:val="18"/>
              </w:rPr>
            </w:pPr>
            <w:r>
              <w:rPr>
                <w:rFonts w:ascii="Arial"/>
                <w:b/>
                <w:sz w:val="18"/>
              </w:rPr>
              <w:t>Unidades</w:t>
            </w:r>
          </w:p>
        </w:tc>
      </w:tr>
      <w:tr>
        <w:trPr>
          <w:trHeight w:val="300" w:hRule="exact"/>
        </w:trPr>
        <w:tc>
          <w:tcPr>
            <w:tcW w:w="1925" w:type="dxa"/>
          </w:tcPr>
          <w:p>
            <w:pPr>
              <w:pStyle w:val="TableParagraph"/>
              <w:spacing w:before="40"/>
              <w:ind w:left="103" w:right="0"/>
              <w:jc w:val="left"/>
              <w:rPr>
                <w:rFonts w:ascii="Arial"/>
                <w:sz w:val="18"/>
              </w:rPr>
            </w:pPr>
            <w:r>
              <w:rPr>
                <w:rFonts w:ascii="Arial"/>
                <w:sz w:val="18"/>
              </w:rPr>
              <w:t>Peso</w:t>
            </w:r>
          </w:p>
        </w:tc>
        <w:tc>
          <w:tcPr>
            <w:tcW w:w="1147" w:type="dxa"/>
          </w:tcPr>
          <w:p>
            <w:pPr>
              <w:pStyle w:val="TableParagraph"/>
              <w:spacing w:before="40"/>
              <w:ind w:right="0"/>
              <w:jc w:val="center"/>
              <w:rPr>
                <w:rFonts w:ascii="Arial"/>
                <w:sz w:val="18"/>
              </w:rPr>
            </w:pPr>
            <w:r>
              <w:rPr>
                <w:rFonts w:ascii="Arial"/>
                <w:w w:val="99"/>
                <w:sz w:val="18"/>
              </w:rPr>
              <w:t>A</w:t>
            </w:r>
          </w:p>
        </w:tc>
        <w:tc>
          <w:tcPr>
            <w:tcW w:w="1781" w:type="dxa"/>
          </w:tcPr>
          <w:p>
            <w:pPr>
              <w:pStyle w:val="TableParagraph"/>
              <w:spacing w:before="40"/>
              <w:ind w:left="225" w:right="225"/>
              <w:jc w:val="center"/>
              <w:rPr>
                <w:rFonts w:ascii="Arial"/>
                <w:sz w:val="18"/>
              </w:rPr>
            </w:pPr>
            <w:r>
              <w:rPr>
                <w:rFonts w:ascii="Arial"/>
                <w:sz w:val="18"/>
              </w:rPr>
              <w:t>100</w:t>
            </w:r>
          </w:p>
        </w:tc>
        <w:tc>
          <w:tcPr>
            <w:tcW w:w="1783" w:type="dxa"/>
          </w:tcPr>
          <w:p>
            <w:pPr>
              <w:pStyle w:val="TableParagraph"/>
              <w:spacing w:before="40"/>
              <w:ind w:left="209" w:right="208"/>
              <w:jc w:val="center"/>
              <w:rPr>
                <w:rFonts w:ascii="Arial"/>
                <w:sz w:val="18"/>
              </w:rPr>
            </w:pPr>
            <w:r>
              <w:rPr>
                <w:rFonts w:ascii="Arial"/>
                <w:sz w:val="18"/>
              </w:rPr>
              <w:t>350</w:t>
            </w:r>
          </w:p>
        </w:tc>
        <w:tc>
          <w:tcPr>
            <w:tcW w:w="1330" w:type="dxa"/>
          </w:tcPr>
          <w:p>
            <w:pPr>
              <w:pStyle w:val="TableParagraph"/>
              <w:spacing w:before="40"/>
              <w:ind w:right="0"/>
              <w:jc w:val="center"/>
              <w:rPr>
                <w:rFonts w:ascii="Arial"/>
                <w:sz w:val="18"/>
              </w:rPr>
            </w:pPr>
            <w:r>
              <w:rPr>
                <w:rFonts w:ascii="Arial"/>
                <w:w w:val="99"/>
                <w:sz w:val="18"/>
              </w:rPr>
              <w:t>g</w:t>
            </w:r>
          </w:p>
        </w:tc>
      </w:tr>
      <w:tr>
        <w:trPr>
          <w:trHeight w:val="374" w:hRule="exact"/>
        </w:trPr>
        <w:tc>
          <w:tcPr>
            <w:tcW w:w="1925" w:type="dxa"/>
          </w:tcPr>
          <w:p>
            <w:pPr>
              <w:pStyle w:val="TableParagraph"/>
              <w:spacing w:before="78"/>
              <w:ind w:left="103" w:right="0"/>
              <w:jc w:val="left"/>
              <w:rPr>
                <w:rFonts w:ascii="Arial"/>
                <w:sz w:val="18"/>
              </w:rPr>
            </w:pPr>
            <w:r>
              <w:rPr>
                <w:rFonts w:ascii="Arial"/>
                <w:sz w:val="18"/>
              </w:rPr>
              <w:t>Temperatura</w:t>
            </w:r>
          </w:p>
        </w:tc>
        <w:tc>
          <w:tcPr>
            <w:tcW w:w="1147" w:type="dxa"/>
          </w:tcPr>
          <w:p>
            <w:pPr>
              <w:pStyle w:val="TableParagraph"/>
              <w:spacing w:before="78"/>
              <w:ind w:right="0"/>
              <w:jc w:val="center"/>
              <w:rPr>
                <w:rFonts w:ascii="Arial"/>
                <w:sz w:val="18"/>
              </w:rPr>
            </w:pPr>
            <w:r>
              <w:rPr>
                <w:rFonts w:ascii="Arial"/>
                <w:w w:val="99"/>
                <w:sz w:val="18"/>
              </w:rPr>
              <w:t>B</w:t>
            </w:r>
          </w:p>
        </w:tc>
        <w:tc>
          <w:tcPr>
            <w:tcW w:w="1781" w:type="dxa"/>
          </w:tcPr>
          <w:p>
            <w:pPr>
              <w:pStyle w:val="TableParagraph"/>
              <w:spacing w:before="78"/>
              <w:ind w:left="225" w:right="225"/>
              <w:jc w:val="center"/>
              <w:rPr>
                <w:rFonts w:ascii="Arial"/>
                <w:sz w:val="18"/>
              </w:rPr>
            </w:pPr>
            <w:r>
              <w:rPr>
                <w:rFonts w:ascii="Arial"/>
                <w:sz w:val="18"/>
              </w:rPr>
              <w:t>13</w:t>
            </w:r>
          </w:p>
        </w:tc>
        <w:tc>
          <w:tcPr>
            <w:tcW w:w="1783" w:type="dxa"/>
          </w:tcPr>
          <w:p>
            <w:pPr>
              <w:pStyle w:val="TableParagraph"/>
              <w:spacing w:before="78"/>
              <w:ind w:left="209" w:right="208"/>
              <w:jc w:val="center"/>
              <w:rPr>
                <w:rFonts w:ascii="Arial"/>
                <w:sz w:val="18"/>
              </w:rPr>
            </w:pPr>
            <w:r>
              <w:rPr>
                <w:rFonts w:ascii="Arial"/>
                <w:sz w:val="18"/>
              </w:rPr>
              <w:t>23</w:t>
            </w:r>
          </w:p>
        </w:tc>
        <w:tc>
          <w:tcPr>
            <w:tcW w:w="1330" w:type="dxa"/>
          </w:tcPr>
          <w:p>
            <w:pPr>
              <w:pStyle w:val="TableParagraph"/>
              <w:spacing w:before="78"/>
              <w:ind w:left="234" w:right="234"/>
              <w:jc w:val="center"/>
              <w:rPr>
                <w:rFonts w:ascii="Arial" w:hAnsi="Arial"/>
                <w:sz w:val="18"/>
              </w:rPr>
            </w:pPr>
            <w:r>
              <w:rPr>
                <w:rFonts w:ascii="Arial" w:hAnsi="Arial"/>
                <w:sz w:val="18"/>
              </w:rPr>
              <w:t>°C</w:t>
            </w:r>
          </w:p>
        </w:tc>
      </w:tr>
      <w:tr>
        <w:trPr>
          <w:trHeight w:val="295" w:hRule="exact"/>
        </w:trPr>
        <w:tc>
          <w:tcPr>
            <w:tcW w:w="1925" w:type="dxa"/>
          </w:tcPr>
          <w:p>
            <w:pPr>
              <w:pStyle w:val="TableParagraph"/>
              <w:spacing w:before="37"/>
              <w:ind w:left="103" w:right="0"/>
              <w:jc w:val="left"/>
              <w:rPr>
                <w:rFonts w:ascii="Arial"/>
                <w:sz w:val="18"/>
              </w:rPr>
            </w:pPr>
            <w:r>
              <w:rPr>
                <w:rFonts w:ascii="Arial"/>
                <w:sz w:val="18"/>
              </w:rPr>
              <w:t>Densidad</w:t>
            </w:r>
          </w:p>
        </w:tc>
        <w:tc>
          <w:tcPr>
            <w:tcW w:w="1147" w:type="dxa"/>
          </w:tcPr>
          <w:p>
            <w:pPr>
              <w:pStyle w:val="TableParagraph"/>
              <w:spacing w:before="37"/>
              <w:ind w:right="0"/>
              <w:jc w:val="center"/>
              <w:rPr>
                <w:rFonts w:ascii="Arial"/>
                <w:sz w:val="18"/>
              </w:rPr>
            </w:pPr>
            <w:r>
              <w:rPr>
                <w:rFonts w:ascii="Arial"/>
                <w:w w:val="99"/>
                <w:sz w:val="18"/>
              </w:rPr>
              <w:t>D</w:t>
            </w:r>
          </w:p>
        </w:tc>
        <w:tc>
          <w:tcPr>
            <w:tcW w:w="1781" w:type="dxa"/>
          </w:tcPr>
          <w:p>
            <w:pPr>
              <w:pStyle w:val="TableParagraph"/>
              <w:spacing w:before="37"/>
              <w:ind w:left="225" w:right="225"/>
              <w:jc w:val="center"/>
              <w:rPr>
                <w:rFonts w:ascii="Arial"/>
                <w:sz w:val="18"/>
              </w:rPr>
            </w:pPr>
            <w:r>
              <w:rPr>
                <w:rFonts w:ascii="Arial"/>
                <w:sz w:val="18"/>
              </w:rPr>
              <w:t>27</w:t>
            </w:r>
          </w:p>
        </w:tc>
        <w:tc>
          <w:tcPr>
            <w:tcW w:w="1783" w:type="dxa"/>
          </w:tcPr>
          <w:p>
            <w:pPr>
              <w:pStyle w:val="TableParagraph"/>
              <w:spacing w:before="37"/>
              <w:ind w:left="209" w:right="208"/>
              <w:jc w:val="center"/>
              <w:rPr>
                <w:rFonts w:ascii="Arial"/>
                <w:sz w:val="18"/>
              </w:rPr>
            </w:pPr>
            <w:r>
              <w:rPr>
                <w:rFonts w:ascii="Arial"/>
                <w:sz w:val="18"/>
              </w:rPr>
              <w:t>55</w:t>
            </w:r>
          </w:p>
        </w:tc>
        <w:tc>
          <w:tcPr>
            <w:tcW w:w="1330" w:type="dxa"/>
          </w:tcPr>
          <w:p>
            <w:pPr>
              <w:pStyle w:val="TableParagraph"/>
              <w:spacing w:before="4"/>
              <w:ind w:left="235" w:right="234"/>
              <w:jc w:val="center"/>
              <w:rPr>
                <w:rFonts w:ascii="Arial"/>
                <w:sz w:val="12"/>
              </w:rPr>
            </w:pPr>
            <w:r>
              <w:rPr>
                <w:rFonts w:ascii="Arial"/>
                <w:sz w:val="18"/>
              </w:rPr>
              <w:t>kg/m</w:t>
            </w:r>
            <w:r>
              <w:rPr>
                <w:rFonts w:ascii="Arial"/>
                <w:position w:val="9"/>
                <w:sz w:val="12"/>
              </w:rPr>
              <w:t>3</w:t>
            </w:r>
          </w:p>
        </w:tc>
      </w:tr>
      <w:tr>
        <w:trPr>
          <w:trHeight w:val="422" w:hRule="exact"/>
        </w:trPr>
        <w:tc>
          <w:tcPr>
            <w:tcW w:w="1925" w:type="dxa"/>
          </w:tcPr>
          <w:p>
            <w:pPr>
              <w:pStyle w:val="TableParagraph"/>
              <w:spacing w:before="102"/>
              <w:ind w:left="103" w:right="0"/>
              <w:jc w:val="left"/>
              <w:rPr>
                <w:rFonts w:ascii="Arial" w:hAnsi="Arial"/>
                <w:sz w:val="18"/>
              </w:rPr>
            </w:pPr>
            <w:r>
              <w:rPr>
                <w:rFonts w:ascii="Arial" w:hAnsi="Arial"/>
                <w:sz w:val="18"/>
              </w:rPr>
              <w:t>Alimentación</w:t>
            </w:r>
          </w:p>
        </w:tc>
        <w:tc>
          <w:tcPr>
            <w:tcW w:w="1147" w:type="dxa"/>
          </w:tcPr>
          <w:p>
            <w:pPr>
              <w:pStyle w:val="TableParagraph"/>
              <w:spacing w:before="102"/>
              <w:ind w:right="0"/>
              <w:jc w:val="center"/>
              <w:rPr>
                <w:rFonts w:ascii="Arial"/>
                <w:sz w:val="18"/>
              </w:rPr>
            </w:pPr>
            <w:r>
              <w:rPr>
                <w:rFonts w:ascii="Arial"/>
                <w:w w:val="99"/>
                <w:sz w:val="18"/>
              </w:rPr>
              <w:t>H</w:t>
            </w:r>
          </w:p>
        </w:tc>
        <w:tc>
          <w:tcPr>
            <w:tcW w:w="1781" w:type="dxa"/>
          </w:tcPr>
          <w:p>
            <w:pPr>
              <w:pStyle w:val="TableParagraph"/>
              <w:spacing w:before="102"/>
              <w:ind w:left="225" w:right="225"/>
              <w:jc w:val="center"/>
              <w:rPr>
                <w:rFonts w:ascii="Arial"/>
                <w:sz w:val="18"/>
              </w:rPr>
            </w:pPr>
            <w:r>
              <w:rPr>
                <w:rFonts w:ascii="Arial"/>
                <w:sz w:val="18"/>
              </w:rPr>
              <w:t>Sin alimentar</w:t>
            </w:r>
          </w:p>
        </w:tc>
        <w:tc>
          <w:tcPr>
            <w:tcW w:w="1783" w:type="dxa"/>
          </w:tcPr>
          <w:p>
            <w:pPr>
              <w:pStyle w:val="TableParagraph"/>
              <w:spacing w:before="0"/>
              <w:ind w:left="516" w:right="108" w:hanging="392"/>
              <w:jc w:val="left"/>
              <w:rPr>
                <w:rFonts w:ascii="Arial" w:hAnsi="Arial"/>
                <w:sz w:val="18"/>
              </w:rPr>
            </w:pPr>
            <w:r>
              <w:rPr>
                <w:rFonts w:ascii="Arial" w:hAnsi="Arial"/>
                <w:sz w:val="18"/>
              </w:rPr>
              <w:t>30 min después de alimentar</w:t>
            </w:r>
          </w:p>
        </w:tc>
        <w:tc>
          <w:tcPr>
            <w:tcW w:w="1330" w:type="dxa"/>
          </w:tcPr>
          <w:p>
            <w:pPr/>
          </w:p>
        </w:tc>
      </w:tr>
    </w:tbl>
    <w:p>
      <w:pPr>
        <w:pStyle w:val="BodyText"/>
        <w:spacing w:before="9"/>
        <w:rPr>
          <w:b/>
          <w:sz w:val="10"/>
        </w:rPr>
      </w:pPr>
    </w:p>
    <w:p>
      <w:pPr>
        <w:pStyle w:val="BodyText"/>
        <w:spacing w:line="360" w:lineRule="auto" w:before="73"/>
        <w:ind w:left="781" w:right="497"/>
        <w:jc w:val="both"/>
      </w:pPr>
      <w:r>
        <w:rPr/>
        <w:t>Las truchas se mantuvieron en el SRA hasta dos horas antes de las pruebas. Se capturaron los organismos suficientes para llegar a la densidad y el peso establecidos (tabla 13). Las mediciones de oxígeno se realizaron después de pasar el periodo de aclimatación al respirómetro (2 h). Las pruebas del factor alimentación con el valor mayor, se iniciaron 2.5 h después de introducir los peces al respirómetro y solamente cuando se observó que las truchas ingerían el alimento 30 min antes de empezar la prueba.</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before="0"/>
        <w:ind w:left="2336" w:right="948" w:firstLine="0"/>
        <w:jc w:val="left"/>
        <w:rPr>
          <w:b/>
          <w:sz w:val="18"/>
        </w:rPr>
      </w:pPr>
      <w:r>
        <w:rPr>
          <w:b/>
          <w:sz w:val="18"/>
        </w:rPr>
        <w:t>Tabla 13. Diseño de 16 pruebas Plackett – Burman (Wheeler, 1989).</w:t>
      </w:r>
    </w:p>
    <w:p>
      <w:pPr>
        <w:pStyle w:val="BodyText"/>
        <w:spacing w:before="10"/>
        <w:rPr>
          <w:b/>
          <w:sz w:val="10"/>
        </w:rPr>
      </w:pPr>
    </w:p>
    <w:tbl>
      <w:tblPr>
        <w:tblW w:w="0" w:type="auto"/>
        <w:jc w:val="left"/>
        <w:tblInd w:w="21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461"/>
        <w:gridCol w:w="458"/>
        <w:gridCol w:w="461"/>
        <w:gridCol w:w="461"/>
        <w:gridCol w:w="1198"/>
        <w:gridCol w:w="461"/>
        <w:gridCol w:w="458"/>
        <w:gridCol w:w="461"/>
        <w:gridCol w:w="461"/>
      </w:tblGrid>
      <w:tr>
        <w:trPr>
          <w:trHeight w:val="348" w:hRule="exact"/>
        </w:trPr>
        <w:tc>
          <w:tcPr>
            <w:tcW w:w="1200" w:type="dxa"/>
            <w:tcBorders>
              <w:bottom w:val="double" w:sz="6" w:space="0" w:color="000000"/>
              <w:right w:val="single" w:sz="4" w:space="0" w:color="000000"/>
            </w:tcBorders>
          </w:tcPr>
          <w:p>
            <w:pPr>
              <w:pStyle w:val="TableParagraph"/>
              <w:spacing w:before="21"/>
              <w:ind w:left="61" w:right="62"/>
              <w:jc w:val="center"/>
              <w:rPr>
                <w:b/>
                <w:sz w:val="22"/>
              </w:rPr>
            </w:pPr>
            <w:r>
              <w:rPr>
                <w:b/>
                <w:sz w:val="22"/>
              </w:rPr>
              <w:t>Prueba No.</w:t>
            </w:r>
          </w:p>
        </w:tc>
        <w:tc>
          <w:tcPr>
            <w:tcW w:w="461" w:type="dxa"/>
            <w:tcBorders>
              <w:left w:val="single" w:sz="4" w:space="0" w:color="000000"/>
              <w:bottom w:val="double" w:sz="6" w:space="0" w:color="000000"/>
              <w:right w:val="single" w:sz="4" w:space="0" w:color="000000"/>
            </w:tcBorders>
          </w:tcPr>
          <w:p>
            <w:pPr>
              <w:pStyle w:val="TableParagraph"/>
              <w:spacing w:before="21"/>
              <w:ind w:left="155" w:right="0"/>
              <w:jc w:val="left"/>
              <w:rPr>
                <w:b/>
                <w:sz w:val="22"/>
              </w:rPr>
            </w:pPr>
            <w:r>
              <w:rPr>
                <w:b/>
                <w:w w:val="100"/>
                <w:sz w:val="22"/>
              </w:rPr>
              <w:t>A</w:t>
            </w:r>
          </w:p>
        </w:tc>
        <w:tc>
          <w:tcPr>
            <w:tcW w:w="458" w:type="dxa"/>
            <w:tcBorders>
              <w:left w:val="single" w:sz="4" w:space="0" w:color="000000"/>
              <w:bottom w:val="double" w:sz="6" w:space="0" w:color="000000"/>
              <w:right w:val="single" w:sz="4" w:space="0" w:color="000000"/>
            </w:tcBorders>
          </w:tcPr>
          <w:p>
            <w:pPr>
              <w:pStyle w:val="TableParagraph"/>
              <w:spacing w:before="21"/>
              <w:ind w:right="1"/>
              <w:jc w:val="center"/>
              <w:rPr>
                <w:b/>
                <w:sz w:val="22"/>
              </w:rPr>
            </w:pPr>
            <w:r>
              <w:rPr>
                <w:b/>
                <w:w w:val="100"/>
                <w:sz w:val="22"/>
              </w:rPr>
              <w:t>B</w:t>
            </w:r>
          </w:p>
        </w:tc>
        <w:tc>
          <w:tcPr>
            <w:tcW w:w="461" w:type="dxa"/>
            <w:tcBorders>
              <w:left w:val="single" w:sz="4" w:space="0" w:color="000000"/>
              <w:bottom w:val="double" w:sz="6" w:space="0" w:color="000000"/>
              <w:right w:val="single" w:sz="4" w:space="0" w:color="000000"/>
            </w:tcBorders>
          </w:tcPr>
          <w:p>
            <w:pPr>
              <w:pStyle w:val="TableParagraph"/>
              <w:spacing w:before="21"/>
              <w:ind w:right="2"/>
              <w:jc w:val="center"/>
              <w:rPr>
                <w:b/>
                <w:sz w:val="22"/>
              </w:rPr>
            </w:pPr>
            <w:r>
              <w:rPr>
                <w:b/>
                <w:w w:val="100"/>
                <w:sz w:val="22"/>
              </w:rPr>
              <w:t>D</w:t>
            </w:r>
          </w:p>
        </w:tc>
        <w:tc>
          <w:tcPr>
            <w:tcW w:w="461" w:type="dxa"/>
            <w:tcBorders>
              <w:left w:val="single" w:sz="4" w:space="0" w:color="000000"/>
              <w:bottom w:val="double" w:sz="6" w:space="0" w:color="000000"/>
            </w:tcBorders>
          </w:tcPr>
          <w:p>
            <w:pPr>
              <w:pStyle w:val="TableParagraph"/>
              <w:spacing w:before="21"/>
              <w:ind w:right="0"/>
              <w:jc w:val="center"/>
              <w:rPr>
                <w:b/>
                <w:sz w:val="22"/>
              </w:rPr>
            </w:pPr>
            <w:r>
              <w:rPr>
                <w:b/>
                <w:w w:val="100"/>
                <w:sz w:val="22"/>
              </w:rPr>
              <w:t>H</w:t>
            </w:r>
          </w:p>
        </w:tc>
        <w:tc>
          <w:tcPr>
            <w:tcW w:w="1198" w:type="dxa"/>
            <w:tcBorders>
              <w:bottom w:val="double" w:sz="6" w:space="0" w:color="000000"/>
            </w:tcBorders>
          </w:tcPr>
          <w:p>
            <w:pPr>
              <w:pStyle w:val="TableParagraph"/>
              <w:spacing w:before="21"/>
              <w:ind w:left="56" w:right="59"/>
              <w:jc w:val="center"/>
              <w:rPr>
                <w:b/>
                <w:sz w:val="22"/>
              </w:rPr>
            </w:pPr>
            <w:r>
              <w:rPr>
                <w:b/>
                <w:sz w:val="22"/>
              </w:rPr>
              <w:t>Prueba No.</w:t>
            </w:r>
          </w:p>
        </w:tc>
        <w:tc>
          <w:tcPr>
            <w:tcW w:w="461" w:type="dxa"/>
            <w:tcBorders>
              <w:bottom w:val="double" w:sz="6" w:space="0" w:color="000000"/>
            </w:tcBorders>
          </w:tcPr>
          <w:p>
            <w:pPr>
              <w:pStyle w:val="TableParagraph"/>
              <w:spacing w:before="21"/>
              <w:ind w:right="3"/>
              <w:jc w:val="center"/>
              <w:rPr>
                <w:b/>
                <w:sz w:val="22"/>
              </w:rPr>
            </w:pPr>
            <w:r>
              <w:rPr>
                <w:b/>
                <w:w w:val="100"/>
                <w:sz w:val="22"/>
              </w:rPr>
              <w:t>A</w:t>
            </w:r>
          </w:p>
        </w:tc>
        <w:tc>
          <w:tcPr>
            <w:tcW w:w="458" w:type="dxa"/>
            <w:tcBorders>
              <w:bottom w:val="double" w:sz="6" w:space="0" w:color="000000"/>
            </w:tcBorders>
          </w:tcPr>
          <w:p>
            <w:pPr>
              <w:pStyle w:val="TableParagraph"/>
              <w:spacing w:before="21"/>
              <w:ind w:left="1" w:right="0"/>
              <w:jc w:val="center"/>
              <w:rPr>
                <w:b/>
                <w:sz w:val="22"/>
              </w:rPr>
            </w:pPr>
            <w:r>
              <w:rPr>
                <w:b/>
                <w:w w:val="100"/>
                <w:sz w:val="22"/>
              </w:rPr>
              <w:t>B</w:t>
            </w:r>
          </w:p>
        </w:tc>
        <w:tc>
          <w:tcPr>
            <w:tcW w:w="461" w:type="dxa"/>
            <w:tcBorders>
              <w:bottom w:val="double" w:sz="6" w:space="0" w:color="000000"/>
            </w:tcBorders>
          </w:tcPr>
          <w:p>
            <w:pPr>
              <w:pStyle w:val="TableParagraph"/>
              <w:spacing w:before="21"/>
              <w:ind w:right="2"/>
              <w:jc w:val="center"/>
              <w:rPr>
                <w:b/>
                <w:sz w:val="22"/>
              </w:rPr>
            </w:pPr>
            <w:r>
              <w:rPr>
                <w:b/>
                <w:w w:val="100"/>
                <w:sz w:val="22"/>
              </w:rPr>
              <w:t>D</w:t>
            </w:r>
          </w:p>
        </w:tc>
        <w:tc>
          <w:tcPr>
            <w:tcW w:w="461" w:type="dxa"/>
            <w:tcBorders>
              <w:bottom w:val="double" w:sz="6" w:space="0" w:color="000000"/>
            </w:tcBorders>
          </w:tcPr>
          <w:p>
            <w:pPr>
              <w:pStyle w:val="TableParagraph"/>
              <w:spacing w:before="21"/>
              <w:ind w:right="4"/>
              <w:jc w:val="center"/>
              <w:rPr>
                <w:b/>
                <w:sz w:val="22"/>
              </w:rPr>
            </w:pPr>
            <w:r>
              <w:rPr>
                <w:b/>
                <w:w w:val="100"/>
                <w:sz w:val="22"/>
              </w:rPr>
              <w:t>H</w:t>
            </w:r>
          </w:p>
        </w:tc>
      </w:tr>
      <w:tr>
        <w:trPr>
          <w:trHeight w:val="343" w:hRule="exact"/>
        </w:trPr>
        <w:tc>
          <w:tcPr>
            <w:tcW w:w="1200" w:type="dxa"/>
            <w:tcBorders>
              <w:top w:val="double" w:sz="6" w:space="0" w:color="000000"/>
              <w:bottom w:val="single" w:sz="4" w:space="0" w:color="000000"/>
              <w:right w:val="single" w:sz="4" w:space="0" w:color="000000"/>
            </w:tcBorders>
          </w:tcPr>
          <w:p>
            <w:pPr>
              <w:pStyle w:val="TableParagraph"/>
              <w:spacing w:before="45"/>
              <w:ind w:right="1"/>
              <w:jc w:val="center"/>
              <w:rPr>
                <w:sz w:val="22"/>
              </w:rPr>
            </w:pPr>
            <w:r>
              <w:rPr>
                <w:w w:val="100"/>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left="189" w:right="0"/>
              <w:jc w:val="left"/>
              <w:rPr>
                <w:sz w:val="22"/>
              </w:rPr>
            </w:pPr>
            <w:r>
              <w:rPr>
                <w:w w:val="100"/>
                <w:sz w:val="22"/>
              </w:rPr>
              <w:t>-</w:t>
            </w:r>
          </w:p>
        </w:tc>
        <w:tc>
          <w:tcPr>
            <w:tcW w:w="458" w:type="dxa"/>
            <w:tcBorders>
              <w:top w:val="double" w:sz="6" w:space="0" w:color="000000"/>
              <w:left w:val="single" w:sz="4" w:space="0" w:color="000000"/>
              <w:bottom w:val="single" w:sz="4" w:space="0" w:color="000000"/>
              <w:right w:val="single" w:sz="4" w:space="0" w:color="000000"/>
            </w:tcBorders>
          </w:tcPr>
          <w:p>
            <w:pPr>
              <w:pStyle w:val="TableParagraph"/>
              <w:spacing w:before="45"/>
              <w:ind w:right="5"/>
              <w:jc w:val="center"/>
              <w:rPr>
                <w:sz w:val="22"/>
              </w:rPr>
            </w:pPr>
            <w:r>
              <w:rPr>
                <w:w w:val="100"/>
                <w:sz w:val="22"/>
              </w:rPr>
              <w:t>-</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2"/>
              <w:jc w:val="center"/>
              <w:rPr>
                <w:sz w:val="22"/>
              </w:rPr>
            </w:pPr>
            <w:r>
              <w:rPr>
                <w:w w:val="100"/>
                <w:sz w:val="22"/>
              </w:rPr>
              <w:t>-</w:t>
            </w:r>
          </w:p>
        </w:tc>
        <w:tc>
          <w:tcPr>
            <w:tcW w:w="461" w:type="dxa"/>
            <w:tcBorders>
              <w:top w:val="double" w:sz="6" w:space="0" w:color="000000"/>
              <w:left w:val="single" w:sz="4" w:space="0" w:color="000000"/>
              <w:bottom w:val="single" w:sz="4" w:space="0" w:color="000000"/>
            </w:tcBorders>
          </w:tcPr>
          <w:p>
            <w:pPr>
              <w:pStyle w:val="TableParagraph"/>
              <w:spacing w:before="45"/>
              <w:ind w:right="0"/>
              <w:jc w:val="center"/>
              <w:rPr>
                <w:sz w:val="22"/>
              </w:rPr>
            </w:pPr>
            <w:r>
              <w:rPr>
                <w:w w:val="100"/>
                <w:sz w:val="22"/>
              </w:rPr>
              <w:t>-</w:t>
            </w:r>
          </w:p>
        </w:tc>
        <w:tc>
          <w:tcPr>
            <w:tcW w:w="1198" w:type="dxa"/>
            <w:tcBorders>
              <w:top w:val="double" w:sz="6" w:space="0" w:color="000000"/>
              <w:bottom w:val="single" w:sz="4" w:space="0" w:color="000000"/>
            </w:tcBorders>
          </w:tcPr>
          <w:p>
            <w:pPr>
              <w:pStyle w:val="TableParagraph"/>
              <w:spacing w:before="45"/>
              <w:ind w:right="5"/>
              <w:jc w:val="center"/>
              <w:rPr>
                <w:sz w:val="22"/>
              </w:rPr>
            </w:pPr>
            <w:r>
              <w:rPr>
                <w:w w:val="100"/>
                <w:sz w:val="22"/>
              </w:rPr>
              <w:t>9</w:t>
            </w:r>
          </w:p>
        </w:tc>
        <w:tc>
          <w:tcPr>
            <w:tcW w:w="461" w:type="dxa"/>
            <w:tcBorders>
              <w:top w:val="double" w:sz="6" w:space="0" w:color="000000"/>
              <w:bottom w:val="single" w:sz="4" w:space="0" w:color="000000"/>
            </w:tcBorders>
          </w:tcPr>
          <w:p>
            <w:pPr>
              <w:pStyle w:val="TableParagraph"/>
              <w:spacing w:before="45"/>
              <w:ind w:right="3"/>
              <w:jc w:val="center"/>
              <w:rPr>
                <w:sz w:val="22"/>
              </w:rPr>
            </w:pPr>
            <w:r>
              <w:rPr>
                <w:w w:val="100"/>
                <w:sz w:val="22"/>
              </w:rPr>
              <w:t>+</w:t>
            </w:r>
          </w:p>
        </w:tc>
        <w:tc>
          <w:tcPr>
            <w:tcW w:w="458" w:type="dxa"/>
            <w:tcBorders>
              <w:top w:val="double" w:sz="6" w:space="0" w:color="000000"/>
              <w:bottom w:val="single" w:sz="4" w:space="0" w:color="000000"/>
            </w:tcBorders>
          </w:tcPr>
          <w:p>
            <w:pPr>
              <w:pStyle w:val="TableParagraph"/>
              <w:spacing w:before="45"/>
              <w:ind w:right="1"/>
              <w:jc w:val="center"/>
              <w:rPr>
                <w:sz w:val="22"/>
              </w:rPr>
            </w:pPr>
            <w:r>
              <w:rPr>
                <w:w w:val="100"/>
                <w:sz w:val="22"/>
              </w:rPr>
              <w:t>+</w:t>
            </w:r>
          </w:p>
        </w:tc>
        <w:tc>
          <w:tcPr>
            <w:tcW w:w="461" w:type="dxa"/>
            <w:tcBorders>
              <w:top w:val="double" w:sz="6" w:space="0" w:color="000000"/>
              <w:bottom w:val="single" w:sz="4" w:space="0" w:color="000000"/>
            </w:tcBorders>
          </w:tcPr>
          <w:p>
            <w:pPr>
              <w:pStyle w:val="TableParagraph"/>
              <w:spacing w:before="45"/>
              <w:ind w:right="2"/>
              <w:jc w:val="center"/>
              <w:rPr>
                <w:sz w:val="22"/>
              </w:rPr>
            </w:pPr>
            <w:r>
              <w:rPr>
                <w:w w:val="100"/>
                <w:sz w:val="22"/>
              </w:rPr>
              <w:t>-</w:t>
            </w:r>
          </w:p>
        </w:tc>
        <w:tc>
          <w:tcPr>
            <w:tcW w:w="461" w:type="dxa"/>
            <w:tcBorders>
              <w:top w:val="double" w:sz="6" w:space="0" w:color="000000"/>
              <w:bottom w:val="single" w:sz="4" w:space="0" w:color="000000"/>
            </w:tcBorders>
          </w:tcPr>
          <w:p>
            <w:pPr>
              <w:pStyle w:val="TableParagraph"/>
              <w:spacing w:before="45"/>
              <w:ind w:right="2"/>
              <w:jc w:val="center"/>
              <w:rPr>
                <w:sz w:val="22"/>
              </w:rPr>
            </w:pPr>
            <w:r>
              <w:rPr>
                <w:w w:val="100"/>
                <w:sz w:val="22"/>
              </w:rPr>
              <w:t>-</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right="1"/>
              <w:jc w:val="center"/>
              <w:rPr>
                <w:sz w:val="22"/>
              </w:rPr>
            </w:pPr>
            <w:r>
              <w:rPr>
                <w:w w:val="100"/>
                <w:sz w:val="22"/>
              </w:rPr>
              <w:t>2</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left="189" w:right="0"/>
              <w:jc w:val="left"/>
              <w:rPr>
                <w:sz w:val="22"/>
              </w:rPr>
            </w:pPr>
            <w:r>
              <w:rPr>
                <w:w w:val="100"/>
                <w:sz w:val="22"/>
              </w:rPr>
              <w:t>-</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5"/>
              <w:jc w:val="center"/>
              <w:rPr>
                <w:sz w:val="22"/>
              </w:rPr>
            </w:pPr>
            <w:r>
              <w:rPr>
                <w:w w:val="100"/>
                <w:sz w:val="22"/>
              </w:rPr>
              <w:t>-</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2"/>
              <w:jc w:val="center"/>
              <w:rPr>
                <w:sz w:val="22"/>
              </w:rPr>
            </w:pPr>
            <w:r>
              <w:rPr>
                <w:w w:val="100"/>
                <w:sz w:val="22"/>
              </w:rPr>
              <w:t>-</w:t>
            </w:r>
          </w:p>
        </w:tc>
        <w:tc>
          <w:tcPr>
            <w:tcW w:w="461" w:type="dxa"/>
            <w:tcBorders>
              <w:top w:val="single" w:sz="4" w:space="0" w:color="000000"/>
              <w:left w:val="single" w:sz="4" w:space="0" w:color="000000"/>
              <w:bottom w:val="single" w:sz="4" w:space="0" w:color="000000"/>
            </w:tcBorders>
          </w:tcPr>
          <w:p>
            <w:pPr>
              <w:pStyle w:val="TableParagraph"/>
              <w:ind w:right="0"/>
              <w:jc w:val="center"/>
              <w:rPr>
                <w:sz w:val="22"/>
              </w:rPr>
            </w:pPr>
            <w:r>
              <w:rPr>
                <w:w w:val="100"/>
                <w:sz w:val="22"/>
              </w:rPr>
              <w:t>+</w:t>
            </w:r>
          </w:p>
        </w:tc>
        <w:tc>
          <w:tcPr>
            <w:tcW w:w="1198" w:type="dxa"/>
            <w:tcBorders>
              <w:top w:val="single" w:sz="4" w:space="0" w:color="000000"/>
              <w:bottom w:val="single" w:sz="4" w:space="0" w:color="000000"/>
            </w:tcBorders>
          </w:tcPr>
          <w:p>
            <w:pPr>
              <w:pStyle w:val="TableParagraph"/>
              <w:ind w:left="56" w:right="57"/>
              <w:jc w:val="center"/>
              <w:rPr>
                <w:sz w:val="22"/>
              </w:rPr>
            </w:pPr>
            <w:r>
              <w:rPr>
                <w:sz w:val="22"/>
              </w:rPr>
              <w:t>10</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c>
          <w:tcPr>
            <w:tcW w:w="458" w:type="dxa"/>
            <w:tcBorders>
              <w:top w:val="single" w:sz="4" w:space="0" w:color="000000"/>
              <w:bottom w:val="single" w:sz="4" w:space="0" w:color="000000"/>
            </w:tcBorders>
          </w:tcPr>
          <w:p>
            <w:pPr>
              <w:pStyle w:val="TableParagraph"/>
              <w:ind w:right="0"/>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2"/>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right="1"/>
              <w:jc w:val="center"/>
              <w:rPr>
                <w:sz w:val="22"/>
              </w:rPr>
            </w:pPr>
            <w:r>
              <w:rPr>
                <w:w w:val="100"/>
                <w:sz w:val="22"/>
              </w:rPr>
              <w:t>3</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left="189" w:right="0"/>
              <w:jc w:val="left"/>
              <w:rPr>
                <w:sz w:val="22"/>
              </w:rPr>
            </w:pPr>
            <w:r>
              <w:rPr>
                <w:w w:val="100"/>
                <w:sz w:val="22"/>
              </w:rPr>
              <w:t>-</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5"/>
              <w:jc w:val="center"/>
              <w:rPr>
                <w:sz w:val="22"/>
              </w:rPr>
            </w:pPr>
            <w:r>
              <w:rPr>
                <w:w w:val="100"/>
                <w:sz w:val="22"/>
              </w:rPr>
              <w:t>-</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3"/>
              <w:jc w:val="center"/>
              <w:rPr>
                <w:sz w:val="22"/>
              </w:rPr>
            </w:pPr>
            <w:r>
              <w:rPr>
                <w:w w:val="100"/>
                <w:sz w:val="22"/>
              </w:rPr>
              <w:t>+</w:t>
            </w:r>
          </w:p>
        </w:tc>
        <w:tc>
          <w:tcPr>
            <w:tcW w:w="461" w:type="dxa"/>
            <w:tcBorders>
              <w:top w:val="single" w:sz="4" w:space="0" w:color="000000"/>
              <w:left w:val="single" w:sz="4" w:space="0" w:color="000000"/>
              <w:bottom w:val="single" w:sz="4" w:space="0" w:color="000000"/>
            </w:tcBorders>
          </w:tcPr>
          <w:p>
            <w:pPr>
              <w:pStyle w:val="TableParagraph"/>
              <w:ind w:right="0"/>
              <w:jc w:val="center"/>
              <w:rPr>
                <w:sz w:val="22"/>
              </w:rPr>
            </w:pPr>
            <w:r>
              <w:rPr>
                <w:w w:val="100"/>
                <w:sz w:val="22"/>
              </w:rPr>
              <w:t>+</w:t>
            </w:r>
          </w:p>
        </w:tc>
        <w:tc>
          <w:tcPr>
            <w:tcW w:w="1198" w:type="dxa"/>
            <w:tcBorders>
              <w:top w:val="single" w:sz="4" w:space="0" w:color="000000"/>
              <w:bottom w:val="single" w:sz="4" w:space="0" w:color="000000"/>
            </w:tcBorders>
          </w:tcPr>
          <w:p>
            <w:pPr>
              <w:pStyle w:val="TableParagraph"/>
              <w:ind w:left="56" w:right="57"/>
              <w:jc w:val="center"/>
              <w:rPr>
                <w:sz w:val="22"/>
              </w:rPr>
            </w:pPr>
            <w:r>
              <w:rPr>
                <w:sz w:val="22"/>
              </w:rPr>
              <w:t>11</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c>
          <w:tcPr>
            <w:tcW w:w="458" w:type="dxa"/>
            <w:tcBorders>
              <w:top w:val="single" w:sz="4" w:space="0" w:color="000000"/>
              <w:bottom w:val="single" w:sz="4" w:space="0" w:color="000000"/>
            </w:tcBorders>
          </w:tcPr>
          <w:p>
            <w:pPr>
              <w:pStyle w:val="TableParagraph"/>
              <w:ind w:right="0"/>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right="1"/>
              <w:jc w:val="center"/>
              <w:rPr>
                <w:sz w:val="22"/>
              </w:rPr>
            </w:pPr>
            <w:r>
              <w:rPr>
                <w:w w:val="100"/>
                <w:sz w:val="22"/>
              </w:rPr>
              <w:t>4</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left="189" w:right="0"/>
              <w:jc w:val="left"/>
              <w:rPr>
                <w:sz w:val="22"/>
              </w:rPr>
            </w:pPr>
            <w:r>
              <w:rPr>
                <w:w w:val="100"/>
                <w:sz w:val="22"/>
              </w:rPr>
              <w:t>-</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5"/>
              <w:jc w:val="center"/>
              <w:rPr>
                <w:sz w:val="22"/>
              </w:rPr>
            </w:pPr>
            <w:r>
              <w:rPr>
                <w:w w:val="100"/>
                <w:sz w:val="22"/>
              </w:rPr>
              <w:t>-</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3"/>
              <w:jc w:val="center"/>
              <w:rPr>
                <w:sz w:val="22"/>
              </w:rPr>
            </w:pPr>
            <w:r>
              <w:rPr>
                <w:w w:val="100"/>
                <w:sz w:val="22"/>
              </w:rPr>
              <w:t>+</w:t>
            </w:r>
          </w:p>
        </w:tc>
        <w:tc>
          <w:tcPr>
            <w:tcW w:w="461" w:type="dxa"/>
            <w:tcBorders>
              <w:top w:val="single" w:sz="4" w:space="0" w:color="000000"/>
              <w:left w:val="single" w:sz="4" w:space="0" w:color="000000"/>
              <w:bottom w:val="single" w:sz="4" w:space="0" w:color="000000"/>
            </w:tcBorders>
          </w:tcPr>
          <w:p>
            <w:pPr>
              <w:pStyle w:val="TableParagraph"/>
              <w:ind w:right="0"/>
              <w:jc w:val="center"/>
              <w:rPr>
                <w:sz w:val="22"/>
              </w:rPr>
            </w:pPr>
            <w:r>
              <w:rPr>
                <w:w w:val="100"/>
                <w:sz w:val="22"/>
              </w:rPr>
              <w:t>-</w:t>
            </w:r>
          </w:p>
        </w:tc>
        <w:tc>
          <w:tcPr>
            <w:tcW w:w="1198" w:type="dxa"/>
            <w:tcBorders>
              <w:top w:val="single" w:sz="4" w:space="0" w:color="000000"/>
              <w:bottom w:val="single" w:sz="4" w:space="0" w:color="000000"/>
            </w:tcBorders>
          </w:tcPr>
          <w:p>
            <w:pPr>
              <w:pStyle w:val="TableParagraph"/>
              <w:ind w:left="56" w:right="57"/>
              <w:jc w:val="center"/>
              <w:rPr>
                <w:sz w:val="22"/>
              </w:rPr>
            </w:pPr>
            <w:r>
              <w:rPr>
                <w:sz w:val="22"/>
              </w:rPr>
              <w:t>12</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c>
          <w:tcPr>
            <w:tcW w:w="458" w:type="dxa"/>
            <w:tcBorders>
              <w:top w:val="single" w:sz="4" w:space="0" w:color="000000"/>
              <w:bottom w:val="single" w:sz="4" w:space="0" w:color="000000"/>
            </w:tcBorders>
          </w:tcPr>
          <w:p>
            <w:pPr>
              <w:pStyle w:val="TableParagraph"/>
              <w:ind w:right="0"/>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2"/>
              <w:jc w:val="center"/>
              <w:rPr>
                <w:sz w:val="22"/>
              </w:rPr>
            </w:pPr>
            <w:r>
              <w:rPr>
                <w:w w:val="100"/>
                <w:sz w:val="22"/>
              </w:rPr>
              <w:t>-</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spacing w:before="30"/>
              <w:ind w:right="1"/>
              <w:jc w:val="center"/>
              <w:rPr>
                <w:sz w:val="22"/>
              </w:rPr>
            </w:pPr>
            <w:r>
              <w:rPr>
                <w:w w:val="100"/>
                <w:sz w:val="22"/>
              </w:rPr>
              <w:t>5</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left="189" w:right="0"/>
              <w:jc w:val="left"/>
              <w:rPr>
                <w:sz w:val="22"/>
              </w:rPr>
            </w:pPr>
            <w:r>
              <w:rPr>
                <w:w w:val="100"/>
                <w:sz w:val="22"/>
              </w:rPr>
              <w:t>-</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5"/>
              <w:jc w:val="center"/>
              <w:rPr>
                <w:sz w:val="22"/>
              </w:rPr>
            </w:pPr>
            <w:r>
              <w:rPr>
                <w:w w:val="100"/>
                <w:sz w:val="22"/>
              </w:rPr>
              <w:t>+</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3"/>
              <w:jc w:val="center"/>
              <w:rPr>
                <w:sz w:val="22"/>
              </w:rPr>
            </w:pPr>
            <w:r>
              <w:rPr>
                <w:w w:val="100"/>
                <w:sz w:val="22"/>
              </w:rPr>
              <w:t>+</w:t>
            </w:r>
          </w:p>
        </w:tc>
        <w:tc>
          <w:tcPr>
            <w:tcW w:w="461" w:type="dxa"/>
            <w:tcBorders>
              <w:top w:val="single" w:sz="4" w:space="0" w:color="000000"/>
              <w:left w:val="single" w:sz="4" w:space="0" w:color="000000"/>
              <w:bottom w:val="single" w:sz="4" w:space="0" w:color="000000"/>
            </w:tcBorders>
          </w:tcPr>
          <w:p>
            <w:pPr>
              <w:pStyle w:val="TableParagraph"/>
              <w:spacing w:before="30"/>
              <w:ind w:right="0"/>
              <w:jc w:val="center"/>
              <w:rPr>
                <w:sz w:val="22"/>
              </w:rPr>
            </w:pPr>
            <w:r>
              <w:rPr>
                <w:w w:val="100"/>
                <w:sz w:val="22"/>
              </w:rPr>
              <w:t>-</w:t>
            </w:r>
          </w:p>
        </w:tc>
        <w:tc>
          <w:tcPr>
            <w:tcW w:w="1198" w:type="dxa"/>
            <w:tcBorders>
              <w:top w:val="single" w:sz="4" w:space="0" w:color="000000"/>
              <w:bottom w:val="single" w:sz="4" w:space="0" w:color="000000"/>
            </w:tcBorders>
          </w:tcPr>
          <w:p>
            <w:pPr>
              <w:pStyle w:val="TableParagraph"/>
              <w:spacing w:before="30"/>
              <w:ind w:left="56" w:right="57"/>
              <w:jc w:val="center"/>
              <w:rPr>
                <w:sz w:val="22"/>
              </w:rPr>
            </w:pPr>
            <w:r>
              <w:rPr>
                <w:sz w:val="22"/>
              </w:rPr>
              <w:t>13</w:t>
            </w:r>
          </w:p>
        </w:tc>
        <w:tc>
          <w:tcPr>
            <w:tcW w:w="461" w:type="dxa"/>
            <w:tcBorders>
              <w:top w:val="single" w:sz="4" w:space="0" w:color="000000"/>
              <w:bottom w:val="single" w:sz="4" w:space="0" w:color="000000"/>
            </w:tcBorders>
          </w:tcPr>
          <w:p>
            <w:pPr>
              <w:pStyle w:val="TableParagraph"/>
              <w:spacing w:before="30"/>
              <w:ind w:right="3"/>
              <w:jc w:val="center"/>
              <w:rPr>
                <w:sz w:val="22"/>
              </w:rPr>
            </w:pPr>
            <w:r>
              <w:rPr>
                <w:w w:val="100"/>
                <w:sz w:val="22"/>
              </w:rPr>
              <w:t>+</w:t>
            </w:r>
          </w:p>
        </w:tc>
        <w:tc>
          <w:tcPr>
            <w:tcW w:w="458" w:type="dxa"/>
            <w:tcBorders>
              <w:top w:val="single" w:sz="4" w:space="0" w:color="000000"/>
              <w:bottom w:val="single" w:sz="4" w:space="0" w:color="000000"/>
            </w:tcBorders>
          </w:tcPr>
          <w:p>
            <w:pPr>
              <w:pStyle w:val="TableParagraph"/>
              <w:spacing w:before="30"/>
              <w:ind w:right="1"/>
              <w:jc w:val="center"/>
              <w:rPr>
                <w:sz w:val="22"/>
              </w:rPr>
            </w:pPr>
            <w:r>
              <w:rPr>
                <w:w w:val="100"/>
                <w:sz w:val="22"/>
              </w:rPr>
              <w:t>-</w:t>
            </w:r>
          </w:p>
        </w:tc>
        <w:tc>
          <w:tcPr>
            <w:tcW w:w="461" w:type="dxa"/>
            <w:tcBorders>
              <w:top w:val="single" w:sz="4" w:space="0" w:color="000000"/>
              <w:bottom w:val="single" w:sz="4" w:space="0" w:color="000000"/>
            </w:tcBorders>
          </w:tcPr>
          <w:p>
            <w:pPr>
              <w:pStyle w:val="TableParagraph"/>
              <w:spacing w:before="30"/>
              <w:ind w:right="3"/>
              <w:jc w:val="center"/>
              <w:rPr>
                <w:sz w:val="22"/>
              </w:rPr>
            </w:pPr>
            <w:r>
              <w:rPr>
                <w:w w:val="100"/>
                <w:sz w:val="22"/>
              </w:rPr>
              <w:t>+</w:t>
            </w:r>
          </w:p>
        </w:tc>
        <w:tc>
          <w:tcPr>
            <w:tcW w:w="461" w:type="dxa"/>
            <w:tcBorders>
              <w:top w:val="single" w:sz="4" w:space="0" w:color="000000"/>
              <w:bottom w:val="single" w:sz="4" w:space="0" w:color="000000"/>
            </w:tcBorders>
          </w:tcPr>
          <w:p>
            <w:pPr>
              <w:pStyle w:val="TableParagraph"/>
              <w:spacing w:before="30"/>
              <w:ind w:right="2"/>
              <w:jc w:val="center"/>
              <w:rPr>
                <w:sz w:val="22"/>
              </w:rPr>
            </w:pPr>
            <w:r>
              <w:rPr>
                <w:w w:val="100"/>
                <w:sz w:val="22"/>
              </w:rPr>
              <w:t>-</w:t>
            </w:r>
          </w:p>
        </w:tc>
      </w:tr>
      <w:tr>
        <w:trPr>
          <w:trHeight w:val="312" w:hRule="exact"/>
        </w:trPr>
        <w:tc>
          <w:tcPr>
            <w:tcW w:w="1200" w:type="dxa"/>
            <w:tcBorders>
              <w:top w:val="single" w:sz="4" w:space="0" w:color="000000"/>
              <w:bottom w:val="single" w:sz="4" w:space="0" w:color="000000"/>
              <w:right w:val="single" w:sz="4" w:space="0" w:color="000000"/>
            </w:tcBorders>
          </w:tcPr>
          <w:p>
            <w:pPr>
              <w:pStyle w:val="TableParagraph"/>
              <w:spacing w:before="30"/>
              <w:ind w:right="1"/>
              <w:jc w:val="center"/>
              <w:rPr>
                <w:sz w:val="22"/>
              </w:rPr>
            </w:pPr>
            <w:r>
              <w:rPr>
                <w:w w:val="100"/>
                <w:sz w:val="22"/>
              </w:rPr>
              <w:t>6</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left="189" w:right="0"/>
              <w:jc w:val="left"/>
              <w:rPr>
                <w:sz w:val="22"/>
              </w:rPr>
            </w:pPr>
            <w:r>
              <w:rPr>
                <w:w w:val="100"/>
                <w:sz w:val="22"/>
              </w:rPr>
              <w:t>-</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5"/>
              <w:jc w:val="center"/>
              <w:rPr>
                <w:sz w:val="22"/>
              </w:rPr>
            </w:pPr>
            <w:r>
              <w:rPr>
                <w:w w:val="100"/>
                <w:sz w:val="22"/>
              </w:rPr>
              <w:t>+</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3"/>
              <w:jc w:val="center"/>
              <w:rPr>
                <w:sz w:val="22"/>
              </w:rPr>
            </w:pPr>
            <w:r>
              <w:rPr>
                <w:w w:val="100"/>
                <w:sz w:val="22"/>
              </w:rPr>
              <w:t>+</w:t>
            </w:r>
          </w:p>
        </w:tc>
        <w:tc>
          <w:tcPr>
            <w:tcW w:w="461" w:type="dxa"/>
            <w:tcBorders>
              <w:top w:val="single" w:sz="4" w:space="0" w:color="000000"/>
              <w:left w:val="single" w:sz="4" w:space="0" w:color="000000"/>
              <w:bottom w:val="single" w:sz="4" w:space="0" w:color="000000"/>
            </w:tcBorders>
          </w:tcPr>
          <w:p>
            <w:pPr>
              <w:pStyle w:val="TableParagraph"/>
              <w:spacing w:before="30"/>
              <w:ind w:right="0"/>
              <w:jc w:val="center"/>
              <w:rPr>
                <w:sz w:val="22"/>
              </w:rPr>
            </w:pPr>
            <w:r>
              <w:rPr>
                <w:w w:val="100"/>
                <w:sz w:val="22"/>
              </w:rPr>
              <w:t>+</w:t>
            </w:r>
          </w:p>
        </w:tc>
        <w:tc>
          <w:tcPr>
            <w:tcW w:w="1198" w:type="dxa"/>
            <w:tcBorders>
              <w:top w:val="single" w:sz="4" w:space="0" w:color="000000"/>
              <w:bottom w:val="single" w:sz="4" w:space="0" w:color="000000"/>
            </w:tcBorders>
          </w:tcPr>
          <w:p>
            <w:pPr>
              <w:pStyle w:val="TableParagraph"/>
              <w:spacing w:before="30"/>
              <w:ind w:left="56" w:right="57"/>
              <w:jc w:val="center"/>
              <w:rPr>
                <w:sz w:val="22"/>
              </w:rPr>
            </w:pPr>
            <w:r>
              <w:rPr>
                <w:sz w:val="22"/>
              </w:rPr>
              <w:t>14</w:t>
            </w:r>
          </w:p>
        </w:tc>
        <w:tc>
          <w:tcPr>
            <w:tcW w:w="461" w:type="dxa"/>
            <w:tcBorders>
              <w:top w:val="single" w:sz="4" w:space="0" w:color="000000"/>
              <w:bottom w:val="single" w:sz="4" w:space="0" w:color="000000"/>
            </w:tcBorders>
          </w:tcPr>
          <w:p>
            <w:pPr>
              <w:pStyle w:val="TableParagraph"/>
              <w:spacing w:before="30"/>
              <w:ind w:right="3"/>
              <w:jc w:val="center"/>
              <w:rPr>
                <w:sz w:val="22"/>
              </w:rPr>
            </w:pPr>
            <w:r>
              <w:rPr>
                <w:w w:val="100"/>
                <w:sz w:val="22"/>
              </w:rPr>
              <w:t>+</w:t>
            </w:r>
          </w:p>
        </w:tc>
        <w:tc>
          <w:tcPr>
            <w:tcW w:w="458" w:type="dxa"/>
            <w:tcBorders>
              <w:top w:val="single" w:sz="4" w:space="0" w:color="000000"/>
              <w:bottom w:val="single" w:sz="4" w:space="0" w:color="000000"/>
            </w:tcBorders>
          </w:tcPr>
          <w:p>
            <w:pPr>
              <w:pStyle w:val="TableParagraph"/>
              <w:spacing w:before="30"/>
              <w:ind w:right="1"/>
              <w:jc w:val="center"/>
              <w:rPr>
                <w:sz w:val="22"/>
              </w:rPr>
            </w:pPr>
            <w:r>
              <w:rPr>
                <w:w w:val="100"/>
                <w:sz w:val="22"/>
              </w:rPr>
              <w:t>-</w:t>
            </w:r>
          </w:p>
        </w:tc>
        <w:tc>
          <w:tcPr>
            <w:tcW w:w="461" w:type="dxa"/>
            <w:tcBorders>
              <w:top w:val="single" w:sz="4" w:space="0" w:color="000000"/>
              <w:bottom w:val="single" w:sz="4" w:space="0" w:color="000000"/>
            </w:tcBorders>
          </w:tcPr>
          <w:p>
            <w:pPr>
              <w:pStyle w:val="TableParagraph"/>
              <w:spacing w:before="30"/>
              <w:ind w:right="3"/>
              <w:jc w:val="center"/>
              <w:rPr>
                <w:sz w:val="22"/>
              </w:rPr>
            </w:pPr>
            <w:r>
              <w:rPr>
                <w:w w:val="100"/>
                <w:sz w:val="22"/>
              </w:rPr>
              <w:t>+</w:t>
            </w:r>
          </w:p>
        </w:tc>
        <w:tc>
          <w:tcPr>
            <w:tcW w:w="461" w:type="dxa"/>
            <w:tcBorders>
              <w:top w:val="single" w:sz="4" w:space="0" w:color="000000"/>
              <w:bottom w:val="single" w:sz="4" w:space="0" w:color="000000"/>
            </w:tcBorders>
          </w:tcPr>
          <w:p>
            <w:pPr>
              <w:pStyle w:val="TableParagraph"/>
              <w:spacing w:before="30"/>
              <w:ind w:right="3"/>
              <w:jc w:val="center"/>
              <w:rPr>
                <w:sz w:val="22"/>
              </w:rPr>
            </w:pPr>
            <w:r>
              <w:rPr>
                <w:w w:val="100"/>
                <w:sz w:val="22"/>
              </w:rPr>
              <w:t>+</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right="1"/>
              <w:jc w:val="center"/>
              <w:rPr>
                <w:sz w:val="22"/>
              </w:rPr>
            </w:pPr>
            <w:r>
              <w:rPr>
                <w:w w:val="100"/>
                <w:sz w:val="22"/>
              </w:rPr>
              <w:t>7</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left="189" w:right="0"/>
              <w:jc w:val="left"/>
              <w:rPr>
                <w:sz w:val="22"/>
              </w:rPr>
            </w:pPr>
            <w:r>
              <w:rPr>
                <w:w w:val="100"/>
                <w:sz w:val="22"/>
              </w:rPr>
              <w:t>-</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5"/>
              <w:jc w:val="center"/>
              <w:rPr>
                <w:sz w:val="22"/>
              </w:rPr>
            </w:pPr>
            <w:r>
              <w:rPr>
                <w:w w:val="100"/>
                <w:sz w:val="22"/>
              </w:rPr>
              <w:t>+</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2"/>
              <w:jc w:val="center"/>
              <w:rPr>
                <w:sz w:val="22"/>
              </w:rPr>
            </w:pPr>
            <w:r>
              <w:rPr>
                <w:w w:val="100"/>
                <w:sz w:val="22"/>
              </w:rPr>
              <w:t>-</w:t>
            </w:r>
          </w:p>
        </w:tc>
        <w:tc>
          <w:tcPr>
            <w:tcW w:w="461" w:type="dxa"/>
            <w:tcBorders>
              <w:top w:val="single" w:sz="4" w:space="0" w:color="000000"/>
              <w:left w:val="single" w:sz="4" w:space="0" w:color="000000"/>
              <w:bottom w:val="single" w:sz="4" w:space="0" w:color="000000"/>
            </w:tcBorders>
          </w:tcPr>
          <w:p>
            <w:pPr>
              <w:pStyle w:val="TableParagraph"/>
              <w:ind w:right="0"/>
              <w:jc w:val="center"/>
              <w:rPr>
                <w:sz w:val="22"/>
              </w:rPr>
            </w:pPr>
            <w:r>
              <w:rPr>
                <w:w w:val="100"/>
                <w:sz w:val="22"/>
              </w:rPr>
              <w:t>+</w:t>
            </w:r>
          </w:p>
        </w:tc>
        <w:tc>
          <w:tcPr>
            <w:tcW w:w="1198" w:type="dxa"/>
            <w:tcBorders>
              <w:top w:val="single" w:sz="4" w:space="0" w:color="000000"/>
              <w:bottom w:val="single" w:sz="4" w:space="0" w:color="000000"/>
            </w:tcBorders>
          </w:tcPr>
          <w:p>
            <w:pPr>
              <w:pStyle w:val="TableParagraph"/>
              <w:ind w:left="56" w:right="57"/>
              <w:jc w:val="center"/>
              <w:rPr>
                <w:sz w:val="22"/>
              </w:rPr>
            </w:pPr>
            <w:r>
              <w:rPr>
                <w:sz w:val="22"/>
              </w:rPr>
              <w:t>15</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c>
          <w:tcPr>
            <w:tcW w:w="458" w:type="dxa"/>
            <w:tcBorders>
              <w:top w:val="single" w:sz="4" w:space="0" w:color="000000"/>
              <w:bottom w:val="single" w:sz="4" w:space="0" w:color="000000"/>
            </w:tcBorders>
          </w:tcPr>
          <w:p>
            <w:pPr>
              <w:pStyle w:val="TableParagraph"/>
              <w:ind w:right="1"/>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2"/>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right="1"/>
              <w:jc w:val="center"/>
              <w:rPr>
                <w:sz w:val="22"/>
              </w:rPr>
            </w:pPr>
            <w:r>
              <w:rPr>
                <w:w w:val="100"/>
                <w:sz w:val="22"/>
              </w:rPr>
              <w:t>8</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left="189" w:right="0"/>
              <w:jc w:val="left"/>
              <w:rPr>
                <w:sz w:val="22"/>
              </w:rPr>
            </w:pPr>
            <w:r>
              <w:rPr>
                <w:w w:val="100"/>
                <w:sz w:val="22"/>
              </w:rPr>
              <w:t>-</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5"/>
              <w:jc w:val="center"/>
              <w:rPr>
                <w:sz w:val="22"/>
              </w:rPr>
            </w:pPr>
            <w:r>
              <w:rPr>
                <w:w w:val="100"/>
                <w:sz w:val="22"/>
              </w:rPr>
              <w:t>+</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2"/>
              <w:jc w:val="center"/>
              <w:rPr>
                <w:sz w:val="22"/>
              </w:rPr>
            </w:pPr>
            <w:r>
              <w:rPr>
                <w:w w:val="100"/>
                <w:sz w:val="22"/>
              </w:rPr>
              <w:t>-</w:t>
            </w:r>
          </w:p>
        </w:tc>
        <w:tc>
          <w:tcPr>
            <w:tcW w:w="461" w:type="dxa"/>
            <w:tcBorders>
              <w:top w:val="single" w:sz="4" w:space="0" w:color="000000"/>
              <w:left w:val="single" w:sz="4" w:space="0" w:color="000000"/>
              <w:bottom w:val="single" w:sz="4" w:space="0" w:color="000000"/>
            </w:tcBorders>
          </w:tcPr>
          <w:p>
            <w:pPr>
              <w:pStyle w:val="TableParagraph"/>
              <w:ind w:right="0"/>
              <w:jc w:val="center"/>
              <w:rPr>
                <w:sz w:val="22"/>
              </w:rPr>
            </w:pPr>
            <w:r>
              <w:rPr>
                <w:w w:val="100"/>
                <w:sz w:val="22"/>
              </w:rPr>
              <w:t>-</w:t>
            </w:r>
          </w:p>
        </w:tc>
        <w:tc>
          <w:tcPr>
            <w:tcW w:w="1198" w:type="dxa"/>
            <w:tcBorders>
              <w:top w:val="single" w:sz="4" w:space="0" w:color="000000"/>
              <w:bottom w:val="single" w:sz="4" w:space="0" w:color="000000"/>
            </w:tcBorders>
          </w:tcPr>
          <w:p>
            <w:pPr>
              <w:pStyle w:val="TableParagraph"/>
              <w:ind w:left="56" w:right="57"/>
              <w:jc w:val="center"/>
              <w:rPr>
                <w:sz w:val="22"/>
              </w:rPr>
            </w:pPr>
            <w:r>
              <w:rPr>
                <w:sz w:val="22"/>
              </w:rPr>
              <w:t>16</w:t>
            </w:r>
          </w:p>
        </w:tc>
        <w:tc>
          <w:tcPr>
            <w:tcW w:w="461" w:type="dxa"/>
            <w:tcBorders>
              <w:top w:val="single" w:sz="4" w:space="0" w:color="000000"/>
              <w:bottom w:val="single" w:sz="4" w:space="0" w:color="000000"/>
            </w:tcBorders>
          </w:tcPr>
          <w:p>
            <w:pPr>
              <w:pStyle w:val="TableParagraph"/>
              <w:ind w:right="3"/>
              <w:jc w:val="center"/>
              <w:rPr>
                <w:sz w:val="22"/>
              </w:rPr>
            </w:pPr>
            <w:r>
              <w:rPr>
                <w:w w:val="100"/>
                <w:sz w:val="22"/>
              </w:rPr>
              <w:t>+</w:t>
            </w:r>
          </w:p>
        </w:tc>
        <w:tc>
          <w:tcPr>
            <w:tcW w:w="458" w:type="dxa"/>
            <w:tcBorders>
              <w:top w:val="single" w:sz="4" w:space="0" w:color="000000"/>
              <w:bottom w:val="single" w:sz="4" w:space="0" w:color="000000"/>
            </w:tcBorders>
          </w:tcPr>
          <w:p>
            <w:pPr>
              <w:pStyle w:val="TableParagraph"/>
              <w:ind w:right="1"/>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2"/>
              <w:jc w:val="center"/>
              <w:rPr>
                <w:sz w:val="22"/>
              </w:rPr>
            </w:pPr>
            <w:r>
              <w:rPr>
                <w:w w:val="100"/>
                <w:sz w:val="22"/>
              </w:rPr>
              <w:t>-</w:t>
            </w:r>
          </w:p>
        </w:tc>
        <w:tc>
          <w:tcPr>
            <w:tcW w:w="461" w:type="dxa"/>
            <w:tcBorders>
              <w:top w:val="single" w:sz="4" w:space="0" w:color="000000"/>
              <w:bottom w:val="single" w:sz="4" w:space="0" w:color="000000"/>
            </w:tcBorders>
          </w:tcPr>
          <w:p>
            <w:pPr>
              <w:pStyle w:val="TableParagraph"/>
              <w:ind w:right="2"/>
              <w:jc w:val="center"/>
              <w:rPr>
                <w:sz w:val="22"/>
              </w:rPr>
            </w:pPr>
            <w:r>
              <w:rPr>
                <w:w w:val="100"/>
                <w:sz w:val="22"/>
              </w:rPr>
              <w:t>-</w:t>
            </w:r>
          </w:p>
        </w:tc>
      </w:tr>
    </w:tbl>
    <w:p>
      <w:pPr>
        <w:pStyle w:val="BodyText"/>
        <w:spacing w:before="9"/>
        <w:rPr>
          <w:b/>
          <w:sz w:val="10"/>
        </w:rPr>
      </w:pPr>
    </w:p>
    <w:p>
      <w:pPr>
        <w:pStyle w:val="BodyText"/>
        <w:spacing w:line="357" w:lineRule="auto" w:before="73"/>
        <w:ind w:left="781" w:right="497"/>
        <w:jc w:val="both"/>
      </w:pPr>
      <w:r>
        <w:rPr/>
        <w:t>Una vez que se obtuvo la tasa de consumo de oxígeno disuelto en el agua (rO</w:t>
      </w:r>
      <w:r>
        <w:rPr>
          <w:position w:val="-2"/>
          <w:sz w:val="13"/>
        </w:rPr>
        <w:t>2</w:t>
      </w:r>
      <w:r>
        <w:rPr/>
        <w:t>) se realizó un análisis de varianza para obtener el porcentaje de impacto de cada uno de los cuatro factores y todas sus posibles interacciones (Wheeler, 1989), mediante la metodología mostrada en la (tabla 14).</w:t>
      </w:r>
    </w:p>
    <w:p>
      <w:pPr>
        <w:spacing w:before="122"/>
        <w:ind w:left="1372" w:right="948" w:firstLine="0"/>
        <w:jc w:val="left"/>
        <w:rPr>
          <w:b/>
          <w:sz w:val="18"/>
        </w:rPr>
      </w:pPr>
      <w:r>
        <w:rPr>
          <w:b/>
          <w:sz w:val="18"/>
        </w:rPr>
        <w:t>Tabla 14. Contrastes definidos por el diseño básico de Plackett – Burman (Wheeler, 1989)</w:t>
      </w:r>
    </w:p>
    <w:p>
      <w:pPr>
        <w:pStyle w:val="BodyText"/>
        <w:spacing w:before="10"/>
        <w:rPr>
          <w:b/>
          <w:sz w:val="10"/>
        </w:rPr>
      </w:pPr>
    </w:p>
    <w:tbl>
      <w:tblPr>
        <w:tblW w:w="0" w:type="auto"/>
        <w:jc w:val="left"/>
        <w:tblInd w:w="11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00"/>
        <w:gridCol w:w="458"/>
        <w:gridCol w:w="461"/>
        <w:gridCol w:w="461"/>
        <w:gridCol w:w="458"/>
        <w:gridCol w:w="461"/>
        <w:gridCol w:w="461"/>
        <w:gridCol w:w="458"/>
        <w:gridCol w:w="461"/>
        <w:gridCol w:w="461"/>
        <w:gridCol w:w="458"/>
        <w:gridCol w:w="461"/>
        <w:gridCol w:w="461"/>
        <w:gridCol w:w="458"/>
        <w:gridCol w:w="461"/>
        <w:gridCol w:w="461"/>
      </w:tblGrid>
      <w:tr>
        <w:trPr>
          <w:trHeight w:val="355" w:hRule="exact"/>
        </w:trPr>
        <w:tc>
          <w:tcPr>
            <w:tcW w:w="1200" w:type="dxa"/>
            <w:vMerge w:val="restart"/>
            <w:tcBorders>
              <w:right w:val="single" w:sz="4" w:space="0" w:color="000000"/>
            </w:tcBorders>
          </w:tcPr>
          <w:p>
            <w:pPr>
              <w:pStyle w:val="TableParagraph"/>
              <w:spacing w:before="8"/>
              <w:ind w:right="0"/>
              <w:jc w:val="left"/>
              <w:rPr>
                <w:rFonts w:ascii="Arial"/>
                <w:b/>
                <w:sz w:val="19"/>
              </w:rPr>
            </w:pPr>
          </w:p>
          <w:p>
            <w:pPr>
              <w:pStyle w:val="TableParagraph"/>
              <w:spacing w:before="1"/>
              <w:ind w:left="76" w:right="0"/>
              <w:jc w:val="left"/>
              <w:rPr>
                <w:b/>
                <w:sz w:val="22"/>
              </w:rPr>
            </w:pPr>
            <w:r>
              <w:rPr>
                <w:b/>
                <w:sz w:val="22"/>
              </w:rPr>
              <w:t>Prueba No.</w:t>
            </w:r>
          </w:p>
        </w:tc>
        <w:tc>
          <w:tcPr>
            <w:tcW w:w="6900" w:type="dxa"/>
            <w:gridSpan w:val="15"/>
            <w:tcBorders>
              <w:left w:val="single" w:sz="4" w:space="0" w:color="000000"/>
              <w:right w:val="single" w:sz="4" w:space="0" w:color="000000"/>
            </w:tcBorders>
          </w:tcPr>
          <w:p>
            <w:pPr>
              <w:pStyle w:val="TableParagraph"/>
              <w:spacing w:before="30"/>
              <w:ind w:left="2846" w:right="2849"/>
              <w:jc w:val="center"/>
              <w:rPr>
                <w:b/>
                <w:sz w:val="22"/>
              </w:rPr>
            </w:pPr>
            <w:r>
              <w:rPr>
                <w:b/>
                <w:sz w:val="22"/>
              </w:rPr>
              <w:t>Contrastes</w:t>
            </w:r>
          </w:p>
        </w:tc>
      </w:tr>
      <w:tr>
        <w:trPr>
          <w:trHeight w:val="406" w:hRule="exact"/>
        </w:trPr>
        <w:tc>
          <w:tcPr>
            <w:tcW w:w="1200" w:type="dxa"/>
            <w:vMerge/>
            <w:tcBorders>
              <w:bottom w:val="double" w:sz="6" w:space="0" w:color="000000"/>
              <w:right w:val="single" w:sz="4" w:space="0" w:color="000000"/>
            </w:tcBorders>
          </w:tcPr>
          <w:p>
            <w:pPr/>
          </w:p>
        </w:tc>
        <w:tc>
          <w:tcPr>
            <w:tcW w:w="458" w:type="dxa"/>
            <w:tcBorders>
              <w:left w:val="single" w:sz="4" w:space="0" w:color="000000"/>
              <w:bottom w:val="double" w:sz="6" w:space="0" w:color="000000"/>
              <w:right w:val="single" w:sz="4" w:space="0" w:color="000000"/>
            </w:tcBorders>
          </w:tcPr>
          <w:p>
            <w:pPr>
              <w:pStyle w:val="TableParagraph"/>
              <w:spacing w:before="49"/>
              <w:ind w:right="6"/>
              <w:jc w:val="center"/>
              <w:rPr>
                <w:b/>
                <w:sz w:val="22"/>
              </w:rPr>
            </w:pPr>
            <w:r>
              <w:rPr>
                <w:b/>
                <w:w w:val="100"/>
                <w:sz w:val="22"/>
              </w:rPr>
              <w:t>A</w:t>
            </w:r>
          </w:p>
        </w:tc>
        <w:tc>
          <w:tcPr>
            <w:tcW w:w="461" w:type="dxa"/>
            <w:tcBorders>
              <w:left w:val="single" w:sz="4" w:space="0" w:color="000000"/>
              <w:bottom w:val="double" w:sz="6" w:space="0" w:color="000000"/>
              <w:right w:val="single" w:sz="4" w:space="0" w:color="000000"/>
            </w:tcBorders>
          </w:tcPr>
          <w:p>
            <w:pPr>
              <w:pStyle w:val="TableParagraph"/>
              <w:spacing w:before="49"/>
              <w:ind w:right="1"/>
              <w:jc w:val="center"/>
              <w:rPr>
                <w:b/>
                <w:sz w:val="22"/>
              </w:rPr>
            </w:pPr>
            <w:r>
              <w:rPr>
                <w:b/>
                <w:w w:val="100"/>
                <w:sz w:val="22"/>
              </w:rPr>
              <w:t>B</w:t>
            </w:r>
          </w:p>
        </w:tc>
        <w:tc>
          <w:tcPr>
            <w:tcW w:w="461" w:type="dxa"/>
            <w:tcBorders>
              <w:left w:val="single" w:sz="4" w:space="0" w:color="000000"/>
              <w:bottom w:val="double" w:sz="6" w:space="0" w:color="000000"/>
              <w:right w:val="single" w:sz="4" w:space="0" w:color="000000"/>
            </w:tcBorders>
          </w:tcPr>
          <w:p>
            <w:pPr>
              <w:pStyle w:val="TableParagraph"/>
              <w:spacing w:before="49"/>
              <w:ind w:right="1"/>
              <w:jc w:val="center"/>
              <w:rPr>
                <w:b/>
                <w:sz w:val="22"/>
              </w:rPr>
            </w:pPr>
            <w:r>
              <w:rPr>
                <w:b/>
                <w:w w:val="100"/>
                <w:sz w:val="22"/>
              </w:rPr>
              <w:t>C</w:t>
            </w:r>
          </w:p>
        </w:tc>
        <w:tc>
          <w:tcPr>
            <w:tcW w:w="458" w:type="dxa"/>
            <w:tcBorders>
              <w:left w:val="single" w:sz="4" w:space="0" w:color="000000"/>
              <w:bottom w:val="double" w:sz="6" w:space="0" w:color="000000"/>
              <w:right w:val="single" w:sz="4" w:space="0" w:color="000000"/>
            </w:tcBorders>
          </w:tcPr>
          <w:p>
            <w:pPr>
              <w:pStyle w:val="TableParagraph"/>
              <w:spacing w:before="49"/>
              <w:ind w:right="5"/>
              <w:jc w:val="center"/>
              <w:rPr>
                <w:b/>
                <w:sz w:val="22"/>
              </w:rPr>
            </w:pPr>
            <w:r>
              <w:rPr>
                <w:b/>
                <w:w w:val="100"/>
                <w:sz w:val="22"/>
              </w:rPr>
              <w:t>D</w:t>
            </w:r>
          </w:p>
        </w:tc>
        <w:tc>
          <w:tcPr>
            <w:tcW w:w="461" w:type="dxa"/>
            <w:tcBorders>
              <w:left w:val="single" w:sz="4" w:space="0" w:color="000000"/>
              <w:bottom w:val="double" w:sz="6" w:space="0" w:color="000000"/>
              <w:right w:val="single" w:sz="4" w:space="0" w:color="000000"/>
            </w:tcBorders>
          </w:tcPr>
          <w:p>
            <w:pPr>
              <w:pStyle w:val="TableParagraph"/>
              <w:spacing w:before="49"/>
              <w:ind w:right="1"/>
              <w:jc w:val="center"/>
              <w:rPr>
                <w:b/>
                <w:sz w:val="22"/>
              </w:rPr>
            </w:pPr>
            <w:r>
              <w:rPr>
                <w:b/>
                <w:w w:val="100"/>
                <w:sz w:val="22"/>
              </w:rPr>
              <w:t>E</w:t>
            </w:r>
          </w:p>
        </w:tc>
        <w:tc>
          <w:tcPr>
            <w:tcW w:w="461" w:type="dxa"/>
            <w:tcBorders>
              <w:left w:val="single" w:sz="4" w:space="0" w:color="000000"/>
              <w:bottom w:val="double" w:sz="6" w:space="0" w:color="000000"/>
              <w:right w:val="single" w:sz="4" w:space="0" w:color="000000"/>
            </w:tcBorders>
          </w:tcPr>
          <w:p>
            <w:pPr>
              <w:pStyle w:val="TableParagraph"/>
              <w:spacing w:before="49"/>
              <w:ind w:right="2"/>
              <w:jc w:val="center"/>
              <w:rPr>
                <w:b/>
                <w:sz w:val="22"/>
              </w:rPr>
            </w:pPr>
            <w:r>
              <w:rPr>
                <w:b/>
                <w:w w:val="100"/>
                <w:sz w:val="22"/>
              </w:rPr>
              <w:t>F</w:t>
            </w:r>
          </w:p>
        </w:tc>
        <w:tc>
          <w:tcPr>
            <w:tcW w:w="458" w:type="dxa"/>
            <w:tcBorders>
              <w:left w:val="single" w:sz="4" w:space="0" w:color="000000"/>
              <w:bottom w:val="double" w:sz="6" w:space="0" w:color="000000"/>
              <w:right w:val="single" w:sz="4" w:space="0" w:color="000000"/>
            </w:tcBorders>
          </w:tcPr>
          <w:p>
            <w:pPr>
              <w:pStyle w:val="TableParagraph"/>
              <w:spacing w:before="49"/>
              <w:ind w:right="4"/>
              <w:jc w:val="center"/>
              <w:rPr>
                <w:b/>
                <w:sz w:val="22"/>
              </w:rPr>
            </w:pPr>
            <w:r>
              <w:rPr>
                <w:b/>
                <w:w w:val="100"/>
                <w:sz w:val="22"/>
              </w:rPr>
              <w:t>G</w:t>
            </w:r>
          </w:p>
        </w:tc>
        <w:tc>
          <w:tcPr>
            <w:tcW w:w="461" w:type="dxa"/>
            <w:tcBorders>
              <w:left w:val="single" w:sz="4" w:space="0" w:color="000000"/>
              <w:bottom w:val="double" w:sz="6" w:space="0" w:color="000000"/>
              <w:right w:val="single" w:sz="4" w:space="0" w:color="000000"/>
            </w:tcBorders>
          </w:tcPr>
          <w:p>
            <w:pPr>
              <w:pStyle w:val="TableParagraph"/>
              <w:spacing w:before="49"/>
              <w:ind w:right="4"/>
              <w:jc w:val="center"/>
              <w:rPr>
                <w:b/>
                <w:sz w:val="22"/>
              </w:rPr>
            </w:pPr>
            <w:r>
              <w:rPr>
                <w:b/>
                <w:w w:val="100"/>
                <w:sz w:val="22"/>
              </w:rPr>
              <w:t>H</w:t>
            </w:r>
          </w:p>
        </w:tc>
        <w:tc>
          <w:tcPr>
            <w:tcW w:w="461" w:type="dxa"/>
            <w:tcBorders>
              <w:left w:val="single" w:sz="4" w:space="0" w:color="000000"/>
              <w:bottom w:val="double" w:sz="6" w:space="0" w:color="000000"/>
              <w:right w:val="single" w:sz="4" w:space="0" w:color="000000"/>
            </w:tcBorders>
          </w:tcPr>
          <w:p>
            <w:pPr>
              <w:pStyle w:val="TableParagraph"/>
              <w:spacing w:before="49"/>
              <w:ind w:right="2"/>
              <w:jc w:val="center"/>
              <w:rPr>
                <w:b/>
                <w:sz w:val="22"/>
              </w:rPr>
            </w:pPr>
            <w:r>
              <w:rPr>
                <w:b/>
                <w:w w:val="100"/>
                <w:sz w:val="22"/>
              </w:rPr>
              <w:t>I</w:t>
            </w:r>
          </w:p>
        </w:tc>
        <w:tc>
          <w:tcPr>
            <w:tcW w:w="458" w:type="dxa"/>
            <w:tcBorders>
              <w:left w:val="single" w:sz="4" w:space="0" w:color="000000"/>
              <w:bottom w:val="double" w:sz="6" w:space="0" w:color="000000"/>
              <w:right w:val="single" w:sz="4" w:space="0" w:color="000000"/>
            </w:tcBorders>
          </w:tcPr>
          <w:p>
            <w:pPr>
              <w:pStyle w:val="TableParagraph"/>
              <w:spacing w:before="49"/>
              <w:ind w:right="5"/>
              <w:jc w:val="center"/>
              <w:rPr>
                <w:b/>
                <w:sz w:val="22"/>
              </w:rPr>
            </w:pPr>
            <w:r>
              <w:rPr>
                <w:b/>
                <w:w w:val="100"/>
                <w:sz w:val="22"/>
              </w:rPr>
              <w:t>J</w:t>
            </w:r>
          </w:p>
        </w:tc>
        <w:tc>
          <w:tcPr>
            <w:tcW w:w="461" w:type="dxa"/>
            <w:tcBorders>
              <w:left w:val="single" w:sz="4" w:space="0" w:color="000000"/>
              <w:bottom w:val="double" w:sz="6" w:space="0" w:color="000000"/>
              <w:right w:val="single" w:sz="4" w:space="0" w:color="000000"/>
            </w:tcBorders>
          </w:tcPr>
          <w:p>
            <w:pPr>
              <w:pStyle w:val="TableParagraph"/>
              <w:spacing w:before="49"/>
              <w:ind w:right="3"/>
              <w:jc w:val="center"/>
              <w:rPr>
                <w:b/>
                <w:sz w:val="22"/>
              </w:rPr>
            </w:pPr>
            <w:r>
              <w:rPr>
                <w:b/>
                <w:w w:val="100"/>
                <w:sz w:val="22"/>
              </w:rPr>
              <w:t>K</w:t>
            </w:r>
          </w:p>
        </w:tc>
        <w:tc>
          <w:tcPr>
            <w:tcW w:w="461" w:type="dxa"/>
            <w:tcBorders>
              <w:left w:val="single" w:sz="4" w:space="0" w:color="000000"/>
              <w:bottom w:val="double" w:sz="6" w:space="0" w:color="000000"/>
              <w:right w:val="single" w:sz="4" w:space="0" w:color="000000"/>
            </w:tcBorders>
          </w:tcPr>
          <w:p>
            <w:pPr>
              <w:pStyle w:val="TableParagraph"/>
              <w:spacing w:before="49"/>
              <w:ind w:right="1"/>
              <w:jc w:val="center"/>
              <w:rPr>
                <w:b/>
                <w:sz w:val="22"/>
              </w:rPr>
            </w:pPr>
            <w:r>
              <w:rPr>
                <w:b/>
                <w:w w:val="100"/>
                <w:sz w:val="22"/>
              </w:rPr>
              <w:t>L</w:t>
            </w:r>
          </w:p>
        </w:tc>
        <w:tc>
          <w:tcPr>
            <w:tcW w:w="458" w:type="dxa"/>
            <w:tcBorders>
              <w:left w:val="single" w:sz="4" w:space="0" w:color="000000"/>
              <w:bottom w:val="double" w:sz="6" w:space="0" w:color="000000"/>
              <w:right w:val="single" w:sz="4" w:space="0" w:color="000000"/>
            </w:tcBorders>
          </w:tcPr>
          <w:p>
            <w:pPr>
              <w:pStyle w:val="TableParagraph"/>
              <w:spacing w:before="49"/>
              <w:ind w:right="129"/>
              <w:rPr>
                <w:b/>
                <w:sz w:val="22"/>
              </w:rPr>
            </w:pPr>
            <w:r>
              <w:rPr>
                <w:b/>
                <w:w w:val="100"/>
                <w:sz w:val="22"/>
              </w:rPr>
              <w:t>M</w:t>
            </w:r>
          </w:p>
        </w:tc>
        <w:tc>
          <w:tcPr>
            <w:tcW w:w="461" w:type="dxa"/>
            <w:tcBorders>
              <w:left w:val="single" w:sz="4" w:space="0" w:color="000000"/>
              <w:bottom w:val="double" w:sz="6" w:space="0" w:color="000000"/>
              <w:right w:val="single" w:sz="4" w:space="0" w:color="000000"/>
            </w:tcBorders>
          </w:tcPr>
          <w:p>
            <w:pPr>
              <w:pStyle w:val="TableParagraph"/>
              <w:spacing w:before="49"/>
              <w:ind w:right="1"/>
              <w:jc w:val="center"/>
              <w:rPr>
                <w:b/>
                <w:sz w:val="22"/>
              </w:rPr>
            </w:pPr>
            <w:r>
              <w:rPr>
                <w:b/>
                <w:w w:val="100"/>
                <w:sz w:val="22"/>
              </w:rPr>
              <w:t>N</w:t>
            </w:r>
          </w:p>
        </w:tc>
        <w:tc>
          <w:tcPr>
            <w:tcW w:w="461" w:type="dxa"/>
            <w:tcBorders>
              <w:left w:val="single" w:sz="4" w:space="0" w:color="000000"/>
              <w:bottom w:val="double" w:sz="6" w:space="0" w:color="000000"/>
              <w:right w:val="single" w:sz="4" w:space="0" w:color="000000"/>
            </w:tcBorders>
          </w:tcPr>
          <w:p>
            <w:pPr>
              <w:pStyle w:val="TableParagraph"/>
              <w:spacing w:before="49"/>
              <w:ind w:left="148" w:right="0"/>
              <w:jc w:val="left"/>
              <w:rPr>
                <w:b/>
                <w:sz w:val="22"/>
              </w:rPr>
            </w:pPr>
            <w:r>
              <w:rPr>
                <w:b/>
                <w:w w:val="100"/>
                <w:sz w:val="22"/>
              </w:rPr>
              <w:t>O</w:t>
            </w:r>
          </w:p>
        </w:tc>
      </w:tr>
      <w:tr>
        <w:trPr>
          <w:trHeight w:val="343" w:hRule="exact"/>
        </w:trPr>
        <w:tc>
          <w:tcPr>
            <w:tcW w:w="1200" w:type="dxa"/>
            <w:tcBorders>
              <w:top w:val="double" w:sz="6" w:space="0" w:color="000000"/>
              <w:bottom w:val="single" w:sz="4" w:space="0" w:color="000000"/>
              <w:right w:val="single" w:sz="4" w:space="0" w:color="000000"/>
            </w:tcBorders>
          </w:tcPr>
          <w:p>
            <w:pPr>
              <w:pStyle w:val="TableParagraph"/>
              <w:spacing w:before="45"/>
              <w:ind w:left="532" w:right="0"/>
              <w:jc w:val="left"/>
              <w:rPr>
                <w:sz w:val="22"/>
              </w:rPr>
            </w:pPr>
            <w:r>
              <w:rPr>
                <w:w w:val="100"/>
                <w:sz w:val="22"/>
              </w:rPr>
              <w:t>1</w:t>
            </w:r>
          </w:p>
        </w:tc>
        <w:tc>
          <w:tcPr>
            <w:tcW w:w="458"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58"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58"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58"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58"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double" w:sz="6" w:space="0" w:color="000000"/>
              <w:left w:val="single" w:sz="4" w:space="0" w:color="000000"/>
              <w:bottom w:val="single" w:sz="4" w:space="0" w:color="000000"/>
              <w:right w:val="single" w:sz="4" w:space="0" w:color="000000"/>
            </w:tcBorders>
          </w:tcPr>
          <w:p>
            <w:pPr>
              <w:pStyle w:val="TableParagraph"/>
              <w:spacing w:before="45"/>
              <w:ind w:right="66"/>
              <w:rPr>
                <w:sz w:val="22"/>
              </w:rPr>
            </w:pPr>
            <w:r>
              <w:rPr>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532" w:right="0"/>
              <w:jc w:val="left"/>
              <w:rPr>
                <w:sz w:val="22"/>
              </w:rPr>
            </w:pPr>
            <w:r>
              <w:rPr>
                <w:w w:val="100"/>
                <w:sz w:val="22"/>
              </w:rPr>
              <w:t>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532" w:right="0"/>
              <w:jc w:val="left"/>
              <w:rPr>
                <w:sz w:val="22"/>
              </w:rPr>
            </w:pPr>
            <w:r>
              <w:rPr>
                <w:w w:val="100"/>
                <w:sz w:val="22"/>
              </w:rPr>
              <w:t>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532" w:right="0"/>
              <w:jc w:val="left"/>
              <w:rPr>
                <w:sz w:val="22"/>
              </w:rPr>
            </w:pPr>
            <w:r>
              <w:rPr>
                <w:w w:val="100"/>
                <w:sz w:val="22"/>
              </w:rPr>
              <w:t>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spacing w:before="30"/>
              <w:ind w:left="532" w:right="0"/>
              <w:jc w:val="left"/>
              <w:rPr>
                <w:sz w:val="22"/>
              </w:rPr>
            </w:pPr>
            <w:r>
              <w:rPr>
                <w:w w:val="100"/>
                <w:sz w:val="22"/>
              </w:rPr>
              <w:t>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r>
      <w:tr>
        <w:trPr>
          <w:trHeight w:val="312" w:hRule="exact"/>
        </w:trPr>
        <w:tc>
          <w:tcPr>
            <w:tcW w:w="1200" w:type="dxa"/>
            <w:tcBorders>
              <w:top w:val="single" w:sz="4" w:space="0" w:color="000000"/>
              <w:bottom w:val="single" w:sz="4" w:space="0" w:color="000000"/>
              <w:right w:val="single" w:sz="4" w:space="0" w:color="000000"/>
            </w:tcBorders>
          </w:tcPr>
          <w:p>
            <w:pPr>
              <w:pStyle w:val="TableParagraph"/>
              <w:spacing w:before="30"/>
              <w:ind w:left="532" w:right="0"/>
              <w:jc w:val="left"/>
              <w:rPr>
                <w:sz w:val="22"/>
              </w:rPr>
            </w:pPr>
            <w:r>
              <w:rPr>
                <w:w w:val="100"/>
                <w:sz w:val="22"/>
              </w:rPr>
              <w:t>6</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532" w:right="0"/>
              <w:jc w:val="left"/>
              <w:rPr>
                <w:sz w:val="22"/>
              </w:rPr>
            </w:pPr>
            <w:r>
              <w:rPr>
                <w:w w:val="100"/>
                <w:sz w:val="22"/>
              </w:rPr>
              <w:t>7</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532" w:right="0"/>
              <w:jc w:val="left"/>
              <w:rPr>
                <w:sz w:val="22"/>
              </w:rPr>
            </w:pPr>
            <w:r>
              <w:rPr>
                <w:w w:val="100"/>
                <w:sz w:val="22"/>
              </w:rPr>
              <w:t>8</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532" w:right="0"/>
              <w:jc w:val="left"/>
              <w:rPr>
                <w:sz w:val="22"/>
              </w:rPr>
            </w:pPr>
            <w:r>
              <w:rPr>
                <w:w w:val="100"/>
                <w:sz w:val="22"/>
              </w:rPr>
              <w:t>9</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475" w:right="0"/>
              <w:jc w:val="left"/>
              <w:rPr>
                <w:sz w:val="22"/>
              </w:rPr>
            </w:pPr>
            <w:r>
              <w:rPr>
                <w:sz w:val="22"/>
              </w:rPr>
              <w:t>10</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spacing w:before="30"/>
              <w:ind w:left="475" w:right="0"/>
              <w:jc w:val="left"/>
              <w:rPr>
                <w:sz w:val="22"/>
              </w:rPr>
            </w:pPr>
            <w:r>
              <w:rPr>
                <w:sz w:val="22"/>
              </w:rPr>
              <w:t>11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r>
      <w:tr>
        <w:trPr>
          <w:trHeight w:val="312" w:hRule="exact"/>
        </w:trPr>
        <w:tc>
          <w:tcPr>
            <w:tcW w:w="1200" w:type="dxa"/>
            <w:tcBorders>
              <w:top w:val="single" w:sz="4" w:space="0" w:color="000000"/>
              <w:bottom w:val="single" w:sz="4" w:space="0" w:color="000000"/>
              <w:right w:val="single" w:sz="4" w:space="0" w:color="000000"/>
            </w:tcBorders>
          </w:tcPr>
          <w:p>
            <w:pPr>
              <w:pStyle w:val="TableParagraph"/>
              <w:spacing w:before="30"/>
              <w:ind w:left="475" w:right="0"/>
              <w:jc w:val="left"/>
              <w:rPr>
                <w:sz w:val="22"/>
              </w:rPr>
            </w:pPr>
            <w:r>
              <w:rPr>
                <w:sz w:val="22"/>
              </w:rPr>
              <w:t>12</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w w:val="100"/>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475" w:right="0"/>
              <w:jc w:val="left"/>
              <w:rPr>
                <w:sz w:val="22"/>
              </w:rPr>
            </w:pPr>
            <w:r>
              <w:rPr>
                <w:sz w:val="22"/>
              </w:rPr>
              <w:t>13</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475" w:right="0"/>
              <w:jc w:val="left"/>
              <w:rPr>
                <w:sz w:val="22"/>
              </w:rPr>
            </w:pPr>
            <w:r>
              <w:rPr>
                <w:sz w:val="22"/>
              </w:rPr>
              <w:t>14</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r>
      <w:tr>
        <w:trPr>
          <w:trHeight w:val="310" w:hRule="exact"/>
        </w:trPr>
        <w:tc>
          <w:tcPr>
            <w:tcW w:w="1200" w:type="dxa"/>
            <w:tcBorders>
              <w:top w:val="single" w:sz="4" w:space="0" w:color="000000"/>
              <w:bottom w:val="single" w:sz="4" w:space="0" w:color="000000"/>
              <w:right w:val="single" w:sz="4" w:space="0" w:color="000000"/>
            </w:tcBorders>
          </w:tcPr>
          <w:p>
            <w:pPr>
              <w:pStyle w:val="TableParagraph"/>
              <w:ind w:left="475" w:right="0"/>
              <w:jc w:val="left"/>
              <w:rPr>
                <w:sz w:val="22"/>
              </w:rPr>
            </w:pPr>
            <w:r>
              <w:rPr>
                <w:sz w:val="22"/>
              </w:rPr>
              <w:t>15</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58"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w w:val="100"/>
                <w:sz w:val="22"/>
              </w:rPr>
              <w:t>1</w:t>
            </w:r>
          </w:p>
        </w:tc>
        <w:tc>
          <w:tcPr>
            <w:tcW w:w="461" w:type="dxa"/>
            <w:tcBorders>
              <w:top w:val="single" w:sz="4" w:space="0" w:color="000000"/>
              <w:left w:val="single" w:sz="4" w:space="0" w:color="000000"/>
              <w:bottom w:val="single" w:sz="4" w:space="0" w:color="000000"/>
              <w:right w:val="single" w:sz="4" w:space="0" w:color="000000"/>
            </w:tcBorders>
          </w:tcPr>
          <w:p>
            <w:pPr>
              <w:pStyle w:val="TableParagraph"/>
              <w:ind w:right="66"/>
              <w:rPr>
                <w:sz w:val="22"/>
              </w:rPr>
            </w:pPr>
            <w:r>
              <w:rPr>
                <w:sz w:val="22"/>
              </w:rPr>
              <w:t>-1</w:t>
            </w:r>
          </w:p>
        </w:tc>
      </w:tr>
      <w:tr>
        <w:trPr>
          <w:trHeight w:val="331" w:hRule="exact"/>
        </w:trPr>
        <w:tc>
          <w:tcPr>
            <w:tcW w:w="1200" w:type="dxa"/>
            <w:tcBorders>
              <w:top w:val="single" w:sz="4" w:space="0" w:color="000000"/>
              <w:right w:val="single" w:sz="4" w:space="0" w:color="000000"/>
            </w:tcBorders>
          </w:tcPr>
          <w:p>
            <w:pPr>
              <w:pStyle w:val="TableParagraph"/>
              <w:spacing w:before="45"/>
              <w:ind w:left="475" w:right="0"/>
              <w:jc w:val="left"/>
              <w:rPr>
                <w:sz w:val="22"/>
              </w:rPr>
            </w:pPr>
            <w:r>
              <w:rPr>
                <w:sz w:val="22"/>
              </w:rPr>
              <w:t>16</w:t>
            </w:r>
          </w:p>
        </w:tc>
        <w:tc>
          <w:tcPr>
            <w:tcW w:w="458"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c>
          <w:tcPr>
            <w:tcW w:w="458" w:type="dxa"/>
            <w:tcBorders>
              <w:top w:val="single" w:sz="4" w:space="0" w:color="000000"/>
              <w:left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6"/>
              <w:rPr>
                <w:sz w:val="22"/>
              </w:rPr>
            </w:pPr>
            <w:r>
              <w:rPr>
                <w:sz w:val="22"/>
              </w:rPr>
              <w:t>-1</w:t>
            </w:r>
          </w:p>
        </w:tc>
        <w:tc>
          <w:tcPr>
            <w:tcW w:w="458"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c>
          <w:tcPr>
            <w:tcW w:w="458" w:type="dxa"/>
            <w:tcBorders>
              <w:top w:val="single" w:sz="4" w:space="0" w:color="000000"/>
              <w:left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6"/>
              <w:rPr>
                <w:sz w:val="22"/>
              </w:rPr>
            </w:pPr>
            <w:r>
              <w:rPr>
                <w:sz w:val="22"/>
              </w:rPr>
              <w:t>-1</w:t>
            </w:r>
          </w:p>
        </w:tc>
        <w:tc>
          <w:tcPr>
            <w:tcW w:w="458"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6"/>
              <w:rPr>
                <w:sz w:val="22"/>
              </w:rPr>
            </w:pPr>
            <w:r>
              <w:rPr>
                <w:sz w:val="22"/>
              </w:rPr>
              <w:t>-1</w:t>
            </w:r>
          </w:p>
        </w:tc>
        <w:tc>
          <w:tcPr>
            <w:tcW w:w="461" w:type="dxa"/>
            <w:tcBorders>
              <w:top w:val="single" w:sz="4" w:space="0" w:color="000000"/>
              <w:left w:val="single" w:sz="4" w:space="0" w:color="000000"/>
              <w:right w:val="single" w:sz="4" w:space="0" w:color="000000"/>
            </w:tcBorders>
          </w:tcPr>
          <w:p>
            <w:pPr>
              <w:pStyle w:val="TableParagraph"/>
              <w:spacing w:before="45"/>
              <w:ind w:right="63"/>
              <w:rPr>
                <w:sz w:val="22"/>
              </w:rPr>
            </w:pPr>
            <w:r>
              <w:rPr>
                <w:w w:val="100"/>
                <w:sz w:val="22"/>
              </w:rPr>
              <w:t>1</w:t>
            </w:r>
          </w:p>
        </w:tc>
      </w:tr>
    </w:tbl>
    <w:p>
      <w:pPr>
        <w:pStyle w:val="BodyText"/>
        <w:spacing w:before="9"/>
        <w:rPr>
          <w:b/>
          <w:sz w:val="10"/>
        </w:rPr>
      </w:pPr>
    </w:p>
    <w:p>
      <w:pPr>
        <w:pStyle w:val="BodyText"/>
        <w:spacing w:line="360" w:lineRule="auto" w:before="73"/>
        <w:ind w:left="781" w:right="496"/>
        <w:jc w:val="both"/>
      </w:pPr>
      <w:r>
        <w:rPr/>
        <w:t>Para obtener el modelo matemático que describió la tasa de consumo de oxígeno en el SRA a 2660 msnm y con base en los factores (peso, temperatura, densidad y alimentación), se construyó un modelo matemático de tipo regresivo lineal múltiple con el programa SPSS v 15.0 (LEAD technologies Inc. Chicago, IL).</w:t>
      </w:r>
    </w:p>
    <w:p>
      <w:pPr>
        <w:spacing w:after="0" w:line="360" w:lineRule="auto"/>
        <w:jc w:val="both"/>
        <w:sectPr>
          <w:pgSz w:w="12240" w:h="15840"/>
          <w:pgMar w:header="725" w:footer="1084" w:top="1340" w:bottom="1280" w:left="920" w:right="1200"/>
        </w:sectPr>
      </w:pPr>
    </w:p>
    <w:p>
      <w:pPr>
        <w:pStyle w:val="Heading5"/>
        <w:numPr>
          <w:ilvl w:val="2"/>
          <w:numId w:val="13"/>
        </w:numPr>
        <w:tabs>
          <w:tab w:pos="1394" w:val="left" w:leader="none"/>
        </w:tabs>
        <w:spacing w:line="240" w:lineRule="auto" w:before="172" w:after="0"/>
        <w:ind w:left="1393" w:right="0" w:hanging="612"/>
        <w:jc w:val="both"/>
      </w:pPr>
      <w:bookmarkStart w:name="4.6.3. Modelación Mátematica de tipo reg" w:id="82"/>
      <w:bookmarkEnd w:id="82"/>
      <w:r>
        <w:rPr>
          <w:b w:val="0"/>
        </w:rPr>
      </w:r>
      <w:bookmarkStart w:name="4.6.3. Modelación Mátematica de tipo reg" w:id="83"/>
      <w:bookmarkEnd w:id="83"/>
      <w:r>
        <w:rPr/>
        <w:t>M</w:t>
      </w:r>
      <w:r>
        <w:rPr/>
        <w:t>ODELACIÓN MATEMÁTICA DE TIPO</w:t>
      </w:r>
      <w:r>
        <w:rPr>
          <w:spacing w:val="-16"/>
        </w:rPr>
        <w:t> </w:t>
      </w:r>
      <w:r>
        <w:rPr/>
        <w:t>REGRESIVO</w:t>
      </w:r>
    </w:p>
    <w:p>
      <w:pPr>
        <w:pStyle w:val="BodyText"/>
        <w:spacing w:before="5"/>
        <w:rPr>
          <w:b/>
          <w:sz w:val="28"/>
        </w:rPr>
      </w:pPr>
    </w:p>
    <w:p>
      <w:pPr>
        <w:pStyle w:val="BodyText"/>
        <w:spacing w:line="360" w:lineRule="auto" w:before="1"/>
        <w:ind w:left="781" w:right="498"/>
        <w:jc w:val="both"/>
      </w:pPr>
      <w:r>
        <w:rPr/>
        <w:t>Con base en los datos adquiridos en la sección 4.5 y un previo análisis de boxplot, se modeló la generación de contaminantes por parte de los organismos acuáticos en el estanque.</w:t>
      </w:r>
    </w:p>
    <w:p>
      <w:pPr>
        <w:pStyle w:val="BodyText"/>
        <w:spacing w:before="7"/>
        <w:rPr>
          <w:sz w:val="17"/>
        </w:rPr>
      </w:pPr>
    </w:p>
    <w:p>
      <w:pPr>
        <w:pStyle w:val="BodyText"/>
        <w:spacing w:line="360" w:lineRule="auto"/>
        <w:ind w:left="781" w:right="498"/>
        <w:jc w:val="both"/>
      </w:pPr>
      <w:r>
        <w:rPr/>
        <w:t>Para encontrar cada modelo se correlacionaron las diferentes variables del sistema, particularmente, para cada parámetro limitante del mismo y con base en relaciones funcionales entre las variables explicativas y la variable modelada. Se utilizó el coeficiente de Pearson con un nivel de significancia de 0,05 mediante el programa SPSS V 15.0.1 (LEAD Technologies Inc. Chicago, IL).</w:t>
      </w:r>
    </w:p>
    <w:p>
      <w:pPr>
        <w:pStyle w:val="BodyText"/>
        <w:spacing w:before="7"/>
        <w:rPr>
          <w:sz w:val="17"/>
        </w:rPr>
      </w:pPr>
    </w:p>
    <w:p>
      <w:pPr>
        <w:pStyle w:val="BodyText"/>
        <w:spacing w:line="276" w:lineRule="auto"/>
        <w:ind w:left="781" w:right="499"/>
        <w:jc w:val="both"/>
      </w:pPr>
      <w:r>
        <w:rPr/>
        <w:t>Finalmente, se establecieron los límites y rangos de aplicación de los modelos encontrados, así como las condiciones específicas de validez de los resultados obtenidos.</w:t>
      </w:r>
    </w:p>
    <w:p>
      <w:pPr>
        <w:spacing w:after="0" w:line="276" w:lineRule="auto"/>
        <w:jc w:val="both"/>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before="212"/>
        <w:ind w:right="2142" w:firstLine="1552"/>
      </w:pPr>
      <w:bookmarkStart w:name="_TOC_250047" w:id="84"/>
      <w:bookmarkStart w:name="Capítulo 5. Resultados y discusión" w:id="85"/>
      <w:r>
        <w:rPr/>
      </w:r>
      <w:r>
        <w:rPr>
          <w:w w:val="105"/>
        </w:rPr>
        <w:t>CAPÍTULO 5 </w:t>
      </w:r>
      <w:r>
        <w:rPr/>
        <w:t>RESULTADOS Y</w:t>
      </w:r>
      <w:r>
        <w:rPr>
          <w:spacing w:val="102"/>
        </w:rPr>
        <w:t> </w:t>
      </w:r>
      <w:bookmarkEnd w:id="84"/>
      <w:r>
        <w:rPr/>
        <w:t>DISCUSIÓN</w:t>
      </w:r>
    </w:p>
    <w:p>
      <w:pPr>
        <w:spacing w:after="0"/>
        <w:sectPr>
          <w:pgSz w:w="12240" w:h="15840"/>
          <w:pgMar w:header="725" w:footer="1084" w:top="1340" w:bottom="1280" w:left="920" w:right="1200"/>
        </w:sectPr>
      </w:pPr>
    </w:p>
    <w:p>
      <w:pPr>
        <w:pStyle w:val="Heading5"/>
        <w:numPr>
          <w:ilvl w:val="0"/>
          <w:numId w:val="7"/>
        </w:numPr>
        <w:tabs>
          <w:tab w:pos="1029" w:val="left" w:leader="none"/>
        </w:tabs>
        <w:spacing w:line="240" w:lineRule="auto" w:before="172" w:after="0"/>
        <w:ind w:left="1028" w:right="0" w:hanging="247"/>
        <w:jc w:val="both"/>
      </w:pPr>
      <w:r>
        <w:rPr/>
        <w:t>RESULTADOS Y</w:t>
      </w:r>
      <w:r>
        <w:rPr>
          <w:spacing w:val="-9"/>
        </w:rPr>
        <w:t> </w:t>
      </w:r>
      <w:r>
        <w:rPr/>
        <w:t>DISCUSIÓN</w:t>
      </w:r>
    </w:p>
    <w:p>
      <w:pPr>
        <w:pStyle w:val="BodyText"/>
        <w:spacing w:before="5"/>
        <w:rPr>
          <w:b/>
          <w:sz w:val="17"/>
        </w:rPr>
      </w:pPr>
    </w:p>
    <w:p>
      <w:pPr>
        <w:pStyle w:val="Heading5"/>
        <w:ind w:left="781"/>
      </w:pPr>
      <w:bookmarkStart w:name="_TOC_250046" w:id="86"/>
      <w:bookmarkStart w:name="5.1. Cosecha de agua pluvial" w:id="87"/>
      <w:r>
        <w:rPr>
          <w:b w:val="0"/>
        </w:rPr>
      </w:r>
      <w:bookmarkEnd w:id="86"/>
      <w:r>
        <w:rPr/>
        <w:t>5.1 COSECHA DE AGUA PLUVIAL</w:t>
      </w:r>
    </w:p>
    <w:p>
      <w:pPr>
        <w:pStyle w:val="BodyText"/>
        <w:spacing w:before="5"/>
        <w:rPr>
          <w:b/>
          <w:sz w:val="28"/>
        </w:rPr>
      </w:pPr>
    </w:p>
    <w:p>
      <w:pPr>
        <w:pStyle w:val="BodyText"/>
        <w:spacing w:line="360" w:lineRule="auto" w:before="1"/>
        <w:ind w:left="781" w:right="497"/>
        <w:jc w:val="both"/>
      </w:pPr>
      <w:r>
        <w:rPr/>
        <w:t>El agua pluvial almacenada se caracterizó de acuerdo con los parámetros más importantes para el cultivo de la trucha, mismos que a continuación se enumeran: DQO, nitrógeno amoniacal, nitritos, nitratos, oxígeno disuelto (OD), temperatura, pH, sólidos suspendidos, alcalinidad. Así como aquellos parámetros necesarios para establecer un equilibrio de sales en el agua (Loyless y Malone, 1997): acidez, calcio, magnesio, sodio, potasio, manganeso, hierro, sulfatos y cloruros (tabla 15). En este caso existieron parámetros que no se encontraron dentro del intervalo adecuado para el cultivo de la trucha (Blanco, 1995; Klontz, 1991; DOF, 1989), que fueron pH, nitrógeno amoniacal, calcio, alcalinidad y</w:t>
      </w:r>
      <w:r>
        <w:rPr>
          <w:spacing w:val="-11"/>
        </w:rPr>
        <w:t> </w:t>
      </w:r>
      <w:r>
        <w:rPr/>
        <w:t>temperatura.</w:t>
      </w:r>
    </w:p>
    <w:p>
      <w:pPr>
        <w:pStyle w:val="BodyText"/>
        <w:spacing w:before="3"/>
        <w:rPr>
          <w:sz w:val="17"/>
        </w:rPr>
      </w:pPr>
    </w:p>
    <w:p>
      <w:pPr>
        <w:spacing w:before="0"/>
        <w:ind w:left="2341" w:right="948" w:firstLine="0"/>
        <w:jc w:val="left"/>
        <w:rPr>
          <w:b/>
          <w:sz w:val="18"/>
        </w:rPr>
      </w:pPr>
      <w:r>
        <w:rPr>
          <w:b/>
          <w:sz w:val="18"/>
        </w:rPr>
        <w:t>Tabla 15. Caracterización del agua pluvial almacenada (03/11/2008)</w:t>
      </w:r>
    </w:p>
    <w:p>
      <w:pPr>
        <w:pStyle w:val="BodyText"/>
        <w:spacing w:after="1"/>
        <w:rPr>
          <w:b/>
          <w:sz w:val="11"/>
        </w:rPr>
      </w:pPr>
    </w:p>
    <w:tbl>
      <w:tblPr>
        <w:tblW w:w="0" w:type="auto"/>
        <w:jc w:val="left"/>
        <w:tblInd w:w="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970"/>
        <w:gridCol w:w="1008"/>
        <w:gridCol w:w="1286"/>
        <w:gridCol w:w="1560"/>
        <w:gridCol w:w="2268"/>
      </w:tblGrid>
      <w:tr>
        <w:trPr>
          <w:trHeight w:val="278" w:hRule="exact"/>
        </w:trPr>
        <w:tc>
          <w:tcPr>
            <w:tcW w:w="1697" w:type="dxa"/>
            <w:vMerge w:val="restart"/>
          </w:tcPr>
          <w:p>
            <w:pPr>
              <w:pStyle w:val="TableParagraph"/>
              <w:spacing w:before="6"/>
              <w:ind w:right="0"/>
              <w:jc w:val="left"/>
              <w:rPr>
                <w:rFonts w:ascii="Arial"/>
                <w:b/>
                <w:sz w:val="15"/>
              </w:rPr>
            </w:pPr>
          </w:p>
          <w:p>
            <w:pPr>
              <w:pStyle w:val="TableParagraph"/>
              <w:spacing w:before="0"/>
              <w:ind w:left="446" w:right="0"/>
              <w:jc w:val="left"/>
              <w:rPr>
                <w:rFonts w:ascii="Arial" w:hAnsi="Arial"/>
                <w:b/>
                <w:sz w:val="16"/>
              </w:rPr>
            </w:pPr>
            <w:r>
              <w:rPr>
                <w:rFonts w:ascii="Arial" w:hAnsi="Arial"/>
                <w:b/>
                <w:sz w:val="16"/>
              </w:rPr>
              <w:t>Parámetro</w:t>
            </w:r>
          </w:p>
        </w:tc>
        <w:tc>
          <w:tcPr>
            <w:tcW w:w="970" w:type="dxa"/>
            <w:vMerge w:val="restart"/>
          </w:tcPr>
          <w:p>
            <w:pPr>
              <w:pStyle w:val="TableParagraph"/>
              <w:spacing w:before="6"/>
              <w:ind w:right="0"/>
              <w:jc w:val="left"/>
              <w:rPr>
                <w:rFonts w:ascii="Arial"/>
                <w:b/>
                <w:sz w:val="15"/>
              </w:rPr>
            </w:pPr>
          </w:p>
          <w:p>
            <w:pPr>
              <w:pStyle w:val="TableParagraph"/>
              <w:spacing w:before="0"/>
              <w:ind w:left="117" w:right="0"/>
              <w:jc w:val="left"/>
              <w:rPr>
                <w:rFonts w:ascii="Arial"/>
                <w:b/>
                <w:sz w:val="16"/>
              </w:rPr>
            </w:pPr>
            <w:r>
              <w:rPr>
                <w:rFonts w:ascii="Arial"/>
                <w:b/>
                <w:sz w:val="16"/>
              </w:rPr>
              <w:t>Unidades</w:t>
            </w:r>
          </w:p>
        </w:tc>
        <w:tc>
          <w:tcPr>
            <w:tcW w:w="2294" w:type="dxa"/>
            <w:gridSpan w:val="2"/>
            <w:tcBorders>
              <w:right w:val="single" w:sz="12" w:space="0" w:color="000000"/>
            </w:tcBorders>
          </w:tcPr>
          <w:p>
            <w:pPr>
              <w:pStyle w:val="TableParagraph"/>
              <w:spacing w:before="37"/>
              <w:ind w:left="636" w:right="0"/>
              <w:jc w:val="left"/>
              <w:rPr>
                <w:rFonts w:ascii="Arial"/>
                <w:b/>
                <w:sz w:val="16"/>
              </w:rPr>
            </w:pPr>
            <w:r>
              <w:rPr>
                <w:rFonts w:ascii="Arial"/>
                <w:b/>
                <w:sz w:val="16"/>
              </w:rPr>
              <w:t>Valor medido</w:t>
            </w:r>
          </w:p>
        </w:tc>
        <w:tc>
          <w:tcPr>
            <w:tcW w:w="1560" w:type="dxa"/>
            <w:vMerge w:val="restart"/>
            <w:tcBorders>
              <w:left w:val="single" w:sz="12" w:space="0" w:color="000000"/>
            </w:tcBorders>
          </w:tcPr>
          <w:p>
            <w:pPr>
              <w:pStyle w:val="TableParagraph"/>
              <w:spacing w:before="0"/>
              <w:ind w:left="110" w:right="117" w:hanging="1"/>
              <w:jc w:val="center"/>
              <w:rPr>
                <w:rFonts w:ascii="Arial" w:hAnsi="Arial"/>
                <w:b/>
                <w:sz w:val="16"/>
              </w:rPr>
            </w:pPr>
            <w:r>
              <w:rPr>
                <w:rFonts w:ascii="Arial" w:hAnsi="Arial"/>
                <w:b/>
                <w:sz w:val="16"/>
              </w:rPr>
              <w:t>Intervalo óptimo para el cultivo de la trucha</w:t>
            </w:r>
          </w:p>
        </w:tc>
        <w:tc>
          <w:tcPr>
            <w:tcW w:w="2268" w:type="dxa"/>
            <w:vMerge w:val="restart"/>
          </w:tcPr>
          <w:p>
            <w:pPr>
              <w:pStyle w:val="TableParagraph"/>
              <w:spacing w:before="6"/>
              <w:ind w:right="0"/>
              <w:jc w:val="left"/>
              <w:rPr>
                <w:rFonts w:ascii="Arial"/>
                <w:b/>
                <w:sz w:val="15"/>
              </w:rPr>
            </w:pPr>
          </w:p>
          <w:p>
            <w:pPr>
              <w:pStyle w:val="TableParagraph"/>
              <w:spacing w:before="0"/>
              <w:ind w:left="720" w:right="154"/>
              <w:jc w:val="left"/>
              <w:rPr>
                <w:rFonts w:ascii="Arial"/>
                <w:b/>
                <w:sz w:val="16"/>
              </w:rPr>
            </w:pPr>
            <w:r>
              <w:rPr>
                <w:rFonts w:ascii="Arial"/>
                <w:b/>
                <w:sz w:val="16"/>
              </w:rPr>
              <w:t>Referencia</w:t>
            </w:r>
          </w:p>
        </w:tc>
      </w:tr>
      <w:tr>
        <w:trPr>
          <w:trHeight w:val="283" w:hRule="exact"/>
        </w:trPr>
        <w:tc>
          <w:tcPr>
            <w:tcW w:w="1697" w:type="dxa"/>
            <w:vMerge/>
          </w:tcPr>
          <w:p>
            <w:pPr/>
          </w:p>
        </w:tc>
        <w:tc>
          <w:tcPr>
            <w:tcW w:w="970" w:type="dxa"/>
            <w:vMerge/>
          </w:tcPr>
          <w:p>
            <w:pPr/>
          </w:p>
        </w:tc>
        <w:tc>
          <w:tcPr>
            <w:tcW w:w="1008" w:type="dxa"/>
          </w:tcPr>
          <w:p>
            <w:pPr>
              <w:pStyle w:val="TableParagraph"/>
              <w:spacing w:before="39"/>
              <w:ind w:left="95" w:right="97"/>
              <w:jc w:val="center"/>
              <w:rPr>
                <w:rFonts w:ascii="Arial"/>
                <w:b/>
                <w:sz w:val="16"/>
              </w:rPr>
            </w:pPr>
            <w:r>
              <w:rPr>
                <w:rFonts w:ascii="Arial"/>
                <w:b/>
                <w:sz w:val="16"/>
              </w:rPr>
              <w:t>Aceptable</w:t>
            </w:r>
          </w:p>
        </w:tc>
        <w:tc>
          <w:tcPr>
            <w:tcW w:w="1286" w:type="dxa"/>
            <w:tcBorders>
              <w:right w:val="single" w:sz="12" w:space="0" w:color="000000"/>
            </w:tcBorders>
          </w:tcPr>
          <w:p>
            <w:pPr>
              <w:pStyle w:val="TableParagraph"/>
              <w:spacing w:before="39"/>
              <w:ind w:left="117" w:right="108"/>
              <w:jc w:val="center"/>
              <w:rPr>
                <w:rFonts w:ascii="Arial"/>
                <w:b/>
                <w:sz w:val="16"/>
              </w:rPr>
            </w:pPr>
            <w:r>
              <w:rPr>
                <w:rFonts w:ascii="Arial"/>
                <w:b/>
                <w:sz w:val="16"/>
              </w:rPr>
              <w:t>No aceptable</w:t>
            </w:r>
          </w:p>
        </w:tc>
        <w:tc>
          <w:tcPr>
            <w:tcW w:w="1560" w:type="dxa"/>
            <w:vMerge/>
            <w:tcBorders>
              <w:left w:val="single" w:sz="12" w:space="0" w:color="000000"/>
            </w:tcBorders>
          </w:tcPr>
          <w:p>
            <w:pPr/>
          </w:p>
        </w:tc>
        <w:tc>
          <w:tcPr>
            <w:tcW w:w="2268" w:type="dxa"/>
            <w:vMerge/>
          </w:tcPr>
          <w:p>
            <w:pPr/>
          </w:p>
        </w:tc>
      </w:tr>
      <w:tr>
        <w:trPr>
          <w:trHeight w:val="631" w:hRule="exact"/>
        </w:trPr>
        <w:tc>
          <w:tcPr>
            <w:tcW w:w="1697" w:type="dxa"/>
          </w:tcPr>
          <w:p>
            <w:pPr>
              <w:pStyle w:val="TableParagraph"/>
              <w:spacing w:before="7"/>
              <w:ind w:right="0"/>
              <w:jc w:val="left"/>
              <w:rPr>
                <w:rFonts w:ascii="Arial"/>
                <w:b/>
                <w:sz w:val="18"/>
              </w:rPr>
            </w:pPr>
          </w:p>
          <w:p>
            <w:pPr>
              <w:pStyle w:val="TableParagraph"/>
              <w:spacing w:before="0"/>
              <w:ind w:left="103" w:right="0"/>
              <w:jc w:val="left"/>
              <w:rPr>
                <w:rFonts w:ascii="Arial"/>
                <w:sz w:val="16"/>
              </w:rPr>
            </w:pPr>
            <w:r>
              <w:rPr>
                <w:rFonts w:ascii="Arial"/>
                <w:sz w:val="16"/>
              </w:rPr>
              <w:t>OD</w:t>
            </w:r>
          </w:p>
        </w:tc>
        <w:tc>
          <w:tcPr>
            <w:tcW w:w="970" w:type="dxa"/>
          </w:tcPr>
          <w:p>
            <w:pPr>
              <w:pStyle w:val="TableParagraph"/>
              <w:spacing w:before="7"/>
              <w:ind w:right="0"/>
              <w:jc w:val="left"/>
              <w:rPr>
                <w:rFonts w:ascii="Arial"/>
                <w:b/>
                <w:sz w:val="18"/>
              </w:rPr>
            </w:pPr>
          </w:p>
          <w:p>
            <w:pPr>
              <w:pStyle w:val="TableParagraph"/>
              <w:spacing w:before="0"/>
              <w:ind w:left="101" w:right="102"/>
              <w:jc w:val="center"/>
              <w:rPr>
                <w:rFonts w:ascii="Arial"/>
                <w:sz w:val="16"/>
              </w:rPr>
            </w:pPr>
            <w:r>
              <w:rPr>
                <w:rFonts w:ascii="Arial"/>
                <w:sz w:val="16"/>
              </w:rPr>
              <w:t>(mg/L)</w:t>
            </w:r>
          </w:p>
        </w:tc>
        <w:tc>
          <w:tcPr>
            <w:tcW w:w="1008" w:type="dxa"/>
          </w:tcPr>
          <w:p>
            <w:pPr>
              <w:pStyle w:val="TableParagraph"/>
              <w:spacing w:before="7"/>
              <w:ind w:right="0"/>
              <w:jc w:val="left"/>
              <w:rPr>
                <w:rFonts w:ascii="Arial"/>
                <w:b/>
                <w:sz w:val="18"/>
              </w:rPr>
            </w:pPr>
          </w:p>
          <w:p>
            <w:pPr>
              <w:pStyle w:val="TableParagraph"/>
              <w:spacing w:before="0"/>
              <w:ind w:left="95" w:right="95"/>
              <w:jc w:val="center"/>
              <w:rPr>
                <w:rFonts w:ascii="Arial"/>
                <w:sz w:val="16"/>
              </w:rPr>
            </w:pPr>
            <w:r>
              <w:rPr>
                <w:rFonts w:ascii="Arial"/>
                <w:sz w:val="16"/>
              </w:rPr>
              <w:t>6,6</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line="183" w:lineRule="exact" w:before="123"/>
              <w:ind w:left="481" w:right="485"/>
              <w:jc w:val="center"/>
              <w:rPr>
                <w:rFonts w:ascii="Arial"/>
                <w:sz w:val="16"/>
              </w:rPr>
            </w:pPr>
            <w:r>
              <w:rPr>
                <w:rFonts w:ascii="Arial"/>
                <w:sz w:val="16"/>
              </w:rPr>
              <w:t>&gt; 5,0</w:t>
            </w:r>
          </w:p>
          <w:p>
            <w:pPr>
              <w:pStyle w:val="TableParagraph"/>
              <w:spacing w:line="183" w:lineRule="exact" w:before="0"/>
              <w:ind w:left="476" w:right="485"/>
              <w:jc w:val="center"/>
              <w:rPr>
                <w:rFonts w:ascii="Arial"/>
                <w:sz w:val="16"/>
              </w:rPr>
            </w:pPr>
            <w:r>
              <w:rPr>
                <w:rFonts w:ascii="Arial"/>
                <w:sz w:val="16"/>
              </w:rPr>
              <w:t>7,8</w:t>
            </w:r>
          </w:p>
        </w:tc>
        <w:tc>
          <w:tcPr>
            <w:tcW w:w="2268" w:type="dxa"/>
          </w:tcPr>
          <w:p>
            <w:pPr>
              <w:pStyle w:val="TableParagraph"/>
              <w:spacing w:before="0"/>
              <w:ind w:left="103" w:right="384"/>
              <w:jc w:val="left"/>
              <w:rPr>
                <w:rFonts w:ascii="Arial"/>
                <w:sz w:val="18"/>
              </w:rPr>
            </w:pPr>
            <w:r>
              <w:rPr>
                <w:rFonts w:ascii="Arial"/>
                <w:sz w:val="18"/>
              </w:rPr>
              <w:t>Blanco (1995) Timmons </w:t>
            </w:r>
            <w:r>
              <w:rPr>
                <w:rFonts w:ascii="Arial"/>
                <w:i/>
                <w:sz w:val="18"/>
              </w:rPr>
              <w:t>et al</w:t>
            </w:r>
            <w:r>
              <w:rPr>
                <w:rFonts w:ascii="Arial"/>
                <w:sz w:val="18"/>
              </w:rPr>
              <w:t>. (2002) DOF (1989)</w:t>
            </w:r>
          </w:p>
        </w:tc>
      </w:tr>
      <w:tr>
        <w:trPr>
          <w:trHeight w:val="216" w:hRule="exact"/>
        </w:trPr>
        <w:tc>
          <w:tcPr>
            <w:tcW w:w="1697" w:type="dxa"/>
          </w:tcPr>
          <w:p>
            <w:pPr>
              <w:pStyle w:val="TableParagraph"/>
              <w:spacing w:before="7"/>
              <w:ind w:left="103" w:right="0"/>
              <w:jc w:val="left"/>
              <w:rPr>
                <w:rFonts w:ascii="Arial"/>
                <w:sz w:val="10"/>
              </w:rPr>
            </w:pPr>
            <w:r>
              <w:rPr>
                <w:rFonts w:ascii="Arial"/>
                <w:position w:val="2"/>
                <w:sz w:val="16"/>
              </w:rPr>
              <w:t>DQO</w:t>
            </w:r>
            <w:r>
              <w:rPr>
                <w:rFonts w:ascii="Arial"/>
                <w:sz w:val="10"/>
              </w:rPr>
              <w:t>T</w:t>
            </w:r>
          </w:p>
        </w:tc>
        <w:tc>
          <w:tcPr>
            <w:tcW w:w="970" w:type="dxa"/>
          </w:tcPr>
          <w:p>
            <w:pPr>
              <w:pStyle w:val="TableParagraph"/>
              <w:spacing w:before="8"/>
              <w:ind w:left="101" w:right="102"/>
              <w:jc w:val="center"/>
              <w:rPr>
                <w:rFonts w:ascii="Arial"/>
                <w:sz w:val="16"/>
              </w:rPr>
            </w:pPr>
            <w:r>
              <w:rPr>
                <w:rFonts w:ascii="Arial"/>
                <w:sz w:val="16"/>
              </w:rPr>
              <w:t>(mg/L)</w:t>
            </w:r>
          </w:p>
        </w:tc>
        <w:tc>
          <w:tcPr>
            <w:tcW w:w="1008" w:type="dxa"/>
          </w:tcPr>
          <w:p>
            <w:pPr>
              <w:pStyle w:val="TableParagraph"/>
              <w:spacing w:before="8"/>
              <w:ind w:left="95" w:right="95"/>
              <w:jc w:val="center"/>
              <w:rPr>
                <w:rFonts w:ascii="Arial"/>
                <w:sz w:val="16"/>
              </w:rPr>
            </w:pPr>
            <w:r>
              <w:rPr>
                <w:rFonts w:ascii="Arial"/>
                <w:sz w:val="16"/>
              </w:rPr>
              <w:t>4,9</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8"/>
              <w:ind w:left="476" w:right="485"/>
              <w:jc w:val="center"/>
              <w:rPr>
                <w:rFonts w:ascii="Arial"/>
                <w:sz w:val="16"/>
              </w:rPr>
            </w:pPr>
            <w:r>
              <w:rPr>
                <w:rFonts w:ascii="Arial"/>
                <w:sz w:val="16"/>
              </w:rPr>
              <w:t>&lt; 150</w:t>
            </w:r>
          </w:p>
        </w:tc>
        <w:tc>
          <w:tcPr>
            <w:tcW w:w="2268" w:type="dxa"/>
          </w:tcPr>
          <w:p>
            <w:pPr>
              <w:pStyle w:val="TableParagraph"/>
              <w:spacing w:line="206" w:lineRule="exact" w:before="0"/>
              <w:ind w:left="103" w:right="154"/>
              <w:jc w:val="left"/>
              <w:rPr>
                <w:rFonts w:ascii="Arial" w:hAnsi="Arial"/>
                <w:sz w:val="18"/>
              </w:rPr>
            </w:pPr>
            <w:r>
              <w:rPr>
                <w:rFonts w:ascii="Arial" w:hAnsi="Arial"/>
                <w:sz w:val="18"/>
              </w:rPr>
              <w:t>García (2008)</w:t>
            </w:r>
          </w:p>
        </w:tc>
      </w:tr>
      <w:tr>
        <w:trPr>
          <w:trHeight w:val="670" w:hRule="exact"/>
        </w:trPr>
        <w:tc>
          <w:tcPr>
            <w:tcW w:w="1697" w:type="dxa"/>
          </w:tcPr>
          <w:p>
            <w:pPr>
              <w:pStyle w:val="TableParagraph"/>
              <w:spacing w:before="3"/>
              <w:ind w:right="0"/>
              <w:jc w:val="left"/>
              <w:rPr>
                <w:rFonts w:ascii="Arial"/>
                <w:b/>
                <w:sz w:val="20"/>
              </w:rPr>
            </w:pPr>
          </w:p>
          <w:p>
            <w:pPr>
              <w:pStyle w:val="TableParagraph"/>
              <w:spacing w:before="0"/>
              <w:ind w:left="103" w:right="0"/>
              <w:jc w:val="left"/>
              <w:rPr>
                <w:rFonts w:ascii="Arial"/>
                <w:b/>
                <w:sz w:val="10"/>
              </w:rPr>
            </w:pPr>
            <w:r>
              <w:rPr>
                <w:rFonts w:ascii="Arial"/>
                <w:b/>
                <w:position w:val="2"/>
                <w:sz w:val="16"/>
              </w:rPr>
              <w:t>N-NH</w:t>
            </w:r>
            <w:r>
              <w:rPr>
                <w:rFonts w:ascii="Arial"/>
                <w:b/>
                <w:sz w:val="10"/>
              </w:rPr>
              <w:t>3</w:t>
            </w:r>
          </w:p>
        </w:tc>
        <w:tc>
          <w:tcPr>
            <w:tcW w:w="970" w:type="dxa"/>
          </w:tcPr>
          <w:p>
            <w:pPr>
              <w:pStyle w:val="TableParagraph"/>
              <w:spacing w:before="3"/>
              <w:ind w:right="0"/>
              <w:jc w:val="left"/>
              <w:rPr>
                <w:rFonts w:ascii="Arial"/>
                <w:b/>
                <w:sz w:val="20"/>
              </w:rPr>
            </w:pPr>
          </w:p>
          <w:p>
            <w:pPr>
              <w:pStyle w:val="TableParagraph"/>
              <w:spacing w:before="1"/>
              <w:ind w:left="101" w:right="102"/>
              <w:jc w:val="center"/>
              <w:rPr>
                <w:rFonts w:ascii="Arial"/>
                <w:b/>
                <w:sz w:val="16"/>
              </w:rPr>
            </w:pPr>
            <w:r>
              <w:rPr>
                <w:rFonts w:ascii="Arial"/>
                <w:b/>
                <w:sz w:val="16"/>
              </w:rPr>
              <w:t>(mg/L)</w:t>
            </w:r>
          </w:p>
        </w:tc>
        <w:tc>
          <w:tcPr>
            <w:tcW w:w="1008" w:type="dxa"/>
          </w:tcPr>
          <w:p>
            <w:pPr/>
          </w:p>
        </w:tc>
        <w:tc>
          <w:tcPr>
            <w:tcW w:w="1286" w:type="dxa"/>
            <w:tcBorders>
              <w:right w:val="single" w:sz="12" w:space="0" w:color="000000"/>
            </w:tcBorders>
          </w:tcPr>
          <w:p>
            <w:pPr>
              <w:pStyle w:val="TableParagraph"/>
              <w:spacing w:before="3"/>
              <w:ind w:right="0"/>
              <w:jc w:val="left"/>
              <w:rPr>
                <w:rFonts w:ascii="Arial"/>
                <w:b/>
                <w:sz w:val="20"/>
              </w:rPr>
            </w:pPr>
          </w:p>
          <w:p>
            <w:pPr>
              <w:pStyle w:val="TableParagraph"/>
              <w:spacing w:before="1"/>
              <w:ind w:left="329" w:right="319"/>
              <w:jc w:val="center"/>
              <w:rPr>
                <w:rFonts w:ascii="Arial"/>
                <w:b/>
                <w:sz w:val="16"/>
              </w:rPr>
            </w:pPr>
            <w:r>
              <w:rPr>
                <w:rFonts w:ascii="Arial"/>
                <w:b/>
                <w:sz w:val="16"/>
              </w:rPr>
              <w:t>0,92</w:t>
            </w:r>
          </w:p>
        </w:tc>
        <w:tc>
          <w:tcPr>
            <w:tcW w:w="1560" w:type="dxa"/>
            <w:tcBorders>
              <w:left w:val="single" w:sz="12" w:space="0" w:color="000000"/>
            </w:tcBorders>
          </w:tcPr>
          <w:p>
            <w:pPr>
              <w:pStyle w:val="TableParagraph"/>
              <w:spacing w:before="3"/>
              <w:ind w:right="0"/>
              <w:jc w:val="left"/>
              <w:rPr>
                <w:rFonts w:ascii="Arial"/>
                <w:b/>
                <w:sz w:val="20"/>
              </w:rPr>
            </w:pPr>
          </w:p>
          <w:p>
            <w:pPr>
              <w:pStyle w:val="TableParagraph"/>
              <w:spacing w:before="1"/>
              <w:ind w:left="481" w:right="485"/>
              <w:jc w:val="center"/>
              <w:rPr>
                <w:rFonts w:ascii="Arial"/>
                <w:b/>
                <w:sz w:val="16"/>
              </w:rPr>
            </w:pPr>
            <w:r>
              <w:rPr>
                <w:rFonts w:ascii="Arial"/>
                <w:b/>
                <w:sz w:val="16"/>
              </w:rPr>
              <w:t>&lt; 1,0</w:t>
            </w:r>
          </w:p>
        </w:tc>
        <w:tc>
          <w:tcPr>
            <w:tcW w:w="2268" w:type="dxa"/>
          </w:tcPr>
          <w:p>
            <w:pPr>
              <w:pStyle w:val="TableParagraph"/>
              <w:spacing w:before="6"/>
              <w:ind w:right="0"/>
              <w:jc w:val="left"/>
              <w:rPr>
                <w:rFonts w:ascii="Arial"/>
                <w:b/>
                <w:sz w:val="19"/>
              </w:rPr>
            </w:pPr>
          </w:p>
          <w:p>
            <w:pPr>
              <w:pStyle w:val="TableParagraph"/>
              <w:spacing w:before="0"/>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425" w:hRule="exact"/>
        </w:trPr>
        <w:tc>
          <w:tcPr>
            <w:tcW w:w="1697" w:type="dxa"/>
          </w:tcPr>
          <w:p>
            <w:pPr>
              <w:pStyle w:val="TableParagraph"/>
              <w:spacing w:line="153" w:lineRule="exact" w:before="88"/>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511" w:right="0"/>
              <w:jc w:val="left"/>
              <w:rPr>
                <w:rFonts w:ascii="Arial"/>
                <w:sz w:val="10"/>
              </w:rPr>
            </w:pPr>
            <w:r>
              <w:rPr>
                <w:rFonts w:ascii="Arial"/>
                <w:w w:val="100"/>
                <w:sz w:val="10"/>
              </w:rPr>
              <w:t>2</w:t>
            </w:r>
          </w:p>
        </w:tc>
        <w:tc>
          <w:tcPr>
            <w:tcW w:w="970" w:type="dxa"/>
          </w:tcPr>
          <w:p>
            <w:pPr>
              <w:pStyle w:val="TableParagraph"/>
              <w:spacing w:before="111"/>
              <w:ind w:left="101" w:right="102"/>
              <w:jc w:val="center"/>
              <w:rPr>
                <w:rFonts w:ascii="Arial"/>
                <w:sz w:val="16"/>
              </w:rPr>
            </w:pPr>
            <w:r>
              <w:rPr>
                <w:rFonts w:ascii="Arial"/>
                <w:sz w:val="16"/>
              </w:rPr>
              <w:t>(mg/L)</w:t>
            </w:r>
          </w:p>
        </w:tc>
        <w:tc>
          <w:tcPr>
            <w:tcW w:w="1008" w:type="dxa"/>
          </w:tcPr>
          <w:p>
            <w:pPr>
              <w:pStyle w:val="TableParagraph"/>
              <w:spacing w:before="111"/>
              <w:ind w:left="95" w:right="95"/>
              <w:jc w:val="center"/>
              <w:rPr>
                <w:rFonts w:ascii="Arial"/>
                <w:sz w:val="16"/>
              </w:rPr>
            </w:pPr>
            <w:r>
              <w:rPr>
                <w:rFonts w:ascii="Arial"/>
                <w:sz w:val="16"/>
              </w:rPr>
              <w:t>0,021</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20"/>
              <w:ind w:left="481" w:right="485"/>
              <w:jc w:val="center"/>
              <w:rPr>
                <w:rFonts w:ascii="Arial"/>
                <w:sz w:val="16"/>
              </w:rPr>
            </w:pPr>
            <w:r>
              <w:rPr>
                <w:rFonts w:ascii="Arial"/>
                <w:sz w:val="16"/>
              </w:rPr>
              <w:t>&lt; 0,5</w:t>
            </w:r>
          </w:p>
          <w:p>
            <w:pPr>
              <w:pStyle w:val="TableParagraph"/>
              <w:spacing w:before="1"/>
              <w:ind w:left="478" w:right="485"/>
              <w:jc w:val="center"/>
              <w:rPr>
                <w:rFonts w:ascii="Arial"/>
                <w:sz w:val="16"/>
              </w:rPr>
            </w:pPr>
            <w:r>
              <w:rPr>
                <w:rFonts w:ascii="Arial"/>
                <w:sz w:val="16"/>
              </w:rPr>
              <w:t>&lt; 0,39</w:t>
            </w:r>
          </w:p>
        </w:tc>
        <w:tc>
          <w:tcPr>
            <w:tcW w:w="2268" w:type="dxa"/>
          </w:tcPr>
          <w:p>
            <w:pPr>
              <w:pStyle w:val="TableParagraph"/>
              <w:spacing w:before="0"/>
              <w:ind w:left="103" w:right="154"/>
              <w:jc w:val="left"/>
              <w:rPr>
                <w:rFonts w:ascii="Arial"/>
                <w:sz w:val="18"/>
              </w:rPr>
            </w:pPr>
            <w:r>
              <w:rPr>
                <w:rFonts w:ascii="Arial"/>
                <w:sz w:val="18"/>
              </w:rPr>
              <w:t>Timmons </w:t>
            </w:r>
            <w:r>
              <w:rPr>
                <w:rFonts w:ascii="Arial"/>
                <w:i/>
                <w:sz w:val="18"/>
              </w:rPr>
              <w:t>et al</w:t>
            </w:r>
            <w:r>
              <w:rPr>
                <w:rFonts w:ascii="Arial"/>
                <w:sz w:val="18"/>
              </w:rPr>
              <w:t>. (2002) Russo y Thurston (1991)</w:t>
            </w:r>
          </w:p>
        </w:tc>
      </w:tr>
      <w:tr>
        <w:trPr>
          <w:trHeight w:val="216" w:hRule="exact"/>
        </w:trPr>
        <w:tc>
          <w:tcPr>
            <w:tcW w:w="1697" w:type="dxa"/>
          </w:tcPr>
          <w:p>
            <w:pPr>
              <w:pStyle w:val="TableParagraph"/>
              <w:spacing w:line="54" w:lineRule="exact" w:before="0"/>
              <w:ind w:right="518"/>
              <w:jc w:val="center"/>
              <w:rPr>
                <w:rFonts w:ascii="Arial"/>
                <w:sz w:val="10"/>
              </w:rPr>
            </w:pPr>
            <w:r>
              <w:rPr>
                <w:rFonts w:ascii="Arial"/>
                <w:w w:val="100"/>
                <w:sz w:val="10"/>
              </w:rPr>
              <w:t>-</w:t>
            </w:r>
          </w:p>
          <w:p>
            <w:pPr>
              <w:pStyle w:val="TableParagraph"/>
              <w:spacing w:line="145" w:lineRule="exact" w:before="0"/>
              <w:ind w:left="103" w:right="0"/>
              <w:jc w:val="left"/>
              <w:rPr>
                <w:rFonts w:ascii="Arial"/>
                <w:sz w:val="10"/>
              </w:rPr>
            </w:pPr>
            <w:r>
              <w:rPr>
                <w:rFonts w:ascii="Arial"/>
                <w:position w:val="2"/>
                <w:sz w:val="16"/>
              </w:rPr>
              <w:t>N-NO</w:t>
            </w:r>
            <w:r>
              <w:rPr>
                <w:rFonts w:ascii="Arial"/>
                <w:sz w:val="10"/>
              </w:rPr>
              <w:t>3</w:t>
            </w:r>
          </w:p>
        </w:tc>
        <w:tc>
          <w:tcPr>
            <w:tcW w:w="970" w:type="dxa"/>
          </w:tcPr>
          <w:p>
            <w:pPr>
              <w:pStyle w:val="TableParagraph"/>
              <w:spacing w:before="8"/>
              <w:ind w:left="101" w:right="102"/>
              <w:jc w:val="center"/>
              <w:rPr>
                <w:rFonts w:ascii="Arial"/>
                <w:sz w:val="16"/>
              </w:rPr>
            </w:pPr>
            <w:r>
              <w:rPr>
                <w:rFonts w:ascii="Arial"/>
                <w:sz w:val="16"/>
              </w:rPr>
              <w:t>(mg/L)</w:t>
            </w:r>
          </w:p>
        </w:tc>
        <w:tc>
          <w:tcPr>
            <w:tcW w:w="1008" w:type="dxa"/>
          </w:tcPr>
          <w:p>
            <w:pPr>
              <w:pStyle w:val="TableParagraph"/>
              <w:spacing w:before="8"/>
              <w:ind w:left="95" w:right="95"/>
              <w:jc w:val="center"/>
              <w:rPr>
                <w:rFonts w:ascii="Arial"/>
                <w:sz w:val="16"/>
              </w:rPr>
            </w:pPr>
            <w:r>
              <w:rPr>
                <w:rFonts w:ascii="Arial"/>
                <w:sz w:val="16"/>
              </w:rPr>
              <w:t>1,7</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8"/>
              <w:ind w:right="501"/>
              <w:rPr>
                <w:rFonts w:ascii="Arial"/>
                <w:sz w:val="16"/>
              </w:rPr>
            </w:pPr>
            <w:r>
              <w:rPr>
                <w:rFonts w:ascii="Arial"/>
                <w:sz w:val="16"/>
              </w:rPr>
              <w:t>&lt; 1 360</w:t>
            </w:r>
          </w:p>
        </w:tc>
        <w:tc>
          <w:tcPr>
            <w:tcW w:w="2268" w:type="dxa"/>
          </w:tcPr>
          <w:p>
            <w:pPr>
              <w:pStyle w:val="TableParagraph"/>
              <w:spacing w:line="206" w:lineRule="exact" w:before="0"/>
              <w:ind w:left="103" w:right="0"/>
              <w:jc w:val="left"/>
              <w:rPr>
                <w:rFonts w:ascii="Arial"/>
                <w:sz w:val="18"/>
              </w:rPr>
            </w:pPr>
            <w:r>
              <w:rPr>
                <w:rFonts w:ascii="Arial"/>
                <w:sz w:val="18"/>
              </w:rPr>
              <w:t>Russo y Thurston (1991)</w:t>
            </w:r>
          </w:p>
        </w:tc>
      </w:tr>
      <w:tr>
        <w:trPr>
          <w:trHeight w:val="425" w:hRule="exact"/>
        </w:trPr>
        <w:tc>
          <w:tcPr>
            <w:tcW w:w="1697" w:type="dxa"/>
          </w:tcPr>
          <w:p>
            <w:pPr>
              <w:pStyle w:val="TableParagraph"/>
              <w:spacing w:before="111"/>
              <w:ind w:left="103" w:right="0"/>
              <w:jc w:val="left"/>
              <w:rPr>
                <w:rFonts w:ascii="Arial"/>
                <w:sz w:val="16"/>
              </w:rPr>
            </w:pPr>
            <w:r>
              <w:rPr>
                <w:rFonts w:ascii="Arial"/>
                <w:sz w:val="16"/>
              </w:rPr>
              <w:t>SST</w:t>
            </w:r>
          </w:p>
        </w:tc>
        <w:tc>
          <w:tcPr>
            <w:tcW w:w="970" w:type="dxa"/>
          </w:tcPr>
          <w:p>
            <w:pPr>
              <w:pStyle w:val="TableParagraph"/>
              <w:spacing w:before="111"/>
              <w:ind w:left="101" w:right="102"/>
              <w:jc w:val="center"/>
              <w:rPr>
                <w:rFonts w:ascii="Arial"/>
                <w:sz w:val="16"/>
              </w:rPr>
            </w:pPr>
            <w:r>
              <w:rPr>
                <w:rFonts w:ascii="Arial"/>
                <w:sz w:val="16"/>
              </w:rPr>
              <w:t>(mg/L)</w:t>
            </w:r>
          </w:p>
        </w:tc>
        <w:tc>
          <w:tcPr>
            <w:tcW w:w="1008" w:type="dxa"/>
          </w:tcPr>
          <w:p>
            <w:pPr>
              <w:pStyle w:val="TableParagraph"/>
              <w:spacing w:before="111"/>
              <w:ind w:left="95" w:right="95"/>
              <w:jc w:val="center"/>
              <w:rPr>
                <w:rFonts w:ascii="Arial"/>
                <w:sz w:val="16"/>
              </w:rPr>
            </w:pPr>
            <w:r>
              <w:rPr>
                <w:rFonts w:ascii="Arial"/>
                <w:sz w:val="16"/>
              </w:rPr>
              <w:t>14</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111"/>
              <w:ind w:left="479" w:right="485"/>
              <w:jc w:val="center"/>
              <w:rPr>
                <w:rFonts w:ascii="Arial"/>
                <w:sz w:val="16"/>
              </w:rPr>
            </w:pPr>
            <w:r>
              <w:rPr>
                <w:rFonts w:ascii="Arial"/>
                <w:sz w:val="16"/>
              </w:rPr>
              <w:t>&lt; 80</w:t>
            </w:r>
          </w:p>
        </w:tc>
        <w:tc>
          <w:tcPr>
            <w:tcW w:w="2268" w:type="dxa"/>
          </w:tcPr>
          <w:p>
            <w:pPr>
              <w:pStyle w:val="TableParagraph"/>
              <w:spacing w:line="204" w:lineRule="exact" w:before="7"/>
              <w:ind w:left="103" w:right="384"/>
              <w:jc w:val="left"/>
              <w:rPr>
                <w:rFonts w:ascii="Arial"/>
                <w:sz w:val="18"/>
              </w:rPr>
            </w:pPr>
            <w:r>
              <w:rPr>
                <w:rFonts w:ascii="Arial"/>
                <w:sz w:val="18"/>
              </w:rPr>
              <w:t>Blanco (1995) Timmons </w:t>
            </w:r>
            <w:r>
              <w:rPr>
                <w:rFonts w:ascii="Arial"/>
                <w:i/>
                <w:sz w:val="18"/>
              </w:rPr>
              <w:t>et al</w:t>
            </w:r>
            <w:r>
              <w:rPr>
                <w:rFonts w:ascii="Arial"/>
                <w:sz w:val="18"/>
              </w:rPr>
              <w:t>. (2002)</w:t>
            </w:r>
          </w:p>
        </w:tc>
      </w:tr>
      <w:tr>
        <w:trPr>
          <w:trHeight w:val="425" w:hRule="exact"/>
        </w:trPr>
        <w:tc>
          <w:tcPr>
            <w:tcW w:w="1697" w:type="dxa"/>
          </w:tcPr>
          <w:p>
            <w:pPr>
              <w:pStyle w:val="TableParagraph"/>
              <w:spacing w:before="109"/>
              <w:ind w:left="103" w:right="0"/>
              <w:jc w:val="left"/>
              <w:rPr>
                <w:rFonts w:ascii="Arial"/>
                <w:b/>
                <w:sz w:val="16"/>
              </w:rPr>
            </w:pPr>
            <w:r>
              <w:rPr>
                <w:rFonts w:ascii="Arial"/>
                <w:b/>
                <w:sz w:val="16"/>
              </w:rPr>
              <w:t>Ca</w:t>
            </w:r>
          </w:p>
        </w:tc>
        <w:tc>
          <w:tcPr>
            <w:tcW w:w="970" w:type="dxa"/>
          </w:tcPr>
          <w:p>
            <w:pPr>
              <w:pStyle w:val="TableParagraph"/>
              <w:spacing w:before="109"/>
              <w:ind w:left="100" w:right="102"/>
              <w:jc w:val="center"/>
              <w:rPr>
                <w:rFonts w:ascii="Arial"/>
                <w:b/>
                <w:sz w:val="16"/>
              </w:rPr>
            </w:pPr>
            <w:r>
              <w:rPr>
                <w:rFonts w:ascii="Arial"/>
                <w:b/>
                <w:sz w:val="16"/>
              </w:rPr>
              <w:t>(mg/L)</w:t>
            </w:r>
          </w:p>
        </w:tc>
        <w:tc>
          <w:tcPr>
            <w:tcW w:w="1008" w:type="dxa"/>
          </w:tcPr>
          <w:p>
            <w:pPr/>
          </w:p>
        </w:tc>
        <w:tc>
          <w:tcPr>
            <w:tcW w:w="1286" w:type="dxa"/>
            <w:tcBorders>
              <w:right w:val="single" w:sz="12" w:space="0" w:color="000000"/>
            </w:tcBorders>
          </w:tcPr>
          <w:p>
            <w:pPr>
              <w:pStyle w:val="TableParagraph"/>
              <w:spacing w:before="109"/>
              <w:ind w:left="329" w:right="319"/>
              <w:jc w:val="center"/>
              <w:rPr>
                <w:rFonts w:ascii="Arial"/>
                <w:b/>
                <w:sz w:val="16"/>
              </w:rPr>
            </w:pPr>
            <w:r>
              <w:rPr>
                <w:rFonts w:ascii="Arial"/>
                <w:b/>
                <w:sz w:val="16"/>
              </w:rPr>
              <w:t>1,41</w:t>
            </w:r>
          </w:p>
        </w:tc>
        <w:tc>
          <w:tcPr>
            <w:tcW w:w="1560" w:type="dxa"/>
            <w:tcBorders>
              <w:left w:val="single" w:sz="12" w:space="0" w:color="000000"/>
            </w:tcBorders>
          </w:tcPr>
          <w:p>
            <w:pPr>
              <w:pStyle w:val="TableParagraph"/>
              <w:spacing w:line="183" w:lineRule="exact" w:before="18"/>
              <w:ind w:left="479" w:right="485"/>
              <w:jc w:val="center"/>
              <w:rPr>
                <w:rFonts w:ascii="Arial"/>
                <w:b/>
                <w:sz w:val="16"/>
              </w:rPr>
            </w:pPr>
            <w:r>
              <w:rPr>
                <w:rFonts w:ascii="Arial"/>
                <w:b/>
                <w:sz w:val="16"/>
              </w:rPr>
              <w:t>&gt; 50</w:t>
            </w:r>
          </w:p>
          <w:p>
            <w:pPr>
              <w:pStyle w:val="TableParagraph"/>
              <w:spacing w:line="183" w:lineRule="exact" w:before="0"/>
              <w:ind w:left="481" w:right="485"/>
              <w:jc w:val="center"/>
              <w:rPr>
                <w:rFonts w:ascii="Arial" w:hAnsi="Arial"/>
                <w:b/>
                <w:sz w:val="16"/>
              </w:rPr>
            </w:pPr>
            <w:r>
              <w:rPr>
                <w:rFonts w:ascii="Arial" w:hAnsi="Arial"/>
                <w:b/>
                <w:sz w:val="16"/>
              </w:rPr>
              <w:t>4 – 160</w:t>
            </w:r>
          </w:p>
        </w:tc>
        <w:tc>
          <w:tcPr>
            <w:tcW w:w="2268" w:type="dxa"/>
          </w:tcPr>
          <w:p>
            <w:pPr>
              <w:pStyle w:val="TableParagraph"/>
              <w:spacing w:line="204" w:lineRule="exact" w:before="5"/>
              <w:ind w:left="103" w:right="384"/>
              <w:jc w:val="left"/>
              <w:rPr>
                <w:rFonts w:ascii="Arial"/>
                <w:sz w:val="18"/>
              </w:rPr>
            </w:pPr>
            <w:r>
              <w:rPr>
                <w:rFonts w:ascii="Arial"/>
                <w:sz w:val="18"/>
              </w:rPr>
              <w:t>Klontz (1991) Timmons </w:t>
            </w:r>
            <w:r>
              <w:rPr>
                <w:rFonts w:ascii="Arial"/>
                <w:i/>
                <w:sz w:val="18"/>
              </w:rPr>
              <w:t>et al</w:t>
            </w:r>
            <w:r>
              <w:rPr>
                <w:rFonts w:ascii="Arial"/>
                <w:sz w:val="18"/>
              </w:rPr>
              <w:t>. (2002)</w:t>
            </w:r>
          </w:p>
        </w:tc>
      </w:tr>
      <w:tr>
        <w:trPr>
          <w:trHeight w:val="216" w:hRule="exact"/>
        </w:trPr>
        <w:tc>
          <w:tcPr>
            <w:tcW w:w="1697" w:type="dxa"/>
          </w:tcPr>
          <w:p>
            <w:pPr>
              <w:pStyle w:val="TableParagraph"/>
              <w:spacing w:before="8"/>
              <w:ind w:left="103" w:right="0"/>
              <w:jc w:val="left"/>
              <w:rPr>
                <w:rFonts w:ascii="Arial"/>
                <w:sz w:val="16"/>
              </w:rPr>
            </w:pPr>
            <w:r>
              <w:rPr>
                <w:rFonts w:ascii="Arial"/>
                <w:w w:val="100"/>
                <w:sz w:val="16"/>
              </w:rPr>
              <w:t>K</w:t>
            </w:r>
          </w:p>
        </w:tc>
        <w:tc>
          <w:tcPr>
            <w:tcW w:w="970" w:type="dxa"/>
          </w:tcPr>
          <w:p>
            <w:pPr>
              <w:pStyle w:val="TableParagraph"/>
              <w:spacing w:before="8"/>
              <w:ind w:left="101" w:right="102"/>
              <w:jc w:val="center"/>
              <w:rPr>
                <w:rFonts w:ascii="Arial"/>
                <w:sz w:val="16"/>
              </w:rPr>
            </w:pPr>
            <w:r>
              <w:rPr>
                <w:rFonts w:ascii="Arial"/>
                <w:sz w:val="16"/>
              </w:rPr>
              <w:t>(mg/L)</w:t>
            </w:r>
          </w:p>
        </w:tc>
        <w:tc>
          <w:tcPr>
            <w:tcW w:w="1008" w:type="dxa"/>
          </w:tcPr>
          <w:p>
            <w:pPr>
              <w:pStyle w:val="TableParagraph"/>
              <w:spacing w:before="8"/>
              <w:ind w:left="95" w:right="95"/>
              <w:jc w:val="center"/>
              <w:rPr>
                <w:rFonts w:ascii="Arial"/>
                <w:sz w:val="16"/>
              </w:rPr>
            </w:pPr>
            <w:r>
              <w:rPr>
                <w:rFonts w:ascii="Arial"/>
                <w:sz w:val="16"/>
              </w:rPr>
              <w:t>0,18</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8"/>
              <w:ind w:left="476" w:right="485"/>
              <w:jc w:val="center"/>
              <w:rPr>
                <w:rFonts w:ascii="Arial"/>
                <w:sz w:val="16"/>
              </w:rPr>
            </w:pPr>
            <w:r>
              <w:rPr>
                <w:rFonts w:ascii="Arial"/>
                <w:sz w:val="16"/>
              </w:rPr>
              <w:t>&lt; 5</w:t>
            </w:r>
          </w:p>
        </w:tc>
        <w:tc>
          <w:tcPr>
            <w:tcW w:w="2268" w:type="dxa"/>
          </w:tcPr>
          <w:p>
            <w:pPr>
              <w:pStyle w:val="TableParagraph"/>
              <w:spacing w:line="204" w:lineRule="exact" w:before="0"/>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218" w:hRule="exact"/>
        </w:trPr>
        <w:tc>
          <w:tcPr>
            <w:tcW w:w="1697" w:type="dxa"/>
          </w:tcPr>
          <w:p>
            <w:pPr>
              <w:pStyle w:val="TableParagraph"/>
              <w:spacing w:before="8"/>
              <w:ind w:left="103" w:right="0"/>
              <w:jc w:val="left"/>
              <w:rPr>
                <w:rFonts w:ascii="Arial"/>
                <w:sz w:val="16"/>
              </w:rPr>
            </w:pPr>
            <w:r>
              <w:rPr>
                <w:rFonts w:ascii="Arial"/>
                <w:sz w:val="16"/>
              </w:rPr>
              <w:t>Mn</w:t>
            </w:r>
          </w:p>
        </w:tc>
        <w:tc>
          <w:tcPr>
            <w:tcW w:w="970" w:type="dxa"/>
          </w:tcPr>
          <w:p>
            <w:pPr>
              <w:pStyle w:val="TableParagraph"/>
              <w:spacing w:before="8"/>
              <w:ind w:left="101" w:right="102"/>
              <w:jc w:val="center"/>
              <w:rPr>
                <w:rFonts w:ascii="Arial"/>
                <w:sz w:val="16"/>
              </w:rPr>
            </w:pPr>
            <w:r>
              <w:rPr>
                <w:rFonts w:ascii="Arial"/>
                <w:sz w:val="16"/>
              </w:rPr>
              <w:t>(mg/L)</w:t>
            </w:r>
          </w:p>
        </w:tc>
        <w:tc>
          <w:tcPr>
            <w:tcW w:w="1008" w:type="dxa"/>
          </w:tcPr>
          <w:p>
            <w:pPr>
              <w:pStyle w:val="TableParagraph"/>
              <w:spacing w:before="8"/>
              <w:ind w:left="95" w:right="95"/>
              <w:jc w:val="center"/>
              <w:rPr>
                <w:rFonts w:ascii="Arial"/>
                <w:sz w:val="16"/>
              </w:rPr>
            </w:pPr>
            <w:r>
              <w:rPr>
                <w:rFonts w:ascii="Arial"/>
                <w:sz w:val="16"/>
              </w:rPr>
              <w:t>0,25</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8"/>
              <w:ind w:left="478" w:right="485"/>
              <w:jc w:val="center"/>
              <w:rPr>
                <w:rFonts w:ascii="Arial"/>
                <w:sz w:val="16"/>
              </w:rPr>
            </w:pPr>
            <w:r>
              <w:rPr>
                <w:rFonts w:ascii="Arial"/>
                <w:sz w:val="16"/>
              </w:rPr>
              <w:t>&lt; 0,01</w:t>
            </w:r>
          </w:p>
        </w:tc>
        <w:tc>
          <w:tcPr>
            <w:tcW w:w="2268" w:type="dxa"/>
          </w:tcPr>
          <w:p>
            <w:pPr>
              <w:pStyle w:val="TableParagraph"/>
              <w:spacing w:line="204" w:lineRule="exact" w:before="0"/>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216" w:hRule="exact"/>
        </w:trPr>
        <w:tc>
          <w:tcPr>
            <w:tcW w:w="1697" w:type="dxa"/>
          </w:tcPr>
          <w:p>
            <w:pPr>
              <w:pStyle w:val="TableParagraph"/>
              <w:spacing w:before="6"/>
              <w:ind w:left="103" w:right="0"/>
              <w:jc w:val="left"/>
              <w:rPr>
                <w:rFonts w:ascii="Arial"/>
                <w:sz w:val="16"/>
              </w:rPr>
            </w:pPr>
            <w:r>
              <w:rPr>
                <w:rFonts w:ascii="Arial"/>
                <w:sz w:val="16"/>
              </w:rPr>
              <w:t>Na</w:t>
            </w:r>
          </w:p>
        </w:tc>
        <w:tc>
          <w:tcPr>
            <w:tcW w:w="970" w:type="dxa"/>
          </w:tcPr>
          <w:p>
            <w:pPr>
              <w:pStyle w:val="TableParagraph"/>
              <w:spacing w:before="6"/>
              <w:ind w:left="101" w:right="102"/>
              <w:jc w:val="center"/>
              <w:rPr>
                <w:rFonts w:ascii="Arial"/>
                <w:sz w:val="16"/>
              </w:rPr>
            </w:pPr>
            <w:r>
              <w:rPr>
                <w:rFonts w:ascii="Arial"/>
                <w:sz w:val="16"/>
              </w:rPr>
              <w:t>(mg/L)</w:t>
            </w:r>
          </w:p>
        </w:tc>
        <w:tc>
          <w:tcPr>
            <w:tcW w:w="1008" w:type="dxa"/>
          </w:tcPr>
          <w:p>
            <w:pPr>
              <w:pStyle w:val="TableParagraph"/>
              <w:spacing w:before="6"/>
              <w:ind w:left="95" w:right="95"/>
              <w:jc w:val="center"/>
              <w:rPr>
                <w:rFonts w:ascii="Arial"/>
                <w:sz w:val="16"/>
              </w:rPr>
            </w:pPr>
            <w:r>
              <w:rPr>
                <w:rFonts w:ascii="Arial"/>
                <w:sz w:val="16"/>
              </w:rPr>
              <w:t>0,22</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6"/>
              <w:ind w:left="479" w:right="485"/>
              <w:jc w:val="center"/>
              <w:rPr>
                <w:rFonts w:ascii="Arial"/>
                <w:sz w:val="16"/>
              </w:rPr>
            </w:pPr>
            <w:r>
              <w:rPr>
                <w:rFonts w:ascii="Arial"/>
                <w:sz w:val="16"/>
              </w:rPr>
              <w:t>&lt; 75</w:t>
            </w:r>
          </w:p>
        </w:tc>
        <w:tc>
          <w:tcPr>
            <w:tcW w:w="2268" w:type="dxa"/>
          </w:tcPr>
          <w:p>
            <w:pPr>
              <w:pStyle w:val="TableParagraph"/>
              <w:spacing w:line="204" w:lineRule="exact" w:before="0"/>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216" w:hRule="exact"/>
        </w:trPr>
        <w:tc>
          <w:tcPr>
            <w:tcW w:w="1697" w:type="dxa"/>
          </w:tcPr>
          <w:p>
            <w:pPr>
              <w:pStyle w:val="TableParagraph"/>
              <w:spacing w:line="192" w:lineRule="exact" w:before="0"/>
              <w:ind w:left="103" w:right="0"/>
              <w:jc w:val="left"/>
              <w:rPr>
                <w:rFonts w:ascii="Arial"/>
                <w:sz w:val="10"/>
              </w:rPr>
            </w:pPr>
            <w:r>
              <w:rPr>
                <w:rFonts w:ascii="Arial"/>
                <w:sz w:val="16"/>
              </w:rPr>
              <w:t>Cl</w:t>
            </w:r>
            <w:r>
              <w:rPr>
                <w:rFonts w:ascii="Arial"/>
                <w:position w:val="8"/>
                <w:sz w:val="10"/>
              </w:rPr>
              <w:t>-</w:t>
            </w:r>
          </w:p>
        </w:tc>
        <w:tc>
          <w:tcPr>
            <w:tcW w:w="970" w:type="dxa"/>
          </w:tcPr>
          <w:p>
            <w:pPr>
              <w:pStyle w:val="TableParagraph"/>
              <w:spacing w:before="8"/>
              <w:ind w:left="101" w:right="102"/>
              <w:jc w:val="center"/>
              <w:rPr>
                <w:rFonts w:ascii="Arial"/>
                <w:sz w:val="16"/>
              </w:rPr>
            </w:pPr>
            <w:r>
              <w:rPr>
                <w:rFonts w:ascii="Arial"/>
                <w:sz w:val="16"/>
              </w:rPr>
              <w:t>(mg/L)</w:t>
            </w:r>
          </w:p>
        </w:tc>
        <w:tc>
          <w:tcPr>
            <w:tcW w:w="1008" w:type="dxa"/>
          </w:tcPr>
          <w:p>
            <w:pPr>
              <w:pStyle w:val="TableParagraph"/>
              <w:spacing w:before="8"/>
              <w:ind w:left="95" w:right="95"/>
              <w:jc w:val="center"/>
              <w:rPr>
                <w:rFonts w:ascii="Arial"/>
                <w:sz w:val="16"/>
              </w:rPr>
            </w:pPr>
            <w:r>
              <w:rPr>
                <w:rFonts w:ascii="Arial"/>
                <w:sz w:val="16"/>
              </w:rPr>
              <w:t>2,30</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8"/>
              <w:ind w:left="476" w:right="485"/>
              <w:jc w:val="center"/>
              <w:rPr>
                <w:rFonts w:ascii="Arial"/>
                <w:sz w:val="16"/>
              </w:rPr>
            </w:pPr>
            <w:r>
              <w:rPr>
                <w:rFonts w:ascii="Arial"/>
                <w:sz w:val="16"/>
              </w:rPr>
              <w:t>&lt; 250</w:t>
            </w:r>
          </w:p>
        </w:tc>
        <w:tc>
          <w:tcPr>
            <w:tcW w:w="2268" w:type="dxa"/>
          </w:tcPr>
          <w:p>
            <w:pPr>
              <w:pStyle w:val="TableParagraph"/>
              <w:spacing w:line="206" w:lineRule="exact" w:before="0"/>
              <w:ind w:left="103" w:right="154"/>
              <w:jc w:val="left"/>
              <w:rPr>
                <w:rFonts w:ascii="Arial"/>
                <w:sz w:val="18"/>
              </w:rPr>
            </w:pPr>
            <w:r>
              <w:rPr>
                <w:rFonts w:ascii="Arial"/>
                <w:sz w:val="18"/>
              </w:rPr>
              <w:t>DOF (1989)</w:t>
            </w:r>
          </w:p>
        </w:tc>
      </w:tr>
      <w:tr>
        <w:trPr>
          <w:trHeight w:val="218" w:hRule="exact"/>
        </w:trPr>
        <w:tc>
          <w:tcPr>
            <w:tcW w:w="1697" w:type="dxa"/>
          </w:tcPr>
          <w:p>
            <w:pPr>
              <w:pStyle w:val="TableParagraph"/>
              <w:spacing w:line="54" w:lineRule="exact" w:before="0"/>
              <w:ind w:left="391" w:right="0"/>
              <w:jc w:val="left"/>
              <w:rPr>
                <w:rFonts w:ascii="Arial"/>
                <w:sz w:val="10"/>
              </w:rPr>
            </w:pPr>
            <w:r>
              <w:rPr>
                <w:rFonts w:ascii="Arial"/>
                <w:sz w:val="10"/>
              </w:rPr>
              <w:t>-2</w:t>
            </w:r>
          </w:p>
          <w:p>
            <w:pPr>
              <w:pStyle w:val="TableParagraph"/>
              <w:spacing w:line="145" w:lineRule="exact" w:before="0"/>
              <w:ind w:left="103" w:right="0"/>
              <w:jc w:val="left"/>
              <w:rPr>
                <w:rFonts w:ascii="Arial"/>
                <w:sz w:val="10"/>
              </w:rPr>
            </w:pPr>
            <w:r>
              <w:rPr>
                <w:rFonts w:ascii="Arial"/>
                <w:position w:val="2"/>
                <w:sz w:val="16"/>
              </w:rPr>
              <w:t>SO</w:t>
            </w:r>
            <w:r>
              <w:rPr>
                <w:rFonts w:ascii="Arial"/>
                <w:sz w:val="10"/>
              </w:rPr>
              <w:t>4</w:t>
            </w:r>
          </w:p>
        </w:tc>
        <w:tc>
          <w:tcPr>
            <w:tcW w:w="970" w:type="dxa"/>
          </w:tcPr>
          <w:p>
            <w:pPr>
              <w:pStyle w:val="TableParagraph"/>
              <w:spacing w:before="8"/>
              <w:ind w:left="101" w:right="102"/>
              <w:jc w:val="center"/>
              <w:rPr>
                <w:rFonts w:ascii="Arial"/>
                <w:sz w:val="16"/>
              </w:rPr>
            </w:pPr>
            <w:r>
              <w:rPr>
                <w:rFonts w:ascii="Arial"/>
                <w:sz w:val="16"/>
              </w:rPr>
              <w:t>(mg/L)</w:t>
            </w:r>
          </w:p>
        </w:tc>
        <w:tc>
          <w:tcPr>
            <w:tcW w:w="1008" w:type="dxa"/>
          </w:tcPr>
          <w:p>
            <w:pPr>
              <w:pStyle w:val="TableParagraph"/>
              <w:spacing w:before="8"/>
              <w:ind w:left="95" w:right="93"/>
              <w:jc w:val="center"/>
              <w:rPr>
                <w:rFonts w:ascii="Arial"/>
                <w:sz w:val="16"/>
              </w:rPr>
            </w:pPr>
            <w:r>
              <w:rPr>
                <w:rFonts w:ascii="Arial"/>
                <w:sz w:val="16"/>
              </w:rPr>
              <w:t>&lt; 5,0</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8"/>
              <w:ind w:left="479" w:right="485"/>
              <w:jc w:val="center"/>
              <w:rPr>
                <w:rFonts w:ascii="Arial"/>
                <w:sz w:val="16"/>
              </w:rPr>
            </w:pPr>
            <w:r>
              <w:rPr>
                <w:rFonts w:ascii="Arial"/>
                <w:sz w:val="16"/>
              </w:rPr>
              <w:t>&lt; 50</w:t>
            </w:r>
          </w:p>
        </w:tc>
        <w:tc>
          <w:tcPr>
            <w:tcW w:w="2268" w:type="dxa"/>
          </w:tcPr>
          <w:p>
            <w:pPr>
              <w:pStyle w:val="TableParagraph"/>
              <w:spacing w:line="206" w:lineRule="exact" w:before="0"/>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631" w:hRule="exact"/>
        </w:trPr>
        <w:tc>
          <w:tcPr>
            <w:tcW w:w="1697" w:type="dxa"/>
          </w:tcPr>
          <w:p>
            <w:pPr>
              <w:pStyle w:val="TableParagraph"/>
              <w:spacing w:before="7"/>
              <w:ind w:right="0"/>
              <w:jc w:val="left"/>
              <w:rPr>
                <w:rFonts w:ascii="Arial"/>
                <w:b/>
                <w:sz w:val="18"/>
              </w:rPr>
            </w:pPr>
          </w:p>
          <w:p>
            <w:pPr>
              <w:pStyle w:val="TableParagraph"/>
              <w:spacing w:before="0"/>
              <w:ind w:left="103" w:right="0"/>
              <w:jc w:val="left"/>
              <w:rPr>
                <w:rFonts w:ascii="Arial"/>
                <w:sz w:val="16"/>
              </w:rPr>
            </w:pPr>
            <w:r>
              <w:rPr>
                <w:rFonts w:ascii="Arial"/>
                <w:sz w:val="16"/>
              </w:rPr>
              <w:t>Fe</w:t>
            </w:r>
          </w:p>
        </w:tc>
        <w:tc>
          <w:tcPr>
            <w:tcW w:w="970" w:type="dxa"/>
          </w:tcPr>
          <w:p>
            <w:pPr>
              <w:pStyle w:val="TableParagraph"/>
              <w:spacing w:before="7"/>
              <w:ind w:right="0"/>
              <w:jc w:val="left"/>
              <w:rPr>
                <w:rFonts w:ascii="Arial"/>
                <w:b/>
                <w:sz w:val="18"/>
              </w:rPr>
            </w:pPr>
          </w:p>
          <w:p>
            <w:pPr>
              <w:pStyle w:val="TableParagraph"/>
              <w:spacing w:before="0"/>
              <w:ind w:left="101" w:right="102"/>
              <w:jc w:val="center"/>
              <w:rPr>
                <w:rFonts w:ascii="Arial"/>
                <w:sz w:val="16"/>
              </w:rPr>
            </w:pPr>
            <w:r>
              <w:rPr>
                <w:rFonts w:ascii="Arial"/>
                <w:sz w:val="16"/>
              </w:rPr>
              <w:t>(mg/L)</w:t>
            </w:r>
          </w:p>
        </w:tc>
        <w:tc>
          <w:tcPr>
            <w:tcW w:w="1008" w:type="dxa"/>
          </w:tcPr>
          <w:p>
            <w:pPr>
              <w:pStyle w:val="TableParagraph"/>
              <w:spacing w:before="7"/>
              <w:ind w:right="0"/>
              <w:jc w:val="left"/>
              <w:rPr>
                <w:rFonts w:ascii="Arial"/>
                <w:b/>
                <w:sz w:val="18"/>
              </w:rPr>
            </w:pPr>
          </w:p>
          <w:p>
            <w:pPr>
              <w:pStyle w:val="TableParagraph"/>
              <w:spacing w:before="0"/>
              <w:ind w:left="95" w:right="95"/>
              <w:jc w:val="center"/>
              <w:rPr>
                <w:rFonts w:ascii="Arial"/>
                <w:sz w:val="16"/>
              </w:rPr>
            </w:pPr>
            <w:r>
              <w:rPr>
                <w:rFonts w:ascii="Arial"/>
                <w:sz w:val="16"/>
              </w:rPr>
              <w:t>0,14</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line="183" w:lineRule="exact" w:before="123"/>
              <w:ind w:left="481" w:right="485"/>
              <w:jc w:val="center"/>
              <w:rPr>
                <w:rFonts w:ascii="Arial"/>
                <w:sz w:val="16"/>
              </w:rPr>
            </w:pPr>
            <w:r>
              <w:rPr>
                <w:rFonts w:ascii="Arial"/>
                <w:sz w:val="16"/>
              </w:rPr>
              <w:t>&lt; 1,0</w:t>
            </w:r>
          </w:p>
          <w:p>
            <w:pPr>
              <w:pStyle w:val="TableParagraph"/>
              <w:spacing w:line="183" w:lineRule="exact" w:before="0"/>
              <w:ind w:left="478" w:right="485"/>
              <w:jc w:val="center"/>
              <w:rPr>
                <w:rFonts w:ascii="Arial"/>
                <w:sz w:val="16"/>
              </w:rPr>
            </w:pPr>
            <w:r>
              <w:rPr>
                <w:rFonts w:ascii="Arial"/>
                <w:sz w:val="16"/>
              </w:rPr>
              <w:t>&lt; 0,15</w:t>
            </w:r>
          </w:p>
        </w:tc>
        <w:tc>
          <w:tcPr>
            <w:tcW w:w="2268" w:type="dxa"/>
          </w:tcPr>
          <w:p>
            <w:pPr>
              <w:pStyle w:val="TableParagraph"/>
              <w:spacing w:line="206" w:lineRule="exact" w:before="0"/>
              <w:ind w:left="103" w:right="154"/>
              <w:jc w:val="left"/>
              <w:rPr>
                <w:rFonts w:ascii="Arial"/>
                <w:sz w:val="18"/>
              </w:rPr>
            </w:pPr>
            <w:r>
              <w:rPr>
                <w:rFonts w:ascii="Arial"/>
                <w:sz w:val="18"/>
              </w:rPr>
              <w:t>Klontz (1991)</w:t>
            </w:r>
          </w:p>
          <w:p>
            <w:pPr>
              <w:pStyle w:val="TableParagraph"/>
              <w:spacing w:line="205" w:lineRule="exact" w:before="0"/>
              <w:ind w:left="103" w:right="154"/>
              <w:jc w:val="left"/>
              <w:rPr>
                <w:rFonts w:ascii="Arial"/>
                <w:sz w:val="18"/>
              </w:rPr>
            </w:pPr>
            <w:r>
              <w:rPr>
                <w:rFonts w:ascii="Arial"/>
                <w:sz w:val="18"/>
              </w:rPr>
              <w:t>DOF (1989)</w:t>
            </w:r>
          </w:p>
          <w:p>
            <w:pPr>
              <w:pStyle w:val="TableParagraph"/>
              <w:spacing w:line="205" w:lineRule="exact" w:before="0"/>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216" w:hRule="exact"/>
        </w:trPr>
        <w:tc>
          <w:tcPr>
            <w:tcW w:w="1697" w:type="dxa"/>
          </w:tcPr>
          <w:p>
            <w:pPr>
              <w:pStyle w:val="TableParagraph"/>
              <w:spacing w:before="8"/>
              <w:ind w:left="103" w:right="0"/>
              <w:jc w:val="left"/>
              <w:rPr>
                <w:rFonts w:ascii="Arial"/>
                <w:sz w:val="16"/>
              </w:rPr>
            </w:pPr>
            <w:r>
              <w:rPr>
                <w:rFonts w:ascii="Arial"/>
                <w:sz w:val="16"/>
              </w:rPr>
              <w:t>Mg</w:t>
            </w:r>
          </w:p>
        </w:tc>
        <w:tc>
          <w:tcPr>
            <w:tcW w:w="970" w:type="dxa"/>
          </w:tcPr>
          <w:p>
            <w:pPr>
              <w:pStyle w:val="TableParagraph"/>
              <w:spacing w:before="8"/>
              <w:ind w:left="101" w:right="102"/>
              <w:jc w:val="center"/>
              <w:rPr>
                <w:rFonts w:ascii="Arial"/>
                <w:sz w:val="16"/>
              </w:rPr>
            </w:pPr>
            <w:r>
              <w:rPr>
                <w:rFonts w:ascii="Arial"/>
                <w:sz w:val="16"/>
              </w:rPr>
              <w:t>(mg/L)</w:t>
            </w:r>
          </w:p>
        </w:tc>
        <w:tc>
          <w:tcPr>
            <w:tcW w:w="1008" w:type="dxa"/>
          </w:tcPr>
          <w:p>
            <w:pPr>
              <w:pStyle w:val="TableParagraph"/>
              <w:spacing w:before="8"/>
              <w:ind w:left="95" w:right="95"/>
              <w:jc w:val="center"/>
              <w:rPr>
                <w:rFonts w:ascii="Arial"/>
                <w:sz w:val="16"/>
              </w:rPr>
            </w:pPr>
            <w:r>
              <w:rPr>
                <w:rFonts w:ascii="Arial"/>
                <w:sz w:val="16"/>
              </w:rPr>
              <w:t>0,19</w:t>
            </w:r>
          </w:p>
        </w:tc>
        <w:tc>
          <w:tcPr>
            <w:tcW w:w="1286" w:type="dxa"/>
            <w:tcBorders>
              <w:right w:val="single" w:sz="12" w:space="0" w:color="000000"/>
            </w:tcBorders>
          </w:tcPr>
          <w:p>
            <w:pPr/>
          </w:p>
        </w:tc>
        <w:tc>
          <w:tcPr>
            <w:tcW w:w="1560" w:type="dxa"/>
            <w:tcBorders>
              <w:left w:val="single" w:sz="12" w:space="0" w:color="000000"/>
            </w:tcBorders>
          </w:tcPr>
          <w:p>
            <w:pPr>
              <w:pStyle w:val="TableParagraph"/>
              <w:spacing w:before="8"/>
              <w:ind w:left="479" w:right="485"/>
              <w:jc w:val="center"/>
              <w:rPr>
                <w:rFonts w:ascii="Arial"/>
                <w:sz w:val="16"/>
              </w:rPr>
            </w:pPr>
            <w:r>
              <w:rPr>
                <w:rFonts w:ascii="Arial"/>
                <w:sz w:val="16"/>
              </w:rPr>
              <w:t>&lt; 15</w:t>
            </w:r>
          </w:p>
        </w:tc>
        <w:tc>
          <w:tcPr>
            <w:tcW w:w="2268" w:type="dxa"/>
          </w:tcPr>
          <w:p>
            <w:pPr>
              <w:pStyle w:val="TableParagraph"/>
              <w:spacing w:line="204" w:lineRule="exact" w:before="0"/>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631" w:hRule="exact"/>
        </w:trPr>
        <w:tc>
          <w:tcPr>
            <w:tcW w:w="1697" w:type="dxa"/>
          </w:tcPr>
          <w:p>
            <w:pPr>
              <w:pStyle w:val="TableParagraph"/>
              <w:spacing w:before="5"/>
              <w:ind w:right="0"/>
              <w:jc w:val="left"/>
              <w:rPr>
                <w:rFonts w:ascii="Arial"/>
                <w:b/>
                <w:sz w:val="18"/>
              </w:rPr>
            </w:pPr>
          </w:p>
          <w:p>
            <w:pPr>
              <w:pStyle w:val="TableParagraph"/>
              <w:spacing w:before="0"/>
              <w:ind w:left="103" w:right="0"/>
              <w:jc w:val="left"/>
              <w:rPr>
                <w:rFonts w:ascii="Arial"/>
                <w:b/>
                <w:sz w:val="16"/>
              </w:rPr>
            </w:pPr>
            <w:r>
              <w:rPr>
                <w:rFonts w:ascii="Arial"/>
                <w:b/>
                <w:sz w:val="16"/>
              </w:rPr>
              <w:t>pH</w:t>
            </w:r>
          </w:p>
        </w:tc>
        <w:tc>
          <w:tcPr>
            <w:tcW w:w="970" w:type="dxa"/>
          </w:tcPr>
          <w:p>
            <w:pPr/>
          </w:p>
        </w:tc>
        <w:tc>
          <w:tcPr>
            <w:tcW w:w="1008" w:type="dxa"/>
          </w:tcPr>
          <w:p>
            <w:pPr/>
          </w:p>
        </w:tc>
        <w:tc>
          <w:tcPr>
            <w:tcW w:w="1286" w:type="dxa"/>
            <w:tcBorders>
              <w:right w:val="single" w:sz="12" w:space="0" w:color="000000"/>
            </w:tcBorders>
          </w:tcPr>
          <w:p>
            <w:pPr>
              <w:pStyle w:val="TableParagraph"/>
              <w:spacing w:before="5"/>
              <w:ind w:right="0"/>
              <w:jc w:val="left"/>
              <w:rPr>
                <w:rFonts w:ascii="Arial"/>
                <w:b/>
                <w:sz w:val="18"/>
              </w:rPr>
            </w:pPr>
          </w:p>
          <w:p>
            <w:pPr>
              <w:pStyle w:val="TableParagraph"/>
              <w:spacing w:before="0"/>
              <w:ind w:left="329" w:right="322"/>
              <w:jc w:val="center"/>
              <w:rPr>
                <w:rFonts w:ascii="Arial"/>
                <w:b/>
                <w:sz w:val="16"/>
              </w:rPr>
            </w:pPr>
            <w:r>
              <w:rPr>
                <w:rFonts w:ascii="Arial"/>
                <w:b/>
                <w:sz w:val="16"/>
              </w:rPr>
              <w:t>5,5</w:t>
            </w:r>
          </w:p>
        </w:tc>
        <w:tc>
          <w:tcPr>
            <w:tcW w:w="1560" w:type="dxa"/>
            <w:tcBorders>
              <w:left w:val="single" w:sz="12" w:space="0" w:color="000000"/>
            </w:tcBorders>
          </w:tcPr>
          <w:p>
            <w:pPr>
              <w:pStyle w:val="TableParagraph"/>
              <w:spacing w:line="183" w:lineRule="exact" w:before="30"/>
              <w:ind w:left="453" w:right="0"/>
              <w:jc w:val="left"/>
              <w:rPr>
                <w:rFonts w:ascii="Arial" w:hAnsi="Arial"/>
                <w:b/>
                <w:sz w:val="16"/>
              </w:rPr>
            </w:pPr>
            <w:r>
              <w:rPr>
                <w:rFonts w:ascii="Arial" w:hAnsi="Arial"/>
                <w:b/>
                <w:sz w:val="16"/>
              </w:rPr>
              <w:t>6,7 – 8,5</w:t>
            </w:r>
          </w:p>
          <w:p>
            <w:pPr>
              <w:pStyle w:val="TableParagraph"/>
              <w:spacing w:line="183" w:lineRule="exact" w:before="0"/>
              <w:ind w:left="453" w:right="0"/>
              <w:jc w:val="left"/>
              <w:rPr>
                <w:rFonts w:ascii="Arial" w:hAnsi="Arial"/>
                <w:b/>
                <w:sz w:val="16"/>
              </w:rPr>
            </w:pPr>
            <w:r>
              <w:rPr>
                <w:rFonts w:ascii="Arial" w:hAnsi="Arial"/>
                <w:b/>
                <w:sz w:val="16"/>
              </w:rPr>
              <w:t>6,5 – 8,5</w:t>
            </w:r>
          </w:p>
          <w:p>
            <w:pPr>
              <w:pStyle w:val="TableParagraph"/>
              <w:spacing w:before="1"/>
              <w:ind w:left="453" w:right="0"/>
              <w:jc w:val="left"/>
              <w:rPr>
                <w:rFonts w:ascii="Arial" w:hAnsi="Arial"/>
                <w:b/>
                <w:sz w:val="16"/>
              </w:rPr>
            </w:pPr>
            <w:r>
              <w:rPr>
                <w:rFonts w:ascii="Arial" w:hAnsi="Arial"/>
                <w:b/>
                <w:sz w:val="16"/>
              </w:rPr>
              <w:t>6,5 – 8,0</w:t>
            </w:r>
          </w:p>
        </w:tc>
        <w:tc>
          <w:tcPr>
            <w:tcW w:w="2268" w:type="dxa"/>
          </w:tcPr>
          <w:p>
            <w:pPr>
              <w:pStyle w:val="TableParagraph"/>
              <w:spacing w:before="0"/>
              <w:ind w:left="103" w:right="384"/>
              <w:jc w:val="left"/>
              <w:rPr>
                <w:rFonts w:ascii="Arial"/>
                <w:sz w:val="18"/>
              </w:rPr>
            </w:pPr>
            <w:r>
              <w:rPr>
                <w:rFonts w:ascii="Arial"/>
                <w:sz w:val="18"/>
              </w:rPr>
              <w:t>Klontz (1991) Timmons </w:t>
            </w:r>
            <w:r>
              <w:rPr>
                <w:rFonts w:ascii="Arial"/>
                <w:i/>
                <w:sz w:val="18"/>
              </w:rPr>
              <w:t>et al</w:t>
            </w:r>
            <w:r>
              <w:rPr>
                <w:rFonts w:ascii="Arial"/>
                <w:sz w:val="18"/>
              </w:rPr>
              <w:t>. (2002) DOF (1989)</w:t>
            </w:r>
          </w:p>
        </w:tc>
      </w:tr>
      <w:tr>
        <w:trPr>
          <w:trHeight w:val="377" w:hRule="exact"/>
        </w:trPr>
        <w:tc>
          <w:tcPr>
            <w:tcW w:w="1697" w:type="dxa"/>
          </w:tcPr>
          <w:p>
            <w:pPr>
              <w:pStyle w:val="TableParagraph"/>
              <w:spacing w:before="85"/>
              <w:ind w:left="103" w:right="0"/>
              <w:jc w:val="left"/>
              <w:rPr>
                <w:rFonts w:ascii="Arial"/>
                <w:b/>
                <w:sz w:val="16"/>
              </w:rPr>
            </w:pPr>
            <w:r>
              <w:rPr>
                <w:rFonts w:ascii="Arial"/>
                <w:b/>
                <w:sz w:val="16"/>
              </w:rPr>
              <w:t>Alcalinidad</w:t>
            </w:r>
          </w:p>
        </w:tc>
        <w:tc>
          <w:tcPr>
            <w:tcW w:w="970" w:type="dxa"/>
          </w:tcPr>
          <w:p>
            <w:pPr>
              <w:pStyle w:val="TableParagraph"/>
              <w:spacing w:before="0"/>
              <w:ind w:left="304" w:right="122" w:hanging="171"/>
              <w:jc w:val="left"/>
              <w:rPr>
                <w:rFonts w:ascii="Arial"/>
                <w:b/>
                <w:sz w:val="16"/>
              </w:rPr>
            </w:pPr>
            <w:r>
              <w:rPr>
                <w:rFonts w:ascii="Arial"/>
                <w:b/>
                <w:sz w:val="16"/>
              </w:rPr>
              <w:t>(mg/L Ca </w:t>
            </w:r>
            <w:r>
              <w:rPr>
                <w:rFonts w:ascii="Arial"/>
                <w:b/>
                <w:position w:val="2"/>
                <w:sz w:val="16"/>
              </w:rPr>
              <w:t>CO</w:t>
            </w:r>
            <w:r>
              <w:rPr>
                <w:rFonts w:ascii="Arial"/>
                <w:b/>
                <w:sz w:val="10"/>
              </w:rPr>
              <w:t>3</w:t>
            </w:r>
            <w:r>
              <w:rPr>
                <w:rFonts w:ascii="Arial"/>
                <w:b/>
                <w:position w:val="2"/>
                <w:sz w:val="16"/>
              </w:rPr>
              <w:t>)</w:t>
            </w:r>
          </w:p>
        </w:tc>
        <w:tc>
          <w:tcPr>
            <w:tcW w:w="1008" w:type="dxa"/>
          </w:tcPr>
          <w:p>
            <w:pPr/>
          </w:p>
        </w:tc>
        <w:tc>
          <w:tcPr>
            <w:tcW w:w="1286" w:type="dxa"/>
            <w:tcBorders>
              <w:right w:val="single" w:sz="12" w:space="0" w:color="000000"/>
            </w:tcBorders>
          </w:tcPr>
          <w:p>
            <w:pPr>
              <w:pStyle w:val="TableParagraph"/>
              <w:spacing w:before="85"/>
              <w:ind w:left="329" w:right="319"/>
              <w:jc w:val="center"/>
              <w:rPr>
                <w:rFonts w:ascii="Arial"/>
                <w:b/>
                <w:sz w:val="16"/>
              </w:rPr>
            </w:pPr>
            <w:r>
              <w:rPr>
                <w:rFonts w:ascii="Arial"/>
                <w:b/>
                <w:sz w:val="16"/>
              </w:rPr>
              <w:t>3,21</w:t>
            </w:r>
          </w:p>
        </w:tc>
        <w:tc>
          <w:tcPr>
            <w:tcW w:w="1560" w:type="dxa"/>
            <w:tcBorders>
              <w:left w:val="single" w:sz="12" w:space="0" w:color="000000"/>
            </w:tcBorders>
          </w:tcPr>
          <w:p>
            <w:pPr>
              <w:pStyle w:val="TableParagraph"/>
              <w:spacing w:before="85"/>
              <w:ind w:right="460"/>
              <w:rPr>
                <w:rFonts w:ascii="Arial" w:hAnsi="Arial"/>
                <w:b/>
                <w:sz w:val="16"/>
              </w:rPr>
            </w:pPr>
            <w:r>
              <w:rPr>
                <w:rFonts w:ascii="Arial" w:hAnsi="Arial"/>
                <w:b/>
                <w:sz w:val="16"/>
              </w:rPr>
              <w:t>50 – 300</w:t>
            </w:r>
          </w:p>
        </w:tc>
        <w:tc>
          <w:tcPr>
            <w:tcW w:w="2268" w:type="dxa"/>
          </w:tcPr>
          <w:p>
            <w:pPr>
              <w:pStyle w:val="TableParagraph"/>
              <w:spacing w:before="78"/>
              <w:ind w:left="103" w:right="154"/>
              <w:jc w:val="left"/>
              <w:rPr>
                <w:rFonts w:ascii="Arial"/>
                <w:sz w:val="18"/>
              </w:rPr>
            </w:pPr>
            <w:r>
              <w:rPr>
                <w:rFonts w:ascii="Arial"/>
                <w:sz w:val="18"/>
              </w:rPr>
              <w:t>Timmons </w:t>
            </w:r>
            <w:r>
              <w:rPr>
                <w:rFonts w:ascii="Arial"/>
                <w:i/>
                <w:sz w:val="18"/>
              </w:rPr>
              <w:t>et al</w:t>
            </w:r>
            <w:r>
              <w:rPr>
                <w:rFonts w:ascii="Arial"/>
                <w:sz w:val="18"/>
              </w:rPr>
              <w:t>. (2002)</w:t>
            </w:r>
          </w:p>
        </w:tc>
      </w:tr>
      <w:tr>
        <w:trPr>
          <w:trHeight w:val="379" w:hRule="exact"/>
        </w:trPr>
        <w:tc>
          <w:tcPr>
            <w:tcW w:w="1697" w:type="dxa"/>
          </w:tcPr>
          <w:p>
            <w:pPr>
              <w:pStyle w:val="TableParagraph"/>
              <w:spacing w:before="90"/>
              <w:ind w:left="103" w:right="0"/>
              <w:jc w:val="left"/>
              <w:rPr>
                <w:rFonts w:ascii="Arial"/>
                <w:sz w:val="16"/>
              </w:rPr>
            </w:pPr>
            <w:r>
              <w:rPr>
                <w:rFonts w:ascii="Arial"/>
                <w:sz w:val="16"/>
              </w:rPr>
              <w:t>Acidez</w:t>
            </w:r>
          </w:p>
        </w:tc>
        <w:tc>
          <w:tcPr>
            <w:tcW w:w="970" w:type="dxa"/>
          </w:tcPr>
          <w:p>
            <w:pPr>
              <w:pStyle w:val="TableParagraph"/>
              <w:spacing w:line="237" w:lineRule="auto" w:before="0"/>
              <w:ind w:left="201" w:right="185" w:firstLine="72"/>
              <w:jc w:val="left"/>
              <w:rPr>
                <w:rFonts w:ascii="Arial"/>
                <w:sz w:val="16"/>
              </w:rPr>
            </w:pPr>
            <w:r>
              <w:rPr>
                <w:rFonts w:ascii="Arial"/>
                <w:sz w:val="16"/>
              </w:rPr>
              <w:t>(mg/L </w:t>
            </w:r>
            <w:r>
              <w:rPr>
                <w:rFonts w:ascii="Arial"/>
                <w:position w:val="2"/>
                <w:sz w:val="16"/>
              </w:rPr>
              <w:t>CaCO</w:t>
            </w:r>
            <w:r>
              <w:rPr>
                <w:rFonts w:ascii="Arial"/>
                <w:sz w:val="10"/>
              </w:rPr>
              <w:t>3</w:t>
            </w:r>
            <w:r>
              <w:rPr>
                <w:rFonts w:ascii="Arial"/>
                <w:position w:val="2"/>
                <w:sz w:val="16"/>
              </w:rPr>
              <w:t>)</w:t>
            </w:r>
          </w:p>
        </w:tc>
        <w:tc>
          <w:tcPr>
            <w:tcW w:w="1008" w:type="dxa"/>
          </w:tcPr>
          <w:p>
            <w:pPr>
              <w:pStyle w:val="TableParagraph"/>
              <w:spacing w:before="90"/>
              <w:ind w:left="95" w:right="95"/>
              <w:jc w:val="center"/>
              <w:rPr>
                <w:rFonts w:ascii="Arial"/>
                <w:sz w:val="16"/>
              </w:rPr>
            </w:pPr>
            <w:r>
              <w:rPr>
                <w:rFonts w:ascii="Arial"/>
                <w:sz w:val="16"/>
              </w:rPr>
              <w:t>5,16</w:t>
            </w:r>
          </w:p>
        </w:tc>
        <w:tc>
          <w:tcPr>
            <w:tcW w:w="1286" w:type="dxa"/>
            <w:tcBorders>
              <w:right w:val="single" w:sz="12" w:space="0" w:color="000000"/>
            </w:tcBorders>
          </w:tcPr>
          <w:p>
            <w:pPr/>
          </w:p>
        </w:tc>
        <w:tc>
          <w:tcPr>
            <w:tcW w:w="1560" w:type="dxa"/>
            <w:tcBorders>
              <w:left w:val="single" w:sz="12" w:space="0" w:color="000000"/>
            </w:tcBorders>
          </w:tcPr>
          <w:p>
            <w:pPr/>
          </w:p>
        </w:tc>
        <w:tc>
          <w:tcPr>
            <w:tcW w:w="2268" w:type="dxa"/>
          </w:tcPr>
          <w:p>
            <w:pPr/>
          </w:p>
        </w:tc>
      </w:tr>
      <w:tr>
        <w:trPr>
          <w:trHeight w:val="425" w:hRule="exact"/>
        </w:trPr>
        <w:tc>
          <w:tcPr>
            <w:tcW w:w="1697" w:type="dxa"/>
          </w:tcPr>
          <w:p>
            <w:pPr>
              <w:pStyle w:val="TableParagraph"/>
              <w:spacing w:before="109"/>
              <w:ind w:left="103" w:right="0"/>
              <w:jc w:val="left"/>
              <w:rPr>
                <w:rFonts w:ascii="Arial"/>
                <w:b/>
                <w:sz w:val="16"/>
              </w:rPr>
            </w:pPr>
            <w:r>
              <w:rPr>
                <w:rFonts w:ascii="Arial"/>
                <w:b/>
                <w:sz w:val="16"/>
              </w:rPr>
              <w:t>Temperatura</w:t>
            </w:r>
          </w:p>
        </w:tc>
        <w:tc>
          <w:tcPr>
            <w:tcW w:w="970" w:type="dxa"/>
          </w:tcPr>
          <w:p>
            <w:pPr>
              <w:pStyle w:val="TableParagraph"/>
              <w:spacing w:before="109"/>
              <w:ind w:left="101" w:right="102"/>
              <w:jc w:val="center"/>
              <w:rPr>
                <w:rFonts w:ascii="Arial" w:hAnsi="Arial"/>
                <w:b/>
                <w:sz w:val="16"/>
              </w:rPr>
            </w:pPr>
            <w:r>
              <w:rPr>
                <w:rFonts w:ascii="Arial" w:hAnsi="Arial"/>
                <w:b/>
                <w:sz w:val="16"/>
              </w:rPr>
              <w:t>(°C)</w:t>
            </w:r>
          </w:p>
        </w:tc>
        <w:tc>
          <w:tcPr>
            <w:tcW w:w="1008" w:type="dxa"/>
          </w:tcPr>
          <w:p>
            <w:pPr/>
          </w:p>
        </w:tc>
        <w:tc>
          <w:tcPr>
            <w:tcW w:w="1286" w:type="dxa"/>
            <w:tcBorders>
              <w:right w:val="single" w:sz="12" w:space="0" w:color="000000"/>
            </w:tcBorders>
          </w:tcPr>
          <w:p>
            <w:pPr>
              <w:pStyle w:val="TableParagraph"/>
              <w:spacing w:before="109"/>
              <w:ind w:left="329" w:right="319"/>
              <w:jc w:val="center"/>
              <w:rPr>
                <w:rFonts w:ascii="Arial"/>
                <w:b/>
                <w:sz w:val="16"/>
              </w:rPr>
            </w:pPr>
            <w:r>
              <w:rPr>
                <w:rFonts w:ascii="Arial"/>
                <w:b/>
                <w:sz w:val="16"/>
              </w:rPr>
              <w:t>17</w:t>
            </w:r>
          </w:p>
        </w:tc>
        <w:tc>
          <w:tcPr>
            <w:tcW w:w="1560" w:type="dxa"/>
            <w:tcBorders>
              <w:left w:val="single" w:sz="12" w:space="0" w:color="000000"/>
            </w:tcBorders>
          </w:tcPr>
          <w:p>
            <w:pPr>
              <w:pStyle w:val="TableParagraph"/>
              <w:spacing w:line="183" w:lineRule="exact" w:before="18"/>
              <w:ind w:left="499" w:right="0"/>
              <w:jc w:val="left"/>
              <w:rPr>
                <w:rFonts w:ascii="Arial" w:hAnsi="Arial"/>
                <w:b/>
                <w:sz w:val="16"/>
              </w:rPr>
            </w:pPr>
            <w:r>
              <w:rPr>
                <w:rFonts w:ascii="Arial" w:hAnsi="Arial"/>
                <w:b/>
                <w:sz w:val="16"/>
              </w:rPr>
              <w:t>14 – 16</w:t>
            </w:r>
          </w:p>
          <w:p>
            <w:pPr>
              <w:pStyle w:val="TableParagraph"/>
              <w:spacing w:line="183" w:lineRule="exact" w:before="0"/>
              <w:ind w:left="499" w:right="0"/>
              <w:jc w:val="left"/>
              <w:rPr>
                <w:rFonts w:ascii="Arial" w:hAnsi="Arial"/>
                <w:b/>
                <w:sz w:val="16"/>
              </w:rPr>
            </w:pPr>
            <w:r>
              <w:rPr>
                <w:rFonts w:ascii="Arial" w:hAnsi="Arial"/>
                <w:b/>
                <w:sz w:val="16"/>
              </w:rPr>
              <w:t>10 – 15</w:t>
            </w:r>
          </w:p>
        </w:tc>
        <w:tc>
          <w:tcPr>
            <w:tcW w:w="2268" w:type="dxa"/>
          </w:tcPr>
          <w:p>
            <w:pPr>
              <w:pStyle w:val="TableParagraph"/>
              <w:spacing w:line="242" w:lineRule="auto" w:before="0"/>
              <w:ind w:left="103" w:right="384"/>
              <w:jc w:val="left"/>
              <w:rPr>
                <w:rFonts w:ascii="Arial"/>
                <w:sz w:val="18"/>
              </w:rPr>
            </w:pPr>
            <w:r>
              <w:rPr>
                <w:rFonts w:ascii="Arial"/>
                <w:sz w:val="18"/>
              </w:rPr>
              <w:t>Timmons </w:t>
            </w:r>
            <w:r>
              <w:rPr>
                <w:rFonts w:ascii="Arial"/>
                <w:i/>
                <w:sz w:val="18"/>
              </w:rPr>
              <w:t>et al</w:t>
            </w:r>
            <w:r>
              <w:rPr>
                <w:rFonts w:ascii="Arial"/>
                <w:sz w:val="18"/>
              </w:rPr>
              <w:t>. (2002) DOF (1989)</w:t>
            </w:r>
          </w:p>
        </w:tc>
      </w:tr>
    </w:tbl>
    <w:p>
      <w:pPr>
        <w:spacing w:after="0" w:line="242" w:lineRule="auto"/>
        <w:jc w:val="left"/>
        <w:rPr>
          <w:rFonts w:ascii="Arial"/>
          <w:sz w:val="18"/>
        </w:rPr>
        <w:sectPr>
          <w:pgSz w:w="12240" w:h="15840"/>
          <w:pgMar w:header="725" w:footer="1084" w:top="1340" w:bottom="1280" w:left="920" w:right="1200"/>
        </w:sectPr>
      </w:pPr>
    </w:p>
    <w:p>
      <w:pPr>
        <w:pStyle w:val="BodyText"/>
        <w:spacing w:line="355" w:lineRule="auto" w:before="159"/>
        <w:ind w:left="781" w:right="497"/>
        <w:jc w:val="both"/>
      </w:pPr>
      <w:r>
        <w:rPr/>
        <w:t>La cantidad necesaria de agua de lluvia fue de 65 m</w:t>
      </w:r>
      <w:r>
        <w:rPr>
          <w:position w:val="10"/>
          <w:sz w:val="13"/>
        </w:rPr>
        <w:t>3 </w:t>
      </w:r>
      <w:r>
        <w:rPr/>
        <w:t>para los 121 días efectivos que duró el cultivo de la trucha en el SRA prototipo. De acuerdo con la estación meteorológica del CIRA (19</w:t>
      </w:r>
      <w:r>
        <w:rPr>
          <w:rFonts w:ascii="Calibri" w:hAnsi="Calibri"/>
        </w:rPr>
        <w:t>⁰ </w:t>
      </w:r>
      <w:r>
        <w:rPr/>
        <w:t>23’ 5835’’N, 99</w:t>
      </w:r>
      <w:r>
        <w:rPr>
          <w:rFonts w:ascii="Calibri" w:hAnsi="Calibri"/>
        </w:rPr>
        <w:t>⁰ </w:t>
      </w:r>
      <w:r>
        <w:rPr/>
        <w:t>42’ 50,33’’W), la precipitación anual promedio es de 818 mm (EMCIRA, 2006). Para cultivar trucha arco iris en el sistema son necesarios 178,27 L/kg de pez (sección 7.5.1) por lo que para cada kilo de trucha se ocupan como mínimo 41 m</w:t>
      </w:r>
      <w:r>
        <w:rPr>
          <w:position w:val="10"/>
          <w:sz w:val="13"/>
        </w:rPr>
        <w:t>2 </w:t>
      </w:r>
      <w:r>
        <w:rPr/>
        <w:t>de superficie de colecta de agua de lluvia en esta región, esto es 0,22 m</w:t>
      </w:r>
      <w:r>
        <w:rPr>
          <w:position w:val="10"/>
          <w:sz w:val="13"/>
        </w:rPr>
        <w:t>2</w:t>
      </w:r>
      <w:r>
        <w:rPr/>
        <w:t>/kg de</w:t>
      </w:r>
      <w:r>
        <w:rPr>
          <w:spacing w:val="-23"/>
        </w:rPr>
        <w:t> </w:t>
      </w:r>
      <w:r>
        <w:rPr/>
        <w:t>pez.</w:t>
      </w:r>
    </w:p>
    <w:p>
      <w:pPr>
        <w:pStyle w:val="BodyText"/>
        <w:spacing w:line="357" w:lineRule="auto" w:before="201"/>
        <w:ind w:left="781" w:right="498"/>
        <w:jc w:val="both"/>
      </w:pPr>
      <w:r>
        <w:rPr/>
        <w:t>El origen de las especies nitrogenadas en el agua de lluvia fue, como lo mencionan Evans </w:t>
      </w:r>
      <w:r>
        <w:rPr>
          <w:i/>
        </w:rPr>
        <w:t>et al</w:t>
      </w:r>
      <w:r>
        <w:rPr/>
        <w:t>. (2006), debido a contaminación del techo del laboratorio por aves, insectos o pequeños mamíferos que defecan o mueren en la superficie que colecta el agua. Para eliminar el problema causado por la contaminación del sistema de cosecha de agua  pluvial se eliminó el agua derivada de las primeras lluvias de la temporada o tener un control más estricto (Lee </w:t>
      </w:r>
      <w:r>
        <w:rPr>
          <w:i/>
        </w:rPr>
        <w:t>et al</w:t>
      </w:r>
      <w:r>
        <w:rPr/>
        <w:t>., 2004). Sin embargo, aún así se tuvo una concentración de nitrógeno amoniacal en el agua pluvial de 0,92 mg N-NH</w:t>
      </w:r>
      <w:r>
        <w:rPr>
          <w:position w:val="-2"/>
          <w:sz w:val="13"/>
        </w:rPr>
        <w:t>3</w:t>
      </w:r>
      <w:r>
        <w:rPr/>
        <w:t>/L, la cual se disminuyó al pasar por el filtro percolador y al filtro de</w:t>
      </w:r>
      <w:r>
        <w:rPr>
          <w:spacing w:val="-19"/>
        </w:rPr>
        <w:t> </w:t>
      </w:r>
      <w:r>
        <w:rPr/>
        <w:t>arena.</w:t>
      </w:r>
    </w:p>
    <w:p>
      <w:pPr>
        <w:pStyle w:val="BodyText"/>
        <w:rPr>
          <w:sz w:val="18"/>
        </w:rPr>
      </w:pPr>
    </w:p>
    <w:p>
      <w:pPr>
        <w:pStyle w:val="BodyText"/>
        <w:spacing w:line="360" w:lineRule="auto"/>
        <w:ind w:left="781" w:right="498"/>
        <w:jc w:val="both"/>
      </w:pPr>
      <w:r>
        <w:rPr/>
        <w:t>En cuanto a la temperatura, en el Estado de México se ha observado un desarrollo normal de los organismos con valores superiores a los intervalos recomendados, por lo tanto la temperatura alcanzada por el agua almacenada no se considera un problema para el cultivo (García, 2008; Gallego </w:t>
      </w:r>
      <w:r>
        <w:rPr>
          <w:i/>
        </w:rPr>
        <w:t>et al., </w:t>
      </w:r>
      <w:r>
        <w:rPr/>
        <w:t>2007).</w:t>
      </w:r>
    </w:p>
    <w:p>
      <w:pPr>
        <w:pStyle w:val="BodyText"/>
        <w:spacing w:before="9"/>
        <w:rPr>
          <w:sz w:val="17"/>
        </w:rPr>
      </w:pPr>
    </w:p>
    <w:p>
      <w:pPr>
        <w:pStyle w:val="BodyText"/>
        <w:spacing w:line="360" w:lineRule="auto"/>
        <w:ind w:left="781" w:right="498"/>
        <w:jc w:val="both"/>
      </w:pPr>
      <w:r>
        <w:rPr/>
        <w:t>Dos parámetros importantes para el buen funcionamiento de un biofiltro son el pH y la alcalinidad. Wheaton </w:t>
      </w:r>
      <w:r>
        <w:rPr>
          <w:i/>
        </w:rPr>
        <w:t>et al. </w:t>
      </w:r>
      <w:r>
        <w:rPr/>
        <w:t>(1994) y Eding </w:t>
      </w:r>
      <w:r>
        <w:rPr>
          <w:i/>
        </w:rPr>
        <w:t>et al. </w:t>
      </w:r>
      <w:r>
        <w:rPr/>
        <w:t>(2006) presentan valores de pH, para una óptima nitrificación, entre 6 y 9. Mencionan que el probable intervalo de operación es de 5 a 10, sin embargo la biopelícula en el percolador se acopla lentamente. Este parámetro fue necesario adecuarlo a los intervalos</w:t>
      </w:r>
      <w:r>
        <w:rPr>
          <w:spacing w:val="-19"/>
        </w:rPr>
        <w:t> </w:t>
      </w:r>
      <w:r>
        <w:rPr/>
        <w:t>óptimos.</w:t>
      </w:r>
    </w:p>
    <w:p>
      <w:pPr>
        <w:pStyle w:val="BodyText"/>
        <w:spacing w:before="9"/>
        <w:rPr>
          <w:sz w:val="17"/>
        </w:rPr>
      </w:pPr>
    </w:p>
    <w:p>
      <w:pPr>
        <w:pStyle w:val="BodyText"/>
        <w:spacing w:line="360" w:lineRule="auto"/>
        <w:ind w:left="781" w:right="497"/>
        <w:jc w:val="both"/>
      </w:pPr>
      <w:r>
        <w:rPr/>
        <w:t>La alcalinidad es un reactivo para que se lleve adecuadamente oxidación del nitrógeno amoniacal total y de los nitritos, forma parte nutrimental de las bacterias nitrificantes, además, provee de un efecto amortiguador necesario para prevenir cambios en el pH (Chen </w:t>
      </w:r>
      <w:r>
        <w:rPr>
          <w:i/>
        </w:rPr>
        <w:t>et al.</w:t>
      </w:r>
      <w:r>
        <w:rPr/>
        <w:t>, 2006). Para tener una nitrificación mayor a un 80 % en el biofiltro es necesario mantener una concentración de alcalinidad mayor de 1,5 a 2,0 meq/L (Eding </w:t>
      </w:r>
      <w:r>
        <w:rPr>
          <w:i/>
        </w:rPr>
        <w:t>et </w:t>
      </w:r>
      <w:r>
        <w:rPr>
          <w:i/>
        </w:rPr>
        <w:t>al.</w:t>
      </w:r>
      <w:r>
        <w:rPr/>
        <w:t>, 2006), es decir una concentración del reactivo entre 91,5 – 122,0 mg/L como</w:t>
      </w:r>
      <w:r>
        <w:rPr>
          <w:spacing w:val="-26"/>
        </w:rPr>
        <w:t> </w:t>
      </w:r>
      <w:r>
        <w:rPr/>
        <w:t>CaCO</w:t>
      </w:r>
      <w:r>
        <w:rPr>
          <w:position w:val="-2"/>
          <w:sz w:val="13"/>
        </w:rPr>
        <w:t>3</w:t>
      </w:r>
      <w:r>
        <w:rPr/>
        <w:t>.</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Loyless y Malone (1997) proponen el acondicionamiento del agua utilizada en los SRA con bicarbonato de sodio para aumentar la concentración de alcalinidad y mantener los valores de pH lo más cercano a</w:t>
      </w:r>
      <w:r>
        <w:rPr>
          <w:spacing w:val="-11"/>
        </w:rPr>
        <w:t> </w:t>
      </w:r>
      <w:r>
        <w:rPr/>
        <w:t>8.</w:t>
      </w:r>
    </w:p>
    <w:p>
      <w:pPr>
        <w:pStyle w:val="BodyText"/>
        <w:spacing w:before="9"/>
        <w:rPr>
          <w:sz w:val="17"/>
        </w:rPr>
      </w:pPr>
    </w:p>
    <w:p>
      <w:pPr>
        <w:pStyle w:val="BodyText"/>
        <w:spacing w:line="360" w:lineRule="auto"/>
        <w:ind w:left="781" w:right="499"/>
        <w:jc w:val="both"/>
      </w:pPr>
      <w:r>
        <w:rPr/>
        <w:t>Para acondicionar el agua de lluvia cosechada y mantener los valores de pH y alcalinidad en equilibrio en la operación del SRA se añadió bicarbonato de sodio, cal y sal marina (Anexo 1), en un orden de 40 g/d, 25 g/d y 40 g/d respectivamente. Una vez que se disolvió la sal, el bicarbonato y la cal en una cubeta de 20 L, la mezcla se añadió en el primer reservorio de agua cruda.</w:t>
      </w:r>
    </w:p>
    <w:p>
      <w:pPr>
        <w:pStyle w:val="BodyText"/>
        <w:spacing w:before="9"/>
        <w:rPr>
          <w:sz w:val="17"/>
        </w:rPr>
      </w:pPr>
    </w:p>
    <w:p>
      <w:pPr>
        <w:pStyle w:val="BodyText"/>
        <w:spacing w:line="360" w:lineRule="auto"/>
        <w:ind w:left="781" w:right="497"/>
        <w:jc w:val="both"/>
      </w:pPr>
      <w:r>
        <w:rPr/>
        <w:t>Los valores de estos parámetros se mantuvieron en los intervalos óptimos y de tolerancia para el cultivo de la trucha y para llegar a una nitrificación donde las concentraciones del efluente del tren de tratamiento, con respecto a las especies nitrogenadas, estuvieron en intervalos tolerantes y óptimos.</w:t>
      </w:r>
    </w:p>
    <w:p>
      <w:pPr>
        <w:pStyle w:val="BodyText"/>
        <w:spacing w:before="7"/>
        <w:rPr>
          <w:sz w:val="17"/>
        </w:rPr>
      </w:pPr>
    </w:p>
    <w:p>
      <w:pPr>
        <w:pStyle w:val="BodyText"/>
        <w:spacing w:line="355" w:lineRule="auto"/>
        <w:ind w:left="781" w:right="496" w:hanging="1"/>
        <w:jc w:val="both"/>
      </w:pPr>
      <w:r>
        <w:rPr/>
        <w:t>Al determinar la concentración de alcalinidad en meq/L (menor a 1 meq/L), ésta se mantuvo por debajo de 100 mg/L como CACO</w:t>
      </w:r>
      <w:r>
        <w:rPr>
          <w:position w:val="-2"/>
          <w:sz w:val="13"/>
        </w:rPr>
        <w:t>3</w:t>
      </w:r>
      <w:r>
        <w:rPr/>
        <w:t>, recomendado por Eding </w:t>
      </w:r>
      <w:r>
        <w:rPr>
          <w:i/>
        </w:rPr>
        <w:t>et al</w:t>
      </w:r>
      <w:r>
        <w:rPr/>
        <w:t>. (2006), los efectos ocasionados en la nitrificación se discuten en la sección 5.6.1.</w:t>
      </w:r>
    </w:p>
    <w:p>
      <w:pPr>
        <w:pStyle w:val="BodyText"/>
        <w:spacing w:before="9"/>
        <w:rPr>
          <w:sz w:val="17"/>
        </w:rPr>
      </w:pPr>
    </w:p>
    <w:p>
      <w:pPr>
        <w:pStyle w:val="Heading5"/>
        <w:numPr>
          <w:ilvl w:val="1"/>
          <w:numId w:val="14"/>
        </w:numPr>
        <w:tabs>
          <w:tab w:pos="1211" w:val="left" w:leader="none"/>
        </w:tabs>
        <w:spacing w:line="240" w:lineRule="auto" w:before="0" w:after="0"/>
        <w:ind w:left="1210" w:right="0" w:hanging="429"/>
        <w:jc w:val="both"/>
      </w:pPr>
      <w:bookmarkStart w:name="_TOC_250045" w:id="88"/>
      <w:bookmarkStart w:name="5.2. Puesta en marcha y estabilización d" w:id="89"/>
      <w:r>
        <w:rPr>
          <w:b w:val="0"/>
        </w:rPr>
      </w:r>
      <w:bookmarkEnd w:id="89"/>
      <w:bookmarkStart w:name="5.2. Puesta en marcha y estabilización d" w:id="90"/>
      <w:r>
        <w:rPr/>
        <w:t>P</w:t>
      </w:r>
      <w:r>
        <w:rPr/>
        <w:t>UESTA EN MARCHA Y ESTABILIZACIÓN DEL</w:t>
      </w:r>
      <w:r>
        <w:rPr>
          <w:spacing w:val="-13"/>
        </w:rPr>
        <w:t> </w:t>
      </w:r>
      <w:bookmarkEnd w:id="88"/>
      <w:r>
        <w:rPr/>
        <w:t>SRA</w:t>
      </w:r>
    </w:p>
    <w:p>
      <w:pPr>
        <w:pStyle w:val="BodyText"/>
        <w:spacing w:before="5"/>
        <w:rPr>
          <w:b/>
          <w:sz w:val="28"/>
        </w:rPr>
      </w:pPr>
    </w:p>
    <w:p>
      <w:pPr>
        <w:pStyle w:val="BodyText"/>
        <w:spacing w:line="360" w:lineRule="auto" w:before="1"/>
        <w:ind w:left="781" w:right="497"/>
        <w:jc w:val="both"/>
      </w:pPr>
      <w:r>
        <w:rPr/>
        <w:t>Una vez construido el sistema, se iniciaron las pruebas para detectar y eliminar fugas en el SRA, se encontró una fuga en el estanque y varias en la torre de tratamiento. Éstas fueron eliminadas iniciando la operación del sistema y su estabilización</w:t>
      </w:r>
      <w:r>
        <w:rPr>
          <w:spacing w:val="-30"/>
        </w:rPr>
        <w:t> </w:t>
      </w:r>
      <w:r>
        <w:rPr/>
        <w:t>hidráulica.</w:t>
      </w:r>
    </w:p>
    <w:p>
      <w:pPr>
        <w:pStyle w:val="BodyText"/>
        <w:spacing w:before="7"/>
        <w:rPr>
          <w:sz w:val="17"/>
        </w:rPr>
      </w:pPr>
    </w:p>
    <w:p>
      <w:pPr>
        <w:pStyle w:val="BodyText"/>
        <w:spacing w:line="360" w:lineRule="auto"/>
        <w:ind w:left="781" w:right="496"/>
        <w:jc w:val="both"/>
      </w:pPr>
      <w:r>
        <w:rPr/>
        <w:t>En colaboración con investigadores del cuerpo académico de Hidrología del CIRA, se montó un equipo de rayo laser (figura 21) que u</w:t>
      </w:r>
      <w:r>
        <w:rPr>
          <w:sz w:val="20"/>
        </w:rPr>
        <w:t>tilizan</w:t>
      </w:r>
      <w:r>
        <w:rPr/>
        <w:t>do la técnica de visualización “velocímetria por seguimiento de partículas” (Particle Tracking Velocimetry, PTV) se ha determinado la velocidad del agua en el estanque con un caudal constante de 2,1 L/s a 0,03 m del perímetro externo del estanque a diferentes profundidades (tabla 16).</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332"/>
        <w:rPr>
          <w:sz w:val="20"/>
        </w:rPr>
      </w:pPr>
      <w:r>
        <w:rPr>
          <w:sz w:val="20"/>
        </w:rPr>
        <w:pict>
          <v:group style="width:480.4pt;height:271.350pt;mso-position-horizontal-relative:char;mso-position-vertical-relative:line" coordorigin="0,0" coordsize="9608,5427">
            <v:shape style="position:absolute;left:481;top:0;width:3607;height:5285" type="#_x0000_t75" stroked="false">
              <v:imagedata r:id="rId46" o:title=""/>
            </v:shape>
            <v:line style="position:absolute" from="2321,3701" to="4081,4488" stroked="true" strokeweight="1.5pt" strokecolor="#ffffff"/>
            <v:shape style="position:absolute;left:4186;top:1126;width:5422;height:3761" type="#_x0000_t75" stroked="false">
              <v:imagedata r:id="rId47" o:title=""/>
            </v:shape>
            <v:line style="position:absolute" from="5729,4488" to="7049,3408" stroked="true" strokeweight="2.25pt" strokecolor="#ffffff"/>
            <v:shape style="position:absolute;left:2213;top:374;width:2083;height:1212" type="#_x0000_t75" stroked="false">
              <v:imagedata r:id="rId48" o:title=""/>
            </v:shape>
            <v:shape style="position:absolute;left:4393;top:192;width:1471;height:734" type="#_x0000_t75" stroked="false">
              <v:imagedata r:id="rId49" o:title=""/>
            </v:shape>
            <v:line style="position:absolute" from="2221,1534" to="4289,348" stroked="true" strokeweight="1.5pt" strokecolor="#ffffff"/>
            <v:shape style="position:absolute;left:5953;top:557;width:994;height:1462" type="#_x0000_t75" stroked="false">
              <v:imagedata r:id="rId50" o:title=""/>
            </v:shape>
            <v:line style="position:absolute" from="5969,528" to="6929,1968" stroked="true" strokeweight="2.000040pt" strokecolor="#ffffff"/>
            <v:shape style="position:absolute;left:1;top:4706;width:1471;height:720" type="#_x0000_t75" stroked="false">
              <v:imagedata r:id="rId51" o:title=""/>
            </v:shape>
            <v:shape style="position:absolute;left:1561;top:4394;width:202;height:514" type="#_x0000_t75" stroked="false">
              <v:imagedata r:id="rId52" o:title=""/>
            </v:shape>
            <v:rect style="position:absolute;left:15;top:4682;width:1440;height:689" filled="true" fillcolor="#ffffff" stroked="false">
              <v:fill type="solid"/>
            </v:rect>
            <v:line style="position:absolute" from="1748,4361" to="1575,4862" stroked="true" strokeweight="1.5pt" strokecolor="#ffffff"/>
            <v:rect style="position:absolute;left:15;top:4682;width:1440;height:689" filled="false" stroked="true" strokeweight="1.5pt" strokecolor="#ffffff"/>
            <v:shape style="position:absolute;left:4568;top:349;width:813;height:387" type="#_x0000_t202" filled="false" stroked="false">
              <v:textbox inset="0,0,0,0">
                <w:txbxContent>
                  <w:p>
                    <w:pPr>
                      <w:spacing w:line="184" w:lineRule="exact" w:before="0"/>
                      <w:ind w:left="0" w:right="-18" w:firstLine="0"/>
                      <w:jc w:val="left"/>
                      <w:rPr>
                        <w:sz w:val="18"/>
                      </w:rPr>
                    </w:pPr>
                    <w:r>
                      <w:rPr>
                        <w:sz w:val="18"/>
                      </w:rPr>
                      <w:t>Equipo de</w:t>
                    </w:r>
                  </w:p>
                  <w:p>
                    <w:pPr>
                      <w:spacing w:line="203" w:lineRule="exact" w:before="0"/>
                      <w:ind w:left="0" w:right="-18" w:firstLine="0"/>
                      <w:jc w:val="left"/>
                      <w:rPr>
                        <w:sz w:val="18"/>
                      </w:rPr>
                    </w:pPr>
                    <w:r>
                      <w:rPr>
                        <w:sz w:val="18"/>
                      </w:rPr>
                      <w:t>rayo laser</w:t>
                    </w:r>
                  </w:p>
                </w:txbxContent>
              </v:textbox>
              <w10:wrap type="none"/>
            </v:shape>
            <v:shape style="position:absolute;left:4359;top:4484;width:672;height:180" type="#_x0000_t202" filled="false" stroked="false">
              <v:textbox inset="0,0,0,0">
                <w:txbxContent>
                  <w:p>
                    <w:pPr>
                      <w:spacing w:line="180" w:lineRule="exact" w:before="0"/>
                      <w:ind w:left="0" w:right="0" w:firstLine="0"/>
                      <w:jc w:val="left"/>
                      <w:rPr>
                        <w:sz w:val="18"/>
                      </w:rPr>
                    </w:pPr>
                    <w:r>
                      <w:rPr>
                        <w:w w:val="95"/>
                        <w:sz w:val="18"/>
                      </w:rPr>
                      <w:t>Ventana</w:t>
                    </w:r>
                  </w:p>
                </w:txbxContent>
              </v:textbox>
              <w10:wrap type="none"/>
            </v:shape>
            <v:shape style="position:absolute;left:176;top:4863;width:1012;height:387" type="#_x0000_t202" filled="false" stroked="false">
              <v:textbox inset="0,0,0,0">
                <w:txbxContent>
                  <w:p>
                    <w:pPr>
                      <w:spacing w:line="184" w:lineRule="exact" w:before="0"/>
                      <w:ind w:left="0" w:right="-19" w:firstLine="0"/>
                      <w:jc w:val="left"/>
                      <w:rPr>
                        <w:sz w:val="18"/>
                      </w:rPr>
                    </w:pPr>
                    <w:r>
                      <w:rPr>
                        <w:sz w:val="18"/>
                      </w:rPr>
                      <w:t>Nivelador de</w:t>
                    </w:r>
                  </w:p>
                  <w:p>
                    <w:pPr>
                      <w:spacing w:line="203" w:lineRule="exact" w:before="0"/>
                      <w:ind w:left="0" w:right="-19" w:firstLine="0"/>
                      <w:jc w:val="left"/>
                      <w:rPr>
                        <w:sz w:val="18"/>
                      </w:rPr>
                    </w:pPr>
                    <w:r>
                      <w:rPr>
                        <w:sz w:val="18"/>
                      </w:rPr>
                      <w:t>cámara</w:t>
                    </w:r>
                  </w:p>
                </w:txbxContent>
              </v:textbox>
              <w10:wrap type="none"/>
            </v:shape>
          </v:group>
        </w:pict>
      </w:r>
      <w:r>
        <w:rPr>
          <w:sz w:val="20"/>
        </w:rPr>
      </w:r>
    </w:p>
    <w:p>
      <w:pPr>
        <w:spacing w:before="86"/>
        <w:ind w:left="1971" w:right="948" w:firstLine="0"/>
        <w:jc w:val="left"/>
        <w:rPr>
          <w:b/>
          <w:sz w:val="18"/>
        </w:rPr>
      </w:pPr>
      <w:r>
        <w:rPr>
          <w:b/>
          <w:sz w:val="18"/>
        </w:rPr>
        <w:t>Figura 21. Equipo montado para medir la velocidad del agua en el estanque</w:t>
      </w:r>
    </w:p>
    <w:p>
      <w:pPr>
        <w:pStyle w:val="BodyText"/>
        <w:spacing w:line="360" w:lineRule="auto" w:before="125"/>
        <w:ind w:left="781" w:right="499"/>
        <w:jc w:val="both"/>
      </w:pPr>
      <w:r>
        <w:rPr/>
        <w:t>La velocidad de nado recomendada en los estanques circulares para un buen crecimiento de la trucha arco iris es entre 0,5 – 2,0 veces la longitud del pez por segundo (Davison, 1997), cuando se tiene velocidades en este intervalo se mejora la conversión alimenticia y la tasa de crecimiento.</w:t>
      </w:r>
    </w:p>
    <w:p>
      <w:pPr>
        <w:pStyle w:val="BodyText"/>
        <w:spacing w:before="7"/>
        <w:rPr>
          <w:sz w:val="17"/>
        </w:rPr>
      </w:pPr>
    </w:p>
    <w:p>
      <w:pPr>
        <w:pStyle w:val="BodyText"/>
        <w:spacing w:line="360" w:lineRule="auto"/>
        <w:ind w:left="781" w:right="498"/>
        <w:jc w:val="both"/>
      </w:pPr>
      <w:r>
        <w:rPr/>
        <w:t>En la tabla 16 se observan velocidades homogéneas desde la superficie hasta el fondo  del estanque. Considerando una longitud promedio de 30,57 </w:t>
      </w:r>
      <w:r>
        <w:rPr>
          <w:rFonts w:ascii="Symbol" w:hAnsi="Symbol"/>
        </w:rPr>
        <w:t></w:t>
      </w:r>
      <w:r>
        <w:rPr>
          <w:rFonts w:ascii="Times New Roman" w:hAnsi="Times New Roman"/>
        </w:rPr>
        <w:t> </w:t>
      </w:r>
      <w:r>
        <w:rPr/>
        <w:t>2,4 cm y una velocidad promedio de 12,95 </w:t>
      </w:r>
      <w:r>
        <w:rPr>
          <w:rFonts w:ascii="Symbol" w:hAnsi="Symbol"/>
        </w:rPr>
        <w:t></w:t>
      </w:r>
      <w:r>
        <w:rPr>
          <w:rFonts w:ascii="Times New Roman" w:hAnsi="Times New Roman"/>
        </w:rPr>
        <w:t> </w:t>
      </w:r>
      <w:r>
        <w:rPr/>
        <w:t>1,82 cm/s, se tuvo un índice de 2,3 </w:t>
      </w:r>
      <w:r>
        <w:rPr>
          <w:rFonts w:ascii="Symbol" w:hAnsi="Symbol"/>
        </w:rPr>
        <w:t></w:t>
      </w:r>
      <w:r>
        <w:rPr>
          <w:rFonts w:ascii="Times New Roman" w:hAnsi="Times New Roman"/>
        </w:rPr>
        <w:t> </w:t>
      </w:r>
      <w:r>
        <w:rPr/>
        <w:t>0,19 cm pez/s. Las velocidades alcanzadas fueron superiores al intervalo reportado por Davison (1997), sin embargo la tasa de crecimiento (4,23 g/d) de la trucha fue adecuado para las condiciones imperantes en la</w:t>
      </w:r>
      <w:r>
        <w:rPr>
          <w:spacing w:val="-2"/>
        </w:rPr>
        <w:t> </w:t>
      </w:r>
      <w:r>
        <w:rPr/>
        <w:t>región.</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before="0"/>
        <w:ind w:left="2257" w:right="948" w:firstLine="0"/>
        <w:jc w:val="left"/>
        <w:rPr>
          <w:b/>
          <w:sz w:val="18"/>
        </w:rPr>
      </w:pPr>
      <w:r>
        <w:rPr>
          <w:b/>
          <w:sz w:val="18"/>
        </w:rPr>
        <w:t>Tabla 16. Velocidades promedio del agua a diferentes profundidades</w:t>
      </w:r>
    </w:p>
    <w:p>
      <w:pPr>
        <w:pStyle w:val="BodyText"/>
        <w:spacing w:before="10"/>
        <w:rPr>
          <w:b/>
          <w:sz w:val="10"/>
        </w:rPr>
      </w:pPr>
    </w:p>
    <w:tbl>
      <w:tblPr>
        <w:tblW w:w="0" w:type="auto"/>
        <w:jc w:val="left"/>
        <w:tblInd w:w="19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688"/>
        <w:gridCol w:w="1207"/>
        <w:gridCol w:w="1397"/>
        <w:gridCol w:w="1205"/>
      </w:tblGrid>
      <w:tr>
        <w:trPr>
          <w:trHeight w:val="828" w:hRule="exact"/>
        </w:trPr>
        <w:tc>
          <w:tcPr>
            <w:tcW w:w="2688" w:type="dxa"/>
          </w:tcPr>
          <w:p>
            <w:pPr>
              <w:pStyle w:val="TableParagraph"/>
              <w:spacing w:line="276" w:lineRule="auto" w:before="14"/>
              <w:ind w:left="304" w:right="308"/>
              <w:jc w:val="center"/>
              <w:rPr>
                <w:rFonts w:ascii="Arial"/>
                <w:b/>
                <w:sz w:val="20"/>
              </w:rPr>
            </w:pPr>
            <w:r>
              <w:rPr>
                <w:rFonts w:ascii="Arial"/>
                <w:b/>
                <w:sz w:val="20"/>
              </w:rPr>
              <w:t>Altura teniendo como base el fondo del estanque</w:t>
            </w:r>
          </w:p>
        </w:tc>
        <w:tc>
          <w:tcPr>
            <w:tcW w:w="1207" w:type="dxa"/>
          </w:tcPr>
          <w:p>
            <w:pPr>
              <w:pStyle w:val="TableParagraph"/>
              <w:spacing w:before="2"/>
              <w:ind w:right="0"/>
              <w:jc w:val="left"/>
              <w:rPr>
                <w:rFonts w:ascii="Arial"/>
                <w:b/>
                <w:sz w:val="24"/>
              </w:rPr>
            </w:pPr>
          </w:p>
          <w:p>
            <w:pPr>
              <w:pStyle w:val="TableParagraph"/>
              <w:spacing w:before="0"/>
              <w:ind w:left="123" w:right="124"/>
              <w:jc w:val="center"/>
              <w:rPr>
                <w:rFonts w:ascii="Arial"/>
                <w:b/>
                <w:sz w:val="20"/>
              </w:rPr>
            </w:pPr>
            <w:r>
              <w:rPr>
                <w:rFonts w:ascii="Arial"/>
                <w:b/>
                <w:sz w:val="20"/>
              </w:rPr>
              <w:t>Unidades</w:t>
            </w:r>
          </w:p>
        </w:tc>
        <w:tc>
          <w:tcPr>
            <w:tcW w:w="1397" w:type="dxa"/>
          </w:tcPr>
          <w:p>
            <w:pPr>
              <w:pStyle w:val="TableParagraph"/>
              <w:spacing w:before="2"/>
              <w:ind w:right="0"/>
              <w:jc w:val="left"/>
              <w:rPr>
                <w:rFonts w:ascii="Arial"/>
                <w:b/>
                <w:sz w:val="24"/>
              </w:rPr>
            </w:pPr>
          </w:p>
          <w:p>
            <w:pPr>
              <w:pStyle w:val="TableParagraph"/>
              <w:spacing w:before="0"/>
              <w:ind w:left="195" w:right="196"/>
              <w:jc w:val="center"/>
              <w:rPr>
                <w:rFonts w:ascii="Arial"/>
                <w:b/>
                <w:sz w:val="20"/>
              </w:rPr>
            </w:pPr>
            <w:r>
              <w:rPr>
                <w:rFonts w:ascii="Arial"/>
                <w:b/>
                <w:sz w:val="20"/>
              </w:rPr>
              <w:t>Velocidad</w:t>
            </w:r>
          </w:p>
        </w:tc>
        <w:tc>
          <w:tcPr>
            <w:tcW w:w="1205" w:type="dxa"/>
          </w:tcPr>
          <w:p>
            <w:pPr>
              <w:pStyle w:val="TableParagraph"/>
              <w:spacing w:before="2"/>
              <w:ind w:right="0"/>
              <w:jc w:val="left"/>
              <w:rPr>
                <w:rFonts w:ascii="Arial"/>
                <w:b/>
                <w:sz w:val="24"/>
              </w:rPr>
            </w:pPr>
          </w:p>
          <w:p>
            <w:pPr>
              <w:pStyle w:val="TableParagraph"/>
              <w:spacing w:before="0"/>
              <w:ind w:left="61" w:right="62"/>
              <w:jc w:val="center"/>
              <w:rPr>
                <w:rFonts w:ascii="Arial"/>
                <w:b/>
                <w:sz w:val="20"/>
              </w:rPr>
            </w:pPr>
            <w:r>
              <w:rPr>
                <w:rFonts w:ascii="Arial"/>
                <w:b/>
                <w:sz w:val="20"/>
              </w:rPr>
              <w:t>Unidades</w:t>
            </w:r>
          </w:p>
        </w:tc>
      </w:tr>
      <w:tr>
        <w:trPr>
          <w:trHeight w:val="300" w:hRule="exact"/>
        </w:trPr>
        <w:tc>
          <w:tcPr>
            <w:tcW w:w="2688" w:type="dxa"/>
          </w:tcPr>
          <w:p>
            <w:pPr>
              <w:pStyle w:val="TableParagraph"/>
              <w:spacing w:before="16"/>
              <w:ind w:right="2"/>
              <w:jc w:val="center"/>
              <w:rPr>
                <w:rFonts w:ascii="Arial"/>
                <w:sz w:val="20"/>
              </w:rPr>
            </w:pPr>
            <w:r>
              <w:rPr>
                <w:rFonts w:ascii="Arial"/>
                <w:w w:val="99"/>
                <w:sz w:val="20"/>
              </w:rPr>
              <w:t>7</w:t>
            </w:r>
          </w:p>
        </w:tc>
        <w:tc>
          <w:tcPr>
            <w:tcW w:w="1207" w:type="dxa"/>
          </w:tcPr>
          <w:p>
            <w:pPr>
              <w:pStyle w:val="TableParagraph"/>
              <w:spacing w:before="16"/>
              <w:ind w:left="123" w:right="123"/>
              <w:jc w:val="center"/>
              <w:rPr>
                <w:rFonts w:ascii="Arial"/>
                <w:sz w:val="20"/>
              </w:rPr>
            </w:pPr>
            <w:r>
              <w:rPr>
                <w:rFonts w:ascii="Arial"/>
                <w:sz w:val="20"/>
              </w:rPr>
              <w:t>cm</w:t>
            </w:r>
          </w:p>
        </w:tc>
        <w:tc>
          <w:tcPr>
            <w:tcW w:w="1397" w:type="dxa"/>
          </w:tcPr>
          <w:p>
            <w:pPr>
              <w:pStyle w:val="TableParagraph"/>
              <w:spacing w:before="16"/>
              <w:ind w:left="194" w:right="196"/>
              <w:jc w:val="center"/>
              <w:rPr>
                <w:rFonts w:ascii="Arial"/>
                <w:sz w:val="20"/>
              </w:rPr>
            </w:pPr>
            <w:r>
              <w:rPr>
                <w:rFonts w:ascii="Arial"/>
                <w:sz w:val="20"/>
              </w:rPr>
              <w:t>12,83</w:t>
            </w:r>
          </w:p>
        </w:tc>
        <w:tc>
          <w:tcPr>
            <w:tcW w:w="1205" w:type="dxa"/>
          </w:tcPr>
          <w:p>
            <w:pPr>
              <w:pStyle w:val="TableParagraph"/>
              <w:spacing w:before="16"/>
              <w:ind w:left="61" w:right="62"/>
              <w:jc w:val="center"/>
              <w:rPr>
                <w:rFonts w:ascii="Arial"/>
                <w:sz w:val="20"/>
              </w:rPr>
            </w:pPr>
            <w:r>
              <w:rPr>
                <w:rFonts w:ascii="Arial"/>
                <w:sz w:val="20"/>
              </w:rPr>
              <w:t>cm/s</w:t>
            </w:r>
          </w:p>
        </w:tc>
      </w:tr>
      <w:tr>
        <w:trPr>
          <w:trHeight w:val="300" w:hRule="exact"/>
        </w:trPr>
        <w:tc>
          <w:tcPr>
            <w:tcW w:w="2688" w:type="dxa"/>
          </w:tcPr>
          <w:p>
            <w:pPr>
              <w:pStyle w:val="TableParagraph"/>
              <w:spacing w:before="16"/>
              <w:ind w:left="304" w:right="306"/>
              <w:jc w:val="center"/>
              <w:rPr>
                <w:rFonts w:ascii="Arial"/>
                <w:sz w:val="20"/>
              </w:rPr>
            </w:pPr>
            <w:r>
              <w:rPr>
                <w:rFonts w:ascii="Arial"/>
                <w:sz w:val="20"/>
              </w:rPr>
              <w:t>17</w:t>
            </w:r>
          </w:p>
        </w:tc>
        <w:tc>
          <w:tcPr>
            <w:tcW w:w="1207" w:type="dxa"/>
          </w:tcPr>
          <w:p>
            <w:pPr>
              <w:pStyle w:val="TableParagraph"/>
              <w:spacing w:before="16"/>
              <w:ind w:left="123" w:right="123"/>
              <w:jc w:val="center"/>
              <w:rPr>
                <w:rFonts w:ascii="Arial"/>
                <w:sz w:val="20"/>
              </w:rPr>
            </w:pPr>
            <w:r>
              <w:rPr>
                <w:rFonts w:ascii="Arial"/>
                <w:sz w:val="20"/>
              </w:rPr>
              <w:t>cm</w:t>
            </w:r>
          </w:p>
        </w:tc>
        <w:tc>
          <w:tcPr>
            <w:tcW w:w="1397" w:type="dxa"/>
          </w:tcPr>
          <w:p>
            <w:pPr>
              <w:pStyle w:val="TableParagraph"/>
              <w:spacing w:before="16"/>
              <w:ind w:left="194" w:right="196"/>
              <w:jc w:val="center"/>
              <w:rPr>
                <w:rFonts w:ascii="Arial"/>
                <w:sz w:val="20"/>
              </w:rPr>
            </w:pPr>
            <w:r>
              <w:rPr>
                <w:rFonts w:ascii="Arial"/>
                <w:sz w:val="20"/>
              </w:rPr>
              <w:t>15,20</w:t>
            </w:r>
          </w:p>
        </w:tc>
        <w:tc>
          <w:tcPr>
            <w:tcW w:w="1205" w:type="dxa"/>
          </w:tcPr>
          <w:p>
            <w:pPr>
              <w:pStyle w:val="TableParagraph"/>
              <w:spacing w:before="16"/>
              <w:ind w:left="61" w:right="62"/>
              <w:jc w:val="center"/>
              <w:rPr>
                <w:rFonts w:ascii="Arial"/>
                <w:sz w:val="20"/>
              </w:rPr>
            </w:pPr>
            <w:r>
              <w:rPr>
                <w:rFonts w:ascii="Arial"/>
                <w:sz w:val="20"/>
              </w:rPr>
              <w:t>cm/s</w:t>
            </w:r>
          </w:p>
        </w:tc>
      </w:tr>
      <w:tr>
        <w:trPr>
          <w:trHeight w:val="300" w:hRule="exact"/>
        </w:trPr>
        <w:tc>
          <w:tcPr>
            <w:tcW w:w="2688" w:type="dxa"/>
          </w:tcPr>
          <w:p>
            <w:pPr>
              <w:pStyle w:val="TableParagraph"/>
              <w:spacing w:before="16"/>
              <w:ind w:left="304" w:right="306"/>
              <w:jc w:val="center"/>
              <w:rPr>
                <w:rFonts w:ascii="Arial"/>
                <w:sz w:val="20"/>
              </w:rPr>
            </w:pPr>
            <w:r>
              <w:rPr>
                <w:rFonts w:ascii="Arial"/>
                <w:sz w:val="20"/>
              </w:rPr>
              <w:t>28</w:t>
            </w:r>
          </w:p>
        </w:tc>
        <w:tc>
          <w:tcPr>
            <w:tcW w:w="1207" w:type="dxa"/>
          </w:tcPr>
          <w:p>
            <w:pPr>
              <w:pStyle w:val="TableParagraph"/>
              <w:spacing w:before="16"/>
              <w:ind w:left="123" w:right="123"/>
              <w:jc w:val="center"/>
              <w:rPr>
                <w:rFonts w:ascii="Arial"/>
                <w:sz w:val="20"/>
              </w:rPr>
            </w:pPr>
            <w:r>
              <w:rPr>
                <w:rFonts w:ascii="Arial"/>
                <w:sz w:val="20"/>
              </w:rPr>
              <w:t>cm</w:t>
            </w:r>
          </w:p>
        </w:tc>
        <w:tc>
          <w:tcPr>
            <w:tcW w:w="1397" w:type="dxa"/>
          </w:tcPr>
          <w:p>
            <w:pPr>
              <w:pStyle w:val="TableParagraph"/>
              <w:spacing w:before="16"/>
              <w:ind w:left="192" w:right="196"/>
              <w:jc w:val="center"/>
              <w:rPr>
                <w:rFonts w:ascii="Arial"/>
                <w:sz w:val="20"/>
              </w:rPr>
            </w:pPr>
            <w:r>
              <w:rPr>
                <w:rFonts w:ascii="Arial"/>
                <w:sz w:val="20"/>
              </w:rPr>
              <w:t>9,93</w:t>
            </w:r>
          </w:p>
        </w:tc>
        <w:tc>
          <w:tcPr>
            <w:tcW w:w="1205" w:type="dxa"/>
          </w:tcPr>
          <w:p>
            <w:pPr>
              <w:pStyle w:val="TableParagraph"/>
              <w:spacing w:before="16"/>
              <w:ind w:left="61" w:right="62"/>
              <w:jc w:val="center"/>
              <w:rPr>
                <w:rFonts w:ascii="Arial"/>
                <w:sz w:val="20"/>
              </w:rPr>
            </w:pPr>
            <w:r>
              <w:rPr>
                <w:rFonts w:ascii="Arial"/>
                <w:sz w:val="20"/>
              </w:rPr>
              <w:t>cm/s</w:t>
            </w:r>
          </w:p>
        </w:tc>
      </w:tr>
      <w:tr>
        <w:trPr>
          <w:trHeight w:val="300" w:hRule="exact"/>
        </w:trPr>
        <w:tc>
          <w:tcPr>
            <w:tcW w:w="2688" w:type="dxa"/>
          </w:tcPr>
          <w:p>
            <w:pPr>
              <w:pStyle w:val="TableParagraph"/>
              <w:spacing w:before="14"/>
              <w:ind w:left="304" w:right="306"/>
              <w:jc w:val="center"/>
              <w:rPr>
                <w:rFonts w:ascii="Arial"/>
                <w:sz w:val="20"/>
              </w:rPr>
            </w:pPr>
            <w:r>
              <w:rPr>
                <w:rFonts w:ascii="Arial"/>
                <w:sz w:val="20"/>
              </w:rPr>
              <w:t>36</w:t>
            </w:r>
          </w:p>
        </w:tc>
        <w:tc>
          <w:tcPr>
            <w:tcW w:w="1207" w:type="dxa"/>
          </w:tcPr>
          <w:p>
            <w:pPr>
              <w:pStyle w:val="TableParagraph"/>
              <w:spacing w:before="14"/>
              <w:ind w:left="123" w:right="123"/>
              <w:jc w:val="center"/>
              <w:rPr>
                <w:rFonts w:ascii="Arial"/>
                <w:sz w:val="20"/>
              </w:rPr>
            </w:pPr>
            <w:r>
              <w:rPr>
                <w:rFonts w:ascii="Arial"/>
                <w:sz w:val="20"/>
              </w:rPr>
              <w:t>cm</w:t>
            </w:r>
          </w:p>
        </w:tc>
        <w:tc>
          <w:tcPr>
            <w:tcW w:w="1397" w:type="dxa"/>
          </w:tcPr>
          <w:p>
            <w:pPr>
              <w:pStyle w:val="TableParagraph"/>
              <w:spacing w:before="14"/>
              <w:ind w:left="194" w:right="196"/>
              <w:jc w:val="center"/>
              <w:rPr>
                <w:rFonts w:ascii="Arial"/>
                <w:sz w:val="20"/>
              </w:rPr>
            </w:pPr>
            <w:r>
              <w:rPr>
                <w:rFonts w:ascii="Arial"/>
                <w:sz w:val="20"/>
              </w:rPr>
              <w:t>14,56</w:t>
            </w:r>
          </w:p>
        </w:tc>
        <w:tc>
          <w:tcPr>
            <w:tcW w:w="1205" w:type="dxa"/>
          </w:tcPr>
          <w:p>
            <w:pPr>
              <w:pStyle w:val="TableParagraph"/>
              <w:spacing w:before="14"/>
              <w:ind w:left="61" w:right="62"/>
              <w:jc w:val="center"/>
              <w:rPr>
                <w:rFonts w:ascii="Arial"/>
                <w:sz w:val="20"/>
              </w:rPr>
            </w:pPr>
            <w:r>
              <w:rPr>
                <w:rFonts w:ascii="Arial"/>
                <w:sz w:val="20"/>
              </w:rPr>
              <w:t>cm/s</w:t>
            </w:r>
          </w:p>
        </w:tc>
      </w:tr>
      <w:tr>
        <w:trPr>
          <w:trHeight w:val="298" w:hRule="exact"/>
        </w:trPr>
        <w:tc>
          <w:tcPr>
            <w:tcW w:w="2688" w:type="dxa"/>
          </w:tcPr>
          <w:p>
            <w:pPr>
              <w:pStyle w:val="TableParagraph"/>
              <w:spacing w:before="14"/>
              <w:ind w:left="304" w:right="306"/>
              <w:jc w:val="center"/>
              <w:rPr>
                <w:rFonts w:ascii="Arial"/>
                <w:sz w:val="20"/>
              </w:rPr>
            </w:pPr>
            <w:r>
              <w:rPr>
                <w:rFonts w:ascii="Arial"/>
                <w:sz w:val="20"/>
              </w:rPr>
              <w:t>49</w:t>
            </w:r>
          </w:p>
        </w:tc>
        <w:tc>
          <w:tcPr>
            <w:tcW w:w="1207" w:type="dxa"/>
          </w:tcPr>
          <w:p>
            <w:pPr>
              <w:pStyle w:val="TableParagraph"/>
              <w:spacing w:before="14"/>
              <w:ind w:left="123" w:right="123"/>
              <w:jc w:val="center"/>
              <w:rPr>
                <w:rFonts w:ascii="Arial"/>
                <w:sz w:val="20"/>
              </w:rPr>
            </w:pPr>
            <w:r>
              <w:rPr>
                <w:rFonts w:ascii="Arial"/>
                <w:sz w:val="20"/>
              </w:rPr>
              <w:t>cm</w:t>
            </w:r>
          </w:p>
        </w:tc>
        <w:tc>
          <w:tcPr>
            <w:tcW w:w="1397" w:type="dxa"/>
          </w:tcPr>
          <w:p>
            <w:pPr>
              <w:pStyle w:val="TableParagraph"/>
              <w:spacing w:before="14"/>
              <w:ind w:left="194" w:right="196"/>
              <w:jc w:val="center"/>
              <w:rPr>
                <w:rFonts w:ascii="Arial"/>
                <w:sz w:val="20"/>
              </w:rPr>
            </w:pPr>
            <w:r>
              <w:rPr>
                <w:rFonts w:ascii="Arial"/>
                <w:sz w:val="20"/>
              </w:rPr>
              <w:t>11,37</w:t>
            </w:r>
          </w:p>
        </w:tc>
        <w:tc>
          <w:tcPr>
            <w:tcW w:w="1205" w:type="dxa"/>
          </w:tcPr>
          <w:p>
            <w:pPr>
              <w:pStyle w:val="TableParagraph"/>
              <w:spacing w:before="14"/>
              <w:ind w:left="61" w:right="62"/>
              <w:jc w:val="center"/>
              <w:rPr>
                <w:rFonts w:ascii="Arial"/>
                <w:sz w:val="20"/>
              </w:rPr>
            </w:pPr>
            <w:r>
              <w:rPr>
                <w:rFonts w:ascii="Arial"/>
                <w:sz w:val="20"/>
              </w:rPr>
              <w:t>cm/s</w:t>
            </w:r>
          </w:p>
        </w:tc>
      </w:tr>
      <w:tr>
        <w:trPr>
          <w:trHeight w:val="300" w:hRule="exact"/>
        </w:trPr>
        <w:tc>
          <w:tcPr>
            <w:tcW w:w="2688" w:type="dxa"/>
          </w:tcPr>
          <w:p>
            <w:pPr>
              <w:pStyle w:val="TableParagraph"/>
              <w:spacing w:before="16"/>
              <w:ind w:left="304" w:right="306"/>
              <w:jc w:val="center"/>
              <w:rPr>
                <w:rFonts w:ascii="Arial"/>
                <w:sz w:val="20"/>
              </w:rPr>
            </w:pPr>
            <w:r>
              <w:rPr>
                <w:rFonts w:ascii="Arial"/>
                <w:sz w:val="20"/>
              </w:rPr>
              <w:t>60</w:t>
            </w:r>
          </w:p>
        </w:tc>
        <w:tc>
          <w:tcPr>
            <w:tcW w:w="1207" w:type="dxa"/>
          </w:tcPr>
          <w:p>
            <w:pPr>
              <w:pStyle w:val="TableParagraph"/>
              <w:spacing w:before="16"/>
              <w:ind w:left="123" w:right="123"/>
              <w:jc w:val="center"/>
              <w:rPr>
                <w:rFonts w:ascii="Arial"/>
                <w:sz w:val="20"/>
              </w:rPr>
            </w:pPr>
            <w:r>
              <w:rPr>
                <w:rFonts w:ascii="Arial"/>
                <w:sz w:val="20"/>
              </w:rPr>
              <w:t>cm</w:t>
            </w:r>
          </w:p>
        </w:tc>
        <w:tc>
          <w:tcPr>
            <w:tcW w:w="1397" w:type="dxa"/>
          </w:tcPr>
          <w:p>
            <w:pPr>
              <w:pStyle w:val="TableParagraph"/>
              <w:spacing w:before="16"/>
              <w:ind w:left="194" w:right="196"/>
              <w:jc w:val="center"/>
              <w:rPr>
                <w:rFonts w:ascii="Arial"/>
                <w:sz w:val="20"/>
              </w:rPr>
            </w:pPr>
            <w:r>
              <w:rPr>
                <w:rFonts w:ascii="Arial"/>
                <w:sz w:val="20"/>
              </w:rPr>
              <w:t>13,02</w:t>
            </w:r>
          </w:p>
        </w:tc>
        <w:tc>
          <w:tcPr>
            <w:tcW w:w="1205" w:type="dxa"/>
          </w:tcPr>
          <w:p>
            <w:pPr>
              <w:pStyle w:val="TableParagraph"/>
              <w:spacing w:before="16"/>
              <w:ind w:left="61" w:right="62"/>
              <w:jc w:val="center"/>
              <w:rPr>
                <w:rFonts w:ascii="Arial"/>
                <w:sz w:val="20"/>
              </w:rPr>
            </w:pPr>
            <w:r>
              <w:rPr>
                <w:rFonts w:ascii="Arial"/>
                <w:sz w:val="20"/>
              </w:rPr>
              <w:t>cm/s</w:t>
            </w:r>
          </w:p>
        </w:tc>
      </w:tr>
      <w:tr>
        <w:trPr>
          <w:trHeight w:val="300" w:hRule="exact"/>
        </w:trPr>
        <w:tc>
          <w:tcPr>
            <w:tcW w:w="2688" w:type="dxa"/>
          </w:tcPr>
          <w:p>
            <w:pPr>
              <w:pStyle w:val="TableParagraph"/>
              <w:spacing w:before="16"/>
              <w:ind w:left="304" w:right="306"/>
              <w:jc w:val="center"/>
              <w:rPr>
                <w:rFonts w:ascii="Arial"/>
                <w:sz w:val="20"/>
              </w:rPr>
            </w:pPr>
            <w:r>
              <w:rPr>
                <w:rFonts w:ascii="Arial"/>
                <w:sz w:val="20"/>
              </w:rPr>
              <w:t>68</w:t>
            </w:r>
          </w:p>
        </w:tc>
        <w:tc>
          <w:tcPr>
            <w:tcW w:w="1207" w:type="dxa"/>
          </w:tcPr>
          <w:p>
            <w:pPr>
              <w:pStyle w:val="TableParagraph"/>
              <w:spacing w:before="16"/>
              <w:ind w:left="123" w:right="123"/>
              <w:jc w:val="center"/>
              <w:rPr>
                <w:rFonts w:ascii="Arial"/>
                <w:sz w:val="20"/>
              </w:rPr>
            </w:pPr>
            <w:r>
              <w:rPr>
                <w:rFonts w:ascii="Arial"/>
                <w:sz w:val="20"/>
              </w:rPr>
              <w:t>cm</w:t>
            </w:r>
          </w:p>
        </w:tc>
        <w:tc>
          <w:tcPr>
            <w:tcW w:w="1397" w:type="dxa"/>
          </w:tcPr>
          <w:p>
            <w:pPr>
              <w:pStyle w:val="TableParagraph"/>
              <w:spacing w:before="16"/>
              <w:ind w:left="194" w:right="196"/>
              <w:jc w:val="center"/>
              <w:rPr>
                <w:rFonts w:ascii="Arial"/>
                <w:sz w:val="20"/>
              </w:rPr>
            </w:pPr>
            <w:r>
              <w:rPr>
                <w:rFonts w:ascii="Arial"/>
                <w:sz w:val="20"/>
              </w:rPr>
              <w:t>13,71</w:t>
            </w:r>
          </w:p>
        </w:tc>
        <w:tc>
          <w:tcPr>
            <w:tcW w:w="1205" w:type="dxa"/>
          </w:tcPr>
          <w:p>
            <w:pPr>
              <w:pStyle w:val="TableParagraph"/>
              <w:spacing w:before="16"/>
              <w:ind w:left="61" w:right="62"/>
              <w:jc w:val="center"/>
              <w:rPr>
                <w:rFonts w:ascii="Arial"/>
                <w:sz w:val="20"/>
              </w:rPr>
            </w:pPr>
            <w:r>
              <w:rPr>
                <w:rFonts w:ascii="Arial"/>
                <w:sz w:val="20"/>
              </w:rPr>
              <w:t>cm/s</w:t>
            </w:r>
          </w:p>
        </w:tc>
      </w:tr>
      <w:tr>
        <w:trPr>
          <w:trHeight w:val="300" w:hRule="exact"/>
        </w:trPr>
        <w:tc>
          <w:tcPr>
            <w:tcW w:w="3895" w:type="dxa"/>
            <w:gridSpan w:val="2"/>
          </w:tcPr>
          <w:p>
            <w:pPr>
              <w:pStyle w:val="TableParagraph"/>
              <w:spacing w:before="14"/>
              <w:ind w:right="98"/>
              <w:rPr>
                <w:rFonts w:ascii="Arial"/>
                <w:sz w:val="20"/>
              </w:rPr>
            </w:pPr>
            <w:r>
              <w:rPr>
                <w:rFonts w:ascii="Arial"/>
                <w:sz w:val="20"/>
              </w:rPr>
              <w:t>Promedio</w:t>
            </w:r>
          </w:p>
        </w:tc>
        <w:tc>
          <w:tcPr>
            <w:tcW w:w="1397" w:type="dxa"/>
          </w:tcPr>
          <w:p>
            <w:pPr>
              <w:pStyle w:val="TableParagraph"/>
              <w:spacing w:before="14"/>
              <w:ind w:left="194" w:right="196"/>
              <w:jc w:val="center"/>
              <w:rPr>
                <w:rFonts w:ascii="Arial"/>
                <w:sz w:val="20"/>
              </w:rPr>
            </w:pPr>
            <w:r>
              <w:rPr>
                <w:rFonts w:ascii="Arial"/>
                <w:sz w:val="20"/>
              </w:rPr>
              <w:t>12,95</w:t>
            </w:r>
          </w:p>
        </w:tc>
        <w:tc>
          <w:tcPr>
            <w:tcW w:w="1205" w:type="dxa"/>
          </w:tcPr>
          <w:p>
            <w:pPr>
              <w:pStyle w:val="TableParagraph"/>
              <w:spacing w:before="11"/>
              <w:ind w:left="61" w:right="62"/>
              <w:jc w:val="center"/>
              <w:rPr>
                <w:rFonts w:ascii="Arial"/>
                <w:sz w:val="20"/>
              </w:rPr>
            </w:pPr>
            <w:r>
              <w:rPr>
                <w:rFonts w:ascii="Arial"/>
                <w:sz w:val="20"/>
              </w:rPr>
              <w:t>cm/s</w:t>
            </w:r>
          </w:p>
        </w:tc>
      </w:tr>
      <w:tr>
        <w:trPr>
          <w:trHeight w:val="300" w:hRule="exact"/>
        </w:trPr>
        <w:tc>
          <w:tcPr>
            <w:tcW w:w="3895" w:type="dxa"/>
            <w:gridSpan w:val="2"/>
          </w:tcPr>
          <w:p>
            <w:pPr>
              <w:pStyle w:val="TableParagraph"/>
              <w:spacing w:before="14"/>
              <w:ind w:left="1965" w:right="0"/>
              <w:jc w:val="left"/>
              <w:rPr>
                <w:rFonts w:ascii="Arial" w:hAnsi="Arial"/>
                <w:sz w:val="20"/>
              </w:rPr>
            </w:pPr>
            <w:r>
              <w:rPr>
                <w:rFonts w:ascii="Arial" w:hAnsi="Arial"/>
                <w:sz w:val="20"/>
              </w:rPr>
              <w:t>Desviación estándar</w:t>
            </w:r>
          </w:p>
        </w:tc>
        <w:tc>
          <w:tcPr>
            <w:tcW w:w="1397" w:type="dxa"/>
          </w:tcPr>
          <w:p>
            <w:pPr>
              <w:pStyle w:val="TableParagraph"/>
              <w:spacing w:before="14"/>
              <w:ind w:left="191" w:right="196"/>
              <w:jc w:val="center"/>
              <w:rPr>
                <w:rFonts w:ascii="Arial"/>
                <w:sz w:val="20"/>
              </w:rPr>
            </w:pPr>
            <w:r>
              <w:rPr>
                <w:rFonts w:ascii="Arial"/>
                <w:sz w:val="20"/>
              </w:rPr>
              <w:t>1,82</w:t>
            </w:r>
          </w:p>
        </w:tc>
        <w:tc>
          <w:tcPr>
            <w:tcW w:w="1205" w:type="dxa"/>
          </w:tcPr>
          <w:p>
            <w:pPr>
              <w:pStyle w:val="TableParagraph"/>
              <w:spacing w:before="11"/>
              <w:ind w:left="61" w:right="62"/>
              <w:jc w:val="center"/>
              <w:rPr>
                <w:rFonts w:ascii="Arial"/>
                <w:sz w:val="20"/>
              </w:rPr>
            </w:pPr>
            <w:r>
              <w:rPr>
                <w:rFonts w:ascii="Arial"/>
                <w:sz w:val="20"/>
              </w:rPr>
              <w:t>cm/s</w:t>
            </w:r>
          </w:p>
        </w:tc>
      </w:tr>
    </w:tbl>
    <w:p>
      <w:pPr>
        <w:pStyle w:val="BodyText"/>
        <w:spacing w:before="2"/>
        <w:rPr>
          <w:b/>
          <w:sz w:val="26"/>
        </w:rPr>
      </w:pPr>
    </w:p>
    <w:p>
      <w:pPr>
        <w:pStyle w:val="Heading5"/>
        <w:numPr>
          <w:ilvl w:val="1"/>
          <w:numId w:val="14"/>
        </w:numPr>
        <w:tabs>
          <w:tab w:pos="1211" w:val="left" w:leader="none"/>
        </w:tabs>
        <w:spacing w:line="240" w:lineRule="auto" w:before="73" w:after="0"/>
        <w:ind w:left="1210" w:right="0" w:hanging="429"/>
        <w:jc w:val="both"/>
      </w:pPr>
      <w:bookmarkStart w:name="_TOC_250044" w:id="91"/>
      <w:bookmarkStart w:name="5.3. Maduración del sistema" w:id="92"/>
      <w:r>
        <w:rPr>
          <w:b w:val="0"/>
        </w:rPr>
      </w:r>
      <w:bookmarkEnd w:id="92"/>
      <w:bookmarkStart w:name="5.3. Maduración del sistema" w:id="93"/>
      <w:r>
        <w:rPr/>
        <w:t>M</w:t>
      </w:r>
      <w:r>
        <w:rPr/>
        <w:t>ADURACIÓN DEL</w:t>
      </w:r>
      <w:r>
        <w:rPr>
          <w:spacing w:val="-5"/>
        </w:rPr>
        <w:t> </w:t>
      </w:r>
      <w:bookmarkEnd w:id="91"/>
      <w:r>
        <w:rPr/>
        <w:t>SISTEMA</w:t>
      </w:r>
    </w:p>
    <w:p>
      <w:pPr>
        <w:pStyle w:val="BodyText"/>
        <w:spacing w:line="357" w:lineRule="auto" w:before="128"/>
        <w:ind w:left="781" w:right="496"/>
        <w:jc w:val="both"/>
      </w:pPr>
      <w:r>
        <w:rPr/>
        <w:t>Para madurar el sistema se sembraron 102 organismos en el SRA, el flujo a través del  tren de tratamiento inició el proceso de formación de biopelícula en el filtro percolador y en el filtro de arena. El tiempo de maduración fue de 37 días, momento en el cual la concentración de nitrógeno amoniacal total en el estanque se estabilizó siendo menor a 0,2 mg/L de N-NH</w:t>
      </w:r>
      <w:r>
        <w:rPr>
          <w:position w:val="-2"/>
          <w:sz w:val="13"/>
        </w:rPr>
        <w:t>3 </w:t>
      </w:r>
      <w:r>
        <w:rPr/>
        <w:t>(Colt et al., 2006). Cuando el sistema se consideró maduro se sembraron otros 76 organismos para llegar a la biomasa inicial de</w:t>
      </w:r>
      <w:r>
        <w:rPr>
          <w:spacing w:val="-25"/>
        </w:rPr>
        <w:t> </w:t>
      </w:r>
      <w:r>
        <w:rPr/>
        <w:t>estudio.</w:t>
      </w:r>
    </w:p>
    <w:p>
      <w:pPr>
        <w:pStyle w:val="BodyText"/>
        <w:spacing w:before="9"/>
        <w:rPr>
          <w:sz w:val="17"/>
        </w:rPr>
      </w:pPr>
    </w:p>
    <w:p>
      <w:pPr>
        <w:pStyle w:val="BodyText"/>
        <w:spacing w:line="355" w:lineRule="auto"/>
        <w:ind w:left="781" w:right="497"/>
        <w:jc w:val="both"/>
      </w:pPr>
      <w:r>
        <w:rPr/>
        <w:t>La figura 22 muestra la concentración de N-NH</w:t>
      </w:r>
      <w:r>
        <w:rPr>
          <w:position w:val="-2"/>
          <w:sz w:val="13"/>
        </w:rPr>
        <w:t>3 </w:t>
      </w:r>
      <w:r>
        <w:rPr/>
        <w:t>a la salida del tren de tratamiento en función del tiempo, se observa en esta figura un incremento de la concentración de nitrógeno amoniacal total hasta el día 22, después ésta cae a valores menores a 0,2 mg N-NH</w:t>
      </w:r>
      <w:r>
        <w:rPr>
          <w:position w:val="-2"/>
          <w:sz w:val="13"/>
        </w:rPr>
        <w:t>3</w:t>
      </w:r>
      <w:r>
        <w:rPr/>
        <w:t>/L, lo que indicó que se tenía una población aceptable de bacterias en el biofiltro que oxidan los compuestos</w:t>
      </w:r>
      <w:r>
        <w:rPr>
          <w:spacing w:val="-18"/>
        </w:rPr>
        <w:t> </w:t>
      </w:r>
      <w:r>
        <w:rPr/>
        <w:t>nitrogenados.</w:t>
      </w:r>
    </w:p>
    <w:p>
      <w:pPr>
        <w:spacing w:after="0" w:line="355" w:lineRule="auto"/>
        <w:jc w:val="both"/>
        <w:sectPr>
          <w:pgSz w:w="12240" w:h="15840"/>
          <w:pgMar w:header="725" w:footer="1084" w:top="1340" w:bottom="1280" w:left="920" w:right="1200"/>
        </w:sectPr>
      </w:pPr>
    </w:p>
    <w:p>
      <w:pPr>
        <w:pStyle w:val="BodyText"/>
        <w:spacing w:before="4"/>
        <w:rPr>
          <w:sz w:val="15"/>
        </w:rPr>
      </w:pPr>
    </w:p>
    <w:p>
      <w:pPr>
        <w:pStyle w:val="BodyText"/>
        <w:ind w:left="1376"/>
        <w:rPr>
          <w:sz w:val="20"/>
        </w:rPr>
      </w:pPr>
      <w:r>
        <w:rPr>
          <w:sz w:val="20"/>
        </w:rPr>
        <w:drawing>
          <wp:inline distT="0" distB="0" distL="0" distR="0">
            <wp:extent cx="4889990" cy="3553301"/>
            <wp:effectExtent l="0" t="0" r="0" b="0"/>
            <wp:docPr id="17" name="image47.jpeg" descr=""/>
            <wp:cNvGraphicFramePr>
              <a:graphicFrameLocks noChangeAspect="1"/>
            </wp:cNvGraphicFramePr>
            <a:graphic>
              <a:graphicData uri="http://schemas.openxmlformats.org/drawingml/2006/picture">
                <pic:pic>
                  <pic:nvPicPr>
                    <pic:cNvPr id="18" name="image47.jpeg"/>
                    <pic:cNvPicPr/>
                  </pic:nvPicPr>
                  <pic:blipFill>
                    <a:blip r:embed="rId53" cstate="print"/>
                    <a:stretch>
                      <a:fillRect/>
                    </a:stretch>
                  </pic:blipFill>
                  <pic:spPr>
                    <a:xfrm>
                      <a:off x="0" y="0"/>
                      <a:ext cx="4889990" cy="3553301"/>
                    </a:xfrm>
                    <a:prstGeom prst="rect">
                      <a:avLst/>
                    </a:prstGeom>
                  </pic:spPr>
                </pic:pic>
              </a:graphicData>
            </a:graphic>
          </wp:inline>
        </w:drawing>
      </w:r>
      <w:r>
        <w:rPr>
          <w:sz w:val="20"/>
        </w:rPr>
      </w:r>
    </w:p>
    <w:p>
      <w:pPr>
        <w:pStyle w:val="BodyText"/>
        <w:spacing w:before="8"/>
        <w:rPr>
          <w:sz w:val="13"/>
        </w:rPr>
      </w:pPr>
    </w:p>
    <w:p>
      <w:pPr>
        <w:spacing w:before="77"/>
        <w:ind w:left="1988" w:right="948" w:firstLine="0"/>
        <w:jc w:val="left"/>
        <w:rPr>
          <w:b/>
          <w:sz w:val="18"/>
        </w:rPr>
      </w:pPr>
      <w:r>
        <w:rPr>
          <w:b/>
          <w:sz w:val="18"/>
        </w:rPr>
        <w:t>Figura 22. Curva de maduración del tren de tratamiento en la primera etapa</w:t>
      </w:r>
    </w:p>
    <w:p>
      <w:pPr>
        <w:pStyle w:val="BodyText"/>
        <w:spacing w:before="8"/>
        <w:rPr>
          <w:b/>
          <w:sz w:val="17"/>
        </w:rPr>
      </w:pPr>
    </w:p>
    <w:p>
      <w:pPr>
        <w:pStyle w:val="BodyText"/>
        <w:spacing w:line="357" w:lineRule="auto" w:before="1"/>
        <w:ind w:left="781" w:right="497"/>
        <w:jc w:val="both"/>
      </w:pPr>
      <w:r>
        <w:rPr/>
        <w:t>En un segundo momento (día 83) después de una falla en la energía eléctrica y de </w:t>
      </w:r>
      <w:r>
        <w:rPr>
          <w:spacing w:val="-3"/>
        </w:rPr>
        <w:t>los</w:t>
      </w:r>
      <w:r>
        <w:rPr>
          <w:spacing w:val="55"/>
        </w:rPr>
        <w:t> </w:t>
      </w:r>
      <w:r>
        <w:rPr/>
        <w:t>sistemas de respaldo, se repuso la biomasa y fue necesario volver a madurar el sistema con 418 organismos con una longitud inicial promedio de 19 cm y un peso inicial promedio de 287 g, el tiempo necesario para este segundo caso para llegar a la maduración fue de 15 días. En la figura 23 se gráfica la concentración de N-NH</w:t>
      </w:r>
      <w:r>
        <w:rPr>
          <w:position w:val="-2"/>
          <w:sz w:val="13"/>
        </w:rPr>
        <w:t>3 </w:t>
      </w:r>
      <w:r>
        <w:rPr/>
        <w:t>en el efluente del tren de tratamiento en función del tiempo, el cual fue menor a la primera maduración del sistema probablemente porque ya se tenía latente una población de bacterias en el empaque del biofiltro.</w:t>
      </w:r>
    </w:p>
    <w:p>
      <w:pPr>
        <w:spacing w:after="0" w:line="357" w:lineRule="auto"/>
        <w:jc w:val="both"/>
        <w:sectPr>
          <w:pgSz w:w="12240" w:h="15840"/>
          <w:pgMar w:header="725" w:footer="1084" w:top="1340" w:bottom="1280" w:left="920" w:right="1200"/>
        </w:sectPr>
      </w:pPr>
    </w:p>
    <w:p>
      <w:pPr>
        <w:pStyle w:val="BodyText"/>
        <w:spacing w:before="4"/>
        <w:rPr>
          <w:sz w:val="15"/>
        </w:rPr>
      </w:pPr>
    </w:p>
    <w:p>
      <w:pPr>
        <w:pStyle w:val="BodyText"/>
        <w:ind w:left="1014"/>
        <w:rPr>
          <w:sz w:val="20"/>
        </w:rPr>
      </w:pPr>
      <w:r>
        <w:rPr>
          <w:sz w:val="20"/>
        </w:rPr>
        <w:drawing>
          <wp:inline distT="0" distB="0" distL="0" distR="0">
            <wp:extent cx="5324072" cy="3869150"/>
            <wp:effectExtent l="0" t="0" r="0" b="0"/>
            <wp:docPr id="19" name="image48.jpeg" descr=""/>
            <wp:cNvGraphicFramePr>
              <a:graphicFrameLocks noChangeAspect="1"/>
            </wp:cNvGraphicFramePr>
            <a:graphic>
              <a:graphicData uri="http://schemas.openxmlformats.org/drawingml/2006/picture">
                <pic:pic>
                  <pic:nvPicPr>
                    <pic:cNvPr id="20" name="image48.jpeg"/>
                    <pic:cNvPicPr/>
                  </pic:nvPicPr>
                  <pic:blipFill>
                    <a:blip r:embed="rId54" cstate="print"/>
                    <a:stretch>
                      <a:fillRect/>
                    </a:stretch>
                  </pic:blipFill>
                  <pic:spPr>
                    <a:xfrm>
                      <a:off x="0" y="0"/>
                      <a:ext cx="5324072" cy="3869150"/>
                    </a:xfrm>
                    <a:prstGeom prst="rect">
                      <a:avLst/>
                    </a:prstGeom>
                  </pic:spPr>
                </pic:pic>
              </a:graphicData>
            </a:graphic>
          </wp:inline>
        </w:drawing>
      </w:r>
      <w:r>
        <w:rPr>
          <w:sz w:val="20"/>
        </w:rPr>
      </w:r>
    </w:p>
    <w:p>
      <w:pPr>
        <w:pStyle w:val="BodyText"/>
        <w:spacing w:before="2"/>
        <w:rPr>
          <w:sz w:val="23"/>
        </w:rPr>
      </w:pPr>
    </w:p>
    <w:p>
      <w:pPr>
        <w:spacing w:before="78"/>
        <w:ind w:left="2019" w:right="948" w:firstLine="0"/>
        <w:jc w:val="left"/>
        <w:rPr>
          <w:b/>
          <w:sz w:val="18"/>
        </w:rPr>
      </w:pPr>
      <w:r>
        <w:rPr>
          <w:b/>
          <w:sz w:val="18"/>
        </w:rPr>
        <w:t>Figura 23. Maduración del tren de tratamiento en la reposición de biomasa</w:t>
      </w:r>
    </w:p>
    <w:p>
      <w:pPr>
        <w:pStyle w:val="BodyText"/>
        <w:spacing w:before="4"/>
        <w:rPr>
          <w:b/>
          <w:sz w:val="17"/>
        </w:rPr>
      </w:pPr>
    </w:p>
    <w:p>
      <w:pPr>
        <w:pStyle w:val="Heading5"/>
        <w:numPr>
          <w:ilvl w:val="1"/>
          <w:numId w:val="14"/>
        </w:numPr>
        <w:tabs>
          <w:tab w:pos="1211" w:val="left" w:leader="none"/>
        </w:tabs>
        <w:spacing w:line="240" w:lineRule="auto" w:before="0" w:after="0"/>
        <w:ind w:left="1210" w:right="0" w:hanging="429"/>
        <w:jc w:val="both"/>
      </w:pPr>
      <w:bookmarkStart w:name="_TOC_250043" w:id="94"/>
      <w:bookmarkStart w:name="5.4. Cultivo acuícola" w:id="95"/>
      <w:r>
        <w:rPr>
          <w:b w:val="0"/>
        </w:rPr>
      </w:r>
      <w:bookmarkEnd w:id="95"/>
      <w:bookmarkStart w:name="5.4. Cultivo acuícola" w:id="96"/>
      <w:r>
        <w:rPr/>
        <w:t>C</w:t>
      </w:r>
      <w:r>
        <w:rPr/>
        <w:t>ULTIVO</w:t>
      </w:r>
      <w:r>
        <w:rPr>
          <w:spacing w:val="-3"/>
        </w:rPr>
        <w:t> </w:t>
      </w:r>
      <w:bookmarkEnd w:id="94"/>
      <w:r>
        <w:rPr/>
        <w:t>ACUÍCOLA</w:t>
      </w:r>
    </w:p>
    <w:p>
      <w:pPr>
        <w:pStyle w:val="BodyText"/>
        <w:spacing w:line="360" w:lineRule="auto" w:before="128"/>
        <w:ind w:left="781" w:right="498"/>
        <w:jc w:val="both"/>
      </w:pPr>
      <w:r>
        <w:rPr/>
        <w:t>La operación del SRA fue realizada en condiciones ambientales y socioeconómicas imperantes en la zona centro de la República Mexicana, en específico en la zona centro sur del Estado de México, con un clima templado frío, una altitud entre los 2 500 y 3 000 msnm y temperaturas entre los 5 y 25°C (INEGI,2004).</w:t>
      </w:r>
    </w:p>
    <w:p>
      <w:pPr>
        <w:pStyle w:val="BodyText"/>
        <w:spacing w:before="7"/>
        <w:rPr>
          <w:sz w:val="17"/>
        </w:rPr>
      </w:pPr>
    </w:p>
    <w:p>
      <w:pPr>
        <w:pStyle w:val="BodyText"/>
        <w:spacing w:line="360" w:lineRule="auto"/>
        <w:ind w:left="781" w:right="497"/>
        <w:jc w:val="both"/>
      </w:pPr>
      <w:r>
        <w:rPr/>
        <w:t>El cultivo acuícola, en particular, se desarrolló bajo techo a una altitud de 2 660 msnm, permitiendo temperaturas promedio de 17,42°C durante los primeros 100 días, después la temperatura del agua en el estanque descendió entre los 13 y 15°C a consecuencia del clima frío de otoño – invierno de la zona, en la figura 24 se gráfica la temperatura en el estanque de cultivo en función del tiempo. Sin embargo, el crecimiento observado de los organismos en el sistema (4,23 g/d) fue mayor al reportado por la literatura 0,95 g/d (Blanco, 1995), 0,3 g/d (Klontz, 1991) y 0,8 g/d (Ingram </w:t>
      </w:r>
      <w:r>
        <w:rPr>
          <w:i/>
        </w:rPr>
        <w:t>et al</w:t>
      </w:r>
      <w:r>
        <w:rPr/>
        <w:t>., 2002) crecimiento promedio en todo el periodo de cultivo en condiciones ideales.</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8"/>
        <w:jc w:val="both"/>
      </w:pPr>
      <w:r>
        <w:rPr/>
        <w:t>Para explicar este crecimiento se debe de tomar en cuenta una serie de factores: primero y más probable fue el incremento de caudal en el sistema con respecto a experiencias anteriores (García, 2008; Gallego, 2004); segundo, un manejo del alimento de acuerdo con las recomendaciones del fabricante; tercero, una temperatura mayor a 16°C que aumentó el metabolismo de los peces (Daoud </w:t>
      </w:r>
      <w:r>
        <w:rPr>
          <w:i/>
        </w:rPr>
        <w:t>et al</w:t>
      </w:r>
      <w:r>
        <w:rPr/>
        <w:t>., 2007; Cerezo – Valverde </w:t>
      </w:r>
      <w:r>
        <w:rPr>
          <w:i/>
        </w:rPr>
        <w:t>et al</w:t>
      </w:r>
      <w:r>
        <w:rPr/>
        <w:t>., 2006; Dong </w:t>
      </w:r>
      <w:r>
        <w:rPr>
          <w:i/>
        </w:rPr>
        <w:t>et al</w:t>
      </w:r>
      <w:r>
        <w:rPr/>
        <w:t>., 2006); y cuarto, el aumento de sales al equilibrar el agua pluvial con sal marina, cal y bicarbonato de sodio (Loyless y Malone,</w:t>
      </w:r>
      <w:r>
        <w:rPr>
          <w:spacing w:val="-25"/>
        </w:rPr>
        <w:t> </w:t>
      </w:r>
      <w:r>
        <w:rPr/>
        <w:t>1997).</w:t>
      </w:r>
    </w:p>
    <w:p>
      <w:pPr>
        <w:pStyle w:val="BodyText"/>
        <w:spacing w:before="7"/>
        <w:rPr>
          <w:sz w:val="17"/>
        </w:rPr>
      </w:pPr>
    </w:p>
    <w:p>
      <w:pPr>
        <w:pStyle w:val="BodyText"/>
        <w:spacing w:line="360" w:lineRule="auto"/>
        <w:ind w:left="781" w:right="497"/>
        <w:jc w:val="both"/>
      </w:pPr>
      <w:r>
        <w:rPr/>
        <w:t>Ingram </w:t>
      </w:r>
      <w:r>
        <w:rPr>
          <w:i/>
        </w:rPr>
        <w:t>et al</w:t>
      </w:r>
      <w:r>
        <w:rPr/>
        <w:t>. (2002) en el mismo estudio con trucha cultivada en agua dulce, reportan crecimiento de trucha en agua salobre (16,8 g/L) con una ganancia de 5,2 g/d, similar a lo obtenido en la investigación actual en agua dulce.</w:t>
      </w:r>
    </w:p>
    <w:p>
      <w:pPr>
        <w:pStyle w:val="BodyText"/>
        <w:spacing w:before="7"/>
        <w:rPr>
          <w:sz w:val="14"/>
        </w:rPr>
      </w:pPr>
      <w:r>
        <w:rPr/>
        <w:drawing>
          <wp:anchor distT="0" distB="0" distL="0" distR="0" allowOverlap="1" layoutInCell="1" locked="0" behindDoc="0" simplePos="0" relativeHeight="6136">
            <wp:simplePos x="0" y="0"/>
            <wp:positionH relativeFrom="page">
              <wp:posOffset>1106424</wp:posOffset>
            </wp:positionH>
            <wp:positionV relativeFrom="paragraph">
              <wp:posOffset>131624</wp:posOffset>
            </wp:positionV>
            <wp:extent cx="5644499" cy="4120896"/>
            <wp:effectExtent l="0" t="0" r="0" b="0"/>
            <wp:wrapTopAndBottom/>
            <wp:docPr id="21" name="image49.jpeg" descr=""/>
            <wp:cNvGraphicFramePr>
              <a:graphicFrameLocks noChangeAspect="1"/>
            </wp:cNvGraphicFramePr>
            <a:graphic>
              <a:graphicData uri="http://schemas.openxmlformats.org/drawingml/2006/picture">
                <pic:pic>
                  <pic:nvPicPr>
                    <pic:cNvPr id="22" name="image49.jpeg"/>
                    <pic:cNvPicPr/>
                  </pic:nvPicPr>
                  <pic:blipFill>
                    <a:blip r:embed="rId55" cstate="print"/>
                    <a:stretch>
                      <a:fillRect/>
                    </a:stretch>
                  </pic:blipFill>
                  <pic:spPr>
                    <a:xfrm>
                      <a:off x="0" y="0"/>
                      <a:ext cx="5644499" cy="4120896"/>
                    </a:xfrm>
                    <a:prstGeom prst="rect">
                      <a:avLst/>
                    </a:prstGeom>
                  </pic:spPr>
                </pic:pic>
              </a:graphicData>
            </a:graphic>
          </wp:anchor>
        </w:drawing>
      </w:r>
    </w:p>
    <w:p>
      <w:pPr>
        <w:spacing w:before="159"/>
        <w:ind w:left="868" w:right="587" w:firstLine="0"/>
        <w:jc w:val="center"/>
        <w:rPr>
          <w:b/>
          <w:sz w:val="18"/>
        </w:rPr>
      </w:pPr>
      <w:r>
        <w:rPr>
          <w:b/>
          <w:sz w:val="18"/>
        </w:rPr>
        <w:t>Figura 24. Temperatura observada en el estanque del SRA</w:t>
      </w:r>
    </w:p>
    <w:p>
      <w:pPr>
        <w:pStyle w:val="BodyText"/>
        <w:spacing w:before="4"/>
        <w:rPr>
          <w:b/>
          <w:sz w:val="17"/>
        </w:rPr>
      </w:pPr>
    </w:p>
    <w:p>
      <w:pPr>
        <w:pStyle w:val="Heading5"/>
        <w:numPr>
          <w:ilvl w:val="2"/>
          <w:numId w:val="14"/>
        </w:numPr>
        <w:tabs>
          <w:tab w:pos="1396" w:val="left" w:leader="none"/>
        </w:tabs>
        <w:spacing w:line="240" w:lineRule="auto" w:before="0" w:after="0"/>
        <w:ind w:left="1395" w:right="0" w:hanging="614"/>
        <w:jc w:val="both"/>
      </w:pPr>
      <w:bookmarkStart w:name="_TOC_250042" w:id="97"/>
      <w:r>
        <w:rPr/>
        <w:t>DESARROLLO DE LA TRUCHA ARCO</w:t>
      </w:r>
      <w:r>
        <w:rPr>
          <w:spacing w:val="-14"/>
        </w:rPr>
        <w:t> </w:t>
      </w:r>
      <w:bookmarkEnd w:id="97"/>
      <w:r>
        <w:rPr/>
        <w:t>IRIS</w:t>
      </w:r>
    </w:p>
    <w:p>
      <w:pPr>
        <w:pStyle w:val="BodyText"/>
        <w:spacing w:before="2"/>
        <w:rPr>
          <w:b/>
        </w:rPr>
      </w:pPr>
    </w:p>
    <w:p>
      <w:pPr>
        <w:pStyle w:val="BodyText"/>
        <w:spacing w:line="360" w:lineRule="auto" w:before="1"/>
        <w:ind w:left="781" w:right="498"/>
        <w:jc w:val="both"/>
      </w:pPr>
      <w:r>
        <w:rPr/>
        <w:t>El desarrollo observado del cultivo trutícola en esta investigación se refleja en el valor de biomasa  alcanzada  de  180,42  kg,  con  un  peso  promedio  de  472,31  ±  66,78 g;  una</w:t>
      </w:r>
    </w:p>
    <w:p>
      <w:pPr>
        <w:spacing w:after="0" w:line="360" w:lineRule="auto"/>
        <w:jc w:val="both"/>
        <w:sectPr>
          <w:pgSz w:w="12240" w:h="15840"/>
          <w:pgMar w:header="725" w:footer="1084" w:top="1340" w:bottom="1280" w:left="920" w:right="1200"/>
        </w:sectPr>
      </w:pPr>
    </w:p>
    <w:p>
      <w:pPr>
        <w:pStyle w:val="BodyText"/>
        <w:spacing w:line="360" w:lineRule="auto" w:before="159"/>
        <w:ind w:left="781" w:right="498"/>
        <w:jc w:val="both"/>
      </w:pPr>
      <w:bookmarkStart w:name="5.4.1. Desarrollo de la trucha arco iris" w:id="98"/>
      <w:bookmarkEnd w:id="98"/>
      <w:r>
        <w:rPr/>
      </w:r>
      <w:r>
        <w:rPr/>
        <w:t>densidad de 28,73 kg/m</w:t>
      </w:r>
      <w:r>
        <w:rPr>
          <w:position w:val="10"/>
          <w:sz w:val="13"/>
        </w:rPr>
        <w:t>3 </w:t>
      </w:r>
      <w:r>
        <w:rPr/>
        <w:t>(60,82 org/m</w:t>
      </w:r>
      <w:r>
        <w:rPr>
          <w:position w:val="10"/>
          <w:sz w:val="13"/>
        </w:rPr>
        <w:t>3</w:t>
      </w:r>
      <w:r>
        <w:rPr/>
        <w:t>); un caudal de 2,1 L/s; un recambio de agua limpia de lluvia de 4,3 % diario. En este porcentaje de recambio de agua se considera: 1) purga de lodos generados en el sedimentador, 2) fugas en el estanque y evaporación de   agua,</w:t>
      </w:r>
    </w:p>
    <w:p>
      <w:pPr>
        <w:pStyle w:val="BodyText"/>
        <w:spacing w:line="360" w:lineRule="auto" w:before="3"/>
        <w:ind w:left="781" w:right="497"/>
        <w:jc w:val="both"/>
      </w:pPr>
      <w:r>
        <w:rPr/>
        <w:t>3) toma de muestras para análisis de agua, 4) pérdidas de agua debida a la curva de aprendizaje de operación del SRA y 5) fallas de energía eléctrica que obligaron a cambiar toda el agua en el SRA dos veces. Eliminando los factores 3, 4 y 5, el consumo de agua de lluvia del SRA fue del orden del 2,21 % del volumen total en el sistema diariamente.</w:t>
      </w:r>
    </w:p>
    <w:p>
      <w:pPr>
        <w:pStyle w:val="BodyText"/>
        <w:spacing w:before="7"/>
        <w:rPr>
          <w:sz w:val="17"/>
        </w:rPr>
      </w:pPr>
    </w:p>
    <w:p>
      <w:pPr>
        <w:pStyle w:val="BodyText"/>
        <w:spacing w:line="360" w:lineRule="auto"/>
        <w:ind w:left="781" w:right="497"/>
        <w:jc w:val="both"/>
      </w:pPr>
      <w:r>
        <w:rPr/>
        <w:t>Timmons </w:t>
      </w:r>
      <w:r>
        <w:rPr>
          <w:i/>
        </w:rPr>
        <w:t>et al</w:t>
      </w:r>
      <w:r>
        <w:rPr/>
        <w:t>. (2002) reportan que se necesitan 210 000 L/kg de pez para una granja con un flujo abierto. Es decir, el agua entra a los estanques, se utiliza en los mismos y se descarga a un cuerpo de agua colindante a la unidad de producción. Para el sistema evaluado se utilizaron 265,20 L/d y el cultivo duró 121 días por lo que se requirió un total de 178,27 L/kg de pez.</w:t>
      </w:r>
    </w:p>
    <w:p>
      <w:pPr>
        <w:pStyle w:val="BodyText"/>
        <w:spacing w:before="7"/>
        <w:rPr>
          <w:sz w:val="17"/>
        </w:rPr>
      </w:pPr>
    </w:p>
    <w:p>
      <w:pPr>
        <w:pStyle w:val="BodyText"/>
        <w:spacing w:line="360" w:lineRule="auto"/>
        <w:ind w:left="781" w:right="498"/>
        <w:jc w:val="both"/>
      </w:pPr>
      <w:r>
        <w:rPr/>
        <w:t>En sistemas de recirculación acuícola incorporados a cultivos de salmónidos, se ha reportado el uso de 100 L/kg de pez (Timmons </w:t>
      </w:r>
      <w:r>
        <w:rPr>
          <w:i/>
        </w:rPr>
        <w:t>et al</w:t>
      </w:r>
      <w:r>
        <w:rPr/>
        <w:t>., 2009). En esta investigación se tuvo un gasto de 178,27 L/kg de pez, para disminuir la cantidad de agua utilizada en el SRA para producir un kilogramo de trucha, es necesario captar de regreso el agua utilizada en la purga de lodos del sedimentador y optimizar el retrolavado del filtro de arena.</w:t>
      </w:r>
    </w:p>
    <w:p>
      <w:pPr>
        <w:pStyle w:val="BodyText"/>
        <w:spacing w:before="9"/>
        <w:rPr>
          <w:sz w:val="17"/>
        </w:rPr>
      </w:pPr>
    </w:p>
    <w:p>
      <w:pPr>
        <w:pStyle w:val="BodyText"/>
        <w:spacing w:line="360" w:lineRule="auto"/>
        <w:ind w:left="781" w:right="497"/>
        <w:jc w:val="both"/>
      </w:pPr>
      <w:r>
        <w:rPr/>
        <w:t>La figura 25, muestra el comportamiento de la biomasa en el SRA, los primeros días se observa un incremento de la biomasa lento pero constante, al final del proceso de maduración y una vez que se inició con la fase experimental se tiene un incremento  mayor de la biomasa que a su vez se relaciona con un sistema biológico maduro que permitió mantener a los peces en niveles adecuados de cultivo, favoreciendo el crecimiento de los</w:t>
      </w:r>
      <w:r>
        <w:rPr>
          <w:spacing w:val="-9"/>
        </w:rPr>
        <w:t> </w:t>
      </w:r>
      <w:r>
        <w:rPr/>
        <w:t>mismos.</w:t>
      </w:r>
    </w:p>
    <w:p>
      <w:pPr>
        <w:pStyle w:val="BodyText"/>
        <w:spacing w:before="9"/>
        <w:rPr>
          <w:sz w:val="17"/>
        </w:rPr>
      </w:pPr>
    </w:p>
    <w:p>
      <w:pPr>
        <w:pStyle w:val="BodyText"/>
        <w:spacing w:line="360" w:lineRule="auto"/>
        <w:ind w:left="781" w:right="497"/>
        <w:jc w:val="both"/>
      </w:pPr>
      <w:r>
        <w:rPr/>
        <w:t>En el día 58 se tuvo un problema de falta de energía por lo que se perdió la biomasa lograda hasta el momento, pero ésta se repuso con 120 kg sembrados el día 83 del cultivo. Sin embargo, se observa una disminución significativa de la misma, que se debió  a que el tren de tratamiento del SRA no se encontraba maduro y no soportó la carga a la que fue sometido el sistema, tardando 15 días en madurar el filtro biológico. No obstante la biomasa se repuso para continuar el estudio en el estrato que se</w:t>
      </w:r>
      <w:r>
        <w:rPr>
          <w:spacing w:val="-28"/>
        </w:rPr>
        <w:t> </w:t>
      </w:r>
      <w:r>
        <w:rPr/>
        <w:t>trabajó.</w:t>
      </w:r>
    </w:p>
    <w:p>
      <w:pPr>
        <w:pStyle w:val="BodyText"/>
        <w:spacing w:before="9"/>
        <w:rPr>
          <w:sz w:val="17"/>
        </w:rPr>
      </w:pPr>
    </w:p>
    <w:p>
      <w:pPr>
        <w:pStyle w:val="BodyText"/>
        <w:spacing w:line="360" w:lineRule="auto"/>
        <w:ind w:left="781" w:right="498" w:hanging="1"/>
        <w:jc w:val="both"/>
      </w:pPr>
      <w:r>
        <w:rPr/>
        <w:t>Así mismo, se propuso incrementar la biomasa cada 15 días, con la adición de organismos  en  el  estanque,  para  evaluar  el  desempeño  del  SRA  en  los  </w:t>
      </w:r>
      <w:r>
        <w:rPr>
          <w:spacing w:val="34"/>
        </w:rPr>
        <w:t> </w:t>
      </w:r>
      <w:r>
        <w:rPr/>
        <w:t>diferentes</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estratos, tomando en cuenta el crecimiento reportado en la literatura (Blanco,  1995; Klontz, 1991). Sin embargo, debido al crecimiento superior de la trucha en el SRA en estudio (10,30 g/kg pez d) no fue necesario agregar más organismos al estanque, ya que cada 15 días se superó la biomasa fijada para el estrato siguiente.</w:t>
      </w:r>
    </w:p>
    <w:p>
      <w:pPr>
        <w:pStyle w:val="BodyText"/>
        <w:spacing w:before="9"/>
        <w:rPr>
          <w:sz w:val="17"/>
        </w:rPr>
      </w:pPr>
    </w:p>
    <w:p>
      <w:pPr>
        <w:pStyle w:val="BodyText"/>
        <w:spacing w:line="360" w:lineRule="auto"/>
        <w:ind w:left="781" w:right="498"/>
        <w:jc w:val="both"/>
      </w:pPr>
      <w:r>
        <w:rPr/>
        <w:t>En la figura 25, se puede observar que se tuvo un incremento de biomasa en el cultivo de 114,52 kg, así mismo se presentan los crecimientos determinados para diferentes etapas del cultivo en función de la biomasa inicial de los organismos y la alcanzada en cada etapa.</w:t>
      </w:r>
    </w:p>
    <w:p>
      <w:pPr>
        <w:pStyle w:val="BodyText"/>
        <w:spacing w:before="7"/>
        <w:rPr>
          <w:sz w:val="14"/>
        </w:rPr>
      </w:pPr>
      <w:r>
        <w:rPr/>
        <w:drawing>
          <wp:anchor distT="0" distB="0" distL="0" distR="0" allowOverlap="1" layoutInCell="1" locked="0" behindDoc="0" simplePos="0" relativeHeight="6160">
            <wp:simplePos x="0" y="0"/>
            <wp:positionH relativeFrom="page">
              <wp:posOffset>1106424</wp:posOffset>
            </wp:positionH>
            <wp:positionV relativeFrom="paragraph">
              <wp:posOffset>131624</wp:posOffset>
            </wp:positionV>
            <wp:extent cx="5578536" cy="3819525"/>
            <wp:effectExtent l="0" t="0" r="0" b="0"/>
            <wp:wrapTopAndBottom/>
            <wp:docPr id="23" name="image50.png" descr=""/>
            <wp:cNvGraphicFramePr>
              <a:graphicFrameLocks noChangeAspect="1"/>
            </wp:cNvGraphicFramePr>
            <a:graphic>
              <a:graphicData uri="http://schemas.openxmlformats.org/drawingml/2006/picture">
                <pic:pic>
                  <pic:nvPicPr>
                    <pic:cNvPr id="24" name="image50.png"/>
                    <pic:cNvPicPr/>
                  </pic:nvPicPr>
                  <pic:blipFill>
                    <a:blip r:embed="rId56" cstate="print"/>
                    <a:stretch>
                      <a:fillRect/>
                    </a:stretch>
                  </pic:blipFill>
                  <pic:spPr>
                    <a:xfrm>
                      <a:off x="0" y="0"/>
                      <a:ext cx="5578536" cy="3819525"/>
                    </a:xfrm>
                    <a:prstGeom prst="rect">
                      <a:avLst/>
                    </a:prstGeom>
                  </pic:spPr>
                </pic:pic>
              </a:graphicData>
            </a:graphic>
          </wp:anchor>
        </w:drawing>
      </w:r>
    </w:p>
    <w:p>
      <w:pPr>
        <w:spacing w:before="120"/>
        <w:ind w:left="2516" w:right="948" w:firstLine="0"/>
        <w:jc w:val="left"/>
        <w:rPr>
          <w:b/>
          <w:sz w:val="18"/>
        </w:rPr>
      </w:pPr>
      <w:r>
        <w:rPr>
          <w:b/>
          <w:sz w:val="18"/>
        </w:rPr>
        <w:t>Figura 25. Biomasa producida y densidad alcanzada en el SRA</w:t>
      </w:r>
    </w:p>
    <w:p>
      <w:pPr>
        <w:pStyle w:val="BodyText"/>
        <w:spacing w:line="360" w:lineRule="auto" w:before="122"/>
        <w:ind w:left="781" w:right="498"/>
        <w:jc w:val="both"/>
      </w:pPr>
      <w:r>
        <w:rPr/>
        <w:t>El consumo total de alimento fue de 157,07 kg, con un porcentaje de ración diaria de alimento balanceado (45 % de proteína y 16 % de lípidos) de 1,13 ± 0,23 %. Permitiendo determinar el factor de conversión alimenticia (FCA) de 1,37.</w:t>
      </w:r>
    </w:p>
    <w:p>
      <w:pPr>
        <w:pStyle w:val="BodyText"/>
        <w:spacing w:before="7"/>
        <w:rPr>
          <w:sz w:val="17"/>
        </w:rPr>
      </w:pPr>
    </w:p>
    <w:p>
      <w:pPr>
        <w:pStyle w:val="BodyText"/>
        <w:spacing w:line="360" w:lineRule="auto"/>
        <w:ind w:left="781" w:right="498"/>
        <w:jc w:val="both"/>
      </w:pPr>
      <w:r>
        <w:rPr/>
        <w:t>La mortalidad en el cultivo se mantuvo por debajo de lo reportado por Blanco (1995) para la fase de engorda de la trucha arco iris; de acuerdo con este autor un cultivo de flujo abierto (tecnología tradicional) tiene mortalidades del orden del 2 % en esta fase. La</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8"/>
        <w:jc w:val="both"/>
      </w:pPr>
      <w:r>
        <w:rPr/>
        <w:t>mortalidad en el cultivo fue en promedio de 1,84 ± 1,93 %, considerando que los organismos se encontraban en una etapa de engorda para llegar a talla comercial (350 g).</w:t>
      </w:r>
    </w:p>
    <w:p>
      <w:pPr>
        <w:pStyle w:val="BodyText"/>
        <w:spacing w:before="9"/>
        <w:rPr>
          <w:sz w:val="17"/>
        </w:rPr>
      </w:pPr>
    </w:p>
    <w:p>
      <w:pPr>
        <w:pStyle w:val="BodyText"/>
        <w:spacing w:line="360" w:lineRule="auto"/>
        <w:ind w:left="781" w:right="498"/>
        <w:jc w:val="both"/>
      </w:pPr>
      <w:r>
        <w:rPr/>
        <w:t>Los porcentajes de mortalidad mayores al 2 % se presentaron a consecuencia de problemas con el suministro de energía eléctrica o cuando el sistema no estaba maduro. En específico la mortalidad por falta de madurez de los biofiltros pudo ser mayor, sin embargo los valores de pH fueron bajos, por lo que la toxicidad del N-NH</w:t>
      </w:r>
      <w:r>
        <w:rPr>
          <w:position w:val="-2"/>
          <w:sz w:val="13"/>
        </w:rPr>
        <w:t>3  </w:t>
      </w:r>
      <w:r>
        <w:rPr/>
        <w:t>fue menor.</w:t>
      </w:r>
    </w:p>
    <w:p>
      <w:pPr>
        <w:pStyle w:val="BodyText"/>
        <w:spacing w:line="360" w:lineRule="auto" w:before="186"/>
        <w:ind w:left="781" w:right="501"/>
        <w:jc w:val="both"/>
      </w:pPr>
      <w:r>
        <w:rPr/>
        <w:t>En la figura 26 se gráfica la mortalidad en función del tiempo, los porcentajes son la mortalidad con respecto a la población.</w:t>
      </w:r>
    </w:p>
    <w:p>
      <w:pPr>
        <w:pStyle w:val="BodyText"/>
        <w:spacing w:before="7"/>
        <w:rPr>
          <w:sz w:val="14"/>
        </w:rPr>
      </w:pPr>
      <w:r>
        <w:rPr/>
        <w:drawing>
          <wp:anchor distT="0" distB="0" distL="0" distR="0" allowOverlap="1" layoutInCell="1" locked="0" behindDoc="0" simplePos="0" relativeHeight="6184">
            <wp:simplePos x="0" y="0"/>
            <wp:positionH relativeFrom="page">
              <wp:posOffset>1100327</wp:posOffset>
            </wp:positionH>
            <wp:positionV relativeFrom="paragraph">
              <wp:posOffset>131625</wp:posOffset>
            </wp:positionV>
            <wp:extent cx="5649530" cy="4101084"/>
            <wp:effectExtent l="0" t="0" r="0" b="0"/>
            <wp:wrapTopAndBottom/>
            <wp:docPr id="25" name="image51.jpeg" descr=""/>
            <wp:cNvGraphicFramePr>
              <a:graphicFrameLocks noChangeAspect="1"/>
            </wp:cNvGraphicFramePr>
            <a:graphic>
              <a:graphicData uri="http://schemas.openxmlformats.org/drawingml/2006/picture">
                <pic:pic>
                  <pic:nvPicPr>
                    <pic:cNvPr id="26" name="image51.jpeg"/>
                    <pic:cNvPicPr/>
                  </pic:nvPicPr>
                  <pic:blipFill>
                    <a:blip r:embed="rId57" cstate="print"/>
                    <a:stretch>
                      <a:fillRect/>
                    </a:stretch>
                  </pic:blipFill>
                  <pic:spPr>
                    <a:xfrm>
                      <a:off x="0" y="0"/>
                      <a:ext cx="5649530" cy="4101084"/>
                    </a:xfrm>
                    <a:prstGeom prst="rect">
                      <a:avLst/>
                    </a:prstGeom>
                  </pic:spPr>
                </pic:pic>
              </a:graphicData>
            </a:graphic>
          </wp:anchor>
        </w:drawing>
      </w:r>
    </w:p>
    <w:p>
      <w:pPr>
        <w:spacing w:before="47"/>
        <w:ind w:left="868" w:right="584" w:firstLine="0"/>
        <w:jc w:val="center"/>
        <w:rPr>
          <w:b/>
          <w:sz w:val="18"/>
        </w:rPr>
      </w:pPr>
      <w:r>
        <w:rPr>
          <w:b/>
          <w:sz w:val="18"/>
        </w:rPr>
        <w:t>Figura 26. Mortalidad en el cultivo de la trucha arco iris en el SRA</w:t>
      </w:r>
    </w:p>
    <w:p>
      <w:pPr>
        <w:pStyle w:val="BodyText"/>
        <w:spacing w:before="4"/>
        <w:rPr>
          <w:b/>
          <w:sz w:val="17"/>
        </w:rPr>
      </w:pPr>
    </w:p>
    <w:p>
      <w:pPr>
        <w:pStyle w:val="Heading5"/>
        <w:numPr>
          <w:ilvl w:val="2"/>
          <w:numId w:val="14"/>
        </w:numPr>
        <w:tabs>
          <w:tab w:pos="1396" w:val="left" w:leader="none"/>
        </w:tabs>
        <w:spacing w:line="240" w:lineRule="auto" w:before="0" w:after="0"/>
        <w:ind w:left="1395" w:right="0" w:hanging="614"/>
        <w:jc w:val="both"/>
      </w:pPr>
      <w:bookmarkStart w:name="_TOC_250041" w:id="99"/>
      <w:r>
        <w:rPr/>
        <w:t>CONDICIÓN CORPORAL DE LOS ORGANISMOS</w:t>
      </w:r>
      <w:r>
        <w:rPr>
          <w:spacing w:val="-19"/>
        </w:rPr>
        <w:t> </w:t>
      </w:r>
      <w:bookmarkEnd w:id="99"/>
      <w:r>
        <w:rPr/>
        <w:t>ACUÁTICOS</w:t>
      </w:r>
    </w:p>
    <w:p>
      <w:pPr>
        <w:pStyle w:val="BodyText"/>
        <w:spacing w:line="360" w:lineRule="auto" w:before="131"/>
        <w:ind w:left="781" w:right="498"/>
        <w:jc w:val="both"/>
      </w:pPr>
      <w:r>
        <w:rPr/>
        <w:t>El desarrollo de la trucha arco iris ha sido reportado por su relación entre el peso y la longitud del organismo, en la figura 27 se representan las mediciones realizadas en esta investigación a los organismos durante el periodo de estudio. Así mismo, se observan dos curvas de trabajos previos reportados en la literatura (García, 2008; Klontz, 1991).</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500"/>
        <w:jc w:val="both"/>
      </w:pPr>
      <w:bookmarkStart w:name="5.4.2. Condición corporal de los organis" w:id="100"/>
      <w:bookmarkEnd w:id="100"/>
      <w:r>
        <w:rPr/>
      </w:r>
      <w:r>
        <w:rPr/>
        <w:t>Klontz (1991) menciona que esta relación permite conocer el estado que guardan los organismos acuáticos y es acotada por varios factores como la temperatura, el oxígeno disuelto, la densidad, la biomasa, etc. Sin embargo, su uso es aceptado como un análisis exploratorio del desarrollo de los peces en un estanque.</w:t>
      </w:r>
    </w:p>
    <w:p>
      <w:pPr>
        <w:pStyle w:val="BodyText"/>
        <w:spacing w:before="7"/>
        <w:rPr>
          <w:sz w:val="14"/>
        </w:rPr>
      </w:pPr>
      <w:r>
        <w:rPr/>
        <w:drawing>
          <wp:anchor distT="0" distB="0" distL="0" distR="0" allowOverlap="1" layoutInCell="1" locked="0" behindDoc="0" simplePos="0" relativeHeight="6208">
            <wp:simplePos x="0" y="0"/>
            <wp:positionH relativeFrom="page">
              <wp:posOffset>1100327</wp:posOffset>
            </wp:positionH>
            <wp:positionV relativeFrom="paragraph">
              <wp:posOffset>131624</wp:posOffset>
            </wp:positionV>
            <wp:extent cx="5640596" cy="4022216"/>
            <wp:effectExtent l="0" t="0" r="0" b="0"/>
            <wp:wrapTopAndBottom/>
            <wp:docPr id="27" name="image52.jpeg" descr=""/>
            <wp:cNvGraphicFramePr>
              <a:graphicFrameLocks noChangeAspect="1"/>
            </wp:cNvGraphicFramePr>
            <a:graphic>
              <a:graphicData uri="http://schemas.openxmlformats.org/drawingml/2006/picture">
                <pic:pic>
                  <pic:nvPicPr>
                    <pic:cNvPr id="28" name="image52.jpeg"/>
                    <pic:cNvPicPr/>
                  </pic:nvPicPr>
                  <pic:blipFill>
                    <a:blip r:embed="rId58" cstate="print"/>
                    <a:stretch>
                      <a:fillRect/>
                    </a:stretch>
                  </pic:blipFill>
                  <pic:spPr>
                    <a:xfrm>
                      <a:off x="0" y="0"/>
                      <a:ext cx="5640596" cy="4022216"/>
                    </a:xfrm>
                    <a:prstGeom prst="rect">
                      <a:avLst/>
                    </a:prstGeom>
                  </pic:spPr>
                </pic:pic>
              </a:graphicData>
            </a:graphic>
          </wp:anchor>
        </w:drawing>
      </w:r>
    </w:p>
    <w:p>
      <w:pPr>
        <w:pStyle w:val="BodyText"/>
        <w:spacing w:before="1"/>
        <w:rPr>
          <w:sz w:val="21"/>
        </w:rPr>
      </w:pPr>
    </w:p>
    <w:p>
      <w:pPr>
        <w:spacing w:before="0"/>
        <w:ind w:left="868" w:right="586" w:firstLine="0"/>
        <w:jc w:val="center"/>
        <w:rPr>
          <w:b/>
          <w:sz w:val="18"/>
        </w:rPr>
      </w:pPr>
      <w:r>
        <w:rPr>
          <w:b/>
          <w:sz w:val="18"/>
        </w:rPr>
        <w:t>Figura 27. Desarrollo de la trucha arco iris en el sistema (relación longitud – peso)</w:t>
      </w:r>
    </w:p>
    <w:p>
      <w:pPr>
        <w:pStyle w:val="BodyText"/>
        <w:spacing w:before="6"/>
        <w:rPr>
          <w:b/>
          <w:sz w:val="17"/>
        </w:rPr>
      </w:pPr>
    </w:p>
    <w:p>
      <w:pPr>
        <w:pStyle w:val="BodyText"/>
        <w:spacing w:line="362" w:lineRule="auto"/>
        <w:ind w:left="781" w:right="498"/>
        <w:jc w:val="both"/>
      </w:pPr>
      <w:r>
        <w:rPr/>
        <w:t>La ecuación 4 es la relación observada por Klontz (1991) para condiciones de laboratorio a una altitud menor a 1 500 msnm y a temperaturas entre 13 y</w:t>
      </w:r>
      <w:r>
        <w:rPr>
          <w:spacing w:val="-19"/>
        </w:rPr>
        <w:t> </w:t>
      </w:r>
      <w:r>
        <w:rPr/>
        <w:t>15ºC.</w:t>
      </w:r>
    </w:p>
    <w:p>
      <w:pPr>
        <w:tabs>
          <w:tab w:pos="9278" w:val="left" w:leader="none"/>
        </w:tabs>
        <w:spacing w:line="275" w:lineRule="exact" w:before="0"/>
        <w:ind w:left="781" w:right="0" w:firstLine="0"/>
        <w:jc w:val="both"/>
        <w:rPr>
          <w:sz w:val="24"/>
        </w:rPr>
      </w:pPr>
      <w:r>
        <w:rPr>
          <w:i/>
          <w:sz w:val="22"/>
        </w:rPr>
        <w:t>y</w:t>
      </w:r>
      <w:r>
        <w:rPr>
          <w:i/>
          <w:spacing w:val="-1"/>
          <w:sz w:val="22"/>
        </w:rPr>
        <w:t> </w:t>
      </w:r>
      <w:r>
        <w:rPr>
          <w:i/>
          <w:sz w:val="22"/>
        </w:rPr>
        <w:t>=</w:t>
      </w:r>
      <w:r>
        <w:rPr>
          <w:i/>
          <w:spacing w:val="-3"/>
          <w:sz w:val="22"/>
        </w:rPr>
        <w:t> </w:t>
      </w:r>
      <w:r>
        <w:rPr>
          <w:i/>
          <w:sz w:val="22"/>
        </w:rPr>
        <w:t>0.015x</w:t>
      </w:r>
      <w:r>
        <w:rPr>
          <w:i/>
          <w:position w:val="10"/>
          <w:sz w:val="14"/>
        </w:rPr>
        <w:t>2.908</w:t>
        <w:tab/>
      </w:r>
      <w:r>
        <w:rPr>
          <w:sz w:val="24"/>
        </w:rPr>
        <w:t>(4)</w:t>
      </w:r>
    </w:p>
    <w:p>
      <w:pPr>
        <w:spacing w:before="1"/>
        <w:ind w:left="781" w:right="0" w:firstLine="0"/>
        <w:jc w:val="both"/>
        <w:rPr>
          <w:sz w:val="20"/>
        </w:rPr>
      </w:pPr>
      <w:r>
        <w:rPr>
          <w:sz w:val="20"/>
        </w:rPr>
        <w:t>Donde: x = peso (g), y = longitud (cm)</w:t>
      </w:r>
    </w:p>
    <w:p>
      <w:pPr>
        <w:pStyle w:val="BodyText"/>
        <w:rPr>
          <w:sz w:val="20"/>
        </w:rPr>
      </w:pPr>
    </w:p>
    <w:p>
      <w:pPr>
        <w:pStyle w:val="BodyText"/>
        <w:spacing w:before="11"/>
        <w:rPr>
          <w:sz w:val="15"/>
        </w:rPr>
      </w:pPr>
    </w:p>
    <w:p>
      <w:pPr>
        <w:pStyle w:val="BodyText"/>
        <w:spacing w:line="360" w:lineRule="auto"/>
        <w:ind w:left="781" w:right="499"/>
        <w:jc w:val="both"/>
      </w:pPr>
      <w:r>
        <w:rPr/>
        <w:t>Sin embargo, para las condiciones en las cuales se llevó a cabo esta investigación,  García (2008) reporta una ecuación para la relación longitud – peso (ecuación 5) que describe un mejor desarrollo de los organismos</w:t>
      </w:r>
      <w:r>
        <w:rPr>
          <w:spacing w:val="-19"/>
        </w:rPr>
        <w:t> </w:t>
      </w:r>
      <w:r>
        <w:rPr/>
        <w:t>acuáticos.</w:t>
      </w:r>
    </w:p>
    <w:p>
      <w:pPr>
        <w:tabs>
          <w:tab w:pos="9278" w:val="left" w:leader="none"/>
        </w:tabs>
        <w:spacing w:before="196"/>
        <w:ind w:left="781" w:right="0" w:firstLine="0"/>
        <w:jc w:val="both"/>
        <w:rPr>
          <w:sz w:val="24"/>
        </w:rPr>
      </w:pPr>
      <w:r>
        <w:rPr>
          <w:i/>
          <w:sz w:val="22"/>
        </w:rPr>
        <w:t>y</w:t>
      </w:r>
      <w:r>
        <w:rPr>
          <w:i/>
          <w:spacing w:val="-2"/>
          <w:sz w:val="22"/>
        </w:rPr>
        <w:t> </w:t>
      </w:r>
      <w:r>
        <w:rPr>
          <w:i/>
          <w:sz w:val="22"/>
        </w:rPr>
        <w:t>=</w:t>
      </w:r>
      <w:r>
        <w:rPr>
          <w:i/>
          <w:spacing w:val="-4"/>
          <w:sz w:val="22"/>
        </w:rPr>
        <w:t> </w:t>
      </w:r>
      <w:r>
        <w:rPr>
          <w:i/>
          <w:sz w:val="22"/>
        </w:rPr>
        <w:t>0.0264x</w:t>
      </w:r>
      <w:r>
        <w:rPr>
          <w:i/>
          <w:position w:val="10"/>
          <w:sz w:val="14"/>
        </w:rPr>
        <w:t>2.7848</w:t>
        <w:tab/>
      </w:r>
      <w:r>
        <w:rPr>
          <w:sz w:val="24"/>
        </w:rPr>
        <w:t>(5)</w:t>
      </w:r>
    </w:p>
    <w:p>
      <w:pPr>
        <w:spacing w:before="4"/>
        <w:ind w:left="781" w:right="0" w:firstLine="0"/>
        <w:jc w:val="both"/>
        <w:rPr>
          <w:sz w:val="20"/>
        </w:rPr>
      </w:pPr>
      <w:r>
        <w:rPr>
          <w:sz w:val="20"/>
        </w:rPr>
        <w:t>Donde: x = peso (g), y = longitud (cm)</w:t>
      </w:r>
    </w:p>
    <w:p>
      <w:pPr>
        <w:spacing w:after="0"/>
        <w:jc w:val="both"/>
        <w:rPr>
          <w:sz w:val="20"/>
        </w:rPr>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Esta última ecuación (2) se compara mejor con la relación determinada en el presente trabajo (ecuación 6), ya que los factores en que se realizó el cultivo fueron los dominantes en la región para ambos casos.</w:t>
      </w:r>
    </w:p>
    <w:p>
      <w:pPr>
        <w:tabs>
          <w:tab w:pos="8570" w:val="left" w:leader="none"/>
        </w:tabs>
        <w:spacing w:before="180"/>
        <w:ind w:left="781" w:right="0" w:firstLine="0"/>
        <w:jc w:val="both"/>
        <w:rPr>
          <w:sz w:val="22"/>
        </w:rPr>
      </w:pPr>
      <w:r>
        <w:rPr>
          <w:i/>
          <w:sz w:val="22"/>
        </w:rPr>
        <w:t>y</w:t>
      </w:r>
      <w:r>
        <w:rPr>
          <w:i/>
          <w:spacing w:val="-1"/>
          <w:sz w:val="22"/>
        </w:rPr>
        <w:t> </w:t>
      </w:r>
      <w:r>
        <w:rPr>
          <w:i/>
          <w:sz w:val="22"/>
        </w:rPr>
        <w:t>=</w:t>
      </w:r>
      <w:r>
        <w:rPr>
          <w:i/>
          <w:spacing w:val="-3"/>
          <w:sz w:val="22"/>
        </w:rPr>
        <w:t> </w:t>
      </w:r>
      <w:r>
        <w:rPr>
          <w:i/>
          <w:sz w:val="22"/>
        </w:rPr>
        <w:t>0.048x</w:t>
      </w:r>
      <w:r>
        <w:rPr>
          <w:i/>
          <w:position w:val="10"/>
          <w:sz w:val="14"/>
        </w:rPr>
        <w:t>2.682</w:t>
        <w:tab/>
      </w:r>
      <w:r>
        <w:rPr>
          <w:sz w:val="22"/>
        </w:rPr>
        <w:t>(6)</w:t>
      </w:r>
    </w:p>
    <w:p>
      <w:pPr>
        <w:spacing w:before="1"/>
        <w:ind w:left="781" w:right="0" w:firstLine="0"/>
        <w:jc w:val="both"/>
        <w:rPr>
          <w:sz w:val="20"/>
        </w:rPr>
      </w:pPr>
      <w:r>
        <w:rPr>
          <w:sz w:val="20"/>
        </w:rPr>
        <w:t>Donde: x = peso (g), y = longitud (cm)</w:t>
      </w:r>
    </w:p>
    <w:p>
      <w:pPr>
        <w:pStyle w:val="BodyText"/>
        <w:spacing w:before="2"/>
        <w:rPr>
          <w:sz w:val="17"/>
        </w:rPr>
      </w:pPr>
    </w:p>
    <w:p>
      <w:pPr>
        <w:pStyle w:val="BodyText"/>
        <w:spacing w:line="360" w:lineRule="auto"/>
        <w:ind w:left="781" w:right="498"/>
        <w:jc w:val="both"/>
      </w:pPr>
      <w:r>
        <w:rPr/>
        <w:t>El desarrollo de los organismos en el sistema fue mucho mejor a lo reportado por García (2008) y Klontz (1991) con la diferencia que la ecuación desarrollada por García comprende un intervalo de peso que va de los 4 a los 450 g. Para la ecuación determinada en esta investigación el intervalo de peso es de los 180 a los 930 g, por lo que las ecuaciones 5 y 6 pueden ser complementarias para describir la salud de trucha arco iris desde cría hasta un kilogramo de</w:t>
      </w:r>
      <w:r>
        <w:rPr>
          <w:spacing w:val="-16"/>
        </w:rPr>
        <w:t> </w:t>
      </w:r>
      <w:r>
        <w:rPr/>
        <w:t>peso.</w:t>
      </w:r>
    </w:p>
    <w:p>
      <w:pPr>
        <w:pStyle w:val="BodyText"/>
        <w:spacing w:before="7"/>
        <w:rPr>
          <w:sz w:val="17"/>
        </w:rPr>
      </w:pPr>
    </w:p>
    <w:p>
      <w:pPr>
        <w:pStyle w:val="BodyText"/>
        <w:spacing w:line="360" w:lineRule="auto"/>
        <w:ind w:left="781" w:right="497"/>
        <w:jc w:val="both"/>
      </w:pPr>
      <w:r>
        <w:rPr/>
        <w:t>La descripción matemática de la relación entre la longitud y peso, en la figura 27, implica un mejor rendimiento para fines de producción cuando a menor talla se alcanza un mayor peso. El trabajo desarrollado por García (2008) se efectuó en condiciones de temperatura similares a esta investigación por lo que el tamaño de las truchas fue alcanzado en el mismo tiempo, no así el peso, el cual se logró en esta evaluación a tallas menores.</w:t>
      </w:r>
    </w:p>
    <w:p>
      <w:pPr>
        <w:pStyle w:val="BodyText"/>
        <w:spacing w:before="7"/>
        <w:rPr>
          <w:sz w:val="17"/>
        </w:rPr>
      </w:pPr>
    </w:p>
    <w:p>
      <w:pPr>
        <w:pStyle w:val="BodyText"/>
        <w:spacing w:line="360" w:lineRule="auto"/>
        <w:ind w:left="781" w:right="497"/>
        <w:jc w:val="both"/>
      </w:pPr>
      <w:r>
        <w:rPr/>
        <w:t>Para corroborar que el estado corporal de las truchas en el sistema fue mejor que los trabajos anteriores, se determinó el factor de Fulton (K). Este factor determina que a un valor mayor de K, peces con una misma longitud, tendrán mejores condiciones físicas, es decir una mejor condición corporal (Morales, 2004).</w:t>
      </w:r>
    </w:p>
    <w:p>
      <w:pPr>
        <w:pStyle w:val="BodyText"/>
        <w:spacing w:before="9"/>
        <w:rPr>
          <w:sz w:val="17"/>
        </w:rPr>
      </w:pPr>
    </w:p>
    <w:p>
      <w:pPr>
        <w:pStyle w:val="BodyText"/>
        <w:spacing w:line="360" w:lineRule="auto"/>
        <w:ind w:left="781" w:right="498"/>
        <w:jc w:val="both"/>
      </w:pPr>
      <w:r>
        <w:rPr/>
        <w:t>En la figura 28 se observa que en esta investigación los peces tienen una mejor condición corporal que trabajos previos de acuerdo con el factor corporal de Fulton, en la grafica se muestra la curva obtenida para esta investigación, para el trabajo realizado por García (2008) efectuado en un SRA en el altiplano mexicano y lo reportado por Klonts en un cultivo de flujo abierto.</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812"/>
        <w:rPr>
          <w:sz w:val="20"/>
        </w:rPr>
      </w:pPr>
      <w:r>
        <w:rPr>
          <w:sz w:val="20"/>
        </w:rPr>
        <w:drawing>
          <wp:inline distT="0" distB="0" distL="0" distR="0">
            <wp:extent cx="5536216" cy="4041648"/>
            <wp:effectExtent l="0" t="0" r="0" b="0"/>
            <wp:docPr id="29" name="image53.jpeg" descr=""/>
            <wp:cNvGraphicFramePr>
              <a:graphicFrameLocks noChangeAspect="1"/>
            </wp:cNvGraphicFramePr>
            <a:graphic>
              <a:graphicData uri="http://schemas.openxmlformats.org/drawingml/2006/picture">
                <pic:pic>
                  <pic:nvPicPr>
                    <pic:cNvPr id="30" name="image53.jpeg"/>
                    <pic:cNvPicPr/>
                  </pic:nvPicPr>
                  <pic:blipFill>
                    <a:blip r:embed="rId59" cstate="print"/>
                    <a:stretch>
                      <a:fillRect/>
                    </a:stretch>
                  </pic:blipFill>
                  <pic:spPr>
                    <a:xfrm>
                      <a:off x="0" y="0"/>
                      <a:ext cx="5536216" cy="4041648"/>
                    </a:xfrm>
                    <a:prstGeom prst="rect">
                      <a:avLst/>
                    </a:prstGeom>
                  </pic:spPr>
                </pic:pic>
              </a:graphicData>
            </a:graphic>
          </wp:inline>
        </w:drawing>
      </w:r>
      <w:r>
        <w:rPr>
          <w:sz w:val="20"/>
        </w:rPr>
      </w:r>
    </w:p>
    <w:p>
      <w:pPr>
        <w:spacing w:before="80"/>
        <w:ind w:left="2058" w:right="948" w:firstLine="0"/>
        <w:jc w:val="left"/>
        <w:rPr>
          <w:b/>
          <w:sz w:val="18"/>
        </w:rPr>
      </w:pPr>
      <w:r>
        <w:rPr>
          <w:b/>
          <w:sz w:val="18"/>
        </w:rPr>
        <w:t>Figura 28. Condición corporal de la trucha de acuerdo al Factor de Fulton</w:t>
      </w:r>
    </w:p>
    <w:p>
      <w:pPr>
        <w:pStyle w:val="BodyText"/>
        <w:rPr>
          <w:b/>
          <w:sz w:val="18"/>
        </w:rPr>
      </w:pPr>
    </w:p>
    <w:p>
      <w:pPr>
        <w:pStyle w:val="BodyText"/>
        <w:spacing w:before="9"/>
        <w:rPr>
          <w:b/>
          <w:sz w:val="24"/>
        </w:rPr>
      </w:pPr>
    </w:p>
    <w:p>
      <w:pPr>
        <w:pStyle w:val="Heading5"/>
        <w:numPr>
          <w:ilvl w:val="2"/>
          <w:numId w:val="14"/>
        </w:numPr>
        <w:tabs>
          <w:tab w:pos="1394" w:val="left" w:leader="none"/>
        </w:tabs>
        <w:spacing w:line="240" w:lineRule="auto" w:before="0" w:after="0"/>
        <w:ind w:left="1393" w:right="0" w:hanging="612"/>
        <w:jc w:val="both"/>
      </w:pPr>
      <w:bookmarkStart w:name="_TOC_250040" w:id="101"/>
      <w:bookmarkStart w:name="5.4.3. Oxígeno disuelto en el estanque" w:id="102"/>
      <w:r>
        <w:rPr>
          <w:b w:val="0"/>
        </w:rPr>
      </w:r>
      <w:bookmarkEnd w:id="102"/>
      <w:bookmarkStart w:name="5.4.3. Oxígeno disuelto en el estanque" w:id="103"/>
      <w:r>
        <w:rPr/>
        <w:t>O</w:t>
      </w:r>
      <w:r>
        <w:rPr/>
        <w:t>XÍGENO DISUELTO EN EL</w:t>
      </w:r>
      <w:r>
        <w:rPr>
          <w:spacing w:val="-13"/>
        </w:rPr>
        <w:t> </w:t>
      </w:r>
      <w:bookmarkEnd w:id="101"/>
      <w:r>
        <w:rPr/>
        <w:t>ESTANQUE</w:t>
      </w:r>
    </w:p>
    <w:p>
      <w:pPr>
        <w:pStyle w:val="BodyText"/>
        <w:spacing w:before="8"/>
        <w:rPr>
          <w:b/>
          <w:sz w:val="28"/>
        </w:rPr>
      </w:pPr>
    </w:p>
    <w:p>
      <w:pPr>
        <w:pStyle w:val="BodyText"/>
        <w:spacing w:line="360" w:lineRule="auto"/>
        <w:ind w:left="781" w:right="499"/>
        <w:jc w:val="both"/>
      </w:pPr>
      <w:r>
        <w:rPr/>
        <w:t>Uno de los parámetros más importantes que se debe considerar al momento de operar cualquier cultivo acuícola es el oxígeno disuelto (OD). Este parámetro es un factor limitante para determinar la capacidad de carga de un estanque y el tipo de biofiltro que  se debe de utilizar en un tren de</w:t>
      </w:r>
      <w:r>
        <w:rPr>
          <w:spacing w:val="-18"/>
        </w:rPr>
        <w:t> </w:t>
      </w:r>
      <w:r>
        <w:rPr/>
        <w:t>tratamiento.</w:t>
      </w:r>
    </w:p>
    <w:p>
      <w:pPr>
        <w:pStyle w:val="BodyText"/>
        <w:spacing w:before="7"/>
        <w:rPr>
          <w:sz w:val="17"/>
        </w:rPr>
      </w:pPr>
    </w:p>
    <w:p>
      <w:pPr>
        <w:pStyle w:val="BodyText"/>
        <w:spacing w:line="360" w:lineRule="auto"/>
        <w:ind w:left="781" w:right="497"/>
        <w:jc w:val="both"/>
      </w:pPr>
      <w:r>
        <w:rPr/>
        <w:t>Para el cultivo de trucha, los criterios ecológicos (DOF, 1989) mencionan que la concentración de OD en el agua debe ser mayor a 7,8 mg/L. Por otro lado, Stickney  (2000) reporta que a niveles mayores a 5,0 mg/L ó 70 % de saturación de OD se puede llevar a cabo el</w:t>
      </w:r>
      <w:r>
        <w:rPr>
          <w:spacing w:val="-9"/>
        </w:rPr>
        <w:t> </w:t>
      </w:r>
      <w:r>
        <w:rPr/>
        <w:t>cultivo.</w:t>
      </w:r>
    </w:p>
    <w:p>
      <w:pPr>
        <w:pStyle w:val="BodyText"/>
        <w:spacing w:before="7"/>
        <w:rPr>
          <w:sz w:val="17"/>
        </w:rPr>
      </w:pPr>
    </w:p>
    <w:p>
      <w:pPr>
        <w:pStyle w:val="BodyText"/>
        <w:spacing w:line="360" w:lineRule="auto"/>
        <w:ind w:left="781" w:right="496"/>
        <w:jc w:val="both"/>
      </w:pPr>
      <w:r>
        <w:rPr/>
        <w:t>En el estanque del cultivo trutícola, la concentración de oxígeno disuelto fue de 5,35 ± 0,08 mg/L (78,24 ± 7,99 % de saturación) en promedio. Como se puede observar en la figura</w:t>
      </w:r>
      <w:r>
        <w:rPr>
          <w:spacing w:val="27"/>
        </w:rPr>
        <w:t> </w:t>
      </w:r>
      <w:r>
        <w:rPr/>
        <w:t>29</w:t>
      </w:r>
      <w:r>
        <w:rPr>
          <w:spacing w:val="27"/>
        </w:rPr>
        <w:t> </w:t>
      </w:r>
      <w:r>
        <w:rPr/>
        <w:t>en</w:t>
      </w:r>
      <w:r>
        <w:rPr>
          <w:spacing w:val="27"/>
        </w:rPr>
        <w:t> </w:t>
      </w:r>
      <w:r>
        <w:rPr/>
        <w:t>promedio</w:t>
      </w:r>
      <w:r>
        <w:rPr>
          <w:spacing w:val="27"/>
        </w:rPr>
        <w:t> </w:t>
      </w:r>
      <w:r>
        <w:rPr/>
        <w:t>el</w:t>
      </w:r>
      <w:r>
        <w:rPr>
          <w:spacing w:val="27"/>
        </w:rPr>
        <w:t> </w:t>
      </w:r>
      <w:r>
        <w:rPr/>
        <w:t>OD</w:t>
      </w:r>
      <w:r>
        <w:rPr>
          <w:spacing w:val="27"/>
        </w:rPr>
        <w:t> </w:t>
      </w:r>
      <w:r>
        <w:rPr/>
        <w:t>se</w:t>
      </w:r>
      <w:r>
        <w:rPr>
          <w:spacing w:val="27"/>
        </w:rPr>
        <w:t> </w:t>
      </w:r>
      <w:r>
        <w:rPr/>
        <w:t>mantuvo</w:t>
      </w:r>
      <w:r>
        <w:rPr>
          <w:spacing w:val="27"/>
        </w:rPr>
        <w:t> </w:t>
      </w:r>
      <w:r>
        <w:rPr/>
        <w:t>sobre</w:t>
      </w:r>
      <w:r>
        <w:rPr>
          <w:spacing w:val="25"/>
        </w:rPr>
        <w:t> </w:t>
      </w:r>
      <w:r>
        <w:rPr/>
        <w:t>los</w:t>
      </w:r>
      <w:r>
        <w:rPr>
          <w:spacing w:val="28"/>
        </w:rPr>
        <w:t> </w:t>
      </w:r>
      <w:r>
        <w:rPr/>
        <w:t>niveles</w:t>
      </w:r>
      <w:r>
        <w:rPr>
          <w:spacing w:val="28"/>
        </w:rPr>
        <w:t> </w:t>
      </w:r>
      <w:r>
        <w:rPr/>
        <w:t>recomendados</w:t>
      </w:r>
      <w:r>
        <w:rPr>
          <w:spacing w:val="28"/>
        </w:rPr>
        <w:t> </w:t>
      </w:r>
      <w:r>
        <w:rPr/>
        <w:t>por</w:t>
      </w:r>
      <w:r>
        <w:rPr>
          <w:spacing w:val="29"/>
        </w:rPr>
        <w:t> </w:t>
      </w:r>
      <w:r>
        <w:rPr/>
        <w:t>Stickney</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560"/>
        <w:jc w:val="both"/>
      </w:pPr>
      <w:r>
        <w:rPr/>
        <w:t>(2000), sin embargo, muy por debajo de lo establecido en los criterios ecológicos (DOF, 1989).</w:t>
      </w:r>
    </w:p>
    <w:p>
      <w:pPr>
        <w:pStyle w:val="BodyText"/>
        <w:spacing w:before="9"/>
        <w:rPr>
          <w:sz w:val="17"/>
        </w:rPr>
      </w:pPr>
    </w:p>
    <w:p>
      <w:pPr>
        <w:pStyle w:val="BodyText"/>
        <w:spacing w:line="360" w:lineRule="auto"/>
        <w:ind w:left="781" w:right="557"/>
        <w:jc w:val="both"/>
      </w:pPr>
      <w:r>
        <w:rPr/>
        <w:t>En la altitud que se encuentra el sistema de recirculación acuícola (2 660 msnm) la saturación del agua por oxígeno se encuentra aproximadamente a los 6,5 mg/L con una temperatura promedio de 16,77 ± 0,12 ºC, por lo que en la región no se puede alcanzar  los niveles establecidos en estos criterios. Aún cuando los criterios ecológicos fueron pensados en cultivos tradicionales de trucha, es decir sistemas abiertos, en el Estado de México no es posible físicamente presentar concentraciones mayores a 7,5 mg/L en promedio (Gallego </w:t>
      </w:r>
      <w:r>
        <w:rPr>
          <w:i/>
        </w:rPr>
        <w:t>et al</w:t>
      </w:r>
      <w:r>
        <w:rPr/>
        <w:t>.,</w:t>
      </w:r>
      <w:r>
        <w:rPr>
          <w:spacing w:val="-14"/>
        </w:rPr>
        <w:t> </w:t>
      </w:r>
      <w:r>
        <w:rPr/>
        <w:t>2007).</w:t>
      </w:r>
    </w:p>
    <w:p>
      <w:pPr>
        <w:pStyle w:val="BodyText"/>
        <w:spacing w:before="7"/>
        <w:rPr>
          <w:sz w:val="14"/>
        </w:rPr>
      </w:pPr>
      <w:r>
        <w:rPr/>
        <w:drawing>
          <wp:anchor distT="0" distB="0" distL="0" distR="0" allowOverlap="1" layoutInCell="1" locked="0" behindDoc="0" simplePos="0" relativeHeight="6232">
            <wp:simplePos x="0" y="0"/>
            <wp:positionH relativeFrom="page">
              <wp:posOffset>1100327</wp:posOffset>
            </wp:positionH>
            <wp:positionV relativeFrom="paragraph">
              <wp:posOffset>131624</wp:posOffset>
            </wp:positionV>
            <wp:extent cx="5863056" cy="4279392"/>
            <wp:effectExtent l="0" t="0" r="0" b="0"/>
            <wp:wrapTopAndBottom/>
            <wp:docPr id="31" name="image54.jpeg" descr=""/>
            <wp:cNvGraphicFramePr>
              <a:graphicFrameLocks noChangeAspect="1"/>
            </wp:cNvGraphicFramePr>
            <a:graphic>
              <a:graphicData uri="http://schemas.openxmlformats.org/drawingml/2006/picture">
                <pic:pic>
                  <pic:nvPicPr>
                    <pic:cNvPr id="32" name="image54.jpeg"/>
                    <pic:cNvPicPr/>
                  </pic:nvPicPr>
                  <pic:blipFill>
                    <a:blip r:embed="rId60" cstate="print"/>
                    <a:stretch>
                      <a:fillRect/>
                    </a:stretch>
                  </pic:blipFill>
                  <pic:spPr>
                    <a:xfrm>
                      <a:off x="0" y="0"/>
                      <a:ext cx="5863056" cy="4279392"/>
                    </a:xfrm>
                    <a:prstGeom prst="rect">
                      <a:avLst/>
                    </a:prstGeom>
                  </pic:spPr>
                </pic:pic>
              </a:graphicData>
            </a:graphic>
          </wp:anchor>
        </w:drawing>
      </w:r>
    </w:p>
    <w:p>
      <w:pPr>
        <w:pStyle w:val="BodyText"/>
        <w:rPr>
          <w:sz w:val="27"/>
        </w:rPr>
      </w:pPr>
    </w:p>
    <w:p>
      <w:pPr>
        <w:spacing w:before="0"/>
        <w:ind w:left="2136" w:right="1912" w:firstLine="0"/>
        <w:jc w:val="center"/>
        <w:rPr>
          <w:b/>
          <w:sz w:val="18"/>
        </w:rPr>
      </w:pPr>
      <w:r>
        <w:rPr>
          <w:b/>
          <w:sz w:val="18"/>
        </w:rPr>
        <w:t>Figura 29. Concentración de oxígeno disuelto en el estanque de cultivo</w:t>
      </w:r>
    </w:p>
    <w:p>
      <w:pPr>
        <w:pStyle w:val="BodyText"/>
        <w:spacing w:before="6"/>
        <w:rPr>
          <w:b/>
          <w:sz w:val="17"/>
        </w:rPr>
      </w:pPr>
    </w:p>
    <w:p>
      <w:pPr>
        <w:pStyle w:val="Heading5"/>
        <w:numPr>
          <w:ilvl w:val="2"/>
          <w:numId w:val="14"/>
        </w:numPr>
        <w:tabs>
          <w:tab w:pos="1396" w:val="left" w:leader="none"/>
        </w:tabs>
        <w:spacing w:line="240" w:lineRule="auto" w:before="0" w:after="0"/>
        <w:ind w:left="1395" w:right="0" w:hanging="614"/>
        <w:jc w:val="both"/>
      </w:pPr>
      <w:bookmarkStart w:name="_TOC_250039" w:id="104"/>
      <w:r>
        <w:rPr/>
        <w:t>COMPORTAMIENTO DEL pH EN EL</w:t>
      </w:r>
      <w:r>
        <w:rPr>
          <w:spacing w:val="-16"/>
        </w:rPr>
        <w:t> </w:t>
      </w:r>
      <w:bookmarkEnd w:id="104"/>
      <w:r>
        <w:rPr/>
        <w:t>ESTANQUE</w:t>
      </w:r>
    </w:p>
    <w:p>
      <w:pPr>
        <w:pStyle w:val="BodyText"/>
        <w:spacing w:before="5"/>
        <w:rPr>
          <w:b/>
          <w:sz w:val="28"/>
        </w:rPr>
      </w:pPr>
    </w:p>
    <w:p>
      <w:pPr>
        <w:pStyle w:val="BodyText"/>
        <w:spacing w:line="360" w:lineRule="auto" w:before="1"/>
        <w:ind w:left="781" w:right="557"/>
        <w:jc w:val="both"/>
      </w:pPr>
      <w:r>
        <w:rPr/>
        <w:t>De acuerdo con García (2008), el rango óptimo para que el cultivo de trucha funcione adecuadamente es de 7,6 a 8,5. Klontz (1991) menciona que el intervalo adecuado es  de</w:t>
      </w:r>
    </w:p>
    <w:p>
      <w:pPr>
        <w:spacing w:after="0" w:line="360" w:lineRule="auto"/>
        <w:jc w:val="both"/>
        <w:sectPr>
          <w:pgSz w:w="12240" w:h="15840"/>
          <w:pgMar w:header="725" w:footer="1084" w:top="1340" w:bottom="1280" w:left="920" w:right="1140"/>
        </w:sectPr>
      </w:pPr>
    </w:p>
    <w:p>
      <w:pPr>
        <w:pStyle w:val="BodyText"/>
        <w:spacing w:before="10"/>
        <w:rPr>
          <w:sz w:val="8"/>
        </w:rPr>
      </w:pPr>
    </w:p>
    <w:p>
      <w:pPr>
        <w:pStyle w:val="BodyText"/>
        <w:spacing w:line="360" w:lineRule="auto" w:before="73"/>
        <w:ind w:left="781" w:right="498"/>
        <w:jc w:val="both"/>
      </w:pPr>
      <w:bookmarkStart w:name="5.4.4. Comprtamiento del pH en el estanq" w:id="105"/>
      <w:bookmarkEnd w:id="105"/>
      <w:r>
        <w:rPr/>
      </w:r>
      <w:r>
        <w:rPr/>
        <w:t>6,7 a 8,5. En el estudio se tuvo un pH que oscilo entre 5,78 y 7,63 con un valor promedio de 6,99 ± 0,07. Una de las consecuencias de utilizar agua de lluvia cosechada fueron los valores bajos de pH, por lo que fue necesario acondicionar el agua pluvial a las necesidades del cultivo, por lo que los valores de este parámetro fueron muy variables.</w:t>
      </w:r>
    </w:p>
    <w:p>
      <w:pPr>
        <w:pStyle w:val="BodyText"/>
        <w:spacing w:before="9"/>
        <w:rPr>
          <w:sz w:val="17"/>
        </w:rPr>
      </w:pPr>
    </w:p>
    <w:p>
      <w:pPr>
        <w:pStyle w:val="BodyText"/>
        <w:spacing w:line="360" w:lineRule="auto"/>
        <w:ind w:left="781" w:right="498"/>
        <w:jc w:val="both"/>
      </w:pPr>
      <w:r>
        <w:rPr/>
        <w:t>En la figura 30 se muestran los valores de pH en el estanque de cultivo y aún cuando estos se encontraron bajos para el cultivo de la trucha según García (2008), se observó  un buen desarrollo de los peces de acuerdo con la relación existente entre la longitud y el peso. Sin embargo, para una buena nitrificación el pH debe tener valores entre 7,0 y 8,0 (Loyless y Malone, 1997; Malone 2002), donde valores superiores mejoran este proceso. La actividad bacteriana disminuye hasta en un 70 % cuando el valor de pH se acerca a  6,0 (Bonvendeur,</w:t>
      </w:r>
      <w:r>
        <w:rPr>
          <w:spacing w:val="-11"/>
        </w:rPr>
        <w:t> </w:t>
      </w:r>
      <w:r>
        <w:rPr/>
        <w:t>1989).</w:t>
      </w:r>
    </w:p>
    <w:p>
      <w:pPr>
        <w:pStyle w:val="BodyText"/>
        <w:spacing w:before="9"/>
        <w:rPr>
          <w:sz w:val="17"/>
        </w:rPr>
      </w:pPr>
    </w:p>
    <w:p>
      <w:pPr>
        <w:pStyle w:val="BodyText"/>
        <w:spacing w:line="355" w:lineRule="auto"/>
        <w:ind w:left="781" w:right="497"/>
        <w:jc w:val="both"/>
      </w:pPr>
      <w:r>
        <w:rPr/>
        <w:t>El comportamiento de este parámetro en el periodo de cultivo fue de difícil control impactando en diferentes procesos dinámicos que dependen del pH en el agua, como la toxicidad del NH</w:t>
      </w:r>
      <w:r>
        <w:rPr>
          <w:position w:val="-2"/>
          <w:sz w:val="13"/>
        </w:rPr>
        <w:t>3 </w:t>
      </w:r>
      <w:r>
        <w:rPr/>
        <w:t>y el NH</w:t>
      </w:r>
      <w:r>
        <w:rPr>
          <w:position w:val="-2"/>
          <w:sz w:val="13"/>
        </w:rPr>
        <w:t>4</w:t>
      </w:r>
      <w:r>
        <w:rPr>
          <w:position w:val="10"/>
          <w:sz w:val="13"/>
        </w:rPr>
        <w:t>+</w:t>
      </w:r>
      <w:r>
        <w:rPr/>
        <w:t>, el ciclo del carbono, entre otros (Loyless y Malone, 1997). Estas variaciones afectaron directamente la eficiencia de la nitrificación en el percolador y el filtro de arena (descrito en la siguiente sección) y corroboran la falta de madurez en los biofiltros ya que concuerdan bajos valores de pH y alcalinidad, altas concentraciones de N-NH</w:t>
      </w:r>
      <w:r>
        <w:rPr>
          <w:position w:val="-2"/>
          <w:sz w:val="13"/>
        </w:rPr>
        <w:t>3  </w:t>
      </w:r>
      <w:r>
        <w:rPr/>
        <w:t>con la mortalidad presentada entre los días 83 – 89.</w:t>
      </w:r>
    </w:p>
    <w:p>
      <w:pPr>
        <w:spacing w:after="0" w:line="355" w:lineRule="auto"/>
        <w:jc w:val="both"/>
        <w:sectPr>
          <w:pgSz w:w="12240" w:h="15840"/>
          <w:pgMar w:header="725" w:footer="1084" w:top="1340" w:bottom="1280" w:left="920" w:right="1200"/>
        </w:sectPr>
      </w:pPr>
    </w:p>
    <w:p>
      <w:pPr>
        <w:pStyle w:val="BodyText"/>
        <w:spacing w:before="4"/>
        <w:rPr>
          <w:sz w:val="15"/>
        </w:rPr>
      </w:pPr>
    </w:p>
    <w:p>
      <w:pPr>
        <w:pStyle w:val="BodyText"/>
        <w:ind w:left="817"/>
        <w:rPr>
          <w:sz w:val="20"/>
        </w:rPr>
      </w:pPr>
      <w:r>
        <w:rPr>
          <w:sz w:val="20"/>
        </w:rPr>
        <w:drawing>
          <wp:inline distT="0" distB="0" distL="0" distR="0">
            <wp:extent cx="5535760" cy="4041648"/>
            <wp:effectExtent l="0" t="0" r="0" b="0"/>
            <wp:docPr id="33" name="image55.jpeg" descr=""/>
            <wp:cNvGraphicFramePr>
              <a:graphicFrameLocks noChangeAspect="1"/>
            </wp:cNvGraphicFramePr>
            <a:graphic>
              <a:graphicData uri="http://schemas.openxmlformats.org/drawingml/2006/picture">
                <pic:pic>
                  <pic:nvPicPr>
                    <pic:cNvPr id="34" name="image55.jpeg"/>
                    <pic:cNvPicPr/>
                  </pic:nvPicPr>
                  <pic:blipFill>
                    <a:blip r:embed="rId61" cstate="print"/>
                    <a:stretch>
                      <a:fillRect/>
                    </a:stretch>
                  </pic:blipFill>
                  <pic:spPr>
                    <a:xfrm>
                      <a:off x="0" y="0"/>
                      <a:ext cx="5535760" cy="4041648"/>
                    </a:xfrm>
                    <a:prstGeom prst="rect">
                      <a:avLst/>
                    </a:prstGeom>
                  </pic:spPr>
                </pic:pic>
              </a:graphicData>
            </a:graphic>
          </wp:inline>
        </w:drawing>
      </w:r>
      <w:r>
        <w:rPr>
          <w:sz w:val="20"/>
        </w:rPr>
      </w:r>
    </w:p>
    <w:p>
      <w:pPr>
        <w:pStyle w:val="BodyText"/>
        <w:spacing w:before="1"/>
        <w:rPr>
          <w:sz w:val="24"/>
        </w:rPr>
      </w:pPr>
    </w:p>
    <w:p>
      <w:pPr>
        <w:spacing w:before="77"/>
        <w:ind w:left="2634" w:right="948" w:firstLine="0"/>
        <w:jc w:val="left"/>
        <w:rPr>
          <w:b/>
          <w:sz w:val="18"/>
        </w:rPr>
      </w:pPr>
      <w:bookmarkStart w:name="5.5. Evaluación del desempeño y eficienc" w:id="106"/>
      <w:bookmarkEnd w:id="106"/>
      <w:r>
        <w:rPr/>
      </w:r>
      <w:r>
        <w:rPr>
          <w:b/>
          <w:sz w:val="18"/>
        </w:rPr>
        <w:t>Figura 30. Comportamiento del pH en el estanque de cultivo</w:t>
      </w:r>
    </w:p>
    <w:p>
      <w:pPr>
        <w:pStyle w:val="BodyText"/>
        <w:spacing w:before="6"/>
        <w:rPr>
          <w:b/>
          <w:sz w:val="26"/>
        </w:rPr>
      </w:pPr>
    </w:p>
    <w:p>
      <w:pPr>
        <w:pStyle w:val="Heading5"/>
        <w:numPr>
          <w:ilvl w:val="1"/>
          <w:numId w:val="14"/>
        </w:numPr>
        <w:tabs>
          <w:tab w:pos="1211" w:val="left" w:leader="none"/>
        </w:tabs>
        <w:spacing w:line="240" w:lineRule="auto" w:before="0" w:after="0"/>
        <w:ind w:left="1210" w:right="0" w:hanging="429"/>
        <w:jc w:val="both"/>
      </w:pPr>
      <w:bookmarkStart w:name="_TOC_250038" w:id="107"/>
      <w:r>
        <w:rPr/>
        <w:t>EVALUACIÓN DEL DESEMPEÑO Y EFICIENCIA DEL TREN DE</w:t>
      </w:r>
      <w:r>
        <w:rPr>
          <w:spacing w:val="-26"/>
        </w:rPr>
        <w:t> </w:t>
      </w:r>
      <w:bookmarkEnd w:id="107"/>
      <w:r>
        <w:rPr/>
        <w:t>TRATAMIENTO</w:t>
      </w:r>
    </w:p>
    <w:p>
      <w:pPr>
        <w:pStyle w:val="BodyText"/>
        <w:spacing w:before="3"/>
        <w:rPr>
          <w:b/>
          <w:sz w:val="28"/>
        </w:rPr>
      </w:pPr>
    </w:p>
    <w:p>
      <w:pPr>
        <w:pStyle w:val="Heading5"/>
        <w:numPr>
          <w:ilvl w:val="2"/>
          <w:numId w:val="14"/>
        </w:numPr>
        <w:tabs>
          <w:tab w:pos="1396" w:val="left" w:leader="none"/>
        </w:tabs>
        <w:spacing w:line="240" w:lineRule="auto" w:before="0" w:after="0"/>
        <w:ind w:left="1395" w:right="0" w:hanging="614"/>
        <w:jc w:val="both"/>
      </w:pPr>
      <w:bookmarkStart w:name="_TOC_250037" w:id="108"/>
      <w:bookmarkStart w:name="5.5.1. Eficiencia" w:id="109"/>
      <w:r>
        <w:rPr>
          <w:b w:val="0"/>
        </w:rPr>
      </w:r>
      <w:bookmarkEnd w:id="109"/>
      <w:bookmarkStart w:name="5.5.1. Eficiencia" w:id="110"/>
      <w:r>
        <w:rPr/>
        <w:t>E</w:t>
      </w:r>
      <w:bookmarkEnd w:id="108"/>
      <w:r>
        <w:rPr/>
        <w:t>FICIENCIA</w:t>
      </w:r>
    </w:p>
    <w:p>
      <w:pPr>
        <w:pStyle w:val="BodyText"/>
        <w:spacing w:before="8"/>
        <w:rPr>
          <w:b/>
          <w:sz w:val="28"/>
        </w:rPr>
      </w:pPr>
    </w:p>
    <w:p>
      <w:pPr>
        <w:pStyle w:val="BodyText"/>
        <w:spacing w:line="360" w:lineRule="auto"/>
        <w:ind w:left="781" w:right="499"/>
        <w:jc w:val="both"/>
      </w:pPr>
      <w:r>
        <w:rPr/>
        <w:t>La eficiencia del tren de tratamiento se determinó mediante las concentraciones promedio a la entrada y salida del percolador, filtro de arena y estanque – sedimentador, así como en el influente y efluente del tren en general. Para obtener los estimadores estadísticos se utilizó la teoría de muestreos estratificados para aumentar la precisión del análisis.</w:t>
      </w:r>
    </w:p>
    <w:p>
      <w:pPr>
        <w:pStyle w:val="BodyText"/>
        <w:spacing w:before="7"/>
        <w:rPr>
          <w:sz w:val="17"/>
        </w:rPr>
      </w:pPr>
    </w:p>
    <w:p>
      <w:pPr>
        <w:pStyle w:val="BodyText"/>
        <w:spacing w:line="360" w:lineRule="auto"/>
        <w:ind w:left="781" w:right="497"/>
        <w:jc w:val="both"/>
      </w:pPr>
      <w:r>
        <w:rPr/>
        <w:t>En la tabla 17 se presenta un ejemplo de la memoria de cálculo para determinar los estimadores estadísticos como el promedio, la desviación estándar, el coeficiente de variación y los intervalos de confianza a 95 %, en este caso en el punto de muestreo “C”, es decir a la salida del tren de tratamiento y para la concentración de nitrógeno amoniacal total.</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before="0"/>
        <w:ind w:left="2368" w:right="735" w:hanging="1337"/>
        <w:jc w:val="left"/>
        <w:rPr>
          <w:b/>
          <w:sz w:val="18"/>
        </w:rPr>
      </w:pPr>
      <w:r>
        <w:rPr>
          <w:b/>
          <w:sz w:val="18"/>
        </w:rPr>
        <w:t>Tabla 17. Memoria de cálculo de los estimadores estadísticos para el muestreo estratificado de la concentración de nitrógeno amoniacal en el punto de muestreo C.</w:t>
      </w:r>
    </w:p>
    <w:p>
      <w:pPr>
        <w:pStyle w:val="BodyText"/>
        <w:spacing w:before="10"/>
        <w:rPr>
          <w:b/>
          <w:sz w:val="10"/>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8"/>
        <w:gridCol w:w="754"/>
        <w:gridCol w:w="761"/>
        <w:gridCol w:w="977"/>
        <w:gridCol w:w="1320"/>
        <w:gridCol w:w="1150"/>
        <w:gridCol w:w="1380"/>
        <w:gridCol w:w="1620"/>
      </w:tblGrid>
      <w:tr>
        <w:trPr>
          <w:trHeight w:val="312" w:hRule="exact"/>
        </w:trPr>
        <w:tc>
          <w:tcPr>
            <w:tcW w:w="818" w:type="dxa"/>
          </w:tcPr>
          <w:p>
            <w:pPr>
              <w:pStyle w:val="TableParagraph"/>
              <w:spacing w:before="13"/>
              <w:ind w:left="46" w:right="8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761" w:type="dxa"/>
          </w:tcPr>
          <w:p>
            <w:pPr>
              <w:pStyle w:val="TableParagraph"/>
              <w:spacing w:before="43"/>
              <w:ind w:left="233" w:right="246"/>
              <w:jc w:val="center"/>
              <w:rPr>
                <w:rFonts w:ascii="Cambria Math"/>
                <w:sz w:val="16"/>
              </w:rPr>
            </w:pPr>
            <w:r>
              <w:rPr>
                <w:rFonts w:ascii="Cambria Math"/>
                <w:w w:val="110"/>
                <w:sz w:val="22"/>
              </w:rPr>
              <w:t>n</w:t>
            </w:r>
            <w:r>
              <w:rPr>
                <w:rFonts w:ascii="Cambria Math"/>
                <w:w w:val="110"/>
                <w:position w:val="-4"/>
                <w:sz w:val="16"/>
              </w:rPr>
              <w:t>h</w:t>
            </w:r>
          </w:p>
        </w:tc>
        <w:tc>
          <w:tcPr>
            <w:tcW w:w="977" w:type="dxa"/>
          </w:tcPr>
          <w:p>
            <w:pPr>
              <w:pStyle w:val="TableParagraph"/>
              <w:spacing w:before="43"/>
              <w:ind w:left="30" w:right="45"/>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320" w:type="dxa"/>
          </w:tcPr>
          <w:p>
            <w:pPr>
              <w:pStyle w:val="TableParagraph"/>
              <w:spacing w:line="214" w:lineRule="exact" w:before="8"/>
              <w:ind w:left="101" w:right="11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5" w:right="0"/>
              <w:jc w:val="center"/>
              <w:rPr>
                <w:rFonts w:ascii="Cambria Math"/>
                <w:sz w:val="16"/>
              </w:rPr>
            </w:pPr>
            <w:r>
              <w:rPr>
                <w:rFonts w:ascii="Cambria Math"/>
                <w:w w:val="113"/>
                <w:sz w:val="16"/>
              </w:rPr>
              <w:t>h</w:t>
            </w:r>
          </w:p>
        </w:tc>
        <w:tc>
          <w:tcPr>
            <w:tcW w:w="1150" w:type="dxa"/>
          </w:tcPr>
          <w:p>
            <w:pPr>
              <w:pStyle w:val="TableParagraph"/>
              <w:spacing w:before="19"/>
              <w:ind w:left="377" w:right="390"/>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80" w:type="dxa"/>
          </w:tcPr>
          <w:p>
            <w:pPr>
              <w:pStyle w:val="TableParagraph"/>
              <w:spacing w:before="3"/>
              <w:ind w:left="35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20" w:type="dxa"/>
          </w:tcPr>
          <w:p>
            <w:pPr>
              <w:pStyle w:val="TableParagraph"/>
              <w:spacing w:before="3"/>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18" w:type="dxa"/>
          </w:tcPr>
          <w:p>
            <w:pPr>
              <w:pStyle w:val="TableParagraph"/>
              <w:spacing w:before="11"/>
              <w:ind w:right="1"/>
              <w:jc w:val="center"/>
              <w:rPr>
                <w:sz w:val="22"/>
              </w:rPr>
            </w:pPr>
            <w:r>
              <w:rPr>
                <w:w w:val="100"/>
                <w:sz w:val="22"/>
              </w:rPr>
              <w:t>1</w:t>
            </w:r>
          </w:p>
        </w:tc>
        <w:tc>
          <w:tcPr>
            <w:tcW w:w="754" w:type="dxa"/>
          </w:tcPr>
          <w:p>
            <w:pPr>
              <w:pStyle w:val="TableParagraph"/>
              <w:ind w:left="45" w:right="45"/>
              <w:jc w:val="center"/>
              <w:rPr>
                <w:sz w:val="22"/>
              </w:rPr>
            </w:pPr>
            <w:r>
              <w:rPr>
                <w:sz w:val="22"/>
              </w:rPr>
              <w:t>108,60</w:t>
            </w:r>
          </w:p>
        </w:tc>
        <w:tc>
          <w:tcPr>
            <w:tcW w:w="761" w:type="dxa"/>
          </w:tcPr>
          <w:p>
            <w:pPr>
              <w:pStyle w:val="TableParagraph"/>
              <w:ind w:right="63"/>
              <w:rPr>
                <w:sz w:val="22"/>
              </w:rPr>
            </w:pPr>
            <w:r>
              <w:rPr>
                <w:sz w:val="22"/>
              </w:rPr>
              <w:t>108</w:t>
            </w:r>
          </w:p>
        </w:tc>
        <w:tc>
          <w:tcPr>
            <w:tcW w:w="977" w:type="dxa"/>
          </w:tcPr>
          <w:p>
            <w:pPr>
              <w:pStyle w:val="TableParagraph"/>
              <w:ind w:right="63"/>
              <w:rPr>
                <w:sz w:val="22"/>
              </w:rPr>
            </w:pPr>
            <w:r>
              <w:rPr>
                <w:sz w:val="22"/>
              </w:rPr>
              <w:t>0,0940</w:t>
            </w:r>
          </w:p>
        </w:tc>
        <w:tc>
          <w:tcPr>
            <w:tcW w:w="1320" w:type="dxa"/>
          </w:tcPr>
          <w:p>
            <w:pPr>
              <w:pStyle w:val="TableParagraph"/>
              <w:ind w:right="63"/>
              <w:rPr>
                <w:sz w:val="22"/>
              </w:rPr>
            </w:pPr>
            <w:r>
              <w:rPr>
                <w:sz w:val="22"/>
              </w:rPr>
              <w:t>0,0165</w:t>
            </w:r>
          </w:p>
        </w:tc>
        <w:tc>
          <w:tcPr>
            <w:tcW w:w="1150" w:type="dxa"/>
          </w:tcPr>
          <w:p>
            <w:pPr>
              <w:pStyle w:val="TableParagraph"/>
              <w:ind w:right="63"/>
              <w:rPr>
                <w:sz w:val="22"/>
              </w:rPr>
            </w:pPr>
            <w:r>
              <w:rPr>
                <w:sz w:val="22"/>
              </w:rPr>
              <w:t>10,20</w:t>
            </w:r>
          </w:p>
        </w:tc>
        <w:tc>
          <w:tcPr>
            <w:tcW w:w="1380" w:type="dxa"/>
          </w:tcPr>
          <w:p>
            <w:pPr>
              <w:pStyle w:val="TableParagraph"/>
              <w:rPr>
                <w:sz w:val="22"/>
              </w:rPr>
            </w:pPr>
            <w:r>
              <w:rPr>
                <w:sz w:val="22"/>
              </w:rPr>
              <w:t>0,0100</w:t>
            </w:r>
          </w:p>
        </w:tc>
        <w:tc>
          <w:tcPr>
            <w:tcW w:w="1620" w:type="dxa"/>
          </w:tcPr>
          <w:p>
            <w:pPr>
              <w:pStyle w:val="TableParagraph"/>
              <w:rPr>
                <w:sz w:val="22"/>
              </w:rPr>
            </w:pPr>
            <w:r>
              <w:rPr>
                <w:sz w:val="22"/>
              </w:rPr>
              <w:t>2,06995E-08</w:t>
            </w:r>
          </w:p>
        </w:tc>
      </w:tr>
      <w:tr>
        <w:trPr>
          <w:trHeight w:val="310" w:hRule="exact"/>
        </w:trPr>
        <w:tc>
          <w:tcPr>
            <w:tcW w:w="818" w:type="dxa"/>
          </w:tcPr>
          <w:p>
            <w:pPr>
              <w:pStyle w:val="TableParagraph"/>
              <w:spacing w:before="13"/>
              <w:ind w:right="1"/>
              <w:jc w:val="center"/>
              <w:rPr>
                <w:sz w:val="22"/>
              </w:rPr>
            </w:pPr>
            <w:r>
              <w:rPr>
                <w:w w:val="100"/>
                <w:sz w:val="22"/>
              </w:rPr>
              <w:t>2</w:t>
            </w:r>
          </w:p>
        </w:tc>
        <w:tc>
          <w:tcPr>
            <w:tcW w:w="754" w:type="dxa"/>
          </w:tcPr>
          <w:p>
            <w:pPr>
              <w:pStyle w:val="TableParagraph"/>
              <w:ind w:left="45" w:right="45"/>
              <w:jc w:val="center"/>
              <w:rPr>
                <w:sz w:val="22"/>
              </w:rPr>
            </w:pPr>
            <w:r>
              <w:rPr>
                <w:sz w:val="22"/>
              </w:rPr>
              <w:t>121,03</w:t>
            </w:r>
          </w:p>
        </w:tc>
        <w:tc>
          <w:tcPr>
            <w:tcW w:w="761" w:type="dxa"/>
          </w:tcPr>
          <w:p>
            <w:pPr>
              <w:pStyle w:val="TableParagraph"/>
              <w:ind w:right="63"/>
              <w:rPr>
                <w:sz w:val="22"/>
              </w:rPr>
            </w:pPr>
            <w:r>
              <w:rPr>
                <w:sz w:val="22"/>
              </w:rPr>
              <w:t>81</w:t>
            </w:r>
          </w:p>
        </w:tc>
        <w:tc>
          <w:tcPr>
            <w:tcW w:w="977" w:type="dxa"/>
          </w:tcPr>
          <w:p>
            <w:pPr>
              <w:pStyle w:val="TableParagraph"/>
              <w:ind w:right="63"/>
              <w:rPr>
                <w:sz w:val="22"/>
              </w:rPr>
            </w:pPr>
            <w:r>
              <w:rPr>
                <w:sz w:val="22"/>
              </w:rPr>
              <w:t>1,0640</w:t>
            </w:r>
          </w:p>
        </w:tc>
        <w:tc>
          <w:tcPr>
            <w:tcW w:w="1320" w:type="dxa"/>
          </w:tcPr>
          <w:p>
            <w:pPr>
              <w:pStyle w:val="TableParagraph"/>
              <w:ind w:right="63"/>
              <w:rPr>
                <w:sz w:val="22"/>
              </w:rPr>
            </w:pPr>
            <w:r>
              <w:rPr>
                <w:sz w:val="22"/>
              </w:rPr>
              <w:t>1,2055</w:t>
            </w:r>
          </w:p>
        </w:tc>
        <w:tc>
          <w:tcPr>
            <w:tcW w:w="1150" w:type="dxa"/>
          </w:tcPr>
          <w:p>
            <w:pPr>
              <w:pStyle w:val="TableParagraph"/>
              <w:ind w:right="63"/>
              <w:rPr>
                <w:sz w:val="22"/>
              </w:rPr>
            </w:pPr>
            <w:r>
              <w:rPr>
                <w:sz w:val="22"/>
              </w:rPr>
              <w:t>128,77</w:t>
            </w:r>
          </w:p>
        </w:tc>
        <w:tc>
          <w:tcPr>
            <w:tcW w:w="1380" w:type="dxa"/>
          </w:tcPr>
          <w:p>
            <w:pPr>
              <w:pStyle w:val="TableParagraph"/>
              <w:rPr>
                <w:sz w:val="22"/>
              </w:rPr>
            </w:pPr>
            <w:r>
              <w:rPr>
                <w:sz w:val="22"/>
              </w:rPr>
              <w:t>72,2137</w:t>
            </w:r>
          </w:p>
        </w:tc>
        <w:tc>
          <w:tcPr>
            <w:tcW w:w="1620" w:type="dxa"/>
          </w:tcPr>
          <w:p>
            <w:pPr>
              <w:pStyle w:val="TableParagraph"/>
              <w:rPr>
                <w:sz w:val="22"/>
              </w:rPr>
            </w:pPr>
            <w:r>
              <w:rPr>
                <w:sz w:val="22"/>
              </w:rPr>
              <w:t>0,00014943</w:t>
            </w:r>
          </w:p>
        </w:tc>
      </w:tr>
      <w:tr>
        <w:trPr>
          <w:trHeight w:val="310" w:hRule="exact"/>
        </w:trPr>
        <w:tc>
          <w:tcPr>
            <w:tcW w:w="818" w:type="dxa"/>
          </w:tcPr>
          <w:p>
            <w:pPr>
              <w:pStyle w:val="TableParagraph"/>
              <w:spacing w:before="13"/>
              <w:ind w:right="1"/>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761" w:type="dxa"/>
          </w:tcPr>
          <w:p>
            <w:pPr>
              <w:pStyle w:val="TableParagraph"/>
              <w:ind w:right="63"/>
              <w:rPr>
                <w:sz w:val="22"/>
              </w:rPr>
            </w:pPr>
            <w:r>
              <w:rPr>
                <w:sz w:val="22"/>
              </w:rPr>
              <w:t>77</w:t>
            </w:r>
          </w:p>
        </w:tc>
        <w:tc>
          <w:tcPr>
            <w:tcW w:w="977" w:type="dxa"/>
          </w:tcPr>
          <w:p>
            <w:pPr>
              <w:pStyle w:val="TableParagraph"/>
              <w:ind w:right="63"/>
              <w:rPr>
                <w:sz w:val="22"/>
              </w:rPr>
            </w:pPr>
            <w:r>
              <w:rPr>
                <w:sz w:val="22"/>
              </w:rPr>
              <w:t>0,0860</w:t>
            </w:r>
          </w:p>
        </w:tc>
        <w:tc>
          <w:tcPr>
            <w:tcW w:w="1320" w:type="dxa"/>
          </w:tcPr>
          <w:p>
            <w:pPr>
              <w:pStyle w:val="TableParagraph"/>
              <w:ind w:right="63"/>
              <w:rPr>
                <w:sz w:val="22"/>
              </w:rPr>
            </w:pPr>
            <w:r>
              <w:rPr>
                <w:sz w:val="22"/>
              </w:rPr>
              <w:t>0,0056</w:t>
            </w:r>
          </w:p>
        </w:tc>
        <w:tc>
          <w:tcPr>
            <w:tcW w:w="1150" w:type="dxa"/>
          </w:tcPr>
          <w:p>
            <w:pPr>
              <w:pStyle w:val="TableParagraph"/>
              <w:ind w:right="63"/>
              <w:rPr>
                <w:sz w:val="22"/>
              </w:rPr>
            </w:pPr>
            <w:r>
              <w:rPr>
                <w:sz w:val="22"/>
              </w:rPr>
              <w:t>11,19</w:t>
            </w:r>
          </w:p>
        </w:tc>
        <w:tc>
          <w:tcPr>
            <w:tcW w:w="1380" w:type="dxa"/>
          </w:tcPr>
          <w:p>
            <w:pPr>
              <w:pStyle w:val="TableParagraph"/>
              <w:rPr>
                <w:sz w:val="22"/>
              </w:rPr>
            </w:pPr>
            <w:r>
              <w:rPr>
                <w:sz w:val="22"/>
              </w:rPr>
              <w:t>0,5140</w:t>
            </w:r>
          </w:p>
        </w:tc>
        <w:tc>
          <w:tcPr>
            <w:tcW w:w="1620" w:type="dxa"/>
          </w:tcPr>
          <w:p>
            <w:pPr>
              <w:pStyle w:val="TableParagraph"/>
              <w:rPr>
                <w:sz w:val="22"/>
              </w:rPr>
            </w:pPr>
            <w:r>
              <w:rPr>
                <w:sz w:val="22"/>
              </w:rPr>
              <w:t>1,06369E-06</w:t>
            </w:r>
          </w:p>
        </w:tc>
      </w:tr>
      <w:tr>
        <w:trPr>
          <w:trHeight w:val="310" w:hRule="exact"/>
        </w:trPr>
        <w:tc>
          <w:tcPr>
            <w:tcW w:w="818" w:type="dxa"/>
          </w:tcPr>
          <w:p>
            <w:pPr>
              <w:pStyle w:val="TableParagraph"/>
              <w:spacing w:before="13"/>
              <w:ind w:right="1"/>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761" w:type="dxa"/>
          </w:tcPr>
          <w:p>
            <w:pPr>
              <w:pStyle w:val="TableParagraph"/>
              <w:ind w:right="63"/>
              <w:rPr>
                <w:sz w:val="22"/>
              </w:rPr>
            </w:pPr>
            <w:r>
              <w:rPr>
                <w:sz w:val="22"/>
              </w:rPr>
              <w:t>92</w:t>
            </w:r>
          </w:p>
        </w:tc>
        <w:tc>
          <w:tcPr>
            <w:tcW w:w="977" w:type="dxa"/>
          </w:tcPr>
          <w:p>
            <w:pPr>
              <w:pStyle w:val="TableParagraph"/>
              <w:ind w:right="63"/>
              <w:rPr>
                <w:sz w:val="22"/>
              </w:rPr>
            </w:pPr>
            <w:r>
              <w:rPr>
                <w:sz w:val="22"/>
              </w:rPr>
              <w:t>0,0820</w:t>
            </w:r>
          </w:p>
        </w:tc>
        <w:tc>
          <w:tcPr>
            <w:tcW w:w="1320" w:type="dxa"/>
          </w:tcPr>
          <w:p>
            <w:pPr>
              <w:pStyle w:val="TableParagraph"/>
              <w:ind w:right="63"/>
              <w:rPr>
                <w:sz w:val="22"/>
              </w:rPr>
            </w:pPr>
            <w:r>
              <w:rPr>
                <w:sz w:val="22"/>
              </w:rPr>
              <w:t>0,0013</w:t>
            </w:r>
          </w:p>
        </w:tc>
        <w:tc>
          <w:tcPr>
            <w:tcW w:w="1150" w:type="dxa"/>
          </w:tcPr>
          <w:p>
            <w:pPr>
              <w:pStyle w:val="TableParagraph"/>
              <w:ind w:right="63"/>
              <w:rPr>
                <w:sz w:val="22"/>
              </w:rPr>
            </w:pPr>
            <w:r>
              <w:rPr>
                <w:sz w:val="22"/>
              </w:rPr>
              <w:t>12,71</w:t>
            </w:r>
          </w:p>
        </w:tc>
        <w:tc>
          <w:tcPr>
            <w:tcW w:w="1380" w:type="dxa"/>
          </w:tcPr>
          <w:p>
            <w:pPr>
              <w:pStyle w:val="TableParagraph"/>
              <w:rPr>
                <w:sz w:val="22"/>
              </w:rPr>
            </w:pPr>
            <w:r>
              <w:rPr>
                <w:sz w:val="22"/>
              </w:rPr>
              <w:t>0,1465</w:t>
            </w:r>
          </w:p>
        </w:tc>
        <w:tc>
          <w:tcPr>
            <w:tcW w:w="1620" w:type="dxa"/>
          </w:tcPr>
          <w:p>
            <w:pPr>
              <w:pStyle w:val="TableParagraph"/>
              <w:rPr>
                <w:sz w:val="22"/>
              </w:rPr>
            </w:pPr>
            <w:r>
              <w:rPr>
                <w:sz w:val="22"/>
              </w:rPr>
              <w:t>3,03242E-07</w:t>
            </w:r>
          </w:p>
        </w:tc>
      </w:tr>
      <w:tr>
        <w:trPr>
          <w:trHeight w:val="310" w:hRule="exact"/>
        </w:trPr>
        <w:tc>
          <w:tcPr>
            <w:tcW w:w="818" w:type="dxa"/>
          </w:tcPr>
          <w:p>
            <w:pPr>
              <w:pStyle w:val="TableParagraph"/>
              <w:spacing w:before="13"/>
              <w:ind w:right="1"/>
              <w:jc w:val="center"/>
              <w:rPr>
                <w:sz w:val="22"/>
              </w:rPr>
            </w:pPr>
            <w:r>
              <w:rPr>
                <w:w w:val="100"/>
                <w:sz w:val="22"/>
              </w:rPr>
              <w:t>5</w:t>
            </w:r>
          </w:p>
        </w:tc>
        <w:tc>
          <w:tcPr>
            <w:tcW w:w="754" w:type="dxa"/>
          </w:tcPr>
          <w:p>
            <w:pPr>
              <w:pStyle w:val="TableParagraph"/>
              <w:spacing w:before="30"/>
              <w:ind w:left="45" w:right="45"/>
              <w:jc w:val="center"/>
              <w:rPr>
                <w:sz w:val="22"/>
              </w:rPr>
            </w:pPr>
            <w:r>
              <w:rPr>
                <w:sz w:val="22"/>
              </w:rPr>
              <w:t>180,21</w:t>
            </w:r>
          </w:p>
        </w:tc>
        <w:tc>
          <w:tcPr>
            <w:tcW w:w="761" w:type="dxa"/>
          </w:tcPr>
          <w:p>
            <w:pPr>
              <w:pStyle w:val="TableParagraph"/>
              <w:spacing w:before="30"/>
              <w:ind w:right="63"/>
              <w:rPr>
                <w:sz w:val="22"/>
              </w:rPr>
            </w:pPr>
            <w:r>
              <w:rPr>
                <w:sz w:val="22"/>
              </w:rPr>
              <w:t>132</w:t>
            </w:r>
          </w:p>
        </w:tc>
        <w:tc>
          <w:tcPr>
            <w:tcW w:w="977" w:type="dxa"/>
          </w:tcPr>
          <w:p>
            <w:pPr>
              <w:pStyle w:val="TableParagraph"/>
              <w:spacing w:before="30"/>
              <w:ind w:right="63"/>
              <w:rPr>
                <w:sz w:val="22"/>
              </w:rPr>
            </w:pPr>
            <w:r>
              <w:rPr>
                <w:sz w:val="22"/>
              </w:rPr>
              <w:t>0,1333</w:t>
            </w:r>
          </w:p>
        </w:tc>
        <w:tc>
          <w:tcPr>
            <w:tcW w:w="1320" w:type="dxa"/>
          </w:tcPr>
          <w:p>
            <w:pPr>
              <w:pStyle w:val="TableParagraph"/>
              <w:spacing w:before="30"/>
              <w:ind w:right="63"/>
              <w:rPr>
                <w:sz w:val="22"/>
              </w:rPr>
            </w:pPr>
            <w:r>
              <w:rPr>
                <w:sz w:val="22"/>
              </w:rPr>
              <w:t>0,0069</w:t>
            </w:r>
          </w:p>
        </w:tc>
        <w:tc>
          <w:tcPr>
            <w:tcW w:w="1150" w:type="dxa"/>
          </w:tcPr>
          <w:p>
            <w:pPr>
              <w:pStyle w:val="TableParagraph"/>
              <w:spacing w:before="30"/>
              <w:ind w:right="63"/>
              <w:rPr>
                <w:sz w:val="22"/>
              </w:rPr>
            </w:pPr>
            <w:r>
              <w:rPr>
                <w:sz w:val="22"/>
              </w:rPr>
              <w:t>24,02</w:t>
            </w:r>
          </w:p>
        </w:tc>
        <w:tc>
          <w:tcPr>
            <w:tcW w:w="1380" w:type="dxa"/>
          </w:tcPr>
          <w:p>
            <w:pPr>
              <w:pStyle w:val="TableParagraph"/>
              <w:spacing w:before="30"/>
              <w:rPr>
                <w:sz w:val="22"/>
              </w:rPr>
            </w:pPr>
            <w:r>
              <w:rPr>
                <w:sz w:val="22"/>
              </w:rPr>
              <w:t>0,4540</w:t>
            </w:r>
          </w:p>
        </w:tc>
        <w:tc>
          <w:tcPr>
            <w:tcW w:w="1620" w:type="dxa"/>
          </w:tcPr>
          <w:p>
            <w:pPr>
              <w:pStyle w:val="TableParagraph"/>
              <w:spacing w:before="30"/>
              <w:rPr>
                <w:sz w:val="22"/>
              </w:rPr>
            </w:pPr>
            <w:r>
              <w:rPr>
                <w:sz w:val="22"/>
              </w:rPr>
              <w:t>9,39586E-07</w:t>
            </w:r>
          </w:p>
        </w:tc>
      </w:tr>
      <w:tr>
        <w:trPr>
          <w:trHeight w:val="312" w:hRule="exact"/>
        </w:trPr>
        <w:tc>
          <w:tcPr>
            <w:tcW w:w="818" w:type="dxa"/>
          </w:tcPr>
          <w:p>
            <w:pPr>
              <w:pStyle w:val="TableParagraph"/>
              <w:spacing w:before="13"/>
              <w:ind w:right="0"/>
              <w:jc w:val="center"/>
              <w:rPr>
                <w:sz w:val="22"/>
              </w:rPr>
            </w:pPr>
            <w:r>
              <w:rPr>
                <w:w w:val="100"/>
                <w:sz w:val="22"/>
              </w:rPr>
              <w:t>N</w:t>
            </w:r>
          </w:p>
        </w:tc>
        <w:tc>
          <w:tcPr>
            <w:tcW w:w="754" w:type="dxa"/>
          </w:tcPr>
          <w:p>
            <w:pPr>
              <w:pStyle w:val="TableParagraph"/>
              <w:spacing w:before="30"/>
              <w:ind w:left="45" w:right="45"/>
              <w:jc w:val="center"/>
              <w:rPr>
                <w:sz w:val="22"/>
              </w:rPr>
            </w:pPr>
            <w:r>
              <w:rPr>
                <w:sz w:val="22"/>
              </w:rPr>
              <w:t>695,17</w:t>
            </w:r>
          </w:p>
        </w:tc>
        <w:tc>
          <w:tcPr>
            <w:tcW w:w="761" w:type="dxa"/>
          </w:tcPr>
          <w:p>
            <w:pPr/>
          </w:p>
        </w:tc>
        <w:tc>
          <w:tcPr>
            <w:tcW w:w="977" w:type="dxa"/>
          </w:tcPr>
          <w:p>
            <w:pPr/>
          </w:p>
        </w:tc>
        <w:tc>
          <w:tcPr>
            <w:tcW w:w="1320" w:type="dxa"/>
          </w:tcPr>
          <w:p>
            <w:pPr>
              <w:pStyle w:val="TableParagraph"/>
              <w:spacing w:before="18"/>
              <w:ind w:left="98" w:right="11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50" w:type="dxa"/>
          </w:tcPr>
          <w:p>
            <w:pPr>
              <w:pStyle w:val="TableParagraph"/>
              <w:spacing w:before="13"/>
              <w:ind w:right="63"/>
              <w:rPr>
                <w:b/>
                <w:i/>
                <w:sz w:val="22"/>
              </w:rPr>
            </w:pPr>
            <w:r>
              <w:rPr>
                <w:b/>
                <w:i/>
                <w:sz w:val="22"/>
              </w:rPr>
              <w:t>186,93</w:t>
            </w:r>
          </w:p>
        </w:tc>
        <w:tc>
          <w:tcPr>
            <w:tcW w:w="1380" w:type="dxa"/>
          </w:tcPr>
          <w:p>
            <w:pPr>
              <w:pStyle w:val="TableParagraph"/>
              <w:spacing w:before="13"/>
              <w:rPr>
                <w:b/>
                <w:i/>
                <w:sz w:val="22"/>
              </w:rPr>
            </w:pPr>
            <w:r>
              <w:rPr>
                <w:b/>
                <w:i/>
                <w:sz w:val="22"/>
              </w:rPr>
              <w:t>73,3384</w:t>
            </w:r>
          </w:p>
        </w:tc>
        <w:tc>
          <w:tcPr>
            <w:tcW w:w="1620" w:type="dxa"/>
          </w:tcPr>
          <w:p>
            <w:pPr>
              <w:pStyle w:val="TableParagraph"/>
              <w:spacing w:before="13"/>
              <w:rPr>
                <w:b/>
                <w:i/>
                <w:sz w:val="22"/>
              </w:rPr>
            </w:pPr>
            <w:r>
              <w:rPr>
                <w:b/>
                <w:i/>
                <w:sz w:val="22"/>
              </w:rPr>
              <w:t>0,000151757</w:t>
            </w:r>
          </w:p>
        </w:tc>
      </w:tr>
      <w:tr>
        <w:trPr>
          <w:trHeight w:val="290" w:hRule="exact"/>
        </w:trPr>
        <w:tc>
          <w:tcPr>
            <w:tcW w:w="3310" w:type="dxa"/>
            <w:gridSpan w:val="4"/>
            <w:vMerge w:val="restart"/>
          </w:tcPr>
          <w:p>
            <w:pPr/>
          </w:p>
        </w:tc>
        <w:tc>
          <w:tcPr>
            <w:tcW w:w="2470" w:type="dxa"/>
            <w:gridSpan w:val="2"/>
          </w:tcPr>
          <w:p>
            <w:pPr>
              <w:pStyle w:val="TableParagraph"/>
              <w:spacing w:before="9"/>
              <w:ind w:left="969"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3000" w:type="dxa"/>
            <w:gridSpan w:val="2"/>
          </w:tcPr>
          <w:p>
            <w:pPr>
              <w:pStyle w:val="TableParagraph"/>
              <w:spacing w:before="9"/>
              <w:rPr>
                <w:b/>
                <w:i/>
                <w:sz w:val="22"/>
              </w:rPr>
            </w:pPr>
            <w:r>
              <w:rPr>
                <w:b/>
                <w:i/>
                <w:sz w:val="22"/>
              </w:rPr>
              <w:t>0,269</w:t>
            </w:r>
          </w:p>
        </w:tc>
      </w:tr>
      <w:tr>
        <w:trPr>
          <w:trHeight w:val="283" w:hRule="exact"/>
        </w:trPr>
        <w:tc>
          <w:tcPr>
            <w:tcW w:w="3310" w:type="dxa"/>
            <w:gridSpan w:val="4"/>
            <w:vMerge/>
          </w:tcPr>
          <w:p>
            <w:pPr/>
          </w:p>
        </w:tc>
        <w:tc>
          <w:tcPr>
            <w:tcW w:w="2470" w:type="dxa"/>
            <w:gridSpan w:val="2"/>
          </w:tcPr>
          <w:p>
            <w:pPr>
              <w:pStyle w:val="TableParagraph"/>
              <w:spacing w:before="1"/>
              <w:ind w:left="592" w:right="0"/>
              <w:jc w:val="left"/>
              <w:rPr>
                <w:sz w:val="22"/>
              </w:rPr>
            </w:pPr>
            <w:r>
              <w:rPr>
                <w:sz w:val="22"/>
              </w:rPr>
              <w:t>Desviación estándar</w:t>
            </w:r>
          </w:p>
        </w:tc>
        <w:tc>
          <w:tcPr>
            <w:tcW w:w="3000" w:type="dxa"/>
            <w:gridSpan w:val="2"/>
            <w:tcBorders>
              <w:bottom w:val="single" w:sz="6" w:space="0" w:color="000000"/>
            </w:tcBorders>
          </w:tcPr>
          <w:p>
            <w:pPr>
              <w:pStyle w:val="TableParagraph"/>
              <w:spacing w:before="1"/>
              <w:rPr>
                <w:b/>
                <w:i/>
                <w:sz w:val="22"/>
              </w:rPr>
            </w:pPr>
            <w:r>
              <w:rPr>
                <w:b/>
                <w:i/>
                <w:sz w:val="22"/>
              </w:rPr>
              <w:t>0,0123</w:t>
            </w:r>
          </w:p>
        </w:tc>
      </w:tr>
      <w:tr>
        <w:trPr>
          <w:trHeight w:val="588" w:hRule="exact"/>
        </w:trPr>
        <w:tc>
          <w:tcPr>
            <w:tcW w:w="3310" w:type="dxa"/>
            <w:gridSpan w:val="4"/>
            <w:vMerge/>
          </w:tcPr>
          <w:p>
            <w:pPr/>
          </w:p>
        </w:tc>
        <w:tc>
          <w:tcPr>
            <w:tcW w:w="2470" w:type="dxa"/>
            <w:gridSpan w:val="2"/>
          </w:tcPr>
          <w:p>
            <w:pPr>
              <w:pStyle w:val="TableParagraph"/>
              <w:spacing w:before="7"/>
              <w:ind w:right="0"/>
              <w:jc w:val="left"/>
              <w:rPr>
                <w:rFonts w:ascii="Arial"/>
                <w:b/>
                <w:sz w:val="26"/>
              </w:rPr>
            </w:pPr>
          </w:p>
          <w:p>
            <w:pPr>
              <w:pStyle w:val="TableParagraph"/>
              <w:spacing w:before="0"/>
              <w:ind w:left="410" w:right="0"/>
              <w:jc w:val="left"/>
              <w:rPr>
                <w:sz w:val="22"/>
              </w:rPr>
            </w:pPr>
            <w:r>
              <w:rPr>
                <w:sz w:val="22"/>
              </w:rPr>
              <w:t>Intervalo de confianza</w:t>
            </w:r>
          </w:p>
        </w:tc>
        <w:tc>
          <w:tcPr>
            <w:tcW w:w="3000" w:type="dxa"/>
            <w:gridSpan w:val="2"/>
            <w:tcBorders>
              <w:top w:val="single" w:sz="6" w:space="0" w:color="000000"/>
            </w:tcBorders>
          </w:tcPr>
          <w:p>
            <w:pPr>
              <w:pStyle w:val="TableParagraph"/>
              <w:spacing w:before="45"/>
              <w:ind w:left="345" w:right="343"/>
              <w:jc w:val="center"/>
              <w:rPr>
                <w:rFonts w:ascii="Cambria Math" w:hAnsi="Cambria Math"/>
                <w:sz w:val="22"/>
              </w:rPr>
            </w:pPr>
            <w:r>
              <w:rPr>
                <w:rFonts w:ascii="Cambria Math" w:hAnsi="Cambria Math"/>
                <w:w w:val="100"/>
                <w:sz w:val="22"/>
              </w:rPr>
              <w:t>0,269</w:t>
            </w:r>
            <w:r>
              <w:rPr>
                <w:rFonts w:ascii="Cambria Math" w:hAnsi="Cambria Math"/>
                <w:spacing w:val="-3"/>
                <w:sz w:val="22"/>
              </w:rPr>
              <w:t> </w:t>
            </w:r>
            <w:r>
              <w:rPr>
                <w:rFonts w:ascii="Cambria Math" w:hAnsi="Cambria Math"/>
                <w:w w:val="100"/>
                <w:sz w:val="22"/>
              </w:rPr>
              <w:t>±</w:t>
            </w:r>
            <w:r>
              <w:rPr>
                <w:rFonts w:ascii="Cambria Math" w:hAnsi="Cambria Math"/>
                <w:sz w:val="22"/>
              </w:rPr>
              <w:t> </w:t>
            </w:r>
            <w:r>
              <w:rPr>
                <w:rFonts w:ascii="Cambria Math" w:hAnsi="Cambria Math"/>
                <w:w w:val="100"/>
                <w:sz w:val="22"/>
              </w:rPr>
              <w:t>1,96</w:t>
            </w:r>
            <w:r>
              <w:rPr>
                <w:rFonts w:ascii="Cambria Math" w:hAnsi="Cambria Math"/>
                <w:spacing w:val="-1"/>
                <w:w w:val="245"/>
                <w:sz w:val="22"/>
              </w:rPr>
              <w:t>ƒ</w:t>
            </w:r>
            <w:r>
              <w:rPr>
                <w:rFonts w:ascii="Cambria Math" w:hAnsi="Cambria Math"/>
                <w:w w:val="100"/>
                <w:sz w:val="22"/>
              </w:rPr>
              <w:t>0,</w:t>
            </w:r>
            <w:r>
              <w:rPr>
                <w:rFonts w:ascii="Cambria Math" w:hAnsi="Cambria Math"/>
                <w:spacing w:val="-2"/>
                <w:w w:val="100"/>
                <w:sz w:val="22"/>
              </w:rPr>
              <w:t>0</w:t>
            </w:r>
            <w:r>
              <w:rPr>
                <w:rFonts w:ascii="Cambria Math" w:hAnsi="Cambria Math"/>
                <w:w w:val="100"/>
                <w:sz w:val="22"/>
              </w:rPr>
              <w:t>001</w:t>
            </w:r>
            <w:r>
              <w:rPr>
                <w:rFonts w:ascii="Cambria Math" w:hAnsi="Cambria Math"/>
                <w:spacing w:val="-2"/>
                <w:w w:val="100"/>
                <w:sz w:val="22"/>
              </w:rPr>
              <w:t>5</w:t>
            </w:r>
            <w:r>
              <w:rPr>
                <w:rFonts w:ascii="Cambria Math" w:hAnsi="Cambria Math"/>
                <w:w w:val="100"/>
                <w:sz w:val="22"/>
              </w:rPr>
              <w:t>1</w:t>
            </w:r>
          </w:p>
          <w:p>
            <w:pPr>
              <w:pStyle w:val="TableParagraph"/>
              <w:spacing w:before="13"/>
              <w:ind w:left="345" w:right="341"/>
              <w:jc w:val="center"/>
              <w:rPr>
                <w:rFonts w:ascii="Cambria Math" w:hAnsi="Cambria Math"/>
                <w:sz w:val="22"/>
              </w:rPr>
            </w:pPr>
            <w:r>
              <w:rPr>
                <w:rFonts w:ascii="Cambria Math" w:hAnsi="Cambria Math"/>
                <w:sz w:val="22"/>
              </w:rPr>
              <w:t>0,269 ± 0,024</w:t>
            </w:r>
          </w:p>
        </w:tc>
      </w:tr>
    </w:tbl>
    <w:p>
      <w:pPr>
        <w:pStyle w:val="BodyText"/>
        <w:spacing w:before="3"/>
        <w:rPr>
          <w:b/>
          <w:sz w:val="17"/>
        </w:rPr>
      </w:pPr>
    </w:p>
    <w:p>
      <w:pPr>
        <w:pStyle w:val="Heading5"/>
        <w:numPr>
          <w:ilvl w:val="3"/>
          <w:numId w:val="14"/>
        </w:numPr>
        <w:tabs>
          <w:tab w:pos="1578" w:val="left" w:leader="none"/>
        </w:tabs>
        <w:spacing w:line="240" w:lineRule="auto" w:before="72" w:after="0"/>
        <w:ind w:left="1577" w:right="0" w:hanging="796"/>
        <w:jc w:val="both"/>
      </w:pPr>
      <w:bookmarkStart w:name="_TOC_250036" w:id="111"/>
      <w:bookmarkStart w:name="5.5.1.1. Percolador" w:id="112"/>
      <w:r>
        <w:rPr>
          <w:b w:val="0"/>
        </w:rPr>
      </w:r>
      <w:bookmarkEnd w:id="112"/>
      <w:bookmarkStart w:name="5.5.1.1. Percolador" w:id="113"/>
      <w:r>
        <w:rPr/>
        <w:t>P</w:t>
      </w:r>
      <w:bookmarkEnd w:id="111"/>
      <w:r>
        <w:rPr/>
        <w:t>ERCOLADOR</w:t>
      </w:r>
    </w:p>
    <w:p>
      <w:pPr>
        <w:pStyle w:val="BodyText"/>
        <w:spacing w:before="5"/>
        <w:rPr>
          <w:b/>
          <w:sz w:val="17"/>
        </w:rPr>
      </w:pPr>
    </w:p>
    <w:p>
      <w:pPr>
        <w:pStyle w:val="BodyText"/>
        <w:spacing w:line="360" w:lineRule="auto"/>
        <w:ind w:left="781" w:right="498"/>
        <w:jc w:val="both"/>
      </w:pPr>
      <w:r>
        <w:rPr/>
        <w:t>Esta unidad del tren de tratamiento fue diseñada como un biofiltro para remover las especies nitrogenadas disueltas en el agua, principalmente el nitrógeno amoniacal total. Este ión es el principal factor limitante para la vida acuática y por consecuencia en el cultivo trutícola es indispensable conocer y controlar su concentración, ya que aún a niveles muy bajos (&lt; 1,0 mg/L) puede llegar a ser tóxico. Russo y Thurston (1991) mencionan que en concentraciones mayores a 1,16 mg/L es letal para la trucha arco iris.</w:t>
      </w:r>
    </w:p>
    <w:p>
      <w:pPr>
        <w:pStyle w:val="BodyText"/>
        <w:spacing w:before="9"/>
        <w:rPr>
          <w:sz w:val="17"/>
        </w:rPr>
      </w:pPr>
    </w:p>
    <w:p>
      <w:pPr>
        <w:pStyle w:val="BodyText"/>
        <w:spacing w:line="360" w:lineRule="auto"/>
        <w:ind w:left="781" w:right="498"/>
        <w:jc w:val="both"/>
      </w:pPr>
      <w:r>
        <w:rPr/>
        <w:t>En la figura 31, se observa un esquema del filtro percolador con las concentraciones de entrada y salida al mismo, estas concentraciones, con un fondo de color verde cuando se encuentra en intervalos óptimos, amarillo cuando se está en intervalos tolerantes y rojo cuando la concentración promedio se encuentra en un intervalo letal, así también se muestran las eficiencias de la unidad de tratamiento.</w:t>
      </w:r>
    </w:p>
    <w:p>
      <w:pPr>
        <w:pStyle w:val="BodyText"/>
        <w:spacing w:before="7"/>
        <w:rPr>
          <w:sz w:val="17"/>
        </w:rPr>
      </w:pPr>
    </w:p>
    <w:p>
      <w:pPr>
        <w:pStyle w:val="BodyText"/>
        <w:spacing w:line="362" w:lineRule="auto"/>
        <w:ind w:left="781" w:right="500"/>
        <w:jc w:val="both"/>
      </w:pPr>
      <w:r>
        <w:rPr/>
        <w:t>En el SRA prototipo no se alcanzaron concentraciones letales en el percolador pues el porcentaje de remoción para el nitrógeno amoniacal fue 20,09 ± 0,29 % en promedio.</w:t>
      </w:r>
    </w:p>
    <w:p>
      <w:pPr>
        <w:pStyle w:val="BodyText"/>
        <w:spacing w:before="4"/>
        <w:rPr>
          <w:sz w:val="17"/>
        </w:rPr>
      </w:pPr>
    </w:p>
    <w:p>
      <w:pPr>
        <w:pStyle w:val="BodyText"/>
        <w:spacing w:line="360" w:lineRule="auto"/>
        <w:ind w:left="781" w:right="501"/>
        <w:jc w:val="both"/>
      </w:pPr>
      <w:r>
        <w:rPr/>
        <w:t>La remoción de DQO en el percolador fue muy baja, en un rango de 3,70 ± 0,44 %,  debido a que las cargas de materia orgánica que entraban a esta unidad eran bajas y a la vez no representaban un peligro para el cultivo</w:t>
      </w:r>
      <w:r>
        <w:rPr>
          <w:spacing w:val="-25"/>
        </w:rPr>
        <w:t> </w:t>
      </w:r>
      <w:r>
        <w:rPr/>
        <w:t>acuícola.</w:t>
      </w:r>
    </w:p>
    <w:p>
      <w:pPr>
        <w:spacing w:after="0" w:line="360" w:lineRule="auto"/>
        <w:jc w:val="both"/>
        <w:sectPr>
          <w:pgSz w:w="12240" w:h="15840"/>
          <w:pgMar w:header="725" w:footer="1084" w:top="1340" w:bottom="1280" w:left="920" w:right="1200"/>
        </w:sectPr>
      </w:pPr>
    </w:p>
    <w:p>
      <w:pPr>
        <w:pStyle w:val="BodyText"/>
        <w:rPr>
          <w:sz w:val="20"/>
        </w:rPr>
      </w:pPr>
      <w:r>
        <w:rPr/>
        <w:pict>
          <v:shape style="position:absolute;margin-left:241.128815pt;margin-top:283.740021pt;width:332.15pt;height:19.350pt;mso-position-horizontal-relative:page;mso-position-vertical-relative:page;z-index:704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84"/>
                    <w:gridCol w:w="1862"/>
                    <w:gridCol w:w="1176"/>
                    <w:gridCol w:w="1102"/>
                    <w:gridCol w:w="708"/>
                    <w:gridCol w:w="710"/>
                  </w:tblGrid>
                  <w:tr>
                    <w:trPr>
                      <w:trHeight w:val="241" w:hRule="exact"/>
                    </w:trPr>
                    <w:tc>
                      <w:tcPr>
                        <w:tcW w:w="1084" w:type="dxa"/>
                      </w:tcPr>
                      <w:p>
                        <w:pPr>
                          <w:pStyle w:val="TableParagraph"/>
                          <w:spacing w:line="243" w:lineRule="exact" w:before="0"/>
                          <w:ind w:left="35" w:right="0"/>
                          <w:jc w:val="left"/>
                          <w:rPr>
                            <w:rFonts w:ascii="Arial"/>
                            <w:sz w:val="12"/>
                          </w:rPr>
                        </w:pPr>
                        <w:r>
                          <w:rPr>
                            <w:rFonts w:ascii="Arial"/>
                            <w:position w:val="2"/>
                            <w:sz w:val="18"/>
                          </w:rPr>
                          <w:t>N-NO</w:t>
                        </w:r>
                        <w:r>
                          <w:rPr>
                            <w:rFonts w:ascii="Arial"/>
                            <w:sz w:val="12"/>
                          </w:rPr>
                          <w:t>3</w:t>
                        </w:r>
                        <w:r>
                          <w:rPr>
                            <w:rFonts w:ascii="Arial"/>
                            <w:position w:val="11"/>
                            <w:sz w:val="12"/>
                          </w:rPr>
                          <w:t>-</w:t>
                        </w:r>
                      </w:p>
                    </w:tc>
                    <w:tc>
                      <w:tcPr>
                        <w:tcW w:w="1862" w:type="dxa"/>
                      </w:tcPr>
                      <w:p>
                        <w:pPr>
                          <w:pStyle w:val="TableParagraph"/>
                          <w:spacing w:before="29"/>
                          <w:ind w:left="465" w:right="457"/>
                          <w:jc w:val="center"/>
                          <w:rPr>
                            <w:rFonts w:ascii="Arial" w:hAnsi="Arial"/>
                            <w:sz w:val="18"/>
                          </w:rPr>
                        </w:pPr>
                        <w:r>
                          <w:rPr>
                            <w:rFonts w:ascii="Arial" w:hAnsi="Arial"/>
                            <w:sz w:val="18"/>
                          </w:rPr>
                          <w:t>1,16 ± 0,57</w:t>
                        </w:r>
                      </w:p>
                    </w:tc>
                    <w:tc>
                      <w:tcPr>
                        <w:tcW w:w="1176" w:type="dxa"/>
                      </w:tcPr>
                      <w:p>
                        <w:pPr>
                          <w:pStyle w:val="TableParagraph"/>
                          <w:ind w:left="151" w:right="0"/>
                          <w:jc w:val="left"/>
                          <w:rPr>
                            <w:rFonts w:ascii="Arial"/>
                            <w:sz w:val="10"/>
                          </w:rPr>
                        </w:pPr>
                        <w:r>
                          <w:rPr>
                            <w:rFonts w:ascii="Arial"/>
                            <w:position w:val="2"/>
                            <w:sz w:val="16"/>
                          </w:rPr>
                          <w:t>N-NH</w:t>
                        </w:r>
                        <w:r>
                          <w:rPr>
                            <w:rFonts w:ascii="Arial"/>
                            <w:sz w:val="10"/>
                          </w:rPr>
                          <w:t>3</w:t>
                        </w:r>
                      </w:p>
                    </w:tc>
                    <w:tc>
                      <w:tcPr>
                        <w:tcW w:w="1102" w:type="dxa"/>
                      </w:tcPr>
                      <w:p>
                        <w:pPr>
                          <w:pStyle w:val="TableParagraph"/>
                          <w:spacing w:before="52"/>
                          <w:ind w:right="106"/>
                          <w:rPr>
                            <w:rFonts w:ascii="Arial"/>
                            <w:sz w:val="13"/>
                          </w:rPr>
                        </w:pPr>
                        <w:r>
                          <w:rPr>
                            <w:rFonts w:ascii="Arial"/>
                            <w:w w:val="105"/>
                            <w:sz w:val="13"/>
                          </w:rPr>
                          <w:t>0,019</w:t>
                        </w:r>
                      </w:p>
                    </w:tc>
                    <w:tc>
                      <w:tcPr>
                        <w:tcW w:w="708" w:type="dxa"/>
                      </w:tcPr>
                      <w:p>
                        <w:pPr>
                          <w:pStyle w:val="TableParagraph"/>
                          <w:spacing w:before="52"/>
                          <w:ind w:right="108"/>
                          <w:rPr>
                            <w:rFonts w:ascii="Arial"/>
                            <w:sz w:val="13"/>
                          </w:rPr>
                        </w:pPr>
                        <w:r>
                          <w:rPr>
                            <w:rFonts w:ascii="Arial"/>
                            <w:w w:val="105"/>
                            <w:sz w:val="13"/>
                          </w:rPr>
                          <w:t>0,64</w:t>
                        </w:r>
                      </w:p>
                    </w:tc>
                    <w:tc>
                      <w:tcPr>
                        <w:tcW w:w="710" w:type="dxa"/>
                      </w:tcPr>
                      <w:p>
                        <w:pPr>
                          <w:pStyle w:val="TableParagraph"/>
                          <w:spacing w:before="52"/>
                          <w:ind w:right="111"/>
                          <w:rPr>
                            <w:rFonts w:ascii="Arial"/>
                            <w:sz w:val="13"/>
                          </w:rPr>
                        </w:pPr>
                        <w:r>
                          <w:rPr>
                            <w:rFonts w:ascii="Arial"/>
                            <w:w w:val="105"/>
                            <w:sz w:val="13"/>
                          </w:rPr>
                          <w:t>0,68</w:t>
                        </w:r>
                      </w:p>
                    </w:tc>
                  </w:tr>
                  <w:tr>
                    <w:trPr>
                      <w:trHeight w:val="145" w:hRule="exact"/>
                    </w:trPr>
                    <w:tc>
                      <w:tcPr>
                        <w:tcW w:w="1084" w:type="dxa"/>
                      </w:tcPr>
                      <w:p>
                        <w:pPr>
                          <w:pStyle w:val="TableParagraph"/>
                          <w:spacing w:line="185" w:lineRule="exact" w:before="0"/>
                          <w:ind w:left="35" w:right="0"/>
                          <w:jc w:val="left"/>
                          <w:rPr>
                            <w:rFonts w:ascii="Arial"/>
                            <w:sz w:val="18"/>
                          </w:rPr>
                        </w:pPr>
                        <w:r>
                          <w:rPr>
                            <w:rFonts w:ascii="Arial"/>
                            <w:sz w:val="18"/>
                          </w:rPr>
                          <w:t>DQO</w:t>
                        </w:r>
                      </w:p>
                    </w:tc>
                    <w:tc>
                      <w:tcPr>
                        <w:tcW w:w="1862" w:type="dxa"/>
                      </w:tcPr>
                      <w:p>
                        <w:pPr>
                          <w:pStyle w:val="TableParagraph"/>
                          <w:spacing w:line="185" w:lineRule="exact" w:before="0"/>
                          <w:ind w:left="465" w:right="457"/>
                          <w:jc w:val="center"/>
                          <w:rPr>
                            <w:rFonts w:ascii="Arial" w:hAnsi="Arial"/>
                            <w:sz w:val="18"/>
                          </w:rPr>
                        </w:pPr>
                        <w:r>
                          <w:rPr>
                            <w:rFonts w:ascii="Arial" w:hAnsi="Arial"/>
                            <w:sz w:val="18"/>
                          </w:rPr>
                          <w:t>3,70 ± 0,44</w:t>
                        </w:r>
                      </w:p>
                    </w:tc>
                    <w:tc>
                      <w:tcPr>
                        <w:tcW w:w="1176" w:type="dxa"/>
                      </w:tcPr>
                      <w:p>
                        <w:pPr>
                          <w:pStyle w:val="TableParagraph"/>
                          <w:spacing w:line="112" w:lineRule="exact" w:before="0"/>
                          <w:ind w:left="151" w:right="0"/>
                          <w:jc w:val="left"/>
                          <w:rPr>
                            <w:rFonts w:ascii="Arial"/>
                            <w:sz w:val="10"/>
                          </w:rPr>
                        </w:pPr>
                        <w:r>
                          <w:rPr>
                            <w:rFonts w:ascii="Arial"/>
                            <w:sz w:val="16"/>
                          </w:rPr>
                          <w:t>N-NO </w:t>
                        </w:r>
                        <w:r>
                          <w:rPr>
                            <w:rFonts w:ascii="Arial"/>
                            <w:position w:val="8"/>
                            <w:sz w:val="10"/>
                          </w:rPr>
                          <w:t>-</w:t>
                        </w:r>
                      </w:p>
                      <w:p>
                        <w:pPr>
                          <w:pStyle w:val="TableParagraph"/>
                          <w:spacing w:line="61" w:lineRule="exact" w:before="0"/>
                          <w:ind w:right="1"/>
                          <w:jc w:val="center"/>
                          <w:rPr>
                            <w:rFonts w:ascii="Arial"/>
                            <w:sz w:val="10"/>
                          </w:rPr>
                        </w:pPr>
                        <w:r>
                          <w:rPr>
                            <w:rFonts w:ascii="Arial"/>
                            <w:w w:val="100"/>
                            <w:sz w:val="10"/>
                          </w:rPr>
                          <w:t>2</w:t>
                        </w:r>
                      </w:p>
                    </w:tc>
                    <w:tc>
                      <w:tcPr>
                        <w:tcW w:w="1102" w:type="dxa"/>
                      </w:tcPr>
                      <w:p>
                        <w:pPr>
                          <w:pStyle w:val="TableParagraph"/>
                          <w:spacing w:before="2"/>
                          <w:ind w:right="106"/>
                          <w:rPr>
                            <w:rFonts w:ascii="Arial"/>
                            <w:sz w:val="13"/>
                          </w:rPr>
                        </w:pPr>
                        <w:r>
                          <w:rPr>
                            <w:rFonts w:ascii="Arial"/>
                            <w:w w:val="105"/>
                            <w:sz w:val="13"/>
                          </w:rPr>
                          <w:t>0,0181</w:t>
                        </w:r>
                      </w:p>
                    </w:tc>
                    <w:tc>
                      <w:tcPr>
                        <w:tcW w:w="708" w:type="dxa"/>
                      </w:tcPr>
                      <w:p>
                        <w:pPr>
                          <w:pStyle w:val="TableParagraph"/>
                          <w:spacing w:before="2"/>
                          <w:ind w:right="108"/>
                          <w:rPr>
                            <w:rFonts w:ascii="Arial"/>
                            <w:sz w:val="13"/>
                          </w:rPr>
                        </w:pPr>
                        <w:r>
                          <w:rPr>
                            <w:rFonts w:ascii="Arial"/>
                            <w:w w:val="105"/>
                            <w:sz w:val="13"/>
                          </w:rPr>
                          <w:t>0,30</w:t>
                        </w:r>
                      </w:p>
                    </w:tc>
                    <w:tc>
                      <w:tcPr>
                        <w:tcW w:w="710" w:type="dxa"/>
                      </w:tcPr>
                      <w:p>
                        <w:pPr>
                          <w:pStyle w:val="TableParagraph"/>
                          <w:spacing w:before="2"/>
                          <w:ind w:right="111"/>
                          <w:rPr>
                            <w:rFonts w:ascii="Arial"/>
                            <w:sz w:val="13"/>
                          </w:rPr>
                        </w:pPr>
                        <w:r>
                          <w:rPr>
                            <w:rFonts w:ascii="Arial"/>
                            <w:w w:val="105"/>
                            <w:sz w:val="13"/>
                          </w:rPr>
                          <w:t>0,32</w:t>
                        </w:r>
                      </w:p>
                    </w:tc>
                  </w:tr>
                </w:tbl>
                <w:p>
                  <w:pPr>
                    <w:pStyle w:val="BodyText"/>
                  </w:pP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0"/>
        <w:ind w:left="4503" w:right="1562" w:hanging="2768"/>
        <w:jc w:val="left"/>
        <w:rPr>
          <w:b/>
          <w:sz w:val="18"/>
        </w:rPr>
      </w:pPr>
      <w:r>
        <w:rPr/>
        <w:pict>
          <v:group style="position:absolute;margin-left:24.105pt;margin-top:-351.218292pt;width:555.3pt;height:344.6pt;mso-position-horizontal-relative:page;mso-position-vertical-relative:paragraph;z-index:7024" coordorigin="482,-7024" coordsize="11106,6892">
            <v:shape style="position:absolute;left:2760;top:-6950;width:7008;height:2326" type="#_x0000_t75" stroked="false">
              <v:imagedata r:id="rId62" o:title=""/>
            </v:shape>
            <v:rect style="position:absolute;left:1306;top:-7014;width:10063;height:6871" filled="false" stroked="true" strokeweight=".99996pt" strokecolor="#000000"/>
            <v:rect style="position:absolute;left:4704;top:-4132;width:3065;height:1877" filled="false" stroked="true" strokeweight=".75pt" strokecolor="#000000"/>
            <v:rect style="position:absolute;left:7769;top:-5750;width:3811;height:4721" filled="true" fillcolor="#ffffff" stroked="false">
              <v:fill type="solid"/>
            </v:rect>
            <v:rect style="position:absolute;left:7769;top:-5750;width:3811;height:4721" filled="false" stroked="true" strokeweight=".75pt" strokecolor="#000000"/>
            <v:shape style="position:absolute;left:7812;top:-5186;width:3725;height:920" coordorigin="7812,-5186" coordsize="3725,920" path="m7920,-5186l7812,-5186,7812,-5003,7812,-4818,7812,-4634,7812,-4451,7812,-4266,7920,-4266,7920,-4451,7920,-4634,7920,-4818,7920,-5003,7920,-5186m9053,-5186l8945,-5186,8837,-5186,8837,-5186,7920,-5186,7920,-5003,7920,-4818,7920,-4634,7920,-4451,7920,-4266,8837,-4266,8837,-4266,8945,-4266,9053,-4266,9053,-4451,9053,-4634,9053,-4818,9053,-5003,9053,-5186m10289,-5186l10181,-5186,10073,-5186,10073,-5186,9053,-5186,9053,-5003,9053,-4818,9053,-4634,9053,-4451,9053,-4266,10073,-4266,10073,-4266,10181,-4266,10289,-4266,10289,-4451,10289,-4634,10289,-4818,10289,-5003,10289,-5186m11160,-5186l11052,-5186,10944,-5186,10944,-5186,10289,-5186,10289,-5003,10289,-4818,10289,-4634,10289,-4451,10289,-4266,10944,-4266,10944,-4266,11052,-4266,11160,-4266,11160,-4451,11160,-4634,11160,-4818,11160,-5003,11160,-5186m11537,-5186l11429,-5186,11429,-5186,11160,-5186,11160,-5003,11160,-4818,11160,-4634,11160,-4451,11160,-4266,11429,-4266,11429,-4266,11537,-4266,11537,-4451,11537,-4634,11537,-4818,11537,-5003,11537,-5186e" filled="true" fillcolor="#00b04f" stroked="false">
              <v:path arrowok="t"/>
              <v:fill type="solid"/>
            </v:shape>
            <v:shape style="position:absolute;left:7812;top:-4266;width:3725;height:368" coordorigin="7812,-4266" coordsize="3725,368" path="m7920,-4266l7812,-4266,7812,-4082,7812,-3899,7920,-3899,7920,-4082,7920,-4266m9053,-4266l8945,-4266,8837,-4266,8837,-4266,7920,-4266,7920,-4082,7920,-3899,8837,-3899,8837,-3899,8945,-3899,9053,-3899,9053,-4082,9053,-4266m10289,-4266l10181,-4266,10073,-4266,10073,-4266,9053,-4266,9053,-4082,9053,-3899,10073,-3899,10073,-3899,10181,-3899,10289,-3899,10289,-4082,10289,-4266m11160,-4266l11052,-4266,10944,-4266,10944,-4266,10289,-4266,10289,-4082,10289,-3899,10944,-3899,10944,-3899,11052,-3899,11160,-3899,11160,-4082,11160,-4266m11537,-4266l11429,-4266,11429,-4266,11160,-4266,11160,-4082,11160,-3899,11429,-3899,11429,-3899,11537,-3899,11537,-4082,11537,-4266e" filled="true" fillcolor="#ffff00" stroked="false">
              <v:path arrowok="t"/>
              <v:fill type="solid"/>
            </v:shape>
            <v:shape style="position:absolute;left:7812;top:-3899;width:3725;height:370" coordorigin="7812,-3899" coordsize="3725,370" path="m7920,-3899l7812,-3899,7812,-3714,7812,-3530,7920,-3530,7920,-3714,7920,-3899m9053,-3899l8945,-3899,8837,-3899,8837,-3899,7920,-3899,7920,-3714,7920,-3530,8837,-3530,8837,-3530,8945,-3530,9053,-3530,9053,-3714,9053,-3899m10289,-3899l10181,-3899,10073,-3899,10073,-3899,9053,-3899,9053,-3714,9053,-3530,10073,-3530,10073,-3530,10181,-3530,10289,-3530,10289,-3714,10289,-3899m11160,-3899l11052,-3899,10944,-3899,10944,-3899,10289,-3899,10289,-3714,10289,-3530,10944,-3530,10944,-3530,11052,-3530,11160,-3530,11160,-3714,11160,-3899m11537,-3899l11429,-3899,11429,-3899,11160,-3899,11160,-3714,11160,-3530,11429,-3530,11429,-3530,11537,-3530,11537,-3714,11537,-3899e" filled="true" fillcolor="#00b04f" stroked="false">
              <v:path arrowok="t"/>
              <v:fill type="solid"/>
            </v:shape>
            <v:shape style="position:absolute;left:7812;top:-3347;width:3653;height:2088" coordorigin="7812,-3347" coordsize="3653,2088" path="m7817,-3342l8940,-3342m8950,-3342l10042,-3342m10051,-3342l11460,-3342m7817,-3009l8940,-3009m8950,-3009l10042,-3009m10051,-3009l10750,-3009m10759,-3009l11460,-3009m7817,-2817l8940,-2817m8950,-2817l10042,-2817m10051,-2817l10750,-2817m10759,-2817l11460,-2817m7817,-2622l8940,-2622m8950,-2622l10042,-2622m10051,-2622l10750,-2622m10759,-2622l11460,-2622m7817,-2428l8940,-2428m8950,-2428l10042,-2428m10051,-2428l10750,-2428m10759,-2428l11460,-2428m7817,-2234l8940,-2234m8950,-2234l10042,-2234m10051,-2234l10750,-2234m10759,-2234l11460,-2234m7812,-3347l7812,-1259m7817,-1264l8940,-1264m8945,-3347l8945,-1259m8950,-1264l10042,-1264m10046,-3347l10046,-1259m10051,-1264l10750,-1264m10754,-3014l10754,-1259m10759,-1264l11460,-1264m11465,-3347l11465,-1259e" filled="false" stroked="true" strokeweight=".48pt" strokecolor="#000000">
              <v:path arrowok="t"/>
            </v:shape>
            <v:rect style="position:absolute;left:490;top:-5805;width:4214;height:4541" filled="true" fillcolor="#ffffff" stroked="false">
              <v:fill type="solid"/>
            </v:rect>
            <v:rect style="position:absolute;left:490;top:-5805;width:4214;height:4541" filled="false" stroked="true" strokeweight=".75pt" strokecolor="#000000"/>
            <v:shape style="position:absolute;left:535;top:-5241;width:4076;height:183" coordorigin="535,-5241" coordsize="4076,183" path="m643,-5241l535,-5241,535,-5058,643,-5058,643,-5241m1884,-5241l1776,-5241,1668,-5241,1668,-5241,643,-5241,643,-5058,1668,-5058,1668,-5058,1776,-5058,1884,-5058,1884,-5241m3302,-5241l3194,-5241,3086,-5241,3086,-5241,1884,-5241,1884,-5058,3086,-5058,3086,-5058,3194,-5058,3302,-5058,3302,-5241m4152,-5241l4044,-5241,3936,-5241,3936,-5241,3302,-5241,3302,-5058,3936,-5058,3936,-5058,4044,-5058,4152,-5058,4152,-5241m4610,-5241l4502,-5241,4502,-5241,4152,-5241,4152,-5058,4502,-5058,4502,-5058,4610,-5058,4610,-5241e" filled="true" fillcolor="#ffff00" stroked="false">
              <v:path arrowok="t"/>
              <v:fill type="solid"/>
            </v:shape>
            <v:shape style="position:absolute;left:535;top:-5058;width:4076;height:922" coordorigin="535,-5058" coordsize="4076,922" path="m643,-5058l535,-5058,535,-4874,535,-4689,535,-4506,535,-4322,535,-4137,643,-4137,643,-4322,643,-4506,643,-4689,643,-4874,643,-5058m1884,-5058l1776,-5058,1668,-5058,1668,-5058,643,-5058,643,-4874,643,-4689,643,-4506,643,-4322,643,-4137,1668,-4137,1668,-4137,1776,-4137,1884,-4137,1884,-4322,1884,-4506,1884,-4689,1884,-4874,1884,-5058m3302,-5058l3194,-5058,3086,-5058,3086,-5058,1884,-5058,1884,-4874,1884,-4689,1884,-4506,1884,-4322,1884,-4137,3086,-4137,3086,-4137,3194,-4137,3302,-4137,3302,-4322,3302,-4506,3302,-4689,3302,-4874,3302,-5058m4152,-5058l4044,-5058,3936,-5058,3936,-5058,3302,-5058,3302,-4874,3302,-4689,3302,-4506,3302,-4322,3302,-4137,3936,-4137,3936,-4137,4044,-4137,4152,-4137,4152,-4322,4152,-4506,4152,-4689,4152,-4874,4152,-5058m4610,-5058l4502,-5058,4502,-5058,4152,-5058,4152,-4874,4152,-4689,4152,-4506,4152,-4322,4152,-4137,4502,-4137,4502,-4137,4610,-4137,4610,-4322,4610,-4506,4610,-4689,4610,-4874,4610,-5058e" filled="true" fillcolor="#00b04f" stroked="false">
              <v:path arrowok="t"/>
              <v:fill type="solid"/>
            </v:shape>
            <v:shape style="position:absolute;left:535;top:-4137;width:4076;height:183" coordorigin="535,-4137" coordsize="4076,183" path="m643,-4137l535,-4137,535,-3954,643,-3954,643,-4137m1884,-4137l1776,-4137,1668,-4137,1668,-4137,643,-4137,643,-3954,1668,-3954,1668,-3954,1776,-3954,1884,-3954,1884,-4137m3302,-4137l3194,-4137,3086,-4137,3086,-4137,1884,-4137,1884,-3954,3086,-3954,3086,-3954,3194,-3954,3302,-3954,3302,-4137m4152,-4137l4044,-4137,3936,-4137,3936,-4137,3302,-4137,3302,-3954,3936,-3954,3936,-3954,4044,-3954,4152,-3954,4152,-4137m4610,-4137l4502,-4137,4502,-4137,4152,-4137,4152,-3954,4502,-3954,4502,-3954,4610,-3954,4610,-4137e" filled="true" fillcolor="#ffff00" stroked="false">
              <v:path arrowok="t"/>
              <v:fill type="solid"/>
            </v:shape>
            <v:shape style="position:absolute;left:535;top:-3954;width:4076;height:370" coordorigin="535,-3954" coordsize="4076,370" path="m643,-3954l535,-3954,535,-3770,535,-3585,643,-3585,643,-3770,643,-3954m1884,-3954l1776,-3954,1668,-3954,1668,-3954,643,-3954,643,-3770,643,-3585,1668,-3585,1668,-3585,1776,-3585,1884,-3585,1884,-3770,1884,-3954m3302,-3954l3194,-3954,3086,-3954,3086,-3954,1884,-3954,1884,-3770,1884,-3585,3086,-3585,3086,-3585,3194,-3585,3302,-3585,3302,-3770,3302,-3954m4152,-3954l4044,-3954,3936,-3954,3936,-3954,3302,-3954,3302,-3770,3302,-3585,3936,-3585,3936,-3585,4044,-3585,4152,-3585,4152,-3770,4152,-3954m4610,-3954l4502,-3954,4502,-3954,4152,-3954,4152,-3770,4152,-3585,4502,-3585,4502,-3585,4610,-3585,4610,-3770,4610,-3954e" filled="true" fillcolor="#00b04f" stroked="false">
              <v:path arrowok="t"/>
              <v:fill type="solid"/>
            </v:shape>
            <v:shape style="position:absolute;left:535;top:-3402;width:3999;height:2060" coordorigin="535,-3402" coordsize="3999,2060" path="m540,-3398l1663,-3398m1673,-3398l2765,-3398m2774,-3398l4529,-3398m540,-3064l1663,-3064m1673,-3064l2765,-3064m2774,-3064l3614,-3064m3624,-3064l4529,-3064m540,-2870l1663,-2870m1673,-2870l2765,-2870m2774,-2870l3614,-2870m3624,-2870l4529,-2870m540,-2678l1663,-2678m1673,-2678l2765,-2678m2774,-2678l3614,-2678m3624,-2678l4529,-2678m535,-3402l535,-1343m1668,-3402l1668,-1343m2770,-3402l2770,-1343m4534,-3402l4534,-1343e" filled="false" stroked="true" strokeweight=".48pt" strokecolor="#000000">
              <v:path arrowok="t"/>
            </v:shape>
            <v:rect style="position:absolute;left:4793;top:-1029;width:3142;height:799" filled="false" stroked="true" strokeweight=".75pt" strokecolor="#000000"/>
            <v:shape style="position:absolute;left:643;top:-5225;width:497;height:528" type="#_x0000_t202" filled="false" stroked="false">
              <v:textbox inset="0,0,0,0">
                <w:txbxContent>
                  <w:p>
                    <w:pPr>
                      <w:spacing w:line="199" w:lineRule="auto" w:before="5"/>
                      <w:ind w:left="0" w:right="0" w:firstLine="0"/>
                      <w:jc w:val="right"/>
                      <w:rPr>
                        <w:sz w:val="10"/>
                      </w:rPr>
                    </w:pPr>
                    <w:r>
                      <w:rPr>
                        <w:position w:val="2"/>
                        <w:sz w:val="16"/>
                      </w:rPr>
                      <w:t>N-NH</w:t>
                    </w:r>
                    <w:r>
                      <w:rPr>
                        <w:sz w:val="10"/>
                      </w:rPr>
                      <w:t>3 </w:t>
                    </w:r>
                    <w:r>
                      <w:rPr>
                        <w:color w:val="FFFFFF"/>
                        <w:sz w:val="16"/>
                      </w:rPr>
                      <w:t>N-NO </w:t>
                    </w:r>
                    <w:r>
                      <w:rPr>
                        <w:color w:val="FFFFFF"/>
                        <w:position w:val="8"/>
                        <w:sz w:val="10"/>
                      </w:rPr>
                      <w:t>-</w:t>
                    </w:r>
                  </w:p>
                  <w:p>
                    <w:pPr>
                      <w:spacing w:line="2" w:lineRule="exact" w:before="0"/>
                      <w:ind w:left="0" w:right="30" w:firstLine="0"/>
                      <w:jc w:val="right"/>
                      <w:rPr>
                        <w:sz w:val="10"/>
                      </w:rPr>
                    </w:pPr>
                    <w:r>
                      <w:rPr>
                        <w:color w:val="FFFFFF"/>
                        <w:w w:val="100"/>
                        <w:sz w:val="10"/>
                      </w:rPr>
                      <w:t>2</w:t>
                    </w:r>
                  </w:p>
                  <w:p>
                    <w:pPr>
                      <w:spacing w:line="187" w:lineRule="exact" w:before="0"/>
                      <w:ind w:left="0" w:right="0" w:firstLine="0"/>
                      <w:jc w:val="right"/>
                      <w:rPr>
                        <w:sz w:val="10"/>
                      </w:rPr>
                    </w:pPr>
                    <w:r>
                      <w:rPr>
                        <w:color w:val="FFFFFF"/>
                        <w:sz w:val="16"/>
                      </w:rPr>
                      <w:t>N-NO </w:t>
                    </w:r>
                    <w:r>
                      <w:rPr>
                        <w:color w:val="FFFFFF"/>
                        <w:position w:val="8"/>
                        <w:sz w:val="10"/>
                      </w:rPr>
                      <w:t>-</w:t>
                    </w:r>
                  </w:p>
                </w:txbxContent>
              </v:textbox>
              <w10:wrap type="none"/>
            </v:shape>
            <v:shape style="position:absolute;left:1987;top:-5709;width:995;height:2117" type="#_x0000_t202" filled="false" stroked="false">
              <v:textbox inset="0,0,0,0">
                <w:txbxContent>
                  <w:p>
                    <w:pPr>
                      <w:spacing w:line="142" w:lineRule="exact" w:before="0"/>
                      <w:ind w:left="0" w:right="-13" w:firstLine="7"/>
                      <w:jc w:val="left"/>
                      <w:rPr>
                        <w:b/>
                        <w:sz w:val="14"/>
                      </w:rPr>
                    </w:pPr>
                    <w:r>
                      <w:rPr>
                        <w:b/>
                        <w:sz w:val="14"/>
                      </w:rPr>
                      <w:t>Concentración</w:t>
                    </w:r>
                  </w:p>
                  <w:p>
                    <w:pPr>
                      <w:spacing w:before="0"/>
                      <w:ind w:left="206" w:right="-20" w:hanging="207"/>
                      <w:jc w:val="left"/>
                      <w:rPr>
                        <w:b/>
                        <w:sz w:val="14"/>
                      </w:rPr>
                    </w:pPr>
                    <w:r>
                      <w:rPr>
                        <w:b/>
                        <w:sz w:val="14"/>
                      </w:rPr>
                      <w:t>promedio en el influente</w:t>
                    </w:r>
                  </w:p>
                  <w:p>
                    <w:pPr>
                      <w:spacing w:line="183" w:lineRule="exact" w:before="0"/>
                      <w:ind w:left="52" w:right="-13" w:firstLine="0"/>
                      <w:jc w:val="left"/>
                      <w:rPr>
                        <w:sz w:val="16"/>
                      </w:rPr>
                    </w:pPr>
                    <w:r>
                      <w:rPr>
                        <w:sz w:val="16"/>
                      </w:rPr>
                      <w:t>0,80 ± 0,012</w:t>
                    </w:r>
                  </w:p>
                  <w:p>
                    <w:pPr>
                      <w:spacing w:line="183" w:lineRule="exact" w:before="0"/>
                      <w:ind w:left="9" w:right="-12" w:firstLine="0"/>
                      <w:jc w:val="left"/>
                      <w:rPr>
                        <w:sz w:val="16"/>
                      </w:rPr>
                    </w:pPr>
                    <w:r>
                      <w:rPr>
                        <w:color w:val="FFFFFF"/>
                        <w:sz w:val="16"/>
                      </w:rPr>
                      <w:t>0,264 ± 0,005</w:t>
                    </w:r>
                  </w:p>
                  <w:p>
                    <w:pPr>
                      <w:spacing w:before="1"/>
                      <w:ind w:left="52" w:right="-13" w:firstLine="0"/>
                      <w:jc w:val="left"/>
                      <w:rPr>
                        <w:sz w:val="16"/>
                      </w:rPr>
                    </w:pPr>
                    <w:r>
                      <w:rPr>
                        <w:color w:val="FFFFFF"/>
                        <w:sz w:val="16"/>
                      </w:rPr>
                      <w:t>59,13 ± 0,17</w:t>
                    </w:r>
                  </w:p>
                  <w:p>
                    <w:pPr>
                      <w:spacing w:line="183" w:lineRule="exact" w:before="1"/>
                      <w:ind w:left="52" w:right="-13" w:firstLine="0"/>
                      <w:jc w:val="left"/>
                      <w:rPr>
                        <w:sz w:val="16"/>
                      </w:rPr>
                    </w:pPr>
                    <w:r>
                      <w:rPr>
                        <w:color w:val="FFFFFF"/>
                        <w:sz w:val="16"/>
                      </w:rPr>
                      <w:t>49,27 ± 0,33</w:t>
                    </w:r>
                  </w:p>
                  <w:p>
                    <w:pPr>
                      <w:spacing w:line="183" w:lineRule="exact" w:before="0"/>
                      <w:ind w:left="98" w:right="-13" w:firstLine="0"/>
                      <w:jc w:val="left"/>
                      <w:rPr>
                        <w:sz w:val="16"/>
                      </w:rPr>
                    </w:pPr>
                    <w:r>
                      <w:rPr>
                        <w:color w:val="FFFFFF"/>
                        <w:sz w:val="16"/>
                      </w:rPr>
                      <w:t>3,62 ± 0,04</w:t>
                    </w:r>
                  </w:p>
                  <w:p>
                    <w:pPr>
                      <w:spacing w:before="1"/>
                      <w:ind w:left="52" w:right="-13" w:firstLine="0"/>
                      <w:jc w:val="left"/>
                      <w:rPr>
                        <w:sz w:val="16"/>
                      </w:rPr>
                    </w:pPr>
                    <w:r>
                      <w:rPr>
                        <w:color w:val="FFFFFF"/>
                        <w:sz w:val="16"/>
                      </w:rPr>
                      <w:t>65,14 ± 0,69</w:t>
                    </w:r>
                  </w:p>
                  <w:p>
                    <w:pPr>
                      <w:spacing w:line="183" w:lineRule="exact" w:before="1"/>
                      <w:ind w:left="52" w:right="-13" w:firstLine="0"/>
                      <w:jc w:val="left"/>
                      <w:rPr>
                        <w:sz w:val="16"/>
                      </w:rPr>
                    </w:pPr>
                    <w:r>
                      <w:rPr>
                        <w:sz w:val="16"/>
                      </w:rPr>
                      <w:t>16,91 ± 0,12</w:t>
                    </w:r>
                  </w:p>
                  <w:p>
                    <w:pPr>
                      <w:spacing w:line="183" w:lineRule="exact" w:before="0"/>
                      <w:ind w:left="98" w:right="-13" w:firstLine="0"/>
                      <w:jc w:val="left"/>
                      <w:rPr>
                        <w:sz w:val="16"/>
                      </w:rPr>
                    </w:pPr>
                    <w:r>
                      <w:rPr>
                        <w:color w:val="FFFFFF"/>
                        <w:sz w:val="16"/>
                      </w:rPr>
                      <w:t>6,98 ± 0,08</w:t>
                    </w:r>
                  </w:p>
                  <w:p>
                    <w:pPr>
                      <w:spacing w:line="181" w:lineRule="exact" w:before="1"/>
                      <w:ind w:left="98" w:right="-13" w:firstLine="0"/>
                      <w:jc w:val="left"/>
                      <w:rPr>
                        <w:sz w:val="16"/>
                      </w:rPr>
                    </w:pPr>
                    <w:r>
                      <w:rPr>
                        <w:color w:val="FFFFFF"/>
                        <w:sz w:val="16"/>
                      </w:rPr>
                      <w:t>6,54 ± 0,04</w:t>
                    </w:r>
                  </w:p>
                </w:txbxContent>
              </v:textbox>
              <w10:wrap type="none"/>
            </v:shape>
            <v:shape style="position:absolute;left:3303;top:-5548;width:630;height:140" type="#_x0000_t202" filled="false" stroked="false">
              <v:textbox inset="0,0,0,0">
                <w:txbxContent>
                  <w:p>
                    <w:pPr>
                      <w:spacing w:line="139" w:lineRule="exact" w:before="0"/>
                      <w:ind w:left="0" w:right="0" w:firstLine="0"/>
                      <w:jc w:val="left"/>
                      <w:rPr>
                        <w:b/>
                        <w:sz w:val="14"/>
                      </w:rPr>
                    </w:pPr>
                    <w:r>
                      <w:rPr>
                        <w:b/>
                        <w:w w:val="95"/>
                        <w:sz w:val="14"/>
                      </w:rPr>
                      <w:t>Unidades</w:t>
                    </w:r>
                  </w:p>
                </w:txbxContent>
              </v:textbox>
              <w10:wrap type="none"/>
            </v:shape>
            <v:shape style="position:absolute;left:4289;top:-5548;width:78;height:140" type="#_x0000_t202" filled="false" stroked="false">
              <v:textbox inset="0,0,0,0">
                <w:txbxContent>
                  <w:p>
                    <w:pPr>
                      <w:spacing w:line="139" w:lineRule="exact" w:before="0"/>
                      <w:ind w:left="0" w:right="0" w:firstLine="0"/>
                      <w:jc w:val="left"/>
                      <w:rPr>
                        <w:b/>
                        <w:sz w:val="14"/>
                      </w:rPr>
                    </w:pPr>
                    <w:r>
                      <w:rPr>
                        <w:b/>
                        <w:w w:val="99"/>
                        <w:sz w:val="14"/>
                      </w:rPr>
                      <w:t>#</w:t>
                    </w:r>
                  </w:p>
                </w:txbxContent>
              </v:textbox>
              <w10:wrap type="none"/>
            </v:shape>
            <v:shape style="position:absolute;left:8030;top:-5493;width:692;height:140" type="#_x0000_t202" filled="false" stroked="false">
              <v:textbox inset="0,0,0,0">
                <w:txbxContent>
                  <w:p>
                    <w:pPr>
                      <w:spacing w:line="139" w:lineRule="exact" w:before="0"/>
                      <w:ind w:left="0" w:right="0" w:firstLine="0"/>
                      <w:jc w:val="left"/>
                      <w:rPr>
                        <w:b/>
                        <w:sz w:val="14"/>
                      </w:rPr>
                    </w:pPr>
                    <w:r>
                      <w:rPr>
                        <w:b/>
                        <w:w w:val="95"/>
                        <w:sz w:val="14"/>
                      </w:rPr>
                      <w:t>Parámetro</w:t>
                    </w:r>
                  </w:p>
                </w:txbxContent>
              </v:textbox>
              <w10:wrap type="none"/>
            </v:shape>
            <v:shape style="position:absolute;left:3442;top:-5225;width:358;height:1265" type="#_x0000_t202" filled="false" stroked="false">
              <v:textbox inset="0,0,0,0">
                <w:txbxContent>
                  <w:p>
                    <w:pPr>
                      <w:spacing w:line="163" w:lineRule="exact" w:before="0"/>
                      <w:ind w:left="0" w:right="0" w:firstLine="0"/>
                      <w:jc w:val="both"/>
                      <w:rPr>
                        <w:sz w:val="16"/>
                      </w:rPr>
                    </w:pPr>
                    <w:r>
                      <w:rPr>
                        <w:sz w:val="16"/>
                      </w:rPr>
                      <w:t>mg/L</w:t>
                    </w:r>
                  </w:p>
                  <w:p>
                    <w:pPr>
                      <w:spacing w:before="0"/>
                      <w:ind w:left="0" w:right="0" w:firstLine="0"/>
                      <w:jc w:val="both"/>
                      <w:rPr>
                        <w:sz w:val="16"/>
                      </w:rPr>
                    </w:pPr>
                    <w:r>
                      <w:rPr>
                        <w:color w:val="FFFFFF"/>
                        <w:sz w:val="16"/>
                      </w:rPr>
                      <w:t>mg/L mg/L mg/L mg/L mg/L</w:t>
                    </w:r>
                  </w:p>
                  <w:p>
                    <w:pPr>
                      <w:spacing w:line="181" w:lineRule="exact" w:before="1"/>
                      <w:ind w:left="86" w:right="0" w:firstLine="0"/>
                      <w:jc w:val="both"/>
                      <w:rPr>
                        <w:sz w:val="16"/>
                      </w:rPr>
                    </w:pPr>
                    <w:r>
                      <w:rPr>
                        <w:sz w:val="16"/>
                      </w:rPr>
                      <w:t>°C</w:t>
                    </w:r>
                  </w:p>
                </w:txbxContent>
              </v:textbox>
              <w10:wrap type="none"/>
            </v:shape>
            <v:shape style="position:absolute;left:4193;top:-5225;width:267;height:1632" type="#_x0000_t202" filled="false" stroked="false">
              <v:textbox inset="0,0,0,0">
                <w:txbxContent>
                  <w:p>
                    <w:pPr>
                      <w:spacing w:line="163" w:lineRule="exact" w:before="0"/>
                      <w:ind w:left="88" w:right="0" w:firstLine="0"/>
                      <w:jc w:val="left"/>
                      <w:rPr>
                        <w:sz w:val="16"/>
                      </w:rPr>
                    </w:pPr>
                    <w:r>
                      <w:rPr>
                        <w:w w:val="100"/>
                        <w:sz w:val="16"/>
                      </w:rPr>
                      <w:t>6</w:t>
                    </w:r>
                  </w:p>
                  <w:p>
                    <w:pPr>
                      <w:spacing w:line="183" w:lineRule="exact" w:before="0"/>
                      <w:ind w:left="45" w:right="-20" w:firstLine="0"/>
                      <w:jc w:val="left"/>
                      <w:rPr>
                        <w:sz w:val="16"/>
                      </w:rPr>
                    </w:pPr>
                    <w:r>
                      <w:rPr>
                        <w:color w:val="FFFFFF"/>
                        <w:sz w:val="16"/>
                      </w:rPr>
                      <w:t>26</w:t>
                    </w:r>
                  </w:p>
                  <w:p>
                    <w:pPr>
                      <w:spacing w:before="1"/>
                      <w:ind w:left="45" w:right="-20" w:firstLine="0"/>
                      <w:jc w:val="left"/>
                      <w:rPr>
                        <w:sz w:val="16"/>
                      </w:rPr>
                    </w:pPr>
                    <w:r>
                      <w:rPr>
                        <w:color w:val="FFFFFF"/>
                        <w:sz w:val="16"/>
                      </w:rPr>
                      <w:t>26</w:t>
                    </w:r>
                  </w:p>
                  <w:p>
                    <w:pPr>
                      <w:spacing w:line="183" w:lineRule="exact" w:before="1"/>
                      <w:ind w:left="45" w:right="-20" w:firstLine="0"/>
                      <w:jc w:val="left"/>
                      <w:rPr>
                        <w:sz w:val="16"/>
                      </w:rPr>
                    </w:pPr>
                    <w:r>
                      <w:rPr>
                        <w:color w:val="FFFFFF"/>
                        <w:sz w:val="16"/>
                      </w:rPr>
                      <w:t>26</w:t>
                    </w:r>
                  </w:p>
                  <w:p>
                    <w:pPr>
                      <w:spacing w:line="183" w:lineRule="exact" w:before="0"/>
                      <w:ind w:left="45" w:right="-20" w:firstLine="0"/>
                      <w:jc w:val="left"/>
                      <w:rPr>
                        <w:sz w:val="16"/>
                      </w:rPr>
                    </w:pPr>
                    <w:r>
                      <w:rPr>
                        <w:color w:val="FFFFFF"/>
                        <w:sz w:val="16"/>
                      </w:rPr>
                      <w:t>26</w:t>
                    </w:r>
                  </w:p>
                  <w:p>
                    <w:pPr>
                      <w:spacing w:before="1"/>
                      <w:ind w:left="45" w:right="-20" w:firstLine="0"/>
                      <w:jc w:val="left"/>
                      <w:rPr>
                        <w:sz w:val="16"/>
                      </w:rPr>
                    </w:pPr>
                    <w:r>
                      <w:rPr>
                        <w:color w:val="FFFFFF"/>
                        <w:sz w:val="16"/>
                      </w:rPr>
                      <w:t>26</w:t>
                    </w:r>
                  </w:p>
                  <w:p>
                    <w:pPr>
                      <w:spacing w:line="183" w:lineRule="exact" w:before="1"/>
                      <w:ind w:left="0" w:right="-20" w:firstLine="0"/>
                      <w:jc w:val="left"/>
                      <w:rPr>
                        <w:sz w:val="16"/>
                      </w:rPr>
                    </w:pPr>
                    <w:r>
                      <w:rPr>
                        <w:sz w:val="16"/>
                      </w:rPr>
                      <w:t>108</w:t>
                    </w:r>
                  </w:p>
                  <w:p>
                    <w:pPr>
                      <w:spacing w:line="183" w:lineRule="exact" w:before="0"/>
                      <w:ind w:left="0" w:right="-20" w:firstLine="0"/>
                      <w:jc w:val="left"/>
                      <w:rPr>
                        <w:sz w:val="16"/>
                      </w:rPr>
                    </w:pPr>
                    <w:r>
                      <w:rPr>
                        <w:color w:val="FFFFFF"/>
                        <w:sz w:val="16"/>
                      </w:rPr>
                      <w:t>121</w:t>
                    </w:r>
                  </w:p>
                  <w:p>
                    <w:pPr>
                      <w:spacing w:line="181" w:lineRule="exact" w:before="1"/>
                      <w:ind w:left="0" w:right="-20" w:firstLine="0"/>
                      <w:jc w:val="left"/>
                      <w:rPr>
                        <w:sz w:val="16"/>
                      </w:rPr>
                    </w:pPr>
                    <w:r>
                      <w:rPr>
                        <w:color w:val="FFFFFF"/>
                        <w:sz w:val="16"/>
                      </w:rPr>
                      <w:t>121</w:t>
                    </w:r>
                  </w:p>
                </w:txbxContent>
              </v:textbox>
              <w10:wrap type="none"/>
            </v:shape>
            <v:shape style="position:absolute;left:7920;top:-5169;width:455;height:169" type="#_x0000_t202" filled="false" stroked="false">
              <v:textbox inset="0,0,0,0">
                <w:txbxContent>
                  <w:p>
                    <w:pPr>
                      <w:spacing w:line="169" w:lineRule="exact" w:before="0"/>
                      <w:ind w:left="0" w:right="-16" w:firstLine="0"/>
                      <w:jc w:val="left"/>
                      <w:rPr>
                        <w:sz w:val="10"/>
                      </w:rPr>
                    </w:pPr>
                    <w:r>
                      <w:rPr>
                        <w:color w:val="FFFFFF"/>
                        <w:spacing w:val="-1"/>
                        <w:position w:val="2"/>
                        <w:sz w:val="16"/>
                      </w:rPr>
                      <w:t>N-NH</w:t>
                    </w:r>
                    <w:r>
                      <w:rPr>
                        <w:color w:val="FFFFFF"/>
                        <w:spacing w:val="-1"/>
                        <w:sz w:val="10"/>
                      </w:rPr>
                      <w:t>3</w:t>
                    </w:r>
                  </w:p>
                </w:txbxContent>
              </v:textbox>
              <w10:wrap type="none"/>
            </v:shape>
            <v:shape style="position:absolute;left:7920;top:-5018;width:497;height:192" type="#_x0000_t202" filled="false" stroked="false">
              <v:textbox inset="0,0,0,0">
                <w:txbxContent>
                  <w:p>
                    <w:pPr>
                      <w:spacing w:line="191" w:lineRule="exact" w:before="0"/>
                      <w:ind w:left="0" w:right="-10" w:firstLine="0"/>
                      <w:jc w:val="left"/>
                      <w:rPr>
                        <w:sz w:val="10"/>
                      </w:rPr>
                    </w:pPr>
                    <w:r>
                      <w:rPr>
                        <w:color w:val="FFFFFF"/>
                        <w:sz w:val="16"/>
                      </w:rPr>
                      <w:t>N-NO </w:t>
                    </w:r>
                    <w:r>
                      <w:rPr>
                        <w:color w:val="FFFFFF"/>
                        <w:position w:val="8"/>
                        <w:sz w:val="10"/>
                      </w:rPr>
                      <w:t>-</w:t>
                    </w:r>
                  </w:p>
                </w:txbxContent>
              </v:textbox>
              <w10:wrap type="none"/>
            </v:shape>
            <v:shape style="position:absolute;left:8328;top:-4919;width:56;height:101" type="#_x0000_t202" filled="false" stroked="false">
              <v:textbox inset="0,0,0,0">
                <w:txbxContent>
                  <w:p>
                    <w:pPr>
                      <w:spacing w:line="101" w:lineRule="exact" w:before="0"/>
                      <w:ind w:left="0" w:right="0" w:firstLine="0"/>
                      <w:jc w:val="left"/>
                      <w:rPr>
                        <w:sz w:val="10"/>
                      </w:rPr>
                    </w:pPr>
                    <w:r>
                      <w:rPr>
                        <w:color w:val="FFFFFF"/>
                        <w:w w:val="100"/>
                        <w:sz w:val="10"/>
                      </w:rPr>
                      <w:t>2</w:t>
                    </w:r>
                  </w:p>
                </w:txbxContent>
              </v:textbox>
              <w10:wrap type="none"/>
            </v:shape>
            <v:shape style="position:absolute;left:1051;top:-4790;width:56;height:101" type="#_x0000_t202" filled="false" stroked="false">
              <v:textbox inset="0,0,0,0">
                <w:txbxContent>
                  <w:p>
                    <w:pPr>
                      <w:spacing w:line="101" w:lineRule="exact" w:before="0"/>
                      <w:ind w:left="0" w:right="0" w:firstLine="0"/>
                      <w:jc w:val="left"/>
                      <w:rPr>
                        <w:sz w:val="10"/>
                      </w:rPr>
                    </w:pPr>
                    <w:r>
                      <w:rPr>
                        <w:color w:val="FFFFFF"/>
                        <w:w w:val="100"/>
                        <w:sz w:val="10"/>
                      </w:rPr>
                      <w:t>3</w:t>
                    </w:r>
                  </w:p>
                </w:txbxContent>
              </v:textbox>
              <w10:wrap type="none"/>
            </v:shape>
            <v:shape style="position:absolute;left:7920;top:-4833;width:497;height:192" type="#_x0000_t202" filled="false" stroked="false">
              <v:textbox inset="0,0,0,0">
                <w:txbxContent>
                  <w:p>
                    <w:pPr>
                      <w:spacing w:line="191" w:lineRule="exact" w:before="0"/>
                      <w:ind w:left="0" w:right="-10" w:firstLine="0"/>
                      <w:jc w:val="left"/>
                      <w:rPr>
                        <w:sz w:val="10"/>
                      </w:rPr>
                    </w:pPr>
                    <w:r>
                      <w:rPr>
                        <w:color w:val="FFFFFF"/>
                        <w:sz w:val="16"/>
                      </w:rPr>
                      <w:t>N-NO </w:t>
                    </w:r>
                    <w:r>
                      <w:rPr>
                        <w:color w:val="FFFFFF"/>
                        <w:position w:val="8"/>
                        <w:sz w:val="10"/>
                      </w:rPr>
                      <w:t>-</w:t>
                    </w:r>
                  </w:p>
                </w:txbxContent>
              </v:textbox>
              <w10:wrap type="none"/>
            </v:shape>
            <v:shape style="position:absolute;left:8328;top:-4734;width:56;height:101" type="#_x0000_t202" filled="false" stroked="false">
              <v:textbox inset="0,0,0,0">
                <w:txbxContent>
                  <w:p>
                    <w:pPr>
                      <w:spacing w:line="101" w:lineRule="exact" w:before="0"/>
                      <w:ind w:left="0" w:right="0" w:firstLine="0"/>
                      <w:jc w:val="left"/>
                      <w:rPr>
                        <w:sz w:val="10"/>
                      </w:rPr>
                    </w:pPr>
                    <w:r>
                      <w:rPr>
                        <w:color w:val="FFFFFF"/>
                        <w:w w:val="100"/>
                        <w:sz w:val="10"/>
                      </w:rPr>
                      <w:t>3</w:t>
                    </w:r>
                  </w:p>
                </w:txbxContent>
              </v:textbox>
              <w10:wrap type="none"/>
            </v:shape>
            <v:shape style="position:absolute;left:643;top:-4673;width:917;height:1080" type="#_x0000_t202" filled="false" stroked="false">
              <v:textbox inset="0,0,0,0">
                <w:txbxContent>
                  <w:p>
                    <w:pPr>
                      <w:spacing w:line="163" w:lineRule="exact" w:before="0"/>
                      <w:ind w:left="0" w:right="-19" w:firstLine="0"/>
                      <w:jc w:val="left"/>
                      <w:rPr>
                        <w:sz w:val="16"/>
                      </w:rPr>
                    </w:pPr>
                    <w:r>
                      <w:rPr>
                        <w:color w:val="FFFFFF"/>
                        <w:sz w:val="16"/>
                      </w:rPr>
                      <w:t>DQO</w:t>
                    </w:r>
                  </w:p>
                  <w:p>
                    <w:pPr>
                      <w:spacing w:line="183" w:lineRule="exact" w:before="0"/>
                      <w:ind w:left="0" w:right="-19" w:firstLine="0"/>
                      <w:jc w:val="left"/>
                      <w:rPr>
                        <w:sz w:val="16"/>
                      </w:rPr>
                    </w:pPr>
                    <w:r>
                      <w:rPr>
                        <w:color w:val="FFFFFF"/>
                        <w:sz w:val="16"/>
                      </w:rPr>
                      <w:t>SST</w:t>
                    </w:r>
                  </w:p>
                  <w:p>
                    <w:pPr>
                      <w:spacing w:before="1"/>
                      <w:ind w:left="0" w:right="-19" w:hanging="1"/>
                      <w:jc w:val="left"/>
                      <w:rPr>
                        <w:sz w:val="16"/>
                      </w:rPr>
                    </w:pPr>
                    <w:r>
                      <w:rPr>
                        <w:color w:val="FFFFFF"/>
                        <w:sz w:val="16"/>
                      </w:rPr>
                      <w:t>Alcalinidad* </w:t>
                    </w:r>
                    <w:r>
                      <w:rPr>
                        <w:sz w:val="16"/>
                      </w:rPr>
                      <w:t>Temperatura </w:t>
                    </w:r>
                    <w:r>
                      <w:rPr>
                        <w:color w:val="FFFFFF"/>
                        <w:sz w:val="16"/>
                      </w:rPr>
                      <w:t>pH</w:t>
                    </w:r>
                  </w:p>
                  <w:p>
                    <w:pPr>
                      <w:spacing w:line="181" w:lineRule="exact" w:before="1"/>
                      <w:ind w:left="0" w:right="-19" w:firstLine="0"/>
                      <w:jc w:val="left"/>
                      <w:rPr>
                        <w:sz w:val="16"/>
                      </w:rPr>
                    </w:pPr>
                    <w:r>
                      <w:rPr>
                        <w:color w:val="FFFFFF"/>
                        <w:sz w:val="16"/>
                      </w:rPr>
                      <w:t>OD</w:t>
                    </w:r>
                  </w:p>
                </w:txbxContent>
              </v:textbox>
              <w10:wrap type="none"/>
            </v:shape>
            <v:shape style="position:absolute;left:4925;top:-4033;width:892;height:180" type="#_x0000_t202" filled="false" stroked="false">
              <v:textbox inset="0,0,0,0">
                <w:txbxContent>
                  <w:p>
                    <w:pPr>
                      <w:spacing w:line="180" w:lineRule="exact" w:before="0"/>
                      <w:ind w:left="0" w:right="-19" w:firstLine="0"/>
                      <w:jc w:val="left"/>
                      <w:rPr>
                        <w:b/>
                        <w:sz w:val="18"/>
                      </w:rPr>
                    </w:pPr>
                    <w:r>
                      <w:rPr>
                        <w:b/>
                        <w:sz w:val="18"/>
                      </w:rPr>
                      <w:t>Parámetro</w:t>
                    </w:r>
                  </w:p>
                </w:txbxContent>
              </v:textbox>
              <w10:wrap type="none"/>
            </v:shape>
            <v:shape style="position:absolute;left:3442;top:-3753;width:358;height:161" type="#_x0000_t202" filled="false" stroked="false">
              <v:textbox inset="0,0,0,0">
                <w:txbxContent>
                  <w:p>
                    <w:pPr>
                      <w:spacing w:line="161" w:lineRule="exact" w:before="0"/>
                      <w:ind w:left="0" w:right="-18" w:firstLine="0"/>
                      <w:jc w:val="left"/>
                      <w:rPr>
                        <w:sz w:val="16"/>
                      </w:rPr>
                    </w:pPr>
                    <w:r>
                      <w:rPr>
                        <w:color w:val="FFFFFF"/>
                        <w:sz w:val="16"/>
                      </w:rPr>
                      <w:t>mg/L</w:t>
                    </w:r>
                  </w:p>
                </w:txbxContent>
              </v:textbox>
              <w10:wrap type="none"/>
            </v:shape>
            <v:shape style="position:absolute;left:6182;top:-4033;width:1319;height:387" type="#_x0000_t202" filled="false" stroked="false">
              <v:textbox inset="0,0,0,0">
                <w:txbxContent>
                  <w:p>
                    <w:pPr>
                      <w:spacing w:line="184" w:lineRule="exact" w:before="0"/>
                      <w:ind w:left="0" w:right="0" w:firstLine="0"/>
                      <w:jc w:val="center"/>
                      <w:rPr>
                        <w:b/>
                        <w:sz w:val="18"/>
                      </w:rPr>
                    </w:pPr>
                    <w:r>
                      <w:rPr>
                        <w:b/>
                        <w:sz w:val="18"/>
                      </w:rPr>
                      <w:t>Eficiencia (%)</w:t>
                    </w:r>
                    <w:r>
                      <w:rPr>
                        <w:b/>
                        <w:spacing w:val="-9"/>
                        <w:sz w:val="18"/>
                      </w:rPr>
                      <w:t> </w:t>
                    </w:r>
                    <w:r>
                      <w:rPr>
                        <w:b/>
                        <w:sz w:val="18"/>
                      </w:rPr>
                      <w:t>±</w:t>
                    </w:r>
                  </w:p>
                  <w:p>
                    <w:pPr>
                      <w:spacing w:line="203" w:lineRule="exact" w:before="0"/>
                      <w:ind w:left="0" w:right="1" w:firstLine="0"/>
                      <w:jc w:val="center"/>
                      <w:rPr>
                        <w:b/>
                        <w:sz w:val="18"/>
                      </w:rPr>
                    </w:pPr>
                    <w:r>
                      <w:rPr>
                        <w:b/>
                        <w:sz w:val="18"/>
                      </w:rPr>
                      <w:t>Desviación</w:t>
                    </w:r>
                  </w:p>
                </w:txbxContent>
              </v:textbox>
              <w10:wrap type="none"/>
            </v:shape>
            <v:shape style="position:absolute;left:4750;top:-3620;width:2943;height:181" type="#_x0000_t202" filled="false" stroked="false">
              <v:textbox inset="0,0,0,0">
                <w:txbxContent>
                  <w:p>
                    <w:pPr>
                      <w:tabs>
                        <w:tab w:pos="1715" w:val="left" w:leader="none"/>
                        <w:tab w:pos="2942" w:val="left" w:leader="none"/>
                      </w:tabs>
                      <w:spacing w:line="181" w:lineRule="exact" w:before="0"/>
                      <w:ind w:left="0" w:right="0" w:firstLine="0"/>
                      <w:jc w:val="left"/>
                      <w:rPr>
                        <w:b/>
                        <w:sz w:val="18"/>
                      </w:rPr>
                    </w:pPr>
                    <w:r>
                      <w:rPr>
                        <w:rFonts w:ascii="Times New Roman" w:hAnsi="Times New Roman"/>
                        <w:w w:val="99"/>
                        <w:sz w:val="18"/>
                        <w:u w:val="single"/>
                      </w:rPr>
                      <w:t> </w:t>
                    </w:r>
                    <w:r>
                      <w:rPr>
                        <w:rFonts w:ascii="Times New Roman" w:hAnsi="Times New Roman"/>
                        <w:sz w:val="18"/>
                        <w:u w:val="single"/>
                      </w:rPr>
                      <w:tab/>
                    </w:r>
                    <w:r>
                      <w:rPr>
                        <w:b/>
                        <w:sz w:val="18"/>
                        <w:u w:val="single"/>
                      </w:rPr>
                      <w:t>estándar</w:t>
                      <w:tab/>
                    </w:r>
                  </w:p>
                </w:txbxContent>
              </v:textbox>
              <w10:wrap type="none"/>
            </v:shape>
            <v:shape style="position:absolute;left:7920;top:-4617;width:917;height:1080" type="#_x0000_t202" filled="false" stroked="false">
              <v:textbox inset="0,0,0,0">
                <w:txbxContent>
                  <w:p>
                    <w:pPr>
                      <w:spacing w:line="163" w:lineRule="exact" w:before="0"/>
                      <w:ind w:left="0" w:right="-19" w:firstLine="0"/>
                      <w:jc w:val="left"/>
                      <w:rPr>
                        <w:sz w:val="16"/>
                      </w:rPr>
                    </w:pPr>
                    <w:r>
                      <w:rPr>
                        <w:color w:val="FFFFFF"/>
                        <w:sz w:val="16"/>
                      </w:rPr>
                      <w:t>DQO</w:t>
                    </w:r>
                  </w:p>
                  <w:p>
                    <w:pPr>
                      <w:spacing w:line="183" w:lineRule="exact" w:before="0"/>
                      <w:ind w:left="0" w:right="-19" w:firstLine="0"/>
                      <w:jc w:val="left"/>
                      <w:rPr>
                        <w:sz w:val="16"/>
                      </w:rPr>
                    </w:pPr>
                    <w:r>
                      <w:rPr>
                        <w:color w:val="FFFFFF"/>
                        <w:sz w:val="16"/>
                      </w:rPr>
                      <w:t>SST</w:t>
                    </w:r>
                  </w:p>
                  <w:p>
                    <w:pPr>
                      <w:spacing w:before="1"/>
                      <w:ind w:left="0" w:right="-19" w:hanging="1"/>
                      <w:jc w:val="left"/>
                      <w:rPr>
                        <w:sz w:val="16"/>
                      </w:rPr>
                    </w:pPr>
                    <w:r>
                      <w:rPr>
                        <w:sz w:val="16"/>
                      </w:rPr>
                      <w:t>Alcalinidad* Temperatura </w:t>
                    </w:r>
                    <w:r>
                      <w:rPr>
                        <w:color w:val="FFFFFF"/>
                        <w:sz w:val="16"/>
                      </w:rPr>
                      <w:t>pH</w:t>
                    </w:r>
                  </w:p>
                  <w:p>
                    <w:pPr>
                      <w:spacing w:line="181" w:lineRule="exact" w:before="1"/>
                      <w:ind w:left="0" w:right="-19" w:firstLine="0"/>
                      <w:jc w:val="left"/>
                      <w:rPr>
                        <w:sz w:val="16"/>
                      </w:rPr>
                    </w:pPr>
                    <w:r>
                      <w:rPr>
                        <w:color w:val="FFFFFF"/>
                        <w:sz w:val="16"/>
                      </w:rPr>
                      <w:t>OD</w:t>
                    </w:r>
                  </w:p>
                </w:txbxContent>
              </v:textbox>
              <w10:wrap type="none"/>
            </v:shape>
            <v:shape style="position:absolute;left:9065;top:-5654;width:995;height:2117" type="#_x0000_t202" filled="false" stroked="false">
              <v:textbox inset="0,0,0,0">
                <w:txbxContent>
                  <w:p>
                    <w:pPr>
                      <w:spacing w:line="142" w:lineRule="exact" w:before="0"/>
                      <w:ind w:left="0" w:right="-13" w:firstLine="7"/>
                      <w:jc w:val="left"/>
                      <w:rPr>
                        <w:b/>
                        <w:sz w:val="14"/>
                      </w:rPr>
                    </w:pPr>
                    <w:r>
                      <w:rPr>
                        <w:b/>
                        <w:sz w:val="14"/>
                      </w:rPr>
                      <w:t>Concentración</w:t>
                    </w:r>
                  </w:p>
                  <w:p>
                    <w:pPr>
                      <w:spacing w:before="0"/>
                      <w:ind w:left="228" w:right="-15" w:hanging="228"/>
                      <w:jc w:val="left"/>
                      <w:rPr>
                        <w:b/>
                        <w:sz w:val="14"/>
                      </w:rPr>
                    </w:pPr>
                    <w:r>
                      <w:rPr>
                        <w:b/>
                        <w:sz w:val="14"/>
                      </w:rPr>
                      <w:t>promedio en</w:t>
                    </w:r>
                    <w:r>
                      <w:rPr>
                        <w:b/>
                        <w:spacing w:val="-6"/>
                        <w:sz w:val="14"/>
                      </w:rPr>
                      <w:t> </w:t>
                    </w:r>
                    <w:r>
                      <w:rPr>
                        <w:b/>
                        <w:sz w:val="14"/>
                      </w:rPr>
                      <w:t>el efluente</w:t>
                    </w:r>
                  </w:p>
                  <w:p>
                    <w:pPr>
                      <w:spacing w:line="183" w:lineRule="exact" w:before="0"/>
                      <w:ind w:left="52" w:right="-13" w:firstLine="0"/>
                      <w:jc w:val="left"/>
                      <w:rPr>
                        <w:sz w:val="16"/>
                      </w:rPr>
                    </w:pPr>
                    <w:r>
                      <w:rPr>
                        <w:color w:val="FFFFFF"/>
                        <w:sz w:val="16"/>
                      </w:rPr>
                      <w:t>0,66 ± 0,012</w:t>
                    </w:r>
                  </w:p>
                  <w:p>
                    <w:pPr>
                      <w:spacing w:line="183" w:lineRule="exact" w:before="0"/>
                      <w:ind w:left="9" w:right="-12" w:firstLine="0"/>
                      <w:jc w:val="left"/>
                      <w:rPr>
                        <w:sz w:val="16"/>
                      </w:rPr>
                    </w:pPr>
                    <w:r>
                      <w:rPr>
                        <w:color w:val="FFFFFF"/>
                        <w:sz w:val="16"/>
                      </w:rPr>
                      <w:t>0,312 ± 0,006</w:t>
                    </w:r>
                  </w:p>
                  <w:p>
                    <w:pPr>
                      <w:spacing w:before="1"/>
                      <w:ind w:left="52" w:right="-13" w:firstLine="0"/>
                      <w:jc w:val="left"/>
                      <w:rPr>
                        <w:sz w:val="16"/>
                      </w:rPr>
                    </w:pPr>
                    <w:r>
                      <w:rPr>
                        <w:color w:val="FFFFFF"/>
                        <w:sz w:val="16"/>
                      </w:rPr>
                      <w:t>58,13 ± 0,19</w:t>
                    </w:r>
                  </w:p>
                  <w:p>
                    <w:pPr>
                      <w:spacing w:line="183" w:lineRule="exact" w:before="1"/>
                      <w:ind w:left="52" w:right="-13" w:firstLine="0"/>
                      <w:jc w:val="left"/>
                      <w:rPr>
                        <w:sz w:val="16"/>
                      </w:rPr>
                    </w:pPr>
                    <w:r>
                      <w:rPr>
                        <w:color w:val="FFFFFF"/>
                        <w:sz w:val="16"/>
                      </w:rPr>
                      <w:t>46,60 ± 0,44</w:t>
                    </w:r>
                  </w:p>
                  <w:p>
                    <w:pPr>
                      <w:spacing w:line="183" w:lineRule="exact" w:before="0"/>
                      <w:ind w:left="98" w:right="-13" w:firstLine="0"/>
                      <w:jc w:val="left"/>
                      <w:rPr>
                        <w:sz w:val="16"/>
                      </w:rPr>
                    </w:pPr>
                    <w:r>
                      <w:rPr>
                        <w:color w:val="FFFFFF"/>
                        <w:sz w:val="16"/>
                      </w:rPr>
                      <w:t>3,73 ± 0,04</w:t>
                    </w:r>
                  </w:p>
                  <w:p>
                    <w:pPr>
                      <w:spacing w:before="1"/>
                      <w:ind w:left="52" w:right="-13" w:firstLine="0"/>
                      <w:jc w:val="left"/>
                      <w:rPr>
                        <w:sz w:val="16"/>
                      </w:rPr>
                    </w:pPr>
                    <w:r>
                      <w:rPr>
                        <w:sz w:val="16"/>
                      </w:rPr>
                      <w:t>51,42 ± 0,56</w:t>
                    </w:r>
                  </w:p>
                  <w:p>
                    <w:pPr>
                      <w:spacing w:line="183" w:lineRule="exact" w:before="1"/>
                      <w:ind w:left="52" w:right="-13" w:firstLine="0"/>
                      <w:jc w:val="left"/>
                      <w:rPr>
                        <w:sz w:val="16"/>
                      </w:rPr>
                    </w:pPr>
                    <w:r>
                      <w:rPr>
                        <w:sz w:val="16"/>
                      </w:rPr>
                      <w:t>16,82 ± 0,12</w:t>
                    </w:r>
                  </w:p>
                  <w:p>
                    <w:pPr>
                      <w:spacing w:line="183" w:lineRule="exact" w:before="0"/>
                      <w:ind w:left="98" w:right="-13" w:firstLine="0"/>
                      <w:jc w:val="left"/>
                      <w:rPr>
                        <w:sz w:val="16"/>
                      </w:rPr>
                    </w:pPr>
                    <w:r>
                      <w:rPr>
                        <w:color w:val="FFFFFF"/>
                        <w:sz w:val="16"/>
                      </w:rPr>
                      <w:t>7,13 ± 0,07</w:t>
                    </w:r>
                  </w:p>
                  <w:p>
                    <w:pPr>
                      <w:spacing w:line="181" w:lineRule="exact" w:before="1"/>
                      <w:ind w:left="98" w:right="-13" w:firstLine="0"/>
                      <w:jc w:val="left"/>
                      <w:rPr>
                        <w:sz w:val="16"/>
                      </w:rPr>
                    </w:pPr>
                    <w:r>
                      <w:rPr>
                        <w:color w:val="FFFFFF"/>
                        <w:sz w:val="16"/>
                      </w:rPr>
                      <w:t>6,80 ± 0,03</w:t>
                    </w:r>
                  </w:p>
                </w:txbxContent>
              </v:textbox>
              <w10:wrap type="none"/>
            </v:shape>
            <v:shape style="position:absolute;left:11254;top:-5654;width:78;height:140" type="#_x0000_t202" filled="false" stroked="false">
              <v:textbox inset="0,0,0,0">
                <w:txbxContent>
                  <w:p>
                    <w:pPr>
                      <w:spacing w:line="139" w:lineRule="exact" w:before="0"/>
                      <w:ind w:left="0" w:right="0" w:firstLine="0"/>
                      <w:jc w:val="left"/>
                      <w:rPr>
                        <w:b/>
                        <w:sz w:val="14"/>
                      </w:rPr>
                    </w:pPr>
                    <w:r>
                      <w:rPr>
                        <w:b/>
                        <w:w w:val="99"/>
                        <w:sz w:val="14"/>
                      </w:rPr>
                      <w:t>#</w:t>
                    </w:r>
                  </w:p>
                </w:txbxContent>
              </v:textbox>
              <w10:wrap type="none"/>
            </v:shape>
            <v:shape style="position:absolute;left:809;top:-5548;width:692;height:140" type="#_x0000_t202" filled="false" stroked="false">
              <v:textbox inset="0,0,0,0">
                <w:txbxContent>
                  <w:p>
                    <w:pPr>
                      <w:spacing w:line="139" w:lineRule="exact" w:before="0"/>
                      <w:ind w:left="0" w:right="0" w:firstLine="0"/>
                      <w:jc w:val="left"/>
                      <w:rPr>
                        <w:b/>
                        <w:sz w:val="14"/>
                      </w:rPr>
                    </w:pPr>
                    <w:r>
                      <w:rPr>
                        <w:b/>
                        <w:w w:val="95"/>
                        <w:sz w:val="14"/>
                      </w:rPr>
                      <w:t>Parámetro</w:t>
                    </w:r>
                  </w:p>
                </w:txbxContent>
              </v:textbox>
              <w10:wrap type="none"/>
            </v:shape>
            <v:shape style="position:absolute;left:10301;top:-5493;width:630;height:140" type="#_x0000_t202" filled="false" stroked="false">
              <v:textbox inset="0,0,0,0">
                <w:txbxContent>
                  <w:p>
                    <w:pPr>
                      <w:spacing w:line="139" w:lineRule="exact" w:before="0"/>
                      <w:ind w:left="0" w:right="0" w:firstLine="0"/>
                      <w:jc w:val="left"/>
                      <w:rPr>
                        <w:b/>
                        <w:sz w:val="14"/>
                      </w:rPr>
                    </w:pPr>
                    <w:r>
                      <w:rPr>
                        <w:b/>
                        <w:w w:val="95"/>
                        <w:sz w:val="14"/>
                      </w:rPr>
                      <w:t>Unidades</w:t>
                    </w:r>
                  </w:p>
                </w:txbxContent>
              </v:textbox>
              <w10:wrap type="none"/>
            </v:shape>
            <v:shape style="position:absolute;left:10438;top:-5169;width:358;height:1632" type="#_x0000_t202" filled="false" stroked="false">
              <v:textbox inset="0,0,0,0">
                <w:txbxContent>
                  <w:p>
                    <w:pPr>
                      <w:spacing w:line="163" w:lineRule="exact" w:before="0"/>
                      <w:ind w:left="0" w:right="0" w:firstLine="0"/>
                      <w:jc w:val="both"/>
                      <w:rPr>
                        <w:sz w:val="16"/>
                      </w:rPr>
                    </w:pPr>
                    <w:r>
                      <w:rPr>
                        <w:color w:val="FFFFFF"/>
                        <w:sz w:val="16"/>
                      </w:rPr>
                      <w:t>mg/L</w:t>
                    </w:r>
                  </w:p>
                  <w:p>
                    <w:pPr>
                      <w:spacing w:before="0"/>
                      <w:ind w:left="0" w:right="0" w:firstLine="0"/>
                      <w:jc w:val="both"/>
                      <w:rPr>
                        <w:sz w:val="16"/>
                      </w:rPr>
                    </w:pPr>
                    <w:r>
                      <w:rPr>
                        <w:color w:val="FFFFFF"/>
                        <w:sz w:val="16"/>
                      </w:rPr>
                      <w:t>mg/L mg/L mg/L mg/L </w:t>
                    </w:r>
                    <w:r>
                      <w:rPr>
                        <w:sz w:val="16"/>
                      </w:rPr>
                      <w:t>mg/L</w:t>
                    </w:r>
                  </w:p>
                  <w:p>
                    <w:pPr>
                      <w:spacing w:before="1"/>
                      <w:ind w:left="88" w:right="0" w:firstLine="0"/>
                      <w:jc w:val="both"/>
                      <w:rPr>
                        <w:sz w:val="16"/>
                      </w:rPr>
                    </w:pPr>
                    <w:r>
                      <w:rPr>
                        <w:sz w:val="16"/>
                      </w:rPr>
                      <w:t>°C</w:t>
                    </w:r>
                  </w:p>
                  <w:p>
                    <w:pPr>
                      <w:spacing w:line="240" w:lineRule="auto" w:before="10"/>
                      <w:rPr>
                        <w:sz w:val="15"/>
                      </w:rPr>
                    </w:pPr>
                  </w:p>
                  <w:p>
                    <w:pPr>
                      <w:spacing w:line="181" w:lineRule="exact" w:before="0"/>
                      <w:ind w:left="0" w:right="0" w:firstLine="0"/>
                      <w:jc w:val="both"/>
                      <w:rPr>
                        <w:sz w:val="16"/>
                      </w:rPr>
                    </w:pPr>
                    <w:r>
                      <w:rPr>
                        <w:color w:val="FFFFFF"/>
                        <w:sz w:val="16"/>
                      </w:rPr>
                      <w:t>mg/L</w:t>
                    </w:r>
                  </w:p>
                </w:txbxContent>
              </v:textbox>
              <w10:wrap type="none"/>
            </v:shape>
            <v:shape style="position:absolute;left:11160;top:-5169;width:267;height:1632" type="#_x0000_t202" filled="false" stroked="false">
              <v:textbox inset="0,0,0,0">
                <w:txbxContent>
                  <w:p>
                    <w:pPr>
                      <w:spacing w:line="163" w:lineRule="exact" w:before="0"/>
                      <w:ind w:left="43" w:right="-20" w:firstLine="0"/>
                      <w:jc w:val="left"/>
                      <w:rPr>
                        <w:sz w:val="16"/>
                      </w:rPr>
                    </w:pPr>
                    <w:r>
                      <w:rPr>
                        <w:color w:val="FFFFFF"/>
                        <w:sz w:val="16"/>
                      </w:rPr>
                      <w:t>26</w:t>
                    </w:r>
                  </w:p>
                  <w:p>
                    <w:pPr>
                      <w:spacing w:line="183" w:lineRule="exact" w:before="0"/>
                      <w:ind w:left="43" w:right="-20" w:firstLine="0"/>
                      <w:jc w:val="left"/>
                      <w:rPr>
                        <w:sz w:val="16"/>
                      </w:rPr>
                    </w:pPr>
                    <w:r>
                      <w:rPr>
                        <w:color w:val="FFFFFF"/>
                        <w:sz w:val="16"/>
                      </w:rPr>
                      <w:t>26</w:t>
                    </w:r>
                  </w:p>
                  <w:p>
                    <w:pPr>
                      <w:spacing w:before="1"/>
                      <w:ind w:left="43" w:right="-20" w:firstLine="0"/>
                      <w:jc w:val="left"/>
                      <w:rPr>
                        <w:sz w:val="16"/>
                      </w:rPr>
                    </w:pPr>
                    <w:r>
                      <w:rPr>
                        <w:color w:val="FFFFFF"/>
                        <w:sz w:val="16"/>
                      </w:rPr>
                      <w:t>26</w:t>
                    </w:r>
                  </w:p>
                  <w:p>
                    <w:pPr>
                      <w:spacing w:line="183" w:lineRule="exact" w:before="1"/>
                      <w:ind w:left="43" w:right="-20" w:firstLine="0"/>
                      <w:jc w:val="left"/>
                      <w:rPr>
                        <w:sz w:val="16"/>
                      </w:rPr>
                    </w:pPr>
                    <w:r>
                      <w:rPr>
                        <w:color w:val="FFFFFF"/>
                        <w:sz w:val="16"/>
                      </w:rPr>
                      <w:t>26</w:t>
                    </w:r>
                  </w:p>
                  <w:p>
                    <w:pPr>
                      <w:spacing w:line="183" w:lineRule="exact" w:before="0"/>
                      <w:ind w:left="43" w:right="-20" w:firstLine="0"/>
                      <w:jc w:val="left"/>
                      <w:rPr>
                        <w:sz w:val="16"/>
                      </w:rPr>
                    </w:pPr>
                    <w:r>
                      <w:rPr>
                        <w:color w:val="FFFFFF"/>
                        <w:sz w:val="16"/>
                      </w:rPr>
                      <w:t>26</w:t>
                    </w:r>
                  </w:p>
                  <w:p>
                    <w:pPr>
                      <w:spacing w:before="1"/>
                      <w:ind w:left="43" w:right="-20" w:firstLine="0"/>
                      <w:jc w:val="left"/>
                      <w:rPr>
                        <w:sz w:val="16"/>
                      </w:rPr>
                    </w:pPr>
                    <w:r>
                      <w:rPr>
                        <w:sz w:val="16"/>
                      </w:rPr>
                      <w:t>13</w:t>
                    </w:r>
                  </w:p>
                  <w:p>
                    <w:pPr>
                      <w:spacing w:line="183" w:lineRule="exact" w:before="1"/>
                      <w:ind w:left="0" w:right="-20" w:firstLine="0"/>
                      <w:jc w:val="left"/>
                      <w:rPr>
                        <w:sz w:val="16"/>
                      </w:rPr>
                    </w:pPr>
                    <w:r>
                      <w:rPr>
                        <w:sz w:val="16"/>
                      </w:rPr>
                      <w:t>110</w:t>
                    </w:r>
                  </w:p>
                  <w:p>
                    <w:pPr>
                      <w:spacing w:line="183" w:lineRule="exact" w:before="0"/>
                      <w:ind w:left="0" w:right="-20" w:firstLine="0"/>
                      <w:jc w:val="left"/>
                      <w:rPr>
                        <w:sz w:val="16"/>
                      </w:rPr>
                    </w:pPr>
                    <w:r>
                      <w:rPr>
                        <w:color w:val="FFFFFF"/>
                        <w:sz w:val="16"/>
                      </w:rPr>
                      <w:t>121</w:t>
                    </w:r>
                  </w:p>
                  <w:p>
                    <w:pPr>
                      <w:spacing w:line="181" w:lineRule="exact" w:before="1"/>
                      <w:ind w:left="0" w:right="-20" w:firstLine="0"/>
                      <w:jc w:val="left"/>
                      <w:rPr>
                        <w:sz w:val="16"/>
                      </w:rPr>
                    </w:pPr>
                    <w:r>
                      <w:rPr>
                        <w:color w:val="FFFFFF"/>
                        <w:sz w:val="16"/>
                      </w:rPr>
                      <w:t>121</w:t>
                    </w:r>
                  </w:p>
                </w:txbxContent>
              </v:textbox>
              <w10:wrap type="none"/>
            </v:shape>
            <v:shape style="position:absolute;left:754;top:-3376;width:1871;height:300" type="#_x0000_t202" filled="false" stroked="false">
              <v:textbox inset="0,0,0,0">
                <w:txbxContent>
                  <w:p>
                    <w:pPr>
                      <w:tabs>
                        <w:tab w:pos="1087" w:val="left" w:leader="none"/>
                      </w:tabs>
                      <w:spacing w:line="120" w:lineRule="auto" w:before="47"/>
                      <w:ind w:left="1056" w:right="0" w:hanging="1057"/>
                      <w:jc w:val="left"/>
                      <w:rPr>
                        <w:b/>
                        <w:sz w:val="14"/>
                      </w:rPr>
                    </w:pPr>
                    <w:r>
                      <w:rPr>
                        <w:b/>
                        <w:position w:val="-7"/>
                        <w:sz w:val="14"/>
                      </w:rPr>
                      <w:t>Parámetro</w:t>
                      <w:tab/>
                      <w:tab/>
                    </w:r>
                    <w:r>
                      <w:rPr>
                        <w:b/>
                        <w:sz w:val="14"/>
                      </w:rPr>
                      <w:t>Coeficiente de</w:t>
                    </w:r>
                    <w:r>
                      <w:rPr>
                        <w:b/>
                        <w:spacing w:val="-6"/>
                        <w:sz w:val="14"/>
                      </w:rPr>
                      <w:t> </w:t>
                    </w:r>
                    <w:r>
                      <w:rPr>
                        <w:b/>
                        <w:sz w:val="14"/>
                      </w:rPr>
                      <w:t>variación</w:t>
                    </w:r>
                  </w:p>
                </w:txbxContent>
              </v:textbox>
              <w10:wrap type="none"/>
            </v:shape>
            <v:shape style="position:absolute;left:3111;top:-3376;width:1082;height:300" type="#_x0000_t202" filled="false" stroked="false">
              <v:textbox inset="0,0,0,0">
                <w:txbxContent>
                  <w:p>
                    <w:pPr>
                      <w:spacing w:line="142" w:lineRule="exact" w:before="0"/>
                      <w:ind w:left="0" w:right="0" w:firstLine="0"/>
                      <w:jc w:val="center"/>
                      <w:rPr>
                        <w:b/>
                        <w:sz w:val="14"/>
                      </w:rPr>
                    </w:pPr>
                    <w:r>
                      <w:rPr>
                        <w:b/>
                        <w:sz w:val="14"/>
                      </w:rPr>
                      <w:t>Intervalos de</w:t>
                    </w:r>
                  </w:p>
                  <w:p>
                    <w:pPr>
                      <w:spacing w:line="158" w:lineRule="exact" w:before="0"/>
                      <w:ind w:left="0" w:right="0" w:firstLine="0"/>
                      <w:jc w:val="center"/>
                      <w:rPr>
                        <w:b/>
                        <w:sz w:val="14"/>
                      </w:rPr>
                    </w:pPr>
                    <w:r>
                      <w:rPr>
                        <w:b/>
                        <w:sz w:val="14"/>
                      </w:rPr>
                      <w:t>confianza a 95%</w:t>
                    </w:r>
                  </w:p>
                </w:txbxContent>
              </v:textbox>
              <w10:wrap type="none"/>
            </v:shape>
            <v:shape style="position:absolute;left:4858;top:-3403;width:566;height:401" type="#_x0000_t202" filled="false" stroked="false">
              <v:textbox inset="0,0,0,0">
                <w:txbxContent>
                  <w:p>
                    <w:pPr>
                      <w:spacing w:line="163" w:lineRule="exact" w:before="0"/>
                      <w:ind w:left="0" w:right="0" w:firstLine="0"/>
                      <w:jc w:val="left"/>
                      <w:rPr>
                        <w:sz w:val="10"/>
                      </w:rPr>
                    </w:pPr>
                    <w:r>
                      <w:rPr>
                        <w:position w:val="2"/>
                        <w:sz w:val="16"/>
                      </w:rPr>
                      <w:t>N-NH</w:t>
                    </w:r>
                    <w:r>
                      <w:rPr>
                        <w:sz w:val="10"/>
                      </w:rPr>
                      <w:t>3</w:t>
                    </w:r>
                  </w:p>
                  <w:p>
                    <w:pPr>
                      <w:spacing w:line="237" w:lineRule="exact" w:before="0"/>
                      <w:ind w:left="0" w:right="0" w:firstLine="0"/>
                      <w:jc w:val="left"/>
                      <w:rPr>
                        <w:sz w:val="12"/>
                      </w:rPr>
                    </w:pPr>
                    <w:r>
                      <w:rPr>
                        <w:w w:val="95"/>
                        <w:position w:val="2"/>
                        <w:sz w:val="18"/>
                      </w:rPr>
                      <w:t>N-NO</w:t>
                    </w:r>
                    <w:r>
                      <w:rPr>
                        <w:w w:val="95"/>
                        <w:sz w:val="12"/>
                      </w:rPr>
                      <w:t>2</w:t>
                    </w:r>
                    <w:r>
                      <w:rPr>
                        <w:w w:val="95"/>
                        <w:position w:val="11"/>
                        <w:sz w:val="12"/>
                      </w:rPr>
                      <w:t>-</w:t>
                    </w:r>
                  </w:p>
                </w:txbxContent>
              </v:textbox>
              <w10:wrap type="none"/>
            </v:shape>
            <v:shape style="position:absolute;left:6310;top:-3397;width:1063;height:387" type="#_x0000_t202" filled="false" stroked="false">
              <v:textbox inset="0,0,0,0">
                <w:txbxContent>
                  <w:p>
                    <w:pPr>
                      <w:spacing w:line="184" w:lineRule="exact" w:before="0"/>
                      <w:ind w:left="31" w:right="-17" w:firstLine="0"/>
                      <w:jc w:val="left"/>
                      <w:rPr>
                        <w:sz w:val="18"/>
                      </w:rPr>
                    </w:pPr>
                    <w:r>
                      <w:rPr>
                        <w:sz w:val="18"/>
                      </w:rPr>
                      <w:t>20,09 ± 0,29</w:t>
                    </w:r>
                  </w:p>
                  <w:p>
                    <w:pPr>
                      <w:spacing w:line="203" w:lineRule="exact" w:before="0"/>
                      <w:ind w:left="0" w:right="-17" w:firstLine="0"/>
                      <w:jc w:val="left"/>
                      <w:rPr>
                        <w:sz w:val="18"/>
                      </w:rPr>
                    </w:pPr>
                    <w:r>
                      <w:rPr>
                        <w:sz w:val="18"/>
                      </w:rPr>
                      <w:t>-22,21 ± 0,55</w:t>
                    </w:r>
                  </w:p>
                </w:txbxContent>
              </v:textbox>
              <w10:wrap type="none"/>
            </v:shape>
            <v:shape style="position:absolute;left:8030;top:-3321;width:3264;height:300" type="#_x0000_t202" filled="false" stroked="false">
              <v:textbox inset="0,0,0,0">
                <w:txbxContent>
                  <w:p>
                    <w:pPr>
                      <w:tabs>
                        <w:tab w:pos="1089" w:val="left" w:leader="none"/>
                        <w:tab w:pos="2292" w:val="left" w:leader="none"/>
                      </w:tabs>
                      <w:spacing w:line="182" w:lineRule="exact" w:before="0"/>
                      <w:ind w:left="0" w:right="0" w:firstLine="0"/>
                      <w:jc w:val="left"/>
                      <w:rPr>
                        <w:b/>
                        <w:sz w:val="14"/>
                      </w:rPr>
                    </w:pPr>
                    <w:r>
                      <w:rPr>
                        <w:b/>
                        <w:position w:val="-7"/>
                        <w:sz w:val="14"/>
                      </w:rPr>
                      <w:t>Parámetro</w:t>
                      <w:tab/>
                    </w:r>
                    <w:r>
                      <w:rPr>
                        <w:b/>
                        <w:sz w:val="14"/>
                      </w:rPr>
                      <w:t>Coeficiente</w:t>
                      <w:tab/>
                      <w:t>Intervalos</w:t>
                    </w:r>
                    <w:r>
                      <w:rPr>
                        <w:b/>
                        <w:spacing w:val="-8"/>
                        <w:sz w:val="14"/>
                      </w:rPr>
                      <w:t> </w:t>
                    </w:r>
                    <w:r>
                      <w:rPr>
                        <w:b/>
                        <w:sz w:val="14"/>
                      </w:rPr>
                      <w:t>de</w:t>
                    </w:r>
                  </w:p>
                  <w:p>
                    <w:pPr>
                      <w:tabs>
                        <w:tab w:pos="2181" w:val="left" w:leader="none"/>
                      </w:tabs>
                      <w:spacing w:line="118" w:lineRule="exact" w:before="0"/>
                      <w:ind w:left="1058" w:right="0" w:firstLine="0"/>
                      <w:jc w:val="left"/>
                      <w:rPr>
                        <w:b/>
                        <w:sz w:val="14"/>
                      </w:rPr>
                    </w:pPr>
                    <w:r>
                      <w:rPr>
                        <w:b/>
                        <w:sz w:val="14"/>
                      </w:rPr>
                      <w:t>de</w:t>
                    </w:r>
                    <w:r>
                      <w:rPr>
                        <w:b/>
                        <w:spacing w:val="-2"/>
                        <w:sz w:val="14"/>
                      </w:rPr>
                      <w:t> </w:t>
                    </w:r>
                    <w:r>
                      <w:rPr>
                        <w:b/>
                        <w:sz w:val="14"/>
                      </w:rPr>
                      <w:t>variación</w:t>
                      <w:tab/>
                      <w:t>confianza a</w:t>
                    </w:r>
                    <w:r>
                      <w:rPr>
                        <w:b/>
                        <w:spacing w:val="-6"/>
                        <w:sz w:val="14"/>
                      </w:rPr>
                      <w:t> </w:t>
                    </w:r>
                    <w:r>
                      <w:rPr>
                        <w:b/>
                        <w:sz w:val="14"/>
                      </w:rPr>
                      <w:t>95%</w:t>
                    </w:r>
                  </w:p>
                </w:txbxContent>
              </v:textbox>
              <w10:wrap type="none"/>
            </v:shape>
            <v:shape style="position:absolute;left:643;top:-2849;width:464;height:169" type="#_x0000_t202" filled="false" stroked="false">
              <v:textbox inset="0,0,0,0">
                <w:txbxContent>
                  <w:p>
                    <w:pPr>
                      <w:spacing w:line="169" w:lineRule="exact" w:before="0"/>
                      <w:ind w:left="0" w:right="-16" w:firstLine="0"/>
                      <w:jc w:val="left"/>
                      <w:rPr>
                        <w:sz w:val="10"/>
                      </w:rPr>
                    </w:pPr>
                    <w:r>
                      <w:rPr>
                        <w:spacing w:val="-1"/>
                        <w:position w:val="2"/>
                        <w:sz w:val="16"/>
                      </w:rPr>
                      <w:t>N-NO</w:t>
                    </w:r>
                    <w:r>
                      <w:rPr>
                        <w:spacing w:val="-1"/>
                        <w:sz w:val="10"/>
                      </w:rPr>
                      <w:t>2</w:t>
                    </w:r>
                  </w:p>
                </w:txbxContent>
              </v:textbox>
              <w10:wrap type="none"/>
            </v:shape>
            <v:shape style="position:absolute;left:7920;top:-2601;width:464;height:169" type="#_x0000_t202" filled="false" stroked="false">
              <v:textbox inset="0,0,0,0">
                <w:txbxContent>
                  <w:p>
                    <w:pPr>
                      <w:spacing w:line="169" w:lineRule="exact" w:before="0"/>
                      <w:ind w:left="0" w:right="-16" w:firstLine="0"/>
                      <w:jc w:val="left"/>
                      <w:rPr>
                        <w:sz w:val="10"/>
                      </w:rPr>
                    </w:pPr>
                    <w:r>
                      <w:rPr>
                        <w:spacing w:val="-1"/>
                        <w:position w:val="2"/>
                        <w:sz w:val="16"/>
                      </w:rPr>
                      <w:t>N-NO</w:t>
                    </w:r>
                    <w:r>
                      <w:rPr>
                        <w:spacing w:val="-1"/>
                        <w:sz w:val="10"/>
                      </w:rPr>
                      <w:t>3</w:t>
                    </w:r>
                  </w:p>
                </w:txbxContent>
              </v:textbox>
              <w10:wrap type="none"/>
            </v:shape>
            <w10:wrap type="none"/>
          </v:group>
        </w:pict>
      </w:r>
      <w:r>
        <w:rPr/>
        <w:pict>
          <v:shape style="position:absolute;margin-left:24.48pt;margin-top:-151.818314pt;width:204.15pt;height:88.65pt;mso-position-horizontal-relative:page;mso-position-vertical-relative:paragraph;z-index:70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8"/>
                    <w:gridCol w:w="1242"/>
                    <w:gridCol w:w="709"/>
                    <w:gridCol w:w="953"/>
                  </w:tblGrid>
                  <w:tr>
                    <w:trPr>
                      <w:trHeight w:val="574" w:hRule="exact"/>
                    </w:trPr>
                    <w:tc>
                      <w:tcPr>
                        <w:tcW w:w="1178" w:type="dxa"/>
                        <w:tcBorders>
                          <w:bottom w:val="single" w:sz="4" w:space="0" w:color="000000"/>
                        </w:tcBorders>
                      </w:tcPr>
                      <w:p>
                        <w:pPr>
                          <w:pStyle w:val="TableParagraph"/>
                          <w:spacing w:line="155" w:lineRule="exact" w:before="0"/>
                          <w:ind w:left="153" w:right="0"/>
                          <w:jc w:val="left"/>
                          <w:rPr>
                            <w:rFonts w:ascii="Arial"/>
                            <w:sz w:val="10"/>
                          </w:rPr>
                        </w:pPr>
                        <w:r>
                          <w:rPr>
                            <w:rFonts w:ascii="Arial"/>
                            <w:position w:val="2"/>
                            <w:sz w:val="16"/>
                          </w:rPr>
                          <w:t>N-NH</w:t>
                        </w:r>
                        <w:r>
                          <w:rPr>
                            <w:rFonts w:ascii="Arial"/>
                            <w:sz w:val="10"/>
                          </w:rPr>
                          <w:t>3</w:t>
                        </w:r>
                      </w:p>
                      <w:p>
                        <w:pPr>
                          <w:pStyle w:val="TableParagraph"/>
                          <w:spacing w:line="105" w:lineRule="exact" w:before="0"/>
                          <w:ind w:left="153" w:right="0" w:firstLine="463"/>
                          <w:jc w:val="left"/>
                          <w:rPr>
                            <w:rFonts w:ascii="Arial"/>
                            <w:sz w:val="10"/>
                          </w:rPr>
                        </w:pPr>
                        <w:r>
                          <w:rPr>
                            <w:rFonts w:ascii="Arial"/>
                            <w:w w:val="100"/>
                            <w:sz w:val="10"/>
                          </w:rPr>
                          <w:t>-</w:t>
                        </w:r>
                      </w:p>
                      <w:p>
                        <w:pPr>
                          <w:pStyle w:val="TableParagraph"/>
                          <w:spacing w:line="153" w:lineRule="exact" w:before="78"/>
                          <w:ind w:left="153" w:right="0"/>
                          <w:jc w:val="left"/>
                          <w:rPr>
                            <w:rFonts w:ascii="Arial"/>
                            <w:sz w:val="10"/>
                          </w:rPr>
                        </w:pPr>
                        <w:r>
                          <w:rPr>
                            <w:rFonts w:ascii="Arial"/>
                            <w:sz w:val="16"/>
                          </w:rPr>
                          <w:t>N-NO </w:t>
                        </w:r>
                        <w:r>
                          <w:rPr>
                            <w:rFonts w:ascii="Arial"/>
                            <w:position w:val="8"/>
                            <w:sz w:val="10"/>
                          </w:rPr>
                          <w:t>-</w:t>
                        </w:r>
                      </w:p>
                      <w:p>
                        <w:pPr>
                          <w:pStyle w:val="TableParagraph"/>
                          <w:spacing w:line="61" w:lineRule="exact" w:before="0"/>
                          <w:ind w:right="0"/>
                          <w:jc w:val="center"/>
                          <w:rPr>
                            <w:rFonts w:ascii="Arial"/>
                            <w:sz w:val="10"/>
                          </w:rPr>
                        </w:pPr>
                        <w:r>
                          <w:rPr>
                            <w:rFonts w:ascii="Arial"/>
                            <w:w w:val="100"/>
                            <w:sz w:val="10"/>
                          </w:rPr>
                          <w:t>3</w:t>
                        </w:r>
                      </w:p>
                    </w:tc>
                    <w:tc>
                      <w:tcPr>
                        <w:tcW w:w="1242" w:type="dxa"/>
                        <w:tcBorders>
                          <w:bottom w:val="single" w:sz="4" w:space="0" w:color="000000"/>
                        </w:tcBorders>
                      </w:tcPr>
                      <w:p>
                        <w:pPr>
                          <w:pStyle w:val="TableParagraph"/>
                          <w:spacing w:line="146" w:lineRule="exact" w:before="0"/>
                          <w:ind w:left="643" w:right="0"/>
                          <w:jc w:val="left"/>
                          <w:rPr>
                            <w:rFonts w:ascii="Arial"/>
                            <w:sz w:val="13"/>
                          </w:rPr>
                        </w:pPr>
                        <w:r>
                          <w:rPr>
                            <w:rFonts w:ascii="Arial"/>
                            <w:w w:val="105"/>
                            <w:sz w:val="13"/>
                          </w:rPr>
                          <w:t>0,016</w:t>
                        </w:r>
                      </w:p>
                      <w:p>
                        <w:pPr>
                          <w:pStyle w:val="TableParagraph"/>
                          <w:spacing w:before="45"/>
                          <w:ind w:left="566" w:right="0"/>
                          <w:jc w:val="left"/>
                          <w:rPr>
                            <w:rFonts w:ascii="Arial"/>
                            <w:sz w:val="13"/>
                          </w:rPr>
                        </w:pPr>
                        <w:r>
                          <w:rPr>
                            <w:rFonts w:ascii="Arial"/>
                            <w:w w:val="105"/>
                            <w:sz w:val="13"/>
                          </w:rPr>
                          <w:t>0,0215</w:t>
                        </w:r>
                      </w:p>
                      <w:p>
                        <w:pPr>
                          <w:pStyle w:val="TableParagraph"/>
                          <w:spacing w:before="42"/>
                          <w:ind w:left="566" w:right="0"/>
                          <w:jc w:val="left"/>
                          <w:rPr>
                            <w:rFonts w:ascii="Arial"/>
                            <w:sz w:val="13"/>
                          </w:rPr>
                        </w:pPr>
                        <w:r>
                          <w:rPr>
                            <w:rFonts w:ascii="Arial"/>
                            <w:w w:val="105"/>
                            <w:sz w:val="13"/>
                          </w:rPr>
                          <w:t>0,0029</w:t>
                        </w:r>
                      </w:p>
                    </w:tc>
                    <w:tc>
                      <w:tcPr>
                        <w:tcW w:w="709" w:type="dxa"/>
                        <w:tcBorders>
                          <w:bottom w:val="single" w:sz="4" w:space="0" w:color="000000"/>
                          <w:right w:val="single" w:sz="4" w:space="0" w:color="000000"/>
                        </w:tcBorders>
                      </w:tcPr>
                      <w:p>
                        <w:pPr>
                          <w:pStyle w:val="TableParagraph"/>
                          <w:spacing w:line="146" w:lineRule="exact" w:before="0"/>
                          <w:ind w:left="250" w:right="0"/>
                          <w:jc w:val="left"/>
                          <w:rPr>
                            <w:rFonts w:ascii="Arial"/>
                            <w:sz w:val="13"/>
                          </w:rPr>
                        </w:pPr>
                        <w:r>
                          <w:rPr>
                            <w:rFonts w:ascii="Arial"/>
                            <w:w w:val="105"/>
                            <w:sz w:val="13"/>
                          </w:rPr>
                          <w:t>0,776</w:t>
                        </w:r>
                      </w:p>
                      <w:p>
                        <w:pPr>
                          <w:pStyle w:val="TableParagraph"/>
                          <w:spacing w:before="45"/>
                          <w:ind w:left="250" w:right="0"/>
                          <w:jc w:val="left"/>
                          <w:rPr>
                            <w:rFonts w:ascii="Arial"/>
                            <w:sz w:val="13"/>
                          </w:rPr>
                        </w:pPr>
                        <w:r>
                          <w:rPr>
                            <w:rFonts w:ascii="Arial"/>
                            <w:w w:val="105"/>
                            <w:sz w:val="13"/>
                          </w:rPr>
                          <w:t>0,253</w:t>
                        </w:r>
                      </w:p>
                      <w:p>
                        <w:pPr>
                          <w:pStyle w:val="TableParagraph"/>
                          <w:spacing w:before="42"/>
                          <w:ind w:left="250" w:right="0"/>
                          <w:jc w:val="left"/>
                          <w:rPr>
                            <w:rFonts w:ascii="Arial"/>
                            <w:sz w:val="13"/>
                          </w:rPr>
                        </w:pPr>
                        <w:r>
                          <w:rPr>
                            <w:rFonts w:ascii="Arial"/>
                            <w:w w:val="105"/>
                            <w:sz w:val="13"/>
                          </w:rPr>
                          <w:t>58,79</w:t>
                        </w:r>
                      </w:p>
                    </w:tc>
                    <w:tc>
                      <w:tcPr>
                        <w:tcW w:w="953" w:type="dxa"/>
                        <w:tcBorders>
                          <w:left w:val="single" w:sz="4" w:space="0" w:color="000000"/>
                          <w:bottom w:val="single" w:sz="4" w:space="0" w:color="000000"/>
                        </w:tcBorders>
                      </w:tcPr>
                      <w:p>
                        <w:pPr>
                          <w:pStyle w:val="TableParagraph"/>
                          <w:spacing w:line="146" w:lineRule="exact" w:before="0"/>
                          <w:ind w:left="448" w:right="0"/>
                          <w:jc w:val="left"/>
                          <w:rPr>
                            <w:rFonts w:ascii="Arial"/>
                            <w:sz w:val="13"/>
                          </w:rPr>
                        </w:pPr>
                        <w:r>
                          <w:rPr>
                            <w:rFonts w:ascii="Arial"/>
                            <w:w w:val="105"/>
                            <w:sz w:val="13"/>
                          </w:rPr>
                          <w:t>0,825</w:t>
                        </w:r>
                      </w:p>
                      <w:p>
                        <w:pPr>
                          <w:pStyle w:val="TableParagraph"/>
                          <w:spacing w:before="45"/>
                          <w:ind w:left="448" w:right="0"/>
                          <w:jc w:val="left"/>
                          <w:rPr>
                            <w:rFonts w:ascii="Arial"/>
                            <w:sz w:val="13"/>
                          </w:rPr>
                        </w:pPr>
                        <w:r>
                          <w:rPr>
                            <w:rFonts w:ascii="Arial"/>
                            <w:w w:val="105"/>
                            <w:sz w:val="13"/>
                          </w:rPr>
                          <w:t>0,257</w:t>
                        </w:r>
                      </w:p>
                      <w:p>
                        <w:pPr>
                          <w:pStyle w:val="TableParagraph"/>
                          <w:spacing w:before="42"/>
                          <w:ind w:left="448" w:right="0"/>
                          <w:jc w:val="left"/>
                          <w:rPr>
                            <w:rFonts w:ascii="Arial"/>
                            <w:sz w:val="13"/>
                          </w:rPr>
                        </w:pPr>
                        <w:r>
                          <w:rPr>
                            <w:rFonts w:ascii="Arial"/>
                            <w:w w:val="105"/>
                            <w:sz w:val="13"/>
                          </w:rPr>
                          <w:t>59,46</w:t>
                        </w:r>
                      </w:p>
                    </w:tc>
                  </w:tr>
                  <w:tr>
                    <w:trPr>
                      <w:trHeight w:val="194" w:hRule="exact"/>
                    </w:trPr>
                    <w:tc>
                      <w:tcPr>
                        <w:tcW w:w="1178" w:type="dxa"/>
                        <w:tcBorders>
                          <w:top w:val="single" w:sz="4" w:space="0" w:color="000000"/>
                          <w:bottom w:val="single" w:sz="4" w:space="0" w:color="000000"/>
                        </w:tcBorders>
                      </w:tcPr>
                      <w:p>
                        <w:pPr>
                          <w:pStyle w:val="TableParagraph"/>
                          <w:spacing w:line="153" w:lineRule="exact" w:before="0"/>
                          <w:ind w:left="153" w:right="0"/>
                          <w:jc w:val="left"/>
                          <w:rPr>
                            <w:rFonts w:ascii="Arial"/>
                            <w:sz w:val="16"/>
                          </w:rPr>
                        </w:pPr>
                        <w:r>
                          <w:rPr>
                            <w:rFonts w:ascii="Arial"/>
                            <w:sz w:val="16"/>
                          </w:rPr>
                          <w:t>DQO</w:t>
                        </w:r>
                      </w:p>
                    </w:tc>
                    <w:tc>
                      <w:tcPr>
                        <w:tcW w:w="1242" w:type="dxa"/>
                        <w:tcBorders>
                          <w:top w:val="single" w:sz="4" w:space="0" w:color="000000"/>
                          <w:bottom w:val="single" w:sz="4" w:space="0" w:color="000000"/>
                        </w:tcBorders>
                      </w:tcPr>
                      <w:p>
                        <w:pPr>
                          <w:pStyle w:val="TableParagraph"/>
                          <w:spacing w:line="142" w:lineRule="exact" w:before="0"/>
                          <w:ind w:right="248"/>
                          <w:rPr>
                            <w:rFonts w:ascii="Arial"/>
                            <w:sz w:val="13"/>
                          </w:rPr>
                        </w:pPr>
                        <w:r>
                          <w:rPr>
                            <w:rFonts w:ascii="Arial"/>
                            <w:w w:val="105"/>
                            <w:sz w:val="13"/>
                          </w:rPr>
                          <w:t>0,0068</w:t>
                        </w:r>
                      </w:p>
                    </w:tc>
                    <w:tc>
                      <w:tcPr>
                        <w:tcW w:w="709" w:type="dxa"/>
                        <w:tcBorders>
                          <w:top w:val="single" w:sz="4" w:space="0" w:color="000000"/>
                          <w:bottom w:val="single" w:sz="4" w:space="0" w:color="000000"/>
                          <w:right w:val="single" w:sz="4" w:space="0" w:color="000000"/>
                        </w:tcBorders>
                      </w:tcPr>
                      <w:p>
                        <w:pPr>
                          <w:pStyle w:val="TableParagraph"/>
                          <w:spacing w:line="142" w:lineRule="exact" w:before="0"/>
                          <w:ind w:right="104"/>
                          <w:rPr>
                            <w:rFonts w:ascii="Arial"/>
                            <w:sz w:val="13"/>
                          </w:rPr>
                        </w:pPr>
                        <w:r>
                          <w:rPr>
                            <w:rFonts w:ascii="Arial"/>
                            <w:w w:val="105"/>
                            <w:sz w:val="13"/>
                          </w:rPr>
                          <w:t>48,62</w:t>
                        </w:r>
                      </w:p>
                    </w:tc>
                    <w:tc>
                      <w:tcPr>
                        <w:tcW w:w="953" w:type="dxa"/>
                        <w:tcBorders>
                          <w:top w:val="single" w:sz="4" w:space="0" w:color="000000"/>
                          <w:left w:val="single" w:sz="4" w:space="0" w:color="000000"/>
                          <w:bottom w:val="single" w:sz="4" w:space="0" w:color="000000"/>
                        </w:tcBorders>
                      </w:tcPr>
                      <w:p>
                        <w:pPr>
                          <w:pStyle w:val="TableParagraph"/>
                          <w:spacing w:line="142" w:lineRule="exact" w:before="0"/>
                          <w:ind w:right="149"/>
                          <w:rPr>
                            <w:rFonts w:ascii="Arial"/>
                            <w:sz w:val="13"/>
                          </w:rPr>
                        </w:pPr>
                        <w:r>
                          <w:rPr>
                            <w:rFonts w:ascii="Arial"/>
                            <w:w w:val="105"/>
                            <w:sz w:val="13"/>
                          </w:rPr>
                          <w:t>49,92</w:t>
                        </w:r>
                      </w:p>
                    </w:tc>
                  </w:tr>
                  <w:tr>
                    <w:trPr>
                      <w:trHeight w:val="194" w:hRule="exact"/>
                    </w:trPr>
                    <w:tc>
                      <w:tcPr>
                        <w:tcW w:w="1178" w:type="dxa"/>
                        <w:tcBorders>
                          <w:top w:val="single" w:sz="4" w:space="0" w:color="000000"/>
                          <w:bottom w:val="single" w:sz="4" w:space="0" w:color="000000"/>
                        </w:tcBorders>
                      </w:tcPr>
                      <w:p>
                        <w:pPr>
                          <w:pStyle w:val="TableParagraph"/>
                          <w:spacing w:line="159" w:lineRule="exact" w:before="0"/>
                          <w:ind w:left="153" w:right="0"/>
                          <w:jc w:val="left"/>
                          <w:rPr>
                            <w:rFonts w:ascii="Arial"/>
                            <w:sz w:val="16"/>
                          </w:rPr>
                        </w:pPr>
                        <w:r>
                          <w:rPr>
                            <w:rFonts w:ascii="Arial"/>
                            <w:sz w:val="16"/>
                          </w:rPr>
                          <w:t>SST</w:t>
                        </w:r>
                      </w:p>
                    </w:tc>
                    <w:tc>
                      <w:tcPr>
                        <w:tcW w:w="1242" w:type="dxa"/>
                        <w:tcBorders>
                          <w:top w:val="single" w:sz="4" w:space="0" w:color="000000"/>
                          <w:bottom w:val="single" w:sz="4" w:space="0" w:color="000000"/>
                        </w:tcBorders>
                      </w:tcPr>
                      <w:p>
                        <w:pPr>
                          <w:pStyle w:val="TableParagraph"/>
                          <w:spacing w:line="148" w:lineRule="exact" w:before="0"/>
                          <w:ind w:right="248"/>
                          <w:rPr>
                            <w:rFonts w:ascii="Arial"/>
                            <w:sz w:val="13"/>
                          </w:rPr>
                        </w:pPr>
                        <w:r>
                          <w:rPr>
                            <w:rFonts w:ascii="Arial"/>
                            <w:w w:val="105"/>
                            <w:sz w:val="13"/>
                          </w:rPr>
                          <w:t>0,01</w:t>
                        </w:r>
                      </w:p>
                    </w:tc>
                    <w:tc>
                      <w:tcPr>
                        <w:tcW w:w="709" w:type="dxa"/>
                        <w:tcBorders>
                          <w:top w:val="single" w:sz="4" w:space="0" w:color="000000"/>
                          <w:bottom w:val="single" w:sz="4" w:space="0" w:color="000000"/>
                          <w:right w:val="single" w:sz="4" w:space="0" w:color="000000"/>
                        </w:tcBorders>
                      </w:tcPr>
                      <w:p>
                        <w:pPr>
                          <w:pStyle w:val="TableParagraph"/>
                          <w:spacing w:line="148" w:lineRule="exact" w:before="0"/>
                          <w:ind w:right="104"/>
                          <w:rPr>
                            <w:rFonts w:ascii="Arial"/>
                            <w:sz w:val="13"/>
                          </w:rPr>
                        </w:pPr>
                        <w:r>
                          <w:rPr>
                            <w:rFonts w:ascii="Arial"/>
                            <w:w w:val="105"/>
                            <w:sz w:val="13"/>
                          </w:rPr>
                          <w:t>3,55</w:t>
                        </w:r>
                      </w:p>
                    </w:tc>
                    <w:tc>
                      <w:tcPr>
                        <w:tcW w:w="953" w:type="dxa"/>
                        <w:tcBorders>
                          <w:top w:val="single" w:sz="4" w:space="0" w:color="000000"/>
                          <w:left w:val="single" w:sz="4" w:space="0" w:color="000000"/>
                          <w:bottom w:val="single" w:sz="4" w:space="0" w:color="000000"/>
                        </w:tcBorders>
                      </w:tcPr>
                      <w:p>
                        <w:pPr>
                          <w:pStyle w:val="TableParagraph"/>
                          <w:spacing w:line="148" w:lineRule="exact" w:before="0"/>
                          <w:ind w:right="149"/>
                          <w:rPr>
                            <w:rFonts w:ascii="Arial"/>
                            <w:sz w:val="13"/>
                          </w:rPr>
                        </w:pPr>
                        <w:r>
                          <w:rPr>
                            <w:rFonts w:ascii="Arial"/>
                            <w:w w:val="105"/>
                            <w:sz w:val="13"/>
                          </w:rPr>
                          <w:t>3,70</w:t>
                        </w:r>
                      </w:p>
                    </w:tc>
                  </w:tr>
                  <w:tr>
                    <w:trPr>
                      <w:trHeight w:val="194" w:hRule="exact"/>
                    </w:trPr>
                    <w:tc>
                      <w:tcPr>
                        <w:tcW w:w="1178" w:type="dxa"/>
                        <w:tcBorders>
                          <w:top w:val="single" w:sz="4" w:space="0" w:color="000000"/>
                          <w:bottom w:val="single" w:sz="4" w:space="0" w:color="000000"/>
                        </w:tcBorders>
                      </w:tcPr>
                      <w:p>
                        <w:pPr>
                          <w:pStyle w:val="TableParagraph"/>
                          <w:spacing w:line="153" w:lineRule="exact" w:before="0"/>
                          <w:ind w:left="153" w:right="0"/>
                          <w:jc w:val="left"/>
                          <w:rPr>
                            <w:rFonts w:ascii="Arial"/>
                            <w:sz w:val="16"/>
                          </w:rPr>
                        </w:pPr>
                        <w:r>
                          <w:rPr>
                            <w:rFonts w:ascii="Arial"/>
                            <w:sz w:val="16"/>
                          </w:rPr>
                          <w:t>Alcalinidad*</w:t>
                        </w:r>
                      </w:p>
                    </w:tc>
                    <w:tc>
                      <w:tcPr>
                        <w:tcW w:w="1242" w:type="dxa"/>
                        <w:tcBorders>
                          <w:top w:val="single" w:sz="4" w:space="0" w:color="000000"/>
                          <w:bottom w:val="single" w:sz="4" w:space="0" w:color="000000"/>
                        </w:tcBorders>
                      </w:tcPr>
                      <w:p>
                        <w:pPr>
                          <w:pStyle w:val="TableParagraph"/>
                          <w:spacing w:line="142" w:lineRule="exact" w:before="0"/>
                          <w:ind w:right="248"/>
                          <w:rPr>
                            <w:rFonts w:ascii="Arial"/>
                            <w:sz w:val="13"/>
                          </w:rPr>
                        </w:pPr>
                        <w:r>
                          <w:rPr>
                            <w:rFonts w:ascii="Arial"/>
                            <w:w w:val="105"/>
                            <w:sz w:val="13"/>
                          </w:rPr>
                          <w:t>0,011</w:t>
                        </w:r>
                      </w:p>
                    </w:tc>
                    <w:tc>
                      <w:tcPr>
                        <w:tcW w:w="709" w:type="dxa"/>
                        <w:tcBorders>
                          <w:top w:val="single" w:sz="4" w:space="0" w:color="000000"/>
                          <w:bottom w:val="single" w:sz="4" w:space="0" w:color="000000"/>
                          <w:right w:val="single" w:sz="4" w:space="0" w:color="000000"/>
                        </w:tcBorders>
                      </w:tcPr>
                      <w:p>
                        <w:pPr>
                          <w:pStyle w:val="TableParagraph"/>
                          <w:spacing w:line="142" w:lineRule="exact" w:before="0"/>
                          <w:ind w:right="104"/>
                          <w:rPr>
                            <w:rFonts w:ascii="Arial"/>
                            <w:sz w:val="13"/>
                          </w:rPr>
                        </w:pPr>
                        <w:r>
                          <w:rPr>
                            <w:rFonts w:ascii="Arial"/>
                            <w:w w:val="105"/>
                            <w:sz w:val="13"/>
                          </w:rPr>
                          <w:t>63,80</w:t>
                        </w:r>
                      </w:p>
                    </w:tc>
                    <w:tc>
                      <w:tcPr>
                        <w:tcW w:w="953" w:type="dxa"/>
                        <w:tcBorders>
                          <w:top w:val="single" w:sz="4" w:space="0" w:color="000000"/>
                          <w:left w:val="single" w:sz="4" w:space="0" w:color="000000"/>
                          <w:bottom w:val="single" w:sz="4" w:space="0" w:color="000000"/>
                        </w:tcBorders>
                      </w:tcPr>
                      <w:p>
                        <w:pPr>
                          <w:pStyle w:val="TableParagraph"/>
                          <w:spacing w:line="142" w:lineRule="exact" w:before="0"/>
                          <w:ind w:right="149"/>
                          <w:rPr>
                            <w:rFonts w:ascii="Arial"/>
                            <w:sz w:val="13"/>
                          </w:rPr>
                        </w:pPr>
                        <w:r>
                          <w:rPr>
                            <w:rFonts w:ascii="Arial"/>
                            <w:w w:val="105"/>
                            <w:sz w:val="13"/>
                          </w:rPr>
                          <w:t>66,49</w:t>
                        </w:r>
                      </w:p>
                    </w:tc>
                  </w:tr>
                  <w:tr>
                    <w:trPr>
                      <w:trHeight w:val="194" w:hRule="exact"/>
                    </w:trPr>
                    <w:tc>
                      <w:tcPr>
                        <w:tcW w:w="1178" w:type="dxa"/>
                        <w:tcBorders>
                          <w:top w:val="single" w:sz="4" w:space="0" w:color="000000"/>
                          <w:bottom w:val="single" w:sz="4" w:space="0" w:color="000000"/>
                        </w:tcBorders>
                      </w:tcPr>
                      <w:p>
                        <w:pPr>
                          <w:pStyle w:val="TableParagraph"/>
                          <w:spacing w:line="153" w:lineRule="exact" w:before="0"/>
                          <w:ind w:left="153" w:right="0"/>
                          <w:jc w:val="left"/>
                          <w:rPr>
                            <w:rFonts w:ascii="Arial"/>
                            <w:sz w:val="16"/>
                          </w:rPr>
                        </w:pPr>
                        <w:r>
                          <w:rPr>
                            <w:rFonts w:ascii="Arial"/>
                            <w:sz w:val="16"/>
                          </w:rPr>
                          <w:t>Temperatura</w:t>
                        </w:r>
                      </w:p>
                    </w:tc>
                    <w:tc>
                      <w:tcPr>
                        <w:tcW w:w="1242" w:type="dxa"/>
                        <w:tcBorders>
                          <w:top w:val="single" w:sz="4" w:space="0" w:color="000000"/>
                          <w:bottom w:val="single" w:sz="4" w:space="0" w:color="000000"/>
                        </w:tcBorders>
                      </w:tcPr>
                      <w:p>
                        <w:pPr>
                          <w:pStyle w:val="TableParagraph"/>
                          <w:spacing w:line="142" w:lineRule="exact" w:before="0"/>
                          <w:ind w:right="248"/>
                          <w:rPr>
                            <w:rFonts w:ascii="Arial"/>
                            <w:sz w:val="13"/>
                          </w:rPr>
                        </w:pPr>
                        <w:r>
                          <w:rPr>
                            <w:rFonts w:ascii="Arial"/>
                            <w:w w:val="105"/>
                            <w:sz w:val="13"/>
                          </w:rPr>
                          <w:t>0,007</w:t>
                        </w:r>
                      </w:p>
                    </w:tc>
                    <w:tc>
                      <w:tcPr>
                        <w:tcW w:w="709" w:type="dxa"/>
                        <w:tcBorders>
                          <w:top w:val="single" w:sz="4" w:space="0" w:color="000000"/>
                          <w:bottom w:val="single" w:sz="4" w:space="0" w:color="000000"/>
                          <w:right w:val="single" w:sz="4" w:space="0" w:color="000000"/>
                        </w:tcBorders>
                      </w:tcPr>
                      <w:p>
                        <w:pPr>
                          <w:pStyle w:val="TableParagraph"/>
                          <w:spacing w:line="142" w:lineRule="exact" w:before="0"/>
                          <w:ind w:right="104"/>
                          <w:rPr>
                            <w:rFonts w:ascii="Arial"/>
                            <w:sz w:val="13"/>
                          </w:rPr>
                        </w:pPr>
                        <w:r>
                          <w:rPr>
                            <w:rFonts w:ascii="Arial"/>
                            <w:w w:val="105"/>
                            <w:sz w:val="13"/>
                          </w:rPr>
                          <w:t>16,68</w:t>
                        </w:r>
                      </w:p>
                    </w:tc>
                    <w:tc>
                      <w:tcPr>
                        <w:tcW w:w="953" w:type="dxa"/>
                        <w:tcBorders>
                          <w:top w:val="single" w:sz="4" w:space="0" w:color="000000"/>
                          <w:left w:val="single" w:sz="4" w:space="0" w:color="000000"/>
                          <w:bottom w:val="single" w:sz="4" w:space="0" w:color="000000"/>
                        </w:tcBorders>
                      </w:tcPr>
                      <w:p>
                        <w:pPr>
                          <w:pStyle w:val="TableParagraph"/>
                          <w:spacing w:line="142" w:lineRule="exact" w:before="0"/>
                          <w:ind w:right="149"/>
                          <w:rPr>
                            <w:rFonts w:ascii="Arial"/>
                            <w:sz w:val="13"/>
                          </w:rPr>
                        </w:pPr>
                        <w:r>
                          <w:rPr>
                            <w:rFonts w:ascii="Arial"/>
                            <w:w w:val="105"/>
                            <w:sz w:val="13"/>
                          </w:rPr>
                          <w:t>17,14</w:t>
                        </w:r>
                      </w:p>
                    </w:tc>
                  </w:tr>
                  <w:tr>
                    <w:trPr>
                      <w:trHeight w:val="194" w:hRule="exact"/>
                    </w:trPr>
                    <w:tc>
                      <w:tcPr>
                        <w:tcW w:w="1178" w:type="dxa"/>
                        <w:tcBorders>
                          <w:top w:val="single" w:sz="4" w:space="0" w:color="000000"/>
                          <w:bottom w:val="single" w:sz="4" w:space="0" w:color="000000"/>
                        </w:tcBorders>
                      </w:tcPr>
                      <w:p>
                        <w:pPr>
                          <w:pStyle w:val="TableParagraph"/>
                          <w:spacing w:line="154" w:lineRule="exact" w:before="0"/>
                          <w:ind w:left="153" w:right="0"/>
                          <w:jc w:val="left"/>
                          <w:rPr>
                            <w:rFonts w:ascii="Arial"/>
                            <w:sz w:val="16"/>
                          </w:rPr>
                        </w:pPr>
                        <w:r>
                          <w:rPr>
                            <w:rFonts w:ascii="Arial"/>
                            <w:sz w:val="16"/>
                          </w:rPr>
                          <w:t>pH</w:t>
                        </w:r>
                      </w:p>
                    </w:tc>
                    <w:tc>
                      <w:tcPr>
                        <w:tcW w:w="1242" w:type="dxa"/>
                        <w:tcBorders>
                          <w:top w:val="single" w:sz="4" w:space="0" w:color="000000"/>
                          <w:bottom w:val="single" w:sz="4" w:space="0" w:color="000000"/>
                        </w:tcBorders>
                      </w:tcPr>
                      <w:p>
                        <w:pPr>
                          <w:pStyle w:val="TableParagraph"/>
                          <w:spacing w:line="140" w:lineRule="exact" w:before="0"/>
                          <w:ind w:right="248"/>
                          <w:rPr>
                            <w:rFonts w:ascii="Arial"/>
                            <w:sz w:val="13"/>
                          </w:rPr>
                        </w:pPr>
                        <w:r>
                          <w:rPr>
                            <w:rFonts w:ascii="Arial"/>
                            <w:w w:val="105"/>
                            <w:sz w:val="13"/>
                          </w:rPr>
                          <w:t>0,011</w:t>
                        </w:r>
                      </w:p>
                    </w:tc>
                    <w:tc>
                      <w:tcPr>
                        <w:tcW w:w="709" w:type="dxa"/>
                        <w:tcBorders>
                          <w:top w:val="single" w:sz="4" w:space="0" w:color="000000"/>
                          <w:bottom w:val="single" w:sz="4" w:space="0" w:color="000000"/>
                          <w:right w:val="single" w:sz="4" w:space="0" w:color="000000"/>
                        </w:tcBorders>
                      </w:tcPr>
                      <w:p>
                        <w:pPr>
                          <w:pStyle w:val="TableParagraph"/>
                          <w:spacing w:line="140" w:lineRule="exact" w:before="0"/>
                          <w:ind w:right="104"/>
                          <w:rPr>
                            <w:rFonts w:ascii="Arial"/>
                            <w:sz w:val="13"/>
                          </w:rPr>
                        </w:pPr>
                        <w:r>
                          <w:rPr>
                            <w:rFonts w:ascii="Arial"/>
                            <w:w w:val="105"/>
                            <w:sz w:val="13"/>
                          </w:rPr>
                          <w:t>6,83</w:t>
                        </w:r>
                      </w:p>
                    </w:tc>
                    <w:tc>
                      <w:tcPr>
                        <w:tcW w:w="953" w:type="dxa"/>
                        <w:tcBorders>
                          <w:top w:val="single" w:sz="4" w:space="0" w:color="000000"/>
                          <w:left w:val="single" w:sz="4" w:space="0" w:color="000000"/>
                          <w:bottom w:val="single" w:sz="4" w:space="0" w:color="000000"/>
                        </w:tcBorders>
                      </w:tcPr>
                      <w:p>
                        <w:pPr>
                          <w:pStyle w:val="TableParagraph"/>
                          <w:spacing w:line="140" w:lineRule="exact" w:before="0"/>
                          <w:ind w:right="149"/>
                          <w:rPr>
                            <w:rFonts w:ascii="Arial"/>
                            <w:sz w:val="13"/>
                          </w:rPr>
                        </w:pPr>
                        <w:r>
                          <w:rPr>
                            <w:rFonts w:ascii="Arial"/>
                            <w:w w:val="105"/>
                            <w:sz w:val="13"/>
                          </w:rPr>
                          <w:t>7,12</w:t>
                        </w:r>
                      </w:p>
                    </w:tc>
                  </w:tr>
                  <w:tr>
                    <w:trPr>
                      <w:trHeight w:val="226" w:hRule="exact"/>
                    </w:trPr>
                    <w:tc>
                      <w:tcPr>
                        <w:tcW w:w="1178" w:type="dxa"/>
                        <w:tcBorders>
                          <w:top w:val="single" w:sz="4" w:space="0" w:color="000000"/>
                        </w:tcBorders>
                      </w:tcPr>
                      <w:p>
                        <w:pPr>
                          <w:pStyle w:val="TableParagraph"/>
                          <w:spacing w:line="155" w:lineRule="exact" w:before="0"/>
                          <w:ind w:left="153" w:right="0"/>
                          <w:jc w:val="left"/>
                          <w:rPr>
                            <w:rFonts w:ascii="Arial"/>
                            <w:sz w:val="16"/>
                          </w:rPr>
                        </w:pPr>
                        <w:r>
                          <w:rPr>
                            <w:rFonts w:ascii="Arial"/>
                            <w:sz w:val="16"/>
                          </w:rPr>
                          <w:t>OD</w:t>
                        </w:r>
                      </w:p>
                    </w:tc>
                    <w:tc>
                      <w:tcPr>
                        <w:tcW w:w="1242" w:type="dxa"/>
                        <w:tcBorders>
                          <w:top w:val="single" w:sz="4" w:space="0" w:color="000000"/>
                        </w:tcBorders>
                      </w:tcPr>
                      <w:p>
                        <w:pPr>
                          <w:pStyle w:val="TableParagraph"/>
                          <w:spacing w:line="142" w:lineRule="exact" w:before="0"/>
                          <w:ind w:right="248"/>
                          <w:rPr>
                            <w:rFonts w:ascii="Arial"/>
                            <w:sz w:val="13"/>
                          </w:rPr>
                        </w:pPr>
                        <w:r>
                          <w:rPr>
                            <w:rFonts w:ascii="Arial"/>
                            <w:w w:val="105"/>
                            <w:sz w:val="13"/>
                          </w:rPr>
                          <w:t>0,006</w:t>
                        </w:r>
                      </w:p>
                    </w:tc>
                    <w:tc>
                      <w:tcPr>
                        <w:tcW w:w="709" w:type="dxa"/>
                        <w:tcBorders>
                          <w:top w:val="single" w:sz="4" w:space="0" w:color="000000"/>
                          <w:right w:val="single" w:sz="4" w:space="0" w:color="000000"/>
                        </w:tcBorders>
                      </w:tcPr>
                      <w:p>
                        <w:pPr>
                          <w:pStyle w:val="TableParagraph"/>
                          <w:spacing w:line="142" w:lineRule="exact" w:before="0"/>
                          <w:ind w:right="103"/>
                          <w:rPr>
                            <w:rFonts w:ascii="Arial"/>
                            <w:sz w:val="13"/>
                          </w:rPr>
                        </w:pPr>
                        <w:r>
                          <w:rPr>
                            <w:rFonts w:ascii="Arial"/>
                            <w:w w:val="105"/>
                            <w:sz w:val="13"/>
                          </w:rPr>
                          <w:t>6,47</w:t>
                        </w:r>
                      </w:p>
                    </w:tc>
                    <w:tc>
                      <w:tcPr>
                        <w:tcW w:w="953" w:type="dxa"/>
                        <w:tcBorders>
                          <w:top w:val="single" w:sz="4" w:space="0" w:color="000000"/>
                          <w:left w:val="single" w:sz="4" w:space="0" w:color="000000"/>
                        </w:tcBorders>
                      </w:tcPr>
                      <w:p>
                        <w:pPr>
                          <w:pStyle w:val="TableParagraph"/>
                          <w:spacing w:line="142" w:lineRule="exact" w:before="0"/>
                          <w:ind w:right="149"/>
                          <w:rPr>
                            <w:rFonts w:ascii="Arial"/>
                            <w:sz w:val="13"/>
                          </w:rPr>
                        </w:pPr>
                        <w:r>
                          <w:rPr>
                            <w:rFonts w:ascii="Arial"/>
                            <w:w w:val="105"/>
                            <w:sz w:val="13"/>
                          </w:rPr>
                          <w:t>6,61</w:t>
                        </w:r>
                      </w:p>
                    </w:tc>
                  </w:tr>
                </w:tbl>
                <w:p>
                  <w:pPr>
                    <w:pStyle w:val="BodyText"/>
                  </w:pPr>
                </w:p>
              </w:txbxContent>
            </v:textbox>
            <w10:wrap type="none"/>
          </v:shape>
        </w:pict>
      </w:r>
      <w:r>
        <w:rPr/>
        <w:pict>
          <v:shape style="position:absolute;margin-left:237.419998pt;margin-top:-130.073044pt;width:341.6pt;height:121.6pt;mso-position-horizontal-relative:page;mso-position-vertical-relative:paragraph;z-index:70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35"/>
                    <w:gridCol w:w="2136"/>
                    <w:gridCol w:w="1255"/>
                    <w:gridCol w:w="942"/>
                    <w:gridCol w:w="707"/>
                    <w:gridCol w:w="756"/>
                  </w:tblGrid>
                  <w:tr>
                    <w:trPr>
                      <w:trHeight w:val="203" w:hRule="exact"/>
                    </w:trPr>
                    <w:tc>
                      <w:tcPr>
                        <w:tcW w:w="1035" w:type="dxa"/>
                      </w:tcPr>
                      <w:p>
                        <w:pPr>
                          <w:pStyle w:val="TableParagraph"/>
                          <w:spacing w:before="9"/>
                          <w:ind w:left="109" w:right="0"/>
                          <w:jc w:val="left"/>
                          <w:rPr>
                            <w:rFonts w:ascii="Arial"/>
                            <w:sz w:val="18"/>
                          </w:rPr>
                        </w:pPr>
                        <w:r>
                          <w:rPr>
                            <w:rFonts w:ascii="Arial"/>
                            <w:sz w:val="18"/>
                          </w:rPr>
                          <w:t>SST</w:t>
                        </w:r>
                      </w:p>
                    </w:tc>
                    <w:tc>
                      <w:tcPr>
                        <w:tcW w:w="2136" w:type="dxa"/>
                      </w:tcPr>
                      <w:p>
                        <w:pPr>
                          <w:pStyle w:val="TableParagraph"/>
                          <w:spacing w:before="9"/>
                          <w:ind w:left="576" w:right="0"/>
                          <w:jc w:val="left"/>
                          <w:rPr>
                            <w:rFonts w:ascii="Arial" w:hAnsi="Arial"/>
                            <w:sz w:val="18"/>
                          </w:rPr>
                        </w:pPr>
                        <w:r>
                          <w:rPr>
                            <w:rFonts w:ascii="Arial" w:hAnsi="Arial"/>
                            <w:sz w:val="18"/>
                          </w:rPr>
                          <w:t>-7,55 ± 1,48</w:t>
                        </w:r>
                      </w:p>
                    </w:tc>
                    <w:tc>
                      <w:tcPr>
                        <w:tcW w:w="1255" w:type="dxa"/>
                      </w:tcPr>
                      <w:p>
                        <w:pPr>
                          <w:pStyle w:val="TableParagraph"/>
                          <w:spacing w:line="72" w:lineRule="exact" w:before="0"/>
                          <w:ind w:right="293"/>
                          <w:jc w:val="center"/>
                          <w:rPr>
                            <w:rFonts w:ascii="Arial"/>
                            <w:sz w:val="10"/>
                          </w:rPr>
                        </w:pPr>
                        <w:r>
                          <w:rPr>
                            <w:rFonts w:ascii="Arial"/>
                            <w:w w:val="100"/>
                            <w:sz w:val="10"/>
                          </w:rPr>
                          <w:t>-</w:t>
                        </w:r>
                      </w:p>
                    </w:tc>
                    <w:tc>
                      <w:tcPr>
                        <w:tcW w:w="942" w:type="dxa"/>
                      </w:tcPr>
                      <w:p>
                        <w:pPr>
                          <w:pStyle w:val="TableParagraph"/>
                          <w:spacing w:before="3"/>
                          <w:ind w:right="176"/>
                          <w:rPr>
                            <w:rFonts w:ascii="Arial"/>
                            <w:sz w:val="13"/>
                          </w:rPr>
                        </w:pPr>
                        <w:r>
                          <w:rPr>
                            <w:rFonts w:ascii="Arial"/>
                            <w:w w:val="105"/>
                            <w:sz w:val="13"/>
                          </w:rPr>
                          <w:t>0,0032</w:t>
                        </w:r>
                      </w:p>
                    </w:tc>
                    <w:tc>
                      <w:tcPr>
                        <w:tcW w:w="707" w:type="dxa"/>
                      </w:tcPr>
                      <w:p>
                        <w:pPr>
                          <w:pStyle w:val="TableParagraph"/>
                          <w:spacing w:before="3"/>
                          <w:ind w:right="178"/>
                          <w:rPr>
                            <w:rFonts w:ascii="Arial"/>
                            <w:sz w:val="13"/>
                          </w:rPr>
                        </w:pPr>
                        <w:r>
                          <w:rPr>
                            <w:rFonts w:ascii="Arial"/>
                            <w:w w:val="105"/>
                            <w:sz w:val="13"/>
                          </w:rPr>
                          <w:t>57,76</w:t>
                        </w:r>
                      </w:p>
                    </w:tc>
                    <w:tc>
                      <w:tcPr>
                        <w:tcW w:w="756" w:type="dxa"/>
                      </w:tcPr>
                      <w:p>
                        <w:pPr>
                          <w:pStyle w:val="TableParagraph"/>
                          <w:spacing w:before="3"/>
                          <w:ind w:left="164" w:right="210"/>
                          <w:jc w:val="center"/>
                          <w:rPr>
                            <w:rFonts w:ascii="Arial"/>
                            <w:sz w:val="13"/>
                          </w:rPr>
                        </w:pPr>
                        <w:r>
                          <w:rPr>
                            <w:rFonts w:ascii="Arial"/>
                            <w:w w:val="105"/>
                            <w:sz w:val="13"/>
                          </w:rPr>
                          <w:t>58,50</w:t>
                        </w:r>
                      </w:p>
                    </w:tc>
                  </w:tr>
                  <w:tr>
                    <w:trPr>
                      <w:trHeight w:val="169" w:hRule="exact"/>
                    </w:trPr>
                    <w:tc>
                      <w:tcPr>
                        <w:tcW w:w="1035" w:type="dxa"/>
                      </w:tcPr>
                      <w:p>
                        <w:pPr/>
                      </w:p>
                    </w:tc>
                    <w:tc>
                      <w:tcPr>
                        <w:tcW w:w="2136" w:type="dxa"/>
                      </w:tcPr>
                      <w:p>
                        <w:pPr/>
                      </w:p>
                    </w:tc>
                    <w:tc>
                      <w:tcPr>
                        <w:tcW w:w="1255" w:type="dxa"/>
                      </w:tcPr>
                      <w:p>
                        <w:pPr>
                          <w:pStyle w:val="TableParagraph"/>
                          <w:spacing w:line="155" w:lineRule="exact" w:before="0"/>
                          <w:ind w:right="0"/>
                          <w:jc w:val="left"/>
                          <w:rPr>
                            <w:rFonts w:ascii="Arial"/>
                            <w:sz w:val="16"/>
                          </w:rPr>
                        </w:pPr>
                        <w:r>
                          <w:rPr>
                            <w:rFonts w:ascii="Arial"/>
                            <w:sz w:val="16"/>
                          </w:rPr>
                          <w:t>DQO</w:t>
                        </w:r>
                      </w:p>
                    </w:tc>
                    <w:tc>
                      <w:tcPr>
                        <w:tcW w:w="942" w:type="dxa"/>
                      </w:tcPr>
                      <w:p>
                        <w:pPr>
                          <w:pStyle w:val="TableParagraph"/>
                          <w:spacing w:line="144" w:lineRule="exact" w:before="0"/>
                          <w:ind w:right="176"/>
                          <w:rPr>
                            <w:rFonts w:ascii="Arial"/>
                            <w:sz w:val="13"/>
                          </w:rPr>
                        </w:pPr>
                        <w:r>
                          <w:rPr>
                            <w:rFonts w:ascii="Arial"/>
                            <w:w w:val="105"/>
                            <w:sz w:val="13"/>
                          </w:rPr>
                          <w:t>0,0094</w:t>
                        </w:r>
                      </w:p>
                    </w:tc>
                    <w:tc>
                      <w:tcPr>
                        <w:tcW w:w="707" w:type="dxa"/>
                      </w:tcPr>
                      <w:p>
                        <w:pPr>
                          <w:pStyle w:val="TableParagraph"/>
                          <w:spacing w:line="144" w:lineRule="exact" w:before="0"/>
                          <w:ind w:right="178"/>
                          <w:rPr>
                            <w:rFonts w:ascii="Arial"/>
                            <w:sz w:val="13"/>
                          </w:rPr>
                        </w:pPr>
                        <w:r>
                          <w:rPr>
                            <w:rFonts w:ascii="Arial"/>
                            <w:w w:val="105"/>
                            <w:sz w:val="13"/>
                          </w:rPr>
                          <w:t>45,74</w:t>
                        </w:r>
                      </w:p>
                    </w:tc>
                    <w:tc>
                      <w:tcPr>
                        <w:tcW w:w="756" w:type="dxa"/>
                      </w:tcPr>
                      <w:p>
                        <w:pPr>
                          <w:pStyle w:val="TableParagraph"/>
                          <w:spacing w:line="144" w:lineRule="exact" w:before="0"/>
                          <w:ind w:left="164" w:right="210"/>
                          <w:jc w:val="center"/>
                          <w:rPr>
                            <w:rFonts w:ascii="Arial"/>
                            <w:sz w:val="13"/>
                          </w:rPr>
                        </w:pPr>
                        <w:r>
                          <w:rPr>
                            <w:rFonts w:ascii="Arial"/>
                            <w:w w:val="105"/>
                            <w:sz w:val="13"/>
                          </w:rPr>
                          <w:t>47,45</w:t>
                        </w:r>
                      </w:p>
                    </w:tc>
                  </w:tr>
                  <w:tr>
                    <w:trPr>
                      <w:trHeight w:val="178" w:hRule="exact"/>
                    </w:trPr>
                    <w:tc>
                      <w:tcPr>
                        <w:tcW w:w="1035" w:type="dxa"/>
                      </w:tcPr>
                      <w:p>
                        <w:pPr/>
                      </w:p>
                    </w:tc>
                    <w:tc>
                      <w:tcPr>
                        <w:tcW w:w="2136" w:type="dxa"/>
                      </w:tcPr>
                      <w:p>
                        <w:pPr/>
                      </w:p>
                    </w:tc>
                    <w:tc>
                      <w:tcPr>
                        <w:tcW w:w="1255" w:type="dxa"/>
                        <w:tcBorders>
                          <w:bottom w:val="single" w:sz="4" w:space="0" w:color="000000"/>
                        </w:tcBorders>
                      </w:tcPr>
                      <w:p>
                        <w:pPr>
                          <w:pStyle w:val="TableParagraph"/>
                          <w:spacing w:line="181" w:lineRule="exact" w:before="0"/>
                          <w:ind w:right="0"/>
                          <w:jc w:val="left"/>
                          <w:rPr>
                            <w:rFonts w:ascii="Arial"/>
                            <w:sz w:val="16"/>
                          </w:rPr>
                        </w:pPr>
                        <w:r>
                          <w:rPr>
                            <w:rFonts w:ascii="Arial"/>
                            <w:sz w:val="16"/>
                          </w:rPr>
                          <w:t>SST</w:t>
                        </w:r>
                      </w:p>
                    </w:tc>
                    <w:tc>
                      <w:tcPr>
                        <w:tcW w:w="942" w:type="dxa"/>
                        <w:tcBorders>
                          <w:bottom w:val="single" w:sz="4" w:space="0" w:color="000000"/>
                        </w:tcBorders>
                      </w:tcPr>
                      <w:p>
                        <w:pPr>
                          <w:pStyle w:val="TableParagraph"/>
                          <w:spacing w:before="20"/>
                          <w:ind w:right="176"/>
                          <w:rPr>
                            <w:rFonts w:ascii="Arial"/>
                            <w:sz w:val="13"/>
                          </w:rPr>
                        </w:pPr>
                        <w:r>
                          <w:rPr>
                            <w:rFonts w:ascii="Arial"/>
                            <w:w w:val="105"/>
                            <w:sz w:val="13"/>
                          </w:rPr>
                          <w:t>0,011</w:t>
                        </w:r>
                      </w:p>
                    </w:tc>
                    <w:tc>
                      <w:tcPr>
                        <w:tcW w:w="707" w:type="dxa"/>
                        <w:tcBorders>
                          <w:bottom w:val="single" w:sz="4" w:space="0" w:color="000000"/>
                        </w:tcBorders>
                      </w:tcPr>
                      <w:p>
                        <w:pPr>
                          <w:pStyle w:val="TableParagraph"/>
                          <w:spacing w:before="20"/>
                          <w:ind w:right="178"/>
                          <w:rPr>
                            <w:rFonts w:ascii="Arial"/>
                            <w:sz w:val="13"/>
                          </w:rPr>
                        </w:pPr>
                        <w:r>
                          <w:rPr>
                            <w:rFonts w:ascii="Arial"/>
                            <w:w w:val="105"/>
                            <w:sz w:val="13"/>
                          </w:rPr>
                          <w:t>3,64</w:t>
                        </w:r>
                      </w:p>
                    </w:tc>
                    <w:tc>
                      <w:tcPr>
                        <w:tcW w:w="756" w:type="dxa"/>
                        <w:tcBorders>
                          <w:bottom w:val="single" w:sz="4" w:space="0" w:color="000000"/>
                        </w:tcBorders>
                      </w:tcPr>
                      <w:p>
                        <w:pPr>
                          <w:pStyle w:val="TableParagraph"/>
                          <w:spacing w:before="20"/>
                          <w:ind w:left="164" w:right="136"/>
                          <w:jc w:val="center"/>
                          <w:rPr>
                            <w:rFonts w:ascii="Arial"/>
                            <w:sz w:val="13"/>
                          </w:rPr>
                        </w:pPr>
                        <w:r>
                          <w:rPr>
                            <w:rFonts w:ascii="Arial"/>
                            <w:w w:val="105"/>
                            <w:sz w:val="13"/>
                          </w:rPr>
                          <w:t>3,80</w:t>
                        </w:r>
                      </w:p>
                    </w:tc>
                  </w:tr>
                  <w:tr>
                    <w:trPr>
                      <w:trHeight w:val="194" w:hRule="exact"/>
                    </w:trPr>
                    <w:tc>
                      <w:tcPr>
                        <w:tcW w:w="1035" w:type="dxa"/>
                      </w:tcPr>
                      <w:p>
                        <w:pPr/>
                      </w:p>
                    </w:tc>
                    <w:tc>
                      <w:tcPr>
                        <w:tcW w:w="2136" w:type="dxa"/>
                      </w:tcPr>
                      <w:p>
                        <w:pPr/>
                      </w:p>
                    </w:tc>
                    <w:tc>
                      <w:tcPr>
                        <w:tcW w:w="1255" w:type="dxa"/>
                        <w:tcBorders>
                          <w:top w:val="single" w:sz="4" w:space="0" w:color="000000"/>
                          <w:bottom w:val="single" w:sz="4" w:space="0" w:color="000000"/>
                        </w:tcBorders>
                      </w:tcPr>
                      <w:p>
                        <w:pPr>
                          <w:pStyle w:val="TableParagraph"/>
                          <w:spacing w:before="24"/>
                          <w:ind w:right="0"/>
                          <w:jc w:val="left"/>
                          <w:rPr>
                            <w:rFonts w:ascii="Arial"/>
                            <w:sz w:val="16"/>
                          </w:rPr>
                        </w:pPr>
                        <w:r>
                          <w:rPr>
                            <w:rFonts w:ascii="Arial"/>
                            <w:sz w:val="16"/>
                          </w:rPr>
                          <w:t>Alcalinidad*</w:t>
                        </w:r>
                      </w:p>
                    </w:tc>
                    <w:tc>
                      <w:tcPr>
                        <w:tcW w:w="942" w:type="dxa"/>
                        <w:tcBorders>
                          <w:top w:val="single" w:sz="4" w:space="0" w:color="000000"/>
                          <w:bottom w:val="single" w:sz="4" w:space="0" w:color="000000"/>
                        </w:tcBorders>
                      </w:tcPr>
                      <w:p>
                        <w:pPr>
                          <w:pStyle w:val="TableParagraph"/>
                          <w:spacing w:before="47"/>
                          <w:ind w:right="176"/>
                          <w:rPr>
                            <w:rFonts w:ascii="Arial"/>
                            <w:sz w:val="13"/>
                          </w:rPr>
                        </w:pPr>
                        <w:r>
                          <w:rPr>
                            <w:rFonts w:ascii="Arial"/>
                            <w:w w:val="105"/>
                            <w:sz w:val="13"/>
                          </w:rPr>
                          <w:t>0,011</w:t>
                        </w:r>
                      </w:p>
                    </w:tc>
                    <w:tc>
                      <w:tcPr>
                        <w:tcW w:w="707" w:type="dxa"/>
                        <w:tcBorders>
                          <w:top w:val="single" w:sz="4" w:space="0" w:color="000000"/>
                          <w:bottom w:val="single" w:sz="4" w:space="0" w:color="000000"/>
                        </w:tcBorders>
                      </w:tcPr>
                      <w:p>
                        <w:pPr>
                          <w:pStyle w:val="TableParagraph"/>
                          <w:spacing w:before="47"/>
                          <w:ind w:right="178"/>
                          <w:rPr>
                            <w:rFonts w:ascii="Arial"/>
                            <w:sz w:val="13"/>
                          </w:rPr>
                        </w:pPr>
                        <w:r>
                          <w:rPr>
                            <w:rFonts w:ascii="Arial"/>
                            <w:w w:val="105"/>
                            <w:sz w:val="13"/>
                          </w:rPr>
                          <w:t>50,32</w:t>
                        </w:r>
                      </w:p>
                    </w:tc>
                    <w:tc>
                      <w:tcPr>
                        <w:tcW w:w="756" w:type="dxa"/>
                        <w:tcBorders>
                          <w:top w:val="single" w:sz="4" w:space="0" w:color="000000"/>
                          <w:bottom w:val="single" w:sz="4" w:space="0" w:color="000000"/>
                        </w:tcBorders>
                      </w:tcPr>
                      <w:p>
                        <w:pPr>
                          <w:pStyle w:val="TableParagraph"/>
                          <w:spacing w:before="47"/>
                          <w:ind w:left="164" w:right="210"/>
                          <w:jc w:val="center"/>
                          <w:rPr>
                            <w:rFonts w:ascii="Arial"/>
                            <w:sz w:val="13"/>
                          </w:rPr>
                        </w:pPr>
                        <w:r>
                          <w:rPr>
                            <w:rFonts w:ascii="Arial"/>
                            <w:w w:val="105"/>
                            <w:sz w:val="13"/>
                          </w:rPr>
                          <w:t>52,52</w:t>
                        </w:r>
                      </w:p>
                    </w:tc>
                  </w:tr>
                  <w:tr>
                    <w:trPr>
                      <w:trHeight w:val="194" w:hRule="exact"/>
                    </w:trPr>
                    <w:tc>
                      <w:tcPr>
                        <w:tcW w:w="1035" w:type="dxa"/>
                      </w:tcPr>
                      <w:p>
                        <w:pPr/>
                      </w:p>
                    </w:tc>
                    <w:tc>
                      <w:tcPr>
                        <w:tcW w:w="2136" w:type="dxa"/>
                      </w:tcPr>
                      <w:p>
                        <w:pPr/>
                      </w:p>
                    </w:tc>
                    <w:tc>
                      <w:tcPr>
                        <w:tcW w:w="1255" w:type="dxa"/>
                        <w:tcBorders>
                          <w:top w:val="single" w:sz="4" w:space="0" w:color="000000"/>
                          <w:bottom w:val="single" w:sz="4" w:space="0" w:color="000000"/>
                        </w:tcBorders>
                      </w:tcPr>
                      <w:p>
                        <w:pPr>
                          <w:pStyle w:val="TableParagraph"/>
                          <w:spacing w:before="24"/>
                          <w:ind w:right="0"/>
                          <w:jc w:val="left"/>
                          <w:rPr>
                            <w:rFonts w:ascii="Arial"/>
                            <w:sz w:val="16"/>
                          </w:rPr>
                        </w:pPr>
                        <w:r>
                          <w:rPr>
                            <w:rFonts w:ascii="Arial"/>
                            <w:sz w:val="16"/>
                          </w:rPr>
                          <w:t>Temperatura</w:t>
                        </w:r>
                      </w:p>
                    </w:tc>
                    <w:tc>
                      <w:tcPr>
                        <w:tcW w:w="942" w:type="dxa"/>
                        <w:tcBorders>
                          <w:top w:val="single" w:sz="4" w:space="0" w:color="000000"/>
                          <w:bottom w:val="single" w:sz="4" w:space="0" w:color="000000"/>
                        </w:tcBorders>
                      </w:tcPr>
                      <w:p>
                        <w:pPr>
                          <w:pStyle w:val="TableParagraph"/>
                          <w:spacing w:before="47"/>
                          <w:ind w:right="176"/>
                          <w:rPr>
                            <w:rFonts w:ascii="Arial"/>
                            <w:sz w:val="13"/>
                          </w:rPr>
                        </w:pPr>
                        <w:r>
                          <w:rPr>
                            <w:rFonts w:ascii="Arial"/>
                            <w:w w:val="105"/>
                            <w:sz w:val="13"/>
                          </w:rPr>
                          <w:t>0,007</w:t>
                        </w:r>
                      </w:p>
                    </w:tc>
                    <w:tc>
                      <w:tcPr>
                        <w:tcW w:w="707" w:type="dxa"/>
                        <w:tcBorders>
                          <w:top w:val="single" w:sz="4" w:space="0" w:color="000000"/>
                          <w:bottom w:val="single" w:sz="4" w:space="0" w:color="000000"/>
                        </w:tcBorders>
                      </w:tcPr>
                      <w:p>
                        <w:pPr>
                          <w:pStyle w:val="TableParagraph"/>
                          <w:spacing w:before="47"/>
                          <w:ind w:right="178"/>
                          <w:rPr>
                            <w:rFonts w:ascii="Arial"/>
                            <w:sz w:val="13"/>
                          </w:rPr>
                        </w:pPr>
                        <w:r>
                          <w:rPr>
                            <w:rFonts w:ascii="Arial"/>
                            <w:w w:val="105"/>
                            <w:sz w:val="13"/>
                          </w:rPr>
                          <w:t>16,57</w:t>
                        </w:r>
                      </w:p>
                    </w:tc>
                    <w:tc>
                      <w:tcPr>
                        <w:tcW w:w="756" w:type="dxa"/>
                        <w:tcBorders>
                          <w:top w:val="single" w:sz="4" w:space="0" w:color="000000"/>
                          <w:bottom w:val="single" w:sz="4" w:space="0" w:color="000000"/>
                        </w:tcBorders>
                      </w:tcPr>
                      <w:p>
                        <w:pPr>
                          <w:pStyle w:val="TableParagraph"/>
                          <w:spacing w:before="47"/>
                          <w:ind w:left="164" w:right="210"/>
                          <w:jc w:val="center"/>
                          <w:rPr>
                            <w:rFonts w:ascii="Arial"/>
                            <w:sz w:val="13"/>
                          </w:rPr>
                        </w:pPr>
                        <w:r>
                          <w:rPr>
                            <w:rFonts w:ascii="Arial"/>
                            <w:w w:val="105"/>
                            <w:sz w:val="13"/>
                          </w:rPr>
                          <w:t>17,06</w:t>
                        </w:r>
                      </w:p>
                    </w:tc>
                  </w:tr>
                  <w:tr>
                    <w:trPr>
                      <w:trHeight w:val="194" w:hRule="exact"/>
                    </w:trPr>
                    <w:tc>
                      <w:tcPr>
                        <w:tcW w:w="1035" w:type="dxa"/>
                      </w:tcPr>
                      <w:p>
                        <w:pPr/>
                      </w:p>
                    </w:tc>
                    <w:tc>
                      <w:tcPr>
                        <w:tcW w:w="2136" w:type="dxa"/>
                      </w:tcPr>
                      <w:p>
                        <w:pPr/>
                      </w:p>
                    </w:tc>
                    <w:tc>
                      <w:tcPr>
                        <w:tcW w:w="1255" w:type="dxa"/>
                        <w:tcBorders>
                          <w:top w:val="single" w:sz="4" w:space="0" w:color="000000"/>
                          <w:bottom w:val="single" w:sz="4" w:space="0" w:color="000000"/>
                        </w:tcBorders>
                      </w:tcPr>
                      <w:p>
                        <w:pPr>
                          <w:pStyle w:val="TableParagraph"/>
                          <w:spacing w:before="25"/>
                          <w:ind w:right="0"/>
                          <w:jc w:val="left"/>
                          <w:rPr>
                            <w:rFonts w:ascii="Arial"/>
                            <w:sz w:val="16"/>
                          </w:rPr>
                        </w:pPr>
                        <w:r>
                          <w:rPr>
                            <w:rFonts w:ascii="Arial"/>
                            <w:sz w:val="16"/>
                          </w:rPr>
                          <w:t>pH</w:t>
                        </w:r>
                      </w:p>
                    </w:tc>
                    <w:tc>
                      <w:tcPr>
                        <w:tcW w:w="942" w:type="dxa"/>
                        <w:tcBorders>
                          <w:top w:val="single" w:sz="4" w:space="0" w:color="000000"/>
                          <w:bottom w:val="single" w:sz="4" w:space="0" w:color="000000"/>
                        </w:tcBorders>
                      </w:tcPr>
                      <w:p>
                        <w:pPr>
                          <w:pStyle w:val="TableParagraph"/>
                          <w:spacing w:before="46"/>
                          <w:ind w:right="176"/>
                          <w:rPr>
                            <w:rFonts w:ascii="Arial"/>
                            <w:sz w:val="13"/>
                          </w:rPr>
                        </w:pPr>
                        <w:r>
                          <w:rPr>
                            <w:rFonts w:ascii="Arial"/>
                            <w:w w:val="105"/>
                            <w:sz w:val="13"/>
                          </w:rPr>
                          <w:t>0,01</w:t>
                        </w:r>
                      </w:p>
                    </w:tc>
                    <w:tc>
                      <w:tcPr>
                        <w:tcW w:w="707" w:type="dxa"/>
                        <w:tcBorders>
                          <w:top w:val="single" w:sz="4" w:space="0" w:color="000000"/>
                          <w:bottom w:val="single" w:sz="4" w:space="0" w:color="000000"/>
                        </w:tcBorders>
                      </w:tcPr>
                      <w:p>
                        <w:pPr>
                          <w:pStyle w:val="TableParagraph"/>
                          <w:spacing w:before="46"/>
                          <w:ind w:right="178"/>
                          <w:rPr>
                            <w:rFonts w:ascii="Arial"/>
                            <w:sz w:val="13"/>
                          </w:rPr>
                        </w:pPr>
                        <w:r>
                          <w:rPr>
                            <w:rFonts w:ascii="Arial"/>
                            <w:w w:val="105"/>
                            <w:sz w:val="13"/>
                          </w:rPr>
                          <w:t>6,98</w:t>
                        </w:r>
                      </w:p>
                    </w:tc>
                    <w:tc>
                      <w:tcPr>
                        <w:tcW w:w="756" w:type="dxa"/>
                        <w:tcBorders>
                          <w:top w:val="single" w:sz="4" w:space="0" w:color="000000"/>
                          <w:bottom w:val="single" w:sz="4" w:space="0" w:color="000000"/>
                        </w:tcBorders>
                      </w:tcPr>
                      <w:p>
                        <w:pPr>
                          <w:pStyle w:val="TableParagraph"/>
                          <w:spacing w:before="46"/>
                          <w:ind w:left="164" w:right="136"/>
                          <w:jc w:val="center"/>
                          <w:rPr>
                            <w:rFonts w:ascii="Arial"/>
                            <w:sz w:val="13"/>
                          </w:rPr>
                        </w:pPr>
                        <w:r>
                          <w:rPr>
                            <w:rFonts w:ascii="Arial"/>
                            <w:w w:val="105"/>
                            <w:sz w:val="13"/>
                          </w:rPr>
                          <w:t>7,27</w:t>
                        </w:r>
                      </w:p>
                    </w:tc>
                  </w:tr>
                  <w:tr>
                    <w:trPr>
                      <w:trHeight w:val="192" w:hRule="exact"/>
                    </w:trPr>
                    <w:tc>
                      <w:tcPr>
                        <w:tcW w:w="1035" w:type="dxa"/>
                      </w:tcPr>
                      <w:p>
                        <w:pPr/>
                      </w:p>
                    </w:tc>
                    <w:tc>
                      <w:tcPr>
                        <w:tcW w:w="2136" w:type="dxa"/>
                      </w:tcPr>
                      <w:p>
                        <w:pPr/>
                      </w:p>
                    </w:tc>
                    <w:tc>
                      <w:tcPr>
                        <w:tcW w:w="1255" w:type="dxa"/>
                        <w:tcBorders>
                          <w:top w:val="single" w:sz="4" w:space="0" w:color="000000"/>
                        </w:tcBorders>
                      </w:tcPr>
                      <w:p>
                        <w:pPr>
                          <w:pStyle w:val="TableParagraph"/>
                          <w:spacing w:before="24"/>
                          <w:ind w:right="0"/>
                          <w:jc w:val="left"/>
                          <w:rPr>
                            <w:rFonts w:ascii="Arial"/>
                            <w:sz w:val="16"/>
                          </w:rPr>
                        </w:pPr>
                        <w:r>
                          <w:rPr>
                            <w:rFonts w:ascii="Arial"/>
                            <w:sz w:val="16"/>
                          </w:rPr>
                          <w:t>OD</w:t>
                        </w:r>
                      </w:p>
                    </w:tc>
                    <w:tc>
                      <w:tcPr>
                        <w:tcW w:w="942" w:type="dxa"/>
                        <w:tcBorders>
                          <w:top w:val="single" w:sz="4" w:space="0" w:color="000000"/>
                        </w:tcBorders>
                      </w:tcPr>
                      <w:p>
                        <w:pPr>
                          <w:pStyle w:val="TableParagraph"/>
                          <w:spacing w:before="47"/>
                          <w:ind w:right="176"/>
                          <w:rPr>
                            <w:rFonts w:ascii="Arial"/>
                            <w:sz w:val="13"/>
                          </w:rPr>
                        </w:pPr>
                        <w:r>
                          <w:rPr>
                            <w:rFonts w:ascii="Arial"/>
                            <w:w w:val="105"/>
                            <w:sz w:val="13"/>
                          </w:rPr>
                          <w:t>0,005</w:t>
                        </w:r>
                      </w:p>
                    </w:tc>
                    <w:tc>
                      <w:tcPr>
                        <w:tcW w:w="707" w:type="dxa"/>
                        <w:tcBorders>
                          <w:top w:val="single" w:sz="4" w:space="0" w:color="000000"/>
                        </w:tcBorders>
                      </w:tcPr>
                      <w:p>
                        <w:pPr>
                          <w:pStyle w:val="TableParagraph"/>
                          <w:spacing w:before="47"/>
                          <w:ind w:right="178"/>
                          <w:rPr>
                            <w:rFonts w:ascii="Arial"/>
                            <w:sz w:val="13"/>
                          </w:rPr>
                        </w:pPr>
                        <w:r>
                          <w:rPr>
                            <w:rFonts w:ascii="Arial"/>
                            <w:w w:val="105"/>
                            <w:sz w:val="13"/>
                          </w:rPr>
                          <w:t>6,73</w:t>
                        </w:r>
                      </w:p>
                    </w:tc>
                    <w:tc>
                      <w:tcPr>
                        <w:tcW w:w="756" w:type="dxa"/>
                        <w:tcBorders>
                          <w:top w:val="single" w:sz="4" w:space="0" w:color="000000"/>
                        </w:tcBorders>
                      </w:tcPr>
                      <w:p>
                        <w:pPr>
                          <w:pStyle w:val="TableParagraph"/>
                          <w:spacing w:before="47"/>
                          <w:ind w:left="164" w:right="136"/>
                          <w:jc w:val="center"/>
                          <w:rPr>
                            <w:rFonts w:ascii="Arial"/>
                            <w:sz w:val="13"/>
                          </w:rPr>
                        </w:pPr>
                        <w:r>
                          <w:rPr>
                            <w:rFonts w:ascii="Arial"/>
                            <w:w w:val="105"/>
                            <w:sz w:val="13"/>
                          </w:rPr>
                          <w:t>6,86</w:t>
                        </w:r>
                      </w:p>
                    </w:tc>
                  </w:tr>
                  <w:tr>
                    <w:trPr>
                      <w:trHeight w:val="1107" w:hRule="exact"/>
                    </w:trPr>
                    <w:tc>
                      <w:tcPr>
                        <w:tcW w:w="3172" w:type="dxa"/>
                        <w:gridSpan w:val="2"/>
                      </w:tcPr>
                      <w:p>
                        <w:pPr>
                          <w:pStyle w:val="TableParagraph"/>
                          <w:spacing w:before="0"/>
                          <w:ind w:right="0"/>
                          <w:jc w:val="left"/>
                          <w:rPr>
                            <w:rFonts w:ascii="Arial"/>
                            <w:sz w:val="18"/>
                          </w:rPr>
                        </w:pPr>
                      </w:p>
                      <w:p>
                        <w:pPr>
                          <w:pStyle w:val="TableParagraph"/>
                          <w:spacing w:before="121"/>
                          <w:ind w:left="195" w:right="535"/>
                          <w:jc w:val="left"/>
                          <w:rPr>
                            <w:rFonts w:ascii="Arial" w:hAnsi="Arial"/>
                            <w:sz w:val="18"/>
                          </w:rPr>
                        </w:pPr>
                        <w:r>
                          <w:rPr>
                            <w:rFonts w:ascii="Arial" w:hAnsi="Arial"/>
                            <w:sz w:val="18"/>
                          </w:rPr>
                          <w:t>#: Número de muestreos en el intervalo óptimo.</w:t>
                        </w:r>
                      </w:p>
                      <w:p>
                        <w:pPr>
                          <w:pStyle w:val="TableParagraph"/>
                          <w:spacing w:line="210" w:lineRule="exact" w:before="0"/>
                          <w:ind w:left="195" w:right="535"/>
                          <w:jc w:val="left"/>
                          <w:rPr>
                            <w:rFonts w:ascii="Arial"/>
                            <w:sz w:val="18"/>
                          </w:rPr>
                        </w:pPr>
                        <w:r>
                          <w:rPr>
                            <w:rFonts w:ascii="Arial"/>
                            <w:position w:val="2"/>
                            <w:sz w:val="18"/>
                          </w:rPr>
                          <w:t>*: mg como CaCO</w:t>
                        </w:r>
                        <w:r>
                          <w:rPr>
                            <w:rFonts w:ascii="Arial"/>
                            <w:sz w:val="12"/>
                          </w:rPr>
                          <w:t>3</w:t>
                        </w:r>
                        <w:r>
                          <w:rPr>
                            <w:rFonts w:ascii="Arial"/>
                            <w:position w:val="2"/>
                            <w:sz w:val="18"/>
                          </w:rPr>
                          <w:t>/L</w:t>
                        </w:r>
                      </w:p>
                    </w:tc>
                    <w:tc>
                      <w:tcPr>
                        <w:tcW w:w="1255" w:type="dxa"/>
                      </w:tcPr>
                      <w:p>
                        <w:pPr/>
                      </w:p>
                    </w:tc>
                    <w:tc>
                      <w:tcPr>
                        <w:tcW w:w="2405" w:type="dxa"/>
                        <w:gridSpan w:val="3"/>
                      </w:tcPr>
                      <w:p>
                        <w:pPr/>
                      </w:p>
                    </w:tc>
                  </w:tr>
                </w:tbl>
                <w:p>
                  <w:pPr>
                    <w:pStyle w:val="BodyText"/>
                  </w:pPr>
                </w:p>
              </w:txbxContent>
            </v:textbox>
            <w10:wrap type="none"/>
          </v:shape>
        </w:pict>
      </w:r>
      <w:r>
        <w:rPr>
          <w:b/>
          <w:sz w:val="18"/>
        </w:rPr>
        <w:t>Figura 31. Comportamiento de las concentraciones y eficiencia de remoción de los diferentes parámetros en el percolador.</w:t>
      </w:r>
    </w:p>
    <w:p>
      <w:pPr>
        <w:pStyle w:val="BodyText"/>
        <w:spacing w:before="8"/>
        <w:rPr>
          <w:b/>
          <w:sz w:val="17"/>
        </w:rPr>
      </w:pPr>
    </w:p>
    <w:p>
      <w:pPr>
        <w:pStyle w:val="BodyText"/>
        <w:spacing w:line="357" w:lineRule="auto" w:before="1"/>
        <w:ind w:left="1321" w:right="1157"/>
        <w:jc w:val="both"/>
      </w:pPr>
      <w:r>
        <w:rPr/>
        <w:t>El porcentaje de remoción de N-NH</w:t>
      </w:r>
      <w:r>
        <w:rPr>
          <w:position w:val="-2"/>
          <w:sz w:val="13"/>
        </w:rPr>
        <w:t>3 </w:t>
      </w:r>
      <w:r>
        <w:rPr/>
        <w:t>(en este caso baja), en el percolador, se debió principalmente a que se tuvo un concentración promedio pequeña a la entrada de la unidad (0,80 mg N-NH</w:t>
      </w:r>
      <w:r>
        <w:rPr>
          <w:position w:val="-2"/>
          <w:sz w:val="13"/>
        </w:rPr>
        <w:t>3</w:t>
      </w:r>
      <w:r>
        <w:rPr/>
        <w:t>/L) generado en el estanque de cultivo, lo que no permite desarrollar de manera adecuada una población de bacterias nitrificantes y por ende la remoción de las especies nitrogenadas. Aunado a lo anterior, en el diseño del percolador se propuso que el empaque fuera colocado dentro del biofiltro a granel, lo que en realidad disminuyó la superficie específica de contacto del mismo (Eding </w:t>
      </w:r>
      <w:r>
        <w:rPr>
          <w:i/>
        </w:rPr>
        <w:t>et al.</w:t>
      </w:r>
      <w:r>
        <w:rPr/>
        <w:t>, 2006).</w:t>
      </w:r>
    </w:p>
    <w:p>
      <w:pPr>
        <w:pStyle w:val="BodyText"/>
        <w:spacing w:before="9"/>
        <w:rPr>
          <w:sz w:val="17"/>
        </w:rPr>
      </w:pPr>
    </w:p>
    <w:p>
      <w:pPr>
        <w:pStyle w:val="BodyText"/>
        <w:spacing w:line="360" w:lineRule="auto"/>
        <w:ind w:left="1321" w:right="1158"/>
        <w:jc w:val="both"/>
      </w:pPr>
      <w:r>
        <w:rPr/>
        <w:t>Uno de los factores que contribuyó a contar con una remoción menor a 20 % de nitrógeno amoniacal total fue el pH. Aunque este parámetro se mantuvo en intervalos de tolerancia  y óptimos Bonvendeur (1989) indica que el pH a un valor de 8 permite el 100 % de la nitrificación en un biofiltro y en función de la disminución este valor desciende la</w:t>
      </w:r>
      <w:r>
        <w:rPr>
          <w:spacing w:val="30"/>
        </w:rPr>
        <w:t> </w:t>
      </w:r>
      <w:r>
        <w:rPr/>
        <w:t>remoción</w:t>
      </w:r>
    </w:p>
    <w:p>
      <w:pPr>
        <w:spacing w:after="0" w:line="360" w:lineRule="auto"/>
        <w:jc w:val="both"/>
        <w:sectPr>
          <w:pgSz w:w="12240" w:h="15840"/>
          <w:pgMar w:header="725" w:footer="1084" w:top="1340" w:bottom="1280" w:left="380" w:right="540"/>
        </w:sectPr>
      </w:pPr>
    </w:p>
    <w:p>
      <w:pPr>
        <w:pStyle w:val="BodyText"/>
        <w:spacing w:before="10"/>
        <w:rPr>
          <w:sz w:val="8"/>
        </w:rPr>
      </w:pPr>
    </w:p>
    <w:p>
      <w:pPr>
        <w:pStyle w:val="BodyText"/>
        <w:spacing w:line="360" w:lineRule="auto" w:before="73"/>
        <w:ind w:left="781" w:right="501"/>
        <w:jc w:val="both"/>
      </w:pPr>
      <w:r>
        <w:rPr/>
        <w:t>de compuestos nitrogenados. Este autor propone una ecuación polinominal (ecuación 7) para determinar la fracción en la reducción de la nitrificación.</w:t>
      </w:r>
    </w:p>
    <w:p>
      <w:pPr>
        <w:pStyle w:val="BodyText"/>
        <w:tabs>
          <w:tab w:pos="8569" w:val="left" w:leader="none"/>
        </w:tabs>
        <w:spacing w:before="189"/>
        <w:ind w:left="781"/>
        <w:jc w:val="both"/>
      </w:pPr>
      <w:r>
        <w:rPr/>
        <w:t>y = 0,148x</w:t>
      </w:r>
      <w:r>
        <w:rPr>
          <w:position w:val="10"/>
          <w:sz w:val="13"/>
        </w:rPr>
        <w:t>2  </w:t>
      </w:r>
      <w:r>
        <w:rPr/>
        <w:t>– 2,43x</w:t>
      </w:r>
      <w:r>
        <w:rPr>
          <w:spacing w:val="-14"/>
        </w:rPr>
        <w:t> </w:t>
      </w:r>
      <w:r>
        <w:rPr/>
        <w:t>+</w:t>
      </w:r>
      <w:r>
        <w:rPr>
          <w:spacing w:val="1"/>
        </w:rPr>
        <w:t> </w:t>
      </w:r>
      <w:r>
        <w:rPr/>
        <w:t>9,972</w:t>
        <w:tab/>
        <w:t>(7)</w:t>
      </w:r>
    </w:p>
    <w:p>
      <w:pPr>
        <w:spacing w:before="0"/>
        <w:ind w:left="781" w:right="0" w:firstLine="0"/>
        <w:jc w:val="both"/>
        <w:rPr>
          <w:sz w:val="18"/>
        </w:rPr>
      </w:pPr>
      <w:r>
        <w:rPr>
          <w:sz w:val="18"/>
        </w:rPr>
        <w:t>Donde: y = fracción en la reducción de la nitrificación, x = pH.</w:t>
      </w:r>
    </w:p>
    <w:p>
      <w:pPr>
        <w:pStyle w:val="BodyText"/>
        <w:spacing w:before="3"/>
        <w:rPr>
          <w:sz w:val="26"/>
        </w:rPr>
      </w:pPr>
    </w:p>
    <w:p>
      <w:pPr>
        <w:pStyle w:val="BodyText"/>
        <w:spacing w:line="360" w:lineRule="auto"/>
        <w:ind w:left="781" w:right="498"/>
        <w:jc w:val="both"/>
      </w:pPr>
      <w:r>
        <w:rPr/>
        <w:t>Con base en este modelo los valores de pH medios a la entrada del percolador, la  fracción para determinar la reducción en la nitrificación por efecto de este parámetro fue de 24 ± 17</w:t>
      </w:r>
      <w:r>
        <w:rPr>
          <w:spacing w:val="-5"/>
        </w:rPr>
        <w:t> </w:t>
      </w:r>
      <w:r>
        <w:rPr/>
        <w:t>%.</w:t>
      </w:r>
    </w:p>
    <w:p>
      <w:pPr>
        <w:pStyle w:val="BodyText"/>
        <w:spacing w:before="7"/>
        <w:rPr>
          <w:sz w:val="17"/>
        </w:rPr>
      </w:pPr>
    </w:p>
    <w:p>
      <w:pPr>
        <w:pStyle w:val="BodyText"/>
        <w:spacing w:line="357" w:lineRule="auto"/>
        <w:ind w:left="781" w:right="499"/>
        <w:jc w:val="both"/>
      </w:pPr>
      <w:r>
        <w:rPr/>
        <w:t>La alcalinidad es un parámetro determinante para que el proceso de nitrificación se lleve a cabo en condiciones adecuadas en esta unidad (Boyd, 1990); sin embargo, en el agua de lluvia utilizada la alcalinidad fue de 3,21 mg/L como CaCO</w:t>
      </w:r>
      <w:r>
        <w:rPr>
          <w:position w:val="-2"/>
          <w:sz w:val="13"/>
        </w:rPr>
        <w:t>3 </w:t>
      </w:r>
      <w:r>
        <w:rPr/>
        <w:t>muy por debajo de los niveles recomendados para el proceso de nitrificación (Timmons </w:t>
      </w:r>
      <w:r>
        <w:rPr>
          <w:i/>
        </w:rPr>
        <w:t>et al</w:t>
      </w:r>
      <w:r>
        <w:rPr/>
        <w:t>. 2002).</w:t>
      </w:r>
    </w:p>
    <w:p>
      <w:pPr>
        <w:pStyle w:val="BodyText"/>
        <w:spacing w:before="9"/>
        <w:rPr>
          <w:sz w:val="17"/>
        </w:rPr>
      </w:pPr>
    </w:p>
    <w:p>
      <w:pPr>
        <w:pStyle w:val="BodyText"/>
        <w:spacing w:line="357" w:lineRule="auto"/>
        <w:ind w:left="781" w:right="497"/>
        <w:jc w:val="both"/>
      </w:pPr>
      <w:r>
        <w:rPr/>
        <w:t>Para aumentar la alcalinidad, así como el pH se agregó bicarbonato de sodio, sal y cal química (Trujillo y Martínez, 2008; Loyless y Malone, 1997) logrando un incremento en promedio de 60 mg/L como CaCO</w:t>
      </w:r>
      <w:r>
        <w:rPr>
          <w:position w:val="-2"/>
          <w:sz w:val="13"/>
        </w:rPr>
        <w:t>3</w:t>
      </w:r>
      <w:r>
        <w:rPr/>
        <w:t>, que permitió la remoción de nitrógeno amoniacal total en los biofiltros aunque no en los porcentajes reportados por García (2008) y Gallego (2004), los cuales fueron 57,0 % y 53,24 %, respectivamente.</w:t>
      </w:r>
    </w:p>
    <w:p>
      <w:pPr>
        <w:pStyle w:val="BodyText"/>
        <w:spacing w:before="9"/>
        <w:rPr>
          <w:sz w:val="17"/>
        </w:rPr>
      </w:pPr>
    </w:p>
    <w:p>
      <w:pPr>
        <w:pStyle w:val="BodyText"/>
        <w:spacing w:line="352" w:lineRule="auto"/>
        <w:ind w:left="781" w:right="497"/>
        <w:jc w:val="both"/>
      </w:pPr>
      <w:r>
        <w:rPr/>
        <w:t>Timmons </w:t>
      </w:r>
      <w:r>
        <w:rPr>
          <w:i/>
        </w:rPr>
        <w:t>et al</w:t>
      </w:r>
      <w:r>
        <w:rPr/>
        <w:t>. (2002) y Loyless y Malone (1997) mencionan que para una buena nitrificación la alcalinidad debe ser mayor a 100 mg/L como CaCO</w:t>
      </w:r>
      <w:r>
        <w:rPr>
          <w:position w:val="-2"/>
          <w:sz w:val="13"/>
        </w:rPr>
        <w:t>3</w:t>
      </w:r>
      <w:r>
        <w:rPr/>
        <w:t>, sin embargo a 50 mg/L como CaCO</w:t>
      </w:r>
      <w:r>
        <w:rPr>
          <w:position w:val="-2"/>
          <w:sz w:val="13"/>
        </w:rPr>
        <w:t>3 </w:t>
      </w:r>
      <w:r>
        <w:rPr/>
        <w:t>este proceso se empieza a llevar a cabo con eficiencia aceptable, pero a concentraciones menores a 25 mg/L como CaCO</w:t>
      </w:r>
      <w:r>
        <w:rPr>
          <w:position w:val="-2"/>
          <w:sz w:val="13"/>
        </w:rPr>
        <w:t>3  </w:t>
      </w:r>
      <w:r>
        <w:rPr/>
        <w:t>puede ser</w:t>
      </w:r>
      <w:r>
        <w:rPr>
          <w:spacing w:val="-30"/>
        </w:rPr>
        <w:t> </w:t>
      </w:r>
      <w:r>
        <w:rPr/>
        <w:t>letal.</w:t>
      </w:r>
    </w:p>
    <w:p>
      <w:pPr>
        <w:pStyle w:val="BodyText"/>
        <w:spacing w:line="357" w:lineRule="auto" w:before="196"/>
        <w:ind w:left="781" w:right="497"/>
        <w:jc w:val="both"/>
      </w:pPr>
      <w:r>
        <w:rPr/>
        <w:t>Por último un factor no considerado en la literatura es la concentración de nitratos disueltos en el agua, este ión puede provocar una acidez iónica y en presencia de CO</w:t>
      </w:r>
      <w:r>
        <w:rPr>
          <w:position w:val="-2"/>
          <w:sz w:val="13"/>
        </w:rPr>
        <w:t>2 </w:t>
      </w:r>
      <w:r>
        <w:rPr/>
        <w:t>libre una acidez mineral. De acuerdo al índice de Larson a valores mayores de 1,0 el agua se considera altamente corrosiva y con acidez iónica alta (Hernández, 2010) e inhibe la actividad catalítica de las bacterias encargadas de la oxidación del nitrógeno amoniacal total (García,</w:t>
      </w:r>
      <w:r>
        <w:rPr>
          <w:spacing w:val="-9"/>
        </w:rPr>
        <w:t> </w:t>
      </w:r>
      <w:r>
        <w:rPr/>
        <w:t>2010).</w:t>
      </w:r>
    </w:p>
    <w:p>
      <w:pPr>
        <w:pStyle w:val="BodyText"/>
        <w:rPr>
          <w:sz w:val="18"/>
        </w:rPr>
      </w:pPr>
    </w:p>
    <w:p>
      <w:pPr>
        <w:pStyle w:val="BodyText"/>
        <w:spacing w:line="360" w:lineRule="auto"/>
        <w:ind w:left="781" w:right="497"/>
        <w:jc w:val="both"/>
      </w:pPr>
      <w:r>
        <w:rPr/>
        <w:t>El índice de Larson determinado para el percolador con base en la modificación realizada por García (2010), donde se considera la concentración del ión nitrato y asumiendo que las concentraciones de sulfatos y cloruros son despreciables, fue de IL* = 5,02. El  </w:t>
      </w:r>
      <w:r>
        <w:rPr>
          <w:spacing w:val="57"/>
        </w:rPr>
        <w:t> </w:t>
      </w:r>
      <w:r>
        <w:rPr/>
        <w:t>índice</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501"/>
        <w:jc w:val="both"/>
      </w:pPr>
      <w:r>
        <w:rPr/>
        <w:t>obtenido permite asumir a la concentración del ión nitrato como responsable de la baja remoción del nitrógeno amoniacal total.</w:t>
      </w:r>
    </w:p>
    <w:p>
      <w:pPr>
        <w:pStyle w:val="BodyText"/>
        <w:spacing w:before="9"/>
        <w:rPr>
          <w:sz w:val="17"/>
        </w:rPr>
      </w:pPr>
    </w:p>
    <w:p>
      <w:pPr>
        <w:pStyle w:val="BodyText"/>
        <w:spacing w:line="360" w:lineRule="auto"/>
        <w:ind w:left="781" w:right="498" w:firstLine="59"/>
        <w:jc w:val="both"/>
      </w:pPr>
      <w:r>
        <w:rPr/>
        <w:t>Aún con el impacto de estos tres factores las concentraciones de los parámetros limitantes en el efluente del biofiltro fueron aceptables para permitir la vida de la trucha arco iris.</w:t>
      </w:r>
    </w:p>
    <w:p>
      <w:pPr>
        <w:pStyle w:val="BodyText"/>
        <w:spacing w:before="4"/>
        <w:rPr>
          <w:sz w:val="17"/>
        </w:rPr>
      </w:pPr>
    </w:p>
    <w:p>
      <w:pPr>
        <w:pStyle w:val="Heading5"/>
        <w:numPr>
          <w:ilvl w:val="3"/>
          <w:numId w:val="14"/>
        </w:numPr>
        <w:tabs>
          <w:tab w:pos="1578" w:val="left" w:leader="none"/>
        </w:tabs>
        <w:spacing w:line="240" w:lineRule="auto" w:before="0" w:after="0"/>
        <w:ind w:left="1577" w:right="0" w:hanging="796"/>
        <w:jc w:val="both"/>
      </w:pPr>
      <w:bookmarkStart w:name="_TOC_250035" w:id="114"/>
      <w:bookmarkStart w:name="5.5.1.2. Filtro de arena" w:id="115"/>
      <w:r>
        <w:rPr>
          <w:b w:val="0"/>
        </w:rPr>
      </w:r>
      <w:bookmarkEnd w:id="115"/>
      <w:bookmarkStart w:name="5.5.1.2. Filtro de arena" w:id="116"/>
      <w:r>
        <w:rPr/>
        <w:t>F</w:t>
      </w:r>
      <w:r>
        <w:rPr/>
        <w:t>ILTRO DE</w:t>
      </w:r>
      <w:r>
        <w:rPr>
          <w:spacing w:val="-3"/>
        </w:rPr>
        <w:t> </w:t>
      </w:r>
      <w:bookmarkEnd w:id="114"/>
      <w:r>
        <w:rPr/>
        <w:t>ARENA</w:t>
      </w:r>
    </w:p>
    <w:p>
      <w:pPr>
        <w:pStyle w:val="BodyText"/>
        <w:spacing w:before="8"/>
        <w:rPr>
          <w:b/>
          <w:sz w:val="28"/>
        </w:rPr>
      </w:pPr>
    </w:p>
    <w:p>
      <w:pPr>
        <w:pStyle w:val="BodyText"/>
        <w:spacing w:line="360" w:lineRule="auto"/>
        <w:ind w:left="781" w:right="498"/>
        <w:jc w:val="both"/>
      </w:pPr>
      <w:r>
        <w:rPr/>
        <w:t>El filtro de arena en un principio fue concebido como un filtro rápido con flujo ascendente, sin embargo, al momento de la operación se tomó la decisión de utilizarlo como un filtro  de arena descendente. Este cambio aumentó el tiempo de retención hidráulica y al estar mayor tiempo el agua en contacto con las bacterias que poblaron las partículas de arena se permitió que existiera remoción de los contaminantes monitoreados (Metcalf y Eddy, 1991). En La figura 32 se observa un esquema del filtro de arena con las concentraciones de entrada y salida de los parámetros limitantes al cultivo de la trucha, así como, </w:t>
      </w:r>
      <w:r>
        <w:rPr>
          <w:spacing w:val="-3"/>
        </w:rPr>
        <w:t>los </w:t>
      </w:r>
      <w:r>
        <w:rPr/>
        <w:t>porcentajes de remoción de los</w:t>
      </w:r>
      <w:r>
        <w:rPr>
          <w:spacing w:val="-13"/>
        </w:rPr>
        <w:t> </w:t>
      </w:r>
      <w:r>
        <w:rPr/>
        <w:t>mismos.</w:t>
      </w:r>
    </w:p>
    <w:p>
      <w:pPr>
        <w:pStyle w:val="BodyText"/>
        <w:spacing w:before="9"/>
        <w:rPr>
          <w:sz w:val="17"/>
        </w:rPr>
      </w:pPr>
    </w:p>
    <w:p>
      <w:pPr>
        <w:pStyle w:val="BodyText"/>
        <w:spacing w:line="360" w:lineRule="auto"/>
        <w:ind w:left="781" w:right="497"/>
        <w:jc w:val="both"/>
      </w:pPr>
      <w:r>
        <w:rPr/>
        <w:t>Los valores en la salida del biofiltro, si bien ya se encontraban en rangos donde no ponían en peligro el cultivo, se tenía el riesgo de que las concentraciones de las especies nitrogenadas llegaran a valores de tolerancia.</w:t>
      </w:r>
    </w:p>
    <w:p>
      <w:pPr>
        <w:pStyle w:val="BodyText"/>
        <w:spacing w:before="9"/>
        <w:rPr>
          <w:sz w:val="17"/>
        </w:rPr>
      </w:pPr>
    </w:p>
    <w:p>
      <w:pPr>
        <w:pStyle w:val="BodyText"/>
        <w:spacing w:line="360" w:lineRule="auto"/>
        <w:ind w:left="781" w:right="498"/>
        <w:jc w:val="both"/>
      </w:pPr>
      <w:r>
        <w:rPr/>
        <w:t>La función principal del filtro de arena fue la remoción de sólidos suspendidos totales generados al desprenderse la biopelícula muerta del filtro percolador (Eding </w:t>
      </w:r>
      <w:r>
        <w:rPr>
          <w:i/>
        </w:rPr>
        <w:t>et al</w:t>
      </w:r>
      <w:r>
        <w:rPr/>
        <w:t>. 2006). En efecto, los SST en el influente de esta unidad del tren de tratamiento fueron removidos en un porcentaje de 40,79 ± 0,78 %, aunque se puede considerar como una remoción baja, el intervalo de trabajo de este filtro para los sólidos entre la concentración de entrada y salida fue de 1,67 mg/L.</w:t>
      </w:r>
    </w:p>
    <w:p>
      <w:pPr>
        <w:pStyle w:val="BodyText"/>
        <w:spacing w:before="9"/>
        <w:rPr>
          <w:sz w:val="17"/>
        </w:rPr>
      </w:pPr>
    </w:p>
    <w:p>
      <w:pPr>
        <w:pStyle w:val="BodyText"/>
        <w:spacing w:line="355" w:lineRule="auto"/>
        <w:ind w:left="781" w:right="498"/>
        <w:jc w:val="both"/>
      </w:pPr>
      <w:r>
        <w:rPr/>
        <w:t>En el filtro de arena el porcentaje de remoción del nitrógeno amoniacal fue de 74,15 ±  0,50 %, con un valor promedio a la salida de 0,27 mg/L de N-NH</w:t>
      </w:r>
      <w:r>
        <w:rPr>
          <w:position w:val="-2"/>
          <w:sz w:val="13"/>
        </w:rPr>
        <w:t>3 </w:t>
      </w:r>
      <w:r>
        <w:rPr/>
        <w:t>cumpliendo con el objetivo de cambiar la operación de un filtro ascendente a un filtro lento de</w:t>
      </w:r>
      <w:r>
        <w:rPr>
          <w:spacing w:val="-30"/>
        </w:rPr>
        <w:t> </w:t>
      </w:r>
      <w:r>
        <w:rPr/>
        <w:t>arena.</w:t>
      </w:r>
    </w:p>
    <w:p>
      <w:pPr>
        <w:spacing w:after="0" w:line="355" w:lineRule="auto"/>
        <w:jc w:val="both"/>
        <w:sectPr>
          <w:pgSz w:w="12240" w:h="15840"/>
          <w:pgMar w:header="725" w:footer="1084" w:top="1340" w:bottom="1280" w:left="920" w:right="1200"/>
        </w:sectPr>
      </w:pPr>
    </w:p>
    <w:p>
      <w:pPr>
        <w:pStyle w:val="BodyText"/>
        <w:rPr>
          <w:sz w:val="20"/>
        </w:rPr>
      </w:pPr>
      <w:r>
        <w:rPr/>
        <w:pict>
          <v:group style="position:absolute;margin-left:254.039993pt;margin-top:101.639999pt;width:249.15pt;height:236.2pt;mso-position-horizontal-relative:page;mso-position-vertical-relative:page;z-index:-1524688" coordorigin="5081,2033" coordsize="4983,4724">
            <v:shape style="position:absolute;left:5081;top:2033;width:2455;height:4332" type="#_x0000_t75" stroked="false">
              <v:imagedata r:id="rId63" o:title=""/>
            </v:shape>
            <v:rect style="position:absolute;left:6074;top:2088;width:3989;height:4668" filled="true" fillcolor="#ffffff" stroked="false">
              <v:fill type="solid"/>
            </v:rect>
            <w10:wrap type="none"/>
          </v:group>
        </w:pict>
      </w:r>
      <w:r>
        <w:rPr/>
        <w:pict>
          <v:rect style="position:absolute;margin-left:117.719994pt;margin-top:287.640015pt;width:124.559997pt;height:38.159999pt;mso-position-horizontal-relative:page;mso-position-vertical-relative:page;z-index:-1524664" filled="false" stroked="true" strokeweight=".75pt" strokecolor="#000000">
            <w10:wrap type="none"/>
          </v:rect>
        </w:pict>
      </w:r>
      <w:r>
        <w:rPr/>
        <w:pict>
          <v:shape style="position:absolute;margin-left:306pt;margin-top:224.52002pt;width:183.15pt;height:104.4pt;mso-position-horizontal-relative:page;mso-position-vertical-relative:page;z-index:716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8"/>
                    <w:gridCol w:w="1102"/>
                    <w:gridCol w:w="708"/>
                    <w:gridCol w:w="710"/>
                  </w:tblGrid>
                  <w:tr>
                    <w:trPr>
                      <w:trHeight w:val="331" w:hRule="exact"/>
                    </w:trPr>
                    <w:tc>
                      <w:tcPr>
                        <w:tcW w:w="1128" w:type="dxa"/>
                        <w:tcBorders>
                          <w:left w:val="nil"/>
                        </w:tcBorders>
                        <w:shd w:val="clear" w:color="auto" w:fill="FFFFFF"/>
                      </w:tcPr>
                      <w:p>
                        <w:pPr>
                          <w:pStyle w:val="TableParagraph"/>
                          <w:spacing w:before="75"/>
                          <w:ind w:left="213" w:right="112"/>
                          <w:jc w:val="left"/>
                          <w:rPr>
                            <w:rFonts w:ascii="Arial" w:hAnsi="Arial"/>
                            <w:b/>
                            <w:sz w:val="14"/>
                          </w:rPr>
                        </w:pPr>
                        <w:r>
                          <w:rPr>
                            <w:rFonts w:ascii="Arial" w:hAnsi="Arial"/>
                            <w:b/>
                            <w:sz w:val="14"/>
                          </w:rPr>
                          <w:t>Parámetro</w:t>
                        </w:r>
                      </w:p>
                    </w:tc>
                    <w:tc>
                      <w:tcPr>
                        <w:tcW w:w="1102" w:type="dxa"/>
                      </w:tcPr>
                      <w:p>
                        <w:pPr>
                          <w:pStyle w:val="TableParagraph"/>
                          <w:spacing w:before="0"/>
                          <w:ind w:left="136" w:right="118" w:firstLine="31"/>
                          <w:jc w:val="left"/>
                          <w:rPr>
                            <w:rFonts w:ascii="Arial" w:hAnsi="Arial"/>
                            <w:b/>
                            <w:sz w:val="14"/>
                          </w:rPr>
                        </w:pPr>
                        <w:r>
                          <w:rPr>
                            <w:rFonts w:ascii="Arial" w:hAnsi="Arial"/>
                            <w:b/>
                            <w:sz w:val="14"/>
                          </w:rPr>
                          <w:t>Coeficiente de variación</w:t>
                        </w:r>
                      </w:p>
                    </w:tc>
                    <w:tc>
                      <w:tcPr>
                        <w:tcW w:w="1418" w:type="dxa"/>
                        <w:gridSpan w:val="2"/>
                      </w:tcPr>
                      <w:p>
                        <w:pPr>
                          <w:pStyle w:val="TableParagraph"/>
                          <w:spacing w:before="0"/>
                          <w:ind w:left="160" w:right="147" w:firstLine="110"/>
                          <w:jc w:val="left"/>
                          <w:rPr>
                            <w:rFonts w:ascii="Arial"/>
                            <w:b/>
                            <w:sz w:val="14"/>
                          </w:rPr>
                        </w:pPr>
                        <w:r>
                          <w:rPr>
                            <w:rFonts w:ascii="Arial"/>
                            <w:b/>
                            <w:sz w:val="14"/>
                          </w:rPr>
                          <w:t>Intervalos de confianza a 95%</w:t>
                        </w:r>
                      </w:p>
                    </w:tc>
                  </w:tr>
                  <w:tr>
                    <w:trPr>
                      <w:trHeight w:val="194" w:hRule="exact"/>
                    </w:trPr>
                    <w:tc>
                      <w:tcPr>
                        <w:tcW w:w="1128" w:type="dxa"/>
                        <w:tcBorders>
                          <w:left w:val="nil"/>
                        </w:tcBorders>
                        <w:shd w:val="clear" w:color="auto" w:fill="FFFFFF"/>
                      </w:tcPr>
                      <w:p>
                        <w:pPr>
                          <w:pStyle w:val="TableParagraph"/>
                          <w:spacing w:line="187" w:lineRule="exact" w:before="0"/>
                          <w:ind w:left="103" w:right="112"/>
                          <w:jc w:val="left"/>
                          <w:rPr>
                            <w:rFonts w:ascii="Arial"/>
                            <w:sz w:val="10"/>
                          </w:rPr>
                        </w:pPr>
                        <w:r>
                          <w:rPr>
                            <w:rFonts w:ascii="Arial"/>
                            <w:position w:val="2"/>
                            <w:sz w:val="16"/>
                          </w:rPr>
                          <w:t>N-NH</w:t>
                        </w:r>
                        <w:r>
                          <w:rPr>
                            <w:rFonts w:ascii="Arial"/>
                            <w:sz w:val="10"/>
                          </w:rPr>
                          <w:t>3</w:t>
                        </w:r>
                      </w:p>
                    </w:tc>
                    <w:tc>
                      <w:tcPr>
                        <w:tcW w:w="1102" w:type="dxa"/>
                      </w:tcPr>
                      <w:p>
                        <w:pPr>
                          <w:pStyle w:val="TableParagraph"/>
                          <w:spacing w:before="19"/>
                          <w:ind w:right="103"/>
                          <w:rPr>
                            <w:rFonts w:ascii="Arial"/>
                            <w:sz w:val="13"/>
                          </w:rPr>
                        </w:pPr>
                        <w:r>
                          <w:rPr>
                            <w:rFonts w:ascii="Arial"/>
                            <w:w w:val="105"/>
                            <w:sz w:val="13"/>
                          </w:rPr>
                          <w:t>0,019</w:t>
                        </w:r>
                      </w:p>
                    </w:tc>
                    <w:tc>
                      <w:tcPr>
                        <w:tcW w:w="708" w:type="dxa"/>
                      </w:tcPr>
                      <w:p>
                        <w:pPr>
                          <w:pStyle w:val="TableParagraph"/>
                          <w:spacing w:before="19"/>
                          <w:ind w:right="103"/>
                          <w:rPr>
                            <w:rFonts w:ascii="Arial"/>
                            <w:sz w:val="13"/>
                          </w:rPr>
                        </w:pPr>
                        <w:r>
                          <w:rPr>
                            <w:rFonts w:ascii="Arial"/>
                            <w:w w:val="105"/>
                            <w:sz w:val="13"/>
                          </w:rPr>
                          <w:t>0,64</w:t>
                        </w:r>
                      </w:p>
                    </w:tc>
                    <w:tc>
                      <w:tcPr>
                        <w:tcW w:w="710" w:type="dxa"/>
                      </w:tcPr>
                      <w:p>
                        <w:pPr>
                          <w:pStyle w:val="TableParagraph"/>
                          <w:spacing w:before="19"/>
                          <w:ind w:right="106"/>
                          <w:rPr>
                            <w:rFonts w:ascii="Arial"/>
                            <w:sz w:val="13"/>
                          </w:rPr>
                        </w:pPr>
                        <w:r>
                          <w:rPr>
                            <w:rFonts w:ascii="Arial"/>
                            <w:w w:val="105"/>
                            <w:sz w:val="13"/>
                          </w:rPr>
                          <w:t>0,68</w:t>
                        </w:r>
                      </w:p>
                    </w:tc>
                  </w:tr>
                  <w:tr>
                    <w:trPr>
                      <w:trHeight w:val="194" w:hRule="exact"/>
                    </w:trPr>
                    <w:tc>
                      <w:tcPr>
                        <w:tcW w:w="1128" w:type="dxa"/>
                        <w:tcBorders>
                          <w:left w:val="nil"/>
                        </w:tcBorders>
                        <w:shd w:val="clear" w:color="auto" w:fill="FFFFFF"/>
                      </w:tcPr>
                      <w:p>
                        <w:pPr>
                          <w:pStyle w:val="TableParagraph"/>
                          <w:spacing w:line="126" w:lineRule="exact" w:before="0"/>
                          <w:ind w:left="103" w:right="112"/>
                          <w:jc w:val="left"/>
                          <w:rPr>
                            <w:rFonts w:ascii="Arial"/>
                            <w:sz w:val="10"/>
                          </w:rPr>
                        </w:pPr>
                        <w:r>
                          <w:rPr>
                            <w:rFonts w:ascii="Arial"/>
                            <w:sz w:val="16"/>
                          </w:rPr>
                          <w:t>N-NO </w:t>
                        </w:r>
                        <w:r>
                          <w:rPr>
                            <w:rFonts w:ascii="Arial"/>
                            <w:position w:val="8"/>
                            <w:sz w:val="10"/>
                          </w:rPr>
                          <w:t>-</w:t>
                        </w:r>
                      </w:p>
                      <w:p>
                        <w:pPr>
                          <w:pStyle w:val="TableParagraph"/>
                          <w:spacing w:line="61" w:lineRule="exact" w:before="0"/>
                          <w:ind w:right="42"/>
                          <w:jc w:val="center"/>
                          <w:rPr>
                            <w:rFonts w:ascii="Arial"/>
                            <w:sz w:val="10"/>
                          </w:rPr>
                        </w:pPr>
                        <w:r>
                          <w:rPr>
                            <w:rFonts w:ascii="Arial"/>
                            <w:w w:val="100"/>
                            <w:sz w:val="10"/>
                          </w:rPr>
                          <w:t>2</w:t>
                        </w:r>
                      </w:p>
                    </w:tc>
                    <w:tc>
                      <w:tcPr>
                        <w:tcW w:w="1102" w:type="dxa"/>
                      </w:tcPr>
                      <w:p>
                        <w:pPr>
                          <w:pStyle w:val="TableParagraph"/>
                          <w:spacing w:before="19"/>
                          <w:ind w:right="103"/>
                          <w:rPr>
                            <w:rFonts w:ascii="Arial"/>
                            <w:sz w:val="13"/>
                          </w:rPr>
                        </w:pPr>
                        <w:r>
                          <w:rPr>
                            <w:rFonts w:ascii="Arial"/>
                            <w:w w:val="105"/>
                            <w:sz w:val="13"/>
                          </w:rPr>
                          <w:t>0,0181</w:t>
                        </w:r>
                      </w:p>
                    </w:tc>
                    <w:tc>
                      <w:tcPr>
                        <w:tcW w:w="708" w:type="dxa"/>
                      </w:tcPr>
                      <w:p>
                        <w:pPr>
                          <w:pStyle w:val="TableParagraph"/>
                          <w:spacing w:before="19"/>
                          <w:ind w:right="103"/>
                          <w:rPr>
                            <w:rFonts w:ascii="Arial"/>
                            <w:sz w:val="13"/>
                          </w:rPr>
                        </w:pPr>
                        <w:r>
                          <w:rPr>
                            <w:rFonts w:ascii="Arial"/>
                            <w:w w:val="105"/>
                            <w:sz w:val="13"/>
                          </w:rPr>
                          <w:t>0,30</w:t>
                        </w:r>
                      </w:p>
                    </w:tc>
                    <w:tc>
                      <w:tcPr>
                        <w:tcW w:w="710" w:type="dxa"/>
                      </w:tcPr>
                      <w:p>
                        <w:pPr>
                          <w:pStyle w:val="TableParagraph"/>
                          <w:spacing w:before="19"/>
                          <w:ind w:right="106"/>
                          <w:rPr>
                            <w:rFonts w:ascii="Arial"/>
                            <w:sz w:val="13"/>
                          </w:rPr>
                        </w:pPr>
                        <w:r>
                          <w:rPr>
                            <w:rFonts w:ascii="Arial"/>
                            <w:w w:val="105"/>
                            <w:sz w:val="13"/>
                          </w:rPr>
                          <w:t>0,32</w:t>
                        </w:r>
                      </w:p>
                    </w:tc>
                  </w:tr>
                  <w:tr>
                    <w:trPr>
                      <w:trHeight w:val="194" w:hRule="exact"/>
                    </w:trPr>
                    <w:tc>
                      <w:tcPr>
                        <w:tcW w:w="1128" w:type="dxa"/>
                        <w:tcBorders>
                          <w:left w:val="nil"/>
                        </w:tcBorders>
                        <w:shd w:val="clear" w:color="auto" w:fill="FFFFFF"/>
                      </w:tcPr>
                      <w:p>
                        <w:pPr>
                          <w:pStyle w:val="TableParagraph"/>
                          <w:spacing w:line="126" w:lineRule="exact" w:before="0"/>
                          <w:ind w:left="103" w:right="112"/>
                          <w:jc w:val="left"/>
                          <w:rPr>
                            <w:rFonts w:ascii="Arial"/>
                            <w:sz w:val="10"/>
                          </w:rPr>
                        </w:pPr>
                        <w:r>
                          <w:rPr>
                            <w:rFonts w:ascii="Arial"/>
                            <w:sz w:val="16"/>
                          </w:rPr>
                          <w:t>N-NO </w:t>
                        </w:r>
                        <w:r>
                          <w:rPr>
                            <w:rFonts w:ascii="Arial"/>
                            <w:position w:val="8"/>
                            <w:sz w:val="10"/>
                          </w:rPr>
                          <w:t>-</w:t>
                        </w:r>
                      </w:p>
                      <w:p>
                        <w:pPr>
                          <w:pStyle w:val="TableParagraph"/>
                          <w:spacing w:line="61" w:lineRule="exact" w:before="0"/>
                          <w:ind w:right="42"/>
                          <w:jc w:val="center"/>
                          <w:rPr>
                            <w:rFonts w:ascii="Arial"/>
                            <w:sz w:val="10"/>
                          </w:rPr>
                        </w:pPr>
                        <w:r>
                          <w:rPr>
                            <w:rFonts w:ascii="Arial"/>
                            <w:w w:val="100"/>
                            <w:sz w:val="10"/>
                          </w:rPr>
                          <w:t>3</w:t>
                        </w:r>
                      </w:p>
                    </w:tc>
                    <w:tc>
                      <w:tcPr>
                        <w:tcW w:w="1102" w:type="dxa"/>
                      </w:tcPr>
                      <w:p>
                        <w:pPr>
                          <w:pStyle w:val="TableParagraph"/>
                          <w:spacing w:before="19"/>
                          <w:ind w:right="103"/>
                          <w:rPr>
                            <w:rFonts w:ascii="Arial"/>
                            <w:sz w:val="13"/>
                          </w:rPr>
                        </w:pPr>
                        <w:r>
                          <w:rPr>
                            <w:rFonts w:ascii="Arial"/>
                            <w:w w:val="105"/>
                            <w:sz w:val="13"/>
                          </w:rPr>
                          <w:t>0,0032</w:t>
                        </w:r>
                      </w:p>
                    </w:tc>
                    <w:tc>
                      <w:tcPr>
                        <w:tcW w:w="708" w:type="dxa"/>
                      </w:tcPr>
                      <w:p>
                        <w:pPr>
                          <w:pStyle w:val="TableParagraph"/>
                          <w:spacing w:before="19"/>
                          <w:ind w:right="103"/>
                          <w:rPr>
                            <w:rFonts w:ascii="Arial"/>
                            <w:sz w:val="13"/>
                          </w:rPr>
                        </w:pPr>
                        <w:r>
                          <w:rPr>
                            <w:rFonts w:ascii="Arial"/>
                            <w:w w:val="105"/>
                            <w:sz w:val="13"/>
                          </w:rPr>
                          <w:t>57,76</w:t>
                        </w:r>
                      </w:p>
                    </w:tc>
                    <w:tc>
                      <w:tcPr>
                        <w:tcW w:w="710" w:type="dxa"/>
                      </w:tcPr>
                      <w:p>
                        <w:pPr>
                          <w:pStyle w:val="TableParagraph"/>
                          <w:spacing w:before="19"/>
                          <w:ind w:right="106"/>
                          <w:rPr>
                            <w:rFonts w:ascii="Arial"/>
                            <w:sz w:val="13"/>
                          </w:rPr>
                        </w:pPr>
                        <w:r>
                          <w:rPr>
                            <w:rFonts w:ascii="Arial"/>
                            <w:w w:val="105"/>
                            <w:sz w:val="13"/>
                          </w:rPr>
                          <w:t>58,50</w:t>
                        </w:r>
                      </w:p>
                    </w:tc>
                  </w:tr>
                  <w:tr>
                    <w:trPr>
                      <w:trHeight w:val="192" w:hRule="exact"/>
                    </w:trPr>
                    <w:tc>
                      <w:tcPr>
                        <w:tcW w:w="1128" w:type="dxa"/>
                        <w:tcBorders>
                          <w:left w:val="nil"/>
                        </w:tcBorders>
                        <w:shd w:val="clear" w:color="auto" w:fill="FFFFFF"/>
                      </w:tcPr>
                      <w:p>
                        <w:pPr>
                          <w:pStyle w:val="TableParagraph"/>
                          <w:spacing w:line="180" w:lineRule="exact" w:before="0"/>
                          <w:ind w:left="103" w:right="112"/>
                          <w:jc w:val="left"/>
                          <w:rPr>
                            <w:rFonts w:ascii="Arial"/>
                            <w:sz w:val="16"/>
                          </w:rPr>
                        </w:pPr>
                        <w:r>
                          <w:rPr>
                            <w:rFonts w:ascii="Arial"/>
                            <w:sz w:val="16"/>
                          </w:rPr>
                          <w:t>DQO</w:t>
                        </w:r>
                      </w:p>
                    </w:tc>
                    <w:tc>
                      <w:tcPr>
                        <w:tcW w:w="1102" w:type="dxa"/>
                      </w:tcPr>
                      <w:p>
                        <w:pPr>
                          <w:pStyle w:val="TableParagraph"/>
                          <w:spacing w:before="19"/>
                          <w:ind w:right="103"/>
                          <w:rPr>
                            <w:rFonts w:ascii="Arial"/>
                            <w:sz w:val="13"/>
                          </w:rPr>
                        </w:pPr>
                        <w:r>
                          <w:rPr>
                            <w:rFonts w:ascii="Arial"/>
                            <w:w w:val="105"/>
                            <w:sz w:val="13"/>
                          </w:rPr>
                          <w:t>0,0094</w:t>
                        </w:r>
                      </w:p>
                    </w:tc>
                    <w:tc>
                      <w:tcPr>
                        <w:tcW w:w="708" w:type="dxa"/>
                      </w:tcPr>
                      <w:p>
                        <w:pPr>
                          <w:pStyle w:val="TableParagraph"/>
                          <w:spacing w:before="19"/>
                          <w:ind w:right="103"/>
                          <w:rPr>
                            <w:rFonts w:ascii="Arial"/>
                            <w:sz w:val="13"/>
                          </w:rPr>
                        </w:pPr>
                        <w:r>
                          <w:rPr>
                            <w:rFonts w:ascii="Arial"/>
                            <w:w w:val="105"/>
                            <w:sz w:val="13"/>
                          </w:rPr>
                          <w:t>45,74</w:t>
                        </w:r>
                      </w:p>
                    </w:tc>
                    <w:tc>
                      <w:tcPr>
                        <w:tcW w:w="710" w:type="dxa"/>
                      </w:tcPr>
                      <w:p>
                        <w:pPr>
                          <w:pStyle w:val="TableParagraph"/>
                          <w:spacing w:before="19"/>
                          <w:ind w:right="106"/>
                          <w:rPr>
                            <w:rFonts w:ascii="Arial"/>
                            <w:sz w:val="13"/>
                          </w:rPr>
                        </w:pPr>
                        <w:r>
                          <w:rPr>
                            <w:rFonts w:ascii="Arial"/>
                            <w:w w:val="105"/>
                            <w:sz w:val="13"/>
                          </w:rPr>
                          <w:t>47,45</w:t>
                        </w:r>
                      </w:p>
                    </w:tc>
                  </w:tr>
                  <w:tr>
                    <w:trPr>
                      <w:trHeight w:val="194" w:hRule="exact"/>
                    </w:trPr>
                    <w:tc>
                      <w:tcPr>
                        <w:tcW w:w="1128" w:type="dxa"/>
                        <w:tcBorders>
                          <w:left w:val="nil"/>
                        </w:tcBorders>
                        <w:shd w:val="clear" w:color="auto" w:fill="FFFFFF"/>
                      </w:tcPr>
                      <w:p>
                        <w:pPr>
                          <w:pStyle w:val="TableParagraph"/>
                          <w:spacing w:line="183" w:lineRule="exact" w:before="0"/>
                          <w:ind w:left="103" w:right="112"/>
                          <w:jc w:val="left"/>
                          <w:rPr>
                            <w:rFonts w:ascii="Arial"/>
                            <w:sz w:val="16"/>
                          </w:rPr>
                        </w:pPr>
                        <w:r>
                          <w:rPr>
                            <w:rFonts w:ascii="Arial"/>
                            <w:sz w:val="16"/>
                          </w:rPr>
                          <w:t>SST</w:t>
                        </w:r>
                      </w:p>
                    </w:tc>
                    <w:tc>
                      <w:tcPr>
                        <w:tcW w:w="1102" w:type="dxa"/>
                      </w:tcPr>
                      <w:p>
                        <w:pPr>
                          <w:pStyle w:val="TableParagraph"/>
                          <w:spacing w:before="19"/>
                          <w:ind w:right="103"/>
                          <w:rPr>
                            <w:rFonts w:ascii="Arial"/>
                            <w:sz w:val="13"/>
                          </w:rPr>
                        </w:pPr>
                        <w:r>
                          <w:rPr>
                            <w:rFonts w:ascii="Arial"/>
                            <w:w w:val="105"/>
                            <w:sz w:val="13"/>
                          </w:rPr>
                          <w:t>0,011</w:t>
                        </w:r>
                      </w:p>
                    </w:tc>
                    <w:tc>
                      <w:tcPr>
                        <w:tcW w:w="708" w:type="dxa"/>
                      </w:tcPr>
                      <w:p>
                        <w:pPr>
                          <w:pStyle w:val="TableParagraph"/>
                          <w:spacing w:before="19"/>
                          <w:ind w:right="103"/>
                          <w:rPr>
                            <w:rFonts w:ascii="Arial"/>
                            <w:sz w:val="13"/>
                          </w:rPr>
                        </w:pPr>
                        <w:r>
                          <w:rPr>
                            <w:rFonts w:ascii="Arial"/>
                            <w:w w:val="105"/>
                            <w:sz w:val="13"/>
                          </w:rPr>
                          <w:t>3,64</w:t>
                        </w:r>
                      </w:p>
                    </w:tc>
                    <w:tc>
                      <w:tcPr>
                        <w:tcW w:w="710" w:type="dxa"/>
                      </w:tcPr>
                      <w:p>
                        <w:pPr>
                          <w:pStyle w:val="TableParagraph"/>
                          <w:spacing w:before="19"/>
                          <w:ind w:right="106"/>
                          <w:rPr>
                            <w:rFonts w:ascii="Arial"/>
                            <w:sz w:val="13"/>
                          </w:rPr>
                        </w:pPr>
                        <w:r>
                          <w:rPr>
                            <w:rFonts w:ascii="Arial"/>
                            <w:w w:val="105"/>
                            <w:sz w:val="13"/>
                          </w:rPr>
                          <w:t>3,80</w:t>
                        </w:r>
                      </w:p>
                    </w:tc>
                  </w:tr>
                  <w:tr>
                    <w:trPr>
                      <w:trHeight w:val="194" w:hRule="exact"/>
                    </w:trPr>
                    <w:tc>
                      <w:tcPr>
                        <w:tcW w:w="1128" w:type="dxa"/>
                        <w:tcBorders>
                          <w:left w:val="nil"/>
                        </w:tcBorders>
                        <w:shd w:val="clear" w:color="auto" w:fill="FFFFFF"/>
                      </w:tcPr>
                      <w:p>
                        <w:pPr>
                          <w:pStyle w:val="TableParagraph"/>
                          <w:spacing w:line="180" w:lineRule="exact" w:before="0"/>
                          <w:ind w:left="103" w:right="112"/>
                          <w:jc w:val="left"/>
                          <w:rPr>
                            <w:rFonts w:ascii="Arial"/>
                            <w:sz w:val="16"/>
                          </w:rPr>
                        </w:pPr>
                        <w:r>
                          <w:rPr>
                            <w:rFonts w:ascii="Arial"/>
                            <w:sz w:val="16"/>
                          </w:rPr>
                          <w:t>Alcalinidad*</w:t>
                        </w:r>
                      </w:p>
                    </w:tc>
                    <w:tc>
                      <w:tcPr>
                        <w:tcW w:w="1102" w:type="dxa"/>
                      </w:tcPr>
                      <w:p>
                        <w:pPr>
                          <w:pStyle w:val="TableParagraph"/>
                          <w:spacing w:before="19"/>
                          <w:ind w:right="103"/>
                          <w:rPr>
                            <w:rFonts w:ascii="Arial"/>
                            <w:sz w:val="13"/>
                          </w:rPr>
                        </w:pPr>
                        <w:r>
                          <w:rPr>
                            <w:rFonts w:ascii="Arial"/>
                            <w:w w:val="105"/>
                            <w:sz w:val="13"/>
                          </w:rPr>
                          <w:t>0,011</w:t>
                        </w:r>
                      </w:p>
                    </w:tc>
                    <w:tc>
                      <w:tcPr>
                        <w:tcW w:w="708" w:type="dxa"/>
                      </w:tcPr>
                      <w:p>
                        <w:pPr>
                          <w:pStyle w:val="TableParagraph"/>
                          <w:spacing w:before="19"/>
                          <w:ind w:right="103"/>
                          <w:rPr>
                            <w:rFonts w:ascii="Arial"/>
                            <w:sz w:val="13"/>
                          </w:rPr>
                        </w:pPr>
                        <w:r>
                          <w:rPr>
                            <w:rFonts w:ascii="Arial"/>
                            <w:w w:val="105"/>
                            <w:sz w:val="13"/>
                          </w:rPr>
                          <w:t>50,32</w:t>
                        </w:r>
                      </w:p>
                    </w:tc>
                    <w:tc>
                      <w:tcPr>
                        <w:tcW w:w="710" w:type="dxa"/>
                      </w:tcPr>
                      <w:p>
                        <w:pPr>
                          <w:pStyle w:val="TableParagraph"/>
                          <w:spacing w:before="19"/>
                          <w:ind w:right="106"/>
                          <w:rPr>
                            <w:rFonts w:ascii="Arial"/>
                            <w:sz w:val="13"/>
                          </w:rPr>
                        </w:pPr>
                        <w:r>
                          <w:rPr>
                            <w:rFonts w:ascii="Arial"/>
                            <w:w w:val="105"/>
                            <w:sz w:val="13"/>
                          </w:rPr>
                          <w:t>52,52</w:t>
                        </w:r>
                      </w:p>
                    </w:tc>
                  </w:tr>
                  <w:tr>
                    <w:trPr>
                      <w:trHeight w:val="194" w:hRule="exact"/>
                    </w:trPr>
                    <w:tc>
                      <w:tcPr>
                        <w:tcW w:w="1128" w:type="dxa"/>
                        <w:tcBorders>
                          <w:left w:val="nil"/>
                        </w:tcBorders>
                        <w:shd w:val="clear" w:color="auto" w:fill="FFFFFF"/>
                      </w:tcPr>
                      <w:p>
                        <w:pPr>
                          <w:pStyle w:val="TableParagraph"/>
                          <w:spacing w:line="180" w:lineRule="exact" w:before="0"/>
                          <w:ind w:left="103" w:right="0"/>
                          <w:jc w:val="left"/>
                          <w:rPr>
                            <w:rFonts w:ascii="Arial"/>
                            <w:sz w:val="16"/>
                          </w:rPr>
                        </w:pPr>
                        <w:r>
                          <w:rPr>
                            <w:rFonts w:ascii="Arial"/>
                            <w:sz w:val="16"/>
                          </w:rPr>
                          <w:t>Temperatura</w:t>
                        </w:r>
                      </w:p>
                    </w:tc>
                    <w:tc>
                      <w:tcPr>
                        <w:tcW w:w="1102" w:type="dxa"/>
                      </w:tcPr>
                      <w:p>
                        <w:pPr>
                          <w:pStyle w:val="TableParagraph"/>
                          <w:spacing w:before="19"/>
                          <w:ind w:right="103"/>
                          <w:rPr>
                            <w:rFonts w:ascii="Arial"/>
                            <w:sz w:val="13"/>
                          </w:rPr>
                        </w:pPr>
                        <w:r>
                          <w:rPr>
                            <w:rFonts w:ascii="Arial"/>
                            <w:w w:val="105"/>
                            <w:sz w:val="13"/>
                          </w:rPr>
                          <w:t>0,007</w:t>
                        </w:r>
                      </w:p>
                    </w:tc>
                    <w:tc>
                      <w:tcPr>
                        <w:tcW w:w="708" w:type="dxa"/>
                      </w:tcPr>
                      <w:p>
                        <w:pPr>
                          <w:pStyle w:val="TableParagraph"/>
                          <w:spacing w:before="19"/>
                          <w:ind w:right="103"/>
                          <w:rPr>
                            <w:rFonts w:ascii="Arial"/>
                            <w:sz w:val="13"/>
                          </w:rPr>
                        </w:pPr>
                        <w:r>
                          <w:rPr>
                            <w:rFonts w:ascii="Arial"/>
                            <w:w w:val="105"/>
                            <w:sz w:val="13"/>
                          </w:rPr>
                          <w:t>16,57</w:t>
                        </w:r>
                      </w:p>
                    </w:tc>
                    <w:tc>
                      <w:tcPr>
                        <w:tcW w:w="710" w:type="dxa"/>
                      </w:tcPr>
                      <w:p>
                        <w:pPr>
                          <w:pStyle w:val="TableParagraph"/>
                          <w:spacing w:before="19"/>
                          <w:ind w:right="106"/>
                          <w:rPr>
                            <w:rFonts w:ascii="Arial"/>
                            <w:sz w:val="13"/>
                          </w:rPr>
                        </w:pPr>
                        <w:r>
                          <w:rPr>
                            <w:rFonts w:ascii="Arial"/>
                            <w:w w:val="105"/>
                            <w:sz w:val="13"/>
                          </w:rPr>
                          <w:t>17,06</w:t>
                        </w:r>
                      </w:p>
                    </w:tc>
                  </w:tr>
                  <w:tr>
                    <w:trPr>
                      <w:trHeight w:val="194" w:hRule="exact"/>
                    </w:trPr>
                    <w:tc>
                      <w:tcPr>
                        <w:tcW w:w="1128" w:type="dxa"/>
                        <w:tcBorders>
                          <w:left w:val="nil"/>
                        </w:tcBorders>
                        <w:shd w:val="clear" w:color="auto" w:fill="FFFFFF"/>
                      </w:tcPr>
                      <w:p>
                        <w:pPr>
                          <w:pStyle w:val="TableParagraph"/>
                          <w:spacing w:line="180" w:lineRule="exact" w:before="0"/>
                          <w:ind w:left="103" w:right="112"/>
                          <w:jc w:val="left"/>
                          <w:rPr>
                            <w:rFonts w:ascii="Arial"/>
                            <w:sz w:val="16"/>
                          </w:rPr>
                        </w:pPr>
                        <w:r>
                          <w:rPr>
                            <w:rFonts w:ascii="Arial"/>
                            <w:sz w:val="16"/>
                          </w:rPr>
                          <w:t>pH</w:t>
                        </w:r>
                      </w:p>
                    </w:tc>
                    <w:tc>
                      <w:tcPr>
                        <w:tcW w:w="1102" w:type="dxa"/>
                      </w:tcPr>
                      <w:p>
                        <w:pPr>
                          <w:pStyle w:val="TableParagraph"/>
                          <w:spacing w:before="19"/>
                          <w:ind w:right="103"/>
                          <w:rPr>
                            <w:rFonts w:ascii="Arial"/>
                            <w:sz w:val="13"/>
                          </w:rPr>
                        </w:pPr>
                        <w:r>
                          <w:rPr>
                            <w:rFonts w:ascii="Arial"/>
                            <w:w w:val="105"/>
                            <w:sz w:val="13"/>
                          </w:rPr>
                          <w:t>0,01</w:t>
                        </w:r>
                      </w:p>
                    </w:tc>
                    <w:tc>
                      <w:tcPr>
                        <w:tcW w:w="708" w:type="dxa"/>
                      </w:tcPr>
                      <w:p>
                        <w:pPr>
                          <w:pStyle w:val="TableParagraph"/>
                          <w:spacing w:before="19"/>
                          <w:ind w:right="105"/>
                          <w:rPr>
                            <w:rFonts w:ascii="Arial"/>
                            <w:sz w:val="13"/>
                          </w:rPr>
                        </w:pPr>
                        <w:r>
                          <w:rPr>
                            <w:rFonts w:ascii="Arial"/>
                            <w:w w:val="105"/>
                            <w:sz w:val="13"/>
                          </w:rPr>
                          <w:t>6,98</w:t>
                        </w:r>
                      </w:p>
                    </w:tc>
                    <w:tc>
                      <w:tcPr>
                        <w:tcW w:w="710" w:type="dxa"/>
                      </w:tcPr>
                      <w:p>
                        <w:pPr>
                          <w:pStyle w:val="TableParagraph"/>
                          <w:spacing w:before="19"/>
                          <w:ind w:right="106"/>
                          <w:rPr>
                            <w:rFonts w:ascii="Arial"/>
                            <w:sz w:val="13"/>
                          </w:rPr>
                        </w:pPr>
                        <w:r>
                          <w:rPr>
                            <w:rFonts w:ascii="Arial"/>
                            <w:w w:val="105"/>
                            <w:sz w:val="13"/>
                          </w:rPr>
                          <w:t>7,27</w:t>
                        </w:r>
                      </w:p>
                    </w:tc>
                  </w:tr>
                  <w:tr>
                    <w:trPr>
                      <w:trHeight w:val="194" w:hRule="exact"/>
                    </w:trPr>
                    <w:tc>
                      <w:tcPr>
                        <w:tcW w:w="1128" w:type="dxa"/>
                        <w:tcBorders>
                          <w:left w:val="nil"/>
                        </w:tcBorders>
                      </w:tcPr>
                      <w:p>
                        <w:pPr>
                          <w:pStyle w:val="TableParagraph"/>
                          <w:spacing w:line="180" w:lineRule="exact" w:before="0"/>
                          <w:ind w:left="103" w:right="112"/>
                          <w:jc w:val="left"/>
                          <w:rPr>
                            <w:rFonts w:ascii="Arial"/>
                            <w:sz w:val="16"/>
                          </w:rPr>
                        </w:pPr>
                        <w:r>
                          <w:rPr>
                            <w:rFonts w:ascii="Arial"/>
                            <w:sz w:val="16"/>
                          </w:rPr>
                          <w:t>OD</w:t>
                        </w:r>
                      </w:p>
                    </w:tc>
                    <w:tc>
                      <w:tcPr>
                        <w:tcW w:w="1102" w:type="dxa"/>
                      </w:tcPr>
                      <w:p>
                        <w:pPr>
                          <w:pStyle w:val="TableParagraph"/>
                          <w:spacing w:before="19"/>
                          <w:ind w:right="103"/>
                          <w:rPr>
                            <w:rFonts w:ascii="Arial"/>
                            <w:sz w:val="13"/>
                          </w:rPr>
                        </w:pPr>
                        <w:r>
                          <w:rPr>
                            <w:rFonts w:ascii="Arial"/>
                            <w:w w:val="105"/>
                            <w:sz w:val="13"/>
                          </w:rPr>
                          <w:t>0,005</w:t>
                        </w:r>
                      </w:p>
                    </w:tc>
                    <w:tc>
                      <w:tcPr>
                        <w:tcW w:w="708" w:type="dxa"/>
                      </w:tcPr>
                      <w:p>
                        <w:pPr>
                          <w:pStyle w:val="TableParagraph"/>
                          <w:spacing w:before="19"/>
                          <w:ind w:right="103"/>
                          <w:rPr>
                            <w:rFonts w:ascii="Arial"/>
                            <w:sz w:val="13"/>
                          </w:rPr>
                        </w:pPr>
                        <w:r>
                          <w:rPr>
                            <w:rFonts w:ascii="Arial"/>
                            <w:w w:val="105"/>
                            <w:sz w:val="13"/>
                          </w:rPr>
                          <w:t>6,73</w:t>
                        </w:r>
                      </w:p>
                    </w:tc>
                    <w:tc>
                      <w:tcPr>
                        <w:tcW w:w="710" w:type="dxa"/>
                      </w:tcPr>
                      <w:p>
                        <w:pPr>
                          <w:pStyle w:val="TableParagraph"/>
                          <w:spacing w:before="19"/>
                          <w:ind w:right="106"/>
                          <w:rPr>
                            <w:rFonts w:ascii="Arial"/>
                            <w:sz w:val="13"/>
                          </w:rPr>
                        </w:pPr>
                        <w:r>
                          <w:rPr>
                            <w:rFonts w:ascii="Arial"/>
                            <w:w w:val="105"/>
                            <w:sz w:val="13"/>
                          </w:rPr>
                          <w:t>6,86</w:t>
                        </w:r>
                      </w:p>
                    </w:tc>
                  </w:tr>
                </w:tbl>
                <w:p>
                  <w:pPr>
                    <w:pStyle w:val="BodyText"/>
                  </w:pPr>
                </w:p>
              </w:txbxContent>
            </v:textbox>
            <w10:wrap type="none"/>
          </v:shape>
        </w:pict>
      </w:r>
      <w:r>
        <w:rPr/>
        <w:pict>
          <v:shape style="position:absolute;margin-left:302.272491pt;margin-top:104.025017pt;width:201.65pt;height:234.15pt;mso-position-horizontal-relative:page;mso-position-vertical-relative:page;z-index:719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32"/>
                    <w:gridCol w:w="1252"/>
                    <w:gridCol w:w="852"/>
                    <w:gridCol w:w="501"/>
                    <w:gridCol w:w="151"/>
                  </w:tblGrid>
                  <w:tr>
                    <w:trPr>
                      <w:trHeight w:val="562" w:hRule="exact"/>
                    </w:trPr>
                    <w:tc>
                      <w:tcPr>
                        <w:tcW w:w="1232" w:type="dxa"/>
                        <w:tcBorders>
                          <w:bottom w:val="nil"/>
                          <w:right w:val="nil"/>
                        </w:tcBorders>
                      </w:tcPr>
                      <w:p>
                        <w:pPr>
                          <w:pStyle w:val="TableParagraph"/>
                          <w:spacing w:before="9"/>
                          <w:ind w:right="0"/>
                          <w:jc w:val="left"/>
                          <w:rPr>
                            <w:rFonts w:ascii="Arial"/>
                            <w:sz w:val="19"/>
                          </w:rPr>
                        </w:pPr>
                      </w:p>
                      <w:p>
                        <w:pPr>
                          <w:pStyle w:val="TableParagraph"/>
                          <w:spacing w:before="1"/>
                          <w:ind w:left="311" w:right="0"/>
                          <w:jc w:val="left"/>
                          <w:rPr>
                            <w:rFonts w:ascii="Arial" w:hAnsi="Arial"/>
                            <w:b/>
                            <w:sz w:val="14"/>
                          </w:rPr>
                        </w:pPr>
                        <w:r>
                          <w:rPr>
                            <w:rFonts w:ascii="Arial" w:hAnsi="Arial"/>
                            <w:b/>
                            <w:sz w:val="14"/>
                          </w:rPr>
                          <w:t>Parámetro</w:t>
                        </w:r>
                      </w:p>
                    </w:tc>
                    <w:tc>
                      <w:tcPr>
                        <w:tcW w:w="1252" w:type="dxa"/>
                        <w:tcBorders>
                          <w:left w:val="nil"/>
                          <w:bottom w:val="nil"/>
                          <w:right w:val="nil"/>
                        </w:tcBorders>
                      </w:tcPr>
                      <w:p>
                        <w:pPr>
                          <w:pStyle w:val="TableParagraph"/>
                          <w:spacing w:before="67"/>
                          <w:ind w:left="173" w:right="121"/>
                          <w:jc w:val="center"/>
                          <w:rPr>
                            <w:rFonts w:ascii="Arial" w:hAnsi="Arial"/>
                            <w:b/>
                            <w:sz w:val="14"/>
                          </w:rPr>
                        </w:pPr>
                        <w:r>
                          <w:rPr>
                            <w:rFonts w:ascii="Arial" w:hAnsi="Arial"/>
                            <w:b/>
                            <w:w w:val="95"/>
                            <w:sz w:val="14"/>
                          </w:rPr>
                          <w:t>Concentración </w:t>
                        </w:r>
                        <w:r>
                          <w:rPr>
                            <w:rFonts w:ascii="Arial" w:hAnsi="Arial"/>
                            <w:b/>
                            <w:sz w:val="14"/>
                          </w:rPr>
                          <w:t>promedio en el</w:t>
                        </w:r>
                        <w:r>
                          <w:rPr>
                            <w:rFonts w:ascii="Arial" w:hAnsi="Arial"/>
                            <w:b/>
                            <w:spacing w:val="-6"/>
                            <w:sz w:val="14"/>
                          </w:rPr>
                          <w:t> </w:t>
                        </w:r>
                        <w:r>
                          <w:rPr>
                            <w:rFonts w:ascii="Arial" w:hAnsi="Arial"/>
                            <w:b/>
                            <w:sz w:val="14"/>
                          </w:rPr>
                          <w:t>influente</w:t>
                        </w:r>
                      </w:p>
                    </w:tc>
                    <w:tc>
                      <w:tcPr>
                        <w:tcW w:w="852" w:type="dxa"/>
                        <w:tcBorders>
                          <w:left w:val="nil"/>
                          <w:bottom w:val="nil"/>
                          <w:right w:val="nil"/>
                        </w:tcBorders>
                      </w:tcPr>
                      <w:p>
                        <w:pPr>
                          <w:pStyle w:val="TableParagraph"/>
                          <w:spacing w:before="9"/>
                          <w:ind w:right="0"/>
                          <w:jc w:val="left"/>
                          <w:rPr>
                            <w:rFonts w:ascii="Arial"/>
                            <w:sz w:val="19"/>
                          </w:rPr>
                        </w:pPr>
                      </w:p>
                      <w:p>
                        <w:pPr>
                          <w:pStyle w:val="TableParagraph"/>
                          <w:spacing w:before="1"/>
                          <w:ind w:left="89" w:right="93"/>
                          <w:jc w:val="center"/>
                          <w:rPr>
                            <w:rFonts w:ascii="Arial"/>
                            <w:b/>
                            <w:sz w:val="14"/>
                          </w:rPr>
                        </w:pPr>
                        <w:r>
                          <w:rPr>
                            <w:rFonts w:ascii="Arial"/>
                            <w:b/>
                            <w:sz w:val="14"/>
                          </w:rPr>
                          <w:t>Unidades</w:t>
                        </w:r>
                      </w:p>
                    </w:tc>
                    <w:tc>
                      <w:tcPr>
                        <w:tcW w:w="652" w:type="dxa"/>
                        <w:gridSpan w:val="2"/>
                        <w:tcBorders>
                          <w:left w:val="nil"/>
                          <w:bottom w:val="nil"/>
                        </w:tcBorders>
                      </w:tcPr>
                      <w:p>
                        <w:pPr>
                          <w:pStyle w:val="TableParagraph"/>
                          <w:spacing w:before="9"/>
                          <w:ind w:right="0"/>
                          <w:jc w:val="left"/>
                          <w:rPr>
                            <w:rFonts w:ascii="Arial"/>
                            <w:sz w:val="19"/>
                          </w:rPr>
                        </w:pPr>
                      </w:p>
                      <w:p>
                        <w:pPr>
                          <w:pStyle w:val="TableParagraph"/>
                          <w:spacing w:before="1"/>
                          <w:ind w:left="208" w:right="0"/>
                          <w:jc w:val="left"/>
                          <w:rPr>
                            <w:rFonts w:ascii="Arial"/>
                            <w:b/>
                            <w:sz w:val="14"/>
                          </w:rPr>
                        </w:pPr>
                        <w:r>
                          <w:rPr>
                            <w:rFonts w:ascii="Arial"/>
                            <w:b/>
                            <w:w w:val="99"/>
                            <w:sz w:val="14"/>
                          </w:rPr>
                          <w:t>#</w:t>
                        </w:r>
                      </w:p>
                    </w:tc>
                  </w:tr>
                  <w:tr>
                    <w:trPr>
                      <w:trHeight w:val="193" w:hRule="exact"/>
                    </w:trPr>
                    <w:tc>
                      <w:tcPr>
                        <w:tcW w:w="1232" w:type="dxa"/>
                        <w:tcBorders>
                          <w:top w:val="nil"/>
                          <w:bottom w:val="nil"/>
                          <w:right w:val="nil"/>
                        </w:tcBorders>
                        <w:shd w:val="clear" w:color="auto" w:fill="00B04F"/>
                      </w:tcPr>
                      <w:p>
                        <w:pPr>
                          <w:pStyle w:val="TableParagraph"/>
                          <w:spacing w:line="187" w:lineRule="exact" w:before="0"/>
                          <w:ind w:left="146" w:right="0"/>
                          <w:jc w:val="left"/>
                          <w:rPr>
                            <w:rFonts w:ascii="Arial"/>
                            <w:sz w:val="10"/>
                          </w:rPr>
                        </w:pPr>
                        <w:r>
                          <w:rPr>
                            <w:rFonts w:ascii="Arial"/>
                            <w:color w:val="FFFFFF"/>
                            <w:position w:val="2"/>
                            <w:sz w:val="16"/>
                          </w:rPr>
                          <w:t>N-NH</w:t>
                        </w:r>
                        <w:r>
                          <w:rPr>
                            <w:rFonts w:ascii="Arial"/>
                            <w:color w:val="FFFFFF"/>
                            <w:sz w:val="10"/>
                          </w:rPr>
                          <w:t>3</w:t>
                        </w:r>
                      </w:p>
                    </w:tc>
                    <w:tc>
                      <w:tcPr>
                        <w:tcW w:w="1252" w:type="dxa"/>
                        <w:tcBorders>
                          <w:top w:val="nil"/>
                          <w:left w:val="nil"/>
                          <w:bottom w:val="nil"/>
                          <w:right w:val="nil"/>
                        </w:tcBorders>
                        <w:shd w:val="clear" w:color="auto" w:fill="00B04F"/>
                      </w:tcPr>
                      <w:p>
                        <w:pPr>
                          <w:pStyle w:val="TableParagraph"/>
                          <w:spacing w:line="180" w:lineRule="exact" w:before="0"/>
                          <w:ind w:left="142" w:right="89"/>
                          <w:jc w:val="center"/>
                          <w:rPr>
                            <w:rFonts w:ascii="Arial" w:hAnsi="Arial"/>
                            <w:sz w:val="16"/>
                          </w:rPr>
                        </w:pPr>
                        <w:r>
                          <w:rPr>
                            <w:rFonts w:ascii="Arial" w:hAnsi="Arial"/>
                            <w:color w:val="FFFFFF"/>
                            <w:sz w:val="16"/>
                          </w:rPr>
                          <w:t>0,66 ± 0,012</w:t>
                        </w:r>
                      </w:p>
                    </w:tc>
                    <w:tc>
                      <w:tcPr>
                        <w:tcW w:w="852" w:type="dxa"/>
                        <w:tcBorders>
                          <w:top w:val="nil"/>
                          <w:left w:val="nil"/>
                          <w:bottom w:val="nil"/>
                          <w:right w:val="nil"/>
                        </w:tcBorders>
                        <w:shd w:val="clear" w:color="auto" w:fill="00B04F"/>
                      </w:tcPr>
                      <w:p>
                        <w:pPr>
                          <w:pStyle w:val="TableParagraph"/>
                          <w:spacing w:line="180" w:lineRule="exact" w:before="0"/>
                          <w:ind w:left="89" w:right="91"/>
                          <w:jc w:val="center"/>
                          <w:rPr>
                            <w:rFonts w:ascii="Arial"/>
                            <w:sz w:val="16"/>
                          </w:rPr>
                        </w:pPr>
                        <w:r>
                          <w:rPr>
                            <w:rFonts w:ascii="Arial"/>
                            <w:color w:val="FFFFFF"/>
                            <w:sz w:val="16"/>
                          </w:rPr>
                          <w:t>mg/L</w:t>
                        </w:r>
                      </w:p>
                    </w:tc>
                    <w:tc>
                      <w:tcPr>
                        <w:tcW w:w="501" w:type="dxa"/>
                        <w:tcBorders>
                          <w:top w:val="nil"/>
                          <w:left w:val="nil"/>
                          <w:bottom w:val="nil"/>
                          <w:right w:val="nil"/>
                        </w:tcBorders>
                        <w:shd w:val="clear" w:color="auto" w:fill="00B04F"/>
                      </w:tcPr>
                      <w:p>
                        <w:pPr>
                          <w:pStyle w:val="TableParagraph"/>
                          <w:spacing w:line="180" w:lineRule="exact" w:before="0"/>
                          <w:ind w:left="158" w:right="0"/>
                          <w:jc w:val="left"/>
                          <w:rPr>
                            <w:rFonts w:ascii="Arial"/>
                            <w:sz w:val="16"/>
                          </w:rPr>
                        </w:pPr>
                        <w:r>
                          <w:rPr>
                            <w:rFonts w:ascii="Arial"/>
                            <w:color w:val="FFFFFF"/>
                            <w:sz w:val="16"/>
                          </w:rPr>
                          <w:t>26</w:t>
                        </w:r>
                      </w:p>
                    </w:tc>
                    <w:tc>
                      <w:tcPr>
                        <w:tcW w:w="151" w:type="dxa"/>
                        <w:vMerge w:val="restart"/>
                        <w:tcBorders>
                          <w:top w:val="nil"/>
                          <w:left w:val="single" w:sz="43" w:space="0" w:color="00B04F"/>
                        </w:tcBorders>
                      </w:tcPr>
                      <w:p>
                        <w:pPr/>
                      </w:p>
                    </w:tc>
                  </w:tr>
                  <w:tr>
                    <w:trPr>
                      <w:trHeight w:val="184" w:hRule="exact"/>
                    </w:trPr>
                    <w:tc>
                      <w:tcPr>
                        <w:tcW w:w="1232" w:type="dxa"/>
                        <w:tcBorders>
                          <w:top w:val="nil"/>
                          <w:bottom w:val="nil"/>
                          <w:right w:val="nil"/>
                        </w:tcBorders>
                        <w:shd w:val="clear" w:color="auto" w:fill="00B04F"/>
                      </w:tcPr>
                      <w:p>
                        <w:pPr>
                          <w:pStyle w:val="TableParagraph"/>
                          <w:spacing w:line="179" w:lineRule="exact" w:before="0"/>
                          <w:ind w:left="146" w:right="0"/>
                          <w:jc w:val="left"/>
                          <w:rPr>
                            <w:rFonts w:ascii="Arial"/>
                            <w:sz w:val="10"/>
                          </w:rPr>
                        </w:pPr>
                        <w:r>
                          <w:rPr>
                            <w:rFonts w:ascii="Arial"/>
                            <w:color w:val="FFFFFF"/>
                            <w:position w:val="2"/>
                            <w:sz w:val="16"/>
                          </w:rPr>
                          <w:t>N-NO</w:t>
                        </w:r>
                        <w:r>
                          <w:rPr>
                            <w:rFonts w:ascii="Arial"/>
                            <w:color w:val="FFFFFF"/>
                            <w:sz w:val="10"/>
                          </w:rPr>
                          <w:t>2</w:t>
                        </w:r>
                      </w:p>
                    </w:tc>
                    <w:tc>
                      <w:tcPr>
                        <w:tcW w:w="1252" w:type="dxa"/>
                        <w:tcBorders>
                          <w:top w:val="nil"/>
                          <w:left w:val="nil"/>
                          <w:bottom w:val="nil"/>
                          <w:right w:val="nil"/>
                        </w:tcBorders>
                        <w:shd w:val="clear" w:color="auto" w:fill="00B04F"/>
                      </w:tcPr>
                      <w:p>
                        <w:pPr>
                          <w:pStyle w:val="TableParagraph"/>
                          <w:spacing w:line="172" w:lineRule="exact" w:before="0"/>
                          <w:ind w:left="145" w:right="89"/>
                          <w:jc w:val="center"/>
                          <w:rPr>
                            <w:rFonts w:ascii="Arial" w:hAnsi="Arial"/>
                            <w:sz w:val="16"/>
                          </w:rPr>
                        </w:pPr>
                        <w:r>
                          <w:rPr>
                            <w:rFonts w:ascii="Arial" w:hAnsi="Arial"/>
                            <w:color w:val="FFFFFF"/>
                            <w:sz w:val="16"/>
                          </w:rPr>
                          <w:t>0,312 ± 0,006</w:t>
                        </w:r>
                      </w:p>
                    </w:tc>
                    <w:tc>
                      <w:tcPr>
                        <w:tcW w:w="852" w:type="dxa"/>
                        <w:tcBorders>
                          <w:top w:val="nil"/>
                          <w:left w:val="nil"/>
                          <w:bottom w:val="nil"/>
                          <w:right w:val="nil"/>
                        </w:tcBorders>
                        <w:shd w:val="clear" w:color="auto" w:fill="00B04F"/>
                      </w:tcPr>
                      <w:p>
                        <w:pPr>
                          <w:pStyle w:val="TableParagraph"/>
                          <w:spacing w:line="172" w:lineRule="exact" w:before="0"/>
                          <w:ind w:left="89" w:right="91"/>
                          <w:jc w:val="center"/>
                          <w:rPr>
                            <w:rFonts w:ascii="Arial"/>
                            <w:sz w:val="16"/>
                          </w:rPr>
                        </w:pPr>
                        <w:r>
                          <w:rPr>
                            <w:rFonts w:ascii="Arial"/>
                            <w:color w:val="FFFFFF"/>
                            <w:sz w:val="16"/>
                          </w:rPr>
                          <w:t>mg/L</w:t>
                        </w:r>
                      </w:p>
                    </w:tc>
                    <w:tc>
                      <w:tcPr>
                        <w:tcW w:w="501" w:type="dxa"/>
                        <w:tcBorders>
                          <w:top w:val="nil"/>
                          <w:left w:val="nil"/>
                          <w:bottom w:val="nil"/>
                          <w:right w:val="nil"/>
                        </w:tcBorders>
                        <w:shd w:val="clear" w:color="auto" w:fill="00B04F"/>
                      </w:tcPr>
                      <w:p>
                        <w:pPr>
                          <w:pStyle w:val="TableParagraph"/>
                          <w:spacing w:line="172" w:lineRule="exact" w:before="0"/>
                          <w:ind w:left="158" w:right="0"/>
                          <w:jc w:val="left"/>
                          <w:rPr>
                            <w:rFonts w:ascii="Arial"/>
                            <w:sz w:val="16"/>
                          </w:rPr>
                        </w:pPr>
                        <w:r>
                          <w:rPr>
                            <w:rFonts w:ascii="Arial"/>
                            <w:color w:val="FFFFFF"/>
                            <w:sz w:val="16"/>
                          </w:rPr>
                          <w:t>26</w:t>
                        </w:r>
                      </w:p>
                    </w:tc>
                    <w:tc>
                      <w:tcPr>
                        <w:tcW w:w="151" w:type="dxa"/>
                        <w:vMerge/>
                        <w:tcBorders>
                          <w:left w:val="single" w:sz="43" w:space="0" w:color="00B04F"/>
                        </w:tcBorders>
                      </w:tcPr>
                      <w:p>
                        <w:pPr/>
                      </w:p>
                    </w:tc>
                  </w:tr>
                  <w:tr>
                    <w:trPr>
                      <w:trHeight w:val="184" w:hRule="exact"/>
                    </w:trPr>
                    <w:tc>
                      <w:tcPr>
                        <w:tcW w:w="1232" w:type="dxa"/>
                        <w:tcBorders>
                          <w:top w:val="nil"/>
                          <w:bottom w:val="nil"/>
                          <w:right w:val="nil"/>
                        </w:tcBorders>
                        <w:shd w:val="clear" w:color="auto" w:fill="00B04F"/>
                      </w:tcPr>
                      <w:p>
                        <w:pPr>
                          <w:pStyle w:val="TableParagraph"/>
                          <w:spacing w:line="178" w:lineRule="exact" w:before="0"/>
                          <w:ind w:left="146" w:right="0"/>
                          <w:jc w:val="left"/>
                          <w:rPr>
                            <w:rFonts w:ascii="Arial"/>
                            <w:sz w:val="10"/>
                          </w:rPr>
                        </w:pPr>
                        <w:r>
                          <w:rPr>
                            <w:rFonts w:ascii="Arial"/>
                            <w:color w:val="FFFFFF"/>
                            <w:position w:val="2"/>
                            <w:sz w:val="16"/>
                          </w:rPr>
                          <w:t>N-NO</w:t>
                        </w:r>
                        <w:r>
                          <w:rPr>
                            <w:rFonts w:ascii="Arial"/>
                            <w:color w:val="FFFFFF"/>
                            <w:sz w:val="10"/>
                          </w:rPr>
                          <w:t>3</w:t>
                        </w:r>
                      </w:p>
                    </w:tc>
                    <w:tc>
                      <w:tcPr>
                        <w:tcW w:w="1252" w:type="dxa"/>
                        <w:tcBorders>
                          <w:top w:val="nil"/>
                          <w:left w:val="nil"/>
                          <w:bottom w:val="nil"/>
                          <w:right w:val="nil"/>
                        </w:tcBorders>
                        <w:shd w:val="clear" w:color="auto" w:fill="00B04F"/>
                      </w:tcPr>
                      <w:p>
                        <w:pPr>
                          <w:pStyle w:val="TableParagraph"/>
                          <w:spacing w:line="171" w:lineRule="exact" w:before="0"/>
                          <w:ind w:left="142" w:right="89"/>
                          <w:jc w:val="center"/>
                          <w:rPr>
                            <w:rFonts w:ascii="Arial" w:hAnsi="Arial"/>
                            <w:sz w:val="16"/>
                          </w:rPr>
                        </w:pPr>
                        <w:r>
                          <w:rPr>
                            <w:rFonts w:ascii="Arial" w:hAnsi="Arial"/>
                            <w:color w:val="FFFFFF"/>
                            <w:sz w:val="16"/>
                          </w:rPr>
                          <w:t>58,13 ± 0,19</w:t>
                        </w:r>
                      </w:p>
                    </w:tc>
                    <w:tc>
                      <w:tcPr>
                        <w:tcW w:w="852" w:type="dxa"/>
                        <w:tcBorders>
                          <w:top w:val="nil"/>
                          <w:left w:val="nil"/>
                          <w:bottom w:val="nil"/>
                          <w:right w:val="nil"/>
                        </w:tcBorders>
                        <w:shd w:val="clear" w:color="auto" w:fill="00B04F"/>
                      </w:tcPr>
                      <w:p>
                        <w:pPr>
                          <w:pStyle w:val="TableParagraph"/>
                          <w:spacing w:line="171" w:lineRule="exact" w:before="0"/>
                          <w:ind w:left="89" w:right="91"/>
                          <w:jc w:val="center"/>
                          <w:rPr>
                            <w:rFonts w:ascii="Arial"/>
                            <w:sz w:val="16"/>
                          </w:rPr>
                        </w:pPr>
                        <w:r>
                          <w:rPr>
                            <w:rFonts w:ascii="Arial"/>
                            <w:color w:val="FFFFFF"/>
                            <w:sz w:val="16"/>
                          </w:rPr>
                          <w:t>mg/L</w:t>
                        </w:r>
                      </w:p>
                    </w:tc>
                    <w:tc>
                      <w:tcPr>
                        <w:tcW w:w="501" w:type="dxa"/>
                        <w:tcBorders>
                          <w:top w:val="nil"/>
                          <w:left w:val="nil"/>
                          <w:bottom w:val="nil"/>
                          <w:right w:val="nil"/>
                        </w:tcBorders>
                        <w:shd w:val="clear" w:color="auto" w:fill="00B04F"/>
                      </w:tcPr>
                      <w:p>
                        <w:pPr>
                          <w:pStyle w:val="TableParagraph"/>
                          <w:spacing w:line="171" w:lineRule="exact" w:before="0"/>
                          <w:ind w:left="158" w:right="0"/>
                          <w:jc w:val="left"/>
                          <w:rPr>
                            <w:rFonts w:ascii="Arial"/>
                            <w:sz w:val="16"/>
                          </w:rPr>
                        </w:pPr>
                        <w:r>
                          <w:rPr>
                            <w:rFonts w:ascii="Arial"/>
                            <w:color w:val="FFFFFF"/>
                            <w:sz w:val="16"/>
                          </w:rPr>
                          <w:t>26</w:t>
                        </w:r>
                      </w:p>
                    </w:tc>
                    <w:tc>
                      <w:tcPr>
                        <w:tcW w:w="151" w:type="dxa"/>
                        <w:vMerge/>
                        <w:tcBorders>
                          <w:left w:val="single" w:sz="43" w:space="0" w:color="00B04F"/>
                        </w:tcBorders>
                      </w:tcPr>
                      <w:p>
                        <w:pPr/>
                      </w:p>
                    </w:tc>
                  </w:tr>
                  <w:tr>
                    <w:trPr>
                      <w:trHeight w:val="181" w:hRule="exact"/>
                    </w:trPr>
                    <w:tc>
                      <w:tcPr>
                        <w:tcW w:w="1232" w:type="dxa"/>
                        <w:tcBorders>
                          <w:top w:val="nil"/>
                          <w:bottom w:val="nil"/>
                          <w:right w:val="nil"/>
                        </w:tcBorders>
                        <w:shd w:val="clear" w:color="auto" w:fill="00B04F"/>
                      </w:tcPr>
                      <w:p>
                        <w:pPr>
                          <w:pStyle w:val="TableParagraph"/>
                          <w:spacing w:line="172" w:lineRule="exact" w:before="0"/>
                          <w:ind w:left="146" w:right="0"/>
                          <w:jc w:val="left"/>
                          <w:rPr>
                            <w:rFonts w:ascii="Arial"/>
                            <w:sz w:val="16"/>
                          </w:rPr>
                        </w:pPr>
                        <w:r>
                          <w:rPr>
                            <w:rFonts w:ascii="Arial"/>
                            <w:color w:val="FFFFFF"/>
                            <w:sz w:val="16"/>
                          </w:rPr>
                          <w:t>DQO</w:t>
                        </w:r>
                      </w:p>
                    </w:tc>
                    <w:tc>
                      <w:tcPr>
                        <w:tcW w:w="1252" w:type="dxa"/>
                        <w:tcBorders>
                          <w:top w:val="nil"/>
                          <w:left w:val="nil"/>
                          <w:bottom w:val="nil"/>
                          <w:right w:val="nil"/>
                        </w:tcBorders>
                        <w:shd w:val="clear" w:color="auto" w:fill="00B04F"/>
                      </w:tcPr>
                      <w:p>
                        <w:pPr>
                          <w:pStyle w:val="TableParagraph"/>
                          <w:spacing w:line="172" w:lineRule="exact" w:before="0"/>
                          <w:ind w:left="142" w:right="89"/>
                          <w:jc w:val="center"/>
                          <w:rPr>
                            <w:rFonts w:ascii="Arial" w:hAnsi="Arial"/>
                            <w:sz w:val="16"/>
                          </w:rPr>
                        </w:pPr>
                        <w:r>
                          <w:rPr>
                            <w:rFonts w:ascii="Arial" w:hAnsi="Arial"/>
                            <w:color w:val="FFFFFF"/>
                            <w:sz w:val="16"/>
                          </w:rPr>
                          <w:t>46,60 ± 0,44</w:t>
                        </w:r>
                      </w:p>
                    </w:tc>
                    <w:tc>
                      <w:tcPr>
                        <w:tcW w:w="852" w:type="dxa"/>
                        <w:tcBorders>
                          <w:top w:val="nil"/>
                          <w:left w:val="nil"/>
                          <w:bottom w:val="nil"/>
                          <w:right w:val="nil"/>
                        </w:tcBorders>
                        <w:shd w:val="clear" w:color="auto" w:fill="00B04F"/>
                      </w:tcPr>
                      <w:p>
                        <w:pPr>
                          <w:pStyle w:val="TableParagraph"/>
                          <w:spacing w:line="172" w:lineRule="exact" w:before="0"/>
                          <w:ind w:left="89" w:right="91"/>
                          <w:jc w:val="center"/>
                          <w:rPr>
                            <w:rFonts w:ascii="Arial"/>
                            <w:sz w:val="16"/>
                          </w:rPr>
                        </w:pPr>
                        <w:r>
                          <w:rPr>
                            <w:rFonts w:ascii="Arial"/>
                            <w:color w:val="FFFFFF"/>
                            <w:sz w:val="16"/>
                          </w:rPr>
                          <w:t>mg/L</w:t>
                        </w:r>
                      </w:p>
                    </w:tc>
                    <w:tc>
                      <w:tcPr>
                        <w:tcW w:w="501" w:type="dxa"/>
                        <w:tcBorders>
                          <w:top w:val="nil"/>
                          <w:left w:val="nil"/>
                          <w:bottom w:val="nil"/>
                          <w:right w:val="nil"/>
                        </w:tcBorders>
                        <w:shd w:val="clear" w:color="auto" w:fill="00B04F"/>
                      </w:tcPr>
                      <w:p>
                        <w:pPr>
                          <w:pStyle w:val="TableParagraph"/>
                          <w:spacing w:line="172" w:lineRule="exact" w:before="0"/>
                          <w:ind w:left="158" w:right="0"/>
                          <w:jc w:val="left"/>
                          <w:rPr>
                            <w:rFonts w:ascii="Arial"/>
                            <w:sz w:val="16"/>
                          </w:rPr>
                        </w:pPr>
                        <w:r>
                          <w:rPr>
                            <w:rFonts w:ascii="Arial"/>
                            <w:color w:val="FFFFFF"/>
                            <w:sz w:val="16"/>
                          </w:rPr>
                          <w:t>26</w:t>
                        </w:r>
                      </w:p>
                    </w:tc>
                    <w:tc>
                      <w:tcPr>
                        <w:tcW w:w="151" w:type="dxa"/>
                        <w:vMerge/>
                        <w:tcBorders>
                          <w:left w:val="single" w:sz="43" w:space="0" w:color="00B04F"/>
                        </w:tcBorders>
                      </w:tcPr>
                      <w:p>
                        <w:pPr/>
                      </w:p>
                    </w:tc>
                  </w:tr>
                  <w:tr>
                    <w:trPr>
                      <w:trHeight w:val="178" w:hRule="exact"/>
                    </w:trPr>
                    <w:tc>
                      <w:tcPr>
                        <w:tcW w:w="1232" w:type="dxa"/>
                        <w:tcBorders>
                          <w:top w:val="nil"/>
                          <w:bottom w:val="nil"/>
                          <w:right w:val="nil"/>
                        </w:tcBorders>
                        <w:shd w:val="clear" w:color="auto" w:fill="00B04F"/>
                      </w:tcPr>
                      <w:p>
                        <w:pPr>
                          <w:pStyle w:val="TableParagraph"/>
                          <w:spacing w:line="176" w:lineRule="exact" w:before="0"/>
                          <w:ind w:left="146" w:right="0"/>
                          <w:jc w:val="left"/>
                          <w:rPr>
                            <w:rFonts w:ascii="Arial"/>
                            <w:sz w:val="16"/>
                          </w:rPr>
                        </w:pPr>
                        <w:r>
                          <w:rPr>
                            <w:rFonts w:ascii="Arial"/>
                            <w:color w:val="FFFFFF"/>
                            <w:sz w:val="16"/>
                          </w:rPr>
                          <w:t>SST</w:t>
                        </w:r>
                      </w:p>
                    </w:tc>
                    <w:tc>
                      <w:tcPr>
                        <w:tcW w:w="1252" w:type="dxa"/>
                        <w:tcBorders>
                          <w:top w:val="nil"/>
                          <w:left w:val="nil"/>
                          <w:bottom w:val="nil"/>
                          <w:right w:val="nil"/>
                        </w:tcBorders>
                        <w:shd w:val="clear" w:color="auto" w:fill="00B04F"/>
                      </w:tcPr>
                      <w:p>
                        <w:pPr>
                          <w:pStyle w:val="TableParagraph"/>
                          <w:spacing w:line="176" w:lineRule="exact" w:before="0"/>
                          <w:ind w:left="145" w:right="89"/>
                          <w:jc w:val="center"/>
                          <w:rPr>
                            <w:rFonts w:ascii="Arial" w:hAnsi="Arial"/>
                            <w:sz w:val="16"/>
                          </w:rPr>
                        </w:pPr>
                        <w:r>
                          <w:rPr>
                            <w:rFonts w:ascii="Arial" w:hAnsi="Arial"/>
                            <w:color w:val="FFFFFF"/>
                            <w:sz w:val="16"/>
                          </w:rPr>
                          <w:t>3,73 ± 0,04</w:t>
                        </w:r>
                      </w:p>
                    </w:tc>
                    <w:tc>
                      <w:tcPr>
                        <w:tcW w:w="852" w:type="dxa"/>
                        <w:tcBorders>
                          <w:top w:val="nil"/>
                          <w:left w:val="nil"/>
                          <w:bottom w:val="nil"/>
                          <w:right w:val="nil"/>
                        </w:tcBorders>
                        <w:shd w:val="clear" w:color="auto" w:fill="00B04F"/>
                      </w:tcPr>
                      <w:p>
                        <w:pPr>
                          <w:pStyle w:val="TableParagraph"/>
                          <w:spacing w:line="176" w:lineRule="exact" w:before="0"/>
                          <w:ind w:left="89" w:right="91"/>
                          <w:jc w:val="center"/>
                          <w:rPr>
                            <w:rFonts w:ascii="Arial"/>
                            <w:sz w:val="16"/>
                          </w:rPr>
                        </w:pPr>
                        <w:r>
                          <w:rPr>
                            <w:rFonts w:ascii="Arial"/>
                            <w:color w:val="FFFFFF"/>
                            <w:sz w:val="16"/>
                          </w:rPr>
                          <w:t>mg/L</w:t>
                        </w:r>
                      </w:p>
                    </w:tc>
                    <w:tc>
                      <w:tcPr>
                        <w:tcW w:w="501" w:type="dxa"/>
                        <w:tcBorders>
                          <w:top w:val="nil"/>
                          <w:left w:val="nil"/>
                          <w:bottom w:val="nil"/>
                          <w:right w:val="nil"/>
                        </w:tcBorders>
                        <w:shd w:val="clear" w:color="auto" w:fill="00B04F"/>
                      </w:tcPr>
                      <w:p>
                        <w:pPr>
                          <w:pStyle w:val="TableParagraph"/>
                          <w:spacing w:line="176" w:lineRule="exact" w:before="0"/>
                          <w:ind w:left="158" w:right="0"/>
                          <w:jc w:val="left"/>
                          <w:rPr>
                            <w:rFonts w:ascii="Arial"/>
                            <w:sz w:val="16"/>
                          </w:rPr>
                        </w:pPr>
                        <w:r>
                          <w:rPr>
                            <w:rFonts w:ascii="Arial"/>
                            <w:color w:val="FFFFFF"/>
                            <w:sz w:val="16"/>
                          </w:rPr>
                          <w:t>26</w:t>
                        </w:r>
                      </w:p>
                    </w:tc>
                    <w:tc>
                      <w:tcPr>
                        <w:tcW w:w="151" w:type="dxa"/>
                        <w:vMerge/>
                        <w:tcBorders>
                          <w:left w:val="single" w:sz="43" w:space="0" w:color="00B04F"/>
                          <w:bottom w:val="nil"/>
                        </w:tcBorders>
                      </w:tcPr>
                      <w:p>
                        <w:pPr/>
                      </w:p>
                    </w:tc>
                  </w:tr>
                  <w:tr>
                    <w:trPr>
                      <w:trHeight w:val="189" w:hRule="exact"/>
                    </w:trPr>
                    <w:tc>
                      <w:tcPr>
                        <w:tcW w:w="1232" w:type="dxa"/>
                        <w:tcBorders>
                          <w:top w:val="nil"/>
                          <w:bottom w:val="nil"/>
                          <w:right w:val="nil"/>
                        </w:tcBorders>
                        <w:shd w:val="clear" w:color="auto" w:fill="FFFF00"/>
                      </w:tcPr>
                      <w:p>
                        <w:pPr>
                          <w:pStyle w:val="TableParagraph"/>
                          <w:spacing w:line="180" w:lineRule="exact" w:before="0"/>
                          <w:ind w:left="146" w:right="0"/>
                          <w:jc w:val="left"/>
                          <w:rPr>
                            <w:rFonts w:ascii="Arial"/>
                            <w:sz w:val="16"/>
                          </w:rPr>
                        </w:pPr>
                        <w:r>
                          <w:rPr>
                            <w:rFonts w:ascii="Arial"/>
                            <w:sz w:val="16"/>
                          </w:rPr>
                          <w:t>Alcalinidad*</w:t>
                        </w:r>
                      </w:p>
                    </w:tc>
                    <w:tc>
                      <w:tcPr>
                        <w:tcW w:w="1252" w:type="dxa"/>
                        <w:tcBorders>
                          <w:top w:val="nil"/>
                          <w:left w:val="nil"/>
                          <w:bottom w:val="nil"/>
                          <w:right w:val="nil"/>
                        </w:tcBorders>
                        <w:shd w:val="clear" w:color="auto" w:fill="FFFF00"/>
                      </w:tcPr>
                      <w:p>
                        <w:pPr>
                          <w:pStyle w:val="TableParagraph"/>
                          <w:spacing w:line="180" w:lineRule="exact" w:before="0"/>
                          <w:ind w:left="142" w:right="89"/>
                          <w:jc w:val="center"/>
                          <w:rPr>
                            <w:rFonts w:ascii="Arial" w:hAnsi="Arial"/>
                            <w:sz w:val="16"/>
                          </w:rPr>
                        </w:pPr>
                        <w:r>
                          <w:rPr>
                            <w:rFonts w:ascii="Arial" w:hAnsi="Arial"/>
                            <w:sz w:val="16"/>
                          </w:rPr>
                          <w:t>51,42 ± 0,56</w:t>
                        </w:r>
                      </w:p>
                    </w:tc>
                    <w:tc>
                      <w:tcPr>
                        <w:tcW w:w="852" w:type="dxa"/>
                        <w:tcBorders>
                          <w:top w:val="nil"/>
                          <w:left w:val="nil"/>
                          <w:bottom w:val="nil"/>
                          <w:right w:val="nil"/>
                        </w:tcBorders>
                        <w:shd w:val="clear" w:color="auto" w:fill="FFFF00"/>
                      </w:tcPr>
                      <w:p>
                        <w:pPr>
                          <w:pStyle w:val="TableParagraph"/>
                          <w:spacing w:line="180" w:lineRule="exact" w:before="0"/>
                          <w:ind w:left="89" w:right="91"/>
                          <w:jc w:val="center"/>
                          <w:rPr>
                            <w:rFonts w:ascii="Arial"/>
                            <w:sz w:val="16"/>
                          </w:rPr>
                        </w:pPr>
                        <w:r>
                          <w:rPr>
                            <w:rFonts w:ascii="Arial"/>
                            <w:sz w:val="16"/>
                          </w:rPr>
                          <w:t>mg/L</w:t>
                        </w:r>
                      </w:p>
                    </w:tc>
                    <w:tc>
                      <w:tcPr>
                        <w:tcW w:w="501" w:type="dxa"/>
                        <w:tcBorders>
                          <w:top w:val="nil"/>
                          <w:left w:val="nil"/>
                          <w:bottom w:val="nil"/>
                          <w:right w:val="nil"/>
                        </w:tcBorders>
                        <w:shd w:val="clear" w:color="auto" w:fill="FFFF00"/>
                      </w:tcPr>
                      <w:p>
                        <w:pPr>
                          <w:pStyle w:val="TableParagraph"/>
                          <w:spacing w:line="180" w:lineRule="exact" w:before="0"/>
                          <w:ind w:left="158" w:right="0"/>
                          <w:jc w:val="left"/>
                          <w:rPr>
                            <w:rFonts w:ascii="Arial"/>
                            <w:sz w:val="16"/>
                          </w:rPr>
                        </w:pPr>
                        <w:r>
                          <w:rPr>
                            <w:rFonts w:ascii="Arial"/>
                            <w:sz w:val="16"/>
                          </w:rPr>
                          <w:t>13</w:t>
                        </w:r>
                      </w:p>
                    </w:tc>
                    <w:tc>
                      <w:tcPr>
                        <w:tcW w:w="151" w:type="dxa"/>
                        <w:vMerge w:val="restart"/>
                        <w:tcBorders>
                          <w:top w:val="nil"/>
                          <w:left w:val="single" w:sz="43" w:space="0" w:color="FFFF00"/>
                        </w:tcBorders>
                      </w:tcPr>
                      <w:p>
                        <w:pPr/>
                      </w:p>
                    </w:tc>
                  </w:tr>
                  <w:tr>
                    <w:trPr>
                      <w:trHeight w:val="181" w:hRule="exact"/>
                    </w:trPr>
                    <w:tc>
                      <w:tcPr>
                        <w:tcW w:w="1232" w:type="dxa"/>
                        <w:tcBorders>
                          <w:top w:val="nil"/>
                          <w:bottom w:val="nil"/>
                          <w:right w:val="nil"/>
                        </w:tcBorders>
                        <w:shd w:val="clear" w:color="auto" w:fill="FFFF00"/>
                      </w:tcPr>
                      <w:p>
                        <w:pPr>
                          <w:pStyle w:val="TableParagraph"/>
                          <w:spacing w:line="176" w:lineRule="exact" w:before="0"/>
                          <w:ind w:left="146" w:right="0"/>
                          <w:jc w:val="left"/>
                          <w:rPr>
                            <w:rFonts w:ascii="Arial"/>
                            <w:sz w:val="16"/>
                          </w:rPr>
                        </w:pPr>
                        <w:r>
                          <w:rPr>
                            <w:rFonts w:ascii="Arial"/>
                            <w:sz w:val="16"/>
                          </w:rPr>
                          <w:t>Temperatura</w:t>
                        </w:r>
                      </w:p>
                    </w:tc>
                    <w:tc>
                      <w:tcPr>
                        <w:tcW w:w="1252" w:type="dxa"/>
                        <w:tcBorders>
                          <w:top w:val="nil"/>
                          <w:left w:val="nil"/>
                          <w:bottom w:val="nil"/>
                          <w:right w:val="nil"/>
                        </w:tcBorders>
                        <w:shd w:val="clear" w:color="auto" w:fill="FFFF00"/>
                      </w:tcPr>
                      <w:p>
                        <w:pPr>
                          <w:pStyle w:val="TableParagraph"/>
                          <w:spacing w:line="176" w:lineRule="exact" w:before="0"/>
                          <w:ind w:left="142" w:right="89"/>
                          <w:jc w:val="center"/>
                          <w:rPr>
                            <w:rFonts w:ascii="Arial" w:hAnsi="Arial"/>
                            <w:sz w:val="16"/>
                          </w:rPr>
                        </w:pPr>
                        <w:r>
                          <w:rPr>
                            <w:rFonts w:ascii="Arial" w:hAnsi="Arial"/>
                            <w:sz w:val="16"/>
                          </w:rPr>
                          <w:t>16,82 ± 0,12</w:t>
                        </w:r>
                      </w:p>
                    </w:tc>
                    <w:tc>
                      <w:tcPr>
                        <w:tcW w:w="852" w:type="dxa"/>
                        <w:tcBorders>
                          <w:top w:val="nil"/>
                          <w:left w:val="nil"/>
                          <w:bottom w:val="nil"/>
                          <w:right w:val="nil"/>
                        </w:tcBorders>
                        <w:shd w:val="clear" w:color="auto" w:fill="FFFF00"/>
                      </w:tcPr>
                      <w:p>
                        <w:pPr>
                          <w:pStyle w:val="TableParagraph"/>
                          <w:spacing w:line="176" w:lineRule="exact" w:before="0"/>
                          <w:ind w:left="89" w:right="91"/>
                          <w:jc w:val="center"/>
                          <w:rPr>
                            <w:rFonts w:ascii="Arial" w:hAnsi="Arial"/>
                            <w:sz w:val="16"/>
                          </w:rPr>
                        </w:pPr>
                        <w:r>
                          <w:rPr>
                            <w:rFonts w:ascii="Arial" w:hAnsi="Arial"/>
                            <w:sz w:val="16"/>
                          </w:rPr>
                          <w:t>°C</w:t>
                        </w:r>
                      </w:p>
                    </w:tc>
                    <w:tc>
                      <w:tcPr>
                        <w:tcW w:w="501" w:type="dxa"/>
                        <w:tcBorders>
                          <w:top w:val="nil"/>
                          <w:left w:val="nil"/>
                          <w:bottom w:val="nil"/>
                          <w:right w:val="nil"/>
                        </w:tcBorders>
                        <w:shd w:val="clear" w:color="auto" w:fill="FFFF00"/>
                      </w:tcPr>
                      <w:p>
                        <w:pPr>
                          <w:pStyle w:val="TableParagraph"/>
                          <w:spacing w:line="176" w:lineRule="exact" w:before="0"/>
                          <w:ind w:left="114" w:right="0"/>
                          <w:jc w:val="left"/>
                          <w:rPr>
                            <w:rFonts w:ascii="Arial"/>
                            <w:sz w:val="16"/>
                          </w:rPr>
                        </w:pPr>
                        <w:r>
                          <w:rPr>
                            <w:rFonts w:ascii="Arial"/>
                            <w:sz w:val="16"/>
                          </w:rPr>
                          <w:t>110</w:t>
                        </w:r>
                      </w:p>
                    </w:tc>
                    <w:tc>
                      <w:tcPr>
                        <w:tcW w:w="151" w:type="dxa"/>
                        <w:vMerge/>
                        <w:tcBorders>
                          <w:left w:val="single" w:sz="43" w:space="0" w:color="FFFF00"/>
                          <w:bottom w:val="nil"/>
                        </w:tcBorders>
                      </w:tcPr>
                      <w:p>
                        <w:pPr/>
                      </w:p>
                    </w:tc>
                  </w:tr>
                  <w:tr>
                    <w:trPr>
                      <w:trHeight w:val="188" w:hRule="exact"/>
                    </w:trPr>
                    <w:tc>
                      <w:tcPr>
                        <w:tcW w:w="1232" w:type="dxa"/>
                        <w:tcBorders>
                          <w:top w:val="nil"/>
                          <w:bottom w:val="nil"/>
                          <w:right w:val="nil"/>
                        </w:tcBorders>
                        <w:shd w:val="clear" w:color="auto" w:fill="00B04F"/>
                      </w:tcPr>
                      <w:p>
                        <w:pPr>
                          <w:pStyle w:val="TableParagraph"/>
                          <w:spacing w:line="180" w:lineRule="exact" w:before="0"/>
                          <w:ind w:left="146" w:right="0"/>
                          <w:jc w:val="left"/>
                          <w:rPr>
                            <w:rFonts w:ascii="Arial"/>
                            <w:sz w:val="16"/>
                          </w:rPr>
                        </w:pPr>
                        <w:r>
                          <w:rPr>
                            <w:rFonts w:ascii="Arial"/>
                            <w:color w:val="FFFFFF"/>
                            <w:sz w:val="16"/>
                          </w:rPr>
                          <w:t>pH</w:t>
                        </w:r>
                      </w:p>
                    </w:tc>
                    <w:tc>
                      <w:tcPr>
                        <w:tcW w:w="1252" w:type="dxa"/>
                        <w:tcBorders>
                          <w:top w:val="nil"/>
                          <w:left w:val="nil"/>
                          <w:bottom w:val="nil"/>
                          <w:right w:val="nil"/>
                        </w:tcBorders>
                        <w:shd w:val="clear" w:color="auto" w:fill="00B04F"/>
                      </w:tcPr>
                      <w:p>
                        <w:pPr>
                          <w:pStyle w:val="TableParagraph"/>
                          <w:spacing w:line="180" w:lineRule="exact" w:before="0"/>
                          <w:ind w:left="145" w:right="89"/>
                          <w:jc w:val="center"/>
                          <w:rPr>
                            <w:rFonts w:ascii="Arial" w:hAnsi="Arial"/>
                            <w:sz w:val="16"/>
                          </w:rPr>
                        </w:pPr>
                        <w:r>
                          <w:rPr>
                            <w:rFonts w:ascii="Arial" w:hAnsi="Arial"/>
                            <w:color w:val="FFFFFF"/>
                            <w:sz w:val="16"/>
                          </w:rPr>
                          <w:t>7,13 ± 0,07</w:t>
                        </w:r>
                      </w:p>
                    </w:tc>
                    <w:tc>
                      <w:tcPr>
                        <w:tcW w:w="852" w:type="dxa"/>
                        <w:tcBorders>
                          <w:top w:val="nil"/>
                          <w:left w:val="nil"/>
                          <w:bottom w:val="nil"/>
                          <w:right w:val="nil"/>
                        </w:tcBorders>
                        <w:shd w:val="clear" w:color="auto" w:fill="00B04F"/>
                      </w:tcPr>
                      <w:p>
                        <w:pPr/>
                      </w:p>
                    </w:tc>
                    <w:tc>
                      <w:tcPr>
                        <w:tcW w:w="501" w:type="dxa"/>
                        <w:tcBorders>
                          <w:top w:val="nil"/>
                          <w:left w:val="nil"/>
                          <w:bottom w:val="nil"/>
                          <w:right w:val="nil"/>
                        </w:tcBorders>
                        <w:shd w:val="clear" w:color="auto" w:fill="00B04F"/>
                      </w:tcPr>
                      <w:p>
                        <w:pPr>
                          <w:pStyle w:val="TableParagraph"/>
                          <w:spacing w:line="180" w:lineRule="exact" w:before="0"/>
                          <w:ind w:left="114" w:right="0"/>
                          <w:jc w:val="left"/>
                          <w:rPr>
                            <w:rFonts w:ascii="Arial"/>
                            <w:sz w:val="16"/>
                          </w:rPr>
                        </w:pPr>
                        <w:r>
                          <w:rPr>
                            <w:rFonts w:ascii="Arial"/>
                            <w:color w:val="FFFFFF"/>
                            <w:sz w:val="16"/>
                          </w:rPr>
                          <w:t>121</w:t>
                        </w:r>
                      </w:p>
                    </w:tc>
                    <w:tc>
                      <w:tcPr>
                        <w:tcW w:w="151" w:type="dxa"/>
                        <w:vMerge w:val="restart"/>
                        <w:tcBorders>
                          <w:top w:val="nil"/>
                          <w:left w:val="single" w:sz="43" w:space="0" w:color="00B04F"/>
                        </w:tcBorders>
                      </w:tcPr>
                      <w:p>
                        <w:pPr/>
                      </w:p>
                    </w:tc>
                  </w:tr>
                  <w:tr>
                    <w:trPr>
                      <w:trHeight w:val="179" w:hRule="exact"/>
                    </w:trPr>
                    <w:tc>
                      <w:tcPr>
                        <w:tcW w:w="1232" w:type="dxa"/>
                        <w:tcBorders>
                          <w:top w:val="nil"/>
                          <w:bottom w:val="nil"/>
                          <w:right w:val="nil"/>
                        </w:tcBorders>
                        <w:shd w:val="clear" w:color="auto" w:fill="00B04F"/>
                      </w:tcPr>
                      <w:p>
                        <w:pPr>
                          <w:pStyle w:val="TableParagraph"/>
                          <w:spacing w:line="175" w:lineRule="exact" w:before="0"/>
                          <w:ind w:left="146" w:right="0"/>
                          <w:jc w:val="left"/>
                          <w:rPr>
                            <w:rFonts w:ascii="Arial"/>
                            <w:sz w:val="16"/>
                          </w:rPr>
                        </w:pPr>
                        <w:r>
                          <w:rPr>
                            <w:rFonts w:ascii="Arial"/>
                            <w:color w:val="FFFFFF"/>
                            <w:sz w:val="16"/>
                          </w:rPr>
                          <w:t>OD</w:t>
                        </w:r>
                      </w:p>
                    </w:tc>
                    <w:tc>
                      <w:tcPr>
                        <w:tcW w:w="1252" w:type="dxa"/>
                        <w:tcBorders>
                          <w:top w:val="nil"/>
                          <w:left w:val="nil"/>
                          <w:bottom w:val="nil"/>
                          <w:right w:val="nil"/>
                        </w:tcBorders>
                        <w:shd w:val="clear" w:color="auto" w:fill="00B04F"/>
                      </w:tcPr>
                      <w:p>
                        <w:pPr>
                          <w:pStyle w:val="TableParagraph"/>
                          <w:spacing w:line="175" w:lineRule="exact" w:before="0"/>
                          <w:ind w:left="145" w:right="89"/>
                          <w:jc w:val="center"/>
                          <w:rPr>
                            <w:rFonts w:ascii="Arial" w:hAnsi="Arial"/>
                            <w:sz w:val="16"/>
                          </w:rPr>
                        </w:pPr>
                        <w:r>
                          <w:rPr>
                            <w:rFonts w:ascii="Arial" w:hAnsi="Arial"/>
                            <w:color w:val="FFFFFF"/>
                            <w:sz w:val="16"/>
                          </w:rPr>
                          <w:t>6,80 ± 0,03</w:t>
                        </w:r>
                      </w:p>
                    </w:tc>
                    <w:tc>
                      <w:tcPr>
                        <w:tcW w:w="852" w:type="dxa"/>
                        <w:tcBorders>
                          <w:top w:val="nil"/>
                          <w:left w:val="nil"/>
                          <w:bottom w:val="nil"/>
                          <w:right w:val="nil"/>
                        </w:tcBorders>
                        <w:shd w:val="clear" w:color="auto" w:fill="00B04F"/>
                      </w:tcPr>
                      <w:p>
                        <w:pPr>
                          <w:pStyle w:val="TableParagraph"/>
                          <w:spacing w:line="175" w:lineRule="exact" w:before="0"/>
                          <w:ind w:left="89" w:right="91"/>
                          <w:jc w:val="center"/>
                          <w:rPr>
                            <w:rFonts w:ascii="Arial"/>
                            <w:sz w:val="16"/>
                          </w:rPr>
                        </w:pPr>
                        <w:r>
                          <w:rPr>
                            <w:rFonts w:ascii="Arial"/>
                            <w:color w:val="FFFFFF"/>
                            <w:sz w:val="16"/>
                          </w:rPr>
                          <w:t>mg/L</w:t>
                        </w:r>
                      </w:p>
                    </w:tc>
                    <w:tc>
                      <w:tcPr>
                        <w:tcW w:w="501" w:type="dxa"/>
                        <w:tcBorders>
                          <w:top w:val="nil"/>
                          <w:left w:val="nil"/>
                          <w:bottom w:val="nil"/>
                          <w:right w:val="nil"/>
                        </w:tcBorders>
                        <w:shd w:val="clear" w:color="auto" w:fill="00B04F"/>
                      </w:tcPr>
                      <w:p>
                        <w:pPr>
                          <w:pStyle w:val="TableParagraph"/>
                          <w:spacing w:line="175" w:lineRule="exact" w:before="0"/>
                          <w:ind w:left="114" w:right="0"/>
                          <w:jc w:val="left"/>
                          <w:rPr>
                            <w:rFonts w:ascii="Arial"/>
                            <w:sz w:val="16"/>
                          </w:rPr>
                        </w:pPr>
                        <w:r>
                          <w:rPr>
                            <w:rFonts w:ascii="Arial"/>
                            <w:color w:val="FFFFFF"/>
                            <w:sz w:val="16"/>
                          </w:rPr>
                          <w:t>121</w:t>
                        </w:r>
                      </w:p>
                    </w:tc>
                    <w:tc>
                      <w:tcPr>
                        <w:tcW w:w="151" w:type="dxa"/>
                        <w:vMerge/>
                        <w:tcBorders>
                          <w:left w:val="single" w:sz="43" w:space="0" w:color="00B04F"/>
                          <w:bottom w:val="nil"/>
                        </w:tcBorders>
                      </w:tcPr>
                      <w:p>
                        <w:pPr/>
                      </w:p>
                    </w:tc>
                  </w:tr>
                  <w:tr>
                    <w:trPr>
                      <w:trHeight w:val="2450" w:hRule="exact"/>
                    </w:trPr>
                    <w:tc>
                      <w:tcPr>
                        <w:tcW w:w="3989" w:type="dxa"/>
                        <w:gridSpan w:val="5"/>
                        <w:tcBorders>
                          <w:top w:val="nil"/>
                          <w:left w:val="thickThinMediumGap" w:sz="12" w:space="0" w:color="000000"/>
                        </w:tcBorders>
                      </w:tcPr>
                      <w:p>
                        <w:pPr/>
                      </w:p>
                    </w:tc>
                  </w:tr>
                </w:tbl>
                <w:p>
                  <w:pPr>
                    <w:pStyle w:val="BodyText"/>
                  </w:pPr>
                </w:p>
              </w:txbxContent>
            </v:textbox>
            <w10:wrap type="none"/>
          </v:shape>
        </w:pict>
      </w:r>
    </w:p>
    <w:p>
      <w:pPr>
        <w:pStyle w:val="BodyText"/>
        <w:spacing w:before="1"/>
        <w:rPr>
          <w:sz w:val="28"/>
        </w:rPr>
      </w:pPr>
    </w:p>
    <w:tbl>
      <w:tblPr>
        <w:tblW w:w="0" w:type="auto"/>
        <w:jc w:val="left"/>
        <w:tblInd w:w="12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815"/>
        <w:gridCol w:w="5453"/>
      </w:tblGrid>
      <w:tr>
        <w:trPr>
          <w:trHeight w:val="1351" w:hRule="exact"/>
        </w:trPr>
        <w:tc>
          <w:tcPr>
            <w:tcW w:w="8268" w:type="dxa"/>
            <w:gridSpan w:val="2"/>
            <w:tcBorders>
              <w:bottom w:val="nil"/>
            </w:tcBorders>
          </w:tcPr>
          <w:p>
            <w:pPr>
              <w:pStyle w:val="TableParagraph"/>
              <w:spacing w:before="6"/>
              <w:ind w:right="0"/>
              <w:jc w:val="left"/>
              <w:rPr>
                <w:rFonts w:ascii="Arial"/>
                <w:sz w:val="32"/>
              </w:rPr>
            </w:pPr>
          </w:p>
          <w:p>
            <w:pPr>
              <w:pStyle w:val="TableParagraph"/>
              <w:spacing w:before="0"/>
              <w:ind w:left="136" w:right="6403"/>
              <w:jc w:val="left"/>
              <w:rPr>
                <w:rFonts w:ascii="Arial"/>
                <w:b/>
                <w:sz w:val="24"/>
              </w:rPr>
            </w:pPr>
            <w:r>
              <w:rPr>
                <w:rFonts w:ascii="Arial"/>
                <w:b/>
                <w:sz w:val="24"/>
              </w:rPr>
              <w:t>Filtro de Arena descendente</w:t>
            </w:r>
          </w:p>
        </w:tc>
      </w:tr>
      <w:tr>
        <w:trPr>
          <w:trHeight w:val="1699" w:hRule="exact"/>
        </w:trPr>
        <w:tc>
          <w:tcPr>
            <w:tcW w:w="2815" w:type="dxa"/>
          </w:tcPr>
          <w:p>
            <w:pPr>
              <w:pStyle w:val="TableParagraph"/>
              <w:tabs>
                <w:tab w:pos="1139" w:val="left" w:leader="none"/>
              </w:tabs>
              <w:spacing w:before="65"/>
              <w:ind w:right="99"/>
              <w:jc w:val="center"/>
              <w:rPr>
                <w:rFonts w:ascii="Arial" w:hAnsi="Arial"/>
                <w:b/>
                <w:sz w:val="16"/>
              </w:rPr>
            </w:pPr>
            <w:r>
              <w:rPr>
                <w:rFonts w:ascii="Arial" w:hAnsi="Arial"/>
                <w:b/>
                <w:sz w:val="16"/>
              </w:rPr>
              <w:t>Parámetro</w:t>
              <w:tab/>
              <w:t>Eficiencia (%)</w:t>
            </w:r>
            <w:r>
              <w:rPr>
                <w:rFonts w:ascii="Arial" w:hAnsi="Arial"/>
                <w:b/>
                <w:spacing w:val="-3"/>
                <w:sz w:val="16"/>
              </w:rPr>
              <w:t> </w:t>
            </w:r>
            <w:r>
              <w:rPr>
                <w:rFonts w:ascii="Arial" w:hAnsi="Arial"/>
                <w:b/>
                <w:sz w:val="16"/>
              </w:rPr>
              <w:t>±</w:t>
            </w:r>
          </w:p>
          <w:p>
            <w:pPr>
              <w:pStyle w:val="TableParagraph"/>
              <w:spacing w:before="1"/>
              <w:ind w:left="1494" w:right="0"/>
              <w:jc w:val="left"/>
              <w:rPr>
                <w:rFonts w:ascii="Arial" w:hAnsi="Arial"/>
                <w:b/>
                <w:sz w:val="16"/>
              </w:rPr>
            </w:pPr>
            <w:r>
              <w:rPr>
                <w:rFonts w:ascii="Arial" w:hAnsi="Arial"/>
                <w:b/>
                <w:sz w:val="16"/>
              </w:rPr>
              <w:t>Desviación</w:t>
            </w:r>
          </w:p>
          <w:p>
            <w:pPr>
              <w:pStyle w:val="TableParagraph"/>
              <w:tabs>
                <w:tab w:pos="1547" w:val="left" w:leader="none"/>
                <w:tab w:pos="2659" w:val="left" w:leader="none"/>
              </w:tabs>
              <w:spacing w:before="1"/>
              <w:ind w:right="62"/>
              <w:jc w:val="center"/>
              <w:rPr>
                <w:rFonts w:ascii="Arial" w:hAnsi="Arial"/>
                <w:b/>
                <w:sz w:val="16"/>
              </w:rPr>
            </w:pPr>
            <w:r>
              <w:rPr>
                <w:rFonts w:ascii="Times New Roman" w:hAnsi="Times New Roman"/>
                <w:w w:val="100"/>
                <w:sz w:val="16"/>
                <w:u w:val="single"/>
              </w:rPr>
              <w:t> </w:t>
            </w:r>
            <w:r>
              <w:rPr>
                <w:rFonts w:ascii="Times New Roman" w:hAnsi="Times New Roman"/>
                <w:sz w:val="16"/>
                <w:u w:val="single"/>
              </w:rPr>
              <w:tab/>
            </w:r>
            <w:r>
              <w:rPr>
                <w:rFonts w:ascii="Arial" w:hAnsi="Arial"/>
                <w:b/>
                <w:sz w:val="16"/>
                <w:u w:val="single"/>
              </w:rPr>
              <w:t>estándar</w:t>
              <w:tab/>
            </w:r>
          </w:p>
          <w:p>
            <w:pPr>
              <w:pStyle w:val="TableParagraph"/>
              <w:tabs>
                <w:tab w:pos="1159" w:val="left" w:leader="none"/>
              </w:tabs>
              <w:spacing w:line="188" w:lineRule="exact" w:before="9"/>
              <w:ind w:right="117"/>
              <w:jc w:val="center"/>
              <w:rPr>
                <w:rFonts w:ascii="Arial" w:hAnsi="Arial"/>
                <w:sz w:val="16"/>
              </w:rPr>
            </w:pPr>
            <w:r>
              <w:rPr>
                <w:rFonts w:ascii="Arial" w:hAnsi="Arial"/>
                <w:position w:val="2"/>
                <w:sz w:val="16"/>
              </w:rPr>
              <w:t>N-NH</w:t>
            </w:r>
            <w:r>
              <w:rPr>
                <w:rFonts w:ascii="Arial" w:hAnsi="Arial"/>
                <w:sz w:val="10"/>
              </w:rPr>
              <w:t>3</w:t>
              <w:tab/>
            </w:r>
            <w:r>
              <w:rPr>
                <w:rFonts w:ascii="Arial" w:hAnsi="Arial"/>
                <w:position w:val="2"/>
                <w:sz w:val="16"/>
              </w:rPr>
              <w:t>74,15 ±</w:t>
            </w:r>
            <w:r>
              <w:rPr>
                <w:rFonts w:ascii="Arial" w:hAnsi="Arial"/>
                <w:spacing w:val="-1"/>
                <w:position w:val="2"/>
                <w:sz w:val="16"/>
              </w:rPr>
              <w:t> </w:t>
            </w:r>
            <w:r>
              <w:rPr>
                <w:rFonts w:ascii="Arial" w:hAnsi="Arial"/>
                <w:position w:val="2"/>
                <w:sz w:val="16"/>
              </w:rPr>
              <w:t>0,5</w:t>
            </w:r>
          </w:p>
          <w:p>
            <w:pPr>
              <w:pStyle w:val="TableParagraph"/>
              <w:tabs>
                <w:tab w:pos="1120" w:val="left" w:leader="none"/>
              </w:tabs>
              <w:spacing w:line="185" w:lineRule="exact" w:before="0"/>
              <w:ind w:right="76"/>
              <w:jc w:val="center"/>
              <w:rPr>
                <w:rFonts w:ascii="Arial" w:hAnsi="Arial"/>
                <w:sz w:val="16"/>
              </w:rPr>
            </w:pPr>
            <w:r>
              <w:rPr>
                <w:rFonts w:ascii="Arial" w:hAnsi="Arial"/>
                <w:position w:val="2"/>
                <w:sz w:val="16"/>
              </w:rPr>
              <w:t>N-NO</w:t>
            </w:r>
            <w:r>
              <w:rPr>
                <w:rFonts w:ascii="Arial" w:hAnsi="Arial"/>
                <w:sz w:val="10"/>
              </w:rPr>
              <w:t>2</w:t>
              <w:tab/>
            </w:r>
            <w:r>
              <w:rPr>
                <w:rFonts w:ascii="Arial" w:hAnsi="Arial"/>
                <w:position w:val="2"/>
                <w:sz w:val="16"/>
              </w:rPr>
              <w:t>36,86 ±</w:t>
            </w:r>
            <w:r>
              <w:rPr>
                <w:rFonts w:ascii="Arial" w:hAnsi="Arial"/>
                <w:spacing w:val="-2"/>
                <w:position w:val="2"/>
                <w:sz w:val="16"/>
              </w:rPr>
              <w:t> </w:t>
            </w:r>
            <w:r>
              <w:rPr>
                <w:rFonts w:ascii="Arial" w:hAnsi="Arial"/>
                <w:position w:val="2"/>
                <w:sz w:val="16"/>
              </w:rPr>
              <w:t>0,58</w:t>
            </w:r>
          </w:p>
          <w:p>
            <w:pPr>
              <w:pStyle w:val="TableParagraph"/>
              <w:tabs>
                <w:tab w:pos="1137" w:val="left" w:leader="none"/>
              </w:tabs>
              <w:spacing w:line="184" w:lineRule="exact" w:before="0"/>
              <w:ind w:right="96"/>
              <w:jc w:val="center"/>
              <w:rPr>
                <w:rFonts w:ascii="Arial" w:hAnsi="Arial"/>
                <w:sz w:val="16"/>
              </w:rPr>
            </w:pPr>
            <w:r>
              <w:rPr>
                <w:rFonts w:ascii="Arial" w:hAnsi="Arial"/>
                <w:position w:val="2"/>
                <w:sz w:val="16"/>
              </w:rPr>
              <w:t>N-NO</w:t>
            </w:r>
            <w:r>
              <w:rPr>
                <w:rFonts w:ascii="Arial" w:hAnsi="Arial"/>
                <w:sz w:val="10"/>
              </w:rPr>
              <w:t>3</w:t>
              <w:tab/>
            </w:r>
            <w:r>
              <w:rPr>
                <w:rFonts w:ascii="Arial" w:hAnsi="Arial"/>
                <w:position w:val="2"/>
                <w:sz w:val="16"/>
              </w:rPr>
              <w:t>-2,09 ±</w:t>
            </w:r>
            <w:r>
              <w:rPr>
                <w:rFonts w:ascii="Arial" w:hAnsi="Arial"/>
                <w:spacing w:val="-2"/>
                <w:position w:val="2"/>
                <w:sz w:val="16"/>
              </w:rPr>
              <w:t> </w:t>
            </w:r>
            <w:r>
              <w:rPr>
                <w:rFonts w:ascii="Arial" w:hAnsi="Arial"/>
                <w:position w:val="2"/>
                <w:sz w:val="16"/>
              </w:rPr>
              <w:t>1,36</w:t>
            </w:r>
          </w:p>
          <w:p>
            <w:pPr>
              <w:pStyle w:val="TableParagraph"/>
              <w:tabs>
                <w:tab w:pos="1113" w:val="left" w:leader="none"/>
              </w:tabs>
              <w:spacing w:line="180" w:lineRule="exact" w:before="0"/>
              <w:ind w:right="71"/>
              <w:jc w:val="center"/>
              <w:rPr>
                <w:rFonts w:ascii="Arial" w:hAnsi="Arial"/>
                <w:sz w:val="16"/>
              </w:rPr>
            </w:pPr>
            <w:r>
              <w:rPr>
                <w:rFonts w:ascii="Arial" w:hAnsi="Arial"/>
                <w:sz w:val="16"/>
              </w:rPr>
              <w:t>DQO</w:t>
              <w:tab/>
              <w:t>5,59 ±</w:t>
            </w:r>
            <w:r>
              <w:rPr>
                <w:rFonts w:ascii="Arial" w:hAnsi="Arial"/>
                <w:spacing w:val="-1"/>
                <w:sz w:val="16"/>
              </w:rPr>
              <w:t> </w:t>
            </w:r>
            <w:r>
              <w:rPr>
                <w:rFonts w:ascii="Arial" w:hAnsi="Arial"/>
                <w:sz w:val="16"/>
              </w:rPr>
              <w:t>0,67</w:t>
            </w:r>
          </w:p>
          <w:p>
            <w:pPr>
              <w:pStyle w:val="TableParagraph"/>
              <w:tabs>
                <w:tab w:pos="1043" w:val="left" w:leader="none"/>
              </w:tabs>
              <w:spacing w:before="1"/>
              <w:ind w:right="0"/>
              <w:jc w:val="center"/>
              <w:rPr>
                <w:rFonts w:ascii="Arial" w:hAnsi="Arial"/>
                <w:sz w:val="16"/>
              </w:rPr>
            </w:pPr>
            <w:r>
              <w:rPr>
                <w:rFonts w:ascii="Arial" w:hAnsi="Arial"/>
                <w:sz w:val="16"/>
              </w:rPr>
              <w:t>SST</w:t>
              <w:tab/>
              <w:t>40,79 ±</w:t>
            </w:r>
            <w:r>
              <w:rPr>
                <w:rFonts w:ascii="Arial" w:hAnsi="Arial"/>
                <w:spacing w:val="-2"/>
                <w:sz w:val="16"/>
              </w:rPr>
              <w:t> </w:t>
            </w:r>
            <w:r>
              <w:rPr>
                <w:rFonts w:ascii="Arial" w:hAnsi="Arial"/>
                <w:sz w:val="16"/>
              </w:rPr>
              <w:t>0,78</w:t>
            </w:r>
          </w:p>
        </w:tc>
        <w:tc>
          <w:tcPr>
            <w:tcW w:w="5453" w:type="dxa"/>
            <w:tcBorders>
              <w:top w:val="nil"/>
              <w:bottom w:val="nil"/>
            </w:tcBorders>
          </w:tcPr>
          <w:p>
            <w:pPr/>
          </w:p>
        </w:tc>
      </w:tr>
      <w:tr>
        <w:trPr>
          <w:trHeight w:val="4454" w:hRule="exact"/>
        </w:trPr>
        <w:tc>
          <w:tcPr>
            <w:tcW w:w="8268" w:type="dxa"/>
            <w:gridSpan w:val="2"/>
            <w:tcBorders>
              <w:top w:val="nil"/>
            </w:tcBorders>
          </w:tcPr>
          <w:p>
            <w:pPr>
              <w:pStyle w:val="TableParagraph"/>
              <w:spacing w:before="0"/>
              <w:ind w:right="0"/>
              <w:jc w:val="left"/>
              <w:rPr>
                <w:rFonts w:ascii="Arial"/>
                <w:sz w:val="18"/>
              </w:rPr>
            </w:pPr>
          </w:p>
          <w:p>
            <w:pPr>
              <w:pStyle w:val="TableParagraph"/>
              <w:spacing w:before="0"/>
              <w:ind w:right="0"/>
              <w:jc w:val="left"/>
              <w:rPr>
                <w:rFonts w:ascii="Arial"/>
                <w:sz w:val="18"/>
              </w:rPr>
            </w:pPr>
          </w:p>
          <w:p>
            <w:pPr>
              <w:pStyle w:val="TableParagraph"/>
              <w:spacing w:before="0"/>
              <w:ind w:right="0"/>
              <w:jc w:val="left"/>
              <w:rPr>
                <w:rFonts w:ascii="Arial"/>
                <w:sz w:val="18"/>
              </w:rPr>
            </w:pPr>
          </w:p>
          <w:p>
            <w:pPr>
              <w:pStyle w:val="TableParagraph"/>
              <w:spacing w:before="9"/>
              <w:ind w:right="0"/>
              <w:jc w:val="left"/>
              <w:rPr>
                <w:rFonts w:ascii="Arial"/>
                <w:sz w:val="20"/>
              </w:rPr>
            </w:pPr>
          </w:p>
          <w:p>
            <w:pPr>
              <w:pStyle w:val="TableParagraph"/>
              <w:spacing w:before="1"/>
              <w:ind w:left="369" w:right="5883"/>
              <w:jc w:val="left"/>
              <w:rPr>
                <w:rFonts w:ascii="Arial" w:hAnsi="Arial"/>
                <w:sz w:val="18"/>
              </w:rPr>
            </w:pPr>
            <w:r>
              <w:rPr>
                <w:rFonts w:ascii="Arial" w:hAnsi="Arial"/>
                <w:sz w:val="18"/>
              </w:rPr>
              <w:t>#: Número de muestreos en el intervalo óptimo.</w:t>
            </w:r>
          </w:p>
          <w:p>
            <w:pPr>
              <w:pStyle w:val="TableParagraph"/>
              <w:spacing w:line="213" w:lineRule="exact" w:before="0"/>
              <w:ind w:left="369" w:right="5883"/>
              <w:jc w:val="left"/>
              <w:rPr>
                <w:rFonts w:ascii="Arial"/>
                <w:sz w:val="18"/>
              </w:rPr>
            </w:pPr>
            <w:r>
              <w:rPr>
                <w:rFonts w:ascii="Arial"/>
                <w:position w:val="2"/>
                <w:sz w:val="18"/>
              </w:rPr>
              <w:t>*: mg como CaCO</w:t>
            </w:r>
            <w:r>
              <w:rPr>
                <w:rFonts w:ascii="Arial"/>
                <w:sz w:val="12"/>
              </w:rPr>
              <w:t>3</w:t>
            </w:r>
            <w:r>
              <w:rPr>
                <w:rFonts w:ascii="Arial"/>
                <w:position w:val="2"/>
                <w:sz w:val="18"/>
              </w:rPr>
              <w:t>/L</w:t>
            </w:r>
          </w:p>
        </w:tc>
      </w:tr>
    </w:tbl>
    <w:p>
      <w:pPr>
        <w:spacing w:before="123"/>
        <w:ind w:left="3834" w:right="901" w:hanging="2638"/>
        <w:jc w:val="left"/>
        <w:rPr>
          <w:b/>
          <w:sz w:val="18"/>
        </w:rPr>
      </w:pPr>
      <w:r>
        <w:rPr/>
        <w:pict>
          <v:shape style="position:absolute;margin-left:326.759979pt;margin-top:-124.608299pt;width:176.8pt;height:112.45pt;mso-position-horizontal-relative:page;mso-position-vertical-relative:paragraph;z-index:721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970"/>
                    <w:gridCol w:w="710"/>
                    <w:gridCol w:w="708"/>
                  </w:tblGrid>
                  <w:tr>
                    <w:trPr>
                      <w:trHeight w:val="492" w:hRule="exact"/>
                    </w:trPr>
                    <w:tc>
                      <w:tcPr>
                        <w:tcW w:w="1133" w:type="dxa"/>
                      </w:tcPr>
                      <w:p>
                        <w:pPr>
                          <w:pStyle w:val="TableParagraph"/>
                          <w:spacing w:before="7"/>
                          <w:ind w:right="0"/>
                          <w:jc w:val="left"/>
                          <w:rPr>
                            <w:rFonts w:ascii="Arial"/>
                            <w:sz w:val="13"/>
                          </w:rPr>
                        </w:pPr>
                      </w:p>
                      <w:p>
                        <w:pPr>
                          <w:pStyle w:val="TableParagraph"/>
                          <w:spacing w:before="0"/>
                          <w:ind w:left="213" w:right="112"/>
                          <w:jc w:val="left"/>
                          <w:rPr>
                            <w:rFonts w:ascii="Arial" w:hAnsi="Arial"/>
                            <w:b/>
                            <w:sz w:val="14"/>
                          </w:rPr>
                        </w:pPr>
                        <w:r>
                          <w:rPr>
                            <w:rFonts w:ascii="Arial" w:hAnsi="Arial"/>
                            <w:b/>
                            <w:sz w:val="14"/>
                          </w:rPr>
                          <w:t>Parámetro</w:t>
                        </w:r>
                      </w:p>
                    </w:tc>
                    <w:tc>
                      <w:tcPr>
                        <w:tcW w:w="970" w:type="dxa"/>
                      </w:tcPr>
                      <w:p>
                        <w:pPr>
                          <w:pStyle w:val="TableParagraph"/>
                          <w:spacing w:before="0"/>
                          <w:ind w:left="103" w:right="102"/>
                          <w:jc w:val="center"/>
                          <w:rPr>
                            <w:rFonts w:ascii="Arial" w:hAnsi="Arial"/>
                            <w:b/>
                            <w:sz w:val="14"/>
                          </w:rPr>
                        </w:pPr>
                        <w:r>
                          <w:rPr>
                            <w:rFonts w:ascii="Arial" w:hAnsi="Arial"/>
                            <w:b/>
                            <w:w w:val="95"/>
                            <w:sz w:val="14"/>
                          </w:rPr>
                          <w:t>Coeficiente </w:t>
                        </w:r>
                        <w:r>
                          <w:rPr>
                            <w:rFonts w:ascii="Arial" w:hAnsi="Arial"/>
                            <w:b/>
                            <w:sz w:val="14"/>
                          </w:rPr>
                          <w:t>de    variación</w:t>
                        </w:r>
                      </w:p>
                    </w:tc>
                    <w:tc>
                      <w:tcPr>
                        <w:tcW w:w="1418" w:type="dxa"/>
                        <w:gridSpan w:val="2"/>
                      </w:tcPr>
                      <w:p>
                        <w:pPr>
                          <w:pStyle w:val="TableParagraph"/>
                          <w:spacing w:before="77"/>
                          <w:ind w:left="163" w:right="144" w:firstLine="110"/>
                          <w:jc w:val="left"/>
                          <w:rPr>
                            <w:rFonts w:ascii="Arial"/>
                            <w:b/>
                            <w:sz w:val="14"/>
                          </w:rPr>
                        </w:pPr>
                        <w:r>
                          <w:rPr>
                            <w:rFonts w:ascii="Arial"/>
                            <w:b/>
                            <w:sz w:val="14"/>
                          </w:rPr>
                          <w:t>Intervalos de confianza a 95%</w:t>
                        </w:r>
                      </w:p>
                    </w:tc>
                  </w:tr>
                  <w:tr>
                    <w:trPr>
                      <w:trHeight w:val="194" w:hRule="exact"/>
                    </w:trPr>
                    <w:tc>
                      <w:tcPr>
                        <w:tcW w:w="1133" w:type="dxa"/>
                      </w:tcPr>
                      <w:p>
                        <w:pPr>
                          <w:pStyle w:val="TableParagraph"/>
                          <w:spacing w:line="189" w:lineRule="exact" w:before="0"/>
                          <w:ind w:left="103" w:right="112"/>
                          <w:jc w:val="left"/>
                          <w:rPr>
                            <w:rFonts w:ascii="Arial"/>
                            <w:sz w:val="10"/>
                          </w:rPr>
                        </w:pPr>
                        <w:r>
                          <w:rPr>
                            <w:rFonts w:ascii="Arial"/>
                            <w:position w:val="2"/>
                            <w:sz w:val="16"/>
                          </w:rPr>
                          <w:t>N-NH</w:t>
                        </w:r>
                        <w:r>
                          <w:rPr>
                            <w:rFonts w:ascii="Arial"/>
                            <w:sz w:val="10"/>
                          </w:rPr>
                          <w:t>3</w:t>
                        </w:r>
                      </w:p>
                    </w:tc>
                    <w:tc>
                      <w:tcPr>
                        <w:tcW w:w="970" w:type="dxa"/>
                      </w:tcPr>
                      <w:p>
                        <w:pPr>
                          <w:pStyle w:val="TableParagraph"/>
                          <w:spacing w:line="183" w:lineRule="exact" w:before="0"/>
                          <w:ind w:right="98"/>
                          <w:rPr>
                            <w:rFonts w:ascii="Arial"/>
                            <w:sz w:val="16"/>
                          </w:rPr>
                        </w:pPr>
                        <w:r>
                          <w:rPr>
                            <w:rFonts w:ascii="Arial"/>
                            <w:sz w:val="16"/>
                          </w:rPr>
                          <w:t>0,019</w:t>
                        </w:r>
                      </w:p>
                    </w:tc>
                    <w:tc>
                      <w:tcPr>
                        <w:tcW w:w="710" w:type="dxa"/>
                      </w:tcPr>
                      <w:p>
                        <w:pPr>
                          <w:pStyle w:val="TableParagraph"/>
                          <w:spacing w:line="183" w:lineRule="exact" w:before="0"/>
                          <w:ind w:right="100"/>
                          <w:rPr>
                            <w:rFonts w:ascii="Arial"/>
                            <w:sz w:val="16"/>
                          </w:rPr>
                        </w:pPr>
                        <w:r>
                          <w:rPr>
                            <w:rFonts w:ascii="Arial"/>
                            <w:sz w:val="16"/>
                          </w:rPr>
                          <w:t>0,25</w:t>
                        </w:r>
                      </w:p>
                    </w:tc>
                    <w:tc>
                      <w:tcPr>
                        <w:tcW w:w="708" w:type="dxa"/>
                      </w:tcPr>
                      <w:p>
                        <w:pPr>
                          <w:pStyle w:val="TableParagraph"/>
                          <w:spacing w:line="183" w:lineRule="exact" w:before="0"/>
                          <w:ind w:left="263" w:right="83"/>
                          <w:jc w:val="center"/>
                          <w:rPr>
                            <w:rFonts w:ascii="Arial"/>
                            <w:sz w:val="16"/>
                          </w:rPr>
                        </w:pPr>
                        <w:r>
                          <w:rPr>
                            <w:rFonts w:ascii="Arial"/>
                            <w:sz w:val="16"/>
                          </w:rPr>
                          <w:t>0,29</w:t>
                        </w:r>
                      </w:p>
                    </w:tc>
                  </w:tr>
                  <w:tr>
                    <w:trPr>
                      <w:trHeight w:val="194" w:hRule="exact"/>
                    </w:trPr>
                    <w:tc>
                      <w:tcPr>
                        <w:tcW w:w="1133" w:type="dxa"/>
                      </w:tcPr>
                      <w:p>
                        <w:pPr>
                          <w:pStyle w:val="TableParagraph"/>
                          <w:spacing w:line="126" w:lineRule="exact" w:before="0"/>
                          <w:ind w:left="103" w:right="112"/>
                          <w:jc w:val="left"/>
                          <w:rPr>
                            <w:rFonts w:ascii="Arial"/>
                            <w:sz w:val="10"/>
                          </w:rPr>
                        </w:pPr>
                        <w:r>
                          <w:rPr>
                            <w:rFonts w:ascii="Arial"/>
                            <w:sz w:val="16"/>
                          </w:rPr>
                          <w:t>N-NO </w:t>
                        </w:r>
                        <w:r>
                          <w:rPr>
                            <w:rFonts w:ascii="Arial"/>
                            <w:position w:val="8"/>
                            <w:sz w:val="10"/>
                          </w:rPr>
                          <w:t>-</w:t>
                        </w:r>
                      </w:p>
                      <w:p>
                        <w:pPr>
                          <w:pStyle w:val="TableParagraph"/>
                          <w:spacing w:line="61" w:lineRule="exact" w:before="0"/>
                          <w:ind w:right="42"/>
                          <w:jc w:val="center"/>
                          <w:rPr>
                            <w:rFonts w:ascii="Arial"/>
                            <w:sz w:val="10"/>
                          </w:rPr>
                        </w:pPr>
                        <w:r>
                          <w:rPr>
                            <w:rFonts w:ascii="Arial"/>
                            <w:w w:val="100"/>
                            <w:sz w:val="10"/>
                          </w:rPr>
                          <w:t>2</w:t>
                        </w:r>
                      </w:p>
                    </w:tc>
                    <w:tc>
                      <w:tcPr>
                        <w:tcW w:w="970" w:type="dxa"/>
                      </w:tcPr>
                      <w:p>
                        <w:pPr>
                          <w:pStyle w:val="TableParagraph"/>
                          <w:spacing w:line="180" w:lineRule="exact" w:before="0"/>
                          <w:ind w:right="98"/>
                          <w:rPr>
                            <w:rFonts w:ascii="Arial"/>
                            <w:sz w:val="16"/>
                          </w:rPr>
                        </w:pPr>
                        <w:r>
                          <w:rPr>
                            <w:rFonts w:ascii="Arial"/>
                            <w:sz w:val="16"/>
                          </w:rPr>
                          <w:t>0,030</w:t>
                        </w:r>
                      </w:p>
                    </w:tc>
                    <w:tc>
                      <w:tcPr>
                        <w:tcW w:w="710" w:type="dxa"/>
                      </w:tcPr>
                      <w:p>
                        <w:pPr>
                          <w:pStyle w:val="TableParagraph"/>
                          <w:spacing w:line="180" w:lineRule="exact" w:before="0"/>
                          <w:ind w:right="100"/>
                          <w:rPr>
                            <w:rFonts w:ascii="Arial"/>
                            <w:sz w:val="16"/>
                          </w:rPr>
                        </w:pPr>
                        <w:r>
                          <w:rPr>
                            <w:rFonts w:ascii="Arial"/>
                            <w:sz w:val="16"/>
                          </w:rPr>
                          <w:t>0,19</w:t>
                        </w:r>
                      </w:p>
                    </w:tc>
                    <w:tc>
                      <w:tcPr>
                        <w:tcW w:w="708" w:type="dxa"/>
                      </w:tcPr>
                      <w:p>
                        <w:pPr>
                          <w:pStyle w:val="TableParagraph"/>
                          <w:spacing w:line="180" w:lineRule="exact" w:before="0"/>
                          <w:ind w:left="263" w:right="83"/>
                          <w:jc w:val="center"/>
                          <w:rPr>
                            <w:rFonts w:ascii="Arial"/>
                            <w:sz w:val="16"/>
                          </w:rPr>
                        </w:pPr>
                        <w:r>
                          <w:rPr>
                            <w:rFonts w:ascii="Arial"/>
                            <w:sz w:val="16"/>
                          </w:rPr>
                          <w:t>0,21</w:t>
                        </w:r>
                      </w:p>
                    </w:tc>
                  </w:tr>
                  <w:tr>
                    <w:trPr>
                      <w:trHeight w:val="194" w:hRule="exact"/>
                    </w:trPr>
                    <w:tc>
                      <w:tcPr>
                        <w:tcW w:w="1133" w:type="dxa"/>
                      </w:tcPr>
                      <w:p>
                        <w:pPr>
                          <w:pStyle w:val="TableParagraph"/>
                          <w:spacing w:line="126" w:lineRule="exact" w:before="0"/>
                          <w:ind w:left="103" w:right="112"/>
                          <w:jc w:val="left"/>
                          <w:rPr>
                            <w:rFonts w:ascii="Arial"/>
                            <w:sz w:val="10"/>
                          </w:rPr>
                        </w:pPr>
                        <w:r>
                          <w:rPr>
                            <w:rFonts w:ascii="Arial"/>
                            <w:sz w:val="16"/>
                          </w:rPr>
                          <w:t>N-NO </w:t>
                        </w:r>
                        <w:r>
                          <w:rPr>
                            <w:rFonts w:ascii="Arial"/>
                            <w:position w:val="8"/>
                            <w:sz w:val="10"/>
                          </w:rPr>
                          <w:t>-</w:t>
                        </w:r>
                      </w:p>
                      <w:p>
                        <w:pPr>
                          <w:pStyle w:val="TableParagraph"/>
                          <w:spacing w:line="61" w:lineRule="exact" w:before="0"/>
                          <w:ind w:right="42"/>
                          <w:jc w:val="center"/>
                          <w:rPr>
                            <w:rFonts w:ascii="Arial"/>
                            <w:sz w:val="10"/>
                          </w:rPr>
                        </w:pPr>
                        <w:r>
                          <w:rPr>
                            <w:rFonts w:ascii="Arial"/>
                            <w:w w:val="100"/>
                            <w:sz w:val="10"/>
                          </w:rPr>
                          <w:t>3</w:t>
                        </w:r>
                      </w:p>
                    </w:tc>
                    <w:tc>
                      <w:tcPr>
                        <w:tcW w:w="970" w:type="dxa"/>
                      </w:tcPr>
                      <w:p>
                        <w:pPr>
                          <w:pStyle w:val="TableParagraph"/>
                          <w:spacing w:line="180" w:lineRule="exact" w:before="0"/>
                          <w:ind w:right="98"/>
                          <w:rPr>
                            <w:rFonts w:ascii="Arial"/>
                            <w:sz w:val="16"/>
                          </w:rPr>
                        </w:pPr>
                        <w:r>
                          <w:rPr>
                            <w:rFonts w:ascii="Arial"/>
                            <w:sz w:val="16"/>
                          </w:rPr>
                          <w:t>0,0035</w:t>
                        </w:r>
                      </w:p>
                    </w:tc>
                    <w:tc>
                      <w:tcPr>
                        <w:tcW w:w="710" w:type="dxa"/>
                      </w:tcPr>
                      <w:p>
                        <w:pPr>
                          <w:pStyle w:val="TableParagraph"/>
                          <w:spacing w:line="180" w:lineRule="exact" w:before="0"/>
                          <w:ind w:right="101"/>
                          <w:rPr>
                            <w:rFonts w:ascii="Arial"/>
                            <w:sz w:val="16"/>
                          </w:rPr>
                        </w:pPr>
                        <w:r>
                          <w:rPr>
                            <w:rFonts w:ascii="Arial"/>
                            <w:sz w:val="16"/>
                          </w:rPr>
                          <w:t>58,74</w:t>
                        </w:r>
                      </w:p>
                    </w:tc>
                    <w:tc>
                      <w:tcPr>
                        <w:tcW w:w="708" w:type="dxa"/>
                      </w:tcPr>
                      <w:p>
                        <w:pPr>
                          <w:pStyle w:val="TableParagraph"/>
                          <w:spacing w:line="180" w:lineRule="exact" w:before="0"/>
                          <w:ind w:left="173" w:right="83"/>
                          <w:jc w:val="center"/>
                          <w:rPr>
                            <w:rFonts w:ascii="Arial"/>
                            <w:sz w:val="16"/>
                          </w:rPr>
                        </w:pPr>
                        <w:r>
                          <w:rPr>
                            <w:rFonts w:ascii="Arial"/>
                            <w:sz w:val="16"/>
                          </w:rPr>
                          <w:t>59,55</w:t>
                        </w:r>
                      </w:p>
                    </w:tc>
                  </w:tr>
                  <w:tr>
                    <w:trPr>
                      <w:trHeight w:val="194" w:hRule="exact"/>
                    </w:trPr>
                    <w:tc>
                      <w:tcPr>
                        <w:tcW w:w="1133" w:type="dxa"/>
                      </w:tcPr>
                      <w:p>
                        <w:pPr>
                          <w:pStyle w:val="TableParagraph"/>
                          <w:spacing w:line="180" w:lineRule="exact" w:before="0"/>
                          <w:ind w:left="103" w:right="112"/>
                          <w:jc w:val="left"/>
                          <w:rPr>
                            <w:rFonts w:ascii="Arial"/>
                            <w:sz w:val="16"/>
                          </w:rPr>
                        </w:pPr>
                        <w:r>
                          <w:rPr>
                            <w:rFonts w:ascii="Arial"/>
                            <w:sz w:val="16"/>
                          </w:rPr>
                          <w:t>DQO</w:t>
                        </w:r>
                      </w:p>
                    </w:tc>
                    <w:tc>
                      <w:tcPr>
                        <w:tcW w:w="970" w:type="dxa"/>
                      </w:tcPr>
                      <w:p>
                        <w:pPr>
                          <w:pStyle w:val="TableParagraph"/>
                          <w:spacing w:line="180" w:lineRule="exact" w:before="0"/>
                          <w:ind w:right="98"/>
                          <w:rPr>
                            <w:rFonts w:ascii="Arial"/>
                            <w:sz w:val="16"/>
                          </w:rPr>
                        </w:pPr>
                        <w:r>
                          <w:rPr>
                            <w:rFonts w:ascii="Arial"/>
                            <w:sz w:val="16"/>
                          </w:rPr>
                          <w:t>0,0084</w:t>
                        </w:r>
                      </w:p>
                    </w:tc>
                    <w:tc>
                      <w:tcPr>
                        <w:tcW w:w="710" w:type="dxa"/>
                      </w:tcPr>
                      <w:p>
                        <w:pPr>
                          <w:pStyle w:val="TableParagraph"/>
                          <w:spacing w:line="180" w:lineRule="exact" w:before="0"/>
                          <w:ind w:right="101"/>
                          <w:rPr>
                            <w:rFonts w:ascii="Arial"/>
                            <w:sz w:val="16"/>
                          </w:rPr>
                        </w:pPr>
                        <w:r>
                          <w:rPr>
                            <w:rFonts w:ascii="Arial"/>
                            <w:sz w:val="16"/>
                          </w:rPr>
                          <w:t>43,09</w:t>
                        </w:r>
                      </w:p>
                    </w:tc>
                    <w:tc>
                      <w:tcPr>
                        <w:tcW w:w="708" w:type="dxa"/>
                      </w:tcPr>
                      <w:p>
                        <w:pPr>
                          <w:pStyle w:val="TableParagraph"/>
                          <w:spacing w:line="180" w:lineRule="exact" w:before="0"/>
                          <w:ind w:left="173" w:right="83"/>
                          <w:jc w:val="center"/>
                          <w:rPr>
                            <w:rFonts w:ascii="Arial"/>
                            <w:sz w:val="16"/>
                          </w:rPr>
                        </w:pPr>
                        <w:r>
                          <w:rPr>
                            <w:rFonts w:ascii="Arial"/>
                            <w:sz w:val="16"/>
                          </w:rPr>
                          <w:t>44,53</w:t>
                        </w:r>
                      </w:p>
                    </w:tc>
                  </w:tr>
                  <w:tr>
                    <w:trPr>
                      <w:trHeight w:val="194" w:hRule="exact"/>
                    </w:trPr>
                    <w:tc>
                      <w:tcPr>
                        <w:tcW w:w="1133" w:type="dxa"/>
                      </w:tcPr>
                      <w:p>
                        <w:pPr>
                          <w:pStyle w:val="TableParagraph"/>
                          <w:spacing w:line="180" w:lineRule="exact" w:before="0"/>
                          <w:ind w:left="103" w:right="112"/>
                          <w:jc w:val="left"/>
                          <w:rPr>
                            <w:rFonts w:ascii="Arial"/>
                            <w:sz w:val="16"/>
                          </w:rPr>
                        </w:pPr>
                        <w:r>
                          <w:rPr>
                            <w:rFonts w:ascii="Arial"/>
                            <w:sz w:val="16"/>
                          </w:rPr>
                          <w:t>SST</w:t>
                        </w:r>
                      </w:p>
                    </w:tc>
                    <w:tc>
                      <w:tcPr>
                        <w:tcW w:w="970" w:type="dxa"/>
                      </w:tcPr>
                      <w:p>
                        <w:pPr>
                          <w:pStyle w:val="TableParagraph"/>
                          <w:spacing w:line="180" w:lineRule="exact" w:before="0"/>
                          <w:ind w:right="98"/>
                          <w:rPr>
                            <w:rFonts w:ascii="Arial"/>
                            <w:sz w:val="16"/>
                          </w:rPr>
                        </w:pPr>
                        <w:r>
                          <w:rPr>
                            <w:rFonts w:ascii="Arial"/>
                            <w:sz w:val="16"/>
                          </w:rPr>
                          <w:t>0,016</w:t>
                        </w:r>
                      </w:p>
                    </w:tc>
                    <w:tc>
                      <w:tcPr>
                        <w:tcW w:w="710" w:type="dxa"/>
                      </w:tcPr>
                      <w:p>
                        <w:pPr>
                          <w:pStyle w:val="TableParagraph"/>
                          <w:spacing w:line="180" w:lineRule="exact" w:before="0"/>
                          <w:ind w:right="100"/>
                          <w:rPr>
                            <w:rFonts w:ascii="Arial"/>
                            <w:sz w:val="16"/>
                          </w:rPr>
                        </w:pPr>
                        <w:r>
                          <w:rPr>
                            <w:rFonts w:ascii="Arial"/>
                            <w:sz w:val="16"/>
                          </w:rPr>
                          <w:t>1,99</w:t>
                        </w:r>
                      </w:p>
                    </w:tc>
                    <w:tc>
                      <w:tcPr>
                        <w:tcW w:w="708" w:type="dxa"/>
                      </w:tcPr>
                      <w:p>
                        <w:pPr>
                          <w:pStyle w:val="TableParagraph"/>
                          <w:spacing w:line="180" w:lineRule="exact" w:before="0"/>
                          <w:ind w:left="263" w:right="83"/>
                          <w:jc w:val="center"/>
                          <w:rPr>
                            <w:rFonts w:ascii="Arial"/>
                            <w:sz w:val="16"/>
                          </w:rPr>
                        </w:pPr>
                        <w:r>
                          <w:rPr>
                            <w:rFonts w:ascii="Arial"/>
                            <w:sz w:val="16"/>
                          </w:rPr>
                          <w:t>2,12</w:t>
                        </w:r>
                      </w:p>
                    </w:tc>
                  </w:tr>
                  <w:tr>
                    <w:trPr>
                      <w:trHeight w:val="192" w:hRule="exact"/>
                    </w:trPr>
                    <w:tc>
                      <w:tcPr>
                        <w:tcW w:w="1133" w:type="dxa"/>
                      </w:tcPr>
                      <w:p>
                        <w:pPr>
                          <w:pStyle w:val="TableParagraph"/>
                          <w:spacing w:line="180" w:lineRule="exact" w:before="0"/>
                          <w:ind w:left="103" w:right="112"/>
                          <w:jc w:val="left"/>
                          <w:rPr>
                            <w:rFonts w:ascii="Arial"/>
                            <w:sz w:val="16"/>
                          </w:rPr>
                        </w:pPr>
                        <w:r>
                          <w:rPr>
                            <w:rFonts w:ascii="Arial"/>
                            <w:sz w:val="16"/>
                          </w:rPr>
                          <w:t>Alcalinidad*</w:t>
                        </w:r>
                      </w:p>
                    </w:tc>
                    <w:tc>
                      <w:tcPr>
                        <w:tcW w:w="970" w:type="dxa"/>
                      </w:tcPr>
                      <w:p>
                        <w:pPr>
                          <w:pStyle w:val="TableParagraph"/>
                          <w:spacing w:line="180" w:lineRule="exact" w:before="0"/>
                          <w:ind w:right="98"/>
                          <w:rPr>
                            <w:rFonts w:ascii="Arial"/>
                            <w:sz w:val="16"/>
                          </w:rPr>
                        </w:pPr>
                        <w:r>
                          <w:rPr>
                            <w:rFonts w:ascii="Arial"/>
                            <w:sz w:val="16"/>
                          </w:rPr>
                          <w:t>0,012</w:t>
                        </w:r>
                      </w:p>
                    </w:tc>
                    <w:tc>
                      <w:tcPr>
                        <w:tcW w:w="710" w:type="dxa"/>
                      </w:tcPr>
                      <w:p>
                        <w:pPr>
                          <w:pStyle w:val="TableParagraph"/>
                          <w:spacing w:line="180" w:lineRule="exact" w:before="0"/>
                          <w:ind w:right="101"/>
                          <w:rPr>
                            <w:rFonts w:ascii="Arial"/>
                            <w:sz w:val="16"/>
                          </w:rPr>
                        </w:pPr>
                        <w:r>
                          <w:rPr>
                            <w:rFonts w:ascii="Arial"/>
                            <w:sz w:val="16"/>
                          </w:rPr>
                          <w:t>45,02</w:t>
                        </w:r>
                      </w:p>
                    </w:tc>
                    <w:tc>
                      <w:tcPr>
                        <w:tcW w:w="708" w:type="dxa"/>
                      </w:tcPr>
                      <w:p>
                        <w:pPr>
                          <w:pStyle w:val="TableParagraph"/>
                          <w:spacing w:line="180" w:lineRule="exact" w:before="0"/>
                          <w:ind w:left="172" w:right="83"/>
                          <w:jc w:val="center"/>
                          <w:rPr>
                            <w:rFonts w:ascii="Arial"/>
                            <w:sz w:val="16"/>
                          </w:rPr>
                        </w:pPr>
                        <w:r>
                          <w:rPr>
                            <w:rFonts w:ascii="Arial"/>
                            <w:sz w:val="16"/>
                          </w:rPr>
                          <w:t>47,20</w:t>
                        </w:r>
                      </w:p>
                    </w:tc>
                  </w:tr>
                  <w:tr>
                    <w:trPr>
                      <w:trHeight w:val="194" w:hRule="exact"/>
                    </w:trPr>
                    <w:tc>
                      <w:tcPr>
                        <w:tcW w:w="1133" w:type="dxa"/>
                      </w:tcPr>
                      <w:p>
                        <w:pPr>
                          <w:pStyle w:val="TableParagraph"/>
                          <w:spacing w:line="183" w:lineRule="exact" w:before="0"/>
                          <w:ind w:left="103" w:right="0"/>
                          <w:jc w:val="left"/>
                          <w:rPr>
                            <w:rFonts w:ascii="Arial"/>
                            <w:sz w:val="16"/>
                          </w:rPr>
                        </w:pPr>
                        <w:r>
                          <w:rPr>
                            <w:rFonts w:ascii="Arial"/>
                            <w:sz w:val="16"/>
                          </w:rPr>
                          <w:t>Temperatura</w:t>
                        </w:r>
                      </w:p>
                    </w:tc>
                    <w:tc>
                      <w:tcPr>
                        <w:tcW w:w="970" w:type="dxa"/>
                      </w:tcPr>
                      <w:p>
                        <w:pPr>
                          <w:pStyle w:val="TableParagraph"/>
                          <w:spacing w:line="183" w:lineRule="exact" w:before="0"/>
                          <w:ind w:right="100"/>
                          <w:rPr>
                            <w:rFonts w:ascii="Arial"/>
                            <w:sz w:val="16"/>
                          </w:rPr>
                        </w:pPr>
                        <w:r>
                          <w:rPr>
                            <w:rFonts w:ascii="Arial"/>
                            <w:sz w:val="16"/>
                          </w:rPr>
                          <w:t>0,007</w:t>
                        </w:r>
                      </w:p>
                    </w:tc>
                    <w:tc>
                      <w:tcPr>
                        <w:tcW w:w="710" w:type="dxa"/>
                      </w:tcPr>
                      <w:p>
                        <w:pPr>
                          <w:pStyle w:val="TableParagraph"/>
                          <w:spacing w:line="183" w:lineRule="exact" w:before="0"/>
                          <w:ind w:right="101"/>
                          <w:rPr>
                            <w:rFonts w:ascii="Arial"/>
                            <w:sz w:val="16"/>
                          </w:rPr>
                        </w:pPr>
                        <w:r>
                          <w:rPr>
                            <w:rFonts w:ascii="Arial"/>
                            <w:sz w:val="16"/>
                          </w:rPr>
                          <w:t>16,53</w:t>
                        </w:r>
                      </w:p>
                    </w:tc>
                    <w:tc>
                      <w:tcPr>
                        <w:tcW w:w="708" w:type="dxa"/>
                      </w:tcPr>
                      <w:p>
                        <w:pPr>
                          <w:pStyle w:val="TableParagraph"/>
                          <w:spacing w:line="183" w:lineRule="exact" w:before="0"/>
                          <w:ind w:left="172" w:right="83"/>
                          <w:jc w:val="center"/>
                          <w:rPr>
                            <w:rFonts w:ascii="Arial"/>
                            <w:sz w:val="16"/>
                          </w:rPr>
                        </w:pPr>
                        <w:r>
                          <w:rPr>
                            <w:rFonts w:ascii="Arial"/>
                            <w:sz w:val="16"/>
                          </w:rPr>
                          <w:t>17,01</w:t>
                        </w:r>
                      </w:p>
                    </w:tc>
                  </w:tr>
                  <w:tr>
                    <w:trPr>
                      <w:trHeight w:val="194" w:hRule="exact"/>
                    </w:trPr>
                    <w:tc>
                      <w:tcPr>
                        <w:tcW w:w="1133" w:type="dxa"/>
                      </w:tcPr>
                      <w:p>
                        <w:pPr>
                          <w:pStyle w:val="TableParagraph"/>
                          <w:spacing w:line="180" w:lineRule="exact" w:before="0"/>
                          <w:ind w:left="103" w:right="112"/>
                          <w:jc w:val="left"/>
                          <w:rPr>
                            <w:rFonts w:ascii="Arial"/>
                            <w:sz w:val="16"/>
                          </w:rPr>
                        </w:pPr>
                        <w:r>
                          <w:rPr>
                            <w:rFonts w:ascii="Arial"/>
                            <w:sz w:val="16"/>
                          </w:rPr>
                          <w:t>pH</w:t>
                        </w:r>
                      </w:p>
                    </w:tc>
                    <w:tc>
                      <w:tcPr>
                        <w:tcW w:w="970" w:type="dxa"/>
                      </w:tcPr>
                      <w:p>
                        <w:pPr>
                          <w:pStyle w:val="TableParagraph"/>
                          <w:spacing w:line="180" w:lineRule="exact" w:before="0"/>
                          <w:ind w:right="98"/>
                          <w:rPr>
                            <w:rFonts w:ascii="Arial"/>
                            <w:sz w:val="16"/>
                          </w:rPr>
                        </w:pPr>
                        <w:r>
                          <w:rPr>
                            <w:rFonts w:ascii="Arial"/>
                            <w:sz w:val="16"/>
                          </w:rPr>
                          <w:t>0,010</w:t>
                        </w:r>
                      </w:p>
                    </w:tc>
                    <w:tc>
                      <w:tcPr>
                        <w:tcW w:w="710" w:type="dxa"/>
                      </w:tcPr>
                      <w:p>
                        <w:pPr>
                          <w:pStyle w:val="TableParagraph"/>
                          <w:spacing w:line="180" w:lineRule="exact" w:before="0"/>
                          <w:ind w:right="100"/>
                          <w:rPr>
                            <w:rFonts w:ascii="Arial"/>
                            <w:sz w:val="16"/>
                          </w:rPr>
                        </w:pPr>
                        <w:r>
                          <w:rPr>
                            <w:rFonts w:ascii="Arial"/>
                            <w:sz w:val="16"/>
                          </w:rPr>
                          <w:t>6,85</w:t>
                        </w:r>
                      </w:p>
                    </w:tc>
                    <w:tc>
                      <w:tcPr>
                        <w:tcW w:w="708" w:type="dxa"/>
                      </w:tcPr>
                      <w:p>
                        <w:pPr>
                          <w:pStyle w:val="TableParagraph"/>
                          <w:spacing w:line="180" w:lineRule="exact" w:before="0"/>
                          <w:ind w:left="263" w:right="83"/>
                          <w:jc w:val="center"/>
                          <w:rPr>
                            <w:rFonts w:ascii="Arial"/>
                            <w:sz w:val="16"/>
                          </w:rPr>
                        </w:pPr>
                        <w:r>
                          <w:rPr>
                            <w:rFonts w:ascii="Arial"/>
                            <w:sz w:val="16"/>
                          </w:rPr>
                          <w:t>7,12</w:t>
                        </w:r>
                      </w:p>
                    </w:tc>
                  </w:tr>
                  <w:tr>
                    <w:trPr>
                      <w:trHeight w:val="194" w:hRule="exact"/>
                    </w:trPr>
                    <w:tc>
                      <w:tcPr>
                        <w:tcW w:w="1133" w:type="dxa"/>
                      </w:tcPr>
                      <w:p>
                        <w:pPr>
                          <w:pStyle w:val="TableParagraph"/>
                          <w:spacing w:line="180" w:lineRule="exact" w:before="0"/>
                          <w:ind w:left="103" w:right="112"/>
                          <w:jc w:val="left"/>
                          <w:rPr>
                            <w:rFonts w:ascii="Arial"/>
                            <w:sz w:val="16"/>
                          </w:rPr>
                        </w:pPr>
                        <w:r>
                          <w:rPr>
                            <w:rFonts w:ascii="Arial"/>
                            <w:sz w:val="16"/>
                          </w:rPr>
                          <w:t>OD</w:t>
                        </w:r>
                      </w:p>
                    </w:tc>
                    <w:tc>
                      <w:tcPr>
                        <w:tcW w:w="970" w:type="dxa"/>
                      </w:tcPr>
                      <w:p>
                        <w:pPr>
                          <w:pStyle w:val="TableParagraph"/>
                          <w:spacing w:line="180" w:lineRule="exact" w:before="0"/>
                          <w:ind w:right="98"/>
                          <w:rPr>
                            <w:rFonts w:ascii="Arial"/>
                            <w:sz w:val="16"/>
                          </w:rPr>
                        </w:pPr>
                        <w:r>
                          <w:rPr>
                            <w:rFonts w:ascii="Arial"/>
                            <w:sz w:val="16"/>
                          </w:rPr>
                          <w:t>0,016</w:t>
                        </w:r>
                      </w:p>
                    </w:tc>
                    <w:tc>
                      <w:tcPr>
                        <w:tcW w:w="710" w:type="dxa"/>
                      </w:tcPr>
                      <w:p>
                        <w:pPr>
                          <w:pStyle w:val="TableParagraph"/>
                          <w:spacing w:line="180" w:lineRule="exact" w:before="0"/>
                          <w:ind w:right="100"/>
                          <w:rPr>
                            <w:rFonts w:ascii="Arial"/>
                            <w:sz w:val="16"/>
                          </w:rPr>
                        </w:pPr>
                        <w:r>
                          <w:rPr>
                            <w:rFonts w:ascii="Arial"/>
                            <w:sz w:val="16"/>
                          </w:rPr>
                          <w:t>5,19</w:t>
                        </w:r>
                      </w:p>
                    </w:tc>
                    <w:tc>
                      <w:tcPr>
                        <w:tcW w:w="708" w:type="dxa"/>
                      </w:tcPr>
                      <w:p>
                        <w:pPr>
                          <w:pStyle w:val="TableParagraph"/>
                          <w:spacing w:line="180" w:lineRule="exact" w:before="0"/>
                          <w:ind w:left="263" w:right="83"/>
                          <w:jc w:val="center"/>
                          <w:rPr>
                            <w:rFonts w:ascii="Arial"/>
                            <w:sz w:val="16"/>
                          </w:rPr>
                        </w:pPr>
                        <w:r>
                          <w:rPr>
                            <w:rFonts w:ascii="Arial"/>
                            <w:sz w:val="16"/>
                          </w:rPr>
                          <w:t>5,55</w:t>
                        </w:r>
                      </w:p>
                    </w:tc>
                  </w:tr>
                </w:tbl>
                <w:p>
                  <w:pPr>
                    <w:pStyle w:val="BodyText"/>
                  </w:pPr>
                </w:p>
              </w:txbxContent>
            </v:textbox>
            <w10:wrap type="none"/>
          </v:shape>
        </w:pict>
      </w:r>
      <w:r>
        <w:rPr/>
        <w:pict>
          <v:shape style="position:absolute;margin-left:128.557495pt;margin-top:-128.943298pt;width:378.5pt;height:121.75pt;mso-position-horizontal-relative:page;mso-position-vertical-relative:paragraph;z-index:7240"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58"/>
                    <w:gridCol w:w="1198"/>
                    <w:gridCol w:w="855"/>
                    <w:gridCol w:w="506"/>
                    <w:gridCol w:w="3830"/>
                  </w:tblGrid>
                  <w:tr>
                    <w:trPr>
                      <w:trHeight w:val="583" w:hRule="exact"/>
                    </w:trPr>
                    <w:tc>
                      <w:tcPr>
                        <w:tcW w:w="1158" w:type="dxa"/>
                        <w:tcBorders>
                          <w:bottom w:val="nil"/>
                          <w:right w:val="nil"/>
                        </w:tcBorders>
                      </w:tcPr>
                      <w:p>
                        <w:pPr>
                          <w:pStyle w:val="TableParagraph"/>
                          <w:spacing w:before="8"/>
                          <w:ind w:right="0"/>
                          <w:jc w:val="left"/>
                          <w:rPr>
                            <w:rFonts w:ascii="Arial"/>
                            <w:sz w:val="20"/>
                          </w:rPr>
                        </w:pPr>
                      </w:p>
                      <w:p>
                        <w:pPr>
                          <w:pStyle w:val="TableParagraph"/>
                          <w:spacing w:before="0"/>
                          <w:ind w:left="236" w:right="0"/>
                          <w:jc w:val="left"/>
                          <w:rPr>
                            <w:rFonts w:ascii="Arial" w:hAnsi="Arial"/>
                            <w:b/>
                            <w:sz w:val="14"/>
                          </w:rPr>
                        </w:pPr>
                        <w:r>
                          <w:rPr>
                            <w:rFonts w:ascii="Arial" w:hAnsi="Arial"/>
                            <w:b/>
                            <w:sz w:val="14"/>
                          </w:rPr>
                          <w:t>Parámetro</w:t>
                        </w:r>
                      </w:p>
                    </w:tc>
                    <w:tc>
                      <w:tcPr>
                        <w:tcW w:w="1198" w:type="dxa"/>
                        <w:tcBorders>
                          <w:left w:val="nil"/>
                          <w:bottom w:val="nil"/>
                          <w:right w:val="nil"/>
                        </w:tcBorders>
                      </w:tcPr>
                      <w:p>
                        <w:pPr>
                          <w:pStyle w:val="TableParagraph"/>
                          <w:spacing w:before="77"/>
                          <w:ind w:left="119" w:right="121"/>
                          <w:jc w:val="center"/>
                          <w:rPr>
                            <w:rFonts w:ascii="Arial" w:hAnsi="Arial"/>
                            <w:b/>
                            <w:sz w:val="14"/>
                          </w:rPr>
                        </w:pPr>
                        <w:r>
                          <w:rPr>
                            <w:rFonts w:ascii="Arial" w:hAnsi="Arial"/>
                            <w:b/>
                            <w:w w:val="95"/>
                            <w:sz w:val="14"/>
                          </w:rPr>
                          <w:t>Concentración </w:t>
                        </w:r>
                        <w:r>
                          <w:rPr>
                            <w:rFonts w:ascii="Arial" w:hAnsi="Arial"/>
                            <w:b/>
                            <w:sz w:val="14"/>
                          </w:rPr>
                          <w:t>promedio en el</w:t>
                        </w:r>
                        <w:r>
                          <w:rPr>
                            <w:rFonts w:ascii="Arial" w:hAnsi="Arial"/>
                            <w:b/>
                            <w:spacing w:val="-5"/>
                            <w:sz w:val="14"/>
                          </w:rPr>
                          <w:t> </w:t>
                        </w:r>
                        <w:r>
                          <w:rPr>
                            <w:rFonts w:ascii="Arial" w:hAnsi="Arial"/>
                            <w:b/>
                            <w:sz w:val="14"/>
                          </w:rPr>
                          <w:t>efluente</w:t>
                        </w:r>
                      </w:p>
                    </w:tc>
                    <w:tc>
                      <w:tcPr>
                        <w:tcW w:w="855" w:type="dxa"/>
                        <w:tcBorders>
                          <w:left w:val="nil"/>
                          <w:bottom w:val="nil"/>
                          <w:right w:val="nil"/>
                        </w:tcBorders>
                      </w:tcPr>
                      <w:p>
                        <w:pPr>
                          <w:pStyle w:val="TableParagraph"/>
                          <w:spacing w:before="8"/>
                          <w:ind w:right="0"/>
                          <w:jc w:val="left"/>
                          <w:rPr>
                            <w:rFonts w:ascii="Arial"/>
                            <w:sz w:val="20"/>
                          </w:rPr>
                        </w:pPr>
                      </w:p>
                      <w:p>
                        <w:pPr>
                          <w:pStyle w:val="TableParagraph"/>
                          <w:spacing w:before="0"/>
                          <w:ind w:left="88" w:right="95"/>
                          <w:jc w:val="center"/>
                          <w:rPr>
                            <w:rFonts w:ascii="Arial"/>
                            <w:b/>
                            <w:sz w:val="14"/>
                          </w:rPr>
                        </w:pPr>
                        <w:r>
                          <w:rPr>
                            <w:rFonts w:ascii="Arial"/>
                            <w:b/>
                            <w:sz w:val="14"/>
                          </w:rPr>
                          <w:t>Unidades</w:t>
                        </w:r>
                      </w:p>
                    </w:tc>
                    <w:tc>
                      <w:tcPr>
                        <w:tcW w:w="4336" w:type="dxa"/>
                        <w:gridSpan w:val="2"/>
                        <w:tcBorders>
                          <w:left w:val="nil"/>
                          <w:bottom w:val="nil"/>
                        </w:tcBorders>
                      </w:tcPr>
                      <w:p>
                        <w:pPr>
                          <w:pStyle w:val="TableParagraph"/>
                          <w:spacing w:before="8"/>
                          <w:ind w:right="0"/>
                          <w:jc w:val="left"/>
                          <w:rPr>
                            <w:rFonts w:ascii="Arial"/>
                            <w:sz w:val="20"/>
                          </w:rPr>
                        </w:pPr>
                      </w:p>
                      <w:p>
                        <w:pPr>
                          <w:pStyle w:val="TableParagraph"/>
                          <w:spacing w:before="0"/>
                          <w:ind w:left="211" w:right="0"/>
                          <w:jc w:val="left"/>
                          <w:rPr>
                            <w:rFonts w:ascii="Arial"/>
                            <w:b/>
                            <w:sz w:val="14"/>
                          </w:rPr>
                        </w:pPr>
                        <w:r>
                          <w:rPr>
                            <w:rFonts w:ascii="Arial"/>
                            <w:b/>
                            <w:w w:val="99"/>
                            <w:sz w:val="14"/>
                          </w:rPr>
                          <w:t>#</w:t>
                        </w:r>
                      </w:p>
                    </w:tc>
                  </w:tr>
                  <w:tr>
                    <w:trPr>
                      <w:trHeight w:val="187" w:hRule="exact"/>
                    </w:trPr>
                    <w:tc>
                      <w:tcPr>
                        <w:tcW w:w="1158" w:type="dxa"/>
                        <w:tcBorders>
                          <w:top w:val="nil"/>
                          <w:bottom w:val="single" w:sz="4" w:space="0" w:color="FFFFFF"/>
                          <w:right w:val="nil"/>
                        </w:tcBorders>
                        <w:shd w:val="clear" w:color="auto" w:fill="00B04F"/>
                      </w:tcPr>
                      <w:p>
                        <w:pPr>
                          <w:pStyle w:val="TableParagraph"/>
                          <w:spacing w:line="187" w:lineRule="exact" w:before="0"/>
                          <w:ind w:left="125" w:right="0"/>
                          <w:jc w:val="left"/>
                          <w:rPr>
                            <w:rFonts w:ascii="Arial"/>
                            <w:sz w:val="10"/>
                          </w:rPr>
                        </w:pPr>
                        <w:r>
                          <w:rPr>
                            <w:rFonts w:ascii="Arial"/>
                            <w:color w:val="FFFFFF"/>
                            <w:position w:val="2"/>
                            <w:sz w:val="16"/>
                          </w:rPr>
                          <w:t>N-NH</w:t>
                        </w:r>
                        <w:r>
                          <w:rPr>
                            <w:rFonts w:ascii="Arial"/>
                            <w:color w:val="FFFFFF"/>
                            <w:sz w:val="10"/>
                          </w:rPr>
                          <w:t>3</w:t>
                        </w:r>
                      </w:p>
                    </w:tc>
                    <w:tc>
                      <w:tcPr>
                        <w:tcW w:w="1198" w:type="dxa"/>
                        <w:tcBorders>
                          <w:top w:val="nil"/>
                          <w:left w:val="nil"/>
                          <w:bottom w:val="single" w:sz="4" w:space="0" w:color="FFFFFF"/>
                          <w:right w:val="nil"/>
                        </w:tcBorders>
                        <w:shd w:val="clear" w:color="auto" w:fill="00B04F"/>
                      </w:tcPr>
                      <w:p>
                        <w:pPr>
                          <w:pStyle w:val="TableParagraph"/>
                          <w:spacing w:line="180" w:lineRule="exact" w:before="0"/>
                          <w:ind w:right="105"/>
                          <w:rPr>
                            <w:rFonts w:ascii="Arial" w:hAnsi="Arial"/>
                            <w:sz w:val="16"/>
                          </w:rPr>
                        </w:pPr>
                        <w:r>
                          <w:rPr>
                            <w:rFonts w:ascii="Arial" w:hAnsi="Arial"/>
                            <w:color w:val="FFFFFF"/>
                            <w:sz w:val="16"/>
                          </w:rPr>
                          <w:t>0,27 ± 0,0123</w:t>
                        </w:r>
                      </w:p>
                    </w:tc>
                    <w:tc>
                      <w:tcPr>
                        <w:tcW w:w="855" w:type="dxa"/>
                        <w:tcBorders>
                          <w:top w:val="nil"/>
                          <w:left w:val="nil"/>
                          <w:bottom w:val="single" w:sz="4" w:space="0" w:color="FFFFFF"/>
                          <w:right w:val="nil"/>
                        </w:tcBorders>
                        <w:shd w:val="clear" w:color="auto" w:fill="00B04F"/>
                      </w:tcPr>
                      <w:p>
                        <w:pPr>
                          <w:pStyle w:val="TableParagraph"/>
                          <w:spacing w:line="180" w:lineRule="exact" w:before="0"/>
                          <w:ind w:left="88" w:right="93"/>
                          <w:jc w:val="center"/>
                          <w:rPr>
                            <w:rFonts w:ascii="Arial"/>
                            <w:sz w:val="16"/>
                          </w:rPr>
                        </w:pPr>
                        <w:r>
                          <w:rPr>
                            <w:rFonts w:ascii="Arial"/>
                            <w:color w:val="FFFFFF"/>
                            <w:sz w:val="16"/>
                          </w:rPr>
                          <w:t>mg/L</w:t>
                        </w:r>
                      </w:p>
                    </w:tc>
                    <w:tc>
                      <w:tcPr>
                        <w:tcW w:w="506" w:type="dxa"/>
                        <w:tcBorders>
                          <w:top w:val="nil"/>
                          <w:left w:val="nil"/>
                          <w:bottom w:val="single" w:sz="4" w:space="0" w:color="FFFFFF"/>
                          <w:right w:val="nil"/>
                        </w:tcBorders>
                        <w:shd w:val="clear" w:color="auto" w:fill="00B04F"/>
                      </w:tcPr>
                      <w:p>
                        <w:pPr>
                          <w:pStyle w:val="TableParagraph"/>
                          <w:spacing w:line="180" w:lineRule="exact" w:before="0"/>
                          <w:ind w:left="95" w:right="100"/>
                          <w:jc w:val="center"/>
                          <w:rPr>
                            <w:rFonts w:ascii="Arial"/>
                            <w:sz w:val="16"/>
                          </w:rPr>
                        </w:pPr>
                        <w:r>
                          <w:rPr>
                            <w:rFonts w:ascii="Arial"/>
                            <w:color w:val="FFFFFF"/>
                            <w:sz w:val="16"/>
                          </w:rPr>
                          <w:t>26</w:t>
                        </w:r>
                      </w:p>
                    </w:tc>
                    <w:tc>
                      <w:tcPr>
                        <w:tcW w:w="3830" w:type="dxa"/>
                        <w:vMerge w:val="restart"/>
                        <w:tcBorders>
                          <w:top w:val="nil"/>
                          <w:left w:val="nil"/>
                        </w:tcBorders>
                      </w:tcPr>
                      <w:p>
                        <w:pPr/>
                      </w:p>
                    </w:tc>
                  </w:tr>
                  <w:tr>
                    <w:trPr>
                      <w:trHeight w:val="194" w:hRule="exact"/>
                    </w:trPr>
                    <w:tc>
                      <w:tcPr>
                        <w:tcW w:w="1158" w:type="dxa"/>
                        <w:tcBorders>
                          <w:top w:val="single" w:sz="4" w:space="0" w:color="FFFFFF"/>
                          <w:bottom w:val="single" w:sz="4" w:space="0" w:color="FFFFFF"/>
                          <w:right w:val="nil"/>
                        </w:tcBorders>
                        <w:shd w:val="clear" w:color="auto" w:fill="00B04F"/>
                      </w:tcPr>
                      <w:p>
                        <w:pPr>
                          <w:pStyle w:val="TableParagraph"/>
                          <w:spacing w:line="187" w:lineRule="exact" w:before="0"/>
                          <w:ind w:left="125" w:right="0"/>
                          <w:jc w:val="left"/>
                          <w:rPr>
                            <w:rFonts w:ascii="Arial"/>
                            <w:sz w:val="10"/>
                          </w:rPr>
                        </w:pPr>
                        <w:r>
                          <w:rPr>
                            <w:rFonts w:ascii="Arial"/>
                            <w:color w:val="FFFFFF"/>
                            <w:position w:val="2"/>
                            <w:sz w:val="16"/>
                          </w:rPr>
                          <w:t>N-NO</w:t>
                        </w:r>
                        <w:r>
                          <w:rPr>
                            <w:rFonts w:ascii="Arial"/>
                            <w:color w:val="FFFFFF"/>
                            <w:sz w:val="10"/>
                          </w:rPr>
                          <w:t>2</w:t>
                        </w:r>
                      </w:p>
                    </w:tc>
                    <w:tc>
                      <w:tcPr>
                        <w:tcW w:w="1198" w:type="dxa"/>
                        <w:tcBorders>
                          <w:top w:val="single" w:sz="4" w:space="0" w:color="FFFFFF"/>
                          <w:left w:val="nil"/>
                          <w:bottom w:val="single" w:sz="4" w:space="0" w:color="FFFFFF"/>
                          <w:right w:val="nil"/>
                        </w:tcBorders>
                        <w:shd w:val="clear" w:color="auto" w:fill="00B04F"/>
                      </w:tcPr>
                      <w:p>
                        <w:pPr>
                          <w:pStyle w:val="TableParagraph"/>
                          <w:spacing w:line="180" w:lineRule="exact" w:before="0"/>
                          <w:ind w:right="105"/>
                          <w:rPr>
                            <w:rFonts w:ascii="Arial" w:hAnsi="Arial"/>
                            <w:sz w:val="16"/>
                          </w:rPr>
                        </w:pPr>
                        <w:r>
                          <w:rPr>
                            <w:rFonts w:ascii="Arial" w:hAnsi="Arial"/>
                            <w:color w:val="FFFFFF"/>
                            <w:sz w:val="16"/>
                          </w:rPr>
                          <w:t>0,201 ± 0,006</w:t>
                        </w:r>
                      </w:p>
                    </w:tc>
                    <w:tc>
                      <w:tcPr>
                        <w:tcW w:w="855" w:type="dxa"/>
                        <w:tcBorders>
                          <w:top w:val="single" w:sz="4" w:space="0" w:color="FFFFFF"/>
                          <w:left w:val="nil"/>
                          <w:bottom w:val="single" w:sz="4" w:space="0" w:color="FFFFFF"/>
                          <w:right w:val="nil"/>
                        </w:tcBorders>
                        <w:shd w:val="clear" w:color="auto" w:fill="00B04F"/>
                      </w:tcPr>
                      <w:p>
                        <w:pPr>
                          <w:pStyle w:val="TableParagraph"/>
                          <w:spacing w:line="180" w:lineRule="exact" w:before="0"/>
                          <w:ind w:left="88" w:right="93"/>
                          <w:jc w:val="center"/>
                          <w:rPr>
                            <w:rFonts w:ascii="Arial"/>
                            <w:sz w:val="16"/>
                          </w:rPr>
                        </w:pPr>
                        <w:r>
                          <w:rPr>
                            <w:rFonts w:ascii="Arial"/>
                            <w:color w:val="FFFFFF"/>
                            <w:sz w:val="16"/>
                          </w:rPr>
                          <w:t>mg/L</w:t>
                        </w:r>
                      </w:p>
                    </w:tc>
                    <w:tc>
                      <w:tcPr>
                        <w:tcW w:w="506" w:type="dxa"/>
                        <w:tcBorders>
                          <w:top w:val="single" w:sz="4" w:space="0" w:color="FFFFFF"/>
                          <w:left w:val="nil"/>
                          <w:bottom w:val="single" w:sz="4" w:space="0" w:color="FFFFFF"/>
                          <w:right w:val="nil"/>
                        </w:tcBorders>
                        <w:shd w:val="clear" w:color="auto" w:fill="00B04F"/>
                      </w:tcPr>
                      <w:p>
                        <w:pPr>
                          <w:pStyle w:val="TableParagraph"/>
                          <w:spacing w:line="180" w:lineRule="exact" w:before="0"/>
                          <w:ind w:left="95" w:right="100"/>
                          <w:jc w:val="center"/>
                          <w:rPr>
                            <w:rFonts w:ascii="Arial"/>
                            <w:sz w:val="16"/>
                          </w:rPr>
                        </w:pPr>
                        <w:r>
                          <w:rPr>
                            <w:rFonts w:ascii="Arial"/>
                            <w:color w:val="FFFFFF"/>
                            <w:sz w:val="16"/>
                          </w:rPr>
                          <w:t>26</w:t>
                        </w:r>
                      </w:p>
                    </w:tc>
                    <w:tc>
                      <w:tcPr>
                        <w:tcW w:w="3830" w:type="dxa"/>
                        <w:vMerge/>
                        <w:tcBorders>
                          <w:left w:val="nil"/>
                        </w:tcBorders>
                      </w:tcPr>
                      <w:p>
                        <w:pPr/>
                      </w:p>
                    </w:tc>
                  </w:tr>
                  <w:tr>
                    <w:trPr>
                      <w:trHeight w:val="194" w:hRule="exact"/>
                    </w:trPr>
                    <w:tc>
                      <w:tcPr>
                        <w:tcW w:w="1158" w:type="dxa"/>
                        <w:tcBorders>
                          <w:top w:val="single" w:sz="4" w:space="0" w:color="FFFFFF"/>
                          <w:bottom w:val="single" w:sz="4" w:space="0" w:color="FFFFFF"/>
                          <w:right w:val="nil"/>
                        </w:tcBorders>
                        <w:shd w:val="clear" w:color="auto" w:fill="00B04F"/>
                      </w:tcPr>
                      <w:p>
                        <w:pPr>
                          <w:pStyle w:val="TableParagraph"/>
                          <w:spacing w:line="187" w:lineRule="exact" w:before="0"/>
                          <w:ind w:left="125" w:right="0"/>
                          <w:jc w:val="left"/>
                          <w:rPr>
                            <w:rFonts w:ascii="Arial"/>
                            <w:sz w:val="10"/>
                          </w:rPr>
                        </w:pPr>
                        <w:r>
                          <w:rPr>
                            <w:rFonts w:ascii="Arial"/>
                            <w:color w:val="FFFFFF"/>
                            <w:position w:val="2"/>
                            <w:sz w:val="16"/>
                          </w:rPr>
                          <w:t>N-NO</w:t>
                        </w:r>
                        <w:r>
                          <w:rPr>
                            <w:rFonts w:ascii="Arial"/>
                            <w:color w:val="FFFFFF"/>
                            <w:sz w:val="10"/>
                          </w:rPr>
                          <w:t>3</w:t>
                        </w:r>
                      </w:p>
                    </w:tc>
                    <w:tc>
                      <w:tcPr>
                        <w:tcW w:w="1198" w:type="dxa"/>
                        <w:tcBorders>
                          <w:top w:val="single" w:sz="4" w:space="0" w:color="FFFFFF"/>
                          <w:left w:val="nil"/>
                          <w:bottom w:val="single" w:sz="4" w:space="0" w:color="FFFFFF"/>
                          <w:right w:val="nil"/>
                        </w:tcBorders>
                        <w:shd w:val="clear" w:color="auto" w:fill="00B04F"/>
                      </w:tcPr>
                      <w:p>
                        <w:pPr>
                          <w:pStyle w:val="TableParagraph"/>
                          <w:spacing w:line="180" w:lineRule="exact" w:before="0"/>
                          <w:ind w:right="151"/>
                          <w:rPr>
                            <w:rFonts w:ascii="Arial" w:hAnsi="Arial"/>
                            <w:sz w:val="16"/>
                          </w:rPr>
                        </w:pPr>
                        <w:r>
                          <w:rPr>
                            <w:rFonts w:ascii="Arial" w:hAnsi="Arial"/>
                            <w:color w:val="FFFFFF"/>
                            <w:sz w:val="16"/>
                          </w:rPr>
                          <w:t>59,14 ± 0,21</w:t>
                        </w:r>
                      </w:p>
                    </w:tc>
                    <w:tc>
                      <w:tcPr>
                        <w:tcW w:w="855" w:type="dxa"/>
                        <w:tcBorders>
                          <w:top w:val="single" w:sz="4" w:space="0" w:color="FFFFFF"/>
                          <w:left w:val="nil"/>
                          <w:bottom w:val="single" w:sz="4" w:space="0" w:color="FFFFFF"/>
                          <w:right w:val="nil"/>
                        </w:tcBorders>
                        <w:shd w:val="clear" w:color="auto" w:fill="00B04F"/>
                      </w:tcPr>
                      <w:p>
                        <w:pPr>
                          <w:pStyle w:val="TableParagraph"/>
                          <w:spacing w:line="180" w:lineRule="exact" w:before="0"/>
                          <w:ind w:left="88" w:right="93"/>
                          <w:jc w:val="center"/>
                          <w:rPr>
                            <w:rFonts w:ascii="Arial"/>
                            <w:sz w:val="16"/>
                          </w:rPr>
                        </w:pPr>
                        <w:r>
                          <w:rPr>
                            <w:rFonts w:ascii="Arial"/>
                            <w:color w:val="FFFFFF"/>
                            <w:sz w:val="16"/>
                          </w:rPr>
                          <w:t>mg/L</w:t>
                        </w:r>
                      </w:p>
                    </w:tc>
                    <w:tc>
                      <w:tcPr>
                        <w:tcW w:w="506" w:type="dxa"/>
                        <w:tcBorders>
                          <w:top w:val="single" w:sz="4" w:space="0" w:color="FFFFFF"/>
                          <w:left w:val="nil"/>
                          <w:bottom w:val="single" w:sz="4" w:space="0" w:color="FFFFFF"/>
                          <w:right w:val="nil"/>
                        </w:tcBorders>
                        <w:shd w:val="clear" w:color="auto" w:fill="00B04F"/>
                      </w:tcPr>
                      <w:p>
                        <w:pPr>
                          <w:pStyle w:val="TableParagraph"/>
                          <w:spacing w:line="180" w:lineRule="exact" w:before="0"/>
                          <w:ind w:left="95" w:right="100"/>
                          <w:jc w:val="center"/>
                          <w:rPr>
                            <w:rFonts w:ascii="Arial"/>
                            <w:sz w:val="16"/>
                          </w:rPr>
                        </w:pPr>
                        <w:r>
                          <w:rPr>
                            <w:rFonts w:ascii="Arial"/>
                            <w:color w:val="FFFFFF"/>
                            <w:sz w:val="16"/>
                          </w:rPr>
                          <w:t>26</w:t>
                        </w:r>
                      </w:p>
                    </w:tc>
                    <w:tc>
                      <w:tcPr>
                        <w:tcW w:w="3830" w:type="dxa"/>
                        <w:vMerge/>
                        <w:tcBorders>
                          <w:left w:val="nil"/>
                        </w:tcBorders>
                      </w:tcPr>
                      <w:p>
                        <w:pPr/>
                      </w:p>
                    </w:tc>
                  </w:tr>
                  <w:tr>
                    <w:trPr>
                      <w:trHeight w:val="194" w:hRule="exact"/>
                    </w:trPr>
                    <w:tc>
                      <w:tcPr>
                        <w:tcW w:w="1158" w:type="dxa"/>
                        <w:tcBorders>
                          <w:top w:val="single" w:sz="4" w:space="0" w:color="FFFFFF"/>
                          <w:bottom w:val="single" w:sz="4" w:space="0" w:color="FFFFFF"/>
                          <w:right w:val="nil"/>
                        </w:tcBorders>
                        <w:shd w:val="clear" w:color="auto" w:fill="00B04F"/>
                      </w:tcPr>
                      <w:p>
                        <w:pPr>
                          <w:pStyle w:val="TableParagraph"/>
                          <w:spacing w:line="180" w:lineRule="exact" w:before="0"/>
                          <w:ind w:left="125" w:right="0"/>
                          <w:jc w:val="left"/>
                          <w:rPr>
                            <w:rFonts w:ascii="Arial"/>
                            <w:sz w:val="16"/>
                          </w:rPr>
                        </w:pPr>
                        <w:r>
                          <w:rPr>
                            <w:rFonts w:ascii="Arial"/>
                            <w:color w:val="FFFFFF"/>
                            <w:sz w:val="16"/>
                          </w:rPr>
                          <w:t>DQO</w:t>
                        </w:r>
                      </w:p>
                    </w:tc>
                    <w:tc>
                      <w:tcPr>
                        <w:tcW w:w="1198" w:type="dxa"/>
                        <w:tcBorders>
                          <w:top w:val="single" w:sz="4" w:space="0" w:color="FFFFFF"/>
                          <w:left w:val="nil"/>
                          <w:bottom w:val="single" w:sz="4" w:space="0" w:color="FFFFFF"/>
                          <w:right w:val="nil"/>
                        </w:tcBorders>
                        <w:shd w:val="clear" w:color="auto" w:fill="00B04F"/>
                      </w:tcPr>
                      <w:p>
                        <w:pPr>
                          <w:pStyle w:val="TableParagraph"/>
                          <w:spacing w:line="180" w:lineRule="exact" w:before="0"/>
                          <w:ind w:right="151"/>
                          <w:rPr>
                            <w:rFonts w:ascii="Arial" w:hAnsi="Arial"/>
                            <w:sz w:val="16"/>
                          </w:rPr>
                        </w:pPr>
                        <w:r>
                          <w:rPr>
                            <w:rFonts w:ascii="Arial" w:hAnsi="Arial"/>
                            <w:color w:val="FFFFFF"/>
                            <w:sz w:val="16"/>
                          </w:rPr>
                          <w:t>43,81 ± 0,37</w:t>
                        </w:r>
                      </w:p>
                    </w:tc>
                    <w:tc>
                      <w:tcPr>
                        <w:tcW w:w="855" w:type="dxa"/>
                        <w:tcBorders>
                          <w:top w:val="single" w:sz="4" w:space="0" w:color="FFFFFF"/>
                          <w:left w:val="nil"/>
                          <w:bottom w:val="single" w:sz="4" w:space="0" w:color="FFFFFF"/>
                          <w:right w:val="nil"/>
                        </w:tcBorders>
                        <w:shd w:val="clear" w:color="auto" w:fill="00B04F"/>
                      </w:tcPr>
                      <w:p>
                        <w:pPr>
                          <w:pStyle w:val="TableParagraph"/>
                          <w:spacing w:line="180" w:lineRule="exact" w:before="0"/>
                          <w:ind w:left="88" w:right="93"/>
                          <w:jc w:val="center"/>
                          <w:rPr>
                            <w:rFonts w:ascii="Arial"/>
                            <w:sz w:val="16"/>
                          </w:rPr>
                        </w:pPr>
                        <w:r>
                          <w:rPr>
                            <w:rFonts w:ascii="Arial"/>
                            <w:color w:val="FFFFFF"/>
                            <w:sz w:val="16"/>
                          </w:rPr>
                          <w:t>mg/L</w:t>
                        </w:r>
                      </w:p>
                    </w:tc>
                    <w:tc>
                      <w:tcPr>
                        <w:tcW w:w="506" w:type="dxa"/>
                        <w:tcBorders>
                          <w:top w:val="single" w:sz="4" w:space="0" w:color="FFFFFF"/>
                          <w:left w:val="nil"/>
                          <w:bottom w:val="single" w:sz="4" w:space="0" w:color="FFFFFF"/>
                          <w:right w:val="nil"/>
                        </w:tcBorders>
                        <w:shd w:val="clear" w:color="auto" w:fill="00B04F"/>
                      </w:tcPr>
                      <w:p>
                        <w:pPr>
                          <w:pStyle w:val="TableParagraph"/>
                          <w:spacing w:line="180" w:lineRule="exact" w:before="0"/>
                          <w:ind w:left="95" w:right="100"/>
                          <w:jc w:val="center"/>
                          <w:rPr>
                            <w:rFonts w:ascii="Arial"/>
                            <w:sz w:val="16"/>
                          </w:rPr>
                        </w:pPr>
                        <w:r>
                          <w:rPr>
                            <w:rFonts w:ascii="Arial"/>
                            <w:color w:val="FFFFFF"/>
                            <w:sz w:val="16"/>
                          </w:rPr>
                          <w:t>26</w:t>
                        </w:r>
                      </w:p>
                    </w:tc>
                    <w:tc>
                      <w:tcPr>
                        <w:tcW w:w="3830" w:type="dxa"/>
                        <w:vMerge/>
                        <w:tcBorders>
                          <w:left w:val="nil"/>
                        </w:tcBorders>
                      </w:tcPr>
                      <w:p>
                        <w:pPr/>
                      </w:p>
                    </w:tc>
                  </w:tr>
                  <w:tr>
                    <w:trPr>
                      <w:trHeight w:val="194" w:hRule="exact"/>
                    </w:trPr>
                    <w:tc>
                      <w:tcPr>
                        <w:tcW w:w="1158" w:type="dxa"/>
                        <w:tcBorders>
                          <w:top w:val="single" w:sz="4" w:space="0" w:color="FFFFFF"/>
                          <w:bottom w:val="single" w:sz="4" w:space="0" w:color="FFFFFF"/>
                          <w:right w:val="nil"/>
                        </w:tcBorders>
                        <w:shd w:val="clear" w:color="auto" w:fill="00B04F"/>
                      </w:tcPr>
                      <w:p>
                        <w:pPr>
                          <w:pStyle w:val="TableParagraph"/>
                          <w:spacing w:line="180" w:lineRule="exact" w:before="0"/>
                          <w:ind w:left="125" w:right="0"/>
                          <w:jc w:val="left"/>
                          <w:rPr>
                            <w:rFonts w:ascii="Arial"/>
                            <w:sz w:val="16"/>
                          </w:rPr>
                        </w:pPr>
                        <w:r>
                          <w:rPr>
                            <w:rFonts w:ascii="Arial"/>
                            <w:color w:val="FFFFFF"/>
                            <w:sz w:val="16"/>
                          </w:rPr>
                          <w:t>SST</w:t>
                        </w:r>
                      </w:p>
                    </w:tc>
                    <w:tc>
                      <w:tcPr>
                        <w:tcW w:w="1198" w:type="dxa"/>
                        <w:tcBorders>
                          <w:top w:val="single" w:sz="4" w:space="0" w:color="FFFFFF"/>
                          <w:left w:val="nil"/>
                          <w:bottom w:val="single" w:sz="4" w:space="0" w:color="FFFFFF"/>
                          <w:right w:val="nil"/>
                        </w:tcBorders>
                        <w:shd w:val="clear" w:color="auto" w:fill="00B04F"/>
                      </w:tcPr>
                      <w:p>
                        <w:pPr>
                          <w:pStyle w:val="TableParagraph"/>
                          <w:spacing w:line="180" w:lineRule="exact" w:before="0"/>
                          <w:ind w:right="151"/>
                          <w:rPr>
                            <w:rFonts w:ascii="Arial" w:hAnsi="Arial"/>
                            <w:sz w:val="16"/>
                          </w:rPr>
                        </w:pPr>
                        <w:r>
                          <w:rPr>
                            <w:rFonts w:ascii="Arial" w:hAnsi="Arial"/>
                            <w:color w:val="FFFFFF"/>
                            <w:sz w:val="16"/>
                          </w:rPr>
                          <w:t>2,06 ± 0,033</w:t>
                        </w:r>
                      </w:p>
                    </w:tc>
                    <w:tc>
                      <w:tcPr>
                        <w:tcW w:w="855" w:type="dxa"/>
                        <w:tcBorders>
                          <w:top w:val="single" w:sz="4" w:space="0" w:color="FFFFFF"/>
                          <w:left w:val="nil"/>
                          <w:bottom w:val="single" w:sz="4" w:space="0" w:color="FFFFFF"/>
                          <w:right w:val="nil"/>
                        </w:tcBorders>
                        <w:shd w:val="clear" w:color="auto" w:fill="00B04F"/>
                      </w:tcPr>
                      <w:p>
                        <w:pPr>
                          <w:pStyle w:val="TableParagraph"/>
                          <w:spacing w:line="180" w:lineRule="exact" w:before="0"/>
                          <w:ind w:left="88" w:right="93"/>
                          <w:jc w:val="center"/>
                          <w:rPr>
                            <w:rFonts w:ascii="Arial"/>
                            <w:sz w:val="16"/>
                          </w:rPr>
                        </w:pPr>
                        <w:r>
                          <w:rPr>
                            <w:rFonts w:ascii="Arial"/>
                            <w:color w:val="FFFFFF"/>
                            <w:sz w:val="16"/>
                          </w:rPr>
                          <w:t>mg/L</w:t>
                        </w:r>
                      </w:p>
                    </w:tc>
                    <w:tc>
                      <w:tcPr>
                        <w:tcW w:w="506" w:type="dxa"/>
                        <w:tcBorders>
                          <w:top w:val="single" w:sz="4" w:space="0" w:color="FFFFFF"/>
                          <w:left w:val="nil"/>
                          <w:bottom w:val="single" w:sz="4" w:space="0" w:color="FFFFFF"/>
                          <w:right w:val="nil"/>
                        </w:tcBorders>
                        <w:shd w:val="clear" w:color="auto" w:fill="00B04F"/>
                      </w:tcPr>
                      <w:p>
                        <w:pPr>
                          <w:pStyle w:val="TableParagraph"/>
                          <w:spacing w:line="180" w:lineRule="exact" w:before="0"/>
                          <w:ind w:left="95" w:right="100"/>
                          <w:jc w:val="center"/>
                          <w:rPr>
                            <w:rFonts w:ascii="Arial"/>
                            <w:sz w:val="16"/>
                          </w:rPr>
                        </w:pPr>
                        <w:r>
                          <w:rPr>
                            <w:rFonts w:ascii="Arial"/>
                            <w:color w:val="FFFFFF"/>
                            <w:sz w:val="16"/>
                          </w:rPr>
                          <w:t>26</w:t>
                        </w:r>
                      </w:p>
                    </w:tc>
                    <w:tc>
                      <w:tcPr>
                        <w:tcW w:w="3830" w:type="dxa"/>
                        <w:vMerge/>
                        <w:tcBorders>
                          <w:left w:val="nil"/>
                        </w:tcBorders>
                      </w:tcPr>
                      <w:p>
                        <w:pPr/>
                      </w:p>
                    </w:tc>
                  </w:tr>
                  <w:tr>
                    <w:trPr>
                      <w:trHeight w:val="193" w:hRule="exact"/>
                    </w:trPr>
                    <w:tc>
                      <w:tcPr>
                        <w:tcW w:w="1158" w:type="dxa"/>
                        <w:tcBorders>
                          <w:top w:val="single" w:sz="4" w:space="0" w:color="FFFFFF"/>
                          <w:bottom w:val="single" w:sz="5" w:space="0" w:color="FFFFFF"/>
                          <w:right w:val="nil"/>
                        </w:tcBorders>
                        <w:shd w:val="clear" w:color="auto" w:fill="FFFF00"/>
                      </w:tcPr>
                      <w:p>
                        <w:pPr>
                          <w:pStyle w:val="TableParagraph"/>
                          <w:spacing w:line="180" w:lineRule="exact" w:before="0"/>
                          <w:ind w:left="125" w:right="0"/>
                          <w:jc w:val="left"/>
                          <w:rPr>
                            <w:rFonts w:ascii="Arial"/>
                            <w:sz w:val="16"/>
                          </w:rPr>
                        </w:pPr>
                        <w:r>
                          <w:rPr>
                            <w:rFonts w:ascii="Arial"/>
                            <w:sz w:val="16"/>
                          </w:rPr>
                          <w:t>Alcalinidad*</w:t>
                        </w:r>
                      </w:p>
                    </w:tc>
                    <w:tc>
                      <w:tcPr>
                        <w:tcW w:w="1198" w:type="dxa"/>
                        <w:tcBorders>
                          <w:top w:val="single" w:sz="4" w:space="0" w:color="FFFFFF"/>
                          <w:left w:val="nil"/>
                          <w:bottom w:val="single" w:sz="5" w:space="0" w:color="FFFFFF"/>
                          <w:right w:val="nil"/>
                        </w:tcBorders>
                        <w:shd w:val="clear" w:color="auto" w:fill="FFFF00"/>
                      </w:tcPr>
                      <w:p>
                        <w:pPr>
                          <w:pStyle w:val="TableParagraph"/>
                          <w:spacing w:line="180" w:lineRule="exact" w:before="0"/>
                          <w:ind w:right="151"/>
                          <w:rPr>
                            <w:rFonts w:ascii="Arial" w:hAnsi="Arial"/>
                            <w:sz w:val="16"/>
                          </w:rPr>
                        </w:pPr>
                        <w:r>
                          <w:rPr>
                            <w:rFonts w:ascii="Arial" w:hAnsi="Arial"/>
                            <w:sz w:val="16"/>
                          </w:rPr>
                          <w:t>46,11 ± 0,56</w:t>
                        </w:r>
                      </w:p>
                    </w:tc>
                    <w:tc>
                      <w:tcPr>
                        <w:tcW w:w="855" w:type="dxa"/>
                        <w:tcBorders>
                          <w:top w:val="single" w:sz="4" w:space="0" w:color="FFFFFF"/>
                          <w:left w:val="nil"/>
                          <w:bottom w:val="single" w:sz="5" w:space="0" w:color="FFFFFF"/>
                          <w:right w:val="nil"/>
                        </w:tcBorders>
                        <w:shd w:val="clear" w:color="auto" w:fill="FFFF00"/>
                      </w:tcPr>
                      <w:p>
                        <w:pPr>
                          <w:pStyle w:val="TableParagraph"/>
                          <w:spacing w:line="180" w:lineRule="exact" w:before="0"/>
                          <w:ind w:left="88" w:right="93"/>
                          <w:jc w:val="center"/>
                          <w:rPr>
                            <w:rFonts w:ascii="Arial"/>
                            <w:sz w:val="16"/>
                          </w:rPr>
                        </w:pPr>
                        <w:r>
                          <w:rPr>
                            <w:rFonts w:ascii="Arial"/>
                            <w:sz w:val="16"/>
                          </w:rPr>
                          <w:t>mg/L</w:t>
                        </w:r>
                      </w:p>
                    </w:tc>
                    <w:tc>
                      <w:tcPr>
                        <w:tcW w:w="506" w:type="dxa"/>
                        <w:tcBorders>
                          <w:top w:val="single" w:sz="4" w:space="0" w:color="FFFFFF"/>
                          <w:left w:val="nil"/>
                          <w:bottom w:val="single" w:sz="5" w:space="0" w:color="FFFFFF"/>
                          <w:right w:val="nil"/>
                        </w:tcBorders>
                        <w:shd w:val="clear" w:color="auto" w:fill="FFFF00"/>
                      </w:tcPr>
                      <w:p>
                        <w:pPr>
                          <w:pStyle w:val="TableParagraph"/>
                          <w:spacing w:line="180" w:lineRule="exact" w:before="0"/>
                          <w:ind w:left="95" w:right="100"/>
                          <w:jc w:val="center"/>
                          <w:rPr>
                            <w:rFonts w:ascii="Arial"/>
                            <w:sz w:val="16"/>
                          </w:rPr>
                        </w:pPr>
                        <w:r>
                          <w:rPr>
                            <w:rFonts w:ascii="Arial"/>
                            <w:sz w:val="16"/>
                          </w:rPr>
                          <w:t>15</w:t>
                        </w:r>
                      </w:p>
                    </w:tc>
                    <w:tc>
                      <w:tcPr>
                        <w:tcW w:w="3830" w:type="dxa"/>
                        <w:vMerge/>
                        <w:tcBorders>
                          <w:left w:val="nil"/>
                        </w:tcBorders>
                      </w:tcPr>
                      <w:p>
                        <w:pPr/>
                      </w:p>
                    </w:tc>
                  </w:tr>
                  <w:tr>
                    <w:trPr>
                      <w:trHeight w:val="193" w:hRule="exact"/>
                    </w:trPr>
                    <w:tc>
                      <w:tcPr>
                        <w:tcW w:w="1158" w:type="dxa"/>
                        <w:tcBorders>
                          <w:top w:val="single" w:sz="5" w:space="0" w:color="FFFFFF"/>
                          <w:bottom w:val="single" w:sz="4" w:space="0" w:color="FFFFFF"/>
                          <w:right w:val="nil"/>
                        </w:tcBorders>
                        <w:shd w:val="clear" w:color="auto" w:fill="FFFF00"/>
                      </w:tcPr>
                      <w:p>
                        <w:pPr>
                          <w:pStyle w:val="TableParagraph"/>
                          <w:spacing w:line="180" w:lineRule="exact" w:before="0"/>
                          <w:ind w:left="125" w:right="0"/>
                          <w:jc w:val="left"/>
                          <w:rPr>
                            <w:rFonts w:ascii="Arial"/>
                            <w:sz w:val="16"/>
                          </w:rPr>
                        </w:pPr>
                        <w:r>
                          <w:rPr>
                            <w:rFonts w:ascii="Arial"/>
                            <w:sz w:val="16"/>
                          </w:rPr>
                          <w:t>Temperatura</w:t>
                        </w:r>
                      </w:p>
                    </w:tc>
                    <w:tc>
                      <w:tcPr>
                        <w:tcW w:w="1198" w:type="dxa"/>
                        <w:tcBorders>
                          <w:top w:val="single" w:sz="5" w:space="0" w:color="FFFFFF"/>
                          <w:left w:val="nil"/>
                          <w:bottom w:val="single" w:sz="4" w:space="0" w:color="FFFFFF"/>
                          <w:right w:val="nil"/>
                        </w:tcBorders>
                        <w:shd w:val="clear" w:color="auto" w:fill="FFFF00"/>
                      </w:tcPr>
                      <w:p>
                        <w:pPr>
                          <w:pStyle w:val="TableParagraph"/>
                          <w:spacing w:line="180" w:lineRule="exact" w:before="0"/>
                          <w:ind w:right="151"/>
                          <w:rPr>
                            <w:rFonts w:ascii="Arial" w:hAnsi="Arial"/>
                            <w:sz w:val="16"/>
                          </w:rPr>
                        </w:pPr>
                        <w:r>
                          <w:rPr>
                            <w:rFonts w:ascii="Arial" w:hAnsi="Arial"/>
                            <w:sz w:val="16"/>
                          </w:rPr>
                          <w:t>16,77 ± 0,12</w:t>
                        </w:r>
                      </w:p>
                    </w:tc>
                    <w:tc>
                      <w:tcPr>
                        <w:tcW w:w="855" w:type="dxa"/>
                        <w:tcBorders>
                          <w:top w:val="single" w:sz="5" w:space="0" w:color="FFFFFF"/>
                          <w:left w:val="nil"/>
                          <w:bottom w:val="single" w:sz="4" w:space="0" w:color="FFFFFF"/>
                          <w:right w:val="nil"/>
                        </w:tcBorders>
                        <w:shd w:val="clear" w:color="auto" w:fill="FFFF00"/>
                      </w:tcPr>
                      <w:p>
                        <w:pPr>
                          <w:pStyle w:val="TableParagraph"/>
                          <w:spacing w:line="180" w:lineRule="exact" w:before="0"/>
                          <w:ind w:left="88" w:right="92"/>
                          <w:jc w:val="center"/>
                          <w:rPr>
                            <w:rFonts w:ascii="Arial" w:hAnsi="Arial"/>
                            <w:sz w:val="16"/>
                          </w:rPr>
                        </w:pPr>
                        <w:r>
                          <w:rPr>
                            <w:rFonts w:ascii="Arial" w:hAnsi="Arial"/>
                            <w:sz w:val="16"/>
                          </w:rPr>
                          <w:t>°C</w:t>
                        </w:r>
                      </w:p>
                    </w:tc>
                    <w:tc>
                      <w:tcPr>
                        <w:tcW w:w="506" w:type="dxa"/>
                        <w:tcBorders>
                          <w:top w:val="single" w:sz="5" w:space="0" w:color="FFFFFF"/>
                          <w:left w:val="nil"/>
                          <w:bottom w:val="single" w:sz="4" w:space="0" w:color="FFFFFF"/>
                          <w:right w:val="nil"/>
                        </w:tcBorders>
                        <w:shd w:val="clear" w:color="auto" w:fill="FFFF00"/>
                      </w:tcPr>
                      <w:p>
                        <w:pPr>
                          <w:pStyle w:val="TableParagraph"/>
                          <w:spacing w:line="180" w:lineRule="exact" w:before="0"/>
                          <w:ind w:left="98" w:right="100"/>
                          <w:jc w:val="center"/>
                          <w:rPr>
                            <w:rFonts w:ascii="Arial"/>
                            <w:sz w:val="16"/>
                          </w:rPr>
                        </w:pPr>
                        <w:r>
                          <w:rPr>
                            <w:rFonts w:ascii="Arial"/>
                            <w:sz w:val="16"/>
                          </w:rPr>
                          <w:t>110</w:t>
                        </w:r>
                      </w:p>
                    </w:tc>
                    <w:tc>
                      <w:tcPr>
                        <w:tcW w:w="3830" w:type="dxa"/>
                        <w:vMerge/>
                        <w:tcBorders>
                          <w:left w:val="nil"/>
                        </w:tcBorders>
                      </w:tcPr>
                      <w:p>
                        <w:pPr/>
                      </w:p>
                    </w:tc>
                  </w:tr>
                  <w:tr>
                    <w:trPr>
                      <w:trHeight w:val="194" w:hRule="exact"/>
                    </w:trPr>
                    <w:tc>
                      <w:tcPr>
                        <w:tcW w:w="1158" w:type="dxa"/>
                        <w:tcBorders>
                          <w:top w:val="single" w:sz="4" w:space="0" w:color="FFFFFF"/>
                          <w:bottom w:val="single" w:sz="4" w:space="0" w:color="FFFFFF"/>
                          <w:right w:val="nil"/>
                        </w:tcBorders>
                        <w:shd w:val="clear" w:color="auto" w:fill="00B04F"/>
                      </w:tcPr>
                      <w:p>
                        <w:pPr>
                          <w:pStyle w:val="TableParagraph"/>
                          <w:spacing w:line="180" w:lineRule="exact" w:before="0"/>
                          <w:ind w:left="125" w:right="0"/>
                          <w:jc w:val="left"/>
                          <w:rPr>
                            <w:rFonts w:ascii="Arial"/>
                            <w:sz w:val="16"/>
                          </w:rPr>
                        </w:pPr>
                        <w:r>
                          <w:rPr>
                            <w:rFonts w:ascii="Arial"/>
                            <w:color w:val="FFFFFF"/>
                            <w:sz w:val="16"/>
                          </w:rPr>
                          <w:t>pH</w:t>
                        </w:r>
                      </w:p>
                    </w:tc>
                    <w:tc>
                      <w:tcPr>
                        <w:tcW w:w="1198" w:type="dxa"/>
                        <w:tcBorders>
                          <w:top w:val="single" w:sz="4" w:space="0" w:color="FFFFFF"/>
                          <w:left w:val="nil"/>
                          <w:bottom w:val="single" w:sz="4" w:space="0" w:color="FFFFFF"/>
                          <w:right w:val="nil"/>
                        </w:tcBorders>
                        <w:shd w:val="clear" w:color="auto" w:fill="00B04F"/>
                      </w:tcPr>
                      <w:p>
                        <w:pPr>
                          <w:pStyle w:val="TableParagraph"/>
                          <w:spacing w:line="180" w:lineRule="exact" w:before="0"/>
                          <w:ind w:left="199" w:right="0"/>
                          <w:jc w:val="left"/>
                          <w:rPr>
                            <w:rFonts w:ascii="Arial" w:hAnsi="Arial"/>
                            <w:sz w:val="16"/>
                          </w:rPr>
                        </w:pPr>
                        <w:r>
                          <w:rPr>
                            <w:rFonts w:ascii="Arial" w:hAnsi="Arial"/>
                            <w:color w:val="FFFFFF"/>
                            <w:sz w:val="16"/>
                          </w:rPr>
                          <w:t>6,99 ± 0,07</w:t>
                        </w:r>
                      </w:p>
                    </w:tc>
                    <w:tc>
                      <w:tcPr>
                        <w:tcW w:w="855" w:type="dxa"/>
                        <w:tcBorders>
                          <w:top w:val="single" w:sz="4" w:space="0" w:color="FFFFFF"/>
                          <w:left w:val="nil"/>
                          <w:bottom w:val="single" w:sz="4" w:space="0" w:color="FFFFFF"/>
                          <w:right w:val="nil"/>
                        </w:tcBorders>
                        <w:shd w:val="clear" w:color="auto" w:fill="00B04F"/>
                      </w:tcPr>
                      <w:p>
                        <w:pPr/>
                      </w:p>
                    </w:tc>
                    <w:tc>
                      <w:tcPr>
                        <w:tcW w:w="506" w:type="dxa"/>
                        <w:tcBorders>
                          <w:top w:val="single" w:sz="4" w:space="0" w:color="FFFFFF"/>
                          <w:left w:val="nil"/>
                          <w:bottom w:val="single" w:sz="4" w:space="0" w:color="FFFFFF"/>
                          <w:right w:val="nil"/>
                        </w:tcBorders>
                        <w:shd w:val="clear" w:color="auto" w:fill="00B04F"/>
                      </w:tcPr>
                      <w:p>
                        <w:pPr>
                          <w:pStyle w:val="TableParagraph"/>
                          <w:spacing w:line="180" w:lineRule="exact" w:before="0"/>
                          <w:ind w:left="98" w:right="100"/>
                          <w:jc w:val="center"/>
                          <w:rPr>
                            <w:rFonts w:ascii="Arial"/>
                            <w:sz w:val="16"/>
                          </w:rPr>
                        </w:pPr>
                        <w:r>
                          <w:rPr>
                            <w:rFonts w:ascii="Arial"/>
                            <w:color w:val="FFFFFF"/>
                            <w:sz w:val="16"/>
                          </w:rPr>
                          <w:t>121</w:t>
                        </w:r>
                      </w:p>
                    </w:tc>
                    <w:tc>
                      <w:tcPr>
                        <w:tcW w:w="3830" w:type="dxa"/>
                        <w:vMerge/>
                        <w:tcBorders>
                          <w:left w:val="nil"/>
                        </w:tcBorders>
                      </w:tcPr>
                      <w:p>
                        <w:pPr/>
                      </w:p>
                    </w:tc>
                  </w:tr>
                  <w:tr>
                    <w:trPr>
                      <w:trHeight w:val="190" w:hRule="exact"/>
                    </w:trPr>
                    <w:tc>
                      <w:tcPr>
                        <w:tcW w:w="1158" w:type="dxa"/>
                        <w:tcBorders>
                          <w:top w:val="single" w:sz="4" w:space="0" w:color="FFFFFF"/>
                          <w:bottom w:val="nil"/>
                          <w:right w:val="nil"/>
                        </w:tcBorders>
                        <w:shd w:val="clear" w:color="auto" w:fill="00B04F"/>
                      </w:tcPr>
                      <w:p>
                        <w:pPr>
                          <w:pStyle w:val="TableParagraph"/>
                          <w:spacing w:line="180" w:lineRule="exact" w:before="0"/>
                          <w:ind w:left="125" w:right="0"/>
                          <w:jc w:val="left"/>
                          <w:rPr>
                            <w:rFonts w:ascii="Arial"/>
                            <w:sz w:val="16"/>
                          </w:rPr>
                        </w:pPr>
                        <w:r>
                          <w:rPr>
                            <w:rFonts w:ascii="Arial"/>
                            <w:color w:val="FFFFFF"/>
                            <w:sz w:val="16"/>
                          </w:rPr>
                          <w:t>OD</w:t>
                        </w:r>
                      </w:p>
                    </w:tc>
                    <w:tc>
                      <w:tcPr>
                        <w:tcW w:w="1198" w:type="dxa"/>
                        <w:tcBorders>
                          <w:top w:val="single" w:sz="4" w:space="0" w:color="FFFFFF"/>
                          <w:left w:val="nil"/>
                          <w:bottom w:val="nil"/>
                          <w:right w:val="nil"/>
                        </w:tcBorders>
                        <w:shd w:val="clear" w:color="auto" w:fill="00B04F"/>
                      </w:tcPr>
                      <w:p>
                        <w:pPr>
                          <w:pStyle w:val="TableParagraph"/>
                          <w:spacing w:line="180" w:lineRule="exact" w:before="0"/>
                          <w:ind w:left="199" w:right="0"/>
                          <w:jc w:val="left"/>
                          <w:rPr>
                            <w:rFonts w:ascii="Arial" w:hAnsi="Arial"/>
                            <w:sz w:val="16"/>
                          </w:rPr>
                        </w:pPr>
                        <w:r>
                          <w:rPr>
                            <w:rFonts w:ascii="Arial" w:hAnsi="Arial"/>
                            <w:color w:val="FFFFFF"/>
                            <w:sz w:val="16"/>
                          </w:rPr>
                          <w:t>5,35 ± 0,08</w:t>
                        </w:r>
                      </w:p>
                    </w:tc>
                    <w:tc>
                      <w:tcPr>
                        <w:tcW w:w="855" w:type="dxa"/>
                        <w:tcBorders>
                          <w:top w:val="single" w:sz="4" w:space="0" w:color="FFFFFF"/>
                          <w:left w:val="nil"/>
                          <w:bottom w:val="nil"/>
                          <w:right w:val="nil"/>
                        </w:tcBorders>
                        <w:shd w:val="clear" w:color="auto" w:fill="00B04F"/>
                      </w:tcPr>
                      <w:p>
                        <w:pPr>
                          <w:pStyle w:val="TableParagraph"/>
                          <w:spacing w:line="180" w:lineRule="exact" w:before="0"/>
                          <w:ind w:left="88" w:right="93"/>
                          <w:jc w:val="center"/>
                          <w:rPr>
                            <w:rFonts w:ascii="Arial"/>
                            <w:sz w:val="16"/>
                          </w:rPr>
                        </w:pPr>
                        <w:r>
                          <w:rPr>
                            <w:rFonts w:ascii="Arial"/>
                            <w:color w:val="FFFFFF"/>
                            <w:sz w:val="16"/>
                          </w:rPr>
                          <w:t>mg/L</w:t>
                        </w:r>
                      </w:p>
                    </w:tc>
                    <w:tc>
                      <w:tcPr>
                        <w:tcW w:w="506" w:type="dxa"/>
                        <w:tcBorders>
                          <w:top w:val="single" w:sz="4" w:space="0" w:color="FFFFFF"/>
                          <w:left w:val="nil"/>
                          <w:bottom w:val="nil"/>
                          <w:right w:val="nil"/>
                        </w:tcBorders>
                        <w:shd w:val="clear" w:color="auto" w:fill="00B04F"/>
                      </w:tcPr>
                      <w:p>
                        <w:pPr>
                          <w:pStyle w:val="TableParagraph"/>
                          <w:spacing w:line="180" w:lineRule="exact" w:before="0"/>
                          <w:ind w:left="98" w:right="100"/>
                          <w:jc w:val="center"/>
                          <w:rPr>
                            <w:rFonts w:ascii="Arial"/>
                            <w:sz w:val="16"/>
                          </w:rPr>
                        </w:pPr>
                        <w:r>
                          <w:rPr>
                            <w:rFonts w:ascii="Arial"/>
                            <w:color w:val="FFFFFF"/>
                            <w:sz w:val="16"/>
                          </w:rPr>
                          <w:t>121</w:t>
                        </w:r>
                      </w:p>
                    </w:tc>
                    <w:tc>
                      <w:tcPr>
                        <w:tcW w:w="3830" w:type="dxa"/>
                        <w:vMerge/>
                        <w:tcBorders>
                          <w:left w:val="nil"/>
                        </w:tcBorders>
                      </w:tcPr>
                      <w:p>
                        <w:pPr/>
                      </w:p>
                    </w:tc>
                  </w:tr>
                  <w:tr>
                    <w:trPr>
                      <w:trHeight w:val="101" w:hRule="exact"/>
                    </w:trPr>
                    <w:tc>
                      <w:tcPr>
                        <w:tcW w:w="3717" w:type="dxa"/>
                        <w:gridSpan w:val="4"/>
                        <w:tcBorders>
                          <w:top w:val="nil"/>
                          <w:right w:val="nil"/>
                        </w:tcBorders>
                      </w:tcPr>
                      <w:p>
                        <w:pPr/>
                      </w:p>
                    </w:tc>
                    <w:tc>
                      <w:tcPr>
                        <w:tcW w:w="3830" w:type="dxa"/>
                        <w:vMerge/>
                        <w:tcBorders>
                          <w:left w:val="nil"/>
                        </w:tcBorders>
                      </w:tcPr>
                      <w:p>
                        <w:pPr/>
                      </w:p>
                    </w:tc>
                  </w:tr>
                </w:tbl>
                <w:p>
                  <w:pPr>
                    <w:pStyle w:val="BodyText"/>
                  </w:pPr>
                </w:p>
              </w:txbxContent>
            </v:textbox>
            <w10:wrap type="none"/>
          </v:shape>
        </w:pict>
      </w:r>
      <w:r>
        <w:rPr>
          <w:b/>
          <w:sz w:val="18"/>
        </w:rPr>
        <w:t>Figura 32. Comportamiento de las concentraciones y eficiencia de remoción de los diferentes parámetros en el filtro de arena.</w:t>
      </w:r>
    </w:p>
    <w:p>
      <w:pPr>
        <w:pStyle w:val="BodyText"/>
        <w:spacing w:line="360" w:lineRule="auto" w:before="122"/>
        <w:ind w:left="781" w:right="499"/>
        <w:jc w:val="both"/>
      </w:pPr>
      <w:r>
        <w:rPr/>
        <w:t>Cánepa (1992), indica que la filtración lenta tiene como objetivo depurar el agua mediante la sedimentación, filtración mecánica y biológica. Una de las funciones básicas de la filtración lenta es que se lleve a cabo los procesos de nitrificación y oxidación de la  materia orgánica. Sin embargo para que éstos funcionen de manera eficiente el tiempo de retención hidráulica (TRH) debe ser mayor a dos horas cuando se tratan aguas residuales domésticas.</w:t>
      </w:r>
    </w:p>
    <w:p>
      <w:pPr>
        <w:pStyle w:val="BodyText"/>
        <w:spacing w:before="7"/>
        <w:rPr>
          <w:sz w:val="17"/>
        </w:rPr>
      </w:pPr>
    </w:p>
    <w:p>
      <w:pPr>
        <w:pStyle w:val="BodyText"/>
        <w:spacing w:line="360" w:lineRule="auto"/>
        <w:ind w:left="781" w:right="498"/>
        <w:jc w:val="both"/>
      </w:pPr>
      <w:r>
        <w:rPr/>
        <w:t>En el sistema prototipo se tuvo un TRH de 30 min. Lo cual no es un tiempo adecuado de acuerdo con Cánepa (1992), no obstante las concentraciones de la materia orgánica, sólidos y compuestos nitrogenados se mantuvieron en niveles óptimos para el cultivo.   Lo</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9"/>
        <w:jc w:val="both"/>
      </w:pPr>
      <w:r>
        <w:rPr/>
        <w:t>que indica que para sistemas de recirculación acuícola se puede considerar TRH menores a los reportados para otro tipo de aguas residuales.</w:t>
      </w:r>
    </w:p>
    <w:p>
      <w:pPr>
        <w:pStyle w:val="BodyText"/>
        <w:spacing w:before="9"/>
        <w:rPr>
          <w:sz w:val="17"/>
        </w:rPr>
      </w:pPr>
    </w:p>
    <w:p>
      <w:pPr>
        <w:pStyle w:val="BodyText"/>
        <w:spacing w:line="360" w:lineRule="auto"/>
        <w:ind w:left="781" w:right="497"/>
        <w:jc w:val="both"/>
      </w:pPr>
      <w:r>
        <w:rPr/>
        <w:t>Otro fenómeno que ocurre en el filtro de arena es el fuerte consumo de oxígeno disuelto en el agua, siendo la diferencia en promedio de 1,45 mg/L. Esta disminución afectó el manejo del equipo de soporte de vida en el estanque, esto es, el OD que entraba al estanque se encontraba cerca del límite inferior del rango óptimo para el cultivo y considerando una alta densidad de peces, el equipo de aireación tuvo que ser modificado para aumentar su capacidad de transferir este gas al agua.</w:t>
      </w:r>
    </w:p>
    <w:p>
      <w:pPr>
        <w:pStyle w:val="BodyText"/>
        <w:spacing w:before="7"/>
        <w:rPr>
          <w:sz w:val="17"/>
        </w:rPr>
      </w:pPr>
    </w:p>
    <w:p>
      <w:pPr>
        <w:pStyle w:val="Heading5"/>
        <w:numPr>
          <w:ilvl w:val="3"/>
          <w:numId w:val="14"/>
        </w:numPr>
        <w:tabs>
          <w:tab w:pos="1578" w:val="left" w:leader="none"/>
        </w:tabs>
        <w:spacing w:line="240" w:lineRule="auto" w:before="0" w:after="0"/>
        <w:ind w:left="1577" w:right="0" w:hanging="796"/>
        <w:jc w:val="both"/>
      </w:pPr>
      <w:bookmarkStart w:name="_TOC_250034" w:id="117"/>
      <w:bookmarkStart w:name="5.5.1.3. Estanque y sedimentador" w:id="118"/>
      <w:r>
        <w:rPr>
          <w:b w:val="0"/>
        </w:rPr>
      </w:r>
      <w:bookmarkEnd w:id="118"/>
      <w:bookmarkStart w:name="5.5.1.3. Estanque y sedimentador" w:id="119"/>
      <w:r>
        <w:rPr/>
        <w:t>E</w:t>
      </w:r>
      <w:r>
        <w:rPr/>
        <w:t>STANQUE Y</w:t>
      </w:r>
      <w:r>
        <w:rPr>
          <w:spacing w:val="-9"/>
        </w:rPr>
        <w:t> </w:t>
      </w:r>
      <w:bookmarkEnd w:id="117"/>
      <w:r>
        <w:rPr/>
        <w:t>SEDIMENTADOR</w:t>
      </w:r>
    </w:p>
    <w:p>
      <w:pPr>
        <w:pStyle w:val="BodyText"/>
        <w:spacing w:before="5"/>
        <w:rPr>
          <w:b/>
          <w:sz w:val="28"/>
        </w:rPr>
      </w:pPr>
    </w:p>
    <w:p>
      <w:pPr>
        <w:pStyle w:val="BodyText"/>
        <w:spacing w:line="360" w:lineRule="auto" w:before="1"/>
        <w:ind w:left="781" w:right="499"/>
        <w:jc w:val="both"/>
      </w:pPr>
      <w:r>
        <w:rPr/>
        <w:t>La concentración de contaminantes no se pudo analizar a la entrada del sedimentador por lo que la eficiencia evaluada en esta sección comprende los procesos involucrados en el estanque y el sedimentador. Esto es un balance entre las condiciones del agua en el influente del estanque, lo generado por los peces, el alimento no consumido y el agua residual en el efluente del sedimentador.</w:t>
      </w:r>
    </w:p>
    <w:p>
      <w:pPr>
        <w:pStyle w:val="BodyText"/>
        <w:spacing w:before="9"/>
        <w:rPr>
          <w:sz w:val="17"/>
        </w:rPr>
      </w:pPr>
    </w:p>
    <w:p>
      <w:pPr>
        <w:pStyle w:val="BodyText"/>
        <w:spacing w:line="360" w:lineRule="auto"/>
        <w:ind w:left="781" w:right="497"/>
        <w:jc w:val="both"/>
      </w:pPr>
      <w:r>
        <w:rPr/>
        <w:t>El objetivo principal del sedimentador fue remover los sólidos generados en el estanque de cultivo, para conocer la eficiencia de esta unidad del tren de tratamiento fue necesario realizar un balance de masas de los SST, que se reporta en la sección 5.7.1.5. La figura 33 esquematiza el balance de masas utilizado para determinar la generación de sólidos  en el estanque de cultivo. La eficiencia del sedimentador se midió con el flujo másico de sólidos en la purga de lodos dividida por el flujo másico de entrada más la generación en el estanque. La eficiencia alcanzada por el sedimentador fue de 5,56 %, muy por debajo de la reportada por investigaciones anteriores (García 2008; Gallego </w:t>
      </w:r>
      <w:r>
        <w:rPr>
          <w:i/>
        </w:rPr>
        <w:t>et al</w:t>
      </w:r>
      <w:r>
        <w:rPr/>
        <w:t>. 2004; Gallego, 2004).</w:t>
      </w:r>
    </w:p>
    <w:p>
      <w:pPr>
        <w:spacing w:after="0" w:line="360" w:lineRule="auto"/>
        <w:jc w:val="both"/>
        <w:sectPr>
          <w:pgSz w:w="12240" w:h="15840"/>
          <w:pgMar w:header="725" w:footer="1084" w:top="1340" w:bottom="1280" w:left="920" w:right="1200"/>
        </w:sectPr>
      </w:pPr>
    </w:p>
    <w:p>
      <w:pPr>
        <w:pStyle w:val="BodyText"/>
        <w:spacing w:before="2"/>
        <w:rPr>
          <w:sz w:val="20"/>
        </w:rPr>
      </w:pPr>
    </w:p>
    <w:p>
      <w:pPr>
        <w:pStyle w:val="BodyText"/>
        <w:ind w:left="978"/>
        <w:rPr>
          <w:sz w:val="20"/>
        </w:rPr>
      </w:pPr>
      <w:r>
        <w:rPr>
          <w:sz w:val="20"/>
        </w:rPr>
        <w:pict>
          <v:group style="width:431.95pt;height:127.75pt;mso-position-horizontal-relative:char;mso-position-vertical-relative:line" coordorigin="0,0" coordsize="8639,2555">
            <v:shape style="position:absolute;left:629;top:850;width:2273;height:120" coordorigin="629,850" coordsize="2273,120" path="m2782,850l2782,970,2883,919,2801,919,2808,917,2808,905,2801,903,2887,903,2782,850xm2782,903l636,903,632,905,629,910,632,917,636,919,2782,919,2782,903xm2887,903l2801,903,2808,905,2808,917,2801,919,2883,919,2902,910,2887,903xe" filled="true" fillcolor="#000000" stroked="false">
              <v:path arrowok="t"/>
              <v:fill type="solid"/>
            </v:shape>
            <v:shape style="position:absolute;left:5235;top:850;width:2122;height:120" coordorigin="5235,850" coordsize="2122,120" path="m7236,850l7236,970,7337,919,7258,919,7263,917,7265,910,7263,905,7258,903,7342,903,7236,850xm7236,903l5242,903,5237,905,5235,910,5237,917,5242,919,7236,919,7236,903xm7342,903l7258,903,7263,905,7265,910,7263,917,7258,919,7337,919,7356,910,7342,903xe" filled="true" fillcolor="#000000" stroked="false">
              <v:path arrowok="t"/>
              <v:fill type="solid"/>
            </v:shape>
            <v:shape style="position:absolute;left:3951;top:1735;width:120;height:562" coordorigin="3951,1735" coordsize="120,562" path="m4004,2177l3951,2177,4011,2297,4056,2206,4011,2206,4006,2203,4004,2199,4004,2177xm4011,1735l4006,1738,4004,1743,4004,2199,4006,2203,4011,2206,4018,2203,4020,2199,4020,1743,4018,1738,4011,1735xm4071,2177l4020,2177,4020,2199,4018,2203,4011,2206,4056,2206,4071,2177xe" filled="true" fillcolor="#000000" stroked="false">
              <v:path arrowok="t"/>
              <v:fill type="solid"/>
            </v:shape>
            <v:shape style="position:absolute;left:3785;top:161;width:325;height:514" coordorigin="3785,161" coordsize="325,514" path="m3879,564l3785,591,3814,675,3845,619,3879,564xm3917,643l3927,646,3927,646,3917,643xm3908,641l3899,641,3908,643,3917,643,3908,641xm3890,639l3899,641,3899,641,3890,639xm4101,183l3846,183,3842,185,4109,185,4101,183xm4085,175l3866,175,3858,178,4093,178,4085,175xm4059,166l3892,166,3883,168,4068,168,4059,166xm4050,163l3901,163,3892,166,4059,166,4050,163xm4041,161l4050,163,4050,163,4041,161xe" filled="true" fillcolor="#000000" stroked="false">
              <v:path arrowok="t"/>
              <v:fill type="solid"/>
            </v:shape>
            <v:shape style="position:absolute;left:3696;top:154;width:555;height:521" coordorigin="3696,154" coordsize="555,521" path="m3845,619l3908,641,3975,648,3984,648,4050,639,4109,617,4161,584,4207,535,4238,476,4251,410,4251,401,4251,392,4238,326,4207,267,4161,218,4109,185,4050,163,3984,154,3975,154,3965,154,3901,163,3842,184,3791,215,3744,263,3712,320,3697,384,3696,401,3696,393,3709,327,3739,269,3784,221,3842,184,3901,163,3965,154,3975,154,3984,154,4050,163,4109,185,4161,218,4207,267,4238,326,4251,392,4251,401,4251,410,4238,476,4207,535,4161,584,4109,617,4050,639,3984,648,3975,648,3965,648,3899,639,3845,619,3814,675,3785,591,3879,564,3845,619xe" filled="false" stroked="true" strokeweight=".75pt" strokecolor="#000000">
              <v:path arrowok="t"/>
            </v:shape>
            <v:rect style="position:absolute;left:8;top:8;width:8623;height:2539" filled="false" stroked="true" strokeweight=".75pt" strokecolor="#000000"/>
            <v:shape style="position:absolute;left:2902;top:154;width:2340;height:1589" type="#_x0000_t202" filled="false" stroked="true" strokeweight=".75pt" strokecolor="#000000">
              <v:textbox inset="0,0,0,0">
                <w:txbxContent>
                  <w:p>
                    <w:pPr>
                      <w:spacing w:line="240" w:lineRule="auto" w:before="0"/>
                      <w:rPr>
                        <w:sz w:val="22"/>
                      </w:rPr>
                    </w:pPr>
                  </w:p>
                  <w:p>
                    <w:pPr>
                      <w:spacing w:line="240" w:lineRule="auto" w:before="0"/>
                      <w:rPr>
                        <w:sz w:val="28"/>
                      </w:rPr>
                    </w:pPr>
                  </w:p>
                  <w:p>
                    <w:pPr>
                      <w:spacing w:before="0"/>
                      <w:ind w:left="410" w:right="198" w:hanging="209"/>
                      <w:jc w:val="left"/>
                      <w:rPr>
                        <w:sz w:val="22"/>
                      </w:rPr>
                    </w:pPr>
                    <w:r>
                      <w:rPr>
                        <w:sz w:val="22"/>
                      </w:rPr>
                      <w:t>Estanque de cultivo y sedimentador</w:t>
                    </w:r>
                  </w:p>
                </w:txbxContent>
              </v:textbox>
              <w10:wrap type="none"/>
            </v:shape>
            <v:shape style="position:absolute;left:5475;top:184;width:1788;height:473" type="#_x0000_t202" filled="false" stroked="false">
              <v:textbox inset="0,0,0,0">
                <w:txbxContent>
                  <w:p>
                    <w:pPr>
                      <w:spacing w:line="225" w:lineRule="exact" w:before="0"/>
                      <w:ind w:left="0" w:right="-18" w:firstLine="0"/>
                      <w:jc w:val="left"/>
                      <w:rPr>
                        <w:sz w:val="22"/>
                      </w:rPr>
                    </w:pPr>
                    <w:r>
                      <w:rPr>
                        <w:sz w:val="22"/>
                      </w:rPr>
                      <w:t>Generación de</w:t>
                    </w:r>
                  </w:p>
                  <w:p>
                    <w:pPr>
                      <w:spacing w:line="248" w:lineRule="exact" w:before="0"/>
                      <w:ind w:left="0" w:right="-18" w:firstLine="0"/>
                      <w:jc w:val="left"/>
                      <w:rPr>
                        <w:sz w:val="22"/>
                      </w:rPr>
                    </w:pPr>
                    <w:r>
                      <w:rPr>
                        <w:sz w:val="22"/>
                      </w:rPr>
                      <w:t>sólidos 361,66 g/d</w:t>
                    </w:r>
                  </w:p>
                </w:txbxContent>
              </v:textbox>
              <w10:wrap type="none"/>
            </v:shape>
            <v:shape style="position:absolute;left:1075;top:1007;width:1042;height:476" type="#_x0000_t202" filled="false" stroked="false">
              <v:textbox inset="0,0,0,0">
                <w:txbxContent>
                  <w:p>
                    <w:pPr>
                      <w:spacing w:line="226" w:lineRule="exact" w:before="0"/>
                      <w:ind w:left="0" w:right="0" w:firstLine="0"/>
                      <w:jc w:val="center"/>
                      <w:rPr>
                        <w:sz w:val="22"/>
                      </w:rPr>
                    </w:pPr>
                    <w:r>
                      <w:rPr>
                        <w:sz w:val="22"/>
                      </w:rPr>
                      <w:t>Entrada</w:t>
                    </w:r>
                  </w:p>
                  <w:p>
                    <w:pPr>
                      <w:spacing w:line="248" w:lineRule="exact" w:before="1"/>
                      <w:ind w:left="0" w:right="0" w:firstLine="0"/>
                      <w:jc w:val="center"/>
                      <w:rPr>
                        <w:sz w:val="22"/>
                      </w:rPr>
                    </w:pPr>
                    <w:r>
                      <w:rPr>
                        <w:sz w:val="22"/>
                      </w:rPr>
                      <w:t>373,77 g/d</w:t>
                    </w:r>
                  </w:p>
                </w:txbxContent>
              </v:textbox>
              <w10:wrap type="none"/>
            </v:shape>
            <v:shape style="position:absolute;left:5763;top:1007;width:1042;height:476" type="#_x0000_t202" filled="false" stroked="false">
              <v:textbox inset="0,0,0,0">
                <w:txbxContent>
                  <w:p>
                    <w:pPr>
                      <w:spacing w:line="226" w:lineRule="exact" w:before="0"/>
                      <w:ind w:left="0" w:right="5" w:firstLine="0"/>
                      <w:jc w:val="center"/>
                      <w:rPr>
                        <w:sz w:val="22"/>
                      </w:rPr>
                    </w:pPr>
                    <w:r>
                      <w:rPr>
                        <w:sz w:val="22"/>
                      </w:rPr>
                      <w:t>Salida</w:t>
                    </w:r>
                  </w:p>
                  <w:p>
                    <w:pPr>
                      <w:spacing w:line="248" w:lineRule="exact" w:before="1"/>
                      <w:ind w:left="0" w:right="0" w:firstLine="0"/>
                      <w:jc w:val="center"/>
                      <w:rPr>
                        <w:sz w:val="22"/>
                      </w:rPr>
                    </w:pPr>
                    <w:r>
                      <w:rPr>
                        <w:sz w:val="22"/>
                      </w:rPr>
                      <w:t>694,53 g/d</w:t>
                    </w:r>
                  </w:p>
                </w:txbxContent>
              </v:textbox>
              <w10:wrap type="none"/>
            </v:shape>
            <v:shape style="position:absolute;left:4246;top:1840;width:1483;height:478" type="#_x0000_t202" filled="false" stroked="false">
              <v:textbox inset="0,0,0,0">
                <w:txbxContent>
                  <w:p>
                    <w:pPr>
                      <w:spacing w:line="226" w:lineRule="exact" w:before="0"/>
                      <w:ind w:left="0" w:right="-17" w:firstLine="0"/>
                      <w:jc w:val="left"/>
                      <w:rPr>
                        <w:sz w:val="22"/>
                      </w:rPr>
                    </w:pPr>
                    <w:r>
                      <w:rPr>
                        <w:sz w:val="22"/>
                      </w:rPr>
                      <w:t>Purga de lodos</w:t>
                    </w:r>
                  </w:p>
                  <w:p>
                    <w:pPr>
                      <w:spacing w:line="248" w:lineRule="exact" w:before="4"/>
                      <w:ind w:left="0" w:right="-17" w:firstLine="0"/>
                      <w:jc w:val="left"/>
                      <w:rPr>
                        <w:sz w:val="22"/>
                      </w:rPr>
                    </w:pPr>
                    <w:r>
                      <w:rPr>
                        <w:sz w:val="22"/>
                      </w:rPr>
                      <w:t>40,90 g/d</w:t>
                    </w:r>
                  </w:p>
                </w:txbxContent>
              </v:textbox>
              <w10:wrap type="none"/>
            </v:shape>
          </v:group>
        </w:pict>
      </w:r>
      <w:r>
        <w:rPr>
          <w:sz w:val="20"/>
        </w:rPr>
      </w:r>
    </w:p>
    <w:p>
      <w:pPr>
        <w:pStyle w:val="BodyText"/>
        <w:spacing w:before="1"/>
        <w:rPr>
          <w:sz w:val="15"/>
        </w:rPr>
      </w:pPr>
    </w:p>
    <w:p>
      <w:pPr>
        <w:spacing w:before="77"/>
        <w:ind w:left="1098" w:right="0" w:firstLine="0"/>
        <w:jc w:val="left"/>
        <w:rPr>
          <w:b/>
          <w:sz w:val="18"/>
        </w:rPr>
      </w:pPr>
      <w:r>
        <w:rPr>
          <w:b/>
          <w:sz w:val="18"/>
        </w:rPr>
        <w:t>Figura 33. Esquema del balance de masas para SST en el estanque de cultivo y el sedimentador</w:t>
      </w:r>
    </w:p>
    <w:p>
      <w:pPr>
        <w:pStyle w:val="BodyText"/>
        <w:rPr>
          <w:b/>
          <w:sz w:val="18"/>
        </w:rPr>
      </w:pPr>
    </w:p>
    <w:p>
      <w:pPr>
        <w:pStyle w:val="BodyText"/>
        <w:spacing w:before="7"/>
        <w:rPr>
          <w:b/>
          <w:sz w:val="16"/>
        </w:rPr>
      </w:pPr>
    </w:p>
    <w:p>
      <w:pPr>
        <w:pStyle w:val="BodyText"/>
        <w:spacing w:line="360" w:lineRule="auto"/>
        <w:ind w:left="781" w:right="498"/>
        <w:jc w:val="both"/>
      </w:pPr>
      <w:r>
        <w:rPr/>
        <w:t>La baja eficiencia alcanzada por el sedimentador se debió a dos problemas: 1) a un error en la construcción de la unidad falta, ya que no se incorporó el cono concentrador de los lodos y; 2) una purga de lodos realizada 24 h, debido a que los sólidos en contacto con el agua se fraccionaban por lo que el flujo de agua los arrastraba a las siguientes unidades del tren de tratamiento.</w:t>
      </w:r>
    </w:p>
    <w:p>
      <w:pPr>
        <w:pStyle w:val="BodyText"/>
        <w:spacing w:before="7"/>
        <w:rPr>
          <w:sz w:val="17"/>
        </w:rPr>
      </w:pPr>
    </w:p>
    <w:p>
      <w:pPr>
        <w:pStyle w:val="BodyText"/>
        <w:spacing w:line="360" w:lineRule="auto"/>
        <w:ind w:left="781" w:right="499"/>
        <w:jc w:val="both"/>
      </w:pPr>
      <w:r>
        <w:rPr/>
        <w:t>En la figura 34 se muestran las concentraciones de entrada al estanque, salida del sedimentador y purga de lodos, así como, la eficiencia general de la unidad combinada. La purga de lodos en el estanque requirió que se extrajeran aproximadamente 100 L diarios de agua, estos alcanzaban una concentración promedio de 408,99 ± 6,75 mg/L de SST.</w:t>
      </w:r>
    </w:p>
    <w:p>
      <w:pPr>
        <w:pStyle w:val="BodyText"/>
        <w:spacing w:before="7"/>
        <w:rPr>
          <w:sz w:val="17"/>
        </w:rPr>
      </w:pPr>
    </w:p>
    <w:p>
      <w:pPr>
        <w:pStyle w:val="BodyText"/>
        <w:spacing w:line="360" w:lineRule="auto"/>
        <w:ind w:left="781" w:right="498"/>
        <w:jc w:val="both"/>
      </w:pPr>
      <w:r>
        <w:rPr/>
        <w:t>De los valores promedios determinados, la concentración de nitratos en la purga de lodos es menor tanto en la entrada del estanque como a la salida del sedimentador. El OD llegó, en la purga de lodos, a 1,39 ± 0,12 mg/L considerando la zona de lodos en el sedimentador anaerobia por lo que el proceso de desnitrificación podría ocurrir (Grady </w:t>
      </w:r>
      <w:r>
        <w:rPr>
          <w:i/>
        </w:rPr>
        <w:t>et </w:t>
      </w:r>
      <w:r>
        <w:rPr>
          <w:i/>
        </w:rPr>
        <w:t>al.</w:t>
      </w:r>
      <w:r>
        <w:rPr/>
        <w:t>, 1999).</w:t>
      </w:r>
    </w:p>
    <w:p>
      <w:pPr>
        <w:pStyle w:val="BodyText"/>
        <w:spacing w:before="7"/>
        <w:rPr>
          <w:sz w:val="17"/>
        </w:rPr>
      </w:pPr>
    </w:p>
    <w:p>
      <w:pPr>
        <w:pStyle w:val="BodyText"/>
        <w:spacing w:line="360" w:lineRule="auto"/>
        <w:ind w:left="781" w:right="498"/>
        <w:jc w:val="both"/>
      </w:pPr>
      <w:r>
        <w:rPr/>
        <w:t>Como se puede observar en la figura 34, la acumulación de sólidos en cualquier unidad del tren de tratamiento hace que los parámetros limitantes alcancen concentraciones que incluso son letales para la trucha, por lo que se reitera la importancia de remover los sólidos del sistema lo más rápido posible.</w:t>
      </w:r>
    </w:p>
    <w:p>
      <w:pPr>
        <w:spacing w:after="0" w:line="360" w:lineRule="auto"/>
        <w:jc w:val="both"/>
        <w:sectPr>
          <w:pgSz w:w="12240" w:h="15840"/>
          <w:pgMar w:header="725" w:footer="1084" w:top="1340" w:bottom="1280" w:left="920" w:right="1200"/>
        </w:sectPr>
      </w:pPr>
    </w:p>
    <w:p>
      <w:pPr>
        <w:pStyle w:val="BodyText"/>
        <w:rPr>
          <w:sz w:val="20"/>
        </w:rPr>
      </w:pPr>
    </w:p>
    <w:p>
      <w:pPr>
        <w:pStyle w:val="BodyText"/>
        <w:spacing w:before="10"/>
        <w:rPr>
          <w:sz w:val="24"/>
        </w:rPr>
      </w:pPr>
    </w:p>
    <w:p>
      <w:pPr>
        <w:spacing w:after="0"/>
        <w:rPr>
          <w:sz w:val="24"/>
        </w:rPr>
        <w:sectPr>
          <w:pgSz w:w="12240" w:h="15840"/>
          <w:pgMar w:header="725" w:footer="1084" w:top="1340" w:bottom="1280" w:left="440" w:right="680"/>
        </w:sectPr>
      </w:pPr>
    </w:p>
    <w:p>
      <w:pPr>
        <w:pStyle w:val="BodyText"/>
        <w:spacing w:before="10"/>
        <w:rPr>
          <w:sz w:val="19"/>
        </w:rPr>
      </w:pPr>
    </w:p>
    <w:p>
      <w:pPr>
        <w:spacing w:before="0"/>
        <w:ind w:left="390" w:right="-17" w:firstLine="0"/>
        <w:jc w:val="left"/>
        <w:rPr>
          <w:b/>
          <w:sz w:val="16"/>
        </w:rPr>
      </w:pPr>
      <w:r>
        <w:rPr>
          <w:b/>
          <w:sz w:val="16"/>
        </w:rPr>
        <w:t>Parámetro</w:t>
      </w:r>
    </w:p>
    <w:p>
      <w:pPr>
        <w:spacing w:before="82"/>
        <w:ind w:left="361" w:right="0" w:hanging="72"/>
        <w:jc w:val="left"/>
        <w:rPr>
          <w:b/>
          <w:sz w:val="14"/>
        </w:rPr>
      </w:pPr>
      <w:r>
        <w:rPr/>
        <w:br w:type="column"/>
      </w:r>
      <w:r>
        <w:rPr>
          <w:b/>
          <w:w w:val="95"/>
          <w:sz w:val="14"/>
        </w:rPr>
        <w:t>Concentración </w:t>
      </w:r>
      <w:r>
        <w:rPr>
          <w:b/>
          <w:sz w:val="14"/>
        </w:rPr>
        <w:t>promedio en</w:t>
      </w:r>
    </w:p>
    <w:p>
      <w:pPr>
        <w:spacing w:line="138" w:lineRule="exact" w:before="137"/>
        <w:ind w:left="246" w:right="0" w:firstLine="0"/>
        <w:jc w:val="left"/>
        <w:rPr>
          <w:b/>
          <w:sz w:val="16"/>
        </w:rPr>
      </w:pPr>
      <w:r>
        <w:rPr/>
        <w:br w:type="column"/>
      </w:r>
      <w:r>
        <w:rPr>
          <w:b/>
          <w:sz w:val="16"/>
        </w:rPr>
        <w:t>Unida-</w:t>
      </w:r>
    </w:p>
    <w:p>
      <w:pPr>
        <w:tabs>
          <w:tab w:pos="1146" w:val="left" w:leader="none"/>
        </w:tabs>
        <w:spacing w:line="228" w:lineRule="exact" w:before="0"/>
        <w:ind w:left="357" w:right="0" w:firstLine="0"/>
        <w:jc w:val="left"/>
        <w:rPr>
          <w:b/>
          <w:sz w:val="16"/>
        </w:rPr>
      </w:pPr>
      <w:r>
        <w:rPr/>
        <w:pict>
          <v:shape style="position:absolute;margin-left:32.136101pt;margin-top:7.314509pt;width:534.550pt;height:90.15pt;mso-position-horizontal-relative:page;mso-position-vertical-relative:paragraph;z-index:757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0"/>
                    <w:gridCol w:w="1319"/>
                    <w:gridCol w:w="726"/>
                    <w:gridCol w:w="637"/>
                    <w:gridCol w:w="3155"/>
                    <w:gridCol w:w="1177"/>
                    <w:gridCol w:w="1265"/>
                    <w:gridCol w:w="709"/>
                    <w:gridCol w:w="552"/>
                  </w:tblGrid>
                  <w:tr>
                    <w:trPr>
                      <w:trHeight w:val="146" w:hRule="exact"/>
                    </w:trPr>
                    <w:tc>
                      <w:tcPr>
                        <w:tcW w:w="1150" w:type="dxa"/>
                      </w:tcPr>
                      <w:p>
                        <w:pPr/>
                      </w:p>
                    </w:tc>
                    <w:tc>
                      <w:tcPr>
                        <w:tcW w:w="1319" w:type="dxa"/>
                      </w:tcPr>
                      <w:p>
                        <w:pPr>
                          <w:pStyle w:val="TableParagraph"/>
                          <w:spacing w:line="142" w:lineRule="exact" w:before="0"/>
                          <w:ind w:left="280" w:right="0"/>
                          <w:jc w:val="left"/>
                          <w:rPr>
                            <w:rFonts w:ascii="Arial"/>
                            <w:b/>
                            <w:sz w:val="14"/>
                          </w:rPr>
                        </w:pPr>
                        <w:r>
                          <w:rPr>
                            <w:rFonts w:ascii="Arial"/>
                            <w:b/>
                            <w:sz w:val="14"/>
                          </w:rPr>
                          <w:t>el influente</w:t>
                        </w:r>
                      </w:p>
                    </w:tc>
                    <w:tc>
                      <w:tcPr>
                        <w:tcW w:w="726" w:type="dxa"/>
                      </w:tcPr>
                      <w:p>
                        <w:pPr/>
                      </w:p>
                    </w:tc>
                    <w:tc>
                      <w:tcPr>
                        <w:tcW w:w="637" w:type="dxa"/>
                      </w:tcPr>
                      <w:p>
                        <w:pPr/>
                      </w:p>
                    </w:tc>
                    <w:tc>
                      <w:tcPr>
                        <w:tcW w:w="3155" w:type="dxa"/>
                      </w:tcPr>
                      <w:p>
                        <w:pPr/>
                      </w:p>
                    </w:tc>
                    <w:tc>
                      <w:tcPr>
                        <w:tcW w:w="1177" w:type="dxa"/>
                      </w:tcPr>
                      <w:p>
                        <w:pPr/>
                      </w:p>
                    </w:tc>
                    <w:tc>
                      <w:tcPr>
                        <w:tcW w:w="1265" w:type="dxa"/>
                      </w:tcPr>
                      <w:p>
                        <w:pPr>
                          <w:pStyle w:val="TableParagraph"/>
                          <w:spacing w:line="142" w:lineRule="exact" w:before="0"/>
                          <w:ind w:left="250" w:right="0"/>
                          <w:jc w:val="left"/>
                          <w:rPr>
                            <w:rFonts w:ascii="Arial"/>
                            <w:b/>
                            <w:sz w:val="14"/>
                          </w:rPr>
                        </w:pPr>
                        <w:r>
                          <w:rPr>
                            <w:rFonts w:ascii="Arial"/>
                            <w:b/>
                            <w:sz w:val="14"/>
                          </w:rPr>
                          <w:t>el efluente</w:t>
                        </w:r>
                      </w:p>
                    </w:tc>
                    <w:tc>
                      <w:tcPr>
                        <w:tcW w:w="1261" w:type="dxa"/>
                        <w:gridSpan w:val="2"/>
                      </w:tcPr>
                      <w:p>
                        <w:pPr/>
                      </w:p>
                    </w:tc>
                  </w:tr>
                  <w:tr>
                    <w:trPr>
                      <w:trHeight w:val="185" w:hRule="exact"/>
                    </w:trPr>
                    <w:tc>
                      <w:tcPr>
                        <w:tcW w:w="1150" w:type="dxa"/>
                        <w:shd w:val="clear" w:color="auto" w:fill="00B04F"/>
                      </w:tcPr>
                      <w:p>
                        <w:pPr>
                          <w:pStyle w:val="TableParagraph"/>
                          <w:spacing w:line="187" w:lineRule="exact" w:before="0"/>
                          <w:ind w:left="70" w:right="0"/>
                          <w:jc w:val="left"/>
                          <w:rPr>
                            <w:rFonts w:ascii="Arial"/>
                            <w:sz w:val="10"/>
                          </w:rPr>
                        </w:pPr>
                        <w:r>
                          <w:rPr>
                            <w:rFonts w:ascii="Arial"/>
                            <w:color w:val="FFFFFF"/>
                            <w:position w:val="2"/>
                            <w:sz w:val="16"/>
                          </w:rPr>
                          <w:t>N-NH</w:t>
                        </w:r>
                        <w:r>
                          <w:rPr>
                            <w:rFonts w:ascii="Arial"/>
                            <w:color w:val="FFFFFF"/>
                            <w:sz w:val="10"/>
                          </w:rPr>
                          <w:t>3</w:t>
                        </w:r>
                      </w:p>
                    </w:tc>
                    <w:tc>
                      <w:tcPr>
                        <w:tcW w:w="1319" w:type="dxa"/>
                        <w:shd w:val="clear" w:color="auto" w:fill="00B04F"/>
                      </w:tcPr>
                      <w:p>
                        <w:pPr>
                          <w:pStyle w:val="TableParagraph"/>
                          <w:spacing w:line="180" w:lineRule="exact" w:before="0"/>
                          <w:ind w:right="174"/>
                          <w:rPr>
                            <w:rFonts w:ascii="Arial" w:hAnsi="Arial"/>
                            <w:sz w:val="16"/>
                          </w:rPr>
                        </w:pPr>
                        <w:r>
                          <w:rPr>
                            <w:rFonts w:ascii="Arial" w:hAnsi="Arial"/>
                            <w:color w:val="FFFFFF"/>
                            <w:sz w:val="16"/>
                          </w:rPr>
                          <w:t>0,27 ± 0,0123</w:t>
                        </w:r>
                      </w:p>
                    </w:tc>
                    <w:tc>
                      <w:tcPr>
                        <w:tcW w:w="726" w:type="dxa"/>
                        <w:shd w:val="clear" w:color="auto" w:fill="00B04F"/>
                      </w:tcPr>
                      <w:p>
                        <w:pPr>
                          <w:pStyle w:val="TableParagraph"/>
                          <w:spacing w:line="180" w:lineRule="exact" w:before="0"/>
                          <w:ind w:left="158" w:right="171"/>
                          <w:jc w:val="center"/>
                          <w:rPr>
                            <w:rFonts w:ascii="Arial"/>
                            <w:sz w:val="16"/>
                          </w:rPr>
                        </w:pPr>
                        <w:r>
                          <w:rPr>
                            <w:rFonts w:ascii="Arial"/>
                            <w:color w:val="FFFFFF"/>
                            <w:sz w:val="16"/>
                          </w:rPr>
                          <w:t>mg/L</w:t>
                        </w:r>
                      </w:p>
                    </w:tc>
                    <w:tc>
                      <w:tcPr>
                        <w:tcW w:w="637" w:type="dxa"/>
                        <w:shd w:val="clear" w:color="auto" w:fill="00B04F"/>
                      </w:tcPr>
                      <w:p>
                        <w:pPr>
                          <w:pStyle w:val="TableParagraph"/>
                          <w:spacing w:line="180" w:lineRule="exact" w:before="0"/>
                          <w:ind w:left="237" w:right="0"/>
                          <w:jc w:val="left"/>
                          <w:rPr>
                            <w:rFonts w:ascii="Arial"/>
                            <w:sz w:val="16"/>
                          </w:rPr>
                        </w:pPr>
                        <w:r>
                          <w:rPr>
                            <w:rFonts w:ascii="Arial"/>
                            <w:color w:val="FFFFFF"/>
                            <w:sz w:val="16"/>
                          </w:rPr>
                          <w:t>26</w:t>
                        </w:r>
                      </w:p>
                    </w:tc>
                    <w:tc>
                      <w:tcPr>
                        <w:tcW w:w="3155" w:type="dxa"/>
                      </w:tcPr>
                      <w:p>
                        <w:pPr/>
                      </w:p>
                    </w:tc>
                    <w:tc>
                      <w:tcPr>
                        <w:tcW w:w="1177" w:type="dxa"/>
                        <w:shd w:val="clear" w:color="auto" w:fill="FFFF00"/>
                      </w:tcPr>
                      <w:p>
                        <w:pPr>
                          <w:pStyle w:val="TableParagraph"/>
                          <w:spacing w:line="187" w:lineRule="exact" w:before="0"/>
                          <w:ind w:left="151" w:right="0"/>
                          <w:jc w:val="left"/>
                          <w:rPr>
                            <w:rFonts w:ascii="Arial"/>
                            <w:sz w:val="10"/>
                          </w:rPr>
                        </w:pPr>
                        <w:r>
                          <w:rPr>
                            <w:rFonts w:ascii="Arial"/>
                            <w:position w:val="2"/>
                            <w:sz w:val="16"/>
                          </w:rPr>
                          <w:t>N-NH</w:t>
                        </w:r>
                        <w:r>
                          <w:rPr>
                            <w:rFonts w:ascii="Arial"/>
                            <w:sz w:val="10"/>
                          </w:rPr>
                          <w:t>3</w:t>
                        </w:r>
                      </w:p>
                    </w:tc>
                    <w:tc>
                      <w:tcPr>
                        <w:tcW w:w="1265" w:type="dxa"/>
                        <w:shd w:val="clear" w:color="auto" w:fill="FFFF00"/>
                      </w:tcPr>
                      <w:p>
                        <w:pPr>
                          <w:pStyle w:val="TableParagraph"/>
                          <w:spacing w:line="180" w:lineRule="exact" w:before="0"/>
                          <w:ind w:right="174"/>
                          <w:rPr>
                            <w:rFonts w:ascii="Arial" w:hAnsi="Arial"/>
                            <w:sz w:val="16"/>
                          </w:rPr>
                        </w:pPr>
                        <w:r>
                          <w:rPr>
                            <w:rFonts w:ascii="Arial" w:hAnsi="Arial"/>
                            <w:sz w:val="16"/>
                          </w:rPr>
                          <w:t>0,80 ± 0,0125</w:t>
                        </w:r>
                      </w:p>
                    </w:tc>
                    <w:tc>
                      <w:tcPr>
                        <w:tcW w:w="709" w:type="dxa"/>
                        <w:shd w:val="clear" w:color="auto" w:fill="FFFF00"/>
                      </w:tcPr>
                      <w:p>
                        <w:pPr>
                          <w:pStyle w:val="TableParagraph"/>
                          <w:spacing w:line="180" w:lineRule="exact" w:before="0"/>
                          <w:ind w:left="157" w:right="156"/>
                          <w:jc w:val="center"/>
                          <w:rPr>
                            <w:rFonts w:ascii="Arial"/>
                            <w:sz w:val="16"/>
                          </w:rPr>
                        </w:pPr>
                        <w:r>
                          <w:rPr>
                            <w:rFonts w:ascii="Arial"/>
                            <w:sz w:val="16"/>
                          </w:rPr>
                          <w:t>mg/L</w:t>
                        </w:r>
                      </w:p>
                    </w:tc>
                    <w:tc>
                      <w:tcPr>
                        <w:tcW w:w="552" w:type="dxa"/>
                        <w:shd w:val="clear" w:color="auto" w:fill="FFFF00"/>
                      </w:tcPr>
                      <w:p>
                        <w:pPr>
                          <w:pStyle w:val="TableParagraph"/>
                          <w:spacing w:line="180" w:lineRule="exact" w:before="0"/>
                          <w:ind w:left="65" w:right="0"/>
                          <w:jc w:val="center"/>
                          <w:rPr>
                            <w:rFonts w:ascii="Arial"/>
                            <w:sz w:val="16"/>
                          </w:rPr>
                        </w:pPr>
                        <w:r>
                          <w:rPr>
                            <w:rFonts w:ascii="Arial"/>
                            <w:w w:val="100"/>
                            <w:sz w:val="16"/>
                          </w:rPr>
                          <w:t>8</w:t>
                        </w:r>
                      </w:p>
                    </w:tc>
                  </w:tr>
                  <w:tr>
                    <w:trPr>
                      <w:trHeight w:val="192" w:hRule="exact"/>
                    </w:trPr>
                    <w:tc>
                      <w:tcPr>
                        <w:tcW w:w="1150" w:type="dxa"/>
                        <w:shd w:val="clear" w:color="auto" w:fill="00B04F"/>
                      </w:tcPr>
                      <w:p>
                        <w:pPr>
                          <w:pStyle w:val="TableParagraph"/>
                          <w:spacing w:line="187" w:lineRule="exact" w:before="0"/>
                          <w:ind w:left="70" w:right="0"/>
                          <w:jc w:val="left"/>
                          <w:rPr>
                            <w:rFonts w:ascii="Arial"/>
                            <w:sz w:val="10"/>
                          </w:rPr>
                        </w:pPr>
                        <w:r>
                          <w:rPr>
                            <w:rFonts w:ascii="Arial"/>
                            <w:color w:val="FFFFFF"/>
                            <w:position w:val="2"/>
                            <w:sz w:val="16"/>
                          </w:rPr>
                          <w:t>N-NO</w:t>
                        </w:r>
                        <w:r>
                          <w:rPr>
                            <w:rFonts w:ascii="Arial"/>
                            <w:color w:val="FFFFFF"/>
                            <w:sz w:val="10"/>
                          </w:rPr>
                          <w:t>2</w:t>
                        </w:r>
                      </w:p>
                    </w:tc>
                    <w:tc>
                      <w:tcPr>
                        <w:tcW w:w="1319" w:type="dxa"/>
                        <w:shd w:val="clear" w:color="auto" w:fill="00B04F"/>
                      </w:tcPr>
                      <w:p>
                        <w:pPr>
                          <w:pStyle w:val="TableParagraph"/>
                          <w:spacing w:line="180" w:lineRule="exact" w:before="0"/>
                          <w:ind w:right="174"/>
                          <w:rPr>
                            <w:rFonts w:ascii="Arial" w:hAnsi="Arial"/>
                            <w:sz w:val="16"/>
                          </w:rPr>
                        </w:pPr>
                        <w:r>
                          <w:rPr>
                            <w:rFonts w:ascii="Arial" w:hAnsi="Arial"/>
                            <w:color w:val="FFFFFF"/>
                            <w:sz w:val="16"/>
                          </w:rPr>
                          <w:t>0,201 ± 0,006</w:t>
                        </w:r>
                      </w:p>
                    </w:tc>
                    <w:tc>
                      <w:tcPr>
                        <w:tcW w:w="726" w:type="dxa"/>
                        <w:shd w:val="clear" w:color="auto" w:fill="00B04F"/>
                      </w:tcPr>
                      <w:p>
                        <w:pPr>
                          <w:pStyle w:val="TableParagraph"/>
                          <w:spacing w:line="180" w:lineRule="exact" w:before="0"/>
                          <w:ind w:left="158" w:right="171"/>
                          <w:jc w:val="center"/>
                          <w:rPr>
                            <w:rFonts w:ascii="Arial"/>
                            <w:sz w:val="16"/>
                          </w:rPr>
                        </w:pPr>
                        <w:r>
                          <w:rPr>
                            <w:rFonts w:ascii="Arial"/>
                            <w:color w:val="FFFFFF"/>
                            <w:sz w:val="16"/>
                          </w:rPr>
                          <w:t>mg/L</w:t>
                        </w:r>
                      </w:p>
                    </w:tc>
                    <w:tc>
                      <w:tcPr>
                        <w:tcW w:w="637" w:type="dxa"/>
                        <w:shd w:val="clear" w:color="auto" w:fill="00B04F"/>
                      </w:tcPr>
                      <w:p>
                        <w:pPr>
                          <w:pStyle w:val="TableParagraph"/>
                          <w:spacing w:line="180" w:lineRule="exact" w:before="0"/>
                          <w:ind w:left="237" w:right="0"/>
                          <w:jc w:val="left"/>
                          <w:rPr>
                            <w:rFonts w:ascii="Arial"/>
                            <w:sz w:val="16"/>
                          </w:rPr>
                        </w:pPr>
                        <w:r>
                          <w:rPr>
                            <w:rFonts w:ascii="Arial"/>
                            <w:color w:val="FFFFFF"/>
                            <w:sz w:val="16"/>
                          </w:rPr>
                          <w:t>26</w:t>
                        </w:r>
                      </w:p>
                    </w:tc>
                    <w:tc>
                      <w:tcPr>
                        <w:tcW w:w="3155" w:type="dxa"/>
                      </w:tcPr>
                      <w:p>
                        <w:pPr/>
                      </w:p>
                    </w:tc>
                    <w:tc>
                      <w:tcPr>
                        <w:tcW w:w="1177" w:type="dxa"/>
                        <w:shd w:val="clear" w:color="auto" w:fill="00B04F"/>
                      </w:tcPr>
                      <w:p>
                        <w:pPr>
                          <w:pStyle w:val="TableParagraph"/>
                          <w:spacing w:line="187" w:lineRule="exact" w:before="0"/>
                          <w:ind w:left="151" w:right="0"/>
                          <w:jc w:val="left"/>
                          <w:rPr>
                            <w:rFonts w:ascii="Arial"/>
                            <w:sz w:val="10"/>
                          </w:rPr>
                        </w:pPr>
                        <w:r>
                          <w:rPr>
                            <w:rFonts w:ascii="Arial"/>
                            <w:color w:val="FFFFFF"/>
                            <w:position w:val="2"/>
                            <w:sz w:val="16"/>
                          </w:rPr>
                          <w:t>N-NO</w:t>
                        </w:r>
                        <w:r>
                          <w:rPr>
                            <w:rFonts w:ascii="Arial"/>
                            <w:color w:val="FFFFFF"/>
                            <w:sz w:val="10"/>
                          </w:rPr>
                          <w:t>2</w:t>
                        </w:r>
                      </w:p>
                    </w:tc>
                    <w:tc>
                      <w:tcPr>
                        <w:tcW w:w="1265" w:type="dxa"/>
                        <w:shd w:val="clear" w:color="auto" w:fill="00B04F"/>
                      </w:tcPr>
                      <w:p>
                        <w:pPr>
                          <w:pStyle w:val="TableParagraph"/>
                          <w:spacing w:line="180" w:lineRule="exact" w:before="0"/>
                          <w:ind w:right="174"/>
                          <w:rPr>
                            <w:rFonts w:ascii="Arial" w:hAnsi="Arial"/>
                            <w:sz w:val="16"/>
                          </w:rPr>
                        </w:pPr>
                        <w:r>
                          <w:rPr>
                            <w:rFonts w:ascii="Arial" w:hAnsi="Arial"/>
                            <w:color w:val="FFFFFF"/>
                            <w:sz w:val="16"/>
                          </w:rPr>
                          <w:t>0,250 ± 0,006</w:t>
                        </w:r>
                      </w:p>
                    </w:tc>
                    <w:tc>
                      <w:tcPr>
                        <w:tcW w:w="709" w:type="dxa"/>
                        <w:shd w:val="clear" w:color="auto" w:fill="00B04F"/>
                      </w:tcPr>
                      <w:p>
                        <w:pPr>
                          <w:pStyle w:val="TableParagraph"/>
                          <w:spacing w:line="180" w:lineRule="exact" w:before="0"/>
                          <w:ind w:left="157" w:right="156"/>
                          <w:jc w:val="center"/>
                          <w:rPr>
                            <w:rFonts w:ascii="Arial"/>
                            <w:sz w:val="16"/>
                          </w:rPr>
                        </w:pPr>
                        <w:r>
                          <w:rPr>
                            <w:rFonts w:ascii="Arial"/>
                            <w:color w:val="FFFFFF"/>
                            <w:sz w:val="16"/>
                          </w:rPr>
                          <w:t>mg/L</w:t>
                        </w:r>
                      </w:p>
                    </w:tc>
                    <w:tc>
                      <w:tcPr>
                        <w:tcW w:w="552" w:type="dxa"/>
                        <w:shd w:val="clear" w:color="auto" w:fill="00B04F"/>
                      </w:tcPr>
                      <w:p>
                        <w:pPr>
                          <w:pStyle w:val="TableParagraph"/>
                          <w:spacing w:line="180" w:lineRule="exact" w:before="0"/>
                          <w:ind w:left="152" w:right="90"/>
                          <w:jc w:val="center"/>
                          <w:rPr>
                            <w:rFonts w:ascii="Arial"/>
                            <w:sz w:val="16"/>
                          </w:rPr>
                        </w:pPr>
                        <w:r>
                          <w:rPr>
                            <w:rFonts w:ascii="Arial"/>
                            <w:color w:val="FFFFFF"/>
                            <w:sz w:val="16"/>
                          </w:rPr>
                          <w:t>26</w:t>
                        </w:r>
                      </w:p>
                    </w:tc>
                  </w:tr>
                  <w:tr>
                    <w:trPr>
                      <w:trHeight w:val="184" w:hRule="exact"/>
                    </w:trPr>
                    <w:tc>
                      <w:tcPr>
                        <w:tcW w:w="1150" w:type="dxa"/>
                        <w:shd w:val="clear" w:color="auto" w:fill="00B04F"/>
                      </w:tcPr>
                      <w:p>
                        <w:pPr>
                          <w:pStyle w:val="TableParagraph"/>
                          <w:spacing w:line="178" w:lineRule="exact" w:before="0"/>
                          <w:ind w:left="70" w:right="0"/>
                          <w:jc w:val="left"/>
                          <w:rPr>
                            <w:rFonts w:ascii="Arial"/>
                            <w:sz w:val="10"/>
                          </w:rPr>
                        </w:pPr>
                        <w:r>
                          <w:rPr>
                            <w:rFonts w:ascii="Arial"/>
                            <w:color w:val="FFFFFF"/>
                            <w:position w:val="2"/>
                            <w:sz w:val="16"/>
                          </w:rPr>
                          <w:t>N-NO</w:t>
                        </w:r>
                        <w:r>
                          <w:rPr>
                            <w:rFonts w:ascii="Arial"/>
                            <w:color w:val="FFFFFF"/>
                            <w:sz w:val="10"/>
                          </w:rPr>
                          <w:t>3</w:t>
                        </w:r>
                      </w:p>
                    </w:tc>
                    <w:tc>
                      <w:tcPr>
                        <w:tcW w:w="1319" w:type="dxa"/>
                        <w:shd w:val="clear" w:color="auto" w:fill="00B04F"/>
                      </w:tcPr>
                      <w:p>
                        <w:pPr>
                          <w:pStyle w:val="TableParagraph"/>
                          <w:spacing w:line="171" w:lineRule="exact" w:before="0"/>
                          <w:ind w:right="219"/>
                          <w:rPr>
                            <w:rFonts w:ascii="Arial" w:hAnsi="Arial"/>
                            <w:sz w:val="16"/>
                          </w:rPr>
                        </w:pPr>
                        <w:r>
                          <w:rPr>
                            <w:rFonts w:ascii="Arial" w:hAnsi="Arial"/>
                            <w:color w:val="FFFFFF"/>
                            <w:sz w:val="16"/>
                          </w:rPr>
                          <w:t>59,14 ± 0,21</w:t>
                        </w:r>
                      </w:p>
                    </w:tc>
                    <w:tc>
                      <w:tcPr>
                        <w:tcW w:w="726" w:type="dxa"/>
                        <w:shd w:val="clear" w:color="auto" w:fill="00B04F"/>
                      </w:tcPr>
                      <w:p>
                        <w:pPr>
                          <w:pStyle w:val="TableParagraph"/>
                          <w:spacing w:line="171" w:lineRule="exact" w:before="0"/>
                          <w:ind w:left="158" w:right="171"/>
                          <w:jc w:val="center"/>
                          <w:rPr>
                            <w:rFonts w:ascii="Arial"/>
                            <w:sz w:val="16"/>
                          </w:rPr>
                        </w:pPr>
                        <w:r>
                          <w:rPr>
                            <w:rFonts w:ascii="Arial"/>
                            <w:color w:val="FFFFFF"/>
                            <w:sz w:val="16"/>
                          </w:rPr>
                          <w:t>mg/L</w:t>
                        </w:r>
                      </w:p>
                    </w:tc>
                    <w:tc>
                      <w:tcPr>
                        <w:tcW w:w="637" w:type="dxa"/>
                        <w:shd w:val="clear" w:color="auto" w:fill="00B04F"/>
                      </w:tcPr>
                      <w:p>
                        <w:pPr>
                          <w:pStyle w:val="TableParagraph"/>
                          <w:spacing w:line="171" w:lineRule="exact" w:before="0"/>
                          <w:ind w:left="237" w:right="0"/>
                          <w:jc w:val="left"/>
                          <w:rPr>
                            <w:rFonts w:ascii="Arial"/>
                            <w:sz w:val="16"/>
                          </w:rPr>
                        </w:pPr>
                        <w:r>
                          <w:rPr>
                            <w:rFonts w:ascii="Arial"/>
                            <w:color w:val="FFFFFF"/>
                            <w:sz w:val="16"/>
                          </w:rPr>
                          <w:t>26</w:t>
                        </w:r>
                      </w:p>
                    </w:tc>
                    <w:tc>
                      <w:tcPr>
                        <w:tcW w:w="3155" w:type="dxa"/>
                      </w:tcPr>
                      <w:p>
                        <w:pPr/>
                      </w:p>
                    </w:tc>
                    <w:tc>
                      <w:tcPr>
                        <w:tcW w:w="1177" w:type="dxa"/>
                        <w:shd w:val="clear" w:color="auto" w:fill="00B04F"/>
                      </w:tcPr>
                      <w:p>
                        <w:pPr>
                          <w:pStyle w:val="TableParagraph"/>
                          <w:spacing w:line="178" w:lineRule="exact" w:before="0"/>
                          <w:ind w:left="151" w:right="0"/>
                          <w:jc w:val="left"/>
                          <w:rPr>
                            <w:rFonts w:ascii="Arial"/>
                            <w:sz w:val="10"/>
                          </w:rPr>
                        </w:pPr>
                        <w:r>
                          <w:rPr>
                            <w:rFonts w:ascii="Arial"/>
                            <w:color w:val="FFFFFF"/>
                            <w:position w:val="2"/>
                            <w:sz w:val="16"/>
                          </w:rPr>
                          <w:t>N-NO</w:t>
                        </w:r>
                        <w:r>
                          <w:rPr>
                            <w:rFonts w:ascii="Arial"/>
                            <w:color w:val="FFFFFF"/>
                            <w:sz w:val="10"/>
                          </w:rPr>
                          <w:t>3</w:t>
                        </w:r>
                      </w:p>
                    </w:tc>
                    <w:tc>
                      <w:tcPr>
                        <w:tcW w:w="1265" w:type="dxa"/>
                        <w:shd w:val="clear" w:color="auto" w:fill="00B04F"/>
                      </w:tcPr>
                      <w:p>
                        <w:pPr>
                          <w:pStyle w:val="TableParagraph"/>
                          <w:spacing w:line="171" w:lineRule="exact" w:before="0"/>
                          <w:ind w:right="219"/>
                          <w:rPr>
                            <w:rFonts w:ascii="Arial" w:hAnsi="Arial"/>
                            <w:sz w:val="16"/>
                          </w:rPr>
                        </w:pPr>
                        <w:r>
                          <w:rPr>
                            <w:rFonts w:ascii="Arial" w:hAnsi="Arial"/>
                            <w:color w:val="FFFFFF"/>
                            <w:sz w:val="16"/>
                          </w:rPr>
                          <w:t>58,77 ± 0,18</w:t>
                        </w:r>
                      </w:p>
                    </w:tc>
                    <w:tc>
                      <w:tcPr>
                        <w:tcW w:w="709" w:type="dxa"/>
                        <w:shd w:val="clear" w:color="auto" w:fill="00B04F"/>
                      </w:tcPr>
                      <w:p>
                        <w:pPr>
                          <w:pStyle w:val="TableParagraph"/>
                          <w:spacing w:line="171" w:lineRule="exact" w:before="0"/>
                          <w:ind w:left="157" w:right="156"/>
                          <w:jc w:val="center"/>
                          <w:rPr>
                            <w:rFonts w:ascii="Arial"/>
                            <w:sz w:val="16"/>
                          </w:rPr>
                        </w:pPr>
                        <w:r>
                          <w:rPr>
                            <w:rFonts w:ascii="Arial"/>
                            <w:color w:val="FFFFFF"/>
                            <w:sz w:val="16"/>
                          </w:rPr>
                          <w:t>mg/L</w:t>
                        </w:r>
                      </w:p>
                    </w:tc>
                    <w:tc>
                      <w:tcPr>
                        <w:tcW w:w="552" w:type="dxa"/>
                        <w:shd w:val="clear" w:color="auto" w:fill="00B04F"/>
                      </w:tcPr>
                      <w:p>
                        <w:pPr>
                          <w:pStyle w:val="TableParagraph"/>
                          <w:spacing w:line="171" w:lineRule="exact" w:before="0"/>
                          <w:ind w:left="152" w:right="90"/>
                          <w:jc w:val="center"/>
                          <w:rPr>
                            <w:rFonts w:ascii="Arial"/>
                            <w:sz w:val="16"/>
                          </w:rPr>
                        </w:pPr>
                        <w:r>
                          <w:rPr>
                            <w:rFonts w:ascii="Arial"/>
                            <w:color w:val="FFFFFF"/>
                            <w:sz w:val="16"/>
                          </w:rPr>
                          <w:t>26</w:t>
                        </w:r>
                      </w:p>
                    </w:tc>
                  </w:tr>
                  <w:tr>
                    <w:trPr>
                      <w:trHeight w:val="181" w:hRule="exact"/>
                    </w:trPr>
                    <w:tc>
                      <w:tcPr>
                        <w:tcW w:w="1150" w:type="dxa"/>
                        <w:shd w:val="clear" w:color="auto" w:fill="00B04F"/>
                      </w:tcPr>
                      <w:p>
                        <w:pPr>
                          <w:pStyle w:val="TableParagraph"/>
                          <w:spacing w:line="172" w:lineRule="exact" w:before="0"/>
                          <w:ind w:left="70" w:right="0"/>
                          <w:jc w:val="left"/>
                          <w:rPr>
                            <w:rFonts w:ascii="Arial"/>
                            <w:sz w:val="16"/>
                          </w:rPr>
                        </w:pPr>
                        <w:r>
                          <w:rPr>
                            <w:rFonts w:ascii="Arial"/>
                            <w:color w:val="FFFFFF"/>
                            <w:sz w:val="16"/>
                          </w:rPr>
                          <w:t>DQO</w:t>
                        </w:r>
                      </w:p>
                    </w:tc>
                    <w:tc>
                      <w:tcPr>
                        <w:tcW w:w="1319" w:type="dxa"/>
                        <w:shd w:val="clear" w:color="auto" w:fill="00B04F"/>
                      </w:tcPr>
                      <w:p>
                        <w:pPr>
                          <w:pStyle w:val="TableParagraph"/>
                          <w:spacing w:line="172" w:lineRule="exact" w:before="0"/>
                          <w:ind w:right="219"/>
                          <w:rPr>
                            <w:rFonts w:ascii="Arial" w:hAnsi="Arial"/>
                            <w:sz w:val="16"/>
                          </w:rPr>
                        </w:pPr>
                        <w:r>
                          <w:rPr>
                            <w:rFonts w:ascii="Arial" w:hAnsi="Arial"/>
                            <w:color w:val="FFFFFF"/>
                            <w:sz w:val="16"/>
                          </w:rPr>
                          <w:t>43,81 ± 0,37</w:t>
                        </w:r>
                      </w:p>
                    </w:tc>
                    <w:tc>
                      <w:tcPr>
                        <w:tcW w:w="726" w:type="dxa"/>
                        <w:shd w:val="clear" w:color="auto" w:fill="00B04F"/>
                      </w:tcPr>
                      <w:p>
                        <w:pPr>
                          <w:pStyle w:val="TableParagraph"/>
                          <w:spacing w:line="172" w:lineRule="exact" w:before="0"/>
                          <w:ind w:left="158" w:right="171"/>
                          <w:jc w:val="center"/>
                          <w:rPr>
                            <w:rFonts w:ascii="Arial"/>
                            <w:sz w:val="16"/>
                          </w:rPr>
                        </w:pPr>
                        <w:r>
                          <w:rPr>
                            <w:rFonts w:ascii="Arial"/>
                            <w:color w:val="FFFFFF"/>
                            <w:sz w:val="16"/>
                          </w:rPr>
                          <w:t>mg/L</w:t>
                        </w:r>
                      </w:p>
                    </w:tc>
                    <w:tc>
                      <w:tcPr>
                        <w:tcW w:w="637" w:type="dxa"/>
                        <w:shd w:val="clear" w:color="auto" w:fill="00B04F"/>
                      </w:tcPr>
                      <w:p>
                        <w:pPr>
                          <w:pStyle w:val="TableParagraph"/>
                          <w:spacing w:line="172" w:lineRule="exact" w:before="0"/>
                          <w:ind w:left="237" w:right="0"/>
                          <w:jc w:val="left"/>
                          <w:rPr>
                            <w:rFonts w:ascii="Arial"/>
                            <w:sz w:val="16"/>
                          </w:rPr>
                        </w:pPr>
                        <w:r>
                          <w:rPr>
                            <w:rFonts w:ascii="Arial"/>
                            <w:color w:val="FFFFFF"/>
                            <w:sz w:val="16"/>
                          </w:rPr>
                          <w:t>26</w:t>
                        </w:r>
                      </w:p>
                    </w:tc>
                    <w:tc>
                      <w:tcPr>
                        <w:tcW w:w="3155" w:type="dxa"/>
                      </w:tcPr>
                      <w:p>
                        <w:pPr/>
                      </w:p>
                    </w:tc>
                    <w:tc>
                      <w:tcPr>
                        <w:tcW w:w="1177" w:type="dxa"/>
                        <w:shd w:val="clear" w:color="auto" w:fill="00B04F"/>
                      </w:tcPr>
                      <w:p>
                        <w:pPr>
                          <w:pStyle w:val="TableParagraph"/>
                          <w:spacing w:line="172" w:lineRule="exact" w:before="0"/>
                          <w:ind w:left="151" w:right="0"/>
                          <w:jc w:val="left"/>
                          <w:rPr>
                            <w:rFonts w:ascii="Arial"/>
                            <w:sz w:val="16"/>
                          </w:rPr>
                        </w:pPr>
                        <w:r>
                          <w:rPr>
                            <w:rFonts w:ascii="Arial"/>
                            <w:color w:val="FFFFFF"/>
                            <w:sz w:val="16"/>
                          </w:rPr>
                          <w:t>DQO</w:t>
                        </w:r>
                      </w:p>
                    </w:tc>
                    <w:tc>
                      <w:tcPr>
                        <w:tcW w:w="1265" w:type="dxa"/>
                        <w:shd w:val="clear" w:color="auto" w:fill="00B04F"/>
                      </w:tcPr>
                      <w:p>
                        <w:pPr>
                          <w:pStyle w:val="TableParagraph"/>
                          <w:spacing w:line="172" w:lineRule="exact" w:before="0"/>
                          <w:ind w:right="219"/>
                          <w:rPr>
                            <w:rFonts w:ascii="Arial" w:hAnsi="Arial"/>
                            <w:sz w:val="16"/>
                          </w:rPr>
                        </w:pPr>
                        <w:r>
                          <w:rPr>
                            <w:rFonts w:ascii="Arial" w:hAnsi="Arial"/>
                            <w:color w:val="FFFFFF"/>
                            <w:sz w:val="16"/>
                          </w:rPr>
                          <w:t>51,58 ± 0,41</w:t>
                        </w:r>
                      </w:p>
                    </w:tc>
                    <w:tc>
                      <w:tcPr>
                        <w:tcW w:w="709" w:type="dxa"/>
                        <w:shd w:val="clear" w:color="auto" w:fill="00B04F"/>
                      </w:tcPr>
                      <w:p>
                        <w:pPr>
                          <w:pStyle w:val="TableParagraph"/>
                          <w:spacing w:line="172" w:lineRule="exact" w:before="0"/>
                          <w:ind w:left="157" w:right="156"/>
                          <w:jc w:val="center"/>
                          <w:rPr>
                            <w:rFonts w:ascii="Arial"/>
                            <w:sz w:val="16"/>
                          </w:rPr>
                        </w:pPr>
                        <w:r>
                          <w:rPr>
                            <w:rFonts w:ascii="Arial"/>
                            <w:color w:val="FFFFFF"/>
                            <w:sz w:val="16"/>
                          </w:rPr>
                          <w:t>mg/L</w:t>
                        </w:r>
                      </w:p>
                    </w:tc>
                    <w:tc>
                      <w:tcPr>
                        <w:tcW w:w="552" w:type="dxa"/>
                        <w:shd w:val="clear" w:color="auto" w:fill="00B04F"/>
                      </w:tcPr>
                      <w:p>
                        <w:pPr>
                          <w:pStyle w:val="TableParagraph"/>
                          <w:spacing w:line="172" w:lineRule="exact" w:before="0"/>
                          <w:ind w:left="152" w:right="90"/>
                          <w:jc w:val="center"/>
                          <w:rPr>
                            <w:rFonts w:ascii="Arial"/>
                            <w:sz w:val="16"/>
                          </w:rPr>
                        </w:pPr>
                        <w:r>
                          <w:rPr>
                            <w:rFonts w:ascii="Arial"/>
                            <w:color w:val="FFFFFF"/>
                            <w:sz w:val="16"/>
                          </w:rPr>
                          <w:t>26</w:t>
                        </w:r>
                      </w:p>
                    </w:tc>
                  </w:tr>
                  <w:tr>
                    <w:trPr>
                      <w:trHeight w:val="178" w:hRule="exact"/>
                    </w:trPr>
                    <w:tc>
                      <w:tcPr>
                        <w:tcW w:w="1150" w:type="dxa"/>
                        <w:shd w:val="clear" w:color="auto" w:fill="00B04F"/>
                      </w:tcPr>
                      <w:p>
                        <w:pPr>
                          <w:pStyle w:val="TableParagraph"/>
                          <w:spacing w:line="176" w:lineRule="exact" w:before="0"/>
                          <w:ind w:left="70" w:right="0"/>
                          <w:jc w:val="left"/>
                          <w:rPr>
                            <w:rFonts w:ascii="Arial"/>
                            <w:sz w:val="16"/>
                          </w:rPr>
                        </w:pPr>
                        <w:r>
                          <w:rPr>
                            <w:rFonts w:ascii="Arial"/>
                            <w:color w:val="FFFFFF"/>
                            <w:sz w:val="16"/>
                          </w:rPr>
                          <w:t>SST</w:t>
                        </w:r>
                      </w:p>
                    </w:tc>
                    <w:tc>
                      <w:tcPr>
                        <w:tcW w:w="1319" w:type="dxa"/>
                        <w:shd w:val="clear" w:color="auto" w:fill="00B04F"/>
                      </w:tcPr>
                      <w:p>
                        <w:pPr>
                          <w:pStyle w:val="TableParagraph"/>
                          <w:spacing w:line="176" w:lineRule="exact" w:before="0"/>
                          <w:ind w:right="219"/>
                          <w:rPr>
                            <w:rFonts w:ascii="Arial" w:hAnsi="Arial"/>
                            <w:sz w:val="16"/>
                          </w:rPr>
                        </w:pPr>
                        <w:r>
                          <w:rPr>
                            <w:rFonts w:ascii="Arial" w:hAnsi="Arial"/>
                            <w:color w:val="FFFFFF"/>
                            <w:sz w:val="16"/>
                          </w:rPr>
                          <w:t>2,06 ± 0,033</w:t>
                        </w:r>
                      </w:p>
                    </w:tc>
                    <w:tc>
                      <w:tcPr>
                        <w:tcW w:w="726" w:type="dxa"/>
                        <w:shd w:val="clear" w:color="auto" w:fill="00B04F"/>
                      </w:tcPr>
                      <w:p>
                        <w:pPr>
                          <w:pStyle w:val="TableParagraph"/>
                          <w:spacing w:line="176" w:lineRule="exact" w:before="0"/>
                          <w:ind w:left="158" w:right="171"/>
                          <w:jc w:val="center"/>
                          <w:rPr>
                            <w:rFonts w:ascii="Arial"/>
                            <w:sz w:val="16"/>
                          </w:rPr>
                        </w:pPr>
                        <w:r>
                          <w:rPr>
                            <w:rFonts w:ascii="Arial"/>
                            <w:color w:val="FFFFFF"/>
                            <w:sz w:val="16"/>
                          </w:rPr>
                          <w:t>mg/L</w:t>
                        </w:r>
                      </w:p>
                    </w:tc>
                    <w:tc>
                      <w:tcPr>
                        <w:tcW w:w="637" w:type="dxa"/>
                        <w:shd w:val="clear" w:color="auto" w:fill="00B04F"/>
                      </w:tcPr>
                      <w:p>
                        <w:pPr>
                          <w:pStyle w:val="TableParagraph"/>
                          <w:spacing w:line="176" w:lineRule="exact" w:before="0"/>
                          <w:ind w:left="237" w:right="0"/>
                          <w:jc w:val="left"/>
                          <w:rPr>
                            <w:rFonts w:ascii="Arial"/>
                            <w:sz w:val="16"/>
                          </w:rPr>
                        </w:pPr>
                        <w:r>
                          <w:rPr>
                            <w:rFonts w:ascii="Arial"/>
                            <w:color w:val="FFFFFF"/>
                            <w:sz w:val="16"/>
                          </w:rPr>
                          <w:t>26</w:t>
                        </w:r>
                      </w:p>
                    </w:tc>
                    <w:tc>
                      <w:tcPr>
                        <w:tcW w:w="3155" w:type="dxa"/>
                      </w:tcPr>
                      <w:p>
                        <w:pPr/>
                      </w:p>
                    </w:tc>
                    <w:tc>
                      <w:tcPr>
                        <w:tcW w:w="1177" w:type="dxa"/>
                        <w:shd w:val="clear" w:color="auto" w:fill="00B04F"/>
                      </w:tcPr>
                      <w:p>
                        <w:pPr>
                          <w:pStyle w:val="TableParagraph"/>
                          <w:spacing w:line="176" w:lineRule="exact" w:before="0"/>
                          <w:ind w:left="151" w:right="0"/>
                          <w:jc w:val="left"/>
                          <w:rPr>
                            <w:rFonts w:ascii="Arial"/>
                            <w:sz w:val="16"/>
                          </w:rPr>
                        </w:pPr>
                        <w:r>
                          <w:rPr>
                            <w:rFonts w:ascii="Arial"/>
                            <w:color w:val="FFFFFF"/>
                            <w:sz w:val="16"/>
                          </w:rPr>
                          <w:t>SST</w:t>
                        </w:r>
                      </w:p>
                    </w:tc>
                    <w:tc>
                      <w:tcPr>
                        <w:tcW w:w="1265" w:type="dxa"/>
                        <w:shd w:val="clear" w:color="auto" w:fill="00B04F"/>
                      </w:tcPr>
                      <w:p>
                        <w:pPr>
                          <w:pStyle w:val="TableParagraph"/>
                          <w:spacing w:line="176" w:lineRule="exact" w:before="0"/>
                          <w:ind w:right="263"/>
                          <w:rPr>
                            <w:rFonts w:ascii="Arial" w:hAnsi="Arial"/>
                            <w:sz w:val="16"/>
                          </w:rPr>
                        </w:pPr>
                        <w:r>
                          <w:rPr>
                            <w:rFonts w:ascii="Arial" w:hAnsi="Arial"/>
                            <w:color w:val="FFFFFF"/>
                            <w:sz w:val="16"/>
                          </w:rPr>
                          <w:t>3,64 ± 0,03</w:t>
                        </w:r>
                      </w:p>
                    </w:tc>
                    <w:tc>
                      <w:tcPr>
                        <w:tcW w:w="709" w:type="dxa"/>
                        <w:shd w:val="clear" w:color="auto" w:fill="00B04F"/>
                      </w:tcPr>
                      <w:p>
                        <w:pPr>
                          <w:pStyle w:val="TableParagraph"/>
                          <w:spacing w:line="176" w:lineRule="exact" w:before="0"/>
                          <w:ind w:left="157" w:right="156"/>
                          <w:jc w:val="center"/>
                          <w:rPr>
                            <w:rFonts w:ascii="Arial"/>
                            <w:sz w:val="16"/>
                          </w:rPr>
                        </w:pPr>
                        <w:r>
                          <w:rPr>
                            <w:rFonts w:ascii="Arial"/>
                            <w:color w:val="FFFFFF"/>
                            <w:sz w:val="16"/>
                          </w:rPr>
                          <w:t>mg/L</w:t>
                        </w:r>
                      </w:p>
                    </w:tc>
                    <w:tc>
                      <w:tcPr>
                        <w:tcW w:w="552" w:type="dxa"/>
                        <w:shd w:val="clear" w:color="auto" w:fill="00B04F"/>
                      </w:tcPr>
                      <w:p>
                        <w:pPr>
                          <w:pStyle w:val="TableParagraph"/>
                          <w:spacing w:line="176" w:lineRule="exact" w:before="0"/>
                          <w:ind w:left="152" w:right="90"/>
                          <w:jc w:val="center"/>
                          <w:rPr>
                            <w:rFonts w:ascii="Arial"/>
                            <w:sz w:val="16"/>
                          </w:rPr>
                        </w:pPr>
                        <w:r>
                          <w:rPr>
                            <w:rFonts w:ascii="Arial"/>
                            <w:color w:val="FFFFFF"/>
                            <w:sz w:val="16"/>
                          </w:rPr>
                          <w:t>26</w:t>
                        </w:r>
                      </w:p>
                    </w:tc>
                  </w:tr>
                  <w:tr>
                    <w:trPr>
                      <w:trHeight w:val="185" w:hRule="exact"/>
                    </w:trPr>
                    <w:tc>
                      <w:tcPr>
                        <w:tcW w:w="1150" w:type="dxa"/>
                        <w:shd w:val="clear" w:color="auto" w:fill="FFFF00"/>
                      </w:tcPr>
                      <w:p>
                        <w:pPr>
                          <w:pStyle w:val="TableParagraph"/>
                          <w:spacing w:line="180" w:lineRule="exact" w:before="0"/>
                          <w:ind w:left="70" w:right="0"/>
                          <w:jc w:val="left"/>
                          <w:rPr>
                            <w:rFonts w:ascii="Arial"/>
                            <w:sz w:val="16"/>
                          </w:rPr>
                        </w:pPr>
                        <w:r>
                          <w:rPr>
                            <w:rFonts w:ascii="Arial"/>
                            <w:sz w:val="16"/>
                          </w:rPr>
                          <w:t>Alcalinidad*</w:t>
                        </w:r>
                      </w:p>
                    </w:tc>
                    <w:tc>
                      <w:tcPr>
                        <w:tcW w:w="1319" w:type="dxa"/>
                        <w:shd w:val="clear" w:color="auto" w:fill="FFFF00"/>
                      </w:tcPr>
                      <w:p>
                        <w:pPr>
                          <w:pStyle w:val="TableParagraph"/>
                          <w:spacing w:line="180" w:lineRule="exact" w:before="0"/>
                          <w:ind w:right="219"/>
                          <w:rPr>
                            <w:rFonts w:ascii="Arial" w:hAnsi="Arial"/>
                            <w:sz w:val="16"/>
                          </w:rPr>
                        </w:pPr>
                        <w:r>
                          <w:rPr>
                            <w:rFonts w:ascii="Arial" w:hAnsi="Arial"/>
                            <w:sz w:val="16"/>
                          </w:rPr>
                          <w:t>46,11 ± 0,56</w:t>
                        </w:r>
                      </w:p>
                    </w:tc>
                    <w:tc>
                      <w:tcPr>
                        <w:tcW w:w="726" w:type="dxa"/>
                        <w:shd w:val="clear" w:color="auto" w:fill="FFFF00"/>
                      </w:tcPr>
                      <w:p>
                        <w:pPr>
                          <w:pStyle w:val="TableParagraph"/>
                          <w:spacing w:line="180" w:lineRule="exact" w:before="0"/>
                          <w:ind w:left="158" w:right="171"/>
                          <w:jc w:val="center"/>
                          <w:rPr>
                            <w:rFonts w:ascii="Arial"/>
                            <w:sz w:val="16"/>
                          </w:rPr>
                        </w:pPr>
                        <w:r>
                          <w:rPr>
                            <w:rFonts w:ascii="Arial"/>
                            <w:sz w:val="16"/>
                          </w:rPr>
                          <w:t>mg/L</w:t>
                        </w:r>
                      </w:p>
                    </w:tc>
                    <w:tc>
                      <w:tcPr>
                        <w:tcW w:w="637" w:type="dxa"/>
                        <w:shd w:val="clear" w:color="auto" w:fill="FFFF00"/>
                      </w:tcPr>
                      <w:p>
                        <w:pPr>
                          <w:pStyle w:val="TableParagraph"/>
                          <w:spacing w:line="180" w:lineRule="exact" w:before="0"/>
                          <w:ind w:left="237" w:right="0"/>
                          <w:jc w:val="left"/>
                          <w:rPr>
                            <w:rFonts w:ascii="Arial"/>
                            <w:sz w:val="16"/>
                          </w:rPr>
                        </w:pPr>
                        <w:r>
                          <w:rPr>
                            <w:rFonts w:ascii="Arial"/>
                            <w:sz w:val="16"/>
                          </w:rPr>
                          <w:t>15</w:t>
                        </w:r>
                      </w:p>
                    </w:tc>
                    <w:tc>
                      <w:tcPr>
                        <w:tcW w:w="3155" w:type="dxa"/>
                      </w:tcPr>
                      <w:p>
                        <w:pPr/>
                      </w:p>
                    </w:tc>
                    <w:tc>
                      <w:tcPr>
                        <w:tcW w:w="1177" w:type="dxa"/>
                        <w:shd w:val="clear" w:color="auto" w:fill="00B04F"/>
                      </w:tcPr>
                      <w:p>
                        <w:pPr>
                          <w:pStyle w:val="TableParagraph"/>
                          <w:spacing w:line="180" w:lineRule="exact" w:before="0"/>
                          <w:ind w:left="151" w:right="0"/>
                          <w:jc w:val="left"/>
                          <w:rPr>
                            <w:rFonts w:ascii="Arial"/>
                            <w:sz w:val="16"/>
                          </w:rPr>
                        </w:pPr>
                        <w:r>
                          <w:rPr>
                            <w:rFonts w:ascii="Arial"/>
                            <w:color w:val="FFFFFF"/>
                            <w:sz w:val="16"/>
                          </w:rPr>
                          <w:t>Alcalinidad*</w:t>
                        </w:r>
                      </w:p>
                    </w:tc>
                    <w:tc>
                      <w:tcPr>
                        <w:tcW w:w="1265" w:type="dxa"/>
                        <w:shd w:val="clear" w:color="auto" w:fill="00B04F"/>
                      </w:tcPr>
                      <w:p>
                        <w:pPr>
                          <w:pStyle w:val="TableParagraph"/>
                          <w:spacing w:line="180" w:lineRule="exact" w:before="0"/>
                          <w:ind w:right="219"/>
                          <w:rPr>
                            <w:rFonts w:ascii="Arial" w:hAnsi="Arial"/>
                            <w:sz w:val="16"/>
                          </w:rPr>
                        </w:pPr>
                        <w:r>
                          <w:rPr>
                            <w:rFonts w:ascii="Arial" w:hAnsi="Arial"/>
                            <w:color w:val="FFFFFF"/>
                            <w:sz w:val="16"/>
                          </w:rPr>
                          <w:t>54,46 ± 0,57</w:t>
                        </w:r>
                      </w:p>
                    </w:tc>
                    <w:tc>
                      <w:tcPr>
                        <w:tcW w:w="709" w:type="dxa"/>
                        <w:shd w:val="clear" w:color="auto" w:fill="00B04F"/>
                      </w:tcPr>
                      <w:p>
                        <w:pPr>
                          <w:pStyle w:val="TableParagraph"/>
                          <w:spacing w:line="180" w:lineRule="exact" w:before="0"/>
                          <w:ind w:left="157" w:right="156"/>
                          <w:jc w:val="center"/>
                          <w:rPr>
                            <w:rFonts w:ascii="Arial"/>
                            <w:sz w:val="16"/>
                          </w:rPr>
                        </w:pPr>
                        <w:r>
                          <w:rPr>
                            <w:rFonts w:ascii="Arial"/>
                            <w:color w:val="FFFFFF"/>
                            <w:sz w:val="16"/>
                          </w:rPr>
                          <w:t>mg/L</w:t>
                        </w:r>
                      </w:p>
                    </w:tc>
                    <w:tc>
                      <w:tcPr>
                        <w:tcW w:w="552" w:type="dxa"/>
                        <w:shd w:val="clear" w:color="auto" w:fill="00B04F"/>
                      </w:tcPr>
                      <w:p>
                        <w:pPr>
                          <w:pStyle w:val="TableParagraph"/>
                          <w:spacing w:line="180" w:lineRule="exact" w:before="0"/>
                          <w:ind w:left="152" w:right="90"/>
                          <w:jc w:val="center"/>
                          <w:rPr>
                            <w:rFonts w:ascii="Arial"/>
                            <w:sz w:val="16"/>
                          </w:rPr>
                        </w:pPr>
                        <w:r>
                          <w:rPr>
                            <w:rFonts w:ascii="Arial"/>
                            <w:color w:val="FFFFFF"/>
                            <w:sz w:val="16"/>
                          </w:rPr>
                          <w:t>26</w:t>
                        </w:r>
                      </w:p>
                    </w:tc>
                  </w:tr>
                  <w:tr>
                    <w:trPr>
                      <w:trHeight w:val="185" w:hRule="exact"/>
                    </w:trPr>
                    <w:tc>
                      <w:tcPr>
                        <w:tcW w:w="1150" w:type="dxa"/>
                        <w:shd w:val="clear" w:color="auto" w:fill="FFFF00"/>
                      </w:tcPr>
                      <w:p>
                        <w:pPr>
                          <w:pStyle w:val="TableParagraph"/>
                          <w:spacing w:line="180" w:lineRule="exact" w:before="0"/>
                          <w:ind w:left="70" w:right="0"/>
                          <w:jc w:val="left"/>
                          <w:rPr>
                            <w:rFonts w:ascii="Arial"/>
                            <w:sz w:val="16"/>
                          </w:rPr>
                        </w:pPr>
                        <w:r>
                          <w:rPr>
                            <w:rFonts w:ascii="Arial"/>
                            <w:sz w:val="16"/>
                          </w:rPr>
                          <w:t>Temperatura</w:t>
                        </w:r>
                      </w:p>
                    </w:tc>
                    <w:tc>
                      <w:tcPr>
                        <w:tcW w:w="1319" w:type="dxa"/>
                        <w:shd w:val="clear" w:color="auto" w:fill="FFFF00"/>
                      </w:tcPr>
                      <w:p>
                        <w:pPr>
                          <w:pStyle w:val="TableParagraph"/>
                          <w:spacing w:line="180" w:lineRule="exact" w:before="0"/>
                          <w:ind w:right="219"/>
                          <w:rPr>
                            <w:rFonts w:ascii="Arial" w:hAnsi="Arial"/>
                            <w:sz w:val="16"/>
                          </w:rPr>
                        </w:pPr>
                        <w:r>
                          <w:rPr>
                            <w:rFonts w:ascii="Arial" w:hAnsi="Arial"/>
                            <w:sz w:val="16"/>
                          </w:rPr>
                          <w:t>16,77 ± 0,12</w:t>
                        </w:r>
                      </w:p>
                    </w:tc>
                    <w:tc>
                      <w:tcPr>
                        <w:tcW w:w="726" w:type="dxa"/>
                        <w:shd w:val="clear" w:color="auto" w:fill="FFFF00"/>
                      </w:tcPr>
                      <w:p>
                        <w:pPr>
                          <w:pStyle w:val="TableParagraph"/>
                          <w:spacing w:line="180" w:lineRule="exact" w:before="0"/>
                          <w:ind w:left="158" w:right="171"/>
                          <w:jc w:val="center"/>
                          <w:rPr>
                            <w:rFonts w:ascii="Arial" w:hAnsi="Arial"/>
                            <w:sz w:val="16"/>
                          </w:rPr>
                        </w:pPr>
                        <w:r>
                          <w:rPr>
                            <w:rFonts w:ascii="Arial" w:hAnsi="Arial"/>
                            <w:sz w:val="16"/>
                          </w:rPr>
                          <w:t>°C</w:t>
                        </w:r>
                      </w:p>
                    </w:tc>
                    <w:tc>
                      <w:tcPr>
                        <w:tcW w:w="637" w:type="dxa"/>
                        <w:shd w:val="clear" w:color="auto" w:fill="FFFF00"/>
                      </w:tcPr>
                      <w:p>
                        <w:pPr>
                          <w:pStyle w:val="TableParagraph"/>
                          <w:spacing w:line="180" w:lineRule="exact" w:before="0"/>
                          <w:ind w:left="191" w:right="0"/>
                          <w:jc w:val="left"/>
                          <w:rPr>
                            <w:rFonts w:ascii="Arial"/>
                            <w:sz w:val="16"/>
                          </w:rPr>
                        </w:pPr>
                        <w:r>
                          <w:rPr>
                            <w:rFonts w:ascii="Arial"/>
                            <w:sz w:val="16"/>
                          </w:rPr>
                          <w:t>110</w:t>
                        </w:r>
                      </w:p>
                    </w:tc>
                    <w:tc>
                      <w:tcPr>
                        <w:tcW w:w="3155" w:type="dxa"/>
                      </w:tcPr>
                      <w:p>
                        <w:pPr/>
                      </w:p>
                    </w:tc>
                    <w:tc>
                      <w:tcPr>
                        <w:tcW w:w="1177" w:type="dxa"/>
                        <w:shd w:val="clear" w:color="auto" w:fill="FFFF00"/>
                      </w:tcPr>
                      <w:p>
                        <w:pPr>
                          <w:pStyle w:val="TableParagraph"/>
                          <w:spacing w:line="180" w:lineRule="exact" w:before="0"/>
                          <w:ind w:left="151" w:right="0"/>
                          <w:jc w:val="left"/>
                          <w:rPr>
                            <w:rFonts w:ascii="Arial"/>
                            <w:sz w:val="16"/>
                          </w:rPr>
                        </w:pPr>
                        <w:r>
                          <w:rPr>
                            <w:rFonts w:ascii="Arial"/>
                            <w:sz w:val="16"/>
                          </w:rPr>
                          <w:t>Temperatura</w:t>
                        </w:r>
                      </w:p>
                    </w:tc>
                    <w:tc>
                      <w:tcPr>
                        <w:tcW w:w="1265" w:type="dxa"/>
                        <w:shd w:val="clear" w:color="auto" w:fill="FFFF00"/>
                      </w:tcPr>
                      <w:p>
                        <w:pPr>
                          <w:pStyle w:val="TableParagraph"/>
                          <w:spacing w:line="180" w:lineRule="exact" w:before="0"/>
                          <w:ind w:right="219"/>
                          <w:rPr>
                            <w:rFonts w:ascii="Arial" w:hAnsi="Arial"/>
                            <w:sz w:val="16"/>
                          </w:rPr>
                        </w:pPr>
                        <w:r>
                          <w:rPr>
                            <w:rFonts w:ascii="Arial" w:hAnsi="Arial"/>
                            <w:sz w:val="16"/>
                          </w:rPr>
                          <w:t>16,76 ± 0,13</w:t>
                        </w:r>
                      </w:p>
                    </w:tc>
                    <w:tc>
                      <w:tcPr>
                        <w:tcW w:w="709" w:type="dxa"/>
                        <w:shd w:val="clear" w:color="auto" w:fill="FFFF00"/>
                      </w:tcPr>
                      <w:p>
                        <w:pPr>
                          <w:pStyle w:val="TableParagraph"/>
                          <w:spacing w:line="180" w:lineRule="exact" w:before="0"/>
                          <w:ind w:left="157" w:right="156"/>
                          <w:jc w:val="center"/>
                          <w:rPr>
                            <w:rFonts w:ascii="Arial" w:hAnsi="Arial"/>
                            <w:sz w:val="16"/>
                          </w:rPr>
                        </w:pPr>
                        <w:r>
                          <w:rPr>
                            <w:rFonts w:ascii="Arial" w:hAnsi="Arial"/>
                            <w:sz w:val="16"/>
                          </w:rPr>
                          <w:t>°C</w:t>
                        </w:r>
                      </w:p>
                    </w:tc>
                    <w:tc>
                      <w:tcPr>
                        <w:tcW w:w="552" w:type="dxa"/>
                        <w:shd w:val="clear" w:color="auto" w:fill="FFFF00"/>
                      </w:tcPr>
                      <w:p>
                        <w:pPr>
                          <w:pStyle w:val="TableParagraph"/>
                          <w:spacing w:line="180" w:lineRule="exact" w:before="0"/>
                          <w:ind w:left="154" w:right="90"/>
                          <w:jc w:val="center"/>
                          <w:rPr>
                            <w:rFonts w:ascii="Arial"/>
                            <w:sz w:val="16"/>
                          </w:rPr>
                        </w:pPr>
                        <w:r>
                          <w:rPr>
                            <w:rFonts w:ascii="Arial"/>
                            <w:sz w:val="16"/>
                          </w:rPr>
                          <w:t>110</w:t>
                        </w:r>
                      </w:p>
                    </w:tc>
                  </w:tr>
                  <w:tr>
                    <w:trPr>
                      <w:trHeight w:val="182" w:hRule="exact"/>
                    </w:trPr>
                    <w:tc>
                      <w:tcPr>
                        <w:tcW w:w="1150" w:type="dxa"/>
                        <w:shd w:val="clear" w:color="auto" w:fill="00B04F"/>
                      </w:tcPr>
                      <w:p>
                        <w:pPr>
                          <w:pStyle w:val="TableParagraph"/>
                          <w:spacing w:line="180" w:lineRule="exact" w:before="0"/>
                          <w:ind w:left="70" w:right="0"/>
                          <w:jc w:val="left"/>
                          <w:rPr>
                            <w:rFonts w:ascii="Arial"/>
                            <w:sz w:val="16"/>
                          </w:rPr>
                        </w:pPr>
                        <w:r>
                          <w:rPr>
                            <w:rFonts w:ascii="Arial"/>
                            <w:color w:val="FFFFFF"/>
                            <w:sz w:val="16"/>
                          </w:rPr>
                          <w:t>pH</w:t>
                        </w:r>
                      </w:p>
                    </w:tc>
                    <w:tc>
                      <w:tcPr>
                        <w:tcW w:w="1319" w:type="dxa"/>
                        <w:shd w:val="clear" w:color="auto" w:fill="00B04F"/>
                      </w:tcPr>
                      <w:p>
                        <w:pPr>
                          <w:pStyle w:val="TableParagraph"/>
                          <w:spacing w:line="180" w:lineRule="exact" w:before="0"/>
                          <w:ind w:right="263"/>
                          <w:rPr>
                            <w:rFonts w:ascii="Arial" w:hAnsi="Arial"/>
                            <w:sz w:val="16"/>
                          </w:rPr>
                        </w:pPr>
                        <w:r>
                          <w:rPr>
                            <w:rFonts w:ascii="Arial" w:hAnsi="Arial"/>
                            <w:color w:val="FFFFFF"/>
                            <w:sz w:val="16"/>
                          </w:rPr>
                          <w:t>6,99 ± 0,07</w:t>
                        </w:r>
                      </w:p>
                    </w:tc>
                    <w:tc>
                      <w:tcPr>
                        <w:tcW w:w="726" w:type="dxa"/>
                        <w:shd w:val="clear" w:color="auto" w:fill="00B04F"/>
                      </w:tcPr>
                      <w:p>
                        <w:pPr/>
                      </w:p>
                    </w:tc>
                    <w:tc>
                      <w:tcPr>
                        <w:tcW w:w="637" w:type="dxa"/>
                        <w:shd w:val="clear" w:color="auto" w:fill="00B04F"/>
                      </w:tcPr>
                      <w:p>
                        <w:pPr>
                          <w:pStyle w:val="TableParagraph"/>
                          <w:spacing w:line="180" w:lineRule="exact" w:before="0"/>
                          <w:ind w:left="191" w:right="0"/>
                          <w:jc w:val="left"/>
                          <w:rPr>
                            <w:rFonts w:ascii="Arial"/>
                            <w:sz w:val="16"/>
                          </w:rPr>
                        </w:pPr>
                        <w:r>
                          <w:rPr>
                            <w:rFonts w:ascii="Arial"/>
                            <w:color w:val="FFFFFF"/>
                            <w:sz w:val="16"/>
                          </w:rPr>
                          <w:t>121</w:t>
                        </w:r>
                      </w:p>
                    </w:tc>
                    <w:tc>
                      <w:tcPr>
                        <w:tcW w:w="3155" w:type="dxa"/>
                      </w:tcPr>
                      <w:p>
                        <w:pPr/>
                      </w:p>
                    </w:tc>
                    <w:tc>
                      <w:tcPr>
                        <w:tcW w:w="1177" w:type="dxa"/>
                        <w:shd w:val="clear" w:color="auto" w:fill="00B04F"/>
                      </w:tcPr>
                      <w:p>
                        <w:pPr>
                          <w:pStyle w:val="TableParagraph"/>
                          <w:spacing w:line="180" w:lineRule="exact" w:before="0"/>
                          <w:ind w:left="151" w:right="0"/>
                          <w:jc w:val="left"/>
                          <w:rPr>
                            <w:rFonts w:ascii="Arial"/>
                            <w:sz w:val="16"/>
                          </w:rPr>
                        </w:pPr>
                        <w:r>
                          <w:rPr>
                            <w:rFonts w:ascii="Arial"/>
                            <w:color w:val="FFFFFF"/>
                            <w:sz w:val="16"/>
                          </w:rPr>
                          <w:t>pH</w:t>
                        </w:r>
                      </w:p>
                    </w:tc>
                    <w:tc>
                      <w:tcPr>
                        <w:tcW w:w="1265" w:type="dxa"/>
                        <w:shd w:val="clear" w:color="auto" w:fill="00B04F"/>
                      </w:tcPr>
                      <w:p>
                        <w:pPr>
                          <w:pStyle w:val="TableParagraph"/>
                          <w:spacing w:line="180" w:lineRule="exact" w:before="0"/>
                          <w:ind w:right="263"/>
                          <w:rPr>
                            <w:rFonts w:ascii="Arial" w:hAnsi="Arial"/>
                            <w:sz w:val="16"/>
                          </w:rPr>
                        </w:pPr>
                        <w:r>
                          <w:rPr>
                            <w:rFonts w:ascii="Arial" w:hAnsi="Arial"/>
                            <w:color w:val="FFFFFF"/>
                            <w:sz w:val="16"/>
                          </w:rPr>
                          <w:t>6,95 ± 0,07</w:t>
                        </w:r>
                      </w:p>
                    </w:tc>
                    <w:tc>
                      <w:tcPr>
                        <w:tcW w:w="709" w:type="dxa"/>
                        <w:shd w:val="clear" w:color="auto" w:fill="00B04F"/>
                      </w:tcPr>
                      <w:p>
                        <w:pPr/>
                      </w:p>
                    </w:tc>
                    <w:tc>
                      <w:tcPr>
                        <w:tcW w:w="552" w:type="dxa"/>
                        <w:shd w:val="clear" w:color="auto" w:fill="00B04F"/>
                      </w:tcPr>
                      <w:p>
                        <w:pPr>
                          <w:pStyle w:val="TableParagraph"/>
                          <w:spacing w:line="180" w:lineRule="exact" w:before="0"/>
                          <w:ind w:left="154" w:right="90"/>
                          <w:jc w:val="center"/>
                          <w:rPr>
                            <w:rFonts w:ascii="Arial"/>
                            <w:sz w:val="16"/>
                          </w:rPr>
                        </w:pPr>
                        <w:r>
                          <w:rPr>
                            <w:rFonts w:ascii="Arial"/>
                            <w:color w:val="FFFFFF"/>
                            <w:sz w:val="16"/>
                          </w:rPr>
                          <w:t>121</w:t>
                        </w:r>
                      </w:p>
                    </w:tc>
                  </w:tr>
                  <w:tr>
                    <w:trPr>
                      <w:trHeight w:val="185" w:hRule="exact"/>
                    </w:trPr>
                    <w:tc>
                      <w:tcPr>
                        <w:tcW w:w="1150" w:type="dxa"/>
                        <w:shd w:val="clear" w:color="auto" w:fill="00B04F"/>
                      </w:tcPr>
                      <w:p>
                        <w:pPr>
                          <w:pStyle w:val="TableParagraph"/>
                          <w:spacing w:line="180" w:lineRule="exact" w:before="0"/>
                          <w:ind w:left="70" w:right="0"/>
                          <w:jc w:val="left"/>
                          <w:rPr>
                            <w:rFonts w:ascii="Arial"/>
                            <w:sz w:val="16"/>
                          </w:rPr>
                        </w:pPr>
                        <w:r>
                          <w:rPr>
                            <w:rFonts w:ascii="Arial"/>
                            <w:color w:val="FFFFFF"/>
                            <w:sz w:val="16"/>
                          </w:rPr>
                          <w:t>OD</w:t>
                        </w:r>
                      </w:p>
                    </w:tc>
                    <w:tc>
                      <w:tcPr>
                        <w:tcW w:w="1319" w:type="dxa"/>
                        <w:shd w:val="clear" w:color="auto" w:fill="00B04F"/>
                      </w:tcPr>
                      <w:p>
                        <w:pPr>
                          <w:pStyle w:val="TableParagraph"/>
                          <w:spacing w:line="180" w:lineRule="exact" w:before="0"/>
                          <w:ind w:right="263"/>
                          <w:rPr>
                            <w:rFonts w:ascii="Arial" w:hAnsi="Arial"/>
                            <w:sz w:val="16"/>
                          </w:rPr>
                        </w:pPr>
                        <w:r>
                          <w:rPr>
                            <w:rFonts w:ascii="Arial" w:hAnsi="Arial"/>
                            <w:color w:val="FFFFFF"/>
                            <w:sz w:val="16"/>
                          </w:rPr>
                          <w:t>5,35 ± 0,08</w:t>
                        </w:r>
                      </w:p>
                    </w:tc>
                    <w:tc>
                      <w:tcPr>
                        <w:tcW w:w="726" w:type="dxa"/>
                        <w:shd w:val="clear" w:color="auto" w:fill="00B04F"/>
                      </w:tcPr>
                      <w:p>
                        <w:pPr>
                          <w:pStyle w:val="TableParagraph"/>
                          <w:spacing w:line="180" w:lineRule="exact" w:before="0"/>
                          <w:ind w:left="158" w:right="171"/>
                          <w:jc w:val="center"/>
                          <w:rPr>
                            <w:rFonts w:ascii="Arial"/>
                            <w:sz w:val="16"/>
                          </w:rPr>
                        </w:pPr>
                        <w:r>
                          <w:rPr>
                            <w:rFonts w:ascii="Arial"/>
                            <w:color w:val="FFFFFF"/>
                            <w:sz w:val="16"/>
                          </w:rPr>
                          <w:t>mg/L</w:t>
                        </w:r>
                      </w:p>
                    </w:tc>
                    <w:tc>
                      <w:tcPr>
                        <w:tcW w:w="637" w:type="dxa"/>
                        <w:shd w:val="clear" w:color="auto" w:fill="00B04F"/>
                      </w:tcPr>
                      <w:p>
                        <w:pPr>
                          <w:pStyle w:val="TableParagraph"/>
                          <w:spacing w:line="180" w:lineRule="exact" w:before="0"/>
                          <w:ind w:left="191" w:right="0"/>
                          <w:jc w:val="left"/>
                          <w:rPr>
                            <w:rFonts w:ascii="Arial"/>
                            <w:sz w:val="16"/>
                          </w:rPr>
                        </w:pPr>
                        <w:r>
                          <w:rPr>
                            <w:rFonts w:ascii="Arial"/>
                            <w:color w:val="FFFFFF"/>
                            <w:sz w:val="16"/>
                          </w:rPr>
                          <w:t>121</w:t>
                        </w:r>
                      </w:p>
                    </w:tc>
                    <w:tc>
                      <w:tcPr>
                        <w:tcW w:w="3155" w:type="dxa"/>
                      </w:tcPr>
                      <w:p>
                        <w:pPr/>
                      </w:p>
                    </w:tc>
                    <w:tc>
                      <w:tcPr>
                        <w:tcW w:w="1177" w:type="dxa"/>
                        <w:shd w:val="clear" w:color="auto" w:fill="FFFF00"/>
                      </w:tcPr>
                      <w:p>
                        <w:pPr>
                          <w:pStyle w:val="TableParagraph"/>
                          <w:spacing w:line="180" w:lineRule="exact" w:before="0"/>
                          <w:ind w:left="151" w:right="0"/>
                          <w:jc w:val="left"/>
                          <w:rPr>
                            <w:rFonts w:ascii="Arial"/>
                            <w:sz w:val="16"/>
                          </w:rPr>
                        </w:pPr>
                        <w:r>
                          <w:rPr>
                            <w:rFonts w:ascii="Arial"/>
                            <w:sz w:val="16"/>
                          </w:rPr>
                          <w:t>OD</w:t>
                        </w:r>
                      </w:p>
                    </w:tc>
                    <w:tc>
                      <w:tcPr>
                        <w:tcW w:w="1265" w:type="dxa"/>
                        <w:shd w:val="clear" w:color="auto" w:fill="FFFF00"/>
                      </w:tcPr>
                      <w:p>
                        <w:pPr>
                          <w:pStyle w:val="TableParagraph"/>
                          <w:spacing w:line="180" w:lineRule="exact" w:before="0"/>
                          <w:ind w:right="263"/>
                          <w:rPr>
                            <w:rFonts w:ascii="Arial" w:hAnsi="Arial"/>
                            <w:sz w:val="16"/>
                          </w:rPr>
                        </w:pPr>
                        <w:r>
                          <w:rPr>
                            <w:rFonts w:ascii="Arial" w:hAnsi="Arial"/>
                            <w:sz w:val="16"/>
                          </w:rPr>
                          <w:t>4,86 ± 0,07</w:t>
                        </w:r>
                      </w:p>
                    </w:tc>
                    <w:tc>
                      <w:tcPr>
                        <w:tcW w:w="709" w:type="dxa"/>
                        <w:shd w:val="clear" w:color="auto" w:fill="FFFF00"/>
                      </w:tcPr>
                      <w:p>
                        <w:pPr>
                          <w:pStyle w:val="TableParagraph"/>
                          <w:spacing w:line="180" w:lineRule="exact" w:before="0"/>
                          <w:ind w:left="157" w:right="156"/>
                          <w:jc w:val="center"/>
                          <w:rPr>
                            <w:rFonts w:ascii="Arial"/>
                            <w:sz w:val="16"/>
                          </w:rPr>
                        </w:pPr>
                        <w:r>
                          <w:rPr>
                            <w:rFonts w:ascii="Arial"/>
                            <w:sz w:val="16"/>
                          </w:rPr>
                          <w:t>mg/L</w:t>
                        </w:r>
                      </w:p>
                    </w:tc>
                    <w:tc>
                      <w:tcPr>
                        <w:tcW w:w="552" w:type="dxa"/>
                        <w:shd w:val="clear" w:color="auto" w:fill="FFFF00"/>
                      </w:tcPr>
                      <w:p>
                        <w:pPr>
                          <w:pStyle w:val="TableParagraph"/>
                          <w:spacing w:line="180" w:lineRule="exact" w:before="0"/>
                          <w:ind w:left="152" w:right="90"/>
                          <w:jc w:val="center"/>
                          <w:rPr>
                            <w:rFonts w:ascii="Arial"/>
                            <w:sz w:val="16"/>
                          </w:rPr>
                        </w:pPr>
                        <w:r>
                          <w:rPr>
                            <w:rFonts w:ascii="Arial"/>
                            <w:sz w:val="16"/>
                          </w:rPr>
                          <w:t>54</w:t>
                        </w:r>
                      </w:p>
                    </w:tc>
                  </w:tr>
                </w:tbl>
                <w:p>
                  <w:pPr>
                    <w:pStyle w:val="BodyText"/>
                  </w:pPr>
                </w:p>
              </w:txbxContent>
            </v:textbox>
            <w10:wrap type="none"/>
          </v:shape>
        </w:pict>
      </w:r>
      <w:r>
        <w:rPr>
          <w:b/>
          <w:sz w:val="16"/>
        </w:rPr>
        <w:t>des</w:t>
        <w:tab/>
      </w:r>
      <w:r>
        <w:rPr>
          <w:b/>
          <w:position w:val="9"/>
          <w:sz w:val="16"/>
        </w:rPr>
        <w:t>#</w:t>
      </w:r>
    </w:p>
    <w:p>
      <w:pPr>
        <w:pStyle w:val="BodyText"/>
        <w:rPr>
          <w:b/>
          <w:sz w:val="14"/>
        </w:rPr>
      </w:pPr>
      <w:r>
        <w:rPr/>
        <w:br w:type="column"/>
      </w:r>
      <w:r>
        <w:rPr>
          <w:b/>
          <w:sz w:val="14"/>
        </w:rPr>
      </w:r>
    </w:p>
    <w:p>
      <w:pPr>
        <w:spacing w:before="81"/>
        <w:ind w:left="390" w:right="0" w:firstLine="0"/>
        <w:jc w:val="left"/>
        <w:rPr>
          <w:b/>
          <w:sz w:val="14"/>
        </w:rPr>
      </w:pPr>
      <w:r>
        <w:rPr>
          <w:b/>
          <w:w w:val="95"/>
          <w:sz w:val="14"/>
        </w:rPr>
        <w:t>Parámetro</w:t>
      </w:r>
    </w:p>
    <w:p>
      <w:pPr>
        <w:spacing w:before="82"/>
        <w:ind w:left="362" w:right="0" w:hanging="72"/>
        <w:jc w:val="left"/>
        <w:rPr>
          <w:b/>
          <w:sz w:val="14"/>
        </w:rPr>
      </w:pPr>
      <w:r>
        <w:rPr/>
        <w:br w:type="column"/>
      </w:r>
      <w:r>
        <w:rPr>
          <w:b/>
          <w:w w:val="95"/>
          <w:sz w:val="14"/>
        </w:rPr>
        <w:t>Concentración </w:t>
      </w:r>
      <w:r>
        <w:rPr>
          <w:b/>
          <w:sz w:val="14"/>
        </w:rPr>
        <w:t>promedio en</w:t>
      </w:r>
    </w:p>
    <w:p>
      <w:pPr>
        <w:pStyle w:val="BodyText"/>
        <w:rPr>
          <w:b/>
          <w:sz w:val="14"/>
        </w:rPr>
      </w:pPr>
      <w:r>
        <w:rPr/>
        <w:br w:type="column"/>
      </w:r>
      <w:r>
        <w:rPr>
          <w:b/>
          <w:sz w:val="14"/>
        </w:rPr>
      </w:r>
    </w:p>
    <w:p>
      <w:pPr>
        <w:tabs>
          <w:tab w:pos="1118" w:val="left" w:leader="none"/>
        </w:tabs>
        <w:spacing w:before="81"/>
        <w:ind w:left="179" w:right="0" w:firstLine="0"/>
        <w:jc w:val="left"/>
        <w:rPr>
          <w:b/>
          <w:sz w:val="14"/>
        </w:rPr>
      </w:pPr>
      <w:r>
        <w:rPr>
          <w:b/>
          <w:sz w:val="14"/>
        </w:rPr>
        <w:t>Unidades</w:t>
        <w:tab/>
        <w:t>#</w:t>
      </w:r>
    </w:p>
    <w:p>
      <w:pPr>
        <w:spacing w:after="0"/>
        <w:jc w:val="left"/>
        <w:rPr>
          <w:sz w:val="14"/>
        </w:rPr>
        <w:sectPr>
          <w:type w:val="continuous"/>
          <w:pgSz w:w="12240" w:h="15840"/>
          <w:pgMar w:top="0" w:bottom="0" w:left="440" w:right="680"/>
          <w:cols w:num="6" w:equalWidth="0">
            <w:col w:w="1185" w:space="40"/>
            <w:col w:w="1268" w:space="40"/>
            <w:col w:w="1237" w:space="3293"/>
            <w:col w:w="1083" w:space="40"/>
            <w:col w:w="1269" w:space="40"/>
            <w:col w:w="1625"/>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19"/>
        </w:rPr>
      </w:pPr>
    </w:p>
    <w:p>
      <w:pPr>
        <w:spacing w:after="0"/>
        <w:rPr>
          <w:sz w:val="19"/>
        </w:rPr>
        <w:sectPr>
          <w:type w:val="continuous"/>
          <w:pgSz w:w="12240" w:h="15840"/>
          <w:pgMar w:top="0" w:bottom="0" w:left="440" w:right="680"/>
        </w:sectPr>
      </w:pPr>
    </w:p>
    <w:p>
      <w:pPr>
        <w:pStyle w:val="BodyText"/>
        <w:rPr>
          <w:b/>
          <w:sz w:val="14"/>
        </w:rPr>
      </w:pPr>
    </w:p>
    <w:p>
      <w:pPr>
        <w:spacing w:before="82"/>
        <w:ind w:left="383" w:right="0" w:firstLine="0"/>
        <w:jc w:val="left"/>
        <w:rPr>
          <w:b/>
          <w:sz w:val="14"/>
        </w:rPr>
      </w:pPr>
      <w:r>
        <w:rPr>
          <w:b/>
          <w:w w:val="95"/>
          <w:sz w:val="14"/>
        </w:rPr>
        <w:t>Parámetro</w:t>
      </w:r>
    </w:p>
    <w:p>
      <w:pPr>
        <w:spacing w:before="82"/>
        <w:ind w:left="288" w:right="0" w:firstLine="0"/>
        <w:jc w:val="center"/>
        <w:rPr>
          <w:b/>
          <w:sz w:val="14"/>
        </w:rPr>
      </w:pPr>
      <w:r>
        <w:rPr/>
        <w:br w:type="column"/>
      </w:r>
      <w:r>
        <w:rPr>
          <w:b/>
          <w:spacing w:val="-1"/>
          <w:sz w:val="14"/>
        </w:rPr>
        <w:t>Coeficiente </w:t>
      </w:r>
      <w:r>
        <w:rPr>
          <w:b/>
          <w:sz w:val="14"/>
        </w:rPr>
        <w:t>de    variación</w:t>
      </w:r>
    </w:p>
    <w:p>
      <w:pPr>
        <w:pStyle w:val="BodyText"/>
        <w:rPr>
          <w:b/>
          <w:sz w:val="14"/>
        </w:rPr>
      </w:pPr>
      <w:r>
        <w:rPr/>
        <w:br w:type="column"/>
      </w:r>
      <w:r>
        <w:rPr>
          <w:b/>
          <w:sz w:val="14"/>
        </w:rPr>
      </w:r>
    </w:p>
    <w:p>
      <w:pPr>
        <w:spacing w:before="0"/>
        <w:ind w:left="237" w:right="-19" w:firstLine="110"/>
        <w:jc w:val="left"/>
        <w:rPr>
          <w:b/>
          <w:sz w:val="14"/>
        </w:rPr>
      </w:pPr>
      <w:r>
        <w:rPr>
          <w:b/>
          <w:sz w:val="14"/>
        </w:rPr>
        <w:t>Intervalos de confianza a 95%</w:t>
      </w:r>
    </w:p>
    <w:p>
      <w:pPr>
        <w:pStyle w:val="BodyText"/>
        <w:rPr>
          <w:b/>
          <w:sz w:val="14"/>
        </w:rPr>
      </w:pPr>
      <w:r>
        <w:rPr/>
        <w:br w:type="column"/>
      </w:r>
      <w:r>
        <w:rPr>
          <w:b/>
          <w:sz w:val="14"/>
        </w:rPr>
      </w:r>
    </w:p>
    <w:p>
      <w:pPr>
        <w:spacing w:before="82"/>
        <w:ind w:left="383" w:right="0" w:firstLine="0"/>
        <w:jc w:val="left"/>
        <w:rPr>
          <w:b/>
          <w:sz w:val="14"/>
        </w:rPr>
      </w:pPr>
      <w:r>
        <w:rPr>
          <w:b/>
          <w:w w:val="95"/>
          <w:sz w:val="14"/>
        </w:rPr>
        <w:t>Parámetro</w:t>
      </w:r>
    </w:p>
    <w:p>
      <w:pPr>
        <w:spacing w:before="82"/>
        <w:ind w:left="290" w:right="0" w:firstLine="0"/>
        <w:jc w:val="center"/>
        <w:rPr>
          <w:b/>
          <w:sz w:val="14"/>
        </w:rPr>
      </w:pPr>
      <w:r>
        <w:rPr/>
        <w:br w:type="column"/>
      </w:r>
      <w:r>
        <w:rPr>
          <w:b/>
          <w:w w:val="95"/>
          <w:sz w:val="14"/>
        </w:rPr>
        <w:t>Coeficiente </w:t>
      </w:r>
      <w:r>
        <w:rPr>
          <w:b/>
          <w:sz w:val="14"/>
        </w:rPr>
        <w:t>de    variación</w:t>
      </w:r>
    </w:p>
    <w:p>
      <w:pPr>
        <w:pStyle w:val="BodyText"/>
        <w:rPr>
          <w:b/>
          <w:sz w:val="14"/>
        </w:rPr>
      </w:pPr>
      <w:r>
        <w:rPr/>
        <w:br w:type="column"/>
      </w:r>
      <w:r>
        <w:rPr>
          <w:b/>
          <w:sz w:val="14"/>
        </w:rPr>
      </w:r>
    </w:p>
    <w:p>
      <w:pPr>
        <w:spacing w:before="0"/>
        <w:ind w:left="235" w:right="515" w:firstLine="110"/>
        <w:jc w:val="left"/>
        <w:rPr>
          <w:b/>
          <w:sz w:val="14"/>
        </w:rPr>
      </w:pPr>
      <w:r>
        <w:rPr>
          <w:b/>
          <w:sz w:val="14"/>
        </w:rPr>
        <w:t>Intervalos de confianza a 95%</w:t>
      </w:r>
    </w:p>
    <w:p>
      <w:pPr>
        <w:spacing w:after="0"/>
        <w:jc w:val="left"/>
        <w:rPr>
          <w:sz w:val="14"/>
        </w:rPr>
        <w:sectPr>
          <w:type w:val="continuous"/>
          <w:pgSz w:w="12240" w:h="15840"/>
          <w:pgMar w:top="0" w:bottom="0" w:left="440" w:right="680"/>
          <w:cols w:num="6" w:equalWidth="0">
            <w:col w:w="1076" w:space="40"/>
            <w:col w:w="1040" w:space="40"/>
            <w:col w:w="1320" w:space="3553"/>
            <w:col w:w="1076" w:space="40"/>
            <w:col w:w="1043" w:space="40"/>
            <w:col w:w="1852"/>
          </w:cols>
        </w:sectPr>
      </w:pPr>
    </w:p>
    <w:p>
      <w:pPr>
        <w:tabs>
          <w:tab w:pos="1758" w:val="left" w:leader="none"/>
          <w:tab w:pos="2555" w:val="left" w:leader="none"/>
          <w:tab w:pos="3263" w:val="left" w:leader="none"/>
        </w:tabs>
        <w:spacing w:line="181" w:lineRule="exact" w:before="9"/>
        <w:ind w:left="272" w:right="0" w:firstLine="0"/>
        <w:jc w:val="left"/>
        <w:rPr>
          <w:sz w:val="16"/>
        </w:rPr>
      </w:pPr>
      <w:r>
        <w:rPr>
          <w:position w:val="2"/>
          <w:sz w:val="16"/>
        </w:rPr>
        <w:t>N-NH</w:t>
      </w:r>
      <w:r>
        <w:rPr>
          <w:sz w:val="10"/>
        </w:rPr>
        <w:t>3</w:t>
        <w:tab/>
      </w:r>
      <w:r>
        <w:rPr>
          <w:position w:val="2"/>
          <w:sz w:val="16"/>
        </w:rPr>
        <w:t>0,019</w:t>
        <w:tab/>
        <w:t>0,25</w:t>
        <w:tab/>
        <w:t>0,29</w:t>
      </w:r>
    </w:p>
    <w:p>
      <w:pPr>
        <w:tabs>
          <w:tab w:pos="1758" w:val="left" w:leader="none"/>
          <w:tab w:pos="2555" w:val="left" w:leader="none"/>
          <w:tab w:pos="3263" w:val="left" w:leader="none"/>
        </w:tabs>
        <w:spacing w:line="198" w:lineRule="exact" w:before="0"/>
        <w:ind w:left="272" w:right="0" w:firstLine="0"/>
        <w:jc w:val="left"/>
        <w:rPr>
          <w:sz w:val="16"/>
        </w:rPr>
      </w:pPr>
      <w:r>
        <w:rPr/>
        <w:pict>
          <v:shape style="position:absolute;margin-left:56.040001pt;margin-top:5.071216pt;width:2.8pt;height:5.05pt;mso-position-horizontal-relative:page;mso-position-vertical-relative:paragraph;z-index:-1524280" type="#_x0000_t202" filled="false" stroked="false">
            <v:textbox inset="0,0,0,0">
              <w:txbxContent>
                <w:p>
                  <w:pPr>
                    <w:spacing w:line="101" w:lineRule="exact" w:before="0"/>
                    <w:ind w:left="0" w:right="0" w:firstLine="0"/>
                    <w:jc w:val="left"/>
                    <w:rPr>
                      <w:sz w:val="10"/>
                    </w:rPr>
                  </w:pPr>
                  <w:r>
                    <w:rPr>
                      <w:w w:val="100"/>
                      <w:sz w:val="10"/>
                    </w:rPr>
                    <w:t>2</w:t>
                  </w:r>
                </w:p>
              </w:txbxContent>
            </v:textbox>
            <w10:wrap type="none"/>
          </v:shape>
        </w:pict>
      </w:r>
      <w:r>
        <w:rPr>
          <w:sz w:val="16"/>
        </w:rPr>
        <w:t>N-NO</w:t>
      </w:r>
      <w:r>
        <w:rPr>
          <w:spacing w:val="9"/>
          <w:sz w:val="16"/>
        </w:rPr>
        <w:t> </w:t>
      </w:r>
      <w:r>
        <w:rPr>
          <w:position w:val="8"/>
          <w:sz w:val="10"/>
        </w:rPr>
        <w:t>-</w:t>
        <w:tab/>
      </w:r>
      <w:r>
        <w:rPr>
          <w:sz w:val="16"/>
        </w:rPr>
        <w:t>0,030</w:t>
        <w:tab/>
        <w:t>0,19</w:t>
        <w:tab/>
        <w:t>0,21</w:t>
      </w:r>
    </w:p>
    <w:p>
      <w:pPr>
        <w:tabs>
          <w:tab w:pos="1760" w:val="left" w:leader="none"/>
          <w:tab w:pos="2555" w:val="left" w:leader="none"/>
          <w:tab w:pos="3265" w:val="left" w:leader="none"/>
        </w:tabs>
        <w:spacing w:line="181" w:lineRule="exact" w:before="9"/>
        <w:ind w:left="272" w:right="0" w:firstLine="0"/>
        <w:jc w:val="left"/>
        <w:rPr>
          <w:sz w:val="16"/>
        </w:rPr>
      </w:pPr>
      <w:r>
        <w:rPr/>
        <w:br w:type="column"/>
      </w:r>
      <w:r>
        <w:rPr>
          <w:position w:val="2"/>
          <w:sz w:val="16"/>
        </w:rPr>
        <w:t>N-NH</w:t>
      </w:r>
      <w:r>
        <w:rPr>
          <w:sz w:val="10"/>
        </w:rPr>
        <w:t>3</w:t>
        <w:tab/>
      </w:r>
      <w:r>
        <w:rPr>
          <w:position w:val="2"/>
          <w:sz w:val="16"/>
        </w:rPr>
        <w:t>0,016</w:t>
        <w:tab/>
        <w:t>0,78</w:t>
        <w:tab/>
        <w:t>0,83</w:t>
      </w:r>
    </w:p>
    <w:p>
      <w:pPr>
        <w:tabs>
          <w:tab w:pos="1760" w:val="left" w:leader="none"/>
          <w:tab w:pos="2555" w:val="left" w:leader="none"/>
          <w:tab w:pos="3265" w:val="left" w:leader="none"/>
        </w:tabs>
        <w:spacing w:line="198" w:lineRule="exact" w:before="0"/>
        <w:ind w:left="272" w:right="0" w:firstLine="0"/>
        <w:jc w:val="left"/>
        <w:rPr>
          <w:sz w:val="16"/>
        </w:rPr>
      </w:pPr>
      <w:r>
        <w:rPr/>
        <w:pict>
          <v:shape style="position:absolute;margin-left:409.439789pt;margin-top:5.071216pt;width:2.8pt;height:5.05pt;mso-position-horizontal-relative:page;mso-position-vertical-relative:paragraph;z-index:-1524256" type="#_x0000_t202" filled="false" stroked="false">
            <v:textbox inset="0,0,0,0">
              <w:txbxContent>
                <w:p>
                  <w:pPr>
                    <w:spacing w:line="101" w:lineRule="exact" w:before="0"/>
                    <w:ind w:left="0" w:right="0" w:firstLine="0"/>
                    <w:jc w:val="left"/>
                    <w:rPr>
                      <w:sz w:val="10"/>
                    </w:rPr>
                  </w:pPr>
                  <w:r>
                    <w:rPr>
                      <w:w w:val="100"/>
                      <w:sz w:val="10"/>
                    </w:rPr>
                    <w:t>2</w:t>
                  </w:r>
                </w:p>
              </w:txbxContent>
            </v:textbox>
            <w10:wrap type="none"/>
          </v:shape>
        </w:pict>
      </w:r>
      <w:r>
        <w:rPr/>
        <w:pict>
          <v:shape style="position:absolute;margin-left:32.136101pt;margin-top:10.355012pt;width:527.550pt;height:73.95pt;mso-position-horizontal-relative:page;mso-position-vertical-relative:paragraph;z-index:760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5"/>
                    <w:gridCol w:w="970"/>
                    <w:gridCol w:w="710"/>
                    <w:gridCol w:w="708"/>
                    <w:gridCol w:w="212"/>
                    <w:gridCol w:w="1224"/>
                    <w:gridCol w:w="168"/>
                    <w:gridCol w:w="384"/>
                    <w:gridCol w:w="192"/>
                    <w:gridCol w:w="384"/>
                    <w:gridCol w:w="180"/>
                    <w:gridCol w:w="1936"/>
                    <w:gridCol w:w="970"/>
                    <w:gridCol w:w="710"/>
                    <w:gridCol w:w="708"/>
                  </w:tblGrid>
                  <w:tr>
                    <w:trPr>
                      <w:trHeight w:val="192" w:hRule="exact"/>
                    </w:trPr>
                    <w:tc>
                      <w:tcPr>
                        <w:tcW w:w="1095" w:type="dxa"/>
                      </w:tcPr>
                      <w:p>
                        <w:pPr>
                          <w:pStyle w:val="TableParagraph"/>
                          <w:spacing w:line="131" w:lineRule="exact" w:before="0"/>
                          <w:ind w:left="70" w:right="0"/>
                          <w:jc w:val="left"/>
                          <w:rPr>
                            <w:rFonts w:ascii="Arial"/>
                            <w:sz w:val="10"/>
                          </w:rPr>
                        </w:pPr>
                        <w:r>
                          <w:rPr>
                            <w:rFonts w:ascii="Arial"/>
                            <w:sz w:val="16"/>
                          </w:rPr>
                          <w:t>N-NO </w:t>
                        </w:r>
                        <w:r>
                          <w:rPr>
                            <w:rFonts w:ascii="Arial"/>
                            <w:position w:val="8"/>
                            <w:sz w:val="10"/>
                          </w:rPr>
                          <w:t>-</w:t>
                        </w:r>
                      </w:p>
                      <w:p>
                        <w:pPr>
                          <w:pStyle w:val="TableParagraph"/>
                          <w:spacing w:line="61" w:lineRule="exact" w:before="0"/>
                          <w:ind w:right="80"/>
                          <w:jc w:val="center"/>
                          <w:rPr>
                            <w:rFonts w:ascii="Arial"/>
                            <w:sz w:val="10"/>
                          </w:rPr>
                        </w:pPr>
                        <w:r>
                          <w:rPr>
                            <w:rFonts w:ascii="Arial"/>
                            <w:w w:val="100"/>
                            <w:sz w:val="10"/>
                          </w:rPr>
                          <w:t>3</w:t>
                        </w:r>
                      </w:p>
                    </w:tc>
                    <w:tc>
                      <w:tcPr>
                        <w:tcW w:w="970" w:type="dxa"/>
                      </w:tcPr>
                      <w:p>
                        <w:pPr>
                          <w:pStyle w:val="TableParagraph"/>
                          <w:spacing w:before="1"/>
                          <w:ind w:right="105"/>
                          <w:rPr>
                            <w:rFonts w:ascii="Arial"/>
                            <w:sz w:val="16"/>
                          </w:rPr>
                        </w:pPr>
                        <w:r>
                          <w:rPr>
                            <w:rFonts w:ascii="Arial"/>
                            <w:sz w:val="16"/>
                          </w:rPr>
                          <w:t>0,0035</w:t>
                        </w:r>
                      </w:p>
                    </w:tc>
                    <w:tc>
                      <w:tcPr>
                        <w:tcW w:w="710" w:type="dxa"/>
                      </w:tcPr>
                      <w:p>
                        <w:pPr>
                          <w:pStyle w:val="TableParagraph"/>
                          <w:spacing w:before="1"/>
                          <w:ind w:left="178" w:right="90"/>
                          <w:jc w:val="center"/>
                          <w:rPr>
                            <w:rFonts w:ascii="Arial"/>
                            <w:sz w:val="16"/>
                          </w:rPr>
                        </w:pPr>
                        <w:r>
                          <w:rPr>
                            <w:rFonts w:ascii="Arial"/>
                            <w:sz w:val="16"/>
                          </w:rPr>
                          <w:t>58,74</w:t>
                        </w:r>
                      </w:p>
                    </w:tc>
                    <w:tc>
                      <w:tcPr>
                        <w:tcW w:w="708" w:type="dxa"/>
                      </w:tcPr>
                      <w:p>
                        <w:pPr>
                          <w:pStyle w:val="TableParagraph"/>
                          <w:spacing w:before="1"/>
                          <w:ind w:left="175" w:right="90"/>
                          <w:jc w:val="center"/>
                          <w:rPr>
                            <w:rFonts w:ascii="Arial"/>
                            <w:sz w:val="16"/>
                          </w:rPr>
                        </w:pPr>
                        <w:r>
                          <w:rPr>
                            <w:rFonts w:ascii="Arial"/>
                            <w:sz w:val="16"/>
                          </w:rPr>
                          <w:t>59,55</w:t>
                        </w:r>
                      </w:p>
                    </w:tc>
                    <w:tc>
                      <w:tcPr>
                        <w:tcW w:w="212" w:type="dxa"/>
                      </w:tcPr>
                      <w:p>
                        <w:pPr/>
                      </w:p>
                    </w:tc>
                    <w:tc>
                      <w:tcPr>
                        <w:tcW w:w="1224" w:type="dxa"/>
                        <w:tcBorders>
                          <w:right w:val="single" w:sz="5" w:space="0" w:color="000000"/>
                        </w:tcBorders>
                      </w:tcPr>
                      <w:p>
                        <w:pPr/>
                      </w:p>
                    </w:tc>
                    <w:tc>
                      <w:tcPr>
                        <w:tcW w:w="168" w:type="dxa"/>
                        <w:tcBorders>
                          <w:left w:val="single" w:sz="5" w:space="0" w:color="000000"/>
                          <w:right w:val="single" w:sz="5" w:space="0" w:color="000000"/>
                        </w:tcBorders>
                      </w:tcPr>
                      <w:p>
                        <w:pPr/>
                      </w:p>
                    </w:tc>
                    <w:tc>
                      <w:tcPr>
                        <w:tcW w:w="384" w:type="dxa"/>
                        <w:tcBorders>
                          <w:left w:val="single" w:sz="5" w:space="0" w:color="000000"/>
                        </w:tcBorders>
                      </w:tcPr>
                      <w:p>
                        <w:pPr/>
                      </w:p>
                    </w:tc>
                    <w:tc>
                      <w:tcPr>
                        <w:tcW w:w="192" w:type="dxa"/>
                      </w:tcPr>
                      <w:p>
                        <w:pPr/>
                      </w:p>
                    </w:tc>
                    <w:tc>
                      <w:tcPr>
                        <w:tcW w:w="384" w:type="dxa"/>
                        <w:tcBorders>
                          <w:right w:val="single" w:sz="5" w:space="0" w:color="000000"/>
                        </w:tcBorders>
                      </w:tcPr>
                      <w:p>
                        <w:pPr/>
                      </w:p>
                    </w:tc>
                    <w:tc>
                      <w:tcPr>
                        <w:tcW w:w="180" w:type="dxa"/>
                        <w:tcBorders>
                          <w:left w:val="single" w:sz="5" w:space="0" w:color="000000"/>
                          <w:right w:val="single" w:sz="5" w:space="0" w:color="000000"/>
                        </w:tcBorders>
                      </w:tcPr>
                      <w:p>
                        <w:pPr/>
                      </w:p>
                    </w:tc>
                    <w:tc>
                      <w:tcPr>
                        <w:tcW w:w="1936" w:type="dxa"/>
                        <w:tcBorders>
                          <w:top w:val="single" w:sz="4" w:space="0" w:color="000000"/>
                          <w:left w:val="single" w:sz="5" w:space="0" w:color="000000"/>
                          <w:bottom w:val="single" w:sz="4" w:space="0" w:color="000000"/>
                        </w:tcBorders>
                      </w:tcPr>
                      <w:p>
                        <w:pPr>
                          <w:pStyle w:val="TableParagraph"/>
                          <w:spacing w:line="180" w:lineRule="exact" w:before="0"/>
                          <w:ind w:left="904" w:right="0"/>
                          <w:jc w:val="left"/>
                          <w:rPr>
                            <w:rFonts w:ascii="Arial"/>
                            <w:sz w:val="10"/>
                          </w:rPr>
                        </w:pPr>
                        <w:r>
                          <w:rPr>
                            <w:rFonts w:ascii="Arial"/>
                            <w:sz w:val="16"/>
                          </w:rPr>
                          <w:t>N-NO </w:t>
                        </w:r>
                        <w:r>
                          <w:rPr>
                            <w:rFonts w:ascii="Arial"/>
                            <w:position w:val="8"/>
                            <w:sz w:val="10"/>
                          </w:rPr>
                          <w:t>-</w:t>
                        </w:r>
                      </w:p>
                    </w:tc>
                    <w:tc>
                      <w:tcPr>
                        <w:tcW w:w="970" w:type="dxa"/>
                        <w:tcBorders>
                          <w:top w:val="single" w:sz="4" w:space="0" w:color="000000"/>
                          <w:bottom w:val="single" w:sz="4" w:space="0" w:color="000000"/>
                        </w:tcBorders>
                      </w:tcPr>
                      <w:p>
                        <w:pPr>
                          <w:pStyle w:val="TableParagraph"/>
                          <w:spacing w:line="180" w:lineRule="exact" w:before="0"/>
                          <w:ind w:right="103"/>
                          <w:rPr>
                            <w:rFonts w:ascii="Arial"/>
                            <w:sz w:val="16"/>
                          </w:rPr>
                        </w:pPr>
                        <w:r>
                          <w:rPr>
                            <w:rFonts w:ascii="Arial"/>
                            <w:sz w:val="16"/>
                          </w:rPr>
                          <w:t>0,0031</w:t>
                        </w:r>
                      </w:p>
                    </w:tc>
                    <w:tc>
                      <w:tcPr>
                        <w:tcW w:w="710" w:type="dxa"/>
                        <w:tcBorders>
                          <w:top w:val="single" w:sz="4" w:space="0" w:color="000000"/>
                          <w:bottom w:val="single" w:sz="4" w:space="0" w:color="000000"/>
                        </w:tcBorders>
                      </w:tcPr>
                      <w:p>
                        <w:pPr>
                          <w:pStyle w:val="TableParagraph"/>
                          <w:spacing w:line="180" w:lineRule="exact" w:before="0"/>
                          <w:ind w:right="108"/>
                          <w:rPr>
                            <w:rFonts w:ascii="Arial"/>
                            <w:sz w:val="16"/>
                          </w:rPr>
                        </w:pPr>
                        <w:r>
                          <w:rPr>
                            <w:rFonts w:ascii="Arial"/>
                            <w:sz w:val="16"/>
                          </w:rPr>
                          <w:t>58,41</w:t>
                        </w:r>
                      </w:p>
                    </w:tc>
                    <w:tc>
                      <w:tcPr>
                        <w:tcW w:w="708" w:type="dxa"/>
                        <w:tcBorders>
                          <w:top w:val="single" w:sz="4" w:space="0" w:color="000000"/>
                          <w:bottom w:val="single" w:sz="4" w:space="0" w:color="000000"/>
                        </w:tcBorders>
                      </w:tcPr>
                      <w:p>
                        <w:pPr>
                          <w:pStyle w:val="TableParagraph"/>
                          <w:spacing w:line="180" w:lineRule="exact" w:before="0"/>
                          <w:ind w:right="106"/>
                          <w:rPr>
                            <w:rFonts w:ascii="Arial"/>
                            <w:sz w:val="16"/>
                          </w:rPr>
                        </w:pPr>
                        <w:r>
                          <w:rPr>
                            <w:rFonts w:ascii="Arial"/>
                            <w:sz w:val="16"/>
                          </w:rPr>
                          <w:t>59,13</w:t>
                        </w:r>
                      </w:p>
                    </w:tc>
                  </w:tr>
                  <w:tr>
                    <w:trPr>
                      <w:trHeight w:val="194" w:hRule="exact"/>
                    </w:trPr>
                    <w:tc>
                      <w:tcPr>
                        <w:tcW w:w="1095" w:type="dxa"/>
                      </w:tcPr>
                      <w:p>
                        <w:pPr>
                          <w:pStyle w:val="TableParagraph"/>
                          <w:spacing w:before="3"/>
                          <w:ind w:left="70" w:right="0"/>
                          <w:jc w:val="left"/>
                          <w:rPr>
                            <w:rFonts w:ascii="Arial"/>
                            <w:sz w:val="16"/>
                          </w:rPr>
                        </w:pPr>
                        <w:r>
                          <w:rPr>
                            <w:rFonts w:ascii="Arial"/>
                            <w:sz w:val="16"/>
                          </w:rPr>
                          <w:t>DQO</w:t>
                        </w:r>
                      </w:p>
                    </w:tc>
                    <w:tc>
                      <w:tcPr>
                        <w:tcW w:w="970" w:type="dxa"/>
                      </w:tcPr>
                      <w:p>
                        <w:pPr>
                          <w:pStyle w:val="TableParagraph"/>
                          <w:spacing w:before="3"/>
                          <w:ind w:right="105"/>
                          <w:rPr>
                            <w:rFonts w:ascii="Arial"/>
                            <w:sz w:val="16"/>
                          </w:rPr>
                        </w:pPr>
                        <w:r>
                          <w:rPr>
                            <w:rFonts w:ascii="Arial"/>
                            <w:sz w:val="16"/>
                          </w:rPr>
                          <w:t>0,0084</w:t>
                        </w:r>
                      </w:p>
                    </w:tc>
                    <w:tc>
                      <w:tcPr>
                        <w:tcW w:w="710" w:type="dxa"/>
                      </w:tcPr>
                      <w:p>
                        <w:pPr>
                          <w:pStyle w:val="TableParagraph"/>
                          <w:spacing w:before="3"/>
                          <w:ind w:left="178" w:right="90"/>
                          <w:jc w:val="center"/>
                          <w:rPr>
                            <w:rFonts w:ascii="Arial"/>
                            <w:sz w:val="16"/>
                          </w:rPr>
                        </w:pPr>
                        <w:r>
                          <w:rPr>
                            <w:rFonts w:ascii="Arial"/>
                            <w:sz w:val="16"/>
                          </w:rPr>
                          <w:t>43,09</w:t>
                        </w:r>
                      </w:p>
                    </w:tc>
                    <w:tc>
                      <w:tcPr>
                        <w:tcW w:w="708" w:type="dxa"/>
                      </w:tcPr>
                      <w:p>
                        <w:pPr>
                          <w:pStyle w:val="TableParagraph"/>
                          <w:spacing w:before="3"/>
                          <w:ind w:left="175" w:right="90"/>
                          <w:jc w:val="center"/>
                          <w:rPr>
                            <w:rFonts w:ascii="Arial"/>
                            <w:sz w:val="16"/>
                          </w:rPr>
                        </w:pPr>
                        <w:r>
                          <w:rPr>
                            <w:rFonts w:ascii="Arial"/>
                            <w:sz w:val="16"/>
                          </w:rPr>
                          <w:t>44,53</w:t>
                        </w:r>
                      </w:p>
                    </w:tc>
                    <w:tc>
                      <w:tcPr>
                        <w:tcW w:w="212" w:type="dxa"/>
                      </w:tcPr>
                      <w:p>
                        <w:pPr/>
                      </w:p>
                    </w:tc>
                    <w:tc>
                      <w:tcPr>
                        <w:tcW w:w="1224" w:type="dxa"/>
                        <w:tcBorders>
                          <w:right w:val="single" w:sz="5" w:space="0" w:color="000000"/>
                        </w:tcBorders>
                      </w:tcPr>
                      <w:p>
                        <w:pPr/>
                      </w:p>
                    </w:tc>
                    <w:tc>
                      <w:tcPr>
                        <w:tcW w:w="168"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92"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80" w:type="dxa"/>
                        <w:tcBorders>
                          <w:left w:val="single" w:sz="5" w:space="0" w:color="000000"/>
                          <w:right w:val="single" w:sz="5" w:space="0" w:color="000000"/>
                        </w:tcBorders>
                      </w:tcPr>
                      <w:p>
                        <w:pPr/>
                      </w:p>
                    </w:tc>
                    <w:tc>
                      <w:tcPr>
                        <w:tcW w:w="1936" w:type="dxa"/>
                        <w:tcBorders>
                          <w:top w:val="single" w:sz="4" w:space="0" w:color="000000"/>
                          <w:left w:val="single" w:sz="5" w:space="0" w:color="000000"/>
                          <w:bottom w:val="single" w:sz="4" w:space="0" w:color="000000"/>
                        </w:tcBorders>
                      </w:tcPr>
                      <w:p>
                        <w:pPr>
                          <w:pStyle w:val="TableParagraph"/>
                          <w:spacing w:line="183" w:lineRule="exact" w:before="0"/>
                          <w:ind w:left="904" w:right="0"/>
                          <w:jc w:val="left"/>
                          <w:rPr>
                            <w:rFonts w:ascii="Arial"/>
                            <w:sz w:val="16"/>
                          </w:rPr>
                        </w:pPr>
                        <w:r>
                          <w:rPr>
                            <w:rFonts w:ascii="Arial"/>
                            <w:sz w:val="16"/>
                          </w:rPr>
                          <w:t>DQO</w:t>
                        </w:r>
                      </w:p>
                    </w:tc>
                    <w:tc>
                      <w:tcPr>
                        <w:tcW w:w="970" w:type="dxa"/>
                        <w:tcBorders>
                          <w:top w:val="single" w:sz="4" w:space="0" w:color="000000"/>
                          <w:bottom w:val="single" w:sz="4" w:space="0" w:color="000000"/>
                        </w:tcBorders>
                      </w:tcPr>
                      <w:p>
                        <w:pPr>
                          <w:pStyle w:val="TableParagraph"/>
                          <w:spacing w:line="183" w:lineRule="exact" w:before="0"/>
                          <w:ind w:right="103"/>
                          <w:rPr>
                            <w:rFonts w:ascii="Arial"/>
                            <w:sz w:val="16"/>
                          </w:rPr>
                        </w:pPr>
                        <w:r>
                          <w:rPr>
                            <w:rFonts w:ascii="Arial"/>
                            <w:sz w:val="16"/>
                          </w:rPr>
                          <w:t>0,0079</w:t>
                        </w:r>
                      </w:p>
                    </w:tc>
                    <w:tc>
                      <w:tcPr>
                        <w:tcW w:w="710" w:type="dxa"/>
                        <w:tcBorders>
                          <w:top w:val="single" w:sz="4" w:space="0" w:color="000000"/>
                          <w:bottom w:val="single" w:sz="4" w:space="0" w:color="000000"/>
                        </w:tcBorders>
                      </w:tcPr>
                      <w:p>
                        <w:pPr>
                          <w:pStyle w:val="TableParagraph"/>
                          <w:spacing w:line="183" w:lineRule="exact" w:before="0"/>
                          <w:ind w:right="108"/>
                          <w:rPr>
                            <w:rFonts w:ascii="Arial"/>
                            <w:sz w:val="16"/>
                          </w:rPr>
                        </w:pPr>
                        <w:r>
                          <w:rPr>
                            <w:rFonts w:ascii="Arial"/>
                            <w:sz w:val="16"/>
                          </w:rPr>
                          <w:t>50,79</w:t>
                        </w:r>
                      </w:p>
                    </w:tc>
                    <w:tc>
                      <w:tcPr>
                        <w:tcW w:w="708" w:type="dxa"/>
                        <w:tcBorders>
                          <w:top w:val="single" w:sz="4" w:space="0" w:color="000000"/>
                          <w:bottom w:val="single" w:sz="4" w:space="0" w:color="000000"/>
                        </w:tcBorders>
                      </w:tcPr>
                      <w:p>
                        <w:pPr>
                          <w:pStyle w:val="TableParagraph"/>
                          <w:spacing w:line="183" w:lineRule="exact" w:before="0"/>
                          <w:ind w:right="106"/>
                          <w:rPr>
                            <w:rFonts w:ascii="Arial"/>
                            <w:sz w:val="16"/>
                          </w:rPr>
                        </w:pPr>
                        <w:r>
                          <w:rPr>
                            <w:rFonts w:ascii="Arial"/>
                            <w:sz w:val="16"/>
                          </w:rPr>
                          <w:t>52,37</w:t>
                        </w:r>
                      </w:p>
                    </w:tc>
                  </w:tr>
                  <w:tr>
                    <w:trPr>
                      <w:trHeight w:val="194" w:hRule="exact"/>
                    </w:trPr>
                    <w:tc>
                      <w:tcPr>
                        <w:tcW w:w="1095" w:type="dxa"/>
                      </w:tcPr>
                      <w:p>
                        <w:pPr>
                          <w:pStyle w:val="TableParagraph"/>
                          <w:spacing w:before="1"/>
                          <w:ind w:left="70" w:right="0"/>
                          <w:jc w:val="left"/>
                          <w:rPr>
                            <w:rFonts w:ascii="Arial"/>
                            <w:sz w:val="16"/>
                          </w:rPr>
                        </w:pPr>
                        <w:r>
                          <w:rPr>
                            <w:rFonts w:ascii="Arial"/>
                            <w:sz w:val="16"/>
                          </w:rPr>
                          <w:t>SST</w:t>
                        </w:r>
                      </w:p>
                    </w:tc>
                    <w:tc>
                      <w:tcPr>
                        <w:tcW w:w="970" w:type="dxa"/>
                      </w:tcPr>
                      <w:p>
                        <w:pPr>
                          <w:pStyle w:val="TableParagraph"/>
                          <w:spacing w:before="1"/>
                          <w:ind w:right="105"/>
                          <w:rPr>
                            <w:rFonts w:ascii="Arial"/>
                            <w:sz w:val="16"/>
                          </w:rPr>
                        </w:pPr>
                        <w:r>
                          <w:rPr>
                            <w:rFonts w:ascii="Arial"/>
                            <w:sz w:val="16"/>
                          </w:rPr>
                          <w:t>0,016</w:t>
                        </w:r>
                      </w:p>
                    </w:tc>
                    <w:tc>
                      <w:tcPr>
                        <w:tcW w:w="710" w:type="dxa"/>
                      </w:tcPr>
                      <w:p>
                        <w:pPr>
                          <w:pStyle w:val="TableParagraph"/>
                          <w:spacing w:before="1"/>
                          <w:ind w:left="178" w:right="1"/>
                          <w:jc w:val="center"/>
                          <w:rPr>
                            <w:rFonts w:ascii="Arial"/>
                            <w:sz w:val="16"/>
                          </w:rPr>
                        </w:pPr>
                        <w:r>
                          <w:rPr>
                            <w:rFonts w:ascii="Arial"/>
                            <w:sz w:val="16"/>
                          </w:rPr>
                          <w:t>1,99</w:t>
                        </w:r>
                      </w:p>
                    </w:tc>
                    <w:tc>
                      <w:tcPr>
                        <w:tcW w:w="708" w:type="dxa"/>
                      </w:tcPr>
                      <w:p>
                        <w:pPr>
                          <w:pStyle w:val="TableParagraph"/>
                          <w:spacing w:before="1"/>
                          <w:ind w:left="175" w:right="0"/>
                          <w:jc w:val="center"/>
                          <w:rPr>
                            <w:rFonts w:ascii="Arial"/>
                            <w:sz w:val="16"/>
                          </w:rPr>
                        </w:pPr>
                        <w:r>
                          <w:rPr>
                            <w:rFonts w:ascii="Arial"/>
                            <w:sz w:val="16"/>
                          </w:rPr>
                          <w:t>2,12</w:t>
                        </w:r>
                      </w:p>
                    </w:tc>
                    <w:tc>
                      <w:tcPr>
                        <w:tcW w:w="212" w:type="dxa"/>
                      </w:tcPr>
                      <w:p>
                        <w:pPr/>
                      </w:p>
                    </w:tc>
                    <w:tc>
                      <w:tcPr>
                        <w:tcW w:w="1224" w:type="dxa"/>
                        <w:tcBorders>
                          <w:right w:val="single" w:sz="5" w:space="0" w:color="000000"/>
                        </w:tcBorders>
                      </w:tcPr>
                      <w:p>
                        <w:pPr/>
                      </w:p>
                    </w:tc>
                    <w:tc>
                      <w:tcPr>
                        <w:tcW w:w="168"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92"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80" w:type="dxa"/>
                        <w:tcBorders>
                          <w:left w:val="single" w:sz="5" w:space="0" w:color="000000"/>
                          <w:right w:val="single" w:sz="5" w:space="0" w:color="000000"/>
                        </w:tcBorders>
                      </w:tcPr>
                      <w:p>
                        <w:pPr/>
                      </w:p>
                    </w:tc>
                    <w:tc>
                      <w:tcPr>
                        <w:tcW w:w="1936" w:type="dxa"/>
                        <w:tcBorders>
                          <w:top w:val="single" w:sz="4" w:space="0" w:color="000000"/>
                          <w:left w:val="single" w:sz="5" w:space="0" w:color="000000"/>
                          <w:bottom w:val="single" w:sz="4" w:space="0" w:color="000000"/>
                        </w:tcBorders>
                      </w:tcPr>
                      <w:p>
                        <w:pPr>
                          <w:pStyle w:val="TableParagraph"/>
                          <w:spacing w:line="180" w:lineRule="exact" w:before="0"/>
                          <w:ind w:left="904" w:right="0"/>
                          <w:jc w:val="left"/>
                          <w:rPr>
                            <w:rFonts w:ascii="Arial"/>
                            <w:sz w:val="16"/>
                          </w:rPr>
                        </w:pPr>
                        <w:r>
                          <w:rPr>
                            <w:rFonts w:ascii="Arial"/>
                            <w:sz w:val="16"/>
                          </w:rPr>
                          <w:t>SST</w:t>
                        </w:r>
                      </w:p>
                    </w:tc>
                    <w:tc>
                      <w:tcPr>
                        <w:tcW w:w="970" w:type="dxa"/>
                        <w:tcBorders>
                          <w:top w:val="single" w:sz="4" w:space="0" w:color="000000"/>
                          <w:bottom w:val="single" w:sz="4" w:space="0" w:color="000000"/>
                        </w:tcBorders>
                      </w:tcPr>
                      <w:p>
                        <w:pPr>
                          <w:pStyle w:val="TableParagraph"/>
                          <w:spacing w:line="180" w:lineRule="exact" w:before="0"/>
                          <w:ind w:right="103"/>
                          <w:rPr>
                            <w:rFonts w:ascii="Arial"/>
                            <w:sz w:val="16"/>
                          </w:rPr>
                        </w:pPr>
                        <w:r>
                          <w:rPr>
                            <w:rFonts w:ascii="Arial"/>
                            <w:sz w:val="16"/>
                          </w:rPr>
                          <w:t>0,007</w:t>
                        </w:r>
                      </w:p>
                    </w:tc>
                    <w:tc>
                      <w:tcPr>
                        <w:tcW w:w="710" w:type="dxa"/>
                        <w:tcBorders>
                          <w:top w:val="single" w:sz="4" w:space="0" w:color="000000"/>
                          <w:bottom w:val="single" w:sz="4" w:space="0" w:color="000000"/>
                        </w:tcBorders>
                      </w:tcPr>
                      <w:p>
                        <w:pPr>
                          <w:pStyle w:val="TableParagraph"/>
                          <w:spacing w:line="180" w:lineRule="exact" w:before="0"/>
                          <w:ind w:right="108"/>
                          <w:rPr>
                            <w:rFonts w:ascii="Arial"/>
                            <w:sz w:val="16"/>
                          </w:rPr>
                        </w:pPr>
                        <w:r>
                          <w:rPr>
                            <w:rFonts w:ascii="Arial"/>
                            <w:sz w:val="16"/>
                          </w:rPr>
                          <w:t>3,59</w:t>
                        </w:r>
                      </w:p>
                    </w:tc>
                    <w:tc>
                      <w:tcPr>
                        <w:tcW w:w="708" w:type="dxa"/>
                        <w:tcBorders>
                          <w:top w:val="single" w:sz="4" w:space="0" w:color="000000"/>
                          <w:bottom w:val="single" w:sz="4" w:space="0" w:color="000000"/>
                        </w:tcBorders>
                      </w:tcPr>
                      <w:p>
                        <w:pPr>
                          <w:pStyle w:val="TableParagraph"/>
                          <w:spacing w:line="180" w:lineRule="exact" w:before="0"/>
                          <w:ind w:right="105"/>
                          <w:rPr>
                            <w:rFonts w:ascii="Arial"/>
                            <w:sz w:val="16"/>
                          </w:rPr>
                        </w:pPr>
                        <w:r>
                          <w:rPr>
                            <w:rFonts w:ascii="Arial"/>
                            <w:sz w:val="16"/>
                          </w:rPr>
                          <w:t>3,69</w:t>
                        </w:r>
                      </w:p>
                    </w:tc>
                  </w:tr>
                  <w:tr>
                    <w:trPr>
                      <w:trHeight w:val="194" w:hRule="exact"/>
                    </w:trPr>
                    <w:tc>
                      <w:tcPr>
                        <w:tcW w:w="1095" w:type="dxa"/>
                      </w:tcPr>
                      <w:p>
                        <w:pPr>
                          <w:pStyle w:val="TableParagraph"/>
                          <w:spacing w:before="1"/>
                          <w:ind w:left="70" w:right="0"/>
                          <w:jc w:val="left"/>
                          <w:rPr>
                            <w:rFonts w:ascii="Arial"/>
                            <w:sz w:val="16"/>
                          </w:rPr>
                        </w:pPr>
                        <w:r>
                          <w:rPr>
                            <w:rFonts w:ascii="Arial"/>
                            <w:sz w:val="16"/>
                          </w:rPr>
                          <w:t>Alcalinidad*</w:t>
                        </w:r>
                      </w:p>
                    </w:tc>
                    <w:tc>
                      <w:tcPr>
                        <w:tcW w:w="970" w:type="dxa"/>
                      </w:tcPr>
                      <w:p>
                        <w:pPr>
                          <w:pStyle w:val="TableParagraph"/>
                          <w:spacing w:before="1"/>
                          <w:ind w:right="106"/>
                          <w:rPr>
                            <w:rFonts w:ascii="Arial"/>
                            <w:sz w:val="16"/>
                          </w:rPr>
                        </w:pPr>
                        <w:r>
                          <w:rPr>
                            <w:rFonts w:ascii="Arial"/>
                            <w:sz w:val="16"/>
                          </w:rPr>
                          <w:t>0,012</w:t>
                        </w:r>
                      </w:p>
                    </w:tc>
                    <w:tc>
                      <w:tcPr>
                        <w:tcW w:w="710" w:type="dxa"/>
                      </w:tcPr>
                      <w:p>
                        <w:pPr>
                          <w:pStyle w:val="TableParagraph"/>
                          <w:spacing w:before="1"/>
                          <w:ind w:left="178" w:right="91"/>
                          <w:jc w:val="center"/>
                          <w:rPr>
                            <w:rFonts w:ascii="Arial"/>
                            <w:sz w:val="16"/>
                          </w:rPr>
                        </w:pPr>
                        <w:r>
                          <w:rPr>
                            <w:rFonts w:ascii="Arial"/>
                            <w:sz w:val="16"/>
                          </w:rPr>
                          <w:t>45,02</w:t>
                        </w:r>
                      </w:p>
                    </w:tc>
                    <w:tc>
                      <w:tcPr>
                        <w:tcW w:w="708" w:type="dxa"/>
                      </w:tcPr>
                      <w:p>
                        <w:pPr>
                          <w:pStyle w:val="TableParagraph"/>
                          <w:spacing w:before="1"/>
                          <w:ind w:left="174" w:right="90"/>
                          <w:jc w:val="center"/>
                          <w:rPr>
                            <w:rFonts w:ascii="Arial"/>
                            <w:sz w:val="16"/>
                          </w:rPr>
                        </w:pPr>
                        <w:r>
                          <w:rPr>
                            <w:rFonts w:ascii="Arial"/>
                            <w:sz w:val="16"/>
                          </w:rPr>
                          <w:t>47,20</w:t>
                        </w:r>
                      </w:p>
                    </w:tc>
                    <w:tc>
                      <w:tcPr>
                        <w:tcW w:w="212" w:type="dxa"/>
                      </w:tcPr>
                      <w:p>
                        <w:pPr/>
                      </w:p>
                    </w:tc>
                    <w:tc>
                      <w:tcPr>
                        <w:tcW w:w="1224" w:type="dxa"/>
                        <w:tcBorders>
                          <w:right w:val="single" w:sz="5" w:space="0" w:color="000000"/>
                        </w:tcBorders>
                      </w:tcPr>
                      <w:p>
                        <w:pPr/>
                      </w:p>
                    </w:tc>
                    <w:tc>
                      <w:tcPr>
                        <w:tcW w:w="168"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92"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80" w:type="dxa"/>
                        <w:tcBorders>
                          <w:left w:val="single" w:sz="5" w:space="0" w:color="000000"/>
                          <w:right w:val="single" w:sz="5" w:space="0" w:color="000000"/>
                        </w:tcBorders>
                      </w:tcPr>
                      <w:p>
                        <w:pPr/>
                      </w:p>
                    </w:tc>
                    <w:tc>
                      <w:tcPr>
                        <w:tcW w:w="1936" w:type="dxa"/>
                        <w:tcBorders>
                          <w:top w:val="single" w:sz="4" w:space="0" w:color="000000"/>
                          <w:left w:val="single" w:sz="5" w:space="0" w:color="000000"/>
                          <w:bottom w:val="single" w:sz="4" w:space="0" w:color="000000"/>
                        </w:tcBorders>
                      </w:tcPr>
                      <w:p>
                        <w:pPr>
                          <w:pStyle w:val="TableParagraph"/>
                          <w:spacing w:line="180" w:lineRule="exact" w:before="0"/>
                          <w:ind w:left="904" w:right="0"/>
                          <w:jc w:val="left"/>
                          <w:rPr>
                            <w:rFonts w:ascii="Arial"/>
                            <w:sz w:val="16"/>
                          </w:rPr>
                        </w:pPr>
                        <w:r>
                          <w:rPr>
                            <w:rFonts w:ascii="Arial"/>
                            <w:sz w:val="16"/>
                          </w:rPr>
                          <w:t>Alcalinidad*</w:t>
                        </w:r>
                      </w:p>
                    </w:tc>
                    <w:tc>
                      <w:tcPr>
                        <w:tcW w:w="970" w:type="dxa"/>
                        <w:tcBorders>
                          <w:top w:val="single" w:sz="4" w:space="0" w:color="000000"/>
                          <w:bottom w:val="single" w:sz="4" w:space="0" w:color="000000"/>
                        </w:tcBorders>
                      </w:tcPr>
                      <w:p>
                        <w:pPr>
                          <w:pStyle w:val="TableParagraph"/>
                          <w:spacing w:line="180" w:lineRule="exact" w:before="0"/>
                          <w:ind w:right="103"/>
                          <w:rPr>
                            <w:rFonts w:ascii="Arial"/>
                            <w:sz w:val="16"/>
                          </w:rPr>
                        </w:pPr>
                        <w:r>
                          <w:rPr>
                            <w:rFonts w:ascii="Arial"/>
                            <w:sz w:val="16"/>
                          </w:rPr>
                          <w:t>0,01</w:t>
                        </w:r>
                      </w:p>
                    </w:tc>
                    <w:tc>
                      <w:tcPr>
                        <w:tcW w:w="710" w:type="dxa"/>
                        <w:tcBorders>
                          <w:top w:val="single" w:sz="4" w:space="0" w:color="000000"/>
                          <w:bottom w:val="single" w:sz="4" w:space="0" w:color="000000"/>
                        </w:tcBorders>
                      </w:tcPr>
                      <w:p>
                        <w:pPr>
                          <w:pStyle w:val="TableParagraph"/>
                          <w:spacing w:line="180" w:lineRule="exact" w:before="0"/>
                          <w:ind w:right="108"/>
                          <w:rPr>
                            <w:rFonts w:ascii="Arial"/>
                            <w:sz w:val="16"/>
                          </w:rPr>
                        </w:pPr>
                        <w:r>
                          <w:rPr>
                            <w:rFonts w:ascii="Arial"/>
                            <w:sz w:val="16"/>
                          </w:rPr>
                          <w:t>53,35</w:t>
                        </w:r>
                      </w:p>
                    </w:tc>
                    <w:tc>
                      <w:tcPr>
                        <w:tcW w:w="708" w:type="dxa"/>
                        <w:tcBorders>
                          <w:top w:val="single" w:sz="4" w:space="0" w:color="000000"/>
                          <w:bottom w:val="single" w:sz="4" w:space="0" w:color="000000"/>
                        </w:tcBorders>
                      </w:tcPr>
                      <w:p>
                        <w:pPr>
                          <w:pStyle w:val="TableParagraph"/>
                          <w:spacing w:line="180" w:lineRule="exact" w:before="0"/>
                          <w:ind w:right="106"/>
                          <w:rPr>
                            <w:rFonts w:ascii="Arial"/>
                            <w:sz w:val="16"/>
                          </w:rPr>
                        </w:pPr>
                        <w:r>
                          <w:rPr>
                            <w:rFonts w:ascii="Arial"/>
                            <w:sz w:val="16"/>
                          </w:rPr>
                          <w:t>55,57</w:t>
                        </w:r>
                      </w:p>
                    </w:tc>
                  </w:tr>
                  <w:tr>
                    <w:trPr>
                      <w:trHeight w:val="194" w:hRule="exact"/>
                    </w:trPr>
                    <w:tc>
                      <w:tcPr>
                        <w:tcW w:w="1095" w:type="dxa"/>
                      </w:tcPr>
                      <w:p>
                        <w:pPr>
                          <w:pStyle w:val="TableParagraph"/>
                          <w:spacing w:before="1"/>
                          <w:ind w:left="70" w:right="0"/>
                          <w:jc w:val="left"/>
                          <w:rPr>
                            <w:rFonts w:ascii="Arial"/>
                            <w:sz w:val="16"/>
                          </w:rPr>
                        </w:pPr>
                        <w:r>
                          <w:rPr>
                            <w:rFonts w:ascii="Arial"/>
                            <w:sz w:val="16"/>
                          </w:rPr>
                          <w:t>Temperatura</w:t>
                        </w:r>
                      </w:p>
                    </w:tc>
                    <w:tc>
                      <w:tcPr>
                        <w:tcW w:w="970" w:type="dxa"/>
                      </w:tcPr>
                      <w:p>
                        <w:pPr>
                          <w:pStyle w:val="TableParagraph"/>
                          <w:spacing w:before="1"/>
                          <w:ind w:right="106"/>
                          <w:rPr>
                            <w:rFonts w:ascii="Arial"/>
                            <w:sz w:val="16"/>
                          </w:rPr>
                        </w:pPr>
                        <w:r>
                          <w:rPr>
                            <w:rFonts w:ascii="Arial"/>
                            <w:sz w:val="16"/>
                          </w:rPr>
                          <w:t>0,007</w:t>
                        </w:r>
                      </w:p>
                    </w:tc>
                    <w:tc>
                      <w:tcPr>
                        <w:tcW w:w="710" w:type="dxa"/>
                      </w:tcPr>
                      <w:p>
                        <w:pPr>
                          <w:pStyle w:val="TableParagraph"/>
                          <w:spacing w:before="1"/>
                          <w:ind w:left="178" w:right="91"/>
                          <w:jc w:val="center"/>
                          <w:rPr>
                            <w:rFonts w:ascii="Arial"/>
                            <w:sz w:val="16"/>
                          </w:rPr>
                        </w:pPr>
                        <w:r>
                          <w:rPr>
                            <w:rFonts w:ascii="Arial"/>
                            <w:sz w:val="16"/>
                          </w:rPr>
                          <w:t>16,53</w:t>
                        </w:r>
                      </w:p>
                    </w:tc>
                    <w:tc>
                      <w:tcPr>
                        <w:tcW w:w="708" w:type="dxa"/>
                      </w:tcPr>
                      <w:p>
                        <w:pPr>
                          <w:pStyle w:val="TableParagraph"/>
                          <w:spacing w:before="1"/>
                          <w:ind w:left="175" w:right="90"/>
                          <w:jc w:val="center"/>
                          <w:rPr>
                            <w:rFonts w:ascii="Arial"/>
                            <w:sz w:val="16"/>
                          </w:rPr>
                        </w:pPr>
                        <w:r>
                          <w:rPr>
                            <w:rFonts w:ascii="Arial"/>
                            <w:sz w:val="16"/>
                          </w:rPr>
                          <w:t>17,01</w:t>
                        </w:r>
                      </w:p>
                    </w:tc>
                    <w:tc>
                      <w:tcPr>
                        <w:tcW w:w="212" w:type="dxa"/>
                      </w:tcPr>
                      <w:p>
                        <w:pPr/>
                      </w:p>
                    </w:tc>
                    <w:tc>
                      <w:tcPr>
                        <w:tcW w:w="1224" w:type="dxa"/>
                        <w:tcBorders>
                          <w:right w:val="single" w:sz="5" w:space="0" w:color="000000"/>
                        </w:tcBorders>
                      </w:tcPr>
                      <w:p>
                        <w:pPr/>
                      </w:p>
                    </w:tc>
                    <w:tc>
                      <w:tcPr>
                        <w:tcW w:w="168"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92"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80" w:type="dxa"/>
                        <w:tcBorders>
                          <w:left w:val="single" w:sz="5" w:space="0" w:color="000000"/>
                          <w:right w:val="single" w:sz="5" w:space="0" w:color="000000"/>
                        </w:tcBorders>
                      </w:tcPr>
                      <w:p>
                        <w:pPr/>
                      </w:p>
                    </w:tc>
                    <w:tc>
                      <w:tcPr>
                        <w:tcW w:w="1936" w:type="dxa"/>
                        <w:tcBorders>
                          <w:top w:val="single" w:sz="4" w:space="0" w:color="000000"/>
                          <w:left w:val="single" w:sz="5" w:space="0" w:color="000000"/>
                          <w:bottom w:val="single" w:sz="4" w:space="0" w:color="000000"/>
                        </w:tcBorders>
                      </w:tcPr>
                      <w:p>
                        <w:pPr>
                          <w:pStyle w:val="TableParagraph"/>
                          <w:spacing w:line="180" w:lineRule="exact" w:before="0"/>
                          <w:ind w:left="904" w:right="0"/>
                          <w:jc w:val="left"/>
                          <w:rPr>
                            <w:rFonts w:ascii="Arial"/>
                            <w:sz w:val="16"/>
                          </w:rPr>
                        </w:pPr>
                        <w:r>
                          <w:rPr>
                            <w:rFonts w:ascii="Arial"/>
                            <w:sz w:val="16"/>
                          </w:rPr>
                          <w:t>Temperatura</w:t>
                        </w:r>
                      </w:p>
                    </w:tc>
                    <w:tc>
                      <w:tcPr>
                        <w:tcW w:w="970" w:type="dxa"/>
                        <w:tcBorders>
                          <w:top w:val="single" w:sz="4" w:space="0" w:color="000000"/>
                          <w:bottom w:val="single" w:sz="4" w:space="0" w:color="000000"/>
                        </w:tcBorders>
                      </w:tcPr>
                      <w:p>
                        <w:pPr>
                          <w:pStyle w:val="TableParagraph"/>
                          <w:spacing w:line="180" w:lineRule="exact" w:before="0"/>
                          <w:ind w:right="103"/>
                          <w:rPr>
                            <w:rFonts w:ascii="Arial"/>
                            <w:sz w:val="16"/>
                          </w:rPr>
                        </w:pPr>
                        <w:r>
                          <w:rPr>
                            <w:rFonts w:ascii="Arial"/>
                            <w:sz w:val="16"/>
                          </w:rPr>
                          <w:t>0,007</w:t>
                        </w:r>
                      </w:p>
                    </w:tc>
                    <w:tc>
                      <w:tcPr>
                        <w:tcW w:w="710" w:type="dxa"/>
                        <w:tcBorders>
                          <w:top w:val="single" w:sz="4" w:space="0" w:color="000000"/>
                          <w:bottom w:val="single" w:sz="4" w:space="0" w:color="000000"/>
                        </w:tcBorders>
                      </w:tcPr>
                      <w:p>
                        <w:pPr>
                          <w:pStyle w:val="TableParagraph"/>
                          <w:spacing w:line="180" w:lineRule="exact" w:before="0"/>
                          <w:ind w:right="108"/>
                          <w:rPr>
                            <w:rFonts w:ascii="Arial"/>
                            <w:sz w:val="16"/>
                          </w:rPr>
                        </w:pPr>
                        <w:r>
                          <w:rPr>
                            <w:rFonts w:ascii="Arial"/>
                            <w:sz w:val="16"/>
                          </w:rPr>
                          <w:t>16,51</w:t>
                        </w:r>
                      </w:p>
                    </w:tc>
                    <w:tc>
                      <w:tcPr>
                        <w:tcW w:w="708" w:type="dxa"/>
                        <w:tcBorders>
                          <w:top w:val="single" w:sz="4" w:space="0" w:color="000000"/>
                          <w:bottom w:val="single" w:sz="4" w:space="0" w:color="000000"/>
                        </w:tcBorders>
                      </w:tcPr>
                      <w:p>
                        <w:pPr>
                          <w:pStyle w:val="TableParagraph"/>
                          <w:spacing w:line="180" w:lineRule="exact" w:before="0"/>
                          <w:ind w:right="106"/>
                          <w:rPr>
                            <w:rFonts w:ascii="Arial"/>
                            <w:sz w:val="16"/>
                          </w:rPr>
                        </w:pPr>
                        <w:r>
                          <w:rPr>
                            <w:rFonts w:ascii="Arial"/>
                            <w:sz w:val="16"/>
                          </w:rPr>
                          <w:t>17,00</w:t>
                        </w:r>
                      </w:p>
                    </w:tc>
                  </w:tr>
                  <w:tr>
                    <w:trPr>
                      <w:trHeight w:val="194" w:hRule="exact"/>
                    </w:trPr>
                    <w:tc>
                      <w:tcPr>
                        <w:tcW w:w="1095" w:type="dxa"/>
                      </w:tcPr>
                      <w:p>
                        <w:pPr>
                          <w:pStyle w:val="TableParagraph"/>
                          <w:spacing w:before="1"/>
                          <w:ind w:left="70" w:right="0"/>
                          <w:jc w:val="left"/>
                          <w:rPr>
                            <w:rFonts w:ascii="Arial"/>
                            <w:sz w:val="16"/>
                          </w:rPr>
                        </w:pPr>
                        <w:r>
                          <w:rPr>
                            <w:rFonts w:ascii="Arial"/>
                            <w:sz w:val="16"/>
                          </w:rPr>
                          <w:t>pH</w:t>
                        </w:r>
                      </w:p>
                    </w:tc>
                    <w:tc>
                      <w:tcPr>
                        <w:tcW w:w="970" w:type="dxa"/>
                      </w:tcPr>
                      <w:p>
                        <w:pPr>
                          <w:pStyle w:val="TableParagraph"/>
                          <w:spacing w:before="1"/>
                          <w:ind w:right="105"/>
                          <w:rPr>
                            <w:rFonts w:ascii="Arial"/>
                            <w:sz w:val="16"/>
                          </w:rPr>
                        </w:pPr>
                        <w:r>
                          <w:rPr>
                            <w:rFonts w:ascii="Arial"/>
                            <w:sz w:val="16"/>
                          </w:rPr>
                          <w:t>0,010</w:t>
                        </w:r>
                      </w:p>
                    </w:tc>
                    <w:tc>
                      <w:tcPr>
                        <w:tcW w:w="710" w:type="dxa"/>
                      </w:tcPr>
                      <w:p>
                        <w:pPr>
                          <w:pStyle w:val="TableParagraph"/>
                          <w:spacing w:before="1"/>
                          <w:ind w:left="178" w:right="1"/>
                          <w:jc w:val="center"/>
                          <w:rPr>
                            <w:rFonts w:ascii="Arial"/>
                            <w:sz w:val="16"/>
                          </w:rPr>
                        </w:pPr>
                        <w:r>
                          <w:rPr>
                            <w:rFonts w:ascii="Arial"/>
                            <w:sz w:val="16"/>
                          </w:rPr>
                          <w:t>6,85</w:t>
                        </w:r>
                      </w:p>
                    </w:tc>
                    <w:tc>
                      <w:tcPr>
                        <w:tcW w:w="708" w:type="dxa"/>
                      </w:tcPr>
                      <w:p>
                        <w:pPr>
                          <w:pStyle w:val="TableParagraph"/>
                          <w:spacing w:before="1"/>
                          <w:ind w:left="175" w:right="0"/>
                          <w:jc w:val="center"/>
                          <w:rPr>
                            <w:rFonts w:ascii="Arial"/>
                            <w:sz w:val="16"/>
                          </w:rPr>
                        </w:pPr>
                        <w:r>
                          <w:rPr>
                            <w:rFonts w:ascii="Arial"/>
                            <w:sz w:val="16"/>
                          </w:rPr>
                          <w:t>7,12</w:t>
                        </w:r>
                      </w:p>
                    </w:tc>
                    <w:tc>
                      <w:tcPr>
                        <w:tcW w:w="212" w:type="dxa"/>
                      </w:tcPr>
                      <w:p>
                        <w:pPr/>
                      </w:p>
                    </w:tc>
                    <w:tc>
                      <w:tcPr>
                        <w:tcW w:w="1224" w:type="dxa"/>
                        <w:tcBorders>
                          <w:right w:val="single" w:sz="5" w:space="0" w:color="000000"/>
                        </w:tcBorders>
                      </w:tcPr>
                      <w:p>
                        <w:pPr/>
                      </w:p>
                    </w:tc>
                    <w:tc>
                      <w:tcPr>
                        <w:tcW w:w="168"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92"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80" w:type="dxa"/>
                        <w:tcBorders>
                          <w:left w:val="single" w:sz="5" w:space="0" w:color="000000"/>
                          <w:right w:val="single" w:sz="5" w:space="0" w:color="000000"/>
                        </w:tcBorders>
                      </w:tcPr>
                      <w:p>
                        <w:pPr/>
                      </w:p>
                    </w:tc>
                    <w:tc>
                      <w:tcPr>
                        <w:tcW w:w="1936" w:type="dxa"/>
                        <w:tcBorders>
                          <w:top w:val="single" w:sz="4" w:space="0" w:color="000000"/>
                          <w:left w:val="single" w:sz="5" w:space="0" w:color="000000"/>
                          <w:bottom w:val="single" w:sz="4" w:space="0" w:color="000000"/>
                        </w:tcBorders>
                      </w:tcPr>
                      <w:p>
                        <w:pPr>
                          <w:pStyle w:val="TableParagraph"/>
                          <w:spacing w:line="180" w:lineRule="exact" w:before="0"/>
                          <w:ind w:left="904" w:right="0"/>
                          <w:jc w:val="left"/>
                          <w:rPr>
                            <w:rFonts w:ascii="Arial"/>
                            <w:sz w:val="16"/>
                          </w:rPr>
                        </w:pPr>
                        <w:r>
                          <w:rPr>
                            <w:rFonts w:ascii="Arial"/>
                            <w:sz w:val="16"/>
                          </w:rPr>
                          <w:t>pH</w:t>
                        </w:r>
                      </w:p>
                    </w:tc>
                    <w:tc>
                      <w:tcPr>
                        <w:tcW w:w="970" w:type="dxa"/>
                        <w:tcBorders>
                          <w:top w:val="single" w:sz="4" w:space="0" w:color="000000"/>
                          <w:bottom w:val="single" w:sz="4" w:space="0" w:color="000000"/>
                        </w:tcBorders>
                      </w:tcPr>
                      <w:p>
                        <w:pPr>
                          <w:pStyle w:val="TableParagraph"/>
                          <w:spacing w:line="180" w:lineRule="exact" w:before="0"/>
                          <w:ind w:right="103"/>
                          <w:rPr>
                            <w:rFonts w:ascii="Arial"/>
                            <w:sz w:val="16"/>
                          </w:rPr>
                        </w:pPr>
                        <w:r>
                          <w:rPr>
                            <w:rFonts w:ascii="Arial"/>
                            <w:sz w:val="16"/>
                          </w:rPr>
                          <w:t>0,01</w:t>
                        </w:r>
                      </w:p>
                    </w:tc>
                    <w:tc>
                      <w:tcPr>
                        <w:tcW w:w="710" w:type="dxa"/>
                        <w:tcBorders>
                          <w:top w:val="single" w:sz="4" w:space="0" w:color="000000"/>
                          <w:bottom w:val="single" w:sz="4" w:space="0" w:color="000000"/>
                        </w:tcBorders>
                      </w:tcPr>
                      <w:p>
                        <w:pPr>
                          <w:pStyle w:val="TableParagraph"/>
                          <w:spacing w:line="180" w:lineRule="exact" w:before="0"/>
                          <w:ind w:right="108"/>
                          <w:rPr>
                            <w:rFonts w:ascii="Arial"/>
                            <w:sz w:val="16"/>
                          </w:rPr>
                        </w:pPr>
                        <w:r>
                          <w:rPr>
                            <w:rFonts w:ascii="Arial"/>
                            <w:sz w:val="16"/>
                          </w:rPr>
                          <w:t>6,81</w:t>
                        </w:r>
                      </w:p>
                    </w:tc>
                    <w:tc>
                      <w:tcPr>
                        <w:tcW w:w="708" w:type="dxa"/>
                        <w:tcBorders>
                          <w:top w:val="single" w:sz="4" w:space="0" w:color="000000"/>
                          <w:bottom w:val="single" w:sz="4" w:space="0" w:color="000000"/>
                        </w:tcBorders>
                      </w:tcPr>
                      <w:p>
                        <w:pPr>
                          <w:pStyle w:val="TableParagraph"/>
                          <w:spacing w:line="180" w:lineRule="exact" w:before="0"/>
                          <w:ind w:right="105"/>
                          <w:rPr>
                            <w:rFonts w:ascii="Arial"/>
                            <w:sz w:val="16"/>
                          </w:rPr>
                        </w:pPr>
                        <w:r>
                          <w:rPr>
                            <w:rFonts w:ascii="Arial"/>
                            <w:sz w:val="16"/>
                          </w:rPr>
                          <w:t>7,09</w:t>
                        </w:r>
                      </w:p>
                    </w:tc>
                  </w:tr>
                  <w:tr>
                    <w:trPr>
                      <w:trHeight w:val="314" w:hRule="exact"/>
                    </w:trPr>
                    <w:tc>
                      <w:tcPr>
                        <w:tcW w:w="1095" w:type="dxa"/>
                      </w:tcPr>
                      <w:p>
                        <w:pPr>
                          <w:pStyle w:val="TableParagraph"/>
                          <w:spacing w:before="1"/>
                          <w:ind w:left="70" w:right="0"/>
                          <w:jc w:val="left"/>
                          <w:rPr>
                            <w:rFonts w:ascii="Arial"/>
                            <w:sz w:val="16"/>
                          </w:rPr>
                        </w:pPr>
                        <w:r>
                          <w:rPr>
                            <w:rFonts w:ascii="Arial"/>
                            <w:sz w:val="16"/>
                          </w:rPr>
                          <w:t>OD</w:t>
                        </w:r>
                      </w:p>
                    </w:tc>
                    <w:tc>
                      <w:tcPr>
                        <w:tcW w:w="970" w:type="dxa"/>
                      </w:tcPr>
                      <w:p>
                        <w:pPr>
                          <w:pStyle w:val="TableParagraph"/>
                          <w:spacing w:before="1"/>
                          <w:ind w:right="105"/>
                          <w:rPr>
                            <w:rFonts w:ascii="Arial"/>
                            <w:sz w:val="16"/>
                          </w:rPr>
                        </w:pPr>
                        <w:r>
                          <w:rPr>
                            <w:rFonts w:ascii="Arial"/>
                            <w:sz w:val="16"/>
                          </w:rPr>
                          <w:t>0,016</w:t>
                        </w:r>
                      </w:p>
                    </w:tc>
                    <w:tc>
                      <w:tcPr>
                        <w:tcW w:w="710" w:type="dxa"/>
                      </w:tcPr>
                      <w:p>
                        <w:pPr>
                          <w:pStyle w:val="TableParagraph"/>
                          <w:spacing w:before="1"/>
                          <w:ind w:left="178" w:right="1"/>
                          <w:jc w:val="center"/>
                          <w:rPr>
                            <w:rFonts w:ascii="Arial"/>
                            <w:sz w:val="16"/>
                          </w:rPr>
                        </w:pPr>
                        <w:r>
                          <w:rPr>
                            <w:rFonts w:ascii="Arial"/>
                            <w:sz w:val="16"/>
                          </w:rPr>
                          <w:t>5,19</w:t>
                        </w:r>
                      </w:p>
                    </w:tc>
                    <w:tc>
                      <w:tcPr>
                        <w:tcW w:w="708" w:type="dxa"/>
                      </w:tcPr>
                      <w:p>
                        <w:pPr>
                          <w:pStyle w:val="TableParagraph"/>
                          <w:spacing w:before="1"/>
                          <w:ind w:left="175" w:right="0"/>
                          <w:jc w:val="center"/>
                          <w:rPr>
                            <w:rFonts w:ascii="Arial"/>
                            <w:sz w:val="16"/>
                          </w:rPr>
                        </w:pPr>
                        <w:r>
                          <w:rPr>
                            <w:rFonts w:ascii="Arial"/>
                            <w:sz w:val="16"/>
                          </w:rPr>
                          <w:t>5,55</w:t>
                        </w:r>
                      </w:p>
                    </w:tc>
                    <w:tc>
                      <w:tcPr>
                        <w:tcW w:w="212" w:type="dxa"/>
                      </w:tcPr>
                      <w:p>
                        <w:pPr/>
                      </w:p>
                    </w:tc>
                    <w:tc>
                      <w:tcPr>
                        <w:tcW w:w="1224" w:type="dxa"/>
                        <w:tcBorders>
                          <w:right w:val="single" w:sz="5" w:space="0" w:color="000000"/>
                        </w:tcBorders>
                      </w:tcPr>
                      <w:p>
                        <w:pPr/>
                      </w:p>
                    </w:tc>
                    <w:tc>
                      <w:tcPr>
                        <w:tcW w:w="168"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92" w:type="dxa"/>
                        <w:tcBorders>
                          <w:left w:val="single" w:sz="5" w:space="0" w:color="000000"/>
                          <w:right w:val="single" w:sz="5" w:space="0" w:color="000000"/>
                        </w:tcBorders>
                      </w:tcPr>
                      <w:p>
                        <w:pPr/>
                      </w:p>
                    </w:tc>
                    <w:tc>
                      <w:tcPr>
                        <w:tcW w:w="384" w:type="dxa"/>
                        <w:tcBorders>
                          <w:left w:val="single" w:sz="5" w:space="0" w:color="000000"/>
                          <w:right w:val="single" w:sz="5" w:space="0" w:color="000000"/>
                        </w:tcBorders>
                      </w:tcPr>
                      <w:p>
                        <w:pPr/>
                      </w:p>
                    </w:tc>
                    <w:tc>
                      <w:tcPr>
                        <w:tcW w:w="180" w:type="dxa"/>
                        <w:tcBorders>
                          <w:left w:val="single" w:sz="5" w:space="0" w:color="000000"/>
                          <w:right w:val="single" w:sz="5" w:space="0" w:color="000000"/>
                        </w:tcBorders>
                      </w:tcPr>
                      <w:p>
                        <w:pPr/>
                      </w:p>
                    </w:tc>
                    <w:tc>
                      <w:tcPr>
                        <w:tcW w:w="1936" w:type="dxa"/>
                        <w:tcBorders>
                          <w:top w:val="single" w:sz="4" w:space="0" w:color="000000"/>
                          <w:left w:val="single" w:sz="5" w:space="0" w:color="000000"/>
                        </w:tcBorders>
                      </w:tcPr>
                      <w:p>
                        <w:pPr>
                          <w:pStyle w:val="TableParagraph"/>
                          <w:spacing w:line="180" w:lineRule="exact" w:before="0"/>
                          <w:ind w:left="904" w:right="0"/>
                          <w:jc w:val="left"/>
                          <w:rPr>
                            <w:rFonts w:ascii="Arial"/>
                            <w:sz w:val="16"/>
                          </w:rPr>
                        </w:pPr>
                        <w:r>
                          <w:rPr>
                            <w:rFonts w:ascii="Arial"/>
                            <w:sz w:val="16"/>
                          </w:rPr>
                          <w:t>OD</w:t>
                        </w:r>
                      </w:p>
                    </w:tc>
                    <w:tc>
                      <w:tcPr>
                        <w:tcW w:w="970" w:type="dxa"/>
                        <w:tcBorders>
                          <w:top w:val="single" w:sz="4" w:space="0" w:color="000000"/>
                        </w:tcBorders>
                      </w:tcPr>
                      <w:p>
                        <w:pPr>
                          <w:pStyle w:val="TableParagraph"/>
                          <w:spacing w:line="180" w:lineRule="exact" w:before="0"/>
                          <w:ind w:right="103"/>
                          <w:rPr>
                            <w:rFonts w:ascii="Arial"/>
                            <w:sz w:val="16"/>
                          </w:rPr>
                        </w:pPr>
                        <w:r>
                          <w:rPr>
                            <w:rFonts w:ascii="Arial"/>
                            <w:sz w:val="16"/>
                          </w:rPr>
                          <w:t>0,018</w:t>
                        </w:r>
                      </w:p>
                    </w:tc>
                    <w:tc>
                      <w:tcPr>
                        <w:tcW w:w="710" w:type="dxa"/>
                        <w:tcBorders>
                          <w:top w:val="single" w:sz="4" w:space="0" w:color="000000"/>
                        </w:tcBorders>
                      </w:tcPr>
                      <w:p>
                        <w:pPr>
                          <w:pStyle w:val="TableParagraph"/>
                          <w:spacing w:line="180" w:lineRule="exact" w:before="0"/>
                          <w:ind w:right="108"/>
                          <w:rPr>
                            <w:rFonts w:ascii="Arial"/>
                            <w:sz w:val="16"/>
                          </w:rPr>
                        </w:pPr>
                        <w:r>
                          <w:rPr>
                            <w:rFonts w:ascii="Arial"/>
                            <w:sz w:val="16"/>
                          </w:rPr>
                          <w:t>4,70</w:t>
                        </w:r>
                      </w:p>
                    </w:tc>
                    <w:tc>
                      <w:tcPr>
                        <w:tcW w:w="708" w:type="dxa"/>
                        <w:tcBorders>
                          <w:top w:val="single" w:sz="4" w:space="0" w:color="000000"/>
                        </w:tcBorders>
                      </w:tcPr>
                      <w:p>
                        <w:pPr>
                          <w:pStyle w:val="TableParagraph"/>
                          <w:spacing w:line="180" w:lineRule="exact" w:before="0"/>
                          <w:ind w:right="105"/>
                          <w:rPr>
                            <w:rFonts w:ascii="Arial"/>
                            <w:sz w:val="16"/>
                          </w:rPr>
                        </w:pPr>
                        <w:r>
                          <w:rPr>
                            <w:rFonts w:ascii="Arial"/>
                            <w:sz w:val="16"/>
                          </w:rPr>
                          <w:t>5,03</w:t>
                        </w:r>
                      </w:p>
                    </w:tc>
                  </w:tr>
                </w:tbl>
                <w:p>
                  <w:pPr>
                    <w:pStyle w:val="BodyText"/>
                  </w:pPr>
                </w:p>
              </w:txbxContent>
            </v:textbox>
            <w10:wrap type="none"/>
          </v:shape>
        </w:pict>
      </w:r>
      <w:r>
        <w:rPr>
          <w:sz w:val="16"/>
        </w:rPr>
        <w:t>N-NO</w:t>
      </w:r>
      <w:r>
        <w:rPr>
          <w:spacing w:val="9"/>
          <w:sz w:val="16"/>
        </w:rPr>
        <w:t> </w:t>
      </w:r>
      <w:r>
        <w:rPr>
          <w:position w:val="8"/>
          <w:sz w:val="10"/>
        </w:rPr>
        <w:t>-</w:t>
        <w:tab/>
      </w:r>
      <w:r>
        <w:rPr>
          <w:sz w:val="16"/>
        </w:rPr>
        <w:t>0,023</w:t>
        <w:tab/>
        <w:t>0,24</w:t>
        <w:tab/>
        <w:t>0,26</w:t>
      </w:r>
    </w:p>
    <w:p>
      <w:pPr>
        <w:spacing w:before="86"/>
        <w:ind w:left="680" w:right="0" w:firstLine="0"/>
        <w:jc w:val="left"/>
        <w:rPr>
          <w:sz w:val="10"/>
        </w:rPr>
      </w:pPr>
      <w:r>
        <w:rPr>
          <w:w w:val="100"/>
          <w:sz w:val="10"/>
        </w:rPr>
        <w:t>3</w:t>
      </w:r>
    </w:p>
    <w:p>
      <w:pPr>
        <w:spacing w:after="0"/>
        <w:jc w:val="left"/>
        <w:rPr>
          <w:sz w:val="10"/>
        </w:rPr>
        <w:sectPr>
          <w:type w:val="continuous"/>
          <w:pgSz w:w="12240" w:h="15840"/>
          <w:pgMar w:top="0" w:bottom="0" w:left="440" w:right="680"/>
          <w:cols w:num="2" w:equalWidth="0">
            <w:col w:w="3576" w:space="3492"/>
            <w:col w:w="405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spacing w:before="78"/>
        <w:ind w:left="1883" w:right="1421" w:firstLine="0"/>
        <w:jc w:val="left"/>
        <w:rPr>
          <w:sz w:val="18"/>
        </w:rPr>
      </w:pPr>
      <w:r>
        <w:rPr>
          <w:sz w:val="18"/>
        </w:rPr>
        <w:t>Purga de lodos</w:t>
      </w:r>
    </w:p>
    <w:p>
      <w:pPr>
        <w:pStyle w:val="BodyText"/>
        <w:spacing w:before="8"/>
        <w:rPr>
          <w:sz w:val="8"/>
        </w:rPr>
      </w:pPr>
    </w:p>
    <w:tbl>
      <w:tblPr>
        <w:tblW w:w="0" w:type="auto"/>
        <w:jc w:val="left"/>
        <w:tblInd w:w="111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66"/>
        <w:gridCol w:w="1476"/>
        <w:gridCol w:w="852"/>
        <w:gridCol w:w="566"/>
        <w:gridCol w:w="238"/>
        <w:gridCol w:w="1262"/>
        <w:gridCol w:w="994"/>
        <w:gridCol w:w="850"/>
        <w:gridCol w:w="850"/>
        <w:gridCol w:w="120"/>
      </w:tblGrid>
      <w:tr>
        <w:trPr>
          <w:trHeight w:val="536" w:hRule="exact"/>
        </w:trPr>
        <w:tc>
          <w:tcPr>
            <w:tcW w:w="1266" w:type="dxa"/>
            <w:tcBorders>
              <w:bottom w:val="single" w:sz="4" w:space="0" w:color="000000"/>
              <w:right w:val="single" w:sz="4" w:space="0" w:color="000000"/>
            </w:tcBorders>
          </w:tcPr>
          <w:p>
            <w:pPr>
              <w:pStyle w:val="TableParagraph"/>
              <w:spacing w:before="2"/>
              <w:ind w:right="0"/>
              <w:jc w:val="left"/>
              <w:rPr>
                <w:rFonts w:ascii="Arial"/>
                <w:sz w:val="17"/>
              </w:rPr>
            </w:pPr>
          </w:p>
          <w:p>
            <w:pPr>
              <w:pStyle w:val="TableParagraph"/>
              <w:spacing w:before="1"/>
              <w:ind w:left="289" w:right="0"/>
              <w:jc w:val="left"/>
              <w:rPr>
                <w:rFonts w:ascii="Arial" w:hAnsi="Arial"/>
                <w:b/>
                <w:sz w:val="14"/>
              </w:rPr>
            </w:pPr>
            <w:r>
              <w:rPr>
                <w:rFonts w:ascii="Arial" w:hAnsi="Arial"/>
                <w:b/>
                <w:sz w:val="14"/>
              </w:rPr>
              <w:t>Parámetro</w:t>
            </w:r>
          </w:p>
        </w:tc>
        <w:tc>
          <w:tcPr>
            <w:tcW w:w="1476" w:type="dxa"/>
            <w:tcBorders>
              <w:left w:val="single" w:sz="4" w:space="0" w:color="000000"/>
              <w:bottom w:val="single" w:sz="4" w:space="0" w:color="000000"/>
              <w:right w:val="single" w:sz="4" w:space="0" w:color="000000"/>
            </w:tcBorders>
          </w:tcPr>
          <w:p>
            <w:pPr>
              <w:pStyle w:val="TableParagraph"/>
              <w:spacing w:before="37"/>
              <w:ind w:left="235" w:right="234" w:hanging="2"/>
              <w:jc w:val="center"/>
              <w:rPr>
                <w:rFonts w:ascii="Arial" w:hAnsi="Arial"/>
                <w:b/>
                <w:sz w:val="14"/>
              </w:rPr>
            </w:pPr>
            <w:r>
              <w:rPr>
                <w:rFonts w:ascii="Arial" w:hAnsi="Arial"/>
                <w:b/>
                <w:sz w:val="14"/>
              </w:rPr>
              <w:t>Concentración promedio en el efluente</w:t>
            </w:r>
          </w:p>
        </w:tc>
        <w:tc>
          <w:tcPr>
            <w:tcW w:w="852" w:type="dxa"/>
            <w:tcBorders>
              <w:left w:val="single" w:sz="4" w:space="0" w:color="000000"/>
              <w:bottom w:val="single" w:sz="4" w:space="0" w:color="000000"/>
              <w:right w:val="single" w:sz="4" w:space="0" w:color="000000"/>
            </w:tcBorders>
          </w:tcPr>
          <w:p>
            <w:pPr>
              <w:pStyle w:val="TableParagraph"/>
              <w:spacing w:before="2"/>
              <w:ind w:right="0"/>
              <w:jc w:val="left"/>
              <w:rPr>
                <w:rFonts w:ascii="Arial"/>
                <w:sz w:val="17"/>
              </w:rPr>
            </w:pPr>
          </w:p>
          <w:p>
            <w:pPr>
              <w:pStyle w:val="TableParagraph"/>
              <w:spacing w:before="1"/>
              <w:ind w:left="85" w:right="86"/>
              <w:jc w:val="center"/>
              <w:rPr>
                <w:rFonts w:ascii="Arial"/>
                <w:b/>
                <w:sz w:val="14"/>
              </w:rPr>
            </w:pPr>
            <w:r>
              <w:rPr>
                <w:rFonts w:ascii="Arial"/>
                <w:b/>
                <w:sz w:val="14"/>
              </w:rPr>
              <w:t>Unidades</w:t>
            </w:r>
          </w:p>
        </w:tc>
        <w:tc>
          <w:tcPr>
            <w:tcW w:w="566" w:type="dxa"/>
            <w:tcBorders>
              <w:left w:val="single" w:sz="4" w:space="0" w:color="000000"/>
              <w:bottom w:val="single" w:sz="4" w:space="0" w:color="000000"/>
              <w:right w:val="single" w:sz="4" w:space="0" w:color="000000"/>
            </w:tcBorders>
          </w:tcPr>
          <w:p>
            <w:pPr>
              <w:pStyle w:val="TableParagraph"/>
              <w:spacing w:before="2"/>
              <w:ind w:right="0"/>
              <w:jc w:val="left"/>
              <w:rPr>
                <w:rFonts w:ascii="Arial"/>
                <w:sz w:val="17"/>
              </w:rPr>
            </w:pPr>
          </w:p>
          <w:p>
            <w:pPr>
              <w:pStyle w:val="TableParagraph"/>
              <w:spacing w:before="1"/>
              <w:ind w:left="1" w:right="0"/>
              <w:jc w:val="center"/>
              <w:rPr>
                <w:rFonts w:ascii="Arial"/>
                <w:b/>
                <w:sz w:val="14"/>
              </w:rPr>
            </w:pPr>
            <w:r>
              <w:rPr>
                <w:rFonts w:ascii="Arial"/>
                <w:b/>
                <w:w w:val="99"/>
                <w:sz w:val="14"/>
              </w:rPr>
              <w:t>#</w:t>
            </w:r>
          </w:p>
        </w:tc>
        <w:tc>
          <w:tcPr>
            <w:tcW w:w="238" w:type="dxa"/>
            <w:vMerge w:val="restart"/>
            <w:tcBorders>
              <w:left w:val="single" w:sz="4" w:space="0" w:color="000000"/>
              <w:right w:val="single" w:sz="4" w:space="0" w:color="000000"/>
            </w:tcBorders>
          </w:tcPr>
          <w:p>
            <w:pPr/>
          </w:p>
        </w:tc>
        <w:tc>
          <w:tcPr>
            <w:tcW w:w="1262" w:type="dxa"/>
            <w:tcBorders>
              <w:left w:val="single" w:sz="4" w:space="0" w:color="000000"/>
              <w:bottom w:val="single" w:sz="4" w:space="0" w:color="000000"/>
              <w:right w:val="single" w:sz="4" w:space="0" w:color="000000"/>
            </w:tcBorders>
          </w:tcPr>
          <w:p>
            <w:pPr>
              <w:pStyle w:val="TableParagraph"/>
              <w:spacing w:before="2"/>
              <w:ind w:right="0"/>
              <w:jc w:val="left"/>
              <w:rPr>
                <w:rFonts w:ascii="Arial"/>
                <w:sz w:val="17"/>
              </w:rPr>
            </w:pPr>
          </w:p>
          <w:p>
            <w:pPr>
              <w:pStyle w:val="TableParagraph"/>
              <w:spacing w:before="1"/>
              <w:ind w:left="278" w:right="0"/>
              <w:jc w:val="left"/>
              <w:rPr>
                <w:rFonts w:ascii="Arial" w:hAnsi="Arial"/>
                <w:b/>
                <w:sz w:val="14"/>
              </w:rPr>
            </w:pPr>
            <w:r>
              <w:rPr>
                <w:rFonts w:ascii="Arial" w:hAnsi="Arial"/>
                <w:b/>
                <w:sz w:val="14"/>
              </w:rPr>
              <w:t>Parámetro</w:t>
            </w:r>
          </w:p>
        </w:tc>
        <w:tc>
          <w:tcPr>
            <w:tcW w:w="994" w:type="dxa"/>
            <w:tcBorders>
              <w:left w:val="single" w:sz="4" w:space="0" w:color="000000"/>
              <w:bottom w:val="single" w:sz="4" w:space="0" w:color="000000"/>
              <w:right w:val="single" w:sz="4" w:space="0" w:color="000000"/>
            </w:tcBorders>
          </w:tcPr>
          <w:p>
            <w:pPr>
              <w:pStyle w:val="TableParagraph"/>
              <w:spacing w:before="37"/>
              <w:ind w:left="115" w:right="114"/>
              <w:jc w:val="center"/>
              <w:rPr>
                <w:rFonts w:ascii="Arial" w:hAnsi="Arial"/>
                <w:b/>
                <w:sz w:val="14"/>
              </w:rPr>
            </w:pPr>
            <w:r>
              <w:rPr>
                <w:rFonts w:ascii="Arial" w:hAnsi="Arial"/>
                <w:b/>
                <w:w w:val="95"/>
                <w:sz w:val="14"/>
              </w:rPr>
              <w:t>Coeficiente </w:t>
            </w:r>
            <w:r>
              <w:rPr>
                <w:rFonts w:ascii="Arial" w:hAnsi="Arial"/>
                <w:b/>
                <w:sz w:val="14"/>
              </w:rPr>
              <w:t>de    variación</w:t>
            </w:r>
          </w:p>
        </w:tc>
        <w:tc>
          <w:tcPr>
            <w:tcW w:w="1699" w:type="dxa"/>
            <w:gridSpan w:val="2"/>
            <w:tcBorders>
              <w:left w:val="single" w:sz="4" w:space="0" w:color="000000"/>
              <w:bottom w:val="single" w:sz="4" w:space="0" w:color="000000"/>
              <w:right w:val="single" w:sz="4" w:space="0" w:color="000000"/>
            </w:tcBorders>
          </w:tcPr>
          <w:p>
            <w:pPr>
              <w:pStyle w:val="TableParagraph"/>
              <w:spacing w:before="116"/>
              <w:ind w:left="305" w:right="283" w:firstLine="110"/>
              <w:jc w:val="left"/>
              <w:rPr>
                <w:rFonts w:ascii="Arial"/>
                <w:b/>
                <w:sz w:val="14"/>
              </w:rPr>
            </w:pPr>
            <w:r>
              <w:rPr>
                <w:rFonts w:ascii="Arial"/>
                <w:b/>
                <w:sz w:val="14"/>
              </w:rPr>
              <w:t>Intervalos de confianza a 95%</w:t>
            </w:r>
          </w:p>
        </w:tc>
        <w:tc>
          <w:tcPr>
            <w:tcW w:w="120" w:type="dxa"/>
            <w:tcBorders>
              <w:left w:val="single" w:sz="4" w:space="0" w:color="000000"/>
              <w:bottom w:val="nil"/>
            </w:tcBorders>
          </w:tcPr>
          <w:p>
            <w:pPr/>
          </w:p>
        </w:tc>
      </w:tr>
      <w:tr>
        <w:trPr>
          <w:trHeight w:val="194" w:hRule="exact"/>
        </w:trPr>
        <w:tc>
          <w:tcPr>
            <w:tcW w:w="1266" w:type="dxa"/>
            <w:tcBorders>
              <w:top w:val="single" w:sz="4" w:space="0" w:color="000000"/>
              <w:bottom w:val="single" w:sz="4" w:space="0" w:color="000000"/>
              <w:right w:val="single" w:sz="4" w:space="0" w:color="000000"/>
            </w:tcBorders>
          </w:tcPr>
          <w:p>
            <w:pPr>
              <w:pStyle w:val="TableParagraph"/>
              <w:spacing w:line="187" w:lineRule="exact" w:before="0"/>
              <w:ind w:left="123" w:right="0"/>
              <w:jc w:val="left"/>
              <w:rPr>
                <w:rFonts w:ascii="Arial"/>
                <w:sz w:val="10"/>
              </w:rPr>
            </w:pPr>
            <w:r>
              <w:rPr>
                <w:rFonts w:ascii="Arial"/>
                <w:position w:val="2"/>
                <w:sz w:val="16"/>
              </w:rPr>
              <w:t>N-NH</w:t>
            </w:r>
            <w:r>
              <w:rPr>
                <w:rFonts w:ascii="Arial"/>
                <w:sz w:val="10"/>
              </w:rPr>
              <w:t>3</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50" w:right="50"/>
              <w:jc w:val="center"/>
              <w:rPr>
                <w:rFonts w:ascii="Arial" w:hAnsi="Arial"/>
                <w:sz w:val="16"/>
              </w:rPr>
            </w:pPr>
            <w:r>
              <w:rPr>
                <w:rFonts w:ascii="Arial" w:hAnsi="Arial"/>
                <w:sz w:val="16"/>
              </w:rPr>
              <w:t>2,16 ± 0,03</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85" w:right="85"/>
              <w:jc w:val="center"/>
              <w:rPr>
                <w:rFonts w:ascii="Arial"/>
                <w:sz w:val="16"/>
              </w:rPr>
            </w:pPr>
            <w:r>
              <w:rPr>
                <w:rFonts w:ascii="Arial"/>
                <w:sz w:val="16"/>
              </w:rPr>
              <w:t>mg/L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24" w:right="124"/>
              <w:jc w:val="center"/>
              <w:rPr>
                <w:rFonts w:ascii="Arial"/>
                <w:sz w:val="16"/>
              </w:rPr>
            </w:pPr>
            <w:r>
              <w:rPr>
                <w:rFonts w:ascii="Arial"/>
                <w:sz w:val="16"/>
              </w:rPr>
              <w:t>26</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87" w:lineRule="exact" w:before="0"/>
              <w:ind w:left="102" w:right="0"/>
              <w:jc w:val="left"/>
              <w:rPr>
                <w:rFonts w:ascii="Arial"/>
                <w:sz w:val="10"/>
              </w:rPr>
            </w:pPr>
            <w:r>
              <w:rPr>
                <w:rFonts w:ascii="Arial"/>
                <w:position w:val="2"/>
                <w:sz w:val="16"/>
              </w:rPr>
              <w:t>N-NH</w:t>
            </w:r>
            <w:r>
              <w:rPr>
                <w:rFonts w:ascii="Arial"/>
                <w:sz w:val="10"/>
              </w:rPr>
              <w:t>3</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0,013</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2,11</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98"/>
              <w:rPr>
                <w:rFonts w:ascii="Arial"/>
                <w:sz w:val="16"/>
              </w:rPr>
            </w:pPr>
            <w:r>
              <w:rPr>
                <w:rFonts w:ascii="Arial"/>
                <w:sz w:val="16"/>
              </w:rPr>
              <w:t>2,22</w:t>
            </w:r>
          </w:p>
        </w:tc>
        <w:tc>
          <w:tcPr>
            <w:tcW w:w="120" w:type="dxa"/>
            <w:tcBorders>
              <w:top w:val="nil"/>
              <w:left w:val="single" w:sz="4" w:space="0" w:color="000000"/>
              <w:bottom w:val="nil"/>
            </w:tcBorders>
          </w:tcPr>
          <w:p>
            <w:pPr/>
          </w:p>
        </w:tc>
      </w:tr>
      <w:tr>
        <w:trPr>
          <w:trHeight w:val="192" w:hRule="exact"/>
        </w:trPr>
        <w:tc>
          <w:tcPr>
            <w:tcW w:w="1266" w:type="dxa"/>
            <w:tcBorders>
              <w:top w:val="single" w:sz="4" w:space="0" w:color="000000"/>
              <w:bottom w:val="single" w:sz="4" w:space="0" w:color="000000"/>
              <w:right w:val="single" w:sz="4" w:space="0" w:color="000000"/>
            </w:tcBorders>
          </w:tcPr>
          <w:p>
            <w:pPr>
              <w:pStyle w:val="TableParagraph"/>
              <w:spacing w:line="187" w:lineRule="exact" w:before="0"/>
              <w:ind w:left="123" w:right="0"/>
              <w:jc w:val="left"/>
              <w:rPr>
                <w:rFonts w:ascii="Arial"/>
                <w:sz w:val="10"/>
              </w:rPr>
            </w:pPr>
            <w:r>
              <w:rPr>
                <w:rFonts w:ascii="Arial"/>
                <w:position w:val="2"/>
                <w:sz w:val="16"/>
              </w:rPr>
              <w:t>N-NO</w:t>
            </w:r>
            <w:r>
              <w:rPr>
                <w:rFonts w:ascii="Arial"/>
                <w:sz w:val="10"/>
              </w:rPr>
              <w:t>2</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50" w:right="50"/>
              <w:jc w:val="center"/>
              <w:rPr>
                <w:rFonts w:ascii="Arial" w:hAnsi="Arial"/>
                <w:sz w:val="16"/>
              </w:rPr>
            </w:pPr>
            <w:r>
              <w:rPr>
                <w:rFonts w:ascii="Arial" w:hAnsi="Arial"/>
                <w:sz w:val="16"/>
              </w:rPr>
              <w:t>0,508 ± 0,007</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85" w:right="85"/>
              <w:jc w:val="center"/>
              <w:rPr>
                <w:rFonts w:ascii="Arial"/>
                <w:sz w:val="16"/>
              </w:rPr>
            </w:pPr>
            <w:r>
              <w:rPr>
                <w:rFonts w:ascii="Arial"/>
                <w:sz w:val="16"/>
              </w:rPr>
              <w:t>mg/L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24" w:right="124"/>
              <w:jc w:val="center"/>
              <w:rPr>
                <w:rFonts w:ascii="Arial"/>
                <w:sz w:val="16"/>
              </w:rPr>
            </w:pPr>
            <w:r>
              <w:rPr>
                <w:rFonts w:ascii="Arial"/>
                <w:sz w:val="16"/>
              </w:rPr>
              <w:t>20</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right="172"/>
              <w:jc w:val="center"/>
              <w:rPr>
                <w:rFonts w:ascii="Arial"/>
                <w:sz w:val="10"/>
              </w:rPr>
            </w:pPr>
            <w:r>
              <w:rPr>
                <w:rFonts w:ascii="Arial"/>
                <w:w w:val="100"/>
                <w:sz w:val="10"/>
              </w:rPr>
              <w:t>2</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0,0138</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2"/>
              <w:rPr>
                <w:rFonts w:ascii="Arial"/>
                <w:sz w:val="16"/>
              </w:rPr>
            </w:pPr>
            <w:r>
              <w:rPr>
                <w:rFonts w:ascii="Arial"/>
                <w:sz w:val="16"/>
              </w:rPr>
              <w:t>0,494</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98"/>
              <w:rPr>
                <w:rFonts w:ascii="Arial"/>
                <w:sz w:val="16"/>
              </w:rPr>
            </w:pPr>
            <w:r>
              <w:rPr>
                <w:rFonts w:ascii="Arial"/>
                <w:sz w:val="16"/>
              </w:rPr>
              <w:t>0,521</w:t>
            </w:r>
          </w:p>
        </w:tc>
        <w:tc>
          <w:tcPr>
            <w:tcW w:w="120" w:type="dxa"/>
            <w:tcBorders>
              <w:top w:val="nil"/>
              <w:left w:val="single" w:sz="4" w:space="0" w:color="000000"/>
              <w:bottom w:val="nil"/>
            </w:tcBorders>
          </w:tcPr>
          <w:p>
            <w:pPr/>
          </w:p>
        </w:tc>
      </w:tr>
      <w:tr>
        <w:trPr>
          <w:trHeight w:val="194" w:hRule="exact"/>
        </w:trPr>
        <w:tc>
          <w:tcPr>
            <w:tcW w:w="1266" w:type="dxa"/>
            <w:tcBorders>
              <w:top w:val="single" w:sz="4" w:space="0" w:color="000000"/>
              <w:bottom w:val="single" w:sz="4" w:space="0" w:color="000000"/>
              <w:right w:val="single" w:sz="4" w:space="0" w:color="000000"/>
            </w:tcBorders>
          </w:tcPr>
          <w:p>
            <w:pPr>
              <w:pStyle w:val="TableParagraph"/>
              <w:spacing w:line="189" w:lineRule="exact" w:before="0"/>
              <w:ind w:left="123" w:right="0"/>
              <w:jc w:val="left"/>
              <w:rPr>
                <w:rFonts w:ascii="Arial"/>
                <w:sz w:val="10"/>
              </w:rPr>
            </w:pPr>
            <w:r>
              <w:rPr>
                <w:rFonts w:ascii="Arial"/>
                <w:position w:val="2"/>
                <w:sz w:val="16"/>
              </w:rPr>
              <w:t>N-NO</w:t>
            </w:r>
            <w:r>
              <w:rPr>
                <w:rFonts w:ascii="Arial"/>
                <w:sz w:val="10"/>
              </w:rPr>
              <w:t>3</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left="50" w:right="50"/>
              <w:jc w:val="center"/>
              <w:rPr>
                <w:rFonts w:ascii="Arial" w:hAnsi="Arial"/>
                <w:sz w:val="16"/>
              </w:rPr>
            </w:pPr>
            <w:r>
              <w:rPr>
                <w:rFonts w:ascii="Arial" w:hAnsi="Arial"/>
                <w:sz w:val="16"/>
              </w:rPr>
              <w:t>40,43 ± 0,31</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left="85" w:right="85"/>
              <w:jc w:val="center"/>
              <w:rPr>
                <w:rFonts w:ascii="Arial"/>
                <w:sz w:val="16"/>
              </w:rPr>
            </w:pPr>
            <w:r>
              <w:rPr>
                <w:rFonts w:ascii="Arial"/>
                <w:sz w:val="16"/>
              </w:rPr>
              <w:t>mg/L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left="124" w:right="124"/>
              <w:jc w:val="center"/>
              <w:rPr>
                <w:rFonts w:ascii="Arial"/>
                <w:sz w:val="16"/>
              </w:rPr>
            </w:pPr>
            <w:r>
              <w:rPr>
                <w:rFonts w:ascii="Arial"/>
                <w:sz w:val="16"/>
              </w:rPr>
              <w:t>26</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28"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right="172"/>
              <w:jc w:val="center"/>
              <w:rPr>
                <w:rFonts w:ascii="Arial"/>
                <w:sz w:val="10"/>
              </w:rPr>
            </w:pPr>
            <w:r>
              <w:rPr>
                <w:rFonts w:ascii="Arial"/>
                <w:w w:val="100"/>
                <w:sz w:val="10"/>
              </w:rPr>
              <w:t>3</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right="100"/>
              <w:rPr>
                <w:rFonts w:ascii="Arial"/>
                <w:sz w:val="16"/>
              </w:rPr>
            </w:pPr>
            <w:r>
              <w:rPr>
                <w:rFonts w:ascii="Arial"/>
                <w:sz w:val="16"/>
              </w:rPr>
              <w:t>0,0076</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right="102"/>
              <w:rPr>
                <w:rFonts w:ascii="Arial"/>
                <w:sz w:val="16"/>
              </w:rPr>
            </w:pPr>
            <w:r>
              <w:rPr>
                <w:rFonts w:ascii="Arial"/>
                <w:sz w:val="16"/>
              </w:rPr>
              <w:t>39,82</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right="98"/>
              <w:rPr>
                <w:rFonts w:ascii="Arial"/>
                <w:sz w:val="16"/>
              </w:rPr>
            </w:pPr>
            <w:r>
              <w:rPr>
                <w:rFonts w:ascii="Arial"/>
                <w:sz w:val="16"/>
              </w:rPr>
              <w:t>41,03</w:t>
            </w:r>
          </w:p>
        </w:tc>
        <w:tc>
          <w:tcPr>
            <w:tcW w:w="120" w:type="dxa"/>
            <w:tcBorders>
              <w:top w:val="nil"/>
              <w:left w:val="single" w:sz="4" w:space="0" w:color="000000"/>
              <w:bottom w:val="nil"/>
            </w:tcBorders>
          </w:tcPr>
          <w:p>
            <w:pPr/>
          </w:p>
        </w:tc>
      </w:tr>
      <w:tr>
        <w:trPr>
          <w:trHeight w:val="194" w:hRule="exact"/>
        </w:trPr>
        <w:tc>
          <w:tcPr>
            <w:tcW w:w="1266" w:type="dxa"/>
            <w:tcBorders>
              <w:top w:val="single" w:sz="4" w:space="0" w:color="000000"/>
              <w:bottom w:val="single" w:sz="4" w:space="0" w:color="000000"/>
              <w:right w:val="single" w:sz="4" w:space="0" w:color="000000"/>
            </w:tcBorders>
          </w:tcPr>
          <w:p>
            <w:pPr>
              <w:pStyle w:val="TableParagraph"/>
              <w:spacing w:line="180" w:lineRule="exact" w:before="0"/>
              <w:ind w:left="123" w:right="0"/>
              <w:jc w:val="left"/>
              <w:rPr>
                <w:rFonts w:ascii="Arial"/>
                <w:sz w:val="16"/>
              </w:rPr>
            </w:pPr>
            <w:r>
              <w:rPr>
                <w:rFonts w:ascii="Arial"/>
                <w:sz w:val="16"/>
              </w:rPr>
              <w:t>DQO</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50" w:right="50"/>
              <w:jc w:val="center"/>
              <w:rPr>
                <w:rFonts w:ascii="Arial" w:hAnsi="Arial"/>
                <w:sz w:val="16"/>
              </w:rPr>
            </w:pPr>
            <w:r>
              <w:rPr>
                <w:rFonts w:ascii="Arial" w:hAnsi="Arial"/>
                <w:sz w:val="16"/>
              </w:rPr>
              <w:t>340,70 ± 10,94</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85" w:right="85"/>
              <w:jc w:val="center"/>
              <w:rPr>
                <w:rFonts w:ascii="Arial"/>
                <w:sz w:val="16"/>
              </w:rPr>
            </w:pPr>
            <w:r>
              <w:rPr>
                <w:rFonts w:ascii="Arial"/>
                <w:sz w:val="16"/>
              </w:rPr>
              <w:t>mg/L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24" w:right="124"/>
              <w:jc w:val="center"/>
              <w:rPr>
                <w:rFonts w:ascii="Arial"/>
                <w:sz w:val="16"/>
              </w:rPr>
            </w:pPr>
            <w:r>
              <w:rPr>
                <w:rFonts w:ascii="Arial"/>
                <w:sz w:val="16"/>
              </w:rPr>
              <w:t>21</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02" w:right="0"/>
              <w:jc w:val="left"/>
              <w:rPr>
                <w:rFonts w:ascii="Arial"/>
                <w:sz w:val="16"/>
              </w:rPr>
            </w:pPr>
            <w:r>
              <w:rPr>
                <w:rFonts w:ascii="Arial"/>
                <w:sz w:val="16"/>
              </w:rPr>
              <w:t>DQO</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0,32</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319,25</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98"/>
              <w:rPr>
                <w:rFonts w:ascii="Arial"/>
                <w:sz w:val="16"/>
              </w:rPr>
            </w:pPr>
            <w:r>
              <w:rPr>
                <w:rFonts w:ascii="Arial"/>
                <w:sz w:val="16"/>
              </w:rPr>
              <w:t>362,15</w:t>
            </w:r>
          </w:p>
        </w:tc>
        <w:tc>
          <w:tcPr>
            <w:tcW w:w="120" w:type="dxa"/>
            <w:tcBorders>
              <w:top w:val="nil"/>
              <w:left w:val="single" w:sz="4" w:space="0" w:color="000000"/>
              <w:bottom w:val="nil"/>
            </w:tcBorders>
          </w:tcPr>
          <w:p>
            <w:pPr/>
          </w:p>
        </w:tc>
      </w:tr>
      <w:tr>
        <w:trPr>
          <w:trHeight w:val="194" w:hRule="exact"/>
        </w:trPr>
        <w:tc>
          <w:tcPr>
            <w:tcW w:w="1266" w:type="dxa"/>
            <w:tcBorders>
              <w:top w:val="single" w:sz="4" w:space="0" w:color="000000"/>
              <w:bottom w:val="single" w:sz="4" w:space="0" w:color="000000"/>
              <w:right w:val="single" w:sz="4" w:space="0" w:color="000000"/>
            </w:tcBorders>
          </w:tcPr>
          <w:p>
            <w:pPr>
              <w:pStyle w:val="TableParagraph"/>
              <w:spacing w:line="180" w:lineRule="exact" w:before="0"/>
              <w:ind w:left="123" w:right="0"/>
              <w:jc w:val="left"/>
              <w:rPr>
                <w:rFonts w:ascii="Arial"/>
                <w:sz w:val="16"/>
              </w:rPr>
            </w:pPr>
            <w:r>
              <w:rPr>
                <w:rFonts w:ascii="Arial"/>
                <w:sz w:val="16"/>
              </w:rPr>
              <w:t>SST</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50" w:right="50"/>
              <w:jc w:val="center"/>
              <w:rPr>
                <w:rFonts w:ascii="Arial" w:hAnsi="Arial"/>
                <w:sz w:val="16"/>
              </w:rPr>
            </w:pPr>
            <w:r>
              <w:rPr>
                <w:rFonts w:ascii="Arial" w:hAnsi="Arial"/>
                <w:sz w:val="16"/>
              </w:rPr>
              <w:t>408,99 ± 6,75</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85" w:right="85"/>
              <w:jc w:val="center"/>
              <w:rPr>
                <w:rFonts w:ascii="Arial"/>
                <w:sz w:val="16"/>
              </w:rPr>
            </w:pPr>
            <w:r>
              <w:rPr>
                <w:rFonts w:ascii="Arial"/>
                <w:sz w:val="16"/>
              </w:rPr>
              <w:t>mg/L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24" w:right="124"/>
              <w:jc w:val="center"/>
              <w:rPr>
                <w:rFonts w:ascii="Arial"/>
                <w:sz w:val="16"/>
              </w:rPr>
            </w:pPr>
            <w:r>
              <w:rPr>
                <w:rFonts w:ascii="Arial"/>
                <w:sz w:val="16"/>
              </w:rPr>
              <w:t>24</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02" w:right="0"/>
              <w:jc w:val="left"/>
              <w:rPr>
                <w:rFonts w:ascii="Arial"/>
                <w:sz w:val="16"/>
              </w:rPr>
            </w:pPr>
            <w:r>
              <w:rPr>
                <w:rFonts w:ascii="Arial"/>
                <w:sz w:val="16"/>
              </w:rPr>
              <w:t>SST</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0,017</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395,76</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98"/>
              <w:rPr>
                <w:rFonts w:ascii="Arial"/>
                <w:sz w:val="16"/>
              </w:rPr>
            </w:pPr>
            <w:r>
              <w:rPr>
                <w:rFonts w:ascii="Arial"/>
                <w:sz w:val="16"/>
              </w:rPr>
              <w:t>422,22</w:t>
            </w:r>
          </w:p>
        </w:tc>
        <w:tc>
          <w:tcPr>
            <w:tcW w:w="120" w:type="dxa"/>
            <w:tcBorders>
              <w:top w:val="nil"/>
              <w:left w:val="single" w:sz="4" w:space="0" w:color="000000"/>
              <w:bottom w:val="nil"/>
            </w:tcBorders>
          </w:tcPr>
          <w:p>
            <w:pPr/>
          </w:p>
        </w:tc>
      </w:tr>
      <w:tr>
        <w:trPr>
          <w:trHeight w:val="194" w:hRule="exact"/>
        </w:trPr>
        <w:tc>
          <w:tcPr>
            <w:tcW w:w="1266" w:type="dxa"/>
            <w:tcBorders>
              <w:top w:val="single" w:sz="4" w:space="0" w:color="000000"/>
              <w:bottom w:val="single" w:sz="4" w:space="0" w:color="000000"/>
              <w:right w:val="single" w:sz="4" w:space="0" w:color="000000"/>
            </w:tcBorders>
          </w:tcPr>
          <w:p>
            <w:pPr>
              <w:pStyle w:val="TableParagraph"/>
              <w:spacing w:line="180" w:lineRule="exact" w:before="0"/>
              <w:ind w:left="123" w:right="0"/>
              <w:jc w:val="left"/>
              <w:rPr>
                <w:rFonts w:ascii="Arial"/>
                <w:sz w:val="16"/>
              </w:rPr>
            </w:pPr>
            <w:r>
              <w:rPr>
                <w:rFonts w:ascii="Arial"/>
                <w:sz w:val="16"/>
              </w:rPr>
              <w:t>Alcalinidad*</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50" w:right="51"/>
              <w:jc w:val="center"/>
              <w:rPr>
                <w:rFonts w:ascii="Arial" w:hAnsi="Arial"/>
                <w:sz w:val="16"/>
              </w:rPr>
            </w:pPr>
            <w:r>
              <w:rPr>
                <w:rFonts w:ascii="Arial" w:hAnsi="Arial"/>
                <w:sz w:val="16"/>
              </w:rPr>
              <w:t>119,42 ± 1,02</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85" w:right="86"/>
              <w:jc w:val="center"/>
              <w:rPr>
                <w:rFonts w:ascii="Arial"/>
                <w:sz w:val="16"/>
              </w:rPr>
            </w:pPr>
            <w:r>
              <w:rPr>
                <w:rFonts w:ascii="Arial"/>
                <w:sz w:val="16"/>
              </w:rPr>
              <w:t>mg/L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23" w:right="124"/>
              <w:jc w:val="center"/>
              <w:rPr>
                <w:rFonts w:ascii="Arial"/>
                <w:sz w:val="16"/>
              </w:rPr>
            </w:pPr>
            <w:r>
              <w:rPr>
                <w:rFonts w:ascii="Arial"/>
                <w:sz w:val="16"/>
              </w:rPr>
              <w:t>26</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02" w:right="0"/>
              <w:jc w:val="left"/>
              <w:rPr>
                <w:rFonts w:ascii="Arial"/>
                <w:sz w:val="16"/>
              </w:rPr>
            </w:pPr>
            <w:r>
              <w:rPr>
                <w:rFonts w:ascii="Arial"/>
                <w:sz w:val="16"/>
              </w:rPr>
              <w:t>Alcalinidad*</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1"/>
              <w:rPr>
                <w:rFonts w:ascii="Arial"/>
                <w:sz w:val="16"/>
              </w:rPr>
            </w:pPr>
            <w:r>
              <w:rPr>
                <w:rFonts w:ascii="Arial"/>
                <w:sz w:val="16"/>
              </w:rPr>
              <w:t>0,009</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2"/>
              <w:rPr>
                <w:rFonts w:ascii="Arial"/>
                <w:sz w:val="16"/>
              </w:rPr>
            </w:pPr>
            <w:r>
              <w:rPr>
                <w:rFonts w:ascii="Arial"/>
                <w:sz w:val="16"/>
              </w:rPr>
              <w:t>117,42</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99"/>
              <w:rPr>
                <w:rFonts w:ascii="Arial"/>
                <w:sz w:val="16"/>
              </w:rPr>
            </w:pPr>
            <w:r>
              <w:rPr>
                <w:rFonts w:ascii="Arial"/>
                <w:sz w:val="16"/>
              </w:rPr>
              <w:t>121,43</w:t>
            </w:r>
          </w:p>
        </w:tc>
        <w:tc>
          <w:tcPr>
            <w:tcW w:w="120" w:type="dxa"/>
            <w:tcBorders>
              <w:top w:val="nil"/>
              <w:left w:val="single" w:sz="4" w:space="0" w:color="000000"/>
              <w:bottom w:val="nil"/>
            </w:tcBorders>
          </w:tcPr>
          <w:p>
            <w:pPr/>
          </w:p>
        </w:tc>
      </w:tr>
      <w:tr>
        <w:trPr>
          <w:trHeight w:val="194" w:hRule="exact"/>
        </w:trPr>
        <w:tc>
          <w:tcPr>
            <w:tcW w:w="1266" w:type="dxa"/>
            <w:tcBorders>
              <w:top w:val="single" w:sz="4" w:space="0" w:color="000000"/>
              <w:bottom w:val="single" w:sz="4" w:space="0" w:color="000000"/>
              <w:right w:val="single" w:sz="4" w:space="0" w:color="000000"/>
            </w:tcBorders>
          </w:tcPr>
          <w:p>
            <w:pPr>
              <w:pStyle w:val="TableParagraph"/>
              <w:spacing w:line="180" w:lineRule="exact" w:before="0"/>
              <w:ind w:left="123" w:right="0"/>
              <w:jc w:val="left"/>
              <w:rPr>
                <w:rFonts w:ascii="Arial"/>
                <w:sz w:val="16"/>
              </w:rPr>
            </w:pPr>
            <w:r>
              <w:rPr>
                <w:rFonts w:ascii="Arial"/>
                <w:sz w:val="16"/>
              </w:rPr>
              <w:t>Temperatura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50" w:right="50"/>
              <w:jc w:val="center"/>
              <w:rPr>
                <w:rFonts w:ascii="Arial" w:hAnsi="Arial"/>
                <w:sz w:val="16"/>
              </w:rPr>
            </w:pPr>
            <w:r>
              <w:rPr>
                <w:rFonts w:ascii="Arial" w:hAnsi="Arial"/>
                <w:sz w:val="16"/>
              </w:rPr>
              <w:t>16,48 ± 0,12</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85" w:right="85"/>
              <w:jc w:val="center"/>
              <w:rPr>
                <w:rFonts w:ascii="Arial" w:hAnsi="Arial"/>
                <w:sz w:val="16"/>
              </w:rPr>
            </w:pPr>
            <w:r>
              <w:rPr>
                <w:rFonts w:ascii="Arial" w:hAnsi="Arial"/>
                <w:sz w:val="16"/>
              </w:rPr>
              <w:t>°C</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23" w:right="124"/>
              <w:jc w:val="center"/>
              <w:rPr>
                <w:rFonts w:ascii="Arial"/>
                <w:sz w:val="16"/>
              </w:rPr>
            </w:pPr>
            <w:r>
              <w:rPr>
                <w:rFonts w:ascii="Arial"/>
                <w:sz w:val="16"/>
              </w:rPr>
              <w:t>108</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02" w:right="0"/>
              <w:jc w:val="left"/>
              <w:rPr>
                <w:rFonts w:ascii="Arial"/>
                <w:sz w:val="16"/>
              </w:rPr>
            </w:pPr>
            <w:r>
              <w:rPr>
                <w:rFonts w:ascii="Arial"/>
                <w:sz w:val="16"/>
              </w:rPr>
              <w:t>Temperatura</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1"/>
              <w:rPr>
                <w:rFonts w:ascii="Arial"/>
                <w:sz w:val="16"/>
              </w:rPr>
            </w:pPr>
            <w:r>
              <w:rPr>
                <w:rFonts w:ascii="Arial"/>
                <w:sz w:val="16"/>
              </w:rPr>
              <w:t>0,007</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1"/>
              <w:rPr>
                <w:rFonts w:ascii="Arial"/>
                <w:sz w:val="16"/>
              </w:rPr>
            </w:pPr>
            <w:r>
              <w:rPr>
                <w:rFonts w:ascii="Arial"/>
                <w:sz w:val="16"/>
              </w:rPr>
              <w:t>16,24</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99"/>
              <w:rPr>
                <w:rFonts w:ascii="Arial"/>
                <w:sz w:val="16"/>
              </w:rPr>
            </w:pPr>
            <w:r>
              <w:rPr>
                <w:rFonts w:ascii="Arial"/>
                <w:sz w:val="16"/>
              </w:rPr>
              <w:t>16,71</w:t>
            </w:r>
          </w:p>
        </w:tc>
        <w:tc>
          <w:tcPr>
            <w:tcW w:w="120" w:type="dxa"/>
            <w:tcBorders>
              <w:top w:val="nil"/>
              <w:left w:val="single" w:sz="4" w:space="0" w:color="000000"/>
              <w:bottom w:val="nil"/>
            </w:tcBorders>
          </w:tcPr>
          <w:p>
            <w:pPr/>
          </w:p>
        </w:tc>
      </w:tr>
      <w:tr>
        <w:trPr>
          <w:trHeight w:val="192" w:hRule="exact"/>
        </w:trPr>
        <w:tc>
          <w:tcPr>
            <w:tcW w:w="1266" w:type="dxa"/>
            <w:tcBorders>
              <w:top w:val="single" w:sz="4" w:space="0" w:color="000000"/>
              <w:bottom w:val="single" w:sz="4" w:space="0" w:color="000000"/>
              <w:right w:val="single" w:sz="4" w:space="0" w:color="000000"/>
            </w:tcBorders>
          </w:tcPr>
          <w:p>
            <w:pPr>
              <w:pStyle w:val="TableParagraph"/>
              <w:spacing w:line="180" w:lineRule="exact" w:before="0"/>
              <w:ind w:left="123" w:right="0"/>
              <w:jc w:val="left"/>
              <w:rPr>
                <w:rFonts w:ascii="Arial"/>
                <w:sz w:val="16"/>
              </w:rPr>
            </w:pPr>
            <w:r>
              <w:rPr>
                <w:rFonts w:ascii="Arial"/>
                <w:sz w:val="16"/>
              </w:rPr>
              <w:t>pH</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50" w:right="50"/>
              <w:jc w:val="center"/>
              <w:rPr>
                <w:rFonts w:ascii="Arial" w:hAnsi="Arial"/>
                <w:sz w:val="16"/>
              </w:rPr>
            </w:pPr>
            <w:r>
              <w:rPr>
                <w:rFonts w:ascii="Arial" w:hAnsi="Arial"/>
                <w:sz w:val="16"/>
              </w:rPr>
              <w:t>6,88 ± 0,05</w:t>
            </w:r>
          </w:p>
        </w:tc>
        <w:tc>
          <w:tcPr>
            <w:tcW w:w="852" w:type="dxa"/>
            <w:tcBorders>
              <w:top w:val="single" w:sz="4" w:space="0" w:color="000000"/>
              <w:left w:val="single" w:sz="4" w:space="0" w:color="000000"/>
              <w:bottom w:val="single" w:sz="4" w:space="0" w:color="000000"/>
              <w:right w:val="single" w:sz="4" w:space="0" w:color="000000"/>
            </w:tcBorders>
          </w:tcPr>
          <w:p>
            <w:pP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24" w:right="124"/>
              <w:jc w:val="center"/>
              <w:rPr>
                <w:rFonts w:ascii="Arial"/>
                <w:sz w:val="16"/>
              </w:rPr>
            </w:pPr>
            <w:r>
              <w:rPr>
                <w:rFonts w:ascii="Arial"/>
                <w:sz w:val="16"/>
              </w:rPr>
              <w:t>121</w:t>
            </w:r>
          </w:p>
        </w:tc>
        <w:tc>
          <w:tcPr>
            <w:tcW w:w="238" w:type="dxa"/>
            <w:vMerge/>
            <w:tcBorders>
              <w:left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left="103" w:right="0"/>
              <w:jc w:val="left"/>
              <w:rPr>
                <w:rFonts w:ascii="Arial"/>
                <w:sz w:val="16"/>
              </w:rPr>
            </w:pPr>
            <w:r>
              <w:rPr>
                <w:rFonts w:ascii="Arial"/>
                <w:sz w:val="16"/>
              </w:rPr>
              <w:t>pH</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0,007</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100"/>
              <w:rPr>
                <w:rFonts w:ascii="Arial"/>
                <w:sz w:val="16"/>
              </w:rPr>
            </w:pPr>
            <w:r>
              <w:rPr>
                <w:rFonts w:ascii="Arial"/>
                <w:sz w:val="16"/>
              </w:rPr>
              <w:t>6,79</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0" w:lineRule="exact" w:before="0"/>
              <w:ind w:right="98"/>
              <w:rPr>
                <w:rFonts w:ascii="Arial"/>
                <w:sz w:val="16"/>
              </w:rPr>
            </w:pPr>
            <w:r>
              <w:rPr>
                <w:rFonts w:ascii="Arial"/>
                <w:sz w:val="16"/>
              </w:rPr>
              <w:t>6,97</w:t>
            </w:r>
          </w:p>
        </w:tc>
        <w:tc>
          <w:tcPr>
            <w:tcW w:w="120" w:type="dxa"/>
            <w:tcBorders>
              <w:top w:val="nil"/>
              <w:left w:val="single" w:sz="4" w:space="0" w:color="000000"/>
              <w:bottom w:val="nil"/>
            </w:tcBorders>
          </w:tcPr>
          <w:p>
            <w:pPr/>
          </w:p>
        </w:tc>
      </w:tr>
      <w:tr>
        <w:trPr>
          <w:trHeight w:val="194" w:hRule="exact"/>
        </w:trPr>
        <w:tc>
          <w:tcPr>
            <w:tcW w:w="1266" w:type="dxa"/>
            <w:tcBorders>
              <w:top w:val="single" w:sz="4" w:space="0" w:color="000000"/>
              <w:bottom w:val="single" w:sz="4" w:space="0" w:color="000000"/>
              <w:right w:val="single" w:sz="4" w:space="0" w:color="000000"/>
            </w:tcBorders>
          </w:tcPr>
          <w:p>
            <w:pPr>
              <w:pStyle w:val="TableParagraph"/>
              <w:spacing w:line="183" w:lineRule="exact" w:before="0"/>
              <w:ind w:left="123" w:right="0"/>
              <w:jc w:val="left"/>
              <w:rPr>
                <w:rFonts w:ascii="Arial"/>
                <w:sz w:val="16"/>
              </w:rPr>
            </w:pPr>
            <w:r>
              <w:rPr>
                <w:rFonts w:ascii="Arial"/>
                <w:sz w:val="16"/>
              </w:rPr>
              <w:t>OD</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left="50" w:right="50"/>
              <w:jc w:val="center"/>
              <w:rPr>
                <w:rFonts w:ascii="Arial" w:hAnsi="Arial"/>
                <w:sz w:val="16"/>
              </w:rPr>
            </w:pPr>
            <w:r>
              <w:rPr>
                <w:rFonts w:ascii="Arial" w:hAnsi="Arial"/>
                <w:sz w:val="16"/>
              </w:rPr>
              <w:t>1,39 ± 0,12</w:t>
            </w:r>
          </w:p>
        </w:tc>
        <w:tc>
          <w:tcPr>
            <w:tcW w:w="852"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left="85" w:right="85"/>
              <w:jc w:val="center"/>
              <w:rPr>
                <w:rFonts w:ascii="Arial"/>
                <w:sz w:val="16"/>
              </w:rPr>
            </w:pPr>
            <w:r>
              <w:rPr>
                <w:rFonts w:ascii="Arial"/>
                <w:sz w:val="16"/>
              </w:rPr>
              <w:t>mg/L</w:t>
            </w:r>
          </w:p>
        </w:tc>
        <w:tc>
          <w:tcPr>
            <w:tcW w:w="566"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left="124" w:right="124"/>
              <w:jc w:val="center"/>
              <w:rPr>
                <w:rFonts w:ascii="Arial"/>
                <w:sz w:val="16"/>
              </w:rPr>
            </w:pPr>
            <w:r>
              <w:rPr>
                <w:rFonts w:ascii="Arial"/>
                <w:sz w:val="16"/>
              </w:rPr>
              <w:t>118</w:t>
            </w:r>
          </w:p>
        </w:tc>
        <w:tc>
          <w:tcPr>
            <w:tcW w:w="238" w:type="dxa"/>
            <w:vMerge/>
            <w:tcBorders>
              <w:left w:val="single" w:sz="4" w:space="0" w:color="000000"/>
              <w:bottom w:val="single" w:sz="4" w:space="0" w:color="000000"/>
              <w:right w:val="single" w:sz="4" w:space="0" w:color="000000"/>
            </w:tcBorders>
          </w:tcPr>
          <w:p>
            <w:pPr/>
          </w:p>
        </w:tc>
        <w:tc>
          <w:tcPr>
            <w:tcW w:w="1262"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left="102" w:right="0"/>
              <w:jc w:val="left"/>
              <w:rPr>
                <w:rFonts w:ascii="Arial"/>
                <w:sz w:val="16"/>
              </w:rPr>
            </w:pPr>
            <w:r>
              <w:rPr>
                <w:rFonts w:ascii="Arial"/>
                <w:sz w:val="16"/>
              </w:rPr>
              <w:t>OD</w:t>
            </w:r>
          </w:p>
        </w:tc>
        <w:tc>
          <w:tcPr>
            <w:tcW w:w="994"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right="100"/>
              <w:rPr>
                <w:rFonts w:ascii="Arial"/>
                <w:sz w:val="16"/>
              </w:rPr>
            </w:pPr>
            <w:r>
              <w:rPr>
                <w:rFonts w:ascii="Arial"/>
                <w:sz w:val="16"/>
              </w:rPr>
              <w:t>0,086</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right="100"/>
              <w:rPr>
                <w:rFonts w:ascii="Arial"/>
                <w:sz w:val="16"/>
              </w:rPr>
            </w:pPr>
            <w:r>
              <w:rPr>
                <w:rFonts w:ascii="Arial"/>
                <w:sz w:val="16"/>
              </w:rPr>
              <w:t>1,16</w:t>
            </w:r>
          </w:p>
        </w:tc>
        <w:tc>
          <w:tcPr>
            <w:tcW w:w="850" w:type="dxa"/>
            <w:tcBorders>
              <w:top w:val="single" w:sz="4" w:space="0" w:color="000000"/>
              <w:left w:val="single" w:sz="4" w:space="0" w:color="000000"/>
              <w:bottom w:val="single" w:sz="4" w:space="0" w:color="000000"/>
              <w:right w:val="single" w:sz="4" w:space="0" w:color="000000"/>
            </w:tcBorders>
          </w:tcPr>
          <w:p>
            <w:pPr>
              <w:pStyle w:val="TableParagraph"/>
              <w:spacing w:line="183" w:lineRule="exact" w:before="0"/>
              <w:ind w:right="98"/>
              <w:rPr>
                <w:rFonts w:ascii="Arial"/>
                <w:sz w:val="16"/>
              </w:rPr>
            </w:pPr>
            <w:r>
              <w:rPr>
                <w:rFonts w:ascii="Arial"/>
                <w:sz w:val="16"/>
              </w:rPr>
              <w:t>1,63</w:t>
            </w:r>
          </w:p>
        </w:tc>
        <w:tc>
          <w:tcPr>
            <w:tcW w:w="120" w:type="dxa"/>
            <w:tcBorders>
              <w:top w:val="nil"/>
              <w:left w:val="single" w:sz="4" w:space="0" w:color="000000"/>
              <w:bottom w:val="nil"/>
            </w:tcBorders>
          </w:tcPr>
          <w:p>
            <w:pPr/>
          </w:p>
        </w:tc>
      </w:tr>
      <w:tr>
        <w:trPr>
          <w:trHeight w:val="168" w:hRule="exact"/>
        </w:trPr>
        <w:tc>
          <w:tcPr>
            <w:tcW w:w="8473" w:type="dxa"/>
            <w:gridSpan w:val="10"/>
            <w:tcBorders>
              <w:top w:val="single" w:sz="4" w:space="0" w:color="000000"/>
            </w:tcBorders>
          </w:tcPr>
          <w:p>
            <w:pPr/>
          </w:p>
        </w:tc>
      </w:tr>
    </w:tbl>
    <w:p>
      <w:pPr>
        <w:pStyle w:val="BodyText"/>
        <w:spacing w:before="8"/>
        <w:rPr>
          <w:sz w:val="15"/>
        </w:rPr>
      </w:pPr>
      <w:r>
        <w:rPr/>
        <w:pict>
          <v:shape style="position:absolute;margin-left:201.479904pt;margin-top:10.270164pt;width:39.7pt;height:8.0500pt;mso-position-horizontal-relative:page;mso-position-vertical-relative:paragraph;z-index:7408;mso-wrap-distance-left:0;mso-wrap-distance-right:0" type="#_x0000_t202" filled="false" stroked="false">
            <v:textbox inset="0,0,0,0">
              <w:txbxContent>
                <w:p>
                  <w:pPr>
                    <w:spacing w:line="161" w:lineRule="exact" w:before="0"/>
                    <w:ind w:left="0" w:right="-18" w:firstLine="0"/>
                    <w:jc w:val="left"/>
                    <w:rPr>
                      <w:b/>
                      <w:sz w:val="16"/>
                    </w:rPr>
                  </w:pPr>
                  <w:r>
                    <w:rPr>
                      <w:b/>
                      <w:sz w:val="16"/>
                    </w:rPr>
                    <w:t>Parámetro</w:t>
                  </w:r>
                </w:p>
              </w:txbxContent>
            </v:textbox>
            <w10:wrap type="topAndBottom"/>
          </v:shape>
        </w:pict>
      </w:r>
      <w:r>
        <w:rPr/>
        <w:pict>
          <v:shape style="position:absolute;margin-left:270.239899pt;margin-top:10.270164pt;width:58.75pt;height:17.3pt;mso-position-horizontal-relative:page;mso-position-vertical-relative:paragraph;z-index:7432;mso-wrap-distance-left:0;mso-wrap-distance-right:0" type="#_x0000_t202" filled="false" stroked="false">
            <v:textbox inset="0,0,0,0">
              <w:txbxContent>
                <w:p>
                  <w:pPr>
                    <w:spacing w:line="164" w:lineRule="exact" w:before="0"/>
                    <w:ind w:left="0" w:right="0" w:firstLine="0"/>
                    <w:jc w:val="center"/>
                    <w:rPr>
                      <w:b/>
                      <w:sz w:val="16"/>
                    </w:rPr>
                  </w:pPr>
                  <w:r>
                    <w:rPr>
                      <w:b/>
                      <w:sz w:val="16"/>
                    </w:rPr>
                    <w:t>Eficiencia (%) ±</w:t>
                  </w:r>
                </w:p>
                <w:p>
                  <w:pPr>
                    <w:spacing w:line="181" w:lineRule="exact" w:before="1"/>
                    <w:ind w:left="0" w:right="1" w:firstLine="0"/>
                    <w:jc w:val="center"/>
                    <w:rPr>
                      <w:b/>
                      <w:sz w:val="16"/>
                    </w:rPr>
                  </w:pPr>
                  <w:r>
                    <w:rPr>
                      <w:b/>
                      <w:sz w:val="16"/>
                    </w:rPr>
                    <w:t>Desviación</w:t>
                  </w:r>
                </w:p>
              </w:txbxContent>
            </v:textbox>
            <w10:wrap type="topAndBottom"/>
          </v:shape>
        </w:pict>
      </w:r>
    </w:p>
    <w:p>
      <w:pPr>
        <w:tabs>
          <w:tab w:pos="7074" w:val="left" w:leader="none"/>
        </w:tabs>
        <w:spacing w:line="240" w:lineRule="auto"/>
        <w:ind w:left="3294" w:right="0" w:firstLine="0"/>
        <w:rPr>
          <w:sz w:val="20"/>
        </w:rPr>
      </w:pPr>
      <w:r>
        <w:rPr>
          <w:position w:val="15"/>
          <w:sz w:val="20"/>
        </w:rPr>
        <w:pict>
          <v:shape style="width:156.4pt;height:54.6pt;mso-position-horizontal-relative:char;mso-position-vertical-relative:line" type="#_x0000_t202" filled="false" stroked="false">
            <w10:anchorlock/>
            <v:textbox inset="0,0,0,0">
              <w:txbxContent>
                <w:p>
                  <w:pPr>
                    <w:tabs>
                      <w:tab w:pos="1922" w:val="left" w:leader="none"/>
                      <w:tab w:pos="3127" w:val="left" w:leader="none"/>
                    </w:tabs>
                    <w:spacing w:line="164" w:lineRule="exact" w:before="0"/>
                    <w:ind w:left="0" w:right="0" w:firstLine="0"/>
                    <w:jc w:val="left"/>
                    <w:rPr>
                      <w:b/>
                      <w:sz w:val="16"/>
                    </w:rPr>
                  </w:pPr>
                  <w:r>
                    <w:rPr>
                      <w:rFonts w:ascii="Times New Roman" w:hAnsi="Times New Roman"/>
                      <w:w w:val="100"/>
                      <w:sz w:val="16"/>
                      <w:u w:val="single"/>
                    </w:rPr>
                    <w:t> </w:t>
                  </w:r>
                  <w:r>
                    <w:rPr>
                      <w:rFonts w:ascii="Times New Roman" w:hAnsi="Times New Roman"/>
                      <w:sz w:val="16"/>
                      <w:u w:val="single"/>
                    </w:rPr>
                    <w:tab/>
                  </w:r>
                  <w:r>
                    <w:rPr>
                      <w:b/>
                      <w:sz w:val="16"/>
                      <w:u w:val="single"/>
                    </w:rPr>
                    <w:t>estándar</w:t>
                    <w:tab/>
                  </w:r>
                </w:p>
                <w:p>
                  <w:pPr>
                    <w:tabs>
                      <w:tab w:pos="1629" w:val="left" w:leader="none"/>
                    </w:tabs>
                    <w:spacing w:line="188" w:lineRule="exact" w:before="9"/>
                    <w:ind w:left="463" w:right="0" w:firstLine="0"/>
                    <w:jc w:val="left"/>
                    <w:rPr>
                      <w:sz w:val="16"/>
                    </w:rPr>
                  </w:pPr>
                  <w:r>
                    <w:rPr>
                      <w:position w:val="2"/>
                      <w:sz w:val="16"/>
                    </w:rPr>
                    <w:t>N-NH</w:t>
                  </w:r>
                  <w:r>
                    <w:rPr>
                      <w:sz w:val="10"/>
                    </w:rPr>
                    <w:t>3</w:t>
                    <w:tab/>
                  </w:r>
                  <w:r>
                    <w:rPr>
                      <w:position w:val="2"/>
                      <w:sz w:val="16"/>
                    </w:rPr>
                    <w:t>-1 110,16 ±</w:t>
                  </w:r>
                  <w:r>
                    <w:rPr>
                      <w:spacing w:val="-4"/>
                      <w:position w:val="2"/>
                      <w:sz w:val="16"/>
                    </w:rPr>
                    <w:t> </w:t>
                  </w:r>
                  <w:r>
                    <w:rPr>
                      <w:position w:val="2"/>
                      <w:sz w:val="16"/>
                    </w:rPr>
                    <w:t>46,23</w:t>
                  </w:r>
                </w:p>
                <w:p>
                  <w:pPr>
                    <w:tabs>
                      <w:tab w:pos="1785" w:val="left" w:leader="none"/>
                    </w:tabs>
                    <w:spacing w:line="185" w:lineRule="exact" w:before="0"/>
                    <w:ind w:left="458" w:right="0" w:firstLine="0"/>
                    <w:jc w:val="left"/>
                    <w:rPr>
                      <w:sz w:val="16"/>
                    </w:rPr>
                  </w:pPr>
                  <w:r>
                    <w:rPr>
                      <w:position w:val="2"/>
                      <w:sz w:val="16"/>
                    </w:rPr>
                    <w:t>N-NO</w:t>
                  </w:r>
                  <w:r>
                    <w:rPr>
                      <w:sz w:val="10"/>
                    </w:rPr>
                    <w:t>2</w:t>
                    <w:tab/>
                  </w:r>
                  <w:r>
                    <w:rPr>
                      <w:position w:val="2"/>
                      <w:sz w:val="16"/>
                    </w:rPr>
                    <w:t>-48,49 ±</w:t>
                  </w:r>
                  <w:r>
                    <w:rPr>
                      <w:spacing w:val="-3"/>
                      <w:position w:val="2"/>
                      <w:sz w:val="16"/>
                    </w:rPr>
                    <w:t> </w:t>
                  </w:r>
                  <w:r>
                    <w:rPr>
                      <w:position w:val="2"/>
                      <w:sz w:val="16"/>
                    </w:rPr>
                    <w:t>1,97</w:t>
                  </w:r>
                </w:p>
                <w:p>
                  <w:pPr>
                    <w:tabs>
                      <w:tab w:pos="1857" w:val="left" w:leader="none"/>
                    </w:tabs>
                    <w:spacing w:line="184" w:lineRule="exact" w:before="0"/>
                    <w:ind w:left="458" w:right="0" w:firstLine="0"/>
                    <w:jc w:val="left"/>
                    <w:rPr>
                      <w:sz w:val="16"/>
                    </w:rPr>
                  </w:pPr>
                  <w:r>
                    <w:rPr>
                      <w:position w:val="2"/>
                      <w:sz w:val="16"/>
                    </w:rPr>
                    <w:t>N-NO</w:t>
                  </w:r>
                  <w:r>
                    <w:rPr>
                      <w:sz w:val="10"/>
                    </w:rPr>
                    <w:t>3</w:t>
                    <w:tab/>
                  </w:r>
                  <w:r>
                    <w:rPr>
                      <w:position w:val="2"/>
                      <w:sz w:val="16"/>
                    </w:rPr>
                    <w:t>0,98 ±</w:t>
                  </w:r>
                  <w:r>
                    <w:rPr>
                      <w:spacing w:val="-1"/>
                      <w:position w:val="2"/>
                      <w:sz w:val="16"/>
                    </w:rPr>
                    <w:t> </w:t>
                  </w:r>
                  <w:r>
                    <w:rPr>
                      <w:position w:val="2"/>
                      <w:sz w:val="16"/>
                    </w:rPr>
                    <w:t>0,77</w:t>
                  </w:r>
                </w:p>
                <w:p>
                  <w:pPr>
                    <w:tabs>
                      <w:tab w:pos="1785" w:val="left" w:leader="none"/>
                    </w:tabs>
                    <w:spacing w:line="180" w:lineRule="exact" w:before="0"/>
                    <w:ind w:left="508" w:right="0" w:firstLine="0"/>
                    <w:jc w:val="left"/>
                    <w:rPr>
                      <w:sz w:val="16"/>
                    </w:rPr>
                  </w:pPr>
                  <w:r>
                    <w:rPr>
                      <w:sz w:val="16"/>
                    </w:rPr>
                    <w:t>DQO</w:t>
                    <w:tab/>
                    <w:t>-34,18 ±</w:t>
                  </w:r>
                  <w:r>
                    <w:rPr>
                      <w:spacing w:val="-3"/>
                      <w:sz w:val="16"/>
                    </w:rPr>
                    <w:t> </w:t>
                  </w:r>
                  <w:r>
                    <w:rPr>
                      <w:sz w:val="16"/>
                    </w:rPr>
                    <w:t>0,35</w:t>
                  </w:r>
                </w:p>
                <w:p>
                  <w:pPr>
                    <w:tabs>
                      <w:tab w:pos="1740" w:val="left" w:leader="none"/>
                    </w:tabs>
                    <w:spacing w:line="181" w:lineRule="exact" w:before="1"/>
                    <w:ind w:left="535" w:right="0" w:firstLine="0"/>
                    <w:jc w:val="left"/>
                    <w:rPr>
                      <w:sz w:val="16"/>
                    </w:rPr>
                  </w:pPr>
                  <w:r>
                    <w:rPr>
                      <w:sz w:val="16"/>
                    </w:rPr>
                    <w:t>SST</w:t>
                    <w:tab/>
                    <w:t>-112,93 ±</w:t>
                  </w:r>
                  <w:r>
                    <w:rPr>
                      <w:spacing w:val="-4"/>
                      <w:sz w:val="16"/>
                    </w:rPr>
                    <w:t> </w:t>
                  </w:r>
                  <w:r>
                    <w:rPr>
                      <w:sz w:val="16"/>
                    </w:rPr>
                    <w:t>5,16</w:t>
                  </w:r>
                </w:p>
              </w:txbxContent>
            </v:textbox>
          </v:shape>
        </w:pict>
      </w:r>
      <w:r>
        <w:rPr>
          <w:position w:val="15"/>
          <w:sz w:val="20"/>
        </w:rPr>
      </w:r>
      <w:r>
        <w:rPr>
          <w:position w:val="15"/>
          <w:sz w:val="20"/>
        </w:rPr>
        <w:tab/>
      </w:r>
      <w:r>
        <w:rPr>
          <w:sz w:val="20"/>
        </w:rPr>
        <w:pict>
          <v:shape style="width:168.25pt;height:43.7pt;mso-position-horizontal-relative:char;mso-position-vertical-relative:line" type="#_x0000_t202" filled="false" stroked="true" strokeweight=".75pt" strokecolor="#000000">
            <w10:anchorlock/>
            <v:textbox inset="0,0,0,0">
              <w:txbxContent>
                <w:p>
                  <w:pPr>
                    <w:spacing w:before="71"/>
                    <w:ind w:left="143" w:right="140" w:firstLine="0"/>
                    <w:jc w:val="left"/>
                    <w:rPr>
                      <w:sz w:val="18"/>
                    </w:rPr>
                  </w:pPr>
                  <w:r>
                    <w:rPr>
                      <w:sz w:val="18"/>
                    </w:rPr>
                    <w:t>#: Número de muestreos en el intervalo óptimo</w:t>
                  </w:r>
                </w:p>
                <w:p>
                  <w:pPr>
                    <w:spacing w:line="213" w:lineRule="exact" w:before="0"/>
                    <w:ind w:left="143" w:right="140" w:firstLine="0"/>
                    <w:jc w:val="left"/>
                    <w:rPr>
                      <w:sz w:val="18"/>
                    </w:rPr>
                  </w:pPr>
                  <w:r>
                    <w:rPr>
                      <w:position w:val="2"/>
                      <w:sz w:val="18"/>
                    </w:rPr>
                    <w:t>*: mg como CaCO</w:t>
                  </w:r>
                  <w:r>
                    <w:rPr>
                      <w:sz w:val="12"/>
                    </w:rPr>
                    <w:t>3</w:t>
                  </w:r>
                  <w:r>
                    <w:rPr>
                      <w:position w:val="2"/>
                      <w:sz w:val="18"/>
                    </w:rPr>
                    <w:t>/L</w:t>
                  </w:r>
                </w:p>
              </w:txbxContent>
            </v:textbox>
          </v:shape>
        </w:pict>
      </w:r>
      <w:r>
        <w:rPr>
          <w:sz w:val="20"/>
        </w:rPr>
      </w:r>
    </w:p>
    <w:p>
      <w:pPr>
        <w:spacing w:before="126"/>
        <w:ind w:left="3822" w:right="1421" w:hanging="2146"/>
        <w:jc w:val="left"/>
        <w:rPr>
          <w:b/>
          <w:sz w:val="18"/>
        </w:rPr>
      </w:pPr>
      <w:r>
        <w:rPr/>
        <w:pict>
          <v:group style="position:absolute;margin-left:27.584999pt;margin-top:-497.193176pt;width:544.950pt;height:499.75pt;mso-position-horizontal-relative:page;mso-position-vertical-relative:paragraph;z-index:-1524304" coordorigin="552,-9944" coordsize="10899,9995">
            <v:shape style="position:absolute;left:5556;top:-6320;width:180;height:19" type="#_x0000_t75" stroked="false">
              <v:imagedata r:id="rId64" o:title=""/>
            </v:shape>
            <v:shape style="position:absolute;left:4332;top:-6320;width:1308;height:125" type="#_x0000_t75" stroked="false">
              <v:imagedata r:id="rId65" o:title=""/>
            </v:shape>
            <v:shape style="position:absolute;left:4488;top:-6190;width:12;height:48" coordorigin="4488,-6190" coordsize="12,48" path="m4488,-6190l4500,-6190m4488,-6180l4500,-6180m4488,-6171l4500,-6171m4488,-6161l4500,-6161m4488,-6152l4500,-6152m4488,-6142l4500,-6142e" filled="false" stroked="true" strokeweight=".48pt" strokecolor="#000000">
              <v:path arrowok="t"/>
            </v:shape>
            <v:shape style="position:absolute;left:5028;top:-6185;width:96;height:48" type="#_x0000_t75" stroked="false">
              <v:imagedata r:id="rId66" o:title=""/>
            </v:shape>
            <v:shape style="position:absolute;left:4488;top:-6132;width:12;height:202" coordorigin="4488,-6132" coordsize="12,202" path="m4488,-6132l4500,-6132m4488,-6123l4500,-6123m4488,-6113l4500,-6113m4488,-6104l4500,-6104m4488,-6094l4500,-6094m4488,-6084l4500,-6084m4488,-6075l4500,-6075m4488,-6065l4500,-6065m4488,-6056l4500,-6056m4488,-6046l4500,-6046m4488,-6036l4500,-6036m4488,-6027l4500,-6027m4488,-6017l4500,-6017m4488,-6008l4500,-6008m4488,-5998l4500,-5998m4488,-5988l4500,-5988m4488,-5979l4500,-5979m4488,-5969l4500,-5969m4488,-5960l4500,-5960m4488,-5950l4500,-5950m4488,-5940l4500,-5940m4488,-5931l4500,-5931e" filled="false" stroked="true" strokeweight=".48pt" strokecolor="#000000">
              <v:path arrowok="t"/>
            </v:shape>
            <v:line style="position:absolute" from="4488,-5921" to="4500,-5921" stroked="true" strokeweight=".48pt" strokecolor="#000000"/>
            <v:shape style="position:absolute;left:4488;top:-5912;width:12;height:941" coordorigin="4488,-5912" coordsize="12,941" path="m4488,-5912l4500,-5912m4488,-5902l4500,-5902m4488,-5892l4500,-5892m4488,-5883l4500,-5883m4488,-5873l4500,-5873m4488,-5864l4500,-5864m4488,-5854l4500,-5854m4488,-5844l4500,-5844m4488,-5835l4500,-5835m4488,-5825l4500,-5825m4488,-5816l4500,-5816m4488,-5806l4500,-5806m4488,-5796l4500,-5796m4488,-5787l4500,-5787m4488,-5777l4500,-5777m4488,-5768l4500,-5768m4488,-5758l4500,-5758m4488,-5748l4500,-5748m4488,-5739l4500,-5739m4488,-5729l4500,-5729m4488,-5720l4500,-5720m4488,-5710l4500,-5710m4488,-5700l4500,-5700m4488,-5691l4500,-5691m4488,-5681l4500,-5681m4488,-5672l4500,-5672m4488,-5662l4500,-5662m4488,-5652l4500,-5652m4488,-5643l4500,-5643m4488,-5633l4500,-5633m4488,-5624l4500,-5624m4488,-5614l4500,-5614m4488,-5604l4500,-5604m4488,-5595l4500,-5595m4488,-5585l4500,-5585m4488,-5576l4500,-5576m4488,-5566l4500,-5566m4488,-5556l4500,-5556m4488,-5547l4500,-5547m4488,-5537l4500,-5537m4488,-5528l4500,-5528m4488,-5518l4500,-5518m4488,-5508l4500,-5508m4488,-5499l4500,-5499m4488,-5489l4500,-5489m4488,-5480l4500,-5480m4488,-5470l4500,-5470m4488,-5460l4500,-5460m4488,-5451l4500,-5451m4488,-5441l4500,-5441m4488,-5432l4500,-5432m4488,-5422l4500,-5422m4488,-5412l4500,-5412m4488,-5403l4500,-5403m4488,-5393l4500,-5393m4488,-5384l4500,-5384m4488,-5374l4500,-5374m4488,-5364l4500,-5364m4488,-5355l4500,-5355m4488,-5345l4500,-5345m4488,-5336l4500,-5336m4488,-5326l4500,-5326m4488,-5316l4500,-5316m4488,-5307l4500,-5307m4488,-5297l4500,-5297m4488,-5288l4500,-5288m4488,-5278l4500,-5278m4488,-5268l4500,-5268m4488,-5259l4500,-5259m4488,-5249l4500,-5249m4488,-5240l4500,-5240m4488,-5230l4500,-5230m4488,-5220l4500,-5220m4488,-5211l4500,-5211m4488,-5201l4500,-5201m4488,-5192l4500,-5192m4488,-5182l4500,-5182m4488,-5172l4500,-5172m4488,-5163l4500,-5163m4488,-5153l4500,-5153m4488,-5144l4500,-5144m4488,-5134l4500,-5134m4488,-5124l4500,-5124m4488,-5115l4500,-5115m4488,-5105l4500,-5105m4488,-5096l4500,-5096m4488,-5086l4500,-5086m4488,-5076l4500,-5076m4488,-5057l4500,-5057m4488,-5048l4500,-5048m4488,-5028l4500,-5028m4488,-5019l4500,-5019m4488,-5000l4500,-5000m4488,-4990l4500,-4990m4488,-4980l4500,-4980m4488,-4971l4500,-4971e" filled="false" stroked="true" strokeweight=".48pt" strokecolor="#000000">
              <v:path arrowok="t"/>
            </v:shape>
            <v:shape style="position:absolute;left:4332;top:-6195;width:12;height:1238" type="#_x0000_t75" stroked="false">
              <v:imagedata r:id="rId67" o:title=""/>
            </v:shape>
            <v:shape style="position:absolute;left:4488;top:-4961;width:12;height:10" coordorigin="4488,-4961" coordsize="12,10" path="m4488,-4961l4500,-4961m4488,-4952l4500,-4952e" filled="false" stroked="true" strokeweight=".48pt" strokecolor="#000000">
              <v:path arrowok="t"/>
            </v:shape>
            <v:shape style="position:absolute;left:4488;top:-5072;width:1080;height:134" type="#_x0000_t75" stroked="false">
              <v:imagedata r:id="rId68" o:title=""/>
            </v:shape>
            <v:shape style="position:absolute;left:4483;top:-4947;width:1090;height:58" type="#_x0000_t75" stroked="false">
              <v:imagedata r:id="rId69" o:title=""/>
            </v:shape>
            <v:shape style="position:absolute;left:4332;top:-4884;width:168;height:212" coordorigin="4332,-4884" coordsize="168,212" path="m4488,-4884l4500,-4884m4488,-4875l4500,-4875m4488,-4865l4500,-4865m4488,-4856l4500,-4856m4488,-4846l4500,-4846m4488,-4836l4500,-4836m4488,-4827l4500,-4827m4488,-4817l4500,-4817m4488,-4808l4500,-4808m4488,-4798l4500,-4798m4332,-4788l4344,-4788m4488,-4788l4500,-4788m4332,-4779l4344,-4779m4488,-4779l4500,-4779m4332,-4769l4344,-4769m4488,-4769l4500,-4769m4332,-4760l4344,-4760m4488,-4760l4500,-4760m4332,-4750l4344,-4750m4332,-4740l4344,-4740m4488,-4740l4500,-4740m4332,-4731l4344,-4731m4488,-4731l4500,-4731m4332,-4721l4344,-4721m4332,-4712l4344,-4712m4488,-4712l4500,-4712m4332,-4702l4344,-4702m4488,-4702l4500,-4702m4332,-4692l4344,-4692m4488,-4692l4500,-4692m4332,-4683l4344,-4683m4488,-4683l4500,-4683m4332,-4673l4344,-4673m4488,-4673l4500,-4673e" filled="false" stroked="true" strokeweight=".48pt" strokecolor="#000000">
              <v:path arrowok="t"/>
            </v:shape>
            <v:shape style="position:absolute;left:6684;top:-6320;width:192;height:19" type="#_x0000_t75" stroked="false">
              <v:imagedata r:id="rId70" o:title=""/>
            </v:shape>
            <v:shape style="position:absolute;left:6108;top:-6147;width:204;height:19" type="#_x0000_t75" stroked="false">
              <v:imagedata r:id="rId71" o:title=""/>
            </v:shape>
            <v:shape style="position:absolute;left:6300;top:-6320;width:2160;height:1526" type="#_x0000_t75" stroked="false">
              <v:imagedata r:id="rId72" o:title=""/>
            </v:shape>
            <v:shape style="position:absolute;left:4080;top:-4889;width:4380;height:288" type="#_x0000_t75" stroked="false">
              <v:imagedata r:id="rId73" o:title=""/>
            </v:shape>
            <v:shape style="position:absolute;left:3761;top:-9046;width:5631;height:4599" coordorigin="3761,-9046" coordsize="5631,4599" path="m4802,-4508l4800,-4512,4795,-4515,3881,-4515,3881,-4568,3761,-4508,3881,-4448,3881,-4500,4800,-4500,4802,-4508m5225,-6435l5175,-6422,4519,-9039,4514,-9044,4510,-9046,4505,-9041,4505,-9036,5160,-6419,5110,-6406,5196,-6303,5216,-6394,5225,-6435m9391,-4508l9377,-4515,9271,-4568,9271,-4515,7846,-4515,7841,-4512,7838,-4508,7841,-4500,9271,-4500,9271,-4448,9377,-4500,9391,-4508e" filled="true" fillcolor="#000000" stroked="false">
              <v:path arrowok="t"/>
              <v:fill type="solid"/>
            </v:shape>
            <v:rect style="position:absolute;left:1274;top:-9936;width:9720;height:9979" filled="false" stroked="true" strokeweight=".75pt" strokecolor="#000000"/>
            <v:rect style="position:absolute;left:559;top:-9644;width:3953;height:4709" filled="true" fillcolor="#ffffff" stroked="false">
              <v:fill type="solid"/>
            </v:rect>
            <v:rect style="position:absolute;left:559;top:-9644;width:3953;height:4709" filled="false" stroked="true" strokeweight=".75pt" strokecolor="#000000"/>
            <v:shape style="position:absolute;left:605;top:-9080;width:3833;height:920" coordorigin="605,-9080" coordsize="3833,920" path="m713,-9080l605,-9080,605,-8895,605,-8712,605,-8528,605,-8343,605,-8160,713,-8160,713,-8343,713,-8528,713,-8712,713,-8895,713,-9080m1954,-9080l1846,-9080,1738,-9080,1738,-9080,713,-9080,713,-8895,713,-8712,713,-8528,713,-8343,713,-8160,1738,-8160,1738,-8160,1846,-8160,1954,-8160,1954,-8343,1954,-8528,1954,-8712,1954,-8895,1954,-9080m3151,-9080l3043,-9080,2935,-9080,2935,-9080,1954,-9080,1954,-8895,1954,-8712,1954,-8528,1954,-8343,1954,-8160,2935,-8160,2935,-8160,3043,-8160,3151,-8160,3151,-8343,3151,-8528,3151,-8712,3151,-8895,3151,-9080m3998,-9080l3890,-9080,3782,-9080,3782,-9080,3151,-9080,3151,-8895,3151,-8712,3151,-8528,3151,-8343,3151,-8160,3782,-8160,3782,-8160,3890,-8160,3998,-8160,3998,-8343,3998,-8528,3998,-8712,3998,-8895,3998,-9080m4438,-9080l4330,-9080,4330,-9080,3998,-9080,3998,-8895,3998,-8712,3998,-8528,3998,-8343,3998,-8160,4330,-8160,4330,-8160,4438,-8160,4438,-8343,4438,-8528,4438,-8712,4438,-8895,4438,-9080e" filled="true" fillcolor="#00b04f" stroked="false">
              <v:path arrowok="t"/>
              <v:fill type="solid"/>
            </v:shape>
            <v:shape style="position:absolute;left:605;top:-8160;width:3833;height:370" coordorigin="605,-8160" coordsize="3833,370" path="m713,-8160l605,-8160,605,-7976,605,-7791,713,-7791,713,-7976,713,-8160m1954,-8160l1846,-8160,1738,-8160,1738,-8160,713,-8160,713,-7976,713,-7791,1738,-7791,1738,-7791,1846,-7791,1954,-7791,1954,-7976,1954,-8160m3151,-8160l3043,-8160,2935,-8160,2935,-8160,1954,-8160,1954,-7976,1954,-7791,2935,-7791,2935,-7791,3043,-7791,3151,-7791,3151,-7976,3151,-8160m3998,-8160l3890,-8160,3782,-8160,3782,-8160,3151,-8160,3151,-7976,3151,-7791,3782,-7791,3782,-7791,3890,-7791,3998,-7791,3998,-7976,3998,-8160m4438,-8160l4330,-8160,4330,-8160,3998,-8160,3998,-7976,3998,-7791,4330,-7791,4330,-7791,4438,-7791,4438,-7976,4438,-8160e" filled="true" fillcolor="#ffff00" stroked="false">
              <v:path arrowok="t"/>
              <v:fill type="solid"/>
            </v:shape>
            <v:shape style="position:absolute;left:605;top:-7791;width:3833;height:368" coordorigin="605,-7791" coordsize="3833,368" path="m713,-7791l605,-7791,605,-7608,605,-7424,713,-7424,713,-7608,713,-7791m1954,-7791l1846,-7791,1738,-7791,1738,-7791,713,-7791,713,-7608,713,-7424,1738,-7424,1738,-7424,1846,-7424,1954,-7424,1954,-7608,1954,-7791m3151,-7791l3043,-7791,2935,-7791,2935,-7791,1954,-7791,1954,-7608,1954,-7424,2935,-7424,2935,-7424,3043,-7424,3151,-7424,3151,-7608,3151,-7791m3998,-7791l3890,-7791,3782,-7791,3782,-7791,3151,-7791,3151,-7608,3151,-7424,3782,-7424,3782,-7424,3890,-7424,3998,-7424,3998,-7608,3998,-7791m4438,-7791l4330,-7791,4330,-7791,3998,-7791,3998,-7608,3998,-7424,4330,-7424,4330,-7424,4438,-7424,4438,-7608,4438,-7791e" filled="true" fillcolor="#00b04f" stroked="false">
              <v:path arrowok="t"/>
              <v:fill type="solid"/>
            </v:shape>
            <v:shape style="position:absolute;left:605;top:-7239;width:3521;height:2225" coordorigin="605,-7239" coordsize="3521,2225" path="m610,-7234l1733,-7234m1742,-7234l2702,-7234m2712,-7234l4121,-7234m610,-6742l1733,-6742m1742,-6742l2702,-6742m2712,-6742l3413,-6742m3422,-6742l4121,-6742m610,-6548l1733,-6548m1742,-6548l2702,-6548m2712,-6548l3413,-6548m3422,-6548l4121,-6548m610,-6353l1733,-6353m1742,-6353l2702,-6353m2712,-6353l3413,-6353m3422,-6353l4121,-6353m610,-6161l1733,-6161m1742,-6161l2702,-6161m2712,-6161l3413,-6161m3422,-6161l4121,-6161m610,-5967l1733,-5967m1742,-5967l2702,-5967m2712,-5967l3413,-5967m3422,-5967l4121,-5967m610,-5772l1733,-5772m1742,-5772l2702,-5772m2712,-5772l3413,-5772m3422,-5772l4121,-5772m610,-5578l1733,-5578m1742,-5578l2702,-5578m2712,-5578l3413,-5578m3422,-5578l4121,-5578m610,-5384l1733,-5384m1742,-5384l2702,-5384m2712,-5384l3413,-5384m3422,-5384l4121,-5384m610,-5189l1733,-5189m1742,-5189l2702,-5189m2712,-5189l3413,-5189m3422,-5189l4121,-5189m605,-7239l605,-5014m1738,-7239l1738,-5014m2707,-7239l2707,-5014m3418,-6747l3418,-5014m4126,-7239l4126,-5014e" filled="false" stroked="true" strokeweight=".48pt" strokecolor="#000000">
              <v:path arrowok="t"/>
            </v:shape>
            <v:rect style="position:absolute;left:7630;top:-9644;width:3814;height:4709" filled="true" fillcolor="#ffffff" stroked="false">
              <v:fill type="solid"/>
            </v:rect>
            <v:rect style="position:absolute;left:7630;top:-9644;width:3814;height:4709" filled="false" stroked="true" strokeweight=".75pt" strokecolor="#000000"/>
            <v:shape style="position:absolute;left:7673;top:-9080;width:3660;height:185" coordorigin="7673,-9080" coordsize="3660,185" path="m7781,-9080l7673,-9080,7673,-8895,7781,-8895,7781,-9080m8914,-9080l8806,-9080,8698,-9080,8698,-9080,7781,-9080,7781,-8895,8698,-8895,8698,-8895,8806,-8895,8914,-8895,8914,-9080m10111,-9080l10003,-9080,9893,-9080,9893,-9080,8914,-9080,8914,-8895,9893,-8895,9893,-8895,10003,-8895,10111,-8895,10111,-9080m10956,-9080l10848,-9080,10740,-9080,10740,-9080,10111,-9080,10111,-8895,10740,-8895,10740,-8895,10848,-8895,10956,-8895,10956,-9080m11333,-9080l11225,-9080,11225,-9080,10956,-9080,10956,-8895,11225,-8895,11225,-8895,11333,-8895,11333,-9080e" filled="true" fillcolor="#ffff00" stroked="false">
              <v:path arrowok="t"/>
              <v:fill type="solid"/>
            </v:shape>
            <v:shape style="position:absolute;left:7673;top:-8895;width:3660;height:920" coordorigin="7673,-8895" coordsize="3660,920" path="m7781,-8895l7673,-8895,7673,-8712,7673,-8528,7673,-8343,7673,-8160,7673,-7976,7781,-7976,7781,-8160,7781,-8343,7781,-8528,7781,-8712,7781,-8895m8914,-8895l8806,-8895,8698,-8895,8698,-8895,7781,-8895,7781,-8712,7781,-8528,7781,-8343,7781,-8160,7781,-7976,8698,-7976,8698,-7976,8806,-7976,8914,-7976,8914,-8160,8914,-8343,8914,-8528,8914,-8712,8914,-8895m10111,-8895l10003,-8895,9893,-8895,9893,-8895,8914,-8895,8914,-8712,8914,-8528,8914,-8343,8914,-8160,8914,-7976,9893,-7976,9893,-7976,10003,-7976,10111,-7976,10111,-8160,10111,-8343,10111,-8528,10111,-8712,10111,-8895m10956,-8895l10848,-8895,10740,-8895,10740,-8895,10111,-8895,10111,-8712,10111,-8528,10111,-8343,10111,-8160,10111,-7976,10740,-7976,10740,-7976,10848,-7976,10956,-7976,10956,-8160,10956,-8343,10956,-8528,10956,-8712,10956,-8895m11333,-8895l11225,-8895,11225,-8895,10956,-8895,10956,-8712,10956,-8528,10956,-8343,10956,-8160,10956,-7976,11225,-7976,11225,-7976,11333,-7976,11333,-8160,11333,-8343,11333,-8528,11333,-8712,11333,-8895e" filled="true" fillcolor="#00b04f" stroked="false">
              <v:path arrowok="t"/>
              <v:fill type="solid"/>
            </v:shape>
            <v:shape style="position:absolute;left:7673;top:-7976;width:3660;height:185" coordorigin="7673,-7976" coordsize="3660,185" path="m7781,-7976l7673,-7976,7673,-7791,7781,-7791,7781,-7976m8914,-7976l8806,-7976,8698,-7976,8698,-7976,7781,-7976,7781,-7791,8698,-7791,8698,-7791,8806,-7791,8914,-7791,8914,-7976m10111,-7976l10003,-7976,9893,-7976,9893,-7976,8914,-7976,8914,-7791,9893,-7791,9893,-7791,10003,-7791,10111,-7791,10111,-7976m10956,-7976l10848,-7976,10740,-7976,10740,-7976,10111,-7976,10111,-7791,10740,-7791,10740,-7791,10848,-7791,10956,-7791,10956,-7976m11333,-7976l11225,-7976,11225,-7976,10956,-7976,10956,-7791,11225,-7791,11225,-7791,11333,-7791,11333,-7976e" filled="true" fillcolor="#ffff00" stroked="false">
              <v:path arrowok="t"/>
              <v:fill type="solid"/>
            </v:shape>
            <v:shape style="position:absolute;left:7673;top:-7791;width:3660;height:183" coordorigin="7673,-7791" coordsize="3660,183" path="m7781,-7791l7673,-7791,7673,-7608,7781,-7608,7781,-7791m8914,-7791l8806,-7791,8698,-7791,8698,-7791,7781,-7791,7781,-7608,8698,-7608,8698,-7608,8806,-7608,8914,-7608,8914,-7791m10111,-7791l10003,-7791,9893,-7791,9893,-7791,8914,-7791,8914,-7608,9893,-7608,9893,-7608,10003,-7608,10111,-7608,10111,-7791m10956,-7791l10848,-7791,10740,-7791,10740,-7791,10111,-7791,10111,-7608,10740,-7608,10740,-7608,10848,-7608,10956,-7608,10956,-7791m11333,-7791l11225,-7791,11225,-7791,10956,-7791,10956,-7608,11225,-7608,11225,-7608,11333,-7608,11333,-7791e" filled="true" fillcolor="#00b04f" stroked="false">
              <v:path arrowok="t"/>
              <v:fill type="solid"/>
            </v:shape>
            <v:shape style="position:absolute;left:7673;top:-7608;width:3660;height:185" coordorigin="7673,-7608" coordsize="3660,185" path="m7781,-7608l7673,-7608,7673,-7424,7781,-7424,7781,-7608m8914,-7608l8806,-7608,8698,-7608,8698,-7608,7781,-7608,7781,-7424,8698,-7424,8698,-7424,8806,-7424,8914,-7424,8914,-7608m10111,-7608l10003,-7608,9893,-7608,9893,-7608,8914,-7608,8914,-7424,9893,-7424,9893,-7424,10003,-7424,10111,-7424,10111,-7608m10956,-7608l10848,-7608,10740,-7608,10740,-7608,10111,-7608,10111,-7424,10740,-7424,10740,-7424,10848,-7424,10956,-7424,10956,-7608m11333,-7608l11225,-7608,11225,-7608,10956,-7608,10956,-7424,11225,-7424,11225,-7424,11333,-7424,11333,-7608e" filled="true" fillcolor="#ffff00" stroked="false">
              <v:path arrowok="t"/>
              <v:fill type="solid"/>
            </v:shape>
            <v:shape style="position:absolute;left:7673;top:-7239;width:3521;height:2225" coordorigin="7673,-7239" coordsize="3521,2225" path="m7678,-7234l8801,-7234m8810,-7234l9770,-7234m9780,-7234l11189,-7234m7678,-6742l8801,-6742m8810,-6742l9770,-6742m9780,-6742l10481,-6742m10490,-6742l11189,-6742m7678,-6548l8801,-6548m8810,-6548l9770,-6548m9780,-6548l10481,-6548m10490,-6548l11189,-6548m7673,-7239l7673,-5014m8806,-7239l8806,-5014m9775,-7239l9775,-5014m10486,-6747l10486,-5014m11194,-7239l11194,-5014e" filled="false" stroked="true" strokeweight=".48pt" strokecolor="#000000">
              <v:path arrowok="t"/>
            </v:shape>
            <v:rect style="position:absolute;left:3689;top:-1719;width:3367;height:1692" filled="false" stroked="true" strokeweight=".75pt" strokecolor="#000000"/>
            <w10:wrap type="none"/>
          </v:group>
        </w:pict>
      </w:r>
      <w:r>
        <w:rPr>
          <w:b/>
          <w:sz w:val="18"/>
        </w:rPr>
        <w:t>Figura 34. Comportamiento de las concentraciones y eficiencia de remoción de los diferentes parámetros en el estanque – sedimentador.</w:t>
      </w:r>
    </w:p>
    <w:p>
      <w:pPr>
        <w:pStyle w:val="BodyText"/>
        <w:spacing w:before="4"/>
        <w:rPr>
          <w:b/>
          <w:sz w:val="17"/>
        </w:rPr>
      </w:pPr>
    </w:p>
    <w:p>
      <w:pPr>
        <w:pStyle w:val="Heading5"/>
        <w:numPr>
          <w:ilvl w:val="3"/>
          <w:numId w:val="14"/>
        </w:numPr>
        <w:tabs>
          <w:tab w:pos="2058" w:val="left" w:leader="none"/>
        </w:tabs>
        <w:spacing w:line="240" w:lineRule="auto" w:before="0" w:after="0"/>
        <w:ind w:left="2057" w:right="0" w:hanging="796"/>
        <w:jc w:val="both"/>
      </w:pPr>
      <w:bookmarkStart w:name="_TOC_250033" w:id="120"/>
      <w:r>
        <w:rPr/>
        <w:t>EFICIENCIA</w:t>
      </w:r>
      <w:r>
        <w:rPr>
          <w:spacing w:val="-9"/>
        </w:rPr>
        <w:t> </w:t>
      </w:r>
      <w:bookmarkEnd w:id="120"/>
      <w:r>
        <w:rPr/>
        <w:t>GENERAL</w:t>
      </w:r>
    </w:p>
    <w:p>
      <w:pPr>
        <w:pStyle w:val="BodyText"/>
        <w:spacing w:before="8"/>
        <w:rPr>
          <w:b/>
          <w:sz w:val="28"/>
        </w:rPr>
      </w:pPr>
    </w:p>
    <w:p>
      <w:pPr>
        <w:pStyle w:val="BodyText"/>
        <w:spacing w:line="352" w:lineRule="auto"/>
        <w:ind w:left="1261" w:right="1016"/>
        <w:jc w:val="both"/>
      </w:pPr>
      <w:r>
        <w:rPr/>
        <w:t>Tomando en cuenta al tren de tratamiento como un sistema integral, la eficiencia del mismo fue aceptable para permitir el cultivo de la trucha arco iris hasta una densidad de 28,73 kg/m</w:t>
      </w:r>
      <w:r>
        <w:rPr>
          <w:position w:val="10"/>
          <w:sz w:val="13"/>
        </w:rPr>
        <w:t>3  </w:t>
      </w:r>
      <w:r>
        <w:rPr/>
        <w:t>y a un peso promedio de 472,31 ± 66,78 g. Obteniendo una eficiencia de</w:t>
      </w:r>
    </w:p>
    <w:p>
      <w:pPr>
        <w:spacing w:after="0" w:line="352" w:lineRule="auto"/>
        <w:jc w:val="both"/>
        <w:sectPr>
          <w:type w:val="continuous"/>
          <w:pgSz w:w="12240" w:h="15840"/>
          <w:pgMar w:top="0" w:bottom="0" w:left="440" w:right="680"/>
        </w:sectPr>
      </w:pPr>
    </w:p>
    <w:p>
      <w:pPr>
        <w:pStyle w:val="BodyText"/>
        <w:spacing w:before="10"/>
        <w:rPr>
          <w:sz w:val="8"/>
        </w:rPr>
      </w:pPr>
    </w:p>
    <w:p>
      <w:pPr>
        <w:pStyle w:val="BodyText"/>
        <w:spacing w:line="360" w:lineRule="auto" w:before="73"/>
        <w:ind w:left="781" w:right="761"/>
        <w:jc w:val="both"/>
      </w:pPr>
      <w:bookmarkStart w:name="5.5.1.4. Eficiencia general" w:id="121"/>
      <w:bookmarkEnd w:id="121"/>
      <w:r>
        <w:rPr/>
      </w:r>
      <w:r>
        <w:rPr/>
        <w:t>remoción general de nitrógeno amoniacal total mayor a la reportada por García (2008)  que fue de 66</w:t>
      </w:r>
      <w:r>
        <w:rPr>
          <w:spacing w:val="-6"/>
        </w:rPr>
        <w:t> </w:t>
      </w:r>
      <w:r>
        <w:rPr/>
        <w:t>%.</w:t>
      </w:r>
    </w:p>
    <w:p>
      <w:pPr>
        <w:pStyle w:val="BodyText"/>
        <w:spacing w:before="9"/>
        <w:rPr>
          <w:sz w:val="17"/>
        </w:rPr>
      </w:pPr>
    </w:p>
    <w:p>
      <w:pPr>
        <w:pStyle w:val="BodyText"/>
        <w:spacing w:line="360" w:lineRule="auto"/>
        <w:ind w:left="781" w:right="757"/>
        <w:jc w:val="both"/>
      </w:pPr>
      <w:r>
        <w:rPr/>
        <w:pict>
          <v:group style="position:absolute;margin-left:83.144997pt;margin-top:94.662582pt;width:475.95pt;height:458.45pt;mso-position-horizontal-relative:page;mso-position-vertical-relative:paragraph;z-index:-1524088" coordorigin="1663,1893" coordsize="9519,9169">
            <v:shape style="position:absolute;left:1747;top:2311;width:7610;height:4608" type="#_x0000_t75" stroked="false">
              <v:imagedata r:id="rId75" o:title=""/>
            </v:shape>
            <v:rect style="position:absolute;left:1670;top:1901;width:9146;height:9154" filled="false" stroked="true" strokeweight=".75pt" strokecolor="#000000"/>
            <v:shape style="position:absolute;left:1745;top:2222;width:9430;height:6677" coordorigin="1745,2222" coordsize="9430,6677" path="m9643,6470l1745,6470,1745,8899,9643,8899,9643,6470m11174,2222l3324,2222,3324,4730,11174,4730,11174,2222e" filled="true" fillcolor="#ffffff" stroked="false">
              <v:path arrowok="t"/>
              <v:fill type="solid"/>
            </v:shape>
            <v:rect style="position:absolute;left:3324;top:2222;width:7850;height:2508" filled="false" stroked="true" strokeweight=".75pt" strokecolor="#000000"/>
            <v:shape style="position:absolute;left:7310;top:2306;width:3795;height:2" coordorigin="7310,2306" coordsize="3795,0" path="m7310,2306l8434,2306m8443,2306l9403,2306m9413,2306l11105,2306e" filled="false" stroked="true" strokeweight=".48pt" strokecolor="#000000">
              <v:path arrowok="t"/>
            </v:shape>
            <v:shape style="position:absolute;left:3370;top:2806;width:3658;height:185" coordorigin="3370,2806" coordsize="3658,185" path="m3478,2806l3370,2806,3370,2990,3478,2990,3478,2806m4608,2806l4500,2806,4392,2806,4392,2806,3478,2806,3478,2990,4392,2990,4392,2990,4500,2990,4608,2990,4608,2806m5806,2806l5698,2806,5590,2806,5590,2806,4608,2806,4608,2990,5590,2990,5590,2990,5698,2990,5806,2990,5806,2806m6653,2806l6545,2806,6437,2806,6437,2806,5806,2806,5806,2990,6437,2990,6437,2990,6545,2990,6653,2990,6653,2806m7027,2806l6919,2806,6919,2806,6653,2806,6653,2990,6919,2990,6919,2990,7027,2990,7027,2806e" filled="true" fillcolor="#00b04f" stroked="false">
              <v:path arrowok="t"/>
              <v:fill type="solid"/>
            </v:shape>
            <v:shape style="position:absolute;left:3370;top:2801;width:3660;height:2" coordorigin="3370,2801" coordsize="3660,0" path="m3370,2801l4502,2801m4502,2801l5698,2801m5698,2801l6545,2801m6545,2801l7030,2801e" filled="false" stroked="true" strokeweight=".48pt" strokecolor="#00b04f">
              <v:path arrowok="t"/>
            </v:shape>
            <v:shape style="position:absolute;left:7310;top:2801;width:3795;height:2" coordorigin="7310,2801" coordsize="3795,0" path="m7310,2801l8434,2801m8443,2801l9403,2801m9413,2801l10114,2801m10123,2801l11105,2801e" filled="false" stroked="true" strokeweight=".48pt" strokecolor="#000000">
              <v:path arrowok="t"/>
            </v:shape>
            <v:shape style="position:absolute;left:3370;top:3000;width:3658;height:766" coordorigin="3370,3000" coordsize="3658,766" path="m3478,3581l3370,3581,3370,3766,3478,3766,3478,3581m3478,3386l3370,3386,3370,3571,3478,3571,3478,3386m3478,3194l3370,3194,3370,3377,3478,3377,3478,3194m3478,3000l3370,3000,3370,3182,3478,3182,3478,3000m4608,3581l4500,3581,4392,3581,4392,3581,3478,3581,3478,3766,4392,3766,4392,3766,4500,3766,4608,3766,4608,3581m4608,3386l4500,3386,4392,3386,4392,3386,3478,3386,3478,3571,4392,3571,4392,3571,4500,3571,4608,3571,4608,3386m4608,3194l4500,3194,4392,3194,4392,3194,3478,3194,3478,3377,4392,3377,4392,3377,4500,3377,4608,3377,4608,3194m4608,3000l4500,3000,4392,3000,4392,3000,3478,3000,3478,3182,4392,3182,4392,3182,4500,3182,4608,3182,4608,3000m5806,3581l5698,3581,5590,3581,5590,3581,4608,3581,4608,3766,5590,3766,5590,3766,5698,3766,5806,3766,5806,3581m5806,3386l5698,3386,5590,3386,5590,3386,4608,3386,4608,3571,5590,3571,5590,3571,5698,3571,5806,3571,5806,3386m5806,3194l5698,3194,5590,3194,5590,3194,4608,3194,4608,3377,5590,3377,5590,3377,5698,3377,5806,3377,5806,3194m5806,3000l5698,3000,5590,3000,5590,3000,4608,3000,4608,3182,5590,3182,5590,3182,5698,3182,5806,3182,5806,3000m6653,3581l6545,3581,6437,3581,6437,3581,5806,3581,5806,3766,6437,3766,6437,3766,6545,3766,6653,3766,6653,3581m6653,3386l6545,3386,6437,3386,6437,3386,5806,3386,5806,3571,6437,3571,6437,3571,6545,3571,6653,3571,6653,3386m6653,3194l6545,3194,6437,3194,6437,3194,5806,3194,5806,3377,6437,3377,6437,3377,6545,3377,6653,3377,6653,3194m6653,3000l6545,3000,6437,3000,6437,3000,5806,3000,5806,3182,6437,3182,6437,3182,6545,3182,6653,3182,6653,3000m7027,3581l6919,3581,6919,3581,6653,3581,6653,3766,6919,3766,6919,3766,7027,3766,7027,3581m7027,3386l6919,3386,6919,3386,6653,3386,6653,3571,6919,3571,6919,3571,7027,3571,7027,3386m7027,3194l6919,3194,6919,3194,6653,3194,6653,3377,6919,3377,6919,3377,7027,3377,7027,3194m7027,3000l6919,3000,6919,3000,6653,3000,6653,3182,6919,3182,6919,3182,7027,3182,7027,3000e" filled="true" fillcolor="#00b04f" stroked="false">
              <v:path arrowok="t"/>
              <v:fill type="solid"/>
            </v:shape>
            <v:shape style="position:absolute;left:3370;top:3775;width:3658;height:185" coordorigin="3370,3775" coordsize="3658,185" path="m3478,3775l3370,3775,3370,3960,3478,3960,3478,3775m4608,3775l4500,3775,4392,3775,4392,3775,3478,3775,3478,3960,4392,3960,4392,3960,4500,3960,4608,3960,4608,3775m5806,3775l5698,3775,5590,3775,5590,3775,4608,3775,4608,3960,5590,3960,5590,3960,5698,3960,5806,3960,5806,3775m6653,3775l6545,3775,6437,3775,6437,3775,5806,3775,5806,3960,6437,3960,6437,3960,6545,3960,6653,3960,6653,3775m7027,3775l6919,3775,6919,3775,6653,3775,6653,3960,6919,3960,6919,3960,7027,3960,7027,3775e" filled="true" fillcolor="#ffff00" stroked="false">
              <v:path arrowok="t"/>
              <v:fill type="solid"/>
            </v:shape>
            <v:shape style="position:absolute;left:3370;top:3770;width:3660;height:2" coordorigin="3370,3770" coordsize="3660,0" path="m3370,3770l4502,3770m4502,3770l5698,3770m5698,3770l6545,3770m6545,3770l7030,3770e" filled="false" stroked="true" strokeweight=".48pt" strokecolor="#ffff00">
              <v:path arrowok="t"/>
            </v:shape>
            <v:shape style="position:absolute;left:3370;top:3970;width:3658;height:185" coordorigin="3370,3970" coordsize="3658,185" path="m3478,3970l3370,3970,3370,4154,3478,4154,3478,3970m4608,3970l4500,3970,4392,3970,4392,3970,3478,3970,3478,4154,4392,4154,4392,4154,4500,4154,4608,4154,4608,3970m5806,3970l5698,3970,5590,3970,5590,3970,4608,3970,4608,4154,5590,4154,5590,4154,5698,4154,5806,4154,5806,3970m6653,3970l6545,3970,6437,3970,6437,3970,5806,3970,5806,4154,6437,4154,6437,4154,6545,4154,6653,4154,6653,3970m7027,3970l6919,3970,6919,3970,6653,3970,6653,4154,6919,4154,6919,4154,7027,4154,7027,3970e" filled="true" fillcolor="#ffff00" stroked="false">
              <v:path arrowok="t"/>
              <v:fill type="solid"/>
            </v:shape>
            <v:shape style="position:absolute;left:3370;top:4164;width:3658;height:183" coordorigin="3370,4164" coordsize="3658,183" path="m3478,4164l3370,4164,3370,4346,3478,4346,3478,4164m4608,4164l4500,4164,4392,4164,4392,4164,3478,4164,3478,4346,4392,4346,4392,4346,4500,4346,4608,4346,4608,4164m5806,4164l5698,4164,5590,4164,5590,4164,4608,4164,4608,4346,5590,4346,5590,4346,5698,4346,5806,4346,5806,4164m6653,4164l6545,4164,6437,4164,6437,4164,5806,4164,5806,4346,6437,4346,6437,4346,6545,4346,6653,4346,6653,4164m7027,4164l6919,4164,6919,4164,6653,4164,6653,4346,6919,4346,6919,4346,7027,4346,7027,4164e" filled="true" fillcolor="#00b04f" stroked="false">
              <v:path arrowok="t"/>
              <v:fill type="solid"/>
            </v:shape>
            <v:shape style="position:absolute;left:3370;top:4159;width:3660;height:2" coordorigin="3370,4159" coordsize="3660,0" path="m3370,4159l4502,4159m4502,4159l5698,4159m5698,4159l6545,4159m6545,4159l7030,4159e" filled="false" stroked="true" strokeweight=".48pt" strokecolor="#00b04f">
              <v:path arrowok="t"/>
            </v:shape>
            <v:shape style="position:absolute;left:3370;top:4358;width:3658;height:183" coordorigin="3370,4358" coordsize="3658,183" path="m3478,4358l3370,4358,3370,4541,3478,4541,3478,4358m4608,4358l4500,4358,4392,4358,4392,4358,3478,4358,3478,4541,4392,4541,4392,4541,4500,4541,4608,4541,4608,4358m5806,4358l5698,4358,5590,4358,5590,4358,4608,4358,4608,4541,5590,4541,5590,4541,5698,4541,5806,4541,5806,4358m6653,4358l6545,4358,6437,4358,6437,4358,5806,4358,5806,4541,6437,4541,6437,4541,6545,4541,6653,4541,6653,4358m7027,4358l6919,4358,6919,4358,6653,4358,6653,4541,6919,4541,6919,4541,7027,4541,7027,4358e" filled="true" fillcolor="#00b04f" stroked="false">
              <v:path arrowok="t"/>
              <v:fill type="solid"/>
            </v:shape>
            <v:shape style="position:absolute;left:7306;top:2302;width:3804;height:2249" coordorigin="7306,2302" coordsize="3804,2249" path="m7306,2302l7306,4550m7310,4546l8434,4546m8438,2302l8438,4550m8443,4546l9403,4546m9408,2302l9408,4550m9413,4546l10114,4546m10118,2796l10118,4550m10123,4546l11105,4546m11110,2302l11110,4550e" filled="false" stroked="true" strokeweight=".48pt" strokecolor="#000000">
              <v:path arrowok="t"/>
            </v:shape>
            <v:shape style="position:absolute;left:36080;top:-21694;width:53020;height:15260" coordorigin="36080,-21694" coordsize="53020,15260" path="m4330,10841l7265,10841,7265,9142,4330,9142,4330,10841xm7435,10973l10692,10973,10692,10166,7435,10166,7435,10973xe" filled="false" stroked="true" strokeweight=".75pt" strokecolor="#000000">
              <v:path arrowok="t"/>
            </v:shape>
            <v:shape style="position:absolute;left:9718;top:2568;width:1082;height:140" type="#_x0000_t202" filled="false" stroked="false">
              <v:textbox inset="0,0,0,0">
                <w:txbxContent>
                  <w:p>
                    <w:pPr>
                      <w:spacing w:line="139" w:lineRule="exact" w:before="0"/>
                      <w:ind w:left="0" w:right="-20" w:firstLine="0"/>
                      <w:jc w:val="left"/>
                      <w:rPr>
                        <w:b/>
                        <w:sz w:val="14"/>
                      </w:rPr>
                    </w:pPr>
                    <w:r>
                      <w:rPr>
                        <w:b/>
                        <w:sz w:val="14"/>
                      </w:rPr>
                      <w:t>confianza a 95%</w:t>
                    </w:r>
                  </w:p>
                </w:txbxContent>
              </v:textbox>
              <w10:wrap type="none"/>
            </v:shape>
            <v:shape style="position:absolute;left:7414;top:3016;width:464;height:363" type="#_x0000_t202" filled="false" stroked="false">
              <v:textbox inset="0,0,0,0">
                <w:txbxContent>
                  <w:p>
                    <w:pPr>
                      <w:spacing w:line="171" w:lineRule="exact" w:before="0"/>
                      <w:ind w:left="0" w:right="-16" w:firstLine="0"/>
                      <w:jc w:val="left"/>
                      <w:rPr>
                        <w:sz w:val="10"/>
                      </w:rPr>
                    </w:pPr>
                    <w:r>
                      <w:rPr>
                        <w:spacing w:val="-1"/>
                        <w:position w:val="2"/>
                        <w:sz w:val="16"/>
                      </w:rPr>
                      <w:t>N-NO</w:t>
                    </w:r>
                    <w:r>
                      <w:rPr>
                        <w:spacing w:val="-1"/>
                        <w:sz w:val="10"/>
                      </w:rPr>
                      <w:t>2</w:t>
                    </w:r>
                  </w:p>
                  <w:p>
                    <w:pPr>
                      <w:spacing w:line="189" w:lineRule="exact" w:before="3"/>
                      <w:ind w:left="0" w:right="-16" w:firstLine="0"/>
                      <w:jc w:val="left"/>
                      <w:rPr>
                        <w:sz w:val="10"/>
                      </w:rPr>
                    </w:pPr>
                    <w:r>
                      <w:rPr>
                        <w:spacing w:val="-1"/>
                        <w:position w:val="2"/>
                        <w:sz w:val="16"/>
                      </w:rPr>
                      <w:t>N-NO</w:t>
                    </w:r>
                    <w:r>
                      <w:rPr>
                        <w:spacing w:val="-1"/>
                        <w:sz w:val="10"/>
                      </w:rPr>
                      <w:t>3</w:t>
                    </w:r>
                  </w:p>
                </w:txbxContent>
              </v:textbox>
              <w10:wrap type="none"/>
            </v:shape>
            <v:shape style="position:absolute;left:1961;top:4041;width:1143;height:660" type="#_x0000_t202" filled="false" stroked="false">
              <v:textbox inset="0,0,0,0">
                <w:txbxContent>
                  <w:p>
                    <w:pPr>
                      <w:spacing w:line="204" w:lineRule="exact" w:before="0"/>
                      <w:ind w:left="7" w:right="7" w:firstLine="0"/>
                      <w:jc w:val="center"/>
                      <w:rPr>
                        <w:sz w:val="20"/>
                      </w:rPr>
                    </w:pPr>
                    <w:r>
                      <w:rPr>
                        <w:sz w:val="20"/>
                      </w:rPr>
                      <w:t>Filtro</w:t>
                    </w:r>
                  </w:p>
                  <w:p>
                    <w:pPr>
                      <w:spacing w:before="0"/>
                      <w:ind w:left="7" w:right="7" w:firstLine="0"/>
                      <w:jc w:val="center"/>
                      <w:rPr>
                        <w:sz w:val="20"/>
                      </w:rPr>
                    </w:pPr>
                    <w:r>
                      <w:rPr>
                        <w:w w:val="95"/>
                        <w:sz w:val="20"/>
                      </w:rPr>
                      <w:t>descendente </w:t>
                    </w:r>
                    <w:r>
                      <w:rPr>
                        <w:sz w:val="20"/>
                      </w:rPr>
                      <w:t>de arena</w:t>
                    </w:r>
                  </w:p>
                </w:txbxContent>
              </v:textbox>
              <w10:wrap type="none"/>
            </v:shape>
            <v:shape style="position:absolute;left:4481;top:9983;width:464;height:354" type="#_x0000_t202" filled="false" stroked="false">
              <v:textbox inset="0,0,0,0">
                <w:txbxContent>
                  <w:p>
                    <w:pPr>
                      <w:spacing w:line="184" w:lineRule="exact" w:before="2"/>
                      <w:ind w:left="0" w:right="0" w:firstLine="0"/>
                      <w:jc w:val="left"/>
                      <w:rPr>
                        <w:sz w:val="10"/>
                      </w:rPr>
                    </w:pPr>
                    <w:r>
                      <w:rPr>
                        <w:spacing w:val="-1"/>
                        <w:position w:val="2"/>
                        <w:sz w:val="16"/>
                      </w:rPr>
                      <w:t>N-NO</w:t>
                    </w:r>
                    <w:r>
                      <w:rPr>
                        <w:spacing w:val="-1"/>
                        <w:sz w:val="10"/>
                      </w:rPr>
                      <w:t>2 </w:t>
                    </w:r>
                    <w:r>
                      <w:rPr>
                        <w:spacing w:val="-1"/>
                        <w:position w:val="2"/>
                        <w:sz w:val="16"/>
                      </w:rPr>
                      <w:t>N-NO</w:t>
                    </w:r>
                    <w:r>
                      <w:rPr>
                        <w:spacing w:val="-1"/>
                        <w:sz w:val="10"/>
                      </w:rPr>
                      <w:t>3</w:t>
                    </w:r>
                  </w:p>
                </w:txbxContent>
              </v:textbox>
              <w10:wrap type="none"/>
            </v:shape>
            <w10:wrap type="none"/>
          </v:group>
        </w:pict>
      </w:r>
      <w:r>
        <w:rPr/>
        <w:pict>
          <v:shape style="position:absolute;margin-left:167.152496pt;margin-top:90.251991pt;width:390.05pt;height:462.5pt;mso-position-horizontal-relative:page;mso-position-vertical-relative:paragraph;z-index:776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51"/>
                    <w:gridCol w:w="1481"/>
                    <w:gridCol w:w="601"/>
                    <w:gridCol w:w="551"/>
                    <w:gridCol w:w="278"/>
                    <w:gridCol w:w="130"/>
                    <w:gridCol w:w="1003"/>
                    <w:gridCol w:w="331"/>
                    <w:gridCol w:w="638"/>
                    <w:gridCol w:w="144"/>
                    <w:gridCol w:w="566"/>
                    <w:gridCol w:w="1025"/>
                  </w:tblGrid>
                  <w:tr>
                    <w:trPr>
                      <w:trHeight w:val="1017" w:hRule="exact"/>
                    </w:trPr>
                    <w:tc>
                      <w:tcPr>
                        <w:tcW w:w="3684" w:type="dxa"/>
                        <w:gridSpan w:val="4"/>
                      </w:tcPr>
                      <w:p>
                        <w:pPr>
                          <w:pStyle w:val="TableParagraph"/>
                          <w:spacing w:before="0"/>
                          <w:ind w:right="0"/>
                          <w:jc w:val="left"/>
                          <w:rPr>
                            <w:rFonts w:ascii="Arial"/>
                            <w:b/>
                            <w:sz w:val="14"/>
                          </w:rPr>
                        </w:pPr>
                      </w:p>
                      <w:p>
                        <w:pPr>
                          <w:pStyle w:val="TableParagraph"/>
                          <w:spacing w:before="0"/>
                          <w:ind w:right="0"/>
                          <w:jc w:val="left"/>
                          <w:rPr>
                            <w:rFonts w:ascii="Arial"/>
                            <w:b/>
                            <w:sz w:val="14"/>
                          </w:rPr>
                        </w:pPr>
                      </w:p>
                      <w:p>
                        <w:pPr>
                          <w:pStyle w:val="TableParagraph"/>
                          <w:spacing w:before="9"/>
                          <w:ind w:right="0"/>
                          <w:jc w:val="left"/>
                          <w:rPr>
                            <w:rFonts w:ascii="Arial"/>
                            <w:b/>
                            <w:sz w:val="15"/>
                          </w:rPr>
                        </w:pPr>
                      </w:p>
                      <w:p>
                        <w:pPr>
                          <w:pStyle w:val="TableParagraph"/>
                          <w:spacing w:before="1"/>
                          <w:ind w:left="1245" w:right="1419"/>
                          <w:jc w:val="center"/>
                          <w:rPr>
                            <w:rFonts w:ascii="Arial" w:hAnsi="Arial"/>
                            <w:b/>
                            <w:sz w:val="14"/>
                          </w:rPr>
                        </w:pPr>
                        <w:r>
                          <w:rPr>
                            <w:rFonts w:ascii="Arial" w:hAnsi="Arial"/>
                            <w:b/>
                            <w:sz w:val="14"/>
                          </w:rPr>
                          <w:t>Concentración</w:t>
                        </w:r>
                      </w:p>
                      <w:p>
                        <w:pPr>
                          <w:pStyle w:val="TableParagraph"/>
                          <w:tabs>
                            <w:tab w:pos="1336" w:val="left" w:leader="none"/>
                            <w:tab w:pos="2462" w:val="left" w:leader="none"/>
                            <w:tab w:pos="3403" w:val="left" w:leader="none"/>
                          </w:tabs>
                          <w:spacing w:before="0"/>
                          <w:ind w:left="244" w:right="0"/>
                          <w:jc w:val="left"/>
                          <w:rPr>
                            <w:rFonts w:ascii="Arial" w:hAnsi="Arial"/>
                            <w:b/>
                            <w:sz w:val="14"/>
                          </w:rPr>
                        </w:pPr>
                        <w:r>
                          <w:rPr>
                            <w:rFonts w:ascii="Arial" w:hAnsi="Arial"/>
                            <w:b/>
                            <w:sz w:val="14"/>
                          </w:rPr>
                          <w:t>Parámetro</w:t>
                          <w:tab/>
                          <w:t>promedio</w:t>
                        </w:r>
                        <w:r>
                          <w:rPr>
                            <w:rFonts w:ascii="Arial" w:hAnsi="Arial"/>
                            <w:b/>
                            <w:spacing w:val="-3"/>
                            <w:sz w:val="14"/>
                          </w:rPr>
                          <w:t> </w:t>
                        </w:r>
                        <w:r>
                          <w:rPr>
                            <w:rFonts w:ascii="Arial" w:hAnsi="Arial"/>
                            <w:b/>
                            <w:sz w:val="14"/>
                          </w:rPr>
                          <w:t>en</w:t>
                          <w:tab/>
                          <w:t>Unidades</w:t>
                          <w:tab/>
                          <w:t>#</w:t>
                        </w:r>
                      </w:p>
                      <w:p>
                        <w:pPr>
                          <w:pStyle w:val="TableParagraph"/>
                          <w:spacing w:before="0"/>
                          <w:ind w:left="1245" w:right="1417"/>
                          <w:jc w:val="center"/>
                          <w:rPr>
                            <w:rFonts w:ascii="Arial"/>
                            <w:b/>
                            <w:sz w:val="14"/>
                          </w:rPr>
                        </w:pPr>
                        <w:r>
                          <w:rPr>
                            <w:rFonts w:ascii="Arial"/>
                            <w:b/>
                            <w:sz w:val="14"/>
                          </w:rPr>
                          <w:t>el efluente</w:t>
                        </w:r>
                      </w:p>
                    </w:tc>
                    <w:tc>
                      <w:tcPr>
                        <w:tcW w:w="278" w:type="dxa"/>
                      </w:tcPr>
                      <w:p>
                        <w:pPr/>
                      </w:p>
                    </w:tc>
                    <w:tc>
                      <w:tcPr>
                        <w:tcW w:w="1133" w:type="dxa"/>
                        <w:gridSpan w:val="2"/>
                      </w:tcPr>
                      <w:p>
                        <w:pPr>
                          <w:pStyle w:val="TableParagraph"/>
                          <w:spacing w:before="0"/>
                          <w:ind w:right="0"/>
                          <w:jc w:val="left"/>
                          <w:rPr>
                            <w:rFonts w:ascii="Arial"/>
                            <w:b/>
                            <w:sz w:val="14"/>
                          </w:rPr>
                        </w:pPr>
                      </w:p>
                      <w:p>
                        <w:pPr>
                          <w:pStyle w:val="TableParagraph"/>
                          <w:spacing w:before="0"/>
                          <w:ind w:right="0"/>
                          <w:jc w:val="left"/>
                          <w:rPr>
                            <w:rFonts w:ascii="Arial"/>
                            <w:b/>
                            <w:sz w:val="14"/>
                          </w:rPr>
                        </w:pPr>
                      </w:p>
                      <w:p>
                        <w:pPr>
                          <w:pStyle w:val="TableParagraph"/>
                          <w:spacing w:before="0"/>
                          <w:ind w:right="0"/>
                          <w:jc w:val="left"/>
                          <w:rPr>
                            <w:rFonts w:ascii="Arial"/>
                            <w:b/>
                            <w:sz w:val="14"/>
                          </w:rPr>
                        </w:pPr>
                      </w:p>
                      <w:p>
                        <w:pPr>
                          <w:pStyle w:val="TableParagraph"/>
                          <w:spacing w:before="9"/>
                          <w:ind w:right="0"/>
                          <w:jc w:val="left"/>
                          <w:rPr>
                            <w:rFonts w:ascii="Arial"/>
                            <w:b/>
                            <w:sz w:val="15"/>
                          </w:rPr>
                        </w:pPr>
                      </w:p>
                      <w:p>
                        <w:pPr>
                          <w:pStyle w:val="TableParagraph"/>
                          <w:spacing w:before="0"/>
                          <w:ind w:left="218" w:right="0"/>
                          <w:jc w:val="left"/>
                          <w:rPr>
                            <w:rFonts w:ascii="Arial" w:hAnsi="Arial"/>
                            <w:b/>
                            <w:sz w:val="14"/>
                          </w:rPr>
                        </w:pPr>
                        <w:r>
                          <w:rPr>
                            <w:rFonts w:ascii="Arial" w:hAnsi="Arial"/>
                            <w:b/>
                            <w:sz w:val="14"/>
                          </w:rPr>
                          <w:t>Parámetro</w:t>
                        </w:r>
                      </w:p>
                    </w:tc>
                    <w:tc>
                      <w:tcPr>
                        <w:tcW w:w="970" w:type="dxa"/>
                        <w:gridSpan w:val="2"/>
                      </w:tcPr>
                      <w:p>
                        <w:pPr>
                          <w:pStyle w:val="TableParagraph"/>
                          <w:spacing w:before="0"/>
                          <w:ind w:right="0"/>
                          <w:jc w:val="left"/>
                          <w:rPr>
                            <w:rFonts w:ascii="Arial"/>
                            <w:b/>
                            <w:sz w:val="14"/>
                          </w:rPr>
                        </w:pPr>
                      </w:p>
                      <w:p>
                        <w:pPr>
                          <w:pStyle w:val="TableParagraph"/>
                          <w:spacing w:before="0"/>
                          <w:ind w:right="0"/>
                          <w:jc w:val="left"/>
                          <w:rPr>
                            <w:rFonts w:ascii="Arial"/>
                            <w:b/>
                            <w:sz w:val="14"/>
                          </w:rPr>
                        </w:pPr>
                      </w:p>
                      <w:p>
                        <w:pPr>
                          <w:pStyle w:val="TableParagraph"/>
                          <w:spacing w:before="9"/>
                          <w:ind w:right="0"/>
                          <w:jc w:val="left"/>
                          <w:rPr>
                            <w:rFonts w:ascii="Arial"/>
                            <w:b/>
                            <w:sz w:val="15"/>
                          </w:rPr>
                        </w:pPr>
                      </w:p>
                      <w:p>
                        <w:pPr>
                          <w:pStyle w:val="TableParagraph"/>
                          <w:spacing w:before="1"/>
                          <w:ind w:left="105" w:right="109"/>
                          <w:jc w:val="center"/>
                          <w:rPr>
                            <w:rFonts w:ascii="Arial" w:hAnsi="Arial"/>
                            <w:b/>
                            <w:sz w:val="14"/>
                          </w:rPr>
                        </w:pPr>
                        <w:r>
                          <w:rPr>
                            <w:rFonts w:ascii="Arial" w:hAnsi="Arial"/>
                            <w:b/>
                            <w:w w:val="95"/>
                            <w:sz w:val="14"/>
                          </w:rPr>
                          <w:t>Coeficiente </w:t>
                        </w:r>
                        <w:r>
                          <w:rPr>
                            <w:rFonts w:ascii="Arial" w:hAnsi="Arial"/>
                            <w:b/>
                            <w:sz w:val="14"/>
                          </w:rPr>
                          <w:t>de    variación</w:t>
                        </w:r>
                      </w:p>
                    </w:tc>
                    <w:tc>
                      <w:tcPr>
                        <w:tcW w:w="1735" w:type="dxa"/>
                        <w:gridSpan w:val="3"/>
                      </w:tcPr>
                      <w:p>
                        <w:pPr>
                          <w:pStyle w:val="TableParagraph"/>
                          <w:spacing w:before="0"/>
                          <w:ind w:right="0"/>
                          <w:jc w:val="left"/>
                          <w:rPr>
                            <w:rFonts w:ascii="Arial"/>
                            <w:b/>
                            <w:sz w:val="14"/>
                          </w:rPr>
                        </w:pPr>
                      </w:p>
                      <w:p>
                        <w:pPr>
                          <w:pStyle w:val="TableParagraph"/>
                          <w:spacing w:before="0"/>
                          <w:ind w:right="0"/>
                          <w:jc w:val="left"/>
                          <w:rPr>
                            <w:rFonts w:ascii="Arial"/>
                            <w:b/>
                            <w:sz w:val="14"/>
                          </w:rPr>
                        </w:pPr>
                      </w:p>
                      <w:p>
                        <w:pPr>
                          <w:pStyle w:val="TableParagraph"/>
                          <w:spacing w:before="0"/>
                          <w:ind w:right="0"/>
                          <w:jc w:val="left"/>
                          <w:rPr>
                            <w:rFonts w:ascii="Arial"/>
                            <w:b/>
                            <w:sz w:val="14"/>
                          </w:rPr>
                        </w:pPr>
                      </w:p>
                      <w:p>
                        <w:pPr>
                          <w:pStyle w:val="TableParagraph"/>
                          <w:spacing w:before="100"/>
                          <w:ind w:left="420" w:right="0"/>
                          <w:jc w:val="left"/>
                          <w:rPr>
                            <w:rFonts w:ascii="Arial"/>
                            <w:b/>
                            <w:sz w:val="14"/>
                          </w:rPr>
                        </w:pPr>
                        <w:r>
                          <w:rPr>
                            <w:rFonts w:ascii="Arial"/>
                            <w:b/>
                            <w:sz w:val="14"/>
                          </w:rPr>
                          <w:t>Intervalos de</w:t>
                        </w:r>
                      </w:p>
                    </w:tc>
                  </w:tr>
                  <w:tr>
                    <w:trPr>
                      <w:trHeight w:val="173" w:hRule="exact"/>
                    </w:trPr>
                    <w:tc>
                      <w:tcPr>
                        <w:tcW w:w="1051" w:type="dxa"/>
                        <w:shd w:val="clear" w:color="auto" w:fill="00B04F"/>
                      </w:tcPr>
                      <w:p>
                        <w:pPr>
                          <w:pStyle w:val="TableParagraph"/>
                          <w:spacing w:line="171" w:lineRule="exact" w:before="0"/>
                          <w:ind w:left="134" w:right="-19"/>
                          <w:jc w:val="left"/>
                          <w:rPr>
                            <w:rFonts w:ascii="Arial"/>
                            <w:sz w:val="10"/>
                          </w:rPr>
                        </w:pPr>
                        <w:r>
                          <w:rPr>
                            <w:rFonts w:ascii="Arial"/>
                            <w:color w:val="FFFFFF"/>
                            <w:position w:val="2"/>
                            <w:sz w:val="16"/>
                          </w:rPr>
                          <w:t>N-NH</w:t>
                        </w:r>
                        <w:r>
                          <w:rPr>
                            <w:rFonts w:ascii="Arial"/>
                            <w:color w:val="FFFFFF"/>
                            <w:sz w:val="10"/>
                          </w:rPr>
                          <w:t>3</w:t>
                        </w:r>
                      </w:p>
                    </w:tc>
                    <w:tc>
                      <w:tcPr>
                        <w:tcW w:w="1481" w:type="dxa"/>
                        <w:shd w:val="clear" w:color="auto" w:fill="00B04F"/>
                      </w:tcPr>
                      <w:p>
                        <w:pPr>
                          <w:pStyle w:val="TableParagraph"/>
                          <w:spacing w:line="164" w:lineRule="exact" w:before="0"/>
                          <w:ind w:left="215" w:right="-25"/>
                          <w:jc w:val="left"/>
                          <w:rPr>
                            <w:rFonts w:ascii="Arial" w:hAnsi="Arial"/>
                            <w:sz w:val="16"/>
                          </w:rPr>
                        </w:pPr>
                        <w:r>
                          <w:rPr>
                            <w:rFonts w:ascii="Arial" w:hAnsi="Arial"/>
                            <w:color w:val="FFFFFF"/>
                            <w:sz w:val="16"/>
                          </w:rPr>
                          <w:t>0,27 ± 0,0123</w:t>
                        </w:r>
                      </w:p>
                    </w:tc>
                    <w:tc>
                      <w:tcPr>
                        <w:tcW w:w="601" w:type="dxa"/>
                        <w:shd w:val="clear" w:color="auto" w:fill="00B04F"/>
                      </w:tcPr>
                      <w:p>
                        <w:pPr>
                          <w:pStyle w:val="TableParagraph"/>
                          <w:spacing w:line="164" w:lineRule="exact" w:before="0"/>
                          <w:ind w:left="49" w:right="156"/>
                          <w:jc w:val="center"/>
                          <w:rPr>
                            <w:rFonts w:ascii="Arial"/>
                            <w:sz w:val="16"/>
                          </w:rPr>
                        </w:pPr>
                        <w:r>
                          <w:rPr>
                            <w:rFonts w:ascii="Arial"/>
                            <w:color w:val="FFFFFF"/>
                            <w:sz w:val="16"/>
                          </w:rPr>
                          <w:t>mg/L</w:t>
                        </w:r>
                      </w:p>
                    </w:tc>
                    <w:tc>
                      <w:tcPr>
                        <w:tcW w:w="551" w:type="dxa"/>
                        <w:shd w:val="clear" w:color="auto" w:fill="00B04F"/>
                      </w:tcPr>
                      <w:p>
                        <w:pPr>
                          <w:pStyle w:val="TableParagraph"/>
                          <w:spacing w:line="164" w:lineRule="exact" w:before="0"/>
                          <w:ind w:left="153" w:right="87"/>
                          <w:jc w:val="center"/>
                          <w:rPr>
                            <w:rFonts w:ascii="Arial"/>
                            <w:sz w:val="16"/>
                          </w:rPr>
                        </w:pPr>
                        <w:r>
                          <w:rPr>
                            <w:rFonts w:ascii="Arial"/>
                            <w:color w:val="FFFFFF"/>
                            <w:sz w:val="16"/>
                          </w:rPr>
                          <w:t>26</w:t>
                        </w:r>
                      </w:p>
                    </w:tc>
                    <w:tc>
                      <w:tcPr>
                        <w:tcW w:w="278" w:type="dxa"/>
                        <w:shd w:val="clear" w:color="auto" w:fill="FFFFFF"/>
                      </w:tcPr>
                      <w:p>
                        <w:pPr/>
                      </w:p>
                    </w:tc>
                    <w:tc>
                      <w:tcPr>
                        <w:tcW w:w="1133" w:type="dxa"/>
                        <w:gridSpan w:val="2"/>
                        <w:tcBorders>
                          <w:bottom w:val="single" w:sz="4" w:space="0" w:color="000000"/>
                        </w:tcBorders>
                        <w:shd w:val="clear" w:color="auto" w:fill="FFFFFF"/>
                      </w:tcPr>
                      <w:p>
                        <w:pPr>
                          <w:pStyle w:val="TableParagraph"/>
                          <w:spacing w:line="171" w:lineRule="exact" w:before="0"/>
                          <w:ind w:left="108" w:right="0"/>
                          <w:jc w:val="left"/>
                          <w:rPr>
                            <w:rFonts w:ascii="Arial"/>
                            <w:sz w:val="10"/>
                          </w:rPr>
                        </w:pPr>
                        <w:r>
                          <w:rPr>
                            <w:rFonts w:ascii="Arial"/>
                            <w:position w:val="2"/>
                            <w:sz w:val="16"/>
                          </w:rPr>
                          <w:t>N-NH</w:t>
                        </w:r>
                        <w:r>
                          <w:rPr>
                            <w:rFonts w:ascii="Arial"/>
                            <w:sz w:val="10"/>
                          </w:rPr>
                          <w:t>3</w:t>
                        </w:r>
                      </w:p>
                    </w:tc>
                    <w:tc>
                      <w:tcPr>
                        <w:tcW w:w="970" w:type="dxa"/>
                        <w:gridSpan w:val="2"/>
                        <w:tcBorders>
                          <w:bottom w:val="single" w:sz="4" w:space="0" w:color="000000"/>
                        </w:tcBorders>
                        <w:shd w:val="clear" w:color="auto" w:fill="FFFFFF"/>
                      </w:tcPr>
                      <w:p>
                        <w:pPr>
                          <w:pStyle w:val="TableParagraph"/>
                          <w:spacing w:line="164" w:lineRule="exact" w:before="0"/>
                          <w:ind w:left="460" w:right="0"/>
                          <w:jc w:val="left"/>
                          <w:rPr>
                            <w:rFonts w:ascii="Arial"/>
                            <w:sz w:val="16"/>
                          </w:rPr>
                        </w:pPr>
                        <w:r>
                          <w:rPr>
                            <w:rFonts w:ascii="Arial"/>
                            <w:sz w:val="16"/>
                          </w:rPr>
                          <w:t>0,019</w:t>
                        </w:r>
                      </w:p>
                    </w:tc>
                    <w:tc>
                      <w:tcPr>
                        <w:tcW w:w="710" w:type="dxa"/>
                        <w:gridSpan w:val="2"/>
                        <w:tcBorders>
                          <w:bottom w:val="single" w:sz="4" w:space="0" w:color="000000"/>
                        </w:tcBorders>
                      </w:tcPr>
                      <w:p>
                        <w:pPr>
                          <w:pStyle w:val="TableParagraph"/>
                          <w:spacing w:line="164" w:lineRule="exact" w:before="0"/>
                          <w:ind w:left="287" w:right="0"/>
                          <w:jc w:val="left"/>
                          <w:rPr>
                            <w:rFonts w:ascii="Arial"/>
                            <w:sz w:val="16"/>
                          </w:rPr>
                        </w:pPr>
                        <w:r>
                          <w:rPr>
                            <w:rFonts w:ascii="Arial"/>
                            <w:sz w:val="16"/>
                          </w:rPr>
                          <w:t>0,25</w:t>
                        </w:r>
                      </w:p>
                    </w:tc>
                    <w:tc>
                      <w:tcPr>
                        <w:tcW w:w="1025" w:type="dxa"/>
                        <w:tcBorders>
                          <w:bottom w:val="single" w:sz="4" w:space="0" w:color="000000"/>
                        </w:tcBorders>
                      </w:tcPr>
                      <w:p>
                        <w:pPr>
                          <w:pStyle w:val="TableParagraph"/>
                          <w:spacing w:line="164" w:lineRule="exact" w:before="0"/>
                          <w:ind w:right="143"/>
                          <w:rPr>
                            <w:rFonts w:ascii="Arial"/>
                            <w:sz w:val="16"/>
                          </w:rPr>
                        </w:pPr>
                        <w:r>
                          <w:rPr>
                            <w:rFonts w:ascii="Arial"/>
                            <w:sz w:val="16"/>
                          </w:rPr>
                          <w:t>0,29</w:t>
                        </w:r>
                      </w:p>
                    </w:tc>
                  </w:tr>
                  <w:tr>
                    <w:trPr>
                      <w:trHeight w:val="193" w:hRule="exact"/>
                    </w:trPr>
                    <w:tc>
                      <w:tcPr>
                        <w:tcW w:w="2532" w:type="dxa"/>
                        <w:gridSpan w:val="2"/>
                        <w:shd w:val="clear" w:color="auto" w:fill="00B04F"/>
                      </w:tcPr>
                      <w:p>
                        <w:pPr>
                          <w:pStyle w:val="TableParagraph"/>
                          <w:tabs>
                            <w:tab w:pos="1267" w:val="left" w:leader="none"/>
                          </w:tabs>
                          <w:spacing w:line="131" w:lineRule="exact" w:before="0"/>
                          <w:ind w:left="134" w:right="0"/>
                          <w:jc w:val="left"/>
                          <w:rPr>
                            <w:rFonts w:ascii="Arial" w:hAnsi="Arial"/>
                            <w:sz w:val="16"/>
                          </w:rPr>
                        </w:pPr>
                        <w:r>
                          <w:rPr>
                            <w:rFonts w:ascii="Arial" w:hAnsi="Arial"/>
                            <w:color w:val="FFFFFF"/>
                            <w:sz w:val="16"/>
                          </w:rPr>
                          <w:t>N-NO</w:t>
                        </w:r>
                        <w:r>
                          <w:rPr>
                            <w:rFonts w:ascii="Arial" w:hAnsi="Arial"/>
                            <w:color w:val="FFFFFF"/>
                            <w:spacing w:val="9"/>
                            <w:sz w:val="16"/>
                          </w:rPr>
                          <w:t> </w:t>
                        </w:r>
                        <w:r>
                          <w:rPr>
                            <w:rFonts w:ascii="Arial" w:hAnsi="Arial"/>
                            <w:color w:val="FFFFFF"/>
                            <w:position w:val="8"/>
                            <w:sz w:val="10"/>
                          </w:rPr>
                          <w:t>-</w:t>
                          <w:tab/>
                        </w:r>
                        <w:r>
                          <w:rPr>
                            <w:rFonts w:ascii="Arial" w:hAnsi="Arial"/>
                            <w:color w:val="FFFFFF"/>
                            <w:sz w:val="16"/>
                          </w:rPr>
                          <w:t>0,201 ±</w:t>
                        </w:r>
                        <w:r>
                          <w:rPr>
                            <w:rFonts w:ascii="Arial" w:hAnsi="Arial"/>
                            <w:color w:val="FFFFFF"/>
                            <w:spacing w:val="-3"/>
                            <w:sz w:val="16"/>
                          </w:rPr>
                          <w:t> </w:t>
                        </w:r>
                        <w:r>
                          <w:rPr>
                            <w:rFonts w:ascii="Arial" w:hAnsi="Arial"/>
                            <w:color w:val="FFFFFF"/>
                            <w:sz w:val="16"/>
                          </w:rPr>
                          <w:t>0,006</w:t>
                        </w:r>
                      </w:p>
                      <w:p>
                        <w:pPr>
                          <w:pStyle w:val="TableParagraph"/>
                          <w:spacing w:line="61" w:lineRule="exact" w:before="0"/>
                          <w:ind w:left="542" w:right="0"/>
                          <w:jc w:val="left"/>
                          <w:rPr>
                            <w:rFonts w:ascii="Arial"/>
                            <w:sz w:val="10"/>
                          </w:rPr>
                        </w:pPr>
                        <w:r>
                          <w:rPr>
                            <w:rFonts w:ascii="Arial"/>
                            <w:color w:val="FFFFFF"/>
                            <w:w w:val="100"/>
                            <w:sz w:val="10"/>
                          </w:rPr>
                          <w:t>2</w:t>
                        </w:r>
                      </w:p>
                    </w:tc>
                    <w:tc>
                      <w:tcPr>
                        <w:tcW w:w="601" w:type="dxa"/>
                        <w:shd w:val="clear" w:color="auto" w:fill="00B04F"/>
                      </w:tcPr>
                      <w:p>
                        <w:pPr>
                          <w:pStyle w:val="TableParagraph"/>
                          <w:spacing w:before="1"/>
                          <w:ind w:left="49" w:right="156"/>
                          <w:jc w:val="center"/>
                          <w:rPr>
                            <w:rFonts w:ascii="Arial"/>
                            <w:sz w:val="16"/>
                          </w:rPr>
                        </w:pPr>
                        <w:r>
                          <w:rPr>
                            <w:rFonts w:ascii="Arial"/>
                            <w:color w:val="FFFFFF"/>
                            <w:sz w:val="16"/>
                          </w:rPr>
                          <w:t>mg/L</w:t>
                        </w:r>
                      </w:p>
                    </w:tc>
                    <w:tc>
                      <w:tcPr>
                        <w:tcW w:w="551" w:type="dxa"/>
                        <w:shd w:val="clear" w:color="auto" w:fill="00B04F"/>
                      </w:tcPr>
                      <w:p>
                        <w:pPr>
                          <w:pStyle w:val="TableParagraph"/>
                          <w:spacing w:before="1"/>
                          <w:ind w:left="153" w:right="87"/>
                          <w:jc w:val="center"/>
                          <w:rPr>
                            <w:rFonts w:ascii="Arial"/>
                            <w:sz w:val="16"/>
                          </w:rPr>
                        </w:pPr>
                        <w:r>
                          <w:rPr>
                            <w:rFonts w:ascii="Arial"/>
                            <w:color w:val="FFFFFF"/>
                            <w:sz w:val="16"/>
                          </w:rPr>
                          <w:t>26</w:t>
                        </w:r>
                      </w:p>
                    </w:tc>
                    <w:tc>
                      <w:tcPr>
                        <w:tcW w:w="278" w:type="dxa"/>
                        <w:shd w:val="clear" w:color="auto" w:fill="FFFFFF"/>
                      </w:tcPr>
                      <w:p>
                        <w:pPr/>
                      </w:p>
                    </w:tc>
                    <w:tc>
                      <w:tcPr>
                        <w:tcW w:w="3838" w:type="dxa"/>
                        <w:gridSpan w:val="7"/>
                        <w:tcBorders>
                          <w:bottom w:val="single" w:sz="4" w:space="0" w:color="000000"/>
                        </w:tcBorders>
                      </w:tcPr>
                      <w:p>
                        <w:pPr>
                          <w:pStyle w:val="TableParagraph"/>
                          <w:tabs>
                            <w:tab w:pos="1593" w:val="left" w:leader="none"/>
                            <w:tab w:pos="2390" w:val="left" w:leader="none"/>
                            <w:tab w:pos="3381" w:val="left" w:leader="none"/>
                          </w:tabs>
                          <w:spacing w:line="185" w:lineRule="exact" w:before="0"/>
                          <w:ind w:left="571" w:right="0"/>
                          <w:jc w:val="left"/>
                          <w:rPr>
                            <w:rFonts w:ascii="Arial"/>
                            <w:sz w:val="16"/>
                          </w:rPr>
                        </w:pPr>
                        <w:r>
                          <w:rPr>
                            <w:rFonts w:ascii="Arial"/>
                            <w:position w:val="8"/>
                            <w:sz w:val="10"/>
                          </w:rPr>
                          <w:t>-</w:t>
                          <w:tab/>
                        </w:r>
                        <w:r>
                          <w:rPr>
                            <w:rFonts w:ascii="Arial"/>
                            <w:sz w:val="16"/>
                          </w:rPr>
                          <w:t>0,030</w:t>
                          <w:tab/>
                          <w:t>0,19</w:t>
                          <w:tab/>
                          <w:t>0,21</w:t>
                        </w:r>
                      </w:p>
                    </w:tc>
                  </w:tr>
                  <w:tr>
                    <w:trPr>
                      <w:trHeight w:val="194" w:hRule="exact"/>
                    </w:trPr>
                    <w:tc>
                      <w:tcPr>
                        <w:tcW w:w="2532" w:type="dxa"/>
                        <w:gridSpan w:val="2"/>
                        <w:shd w:val="clear" w:color="auto" w:fill="00B04F"/>
                      </w:tcPr>
                      <w:p>
                        <w:pPr>
                          <w:pStyle w:val="TableParagraph"/>
                          <w:tabs>
                            <w:tab w:pos="1310" w:val="left" w:leader="none"/>
                          </w:tabs>
                          <w:spacing w:line="133" w:lineRule="exact" w:before="0"/>
                          <w:ind w:left="134" w:right="0"/>
                          <w:jc w:val="left"/>
                          <w:rPr>
                            <w:rFonts w:ascii="Arial" w:hAnsi="Arial"/>
                            <w:sz w:val="16"/>
                          </w:rPr>
                        </w:pPr>
                        <w:r>
                          <w:rPr>
                            <w:rFonts w:ascii="Arial" w:hAnsi="Arial"/>
                            <w:color w:val="FFFFFF"/>
                            <w:sz w:val="16"/>
                          </w:rPr>
                          <w:t>N-NO</w:t>
                        </w:r>
                        <w:r>
                          <w:rPr>
                            <w:rFonts w:ascii="Arial" w:hAnsi="Arial"/>
                            <w:color w:val="FFFFFF"/>
                            <w:spacing w:val="9"/>
                            <w:sz w:val="16"/>
                          </w:rPr>
                          <w:t> </w:t>
                        </w:r>
                        <w:r>
                          <w:rPr>
                            <w:rFonts w:ascii="Arial" w:hAnsi="Arial"/>
                            <w:color w:val="FFFFFF"/>
                            <w:position w:val="8"/>
                            <w:sz w:val="10"/>
                          </w:rPr>
                          <w:t>-</w:t>
                          <w:tab/>
                        </w:r>
                        <w:r>
                          <w:rPr>
                            <w:rFonts w:ascii="Arial" w:hAnsi="Arial"/>
                            <w:color w:val="FFFFFF"/>
                            <w:sz w:val="16"/>
                          </w:rPr>
                          <w:t>59,14 ±</w:t>
                        </w:r>
                        <w:r>
                          <w:rPr>
                            <w:rFonts w:ascii="Arial" w:hAnsi="Arial"/>
                            <w:color w:val="FFFFFF"/>
                            <w:spacing w:val="-2"/>
                            <w:sz w:val="16"/>
                          </w:rPr>
                          <w:t> </w:t>
                        </w:r>
                        <w:r>
                          <w:rPr>
                            <w:rFonts w:ascii="Arial" w:hAnsi="Arial"/>
                            <w:color w:val="FFFFFF"/>
                            <w:sz w:val="16"/>
                          </w:rPr>
                          <w:t>0,21</w:t>
                        </w:r>
                      </w:p>
                      <w:p>
                        <w:pPr>
                          <w:pStyle w:val="TableParagraph"/>
                          <w:spacing w:line="61" w:lineRule="exact" w:before="0"/>
                          <w:ind w:left="542" w:right="0"/>
                          <w:jc w:val="left"/>
                          <w:rPr>
                            <w:rFonts w:ascii="Arial"/>
                            <w:sz w:val="10"/>
                          </w:rPr>
                        </w:pPr>
                        <w:r>
                          <w:rPr>
                            <w:rFonts w:ascii="Arial"/>
                            <w:color w:val="FFFFFF"/>
                            <w:w w:val="100"/>
                            <w:sz w:val="10"/>
                          </w:rPr>
                          <w:t>3</w:t>
                        </w:r>
                      </w:p>
                    </w:tc>
                    <w:tc>
                      <w:tcPr>
                        <w:tcW w:w="601" w:type="dxa"/>
                        <w:shd w:val="clear" w:color="auto" w:fill="00B04F"/>
                      </w:tcPr>
                      <w:p>
                        <w:pPr>
                          <w:pStyle w:val="TableParagraph"/>
                          <w:spacing w:before="3"/>
                          <w:ind w:left="49" w:right="156"/>
                          <w:jc w:val="center"/>
                          <w:rPr>
                            <w:rFonts w:ascii="Arial"/>
                            <w:sz w:val="16"/>
                          </w:rPr>
                        </w:pPr>
                        <w:r>
                          <w:rPr>
                            <w:rFonts w:ascii="Arial"/>
                            <w:color w:val="FFFFFF"/>
                            <w:sz w:val="16"/>
                          </w:rPr>
                          <w:t>mg/L</w:t>
                        </w:r>
                      </w:p>
                    </w:tc>
                    <w:tc>
                      <w:tcPr>
                        <w:tcW w:w="551" w:type="dxa"/>
                        <w:shd w:val="clear" w:color="auto" w:fill="00B04F"/>
                      </w:tcPr>
                      <w:p>
                        <w:pPr>
                          <w:pStyle w:val="TableParagraph"/>
                          <w:spacing w:before="3"/>
                          <w:ind w:left="153" w:right="87"/>
                          <w:jc w:val="center"/>
                          <w:rPr>
                            <w:rFonts w:ascii="Arial"/>
                            <w:sz w:val="16"/>
                          </w:rPr>
                        </w:pPr>
                        <w:r>
                          <w:rPr>
                            <w:rFonts w:ascii="Arial"/>
                            <w:color w:val="FFFFFF"/>
                            <w:sz w:val="16"/>
                          </w:rPr>
                          <w:t>26</w:t>
                        </w:r>
                      </w:p>
                    </w:tc>
                    <w:tc>
                      <w:tcPr>
                        <w:tcW w:w="278" w:type="dxa"/>
                        <w:shd w:val="clear" w:color="auto" w:fill="FFFFFF"/>
                      </w:tcPr>
                      <w:p>
                        <w:pPr/>
                      </w:p>
                    </w:tc>
                    <w:tc>
                      <w:tcPr>
                        <w:tcW w:w="3838" w:type="dxa"/>
                        <w:gridSpan w:val="7"/>
                        <w:tcBorders>
                          <w:top w:val="single" w:sz="4" w:space="0" w:color="000000"/>
                          <w:bottom w:val="single" w:sz="4" w:space="0" w:color="000000"/>
                        </w:tcBorders>
                      </w:tcPr>
                      <w:p>
                        <w:pPr>
                          <w:pStyle w:val="TableParagraph"/>
                          <w:tabs>
                            <w:tab w:pos="1504" w:val="left" w:leader="none"/>
                            <w:tab w:pos="2301" w:val="left" w:leader="none"/>
                            <w:tab w:pos="3292" w:val="left" w:leader="none"/>
                          </w:tabs>
                          <w:spacing w:line="182" w:lineRule="exact" w:before="0"/>
                          <w:ind w:left="571" w:right="0"/>
                          <w:jc w:val="left"/>
                          <w:rPr>
                            <w:rFonts w:ascii="Arial"/>
                            <w:sz w:val="16"/>
                          </w:rPr>
                        </w:pPr>
                        <w:r>
                          <w:rPr>
                            <w:rFonts w:ascii="Arial"/>
                            <w:position w:val="8"/>
                            <w:sz w:val="10"/>
                          </w:rPr>
                          <w:t>-</w:t>
                          <w:tab/>
                        </w:r>
                        <w:r>
                          <w:rPr>
                            <w:rFonts w:ascii="Arial"/>
                            <w:sz w:val="16"/>
                          </w:rPr>
                          <w:t>0,0035</w:t>
                          <w:tab/>
                          <w:t>58,74</w:t>
                          <w:tab/>
                          <w:t>59,55</w:t>
                        </w:r>
                      </w:p>
                    </w:tc>
                  </w:tr>
                  <w:tr>
                    <w:trPr>
                      <w:trHeight w:val="194" w:hRule="exact"/>
                    </w:trPr>
                    <w:tc>
                      <w:tcPr>
                        <w:tcW w:w="1051" w:type="dxa"/>
                        <w:shd w:val="clear" w:color="auto" w:fill="00B04F"/>
                      </w:tcPr>
                      <w:p>
                        <w:pPr>
                          <w:pStyle w:val="TableParagraph"/>
                          <w:spacing w:before="1"/>
                          <w:ind w:left="134" w:right="-19"/>
                          <w:jc w:val="left"/>
                          <w:rPr>
                            <w:rFonts w:ascii="Arial"/>
                            <w:sz w:val="16"/>
                          </w:rPr>
                        </w:pPr>
                        <w:r>
                          <w:rPr>
                            <w:rFonts w:ascii="Arial"/>
                            <w:color w:val="FFFFFF"/>
                            <w:sz w:val="16"/>
                          </w:rPr>
                          <w:t>DQO</w:t>
                        </w:r>
                      </w:p>
                    </w:tc>
                    <w:tc>
                      <w:tcPr>
                        <w:tcW w:w="1481" w:type="dxa"/>
                        <w:shd w:val="clear" w:color="auto" w:fill="00B04F"/>
                      </w:tcPr>
                      <w:p>
                        <w:pPr>
                          <w:pStyle w:val="TableParagraph"/>
                          <w:spacing w:before="1"/>
                          <w:ind w:left="259" w:right="-25"/>
                          <w:jc w:val="left"/>
                          <w:rPr>
                            <w:rFonts w:ascii="Arial" w:hAnsi="Arial"/>
                            <w:sz w:val="16"/>
                          </w:rPr>
                        </w:pPr>
                        <w:r>
                          <w:rPr>
                            <w:rFonts w:ascii="Arial" w:hAnsi="Arial"/>
                            <w:color w:val="FFFFFF"/>
                            <w:sz w:val="16"/>
                          </w:rPr>
                          <w:t>43,81 ± 0,37</w:t>
                        </w:r>
                      </w:p>
                    </w:tc>
                    <w:tc>
                      <w:tcPr>
                        <w:tcW w:w="601" w:type="dxa"/>
                        <w:shd w:val="clear" w:color="auto" w:fill="00B04F"/>
                      </w:tcPr>
                      <w:p>
                        <w:pPr>
                          <w:pStyle w:val="TableParagraph"/>
                          <w:spacing w:before="1"/>
                          <w:ind w:left="49" w:right="156"/>
                          <w:jc w:val="center"/>
                          <w:rPr>
                            <w:rFonts w:ascii="Arial"/>
                            <w:sz w:val="16"/>
                          </w:rPr>
                        </w:pPr>
                        <w:r>
                          <w:rPr>
                            <w:rFonts w:ascii="Arial"/>
                            <w:color w:val="FFFFFF"/>
                            <w:sz w:val="16"/>
                          </w:rPr>
                          <w:t>mg/L</w:t>
                        </w:r>
                      </w:p>
                    </w:tc>
                    <w:tc>
                      <w:tcPr>
                        <w:tcW w:w="551" w:type="dxa"/>
                        <w:shd w:val="clear" w:color="auto" w:fill="00B04F"/>
                      </w:tcPr>
                      <w:p>
                        <w:pPr>
                          <w:pStyle w:val="TableParagraph"/>
                          <w:spacing w:before="1"/>
                          <w:ind w:left="153" w:right="87"/>
                          <w:jc w:val="center"/>
                          <w:rPr>
                            <w:rFonts w:ascii="Arial"/>
                            <w:sz w:val="16"/>
                          </w:rPr>
                        </w:pPr>
                        <w:r>
                          <w:rPr>
                            <w:rFonts w:ascii="Arial"/>
                            <w:color w:val="FFFFFF"/>
                            <w:sz w:val="16"/>
                          </w:rPr>
                          <w:t>26</w:t>
                        </w:r>
                      </w:p>
                    </w:tc>
                    <w:tc>
                      <w:tcPr>
                        <w:tcW w:w="278" w:type="dxa"/>
                        <w:shd w:val="clear" w:color="auto" w:fill="FFFFFF"/>
                      </w:tcPr>
                      <w:p>
                        <w:pPr/>
                      </w:p>
                    </w:tc>
                    <w:tc>
                      <w:tcPr>
                        <w:tcW w:w="130" w:type="dxa"/>
                        <w:tcBorders>
                          <w:bottom w:val="single" w:sz="4" w:space="0" w:color="000000"/>
                        </w:tcBorders>
                        <w:shd w:val="clear" w:color="auto" w:fill="FFFFFF"/>
                      </w:tcPr>
                      <w:p>
                        <w:pPr/>
                      </w:p>
                    </w:tc>
                    <w:tc>
                      <w:tcPr>
                        <w:tcW w:w="1334" w:type="dxa"/>
                        <w:gridSpan w:val="2"/>
                        <w:tcBorders>
                          <w:bottom w:val="single" w:sz="4" w:space="0" w:color="000000"/>
                        </w:tcBorders>
                        <w:shd w:val="clear" w:color="auto" w:fill="FFFFFF"/>
                      </w:tcPr>
                      <w:p>
                        <w:pPr>
                          <w:pStyle w:val="TableParagraph"/>
                          <w:spacing w:before="1"/>
                          <w:ind w:left="-22" w:right="133"/>
                          <w:jc w:val="left"/>
                          <w:rPr>
                            <w:rFonts w:ascii="Arial"/>
                            <w:sz w:val="16"/>
                          </w:rPr>
                        </w:pPr>
                        <w:r>
                          <w:rPr>
                            <w:rFonts w:ascii="Arial"/>
                            <w:sz w:val="16"/>
                          </w:rPr>
                          <w:t>DQO</w:t>
                        </w:r>
                      </w:p>
                    </w:tc>
                    <w:tc>
                      <w:tcPr>
                        <w:tcW w:w="782" w:type="dxa"/>
                        <w:gridSpan w:val="2"/>
                        <w:tcBorders>
                          <w:bottom w:val="single" w:sz="4" w:space="0" w:color="000000"/>
                        </w:tcBorders>
                      </w:tcPr>
                      <w:p>
                        <w:pPr>
                          <w:pStyle w:val="TableParagraph"/>
                          <w:spacing w:before="1"/>
                          <w:ind w:left="40" w:right="-30"/>
                          <w:jc w:val="left"/>
                          <w:rPr>
                            <w:rFonts w:ascii="Arial"/>
                            <w:sz w:val="16"/>
                          </w:rPr>
                        </w:pPr>
                        <w:r>
                          <w:rPr>
                            <w:rFonts w:ascii="Arial"/>
                            <w:sz w:val="16"/>
                          </w:rPr>
                          <w:t>0,0084</w:t>
                        </w:r>
                      </w:p>
                    </w:tc>
                    <w:tc>
                      <w:tcPr>
                        <w:tcW w:w="566" w:type="dxa"/>
                        <w:tcBorders>
                          <w:bottom w:val="single" w:sz="4" w:space="0" w:color="000000"/>
                        </w:tcBorders>
                      </w:tcPr>
                      <w:p>
                        <w:pPr>
                          <w:pStyle w:val="TableParagraph"/>
                          <w:spacing w:before="1"/>
                          <w:ind w:left="32" w:right="85"/>
                          <w:jc w:val="center"/>
                          <w:rPr>
                            <w:rFonts w:ascii="Arial"/>
                            <w:sz w:val="16"/>
                          </w:rPr>
                        </w:pPr>
                        <w:r>
                          <w:rPr>
                            <w:rFonts w:ascii="Arial"/>
                            <w:sz w:val="16"/>
                          </w:rPr>
                          <w:t>43,09</w:t>
                        </w:r>
                      </w:p>
                    </w:tc>
                    <w:tc>
                      <w:tcPr>
                        <w:tcW w:w="1025" w:type="dxa"/>
                        <w:tcBorders>
                          <w:bottom w:val="single" w:sz="4" w:space="0" w:color="000000"/>
                        </w:tcBorders>
                      </w:tcPr>
                      <w:p>
                        <w:pPr>
                          <w:pStyle w:val="TableParagraph"/>
                          <w:spacing w:before="1"/>
                          <w:ind w:right="142"/>
                          <w:rPr>
                            <w:rFonts w:ascii="Arial"/>
                            <w:sz w:val="16"/>
                          </w:rPr>
                        </w:pPr>
                        <w:r>
                          <w:rPr>
                            <w:rFonts w:ascii="Arial"/>
                            <w:sz w:val="16"/>
                          </w:rPr>
                          <w:t>44,53</w:t>
                        </w:r>
                      </w:p>
                    </w:tc>
                  </w:tr>
                  <w:tr>
                    <w:trPr>
                      <w:trHeight w:val="194" w:hRule="exact"/>
                    </w:trPr>
                    <w:tc>
                      <w:tcPr>
                        <w:tcW w:w="1051" w:type="dxa"/>
                        <w:shd w:val="clear" w:color="auto" w:fill="00B04F"/>
                      </w:tcPr>
                      <w:p>
                        <w:pPr>
                          <w:pStyle w:val="TableParagraph"/>
                          <w:spacing w:before="1"/>
                          <w:ind w:left="134" w:right="-19"/>
                          <w:jc w:val="left"/>
                          <w:rPr>
                            <w:rFonts w:ascii="Arial"/>
                            <w:sz w:val="16"/>
                          </w:rPr>
                        </w:pPr>
                        <w:r>
                          <w:rPr>
                            <w:rFonts w:ascii="Arial"/>
                            <w:color w:val="FFFFFF"/>
                            <w:sz w:val="16"/>
                          </w:rPr>
                          <w:t>SST</w:t>
                        </w:r>
                      </w:p>
                    </w:tc>
                    <w:tc>
                      <w:tcPr>
                        <w:tcW w:w="1481" w:type="dxa"/>
                        <w:shd w:val="clear" w:color="auto" w:fill="00B04F"/>
                      </w:tcPr>
                      <w:p>
                        <w:pPr>
                          <w:pStyle w:val="TableParagraph"/>
                          <w:spacing w:before="1"/>
                          <w:ind w:left="259" w:right="-25"/>
                          <w:jc w:val="left"/>
                          <w:rPr>
                            <w:rFonts w:ascii="Arial" w:hAnsi="Arial"/>
                            <w:sz w:val="16"/>
                          </w:rPr>
                        </w:pPr>
                        <w:r>
                          <w:rPr>
                            <w:rFonts w:ascii="Arial" w:hAnsi="Arial"/>
                            <w:color w:val="FFFFFF"/>
                            <w:sz w:val="16"/>
                          </w:rPr>
                          <w:t>2,06 ± 0,033</w:t>
                        </w:r>
                      </w:p>
                    </w:tc>
                    <w:tc>
                      <w:tcPr>
                        <w:tcW w:w="601" w:type="dxa"/>
                        <w:shd w:val="clear" w:color="auto" w:fill="00B04F"/>
                      </w:tcPr>
                      <w:p>
                        <w:pPr>
                          <w:pStyle w:val="TableParagraph"/>
                          <w:spacing w:before="1"/>
                          <w:ind w:left="49" w:right="156"/>
                          <w:jc w:val="center"/>
                          <w:rPr>
                            <w:rFonts w:ascii="Arial"/>
                            <w:sz w:val="16"/>
                          </w:rPr>
                        </w:pPr>
                        <w:r>
                          <w:rPr>
                            <w:rFonts w:ascii="Arial"/>
                            <w:color w:val="FFFFFF"/>
                            <w:sz w:val="16"/>
                          </w:rPr>
                          <w:t>mg/L</w:t>
                        </w:r>
                      </w:p>
                    </w:tc>
                    <w:tc>
                      <w:tcPr>
                        <w:tcW w:w="551" w:type="dxa"/>
                        <w:shd w:val="clear" w:color="auto" w:fill="00B04F"/>
                      </w:tcPr>
                      <w:p>
                        <w:pPr>
                          <w:pStyle w:val="TableParagraph"/>
                          <w:spacing w:before="1"/>
                          <w:ind w:left="153" w:right="87"/>
                          <w:jc w:val="center"/>
                          <w:rPr>
                            <w:rFonts w:ascii="Arial"/>
                            <w:sz w:val="16"/>
                          </w:rPr>
                        </w:pPr>
                        <w:r>
                          <w:rPr>
                            <w:rFonts w:ascii="Arial"/>
                            <w:color w:val="FFFFFF"/>
                            <w:sz w:val="16"/>
                          </w:rPr>
                          <w:t>26</w:t>
                        </w:r>
                      </w:p>
                    </w:tc>
                    <w:tc>
                      <w:tcPr>
                        <w:tcW w:w="278" w:type="dxa"/>
                        <w:shd w:val="clear" w:color="auto" w:fill="FFFFFF"/>
                      </w:tcPr>
                      <w:p>
                        <w:pPr/>
                      </w:p>
                    </w:tc>
                    <w:tc>
                      <w:tcPr>
                        <w:tcW w:w="130" w:type="dxa"/>
                        <w:tcBorders>
                          <w:top w:val="single" w:sz="4" w:space="0" w:color="000000"/>
                          <w:bottom w:val="single" w:sz="4" w:space="0" w:color="000000"/>
                        </w:tcBorders>
                        <w:shd w:val="clear" w:color="auto" w:fill="FFFFFF"/>
                      </w:tcPr>
                      <w:p>
                        <w:pPr/>
                      </w:p>
                    </w:tc>
                    <w:tc>
                      <w:tcPr>
                        <w:tcW w:w="1334" w:type="dxa"/>
                        <w:gridSpan w:val="2"/>
                        <w:tcBorders>
                          <w:top w:val="single" w:sz="4" w:space="0" w:color="000000"/>
                          <w:bottom w:val="single" w:sz="4" w:space="0" w:color="000000"/>
                        </w:tcBorders>
                        <w:shd w:val="clear" w:color="auto" w:fill="FFFFFF"/>
                      </w:tcPr>
                      <w:p>
                        <w:pPr>
                          <w:pStyle w:val="TableParagraph"/>
                          <w:spacing w:line="180" w:lineRule="exact" w:before="0"/>
                          <w:ind w:left="-22" w:right="133"/>
                          <w:jc w:val="left"/>
                          <w:rPr>
                            <w:rFonts w:ascii="Arial"/>
                            <w:sz w:val="16"/>
                          </w:rPr>
                        </w:pPr>
                        <w:r>
                          <w:rPr>
                            <w:rFonts w:ascii="Arial"/>
                            <w:sz w:val="16"/>
                          </w:rPr>
                          <w:t>SST</w:t>
                        </w:r>
                      </w:p>
                    </w:tc>
                    <w:tc>
                      <w:tcPr>
                        <w:tcW w:w="782" w:type="dxa"/>
                        <w:gridSpan w:val="2"/>
                        <w:tcBorders>
                          <w:top w:val="single" w:sz="4" w:space="0" w:color="000000"/>
                          <w:bottom w:val="single" w:sz="4" w:space="0" w:color="000000"/>
                        </w:tcBorders>
                      </w:tcPr>
                      <w:p>
                        <w:pPr>
                          <w:pStyle w:val="TableParagraph"/>
                          <w:spacing w:line="180" w:lineRule="exact" w:before="0"/>
                          <w:ind w:left="129" w:right="-30"/>
                          <w:jc w:val="left"/>
                          <w:rPr>
                            <w:rFonts w:ascii="Arial"/>
                            <w:sz w:val="16"/>
                          </w:rPr>
                        </w:pPr>
                        <w:r>
                          <w:rPr>
                            <w:rFonts w:ascii="Arial"/>
                            <w:sz w:val="16"/>
                          </w:rPr>
                          <w:t>0,016</w:t>
                        </w:r>
                      </w:p>
                    </w:tc>
                    <w:tc>
                      <w:tcPr>
                        <w:tcW w:w="566" w:type="dxa"/>
                        <w:tcBorders>
                          <w:top w:val="single" w:sz="4" w:space="0" w:color="000000"/>
                          <w:bottom w:val="single" w:sz="4" w:space="0" w:color="000000"/>
                        </w:tcBorders>
                      </w:tcPr>
                      <w:p>
                        <w:pPr>
                          <w:pStyle w:val="TableParagraph"/>
                          <w:spacing w:line="180" w:lineRule="exact" w:before="0"/>
                          <w:ind w:left="36" w:right="3"/>
                          <w:jc w:val="center"/>
                          <w:rPr>
                            <w:rFonts w:ascii="Arial"/>
                            <w:sz w:val="16"/>
                          </w:rPr>
                        </w:pPr>
                        <w:r>
                          <w:rPr>
                            <w:rFonts w:ascii="Arial"/>
                            <w:sz w:val="16"/>
                          </w:rPr>
                          <w:t>1,99</w:t>
                        </w:r>
                      </w:p>
                    </w:tc>
                    <w:tc>
                      <w:tcPr>
                        <w:tcW w:w="1025" w:type="dxa"/>
                        <w:tcBorders>
                          <w:top w:val="single" w:sz="4" w:space="0" w:color="000000"/>
                          <w:bottom w:val="single" w:sz="4" w:space="0" w:color="000000"/>
                        </w:tcBorders>
                      </w:tcPr>
                      <w:p>
                        <w:pPr>
                          <w:pStyle w:val="TableParagraph"/>
                          <w:spacing w:line="180" w:lineRule="exact" w:before="0"/>
                          <w:ind w:right="141"/>
                          <w:rPr>
                            <w:rFonts w:ascii="Arial"/>
                            <w:sz w:val="16"/>
                          </w:rPr>
                        </w:pPr>
                        <w:r>
                          <w:rPr>
                            <w:rFonts w:ascii="Arial"/>
                            <w:sz w:val="16"/>
                          </w:rPr>
                          <w:t>2,12</w:t>
                        </w:r>
                      </w:p>
                    </w:tc>
                  </w:tr>
                  <w:tr>
                    <w:trPr>
                      <w:trHeight w:val="194" w:hRule="exact"/>
                    </w:trPr>
                    <w:tc>
                      <w:tcPr>
                        <w:tcW w:w="1051" w:type="dxa"/>
                        <w:shd w:val="clear" w:color="auto" w:fill="FFFF00"/>
                      </w:tcPr>
                      <w:p>
                        <w:pPr>
                          <w:pStyle w:val="TableParagraph"/>
                          <w:spacing w:before="1"/>
                          <w:ind w:left="134" w:right="-19"/>
                          <w:jc w:val="left"/>
                          <w:rPr>
                            <w:rFonts w:ascii="Arial"/>
                            <w:sz w:val="16"/>
                          </w:rPr>
                        </w:pPr>
                        <w:r>
                          <w:rPr>
                            <w:rFonts w:ascii="Arial"/>
                            <w:sz w:val="16"/>
                          </w:rPr>
                          <w:t>Alcalinidad*</w:t>
                        </w:r>
                      </w:p>
                    </w:tc>
                    <w:tc>
                      <w:tcPr>
                        <w:tcW w:w="1481" w:type="dxa"/>
                        <w:shd w:val="clear" w:color="auto" w:fill="FFFF00"/>
                      </w:tcPr>
                      <w:p>
                        <w:pPr>
                          <w:pStyle w:val="TableParagraph"/>
                          <w:spacing w:before="1"/>
                          <w:ind w:left="259" w:right="-25"/>
                          <w:jc w:val="left"/>
                          <w:rPr>
                            <w:rFonts w:ascii="Arial" w:hAnsi="Arial"/>
                            <w:sz w:val="16"/>
                          </w:rPr>
                        </w:pPr>
                        <w:r>
                          <w:rPr>
                            <w:rFonts w:ascii="Arial" w:hAnsi="Arial"/>
                            <w:sz w:val="16"/>
                          </w:rPr>
                          <w:t>46,11 ± 0,56</w:t>
                        </w:r>
                      </w:p>
                    </w:tc>
                    <w:tc>
                      <w:tcPr>
                        <w:tcW w:w="601" w:type="dxa"/>
                        <w:shd w:val="clear" w:color="auto" w:fill="FFFF00"/>
                      </w:tcPr>
                      <w:p>
                        <w:pPr>
                          <w:pStyle w:val="TableParagraph"/>
                          <w:spacing w:before="1"/>
                          <w:ind w:left="49" w:right="156"/>
                          <w:jc w:val="center"/>
                          <w:rPr>
                            <w:rFonts w:ascii="Arial"/>
                            <w:sz w:val="16"/>
                          </w:rPr>
                        </w:pPr>
                        <w:r>
                          <w:rPr>
                            <w:rFonts w:ascii="Arial"/>
                            <w:sz w:val="16"/>
                          </w:rPr>
                          <w:t>mg/L</w:t>
                        </w:r>
                      </w:p>
                    </w:tc>
                    <w:tc>
                      <w:tcPr>
                        <w:tcW w:w="551" w:type="dxa"/>
                        <w:shd w:val="clear" w:color="auto" w:fill="FFFF00"/>
                      </w:tcPr>
                      <w:p>
                        <w:pPr>
                          <w:pStyle w:val="TableParagraph"/>
                          <w:spacing w:before="1"/>
                          <w:ind w:left="153" w:right="87"/>
                          <w:jc w:val="center"/>
                          <w:rPr>
                            <w:rFonts w:ascii="Arial"/>
                            <w:sz w:val="16"/>
                          </w:rPr>
                        </w:pPr>
                        <w:r>
                          <w:rPr>
                            <w:rFonts w:ascii="Arial"/>
                            <w:sz w:val="16"/>
                          </w:rPr>
                          <w:t>15</w:t>
                        </w:r>
                      </w:p>
                    </w:tc>
                    <w:tc>
                      <w:tcPr>
                        <w:tcW w:w="278" w:type="dxa"/>
                        <w:shd w:val="clear" w:color="auto" w:fill="FFFFFF"/>
                      </w:tcPr>
                      <w:p>
                        <w:pPr/>
                      </w:p>
                    </w:tc>
                    <w:tc>
                      <w:tcPr>
                        <w:tcW w:w="130" w:type="dxa"/>
                        <w:tcBorders>
                          <w:top w:val="single" w:sz="4" w:space="0" w:color="000000"/>
                          <w:bottom w:val="single" w:sz="4" w:space="0" w:color="000000"/>
                        </w:tcBorders>
                        <w:shd w:val="clear" w:color="auto" w:fill="FFFFFF"/>
                      </w:tcPr>
                      <w:p>
                        <w:pPr/>
                      </w:p>
                    </w:tc>
                    <w:tc>
                      <w:tcPr>
                        <w:tcW w:w="1334" w:type="dxa"/>
                        <w:gridSpan w:val="2"/>
                        <w:tcBorders>
                          <w:top w:val="single" w:sz="4" w:space="0" w:color="000000"/>
                          <w:bottom w:val="single" w:sz="4" w:space="0" w:color="000000"/>
                        </w:tcBorders>
                        <w:shd w:val="clear" w:color="auto" w:fill="FFFFFF"/>
                      </w:tcPr>
                      <w:p>
                        <w:pPr>
                          <w:pStyle w:val="TableParagraph"/>
                          <w:spacing w:line="180" w:lineRule="exact" w:before="0"/>
                          <w:ind w:left="-22" w:right="133"/>
                          <w:jc w:val="left"/>
                          <w:rPr>
                            <w:rFonts w:ascii="Arial"/>
                            <w:sz w:val="16"/>
                          </w:rPr>
                        </w:pPr>
                        <w:r>
                          <w:rPr>
                            <w:rFonts w:ascii="Arial"/>
                            <w:sz w:val="16"/>
                          </w:rPr>
                          <w:t>Alcalinidad*</w:t>
                        </w:r>
                      </w:p>
                    </w:tc>
                    <w:tc>
                      <w:tcPr>
                        <w:tcW w:w="782" w:type="dxa"/>
                        <w:gridSpan w:val="2"/>
                        <w:tcBorders>
                          <w:top w:val="single" w:sz="4" w:space="0" w:color="000000"/>
                          <w:bottom w:val="single" w:sz="4" w:space="0" w:color="000000"/>
                        </w:tcBorders>
                      </w:tcPr>
                      <w:p>
                        <w:pPr>
                          <w:pStyle w:val="TableParagraph"/>
                          <w:spacing w:line="180" w:lineRule="exact" w:before="0"/>
                          <w:ind w:left="129" w:right="-30"/>
                          <w:jc w:val="left"/>
                          <w:rPr>
                            <w:rFonts w:ascii="Arial"/>
                            <w:sz w:val="16"/>
                          </w:rPr>
                        </w:pPr>
                        <w:r>
                          <w:rPr>
                            <w:rFonts w:ascii="Arial"/>
                            <w:sz w:val="16"/>
                          </w:rPr>
                          <w:t>0,012</w:t>
                        </w:r>
                      </w:p>
                    </w:tc>
                    <w:tc>
                      <w:tcPr>
                        <w:tcW w:w="566" w:type="dxa"/>
                        <w:tcBorders>
                          <w:top w:val="single" w:sz="4" w:space="0" w:color="000000"/>
                          <w:bottom w:val="single" w:sz="4" w:space="0" w:color="000000"/>
                        </w:tcBorders>
                      </w:tcPr>
                      <w:p>
                        <w:pPr>
                          <w:pStyle w:val="TableParagraph"/>
                          <w:spacing w:line="180" w:lineRule="exact" w:before="0"/>
                          <w:ind w:left="31" w:right="85"/>
                          <w:jc w:val="center"/>
                          <w:rPr>
                            <w:rFonts w:ascii="Arial"/>
                            <w:sz w:val="16"/>
                          </w:rPr>
                        </w:pPr>
                        <w:r>
                          <w:rPr>
                            <w:rFonts w:ascii="Arial"/>
                            <w:sz w:val="16"/>
                          </w:rPr>
                          <w:t>45,02</w:t>
                        </w:r>
                      </w:p>
                    </w:tc>
                    <w:tc>
                      <w:tcPr>
                        <w:tcW w:w="1025" w:type="dxa"/>
                        <w:tcBorders>
                          <w:top w:val="single" w:sz="4" w:space="0" w:color="000000"/>
                          <w:bottom w:val="single" w:sz="4" w:space="0" w:color="000000"/>
                        </w:tcBorders>
                      </w:tcPr>
                      <w:p>
                        <w:pPr>
                          <w:pStyle w:val="TableParagraph"/>
                          <w:spacing w:line="180" w:lineRule="exact" w:before="0"/>
                          <w:ind w:right="142"/>
                          <w:rPr>
                            <w:rFonts w:ascii="Arial"/>
                            <w:sz w:val="16"/>
                          </w:rPr>
                        </w:pPr>
                        <w:r>
                          <w:rPr>
                            <w:rFonts w:ascii="Arial"/>
                            <w:sz w:val="16"/>
                          </w:rPr>
                          <w:t>47,20</w:t>
                        </w:r>
                      </w:p>
                    </w:tc>
                  </w:tr>
                  <w:tr>
                    <w:trPr>
                      <w:trHeight w:val="194" w:hRule="exact"/>
                    </w:trPr>
                    <w:tc>
                      <w:tcPr>
                        <w:tcW w:w="1051" w:type="dxa"/>
                        <w:shd w:val="clear" w:color="auto" w:fill="FFFF00"/>
                      </w:tcPr>
                      <w:p>
                        <w:pPr>
                          <w:pStyle w:val="TableParagraph"/>
                          <w:spacing w:before="1"/>
                          <w:ind w:left="134" w:right="-19"/>
                          <w:jc w:val="left"/>
                          <w:rPr>
                            <w:rFonts w:ascii="Arial"/>
                            <w:sz w:val="16"/>
                          </w:rPr>
                        </w:pPr>
                        <w:r>
                          <w:rPr>
                            <w:rFonts w:ascii="Arial"/>
                            <w:sz w:val="16"/>
                          </w:rPr>
                          <w:t>Temperatura</w:t>
                        </w:r>
                      </w:p>
                    </w:tc>
                    <w:tc>
                      <w:tcPr>
                        <w:tcW w:w="1481" w:type="dxa"/>
                        <w:shd w:val="clear" w:color="auto" w:fill="FFFF00"/>
                      </w:tcPr>
                      <w:p>
                        <w:pPr>
                          <w:pStyle w:val="TableParagraph"/>
                          <w:spacing w:before="1"/>
                          <w:ind w:left="259" w:right="-25"/>
                          <w:jc w:val="left"/>
                          <w:rPr>
                            <w:rFonts w:ascii="Arial" w:hAnsi="Arial"/>
                            <w:sz w:val="16"/>
                          </w:rPr>
                        </w:pPr>
                        <w:r>
                          <w:rPr>
                            <w:rFonts w:ascii="Arial" w:hAnsi="Arial"/>
                            <w:sz w:val="16"/>
                          </w:rPr>
                          <w:t>16,77 ± 0,12</w:t>
                        </w:r>
                      </w:p>
                    </w:tc>
                    <w:tc>
                      <w:tcPr>
                        <w:tcW w:w="601" w:type="dxa"/>
                        <w:shd w:val="clear" w:color="auto" w:fill="FFFF00"/>
                      </w:tcPr>
                      <w:p>
                        <w:pPr>
                          <w:pStyle w:val="TableParagraph"/>
                          <w:spacing w:before="1"/>
                          <w:ind w:left="49" w:right="155"/>
                          <w:jc w:val="center"/>
                          <w:rPr>
                            <w:rFonts w:ascii="Arial" w:hAnsi="Arial"/>
                            <w:sz w:val="16"/>
                          </w:rPr>
                        </w:pPr>
                        <w:r>
                          <w:rPr>
                            <w:rFonts w:ascii="Arial" w:hAnsi="Arial"/>
                            <w:sz w:val="16"/>
                          </w:rPr>
                          <w:t>°C</w:t>
                        </w:r>
                      </w:p>
                    </w:tc>
                    <w:tc>
                      <w:tcPr>
                        <w:tcW w:w="551" w:type="dxa"/>
                        <w:shd w:val="clear" w:color="auto" w:fill="FFFF00"/>
                      </w:tcPr>
                      <w:p>
                        <w:pPr>
                          <w:pStyle w:val="TableParagraph"/>
                          <w:spacing w:before="1"/>
                          <w:ind w:left="155" w:right="87"/>
                          <w:jc w:val="center"/>
                          <w:rPr>
                            <w:rFonts w:ascii="Arial"/>
                            <w:sz w:val="16"/>
                          </w:rPr>
                        </w:pPr>
                        <w:r>
                          <w:rPr>
                            <w:rFonts w:ascii="Arial"/>
                            <w:sz w:val="16"/>
                          </w:rPr>
                          <w:t>110</w:t>
                        </w:r>
                      </w:p>
                    </w:tc>
                    <w:tc>
                      <w:tcPr>
                        <w:tcW w:w="278" w:type="dxa"/>
                        <w:shd w:val="clear" w:color="auto" w:fill="FFFFFF"/>
                      </w:tcPr>
                      <w:p>
                        <w:pPr/>
                      </w:p>
                    </w:tc>
                    <w:tc>
                      <w:tcPr>
                        <w:tcW w:w="130" w:type="dxa"/>
                        <w:tcBorders>
                          <w:top w:val="single" w:sz="4" w:space="0" w:color="000000"/>
                          <w:bottom w:val="single" w:sz="4" w:space="0" w:color="000000"/>
                        </w:tcBorders>
                        <w:shd w:val="clear" w:color="auto" w:fill="FFFFFF"/>
                      </w:tcPr>
                      <w:p>
                        <w:pPr/>
                      </w:p>
                    </w:tc>
                    <w:tc>
                      <w:tcPr>
                        <w:tcW w:w="1334" w:type="dxa"/>
                        <w:gridSpan w:val="2"/>
                        <w:tcBorders>
                          <w:top w:val="single" w:sz="4" w:space="0" w:color="000000"/>
                          <w:bottom w:val="single" w:sz="4" w:space="0" w:color="000000"/>
                        </w:tcBorders>
                        <w:shd w:val="clear" w:color="auto" w:fill="FFFFFF"/>
                      </w:tcPr>
                      <w:p>
                        <w:pPr>
                          <w:pStyle w:val="TableParagraph"/>
                          <w:spacing w:line="180" w:lineRule="exact" w:before="0"/>
                          <w:ind w:left="-22" w:right="133"/>
                          <w:jc w:val="left"/>
                          <w:rPr>
                            <w:rFonts w:ascii="Arial"/>
                            <w:sz w:val="16"/>
                          </w:rPr>
                        </w:pPr>
                        <w:r>
                          <w:rPr>
                            <w:rFonts w:ascii="Arial"/>
                            <w:sz w:val="16"/>
                          </w:rPr>
                          <w:t>Temperatura</w:t>
                        </w:r>
                      </w:p>
                    </w:tc>
                    <w:tc>
                      <w:tcPr>
                        <w:tcW w:w="782" w:type="dxa"/>
                        <w:gridSpan w:val="2"/>
                        <w:tcBorders>
                          <w:top w:val="single" w:sz="4" w:space="0" w:color="000000"/>
                          <w:bottom w:val="single" w:sz="4" w:space="0" w:color="000000"/>
                        </w:tcBorders>
                      </w:tcPr>
                      <w:p>
                        <w:pPr>
                          <w:pStyle w:val="TableParagraph"/>
                          <w:spacing w:line="180" w:lineRule="exact" w:before="0"/>
                          <w:ind w:left="128" w:right="-30"/>
                          <w:jc w:val="left"/>
                          <w:rPr>
                            <w:rFonts w:ascii="Arial"/>
                            <w:sz w:val="16"/>
                          </w:rPr>
                        </w:pPr>
                        <w:r>
                          <w:rPr>
                            <w:rFonts w:ascii="Arial"/>
                            <w:sz w:val="16"/>
                          </w:rPr>
                          <w:t>0,007</w:t>
                        </w:r>
                      </w:p>
                    </w:tc>
                    <w:tc>
                      <w:tcPr>
                        <w:tcW w:w="566" w:type="dxa"/>
                        <w:tcBorders>
                          <w:top w:val="single" w:sz="4" w:space="0" w:color="000000"/>
                          <w:bottom w:val="single" w:sz="4" w:space="0" w:color="000000"/>
                        </w:tcBorders>
                      </w:tcPr>
                      <w:p>
                        <w:pPr>
                          <w:pStyle w:val="TableParagraph"/>
                          <w:spacing w:line="180" w:lineRule="exact" w:before="0"/>
                          <w:ind w:left="31" w:right="85"/>
                          <w:jc w:val="center"/>
                          <w:rPr>
                            <w:rFonts w:ascii="Arial"/>
                            <w:sz w:val="16"/>
                          </w:rPr>
                        </w:pPr>
                        <w:r>
                          <w:rPr>
                            <w:rFonts w:ascii="Arial"/>
                            <w:sz w:val="16"/>
                          </w:rPr>
                          <w:t>16,53</w:t>
                        </w:r>
                      </w:p>
                    </w:tc>
                    <w:tc>
                      <w:tcPr>
                        <w:tcW w:w="1025" w:type="dxa"/>
                        <w:tcBorders>
                          <w:top w:val="single" w:sz="4" w:space="0" w:color="000000"/>
                          <w:bottom w:val="single" w:sz="4" w:space="0" w:color="000000"/>
                        </w:tcBorders>
                      </w:tcPr>
                      <w:p>
                        <w:pPr>
                          <w:pStyle w:val="TableParagraph"/>
                          <w:spacing w:line="180" w:lineRule="exact" w:before="0"/>
                          <w:ind w:right="142"/>
                          <w:rPr>
                            <w:rFonts w:ascii="Arial"/>
                            <w:sz w:val="16"/>
                          </w:rPr>
                        </w:pPr>
                        <w:r>
                          <w:rPr>
                            <w:rFonts w:ascii="Arial"/>
                            <w:sz w:val="16"/>
                          </w:rPr>
                          <w:t>17,01</w:t>
                        </w:r>
                      </w:p>
                    </w:tc>
                  </w:tr>
                  <w:tr>
                    <w:trPr>
                      <w:trHeight w:val="193" w:hRule="exact"/>
                    </w:trPr>
                    <w:tc>
                      <w:tcPr>
                        <w:tcW w:w="1051" w:type="dxa"/>
                        <w:shd w:val="clear" w:color="auto" w:fill="00B04F"/>
                      </w:tcPr>
                      <w:p>
                        <w:pPr>
                          <w:pStyle w:val="TableParagraph"/>
                          <w:spacing w:before="1"/>
                          <w:ind w:left="134" w:right="-19"/>
                          <w:jc w:val="left"/>
                          <w:rPr>
                            <w:rFonts w:ascii="Arial"/>
                            <w:sz w:val="16"/>
                          </w:rPr>
                        </w:pPr>
                        <w:r>
                          <w:rPr>
                            <w:rFonts w:ascii="Arial"/>
                            <w:color w:val="FFFFFF"/>
                            <w:sz w:val="16"/>
                          </w:rPr>
                          <w:t>pH</w:t>
                        </w:r>
                      </w:p>
                    </w:tc>
                    <w:tc>
                      <w:tcPr>
                        <w:tcW w:w="1481" w:type="dxa"/>
                        <w:shd w:val="clear" w:color="auto" w:fill="00B04F"/>
                      </w:tcPr>
                      <w:p>
                        <w:pPr>
                          <w:pStyle w:val="TableParagraph"/>
                          <w:spacing w:before="1"/>
                          <w:ind w:left="304" w:right="-25"/>
                          <w:jc w:val="left"/>
                          <w:rPr>
                            <w:rFonts w:ascii="Arial" w:hAnsi="Arial"/>
                            <w:sz w:val="16"/>
                          </w:rPr>
                        </w:pPr>
                        <w:r>
                          <w:rPr>
                            <w:rFonts w:ascii="Arial" w:hAnsi="Arial"/>
                            <w:color w:val="FFFFFF"/>
                            <w:sz w:val="16"/>
                          </w:rPr>
                          <w:t>6,99 ± 0,07</w:t>
                        </w:r>
                      </w:p>
                    </w:tc>
                    <w:tc>
                      <w:tcPr>
                        <w:tcW w:w="601" w:type="dxa"/>
                        <w:shd w:val="clear" w:color="auto" w:fill="00B04F"/>
                      </w:tcPr>
                      <w:p>
                        <w:pPr/>
                      </w:p>
                    </w:tc>
                    <w:tc>
                      <w:tcPr>
                        <w:tcW w:w="551" w:type="dxa"/>
                        <w:shd w:val="clear" w:color="auto" w:fill="00B04F"/>
                      </w:tcPr>
                      <w:p>
                        <w:pPr>
                          <w:pStyle w:val="TableParagraph"/>
                          <w:spacing w:before="1"/>
                          <w:ind w:left="155" w:right="87"/>
                          <w:jc w:val="center"/>
                          <w:rPr>
                            <w:rFonts w:ascii="Arial"/>
                            <w:sz w:val="16"/>
                          </w:rPr>
                        </w:pPr>
                        <w:r>
                          <w:rPr>
                            <w:rFonts w:ascii="Arial"/>
                            <w:color w:val="FFFFFF"/>
                            <w:sz w:val="16"/>
                          </w:rPr>
                          <w:t>121</w:t>
                        </w:r>
                      </w:p>
                    </w:tc>
                    <w:tc>
                      <w:tcPr>
                        <w:tcW w:w="278" w:type="dxa"/>
                        <w:shd w:val="clear" w:color="auto" w:fill="FFFFFF"/>
                      </w:tcPr>
                      <w:p>
                        <w:pPr/>
                      </w:p>
                    </w:tc>
                    <w:tc>
                      <w:tcPr>
                        <w:tcW w:w="130" w:type="dxa"/>
                        <w:tcBorders>
                          <w:top w:val="single" w:sz="4" w:space="0" w:color="000000"/>
                          <w:bottom w:val="single" w:sz="4" w:space="0" w:color="000000"/>
                        </w:tcBorders>
                        <w:shd w:val="clear" w:color="auto" w:fill="FFFFFF"/>
                      </w:tcPr>
                      <w:p>
                        <w:pPr/>
                      </w:p>
                    </w:tc>
                    <w:tc>
                      <w:tcPr>
                        <w:tcW w:w="1334" w:type="dxa"/>
                        <w:gridSpan w:val="2"/>
                        <w:tcBorders>
                          <w:top w:val="single" w:sz="4" w:space="0" w:color="000000"/>
                          <w:bottom w:val="single" w:sz="4" w:space="0" w:color="000000"/>
                        </w:tcBorders>
                        <w:shd w:val="clear" w:color="auto" w:fill="FFFFFF"/>
                      </w:tcPr>
                      <w:p>
                        <w:pPr>
                          <w:pStyle w:val="TableParagraph"/>
                          <w:spacing w:line="180" w:lineRule="exact" w:before="0"/>
                          <w:ind w:left="-22" w:right="133"/>
                          <w:jc w:val="left"/>
                          <w:rPr>
                            <w:rFonts w:ascii="Arial"/>
                            <w:sz w:val="16"/>
                          </w:rPr>
                        </w:pPr>
                        <w:r>
                          <w:rPr>
                            <w:rFonts w:ascii="Arial"/>
                            <w:sz w:val="16"/>
                          </w:rPr>
                          <w:t>pH</w:t>
                        </w:r>
                      </w:p>
                    </w:tc>
                    <w:tc>
                      <w:tcPr>
                        <w:tcW w:w="782" w:type="dxa"/>
                        <w:gridSpan w:val="2"/>
                        <w:tcBorders>
                          <w:top w:val="single" w:sz="4" w:space="0" w:color="000000"/>
                          <w:bottom w:val="single" w:sz="4" w:space="0" w:color="000000"/>
                        </w:tcBorders>
                      </w:tcPr>
                      <w:p>
                        <w:pPr>
                          <w:pStyle w:val="TableParagraph"/>
                          <w:spacing w:line="180" w:lineRule="exact" w:before="0"/>
                          <w:ind w:left="129" w:right="-30"/>
                          <w:jc w:val="left"/>
                          <w:rPr>
                            <w:rFonts w:ascii="Arial"/>
                            <w:sz w:val="16"/>
                          </w:rPr>
                        </w:pPr>
                        <w:r>
                          <w:rPr>
                            <w:rFonts w:ascii="Arial"/>
                            <w:sz w:val="16"/>
                          </w:rPr>
                          <w:t>0,010</w:t>
                        </w:r>
                      </w:p>
                    </w:tc>
                    <w:tc>
                      <w:tcPr>
                        <w:tcW w:w="566" w:type="dxa"/>
                        <w:tcBorders>
                          <w:top w:val="single" w:sz="4" w:space="0" w:color="000000"/>
                          <w:bottom w:val="single" w:sz="4" w:space="0" w:color="000000"/>
                        </w:tcBorders>
                      </w:tcPr>
                      <w:p>
                        <w:pPr>
                          <w:pStyle w:val="TableParagraph"/>
                          <w:spacing w:line="180" w:lineRule="exact" w:before="0"/>
                          <w:ind w:left="36" w:right="3"/>
                          <w:jc w:val="center"/>
                          <w:rPr>
                            <w:rFonts w:ascii="Arial"/>
                            <w:sz w:val="16"/>
                          </w:rPr>
                        </w:pPr>
                        <w:r>
                          <w:rPr>
                            <w:rFonts w:ascii="Arial"/>
                            <w:sz w:val="16"/>
                          </w:rPr>
                          <w:t>6,85</w:t>
                        </w:r>
                      </w:p>
                    </w:tc>
                    <w:tc>
                      <w:tcPr>
                        <w:tcW w:w="1025" w:type="dxa"/>
                        <w:tcBorders>
                          <w:top w:val="single" w:sz="4" w:space="0" w:color="000000"/>
                          <w:bottom w:val="single" w:sz="4" w:space="0" w:color="000000"/>
                        </w:tcBorders>
                      </w:tcPr>
                      <w:p>
                        <w:pPr>
                          <w:pStyle w:val="TableParagraph"/>
                          <w:spacing w:line="180" w:lineRule="exact" w:before="0"/>
                          <w:ind w:right="142"/>
                          <w:rPr>
                            <w:rFonts w:ascii="Arial"/>
                            <w:sz w:val="16"/>
                          </w:rPr>
                        </w:pPr>
                        <w:r>
                          <w:rPr>
                            <w:rFonts w:ascii="Arial"/>
                            <w:sz w:val="16"/>
                          </w:rPr>
                          <w:t>7,12</w:t>
                        </w:r>
                      </w:p>
                    </w:tc>
                  </w:tr>
                  <w:tr>
                    <w:trPr>
                      <w:trHeight w:val="184" w:hRule="exact"/>
                    </w:trPr>
                    <w:tc>
                      <w:tcPr>
                        <w:tcW w:w="1051" w:type="dxa"/>
                        <w:shd w:val="clear" w:color="auto" w:fill="00B04F"/>
                      </w:tcPr>
                      <w:p>
                        <w:pPr>
                          <w:pStyle w:val="TableParagraph"/>
                          <w:spacing w:before="3"/>
                          <w:ind w:left="134" w:right="-19"/>
                          <w:jc w:val="left"/>
                          <w:rPr>
                            <w:rFonts w:ascii="Arial"/>
                            <w:sz w:val="16"/>
                          </w:rPr>
                        </w:pPr>
                        <w:r>
                          <w:rPr>
                            <w:rFonts w:ascii="Arial"/>
                            <w:color w:val="FFFFFF"/>
                            <w:sz w:val="16"/>
                          </w:rPr>
                          <w:t>OD</w:t>
                        </w:r>
                      </w:p>
                    </w:tc>
                    <w:tc>
                      <w:tcPr>
                        <w:tcW w:w="1481" w:type="dxa"/>
                        <w:shd w:val="clear" w:color="auto" w:fill="00B04F"/>
                      </w:tcPr>
                      <w:p>
                        <w:pPr>
                          <w:pStyle w:val="TableParagraph"/>
                          <w:spacing w:before="3"/>
                          <w:ind w:left="304" w:right="-25"/>
                          <w:jc w:val="left"/>
                          <w:rPr>
                            <w:rFonts w:ascii="Arial" w:hAnsi="Arial"/>
                            <w:sz w:val="16"/>
                          </w:rPr>
                        </w:pPr>
                        <w:r>
                          <w:rPr>
                            <w:rFonts w:ascii="Arial" w:hAnsi="Arial"/>
                            <w:color w:val="FFFFFF"/>
                            <w:sz w:val="16"/>
                          </w:rPr>
                          <w:t>5,35 ± 0,08</w:t>
                        </w:r>
                      </w:p>
                    </w:tc>
                    <w:tc>
                      <w:tcPr>
                        <w:tcW w:w="601" w:type="dxa"/>
                        <w:shd w:val="clear" w:color="auto" w:fill="00B04F"/>
                      </w:tcPr>
                      <w:p>
                        <w:pPr>
                          <w:pStyle w:val="TableParagraph"/>
                          <w:spacing w:before="3"/>
                          <w:ind w:left="49" w:right="156"/>
                          <w:jc w:val="center"/>
                          <w:rPr>
                            <w:rFonts w:ascii="Arial"/>
                            <w:sz w:val="16"/>
                          </w:rPr>
                        </w:pPr>
                        <w:r>
                          <w:rPr>
                            <w:rFonts w:ascii="Arial"/>
                            <w:color w:val="FFFFFF"/>
                            <w:sz w:val="16"/>
                          </w:rPr>
                          <w:t>mg/L</w:t>
                        </w:r>
                      </w:p>
                    </w:tc>
                    <w:tc>
                      <w:tcPr>
                        <w:tcW w:w="551" w:type="dxa"/>
                        <w:shd w:val="clear" w:color="auto" w:fill="00B04F"/>
                      </w:tcPr>
                      <w:p>
                        <w:pPr>
                          <w:pStyle w:val="TableParagraph"/>
                          <w:spacing w:before="3"/>
                          <w:ind w:left="155" w:right="87"/>
                          <w:jc w:val="center"/>
                          <w:rPr>
                            <w:rFonts w:ascii="Arial"/>
                            <w:sz w:val="16"/>
                          </w:rPr>
                        </w:pPr>
                        <w:r>
                          <w:rPr>
                            <w:rFonts w:ascii="Arial"/>
                            <w:color w:val="FFFFFF"/>
                            <w:sz w:val="16"/>
                          </w:rPr>
                          <w:t>121</w:t>
                        </w:r>
                      </w:p>
                    </w:tc>
                    <w:tc>
                      <w:tcPr>
                        <w:tcW w:w="278" w:type="dxa"/>
                        <w:shd w:val="clear" w:color="auto" w:fill="FFFFFF"/>
                      </w:tcPr>
                      <w:p>
                        <w:pPr/>
                      </w:p>
                    </w:tc>
                    <w:tc>
                      <w:tcPr>
                        <w:tcW w:w="130" w:type="dxa"/>
                        <w:tcBorders>
                          <w:top w:val="single" w:sz="4" w:space="0" w:color="000000"/>
                        </w:tcBorders>
                        <w:shd w:val="clear" w:color="auto" w:fill="FFFFFF"/>
                      </w:tcPr>
                      <w:p>
                        <w:pPr/>
                      </w:p>
                    </w:tc>
                    <w:tc>
                      <w:tcPr>
                        <w:tcW w:w="1334" w:type="dxa"/>
                        <w:gridSpan w:val="2"/>
                        <w:tcBorders>
                          <w:top w:val="single" w:sz="4" w:space="0" w:color="000000"/>
                        </w:tcBorders>
                        <w:shd w:val="clear" w:color="auto" w:fill="FFFFFF"/>
                      </w:tcPr>
                      <w:p>
                        <w:pPr>
                          <w:pStyle w:val="TableParagraph"/>
                          <w:spacing w:line="182" w:lineRule="exact" w:before="0"/>
                          <w:ind w:left="-22" w:right="133"/>
                          <w:jc w:val="left"/>
                          <w:rPr>
                            <w:rFonts w:ascii="Arial"/>
                            <w:sz w:val="16"/>
                          </w:rPr>
                        </w:pPr>
                        <w:r>
                          <w:rPr>
                            <w:rFonts w:ascii="Arial"/>
                            <w:sz w:val="16"/>
                          </w:rPr>
                          <w:t>OD</w:t>
                        </w:r>
                      </w:p>
                    </w:tc>
                    <w:tc>
                      <w:tcPr>
                        <w:tcW w:w="782" w:type="dxa"/>
                        <w:gridSpan w:val="2"/>
                        <w:tcBorders>
                          <w:top w:val="single" w:sz="4" w:space="0" w:color="000000"/>
                        </w:tcBorders>
                      </w:tcPr>
                      <w:p>
                        <w:pPr>
                          <w:pStyle w:val="TableParagraph"/>
                          <w:spacing w:line="182" w:lineRule="exact" w:before="0"/>
                          <w:ind w:left="129" w:right="-30"/>
                          <w:jc w:val="left"/>
                          <w:rPr>
                            <w:rFonts w:ascii="Arial"/>
                            <w:sz w:val="16"/>
                          </w:rPr>
                        </w:pPr>
                        <w:r>
                          <w:rPr>
                            <w:rFonts w:ascii="Arial"/>
                            <w:sz w:val="16"/>
                          </w:rPr>
                          <w:t>0,016</w:t>
                        </w:r>
                      </w:p>
                    </w:tc>
                    <w:tc>
                      <w:tcPr>
                        <w:tcW w:w="566" w:type="dxa"/>
                        <w:tcBorders>
                          <w:top w:val="single" w:sz="4" w:space="0" w:color="000000"/>
                        </w:tcBorders>
                      </w:tcPr>
                      <w:p>
                        <w:pPr>
                          <w:pStyle w:val="TableParagraph"/>
                          <w:spacing w:line="182" w:lineRule="exact" w:before="0"/>
                          <w:ind w:left="36" w:right="3"/>
                          <w:jc w:val="center"/>
                          <w:rPr>
                            <w:rFonts w:ascii="Arial"/>
                            <w:sz w:val="16"/>
                          </w:rPr>
                        </w:pPr>
                        <w:r>
                          <w:rPr>
                            <w:rFonts w:ascii="Arial"/>
                            <w:sz w:val="16"/>
                          </w:rPr>
                          <w:t>5,19</w:t>
                        </w:r>
                      </w:p>
                    </w:tc>
                    <w:tc>
                      <w:tcPr>
                        <w:tcW w:w="1025" w:type="dxa"/>
                        <w:tcBorders>
                          <w:top w:val="single" w:sz="4" w:space="0" w:color="000000"/>
                        </w:tcBorders>
                      </w:tcPr>
                      <w:p>
                        <w:pPr>
                          <w:pStyle w:val="TableParagraph"/>
                          <w:spacing w:line="182" w:lineRule="exact" w:before="0"/>
                          <w:ind w:right="141"/>
                          <w:rPr>
                            <w:rFonts w:ascii="Arial"/>
                            <w:sz w:val="16"/>
                          </w:rPr>
                        </w:pPr>
                        <w:r>
                          <w:rPr>
                            <w:rFonts w:ascii="Arial"/>
                            <w:sz w:val="16"/>
                          </w:rPr>
                          <w:t>5,55</w:t>
                        </w:r>
                      </w:p>
                    </w:tc>
                  </w:tr>
                  <w:tr>
                    <w:trPr>
                      <w:trHeight w:val="6519" w:hRule="exact"/>
                    </w:trPr>
                    <w:tc>
                      <w:tcPr>
                        <w:tcW w:w="1051" w:type="dxa"/>
                      </w:tcPr>
                      <w:p>
                        <w:pPr/>
                      </w:p>
                    </w:tc>
                    <w:tc>
                      <w:tcPr>
                        <w:tcW w:w="1481" w:type="dxa"/>
                      </w:tcPr>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10"/>
                          <w:ind w:right="0"/>
                          <w:jc w:val="left"/>
                          <w:rPr>
                            <w:rFonts w:ascii="Arial"/>
                            <w:b/>
                            <w:sz w:val="22"/>
                          </w:rPr>
                        </w:pPr>
                      </w:p>
                      <w:p>
                        <w:pPr>
                          <w:pStyle w:val="TableParagraph"/>
                          <w:tabs>
                            <w:tab w:pos="1343" w:val="left" w:leader="none"/>
                          </w:tabs>
                          <w:spacing w:before="1"/>
                          <w:ind w:left="131" w:right="-25"/>
                          <w:jc w:val="left"/>
                          <w:rPr>
                            <w:rFonts w:ascii="Arial" w:hAnsi="Arial"/>
                            <w:b/>
                            <w:sz w:val="16"/>
                          </w:rPr>
                        </w:pPr>
                        <w:r>
                          <w:rPr>
                            <w:rFonts w:ascii="Arial" w:hAnsi="Arial"/>
                            <w:b/>
                            <w:sz w:val="16"/>
                          </w:rPr>
                          <w:t>Parámetro</w:t>
                          <w:tab/>
                          <w:t>Ef</w:t>
                        </w:r>
                      </w:p>
                      <w:p>
                        <w:pPr>
                          <w:pStyle w:val="TableParagraph"/>
                          <w:spacing w:before="0"/>
                          <w:ind w:right="0"/>
                          <w:jc w:val="left"/>
                          <w:rPr>
                            <w:rFonts w:ascii="Arial"/>
                            <w:b/>
                            <w:sz w:val="16"/>
                          </w:rPr>
                        </w:pPr>
                      </w:p>
                      <w:p>
                        <w:pPr>
                          <w:pStyle w:val="TableParagraph"/>
                          <w:spacing w:before="11"/>
                          <w:ind w:right="0"/>
                          <w:jc w:val="left"/>
                          <w:rPr>
                            <w:rFonts w:ascii="Arial"/>
                            <w:b/>
                            <w:sz w:val="16"/>
                          </w:rPr>
                        </w:pPr>
                      </w:p>
                      <w:p>
                        <w:pPr>
                          <w:pStyle w:val="TableParagraph"/>
                          <w:spacing w:line="177" w:lineRule="exact" w:before="0"/>
                          <w:ind w:left="86" w:right="-25"/>
                          <w:jc w:val="left"/>
                          <w:rPr>
                            <w:rFonts w:ascii="Arial"/>
                            <w:sz w:val="10"/>
                          </w:rPr>
                        </w:pPr>
                        <w:r>
                          <w:rPr>
                            <w:rFonts w:ascii="Arial"/>
                            <w:position w:val="2"/>
                            <w:sz w:val="16"/>
                          </w:rPr>
                          <w:t>N-NH</w:t>
                        </w:r>
                        <w:r>
                          <w:rPr>
                            <w:rFonts w:ascii="Arial"/>
                            <w:sz w:val="10"/>
                          </w:rPr>
                          <w:t>3</w:t>
                        </w:r>
                      </w:p>
                      <w:p>
                        <w:pPr>
                          <w:pStyle w:val="TableParagraph"/>
                          <w:spacing w:line="101" w:lineRule="exact" w:before="0"/>
                          <w:ind w:right="346"/>
                          <w:jc w:val="center"/>
                          <w:rPr>
                            <w:rFonts w:ascii="Arial"/>
                            <w:sz w:val="10"/>
                          </w:rPr>
                        </w:pPr>
                        <w:r>
                          <w:rPr>
                            <w:rFonts w:ascii="Arial"/>
                            <w:w w:val="100"/>
                            <w:sz w:val="10"/>
                          </w:rPr>
                          <w:t>-</w:t>
                        </w:r>
                      </w:p>
                      <w:p>
                        <w:pPr>
                          <w:pStyle w:val="TableParagraph"/>
                          <w:spacing w:before="70"/>
                          <w:ind w:right="346"/>
                          <w:jc w:val="center"/>
                          <w:rPr>
                            <w:rFonts w:ascii="Arial"/>
                            <w:sz w:val="10"/>
                          </w:rPr>
                        </w:pPr>
                        <w:r>
                          <w:rPr>
                            <w:rFonts w:ascii="Arial"/>
                            <w:w w:val="100"/>
                            <w:sz w:val="10"/>
                          </w:rPr>
                          <w:t>-</w:t>
                        </w:r>
                      </w:p>
                      <w:p>
                        <w:pPr>
                          <w:pStyle w:val="TableParagraph"/>
                          <w:spacing w:before="9"/>
                          <w:ind w:right="0"/>
                          <w:jc w:val="left"/>
                          <w:rPr>
                            <w:rFonts w:ascii="Arial"/>
                            <w:b/>
                            <w:sz w:val="7"/>
                          </w:rPr>
                        </w:pPr>
                      </w:p>
                      <w:p>
                        <w:pPr>
                          <w:pStyle w:val="TableParagraph"/>
                          <w:spacing w:before="1"/>
                          <w:ind w:left="86" w:right="1010"/>
                          <w:jc w:val="left"/>
                          <w:rPr>
                            <w:rFonts w:ascii="Arial"/>
                            <w:sz w:val="16"/>
                          </w:rPr>
                        </w:pPr>
                        <w:r>
                          <w:rPr>
                            <w:rFonts w:ascii="Arial"/>
                            <w:sz w:val="16"/>
                          </w:rPr>
                          <w:t>DQO SST</w:t>
                        </w:r>
                      </w:p>
                    </w:tc>
                    <w:tc>
                      <w:tcPr>
                        <w:tcW w:w="601" w:type="dxa"/>
                      </w:tcPr>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10"/>
                          <w:ind w:right="0"/>
                          <w:jc w:val="left"/>
                          <w:rPr>
                            <w:rFonts w:ascii="Arial"/>
                            <w:b/>
                            <w:sz w:val="22"/>
                          </w:rPr>
                        </w:pPr>
                      </w:p>
                      <w:p>
                        <w:pPr>
                          <w:pStyle w:val="TableParagraph"/>
                          <w:spacing w:before="1"/>
                          <w:ind w:left="26" w:right="-43" w:hanging="3"/>
                          <w:jc w:val="left"/>
                          <w:rPr>
                            <w:rFonts w:ascii="Arial"/>
                            <w:b/>
                            <w:sz w:val="16"/>
                          </w:rPr>
                        </w:pPr>
                        <w:r>
                          <w:rPr>
                            <w:rFonts w:ascii="Arial"/>
                            <w:b/>
                            <w:sz w:val="16"/>
                          </w:rPr>
                          <w:t>iciencia </w:t>
                        </w:r>
                        <w:r>
                          <w:rPr>
                            <w:rFonts w:ascii="Arial"/>
                            <w:b/>
                            <w:spacing w:val="-1"/>
                            <w:sz w:val="16"/>
                          </w:rPr>
                          <w:t>Desviac</w:t>
                        </w:r>
                      </w:p>
                      <w:p>
                        <w:pPr>
                          <w:pStyle w:val="TableParagraph"/>
                          <w:tabs>
                            <w:tab w:pos="115" w:val="left" w:leader="none"/>
                          </w:tabs>
                          <w:spacing w:before="1"/>
                          <w:ind w:left="-1503" w:right="-30"/>
                          <w:jc w:val="left"/>
                          <w:rPr>
                            <w:rFonts w:ascii="Arial" w:hAnsi="Arial"/>
                            <w:b/>
                            <w:sz w:val="16"/>
                          </w:rPr>
                        </w:pPr>
                        <w:r>
                          <w:rPr>
                            <w:rFonts w:ascii="Times New Roman" w:hAnsi="Times New Roman"/>
                            <w:w w:val="100"/>
                            <w:sz w:val="16"/>
                            <w:u w:val="single"/>
                          </w:rPr>
                          <w:t> </w:t>
                        </w:r>
                        <w:r>
                          <w:rPr>
                            <w:rFonts w:ascii="Times New Roman" w:hAnsi="Times New Roman"/>
                            <w:sz w:val="16"/>
                            <w:u w:val="single"/>
                          </w:rPr>
                          <w:tab/>
                        </w:r>
                        <w:r>
                          <w:rPr>
                            <w:rFonts w:ascii="Arial" w:hAnsi="Arial"/>
                            <w:b/>
                            <w:spacing w:val="-1"/>
                            <w:sz w:val="16"/>
                            <w:u w:val="single"/>
                          </w:rPr>
                          <w:t>estánd</w:t>
                        </w:r>
                      </w:p>
                      <w:p>
                        <w:pPr>
                          <w:pStyle w:val="TableParagraph"/>
                          <w:spacing w:before="10"/>
                          <w:ind w:left="4" w:right="-43"/>
                          <w:jc w:val="left"/>
                          <w:rPr>
                            <w:rFonts w:ascii="Arial" w:hAnsi="Arial"/>
                            <w:sz w:val="16"/>
                          </w:rPr>
                        </w:pPr>
                        <w:r>
                          <w:rPr>
                            <w:rFonts w:ascii="Arial" w:hAnsi="Arial"/>
                            <w:sz w:val="16"/>
                          </w:rPr>
                          <w:t>78,99 ±</w:t>
                        </w:r>
                      </w:p>
                      <w:p>
                        <w:pPr>
                          <w:pStyle w:val="TableParagraph"/>
                          <w:spacing w:before="1"/>
                          <w:ind w:left="4" w:right="-43"/>
                          <w:jc w:val="left"/>
                          <w:rPr>
                            <w:rFonts w:ascii="Arial" w:hAnsi="Arial"/>
                            <w:sz w:val="16"/>
                          </w:rPr>
                        </w:pPr>
                        <w:r>
                          <w:rPr>
                            <w:rFonts w:ascii="Arial" w:hAnsi="Arial"/>
                            <w:sz w:val="16"/>
                          </w:rPr>
                          <w:t>29,36 ±</w:t>
                        </w:r>
                      </w:p>
                      <w:p>
                        <w:pPr>
                          <w:pStyle w:val="TableParagraph"/>
                          <w:spacing w:line="183" w:lineRule="exact" w:before="1"/>
                          <w:ind w:left="24" w:right="-43"/>
                          <w:jc w:val="left"/>
                          <w:rPr>
                            <w:rFonts w:ascii="Arial" w:hAnsi="Arial"/>
                            <w:sz w:val="16"/>
                          </w:rPr>
                        </w:pPr>
                        <w:r>
                          <w:rPr>
                            <w:rFonts w:ascii="Arial" w:hAnsi="Arial"/>
                            <w:sz w:val="16"/>
                          </w:rPr>
                          <w:t>-4,23 ±</w:t>
                        </w:r>
                      </w:p>
                      <w:p>
                        <w:pPr>
                          <w:pStyle w:val="TableParagraph"/>
                          <w:spacing w:line="183" w:lineRule="exact" w:before="0"/>
                          <w:ind w:left="4" w:right="-43"/>
                          <w:jc w:val="left"/>
                          <w:rPr>
                            <w:rFonts w:ascii="Arial" w:hAnsi="Arial"/>
                            <w:sz w:val="16"/>
                          </w:rPr>
                        </w:pPr>
                        <w:r>
                          <w:rPr>
                            <w:rFonts w:ascii="Arial" w:hAnsi="Arial"/>
                            <w:sz w:val="16"/>
                          </w:rPr>
                          <w:t>23,15 ±</w:t>
                        </w:r>
                      </w:p>
                      <w:p>
                        <w:pPr>
                          <w:pStyle w:val="TableParagraph"/>
                          <w:spacing w:before="1"/>
                          <w:ind w:left="4" w:right="-43"/>
                          <w:jc w:val="left"/>
                          <w:rPr>
                            <w:rFonts w:ascii="Arial" w:hAnsi="Arial"/>
                            <w:sz w:val="16"/>
                          </w:rPr>
                        </w:pPr>
                        <w:r>
                          <w:rPr>
                            <w:rFonts w:ascii="Arial" w:hAnsi="Arial"/>
                            <w:sz w:val="16"/>
                          </w:rPr>
                          <w:t>44,54 ±</w:t>
                        </w:r>
                      </w:p>
                    </w:tc>
                    <w:tc>
                      <w:tcPr>
                        <w:tcW w:w="551" w:type="dxa"/>
                      </w:tcPr>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0"/>
                          <w:ind w:right="0"/>
                          <w:jc w:val="left"/>
                          <w:rPr>
                            <w:rFonts w:ascii="Arial"/>
                            <w:b/>
                            <w:sz w:val="16"/>
                          </w:rPr>
                        </w:pPr>
                      </w:p>
                      <w:p>
                        <w:pPr>
                          <w:pStyle w:val="TableParagraph"/>
                          <w:spacing w:before="10"/>
                          <w:ind w:right="0"/>
                          <w:jc w:val="left"/>
                          <w:rPr>
                            <w:rFonts w:ascii="Arial"/>
                            <w:b/>
                            <w:sz w:val="22"/>
                          </w:rPr>
                        </w:pPr>
                      </w:p>
                      <w:p>
                        <w:pPr>
                          <w:pStyle w:val="TableParagraph"/>
                          <w:spacing w:before="1"/>
                          <w:ind w:left="55" w:right="-149"/>
                          <w:jc w:val="left"/>
                          <w:rPr>
                            <w:rFonts w:ascii="Arial" w:hAnsi="Arial"/>
                            <w:b/>
                            <w:sz w:val="16"/>
                          </w:rPr>
                        </w:pPr>
                        <w:r>
                          <w:rPr>
                            <w:rFonts w:ascii="Arial" w:hAnsi="Arial"/>
                            <w:b/>
                            <w:sz w:val="16"/>
                          </w:rPr>
                          <w:t>(%) ±</w:t>
                        </w:r>
                      </w:p>
                      <w:p>
                        <w:pPr>
                          <w:pStyle w:val="TableParagraph"/>
                          <w:spacing w:before="1"/>
                          <w:ind w:left="29" w:right="-149"/>
                          <w:jc w:val="left"/>
                          <w:rPr>
                            <w:rFonts w:ascii="Arial" w:hAnsi="Arial"/>
                            <w:b/>
                            <w:sz w:val="16"/>
                          </w:rPr>
                        </w:pPr>
                        <w:r>
                          <w:rPr>
                            <w:rFonts w:ascii="Arial" w:hAnsi="Arial"/>
                            <w:b/>
                            <w:sz w:val="16"/>
                          </w:rPr>
                          <w:t>ión</w:t>
                        </w:r>
                      </w:p>
                      <w:p>
                        <w:pPr>
                          <w:pStyle w:val="TableParagraph"/>
                          <w:tabs>
                            <w:tab w:pos="699" w:val="left" w:leader="none"/>
                          </w:tabs>
                          <w:spacing w:before="1"/>
                          <w:ind w:left="29" w:right="-149"/>
                          <w:jc w:val="left"/>
                          <w:rPr>
                            <w:rFonts w:ascii="Arial"/>
                            <w:b/>
                            <w:sz w:val="16"/>
                          </w:rPr>
                        </w:pPr>
                        <w:r>
                          <w:rPr>
                            <w:rFonts w:ascii="Arial"/>
                            <w:b/>
                            <w:sz w:val="16"/>
                            <w:u w:val="single"/>
                          </w:rPr>
                          <w:t>ar</w:t>
                          <w:tab/>
                        </w:r>
                      </w:p>
                      <w:p>
                        <w:pPr>
                          <w:pStyle w:val="TableParagraph"/>
                          <w:spacing w:before="10"/>
                          <w:ind w:left="-19" w:right="-149"/>
                          <w:jc w:val="left"/>
                          <w:rPr>
                            <w:rFonts w:ascii="Arial"/>
                            <w:sz w:val="16"/>
                          </w:rPr>
                        </w:pPr>
                        <w:r>
                          <w:rPr>
                            <w:rFonts w:ascii="Arial"/>
                            <w:sz w:val="16"/>
                          </w:rPr>
                          <w:t>0,44</w:t>
                        </w:r>
                      </w:p>
                      <w:p>
                        <w:pPr>
                          <w:pStyle w:val="TableParagraph"/>
                          <w:spacing w:before="1"/>
                          <w:ind w:left="-19" w:right="-149"/>
                          <w:jc w:val="left"/>
                          <w:rPr>
                            <w:rFonts w:ascii="Arial"/>
                            <w:sz w:val="16"/>
                          </w:rPr>
                        </w:pPr>
                        <w:r>
                          <w:rPr>
                            <w:rFonts w:ascii="Arial"/>
                            <w:sz w:val="16"/>
                          </w:rPr>
                          <w:t>0,63</w:t>
                        </w:r>
                      </w:p>
                      <w:p>
                        <w:pPr>
                          <w:pStyle w:val="TableParagraph"/>
                          <w:spacing w:line="183" w:lineRule="exact" w:before="1"/>
                          <w:ind w:left="-33" w:right="-149"/>
                          <w:jc w:val="left"/>
                          <w:rPr>
                            <w:rFonts w:ascii="Arial"/>
                            <w:sz w:val="16"/>
                          </w:rPr>
                        </w:pPr>
                        <w:r>
                          <w:rPr>
                            <w:rFonts w:ascii="Arial"/>
                            <w:sz w:val="16"/>
                          </w:rPr>
                          <w:t>1,36</w:t>
                        </w:r>
                      </w:p>
                      <w:p>
                        <w:pPr>
                          <w:pStyle w:val="TableParagraph"/>
                          <w:spacing w:line="183" w:lineRule="exact" w:before="0"/>
                          <w:ind w:left="-19" w:right="-149"/>
                          <w:jc w:val="left"/>
                          <w:rPr>
                            <w:rFonts w:ascii="Arial"/>
                            <w:sz w:val="16"/>
                          </w:rPr>
                        </w:pPr>
                        <w:r>
                          <w:rPr>
                            <w:rFonts w:ascii="Arial"/>
                            <w:sz w:val="16"/>
                          </w:rPr>
                          <w:t>0,43</w:t>
                        </w:r>
                      </w:p>
                      <w:p>
                        <w:pPr>
                          <w:pStyle w:val="TableParagraph"/>
                          <w:spacing w:before="1"/>
                          <w:ind w:left="-19" w:right="-149"/>
                          <w:jc w:val="left"/>
                          <w:rPr>
                            <w:rFonts w:ascii="Arial"/>
                            <w:sz w:val="16"/>
                          </w:rPr>
                        </w:pPr>
                        <w:r>
                          <w:rPr>
                            <w:rFonts w:ascii="Arial"/>
                            <w:sz w:val="16"/>
                          </w:rPr>
                          <w:t>0,62</w:t>
                        </w:r>
                      </w:p>
                    </w:tc>
                    <w:tc>
                      <w:tcPr>
                        <w:tcW w:w="278" w:type="dxa"/>
                      </w:tcPr>
                      <w:p>
                        <w:pPr/>
                      </w:p>
                    </w:tc>
                    <w:tc>
                      <w:tcPr>
                        <w:tcW w:w="130" w:type="dxa"/>
                      </w:tcPr>
                      <w:p>
                        <w:pPr/>
                      </w:p>
                    </w:tc>
                    <w:tc>
                      <w:tcPr>
                        <w:tcW w:w="1334" w:type="dxa"/>
                        <w:gridSpan w:val="2"/>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3"/>
                          <w:ind w:left="153" w:right="-10"/>
                          <w:jc w:val="left"/>
                          <w:rPr>
                            <w:rFonts w:ascii="Arial" w:hAnsi="Arial"/>
                            <w:sz w:val="18"/>
                          </w:rPr>
                        </w:pPr>
                        <w:r>
                          <w:rPr>
                            <w:rFonts w:ascii="Arial" w:hAnsi="Arial"/>
                            <w:sz w:val="18"/>
                          </w:rPr>
                          <w:t>#: Número de intervalo óptim</w:t>
                        </w:r>
                      </w:p>
                      <w:p>
                        <w:pPr>
                          <w:pStyle w:val="TableParagraph"/>
                          <w:spacing w:line="202" w:lineRule="exact" w:before="0"/>
                          <w:ind w:left="153" w:right="-35"/>
                          <w:jc w:val="left"/>
                          <w:rPr>
                            <w:rFonts w:ascii="Arial"/>
                            <w:sz w:val="18"/>
                          </w:rPr>
                        </w:pPr>
                        <w:r>
                          <w:rPr>
                            <w:rFonts w:ascii="Arial"/>
                            <w:sz w:val="18"/>
                          </w:rPr>
                          <w:t>*: Como</w:t>
                        </w:r>
                        <w:r>
                          <w:rPr>
                            <w:rFonts w:ascii="Arial"/>
                            <w:spacing w:val="-4"/>
                            <w:sz w:val="18"/>
                          </w:rPr>
                          <w:t> </w:t>
                        </w:r>
                        <w:r>
                          <w:rPr>
                            <w:rFonts w:ascii="Arial"/>
                            <w:sz w:val="18"/>
                          </w:rPr>
                          <w:t>CaCO</w:t>
                        </w:r>
                      </w:p>
                    </w:tc>
                    <w:tc>
                      <w:tcPr>
                        <w:tcW w:w="782" w:type="dxa"/>
                        <w:gridSpan w:val="2"/>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3"/>
                          <w:ind w:left="-10" w:right="-30" w:hanging="29"/>
                          <w:jc w:val="left"/>
                          <w:rPr>
                            <w:rFonts w:ascii="Arial"/>
                            <w:sz w:val="18"/>
                          </w:rPr>
                        </w:pPr>
                        <w:r>
                          <w:rPr>
                            <w:rFonts w:ascii="Arial"/>
                            <w:spacing w:val="-1"/>
                            <w:sz w:val="18"/>
                          </w:rPr>
                          <w:t>muestreos </w:t>
                        </w:r>
                        <w:r>
                          <w:rPr>
                            <w:rFonts w:ascii="Arial"/>
                            <w:sz w:val="18"/>
                          </w:rPr>
                          <w:t>o.</w:t>
                        </w:r>
                      </w:p>
                      <w:p>
                        <w:pPr>
                          <w:pStyle w:val="TableParagraph"/>
                          <w:spacing w:before="70"/>
                          <w:ind w:left="21" w:right="0"/>
                          <w:jc w:val="left"/>
                          <w:rPr>
                            <w:rFonts w:ascii="Arial"/>
                            <w:sz w:val="12"/>
                          </w:rPr>
                        </w:pPr>
                        <w:r>
                          <w:rPr>
                            <w:rFonts w:ascii="Arial"/>
                            <w:w w:val="99"/>
                            <w:sz w:val="12"/>
                          </w:rPr>
                          <w:t>3</w:t>
                        </w:r>
                      </w:p>
                    </w:tc>
                    <w:tc>
                      <w:tcPr>
                        <w:tcW w:w="566" w:type="dxa"/>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3"/>
                          <w:ind w:left="36" w:right="70"/>
                          <w:jc w:val="center"/>
                          <w:rPr>
                            <w:rFonts w:ascii="Arial"/>
                            <w:sz w:val="18"/>
                          </w:rPr>
                        </w:pPr>
                        <w:r>
                          <w:rPr>
                            <w:rFonts w:ascii="Arial"/>
                            <w:sz w:val="18"/>
                          </w:rPr>
                          <w:t>en el</w:t>
                        </w:r>
                      </w:p>
                    </w:tc>
                    <w:tc>
                      <w:tcPr>
                        <w:tcW w:w="1025" w:type="dxa"/>
                      </w:tcPr>
                      <w:p>
                        <w:pPr/>
                      </w:p>
                    </w:tc>
                  </w:tr>
                </w:tbl>
                <w:p>
                  <w:pPr>
                    <w:pStyle w:val="BodyText"/>
                  </w:pPr>
                </w:p>
              </w:txbxContent>
            </v:textbox>
            <w10:wrap type="none"/>
          </v:shape>
        </w:pict>
      </w:r>
      <w:r>
        <w:rPr/>
        <w:t>En la figura 35 se puede observar la eficiencia en general del tren de tratamiento para los parámetros limitantes para el cultivo de trucha, así como las concentraciones de los mismos a la entrada y salida del sistema. De manera general la concentración de los parámetros se encontró dentro de los intervalos óptimos para el cultivo con excepción de la alcalinidad y la temperatura.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tbl>
      <w:tblPr>
        <w:tblW w:w="0" w:type="auto"/>
        <w:jc w:val="left"/>
        <w:tblInd w:w="83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58"/>
        <w:gridCol w:w="1196"/>
        <w:gridCol w:w="845"/>
        <w:gridCol w:w="486"/>
        <w:gridCol w:w="4193"/>
      </w:tblGrid>
      <w:tr>
        <w:trPr>
          <w:trHeight w:val="576" w:hRule="exact"/>
        </w:trPr>
        <w:tc>
          <w:tcPr>
            <w:tcW w:w="1158" w:type="dxa"/>
            <w:tcBorders>
              <w:bottom w:val="single" w:sz="4" w:space="0" w:color="FFFF00"/>
              <w:right w:val="nil"/>
            </w:tcBorders>
          </w:tcPr>
          <w:p>
            <w:pPr>
              <w:pStyle w:val="TableParagraph"/>
              <w:spacing w:before="8"/>
              <w:ind w:right="0"/>
              <w:jc w:val="left"/>
              <w:rPr>
                <w:rFonts w:ascii="Arial"/>
                <w:sz w:val="20"/>
              </w:rPr>
            </w:pPr>
          </w:p>
          <w:p>
            <w:pPr>
              <w:pStyle w:val="TableParagraph"/>
              <w:spacing w:before="0"/>
              <w:ind w:left="236" w:right="0"/>
              <w:jc w:val="left"/>
              <w:rPr>
                <w:rFonts w:ascii="Arial" w:hAnsi="Arial"/>
                <w:b/>
                <w:sz w:val="14"/>
              </w:rPr>
            </w:pPr>
            <w:r>
              <w:rPr>
                <w:rFonts w:ascii="Arial" w:hAnsi="Arial"/>
                <w:b/>
                <w:sz w:val="14"/>
              </w:rPr>
              <w:t>Parámetro</w:t>
            </w:r>
          </w:p>
        </w:tc>
        <w:tc>
          <w:tcPr>
            <w:tcW w:w="1196" w:type="dxa"/>
            <w:tcBorders>
              <w:left w:val="nil"/>
              <w:bottom w:val="single" w:sz="4" w:space="0" w:color="FFFF00"/>
              <w:right w:val="nil"/>
            </w:tcBorders>
          </w:tcPr>
          <w:p>
            <w:pPr>
              <w:pStyle w:val="TableParagraph"/>
              <w:spacing w:before="77"/>
              <w:ind w:left="119" w:right="120"/>
              <w:jc w:val="center"/>
              <w:rPr>
                <w:rFonts w:ascii="Arial" w:hAnsi="Arial"/>
                <w:b/>
                <w:sz w:val="14"/>
              </w:rPr>
            </w:pPr>
            <w:r>
              <w:rPr>
                <w:rFonts w:ascii="Arial" w:hAnsi="Arial"/>
                <w:b/>
                <w:w w:val="95"/>
                <w:sz w:val="14"/>
              </w:rPr>
              <w:t>Concentración </w:t>
            </w:r>
            <w:r>
              <w:rPr>
                <w:rFonts w:ascii="Arial" w:hAnsi="Arial"/>
                <w:b/>
                <w:sz w:val="14"/>
              </w:rPr>
              <w:t>promedio en el</w:t>
            </w:r>
            <w:r>
              <w:rPr>
                <w:rFonts w:ascii="Arial" w:hAnsi="Arial"/>
                <w:b/>
                <w:spacing w:val="-6"/>
                <w:sz w:val="14"/>
              </w:rPr>
              <w:t> </w:t>
            </w:r>
            <w:r>
              <w:rPr>
                <w:rFonts w:ascii="Arial" w:hAnsi="Arial"/>
                <w:b/>
                <w:sz w:val="14"/>
              </w:rPr>
              <w:t>influente</w:t>
            </w:r>
          </w:p>
        </w:tc>
        <w:tc>
          <w:tcPr>
            <w:tcW w:w="845" w:type="dxa"/>
            <w:tcBorders>
              <w:left w:val="nil"/>
              <w:bottom w:val="single" w:sz="4" w:space="0" w:color="FFFF00"/>
              <w:right w:val="nil"/>
            </w:tcBorders>
          </w:tcPr>
          <w:p>
            <w:pPr>
              <w:pStyle w:val="TableParagraph"/>
              <w:spacing w:before="8"/>
              <w:ind w:right="0"/>
              <w:jc w:val="left"/>
              <w:rPr>
                <w:rFonts w:ascii="Arial"/>
                <w:sz w:val="20"/>
              </w:rPr>
            </w:pPr>
          </w:p>
          <w:p>
            <w:pPr>
              <w:pStyle w:val="TableParagraph"/>
              <w:spacing w:before="0"/>
              <w:ind w:left="87" w:right="87"/>
              <w:jc w:val="center"/>
              <w:rPr>
                <w:rFonts w:ascii="Arial"/>
                <w:b/>
                <w:sz w:val="14"/>
              </w:rPr>
            </w:pPr>
            <w:r>
              <w:rPr>
                <w:rFonts w:ascii="Arial"/>
                <w:b/>
                <w:sz w:val="14"/>
              </w:rPr>
              <w:t>Unidades</w:t>
            </w:r>
          </w:p>
        </w:tc>
        <w:tc>
          <w:tcPr>
            <w:tcW w:w="4678" w:type="dxa"/>
            <w:gridSpan w:val="2"/>
            <w:tcBorders>
              <w:left w:val="nil"/>
              <w:bottom w:val="nil"/>
            </w:tcBorders>
          </w:tcPr>
          <w:p>
            <w:pPr>
              <w:pStyle w:val="TableParagraph"/>
              <w:spacing w:before="8"/>
              <w:ind w:right="0"/>
              <w:jc w:val="left"/>
              <w:rPr>
                <w:rFonts w:ascii="Arial"/>
                <w:sz w:val="20"/>
              </w:rPr>
            </w:pPr>
          </w:p>
          <w:p>
            <w:pPr>
              <w:pStyle w:val="TableParagraph"/>
              <w:spacing w:before="0"/>
              <w:ind w:left="202" w:right="0"/>
              <w:jc w:val="left"/>
              <w:rPr>
                <w:rFonts w:ascii="Arial"/>
                <w:b/>
                <w:sz w:val="14"/>
              </w:rPr>
            </w:pPr>
            <w:r>
              <w:rPr>
                <w:rFonts w:ascii="Arial"/>
                <w:b/>
                <w:w w:val="99"/>
                <w:sz w:val="14"/>
              </w:rPr>
              <w:t>#</w:t>
            </w:r>
          </w:p>
        </w:tc>
      </w:tr>
      <w:tr>
        <w:trPr>
          <w:trHeight w:val="194" w:hRule="exact"/>
        </w:trPr>
        <w:tc>
          <w:tcPr>
            <w:tcW w:w="1158" w:type="dxa"/>
            <w:tcBorders>
              <w:top w:val="nil"/>
              <w:bottom w:val="single" w:sz="4" w:space="0" w:color="00B04F"/>
              <w:right w:val="nil"/>
            </w:tcBorders>
            <w:shd w:val="clear" w:color="auto" w:fill="FFFF00"/>
          </w:tcPr>
          <w:p>
            <w:pPr>
              <w:pStyle w:val="TableParagraph"/>
              <w:spacing w:before="0"/>
              <w:ind w:left="125" w:right="0"/>
              <w:jc w:val="left"/>
              <w:rPr>
                <w:rFonts w:ascii="Arial"/>
                <w:sz w:val="10"/>
              </w:rPr>
            </w:pPr>
            <w:r>
              <w:rPr>
                <w:rFonts w:ascii="Arial"/>
                <w:position w:val="2"/>
                <w:sz w:val="16"/>
              </w:rPr>
              <w:t>N-NH</w:t>
            </w:r>
            <w:r>
              <w:rPr>
                <w:rFonts w:ascii="Arial"/>
                <w:sz w:val="10"/>
              </w:rPr>
              <w:t>3</w:t>
            </w:r>
          </w:p>
        </w:tc>
        <w:tc>
          <w:tcPr>
            <w:tcW w:w="1196" w:type="dxa"/>
            <w:tcBorders>
              <w:top w:val="nil"/>
              <w:left w:val="nil"/>
              <w:bottom w:val="single" w:sz="4" w:space="0" w:color="00B04F"/>
              <w:right w:val="nil"/>
            </w:tcBorders>
            <w:shd w:val="clear" w:color="auto" w:fill="FFFF00"/>
          </w:tcPr>
          <w:p>
            <w:pPr>
              <w:pStyle w:val="TableParagraph"/>
              <w:spacing w:before="1"/>
              <w:ind w:left="88" w:right="87"/>
              <w:jc w:val="center"/>
              <w:rPr>
                <w:rFonts w:ascii="Arial" w:hAnsi="Arial"/>
                <w:sz w:val="16"/>
              </w:rPr>
            </w:pPr>
            <w:r>
              <w:rPr>
                <w:rFonts w:ascii="Arial" w:hAnsi="Arial"/>
                <w:sz w:val="16"/>
              </w:rPr>
              <w:t>0,86 ± 0,014</w:t>
            </w:r>
          </w:p>
        </w:tc>
        <w:tc>
          <w:tcPr>
            <w:tcW w:w="845" w:type="dxa"/>
            <w:tcBorders>
              <w:top w:val="nil"/>
              <w:left w:val="nil"/>
              <w:bottom w:val="single" w:sz="4" w:space="0" w:color="00B04F"/>
              <w:right w:val="nil"/>
            </w:tcBorders>
            <w:shd w:val="clear" w:color="auto" w:fill="FFFF00"/>
          </w:tcPr>
          <w:p>
            <w:pPr>
              <w:pStyle w:val="TableParagraph"/>
              <w:spacing w:before="1"/>
              <w:ind w:left="87" w:right="87"/>
              <w:jc w:val="center"/>
              <w:rPr>
                <w:rFonts w:ascii="Arial"/>
                <w:sz w:val="16"/>
              </w:rPr>
            </w:pPr>
            <w:r>
              <w:rPr>
                <w:rFonts w:ascii="Arial"/>
                <w:sz w:val="16"/>
              </w:rPr>
              <w:t>mg/L</w:t>
            </w:r>
          </w:p>
        </w:tc>
        <w:tc>
          <w:tcPr>
            <w:tcW w:w="486" w:type="dxa"/>
            <w:tcBorders>
              <w:top w:val="nil"/>
              <w:left w:val="nil"/>
              <w:bottom w:val="single" w:sz="4" w:space="0" w:color="00B04F"/>
              <w:right w:val="nil"/>
            </w:tcBorders>
            <w:shd w:val="clear" w:color="auto" w:fill="FFFF00"/>
          </w:tcPr>
          <w:p>
            <w:pPr>
              <w:pStyle w:val="TableParagraph"/>
              <w:spacing w:before="1"/>
              <w:ind w:left="152" w:right="0"/>
              <w:jc w:val="left"/>
              <w:rPr>
                <w:rFonts w:ascii="Arial"/>
                <w:sz w:val="16"/>
              </w:rPr>
            </w:pPr>
            <w:r>
              <w:rPr>
                <w:rFonts w:ascii="Arial"/>
                <w:sz w:val="16"/>
              </w:rPr>
              <w:t>20</w:t>
            </w:r>
          </w:p>
        </w:tc>
        <w:tc>
          <w:tcPr>
            <w:tcW w:w="4193" w:type="dxa"/>
            <w:vMerge w:val="restart"/>
            <w:tcBorders>
              <w:top w:val="nil"/>
              <w:left w:val="nil"/>
            </w:tcBorders>
          </w:tcPr>
          <w:p>
            <w:pPr/>
          </w:p>
        </w:tc>
      </w:tr>
      <w:tr>
        <w:trPr>
          <w:trHeight w:val="194" w:hRule="exact"/>
        </w:trPr>
        <w:tc>
          <w:tcPr>
            <w:tcW w:w="1158" w:type="dxa"/>
            <w:tcBorders>
              <w:top w:val="nil"/>
              <w:bottom w:val="nil"/>
              <w:right w:val="nil"/>
            </w:tcBorders>
            <w:shd w:val="clear" w:color="auto" w:fill="00B04F"/>
          </w:tcPr>
          <w:p>
            <w:pPr>
              <w:pStyle w:val="TableParagraph"/>
              <w:spacing w:line="131" w:lineRule="exact" w:before="0"/>
              <w:ind w:left="125" w:right="0"/>
              <w:jc w:val="left"/>
              <w:rPr>
                <w:rFonts w:ascii="Arial"/>
                <w:sz w:val="10"/>
              </w:rPr>
            </w:pPr>
            <w:r>
              <w:rPr>
                <w:rFonts w:ascii="Arial"/>
                <w:color w:val="FFFFFF"/>
                <w:sz w:val="16"/>
              </w:rPr>
              <w:t>N-NO </w:t>
            </w:r>
            <w:r>
              <w:rPr>
                <w:rFonts w:ascii="Arial"/>
                <w:color w:val="FFFFFF"/>
                <w:position w:val="8"/>
                <w:sz w:val="10"/>
              </w:rPr>
              <w:t>-</w:t>
            </w:r>
          </w:p>
          <w:p>
            <w:pPr>
              <w:pStyle w:val="TableParagraph"/>
              <w:spacing w:line="61" w:lineRule="exact" w:before="0"/>
              <w:ind w:right="25"/>
              <w:jc w:val="center"/>
              <w:rPr>
                <w:rFonts w:ascii="Arial"/>
                <w:sz w:val="10"/>
              </w:rPr>
            </w:pPr>
            <w:r>
              <w:rPr>
                <w:rFonts w:ascii="Arial"/>
                <w:color w:val="FFFFFF"/>
                <w:w w:val="100"/>
                <w:sz w:val="10"/>
              </w:rPr>
              <w:t>2</w:t>
            </w:r>
          </w:p>
        </w:tc>
        <w:tc>
          <w:tcPr>
            <w:tcW w:w="1196" w:type="dxa"/>
            <w:tcBorders>
              <w:top w:val="nil"/>
              <w:left w:val="nil"/>
              <w:bottom w:val="nil"/>
              <w:right w:val="nil"/>
            </w:tcBorders>
            <w:shd w:val="clear" w:color="auto" w:fill="00B04F"/>
          </w:tcPr>
          <w:p>
            <w:pPr>
              <w:pStyle w:val="TableParagraph"/>
              <w:spacing w:before="1"/>
              <w:ind w:left="90" w:right="87"/>
              <w:jc w:val="center"/>
              <w:rPr>
                <w:rFonts w:ascii="Arial" w:hAnsi="Arial"/>
                <w:sz w:val="16"/>
              </w:rPr>
            </w:pPr>
            <w:r>
              <w:rPr>
                <w:rFonts w:ascii="Arial" w:hAnsi="Arial"/>
                <w:color w:val="FFFFFF"/>
                <w:sz w:val="16"/>
              </w:rPr>
              <w:t>0,274 ± 0,006</w:t>
            </w:r>
          </w:p>
        </w:tc>
        <w:tc>
          <w:tcPr>
            <w:tcW w:w="845" w:type="dxa"/>
            <w:tcBorders>
              <w:top w:val="nil"/>
              <w:left w:val="nil"/>
              <w:bottom w:val="nil"/>
              <w:right w:val="nil"/>
            </w:tcBorders>
            <w:shd w:val="clear" w:color="auto" w:fill="00B04F"/>
          </w:tcPr>
          <w:p>
            <w:pPr>
              <w:pStyle w:val="TableParagraph"/>
              <w:spacing w:before="1"/>
              <w:ind w:left="87" w:right="87"/>
              <w:jc w:val="center"/>
              <w:rPr>
                <w:rFonts w:ascii="Arial"/>
                <w:sz w:val="16"/>
              </w:rPr>
            </w:pPr>
            <w:r>
              <w:rPr>
                <w:rFonts w:ascii="Arial"/>
                <w:color w:val="FFFFFF"/>
                <w:sz w:val="16"/>
              </w:rPr>
              <w:t>mg/L</w:t>
            </w:r>
          </w:p>
        </w:tc>
        <w:tc>
          <w:tcPr>
            <w:tcW w:w="486" w:type="dxa"/>
            <w:tcBorders>
              <w:top w:val="nil"/>
              <w:left w:val="nil"/>
              <w:bottom w:val="nil"/>
              <w:right w:val="nil"/>
            </w:tcBorders>
            <w:shd w:val="clear" w:color="auto" w:fill="00B04F"/>
          </w:tcPr>
          <w:p>
            <w:pPr>
              <w:pStyle w:val="TableParagraph"/>
              <w:spacing w:before="1"/>
              <w:ind w:left="152" w:right="0"/>
              <w:jc w:val="left"/>
              <w:rPr>
                <w:rFonts w:ascii="Arial"/>
                <w:sz w:val="16"/>
              </w:rPr>
            </w:pPr>
            <w:r>
              <w:rPr>
                <w:rFonts w:ascii="Arial"/>
                <w:color w:val="FFFFFF"/>
                <w:sz w:val="16"/>
              </w:rPr>
              <w:t>26</w:t>
            </w:r>
          </w:p>
        </w:tc>
        <w:tc>
          <w:tcPr>
            <w:tcW w:w="4193" w:type="dxa"/>
            <w:vMerge/>
            <w:tcBorders>
              <w:left w:val="nil"/>
            </w:tcBorders>
          </w:tcPr>
          <w:p>
            <w:pPr/>
          </w:p>
        </w:tc>
      </w:tr>
      <w:tr>
        <w:trPr>
          <w:trHeight w:val="194" w:hRule="exact"/>
        </w:trPr>
        <w:tc>
          <w:tcPr>
            <w:tcW w:w="1158" w:type="dxa"/>
            <w:tcBorders>
              <w:top w:val="nil"/>
              <w:bottom w:val="nil"/>
              <w:right w:val="nil"/>
            </w:tcBorders>
            <w:shd w:val="clear" w:color="auto" w:fill="00B04F"/>
          </w:tcPr>
          <w:p>
            <w:pPr>
              <w:pStyle w:val="TableParagraph"/>
              <w:spacing w:line="131" w:lineRule="exact" w:before="0"/>
              <w:ind w:left="125" w:right="0"/>
              <w:jc w:val="left"/>
              <w:rPr>
                <w:rFonts w:ascii="Arial"/>
                <w:sz w:val="10"/>
              </w:rPr>
            </w:pPr>
            <w:r>
              <w:rPr>
                <w:rFonts w:ascii="Arial"/>
                <w:color w:val="FFFFFF"/>
                <w:sz w:val="16"/>
              </w:rPr>
              <w:t>N-NO </w:t>
            </w:r>
            <w:r>
              <w:rPr>
                <w:rFonts w:ascii="Arial"/>
                <w:color w:val="FFFFFF"/>
                <w:position w:val="8"/>
                <w:sz w:val="10"/>
              </w:rPr>
              <w:t>-</w:t>
            </w:r>
          </w:p>
          <w:p>
            <w:pPr>
              <w:pStyle w:val="TableParagraph"/>
              <w:spacing w:line="61" w:lineRule="exact" w:before="0"/>
              <w:ind w:right="25"/>
              <w:jc w:val="center"/>
              <w:rPr>
                <w:rFonts w:ascii="Arial"/>
                <w:sz w:val="10"/>
              </w:rPr>
            </w:pPr>
            <w:r>
              <w:rPr>
                <w:rFonts w:ascii="Arial"/>
                <w:color w:val="FFFFFF"/>
                <w:w w:val="100"/>
                <w:sz w:val="10"/>
              </w:rPr>
              <w:t>3</w:t>
            </w:r>
          </w:p>
        </w:tc>
        <w:tc>
          <w:tcPr>
            <w:tcW w:w="1196" w:type="dxa"/>
            <w:tcBorders>
              <w:top w:val="nil"/>
              <w:left w:val="nil"/>
              <w:bottom w:val="nil"/>
              <w:right w:val="nil"/>
            </w:tcBorders>
            <w:shd w:val="clear" w:color="auto" w:fill="00B04F"/>
          </w:tcPr>
          <w:p>
            <w:pPr>
              <w:pStyle w:val="TableParagraph"/>
              <w:spacing w:before="1"/>
              <w:ind w:left="88" w:right="87"/>
              <w:jc w:val="center"/>
              <w:rPr>
                <w:rFonts w:ascii="Arial" w:hAnsi="Arial"/>
                <w:sz w:val="16"/>
              </w:rPr>
            </w:pPr>
            <w:r>
              <w:rPr>
                <w:rFonts w:ascii="Arial" w:hAnsi="Arial"/>
                <w:color w:val="FFFFFF"/>
                <w:sz w:val="16"/>
              </w:rPr>
              <w:t>57,24 ± 0,19</w:t>
            </w:r>
          </w:p>
        </w:tc>
        <w:tc>
          <w:tcPr>
            <w:tcW w:w="845" w:type="dxa"/>
            <w:tcBorders>
              <w:top w:val="nil"/>
              <w:left w:val="nil"/>
              <w:bottom w:val="nil"/>
              <w:right w:val="nil"/>
            </w:tcBorders>
            <w:shd w:val="clear" w:color="auto" w:fill="00B04F"/>
          </w:tcPr>
          <w:p>
            <w:pPr>
              <w:pStyle w:val="TableParagraph"/>
              <w:spacing w:before="1"/>
              <w:ind w:left="87" w:right="87"/>
              <w:jc w:val="center"/>
              <w:rPr>
                <w:rFonts w:ascii="Arial"/>
                <w:sz w:val="16"/>
              </w:rPr>
            </w:pPr>
            <w:r>
              <w:rPr>
                <w:rFonts w:ascii="Arial"/>
                <w:color w:val="FFFFFF"/>
                <w:sz w:val="16"/>
              </w:rPr>
              <w:t>mg/L</w:t>
            </w:r>
          </w:p>
        </w:tc>
        <w:tc>
          <w:tcPr>
            <w:tcW w:w="486" w:type="dxa"/>
            <w:tcBorders>
              <w:top w:val="nil"/>
              <w:left w:val="nil"/>
              <w:bottom w:val="nil"/>
              <w:right w:val="nil"/>
            </w:tcBorders>
            <w:shd w:val="clear" w:color="auto" w:fill="00B04F"/>
          </w:tcPr>
          <w:p>
            <w:pPr>
              <w:pStyle w:val="TableParagraph"/>
              <w:spacing w:before="1"/>
              <w:ind w:left="152" w:right="0"/>
              <w:jc w:val="left"/>
              <w:rPr>
                <w:rFonts w:ascii="Arial"/>
                <w:sz w:val="16"/>
              </w:rPr>
            </w:pPr>
            <w:r>
              <w:rPr>
                <w:rFonts w:ascii="Arial"/>
                <w:color w:val="FFFFFF"/>
                <w:sz w:val="16"/>
              </w:rPr>
              <w:t>26</w:t>
            </w:r>
          </w:p>
        </w:tc>
        <w:tc>
          <w:tcPr>
            <w:tcW w:w="4193" w:type="dxa"/>
            <w:vMerge/>
            <w:tcBorders>
              <w:left w:val="nil"/>
            </w:tcBorders>
          </w:tcPr>
          <w:p>
            <w:pPr/>
          </w:p>
        </w:tc>
      </w:tr>
      <w:tr>
        <w:trPr>
          <w:trHeight w:val="194" w:hRule="exact"/>
        </w:trPr>
        <w:tc>
          <w:tcPr>
            <w:tcW w:w="1158" w:type="dxa"/>
            <w:tcBorders>
              <w:top w:val="nil"/>
              <w:bottom w:val="nil"/>
              <w:right w:val="nil"/>
            </w:tcBorders>
            <w:shd w:val="clear" w:color="auto" w:fill="00B04F"/>
          </w:tcPr>
          <w:p>
            <w:pPr>
              <w:pStyle w:val="TableParagraph"/>
              <w:spacing w:before="1"/>
              <w:ind w:left="125" w:right="0"/>
              <w:jc w:val="left"/>
              <w:rPr>
                <w:rFonts w:ascii="Arial"/>
                <w:sz w:val="16"/>
              </w:rPr>
            </w:pPr>
            <w:r>
              <w:rPr>
                <w:rFonts w:ascii="Arial"/>
                <w:color w:val="FFFFFF"/>
                <w:sz w:val="16"/>
              </w:rPr>
              <w:t>DQO</w:t>
            </w:r>
          </w:p>
        </w:tc>
        <w:tc>
          <w:tcPr>
            <w:tcW w:w="1196" w:type="dxa"/>
            <w:tcBorders>
              <w:top w:val="nil"/>
              <w:left w:val="nil"/>
              <w:bottom w:val="nil"/>
              <w:right w:val="nil"/>
            </w:tcBorders>
            <w:shd w:val="clear" w:color="auto" w:fill="00B04F"/>
          </w:tcPr>
          <w:p>
            <w:pPr>
              <w:pStyle w:val="TableParagraph"/>
              <w:spacing w:before="1"/>
              <w:ind w:left="88" w:right="87"/>
              <w:jc w:val="center"/>
              <w:rPr>
                <w:rFonts w:ascii="Arial" w:hAnsi="Arial"/>
                <w:sz w:val="16"/>
              </w:rPr>
            </w:pPr>
            <w:r>
              <w:rPr>
                <w:rFonts w:ascii="Arial" w:hAnsi="Arial"/>
                <w:color w:val="FFFFFF"/>
                <w:sz w:val="16"/>
              </w:rPr>
              <w:t>60,65 ± 0,64</w:t>
            </w:r>
          </w:p>
        </w:tc>
        <w:tc>
          <w:tcPr>
            <w:tcW w:w="845" w:type="dxa"/>
            <w:tcBorders>
              <w:top w:val="nil"/>
              <w:left w:val="nil"/>
              <w:bottom w:val="nil"/>
              <w:right w:val="nil"/>
            </w:tcBorders>
            <w:shd w:val="clear" w:color="auto" w:fill="00B04F"/>
          </w:tcPr>
          <w:p>
            <w:pPr>
              <w:pStyle w:val="TableParagraph"/>
              <w:spacing w:before="1"/>
              <w:ind w:left="87" w:right="87"/>
              <w:jc w:val="center"/>
              <w:rPr>
                <w:rFonts w:ascii="Arial"/>
                <w:sz w:val="16"/>
              </w:rPr>
            </w:pPr>
            <w:r>
              <w:rPr>
                <w:rFonts w:ascii="Arial"/>
                <w:color w:val="FFFFFF"/>
                <w:sz w:val="16"/>
              </w:rPr>
              <w:t>mg/L</w:t>
            </w:r>
          </w:p>
        </w:tc>
        <w:tc>
          <w:tcPr>
            <w:tcW w:w="486" w:type="dxa"/>
            <w:tcBorders>
              <w:top w:val="nil"/>
              <w:left w:val="nil"/>
              <w:bottom w:val="nil"/>
              <w:right w:val="nil"/>
            </w:tcBorders>
            <w:shd w:val="clear" w:color="auto" w:fill="00B04F"/>
          </w:tcPr>
          <w:p>
            <w:pPr>
              <w:pStyle w:val="TableParagraph"/>
              <w:spacing w:before="1"/>
              <w:ind w:left="152" w:right="0"/>
              <w:jc w:val="left"/>
              <w:rPr>
                <w:rFonts w:ascii="Arial"/>
                <w:sz w:val="16"/>
              </w:rPr>
            </w:pPr>
            <w:r>
              <w:rPr>
                <w:rFonts w:ascii="Arial"/>
                <w:color w:val="FFFFFF"/>
                <w:sz w:val="16"/>
              </w:rPr>
              <w:t>26</w:t>
            </w:r>
          </w:p>
        </w:tc>
        <w:tc>
          <w:tcPr>
            <w:tcW w:w="4193" w:type="dxa"/>
            <w:vMerge/>
            <w:tcBorders>
              <w:left w:val="nil"/>
            </w:tcBorders>
          </w:tcPr>
          <w:p>
            <w:pPr/>
          </w:p>
        </w:tc>
      </w:tr>
      <w:tr>
        <w:trPr>
          <w:trHeight w:val="193" w:hRule="exact"/>
        </w:trPr>
        <w:tc>
          <w:tcPr>
            <w:tcW w:w="1158" w:type="dxa"/>
            <w:tcBorders>
              <w:top w:val="nil"/>
              <w:bottom w:val="nil"/>
              <w:right w:val="nil"/>
            </w:tcBorders>
            <w:shd w:val="clear" w:color="auto" w:fill="00B04F"/>
          </w:tcPr>
          <w:p>
            <w:pPr>
              <w:pStyle w:val="TableParagraph"/>
              <w:spacing w:before="1"/>
              <w:ind w:left="125" w:right="0"/>
              <w:jc w:val="left"/>
              <w:rPr>
                <w:rFonts w:ascii="Arial"/>
                <w:sz w:val="16"/>
              </w:rPr>
            </w:pPr>
            <w:r>
              <w:rPr>
                <w:rFonts w:ascii="Arial"/>
                <w:color w:val="FFFFFF"/>
                <w:sz w:val="16"/>
              </w:rPr>
              <w:t>SST</w:t>
            </w:r>
          </w:p>
        </w:tc>
        <w:tc>
          <w:tcPr>
            <w:tcW w:w="1196" w:type="dxa"/>
            <w:tcBorders>
              <w:top w:val="nil"/>
              <w:left w:val="nil"/>
              <w:bottom w:val="nil"/>
              <w:right w:val="nil"/>
            </w:tcBorders>
            <w:shd w:val="clear" w:color="auto" w:fill="00B04F"/>
          </w:tcPr>
          <w:p>
            <w:pPr>
              <w:pStyle w:val="TableParagraph"/>
              <w:spacing w:before="1"/>
              <w:ind w:left="90" w:right="87"/>
              <w:jc w:val="center"/>
              <w:rPr>
                <w:rFonts w:ascii="Arial" w:hAnsi="Arial"/>
                <w:sz w:val="16"/>
              </w:rPr>
            </w:pPr>
            <w:r>
              <w:rPr>
                <w:rFonts w:ascii="Arial" w:hAnsi="Arial"/>
                <w:color w:val="FFFFFF"/>
                <w:sz w:val="16"/>
              </w:rPr>
              <w:t>3,83 ± 0,41</w:t>
            </w:r>
          </w:p>
        </w:tc>
        <w:tc>
          <w:tcPr>
            <w:tcW w:w="845" w:type="dxa"/>
            <w:tcBorders>
              <w:top w:val="nil"/>
              <w:left w:val="nil"/>
              <w:bottom w:val="nil"/>
              <w:right w:val="nil"/>
            </w:tcBorders>
            <w:shd w:val="clear" w:color="auto" w:fill="00B04F"/>
          </w:tcPr>
          <w:p>
            <w:pPr>
              <w:pStyle w:val="TableParagraph"/>
              <w:spacing w:before="1"/>
              <w:ind w:left="87" w:right="87"/>
              <w:jc w:val="center"/>
              <w:rPr>
                <w:rFonts w:ascii="Arial"/>
                <w:sz w:val="16"/>
              </w:rPr>
            </w:pPr>
            <w:r>
              <w:rPr>
                <w:rFonts w:ascii="Arial"/>
                <w:color w:val="FFFFFF"/>
                <w:sz w:val="16"/>
              </w:rPr>
              <w:t>mg/L</w:t>
            </w:r>
          </w:p>
        </w:tc>
        <w:tc>
          <w:tcPr>
            <w:tcW w:w="486" w:type="dxa"/>
            <w:tcBorders>
              <w:top w:val="nil"/>
              <w:left w:val="nil"/>
              <w:bottom w:val="nil"/>
              <w:right w:val="nil"/>
            </w:tcBorders>
            <w:shd w:val="clear" w:color="auto" w:fill="00B04F"/>
          </w:tcPr>
          <w:p>
            <w:pPr>
              <w:pStyle w:val="TableParagraph"/>
              <w:spacing w:before="1"/>
              <w:ind w:left="152" w:right="0"/>
              <w:jc w:val="left"/>
              <w:rPr>
                <w:rFonts w:ascii="Arial"/>
                <w:sz w:val="16"/>
              </w:rPr>
            </w:pPr>
            <w:r>
              <w:rPr>
                <w:rFonts w:ascii="Arial"/>
                <w:color w:val="FFFFFF"/>
                <w:sz w:val="16"/>
              </w:rPr>
              <w:t>26</w:t>
            </w:r>
          </w:p>
        </w:tc>
        <w:tc>
          <w:tcPr>
            <w:tcW w:w="4193" w:type="dxa"/>
            <w:vMerge/>
            <w:tcBorders>
              <w:left w:val="nil"/>
            </w:tcBorders>
          </w:tcPr>
          <w:p>
            <w:pPr/>
          </w:p>
        </w:tc>
      </w:tr>
      <w:tr>
        <w:trPr>
          <w:trHeight w:val="193" w:hRule="exact"/>
        </w:trPr>
        <w:tc>
          <w:tcPr>
            <w:tcW w:w="1158" w:type="dxa"/>
            <w:tcBorders>
              <w:top w:val="nil"/>
              <w:bottom w:val="single" w:sz="4" w:space="0" w:color="FFFF00"/>
              <w:right w:val="nil"/>
            </w:tcBorders>
            <w:shd w:val="clear" w:color="auto" w:fill="00B04F"/>
          </w:tcPr>
          <w:p>
            <w:pPr>
              <w:pStyle w:val="TableParagraph"/>
              <w:spacing w:before="2"/>
              <w:ind w:left="125" w:right="0"/>
              <w:jc w:val="left"/>
              <w:rPr>
                <w:rFonts w:ascii="Arial"/>
                <w:sz w:val="16"/>
              </w:rPr>
            </w:pPr>
            <w:r>
              <w:rPr>
                <w:rFonts w:ascii="Arial"/>
                <w:color w:val="FFFFFF"/>
                <w:sz w:val="16"/>
              </w:rPr>
              <w:t>Alcalinidad*</w:t>
            </w:r>
          </w:p>
        </w:tc>
        <w:tc>
          <w:tcPr>
            <w:tcW w:w="1196" w:type="dxa"/>
            <w:tcBorders>
              <w:top w:val="nil"/>
              <w:left w:val="nil"/>
              <w:bottom w:val="single" w:sz="4" w:space="0" w:color="FFFF00"/>
              <w:right w:val="nil"/>
            </w:tcBorders>
            <w:shd w:val="clear" w:color="auto" w:fill="00B04F"/>
          </w:tcPr>
          <w:p>
            <w:pPr>
              <w:pStyle w:val="TableParagraph"/>
              <w:spacing w:before="2"/>
              <w:ind w:left="88" w:right="87"/>
              <w:jc w:val="center"/>
              <w:rPr>
                <w:rFonts w:ascii="Arial" w:hAnsi="Arial"/>
                <w:sz w:val="16"/>
              </w:rPr>
            </w:pPr>
            <w:r>
              <w:rPr>
                <w:rFonts w:ascii="Arial" w:hAnsi="Arial"/>
                <w:color w:val="FFFFFF"/>
                <w:sz w:val="16"/>
              </w:rPr>
              <w:t>55,73 ± 0,52</w:t>
            </w:r>
          </w:p>
        </w:tc>
        <w:tc>
          <w:tcPr>
            <w:tcW w:w="845" w:type="dxa"/>
            <w:tcBorders>
              <w:top w:val="nil"/>
              <w:left w:val="nil"/>
              <w:bottom w:val="single" w:sz="4" w:space="0" w:color="FFFF00"/>
              <w:right w:val="nil"/>
            </w:tcBorders>
            <w:shd w:val="clear" w:color="auto" w:fill="00B04F"/>
          </w:tcPr>
          <w:p>
            <w:pPr>
              <w:pStyle w:val="TableParagraph"/>
              <w:spacing w:before="2"/>
              <w:ind w:left="87" w:right="87"/>
              <w:jc w:val="center"/>
              <w:rPr>
                <w:rFonts w:ascii="Arial"/>
                <w:sz w:val="16"/>
              </w:rPr>
            </w:pPr>
            <w:r>
              <w:rPr>
                <w:rFonts w:ascii="Arial"/>
                <w:color w:val="FFFFFF"/>
                <w:sz w:val="16"/>
              </w:rPr>
              <w:t>mg/L</w:t>
            </w:r>
          </w:p>
        </w:tc>
        <w:tc>
          <w:tcPr>
            <w:tcW w:w="486" w:type="dxa"/>
            <w:tcBorders>
              <w:top w:val="nil"/>
              <w:left w:val="nil"/>
              <w:bottom w:val="single" w:sz="4" w:space="0" w:color="FFFF00"/>
              <w:right w:val="nil"/>
            </w:tcBorders>
            <w:shd w:val="clear" w:color="auto" w:fill="00B04F"/>
          </w:tcPr>
          <w:p>
            <w:pPr>
              <w:pStyle w:val="TableParagraph"/>
              <w:spacing w:before="2"/>
              <w:ind w:left="152" w:right="0"/>
              <w:jc w:val="left"/>
              <w:rPr>
                <w:rFonts w:ascii="Arial"/>
                <w:sz w:val="16"/>
              </w:rPr>
            </w:pPr>
            <w:r>
              <w:rPr>
                <w:rFonts w:ascii="Arial"/>
                <w:color w:val="FFFFFF"/>
                <w:sz w:val="16"/>
              </w:rPr>
              <w:t>26</w:t>
            </w:r>
          </w:p>
        </w:tc>
        <w:tc>
          <w:tcPr>
            <w:tcW w:w="4193" w:type="dxa"/>
            <w:vMerge/>
            <w:tcBorders>
              <w:left w:val="nil"/>
            </w:tcBorders>
          </w:tcPr>
          <w:p>
            <w:pPr/>
          </w:p>
        </w:tc>
      </w:tr>
      <w:tr>
        <w:trPr>
          <w:trHeight w:val="194" w:hRule="exact"/>
        </w:trPr>
        <w:tc>
          <w:tcPr>
            <w:tcW w:w="1158" w:type="dxa"/>
            <w:tcBorders>
              <w:top w:val="nil"/>
              <w:bottom w:val="single" w:sz="4" w:space="0" w:color="00B04F"/>
              <w:right w:val="nil"/>
            </w:tcBorders>
            <w:shd w:val="clear" w:color="auto" w:fill="FFFF00"/>
          </w:tcPr>
          <w:p>
            <w:pPr>
              <w:pStyle w:val="TableParagraph"/>
              <w:spacing w:before="1"/>
              <w:ind w:left="125" w:right="0"/>
              <w:jc w:val="left"/>
              <w:rPr>
                <w:rFonts w:ascii="Arial"/>
                <w:sz w:val="16"/>
              </w:rPr>
            </w:pPr>
            <w:r>
              <w:rPr>
                <w:rFonts w:ascii="Arial"/>
                <w:sz w:val="16"/>
              </w:rPr>
              <w:t>Temperatura</w:t>
            </w:r>
          </w:p>
        </w:tc>
        <w:tc>
          <w:tcPr>
            <w:tcW w:w="1196" w:type="dxa"/>
            <w:tcBorders>
              <w:top w:val="nil"/>
              <w:left w:val="nil"/>
              <w:bottom w:val="single" w:sz="4" w:space="0" w:color="00B04F"/>
              <w:right w:val="nil"/>
            </w:tcBorders>
            <w:shd w:val="clear" w:color="auto" w:fill="FFFF00"/>
          </w:tcPr>
          <w:p>
            <w:pPr>
              <w:pStyle w:val="TableParagraph"/>
              <w:spacing w:before="1"/>
              <w:ind w:left="88" w:right="87"/>
              <w:jc w:val="center"/>
              <w:rPr>
                <w:rFonts w:ascii="Arial" w:hAnsi="Arial"/>
                <w:sz w:val="16"/>
              </w:rPr>
            </w:pPr>
            <w:r>
              <w:rPr>
                <w:rFonts w:ascii="Arial" w:hAnsi="Arial"/>
                <w:sz w:val="16"/>
              </w:rPr>
              <w:t>16,69 ± 0,13</w:t>
            </w:r>
          </w:p>
        </w:tc>
        <w:tc>
          <w:tcPr>
            <w:tcW w:w="845" w:type="dxa"/>
            <w:tcBorders>
              <w:top w:val="nil"/>
              <w:left w:val="nil"/>
              <w:bottom w:val="single" w:sz="4" w:space="0" w:color="00B04F"/>
              <w:right w:val="nil"/>
            </w:tcBorders>
            <w:shd w:val="clear" w:color="auto" w:fill="FFFF00"/>
          </w:tcPr>
          <w:p>
            <w:pPr>
              <w:pStyle w:val="TableParagraph"/>
              <w:spacing w:before="1"/>
              <w:ind w:left="87" w:right="87"/>
              <w:jc w:val="center"/>
              <w:rPr>
                <w:rFonts w:ascii="Arial" w:hAnsi="Arial"/>
                <w:sz w:val="16"/>
              </w:rPr>
            </w:pPr>
            <w:r>
              <w:rPr>
                <w:rFonts w:ascii="Arial" w:hAnsi="Arial"/>
                <w:sz w:val="16"/>
              </w:rPr>
              <w:t>°C</w:t>
            </w:r>
          </w:p>
        </w:tc>
        <w:tc>
          <w:tcPr>
            <w:tcW w:w="486" w:type="dxa"/>
            <w:tcBorders>
              <w:top w:val="nil"/>
              <w:left w:val="nil"/>
              <w:bottom w:val="single" w:sz="4" w:space="0" w:color="00B04F"/>
              <w:right w:val="nil"/>
            </w:tcBorders>
            <w:shd w:val="clear" w:color="auto" w:fill="FFFF00"/>
          </w:tcPr>
          <w:p>
            <w:pPr>
              <w:pStyle w:val="TableParagraph"/>
              <w:spacing w:before="1"/>
              <w:ind w:left="108" w:right="0"/>
              <w:jc w:val="left"/>
              <w:rPr>
                <w:rFonts w:ascii="Arial"/>
                <w:sz w:val="16"/>
              </w:rPr>
            </w:pPr>
            <w:r>
              <w:rPr>
                <w:rFonts w:ascii="Arial"/>
                <w:sz w:val="16"/>
              </w:rPr>
              <w:t>108</w:t>
            </w:r>
          </w:p>
        </w:tc>
        <w:tc>
          <w:tcPr>
            <w:tcW w:w="4193" w:type="dxa"/>
            <w:vMerge/>
            <w:tcBorders>
              <w:left w:val="nil"/>
            </w:tcBorders>
          </w:tcPr>
          <w:p>
            <w:pPr/>
          </w:p>
        </w:tc>
      </w:tr>
      <w:tr>
        <w:trPr>
          <w:trHeight w:val="194" w:hRule="exact"/>
        </w:trPr>
        <w:tc>
          <w:tcPr>
            <w:tcW w:w="1158" w:type="dxa"/>
            <w:tcBorders>
              <w:top w:val="nil"/>
              <w:bottom w:val="nil"/>
              <w:right w:val="nil"/>
            </w:tcBorders>
            <w:shd w:val="clear" w:color="auto" w:fill="00B04F"/>
          </w:tcPr>
          <w:p>
            <w:pPr>
              <w:pStyle w:val="TableParagraph"/>
              <w:spacing w:before="1"/>
              <w:ind w:left="125" w:right="0"/>
              <w:jc w:val="left"/>
              <w:rPr>
                <w:rFonts w:ascii="Arial"/>
                <w:sz w:val="16"/>
              </w:rPr>
            </w:pPr>
            <w:r>
              <w:rPr>
                <w:rFonts w:ascii="Arial"/>
                <w:color w:val="FFFFFF"/>
                <w:sz w:val="16"/>
              </w:rPr>
              <w:t>pH</w:t>
            </w:r>
          </w:p>
        </w:tc>
        <w:tc>
          <w:tcPr>
            <w:tcW w:w="1196" w:type="dxa"/>
            <w:tcBorders>
              <w:top w:val="nil"/>
              <w:left w:val="nil"/>
              <w:bottom w:val="nil"/>
              <w:right w:val="nil"/>
            </w:tcBorders>
            <w:shd w:val="clear" w:color="auto" w:fill="00B04F"/>
          </w:tcPr>
          <w:p>
            <w:pPr>
              <w:pStyle w:val="TableParagraph"/>
              <w:spacing w:before="1"/>
              <w:ind w:left="90" w:right="87"/>
              <w:jc w:val="center"/>
              <w:rPr>
                <w:rFonts w:ascii="Arial" w:hAnsi="Arial"/>
                <w:sz w:val="16"/>
              </w:rPr>
            </w:pPr>
            <w:r>
              <w:rPr>
                <w:rFonts w:ascii="Arial" w:hAnsi="Arial"/>
                <w:color w:val="FFFFFF"/>
                <w:sz w:val="16"/>
              </w:rPr>
              <w:t>6,98 ± 0,07</w:t>
            </w:r>
          </w:p>
        </w:tc>
        <w:tc>
          <w:tcPr>
            <w:tcW w:w="845" w:type="dxa"/>
            <w:tcBorders>
              <w:top w:val="nil"/>
              <w:left w:val="nil"/>
              <w:bottom w:val="nil"/>
              <w:right w:val="nil"/>
            </w:tcBorders>
            <w:shd w:val="clear" w:color="auto" w:fill="00B04F"/>
          </w:tcPr>
          <w:p>
            <w:pPr/>
          </w:p>
        </w:tc>
        <w:tc>
          <w:tcPr>
            <w:tcW w:w="486" w:type="dxa"/>
            <w:tcBorders>
              <w:top w:val="nil"/>
              <w:left w:val="nil"/>
              <w:bottom w:val="nil"/>
              <w:right w:val="nil"/>
            </w:tcBorders>
            <w:shd w:val="clear" w:color="auto" w:fill="00B04F"/>
          </w:tcPr>
          <w:p>
            <w:pPr>
              <w:pStyle w:val="TableParagraph"/>
              <w:spacing w:before="1"/>
              <w:ind w:left="108" w:right="0"/>
              <w:jc w:val="left"/>
              <w:rPr>
                <w:rFonts w:ascii="Arial"/>
                <w:sz w:val="16"/>
              </w:rPr>
            </w:pPr>
            <w:r>
              <w:rPr>
                <w:rFonts w:ascii="Arial"/>
                <w:color w:val="FFFFFF"/>
                <w:sz w:val="16"/>
              </w:rPr>
              <w:t>121</w:t>
            </w:r>
          </w:p>
        </w:tc>
        <w:tc>
          <w:tcPr>
            <w:tcW w:w="4193" w:type="dxa"/>
            <w:vMerge/>
            <w:tcBorders>
              <w:left w:val="nil"/>
            </w:tcBorders>
          </w:tcPr>
          <w:p>
            <w:pPr/>
          </w:p>
        </w:tc>
      </w:tr>
      <w:tr>
        <w:trPr>
          <w:trHeight w:val="190" w:hRule="exact"/>
        </w:trPr>
        <w:tc>
          <w:tcPr>
            <w:tcW w:w="1158" w:type="dxa"/>
            <w:tcBorders>
              <w:top w:val="nil"/>
              <w:bottom w:val="nil"/>
              <w:right w:val="nil"/>
            </w:tcBorders>
            <w:shd w:val="clear" w:color="auto" w:fill="00B04F"/>
          </w:tcPr>
          <w:p>
            <w:pPr>
              <w:pStyle w:val="TableParagraph"/>
              <w:spacing w:before="1"/>
              <w:ind w:left="125" w:right="0"/>
              <w:jc w:val="left"/>
              <w:rPr>
                <w:rFonts w:ascii="Arial"/>
                <w:sz w:val="16"/>
              </w:rPr>
            </w:pPr>
            <w:r>
              <w:rPr>
                <w:rFonts w:ascii="Arial"/>
                <w:color w:val="FFFFFF"/>
                <w:sz w:val="16"/>
              </w:rPr>
              <w:t>OD</w:t>
            </w:r>
          </w:p>
        </w:tc>
        <w:tc>
          <w:tcPr>
            <w:tcW w:w="1196" w:type="dxa"/>
            <w:tcBorders>
              <w:top w:val="nil"/>
              <w:left w:val="nil"/>
              <w:bottom w:val="nil"/>
              <w:right w:val="nil"/>
            </w:tcBorders>
            <w:shd w:val="clear" w:color="auto" w:fill="00B04F"/>
          </w:tcPr>
          <w:p>
            <w:pPr>
              <w:pStyle w:val="TableParagraph"/>
              <w:spacing w:before="1"/>
              <w:ind w:left="88" w:right="87"/>
              <w:jc w:val="center"/>
              <w:rPr>
                <w:rFonts w:ascii="Arial" w:hAnsi="Arial"/>
                <w:sz w:val="16"/>
              </w:rPr>
            </w:pPr>
            <w:r>
              <w:rPr>
                <w:rFonts w:ascii="Arial" w:hAnsi="Arial"/>
                <w:color w:val="FFFFFF"/>
                <w:sz w:val="16"/>
              </w:rPr>
              <w:t>5,21 ± 0,093</w:t>
            </w:r>
          </w:p>
        </w:tc>
        <w:tc>
          <w:tcPr>
            <w:tcW w:w="845" w:type="dxa"/>
            <w:tcBorders>
              <w:top w:val="nil"/>
              <w:left w:val="nil"/>
              <w:bottom w:val="nil"/>
              <w:right w:val="nil"/>
            </w:tcBorders>
            <w:shd w:val="clear" w:color="auto" w:fill="00B04F"/>
          </w:tcPr>
          <w:p>
            <w:pPr>
              <w:pStyle w:val="TableParagraph"/>
              <w:spacing w:before="1"/>
              <w:ind w:left="87" w:right="87"/>
              <w:jc w:val="center"/>
              <w:rPr>
                <w:rFonts w:ascii="Arial"/>
                <w:sz w:val="16"/>
              </w:rPr>
            </w:pPr>
            <w:r>
              <w:rPr>
                <w:rFonts w:ascii="Arial"/>
                <w:color w:val="FFFFFF"/>
                <w:sz w:val="16"/>
              </w:rPr>
              <w:t>mg/L</w:t>
            </w:r>
          </w:p>
        </w:tc>
        <w:tc>
          <w:tcPr>
            <w:tcW w:w="486" w:type="dxa"/>
            <w:tcBorders>
              <w:top w:val="nil"/>
              <w:left w:val="nil"/>
              <w:bottom w:val="nil"/>
              <w:right w:val="nil"/>
            </w:tcBorders>
            <w:shd w:val="clear" w:color="auto" w:fill="00B04F"/>
          </w:tcPr>
          <w:p>
            <w:pPr>
              <w:pStyle w:val="TableParagraph"/>
              <w:spacing w:before="1"/>
              <w:ind w:left="108" w:right="0"/>
              <w:jc w:val="left"/>
              <w:rPr>
                <w:rFonts w:ascii="Arial"/>
                <w:sz w:val="16"/>
              </w:rPr>
            </w:pPr>
            <w:r>
              <w:rPr>
                <w:rFonts w:ascii="Arial"/>
                <w:color w:val="FFFFFF"/>
                <w:sz w:val="16"/>
              </w:rPr>
              <w:t>121</w:t>
            </w:r>
          </w:p>
        </w:tc>
        <w:tc>
          <w:tcPr>
            <w:tcW w:w="4193" w:type="dxa"/>
            <w:vMerge/>
            <w:tcBorders>
              <w:left w:val="nil"/>
            </w:tcBorders>
          </w:tcPr>
          <w:p>
            <w:pPr/>
          </w:p>
        </w:tc>
      </w:tr>
      <w:tr>
        <w:trPr>
          <w:trHeight w:val="110" w:hRule="exact"/>
        </w:trPr>
        <w:tc>
          <w:tcPr>
            <w:tcW w:w="3685" w:type="dxa"/>
            <w:gridSpan w:val="4"/>
            <w:tcBorders>
              <w:top w:val="nil"/>
              <w:right w:val="nil"/>
            </w:tcBorders>
          </w:tcPr>
          <w:p>
            <w:pPr/>
          </w:p>
        </w:tc>
        <w:tc>
          <w:tcPr>
            <w:tcW w:w="4193" w:type="dxa"/>
            <w:vMerge/>
            <w:tcBorders>
              <w:left w:val="nil"/>
            </w:tcBorders>
          </w:tcPr>
          <w:p>
            <w:pPr/>
          </w:p>
        </w:tc>
      </w:tr>
    </w:tbl>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9"/>
        </w:rPr>
      </w:pPr>
    </w:p>
    <w:p>
      <w:pPr>
        <w:spacing w:before="0"/>
        <w:ind w:left="3613" w:right="1109" w:hanging="2465"/>
        <w:jc w:val="left"/>
        <w:rPr>
          <w:b/>
          <w:sz w:val="18"/>
        </w:rPr>
      </w:pPr>
      <w:r>
        <w:rPr/>
        <w:pict>
          <v:shape style="position:absolute;margin-left:293.519989pt;margin-top:-229.998199pt;width:184.6pt;height:112.45pt;mso-position-horizontal-relative:page;mso-position-vertical-relative:paragraph;z-index:774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970"/>
                    <w:gridCol w:w="792"/>
                    <w:gridCol w:w="782"/>
                  </w:tblGrid>
                  <w:tr>
                    <w:trPr>
                      <w:trHeight w:val="492" w:hRule="exact"/>
                    </w:trPr>
                    <w:tc>
                      <w:tcPr>
                        <w:tcW w:w="1133" w:type="dxa"/>
                      </w:tcPr>
                      <w:p>
                        <w:pPr>
                          <w:pStyle w:val="TableParagraph"/>
                          <w:spacing w:before="7"/>
                          <w:ind w:right="0"/>
                          <w:jc w:val="left"/>
                          <w:rPr>
                            <w:rFonts w:ascii="Arial"/>
                            <w:b/>
                            <w:sz w:val="13"/>
                          </w:rPr>
                        </w:pPr>
                      </w:p>
                      <w:p>
                        <w:pPr>
                          <w:pStyle w:val="TableParagraph"/>
                          <w:spacing w:before="0"/>
                          <w:ind w:left="213" w:right="112"/>
                          <w:jc w:val="left"/>
                          <w:rPr>
                            <w:rFonts w:ascii="Arial" w:hAnsi="Arial"/>
                            <w:b/>
                            <w:sz w:val="14"/>
                          </w:rPr>
                        </w:pPr>
                        <w:r>
                          <w:rPr>
                            <w:rFonts w:ascii="Arial" w:hAnsi="Arial"/>
                            <w:b/>
                            <w:sz w:val="14"/>
                          </w:rPr>
                          <w:t>Parámetro</w:t>
                        </w:r>
                      </w:p>
                    </w:tc>
                    <w:tc>
                      <w:tcPr>
                        <w:tcW w:w="970" w:type="dxa"/>
                      </w:tcPr>
                      <w:p>
                        <w:pPr>
                          <w:pStyle w:val="TableParagraph"/>
                          <w:spacing w:before="0"/>
                          <w:ind w:left="103" w:right="102"/>
                          <w:jc w:val="center"/>
                          <w:rPr>
                            <w:rFonts w:ascii="Arial" w:hAnsi="Arial"/>
                            <w:b/>
                            <w:sz w:val="14"/>
                          </w:rPr>
                        </w:pPr>
                        <w:r>
                          <w:rPr>
                            <w:rFonts w:ascii="Arial" w:hAnsi="Arial"/>
                            <w:b/>
                            <w:w w:val="95"/>
                            <w:sz w:val="14"/>
                          </w:rPr>
                          <w:t>Coeficiente </w:t>
                        </w:r>
                        <w:r>
                          <w:rPr>
                            <w:rFonts w:ascii="Arial" w:hAnsi="Arial"/>
                            <w:b/>
                            <w:sz w:val="14"/>
                          </w:rPr>
                          <w:t>de    variación</w:t>
                        </w:r>
                      </w:p>
                    </w:tc>
                    <w:tc>
                      <w:tcPr>
                        <w:tcW w:w="1574" w:type="dxa"/>
                        <w:gridSpan w:val="2"/>
                      </w:tcPr>
                      <w:p>
                        <w:pPr>
                          <w:pStyle w:val="TableParagraph"/>
                          <w:spacing w:before="77"/>
                          <w:ind w:left="240" w:right="223" w:firstLine="110"/>
                          <w:jc w:val="left"/>
                          <w:rPr>
                            <w:rFonts w:ascii="Arial"/>
                            <w:b/>
                            <w:sz w:val="14"/>
                          </w:rPr>
                        </w:pPr>
                        <w:r>
                          <w:rPr>
                            <w:rFonts w:ascii="Arial"/>
                            <w:b/>
                            <w:sz w:val="14"/>
                          </w:rPr>
                          <w:t>Intervalos de confianza a 95%</w:t>
                        </w:r>
                      </w:p>
                    </w:tc>
                  </w:tr>
                  <w:tr>
                    <w:trPr>
                      <w:trHeight w:val="194" w:hRule="exact"/>
                    </w:trPr>
                    <w:tc>
                      <w:tcPr>
                        <w:tcW w:w="1133" w:type="dxa"/>
                      </w:tcPr>
                      <w:p>
                        <w:pPr>
                          <w:pStyle w:val="TableParagraph"/>
                          <w:spacing w:line="187" w:lineRule="exact" w:before="0"/>
                          <w:ind w:left="103" w:right="112"/>
                          <w:jc w:val="left"/>
                          <w:rPr>
                            <w:rFonts w:ascii="Arial"/>
                            <w:sz w:val="10"/>
                          </w:rPr>
                        </w:pPr>
                        <w:r>
                          <w:rPr>
                            <w:rFonts w:ascii="Arial"/>
                            <w:position w:val="2"/>
                            <w:sz w:val="16"/>
                          </w:rPr>
                          <w:t>N-NH</w:t>
                        </w:r>
                        <w:r>
                          <w:rPr>
                            <w:rFonts w:ascii="Arial"/>
                            <w:sz w:val="10"/>
                          </w:rPr>
                          <w:t>3</w:t>
                        </w:r>
                      </w:p>
                    </w:tc>
                    <w:tc>
                      <w:tcPr>
                        <w:tcW w:w="970" w:type="dxa"/>
                      </w:tcPr>
                      <w:p>
                        <w:pPr>
                          <w:pStyle w:val="TableParagraph"/>
                          <w:spacing w:line="180" w:lineRule="exact" w:before="0"/>
                          <w:ind w:right="98"/>
                          <w:rPr>
                            <w:rFonts w:ascii="Arial"/>
                            <w:sz w:val="16"/>
                          </w:rPr>
                        </w:pPr>
                        <w:r>
                          <w:rPr>
                            <w:rFonts w:ascii="Arial"/>
                            <w:sz w:val="16"/>
                          </w:rPr>
                          <w:t>0,017</w:t>
                        </w:r>
                      </w:p>
                    </w:tc>
                    <w:tc>
                      <w:tcPr>
                        <w:tcW w:w="792" w:type="dxa"/>
                      </w:tcPr>
                      <w:p>
                        <w:pPr>
                          <w:pStyle w:val="TableParagraph"/>
                          <w:spacing w:line="180" w:lineRule="exact" w:before="0"/>
                          <w:ind w:right="100"/>
                          <w:rPr>
                            <w:rFonts w:ascii="Arial"/>
                            <w:sz w:val="16"/>
                          </w:rPr>
                        </w:pPr>
                        <w:r>
                          <w:rPr>
                            <w:rFonts w:ascii="Arial"/>
                            <w:sz w:val="16"/>
                          </w:rPr>
                          <w:t>0,84</w:t>
                        </w:r>
                      </w:p>
                    </w:tc>
                    <w:tc>
                      <w:tcPr>
                        <w:tcW w:w="782" w:type="dxa"/>
                      </w:tcPr>
                      <w:p>
                        <w:pPr>
                          <w:pStyle w:val="TableParagraph"/>
                          <w:spacing w:line="180" w:lineRule="exact" w:before="0"/>
                          <w:ind w:right="101"/>
                          <w:rPr>
                            <w:rFonts w:ascii="Arial"/>
                            <w:sz w:val="16"/>
                          </w:rPr>
                        </w:pPr>
                        <w:r>
                          <w:rPr>
                            <w:rFonts w:ascii="Arial"/>
                            <w:sz w:val="16"/>
                          </w:rPr>
                          <w:t>0,89</w:t>
                        </w:r>
                      </w:p>
                    </w:tc>
                  </w:tr>
                  <w:tr>
                    <w:trPr>
                      <w:trHeight w:val="194" w:hRule="exact"/>
                    </w:trPr>
                    <w:tc>
                      <w:tcPr>
                        <w:tcW w:w="1133" w:type="dxa"/>
                      </w:tcPr>
                      <w:p>
                        <w:pPr>
                          <w:pStyle w:val="TableParagraph"/>
                          <w:spacing w:line="126" w:lineRule="exact" w:before="0"/>
                          <w:ind w:left="103" w:right="112"/>
                          <w:jc w:val="left"/>
                          <w:rPr>
                            <w:rFonts w:ascii="Arial"/>
                            <w:sz w:val="10"/>
                          </w:rPr>
                        </w:pPr>
                        <w:r>
                          <w:rPr>
                            <w:rFonts w:ascii="Arial"/>
                            <w:sz w:val="16"/>
                          </w:rPr>
                          <w:t>N-NO </w:t>
                        </w:r>
                        <w:r>
                          <w:rPr>
                            <w:rFonts w:ascii="Arial"/>
                            <w:position w:val="8"/>
                            <w:sz w:val="10"/>
                          </w:rPr>
                          <w:t>-</w:t>
                        </w:r>
                      </w:p>
                      <w:p>
                        <w:pPr>
                          <w:pStyle w:val="TableParagraph"/>
                          <w:spacing w:line="61" w:lineRule="exact" w:before="0"/>
                          <w:ind w:right="42"/>
                          <w:jc w:val="center"/>
                          <w:rPr>
                            <w:rFonts w:ascii="Arial"/>
                            <w:sz w:val="10"/>
                          </w:rPr>
                        </w:pPr>
                        <w:r>
                          <w:rPr>
                            <w:rFonts w:ascii="Arial"/>
                            <w:w w:val="100"/>
                            <w:sz w:val="10"/>
                          </w:rPr>
                          <w:t>2</w:t>
                        </w:r>
                      </w:p>
                    </w:tc>
                    <w:tc>
                      <w:tcPr>
                        <w:tcW w:w="970" w:type="dxa"/>
                      </w:tcPr>
                      <w:p>
                        <w:pPr>
                          <w:pStyle w:val="TableParagraph"/>
                          <w:spacing w:line="180" w:lineRule="exact" w:before="0"/>
                          <w:ind w:right="98"/>
                          <w:rPr>
                            <w:rFonts w:ascii="Arial"/>
                            <w:sz w:val="16"/>
                          </w:rPr>
                        </w:pPr>
                        <w:r>
                          <w:rPr>
                            <w:rFonts w:ascii="Arial"/>
                            <w:sz w:val="16"/>
                          </w:rPr>
                          <w:t>0,021</w:t>
                        </w:r>
                      </w:p>
                    </w:tc>
                    <w:tc>
                      <w:tcPr>
                        <w:tcW w:w="792" w:type="dxa"/>
                      </w:tcPr>
                      <w:p>
                        <w:pPr>
                          <w:pStyle w:val="TableParagraph"/>
                          <w:spacing w:line="180" w:lineRule="exact" w:before="0"/>
                          <w:ind w:right="100"/>
                          <w:rPr>
                            <w:rFonts w:ascii="Arial"/>
                            <w:sz w:val="16"/>
                          </w:rPr>
                        </w:pPr>
                        <w:r>
                          <w:rPr>
                            <w:rFonts w:ascii="Arial"/>
                            <w:sz w:val="16"/>
                          </w:rPr>
                          <w:t>0,26</w:t>
                        </w:r>
                      </w:p>
                    </w:tc>
                    <w:tc>
                      <w:tcPr>
                        <w:tcW w:w="782" w:type="dxa"/>
                      </w:tcPr>
                      <w:p>
                        <w:pPr>
                          <w:pStyle w:val="TableParagraph"/>
                          <w:spacing w:line="180" w:lineRule="exact" w:before="0"/>
                          <w:ind w:right="101"/>
                          <w:rPr>
                            <w:rFonts w:ascii="Arial"/>
                            <w:sz w:val="16"/>
                          </w:rPr>
                        </w:pPr>
                        <w:r>
                          <w:rPr>
                            <w:rFonts w:ascii="Arial"/>
                            <w:sz w:val="16"/>
                          </w:rPr>
                          <w:t>0,29</w:t>
                        </w:r>
                      </w:p>
                    </w:tc>
                  </w:tr>
                  <w:tr>
                    <w:trPr>
                      <w:trHeight w:val="194" w:hRule="exact"/>
                    </w:trPr>
                    <w:tc>
                      <w:tcPr>
                        <w:tcW w:w="1133" w:type="dxa"/>
                      </w:tcPr>
                      <w:p>
                        <w:pPr>
                          <w:pStyle w:val="TableParagraph"/>
                          <w:spacing w:line="126" w:lineRule="exact" w:before="0"/>
                          <w:ind w:left="103" w:right="112"/>
                          <w:jc w:val="left"/>
                          <w:rPr>
                            <w:rFonts w:ascii="Arial"/>
                            <w:sz w:val="10"/>
                          </w:rPr>
                        </w:pPr>
                        <w:r>
                          <w:rPr>
                            <w:rFonts w:ascii="Arial"/>
                            <w:sz w:val="16"/>
                          </w:rPr>
                          <w:t>N-NO </w:t>
                        </w:r>
                        <w:r>
                          <w:rPr>
                            <w:rFonts w:ascii="Arial"/>
                            <w:position w:val="8"/>
                            <w:sz w:val="10"/>
                          </w:rPr>
                          <w:t>-</w:t>
                        </w:r>
                      </w:p>
                      <w:p>
                        <w:pPr>
                          <w:pStyle w:val="TableParagraph"/>
                          <w:spacing w:line="61" w:lineRule="exact" w:before="0"/>
                          <w:ind w:right="42"/>
                          <w:jc w:val="center"/>
                          <w:rPr>
                            <w:rFonts w:ascii="Arial"/>
                            <w:sz w:val="10"/>
                          </w:rPr>
                        </w:pPr>
                        <w:r>
                          <w:rPr>
                            <w:rFonts w:ascii="Arial"/>
                            <w:w w:val="100"/>
                            <w:sz w:val="10"/>
                          </w:rPr>
                          <w:t>3</w:t>
                        </w:r>
                      </w:p>
                    </w:tc>
                    <w:tc>
                      <w:tcPr>
                        <w:tcW w:w="970" w:type="dxa"/>
                      </w:tcPr>
                      <w:p>
                        <w:pPr>
                          <w:pStyle w:val="TableParagraph"/>
                          <w:spacing w:line="180" w:lineRule="exact" w:before="0"/>
                          <w:ind w:right="98"/>
                          <w:rPr>
                            <w:rFonts w:ascii="Arial"/>
                            <w:sz w:val="16"/>
                          </w:rPr>
                        </w:pPr>
                        <w:r>
                          <w:rPr>
                            <w:rFonts w:ascii="Arial"/>
                            <w:sz w:val="16"/>
                          </w:rPr>
                          <w:t>0,0034</w:t>
                        </w:r>
                      </w:p>
                    </w:tc>
                    <w:tc>
                      <w:tcPr>
                        <w:tcW w:w="792" w:type="dxa"/>
                      </w:tcPr>
                      <w:p>
                        <w:pPr>
                          <w:pStyle w:val="TableParagraph"/>
                          <w:spacing w:line="180" w:lineRule="exact" w:before="0"/>
                          <w:ind w:right="101"/>
                          <w:rPr>
                            <w:rFonts w:ascii="Arial"/>
                            <w:sz w:val="16"/>
                          </w:rPr>
                        </w:pPr>
                        <w:r>
                          <w:rPr>
                            <w:rFonts w:ascii="Arial"/>
                            <w:sz w:val="16"/>
                          </w:rPr>
                          <w:t>56,87</w:t>
                        </w:r>
                      </w:p>
                    </w:tc>
                    <w:tc>
                      <w:tcPr>
                        <w:tcW w:w="782" w:type="dxa"/>
                      </w:tcPr>
                      <w:p>
                        <w:pPr>
                          <w:pStyle w:val="TableParagraph"/>
                          <w:spacing w:line="180" w:lineRule="exact" w:before="0"/>
                          <w:ind w:right="101"/>
                          <w:rPr>
                            <w:rFonts w:ascii="Arial"/>
                            <w:sz w:val="16"/>
                          </w:rPr>
                        </w:pPr>
                        <w:r>
                          <w:rPr>
                            <w:rFonts w:ascii="Arial"/>
                            <w:sz w:val="16"/>
                          </w:rPr>
                          <w:t>57,62</w:t>
                        </w:r>
                      </w:p>
                    </w:tc>
                  </w:tr>
                  <w:tr>
                    <w:trPr>
                      <w:trHeight w:val="194" w:hRule="exact"/>
                    </w:trPr>
                    <w:tc>
                      <w:tcPr>
                        <w:tcW w:w="1133" w:type="dxa"/>
                      </w:tcPr>
                      <w:p>
                        <w:pPr>
                          <w:pStyle w:val="TableParagraph"/>
                          <w:spacing w:line="180" w:lineRule="exact" w:before="0"/>
                          <w:ind w:left="103" w:right="112"/>
                          <w:jc w:val="left"/>
                          <w:rPr>
                            <w:rFonts w:ascii="Arial"/>
                            <w:sz w:val="16"/>
                          </w:rPr>
                        </w:pPr>
                        <w:r>
                          <w:rPr>
                            <w:rFonts w:ascii="Arial"/>
                            <w:sz w:val="16"/>
                          </w:rPr>
                          <w:t>DQO</w:t>
                        </w:r>
                      </w:p>
                    </w:tc>
                    <w:tc>
                      <w:tcPr>
                        <w:tcW w:w="970" w:type="dxa"/>
                      </w:tcPr>
                      <w:p>
                        <w:pPr>
                          <w:pStyle w:val="TableParagraph"/>
                          <w:spacing w:line="180" w:lineRule="exact" w:before="0"/>
                          <w:ind w:right="98"/>
                          <w:rPr>
                            <w:rFonts w:ascii="Arial"/>
                            <w:sz w:val="16"/>
                          </w:rPr>
                        </w:pPr>
                        <w:r>
                          <w:rPr>
                            <w:rFonts w:ascii="Arial"/>
                            <w:sz w:val="16"/>
                          </w:rPr>
                          <w:t>0,0106</w:t>
                        </w:r>
                      </w:p>
                    </w:tc>
                    <w:tc>
                      <w:tcPr>
                        <w:tcW w:w="792" w:type="dxa"/>
                      </w:tcPr>
                      <w:p>
                        <w:pPr>
                          <w:pStyle w:val="TableParagraph"/>
                          <w:spacing w:line="180" w:lineRule="exact" w:before="0"/>
                          <w:ind w:right="100"/>
                          <w:rPr>
                            <w:rFonts w:ascii="Arial"/>
                            <w:sz w:val="16"/>
                          </w:rPr>
                        </w:pPr>
                        <w:r>
                          <w:rPr>
                            <w:rFonts w:ascii="Arial"/>
                            <w:sz w:val="16"/>
                          </w:rPr>
                          <w:t>59,39</w:t>
                        </w:r>
                      </w:p>
                    </w:tc>
                    <w:tc>
                      <w:tcPr>
                        <w:tcW w:w="782" w:type="dxa"/>
                      </w:tcPr>
                      <w:p>
                        <w:pPr>
                          <w:pStyle w:val="TableParagraph"/>
                          <w:spacing w:line="180" w:lineRule="exact" w:before="0"/>
                          <w:ind w:right="101"/>
                          <w:rPr>
                            <w:rFonts w:ascii="Arial"/>
                            <w:sz w:val="16"/>
                          </w:rPr>
                        </w:pPr>
                        <w:r>
                          <w:rPr>
                            <w:rFonts w:ascii="Arial"/>
                            <w:sz w:val="16"/>
                          </w:rPr>
                          <w:t>61,92</w:t>
                        </w:r>
                      </w:p>
                    </w:tc>
                  </w:tr>
                  <w:tr>
                    <w:trPr>
                      <w:trHeight w:val="192" w:hRule="exact"/>
                    </w:trPr>
                    <w:tc>
                      <w:tcPr>
                        <w:tcW w:w="1133" w:type="dxa"/>
                      </w:tcPr>
                      <w:p>
                        <w:pPr>
                          <w:pStyle w:val="TableParagraph"/>
                          <w:spacing w:line="180" w:lineRule="exact" w:before="0"/>
                          <w:ind w:left="103" w:right="112"/>
                          <w:jc w:val="left"/>
                          <w:rPr>
                            <w:rFonts w:ascii="Arial"/>
                            <w:sz w:val="16"/>
                          </w:rPr>
                        </w:pPr>
                        <w:r>
                          <w:rPr>
                            <w:rFonts w:ascii="Arial"/>
                            <w:sz w:val="16"/>
                          </w:rPr>
                          <w:t>SST</w:t>
                        </w:r>
                      </w:p>
                    </w:tc>
                    <w:tc>
                      <w:tcPr>
                        <w:tcW w:w="970" w:type="dxa"/>
                      </w:tcPr>
                      <w:p>
                        <w:pPr>
                          <w:pStyle w:val="TableParagraph"/>
                          <w:spacing w:line="180" w:lineRule="exact" w:before="0"/>
                          <w:ind w:right="98"/>
                          <w:rPr>
                            <w:rFonts w:ascii="Arial"/>
                            <w:sz w:val="16"/>
                          </w:rPr>
                        </w:pPr>
                        <w:r>
                          <w:rPr>
                            <w:rFonts w:ascii="Arial"/>
                            <w:sz w:val="16"/>
                          </w:rPr>
                          <w:t>0,011</w:t>
                        </w:r>
                      </w:p>
                    </w:tc>
                    <w:tc>
                      <w:tcPr>
                        <w:tcW w:w="792" w:type="dxa"/>
                      </w:tcPr>
                      <w:p>
                        <w:pPr>
                          <w:pStyle w:val="TableParagraph"/>
                          <w:spacing w:line="180" w:lineRule="exact" w:before="0"/>
                          <w:ind w:right="100"/>
                          <w:rPr>
                            <w:rFonts w:ascii="Arial"/>
                            <w:sz w:val="16"/>
                          </w:rPr>
                        </w:pPr>
                        <w:r>
                          <w:rPr>
                            <w:rFonts w:ascii="Arial"/>
                            <w:sz w:val="16"/>
                          </w:rPr>
                          <w:t>3,75</w:t>
                        </w:r>
                      </w:p>
                    </w:tc>
                    <w:tc>
                      <w:tcPr>
                        <w:tcW w:w="782" w:type="dxa"/>
                      </w:tcPr>
                      <w:p>
                        <w:pPr>
                          <w:pStyle w:val="TableParagraph"/>
                          <w:spacing w:line="180" w:lineRule="exact" w:before="0"/>
                          <w:ind w:right="101"/>
                          <w:rPr>
                            <w:rFonts w:ascii="Arial"/>
                            <w:sz w:val="16"/>
                          </w:rPr>
                        </w:pPr>
                        <w:r>
                          <w:rPr>
                            <w:rFonts w:ascii="Arial"/>
                            <w:sz w:val="16"/>
                          </w:rPr>
                          <w:t>3,92</w:t>
                        </w:r>
                      </w:p>
                    </w:tc>
                  </w:tr>
                  <w:tr>
                    <w:trPr>
                      <w:trHeight w:val="194" w:hRule="exact"/>
                    </w:trPr>
                    <w:tc>
                      <w:tcPr>
                        <w:tcW w:w="1133" w:type="dxa"/>
                      </w:tcPr>
                      <w:p>
                        <w:pPr>
                          <w:pStyle w:val="TableParagraph"/>
                          <w:spacing w:line="183" w:lineRule="exact" w:before="0"/>
                          <w:ind w:left="103" w:right="112"/>
                          <w:jc w:val="left"/>
                          <w:rPr>
                            <w:rFonts w:ascii="Arial"/>
                            <w:sz w:val="16"/>
                          </w:rPr>
                        </w:pPr>
                        <w:r>
                          <w:rPr>
                            <w:rFonts w:ascii="Arial"/>
                            <w:sz w:val="16"/>
                          </w:rPr>
                          <w:t>Alcalinidad*</w:t>
                        </w:r>
                      </w:p>
                    </w:tc>
                    <w:tc>
                      <w:tcPr>
                        <w:tcW w:w="970" w:type="dxa"/>
                      </w:tcPr>
                      <w:p>
                        <w:pPr>
                          <w:pStyle w:val="TableParagraph"/>
                          <w:spacing w:line="183" w:lineRule="exact" w:before="0"/>
                          <w:ind w:right="98"/>
                          <w:rPr>
                            <w:rFonts w:ascii="Arial"/>
                            <w:sz w:val="16"/>
                          </w:rPr>
                        </w:pPr>
                        <w:r>
                          <w:rPr>
                            <w:rFonts w:ascii="Arial"/>
                            <w:sz w:val="16"/>
                          </w:rPr>
                          <w:t>0,009</w:t>
                        </w:r>
                      </w:p>
                    </w:tc>
                    <w:tc>
                      <w:tcPr>
                        <w:tcW w:w="792" w:type="dxa"/>
                      </w:tcPr>
                      <w:p>
                        <w:pPr>
                          <w:pStyle w:val="TableParagraph"/>
                          <w:spacing w:line="183" w:lineRule="exact" w:before="0"/>
                          <w:ind w:right="101"/>
                          <w:rPr>
                            <w:rFonts w:ascii="Arial"/>
                            <w:sz w:val="16"/>
                          </w:rPr>
                        </w:pPr>
                        <w:r>
                          <w:rPr>
                            <w:rFonts w:ascii="Arial"/>
                            <w:sz w:val="16"/>
                          </w:rPr>
                          <w:t>54,71</w:t>
                        </w:r>
                      </w:p>
                    </w:tc>
                    <w:tc>
                      <w:tcPr>
                        <w:tcW w:w="782" w:type="dxa"/>
                      </w:tcPr>
                      <w:p>
                        <w:pPr>
                          <w:pStyle w:val="TableParagraph"/>
                          <w:spacing w:line="183" w:lineRule="exact" w:before="0"/>
                          <w:ind w:right="101"/>
                          <w:rPr>
                            <w:rFonts w:ascii="Arial"/>
                            <w:sz w:val="16"/>
                          </w:rPr>
                        </w:pPr>
                        <w:r>
                          <w:rPr>
                            <w:rFonts w:ascii="Arial"/>
                            <w:sz w:val="16"/>
                          </w:rPr>
                          <w:t>56,76</w:t>
                        </w:r>
                      </w:p>
                    </w:tc>
                  </w:tr>
                  <w:tr>
                    <w:trPr>
                      <w:trHeight w:val="194" w:hRule="exact"/>
                    </w:trPr>
                    <w:tc>
                      <w:tcPr>
                        <w:tcW w:w="1133" w:type="dxa"/>
                      </w:tcPr>
                      <w:p>
                        <w:pPr>
                          <w:pStyle w:val="TableParagraph"/>
                          <w:spacing w:line="180" w:lineRule="exact" w:before="0"/>
                          <w:ind w:left="103" w:right="0"/>
                          <w:jc w:val="left"/>
                          <w:rPr>
                            <w:rFonts w:ascii="Arial"/>
                            <w:sz w:val="16"/>
                          </w:rPr>
                        </w:pPr>
                        <w:r>
                          <w:rPr>
                            <w:rFonts w:ascii="Arial"/>
                            <w:sz w:val="16"/>
                          </w:rPr>
                          <w:t>Temperatura</w:t>
                        </w:r>
                      </w:p>
                    </w:tc>
                    <w:tc>
                      <w:tcPr>
                        <w:tcW w:w="970" w:type="dxa"/>
                      </w:tcPr>
                      <w:p>
                        <w:pPr>
                          <w:pStyle w:val="TableParagraph"/>
                          <w:spacing w:line="180" w:lineRule="exact" w:before="0"/>
                          <w:ind w:right="98"/>
                          <w:rPr>
                            <w:rFonts w:ascii="Arial"/>
                            <w:sz w:val="16"/>
                          </w:rPr>
                        </w:pPr>
                        <w:r>
                          <w:rPr>
                            <w:rFonts w:ascii="Arial"/>
                            <w:sz w:val="16"/>
                          </w:rPr>
                          <w:t>0,008</w:t>
                        </w:r>
                      </w:p>
                    </w:tc>
                    <w:tc>
                      <w:tcPr>
                        <w:tcW w:w="792" w:type="dxa"/>
                      </w:tcPr>
                      <w:p>
                        <w:pPr>
                          <w:pStyle w:val="TableParagraph"/>
                          <w:spacing w:line="180" w:lineRule="exact" w:before="0"/>
                          <w:ind w:right="101"/>
                          <w:rPr>
                            <w:rFonts w:ascii="Arial"/>
                            <w:sz w:val="16"/>
                          </w:rPr>
                        </w:pPr>
                        <w:r>
                          <w:rPr>
                            <w:rFonts w:ascii="Arial"/>
                            <w:sz w:val="16"/>
                          </w:rPr>
                          <w:t>16,44</w:t>
                        </w:r>
                      </w:p>
                    </w:tc>
                    <w:tc>
                      <w:tcPr>
                        <w:tcW w:w="782" w:type="dxa"/>
                      </w:tcPr>
                      <w:p>
                        <w:pPr>
                          <w:pStyle w:val="TableParagraph"/>
                          <w:spacing w:line="180" w:lineRule="exact" w:before="0"/>
                          <w:ind w:right="101"/>
                          <w:rPr>
                            <w:rFonts w:ascii="Arial"/>
                            <w:sz w:val="16"/>
                          </w:rPr>
                        </w:pPr>
                        <w:r>
                          <w:rPr>
                            <w:rFonts w:ascii="Arial"/>
                            <w:sz w:val="16"/>
                          </w:rPr>
                          <w:t>16,94</w:t>
                        </w:r>
                      </w:p>
                    </w:tc>
                  </w:tr>
                  <w:tr>
                    <w:trPr>
                      <w:trHeight w:val="194" w:hRule="exact"/>
                    </w:trPr>
                    <w:tc>
                      <w:tcPr>
                        <w:tcW w:w="1133" w:type="dxa"/>
                      </w:tcPr>
                      <w:p>
                        <w:pPr>
                          <w:pStyle w:val="TableParagraph"/>
                          <w:spacing w:line="180" w:lineRule="exact" w:before="0"/>
                          <w:ind w:left="103" w:right="112"/>
                          <w:jc w:val="left"/>
                          <w:rPr>
                            <w:rFonts w:ascii="Arial"/>
                            <w:sz w:val="16"/>
                          </w:rPr>
                        </w:pPr>
                        <w:r>
                          <w:rPr>
                            <w:rFonts w:ascii="Arial"/>
                            <w:sz w:val="16"/>
                          </w:rPr>
                          <w:t>pH</w:t>
                        </w:r>
                      </w:p>
                    </w:tc>
                    <w:tc>
                      <w:tcPr>
                        <w:tcW w:w="970" w:type="dxa"/>
                      </w:tcPr>
                      <w:p>
                        <w:pPr>
                          <w:pStyle w:val="TableParagraph"/>
                          <w:spacing w:line="180" w:lineRule="exact" w:before="0"/>
                          <w:ind w:right="98"/>
                          <w:rPr>
                            <w:rFonts w:ascii="Arial"/>
                            <w:sz w:val="16"/>
                          </w:rPr>
                        </w:pPr>
                        <w:r>
                          <w:rPr>
                            <w:rFonts w:ascii="Arial"/>
                            <w:sz w:val="16"/>
                          </w:rPr>
                          <w:t>0,01</w:t>
                        </w:r>
                      </w:p>
                    </w:tc>
                    <w:tc>
                      <w:tcPr>
                        <w:tcW w:w="792" w:type="dxa"/>
                      </w:tcPr>
                      <w:p>
                        <w:pPr>
                          <w:pStyle w:val="TableParagraph"/>
                          <w:spacing w:line="180" w:lineRule="exact" w:before="0"/>
                          <w:ind w:right="100"/>
                          <w:rPr>
                            <w:rFonts w:ascii="Arial"/>
                            <w:sz w:val="16"/>
                          </w:rPr>
                        </w:pPr>
                        <w:r>
                          <w:rPr>
                            <w:rFonts w:ascii="Arial"/>
                            <w:sz w:val="16"/>
                          </w:rPr>
                          <w:t>6,84</w:t>
                        </w:r>
                      </w:p>
                    </w:tc>
                    <w:tc>
                      <w:tcPr>
                        <w:tcW w:w="782" w:type="dxa"/>
                      </w:tcPr>
                      <w:p>
                        <w:pPr>
                          <w:pStyle w:val="TableParagraph"/>
                          <w:spacing w:line="180" w:lineRule="exact" w:before="0"/>
                          <w:ind w:right="101"/>
                          <w:rPr>
                            <w:rFonts w:ascii="Arial"/>
                            <w:sz w:val="16"/>
                          </w:rPr>
                        </w:pPr>
                        <w:r>
                          <w:rPr>
                            <w:rFonts w:ascii="Arial"/>
                            <w:sz w:val="16"/>
                          </w:rPr>
                          <w:t>7,11</w:t>
                        </w:r>
                      </w:p>
                    </w:tc>
                  </w:tr>
                  <w:tr>
                    <w:trPr>
                      <w:trHeight w:val="194" w:hRule="exact"/>
                    </w:trPr>
                    <w:tc>
                      <w:tcPr>
                        <w:tcW w:w="1133" w:type="dxa"/>
                      </w:tcPr>
                      <w:p>
                        <w:pPr>
                          <w:pStyle w:val="TableParagraph"/>
                          <w:spacing w:line="180" w:lineRule="exact" w:before="0"/>
                          <w:ind w:left="103" w:right="112"/>
                          <w:jc w:val="left"/>
                          <w:rPr>
                            <w:rFonts w:ascii="Arial"/>
                            <w:sz w:val="16"/>
                          </w:rPr>
                        </w:pPr>
                        <w:r>
                          <w:rPr>
                            <w:rFonts w:ascii="Arial"/>
                            <w:sz w:val="16"/>
                          </w:rPr>
                          <w:t>OD</w:t>
                        </w:r>
                      </w:p>
                    </w:tc>
                    <w:tc>
                      <w:tcPr>
                        <w:tcW w:w="970" w:type="dxa"/>
                      </w:tcPr>
                      <w:p>
                        <w:pPr>
                          <w:pStyle w:val="TableParagraph"/>
                          <w:spacing w:line="180" w:lineRule="exact" w:before="0"/>
                          <w:ind w:right="98"/>
                          <w:rPr>
                            <w:rFonts w:ascii="Arial"/>
                            <w:sz w:val="16"/>
                          </w:rPr>
                        </w:pPr>
                        <w:r>
                          <w:rPr>
                            <w:rFonts w:ascii="Arial"/>
                            <w:sz w:val="16"/>
                          </w:rPr>
                          <w:t>0,018</w:t>
                        </w:r>
                      </w:p>
                    </w:tc>
                    <w:tc>
                      <w:tcPr>
                        <w:tcW w:w="792" w:type="dxa"/>
                      </w:tcPr>
                      <w:p>
                        <w:pPr>
                          <w:pStyle w:val="TableParagraph"/>
                          <w:spacing w:line="180" w:lineRule="exact" w:before="0"/>
                          <w:ind w:right="100"/>
                          <w:rPr>
                            <w:rFonts w:ascii="Arial"/>
                            <w:sz w:val="16"/>
                          </w:rPr>
                        </w:pPr>
                        <w:r>
                          <w:rPr>
                            <w:rFonts w:ascii="Arial"/>
                            <w:sz w:val="16"/>
                          </w:rPr>
                          <w:t>5,03</w:t>
                        </w:r>
                      </w:p>
                    </w:tc>
                    <w:tc>
                      <w:tcPr>
                        <w:tcW w:w="782" w:type="dxa"/>
                      </w:tcPr>
                      <w:p>
                        <w:pPr>
                          <w:pStyle w:val="TableParagraph"/>
                          <w:spacing w:line="180" w:lineRule="exact" w:before="0"/>
                          <w:ind w:right="101"/>
                          <w:rPr>
                            <w:rFonts w:ascii="Arial"/>
                            <w:sz w:val="16"/>
                          </w:rPr>
                        </w:pPr>
                        <w:r>
                          <w:rPr>
                            <w:rFonts w:ascii="Arial"/>
                            <w:sz w:val="16"/>
                          </w:rPr>
                          <w:t>5,40</w:t>
                        </w:r>
                      </w:p>
                    </w:tc>
                  </w:tr>
                </w:tbl>
                <w:p>
                  <w:pPr>
                    <w:pStyle w:val="BodyText"/>
                  </w:pPr>
                </w:p>
              </w:txbxContent>
            </v:textbox>
            <w10:wrap type="none"/>
          </v:shape>
        </w:pict>
      </w:r>
      <w:r>
        <w:rPr>
          <w:b/>
          <w:sz w:val="18"/>
        </w:rPr>
        <w:t>Figura 35. Comportamiento de las concentraciones y eficiencias de remoción de los diferentes parámetros en el tren de tratamiento.</w:t>
      </w:r>
    </w:p>
    <w:p>
      <w:pPr>
        <w:spacing w:after="0"/>
        <w:jc w:val="left"/>
        <w:rPr>
          <w:sz w:val="18"/>
        </w:rPr>
        <w:sectPr>
          <w:footerReference w:type="default" r:id="rId74"/>
          <w:pgSz w:w="12240" w:h="15840"/>
          <w:pgMar w:footer="1084" w:header="725" w:top="1340" w:bottom="1280" w:left="920" w:right="940"/>
        </w:sectPr>
      </w:pPr>
    </w:p>
    <w:p>
      <w:pPr>
        <w:pStyle w:val="BodyText"/>
        <w:spacing w:before="10"/>
        <w:rPr>
          <w:b/>
          <w:sz w:val="8"/>
        </w:rPr>
      </w:pPr>
    </w:p>
    <w:p>
      <w:pPr>
        <w:pStyle w:val="BodyText"/>
        <w:spacing w:line="357" w:lineRule="auto" w:before="73"/>
        <w:ind w:left="781" w:right="496"/>
        <w:jc w:val="both"/>
      </w:pPr>
      <w:r>
        <w:rPr/>
        <w:t>Parámetros como la alcalinidad, aunque se encontró aceptable para el cultivo de la  trucha, no alcanzó valores recomendados para el proceso de nitrificación (Timmons </w:t>
      </w:r>
      <w:r>
        <w:rPr>
          <w:i/>
        </w:rPr>
        <w:t>et al</w:t>
      </w:r>
      <w:r>
        <w:rPr/>
        <w:t>., 2009; Eding </w:t>
      </w:r>
      <w:r>
        <w:rPr>
          <w:i/>
        </w:rPr>
        <w:t>et al</w:t>
      </w:r>
      <w:r>
        <w:rPr/>
        <w:t>., 2006). La concentración de este parámetro fue la suficiente para llevar a cabo la nitrificación debido a las concentraciones bajas de N-NH</w:t>
      </w:r>
      <w:r>
        <w:rPr>
          <w:position w:val="-2"/>
          <w:sz w:val="13"/>
        </w:rPr>
        <w:t>3 </w:t>
      </w:r>
      <w:r>
        <w:rPr/>
        <w:t>encontradas en el percolador y filtro de arena. Es importante poner atención en el acondicionamiento del agua de lluvia debido a que la concentración de alcalinidad fue difícil de acotar a niveles constantes dentro del sistema, dado el consumo de éste en la nitrificación, la mitigación  de ácidos minerales y alto contenido de N-NO</w:t>
      </w:r>
      <w:r>
        <w:rPr>
          <w:position w:val="-2"/>
          <w:sz w:val="13"/>
        </w:rPr>
        <w:t>3</w:t>
      </w:r>
      <w:r>
        <w:rPr>
          <w:position w:val="10"/>
          <w:sz w:val="13"/>
        </w:rPr>
        <w:t>- </w:t>
      </w:r>
      <w:r>
        <w:rPr/>
        <w:t>que produce acidez</w:t>
      </w:r>
      <w:r>
        <w:rPr>
          <w:spacing w:val="-18"/>
        </w:rPr>
        <w:t> </w:t>
      </w:r>
      <w:r>
        <w:rPr/>
        <w:t>iónica.</w:t>
      </w:r>
    </w:p>
    <w:p>
      <w:pPr>
        <w:pStyle w:val="BodyText"/>
        <w:spacing w:line="360" w:lineRule="auto" w:before="179"/>
        <w:ind w:left="781" w:right="498"/>
        <w:jc w:val="both"/>
      </w:pPr>
      <w:r>
        <w:rPr/>
        <w:t>La temperatura fue otro parámetro que siempre se mantuvo por encima del rango óptimo para el cultivo, el desarrollo de los organismos fue aceptable y mejor de lo reportado por García (2008), Ingram </w:t>
      </w:r>
      <w:r>
        <w:rPr>
          <w:i/>
        </w:rPr>
        <w:t>et al</w:t>
      </w:r>
      <w:r>
        <w:rPr/>
        <w:t>. (2002) y Klontz (1991).</w:t>
      </w:r>
    </w:p>
    <w:p>
      <w:pPr>
        <w:pStyle w:val="BodyText"/>
        <w:spacing w:before="7"/>
        <w:rPr>
          <w:sz w:val="17"/>
        </w:rPr>
      </w:pPr>
    </w:p>
    <w:p>
      <w:pPr>
        <w:pStyle w:val="Heading5"/>
        <w:numPr>
          <w:ilvl w:val="2"/>
          <w:numId w:val="14"/>
        </w:numPr>
        <w:tabs>
          <w:tab w:pos="1396" w:val="left" w:leader="none"/>
        </w:tabs>
        <w:spacing w:line="240" w:lineRule="auto" w:before="0" w:after="0"/>
        <w:ind w:left="1395" w:right="0" w:hanging="614"/>
        <w:jc w:val="both"/>
      </w:pPr>
      <w:bookmarkStart w:name="_TOC_250032" w:id="122"/>
      <w:bookmarkStart w:name="5.5.2. Desempeño del prototipo" w:id="123"/>
      <w:r>
        <w:rPr>
          <w:b w:val="0"/>
        </w:rPr>
      </w:r>
      <w:bookmarkEnd w:id="123"/>
      <w:bookmarkStart w:name="5.5.2. Desempeño del prototipo" w:id="124"/>
      <w:r>
        <w:rPr/>
        <w:t>D</w:t>
      </w:r>
      <w:r>
        <w:rPr/>
        <w:t>ESEMPEÑO DEL</w:t>
      </w:r>
      <w:r>
        <w:rPr>
          <w:spacing w:val="-11"/>
        </w:rPr>
        <w:t> </w:t>
      </w:r>
      <w:bookmarkEnd w:id="122"/>
      <w:r>
        <w:rPr/>
        <w:t>PROTOTIPO</w:t>
      </w:r>
    </w:p>
    <w:p>
      <w:pPr>
        <w:pStyle w:val="BodyText"/>
        <w:spacing w:before="5"/>
        <w:rPr>
          <w:b/>
          <w:sz w:val="28"/>
        </w:rPr>
      </w:pPr>
    </w:p>
    <w:p>
      <w:pPr>
        <w:pStyle w:val="BodyText"/>
        <w:spacing w:line="360" w:lineRule="auto" w:before="1"/>
        <w:ind w:left="781" w:right="498"/>
        <w:jc w:val="both"/>
      </w:pPr>
      <w:r>
        <w:rPr/>
        <w:t>El desempeño del prototipo fue evaluado de acuerdo con los criterios y factores propuestos por varios investigadores en el tema de estandarización de dicha evaluación (Colt </w:t>
      </w:r>
      <w:r>
        <w:rPr>
          <w:i/>
        </w:rPr>
        <w:t>et al.</w:t>
      </w:r>
      <w:r>
        <w:rPr/>
        <w:t>, 2006; Drennan </w:t>
      </w:r>
      <w:r>
        <w:rPr>
          <w:i/>
        </w:rPr>
        <w:t>et al.</w:t>
      </w:r>
      <w:r>
        <w:rPr/>
        <w:t>, 2006; Malone y Pfeiffer, 2006). Estos criterios y factores han sido agrupados en las próximas 3 tablas (18, 19 y 20).</w:t>
      </w:r>
    </w:p>
    <w:p>
      <w:pPr>
        <w:pStyle w:val="BodyText"/>
        <w:spacing w:before="7"/>
        <w:rPr>
          <w:sz w:val="17"/>
        </w:rPr>
      </w:pPr>
    </w:p>
    <w:p>
      <w:pPr>
        <w:pStyle w:val="BodyText"/>
        <w:spacing w:line="360" w:lineRule="auto"/>
        <w:ind w:left="781" w:right="497"/>
        <w:jc w:val="both"/>
      </w:pPr>
      <w:r>
        <w:rPr/>
        <w:t>Bajo consideraciones de que los biofiltros en evaluación son un percolador especializado en la nitrificación y un filtro de arena descendente, cuyas características físicas se describen en la tabla 18. El área de superficie específica del filtro percolador se vio disminuida por la forma que se colocó el empaque. En estudios anteriores la manguera corrugada se dispuso en cartuchos de manera que se formara un zigzag entre cada nivel, permitiendo eficiencias mayores al 60 % en la remoción de compuestos nitrogenados (García </w:t>
      </w:r>
      <w:r>
        <w:rPr>
          <w:i/>
        </w:rPr>
        <w:t>et al</w:t>
      </w:r>
      <w:r>
        <w:rPr/>
        <w:t>., en prensa; Gallego </w:t>
      </w:r>
      <w:r>
        <w:rPr>
          <w:i/>
        </w:rPr>
        <w:t>et al</w:t>
      </w:r>
      <w:r>
        <w:rPr/>
        <w:t>., 2004). En este estudio el empaque se colocó a granel lo que en un momento dado pudo hacer que no toda la superficie del mismo si estuviera en contacto con el agua, reduciendo la eficiencia del biofiltro en comparación con los trabajos reportados por García (2008) y Gallego (2004) donde el empaque está conformado por cartuchos de manguera corrugada de 30 cm de longitud y colocados de manera encontrada</w:t>
      </w:r>
      <w:r>
        <w:rPr>
          <w:spacing w:val="-12"/>
        </w:rPr>
        <w:t> </w:t>
      </w:r>
      <w:r>
        <w:rPr/>
        <w:t>(zig-zag).</w:t>
      </w:r>
    </w:p>
    <w:p>
      <w:pPr>
        <w:pStyle w:val="BodyText"/>
        <w:spacing w:before="9"/>
        <w:rPr>
          <w:sz w:val="17"/>
        </w:rPr>
      </w:pPr>
    </w:p>
    <w:p>
      <w:pPr>
        <w:pStyle w:val="BodyText"/>
        <w:spacing w:line="360" w:lineRule="auto"/>
        <w:ind w:left="781" w:right="499"/>
        <w:jc w:val="both"/>
      </w:pPr>
      <w:r>
        <w:rPr/>
        <w:t>Las características del influente a cada biofiltro se documentan en la tabla 19. Se puede observar  que  aún  cuando  las  concentraciones  de  los  diferentes  contaminantes     se</w:t>
      </w:r>
    </w:p>
    <w:p>
      <w:pPr>
        <w:spacing w:after="0" w:line="360" w:lineRule="auto"/>
        <w:jc w:val="both"/>
        <w:sectPr>
          <w:footerReference w:type="default" r:id="rId76"/>
          <w:pgSz w:w="12240" w:h="15840"/>
          <w:pgMar w:footer="1084" w:header="725" w:top="1340" w:bottom="1280" w:left="920" w:right="1200"/>
          <w:pgNumType w:start="101"/>
        </w:sectPr>
      </w:pPr>
    </w:p>
    <w:p>
      <w:pPr>
        <w:pStyle w:val="BodyText"/>
        <w:spacing w:before="10"/>
        <w:rPr>
          <w:sz w:val="8"/>
        </w:rPr>
      </w:pPr>
    </w:p>
    <w:p>
      <w:pPr>
        <w:pStyle w:val="BodyText"/>
        <w:spacing w:line="360" w:lineRule="auto" w:before="73"/>
        <w:ind w:left="781" w:right="514"/>
      </w:pPr>
      <w:r>
        <w:rPr/>
        <w:t>encuentran en niveles altos, éstas no son tóxicas para el cultivo de la trucha (Timmons </w:t>
      </w:r>
      <w:r>
        <w:rPr>
          <w:i/>
        </w:rPr>
        <w:t>et </w:t>
      </w:r>
      <w:r>
        <w:rPr>
          <w:i/>
        </w:rPr>
        <w:t>al.</w:t>
      </w:r>
      <w:r>
        <w:rPr/>
        <w:t>, 2002; Blanco, 1995; Klontz, 1991; Russo y Thurston, 1991).</w:t>
      </w:r>
    </w:p>
    <w:p>
      <w:pPr>
        <w:spacing w:before="120"/>
        <w:ind w:left="2977" w:right="2426" w:firstLine="0"/>
        <w:jc w:val="left"/>
        <w:rPr>
          <w:b/>
          <w:sz w:val="18"/>
        </w:rPr>
      </w:pPr>
      <w:r>
        <w:rPr>
          <w:b/>
          <w:sz w:val="18"/>
        </w:rPr>
        <w:t>Tabla 18. Características del biofiltro y del empaque</w:t>
      </w:r>
    </w:p>
    <w:p>
      <w:pPr>
        <w:pStyle w:val="BodyText"/>
        <w:spacing w:before="10"/>
        <w:rPr>
          <w:b/>
          <w:sz w:val="10"/>
        </w:rPr>
      </w:pPr>
    </w:p>
    <w:tbl>
      <w:tblPr>
        <w:tblW w:w="0" w:type="auto"/>
        <w:jc w:val="left"/>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25"/>
        <w:gridCol w:w="2042"/>
        <w:gridCol w:w="984"/>
        <w:gridCol w:w="1267"/>
        <w:gridCol w:w="1543"/>
        <w:gridCol w:w="1267"/>
        <w:gridCol w:w="1318"/>
      </w:tblGrid>
      <w:tr>
        <w:trPr>
          <w:trHeight w:val="602" w:hRule="exact"/>
        </w:trPr>
        <w:tc>
          <w:tcPr>
            <w:tcW w:w="2467" w:type="dxa"/>
            <w:gridSpan w:val="2"/>
            <w:tcBorders>
              <w:bottom w:val="double" w:sz="6" w:space="0" w:color="000000"/>
              <w:right w:val="single" w:sz="4" w:space="0" w:color="000000"/>
            </w:tcBorders>
          </w:tcPr>
          <w:p>
            <w:pPr>
              <w:pStyle w:val="TableParagraph"/>
              <w:spacing w:before="170"/>
              <w:ind w:left="729" w:right="0"/>
              <w:jc w:val="left"/>
              <w:rPr>
                <w:rFonts w:ascii="Arial" w:hAnsi="Arial"/>
                <w:b/>
                <w:i/>
                <w:sz w:val="20"/>
              </w:rPr>
            </w:pPr>
            <w:r>
              <w:rPr>
                <w:rFonts w:ascii="Arial" w:hAnsi="Arial"/>
                <w:b/>
                <w:i/>
                <w:sz w:val="20"/>
              </w:rPr>
              <w:t>Parámetro</w:t>
            </w:r>
          </w:p>
        </w:tc>
        <w:tc>
          <w:tcPr>
            <w:tcW w:w="984" w:type="dxa"/>
            <w:tcBorders>
              <w:left w:val="single" w:sz="4" w:space="0" w:color="000000"/>
              <w:bottom w:val="double" w:sz="6" w:space="0" w:color="000000"/>
              <w:right w:val="single" w:sz="4" w:space="0" w:color="000000"/>
            </w:tcBorders>
          </w:tcPr>
          <w:p>
            <w:pPr>
              <w:pStyle w:val="TableParagraph"/>
              <w:spacing w:before="170"/>
              <w:ind w:left="70" w:right="74"/>
              <w:jc w:val="center"/>
              <w:rPr>
                <w:rFonts w:ascii="Arial" w:hAnsi="Arial"/>
                <w:b/>
                <w:i/>
                <w:sz w:val="20"/>
              </w:rPr>
            </w:pPr>
            <w:r>
              <w:rPr>
                <w:rFonts w:ascii="Arial" w:hAnsi="Arial"/>
                <w:b/>
                <w:i/>
                <w:sz w:val="20"/>
              </w:rPr>
              <w:t>Símbolo</w:t>
            </w:r>
          </w:p>
        </w:tc>
        <w:tc>
          <w:tcPr>
            <w:tcW w:w="1267" w:type="dxa"/>
            <w:tcBorders>
              <w:left w:val="single" w:sz="4" w:space="0" w:color="000000"/>
              <w:bottom w:val="double" w:sz="6" w:space="0" w:color="000000"/>
              <w:right w:val="single" w:sz="4" w:space="0" w:color="000000"/>
            </w:tcBorders>
          </w:tcPr>
          <w:p>
            <w:pPr>
              <w:pStyle w:val="TableParagraph"/>
              <w:spacing w:before="170"/>
              <w:ind w:left="194" w:right="196"/>
              <w:jc w:val="center"/>
              <w:rPr>
                <w:rFonts w:ascii="Arial" w:hAnsi="Arial"/>
                <w:b/>
                <w:i/>
                <w:sz w:val="20"/>
              </w:rPr>
            </w:pPr>
            <w:r>
              <w:rPr>
                <w:rFonts w:ascii="Arial" w:hAnsi="Arial"/>
                <w:b/>
                <w:i/>
                <w:sz w:val="20"/>
              </w:rPr>
              <w:t>Fórmula</w:t>
            </w:r>
          </w:p>
        </w:tc>
        <w:tc>
          <w:tcPr>
            <w:tcW w:w="1543" w:type="dxa"/>
            <w:tcBorders>
              <w:left w:val="single" w:sz="4" w:space="0" w:color="000000"/>
              <w:bottom w:val="double" w:sz="6" w:space="0" w:color="000000"/>
              <w:right w:val="single" w:sz="4" w:space="0" w:color="000000"/>
            </w:tcBorders>
          </w:tcPr>
          <w:p>
            <w:pPr>
              <w:pStyle w:val="TableParagraph"/>
              <w:spacing w:before="170"/>
              <w:ind w:left="221" w:right="225"/>
              <w:jc w:val="center"/>
              <w:rPr>
                <w:rFonts w:ascii="Arial"/>
                <w:b/>
                <w:i/>
                <w:sz w:val="20"/>
              </w:rPr>
            </w:pPr>
            <w:r>
              <w:rPr>
                <w:rFonts w:ascii="Arial"/>
                <w:b/>
                <w:i/>
                <w:sz w:val="20"/>
              </w:rPr>
              <w:t>Unidades</w:t>
            </w:r>
          </w:p>
        </w:tc>
        <w:tc>
          <w:tcPr>
            <w:tcW w:w="1267" w:type="dxa"/>
            <w:tcBorders>
              <w:left w:val="single" w:sz="4" w:space="0" w:color="000000"/>
              <w:bottom w:val="double" w:sz="6" w:space="0" w:color="000000"/>
              <w:right w:val="single" w:sz="4" w:space="0" w:color="000000"/>
            </w:tcBorders>
          </w:tcPr>
          <w:p>
            <w:pPr>
              <w:pStyle w:val="TableParagraph"/>
              <w:spacing w:before="170"/>
              <w:ind w:left="105" w:right="62"/>
              <w:jc w:val="left"/>
              <w:rPr>
                <w:rFonts w:ascii="Arial"/>
                <w:b/>
                <w:i/>
                <w:sz w:val="20"/>
              </w:rPr>
            </w:pPr>
            <w:r>
              <w:rPr>
                <w:rFonts w:ascii="Arial"/>
                <w:b/>
                <w:i/>
                <w:sz w:val="20"/>
              </w:rPr>
              <w:t>Percolador</w:t>
            </w:r>
          </w:p>
        </w:tc>
        <w:tc>
          <w:tcPr>
            <w:tcW w:w="1318" w:type="dxa"/>
            <w:tcBorders>
              <w:left w:val="single" w:sz="4" w:space="0" w:color="000000"/>
              <w:bottom w:val="double" w:sz="6" w:space="0" w:color="000000"/>
            </w:tcBorders>
          </w:tcPr>
          <w:p>
            <w:pPr>
              <w:pStyle w:val="TableParagraph"/>
              <w:spacing w:before="55"/>
              <w:ind w:left="386" w:right="236" w:hanging="128"/>
              <w:jc w:val="left"/>
              <w:rPr>
                <w:rFonts w:ascii="Arial"/>
                <w:b/>
                <w:i/>
                <w:sz w:val="20"/>
              </w:rPr>
            </w:pPr>
            <w:r>
              <w:rPr>
                <w:rFonts w:ascii="Arial"/>
                <w:b/>
                <w:i/>
                <w:sz w:val="20"/>
              </w:rPr>
              <w:t>Filtro de </w:t>
            </w:r>
            <w:r>
              <w:rPr>
                <w:rFonts w:ascii="Arial"/>
                <w:b/>
                <w:i/>
                <w:sz w:val="20"/>
              </w:rPr>
              <w:t>arena</w:t>
            </w:r>
          </w:p>
        </w:tc>
      </w:tr>
      <w:tr>
        <w:trPr>
          <w:trHeight w:val="343" w:hRule="exact"/>
        </w:trPr>
        <w:tc>
          <w:tcPr>
            <w:tcW w:w="8846" w:type="dxa"/>
            <w:gridSpan w:val="7"/>
            <w:tcBorders>
              <w:top w:val="double" w:sz="6" w:space="0" w:color="000000"/>
              <w:bottom w:val="single" w:sz="4" w:space="0" w:color="000000"/>
            </w:tcBorders>
          </w:tcPr>
          <w:p>
            <w:pPr>
              <w:pStyle w:val="TableParagraph"/>
              <w:spacing w:before="23"/>
              <w:ind w:left="3130" w:right="3131"/>
              <w:jc w:val="center"/>
              <w:rPr>
                <w:sz w:val="22"/>
              </w:rPr>
            </w:pPr>
            <w:r>
              <w:rPr>
                <w:sz w:val="22"/>
              </w:rPr>
              <w:t>Características del empaque</w:t>
            </w: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1a</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112"/>
              <w:ind w:left="64" w:right="470"/>
              <w:jc w:val="left"/>
              <w:rPr>
                <w:rFonts w:ascii="Arial"/>
                <w:sz w:val="20"/>
              </w:rPr>
            </w:pPr>
            <w:r>
              <w:rPr>
                <w:rFonts w:ascii="Arial"/>
                <w:sz w:val="20"/>
              </w:rPr>
              <w:t>Fabricante</w:t>
            </w:r>
          </w:p>
        </w:tc>
        <w:tc>
          <w:tcPr>
            <w:tcW w:w="984" w:type="dxa"/>
            <w:tcBorders>
              <w:top w:val="single" w:sz="4" w:space="0" w:color="000000"/>
              <w:left w:val="single" w:sz="4" w:space="0" w:color="000000"/>
              <w:bottom w:val="single" w:sz="4" w:space="0" w:color="000000"/>
              <w:right w:val="single" w:sz="4" w:space="0" w:color="000000"/>
            </w:tcBorders>
          </w:tcPr>
          <w:p>
            <w:pP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112"/>
              <w:ind w:left="223" w:right="225"/>
              <w:jc w:val="center"/>
              <w:rPr>
                <w:rFonts w:ascii="Arial" w:hAnsi="Arial"/>
                <w:sz w:val="20"/>
              </w:rPr>
            </w:pPr>
            <w:r>
              <w:rPr>
                <w:rFonts w:ascii="Arial" w:hAnsi="Arial"/>
                <w:sz w:val="20"/>
              </w:rPr>
              <w:t>Información</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62"/>
              <w:jc w:val="left"/>
              <w:rPr>
                <w:rFonts w:ascii="Arial"/>
                <w:sz w:val="20"/>
              </w:rPr>
            </w:pPr>
            <w:r>
              <w:rPr>
                <w:rFonts w:ascii="Arial"/>
                <w:sz w:val="20"/>
              </w:rPr>
              <w:t>CIRA  - CIRB UAEM</w:t>
            </w:r>
          </w:p>
        </w:tc>
        <w:tc>
          <w:tcPr>
            <w:tcW w:w="1318" w:type="dxa"/>
            <w:tcBorders>
              <w:top w:val="single" w:sz="4" w:space="0" w:color="000000"/>
              <w:left w:val="single" w:sz="4" w:space="0" w:color="000000"/>
              <w:bottom w:val="single" w:sz="4" w:space="0" w:color="000000"/>
            </w:tcBorders>
          </w:tcPr>
          <w:p>
            <w:pPr>
              <w:pStyle w:val="TableParagraph"/>
              <w:spacing w:before="0"/>
              <w:ind w:left="64" w:right="85"/>
              <w:jc w:val="left"/>
              <w:rPr>
                <w:rFonts w:ascii="Arial"/>
                <w:sz w:val="20"/>
              </w:rPr>
            </w:pPr>
            <w:r>
              <w:rPr>
                <w:rFonts w:ascii="Arial"/>
                <w:sz w:val="20"/>
              </w:rPr>
              <w:t>CIRA - CIRB UAEM</w:t>
            </w: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1b</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112"/>
              <w:ind w:left="64" w:right="470"/>
              <w:jc w:val="left"/>
              <w:rPr>
                <w:rFonts w:ascii="Arial"/>
                <w:sz w:val="20"/>
              </w:rPr>
            </w:pPr>
            <w:r>
              <w:rPr>
                <w:rFonts w:ascii="Arial"/>
                <w:sz w:val="20"/>
              </w:rPr>
              <w:t>Tipo</w:t>
            </w:r>
          </w:p>
        </w:tc>
        <w:tc>
          <w:tcPr>
            <w:tcW w:w="984" w:type="dxa"/>
            <w:tcBorders>
              <w:top w:val="single" w:sz="4" w:space="0" w:color="000000"/>
              <w:left w:val="single" w:sz="4" w:space="0" w:color="000000"/>
              <w:bottom w:val="single" w:sz="4" w:space="0" w:color="000000"/>
              <w:right w:val="single" w:sz="4" w:space="0" w:color="000000"/>
            </w:tcBorders>
          </w:tcPr>
          <w:p>
            <w:pP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112"/>
              <w:ind w:left="223" w:right="225"/>
              <w:jc w:val="center"/>
              <w:rPr>
                <w:rFonts w:ascii="Arial" w:hAnsi="Arial"/>
                <w:sz w:val="20"/>
              </w:rPr>
            </w:pPr>
            <w:r>
              <w:rPr>
                <w:rFonts w:ascii="Arial" w:hAnsi="Arial"/>
                <w:sz w:val="20"/>
              </w:rPr>
              <w:t>Información</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62"/>
              <w:jc w:val="left"/>
              <w:rPr>
                <w:rFonts w:ascii="Arial"/>
                <w:sz w:val="20"/>
              </w:rPr>
            </w:pPr>
            <w:r>
              <w:rPr>
                <w:rFonts w:ascii="Arial"/>
                <w:w w:val="95"/>
                <w:sz w:val="20"/>
              </w:rPr>
              <w:t>Manguera corrugada</w:t>
            </w:r>
          </w:p>
        </w:tc>
        <w:tc>
          <w:tcPr>
            <w:tcW w:w="1318" w:type="dxa"/>
            <w:tcBorders>
              <w:top w:val="single" w:sz="4" w:space="0" w:color="000000"/>
              <w:left w:val="single" w:sz="4" w:space="0" w:color="000000"/>
              <w:bottom w:val="single" w:sz="4" w:space="0" w:color="000000"/>
            </w:tcBorders>
          </w:tcPr>
          <w:p>
            <w:pPr>
              <w:pStyle w:val="TableParagraph"/>
              <w:spacing w:before="112"/>
              <w:ind w:left="64" w:right="85"/>
              <w:jc w:val="left"/>
              <w:rPr>
                <w:rFonts w:ascii="Arial" w:hAnsi="Arial"/>
                <w:sz w:val="20"/>
              </w:rPr>
            </w:pPr>
            <w:r>
              <w:rPr>
                <w:rFonts w:ascii="Arial" w:hAnsi="Arial"/>
                <w:sz w:val="20"/>
              </w:rPr>
              <w:t>Arena sílica</w:t>
            </w:r>
          </w:p>
        </w:tc>
      </w:tr>
      <w:tr>
        <w:trPr>
          <w:trHeight w:val="310" w:hRule="exact"/>
        </w:trPr>
        <w:tc>
          <w:tcPr>
            <w:tcW w:w="425" w:type="dxa"/>
            <w:tcBorders>
              <w:top w:val="single" w:sz="4" w:space="0" w:color="000000"/>
              <w:bottom w:val="single" w:sz="4" w:space="0" w:color="000000"/>
              <w:right w:val="single" w:sz="4" w:space="0" w:color="000000"/>
            </w:tcBorders>
          </w:tcPr>
          <w:p>
            <w:pPr>
              <w:pStyle w:val="TableParagraph"/>
              <w:spacing w:before="33"/>
              <w:ind w:left="60" w:right="0"/>
              <w:jc w:val="left"/>
              <w:rPr>
                <w:rFonts w:ascii="Arial"/>
                <w:sz w:val="20"/>
              </w:rPr>
            </w:pPr>
            <w:r>
              <w:rPr>
                <w:rFonts w:ascii="Arial"/>
                <w:sz w:val="20"/>
              </w:rPr>
              <w:t>1d</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33"/>
              <w:ind w:left="64" w:right="470"/>
              <w:jc w:val="left"/>
              <w:rPr>
                <w:rFonts w:ascii="Arial"/>
                <w:sz w:val="20"/>
              </w:rPr>
            </w:pPr>
            <w:r>
              <w:rPr>
                <w:rFonts w:ascii="Arial"/>
                <w:sz w:val="20"/>
              </w:rPr>
              <w:t>Material</w:t>
            </w:r>
          </w:p>
        </w:tc>
        <w:tc>
          <w:tcPr>
            <w:tcW w:w="984" w:type="dxa"/>
            <w:tcBorders>
              <w:top w:val="single" w:sz="4" w:space="0" w:color="000000"/>
              <w:left w:val="single" w:sz="4" w:space="0" w:color="000000"/>
              <w:bottom w:val="single" w:sz="4" w:space="0" w:color="000000"/>
              <w:right w:val="single" w:sz="4" w:space="0" w:color="000000"/>
            </w:tcBorders>
          </w:tcPr>
          <w:p>
            <w:pP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33"/>
              <w:ind w:left="223" w:right="225"/>
              <w:jc w:val="center"/>
              <w:rPr>
                <w:rFonts w:ascii="Arial" w:hAnsi="Arial"/>
                <w:sz w:val="20"/>
              </w:rPr>
            </w:pPr>
            <w:r>
              <w:rPr>
                <w:rFonts w:ascii="Arial" w:hAnsi="Arial"/>
                <w:sz w:val="20"/>
              </w:rPr>
              <w:t>Información</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33"/>
              <w:ind w:left="64" w:right="62"/>
              <w:jc w:val="left"/>
              <w:rPr>
                <w:rFonts w:ascii="Arial" w:hAnsi="Arial"/>
                <w:sz w:val="20"/>
              </w:rPr>
            </w:pPr>
            <w:r>
              <w:rPr>
                <w:rFonts w:ascii="Arial" w:hAnsi="Arial"/>
                <w:sz w:val="20"/>
              </w:rPr>
              <w:t>Plástico</w:t>
            </w:r>
          </w:p>
        </w:tc>
        <w:tc>
          <w:tcPr>
            <w:tcW w:w="1318" w:type="dxa"/>
            <w:tcBorders>
              <w:top w:val="single" w:sz="4" w:space="0" w:color="000000"/>
              <w:left w:val="single" w:sz="4" w:space="0" w:color="000000"/>
              <w:bottom w:val="single" w:sz="4" w:space="0" w:color="000000"/>
            </w:tcBorders>
          </w:tcPr>
          <w:p>
            <w:pPr>
              <w:pStyle w:val="TableParagraph"/>
              <w:spacing w:before="33"/>
              <w:ind w:left="64" w:right="85"/>
              <w:jc w:val="left"/>
              <w:rPr>
                <w:rFonts w:ascii="Arial" w:hAnsi="Arial"/>
                <w:sz w:val="20"/>
              </w:rPr>
            </w:pPr>
            <w:r>
              <w:rPr>
                <w:rFonts w:ascii="Arial" w:hAnsi="Arial"/>
                <w:sz w:val="20"/>
              </w:rPr>
              <w:t>Arena sílica</w:t>
            </w: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1e</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470"/>
              <w:jc w:val="left"/>
              <w:rPr>
                <w:rFonts w:ascii="Arial"/>
                <w:sz w:val="20"/>
              </w:rPr>
            </w:pPr>
            <w:r>
              <w:rPr>
                <w:rFonts w:ascii="Arial"/>
                <w:sz w:val="20"/>
              </w:rPr>
              <w:t>Dimensiones del empaque</w:t>
            </w:r>
          </w:p>
        </w:tc>
        <w:tc>
          <w:tcPr>
            <w:tcW w:w="984" w:type="dxa"/>
            <w:tcBorders>
              <w:top w:val="single" w:sz="4" w:space="0" w:color="000000"/>
              <w:left w:val="single" w:sz="4" w:space="0" w:color="000000"/>
              <w:bottom w:val="single" w:sz="4" w:space="0" w:color="000000"/>
              <w:right w:val="single" w:sz="4" w:space="0" w:color="000000"/>
            </w:tcBorders>
          </w:tcPr>
          <w:p>
            <w:pP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112"/>
              <w:ind w:left="221" w:right="225"/>
              <w:jc w:val="center"/>
              <w:rPr>
                <w:rFonts w:ascii="Arial"/>
                <w:sz w:val="20"/>
              </w:rPr>
            </w:pPr>
            <w:r>
              <w:rPr>
                <w:rFonts w:ascii="Arial"/>
                <w:sz w:val="20"/>
              </w:rPr>
              <w:t>cm x cm</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66"/>
              <w:rPr>
                <w:rFonts w:ascii="Arial"/>
                <w:sz w:val="20"/>
              </w:rPr>
            </w:pPr>
            <w:r>
              <w:rPr>
                <w:rFonts w:ascii="Arial"/>
                <w:sz w:val="20"/>
              </w:rPr>
              <w:t>5 x 3,75</w:t>
            </w:r>
          </w:p>
        </w:tc>
        <w:tc>
          <w:tcPr>
            <w:tcW w:w="1318" w:type="dxa"/>
            <w:tcBorders>
              <w:top w:val="single" w:sz="4" w:space="0" w:color="000000"/>
              <w:left w:val="single" w:sz="4" w:space="0" w:color="000000"/>
              <w:bottom w:val="single" w:sz="4" w:space="0" w:color="000000"/>
            </w:tcBorders>
          </w:tcPr>
          <w:p>
            <w:pP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1f</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337" w:hanging="1"/>
              <w:jc w:val="left"/>
              <w:rPr>
                <w:rFonts w:ascii="Arial" w:hAnsi="Arial"/>
                <w:sz w:val="20"/>
              </w:rPr>
            </w:pPr>
            <w:r>
              <w:rPr>
                <w:rFonts w:ascii="Arial" w:hAnsi="Arial"/>
                <w:sz w:val="20"/>
              </w:rPr>
              <w:t>Área de superficie específica</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110"/>
              <w:ind w:left="70" w:right="72"/>
              <w:jc w:val="center"/>
              <w:rPr>
                <w:rFonts w:ascii="Arial"/>
                <w:i/>
                <w:sz w:val="20"/>
              </w:rPr>
            </w:pPr>
            <w:r>
              <w:rPr>
                <w:rFonts w:ascii="Arial"/>
                <w:i/>
                <w:sz w:val="20"/>
              </w:rPr>
              <w:t>SSA</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78"/>
              <w:ind w:left="223" w:right="225"/>
              <w:jc w:val="center"/>
              <w:rPr>
                <w:rFonts w:ascii="Arial"/>
                <w:sz w:val="13"/>
              </w:rPr>
            </w:pPr>
            <w:r>
              <w:rPr>
                <w:rFonts w:ascii="Arial"/>
                <w:sz w:val="20"/>
              </w:rPr>
              <w:t>m</w:t>
            </w:r>
            <w:r>
              <w:rPr>
                <w:rFonts w:ascii="Arial"/>
                <w:position w:val="10"/>
                <w:sz w:val="13"/>
              </w:rPr>
              <w:t>2</w:t>
            </w:r>
            <w:r>
              <w:rPr>
                <w:rFonts w:ascii="Arial"/>
                <w:sz w:val="20"/>
              </w:rPr>
              <w:t>/m</w:t>
            </w:r>
            <w:r>
              <w:rPr>
                <w:rFonts w:ascii="Arial"/>
                <w:position w:val="10"/>
                <w:sz w:val="13"/>
              </w:rPr>
              <w:t>3</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67"/>
              <w:rPr>
                <w:rFonts w:ascii="Arial"/>
                <w:sz w:val="20"/>
              </w:rPr>
            </w:pPr>
            <w:r>
              <w:rPr>
                <w:rFonts w:ascii="Arial"/>
                <w:sz w:val="20"/>
              </w:rPr>
              <w:t>414,00</w:t>
            </w:r>
          </w:p>
        </w:tc>
        <w:tc>
          <w:tcPr>
            <w:tcW w:w="1318" w:type="dxa"/>
            <w:tcBorders>
              <w:top w:val="single" w:sz="4" w:space="0" w:color="000000"/>
              <w:left w:val="single" w:sz="4" w:space="0" w:color="000000"/>
              <w:bottom w:val="single" w:sz="4" w:space="0" w:color="000000"/>
            </w:tcBorders>
          </w:tcPr>
          <w:p>
            <w:pPr/>
          </w:p>
        </w:tc>
      </w:tr>
      <w:tr>
        <w:trPr>
          <w:trHeight w:val="310" w:hRule="exact"/>
        </w:trPr>
        <w:tc>
          <w:tcPr>
            <w:tcW w:w="8846" w:type="dxa"/>
            <w:gridSpan w:val="7"/>
            <w:tcBorders>
              <w:top w:val="single" w:sz="4" w:space="0" w:color="000000"/>
              <w:bottom w:val="single" w:sz="4" w:space="0" w:color="000000"/>
            </w:tcBorders>
          </w:tcPr>
          <w:p>
            <w:pPr>
              <w:pStyle w:val="TableParagraph"/>
              <w:spacing w:before="31"/>
              <w:ind w:left="3130" w:right="3130"/>
              <w:jc w:val="center"/>
              <w:rPr>
                <w:rFonts w:ascii="Arial" w:hAnsi="Arial"/>
                <w:sz w:val="20"/>
              </w:rPr>
            </w:pPr>
            <w:r>
              <w:rPr>
                <w:rFonts w:ascii="Arial" w:hAnsi="Arial"/>
                <w:sz w:val="20"/>
              </w:rPr>
              <w:t>Características del biofiltro</w:t>
            </w:r>
          </w:p>
        </w:tc>
      </w:tr>
      <w:tr>
        <w:trPr>
          <w:trHeight w:val="324" w:hRule="exact"/>
        </w:trPr>
        <w:tc>
          <w:tcPr>
            <w:tcW w:w="425" w:type="dxa"/>
            <w:tcBorders>
              <w:top w:val="single" w:sz="4" w:space="0" w:color="000000"/>
              <w:bottom w:val="single" w:sz="4" w:space="0" w:color="000000"/>
              <w:right w:val="single" w:sz="4" w:space="0" w:color="000000"/>
            </w:tcBorders>
          </w:tcPr>
          <w:p>
            <w:pPr>
              <w:pStyle w:val="TableParagraph"/>
              <w:spacing w:before="40"/>
              <w:ind w:left="60" w:right="0"/>
              <w:jc w:val="left"/>
              <w:rPr>
                <w:rFonts w:ascii="Arial"/>
                <w:sz w:val="20"/>
              </w:rPr>
            </w:pPr>
            <w:r>
              <w:rPr>
                <w:rFonts w:ascii="Arial"/>
                <w:sz w:val="20"/>
              </w:rPr>
              <w:t>2a</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470"/>
              <w:jc w:val="left"/>
              <w:rPr>
                <w:rFonts w:ascii="Arial"/>
                <w:sz w:val="20"/>
              </w:rPr>
            </w:pPr>
            <w:r>
              <w:rPr>
                <w:rFonts w:ascii="Arial"/>
                <w:sz w:val="20"/>
              </w:rPr>
              <w:t>Altura total</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39"/>
              <w:ind w:left="70" w:right="72"/>
              <w:jc w:val="center"/>
              <w:rPr>
                <w:rFonts w:ascii="Arial"/>
                <w:i/>
                <w:sz w:val="13"/>
              </w:rPr>
            </w:pPr>
            <w:r>
              <w:rPr>
                <w:rFonts w:ascii="Arial"/>
                <w:i/>
                <w:position w:val="3"/>
                <w:sz w:val="20"/>
              </w:rPr>
              <w:t>H</w:t>
            </w:r>
            <w:r>
              <w:rPr>
                <w:rFonts w:ascii="Arial"/>
                <w:i/>
                <w:sz w:val="13"/>
              </w:rPr>
              <w:t>tank</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40"/>
              <w:ind w:right="2"/>
              <w:jc w:val="center"/>
              <w:rPr>
                <w:rFonts w:ascii="Arial"/>
                <w:sz w:val="20"/>
              </w:rPr>
            </w:pPr>
            <w:r>
              <w:rPr>
                <w:rFonts w:ascii="Arial"/>
                <w:w w:val="99"/>
                <w:sz w:val="20"/>
              </w:rPr>
              <w:t>m</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40"/>
              <w:ind w:right="67"/>
              <w:rPr>
                <w:rFonts w:ascii="Arial"/>
                <w:sz w:val="20"/>
              </w:rPr>
            </w:pPr>
            <w:r>
              <w:rPr>
                <w:rFonts w:ascii="Arial"/>
                <w:w w:val="95"/>
                <w:sz w:val="20"/>
              </w:rPr>
              <w:t>1,10</w:t>
            </w:r>
          </w:p>
        </w:tc>
        <w:tc>
          <w:tcPr>
            <w:tcW w:w="1318" w:type="dxa"/>
            <w:tcBorders>
              <w:top w:val="single" w:sz="4" w:space="0" w:color="000000"/>
              <w:left w:val="single" w:sz="4" w:space="0" w:color="000000"/>
              <w:bottom w:val="single" w:sz="4" w:space="0" w:color="000000"/>
            </w:tcBorders>
          </w:tcPr>
          <w:p>
            <w:pPr>
              <w:pStyle w:val="TableParagraph"/>
              <w:spacing w:before="40"/>
              <w:ind w:right="60"/>
              <w:rPr>
                <w:rFonts w:ascii="Arial"/>
                <w:sz w:val="20"/>
              </w:rPr>
            </w:pPr>
            <w:r>
              <w:rPr>
                <w:rFonts w:ascii="Arial"/>
                <w:w w:val="95"/>
                <w:sz w:val="20"/>
              </w:rPr>
              <w:t>1,50</w:t>
            </w:r>
          </w:p>
        </w:tc>
      </w:tr>
      <w:tr>
        <w:trPr>
          <w:trHeight w:val="326" w:hRule="exact"/>
        </w:trPr>
        <w:tc>
          <w:tcPr>
            <w:tcW w:w="425" w:type="dxa"/>
            <w:tcBorders>
              <w:top w:val="single" w:sz="4" w:space="0" w:color="000000"/>
              <w:bottom w:val="single" w:sz="4" w:space="0" w:color="000000"/>
              <w:right w:val="single" w:sz="4" w:space="0" w:color="000000"/>
            </w:tcBorders>
          </w:tcPr>
          <w:p>
            <w:pPr>
              <w:pStyle w:val="TableParagraph"/>
              <w:spacing w:before="40"/>
              <w:ind w:left="60" w:right="0"/>
              <w:jc w:val="left"/>
              <w:rPr>
                <w:rFonts w:ascii="Arial"/>
                <w:sz w:val="20"/>
              </w:rPr>
            </w:pPr>
            <w:r>
              <w:rPr>
                <w:rFonts w:ascii="Arial"/>
                <w:sz w:val="20"/>
              </w:rPr>
              <w:t>2b</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470"/>
              <w:jc w:val="left"/>
              <w:rPr>
                <w:rFonts w:ascii="Arial"/>
                <w:sz w:val="20"/>
              </w:rPr>
            </w:pPr>
            <w:r>
              <w:rPr>
                <w:rFonts w:ascii="Arial"/>
                <w:sz w:val="20"/>
              </w:rPr>
              <w:t>Altura del agua</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39"/>
              <w:ind w:left="70" w:right="73"/>
              <w:jc w:val="center"/>
              <w:rPr>
                <w:rFonts w:ascii="Arial"/>
                <w:i/>
                <w:sz w:val="13"/>
              </w:rPr>
            </w:pPr>
            <w:r>
              <w:rPr>
                <w:rFonts w:ascii="Arial"/>
                <w:i/>
                <w:position w:val="3"/>
                <w:sz w:val="20"/>
              </w:rPr>
              <w:t>H</w:t>
            </w:r>
            <w:r>
              <w:rPr>
                <w:rFonts w:ascii="Arial"/>
                <w:i/>
                <w:sz w:val="13"/>
              </w:rPr>
              <w:t>water</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40"/>
              <w:ind w:right="2"/>
              <w:jc w:val="center"/>
              <w:rPr>
                <w:rFonts w:ascii="Arial"/>
                <w:sz w:val="20"/>
              </w:rPr>
            </w:pPr>
            <w:r>
              <w:rPr>
                <w:rFonts w:ascii="Arial"/>
                <w:w w:val="99"/>
                <w:sz w:val="20"/>
              </w:rPr>
              <w:t>m</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40"/>
              <w:ind w:right="67"/>
              <w:rPr>
                <w:rFonts w:ascii="Arial"/>
                <w:sz w:val="20"/>
              </w:rPr>
            </w:pPr>
            <w:r>
              <w:rPr>
                <w:rFonts w:ascii="Arial"/>
                <w:w w:val="95"/>
                <w:sz w:val="20"/>
              </w:rPr>
              <w:t>0,80</w:t>
            </w:r>
          </w:p>
        </w:tc>
        <w:tc>
          <w:tcPr>
            <w:tcW w:w="1318" w:type="dxa"/>
            <w:tcBorders>
              <w:top w:val="single" w:sz="4" w:space="0" w:color="000000"/>
              <w:left w:val="single" w:sz="4" w:space="0" w:color="000000"/>
              <w:bottom w:val="single" w:sz="4" w:space="0" w:color="000000"/>
            </w:tcBorders>
          </w:tcPr>
          <w:p>
            <w:pPr>
              <w:pStyle w:val="TableParagraph"/>
              <w:spacing w:before="40"/>
              <w:ind w:right="60"/>
              <w:rPr>
                <w:rFonts w:ascii="Arial"/>
                <w:sz w:val="20"/>
              </w:rPr>
            </w:pPr>
            <w:r>
              <w:rPr>
                <w:rFonts w:ascii="Arial"/>
                <w:w w:val="95"/>
                <w:sz w:val="20"/>
              </w:rPr>
              <w:t>0,90</w:t>
            </w:r>
          </w:p>
        </w:tc>
      </w:tr>
      <w:tr>
        <w:trPr>
          <w:trHeight w:val="310" w:hRule="exact"/>
        </w:trPr>
        <w:tc>
          <w:tcPr>
            <w:tcW w:w="425" w:type="dxa"/>
            <w:tcBorders>
              <w:top w:val="single" w:sz="4" w:space="0" w:color="000000"/>
              <w:bottom w:val="single" w:sz="4" w:space="0" w:color="000000"/>
              <w:right w:val="single" w:sz="4" w:space="0" w:color="000000"/>
            </w:tcBorders>
          </w:tcPr>
          <w:p>
            <w:pPr>
              <w:pStyle w:val="TableParagraph"/>
              <w:spacing w:before="31"/>
              <w:ind w:left="60" w:right="0"/>
              <w:jc w:val="left"/>
              <w:rPr>
                <w:rFonts w:ascii="Arial"/>
                <w:sz w:val="20"/>
              </w:rPr>
            </w:pPr>
            <w:r>
              <w:rPr>
                <w:rFonts w:ascii="Arial"/>
                <w:sz w:val="20"/>
              </w:rPr>
              <w:t>2d</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31"/>
              <w:ind w:left="64" w:right="337"/>
              <w:jc w:val="left"/>
              <w:rPr>
                <w:rFonts w:ascii="Arial"/>
                <w:sz w:val="20"/>
              </w:rPr>
            </w:pPr>
            <w:r>
              <w:rPr>
                <w:rFonts w:ascii="Arial"/>
                <w:sz w:val="20"/>
              </w:rPr>
              <w:t>Volumen del filtro</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ind w:left="70" w:right="70"/>
              <w:jc w:val="center"/>
              <w:rPr>
                <w:rFonts w:ascii="Arial"/>
                <w:i/>
                <w:sz w:val="13"/>
              </w:rPr>
            </w:pPr>
            <w:r>
              <w:rPr>
                <w:rFonts w:ascii="Arial"/>
                <w:i/>
                <w:sz w:val="20"/>
              </w:rPr>
              <w:t>V</w:t>
            </w:r>
            <w:r>
              <w:rPr>
                <w:rFonts w:ascii="Arial"/>
                <w:i/>
                <w:position w:val="-2"/>
                <w:sz w:val="13"/>
              </w:rPr>
              <w:t>0</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line="260" w:lineRule="exact" w:before="0"/>
              <w:ind w:left="223" w:right="225"/>
              <w:jc w:val="center"/>
              <w:rPr>
                <w:rFonts w:ascii="Arial"/>
                <w:sz w:val="13"/>
              </w:rPr>
            </w:pPr>
            <w:r>
              <w:rPr>
                <w:rFonts w:ascii="Arial"/>
                <w:position w:val="-9"/>
                <w:sz w:val="20"/>
              </w:rPr>
              <w:t>m</w:t>
            </w:r>
            <w:r>
              <w:rPr>
                <w:rFonts w:ascii="Arial"/>
                <w:sz w:val="13"/>
              </w:rPr>
              <w:t>3</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31"/>
              <w:ind w:right="67"/>
              <w:rPr>
                <w:rFonts w:ascii="Arial"/>
                <w:sz w:val="20"/>
              </w:rPr>
            </w:pPr>
            <w:r>
              <w:rPr>
                <w:rFonts w:ascii="Arial"/>
                <w:w w:val="95"/>
                <w:sz w:val="20"/>
              </w:rPr>
              <w:t>1,55</w:t>
            </w:r>
          </w:p>
        </w:tc>
        <w:tc>
          <w:tcPr>
            <w:tcW w:w="1318" w:type="dxa"/>
            <w:tcBorders>
              <w:top w:val="single" w:sz="4" w:space="0" w:color="000000"/>
              <w:left w:val="single" w:sz="4" w:space="0" w:color="000000"/>
              <w:bottom w:val="single" w:sz="4" w:space="0" w:color="000000"/>
            </w:tcBorders>
          </w:tcPr>
          <w:p>
            <w:pPr>
              <w:pStyle w:val="TableParagraph"/>
              <w:spacing w:before="31"/>
              <w:ind w:right="60"/>
              <w:rPr>
                <w:rFonts w:ascii="Arial"/>
                <w:sz w:val="20"/>
              </w:rPr>
            </w:pPr>
            <w:r>
              <w:rPr>
                <w:rFonts w:ascii="Arial"/>
                <w:w w:val="95"/>
                <w:sz w:val="20"/>
              </w:rPr>
              <w:t>2,01</w:t>
            </w:r>
          </w:p>
        </w:tc>
      </w:tr>
      <w:tr>
        <w:trPr>
          <w:trHeight w:val="324" w:hRule="exact"/>
        </w:trPr>
        <w:tc>
          <w:tcPr>
            <w:tcW w:w="425" w:type="dxa"/>
            <w:tcBorders>
              <w:top w:val="single" w:sz="4" w:space="0" w:color="000000"/>
              <w:bottom w:val="single" w:sz="4" w:space="0" w:color="000000"/>
              <w:right w:val="single" w:sz="4" w:space="0" w:color="000000"/>
            </w:tcBorders>
          </w:tcPr>
          <w:p>
            <w:pPr>
              <w:pStyle w:val="TableParagraph"/>
              <w:spacing w:before="40"/>
              <w:ind w:left="60" w:right="0"/>
              <w:jc w:val="left"/>
              <w:rPr>
                <w:rFonts w:ascii="Arial"/>
                <w:sz w:val="20"/>
              </w:rPr>
            </w:pPr>
            <w:r>
              <w:rPr>
                <w:rFonts w:ascii="Arial"/>
                <w:sz w:val="20"/>
              </w:rPr>
              <w:t>2e</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54"/>
              <w:ind w:left="64" w:right="0"/>
              <w:jc w:val="left"/>
              <w:rPr>
                <w:rFonts w:ascii="Arial" w:hAnsi="Arial"/>
                <w:sz w:val="18"/>
              </w:rPr>
            </w:pPr>
            <w:r>
              <w:rPr>
                <w:rFonts w:ascii="Arial" w:hAnsi="Arial"/>
                <w:sz w:val="18"/>
              </w:rPr>
              <w:t>Área seccional del filtro</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39"/>
              <w:ind w:left="70" w:right="74"/>
              <w:jc w:val="center"/>
              <w:rPr>
                <w:rFonts w:ascii="Arial"/>
                <w:i/>
                <w:sz w:val="13"/>
              </w:rPr>
            </w:pPr>
            <w:r>
              <w:rPr>
                <w:rFonts w:ascii="Arial"/>
                <w:i/>
                <w:position w:val="3"/>
                <w:sz w:val="20"/>
              </w:rPr>
              <w:t>A</w:t>
            </w:r>
            <w:r>
              <w:rPr>
                <w:rFonts w:ascii="Arial"/>
                <w:i/>
                <w:sz w:val="13"/>
              </w:rPr>
              <w:t>cross</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5"/>
              <w:ind w:left="223" w:right="225"/>
              <w:jc w:val="center"/>
              <w:rPr>
                <w:rFonts w:ascii="Arial"/>
                <w:sz w:val="13"/>
              </w:rPr>
            </w:pPr>
            <w:r>
              <w:rPr>
                <w:rFonts w:ascii="Arial"/>
                <w:position w:val="-9"/>
                <w:sz w:val="20"/>
              </w:rPr>
              <w:t>m</w:t>
            </w:r>
            <w:r>
              <w:rPr>
                <w:rFonts w:ascii="Arial"/>
                <w:sz w:val="13"/>
              </w:rPr>
              <w:t>2</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40"/>
              <w:ind w:right="67"/>
              <w:rPr>
                <w:rFonts w:ascii="Arial"/>
                <w:sz w:val="20"/>
              </w:rPr>
            </w:pPr>
            <w:r>
              <w:rPr>
                <w:rFonts w:ascii="Arial"/>
                <w:sz w:val="20"/>
              </w:rPr>
              <w:t>420,00</w:t>
            </w:r>
          </w:p>
        </w:tc>
        <w:tc>
          <w:tcPr>
            <w:tcW w:w="1318" w:type="dxa"/>
            <w:tcBorders>
              <w:top w:val="single" w:sz="4" w:space="0" w:color="000000"/>
              <w:left w:val="single" w:sz="4" w:space="0" w:color="000000"/>
              <w:bottom w:val="single" w:sz="4" w:space="0" w:color="000000"/>
            </w:tcBorders>
          </w:tcPr>
          <w:p>
            <w:pPr>
              <w:pStyle w:val="TableParagraph"/>
              <w:spacing w:before="40"/>
              <w:ind w:right="60"/>
              <w:rPr>
                <w:rFonts w:ascii="Arial"/>
                <w:sz w:val="20"/>
              </w:rPr>
            </w:pPr>
            <w:r>
              <w:rPr>
                <w:rFonts w:ascii="Arial"/>
                <w:sz w:val="20"/>
              </w:rPr>
              <w:t>1314,00</w:t>
            </w: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2f</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214" w:hanging="1"/>
              <w:jc w:val="left"/>
              <w:rPr>
                <w:rFonts w:ascii="Arial" w:hAnsi="Arial"/>
                <w:sz w:val="20"/>
              </w:rPr>
            </w:pPr>
            <w:r>
              <w:rPr>
                <w:rFonts w:ascii="Arial" w:hAnsi="Arial"/>
                <w:sz w:val="20"/>
              </w:rPr>
              <w:t>Área superficial activa del empaque</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111"/>
              <w:ind w:left="70" w:right="72"/>
              <w:jc w:val="center"/>
              <w:rPr>
                <w:rFonts w:ascii="Arial"/>
                <w:i/>
                <w:sz w:val="13"/>
              </w:rPr>
            </w:pPr>
            <w:r>
              <w:rPr>
                <w:rFonts w:ascii="Arial"/>
                <w:i/>
                <w:position w:val="3"/>
                <w:sz w:val="20"/>
              </w:rPr>
              <w:t>A</w:t>
            </w:r>
            <w:r>
              <w:rPr>
                <w:rFonts w:ascii="Arial"/>
                <w:i/>
                <w:sz w:val="13"/>
              </w:rPr>
              <w:t>media</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77"/>
              <w:ind w:left="223" w:right="225"/>
              <w:jc w:val="center"/>
              <w:rPr>
                <w:rFonts w:ascii="Arial"/>
                <w:sz w:val="13"/>
              </w:rPr>
            </w:pPr>
            <w:r>
              <w:rPr>
                <w:rFonts w:ascii="Arial"/>
                <w:position w:val="-9"/>
                <w:sz w:val="20"/>
              </w:rPr>
              <w:t>m</w:t>
            </w:r>
            <w:r>
              <w:rPr>
                <w:rFonts w:ascii="Arial"/>
                <w:sz w:val="13"/>
              </w:rPr>
              <w:t>2</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67"/>
              <w:rPr>
                <w:rFonts w:ascii="Arial"/>
                <w:sz w:val="20"/>
              </w:rPr>
            </w:pPr>
            <w:r>
              <w:rPr>
                <w:rFonts w:ascii="Arial"/>
                <w:sz w:val="20"/>
              </w:rPr>
              <w:t>289,80</w:t>
            </w:r>
          </w:p>
        </w:tc>
        <w:tc>
          <w:tcPr>
            <w:tcW w:w="1318" w:type="dxa"/>
            <w:tcBorders>
              <w:top w:val="single" w:sz="4" w:space="0" w:color="000000"/>
              <w:left w:val="single" w:sz="4" w:space="0" w:color="000000"/>
              <w:bottom w:val="single" w:sz="4" w:space="0" w:color="000000"/>
            </w:tcBorders>
          </w:tcPr>
          <w:p>
            <w:pPr>
              <w:pStyle w:val="TableParagraph"/>
              <w:spacing w:before="112"/>
              <w:ind w:right="60"/>
              <w:rPr>
                <w:rFonts w:ascii="Arial"/>
                <w:sz w:val="20"/>
              </w:rPr>
            </w:pPr>
            <w:r>
              <w:rPr>
                <w:rFonts w:ascii="Arial"/>
                <w:sz w:val="20"/>
              </w:rPr>
              <w:t>1314,00</w:t>
            </w:r>
          </w:p>
        </w:tc>
      </w:tr>
      <w:tr>
        <w:trPr>
          <w:trHeight w:val="326" w:hRule="exact"/>
        </w:trPr>
        <w:tc>
          <w:tcPr>
            <w:tcW w:w="425" w:type="dxa"/>
            <w:tcBorders>
              <w:top w:val="single" w:sz="4" w:space="0" w:color="000000"/>
              <w:bottom w:val="single" w:sz="4" w:space="0" w:color="000000"/>
              <w:right w:val="single" w:sz="4" w:space="0" w:color="000000"/>
            </w:tcBorders>
          </w:tcPr>
          <w:p>
            <w:pPr>
              <w:pStyle w:val="TableParagraph"/>
              <w:spacing w:before="40"/>
              <w:ind w:left="60" w:right="0"/>
              <w:jc w:val="left"/>
              <w:rPr>
                <w:rFonts w:ascii="Arial"/>
                <w:sz w:val="20"/>
              </w:rPr>
            </w:pPr>
            <w:r>
              <w:rPr>
                <w:rFonts w:ascii="Arial"/>
                <w:sz w:val="20"/>
              </w:rPr>
              <w:t>2g</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54"/>
              <w:ind w:left="64" w:right="0"/>
              <w:jc w:val="left"/>
              <w:rPr>
                <w:rFonts w:ascii="Arial"/>
                <w:sz w:val="18"/>
              </w:rPr>
            </w:pPr>
            <w:r>
              <w:rPr>
                <w:rFonts w:ascii="Arial"/>
                <w:sz w:val="18"/>
              </w:rPr>
              <w:t>Volumen del empaque</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39"/>
              <w:ind w:left="70" w:right="73"/>
              <w:jc w:val="center"/>
              <w:rPr>
                <w:rFonts w:ascii="Arial"/>
                <w:i/>
                <w:sz w:val="13"/>
              </w:rPr>
            </w:pPr>
            <w:r>
              <w:rPr>
                <w:rFonts w:ascii="Arial"/>
                <w:i/>
                <w:position w:val="3"/>
                <w:sz w:val="20"/>
              </w:rPr>
              <w:t>V</w:t>
            </w:r>
            <w:r>
              <w:rPr>
                <w:rFonts w:ascii="Arial"/>
                <w:i/>
                <w:sz w:val="13"/>
              </w:rPr>
              <w:t>media</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5"/>
              <w:ind w:left="223" w:right="225"/>
              <w:jc w:val="center"/>
              <w:rPr>
                <w:rFonts w:ascii="Arial"/>
                <w:sz w:val="13"/>
              </w:rPr>
            </w:pPr>
            <w:r>
              <w:rPr>
                <w:rFonts w:ascii="Arial"/>
                <w:position w:val="-9"/>
                <w:sz w:val="20"/>
              </w:rPr>
              <w:t>m</w:t>
            </w:r>
            <w:r>
              <w:rPr>
                <w:rFonts w:ascii="Arial"/>
                <w:sz w:val="13"/>
              </w:rPr>
              <w:t>3</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40"/>
              <w:ind w:right="67"/>
              <w:rPr>
                <w:rFonts w:ascii="Arial"/>
                <w:sz w:val="20"/>
              </w:rPr>
            </w:pPr>
            <w:r>
              <w:rPr>
                <w:rFonts w:ascii="Arial"/>
                <w:w w:val="95"/>
                <w:sz w:val="20"/>
              </w:rPr>
              <w:t>0,80</w:t>
            </w:r>
          </w:p>
        </w:tc>
        <w:tc>
          <w:tcPr>
            <w:tcW w:w="1318" w:type="dxa"/>
            <w:tcBorders>
              <w:top w:val="single" w:sz="4" w:space="0" w:color="000000"/>
              <w:left w:val="single" w:sz="4" w:space="0" w:color="000000"/>
              <w:bottom w:val="single" w:sz="4" w:space="0" w:color="000000"/>
            </w:tcBorders>
          </w:tcPr>
          <w:p>
            <w:pPr>
              <w:pStyle w:val="TableParagraph"/>
              <w:spacing w:before="40"/>
              <w:ind w:right="60"/>
              <w:rPr>
                <w:rFonts w:ascii="Arial"/>
                <w:sz w:val="20"/>
              </w:rPr>
            </w:pPr>
            <w:r>
              <w:rPr>
                <w:rFonts w:ascii="Arial"/>
                <w:w w:val="95"/>
                <w:sz w:val="20"/>
              </w:rPr>
              <w:t>0,60</w:t>
            </w:r>
          </w:p>
        </w:tc>
      </w:tr>
      <w:tr>
        <w:trPr>
          <w:trHeight w:val="468"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2h</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670"/>
              <w:jc w:val="left"/>
              <w:rPr>
                <w:rFonts w:ascii="Arial" w:hAnsi="Arial"/>
                <w:sz w:val="20"/>
              </w:rPr>
            </w:pPr>
            <w:r>
              <w:rPr>
                <w:rFonts w:ascii="Arial" w:hAnsi="Arial"/>
                <w:sz w:val="20"/>
              </w:rPr>
              <w:t>Tasa de carga hidráulica</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111"/>
              <w:ind w:left="70" w:right="70"/>
              <w:jc w:val="center"/>
              <w:rPr>
                <w:rFonts w:ascii="Arial"/>
                <w:i/>
                <w:sz w:val="13"/>
              </w:rPr>
            </w:pPr>
            <w:r>
              <w:rPr>
                <w:rFonts w:ascii="Arial"/>
                <w:i/>
                <w:position w:val="3"/>
                <w:sz w:val="20"/>
              </w:rPr>
              <w:t>L</w:t>
            </w:r>
            <w:r>
              <w:rPr>
                <w:rFonts w:ascii="Arial"/>
                <w:i/>
                <w:sz w:val="13"/>
              </w:rPr>
              <w:t>hyd</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3"/>
              <w:ind w:left="194" w:right="196"/>
              <w:jc w:val="center"/>
              <w:rPr>
                <w:rFonts w:ascii="Arial"/>
                <w:sz w:val="13"/>
              </w:rPr>
            </w:pPr>
            <w:r>
              <w:rPr>
                <w:rFonts w:ascii="Arial"/>
                <w:position w:val="3"/>
                <w:sz w:val="20"/>
              </w:rPr>
              <w:t>= Q/A</w:t>
            </w:r>
            <w:r>
              <w:rPr>
                <w:rFonts w:ascii="Arial"/>
                <w:sz w:val="13"/>
              </w:rPr>
              <w:t>cross</w:t>
            </w: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78"/>
              <w:ind w:left="221" w:right="225"/>
              <w:jc w:val="center"/>
              <w:rPr>
                <w:rFonts w:ascii="Arial"/>
                <w:sz w:val="20"/>
              </w:rPr>
            </w:pPr>
            <w:r>
              <w:rPr>
                <w:rFonts w:ascii="Arial"/>
                <w:sz w:val="20"/>
              </w:rPr>
              <w:t>m</w:t>
            </w:r>
            <w:r>
              <w:rPr>
                <w:rFonts w:ascii="Arial"/>
                <w:position w:val="10"/>
                <w:sz w:val="13"/>
              </w:rPr>
              <w:t>3</w:t>
            </w:r>
            <w:r>
              <w:rPr>
                <w:rFonts w:ascii="Arial"/>
                <w:sz w:val="20"/>
              </w:rPr>
              <w:t>/m</w:t>
            </w:r>
            <w:r>
              <w:rPr>
                <w:rFonts w:ascii="Arial"/>
                <w:position w:val="10"/>
                <w:sz w:val="13"/>
              </w:rPr>
              <w:t>2 </w:t>
            </w:r>
            <w:r>
              <w:rPr>
                <w:rFonts w:ascii="Arial"/>
                <w:sz w:val="20"/>
              </w:rPr>
              <w:t>d</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67"/>
              <w:rPr>
                <w:rFonts w:ascii="Arial"/>
                <w:sz w:val="20"/>
              </w:rPr>
            </w:pPr>
            <w:r>
              <w:rPr>
                <w:rFonts w:ascii="Arial"/>
                <w:w w:val="95"/>
                <w:sz w:val="20"/>
              </w:rPr>
              <w:t>0,43</w:t>
            </w:r>
          </w:p>
        </w:tc>
        <w:tc>
          <w:tcPr>
            <w:tcW w:w="1318" w:type="dxa"/>
            <w:tcBorders>
              <w:top w:val="single" w:sz="4" w:space="0" w:color="000000"/>
              <w:left w:val="single" w:sz="4" w:space="0" w:color="000000"/>
              <w:bottom w:val="single" w:sz="4" w:space="0" w:color="000000"/>
            </w:tcBorders>
          </w:tcPr>
          <w:p>
            <w:pPr>
              <w:pStyle w:val="TableParagraph"/>
              <w:spacing w:before="112"/>
              <w:ind w:right="60"/>
              <w:rPr>
                <w:rFonts w:ascii="Arial"/>
                <w:sz w:val="20"/>
              </w:rPr>
            </w:pPr>
            <w:r>
              <w:rPr>
                <w:rFonts w:ascii="Arial"/>
                <w:w w:val="95"/>
                <w:sz w:val="20"/>
              </w:rPr>
              <w:t>0,14</w:t>
            </w: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2i</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70"/>
              <w:jc w:val="left"/>
              <w:rPr>
                <w:rFonts w:ascii="Arial" w:hAnsi="Arial"/>
                <w:sz w:val="20"/>
              </w:rPr>
            </w:pPr>
            <w:r>
              <w:rPr>
                <w:rFonts w:ascii="Arial" w:hAnsi="Arial"/>
                <w:sz w:val="20"/>
              </w:rPr>
              <w:t>Carga hidráulica del empaque</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111"/>
              <w:ind w:left="70" w:right="70"/>
              <w:jc w:val="center"/>
              <w:rPr>
                <w:rFonts w:ascii="Arial"/>
                <w:i/>
                <w:sz w:val="13"/>
              </w:rPr>
            </w:pPr>
            <w:r>
              <w:rPr>
                <w:rFonts w:ascii="Arial"/>
                <w:i/>
                <w:position w:val="3"/>
                <w:sz w:val="20"/>
              </w:rPr>
              <w:t>L</w:t>
            </w:r>
            <w:r>
              <w:rPr>
                <w:rFonts w:ascii="Arial"/>
                <w:i/>
                <w:sz w:val="13"/>
              </w:rPr>
              <w:t>media</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3"/>
              <w:ind w:left="194" w:right="194"/>
              <w:jc w:val="center"/>
              <w:rPr>
                <w:rFonts w:ascii="Arial"/>
                <w:sz w:val="13"/>
              </w:rPr>
            </w:pPr>
            <w:r>
              <w:rPr>
                <w:rFonts w:ascii="Arial"/>
                <w:position w:val="3"/>
                <w:sz w:val="20"/>
              </w:rPr>
              <w:t>=Q/A</w:t>
            </w:r>
            <w:r>
              <w:rPr>
                <w:rFonts w:ascii="Arial"/>
                <w:sz w:val="13"/>
              </w:rPr>
              <w:t>media</w:t>
            </w: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78"/>
              <w:ind w:left="221" w:right="225"/>
              <w:jc w:val="center"/>
              <w:rPr>
                <w:rFonts w:ascii="Arial"/>
                <w:sz w:val="20"/>
              </w:rPr>
            </w:pPr>
            <w:r>
              <w:rPr>
                <w:rFonts w:ascii="Arial"/>
                <w:sz w:val="20"/>
              </w:rPr>
              <w:t>m</w:t>
            </w:r>
            <w:r>
              <w:rPr>
                <w:rFonts w:ascii="Arial"/>
                <w:position w:val="10"/>
                <w:sz w:val="13"/>
              </w:rPr>
              <w:t>3</w:t>
            </w:r>
            <w:r>
              <w:rPr>
                <w:rFonts w:ascii="Arial"/>
                <w:sz w:val="20"/>
              </w:rPr>
              <w:t>/m</w:t>
            </w:r>
            <w:r>
              <w:rPr>
                <w:rFonts w:ascii="Arial"/>
                <w:position w:val="10"/>
                <w:sz w:val="13"/>
              </w:rPr>
              <w:t>2 </w:t>
            </w:r>
            <w:r>
              <w:rPr>
                <w:rFonts w:ascii="Arial"/>
                <w:sz w:val="20"/>
              </w:rPr>
              <w:t>d</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67"/>
              <w:rPr>
                <w:rFonts w:ascii="Arial"/>
                <w:sz w:val="20"/>
              </w:rPr>
            </w:pPr>
            <w:r>
              <w:rPr>
                <w:rFonts w:ascii="Arial"/>
                <w:w w:val="95"/>
                <w:sz w:val="20"/>
              </w:rPr>
              <w:t>0,63</w:t>
            </w:r>
          </w:p>
        </w:tc>
        <w:tc>
          <w:tcPr>
            <w:tcW w:w="1318" w:type="dxa"/>
            <w:tcBorders>
              <w:top w:val="single" w:sz="4" w:space="0" w:color="000000"/>
              <w:left w:val="single" w:sz="4" w:space="0" w:color="000000"/>
              <w:bottom w:val="single" w:sz="4" w:space="0" w:color="000000"/>
            </w:tcBorders>
          </w:tcPr>
          <w:p>
            <w:pPr>
              <w:pStyle w:val="TableParagraph"/>
              <w:spacing w:before="112"/>
              <w:ind w:right="60"/>
              <w:rPr>
                <w:rFonts w:ascii="Arial"/>
                <w:sz w:val="20"/>
              </w:rPr>
            </w:pPr>
            <w:r>
              <w:rPr>
                <w:rFonts w:ascii="Arial"/>
                <w:w w:val="95"/>
                <w:sz w:val="20"/>
              </w:rPr>
              <w:t>0,14</w:t>
            </w: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2l</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58"/>
              <w:jc w:val="left"/>
              <w:rPr>
                <w:rFonts w:ascii="Arial" w:hAnsi="Arial"/>
                <w:sz w:val="20"/>
              </w:rPr>
            </w:pPr>
            <w:r>
              <w:rPr>
                <w:rFonts w:ascii="Arial" w:hAnsi="Arial"/>
                <w:sz w:val="20"/>
              </w:rPr>
              <w:t>Tipo de sistema de distribución de agua</w:t>
            </w:r>
          </w:p>
        </w:tc>
        <w:tc>
          <w:tcPr>
            <w:tcW w:w="984" w:type="dxa"/>
            <w:tcBorders>
              <w:top w:val="single" w:sz="4" w:space="0" w:color="000000"/>
              <w:left w:val="single" w:sz="4" w:space="0" w:color="000000"/>
              <w:bottom w:val="single" w:sz="4" w:space="0" w:color="000000"/>
              <w:right w:val="single" w:sz="4" w:space="0" w:color="000000"/>
            </w:tcBorders>
          </w:tcPr>
          <w:p>
            <w:pP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206"/>
              <w:jc w:val="left"/>
              <w:rPr>
                <w:rFonts w:ascii="Arial" w:hAnsi="Arial"/>
                <w:sz w:val="20"/>
              </w:rPr>
            </w:pPr>
            <w:r>
              <w:rPr>
                <w:rFonts w:ascii="Arial" w:hAnsi="Arial"/>
                <w:sz w:val="20"/>
              </w:rPr>
              <w:t>Tubería de PVC</w:t>
            </w:r>
          </w:p>
        </w:tc>
        <w:tc>
          <w:tcPr>
            <w:tcW w:w="1318" w:type="dxa"/>
            <w:tcBorders>
              <w:top w:val="single" w:sz="4" w:space="0" w:color="000000"/>
              <w:left w:val="single" w:sz="4" w:space="0" w:color="000000"/>
              <w:bottom w:val="single" w:sz="4" w:space="0" w:color="000000"/>
            </w:tcBorders>
          </w:tcPr>
          <w:p>
            <w:pPr>
              <w:pStyle w:val="TableParagraph"/>
              <w:spacing w:before="112"/>
              <w:ind w:left="65" w:right="0"/>
              <w:jc w:val="left"/>
              <w:rPr>
                <w:rFonts w:ascii="Arial"/>
                <w:sz w:val="20"/>
              </w:rPr>
            </w:pPr>
            <w:r>
              <w:rPr>
                <w:rFonts w:ascii="Arial"/>
                <w:sz w:val="20"/>
              </w:rPr>
              <w:t>Descendente</w:t>
            </w:r>
          </w:p>
        </w:tc>
      </w:tr>
      <w:tr>
        <w:trPr>
          <w:trHeight w:val="324" w:hRule="exact"/>
        </w:trPr>
        <w:tc>
          <w:tcPr>
            <w:tcW w:w="425" w:type="dxa"/>
            <w:tcBorders>
              <w:top w:val="single" w:sz="4" w:space="0" w:color="000000"/>
              <w:bottom w:val="single" w:sz="4" w:space="0" w:color="000000"/>
              <w:right w:val="single" w:sz="4" w:space="0" w:color="000000"/>
            </w:tcBorders>
          </w:tcPr>
          <w:p>
            <w:pPr>
              <w:pStyle w:val="TableParagraph"/>
              <w:spacing w:before="40"/>
              <w:ind w:left="60" w:right="0"/>
              <w:jc w:val="left"/>
              <w:rPr>
                <w:rFonts w:ascii="Arial"/>
                <w:sz w:val="20"/>
              </w:rPr>
            </w:pPr>
            <w:r>
              <w:rPr>
                <w:rFonts w:ascii="Arial"/>
                <w:sz w:val="20"/>
              </w:rPr>
              <w:t>2o</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0"/>
              <w:jc w:val="left"/>
              <w:rPr>
                <w:rFonts w:ascii="Arial"/>
                <w:sz w:val="20"/>
              </w:rPr>
            </w:pPr>
            <w:r>
              <w:rPr>
                <w:rFonts w:ascii="Arial"/>
                <w:sz w:val="20"/>
              </w:rPr>
              <w:t>Caudal del biofiltro</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39"/>
              <w:ind w:left="70" w:right="73"/>
              <w:jc w:val="center"/>
              <w:rPr>
                <w:rFonts w:ascii="Arial"/>
                <w:i/>
                <w:sz w:val="13"/>
              </w:rPr>
            </w:pPr>
            <w:r>
              <w:rPr>
                <w:rFonts w:ascii="Arial"/>
                <w:i/>
                <w:position w:val="3"/>
                <w:sz w:val="20"/>
              </w:rPr>
              <w:t>Q</w:t>
            </w:r>
            <w:r>
              <w:rPr>
                <w:rFonts w:ascii="Arial"/>
                <w:i/>
                <w:sz w:val="13"/>
              </w:rPr>
              <w:t>filter</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6"/>
              <w:ind w:left="223" w:right="224"/>
              <w:jc w:val="center"/>
              <w:rPr>
                <w:rFonts w:ascii="Arial"/>
                <w:sz w:val="20"/>
              </w:rPr>
            </w:pPr>
            <w:r>
              <w:rPr>
                <w:rFonts w:ascii="Arial"/>
                <w:sz w:val="20"/>
              </w:rPr>
              <w:t>m</w:t>
            </w:r>
            <w:r>
              <w:rPr>
                <w:rFonts w:ascii="Arial"/>
                <w:position w:val="10"/>
                <w:sz w:val="13"/>
              </w:rPr>
              <w:t>3</w:t>
            </w:r>
            <w:r>
              <w:rPr>
                <w:rFonts w:ascii="Arial"/>
                <w:sz w:val="20"/>
              </w:rPr>
              <w:t>/d</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40"/>
              <w:ind w:right="67"/>
              <w:rPr>
                <w:rFonts w:ascii="Arial"/>
                <w:sz w:val="20"/>
              </w:rPr>
            </w:pPr>
            <w:r>
              <w:rPr>
                <w:rFonts w:ascii="Arial"/>
                <w:sz w:val="20"/>
              </w:rPr>
              <w:t>181,44</w:t>
            </w:r>
          </w:p>
        </w:tc>
        <w:tc>
          <w:tcPr>
            <w:tcW w:w="1318" w:type="dxa"/>
            <w:tcBorders>
              <w:top w:val="single" w:sz="4" w:space="0" w:color="000000"/>
              <w:left w:val="single" w:sz="4" w:space="0" w:color="000000"/>
              <w:bottom w:val="single" w:sz="4" w:space="0" w:color="000000"/>
            </w:tcBorders>
          </w:tcPr>
          <w:p>
            <w:pPr>
              <w:pStyle w:val="TableParagraph"/>
              <w:spacing w:before="40"/>
              <w:ind w:right="60"/>
              <w:rPr>
                <w:rFonts w:ascii="Arial"/>
                <w:sz w:val="20"/>
              </w:rPr>
            </w:pPr>
            <w:r>
              <w:rPr>
                <w:rFonts w:ascii="Arial"/>
                <w:sz w:val="20"/>
              </w:rPr>
              <w:t>181,44</w:t>
            </w:r>
          </w:p>
        </w:tc>
      </w:tr>
      <w:tr>
        <w:trPr>
          <w:trHeight w:val="470" w:hRule="exact"/>
        </w:trPr>
        <w:tc>
          <w:tcPr>
            <w:tcW w:w="425" w:type="dxa"/>
            <w:tcBorders>
              <w:top w:val="single" w:sz="4" w:space="0" w:color="000000"/>
              <w:bottom w:val="single" w:sz="4" w:space="0" w:color="000000"/>
              <w:right w:val="single" w:sz="4" w:space="0" w:color="000000"/>
            </w:tcBorders>
          </w:tcPr>
          <w:p>
            <w:pPr>
              <w:pStyle w:val="TableParagraph"/>
              <w:spacing w:before="112"/>
              <w:ind w:left="60" w:right="0"/>
              <w:jc w:val="left"/>
              <w:rPr>
                <w:rFonts w:ascii="Arial"/>
                <w:sz w:val="20"/>
              </w:rPr>
            </w:pPr>
            <w:r>
              <w:rPr>
                <w:rFonts w:ascii="Arial"/>
                <w:sz w:val="20"/>
              </w:rPr>
              <w:t>2p</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536"/>
              <w:jc w:val="left"/>
              <w:rPr>
                <w:rFonts w:ascii="Arial"/>
                <w:sz w:val="20"/>
              </w:rPr>
            </w:pPr>
            <w:r>
              <w:rPr>
                <w:rFonts w:ascii="Arial"/>
                <w:sz w:val="20"/>
              </w:rPr>
              <w:t>Caudal de agua tratada</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111"/>
              <w:ind w:left="70" w:right="70"/>
              <w:jc w:val="center"/>
              <w:rPr>
                <w:rFonts w:ascii="Arial"/>
                <w:i/>
                <w:sz w:val="13"/>
              </w:rPr>
            </w:pPr>
            <w:r>
              <w:rPr>
                <w:rFonts w:ascii="Arial"/>
                <w:i/>
                <w:position w:val="3"/>
                <w:sz w:val="20"/>
              </w:rPr>
              <w:t>Q</w:t>
            </w:r>
            <w:r>
              <w:rPr>
                <w:rFonts w:ascii="Arial"/>
                <w:i/>
                <w:sz w:val="13"/>
              </w:rPr>
              <w:t>mu</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78"/>
              <w:ind w:left="223" w:right="223"/>
              <w:jc w:val="center"/>
              <w:rPr>
                <w:rFonts w:ascii="Arial"/>
                <w:sz w:val="20"/>
              </w:rPr>
            </w:pPr>
            <w:r>
              <w:rPr>
                <w:rFonts w:ascii="Arial"/>
                <w:sz w:val="20"/>
              </w:rPr>
              <w:t>m</w:t>
            </w:r>
            <w:r>
              <w:rPr>
                <w:rFonts w:ascii="Arial"/>
                <w:position w:val="10"/>
                <w:sz w:val="13"/>
              </w:rPr>
              <w:t>3</w:t>
            </w:r>
            <w:r>
              <w:rPr>
                <w:rFonts w:ascii="Arial"/>
                <w:sz w:val="20"/>
              </w:rPr>
              <w:t>/d</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112"/>
              <w:ind w:right="67"/>
              <w:rPr>
                <w:rFonts w:ascii="Arial"/>
                <w:sz w:val="20"/>
              </w:rPr>
            </w:pPr>
            <w:r>
              <w:rPr>
                <w:rFonts w:ascii="Arial"/>
                <w:sz w:val="20"/>
              </w:rPr>
              <w:t>181,44</w:t>
            </w:r>
          </w:p>
        </w:tc>
        <w:tc>
          <w:tcPr>
            <w:tcW w:w="1318" w:type="dxa"/>
            <w:tcBorders>
              <w:top w:val="single" w:sz="4" w:space="0" w:color="000000"/>
              <w:left w:val="single" w:sz="4" w:space="0" w:color="000000"/>
              <w:bottom w:val="single" w:sz="4" w:space="0" w:color="000000"/>
            </w:tcBorders>
          </w:tcPr>
          <w:p>
            <w:pPr>
              <w:pStyle w:val="TableParagraph"/>
              <w:spacing w:before="112"/>
              <w:ind w:right="60"/>
              <w:rPr>
                <w:rFonts w:ascii="Arial"/>
                <w:sz w:val="20"/>
              </w:rPr>
            </w:pPr>
            <w:r>
              <w:rPr>
                <w:rFonts w:ascii="Arial"/>
                <w:sz w:val="20"/>
              </w:rPr>
              <w:t>181,44</w:t>
            </w:r>
          </w:p>
        </w:tc>
      </w:tr>
      <w:tr>
        <w:trPr>
          <w:trHeight w:val="326" w:hRule="exact"/>
        </w:trPr>
        <w:tc>
          <w:tcPr>
            <w:tcW w:w="425" w:type="dxa"/>
            <w:tcBorders>
              <w:top w:val="single" w:sz="4" w:space="0" w:color="000000"/>
              <w:bottom w:val="single" w:sz="4" w:space="0" w:color="000000"/>
              <w:right w:val="single" w:sz="4" w:space="0" w:color="000000"/>
            </w:tcBorders>
          </w:tcPr>
          <w:p>
            <w:pPr>
              <w:pStyle w:val="TableParagraph"/>
              <w:spacing w:before="40"/>
              <w:ind w:left="60" w:right="0"/>
              <w:jc w:val="left"/>
              <w:rPr>
                <w:rFonts w:ascii="Arial"/>
                <w:sz w:val="20"/>
              </w:rPr>
            </w:pPr>
            <w:r>
              <w:rPr>
                <w:rFonts w:ascii="Arial"/>
                <w:sz w:val="20"/>
              </w:rPr>
              <w:t>2q</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337"/>
              <w:jc w:val="left"/>
              <w:rPr>
                <w:rFonts w:ascii="Arial"/>
                <w:sz w:val="20"/>
              </w:rPr>
            </w:pPr>
            <w:r>
              <w:rPr>
                <w:rFonts w:ascii="Arial"/>
                <w:sz w:val="20"/>
              </w:rPr>
              <w:t>Caudal estanque</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39"/>
              <w:ind w:left="70" w:right="70"/>
              <w:jc w:val="center"/>
              <w:rPr>
                <w:rFonts w:ascii="Arial"/>
                <w:i/>
                <w:sz w:val="13"/>
              </w:rPr>
            </w:pPr>
            <w:r>
              <w:rPr>
                <w:rFonts w:ascii="Arial"/>
                <w:i/>
                <w:position w:val="3"/>
                <w:sz w:val="20"/>
              </w:rPr>
              <w:t>Q</w:t>
            </w:r>
            <w:r>
              <w:rPr>
                <w:rFonts w:ascii="Arial"/>
                <w:i/>
                <w:sz w:val="13"/>
              </w:rPr>
              <w:t>ru</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6"/>
              <w:ind w:left="223" w:right="223"/>
              <w:jc w:val="center"/>
              <w:rPr>
                <w:rFonts w:ascii="Arial"/>
                <w:sz w:val="20"/>
              </w:rPr>
            </w:pPr>
            <w:r>
              <w:rPr>
                <w:rFonts w:ascii="Arial"/>
                <w:sz w:val="20"/>
              </w:rPr>
              <w:t>m</w:t>
            </w:r>
            <w:r>
              <w:rPr>
                <w:rFonts w:ascii="Arial"/>
                <w:position w:val="10"/>
                <w:sz w:val="13"/>
              </w:rPr>
              <w:t>3</w:t>
            </w:r>
            <w:r>
              <w:rPr>
                <w:rFonts w:ascii="Arial"/>
                <w:sz w:val="20"/>
              </w:rPr>
              <w:t>/d</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40"/>
              <w:ind w:right="67"/>
              <w:rPr>
                <w:rFonts w:ascii="Arial"/>
                <w:sz w:val="20"/>
              </w:rPr>
            </w:pPr>
            <w:r>
              <w:rPr>
                <w:rFonts w:ascii="Arial"/>
                <w:sz w:val="20"/>
              </w:rPr>
              <w:t>181,44</w:t>
            </w:r>
          </w:p>
        </w:tc>
        <w:tc>
          <w:tcPr>
            <w:tcW w:w="1318" w:type="dxa"/>
            <w:tcBorders>
              <w:top w:val="single" w:sz="4" w:space="0" w:color="000000"/>
              <w:left w:val="single" w:sz="4" w:space="0" w:color="000000"/>
              <w:bottom w:val="single" w:sz="4" w:space="0" w:color="000000"/>
            </w:tcBorders>
          </w:tcPr>
          <w:p>
            <w:pPr>
              <w:pStyle w:val="TableParagraph"/>
              <w:spacing w:before="40"/>
              <w:ind w:right="60"/>
              <w:rPr>
                <w:rFonts w:ascii="Arial"/>
                <w:sz w:val="20"/>
              </w:rPr>
            </w:pPr>
            <w:r>
              <w:rPr>
                <w:rFonts w:ascii="Arial"/>
                <w:sz w:val="20"/>
              </w:rPr>
              <w:t>181,44</w:t>
            </w:r>
          </w:p>
        </w:tc>
      </w:tr>
      <w:tr>
        <w:trPr>
          <w:trHeight w:val="324" w:hRule="exact"/>
        </w:trPr>
        <w:tc>
          <w:tcPr>
            <w:tcW w:w="425" w:type="dxa"/>
            <w:tcBorders>
              <w:top w:val="single" w:sz="4" w:space="0" w:color="000000"/>
              <w:bottom w:val="single" w:sz="4" w:space="0" w:color="000000"/>
              <w:right w:val="single" w:sz="4" w:space="0" w:color="000000"/>
            </w:tcBorders>
          </w:tcPr>
          <w:p>
            <w:pPr>
              <w:pStyle w:val="TableParagraph"/>
              <w:spacing w:before="40"/>
              <w:ind w:left="60" w:right="0"/>
              <w:jc w:val="left"/>
              <w:rPr>
                <w:rFonts w:ascii="Arial"/>
                <w:sz w:val="20"/>
              </w:rPr>
            </w:pPr>
            <w:r>
              <w:rPr>
                <w:rFonts w:ascii="Arial"/>
                <w:sz w:val="20"/>
              </w:rPr>
              <w:t>2r</w:t>
            </w:r>
          </w:p>
        </w:tc>
        <w:tc>
          <w:tcPr>
            <w:tcW w:w="2042" w:type="dxa"/>
            <w:tcBorders>
              <w:top w:val="single" w:sz="4" w:space="0" w:color="000000"/>
              <w:left w:val="single" w:sz="4" w:space="0" w:color="000000"/>
              <w:bottom w:val="single" w:sz="4" w:space="0" w:color="000000"/>
              <w:right w:val="single" w:sz="4" w:space="0" w:color="000000"/>
            </w:tcBorders>
          </w:tcPr>
          <w:p>
            <w:pPr>
              <w:pStyle w:val="TableParagraph"/>
              <w:spacing w:before="40"/>
              <w:ind w:left="64" w:right="337"/>
              <w:jc w:val="left"/>
              <w:rPr>
                <w:rFonts w:ascii="Arial"/>
                <w:sz w:val="20"/>
              </w:rPr>
            </w:pPr>
            <w:r>
              <w:rPr>
                <w:rFonts w:ascii="Arial"/>
                <w:sz w:val="20"/>
              </w:rPr>
              <w:t>Caudal reciclado</w:t>
            </w:r>
          </w:p>
        </w:tc>
        <w:tc>
          <w:tcPr>
            <w:tcW w:w="984" w:type="dxa"/>
            <w:tcBorders>
              <w:top w:val="single" w:sz="4" w:space="0" w:color="000000"/>
              <w:left w:val="single" w:sz="4" w:space="0" w:color="000000"/>
              <w:bottom w:val="single" w:sz="4" w:space="0" w:color="000000"/>
              <w:right w:val="single" w:sz="4" w:space="0" w:color="000000"/>
            </w:tcBorders>
          </w:tcPr>
          <w:p>
            <w:pPr>
              <w:pStyle w:val="TableParagraph"/>
              <w:spacing w:before="39"/>
              <w:ind w:left="70" w:right="70"/>
              <w:jc w:val="center"/>
              <w:rPr>
                <w:rFonts w:ascii="Arial"/>
                <w:i/>
                <w:sz w:val="13"/>
              </w:rPr>
            </w:pPr>
            <w:r>
              <w:rPr>
                <w:rFonts w:ascii="Arial"/>
                <w:i/>
                <w:position w:val="3"/>
                <w:sz w:val="20"/>
              </w:rPr>
              <w:t>Q</w:t>
            </w:r>
            <w:r>
              <w:rPr>
                <w:rFonts w:ascii="Arial"/>
                <w:i/>
                <w:sz w:val="13"/>
              </w:rPr>
              <w:t>reuse</w:t>
            </w:r>
          </w:p>
        </w:tc>
        <w:tc>
          <w:tcPr>
            <w:tcW w:w="1267" w:type="dxa"/>
            <w:tcBorders>
              <w:top w:val="single" w:sz="4" w:space="0" w:color="000000"/>
              <w:left w:val="single" w:sz="4" w:space="0" w:color="000000"/>
              <w:bottom w:val="single" w:sz="4" w:space="0" w:color="000000"/>
              <w:right w:val="single" w:sz="4" w:space="0" w:color="000000"/>
            </w:tcBorders>
          </w:tcPr>
          <w:p>
            <w:pPr/>
          </w:p>
        </w:tc>
        <w:tc>
          <w:tcPr>
            <w:tcW w:w="1543" w:type="dxa"/>
            <w:tcBorders>
              <w:top w:val="single" w:sz="4" w:space="0" w:color="000000"/>
              <w:left w:val="single" w:sz="4" w:space="0" w:color="000000"/>
              <w:bottom w:val="single" w:sz="4" w:space="0" w:color="000000"/>
              <w:right w:val="single" w:sz="4" w:space="0" w:color="000000"/>
            </w:tcBorders>
          </w:tcPr>
          <w:p>
            <w:pPr>
              <w:pStyle w:val="TableParagraph"/>
              <w:spacing w:before="6"/>
              <w:ind w:left="223" w:right="223"/>
              <w:jc w:val="center"/>
              <w:rPr>
                <w:rFonts w:ascii="Arial"/>
                <w:sz w:val="20"/>
              </w:rPr>
            </w:pPr>
            <w:r>
              <w:rPr>
                <w:rFonts w:ascii="Arial"/>
                <w:sz w:val="20"/>
              </w:rPr>
              <w:t>m</w:t>
            </w:r>
            <w:r>
              <w:rPr>
                <w:rFonts w:ascii="Arial"/>
                <w:position w:val="10"/>
                <w:sz w:val="13"/>
              </w:rPr>
              <w:t>3</w:t>
            </w:r>
            <w:r>
              <w:rPr>
                <w:rFonts w:ascii="Arial"/>
                <w:sz w:val="20"/>
              </w:rPr>
              <w:t>/d</w:t>
            </w:r>
          </w:p>
        </w:tc>
        <w:tc>
          <w:tcPr>
            <w:tcW w:w="1267" w:type="dxa"/>
            <w:tcBorders>
              <w:top w:val="single" w:sz="4" w:space="0" w:color="000000"/>
              <w:left w:val="single" w:sz="4" w:space="0" w:color="000000"/>
              <w:bottom w:val="single" w:sz="4" w:space="0" w:color="000000"/>
              <w:right w:val="single" w:sz="4" w:space="0" w:color="000000"/>
            </w:tcBorders>
          </w:tcPr>
          <w:p>
            <w:pPr>
              <w:pStyle w:val="TableParagraph"/>
              <w:spacing w:before="40"/>
              <w:ind w:right="67"/>
              <w:rPr>
                <w:rFonts w:ascii="Arial"/>
                <w:sz w:val="20"/>
              </w:rPr>
            </w:pPr>
            <w:r>
              <w:rPr>
                <w:rFonts w:ascii="Arial"/>
                <w:sz w:val="20"/>
              </w:rPr>
              <w:t>181,34</w:t>
            </w:r>
          </w:p>
        </w:tc>
        <w:tc>
          <w:tcPr>
            <w:tcW w:w="1318" w:type="dxa"/>
            <w:tcBorders>
              <w:top w:val="single" w:sz="4" w:space="0" w:color="000000"/>
              <w:left w:val="single" w:sz="4" w:space="0" w:color="000000"/>
              <w:bottom w:val="single" w:sz="4" w:space="0" w:color="000000"/>
            </w:tcBorders>
          </w:tcPr>
          <w:p>
            <w:pPr>
              <w:pStyle w:val="TableParagraph"/>
              <w:spacing w:before="40"/>
              <w:ind w:right="60"/>
              <w:rPr>
                <w:rFonts w:ascii="Arial"/>
                <w:sz w:val="20"/>
              </w:rPr>
            </w:pPr>
            <w:r>
              <w:rPr>
                <w:rFonts w:ascii="Arial"/>
                <w:sz w:val="20"/>
              </w:rPr>
              <w:t>181,34</w:t>
            </w:r>
          </w:p>
        </w:tc>
      </w:tr>
      <w:tr>
        <w:trPr>
          <w:trHeight w:val="346" w:hRule="exact"/>
        </w:trPr>
        <w:tc>
          <w:tcPr>
            <w:tcW w:w="425" w:type="dxa"/>
            <w:tcBorders>
              <w:top w:val="single" w:sz="4" w:space="0" w:color="000000"/>
              <w:right w:val="single" w:sz="4" w:space="0" w:color="000000"/>
            </w:tcBorders>
          </w:tcPr>
          <w:p>
            <w:pPr>
              <w:pStyle w:val="TableParagraph"/>
              <w:spacing w:before="47"/>
              <w:ind w:left="60" w:right="0"/>
              <w:jc w:val="left"/>
              <w:rPr>
                <w:rFonts w:ascii="Arial"/>
                <w:sz w:val="20"/>
              </w:rPr>
            </w:pPr>
            <w:r>
              <w:rPr>
                <w:rFonts w:ascii="Arial"/>
                <w:sz w:val="20"/>
              </w:rPr>
              <w:t>2t</w:t>
            </w:r>
          </w:p>
        </w:tc>
        <w:tc>
          <w:tcPr>
            <w:tcW w:w="2042" w:type="dxa"/>
            <w:tcBorders>
              <w:top w:val="single" w:sz="4" w:space="0" w:color="000000"/>
              <w:left w:val="single" w:sz="4" w:space="0" w:color="000000"/>
              <w:right w:val="single" w:sz="4" w:space="0" w:color="000000"/>
            </w:tcBorders>
          </w:tcPr>
          <w:p>
            <w:pPr>
              <w:pStyle w:val="TableParagraph"/>
              <w:spacing w:before="47"/>
              <w:ind w:left="64" w:right="0"/>
              <w:jc w:val="left"/>
              <w:rPr>
                <w:rFonts w:ascii="Arial"/>
                <w:sz w:val="20"/>
              </w:rPr>
            </w:pPr>
            <w:r>
              <w:rPr>
                <w:rFonts w:ascii="Arial"/>
                <w:sz w:val="20"/>
              </w:rPr>
              <w:t>Caudal de descarga</w:t>
            </w:r>
          </w:p>
        </w:tc>
        <w:tc>
          <w:tcPr>
            <w:tcW w:w="984" w:type="dxa"/>
            <w:tcBorders>
              <w:top w:val="single" w:sz="4" w:space="0" w:color="000000"/>
              <w:left w:val="single" w:sz="4" w:space="0" w:color="000000"/>
              <w:right w:val="single" w:sz="4" w:space="0" w:color="000000"/>
            </w:tcBorders>
          </w:tcPr>
          <w:p>
            <w:pPr>
              <w:pStyle w:val="TableParagraph"/>
              <w:spacing w:before="46"/>
              <w:ind w:left="70" w:right="70"/>
              <w:jc w:val="center"/>
              <w:rPr>
                <w:rFonts w:ascii="Arial"/>
                <w:i/>
                <w:sz w:val="13"/>
              </w:rPr>
            </w:pPr>
            <w:r>
              <w:rPr>
                <w:rFonts w:ascii="Arial"/>
                <w:i/>
                <w:position w:val="3"/>
                <w:sz w:val="20"/>
              </w:rPr>
              <w:t>Q</w:t>
            </w:r>
            <w:r>
              <w:rPr>
                <w:rFonts w:ascii="Arial"/>
                <w:i/>
                <w:sz w:val="13"/>
              </w:rPr>
              <w:t>out</w:t>
            </w:r>
          </w:p>
        </w:tc>
        <w:tc>
          <w:tcPr>
            <w:tcW w:w="1267" w:type="dxa"/>
            <w:tcBorders>
              <w:top w:val="single" w:sz="4" w:space="0" w:color="000000"/>
              <w:left w:val="single" w:sz="4" w:space="0" w:color="000000"/>
              <w:right w:val="single" w:sz="4" w:space="0" w:color="000000"/>
            </w:tcBorders>
          </w:tcPr>
          <w:p>
            <w:pPr/>
          </w:p>
        </w:tc>
        <w:tc>
          <w:tcPr>
            <w:tcW w:w="1543" w:type="dxa"/>
            <w:tcBorders>
              <w:top w:val="single" w:sz="4" w:space="0" w:color="000000"/>
              <w:left w:val="single" w:sz="4" w:space="0" w:color="000000"/>
              <w:right w:val="single" w:sz="4" w:space="0" w:color="000000"/>
            </w:tcBorders>
          </w:tcPr>
          <w:p>
            <w:pPr>
              <w:pStyle w:val="TableParagraph"/>
              <w:spacing w:before="13"/>
              <w:ind w:left="223" w:right="223"/>
              <w:jc w:val="center"/>
              <w:rPr>
                <w:rFonts w:ascii="Arial"/>
                <w:sz w:val="20"/>
              </w:rPr>
            </w:pPr>
            <w:r>
              <w:rPr>
                <w:rFonts w:ascii="Arial"/>
                <w:sz w:val="20"/>
              </w:rPr>
              <w:t>m</w:t>
            </w:r>
            <w:r>
              <w:rPr>
                <w:rFonts w:ascii="Arial"/>
                <w:position w:val="10"/>
                <w:sz w:val="13"/>
              </w:rPr>
              <w:t>3</w:t>
            </w:r>
            <w:r>
              <w:rPr>
                <w:rFonts w:ascii="Arial"/>
                <w:sz w:val="20"/>
              </w:rPr>
              <w:t>/d</w:t>
            </w:r>
          </w:p>
        </w:tc>
        <w:tc>
          <w:tcPr>
            <w:tcW w:w="1267" w:type="dxa"/>
            <w:tcBorders>
              <w:top w:val="single" w:sz="4" w:space="0" w:color="000000"/>
              <w:left w:val="single" w:sz="4" w:space="0" w:color="000000"/>
              <w:right w:val="single" w:sz="4" w:space="0" w:color="000000"/>
            </w:tcBorders>
          </w:tcPr>
          <w:p>
            <w:pPr>
              <w:pStyle w:val="TableParagraph"/>
              <w:spacing w:before="47"/>
              <w:ind w:right="67"/>
              <w:rPr>
                <w:rFonts w:ascii="Arial"/>
                <w:sz w:val="20"/>
              </w:rPr>
            </w:pPr>
            <w:r>
              <w:rPr>
                <w:rFonts w:ascii="Arial"/>
                <w:w w:val="95"/>
                <w:sz w:val="20"/>
              </w:rPr>
              <w:t>0,10</w:t>
            </w:r>
          </w:p>
        </w:tc>
        <w:tc>
          <w:tcPr>
            <w:tcW w:w="1318" w:type="dxa"/>
            <w:tcBorders>
              <w:top w:val="single" w:sz="4" w:space="0" w:color="000000"/>
              <w:left w:val="single" w:sz="4" w:space="0" w:color="000000"/>
            </w:tcBorders>
          </w:tcPr>
          <w:p>
            <w:pPr>
              <w:pStyle w:val="TableParagraph"/>
              <w:spacing w:before="47"/>
              <w:ind w:right="60"/>
              <w:rPr>
                <w:rFonts w:ascii="Arial"/>
                <w:sz w:val="20"/>
              </w:rPr>
            </w:pPr>
            <w:r>
              <w:rPr>
                <w:rFonts w:ascii="Arial"/>
                <w:w w:val="95"/>
                <w:sz w:val="20"/>
              </w:rPr>
              <w:t>0,10</w:t>
            </w:r>
          </w:p>
        </w:tc>
      </w:tr>
    </w:tbl>
    <w:p>
      <w:pPr>
        <w:spacing w:after="0"/>
        <w:rPr>
          <w:rFonts w:ascii="Arial"/>
          <w:sz w:val="20"/>
        </w:rPr>
        <w:sectPr>
          <w:pgSz w:w="12240" w:h="15840"/>
          <w:pgMar w:header="725" w:footer="1084" w:top="1340" w:bottom="1280" w:left="920" w:right="1200"/>
        </w:sectPr>
      </w:pPr>
    </w:p>
    <w:p>
      <w:pPr>
        <w:pStyle w:val="BodyText"/>
        <w:spacing w:before="10"/>
        <w:rPr>
          <w:b/>
          <w:sz w:val="14"/>
        </w:rPr>
      </w:pPr>
    </w:p>
    <w:p>
      <w:pPr>
        <w:spacing w:before="0"/>
        <w:ind w:left="2598" w:right="948" w:firstLine="0"/>
        <w:jc w:val="left"/>
        <w:rPr>
          <w:b/>
          <w:sz w:val="18"/>
        </w:rPr>
      </w:pPr>
      <w:r>
        <w:rPr>
          <w:b/>
          <w:sz w:val="18"/>
        </w:rPr>
        <w:t>Tabla 19. Características generales del influente y del cultivo</w:t>
      </w:r>
    </w:p>
    <w:p>
      <w:pPr>
        <w:pStyle w:val="BodyText"/>
        <w:spacing w:before="10"/>
        <w:rPr>
          <w:b/>
          <w:sz w:val="10"/>
        </w:rPr>
      </w:pPr>
    </w:p>
    <w:tbl>
      <w:tblPr>
        <w:tblW w:w="0" w:type="auto"/>
        <w:jc w:val="left"/>
        <w:tblInd w:w="75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581"/>
        <w:gridCol w:w="1985"/>
        <w:gridCol w:w="936"/>
        <w:gridCol w:w="1320"/>
        <w:gridCol w:w="1548"/>
        <w:gridCol w:w="1397"/>
        <w:gridCol w:w="1310"/>
      </w:tblGrid>
      <w:tr>
        <w:trPr>
          <w:trHeight w:val="492" w:hRule="exact"/>
        </w:trPr>
        <w:tc>
          <w:tcPr>
            <w:tcW w:w="2566" w:type="dxa"/>
            <w:gridSpan w:val="2"/>
            <w:tcBorders>
              <w:bottom w:val="double" w:sz="6" w:space="0" w:color="000000"/>
              <w:right w:val="single" w:sz="4" w:space="0" w:color="000000"/>
            </w:tcBorders>
          </w:tcPr>
          <w:p>
            <w:pPr>
              <w:pStyle w:val="TableParagraph"/>
              <w:spacing w:before="112"/>
              <w:ind w:left="777" w:right="279"/>
              <w:jc w:val="left"/>
              <w:rPr>
                <w:rFonts w:ascii="Arial" w:hAnsi="Arial"/>
                <w:b/>
                <w:i/>
                <w:sz w:val="20"/>
              </w:rPr>
            </w:pPr>
            <w:r>
              <w:rPr>
                <w:rFonts w:ascii="Arial" w:hAnsi="Arial"/>
                <w:b/>
                <w:i/>
                <w:sz w:val="20"/>
              </w:rPr>
              <w:t>Parámetro</w:t>
            </w:r>
          </w:p>
        </w:tc>
        <w:tc>
          <w:tcPr>
            <w:tcW w:w="936" w:type="dxa"/>
            <w:tcBorders>
              <w:left w:val="single" w:sz="4" w:space="0" w:color="000000"/>
              <w:bottom w:val="double" w:sz="6" w:space="0" w:color="000000"/>
              <w:right w:val="single" w:sz="4" w:space="0" w:color="000000"/>
            </w:tcBorders>
          </w:tcPr>
          <w:p>
            <w:pPr>
              <w:pStyle w:val="TableParagraph"/>
              <w:spacing w:before="112"/>
              <w:ind w:right="70"/>
              <w:rPr>
                <w:rFonts w:ascii="Arial" w:hAnsi="Arial"/>
                <w:b/>
                <w:i/>
                <w:sz w:val="20"/>
              </w:rPr>
            </w:pPr>
            <w:r>
              <w:rPr>
                <w:rFonts w:ascii="Arial" w:hAnsi="Arial"/>
                <w:b/>
                <w:i/>
                <w:w w:val="95"/>
                <w:sz w:val="20"/>
              </w:rPr>
              <w:t>Símbolo</w:t>
            </w:r>
          </w:p>
        </w:tc>
        <w:tc>
          <w:tcPr>
            <w:tcW w:w="1320" w:type="dxa"/>
            <w:tcBorders>
              <w:left w:val="single" w:sz="4" w:space="0" w:color="000000"/>
              <w:bottom w:val="double" w:sz="6" w:space="0" w:color="000000"/>
              <w:right w:val="single" w:sz="4" w:space="0" w:color="000000"/>
            </w:tcBorders>
          </w:tcPr>
          <w:p>
            <w:pPr>
              <w:pStyle w:val="TableParagraph"/>
              <w:spacing w:before="112"/>
              <w:ind w:left="107" w:right="114"/>
              <w:jc w:val="center"/>
              <w:rPr>
                <w:rFonts w:ascii="Arial" w:hAnsi="Arial"/>
                <w:b/>
                <w:i/>
                <w:sz w:val="20"/>
              </w:rPr>
            </w:pPr>
            <w:r>
              <w:rPr>
                <w:rFonts w:ascii="Arial" w:hAnsi="Arial"/>
                <w:b/>
                <w:i/>
                <w:sz w:val="20"/>
              </w:rPr>
              <w:t>Fórmula</w:t>
            </w:r>
          </w:p>
        </w:tc>
        <w:tc>
          <w:tcPr>
            <w:tcW w:w="1548" w:type="dxa"/>
            <w:tcBorders>
              <w:left w:val="single" w:sz="4" w:space="0" w:color="000000"/>
              <w:bottom w:val="double" w:sz="6" w:space="0" w:color="000000"/>
              <w:right w:val="single" w:sz="4" w:space="0" w:color="000000"/>
            </w:tcBorders>
          </w:tcPr>
          <w:p>
            <w:pPr>
              <w:pStyle w:val="TableParagraph"/>
              <w:spacing w:before="112"/>
              <w:ind w:left="213" w:right="217"/>
              <w:jc w:val="center"/>
              <w:rPr>
                <w:rFonts w:ascii="Arial"/>
                <w:b/>
                <w:i/>
                <w:sz w:val="20"/>
              </w:rPr>
            </w:pPr>
            <w:r>
              <w:rPr>
                <w:rFonts w:ascii="Arial"/>
                <w:b/>
                <w:i/>
                <w:sz w:val="20"/>
              </w:rPr>
              <w:t>Unidades</w:t>
            </w:r>
          </w:p>
        </w:tc>
        <w:tc>
          <w:tcPr>
            <w:tcW w:w="1397" w:type="dxa"/>
            <w:tcBorders>
              <w:left w:val="single" w:sz="4" w:space="0" w:color="000000"/>
              <w:bottom w:val="double" w:sz="6" w:space="0" w:color="000000"/>
              <w:right w:val="single" w:sz="4" w:space="0" w:color="000000"/>
            </w:tcBorders>
          </w:tcPr>
          <w:p>
            <w:pPr>
              <w:pStyle w:val="TableParagraph"/>
              <w:spacing w:before="112"/>
              <w:ind w:left="170" w:right="0"/>
              <w:jc w:val="left"/>
              <w:rPr>
                <w:rFonts w:ascii="Arial"/>
                <w:b/>
                <w:i/>
                <w:sz w:val="20"/>
              </w:rPr>
            </w:pPr>
            <w:r>
              <w:rPr>
                <w:rFonts w:ascii="Arial"/>
                <w:b/>
                <w:i/>
                <w:sz w:val="20"/>
              </w:rPr>
              <w:t>Percolador</w:t>
            </w:r>
          </w:p>
        </w:tc>
        <w:tc>
          <w:tcPr>
            <w:tcW w:w="1310" w:type="dxa"/>
            <w:tcBorders>
              <w:left w:val="single" w:sz="4" w:space="0" w:color="000000"/>
              <w:bottom w:val="double" w:sz="6" w:space="0" w:color="000000"/>
            </w:tcBorders>
          </w:tcPr>
          <w:p>
            <w:pPr>
              <w:pStyle w:val="TableParagraph"/>
              <w:spacing w:before="0"/>
              <w:ind w:left="384" w:right="231" w:hanging="128"/>
              <w:jc w:val="left"/>
              <w:rPr>
                <w:rFonts w:ascii="Arial"/>
                <w:b/>
                <w:i/>
                <w:sz w:val="20"/>
              </w:rPr>
            </w:pPr>
            <w:r>
              <w:rPr>
                <w:rFonts w:ascii="Arial"/>
                <w:b/>
                <w:i/>
                <w:sz w:val="20"/>
              </w:rPr>
              <w:t>Filtro de </w:t>
            </w:r>
            <w:r>
              <w:rPr>
                <w:rFonts w:ascii="Arial"/>
                <w:b/>
                <w:i/>
                <w:sz w:val="20"/>
              </w:rPr>
              <w:t>arena</w:t>
            </w:r>
          </w:p>
        </w:tc>
      </w:tr>
      <w:tr>
        <w:trPr>
          <w:trHeight w:val="343" w:hRule="exact"/>
        </w:trPr>
        <w:tc>
          <w:tcPr>
            <w:tcW w:w="9077" w:type="dxa"/>
            <w:gridSpan w:val="7"/>
            <w:tcBorders>
              <w:top w:val="double" w:sz="6" w:space="0" w:color="000000"/>
              <w:bottom w:val="single" w:sz="4" w:space="0" w:color="000000"/>
            </w:tcBorders>
          </w:tcPr>
          <w:p>
            <w:pPr>
              <w:pStyle w:val="TableParagraph"/>
              <w:spacing w:before="45"/>
              <w:ind w:left="2265" w:right="0"/>
              <w:jc w:val="left"/>
              <w:rPr>
                <w:sz w:val="22"/>
              </w:rPr>
            </w:pPr>
            <w:r>
              <w:rPr>
                <w:sz w:val="22"/>
              </w:rPr>
              <w:t>Características generales del influente y del cultivo</w:t>
            </w:r>
          </w:p>
        </w:tc>
      </w:tr>
      <w:tr>
        <w:trPr>
          <w:trHeight w:val="310" w:hRule="exact"/>
        </w:trPr>
        <w:tc>
          <w:tcPr>
            <w:tcW w:w="581" w:type="dxa"/>
            <w:tcBorders>
              <w:top w:val="single" w:sz="4" w:space="0" w:color="000000"/>
              <w:bottom w:val="single" w:sz="4" w:space="0" w:color="000000"/>
              <w:right w:val="single" w:sz="4" w:space="0" w:color="000000"/>
            </w:tcBorders>
          </w:tcPr>
          <w:p>
            <w:pPr>
              <w:pStyle w:val="TableParagraph"/>
              <w:spacing w:before="13"/>
              <w:ind w:left="60" w:right="0"/>
              <w:jc w:val="left"/>
              <w:rPr>
                <w:sz w:val="22"/>
              </w:rPr>
            </w:pPr>
            <w:r>
              <w:rPr>
                <w:sz w:val="22"/>
              </w:rPr>
              <w:t>3a</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13"/>
              <w:ind w:left="64" w:right="175"/>
              <w:jc w:val="left"/>
              <w:rPr>
                <w:sz w:val="22"/>
              </w:rPr>
            </w:pPr>
            <w:r>
              <w:rPr>
                <w:sz w:val="22"/>
              </w:rPr>
              <w:t>Especie cultivada</w:t>
            </w:r>
          </w:p>
        </w:tc>
        <w:tc>
          <w:tcPr>
            <w:tcW w:w="6511" w:type="dxa"/>
            <w:gridSpan w:val="5"/>
            <w:tcBorders>
              <w:top w:val="single" w:sz="4" w:space="0" w:color="000000"/>
              <w:left w:val="single" w:sz="4" w:space="0" w:color="000000"/>
              <w:bottom w:val="single" w:sz="4" w:space="0" w:color="000000"/>
            </w:tcBorders>
          </w:tcPr>
          <w:p>
            <w:pPr>
              <w:pStyle w:val="TableParagraph"/>
              <w:spacing w:before="13"/>
              <w:ind w:left="114" w:right="0"/>
              <w:jc w:val="left"/>
              <w:rPr>
                <w:i/>
                <w:sz w:val="22"/>
              </w:rPr>
            </w:pPr>
            <w:r>
              <w:rPr>
                <w:sz w:val="22"/>
              </w:rPr>
              <w:t>Trucha arco iris  </w:t>
            </w:r>
            <w:r>
              <w:rPr>
                <w:i/>
                <w:sz w:val="22"/>
              </w:rPr>
              <w:t>Oncorhynchus mykiss</w:t>
            </w:r>
          </w:p>
        </w:tc>
      </w:tr>
      <w:tr>
        <w:trPr>
          <w:trHeight w:val="312" w:hRule="exact"/>
        </w:trPr>
        <w:tc>
          <w:tcPr>
            <w:tcW w:w="581" w:type="dxa"/>
            <w:tcBorders>
              <w:top w:val="single" w:sz="4" w:space="0" w:color="000000"/>
              <w:bottom w:val="single" w:sz="4" w:space="0" w:color="000000"/>
              <w:right w:val="single" w:sz="4" w:space="0" w:color="000000"/>
            </w:tcBorders>
          </w:tcPr>
          <w:p>
            <w:pPr>
              <w:pStyle w:val="TableParagraph"/>
              <w:spacing w:before="13"/>
              <w:ind w:left="60" w:right="0"/>
              <w:jc w:val="left"/>
              <w:rPr>
                <w:sz w:val="22"/>
              </w:rPr>
            </w:pPr>
            <w:r>
              <w:rPr>
                <w:sz w:val="22"/>
              </w:rPr>
              <w:t>3b</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13"/>
              <w:ind w:left="64" w:right="175"/>
              <w:jc w:val="left"/>
              <w:rPr>
                <w:sz w:val="22"/>
              </w:rPr>
            </w:pPr>
            <w:r>
              <w:rPr>
                <w:sz w:val="22"/>
              </w:rPr>
              <w:t>Temperatura</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3"/>
              <w:ind w:right="0"/>
              <w:jc w:val="center"/>
              <w:rPr>
                <w:i/>
                <w:sz w:val="22"/>
              </w:rPr>
            </w:pPr>
            <w:r>
              <w:rPr>
                <w:i/>
                <w:w w:val="100"/>
                <w:sz w:val="22"/>
              </w:rPr>
              <w:t>T</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3"/>
              <w:ind w:left="212" w:right="217"/>
              <w:jc w:val="center"/>
              <w:rPr>
                <w:sz w:val="22"/>
              </w:rPr>
            </w:pPr>
            <w:r>
              <w:rPr>
                <w:sz w:val="22"/>
              </w:rPr>
              <w:t>°C</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3"/>
              <w:ind w:right="63"/>
              <w:rPr>
                <w:sz w:val="22"/>
              </w:rPr>
            </w:pPr>
            <w:r>
              <w:rPr>
                <w:sz w:val="22"/>
              </w:rPr>
              <w:t>17,0</w:t>
            </w:r>
          </w:p>
        </w:tc>
        <w:tc>
          <w:tcPr>
            <w:tcW w:w="1310" w:type="dxa"/>
            <w:tcBorders>
              <w:top w:val="single" w:sz="4" w:space="0" w:color="000000"/>
              <w:left w:val="single" w:sz="4" w:space="0" w:color="000000"/>
              <w:bottom w:val="single" w:sz="4" w:space="0" w:color="000000"/>
            </w:tcBorders>
          </w:tcPr>
          <w:p>
            <w:pPr>
              <w:pStyle w:val="TableParagraph"/>
              <w:spacing w:before="13"/>
              <w:ind w:right="56"/>
              <w:rPr>
                <w:sz w:val="22"/>
              </w:rPr>
            </w:pPr>
            <w:r>
              <w:rPr>
                <w:sz w:val="22"/>
              </w:rPr>
              <w:t>17,1</w:t>
            </w:r>
          </w:p>
        </w:tc>
      </w:tr>
      <w:tr>
        <w:trPr>
          <w:trHeight w:val="814" w:hRule="exact"/>
        </w:trPr>
        <w:tc>
          <w:tcPr>
            <w:tcW w:w="581" w:type="dxa"/>
            <w:tcBorders>
              <w:top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60" w:right="0"/>
              <w:jc w:val="left"/>
              <w:rPr>
                <w:sz w:val="22"/>
              </w:rPr>
            </w:pPr>
            <w:r>
              <w:rPr>
                <w:sz w:val="22"/>
              </w:rPr>
              <w:t>3b</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75"/>
              <w:jc w:val="left"/>
              <w:rPr>
                <w:sz w:val="22"/>
              </w:rPr>
            </w:pPr>
            <w:r>
              <w:rPr>
                <w:sz w:val="22"/>
              </w:rPr>
              <w:t>Tasa de alimentación y tipo de alimento</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326" w:right="329"/>
              <w:jc w:val="center"/>
              <w:rPr>
                <w:i/>
                <w:sz w:val="22"/>
              </w:rPr>
            </w:pPr>
            <w:r>
              <w:rPr>
                <w:i/>
                <w:sz w:val="22"/>
              </w:rPr>
              <w:t>FR</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before="0"/>
              <w:ind w:left="275" w:right="104" w:hanging="161"/>
              <w:jc w:val="left"/>
              <w:rPr>
                <w:sz w:val="22"/>
              </w:rPr>
            </w:pPr>
            <w:r>
              <w:rPr>
                <w:sz w:val="22"/>
              </w:rPr>
              <w:t>45% / Pellet extruido flotante</w:t>
            </w: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214" w:right="215"/>
              <w:jc w:val="center"/>
              <w:rPr>
                <w:sz w:val="22"/>
              </w:rPr>
            </w:pPr>
            <w:r>
              <w:rPr>
                <w:sz w:val="22"/>
              </w:rPr>
              <w:t>kg/d</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right="63"/>
              <w:rPr>
                <w:sz w:val="22"/>
              </w:rPr>
            </w:pPr>
            <w:r>
              <w:rPr>
                <w:sz w:val="22"/>
              </w:rPr>
              <w:t>1,90</w:t>
            </w:r>
          </w:p>
        </w:tc>
        <w:tc>
          <w:tcPr>
            <w:tcW w:w="1310" w:type="dxa"/>
            <w:tcBorders>
              <w:top w:val="single" w:sz="4" w:space="0" w:color="000000"/>
              <w:left w:val="single" w:sz="4" w:space="0" w:color="000000"/>
              <w:bottom w:val="single" w:sz="4" w:space="0" w:color="000000"/>
            </w:tcBorders>
          </w:tcPr>
          <w:p>
            <w:pPr>
              <w:pStyle w:val="TableParagraph"/>
              <w:spacing w:before="1"/>
              <w:ind w:right="0"/>
              <w:jc w:val="left"/>
              <w:rPr>
                <w:rFonts w:ascii="Arial"/>
                <w:b/>
                <w:sz w:val="23"/>
              </w:rPr>
            </w:pPr>
          </w:p>
          <w:p>
            <w:pPr>
              <w:pStyle w:val="TableParagraph"/>
              <w:spacing w:before="0"/>
              <w:ind w:right="56"/>
              <w:rPr>
                <w:sz w:val="22"/>
              </w:rPr>
            </w:pPr>
            <w:r>
              <w:rPr>
                <w:sz w:val="22"/>
              </w:rPr>
              <w:t>1,90</w:t>
            </w:r>
          </w:p>
        </w:tc>
      </w:tr>
      <w:tr>
        <w:trPr>
          <w:trHeight w:val="547" w:hRule="exact"/>
        </w:trPr>
        <w:tc>
          <w:tcPr>
            <w:tcW w:w="581" w:type="dxa"/>
            <w:tcBorders>
              <w:top w:val="single" w:sz="4" w:space="0" w:color="000000"/>
              <w:bottom w:val="single" w:sz="4" w:space="0" w:color="000000"/>
              <w:right w:val="single" w:sz="4" w:space="0" w:color="000000"/>
            </w:tcBorders>
          </w:tcPr>
          <w:p>
            <w:pPr>
              <w:pStyle w:val="TableParagraph"/>
              <w:spacing w:before="133"/>
              <w:ind w:left="60" w:right="0"/>
              <w:jc w:val="left"/>
              <w:rPr>
                <w:sz w:val="22"/>
              </w:rPr>
            </w:pPr>
            <w:r>
              <w:rPr>
                <w:sz w:val="22"/>
              </w:rPr>
              <w:t>3c</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before="1"/>
              <w:ind w:left="64" w:right="646"/>
              <w:jc w:val="left"/>
              <w:rPr>
                <w:sz w:val="22"/>
              </w:rPr>
            </w:pPr>
            <w:r>
              <w:rPr>
                <w:sz w:val="22"/>
              </w:rPr>
              <w:t>Frecuencia de alimentación</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33"/>
              <w:ind w:left="328" w:right="328"/>
              <w:jc w:val="center"/>
              <w:rPr>
                <w:i/>
                <w:sz w:val="22"/>
              </w:rPr>
            </w:pPr>
            <w:r>
              <w:rPr>
                <w:i/>
                <w:sz w:val="22"/>
              </w:rPr>
              <w:t>FA</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33"/>
              <w:ind w:left="214" w:right="215"/>
              <w:jc w:val="center"/>
              <w:rPr>
                <w:sz w:val="22"/>
              </w:rPr>
            </w:pPr>
            <w:r>
              <w:rPr>
                <w:sz w:val="22"/>
              </w:rPr>
              <w:t>veces/d</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33"/>
              <w:ind w:right="63"/>
              <w:rPr>
                <w:sz w:val="22"/>
              </w:rPr>
            </w:pPr>
            <w:r>
              <w:rPr>
                <w:sz w:val="22"/>
              </w:rPr>
              <w:t>2,00</w:t>
            </w:r>
          </w:p>
        </w:tc>
        <w:tc>
          <w:tcPr>
            <w:tcW w:w="1310" w:type="dxa"/>
            <w:tcBorders>
              <w:top w:val="single" w:sz="4" w:space="0" w:color="000000"/>
              <w:left w:val="single" w:sz="4" w:space="0" w:color="000000"/>
              <w:bottom w:val="single" w:sz="4" w:space="0" w:color="000000"/>
            </w:tcBorders>
          </w:tcPr>
          <w:p>
            <w:pPr>
              <w:pStyle w:val="TableParagraph"/>
              <w:spacing w:before="133"/>
              <w:ind w:right="56"/>
              <w:rPr>
                <w:sz w:val="22"/>
              </w:rPr>
            </w:pPr>
            <w:r>
              <w:rPr>
                <w:sz w:val="22"/>
              </w:rPr>
              <w:t>2,00</w:t>
            </w:r>
          </w:p>
        </w:tc>
      </w:tr>
      <w:tr>
        <w:trPr>
          <w:trHeight w:val="547" w:hRule="exact"/>
        </w:trPr>
        <w:tc>
          <w:tcPr>
            <w:tcW w:w="581" w:type="dxa"/>
            <w:tcBorders>
              <w:top w:val="single" w:sz="4" w:space="0" w:color="000000"/>
              <w:bottom w:val="single" w:sz="4" w:space="0" w:color="000000"/>
              <w:right w:val="single" w:sz="4" w:space="0" w:color="000000"/>
            </w:tcBorders>
          </w:tcPr>
          <w:p>
            <w:pPr>
              <w:pStyle w:val="TableParagraph"/>
              <w:spacing w:before="131"/>
              <w:ind w:left="60" w:right="0"/>
              <w:jc w:val="left"/>
              <w:rPr>
                <w:sz w:val="22"/>
              </w:rPr>
            </w:pPr>
            <w:r>
              <w:rPr>
                <w:sz w:val="22"/>
              </w:rPr>
              <w:t>3d</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before="1"/>
              <w:ind w:left="64" w:right="686"/>
              <w:jc w:val="left"/>
              <w:rPr>
                <w:sz w:val="22"/>
              </w:rPr>
            </w:pPr>
            <w:r>
              <w:rPr>
                <w:sz w:val="22"/>
              </w:rPr>
              <w:t>Contenido de proteínas</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31"/>
              <w:ind w:left="328" w:right="329"/>
              <w:jc w:val="center"/>
              <w:rPr>
                <w:i/>
                <w:sz w:val="22"/>
              </w:rPr>
            </w:pPr>
            <w:r>
              <w:rPr>
                <w:i/>
                <w:sz w:val="22"/>
              </w:rPr>
              <w:t>CP</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before="1"/>
              <w:ind w:left="458" w:right="115" w:hanging="332"/>
              <w:jc w:val="left"/>
              <w:rPr>
                <w:sz w:val="22"/>
              </w:rPr>
            </w:pPr>
            <w:r>
              <w:rPr>
                <w:sz w:val="22"/>
              </w:rPr>
              <w:t>Nitrógeno x 6,25</w:t>
            </w: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31"/>
              <w:ind w:right="6"/>
              <w:jc w:val="center"/>
              <w:rPr>
                <w:sz w:val="22"/>
              </w:rPr>
            </w:pPr>
            <w:r>
              <w:rPr>
                <w:w w:val="100"/>
                <w:sz w:val="22"/>
              </w:rPr>
              <w:t>%</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45,00</w:t>
            </w:r>
          </w:p>
        </w:tc>
        <w:tc>
          <w:tcPr>
            <w:tcW w:w="1310" w:type="dxa"/>
            <w:tcBorders>
              <w:top w:val="single" w:sz="4" w:space="0" w:color="000000"/>
              <w:left w:val="single" w:sz="4" w:space="0" w:color="000000"/>
              <w:bottom w:val="single" w:sz="4" w:space="0" w:color="000000"/>
            </w:tcBorders>
          </w:tcPr>
          <w:p>
            <w:pPr>
              <w:pStyle w:val="TableParagraph"/>
              <w:spacing w:before="131"/>
              <w:ind w:right="56"/>
              <w:rPr>
                <w:sz w:val="22"/>
              </w:rPr>
            </w:pPr>
            <w:r>
              <w:rPr>
                <w:sz w:val="22"/>
              </w:rPr>
              <w:t>45,00</w:t>
            </w:r>
          </w:p>
        </w:tc>
      </w:tr>
      <w:tr>
        <w:trPr>
          <w:trHeight w:val="547" w:hRule="exact"/>
        </w:trPr>
        <w:tc>
          <w:tcPr>
            <w:tcW w:w="581" w:type="dxa"/>
            <w:tcBorders>
              <w:top w:val="single" w:sz="4" w:space="0" w:color="000000"/>
              <w:bottom w:val="single" w:sz="4" w:space="0" w:color="000000"/>
              <w:right w:val="single" w:sz="4" w:space="0" w:color="000000"/>
            </w:tcBorders>
          </w:tcPr>
          <w:p>
            <w:pPr>
              <w:pStyle w:val="TableParagraph"/>
              <w:spacing w:before="131"/>
              <w:ind w:left="60" w:right="0"/>
              <w:jc w:val="left"/>
              <w:rPr>
                <w:sz w:val="22"/>
              </w:rPr>
            </w:pPr>
            <w:r>
              <w:rPr>
                <w:sz w:val="22"/>
              </w:rPr>
              <w:t>3e</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243"/>
              <w:jc w:val="left"/>
              <w:rPr>
                <w:sz w:val="22"/>
              </w:rPr>
            </w:pPr>
            <w:r>
              <w:rPr>
                <w:sz w:val="22"/>
              </w:rPr>
              <w:t>Carga acumulativa de alimento</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31"/>
              <w:ind w:left="292" w:right="0"/>
              <w:jc w:val="left"/>
              <w:rPr>
                <w:i/>
                <w:sz w:val="22"/>
              </w:rPr>
            </w:pPr>
            <w:r>
              <w:rPr>
                <w:i/>
                <w:sz w:val="22"/>
              </w:rPr>
              <w:t>CBF</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before="107"/>
              <w:ind w:left="113" w:right="114"/>
              <w:jc w:val="center"/>
              <w:rPr>
                <w:sz w:val="14"/>
              </w:rPr>
            </w:pPr>
            <w:r>
              <w:rPr>
                <w:sz w:val="22"/>
              </w:rPr>
              <w:t>=10</w:t>
            </w:r>
            <w:r>
              <w:rPr>
                <w:position w:val="10"/>
                <w:sz w:val="14"/>
              </w:rPr>
              <w:t>6</w:t>
            </w:r>
            <w:r>
              <w:rPr>
                <w:sz w:val="22"/>
              </w:rPr>
              <w:t>FR/Q</w:t>
            </w:r>
            <w:r>
              <w:rPr>
                <w:position w:val="-2"/>
                <w:sz w:val="14"/>
              </w:rPr>
              <w:t>mu</w:t>
            </w: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31"/>
              <w:ind w:left="214" w:right="217"/>
              <w:jc w:val="center"/>
              <w:rPr>
                <w:sz w:val="22"/>
              </w:rPr>
            </w:pPr>
            <w:r>
              <w:rPr>
                <w:sz w:val="22"/>
              </w:rPr>
              <w:t>mg/L</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104,72</w:t>
            </w:r>
          </w:p>
        </w:tc>
        <w:tc>
          <w:tcPr>
            <w:tcW w:w="1310" w:type="dxa"/>
            <w:tcBorders>
              <w:top w:val="single" w:sz="4" w:space="0" w:color="000000"/>
              <w:left w:val="single" w:sz="4" w:space="0" w:color="000000"/>
              <w:bottom w:val="single" w:sz="4" w:space="0" w:color="000000"/>
            </w:tcBorders>
          </w:tcPr>
          <w:p>
            <w:pPr>
              <w:pStyle w:val="TableParagraph"/>
              <w:spacing w:before="131"/>
              <w:ind w:right="56"/>
              <w:rPr>
                <w:sz w:val="22"/>
              </w:rPr>
            </w:pPr>
            <w:r>
              <w:rPr>
                <w:sz w:val="22"/>
              </w:rPr>
              <w:t>104,72</w:t>
            </w:r>
          </w:p>
        </w:tc>
      </w:tr>
      <w:tr>
        <w:trPr>
          <w:trHeight w:val="370" w:hRule="exact"/>
        </w:trPr>
        <w:tc>
          <w:tcPr>
            <w:tcW w:w="581" w:type="dxa"/>
            <w:tcBorders>
              <w:top w:val="single" w:sz="4" w:space="0" w:color="000000"/>
              <w:bottom w:val="single" w:sz="4" w:space="0" w:color="000000"/>
              <w:right w:val="single" w:sz="4" w:space="0" w:color="000000"/>
            </w:tcBorders>
          </w:tcPr>
          <w:p>
            <w:pPr>
              <w:pStyle w:val="TableParagraph"/>
              <w:spacing w:before="42"/>
              <w:ind w:left="60" w:right="0"/>
              <w:jc w:val="left"/>
              <w:rPr>
                <w:sz w:val="22"/>
              </w:rPr>
            </w:pPr>
            <w:r>
              <w:rPr>
                <w:sz w:val="22"/>
              </w:rPr>
              <w:t>3g</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right="175"/>
              <w:jc w:val="left"/>
              <w:rPr>
                <w:sz w:val="22"/>
              </w:rPr>
            </w:pPr>
            <w:r>
              <w:rPr>
                <w:sz w:val="22"/>
              </w:rPr>
              <w:t>Carga acumulativa</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42"/>
              <w:ind w:left="328" w:right="329"/>
              <w:jc w:val="center"/>
              <w:rPr>
                <w:i/>
                <w:sz w:val="22"/>
              </w:rPr>
            </w:pPr>
            <w:r>
              <w:rPr>
                <w:i/>
                <w:sz w:val="22"/>
              </w:rPr>
              <w:t>CL</w:t>
            </w:r>
          </w:p>
        </w:tc>
        <w:tc>
          <w:tcPr>
            <w:tcW w:w="1320" w:type="dxa"/>
            <w:tcBorders>
              <w:top w:val="single" w:sz="4" w:space="0" w:color="000000"/>
              <w:left w:val="single" w:sz="4" w:space="0" w:color="000000"/>
              <w:bottom w:val="single" w:sz="4" w:space="0" w:color="000000"/>
              <w:right w:val="single" w:sz="4" w:space="0" w:color="000000"/>
            </w:tcBorders>
          </w:tcPr>
          <w:p>
            <w:pPr>
              <w:pStyle w:val="TableParagraph"/>
              <w:spacing w:before="42"/>
              <w:ind w:left="110" w:right="114"/>
              <w:jc w:val="center"/>
              <w:rPr>
                <w:sz w:val="14"/>
              </w:rPr>
            </w:pPr>
            <w:r>
              <w:rPr>
                <w:sz w:val="22"/>
              </w:rPr>
              <w:t>=kg pez/Q</w:t>
            </w:r>
            <w:r>
              <w:rPr>
                <w:position w:val="-2"/>
                <w:sz w:val="14"/>
              </w:rPr>
              <w:t>ru</w:t>
            </w: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42"/>
              <w:ind w:left="214" w:right="216"/>
              <w:jc w:val="center"/>
              <w:rPr>
                <w:sz w:val="22"/>
              </w:rPr>
            </w:pPr>
            <w:r>
              <w:rPr>
                <w:sz w:val="22"/>
              </w:rPr>
              <w:t>kg/lpm</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42"/>
              <w:ind w:right="63"/>
              <w:rPr>
                <w:sz w:val="22"/>
              </w:rPr>
            </w:pPr>
            <w:r>
              <w:rPr>
                <w:sz w:val="22"/>
              </w:rPr>
              <w:t>1,43</w:t>
            </w:r>
          </w:p>
        </w:tc>
        <w:tc>
          <w:tcPr>
            <w:tcW w:w="1310" w:type="dxa"/>
            <w:tcBorders>
              <w:top w:val="single" w:sz="4" w:space="0" w:color="000000"/>
              <w:left w:val="single" w:sz="4" w:space="0" w:color="000000"/>
              <w:bottom w:val="single" w:sz="4" w:space="0" w:color="000000"/>
            </w:tcBorders>
          </w:tcPr>
          <w:p>
            <w:pPr>
              <w:pStyle w:val="TableParagraph"/>
              <w:spacing w:before="42"/>
              <w:ind w:right="56"/>
              <w:rPr>
                <w:sz w:val="22"/>
              </w:rPr>
            </w:pPr>
            <w:r>
              <w:rPr>
                <w:sz w:val="22"/>
              </w:rPr>
              <w:t>1,43</w:t>
            </w:r>
          </w:p>
        </w:tc>
      </w:tr>
      <w:tr>
        <w:trPr>
          <w:trHeight w:val="547" w:hRule="exact"/>
        </w:trPr>
        <w:tc>
          <w:tcPr>
            <w:tcW w:w="581" w:type="dxa"/>
            <w:tcBorders>
              <w:top w:val="single" w:sz="4" w:space="0" w:color="000000"/>
              <w:bottom w:val="single" w:sz="4" w:space="0" w:color="000000"/>
              <w:right w:val="single" w:sz="4" w:space="0" w:color="000000"/>
            </w:tcBorders>
          </w:tcPr>
          <w:p>
            <w:pPr>
              <w:pStyle w:val="TableParagraph"/>
              <w:spacing w:before="133"/>
              <w:ind w:left="60" w:right="0"/>
              <w:jc w:val="left"/>
              <w:rPr>
                <w:sz w:val="22"/>
              </w:rPr>
            </w:pPr>
            <w:r>
              <w:rPr>
                <w:sz w:val="22"/>
              </w:rPr>
              <w:t>3h</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973"/>
              <w:jc w:val="left"/>
              <w:rPr>
                <w:sz w:val="22"/>
              </w:rPr>
            </w:pPr>
            <w:r>
              <w:rPr>
                <w:sz w:val="22"/>
              </w:rPr>
              <w:t>Nitrógeno amoniacal</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33"/>
              <w:ind w:right="135"/>
              <w:rPr>
                <w:i/>
                <w:sz w:val="14"/>
              </w:rPr>
            </w:pPr>
            <w:r>
              <w:rPr>
                <w:i/>
                <w:sz w:val="22"/>
              </w:rPr>
              <w:t>N-NH</w:t>
            </w:r>
            <w:r>
              <w:rPr>
                <w:i/>
                <w:position w:val="-2"/>
                <w:sz w:val="14"/>
              </w:rPr>
              <w:t>3in</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33"/>
              <w:ind w:left="214" w:right="217"/>
              <w:jc w:val="center"/>
              <w:rPr>
                <w:sz w:val="22"/>
              </w:rPr>
            </w:pPr>
            <w:r>
              <w:rPr>
                <w:sz w:val="22"/>
              </w:rPr>
              <w:t>mg N-NH</w:t>
            </w:r>
            <w:r>
              <w:rPr>
                <w:position w:val="-2"/>
                <w:sz w:val="14"/>
              </w:rPr>
              <w:t>3</w:t>
            </w:r>
            <w:r>
              <w:rPr>
                <w:sz w:val="22"/>
              </w:rPr>
              <w:t>/L</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33"/>
              <w:ind w:right="66"/>
              <w:rPr>
                <w:sz w:val="22"/>
              </w:rPr>
            </w:pPr>
            <w:r>
              <w:rPr>
                <w:sz w:val="22"/>
              </w:rPr>
              <w:t>0,80</w:t>
            </w:r>
          </w:p>
        </w:tc>
        <w:tc>
          <w:tcPr>
            <w:tcW w:w="1310" w:type="dxa"/>
            <w:tcBorders>
              <w:top w:val="single" w:sz="4" w:space="0" w:color="000000"/>
              <w:left w:val="single" w:sz="4" w:space="0" w:color="000000"/>
              <w:bottom w:val="single" w:sz="4" w:space="0" w:color="000000"/>
            </w:tcBorders>
          </w:tcPr>
          <w:p>
            <w:pPr>
              <w:pStyle w:val="TableParagraph"/>
              <w:spacing w:before="133"/>
              <w:ind w:right="58"/>
              <w:rPr>
                <w:sz w:val="22"/>
              </w:rPr>
            </w:pPr>
            <w:r>
              <w:rPr>
                <w:sz w:val="22"/>
              </w:rPr>
              <w:t>0,67</w:t>
            </w:r>
          </w:p>
        </w:tc>
      </w:tr>
      <w:tr>
        <w:trPr>
          <w:trHeight w:val="372" w:hRule="exact"/>
        </w:trPr>
        <w:tc>
          <w:tcPr>
            <w:tcW w:w="581" w:type="dxa"/>
            <w:tcBorders>
              <w:top w:val="single" w:sz="4" w:space="0" w:color="000000"/>
              <w:bottom w:val="single" w:sz="4" w:space="0" w:color="000000"/>
              <w:right w:val="single" w:sz="4" w:space="0" w:color="000000"/>
            </w:tcBorders>
          </w:tcPr>
          <w:p>
            <w:pPr>
              <w:pStyle w:val="TableParagraph"/>
              <w:spacing w:before="45"/>
              <w:ind w:left="60" w:right="0"/>
              <w:jc w:val="left"/>
              <w:rPr>
                <w:sz w:val="22"/>
              </w:rPr>
            </w:pPr>
            <w:r>
              <w:rPr>
                <w:sz w:val="22"/>
              </w:rPr>
              <w:t>3i</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45"/>
              <w:ind w:left="64" w:right="175"/>
              <w:jc w:val="left"/>
              <w:rPr>
                <w:sz w:val="22"/>
              </w:rPr>
            </w:pPr>
            <w:r>
              <w:rPr>
                <w:sz w:val="22"/>
              </w:rPr>
              <w:t>N - nitritos</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line="98" w:lineRule="exact" w:before="20"/>
              <w:ind w:right="212"/>
              <w:rPr>
                <w:i/>
                <w:sz w:val="14"/>
              </w:rPr>
            </w:pPr>
            <w:r>
              <w:rPr>
                <w:i/>
                <w:w w:val="99"/>
                <w:sz w:val="14"/>
              </w:rPr>
              <w:t>-</w:t>
            </w:r>
          </w:p>
          <w:p>
            <w:pPr>
              <w:pStyle w:val="TableParagraph"/>
              <w:spacing w:line="204" w:lineRule="exact" w:before="0"/>
              <w:ind w:left="105" w:right="0"/>
              <w:jc w:val="left"/>
              <w:rPr>
                <w:i/>
                <w:sz w:val="14"/>
              </w:rPr>
            </w:pPr>
            <w:r>
              <w:rPr>
                <w:i/>
                <w:sz w:val="22"/>
              </w:rPr>
              <w:t>N-NO</w:t>
            </w:r>
            <w:r>
              <w:rPr>
                <w:i/>
                <w:position w:val="-2"/>
                <w:sz w:val="14"/>
              </w:rPr>
              <w:t>2 in</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line="98" w:lineRule="exact" w:before="20"/>
              <w:ind w:right="389"/>
              <w:rPr>
                <w:sz w:val="14"/>
              </w:rPr>
            </w:pPr>
            <w:r>
              <w:rPr>
                <w:w w:val="99"/>
                <w:sz w:val="14"/>
              </w:rPr>
              <w:t>-</w:t>
            </w:r>
          </w:p>
          <w:p>
            <w:pPr>
              <w:pStyle w:val="TableParagraph"/>
              <w:spacing w:line="204" w:lineRule="exact" w:before="0"/>
              <w:ind w:left="206" w:right="0"/>
              <w:jc w:val="left"/>
              <w:rPr>
                <w:sz w:val="22"/>
              </w:rPr>
            </w:pPr>
            <w:r>
              <w:rPr>
                <w:sz w:val="22"/>
              </w:rPr>
              <w:t>mg N-NO</w:t>
            </w:r>
            <w:r>
              <w:rPr>
                <w:position w:val="-2"/>
                <w:sz w:val="14"/>
              </w:rPr>
              <w:t>2 </w:t>
            </w:r>
            <w:r>
              <w:rPr>
                <w:sz w:val="22"/>
              </w:rPr>
              <w:t>/L</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45"/>
              <w:ind w:right="65"/>
              <w:rPr>
                <w:sz w:val="22"/>
              </w:rPr>
            </w:pPr>
            <w:r>
              <w:rPr>
                <w:sz w:val="22"/>
              </w:rPr>
              <w:t>0,255</w:t>
            </w:r>
          </w:p>
        </w:tc>
        <w:tc>
          <w:tcPr>
            <w:tcW w:w="1310" w:type="dxa"/>
            <w:tcBorders>
              <w:top w:val="single" w:sz="4" w:space="0" w:color="000000"/>
              <w:left w:val="single" w:sz="4" w:space="0" w:color="000000"/>
              <w:bottom w:val="single" w:sz="4" w:space="0" w:color="000000"/>
            </w:tcBorders>
          </w:tcPr>
          <w:p>
            <w:pPr>
              <w:pStyle w:val="TableParagraph"/>
              <w:spacing w:before="45"/>
              <w:ind w:right="56"/>
              <w:rPr>
                <w:sz w:val="22"/>
              </w:rPr>
            </w:pPr>
            <w:r>
              <w:rPr>
                <w:sz w:val="22"/>
              </w:rPr>
              <w:t>0,298</w:t>
            </w:r>
          </w:p>
        </w:tc>
      </w:tr>
      <w:tr>
        <w:trPr>
          <w:trHeight w:val="370" w:hRule="exact"/>
        </w:trPr>
        <w:tc>
          <w:tcPr>
            <w:tcW w:w="581" w:type="dxa"/>
            <w:tcBorders>
              <w:top w:val="single" w:sz="4" w:space="0" w:color="000000"/>
              <w:bottom w:val="single" w:sz="4" w:space="0" w:color="000000"/>
              <w:right w:val="single" w:sz="4" w:space="0" w:color="000000"/>
            </w:tcBorders>
          </w:tcPr>
          <w:p>
            <w:pPr>
              <w:pStyle w:val="TableParagraph"/>
              <w:spacing w:before="42"/>
              <w:ind w:left="60" w:right="0"/>
              <w:jc w:val="left"/>
              <w:rPr>
                <w:sz w:val="22"/>
              </w:rPr>
            </w:pPr>
            <w:r>
              <w:rPr>
                <w:sz w:val="22"/>
              </w:rPr>
              <w:t>3j</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right="175"/>
              <w:jc w:val="left"/>
              <w:rPr>
                <w:sz w:val="22"/>
              </w:rPr>
            </w:pPr>
            <w:r>
              <w:rPr>
                <w:sz w:val="22"/>
              </w:rPr>
              <w:t>N - nitratos</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line="98" w:lineRule="exact" w:before="18"/>
              <w:ind w:right="212"/>
              <w:rPr>
                <w:i/>
                <w:sz w:val="14"/>
              </w:rPr>
            </w:pPr>
            <w:r>
              <w:rPr>
                <w:i/>
                <w:w w:val="99"/>
                <w:sz w:val="14"/>
              </w:rPr>
              <w:t>-</w:t>
            </w:r>
          </w:p>
          <w:p>
            <w:pPr>
              <w:pStyle w:val="TableParagraph"/>
              <w:spacing w:line="204" w:lineRule="exact" w:before="0"/>
              <w:ind w:left="105" w:right="0"/>
              <w:jc w:val="left"/>
              <w:rPr>
                <w:i/>
                <w:sz w:val="14"/>
              </w:rPr>
            </w:pPr>
            <w:r>
              <w:rPr>
                <w:i/>
                <w:sz w:val="22"/>
              </w:rPr>
              <w:t>N-NO</w:t>
            </w:r>
            <w:r>
              <w:rPr>
                <w:i/>
                <w:position w:val="-2"/>
                <w:sz w:val="14"/>
              </w:rPr>
              <w:t>3 in</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line="98" w:lineRule="exact" w:before="18"/>
              <w:ind w:right="389"/>
              <w:rPr>
                <w:sz w:val="14"/>
              </w:rPr>
            </w:pPr>
            <w:r>
              <w:rPr>
                <w:w w:val="99"/>
                <w:sz w:val="14"/>
              </w:rPr>
              <w:t>-</w:t>
            </w:r>
          </w:p>
          <w:p>
            <w:pPr>
              <w:pStyle w:val="TableParagraph"/>
              <w:spacing w:line="204" w:lineRule="exact" w:before="0"/>
              <w:ind w:left="206" w:right="0"/>
              <w:jc w:val="left"/>
              <w:rPr>
                <w:sz w:val="22"/>
              </w:rPr>
            </w:pPr>
            <w:r>
              <w:rPr>
                <w:sz w:val="22"/>
              </w:rPr>
              <w:t>mg N-NO</w:t>
            </w:r>
            <w:r>
              <w:rPr>
                <w:position w:val="-2"/>
                <w:sz w:val="14"/>
              </w:rPr>
              <w:t>3 </w:t>
            </w:r>
            <w:r>
              <w:rPr>
                <w:sz w:val="22"/>
              </w:rPr>
              <w:t>/L</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42"/>
              <w:ind w:right="65"/>
              <w:rPr>
                <w:sz w:val="22"/>
              </w:rPr>
            </w:pPr>
            <w:r>
              <w:rPr>
                <w:sz w:val="22"/>
              </w:rPr>
              <w:t>57,38</w:t>
            </w:r>
          </w:p>
        </w:tc>
        <w:tc>
          <w:tcPr>
            <w:tcW w:w="1310" w:type="dxa"/>
            <w:tcBorders>
              <w:top w:val="single" w:sz="4" w:space="0" w:color="000000"/>
              <w:left w:val="single" w:sz="4" w:space="0" w:color="000000"/>
              <w:bottom w:val="single" w:sz="4" w:space="0" w:color="000000"/>
            </w:tcBorders>
          </w:tcPr>
          <w:p>
            <w:pPr>
              <w:pStyle w:val="TableParagraph"/>
              <w:spacing w:before="42"/>
              <w:ind w:right="56"/>
              <w:rPr>
                <w:sz w:val="22"/>
              </w:rPr>
            </w:pPr>
            <w:r>
              <w:rPr>
                <w:sz w:val="22"/>
              </w:rPr>
              <w:t>56,47</w:t>
            </w:r>
          </w:p>
        </w:tc>
      </w:tr>
      <w:tr>
        <w:trPr>
          <w:trHeight w:val="816" w:hRule="exact"/>
        </w:trPr>
        <w:tc>
          <w:tcPr>
            <w:tcW w:w="581" w:type="dxa"/>
            <w:tcBorders>
              <w:top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60" w:right="0"/>
              <w:jc w:val="left"/>
              <w:rPr>
                <w:sz w:val="22"/>
              </w:rPr>
            </w:pPr>
            <w:r>
              <w:rPr>
                <w:sz w:val="22"/>
              </w:rPr>
              <w:t>3k</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628"/>
              <w:jc w:val="left"/>
              <w:rPr>
                <w:sz w:val="22"/>
              </w:rPr>
            </w:pPr>
            <w:r>
              <w:rPr>
                <w:sz w:val="22"/>
              </w:rPr>
              <w:t>Demanda bioquímica de oxígeno</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right="176"/>
              <w:rPr>
                <w:i/>
                <w:sz w:val="14"/>
              </w:rPr>
            </w:pPr>
            <w:r>
              <w:rPr>
                <w:i/>
                <w:sz w:val="22"/>
              </w:rPr>
              <w:t>DBO</w:t>
            </w:r>
            <w:r>
              <w:rPr>
                <w:i/>
                <w:position w:val="-2"/>
                <w:sz w:val="14"/>
              </w:rPr>
              <w:t>5in</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214" w:right="217"/>
              <w:jc w:val="center"/>
              <w:rPr>
                <w:sz w:val="22"/>
              </w:rPr>
            </w:pPr>
            <w:r>
              <w:rPr>
                <w:sz w:val="22"/>
              </w:rPr>
              <w:t>mg/L</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right="63"/>
              <w:rPr>
                <w:sz w:val="22"/>
              </w:rPr>
            </w:pPr>
            <w:r>
              <w:rPr>
                <w:sz w:val="22"/>
              </w:rPr>
              <w:t>17,28</w:t>
            </w:r>
          </w:p>
        </w:tc>
        <w:tc>
          <w:tcPr>
            <w:tcW w:w="1310" w:type="dxa"/>
            <w:tcBorders>
              <w:top w:val="single" w:sz="4" w:space="0" w:color="000000"/>
              <w:left w:val="single" w:sz="4" w:space="0" w:color="000000"/>
              <w:bottom w:val="single" w:sz="4" w:space="0" w:color="000000"/>
            </w:tcBorders>
          </w:tcPr>
          <w:p>
            <w:pPr>
              <w:pStyle w:val="TableParagraph"/>
              <w:spacing w:before="1"/>
              <w:ind w:right="0"/>
              <w:jc w:val="left"/>
              <w:rPr>
                <w:rFonts w:ascii="Arial"/>
                <w:b/>
                <w:sz w:val="23"/>
              </w:rPr>
            </w:pPr>
          </w:p>
          <w:p>
            <w:pPr>
              <w:pStyle w:val="TableParagraph"/>
              <w:spacing w:before="0"/>
              <w:ind w:right="56"/>
              <w:rPr>
                <w:sz w:val="22"/>
              </w:rPr>
            </w:pPr>
            <w:r>
              <w:rPr>
                <w:sz w:val="22"/>
              </w:rPr>
              <w:t>19,39</w:t>
            </w:r>
          </w:p>
        </w:tc>
      </w:tr>
      <w:tr>
        <w:trPr>
          <w:trHeight w:val="547" w:hRule="exact"/>
        </w:trPr>
        <w:tc>
          <w:tcPr>
            <w:tcW w:w="581" w:type="dxa"/>
            <w:tcBorders>
              <w:top w:val="single" w:sz="4" w:space="0" w:color="000000"/>
              <w:bottom w:val="single" w:sz="4" w:space="0" w:color="000000"/>
              <w:right w:val="single" w:sz="4" w:space="0" w:color="000000"/>
            </w:tcBorders>
          </w:tcPr>
          <w:p>
            <w:pPr>
              <w:pStyle w:val="TableParagraph"/>
              <w:spacing w:before="131"/>
              <w:ind w:left="60" w:right="0"/>
              <w:jc w:val="left"/>
              <w:rPr>
                <w:sz w:val="22"/>
              </w:rPr>
            </w:pPr>
            <w:r>
              <w:rPr>
                <w:sz w:val="22"/>
              </w:rPr>
              <w:t>3l</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272"/>
              <w:jc w:val="left"/>
              <w:rPr>
                <w:sz w:val="22"/>
              </w:rPr>
            </w:pPr>
            <w:r>
              <w:rPr>
                <w:sz w:val="22"/>
              </w:rPr>
              <w:t>Demanda química de oxígeno</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31"/>
              <w:ind w:left="196" w:right="0"/>
              <w:jc w:val="left"/>
              <w:rPr>
                <w:i/>
                <w:sz w:val="14"/>
              </w:rPr>
            </w:pPr>
            <w:r>
              <w:rPr>
                <w:i/>
                <w:sz w:val="22"/>
              </w:rPr>
              <w:t>DQO</w:t>
            </w:r>
            <w:r>
              <w:rPr>
                <w:i/>
                <w:position w:val="-2"/>
                <w:sz w:val="14"/>
              </w:rPr>
              <w:t>in</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131"/>
              <w:ind w:left="214" w:right="217"/>
              <w:jc w:val="center"/>
              <w:rPr>
                <w:sz w:val="22"/>
              </w:rPr>
            </w:pPr>
            <w:r>
              <w:rPr>
                <w:sz w:val="22"/>
              </w:rPr>
              <w:t>mg/L</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47,58</w:t>
            </w:r>
          </w:p>
        </w:tc>
        <w:tc>
          <w:tcPr>
            <w:tcW w:w="1310" w:type="dxa"/>
            <w:tcBorders>
              <w:top w:val="single" w:sz="4" w:space="0" w:color="000000"/>
              <w:left w:val="single" w:sz="4" w:space="0" w:color="000000"/>
              <w:bottom w:val="single" w:sz="4" w:space="0" w:color="000000"/>
            </w:tcBorders>
          </w:tcPr>
          <w:p>
            <w:pPr>
              <w:pStyle w:val="TableParagraph"/>
              <w:spacing w:before="131"/>
              <w:ind w:right="56"/>
              <w:rPr>
                <w:sz w:val="22"/>
              </w:rPr>
            </w:pPr>
            <w:r>
              <w:rPr>
                <w:sz w:val="22"/>
              </w:rPr>
              <w:t>44,88</w:t>
            </w:r>
          </w:p>
        </w:tc>
      </w:tr>
      <w:tr>
        <w:trPr>
          <w:trHeight w:val="547" w:hRule="exact"/>
        </w:trPr>
        <w:tc>
          <w:tcPr>
            <w:tcW w:w="581" w:type="dxa"/>
            <w:tcBorders>
              <w:top w:val="single" w:sz="4" w:space="0" w:color="000000"/>
              <w:bottom w:val="single" w:sz="4" w:space="0" w:color="000000"/>
              <w:right w:val="single" w:sz="4" w:space="0" w:color="000000"/>
            </w:tcBorders>
          </w:tcPr>
          <w:p>
            <w:pPr>
              <w:pStyle w:val="TableParagraph"/>
              <w:spacing w:before="131"/>
              <w:ind w:left="60" w:right="0"/>
              <w:jc w:val="left"/>
              <w:rPr>
                <w:sz w:val="22"/>
              </w:rPr>
            </w:pPr>
            <w:r>
              <w:rPr>
                <w:sz w:val="22"/>
              </w:rPr>
              <w:t>3m</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131"/>
              <w:ind w:left="64" w:right="175"/>
              <w:jc w:val="left"/>
              <w:rPr>
                <w:sz w:val="22"/>
              </w:rPr>
            </w:pPr>
            <w:r>
              <w:rPr>
                <w:sz w:val="22"/>
              </w:rPr>
              <w:t>Alcalinidad</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131"/>
              <w:ind w:left="242" w:right="0"/>
              <w:jc w:val="left"/>
              <w:rPr>
                <w:i/>
                <w:sz w:val="14"/>
              </w:rPr>
            </w:pPr>
            <w:r>
              <w:rPr>
                <w:i/>
                <w:sz w:val="22"/>
              </w:rPr>
              <w:t>ALK</w:t>
            </w:r>
            <w:r>
              <w:rPr>
                <w:i/>
                <w:position w:val="-2"/>
                <w:sz w:val="14"/>
              </w:rPr>
              <w:t>in</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Style w:val="TableParagraph"/>
              <w:spacing w:before="0"/>
              <w:ind w:left="487" w:right="250" w:hanging="226"/>
              <w:jc w:val="left"/>
              <w:rPr>
                <w:sz w:val="14"/>
              </w:rPr>
            </w:pPr>
            <w:r>
              <w:rPr>
                <w:sz w:val="22"/>
              </w:rPr>
              <w:t>mg/L como CaCO</w:t>
            </w:r>
            <w:r>
              <w:rPr>
                <w:position w:val="-2"/>
                <w:sz w:val="14"/>
              </w:rPr>
              <w:t>3</w:t>
            </w: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64,77</w:t>
            </w:r>
          </w:p>
        </w:tc>
        <w:tc>
          <w:tcPr>
            <w:tcW w:w="1310" w:type="dxa"/>
            <w:tcBorders>
              <w:top w:val="single" w:sz="4" w:space="0" w:color="000000"/>
              <w:left w:val="single" w:sz="4" w:space="0" w:color="000000"/>
              <w:bottom w:val="single" w:sz="4" w:space="0" w:color="000000"/>
            </w:tcBorders>
          </w:tcPr>
          <w:p>
            <w:pPr>
              <w:pStyle w:val="TableParagraph"/>
              <w:spacing w:before="131"/>
              <w:ind w:right="56"/>
              <w:rPr>
                <w:sz w:val="22"/>
              </w:rPr>
            </w:pPr>
            <w:r>
              <w:rPr>
                <w:sz w:val="22"/>
              </w:rPr>
              <w:t>51,12</w:t>
            </w:r>
          </w:p>
        </w:tc>
      </w:tr>
      <w:tr>
        <w:trPr>
          <w:trHeight w:val="370" w:hRule="exact"/>
        </w:trPr>
        <w:tc>
          <w:tcPr>
            <w:tcW w:w="581" w:type="dxa"/>
            <w:tcBorders>
              <w:top w:val="single" w:sz="4" w:space="0" w:color="000000"/>
              <w:bottom w:val="single" w:sz="4" w:space="0" w:color="000000"/>
              <w:right w:val="single" w:sz="4" w:space="0" w:color="000000"/>
            </w:tcBorders>
          </w:tcPr>
          <w:p>
            <w:pPr>
              <w:pStyle w:val="TableParagraph"/>
              <w:spacing w:before="42"/>
              <w:ind w:left="60" w:right="0"/>
              <w:jc w:val="left"/>
              <w:rPr>
                <w:sz w:val="22"/>
              </w:rPr>
            </w:pPr>
            <w:r>
              <w:rPr>
                <w:sz w:val="22"/>
              </w:rPr>
              <w:t>3n</w:t>
            </w:r>
          </w:p>
        </w:tc>
        <w:tc>
          <w:tcPr>
            <w:tcW w:w="1985"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right="175"/>
              <w:jc w:val="left"/>
              <w:rPr>
                <w:sz w:val="22"/>
              </w:rPr>
            </w:pPr>
            <w:r>
              <w:rPr>
                <w:sz w:val="22"/>
              </w:rPr>
              <w:t>pH</w:t>
            </w:r>
          </w:p>
        </w:tc>
        <w:tc>
          <w:tcPr>
            <w:tcW w:w="936" w:type="dxa"/>
            <w:tcBorders>
              <w:top w:val="single" w:sz="4" w:space="0" w:color="000000"/>
              <w:left w:val="single" w:sz="4" w:space="0" w:color="000000"/>
              <w:bottom w:val="single" w:sz="4" w:space="0" w:color="000000"/>
              <w:right w:val="single" w:sz="4" w:space="0" w:color="000000"/>
            </w:tcBorders>
          </w:tcPr>
          <w:p>
            <w:pPr>
              <w:pStyle w:val="TableParagraph"/>
              <w:spacing w:before="42"/>
              <w:ind w:left="283" w:right="0"/>
              <w:jc w:val="left"/>
              <w:rPr>
                <w:i/>
                <w:sz w:val="14"/>
              </w:rPr>
            </w:pPr>
            <w:r>
              <w:rPr>
                <w:i/>
                <w:sz w:val="22"/>
              </w:rPr>
              <w:t>pH</w:t>
            </w:r>
            <w:r>
              <w:rPr>
                <w:i/>
                <w:position w:val="-2"/>
                <w:sz w:val="14"/>
              </w:rPr>
              <w:t>in</w:t>
            </w:r>
          </w:p>
        </w:tc>
        <w:tc>
          <w:tcPr>
            <w:tcW w:w="1320" w:type="dxa"/>
            <w:tcBorders>
              <w:top w:val="single" w:sz="4" w:space="0" w:color="000000"/>
              <w:left w:val="single" w:sz="4" w:space="0" w:color="000000"/>
              <w:bottom w:val="single" w:sz="4" w:space="0" w:color="000000"/>
              <w:right w:val="single" w:sz="4" w:space="0" w:color="000000"/>
            </w:tcBorders>
          </w:tcPr>
          <w:p>
            <w:pPr/>
          </w:p>
        </w:tc>
        <w:tc>
          <w:tcPr>
            <w:tcW w:w="1548" w:type="dxa"/>
            <w:tcBorders>
              <w:top w:val="single" w:sz="4" w:space="0" w:color="000000"/>
              <w:left w:val="single" w:sz="4" w:space="0" w:color="000000"/>
              <w:bottom w:val="single" w:sz="4" w:space="0" w:color="000000"/>
              <w:right w:val="single" w:sz="4" w:space="0" w:color="000000"/>
            </w:tcBorders>
          </w:tcPr>
          <w:p>
            <w:pPr/>
          </w:p>
        </w:tc>
        <w:tc>
          <w:tcPr>
            <w:tcW w:w="1397" w:type="dxa"/>
            <w:tcBorders>
              <w:top w:val="single" w:sz="4" w:space="0" w:color="000000"/>
              <w:left w:val="single" w:sz="4" w:space="0" w:color="000000"/>
              <w:bottom w:val="single" w:sz="4" w:space="0" w:color="000000"/>
              <w:right w:val="single" w:sz="4" w:space="0" w:color="000000"/>
            </w:tcBorders>
          </w:tcPr>
          <w:p>
            <w:pPr>
              <w:pStyle w:val="TableParagraph"/>
              <w:spacing w:before="42"/>
              <w:ind w:right="63"/>
              <w:rPr>
                <w:sz w:val="22"/>
              </w:rPr>
            </w:pPr>
            <w:r>
              <w:rPr>
                <w:sz w:val="22"/>
              </w:rPr>
              <w:t>6,96</w:t>
            </w:r>
          </w:p>
        </w:tc>
        <w:tc>
          <w:tcPr>
            <w:tcW w:w="1310" w:type="dxa"/>
            <w:tcBorders>
              <w:top w:val="single" w:sz="4" w:space="0" w:color="000000"/>
              <w:left w:val="single" w:sz="4" w:space="0" w:color="000000"/>
              <w:bottom w:val="single" w:sz="4" w:space="0" w:color="000000"/>
            </w:tcBorders>
          </w:tcPr>
          <w:p>
            <w:pPr>
              <w:pStyle w:val="TableParagraph"/>
              <w:spacing w:before="42"/>
              <w:ind w:right="56"/>
              <w:rPr>
                <w:sz w:val="22"/>
              </w:rPr>
            </w:pPr>
            <w:r>
              <w:rPr>
                <w:sz w:val="22"/>
              </w:rPr>
              <w:t>7,10</w:t>
            </w:r>
          </w:p>
        </w:tc>
      </w:tr>
      <w:tr>
        <w:trPr>
          <w:trHeight w:val="389" w:hRule="exact"/>
        </w:trPr>
        <w:tc>
          <w:tcPr>
            <w:tcW w:w="581" w:type="dxa"/>
            <w:tcBorders>
              <w:top w:val="single" w:sz="4" w:space="0" w:color="000000"/>
              <w:right w:val="single" w:sz="4" w:space="0" w:color="000000"/>
            </w:tcBorders>
          </w:tcPr>
          <w:p>
            <w:pPr>
              <w:pStyle w:val="TableParagraph"/>
              <w:spacing w:before="49"/>
              <w:ind w:left="60" w:right="0"/>
              <w:jc w:val="left"/>
              <w:rPr>
                <w:sz w:val="22"/>
              </w:rPr>
            </w:pPr>
            <w:r>
              <w:rPr>
                <w:sz w:val="22"/>
              </w:rPr>
              <w:t>3p</w:t>
            </w:r>
          </w:p>
        </w:tc>
        <w:tc>
          <w:tcPr>
            <w:tcW w:w="1985" w:type="dxa"/>
            <w:tcBorders>
              <w:top w:val="single" w:sz="4" w:space="0" w:color="000000"/>
              <w:left w:val="single" w:sz="4" w:space="0" w:color="000000"/>
              <w:right w:val="single" w:sz="4" w:space="0" w:color="000000"/>
            </w:tcBorders>
          </w:tcPr>
          <w:p>
            <w:pPr>
              <w:pStyle w:val="TableParagraph"/>
              <w:spacing w:before="49"/>
              <w:ind w:left="64" w:right="175"/>
              <w:jc w:val="left"/>
              <w:rPr>
                <w:sz w:val="22"/>
              </w:rPr>
            </w:pPr>
            <w:r>
              <w:rPr>
                <w:sz w:val="22"/>
              </w:rPr>
              <w:t>Oxígeno disuelto</w:t>
            </w:r>
          </w:p>
        </w:tc>
        <w:tc>
          <w:tcPr>
            <w:tcW w:w="936" w:type="dxa"/>
            <w:tcBorders>
              <w:top w:val="single" w:sz="4" w:space="0" w:color="000000"/>
              <w:left w:val="single" w:sz="4" w:space="0" w:color="000000"/>
              <w:right w:val="single" w:sz="4" w:space="0" w:color="000000"/>
            </w:tcBorders>
          </w:tcPr>
          <w:p>
            <w:pPr>
              <w:pStyle w:val="TableParagraph"/>
              <w:spacing w:before="49"/>
              <w:ind w:left="280" w:right="0"/>
              <w:jc w:val="left"/>
              <w:rPr>
                <w:i/>
                <w:sz w:val="14"/>
              </w:rPr>
            </w:pPr>
            <w:r>
              <w:rPr>
                <w:i/>
                <w:sz w:val="22"/>
              </w:rPr>
              <w:t>Od</w:t>
            </w:r>
            <w:r>
              <w:rPr>
                <w:i/>
                <w:position w:val="-2"/>
                <w:sz w:val="14"/>
              </w:rPr>
              <w:t>in</w:t>
            </w:r>
          </w:p>
        </w:tc>
        <w:tc>
          <w:tcPr>
            <w:tcW w:w="1320" w:type="dxa"/>
            <w:tcBorders>
              <w:top w:val="single" w:sz="4" w:space="0" w:color="000000"/>
              <w:left w:val="single" w:sz="4" w:space="0" w:color="000000"/>
              <w:right w:val="single" w:sz="4" w:space="0" w:color="000000"/>
            </w:tcBorders>
          </w:tcPr>
          <w:p>
            <w:pPr/>
          </w:p>
        </w:tc>
        <w:tc>
          <w:tcPr>
            <w:tcW w:w="1548" w:type="dxa"/>
            <w:tcBorders>
              <w:top w:val="single" w:sz="4" w:space="0" w:color="000000"/>
              <w:left w:val="single" w:sz="4" w:space="0" w:color="000000"/>
              <w:right w:val="single" w:sz="4" w:space="0" w:color="000000"/>
            </w:tcBorders>
          </w:tcPr>
          <w:p>
            <w:pPr>
              <w:pStyle w:val="TableParagraph"/>
              <w:spacing w:before="49"/>
              <w:ind w:left="214" w:right="217"/>
              <w:jc w:val="center"/>
              <w:rPr>
                <w:sz w:val="22"/>
              </w:rPr>
            </w:pPr>
            <w:r>
              <w:rPr>
                <w:sz w:val="22"/>
              </w:rPr>
              <w:t>mg/L</w:t>
            </w:r>
          </w:p>
        </w:tc>
        <w:tc>
          <w:tcPr>
            <w:tcW w:w="1397" w:type="dxa"/>
            <w:tcBorders>
              <w:top w:val="single" w:sz="4" w:space="0" w:color="000000"/>
              <w:left w:val="single" w:sz="4" w:space="0" w:color="000000"/>
              <w:right w:val="single" w:sz="4" w:space="0" w:color="000000"/>
            </w:tcBorders>
          </w:tcPr>
          <w:p>
            <w:pPr>
              <w:pStyle w:val="TableParagraph"/>
              <w:spacing w:before="49"/>
              <w:ind w:right="63"/>
              <w:rPr>
                <w:sz w:val="22"/>
              </w:rPr>
            </w:pPr>
            <w:r>
              <w:rPr>
                <w:sz w:val="22"/>
              </w:rPr>
              <w:t>6,53</w:t>
            </w:r>
          </w:p>
        </w:tc>
        <w:tc>
          <w:tcPr>
            <w:tcW w:w="1310" w:type="dxa"/>
            <w:tcBorders>
              <w:top w:val="single" w:sz="4" w:space="0" w:color="000000"/>
              <w:left w:val="single" w:sz="4" w:space="0" w:color="000000"/>
            </w:tcBorders>
          </w:tcPr>
          <w:p>
            <w:pPr>
              <w:pStyle w:val="TableParagraph"/>
              <w:spacing w:before="49"/>
              <w:ind w:right="56"/>
              <w:rPr>
                <w:sz w:val="22"/>
              </w:rPr>
            </w:pPr>
            <w:r>
              <w:rPr>
                <w:sz w:val="22"/>
              </w:rPr>
              <w:t>6,80</w:t>
            </w:r>
          </w:p>
        </w:tc>
      </w:tr>
    </w:tbl>
    <w:p>
      <w:pPr>
        <w:pStyle w:val="BodyText"/>
        <w:spacing w:before="9"/>
        <w:rPr>
          <w:b/>
          <w:sz w:val="10"/>
        </w:rPr>
      </w:pPr>
    </w:p>
    <w:p>
      <w:pPr>
        <w:pStyle w:val="BodyText"/>
        <w:spacing w:line="360" w:lineRule="auto" w:before="73"/>
        <w:ind w:left="781" w:right="499"/>
        <w:jc w:val="both"/>
      </w:pPr>
      <w:r>
        <w:rPr/>
        <w:t>La alcalinidad determinada para los influentes de cada biofiltro comparada con lo reportado por Loyless y Malone (1997) se mantuvo en niveles bajos, pero dentro de un intervalo que permite la nitrificación, estos autores mencionan que este proceso se lleva a cabo de mejor manera con concentraciones de alcalinidad mayores a 100 mg/L  de CaCO</w:t>
      </w:r>
      <w:r>
        <w:rPr>
          <w:position w:val="-2"/>
          <w:sz w:val="13"/>
        </w:rPr>
        <w:t>3</w:t>
      </w:r>
      <w:r>
        <w:rPr/>
        <w:t>.</w:t>
      </w:r>
    </w:p>
    <w:p>
      <w:pPr>
        <w:pStyle w:val="BodyText"/>
        <w:spacing w:line="360" w:lineRule="auto" w:before="188"/>
        <w:ind w:left="781" w:right="498"/>
        <w:jc w:val="both"/>
      </w:pPr>
      <w:r>
        <w:rPr/>
        <w:t>El objetivo del tren de tratamiento fue acoplar el agua residual acuícola para permitir el cultivo de la trucha arco iris, la tabla 20 se presentan las características del efluente del tren de tratamiento de las dos unidades en que se llevaron a cabo procesos biológicos de remoción de contaminantes.</w:t>
      </w:r>
    </w:p>
    <w:p>
      <w:pPr>
        <w:spacing w:after="0" w:line="360" w:lineRule="auto"/>
        <w:jc w:val="both"/>
        <w:sectPr>
          <w:pgSz w:w="12240" w:h="15840"/>
          <w:pgMar w:header="725" w:footer="1084" w:top="1340" w:bottom="1280" w:left="920" w:right="1200"/>
        </w:sectPr>
      </w:pPr>
    </w:p>
    <w:p>
      <w:pPr>
        <w:pStyle w:val="BodyText"/>
        <w:spacing w:before="10"/>
        <w:rPr>
          <w:sz w:val="14"/>
        </w:rPr>
      </w:pPr>
    </w:p>
    <w:p>
      <w:pPr>
        <w:spacing w:before="0"/>
        <w:ind w:left="1232" w:right="0" w:firstLine="0"/>
        <w:jc w:val="left"/>
        <w:rPr>
          <w:b/>
          <w:sz w:val="18"/>
        </w:rPr>
      </w:pPr>
      <w:r>
        <w:rPr>
          <w:b/>
          <w:sz w:val="18"/>
        </w:rPr>
        <w:t>Tabla 20. Características del efluente de del percolador y el filtro de arena del SRA prototipo</w:t>
      </w:r>
    </w:p>
    <w:p>
      <w:pPr>
        <w:pStyle w:val="BodyText"/>
        <w:spacing w:before="10"/>
        <w:rPr>
          <w:b/>
          <w:sz w:val="10"/>
        </w:rPr>
      </w:pPr>
    </w:p>
    <w:tbl>
      <w:tblPr>
        <w:tblW w:w="0" w:type="auto"/>
        <w:jc w:val="left"/>
        <w:tblInd w:w="3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3"/>
        <w:gridCol w:w="2105"/>
        <w:gridCol w:w="934"/>
        <w:gridCol w:w="2693"/>
        <w:gridCol w:w="1476"/>
        <w:gridCol w:w="1241"/>
        <w:gridCol w:w="1171"/>
      </w:tblGrid>
      <w:tr>
        <w:trPr>
          <w:trHeight w:val="569" w:hRule="exact"/>
        </w:trPr>
        <w:tc>
          <w:tcPr>
            <w:tcW w:w="2568" w:type="dxa"/>
            <w:gridSpan w:val="2"/>
            <w:tcBorders>
              <w:bottom w:val="double" w:sz="6" w:space="0" w:color="000000"/>
              <w:right w:val="single" w:sz="4" w:space="0" w:color="000000"/>
            </w:tcBorders>
          </w:tcPr>
          <w:p>
            <w:pPr>
              <w:pStyle w:val="TableParagraph"/>
              <w:spacing w:before="131"/>
              <w:ind w:left="782" w:right="0"/>
              <w:jc w:val="left"/>
              <w:rPr>
                <w:b/>
                <w:i/>
                <w:sz w:val="22"/>
              </w:rPr>
            </w:pPr>
            <w:r>
              <w:rPr>
                <w:b/>
                <w:i/>
                <w:sz w:val="22"/>
              </w:rPr>
              <w:t>Parámetro</w:t>
            </w:r>
          </w:p>
        </w:tc>
        <w:tc>
          <w:tcPr>
            <w:tcW w:w="934" w:type="dxa"/>
            <w:tcBorders>
              <w:left w:val="single" w:sz="4" w:space="0" w:color="000000"/>
              <w:bottom w:val="double" w:sz="6" w:space="0" w:color="000000"/>
              <w:right w:val="single" w:sz="4" w:space="0" w:color="000000"/>
            </w:tcBorders>
          </w:tcPr>
          <w:p>
            <w:pPr>
              <w:pStyle w:val="TableParagraph"/>
              <w:spacing w:before="131"/>
              <w:ind w:left="93" w:right="0"/>
              <w:jc w:val="left"/>
              <w:rPr>
                <w:b/>
                <w:i/>
                <w:sz w:val="22"/>
              </w:rPr>
            </w:pPr>
            <w:r>
              <w:rPr>
                <w:b/>
                <w:i/>
                <w:sz w:val="22"/>
              </w:rPr>
              <w:t>Símbolo</w:t>
            </w:r>
          </w:p>
        </w:tc>
        <w:tc>
          <w:tcPr>
            <w:tcW w:w="2693" w:type="dxa"/>
            <w:tcBorders>
              <w:left w:val="single" w:sz="4" w:space="0" w:color="000000"/>
              <w:bottom w:val="double" w:sz="6" w:space="0" w:color="000000"/>
              <w:right w:val="single" w:sz="4" w:space="0" w:color="000000"/>
            </w:tcBorders>
          </w:tcPr>
          <w:p>
            <w:pPr>
              <w:pStyle w:val="TableParagraph"/>
              <w:spacing w:before="131"/>
              <w:ind w:left="920" w:right="922"/>
              <w:jc w:val="center"/>
              <w:rPr>
                <w:b/>
                <w:i/>
                <w:sz w:val="22"/>
              </w:rPr>
            </w:pPr>
            <w:r>
              <w:rPr>
                <w:b/>
                <w:i/>
                <w:sz w:val="22"/>
              </w:rPr>
              <w:t>Fórmula</w:t>
            </w:r>
          </w:p>
        </w:tc>
        <w:tc>
          <w:tcPr>
            <w:tcW w:w="1476" w:type="dxa"/>
            <w:tcBorders>
              <w:left w:val="single" w:sz="4" w:space="0" w:color="000000"/>
              <w:bottom w:val="double" w:sz="6" w:space="0" w:color="000000"/>
              <w:right w:val="single" w:sz="4" w:space="0" w:color="000000"/>
            </w:tcBorders>
          </w:tcPr>
          <w:p>
            <w:pPr>
              <w:pStyle w:val="TableParagraph"/>
              <w:spacing w:before="131"/>
              <w:ind w:left="304" w:right="0"/>
              <w:jc w:val="left"/>
              <w:rPr>
                <w:b/>
                <w:i/>
                <w:sz w:val="22"/>
              </w:rPr>
            </w:pPr>
            <w:r>
              <w:rPr>
                <w:b/>
                <w:i/>
                <w:sz w:val="22"/>
              </w:rPr>
              <w:t>Unidades</w:t>
            </w:r>
          </w:p>
        </w:tc>
        <w:tc>
          <w:tcPr>
            <w:tcW w:w="1241" w:type="dxa"/>
            <w:tcBorders>
              <w:left w:val="single" w:sz="4" w:space="0" w:color="000000"/>
              <w:bottom w:val="double" w:sz="6" w:space="0" w:color="000000"/>
              <w:right w:val="single" w:sz="4" w:space="0" w:color="000000"/>
            </w:tcBorders>
          </w:tcPr>
          <w:p>
            <w:pPr>
              <w:pStyle w:val="TableParagraph"/>
              <w:spacing w:before="131"/>
              <w:ind w:right="117"/>
              <w:rPr>
                <w:b/>
                <w:i/>
                <w:sz w:val="22"/>
              </w:rPr>
            </w:pPr>
            <w:r>
              <w:rPr>
                <w:b/>
                <w:i/>
                <w:sz w:val="22"/>
              </w:rPr>
              <w:t>Percolador</w:t>
            </w:r>
          </w:p>
        </w:tc>
        <w:tc>
          <w:tcPr>
            <w:tcW w:w="1171" w:type="dxa"/>
            <w:tcBorders>
              <w:left w:val="single" w:sz="4" w:space="0" w:color="000000"/>
              <w:bottom w:val="double" w:sz="6" w:space="0" w:color="000000"/>
            </w:tcBorders>
          </w:tcPr>
          <w:p>
            <w:pPr>
              <w:pStyle w:val="TableParagraph"/>
              <w:spacing w:line="237" w:lineRule="auto" w:before="1"/>
              <w:ind w:left="311" w:right="184" w:hanging="111"/>
              <w:jc w:val="left"/>
              <w:rPr>
                <w:b/>
                <w:i/>
                <w:sz w:val="22"/>
              </w:rPr>
            </w:pPr>
            <w:r>
              <w:rPr>
                <w:b/>
                <w:i/>
                <w:sz w:val="22"/>
              </w:rPr>
              <w:t>Filtro de </w:t>
            </w:r>
            <w:r>
              <w:rPr>
                <w:b/>
                <w:i/>
                <w:sz w:val="22"/>
              </w:rPr>
              <w:t>arena</w:t>
            </w:r>
          </w:p>
        </w:tc>
      </w:tr>
      <w:tr>
        <w:trPr>
          <w:trHeight w:val="1104" w:hRule="exact"/>
        </w:trPr>
        <w:tc>
          <w:tcPr>
            <w:tcW w:w="463" w:type="dxa"/>
            <w:tcBorders>
              <w:top w:val="double" w:sz="6"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left="112" w:right="0"/>
              <w:jc w:val="left"/>
              <w:rPr>
                <w:sz w:val="22"/>
              </w:rPr>
            </w:pPr>
            <w:r>
              <w:rPr>
                <w:sz w:val="22"/>
              </w:rPr>
              <w:t>5a</w:t>
            </w:r>
          </w:p>
        </w:tc>
        <w:tc>
          <w:tcPr>
            <w:tcW w:w="2105" w:type="dxa"/>
            <w:tcBorders>
              <w:top w:val="double" w:sz="6" w:space="0" w:color="000000"/>
              <w:left w:val="single" w:sz="4" w:space="0" w:color="000000"/>
              <w:bottom w:val="single" w:sz="4" w:space="0" w:color="000000"/>
              <w:right w:val="single" w:sz="4" w:space="0" w:color="000000"/>
            </w:tcBorders>
          </w:tcPr>
          <w:p>
            <w:pPr>
              <w:pStyle w:val="TableParagraph"/>
              <w:spacing w:before="0"/>
              <w:ind w:left="64"/>
              <w:jc w:val="left"/>
              <w:rPr>
                <w:sz w:val="22"/>
              </w:rPr>
            </w:pPr>
            <w:r>
              <w:rPr>
                <w:sz w:val="22"/>
              </w:rPr>
              <w:t>Tiempo de aclimatación antes de empezar la adquisición de datos</w:t>
            </w:r>
          </w:p>
        </w:tc>
        <w:tc>
          <w:tcPr>
            <w:tcW w:w="934" w:type="dxa"/>
            <w:tcBorders>
              <w:top w:val="double" w:sz="6"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right="0"/>
              <w:jc w:val="center"/>
              <w:rPr>
                <w:i/>
                <w:sz w:val="22"/>
              </w:rPr>
            </w:pPr>
            <w:r>
              <w:rPr>
                <w:i/>
                <w:w w:val="100"/>
                <w:sz w:val="22"/>
              </w:rPr>
              <w:t>t</w:t>
            </w:r>
          </w:p>
        </w:tc>
        <w:tc>
          <w:tcPr>
            <w:tcW w:w="2693" w:type="dxa"/>
            <w:tcBorders>
              <w:top w:val="double" w:sz="6" w:space="0" w:color="000000"/>
              <w:left w:val="single" w:sz="4" w:space="0" w:color="000000"/>
              <w:bottom w:val="single" w:sz="4" w:space="0" w:color="000000"/>
              <w:right w:val="single" w:sz="4" w:space="0" w:color="000000"/>
            </w:tcBorders>
          </w:tcPr>
          <w:p>
            <w:pPr/>
          </w:p>
        </w:tc>
        <w:tc>
          <w:tcPr>
            <w:tcW w:w="1476" w:type="dxa"/>
            <w:tcBorders>
              <w:top w:val="double" w:sz="6"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left="64" w:right="0"/>
              <w:jc w:val="left"/>
              <w:rPr>
                <w:sz w:val="22"/>
              </w:rPr>
            </w:pPr>
            <w:r>
              <w:rPr>
                <w:w w:val="100"/>
                <w:sz w:val="22"/>
              </w:rPr>
              <w:t>d</w:t>
            </w:r>
          </w:p>
        </w:tc>
        <w:tc>
          <w:tcPr>
            <w:tcW w:w="1241" w:type="dxa"/>
            <w:tcBorders>
              <w:top w:val="double" w:sz="6"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right="63"/>
              <w:rPr>
                <w:sz w:val="22"/>
              </w:rPr>
            </w:pPr>
            <w:r>
              <w:rPr>
                <w:sz w:val="22"/>
              </w:rPr>
              <w:t>38,00</w:t>
            </w:r>
          </w:p>
        </w:tc>
        <w:tc>
          <w:tcPr>
            <w:tcW w:w="1171" w:type="dxa"/>
            <w:tcBorders>
              <w:top w:val="double" w:sz="6" w:space="0" w:color="000000"/>
              <w:left w:val="single" w:sz="4" w:space="0" w:color="000000"/>
              <w:bottom w:val="single" w:sz="4" w:space="0" w:color="000000"/>
            </w:tcBorders>
          </w:tcPr>
          <w:p>
            <w:pPr>
              <w:pStyle w:val="TableParagraph"/>
              <w:spacing w:before="0"/>
              <w:ind w:right="0"/>
              <w:jc w:val="left"/>
              <w:rPr>
                <w:rFonts w:ascii="Arial"/>
                <w:b/>
                <w:sz w:val="22"/>
              </w:rPr>
            </w:pPr>
          </w:p>
          <w:p>
            <w:pPr>
              <w:pStyle w:val="TableParagraph"/>
              <w:spacing w:before="149"/>
              <w:ind w:right="58"/>
              <w:rPr>
                <w:sz w:val="22"/>
              </w:rPr>
            </w:pPr>
            <w:r>
              <w:rPr>
                <w:sz w:val="22"/>
              </w:rPr>
              <w:t>38,00</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08" w:right="0"/>
              <w:jc w:val="left"/>
              <w:rPr>
                <w:sz w:val="22"/>
              </w:rPr>
            </w:pPr>
            <w:r>
              <w:rPr>
                <w:sz w:val="22"/>
              </w:rPr>
              <w:t>5b</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58"/>
              <w:jc w:val="left"/>
              <w:rPr>
                <w:sz w:val="22"/>
              </w:rPr>
            </w:pPr>
            <w:r>
              <w:rPr>
                <w:sz w:val="22"/>
              </w:rPr>
              <w:t>Flujo de amonio (área superficial)</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40"/>
              <w:ind w:left="64" w:right="0"/>
              <w:jc w:val="left"/>
              <w:rPr>
                <w:rFonts w:ascii="Arial"/>
                <w:i/>
                <w:sz w:val="14"/>
              </w:rPr>
            </w:pPr>
            <w:r>
              <w:rPr>
                <w:rFonts w:ascii="Arial"/>
                <w:i/>
                <w:position w:val="3"/>
                <w:sz w:val="22"/>
              </w:rPr>
              <w:t>Q</w:t>
            </w:r>
            <w:r>
              <w:rPr>
                <w:rFonts w:ascii="Arial"/>
                <w:i/>
                <w:sz w:val="14"/>
              </w:rPr>
              <w:t>NH3AS</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32"/>
              <w:ind w:left="64" w:right="0"/>
              <w:jc w:val="left"/>
              <w:rPr>
                <w:sz w:val="14"/>
              </w:rPr>
            </w:pPr>
            <w:r>
              <w:rPr>
                <w:position w:val="3"/>
                <w:sz w:val="22"/>
              </w:rPr>
              <w:t>=(Q</w:t>
            </w:r>
            <w:r>
              <w:rPr>
                <w:sz w:val="14"/>
              </w:rPr>
              <w:t>filter </w:t>
            </w:r>
            <w:r>
              <w:rPr>
                <w:position w:val="3"/>
                <w:sz w:val="22"/>
              </w:rPr>
              <w:t>N-NH</w:t>
            </w:r>
            <w:r>
              <w:rPr>
                <w:sz w:val="14"/>
              </w:rPr>
              <w:t>3in</w:t>
            </w:r>
            <w:r>
              <w:rPr>
                <w:position w:val="3"/>
                <w:sz w:val="22"/>
              </w:rPr>
              <w:t>)/A</w:t>
            </w:r>
            <w:r>
              <w:rPr>
                <w:sz w:val="14"/>
              </w:rPr>
              <w:t>cross</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07"/>
              <w:ind w:left="64" w:right="0"/>
              <w:jc w:val="left"/>
              <w:rPr>
                <w:sz w:val="22"/>
              </w:rPr>
            </w:pPr>
            <w:r>
              <w:rPr>
                <w:sz w:val="22"/>
              </w:rPr>
              <w:t>g N-NH</w:t>
            </w:r>
            <w:r>
              <w:rPr>
                <w:position w:val="-2"/>
                <w:sz w:val="14"/>
              </w:rPr>
              <w:t>3</w:t>
            </w:r>
            <w:r>
              <w:rPr>
                <w:sz w:val="22"/>
              </w:rPr>
              <w:t>/m</w:t>
            </w:r>
            <w:r>
              <w:rPr>
                <w:position w:val="10"/>
                <w:sz w:val="14"/>
              </w:rPr>
              <w:t>2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0,35</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0,09</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20" w:right="0"/>
              <w:jc w:val="left"/>
              <w:rPr>
                <w:sz w:val="22"/>
              </w:rPr>
            </w:pPr>
            <w:r>
              <w:rPr>
                <w:sz w:val="22"/>
              </w:rPr>
              <w:t>5c</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571"/>
              <w:jc w:val="left"/>
              <w:rPr>
                <w:sz w:val="22"/>
              </w:rPr>
            </w:pPr>
            <w:r>
              <w:rPr>
                <w:sz w:val="22"/>
              </w:rPr>
              <w:t>Flujo de amonio (empaque)</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40"/>
              <w:ind w:left="64" w:right="0"/>
              <w:jc w:val="left"/>
              <w:rPr>
                <w:rFonts w:ascii="Arial"/>
                <w:i/>
                <w:sz w:val="14"/>
              </w:rPr>
            </w:pPr>
            <w:r>
              <w:rPr>
                <w:rFonts w:ascii="Arial"/>
                <w:i/>
                <w:position w:val="3"/>
                <w:sz w:val="22"/>
              </w:rPr>
              <w:t>Q</w:t>
            </w:r>
            <w:r>
              <w:rPr>
                <w:rFonts w:ascii="Arial"/>
                <w:i/>
                <w:sz w:val="14"/>
              </w:rPr>
              <w:t>NH3E</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32"/>
              <w:ind w:left="64" w:right="0"/>
              <w:jc w:val="left"/>
              <w:rPr>
                <w:sz w:val="14"/>
              </w:rPr>
            </w:pPr>
            <w:r>
              <w:rPr>
                <w:position w:val="3"/>
                <w:sz w:val="22"/>
              </w:rPr>
              <w:t>=(Q</w:t>
            </w:r>
            <w:r>
              <w:rPr>
                <w:sz w:val="14"/>
              </w:rPr>
              <w:t>filter </w:t>
            </w:r>
            <w:r>
              <w:rPr>
                <w:position w:val="3"/>
                <w:sz w:val="22"/>
              </w:rPr>
              <w:t>N-NH</w:t>
            </w:r>
            <w:r>
              <w:rPr>
                <w:sz w:val="14"/>
              </w:rPr>
              <w:t>3in</w:t>
            </w:r>
            <w:r>
              <w:rPr>
                <w:position w:val="3"/>
                <w:sz w:val="22"/>
              </w:rPr>
              <w:t>)/A</w:t>
            </w:r>
            <w:r>
              <w:rPr>
                <w:sz w:val="14"/>
              </w:rPr>
              <w:t>media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07"/>
              <w:ind w:left="64" w:right="0"/>
              <w:jc w:val="left"/>
              <w:rPr>
                <w:sz w:val="22"/>
              </w:rPr>
            </w:pPr>
            <w:r>
              <w:rPr>
                <w:sz w:val="22"/>
              </w:rPr>
              <w:t>g N-NH</w:t>
            </w:r>
            <w:r>
              <w:rPr>
                <w:position w:val="-2"/>
                <w:sz w:val="14"/>
              </w:rPr>
              <w:t>3</w:t>
            </w:r>
            <w:r>
              <w:rPr>
                <w:sz w:val="22"/>
              </w:rPr>
              <w:t>/m</w:t>
            </w:r>
            <w:r>
              <w:rPr>
                <w:position w:val="10"/>
                <w:sz w:val="14"/>
              </w:rPr>
              <w:t>2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0,50</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0,09</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08" w:right="0"/>
              <w:jc w:val="left"/>
              <w:rPr>
                <w:sz w:val="22"/>
              </w:rPr>
            </w:pPr>
            <w:r>
              <w:rPr>
                <w:sz w:val="22"/>
              </w:rPr>
              <w:t>5d</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line="232" w:lineRule="auto" w:before="3"/>
              <w:ind w:left="64" w:right="779"/>
              <w:jc w:val="left"/>
              <w:rPr>
                <w:sz w:val="22"/>
              </w:rPr>
            </w:pPr>
            <w:r>
              <w:rPr>
                <w:sz w:val="22"/>
              </w:rPr>
              <w:t>Flujo de DBO</w:t>
            </w:r>
            <w:r>
              <w:rPr>
                <w:position w:val="-2"/>
                <w:sz w:val="14"/>
              </w:rPr>
              <w:t>5 </w:t>
            </w:r>
            <w:r>
              <w:rPr>
                <w:sz w:val="22"/>
              </w:rPr>
              <w:t>(empaque)</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40"/>
              <w:ind w:left="64" w:right="0"/>
              <w:jc w:val="left"/>
              <w:rPr>
                <w:rFonts w:ascii="Arial"/>
                <w:i/>
                <w:sz w:val="14"/>
              </w:rPr>
            </w:pPr>
            <w:r>
              <w:rPr>
                <w:rFonts w:ascii="Arial"/>
                <w:i/>
                <w:position w:val="3"/>
                <w:sz w:val="22"/>
              </w:rPr>
              <w:t>Q</w:t>
            </w:r>
            <w:r>
              <w:rPr>
                <w:rFonts w:ascii="Arial"/>
                <w:i/>
                <w:sz w:val="14"/>
              </w:rPr>
              <w:t>DBO5E</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32"/>
              <w:ind w:left="64" w:right="0"/>
              <w:jc w:val="left"/>
              <w:rPr>
                <w:sz w:val="14"/>
              </w:rPr>
            </w:pPr>
            <w:r>
              <w:rPr>
                <w:position w:val="3"/>
                <w:sz w:val="22"/>
              </w:rPr>
              <w:t>=(Q</w:t>
            </w:r>
            <w:r>
              <w:rPr>
                <w:sz w:val="14"/>
              </w:rPr>
              <w:t>filter </w:t>
            </w:r>
            <w:r>
              <w:rPr>
                <w:position w:val="3"/>
                <w:sz w:val="22"/>
              </w:rPr>
              <w:t>DBO</w:t>
            </w:r>
            <w:r>
              <w:rPr>
                <w:sz w:val="14"/>
              </w:rPr>
              <w:t>5in</w:t>
            </w:r>
            <w:r>
              <w:rPr>
                <w:position w:val="3"/>
                <w:sz w:val="22"/>
              </w:rPr>
              <w:t>)/A</w:t>
            </w:r>
            <w:r>
              <w:rPr>
                <w:sz w:val="14"/>
              </w:rPr>
              <w:t>media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07"/>
              <w:ind w:left="64" w:right="0"/>
              <w:jc w:val="left"/>
              <w:rPr>
                <w:sz w:val="22"/>
              </w:rPr>
            </w:pPr>
            <w:r>
              <w:rPr>
                <w:sz w:val="22"/>
              </w:rPr>
              <w:t>g DBO</w:t>
            </w:r>
            <w:r>
              <w:rPr>
                <w:position w:val="-2"/>
                <w:sz w:val="14"/>
              </w:rPr>
              <w:t>5</w:t>
            </w:r>
            <w:r>
              <w:rPr>
                <w:sz w:val="22"/>
              </w:rPr>
              <w:t>/m</w:t>
            </w:r>
            <w:r>
              <w:rPr>
                <w:position w:val="10"/>
                <w:sz w:val="14"/>
              </w:rPr>
              <w:t>2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10,82</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2,68</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84" w:right="0"/>
              <w:jc w:val="left"/>
              <w:rPr>
                <w:sz w:val="22"/>
              </w:rPr>
            </w:pPr>
            <w:r>
              <w:rPr>
                <w:sz w:val="22"/>
              </w:rPr>
              <w:t>5d'</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120" w:right="821" w:hanging="56"/>
              <w:jc w:val="left"/>
              <w:rPr>
                <w:sz w:val="22"/>
              </w:rPr>
            </w:pPr>
            <w:r>
              <w:rPr>
                <w:sz w:val="22"/>
              </w:rPr>
              <w:t>Flujo de DQO (empaque)</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40"/>
              <w:ind w:left="64" w:right="0"/>
              <w:jc w:val="left"/>
              <w:rPr>
                <w:rFonts w:ascii="Arial"/>
                <w:i/>
                <w:sz w:val="14"/>
              </w:rPr>
            </w:pPr>
            <w:r>
              <w:rPr>
                <w:rFonts w:ascii="Arial"/>
                <w:i/>
                <w:position w:val="3"/>
                <w:sz w:val="22"/>
              </w:rPr>
              <w:t>Q</w:t>
            </w:r>
            <w:r>
              <w:rPr>
                <w:rFonts w:ascii="Arial"/>
                <w:i/>
                <w:sz w:val="14"/>
              </w:rPr>
              <w:t>DQOE</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32"/>
              <w:ind w:left="64" w:right="0"/>
              <w:jc w:val="left"/>
              <w:rPr>
                <w:sz w:val="14"/>
              </w:rPr>
            </w:pPr>
            <w:r>
              <w:rPr>
                <w:position w:val="3"/>
                <w:sz w:val="22"/>
              </w:rPr>
              <w:t>=(Q</w:t>
            </w:r>
            <w:r>
              <w:rPr>
                <w:sz w:val="14"/>
              </w:rPr>
              <w:t>filter </w:t>
            </w:r>
            <w:r>
              <w:rPr>
                <w:position w:val="3"/>
                <w:sz w:val="22"/>
              </w:rPr>
              <w:t>DQO</w:t>
            </w:r>
            <w:r>
              <w:rPr>
                <w:sz w:val="14"/>
              </w:rPr>
              <w:t>in</w:t>
            </w:r>
            <w:r>
              <w:rPr>
                <w:position w:val="3"/>
                <w:sz w:val="22"/>
              </w:rPr>
              <w:t>)/A</w:t>
            </w:r>
            <w:r>
              <w:rPr>
                <w:sz w:val="14"/>
              </w:rPr>
              <w:t>media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07"/>
              <w:ind w:left="64" w:right="0"/>
              <w:jc w:val="left"/>
              <w:rPr>
                <w:sz w:val="22"/>
              </w:rPr>
            </w:pPr>
            <w:r>
              <w:rPr>
                <w:sz w:val="22"/>
              </w:rPr>
              <w:t>g DQO/m</w:t>
            </w:r>
            <w:r>
              <w:rPr>
                <w:position w:val="10"/>
                <w:sz w:val="14"/>
              </w:rPr>
              <w:t>2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29,79</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6,20</w:t>
            </w:r>
          </w:p>
        </w:tc>
      </w:tr>
      <w:tr>
        <w:trPr>
          <w:trHeight w:val="310" w:hRule="exact"/>
        </w:trPr>
        <w:tc>
          <w:tcPr>
            <w:tcW w:w="463" w:type="dxa"/>
            <w:tcBorders>
              <w:top w:val="single" w:sz="4" w:space="0" w:color="000000"/>
              <w:bottom w:val="single" w:sz="4" w:space="0" w:color="000000"/>
              <w:right w:val="single" w:sz="4" w:space="0" w:color="000000"/>
            </w:tcBorders>
          </w:tcPr>
          <w:p>
            <w:pPr>
              <w:pStyle w:val="TableParagraph"/>
              <w:spacing w:before="11"/>
              <w:ind w:left="110" w:right="0"/>
              <w:jc w:val="left"/>
              <w:rPr>
                <w:sz w:val="22"/>
              </w:rPr>
            </w:pPr>
            <w:r>
              <w:rPr>
                <w:sz w:val="22"/>
              </w:rPr>
              <w:t>5e</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11"/>
              <w:ind w:left="64"/>
              <w:jc w:val="left"/>
              <w:rPr>
                <w:sz w:val="22"/>
              </w:rPr>
            </w:pPr>
            <w:r>
              <w:rPr>
                <w:sz w:val="22"/>
              </w:rPr>
              <w:t>Temperatura</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1"/>
              <w:ind w:right="0"/>
              <w:jc w:val="center"/>
              <w:rPr>
                <w:i/>
                <w:sz w:val="22"/>
              </w:rPr>
            </w:pPr>
            <w:r>
              <w:rPr>
                <w:i/>
                <w:w w:val="100"/>
                <w:sz w:val="22"/>
              </w:rPr>
              <w:t>T</w:t>
            </w:r>
          </w:p>
        </w:tc>
        <w:tc>
          <w:tcPr>
            <w:tcW w:w="2693" w:type="dxa"/>
            <w:tcBorders>
              <w:top w:val="single" w:sz="4" w:space="0" w:color="000000"/>
              <w:left w:val="single" w:sz="4" w:space="0" w:color="000000"/>
              <w:bottom w:val="single" w:sz="4" w:space="0" w:color="000000"/>
              <w:right w:val="single" w:sz="4" w:space="0" w:color="000000"/>
            </w:tcBorders>
          </w:tcPr>
          <w:p>
            <w:pP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1"/>
              <w:ind w:left="64" w:right="0"/>
              <w:jc w:val="left"/>
              <w:rPr>
                <w:sz w:val="22"/>
              </w:rPr>
            </w:pPr>
            <w:r>
              <w:rPr>
                <w:sz w:val="22"/>
              </w:rPr>
              <w:t>°C</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1"/>
              <w:ind w:right="63"/>
              <w:rPr>
                <w:sz w:val="22"/>
              </w:rPr>
            </w:pPr>
            <w:r>
              <w:rPr>
                <w:sz w:val="22"/>
              </w:rPr>
              <w:t>17,00</w:t>
            </w:r>
          </w:p>
        </w:tc>
        <w:tc>
          <w:tcPr>
            <w:tcW w:w="1171" w:type="dxa"/>
            <w:tcBorders>
              <w:top w:val="single" w:sz="4" w:space="0" w:color="000000"/>
              <w:left w:val="single" w:sz="4" w:space="0" w:color="000000"/>
              <w:bottom w:val="single" w:sz="4" w:space="0" w:color="000000"/>
            </w:tcBorders>
          </w:tcPr>
          <w:p>
            <w:pPr>
              <w:pStyle w:val="TableParagraph"/>
              <w:spacing w:before="11"/>
              <w:ind w:right="58"/>
              <w:rPr>
                <w:sz w:val="22"/>
              </w:rPr>
            </w:pPr>
            <w:r>
              <w:rPr>
                <w:sz w:val="22"/>
              </w:rPr>
              <w:t>17,10</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32" w:right="0"/>
              <w:jc w:val="left"/>
              <w:rPr>
                <w:sz w:val="22"/>
              </w:rPr>
            </w:pPr>
            <w:r>
              <w:rPr>
                <w:sz w:val="22"/>
              </w:rPr>
              <w:t>5f</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40"/>
              <w:jc w:val="left"/>
              <w:rPr>
                <w:sz w:val="22"/>
              </w:rPr>
            </w:pPr>
            <w:r>
              <w:rPr>
                <w:sz w:val="22"/>
              </w:rPr>
              <w:t>Nitrógeno amoniacal salida</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31"/>
              <w:ind w:left="86" w:right="0"/>
              <w:jc w:val="left"/>
              <w:rPr>
                <w:i/>
                <w:sz w:val="14"/>
              </w:rPr>
            </w:pPr>
            <w:r>
              <w:rPr>
                <w:i/>
                <w:sz w:val="22"/>
              </w:rPr>
              <w:t>N-NH</w:t>
            </w:r>
            <w:r>
              <w:rPr>
                <w:i/>
                <w:position w:val="-2"/>
                <w:sz w:val="14"/>
              </w:rPr>
              <w:t>3out</w:t>
            </w:r>
          </w:p>
        </w:tc>
        <w:tc>
          <w:tcPr>
            <w:tcW w:w="2693" w:type="dxa"/>
            <w:tcBorders>
              <w:top w:val="single" w:sz="4" w:space="0" w:color="000000"/>
              <w:left w:val="single" w:sz="4" w:space="0" w:color="000000"/>
              <w:bottom w:val="single" w:sz="4" w:space="0" w:color="000000"/>
              <w:right w:val="single" w:sz="4" w:space="0" w:color="000000"/>
            </w:tcBorders>
          </w:tcPr>
          <w:p>
            <w:pP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31"/>
              <w:ind w:left="64" w:right="0"/>
              <w:jc w:val="left"/>
              <w:rPr>
                <w:sz w:val="22"/>
              </w:rPr>
            </w:pPr>
            <w:r>
              <w:rPr>
                <w:sz w:val="22"/>
              </w:rPr>
              <w:t>mg N-NH</w:t>
            </w:r>
            <w:r>
              <w:rPr>
                <w:position w:val="-2"/>
                <w:sz w:val="14"/>
              </w:rPr>
              <w:t>3</w:t>
            </w:r>
            <w:r>
              <w:rPr>
                <w:sz w:val="22"/>
              </w:rPr>
              <w:t>/L</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0,67</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0,29</w:t>
            </w:r>
          </w:p>
        </w:tc>
      </w:tr>
      <w:tr>
        <w:trPr>
          <w:trHeight w:val="370" w:hRule="exact"/>
        </w:trPr>
        <w:tc>
          <w:tcPr>
            <w:tcW w:w="463" w:type="dxa"/>
            <w:tcBorders>
              <w:top w:val="single" w:sz="4" w:space="0" w:color="000000"/>
              <w:bottom w:val="single" w:sz="4" w:space="0" w:color="000000"/>
              <w:right w:val="single" w:sz="4" w:space="0" w:color="000000"/>
            </w:tcBorders>
          </w:tcPr>
          <w:p>
            <w:pPr>
              <w:pStyle w:val="TableParagraph"/>
              <w:spacing w:before="42"/>
              <w:ind w:left="112" w:right="0"/>
              <w:jc w:val="left"/>
              <w:rPr>
                <w:sz w:val="22"/>
              </w:rPr>
            </w:pPr>
            <w:r>
              <w:rPr>
                <w:sz w:val="22"/>
              </w:rPr>
              <w:t>5g</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jc w:val="left"/>
              <w:rPr>
                <w:sz w:val="22"/>
              </w:rPr>
            </w:pPr>
            <w:r>
              <w:rPr>
                <w:sz w:val="22"/>
              </w:rPr>
              <w:t>N-nitritos</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line="96" w:lineRule="exact" w:before="22"/>
              <w:ind w:left="609" w:right="0"/>
              <w:jc w:val="left"/>
              <w:rPr>
                <w:i/>
                <w:sz w:val="13"/>
              </w:rPr>
            </w:pPr>
            <w:r>
              <w:rPr>
                <w:i/>
                <w:w w:val="99"/>
                <w:sz w:val="13"/>
              </w:rPr>
              <w:t>-</w:t>
            </w:r>
          </w:p>
          <w:p>
            <w:pPr>
              <w:pStyle w:val="TableParagraph"/>
              <w:spacing w:line="193" w:lineRule="exact" w:before="0"/>
              <w:ind w:left="95" w:right="0"/>
              <w:jc w:val="left"/>
              <w:rPr>
                <w:i/>
                <w:sz w:val="13"/>
              </w:rPr>
            </w:pPr>
            <w:r>
              <w:rPr>
                <w:i/>
                <w:sz w:val="20"/>
              </w:rPr>
              <w:t>N-NO</w:t>
            </w:r>
            <w:r>
              <w:rPr>
                <w:i/>
                <w:position w:val="-2"/>
                <w:sz w:val="13"/>
              </w:rPr>
              <w:t>2 out</w:t>
            </w:r>
          </w:p>
        </w:tc>
        <w:tc>
          <w:tcPr>
            <w:tcW w:w="2693" w:type="dxa"/>
            <w:tcBorders>
              <w:top w:val="single" w:sz="4" w:space="0" w:color="000000"/>
              <w:left w:val="single" w:sz="4" w:space="0" w:color="000000"/>
              <w:bottom w:val="single" w:sz="4" w:space="0" w:color="000000"/>
              <w:right w:val="single" w:sz="4" w:space="0" w:color="000000"/>
            </w:tcBorders>
          </w:tcPr>
          <w:p>
            <w:pP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98" w:lineRule="exact" w:before="18"/>
              <w:ind w:left="962" w:right="0"/>
              <w:jc w:val="left"/>
              <w:rPr>
                <w:sz w:val="14"/>
              </w:rPr>
            </w:pPr>
            <w:r>
              <w:rPr>
                <w:w w:val="99"/>
                <w:sz w:val="14"/>
              </w:rPr>
              <w:t>-</w:t>
            </w:r>
          </w:p>
          <w:p>
            <w:pPr>
              <w:pStyle w:val="TableParagraph"/>
              <w:spacing w:line="204" w:lineRule="exact" w:before="0"/>
              <w:ind w:left="64" w:right="0"/>
              <w:jc w:val="left"/>
              <w:rPr>
                <w:sz w:val="22"/>
              </w:rPr>
            </w:pPr>
            <w:r>
              <w:rPr>
                <w:sz w:val="22"/>
              </w:rPr>
              <w:t>mg N-NO</w:t>
            </w:r>
            <w:r>
              <w:rPr>
                <w:position w:val="-2"/>
                <w:sz w:val="14"/>
              </w:rPr>
              <w:t>2 </w:t>
            </w:r>
            <w:r>
              <w:rPr>
                <w:sz w:val="22"/>
              </w:rPr>
              <w:t>/L</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42"/>
              <w:ind w:right="63"/>
              <w:rPr>
                <w:sz w:val="22"/>
              </w:rPr>
            </w:pPr>
            <w:r>
              <w:rPr>
                <w:sz w:val="22"/>
              </w:rPr>
              <w:t>0,298</w:t>
            </w:r>
          </w:p>
        </w:tc>
        <w:tc>
          <w:tcPr>
            <w:tcW w:w="1171" w:type="dxa"/>
            <w:tcBorders>
              <w:top w:val="single" w:sz="4" w:space="0" w:color="000000"/>
              <w:left w:val="single" w:sz="4" w:space="0" w:color="000000"/>
              <w:bottom w:val="single" w:sz="4" w:space="0" w:color="000000"/>
            </w:tcBorders>
          </w:tcPr>
          <w:p>
            <w:pPr>
              <w:pStyle w:val="TableParagraph"/>
              <w:spacing w:before="42"/>
              <w:ind w:right="58"/>
              <w:rPr>
                <w:sz w:val="22"/>
              </w:rPr>
            </w:pPr>
            <w:r>
              <w:rPr>
                <w:sz w:val="22"/>
              </w:rPr>
              <w:t>0,197</w:t>
            </w:r>
          </w:p>
        </w:tc>
      </w:tr>
      <w:tr>
        <w:trPr>
          <w:trHeight w:val="370" w:hRule="exact"/>
        </w:trPr>
        <w:tc>
          <w:tcPr>
            <w:tcW w:w="463" w:type="dxa"/>
            <w:tcBorders>
              <w:top w:val="single" w:sz="4" w:space="0" w:color="000000"/>
              <w:bottom w:val="single" w:sz="4" w:space="0" w:color="000000"/>
              <w:right w:val="single" w:sz="4" w:space="0" w:color="000000"/>
            </w:tcBorders>
          </w:tcPr>
          <w:p>
            <w:pPr>
              <w:pStyle w:val="TableParagraph"/>
              <w:spacing w:before="42"/>
              <w:ind w:left="108" w:right="0"/>
              <w:jc w:val="left"/>
              <w:rPr>
                <w:sz w:val="22"/>
              </w:rPr>
            </w:pPr>
            <w:r>
              <w:rPr>
                <w:sz w:val="22"/>
              </w:rPr>
              <w:t>5h</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jc w:val="left"/>
              <w:rPr>
                <w:sz w:val="22"/>
              </w:rPr>
            </w:pPr>
            <w:r>
              <w:rPr>
                <w:sz w:val="22"/>
              </w:rPr>
              <w:t>N-nitratos</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line="96" w:lineRule="exact" w:before="22"/>
              <w:ind w:left="609" w:right="0"/>
              <w:jc w:val="left"/>
              <w:rPr>
                <w:i/>
                <w:sz w:val="13"/>
              </w:rPr>
            </w:pPr>
            <w:r>
              <w:rPr>
                <w:i/>
                <w:w w:val="99"/>
                <w:sz w:val="13"/>
              </w:rPr>
              <w:t>-</w:t>
            </w:r>
          </w:p>
          <w:p>
            <w:pPr>
              <w:pStyle w:val="TableParagraph"/>
              <w:spacing w:line="193" w:lineRule="exact" w:before="0"/>
              <w:ind w:left="95" w:right="0"/>
              <w:jc w:val="left"/>
              <w:rPr>
                <w:i/>
                <w:sz w:val="13"/>
              </w:rPr>
            </w:pPr>
            <w:r>
              <w:rPr>
                <w:i/>
                <w:sz w:val="20"/>
              </w:rPr>
              <w:t>N-NO</w:t>
            </w:r>
            <w:r>
              <w:rPr>
                <w:i/>
                <w:position w:val="-2"/>
                <w:sz w:val="13"/>
              </w:rPr>
              <w:t>3 out</w:t>
            </w:r>
          </w:p>
        </w:tc>
        <w:tc>
          <w:tcPr>
            <w:tcW w:w="2693" w:type="dxa"/>
            <w:tcBorders>
              <w:top w:val="single" w:sz="4" w:space="0" w:color="000000"/>
              <w:left w:val="single" w:sz="4" w:space="0" w:color="000000"/>
              <w:bottom w:val="single" w:sz="4" w:space="0" w:color="000000"/>
              <w:right w:val="single" w:sz="4" w:space="0" w:color="000000"/>
            </w:tcBorders>
          </w:tcPr>
          <w:p>
            <w:pP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98" w:lineRule="exact" w:before="18"/>
              <w:ind w:left="962" w:right="0"/>
              <w:jc w:val="left"/>
              <w:rPr>
                <w:sz w:val="14"/>
              </w:rPr>
            </w:pPr>
            <w:r>
              <w:rPr>
                <w:w w:val="99"/>
                <w:sz w:val="14"/>
              </w:rPr>
              <w:t>-</w:t>
            </w:r>
          </w:p>
          <w:p>
            <w:pPr>
              <w:pStyle w:val="TableParagraph"/>
              <w:spacing w:line="204" w:lineRule="exact" w:before="0"/>
              <w:ind w:left="64" w:right="0"/>
              <w:jc w:val="left"/>
              <w:rPr>
                <w:sz w:val="22"/>
              </w:rPr>
            </w:pPr>
            <w:r>
              <w:rPr>
                <w:sz w:val="22"/>
              </w:rPr>
              <w:t>mg N-NO</w:t>
            </w:r>
            <w:r>
              <w:rPr>
                <w:position w:val="-2"/>
                <w:sz w:val="14"/>
              </w:rPr>
              <w:t>3 </w:t>
            </w:r>
            <w:r>
              <w:rPr>
                <w:sz w:val="22"/>
              </w:rPr>
              <w:t>/L</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42"/>
              <w:ind w:right="63"/>
              <w:rPr>
                <w:sz w:val="22"/>
              </w:rPr>
            </w:pPr>
            <w:r>
              <w:rPr>
                <w:sz w:val="22"/>
              </w:rPr>
              <w:t>56,70</w:t>
            </w:r>
          </w:p>
        </w:tc>
        <w:tc>
          <w:tcPr>
            <w:tcW w:w="1171" w:type="dxa"/>
            <w:tcBorders>
              <w:top w:val="single" w:sz="4" w:space="0" w:color="000000"/>
              <w:left w:val="single" w:sz="4" w:space="0" w:color="000000"/>
              <w:bottom w:val="single" w:sz="4" w:space="0" w:color="000000"/>
            </w:tcBorders>
          </w:tcPr>
          <w:p>
            <w:pPr>
              <w:pStyle w:val="TableParagraph"/>
              <w:spacing w:before="42"/>
              <w:ind w:right="58"/>
              <w:rPr>
                <w:sz w:val="22"/>
              </w:rPr>
            </w:pPr>
            <w:r>
              <w:rPr>
                <w:sz w:val="22"/>
              </w:rPr>
              <w:t>57,56</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39" w:right="0"/>
              <w:jc w:val="left"/>
              <w:rPr>
                <w:sz w:val="22"/>
              </w:rPr>
            </w:pPr>
            <w:r>
              <w:rPr>
                <w:sz w:val="22"/>
              </w:rPr>
              <w:t>5i</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274"/>
              <w:jc w:val="left"/>
              <w:rPr>
                <w:sz w:val="14"/>
              </w:rPr>
            </w:pPr>
            <w:r>
              <w:rPr>
                <w:sz w:val="22"/>
              </w:rPr>
              <w:t>Porcentaje de remoción de N-NH</w:t>
            </w:r>
            <w:r>
              <w:rPr>
                <w:position w:val="-2"/>
                <w:sz w:val="14"/>
              </w:rPr>
              <w:t>3</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31"/>
              <w:ind w:left="290" w:right="0"/>
              <w:jc w:val="left"/>
              <w:rPr>
                <w:i/>
                <w:sz w:val="22"/>
              </w:rPr>
            </w:pPr>
            <w:r>
              <w:rPr>
                <w:i/>
                <w:sz w:val="22"/>
              </w:rPr>
              <w:t>PTR</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line="270" w:lineRule="exact" w:before="0"/>
              <w:ind w:left="64" w:right="0"/>
              <w:jc w:val="left"/>
              <w:rPr>
                <w:sz w:val="22"/>
              </w:rPr>
            </w:pPr>
            <w:r>
              <w:rPr>
                <w:sz w:val="22"/>
              </w:rPr>
              <w:t>=(N-NH</w:t>
            </w:r>
            <w:r>
              <w:rPr>
                <w:position w:val="-2"/>
                <w:sz w:val="14"/>
              </w:rPr>
              <w:t>3in </w:t>
            </w:r>
            <w:r>
              <w:rPr>
                <w:sz w:val="22"/>
              </w:rPr>
              <w:t>- N-NH</w:t>
            </w:r>
            <w:r>
              <w:rPr>
                <w:position w:val="-2"/>
                <w:sz w:val="14"/>
              </w:rPr>
              <w:t>3out</w:t>
            </w:r>
            <w:r>
              <w:rPr>
                <w:sz w:val="22"/>
              </w:rPr>
              <w:t>)/N-</w:t>
            </w:r>
          </w:p>
          <w:p>
            <w:pPr>
              <w:pStyle w:val="TableParagraph"/>
              <w:spacing w:line="274" w:lineRule="exact" w:before="0"/>
              <w:ind w:left="64" w:right="0"/>
              <w:jc w:val="left"/>
              <w:rPr>
                <w:sz w:val="14"/>
              </w:rPr>
            </w:pPr>
            <w:r>
              <w:rPr>
                <w:position w:val="3"/>
                <w:sz w:val="22"/>
              </w:rPr>
              <w:t>NH</w:t>
            </w:r>
            <w:r>
              <w:rPr>
                <w:sz w:val="14"/>
              </w:rPr>
              <w:t>3in</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31"/>
              <w:ind w:left="64" w:right="0"/>
              <w:jc w:val="left"/>
              <w:rPr>
                <w:sz w:val="22"/>
              </w:rPr>
            </w:pPr>
            <w:r>
              <w:rPr>
                <w:w w:val="100"/>
                <w:sz w:val="22"/>
              </w:rPr>
              <w:t>%</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16,25</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56,72</w:t>
            </w:r>
          </w:p>
        </w:tc>
      </w:tr>
      <w:tr>
        <w:trPr>
          <w:trHeight w:val="370" w:hRule="exact"/>
        </w:trPr>
        <w:tc>
          <w:tcPr>
            <w:tcW w:w="463" w:type="dxa"/>
            <w:tcBorders>
              <w:top w:val="single" w:sz="4" w:space="0" w:color="000000"/>
              <w:bottom w:val="single" w:sz="4" w:space="0" w:color="000000"/>
              <w:right w:val="single" w:sz="4" w:space="0" w:color="000000"/>
            </w:tcBorders>
          </w:tcPr>
          <w:p>
            <w:pPr>
              <w:pStyle w:val="TableParagraph"/>
              <w:spacing w:before="42"/>
              <w:ind w:left="115" w:right="0"/>
              <w:jc w:val="left"/>
              <w:rPr>
                <w:sz w:val="22"/>
              </w:rPr>
            </w:pPr>
            <w:r>
              <w:rPr>
                <w:sz w:val="22"/>
              </w:rPr>
              <w:t>5k</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jc w:val="left"/>
              <w:rPr>
                <w:sz w:val="14"/>
              </w:rPr>
            </w:pPr>
            <w:r>
              <w:rPr>
                <w:sz w:val="22"/>
              </w:rPr>
              <w:t>ΔO</w:t>
            </w:r>
            <w:r>
              <w:rPr>
                <w:position w:val="-2"/>
                <w:sz w:val="14"/>
              </w:rPr>
              <w:t>2</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42"/>
              <w:ind w:left="292" w:right="0"/>
              <w:jc w:val="left"/>
              <w:rPr>
                <w:i/>
                <w:sz w:val="14"/>
              </w:rPr>
            </w:pPr>
            <w:r>
              <w:rPr>
                <w:i/>
                <w:sz w:val="22"/>
              </w:rPr>
              <w:t>ΔO</w:t>
            </w:r>
            <w:r>
              <w:rPr>
                <w:i/>
                <w:position w:val="-2"/>
                <w:sz w:val="14"/>
              </w:rPr>
              <w:t>2</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right="0"/>
              <w:jc w:val="left"/>
              <w:rPr>
                <w:sz w:val="22"/>
              </w:rPr>
            </w:pPr>
            <w:r>
              <w:rPr>
                <w:sz w:val="22"/>
              </w:rPr>
              <w:t>=(OD</w:t>
            </w:r>
            <w:r>
              <w:rPr>
                <w:position w:val="-2"/>
                <w:sz w:val="14"/>
              </w:rPr>
              <w:t>out</w:t>
            </w:r>
            <w:r>
              <w:rPr>
                <w:sz w:val="22"/>
              </w:rPr>
              <w:t>-OD</w:t>
            </w:r>
            <w:r>
              <w:rPr>
                <w:position w:val="-2"/>
                <w:sz w:val="14"/>
              </w:rPr>
              <w:t>in</w:t>
            </w:r>
            <w:r>
              <w:rPr>
                <w:sz w:val="22"/>
              </w:rPr>
              <w:t>)</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right="0"/>
              <w:jc w:val="left"/>
              <w:rPr>
                <w:sz w:val="22"/>
              </w:rPr>
            </w:pPr>
            <w:r>
              <w:rPr>
                <w:sz w:val="22"/>
              </w:rPr>
              <w:t>mg/L</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42"/>
              <w:ind w:right="63"/>
              <w:rPr>
                <w:sz w:val="22"/>
              </w:rPr>
            </w:pPr>
            <w:r>
              <w:rPr>
                <w:sz w:val="22"/>
              </w:rPr>
              <w:t>0,27</w:t>
            </w:r>
          </w:p>
        </w:tc>
        <w:tc>
          <w:tcPr>
            <w:tcW w:w="1171" w:type="dxa"/>
            <w:tcBorders>
              <w:top w:val="single" w:sz="4" w:space="0" w:color="000000"/>
              <w:left w:val="single" w:sz="4" w:space="0" w:color="000000"/>
              <w:bottom w:val="single" w:sz="4" w:space="0" w:color="000000"/>
            </w:tcBorders>
          </w:tcPr>
          <w:p>
            <w:pPr>
              <w:pStyle w:val="TableParagraph"/>
              <w:spacing w:before="42"/>
              <w:ind w:right="58"/>
              <w:rPr>
                <w:sz w:val="22"/>
              </w:rPr>
            </w:pPr>
            <w:r>
              <w:rPr>
                <w:sz w:val="22"/>
              </w:rPr>
              <w:t>-1,30</w:t>
            </w:r>
          </w:p>
        </w:tc>
      </w:tr>
      <w:tr>
        <w:trPr>
          <w:trHeight w:val="370" w:hRule="exact"/>
        </w:trPr>
        <w:tc>
          <w:tcPr>
            <w:tcW w:w="463" w:type="dxa"/>
            <w:tcBorders>
              <w:top w:val="single" w:sz="4" w:space="0" w:color="000000"/>
              <w:bottom w:val="single" w:sz="4" w:space="0" w:color="000000"/>
              <w:right w:val="single" w:sz="4" w:space="0" w:color="000000"/>
            </w:tcBorders>
          </w:tcPr>
          <w:p>
            <w:pPr>
              <w:pStyle w:val="TableParagraph"/>
              <w:spacing w:before="42"/>
              <w:ind w:left="76" w:right="0"/>
              <w:jc w:val="left"/>
              <w:rPr>
                <w:sz w:val="22"/>
              </w:rPr>
            </w:pPr>
            <w:r>
              <w:rPr>
                <w:sz w:val="22"/>
              </w:rPr>
              <w:t>5m</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jc w:val="left"/>
              <w:rPr>
                <w:sz w:val="22"/>
              </w:rPr>
            </w:pPr>
            <w:r>
              <w:rPr>
                <w:sz w:val="22"/>
              </w:rPr>
              <w:t>ΔpH</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42"/>
              <w:ind w:left="273" w:right="0"/>
              <w:jc w:val="left"/>
              <w:rPr>
                <w:i/>
                <w:sz w:val="22"/>
              </w:rPr>
            </w:pPr>
            <w:r>
              <w:rPr>
                <w:i/>
                <w:sz w:val="22"/>
              </w:rPr>
              <w:t>ΔpH</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42"/>
              <w:ind w:left="64" w:right="0"/>
              <w:jc w:val="left"/>
              <w:rPr>
                <w:sz w:val="22"/>
              </w:rPr>
            </w:pPr>
            <w:r>
              <w:rPr>
                <w:sz w:val="22"/>
              </w:rPr>
              <w:t>=(pH</w:t>
            </w:r>
            <w:r>
              <w:rPr>
                <w:position w:val="-2"/>
                <w:sz w:val="14"/>
              </w:rPr>
              <w:t>out</w:t>
            </w:r>
            <w:r>
              <w:rPr>
                <w:sz w:val="22"/>
              </w:rPr>
              <w:t>-pH</w:t>
            </w:r>
            <w:r>
              <w:rPr>
                <w:position w:val="-2"/>
                <w:sz w:val="14"/>
              </w:rPr>
              <w:t>in</w:t>
            </w:r>
            <w:r>
              <w:rPr>
                <w:sz w:val="22"/>
              </w:rPr>
              <w:t>)</w:t>
            </w:r>
          </w:p>
        </w:tc>
        <w:tc>
          <w:tcPr>
            <w:tcW w:w="1476" w:type="dxa"/>
            <w:tcBorders>
              <w:top w:val="single" w:sz="4" w:space="0" w:color="000000"/>
              <w:left w:val="single" w:sz="4" w:space="0" w:color="000000"/>
              <w:bottom w:val="single" w:sz="4" w:space="0" w:color="000000"/>
              <w:right w:val="single" w:sz="4" w:space="0" w:color="000000"/>
            </w:tcBorders>
          </w:tcPr>
          <w:p>
            <w:pP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42"/>
              <w:ind w:right="63"/>
              <w:rPr>
                <w:sz w:val="22"/>
              </w:rPr>
            </w:pPr>
            <w:r>
              <w:rPr>
                <w:sz w:val="22"/>
              </w:rPr>
              <w:t>0,14</w:t>
            </w:r>
          </w:p>
        </w:tc>
        <w:tc>
          <w:tcPr>
            <w:tcW w:w="1171" w:type="dxa"/>
            <w:tcBorders>
              <w:top w:val="single" w:sz="4" w:space="0" w:color="000000"/>
              <w:left w:val="single" w:sz="4" w:space="0" w:color="000000"/>
              <w:bottom w:val="single" w:sz="4" w:space="0" w:color="000000"/>
            </w:tcBorders>
          </w:tcPr>
          <w:p>
            <w:pPr>
              <w:pStyle w:val="TableParagraph"/>
              <w:spacing w:before="42"/>
              <w:ind w:right="58"/>
              <w:rPr>
                <w:sz w:val="22"/>
              </w:rPr>
            </w:pPr>
            <w:r>
              <w:rPr>
                <w:sz w:val="22"/>
              </w:rPr>
              <w:t>-0,08</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08" w:right="0"/>
              <w:jc w:val="left"/>
              <w:rPr>
                <w:sz w:val="22"/>
              </w:rPr>
            </w:pPr>
            <w:r>
              <w:rPr>
                <w:sz w:val="22"/>
              </w:rPr>
              <w:t>5n</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446"/>
              <w:jc w:val="left"/>
              <w:rPr>
                <w:sz w:val="22"/>
              </w:rPr>
            </w:pPr>
            <w:r>
              <w:rPr>
                <w:sz w:val="22"/>
              </w:rPr>
              <w:t>Generación de N- nitritos</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before="112"/>
              <w:ind w:left="86" w:right="0"/>
              <w:jc w:val="left"/>
              <w:rPr>
                <w:i/>
                <w:sz w:val="13"/>
              </w:rPr>
            </w:pPr>
            <w:r>
              <w:rPr>
                <w:i/>
                <w:sz w:val="20"/>
              </w:rPr>
              <w:t>N-NO </w:t>
            </w:r>
            <w:r>
              <w:rPr>
                <w:i/>
                <w:position w:val="10"/>
                <w:sz w:val="13"/>
              </w:rPr>
              <w:t>-</w:t>
            </w:r>
          </w:p>
          <w:p>
            <w:pPr>
              <w:pStyle w:val="TableParagraph"/>
              <w:spacing w:line="86" w:lineRule="exact" w:before="0"/>
              <w:ind w:left="535" w:right="0"/>
              <w:jc w:val="left"/>
              <w:rPr>
                <w:i/>
                <w:sz w:val="13"/>
              </w:rPr>
            </w:pPr>
            <w:r>
              <w:rPr>
                <w:i/>
                <w:sz w:val="13"/>
              </w:rPr>
              <w:t>2 gen</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before="112"/>
              <w:ind w:left="64" w:right="0"/>
              <w:jc w:val="left"/>
              <w:rPr>
                <w:sz w:val="20"/>
              </w:rPr>
            </w:pPr>
            <w:r>
              <w:rPr>
                <w:sz w:val="20"/>
              </w:rPr>
              <w:t>=(N-NO </w:t>
            </w:r>
            <w:r>
              <w:rPr>
                <w:position w:val="10"/>
                <w:sz w:val="13"/>
              </w:rPr>
              <w:t>-      </w:t>
            </w:r>
            <w:r>
              <w:rPr>
                <w:sz w:val="20"/>
              </w:rPr>
              <w:t>-N-NO </w:t>
            </w:r>
            <w:r>
              <w:rPr>
                <w:position w:val="10"/>
                <w:sz w:val="13"/>
              </w:rPr>
              <w:t>-    </w:t>
            </w:r>
            <w:r>
              <w:rPr>
                <w:sz w:val="20"/>
              </w:rPr>
              <w:t>)/N-NH</w:t>
            </w:r>
          </w:p>
          <w:p>
            <w:pPr>
              <w:pStyle w:val="TableParagraph"/>
              <w:tabs>
                <w:tab w:pos="1475" w:val="left" w:leader="none"/>
                <w:tab w:pos="2260" w:val="left" w:leader="none"/>
              </w:tabs>
              <w:spacing w:line="86" w:lineRule="exact" w:before="0"/>
              <w:ind w:left="676" w:right="0"/>
              <w:jc w:val="left"/>
              <w:rPr>
                <w:sz w:val="13"/>
              </w:rPr>
            </w:pPr>
            <w:r>
              <w:rPr>
                <w:sz w:val="13"/>
              </w:rPr>
              <w:t>2</w:t>
            </w:r>
            <w:r>
              <w:rPr>
                <w:spacing w:val="9"/>
                <w:sz w:val="13"/>
              </w:rPr>
              <w:t> </w:t>
            </w:r>
            <w:r>
              <w:rPr>
                <w:sz w:val="13"/>
              </w:rPr>
              <w:t>out</w:t>
              <w:tab/>
              <w:t>2</w:t>
            </w:r>
            <w:r>
              <w:rPr>
                <w:spacing w:val="9"/>
                <w:sz w:val="13"/>
              </w:rPr>
              <w:t> </w:t>
            </w:r>
            <w:r>
              <w:rPr>
                <w:sz w:val="13"/>
              </w:rPr>
              <w:t>in</w:t>
              <w:tab/>
              <w:t>3in</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31"/>
              <w:ind w:left="64" w:right="0"/>
              <w:jc w:val="left"/>
              <w:rPr>
                <w:sz w:val="22"/>
              </w:rPr>
            </w:pPr>
            <w:r>
              <w:rPr>
                <w:w w:val="100"/>
                <w:sz w:val="22"/>
              </w:rPr>
              <w:t>%</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0,05</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-0,15</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08" w:right="0"/>
              <w:jc w:val="left"/>
              <w:rPr>
                <w:sz w:val="22"/>
              </w:rPr>
            </w:pPr>
            <w:r>
              <w:rPr>
                <w:sz w:val="22"/>
              </w:rPr>
              <w:t>5o</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446"/>
              <w:jc w:val="left"/>
              <w:rPr>
                <w:sz w:val="22"/>
              </w:rPr>
            </w:pPr>
            <w:r>
              <w:rPr>
                <w:sz w:val="22"/>
              </w:rPr>
              <w:t>Generación de N- nitratos</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before="112"/>
              <w:ind w:left="86" w:right="0"/>
              <w:jc w:val="left"/>
              <w:rPr>
                <w:i/>
                <w:sz w:val="13"/>
              </w:rPr>
            </w:pPr>
            <w:r>
              <w:rPr>
                <w:i/>
                <w:sz w:val="20"/>
              </w:rPr>
              <w:t>N-NO </w:t>
            </w:r>
            <w:r>
              <w:rPr>
                <w:i/>
                <w:position w:val="10"/>
                <w:sz w:val="13"/>
              </w:rPr>
              <w:t>-</w:t>
            </w:r>
          </w:p>
          <w:p>
            <w:pPr>
              <w:pStyle w:val="TableParagraph"/>
              <w:spacing w:line="86" w:lineRule="exact" w:before="0"/>
              <w:ind w:left="535" w:right="0"/>
              <w:jc w:val="left"/>
              <w:rPr>
                <w:i/>
                <w:sz w:val="13"/>
              </w:rPr>
            </w:pPr>
            <w:r>
              <w:rPr>
                <w:i/>
                <w:sz w:val="13"/>
              </w:rPr>
              <w:t>3 gen</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line="204" w:lineRule="exact" w:before="112"/>
              <w:ind w:left="64" w:right="0"/>
              <w:jc w:val="left"/>
              <w:rPr>
                <w:sz w:val="20"/>
              </w:rPr>
            </w:pPr>
            <w:r>
              <w:rPr>
                <w:sz w:val="20"/>
              </w:rPr>
              <w:t>=(N-NO </w:t>
            </w:r>
            <w:r>
              <w:rPr>
                <w:position w:val="10"/>
                <w:sz w:val="13"/>
              </w:rPr>
              <w:t>-      </w:t>
            </w:r>
            <w:r>
              <w:rPr>
                <w:sz w:val="20"/>
              </w:rPr>
              <w:t>-N-NO </w:t>
            </w:r>
            <w:r>
              <w:rPr>
                <w:position w:val="10"/>
                <w:sz w:val="13"/>
              </w:rPr>
              <w:t>-    </w:t>
            </w:r>
            <w:r>
              <w:rPr>
                <w:sz w:val="20"/>
              </w:rPr>
              <w:t>)/N-NH</w:t>
            </w:r>
          </w:p>
          <w:p>
            <w:pPr>
              <w:pStyle w:val="TableParagraph"/>
              <w:tabs>
                <w:tab w:pos="1475" w:val="left" w:leader="none"/>
                <w:tab w:pos="2260" w:val="left" w:leader="none"/>
              </w:tabs>
              <w:spacing w:line="86" w:lineRule="exact" w:before="0"/>
              <w:ind w:left="676" w:right="0"/>
              <w:jc w:val="left"/>
              <w:rPr>
                <w:sz w:val="13"/>
              </w:rPr>
            </w:pPr>
            <w:r>
              <w:rPr>
                <w:sz w:val="13"/>
              </w:rPr>
              <w:t>3</w:t>
            </w:r>
            <w:r>
              <w:rPr>
                <w:spacing w:val="9"/>
                <w:sz w:val="13"/>
              </w:rPr>
              <w:t> </w:t>
            </w:r>
            <w:r>
              <w:rPr>
                <w:sz w:val="13"/>
              </w:rPr>
              <w:t>out</w:t>
              <w:tab/>
              <w:t>3</w:t>
            </w:r>
            <w:r>
              <w:rPr>
                <w:spacing w:val="9"/>
                <w:sz w:val="13"/>
              </w:rPr>
              <w:t> </w:t>
            </w:r>
            <w:r>
              <w:rPr>
                <w:sz w:val="13"/>
              </w:rPr>
              <w:t>in</w:t>
              <w:tab/>
              <w:t>3in</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31"/>
              <w:ind w:left="64" w:right="0"/>
              <w:jc w:val="left"/>
              <w:rPr>
                <w:sz w:val="22"/>
              </w:rPr>
            </w:pPr>
            <w:r>
              <w:rPr>
                <w:w w:val="100"/>
                <w:sz w:val="22"/>
              </w:rPr>
              <w:t>%</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-0,85</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1,63</w:t>
            </w:r>
          </w:p>
        </w:tc>
      </w:tr>
      <w:tr>
        <w:trPr>
          <w:trHeight w:val="816" w:hRule="exact"/>
        </w:trPr>
        <w:tc>
          <w:tcPr>
            <w:tcW w:w="463" w:type="dxa"/>
            <w:tcBorders>
              <w:top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108" w:right="0"/>
              <w:jc w:val="left"/>
              <w:rPr>
                <w:sz w:val="22"/>
              </w:rPr>
            </w:pPr>
            <w:r>
              <w:rPr>
                <w:sz w:val="22"/>
              </w:rPr>
              <w:t>5p</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66"/>
              <w:jc w:val="left"/>
              <w:rPr>
                <w:sz w:val="22"/>
              </w:rPr>
            </w:pPr>
            <w:r>
              <w:rPr>
                <w:sz w:val="22"/>
              </w:rPr>
              <w:t>Tasa volumétrica de consumo de nitrógeno amoniacal</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211" w:right="0"/>
              <w:jc w:val="left"/>
              <w:rPr>
                <w:i/>
                <w:sz w:val="22"/>
              </w:rPr>
            </w:pPr>
            <w:r>
              <w:rPr>
                <w:i/>
                <w:sz w:val="22"/>
              </w:rPr>
              <w:t>TVNA</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line="300" w:lineRule="exact" w:before="101"/>
              <w:ind w:left="64" w:right="0"/>
              <w:jc w:val="left"/>
              <w:rPr>
                <w:sz w:val="14"/>
              </w:rPr>
            </w:pPr>
            <w:r>
              <w:rPr>
                <w:sz w:val="22"/>
              </w:rPr>
              <w:t>=Q</w:t>
            </w:r>
            <w:r>
              <w:rPr>
                <w:position w:val="-2"/>
                <w:sz w:val="14"/>
              </w:rPr>
              <w:t>filter</w:t>
            </w:r>
            <w:r>
              <w:rPr>
                <w:sz w:val="22"/>
              </w:rPr>
              <w:t>(N-NH</w:t>
            </w:r>
            <w:r>
              <w:rPr>
                <w:position w:val="-2"/>
                <w:sz w:val="14"/>
              </w:rPr>
              <w:t>3in </w:t>
            </w:r>
            <w:r>
              <w:rPr>
                <w:sz w:val="22"/>
              </w:rPr>
              <w:t>- N- </w:t>
            </w:r>
            <w:r>
              <w:rPr>
                <w:position w:val="3"/>
                <w:sz w:val="22"/>
              </w:rPr>
              <w:t>NH</w:t>
            </w:r>
            <w:r>
              <w:rPr>
                <w:sz w:val="14"/>
              </w:rPr>
              <w:t>3out</w:t>
            </w:r>
            <w:r>
              <w:rPr>
                <w:position w:val="3"/>
                <w:sz w:val="22"/>
              </w:rPr>
              <w:t>)/V</w:t>
            </w:r>
            <w:r>
              <w:rPr>
                <w:sz w:val="14"/>
              </w:rPr>
              <w:t>media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1"/>
              </w:rPr>
            </w:pPr>
          </w:p>
          <w:p>
            <w:pPr>
              <w:pStyle w:val="TableParagraph"/>
              <w:spacing w:before="0"/>
              <w:ind w:left="64" w:right="0"/>
              <w:jc w:val="left"/>
              <w:rPr>
                <w:sz w:val="22"/>
              </w:rPr>
            </w:pPr>
            <w:r>
              <w:rPr>
                <w:sz w:val="22"/>
              </w:rPr>
              <w:t>g N-NH</w:t>
            </w:r>
            <w:r>
              <w:rPr>
                <w:position w:val="-2"/>
                <w:sz w:val="14"/>
              </w:rPr>
              <w:t>3</w:t>
            </w:r>
            <w:r>
              <w:rPr>
                <w:sz w:val="22"/>
              </w:rPr>
              <w:t>/m</w:t>
            </w:r>
            <w:r>
              <w:rPr>
                <w:position w:val="10"/>
                <w:sz w:val="14"/>
              </w:rPr>
              <w:t>3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right="63"/>
              <w:rPr>
                <w:sz w:val="22"/>
              </w:rPr>
            </w:pPr>
            <w:r>
              <w:rPr>
                <w:sz w:val="22"/>
              </w:rPr>
              <w:t>34,99</w:t>
            </w:r>
          </w:p>
        </w:tc>
        <w:tc>
          <w:tcPr>
            <w:tcW w:w="1171" w:type="dxa"/>
            <w:tcBorders>
              <w:top w:val="single" w:sz="4" w:space="0" w:color="000000"/>
              <w:left w:val="single" w:sz="4" w:space="0" w:color="000000"/>
              <w:bottom w:val="single" w:sz="4" w:space="0" w:color="000000"/>
            </w:tcBorders>
          </w:tcPr>
          <w:p>
            <w:pPr>
              <w:pStyle w:val="TableParagraph"/>
              <w:spacing w:before="1"/>
              <w:ind w:right="0"/>
              <w:jc w:val="left"/>
              <w:rPr>
                <w:rFonts w:ascii="Arial"/>
                <w:b/>
                <w:sz w:val="23"/>
              </w:rPr>
            </w:pPr>
          </w:p>
          <w:p>
            <w:pPr>
              <w:pStyle w:val="TableParagraph"/>
              <w:spacing w:before="0"/>
              <w:ind w:right="58"/>
              <w:rPr>
                <w:sz w:val="22"/>
              </w:rPr>
            </w:pPr>
            <w:r>
              <w:rPr>
                <w:sz w:val="22"/>
              </w:rPr>
              <w:t>119,65</w:t>
            </w:r>
          </w:p>
        </w:tc>
      </w:tr>
      <w:tr>
        <w:trPr>
          <w:trHeight w:val="670" w:hRule="exact"/>
        </w:trPr>
        <w:tc>
          <w:tcPr>
            <w:tcW w:w="463" w:type="dxa"/>
            <w:tcBorders>
              <w:top w:val="single" w:sz="4" w:space="0" w:color="000000"/>
              <w:bottom w:val="single" w:sz="4" w:space="0" w:color="000000"/>
              <w:right w:val="single" w:sz="4" w:space="0" w:color="000000"/>
            </w:tcBorders>
          </w:tcPr>
          <w:p>
            <w:pPr>
              <w:pStyle w:val="TableParagraph"/>
              <w:spacing w:before="193"/>
              <w:ind w:left="108" w:right="0"/>
              <w:jc w:val="left"/>
              <w:rPr>
                <w:sz w:val="22"/>
              </w:rPr>
            </w:pPr>
            <w:r>
              <w:rPr>
                <w:sz w:val="22"/>
              </w:rPr>
              <w:t>5q</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before="54"/>
              <w:ind w:left="64" w:right="231"/>
              <w:jc w:val="center"/>
              <w:rPr>
                <w:sz w:val="22"/>
              </w:rPr>
            </w:pPr>
            <w:r>
              <w:rPr>
                <w:sz w:val="22"/>
              </w:rPr>
              <w:t>Tasa volumétrica de de N-NO </w:t>
            </w:r>
            <w:r>
              <w:rPr>
                <w:position w:val="10"/>
                <w:sz w:val="14"/>
              </w:rPr>
              <w:t>- </w:t>
            </w:r>
            <w:r>
              <w:rPr>
                <w:sz w:val="22"/>
              </w:rPr>
              <w:t>aparente</w:t>
            </w:r>
          </w:p>
          <w:p>
            <w:pPr>
              <w:pStyle w:val="TableParagraph"/>
              <w:spacing w:line="15" w:lineRule="exact" w:before="0"/>
              <w:ind w:right="347"/>
              <w:jc w:val="center"/>
              <w:rPr>
                <w:sz w:val="14"/>
              </w:rPr>
            </w:pPr>
            <w:r>
              <w:rPr>
                <w:w w:val="99"/>
                <w:sz w:val="14"/>
              </w:rPr>
              <w:t>2</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93"/>
              <w:ind w:left="177" w:right="0"/>
              <w:jc w:val="left"/>
              <w:rPr>
                <w:i/>
                <w:sz w:val="14"/>
              </w:rPr>
            </w:pPr>
            <w:r>
              <w:rPr>
                <w:i/>
                <w:sz w:val="22"/>
              </w:rPr>
              <w:t>TVCN</w:t>
            </w:r>
            <w:r>
              <w:rPr>
                <w:i/>
                <w:position w:val="-2"/>
                <w:sz w:val="14"/>
              </w:rPr>
              <w:t>A</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line="215" w:lineRule="exact" w:before="35"/>
              <w:ind w:left="64" w:right="0"/>
              <w:jc w:val="left"/>
              <w:rPr>
                <w:sz w:val="14"/>
              </w:rPr>
            </w:pPr>
            <w:r>
              <w:rPr>
                <w:sz w:val="22"/>
              </w:rPr>
              <w:t>=Q</w:t>
            </w:r>
            <w:r>
              <w:rPr>
                <w:position w:val="-2"/>
                <w:sz w:val="14"/>
              </w:rPr>
              <w:t>filter</w:t>
            </w:r>
            <w:r>
              <w:rPr>
                <w:sz w:val="22"/>
              </w:rPr>
              <w:t>(N-NO </w:t>
            </w:r>
            <w:r>
              <w:rPr>
                <w:position w:val="10"/>
                <w:sz w:val="14"/>
              </w:rPr>
              <w:t>-     </w:t>
            </w:r>
            <w:r>
              <w:rPr>
                <w:sz w:val="22"/>
              </w:rPr>
              <w:t>- N-NO </w:t>
            </w:r>
            <w:r>
              <w:rPr>
                <w:position w:val="10"/>
                <w:sz w:val="14"/>
              </w:rPr>
              <w:t>-</w:t>
            </w:r>
          </w:p>
          <w:p>
            <w:pPr>
              <w:pStyle w:val="TableParagraph"/>
              <w:tabs>
                <w:tab w:pos="2110" w:val="right" w:leader="none"/>
              </w:tabs>
              <w:spacing w:line="83" w:lineRule="exact" w:before="0"/>
              <w:ind w:left="1156" w:right="0"/>
              <w:jc w:val="left"/>
              <w:rPr>
                <w:sz w:val="14"/>
              </w:rPr>
            </w:pPr>
            <w:r>
              <w:rPr>
                <w:sz w:val="14"/>
              </w:rPr>
              <w:t>2</w:t>
            </w:r>
            <w:r>
              <w:rPr>
                <w:spacing w:val="12"/>
                <w:sz w:val="14"/>
              </w:rPr>
              <w:t> </w:t>
            </w:r>
            <w:r>
              <w:rPr>
                <w:sz w:val="14"/>
              </w:rPr>
              <w:t>in</w:t>
            </w:r>
            <w:r>
              <w:rPr>
                <w:rFonts w:ascii="Times New Roman"/>
                <w:sz w:val="14"/>
              </w:rPr>
              <w:tab/>
            </w:r>
            <w:r>
              <w:rPr>
                <w:sz w:val="14"/>
              </w:rPr>
              <w:t>2</w:t>
            </w:r>
          </w:p>
          <w:p>
            <w:pPr>
              <w:pStyle w:val="TableParagraph"/>
              <w:spacing w:line="273" w:lineRule="exact" w:before="0"/>
              <w:ind w:left="64" w:right="0"/>
              <w:jc w:val="left"/>
              <w:rPr>
                <w:sz w:val="14"/>
              </w:rPr>
            </w:pPr>
            <w:r>
              <w:rPr>
                <w:sz w:val="14"/>
              </w:rPr>
              <w:t>out</w:t>
            </w:r>
            <w:r>
              <w:rPr>
                <w:position w:val="3"/>
                <w:sz w:val="22"/>
              </w:rPr>
              <w:t>)/V</w:t>
            </w:r>
            <w:r>
              <w:rPr>
                <w:sz w:val="14"/>
              </w:rPr>
              <w:t>media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212" w:lineRule="exact" w:before="170"/>
              <w:ind w:left="50" w:right="121"/>
              <w:jc w:val="center"/>
              <w:rPr>
                <w:sz w:val="22"/>
              </w:rPr>
            </w:pPr>
            <w:r>
              <w:rPr>
                <w:sz w:val="22"/>
              </w:rPr>
              <w:t>g N-NO </w:t>
            </w:r>
            <w:r>
              <w:rPr>
                <w:position w:val="10"/>
                <w:sz w:val="14"/>
              </w:rPr>
              <w:t>-</w:t>
            </w:r>
            <w:r>
              <w:rPr>
                <w:sz w:val="22"/>
              </w:rPr>
              <w:t>/m</w:t>
            </w:r>
            <w:r>
              <w:rPr>
                <w:position w:val="10"/>
                <w:sz w:val="14"/>
              </w:rPr>
              <w:t>3  </w:t>
            </w:r>
            <w:r>
              <w:rPr>
                <w:sz w:val="22"/>
              </w:rPr>
              <w:t>d</w:t>
            </w:r>
          </w:p>
          <w:p>
            <w:pPr>
              <w:pStyle w:val="TableParagraph"/>
              <w:spacing w:line="90" w:lineRule="exact" w:before="0"/>
              <w:ind w:left="34" w:right="0"/>
              <w:jc w:val="center"/>
              <w:rPr>
                <w:sz w:val="14"/>
              </w:rPr>
            </w:pPr>
            <w:r>
              <w:rPr>
                <w:w w:val="99"/>
                <w:sz w:val="14"/>
              </w:rPr>
              <w:t>2</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93"/>
              <w:ind w:right="63"/>
              <w:rPr>
                <w:sz w:val="22"/>
              </w:rPr>
            </w:pPr>
            <w:r>
              <w:rPr>
                <w:sz w:val="22"/>
              </w:rPr>
              <w:t>-9,75</w:t>
            </w:r>
          </w:p>
        </w:tc>
        <w:tc>
          <w:tcPr>
            <w:tcW w:w="1171" w:type="dxa"/>
            <w:tcBorders>
              <w:top w:val="single" w:sz="4" w:space="0" w:color="000000"/>
              <w:left w:val="single" w:sz="4" w:space="0" w:color="000000"/>
              <w:bottom w:val="single" w:sz="4" w:space="0" w:color="000000"/>
            </w:tcBorders>
          </w:tcPr>
          <w:p>
            <w:pPr>
              <w:pStyle w:val="TableParagraph"/>
              <w:spacing w:before="193"/>
              <w:ind w:right="58"/>
              <w:rPr>
                <w:sz w:val="22"/>
              </w:rPr>
            </w:pPr>
            <w:r>
              <w:rPr>
                <w:sz w:val="22"/>
              </w:rPr>
              <w:t>30,39</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1"/>
              <w:ind w:left="127" w:right="0"/>
              <w:jc w:val="left"/>
              <w:rPr>
                <w:sz w:val="22"/>
              </w:rPr>
            </w:pPr>
            <w:r>
              <w:rPr>
                <w:sz w:val="22"/>
              </w:rPr>
              <w:t>5r</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65"/>
              <w:jc w:val="left"/>
              <w:rPr>
                <w:sz w:val="22"/>
              </w:rPr>
            </w:pPr>
            <w:r>
              <w:rPr>
                <w:sz w:val="22"/>
              </w:rPr>
              <w:t>Tasa volumétrica de conversión de nitritos</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31"/>
              <w:ind w:left="215" w:right="0"/>
              <w:jc w:val="left"/>
              <w:rPr>
                <w:i/>
                <w:sz w:val="22"/>
              </w:rPr>
            </w:pPr>
            <w:r>
              <w:rPr>
                <w:i/>
                <w:sz w:val="22"/>
              </w:rPr>
              <w:t>TVCN</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31"/>
              <w:ind w:left="64" w:right="0"/>
              <w:jc w:val="left"/>
              <w:rPr>
                <w:sz w:val="14"/>
              </w:rPr>
            </w:pPr>
            <w:r>
              <w:rPr>
                <w:sz w:val="22"/>
              </w:rPr>
              <w:t>=VTR+VNR</w:t>
            </w:r>
            <w:r>
              <w:rPr>
                <w:position w:val="-2"/>
                <w:sz w:val="14"/>
              </w:rPr>
              <w:t>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line="212" w:lineRule="exact" w:before="107"/>
              <w:ind w:left="50" w:right="121"/>
              <w:jc w:val="center"/>
              <w:rPr>
                <w:sz w:val="22"/>
              </w:rPr>
            </w:pPr>
            <w:r>
              <w:rPr>
                <w:sz w:val="22"/>
              </w:rPr>
              <w:t>g N-NO </w:t>
            </w:r>
            <w:r>
              <w:rPr>
                <w:position w:val="10"/>
                <w:sz w:val="14"/>
              </w:rPr>
              <w:t>-</w:t>
            </w:r>
            <w:r>
              <w:rPr>
                <w:sz w:val="22"/>
              </w:rPr>
              <w:t>/m</w:t>
            </w:r>
            <w:r>
              <w:rPr>
                <w:position w:val="10"/>
                <w:sz w:val="14"/>
              </w:rPr>
              <w:t>3  </w:t>
            </w:r>
            <w:r>
              <w:rPr>
                <w:sz w:val="22"/>
              </w:rPr>
              <w:t>d</w:t>
            </w:r>
          </w:p>
          <w:p>
            <w:pPr>
              <w:pStyle w:val="TableParagraph"/>
              <w:spacing w:line="90" w:lineRule="exact" w:before="0"/>
              <w:ind w:left="34" w:right="0"/>
              <w:jc w:val="center"/>
              <w:rPr>
                <w:sz w:val="14"/>
              </w:rPr>
            </w:pPr>
            <w:r>
              <w:rPr>
                <w:w w:val="99"/>
                <w:sz w:val="14"/>
              </w:rPr>
              <w:t>2</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1"/>
              <w:ind w:right="63"/>
              <w:rPr>
                <w:sz w:val="22"/>
              </w:rPr>
            </w:pPr>
            <w:r>
              <w:rPr>
                <w:sz w:val="22"/>
              </w:rPr>
              <w:t>19,73</w:t>
            </w:r>
          </w:p>
        </w:tc>
        <w:tc>
          <w:tcPr>
            <w:tcW w:w="1171" w:type="dxa"/>
            <w:tcBorders>
              <w:top w:val="single" w:sz="4" w:space="0" w:color="000000"/>
              <w:left w:val="single" w:sz="4" w:space="0" w:color="000000"/>
              <w:bottom w:val="single" w:sz="4" w:space="0" w:color="000000"/>
            </w:tcBorders>
          </w:tcPr>
          <w:p>
            <w:pPr>
              <w:pStyle w:val="TableParagraph"/>
              <w:spacing w:before="131"/>
              <w:ind w:right="58"/>
              <w:rPr>
                <w:sz w:val="22"/>
              </w:rPr>
            </w:pPr>
            <w:r>
              <w:rPr>
                <w:sz w:val="22"/>
              </w:rPr>
              <w:t>144,73</w:t>
            </w:r>
          </w:p>
        </w:tc>
      </w:tr>
      <w:tr>
        <w:trPr>
          <w:trHeight w:val="816" w:hRule="exact"/>
        </w:trPr>
        <w:tc>
          <w:tcPr>
            <w:tcW w:w="463" w:type="dxa"/>
            <w:tcBorders>
              <w:top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122" w:right="0"/>
              <w:jc w:val="left"/>
              <w:rPr>
                <w:sz w:val="22"/>
              </w:rPr>
            </w:pPr>
            <w:r>
              <w:rPr>
                <w:sz w:val="22"/>
              </w:rPr>
              <w:t>5s</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23"/>
              <w:jc w:val="left"/>
              <w:rPr>
                <w:sz w:val="22"/>
              </w:rPr>
            </w:pPr>
            <w:r>
              <w:rPr>
                <w:sz w:val="22"/>
              </w:rPr>
              <w:t>Tasa de conversión de nitrógeno amoniacal superficial</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297" w:right="0"/>
              <w:jc w:val="left"/>
              <w:rPr>
                <w:i/>
                <w:sz w:val="22"/>
              </w:rPr>
            </w:pPr>
            <w:r>
              <w:rPr>
                <w:i/>
                <w:sz w:val="22"/>
              </w:rPr>
              <w:t>STR</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line="300" w:lineRule="exact" w:before="101"/>
              <w:ind w:left="64" w:right="0"/>
              <w:jc w:val="left"/>
              <w:rPr>
                <w:sz w:val="14"/>
              </w:rPr>
            </w:pPr>
            <w:r>
              <w:rPr>
                <w:sz w:val="22"/>
              </w:rPr>
              <w:t>=Q</w:t>
            </w:r>
            <w:r>
              <w:rPr>
                <w:position w:val="-2"/>
                <w:sz w:val="14"/>
              </w:rPr>
              <w:t>filter</w:t>
            </w:r>
            <w:r>
              <w:rPr>
                <w:sz w:val="22"/>
              </w:rPr>
              <w:t>(N-NH</w:t>
            </w:r>
            <w:r>
              <w:rPr>
                <w:position w:val="-2"/>
                <w:sz w:val="14"/>
              </w:rPr>
              <w:t>3in </w:t>
            </w:r>
            <w:r>
              <w:rPr>
                <w:sz w:val="22"/>
              </w:rPr>
              <w:t>- N- </w:t>
            </w:r>
            <w:r>
              <w:rPr>
                <w:position w:val="3"/>
                <w:sz w:val="22"/>
              </w:rPr>
              <w:t>NH</w:t>
            </w:r>
            <w:r>
              <w:rPr>
                <w:sz w:val="14"/>
              </w:rPr>
              <w:t>3out</w:t>
            </w:r>
            <w:r>
              <w:rPr>
                <w:position w:val="3"/>
                <w:sz w:val="22"/>
              </w:rPr>
              <w:t>)/A</w:t>
            </w:r>
            <w:r>
              <w:rPr>
                <w:sz w:val="14"/>
              </w:rPr>
              <w:t>media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1"/>
              </w:rPr>
            </w:pPr>
          </w:p>
          <w:p>
            <w:pPr>
              <w:pStyle w:val="TableParagraph"/>
              <w:spacing w:before="0"/>
              <w:ind w:left="64" w:right="0"/>
              <w:jc w:val="left"/>
              <w:rPr>
                <w:sz w:val="22"/>
              </w:rPr>
            </w:pPr>
            <w:r>
              <w:rPr>
                <w:sz w:val="22"/>
              </w:rPr>
              <w:t>g N-NH</w:t>
            </w:r>
            <w:r>
              <w:rPr>
                <w:position w:val="-2"/>
                <w:sz w:val="14"/>
              </w:rPr>
              <w:t>3</w:t>
            </w:r>
            <w:r>
              <w:rPr>
                <w:sz w:val="22"/>
              </w:rPr>
              <w:t>/m</w:t>
            </w:r>
            <w:r>
              <w:rPr>
                <w:position w:val="10"/>
                <w:sz w:val="14"/>
              </w:rPr>
              <w:t>2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right="63"/>
              <w:rPr>
                <w:sz w:val="22"/>
              </w:rPr>
            </w:pPr>
            <w:r>
              <w:rPr>
                <w:sz w:val="22"/>
              </w:rPr>
              <w:t>0,08</w:t>
            </w:r>
          </w:p>
        </w:tc>
        <w:tc>
          <w:tcPr>
            <w:tcW w:w="1171" w:type="dxa"/>
            <w:tcBorders>
              <w:top w:val="single" w:sz="4" w:space="0" w:color="000000"/>
              <w:left w:val="single" w:sz="4" w:space="0" w:color="000000"/>
              <w:bottom w:val="single" w:sz="4" w:space="0" w:color="000000"/>
            </w:tcBorders>
          </w:tcPr>
          <w:p>
            <w:pPr>
              <w:pStyle w:val="TableParagraph"/>
              <w:spacing w:before="1"/>
              <w:ind w:right="0"/>
              <w:jc w:val="left"/>
              <w:rPr>
                <w:rFonts w:ascii="Arial"/>
                <w:b/>
                <w:sz w:val="23"/>
              </w:rPr>
            </w:pPr>
          </w:p>
          <w:p>
            <w:pPr>
              <w:pStyle w:val="TableParagraph"/>
              <w:spacing w:before="0"/>
              <w:ind w:right="58"/>
              <w:rPr>
                <w:sz w:val="22"/>
              </w:rPr>
            </w:pPr>
            <w:r>
              <w:rPr>
                <w:sz w:val="22"/>
              </w:rPr>
              <w:t>0,05</w:t>
            </w:r>
          </w:p>
        </w:tc>
      </w:tr>
      <w:tr>
        <w:trPr>
          <w:trHeight w:val="610" w:hRule="exact"/>
        </w:trPr>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162"/>
              <w:ind w:left="134" w:right="0"/>
              <w:jc w:val="left"/>
              <w:rPr>
                <w:sz w:val="22"/>
              </w:rPr>
            </w:pPr>
            <w:r>
              <w:rPr>
                <w:sz w:val="22"/>
              </w:rPr>
              <w:t>5t</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ind w:left="64" w:right="162"/>
              <w:jc w:val="left"/>
              <w:rPr>
                <w:sz w:val="22"/>
              </w:rPr>
            </w:pPr>
            <w:r>
              <w:rPr>
                <w:sz w:val="22"/>
              </w:rPr>
              <w:t>Tasa volumétrica de consumo de oxígeno</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62"/>
              <w:ind w:left="127" w:right="0"/>
              <w:jc w:val="left"/>
              <w:rPr>
                <w:i/>
                <w:sz w:val="14"/>
              </w:rPr>
            </w:pPr>
            <w:r>
              <w:rPr>
                <w:i/>
                <w:sz w:val="22"/>
              </w:rPr>
              <w:t>VOCR</w:t>
            </w:r>
            <w:r>
              <w:rPr>
                <w:i/>
                <w:position w:val="-2"/>
                <w:sz w:val="14"/>
              </w:rPr>
              <w:t>tot</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63"/>
              <w:ind w:left="64" w:right="0"/>
              <w:jc w:val="left"/>
              <w:rPr>
                <w:sz w:val="14"/>
              </w:rPr>
            </w:pPr>
            <w:r>
              <w:rPr>
                <w:position w:val="3"/>
                <w:sz w:val="22"/>
              </w:rPr>
              <w:t>=Q</w:t>
            </w:r>
            <w:r>
              <w:rPr>
                <w:sz w:val="14"/>
              </w:rPr>
              <w:t>filter</w:t>
            </w:r>
            <w:r>
              <w:rPr>
                <w:position w:val="3"/>
                <w:sz w:val="22"/>
              </w:rPr>
              <w:t>(OD</w:t>
            </w:r>
            <w:r>
              <w:rPr>
                <w:sz w:val="14"/>
              </w:rPr>
              <w:t>in </w:t>
            </w:r>
            <w:r>
              <w:rPr>
                <w:position w:val="3"/>
                <w:sz w:val="22"/>
              </w:rPr>
              <w:t>- OD</w:t>
            </w:r>
            <w:r>
              <w:rPr>
                <w:sz w:val="14"/>
              </w:rPr>
              <w:t>out</w:t>
            </w:r>
            <w:r>
              <w:rPr>
                <w:position w:val="3"/>
                <w:sz w:val="22"/>
              </w:rPr>
              <w:t>)/V</w:t>
            </w:r>
            <w:r>
              <w:rPr>
                <w:sz w:val="14"/>
              </w:rPr>
              <w:t>media</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38"/>
              <w:ind w:left="64" w:right="0"/>
              <w:jc w:val="left"/>
              <w:rPr>
                <w:sz w:val="22"/>
              </w:rPr>
            </w:pPr>
            <w:r>
              <w:rPr>
                <w:sz w:val="22"/>
              </w:rPr>
              <w:t>g O</w:t>
            </w:r>
            <w:r>
              <w:rPr>
                <w:position w:val="-2"/>
                <w:sz w:val="14"/>
              </w:rPr>
              <w:t>2</w:t>
            </w:r>
            <w:r>
              <w:rPr>
                <w:sz w:val="22"/>
              </w:rPr>
              <w:t>/m</w:t>
            </w:r>
            <w:r>
              <w:rPr>
                <w:position w:val="10"/>
                <w:sz w:val="14"/>
              </w:rPr>
              <w:t>3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62"/>
              <w:ind w:right="63"/>
              <w:rPr>
                <w:sz w:val="22"/>
              </w:rPr>
            </w:pPr>
            <w:r>
              <w:rPr>
                <w:sz w:val="22"/>
              </w:rPr>
              <w:t>-61,24</w:t>
            </w:r>
          </w:p>
        </w:tc>
        <w:tc>
          <w:tcPr>
            <w:tcW w:w="1171" w:type="dxa"/>
            <w:tcBorders>
              <w:top w:val="single" w:sz="4" w:space="0" w:color="000000"/>
              <w:left w:val="single" w:sz="4" w:space="0" w:color="000000"/>
              <w:bottom w:val="single" w:sz="4" w:space="0" w:color="000000"/>
              <w:right w:val="single" w:sz="4" w:space="0" w:color="000000"/>
            </w:tcBorders>
          </w:tcPr>
          <w:p>
            <w:pPr>
              <w:pStyle w:val="TableParagraph"/>
              <w:spacing w:before="162"/>
              <w:ind w:right="63"/>
              <w:rPr>
                <w:sz w:val="22"/>
              </w:rPr>
            </w:pPr>
            <w:r>
              <w:rPr>
                <w:sz w:val="22"/>
              </w:rPr>
              <w:t>391,16</w:t>
            </w:r>
          </w:p>
        </w:tc>
      </w:tr>
      <w:tr>
        <w:trPr>
          <w:trHeight w:val="1085" w:hRule="exact"/>
        </w:trPr>
        <w:tc>
          <w:tcPr>
            <w:tcW w:w="463" w:type="dxa"/>
            <w:tcBorders>
              <w:top w:val="single" w:sz="4"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7"/>
              <w:ind w:left="112" w:right="0"/>
              <w:jc w:val="left"/>
              <w:rPr>
                <w:sz w:val="22"/>
              </w:rPr>
            </w:pPr>
            <w:r>
              <w:rPr>
                <w:sz w:val="22"/>
              </w:rPr>
              <w:t>5u</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62"/>
              <w:jc w:val="left"/>
              <w:rPr>
                <w:sz w:val="22"/>
              </w:rPr>
            </w:pPr>
            <w:r>
              <w:rPr>
                <w:sz w:val="22"/>
              </w:rPr>
              <w:t>Tasa volumétrica de consumo de oxígeno por bacterias nitrificantes</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7"/>
              <w:ind w:left="134" w:right="0"/>
              <w:jc w:val="left"/>
              <w:rPr>
                <w:i/>
                <w:sz w:val="14"/>
              </w:rPr>
            </w:pPr>
            <w:r>
              <w:rPr>
                <w:i/>
                <w:sz w:val="22"/>
              </w:rPr>
              <w:t>VOCR</w:t>
            </w:r>
            <w:r>
              <w:rPr>
                <w:i/>
                <w:position w:val="-2"/>
                <w:sz w:val="14"/>
              </w:rPr>
              <w:t>nit</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64" w:right="475"/>
              <w:jc w:val="left"/>
              <w:rPr>
                <w:sz w:val="22"/>
              </w:rPr>
            </w:pPr>
            <w:r>
              <w:rPr>
                <w:sz w:val="22"/>
              </w:rPr>
              <w:t>=(3,47TVNA+1,09TVCN) (0,92)</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8"/>
              <w:ind w:right="0"/>
              <w:jc w:val="left"/>
              <w:rPr>
                <w:rFonts w:ascii="Arial"/>
                <w:b/>
                <w:sz w:val="32"/>
              </w:rPr>
            </w:pPr>
          </w:p>
          <w:p>
            <w:pPr>
              <w:pStyle w:val="TableParagraph"/>
              <w:spacing w:before="0"/>
              <w:ind w:left="64" w:right="0"/>
              <w:jc w:val="left"/>
              <w:rPr>
                <w:sz w:val="22"/>
              </w:rPr>
            </w:pPr>
            <w:r>
              <w:rPr>
                <w:sz w:val="22"/>
              </w:rPr>
              <w:t>g O</w:t>
            </w:r>
            <w:r>
              <w:rPr>
                <w:position w:val="-2"/>
                <w:sz w:val="14"/>
              </w:rPr>
              <w:t>2</w:t>
            </w:r>
            <w:r>
              <w:rPr>
                <w:sz w:val="22"/>
              </w:rPr>
              <w:t>/m</w:t>
            </w:r>
            <w:r>
              <w:rPr>
                <w:position w:val="10"/>
                <w:sz w:val="14"/>
              </w:rPr>
              <w:t>3 </w:t>
            </w:r>
            <w:r>
              <w:rPr>
                <w:sz w:val="22"/>
              </w:rPr>
              <w:t>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7"/>
              <w:ind w:right="63"/>
              <w:rPr>
                <w:sz w:val="22"/>
              </w:rPr>
            </w:pPr>
            <w:r>
              <w:rPr>
                <w:sz w:val="22"/>
              </w:rPr>
              <w:t>113,91</w:t>
            </w:r>
          </w:p>
        </w:tc>
        <w:tc>
          <w:tcPr>
            <w:tcW w:w="1171" w:type="dxa"/>
            <w:tcBorders>
              <w:top w:val="single" w:sz="4"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7"/>
              <w:ind w:right="63"/>
              <w:rPr>
                <w:sz w:val="22"/>
              </w:rPr>
            </w:pPr>
            <w:r>
              <w:rPr>
                <w:sz w:val="22"/>
              </w:rPr>
              <w:t>510,16</w:t>
            </w:r>
          </w:p>
        </w:tc>
      </w:tr>
    </w:tbl>
    <w:p>
      <w:pPr>
        <w:spacing w:after="0"/>
        <w:rPr>
          <w:sz w:val="22"/>
        </w:rPr>
        <w:sectPr>
          <w:pgSz w:w="12240" w:h="15840"/>
          <w:pgMar w:header="725" w:footer="1084" w:top="1340" w:bottom="1280" w:left="920" w:right="760"/>
        </w:sectPr>
      </w:pPr>
    </w:p>
    <w:p>
      <w:pPr>
        <w:pStyle w:val="BodyText"/>
        <w:spacing w:before="4"/>
        <w:rPr>
          <w:b/>
          <w:sz w:val="15"/>
        </w:rPr>
      </w:pPr>
    </w:p>
    <w:tbl>
      <w:tblPr>
        <w:tblW w:w="0" w:type="auto"/>
        <w:jc w:val="left"/>
        <w:tblInd w:w="3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3"/>
        <w:gridCol w:w="2105"/>
        <w:gridCol w:w="934"/>
        <w:gridCol w:w="2693"/>
        <w:gridCol w:w="1476"/>
        <w:gridCol w:w="1241"/>
        <w:gridCol w:w="1171"/>
      </w:tblGrid>
      <w:tr>
        <w:trPr>
          <w:trHeight w:val="569" w:hRule="exact"/>
        </w:trPr>
        <w:tc>
          <w:tcPr>
            <w:tcW w:w="2568" w:type="dxa"/>
            <w:gridSpan w:val="2"/>
            <w:tcBorders>
              <w:bottom w:val="double" w:sz="6" w:space="0" w:color="000000"/>
              <w:right w:val="single" w:sz="4" w:space="0" w:color="000000"/>
            </w:tcBorders>
          </w:tcPr>
          <w:p>
            <w:pPr>
              <w:pStyle w:val="TableParagraph"/>
              <w:spacing w:before="131"/>
              <w:ind w:left="782" w:right="0"/>
              <w:jc w:val="left"/>
              <w:rPr>
                <w:b/>
                <w:i/>
                <w:sz w:val="22"/>
              </w:rPr>
            </w:pPr>
            <w:r>
              <w:rPr>
                <w:b/>
                <w:i/>
                <w:sz w:val="22"/>
              </w:rPr>
              <w:t>Parámetro</w:t>
            </w:r>
          </w:p>
        </w:tc>
        <w:tc>
          <w:tcPr>
            <w:tcW w:w="934" w:type="dxa"/>
            <w:tcBorders>
              <w:left w:val="single" w:sz="4" w:space="0" w:color="000000"/>
              <w:bottom w:val="double" w:sz="6" w:space="0" w:color="000000"/>
              <w:right w:val="single" w:sz="4" w:space="0" w:color="000000"/>
            </w:tcBorders>
          </w:tcPr>
          <w:p>
            <w:pPr>
              <w:pStyle w:val="TableParagraph"/>
              <w:spacing w:before="131"/>
              <w:ind w:left="73" w:right="74"/>
              <w:jc w:val="center"/>
              <w:rPr>
                <w:b/>
                <w:i/>
                <w:sz w:val="22"/>
              </w:rPr>
            </w:pPr>
            <w:r>
              <w:rPr>
                <w:b/>
                <w:i/>
                <w:sz w:val="22"/>
              </w:rPr>
              <w:t>Símbolo</w:t>
            </w:r>
          </w:p>
        </w:tc>
        <w:tc>
          <w:tcPr>
            <w:tcW w:w="2693" w:type="dxa"/>
            <w:tcBorders>
              <w:left w:val="single" w:sz="4" w:space="0" w:color="000000"/>
              <w:bottom w:val="double" w:sz="6" w:space="0" w:color="000000"/>
              <w:right w:val="single" w:sz="4" w:space="0" w:color="000000"/>
            </w:tcBorders>
          </w:tcPr>
          <w:p>
            <w:pPr>
              <w:pStyle w:val="TableParagraph"/>
              <w:spacing w:before="131"/>
              <w:ind w:left="920" w:right="922"/>
              <w:jc w:val="center"/>
              <w:rPr>
                <w:b/>
                <w:i/>
                <w:sz w:val="22"/>
              </w:rPr>
            </w:pPr>
            <w:r>
              <w:rPr>
                <w:b/>
                <w:i/>
                <w:sz w:val="22"/>
              </w:rPr>
              <w:t>Fórmula</w:t>
            </w:r>
          </w:p>
        </w:tc>
        <w:tc>
          <w:tcPr>
            <w:tcW w:w="1476" w:type="dxa"/>
            <w:tcBorders>
              <w:left w:val="single" w:sz="4" w:space="0" w:color="000000"/>
              <w:bottom w:val="double" w:sz="6" w:space="0" w:color="000000"/>
              <w:right w:val="single" w:sz="4" w:space="0" w:color="000000"/>
            </w:tcBorders>
          </w:tcPr>
          <w:p>
            <w:pPr>
              <w:pStyle w:val="TableParagraph"/>
              <w:spacing w:before="131"/>
              <w:ind w:left="304" w:right="0"/>
              <w:jc w:val="left"/>
              <w:rPr>
                <w:b/>
                <w:i/>
                <w:sz w:val="22"/>
              </w:rPr>
            </w:pPr>
            <w:r>
              <w:rPr>
                <w:b/>
                <w:i/>
                <w:sz w:val="22"/>
              </w:rPr>
              <w:t>Unidades</w:t>
            </w:r>
          </w:p>
        </w:tc>
        <w:tc>
          <w:tcPr>
            <w:tcW w:w="1241" w:type="dxa"/>
            <w:tcBorders>
              <w:left w:val="single" w:sz="4" w:space="0" w:color="000000"/>
              <w:bottom w:val="double" w:sz="6" w:space="0" w:color="000000"/>
              <w:right w:val="single" w:sz="4" w:space="0" w:color="000000"/>
            </w:tcBorders>
          </w:tcPr>
          <w:p>
            <w:pPr>
              <w:pStyle w:val="TableParagraph"/>
              <w:spacing w:before="131"/>
              <w:ind w:right="117"/>
              <w:rPr>
                <w:b/>
                <w:i/>
                <w:sz w:val="22"/>
              </w:rPr>
            </w:pPr>
            <w:r>
              <w:rPr>
                <w:b/>
                <w:i/>
                <w:sz w:val="22"/>
              </w:rPr>
              <w:t>Percolador</w:t>
            </w:r>
          </w:p>
        </w:tc>
        <w:tc>
          <w:tcPr>
            <w:tcW w:w="1171" w:type="dxa"/>
            <w:tcBorders>
              <w:left w:val="single" w:sz="4" w:space="0" w:color="000000"/>
              <w:bottom w:val="double" w:sz="6" w:space="0" w:color="000000"/>
            </w:tcBorders>
          </w:tcPr>
          <w:p>
            <w:pPr>
              <w:pStyle w:val="TableParagraph"/>
              <w:spacing w:before="0"/>
              <w:ind w:left="311" w:right="184" w:hanging="111"/>
              <w:jc w:val="left"/>
              <w:rPr>
                <w:b/>
                <w:i/>
                <w:sz w:val="22"/>
              </w:rPr>
            </w:pPr>
            <w:r>
              <w:rPr>
                <w:b/>
                <w:i/>
                <w:sz w:val="22"/>
              </w:rPr>
              <w:t>Filtro de </w:t>
            </w:r>
            <w:r>
              <w:rPr>
                <w:b/>
                <w:i/>
                <w:sz w:val="22"/>
              </w:rPr>
              <w:t>arena</w:t>
            </w:r>
          </w:p>
        </w:tc>
      </w:tr>
      <w:tr>
        <w:trPr>
          <w:trHeight w:val="1102" w:hRule="exact"/>
        </w:trPr>
        <w:tc>
          <w:tcPr>
            <w:tcW w:w="463" w:type="dxa"/>
            <w:tcBorders>
              <w:top w:val="double" w:sz="6"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left="115" w:right="0"/>
              <w:jc w:val="left"/>
              <w:rPr>
                <w:sz w:val="22"/>
              </w:rPr>
            </w:pPr>
            <w:r>
              <w:rPr>
                <w:sz w:val="22"/>
              </w:rPr>
              <w:t>5v</w:t>
            </w:r>
          </w:p>
        </w:tc>
        <w:tc>
          <w:tcPr>
            <w:tcW w:w="2105" w:type="dxa"/>
            <w:tcBorders>
              <w:top w:val="double" w:sz="6" w:space="0" w:color="000000"/>
              <w:left w:val="single" w:sz="4" w:space="0" w:color="000000"/>
              <w:bottom w:val="single" w:sz="4" w:space="0" w:color="000000"/>
              <w:right w:val="single" w:sz="4" w:space="0" w:color="000000"/>
            </w:tcBorders>
          </w:tcPr>
          <w:p>
            <w:pPr>
              <w:pStyle w:val="TableParagraph"/>
              <w:spacing w:before="0"/>
              <w:ind w:left="64" w:right="162"/>
              <w:jc w:val="left"/>
              <w:rPr>
                <w:sz w:val="22"/>
              </w:rPr>
            </w:pPr>
            <w:r>
              <w:rPr>
                <w:sz w:val="22"/>
              </w:rPr>
              <w:t>Tasa volumétrica de consumo de oxígeno por bacterias heterótrofas</w:t>
            </w:r>
          </w:p>
        </w:tc>
        <w:tc>
          <w:tcPr>
            <w:tcW w:w="934" w:type="dxa"/>
            <w:tcBorders>
              <w:top w:val="double" w:sz="6"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left="73" w:right="73"/>
              <w:jc w:val="center"/>
              <w:rPr>
                <w:i/>
                <w:sz w:val="14"/>
              </w:rPr>
            </w:pPr>
            <w:r>
              <w:rPr>
                <w:i/>
                <w:sz w:val="22"/>
              </w:rPr>
              <w:t>VOCR</w:t>
            </w:r>
            <w:r>
              <w:rPr>
                <w:i/>
                <w:position w:val="-2"/>
                <w:sz w:val="14"/>
              </w:rPr>
              <w:t>het</w:t>
            </w:r>
          </w:p>
        </w:tc>
        <w:tc>
          <w:tcPr>
            <w:tcW w:w="2693" w:type="dxa"/>
            <w:tcBorders>
              <w:top w:val="double" w:sz="6"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left="64" w:right="0"/>
              <w:jc w:val="left"/>
              <w:rPr>
                <w:sz w:val="14"/>
              </w:rPr>
            </w:pPr>
            <w:r>
              <w:rPr>
                <w:sz w:val="22"/>
              </w:rPr>
              <w:t>=VOCR</w:t>
            </w:r>
            <w:r>
              <w:rPr>
                <w:position w:val="-2"/>
                <w:sz w:val="14"/>
              </w:rPr>
              <w:t>tot</w:t>
            </w:r>
            <w:r>
              <w:rPr>
                <w:sz w:val="22"/>
              </w:rPr>
              <w:t>-VOCR</w:t>
            </w:r>
            <w:r>
              <w:rPr>
                <w:position w:val="-2"/>
                <w:sz w:val="14"/>
              </w:rPr>
              <w:t>nit</w:t>
            </w:r>
          </w:p>
        </w:tc>
        <w:tc>
          <w:tcPr>
            <w:tcW w:w="1476" w:type="dxa"/>
            <w:tcBorders>
              <w:top w:val="double" w:sz="6" w:space="0" w:color="000000"/>
              <w:left w:val="single" w:sz="4" w:space="0" w:color="000000"/>
              <w:bottom w:val="single" w:sz="4" w:space="0" w:color="000000"/>
              <w:right w:val="single" w:sz="4" w:space="0" w:color="000000"/>
            </w:tcBorders>
          </w:tcPr>
          <w:p>
            <w:pPr>
              <w:pStyle w:val="TableParagraph"/>
              <w:spacing w:before="10"/>
              <w:ind w:right="0"/>
              <w:jc w:val="left"/>
              <w:rPr>
                <w:rFonts w:ascii="Arial"/>
                <w:b/>
                <w:sz w:val="32"/>
              </w:rPr>
            </w:pPr>
          </w:p>
          <w:p>
            <w:pPr>
              <w:pStyle w:val="TableParagraph"/>
              <w:spacing w:before="0"/>
              <w:ind w:left="64" w:right="0"/>
              <w:jc w:val="left"/>
              <w:rPr>
                <w:sz w:val="22"/>
              </w:rPr>
            </w:pPr>
            <w:r>
              <w:rPr>
                <w:sz w:val="22"/>
              </w:rPr>
              <w:t>g O</w:t>
            </w:r>
            <w:r>
              <w:rPr>
                <w:position w:val="-2"/>
                <w:sz w:val="14"/>
              </w:rPr>
              <w:t>2</w:t>
            </w:r>
            <w:r>
              <w:rPr>
                <w:sz w:val="22"/>
              </w:rPr>
              <w:t>/m</w:t>
            </w:r>
            <w:r>
              <w:rPr>
                <w:position w:val="10"/>
                <w:sz w:val="14"/>
              </w:rPr>
              <w:t>3 </w:t>
            </w:r>
            <w:r>
              <w:rPr>
                <w:sz w:val="22"/>
              </w:rPr>
              <w:t>d</w:t>
            </w:r>
          </w:p>
        </w:tc>
        <w:tc>
          <w:tcPr>
            <w:tcW w:w="1241" w:type="dxa"/>
            <w:tcBorders>
              <w:top w:val="double" w:sz="6" w:space="0" w:color="000000"/>
              <w:left w:val="single" w:sz="4" w:space="0" w:color="000000"/>
              <w:bottom w:val="single" w:sz="4" w:space="0" w:color="000000"/>
              <w:right w:val="single" w:sz="4" w:space="0" w:color="000000"/>
            </w:tcBorders>
          </w:tcPr>
          <w:p>
            <w:pPr>
              <w:pStyle w:val="TableParagraph"/>
              <w:spacing w:before="0"/>
              <w:ind w:right="0"/>
              <w:jc w:val="left"/>
              <w:rPr>
                <w:rFonts w:ascii="Arial"/>
                <w:b/>
                <w:sz w:val="22"/>
              </w:rPr>
            </w:pPr>
          </w:p>
          <w:p>
            <w:pPr>
              <w:pStyle w:val="TableParagraph"/>
              <w:spacing w:before="149"/>
              <w:ind w:right="63"/>
              <w:rPr>
                <w:sz w:val="22"/>
              </w:rPr>
            </w:pPr>
            <w:r>
              <w:rPr>
                <w:sz w:val="22"/>
              </w:rPr>
              <w:t>-175,15</w:t>
            </w:r>
          </w:p>
        </w:tc>
        <w:tc>
          <w:tcPr>
            <w:tcW w:w="1171" w:type="dxa"/>
            <w:tcBorders>
              <w:top w:val="double" w:sz="6" w:space="0" w:color="000000"/>
              <w:left w:val="single" w:sz="4" w:space="0" w:color="000000"/>
              <w:bottom w:val="single" w:sz="4" w:space="0" w:color="000000"/>
            </w:tcBorders>
          </w:tcPr>
          <w:p>
            <w:pPr>
              <w:pStyle w:val="TableParagraph"/>
              <w:spacing w:before="0"/>
              <w:ind w:right="0"/>
              <w:jc w:val="left"/>
              <w:rPr>
                <w:rFonts w:ascii="Arial"/>
                <w:b/>
                <w:sz w:val="22"/>
              </w:rPr>
            </w:pPr>
          </w:p>
          <w:p>
            <w:pPr>
              <w:pStyle w:val="TableParagraph"/>
              <w:spacing w:before="149"/>
              <w:ind w:right="58"/>
              <w:rPr>
                <w:sz w:val="22"/>
              </w:rPr>
            </w:pPr>
            <w:r>
              <w:rPr>
                <w:sz w:val="22"/>
              </w:rPr>
              <w:t>-118,99</w:t>
            </w:r>
          </w:p>
        </w:tc>
      </w:tr>
      <w:tr>
        <w:trPr>
          <w:trHeight w:val="547" w:hRule="exact"/>
        </w:trPr>
        <w:tc>
          <w:tcPr>
            <w:tcW w:w="463" w:type="dxa"/>
            <w:tcBorders>
              <w:top w:val="single" w:sz="4" w:space="0" w:color="000000"/>
              <w:bottom w:val="single" w:sz="4" w:space="0" w:color="000000"/>
              <w:right w:val="single" w:sz="4" w:space="0" w:color="000000"/>
            </w:tcBorders>
          </w:tcPr>
          <w:p>
            <w:pPr>
              <w:pStyle w:val="TableParagraph"/>
              <w:spacing w:before="133"/>
              <w:ind w:left="86" w:right="0"/>
              <w:jc w:val="left"/>
              <w:rPr>
                <w:sz w:val="22"/>
              </w:rPr>
            </w:pPr>
            <w:r>
              <w:rPr>
                <w:sz w:val="22"/>
              </w:rPr>
              <w:t>5w</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50"/>
              <w:jc w:val="left"/>
              <w:rPr>
                <w:sz w:val="22"/>
              </w:rPr>
            </w:pPr>
            <w:r>
              <w:rPr>
                <w:sz w:val="22"/>
              </w:rPr>
              <w:t>Razón de consumo de oxígeno</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33"/>
              <w:ind w:left="73" w:right="74"/>
              <w:jc w:val="center"/>
              <w:rPr>
                <w:i/>
                <w:sz w:val="22"/>
              </w:rPr>
            </w:pPr>
            <w:r>
              <w:rPr>
                <w:i/>
                <w:sz w:val="22"/>
              </w:rPr>
              <w:t>OCR</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before="133"/>
              <w:ind w:left="64" w:right="0"/>
              <w:jc w:val="left"/>
              <w:rPr>
                <w:sz w:val="14"/>
              </w:rPr>
            </w:pPr>
            <w:r>
              <w:rPr>
                <w:sz w:val="22"/>
              </w:rPr>
              <w:t>=VOCR</w:t>
            </w:r>
            <w:r>
              <w:rPr>
                <w:position w:val="-2"/>
                <w:sz w:val="14"/>
              </w:rPr>
              <w:t>nit</w:t>
            </w:r>
            <w:r>
              <w:rPr>
                <w:sz w:val="22"/>
              </w:rPr>
              <w:t>/VOCR</w:t>
            </w:r>
            <w:r>
              <w:rPr>
                <w:position w:val="-2"/>
                <w:sz w:val="14"/>
              </w:rPr>
              <w:t>tot</w:t>
            </w:r>
          </w:p>
        </w:tc>
        <w:tc>
          <w:tcPr>
            <w:tcW w:w="1476" w:type="dxa"/>
            <w:tcBorders>
              <w:top w:val="single" w:sz="4" w:space="0" w:color="000000"/>
              <w:left w:val="single" w:sz="4" w:space="0" w:color="000000"/>
              <w:bottom w:val="single" w:sz="4" w:space="0" w:color="000000"/>
              <w:right w:val="single" w:sz="4" w:space="0" w:color="000000"/>
            </w:tcBorders>
          </w:tcPr>
          <w:p>
            <w:pP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33"/>
              <w:ind w:right="63"/>
              <w:rPr>
                <w:sz w:val="22"/>
              </w:rPr>
            </w:pPr>
            <w:r>
              <w:rPr>
                <w:sz w:val="22"/>
              </w:rPr>
              <w:t>-1,86</w:t>
            </w:r>
          </w:p>
        </w:tc>
        <w:tc>
          <w:tcPr>
            <w:tcW w:w="1171" w:type="dxa"/>
            <w:tcBorders>
              <w:top w:val="single" w:sz="4" w:space="0" w:color="000000"/>
              <w:left w:val="single" w:sz="4" w:space="0" w:color="000000"/>
              <w:bottom w:val="single" w:sz="4" w:space="0" w:color="000000"/>
            </w:tcBorders>
          </w:tcPr>
          <w:p>
            <w:pPr>
              <w:pStyle w:val="TableParagraph"/>
              <w:spacing w:before="133"/>
              <w:ind w:right="58"/>
              <w:rPr>
                <w:sz w:val="22"/>
              </w:rPr>
            </w:pPr>
            <w:r>
              <w:rPr>
                <w:sz w:val="22"/>
              </w:rPr>
              <w:t>1,30</w:t>
            </w:r>
          </w:p>
        </w:tc>
      </w:tr>
      <w:tr>
        <w:trPr>
          <w:trHeight w:val="312" w:hRule="exact"/>
        </w:trPr>
        <w:tc>
          <w:tcPr>
            <w:tcW w:w="463" w:type="dxa"/>
            <w:tcBorders>
              <w:top w:val="single" w:sz="4" w:space="0" w:color="000000"/>
              <w:bottom w:val="single" w:sz="4" w:space="0" w:color="000000"/>
              <w:right w:val="single" w:sz="4" w:space="0" w:color="000000"/>
            </w:tcBorders>
          </w:tcPr>
          <w:p>
            <w:pPr>
              <w:pStyle w:val="TableParagraph"/>
              <w:spacing w:before="13"/>
              <w:ind w:left="122" w:right="0"/>
              <w:jc w:val="left"/>
              <w:rPr>
                <w:sz w:val="22"/>
              </w:rPr>
            </w:pPr>
            <w:r>
              <w:rPr>
                <w:sz w:val="22"/>
              </w:rPr>
              <w:t>5z</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13"/>
              <w:ind w:left="64"/>
              <w:jc w:val="left"/>
              <w:rPr>
                <w:sz w:val="22"/>
              </w:rPr>
            </w:pPr>
            <w:r>
              <w:rPr>
                <w:sz w:val="22"/>
              </w:rPr>
              <w:t>Energía total</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30"/>
              <w:ind w:left="1" w:right="0"/>
              <w:jc w:val="center"/>
              <w:rPr>
                <w:i/>
                <w:sz w:val="22"/>
              </w:rPr>
            </w:pPr>
            <w:r>
              <w:rPr>
                <w:i/>
                <w:w w:val="100"/>
                <w:sz w:val="22"/>
              </w:rPr>
              <w:t>P</w:t>
            </w:r>
          </w:p>
        </w:tc>
        <w:tc>
          <w:tcPr>
            <w:tcW w:w="2693" w:type="dxa"/>
            <w:tcBorders>
              <w:top w:val="single" w:sz="4" w:space="0" w:color="000000"/>
              <w:left w:val="single" w:sz="4" w:space="0" w:color="000000"/>
              <w:bottom w:val="single" w:sz="4" w:space="0" w:color="000000"/>
              <w:right w:val="single" w:sz="4" w:space="0" w:color="000000"/>
            </w:tcBorders>
          </w:tcPr>
          <w:p>
            <w:pP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30"/>
              <w:ind w:left="64" w:right="0"/>
              <w:jc w:val="left"/>
              <w:rPr>
                <w:sz w:val="22"/>
              </w:rPr>
            </w:pPr>
            <w:r>
              <w:rPr>
                <w:sz w:val="22"/>
              </w:rPr>
              <w:t>kW/d</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sz w:val="22"/>
              </w:rPr>
              <w:t>25,34</w:t>
            </w:r>
          </w:p>
        </w:tc>
        <w:tc>
          <w:tcPr>
            <w:tcW w:w="1171" w:type="dxa"/>
            <w:tcBorders>
              <w:top w:val="single" w:sz="4" w:space="0" w:color="000000"/>
              <w:left w:val="single" w:sz="4" w:space="0" w:color="000000"/>
              <w:bottom w:val="single" w:sz="4" w:space="0" w:color="000000"/>
            </w:tcBorders>
          </w:tcPr>
          <w:p>
            <w:pPr>
              <w:pStyle w:val="TableParagraph"/>
              <w:spacing w:before="30"/>
              <w:ind w:right="58"/>
              <w:rPr>
                <w:sz w:val="22"/>
              </w:rPr>
            </w:pPr>
            <w:r>
              <w:rPr>
                <w:sz w:val="22"/>
              </w:rPr>
              <w:t>25,34</w:t>
            </w:r>
          </w:p>
        </w:tc>
      </w:tr>
      <w:tr>
        <w:trPr>
          <w:trHeight w:val="814" w:hRule="exact"/>
        </w:trPr>
        <w:tc>
          <w:tcPr>
            <w:tcW w:w="463" w:type="dxa"/>
            <w:tcBorders>
              <w:top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60" w:right="0"/>
              <w:jc w:val="left"/>
              <w:rPr>
                <w:sz w:val="22"/>
              </w:rPr>
            </w:pPr>
            <w:r>
              <w:rPr>
                <w:sz w:val="22"/>
              </w:rPr>
              <w:t>5aa</w:t>
            </w:r>
          </w:p>
        </w:tc>
        <w:tc>
          <w:tcPr>
            <w:tcW w:w="2105" w:type="dxa"/>
            <w:tcBorders>
              <w:top w:val="single" w:sz="4" w:space="0" w:color="000000"/>
              <w:left w:val="single" w:sz="4" w:space="0" w:color="000000"/>
              <w:bottom w:val="single" w:sz="4" w:space="0" w:color="000000"/>
              <w:right w:val="single" w:sz="4" w:space="0" w:color="000000"/>
            </w:tcBorders>
          </w:tcPr>
          <w:p>
            <w:pPr>
              <w:pStyle w:val="TableParagraph"/>
              <w:spacing w:before="0"/>
              <w:ind w:left="64" w:right="166"/>
              <w:jc w:val="left"/>
              <w:rPr>
                <w:sz w:val="22"/>
              </w:rPr>
            </w:pPr>
            <w:r>
              <w:rPr>
                <w:sz w:val="22"/>
              </w:rPr>
              <w:t>Eficiencia energética de remoción de nitrógeno amoniacal</w:t>
            </w:r>
          </w:p>
        </w:tc>
        <w:tc>
          <w:tcPr>
            <w:tcW w:w="934"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73" w:right="73"/>
              <w:jc w:val="center"/>
              <w:rPr>
                <w:i/>
                <w:sz w:val="22"/>
              </w:rPr>
            </w:pPr>
            <w:r>
              <w:rPr>
                <w:i/>
                <w:sz w:val="22"/>
              </w:rPr>
              <w:t>ARE</w:t>
            </w:r>
          </w:p>
        </w:tc>
        <w:tc>
          <w:tcPr>
            <w:tcW w:w="2693"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before="126"/>
              <w:ind w:left="64" w:right="0"/>
              <w:jc w:val="left"/>
              <w:rPr>
                <w:sz w:val="22"/>
              </w:rPr>
            </w:pPr>
            <w:r>
              <w:rPr>
                <w:sz w:val="22"/>
              </w:rPr>
              <w:t>=Q</w:t>
            </w:r>
            <w:r>
              <w:rPr>
                <w:position w:val="-2"/>
                <w:sz w:val="14"/>
              </w:rPr>
              <w:t>filter</w:t>
            </w:r>
            <w:r>
              <w:rPr>
                <w:sz w:val="22"/>
              </w:rPr>
              <w:t>(N-NH</w:t>
            </w:r>
            <w:r>
              <w:rPr>
                <w:position w:val="-2"/>
                <w:sz w:val="14"/>
              </w:rPr>
              <w:t>3in </w:t>
            </w:r>
            <w:r>
              <w:rPr>
                <w:sz w:val="22"/>
              </w:rPr>
              <w:t>- N- NH</w:t>
            </w:r>
            <w:r>
              <w:rPr>
                <w:position w:val="-2"/>
                <w:sz w:val="14"/>
              </w:rPr>
              <w:t>3out</w:t>
            </w:r>
            <w:r>
              <w:rPr>
                <w:sz w:val="22"/>
              </w:rPr>
              <w:t>)/24P</w:t>
            </w:r>
          </w:p>
        </w:tc>
        <w:tc>
          <w:tcPr>
            <w:tcW w:w="1476"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left="64" w:right="0"/>
              <w:jc w:val="left"/>
              <w:rPr>
                <w:sz w:val="22"/>
              </w:rPr>
            </w:pPr>
            <w:r>
              <w:rPr>
                <w:sz w:val="22"/>
              </w:rPr>
              <w:t>g N-NH</w:t>
            </w:r>
            <w:r>
              <w:rPr>
                <w:position w:val="-2"/>
                <w:sz w:val="14"/>
              </w:rPr>
              <w:t>3</w:t>
            </w:r>
            <w:r>
              <w:rPr>
                <w:sz w:val="22"/>
              </w:rPr>
              <w:t>/kWh</w:t>
            </w:r>
          </w:p>
        </w:tc>
        <w:tc>
          <w:tcPr>
            <w:tcW w:w="1241" w:type="dxa"/>
            <w:tcBorders>
              <w:top w:val="single" w:sz="4" w:space="0" w:color="000000"/>
              <w:left w:val="single" w:sz="4" w:space="0" w:color="000000"/>
              <w:bottom w:val="single" w:sz="4" w:space="0" w:color="000000"/>
              <w:right w:val="single" w:sz="4" w:space="0" w:color="000000"/>
            </w:tcBorders>
          </w:tcPr>
          <w:p>
            <w:pPr>
              <w:pStyle w:val="TableParagraph"/>
              <w:spacing w:before="1"/>
              <w:ind w:right="0"/>
              <w:jc w:val="left"/>
              <w:rPr>
                <w:rFonts w:ascii="Arial"/>
                <w:b/>
                <w:sz w:val="23"/>
              </w:rPr>
            </w:pPr>
          </w:p>
          <w:p>
            <w:pPr>
              <w:pStyle w:val="TableParagraph"/>
              <w:spacing w:before="0"/>
              <w:ind w:right="63"/>
              <w:rPr>
                <w:sz w:val="22"/>
              </w:rPr>
            </w:pPr>
            <w:r>
              <w:rPr>
                <w:sz w:val="22"/>
              </w:rPr>
              <w:t>0,93</w:t>
            </w:r>
          </w:p>
        </w:tc>
        <w:tc>
          <w:tcPr>
            <w:tcW w:w="1171" w:type="dxa"/>
            <w:tcBorders>
              <w:top w:val="single" w:sz="4" w:space="0" w:color="000000"/>
              <w:left w:val="single" w:sz="4" w:space="0" w:color="000000"/>
              <w:bottom w:val="single" w:sz="4" w:space="0" w:color="000000"/>
            </w:tcBorders>
          </w:tcPr>
          <w:p>
            <w:pPr>
              <w:pStyle w:val="TableParagraph"/>
              <w:spacing w:before="1"/>
              <w:ind w:right="0"/>
              <w:jc w:val="left"/>
              <w:rPr>
                <w:rFonts w:ascii="Arial"/>
                <w:b/>
                <w:sz w:val="23"/>
              </w:rPr>
            </w:pPr>
          </w:p>
          <w:p>
            <w:pPr>
              <w:pStyle w:val="TableParagraph"/>
              <w:spacing w:before="0"/>
              <w:ind w:right="58"/>
              <w:rPr>
                <w:sz w:val="22"/>
              </w:rPr>
            </w:pPr>
            <w:r>
              <w:rPr>
                <w:sz w:val="22"/>
              </w:rPr>
              <w:t>2,72</w:t>
            </w:r>
          </w:p>
        </w:tc>
      </w:tr>
      <w:tr>
        <w:trPr>
          <w:trHeight w:val="554" w:hRule="exact"/>
        </w:trPr>
        <w:tc>
          <w:tcPr>
            <w:tcW w:w="463" w:type="dxa"/>
            <w:tcBorders>
              <w:top w:val="single" w:sz="4" w:space="0" w:color="000000"/>
              <w:right w:val="single" w:sz="4" w:space="0" w:color="000000"/>
            </w:tcBorders>
          </w:tcPr>
          <w:p>
            <w:pPr>
              <w:pStyle w:val="TableParagraph"/>
              <w:spacing w:before="133"/>
              <w:ind w:left="72" w:right="0"/>
              <w:jc w:val="left"/>
              <w:rPr>
                <w:sz w:val="22"/>
              </w:rPr>
            </w:pPr>
            <w:r>
              <w:rPr>
                <w:sz w:val="22"/>
              </w:rPr>
              <w:t>5cc</w:t>
            </w:r>
          </w:p>
        </w:tc>
        <w:tc>
          <w:tcPr>
            <w:tcW w:w="2105" w:type="dxa"/>
            <w:tcBorders>
              <w:top w:val="single" w:sz="4" w:space="0" w:color="000000"/>
              <w:left w:val="single" w:sz="4" w:space="0" w:color="000000"/>
              <w:right w:val="single" w:sz="4" w:space="0" w:color="000000"/>
            </w:tcBorders>
          </w:tcPr>
          <w:p>
            <w:pPr>
              <w:pStyle w:val="TableParagraph"/>
              <w:spacing w:line="237" w:lineRule="auto" w:before="1"/>
              <w:ind w:left="64" w:right="172"/>
              <w:jc w:val="left"/>
              <w:rPr>
                <w:sz w:val="22"/>
              </w:rPr>
            </w:pPr>
            <w:r>
              <w:rPr>
                <w:sz w:val="22"/>
              </w:rPr>
              <w:t>Eficiencia energética de uso de oxígeno</w:t>
            </w:r>
          </w:p>
        </w:tc>
        <w:tc>
          <w:tcPr>
            <w:tcW w:w="934" w:type="dxa"/>
            <w:tcBorders>
              <w:top w:val="single" w:sz="4" w:space="0" w:color="000000"/>
              <w:left w:val="single" w:sz="4" w:space="0" w:color="000000"/>
              <w:right w:val="single" w:sz="4" w:space="0" w:color="000000"/>
            </w:tcBorders>
          </w:tcPr>
          <w:p>
            <w:pPr>
              <w:pStyle w:val="TableParagraph"/>
              <w:spacing w:before="133"/>
              <w:ind w:left="73" w:right="73"/>
              <w:jc w:val="center"/>
              <w:rPr>
                <w:i/>
                <w:sz w:val="22"/>
              </w:rPr>
            </w:pPr>
            <w:r>
              <w:rPr>
                <w:i/>
                <w:sz w:val="22"/>
              </w:rPr>
              <w:t>OUE</w:t>
            </w:r>
          </w:p>
        </w:tc>
        <w:tc>
          <w:tcPr>
            <w:tcW w:w="2693" w:type="dxa"/>
            <w:tcBorders>
              <w:top w:val="single" w:sz="4" w:space="0" w:color="000000"/>
              <w:left w:val="single" w:sz="4" w:space="0" w:color="000000"/>
              <w:right w:val="single" w:sz="4" w:space="0" w:color="000000"/>
            </w:tcBorders>
          </w:tcPr>
          <w:p>
            <w:pPr>
              <w:pStyle w:val="TableParagraph"/>
              <w:spacing w:before="135"/>
              <w:ind w:left="64" w:right="0"/>
              <w:jc w:val="left"/>
              <w:rPr>
                <w:sz w:val="14"/>
              </w:rPr>
            </w:pPr>
            <w:r>
              <w:rPr>
                <w:position w:val="3"/>
                <w:sz w:val="22"/>
              </w:rPr>
              <w:t>=Q</w:t>
            </w:r>
            <w:r>
              <w:rPr>
                <w:sz w:val="14"/>
              </w:rPr>
              <w:t>filter</w:t>
            </w:r>
            <w:r>
              <w:rPr>
                <w:position w:val="3"/>
                <w:sz w:val="22"/>
              </w:rPr>
              <w:t>(OD</w:t>
            </w:r>
            <w:r>
              <w:rPr>
                <w:sz w:val="14"/>
              </w:rPr>
              <w:t>in </w:t>
            </w:r>
            <w:r>
              <w:rPr>
                <w:position w:val="3"/>
                <w:sz w:val="22"/>
              </w:rPr>
              <w:t>- OD</w:t>
            </w:r>
            <w:r>
              <w:rPr>
                <w:sz w:val="14"/>
              </w:rPr>
              <w:t>out</w:t>
            </w:r>
            <w:r>
              <w:rPr>
                <w:position w:val="3"/>
                <w:sz w:val="22"/>
              </w:rPr>
              <w:t>)/V</w:t>
            </w:r>
            <w:r>
              <w:rPr>
                <w:sz w:val="14"/>
              </w:rPr>
              <w:t>media</w:t>
            </w:r>
          </w:p>
        </w:tc>
        <w:tc>
          <w:tcPr>
            <w:tcW w:w="1476" w:type="dxa"/>
            <w:tcBorders>
              <w:top w:val="single" w:sz="4" w:space="0" w:color="000000"/>
              <w:left w:val="single" w:sz="4" w:space="0" w:color="000000"/>
              <w:right w:val="single" w:sz="4" w:space="0" w:color="000000"/>
            </w:tcBorders>
          </w:tcPr>
          <w:p>
            <w:pPr>
              <w:pStyle w:val="TableParagraph"/>
              <w:spacing w:before="133"/>
              <w:ind w:left="64" w:right="0"/>
              <w:jc w:val="left"/>
              <w:rPr>
                <w:sz w:val="22"/>
              </w:rPr>
            </w:pPr>
            <w:r>
              <w:rPr>
                <w:sz w:val="22"/>
              </w:rPr>
              <w:t>g O</w:t>
            </w:r>
            <w:r>
              <w:rPr>
                <w:position w:val="-2"/>
                <w:sz w:val="14"/>
              </w:rPr>
              <w:t>2</w:t>
            </w:r>
            <w:r>
              <w:rPr>
                <w:sz w:val="22"/>
              </w:rPr>
              <w:t>/kWh</w:t>
            </w:r>
          </w:p>
        </w:tc>
        <w:tc>
          <w:tcPr>
            <w:tcW w:w="1241" w:type="dxa"/>
            <w:tcBorders>
              <w:top w:val="single" w:sz="4" w:space="0" w:color="000000"/>
              <w:left w:val="single" w:sz="4" w:space="0" w:color="000000"/>
              <w:right w:val="single" w:sz="4" w:space="0" w:color="000000"/>
            </w:tcBorders>
          </w:tcPr>
          <w:p>
            <w:pPr>
              <w:pStyle w:val="TableParagraph"/>
              <w:spacing w:before="133"/>
              <w:ind w:right="63"/>
              <w:rPr>
                <w:sz w:val="22"/>
              </w:rPr>
            </w:pPr>
            <w:r>
              <w:rPr>
                <w:sz w:val="22"/>
              </w:rPr>
              <w:t>-1,92</w:t>
            </w:r>
          </w:p>
        </w:tc>
        <w:tc>
          <w:tcPr>
            <w:tcW w:w="1171" w:type="dxa"/>
            <w:tcBorders>
              <w:top w:val="single" w:sz="4" w:space="0" w:color="000000"/>
              <w:left w:val="single" w:sz="4" w:space="0" w:color="000000"/>
            </w:tcBorders>
          </w:tcPr>
          <w:p>
            <w:pPr>
              <w:pStyle w:val="TableParagraph"/>
              <w:spacing w:before="133"/>
              <w:ind w:right="58"/>
              <w:rPr>
                <w:sz w:val="22"/>
              </w:rPr>
            </w:pPr>
            <w:r>
              <w:rPr>
                <w:sz w:val="22"/>
              </w:rPr>
              <w:t>9,31</w:t>
            </w:r>
          </w:p>
        </w:tc>
      </w:tr>
    </w:tbl>
    <w:p>
      <w:pPr>
        <w:pStyle w:val="BodyText"/>
        <w:spacing w:before="9"/>
        <w:rPr>
          <w:b/>
          <w:sz w:val="10"/>
        </w:rPr>
      </w:pPr>
    </w:p>
    <w:p>
      <w:pPr>
        <w:pStyle w:val="BodyText"/>
        <w:spacing w:line="357" w:lineRule="auto" w:before="73"/>
        <w:ind w:left="781" w:right="936"/>
        <w:jc w:val="both"/>
      </w:pPr>
      <w:r>
        <w:rPr/>
        <w:t>Los biofiltros tuvieron un desempeño aceptable, la calidad del agua del efluente fue la necesaria para permitir un crecimiento mayor al reportado en la literatura. Al comparar el desempeño de estos biofiltros con otros estudios se encuentra que la tasa volumétrica de consumo de nitrógeno amoniacal está por debajo de lo reportado, tal vez debido a los niveles bajos de N-NH</w:t>
      </w:r>
      <w:r>
        <w:rPr>
          <w:position w:val="-2"/>
          <w:sz w:val="13"/>
        </w:rPr>
        <w:t>3 </w:t>
      </w:r>
      <w:r>
        <w:rPr/>
        <w:t>tratado. No obstante, en general los dos biofiltros permitieron una remoción de N-NH</w:t>
      </w:r>
      <w:r>
        <w:rPr>
          <w:position w:val="-2"/>
          <w:sz w:val="13"/>
        </w:rPr>
        <w:t>3 </w:t>
      </w:r>
      <w:r>
        <w:rPr/>
        <w:t>de 78,15 ± 24 % por lo que aún teniendo una baja TVNA se cumple el objetivo del tren de tratamiento que es mantener la vida de la trucha arco iris en  el sistema.</w:t>
      </w:r>
    </w:p>
    <w:p>
      <w:pPr>
        <w:pStyle w:val="BodyText"/>
        <w:spacing w:before="9"/>
        <w:rPr>
          <w:sz w:val="17"/>
        </w:rPr>
      </w:pPr>
    </w:p>
    <w:p>
      <w:pPr>
        <w:pStyle w:val="BodyText"/>
        <w:spacing w:line="360" w:lineRule="auto"/>
        <w:ind w:left="781" w:right="938"/>
        <w:jc w:val="both"/>
      </w:pPr>
      <w:r>
        <w:rPr/>
        <w:t>El desempeño de los biofiltros con respecto al consumo de energía eléctrica no fue adecuado llegando a consumir 25,34 kW/d, lo que significa hasta $ 20,39/kg de pez. Este consumo de energía se debe de optimizar reduciendo el gasto por oxigenación y bombeo. Una alternativa es direccionar el gasto de energía a sistemas de generación eléctrica solar, eólica o hidráulica.</w:t>
      </w:r>
    </w:p>
    <w:p>
      <w:pPr>
        <w:pStyle w:val="BodyText"/>
        <w:spacing w:before="7"/>
        <w:rPr>
          <w:sz w:val="17"/>
        </w:rPr>
      </w:pPr>
    </w:p>
    <w:p>
      <w:pPr>
        <w:pStyle w:val="BodyText"/>
        <w:spacing w:line="360" w:lineRule="auto"/>
        <w:ind w:left="781" w:right="939"/>
        <w:jc w:val="both"/>
      </w:pPr>
      <w:r>
        <w:rPr/>
        <w:t>Otra opción para que el sistema sea rentable es el de cultivar organismos desde cría hasta los 12 cm de longitud o 10 g de peso promedio, ya que el número de peces de esta talla por kilogramo de biomasa amortiza el costo</w:t>
      </w:r>
      <w:r>
        <w:rPr>
          <w:spacing w:val="-19"/>
        </w:rPr>
        <w:t> </w:t>
      </w:r>
      <w:r>
        <w:rPr/>
        <w:t>energético.</w:t>
      </w:r>
    </w:p>
    <w:p>
      <w:pPr>
        <w:spacing w:after="0" w:line="360" w:lineRule="auto"/>
        <w:jc w:val="both"/>
        <w:sectPr>
          <w:pgSz w:w="12240" w:h="15840"/>
          <w:pgMar w:header="725" w:footer="1084" w:top="1340" w:bottom="1280" w:left="920" w:right="760"/>
        </w:sectPr>
      </w:pPr>
    </w:p>
    <w:p>
      <w:pPr>
        <w:pStyle w:val="Heading5"/>
        <w:numPr>
          <w:ilvl w:val="1"/>
          <w:numId w:val="15"/>
        </w:numPr>
        <w:tabs>
          <w:tab w:pos="1211" w:val="left" w:leader="none"/>
        </w:tabs>
        <w:spacing w:line="240" w:lineRule="auto" w:before="172" w:after="0"/>
        <w:ind w:left="1210" w:right="0" w:hanging="429"/>
        <w:jc w:val="both"/>
      </w:pPr>
      <w:bookmarkStart w:name="_TOC_250031" w:id="125"/>
      <w:bookmarkStart w:name="5.6. Cinética" w:id="126"/>
      <w:r>
        <w:rPr>
          <w:b w:val="0"/>
        </w:rPr>
      </w:r>
      <w:bookmarkEnd w:id="126"/>
      <w:bookmarkStart w:name="5.6. Cinética" w:id="127"/>
      <w:r>
        <w:rPr/>
        <w:t>C</w:t>
      </w:r>
      <w:bookmarkEnd w:id="125"/>
      <w:r>
        <w:rPr/>
        <w:t>INÉTICA</w:t>
      </w:r>
    </w:p>
    <w:p>
      <w:pPr>
        <w:pStyle w:val="BodyText"/>
        <w:spacing w:before="3"/>
        <w:rPr>
          <w:b/>
          <w:sz w:val="28"/>
        </w:rPr>
      </w:pPr>
    </w:p>
    <w:p>
      <w:pPr>
        <w:pStyle w:val="Heading5"/>
        <w:numPr>
          <w:ilvl w:val="2"/>
          <w:numId w:val="15"/>
        </w:numPr>
        <w:tabs>
          <w:tab w:pos="1396" w:val="left" w:leader="none"/>
        </w:tabs>
        <w:spacing w:line="240" w:lineRule="auto" w:before="0" w:after="0"/>
        <w:ind w:left="1395" w:right="0" w:hanging="614"/>
        <w:jc w:val="both"/>
      </w:pPr>
      <w:bookmarkStart w:name="_TOC_250030" w:id="128"/>
      <w:bookmarkStart w:name="5.6.1. Tasas de remoción" w:id="129"/>
      <w:r>
        <w:rPr>
          <w:b w:val="0"/>
        </w:rPr>
      </w:r>
      <w:bookmarkEnd w:id="129"/>
      <w:bookmarkStart w:name="5.6.1. Tasas de remoción" w:id="130"/>
      <w:r>
        <w:rPr/>
        <w:t>T</w:t>
      </w:r>
      <w:r>
        <w:rPr/>
        <w:t>ASAS DE</w:t>
      </w:r>
      <w:r>
        <w:rPr>
          <w:spacing w:val="-6"/>
        </w:rPr>
        <w:t> </w:t>
      </w:r>
      <w:bookmarkEnd w:id="128"/>
      <w:r>
        <w:rPr/>
        <w:t>REMOCIÓN</w:t>
      </w:r>
    </w:p>
    <w:p>
      <w:pPr>
        <w:pStyle w:val="BodyText"/>
        <w:spacing w:before="8"/>
        <w:rPr>
          <w:b/>
          <w:sz w:val="28"/>
        </w:rPr>
      </w:pPr>
    </w:p>
    <w:p>
      <w:pPr>
        <w:pStyle w:val="BodyText"/>
        <w:spacing w:line="360" w:lineRule="auto"/>
        <w:ind w:left="781" w:right="497"/>
        <w:jc w:val="both"/>
      </w:pPr>
      <w:r>
        <w:rPr/>
        <w:t>Las tasas de remoción del sistema prototipo se calcularon mediante un balance de masas de los procesos involucrados en la oxidación de las especies nitrogenadas, la materia orgánica, la generación y captura de sólidos suspendidos totales, el oxígeno disuelto utilizado por los peces y bacterias, en cada unidad del tren de tratamiento y del estanque.</w:t>
      </w:r>
    </w:p>
    <w:p>
      <w:pPr>
        <w:pStyle w:val="BodyText"/>
        <w:spacing w:before="9"/>
        <w:rPr>
          <w:sz w:val="17"/>
        </w:rPr>
      </w:pPr>
    </w:p>
    <w:p>
      <w:pPr>
        <w:pStyle w:val="BodyText"/>
        <w:spacing w:line="360" w:lineRule="auto"/>
        <w:ind w:left="781" w:right="498"/>
        <w:jc w:val="both"/>
      </w:pPr>
      <w:r>
        <w:rPr/>
        <w:t>El periodo utilizado para obtener las tasas fueron los 121 días del cultivo. En la figura 36 se tiene un esquema, donde se consideró, para obtener el balance de masa, una salida del sistema prototipo en el estanque (purga de lodos) y una entrada en los reservorios de acuerdo con el siguiente esquema.</w:t>
      </w:r>
    </w:p>
    <w:p>
      <w:pPr>
        <w:pStyle w:val="BodyText"/>
        <w:spacing w:before="7"/>
        <w:rPr>
          <w:sz w:val="14"/>
        </w:rPr>
      </w:pPr>
      <w:r>
        <w:rPr/>
        <w:drawing>
          <wp:anchor distT="0" distB="0" distL="0" distR="0" allowOverlap="1" layoutInCell="1" locked="0" behindDoc="0" simplePos="0" relativeHeight="7792">
            <wp:simplePos x="0" y="0"/>
            <wp:positionH relativeFrom="page">
              <wp:posOffset>1854707</wp:posOffset>
            </wp:positionH>
            <wp:positionV relativeFrom="paragraph">
              <wp:posOffset>131624</wp:posOffset>
            </wp:positionV>
            <wp:extent cx="4058574" cy="4637722"/>
            <wp:effectExtent l="0" t="0" r="0" b="0"/>
            <wp:wrapTopAndBottom/>
            <wp:docPr id="35" name="image69.png" descr=""/>
            <wp:cNvGraphicFramePr>
              <a:graphicFrameLocks noChangeAspect="1"/>
            </wp:cNvGraphicFramePr>
            <a:graphic>
              <a:graphicData uri="http://schemas.openxmlformats.org/drawingml/2006/picture">
                <pic:pic>
                  <pic:nvPicPr>
                    <pic:cNvPr id="36" name="image69.png"/>
                    <pic:cNvPicPr/>
                  </pic:nvPicPr>
                  <pic:blipFill>
                    <a:blip r:embed="rId77" cstate="print"/>
                    <a:stretch>
                      <a:fillRect/>
                    </a:stretch>
                  </pic:blipFill>
                  <pic:spPr>
                    <a:xfrm>
                      <a:off x="0" y="0"/>
                      <a:ext cx="4058574" cy="4637722"/>
                    </a:xfrm>
                    <a:prstGeom prst="rect">
                      <a:avLst/>
                    </a:prstGeom>
                  </pic:spPr>
                </pic:pic>
              </a:graphicData>
            </a:graphic>
          </wp:anchor>
        </w:drawing>
      </w:r>
    </w:p>
    <w:p>
      <w:pPr>
        <w:spacing w:before="130"/>
        <w:ind w:left="1837" w:right="948" w:firstLine="0"/>
        <w:jc w:val="left"/>
        <w:rPr>
          <w:b/>
          <w:sz w:val="18"/>
        </w:rPr>
      </w:pPr>
      <w:r>
        <w:rPr>
          <w:b/>
          <w:sz w:val="18"/>
        </w:rPr>
        <w:t>Figura 36.Esquema utilizado para el balance de masas en el sistema prototipo.</w:t>
      </w:r>
    </w:p>
    <w:p>
      <w:pPr>
        <w:spacing w:after="0"/>
        <w:jc w:val="left"/>
        <w:rPr>
          <w:sz w:val="18"/>
        </w:rPr>
        <w:sectPr>
          <w:pgSz w:w="12240" w:h="15840"/>
          <w:pgMar w:header="725" w:footer="1084" w:top="1340" w:bottom="1280" w:left="920" w:right="1200"/>
        </w:sectPr>
      </w:pPr>
    </w:p>
    <w:p>
      <w:pPr>
        <w:pStyle w:val="Heading5"/>
        <w:numPr>
          <w:ilvl w:val="3"/>
          <w:numId w:val="15"/>
        </w:numPr>
        <w:tabs>
          <w:tab w:pos="1578" w:val="left" w:leader="none"/>
        </w:tabs>
        <w:spacing w:line="240" w:lineRule="auto" w:before="172" w:after="0"/>
        <w:ind w:left="1577" w:right="0" w:hanging="796"/>
        <w:jc w:val="both"/>
        <w:rPr>
          <w:b w:val="0"/>
        </w:rPr>
      </w:pPr>
      <w:bookmarkStart w:name="5.6.1.1. Nitrógeno amoniacal total (N-NH" w:id="131"/>
      <w:bookmarkEnd w:id="131"/>
      <w:r>
        <w:rPr>
          <w:b w:val="0"/>
        </w:rPr>
      </w:r>
      <w:bookmarkStart w:name="5.6.1.1. Nitrógeno amoniacal total (N-NH" w:id="132"/>
      <w:bookmarkEnd w:id="132"/>
      <w:r>
        <w:rPr/>
        <w:t>N</w:t>
      </w:r>
      <w:r>
        <w:rPr/>
        <w:t>ITRÓGENO AMONIACAL TOTAL</w:t>
      </w:r>
      <w:r>
        <w:rPr>
          <w:spacing w:val="-14"/>
        </w:rPr>
        <w:t> </w:t>
      </w:r>
      <w:r>
        <w:rPr/>
        <w:t>(N-NH</w:t>
      </w:r>
      <w:r>
        <w:rPr>
          <w:position w:val="-2"/>
          <w:sz w:val="14"/>
        </w:rPr>
        <w:t>3</w:t>
      </w:r>
      <w:r>
        <w:rPr>
          <w:b w:val="0"/>
        </w:rPr>
        <w:t>)</w:t>
      </w:r>
    </w:p>
    <w:p>
      <w:pPr>
        <w:pStyle w:val="BodyText"/>
        <w:spacing w:before="4"/>
        <w:rPr>
          <w:sz w:val="27"/>
        </w:rPr>
      </w:pPr>
    </w:p>
    <w:p>
      <w:pPr>
        <w:pStyle w:val="BodyText"/>
        <w:spacing w:line="360" w:lineRule="auto"/>
        <w:ind w:left="781" w:right="857"/>
        <w:jc w:val="both"/>
      </w:pPr>
      <w:r>
        <w:rPr/>
        <w:t>La tabla 21 presenta el balance de masas en el SRA con respecto al nitrógeno amoniacal total, se muestra para cada punto de muestreo el caudal, la concentración promedio y  flujo másico. Se indica con “1” la entrada a la unidad de tratamiento y con “-1” las salidas  a la misma. Bajo el esquema de entradas y salidas de las unidades de tratamiento se calcula el flujo másico del influente y efluente para determinar las diferencias que cuando el valor es positivo significa una remoción y cuando es negativo se tiene una generación de nitrógeno amoniacal</w:t>
      </w:r>
      <w:r>
        <w:rPr>
          <w:spacing w:val="-13"/>
        </w:rPr>
        <w:t> </w:t>
      </w:r>
      <w:r>
        <w:rPr/>
        <w:t>total.</w:t>
      </w:r>
    </w:p>
    <w:p>
      <w:pPr>
        <w:pStyle w:val="BodyText"/>
        <w:spacing w:before="9"/>
        <w:rPr>
          <w:sz w:val="17"/>
        </w:rPr>
      </w:pPr>
    </w:p>
    <w:p>
      <w:pPr>
        <w:pStyle w:val="BodyText"/>
        <w:spacing w:line="355" w:lineRule="auto"/>
        <w:ind w:left="781" w:right="857"/>
        <w:jc w:val="both"/>
      </w:pPr>
      <w:r>
        <w:rPr/>
        <w:t>La generación de nitrógeno amoniacal en el SRA fue, en el estanque de 106,85 g N-NH</w:t>
      </w:r>
      <w:r>
        <w:rPr>
          <w:position w:val="-2"/>
          <w:sz w:val="13"/>
        </w:rPr>
        <w:t>3</w:t>
      </w:r>
      <w:r>
        <w:rPr/>
        <w:t>/d principalmente por hidrólisis de aminoácidos y proteínas provenientes de las heces  fecales de los peces y del alimento no consumido. El biofiltro (unidad especializada para eliminar las especies nitrogenadas) removió 23,94 g N-NH</w:t>
      </w:r>
      <w:r>
        <w:rPr>
          <w:position w:val="-2"/>
          <w:sz w:val="13"/>
        </w:rPr>
        <w:t>3</w:t>
      </w:r>
      <w:r>
        <w:rPr/>
        <w:t>/d, sin embargo el filtro de arena descendente operado removió 69,44 g N-NH</w:t>
      </w:r>
      <w:r>
        <w:rPr>
          <w:position w:val="-2"/>
          <w:sz w:val="13"/>
        </w:rPr>
        <w:t>3</w:t>
      </w:r>
      <w:r>
        <w:rPr/>
        <w:t>/d. De acuerdo con Timmons </w:t>
      </w:r>
      <w:r>
        <w:rPr>
          <w:i/>
        </w:rPr>
        <w:t>et al</w:t>
      </w:r>
      <w:r>
        <w:rPr/>
        <w:t>. (2002) existe una remoción en tuberías y otras unidades de los trenes de tratamiento que puede llegar hasta un 30%, en este caso fue del orden de 0,84 g N-NH</w:t>
      </w:r>
      <w:r>
        <w:rPr>
          <w:position w:val="-2"/>
          <w:sz w:val="13"/>
        </w:rPr>
        <w:t>3</w:t>
      </w:r>
      <w:r>
        <w:rPr/>
        <w:t>/d es decir un</w:t>
      </w:r>
      <w:r>
        <w:rPr>
          <w:spacing w:val="2"/>
        </w:rPr>
        <w:t> </w:t>
      </w:r>
      <w:r>
        <w:rPr/>
        <w:t>0,57</w:t>
      </w:r>
    </w:p>
    <w:p>
      <w:pPr>
        <w:pStyle w:val="BodyText"/>
        <w:spacing w:line="245" w:lineRule="exact"/>
        <w:ind w:left="781"/>
        <w:jc w:val="both"/>
      </w:pPr>
      <w:r>
        <w:rPr/>
        <w:t>%.</w:t>
      </w:r>
    </w:p>
    <w:p>
      <w:pPr>
        <w:pStyle w:val="BodyText"/>
        <w:spacing w:before="3"/>
        <w:rPr>
          <w:sz w:val="28"/>
        </w:rPr>
      </w:pPr>
    </w:p>
    <w:p>
      <w:pPr>
        <w:spacing w:before="0"/>
        <w:ind w:left="1367" w:right="0" w:firstLine="0"/>
        <w:jc w:val="left"/>
        <w:rPr>
          <w:b/>
          <w:sz w:val="18"/>
        </w:rPr>
      </w:pPr>
      <w:r>
        <w:rPr>
          <w:b/>
          <w:sz w:val="18"/>
        </w:rPr>
        <w:t>Tabla 21. Balance de masa del nitrógeno amoniacal total </w:t>
      </w:r>
      <w:r>
        <w:rPr>
          <w:b/>
          <w:sz w:val="20"/>
        </w:rPr>
        <w:t>(N-NH</w:t>
      </w:r>
      <w:r>
        <w:rPr>
          <w:b/>
          <w:position w:val="-2"/>
          <w:sz w:val="13"/>
        </w:rPr>
        <w:t>3</w:t>
      </w:r>
      <w:r>
        <w:rPr>
          <w:b/>
          <w:sz w:val="20"/>
        </w:rPr>
        <w:t>) </w:t>
      </w:r>
      <w:r>
        <w:rPr>
          <w:b/>
          <w:sz w:val="18"/>
        </w:rPr>
        <w:t>en el sistema prototipo.</w:t>
      </w:r>
    </w:p>
    <w:p>
      <w:pPr>
        <w:pStyle w:val="BodyText"/>
        <w:spacing w:before="6" w:after="1"/>
        <w:rPr>
          <w:b/>
          <w:sz w:val="9"/>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9"/>
        <w:gridCol w:w="900"/>
        <w:gridCol w:w="1301"/>
        <w:gridCol w:w="821"/>
        <w:gridCol w:w="581"/>
        <w:gridCol w:w="650"/>
        <w:gridCol w:w="581"/>
        <w:gridCol w:w="720"/>
        <w:gridCol w:w="929"/>
        <w:gridCol w:w="926"/>
        <w:gridCol w:w="898"/>
        <w:gridCol w:w="929"/>
      </w:tblGrid>
      <w:tr>
        <w:trPr>
          <w:trHeight w:val="310" w:hRule="exact"/>
        </w:trPr>
        <w:tc>
          <w:tcPr>
            <w:tcW w:w="919"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7"/>
              <w:ind w:left="78" w:firstLine="14"/>
              <w:jc w:val="left"/>
              <w:rPr>
                <w:rFonts w:ascii="Arial"/>
                <w:sz w:val="18"/>
              </w:rPr>
            </w:pPr>
            <w:r>
              <w:rPr>
                <w:rFonts w:ascii="Arial"/>
                <w:sz w:val="18"/>
              </w:rPr>
              <w:t>Punto de muestreo</w:t>
            </w:r>
          </w:p>
        </w:tc>
        <w:tc>
          <w:tcPr>
            <w:tcW w:w="900"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7"/>
              <w:ind w:left="259" w:right="142" w:hanging="101"/>
              <w:jc w:val="left"/>
              <w:rPr>
                <w:rFonts w:ascii="Arial"/>
                <w:sz w:val="18"/>
              </w:rPr>
            </w:pPr>
            <w:r>
              <w:rPr>
                <w:rFonts w:ascii="Arial"/>
                <w:sz w:val="18"/>
              </w:rPr>
              <w:t>Caudal (L/d)</w:t>
            </w:r>
          </w:p>
        </w:tc>
        <w:tc>
          <w:tcPr>
            <w:tcW w:w="1301"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7"/>
              <w:ind w:left="384" w:right="46" w:hanging="320"/>
              <w:jc w:val="left"/>
              <w:rPr>
                <w:rFonts w:ascii="Arial" w:hAnsi="Arial"/>
                <w:sz w:val="18"/>
              </w:rPr>
            </w:pPr>
            <w:r>
              <w:rPr>
                <w:rFonts w:ascii="Arial" w:hAnsi="Arial"/>
                <w:sz w:val="18"/>
              </w:rPr>
              <w:t>Concentración (mg/L)</w:t>
            </w:r>
          </w:p>
        </w:tc>
        <w:tc>
          <w:tcPr>
            <w:tcW w:w="821"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20"/>
              </w:rPr>
            </w:pPr>
          </w:p>
          <w:p>
            <w:pPr>
              <w:pStyle w:val="TableParagraph"/>
              <w:spacing w:before="1"/>
              <w:ind w:left="117" w:right="118" w:firstLine="2"/>
              <w:jc w:val="center"/>
              <w:rPr>
                <w:rFonts w:ascii="Arial" w:hAnsi="Arial"/>
                <w:sz w:val="18"/>
              </w:rPr>
            </w:pPr>
            <w:r>
              <w:rPr>
                <w:rFonts w:ascii="Arial" w:hAnsi="Arial"/>
                <w:sz w:val="18"/>
              </w:rPr>
              <w:t>Flujo másico (g/d)</w:t>
            </w:r>
          </w:p>
        </w:tc>
        <w:tc>
          <w:tcPr>
            <w:tcW w:w="2532" w:type="dxa"/>
            <w:gridSpan w:val="4"/>
          </w:tcPr>
          <w:p>
            <w:pPr>
              <w:pStyle w:val="TableParagraph"/>
              <w:spacing w:before="44"/>
              <w:ind w:left="261" w:right="0"/>
              <w:jc w:val="left"/>
              <w:rPr>
                <w:rFonts w:ascii="Arial"/>
                <w:sz w:val="18"/>
              </w:rPr>
            </w:pPr>
            <w:r>
              <w:rPr>
                <w:rFonts w:ascii="Arial"/>
                <w:sz w:val="18"/>
              </w:rPr>
              <w:t>Entrada (+1) y salida (-1)</w:t>
            </w:r>
          </w:p>
        </w:tc>
        <w:tc>
          <w:tcPr>
            <w:tcW w:w="3682" w:type="dxa"/>
            <w:gridSpan w:val="4"/>
          </w:tcPr>
          <w:p>
            <w:pPr>
              <w:pStyle w:val="TableParagraph"/>
              <w:spacing w:before="44"/>
              <w:ind w:left="1235" w:right="1235"/>
              <w:jc w:val="center"/>
              <w:rPr>
                <w:rFonts w:ascii="Arial"/>
                <w:sz w:val="18"/>
              </w:rPr>
            </w:pPr>
            <w:r>
              <w:rPr>
                <w:rFonts w:ascii="Arial"/>
                <w:sz w:val="18"/>
              </w:rPr>
              <w:t>Balances (g/d)</w:t>
            </w:r>
          </w:p>
        </w:tc>
      </w:tr>
      <w:tr>
        <w:trPr>
          <w:trHeight w:val="1615" w:hRule="exact"/>
        </w:trPr>
        <w:tc>
          <w:tcPr>
            <w:tcW w:w="919" w:type="dxa"/>
            <w:vMerge/>
          </w:tcPr>
          <w:p>
            <w:pPr/>
          </w:p>
        </w:tc>
        <w:tc>
          <w:tcPr>
            <w:tcW w:w="900" w:type="dxa"/>
            <w:vMerge/>
          </w:tcPr>
          <w:p>
            <w:pPr/>
          </w:p>
        </w:tc>
        <w:tc>
          <w:tcPr>
            <w:tcW w:w="1301" w:type="dxa"/>
            <w:vMerge/>
          </w:tcPr>
          <w:p>
            <w:pPr/>
          </w:p>
        </w:tc>
        <w:tc>
          <w:tcPr>
            <w:tcW w:w="821" w:type="dxa"/>
            <w:vMerge/>
          </w:tcPr>
          <w:p>
            <w:pPr/>
          </w:p>
        </w:tc>
        <w:tc>
          <w:tcPr>
            <w:tcW w:w="581" w:type="dxa"/>
            <w:textDirection w:val="btLr"/>
          </w:tcPr>
          <w:p>
            <w:pPr>
              <w:pStyle w:val="TableParagraph"/>
              <w:spacing w:before="1"/>
              <w:ind w:right="0"/>
              <w:jc w:val="left"/>
              <w:rPr>
                <w:rFonts w:ascii="Arial"/>
                <w:b/>
                <w:sz w:val="15"/>
              </w:rPr>
            </w:pPr>
          </w:p>
          <w:p>
            <w:pPr>
              <w:pStyle w:val="TableParagraph"/>
              <w:spacing w:before="1"/>
              <w:ind w:left="367"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650" w:type="dxa"/>
            <w:textDirection w:val="btLr"/>
          </w:tcPr>
          <w:p>
            <w:pPr>
              <w:pStyle w:val="TableParagraph"/>
              <w:spacing w:before="3"/>
              <w:ind w:right="0"/>
              <w:jc w:val="left"/>
              <w:rPr>
                <w:rFonts w:ascii="Arial"/>
                <w:b/>
                <w:sz w:val="18"/>
              </w:rPr>
            </w:pPr>
          </w:p>
          <w:p>
            <w:pPr>
              <w:pStyle w:val="TableParagraph"/>
              <w:spacing w:before="0"/>
              <w:ind w:left="220"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581" w:type="dxa"/>
            <w:textDirection w:val="btLr"/>
          </w:tcPr>
          <w:p>
            <w:pPr>
              <w:pStyle w:val="TableParagraph"/>
              <w:spacing w:before="1"/>
              <w:ind w:right="0"/>
              <w:jc w:val="left"/>
              <w:rPr>
                <w:rFonts w:ascii="Arial"/>
                <w:b/>
                <w:sz w:val="15"/>
              </w:rPr>
            </w:pPr>
          </w:p>
          <w:p>
            <w:pPr>
              <w:pStyle w:val="TableParagraph"/>
              <w:spacing w:before="1"/>
              <w:ind w:left="422"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720" w:type="dxa"/>
            <w:textDirection w:val="btLr"/>
          </w:tcPr>
          <w:p>
            <w:pPr>
              <w:pStyle w:val="TableParagraph"/>
              <w:spacing w:before="2"/>
              <w:ind w:right="0"/>
              <w:jc w:val="left"/>
              <w:rPr>
                <w:rFonts w:ascii="Arial"/>
                <w:b/>
                <w:sz w:val="21"/>
              </w:rPr>
            </w:pPr>
          </w:p>
          <w:p>
            <w:pPr>
              <w:pStyle w:val="TableParagraph"/>
              <w:spacing w:before="0"/>
              <w:ind w:left="482" w:right="0"/>
              <w:jc w:val="left"/>
              <w:rPr>
                <w:rFonts w:ascii="Arial"/>
                <w:sz w:val="18"/>
              </w:rPr>
            </w:pPr>
            <w:r>
              <w:rPr>
                <w:rFonts w:ascii="Arial"/>
                <w:spacing w:val="-1"/>
                <w:w w:val="99"/>
                <w:sz w:val="18"/>
              </w:rPr>
              <w:t>G</w:t>
            </w:r>
            <w:r>
              <w:rPr>
                <w:rFonts w:ascii="Arial"/>
                <w:w w:val="99"/>
                <w:sz w:val="18"/>
              </w:rPr>
              <w:t>eneral</w:t>
            </w:r>
          </w:p>
        </w:tc>
        <w:tc>
          <w:tcPr>
            <w:tcW w:w="929" w:type="dxa"/>
            <w:textDirection w:val="btLr"/>
          </w:tcPr>
          <w:p>
            <w:pPr>
              <w:pStyle w:val="TableParagraph"/>
              <w:spacing w:before="0"/>
              <w:ind w:right="0"/>
              <w:jc w:val="left"/>
              <w:rPr>
                <w:rFonts w:ascii="Arial"/>
                <w:b/>
                <w:sz w:val="18"/>
              </w:rPr>
            </w:pPr>
          </w:p>
          <w:p>
            <w:pPr>
              <w:pStyle w:val="TableParagraph"/>
              <w:spacing w:before="142"/>
              <w:ind w:left="367"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926" w:type="dxa"/>
            <w:textDirection w:val="btLr"/>
          </w:tcPr>
          <w:p>
            <w:pPr>
              <w:pStyle w:val="TableParagraph"/>
              <w:spacing w:before="0"/>
              <w:ind w:right="0"/>
              <w:jc w:val="left"/>
              <w:rPr>
                <w:rFonts w:ascii="Arial"/>
                <w:b/>
                <w:sz w:val="18"/>
              </w:rPr>
            </w:pPr>
          </w:p>
          <w:p>
            <w:pPr>
              <w:pStyle w:val="TableParagraph"/>
              <w:spacing w:before="140"/>
              <w:ind w:left="220"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898" w:type="dxa"/>
            <w:textDirection w:val="btLr"/>
          </w:tcPr>
          <w:p>
            <w:pPr>
              <w:pStyle w:val="TableParagraph"/>
              <w:spacing w:before="0"/>
              <w:ind w:right="0"/>
              <w:jc w:val="left"/>
              <w:rPr>
                <w:rFonts w:ascii="Arial"/>
                <w:b/>
                <w:sz w:val="18"/>
              </w:rPr>
            </w:pPr>
          </w:p>
          <w:p>
            <w:pPr>
              <w:pStyle w:val="TableParagraph"/>
              <w:spacing w:before="128"/>
              <w:ind w:left="422"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929" w:type="dxa"/>
            <w:textDirection w:val="btLr"/>
          </w:tcPr>
          <w:p>
            <w:pPr>
              <w:pStyle w:val="TableParagraph"/>
              <w:spacing w:before="0"/>
              <w:ind w:right="0"/>
              <w:jc w:val="left"/>
              <w:rPr>
                <w:rFonts w:ascii="Arial"/>
                <w:b/>
                <w:sz w:val="18"/>
              </w:rPr>
            </w:pPr>
          </w:p>
          <w:p>
            <w:pPr>
              <w:pStyle w:val="TableParagraph"/>
              <w:spacing w:before="142"/>
              <w:ind w:left="482" w:right="0"/>
              <w:jc w:val="left"/>
              <w:rPr>
                <w:rFonts w:ascii="Arial"/>
                <w:sz w:val="18"/>
              </w:rPr>
            </w:pPr>
            <w:r>
              <w:rPr>
                <w:rFonts w:ascii="Arial"/>
                <w:spacing w:val="-1"/>
                <w:w w:val="99"/>
                <w:sz w:val="18"/>
              </w:rPr>
              <w:t>G</w:t>
            </w:r>
            <w:r>
              <w:rPr>
                <w:rFonts w:ascii="Arial"/>
                <w:w w:val="99"/>
                <w:sz w:val="18"/>
              </w:rPr>
              <w:t>eneral</w:t>
            </w:r>
          </w:p>
        </w:tc>
      </w:tr>
      <w:tr>
        <w:trPr>
          <w:trHeight w:val="310" w:hRule="exact"/>
        </w:trPr>
        <w:tc>
          <w:tcPr>
            <w:tcW w:w="919" w:type="dxa"/>
          </w:tcPr>
          <w:p>
            <w:pPr>
              <w:pStyle w:val="TableParagraph"/>
              <w:spacing w:before="40"/>
              <w:ind w:right="0"/>
              <w:jc w:val="center"/>
              <w:rPr>
                <w:rFonts w:ascii="Arial"/>
                <w:b/>
                <w:sz w:val="18"/>
              </w:rPr>
            </w:pPr>
            <w:r>
              <w:rPr>
                <w:rFonts w:ascii="Arial"/>
                <w:b/>
                <w:w w:val="99"/>
                <w:sz w:val="18"/>
              </w:rPr>
              <w:t>A</w:t>
            </w:r>
          </w:p>
        </w:tc>
        <w:tc>
          <w:tcPr>
            <w:tcW w:w="900" w:type="dxa"/>
          </w:tcPr>
          <w:p>
            <w:pPr>
              <w:pStyle w:val="TableParagraph"/>
              <w:spacing w:before="44"/>
              <w:ind w:right="68"/>
              <w:rPr>
                <w:rFonts w:ascii="Arial"/>
                <w:sz w:val="18"/>
              </w:rPr>
            </w:pPr>
            <w:r>
              <w:rPr>
                <w:rFonts w:ascii="Arial"/>
                <w:sz w:val="18"/>
              </w:rPr>
              <w:t>181 440</w:t>
            </w:r>
          </w:p>
        </w:tc>
        <w:tc>
          <w:tcPr>
            <w:tcW w:w="1301" w:type="dxa"/>
          </w:tcPr>
          <w:p>
            <w:pPr>
              <w:pStyle w:val="TableParagraph"/>
              <w:spacing w:before="44"/>
              <w:ind w:left="450" w:right="449"/>
              <w:jc w:val="center"/>
              <w:rPr>
                <w:rFonts w:ascii="Arial"/>
                <w:sz w:val="18"/>
              </w:rPr>
            </w:pPr>
            <w:r>
              <w:rPr>
                <w:rFonts w:ascii="Arial"/>
                <w:sz w:val="18"/>
              </w:rPr>
              <w:t>0,80</w:t>
            </w:r>
          </w:p>
        </w:tc>
        <w:tc>
          <w:tcPr>
            <w:tcW w:w="821" w:type="dxa"/>
          </w:tcPr>
          <w:p>
            <w:pPr>
              <w:pStyle w:val="TableParagraph"/>
              <w:spacing w:before="44"/>
              <w:ind w:left="110" w:right="110"/>
              <w:jc w:val="center"/>
              <w:rPr>
                <w:rFonts w:ascii="Arial"/>
                <w:sz w:val="18"/>
              </w:rPr>
            </w:pPr>
            <w:r>
              <w:rPr>
                <w:rFonts w:ascii="Arial"/>
                <w:sz w:val="18"/>
              </w:rPr>
              <w:t>145,15</w:t>
            </w:r>
          </w:p>
        </w:tc>
        <w:tc>
          <w:tcPr>
            <w:tcW w:w="581" w:type="dxa"/>
          </w:tcPr>
          <w:p>
            <w:pPr>
              <w:pStyle w:val="TableParagraph"/>
              <w:spacing w:before="44"/>
              <w:ind w:right="3"/>
              <w:jc w:val="center"/>
              <w:rPr>
                <w:rFonts w:ascii="Arial"/>
                <w:sz w:val="18"/>
              </w:rPr>
            </w:pPr>
            <w:r>
              <w:rPr>
                <w:rFonts w:ascii="Arial"/>
                <w:w w:val="99"/>
                <w:sz w:val="18"/>
              </w:rPr>
              <w:t>1</w:t>
            </w:r>
          </w:p>
        </w:tc>
        <w:tc>
          <w:tcPr>
            <w:tcW w:w="650" w:type="dxa"/>
          </w:tcPr>
          <w:p>
            <w:pPr/>
          </w:p>
        </w:tc>
        <w:tc>
          <w:tcPr>
            <w:tcW w:w="581" w:type="dxa"/>
          </w:tcPr>
          <w:p>
            <w:pPr/>
          </w:p>
        </w:tc>
        <w:tc>
          <w:tcPr>
            <w:tcW w:w="720" w:type="dxa"/>
          </w:tcPr>
          <w:p>
            <w:pPr/>
          </w:p>
        </w:tc>
        <w:tc>
          <w:tcPr>
            <w:tcW w:w="929" w:type="dxa"/>
          </w:tcPr>
          <w:p>
            <w:pPr>
              <w:pStyle w:val="TableParagraph"/>
              <w:spacing w:before="44"/>
              <w:ind w:right="65"/>
              <w:rPr>
                <w:rFonts w:ascii="Arial"/>
                <w:sz w:val="18"/>
              </w:rPr>
            </w:pPr>
            <w:r>
              <w:rPr>
                <w:rFonts w:ascii="Arial"/>
                <w:sz w:val="18"/>
              </w:rPr>
              <w:t>145,15</w:t>
            </w:r>
          </w:p>
        </w:tc>
        <w:tc>
          <w:tcPr>
            <w:tcW w:w="926" w:type="dxa"/>
          </w:tcPr>
          <w:p>
            <w:pPr/>
          </w:p>
        </w:tc>
        <w:tc>
          <w:tcPr>
            <w:tcW w:w="898" w:type="dxa"/>
          </w:tcPr>
          <w:p>
            <w:pPr/>
          </w:p>
        </w:tc>
        <w:tc>
          <w:tcPr>
            <w:tcW w:w="929" w:type="dxa"/>
          </w:tcPr>
          <w:p>
            <w:pPr/>
          </w:p>
        </w:tc>
      </w:tr>
      <w:tr>
        <w:trPr>
          <w:trHeight w:val="310" w:hRule="exact"/>
        </w:trPr>
        <w:tc>
          <w:tcPr>
            <w:tcW w:w="919" w:type="dxa"/>
          </w:tcPr>
          <w:p>
            <w:pPr>
              <w:pStyle w:val="TableParagraph"/>
              <w:spacing w:before="40"/>
              <w:ind w:right="0"/>
              <w:jc w:val="center"/>
              <w:rPr>
                <w:rFonts w:ascii="Arial"/>
                <w:b/>
                <w:sz w:val="18"/>
              </w:rPr>
            </w:pPr>
            <w:r>
              <w:rPr>
                <w:rFonts w:ascii="Arial"/>
                <w:b/>
                <w:w w:val="99"/>
                <w:sz w:val="18"/>
              </w:rPr>
              <w:t>B</w:t>
            </w:r>
          </w:p>
        </w:tc>
        <w:tc>
          <w:tcPr>
            <w:tcW w:w="900" w:type="dxa"/>
          </w:tcPr>
          <w:p>
            <w:pPr>
              <w:pStyle w:val="TableParagraph"/>
              <w:spacing w:before="44"/>
              <w:ind w:right="68"/>
              <w:rPr>
                <w:rFonts w:ascii="Arial"/>
                <w:sz w:val="18"/>
              </w:rPr>
            </w:pPr>
            <w:r>
              <w:rPr>
                <w:rFonts w:ascii="Arial"/>
                <w:sz w:val="18"/>
              </w:rPr>
              <w:t>181 440</w:t>
            </w:r>
          </w:p>
        </w:tc>
        <w:tc>
          <w:tcPr>
            <w:tcW w:w="1301" w:type="dxa"/>
          </w:tcPr>
          <w:p>
            <w:pPr>
              <w:pStyle w:val="TableParagraph"/>
              <w:spacing w:before="44"/>
              <w:ind w:left="450" w:right="449"/>
              <w:jc w:val="center"/>
              <w:rPr>
                <w:rFonts w:ascii="Arial"/>
                <w:sz w:val="18"/>
              </w:rPr>
            </w:pPr>
            <w:r>
              <w:rPr>
                <w:rFonts w:ascii="Arial"/>
                <w:sz w:val="18"/>
              </w:rPr>
              <w:t>0,66</w:t>
            </w:r>
          </w:p>
        </w:tc>
        <w:tc>
          <w:tcPr>
            <w:tcW w:w="821" w:type="dxa"/>
          </w:tcPr>
          <w:p>
            <w:pPr>
              <w:pStyle w:val="TableParagraph"/>
              <w:spacing w:before="44"/>
              <w:ind w:left="110" w:right="110"/>
              <w:jc w:val="center"/>
              <w:rPr>
                <w:rFonts w:ascii="Arial"/>
                <w:sz w:val="18"/>
              </w:rPr>
            </w:pPr>
            <w:r>
              <w:rPr>
                <w:rFonts w:ascii="Arial"/>
                <w:sz w:val="18"/>
              </w:rPr>
              <w:t>119,75</w:t>
            </w:r>
          </w:p>
        </w:tc>
        <w:tc>
          <w:tcPr>
            <w:tcW w:w="581" w:type="dxa"/>
          </w:tcPr>
          <w:p>
            <w:pPr>
              <w:pStyle w:val="TableParagraph"/>
              <w:spacing w:before="44"/>
              <w:ind w:left="185" w:right="185"/>
              <w:jc w:val="center"/>
              <w:rPr>
                <w:rFonts w:ascii="Arial"/>
                <w:sz w:val="18"/>
              </w:rPr>
            </w:pPr>
            <w:r>
              <w:rPr>
                <w:rFonts w:ascii="Arial"/>
                <w:sz w:val="18"/>
              </w:rPr>
              <w:t>-1</w:t>
            </w:r>
          </w:p>
        </w:tc>
        <w:tc>
          <w:tcPr>
            <w:tcW w:w="650" w:type="dxa"/>
          </w:tcPr>
          <w:p>
            <w:pPr>
              <w:pStyle w:val="TableParagraph"/>
              <w:spacing w:before="44"/>
              <w:ind w:left="266" w:right="0"/>
              <w:jc w:val="left"/>
              <w:rPr>
                <w:rFonts w:ascii="Arial"/>
                <w:sz w:val="18"/>
              </w:rPr>
            </w:pPr>
            <w:r>
              <w:rPr>
                <w:rFonts w:ascii="Arial"/>
                <w:w w:val="99"/>
                <w:sz w:val="18"/>
              </w:rPr>
              <w:t>1</w:t>
            </w:r>
          </w:p>
        </w:tc>
        <w:tc>
          <w:tcPr>
            <w:tcW w:w="581" w:type="dxa"/>
          </w:tcPr>
          <w:p>
            <w:pPr/>
          </w:p>
        </w:tc>
        <w:tc>
          <w:tcPr>
            <w:tcW w:w="720" w:type="dxa"/>
          </w:tcPr>
          <w:p>
            <w:pPr/>
          </w:p>
        </w:tc>
        <w:tc>
          <w:tcPr>
            <w:tcW w:w="929" w:type="dxa"/>
          </w:tcPr>
          <w:p>
            <w:pPr>
              <w:pStyle w:val="TableParagraph"/>
              <w:spacing w:before="44"/>
              <w:ind w:right="65"/>
              <w:rPr>
                <w:rFonts w:ascii="Arial"/>
                <w:sz w:val="18"/>
              </w:rPr>
            </w:pPr>
            <w:r>
              <w:rPr>
                <w:rFonts w:ascii="Arial"/>
                <w:sz w:val="18"/>
              </w:rPr>
              <w:t>-  119,75</w:t>
            </w:r>
          </w:p>
        </w:tc>
        <w:tc>
          <w:tcPr>
            <w:tcW w:w="926" w:type="dxa"/>
          </w:tcPr>
          <w:p>
            <w:pPr>
              <w:pStyle w:val="TableParagraph"/>
              <w:spacing w:before="44"/>
              <w:ind w:right="63"/>
              <w:rPr>
                <w:rFonts w:ascii="Arial"/>
                <w:sz w:val="18"/>
              </w:rPr>
            </w:pPr>
            <w:r>
              <w:rPr>
                <w:rFonts w:ascii="Arial"/>
                <w:sz w:val="18"/>
              </w:rPr>
              <w:t>119,75</w:t>
            </w:r>
          </w:p>
        </w:tc>
        <w:tc>
          <w:tcPr>
            <w:tcW w:w="898" w:type="dxa"/>
          </w:tcPr>
          <w:p>
            <w:pPr/>
          </w:p>
        </w:tc>
        <w:tc>
          <w:tcPr>
            <w:tcW w:w="929" w:type="dxa"/>
          </w:tcPr>
          <w:p>
            <w:pPr/>
          </w:p>
        </w:tc>
      </w:tr>
      <w:tr>
        <w:trPr>
          <w:trHeight w:val="310" w:hRule="exact"/>
        </w:trPr>
        <w:tc>
          <w:tcPr>
            <w:tcW w:w="919" w:type="dxa"/>
          </w:tcPr>
          <w:p>
            <w:pPr>
              <w:pStyle w:val="TableParagraph"/>
              <w:spacing w:before="42"/>
              <w:ind w:right="0"/>
              <w:jc w:val="center"/>
              <w:rPr>
                <w:rFonts w:ascii="Arial"/>
                <w:b/>
                <w:sz w:val="18"/>
              </w:rPr>
            </w:pPr>
            <w:r>
              <w:rPr>
                <w:rFonts w:ascii="Arial"/>
                <w:b/>
                <w:w w:val="99"/>
                <w:sz w:val="18"/>
              </w:rPr>
              <w:t>C</w:t>
            </w:r>
          </w:p>
        </w:tc>
        <w:tc>
          <w:tcPr>
            <w:tcW w:w="900" w:type="dxa"/>
          </w:tcPr>
          <w:p>
            <w:pPr>
              <w:pStyle w:val="TableParagraph"/>
              <w:spacing w:before="47"/>
              <w:ind w:right="68"/>
              <w:rPr>
                <w:rFonts w:ascii="Arial"/>
                <w:sz w:val="18"/>
              </w:rPr>
            </w:pPr>
            <w:r>
              <w:rPr>
                <w:rFonts w:ascii="Arial"/>
                <w:sz w:val="18"/>
              </w:rPr>
              <w:t>181 440</w:t>
            </w:r>
          </w:p>
        </w:tc>
        <w:tc>
          <w:tcPr>
            <w:tcW w:w="1301" w:type="dxa"/>
          </w:tcPr>
          <w:p>
            <w:pPr>
              <w:pStyle w:val="TableParagraph"/>
              <w:spacing w:before="47"/>
              <w:ind w:left="450" w:right="449"/>
              <w:jc w:val="center"/>
              <w:rPr>
                <w:rFonts w:ascii="Arial"/>
                <w:sz w:val="18"/>
              </w:rPr>
            </w:pPr>
            <w:r>
              <w:rPr>
                <w:rFonts w:ascii="Arial"/>
                <w:sz w:val="18"/>
              </w:rPr>
              <w:t>0,27</w:t>
            </w:r>
          </w:p>
        </w:tc>
        <w:tc>
          <w:tcPr>
            <w:tcW w:w="821" w:type="dxa"/>
          </w:tcPr>
          <w:p>
            <w:pPr>
              <w:pStyle w:val="TableParagraph"/>
              <w:spacing w:before="47"/>
              <w:ind w:left="110" w:right="110"/>
              <w:jc w:val="center"/>
              <w:rPr>
                <w:rFonts w:ascii="Arial"/>
                <w:sz w:val="18"/>
              </w:rPr>
            </w:pPr>
            <w:r>
              <w:rPr>
                <w:rFonts w:ascii="Arial"/>
                <w:sz w:val="18"/>
              </w:rPr>
              <w:t>48,99</w:t>
            </w:r>
          </w:p>
        </w:tc>
        <w:tc>
          <w:tcPr>
            <w:tcW w:w="581" w:type="dxa"/>
          </w:tcPr>
          <w:p>
            <w:pPr/>
          </w:p>
        </w:tc>
        <w:tc>
          <w:tcPr>
            <w:tcW w:w="650" w:type="dxa"/>
          </w:tcPr>
          <w:p>
            <w:pPr>
              <w:pStyle w:val="TableParagraph"/>
              <w:spacing w:before="47"/>
              <w:ind w:left="238" w:right="0"/>
              <w:jc w:val="left"/>
              <w:rPr>
                <w:rFonts w:ascii="Arial"/>
                <w:sz w:val="18"/>
              </w:rPr>
            </w:pPr>
            <w:r>
              <w:rPr>
                <w:rFonts w:ascii="Arial"/>
                <w:sz w:val="18"/>
              </w:rPr>
              <w:t>-1</w:t>
            </w:r>
          </w:p>
        </w:tc>
        <w:tc>
          <w:tcPr>
            <w:tcW w:w="581" w:type="dxa"/>
          </w:tcPr>
          <w:p>
            <w:pPr>
              <w:pStyle w:val="TableParagraph"/>
              <w:spacing w:before="47"/>
              <w:ind w:left="233" w:right="0"/>
              <w:jc w:val="left"/>
              <w:rPr>
                <w:rFonts w:ascii="Arial"/>
                <w:sz w:val="18"/>
              </w:rPr>
            </w:pPr>
            <w:r>
              <w:rPr>
                <w:rFonts w:ascii="Arial"/>
                <w:w w:val="99"/>
                <w:sz w:val="18"/>
              </w:rPr>
              <w:t>1</w:t>
            </w:r>
          </w:p>
        </w:tc>
        <w:tc>
          <w:tcPr>
            <w:tcW w:w="720" w:type="dxa"/>
          </w:tcPr>
          <w:p>
            <w:pPr>
              <w:pStyle w:val="TableParagraph"/>
              <w:spacing w:before="47"/>
              <w:ind w:left="91" w:right="91"/>
              <w:jc w:val="center"/>
              <w:rPr>
                <w:rFonts w:ascii="Arial"/>
                <w:sz w:val="18"/>
              </w:rPr>
            </w:pPr>
            <w:r>
              <w:rPr>
                <w:rFonts w:ascii="Arial"/>
                <w:sz w:val="18"/>
              </w:rPr>
              <w:t>-1</w:t>
            </w:r>
          </w:p>
        </w:tc>
        <w:tc>
          <w:tcPr>
            <w:tcW w:w="929" w:type="dxa"/>
          </w:tcPr>
          <w:p>
            <w:pPr/>
          </w:p>
        </w:tc>
        <w:tc>
          <w:tcPr>
            <w:tcW w:w="926" w:type="dxa"/>
          </w:tcPr>
          <w:p>
            <w:pPr>
              <w:pStyle w:val="TableParagraph"/>
              <w:tabs>
                <w:tab w:pos="312" w:val="left" w:leader="none"/>
              </w:tabs>
              <w:spacing w:before="47"/>
              <w:ind w:right="63"/>
              <w:rPr>
                <w:rFonts w:ascii="Arial"/>
                <w:sz w:val="18"/>
              </w:rPr>
            </w:pPr>
            <w:r>
              <w:rPr>
                <w:rFonts w:ascii="Arial"/>
                <w:sz w:val="18"/>
              </w:rPr>
              <w:t>-</w:t>
              <w:tab/>
            </w:r>
            <w:r>
              <w:rPr>
                <w:rFonts w:ascii="Arial"/>
                <w:spacing w:val="-1"/>
                <w:sz w:val="18"/>
              </w:rPr>
              <w:t>48,99</w:t>
            </w:r>
          </w:p>
        </w:tc>
        <w:tc>
          <w:tcPr>
            <w:tcW w:w="898" w:type="dxa"/>
          </w:tcPr>
          <w:p>
            <w:pPr>
              <w:pStyle w:val="TableParagraph"/>
              <w:spacing w:before="47"/>
              <w:ind w:right="63"/>
              <w:rPr>
                <w:rFonts w:ascii="Arial"/>
                <w:sz w:val="18"/>
              </w:rPr>
            </w:pPr>
            <w:r>
              <w:rPr>
                <w:rFonts w:ascii="Arial"/>
                <w:sz w:val="18"/>
              </w:rPr>
              <w:t>48,99</w:t>
            </w:r>
          </w:p>
        </w:tc>
        <w:tc>
          <w:tcPr>
            <w:tcW w:w="929" w:type="dxa"/>
          </w:tcPr>
          <w:p>
            <w:pPr>
              <w:pStyle w:val="TableParagraph"/>
              <w:tabs>
                <w:tab w:pos="312" w:val="left" w:leader="none"/>
              </w:tabs>
              <w:spacing w:before="47"/>
              <w:ind w:right="65"/>
              <w:rPr>
                <w:rFonts w:ascii="Arial"/>
                <w:sz w:val="18"/>
              </w:rPr>
            </w:pPr>
            <w:r>
              <w:rPr>
                <w:rFonts w:ascii="Arial"/>
                <w:sz w:val="18"/>
              </w:rPr>
              <w:t>-</w:t>
              <w:tab/>
            </w:r>
            <w:r>
              <w:rPr>
                <w:rFonts w:ascii="Arial"/>
                <w:spacing w:val="-1"/>
                <w:sz w:val="18"/>
              </w:rPr>
              <w:t>48,99</w:t>
            </w:r>
          </w:p>
        </w:tc>
      </w:tr>
      <w:tr>
        <w:trPr>
          <w:trHeight w:val="310" w:hRule="exact"/>
        </w:trPr>
        <w:tc>
          <w:tcPr>
            <w:tcW w:w="919" w:type="dxa"/>
          </w:tcPr>
          <w:p>
            <w:pPr>
              <w:pStyle w:val="TableParagraph"/>
              <w:spacing w:before="42"/>
              <w:ind w:right="0"/>
              <w:jc w:val="center"/>
              <w:rPr>
                <w:rFonts w:ascii="Arial"/>
                <w:b/>
                <w:sz w:val="18"/>
              </w:rPr>
            </w:pPr>
            <w:r>
              <w:rPr>
                <w:rFonts w:ascii="Arial"/>
                <w:b/>
                <w:w w:val="99"/>
                <w:sz w:val="18"/>
              </w:rPr>
              <w:t>D</w:t>
            </w:r>
          </w:p>
        </w:tc>
        <w:tc>
          <w:tcPr>
            <w:tcW w:w="900" w:type="dxa"/>
          </w:tcPr>
          <w:p>
            <w:pPr>
              <w:pStyle w:val="TableParagraph"/>
              <w:spacing w:before="47"/>
              <w:ind w:right="68"/>
              <w:rPr>
                <w:rFonts w:ascii="Arial"/>
                <w:sz w:val="18"/>
              </w:rPr>
            </w:pPr>
            <w:r>
              <w:rPr>
                <w:rFonts w:ascii="Arial"/>
                <w:sz w:val="18"/>
              </w:rPr>
              <w:t>181 340</w:t>
            </w:r>
          </w:p>
        </w:tc>
        <w:tc>
          <w:tcPr>
            <w:tcW w:w="1301" w:type="dxa"/>
          </w:tcPr>
          <w:p>
            <w:pPr>
              <w:pStyle w:val="TableParagraph"/>
              <w:spacing w:before="47"/>
              <w:ind w:left="450" w:right="449"/>
              <w:jc w:val="center"/>
              <w:rPr>
                <w:rFonts w:ascii="Arial"/>
                <w:sz w:val="18"/>
              </w:rPr>
            </w:pPr>
            <w:r>
              <w:rPr>
                <w:rFonts w:ascii="Arial"/>
                <w:sz w:val="18"/>
              </w:rPr>
              <w:t>0,80</w:t>
            </w:r>
          </w:p>
        </w:tc>
        <w:tc>
          <w:tcPr>
            <w:tcW w:w="821" w:type="dxa"/>
          </w:tcPr>
          <w:p>
            <w:pPr>
              <w:pStyle w:val="TableParagraph"/>
              <w:spacing w:before="47"/>
              <w:ind w:left="110" w:right="110"/>
              <w:jc w:val="center"/>
              <w:rPr>
                <w:rFonts w:ascii="Arial"/>
                <w:sz w:val="18"/>
              </w:rPr>
            </w:pPr>
            <w:r>
              <w:rPr>
                <w:rFonts w:ascii="Arial"/>
                <w:sz w:val="18"/>
              </w:rPr>
              <w:t>145,07</w:t>
            </w:r>
          </w:p>
        </w:tc>
        <w:tc>
          <w:tcPr>
            <w:tcW w:w="581" w:type="dxa"/>
          </w:tcPr>
          <w:p>
            <w:pPr/>
          </w:p>
        </w:tc>
        <w:tc>
          <w:tcPr>
            <w:tcW w:w="650" w:type="dxa"/>
          </w:tcPr>
          <w:p>
            <w:pPr/>
          </w:p>
        </w:tc>
        <w:tc>
          <w:tcPr>
            <w:tcW w:w="581" w:type="dxa"/>
          </w:tcPr>
          <w:p>
            <w:pPr/>
          </w:p>
        </w:tc>
        <w:tc>
          <w:tcPr>
            <w:tcW w:w="720" w:type="dxa"/>
          </w:tcPr>
          <w:p>
            <w:pPr>
              <w:pStyle w:val="TableParagraph"/>
              <w:spacing w:before="47"/>
              <w:ind w:right="0"/>
              <w:jc w:val="center"/>
              <w:rPr>
                <w:rFonts w:ascii="Arial"/>
                <w:sz w:val="18"/>
              </w:rPr>
            </w:pPr>
            <w:r>
              <w:rPr>
                <w:rFonts w:ascii="Arial"/>
                <w:w w:val="99"/>
                <w:sz w:val="18"/>
              </w:rPr>
              <w:t>1</w:t>
            </w:r>
          </w:p>
        </w:tc>
        <w:tc>
          <w:tcPr>
            <w:tcW w:w="929" w:type="dxa"/>
          </w:tcPr>
          <w:p>
            <w:pPr/>
          </w:p>
        </w:tc>
        <w:tc>
          <w:tcPr>
            <w:tcW w:w="926" w:type="dxa"/>
          </w:tcPr>
          <w:p>
            <w:pPr/>
          </w:p>
        </w:tc>
        <w:tc>
          <w:tcPr>
            <w:tcW w:w="898" w:type="dxa"/>
          </w:tcPr>
          <w:p>
            <w:pPr/>
          </w:p>
        </w:tc>
        <w:tc>
          <w:tcPr>
            <w:tcW w:w="929" w:type="dxa"/>
          </w:tcPr>
          <w:p>
            <w:pPr>
              <w:pStyle w:val="TableParagraph"/>
              <w:spacing w:before="47"/>
              <w:ind w:right="65"/>
              <w:rPr>
                <w:rFonts w:ascii="Arial"/>
                <w:sz w:val="18"/>
              </w:rPr>
            </w:pPr>
            <w:r>
              <w:rPr>
                <w:rFonts w:ascii="Arial"/>
                <w:sz w:val="18"/>
              </w:rPr>
              <w:t>145,07</w:t>
            </w:r>
          </w:p>
        </w:tc>
      </w:tr>
      <w:tr>
        <w:trPr>
          <w:trHeight w:val="310" w:hRule="exact"/>
        </w:trPr>
        <w:tc>
          <w:tcPr>
            <w:tcW w:w="919" w:type="dxa"/>
          </w:tcPr>
          <w:p>
            <w:pPr>
              <w:pStyle w:val="TableParagraph"/>
              <w:spacing w:before="42"/>
              <w:ind w:right="0"/>
              <w:jc w:val="center"/>
              <w:rPr>
                <w:rFonts w:ascii="Arial"/>
                <w:b/>
                <w:sz w:val="18"/>
              </w:rPr>
            </w:pPr>
            <w:r>
              <w:rPr>
                <w:rFonts w:ascii="Arial"/>
                <w:b/>
                <w:w w:val="99"/>
                <w:sz w:val="18"/>
              </w:rPr>
              <w:t>E</w:t>
            </w:r>
          </w:p>
        </w:tc>
        <w:tc>
          <w:tcPr>
            <w:tcW w:w="900" w:type="dxa"/>
          </w:tcPr>
          <w:p>
            <w:pPr>
              <w:pStyle w:val="TableParagraph"/>
              <w:spacing w:before="47"/>
              <w:ind w:right="68"/>
              <w:rPr>
                <w:rFonts w:ascii="Arial"/>
                <w:sz w:val="18"/>
              </w:rPr>
            </w:pPr>
            <w:r>
              <w:rPr>
                <w:rFonts w:ascii="Arial"/>
                <w:sz w:val="18"/>
              </w:rPr>
              <w:t>181 340</w:t>
            </w:r>
          </w:p>
        </w:tc>
        <w:tc>
          <w:tcPr>
            <w:tcW w:w="1301" w:type="dxa"/>
          </w:tcPr>
          <w:p>
            <w:pPr>
              <w:pStyle w:val="TableParagraph"/>
              <w:spacing w:before="47"/>
              <w:ind w:left="450" w:right="449"/>
              <w:jc w:val="center"/>
              <w:rPr>
                <w:rFonts w:ascii="Arial"/>
                <w:sz w:val="18"/>
              </w:rPr>
            </w:pPr>
            <w:r>
              <w:rPr>
                <w:rFonts w:ascii="Arial"/>
                <w:sz w:val="18"/>
              </w:rPr>
              <w:t>0,86</w:t>
            </w:r>
          </w:p>
        </w:tc>
        <w:tc>
          <w:tcPr>
            <w:tcW w:w="821" w:type="dxa"/>
          </w:tcPr>
          <w:p>
            <w:pPr>
              <w:pStyle w:val="TableParagraph"/>
              <w:spacing w:before="47"/>
              <w:ind w:left="110" w:right="110"/>
              <w:jc w:val="center"/>
              <w:rPr>
                <w:rFonts w:ascii="Arial"/>
                <w:sz w:val="18"/>
              </w:rPr>
            </w:pPr>
            <w:r>
              <w:rPr>
                <w:rFonts w:ascii="Arial"/>
                <w:sz w:val="18"/>
              </w:rPr>
              <w:t>155,95</w:t>
            </w:r>
          </w:p>
        </w:tc>
        <w:tc>
          <w:tcPr>
            <w:tcW w:w="581" w:type="dxa"/>
          </w:tcPr>
          <w:p>
            <w:pPr/>
          </w:p>
        </w:tc>
        <w:tc>
          <w:tcPr>
            <w:tcW w:w="650" w:type="dxa"/>
          </w:tcPr>
          <w:p>
            <w:pPr/>
          </w:p>
        </w:tc>
        <w:tc>
          <w:tcPr>
            <w:tcW w:w="581" w:type="dxa"/>
          </w:tcPr>
          <w:p>
            <w:pPr>
              <w:pStyle w:val="TableParagraph"/>
              <w:spacing w:before="47"/>
              <w:ind w:left="204" w:right="0"/>
              <w:jc w:val="left"/>
              <w:rPr>
                <w:rFonts w:ascii="Arial"/>
                <w:sz w:val="18"/>
              </w:rPr>
            </w:pPr>
            <w:r>
              <w:rPr>
                <w:rFonts w:ascii="Arial"/>
                <w:sz w:val="18"/>
              </w:rPr>
              <w:t>-1</w:t>
            </w:r>
          </w:p>
        </w:tc>
        <w:tc>
          <w:tcPr>
            <w:tcW w:w="720" w:type="dxa"/>
          </w:tcPr>
          <w:p>
            <w:pPr/>
          </w:p>
        </w:tc>
        <w:tc>
          <w:tcPr>
            <w:tcW w:w="929" w:type="dxa"/>
          </w:tcPr>
          <w:p>
            <w:pPr/>
          </w:p>
        </w:tc>
        <w:tc>
          <w:tcPr>
            <w:tcW w:w="926" w:type="dxa"/>
          </w:tcPr>
          <w:p>
            <w:pPr/>
          </w:p>
        </w:tc>
        <w:tc>
          <w:tcPr>
            <w:tcW w:w="898" w:type="dxa"/>
          </w:tcPr>
          <w:p>
            <w:pPr>
              <w:pStyle w:val="TableParagraph"/>
              <w:spacing w:before="47"/>
              <w:ind w:right="63"/>
              <w:rPr>
                <w:rFonts w:ascii="Arial"/>
                <w:sz w:val="18"/>
              </w:rPr>
            </w:pPr>
            <w:r>
              <w:rPr>
                <w:rFonts w:ascii="Arial"/>
                <w:sz w:val="18"/>
              </w:rPr>
              <w:t>- 155,95</w:t>
            </w:r>
          </w:p>
        </w:tc>
        <w:tc>
          <w:tcPr>
            <w:tcW w:w="929" w:type="dxa"/>
          </w:tcPr>
          <w:p>
            <w:pPr/>
          </w:p>
        </w:tc>
      </w:tr>
      <w:tr>
        <w:trPr>
          <w:trHeight w:val="312" w:hRule="exact"/>
        </w:trPr>
        <w:tc>
          <w:tcPr>
            <w:tcW w:w="919" w:type="dxa"/>
          </w:tcPr>
          <w:p>
            <w:pPr>
              <w:pStyle w:val="TableParagraph"/>
              <w:spacing w:before="42"/>
              <w:ind w:right="1"/>
              <w:jc w:val="center"/>
              <w:rPr>
                <w:rFonts w:ascii="Arial"/>
                <w:b/>
                <w:sz w:val="18"/>
              </w:rPr>
            </w:pPr>
            <w:r>
              <w:rPr>
                <w:rFonts w:ascii="Arial"/>
                <w:b/>
                <w:w w:val="99"/>
                <w:sz w:val="18"/>
              </w:rPr>
              <w:t>G</w:t>
            </w:r>
          </w:p>
        </w:tc>
        <w:tc>
          <w:tcPr>
            <w:tcW w:w="900" w:type="dxa"/>
          </w:tcPr>
          <w:p>
            <w:pPr>
              <w:pStyle w:val="TableParagraph"/>
              <w:spacing w:before="47"/>
              <w:ind w:right="67"/>
              <w:rPr>
                <w:rFonts w:ascii="Arial"/>
                <w:sz w:val="18"/>
              </w:rPr>
            </w:pPr>
            <w:r>
              <w:rPr>
                <w:rFonts w:ascii="Arial"/>
                <w:sz w:val="18"/>
              </w:rPr>
              <w:t>100</w:t>
            </w:r>
          </w:p>
        </w:tc>
        <w:tc>
          <w:tcPr>
            <w:tcW w:w="1301" w:type="dxa"/>
          </w:tcPr>
          <w:p>
            <w:pPr>
              <w:pStyle w:val="TableParagraph"/>
              <w:spacing w:before="47"/>
              <w:ind w:left="450" w:right="449"/>
              <w:jc w:val="center"/>
              <w:rPr>
                <w:rFonts w:ascii="Arial"/>
                <w:sz w:val="18"/>
              </w:rPr>
            </w:pPr>
            <w:r>
              <w:rPr>
                <w:rFonts w:ascii="Arial"/>
                <w:sz w:val="18"/>
              </w:rPr>
              <w:t>2,16</w:t>
            </w:r>
          </w:p>
        </w:tc>
        <w:tc>
          <w:tcPr>
            <w:tcW w:w="821" w:type="dxa"/>
          </w:tcPr>
          <w:p>
            <w:pPr>
              <w:pStyle w:val="TableParagraph"/>
              <w:spacing w:before="47"/>
              <w:ind w:left="110" w:right="110"/>
              <w:jc w:val="center"/>
              <w:rPr>
                <w:rFonts w:ascii="Arial"/>
                <w:sz w:val="18"/>
              </w:rPr>
            </w:pPr>
            <w:r>
              <w:rPr>
                <w:rFonts w:ascii="Arial"/>
                <w:sz w:val="18"/>
              </w:rPr>
              <w:t>0,22</w:t>
            </w:r>
          </w:p>
        </w:tc>
        <w:tc>
          <w:tcPr>
            <w:tcW w:w="581" w:type="dxa"/>
          </w:tcPr>
          <w:p>
            <w:pPr/>
          </w:p>
        </w:tc>
        <w:tc>
          <w:tcPr>
            <w:tcW w:w="650" w:type="dxa"/>
          </w:tcPr>
          <w:p>
            <w:pPr/>
          </w:p>
        </w:tc>
        <w:tc>
          <w:tcPr>
            <w:tcW w:w="581" w:type="dxa"/>
          </w:tcPr>
          <w:p>
            <w:pPr>
              <w:pStyle w:val="TableParagraph"/>
              <w:spacing w:before="47"/>
              <w:ind w:left="204" w:right="0"/>
              <w:jc w:val="left"/>
              <w:rPr>
                <w:rFonts w:ascii="Arial"/>
                <w:sz w:val="18"/>
              </w:rPr>
            </w:pPr>
            <w:r>
              <w:rPr>
                <w:rFonts w:ascii="Arial"/>
                <w:sz w:val="18"/>
              </w:rPr>
              <w:t>-1</w:t>
            </w:r>
          </w:p>
        </w:tc>
        <w:tc>
          <w:tcPr>
            <w:tcW w:w="720" w:type="dxa"/>
          </w:tcPr>
          <w:p>
            <w:pPr/>
          </w:p>
        </w:tc>
        <w:tc>
          <w:tcPr>
            <w:tcW w:w="929" w:type="dxa"/>
          </w:tcPr>
          <w:p>
            <w:pPr/>
          </w:p>
        </w:tc>
        <w:tc>
          <w:tcPr>
            <w:tcW w:w="926" w:type="dxa"/>
          </w:tcPr>
          <w:p>
            <w:pPr/>
          </w:p>
        </w:tc>
        <w:tc>
          <w:tcPr>
            <w:tcW w:w="898" w:type="dxa"/>
          </w:tcPr>
          <w:p>
            <w:pPr>
              <w:pStyle w:val="TableParagraph"/>
              <w:tabs>
                <w:tab w:pos="362" w:val="left" w:leader="none"/>
              </w:tabs>
              <w:spacing w:before="47"/>
              <w:ind w:right="63"/>
              <w:rPr>
                <w:rFonts w:ascii="Arial"/>
                <w:sz w:val="18"/>
              </w:rPr>
            </w:pPr>
            <w:r>
              <w:rPr>
                <w:rFonts w:ascii="Arial"/>
                <w:sz w:val="18"/>
              </w:rPr>
              <w:t>-</w:t>
              <w:tab/>
            </w:r>
            <w:r>
              <w:rPr>
                <w:rFonts w:ascii="Arial"/>
                <w:spacing w:val="-1"/>
                <w:sz w:val="18"/>
              </w:rPr>
              <w:t>0,22</w:t>
            </w:r>
          </w:p>
        </w:tc>
        <w:tc>
          <w:tcPr>
            <w:tcW w:w="929" w:type="dxa"/>
          </w:tcPr>
          <w:p>
            <w:pPr/>
          </w:p>
        </w:tc>
      </w:tr>
      <w:tr>
        <w:trPr>
          <w:trHeight w:val="310" w:hRule="exact"/>
        </w:trPr>
        <w:tc>
          <w:tcPr>
            <w:tcW w:w="3941" w:type="dxa"/>
            <w:gridSpan w:val="4"/>
            <w:vMerge w:val="restart"/>
          </w:tcPr>
          <w:p>
            <w:pPr>
              <w:pStyle w:val="TableParagraph"/>
              <w:spacing w:before="9"/>
              <w:ind w:right="0"/>
              <w:jc w:val="left"/>
              <w:rPr>
                <w:rFonts w:ascii="Arial"/>
                <w:b/>
                <w:sz w:val="5"/>
              </w:rPr>
            </w:pPr>
          </w:p>
          <w:p>
            <w:pPr>
              <w:pStyle w:val="TableParagraph"/>
              <w:spacing w:before="0"/>
              <w:ind w:left="823" w:right="0"/>
              <w:jc w:val="left"/>
              <w:rPr>
                <w:rFonts w:ascii="Arial"/>
                <w:sz w:val="20"/>
              </w:rPr>
            </w:pPr>
            <w:r>
              <w:rPr>
                <w:rFonts w:ascii="Arial"/>
                <w:sz w:val="20"/>
              </w:rPr>
              <w:drawing>
                <wp:inline distT="0" distB="0" distL="0" distR="0">
                  <wp:extent cx="1454375" cy="884682"/>
                  <wp:effectExtent l="0" t="0" r="0" b="0"/>
                  <wp:docPr id="37" name="image70.jpeg" descr=""/>
                  <wp:cNvGraphicFramePr>
                    <a:graphicFrameLocks noChangeAspect="1"/>
                  </wp:cNvGraphicFramePr>
                  <a:graphic>
                    <a:graphicData uri="http://schemas.openxmlformats.org/drawingml/2006/picture">
                      <pic:pic>
                        <pic:nvPicPr>
                          <pic:cNvPr id="38" name="image70.jpeg"/>
                          <pic:cNvPicPr/>
                        </pic:nvPicPr>
                        <pic:blipFill>
                          <a:blip r:embed="rId78" cstate="print"/>
                          <a:stretch>
                            <a:fillRect/>
                          </a:stretch>
                        </pic:blipFill>
                        <pic:spPr>
                          <a:xfrm>
                            <a:off x="0" y="0"/>
                            <a:ext cx="1454375" cy="884682"/>
                          </a:xfrm>
                          <a:prstGeom prst="rect">
                            <a:avLst/>
                          </a:prstGeom>
                        </pic:spPr>
                      </pic:pic>
                    </a:graphicData>
                  </a:graphic>
                </wp:inline>
              </w:drawing>
            </w:r>
            <w:r>
              <w:rPr>
                <w:rFonts w:ascii="Arial"/>
                <w:sz w:val="20"/>
              </w:rPr>
            </w:r>
          </w:p>
        </w:tc>
        <w:tc>
          <w:tcPr>
            <w:tcW w:w="2532" w:type="dxa"/>
            <w:gridSpan w:val="4"/>
          </w:tcPr>
          <w:p>
            <w:pPr>
              <w:pStyle w:val="TableParagraph"/>
              <w:spacing w:before="44"/>
              <w:ind w:left="64" w:right="0"/>
              <w:jc w:val="left"/>
              <w:rPr>
                <w:rFonts w:ascii="Arial"/>
                <w:sz w:val="18"/>
              </w:rPr>
            </w:pPr>
            <w:r>
              <w:rPr>
                <w:rFonts w:ascii="Arial"/>
                <w:sz w:val="18"/>
              </w:rPr>
              <w:t>Entrada (g/d)</w:t>
            </w:r>
          </w:p>
        </w:tc>
        <w:tc>
          <w:tcPr>
            <w:tcW w:w="929" w:type="dxa"/>
          </w:tcPr>
          <w:p>
            <w:pPr>
              <w:pStyle w:val="TableParagraph"/>
              <w:spacing w:before="44"/>
              <w:ind w:right="65"/>
              <w:rPr>
                <w:rFonts w:ascii="Arial"/>
                <w:sz w:val="18"/>
              </w:rPr>
            </w:pPr>
            <w:r>
              <w:rPr>
                <w:rFonts w:ascii="Arial"/>
                <w:sz w:val="18"/>
              </w:rPr>
              <w:t>145,15</w:t>
            </w:r>
          </w:p>
        </w:tc>
        <w:tc>
          <w:tcPr>
            <w:tcW w:w="926" w:type="dxa"/>
          </w:tcPr>
          <w:p>
            <w:pPr>
              <w:pStyle w:val="TableParagraph"/>
              <w:spacing w:before="44"/>
              <w:ind w:right="63"/>
              <w:rPr>
                <w:rFonts w:ascii="Arial"/>
                <w:sz w:val="18"/>
              </w:rPr>
            </w:pPr>
            <w:r>
              <w:rPr>
                <w:rFonts w:ascii="Arial"/>
                <w:sz w:val="18"/>
              </w:rPr>
              <w:t>119,75</w:t>
            </w:r>
          </w:p>
        </w:tc>
        <w:tc>
          <w:tcPr>
            <w:tcW w:w="898" w:type="dxa"/>
          </w:tcPr>
          <w:p>
            <w:pPr>
              <w:pStyle w:val="TableParagraph"/>
              <w:spacing w:before="44"/>
              <w:ind w:right="63"/>
              <w:rPr>
                <w:rFonts w:ascii="Arial"/>
                <w:sz w:val="18"/>
              </w:rPr>
            </w:pPr>
            <w:r>
              <w:rPr>
                <w:rFonts w:ascii="Arial"/>
                <w:sz w:val="18"/>
              </w:rPr>
              <w:t>48,99</w:t>
            </w:r>
          </w:p>
        </w:tc>
        <w:tc>
          <w:tcPr>
            <w:tcW w:w="929" w:type="dxa"/>
          </w:tcPr>
          <w:p>
            <w:pPr>
              <w:pStyle w:val="TableParagraph"/>
              <w:spacing w:before="44"/>
              <w:ind w:right="65"/>
              <w:rPr>
                <w:rFonts w:ascii="Arial"/>
                <w:sz w:val="18"/>
              </w:rPr>
            </w:pPr>
            <w:r>
              <w:rPr>
                <w:rFonts w:ascii="Arial"/>
                <w:sz w:val="18"/>
              </w:rPr>
              <w:t>145,07</w:t>
            </w:r>
          </w:p>
        </w:tc>
      </w:tr>
      <w:tr>
        <w:trPr>
          <w:trHeight w:val="310" w:hRule="exact"/>
        </w:trPr>
        <w:tc>
          <w:tcPr>
            <w:tcW w:w="3941" w:type="dxa"/>
            <w:gridSpan w:val="4"/>
            <w:vMerge/>
          </w:tcPr>
          <w:p>
            <w:pPr/>
          </w:p>
        </w:tc>
        <w:tc>
          <w:tcPr>
            <w:tcW w:w="2532" w:type="dxa"/>
            <w:gridSpan w:val="4"/>
          </w:tcPr>
          <w:p>
            <w:pPr>
              <w:pStyle w:val="TableParagraph"/>
              <w:spacing w:before="44"/>
              <w:ind w:left="64" w:right="0"/>
              <w:jc w:val="left"/>
              <w:rPr>
                <w:rFonts w:ascii="Arial"/>
                <w:sz w:val="18"/>
              </w:rPr>
            </w:pPr>
            <w:r>
              <w:rPr>
                <w:rFonts w:ascii="Arial"/>
                <w:sz w:val="18"/>
              </w:rPr>
              <w:t>Salida (g/d)</w:t>
            </w:r>
          </w:p>
        </w:tc>
        <w:tc>
          <w:tcPr>
            <w:tcW w:w="929" w:type="dxa"/>
          </w:tcPr>
          <w:p>
            <w:pPr>
              <w:pStyle w:val="TableParagraph"/>
              <w:spacing w:before="44"/>
              <w:ind w:right="65"/>
              <w:rPr>
                <w:rFonts w:ascii="Arial"/>
                <w:sz w:val="18"/>
              </w:rPr>
            </w:pPr>
            <w:r>
              <w:rPr>
                <w:rFonts w:ascii="Arial"/>
                <w:sz w:val="18"/>
              </w:rPr>
              <w:t>-  119,75</w:t>
            </w:r>
          </w:p>
        </w:tc>
        <w:tc>
          <w:tcPr>
            <w:tcW w:w="926" w:type="dxa"/>
          </w:tcPr>
          <w:p>
            <w:pPr>
              <w:pStyle w:val="TableParagraph"/>
              <w:tabs>
                <w:tab w:pos="312" w:val="left" w:leader="none"/>
              </w:tabs>
              <w:spacing w:before="44"/>
              <w:ind w:right="63"/>
              <w:rPr>
                <w:rFonts w:ascii="Arial"/>
                <w:sz w:val="18"/>
              </w:rPr>
            </w:pPr>
            <w:r>
              <w:rPr>
                <w:rFonts w:ascii="Arial"/>
                <w:sz w:val="18"/>
              </w:rPr>
              <w:t>-</w:t>
              <w:tab/>
            </w:r>
            <w:r>
              <w:rPr>
                <w:rFonts w:ascii="Arial"/>
                <w:spacing w:val="-1"/>
                <w:sz w:val="18"/>
              </w:rPr>
              <w:t>48,99</w:t>
            </w:r>
          </w:p>
        </w:tc>
        <w:tc>
          <w:tcPr>
            <w:tcW w:w="898" w:type="dxa"/>
          </w:tcPr>
          <w:p>
            <w:pPr>
              <w:pStyle w:val="TableParagraph"/>
              <w:spacing w:before="44"/>
              <w:ind w:right="63"/>
              <w:rPr>
                <w:rFonts w:ascii="Arial"/>
                <w:sz w:val="18"/>
              </w:rPr>
            </w:pPr>
            <w:r>
              <w:rPr>
                <w:rFonts w:ascii="Arial"/>
                <w:sz w:val="18"/>
              </w:rPr>
              <w:t>- 156,17</w:t>
            </w:r>
          </w:p>
        </w:tc>
        <w:tc>
          <w:tcPr>
            <w:tcW w:w="929" w:type="dxa"/>
          </w:tcPr>
          <w:p>
            <w:pPr>
              <w:pStyle w:val="TableParagraph"/>
              <w:tabs>
                <w:tab w:pos="312" w:val="left" w:leader="none"/>
              </w:tabs>
              <w:spacing w:before="44"/>
              <w:ind w:right="65"/>
              <w:rPr>
                <w:rFonts w:ascii="Arial"/>
                <w:sz w:val="18"/>
              </w:rPr>
            </w:pPr>
            <w:r>
              <w:rPr>
                <w:rFonts w:ascii="Arial"/>
                <w:sz w:val="18"/>
              </w:rPr>
              <w:t>-</w:t>
              <w:tab/>
            </w:r>
            <w:r>
              <w:rPr>
                <w:rFonts w:ascii="Arial"/>
                <w:spacing w:val="-1"/>
                <w:sz w:val="18"/>
              </w:rPr>
              <w:t>48,99</w:t>
            </w:r>
          </w:p>
        </w:tc>
      </w:tr>
      <w:tr>
        <w:trPr>
          <w:trHeight w:val="310" w:hRule="exact"/>
        </w:trPr>
        <w:tc>
          <w:tcPr>
            <w:tcW w:w="3941" w:type="dxa"/>
            <w:gridSpan w:val="4"/>
            <w:vMerge/>
          </w:tcPr>
          <w:p>
            <w:pPr/>
          </w:p>
        </w:tc>
        <w:tc>
          <w:tcPr>
            <w:tcW w:w="1231" w:type="dxa"/>
            <w:gridSpan w:val="2"/>
            <w:vMerge w:val="restart"/>
          </w:tcPr>
          <w:p>
            <w:pPr>
              <w:pStyle w:val="TableParagraph"/>
              <w:spacing w:before="0"/>
              <w:ind w:right="0"/>
              <w:jc w:val="left"/>
              <w:rPr>
                <w:rFonts w:ascii="Arial"/>
                <w:b/>
                <w:sz w:val="18"/>
              </w:rPr>
            </w:pPr>
          </w:p>
          <w:p>
            <w:pPr>
              <w:pStyle w:val="TableParagraph"/>
              <w:spacing w:before="149"/>
              <w:ind w:left="64" w:right="0"/>
              <w:jc w:val="left"/>
              <w:rPr>
                <w:rFonts w:ascii="Arial"/>
                <w:sz w:val="18"/>
              </w:rPr>
            </w:pPr>
            <w:r>
              <w:rPr>
                <w:rFonts w:ascii="Arial"/>
                <w:sz w:val="18"/>
              </w:rPr>
              <w:t>Diferencia</w:t>
            </w:r>
          </w:p>
        </w:tc>
        <w:tc>
          <w:tcPr>
            <w:tcW w:w="1301" w:type="dxa"/>
            <w:gridSpan w:val="2"/>
          </w:tcPr>
          <w:p>
            <w:pPr>
              <w:pStyle w:val="TableParagraph"/>
              <w:spacing w:before="47"/>
              <w:ind w:left="64" w:right="46"/>
              <w:jc w:val="left"/>
              <w:rPr>
                <w:rFonts w:ascii="Arial"/>
                <w:sz w:val="18"/>
              </w:rPr>
            </w:pPr>
            <w:r>
              <w:rPr>
                <w:rFonts w:ascii="Arial"/>
                <w:sz w:val="18"/>
              </w:rPr>
              <w:t>g/d</w:t>
            </w:r>
          </w:p>
        </w:tc>
        <w:tc>
          <w:tcPr>
            <w:tcW w:w="929" w:type="dxa"/>
          </w:tcPr>
          <w:p>
            <w:pPr>
              <w:pStyle w:val="TableParagraph"/>
              <w:spacing w:before="47"/>
              <w:ind w:right="65"/>
              <w:rPr>
                <w:rFonts w:ascii="Arial"/>
                <w:sz w:val="18"/>
              </w:rPr>
            </w:pPr>
            <w:r>
              <w:rPr>
                <w:rFonts w:ascii="Arial"/>
                <w:sz w:val="18"/>
              </w:rPr>
              <w:t>25,40</w:t>
            </w:r>
          </w:p>
        </w:tc>
        <w:tc>
          <w:tcPr>
            <w:tcW w:w="926" w:type="dxa"/>
          </w:tcPr>
          <w:p>
            <w:pPr>
              <w:pStyle w:val="TableParagraph"/>
              <w:spacing w:before="47"/>
              <w:ind w:right="63"/>
              <w:rPr>
                <w:rFonts w:ascii="Arial"/>
                <w:sz w:val="18"/>
              </w:rPr>
            </w:pPr>
            <w:r>
              <w:rPr>
                <w:rFonts w:ascii="Arial"/>
                <w:sz w:val="18"/>
              </w:rPr>
              <w:t>70,76</w:t>
            </w:r>
          </w:p>
        </w:tc>
        <w:tc>
          <w:tcPr>
            <w:tcW w:w="898" w:type="dxa"/>
          </w:tcPr>
          <w:p>
            <w:pPr>
              <w:pStyle w:val="TableParagraph"/>
              <w:spacing w:before="47"/>
              <w:ind w:right="63"/>
              <w:rPr>
                <w:rFonts w:ascii="Arial"/>
                <w:sz w:val="18"/>
              </w:rPr>
            </w:pPr>
            <w:r>
              <w:rPr>
                <w:rFonts w:ascii="Arial"/>
                <w:sz w:val="18"/>
              </w:rPr>
              <w:t>- 107,18</w:t>
            </w:r>
          </w:p>
        </w:tc>
        <w:tc>
          <w:tcPr>
            <w:tcW w:w="929" w:type="dxa"/>
          </w:tcPr>
          <w:p>
            <w:pPr>
              <w:pStyle w:val="TableParagraph"/>
              <w:spacing w:before="47"/>
              <w:ind w:right="65"/>
              <w:rPr>
                <w:rFonts w:ascii="Arial"/>
                <w:sz w:val="18"/>
              </w:rPr>
            </w:pPr>
            <w:r>
              <w:rPr>
                <w:rFonts w:ascii="Arial"/>
                <w:sz w:val="18"/>
              </w:rPr>
              <w:t>96,08</w:t>
            </w:r>
          </w:p>
        </w:tc>
      </w:tr>
      <w:tr>
        <w:trPr>
          <w:trHeight w:val="310" w:hRule="exact"/>
        </w:trPr>
        <w:tc>
          <w:tcPr>
            <w:tcW w:w="3941" w:type="dxa"/>
            <w:gridSpan w:val="4"/>
            <w:vMerge/>
          </w:tcPr>
          <w:p>
            <w:pPr/>
          </w:p>
        </w:tc>
        <w:tc>
          <w:tcPr>
            <w:tcW w:w="1231" w:type="dxa"/>
            <w:gridSpan w:val="2"/>
            <w:vMerge/>
          </w:tcPr>
          <w:p>
            <w:pPr/>
          </w:p>
        </w:tc>
        <w:tc>
          <w:tcPr>
            <w:tcW w:w="1301" w:type="dxa"/>
            <w:gridSpan w:val="2"/>
          </w:tcPr>
          <w:p>
            <w:pPr>
              <w:pStyle w:val="TableParagraph"/>
              <w:spacing w:before="47"/>
              <w:ind w:left="64" w:right="46"/>
              <w:jc w:val="left"/>
              <w:rPr>
                <w:rFonts w:ascii="Arial"/>
                <w:sz w:val="18"/>
              </w:rPr>
            </w:pPr>
            <w:r>
              <w:rPr>
                <w:rFonts w:ascii="Arial"/>
                <w:sz w:val="18"/>
              </w:rPr>
              <w:t>g/kg pez d</w:t>
            </w:r>
          </w:p>
        </w:tc>
        <w:tc>
          <w:tcPr>
            <w:tcW w:w="929" w:type="dxa"/>
          </w:tcPr>
          <w:p>
            <w:pPr>
              <w:pStyle w:val="TableParagraph"/>
              <w:spacing w:before="47"/>
              <w:ind w:right="65"/>
              <w:rPr>
                <w:rFonts w:ascii="Arial"/>
                <w:sz w:val="18"/>
              </w:rPr>
            </w:pPr>
            <w:r>
              <w:rPr>
                <w:rFonts w:ascii="Arial"/>
                <w:w w:val="95"/>
                <w:sz w:val="18"/>
              </w:rPr>
              <w:t>0,28</w:t>
            </w:r>
          </w:p>
        </w:tc>
        <w:tc>
          <w:tcPr>
            <w:tcW w:w="926" w:type="dxa"/>
          </w:tcPr>
          <w:p>
            <w:pPr>
              <w:pStyle w:val="TableParagraph"/>
              <w:spacing w:before="47"/>
              <w:ind w:right="63"/>
              <w:rPr>
                <w:rFonts w:ascii="Arial"/>
                <w:sz w:val="18"/>
              </w:rPr>
            </w:pPr>
            <w:r>
              <w:rPr>
                <w:rFonts w:ascii="Arial"/>
                <w:sz w:val="18"/>
              </w:rPr>
              <w:t>0,78</w:t>
            </w:r>
          </w:p>
        </w:tc>
        <w:tc>
          <w:tcPr>
            <w:tcW w:w="898" w:type="dxa"/>
          </w:tcPr>
          <w:p>
            <w:pPr>
              <w:pStyle w:val="TableParagraph"/>
              <w:tabs>
                <w:tab w:pos="362" w:val="left" w:leader="none"/>
              </w:tabs>
              <w:spacing w:before="47"/>
              <w:ind w:right="63"/>
              <w:rPr>
                <w:rFonts w:ascii="Arial"/>
                <w:sz w:val="18"/>
              </w:rPr>
            </w:pPr>
            <w:r>
              <w:rPr>
                <w:rFonts w:ascii="Arial"/>
                <w:sz w:val="18"/>
              </w:rPr>
              <w:t>-</w:t>
              <w:tab/>
            </w:r>
            <w:r>
              <w:rPr>
                <w:rFonts w:ascii="Arial"/>
                <w:spacing w:val="-1"/>
                <w:sz w:val="18"/>
              </w:rPr>
              <w:t>1,17</w:t>
            </w:r>
          </w:p>
        </w:tc>
        <w:tc>
          <w:tcPr>
            <w:tcW w:w="929" w:type="dxa"/>
          </w:tcPr>
          <w:p>
            <w:pPr>
              <w:pStyle w:val="TableParagraph"/>
              <w:spacing w:before="47"/>
              <w:ind w:right="65"/>
              <w:rPr>
                <w:rFonts w:ascii="Arial"/>
                <w:sz w:val="18"/>
              </w:rPr>
            </w:pPr>
            <w:r>
              <w:rPr>
                <w:rFonts w:ascii="Arial"/>
                <w:sz w:val="18"/>
              </w:rPr>
              <w:t>1,05</w:t>
            </w:r>
          </w:p>
        </w:tc>
      </w:tr>
      <w:tr>
        <w:trPr>
          <w:trHeight w:val="312" w:hRule="exact"/>
        </w:trPr>
        <w:tc>
          <w:tcPr>
            <w:tcW w:w="3941" w:type="dxa"/>
            <w:gridSpan w:val="4"/>
            <w:vMerge/>
          </w:tcPr>
          <w:p>
            <w:pPr/>
          </w:p>
        </w:tc>
        <w:tc>
          <w:tcPr>
            <w:tcW w:w="1231" w:type="dxa"/>
            <w:gridSpan w:val="2"/>
            <w:vMerge/>
          </w:tcPr>
          <w:p>
            <w:pPr/>
          </w:p>
        </w:tc>
        <w:tc>
          <w:tcPr>
            <w:tcW w:w="1301" w:type="dxa"/>
            <w:gridSpan w:val="2"/>
          </w:tcPr>
          <w:p>
            <w:pPr>
              <w:pStyle w:val="TableParagraph"/>
              <w:spacing w:before="47"/>
              <w:ind w:left="64" w:right="0"/>
              <w:jc w:val="left"/>
              <w:rPr>
                <w:rFonts w:ascii="Arial"/>
                <w:sz w:val="18"/>
              </w:rPr>
            </w:pPr>
            <w:r>
              <w:rPr>
                <w:rFonts w:ascii="Arial"/>
                <w:w w:val="99"/>
                <w:sz w:val="18"/>
              </w:rPr>
              <w:t>%</w:t>
            </w:r>
          </w:p>
        </w:tc>
        <w:tc>
          <w:tcPr>
            <w:tcW w:w="929" w:type="dxa"/>
          </w:tcPr>
          <w:p>
            <w:pPr>
              <w:pStyle w:val="TableParagraph"/>
              <w:spacing w:before="47"/>
              <w:ind w:right="65"/>
              <w:rPr>
                <w:rFonts w:ascii="Arial"/>
                <w:sz w:val="18"/>
              </w:rPr>
            </w:pPr>
            <w:r>
              <w:rPr>
                <w:rFonts w:ascii="Arial"/>
                <w:sz w:val="18"/>
              </w:rPr>
              <w:t>17,50</w:t>
            </w:r>
          </w:p>
        </w:tc>
        <w:tc>
          <w:tcPr>
            <w:tcW w:w="926" w:type="dxa"/>
          </w:tcPr>
          <w:p>
            <w:pPr>
              <w:pStyle w:val="TableParagraph"/>
              <w:spacing w:before="47"/>
              <w:ind w:right="63"/>
              <w:rPr>
                <w:rFonts w:ascii="Arial"/>
                <w:sz w:val="18"/>
              </w:rPr>
            </w:pPr>
            <w:r>
              <w:rPr>
                <w:rFonts w:ascii="Arial"/>
                <w:sz w:val="18"/>
              </w:rPr>
              <w:t>59,09</w:t>
            </w:r>
          </w:p>
        </w:tc>
        <w:tc>
          <w:tcPr>
            <w:tcW w:w="898" w:type="dxa"/>
          </w:tcPr>
          <w:p>
            <w:pPr>
              <w:pStyle w:val="TableParagraph"/>
              <w:spacing w:before="47"/>
              <w:ind w:right="63"/>
              <w:rPr>
                <w:rFonts w:ascii="Arial"/>
                <w:sz w:val="18"/>
              </w:rPr>
            </w:pPr>
            <w:r>
              <w:rPr>
                <w:rFonts w:ascii="Arial"/>
                <w:sz w:val="18"/>
              </w:rPr>
              <w:t>- 218,78</w:t>
            </w:r>
          </w:p>
        </w:tc>
        <w:tc>
          <w:tcPr>
            <w:tcW w:w="929" w:type="dxa"/>
          </w:tcPr>
          <w:p>
            <w:pPr>
              <w:pStyle w:val="TableParagraph"/>
              <w:spacing w:before="47"/>
              <w:ind w:right="65"/>
              <w:rPr>
                <w:rFonts w:ascii="Arial"/>
                <w:sz w:val="18"/>
              </w:rPr>
            </w:pPr>
            <w:r>
              <w:rPr>
                <w:rFonts w:ascii="Arial"/>
                <w:sz w:val="18"/>
              </w:rPr>
              <w:t>66,23</w:t>
            </w:r>
          </w:p>
        </w:tc>
      </w:tr>
    </w:tbl>
    <w:p>
      <w:pPr>
        <w:spacing w:after="0"/>
        <w:rPr>
          <w:rFonts w:ascii="Arial"/>
          <w:sz w:val="18"/>
        </w:rPr>
        <w:sectPr>
          <w:pgSz w:w="12240" w:h="15840"/>
          <w:pgMar w:header="725" w:footer="1084" w:top="1340" w:bottom="1280" w:left="920" w:right="840"/>
        </w:sectPr>
      </w:pPr>
    </w:p>
    <w:p>
      <w:pPr>
        <w:pStyle w:val="BodyText"/>
        <w:spacing w:before="10"/>
        <w:rPr>
          <w:b/>
          <w:sz w:val="8"/>
        </w:rPr>
      </w:pPr>
    </w:p>
    <w:p>
      <w:pPr>
        <w:pStyle w:val="BodyText"/>
        <w:spacing w:line="360" w:lineRule="auto" w:before="73"/>
        <w:ind w:left="781" w:right="498"/>
        <w:jc w:val="both"/>
      </w:pPr>
      <w:r>
        <w:rPr/>
        <w:t>El SRA en general tiene la capacidad de remover 96,08 g/d de nitrógeno amoniacal total, en el estanque se generan 107,18 g/d, lo que indica que siempre se tiene un residuo de </w:t>
      </w:r>
      <w:bookmarkStart w:name="5.6.1.2. N-Nitritos (N-NO2-)" w:id="133"/>
      <w:bookmarkEnd w:id="133"/>
      <w:r>
        <w:rPr/>
      </w:r>
      <w:r>
        <w:rPr/>
        <w:t>N-NH</w:t>
      </w:r>
      <w:r>
        <w:rPr>
          <w:position w:val="-2"/>
          <w:sz w:val="13"/>
        </w:rPr>
        <w:t>3  </w:t>
      </w:r>
      <w:r>
        <w:rPr/>
        <w:t>en el SRA</w:t>
      </w:r>
    </w:p>
    <w:p>
      <w:pPr>
        <w:pStyle w:val="Heading5"/>
        <w:numPr>
          <w:ilvl w:val="3"/>
          <w:numId w:val="15"/>
        </w:numPr>
        <w:tabs>
          <w:tab w:pos="1578" w:val="left" w:leader="none"/>
        </w:tabs>
        <w:spacing w:line="240" w:lineRule="auto" w:before="186" w:after="0"/>
        <w:ind w:left="1577" w:right="0" w:hanging="796"/>
        <w:jc w:val="both"/>
        <w:rPr>
          <w:b w:val="0"/>
        </w:rPr>
      </w:pPr>
      <w:r>
        <w:rPr/>
        <w:pict>
          <v:shape style="position:absolute;margin-left:235.080582pt;margin-top:8.93811pt;width:2.35pt;height:7pt;mso-position-horizontal-relative:page;mso-position-vertical-relative:paragraph;z-index:-1523992" type="#_x0000_t202" filled="false" stroked="false">
            <v:textbox inset="0,0,0,0">
              <w:txbxContent>
                <w:p>
                  <w:pPr>
                    <w:spacing w:line="139" w:lineRule="exact" w:before="0"/>
                    <w:ind w:left="0" w:right="0" w:firstLine="0"/>
                    <w:jc w:val="left"/>
                    <w:rPr>
                      <w:b/>
                      <w:sz w:val="14"/>
                    </w:rPr>
                  </w:pPr>
                  <w:r>
                    <w:rPr>
                      <w:b/>
                      <w:w w:val="99"/>
                      <w:sz w:val="14"/>
                    </w:rPr>
                    <w:t>-</w:t>
                  </w:r>
                </w:p>
              </w:txbxContent>
            </v:textbox>
            <w10:wrap type="none"/>
          </v:shape>
        </w:pict>
      </w:r>
      <w:bookmarkStart w:name="_TOC_250029" w:id="134"/>
      <w:r>
        <w:rPr/>
        <w:t>N – NITRITOS (N-NO</w:t>
      </w:r>
      <w:r>
        <w:rPr>
          <w:position w:val="-2"/>
          <w:sz w:val="14"/>
        </w:rPr>
        <w:t>2</w:t>
      </w:r>
      <w:r>
        <w:rPr>
          <w:spacing w:val="-1"/>
          <w:position w:val="-2"/>
          <w:sz w:val="14"/>
        </w:rPr>
        <w:t> </w:t>
      </w:r>
      <w:bookmarkEnd w:id="134"/>
      <w:r>
        <w:rPr>
          <w:b w:val="0"/>
        </w:rPr>
        <w:t>)</w:t>
      </w:r>
    </w:p>
    <w:p>
      <w:pPr>
        <w:pStyle w:val="BodyText"/>
        <w:spacing w:before="4"/>
        <w:rPr>
          <w:sz w:val="27"/>
        </w:rPr>
      </w:pPr>
    </w:p>
    <w:p>
      <w:pPr>
        <w:pStyle w:val="BodyText"/>
        <w:spacing w:line="348" w:lineRule="auto"/>
        <w:ind w:left="781" w:right="498"/>
        <w:jc w:val="both"/>
      </w:pPr>
      <w:r>
        <w:rPr/>
        <w:t>Los procesos de nitrificación generan como resultado de la misma, especies nitrogenadas como nitritos y nitratos. En el sistema, la tasa de generación de nitritos fue de 7,91 y 12,27 g N-NO</w:t>
      </w:r>
      <w:r>
        <w:rPr>
          <w:position w:val="-2"/>
          <w:sz w:val="13"/>
        </w:rPr>
        <w:t>2</w:t>
      </w:r>
      <w:r>
        <w:rPr>
          <w:position w:val="10"/>
          <w:sz w:val="13"/>
        </w:rPr>
        <w:t>-</w:t>
      </w:r>
      <w:r>
        <w:rPr/>
        <w:t>/d en el percolador y estanque respectivamente (tabla 22). En el filtro de arena se observó una tasa de remoción de 18,42 g N-NO</w:t>
      </w:r>
      <w:r>
        <w:rPr>
          <w:position w:val="-2"/>
          <w:sz w:val="13"/>
        </w:rPr>
        <w:t>2</w:t>
      </w:r>
      <w:r>
        <w:rPr>
          <w:position w:val="10"/>
          <w:sz w:val="13"/>
        </w:rPr>
        <w:t>-</w:t>
      </w:r>
      <w:r>
        <w:rPr/>
        <w:t>/d, misma unidad del tren de tratamiento que cuenta con la tasa de remoción de nitrógeno amoniacal más alta, de manera general la tasa de remoción de este parámetro en el sistema es de 8,25 g N-NO</w:t>
      </w:r>
      <w:r>
        <w:rPr>
          <w:position w:val="-2"/>
          <w:sz w:val="13"/>
        </w:rPr>
        <w:t>2</w:t>
      </w:r>
      <w:r>
        <w:rPr>
          <w:position w:val="10"/>
          <w:sz w:val="13"/>
        </w:rPr>
        <w:t>-</w:t>
      </w:r>
      <w:r>
        <w:rPr/>
        <w:t>/d.</w:t>
      </w:r>
    </w:p>
    <w:p>
      <w:pPr>
        <w:spacing w:before="153"/>
        <w:ind w:left="2029" w:right="948" w:firstLine="0"/>
        <w:jc w:val="left"/>
        <w:rPr>
          <w:b/>
          <w:sz w:val="18"/>
        </w:rPr>
      </w:pPr>
      <w:r>
        <w:rPr>
          <w:b/>
          <w:position w:val="2"/>
          <w:sz w:val="18"/>
        </w:rPr>
        <w:t>Tabla 22. Balance de masa de N – nitritos (N-NO</w:t>
      </w:r>
      <w:r>
        <w:rPr>
          <w:b/>
          <w:sz w:val="12"/>
        </w:rPr>
        <w:t>2</w:t>
      </w:r>
      <w:r>
        <w:rPr>
          <w:b/>
          <w:position w:val="11"/>
          <w:sz w:val="12"/>
        </w:rPr>
        <w:t>-</w:t>
      </w:r>
      <w:r>
        <w:rPr>
          <w:b/>
          <w:position w:val="2"/>
          <w:sz w:val="18"/>
        </w:rPr>
        <w:t>) en el sistema prototipo.</w:t>
      </w:r>
    </w:p>
    <w:p>
      <w:pPr>
        <w:pStyle w:val="BodyText"/>
        <w:spacing w:before="3"/>
        <w:rPr>
          <w:b/>
          <w:sz w:val="10"/>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0"/>
        <w:gridCol w:w="881"/>
        <w:gridCol w:w="1301"/>
        <w:gridCol w:w="806"/>
        <w:gridCol w:w="463"/>
        <w:gridCol w:w="684"/>
        <w:gridCol w:w="535"/>
        <w:gridCol w:w="598"/>
        <w:gridCol w:w="768"/>
        <w:gridCol w:w="746"/>
        <w:gridCol w:w="766"/>
        <w:gridCol w:w="761"/>
      </w:tblGrid>
      <w:tr>
        <w:trPr>
          <w:trHeight w:val="310" w:hRule="exact"/>
        </w:trPr>
        <w:tc>
          <w:tcPr>
            <w:tcW w:w="890"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3"/>
              <w:ind w:right="0"/>
              <w:jc w:val="left"/>
              <w:rPr>
                <w:rFonts w:ascii="Arial"/>
                <w:b/>
                <w:sz w:val="25"/>
              </w:rPr>
            </w:pPr>
          </w:p>
          <w:p>
            <w:pPr>
              <w:pStyle w:val="TableParagraph"/>
              <w:spacing w:before="0"/>
              <w:ind w:left="64" w:right="46" w:firstLine="14"/>
              <w:jc w:val="left"/>
              <w:rPr>
                <w:rFonts w:ascii="Arial"/>
                <w:sz w:val="18"/>
              </w:rPr>
            </w:pPr>
            <w:r>
              <w:rPr>
                <w:rFonts w:ascii="Arial"/>
                <w:sz w:val="18"/>
              </w:rPr>
              <w:t>Punto de muestreo</w:t>
            </w:r>
          </w:p>
        </w:tc>
        <w:tc>
          <w:tcPr>
            <w:tcW w:w="881"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3"/>
              <w:ind w:right="0"/>
              <w:jc w:val="left"/>
              <w:rPr>
                <w:rFonts w:ascii="Arial"/>
                <w:b/>
                <w:sz w:val="25"/>
              </w:rPr>
            </w:pPr>
          </w:p>
          <w:p>
            <w:pPr>
              <w:pStyle w:val="TableParagraph"/>
              <w:spacing w:before="0"/>
              <w:ind w:left="249" w:right="135" w:hanging="104"/>
              <w:jc w:val="left"/>
              <w:rPr>
                <w:rFonts w:ascii="Arial"/>
                <w:sz w:val="18"/>
              </w:rPr>
            </w:pPr>
            <w:r>
              <w:rPr>
                <w:rFonts w:ascii="Arial"/>
                <w:sz w:val="18"/>
              </w:rPr>
              <w:t>Caudal (L/d)</w:t>
            </w:r>
          </w:p>
        </w:tc>
        <w:tc>
          <w:tcPr>
            <w:tcW w:w="1301"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3"/>
              <w:ind w:right="0"/>
              <w:jc w:val="left"/>
              <w:rPr>
                <w:rFonts w:ascii="Arial"/>
                <w:b/>
                <w:sz w:val="25"/>
              </w:rPr>
            </w:pPr>
          </w:p>
          <w:p>
            <w:pPr>
              <w:pStyle w:val="TableParagraph"/>
              <w:spacing w:before="0"/>
              <w:ind w:left="384" w:right="46" w:hanging="320"/>
              <w:jc w:val="left"/>
              <w:rPr>
                <w:rFonts w:ascii="Arial" w:hAnsi="Arial"/>
                <w:sz w:val="18"/>
              </w:rPr>
            </w:pPr>
            <w:r>
              <w:rPr>
                <w:rFonts w:ascii="Arial" w:hAnsi="Arial"/>
                <w:sz w:val="18"/>
              </w:rPr>
              <w:t>Concentración (mg/L)</w:t>
            </w:r>
          </w:p>
        </w:tc>
        <w:tc>
          <w:tcPr>
            <w:tcW w:w="806"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3"/>
              <w:ind w:right="0"/>
              <w:jc w:val="left"/>
              <w:rPr>
                <w:rFonts w:ascii="Arial"/>
                <w:b/>
                <w:sz w:val="16"/>
              </w:rPr>
            </w:pPr>
          </w:p>
          <w:p>
            <w:pPr>
              <w:pStyle w:val="TableParagraph"/>
              <w:spacing w:before="0"/>
              <w:ind w:left="112" w:right="109" w:hanging="3"/>
              <w:jc w:val="center"/>
              <w:rPr>
                <w:rFonts w:ascii="Arial" w:hAnsi="Arial"/>
                <w:sz w:val="18"/>
              </w:rPr>
            </w:pPr>
            <w:r>
              <w:rPr>
                <w:rFonts w:ascii="Arial" w:hAnsi="Arial"/>
                <w:sz w:val="18"/>
              </w:rPr>
              <w:t>Flujo másico (g/d)</w:t>
            </w:r>
          </w:p>
        </w:tc>
        <w:tc>
          <w:tcPr>
            <w:tcW w:w="2280" w:type="dxa"/>
            <w:gridSpan w:val="4"/>
          </w:tcPr>
          <w:p>
            <w:pPr>
              <w:pStyle w:val="TableParagraph"/>
              <w:spacing w:before="92"/>
              <w:ind w:left="136" w:right="0"/>
              <w:jc w:val="left"/>
              <w:rPr>
                <w:rFonts w:ascii="Arial"/>
                <w:sz w:val="18"/>
              </w:rPr>
            </w:pPr>
            <w:r>
              <w:rPr>
                <w:rFonts w:ascii="Arial"/>
                <w:sz w:val="18"/>
              </w:rPr>
              <w:t>Entrada (+1) y salida (-1)</w:t>
            </w:r>
          </w:p>
        </w:tc>
        <w:tc>
          <w:tcPr>
            <w:tcW w:w="3041" w:type="dxa"/>
            <w:gridSpan w:val="4"/>
          </w:tcPr>
          <w:p>
            <w:pPr>
              <w:pStyle w:val="TableParagraph"/>
              <w:spacing w:before="92"/>
              <w:ind w:left="933" w:right="0"/>
              <w:jc w:val="left"/>
              <w:rPr>
                <w:rFonts w:ascii="Arial"/>
                <w:sz w:val="18"/>
              </w:rPr>
            </w:pPr>
            <w:r>
              <w:rPr>
                <w:rFonts w:ascii="Arial"/>
                <w:sz w:val="18"/>
              </w:rPr>
              <w:t>Balances (g/d)</w:t>
            </w:r>
          </w:p>
        </w:tc>
      </w:tr>
      <w:tr>
        <w:trPr>
          <w:trHeight w:val="1526" w:hRule="exact"/>
        </w:trPr>
        <w:tc>
          <w:tcPr>
            <w:tcW w:w="890" w:type="dxa"/>
            <w:vMerge/>
          </w:tcPr>
          <w:p>
            <w:pPr/>
          </w:p>
        </w:tc>
        <w:tc>
          <w:tcPr>
            <w:tcW w:w="881" w:type="dxa"/>
            <w:vMerge/>
          </w:tcPr>
          <w:p>
            <w:pPr/>
          </w:p>
        </w:tc>
        <w:tc>
          <w:tcPr>
            <w:tcW w:w="1301" w:type="dxa"/>
            <w:vMerge/>
          </w:tcPr>
          <w:p>
            <w:pPr/>
          </w:p>
        </w:tc>
        <w:tc>
          <w:tcPr>
            <w:tcW w:w="806" w:type="dxa"/>
            <w:vMerge/>
          </w:tcPr>
          <w:p>
            <w:pPr/>
          </w:p>
        </w:tc>
        <w:tc>
          <w:tcPr>
            <w:tcW w:w="463" w:type="dxa"/>
            <w:textDirection w:val="btLr"/>
          </w:tcPr>
          <w:p>
            <w:pPr>
              <w:pStyle w:val="TableParagraph"/>
              <w:spacing w:before="116"/>
              <w:ind w:left="321"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684" w:type="dxa"/>
            <w:textDirection w:val="btLr"/>
          </w:tcPr>
          <w:p>
            <w:pPr>
              <w:pStyle w:val="TableParagraph"/>
              <w:spacing w:before="8"/>
              <w:ind w:right="0"/>
              <w:jc w:val="left"/>
              <w:rPr>
                <w:rFonts w:ascii="Arial"/>
                <w:b/>
                <w:sz w:val="19"/>
              </w:rPr>
            </w:pPr>
          </w:p>
          <w:p>
            <w:pPr>
              <w:pStyle w:val="TableParagraph"/>
              <w:spacing w:before="0"/>
              <w:ind w:left="175"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535" w:type="dxa"/>
            <w:textDirection w:val="btLr"/>
          </w:tcPr>
          <w:p>
            <w:pPr>
              <w:pStyle w:val="TableParagraph"/>
              <w:spacing w:before="152"/>
              <w:ind w:left="376"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598" w:type="dxa"/>
            <w:textDirection w:val="btLr"/>
          </w:tcPr>
          <w:p>
            <w:pPr>
              <w:pStyle w:val="TableParagraph"/>
              <w:spacing w:before="11"/>
              <w:ind w:right="0"/>
              <w:jc w:val="left"/>
              <w:rPr>
                <w:rFonts w:ascii="Arial"/>
                <w:b/>
                <w:sz w:val="15"/>
              </w:rPr>
            </w:pPr>
          </w:p>
          <w:p>
            <w:pPr>
              <w:pStyle w:val="TableParagraph"/>
              <w:spacing w:before="0"/>
              <w:ind w:left="436" w:right="0"/>
              <w:jc w:val="left"/>
              <w:rPr>
                <w:rFonts w:ascii="Arial"/>
                <w:sz w:val="18"/>
              </w:rPr>
            </w:pPr>
            <w:r>
              <w:rPr>
                <w:rFonts w:ascii="Arial"/>
                <w:spacing w:val="-1"/>
                <w:w w:val="99"/>
                <w:sz w:val="18"/>
              </w:rPr>
              <w:t>G</w:t>
            </w:r>
            <w:r>
              <w:rPr>
                <w:rFonts w:ascii="Arial"/>
                <w:w w:val="99"/>
                <w:sz w:val="18"/>
              </w:rPr>
              <w:t>eneral</w:t>
            </w:r>
          </w:p>
        </w:tc>
        <w:tc>
          <w:tcPr>
            <w:tcW w:w="768" w:type="dxa"/>
            <w:textDirection w:val="btLr"/>
          </w:tcPr>
          <w:p>
            <w:pPr>
              <w:pStyle w:val="TableParagraph"/>
              <w:spacing w:before="3"/>
              <w:ind w:right="0"/>
              <w:jc w:val="left"/>
              <w:rPr>
                <w:rFonts w:ascii="Arial"/>
                <w:b/>
                <w:sz w:val="23"/>
              </w:rPr>
            </w:pPr>
          </w:p>
          <w:p>
            <w:pPr>
              <w:pStyle w:val="TableParagraph"/>
              <w:spacing w:before="0"/>
              <w:ind w:left="321" w:right="0"/>
              <w:jc w:val="left"/>
              <w:rPr>
                <w:rFonts w:ascii="Arial"/>
                <w:sz w:val="18"/>
              </w:rPr>
            </w:pPr>
            <w:bookmarkStart w:name="5.6.1.3. N-Nitratos (N-NO3-)" w:id="135"/>
            <w:bookmarkEnd w:id="135"/>
            <w:r>
              <w:rPr/>
            </w: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746" w:type="dxa"/>
            <w:textDirection w:val="btLr"/>
          </w:tcPr>
          <w:p>
            <w:pPr>
              <w:pStyle w:val="TableParagraph"/>
              <w:spacing w:before="5"/>
              <w:ind w:right="0"/>
              <w:jc w:val="left"/>
              <w:rPr>
                <w:rFonts w:ascii="Arial"/>
                <w:b/>
                <w:sz w:val="22"/>
              </w:rPr>
            </w:pPr>
          </w:p>
          <w:p>
            <w:pPr>
              <w:pStyle w:val="TableParagraph"/>
              <w:spacing w:before="0"/>
              <w:ind w:left="175"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766" w:type="dxa"/>
            <w:textDirection w:val="btLr"/>
          </w:tcPr>
          <w:p>
            <w:pPr>
              <w:pStyle w:val="TableParagraph"/>
              <w:spacing w:before="3"/>
              <w:ind w:right="0"/>
              <w:jc w:val="left"/>
              <w:rPr>
                <w:rFonts w:ascii="Arial"/>
                <w:b/>
                <w:sz w:val="23"/>
              </w:rPr>
            </w:pPr>
          </w:p>
          <w:p>
            <w:pPr>
              <w:pStyle w:val="TableParagraph"/>
              <w:spacing w:before="0"/>
              <w:ind w:left="376"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761" w:type="dxa"/>
            <w:textDirection w:val="btLr"/>
          </w:tcPr>
          <w:p>
            <w:pPr>
              <w:pStyle w:val="TableParagraph"/>
              <w:spacing w:before="1"/>
              <w:ind w:right="0"/>
              <w:jc w:val="left"/>
              <w:rPr>
                <w:rFonts w:ascii="Arial"/>
                <w:b/>
                <w:sz w:val="23"/>
              </w:rPr>
            </w:pPr>
          </w:p>
          <w:p>
            <w:pPr>
              <w:pStyle w:val="TableParagraph"/>
              <w:spacing w:before="0"/>
              <w:ind w:left="436" w:right="0"/>
              <w:jc w:val="left"/>
              <w:rPr>
                <w:rFonts w:ascii="Arial"/>
                <w:sz w:val="18"/>
              </w:rPr>
            </w:pPr>
            <w:r>
              <w:rPr>
                <w:rFonts w:ascii="Arial"/>
                <w:spacing w:val="-1"/>
                <w:w w:val="99"/>
                <w:sz w:val="18"/>
              </w:rPr>
              <w:t>G</w:t>
            </w:r>
            <w:r>
              <w:rPr>
                <w:rFonts w:ascii="Arial"/>
                <w:w w:val="99"/>
                <w:sz w:val="18"/>
              </w:rPr>
              <w:t>eneral</w:t>
            </w: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A</w:t>
            </w:r>
          </w:p>
        </w:tc>
        <w:tc>
          <w:tcPr>
            <w:tcW w:w="881" w:type="dxa"/>
          </w:tcPr>
          <w:p>
            <w:pPr>
              <w:pStyle w:val="TableParagraph"/>
              <w:spacing w:before="44"/>
              <w:ind w:right="85"/>
              <w:rPr>
                <w:rFonts w:ascii="Arial"/>
                <w:sz w:val="18"/>
              </w:rPr>
            </w:pPr>
            <w:r>
              <w:rPr>
                <w:rFonts w:ascii="Arial"/>
                <w:sz w:val="18"/>
              </w:rPr>
              <w:t>181 440</w:t>
            </w:r>
          </w:p>
        </w:tc>
        <w:tc>
          <w:tcPr>
            <w:tcW w:w="1301" w:type="dxa"/>
          </w:tcPr>
          <w:p>
            <w:pPr>
              <w:pStyle w:val="TableParagraph"/>
              <w:spacing w:before="92"/>
              <w:rPr>
                <w:rFonts w:ascii="Arial"/>
                <w:sz w:val="18"/>
              </w:rPr>
            </w:pPr>
            <w:r>
              <w:rPr>
                <w:rFonts w:ascii="Arial"/>
                <w:w w:val="95"/>
                <w:sz w:val="18"/>
              </w:rPr>
              <w:t>0,264</w:t>
            </w:r>
          </w:p>
        </w:tc>
        <w:tc>
          <w:tcPr>
            <w:tcW w:w="806" w:type="dxa"/>
          </w:tcPr>
          <w:p>
            <w:pPr>
              <w:pStyle w:val="TableParagraph"/>
              <w:spacing w:before="92"/>
              <w:rPr>
                <w:rFonts w:ascii="Arial"/>
                <w:sz w:val="18"/>
              </w:rPr>
            </w:pPr>
            <w:r>
              <w:rPr>
                <w:rFonts w:ascii="Arial"/>
                <w:w w:val="95"/>
                <w:sz w:val="18"/>
              </w:rPr>
              <w:t>47,90</w:t>
            </w:r>
          </w:p>
        </w:tc>
        <w:tc>
          <w:tcPr>
            <w:tcW w:w="463" w:type="dxa"/>
          </w:tcPr>
          <w:p>
            <w:pPr>
              <w:pStyle w:val="TableParagraph"/>
              <w:spacing w:before="92"/>
              <w:ind w:left="175" w:right="0"/>
              <w:jc w:val="left"/>
              <w:rPr>
                <w:rFonts w:ascii="Arial"/>
                <w:sz w:val="18"/>
              </w:rPr>
            </w:pPr>
            <w:r>
              <w:rPr>
                <w:rFonts w:ascii="Arial"/>
                <w:w w:val="99"/>
                <w:sz w:val="18"/>
              </w:rPr>
              <w:t>1</w:t>
            </w:r>
          </w:p>
        </w:tc>
        <w:tc>
          <w:tcPr>
            <w:tcW w:w="684" w:type="dxa"/>
          </w:tcPr>
          <w:p>
            <w:pPr/>
          </w:p>
        </w:tc>
        <w:tc>
          <w:tcPr>
            <w:tcW w:w="535" w:type="dxa"/>
          </w:tcPr>
          <w:p>
            <w:pPr/>
          </w:p>
        </w:tc>
        <w:tc>
          <w:tcPr>
            <w:tcW w:w="598" w:type="dxa"/>
          </w:tcPr>
          <w:p>
            <w:pPr/>
          </w:p>
        </w:tc>
        <w:tc>
          <w:tcPr>
            <w:tcW w:w="768" w:type="dxa"/>
          </w:tcPr>
          <w:p>
            <w:pPr>
              <w:pStyle w:val="TableParagraph"/>
              <w:spacing w:before="92"/>
              <w:ind w:right="89"/>
              <w:rPr>
                <w:rFonts w:ascii="Arial"/>
                <w:sz w:val="18"/>
              </w:rPr>
            </w:pPr>
            <w:r>
              <w:rPr>
                <w:rFonts w:ascii="Arial"/>
                <w:sz w:val="18"/>
              </w:rPr>
              <w:t>47,90</w:t>
            </w:r>
          </w:p>
        </w:tc>
        <w:tc>
          <w:tcPr>
            <w:tcW w:w="746" w:type="dxa"/>
          </w:tcPr>
          <w:p>
            <w:pPr/>
          </w:p>
        </w:tc>
        <w:tc>
          <w:tcPr>
            <w:tcW w:w="766" w:type="dxa"/>
          </w:tcPr>
          <w:p>
            <w:pPr/>
          </w:p>
        </w:tc>
        <w:tc>
          <w:tcPr>
            <w:tcW w:w="761" w:type="dxa"/>
          </w:tcPr>
          <w:p>
            <w:pPr/>
          </w:p>
        </w:tc>
      </w:tr>
      <w:tr>
        <w:trPr>
          <w:trHeight w:val="310" w:hRule="exact"/>
        </w:trPr>
        <w:tc>
          <w:tcPr>
            <w:tcW w:w="890" w:type="dxa"/>
          </w:tcPr>
          <w:p>
            <w:pPr>
              <w:pStyle w:val="TableParagraph"/>
              <w:spacing w:before="42"/>
              <w:ind w:right="0"/>
              <w:jc w:val="center"/>
              <w:rPr>
                <w:rFonts w:ascii="Arial"/>
                <w:b/>
                <w:sz w:val="18"/>
              </w:rPr>
            </w:pPr>
            <w:r>
              <w:rPr>
                <w:rFonts w:ascii="Arial"/>
                <w:b/>
                <w:w w:val="99"/>
                <w:sz w:val="18"/>
              </w:rPr>
              <w:t>B</w:t>
            </w:r>
          </w:p>
        </w:tc>
        <w:tc>
          <w:tcPr>
            <w:tcW w:w="881" w:type="dxa"/>
          </w:tcPr>
          <w:p>
            <w:pPr>
              <w:pStyle w:val="TableParagraph"/>
              <w:spacing w:before="47"/>
              <w:ind w:right="85"/>
              <w:rPr>
                <w:rFonts w:ascii="Arial"/>
                <w:sz w:val="18"/>
              </w:rPr>
            </w:pPr>
            <w:r>
              <w:rPr>
                <w:rFonts w:ascii="Arial"/>
                <w:sz w:val="18"/>
              </w:rPr>
              <w:t>181 440</w:t>
            </w:r>
          </w:p>
        </w:tc>
        <w:tc>
          <w:tcPr>
            <w:tcW w:w="1301" w:type="dxa"/>
          </w:tcPr>
          <w:p>
            <w:pPr>
              <w:pStyle w:val="TableParagraph"/>
              <w:spacing w:before="92"/>
              <w:rPr>
                <w:rFonts w:ascii="Arial"/>
                <w:sz w:val="18"/>
              </w:rPr>
            </w:pPr>
            <w:r>
              <w:rPr>
                <w:rFonts w:ascii="Arial"/>
                <w:w w:val="95"/>
                <w:sz w:val="18"/>
              </w:rPr>
              <w:t>0,312</w:t>
            </w:r>
          </w:p>
        </w:tc>
        <w:tc>
          <w:tcPr>
            <w:tcW w:w="806" w:type="dxa"/>
          </w:tcPr>
          <w:p>
            <w:pPr>
              <w:pStyle w:val="TableParagraph"/>
              <w:spacing w:before="92"/>
              <w:rPr>
                <w:rFonts w:ascii="Arial"/>
                <w:sz w:val="18"/>
              </w:rPr>
            </w:pPr>
            <w:r>
              <w:rPr>
                <w:rFonts w:ascii="Arial"/>
                <w:w w:val="95"/>
                <w:sz w:val="18"/>
              </w:rPr>
              <w:t>56,61</w:t>
            </w:r>
          </w:p>
        </w:tc>
        <w:tc>
          <w:tcPr>
            <w:tcW w:w="463" w:type="dxa"/>
          </w:tcPr>
          <w:p>
            <w:pPr>
              <w:pStyle w:val="TableParagraph"/>
              <w:spacing w:before="92"/>
              <w:ind w:left="143" w:right="0"/>
              <w:jc w:val="left"/>
              <w:rPr>
                <w:rFonts w:ascii="Arial"/>
                <w:sz w:val="18"/>
              </w:rPr>
            </w:pPr>
            <w:r>
              <w:rPr>
                <w:rFonts w:ascii="Arial"/>
                <w:sz w:val="18"/>
              </w:rPr>
              <w:t>-1</w:t>
            </w:r>
          </w:p>
        </w:tc>
        <w:tc>
          <w:tcPr>
            <w:tcW w:w="684" w:type="dxa"/>
          </w:tcPr>
          <w:p>
            <w:pPr>
              <w:pStyle w:val="TableParagraph"/>
              <w:spacing w:before="92"/>
              <w:ind w:right="1"/>
              <w:jc w:val="center"/>
              <w:rPr>
                <w:rFonts w:ascii="Arial"/>
                <w:sz w:val="18"/>
              </w:rPr>
            </w:pPr>
            <w:r>
              <w:rPr>
                <w:rFonts w:ascii="Arial"/>
                <w:w w:val="99"/>
                <w:sz w:val="18"/>
              </w:rPr>
              <w:t>1</w:t>
            </w:r>
          </w:p>
        </w:tc>
        <w:tc>
          <w:tcPr>
            <w:tcW w:w="535" w:type="dxa"/>
          </w:tcPr>
          <w:p>
            <w:pPr/>
          </w:p>
        </w:tc>
        <w:tc>
          <w:tcPr>
            <w:tcW w:w="598" w:type="dxa"/>
          </w:tcPr>
          <w:p>
            <w:pPr/>
          </w:p>
        </w:tc>
        <w:tc>
          <w:tcPr>
            <w:tcW w:w="768" w:type="dxa"/>
          </w:tcPr>
          <w:p>
            <w:pPr>
              <w:pStyle w:val="TableParagraph"/>
              <w:spacing w:before="92"/>
              <w:ind w:right="79"/>
              <w:rPr>
                <w:rFonts w:ascii="Arial"/>
                <w:sz w:val="18"/>
              </w:rPr>
            </w:pPr>
            <w:r>
              <w:rPr>
                <w:rFonts w:ascii="Arial"/>
                <w:sz w:val="18"/>
              </w:rPr>
              <w:t>- 56,61</w:t>
            </w:r>
          </w:p>
        </w:tc>
        <w:tc>
          <w:tcPr>
            <w:tcW w:w="746" w:type="dxa"/>
          </w:tcPr>
          <w:p>
            <w:pPr>
              <w:pStyle w:val="TableParagraph"/>
              <w:spacing w:before="92"/>
              <w:ind w:right="68"/>
              <w:rPr>
                <w:rFonts w:ascii="Arial"/>
                <w:sz w:val="18"/>
              </w:rPr>
            </w:pPr>
            <w:r>
              <w:rPr>
                <w:rFonts w:ascii="Arial"/>
                <w:sz w:val="18"/>
              </w:rPr>
              <w:t>56,61</w:t>
            </w:r>
          </w:p>
        </w:tc>
        <w:tc>
          <w:tcPr>
            <w:tcW w:w="766" w:type="dxa"/>
          </w:tcPr>
          <w:p>
            <w:pPr/>
          </w:p>
        </w:tc>
        <w:tc>
          <w:tcPr>
            <w:tcW w:w="761" w:type="dxa"/>
          </w:tcPr>
          <w:p>
            <w:pPr/>
          </w:p>
        </w:tc>
      </w:tr>
      <w:tr>
        <w:trPr>
          <w:trHeight w:val="310" w:hRule="exact"/>
        </w:trPr>
        <w:tc>
          <w:tcPr>
            <w:tcW w:w="890" w:type="dxa"/>
          </w:tcPr>
          <w:p>
            <w:pPr>
              <w:pStyle w:val="TableParagraph"/>
              <w:spacing w:before="88"/>
              <w:ind w:right="0"/>
              <w:jc w:val="center"/>
              <w:rPr>
                <w:rFonts w:ascii="Arial"/>
                <w:b/>
                <w:sz w:val="18"/>
              </w:rPr>
            </w:pPr>
            <w:r>
              <w:rPr>
                <w:rFonts w:ascii="Arial"/>
                <w:b/>
                <w:w w:val="99"/>
                <w:sz w:val="18"/>
              </w:rPr>
              <w:t>C</w:t>
            </w:r>
          </w:p>
        </w:tc>
        <w:tc>
          <w:tcPr>
            <w:tcW w:w="881" w:type="dxa"/>
          </w:tcPr>
          <w:p>
            <w:pPr>
              <w:pStyle w:val="TableParagraph"/>
              <w:spacing w:before="47"/>
              <w:ind w:right="85"/>
              <w:rPr>
                <w:rFonts w:ascii="Arial"/>
                <w:sz w:val="18"/>
              </w:rPr>
            </w:pPr>
            <w:r>
              <w:rPr>
                <w:rFonts w:ascii="Arial"/>
                <w:sz w:val="18"/>
              </w:rPr>
              <w:t>181 440</w:t>
            </w:r>
          </w:p>
        </w:tc>
        <w:tc>
          <w:tcPr>
            <w:tcW w:w="1301" w:type="dxa"/>
          </w:tcPr>
          <w:p>
            <w:pPr>
              <w:pStyle w:val="TableParagraph"/>
              <w:spacing w:before="92"/>
              <w:rPr>
                <w:rFonts w:ascii="Arial"/>
                <w:sz w:val="18"/>
              </w:rPr>
            </w:pPr>
            <w:r>
              <w:rPr>
                <w:rFonts w:ascii="Arial"/>
                <w:w w:val="95"/>
                <w:sz w:val="18"/>
              </w:rPr>
              <w:t>0,201</w:t>
            </w:r>
          </w:p>
        </w:tc>
        <w:tc>
          <w:tcPr>
            <w:tcW w:w="806" w:type="dxa"/>
          </w:tcPr>
          <w:p>
            <w:pPr>
              <w:pStyle w:val="TableParagraph"/>
              <w:spacing w:before="92"/>
              <w:rPr>
                <w:rFonts w:ascii="Arial"/>
                <w:sz w:val="18"/>
              </w:rPr>
            </w:pPr>
            <w:r>
              <w:rPr>
                <w:rFonts w:ascii="Arial"/>
                <w:w w:val="95"/>
                <w:sz w:val="18"/>
              </w:rPr>
              <w:t>36,47</w:t>
            </w:r>
          </w:p>
        </w:tc>
        <w:tc>
          <w:tcPr>
            <w:tcW w:w="463" w:type="dxa"/>
          </w:tcPr>
          <w:p>
            <w:pPr/>
          </w:p>
        </w:tc>
        <w:tc>
          <w:tcPr>
            <w:tcW w:w="684" w:type="dxa"/>
          </w:tcPr>
          <w:p>
            <w:pPr>
              <w:pStyle w:val="TableParagraph"/>
              <w:spacing w:before="92"/>
              <w:ind w:left="235" w:right="238"/>
              <w:jc w:val="center"/>
              <w:rPr>
                <w:rFonts w:ascii="Arial"/>
                <w:sz w:val="18"/>
              </w:rPr>
            </w:pPr>
            <w:r>
              <w:rPr>
                <w:rFonts w:ascii="Arial"/>
                <w:sz w:val="18"/>
              </w:rPr>
              <w:t>-1</w:t>
            </w:r>
          </w:p>
        </w:tc>
        <w:tc>
          <w:tcPr>
            <w:tcW w:w="535" w:type="dxa"/>
          </w:tcPr>
          <w:p>
            <w:pPr>
              <w:pStyle w:val="TableParagraph"/>
              <w:spacing w:before="92"/>
              <w:ind w:left="211" w:right="0"/>
              <w:jc w:val="left"/>
              <w:rPr>
                <w:rFonts w:ascii="Arial"/>
                <w:sz w:val="18"/>
              </w:rPr>
            </w:pPr>
            <w:r>
              <w:rPr>
                <w:rFonts w:ascii="Arial"/>
                <w:w w:val="99"/>
                <w:sz w:val="18"/>
              </w:rPr>
              <w:t>1</w:t>
            </w:r>
          </w:p>
        </w:tc>
        <w:tc>
          <w:tcPr>
            <w:tcW w:w="598" w:type="dxa"/>
          </w:tcPr>
          <w:p>
            <w:pPr>
              <w:pStyle w:val="TableParagraph"/>
              <w:spacing w:before="92"/>
              <w:ind w:left="213" w:right="0"/>
              <w:jc w:val="left"/>
              <w:rPr>
                <w:rFonts w:ascii="Arial"/>
                <w:sz w:val="18"/>
              </w:rPr>
            </w:pPr>
            <w:r>
              <w:rPr>
                <w:rFonts w:ascii="Arial"/>
                <w:sz w:val="18"/>
              </w:rPr>
              <w:t>-1</w:t>
            </w:r>
          </w:p>
        </w:tc>
        <w:tc>
          <w:tcPr>
            <w:tcW w:w="768" w:type="dxa"/>
          </w:tcPr>
          <w:p>
            <w:pPr/>
          </w:p>
        </w:tc>
        <w:tc>
          <w:tcPr>
            <w:tcW w:w="746" w:type="dxa"/>
          </w:tcPr>
          <w:p>
            <w:pPr>
              <w:pStyle w:val="TableParagraph"/>
              <w:spacing w:before="92"/>
              <w:ind w:right="106"/>
              <w:rPr>
                <w:rFonts w:ascii="Arial"/>
                <w:sz w:val="18"/>
              </w:rPr>
            </w:pPr>
            <w:r>
              <w:rPr>
                <w:rFonts w:ascii="Arial"/>
                <w:sz w:val="18"/>
              </w:rPr>
              <w:t>- 36,47</w:t>
            </w:r>
          </w:p>
        </w:tc>
        <w:tc>
          <w:tcPr>
            <w:tcW w:w="766" w:type="dxa"/>
          </w:tcPr>
          <w:p>
            <w:pPr>
              <w:pStyle w:val="TableParagraph"/>
              <w:spacing w:before="92"/>
              <w:ind w:right="87"/>
              <w:rPr>
                <w:rFonts w:ascii="Arial"/>
                <w:sz w:val="18"/>
              </w:rPr>
            </w:pPr>
            <w:r>
              <w:rPr>
                <w:rFonts w:ascii="Arial"/>
                <w:sz w:val="18"/>
              </w:rPr>
              <w:t>36,47</w:t>
            </w:r>
          </w:p>
        </w:tc>
        <w:tc>
          <w:tcPr>
            <w:tcW w:w="761" w:type="dxa"/>
          </w:tcPr>
          <w:p>
            <w:pPr>
              <w:pStyle w:val="TableParagraph"/>
              <w:spacing w:before="92"/>
              <w:ind w:right="73"/>
              <w:rPr>
                <w:rFonts w:ascii="Arial"/>
                <w:sz w:val="18"/>
              </w:rPr>
            </w:pPr>
            <w:r>
              <w:rPr>
                <w:rFonts w:ascii="Arial"/>
                <w:sz w:val="18"/>
              </w:rPr>
              <w:t>- 36,47</w:t>
            </w:r>
          </w:p>
        </w:tc>
      </w:tr>
      <w:tr>
        <w:trPr>
          <w:trHeight w:val="312" w:hRule="exact"/>
        </w:trPr>
        <w:tc>
          <w:tcPr>
            <w:tcW w:w="890" w:type="dxa"/>
          </w:tcPr>
          <w:p>
            <w:pPr>
              <w:pStyle w:val="TableParagraph"/>
              <w:spacing w:before="42"/>
              <w:ind w:right="0"/>
              <w:jc w:val="center"/>
              <w:rPr>
                <w:rFonts w:ascii="Arial"/>
                <w:b/>
                <w:sz w:val="18"/>
              </w:rPr>
            </w:pPr>
            <w:r>
              <w:rPr>
                <w:rFonts w:ascii="Arial"/>
                <w:b/>
                <w:w w:val="99"/>
                <w:sz w:val="18"/>
              </w:rPr>
              <w:t>D</w:t>
            </w:r>
          </w:p>
        </w:tc>
        <w:tc>
          <w:tcPr>
            <w:tcW w:w="881" w:type="dxa"/>
          </w:tcPr>
          <w:p>
            <w:pPr>
              <w:pStyle w:val="TableParagraph"/>
              <w:spacing w:before="47"/>
              <w:ind w:right="85"/>
              <w:rPr>
                <w:rFonts w:ascii="Arial"/>
                <w:sz w:val="18"/>
              </w:rPr>
            </w:pPr>
            <w:r>
              <w:rPr>
                <w:rFonts w:ascii="Arial"/>
                <w:sz w:val="18"/>
              </w:rPr>
              <w:t>181 340</w:t>
            </w:r>
          </w:p>
        </w:tc>
        <w:tc>
          <w:tcPr>
            <w:tcW w:w="1301" w:type="dxa"/>
          </w:tcPr>
          <w:p>
            <w:pPr>
              <w:pStyle w:val="TableParagraph"/>
              <w:spacing w:before="92"/>
              <w:rPr>
                <w:rFonts w:ascii="Arial"/>
                <w:sz w:val="18"/>
              </w:rPr>
            </w:pPr>
            <w:r>
              <w:rPr>
                <w:rFonts w:ascii="Arial"/>
                <w:w w:val="95"/>
                <w:sz w:val="18"/>
              </w:rPr>
              <w:t>0,250</w:t>
            </w:r>
          </w:p>
        </w:tc>
        <w:tc>
          <w:tcPr>
            <w:tcW w:w="806" w:type="dxa"/>
          </w:tcPr>
          <w:p>
            <w:pPr>
              <w:pStyle w:val="TableParagraph"/>
              <w:spacing w:before="92"/>
              <w:rPr>
                <w:rFonts w:ascii="Arial"/>
                <w:sz w:val="18"/>
              </w:rPr>
            </w:pPr>
            <w:r>
              <w:rPr>
                <w:rFonts w:ascii="Arial"/>
                <w:w w:val="95"/>
                <w:sz w:val="18"/>
              </w:rPr>
              <w:t>45,34</w:t>
            </w:r>
          </w:p>
        </w:tc>
        <w:tc>
          <w:tcPr>
            <w:tcW w:w="463" w:type="dxa"/>
          </w:tcPr>
          <w:p>
            <w:pPr/>
          </w:p>
        </w:tc>
        <w:tc>
          <w:tcPr>
            <w:tcW w:w="684" w:type="dxa"/>
          </w:tcPr>
          <w:p>
            <w:pPr/>
          </w:p>
        </w:tc>
        <w:tc>
          <w:tcPr>
            <w:tcW w:w="535" w:type="dxa"/>
          </w:tcPr>
          <w:p>
            <w:pPr/>
          </w:p>
        </w:tc>
        <w:tc>
          <w:tcPr>
            <w:tcW w:w="598" w:type="dxa"/>
          </w:tcPr>
          <w:p>
            <w:pPr>
              <w:pStyle w:val="TableParagraph"/>
              <w:spacing w:before="92"/>
              <w:ind w:left="242" w:right="0"/>
              <w:jc w:val="left"/>
              <w:rPr>
                <w:rFonts w:ascii="Arial"/>
                <w:sz w:val="18"/>
              </w:rPr>
            </w:pPr>
            <w:r>
              <w:rPr>
                <w:rFonts w:ascii="Arial"/>
                <w:w w:val="99"/>
                <w:sz w:val="18"/>
              </w:rPr>
              <w:t>1</w:t>
            </w:r>
          </w:p>
        </w:tc>
        <w:tc>
          <w:tcPr>
            <w:tcW w:w="768" w:type="dxa"/>
          </w:tcPr>
          <w:p>
            <w:pPr/>
          </w:p>
        </w:tc>
        <w:tc>
          <w:tcPr>
            <w:tcW w:w="746" w:type="dxa"/>
          </w:tcPr>
          <w:p>
            <w:pPr/>
          </w:p>
        </w:tc>
        <w:tc>
          <w:tcPr>
            <w:tcW w:w="766" w:type="dxa"/>
          </w:tcPr>
          <w:p>
            <w:pPr/>
          </w:p>
        </w:tc>
        <w:tc>
          <w:tcPr>
            <w:tcW w:w="761" w:type="dxa"/>
          </w:tcPr>
          <w:p>
            <w:pPr>
              <w:pStyle w:val="TableParagraph"/>
              <w:spacing w:before="92"/>
              <w:ind w:right="82"/>
              <w:rPr>
                <w:rFonts w:ascii="Arial"/>
                <w:sz w:val="18"/>
              </w:rPr>
            </w:pPr>
            <w:r>
              <w:rPr>
                <w:rFonts w:ascii="Arial"/>
                <w:sz w:val="18"/>
              </w:rPr>
              <w:t>45,34</w:t>
            </w: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E</w:t>
            </w:r>
          </w:p>
        </w:tc>
        <w:tc>
          <w:tcPr>
            <w:tcW w:w="881" w:type="dxa"/>
          </w:tcPr>
          <w:p>
            <w:pPr>
              <w:pStyle w:val="TableParagraph"/>
              <w:spacing w:before="44"/>
              <w:ind w:right="85"/>
              <w:rPr>
                <w:rFonts w:ascii="Arial"/>
                <w:sz w:val="18"/>
              </w:rPr>
            </w:pPr>
            <w:r>
              <w:rPr>
                <w:rFonts w:ascii="Arial"/>
                <w:sz w:val="18"/>
              </w:rPr>
              <w:t>181 340</w:t>
            </w:r>
          </w:p>
        </w:tc>
        <w:tc>
          <w:tcPr>
            <w:tcW w:w="1301" w:type="dxa"/>
          </w:tcPr>
          <w:p>
            <w:pPr>
              <w:pStyle w:val="TableParagraph"/>
              <w:spacing w:before="92"/>
              <w:rPr>
                <w:rFonts w:ascii="Arial"/>
                <w:sz w:val="18"/>
              </w:rPr>
            </w:pPr>
            <w:r>
              <w:rPr>
                <w:rFonts w:ascii="Arial"/>
                <w:w w:val="95"/>
                <w:sz w:val="18"/>
              </w:rPr>
              <w:t>0,274</w:t>
            </w:r>
          </w:p>
        </w:tc>
        <w:tc>
          <w:tcPr>
            <w:tcW w:w="806" w:type="dxa"/>
          </w:tcPr>
          <w:p>
            <w:pPr>
              <w:pStyle w:val="TableParagraph"/>
              <w:spacing w:before="92"/>
              <w:rPr>
                <w:rFonts w:ascii="Arial"/>
                <w:sz w:val="18"/>
              </w:rPr>
            </w:pPr>
            <w:r>
              <w:rPr>
                <w:rFonts w:ascii="Arial"/>
                <w:w w:val="95"/>
                <w:sz w:val="18"/>
              </w:rPr>
              <w:t>49,69</w:t>
            </w:r>
          </w:p>
        </w:tc>
        <w:tc>
          <w:tcPr>
            <w:tcW w:w="463" w:type="dxa"/>
          </w:tcPr>
          <w:p>
            <w:pPr/>
          </w:p>
        </w:tc>
        <w:tc>
          <w:tcPr>
            <w:tcW w:w="684" w:type="dxa"/>
          </w:tcPr>
          <w:p>
            <w:pPr/>
          </w:p>
        </w:tc>
        <w:tc>
          <w:tcPr>
            <w:tcW w:w="535" w:type="dxa"/>
          </w:tcPr>
          <w:p>
            <w:pPr>
              <w:pStyle w:val="TableParagraph"/>
              <w:spacing w:before="92"/>
              <w:ind w:left="182" w:right="0"/>
              <w:jc w:val="left"/>
              <w:rPr>
                <w:rFonts w:ascii="Arial"/>
                <w:sz w:val="18"/>
              </w:rPr>
            </w:pPr>
            <w:r>
              <w:rPr>
                <w:rFonts w:ascii="Arial"/>
                <w:sz w:val="18"/>
              </w:rPr>
              <w:t>-1</w:t>
            </w:r>
          </w:p>
        </w:tc>
        <w:tc>
          <w:tcPr>
            <w:tcW w:w="598" w:type="dxa"/>
          </w:tcPr>
          <w:p>
            <w:pPr/>
          </w:p>
        </w:tc>
        <w:tc>
          <w:tcPr>
            <w:tcW w:w="768" w:type="dxa"/>
          </w:tcPr>
          <w:p>
            <w:pPr/>
          </w:p>
        </w:tc>
        <w:tc>
          <w:tcPr>
            <w:tcW w:w="746" w:type="dxa"/>
          </w:tcPr>
          <w:p>
            <w:pPr/>
          </w:p>
        </w:tc>
        <w:tc>
          <w:tcPr>
            <w:tcW w:w="766" w:type="dxa"/>
          </w:tcPr>
          <w:p>
            <w:pPr>
              <w:pStyle w:val="TableParagraph"/>
              <w:spacing w:before="92"/>
              <w:ind w:right="77"/>
              <w:rPr>
                <w:rFonts w:ascii="Arial"/>
                <w:sz w:val="18"/>
              </w:rPr>
            </w:pPr>
            <w:r>
              <w:rPr>
                <w:rFonts w:ascii="Arial"/>
                <w:sz w:val="18"/>
              </w:rPr>
              <w:t>- 49,69</w:t>
            </w:r>
          </w:p>
        </w:tc>
        <w:tc>
          <w:tcPr>
            <w:tcW w:w="761" w:type="dxa"/>
          </w:tcPr>
          <w:p>
            <w:pPr/>
          </w:p>
        </w:tc>
      </w:tr>
      <w:tr>
        <w:trPr>
          <w:trHeight w:val="310" w:hRule="exact"/>
        </w:trPr>
        <w:tc>
          <w:tcPr>
            <w:tcW w:w="890" w:type="dxa"/>
          </w:tcPr>
          <w:p>
            <w:pPr>
              <w:pStyle w:val="TableParagraph"/>
              <w:spacing w:before="40"/>
              <w:ind w:right="1"/>
              <w:jc w:val="center"/>
              <w:rPr>
                <w:rFonts w:ascii="Arial"/>
                <w:b/>
                <w:sz w:val="18"/>
              </w:rPr>
            </w:pPr>
            <w:r>
              <w:rPr>
                <w:rFonts w:ascii="Arial"/>
                <w:b/>
                <w:w w:val="99"/>
                <w:sz w:val="18"/>
              </w:rPr>
              <w:t>G</w:t>
            </w:r>
          </w:p>
        </w:tc>
        <w:tc>
          <w:tcPr>
            <w:tcW w:w="881" w:type="dxa"/>
          </w:tcPr>
          <w:p>
            <w:pPr>
              <w:pStyle w:val="TableParagraph"/>
              <w:spacing w:before="44"/>
              <w:ind w:right="63"/>
              <w:rPr>
                <w:rFonts w:ascii="Arial"/>
                <w:sz w:val="18"/>
              </w:rPr>
            </w:pPr>
            <w:r>
              <w:rPr>
                <w:rFonts w:ascii="Arial"/>
                <w:sz w:val="18"/>
              </w:rPr>
              <w:t>100</w:t>
            </w:r>
          </w:p>
        </w:tc>
        <w:tc>
          <w:tcPr>
            <w:tcW w:w="1301" w:type="dxa"/>
          </w:tcPr>
          <w:p>
            <w:pPr>
              <w:pStyle w:val="TableParagraph"/>
              <w:spacing w:before="44"/>
              <w:rPr>
                <w:rFonts w:ascii="Arial"/>
                <w:sz w:val="18"/>
              </w:rPr>
            </w:pPr>
            <w:r>
              <w:rPr>
                <w:rFonts w:ascii="Arial"/>
                <w:w w:val="95"/>
                <w:sz w:val="18"/>
              </w:rPr>
              <w:t>0,508</w:t>
            </w:r>
          </w:p>
        </w:tc>
        <w:tc>
          <w:tcPr>
            <w:tcW w:w="806" w:type="dxa"/>
          </w:tcPr>
          <w:p>
            <w:pPr>
              <w:pStyle w:val="TableParagraph"/>
              <w:spacing w:before="44"/>
              <w:rPr>
                <w:rFonts w:ascii="Arial"/>
                <w:sz w:val="18"/>
              </w:rPr>
            </w:pPr>
            <w:r>
              <w:rPr>
                <w:rFonts w:ascii="Arial"/>
                <w:w w:val="95"/>
                <w:sz w:val="18"/>
              </w:rPr>
              <w:t>0,05</w:t>
            </w:r>
          </w:p>
        </w:tc>
        <w:tc>
          <w:tcPr>
            <w:tcW w:w="463" w:type="dxa"/>
          </w:tcPr>
          <w:p>
            <w:pPr/>
          </w:p>
        </w:tc>
        <w:tc>
          <w:tcPr>
            <w:tcW w:w="684" w:type="dxa"/>
          </w:tcPr>
          <w:p>
            <w:pPr/>
          </w:p>
        </w:tc>
        <w:tc>
          <w:tcPr>
            <w:tcW w:w="535" w:type="dxa"/>
          </w:tcPr>
          <w:p>
            <w:pPr>
              <w:pStyle w:val="TableParagraph"/>
              <w:spacing w:before="44"/>
              <w:ind w:left="182" w:right="0"/>
              <w:jc w:val="left"/>
              <w:rPr>
                <w:rFonts w:ascii="Arial"/>
                <w:sz w:val="18"/>
              </w:rPr>
            </w:pPr>
            <w:r>
              <w:rPr>
                <w:rFonts w:ascii="Arial"/>
                <w:sz w:val="18"/>
              </w:rPr>
              <w:t>-1</w:t>
            </w:r>
          </w:p>
        </w:tc>
        <w:tc>
          <w:tcPr>
            <w:tcW w:w="598" w:type="dxa"/>
          </w:tcPr>
          <w:p>
            <w:pPr/>
          </w:p>
        </w:tc>
        <w:tc>
          <w:tcPr>
            <w:tcW w:w="768" w:type="dxa"/>
          </w:tcPr>
          <w:p>
            <w:pPr/>
          </w:p>
        </w:tc>
        <w:tc>
          <w:tcPr>
            <w:tcW w:w="746" w:type="dxa"/>
          </w:tcPr>
          <w:p>
            <w:pPr/>
          </w:p>
        </w:tc>
        <w:tc>
          <w:tcPr>
            <w:tcW w:w="766" w:type="dxa"/>
          </w:tcPr>
          <w:p>
            <w:pPr>
              <w:pStyle w:val="TableParagraph"/>
              <w:tabs>
                <w:tab w:pos="261" w:val="left" w:leader="none"/>
              </w:tabs>
              <w:spacing w:before="44"/>
              <w:ind w:right="60"/>
              <w:rPr>
                <w:rFonts w:ascii="Arial"/>
                <w:sz w:val="18"/>
              </w:rPr>
            </w:pPr>
            <w:r>
              <w:rPr>
                <w:rFonts w:ascii="Arial"/>
                <w:sz w:val="18"/>
              </w:rPr>
              <w:t>-</w:t>
              <w:tab/>
            </w:r>
            <w:r>
              <w:rPr>
                <w:rFonts w:ascii="Arial"/>
                <w:spacing w:val="-1"/>
                <w:sz w:val="18"/>
              </w:rPr>
              <w:t>0,05</w:t>
            </w:r>
          </w:p>
        </w:tc>
        <w:tc>
          <w:tcPr>
            <w:tcW w:w="761" w:type="dxa"/>
          </w:tcPr>
          <w:p>
            <w:pPr/>
          </w:p>
        </w:tc>
      </w:tr>
      <w:tr>
        <w:trPr>
          <w:trHeight w:val="310" w:hRule="exact"/>
        </w:trPr>
        <w:tc>
          <w:tcPr>
            <w:tcW w:w="3878" w:type="dxa"/>
            <w:gridSpan w:val="4"/>
            <w:vMerge w:val="restart"/>
          </w:tcPr>
          <w:p>
            <w:pPr>
              <w:pStyle w:val="TableParagraph"/>
              <w:spacing w:before="9"/>
              <w:ind w:right="0"/>
              <w:jc w:val="left"/>
              <w:rPr>
                <w:rFonts w:ascii="Arial"/>
                <w:b/>
                <w:sz w:val="5"/>
              </w:rPr>
            </w:pPr>
          </w:p>
          <w:p>
            <w:pPr>
              <w:pStyle w:val="TableParagraph"/>
              <w:spacing w:before="0"/>
              <w:ind w:left="792" w:right="0"/>
              <w:jc w:val="left"/>
              <w:rPr>
                <w:rFonts w:ascii="Arial"/>
                <w:sz w:val="20"/>
              </w:rPr>
            </w:pPr>
            <w:r>
              <w:rPr>
                <w:rFonts w:ascii="Arial"/>
                <w:sz w:val="20"/>
              </w:rPr>
              <w:drawing>
                <wp:inline distT="0" distB="0" distL="0" distR="0">
                  <wp:extent cx="1487206" cy="905256"/>
                  <wp:effectExtent l="0" t="0" r="0" b="0"/>
                  <wp:docPr id="39" name="image70.jpeg" descr=""/>
                  <wp:cNvGraphicFramePr>
                    <a:graphicFrameLocks noChangeAspect="1"/>
                  </wp:cNvGraphicFramePr>
                  <a:graphic>
                    <a:graphicData uri="http://schemas.openxmlformats.org/drawingml/2006/picture">
                      <pic:pic>
                        <pic:nvPicPr>
                          <pic:cNvPr id="40" name="image70.jpeg"/>
                          <pic:cNvPicPr/>
                        </pic:nvPicPr>
                        <pic:blipFill>
                          <a:blip r:embed="rId78" cstate="print"/>
                          <a:stretch>
                            <a:fillRect/>
                          </a:stretch>
                        </pic:blipFill>
                        <pic:spPr>
                          <a:xfrm>
                            <a:off x="0" y="0"/>
                            <a:ext cx="1487206" cy="905256"/>
                          </a:xfrm>
                          <a:prstGeom prst="rect">
                            <a:avLst/>
                          </a:prstGeom>
                        </pic:spPr>
                      </pic:pic>
                    </a:graphicData>
                  </a:graphic>
                </wp:inline>
              </w:drawing>
            </w:r>
            <w:r>
              <w:rPr>
                <w:rFonts w:ascii="Arial"/>
                <w:sz w:val="20"/>
              </w:rPr>
            </w:r>
          </w:p>
        </w:tc>
        <w:tc>
          <w:tcPr>
            <w:tcW w:w="2280" w:type="dxa"/>
            <w:gridSpan w:val="4"/>
          </w:tcPr>
          <w:p>
            <w:pPr>
              <w:pStyle w:val="TableParagraph"/>
              <w:spacing w:before="92"/>
              <w:ind w:left="64" w:right="0"/>
              <w:jc w:val="left"/>
              <w:rPr>
                <w:rFonts w:ascii="Arial"/>
                <w:sz w:val="18"/>
              </w:rPr>
            </w:pPr>
            <w:r>
              <w:rPr>
                <w:rFonts w:ascii="Arial"/>
                <w:sz w:val="18"/>
              </w:rPr>
              <w:t>Entrada (g/d)</w:t>
            </w:r>
          </w:p>
        </w:tc>
        <w:tc>
          <w:tcPr>
            <w:tcW w:w="768" w:type="dxa"/>
          </w:tcPr>
          <w:p>
            <w:pPr>
              <w:pStyle w:val="TableParagraph"/>
              <w:spacing w:before="44"/>
              <w:ind w:right="65"/>
              <w:rPr>
                <w:rFonts w:ascii="Arial"/>
                <w:sz w:val="18"/>
              </w:rPr>
            </w:pPr>
            <w:r>
              <w:rPr>
                <w:rFonts w:ascii="Arial"/>
                <w:sz w:val="18"/>
              </w:rPr>
              <w:t>47,90</w:t>
            </w:r>
          </w:p>
        </w:tc>
        <w:tc>
          <w:tcPr>
            <w:tcW w:w="746" w:type="dxa"/>
          </w:tcPr>
          <w:p>
            <w:pPr>
              <w:pStyle w:val="TableParagraph"/>
              <w:spacing w:before="44"/>
              <w:ind w:right="63"/>
              <w:rPr>
                <w:rFonts w:ascii="Arial"/>
                <w:sz w:val="18"/>
              </w:rPr>
            </w:pPr>
            <w:r>
              <w:rPr>
                <w:rFonts w:ascii="Arial"/>
                <w:sz w:val="18"/>
              </w:rPr>
              <w:t>56,61</w:t>
            </w:r>
          </w:p>
        </w:tc>
        <w:tc>
          <w:tcPr>
            <w:tcW w:w="766" w:type="dxa"/>
          </w:tcPr>
          <w:p>
            <w:pPr>
              <w:pStyle w:val="TableParagraph"/>
              <w:spacing w:before="44"/>
              <w:ind w:right="63"/>
              <w:rPr>
                <w:rFonts w:ascii="Arial"/>
                <w:sz w:val="18"/>
              </w:rPr>
            </w:pPr>
            <w:r>
              <w:rPr>
                <w:rFonts w:ascii="Arial"/>
                <w:sz w:val="18"/>
              </w:rPr>
              <w:t>36,47</w:t>
            </w:r>
          </w:p>
        </w:tc>
        <w:tc>
          <w:tcPr>
            <w:tcW w:w="761" w:type="dxa"/>
          </w:tcPr>
          <w:p>
            <w:pPr>
              <w:pStyle w:val="TableParagraph"/>
              <w:spacing w:before="44"/>
              <w:ind w:right="63"/>
              <w:rPr>
                <w:rFonts w:ascii="Arial"/>
                <w:sz w:val="18"/>
              </w:rPr>
            </w:pPr>
            <w:r>
              <w:rPr>
                <w:rFonts w:ascii="Arial"/>
                <w:sz w:val="18"/>
              </w:rPr>
              <w:t>45,34</w:t>
            </w:r>
          </w:p>
        </w:tc>
      </w:tr>
      <w:tr>
        <w:trPr>
          <w:trHeight w:val="310" w:hRule="exact"/>
        </w:trPr>
        <w:tc>
          <w:tcPr>
            <w:tcW w:w="3878" w:type="dxa"/>
            <w:gridSpan w:val="4"/>
            <w:vMerge/>
          </w:tcPr>
          <w:p>
            <w:pPr/>
          </w:p>
        </w:tc>
        <w:tc>
          <w:tcPr>
            <w:tcW w:w="2280" w:type="dxa"/>
            <w:gridSpan w:val="4"/>
          </w:tcPr>
          <w:p>
            <w:pPr>
              <w:pStyle w:val="TableParagraph"/>
              <w:spacing w:before="92"/>
              <w:ind w:left="64" w:right="0"/>
              <w:jc w:val="left"/>
              <w:rPr>
                <w:rFonts w:ascii="Arial"/>
                <w:sz w:val="18"/>
              </w:rPr>
            </w:pPr>
            <w:r>
              <w:rPr>
                <w:rFonts w:ascii="Arial"/>
                <w:sz w:val="18"/>
              </w:rPr>
              <w:t>Salida (g/d)</w:t>
            </w:r>
          </w:p>
        </w:tc>
        <w:tc>
          <w:tcPr>
            <w:tcW w:w="768" w:type="dxa"/>
          </w:tcPr>
          <w:p>
            <w:pPr>
              <w:pStyle w:val="TableParagraph"/>
              <w:spacing w:before="47"/>
              <w:ind w:right="65"/>
              <w:rPr>
                <w:rFonts w:ascii="Arial"/>
                <w:sz w:val="18"/>
              </w:rPr>
            </w:pPr>
            <w:r>
              <w:rPr>
                <w:rFonts w:ascii="Arial"/>
                <w:sz w:val="18"/>
              </w:rPr>
              <w:t>- 56,61</w:t>
            </w:r>
          </w:p>
        </w:tc>
        <w:tc>
          <w:tcPr>
            <w:tcW w:w="746" w:type="dxa"/>
          </w:tcPr>
          <w:p>
            <w:pPr>
              <w:pStyle w:val="TableParagraph"/>
              <w:spacing w:before="47"/>
              <w:rPr>
                <w:rFonts w:ascii="Arial"/>
                <w:sz w:val="18"/>
              </w:rPr>
            </w:pPr>
            <w:r>
              <w:rPr>
                <w:rFonts w:ascii="Arial"/>
                <w:sz w:val="18"/>
              </w:rPr>
              <w:t>- 36,47</w:t>
            </w:r>
          </w:p>
        </w:tc>
        <w:tc>
          <w:tcPr>
            <w:tcW w:w="766" w:type="dxa"/>
          </w:tcPr>
          <w:p>
            <w:pPr>
              <w:pStyle w:val="TableParagraph"/>
              <w:spacing w:before="47"/>
              <w:ind w:right="63"/>
              <w:rPr>
                <w:rFonts w:ascii="Arial"/>
                <w:sz w:val="18"/>
              </w:rPr>
            </w:pPr>
            <w:r>
              <w:rPr>
                <w:rFonts w:ascii="Arial"/>
                <w:sz w:val="18"/>
              </w:rPr>
              <w:t>- 49,74</w:t>
            </w:r>
          </w:p>
        </w:tc>
        <w:tc>
          <w:tcPr>
            <w:tcW w:w="761" w:type="dxa"/>
          </w:tcPr>
          <w:p>
            <w:pPr>
              <w:pStyle w:val="TableParagraph"/>
              <w:spacing w:before="47"/>
              <w:ind w:right="63"/>
              <w:rPr>
                <w:rFonts w:ascii="Arial"/>
                <w:sz w:val="18"/>
              </w:rPr>
            </w:pPr>
            <w:r>
              <w:rPr>
                <w:rFonts w:ascii="Arial"/>
                <w:sz w:val="18"/>
              </w:rPr>
              <w:t>- 36,47</w:t>
            </w:r>
          </w:p>
        </w:tc>
      </w:tr>
      <w:tr>
        <w:trPr>
          <w:trHeight w:val="310" w:hRule="exact"/>
        </w:trPr>
        <w:tc>
          <w:tcPr>
            <w:tcW w:w="3878" w:type="dxa"/>
            <w:gridSpan w:val="4"/>
            <w:vMerge/>
          </w:tcPr>
          <w:p>
            <w:pPr/>
          </w:p>
        </w:tc>
        <w:tc>
          <w:tcPr>
            <w:tcW w:w="1147" w:type="dxa"/>
            <w:gridSpan w:val="2"/>
            <w:vMerge w:val="restart"/>
          </w:tcPr>
          <w:p>
            <w:pPr>
              <w:pStyle w:val="TableParagraph"/>
              <w:spacing w:before="0"/>
              <w:ind w:right="0"/>
              <w:jc w:val="left"/>
              <w:rPr>
                <w:rFonts w:ascii="Arial"/>
                <w:b/>
                <w:sz w:val="18"/>
              </w:rPr>
            </w:pPr>
          </w:p>
          <w:p>
            <w:pPr>
              <w:pStyle w:val="TableParagraph"/>
              <w:spacing w:before="149"/>
              <w:ind w:left="163" w:right="0"/>
              <w:jc w:val="left"/>
              <w:rPr>
                <w:rFonts w:ascii="Arial"/>
                <w:sz w:val="18"/>
              </w:rPr>
            </w:pPr>
            <w:r>
              <w:rPr>
                <w:rFonts w:ascii="Arial"/>
                <w:sz w:val="18"/>
              </w:rPr>
              <w:t>Diferencia</w:t>
            </w:r>
          </w:p>
        </w:tc>
        <w:tc>
          <w:tcPr>
            <w:tcW w:w="1133" w:type="dxa"/>
            <w:gridSpan w:val="2"/>
          </w:tcPr>
          <w:p>
            <w:pPr>
              <w:pStyle w:val="TableParagraph"/>
              <w:spacing w:before="92"/>
              <w:ind w:left="64" w:right="112"/>
              <w:jc w:val="left"/>
              <w:rPr>
                <w:rFonts w:ascii="Arial"/>
                <w:sz w:val="18"/>
              </w:rPr>
            </w:pPr>
            <w:r>
              <w:rPr>
                <w:rFonts w:ascii="Arial"/>
                <w:sz w:val="18"/>
              </w:rPr>
              <w:t>g/d</w:t>
            </w:r>
          </w:p>
        </w:tc>
        <w:tc>
          <w:tcPr>
            <w:tcW w:w="768" w:type="dxa"/>
          </w:tcPr>
          <w:p>
            <w:pPr>
              <w:pStyle w:val="TableParagraph"/>
              <w:tabs>
                <w:tab w:pos="261" w:val="left" w:leader="none"/>
              </w:tabs>
              <w:spacing w:before="47"/>
              <w:ind w:right="65"/>
              <w:rPr>
                <w:rFonts w:ascii="Arial"/>
                <w:sz w:val="18"/>
              </w:rPr>
            </w:pPr>
            <w:r>
              <w:rPr>
                <w:rFonts w:ascii="Arial"/>
                <w:sz w:val="18"/>
              </w:rPr>
              <w:t>-</w:t>
              <w:tab/>
            </w:r>
            <w:r>
              <w:rPr>
                <w:rFonts w:ascii="Arial"/>
                <w:spacing w:val="-1"/>
                <w:sz w:val="18"/>
              </w:rPr>
              <w:t>8,71</w:t>
            </w:r>
          </w:p>
        </w:tc>
        <w:tc>
          <w:tcPr>
            <w:tcW w:w="746" w:type="dxa"/>
          </w:tcPr>
          <w:p>
            <w:pPr>
              <w:pStyle w:val="TableParagraph"/>
              <w:spacing w:before="47"/>
              <w:ind w:right="63"/>
              <w:rPr>
                <w:rFonts w:ascii="Arial"/>
                <w:sz w:val="18"/>
              </w:rPr>
            </w:pPr>
            <w:r>
              <w:rPr>
                <w:rFonts w:ascii="Arial"/>
                <w:sz w:val="18"/>
              </w:rPr>
              <w:t>20,14</w:t>
            </w:r>
          </w:p>
        </w:tc>
        <w:tc>
          <w:tcPr>
            <w:tcW w:w="766" w:type="dxa"/>
          </w:tcPr>
          <w:p>
            <w:pPr>
              <w:pStyle w:val="TableParagraph"/>
              <w:spacing w:before="47"/>
              <w:ind w:right="63"/>
              <w:rPr>
                <w:rFonts w:ascii="Arial"/>
                <w:sz w:val="18"/>
              </w:rPr>
            </w:pPr>
            <w:r>
              <w:rPr>
                <w:rFonts w:ascii="Arial"/>
                <w:sz w:val="18"/>
              </w:rPr>
              <w:t>- 13,27</w:t>
            </w:r>
          </w:p>
        </w:tc>
        <w:tc>
          <w:tcPr>
            <w:tcW w:w="761" w:type="dxa"/>
          </w:tcPr>
          <w:p>
            <w:pPr>
              <w:pStyle w:val="TableParagraph"/>
              <w:spacing w:before="47"/>
              <w:ind w:right="63"/>
              <w:rPr>
                <w:rFonts w:ascii="Arial"/>
                <w:sz w:val="18"/>
              </w:rPr>
            </w:pPr>
            <w:r>
              <w:rPr>
                <w:rFonts w:ascii="Arial"/>
                <w:sz w:val="18"/>
              </w:rPr>
              <w:t>8,87</w:t>
            </w:r>
          </w:p>
        </w:tc>
      </w:tr>
      <w:tr>
        <w:trPr>
          <w:trHeight w:val="312" w:hRule="exact"/>
        </w:trPr>
        <w:tc>
          <w:tcPr>
            <w:tcW w:w="3878" w:type="dxa"/>
            <w:gridSpan w:val="4"/>
            <w:vMerge/>
          </w:tcPr>
          <w:p>
            <w:pPr/>
          </w:p>
        </w:tc>
        <w:tc>
          <w:tcPr>
            <w:tcW w:w="1147" w:type="dxa"/>
            <w:gridSpan w:val="2"/>
            <w:vMerge/>
          </w:tcPr>
          <w:p>
            <w:pPr/>
          </w:p>
        </w:tc>
        <w:tc>
          <w:tcPr>
            <w:tcW w:w="1133" w:type="dxa"/>
            <w:gridSpan w:val="2"/>
          </w:tcPr>
          <w:p>
            <w:pPr>
              <w:pStyle w:val="TableParagraph"/>
              <w:spacing w:before="47"/>
              <w:ind w:left="64" w:right="112"/>
              <w:jc w:val="left"/>
              <w:rPr>
                <w:rFonts w:ascii="Arial"/>
                <w:sz w:val="18"/>
              </w:rPr>
            </w:pPr>
            <w:r>
              <w:rPr>
                <w:rFonts w:ascii="Arial"/>
                <w:sz w:val="18"/>
              </w:rPr>
              <w:t>g/kg pez d</w:t>
            </w:r>
          </w:p>
        </w:tc>
        <w:tc>
          <w:tcPr>
            <w:tcW w:w="768" w:type="dxa"/>
          </w:tcPr>
          <w:p>
            <w:pPr>
              <w:pStyle w:val="TableParagraph"/>
              <w:spacing w:before="47"/>
              <w:ind w:right="65"/>
              <w:rPr>
                <w:rFonts w:ascii="Arial"/>
                <w:sz w:val="18"/>
              </w:rPr>
            </w:pPr>
            <w:r>
              <w:rPr>
                <w:rFonts w:ascii="Arial"/>
                <w:sz w:val="18"/>
              </w:rPr>
              <w:t>-  0,10</w:t>
            </w:r>
          </w:p>
        </w:tc>
        <w:tc>
          <w:tcPr>
            <w:tcW w:w="746" w:type="dxa"/>
          </w:tcPr>
          <w:p>
            <w:pPr>
              <w:pStyle w:val="TableParagraph"/>
              <w:spacing w:before="47"/>
              <w:ind w:right="60"/>
              <w:rPr>
                <w:rFonts w:ascii="Arial"/>
                <w:sz w:val="18"/>
              </w:rPr>
            </w:pPr>
            <w:r>
              <w:rPr>
                <w:rFonts w:ascii="Arial"/>
                <w:w w:val="95"/>
                <w:sz w:val="18"/>
              </w:rPr>
              <w:t>0,22</w:t>
            </w:r>
          </w:p>
        </w:tc>
        <w:tc>
          <w:tcPr>
            <w:tcW w:w="766" w:type="dxa"/>
          </w:tcPr>
          <w:p>
            <w:pPr>
              <w:pStyle w:val="TableParagraph"/>
              <w:spacing w:before="47"/>
              <w:ind w:right="63"/>
              <w:rPr>
                <w:rFonts w:ascii="Arial"/>
                <w:sz w:val="18"/>
              </w:rPr>
            </w:pPr>
            <w:r>
              <w:rPr>
                <w:rFonts w:ascii="Arial"/>
                <w:sz w:val="18"/>
              </w:rPr>
              <w:t>-  0,15</w:t>
            </w:r>
          </w:p>
        </w:tc>
        <w:tc>
          <w:tcPr>
            <w:tcW w:w="761" w:type="dxa"/>
          </w:tcPr>
          <w:p>
            <w:pPr>
              <w:pStyle w:val="TableParagraph"/>
              <w:spacing w:before="47"/>
              <w:ind w:right="63"/>
              <w:rPr>
                <w:rFonts w:ascii="Arial"/>
                <w:sz w:val="18"/>
              </w:rPr>
            </w:pPr>
            <w:r>
              <w:rPr>
                <w:rFonts w:ascii="Arial"/>
                <w:sz w:val="18"/>
              </w:rPr>
              <w:t>0,10</w:t>
            </w:r>
          </w:p>
        </w:tc>
      </w:tr>
      <w:tr>
        <w:trPr>
          <w:trHeight w:val="310" w:hRule="exact"/>
        </w:trPr>
        <w:tc>
          <w:tcPr>
            <w:tcW w:w="3878" w:type="dxa"/>
            <w:gridSpan w:val="4"/>
            <w:vMerge/>
          </w:tcPr>
          <w:p>
            <w:pPr/>
          </w:p>
        </w:tc>
        <w:tc>
          <w:tcPr>
            <w:tcW w:w="1147" w:type="dxa"/>
            <w:gridSpan w:val="2"/>
            <w:vMerge/>
          </w:tcPr>
          <w:p>
            <w:pPr/>
          </w:p>
        </w:tc>
        <w:tc>
          <w:tcPr>
            <w:tcW w:w="1133" w:type="dxa"/>
            <w:gridSpan w:val="2"/>
          </w:tcPr>
          <w:p>
            <w:pPr>
              <w:pStyle w:val="TableParagraph"/>
              <w:spacing w:before="92"/>
              <w:ind w:left="64" w:right="0"/>
              <w:jc w:val="left"/>
              <w:rPr>
                <w:rFonts w:ascii="Arial"/>
                <w:sz w:val="18"/>
              </w:rPr>
            </w:pPr>
            <w:r>
              <w:rPr>
                <w:rFonts w:ascii="Arial"/>
                <w:w w:val="99"/>
                <w:sz w:val="18"/>
              </w:rPr>
              <w:t>%</w:t>
            </w:r>
          </w:p>
        </w:tc>
        <w:tc>
          <w:tcPr>
            <w:tcW w:w="768" w:type="dxa"/>
          </w:tcPr>
          <w:p>
            <w:pPr>
              <w:pStyle w:val="TableParagraph"/>
              <w:spacing w:before="44"/>
              <w:ind w:right="65"/>
              <w:rPr>
                <w:rFonts w:ascii="Arial"/>
                <w:sz w:val="18"/>
              </w:rPr>
            </w:pPr>
            <w:r>
              <w:rPr>
                <w:rFonts w:ascii="Arial"/>
                <w:sz w:val="18"/>
              </w:rPr>
              <w:t>- 18,18</w:t>
            </w:r>
          </w:p>
        </w:tc>
        <w:tc>
          <w:tcPr>
            <w:tcW w:w="746" w:type="dxa"/>
          </w:tcPr>
          <w:p>
            <w:pPr>
              <w:pStyle w:val="TableParagraph"/>
              <w:spacing w:before="44"/>
              <w:ind w:right="63"/>
              <w:rPr>
                <w:rFonts w:ascii="Arial"/>
                <w:sz w:val="18"/>
              </w:rPr>
            </w:pPr>
            <w:r>
              <w:rPr>
                <w:rFonts w:ascii="Arial"/>
                <w:sz w:val="18"/>
              </w:rPr>
              <w:t>35,58</w:t>
            </w:r>
          </w:p>
        </w:tc>
        <w:tc>
          <w:tcPr>
            <w:tcW w:w="766" w:type="dxa"/>
          </w:tcPr>
          <w:p>
            <w:pPr>
              <w:pStyle w:val="TableParagraph"/>
              <w:spacing w:before="44"/>
              <w:ind w:right="63"/>
              <w:rPr>
                <w:rFonts w:ascii="Arial"/>
                <w:sz w:val="18"/>
              </w:rPr>
            </w:pPr>
            <w:r>
              <w:rPr>
                <w:rFonts w:ascii="Arial"/>
                <w:sz w:val="18"/>
              </w:rPr>
              <w:t>- 36,38</w:t>
            </w:r>
          </w:p>
        </w:tc>
        <w:tc>
          <w:tcPr>
            <w:tcW w:w="761" w:type="dxa"/>
          </w:tcPr>
          <w:p>
            <w:pPr>
              <w:pStyle w:val="TableParagraph"/>
              <w:spacing w:before="44"/>
              <w:ind w:right="63"/>
              <w:rPr>
                <w:rFonts w:ascii="Arial"/>
                <w:sz w:val="18"/>
              </w:rPr>
            </w:pPr>
            <w:r>
              <w:rPr>
                <w:rFonts w:ascii="Arial"/>
                <w:sz w:val="18"/>
              </w:rPr>
              <w:t>19,56</w:t>
            </w:r>
          </w:p>
        </w:tc>
      </w:tr>
    </w:tbl>
    <w:p>
      <w:pPr>
        <w:pStyle w:val="BodyText"/>
        <w:spacing w:before="6"/>
        <w:rPr>
          <w:b/>
          <w:sz w:val="7"/>
        </w:rPr>
      </w:pPr>
    </w:p>
    <w:p>
      <w:pPr>
        <w:pStyle w:val="Heading5"/>
        <w:numPr>
          <w:ilvl w:val="3"/>
          <w:numId w:val="15"/>
        </w:numPr>
        <w:tabs>
          <w:tab w:pos="1578" w:val="left" w:leader="none"/>
        </w:tabs>
        <w:spacing w:line="240" w:lineRule="auto" w:before="108" w:after="0"/>
        <w:ind w:left="1577" w:right="0" w:hanging="796"/>
        <w:jc w:val="both"/>
        <w:rPr>
          <w:b w:val="0"/>
        </w:rPr>
      </w:pPr>
      <w:r>
        <w:rPr/>
        <w:pict>
          <v:shape style="position:absolute;margin-left:240.000595pt;margin-top:5.038081pt;width:2.35pt;height:7pt;mso-position-horizontal-relative:page;mso-position-vertical-relative:paragraph;z-index:-1523968" type="#_x0000_t202" filled="false" stroked="false">
            <v:textbox inset="0,0,0,0">
              <w:txbxContent>
                <w:p>
                  <w:pPr>
                    <w:spacing w:line="139" w:lineRule="exact" w:before="0"/>
                    <w:ind w:left="0" w:right="0" w:firstLine="0"/>
                    <w:jc w:val="left"/>
                    <w:rPr>
                      <w:b/>
                      <w:sz w:val="14"/>
                    </w:rPr>
                  </w:pPr>
                  <w:r>
                    <w:rPr>
                      <w:b/>
                      <w:w w:val="99"/>
                      <w:sz w:val="14"/>
                    </w:rPr>
                    <w:t>-</w:t>
                  </w:r>
                </w:p>
              </w:txbxContent>
            </v:textbox>
            <w10:wrap type="none"/>
          </v:shape>
        </w:pict>
      </w:r>
      <w:bookmarkStart w:name="_TOC_250028" w:id="136"/>
      <w:r>
        <w:rPr/>
        <w:t>N – NITRATOS (N-NO</w:t>
      </w:r>
      <w:r>
        <w:rPr>
          <w:position w:val="-2"/>
          <w:sz w:val="14"/>
        </w:rPr>
        <w:t>3</w:t>
      </w:r>
      <w:r>
        <w:rPr>
          <w:spacing w:val="1"/>
          <w:position w:val="-2"/>
          <w:sz w:val="14"/>
        </w:rPr>
        <w:t> </w:t>
      </w:r>
      <w:bookmarkEnd w:id="136"/>
      <w:r>
        <w:rPr>
          <w:b w:val="0"/>
        </w:rPr>
        <w:t>)</w:t>
      </w:r>
    </w:p>
    <w:p>
      <w:pPr>
        <w:pStyle w:val="BodyText"/>
        <w:spacing w:before="6"/>
        <w:rPr>
          <w:sz w:val="27"/>
        </w:rPr>
      </w:pPr>
    </w:p>
    <w:p>
      <w:pPr>
        <w:pStyle w:val="BodyText"/>
        <w:spacing w:line="360" w:lineRule="auto"/>
        <w:ind w:left="781" w:right="499"/>
        <w:jc w:val="both"/>
      </w:pPr>
      <w:r>
        <w:rPr/>
        <w:t>En el tren de tratamiento no se consideró una unidad que remueva el resultado final de la nitrificación, los nitratos, para esto se debe de contar con reactores anóxicos y una fuente de energía alterna para poder llevar a cabo el proceso de desnitrificación.</w:t>
      </w:r>
    </w:p>
    <w:p>
      <w:pPr>
        <w:pStyle w:val="BodyText"/>
        <w:spacing w:before="7"/>
        <w:rPr>
          <w:sz w:val="17"/>
        </w:rPr>
      </w:pPr>
    </w:p>
    <w:p>
      <w:pPr>
        <w:pStyle w:val="BodyText"/>
        <w:spacing w:line="360" w:lineRule="auto"/>
        <w:ind w:left="781" w:right="499"/>
        <w:jc w:val="both"/>
      </w:pPr>
      <w:r>
        <w:rPr/>
        <w:t>Los niveles tóxicos de esta especie nitrogenada para el cultivo de la trucha se encuentran por  arriba  de  1  360  mg/L  (Russo  y  Thurston,  1991).  En  el  muestreo  realizado    se</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52" w:lineRule="auto" w:before="73"/>
        <w:ind w:left="961" w:right="1319"/>
        <w:jc w:val="both"/>
      </w:pPr>
      <w:r>
        <w:rPr/>
        <w:t>determinó la concentración más alta en 85,40 mg/L, similar a lo reportado por García (2008) y Gallego (2004). Sin embargo el incremento de N-NO</w:t>
      </w:r>
      <w:r>
        <w:rPr>
          <w:position w:val="-2"/>
          <w:sz w:val="13"/>
        </w:rPr>
        <w:t>3</w:t>
      </w:r>
      <w:r>
        <w:rPr>
          <w:position w:val="10"/>
          <w:sz w:val="13"/>
        </w:rPr>
        <w:t>- </w:t>
      </w:r>
      <w:r>
        <w:rPr/>
        <w:t>con los niveles de alcalinidad que se tienen en el sistema y los valores de pH, permiten considerar que se tiene una acidez alta de nitratos por lo que se debe de considerar en su momento la remoción de éstos en el proceso biológico.</w:t>
      </w:r>
    </w:p>
    <w:p>
      <w:pPr>
        <w:pStyle w:val="BodyText"/>
        <w:spacing w:before="5"/>
        <w:rPr>
          <w:sz w:val="18"/>
        </w:rPr>
      </w:pPr>
    </w:p>
    <w:p>
      <w:pPr>
        <w:pStyle w:val="BodyText"/>
        <w:spacing w:line="355" w:lineRule="auto"/>
        <w:ind w:left="961" w:right="1317"/>
        <w:jc w:val="both"/>
      </w:pPr>
      <w:r>
        <w:rPr/>
        <w:t>De acuerdo con el balance de masas en el percolador y en el estanque existen, zonas donde se remueven nitratos con una tasa de 163,99 y 362,39 g de N-NO</w:t>
      </w:r>
      <w:r>
        <w:rPr>
          <w:position w:val="-2"/>
          <w:sz w:val="13"/>
        </w:rPr>
        <w:t>3</w:t>
      </w:r>
      <w:r>
        <w:rPr>
          <w:position w:val="10"/>
          <w:sz w:val="13"/>
        </w:rPr>
        <w:t>-</w:t>
      </w:r>
      <w:r>
        <w:rPr/>
        <w:t>/d respectivamente (tabla 23). Van Rijn </w:t>
      </w:r>
      <w:r>
        <w:rPr>
          <w:i/>
        </w:rPr>
        <w:t>et al</w:t>
      </w:r>
      <w:r>
        <w:rPr/>
        <w:t>. (2006) describen la teoría y aplicaciones de la desnitrificación en SRA, estos autores señalan que existe en cualquier sistema una desnitrificación pasiva cuando se tienen condiciones anóxicas en presencia de oxidación del carbono y compuestos inorgánicos nitrogenados.</w:t>
      </w:r>
    </w:p>
    <w:p>
      <w:pPr>
        <w:pStyle w:val="BodyText"/>
        <w:spacing w:before="2"/>
        <w:rPr>
          <w:sz w:val="18"/>
        </w:rPr>
      </w:pPr>
    </w:p>
    <w:p>
      <w:pPr>
        <w:pStyle w:val="BodyText"/>
        <w:spacing w:line="360" w:lineRule="auto" w:before="1"/>
        <w:ind w:left="961" w:right="1316"/>
        <w:jc w:val="both"/>
      </w:pPr>
      <w:r>
        <w:rPr/>
        <w:t>Estas condiciones se dan principalmente, Según Van Rijn </w:t>
      </w:r>
      <w:r>
        <w:rPr>
          <w:i/>
        </w:rPr>
        <w:t>et al. </w:t>
      </w:r>
      <w:r>
        <w:rPr/>
        <w:t>(2006), en zonas de acumulación de sólidos y 0,2 – 0,3 mm por debajo de la superficie de la biopelícula y su remoción puede ser de 9 a 21 %.</w:t>
      </w:r>
    </w:p>
    <w:p>
      <w:pPr>
        <w:spacing w:before="167"/>
        <w:ind w:left="2375" w:right="1421" w:firstLine="0"/>
        <w:jc w:val="left"/>
        <w:rPr>
          <w:b/>
          <w:sz w:val="18"/>
        </w:rPr>
      </w:pPr>
      <w:r>
        <w:rPr>
          <w:b/>
          <w:position w:val="2"/>
          <w:sz w:val="18"/>
        </w:rPr>
        <w:t>Tabla 23.Balance de masa de nitratos (N-NO</w:t>
      </w:r>
      <w:r>
        <w:rPr>
          <w:b/>
          <w:sz w:val="12"/>
        </w:rPr>
        <w:t>3</w:t>
      </w:r>
      <w:r>
        <w:rPr>
          <w:b/>
          <w:position w:val="11"/>
          <w:sz w:val="12"/>
        </w:rPr>
        <w:t>-</w:t>
      </w:r>
      <w:r>
        <w:rPr>
          <w:b/>
          <w:position w:val="2"/>
          <w:sz w:val="18"/>
        </w:rPr>
        <w:t>) en el sistema prototipo.</w:t>
      </w:r>
    </w:p>
    <w:p>
      <w:pPr>
        <w:pStyle w:val="BodyText"/>
        <w:spacing w:before="3"/>
        <w:rPr>
          <w:b/>
          <w:sz w:val="10"/>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3"/>
        <w:gridCol w:w="1094"/>
        <w:gridCol w:w="1303"/>
        <w:gridCol w:w="1018"/>
        <w:gridCol w:w="475"/>
        <w:gridCol w:w="648"/>
        <w:gridCol w:w="473"/>
        <w:gridCol w:w="547"/>
        <w:gridCol w:w="1058"/>
        <w:gridCol w:w="1063"/>
        <w:gridCol w:w="1267"/>
        <w:gridCol w:w="1061"/>
      </w:tblGrid>
      <w:tr>
        <w:trPr>
          <w:trHeight w:val="310" w:hRule="exact"/>
        </w:trPr>
        <w:tc>
          <w:tcPr>
            <w:tcW w:w="893"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6"/>
              <w:ind w:right="0"/>
              <w:jc w:val="left"/>
              <w:rPr>
                <w:rFonts w:ascii="Arial"/>
                <w:b/>
                <w:sz w:val="26"/>
              </w:rPr>
            </w:pPr>
          </w:p>
          <w:p>
            <w:pPr>
              <w:pStyle w:val="TableParagraph"/>
              <w:spacing w:before="0"/>
              <w:ind w:left="64" w:right="48" w:firstLine="14"/>
              <w:jc w:val="left"/>
              <w:rPr>
                <w:rFonts w:ascii="Arial"/>
                <w:sz w:val="18"/>
              </w:rPr>
            </w:pPr>
            <w:r>
              <w:rPr>
                <w:rFonts w:ascii="Arial"/>
                <w:sz w:val="18"/>
              </w:rPr>
              <w:t>Punto de muestreo</w:t>
            </w:r>
          </w:p>
        </w:tc>
        <w:tc>
          <w:tcPr>
            <w:tcW w:w="1094"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6"/>
              <w:ind w:right="0"/>
              <w:jc w:val="left"/>
              <w:rPr>
                <w:rFonts w:ascii="Arial"/>
                <w:b/>
                <w:sz w:val="26"/>
              </w:rPr>
            </w:pPr>
          </w:p>
          <w:p>
            <w:pPr>
              <w:pStyle w:val="TableParagraph"/>
              <w:spacing w:before="0"/>
              <w:ind w:left="355" w:right="240" w:hanging="101"/>
              <w:jc w:val="left"/>
              <w:rPr>
                <w:rFonts w:ascii="Arial"/>
                <w:sz w:val="18"/>
              </w:rPr>
            </w:pPr>
            <w:r>
              <w:rPr>
                <w:rFonts w:ascii="Arial"/>
                <w:sz w:val="18"/>
              </w:rPr>
              <w:t>Caudal (L/d)</w:t>
            </w:r>
          </w:p>
        </w:tc>
        <w:tc>
          <w:tcPr>
            <w:tcW w:w="1303"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6"/>
              <w:ind w:right="0"/>
              <w:jc w:val="left"/>
              <w:rPr>
                <w:rFonts w:ascii="Arial"/>
                <w:b/>
                <w:sz w:val="26"/>
              </w:rPr>
            </w:pPr>
          </w:p>
          <w:p>
            <w:pPr>
              <w:pStyle w:val="TableParagraph"/>
              <w:spacing w:before="0"/>
              <w:ind w:left="384" w:right="50" w:hanging="322"/>
              <w:jc w:val="left"/>
              <w:rPr>
                <w:rFonts w:ascii="Arial" w:hAnsi="Arial"/>
                <w:sz w:val="18"/>
              </w:rPr>
            </w:pPr>
            <w:r>
              <w:rPr>
                <w:rFonts w:ascii="Arial" w:hAnsi="Arial"/>
                <w:sz w:val="18"/>
              </w:rPr>
              <w:t>Concentración (mg/L)</w:t>
            </w:r>
          </w:p>
        </w:tc>
        <w:tc>
          <w:tcPr>
            <w:tcW w:w="1018"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6"/>
              <w:ind w:right="0"/>
              <w:jc w:val="left"/>
              <w:rPr>
                <w:rFonts w:ascii="Arial"/>
                <w:b/>
                <w:sz w:val="17"/>
              </w:rPr>
            </w:pPr>
          </w:p>
          <w:p>
            <w:pPr>
              <w:pStyle w:val="TableParagraph"/>
              <w:spacing w:before="0"/>
              <w:ind w:left="216" w:right="217" w:firstLine="2"/>
              <w:jc w:val="center"/>
              <w:rPr>
                <w:rFonts w:ascii="Arial" w:hAnsi="Arial"/>
                <w:sz w:val="18"/>
              </w:rPr>
            </w:pPr>
            <w:r>
              <w:rPr>
                <w:rFonts w:ascii="Arial" w:hAnsi="Arial"/>
                <w:sz w:val="18"/>
              </w:rPr>
              <w:t>Flujo másico</w:t>
            </w:r>
            <w:r>
              <w:rPr>
                <w:rFonts w:ascii="Arial" w:hAnsi="Arial"/>
                <w:w w:val="99"/>
                <w:sz w:val="18"/>
              </w:rPr>
              <w:t> </w:t>
            </w:r>
            <w:r>
              <w:rPr>
                <w:rFonts w:ascii="Arial" w:hAnsi="Arial"/>
                <w:sz w:val="18"/>
              </w:rPr>
              <w:t>(g/d)</w:t>
            </w:r>
          </w:p>
        </w:tc>
        <w:tc>
          <w:tcPr>
            <w:tcW w:w="2143" w:type="dxa"/>
            <w:gridSpan w:val="4"/>
          </w:tcPr>
          <w:p>
            <w:pPr>
              <w:pStyle w:val="TableParagraph"/>
              <w:spacing w:before="44"/>
              <w:ind w:left="67" w:right="0"/>
              <w:jc w:val="left"/>
              <w:rPr>
                <w:rFonts w:ascii="Arial"/>
                <w:sz w:val="18"/>
              </w:rPr>
            </w:pPr>
            <w:r>
              <w:rPr>
                <w:rFonts w:ascii="Arial"/>
                <w:sz w:val="18"/>
              </w:rPr>
              <w:t>Entrada (+1) y salida (-1)</w:t>
            </w:r>
          </w:p>
        </w:tc>
        <w:tc>
          <w:tcPr>
            <w:tcW w:w="4450" w:type="dxa"/>
            <w:gridSpan w:val="4"/>
          </w:tcPr>
          <w:p>
            <w:pPr>
              <w:pStyle w:val="TableParagraph"/>
              <w:spacing w:before="44"/>
              <w:ind w:left="1619" w:right="1619"/>
              <w:jc w:val="center"/>
              <w:rPr>
                <w:rFonts w:ascii="Arial"/>
                <w:sz w:val="18"/>
              </w:rPr>
            </w:pPr>
            <w:r>
              <w:rPr>
                <w:rFonts w:ascii="Arial"/>
                <w:sz w:val="18"/>
              </w:rPr>
              <w:t>Balances (g/d)</w:t>
            </w:r>
          </w:p>
        </w:tc>
      </w:tr>
      <w:tr>
        <w:trPr>
          <w:trHeight w:val="1555" w:hRule="exact"/>
        </w:trPr>
        <w:tc>
          <w:tcPr>
            <w:tcW w:w="893" w:type="dxa"/>
            <w:vMerge/>
          </w:tcPr>
          <w:p>
            <w:pPr/>
          </w:p>
        </w:tc>
        <w:tc>
          <w:tcPr>
            <w:tcW w:w="1094" w:type="dxa"/>
            <w:vMerge/>
          </w:tcPr>
          <w:p>
            <w:pPr/>
          </w:p>
        </w:tc>
        <w:tc>
          <w:tcPr>
            <w:tcW w:w="1303" w:type="dxa"/>
            <w:vMerge/>
          </w:tcPr>
          <w:p>
            <w:pPr/>
          </w:p>
        </w:tc>
        <w:tc>
          <w:tcPr>
            <w:tcW w:w="1018" w:type="dxa"/>
            <w:vMerge/>
          </w:tcPr>
          <w:p>
            <w:pPr/>
          </w:p>
        </w:tc>
        <w:tc>
          <w:tcPr>
            <w:tcW w:w="475" w:type="dxa"/>
            <w:textDirection w:val="btLr"/>
          </w:tcPr>
          <w:p>
            <w:pPr>
              <w:pStyle w:val="TableParagraph"/>
              <w:spacing w:before="121"/>
              <w:ind w:left="335"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648" w:type="dxa"/>
            <w:textDirection w:val="btLr"/>
          </w:tcPr>
          <w:p>
            <w:pPr>
              <w:pStyle w:val="TableParagraph"/>
              <w:spacing w:before="0"/>
              <w:ind w:right="0"/>
              <w:jc w:val="left"/>
              <w:rPr>
                <w:rFonts w:ascii="Arial"/>
                <w:b/>
                <w:sz w:val="18"/>
              </w:rPr>
            </w:pPr>
          </w:p>
          <w:p>
            <w:pPr>
              <w:pStyle w:val="TableParagraph"/>
              <w:spacing w:before="1"/>
              <w:ind w:left="191"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473" w:type="dxa"/>
            <w:textDirection w:val="btLr"/>
          </w:tcPr>
          <w:p>
            <w:pPr>
              <w:pStyle w:val="TableParagraph"/>
              <w:spacing w:before="121"/>
              <w:ind w:left="391"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547" w:type="dxa"/>
            <w:textDirection w:val="btLr"/>
          </w:tcPr>
          <w:p>
            <w:pPr>
              <w:pStyle w:val="TableParagraph"/>
              <w:spacing w:before="160"/>
              <w:ind w:left="451" w:right="0"/>
              <w:jc w:val="left"/>
              <w:rPr>
                <w:rFonts w:ascii="Arial"/>
                <w:sz w:val="18"/>
              </w:rPr>
            </w:pPr>
            <w:r>
              <w:rPr>
                <w:rFonts w:ascii="Arial"/>
                <w:spacing w:val="-1"/>
                <w:w w:val="99"/>
                <w:sz w:val="18"/>
              </w:rPr>
              <w:t>G</w:t>
            </w:r>
            <w:r>
              <w:rPr>
                <w:rFonts w:ascii="Arial"/>
                <w:w w:val="99"/>
                <w:sz w:val="18"/>
              </w:rPr>
              <w:t>eneral</w:t>
            </w:r>
          </w:p>
        </w:tc>
        <w:tc>
          <w:tcPr>
            <w:tcW w:w="1058" w:type="dxa"/>
            <w:textDirection w:val="btLr"/>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left="335"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1063" w:type="dxa"/>
            <w:textDirection w:val="btLr"/>
          </w:tcPr>
          <w:p>
            <w:pPr>
              <w:pStyle w:val="TableParagraph"/>
              <w:spacing w:before="0"/>
              <w:ind w:right="0"/>
              <w:jc w:val="left"/>
              <w:rPr>
                <w:rFonts w:ascii="Arial"/>
                <w:b/>
                <w:sz w:val="18"/>
              </w:rPr>
            </w:pPr>
          </w:p>
          <w:p>
            <w:pPr>
              <w:pStyle w:val="TableParagraph"/>
              <w:spacing w:before="2"/>
              <w:ind w:right="0"/>
              <w:jc w:val="left"/>
              <w:rPr>
                <w:rFonts w:ascii="Arial"/>
                <w:b/>
                <w:sz w:val="18"/>
              </w:rPr>
            </w:pPr>
          </w:p>
          <w:p>
            <w:pPr>
              <w:pStyle w:val="TableParagraph"/>
              <w:spacing w:before="0"/>
              <w:ind w:left="191"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1267" w:type="dxa"/>
            <w:textDirection w:val="btLr"/>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03"/>
              <w:ind w:left="391"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1061" w:type="dxa"/>
            <w:textDirection w:val="btLr"/>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left="451" w:right="0"/>
              <w:jc w:val="left"/>
              <w:rPr>
                <w:rFonts w:ascii="Arial"/>
                <w:sz w:val="18"/>
              </w:rPr>
            </w:pPr>
            <w:r>
              <w:rPr>
                <w:rFonts w:ascii="Arial"/>
                <w:spacing w:val="-1"/>
                <w:w w:val="99"/>
                <w:sz w:val="18"/>
              </w:rPr>
              <w:t>G</w:t>
            </w:r>
            <w:r>
              <w:rPr>
                <w:rFonts w:ascii="Arial"/>
                <w:w w:val="99"/>
                <w:sz w:val="18"/>
              </w:rPr>
              <w:t>eneral</w:t>
            </w:r>
          </w:p>
        </w:tc>
      </w:tr>
      <w:tr>
        <w:trPr>
          <w:trHeight w:val="310" w:hRule="exact"/>
        </w:trPr>
        <w:tc>
          <w:tcPr>
            <w:tcW w:w="893" w:type="dxa"/>
          </w:tcPr>
          <w:p>
            <w:pPr>
              <w:pStyle w:val="TableParagraph"/>
              <w:spacing w:before="40"/>
              <w:ind w:left="374" w:right="0"/>
              <w:jc w:val="left"/>
              <w:rPr>
                <w:rFonts w:ascii="Arial"/>
                <w:b/>
                <w:sz w:val="18"/>
              </w:rPr>
            </w:pPr>
            <w:r>
              <w:rPr>
                <w:rFonts w:ascii="Arial"/>
                <w:b/>
                <w:w w:val="99"/>
                <w:sz w:val="18"/>
              </w:rPr>
              <w:t>A</w:t>
            </w:r>
          </w:p>
        </w:tc>
        <w:tc>
          <w:tcPr>
            <w:tcW w:w="1094" w:type="dxa"/>
          </w:tcPr>
          <w:p>
            <w:pPr>
              <w:pStyle w:val="TableParagraph"/>
              <w:spacing w:before="44"/>
              <w:ind w:right="140"/>
              <w:rPr>
                <w:rFonts w:ascii="Arial"/>
                <w:sz w:val="18"/>
              </w:rPr>
            </w:pPr>
            <w:r>
              <w:rPr>
                <w:rFonts w:ascii="Arial"/>
                <w:sz w:val="18"/>
              </w:rPr>
              <w:t>181 440</w:t>
            </w:r>
          </w:p>
        </w:tc>
        <w:tc>
          <w:tcPr>
            <w:tcW w:w="1303" w:type="dxa"/>
          </w:tcPr>
          <w:p>
            <w:pPr>
              <w:pStyle w:val="TableParagraph"/>
              <w:spacing w:before="92"/>
              <w:ind w:right="63"/>
              <w:rPr>
                <w:rFonts w:ascii="Arial"/>
                <w:sz w:val="18"/>
              </w:rPr>
            </w:pPr>
            <w:r>
              <w:rPr>
                <w:rFonts w:ascii="Arial"/>
                <w:w w:val="95"/>
                <w:sz w:val="18"/>
              </w:rPr>
              <w:t>59,13</w:t>
            </w:r>
          </w:p>
        </w:tc>
        <w:tc>
          <w:tcPr>
            <w:tcW w:w="1018" w:type="dxa"/>
          </w:tcPr>
          <w:p>
            <w:pPr>
              <w:pStyle w:val="TableParagraph"/>
              <w:spacing w:before="92"/>
              <w:ind w:right="87"/>
              <w:rPr>
                <w:rFonts w:ascii="Arial"/>
                <w:sz w:val="18"/>
              </w:rPr>
            </w:pPr>
            <w:r>
              <w:rPr>
                <w:rFonts w:ascii="Arial"/>
                <w:sz w:val="18"/>
              </w:rPr>
              <w:t>10 728,55</w:t>
            </w:r>
          </w:p>
        </w:tc>
        <w:tc>
          <w:tcPr>
            <w:tcW w:w="475" w:type="dxa"/>
          </w:tcPr>
          <w:p>
            <w:pPr>
              <w:pStyle w:val="TableParagraph"/>
              <w:spacing w:before="92"/>
              <w:ind w:right="0"/>
              <w:jc w:val="center"/>
              <w:rPr>
                <w:rFonts w:ascii="Arial"/>
                <w:sz w:val="18"/>
              </w:rPr>
            </w:pPr>
            <w:r>
              <w:rPr>
                <w:rFonts w:ascii="Arial"/>
                <w:w w:val="99"/>
                <w:sz w:val="18"/>
              </w:rPr>
              <w:t>1</w:t>
            </w:r>
          </w:p>
        </w:tc>
        <w:tc>
          <w:tcPr>
            <w:tcW w:w="648" w:type="dxa"/>
          </w:tcPr>
          <w:p>
            <w:pPr/>
          </w:p>
        </w:tc>
        <w:tc>
          <w:tcPr>
            <w:tcW w:w="473" w:type="dxa"/>
          </w:tcPr>
          <w:p>
            <w:pPr/>
          </w:p>
        </w:tc>
        <w:tc>
          <w:tcPr>
            <w:tcW w:w="547" w:type="dxa"/>
          </w:tcPr>
          <w:p>
            <w:pPr/>
          </w:p>
        </w:tc>
        <w:tc>
          <w:tcPr>
            <w:tcW w:w="1058" w:type="dxa"/>
          </w:tcPr>
          <w:p>
            <w:pPr>
              <w:pStyle w:val="TableParagraph"/>
              <w:spacing w:before="44"/>
              <w:ind w:right="65"/>
              <w:rPr>
                <w:rFonts w:ascii="Arial"/>
                <w:sz w:val="18"/>
              </w:rPr>
            </w:pPr>
            <w:r>
              <w:rPr>
                <w:rFonts w:ascii="Arial"/>
                <w:sz w:val="18"/>
              </w:rPr>
              <w:t>10 728,55</w:t>
            </w:r>
          </w:p>
        </w:tc>
        <w:tc>
          <w:tcPr>
            <w:tcW w:w="1063" w:type="dxa"/>
          </w:tcPr>
          <w:p>
            <w:pPr/>
          </w:p>
        </w:tc>
        <w:tc>
          <w:tcPr>
            <w:tcW w:w="1267" w:type="dxa"/>
          </w:tcPr>
          <w:p>
            <w:pPr/>
          </w:p>
        </w:tc>
        <w:tc>
          <w:tcPr>
            <w:tcW w:w="1061" w:type="dxa"/>
          </w:tcPr>
          <w:p>
            <w:pPr/>
          </w:p>
        </w:tc>
      </w:tr>
      <w:tr>
        <w:trPr>
          <w:trHeight w:val="310" w:hRule="exact"/>
        </w:trPr>
        <w:tc>
          <w:tcPr>
            <w:tcW w:w="893" w:type="dxa"/>
          </w:tcPr>
          <w:p>
            <w:pPr>
              <w:pStyle w:val="TableParagraph"/>
              <w:spacing w:before="42"/>
              <w:ind w:left="374" w:right="0"/>
              <w:jc w:val="left"/>
              <w:rPr>
                <w:rFonts w:ascii="Arial"/>
                <w:b/>
                <w:sz w:val="18"/>
              </w:rPr>
            </w:pPr>
            <w:r>
              <w:rPr>
                <w:rFonts w:ascii="Arial"/>
                <w:b/>
                <w:w w:val="99"/>
                <w:sz w:val="18"/>
              </w:rPr>
              <w:t>B</w:t>
            </w:r>
          </w:p>
        </w:tc>
        <w:tc>
          <w:tcPr>
            <w:tcW w:w="1094" w:type="dxa"/>
          </w:tcPr>
          <w:p>
            <w:pPr>
              <w:pStyle w:val="TableParagraph"/>
              <w:spacing w:before="47"/>
              <w:ind w:right="140"/>
              <w:rPr>
                <w:rFonts w:ascii="Arial"/>
                <w:sz w:val="18"/>
              </w:rPr>
            </w:pPr>
            <w:r>
              <w:rPr>
                <w:rFonts w:ascii="Arial"/>
                <w:sz w:val="18"/>
              </w:rPr>
              <w:t>181 440</w:t>
            </w:r>
          </w:p>
        </w:tc>
        <w:tc>
          <w:tcPr>
            <w:tcW w:w="1303" w:type="dxa"/>
          </w:tcPr>
          <w:p>
            <w:pPr>
              <w:pStyle w:val="TableParagraph"/>
              <w:spacing w:before="92"/>
              <w:ind w:right="63"/>
              <w:rPr>
                <w:rFonts w:ascii="Arial"/>
                <w:sz w:val="18"/>
              </w:rPr>
            </w:pPr>
            <w:r>
              <w:rPr>
                <w:rFonts w:ascii="Arial"/>
                <w:w w:val="95"/>
                <w:sz w:val="18"/>
              </w:rPr>
              <w:t>58,13</w:t>
            </w:r>
          </w:p>
        </w:tc>
        <w:tc>
          <w:tcPr>
            <w:tcW w:w="1018" w:type="dxa"/>
          </w:tcPr>
          <w:p>
            <w:pPr>
              <w:pStyle w:val="TableParagraph"/>
              <w:spacing w:before="92"/>
              <w:ind w:right="87"/>
              <w:rPr>
                <w:rFonts w:ascii="Arial"/>
                <w:sz w:val="18"/>
              </w:rPr>
            </w:pPr>
            <w:r>
              <w:rPr>
                <w:rFonts w:ascii="Arial"/>
                <w:sz w:val="18"/>
              </w:rPr>
              <w:t>10 547,11</w:t>
            </w:r>
          </w:p>
        </w:tc>
        <w:tc>
          <w:tcPr>
            <w:tcW w:w="475" w:type="dxa"/>
          </w:tcPr>
          <w:p>
            <w:pPr>
              <w:pStyle w:val="TableParagraph"/>
              <w:spacing w:before="92"/>
              <w:ind w:left="43" w:right="44"/>
              <w:jc w:val="center"/>
              <w:rPr>
                <w:rFonts w:ascii="Arial"/>
                <w:sz w:val="18"/>
              </w:rPr>
            </w:pPr>
            <w:r>
              <w:rPr>
                <w:rFonts w:ascii="Arial"/>
                <w:sz w:val="18"/>
              </w:rPr>
              <w:t>-1</w:t>
            </w:r>
          </w:p>
        </w:tc>
        <w:tc>
          <w:tcPr>
            <w:tcW w:w="648" w:type="dxa"/>
          </w:tcPr>
          <w:p>
            <w:pPr>
              <w:pStyle w:val="TableParagraph"/>
              <w:spacing w:before="92"/>
              <w:ind w:left="266" w:right="0"/>
              <w:jc w:val="left"/>
              <w:rPr>
                <w:rFonts w:ascii="Arial"/>
                <w:sz w:val="18"/>
              </w:rPr>
            </w:pPr>
            <w:r>
              <w:rPr>
                <w:rFonts w:ascii="Arial"/>
                <w:w w:val="99"/>
                <w:sz w:val="18"/>
              </w:rPr>
              <w:t>1</w:t>
            </w:r>
          </w:p>
        </w:tc>
        <w:tc>
          <w:tcPr>
            <w:tcW w:w="473" w:type="dxa"/>
          </w:tcPr>
          <w:p>
            <w:pPr/>
          </w:p>
        </w:tc>
        <w:tc>
          <w:tcPr>
            <w:tcW w:w="547" w:type="dxa"/>
          </w:tcPr>
          <w:p>
            <w:pPr/>
          </w:p>
        </w:tc>
        <w:tc>
          <w:tcPr>
            <w:tcW w:w="1058" w:type="dxa"/>
          </w:tcPr>
          <w:p>
            <w:pPr>
              <w:pStyle w:val="TableParagraph"/>
              <w:spacing w:before="47"/>
              <w:ind w:right="65"/>
              <w:rPr>
                <w:rFonts w:ascii="Arial"/>
                <w:sz w:val="18"/>
              </w:rPr>
            </w:pPr>
            <w:r>
              <w:rPr>
                <w:rFonts w:ascii="Arial"/>
                <w:sz w:val="18"/>
              </w:rPr>
              <w:t>- 10 547,11</w:t>
            </w:r>
          </w:p>
        </w:tc>
        <w:tc>
          <w:tcPr>
            <w:tcW w:w="1063" w:type="dxa"/>
          </w:tcPr>
          <w:p>
            <w:pPr>
              <w:pStyle w:val="TableParagraph"/>
              <w:spacing w:before="47"/>
              <w:ind w:right="65"/>
              <w:rPr>
                <w:rFonts w:ascii="Arial"/>
                <w:sz w:val="18"/>
              </w:rPr>
            </w:pPr>
            <w:r>
              <w:rPr>
                <w:rFonts w:ascii="Arial"/>
                <w:sz w:val="18"/>
              </w:rPr>
              <w:t>10 547,11</w:t>
            </w:r>
          </w:p>
        </w:tc>
        <w:tc>
          <w:tcPr>
            <w:tcW w:w="1267" w:type="dxa"/>
          </w:tcPr>
          <w:p>
            <w:pPr/>
          </w:p>
        </w:tc>
        <w:tc>
          <w:tcPr>
            <w:tcW w:w="1061" w:type="dxa"/>
          </w:tcPr>
          <w:p>
            <w:pPr/>
          </w:p>
        </w:tc>
      </w:tr>
      <w:tr>
        <w:trPr>
          <w:trHeight w:val="310" w:hRule="exact"/>
        </w:trPr>
        <w:tc>
          <w:tcPr>
            <w:tcW w:w="893" w:type="dxa"/>
          </w:tcPr>
          <w:p>
            <w:pPr>
              <w:pStyle w:val="TableParagraph"/>
              <w:spacing w:before="88"/>
              <w:ind w:left="374" w:right="0"/>
              <w:jc w:val="left"/>
              <w:rPr>
                <w:rFonts w:ascii="Arial"/>
                <w:b/>
                <w:sz w:val="18"/>
              </w:rPr>
            </w:pPr>
            <w:r>
              <w:rPr>
                <w:rFonts w:ascii="Arial"/>
                <w:b/>
                <w:w w:val="99"/>
                <w:sz w:val="18"/>
              </w:rPr>
              <w:t>C</w:t>
            </w:r>
          </w:p>
        </w:tc>
        <w:tc>
          <w:tcPr>
            <w:tcW w:w="1094" w:type="dxa"/>
          </w:tcPr>
          <w:p>
            <w:pPr>
              <w:pStyle w:val="TableParagraph"/>
              <w:spacing w:before="47"/>
              <w:ind w:right="140"/>
              <w:rPr>
                <w:rFonts w:ascii="Arial"/>
                <w:sz w:val="18"/>
              </w:rPr>
            </w:pPr>
            <w:r>
              <w:rPr>
                <w:rFonts w:ascii="Arial"/>
                <w:sz w:val="18"/>
              </w:rPr>
              <w:t>181 440</w:t>
            </w:r>
          </w:p>
        </w:tc>
        <w:tc>
          <w:tcPr>
            <w:tcW w:w="1303" w:type="dxa"/>
          </w:tcPr>
          <w:p>
            <w:pPr>
              <w:pStyle w:val="TableParagraph"/>
              <w:spacing w:before="92"/>
              <w:ind w:right="63"/>
              <w:rPr>
                <w:rFonts w:ascii="Arial"/>
                <w:sz w:val="18"/>
              </w:rPr>
            </w:pPr>
            <w:r>
              <w:rPr>
                <w:rFonts w:ascii="Arial"/>
                <w:w w:val="95"/>
                <w:sz w:val="18"/>
              </w:rPr>
              <w:t>59,14</w:t>
            </w:r>
          </w:p>
        </w:tc>
        <w:tc>
          <w:tcPr>
            <w:tcW w:w="1018" w:type="dxa"/>
          </w:tcPr>
          <w:p>
            <w:pPr>
              <w:pStyle w:val="TableParagraph"/>
              <w:spacing w:before="92"/>
              <w:ind w:right="87"/>
              <w:rPr>
                <w:rFonts w:ascii="Arial"/>
                <w:sz w:val="18"/>
              </w:rPr>
            </w:pPr>
            <w:r>
              <w:rPr>
                <w:rFonts w:ascii="Arial"/>
                <w:sz w:val="18"/>
              </w:rPr>
              <w:t>10 730,36</w:t>
            </w:r>
          </w:p>
        </w:tc>
        <w:tc>
          <w:tcPr>
            <w:tcW w:w="475" w:type="dxa"/>
          </w:tcPr>
          <w:p>
            <w:pPr/>
          </w:p>
        </w:tc>
        <w:tc>
          <w:tcPr>
            <w:tcW w:w="648" w:type="dxa"/>
          </w:tcPr>
          <w:p>
            <w:pPr>
              <w:pStyle w:val="TableParagraph"/>
              <w:spacing w:before="92"/>
              <w:ind w:left="237" w:right="0"/>
              <w:jc w:val="left"/>
              <w:rPr>
                <w:rFonts w:ascii="Arial"/>
                <w:sz w:val="18"/>
              </w:rPr>
            </w:pPr>
            <w:r>
              <w:rPr>
                <w:rFonts w:ascii="Arial"/>
                <w:sz w:val="18"/>
              </w:rPr>
              <w:t>-1</w:t>
            </w:r>
          </w:p>
        </w:tc>
        <w:tc>
          <w:tcPr>
            <w:tcW w:w="473" w:type="dxa"/>
          </w:tcPr>
          <w:p>
            <w:pPr>
              <w:pStyle w:val="TableParagraph"/>
              <w:spacing w:before="92"/>
              <w:ind w:left="180" w:right="0"/>
              <w:jc w:val="left"/>
              <w:rPr>
                <w:rFonts w:ascii="Arial"/>
                <w:sz w:val="18"/>
              </w:rPr>
            </w:pPr>
            <w:r>
              <w:rPr>
                <w:rFonts w:ascii="Arial"/>
                <w:w w:val="99"/>
                <w:sz w:val="18"/>
              </w:rPr>
              <w:t>1</w:t>
            </w:r>
          </w:p>
        </w:tc>
        <w:tc>
          <w:tcPr>
            <w:tcW w:w="547" w:type="dxa"/>
          </w:tcPr>
          <w:p>
            <w:pPr>
              <w:pStyle w:val="TableParagraph"/>
              <w:spacing w:before="92"/>
              <w:ind w:left="168" w:right="169"/>
              <w:jc w:val="center"/>
              <w:rPr>
                <w:rFonts w:ascii="Arial"/>
                <w:sz w:val="18"/>
              </w:rPr>
            </w:pPr>
            <w:r>
              <w:rPr>
                <w:rFonts w:ascii="Arial"/>
                <w:sz w:val="18"/>
              </w:rPr>
              <w:t>-1</w:t>
            </w:r>
          </w:p>
        </w:tc>
        <w:tc>
          <w:tcPr>
            <w:tcW w:w="1058" w:type="dxa"/>
          </w:tcPr>
          <w:p>
            <w:pPr/>
          </w:p>
        </w:tc>
        <w:tc>
          <w:tcPr>
            <w:tcW w:w="1063" w:type="dxa"/>
          </w:tcPr>
          <w:p>
            <w:pPr>
              <w:pStyle w:val="TableParagraph"/>
              <w:spacing w:before="47"/>
              <w:ind w:right="65"/>
              <w:rPr>
                <w:rFonts w:ascii="Arial"/>
                <w:sz w:val="18"/>
              </w:rPr>
            </w:pPr>
            <w:r>
              <w:rPr>
                <w:rFonts w:ascii="Arial"/>
                <w:sz w:val="18"/>
              </w:rPr>
              <w:t>- 10 730,36</w:t>
            </w:r>
          </w:p>
        </w:tc>
        <w:tc>
          <w:tcPr>
            <w:tcW w:w="1267" w:type="dxa"/>
          </w:tcPr>
          <w:p>
            <w:pPr>
              <w:pStyle w:val="TableParagraph"/>
              <w:spacing w:before="47"/>
              <w:ind w:right="63"/>
              <w:rPr>
                <w:rFonts w:ascii="Arial"/>
                <w:sz w:val="18"/>
              </w:rPr>
            </w:pPr>
            <w:r>
              <w:rPr>
                <w:rFonts w:ascii="Arial"/>
                <w:sz w:val="18"/>
              </w:rPr>
              <w:t>10 730,36</w:t>
            </w:r>
          </w:p>
        </w:tc>
        <w:tc>
          <w:tcPr>
            <w:tcW w:w="1061" w:type="dxa"/>
          </w:tcPr>
          <w:p>
            <w:pPr>
              <w:pStyle w:val="TableParagraph"/>
              <w:spacing w:before="47"/>
              <w:ind w:left="74" w:right="0"/>
              <w:jc w:val="left"/>
              <w:rPr>
                <w:rFonts w:ascii="Arial"/>
                <w:sz w:val="18"/>
              </w:rPr>
            </w:pPr>
            <w:r>
              <w:rPr>
                <w:rFonts w:ascii="Arial"/>
                <w:sz w:val="18"/>
              </w:rPr>
              <w:t>- 10 730,36</w:t>
            </w:r>
          </w:p>
        </w:tc>
      </w:tr>
      <w:tr>
        <w:trPr>
          <w:trHeight w:val="312" w:hRule="exact"/>
        </w:trPr>
        <w:tc>
          <w:tcPr>
            <w:tcW w:w="893" w:type="dxa"/>
          </w:tcPr>
          <w:p>
            <w:pPr>
              <w:pStyle w:val="TableParagraph"/>
              <w:spacing w:before="42"/>
              <w:ind w:left="374" w:right="0"/>
              <w:jc w:val="left"/>
              <w:rPr>
                <w:rFonts w:ascii="Arial"/>
                <w:b/>
                <w:sz w:val="18"/>
              </w:rPr>
            </w:pPr>
            <w:r>
              <w:rPr>
                <w:rFonts w:ascii="Arial"/>
                <w:b/>
                <w:w w:val="99"/>
                <w:sz w:val="18"/>
              </w:rPr>
              <w:t>D</w:t>
            </w:r>
          </w:p>
        </w:tc>
        <w:tc>
          <w:tcPr>
            <w:tcW w:w="1094" w:type="dxa"/>
          </w:tcPr>
          <w:p>
            <w:pPr>
              <w:pStyle w:val="TableParagraph"/>
              <w:spacing w:before="47"/>
              <w:ind w:right="140"/>
              <w:rPr>
                <w:rFonts w:ascii="Arial"/>
                <w:sz w:val="18"/>
              </w:rPr>
            </w:pPr>
            <w:r>
              <w:rPr>
                <w:rFonts w:ascii="Arial"/>
                <w:sz w:val="18"/>
              </w:rPr>
              <w:t>181 340</w:t>
            </w:r>
          </w:p>
        </w:tc>
        <w:tc>
          <w:tcPr>
            <w:tcW w:w="1303" w:type="dxa"/>
          </w:tcPr>
          <w:p>
            <w:pPr>
              <w:pStyle w:val="TableParagraph"/>
              <w:spacing w:before="92"/>
              <w:ind w:right="63"/>
              <w:rPr>
                <w:rFonts w:ascii="Arial"/>
                <w:sz w:val="18"/>
              </w:rPr>
            </w:pPr>
            <w:r>
              <w:rPr>
                <w:rFonts w:ascii="Arial"/>
                <w:w w:val="95"/>
                <w:sz w:val="18"/>
              </w:rPr>
              <w:t>58,77</w:t>
            </w:r>
          </w:p>
        </w:tc>
        <w:tc>
          <w:tcPr>
            <w:tcW w:w="1018" w:type="dxa"/>
          </w:tcPr>
          <w:p>
            <w:pPr>
              <w:pStyle w:val="TableParagraph"/>
              <w:spacing w:before="92"/>
              <w:ind w:right="87"/>
              <w:rPr>
                <w:rFonts w:ascii="Arial"/>
                <w:sz w:val="18"/>
              </w:rPr>
            </w:pPr>
            <w:r>
              <w:rPr>
                <w:rFonts w:ascii="Arial"/>
                <w:sz w:val="18"/>
              </w:rPr>
              <w:t>10 657,35</w:t>
            </w:r>
          </w:p>
        </w:tc>
        <w:tc>
          <w:tcPr>
            <w:tcW w:w="475" w:type="dxa"/>
          </w:tcPr>
          <w:p>
            <w:pPr/>
          </w:p>
        </w:tc>
        <w:tc>
          <w:tcPr>
            <w:tcW w:w="648" w:type="dxa"/>
          </w:tcPr>
          <w:p>
            <w:pPr/>
          </w:p>
        </w:tc>
        <w:tc>
          <w:tcPr>
            <w:tcW w:w="473" w:type="dxa"/>
          </w:tcPr>
          <w:p>
            <w:pPr/>
          </w:p>
        </w:tc>
        <w:tc>
          <w:tcPr>
            <w:tcW w:w="547" w:type="dxa"/>
          </w:tcPr>
          <w:p>
            <w:pPr>
              <w:pStyle w:val="TableParagraph"/>
              <w:spacing w:before="92"/>
              <w:ind w:right="0"/>
              <w:jc w:val="center"/>
              <w:rPr>
                <w:rFonts w:ascii="Arial"/>
                <w:sz w:val="18"/>
              </w:rPr>
            </w:pPr>
            <w:r>
              <w:rPr>
                <w:rFonts w:ascii="Arial"/>
                <w:w w:val="99"/>
                <w:sz w:val="18"/>
              </w:rPr>
              <w:t>1</w:t>
            </w:r>
          </w:p>
        </w:tc>
        <w:tc>
          <w:tcPr>
            <w:tcW w:w="1058" w:type="dxa"/>
          </w:tcPr>
          <w:p>
            <w:pPr/>
          </w:p>
        </w:tc>
        <w:tc>
          <w:tcPr>
            <w:tcW w:w="1063" w:type="dxa"/>
          </w:tcPr>
          <w:p>
            <w:pPr/>
          </w:p>
        </w:tc>
        <w:tc>
          <w:tcPr>
            <w:tcW w:w="1267" w:type="dxa"/>
          </w:tcPr>
          <w:p>
            <w:pPr/>
          </w:p>
        </w:tc>
        <w:tc>
          <w:tcPr>
            <w:tcW w:w="1061" w:type="dxa"/>
          </w:tcPr>
          <w:p>
            <w:pPr>
              <w:pStyle w:val="TableParagraph"/>
              <w:spacing w:before="47"/>
              <w:ind w:right="63"/>
              <w:rPr>
                <w:rFonts w:ascii="Arial"/>
                <w:sz w:val="18"/>
              </w:rPr>
            </w:pPr>
            <w:r>
              <w:rPr>
                <w:rFonts w:ascii="Arial"/>
                <w:sz w:val="18"/>
              </w:rPr>
              <w:t>10 657,35</w:t>
            </w:r>
          </w:p>
        </w:tc>
      </w:tr>
      <w:tr>
        <w:trPr>
          <w:trHeight w:val="310" w:hRule="exact"/>
        </w:trPr>
        <w:tc>
          <w:tcPr>
            <w:tcW w:w="893" w:type="dxa"/>
          </w:tcPr>
          <w:p>
            <w:pPr>
              <w:pStyle w:val="TableParagraph"/>
              <w:spacing w:before="40"/>
              <w:ind w:left="379" w:right="0"/>
              <w:jc w:val="left"/>
              <w:rPr>
                <w:rFonts w:ascii="Arial"/>
                <w:b/>
                <w:sz w:val="18"/>
              </w:rPr>
            </w:pPr>
            <w:r>
              <w:rPr>
                <w:rFonts w:ascii="Arial"/>
                <w:b/>
                <w:w w:val="99"/>
                <w:sz w:val="18"/>
              </w:rPr>
              <w:t>E</w:t>
            </w:r>
          </w:p>
        </w:tc>
        <w:tc>
          <w:tcPr>
            <w:tcW w:w="1094" w:type="dxa"/>
          </w:tcPr>
          <w:p>
            <w:pPr>
              <w:pStyle w:val="TableParagraph"/>
              <w:spacing w:before="44"/>
              <w:ind w:right="140"/>
              <w:rPr>
                <w:rFonts w:ascii="Arial"/>
                <w:sz w:val="18"/>
              </w:rPr>
            </w:pPr>
            <w:r>
              <w:rPr>
                <w:rFonts w:ascii="Arial"/>
                <w:sz w:val="18"/>
              </w:rPr>
              <w:t>181 340</w:t>
            </w:r>
          </w:p>
        </w:tc>
        <w:tc>
          <w:tcPr>
            <w:tcW w:w="1303" w:type="dxa"/>
          </w:tcPr>
          <w:p>
            <w:pPr>
              <w:pStyle w:val="TableParagraph"/>
              <w:spacing w:before="90"/>
              <w:ind w:right="63"/>
              <w:rPr>
                <w:rFonts w:ascii="Arial"/>
                <w:sz w:val="18"/>
              </w:rPr>
            </w:pPr>
            <w:r>
              <w:rPr>
                <w:rFonts w:ascii="Arial"/>
                <w:w w:val="95"/>
                <w:sz w:val="18"/>
              </w:rPr>
              <w:t>57,24</w:t>
            </w:r>
          </w:p>
        </w:tc>
        <w:tc>
          <w:tcPr>
            <w:tcW w:w="1018" w:type="dxa"/>
          </w:tcPr>
          <w:p>
            <w:pPr>
              <w:pStyle w:val="TableParagraph"/>
              <w:spacing w:before="90"/>
              <w:ind w:right="87"/>
              <w:rPr>
                <w:rFonts w:ascii="Arial"/>
                <w:sz w:val="18"/>
              </w:rPr>
            </w:pPr>
            <w:r>
              <w:rPr>
                <w:rFonts w:ascii="Arial"/>
                <w:sz w:val="18"/>
              </w:rPr>
              <w:t>10 379,90</w:t>
            </w:r>
          </w:p>
        </w:tc>
        <w:tc>
          <w:tcPr>
            <w:tcW w:w="475" w:type="dxa"/>
          </w:tcPr>
          <w:p>
            <w:pPr/>
          </w:p>
        </w:tc>
        <w:tc>
          <w:tcPr>
            <w:tcW w:w="648" w:type="dxa"/>
          </w:tcPr>
          <w:p>
            <w:pPr/>
          </w:p>
        </w:tc>
        <w:tc>
          <w:tcPr>
            <w:tcW w:w="473" w:type="dxa"/>
          </w:tcPr>
          <w:p>
            <w:pPr>
              <w:pStyle w:val="TableParagraph"/>
              <w:spacing w:before="90"/>
              <w:ind w:left="149" w:right="0"/>
              <w:jc w:val="left"/>
              <w:rPr>
                <w:rFonts w:ascii="Arial"/>
                <w:sz w:val="18"/>
              </w:rPr>
            </w:pPr>
            <w:r>
              <w:rPr>
                <w:rFonts w:ascii="Arial"/>
                <w:sz w:val="18"/>
              </w:rPr>
              <w:t>-1</w:t>
            </w:r>
          </w:p>
        </w:tc>
        <w:tc>
          <w:tcPr>
            <w:tcW w:w="547" w:type="dxa"/>
          </w:tcPr>
          <w:p>
            <w:pPr/>
          </w:p>
        </w:tc>
        <w:tc>
          <w:tcPr>
            <w:tcW w:w="1058" w:type="dxa"/>
          </w:tcPr>
          <w:p>
            <w:pPr/>
          </w:p>
        </w:tc>
        <w:tc>
          <w:tcPr>
            <w:tcW w:w="1063" w:type="dxa"/>
          </w:tcPr>
          <w:p>
            <w:pPr/>
          </w:p>
        </w:tc>
        <w:tc>
          <w:tcPr>
            <w:tcW w:w="1267" w:type="dxa"/>
          </w:tcPr>
          <w:p>
            <w:pPr>
              <w:pStyle w:val="TableParagraph"/>
              <w:spacing w:before="44"/>
              <w:ind w:right="63"/>
              <w:rPr>
                <w:rFonts w:ascii="Arial"/>
                <w:sz w:val="18"/>
              </w:rPr>
            </w:pPr>
            <w:r>
              <w:rPr>
                <w:rFonts w:ascii="Arial"/>
                <w:sz w:val="18"/>
              </w:rPr>
              <w:t>- 10 379,90</w:t>
            </w:r>
          </w:p>
        </w:tc>
        <w:tc>
          <w:tcPr>
            <w:tcW w:w="1061" w:type="dxa"/>
          </w:tcPr>
          <w:p>
            <w:pPr/>
          </w:p>
        </w:tc>
      </w:tr>
      <w:tr>
        <w:trPr>
          <w:trHeight w:val="310" w:hRule="exact"/>
        </w:trPr>
        <w:tc>
          <w:tcPr>
            <w:tcW w:w="893" w:type="dxa"/>
          </w:tcPr>
          <w:p>
            <w:pPr>
              <w:pStyle w:val="TableParagraph"/>
              <w:spacing w:before="40"/>
              <w:ind w:left="369" w:right="0"/>
              <w:jc w:val="left"/>
              <w:rPr>
                <w:rFonts w:ascii="Arial"/>
                <w:b/>
                <w:sz w:val="18"/>
              </w:rPr>
            </w:pPr>
            <w:r>
              <w:rPr>
                <w:rFonts w:ascii="Arial"/>
                <w:b/>
                <w:w w:val="99"/>
                <w:sz w:val="18"/>
              </w:rPr>
              <w:t>G</w:t>
            </w:r>
          </w:p>
        </w:tc>
        <w:tc>
          <w:tcPr>
            <w:tcW w:w="1094" w:type="dxa"/>
          </w:tcPr>
          <w:p>
            <w:pPr>
              <w:pStyle w:val="TableParagraph"/>
              <w:spacing w:before="44"/>
              <w:ind w:right="115"/>
              <w:rPr>
                <w:rFonts w:ascii="Arial"/>
                <w:sz w:val="18"/>
              </w:rPr>
            </w:pPr>
            <w:r>
              <w:rPr>
                <w:rFonts w:ascii="Arial"/>
                <w:sz w:val="18"/>
              </w:rPr>
              <w:t>100</w:t>
            </w:r>
          </w:p>
        </w:tc>
        <w:tc>
          <w:tcPr>
            <w:tcW w:w="1303" w:type="dxa"/>
          </w:tcPr>
          <w:p>
            <w:pPr>
              <w:pStyle w:val="TableParagraph"/>
              <w:spacing w:before="92"/>
              <w:ind w:right="63"/>
              <w:rPr>
                <w:rFonts w:ascii="Arial"/>
                <w:sz w:val="18"/>
              </w:rPr>
            </w:pPr>
            <w:r>
              <w:rPr>
                <w:rFonts w:ascii="Arial"/>
                <w:w w:val="95"/>
                <w:sz w:val="18"/>
              </w:rPr>
              <w:t>40,43</w:t>
            </w:r>
          </w:p>
        </w:tc>
        <w:tc>
          <w:tcPr>
            <w:tcW w:w="1018" w:type="dxa"/>
          </w:tcPr>
          <w:p>
            <w:pPr>
              <w:pStyle w:val="TableParagraph"/>
              <w:spacing w:before="92"/>
              <w:ind w:right="89"/>
              <w:rPr>
                <w:rFonts w:ascii="Arial"/>
                <w:sz w:val="18"/>
              </w:rPr>
            </w:pPr>
            <w:r>
              <w:rPr>
                <w:rFonts w:ascii="Arial"/>
                <w:sz w:val="18"/>
              </w:rPr>
              <w:t>4,04</w:t>
            </w:r>
          </w:p>
        </w:tc>
        <w:tc>
          <w:tcPr>
            <w:tcW w:w="475" w:type="dxa"/>
          </w:tcPr>
          <w:p>
            <w:pPr/>
          </w:p>
        </w:tc>
        <w:tc>
          <w:tcPr>
            <w:tcW w:w="648" w:type="dxa"/>
          </w:tcPr>
          <w:p>
            <w:pPr/>
          </w:p>
        </w:tc>
        <w:tc>
          <w:tcPr>
            <w:tcW w:w="473" w:type="dxa"/>
          </w:tcPr>
          <w:p>
            <w:pPr>
              <w:pStyle w:val="TableParagraph"/>
              <w:spacing w:before="92"/>
              <w:ind w:left="149" w:right="0"/>
              <w:jc w:val="left"/>
              <w:rPr>
                <w:rFonts w:ascii="Arial"/>
                <w:sz w:val="18"/>
              </w:rPr>
            </w:pPr>
            <w:r>
              <w:rPr>
                <w:rFonts w:ascii="Arial"/>
                <w:sz w:val="18"/>
              </w:rPr>
              <w:t>-1</w:t>
            </w:r>
          </w:p>
        </w:tc>
        <w:tc>
          <w:tcPr>
            <w:tcW w:w="547" w:type="dxa"/>
          </w:tcPr>
          <w:p>
            <w:pPr/>
          </w:p>
        </w:tc>
        <w:tc>
          <w:tcPr>
            <w:tcW w:w="1058" w:type="dxa"/>
          </w:tcPr>
          <w:p>
            <w:pPr/>
          </w:p>
        </w:tc>
        <w:tc>
          <w:tcPr>
            <w:tcW w:w="1063" w:type="dxa"/>
          </w:tcPr>
          <w:p>
            <w:pPr/>
          </w:p>
        </w:tc>
        <w:tc>
          <w:tcPr>
            <w:tcW w:w="1267" w:type="dxa"/>
          </w:tcPr>
          <w:p>
            <w:pPr>
              <w:pStyle w:val="TableParagraph"/>
              <w:tabs>
                <w:tab w:pos="612" w:val="left" w:leader="none"/>
              </w:tabs>
              <w:spacing w:before="44"/>
              <w:ind w:right="62"/>
              <w:rPr>
                <w:rFonts w:ascii="Arial"/>
                <w:sz w:val="18"/>
              </w:rPr>
            </w:pPr>
            <w:r>
              <w:rPr>
                <w:rFonts w:ascii="Arial"/>
                <w:sz w:val="18"/>
              </w:rPr>
              <w:t>-</w:t>
              <w:tab/>
            </w:r>
            <w:r>
              <w:rPr>
                <w:rFonts w:ascii="Arial"/>
                <w:spacing w:val="-1"/>
                <w:sz w:val="18"/>
              </w:rPr>
              <w:t>4,04</w:t>
            </w:r>
          </w:p>
        </w:tc>
        <w:tc>
          <w:tcPr>
            <w:tcW w:w="1061" w:type="dxa"/>
          </w:tcPr>
          <w:p>
            <w:pPr/>
          </w:p>
        </w:tc>
      </w:tr>
      <w:tr>
        <w:trPr>
          <w:trHeight w:val="310" w:hRule="exact"/>
        </w:trPr>
        <w:tc>
          <w:tcPr>
            <w:tcW w:w="4308" w:type="dxa"/>
            <w:gridSpan w:val="4"/>
            <w:vMerge w:val="restart"/>
          </w:tcPr>
          <w:p>
            <w:pPr>
              <w:pStyle w:val="TableParagraph"/>
              <w:spacing w:before="9"/>
              <w:ind w:right="0"/>
              <w:jc w:val="left"/>
              <w:rPr>
                <w:rFonts w:ascii="Arial"/>
                <w:b/>
                <w:sz w:val="5"/>
              </w:rPr>
            </w:pPr>
          </w:p>
          <w:p>
            <w:pPr>
              <w:pStyle w:val="TableParagraph"/>
              <w:spacing w:before="0"/>
              <w:ind w:left="1008" w:right="0"/>
              <w:jc w:val="left"/>
              <w:rPr>
                <w:rFonts w:ascii="Arial"/>
                <w:sz w:val="20"/>
              </w:rPr>
            </w:pPr>
            <w:r>
              <w:rPr>
                <w:rFonts w:ascii="Arial"/>
                <w:sz w:val="20"/>
              </w:rPr>
              <w:drawing>
                <wp:inline distT="0" distB="0" distL="0" distR="0">
                  <wp:extent cx="1485666" cy="905256"/>
                  <wp:effectExtent l="0" t="0" r="0" b="0"/>
                  <wp:docPr id="41" name="image70.jpeg" descr=""/>
                  <wp:cNvGraphicFramePr>
                    <a:graphicFrameLocks noChangeAspect="1"/>
                  </wp:cNvGraphicFramePr>
                  <a:graphic>
                    <a:graphicData uri="http://schemas.openxmlformats.org/drawingml/2006/picture">
                      <pic:pic>
                        <pic:nvPicPr>
                          <pic:cNvPr id="42" name="image70.jpeg"/>
                          <pic:cNvPicPr/>
                        </pic:nvPicPr>
                        <pic:blipFill>
                          <a:blip r:embed="rId78" cstate="print"/>
                          <a:stretch>
                            <a:fillRect/>
                          </a:stretch>
                        </pic:blipFill>
                        <pic:spPr>
                          <a:xfrm>
                            <a:off x="0" y="0"/>
                            <a:ext cx="1485666" cy="905256"/>
                          </a:xfrm>
                          <a:prstGeom prst="rect">
                            <a:avLst/>
                          </a:prstGeom>
                        </pic:spPr>
                      </pic:pic>
                    </a:graphicData>
                  </a:graphic>
                </wp:inline>
              </w:drawing>
            </w:r>
            <w:r>
              <w:rPr>
                <w:rFonts w:ascii="Arial"/>
                <w:sz w:val="20"/>
              </w:rPr>
            </w:r>
          </w:p>
        </w:tc>
        <w:tc>
          <w:tcPr>
            <w:tcW w:w="2143" w:type="dxa"/>
            <w:gridSpan w:val="4"/>
          </w:tcPr>
          <w:p>
            <w:pPr>
              <w:pStyle w:val="TableParagraph"/>
              <w:spacing w:before="92"/>
              <w:ind w:left="64" w:right="0"/>
              <w:jc w:val="left"/>
              <w:rPr>
                <w:rFonts w:ascii="Arial"/>
                <w:sz w:val="18"/>
              </w:rPr>
            </w:pPr>
            <w:r>
              <w:rPr>
                <w:rFonts w:ascii="Arial"/>
                <w:sz w:val="18"/>
              </w:rPr>
              <w:t>Entrada (g/d)</w:t>
            </w:r>
          </w:p>
        </w:tc>
        <w:tc>
          <w:tcPr>
            <w:tcW w:w="1058" w:type="dxa"/>
          </w:tcPr>
          <w:p>
            <w:pPr>
              <w:pStyle w:val="TableParagraph"/>
              <w:spacing w:before="92"/>
              <w:ind w:right="80"/>
              <w:rPr>
                <w:rFonts w:ascii="Arial"/>
                <w:sz w:val="18"/>
              </w:rPr>
            </w:pPr>
            <w:r>
              <w:rPr>
                <w:rFonts w:ascii="Arial"/>
                <w:sz w:val="18"/>
              </w:rPr>
              <w:t>10 728,55</w:t>
            </w:r>
          </w:p>
        </w:tc>
        <w:tc>
          <w:tcPr>
            <w:tcW w:w="1063" w:type="dxa"/>
          </w:tcPr>
          <w:p>
            <w:pPr>
              <w:pStyle w:val="TableParagraph"/>
              <w:spacing w:before="92"/>
              <w:ind w:right="84"/>
              <w:rPr>
                <w:rFonts w:ascii="Arial"/>
                <w:sz w:val="18"/>
              </w:rPr>
            </w:pPr>
            <w:r>
              <w:rPr>
                <w:rFonts w:ascii="Arial"/>
                <w:sz w:val="18"/>
              </w:rPr>
              <w:t>10 547,11</w:t>
            </w:r>
          </w:p>
        </w:tc>
        <w:tc>
          <w:tcPr>
            <w:tcW w:w="1267" w:type="dxa"/>
          </w:tcPr>
          <w:p>
            <w:pPr>
              <w:pStyle w:val="TableParagraph"/>
              <w:spacing w:before="92"/>
              <w:ind w:left="165" w:right="62"/>
              <w:jc w:val="left"/>
              <w:rPr>
                <w:rFonts w:ascii="Arial"/>
                <w:sz w:val="18"/>
              </w:rPr>
            </w:pPr>
            <w:r>
              <w:rPr>
                <w:rFonts w:ascii="Arial"/>
                <w:sz w:val="18"/>
              </w:rPr>
              <w:t>10 730,36</w:t>
            </w:r>
          </w:p>
        </w:tc>
        <w:tc>
          <w:tcPr>
            <w:tcW w:w="1061" w:type="dxa"/>
          </w:tcPr>
          <w:p>
            <w:pPr>
              <w:pStyle w:val="TableParagraph"/>
              <w:spacing w:before="92"/>
              <w:ind w:right="82"/>
              <w:rPr>
                <w:rFonts w:ascii="Arial"/>
                <w:sz w:val="18"/>
              </w:rPr>
            </w:pPr>
            <w:r>
              <w:rPr>
                <w:rFonts w:ascii="Arial"/>
                <w:sz w:val="18"/>
              </w:rPr>
              <w:t>10 657,35</w:t>
            </w:r>
          </w:p>
        </w:tc>
      </w:tr>
      <w:tr>
        <w:trPr>
          <w:trHeight w:val="310" w:hRule="exact"/>
        </w:trPr>
        <w:tc>
          <w:tcPr>
            <w:tcW w:w="4308" w:type="dxa"/>
            <w:gridSpan w:val="4"/>
            <w:vMerge/>
          </w:tcPr>
          <w:p>
            <w:pPr/>
          </w:p>
        </w:tc>
        <w:tc>
          <w:tcPr>
            <w:tcW w:w="2143" w:type="dxa"/>
            <w:gridSpan w:val="4"/>
          </w:tcPr>
          <w:p>
            <w:pPr>
              <w:pStyle w:val="TableParagraph"/>
              <w:spacing w:before="92"/>
              <w:ind w:left="64" w:right="0"/>
              <w:jc w:val="left"/>
              <w:rPr>
                <w:rFonts w:ascii="Arial"/>
                <w:sz w:val="18"/>
              </w:rPr>
            </w:pPr>
            <w:r>
              <w:rPr>
                <w:rFonts w:ascii="Arial"/>
                <w:sz w:val="18"/>
              </w:rPr>
              <w:t>Salida (g/d)</w:t>
            </w:r>
          </w:p>
        </w:tc>
        <w:tc>
          <w:tcPr>
            <w:tcW w:w="1058" w:type="dxa"/>
          </w:tcPr>
          <w:p>
            <w:pPr>
              <w:pStyle w:val="TableParagraph"/>
              <w:spacing w:before="92"/>
              <w:ind w:right="70"/>
              <w:rPr>
                <w:rFonts w:ascii="Arial"/>
                <w:sz w:val="18"/>
              </w:rPr>
            </w:pPr>
            <w:r>
              <w:rPr>
                <w:rFonts w:ascii="Arial"/>
                <w:sz w:val="18"/>
              </w:rPr>
              <w:t>- 10 547,11</w:t>
            </w:r>
          </w:p>
        </w:tc>
        <w:tc>
          <w:tcPr>
            <w:tcW w:w="1063" w:type="dxa"/>
          </w:tcPr>
          <w:p>
            <w:pPr>
              <w:pStyle w:val="TableParagraph"/>
              <w:spacing w:before="92"/>
              <w:ind w:right="75"/>
              <w:rPr>
                <w:rFonts w:ascii="Arial"/>
                <w:sz w:val="18"/>
              </w:rPr>
            </w:pPr>
            <w:r>
              <w:rPr>
                <w:rFonts w:ascii="Arial"/>
                <w:sz w:val="18"/>
              </w:rPr>
              <w:t>- 10 730,36</w:t>
            </w:r>
          </w:p>
        </w:tc>
        <w:tc>
          <w:tcPr>
            <w:tcW w:w="1267" w:type="dxa"/>
          </w:tcPr>
          <w:p>
            <w:pPr>
              <w:pStyle w:val="TableParagraph"/>
              <w:spacing w:before="92"/>
              <w:ind w:left="64" w:right="62"/>
              <w:jc w:val="left"/>
              <w:rPr>
                <w:rFonts w:ascii="Arial"/>
                <w:sz w:val="18"/>
              </w:rPr>
            </w:pPr>
            <w:r>
              <w:rPr>
                <w:rFonts w:ascii="Arial"/>
                <w:sz w:val="18"/>
              </w:rPr>
              <w:t>- 10 383,94</w:t>
            </w:r>
          </w:p>
        </w:tc>
        <w:tc>
          <w:tcPr>
            <w:tcW w:w="1061" w:type="dxa"/>
          </w:tcPr>
          <w:p>
            <w:pPr>
              <w:pStyle w:val="TableParagraph"/>
              <w:spacing w:before="92"/>
              <w:ind w:left="65" w:right="0"/>
              <w:jc w:val="left"/>
              <w:rPr>
                <w:rFonts w:ascii="Arial"/>
                <w:sz w:val="18"/>
              </w:rPr>
            </w:pPr>
            <w:r>
              <w:rPr>
                <w:rFonts w:ascii="Arial"/>
                <w:sz w:val="18"/>
              </w:rPr>
              <w:t>- 10 730,36</w:t>
            </w:r>
          </w:p>
        </w:tc>
      </w:tr>
      <w:tr>
        <w:trPr>
          <w:trHeight w:val="310" w:hRule="exact"/>
        </w:trPr>
        <w:tc>
          <w:tcPr>
            <w:tcW w:w="4308" w:type="dxa"/>
            <w:gridSpan w:val="4"/>
            <w:vMerge/>
          </w:tcPr>
          <w:p>
            <w:pPr/>
          </w:p>
        </w:tc>
        <w:tc>
          <w:tcPr>
            <w:tcW w:w="1123" w:type="dxa"/>
            <w:gridSpan w:val="2"/>
            <w:vMerge w:val="restart"/>
          </w:tcPr>
          <w:p>
            <w:pPr>
              <w:pStyle w:val="TableParagraph"/>
              <w:spacing w:before="0"/>
              <w:ind w:right="0"/>
              <w:jc w:val="left"/>
              <w:rPr>
                <w:rFonts w:ascii="Arial"/>
                <w:b/>
                <w:sz w:val="18"/>
              </w:rPr>
            </w:pPr>
          </w:p>
          <w:p>
            <w:pPr>
              <w:pStyle w:val="TableParagraph"/>
              <w:spacing w:before="149"/>
              <w:ind w:left="151" w:right="0"/>
              <w:jc w:val="left"/>
              <w:rPr>
                <w:rFonts w:ascii="Arial"/>
                <w:sz w:val="18"/>
              </w:rPr>
            </w:pPr>
            <w:r>
              <w:rPr>
                <w:rFonts w:ascii="Arial"/>
                <w:sz w:val="18"/>
              </w:rPr>
              <w:t>Diferencia</w:t>
            </w:r>
          </w:p>
        </w:tc>
        <w:tc>
          <w:tcPr>
            <w:tcW w:w="1020" w:type="dxa"/>
            <w:gridSpan w:val="2"/>
          </w:tcPr>
          <w:p>
            <w:pPr>
              <w:pStyle w:val="TableParagraph"/>
              <w:spacing w:before="92"/>
              <w:ind w:left="62" w:right="0"/>
              <w:jc w:val="left"/>
              <w:rPr>
                <w:rFonts w:ascii="Arial"/>
                <w:sz w:val="18"/>
              </w:rPr>
            </w:pPr>
            <w:r>
              <w:rPr>
                <w:rFonts w:ascii="Arial"/>
                <w:sz w:val="18"/>
              </w:rPr>
              <w:t>g/d</w:t>
            </w:r>
          </w:p>
        </w:tc>
        <w:tc>
          <w:tcPr>
            <w:tcW w:w="1058" w:type="dxa"/>
          </w:tcPr>
          <w:p>
            <w:pPr>
              <w:pStyle w:val="TableParagraph"/>
              <w:spacing w:before="92"/>
              <w:ind w:right="79"/>
              <w:rPr>
                <w:rFonts w:ascii="Arial"/>
                <w:sz w:val="18"/>
              </w:rPr>
            </w:pPr>
            <w:r>
              <w:rPr>
                <w:rFonts w:ascii="Arial"/>
                <w:sz w:val="18"/>
              </w:rPr>
              <w:t>181,44</w:t>
            </w:r>
          </w:p>
        </w:tc>
        <w:tc>
          <w:tcPr>
            <w:tcW w:w="1063" w:type="dxa"/>
          </w:tcPr>
          <w:p>
            <w:pPr>
              <w:pStyle w:val="TableParagraph"/>
              <w:tabs>
                <w:tab w:pos="362" w:val="left" w:leader="none"/>
              </w:tabs>
              <w:spacing w:before="92"/>
              <w:ind w:right="75"/>
              <w:rPr>
                <w:rFonts w:ascii="Arial"/>
                <w:sz w:val="18"/>
              </w:rPr>
            </w:pPr>
            <w:r>
              <w:rPr>
                <w:rFonts w:ascii="Arial"/>
                <w:sz w:val="18"/>
              </w:rPr>
              <w:t>-</w:t>
              <w:tab/>
            </w:r>
            <w:r>
              <w:rPr>
                <w:rFonts w:ascii="Arial"/>
                <w:spacing w:val="-1"/>
                <w:sz w:val="18"/>
              </w:rPr>
              <w:t>183,25</w:t>
            </w:r>
          </w:p>
        </w:tc>
        <w:tc>
          <w:tcPr>
            <w:tcW w:w="1267" w:type="dxa"/>
          </w:tcPr>
          <w:p>
            <w:pPr>
              <w:pStyle w:val="TableParagraph"/>
              <w:spacing w:before="92"/>
              <w:ind w:left="466" w:right="62"/>
              <w:jc w:val="left"/>
              <w:rPr>
                <w:rFonts w:ascii="Arial"/>
                <w:sz w:val="18"/>
              </w:rPr>
            </w:pPr>
            <w:r>
              <w:rPr>
                <w:rFonts w:ascii="Arial"/>
                <w:sz w:val="18"/>
              </w:rPr>
              <w:t>346,42</w:t>
            </w:r>
          </w:p>
        </w:tc>
        <w:tc>
          <w:tcPr>
            <w:tcW w:w="1061" w:type="dxa"/>
          </w:tcPr>
          <w:p>
            <w:pPr>
              <w:pStyle w:val="TableParagraph"/>
              <w:tabs>
                <w:tab w:pos="577" w:val="left" w:leader="none"/>
              </w:tabs>
              <w:spacing w:before="92"/>
              <w:ind w:left="65" w:right="0"/>
              <w:jc w:val="left"/>
              <w:rPr>
                <w:rFonts w:ascii="Arial"/>
                <w:sz w:val="18"/>
              </w:rPr>
            </w:pPr>
            <w:r>
              <w:rPr>
                <w:rFonts w:ascii="Arial"/>
                <w:sz w:val="18"/>
              </w:rPr>
              <w:t>-</w:t>
              <w:tab/>
              <w:t>3,01</w:t>
            </w:r>
          </w:p>
        </w:tc>
      </w:tr>
      <w:tr>
        <w:trPr>
          <w:trHeight w:val="312" w:hRule="exact"/>
        </w:trPr>
        <w:tc>
          <w:tcPr>
            <w:tcW w:w="4308" w:type="dxa"/>
            <w:gridSpan w:val="4"/>
            <w:vMerge/>
          </w:tcPr>
          <w:p>
            <w:pPr/>
          </w:p>
        </w:tc>
        <w:tc>
          <w:tcPr>
            <w:tcW w:w="1123" w:type="dxa"/>
            <w:gridSpan w:val="2"/>
            <w:vMerge/>
          </w:tcPr>
          <w:p>
            <w:pPr/>
          </w:p>
        </w:tc>
        <w:tc>
          <w:tcPr>
            <w:tcW w:w="1020" w:type="dxa"/>
            <w:gridSpan w:val="2"/>
          </w:tcPr>
          <w:p>
            <w:pPr>
              <w:pStyle w:val="TableParagraph"/>
              <w:spacing w:before="92"/>
              <w:ind w:left="62" w:right="0"/>
              <w:jc w:val="left"/>
              <w:rPr>
                <w:rFonts w:ascii="Arial"/>
                <w:sz w:val="18"/>
              </w:rPr>
            </w:pPr>
            <w:r>
              <w:rPr>
                <w:rFonts w:ascii="Arial"/>
                <w:sz w:val="18"/>
              </w:rPr>
              <w:t>g/kg pez d</w:t>
            </w:r>
          </w:p>
        </w:tc>
        <w:tc>
          <w:tcPr>
            <w:tcW w:w="1058" w:type="dxa"/>
          </w:tcPr>
          <w:p>
            <w:pPr>
              <w:pStyle w:val="TableParagraph"/>
              <w:spacing w:before="92"/>
              <w:ind w:right="129"/>
              <w:rPr>
                <w:rFonts w:ascii="Arial"/>
                <w:sz w:val="18"/>
              </w:rPr>
            </w:pPr>
            <w:r>
              <w:rPr>
                <w:rFonts w:ascii="Arial"/>
                <w:sz w:val="18"/>
              </w:rPr>
              <w:t>1,99</w:t>
            </w:r>
          </w:p>
        </w:tc>
        <w:tc>
          <w:tcPr>
            <w:tcW w:w="1063" w:type="dxa"/>
          </w:tcPr>
          <w:p>
            <w:pPr>
              <w:pStyle w:val="TableParagraph"/>
              <w:tabs>
                <w:tab w:pos="511" w:val="left" w:leader="none"/>
              </w:tabs>
              <w:spacing w:before="92"/>
              <w:ind w:right="124"/>
              <w:rPr>
                <w:rFonts w:ascii="Arial"/>
                <w:sz w:val="18"/>
              </w:rPr>
            </w:pPr>
            <w:r>
              <w:rPr>
                <w:rFonts w:ascii="Arial"/>
                <w:sz w:val="18"/>
              </w:rPr>
              <w:t>-</w:t>
              <w:tab/>
            </w:r>
            <w:r>
              <w:rPr>
                <w:rFonts w:ascii="Arial"/>
                <w:w w:val="95"/>
                <w:sz w:val="18"/>
              </w:rPr>
              <w:t>2,01</w:t>
            </w:r>
          </w:p>
        </w:tc>
        <w:tc>
          <w:tcPr>
            <w:tcW w:w="1267" w:type="dxa"/>
          </w:tcPr>
          <w:p>
            <w:pPr>
              <w:pStyle w:val="TableParagraph"/>
              <w:spacing w:before="92"/>
              <w:ind w:left="668" w:right="62"/>
              <w:jc w:val="left"/>
              <w:rPr>
                <w:rFonts w:ascii="Arial"/>
                <w:sz w:val="18"/>
              </w:rPr>
            </w:pPr>
            <w:r>
              <w:rPr>
                <w:rFonts w:ascii="Arial"/>
                <w:sz w:val="18"/>
              </w:rPr>
              <w:t>3,80</w:t>
            </w:r>
          </w:p>
        </w:tc>
        <w:tc>
          <w:tcPr>
            <w:tcW w:w="1061" w:type="dxa"/>
          </w:tcPr>
          <w:p>
            <w:pPr>
              <w:pStyle w:val="TableParagraph"/>
              <w:tabs>
                <w:tab w:pos="577" w:val="left" w:leader="none"/>
              </w:tabs>
              <w:spacing w:before="92"/>
              <w:ind w:left="65" w:right="0"/>
              <w:jc w:val="left"/>
              <w:rPr>
                <w:rFonts w:ascii="Arial"/>
                <w:sz w:val="18"/>
              </w:rPr>
            </w:pPr>
            <w:r>
              <w:rPr>
                <w:rFonts w:ascii="Arial"/>
                <w:sz w:val="18"/>
              </w:rPr>
              <w:t>-</w:t>
              <w:tab/>
              <w:t>0,80</w:t>
            </w:r>
          </w:p>
        </w:tc>
      </w:tr>
      <w:tr>
        <w:trPr>
          <w:trHeight w:val="310" w:hRule="exact"/>
        </w:trPr>
        <w:tc>
          <w:tcPr>
            <w:tcW w:w="4308" w:type="dxa"/>
            <w:gridSpan w:val="4"/>
            <w:vMerge/>
          </w:tcPr>
          <w:p>
            <w:pPr/>
          </w:p>
        </w:tc>
        <w:tc>
          <w:tcPr>
            <w:tcW w:w="1123" w:type="dxa"/>
            <w:gridSpan w:val="2"/>
            <w:vMerge/>
          </w:tcPr>
          <w:p>
            <w:pPr/>
          </w:p>
        </w:tc>
        <w:tc>
          <w:tcPr>
            <w:tcW w:w="1020" w:type="dxa"/>
            <w:gridSpan w:val="2"/>
          </w:tcPr>
          <w:p>
            <w:pPr>
              <w:pStyle w:val="TableParagraph"/>
              <w:spacing w:before="90"/>
              <w:ind w:left="62" w:right="0"/>
              <w:jc w:val="left"/>
              <w:rPr>
                <w:rFonts w:ascii="Arial"/>
                <w:sz w:val="18"/>
              </w:rPr>
            </w:pPr>
            <w:r>
              <w:rPr>
                <w:rFonts w:ascii="Arial"/>
                <w:w w:val="99"/>
                <w:sz w:val="18"/>
              </w:rPr>
              <w:t>%</w:t>
            </w:r>
          </w:p>
        </w:tc>
        <w:tc>
          <w:tcPr>
            <w:tcW w:w="1058" w:type="dxa"/>
          </w:tcPr>
          <w:p>
            <w:pPr>
              <w:pStyle w:val="TableParagraph"/>
              <w:spacing w:before="90"/>
              <w:ind w:right="79"/>
              <w:rPr>
                <w:rFonts w:ascii="Arial"/>
                <w:sz w:val="18"/>
              </w:rPr>
            </w:pPr>
            <w:r>
              <w:rPr>
                <w:rFonts w:ascii="Arial"/>
                <w:sz w:val="18"/>
              </w:rPr>
              <w:t>1,69</w:t>
            </w:r>
          </w:p>
        </w:tc>
        <w:tc>
          <w:tcPr>
            <w:tcW w:w="1063" w:type="dxa"/>
          </w:tcPr>
          <w:p>
            <w:pPr>
              <w:pStyle w:val="TableParagraph"/>
              <w:tabs>
                <w:tab w:pos="562" w:val="left" w:leader="none"/>
              </w:tabs>
              <w:spacing w:before="90"/>
              <w:ind w:right="74"/>
              <w:rPr>
                <w:rFonts w:ascii="Arial"/>
                <w:sz w:val="18"/>
              </w:rPr>
            </w:pPr>
            <w:r>
              <w:rPr>
                <w:rFonts w:ascii="Arial"/>
                <w:sz w:val="18"/>
              </w:rPr>
              <w:t>-</w:t>
              <w:tab/>
            </w:r>
            <w:r>
              <w:rPr>
                <w:rFonts w:ascii="Arial"/>
                <w:spacing w:val="-1"/>
                <w:sz w:val="18"/>
              </w:rPr>
              <w:t>1,74</w:t>
            </w:r>
          </w:p>
        </w:tc>
        <w:tc>
          <w:tcPr>
            <w:tcW w:w="1267" w:type="dxa"/>
          </w:tcPr>
          <w:p>
            <w:pPr>
              <w:pStyle w:val="TableParagraph"/>
              <w:spacing w:before="90"/>
              <w:ind w:left="718" w:right="62"/>
              <w:jc w:val="left"/>
              <w:rPr>
                <w:rFonts w:ascii="Arial"/>
                <w:sz w:val="18"/>
              </w:rPr>
            </w:pPr>
            <w:r>
              <w:rPr>
                <w:rFonts w:ascii="Arial"/>
                <w:sz w:val="18"/>
              </w:rPr>
              <w:t>3,23</w:t>
            </w:r>
          </w:p>
        </w:tc>
        <w:tc>
          <w:tcPr>
            <w:tcW w:w="1061" w:type="dxa"/>
          </w:tcPr>
          <w:p>
            <w:pPr>
              <w:pStyle w:val="TableParagraph"/>
              <w:tabs>
                <w:tab w:pos="628" w:val="left" w:leader="none"/>
              </w:tabs>
              <w:spacing w:before="90"/>
              <w:ind w:left="65" w:right="0"/>
              <w:jc w:val="left"/>
              <w:rPr>
                <w:rFonts w:ascii="Arial"/>
                <w:sz w:val="18"/>
              </w:rPr>
            </w:pPr>
            <w:r>
              <w:rPr>
                <w:rFonts w:ascii="Arial"/>
                <w:sz w:val="18"/>
              </w:rPr>
              <w:t>-</w:t>
              <w:tab/>
              <w:t>0,69</w:t>
            </w:r>
          </w:p>
        </w:tc>
      </w:tr>
    </w:tbl>
    <w:p>
      <w:pPr>
        <w:pStyle w:val="BodyText"/>
        <w:rPr>
          <w:b/>
          <w:sz w:val="20"/>
        </w:rPr>
      </w:pPr>
    </w:p>
    <w:p>
      <w:pPr>
        <w:pStyle w:val="BodyText"/>
        <w:spacing w:before="1"/>
        <w:rPr>
          <w:b/>
          <w:sz w:val="21"/>
        </w:rPr>
      </w:pPr>
    </w:p>
    <w:p>
      <w:pPr>
        <w:pStyle w:val="BodyText"/>
        <w:spacing w:line="345" w:lineRule="auto"/>
        <w:ind w:left="961" w:right="1318"/>
      </w:pPr>
      <w:r>
        <w:rPr/>
        <w:t>Por otra parte en el filtro de arena se genera este compuesto a una razón de 196,79 g de N-NO</w:t>
      </w:r>
      <w:r>
        <w:rPr>
          <w:position w:val="-2"/>
          <w:sz w:val="13"/>
        </w:rPr>
        <w:t>3</w:t>
      </w:r>
      <w:r>
        <w:rPr>
          <w:position w:val="10"/>
          <w:sz w:val="13"/>
        </w:rPr>
        <w:t>-</w:t>
      </w:r>
      <w:r>
        <w:rPr/>
        <w:t>/d, lo cual concuerda con el proceso de nitrificación llevado a cabo en esta   unidad</w:t>
      </w:r>
    </w:p>
    <w:p>
      <w:pPr>
        <w:spacing w:after="0" w:line="345" w:lineRule="auto"/>
        <w:sectPr>
          <w:pgSz w:w="12240" w:h="15840"/>
          <w:pgMar w:header="725" w:footer="1084" w:top="1340" w:bottom="1280" w:left="740" w:right="380"/>
        </w:sectPr>
      </w:pPr>
    </w:p>
    <w:p>
      <w:pPr>
        <w:pStyle w:val="BodyText"/>
        <w:spacing w:before="10"/>
        <w:rPr>
          <w:sz w:val="8"/>
        </w:rPr>
      </w:pPr>
    </w:p>
    <w:p>
      <w:pPr>
        <w:pStyle w:val="BodyText"/>
        <w:spacing w:line="360" w:lineRule="auto" w:before="73"/>
        <w:ind w:left="821" w:right="1318"/>
        <w:jc w:val="both"/>
      </w:pPr>
      <w:r>
        <w:rPr/>
        <w:t>del tren de tratamiento, implicando que no se cuenta con zonas anóxicas en este filtro (Eding </w:t>
      </w:r>
      <w:r>
        <w:rPr>
          <w:i/>
        </w:rPr>
        <w:t>et al.</w:t>
      </w:r>
      <w:r>
        <w:rPr/>
        <w:t>, 2006).</w:t>
      </w:r>
    </w:p>
    <w:p>
      <w:pPr>
        <w:pStyle w:val="BodyText"/>
        <w:spacing w:before="7"/>
        <w:rPr>
          <w:sz w:val="17"/>
        </w:rPr>
      </w:pPr>
    </w:p>
    <w:p>
      <w:pPr>
        <w:pStyle w:val="Heading5"/>
        <w:numPr>
          <w:ilvl w:val="3"/>
          <w:numId w:val="15"/>
        </w:numPr>
        <w:tabs>
          <w:tab w:pos="1618" w:val="left" w:leader="none"/>
        </w:tabs>
        <w:spacing w:line="240" w:lineRule="auto" w:before="0" w:after="0"/>
        <w:ind w:left="1617" w:right="0" w:hanging="796"/>
        <w:jc w:val="both"/>
        <w:rPr>
          <w:b w:val="0"/>
        </w:rPr>
      </w:pPr>
      <w:bookmarkStart w:name="_TOC_250027" w:id="137"/>
      <w:bookmarkStart w:name="5.6.1.4. Demanda química de oxígeno (DQO" w:id="138"/>
      <w:r>
        <w:rPr>
          <w:b w:val="0"/>
        </w:rPr>
      </w:r>
      <w:bookmarkEnd w:id="138"/>
      <w:bookmarkStart w:name="5.6.1.4. Demanda química de oxígeno (DQO" w:id="139"/>
      <w:r>
        <w:rPr/>
        <w:t>D</w:t>
      </w:r>
      <w:r>
        <w:rPr/>
        <w:t>EMANDA QUÍMICA DE OXÍGENO</w:t>
      </w:r>
      <w:r>
        <w:rPr>
          <w:spacing w:val="-9"/>
        </w:rPr>
        <w:t> </w:t>
      </w:r>
      <w:r>
        <w:rPr/>
        <w:t>(DQO</w:t>
      </w:r>
      <w:bookmarkEnd w:id="137"/>
      <w:r>
        <w:rPr>
          <w:b w:val="0"/>
        </w:rPr>
        <w:t>)</w:t>
      </w:r>
    </w:p>
    <w:p>
      <w:pPr>
        <w:pStyle w:val="BodyText"/>
        <w:spacing w:before="5"/>
        <w:rPr>
          <w:sz w:val="28"/>
        </w:rPr>
      </w:pPr>
    </w:p>
    <w:p>
      <w:pPr>
        <w:pStyle w:val="BodyText"/>
        <w:spacing w:line="360" w:lineRule="auto" w:before="1"/>
        <w:ind w:left="821" w:right="1317"/>
        <w:jc w:val="both"/>
      </w:pPr>
      <w:r>
        <w:rPr/>
        <w:t>Otra de las funciones importantes de los procesos biológicos en un tren de tratamiento es la remoción de la materia orgánica disuelta en el agua. En los sistemas de recirculación acuícola generalmente se proponen tres unidades donde se remueve la DQO, el biofiltro (percolador), el filtro de arena y los reservorios, todos ellos caracterizados por contener una biomasa bacteriana capaz de nutrirse de la materia orgánica. Las tasas de remoción fueron de 488, 502 y 1 363 g de DQO/d para el percolador, el filtro de arena y de manera general respectivamente. El proceso de crecimiento de los peces genera materia orgánica (desechos y residuos de alimento no consumido), en el estanque equivalente a 3 103,40 g de DQO/d (tabla 24).</w:t>
      </w:r>
    </w:p>
    <w:p>
      <w:pPr>
        <w:pStyle w:val="BodyText"/>
        <w:spacing w:before="3"/>
        <w:rPr>
          <w:sz w:val="17"/>
        </w:rPr>
      </w:pPr>
    </w:p>
    <w:p>
      <w:pPr>
        <w:spacing w:before="0"/>
        <w:ind w:left="2703" w:right="0" w:firstLine="0"/>
        <w:jc w:val="left"/>
        <w:rPr>
          <w:b/>
          <w:sz w:val="18"/>
        </w:rPr>
      </w:pPr>
      <w:r>
        <w:rPr>
          <w:b/>
          <w:sz w:val="18"/>
        </w:rPr>
        <w:t>Tabla 24. Balance de masa de DQO en el sistema prototipo.</w:t>
      </w:r>
    </w:p>
    <w:p>
      <w:pPr>
        <w:pStyle w:val="BodyText"/>
        <w:spacing w:after="1"/>
        <w:rPr>
          <w:b/>
          <w:sz w:val="11"/>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0"/>
        <w:gridCol w:w="1236"/>
        <w:gridCol w:w="1301"/>
        <w:gridCol w:w="1109"/>
        <w:gridCol w:w="475"/>
        <w:gridCol w:w="478"/>
        <w:gridCol w:w="475"/>
        <w:gridCol w:w="557"/>
        <w:gridCol w:w="1008"/>
        <w:gridCol w:w="1058"/>
        <w:gridCol w:w="1133"/>
        <w:gridCol w:w="1022"/>
      </w:tblGrid>
      <w:tr>
        <w:trPr>
          <w:trHeight w:val="422" w:hRule="exact"/>
        </w:trPr>
        <w:tc>
          <w:tcPr>
            <w:tcW w:w="890"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39"/>
              <w:ind w:left="64" w:right="46" w:firstLine="14"/>
              <w:jc w:val="left"/>
              <w:rPr>
                <w:rFonts w:ascii="Arial"/>
                <w:sz w:val="18"/>
              </w:rPr>
            </w:pPr>
            <w:r>
              <w:rPr>
                <w:rFonts w:ascii="Arial"/>
                <w:sz w:val="18"/>
              </w:rPr>
              <w:t>Punto de muestreo</w:t>
            </w:r>
          </w:p>
        </w:tc>
        <w:tc>
          <w:tcPr>
            <w:tcW w:w="1236"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3"/>
              <w:ind w:right="0"/>
              <w:jc w:val="left"/>
              <w:rPr>
                <w:rFonts w:ascii="Arial"/>
                <w:b/>
                <w:sz w:val="21"/>
              </w:rPr>
            </w:pPr>
          </w:p>
          <w:p>
            <w:pPr>
              <w:pStyle w:val="TableParagraph"/>
              <w:spacing w:before="0"/>
              <w:ind w:left="117" w:right="0"/>
              <w:jc w:val="left"/>
              <w:rPr>
                <w:rFonts w:ascii="Arial"/>
                <w:sz w:val="18"/>
              </w:rPr>
            </w:pPr>
            <w:r>
              <w:rPr>
                <w:rFonts w:ascii="Arial"/>
                <w:sz w:val="18"/>
              </w:rPr>
              <w:t>Caudal (L/d)</w:t>
            </w:r>
          </w:p>
        </w:tc>
        <w:tc>
          <w:tcPr>
            <w:tcW w:w="1301"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39"/>
              <w:ind w:left="384" w:right="46" w:hanging="320"/>
              <w:jc w:val="left"/>
              <w:rPr>
                <w:rFonts w:ascii="Arial" w:hAnsi="Arial"/>
                <w:sz w:val="18"/>
              </w:rPr>
            </w:pPr>
            <w:r>
              <w:rPr>
                <w:rFonts w:ascii="Arial" w:hAnsi="Arial"/>
                <w:sz w:val="18"/>
              </w:rPr>
              <w:t>Concentración (mg/L)</w:t>
            </w:r>
          </w:p>
        </w:tc>
        <w:tc>
          <w:tcPr>
            <w:tcW w:w="1109"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
              <w:ind w:right="0"/>
              <w:jc w:val="left"/>
              <w:rPr>
                <w:rFonts w:ascii="Arial"/>
                <w:b/>
                <w:sz w:val="21"/>
              </w:rPr>
            </w:pPr>
          </w:p>
          <w:p>
            <w:pPr>
              <w:pStyle w:val="TableParagraph"/>
              <w:spacing w:before="0"/>
              <w:ind w:left="264" w:right="260" w:hanging="3"/>
              <w:jc w:val="center"/>
              <w:rPr>
                <w:rFonts w:ascii="Arial" w:hAnsi="Arial"/>
                <w:sz w:val="18"/>
              </w:rPr>
            </w:pPr>
            <w:r>
              <w:rPr>
                <w:rFonts w:ascii="Arial" w:hAnsi="Arial"/>
                <w:sz w:val="18"/>
              </w:rPr>
              <w:t>Flujo másico</w:t>
            </w:r>
            <w:r>
              <w:rPr>
                <w:rFonts w:ascii="Arial" w:hAnsi="Arial"/>
                <w:w w:val="99"/>
                <w:sz w:val="18"/>
              </w:rPr>
              <w:t> </w:t>
            </w:r>
            <w:r>
              <w:rPr>
                <w:rFonts w:ascii="Arial" w:hAnsi="Arial"/>
                <w:sz w:val="18"/>
              </w:rPr>
              <w:t>(g/d)</w:t>
            </w:r>
          </w:p>
        </w:tc>
        <w:tc>
          <w:tcPr>
            <w:tcW w:w="1985" w:type="dxa"/>
            <w:gridSpan w:val="4"/>
          </w:tcPr>
          <w:p>
            <w:pPr>
              <w:pStyle w:val="TableParagraph"/>
              <w:spacing w:before="0"/>
              <w:ind w:left="844" w:right="154" w:hanging="694"/>
              <w:jc w:val="left"/>
              <w:rPr>
                <w:rFonts w:ascii="Arial"/>
                <w:sz w:val="18"/>
              </w:rPr>
            </w:pPr>
            <w:r>
              <w:rPr>
                <w:rFonts w:ascii="Arial"/>
                <w:sz w:val="18"/>
              </w:rPr>
              <w:t>Entrada (+1) y salida (-1)</w:t>
            </w:r>
          </w:p>
        </w:tc>
        <w:tc>
          <w:tcPr>
            <w:tcW w:w="4222" w:type="dxa"/>
            <w:gridSpan w:val="4"/>
          </w:tcPr>
          <w:p>
            <w:pPr>
              <w:pStyle w:val="TableParagraph"/>
              <w:spacing w:before="102"/>
              <w:ind w:left="1505" w:right="1505"/>
              <w:jc w:val="center"/>
              <w:rPr>
                <w:rFonts w:ascii="Arial"/>
                <w:sz w:val="18"/>
              </w:rPr>
            </w:pPr>
            <w:r>
              <w:rPr>
                <w:rFonts w:ascii="Arial"/>
                <w:sz w:val="18"/>
              </w:rPr>
              <w:t>Balances (g/d)</w:t>
            </w:r>
          </w:p>
        </w:tc>
      </w:tr>
      <w:tr>
        <w:trPr>
          <w:trHeight w:val="1526" w:hRule="exact"/>
        </w:trPr>
        <w:tc>
          <w:tcPr>
            <w:tcW w:w="890" w:type="dxa"/>
            <w:vMerge/>
          </w:tcPr>
          <w:p>
            <w:pPr/>
          </w:p>
        </w:tc>
        <w:tc>
          <w:tcPr>
            <w:tcW w:w="1236" w:type="dxa"/>
            <w:vMerge/>
          </w:tcPr>
          <w:p>
            <w:pPr/>
          </w:p>
        </w:tc>
        <w:tc>
          <w:tcPr>
            <w:tcW w:w="1301" w:type="dxa"/>
            <w:vMerge/>
          </w:tcPr>
          <w:p>
            <w:pPr/>
          </w:p>
        </w:tc>
        <w:tc>
          <w:tcPr>
            <w:tcW w:w="1109" w:type="dxa"/>
            <w:vMerge/>
          </w:tcPr>
          <w:p>
            <w:pPr/>
          </w:p>
        </w:tc>
        <w:tc>
          <w:tcPr>
            <w:tcW w:w="475" w:type="dxa"/>
            <w:textDirection w:val="btLr"/>
          </w:tcPr>
          <w:p>
            <w:pPr>
              <w:pStyle w:val="TableParagraph"/>
              <w:spacing w:before="124"/>
              <w:ind w:left="321"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478" w:type="dxa"/>
            <w:textDirection w:val="btLr"/>
          </w:tcPr>
          <w:p>
            <w:pPr>
              <w:pStyle w:val="TableParagraph"/>
              <w:spacing w:before="124"/>
              <w:ind w:left="175"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475" w:type="dxa"/>
            <w:textDirection w:val="btLr"/>
          </w:tcPr>
          <w:p>
            <w:pPr>
              <w:pStyle w:val="TableParagraph"/>
              <w:spacing w:before="121"/>
              <w:ind w:left="376"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557" w:type="dxa"/>
            <w:textDirection w:val="btLr"/>
          </w:tcPr>
          <w:p>
            <w:pPr>
              <w:pStyle w:val="TableParagraph"/>
              <w:spacing w:before="1"/>
              <w:ind w:right="0"/>
              <w:jc w:val="left"/>
              <w:rPr>
                <w:rFonts w:ascii="Arial"/>
                <w:b/>
                <w:sz w:val="14"/>
              </w:rPr>
            </w:pPr>
          </w:p>
          <w:p>
            <w:pPr>
              <w:pStyle w:val="TableParagraph"/>
              <w:spacing w:before="0"/>
              <w:ind w:left="276" w:right="0"/>
              <w:jc w:val="left"/>
              <w:rPr>
                <w:rFonts w:ascii="Arial"/>
                <w:sz w:val="18"/>
              </w:rPr>
            </w:pPr>
            <w:r>
              <w:rPr>
                <w:rFonts w:ascii="Arial"/>
                <w:spacing w:val="-1"/>
                <w:w w:val="99"/>
                <w:sz w:val="18"/>
              </w:rPr>
              <w:t>R</w:t>
            </w:r>
            <w:r>
              <w:rPr>
                <w:rFonts w:ascii="Arial"/>
                <w:w w:val="99"/>
                <w:sz w:val="18"/>
              </w:rPr>
              <w:t>e</w:t>
            </w:r>
            <w:r>
              <w:rPr>
                <w:rFonts w:ascii="Arial"/>
                <w:spacing w:val="1"/>
                <w:w w:val="99"/>
                <w:sz w:val="18"/>
              </w:rPr>
              <w:t>s</w:t>
            </w:r>
            <w:r>
              <w:rPr>
                <w:rFonts w:ascii="Arial"/>
                <w:w w:val="99"/>
                <w:sz w:val="18"/>
              </w:rPr>
              <w:t>er</w:t>
            </w:r>
            <w:r>
              <w:rPr>
                <w:rFonts w:ascii="Arial"/>
                <w:spacing w:val="-2"/>
                <w:w w:val="99"/>
                <w:sz w:val="18"/>
              </w:rPr>
              <w:t>v</w:t>
            </w:r>
            <w:r>
              <w:rPr>
                <w:rFonts w:ascii="Arial"/>
                <w:w w:val="99"/>
                <w:sz w:val="18"/>
              </w:rPr>
              <w:t>ori</w:t>
            </w:r>
            <w:r>
              <w:rPr>
                <w:rFonts w:ascii="Arial"/>
                <w:spacing w:val="-2"/>
                <w:w w:val="99"/>
                <w:sz w:val="18"/>
              </w:rPr>
              <w:t>o</w:t>
            </w:r>
            <w:r>
              <w:rPr>
                <w:rFonts w:ascii="Arial"/>
                <w:w w:val="99"/>
                <w:sz w:val="18"/>
              </w:rPr>
              <w:t>s</w:t>
            </w:r>
          </w:p>
        </w:tc>
        <w:tc>
          <w:tcPr>
            <w:tcW w:w="1008" w:type="dxa"/>
            <w:textDirection w:val="btLr"/>
          </w:tcPr>
          <w:p>
            <w:pPr>
              <w:pStyle w:val="TableParagraph"/>
              <w:spacing w:before="0"/>
              <w:ind w:right="0"/>
              <w:jc w:val="left"/>
              <w:rPr>
                <w:rFonts w:ascii="Arial"/>
                <w:b/>
                <w:sz w:val="18"/>
              </w:rPr>
            </w:pPr>
          </w:p>
          <w:p>
            <w:pPr>
              <w:pStyle w:val="TableParagraph"/>
              <w:spacing w:before="8"/>
              <w:ind w:right="0"/>
              <w:jc w:val="left"/>
              <w:rPr>
                <w:rFonts w:ascii="Arial"/>
                <w:b/>
                <w:sz w:val="15"/>
              </w:rPr>
            </w:pPr>
          </w:p>
          <w:p>
            <w:pPr>
              <w:pStyle w:val="TableParagraph"/>
              <w:spacing w:before="0"/>
              <w:ind w:left="321"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1058" w:type="dxa"/>
            <w:textDirection w:val="btLr"/>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left="175"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1133" w:type="dxa"/>
            <w:textDirection w:val="btLr"/>
          </w:tcPr>
          <w:p>
            <w:pPr>
              <w:pStyle w:val="TableParagraph"/>
              <w:spacing w:before="0"/>
              <w:ind w:right="0"/>
              <w:jc w:val="left"/>
              <w:rPr>
                <w:rFonts w:ascii="Arial"/>
                <w:b/>
                <w:sz w:val="18"/>
              </w:rPr>
            </w:pPr>
          </w:p>
          <w:p>
            <w:pPr>
              <w:pStyle w:val="TableParagraph"/>
              <w:spacing w:before="4"/>
              <w:ind w:right="0"/>
              <w:jc w:val="left"/>
              <w:rPr>
                <w:rFonts w:ascii="Arial"/>
                <w:b/>
                <w:sz w:val="21"/>
              </w:rPr>
            </w:pPr>
          </w:p>
          <w:p>
            <w:pPr>
              <w:pStyle w:val="TableParagraph"/>
              <w:spacing w:before="0"/>
              <w:ind w:left="376"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1022" w:type="dxa"/>
            <w:textDirection w:val="btLr"/>
          </w:tcPr>
          <w:p>
            <w:pPr>
              <w:pStyle w:val="TableParagraph"/>
              <w:spacing w:before="0"/>
              <w:ind w:right="0"/>
              <w:jc w:val="left"/>
              <w:rPr>
                <w:rFonts w:ascii="Arial"/>
                <w:b/>
                <w:sz w:val="18"/>
              </w:rPr>
            </w:pPr>
          </w:p>
          <w:p>
            <w:pPr>
              <w:pStyle w:val="TableParagraph"/>
              <w:spacing w:before="6"/>
              <w:ind w:right="0"/>
              <w:jc w:val="left"/>
              <w:rPr>
                <w:rFonts w:ascii="Arial"/>
                <w:b/>
                <w:sz w:val="16"/>
              </w:rPr>
            </w:pPr>
          </w:p>
          <w:p>
            <w:pPr>
              <w:pStyle w:val="TableParagraph"/>
              <w:spacing w:before="0"/>
              <w:ind w:left="276" w:right="0"/>
              <w:jc w:val="left"/>
              <w:rPr>
                <w:rFonts w:ascii="Arial"/>
                <w:sz w:val="18"/>
              </w:rPr>
            </w:pPr>
            <w:r>
              <w:rPr>
                <w:rFonts w:ascii="Arial"/>
                <w:spacing w:val="-1"/>
                <w:w w:val="99"/>
                <w:sz w:val="18"/>
              </w:rPr>
              <w:t>R</w:t>
            </w:r>
            <w:r>
              <w:rPr>
                <w:rFonts w:ascii="Arial"/>
                <w:w w:val="99"/>
                <w:sz w:val="18"/>
              </w:rPr>
              <w:t>e</w:t>
            </w:r>
            <w:r>
              <w:rPr>
                <w:rFonts w:ascii="Arial"/>
                <w:spacing w:val="1"/>
                <w:w w:val="99"/>
                <w:sz w:val="18"/>
              </w:rPr>
              <w:t>s</w:t>
            </w:r>
            <w:r>
              <w:rPr>
                <w:rFonts w:ascii="Arial"/>
                <w:w w:val="99"/>
                <w:sz w:val="18"/>
              </w:rPr>
              <w:t>er</w:t>
            </w:r>
            <w:r>
              <w:rPr>
                <w:rFonts w:ascii="Arial"/>
                <w:spacing w:val="-2"/>
                <w:w w:val="99"/>
                <w:sz w:val="18"/>
              </w:rPr>
              <w:t>v</w:t>
            </w:r>
            <w:r>
              <w:rPr>
                <w:rFonts w:ascii="Arial"/>
                <w:w w:val="99"/>
                <w:sz w:val="18"/>
              </w:rPr>
              <w:t>ori</w:t>
            </w:r>
            <w:r>
              <w:rPr>
                <w:rFonts w:ascii="Arial"/>
                <w:spacing w:val="-2"/>
                <w:w w:val="99"/>
                <w:sz w:val="18"/>
              </w:rPr>
              <w:t>o</w:t>
            </w:r>
            <w:r>
              <w:rPr>
                <w:rFonts w:ascii="Arial"/>
                <w:w w:val="99"/>
                <w:sz w:val="18"/>
              </w:rPr>
              <w:t>s</w:t>
            </w: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A</w:t>
            </w:r>
          </w:p>
        </w:tc>
        <w:tc>
          <w:tcPr>
            <w:tcW w:w="1236" w:type="dxa"/>
          </w:tcPr>
          <w:p>
            <w:pPr>
              <w:pStyle w:val="TableParagraph"/>
              <w:spacing w:before="44"/>
              <w:ind w:right="110"/>
              <w:rPr>
                <w:rFonts w:ascii="Arial"/>
                <w:sz w:val="18"/>
              </w:rPr>
            </w:pPr>
            <w:r>
              <w:rPr>
                <w:rFonts w:ascii="Arial"/>
                <w:sz w:val="18"/>
              </w:rPr>
              <w:t>181 440</w:t>
            </w:r>
          </w:p>
        </w:tc>
        <w:tc>
          <w:tcPr>
            <w:tcW w:w="1301" w:type="dxa"/>
          </w:tcPr>
          <w:p>
            <w:pPr>
              <w:pStyle w:val="TableParagraph"/>
              <w:spacing w:before="92"/>
              <w:ind w:right="72"/>
              <w:rPr>
                <w:rFonts w:ascii="Arial"/>
                <w:sz w:val="18"/>
              </w:rPr>
            </w:pPr>
            <w:r>
              <w:rPr>
                <w:rFonts w:ascii="Arial"/>
                <w:sz w:val="18"/>
              </w:rPr>
              <w:t>49,27</w:t>
            </w:r>
          </w:p>
        </w:tc>
        <w:tc>
          <w:tcPr>
            <w:tcW w:w="1109" w:type="dxa"/>
          </w:tcPr>
          <w:p>
            <w:pPr>
              <w:pStyle w:val="TableParagraph"/>
              <w:spacing w:before="92"/>
              <w:ind w:left="266" w:right="0"/>
              <w:jc w:val="left"/>
              <w:rPr>
                <w:rFonts w:ascii="Arial"/>
                <w:sz w:val="18"/>
              </w:rPr>
            </w:pPr>
            <w:r>
              <w:rPr>
                <w:rFonts w:ascii="Arial"/>
                <w:sz w:val="18"/>
              </w:rPr>
              <w:t>8 939,55</w:t>
            </w:r>
          </w:p>
        </w:tc>
        <w:tc>
          <w:tcPr>
            <w:tcW w:w="475" w:type="dxa"/>
          </w:tcPr>
          <w:p>
            <w:pPr>
              <w:pStyle w:val="TableParagraph"/>
              <w:spacing w:before="92"/>
              <w:ind w:right="0"/>
              <w:jc w:val="center"/>
              <w:rPr>
                <w:rFonts w:ascii="Arial"/>
                <w:sz w:val="18"/>
              </w:rPr>
            </w:pPr>
            <w:r>
              <w:rPr>
                <w:rFonts w:ascii="Arial"/>
                <w:w w:val="99"/>
                <w:sz w:val="18"/>
              </w:rPr>
              <w:t>1</w:t>
            </w:r>
          </w:p>
        </w:tc>
        <w:tc>
          <w:tcPr>
            <w:tcW w:w="478" w:type="dxa"/>
          </w:tcPr>
          <w:p>
            <w:pPr/>
          </w:p>
        </w:tc>
        <w:tc>
          <w:tcPr>
            <w:tcW w:w="475" w:type="dxa"/>
          </w:tcPr>
          <w:p>
            <w:pPr/>
          </w:p>
        </w:tc>
        <w:tc>
          <w:tcPr>
            <w:tcW w:w="557" w:type="dxa"/>
          </w:tcPr>
          <w:p>
            <w:pPr/>
          </w:p>
        </w:tc>
        <w:tc>
          <w:tcPr>
            <w:tcW w:w="1008" w:type="dxa"/>
          </w:tcPr>
          <w:p>
            <w:pPr>
              <w:pStyle w:val="TableParagraph"/>
              <w:spacing w:before="44"/>
              <w:ind w:right="63"/>
              <w:rPr>
                <w:rFonts w:ascii="Arial"/>
                <w:sz w:val="18"/>
              </w:rPr>
            </w:pPr>
            <w:r>
              <w:rPr>
                <w:rFonts w:ascii="Arial"/>
                <w:sz w:val="18"/>
              </w:rPr>
              <w:t>8 939,55</w:t>
            </w:r>
          </w:p>
        </w:tc>
        <w:tc>
          <w:tcPr>
            <w:tcW w:w="1058" w:type="dxa"/>
          </w:tcPr>
          <w:p>
            <w:pPr/>
          </w:p>
        </w:tc>
        <w:tc>
          <w:tcPr>
            <w:tcW w:w="1133" w:type="dxa"/>
          </w:tcPr>
          <w:p>
            <w:pPr/>
          </w:p>
        </w:tc>
        <w:tc>
          <w:tcPr>
            <w:tcW w:w="1022" w:type="dxa"/>
          </w:tcPr>
          <w:p>
            <w:pP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B</w:t>
            </w:r>
          </w:p>
        </w:tc>
        <w:tc>
          <w:tcPr>
            <w:tcW w:w="1236" w:type="dxa"/>
          </w:tcPr>
          <w:p>
            <w:pPr>
              <w:pStyle w:val="TableParagraph"/>
              <w:spacing w:before="44"/>
              <w:ind w:right="110"/>
              <w:rPr>
                <w:rFonts w:ascii="Arial"/>
                <w:sz w:val="18"/>
              </w:rPr>
            </w:pPr>
            <w:r>
              <w:rPr>
                <w:rFonts w:ascii="Arial"/>
                <w:sz w:val="18"/>
              </w:rPr>
              <w:t>181 440</w:t>
            </w:r>
          </w:p>
        </w:tc>
        <w:tc>
          <w:tcPr>
            <w:tcW w:w="1301" w:type="dxa"/>
          </w:tcPr>
          <w:p>
            <w:pPr>
              <w:pStyle w:val="TableParagraph"/>
              <w:spacing w:before="92"/>
              <w:ind w:right="72"/>
              <w:rPr>
                <w:rFonts w:ascii="Arial"/>
                <w:sz w:val="18"/>
              </w:rPr>
            </w:pPr>
            <w:r>
              <w:rPr>
                <w:rFonts w:ascii="Arial"/>
                <w:sz w:val="18"/>
              </w:rPr>
              <w:t>46,60</w:t>
            </w:r>
          </w:p>
        </w:tc>
        <w:tc>
          <w:tcPr>
            <w:tcW w:w="1109" w:type="dxa"/>
          </w:tcPr>
          <w:p>
            <w:pPr>
              <w:pStyle w:val="TableParagraph"/>
              <w:spacing w:before="92"/>
              <w:ind w:left="266" w:right="0"/>
              <w:jc w:val="left"/>
              <w:rPr>
                <w:rFonts w:ascii="Arial"/>
                <w:sz w:val="18"/>
              </w:rPr>
            </w:pPr>
            <w:r>
              <w:rPr>
                <w:rFonts w:ascii="Arial"/>
                <w:sz w:val="18"/>
              </w:rPr>
              <w:t>8 455,10</w:t>
            </w:r>
          </w:p>
        </w:tc>
        <w:tc>
          <w:tcPr>
            <w:tcW w:w="475" w:type="dxa"/>
          </w:tcPr>
          <w:p>
            <w:pPr>
              <w:pStyle w:val="TableParagraph"/>
              <w:spacing w:before="92"/>
              <w:ind w:left="43" w:right="44"/>
              <w:jc w:val="center"/>
              <w:rPr>
                <w:rFonts w:ascii="Arial"/>
                <w:sz w:val="18"/>
              </w:rPr>
            </w:pPr>
            <w:r>
              <w:rPr>
                <w:rFonts w:ascii="Arial"/>
                <w:sz w:val="18"/>
              </w:rPr>
              <w:t>-1</w:t>
            </w:r>
          </w:p>
        </w:tc>
        <w:tc>
          <w:tcPr>
            <w:tcW w:w="478" w:type="dxa"/>
          </w:tcPr>
          <w:p>
            <w:pPr>
              <w:pStyle w:val="TableParagraph"/>
              <w:spacing w:before="92"/>
              <w:ind w:right="1"/>
              <w:jc w:val="center"/>
              <w:rPr>
                <w:rFonts w:ascii="Arial"/>
                <w:sz w:val="18"/>
              </w:rPr>
            </w:pPr>
            <w:r>
              <w:rPr>
                <w:rFonts w:ascii="Arial"/>
                <w:w w:val="99"/>
                <w:sz w:val="18"/>
              </w:rPr>
              <w:t>1</w:t>
            </w:r>
          </w:p>
        </w:tc>
        <w:tc>
          <w:tcPr>
            <w:tcW w:w="475" w:type="dxa"/>
          </w:tcPr>
          <w:p>
            <w:pPr/>
          </w:p>
        </w:tc>
        <w:tc>
          <w:tcPr>
            <w:tcW w:w="557" w:type="dxa"/>
          </w:tcPr>
          <w:p>
            <w:pPr/>
          </w:p>
        </w:tc>
        <w:tc>
          <w:tcPr>
            <w:tcW w:w="1008" w:type="dxa"/>
          </w:tcPr>
          <w:p>
            <w:pPr>
              <w:pStyle w:val="TableParagraph"/>
              <w:spacing w:before="44"/>
              <w:ind w:right="60"/>
              <w:rPr>
                <w:rFonts w:ascii="Arial"/>
                <w:sz w:val="18"/>
              </w:rPr>
            </w:pPr>
            <w:r>
              <w:rPr>
                <w:rFonts w:ascii="Arial"/>
                <w:sz w:val="18"/>
              </w:rPr>
              <w:t>-  8 455,10</w:t>
            </w:r>
          </w:p>
        </w:tc>
        <w:tc>
          <w:tcPr>
            <w:tcW w:w="1058" w:type="dxa"/>
          </w:tcPr>
          <w:p>
            <w:pPr>
              <w:pStyle w:val="TableParagraph"/>
              <w:spacing w:before="44"/>
              <w:ind w:right="63"/>
              <w:rPr>
                <w:rFonts w:ascii="Arial"/>
                <w:sz w:val="18"/>
              </w:rPr>
            </w:pPr>
            <w:r>
              <w:rPr>
                <w:rFonts w:ascii="Arial"/>
                <w:sz w:val="18"/>
              </w:rPr>
              <w:t>8 455,10</w:t>
            </w:r>
          </w:p>
        </w:tc>
        <w:tc>
          <w:tcPr>
            <w:tcW w:w="1133" w:type="dxa"/>
          </w:tcPr>
          <w:p>
            <w:pPr/>
          </w:p>
        </w:tc>
        <w:tc>
          <w:tcPr>
            <w:tcW w:w="1022" w:type="dxa"/>
          </w:tcPr>
          <w:p>
            <w:pPr/>
          </w:p>
        </w:tc>
      </w:tr>
      <w:tr>
        <w:trPr>
          <w:trHeight w:val="310" w:hRule="exact"/>
        </w:trPr>
        <w:tc>
          <w:tcPr>
            <w:tcW w:w="890" w:type="dxa"/>
          </w:tcPr>
          <w:p>
            <w:pPr>
              <w:pStyle w:val="TableParagraph"/>
              <w:spacing w:before="88"/>
              <w:ind w:right="0"/>
              <w:jc w:val="center"/>
              <w:rPr>
                <w:rFonts w:ascii="Arial"/>
                <w:b/>
                <w:sz w:val="18"/>
              </w:rPr>
            </w:pPr>
            <w:r>
              <w:rPr>
                <w:rFonts w:ascii="Arial"/>
                <w:b/>
                <w:w w:val="99"/>
                <w:sz w:val="18"/>
              </w:rPr>
              <w:t>C</w:t>
            </w:r>
          </w:p>
        </w:tc>
        <w:tc>
          <w:tcPr>
            <w:tcW w:w="1236" w:type="dxa"/>
          </w:tcPr>
          <w:p>
            <w:pPr>
              <w:pStyle w:val="TableParagraph"/>
              <w:spacing w:before="44"/>
              <w:ind w:right="110"/>
              <w:rPr>
                <w:rFonts w:ascii="Arial"/>
                <w:sz w:val="18"/>
              </w:rPr>
            </w:pPr>
            <w:r>
              <w:rPr>
                <w:rFonts w:ascii="Arial"/>
                <w:sz w:val="18"/>
              </w:rPr>
              <w:t>181 440</w:t>
            </w:r>
          </w:p>
        </w:tc>
        <w:tc>
          <w:tcPr>
            <w:tcW w:w="1301" w:type="dxa"/>
          </w:tcPr>
          <w:p>
            <w:pPr>
              <w:pStyle w:val="TableParagraph"/>
              <w:spacing w:before="92"/>
              <w:ind w:right="72"/>
              <w:rPr>
                <w:rFonts w:ascii="Arial"/>
                <w:sz w:val="18"/>
              </w:rPr>
            </w:pPr>
            <w:r>
              <w:rPr>
                <w:rFonts w:ascii="Arial"/>
                <w:sz w:val="18"/>
              </w:rPr>
              <w:t>43,81</w:t>
            </w:r>
          </w:p>
        </w:tc>
        <w:tc>
          <w:tcPr>
            <w:tcW w:w="1109" w:type="dxa"/>
          </w:tcPr>
          <w:p>
            <w:pPr>
              <w:pStyle w:val="TableParagraph"/>
              <w:spacing w:before="92"/>
              <w:ind w:left="266" w:right="0"/>
              <w:jc w:val="left"/>
              <w:rPr>
                <w:rFonts w:ascii="Arial"/>
                <w:sz w:val="18"/>
              </w:rPr>
            </w:pPr>
            <w:r>
              <w:rPr>
                <w:rFonts w:ascii="Arial"/>
                <w:sz w:val="18"/>
              </w:rPr>
              <w:t>7 948,89</w:t>
            </w:r>
          </w:p>
        </w:tc>
        <w:tc>
          <w:tcPr>
            <w:tcW w:w="475" w:type="dxa"/>
          </w:tcPr>
          <w:p>
            <w:pPr/>
          </w:p>
        </w:tc>
        <w:tc>
          <w:tcPr>
            <w:tcW w:w="478" w:type="dxa"/>
          </w:tcPr>
          <w:p>
            <w:pPr>
              <w:pStyle w:val="TableParagraph"/>
              <w:spacing w:before="92"/>
              <w:ind w:left="132" w:right="135"/>
              <w:jc w:val="center"/>
              <w:rPr>
                <w:rFonts w:ascii="Arial"/>
                <w:sz w:val="18"/>
              </w:rPr>
            </w:pPr>
            <w:r>
              <w:rPr>
                <w:rFonts w:ascii="Arial"/>
                <w:sz w:val="18"/>
              </w:rPr>
              <w:t>-1</w:t>
            </w:r>
          </w:p>
        </w:tc>
        <w:tc>
          <w:tcPr>
            <w:tcW w:w="475" w:type="dxa"/>
          </w:tcPr>
          <w:p>
            <w:pPr>
              <w:pStyle w:val="TableParagraph"/>
              <w:spacing w:before="92"/>
              <w:ind w:right="0"/>
              <w:jc w:val="center"/>
              <w:rPr>
                <w:rFonts w:ascii="Arial"/>
                <w:sz w:val="18"/>
              </w:rPr>
            </w:pPr>
            <w:r>
              <w:rPr>
                <w:rFonts w:ascii="Arial"/>
                <w:w w:val="99"/>
                <w:sz w:val="18"/>
              </w:rPr>
              <w:t>1</w:t>
            </w:r>
          </w:p>
        </w:tc>
        <w:tc>
          <w:tcPr>
            <w:tcW w:w="557" w:type="dxa"/>
          </w:tcPr>
          <w:p>
            <w:pPr>
              <w:pStyle w:val="TableParagraph"/>
              <w:spacing w:before="92"/>
              <w:ind w:left="192" w:right="0"/>
              <w:jc w:val="left"/>
              <w:rPr>
                <w:rFonts w:ascii="Arial"/>
                <w:sz w:val="18"/>
              </w:rPr>
            </w:pPr>
            <w:r>
              <w:rPr>
                <w:rFonts w:ascii="Arial"/>
                <w:sz w:val="18"/>
              </w:rPr>
              <w:t>-1</w:t>
            </w:r>
          </w:p>
        </w:tc>
        <w:tc>
          <w:tcPr>
            <w:tcW w:w="1008" w:type="dxa"/>
          </w:tcPr>
          <w:p>
            <w:pPr/>
          </w:p>
        </w:tc>
        <w:tc>
          <w:tcPr>
            <w:tcW w:w="1058" w:type="dxa"/>
          </w:tcPr>
          <w:p>
            <w:pPr>
              <w:pStyle w:val="TableParagraph"/>
              <w:spacing w:before="44"/>
              <w:ind w:right="63"/>
              <w:rPr>
                <w:rFonts w:ascii="Arial"/>
                <w:sz w:val="18"/>
              </w:rPr>
            </w:pPr>
            <w:r>
              <w:rPr>
                <w:rFonts w:ascii="Arial"/>
                <w:sz w:val="18"/>
              </w:rPr>
              <w:t>- 7 948,89</w:t>
            </w:r>
          </w:p>
        </w:tc>
        <w:tc>
          <w:tcPr>
            <w:tcW w:w="1133" w:type="dxa"/>
          </w:tcPr>
          <w:p>
            <w:pPr>
              <w:pStyle w:val="TableParagraph"/>
              <w:spacing w:before="44"/>
              <w:ind w:right="63"/>
              <w:rPr>
                <w:rFonts w:ascii="Arial"/>
                <w:sz w:val="18"/>
              </w:rPr>
            </w:pPr>
            <w:r>
              <w:rPr>
                <w:rFonts w:ascii="Arial"/>
                <w:sz w:val="18"/>
              </w:rPr>
              <w:t>7 948,89</w:t>
            </w:r>
          </w:p>
        </w:tc>
        <w:tc>
          <w:tcPr>
            <w:tcW w:w="1022" w:type="dxa"/>
          </w:tcPr>
          <w:p>
            <w:pPr>
              <w:pStyle w:val="TableParagraph"/>
              <w:spacing w:before="44"/>
              <w:ind w:right="63"/>
              <w:rPr>
                <w:rFonts w:ascii="Arial"/>
                <w:sz w:val="18"/>
              </w:rPr>
            </w:pPr>
            <w:r>
              <w:rPr>
                <w:rFonts w:ascii="Arial"/>
                <w:sz w:val="18"/>
              </w:rPr>
              <w:t>-  7 948,89</w:t>
            </w:r>
          </w:p>
        </w:tc>
      </w:tr>
      <w:tr>
        <w:trPr>
          <w:trHeight w:val="310" w:hRule="exact"/>
        </w:trPr>
        <w:tc>
          <w:tcPr>
            <w:tcW w:w="890" w:type="dxa"/>
          </w:tcPr>
          <w:p>
            <w:pPr>
              <w:pStyle w:val="TableParagraph"/>
              <w:spacing w:before="42"/>
              <w:ind w:right="0"/>
              <w:jc w:val="center"/>
              <w:rPr>
                <w:rFonts w:ascii="Arial"/>
                <w:b/>
                <w:sz w:val="18"/>
              </w:rPr>
            </w:pPr>
            <w:r>
              <w:rPr>
                <w:rFonts w:ascii="Arial"/>
                <w:b/>
                <w:w w:val="99"/>
                <w:sz w:val="18"/>
              </w:rPr>
              <w:t>D</w:t>
            </w:r>
          </w:p>
        </w:tc>
        <w:tc>
          <w:tcPr>
            <w:tcW w:w="1236" w:type="dxa"/>
          </w:tcPr>
          <w:p>
            <w:pPr>
              <w:pStyle w:val="TableParagraph"/>
              <w:spacing w:before="47"/>
              <w:ind w:right="110"/>
              <w:rPr>
                <w:rFonts w:ascii="Arial"/>
                <w:sz w:val="18"/>
              </w:rPr>
            </w:pPr>
            <w:r>
              <w:rPr>
                <w:rFonts w:ascii="Arial"/>
                <w:sz w:val="18"/>
              </w:rPr>
              <w:t>181 340</w:t>
            </w:r>
          </w:p>
        </w:tc>
        <w:tc>
          <w:tcPr>
            <w:tcW w:w="1301" w:type="dxa"/>
          </w:tcPr>
          <w:p>
            <w:pPr>
              <w:pStyle w:val="TableParagraph"/>
              <w:spacing w:before="92"/>
              <w:ind w:right="72"/>
              <w:rPr>
                <w:rFonts w:ascii="Arial"/>
                <w:sz w:val="18"/>
              </w:rPr>
            </w:pPr>
            <w:r>
              <w:rPr>
                <w:rFonts w:ascii="Arial"/>
                <w:sz w:val="18"/>
              </w:rPr>
              <w:t>51,58</w:t>
            </w:r>
          </w:p>
        </w:tc>
        <w:tc>
          <w:tcPr>
            <w:tcW w:w="1109" w:type="dxa"/>
          </w:tcPr>
          <w:p>
            <w:pPr>
              <w:pStyle w:val="TableParagraph"/>
              <w:spacing w:before="92"/>
              <w:ind w:left="266" w:right="0"/>
              <w:jc w:val="left"/>
              <w:rPr>
                <w:rFonts w:ascii="Arial"/>
                <w:sz w:val="18"/>
              </w:rPr>
            </w:pPr>
            <w:r>
              <w:rPr>
                <w:rFonts w:ascii="Arial"/>
                <w:sz w:val="18"/>
              </w:rPr>
              <w:t>9 353,52</w:t>
            </w:r>
          </w:p>
        </w:tc>
        <w:tc>
          <w:tcPr>
            <w:tcW w:w="475" w:type="dxa"/>
          </w:tcPr>
          <w:p>
            <w:pPr/>
          </w:p>
        </w:tc>
        <w:tc>
          <w:tcPr>
            <w:tcW w:w="478" w:type="dxa"/>
          </w:tcPr>
          <w:p>
            <w:pPr/>
          </w:p>
        </w:tc>
        <w:tc>
          <w:tcPr>
            <w:tcW w:w="475" w:type="dxa"/>
          </w:tcPr>
          <w:p>
            <w:pPr/>
          </w:p>
        </w:tc>
        <w:tc>
          <w:tcPr>
            <w:tcW w:w="557" w:type="dxa"/>
          </w:tcPr>
          <w:p>
            <w:pPr>
              <w:pStyle w:val="TableParagraph"/>
              <w:spacing w:before="92"/>
              <w:ind w:left="223" w:right="0"/>
              <w:jc w:val="left"/>
              <w:rPr>
                <w:rFonts w:ascii="Arial"/>
                <w:sz w:val="18"/>
              </w:rPr>
            </w:pPr>
            <w:r>
              <w:rPr>
                <w:rFonts w:ascii="Arial"/>
                <w:w w:val="99"/>
                <w:sz w:val="18"/>
              </w:rPr>
              <w:t>1</w:t>
            </w:r>
          </w:p>
        </w:tc>
        <w:tc>
          <w:tcPr>
            <w:tcW w:w="1008" w:type="dxa"/>
          </w:tcPr>
          <w:p>
            <w:pPr/>
          </w:p>
        </w:tc>
        <w:tc>
          <w:tcPr>
            <w:tcW w:w="1058" w:type="dxa"/>
          </w:tcPr>
          <w:p>
            <w:pPr/>
          </w:p>
        </w:tc>
        <w:tc>
          <w:tcPr>
            <w:tcW w:w="1133" w:type="dxa"/>
          </w:tcPr>
          <w:p>
            <w:pPr/>
          </w:p>
        </w:tc>
        <w:tc>
          <w:tcPr>
            <w:tcW w:w="1022" w:type="dxa"/>
          </w:tcPr>
          <w:p>
            <w:pPr>
              <w:pStyle w:val="TableParagraph"/>
              <w:spacing w:before="47"/>
              <w:ind w:right="65"/>
              <w:rPr>
                <w:rFonts w:ascii="Arial"/>
                <w:sz w:val="18"/>
              </w:rPr>
            </w:pPr>
            <w:r>
              <w:rPr>
                <w:rFonts w:ascii="Arial"/>
                <w:sz w:val="18"/>
              </w:rPr>
              <w:t>9 353,52</w:t>
            </w:r>
          </w:p>
        </w:tc>
      </w:tr>
      <w:tr>
        <w:trPr>
          <w:trHeight w:val="310" w:hRule="exact"/>
        </w:trPr>
        <w:tc>
          <w:tcPr>
            <w:tcW w:w="890" w:type="dxa"/>
          </w:tcPr>
          <w:p>
            <w:pPr>
              <w:pStyle w:val="TableParagraph"/>
              <w:spacing w:before="42"/>
              <w:ind w:right="0"/>
              <w:jc w:val="center"/>
              <w:rPr>
                <w:rFonts w:ascii="Arial"/>
                <w:b/>
                <w:sz w:val="18"/>
              </w:rPr>
            </w:pPr>
            <w:r>
              <w:rPr>
                <w:rFonts w:ascii="Arial"/>
                <w:b/>
                <w:w w:val="99"/>
                <w:sz w:val="18"/>
              </w:rPr>
              <w:t>E</w:t>
            </w:r>
          </w:p>
        </w:tc>
        <w:tc>
          <w:tcPr>
            <w:tcW w:w="1236" w:type="dxa"/>
          </w:tcPr>
          <w:p>
            <w:pPr>
              <w:pStyle w:val="TableParagraph"/>
              <w:spacing w:before="47"/>
              <w:ind w:right="110"/>
              <w:rPr>
                <w:rFonts w:ascii="Arial"/>
                <w:sz w:val="18"/>
              </w:rPr>
            </w:pPr>
            <w:r>
              <w:rPr>
                <w:rFonts w:ascii="Arial"/>
                <w:sz w:val="18"/>
              </w:rPr>
              <w:t>181 340</w:t>
            </w:r>
          </w:p>
        </w:tc>
        <w:tc>
          <w:tcPr>
            <w:tcW w:w="1301" w:type="dxa"/>
          </w:tcPr>
          <w:p>
            <w:pPr>
              <w:pStyle w:val="TableParagraph"/>
              <w:spacing w:before="92"/>
              <w:ind w:right="72"/>
              <w:rPr>
                <w:rFonts w:ascii="Arial"/>
                <w:sz w:val="18"/>
              </w:rPr>
            </w:pPr>
            <w:r>
              <w:rPr>
                <w:rFonts w:ascii="Arial"/>
                <w:sz w:val="18"/>
              </w:rPr>
              <w:t>60,65</w:t>
            </w:r>
          </w:p>
        </w:tc>
        <w:tc>
          <w:tcPr>
            <w:tcW w:w="1109" w:type="dxa"/>
          </w:tcPr>
          <w:p>
            <w:pPr>
              <w:pStyle w:val="TableParagraph"/>
              <w:spacing w:before="92"/>
              <w:ind w:left="165" w:right="0"/>
              <w:jc w:val="left"/>
              <w:rPr>
                <w:rFonts w:ascii="Arial"/>
                <w:sz w:val="18"/>
              </w:rPr>
            </w:pPr>
            <w:r>
              <w:rPr>
                <w:rFonts w:ascii="Arial"/>
                <w:sz w:val="18"/>
              </w:rPr>
              <w:t>10 998,27</w:t>
            </w:r>
          </w:p>
        </w:tc>
        <w:tc>
          <w:tcPr>
            <w:tcW w:w="475" w:type="dxa"/>
          </w:tcPr>
          <w:p>
            <w:pPr/>
          </w:p>
        </w:tc>
        <w:tc>
          <w:tcPr>
            <w:tcW w:w="478" w:type="dxa"/>
          </w:tcPr>
          <w:p>
            <w:pPr/>
          </w:p>
        </w:tc>
        <w:tc>
          <w:tcPr>
            <w:tcW w:w="475" w:type="dxa"/>
          </w:tcPr>
          <w:p>
            <w:pPr>
              <w:pStyle w:val="TableParagraph"/>
              <w:spacing w:before="92"/>
              <w:ind w:left="44" w:right="44"/>
              <w:jc w:val="center"/>
              <w:rPr>
                <w:rFonts w:ascii="Arial"/>
                <w:sz w:val="18"/>
              </w:rPr>
            </w:pPr>
            <w:r>
              <w:rPr>
                <w:rFonts w:ascii="Arial"/>
                <w:sz w:val="18"/>
              </w:rPr>
              <w:t>-1</w:t>
            </w:r>
          </w:p>
        </w:tc>
        <w:tc>
          <w:tcPr>
            <w:tcW w:w="557" w:type="dxa"/>
          </w:tcPr>
          <w:p>
            <w:pPr/>
          </w:p>
        </w:tc>
        <w:tc>
          <w:tcPr>
            <w:tcW w:w="1008" w:type="dxa"/>
          </w:tcPr>
          <w:p>
            <w:pPr/>
          </w:p>
        </w:tc>
        <w:tc>
          <w:tcPr>
            <w:tcW w:w="1058" w:type="dxa"/>
          </w:tcPr>
          <w:p>
            <w:pPr/>
          </w:p>
        </w:tc>
        <w:tc>
          <w:tcPr>
            <w:tcW w:w="1133" w:type="dxa"/>
          </w:tcPr>
          <w:p>
            <w:pPr>
              <w:pStyle w:val="TableParagraph"/>
              <w:spacing w:before="47"/>
              <w:ind w:right="63"/>
              <w:rPr>
                <w:rFonts w:ascii="Arial"/>
                <w:sz w:val="18"/>
              </w:rPr>
            </w:pPr>
            <w:r>
              <w:rPr>
                <w:rFonts w:ascii="Arial"/>
                <w:sz w:val="18"/>
              </w:rPr>
              <w:t>- 10 998,27</w:t>
            </w:r>
          </w:p>
        </w:tc>
        <w:tc>
          <w:tcPr>
            <w:tcW w:w="1022" w:type="dxa"/>
          </w:tcPr>
          <w:p>
            <w:pPr/>
          </w:p>
        </w:tc>
      </w:tr>
      <w:tr>
        <w:trPr>
          <w:trHeight w:val="312" w:hRule="exact"/>
        </w:trPr>
        <w:tc>
          <w:tcPr>
            <w:tcW w:w="890" w:type="dxa"/>
          </w:tcPr>
          <w:p>
            <w:pPr>
              <w:pStyle w:val="TableParagraph"/>
              <w:spacing w:before="42"/>
              <w:ind w:right="1"/>
              <w:jc w:val="center"/>
              <w:rPr>
                <w:rFonts w:ascii="Arial"/>
                <w:b/>
                <w:sz w:val="18"/>
              </w:rPr>
            </w:pPr>
            <w:r>
              <w:rPr>
                <w:rFonts w:ascii="Arial"/>
                <w:b/>
                <w:w w:val="99"/>
                <w:sz w:val="18"/>
              </w:rPr>
              <w:t>G</w:t>
            </w:r>
          </w:p>
        </w:tc>
        <w:tc>
          <w:tcPr>
            <w:tcW w:w="1236" w:type="dxa"/>
          </w:tcPr>
          <w:p>
            <w:pPr>
              <w:pStyle w:val="TableParagraph"/>
              <w:spacing w:before="47"/>
              <w:ind w:right="84"/>
              <w:rPr>
                <w:rFonts w:ascii="Arial"/>
                <w:sz w:val="18"/>
              </w:rPr>
            </w:pPr>
            <w:r>
              <w:rPr>
                <w:rFonts w:ascii="Arial"/>
                <w:sz w:val="18"/>
              </w:rPr>
              <w:t>100</w:t>
            </w:r>
          </w:p>
        </w:tc>
        <w:tc>
          <w:tcPr>
            <w:tcW w:w="1301" w:type="dxa"/>
          </w:tcPr>
          <w:p>
            <w:pPr>
              <w:pStyle w:val="TableParagraph"/>
              <w:spacing w:before="92"/>
              <w:ind w:right="72"/>
              <w:rPr>
                <w:rFonts w:ascii="Arial"/>
                <w:sz w:val="18"/>
              </w:rPr>
            </w:pPr>
            <w:r>
              <w:rPr>
                <w:rFonts w:ascii="Arial"/>
                <w:sz w:val="18"/>
              </w:rPr>
              <w:t>340,70</w:t>
            </w:r>
          </w:p>
        </w:tc>
        <w:tc>
          <w:tcPr>
            <w:tcW w:w="1109" w:type="dxa"/>
          </w:tcPr>
          <w:p>
            <w:pPr>
              <w:pStyle w:val="TableParagraph"/>
              <w:spacing w:before="92"/>
              <w:ind w:left="567" w:right="0"/>
              <w:jc w:val="left"/>
              <w:rPr>
                <w:rFonts w:ascii="Arial"/>
                <w:sz w:val="18"/>
              </w:rPr>
            </w:pPr>
            <w:r>
              <w:rPr>
                <w:rFonts w:ascii="Arial"/>
                <w:sz w:val="18"/>
              </w:rPr>
              <w:t>34,07</w:t>
            </w:r>
          </w:p>
        </w:tc>
        <w:tc>
          <w:tcPr>
            <w:tcW w:w="475" w:type="dxa"/>
          </w:tcPr>
          <w:p>
            <w:pPr/>
          </w:p>
        </w:tc>
        <w:tc>
          <w:tcPr>
            <w:tcW w:w="478" w:type="dxa"/>
          </w:tcPr>
          <w:p>
            <w:pPr/>
          </w:p>
        </w:tc>
        <w:tc>
          <w:tcPr>
            <w:tcW w:w="475" w:type="dxa"/>
          </w:tcPr>
          <w:p>
            <w:pPr>
              <w:pStyle w:val="TableParagraph"/>
              <w:spacing w:before="92"/>
              <w:ind w:left="44" w:right="44"/>
              <w:jc w:val="center"/>
              <w:rPr>
                <w:rFonts w:ascii="Arial"/>
                <w:sz w:val="18"/>
              </w:rPr>
            </w:pPr>
            <w:r>
              <w:rPr>
                <w:rFonts w:ascii="Arial"/>
                <w:sz w:val="18"/>
              </w:rPr>
              <w:t>-1</w:t>
            </w:r>
          </w:p>
        </w:tc>
        <w:tc>
          <w:tcPr>
            <w:tcW w:w="557" w:type="dxa"/>
          </w:tcPr>
          <w:p>
            <w:pPr/>
          </w:p>
        </w:tc>
        <w:tc>
          <w:tcPr>
            <w:tcW w:w="1008" w:type="dxa"/>
          </w:tcPr>
          <w:p>
            <w:pPr/>
          </w:p>
        </w:tc>
        <w:tc>
          <w:tcPr>
            <w:tcW w:w="1058" w:type="dxa"/>
          </w:tcPr>
          <w:p>
            <w:pPr/>
          </w:p>
        </w:tc>
        <w:tc>
          <w:tcPr>
            <w:tcW w:w="1133" w:type="dxa"/>
          </w:tcPr>
          <w:p>
            <w:pPr>
              <w:pStyle w:val="TableParagraph"/>
              <w:tabs>
                <w:tab w:pos="511" w:val="left" w:leader="none"/>
              </w:tabs>
              <w:spacing w:before="47"/>
              <w:ind w:right="62"/>
              <w:rPr>
                <w:rFonts w:ascii="Arial"/>
                <w:sz w:val="18"/>
              </w:rPr>
            </w:pPr>
            <w:r>
              <w:rPr>
                <w:rFonts w:ascii="Arial"/>
                <w:sz w:val="18"/>
              </w:rPr>
              <w:t>-</w:t>
              <w:tab/>
            </w:r>
            <w:r>
              <w:rPr>
                <w:rFonts w:ascii="Arial"/>
                <w:spacing w:val="-1"/>
                <w:sz w:val="18"/>
              </w:rPr>
              <w:t>34,07</w:t>
            </w:r>
          </w:p>
        </w:tc>
        <w:tc>
          <w:tcPr>
            <w:tcW w:w="1022" w:type="dxa"/>
          </w:tcPr>
          <w:p>
            <w:pPr/>
          </w:p>
        </w:tc>
      </w:tr>
      <w:tr>
        <w:trPr>
          <w:trHeight w:val="310" w:hRule="exact"/>
        </w:trPr>
        <w:tc>
          <w:tcPr>
            <w:tcW w:w="4536" w:type="dxa"/>
            <w:gridSpan w:val="4"/>
            <w:vMerge w:val="restart"/>
          </w:tcPr>
          <w:p>
            <w:pPr>
              <w:pStyle w:val="TableParagraph"/>
              <w:spacing w:before="9"/>
              <w:ind w:right="0"/>
              <w:jc w:val="left"/>
              <w:rPr>
                <w:rFonts w:ascii="Arial"/>
                <w:b/>
                <w:sz w:val="5"/>
              </w:rPr>
            </w:pPr>
          </w:p>
          <w:p>
            <w:pPr>
              <w:pStyle w:val="TableParagraph"/>
              <w:spacing w:before="0"/>
              <w:ind w:left="1120" w:right="0"/>
              <w:jc w:val="left"/>
              <w:rPr>
                <w:rFonts w:ascii="Arial"/>
                <w:sz w:val="20"/>
              </w:rPr>
            </w:pPr>
            <w:r>
              <w:rPr>
                <w:rFonts w:ascii="Arial"/>
                <w:sz w:val="20"/>
              </w:rPr>
              <w:drawing>
                <wp:inline distT="0" distB="0" distL="0" distR="0">
                  <wp:extent cx="1454375" cy="884682"/>
                  <wp:effectExtent l="0" t="0" r="0" b="0"/>
                  <wp:docPr id="43" name="image70.jpeg" descr=""/>
                  <wp:cNvGraphicFramePr>
                    <a:graphicFrameLocks noChangeAspect="1"/>
                  </wp:cNvGraphicFramePr>
                  <a:graphic>
                    <a:graphicData uri="http://schemas.openxmlformats.org/drawingml/2006/picture">
                      <pic:pic>
                        <pic:nvPicPr>
                          <pic:cNvPr id="44" name="image70.jpeg"/>
                          <pic:cNvPicPr/>
                        </pic:nvPicPr>
                        <pic:blipFill>
                          <a:blip r:embed="rId78" cstate="print"/>
                          <a:stretch>
                            <a:fillRect/>
                          </a:stretch>
                        </pic:blipFill>
                        <pic:spPr>
                          <a:xfrm>
                            <a:off x="0" y="0"/>
                            <a:ext cx="1454375" cy="884682"/>
                          </a:xfrm>
                          <a:prstGeom prst="rect">
                            <a:avLst/>
                          </a:prstGeom>
                        </pic:spPr>
                      </pic:pic>
                    </a:graphicData>
                  </a:graphic>
                </wp:inline>
              </w:drawing>
            </w:r>
            <w:r>
              <w:rPr>
                <w:rFonts w:ascii="Arial"/>
                <w:sz w:val="20"/>
              </w:rPr>
            </w:r>
          </w:p>
        </w:tc>
        <w:tc>
          <w:tcPr>
            <w:tcW w:w="1985" w:type="dxa"/>
            <w:gridSpan w:val="4"/>
          </w:tcPr>
          <w:p>
            <w:pPr>
              <w:pStyle w:val="TableParagraph"/>
              <w:spacing w:before="44"/>
              <w:ind w:left="64" w:right="175"/>
              <w:jc w:val="left"/>
              <w:rPr>
                <w:rFonts w:ascii="Arial"/>
                <w:sz w:val="18"/>
              </w:rPr>
            </w:pPr>
            <w:r>
              <w:rPr>
                <w:rFonts w:ascii="Arial"/>
                <w:sz w:val="18"/>
              </w:rPr>
              <w:t>Entrada (g/d)</w:t>
            </w:r>
          </w:p>
        </w:tc>
        <w:tc>
          <w:tcPr>
            <w:tcW w:w="1008" w:type="dxa"/>
          </w:tcPr>
          <w:p>
            <w:pPr>
              <w:pStyle w:val="TableParagraph"/>
              <w:spacing w:before="44"/>
              <w:ind w:right="63"/>
              <w:rPr>
                <w:rFonts w:ascii="Arial"/>
                <w:sz w:val="18"/>
              </w:rPr>
            </w:pPr>
            <w:r>
              <w:rPr>
                <w:rFonts w:ascii="Arial"/>
                <w:sz w:val="18"/>
              </w:rPr>
              <w:t>8 939,55</w:t>
            </w:r>
          </w:p>
        </w:tc>
        <w:tc>
          <w:tcPr>
            <w:tcW w:w="1058" w:type="dxa"/>
          </w:tcPr>
          <w:p>
            <w:pPr>
              <w:pStyle w:val="TableParagraph"/>
              <w:spacing w:before="44"/>
              <w:ind w:right="63"/>
              <w:rPr>
                <w:rFonts w:ascii="Arial"/>
                <w:sz w:val="18"/>
              </w:rPr>
            </w:pPr>
            <w:r>
              <w:rPr>
                <w:rFonts w:ascii="Arial"/>
                <w:sz w:val="18"/>
              </w:rPr>
              <w:t>8 455,10</w:t>
            </w:r>
          </w:p>
        </w:tc>
        <w:tc>
          <w:tcPr>
            <w:tcW w:w="1133" w:type="dxa"/>
          </w:tcPr>
          <w:p>
            <w:pPr>
              <w:pStyle w:val="TableParagraph"/>
              <w:spacing w:before="44"/>
              <w:ind w:right="63"/>
              <w:rPr>
                <w:rFonts w:ascii="Arial"/>
                <w:sz w:val="18"/>
              </w:rPr>
            </w:pPr>
            <w:r>
              <w:rPr>
                <w:rFonts w:ascii="Arial"/>
                <w:sz w:val="18"/>
              </w:rPr>
              <w:t>7 948,89</w:t>
            </w:r>
          </w:p>
        </w:tc>
        <w:tc>
          <w:tcPr>
            <w:tcW w:w="1022" w:type="dxa"/>
          </w:tcPr>
          <w:p>
            <w:pPr>
              <w:pStyle w:val="TableParagraph"/>
              <w:spacing w:before="44"/>
              <w:ind w:right="65"/>
              <w:rPr>
                <w:rFonts w:ascii="Arial"/>
                <w:sz w:val="18"/>
              </w:rPr>
            </w:pPr>
            <w:r>
              <w:rPr>
                <w:rFonts w:ascii="Arial"/>
                <w:sz w:val="18"/>
              </w:rPr>
              <w:t>9 353,52</w:t>
            </w:r>
          </w:p>
        </w:tc>
      </w:tr>
      <w:tr>
        <w:trPr>
          <w:trHeight w:val="310" w:hRule="exact"/>
        </w:trPr>
        <w:tc>
          <w:tcPr>
            <w:tcW w:w="4536" w:type="dxa"/>
            <w:gridSpan w:val="4"/>
            <w:vMerge/>
          </w:tcPr>
          <w:p>
            <w:pPr/>
          </w:p>
        </w:tc>
        <w:tc>
          <w:tcPr>
            <w:tcW w:w="1985" w:type="dxa"/>
            <w:gridSpan w:val="4"/>
          </w:tcPr>
          <w:p>
            <w:pPr>
              <w:pStyle w:val="TableParagraph"/>
              <w:spacing w:before="44"/>
              <w:ind w:left="64" w:right="175"/>
              <w:jc w:val="left"/>
              <w:rPr>
                <w:rFonts w:ascii="Arial"/>
                <w:sz w:val="18"/>
              </w:rPr>
            </w:pPr>
            <w:r>
              <w:rPr>
                <w:rFonts w:ascii="Arial"/>
                <w:sz w:val="18"/>
              </w:rPr>
              <w:t>Salida (g/d)</w:t>
            </w:r>
          </w:p>
        </w:tc>
        <w:tc>
          <w:tcPr>
            <w:tcW w:w="1008" w:type="dxa"/>
          </w:tcPr>
          <w:p>
            <w:pPr>
              <w:pStyle w:val="TableParagraph"/>
              <w:spacing w:before="44"/>
              <w:ind w:right="62"/>
              <w:rPr>
                <w:rFonts w:ascii="Arial"/>
                <w:sz w:val="18"/>
              </w:rPr>
            </w:pPr>
            <w:r>
              <w:rPr>
                <w:rFonts w:ascii="Arial"/>
                <w:sz w:val="18"/>
              </w:rPr>
              <w:t>-  8 455,10</w:t>
            </w:r>
          </w:p>
        </w:tc>
        <w:tc>
          <w:tcPr>
            <w:tcW w:w="1058" w:type="dxa"/>
          </w:tcPr>
          <w:p>
            <w:pPr>
              <w:pStyle w:val="TableParagraph"/>
              <w:spacing w:before="44"/>
              <w:ind w:right="63"/>
              <w:rPr>
                <w:rFonts w:ascii="Arial"/>
                <w:sz w:val="18"/>
              </w:rPr>
            </w:pPr>
            <w:r>
              <w:rPr>
                <w:rFonts w:ascii="Arial"/>
                <w:sz w:val="18"/>
              </w:rPr>
              <w:t>- 7 948,89</w:t>
            </w:r>
          </w:p>
        </w:tc>
        <w:tc>
          <w:tcPr>
            <w:tcW w:w="1133" w:type="dxa"/>
          </w:tcPr>
          <w:p>
            <w:pPr>
              <w:pStyle w:val="TableParagraph"/>
              <w:spacing w:before="44"/>
              <w:ind w:right="63"/>
              <w:rPr>
                <w:rFonts w:ascii="Arial"/>
                <w:sz w:val="18"/>
              </w:rPr>
            </w:pPr>
            <w:r>
              <w:rPr>
                <w:rFonts w:ascii="Arial"/>
                <w:sz w:val="18"/>
              </w:rPr>
              <w:t>- 11 032,34</w:t>
            </w:r>
          </w:p>
        </w:tc>
        <w:tc>
          <w:tcPr>
            <w:tcW w:w="1022" w:type="dxa"/>
          </w:tcPr>
          <w:p>
            <w:pPr>
              <w:pStyle w:val="TableParagraph"/>
              <w:spacing w:before="44"/>
              <w:ind w:right="63"/>
              <w:rPr>
                <w:rFonts w:ascii="Arial"/>
                <w:sz w:val="18"/>
              </w:rPr>
            </w:pPr>
            <w:r>
              <w:rPr>
                <w:rFonts w:ascii="Arial"/>
                <w:sz w:val="18"/>
              </w:rPr>
              <w:t>-  7 948,89</w:t>
            </w:r>
          </w:p>
        </w:tc>
      </w:tr>
      <w:tr>
        <w:trPr>
          <w:trHeight w:val="310" w:hRule="exact"/>
        </w:trPr>
        <w:tc>
          <w:tcPr>
            <w:tcW w:w="4536" w:type="dxa"/>
            <w:gridSpan w:val="4"/>
            <w:vMerge/>
          </w:tcPr>
          <w:p>
            <w:pPr/>
          </w:p>
        </w:tc>
        <w:tc>
          <w:tcPr>
            <w:tcW w:w="953" w:type="dxa"/>
            <w:gridSpan w:val="2"/>
            <w:vMerge w:val="restart"/>
          </w:tcPr>
          <w:p>
            <w:pPr>
              <w:pStyle w:val="TableParagraph"/>
              <w:spacing w:before="0"/>
              <w:ind w:right="0"/>
              <w:jc w:val="left"/>
              <w:rPr>
                <w:rFonts w:ascii="Arial"/>
                <w:b/>
                <w:sz w:val="18"/>
              </w:rPr>
            </w:pPr>
          </w:p>
          <w:p>
            <w:pPr>
              <w:pStyle w:val="TableParagraph"/>
              <w:spacing w:before="149"/>
              <w:ind w:left="64" w:right="0"/>
              <w:jc w:val="left"/>
              <w:rPr>
                <w:rFonts w:ascii="Arial"/>
                <w:sz w:val="18"/>
              </w:rPr>
            </w:pPr>
            <w:r>
              <w:rPr>
                <w:rFonts w:ascii="Arial"/>
                <w:sz w:val="18"/>
              </w:rPr>
              <w:t>Diferencia</w:t>
            </w:r>
          </w:p>
        </w:tc>
        <w:tc>
          <w:tcPr>
            <w:tcW w:w="1032" w:type="dxa"/>
            <w:gridSpan w:val="2"/>
          </w:tcPr>
          <w:p>
            <w:pPr>
              <w:pStyle w:val="TableParagraph"/>
              <w:spacing w:before="44"/>
              <w:ind w:left="64" w:right="0"/>
              <w:jc w:val="left"/>
              <w:rPr>
                <w:rFonts w:ascii="Arial"/>
                <w:sz w:val="18"/>
              </w:rPr>
            </w:pPr>
            <w:r>
              <w:rPr>
                <w:rFonts w:ascii="Arial"/>
                <w:sz w:val="18"/>
              </w:rPr>
              <w:t>g/d</w:t>
            </w:r>
          </w:p>
        </w:tc>
        <w:tc>
          <w:tcPr>
            <w:tcW w:w="1008" w:type="dxa"/>
          </w:tcPr>
          <w:p>
            <w:pPr>
              <w:pStyle w:val="TableParagraph"/>
              <w:spacing w:before="44"/>
              <w:ind w:right="62"/>
              <w:rPr>
                <w:rFonts w:ascii="Arial"/>
                <w:sz w:val="18"/>
              </w:rPr>
            </w:pPr>
            <w:r>
              <w:rPr>
                <w:rFonts w:ascii="Arial"/>
                <w:sz w:val="18"/>
              </w:rPr>
              <w:t>484,44</w:t>
            </w:r>
          </w:p>
        </w:tc>
        <w:tc>
          <w:tcPr>
            <w:tcW w:w="1058" w:type="dxa"/>
          </w:tcPr>
          <w:p>
            <w:pPr>
              <w:pStyle w:val="TableParagraph"/>
              <w:spacing w:before="44"/>
              <w:ind w:right="63"/>
              <w:rPr>
                <w:rFonts w:ascii="Arial"/>
                <w:sz w:val="18"/>
              </w:rPr>
            </w:pPr>
            <w:r>
              <w:rPr>
                <w:rFonts w:ascii="Arial"/>
                <w:sz w:val="18"/>
              </w:rPr>
              <w:t>506,22</w:t>
            </w:r>
          </w:p>
        </w:tc>
        <w:tc>
          <w:tcPr>
            <w:tcW w:w="1133" w:type="dxa"/>
          </w:tcPr>
          <w:p>
            <w:pPr>
              <w:pStyle w:val="TableParagraph"/>
              <w:spacing w:before="44"/>
              <w:ind w:right="63"/>
              <w:rPr>
                <w:rFonts w:ascii="Arial"/>
                <w:sz w:val="18"/>
              </w:rPr>
            </w:pPr>
            <w:r>
              <w:rPr>
                <w:rFonts w:ascii="Arial"/>
                <w:sz w:val="18"/>
              </w:rPr>
              <w:t>-   3 083,45</w:t>
            </w:r>
          </w:p>
        </w:tc>
        <w:tc>
          <w:tcPr>
            <w:tcW w:w="1022" w:type="dxa"/>
          </w:tcPr>
          <w:p>
            <w:pPr>
              <w:pStyle w:val="TableParagraph"/>
              <w:spacing w:before="44"/>
              <w:ind w:right="65"/>
              <w:rPr>
                <w:rFonts w:ascii="Arial"/>
                <w:sz w:val="18"/>
              </w:rPr>
            </w:pPr>
            <w:r>
              <w:rPr>
                <w:rFonts w:ascii="Arial"/>
                <w:sz w:val="18"/>
              </w:rPr>
              <w:t>1 404,63</w:t>
            </w:r>
          </w:p>
        </w:tc>
      </w:tr>
      <w:tr>
        <w:trPr>
          <w:trHeight w:val="310" w:hRule="exact"/>
        </w:trPr>
        <w:tc>
          <w:tcPr>
            <w:tcW w:w="4536" w:type="dxa"/>
            <w:gridSpan w:val="4"/>
            <w:vMerge/>
          </w:tcPr>
          <w:p>
            <w:pPr/>
          </w:p>
        </w:tc>
        <w:tc>
          <w:tcPr>
            <w:tcW w:w="953" w:type="dxa"/>
            <w:gridSpan w:val="2"/>
            <w:vMerge/>
          </w:tcPr>
          <w:p>
            <w:pPr/>
          </w:p>
        </w:tc>
        <w:tc>
          <w:tcPr>
            <w:tcW w:w="1032" w:type="dxa"/>
            <w:gridSpan w:val="2"/>
          </w:tcPr>
          <w:p>
            <w:pPr>
              <w:pStyle w:val="TableParagraph"/>
              <w:spacing w:before="47"/>
              <w:ind w:left="64" w:right="0"/>
              <w:jc w:val="left"/>
              <w:rPr>
                <w:rFonts w:ascii="Arial"/>
                <w:sz w:val="18"/>
              </w:rPr>
            </w:pPr>
            <w:r>
              <w:rPr>
                <w:rFonts w:ascii="Arial"/>
                <w:sz w:val="18"/>
              </w:rPr>
              <w:t>g/kg pez d</w:t>
            </w:r>
          </w:p>
        </w:tc>
        <w:tc>
          <w:tcPr>
            <w:tcW w:w="1008" w:type="dxa"/>
          </w:tcPr>
          <w:p>
            <w:pPr>
              <w:pStyle w:val="TableParagraph"/>
              <w:spacing w:before="47"/>
              <w:ind w:right="60"/>
              <w:rPr>
                <w:rFonts w:ascii="Arial"/>
                <w:sz w:val="18"/>
              </w:rPr>
            </w:pPr>
            <w:r>
              <w:rPr>
                <w:rFonts w:ascii="Arial"/>
                <w:w w:val="95"/>
                <w:sz w:val="18"/>
              </w:rPr>
              <w:t>5,31</w:t>
            </w:r>
          </w:p>
        </w:tc>
        <w:tc>
          <w:tcPr>
            <w:tcW w:w="1058" w:type="dxa"/>
          </w:tcPr>
          <w:p>
            <w:pPr>
              <w:pStyle w:val="TableParagraph"/>
              <w:spacing w:before="47"/>
              <w:ind w:right="62"/>
              <w:rPr>
                <w:rFonts w:ascii="Arial"/>
                <w:sz w:val="18"/>
              </w:rPr>
            </w:pPr>
            <w:r>
              <w:rPr>
                <w:rFonts w:ascii="Arial"/>
                <w:sz w:val="18"/>
              </w:rPr>
              <w:t>5,55</w:t>
            </w:r>
          </w:p>
        </w:tc>
        <w:tc>
          <w:tcPr>
            <w:tcW w:w="1133" w:type="dxa"/>
          </w:tcPr>
          <w:p>
            <w:pPr>
              <w:pStyle w:val="TableParagraph"/>
              <w:tabs>
                <w:tab w:pos="461" w:val="left" w:leader="none"/>
              </w:tabs>
              <w:spacing w:before="47"/>
              <w:ind w:right="63"/>
              <w:rPr>
                <w:rFonts w:ascii="Arial"/>
                <w:sz w:val="18"/>
              </w:rPr>
            </w:pPr>
            <w:r>
              <w:rPr>
                <w:rFonts w:ascii="Arial"/>
                <w:sz w:val="18"/>
              </w:rPr>
              <w:t>-</w:t>
              <w:tab/>
            </w:r>
            <w:r>
              <w:rPr>
                <w:rFonts w:ascii="Arial"/>
                <w:spacing w:val="-1"/>
                <w:sz w:val="18"/>
              </w:rPr>
              <w:t>33,79</w:t>
            </w:r>
          </w:p>
        </w:tc>
        <w:tc>
          <w:tcPr>
            <w:tcW w:w="1022" w:type="dxa"/>
          </w:tcPr>
          <w:p>
            <w:pPr>
              <w:pStyle w:val="TableParagraph"/>
              <w:spacing w:before="47"/>
              <w:ind w:right="65"/>
              <w:rPr>
                <w:rFonts w:ascii="Arial"/>
                <w:sz w:val="18"/>
              </w:rPr>
            </w:pPr>
            <w:r>
              <w:rPr>
                <w:rFonts w:ascii="Arial"/>
                <w:sz w:val="18"/>
              </w:rPr>
              <w:t>15,39</w:t>
            </w:r>
          </w:p>
        </w:tc>
      </w:tr>
      <w:tr>
        <w:trPr>
          <w:trHeight w:val="312" w:hRule="exact"/>
        </w:trPr>
        <w:tc>
          <w:tcPr>
            <w:tcW w:w="4536" w:type="dxa"/>
            <w:gridSpan w:val="4"/>
            <w:vMerge/>
          </w:tcPr>
          <w:p>
            <w:pPr/>
          </w:p>
        </w:tc>
        <w:tc>
          <w:tcPr>
            <w:tcW w:w="953" w:type="dxa"/>
            <w:gridSpan w:val="2"/>
            <w:vMerge/>
          </w:tcPr>
          <w:p>
            <w:pPr/>
          </w:p>
        </w:tc>
        <w:tc>
          <w:tcPr>
            <w:tcW w:w="1032" w:type="dxa"/>
            <w:gridSpan w:val="2"/>
          </w:tcPr>
          <w:p>
            <w:pPr>
              <w:pStyle w:val="TableParagraph"/>
              <w:spacing w:before="47"/>
              <w:ind w:left="64" w:right="0"/>
              <w:jc w:val="left"/>
              <w:rPr>
                <w:rFonts w:ascii="Arial"/>
                <w:sz w:val="18"/>
              </w:rPr>
            </w:pPr>
            <w:r>
              <w:rPr>
                <w:rFonts w:ascii="Arial"/>
                <w:w w:val="99"/>
                <w:sz w:val="18"/>
              </w:rPr>
              <w:t>%</w:t>
            </w:r>
          </w:p>
        </w:tc>
        <w:tc>
          <w:tcPr>
            <w:tcW w:w="1008" w:type="dxa"/>
          </w:tcPr>
          <w:p>
            <w:pPr>
              <w:pStyle w:val="TableParagraph"/>
              <w:spacing w:before="47"/>
              <w:ind w:right="60"/>
              <w:rPr>
                <w:rFonts w:ascii="Arial"/>
                <w:sz w:val="18"/>
              </w:rPr>
            </w:pPr>
            <w:r>
              <w:rPr>
                <w:rFonts w:ascii="Arial"/>
                <w:w w:val="95"/>
                <w:sz w:val="18"/>
              </w:rPr>
              <w:t>5,42</w:t>
            </w:r>
          </w:p>
        </w:tc>
        <w:tc>
          <w:tcPr>
            <w:tcW w:w="1058" w:type="dxa"/>
          </w:tcPr>
          <w:p>
            <w:pPr>
              <w:pStyle w:val="TableParagraph"/>
              <w:spacing w:before="47"/>
              <w:ind w:right="62"/>
              <w:rPr>
                <w:rFonts w:ascii="Arial"/>
                <w:sz w:val="18"/>
              </w:rPr>
            </w:pPr>
            <w:r>
              <w:rPr>
                <w:rFonts w:ascii="Arial"/>
                <w:sz w:val="18"/>
              </w:rPr>
              <w:t>5,99</w:t>
            </w:r>
          </w:p>
        </w:tc>
        <w:tc>
          <w:tcPr>
            <w:tcW w:w="1133" w:type="dxa"/>
          </w:tcPr>
          <w:p>
            <w:pPr>
              <w:pStyle w:val="TableParagraph"/>
              <w:tabs>
                <w:tab w:pos="511" w:val="left" w:leader="none"/>
              </w:tabs>
              <w:spacing w:before="47"/>
              <w:ind w:right="62"/>
              <w:rPr>
                <w:rFonts w:ascii="Arial"/>
                <w:sz w:val="18"/>
              </w:rPr>
            </w:pPr>
            <w:r>
              <w:rPr>
                <w:rFonts w:ascii="Arial"/>
                <w:sz w:val="18"/>
              </w:rPr>
              <w:t>-</w:t>
              <w:tab/>
            </w:r>
            <w:r>
              <w:rPr>
                <w:rFonts w:ascii="Arial"/>
                <w:spacing w:val="-1"/>
                <w:sz w:val="18"/>
              </w:rPr>
              <w:t>38,79</w:t>
            </w:r>
          </w:p>
        </w:tc>
        <w:tc>
          <w:tcPr>
            <w:tcW w:w="1022" w:type="dxa"/>
          </w:tcPr>
          <w:p>
            <w:pPr>
              <w:pStyle w:val="TableParagraph"/>
              <w:spacing w:before="47"/>
              <w:ind w:right="65"/>
              <w:rPr>
                <w:rFonts w:ascii="Arial"/>
                <w:sz w:val="18"/>
              </w:rPr>
            </w:pPr>
            <w:r>
              <w:rPr>
                <w:rFonts w:ascii="Arial"/>
                <w:sz w:val="18"/>
              </w:rPr>
              <w:t>15,02</w:t>
            </w:r>
          </w:p>
        </w:tc>
      </w:tr>
    </w:tbl>
    <w:p>
      <w:pPr>
        <w:spacing w:after="0"/>
        <w:rPr>
          <w:rFonts w:ascii="Arial"/>
          <w:sz w:val="18"/>
        </w:rPr>
        <w:sectPr>
          <w:pgSz w:w="12240" w:h="15840"/>
          <w:pgMar w:header="725" w:footer="1084" w:top="1340" w:bottom="1280" w:left="880" w:right="380"/>
        </w:sectPr>
      </w:pPr>
    </w:p>
    <w:p>
      <w:pPr>
        <w:pStyle w:val="Heading5"/>
        <w:numPr>
          <w:ilvl w:val="3"/>
          <w:numId w:val="15"/>
        </w:numPr>
        <w:tabs>
          <w:tab w:pos="1578" w:val="left" w:leader="none"/>
        </w:tabs>
        <w:spacing w:line="240" w:lineRule="auto" w:before="172" w:after="0"/>
        <w:ind w:left="1577" w:right="0" w:hanging="796"/>
        <w:jc w:val="both"/>
      </w:pPr>
      <w:bookmarkStart w:name="_TOC_250026" w:id="140"/>
      <w:bookmarkStart w:name="5.6.1.5. Sólidos suspendidos totales (SS" w:id="141"/>
      <w:r>
        <w:rPr>
          <w:b w:val="0"/>
        </w:rPr>
      </w:r>
      <w:bookmarkEnd w:id="141"/>
      <w:bookmarkStart w:name="5.6.1.5. Sólidos suspendidos totales (SS" w:id="142"/>
      <w:r>
        <w:rPr/>
        <w:t>S</w:t>
      </w:r>
      <w:r>
        <w:rPr/>
        <w:t>ÓLIDOS SUSPENDIDOS TOTALES</w:t>
      </w:r>
      <w:r>
        <w:rPr>
          <w:spacing w:val="-15"/>
        </w:rPr>
        <w:t> </w:t>
      </w:r>
      <w:bookmarkEnd w:id="140"/>
      <w:r>
        <w:rPr/>
        <w:t>(SST)</w:t>
      </w:r>
    </w:p>
    <w:p>
      <w:pPr>
        <w:pStyle w:val="BodyText"/>
        <w:spacing w:before="5"/>
        <w:rPr>
          <w:b/>
          <w:sz w:val="28"/>
        </w:rPr>
      </w:pPr>
    </w:p>
    <w:p>
      <w:pPr>
        <w:pStyle w:val="BodyText"/>
        <w:spacing w:line="360" w:lineRule="auto" w:before="1"/>
        <w:ind w:left="781" w:right="998"/>
        <w:jc w:val="both"/>
      </w:pPr>
      <w:r>
        <w:rPr/>
        <w:t>Timmons </w:t>
      </w:r>
      <w:r>
        <w:rPr>
          <w:i/>
        </w:rPr>
        <w:t>et al</w:t>
      </w:r>
      <w:r>
        <w:rPr/>
        <w:t>. (2002) mencionan que los SST son los responsables de aproximadamente el 80 % de los contaminantes en el agua, por lo que conocer su comportamiento y removerlos del SRA lo más pronto posible es una prioridad para cualquier cultivo.</w:t>
      </w:r>
    </w:p>
    <w:p>
      <w:pPr>
        <w:pStyle w:val="BodyText"/>
        <w:spacing w:before="7"/>
        <w:rPr>
          <w:sz w:val="17"/>
        </w:rPr>
      </w:pPr>
    </w:p>
    <w:p>
      <w:pPr>
        <w:pStyle w:val="BodyText"/>
        <w:spacing w:line="360" w:lineRule="auto"/>
        <w:ind w:left="781" w:right="997"/>
        <w:jc w:val="both"/>
      </w:pPr>
      <w:r>
        <w:rPr/>
        <w:t>La generación de los SST, como era estimado, sucedió en el filtro percolador, esto por la biopelícula muerta desprendida del empaque del biofiltro (Eding </w:t>
      </w:r>
      <w:r>
        <w:rPr>
          <w:i/>
        </w:rPr>
        <w:t>et al</w:t>
      </w:r>
      <w:r>
        <w:rPr/>
        <w:t>., 2006) con una tasa de generación de 20,94 g de SST/d. Otro lugar donde se generaron SST fue el estanque, en efecto, las heces fecales, el alimento no consumido y la biomasa de bacterias muertas generaron 345,63 g SST/d. La unidad del tren de tratamiento que removió los sólidos fue el filtro de arena (286,12 g de SST/d) ya que no sólo trabajó como un filtro biológico, también para el objetivo inicial que es la remoción de los sólidos a la salida del tren de tratamiento (Cánepa, 1992). Otra unidad que cumplió con este objetivo fue el sedimentador que eliminó gran cantidad de SST en el balance de masa fue considerado junto con el estanque (tabla 25).</w:t>
      </w:r>
    </w:p>
    <w:p>
      <w:pPr>
        <w:pStyle w:val="BodyText"/>
        <w:spacing w:before="6"/>
        <w:rPr>
          <w:sz w:val="17"/>
        </w:rPr>
      </w:pPr>
    </w:p>
    <w:p>
      <w:pPr>
        <w:spacing w:before="0"/>
        <w:ind w:left="2694" w:right="0" w:firstLine="0"/>
        <w:jc w:val="left"/>
        <w:rPr>
          <w:b/>
          <w:sz w:val="18"/>
        </w:rPr>
      </w:pPr>
      <w:r>
        <w:rPr>
          <w:b/>
          <w:sz w:val="18"/>
        </w:rPr>
        <w:t>Tabla 25. Balance de masa de SST en el sistema prototipo.</w:t>
      </w:r>
    </w:p>
    <w:p>
      <w:pPr>
        <w:pStyle w:val="BodyText"/>
        <w:spacing w:before="10"/>
        <w:rPr>
          <w:b/>
          <w:sz w:val="10"/>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0"/>
        <w:gridCol w:w="917"/>
        <w:gridCol w:w="1301"/>
        <w:gridCol w:w="1058"/>
        <w:gridCol w:w="475"/>
        <w:gridCol w:w="617"/>
        <w:gridCol w:w="569"/>
        <w:gridCol w:w="475"/>
        <w:gridCol w:w="847"/>
        <w:gridCol w:w="876"/>
        <w:gridCol w:w="840"/>
        <w:gridCol w:w="876"/>
      </w:tblGrid>
      <w:tr>
        <w:trPr>
          <w:trHeight w:val="422" w:hRule="exact"/>
        </w:trPr>
        <w:tc>
          <w:tcPr>
            <w:tcW w:w="890"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2"/>
              <w:ind w:right="0"/>
              <w:jc w:val="left"/>
              <w:rPr>
                <w:rFonts w:ascii="Arial"/>
                <w:b/>
                <w:sz w:val="14"/>
              </w:rPr>
            </w:pPr>
          </w:p>
          <w:p>
            <w:pPr>
              <w:pStyle w:val="TableParagraph"/>
              <w:spacing w:before="0"/>
              <w:ind w:left="64" w:right="46" w:firstLine="14"/>
              <w:jc w:val="left"/>
              <w:rPr>
                <w:rFonts w:ascii="Arial"/>
                <w:sz w:val="18"/>
              </w:rPr>
            </w:pPr>
            <w:r>
              <w:rPr>
                <w:rFonts w:ascii="Arial"/>
                <w:sz w:val="18"/>
              </w:rPr>
              <w:t>Punto de muestreo</w:t>
            </w:r>
          </w:p>
        </w:tc>
        <w:tc>
          <w:tcPr>
            <w:tcW w:w="917"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2"/>
              <w:ind w:right="0"/>
              <w:jc w:val="left"/>
              <w:rPr>
                <w:rFonts w:ascii="Arial"/>
                <w:b/>
                <w:sz w:val="14"/>
              </w:rPr>
            </w:pPr>
          </w:p>
          <w:p>
            <w:pPr>
              <w:pStyle w:val="TableParagraph"/>
              <w:spacing w:before="0"/>
              <w:ind w:left="266" w:right="151" w:hanging="101"/>
              <w:jc w:val="left"/>
              <w:rPr>
                <w:rFonts w:ascii="Arial"/>
                <w:sz w:val="18"/>
              </w:rPr>
            </w:pPr>
            <w:r>
              <w:rPr>
                <w:rFonts w:ascii="Arial"/>
                <w:sz w:val="18"/>
              </w:rPr>
              <w:t>Caudal (L/d)</w:t>
            </w:r>
          </w:p>
        </w:tc>
        <w:tc>
          <w:tcPr>
            <w:tcW w:w="1301"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2"/>
              <w:ind w:right="0"/>
              <w:jc w:val="left"/>
              <w:rPr>
                <w:rFonts w:ascii="Arial"/>
                <w:b/>
                <w:sz w:val="14"/>
              </w:rPr>
            </w:pPr>
          </w:p>
          <w:p>
            <w:pPr>
              <w:pStyle w:val="TableParagraph"/>
              <w:spacing w:before="0"/>
              <w:ind w:left="384" w:right="46" w:hanging="320"/>
              <w:jc w:val="left"/>
              <w:rPr>
                <w:rFonts w:ascii="Arial" w:hAnsi="Arial"/>
                <w:sz w:val="18"/>
              </w:rPr>
            </w:pPr>
            <w:r>
              <w:rPr>
                <w:rFonts w:ascii="Arial" w:hAnsi="Arial"/>
                <w:sz w:val="18"/>
              </w:rPr>
              <w:t>Concentración (mg/L)</w:t>
            </w:r>
          </w:p>
        </w:tc>
        <w:tc>
          <w:tcPr>
            <w:tcW w:w="1058"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2"/>
              <w:ind w:right="0"/>
              <w:jc w:val="left"/>
              <w:rPr>
                <w:rFonts w:ascii="Arial"/>
                <w:b/>
                <w:sz w:val="23"/>
              </w:rPr>
            </w:pPr>
          </w:p>
          <w:p>
            <w:pPr>
              <w:pStyle w:val="TableParagraph"/>
              <w:spacing w:before="0"/>
              <w:ind w:left="237" w:right="236" w:firstLine="2"/>
              <w:jc w:val="center"/>
              <w:rPr>
                <w:rFonts w:ascii="Arial" w:hAnsi="Arial"/>
                <w:sz w:val="18"/>
              </w:rPr>
            </w:pPr>
            <w:r>
              <w:rPr>
                <w:rFonts w:ascii="Arial" w:hAnsi="Arial"/>
                <w:sz w:val="18"/>
              </w:rPr>
              <w:t>Flujo másico (g/d)</w:t>
            </w:r>
          </w:p>
        </w:tc>
        <w:tc>
          <w:tcPr>
            <w:tcW w:w="2136" w:type="dxa"/>
            <w:gridSpan w:val="4"/>
          </w:tcPr>
          <w:p>
            <w:pPr>
              <w:pStyle w:val="TableParagraph"/>
              <w:spacing w:before="0"/>
              <w:ind w:left="981" w:right="127" w:hanging="838"/>
              <w:jc w:val="left"/>
              <w:rPr>
                <w:rFonts w:ascii="Arial"/>
                <w:sz w:val="18"/>
              </w:rPr>
            </w:pPr>
            <w:r>
              <w:rPr>
                <w:rFonts w:ascii="Arial"/>
                <w:sz w:val="18"/>
              </w:rPr>
              <w:t>Entrada (+1) y salida (- 1)</w:t>
            </w:r>
          </w:p>
        </w:tc>
        <w:tc>
          <w:tcPr>
            <w:tcW w:w="3439" w:type="dxa"/>
            <w:gridSpan w:val="4"/>
          </w:tcPr>
          <w:p>
            <w:pPr>
              <w:pStyle w:val="TableParagraph"/>
              <w:spacing w:before="10"/>
              <w:ind w:right="0"/>
              <w:jc w:val="left"/>
              <w:rPr>
                <w:rFonts w:ascii="Arial"/>
                <w:b/>
                <w:sz w:val="17"/>
              </w:rPr>
            </w:pPr>
          </w:p>
          <w:p>
            <w:pPr>
              <w:pStyle w:val="TableParagraph"/>
              <w:spacing w:before="0"/>
              <w:ind w:left="1132" w:right="0"/>
              <w:jc w:val="left"/>
              <w:rPr>
                <w:rFonts w:ascii="Arial"/>
                <w:sz w:val="18"/>
              </w:rPr>
            </w:pPr>
            <w:r>
              <w:rPr>
                <w:rFonts w:ascii="Arial"/>
                <w:sz w:val="18"/>
              </w:rPr>
              <w:t>Balances (g/d)</w:t>
            </w:r>
          </w:p>
        </w:tc>
      </w:tr>
      <w:tr>
        <w:trPr>
          <w:trHeight w:val="1572" w:hRule="exact"/>
        </w:trPr>
        <w:tc>
          <w:tcPr>
            <w:tcW w:w="890" w:type="dxa"/>
            <w:vMerge/>
          </w:tcPr>
          <w:p>
            <w:pPr/>
          </w:p>
        </w:tc>
        <w:tc>
          <w:tcPr>
            <w:tcW w:w="917" w:type="dxa"/>
            <w:vMerge/>
          </w:tcPr>
          <w:p>
            <w:pPr/>
          </w:p>
        </w:tc>
        <w:tc>
          <w:tcPr>
            <w:tcW w:w="1301" w:type="dxa"/>
            <w:vMerge/>
          </w:tcPr>
          <w:p>
            <w:pPr/>
          </w:p>
        </w:tc>
        <w:tc>
          <w:tcPr>
            <w:tcW w:w="1058" w:type="dxa"/>
            <w:vMerge/>
          </w:tcPr>
          <w:p>
            <w:pPr/>
          </w:p>
        </w:tc>
        <w:tc>
          <w:tcPr>
            <w:tcW w:w="475" w:type="dxa"/>
            <w:textDirection w:val="btLr"/>
          </w:tcPr>
          <w:p>
            <w:pPr>
              <w:pStyle w:val="TableParagraph"/>
              <w:spacing w:before="124"/>
              <w:ind w:left="343"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617" w:type="dxa"/>
            <w:textDirection w:val="btLr"/>
          </w:tcPr>
          <w:p>
            <w:pPr>
              <w:pStyle w:val="TableParagraph"/>
              <w:spacing w:before="9"/>
              <w:ind w:right="0"/>
              <w:jc w:val="left"/>
              <w:rPr>
                <w:rFonts w:ascii="Arial"/>
                <w:b/>
                <w:sz w:val="16"/>
              </w:rPr>
            </w:pPr>
          </w:p>
          <w:p>
            <w:pPr>
              <w:pStyle w:val="TableParagraph"/>
              <w:spacing w:before="0"/>
              <w:ind w:left="199"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569" w:type="dxa"/>
            <w:textDirection w:val="btLr"/>
          </w:tcPr>
          <w:p>
            <w:pPr>
              <w:pStyle w:val="TableParagraph"/>
              <w:spacing w:before="8"/>
              <w:ind w:right="0"/>
              <w:jc w:val="left"/>
              <w:rPr>
                <w:rFonts w:ascii="Arial"/>
                <w:b/>
                <w:sz w:val="14"/>
              </w:rPr>
            </w:pPr>
          </w:p>
          <w:p>
            <w:pPr>
              <w:pStyle w:val="TableParagraph"/>
              <w:spacing w:before="0"/>
              <w:ind w:left="398"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475" w:type="dxa"/>
            <w:textDirection w:val="btLr"/>
          </w:tcPr>
          <w:p>
            <w:pPr>
              <w:pStyle w:val="TableParagraph"/>
              <w:spacing w:before="121"/>
              <w:ind w:left="299" w:right="0"/>
              <w:jc w:val="left"/>
              <w:rPr>
                <w:rFonts w:ascii="Arial"/>
                <w:sz w:val="18"/>
              </w:rPr>
            </w:pPr>
            <w:r>
              <w:rPr>
                <w:rFonts w:ascii="Arial"/>
                <w:spacing w:val="-1"/>
                <w:w w:val="99"/>
                <w:sz w:val="18"/>
              </w:rPr>
              <w:t>R</w:t>
            </w:r>
            <w:r>
              <w:rPr>
                <w:rFonts w:ascii="Arial"/>
                <w:w w:val="99"/>
                <w:sz w:val="18"/>
              </w:rPr>
              <w:t>e</w:t>
            </w:r>
            <w:r>
              <w:rPr>
                <w:rFonts w:ascii="Arial"/>
                <w:spacing w:val="1"/>
                <w:w w:val="99"/>
                <w:sz w:val="18"/>
              </w:rPr>
              <w:t>s</w:t>
            </w:r>
            <w:r>
              <w:rPr>
                <w:rFonts w:ascii="Arial"/>
                <w:w w:val="99"/>
                <w:sz w:val="18"/>
              </w:rPr>
              <w:t>er</w:t>
            </w:r>
            <w:r>
              <w:rPr>
                <w:rFonts w:ascii="Arial"/>
                <w:spacing w:val="-2"/>
                <w:w w:val="99"/>
                <w:sz w:val="18"/>
              </w:rPr>
              <w:t>v</w:t>
            </w:r>
            <w:r>
              <w:rPr>
                <w:rFonts w:ascii="Arial"/>
                <w:w w:val="99"/>
                <w:sz w:val="18"/>
              </w:rPr>
              <w:t>ori</w:t>
            </w:r>
            <w:r>
              <w:rPr>
                <w:rFonts w:ascii="Arial"/>
                <w:spacing w:val="-2"/>
                <w:w w:val="99"/>
                <w:sz w:val="18"/>
              </w:rPr>
              <w:t>o</w:t>
            </w:r>
            <w:r>
              <w:rPr>
                <w:rFonts w:ascii="Arial"/>
                <w:w w:val="99"/>
                <w:sz w:val="18"/>
              </w:rPr>
              <w:t>s</w:t>
            </w:r>
          </w:p>
        </w:tc>
        <w:tc>
          <w:tcPr>
            <w:tcW w:w="847" w:type="dxa"/>
            <w:textDirection w:val="btLr"/>
          </w:tcPr>
          <w:p>
            <w:pPr>
              <w:pStyle w:val="TableParagraph"/>
              <w:spacing w:before="7"/>
              <w:ind w:right="0"/>
              <w:jc w:val="left"/>
              <w:rPr>
                <w:rFonts w:ascii="Arial"/>
                <w:b/>
                <w:sz w:val="26"/>
              </w:rPr>
            </w:pPr>
          </w:p>
          <w:p>
            <w:pPr>
              <w:pStyle w:val="TableParagraph"/>
              <w:spacing w:before="0"/>
              <w:ind w:left="343"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876" w:type="dxa"/>
            <w:textDirection w:val="btLr"/>
          </w:tcPr>
          <w:p>
            <w:pPr>
              <w:pStyle w:val="TableParagraph"/>
              <w:spacing w:before="0"/>
              <w:ind w:right="0"/>
              <w:jc w:val="left"/>
              <w:rPr>
                <w:rFonts w:ascii="Arial"/>
                <w:b/>
                <w:sz w:val="18"/>
              </w:rPr>
            </w:pPr>
          </w:p>
          <w:p>
            <w:pPr>
              <w:pStyle w:val="TableParagraph"/>
              <w:spacing w:before="113"/>
              <w:ind w:left="199"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840" w:type="dxa"/>
            <w:textDirection w:val="btLr"/>
          </w:tcPr>
          <w:p>
            <w:pPr>
              <w:pStyle w:val="TableParagraph"/>
              <w:spacing w:before="5"/>
              <w:ind w:right="0"/>
              <w:jc w:val="left"/>
              <w:rPr>
                <w:rFonts w:ascii="Arial"/>
                <w:b/>
                <w:sz w:val="26"/>
              </w:rPr>
            </w:pPr>
          </w:p>
          <w:p>
            <w:pPr>
              <w:pStyle w:val="TableParagraph"/>
              <w:spacing w:before="0"/>
              <w:ind w:left="398"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876" w:type="dxa"/>
            <w:textDirection w:val="btLr"/>
          </w:tcPr>
          <w:p>
            <w:pPr>
              <w:pStyle w:val="TableParagraph"/>
              <w:spacing w:before="0"/>
              <w:ind w:right="0"/>
              <w:jc w:val="left"/>
              <w:rPr>
                <w:rFonts w:ascii="Arial"/>
                <w:b/>
                <w:sz w:val="18"/>
              </w:rPr>
            </w:pPr>
          </w:p>
          <w:p>
            <w:pPr>
              <w:pStyle w:val="TableParagraph"/>
              <w:spacing w:before="116"/>
              <w:ind w:left="299" w:right="0"/>
              <w:jc w:val="left"/>
              <w:rPr>
                <w:rFonts w:ascii="Arial"/>
                <w:sz w:val="18"/>
              </w:rPr>
            </w:pPr>
            <w:r>
              <w:rPr>
                <w:rFonts w:ascii="Arial"/>
                <w:spacing w:val="-1"/>
                <w:w w:val="99"/>
                <w:sz w:val="18"/>
              </w:rPr>
              <w:t>R</w:t>
            </w:r>
            <w:r>
              <w:rPr>
                <w:rFonts w:ascii="Arial"/>
                <w:w w:val="99"/>
                <w:sz w:val="18"/>
              </w:rPr>
              <w:t>e</w:t>
            </w:r>
            <w:r>
              <w:rPr>
                <w:rFonts w:ascii="Arial"/>
                <w:spacing w:val="1"/>
                <w:w w:val="99"/>
                <w:sz w:val="18"/>
              </w:rPr>
              <w:t>s</w:t>
            </w:r>
            <w:r>
              <w:rPr>
                <w:rFonts w:ascii="Arial"/>
                <w:w w:val="99"/>
                <w:sz w:val="18"/>
              </w:rPr>
              <w:t>er</w:t>
            </w:r>
            <w:r>
              <w:rPr>
                <w:rFonts w:ascii="Arial"/>
                <w:spacing w:val="-2"/>
                <w:w w:val="99"/>
                <w:sz w:val="18"/>
              </w:rPr>
              <w:t>v</w:t>
            </w:r>
            <w:r>
              <w:rPr>
                <w:rFonts w:ascii="Arial"/>
                <w:w w:val="99"/>
                <w:sz w:val="18"/>
              </w:rPr>
              <w:t>ori</w:t>
            </w:r>
            <w:r>
              <w:rPr>
                <w:rFonts w:ascii="Arial"/>
                <w:spacing w:val="-2"/>
                <w:w w:val="99"/>
                <w:sz w:val="18"/>
              </w:rPr>
              <w:t>o</w:t>
            </w:r>
            <w:r>
              <w:rPr>
                <w:rFonts w:ascii="Arial"/>
                <w:w w:val="99"/>
                <w:sz w:val="18"/>
              </w:rPr>
              <w:t>s</w:t>
            </w: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A</w:t>
            </w:r>
          </w:p>
        </w:tc>
        <w:tc>
          <w:tcPr>
            <w:tcW w:w="917" w:type="dxa"/>
          </w:tcPr>
          <w:p>
            <w:pPr>
              <w:pStyle w:val="TableParagraph"/>
              <w:spacing w:before="44"/>
              <w:ind w:right="79"/>
              <w:rPr>
                <w:rFonts w:ascii="Arial"/>
                <w:sz w:val="18"/>
              </w:rPr>
            </w:pPr>
            <w:r>
              <w:rPr>
                <w:rFonts w:ascii="Arial"/>
                <w:sz w:val="18"/>
              </w:rPr>
              <w:t>181 440</w:t>
            </w:r>
          </w:p>
        </w:tc>
        <w:tc>
          <w:tcPr>
            <w:tcW w:w="1301" w:type="dxa"/>
          </w:tcPr>
          <w:p>
            <w:pPr>
              <w:pStyle w:val="TableParagraph"/>
              <w:spacing w:before="92"/>
              <w:rPr>
                <w:rFonts w:ascii="Arial"/>
                <w:sz w:val="18"/>
              </w:rPr>
            </w:pPr>
            <w:r>
              <w:rPr>
                <w:rFonts w:ascii="Arial"/>
                <w:w w:val="95"/>
                <w:sz w:val="18"/>
              </w:rPr>
              <w:t>3,62</w:t>
            </w:r>
          </w:p>
        </w:tc>
        <w:tc>
          <w:tcPr>
            <w:tcW w:w="1058" w:type="dxa"/>
          </w:tcPr>
          <w:p>
            <w:pPr>
              <w:pStyle w:val="TableParagraph"/>
              <w:spacing w:before="92"/>
              <w:rPr>
                <w:rFonts w:ascii="Arial"/>
                <w:sz w:val="18"/>
              </w:rPr>
            </w:pPr>
            <w:r>
              <w:rPr>
                <w:rFonts w:ascii="Arial"/>
                <w:sz w:val="18"/>
              </w:rPr>
              <w:t>656,81</w:t>
            </w:r>
          </w:p>
        </w:tc>
        <w:tc>
          <w:tcPr>
            <w:tcW w:w="475" w:type="dxa"/>
          </w:tcPr>
          <w:p>
            <w:pPr>
              <w:pStyle w:val="TableParagraph"/>
              <w:spacing w:before="92"/>
              <w:ind w:right="0"/>
              <w:jc w:val="center"/>
              <w:rPr>
                <w:rFonts w:ascii="Arial"/>
                <w:sz w:val="18"/>
              </w:rPr>
            </w:pPr>
            <w:r>
              <w:rPr>
                <w:rFonts w:ascii="Arial"/>
                <w:w w:val="99"/>
                <w:sz w:val="18"/>
              </w:rPr>
              <w:t>1</w:t>
            </w:r>
          </w:p>
        </w:tc>
        <w:tc>
          <w:tcPr>
            <w:tcW w:w="617" w:type="dxa"/>
          </w:tcPr>
          <w:p>
            <w:pPr/>
          </w:p>
        </w:tc>
        <w:tc>
          <w:tcPr>
            <w:tcW w:w="569" w:type="dxa"/>
          </w:tcPr>
          <w:p>
            <w:pPr/>
          </w:p>
        </w:tc>
        <w:tc>
          <w:tcPr>
            <w:tcW w:w="475" w:type="dxa"/>
          </w:tcPr>
          <w:p>
            <w:pPr/>
          </w:p>
        </w:tc>
        <w:tc>
          <w:tcPr>
            <w:tcW w:w="847" w:type="dxa"/>
          </w:tcPr>
          <w:p>
            <w:pPr>
              <w:pStyle w:val="TableParagraph"/>
              <w:spacing w:before="92"/>
              <w:ind w:right="68"/>
              <w:rPr>
                <w:rFonts w:ascii="Arial"/>
                <w:sz w:val="18"/>
              </w:rPr>
            </w:pPr>
            <w:r>
              <w:rPr>
                <w:rFonts w:ascii="Arial"/>
                <w:sz w:val="18"/>
              </w:rPr>
              <w:t>656,81</w:t>
            </w:r>
          </w:p>
        </w:tc>
        <w:tc>
          <w:tcPr>
            <w:tcW w:w="876" w:type="dxa"/>
          </w:tcPr>
          <w:p>
            <w:pPr/>
          </w:p>
        </w:tc>
        <w:tc>
          <w:tcPr>
            <w:tcW w:w="840" w:type="dxa"/>
          </w:tcPr>
          <w:p>
            <w:pPr/>
          </w:p>
        </w:tc>
        <w:tc>
          <w:tcPr>
            <w:tcW w:w="876" w:type="dxa"/>
          </w:tcPr>
          <w:p>
            <w:pP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B</w:t>
            </w:r>
          </w:p>
        </w:tc>
        <w:tc>
          <w:tcPr>
            <w:tcW w:w="917" w:type="dxa"/>
          </w:tcPr>
          <w:p>
            <w:pPr>
              <w:pStyle w:val="TableParagraph"/>
              <w:spacing w:before="44"/>
              <w:ind w:right="79"/>
              <w:rPr>
                <w:rFonts w:ascii="Arial"/>
                <w:sz w:val="18"/>
              </w:rPr>
            </w:pPr>
            <w:r>
              <w:rPr>
                <w:rFonts w:ascii="Arial"/>
                <w:sz w:val="18"/>
              </w:rPr>
              <w:t>181 440</w:t>
            </w:r>
          </w:p>
        </w:tc>
        <w:tc>
          <w:tcPr>
            <w:tcW w:w="1301" w:type="dxa"/>
          </w:tcPr>
          <w:p>
            <w:pPr>
              <w:pStyle w:val="TableParagraph"/>
              <w:spacing w:before="92"/>
              <w:rPr>
                <w:rFonts w:ascii="Arial"/>
                <w:sz w:val="18"/>
              </w:rPr>
            </w:pPr>
            <w:r>
              <w:rPr>
                <w:rFonts w:ascii="Arial"/>
                <w:w w:val="95"/>
                <w:sz w:val="18"/>
              </w:rPr>
              <w:t>3,73</w:t>
            </w:r>
          </w:p>
        </w:tc>
        <w:tc>
          <w:tcPr>
            <w:tcW w:w="1058" w:type="dxa"/>
          </w:tcPr>
          <w:p>
            <w:pPr>
              <w:pStyle w:val="TableParagraph"/>
              <w:spacing w:before="92"/>
              <w:rPr>
                <w:rFonts w:ascii="Arial"/>
                <w:sz w:val="18"/>
              </w:rPr>
            </w:pPr>
            <w:r>
              <w:rPr>
                <w:rFonts w:ascii="Arial"/>
                <w:sz w:val="18"/>
              </w:rPr>
              <w:t>676,77</w:t>
            </w:r>
          </w:p>
        </w:tc>
        <w:tc>
          <w:tcPr>
            <w:tcW w:w="475" w:type="dxa"/>
          </w:tcPr>
          <w:p>
            <w:pPr>
              <w:pStyle w:val="TableParagraph"/>
              <w:spacing w:before="92"/>
              <w:ind w:left="43" w:right="44"/>
              <w:jc w:val="center"/>
              <w:rPr>
                <w:rFonts w:ascii="Arial"/>
                <w:sz w:val="18"/>
              </w:rPr>
            </w:pPr>
            <w:r>
              <w:rPr>
                <w:rFonts w:ascii="Arial"/>
                <w:sz w:val="18"/>
              </w:rPr>
              <w:t>-1</w:t>
            </w:r>
          </w:p>
        </w:tc>
        <w:tc>
          <w:tcPr>
            <w:tcW w:w="617" w:type="dxa"/>
          </w:tcPr>
          <w:p>
            <w:pPr>
              <w:pStyle w:val="TableParagraph"/>
              <w:spacing w:before="92"/>
              <w:ind w:right="1"/>
              <w:jc w:val="center"/>
              <w:rPr>
                <w:rFonts w:ascii="Arial"/>
                <w:sz w:val="18"/>
              </w:rPr>
            </w:pPr>
            <w:r>
              <w:rPr>
                <w:rFonts w:ascii="Arial"/>
                <w:w w:val="99"/>
                <w:sz w:val="18"/>
              </w:rPr>
              <w:t>1</w:t>
            </w:r>
          </w:p>
        </w:tc>
        <w:tc>
          <w:tcPr>
            <w:tcW w:w="569" w:type="dxa"/>
          </w:tcPr>
          <w:p>
            <w:pPr/>
          </w:p>
        </w:tc>
        <w:tc>
          <w:tcPr>
            <w:tcW w:w="475" w:type="dxa"/>
          </w:tcPr>
          <w:p>
            <w:pPr/>
          </w:p>
        </w:tc>
        <w:tc>
          <w:tcPr>
            <w:tcW w:w="847" w:type="dxa"/>
          </w:tcPr>
          <w:p>
            <w:pPr>
              <w:pStyle w:val="TableParagraph"/>
              <w:spacing w:before="92"/>
              <w:ind w:right="108"/>
              <w:rPr>
                <w:rFonts w:ascii="Arial"/>
                <w:sz w:val="18"/>
              </w:rPr>
            </w:pPr>
            <w:r>
              <w:rPr>
                <w:rFonts w:ascii="Arial"/>
                <w:sz w:val="18"/>
              </w:rPr>
              <w:t>- 676,77</w:t>
            </w:r>
          </w:p>
        </w:tc>
        <w:tc>
          <w:tcPr>
            <w:tcW w:w="876" w:type="dxa"/>
          </w:tcPr>
          <w:p>
            <w:pPr>
              <w:pStyle w:val="TableParagraph"/>
              <w:spacing w:before="92"/>
              <w:ind w:right="99"/>
              <w:rPr>
                <w:rFonts w:ascii="Arial"/>
                <w:sz w:val="18"/>
              </w:rPr>
            </w:pPr>
            <w:r>
              <w:rPr>
                <w:rFonts w:ascii="Arial"/>
                <w:sz w:val="18"/>
              </w:rPr>
              <w:t>676,77</w:t>
            </w:r>
          </w:p>
        </w:tc>
        <w:tc>
          <w:tcPr>
            <w:tcW w:w="840" w:type="dxa"/>
          </w:tcPr>
          <w:p>
            <w:pPr/>
          </w:p>
        </w:tc>
        <w:tc>
          <w:tcPr>
            <w:tcW w:w="876" w:type="dxa"/>
          </w:tcPr>
          <w:p>
            <w:pPr/>
          </w:p>
        </w:tc>
      </w:tr>
      <w:tr>
        <w:trPr>
          <w:trHeight w:val="310" w:hRule="exact"/>
        </w:trPr>
        <w:tc>
          <w:tcPr>
            <w:tcW w:w="890" w:type="dxa"/>
          </w:tcPr>
          <w:p>
            <w:pPr>
              <w:pStyle w:val="TableParagraph"/>
              <w:spacing w:before="88"/>
              <w:ind w:right="0"/>
              <w:jc w:val="center"/>
              <w:rPr>
                <w:rFonts w:ascii="Arial"/>
                <w:b/>
                <w:sz w:val="18"/>
              </w:rPr>
            </w:pPr>
            <w:r>
              <w:rPr>
                <w:rFonts w:ascii="Arial"/>
                <w:b/>
                <w:w w:val="99"/>
                <w:sz w:val="18"/>
              </w:rPr>
              <w:t>C</w:t>
            </w:r>
          </w:p>
        </w:tc>
        <w:tc>
          <w:tcPr>
            <w:tcW w:w="917" w:type="dxa"/>
          </w:tcPr>
          <w:p>
            <w:pPr>
              <w:pStyle w:val="TableParagraph"/>
              <w:spacing w:before="44"/>
              <w:ind w:right="79"/>
              <w:rPr>
                <w:rFonts w:ascii="Arial"/>
                <w:sz w:val="18"/>
              </w:rPr>
            </w:pPr>
            <w:r>
              <w:rPr>
                <w:rFonts w:ascii="Arial"/>
                <w:sz w:val="18"/>
              </w:rPr>
              <w:t>181 440</w:t>
            </w:r>
          </w:p>
        </w:tc>
        <w:tc>
          <w:tcPr>
            <w:tcW w:w="1301" w:type="dxa"/>
          </w:tcPr>
          <w:p>
            <w:pPr>
              <w:pStyle w:val="TableParagraph"/>
              <w:spacing w:before="92"/>
              <w:rPr>
                <w:rFonts w:ascii="Arial"/>
                <w:sz w:val="18"/>
              </w:rPr>
            </w:pPr>
            <w:r>
              <w:rPr>
                <w:rFonts w:ascii="Arial"/>
                <w:w w:val="95"/>
                <w:sz w:val="18"/>
              </w:rPr>
              <w:t>2,06</w:t>
            </w:r>
          </w:p>
        </w:tc>
        <w:tc>
          <w:tcPr>
            <w:tcW w:w="1058" w:type="dxa"/>
          </w:tcPr>
          <w:p>
            <w:pPr>
              <w:pStyle w:val="TableParagraph"/>
              <w:spacing w:before="92"/>
              <w:rPr>
                <w:rFonts w:ascii="Arial"/>
                <w:sz w:val="18"/>
              </w:rPr>
            </w:pPr>
            <w:r>
              <w:rPr>
                <w:rFonts w:ascii="Arial"/>
                <w:sz w:val="18"/>
              </w:rPr>
              <w:t>373,77</w:t>
            </w:r>
          </w:p>
        </w:tc>
        <w:tc>
          <w:tcPr>
            <w:tcW w:w="475" w:type="dxa"/>
          </w:tcPr>
          <w:p>
            <w:pPr/>
          </w:p>
        </w:tc>
        <w:tc>
          <w:tcPr>
            <w:tcW w:w="617" w:type="dxa"/>
          </w:tcPr>
          <w:p>
            <w:pPr>
              <w:pStyle w:val="TableParagraph"/>
              <w:spacing w:before="92"/>
              <w:ind w:left="45" w:right="45"/>
              <w:jc w:val="center"/>
              <w:rPr>
                <w:rFonts w:ascii="Arial"/>
                <w:sz w:val="18"/>
              </w:rPr>
            </w:pPr>
            <w:r>
              <w:rPr>
                <w:rFonts w:ascii="Arial"/>
                <w:sz w:val="18"/>
              </w:rPr>
              <w:t>-1</w:t>
            </w:r>
          </w:p>
        </w:tc>
        <w:tc>
          <w:tcPr>
            <w:tcW w:w="569" w:type="dxa"/>
          </w:tcPr>
          <w:p>
            <w:pPr>
              <w:pStyle w:val="TableParagraph"/>
              <w:spacing w:before="92"/>
              <w:ind w:left="228" w:right="0"/>
              <w:jc w:val="left"/>
              <w:rPr>
                <w:rFonts w:ascii="Arial"/>
                <w:sz w:val="18"/>
              </w:rPr>
            </w:pPr>
            <w:r>
              <w:rPr>
                <w:rFonts w:ascii="Arial"/>
                <w:w w:val="99"/>
                <w:sz w:val="18"/>
              </w:rPr>
              <w:t>1</w:t>
            </w:r>
          </w:p>
        </w:tc>
        <w:tc>
          <w:tcPr>
            <w:tcW w:w="475" w:type="dxa"/>
          </w:tcPr>
          <w:p>
            <w:pPr>
              <w:pStyle w:val="TableParagraph"/>
              <w:spacing w:before="92"/>
              <w:ind w:left="44" w:right="44"/>
              <w:jc w:val="center"/>
              <w:rPr>
                <w:rFonts w:ascii="Arial"/>
                <w:sz w:val="18"/>
              </w:rPr>
            </w:pPr>
            <w:r>
              <w:rPr>
                <w:rFonts w:ascii="Arial"/>
                <w:sz w:val="18"/>
              </w:rPr>
              <w:t>-1</w:t>
            </w:r>
          </w:p>
        </w:tc>
        <w:tc>
          <w:tcPr>
            <w:tcW w:w="847" w:type="dxa"/>
          </w:tcPr>
          <w:p>
            <w:pPr/>
          </w:p>
        </w:tc>
        <w:tc>
          <w:tcPr>
            <w:tcW w:w="876" w:type="dxa"/>
          </w:tcPr>
          <w:p>
            <w:pPr>
              <w:pStyle w:val="TableParagraph"/>
              <w:spacing w:before="92"/>
              <w:ind w:right="89"/>
              <w:rPr>
                <w:rFonts w:ascii="Arial"/>
                <w:sz w:val="18"/>
              </w:rPr>
            </w:pPr>
            <w:r>
              <w:rPr>
                <w:rFonts w:ascii="Arial"/>
                <w:sz w:val="18"/>
              </w:rPr>
              <w:t>- 373,77</w:t>
            </w:r>
          </w:p>
        </w:tc>
        <w:tc>
          <w:tcPr>
            <w:tcW w:w="840" w:type="dxa"/>
          </w:tcPr>
          <w:p>
            <w:pPr>
              <w:pStyle w:val="TableParagraph"/>
              <w:spacing w:before="92"/>
              <w:ind w:right="63"/>
              <w:rPr>
                <w:rFonts w:ascii="Arial"/>
                <w:sz w:val="18"/>
              </w:rPr>
            </w:pPr>
            <w:r>
              <w:rPr>
                <w:rFonts w:ascii="Arial"/>
                <w:sz w:val="18"/>
              </w:rPr>
              <w:t>373,77</w:t>
            </w:r>
          </w:p>
        </w:tc>
        <w:tc>
          <w:tcPr>
            <w:tcW w:w="876" w:type="dxa"/>
          </w:tcPr>
          <w:p>
            <w:pPr>
              <w:pStyle w:val="TableParagraph"/>
              <w:spacing w:before="92"/>
              <w:ind w:right="87"/>
              <w:rPr>
                <w:rFonts w:ascii="Arial"/>
                <w:sz w:val="18"/>
              </w:rPr>
            </w:pPr>
            <w:r>
              <w:rPr>
                <w:rFonts w:ascii="Arial"/>
                <w:sz w:val="18"/>
              </w:rPr>
              <w:t>- 373,77</w:t>
            </w:r>
          </w:p>
        </w:tc>
      </w:tr>
      <w:tr>
        <w:trPr>
          <w:trHeight w:val="310" w:hRule="exact"/>
        </w:trPr>
        <w:tc>
          <w:tcPr>
            <w:tcW w:w="890" w:type="dxa"/>
          </w:tcPr>
          <w:p>
            <w:pPr>
              <w:pStyle w:val="TableParagraph"/>
              <w:spacing w:before="42"/>
              <w:ind w:right="0"/>
              <w:jc w:val="center"/>
              <w:rPr>
                <w:rFonts w:ascii="Arial"/>
                <w:b/>
                <w:sz w:val="18"/>
              </w:rPr>
            </w:pPr>
            <w:r>
              <w:rPr>
                <w:rFonts w:ascii="Arial"/>
                <w:b/>
                <w:w w:val="99"/>
                <w:sz w:val="18"/>
              </w:rPr>
              <w:t>D</w:t>
            </w:r>
          </w:p>
        </w:tc>
        <w:tc>
          <w:tcPr>
            <w:tcW w:w="917" w:type="dxa"/>
          </w:tcPr>
          <w:p>
            <w:pPr>
              <w:pStyle w:val="TableParagraph"/>
              <w:spacing w:before="47"/>
              <w:ind w:right="79"/>
              <w:rPr>
                <w:rFonts w:ascii="Arial"/>
                <w:sz w:val="18"/>
              </w:rPr>
            </w:pPr>
            <w:r>
              <w:rPr>
                <w:rFonts w:ascii="Arial"/>
                <w:sz w:val="18"/>
              </w:rPr>
              <w:t>181 340</w:t>
            </w:r>
          </w:p>
        </w:tc>
        <w:tc>
          <w:tcPr>
            <w:tcW w:w="1301" w:type="dxa"/>
          </w:tcPr>
          <w:p>
            <w:pPr>
              <w:pStyle w:val="TableParagraph"/>
              <w:spacing w:before="92"/>
              <w:rPr>
                <w:rFonts w:ascii="Arial"/>
                <w:sz w:val="18"/>
              </w:rPr>
            </w:pPr>
            <w:r>
              <w:rPr>
                <w:rFonts w:ascii="Arial"/>
                <w:w w:val="95"/>
                <w:sz w:val="18"/>
              </w:rPr>
              <w:t>3,64</w:t>
            </w:r>
          </w:p>
        </w:tc>
        <w:tc>
          <w:tcPr>
            <w:tcW w:w="1058" w:type="dxa"/>
          </w:tcPr>
          <w:p>
            <w:pPr>
              <w:pStyle w:val="TableParagraph"/>
              <w:spacing w:before="92"/>
              <w:rPr>
                <w:rFonts w:ascii="Arial"/>
                <w:sz w:val="18"/>
              </w:rPr>
            </w:pPr>
            <w:r>
              <w:rPr>
                <w:rFonts w:ascii="Arial"/>
                <w:sz w:val="18"/>
              </w:rPr>
              <w:t>660,08</w:t>
            </w:r>
          </w:p>
        </w:tc>
        <w:tc>
          <w:tcPr>
            <w:tcW w:w="475" w:type="dxa"/>
          </w:tcPr>
          <w:p>
            <w:pPr/>
          </w:p>
        </w:tc>
        <w:tc>
          <w:tcPr>
            <w:tcW w:w="617" w:type="dxa"/>
          </w:tcPr>
          <w:p>
            <w:pPr/>
          </w:p>
        </w:tc>
        <w:tc>
          <w:tcPr>
            <w:tcW w:w="569" w:type="dxa"/>
          </w:tcPr>
          <w:p>
            <w:pPr/>
          </w:p>
        </w:tc>
        <w:tc>
          <w:tcPr>
            <w:tcW w:w="475" w:type="dxa"/>
          </w:tcPr>
          <w:p>
            <w:pPr>
              <w:pStyle w:val="TableParagraph"/>
              <w:spacing w:before="92"/>
              <w:ind w:right="0"/>
              <w:jc w:val="center"/>
              <w:rPr>
                <w:rFonts w:ascii="Arial"/>
                <w:sz w:val="18"/>
              </w:rPr>
            </w:pPr>
            <w:r>
              <w:rPr>
                <w:rFonts w:ascii="Arial"/>
                <w:w w:val="99"/>
                <w:sz w:val="18"/>
              </w:rPr>
              <w:t>1</w:t>
            </w:r>
          </w:p>
        </w:tc>
        <w:tc>
          <w:tcPr>
            <w:tcW w:w="847" w:type="dxa"/>
          </w:tcPr>
          <w:p>
            <w:pPr/>
          </w:p>
        </w:tc>
        <w:tc>
          <w:tcPr>
            <w:tcW w:w="876" w:type="dxa"/>
          </w:tcPr>
          <w:p>
            <w:pPr/>
          </w:p>
        </w:tc>
        <w:tc>
          <w:tcPr>
            <w:tcW w:w="840" w:type="dxa"/>
          </w:tcPr>
          <w:p>
            <w:pPr/>
          </w:p>
        </w:tc>
        <w:tc>
          <w:tcPr>
            <w:tcW w:w="876" w:type="dxa"/>
          </w:tcPr>
          <w:p>
            <w:pPr>
              <w:pStyle w:val="TableParagraph"/>
              <w:spacing w:before="92"/>
              <w:ind w:right="96"/>
              <w:rPr>
                <w:rFonts w:ascii="Arial"/>
                <w:sz w:val="18"/>
              </w:rPr>
            </w:pPr>
            <w:r>
              <w:rPr>
                <w:rFonts w:ascii="Arial"/>
                <w:sz w:val="18"/>
              </w:rPr>
              <w:t>660,08</w:t>
            </w:r>
          </w:p>
        </w:tc>
      </w:tr>
      <w:tr>
        <w:trPr>
          <w:trHeight w:val="310" w:hRule="exact"/>
        </w:trPr>
        <w:tc>
          <w:tcPr>
            <w:tcW w:w="890" w:type="dxa"/>
          </w:tcPr>
          <w:p>
            <w:pPr>
              <w:pStyle w:val="TableParagraph"/>
              <w:spacing w:before="42"/>
              <w:ind w:right="0"/>
              <w:jc w:val="center"/>
              <w:rPr>
                <w:rFonts w:ascii="Arial"/>
                <w:b/>
                <w:sz w:val="18"/>
              </w:rPr>
            </w:pPr>
            <w:r>
              <w:rPr>
                <w:rFonts w:ascii="Arial"/>
                <w:b/>
                <w:w w:val="99"/>
                <w:sz w:val="18"/>
              </w:rPr>
              <w:t>E</w:t>
            </w:r>
          </w:p>
        </w:tc>
        <w:tc>
          <w:tcPr>
            <w:tcW w:w="917" w:type="dxa"/>
          </w:tcPr>
          <w:p>
            <w:pPr>
              <w:pStyle w:val="TableParagraph"/>
              <w:spacing w:before="47"/>
              <w:ind w:right="79"/>
              <w:rPr>
                <w:rFonts w:ascii="Arial"/>
                <w:sz w:val="18"/>
              </w:rPr>
            </w:pPr>
            <w:r>
              <w:rPr>
                <w:rFonts w:ascii="Arial"/>
                <w:sz w:val="18"/>
              </w:rPr>
              <w:t>181 340</w:t>
            </w:r>
          </w:p>
        </w:tc>
        <w:tc>
          <w:tcPr>
            <w:tcW w:w="1301" w:type="dxa"/>
          </w:tcPr>
          <w:p>
            <w:pPr>
              <w:pStyle w:val="TableParagraph"/>
              <w:spacing w:before="92"/>
              <w:rPr>
                <w:rFonts w:ascii="Arial"/>
                <w:sz w:val="18"/>
              </w:rPr>
            </w:pPr>
            <w:r>
              <w:rPr>
                <w:rFonts w:ascii="Arial"/>
                <w:w w:val="95"/>
                <w:sz w:val="18"/>
              </w:rPr>
              <w:t>3,83</w:t>
            </w:r>
          </w:p>
        </w:tc>
        <w:tc>
          <w:tcPr>
            <w:tcW w:w="1058" w:type="dxa"/>
          </w:tcPr>
          <w:p>
            <w:pPr>
              <w:pStyle w:val="TableParagraph"/>
              <w:spacing w:before="92"/>
              <w:rPr>
                <w:rFonts w:ascii="Arial"/>
                <w:sz w:val="18"/>
              </w:rPr>
            </w:pPr>
            <w:r>
              <w:rPr>
                <w:rFonts w:ascii="Arial"/>
                <w:sz w:val="18"/>
              </w:rPr>
              <w:t>694,53</w:t>
            </w:r>
          </w:p>
        </w:tc>
        <w:tc>
          <w:tcPr>
            <w:tcW w:w="475" w:type="dxa"/>
          </w:tcPr>
          <w:p>
            <w:pPr/>
          </w:p>
        </w:tc>
        <w:tc>
          <w:tcPr>
            <w:tcW w:w="617" w:type="dxa"/>
          </w:tcPr>
          <w:p>
            <w:pPr/>
          </w:p>
        </w:tc>
        <w:tc>
          <w:tcPr>
            <w:tcW w:w="569" w:type="dxa"/>
          </w:tcPr>
          <w:p>
            <w:pPr>
              <w:pStyle w:val="TableParagraph"/>
              <w:spacing w:before="92"/>
              <w:ind w:left="197" w:right="0"/>
              <w:jc w:val="left"/>
              <w:rPr>
                <w:rFonts w:ascii="Arial"/>
                <w:sz w:val="18"/>
              </w:rPr>
            </w:pPr>
            <w:r>
              <w:rPr>
                <w:rFonts w:ascii="Arial"/>
                <w:sz w:val="18"/>
              </w:rPr>
              <w:t>-1</w:t>
            </w:r>
          </w:p>
        </w:tc>
        <w:tc>
          <w:tcPr>
            <w:tcW w:w="475" w:type="dxa"/>
          </w:tcPr>
          <w:p>
            <w:pPr/>
          </w:p>
        </w:tc>
        <w:tc>
          <w:tcPr>
            <w:tcW w:w="847" w:type="dxa"/>
          </w:tcPr>
          <w:p>
            <w:pPr/>
          </w:p>
        </w:tc>
        <w:tc>
          <w:tcPr>
            <w:tcW w:w="876" w:type="dxa"/>
          </w:tcPr>
          <w:p>
            <w:pPr/>
          </w:p>
        </w:tc>
        <w:tc>
          <w:tcPr>
            <w:tcW w:w="840" w:type="dxa"/>
          </w:tcPr>
          <w:p>
            <w:pPr>
              <w:pStyle w:val="TableParagraph"/>
              <w:spacing w:before="92"/>
              <w:ind w:left="63" w:right="0"/>
              <w:jc w:val="left"/>
              <w:rPr>
                <w:rFonts w:ascii="Arial"/>
                <w:sz w:val="18"/>
              </w:rPr>
            </w:pPr>
            <w:r>
              <w:rPr>
                <w:rFonts w:ascii="Arial"/>
                <w:sz w:val="18"/>
              </w:rPr>
              <w:t>- 694,53</w:t>
            </w:r>
          </w:p>
        </w:tc>
        <w:tc>
          <w:tcPr>
            <w:tcW w:w="876" w:type="dxa"/>
          </w:tcPr>
          <w:p>
            <w:pPr/>
          </w:p>
        </w:tc>
      </w:tr>
      <w:tr>
        <w:trPr>
          <w:trHeight w:val="312" w:hRule="exact"/>
        </w:trPr>
        <w:tc>
          <w:tcPr>
            <w:tcW w:w="890" w:type="dxa"/>
          </w:tcPr>
          <w:p>
            <w:pPr>
              <w:pStyle w:val="TableParagraph"/>
              <w:spacing w:before="42"/>
              <w:ind w:right="1"/>
              <w:jc w:val="center"/>
              <w:rPr>
                <w:rFonts w:ascii="Arial"/>
                <w:b/>
                <w:sz w:val="18"/>
              </w:rPr>
            </w:pPr>
            <w:r>
              <w:rPr>
                <w:rFonts w:ascii="Arial"/>
                <w:b/>
                <w:w w:val="99"/>
                <w:sz w:val="18"/>
              </w:rPr>
              <w:t>G</w:t>
            </w:r>
          </w:p>
        </w:tc>
        <w:tc>
          <w:tcPr>
            <w:tcW w:w="917" w:type="dxa"/>
          </w:tcPr>
          <w:p>
            <w:pPr>
              <w:pStyle w:val="TableParagraph"/>
              <w:spacing w:before="47"/>
              <w:ind w:right="77"/>
              <w:rPr>
                <w:rFonts w:ascii="Arial"/>
                <w:sz w:val="18"/>
              </w:rPr>
            </w:pPr>
            <w:r>
              <w:rPr>
                <w:rFonts w:ascii="Arial"/>
                <w:sz w:val="18"/>
              </w:rPr>
              <w:t>100</w:t>
            </w:r>
          </w:p>
        </w:tc>
        <w:tc>
          <w:tcPr>
            <w:tcW w:w="1301" w:type="dxa"/>
          </w:tcPr>
          <w:p>
            <w:pPr>
              <w:pStyle w:val="TableParagraph"/>
              <w:spacing w:before="92"/>
              <w:rPr>
                <w:rFonts w:ascii="Arial"/>
                <w:sz w:val="18"/>
              </w:rPr>
            </w:pPr>
            <w:r>
              <w:rPr>
                <w:rFonts w:ascii="Arial"/>
                <w:sz w:val="18"/>
              </w:rPr>
              <w:t>408,99</w:t>
            </w:r>
          </w:p>
        </w:tc>
        <w:tc>
          <w:tcPr>
            <w:tcW w:w="1058" w:type="dxa"/>
          </w:tcPr>
          <w:p>
            <w:pPr>
              <w:pStyle w:val="TableParagraph"/>
              <w:spacing w:before="92"/>
              <w:rPr>
                <w:rFonts w:ascii="Arial"/>
                <w:sz w:val="18"/>
              </w:rPr>
            </w:pPr>
            <w:r>
              <w:rPr>
                <w:rFonts w:ascii="Arial"/>
                <w:w w:val="95"/>
                <w:sz w:val="18"/>
              </w:rPr>
              <w:t>40,90</w:t>
            </w:r>
          </w:p>
        </w:tc>
        <w:tc>
          <w:tcPr>
            <w:tcW w:w="475" w:type="dxa"/>
          </w:tcPr>
          <w:p>
            <w:pPr/>
          </w:p>
        </w:tc>
        <w:tc>
          <w:tcPr>
            <w:tcW w:w="617" w:type="dxa"/>
          </w:tcPr>
          <w:p>
            <w:pPr/>
          </w:p>
        </w:tc>
        <w:tc>
          <w:tcPr>
            <w:tcW w:w="569" w:type="dxa"/>
          </w:tcPr>
          <w:p>
            <w:pPr>
              <w:pStyle w:val="TableParagraph"/>
              <w:spacing w:before="92"/>
              <w:ind w:left="197" w:right="0"/>
              <w:jc w:val="left"/>
              <w:rPr>
                <w:rFonts w:ascii="Arial"/>
                <w:sz w:val="18"/>
              </w:rPr>
            </w:pPr>
            <w:r>
              <w:rPr>
                <w:rFonts w:ascii="Arial"/>
                <w:sz w:val="18"/>
              </w:rPr>
              <w:t>-1</w:t>
            </w:r>
          </w:p>
        </w:tc>
        <w:tc>
          <w:tcPr>
            <w:tcW w:w="475" w:type="dxa"/>
          </w:tcPr>
          <w:p>
            <w:pPr/>
          </w:p>
        </w:tc>
        <w:tc>
          <w:tcPr>
            <w:tcW w:w="847" w:type="dxa"/>
          </w:tcPr>
          <w:p>
            <w:pPr/>
          </w:p>
        </w:tc>
        <w:tc>
          <w:tcPr>
            <w:tcW w:w="876" w:type="dxa"/>
          </w:tcPr>
          <w:p>
            <w:pPr/>
          </w:p>
        </w:tc>
        <w:tc>
          <w:tcPr>
            <w:tcW w:w="840" w:type="dxa"/>
          </w:tcPr>
          <w:p>
            <w:pPr>
              <w:pStyle w:val="TableParagraph"/>
              <w:spacing w:before="92"/>
              <w:ind w:left="63" w:right="0"/>
              <w:jc w:val="left"/>
              <w:rPr>
                <w:rFonts w:ascii="Arial"/>
                <w:sz w:val="18"/>
              </w:rPr>
            </w:pPr>
            <w:r>
              <w:rPr>
                <w:rFonts w:ascii="Arial"/>
                <w:sz w:val="18"/>
              </w:rPr>
              <w:t>-  40,90</w:t>
            </w:r>
          </w:p>
        </w:tc>
        <w:tc>
          <w:tcPr>
            <w:tcW w:w="876" w:type="dxa"/>
          </w:tcPr>
          <w:p>
            <w:pPr/>
          </w:p>
        </w:tc>
      </w:tr>
      <w:tr>
        <w:trPr>
          <w:trHeight w:val="310" w:hRule="exact"/>
        </w:trPr>
        <w:tc>
          <w:tcPr>
            <w:tcW w:w="4166" w:type="dxa"/>
            <w:gridSpan w:val="4"/>
            <w:vMerge w:val="restart"/>
          </w:tcPr>
          <w:p>
            <w:pPr>
              <w:pStyle w:val="TableParagraph"/>
              <w:spacing w:before="2"/>
              <w:ind w:right="0"/>
              <w:jc w:val="left"/>
              <w:rPr>
                <w:rFonts w:ascii="Arial"/>
                <w:b/>
                <w:sz w:val="4"/>
              </w:rPr>
            </w:pPr>
          </w:p>
          <w:p>
            <w:pPr>
              <w:pStyle w:val="TableParagraph"/>
              <w:spacing w:before="0"/>
              <w:ind w:left="962" w:right="0"/>
              <w:jc w:val="left"/>
              <w:rPr>
                <w:rFonts w:ascii="Arial"/>
                <w:sz w:val="20"/>
              </w:rPr>
            </w:pPr>
            <w:r>
              <w:rPr>
                <w:rFonts w:ascii="Arial"/>
                <w:sz w:val="20"/>
              </w:rPr>
              <w:drawing>
                <wp:inline distT="0" distB="0" distL="0" distR="0">
                  <wp:extent cx="1454375" cy="884682"/>
                  <wp:effectExtent l="0" t="0" r="0" b="0"/>
                  <wp:docPr id="45" name="image70.jpeg" descr=""/>
                  <wp:cNvGraphicFramePr>
                    <a:graphicFrameLocks noChangeAspect="1"/>
                  </wp:cNvGraphicFramePr>
                  <a:graphic>
                    <a:graphicData uri="http://schemas.openxmlformats.org/drawingml/2006/picture">
                      <pic:pic>
                        <pic:nvPicPr>
                          <pic:cNvPr id="46" name="image70.jpeg"/>
                          <pic:cNvPicPr/>
                        </pic:nvPicPr>
                        <pic:blipFill>
                          <a:blip r:embed="rId78" cstate="print"/>
                          <a:stretch>
                            <a:fillRect/>
                          </a:stretch>
                        </pic:blipFill>
                        <pic:spPr>
                          <a:xfrm>
                            <a:off x="0" y="0"/>
                            <a:ext cx="1454375" cy="884682"/>
                          </a:xfrm>
                          <a:prstGeom prst="rect">
                            <a:avLst/>
                          </a:prstGeom>
                        </pic:spPr>
                      </pic:pic>
                    </a:graphicData>
                  </a:graphic>
                </wp:inline>
              </w:drawing>
            </w:r>
            <w:r>
              <w:rPr>
                <w:rFonts w:ascii="Arial"/>
                <w:sz w:val="20"/>
              </w:rPr>
            </w:r>
          </w:p>
        </w:tc>
        <w:tc>
          <w:tcPr>
            <w:tcW w:w="2136" w:type="dxa"/>
            <w:gridSpan w:val="4"/>
          </w:tcPr>
          <w:p>
            <w:pPr>
              <w:pStyle w:val="TableParagraph"/>
              <w:spacing w:before="92"/>
              <w:ind w:left="64" w:right="127"/>
              <w:jc w:val="left"/>
              <w:rPr>
                <w:rFonts w:ascii="Arial"/>
                <w:sz w:val="18"/>
              </w:rPr>
            </w:pPr>
            <w:r>
              <w:rPr>
                <w:rFonts w:ascii="Arial"/>
                <w:sz w:val="18"/>
              </w:rPr>
              <w:t>Entrada (g/d)</w:t>
            </w:r>
          </w:p>
        </w:tc>
        <w:tc>
          <w:tcPr>
            <w:tcW w:w="847" w:type="dxa"/>
          </w:tcPr>
          <w:p>
            <w:pPr>
              <w:pStyle w:val="TableParagraph"/>
              <w:spacing w:before="92"/>
              <w:ind w:right="68"/>
              <w:rPr>
                <w:rFonts w:ascii="Arial"/>
                <w:sz w:val="18"/>
              </w:rPr>
            </w:pPr>
            <w:r>
              <w:rPr>
                <w:rFonts w:ascii="Arial"/>
                <w:sz w:val="18"/>
              </w:rPr>
              <w:t>656,81</w:t>
            </w:r>
          </w:p>
        </w:tc>
        <w:tc>
          <w:tcPr>
            <w:tcW w:w="876" w:type="dxa"/>
          </w:tcPr>
          <w:p>
            <w:pPr>
              <w:pStyle w:val="TableParagraph"/>
              <w:spacing w:before="92"/>
              <w:ind w:right="99"/>
              <w:rPr>
                <w:rFonts w:ascii="Arial"/>
                <w:sz w:val="18"/>
              </w:rPr>
            </w:pPr>
            <w:r>
              <w:rPr>
                <w:rFonts w:ascii="Arial"/>
                <w:sz w:val="18"/>
              </w:rPr>
              <w:t>676,77</w:t>
            </w:r>
          </w:p>
        </w:tc>
        <w:tc>
          <w:tcPr>
            <w:tcW w:w="840" w:type="dxa"/>
          </w:tcPr>
          <w:p>
            <w:pPr>
              <w:pStyle w:val="TableParagraph"/>
              <w:spacing w:before="92"/>
              <w:ind w:right="63"/>
              <w:rPr>
                <w:rFonts w:ascii="Arial"/>
                <w:sz w:val="18"/>
              </w:rPr>
            </w:pPr>
            <w:r>
              <w:rPr>
                <w:rFonts w:ascii="Arial"/>
                <w:sz w:val="18"/>
              </w:rPr>
              <w:t>373,77</w:t>
            </w:r>
          </w:p>
        </w:tc>
        <w:tc>
          <w:tcPr>
            <w:tcW w:w="876" w:type="dxa"/>
          </w:tcPr>
          <w:p>
            <w:pPr>
              <w:pStyle w:val="TableParagraph"/>
              <w:spacing w:before="92"/>
              <w:ind w:right="97"/>
              <w:rPr>
                <w:rFonts w:ascii="Arial"/>
                <w:sz w:val="18"/>
              </w:rPr>
            </w:pPr>
            <w:r>
              <w:rPr>
                <w:rFonts w:ascii="Arial"/>
                <w:sz w:val="18"/>
              </w:rPr>
              <w:t>660,08</w:t>
            </w:r>
          </w:p>
        </w:tc>
      </w:tr>
      <w:tr>
        <w:trPr>
          <w:trHeight w:val="310" w:hRule="exact"/>
        </w:trPr>
        <w:tc>
          <w:tcPr>
            <w:tcW w:w="4166" w:type="dxa"/>
            <w:gridSpan w:val="4"/>
            <w:vMerge/>
          </w:tcPr>
          <w:p>
            <w:pPr/>
          </w:p>
        </w:tc>
        <w:tc>
          <w:tcPr>
            <w:tcW w:w="2136" w:type="dxa"/>
            <w:gridSpan w:val="4"/>
          </w:tcPr>
          <w:p>
            <w:pPr>
              <w:pStyle w:val="TableParagraph"/>
              <w:spacing w:before="92"/>
              <w:ind w:left="64" w:right="127"/>
              <w:jc w:val="left"/>
              <w:rPr>
                <w:rFonts w:ascii="Arial"/>
                <w:sz w:val="18"/>
              </w:rPr>
            </w:pPr>
            <w:r>
              <w:rPr>
                <w:rFonts w:ascii="Arial"/>
                <w:sz w:val="18"/>
              </w:rPr>
              <w:t>Salida (g/d)</w:t>
            </w:r>
          </w:p>
        </w:tc>
        <w:tc>
          <w:tcPr>
            <w:tcW w:w="847" w:type="dxa"/>
          </w:tcPr>
          <w:p>
            <w:pPr>
              <w:pStyle w:val="TableParagraph"/>
              <w:spacing w:before="92"/>
              <w:ind w:right="109"/>
              <w:rPr>
                <w:rFonts w:ascii="Arial"/>
                <w:sz w:val="18"/>
              </w:rPr>
            </w:pPr>
            <w:r>
              <w:rPr>
                <w:rFonts w:ascii="Arial"/>
                <w:sz w:val="18"/>
              </w:rPr>
              <w:t>- 676,77</w:t>
            </w:r>
          </w:p>
        </w:tc>
        <w:tc>
          <w:tcPr>
            <w:tcW w:w="876" w:type="dxa"/>
          </w:tcPr>
          <w:p>
            <w:pPr>
              <w:pStyle w:val="TableParagraph"/>
              <w:spacing w:before="92"/>
              <w:ind w:right="91"/>
              <w:rPr>
                <w:rFonts w:ascii="Arial"/>
                <w:sz w:val="18"/>
              </w:rPr>
            </w:pPr>
            <w:r>
              <w:rPr>
                <w:rFonts w:ascii="Arial"/>
                <w:sz w:val="18"/>
              </w:rPr>
              <w:t>- 373,77</w:t>
            </w:r>
          </w:p>
        </w:tc>
        <w:tc>
          <w:tcPr>
            <w:tcW w:w="840" w:type="dxa"/>
          </w:tcPr>
          <w:p>
            <w:pPr>
              <w:pStyle w:val="TableParagraph"/>
              <w:spacing w:before="92"/>
              <w:ind w:left="62" w:right="0"/>
              <w:jc w:val="left"/>
              <w:rPr>
                <w:rFonts w:ascii="Arial"/>
                <w:sz w:val="18"/>
              </w:rPr>
            </w:pPr>
            <w:r>
              <w:rPr>
                <w:rFonts w:ascii="Arial"/>
                <w:sz w:val="18"/>
              </w:rPr>
              <w:t>- 735,43</w:t>
            </w:r>
          </w:p>
        </w:tc>
        <w:tc>
          <w:tcPr>
            <w:tcW w:w="876" w:type="dxa"/>
          </w:tcPr>
          <w:p>
            <w:pPr>
              <w:pStyle w:val="TableParagraph"/>
              <w:spacing w:before="92"/>
              <w:ind w:right="87"/>
              <w:rPr>
                <w:rFonts w:ascii="Arial"/>
                <w:sz w:val="18"/>
              </w:rPr>
            </w:pPr>
            <w:r>
              <w:rPr>
                <w:rFonts w:ascii="Arial"/>
                <w:sz w:val="18"/>
              </w:rPr>
              <w:t>- 373,77</w:t>
            </w:r>
          </w:p>
        </w:tc>
      </w:tr>
      <w:tr>
        <w:trPr>
          <w:trHeight w:val="310" w:hRule="exact"/>
        </w:trPr>
        <w:tc>
          <w:tcPr>
            <w:tcW w:w="4166" w:type="dxa"/>
            <w:gridSpan w:val="4"/>
            <w:vMerge/>
          </w:tcPr>
          <w:p>
            <w:pPr/>
          </w:p>
        </w:tc>
        <w:tc>
          <w:tcPr>
            <w:tcW w:w="1092" w:type="dxa"/>
            <w:gridSpan w:val="2"/>
            <w:vMerge w:val="restart"/>
          </w:tcPr>
          <w:p>
            <w:pPr>
              <w:pStyle w:val="TableParagraph"/>
              <w:spacing w:before="0"/>
              <w:ind w:right="0"/>
              <w:jc w:val="left"/>
              <w:rPr>
                <w:rFonts w:ascii="Arial"/>
                <w:b/>
                <w:sz w:val="18"/>
              </w:rPr>
            </w:pPr>
          </w:p>
          <w:p>
            <w:pPr>
              <w:pStyle w:val="TableParagraph"/>
              <w:spacing w:before="149"/>
              <w:ind w:left="134" w:right="0"/>
              <w:jc w:val="left"/>
              <w:rPr>
                <w:rFonts w:ascii="Arial"/>
                <w:sz w:val="18"/>
              </w:rPr>
            </w:pPr>
            <w:r>
              <w:rPr>
                <w:rFonts w:ascii="Arial"/>
                <w:sz w:val="18"/>
              </w:rPr>
              <w:t>Diferencia</w:t>
            </w:r>
          </w:p>
        </w:tc>
        <w:tc>
          <w:tcPr>
            <w:tcW w:w="1044" w:type="dxa"/>
            <w:gridSpan w:val="2"/>
          </w:tcPr>
          <w:p>
            <w:pPr>
              <w:pStyle w:val="TableParagraph"/>
              <w:spacing w:before="92"/>
              <w:ind w:left="64" w:right="0"/>
              <w:jc w:val="left"/>
              <w:rPr>
                <w:rFonts w:ascii="Arial"/>
                <w:sz w:val="18"/>
              </w:rPr>
            </w:pPr>
            <w:r>
              <w:rPr>
                <w:rFonts w:ascii="Arial"/>
                <w:sz w:val="18"/>
              </w:rPr>
              <w:t>g/d</w:t>
            </w:r>
          </w:p>
        </w:tc>
        <w:tc>
          <w:tcPr>
            <w:tcW w:w="847" w:type="dxa"/>
          </w:tcPr>
          <w:p>
            <w:pPr>
              <w:pStyle w:val="TableParagraph"/>
              <w:spacing w:before="92"/>
              <w:ind w:right="108"/>
              <w:rPr>
                <w:rFonts w:ascii="Arial"/>
                <w:sz w:val="18"/>
              </w:rPr>
            </w:pPr>
            <w:r>
              <w:rPr>
                <w:rFonts w:ascii="Arial"/>
                <w:sz w:val="18"/>
              </w:rPr>
              <w:t>-  19,96</w:t>
            </w:r>
          </w:p>
        </w:tc>
        <w:tc>
          <w:tcPr>
            <w:tcW w:w="876" w:type="dxa"/>
          </w:tcPr>
          <w:p>
            <w:pPr>
              <w:pStyle w:val="TableParagraph"/>
              <w:spacing w:before="92"/>
              <w:ind w:right="99"/>
              <w:rPr>
                <w:rFonts w:ascii="Arial"/>
                <w:sz w:val="18"/>
              </w:rPr>
            </w:pPr>
            <w:r>
              <w:rPr>
                <w:rFonts w:ascii="Arial"/>
                <w:sz w:val="18"/>
              </w:rPr>
              <w:t>303,00</w:t>
            </w:r>
          </w:p>
        </w:tc>
        <w:tc>
          <w:tcPr>
            <w:tcW w:w="840" w:type="dxa"/>
          </w:tcPr>
          <w:p>
            <w:pPr>
              <w:pStyle w:val="TableParagraph"/>
              <w:spacing w:before="92"/>
              <w:ind w:left="62" w:right="0"/>
              <w:jc w:val="left"/>
              <w:rPr>
                <w:rFonts w:ascii="Arial"/>
                <w:sz w:val="18"/>
              </w:rPr>
            </w:pPr>
            <w:r>
              <w:rPr>
                <w:rFonts w:ascii="Arial"/>
                <w:sz w:val="18"/>
              </w:rPr>
              <w:t>- 361,66</w:t>
            </w:r>
          </w:p>
        </w:tc>
        <w:tc>
          <w:tcPr>
            <w:tcW w:w="876" w:type="dxa"/>
          </w:tcPr>
          <w:p>
            <w:pPr>
              <w:pStyle w:val="TableParagraph"/>
              <w:spacing w:before="92"/>
              <w:ind w:right="97"/>
              <w:rPr>
                <w:rFonts w:ascii="Arial"/>
                <w:sz w:val="18"/>
              </w:rPr>
            </w:pPr>
            <w:r>
              <w:rPr>
                <w:rFonts w:ascii="Arial"/>
                <w:sz w:val="18"/>
              </w:rPr>
              <w:t>286,31</w:t>
            </w:r>
          </w:p>
        </w:tc>
      </w:tr>
      <w:tr>
        <w:trPr>
          <w:trHeight w:val="310" w:hRule="exact"/>
        </w:trPr>
        <w:tc>
          <w:tcPr>
            <w:tcW w:w="4166" w:type="dxa"/>
            <w:gridSpan w:val="4"/>
            <w:vMerge/>
          </w:tcPr>
          <w:p>
            <w:pPr/>
          </w:p>
        </w:tc>
        <w:tc>
          <w:tcPr>
            <w:tcW w:w="1092" w:type="dxa"/>
            <w:gridSpan w:val="2"/>
            <w:vMerge/>
          </w:tcPr>
          <w:p>
            <w:pPr/>
          </w:p>
        </w:tc>
        <w:tc>
          <w:tcPr>
            <w:tcW w:w="1044" w:type="dxa"/>
            <w:gridSpan w:val="2"/>
          </w:tcPr>
          <w:p>
            <w:pPr>
              <w:pStyle w:val="TableParagraph"/>
              <w:spacing w:before="92"/>
              <w:ind w:left="64" w:right="0"/>
              <w:jc w:val="left"/>
              <w:rPr>
                <w:rFonts w:ascii="Arial"/>
                <w:sz w:val="18"/>
              </w:rPr>
            </w:pPr>
            <w:r>
              <w:rPr>
                <w:rFonts w:ascii="Arial"/>
                <w:sz w:val="18"/>
              </w:rPr>
              <w:t>g/kg pez d</w:t>
            </w:r>
          </w:p>
        </w:tc>
        <w:tc>
          <w:tcPr>
            <w:tcW w:w="847" w:type="dxa"/>
          </w:tcPr>
          <w:p>
            <w:pPr>
              <w:pStyle w:val="TableParagraph"/>
              <w:tabs>
                <w:tab w:pos="312" w:val="left" w:leader="none"/>
              </w:tabs>
              <w:spacing w:before="92"/>
              <w:ind w:right="108"/>
              <w:rPr>
                <w:rFonts w:ascii="Arial"/>
                <w:sz w:val="18"/>
              </w:rPr>
            </w:pPr>
            <w:r>
              <w:rPr>
                <w:rFonts w:ascii="Arial"/>
                <w:sz w:val="18"/>
              </w:rPr>
              <w:t>-</w:t>
              <w:tab/>
            </w:r>
            <w:r>
              <w:rPr>
                <w:rFonts w:ascii="Arial"/>
                <w:spacing w:val="-1"/>
                <w:sz w:val="18"/>
              </w:rPr>
              <w:t>0,22</w:t>
            </w:r>
          </w:p>
        </w:tc>
        <w:tc>
          <w:tcPr>
            <w:tcW w:w="876" w:type="dxa"/>
          </w:tcPr>
          <w:p>
            <w:pPr>
              <w:pStyle w:val="TableParagraph"/>
              <w:spacing w:before="92"/>
              <w:ind w:left="365" w:right="0"/>
              <w:jc w:val="left"/>
              <w:rPr>
                <w:rFonts w:ascii="Arial"/>
                <w:sz w:val="18"/>
              </w:rPr>
            </w:pPr>
            <w:r>
              <w:rPr>
                <w:rFonts w:ascii="Arial"/>
                <w:sz w:val="18"/>
              </w:rPr>
              <w:t>3,32</w:t>
            </w:r>
          </w:p>
        </w:tc>
        <w:tc>
          <w:tcPr>
            <w:tcW w:w="840" w:type="dxa"/>
          </w:tcPr>
          <w:p>
            <w:pPr>
              <w:pStyle w:val="TableParagraph"/>
              <w:tabs>
                <w:tab w:pos="324" w:val="left" w:leader="none"/>
              </w:tabs>
              <w:spacing w:before="92"/>
              <w:ind w:left="62" w:right="0"/>
              <w:jc w:val="left"/>
              <w:rPr>
                <w:rFonts w:ascii="Arial"/>
                <w:sz w:val="18"/>
              </w:rPr>
            </w:pPr>
            <w:r>
              <w:rPr>
                <w:rFonts w:ascii="Arial"/>
                <w:sz w:val="18"/>
              </w:rPr>
              <w:t>-</w:t>
              <w:tab/>
              <w:t>3,96</w:t>
            </w:r>
          </w:p>
        </w:tc>
        <w:tc>
          <w:tcPr>
            <w:tcW w:w="876" w:type="dxa"/>
          </w:tcPr>
          <w:p>
            <w:pPr>
              <w:pStyle w:val="TableParagraph"/>
              <w:spacing w:before="92"/>
              <w:ind w:left="368" w:right="0"/>
              <w:jc w:val="left"/>
              <w:rPr>
                <w:rFonts w:ascii="Arial"/>
                <w:sz w:val="18"/>
              </w:rPr>
            </w:pPr>
            <w:r>
              <w:rPr>
                <w:rFonts w:ascii="Arial"/>
                <w:sz w:val="18"/>
              </w:rPr>
              <w:t>3,14</w:t>
            </w:r>
          </w:p>
        </w:tc>
      </w:tr>
      <w:tr>
        <w:trPr>
          <w:trHeight w:val="312" w:hRule="exact"/>
        </w:trPr>
        <w:tc>
          <w:tcPr>
            <w:tcW w:w="4166" w:type="dxa"/>
            <w:gridSpan w:val="4"/>
            <w:vMerge/>
          </w:tcPr>
          <w:p>
            <w:pPr/>
          </w:p>
        </w:tc>
        <w:tc>
          <w:tcPr>
            <w:tcW w:w="1092" w:type="dxa"/>
            <w:gridSpan w:val="2"/>
            <w:vMerge/>
          </w:tcPr>
          <w:p>
            <w:pPr/>
          </w:p>
        </w:tc>
        <w:tc>
          <w:tcPr>
            <w:tcW w:w="1044" w:type="dxa"/>
            <w:gridSpan w:val="2"/>
          </w:tcPr>
          <w:p>
            <w:pPr>
              <w:pStyle w:val="TableParagraph"/>
              <w:spacing w:before="92"/>
              <w:ind w:left="64" w:right="0"/>
              <w:jc w:val="left"/>
              <w:rPr>
                <w:rFonts w:ascii="Arial"/>
                <w:sz w:val="18"/>
              </w:rPr>
            </w:pPr>
            <w:r>
              <w:rPr>
                <w:rFonts w:ascii="Arial"/>
                <w:w w:val="99"/>
                <w:sz w:val="18"/>
              </w:rPr>
              <w:t>%</w:t>
            </w:r>
          </w:p>
        </w:tc>
        <w:tc>
          <w:tcPr>
            <w:tcW w:w="847" w:type="dxa"/>
          </w:tcPr>
          <w:p>
            <w:pPr>
              <w:pStyle w:val="TableParagraph"/>
              <w:tabs>
                <w:tab w:pos="312" w:val="left" w:leader="none"/>
              </w:tabs>
              <w:spacing w:before="92"/>
              <w:ind w:right="108"/>
              <w:rPr>
                <w:rFonts w:ascii="Arial"/>
                <w:sz w:val="18"/>
              </w:rPr>
            </w:pPr>
            <w:r>
              <w:rPr>
                <w:rFonts w:ascii="Arial"/>
                <w:sz w:val="18"/>
              </w:rPr>
              <w:t>-</w:t>
              <w:tab/>
            </w:r>
            <w:r>
              <w:rPr>
                <w:rFonts w:ascii="Arial"/>
                <w:spacing w:val="-1"/>
                <w:sz w:val="18"/>
              </w:rPr>
              <w:t>3,04</w:t>
            </w:r>
          </w:p>
        </w:tc>
        <w:tc>
          <w:tcPr>
            <w:tcW w:w="876" w:type="dxa"/>
          </w:tcPr>
          <w:p>
            <w:pPr>
              <w:pStyle w:val="TableParagraph"/>
              <w:spacing w:before="92"/>
              <w:ind w:right="99"/>
              <w:rPr>
                <w:rFonts w:ascii="Arial"/>
                <w:sz w:val="18"/>
              </w:rPr>
            </w:pPr>
            <w:r>
              <w:rPr>
                <w:rFonts w:ascii="Arial"/>
                <w:sz w:val="18"/>
              </w:rPr>
              <w:t>44,77</w:t>
            </w:r>
          </w:p>
        </w:tc>
        <w:tc>
          <w:tcPr>
            <w:tcW w:w="840" w:type="dxa"/>
          </w:tcPr>
          <w:p>
            <w:pPr>
              <w:pStyle w:val="TableParagraph"/>
              <w:spacing w:before="92"/>
              <w:ind w:left="62" w:right="0"/>
              <w:jc w:val="left"/>
              <w:rPr>
                <w:rFonts w:ascii="Arial"/>
                <w:sz w:val="18"/>
              </w:rPr>
            </w:pPr>
            <w:r>
              <w:rPr>
                <w:rFonts w:ascii="Arial"/>
                <w:sz w:val="18"/>
              </w:rPr>
              <w:t>-  96,76</w:t>
            </w:r>
          </w:p>
        </w:tc>
        <w:tc>
          <w:tcPr>
            <w:tcW w:w="876" w:type="dxa"/>
          </w:tcPr>
          <w:p>
            <w:pPr>
              <w:pStyle w:val="TableParagraph"/>
              <w:spacing w:before="92"/>
              <w:ind w:right="96"/>
              <w:rPr>
                <w:rFonts w:ascii="Arial"/>
                <w:sz w:val="18"/>
              </w:rPr>
            </w:pPr>
            <w:r>
              <w:rPr>
                <w:rFonts w:ascii="Arial"/>
                <w:sz w:val="18"/>
              </w:rPr>
              <w:t>43,38</w:t>
            </w:r>
          </w:p>
        </w:tc>
      </w:tr>
    </w:tbl>
    <w:p>
      <w:pPr>
        <w:spacing w:after="0"/>
        <w:rPr>
          <w:rFonts w:ascii="Arial"/>
          <w:sz w:val="18"/>
        </w:rPr>
        <w:sectPr>
          <w:pgSz w:w="12240" w:h="15840"/>
          <w:pgMar w:header="725" w:footer="1084" w:top="1340" w:bottom="1280" w:left="920" w:right="700"/>
        </w:sectPr>
      </w:pPr>
    </w:p>
    <w:p>
      <w:pPr>
        <w:pStyle w:val="Heading5"/>
        <w:numPr>
          <w:ilvl w:val="3"/>
          <w:numId w:val="15"/>
        </w:numPr>
        <w:tabs>
          <w:tab w:pos="1621" w:val="left" w:leader="none"/>
        </w:tabs>
        <w:spacing w:line="240" w:lineRule="auto" w:before="172" w:after="0"/>
        <w:ind w:left="1620" w:right="0" w:hanging="799"/>
        <w:jc w:val="both"/>
      </w:pPr>
      <w:bookmarkStart w:name="_TOC_250025" w:id="143"/>
      <w:bookmarkStart w:name="5.6.1.6. Alcalinidad" w:id="144"/>
      <w:r>
        <w:rPr>
          <w:b w:val="0"/>
        </w:rPr>
      </w:r>
      <w:bookmarkEnd w:id="144"/>
      <w:bookmarkStart w:name="5.6.1.6. Alcalinidad" w:id="145"/>
      <w:r>
        <w:rPr/>
        <w:t>A</w:t>
      </w:r>
      <w:bookmarkEnd w:id="143"/>
      <w:r>
        <w:rPr/>
        <w:t>LCALINIDAD</w:t>
      </w:r>
    </w:p>
    <w:p>
      <w:pPr>
        <w:pStyle w:val="BodyText"/>
        <w:spacing w:before="5"/>
        <w:rPr>
          <w:b/>
          <w:sz w:val="28"/>
        </w:rPr>
      </w:pPr>
    </w:p>
    <w:p>
      <w:pPr>
        <w:pStyle w:val="BodyText"/>
        <w:spacing w:line="360" w:lineRule="auto" w:before="1"/>
        <w:ind w:left="821" w:right="1358"/>
        <w:jc w:val="both"/>
      </w:pPr>
      <w:r>
        <w:rPr/>
        <w:t>En el SRA se utilizó agua pluvial cosechada como fuente para el cultivo, donde la alcalinidad fue un parámetro muy variable, ya que el agua nueva contenía muy pocas sales y se necesitaba aumentar este parámetro para el buen funcionamiento de los procesos biológicos. En este caso el balance de masas se efectuó para corroborar donde se realiza el consumo.</w:t>
      </w:r>
    </w:p>
    <w:p>
      <w:pPr>
        <w:pStyle w:val="BodyText"/>
        <w:spacing w:before="7"/>
        <w:rPr>
          <w:sz w:val="17"/>
        </w:rPr>
      </w:pPr>
    </w:p>
    <w:p>
      <w:pPr>
        <w:pStyle w:val="BodyText"/>
        <w:spacing w:line="357" w:lineRule="auto"/>
        <w:ind w:left="821" w:right="1357"/>
        <w:jc w:val="both"/>
      </w:pPr>
      <w:r>
        <w:rPr/>
        <w:t>En la tabla 26 se observa que en el balance de masa, la alcalinidad tiene una generación en el estanque posiblemente por un proceso de desnitrificación que se pudo llevar a cabo en el fondo del sedimentador (Van Rijn </w:t>
      </w:r>
      <w:r>
        <w:rPr>
          <w:i/>
        </w:rPr>
        <w:t>et al</w:t>
      </w:r>
      <w:r>
        <w:rPr/>
        <w:t>., 2006), por una precipitación de sólidos insolubles por ausencia de CO</w:t>
      </w:r>
      <w:r>
        <w:rPr>
          <w:position w:val="-2"/>
          <w:sz w:val="13"/>
        </w:rPr>
        <w:t>2 </w:t>
      </w:r>
      <w:r>
        <w:rPr/>
        <w:t>o por la falta de una total disolución de sales agregadas al sistema que se precipitaban en el sedimentador. Así mismo, se verificó el consumo de alcalinidad en las unidades del tren de tratamiento donde se realizan los procesos biológicos del sistema (percolador y filtro de arena).</w:t>
      </w:r>
    </w:p>
    <w:p>
      <w:pPr>
        <w:pStyle w:val="BodyText"/>
        <w:spacing w:before="6"/>
        <w:rPr>
          <w:sz w:val="17"/>
        </w:rPr>
      </w:pPr>
    </w:p>
    <w:p>
      <w:pPr>
        <w:spacing w:before="0"/>
        <w:ind w:left="2443" w:right="0" w:firstLine="0"/>
        <w:jc w:val="left"/>
        <w:rPr>
          <w:b/>
          <w:sz w:val="18"/>
        </w:rPr>
      </w:pPr>
      <w:r>
        <w:rPr>
          <w:b/>
          <w:sz w:val="18"/>
        </w:rPr>
        <w:t>Tabla 26. Balance de masa de alcalinidad en el sistema prototipo.</w:t>
      </w:r>
    </w:p>
    <w:p>
      <w:pPr>
        <w:pStyle w:val="BodyText"/>
        <w:spacing w:after="1"/>
        <w:rPr>
          <w:b/>
          <w:sz w:val="11"/>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0"/>
        <w:gridCol w:w="1217"/>
        <w:gridCol w:w="1303"/>
        <w:gridCol w:w="1090"/>
        <w:gridCol w:w="475"/>
        <w:gridCol w:w="475"/>
        <w:gridCol w:w="461"/>
        <w:gridCol w:w="586"/>
        <w:gridCol w:w="1066"/>
        <w:gridCol w:w="1078"/>
        <w:gridCol w:w="1075"/>
        <w:gridCol w:w="1063"/>
      </w:tblGrid>
      <w:tr>
        <w:trPr>
          <w:trHeight w:val="422" w:hRule="exact"/>
        </w:trPr>
        <w:tc>
          <w:tcPr>
            <w:tcW w:w="890"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20"/>
              </w:rPr>
            </w:pPr>
          </w:p>
          <w:p>
            <w:pPr>
              <w:pStyle w:val="TableParagraph"/>
              <w:spacing w:before="0"/>
              <w:ind w:left="64" w:right="46" w:firstLine="14"/>
              <w:jc w:val="left"/>
              <w:rPr>
                <w:rFonts w:ascii="Arial"/>
                <w:sz w:val="18"/>
              </w:rPr>
            </w:pPr>
            <w:r>
              <w:rPr>
                <w:rFonts w:ascii="Arial"/>
                <w:sz w:val="18"/>
              </w:rPr>
              <w:t>Punto de muestreo</w:t>
            </w:r>
          </w:p>
        </w:tc>
        <w:tc>
          <w:tcPr>
            <w:tcW w:w="1217"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6"/>
              <w:ind w:left="108" w:right="0"/>
              <w:jc w:val="left"/>
              <w:rPr>
                <w:rFonts w:ascii="Arial"/>
                <w:sz w:val="18"/>
              </w:rPr>
            </w:pPr>
            <w:r>
              <w:rPr>
                <w:rFonts w:ascii="Arial"/>
                <w:sz w:val="18"/>
              </w:rPr>
              <w:t>Caudal (L/d)</w:t>
            </w:r>
          </w:p>
        </w:tc>
        <w:tc>
          <w:tcPr>
            <w:tcW w:w="1303"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127"/>
              <w:ind w:left="75" w:right="74"/>
              <w:jc w:val="center"/>
              <w:rPr>
                <w:rFonts w:ascii="Arial" w:hAnsi="Arial"/>
                <w:sz w:val="18"/>
              </w:rPr>
            </w:pPr>
            <w:r>
              <w:rPr>
                <w:rFonts w:ascii="Arial" w:hAnsi="Arial"/>
                <w:w w:val="95"/>
                <w:sz w:val="18"/>
              </w:rPr>
              <w:t>Concentración </w:t>
            </w:r>
            <w:r>
              <w:rPr>
                <w:rFonts w:ascii="Arial" w:hAnsi="Arial"/>
                <w:sz w:val="18"/>
              </w:rPr>
              <w:t>(mg/L como </w:t>
            </w:r>
            <w:r>
              <w:rPr>
                <w:rFonts w:ascii="Arial" w:hAnsi="Arial"/>
                <w:position w:val="2"/>
                <w:sz w:val="18"/>
              </w:rPr>
              <w:t>CaCO</w:t>
            </w:r>
            <w:r>
              <w:rPr>
                <w:rFonts w:ascii="Arial" w:hAnsi="Arial"/>
                <w:sz w:val="12"/>
              </w:rPr>
              <w:t>3</w:t>
            </w:r>
            <w:r>
              <w:rPr>
                <w:rFonts w:ascii="Arial" w:hAnsi="Arial"/>
                <w:position w:val="2"/>
                <w:sz w:val="18"/>
              </w:rPr>
              <w:t>)</w:t>
            </w:r>
          </w:p>
        </w:tc>
        <w:tc>
          <w:tcPr>
            <w:tcW w:w="1090" w:type="dxa"/>
            <w:vMerge w:val="restart"/>
          </w:tcPr>
          <w:p>
            <w:pPr>
              <w:pStyle w:val="TableParagraph"/>
              <w:spacing w:before="0"/>
              <w:ind w:right="0"/>
              <w:jc w:val="left"/>
              <w:rPr>
                <w:rFonts w:ascii="Arial"/>
                <w:b/>
                <w:sz w:val="18"/>
              </w:rPr>
            </w:pPr>
          </w:p>
          <w:p>
            <w:pPr>
              <w:pStyle w:val="TableParagraph"/>
              <w:spacing w:before="0"/>
              <w:ind w:right="0"/>
              <w:jc w:val="left"/>
              <w:rPr>
                <w:rFonts w:ascii="Arial"/>
                <w:b/>
                <w:sz w:val="18"/>
              </w:rPr>
            </w:pPr>
          </w:p>
          <w:p>
            <w:pPr>
              <w:pStyle w:val="TableParagraph"/>
              <w:spacing w:before="0"/>
              <w:ind w:right="0"/>
              <w:jc w:val="left"/>
              <w:rPr>
                <w:rFonts w:ascii="Arial"/>
                <w:b/>
                <w:sz w:val="20"/>
              </w:rPr>
            </w:pPr>
          </w:p>
          <w:p>
            <w:pPr>
              <w:pStyle w:val="TableParagraph"/>
              <w:spacing w:before="1"/>
              <w:ind w:left="146" w:right="149" w:firstLine="4"/>
              <w:jc w:val="center"/>
              <w:rPr>
                <w:rFonts w:ascii="Arial" w:hAnsi="Arial"/>
                <w:sz w:val="18"/>
              </w:rPr>
            </w:pPr>
            <w:r>
              <w:rPr>
                <w:rFonts w:ascii="Arial" w:hAnsi="Arial"/>
                <w:sz w:val="18"/>
              </w:rPr>
              <w:t>Flujo másico (g como </w:t>
            </w:r>
            <w:r>
              <w:rPr>
                <w:rFonts w:ascii="Arial" w:hAnsi="Arial"/>
                <w:position w:val="2"/>
                <w:sz w:val="18"/>
              </w:rPr>
              <w:t>CaCO</w:t>
            </w:r>
            <w:r>
              <w:rPr>
                <w:rFonts w:ascii="Arial" w:hAnsi="Arial"/>
                <w:sz w:val="12"/>
              </w:rPr>
              <w:t>3</w:t>
            </w:r>
            <w:r>
              <w:rPr>
                <w:rFonts w:ascii="Arial" w:hAnsi="Arial"/>
                <w:position w:val="2"/>
                <w:sz w:val="18"/>
              </w:rPr>
              <w:t>/d)</w:t>
            </w:r>
          </w:p>
        </w:tc>
        <w:tc>
          <w:tcPr>
            <w:tcW w:w="1997" w:type="dxa"/>
            <w:gridSpan w:val="4"/>
          </w:tcPr>
          <w:p>
            <w:pPr>
              <w:pStyle w:val="TableParagraph"/>
              <w:spacing w:before="0"/>
              <w:ind w:left="912" w:right="57" w:hanging="838"/>
              <w:jc w:val="left"/>
              <w:rPr>
                <w:rFonts w:ascii="Arial"/>
                <w:sz w:val="18"/>
              </w:rPr>
            </w:pPr>
            <w:r>
              <w:rPr>
                <w:rFonts w:ascii="Arial"/>
                <w:sz w:val="18"/>
              </w:rPr>
              <w:t>Entrada (+1) y salida (- 1)</w:t>
            </w:r>
          </w:p>
        </w:tc>
        <w:tc>
          <w:tcPr>
            <w:tcW w:w="4282" w:type="dxa"/>
            <w:gridSpan w:val="4"/>
          </w:tcPr>
          <w:p>
            <w:pPr>
              <w:pStyle w:val="TableParagraph"/>
              <w:spacing w:before="9"/>
              <w:ind w:right="0"/>
              <w:jc w:val="left"/>
              <w:rPr>
                <w:rFonts w:ascii="Arial"/>
                <w:b/>
                <w:sz w:val="17"/>
              </w:rPr>
            </w:pPr>
          </w:p>
          <w:p>
            <w:pPr>
              <w:pStyle w:val="TableParagraph"/>
              <w:spacing w:before="0"/>
              <w:ind w:left="1000" w:right="0"/>
              <w:jc w:val="left"/>
              <w:rPr>
                <w:rFonts w:ascii="Arial"/>
                <w:sz w:val="18"/>
              </w:rPr>
            </w:pPr>
            <w:r>
              <w:rPr>
                <w:rFonts w:ascii="Arial"/>
                <w:position w:val="2"/>
                <w:sz w:val="18"/>
              </w:rPr>
              <w:t>Balances (g como CaCO</w:t>
            </w:r>
            <w:r>
              <w:rPr>
                <w:rFonts w:ascii="Arial"/>
                <w:sz w:val="12"/>
              </w:rPr>
              <w:t>3</w:t>
            </w:r>
            <w:r>
              <w:rPr>
                <w:rFonts w:ascii="Arial"/>
                <w:position w:val="2"/>
                <w:sz w:val="18"/>
              </w:rPr>
              <w:t>/d)</w:t>
            </w:r>
          </w:p>
        </w:tc>
      </w:tr>
      <w:tr>
        <w:trPr>
          <w:trHeight w:val="1706" w:hRule="exact"/>
        </w:trPr>
        <w:tc>
          <w:tcPr>
            <w:tcW w:w="890" w:type="dxa"/>
            <w:vMerge/>
          </w:tcPr>
          <w:p>
            <w:pPr/>
          </w:p>
        </w:tc>
        <w:tc>
          <w:tcPr>
            <w:tcW w:w="1217" w:type="dxa"/>
            <w:vMerge/>
          </w:tcPr>
          <w:p>
            <w:pPr/>
          </w:p>
        </w:tc>
        <w:tc>
          <w:tcPr>
            <w:tcW w:w="1303" w:type="dxa"/>
            <w:vMerge/>
          </w:tcPr>
          <w:p>
            <w:pPr/>
          </w:p>
        </w:tc>
        <w:tc>
          <w:tcPr>
            <w:tcW w:w="1090" w:type="dxa"/>
            <w:vMerge/>
          </w:tcPr>
          <w:p>
            <w:pPr/>
          </w:p>
        </w:tc>
        <w:tc>
          <w:tcPr>
            <w:tcW w:w="475" w:type="dxa"/>
            <w:textDirection w:val="btLr"/>
          </w:tcPr>
          <w:p>
            <w:pPr>
              <w:pStyle w:val="TableParagraph"/>
              <w:spacing w:before="121"/>
              <w:ind w:left="410"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475" w:type="dxa"/>
            <w:textDirection w:val="btLr"/>
          </w:tcPr>
          <w:p>
            <w:pPr>
              <w:pStyle w:val="TableParagraph"/>
              <w:spacing w:before="121"/>
              <w:ind w:left="266"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461" w:type="dxa"/>
            <w:textDirection w:val="btLr"/>
          </w:tcPr>
          <w:p>
            <w:pPr>
              <w:pStyle w:val="TableParagraph"/>
              <w:spacing w:before="114"/>
              <w:ind w:left="465"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586" w:type="dxa"/>
            <w:textDirection w:val="btLr"/>
          </w:tcPr>
          <w:p>
            <w:pPr>
              <w:pStyle w:val="TableParagraph"/>
              <w:spacing w:before="4"/>
              <w:ind w:right="0"/>
              <w:jc w:val="left"/>
              <w:rPr>
                <w:rFonts w:ascii="Arial"/>
                <w:b/>
                <w:sz w:val="15"/>
              </w:rPr>
            </w:pPr>
          </w:p>
          <w:p>
            <w:pPr>
              <w:pStyle w:val="TableParagraph"/>
              <w:spacing w:before="0"/>
              <w:ind w:left="525" w:right="0"/>
              <w:jc w:val="left"/>
              <w:rPr>
                <w:rFonts w:ascii="Arial"/>
                <w:sz w:val="18"/>
              </w:rPr>
            </w:pPr>
            <w:r>
              <w:rPr>
                <w:rFonts w:ascii="Arial"/>
                <w:spacing w:val="-1"/>
                <w:w w:val="99"/>
                <w:sz w:val="18"/>
              </w:rPr>
              <w:t>G</w:t>
            </w:r>
            <w:r>
              <w:rPr>
                <w:rFonts w:ascii="Arial"/>
                <w:w w:val="99"/>
                <w:sz w:val="18"/>
              </w:rPr>
              <w:t>eneral</w:t>
            </w:r>
          </w:p>
        </w:tc>
        <w:tc>
          <w:tcPr>
            <w:tcW w:w="1066" w:type="dxa"/>
            <w:textDirection w:val="btLr"/>
          </w:tcPr>
          <w:p>
            <w:pPr>
              <w:pStyle w:val="TableParagraph"/>
              <w:spacing w:before="0"/>
              <w:ind w:right="0"/>
              <w:jc w:val="left"/>
              <w:rPr>
                <w:rFonts w:ascii="Arial"/>
                <w:b/>
                <w:sz w:val="18"/>
              </w:rPr>
            </w:pPr>
          </w:p>
          <w:p>
            <w:pPr>
              <w:pStyle w:val="TableParagraph"/>
              <w:spacing w:before="2"/>
              <w:ind w:right="0"/>
              <w:jc w:val="left"/>
              <w:rPr>
                <w:rFonts w:ascii="Arial"/>
                <w:b/>
                <w:sz w:val="18"/>
              </w:rPr>
            </w:pPr>
          </w:p>
          <w:p>
            <w:pPr>
              <w:pStyle w:val="TableParagraph"/>
              <w:spacing w:before="0"/>
              <w:ind w:left="410" w:right="0"/>
              <w:jc w:val="left"/>
              <w:rPr>
                <w:rFonts w:ascii="Arial"/>
                <w:sz w:val="18"/>
              </w:rPr>
            </w:pPr>
            <w:r>
              <w:rPr>
                <w:rFonts w:ascii="Arial"/>
                <w:w w:val="99"/>
                <w:sz w:val="18"/>
              </w:rPr>
              <w:t>Per</w:t>
            </w:r>
            <w:r>
              <w:rPr>
                <w:rFonts w:ascii="Arial"/>
                <w:spacing w:val="1"/>
                <w:w w:val="99"/>
                <w:sz w:val="18"/>
              </w:rPr>
              <w:t>c</w:t>
            </w:r>
            <w:r>
              <w:rPr>
                <w:rFonts w:ascii="Arial"/>
                <w:w w:val="99"/>
                <w:sz w:val="18"/>
              </w:rPr>
              <w:t>o</w:t>
            </w:r>
            <w:r>
              <w:rPr>
                <w:rFonts w:ascii="Arial"/>
                <w:spacing w:val="-2"/>
                <w:w w:val="99"/>
                <w:sz w:val="18"/>
              </w:rPr>
              <w:t>l</w:t>
            </w:r>
            <w:r>
              <w:rPr>
                <w:rFonts w:ascii="Arial"/>
                <w:w w:val="99"/>
                <w:sz w:val="18"/>
              </w:rPr>
              <w:t>ador</w:t>
            </w:r>
          </w:p>
        </w:tc>
        <w:tc>
          <w:tcPr>
            <w:tcW w:w="1078" w:type="dxa"/>
            <w:textDirection w:val="btLr"/>
          </w:tcPr>
          <w:p>
            <w:pPr>
              <w:pStyle w:val="TableParagraph"/>
              <w:spacing w:before="0"/>
              <w:ind w:right="0"/>
              <w:jc w:val="left"/>
              <w:rPr>
                <w:rFonts w:ascii="Arial"/>
                <w:b/>
                <w:sz w:val="18"/>
              </w:rPr>
            </w:pPr>
          </w:p>
          <w:p>
            <w:pPr>
              <w:pStyle w:val="TableParagraph"/>
              <w:spacing w:before="10"/>
              <w:ind w:right="0"/>
              <w:jc w:val="left"/>
              <w:rPr>
                <w:rFonts w:ascii="Arial"/>
                <w:b/>
                <w:sz w:val="18"/>
              </w:rPr>
            </w:pPr>
          </w:p>
          <w:p>
            <w:pPr>
              <w:pStyle w:val="TableParagraph"/>
              <w:spacing w:before="0"/>
              <w:ind w:left="266" w:right="0"/>
              <w:jc w:val="left"/>
              <w:rPr>
                <w:rFonts w:ascii="Arial"/>
                <w:sz w:val="18"/>
              </w:rPr>
            </w:pPr>
            <w:r>
              <w:rPr>
                <w:rFonts w:ascii="Arial"/>
                <w:w w:val="99"/>
                <w:sz w:val="18"/>
              </w:rPr>
              <w:t>Filtro</w:t>
            </w:r>
            <w:r>
              <w:rPr>
                <w:rFonts w:ascii="Arial"/>
                <w:spacing w:val="-2"/>
                <w:sz w:val="18"/>
              </w:rPr>
              <w:t> </w:t>
            </w:r>
            <w:r>
              <w:rPr>
                <w:rFonts w:ascii="Arial"/>
                <w:w w:val="99"/>
                <w:sz w:val="18"/>
              </w:rPr>
              <w:t>de</w:t>
            </w:r>
            <w:r>
              <w:rPr>
                <w:rFonts w:ascii="Arial"/>
                <w:spacing w:val="-2"/>
                <w:sz w:val="18"/>
              </w:rPr>
              <w:t> </w:t>
            </w:r>
            <w:r>
              <w:rPr>
                <w:rFonts w:ascii="Arial"/>
                <w:w w:val="99"/>
                <w:sz w:val="18"/>
              </w:rPr>
              <w:t>arena</w:t>
            </w:r>
          </w:p>
        </w:tc>
        <w:tc>
          <w:tcPr>
            <w:tcW w:w="1075" w:type="dxa"/>
            <w:textDirection w:val="btLr"/>
          </w:tcPr>
          <w:p>
            <w:pPr>
              <w:pStyle w:val="TableParagraph"/>
              <w:spacing w:before="0"/>
              <w:ind w:right="0"/>
              <w:jc w:val="left"/>
              <w:rPr>
                <w:rFonts w:ascii="Arial"/>
                <w:b/>
                <w:sz w:val="18"/>
              </w:rPr>
            </w:pPr>
          </w:p>
          <w:p>
            <w:pPr>
              <w:pStyle w:val="TableParagraph"/>
              <w:spacing w:before="7"/>
              <w:ind w:right="0"/>
              <w:jc w:val="left"/>
              <w:rPr>
                <w:rFonts w:ascii="Arial"/>
                <w:b/>
                <w:sz w:val="18"/>
              </w:rPr>
            </w:pPr>
          </w:p>
          <w:p>
            <w:pPr>
              <w:pStyle w:val="TableParagraph"/>
              <w:spacing w:before="0"/>
              <w:ind w:left="465" w:right="0"/>
              <w:jc w:val="left"/>
              <w:rPr>
                <w:rFonts w:ascii="Arial"/>
                <w:sz w:val="18"/>
              </w:rPr>
            </w:pPr>
            <w:r>
              <w:rPr>
                <w:rFonts w:ascii="Arial"/>
                <w:w w:val="99"/>
                <w:sz w:val="18"/>
              </w:rPr>
              <w:t>E</w:t>
            </w:r>
            <w:r>
              <w:rPr>
                <w:rFonts w:ascii="Arial"/>
                <w:spacing w:val="1"/>
                <w:w w:val="99"/>
                <w:sz w:val="18"/>
              </w:rPr>
              <w:t>s</w:t>
            </w:r>
            <w:r>
              <w:rPr>
                <w:rFonts w:ascii="Arial"/>
                <w:w w:val="99"/>
                <w:sz w:val="18"/>
              </w:rPr>
              <w:t>tan</w:t>
            </w:r>
            <w:r>
              <w:rPr>
                <w:rFonts w:ascii="Arial"/>
                <w:spacing w:val="-2"/>
                <w:w w:val="99"/>
                <w:sz w:val="18"/>
              </w:rPr>
              <w:t>q</w:t>
            </w:r>
            <w:r>
              <w:rPr>
                <w:rFonts w:ascii="Arial"/>
                <w:w w:val="99"/>
                <w:sz w:val="18"/>
              </w:rPr>
              <w:t>ue</w:t>
            </w:r>
          </w:p>
        </w:tc>
        <w:tc>
          <w:tcPr>
            <w:tcW w:w="1063" w:type="dxa"/>
            <w:textDirection w:val="btLr"/>
          </w:tcPr>
          <w:p>
            <w:pPr>
              <w:pStyle w:val="TableParagraph"/>
              <w:spacing w:before="0"/>
              <w:ind w:right="0"/>
              <w:jc w:val="left"/>
              <w:rPr>
                <w:rFonts w:ascii="Arial"/>
                <w:b/>
                <w:sz w:val="18"/>
              </w:rPr>
            </w:pPr>
          </w:p>
          <w:p>
            <w:pPr>
              <w:pStyle w:val="TableParagraph"/>
              <w:spacing w:before="2"/>
              <w:ind w:right="0"/>
              <w:jc w:val="left"/>
              <w:rPr>
                <w:rFonts w:ascii="Arial"/>
                <w:b/>
                <w:sz w:val="18"/>
              </w:rPr>
            </w:pPr>
          </w:p>
          <w:p>
            <w:pPr>
              <w:pStyle w:val="TableParagraph"/>
              <w:spacing w:before="0"/>
              <w:ind w:left="525" w:right="0"/>
              <w:jc w:val="left"/>
              <w:rPr>
                <w:rFonts w:ascii="Arial"/>
                <w:sz w:val="18"/>
              </w:rPr>
            </w:pPr>
            <w:r>
              <w:rPr>
                <w:rFonts w:ascii="Arial"/>
                <w:spacing w:val="-1"/>
                <w:w w:val="99"/>
                <w:sz w:val="18"/>
              </w:rPr>
              <w:t>G</w:t>
            </w:r>
            <w:r>
              <w:rPr>
                <w:rFonts w:ascii="Arial"/>
                <w:w w:val="99"/>
                <w:sz w:val="18"/>
              </w:rPr>
              <w:t>eneral</w:t>
            </w: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A</w:t>
            </w:r>
          </w:p>
        </w:tc>
        <w:tc>
          <w:tcPr>
            <w:tcW w:w="1217" w:type="dxa"/>
          </w:tcPr>
          <w:p>
            <w:pPr>
              <w:pStyle w:val="TableParagraph"/>
              <w:spacing w:before="44"/>
              <w:ind w:right="75"/>
              <w:rPr>
                <w:rFonts w:ascii="Arial"/>
                <w:sz w:val="18"/>
              </w:rPr>
            </w:pPr>
            <w:r>
              <w:rPr>
                <w:rFonts w:ascii="Arial"/>
                <w:sz w:val="18"/>
              </w:rPr>
              <w:t>181 440</w:t>
            </w:r>
          </w:p>
        </w:tc>
        <w:tc>
          <w:tcPr>
            <w:tcW w:w="1303" w:type="dxa"/>
          </w:tcPr>
          <w:p>
            <w:pPr>
              <w:pStyle w:val="TableParagraph"/>
              <w:spacing w:before="92"/>
              <w:ind w:right="122"/>
              <w:rPr>
                <w:rFonts w:ascii="Arial"/>
                <w:sz w:val="18"/>
              </w:rPr>
            </w:pPr>
            <w:r>
              <w:rPr>
                <w:rFonts w:ascii="Arial"/>
                <w:sz w:val="18"/>
              </w:rPr>
              <w:t>65,14</w:t>
            </w:r>
          </w:p>
        </w:tc>
        <w:tc>
          <w:tcPr>
            <w:tcW w:w="1090" w:type="dxa"/>
          </w:tcPr>
          <w:p>
            <w:pPr>
              <w:pStyle w:val="TableParagraph"/>
              <w:spacing w:before="92"/>
              <w:ind w:right="111"/>
              <w:rPr>
                <w:rFonts w:ascii="Arial"/>
                <w:sz w:val="18"/>
              </w:rPr>
            </w:pPr>
            <w:r>
              <w:rPr>
                <w:rFonts w:ascii="Arial"/>
                <w:sz w:val="18"/>
              </w:rPr>
              <w:t>11 819,00</w:t>
            </w:r>
          </w:p>
        </w:tc>
        <w:tc>
          <w:tcPr>
            <w:tcW w:w="475" w:type="dxa"/>
          </w:tcPr>
          <w:p>
            <w:pPr>
              <w:pStyle w:val="TableParagraph"/>
              <w:spacing w:before="92"/>
              <w:ind w:left="182" w:right="0"/>
              <w:jc w:val="left"/>
              <w:rPr>
                <w:rFonts w:ascii="Arial"/>
                <w:sz w:val="18"/>
              </w:rPr>
            </w:pPr>
            <w:r>
              <w:rPr>
                <w:rFonts w:ascii="Arial"/>
                <w:w w:val="99"/>
                <w:sz w:val="18"/>
              </w:rPr>
              <w:t>1</w:t>
            </w:r>
          </w:p>
        </w:tc>
        <w:tc>
          <w:tcPr>
            <w:tcW w:w="475" w:type="dxa"/>
          </w:tcPr>
          <w:p>
            <w:pPr/>
          </w:p>
        </w:tc>
        <w:tc>
          <w:tcPr>
            <w:tcW w:w="461" w:type="dxa"/>
          </w:tcPr>
          <w:p>
            <w:pPr/>
          </w:p>
        </w:tc>
        <w:tc>
          <w:tcPr>
            <w:tcW w:w="586" w:type="dxa"/>
          </w:tcPr>
          <w:p>
            <w:pPr/>
          </w:p>
        </w:tc>
        <w:tc>
          <w:tcPr>
            <w:tcW w:w="1066" w:type="dxa"/>
          </w:tcPr>
          <w:p>
            <w:pPr>
              <w:pStyle w:val="TableParagraph"/>
              <w:spacing w:before="44"/>
              <w:ind w:right="65"/>
              <w:rPr>
                <w:rFonts w:ascii="Arial"/>
                <w:sz w:val="18"/>
              </w:rPr>
            </w:pPr>
            <w:r>
              <w:rPr>
                <w:rFonts w:ascii="Arial"/>
                <w:sz w:val="18"/>
              </w:rPr>
              <w:t>11 819,00</w:t>
            </w:r>
          </w:p>
        </w:tc>
        <w:tc>
          <w:tcPr>
            <w:tcW w:w="1078" w:type="dxa"/>
          </w:tcPr>
          <w:p>
            <w:pPr/>
          </w:p>
        </w:tc>
        <w:tc>
          <w:tcPr>
            <w:tcW w:w="1075" w:type="dxa"/>
          </w:tcPr>
          <w:p>
            <w:pPr/>
          </w:p>
        </w:tc>
        <w:tc>
          <w:tcPr>
            <w:tcW w:w="1063" w:type="dxa"/>
          </w:tcPr>
          <w:p>
            <w:pPr/>
          </w:p>
        </w:tc>
      </w:tr>
      <w:tr>
        <w:trPr>
          <w:trHeight w:val="310" w:hRule="exact"/>
        </w:trPr>
        <w:tc>
          <w:tcPr>
            <w:tcW w:w="890" w:type="dxa"/>
          </w:tcPr>
          <w:p>
            <w:pPr>
              <w:pStyle w:val="TableParagraph"/>
              <w:spacing w:before="40"/>
              <w:ind w:right="0"/>
              <w:jc w:val="center"/>
              <w:rPr>
                <w:rFonts w:ascii="Arial"/>
                <w:b/>
                <w:sz w:val="18"/>
              </w:rPr>
            </w:pPr>
            <w:r>
              <w:rPr>
                <w:rFonts w:ascii="Arial"/>
                <w:b/>
                <w:w w:val="99"/>
                <w:sz w:val="18"/>
              </w:rPr>
              <w:t>B</w:t>
            </w:r>
          </w:p>
        </w:tc>
        <w:tc>
          <w:tcPr>
            <w:tcW w:w="1217" w:type="dxa"/>
          </w:tcPr>
          <w:p>
            <w:pPr>
              <w:pStyle w:val="TableParagraph"/>
              <w:spacing w:before="44"/>
              <w:ind w:right="75"/>
              <w:rPr>
                <w:rFonts w:ascii="Arial"/>
                <w:sz w:val="18"/>
              </w:rPr>
            </w:pPr>
            <w:r>
              <w:rPr>
                <w:rFonts w:ascii="Arial"/>
                <w:sz w:val="18"/>
              </w:rPr>
              <w:t>181 440</w:t>
            </w:r>
          </w:p>
        </w:tc>
        <w:tc>
          <w:tcPr>
            <w:tcW w:w="1303" w:type="dxa"/>
          </w:tcPr>
          <w:p>
            <w:pPr>
              <w:pStyle w:val="TableParagraph"/>
              <w:spacing w:before="92"/>
              <w:ind w:right="122"/>
              <w:rPr>
                <w:rFonts w:ascii="Arial"/>
                <w:sz w:val="18"/>
              </w:rPr>
            </w:pPr>
            <w:r>
              <w:rPr>
                <w:rFonts w:ascii="Arial"/>
                <w:sz w:val="18"/>
              </w:rPr>
              <w:t>51,42</w:t>
            </w:r>
          </w:p>
        </w:tc>
        <w:tc>
          <w:tcPr>
            <w:tcW w:w="1090" w:type="dxa"/>
          </w:tcPr>
          <w:p>
            <w:pPr>
              <w:pStyle w:val="TableParagraph"/>
              <w:spacing w:before="92"/>
              <w:ind w:right="111"/>
              <w:rPr>
                <w:rFonts w:ascii="Arial"/>
                <w:sz w:val="18"/>
              </w:rPr>
            </w:pPr>
            <w:r>
              <w:rPr>
                <w:rFonts w:ascii="Arial"/>
                <w:sz w:val="18"/>
              </w:rPr>
              <w:t>9 329,64</w:t>
            </w:r>
          </w:p>
        </w:tc>
        <w:tc>
          <w:tcPr>
            <w:tcW w:w="475" w:type="dxa"/>
          </w:tcPr>
          <w:p>
            <w:pPr>
              <w:pStyle w:val="TableParagraph"/>
              <w:spacing w:before="92"/>
              <w:ind w:left="151" w:right="0"/>
              <w:jc w:val="left"/>
              <w:rPr>
                <w:rFonts w:ascii="Arial"/>
                <w:sz w:val="18"/>
              </w:rPr>
            </w:pPr>
            <w:r>
              <w:rPr>
                <w:rFonts w:ascii="Arial"/>
                <w:sz w:val="18"/>
              </w:rPr>
              <w:t>-1</w:t>
            </w:r>
          </w:p>
        </w:tc>
        <w:tc>
          <w:tcPr>
            <w:tcW w:w="475" w:type="dxa"/>
          </w:tcPr>
          <w:p>
            <w:pPr>
              <w:pStyle w:val="TableParagraph"/>
              <w:spacing w:before="92"/>
              <w:ind w:left="182" w:right="0"/>
              <w:jc w:val="left"/>
              <w:rPr>
                <w:rFonts w:ascii="Arial"/>
                <w:sz w:val="18"/>
              </w:rPr>
            </w:pPr>
            <w:r>
              <w:rPr>
                <w:rFonts w:ascii="Arial"/>
                <w:w w:val="99"/>
                <w:sz w:val="18"/>
              </w:rPr>
              <w:t>1</w:t>
            </w:r>
          </w:p>
        </w:tc>
        <w:tc>
          <w:tcPr>
            <w:tcW w:w="461" w:type="dxa"/>
          </w:tcPr>
          <w:p>
            <w:pPr/>
          </w:p>
        </w:tc>
        <w:tc>
          <w:tcPr>
            <w:tcW w:w="586" w:type="dxa"/>
          </w:tcPr>
          <w:p>
            <w:pPr/>
          </w:p>
        </w:tc>
        <w:tc>
          <w:tcPr>
            <w:tcW w:w="1066" w:type="dxa"/>
          </w:tcPr>
          <w:p>
            <w:pPr>
              <w:pStyle w:val="TableParagraph"/>
              <w:spacing w:before="44"/>
              <w:ind w:right="65"/>
              <w:rPr>
                <w:rFonts w:ascii="Arial"/>
                <w:sz w:val="18"/>
              </w:rPr>
            </w:pPr>
            <w:r>
              <w:rPr>
                <w:rFonts w:ascii="Arial"/>
                <w:sz w:val="18"/>
              </w:rPr>
              <w:t>-   9 329,64</w:t>
            </w:r>
          </w:p>
        </w:tc>
        <w:tc>
          <w:tcPr>
            <w:tcW w:w="1078" w:type="dxa"/>
          </w:tcPr>
          <w:p>
            <w:pPr>
              <w:pStyle w:val="TableParagraph"/>
              <w:spacing w:before="44"/>
              <w:ind w:right="65"/>
              <w:rPr>
                <w:rFonts w:ascii="Arial"/>
                <w:sz w:val="18"/>
              </w:rPr>
            </w:pPr>
            <w:r>
              <w:rPr>
                <w:rFonts w:ascii="Arial"/>
                <w:sz w:val="18"/>
              </w:rPr>
              <w:t>9 329,64</w:t>
            </w:r>
          </w:p>
        </w:tc>
        <w:tc>
          <w:tcPr>
            <w:tcW w:w="1075" w:type="dxa"/>
          </w:tcPr>
          <w:p>
            <w:pPr/>
          </w:p>
        </w:tc>
        <w:tc>
          <w:tcPr>
            <w:tcW w:w="1063" w:type="dxa"/>
          </w:tcPr>
          <w:p>
            <w:pPr/>
          </w:p>
        </w:tc>
      </w:tr>
      <w:tr>
        <w:trPr>
          <w:trHeight w:val="310" w:hRule="exact"/>
        </w:trPr>
        <w:tc>
          <w:tcPr>
            <w:tcW w:w="890" w:type="dxa"/>
          </w:tcPr>
          <w:p>
            <w:pPr>
              <w:pStyle w:val="TableParagraph"/>
              <w:spacing w:before="88"/>
              <w:ind w:right="0"/>
              <w:jc w:val="center"/>
              <w:rPr>
                <w:rFonts w:ascii="Arial"/>
                <w:b/>
                <w:sz w:val="18"/>
              </w:rPr>
            </w:pPr>
            <w:r>
              <w:rPr>
                <w:rFonts w:ascii="Arial"/>
                <w:b/>
                <w:w w:val="99"/>
                <w:sz w:val="18"/>
              </w:rPr>
              <w:t>C</w:t>
            </w:r>
          </w:p>
        </w:tc>
        <w:tc>
          <w:tcPr>
            <w:tcW w:w="1217" w:type="dxa"/>
          </w:tcPr>
          <w:p>
            <w:pPr>
              <w:pStyle w:val="TableParagraph"/>
              <w:spacing w:before="47"/>
              <w:ind w:right="75"/>
              <w:rPr>
                <w:rFonts w:ascii="Arial"/>
                <w:sz w:val="18"/>
              </w:rPr>
            </w:pPr>
            <w:r>
              <w:rPr>
                <w:rFonts w:ascii="Arial"/>
                <w:sz w:val="18"/>
              </w:rPr>
              <w:t>181 440</w:t>
            </w:r>
          </w:p>
        </w:tc>
        <w:tc>
          <w:tcPr>
            <w:tcW w:w="1303" w:type="dxa"/>
          </w:tcPr>
          <w:p>
            <w:pPr>
              <w:pStyle w:val="TableParagraph"/>
              <w:spacing w:before="92"/>
              <w:ind w:right="122"/>
              <w:rPr>
                <w:rFonts w:ascii="Arial"/>
                <w:sz w:val="18"/>
              </w:rPr>
            </w:pPr>
            <w:r>
              <w:rPr>
                <w:rFonts w:ascii="Arial"/>
                <w:sz w:val="18"/>
              </w:rPr>
              <w:t>46,11</w:t>
            </w:r>
          </w:p>
        </w:tc>
        <w:tc>
          <w:tcPr>
            <w:tcW w:w="1090" w:type="dxa"/>
          </w:tcPr>
          <w:p>
            <w:pPr>
              <w:pStyle w:val="TableParagraph"/>
              <w:spacing w:before="92"/>
              <w:ind w:right="111"/>
              <w:rPr>
                <w:rFonts w:ascii="Arial"/>
                <w:sz w:val="18"/>
              </w:rPr>
            </w:pPr>
            <w:r>
              <w:rPr>
                <w:rFonts w:ascii="Arial"/>
                <w:sz w:val="18"/>
              </w:rPr>
              <w:t>8 366,20</w:t>
            </w:r>
          </w:p>
        </w:tc>
        <w:tc>
          <w:tcPr>
            <w:tcW w:w="475" w:type="dxa"/>
          </w:tcPr>
          <w:p>
            <w:pPr/>
          </w:p>
        </w:tc>
        <w:tc>
          <w:tcPr>
            <w:tcW w:w="475" w:type="dxa"/>
          </w:tcPr>
          <w:p>
            <w:pPr>
              <w:pStyle w:val="TableParagraph"/>
              <w:spacing w:before="92"/>
              <w:ind w:left="151" w:right="0"/>
              <w:jc w:val="left"/>
              <w:rPr>
                <w:rFonts w:ascii="Arial"/>
                <w:sz w:val="18"/>
              </w:rPr>
            </w:pPr>
            <w:r>
              <w:rPr>
                <w:rFonts w:ascii="Arial"/>
                <w:sz w:val="18"/>
              </w:rPr>
              <w:t>-1</w:t>
            </w:r>
          </w:p>
        </w:tc>
        <w:tc>
          <w:tcPr>
            <w:tcW w:w="461" w:type="dxa"/>
          </w:tcPr>
          <w:p>
            <w:pPr>
              <w:pStyle w:val="TableParagraph"/>
              <w:spacing w:before="92"/>
              <w:ind w:left="172" w:right="0"/>
              <w:jc w:val="left"/>
              <w:rPr>
                <w:rFonts w:ascii="Arial"/>
                <w:sz w:val="18"/>
              </w:rPr>
            </w:pPr>
            <w:r>
              <w:rPr>
                <w:rFonts w:ascii="Arial"/>
                <w:w w:val="99"/>
                <w:sz w:val="18"/>
              </w:rPr>
              <w:t>1</w:t>
            </w:r>
          </w:p>
        </w:tc>
        <w:tc>
          <w:tcPr>
            <w:tcW w:w="586" w:type="dxa"/>
          </w:tcPr>
          <w:p>
            <w:pPr>
              <w:pStyle w:val="TableParagraph"/>
              <w:spacing w:before="92"/>
              <w:ind w:left="187" w:right="188"/>
              <w:jc w:val="center"/>
              <w:rPr>
                <w:rFonts w:ascii="Arial"/>
                <w:sz w:val="18"/>
              </w:rPr>
            </w:pPr>
            <w:r>
              <w:rPr>
                <w:rFonts w:ascii="Arial"/>
                <w:sz w:val="18"/>
              </w:rPr>
              <w:t>-1</w:t>
            </w:r>
          </w:p>
        </w:tc>
        <w:tc>
          <w:tcPr>
            <w:tcW w:w="1066" w:type="dxa"/>
          </w:tcPr>
          <w:p>
            <w:pPr/>
          </w:p>
        </w:tc>
        <w:tc>
          <w:tcPr>
            <w:tcW w:w="1078" w:type="dxa"/>
          </w:tcPr>
          <w:p>
            <w:pPr>
              <w:pStyle w:val="TableParagraph"/>
              <w:spacing w:before="47"/>
              <w:ind w:right="65"/>
              <w:rPr>
                <w:rFonts w:ascii="Arial"/>
                <w:sz w:val="18"/>
              </w:rPr>
            </w:pPr>
            <w:r>
              <w:rPr>
                <w:rFonts w:ascii="Arial"/>
                <w:sz w:val="18"/>
              </w:rPr>
              <w:t>- 8 366,20</w:t>
            </w:r>
          </w:p>
        </w:tc>
        <w:tc>
          <w:tcPr>
            <w:tcW w:w="1075" w:type="dxa"/>
          </w:tcPr>
          <w:p>
            <w:pPr>
              <w:pStyle w:val="TableParagraph"/>
              <w:spacing w:before="47"/>
              <w:ind w:right="63"/>
              <w:rPr>
                <w:rFonts w:ascii="Arial"/>
                <w:sz w:val="18"/>
              </w:rPr>
            </w:pPr>
            <w:r>
              <w:rPr>
                <w:rFonts w:ascii="Arial"/>
                <w:sz w:val="18"/>
              </w:rPr>
              <w:t>8 366,20</w:t>
            </w:r>
          </w:p>
        </w:tc>
        <w:tc>
          <w:tcPr>
            <w:tcW w:w="1063" w:type="dxa"/>
          </w:tcPr>
          <w:p>
            <w:pPr>
              <w:pStyle w:val="TableParagraph"/>
              <w:spacing w:before="47"/>
              <w:ind w:right="65"/>
              <w:rPr>
                <w:rFonts w:ascii="Arial"/>
                <w:sz w:val="18"/>
              </w:rPr>
            </w:pPr>
            <w:r>
              <w:rPr>
                <w:rFonts w:ascii="Arial"/>
                <w:sz w:val="18"/>
              </w:rPr>
              <w:t>-   8 366,20</w:t>
            </w:r>
          </w:p>
        </w:tc>
      </w:tr>
      <w:tr>
        <w:trPr>
          <w:trHeight w:val="310" w:hRule="exact"/>
        </w:trPr>
        <w:tc>
          <w:tcPr>
            <w:tcW w:w="890" w:type="dxa"/>
          </w:tcPr>
          <w:p>
            <w:pPr>
              <w:pStyle w:val="TableParagraph"/>
              <w:spacing w:before="42"/>
              <w:ind w:right="0"/>
              <w:jc w:val="center"/>
              <w:rPr>
                <w:rFonts w:ascii="Arial"/>
                <w:b/>
                <w:sz w:val="18"/>
              </w:rPr>
            </w:pPr>
            <w:r>
              <w:rPr>
                <w:rFonts w:ascii="Arial"/>
                <w:b/>
                <w:w w:val="99"/>
                <w:sz w:val="18"/>
              </w:rPr>
              <w:t>D</w:t>
            </w:r>
          </w:p>
        </w:tc>
        <w:tc>
          <w:tcPr>
            <w:tcW w:w="1217" w:type="dxa"/>
          </w:tcPr>
          <w:p>
            <w:pPr>
              <w:pStyle w:val="TableParagraph"/>
              <w:spacing w:before="47"/>
              <w:ind w:right="75"/>
              <w:rPr>
                <w:rFonts w:ascii="Arial"/>
                <w:sz w:val="18"/>
              </w:rPr>
            </w:pPr>
            <w:r>
              <w:rPr>
                <w:rFonts w:ascii="Arial"/>
                <w:sz w:val="18"/>
              </w:rPr>
              <w:t>181 340</w:t>
            </w:r>
          </w:p>
        </w:tc>
        <w:tc>
          <w:tcPr>
            <w:tcW w:w="1303" w:type="dxa"/>
          </w:tcPr>
          <w:p>
            <w:pPr>
              <w:pStyle w:val="TableParagraph"/>
              <w:spacing w:before="92"/>
              <w:ind w:right="122"/>
              <w:rPr>
                <w:rFonts w:ascii="Arial"/>
                <w:sz w:val="18"/>
              </w:rPr>
            </w:pPr>
            <w:r>
              <w:rPr>
                <w:rFonts w:ascii="Arial"/>
                <w:sz w:val="18"/>
              </w:rPr>
              <w:t>54,46</w:t>
            </w:r>
          </w:p>
        </w:tc>
        <w:tc>
          <w:tcPr>
            <w:tcW w:w="1090" w:type="dxa"/>
          </w:tcPr>
          <w:p>
            <w:pPr>
              <w:pStyle w:val="TableParagraph"/>
              <w:spacing w:before="92"/>
              <w:ind w:right="111"/>
              <w:rPr>
                <w:rFonts w:ascii="Arial"/>
                <w:sz w:val="18"/>
              </w:rPr>
            </w:pPr>
            <w:r>
              <w:rPr>
                <w:rFonts w:ascii="Arial"/>
                <w:sz w:val="18"/>
              </w:rPr>
              <w:t>9 875,78</w:t>
            </w:r>
          </w:p>
        </w:tc>
        <w:tc>
          <w:tcPr>
            <w:tcW w:w="475" w:type="dxa"/>
          </w:tcPr>
          <w:p>
            <w:pPr/>
          </w:p>
        </w:tc>
        <w:tc>
          <w:tcPr>
            <w:tcW w:w="475" w:type="dxa"/>
          </w:tcPr>
          <w:p>
            <w:pPr/>
          </w:p>
        </w:tc>
        <w:tc>
          <w:tcPr>
            <w:tcW w:w="461" w:type="dxa"/>
          </w:tcPr>
          <w:p>
            <w:pPr/>
          </w:p>
        </w:tc>
        <w:tc>
          <w:tcPr>
            <w:tcW w:w="586" w:type="dxa"/>
          </w:tcPr>
          <w:p>
            <w:pPr>
              <w:pStyle w:val="TableParagraph"/>
              <w:spacing w:before="92"/>
              <w:ind w:right="0"/>
              <w:jc w:val="center"/>
              <w:rPr>
                <w:rFonts w:ascii="Arial"/>
                <w:sz w:val="18"/>
              </w:rPr>
            </w:pPr>
            <w:r>
              <w:rPr>
                <w:rFonts w:ascii="Arial"/>
                <w:w w:val="99"/>
                <w:sz w:val="18"/>
              </w:rPr>
              <w:t>1</w:t>
            </w:r>
          </w:p>
        </w:tc>
        <w:tc>
          <w:tcPr>
            <w:tcW w:w="1066" w:type="dxa"/>
          </w:tcPr>
          <w:p>
            <w:pPr/>
          </w:p>
        </w:tc>
        <w:tc>
          <w:tcPr>
            <w:tcW w:w="1078" w:type="dxa"/>
          </w:tcPr>
          <w:p>
            <w:pPr/>
          </w:p>
        </w:tc>
        <w:tc>
          <w:tcPr>
            <w:tcW w:w="1075" w:type="dxa"/>
          </w:tcPr>
          <w:p>
            <w:pPr/>
          </w:p>
        </w:tc>
        <w:tc>
          <w:tcPr>
            <w:tcW w:w="1063" w:type="dxa"/>
          </w:tcPr>
          <w:p>
            <w:pPr>
              <w:pStyle w:val="TableParagraph"/>
              <w:spacing w:before="47"/>
              <w:ind w:right="65"/>
              <w:rPr>
                <w:rFonts w:ascii="Arial"/>
                <w:sz w:val="18"/>
              </w:rPr>
            </w:pPr>
            <w:r>
              <w:rPr>
                <w:rFonts w:ascii="Arial"/>
                <w:sz w:val="18"/>
              </w:rPr>
              <w:t>9 875,78</w:t>
            </w:r>
          </w:p>
        </w:tc>
      </w:tr>
      <w:tr>
        <w:trPr>
          <w:trHeight w:val="312" w:hRule="exact"/>
        </w:trPr>
        <w:tc>
          <w:tcPr>
            <w:tcW w:w="890" w:type="dxa"/>
          </w:tcPr>
          <w:p>
            <w:pPr>
              <w:pStyle w:val="TableParagraph"/>
              <w:spacing w:before="42"/>
              <w:ind w:right="0"/>
              <w:jc w:val="center"/>
              <w:rPr>
                <w:rFonts w:ascii="Arial"/>
                <w:b/>
                <w:sz w:val="18"/>
              </w:rPr>
            </w:pPr>
            <w:r>
              <w:rPr>
                <w:rFonts w:ascii="Arial"/>
                <w:b/>
                <w:w w:val="99"/>
                <w:sz w:val="18"/>
              </w:rPr>
              <w:t>E</w:t>
            </w:r>
          </w:p>
        </w:tc>
        <w:tc>
          <w:tcPr>
            <w:tcW w:w="1217" w:type="dxa"/>
          </w:tcPr>
          <w:p>
            <w:pPr>
              <w:pStyle w:val="TableParagraph"/>
              <w:spacing w:before="47"/>
              <w:ind w:right="75"/>
              <w:rPr>
                <w:rFonts w:ascii="Arial"/>
                <w:sz w:val="18"/>
              </w:rPr>
            </w:pPr>
            <w:r>
              <w:rPr>
                <w:rFonts w:ascii="Arial"/>
                <w:sz w:val="18"/>
              </w:rPr>
              <w:t>181 340</w:t>
            </w:r>
          </w:p>
        </w:tc>
        <w:tc>
          <w:tcPr>
            <w:tcW w:w="1303" w:type="dxa"/>
          </w:tcPr>
          <w:p>
            <w:pPr>
              <w:pStyle w:val="TableParagraph"/>
              <w:spacing w:before="92"/>
              <w:ind w:right="122"/>
              <w:rPr>
                <w:rFonts w:ascii="Arial"/>
                <w:sz w:val="18"/>
              </w:rPr>
            </w:pPr>
            <w:r>
              <w:rPr>
                <w:rFonts w:ascii="Arial"/>
                <w:sz w:val="18"/>
              </w:rPr>
              <w:t>55,73</w:t>
            </w:r>
          </w:p>
        </w:tc>
        <w:tc>
          <w:tcPr>
            <w:tcW w:w="1090" w:type="dxa"/>
          </w:tcPr>
          <w:p>
            <w:pPr>
              <w:pStyle w:val="TableParagraph"/>
              <w:spacing w:before="92"/>
              <w:ind w:right="111"/>
              <w:rPr>
                <w:rFonts w:ascii="Arial"/>
                <w:sz w:val="18"/>
              </w:rPr>
            </w:pPr>
            <w:r>
              <w:rPr>
                <w:rFonts w:ascii="Arial"/>
                <w:sz w:val="18"/>
              </w:rPr>
              <w:t>10 106,08</w:t>
            </w:r>
          </w:p>
        </w:tc>
        <w:tc>
          <w:tcPr>
            <w:tcW w:w="475" w:type="dxa"/>
          </w:tcPr>
          <w:p>
            <w:pPr/>
          </w:p>
        </w:tc>
        <w:tc>
          <w:tcPr>
            <w:tcW w:w="475" w:type="dxa"/>
          </w:tcPr>
          <w:p>
            <w:pPr/>
          </w:p>
        </w:tc>
        <w:tc>
          <w:tcPr>
            <w:tcW w:w="461" w:type="dxa"/>
          </w:tcPr>
          <w:p>
            <w:pPr>
              <w:pStyle w:val="TableParagraph"/>
              <w:spacing w:before="47"/>
              <w:ind w:left="144" w:right="0"/>
              <w:jc w:val="left"/>
              <w:rPr>
                <w:rFonts w:ascii="Arial"/>
                <w:sz w:val="18"/>
              </w:rPr>
            </w:pPr>
            <w:r>
              <w:rPr>
                <w:rFonts w:ascii="Arial"/>
                <w:sz w:val="18"/>
              </w:rPr>
              <w:t>-1</w:t>
            </w:r>
          </w:p>
        </w:tc>
        <w:tc>
          <w:tcPr>
            <w:tcW w:w="586" w:type="dxa"/>
          </w:tcPr>
          <w:p>
            <w:pPr/>
          </w:p>
        </w:tc>
        <w:tc>
          <w:tcPr>
            <w:tcW w:w="1066" w:type="dxa"/>
          </w:tcPr>
          <w:p>
            <w:pPr/>
          </w:p>
        </w:tc>
        <w:tc>
          <w:tcPr>
            <w:tcW w:w="1078" w:type="dxa"/>
          </w:tcPr>
          <w:p>
            <w:pPr/>
          </w:p>
        </w:tc>
        <w:tc>
          <w:tcPr>
            <w:tcW w:w="1075" w:type="dxa"/>
          </w:tcPr>
          <w:p>
            <w:pPr>
              <w:pStyle w:val="TableParagraph"/>
              <w:spacing w:before="47"/>
              <w:ind w:right="63"/>
              <w:rPr>
                <w:rFonts w:ascii="Arial"/>
                <w:sz w:val="18"/>
              </w:rPr>
            </w:pPr>
            <w:r>
              <w:rPr>
                <w:rFonts w:ascii="Arial"/>
                <w:sz w:val="18"/>
              </w:rPr>
              <w:t>- 10 106,08</w:t>
            </w:r>
          </w:p>
        </w:tc>
        <w:tc>
          <w:tcPr>
            <w:tcW w:w="1063" w:type="dxa"/>
          </w:tcPr>
          <w:p>
            <w:pPr/>
          </w:p>
        </w:tc>
      </w:tr>
      <w:tr>
        <w:trPr>
          <w:trHeight w:val="310" w:hRule="exact"/>
        </w:trPr>
        <w:tc>
          <w:tcPr>
            <w:tcW w:w="890" w:type="dxa"/>
          </w:tcPr>
          <w:p>
            <w:pPr>
              <w:pStyle w:val="TableParagraph"/>
              <w:spacing w:before="40"/>
              <w:ind w:right="1"/>
              <w:jc w:val="center"/>
              <w:rPr>
                <w:rFonts w:ascii="Arial"/>
                <w:b/>
                <w:sz w:val="18"/>
              </w:rPr>
            </w:pPr>
            <w:r>
              <w:rPr>
                <w:rFonts w:ascii="Arial"/>
                <w:b/>
                <w:w w:val="99"/>
                <w:sz w:val="18"/>
              </w:rPr>
              <w:t>G</w:t>
            </w:r>
          </w:p>
        </w:tc>
        <w:tc>
          <w:tcPr>
            <w:tcW w:w="1217" w:type="dxa"/>
          </w:tcPr>
          <w:p>
            <w:pPr>
              <w:pStyle w:val="TableParagraph"/>
              <w:spacing w:before="44"/>
              <w:ind w:right="74"/>
              <w:rPr>
                <w:rFonts w:ascii="Arial"/>
                <w:sz w:val="18"/>
              </w:rPr>
            </w:pPr>
            <w:r>
              <w:rPr>
                <w:rFonts w:ascii="Arial"/>
                <w:sz w:val="18"/>
              </w:rPr>
              <w:t>100</w:t>
            </w:r>
          </w:p>
        </w:tc>
        <w:tc>
          <w:tcPr>
            <w:tcW w:w="1303" w:type="dxa"/>
          </w:tcPr>
          <w:p>
            <w:pPr>
              <w:pStyle w:val="TableParagraph"/>
              <w:spacing w:before="90"/>
              <w:ind w:right="122"/>
              <w:rPr>
                <w:rFonts w:ascii="Arial"/>
                <w:sz w:val="18"/>
              </w:rPr>
            </w:pPr>
            <w:r>
              <w:rPr>
                <w:rFonts w:ascii="Arial"/>
                <w:sz w:val="18"/>
              </w:rPr>
              <w:t>119,42</w:t>
            </w:r>
          </w:p>
        </w:tc>
        <w:tc>
          <w:tcPr>
            <w:tcW w:w="1090" w:type="dxa"/>
          </w:tcPr>
          <w:p>
            <w:pPr>
              <w:pStyle w:val="TableParagraph"/>
              <w:spacing w:before="90"/>
              <w:ind w:right="110"/>
              <w:rPr>
                <w:rFonts w:ascii="Arial"/>
                <w:sz w:val="18"/>
              </w:rPr>
            </w:pPr>
            <w:r>
              <w:rPr>
                <w:rFonts w:ascii="Arial"/>
                <w:sz w:val="18"/>
              </w:rPr>
              <w:t>11,94</w:t>
            </w:r>
          </w:p>
        </w:tc>
        <w:tc>
          <w:tcPr>
            <w:tcW w:w="475" w:type="dxa"/>
          </w:tcPr>
          <w:p>
            <w:pPr/>
          </w:p>
        </w:tc>
        <w:tc>
          <w:tcPr>
            <w:tcW w:w="475" w:type="dxa"/>
          </w:tcPr>
          <w:p>
            <w:pPr/>
          </w:p>
        </w:tc>
        <w:tc>
          <w:tcPr>
            <w:tcW w:w="461" w:type="dxa"/>
          </w:tcPr>
          <w:p>
            <w:pPr>
              <w:pStyle w:val="TableParagraph"/>
              <w:spacing w:before="90"/>
              <w:ind w:left="144" w:right="0"/>
              <w:jc w:val="left"/>
              <w:rPr>
                <w:rFonts w:ascii="Arial"/>
                <w:sz w:val="18"/>
              </w:rPr>
            </w:pPr>
            <w:r>
              <w:rPr>
                <w:rFonts w:ascii="Arial"/>
                <w:sz w:val="18"/>
              </w:rPr>
              <w:t>-1</w:t>
            </w:r>
          </w:p>
        </w:tc>
        <w:tc>
          <w:tcPr>
            <w:tcW w:w="586" w:type="dxa"/>
          </w:tcPr>
          <w:p>
            <w:pPr/>
          </w:p>
        </w:tc>
        <w:tc>
          <w:tcPr>
            <w:tcW w:w="1066" w:type="dxa"/>
          </w:tcPr>
          <w:p>
            <w:pPr/>
          </w:p>
        </w:tc>
        <w:tc>
          <w:tcPr>
            <w:tcW w:w="1078" w:type="dxa"/>
          </w:tcPr>
          <w:p>
            <w:pPr/>
          </w:p>
        </w:tc>
        <w:tc>
          <w:tcPr>
            <w:tcW w:w="1075" w:type="dxa"/>
          </w:tcPr>
          <w:p>
            <w:pPr>
              <w:pStyle w:val="TableParagraph"/>
              <w:tabs>
                <w:tab w:pos="461" w:val="left" w:leader="none"/>
              </w:tabs>
              <w:spacing w:before="44"/>
              <w:ind w:right="63"/>
              <w:rPr>
                <w:rFonts w:ascii="Arial"/>
                <w:sz w:val="18"/>
              </w:rPr>
            </w:pPr>
            <w:r>
              <w:rPr>
                <w:rFonts w:ascii="Arial"/>
                <w:sz w:val="18"/>
              </w:rPr>
              <w:t>-</w:t>
              <w:tab/>
            </w:r>
            <w:r>
              <w:rPr>
                <w:rFonts w:ascii="Arial"/>
                <w:spacing w:val="-1"/>
                <w:sz w:val="18"/>
              </w:rPr>
              <w:t>11,94</w:t>
            </w:r>
          </w:p>
        </w:tc>
        <w:tc>
          <w:tcPr>
            <w:tcW w:w="1063" w:type="dxa"/>
          </w:tcPr>
          <w:p>
            <w:pPr/>
          </w:p>
        </w:tc>
      </w:tr>
      <w:tr>
        <w:trPr>
          <w:trHeight w:val="310" w:hRule="exact"/>
        </w:trPr>
        <w:tc>
          <w:tcPr>
            <w:tcW w:w="4500" w:type="dxa"/>
            <w:gridSpan w:val="4"/>
            <w:vMerge w:val="restart"/>
          </w:tcPr>
          <w:p>
            <w:pPr>
              <w:pStyle w:val="TableParagraph"/>
              <w:spacing w:before="9"/>
              <w:ind w:right="0"/>
              <w:jc w:val="left"/>
              <w:rPr>
                <w:rFonts w:ascii="Arial"/>
                <w:b/>
                <w:sz w:val="5"/>
              </w:rPr>
            </w:pPr>
          </w:p>
          <w:p>
            <w:pPr>
              <w:pStyle w:val="TableParagraph"/>
              <w:spacing w:before="0"/>
              <w:ind w:left="1101" w:right="0"/>
              <w:jc w:val="left"/>
              <w:rPr>
                <w:rFonts w:ascii="Arial"/>
                <w:sz w:val="20"/>
              </w:rPr>
            </w:pPr>
            <w:r>
              <w:rPr>
                <w:rFonts w:ascii="Arial"/>
                <w:sz w:val="20"/>
              </w:rPr>
              <w:drawing>
                <wp:inline distT="0" distB="0" distL="0" distR="0">
                  <wp:extent cx="1455882" cy="884682"/>
                  <wp:effectExtent l="0" t="0" r="0" b="0"/>
                  <wp:docPr id="47" name="image70.jpeg" descr=""/>
                  <wp:cNvGraphicFramePr>
                    <a:graphicFrameLocks noChangeAspect="1"/>
                  </wp:cNvGraphicFramePr>
                  <a:graphic>
                    <a:graphicData uri="http://schemas.openxmlformats.org/drawingml/2006/picture">
                      <pic:pic>
                        <pic:nvPicPr>
                          <pic:cNvPr id="48" name="image70.jpeg"/>
                          <pic:cNvPicPr/>
                        </pic:nvPicPr>
                        <pic:blipFill>
                          <a:blip r:embed="rId78" cstate="print"/>
                          <a:stretch>
                            <a:fillRect/>
                          </a:stretch>
                        </pic:blipFill>
                        <pic:spPr>
                          <a:xfrm>
                            <a:off x="0" y="0"/>
                            <a:ext cx="1455882" cy="884682"/>
                          </a:xfrm>
                          <a:prstGeom prst="rect">
                            <a:avLst/>
                          </a:prstGeom>
                        </pic:spPr>
                      </pic:pic>
                    </a:graphicData>
                  </a:graphic>
                </wp:inline>
              </w:drawing>
            </w:r>
            <w:r>
              <w:rPr>
                <w:rFonts w:ascii="Arial"/>
                <w:sz w:val="20"/>
              </w:rPr>
            </w:r>
          </w:p>
        </w:tc>
        <w:tc>
          <w:tcPr>
            <w:tcW w:w="1997" w:type="dxa"/>
            <w:gridSpan w:val="4"/>
          </w:tcPr>
          <w:p>
            <w:pPr>
              <w:pStyle w:val="TableParagraph"/>
              <w:spacing w:before="92"/>
              <w:ind w:left="441" w:right="57"/>
              <w:jc w:val="left"/>
              <w:rPr>
                <w:rFonts w:ascii="Arial"/>
                <w:sz w:val="18"/>
              </w:rPr>
            </w:pPr>
            <w:r>
              <w:rPr>
                <w:rFonts w:ascii="Arial"/>
                <w:sz w:val="18"/>
              </w:rPr>
              <w:t>Entrada (g/d)</w:t>
            </w:r>
          </w:p>
        </w:tc>
        <w:tc>
          <w:tcPr>
            <w:tcW w:w="1066" w:type="dxa"/>
          </w:tcPr>
          <w:p>
            <w:pPr>
              <w:pStyle w:val="TableParagraph"/>
              <w:spacing w:before="44"/>
              <w:ind w:right="65"/>
              <w:rPr>
                <w:rFonts w:ascii="Arial"/>
                <w:sz w:val="18"/>
              </w:rPr>
            </w:pPr>
            <w:r>
              <w:rPr>
                <w:rFonts w:ascii="Arial"/>
                <w:sz w:val="18"/>
              </w:rPr>
              <w:t>11 819,00</w:t>
            </w:r>
          </w:p>
        </w:tc>
        <w:tc>
          <w:tcPr>
            <w:tcW w:w="1078" w:type="dxa"/>
          </w:tcPr>
          <w:p>
            <w:pPr>
              <w:pStyle w:val="TableParagraph"/>
              <w:spacing w:before="44"/>
              <w:ind w:right="65"/>
              <w:rPr>
                <w:rFonts w:ascii="Arial"/>
                <w:sz w:val="18"/>
              </w:rPr>
            </w:pPr>
            <w:r>
              <w:rPr>
                <w:rFonts w:ascii="Arial"/>
                <w:sz w:val="18"/>
              </w:rPr>
              <w:t>9 329,64</w:t>
            </w:r>
          </w:p>
        </w:tc>
        <w:tc>
          <w:tcPr>
            <w:tcW w:w="1075" w:type="dxa"/>
          </w:tcPr>
          <w:p>
            <w:pPr>
              <w:pStyle w:val="TableParagraph"/>
              <w:spacing w:before="44"/>
              <w:ind w:right="63"/>
              <w:rPr>
                <w:rFonts w:ascii="Arial"/>
                <w:sz w:val="18"/>
              </w:rPr>
            </w:pPr>
            <w:r>
              <w:rPr>
                <w:rFonts w:ascii="Arial"/>
                <w:sz w:val="18"/>
              </w:rPr>
              <w:t>8 366,20</w:t>
            </w:r>
          </w:p>
        </w:tc>
        <w:tc>
          <w:tcPr>
            <w:tcW w:w="1063" w:type="dxa"/>
          </w:tcPr>
          <w:p>
            <w:pPr>
              <w:pStyle w:val="TableParagraph"/>
              <w:spacing w:before="44"/>
              <w:ind w:right="65"/>
              <w:rPr>
                <w:rFonts w:ascii="Arial"/>
                <w:sz w:val="18"/>
              </w:rPr>
            </w:pPr>
            <w:r>
              <w:rPr>
                <w:rFonts w:ascii="Arial"/>
                <w:sz w:val="18"/>
              </w:rPr>
              <w:t>9 875,78</w:t>
            </w:r>
          </w:p>
        </w:tc>
      </w:tr>
      <w:tr>
        <w:trPr>
          <w:trHeight w:val="310" w:hRule="exact"/>
        </w:trPr>
        <w:tc>
          <w:tcPr>
            <w:tcW w:w="4500" w:type="dxa"/>
            <w:gridSpan w:val="4"/>
            <w:vMerge/>
          </w:tcPr>
          <w:p>
            <w:pPr/>
          </w:p>
        </w:tc>
        <w:tc>
          <w:tcPr>
            <w:tcW w:w="1997" w:type="dxa"/>
            <w:gridSpan w:val="4"/>
          </w:tcPr>
          <w:p>
            <w:pPr>
              <w:pStyle w:val="TableParagraph"/>
              <w:spacing w:before="92"/>
              <w:ind w:left="508" w:right="57"/>
              <w:jc w:val="left"/>
              <w:rPr>
                <w:rFonts w:ascii="Arial"/>
                <w:sz w:val="18"/>
              </w:rPr>
            </w:pPr>
            <w:r>
              <w:rPr>
                <w:rFonts w:ascii="Arial"/>
                <w:sz w:val="18"/>
              </w:rPr>
              <w:t>Salida (g/d)</w:t>
            </w:r>
          </w:p>
        </w:tc>
        <w:tc>
          <w:tcPr>
            <w:tcW w:w="1066" w:type="dxa"/>
          </w:tcPr>
          <w:p>
            <w:pPr>
              <w:pStyle w:val="TableParagraph"/>
              <w:spacing w:before="44"/>
              <w:ind w:right="65"/>
              <w:rPr>
                <w:rFonts w:ascii="Arial"/>
                <w:sz w:val="18"/>
              </w:rPr>
            </w:pPr>
            <w:r>
              <w:rPr>
                <w:rFonts w:ascii="Arial"/>
                <w:sz w:val="18"/>
              </w:rPr>
              <w:t>-   9 329,64</w:t>
            </w:r>
          </w:p>
        </w:tc>
        <w:tc>
          <w:tcPr>
            <w:tcW w:w="1078" w:type="dxa"/>
          </w:tcPr>
          <w:p>
            <w:pPr>
              <w:pStyle w:val="TableParagraph"/>
              <w:spacing w:before="44"/>
              <w:ind w:right="65"/>
              <w:rPr>
                <w:rFonts w:ascii="Arial"/>
                <w:sz w:val="18"/>
              </w:rPr>
            </w:pPr>
            <w:r>
              <w:rPr>
                <w:rFonts w:ascii="Arial"/>
                <w:sz w:val="18"/>
              </w:rPr>
              <w:t>- 8 366,20</w:t>
            </w:r>
          </w:p>
        </w:tc>
        <w:tc>
          <w:tcPr>
            <w:tcW w:w="1075" w:type="dxa"/>
          </w:tcPr>
          <w:p>
            <w:pPr>
              <w:pStyle w:val="TableParagraph"/>
              <w:spacing w:before="44"/>
              <w:ind w:right="63"/>
              <w:rPr>
                <w:rFonts w:ascii="Arial"/>
                <w:sz w:val="18"/>
              </w:rPr>
            </w:pPr>
            <w:r>
              <w:rPr>
                <w:rFonts w:ascii="Arial"/>
                <w:sz w:val="18"/>
              </w:rPr>
              <w:t>- 10 118,02</w:t>
            </w:r>
          </w:p>
        </w:tc>
        <w:tc>
          <w:tcPr>
            <w:tcW w:w="1063" w:type="dxa"/>
          </w:tcPr>
          <w:p>
            <w:pPr>
              <w:pStyle w:val="TableParagraph"/>
              <w:spacing w:before="44"/>
              <w:ind w:right="65"/>
              <w:rPr>
                <w:rFonts w:ascii="Arial"/>
                <w:sz w:val="18"/>
              </w:rPr>
            </w:pPr>
            <w:r>
              <w:rPr>
                <w:rFonts w:ascii="Arial"/>
                <w:sz w:val="18"/>
              </w:rPr>
              <w:t>-   8 366,20</w:t>
            </w:r>
          </w:p>
        </w:tc>
      </w:tr>
      <w:tr>
        <w:trPr>
          <w:trHeight w:val="310" w:hRule="exact"/>
        </w:trPr>
        <w:tc>
          <w:tcPr>
            <w:tcW w:w="4500" w:type="dxa"/>
            <w:gridSpan w:val="4"/>
            <w:vMerge/>
          </w:tcPr>
          <w:p>
            <w:pPr/>
          </w:p>
        </w:tc>
        <w:tc>
          <w:tcPr>
            <w:tcW w:w="950" w:type="dxa"/>
            <w:gridSpan w:val="2"/>
            <w:vMerge w:val="restart"/>
          </w:tcPr>
          <w:p>
            <w:pPr>
              <w:pStyle w:val="TableParagraph"/>
              <w:spacing w:before="0"/>
              <w:ind w:right="0"/>
              <w:jc w:val="left"/>
              <w:rPr>
                <w:rFonts w:ascii="Arial"/>
                <w:b/>
                <w:sz w:val="18"/>
              </w:rPr>
            </w:pPr>
          </w:p>
          <w:p>
            <w:pPr>
              <w:pStyle w:val="TableParagraph"/>
              <w:spacing w:before="149"/>
              <w:ind w:left="64" w:right="0"/>
              <w:jc w:val="left"/>
              <w:rPr>
                <w:rFonts w:ascii="Arial"/>
                <w:sz w:val="18"/>
              </w:rPr>
            </w:pPr>
            <w:r>
              <w:rPr>
                <w:rFonts w:ascii="Arial"/>
                <w:sz w:val="18"/>
              </w:rPr>
              <w:t>Diferencia</w:t>
            </w:r>
          </w:p>
        </w:tc>
        <w:tc>
          <w:tcPr>
            <w:tcW w:w="1046" w:type="dxa"/>
            <w:gridSpan w:val="2"/>
          </w:tcPr>
          <w:p>
            <w:pPr>
              <w:pStyle w:val="TableParagraph"/>
              <w:spacing w:before="92"/>
              <w:ind w:left="64" w:right="0"/>
              <w:jc w:val="left"/>
              <w:rPr>
                <w:rFonts w:ascii="Arial"/>
                <w:sz w:val="18"/>
              </w:rPr>
            </w:pPr>
            <w:r>
              <w:rPr>
                <w:rFonts w:ascii="Arial"/>
                <w:sz w:val="18"/>
              </w:rPr>
              <w:t>g/d</w:t>
            </w:r>
          </w:p>
        </w:tc>
        <w:tc>
          <w:tcPr>
            <w:tcW w:w="1066" w:type="dxa"/>
          </w:tcPr>
          <w:p>
            <w:pPr>
              <w:pStyle w:val="TableParagraph"/>
              <w:spacing w:before="47"/>
              <w:ind w:right="65"/>
              <w:rPr>
                <w:rFonts w:ascii="Arial"/>
                <w:sz w:val="18"/>
              </w:rPr>
            </w:pPr>
            <w:r>
              <w:rPr>
                <w:rFonts w:ascii="Arial"/>
                <w:sz w:val="18"/>
              </w:rPr>
              <w:t>2 489,36</w:t>
            </w:r>
          </w:p>
        </w:tc>
        <w:tc>
          <w:tcPr>
            <w:tcW w:w="1078" w:type="dxa"/>
          </w:tcPr>
          <w:p>
            <w:pPr>
              <w:pStyle w:val="TableParagraph"/>
              <w:spacing w:before="47"/>
              <w:ind w:right="65"/>
              <w:rPr>
                <w:rFonts w:ascii="Arial"/>
                <w:sz w:val="18"/>
              </w:rPr>
            </w:pPr>
            <w:r>
              <w:rPr>
                <w:rFonts w:ascii="Arial"/>
                <w:sz w:val="18"/>
              </w:rPr>
              <w:t>963,45</w:t>
            </w:r>
          </w:p>
        </w:tc>
        <w:tc>
          <w:tcPr>
            <w:tcW w:w="1075" w:type="dxa"/>
          </w:tcPr>
          <w:p>
            <w:pPr>
              <w:pStyle w:val="TableParagraph"/>
              <w:spacing w:before="47"/>
              <w:ind w:right="63"/>
              <w:rPr>
                <w:rFonts w:ascii="Arial"/>
                <w:sz w:val="18"/>
              </w:rPr>
            </w:pPr>
            <w:r>
              <w:rPr>
                <w:rFonts w:ascii="Arial"/>
                <w:sz w:val="18"/>
              </w:rPr>
              <w:t>-   1 751,82</w:t>
            </w:r>
          </w:p>
        </w:tc>
        <w:tc>
          <w:tcPr>
            <w:tcW w:w="1063" w:type="dxa"/>
          </w:tcPr>
          <w:p>
            <w:pPr>
              <w:pStyle w:val="TableParagraph"/>
              <w:spacing w:before="47"/>
              <w:ind w:right="65"/>
              <w:rPr>
                <w:rFonts w:ascii="Arial"/>
                <w:sz w:val="18"/>
              </w:rPr>
            </w:pPr>
            <w:r>
              <w:rPr>
                <w:rFonts w:ascii="Arial"/>
                <w:sz w:val="18"/>
              </w:rPr>
              <w:t>1 509,58</w:t>
            </w:r>
          </w:p>
        </w:tc>
      </w:tr>
      <w:tr>
        <w:trPr>
          <w:trHeight w:val="310" w:hRule="exact"/>
        </w:trPr>
        <w:tc>
          <w:tcPr>
            <w:tcW w:w="4500" w:type="dxa"/>
            <w:gridSpan w:val="4"/>
            <w:vMerge/>
          </w:tcPr>
          <w:p>
            <w:pPr/>
          </w:p>
        </w:tc>
        <w:tc>
          <w:tcPr>
            <w:tcW w:w="950" w:type="dxa"/>
            <w:gridSpan w:val="2"/>
            <w:vMerge/>
          </w:tcPr>
          <w:p>
            <w:pPr/>
          </w:p>
        </w:tc>
        <w:tc>
          <w:tcPr>
            <w:tcW w:w="1046" w:type="dxa"/>
            <w:gridSpan w:val="2"/>
          </w:tcPr>
          <w:p>
            <w:pPr>
              <w:pStyle w:val="TableParagraph"/>
              <w:spacing w:before="47"/>
              <w:ind w:left="64" w:right="0"/>
              <w:jc w:val="left"/>
              <w:rPr>
                <w:rFonts w:ascii="Arial"/>
                <w:sz w:val="18"/>
              </w:rPr>
            </w:pPr>
            <w:r>
              <w:rPr>
                <w:rFonts w:ascii="Arial"/>
                <w:sz w:val="18"/>
              </w:rPr>
              <w:t>g/kg pez d</w:t>
            </w:r>
          </w:p>
        </w:tc>
        <w:tc>
          <w:tcPr>
            <w:tcW w:w="1066" w:type="dxa"/>
          </w:tcPr>
          <w:p>
            <w:pPr>
              <w:pStyle w:val="TableParagraph"/>
              <w:spacing w:before="47"/>
              <w:ind w:right="65"/>
              <w:rPr>
                <w:rFonts w:ascii="Arial"/>
                <w:sz w:val="18"/>
              </w:rPr>
            </w:pPr>
            <w:r>
              <w:rPr>
                <w:rFonts w:ascii="Arial"/>
                <w:sz w:val="18"/>
              </w:rPr>
              <w:t>27,28</w:t>
            </w:r>
          </w:p>
        </w:tc>
        <w:tc>
          <w:tcPr>
            <w:tcW w:w="1078" w:type="dxa"/>
          </w:tcPr>
          <w:p>
            <w:pPr>
              <w:pStyle w:val="TableParagraph"/>
              <w:spacing w:before="47"/>
              <w:ind w:right="65"/>
              <w:rPr>
                <w:rFonts w:ascii="Arial"/>
                <w:sz w:val="18"/>
              </w:rPr>
            </w:pPr>
            <w:r>
              <w:rPr>
                <w:rFonts w:ascii="Arial"/>
                <w:sz w:val="18"/>
              </w:rPr>
              <w:t>10,56</w:t>
            </w:r>
          </w:p>
        </w:tc>
        <w:tc>
          <w:tcPr>
            <w:tcW w:w="1075" w:type="dxa"/>
          </w:tcPr>
          <w:p>
            <w:pPr>
              <w:pStyle w:val="TableParagraph"/>
              <w:tabs>
                <w:tab w:pos="461" w:val="left" w:leader="none"/>
              </w:tabs>
              <w:spacing w:before="47"/>
              <w:ind w:right="63"/>
              <w:rPr>
                <w:rFonts w:ascii="Arial"/>
                <w:sz w:val="18"/>
              </w:rPr>
            </w:pPr>
            <w:r>
              <w:rPr>
                <w:rFonts w:ascii="Arial"/>
                <w:sz w:val="18"/>
              </w:rPr>
              <w:t>-</w:t>
              <w:tab/>
            </w:r>
            <w:r>
              <w:rPr>
                <w:rFonts w:ascii="Arial"/>
                <w:spacing w:val="-1"/>
                <w:sz w:val="18"/>
              </w:rPr>
              <w:t>19,20</w:t>
            </w:r>
          </w:p>
        </w:tc>
        <w:tc>
          <w:tcPr>
            <w:tcW w:w="1063" w:type="dxa"/>
          </w:tcPr>
          <w:p>
            <w:pPr>
              <w:pStyle w:val="TableParagraph"/>
              <w:spacing w:before="47"/>
              <w:ind w:right="65"/>
              <w:rPr>
                <w:rFonts w:ascii="Arial"/>
                <w:sz w:val="18"/>
              </w:rPr>
            </w:pPr>
            <w:r>
              <w:rPr>
                <w:rFonts w:ascii="Arial"/>
                <w:sz w:val="18"/>
              </w:rPr>
              <w:t>16,54</w:t>
            </w:r>
          </w:p>
        </w:tc>
      </w:tr>
      <w:tr>
        <w:trPr>
          <w:trHeight w:val="312" w:hRule="exact"/>
        </w:trPr>
        <w:tc>
          <w:tcPr>
            <w:tcW w:w="4500" w:type="dxa"/>
            <w:gridSpan w:val="4"/>
            <w:vMerge/>
          </w:tcPr>
          <w:p>
            <w:pPr/>
          </w:p>
        </w:tc>
        <w:tc>
          <w:tcPr>
            <w:tcW w:w="950" w:type="dxa"/>
            <w:gridSpan w:val="2"/>
            <w:vMerge/>
          </w:tcPr>
          <w:p>
            <w:pPr/>
          </w:p>
        </w:tc>
        <w:tc>
          <w:tcPr>
            <w:tcW w:w="1046" w:type="dxa"/>
            <w:gridSpan w:val="2"/>
          </w:tcPr>
          <w:p>
            <w:pPr>
              <w:pStyle w:val="TableParagraph"/>
              <w:spacing w:before="92"/>
              <w:ind w:left="64" w:right="0"/>
              <w:jc w:val="left"/>
              <w:rPr>
                <w:rFonts w:ascii="Arial"/>
                <w:sz w:val="18"/>
              </w:rPr>
            </w:pPr>
            <w:r>
              <w:rPr>
                <w:rFonts w:ascii="Arial"/>
                <w:w w:val="99"/>
                <w:sz w:val="18"/>
              </w:rPr>
              <w:t>%</w:t>
            </w:r>
          </w:p>
        </w:tc>
        <w:tc>
          <w:tcPr>
            <w:tcW w:w="1066" w:type="dxa"/>
          </w:tcPr>
          <w:p>
            <w:pPr>
              <w:pStyle w:val="TableParagraph"/>
              <w:spacing w:before="47"/>
              <w:ind w:right="65"/>
              <w:rPr>
                <w:rFonts w:ascii="Arial"/>
                <w:sz w:val="18"/>
              </w:rPr>
            </w:pPr>
            <w:r>
              <w:rPr>
                <w:rFonts w:ascii="Arial"/>
                <w:sz w:val="18"/>
              </w:rPr>
              <w:t>21,06</w:t>
            </w:r>
          </w:p>
        </w:tc>
        <w:tc>
          <w:tcPr>
            <w:tcW w:w="1078" w:type="dxa"/>
          </w:tcPr>
          <w:p>
            <w:pPr>
              <w:pStyle w:val="TableParagraph"/>
              <w:spacing w:before="47"/>
              <w:ind w:right="65"/>
              <w:rPr>
                <w:rFonts w:ascii="Arial"/>
                <w:sz w:val="18"/>
              </w:rPr>
            </w:pPr>
            <w:r>
              <w:rPr>
                <w:rFonts w:ascii="Arial"/>
                <w:sz w:val="18"/>
              </w:rPr>
              <w:t>10,33</w:t>
            </w:r>
          </w:p>
        </w:tc>
        <w:tc>
          <w:tcPr>
            <w:tcW w:w="1075" w:type="dxa"/>
          </w:tcPr>
          <w:p>
            <w:pPr>
              <w:pStyle w:val="TableParagraph"/>
              <w:tabs>
                <w:tab w:pos="461" w:val="left" w:leader="none"/>
              </w:tabs>
              <w:spacing w:before="47"/>
              <w:ind w:right="63"/>
              <w:rPr>
                <w:rFonts w:ascii="Arial"/>
                <w:sz w:val="18"/>
              </w:rPr>
            </w:pPr>
            <w:r>
              <w:rPr>
                <w:rFonts w:ascii="Arial"/>
                <w:sz w:val="18"/>
              </w:rPr>
              <w:t>-</w:t>
              <w:tab/>
            </w:r>
            <w:r>
              <w:rPr>
                <w:rFonts w:ascii="Arial"/>
                <w:spacing w:val="-1"/>
                <w:sz w:val="18"/>
              </w:rPr>
              <w:t>20,94</w:t>
            </w:r>
          </w:p>
        </w:tc>
        <w:tc>
          <w:tcPr>
            <w:tcW w:w="1063" w:type="dxa"/>
          </w:tcPr>
          <w:p>
            <w:pPr>
              <w:pStyle w:val="TableParagraph"/>
              <w:spacing w:before="47"/>
              <w:ind w:right="65"/>
              <w:rPr>
                <w:rFonts w:ascii="Arial"/>
                <w:sz w:val="18"/>
              </w:rPr>
            </w:pPr>
            <w:r>
              <w:rPr>
                <w:rFonts w:ascii="Arial"/>
                <w:sz w:val="18"/>
              </w:rPr>
              <w:t>15,29</w:t>
            </w:r>
          </w:p>
        </w:tc>
      </w:tr>
    </w:tbl>
    <w:p>
      <w:pPr>
        <w:pStyle w:val="BodyText"/>
        <w:spacing w:before="9"/>
        <w:rPr>
          <w:b/>
          <w:sz w:val="10"/>
        </w:rPr>
      </w:pPr>
    </w:p>
    <w:p>
      <w:pPr>
        <w:pStyle w:val="BodyText"/>
        <w:spacing w:line="360" w:lineRule="auto" w:before="73"/>
        <w:ind w:left="821" w:right="1357"/>
        <w:jc w:val="both"/>
      </w:pPr>
      <w:r>
        <w:rPr/>
        <w:t>De manera general el sistema consume sales (alcalinidad) a una razón de 1 390,31 g/d. La causa es el uso de agua cosechada de lluvia para el cultivo acuícola, su alcalinidad es muy baja. Los procesos de nitrificación consumen más alcalinidad de la que  </w:t>
      </w:r>
      <w:r>
        <w:rPr>
          <w:spacing w:val="47"/>
        </w:rPr>
        <w:t> </w:t>
      </w:r>
      <w:r>
        <w:rPr/>
        <w:t>proporciona</w:t>
      </w:r>
    </w:p>
    <w:p>
      <w:pPr>
        <w:spacing w:after="0" w:line="360" w:lineRule="auto"/>
        <w:jc w:val="both"/>
        <w:sectPr>
          <w:pgSz w:w="12240" w:h="15840"/>
          <w:pgMar w:header="725" w:footer="1084" w:top="1340" w:bottom="1280" w:left="880" w:right="340"/>
        </w:sectPr>
      </w:pPr>
    </w:p>
    <w:p>
      <w:pPr>
        <w:pStyle w:val="BodyText"/>
        <w:spacing w:before="10"/>
        <w:rPr>
          <w:sz w:val="8"/>
        </w:rPr>
      </w:pPr>
    </w:p>
    <w:p>
      <w:pPr>
        <w:pStyle w:val="BodyText"/>
        <w:spacing w:line="360" w:lineRule="auto" w:before="73"/>
        <w:ind w:left="781" w:right="502"/>
        <w:jc w:val="both"/>
      </w:pPr>
      <w:r>
        <w:rPr/>
        <w:t>la fuente de agua, debido a la acidez del agua que se genera por la descomposición de la materia fecal y alimento no consumido.</w:t>
      </w:r>
    </w:p>
    <w:p>
      <w:pPr>
        <w:pStyle w:val="BodyText"/>
        <w:spacing w:before="7"/>
        <w:rPr>
          <w:sz w:val="17"/>
        </w:rPr>
      </w:pPr>
    </w:p>
    <w:p>
      <w:pPr>
        <w:pStyle w:val="Heading5"/>
        <w:numPr>
          <w:ilvl w:val="3"/>
          <w:numId w:val="15"/>
        </w:numPr>
        <w:tabs>
          <w:tab w:pos="1578" w:val="left" w:leader="none"/>
        </w:tabs>
        <w:spacing w:line="240" w:lineRule="auto" w:before="0" w:after="0"/>
        <w:ind w:left="1577" w:right="0" w:hanging="796"/>
        <w:jc w:val="both"/>
      </w:pPr>
      <w:bookmarkStart w:name="_TOC_250024" w:id="146"/>
      <w:bookmarkStart w:name="5.6.1.7. Generación de residuos en el es" w:id="147"/>
      <w:r>
        <w:rPr>
          <w:b w:val="0"/>
        </w:rPr>
      </w:r>
      <w:bookmarkEnd w:id="147"/>
      <w:bookmarkStart w:name="5.6.1.7. Generación de residuos en el es" w:id="148"/>
      <w:r>
        <w:rPr/>
        <w:t>G</w:t>
      </w:r>
      <w:r>
        <w:rPr/>
        <w:t>ENERACIÓN DE RESIDUOS EN EL</w:t>
      </w:r>
      <w:r>
        <w:rPr>
          <w:spacing w:val="-15"/>
        </w:rPr>
        <w:t> </w:t>
      </w:r>
      <w:bookmarkEnd w:id="146"/>
      <w:r>
        <w:rPr/>
        <w:t>ESTANQUE</w:t>
      </w:r>
    </w:p>
    <w:p>
      <w:pPr>
        <w:pStyle w:val="BodyText"/>
        <w:spacing w:before="5"/>
        <w:rPr>
          <w:b/>
          <w:sz w:val="28"/>
        </w:rPr>
      </w:pPr>
    </w:p>
    <w:p>
      <w:pPr>
        <w:pStyle w:val="BodyText"/>
        <w:spacing w:line="360" w:lineRule="auto" w:before="1"/>
        <w:ind w:left="781" w:right="497" w:hanging="1"/>
        <w:jc w:val="both"/>
      </w:pPr>
      <w:r>
        <w:rPr/>
        <w:t>A partir del balance de masas llevado a cabo en el estanque, se pudo determinar la generación de residuos por parte de los peces, del alimento no consumido y de los procesos biológicos llevados a cabo en el mismo estanque, es importante señalar que los sólidos generados fueron del orden de 3,80 g/kg de pez d. Como se menciono anteriormente debido al fraccionamiento de los sólidos al permanecer 24 h en el sedimentador. Se generaron 19,20 g/kg pez d, de alcalinidad en el estanque principalmente por una sedimentación de sales debido a la forma de diluir el bicarbonato de sodio, la cal y la sal en el sistema como medida de adecuación del agua de lluvia.</w:t>
      </w:r>
    </w:p>
    <w:p>
      <w:pPr>
        <w:pStyle w:val="BodyText"/>
        <w:spacing w:before="7"/>
        <w:rPr>
          <w:sz w:val="17"/>
        </w:rPr>
      </w:pPr>
    </w:p>
    <w:p>
      <w:pPr>
        <w:pStyle w:val="BodyText"/>
        <w:spacing w:line="360" w:lineRule="auto"/>
        <w:ind w:left="781" w:right="500"/>
        <w:jc w:val="both"/>
      </w:pPr>
      <w:r>
        <w:rPr/>
        <w:pict>
          <v:group style="position:absolute;margin-left:83.144997pt;margin-top:48.702583pt;width:460.95pt;height:222.15pt;mso-position-horizontal-relative:page;mso-position-vertical-relative:paragraph;z-index:-1523848" coordorigin="1663,974" coordsize="9219,4443">
            <v:rect style="position:absolute;left:4793;top:1056;width:3120;height:2618" filled="false" stroked="true" strokeweight=".75pt" strokecolor="#000000"/>
            <v:shape style="position:absolute;left:5803;top:1193;width:1340;height:4013" coordorigin="5803,1193" coordsize="1340,4013" path="m5923,5086l5870,5086,5870,3670,5863,3667,5858,3670,5856,3674,5856,5086,5803,5086,5863,5206,5910,5112,5923,5086m6819,1872l6673,1872,6680,1874,6810,1874,6819,1872m6909,1198l6902,1193,6591,1193,6584,1198,6909,1198m7019,1325l7015,1318,6478,1318,6474,1325,7019,1325m7142,1512l6984,1512,7063,1603,7142,1512e" filled="true" fillcolor="#000000" stroked="false">
              <v:path arrowok="t"/>
              <v:fill type="solid"/>
            </v:shape>
            <v:shape style="position:absolute;left:6430;top:1145;width:713;height:737" coordorigin="6430,1145" coordsize="713,737" path="m7063,1512l7058,1445,7043,1381,7019,1323,6987,1272,6941,1222,6888,1183,6828,1157,6763,1145,6746,1145,6738,1145,6673,1155,6612,1179,6558,1216,6511,1265,6478,1316,6453,1373,6436,1435,6430,1502,6430,1512,6430,1522,6436,1589,6453,1651,6478,1709,6511,1760,6558,1809,6612,1847,6673,1871,6738,1881,6746,1882,6755,1881,6819,1870,6846,1861,6837,1864,6774,1880,6746,1882,6738,1881,6673,1871,6612,1847,6558,1809,6511,1760,6478,1709,6453,1651,6436,1589,6430,1522,6430,1512,6430,1502,6436,1435,6453,1373,6478,1316,6511,1265,6558,1216,6612,1179,6673,1155,6738,1145,6746,1145,6755,1145,6820,1155,6881,1179,6935,1216,6981,1265,7015,1316,7040,1373,7056,1435,7063,1502,7063,1512,7142,1512,7063,1603,6984,1512,7063,1512xe" filled="false" stroked="true" strokeweight=".75pt" strokecolor="#000000">
              <v:path arrowok="t"/>
            </v:shape>
            <v:shape style="position:absolute;left:2126;top:1687;width:8461;height:120" coordorigin="2126,1687" coordsize="8461,120" path="m4680,1747l4666,1740,4560,1687,4560,1740,2134,1740,2129,1742,2126,1747,2129,1752,2134,1754,4560,1754,4560,1807,4666,1754,4680,1747m10586,1747l10572,1740,10466,1687,10466,1740,8040,1740,8035,1742,8033,1747,8035,1752,8040,1754,10466,1754,10466,1807,10572,1754,10586,1747e" filled="true" fillcolor="#000000" stroked="false">
              <v:path arrowok="t"/>
              <v:fill type="solid"/>
            </v:shape>
            <v:rect style="position:absolute;left:1670;top:982;width:9204;height:4428" filled="false" stroked="true" strokeweight=".75pt" strokecolor="#000000"/>
            <v:shape style="position:absolute;left:2393;top:1153;width:1658;height:491" type="#_x0000_t202" filled="false" stroked="false">
              <v:textbox inset="0,0,0,0">
                <w:txbxContent>
                  <w:p>
                    <w:pPr>
                      <w:spacing w:line="226" w:lineRule="exact" w:before="0"/>
                      <w:ind w:left="0" w:right="-8" w:firstLine="0"/>
                      <w:jc w:val="left"/>
                      <w:rPr>
                        <w:sz w:val="22"/>
                      </w:rPr>
                    </w:pPr>
                    <w:r>
                      <w:rPr>
                        <w:sz w:val="22"/>
                      </w:rPr>
                      <w:t>Entrada</w:t>
                    </w:r>
                  </w:p>
                  <w:p>
                    <w:pPr>
                      <w:spacing w:line="264" w:lineRule="exact" w:before="1"/>
                      <w:ind w:left="0" w:right="-8" w:firstLine="0"/>
                      <w:jc w:val="left"/>
                      <w:rPr>
                        <w:sz w:val="22"/>
                      </w:rPr>
                    </w:pPr>
                    <w:r>
                      <w:rPr>
                        <w:sz w:val="22"/>
                      </w:rPr>
                      <w:t>Q</w:t>
                    </w:r>
                    <w:r>
                      <w:rPr>
                        <w:position w:val="-2"/>
                        <w:sz w:val="13"/>
                      </w:rPr>
                      <w:t>E </w:t>
                    </w:r>
                    <w:r>
                      <w:rPr>
                        <w:sz w:val="22"/>
                      </w:rPr>
                      <w:t>= 181 440 L/d</w:t>
                    </w:r>
                  </w:p>
                </w:txbxContent>
              </v:textbox>
              <w10:wrap type="none"/>
            </v:shape>
            <v:shape style="position:absolute;left:5122;top:1517;width:1017;height:240" type="#_x0000_t202" filled="false" stroked="false">
              <v:textbox inset="0,0,0,0">
                <w:txbxContent>
                  <w:p>
                    <w:pPr>
                      <w:spacing w:line="240" w:lineRule="exact" w:before="0"/>
                      <w:ind w:left="0" w:right="-18" w:firstLine="0"/>
                      <w:jc w:val="left"/>
                      <w:rPr>
                        <w:sz w:val="24"/>
                      </w:rPr>
                    </w:pPr>
                    <w:r>
                      <w:rPr>
                        <w:sz w:val="24"/>
                      </w:rPr>
                      <w:t>Estanque</w:t>
                    </w:r>
                  </w:p>
                </w:txbxContent>
              </v:textbox>
              <w10:wrap type="none"/>
            </v:shape>
            <v:shape style="position:absolute;left:8184;top:1153;width:1658;height:491" type="#_x0000_t202" filled="false" stroked="false">
              <v:textbox inset="0,0,0,0">
                <w:txbxContent>
                  <w:p>
                    <w:pPr>
                      <w:spacing w:line="226" w:lineRule="exact" w:before="0"/>
                      <w:ind w:left="0" w:right="-8" w:firstLine="0"/>
                      <w:jc w:val="left"/>
                      <w:rPr>
                        <w:sz w:val="22"/>
                      </w:rPr>
                    </w:pPr>
                    <w:r>
                      <w:rPr>
                        <w:sz w:val="22"/>
                      </w:rPr>
                      <w:t>Salida</w:t>
                    </w:r>
                  </w:p>
                  <w:p>
                    <w:pPr>
                      <w:spacing w:line="264" w:lineRule="exact" w:before="1"/>
                      <w:ind w:left="0" w:right="-8" w:firstLine="0"/>
                      <w:jc w:val="left"/>
                      <w:rPr>
                        <w:sz w:val="22"/>
                      </w:rPr>
                    </w:pPr>
                    <w:r>
                      <w:rPr>
                        <w:sz w:val="22"/>
                      </w:rPr>
                      <w:t>Q</w:t>
                    </w:r>
                    <w:r>
                      <w:rPr>
                        <w:position w:val="-2"/>
                        <w:sz w:val="13"/>
                      </w:rPr>
                      <w:t>S </w:t>
                    </w:r>
                    <w:r>
                      <w:rPr>
                        <w:sz w:val="22"/>
                      </w:rPr>
                      <w:t>= 181 340 L/d</w:t>
                    </w:r>
                  </w:p>
                </w:txbxContent>
              </v:textbox>
              <w10:wrap type="none"/>
            </v:shape>
            <v:shape style="position:absolute;left:4301;top:3771;width:1483;height:493" type="#_x0000_t202" filled="false" stroked="false">
              <v:textbox inset="0,0,0,0">
                <w:txbxContent>
                  <w:p>
                    <w:pPr>
                      <w:spacing w:line="226" w:lineRule="exact" w:before="0"/>
                      <w:ind w:left="0" w:right="-17" w:firstLine="0"/>
                      <w:jc w:val="left"/>
                      <w:rPr>
                        <w:sz w:val="22"/>
                      </w:rPr>
                    </w:pPr>
                    <w:r>
                      <w:rPr>
                        <w:sz w:val="22"/>
                      </w:rPr>
                      <w:t>Purga de lodos</w:t>
                    </w:r>
                  </w:p>
                  <w:p>
                    <w:pPr>
                      <w:spacing w:line="264" w:lineRule="exact" w:before="4"/>
                      <w:ind w:left="0" w:right="-17" w:firstLine="0"/>
                      <w:jc w:val="left"/>
                      <w:rPr>
                        <w:sz w:val="22"/>
                      </w:rPr>
                    </w:pPr>
                    <w:r>
                      <w:rPr>
                        <w:sz w:val="22"/>
                      </w:rPr>
                      <w:t>Q</w:t>
                    </w:r>
                    <w:r>
                      <w:rPr>
                        <w:position w:val="-2"/>
                        <w:sz w:val="13"/>
                      </w:rPr>
                      <w:t>P </w:t>
                    </w:r>
                    <w:r>
                      <w:rPr>
                        <w:sz w:val="22"/>
                      </w:rPr>
                      <w:t>= 100 L/d</w:t>
                    </w:r>
                  </w:p>
                </w:txbxContent>
              </v:textbox>
              <w10:wrap type="none"/>
            </v:shape>
            <w10:wrap type="none"/>
          </v:group>
        </w:pict>
      </w:r>
      <w:r>
        <w:rPr/>
        <w:t>En la figura 37 se esquematiza la generación promedio de residuos en el estanque, donde se observa la tasa en función de la biomasa.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r>
        <w:rPr/>
        <w:pict>
          <v:shape style="position:absolute;margin-left:90.360001pt;margin-top:11.048039pt;width:140.9pt;height:76.4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960"/>
                    <w:gridCol w:w="852"/>
                  </w:tblGrid>
                  <w:tr>
                    <w:trPr>
                      <w:trHeight w:val="194" w:hRule="exact"/>
                    </w:trPr>
                    <w:tc>
                      <w:tcPr>
                        <w:tcW w:w="991" w:type="dxa"/>
                      </w:tcPr>
                      <w:p>
                        <w:pPr>
                          <w:pStyle w:val="TableParagraph"/>
                          <w:spacing w:line="187" w:lineRule="exact" w:before="0"/>
                          <w:ind w:left="103" w:right="0"/>
                          <w:jc w:val="left"/>
                          <w:rPr>
                            <w:rFonts w:ascii="Arial"/>
                            <w:sz w:val="10"/>
                          </w:rPr>
                        </w:pPr>
                        <w:r>
                          <w:rPr>
                            <w:rFonts w:ascii="Arial"/>
                            <w:position w:val="2"/>
                            <w:sz w:val="16"/>
                          </w:rPr>
                          <w:t>N-NH</w:t>
                        </w:r>
                        <w:r>
                          <w:rPr>
                            <w:rFonts w:ascii="Arial"/>
                            <w:sz w:val="10"/>
                          </w:rPr>
                          <w:t>3</w:t>
                        </w:r>
                      </w:p>
                    </w:tc>
                    <w:tc>
                      <w:tcPr>
                        <w:tcW w:w="960" w:type="dxa"/>
                      </w:tcPr>
                      <w:p>
                        <w:pPr>
                          <w:pStyle w:val="TableParagraph"/>
                          <w:spacing w:line="180" w:lineRule="exact" w:before="0"/>
                          <w:ind w:left="85" w:right="85"/>
                          <w:jc w:val="center"/>
                          <w:rPr>
                            <w:rFonts w:ascii="Arial"/>
                            <w:sz w:val="16"/>
                          </w:rPr>
                        </w:pPr>
                        <w:r>
                          <w:rPr>
                            <w:rFonts w:ascii="Arial"/>
                            <w:sz w:val="16"/>
                          </w:rPr>
                          <w:t>g/kg pez d</w:t>
                        </w:r>
                      </w:p>
                    </w:tc>
                    <w:tc>
                      <w:tcPr>
                        <w:tcW w:w="852" w:type="dxa"/>
                      </w:tcPr>
                      <w:p>
                        <w:pPr>
                          <w:pStyle w:val="TableParagraph"/>
                          <w:spacing w:line="180" w:lineRule="exact" w:before="0"/>
                          <w:ind w:right="101"/>
                          <w:rPr>
                            <w:rFonts w:ascii="Arial"/>
                            <w:sz w:val="16"/>
                          </w:rPr>
                        </w:pPr>
                        <w:r>
                          <w:rPr>
                            <w:rFonts w:ascii="Arial"/>
                            <w:sz w:val="16"/>
                          </w:rPr>
                          <w:t>0,54</w:t>
                        </w:r>
                      </w:p>
                    </w:tc>
                  </w:tr>
                  <w:tr>
                    <w:trPr>
                      <w:trHeight w:val="194" w:hRule="exact"/>
                    </w:trPr>
                    <w:tc>
                      <w:tcPr>
                        <w:tcW w:w="991" w:type="dxa"/>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2</w:t>
                        </w:r>
                      </w:p>
                    </w:tc>
                    <w:tc>
                      <w:tcPr>
                        <w:tcW w:w="960" w:type="dxa"/>
                      </w:tcPr>
                      <w:p>
                        <w:pPr>
                          <w:pStyle w:val="TableParagraph"/>
                          <w:spacing w:line="180" w:lineRule="exact" w:before="0"/>
                          <w:ind w:left="85" w:right="85"/>
                          <w:jc w:val="center"/>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0,40</w:t>
                        </w:r>
                      </w:p>
                    </w:tc>
                  </w:tr>
                  <w:tr>
                    <w:trPr>
                      <w:trHeight w:val="192" w:hRule="exact"/>
                    </w:trPr>
                    <w:tc>
                      <w:tcPr>
                        <w:tcW w:w="991" w:type="dxa"/>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3</w:t>
                        </w:r>
                      </w:p>
                    </w:tc>
                    <w:tc>
                      <w:tcPr>
                        <w:tcW w:w="960" w:type="dxa"/>
                      </w:tcPr>
                      <w:p>
                        <w:pPr>
                          <w:pStyle w:val="TableParagraph"/>
                          <w:spacing w:line="180" w:lineRule="exact" w:before="0"/>
                          <w:ind w:left="85" w:right="85"/>
                          <w:jc w:val="center"/>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117,59</w:t>
                        </w:r>
                      </w:p>
                    </w:tc>
                  </w:tr>
                  <w:tr>
                    <w:trPr>
                      <w:trHeight w:val="194" w:hRule="exact"/>
                    </w:trPr>
                    <w:tc>
                      <w:tcPr>
                        <w:tcW w:w="991" w:type="dxa"/>
                      </w:tcPr>
                      <w:p>
                        <w:pPr>
                          <w:pStyle w:val="TableParagraph"/>
                          <w:spacing w:line="183" w:lineRule="exact" w:before="0"/>
                          <w:ind w:left="103" w:right="0"/>
                          <w:jc w:val="left"/>
                          <w:rPr>
                            <w:rFonts w:ascii="Arial"/>
                            <w:sz w:val="16"/>
                          </w:rPr>
                        </w:pPr>
                        <w:r>
                          <w:rPr>
                            <w:rFonts w:ascii="Arial"/>
                            <w:sz w:val="16"/>
                          </w:rPr>
                          <w:t>DQO</w:t>
                        </w:r>
                      </w:p>
                    </w:tc>
                    <w:tc>
                      <w:tcPr>
                        <w:tcW w:w="960" w:type="dxa"/>
                      </w:tcPr>
                      <w:p>
                        <w:pPr>
                          <w:pStyle w:val="TableParagraph"/>
                          <w:spacing w:line="183" w:lineRule="exact" w:before="0"/>
                          <w:ind w:left="85" w:right="86"/>
                          <w:jc w:val="center"/>
                          <w:rPr>
                            <w:rFonts w:ascii="Arial"/>
                            <w:sz w:val="16"/>
                          </w:rPr>
                        </w:pPr>
                        <w:r>
                          <w:rPr>
                            <w:rFonts w:ascii="Arial"/>
                            <w:sz w:val="16"/>
                          </w:rPr>
                          <w:t>g/kg pez d</w:t>
                        </w:r>
                      </w:p>
                    </w:tc>
                    <w:tc>
                      <w:tcPr>
                        <w:tcW w:w="852" w:type="dxa"/>
                      </w:tcPr>
                      <w:p>
                        <w:pPr>
                          <w:pStyle w:val="TableParagraph"/>
                          <w:spacing w:line="183" w:lineRule="exact" w:before="0"/>
                          <w:ind w:right="100"/>
                          <w:rPr>
                            <w:rFonts w:ascii="Arial"/>
                            <w:sz w:val="16"/>
                          </w:rPr>
                        </w:pPr>
                        <w:r>
                          <w:rPr>
                            <w:rFonts w:ascii="Arial"/>
                            <w:sz w:val="16"/>
                          </w:rPr>
                          <w:t>87,11</w:t>
                        </w:r>
                      </w:p>
                    </w:tc>
                  </w:tr>
                  <w:tr>
                    <w:trPr>
                      <w:trHeight w:val="194" w:hRule="exact"/>
                    </w:trPr>
                    <w:tc>
                      <w:tcPr>
                        <w:tcW w:w="991" w:type="dxa"/>
                      </w:tcPr>
                      <w:p>
                        <w:pPr>
                          <w:pStyle w:val="TableParagraph"/>
                          <w:spacing w:line="180" w:lineRule="exact" w:before="0"/>
                          <w:ind w:left="103" w:right="0"/>
                          <w:jc w:val="left"/>
                          <w:rPr>
                            <w:rFonts w:ascii="Arial"/>
                            <w:sz w:val="16"/>
                          </w:rPr>
                        </w:pPr>
                        <w:r>
                          <w:rPr>
                            <w:rFonts w:ascii="Arial"/>
                            <w:sz w:val="16"/>
                          </w:rPr>
                          <w:t>SST</w:t>
                        </w:r>
                      </w:p>
                    </w:tc>
                    <w:tc>
                      <w:tcPr>
                        <w:tcW w:w="960" w:type="dxa"/>
                      </w:tcPr>
                      <w:p>
                        <w:pPr>
                          <w:pStyle w:val="TableParagraph"/>
                          <w:spacing w:line="180" w:lineRule="exact" w:before="0"/>
                          <w:ind w:left="85" w:right="85"/>
                          <w:jc w:val="center"/>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4,10</w:t>
                        </w:r>
                      </w:p>
                    </w:tc>
                  </w:tr>
                  <w:tr>
                    <w:trPr>
                      <w:trHeight w:val="550" w:hRule="exact"/>
                    </w:trPr>
                    <w:tc>
                      <w:tcPr>
                        <w:tcW w:w="991" w:type="dxa"/>
                        <w:tcBorders>
                          <w:bottom w:val="nil"/>
                        </w:tcBorders>
                      </w:tcPr>
                      <w:p>
                        <w:pPr>
                          <w:pStyle w:val="TableParagraph"/>
                          <w:spacing w:before="8"/>
                          <w:ind w:right="0"/>
                          <w:jc w:val="left"/>
                          <w:rPr>
                            <w:rFonts w:ascii="Arial"/>
                            <w:sz w:val="15"/>
                          </w:rPr>
                        </w:pPr>
                      </w:p>
                      <w:p>
                        <w:pPr>
                          <w:pStyle w:val="TableParagraph"/>
                          <w:spacing w:before="0"/>
                          <w:ind w:left="103" w:right="0"/>
                          <w:jc w:val="left"/>
                          <w:rPr>
                            <w:rFonts w:ascii="Arial"/>
                            <w:sz w:val="16"/>
                          </w:rPr>
                        </w:pPr>
                        <w:r>
                          <w:rPr>
                            <w:rFonts w:ascii="Arial"/>
                            <w:sz w:val="16"/>
                          </w:rPr>
                          <w:t>Alcalinidad</w:t>
                        </w:r>
                      </w:p>
                    </w:tc>
                    <w:tc>
                      <w:tcPr>
                        <w:tcW w:w="960" w:type="dxa"/>
                        <w:tcBorders>
                          <w:bottom w:val="nil"/>
                        </w:tcBorders>
                      </w:tcPr>
                      <w:p>
                        <w:pPr>
                          <w:pStyle w:val="TableParagraph"/>
                          <w:spacing w:line="235" w:lineRule="auto" w:before="0"/>
                          <w:ind w:left="103" w:right="113"/>
                          <w:jc w:val="left"/>
                          <w:rPr>
                            <w:rFonts w:ascii="Arial"/>
                            <w:sz w:val="16"/>
                          </w:rPr>
                        </w:pPr>
                        <w:r>
                          <w:rPr>
                            <w:rFonts w:ascii="Arial"/>
                            <w:sz w:val="16"/>
                          </w:rPr>
                          <w:t>g como </w:t>
                        </w:r>
                        <w:r>
                          <w:rPr>
                            <w:rFonts w:ascii="Arial"/>
                            <w:position w:val="2"/>
                            <w:sz w:val="16"/>
                          </w:rPr>
                          <w:t>CaCO</w:t>
                        </w:r>
                        <w:r>
                          <w:rPr>
                            <w:rFonts w:ascii="Arial"/>
                            <w:sz w:val="10"/>
                          </w:rPr>
                          <w:t>3</w:t>
                        </w:r>
                        <w:r>
                          <w:rPr>
                            <w:rFonts w:ascii="Arial"/>
                            <w:position w:val="2"/>
                            <w:sz w:val="16"/>
                          </w:rPr>
                          <w:t>/kg </w:t>
                        </w:r>
                        <w:r>
                          <w:rPr>
                            <w:rFonts w:ascii="Arial"/>
                            <w:sz w:val="16"/>
                          </w:rPr>
                          <w:t>pez d</w:t>
                        </w:r>
                      </w:p>
                    </w:tc>
                    <w:tc>
                      <w:tcPr>
                        <w:tcW w:w="852" w:type="dxa"/>
                        <w:tcBorders>
                          <w:bottom w:val="nil"/>
                        </w:tcBorders>
                      </w:tcPr>
                      <w:p>
                        <w:pPr>
                          <w:pStyle w:val="TableParagraph"/>
                          <w:spacing w:before="8"/>
                          <w:ind w:right="0"/>
                          <w:jc w:val="left"/>
                          <w:rPr>
                            <w:rFonts w:ascii="Arial"/>
                            <w:sz w:val="15"/>
                          </w:rPr>
                        </w:pPr>
                      </w:p>
                      <w:p>
                        <w:pPr>
                          <w:pStyle w:val="TableParagraph"/>
                          <w:spacing w:before="0"/>
                          <w:ind w:right="100"/>
                          <w:rPr>
                            <w:rFonts w:ascii="Arial"/>
                            <w:sz w:val="16"/>
                          </w:rPr>
                        </w:pPr>
                        <w:r>
                          <w:rPr>
                            <w:rFonts w:ascii="Arial"/>
                            <w:sz w:val="16"/>
                          </w:rPr>
                          <w:t>91,68</w:t>
                        </w:r>
                      </w:p>
                    </w:tc>
                  </w:tr>
                </w:tbl>
                <w:p>
                  <w:pPr>
                    <w:pStyle w:val="BodyText"/>
                  </w:pPr>
                </w:p>
              </w:txbxContent>
            </v:textbox>
            <w10:wrap type="topAndBottom"/>
          </v:shape>
        </w:pict>
      </w:r>
      <w:r>
        <w:rPr/>
        <w:pict>
          <v:shape style="position:absolute;margin-left:247.439987pt;margin-top:13.80804pt;width:140.9pt;height:76.4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960"/>
                    <w:gridCol w:w="852"/>
                  </w:tblGrid>
                  <w:tr>
                    <w:trPr>
                      <w:trHeight w:val="194" w:hRule="exact"/>
                    </w:trPr>
                    <w:tc>
                      <w:tcPr>
                        <w:tcW w:w="991" w:type="dxa"/>
                      </w:tcPr>
                      <w:p>
                        <w:pPr>
                          <w:pStyle w:val="TableParagraph"/>
                          <w:spacing w:line="187" w:lineRule="exact" w:before="0"/>
                          <w:ind w:left="103" w:right="0"/>
                          <w:jc w:val="left"/>
                          <w:rPr>
                            <w:rFonts w:ascii="Arial"/>
                            <w:sz w:val="10"/>
                          </w:rPr>
                        </w:pPr>
                        <w:r>
                          <w:rPr>
                            <w:rFonts w:ascii="Arial"/>
                            <w:position w:val="2"/>
                            <w:sz w:val="16"/>
                          </w:rPr>
                          <w:t>N-NH</w:t>
                        </w:r>
                        <w:r>
                          <w:rPr>
                            <w:rFonts w:ascii="Arial"/>
                            <w:sz w:val="10"/>
                          </w:rPr>
                          <w:t>3</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1"/>
                          <w:rPr>
                            <w:rFonts w:ascii="Arial"/>
                            <w:sz w:val="16"/>
                          </w:rPr>
                        </w:pPr>
                        <w:r>
                          <w:rPr>
                            <w:rFonts w:ascii="Arial"/>
                            <w:sz w:val="16"/>
                          </w:rPr>
                          <w:t>1,17</w:t>
                        </w:r>
                      </w:p>
                    </w:tc>
                  </w:tr>
                  <w:tr>
                    <w:trPr>
                      <w:trHeight w:val="194" w:hRule="exact"/>
                    </w:trPr>
                    <w:tc>
                      <w:tcPr>
                        <w:tcW w:w="991" w:type="dxa"/>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2</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0,15</w:t>
                        </w:r>
                      </w:p>
                    </w:tc>
                  </w:tr>
                  <w:tr>
                    <w:trPr>
                      <w:trHeight w:val="194" w:hRule="exact"/>
                    </w:trPr>
                    <w:tc>
                      <w:tcPr>
                        <w:tcW w:w="991" w:type="dxa"/>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3</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3,80</w:t>
                        </w:r>
                      </w:p>
                    </w:tc>
                  </w:tr>
                  <w:tr>
                    <w:trPr>
                      <w:trHeight w:val="194" w:hRule="exact"/>
                    </w:trPr>
                    <w:tc>
                      <w:tcPr>
                        <w:tcW w:w="991" w:type="dxa"/>
                      </w:tcPr>
                      <w:p>
                        <w:pPr>
                          <w:pStyle w:val="TableParagraph"/>
                          <w:spacing w:line="180" w:lineRule="exact" w:before="0"/>
                          <w:ind w:left="103" w:right="0"/>
                          <w:jc w:val="left"/>
                          <w:rPr>
                            <w:rFonts w:ascii="Arial"/>
                            <w:sz w:val="16"/>
                          </w:rPr>
                        </w:pPr>
                        <w:r>
                          <w:rPr>
                            <w:rFonts w:ascii="Arial"/>
                            <w:sz w:val="16"/>
                          </w:rPr>
                          <w:t>DQO</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33,79</w:t>
                        </w:r>
                      </w:p>
                    </w:tc>
                  </w:tr>
                  <w:tr>
                    <w:trPr>
                      <w:trHeight w:val="192" w:hRule="exact"/>
                    </w:trPr>
                    <w:tc>
                      <w:tcPr>
                        <w:tcW w:w="991" w:type="dxa"/>
                      </w:tcPr>
                      <w:p>
                        <w:pPr>
                          <w:pStyle w:val="TableParagraph"/>
                          <w:spacing w:line="180" w:lineRule="exact" w:before="0"/>
                          <w:ind w:left="103" w:right="0"/>
                          <w:jc w:val="left"/>
                          <w:rPr>
                            <w:rFonts w:ascii="Arial"/>
                            <w:sz w:val="16"/>
                          </w:rPr>
                        </w:pPr>
                        <w:r>
                          <w:rPr>
                            <w:rFonts w:ascii="Arial"/>
                            <w:sz w:val="16"/>
                          </w:rPr>
                          <w:t>SST</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361,66</w:t>
                        </w:r>
                      </w:p>
                    </w:tc>
                  </w:tr>
                  <w:tr>
                    <w:trPr>
                      <w:trHeight w:val="550" w:hRule="exact"/>
                    </w:trPr>
                    <w:tc>
                      <w:tcPr>
                        <w:tcW w:w="991" w:type="dxa"/>
                        <w:tcBorders>
                          <w:bottom w:val="nil"/>
                        </w:tcBorders>
                      </w:tcPr>
                      <w:p>
                        <w:pPr>
                          <w:pStyle w:val="TableParagraph"/>
                          <w:spacing w:before="8"/>
                          <w:ind w:right="0"/>
                          <w:jc w:val="left"/>
                          <w:rPr>
                            <w:rFonts w:ascii="Arial"/>
                            <w:sz w:val="15"/>
                          </w:rPr>
                        </w:pPr>
                      </w:p>
                      <w:p>
                        <w:pPr>
                          <w:pStyle w:val="TableParagraph"/>
                          <w:spacing w:before="0"/>
                          <w:ind w:left="103" w:right="0"/>
                          <w:jc w:val="left"/>
                          <w:rPr>
                            <w:rFonts w:ascii="Arial"/>
                            <w:sz w:val="16"/>
                          </w:rPr>
                        </w:pPr>
                        <w:r>
                          <w:rPr>
                            <w:rFonts w:ascii="Arial"/>
                            <w:sz w:val="16"/>
                          </w:rPr>
                          <w:t>Alcalinidad</w:t>
                        </w:r>
                      </w:p>
                    </w:tc>
                    <w:tc>
                      <w:tcPr>
                        <w:tcW w:w="960" w:type="dxa"/>
                        <w:tcBorders>
                          <w:bottom w:val="nil"/>
                        </w:tcBorders>
                      </w:tcPr>
                      <w:p>
                        <w:pPr>
                          <w:pStyle w:val="TableParagraph"/>
                          <w:spacing w:line="235" w:lineRule="auto" w:before="1"/>
                          <w:ind w:left="103" w:right="113"/>
                          <w:jc w:val="left"/>
                          <w:rPr>
                            <w:rFonts w:ascii="Arial"/>
                            <w:sz w:val="16"/>
                          </w:rPr>
                        </w:pPr>
                        <w:r>
                          <w:rPr>
                            <w:rFonts w:ascii="Arial"/>
                            <w:sz w:val="16"/>
                          </w:rPr>
                          <w:t>g como </w:t>
                        </w:r>
                        <w:r>
                          <w:rPr>
                            <w:rFonts w:ascii="Arial"/>
                            <w:position w:val="2"/>
                            <w:sz w:val="16"/>
                          </w:rPr>
                          <w:t>CaCO</w:t>
                        </w:r>
                        <w:r>
                          <w:rPr>
                            <w:rFonts w:ascii="Arial"/>
                            <w:sz w:val="10"/>
                          </w:rPr>
                          <w:t>3</w:t>
                        </w:r>
                        <w:r>
                          <w:rPr>
                            <w:rFonts w:ascii="Arial"/>
                            <w:position w:val="2"/>
                            <w:sz w:val="16"/>
                          </w:rPr>
                          <w:t>/kg </w:t>
                        </w:r>
                        <w:r>
                          <w:rPr>
                            <w:rFonts w:ascii="Arial"/>
                            <w:sz w:val="16"/>
                          </w:rPr>
                          <w:t>pez d</w:t>
                        </w:r>
                      </w:p>
                    </w:tc>
                    <w:tc>
                      <w:tcPr>
                        <w:tcW w:w="852" w:type="dxa"/>
                        <w:tcBorders>
                          <w:bottom w:val="nil"/>
                        </w:tcBorders>
                      </w:tcPr>
                      <w:p>
                        <w:pPr>
                          <w:pStyle w:val="TableParagraph"/>
                          <w:spacing w:before="8"/>
                          <w:ind w:right="0"/>
                          <w:jc w:val="left"/>
                          <w:rPr>
                            <w:rFonts w:ascii="Arial"/>
                            <w:sz w:val="15"/>
                          </w:rPr>
                        </w:pPr>
                      </w:p>
                      <w:p>
                        <w:pPr>
                          <w:pStyle w:val="TableParagraph"/>
                          <w:spacing w:before="0"/>
                          <w:ind w:right="100"/>
                          <w:rPr>
                            <w:rFonts w:ascii="Arial"/>
                            <w:sz w:val="16"/>
                          </w:rPr>
                        </w:pPr>
                        <w:r>
                          <w:rPr>
                            <w:rFonts w:ascii="Arial"/>
                            <w:sz w:val="16"/>
                          </w:rPr>
                          <w:t>19,20</w:t>
                        </w:r>
                      </w:p>
                    </w:tc>
                  </w:tr>
                </w:tbl>
                <w:p>
                  <w:pPr>
                    <w:pStyle w:val="BodyText"/>
                  </w:pPr>
                </w:p>
              </w:txbxContent>
            </v:textbox>
            <w10:wrap type="topAndBottom"/>
          </v:shape>
        </w:pict>
      </w:r>
      <w:r>
        <w:rPr/>
        <w:pict>
          <v:shape style="position:absolute;margin-left:400.079987pt;margin-top:13.92804pt;width:140.9pt;height:76.350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960"/>
                    <w:gridCol w:w="852"/>
                  </w:tblGrid>
                  <w:tr>
                    <w:trPr>
                      <w:trHeight w:val="192" w:hRule="exact"/>
                    </w:trPr>
                    <w:tc>
                      <w:tcPr>
                        <w:tcW w:w="991" w:type="dxa"/>
                      </w:tcPr>
                      <w:p>
                        <w:pPr>
                          <w:pStyle w:val="TableParagraph"/>
                          <w:spacing w:line="187" w:lineRule="exact" w:before="0"/>
                          <w:ind w:left="103" w:right="0"/>
                          <w:jc w:val="left"/>
                          <w:rPr>
                            <w:rFonts w:ascii="Arial"/>
                            <w:sz w:val="10"/>
                          </w:rPr>
                        </w:pPr>
                        <w:r>
                          <w:rPr>
                            <w:rFonts w:ascii="Arial"/>
                            <w:position w:val="2"/>
                            <w:sz w:val="16"/>
                          </w:rPr>
                          <w:t>N-NH</w:t>
                        </w:r>
                        <w:r>
                          <w:rPr>
                            <w:rFonts w:ascii="Arial"/>
                            <w:sz w:val="10"/>
                          </w:rPr>
                          <w:t>3</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1"/>
                          <w:rPr>
                            <w:rFonts w:ascii="Arial"/>
                            <w:sz w:val="16"/>
                          </w:rPr>
                        </w:pPr>
                        <w:r>
                          <w:rPr>
                            <w:rFonts w:ascii="Arial"/>
                            <w:sz w:val="16"/>
                          </w:rPr>
                          <w:t>1,71</w:t>
                        </w:r>
                      </w:p>
                    </w:tc>
                  </w:tr>
                  <w:tr>
                    <w:trPr>
                      <w:trHeight w:val="194" w:hRule="exact"/>
                    </w:trPr>
                    <w:tc>
                      <w:tcPr>
                        <w:tcW w:w="991" w:type="dxa"/>
                      </w:tcPr>
                      <w:p>
                        <w:pPr>
                          <w:pStyle w:val="TableParagraph"/>
                          <w:spacing w:line="128"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2</w:t>
                        </w:r>
                      </w:p>
                    </w:tc>
                    <w:tc>
                      <w:tcPr>
                        <w:tcW w:w="960" w:type="dxa"/>
                      </w:tcPr>
                      <w:p>
                        <w:pPr>
                          <w:pStyle w:val="TableParagraph"/>
                          <w:spacing w:line="183" w:lineRule="exact" w:before="0"/>
                          <w:ind w:right="103"/>
                          <w:rPr>
                            <w:rFonts w:ascii="Arial"/>
                            <w:sz w:val="16"/>
                          </w:rPr>
                        </w:pPr>
                        <w:r>
                          <w:rPr>
                            <w:rFonts w:ascii="Arial"/>
                            <w:sz w:val="16"/>
                          </w:rPr>
                          <w:t>g/kg pez d</w:t>
                        </w:r>
                      </w:p>
                    </w:tc>
                    <w:tc>
                      <w:tcPr>
                        <w:tcW w:w="852" w:type="dxa"/>
                      </w:tcPr>
                      <w:p>
                        <w:pPr>
                          <w:pStyle w:val="TableParagraph"/>
                          <w:spacing w:line="183" w:lineRule="exact" w:before="0"/>
                          <w:ind w:right="100"/>
                          <w:rPr>
                            <w:rFonts w:ascii="Arial"/>
                            <w:sz w:val="16"/>
                          </w:rPr>
                        </w:pPr>
                        <w:r>
                          <w:rPr>
                            <w:rFonts w:ascii="Arial"/>
                            <w:sz w:val="16"/>
                          </w:rPr>
                          <w:t>0,54</w:t>
                        </w:r>
                      </w:p>
                    </w:tc>
                  </w:tr>
                  <w:tr>
                    <w:trPr>
                      <w:trHeight w:val="194" w:hRule="exact"/>
                    </w:trPr>
                    <w:tc>
                      <w:tcPr>
                        <w:tcW w:w="991" w:type="dxa"/>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3</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113,75</w:t>
                        </w:r>
                      </w:p>
                    </w:tc>
                  </w:tr>
                  <w:tr>
                    <w:trPr>
                      <w:trHeight w:val="194" w:hRule="exact"/>
                    </w:trPr>
                    <w:tc>
                      <w:tcPr>
                        <w:tcW w:w="991" w:type="dxa"/>
                      </w:tcPr>
                      <w:p>
                        <w:pPr>
                          <w:pStyle w:val="TableParagraph"/>
                          <w:spacing w:line="180" w:lineRule="exact" w:before="0"/>
                          <w:ind w:left="103" w:right="0"/>
                          <w:jc w:val="left"/>
                          <w:rPr>
                            <w:rFonts w:ascii="Arial"/>
                            <w:sz w:val="16"/>
                          </w:rPr>
                        </w:pPr>
                        <w:r>
                          <w:rPr>
                            <w:rFonts w:ascii="Arial"/>
                            <w:sz w:val="16"/>
                          </w:rPr>
                          <w:t>DQO</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120,53</w:t>
                        </w:r>
                      </w:p>
                    </w:tc>
                  </w:tr>
                  <w:tr>
                    <w:trPr>
                      <w:trHeight w:val="194" w:hRule="exact"/>
                    </w:trPr>
                    <w:tc>
                      <w:tcPr>
                        <w:tcW w:w="991" w:type="dxa"/>
                      </w:tcPr>
                      <w:p>
                        <w:pPr>
                          <w:pStyle w:val="TableParagraph"/>
                          <w:spacing w:line="180" w:lineRule="exact" w:before="0"/>
                          <w:ind w:left="103" w:right="0"/>
                          <w:jc w:val="left"/>
                          <w:rPr>
                            <w:rFonts w:ascii="Arial"/>
                            <w:sz w:val="16"/>
                          </w:rPr>
                        </w:pPr>
                        <w:r>
                          <w:rPr>
                            <w:rFonts w:ascii="Arial"/>
                            <w:sz w:val="16"/>
                          </w:rPr>
                          <w:t>SST</w:t>
                        </w:r>
                      </w:p>
                    </w:tc>
                    <w:tc>
                      <w:tcPr>
                        <w:tcW w:w="960" w:type="dxa"/>
                      </w:tcPr>
                      <w:p>
                        <w:pPr>
                          <w:pStyle w:val="TableParagraph"/>
                          <w:spacing w:line="180" w:lineRule="exact" w:before="0"/>
                          <w:ind w:right="103"/>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7,16</w:t>
                        </w:r>
                      </w:p>
                    </w:tc>
                  </w:tr>
                  <w:tr>
                    <w:trPr>
                      <w:trHeight w:val="547" w:hRule="exact"/>
                    </w:trPr>
                    <w:tc>
                      <w:tcPr>
                        <w:tcW w:w="991" w:type="dxa"/>
                        <w:tcBorders>
                          <w:bottom w:val="nil"/>
                        </w:tcBorders>
                      </w:tcPr>
                      <w:p>
                        <w:pPr>
                          <w:pStyle w:val="TableParagraph"/>
                          <w:spacing w:before="8"/>
                          <w:ind w:right="0"/>
                          <w:jc w:val="left"/>
                          <w:rPr>
                            <w:rFonts w:ascii="Arial"/>
                            <w:sz w:val="15"/>
                          </w:rPr>
                        </w:pPr>
                      </w:p>
                      <w:p>
                        <w:pPr>
                          <w:pStyle w:val="TableParagraph"/>
                          <w:spacing w:before="0"/>
                          <w:ind w:left="103" w:right="0"/>
                          <w:jc w:val="left"/>
                          <w:rPr>
                            <w:rFonts w:ascii="Arial"/>
                            <w:sz w:val="16"/>
                          </w:rPr>
                        </w:pPr>
                        <w:r>
                          <w:rPr>
                            <w:rFonts w:ascii="Arial"/>
                            <w:sz w:val="16"/>
                          </w:rPr>
                          <w:t>Alcalinidad</w:t>
                        </w:r>
                      </w:p>
                    </w:tc>
                    <w:tc>
                      <w:tcPr>
                        <w:tcW w:w="960" w:type="dxa"/>
                        <w:tcBorders>
                          <w:bottom w:val="nil"/>
                        </w:tcBorders>
                      </w:tcPr>
                      <w:p>
                        <w:pPr>
                          <w:pStyle w:val="TableParagraph"/>
                          <w:spacing w:line="235" w:lineRule="auto" w:before="0"/>
                          <w:ind w:left="103" w:right="113"/>
                          <w:jc w:val="left"/>
                          <w:rPr>
                            <w:rFonts w:ascii="Arial"/>
                            <w:sz w:val="16"/>
                          </w:rPr>
                        </w:pPr>
                        <w:r>
                          <w:rPr>
                            <w:rFonts w:ascii="Arial"/>
                            <w:sz w:val="16"/>
                          </w:rPr>
                          <w:t>g como </w:t>
                        </w:r>
                        <w:r>
                          <w:rPr>
                            <w:rFonts w:ascii="Arial"/>
                            <w:position w:val="2"/>
                            <w:sz w:val="16"/>
                          </w:rPr>
                          <w:t>CaCO</w:t>
                        </w:r>
                        <w:r>
                          <w:rPr>
                            <w:rFonts w:ascii="Arial"/>
                            <w:sz w:val="10"/>
                          </w:rPr>
                          <w:t>3</w:t>
                        </w:r>
                        <w:r>
                          <w:rPr>
                            <w:rFonts w:ascii="Arial"/>
                            <w:position w:val="2"/>
                            <w:sz w:val="16"/>
                          </w:rPr>
                          <w:t>/kg </w:t>
                        </w:r>
                        <w:r>
                          <w:rPr>
                            <w:rFonts w:ascii="Arial"/>
                            <w:sz w:val="16"/>
                          </w:rPr>
                          <w:t>pez d</w:t>
                        </w:r>
                      </w:p>
                    </w:tc>
                    <w:tc>
                      <w:tcPr>
                        <w:tcW w:w="852" w:type="dxa"/>
                        <w:tcBorders>
                          <w:bottom w:val="nil"/>
                        </w:tcBorders>
                      </w:tcPr>
                      <w:p>
                        <w:pPr>
                          <w:pStyle w:val="TableParagraph"/>
                          <w:spacing w:before="8"/>
                          <w:ind w:right="0"/>
                          <w:jc w:val="left"/>
                          <w:rPr>
                            <w:rFonts w:ascii="Arial"/>
                            <w:sz w:val="15"/>
                          </w:rPr>
                        </w:pPr>
                      </w:p>
                      <w:p>
                        <w:pPr>
                          <w:pStyle w:val="TableParagraph"/>
                          <w:spacing w:before="0"/>
                          <w:ind w:right="100"/>
                          <w:rPr>
                            <w:rFonts w:ascii="Arial"/>
                            <w:sz w:val="16"/>
                          </w:rPr>
                        </w:pPr>
                        <w:r>
                          <w:rPr>
                            <w:rFonts w:ascii="Arial"/>
                            <w:sz w:val="16"/>
                          </w:rPr>
                          <w:t>110,75</w:t>
                        </w:r>
                      </w:p>
                    </w:tc>
                  </w:tr>
                </w:tbl>
                <w:p>
                  <w:pPr>
                    <w:pStyle w:val="BodyText"/>
                  </w:pPr>
                </w:p>
              </w:txbxContent>
            </v:textbox>
            <w10:wrap type="topAndBottom"/>
          </v:shape>
        </w:pict>
      </w:r>
    </w:p>
    <w:p>
      <w:pPr>
        <w:pStyle w:val="BodyText"/>
        <w:spacing w:before="9" w:after="1"/>
        <w:rPr>
          <w:sz w:val="21"/>
        </w:rPr>
      </w:pPr>
    </w:p>
    <w:tbl>
      <w:tblPr>
        <w:tblW w:w="0" w:type="auto"/>
        <w:jc w:val="left"/>
        <w:tblInd w:w="50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960"/>
        <w:gridCol w:w="852"/>
      </w:tblGrid>
      <w:tr>
        <w:trPr>
          <w:trHeight w:val="194" w:hRule="exact"/>
        </w:trPr>
        <w:tc>
          <w:tcPr>
            <w:tcW w:w="991" w:type="dxa"/>
          </w:tcPr>
          <w:p>
            <w:pPr>
              <w:pStyle w:val="TableParagraph"/>
              <w:spacing w:line="187" w:lineRule="exact" w:before="0"/>
              <w:ind w:left="103" w:right="0"/>
              <w:jc w:val="left"/>
              <w:rPr>
                <w:rFonts w:ascii="Arial"/>
                <w:sz w:val="10"/>
              </w:rPr>
            </w:pPr>
            <w:r>
              <w:rPr>
                <w:rFonts w:ascii="Arial"/>
                <w:position w:val="2"/>
                <w:sz w:val="16"/>
              </w:rPr>
              <w:t>N-NH</w:t>
            </w:r>
            <w:r>
              <w:rPr>
                <w:rFonts w:ascii="Arial"/>
                <w:sz w:val="10"/>
              </w:rPr>
              <w:t>3</w:t>
            </w:r>
          </w:p>
        </w:tc>
        <w:tc>
          <w:tcPr>
            <w:tcW w:w="960" w:type="dxa"/>
          </w:tcPr>
          <w:p>
            <w:pPr>
              <w:pStyle w:val="TableParagraph"/>
              <w:spacing w:line="180" w:lineRule="exact" w:before="0"/>
              <w:ind w:left="85" w:right="85"/>
              <w:jc w:val="center"/>
              <w:rPr>
                <w:rFonts w:ascii="Arial"/>
                <w:sz w:val="16"/>
              </w:rPr>
            </w:pPr>
            <w:r>
              <w:rPr>
                <w:rFonts w:ascii="Arial"/>
                <w:sz w:val="16"/>
              </w:rPr>
              <w:t>g/kg pez d</w:t>
            </w:r>
          </w:p>
        </w:tc>
        <w:tc>
          <w:tcPr>
            <w:tcW w:w="852" w:type="dxa"/>
          </w:tcPr>
          <w:p>
            <w:pPr>
              <w:pStyle w:val="TableParagraph"/>
              <w:spacing w:line="180" w:lineRule="exact" w:before="0"/>
              <w:ind w:right="101"/>
              <w:rPr>
                <w:rFonts w:ascii="Arial"/>
                <w:sz w:val="16"/>
              </w:rPr>
            </w:pPr>
            <w:r>
              <w:rPr>
                <w:rFonts w:ascii="Arial"/>
                <w:sz w:val="16"/>
              </w:rPr>
              <w:t>0,002</w:t>
            </w:r>
          </w:p>
        </w:tc>
      </w:tr>
      <w:tr>
        <w:trPr>
          <w:trHeight w:val="194" w:hRule="exact"/>
        </w:trPr>
        <w:tc>
          <w:tcPr>
            <w:tcW w:w="991" w:type="dxa"/>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2</w:t>
            </w:r>
          </w:p>
        </w:tc>
        <w:tc>
          <w:tcPr>
            <w:tcW w:w="960" w:type="dxa"/>
          </w:tcPr>
          <w:p>
            <w:pPr>
              <w:pStyle w:val="TableParagraph"/>
              <w:spacing w:line="180" w:lineRule="exact" w:before="0"/>
              <w:ind w:left="85" w:right="85"/>
              <w:jc w:val="center"/>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0,001</w:t>
            </w:r>
          </w:p>
        </w:tc>
      </w:tr>
      <w:tr>
        <w:trPr>
          <w:trHeight w:val="194" w:hRule="exact"/>
        </w:trPr>
        <w:tc>
          <w:tcPr>
            <w:tcW w:w="991" w:type="dxa"/>
          </w:tcPr>
          <w:p>
            <w:pPr>
              <w:pStyle w:val="TableParagraph"/>
              <w:spacing w:line="126" w:lineRule="exact" w:before="0"/>
              <w:ind w:left="103" w:right="0"/>
              <w:jc w:val="left"/>
              <w:rPr>
                <w:rFonts w:ascii="Arial"/>
                <w:sz w:val="10"/>
              </w:rPr>
            </w:pPr>
            <w:r>
              <w:rPr>
                <w:rFonts w:ascii="Arial"/>
                <w:sz w:val="16"/>
              </w:rPr>
              <w:t>N-NO </w:t>
            </w:r>
            <w:r>
              <w:rPr>
                <w:rFonts w:ascii="Arial"/>
                <w:position w:val="8"/>
                <w:sz w:val="10"/>
              </w:rPr>
              <w:t>-</w:t>
            </w:r>
          </w:p>
          <w:p>
            <w:pPr>
              <w:pStyle w:val="TableParagraph"/>
              <w:spacing w:line="61" w:lineRule="exact" w:before="0"/>
              <w:ind w:left="96" w:right="0"/>
              <w:jc w:val="center"/>
              <w:rPr>
                <w:rFonts w:ascii="Arial"/>
                <w:sz w:val="10"/>
              </w:rPr>
            </w:pPr>
            <w:r>
              <w:rPr>
                <w:rFonts w:ascii="Arial"/>
                <w:w w:val="100"/>
                <w:sz w:val="10"/>
              </w:rPr>
              <w:t>3</w:t>
            </w:r>
          </w:p>
        </w:tc>
        <w:tc>
          <w:tcPr>
            <w:tcW w:w="960" w:type="dxa"/>
          </w:tcPr>
          <w:p>
            <w:pPr>
              <w:pStyle w:val="TableParagraph"/>
              <w:spacing w:line="180" w:lineRule="exact" w:before="0"/>
              <w:ind w:left="85" w:right="85"/>
              <w:jc w:val="center"/>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4,04</w:t>
            </w:r>
          </w:p>
        </w:tc>
      </w:tr>
      <w:tr>
        <w:trPr>
          <w:trHeight w:val="192" w:hRule="exact"/>
        </w:trPr>
        <w:tc>
          <w:tcPr>
            <w:tcW w:w="991" w:type="dxa"/>
          </w:tcPr>
          <w:p>
            <w:pPr>
              <w:pStyle w:val="TableParagraph"/>
              <w:spacing w:line="180" w:lineRule="exact" w:before="0"/>
              <w:ind w:left="103" w:right="0"/>
              <w:jc w:val="left"/>
              <w:rPr>
                <w:rFonts w:ascii="Arial"/>
                <w:sz w:val="16"/>
              </w:rPr>
            </w:pPr>
            <w:r>
              <w:rPr>
                <w:rFonts w:ascii="Arial"/>
                <w:sz w:val="16"/>
              </w:rPr>
              <w:t>DQO</w:t>
            </w:r>
          </w:p>
        </w:tc>
        <w:tc>
          <w:tcPr>
            <w:tcW w:w="960" w:type="dxa"/>
          </w:tcPr>
          <w:p>
            <w:pPr>
              <w:pStyle w:val="TableParagraph"/>
              <w:spacing w:line="180" w:lineRule="exact" w:before="0"/>
              <w:ind w:left="85" w:right="86"/>
              <w:jc w:val="center"/>
              <w:rPr>
                <w:rFonts w:ascii="Arial"/>
                <w:sz w:val="16"/>
              </w:rPr>
            </w:pPr>
            <w:r>
              <w:rPr>
                <w:rFonts w:ascii="Arial"/>
                <w:sz w:val="16"/>
              </w:rPr>
              <w:t>g/kg pez d</w:t>
            </w:r>
          </w:p>
        </w:tc>
        <w:tc>
          <w:tcPr>
            <w:tcW w:w="852" w:type="dxa"/>
          </w:tcPr>
          <w:p>
            <w:pPr>
              <w:pStyle w:val="TableParagraph"/>
              <w:spacing w:line="180" w:lineRule="exact" w:before="0"/>
              <w:ind w:right="100"/>
              <w:rPr>
                <w:rFonts w:ascii="Arial"/>
                <w:sz w:val="16"/>
              </w:rPr>
            </w:pPr>
            <w:r>
              <w:rPr>
                <w:rFonts w:ascii="Arial"/>
                <w:sz w:val="16"/>
              </w:rPr>
              <w:t>0,37</w:t>
            </w:r>
          </w:p>
        </w:tc>
      </w:tr>
      <w:tr>
        <w:trPr>
          <w:trHeight w:val="194" w:hRule="exact"/>
        </w:trPr>
        <w:tc>
          <w:tcPr>
            <w:tcW w:w="991" w:type="dxa"/>
          </w:tcPr>
          <w:p>
            <w:pPr>
              <w:pStyle w:val="TableParagraph"/>
              <w:spacing w:line="183" w:lineRule="exact" w:before="0"/>
              <w:ind w:left="103" w:right="0"/>
              <w:jc w:val="left"/>
              <w:rPr>
                <w:rFonts w:ascii="Arial"/>
                <w:sz w:val="16"/>
              </w:rPr>
            </w:pPr>
            <w:r>
              <w:rPr>
                <w:rFonts w:ascii="Arial"/>
                <w:sz w:val="16"/>
              </w:rPr>
              <w:t>SST</w:t>
            </w:r>
          </w:p>
        </w:tc>
        <w:tc>
          <w:tcPr>
            <w:tcW w:w="960" w:type="dxa"/>
          </w:tcPr>
          <w:p>
            <w:pPr>
              <w:pStyle w:val="TableParagraph"/>
              <w:spacing w:line="183" w:lineRule="exact" w:before="0"/>
              <w:ind w:left="85" w:right="85"/>
              <w:jc w:val="center"/>
              <w:rPr>
                <w:rFonts w:ascii="Arial"/>
                <w:sz w:val="16"/>
              </w:rPr>
            </w:pPr>
            <w:r>
              <w:rPr>
                <w:rFonts w:ascii="Arial"/>
                <w:sz w:val="16"/>
              </w:rPr>
              <w:t>g/kg pez d</w:t>
            </w:r>
          </w:p>
        </w:tc>
        <w:tc>
          <w:tcPr>
            <w:tcW w:w="852" w:type="dxa"/>
          </w:tcPr>
          <w:p>
            <w:pPr>
              <w:pStyle w:val="TableParagraph"/>
              <w:spacing w:line="183" w:lineRule="exact" w:before="0"/>
              <w:ind w:right="100"/>
              <w:rPr>
                <w:rFonts w:ascii="Arial"/>
                <w:sz w:val="16"/>
              </w:rPr>
            </w:pPr>
            <w:r>
              <w:rPr>
                <w:rFonts w:ascii="Arial"/>
                <w:sz w:val="16"/>
              </w:rPr>
              <w:t>0,45</w:t>
            </w:r>
          </w:p>
        </w:tc>
      </w:tr>
      <w:tr>
        <w:trPr>
          <w:trHeight w:val="550" w:hRule="exact"/>
        </w:trPr>
        <w:tc>
          <w:tcPr>
            <w:tcW w:w="991" w:type="dxa"/>
            <w:tcBorders>
              <w:bottom w:val="nil"/>
            </w:tcBorders>
          </w:tcPr>
          <w:p>
            <w:pPr>
              <w:pStyle w:val="TableParagraph"/>
              <w:spacing w:before="8"/>
              <w:ind w:right="0"/>
              <w:jc w:val="left"/>
              <w:rPr>
                <w:rFonts w:ascii="Arial"/>
                <w:sz w:val="15"/>
              </w:rPr>
            </w:pPr>
          </w:p>
          <w:p>
            <w:pPr>
              <w:pStyle w:val="TableParagraph"/>
              <w:spacing w:before="0"/>
              <w:ind w:left="103" w:right="0"/>
              <w:jc w:val="left"/>
              <w:rPr>
                <w:rFonts w:ascii="Arial"/>
                <w:sz w:val="16"/>
              </w:rPr>
            </w:pPr>
            <w:r>
              <w:rPr>
                <w:rFonts w:ascii="Arial"/>
                <w:sz w:val="16"/>
              </w:rPr>
              <w:t>Alcalinidad</w:t>
            </w:r>
          </w:p>
        </w:tc>
        <w:tc>
          <w:tcPr>
            <w:tcW w:w="960" w:type="dxa"/>
            <w:tcBorders>
              <w:bottom w:val="nil"/>
            </w:tcBorders>
          </w:tcPr>
          <w:p>
            <w:pPr>
              <w:pStyle w:val="TableParagraph"/>
              <w:spacing w:line="235" w:lineRule="auto" w:before="0"/>
              <w:ind w:left="103" w:right="113"/>
              <w:jc w:val="left"/>
              <w:rPr>
                <w:rFonts w:ascii="Arial"/>
                <w:sz w:val="16"/>
              </w:rPr>
            </w:pPr>
            <w:r>
              <w:rPr>
                <w:rFonts w:ascii="Arial"/>
                <w:sz w:val="16"/>
              </w:rPr>
              <w:t>g como </w:t>
            </w:r>
            <w:r>
              <w:rPr>
                <w:rFonts w:ascii="Arial"/>
                <w:position w:val="2"/>
                <w:sz w:val="16"/>
              </w:rPr>
              <w:t>CaCO</w:t>
            </w:r>
            <w:r>
              <w:rPr>
                <w:rFonts w:ascii="Arial"/>
                <w:sz w:val="10"/>
              </w:rPr>
              <w:t>3</w:t>
            </w:r>
            <w:r>
              <w:rPr>
                <w:rFonts w:ascii="Arial"/>
                <w:position w:val="2"/>
                <w:sz w:val="16"/>
              </w:rPr>
              <w:t>/kg </w:t>
            </w:r>
            <w:r>
              <w:rPr>
                <w:rFonts w:ascii="Arial"/>
                <w:sz w:val="16"/>
              </w:rPr>
              <w:t>pez d</w:t>
            </w:r>
          </w:p>
        </w:tc>
        <w:tc>
          <w:tcPr>
            <w:tcW w:w="852" w:type="dxa"/>
            <w:tcBorders>
              <w:bottom w:val="nil"/>
            </w:tcBorders>
          </w:tcPr>
          <w:p>
            <w:pPr>
              <w:pStyle w:val="TableParagraph"/>
              <w:spacing w:before="8"/>
              <w:ind w:right="0"/>
              <w:jc w:val="left"/>
              <w:rPr>
                <w:rFonts w:ascii="Arial"/>
                <w:sz w:val="15"/>
              </w:rPr>
            </w:pPr>
          </w:p>
          <w:p>
            <w:pPr>
              <w:pStyle w:val="TableParagraph"/>
              <w:spacing w:before="0"/>
              <w:ind w:right="100"/>
              <w:rPr>
                <w:rFonts w:ascii="Arial"/>
                <w:sz w:val="16"/>
              </w:rPr>
            </w:pPr>
            <w:r>
              <w:rPr>
                <w:rFonts w:ascii="Arial"/>
                <w:sz w:val="16"/>
              </w:rPr>
              <w:t>0,13</w:t>
            </w:r>
          </w:p>
        </w:tc>
      </w:tr>
    </w:tbl>
    <w:p>
      <w:pPr>
        <w:pStyle w:val="BodyText"/>
        <w:spacing w:before="7"/>
        <w:rPr>
          <w:sz w:val="30"/>
        </w:rPr>
      </w:pPr>
    </w:p>
    <w:p>
      <w:pPr>
        <w:spacing w:before="0"/>
        <w:ind w:left="2507" w:right="948" w:firstLine="0"/>
        <w:jc w:val="left"/>
        <w:rPr>
          <w:b/>
          <w:sz w:val="18"/>
        </w:rPr>
      </w:pPr>
      <w:r>
        <w:rPr>
          <w:b/>
          <w:sz w:val="18"/>
        </w:rPr>
        <w:t>Figura 37. Esquema de generación de residuos en el estanque.</w:t>
      </w:r>
    </w:p>
    <w:p>
      <w:pPr>
        <w:spacing w:after="0"/>
        <w:jc w:val="left"/>
        <w:rPr>
          <w:sz w:val="18"/>
        </w:rPr>
        <w:sectPr>
          <w:pgSz w:w="12240" w:h="15840"/>
          <w:pgMar w:header="725" w:footer="1084" w:top="1340" w:bottom="1280" w:left="920" w:right="1200"/>
        </w:sectPr>
      </w:pPr>
    </w:p>
    <w:p>
      <w:pPr>
        <w:pStyle w:val="BodyText"/>
        <w:rPr>
          <w:b/>
          <w:sz w:val="20"/>
        </w:rPr>
      </w:pPr>
    </w:p>
    <w:p>
      <w:pPr>
        <w:pStyle w:val="BodyText"/>
        <w:rPr>
          <w:b/>
          <w:sz w:val="20"/>
        </w:rPr>
      </w:pPr>
    </w:p>
    <w:p>
      <w:pPr>
        <w:pStyle w:val="BodyText"/>
        <w:spacing w:before="11"/>
        <w:rPr>
          <w:b/>
          <w:sz w:val="18"/>
        </w:rPr>
      </w:pPr>
    </w:p>
    <w:p>
      <w:pPr>
        <w:pStyle w:val="Heading5"/>
        <w:numPr>
          <w:ilvl w:val="1"/>
          <w:numId w:val="16"/>
        </w:numPr>
        <w:tabs>
          <w:tab w:pos="1211" w:val="left" w:leader="none"/>
        </w:tabs>
        <w:spacing w:line="240" w:lineRule="auto" w:before="73" w:after="0"/>
        <w:ind w:left="1210" w:right="0" w:hanging="429"/>
        <w:jc w:val="both"/>
      </w:pPr>
      <w:bookmarkStart w:name="_TOC_250023" w:id="149"/>
      <w:bookmarkStart w:name="5.7. Modelación matemática" w:id="150"/>
      <w:r>
        <w:rPr>
          <w:b w:val="0"/>
        </w:rPr>
      </w:r>
      <w:bookmarkEnd w:id="150"/>
      <w:bookmarkStart w:name="5.7. Modelación matemática" w:id="151"/>
      <w:r>
        <w:rPr/>
        <w:t>M</w:t>
      </w:r>
      <w:r>
        <w:rPr/>
        <w:t>ODELACIÓN</w:t>
      </w:r>
      <w:r>
        <w:rPr>
          <w:spacing w:val="-8"/>
        </w:rPr>
        <w:t> </w:t>
      </w:r>
      <w:bookmarkEnd w:id="149"/>
      <w:r>
        <w:rPr/>
        <w:t>MATEMÁTICA</w:t>
      </w:r>
    </w:p>
    <w:p>
      <w:pPr>
        <w:pStyle w:val="BodyText"/>
        <w:spacing w:before="8"/>
        <w:rPr>
          <w:b/>
          <w:sz w:val="28"/>
        </w:rPr>
      </w:pPr>
    </w:p>
    <w:p>
      <w:pPr>
        <w:pStyle w:val="BodyText"/>
        <w:spacing w:line="360" w:lineRule="auto"/>
        <w:ind w:left="781" w:right="496"/>
        <w:jc w:val="both"/>
      </w:pPr>
      <w:r>
        <w:rPr/>
        <w:t>En esta investigación se pretendió modelar matemáticamente el filtro biológico mediante dos métodos: 1) el estadístico o regresivo por medio del cual se determinaron ecuaciones, principalmente de primer orden, que expresaron las relaciones entre variables y parámetros, representando el estado del sistema; 2) el determinístico o dinámico, que estudian los procesos a partir del comportamiento físico, químico y biológico de los parámetros del fenómeno.</w:t>
      </w:r>
    </w:p>
    <w:p>
      <w:pPr>
        <w:pStyle w:val="BodyText"/>
        <w:spacing w:before="9"/>
        <w:rPr>
          <w:sz w:val="17"/>
        </w:rPr>
      </w:pPr>
    </w:p>
    <w:p>
      <w:pPr>
        <w:pStyle w:val="BodyText"/>
        <w:spacing w:line="360" w:lineRule="auto"/>
        <w:ind w:left="781" w:right="498"/>
        <w:jc w:val="both"/>
      </w:pPr>
      <w:r>
        <w:rPr/>
        <w:t>De los dos tipos mencionados se pudo trabajar con el primero, modelando las tasas volumétricas de conversión de nitrógeno amoniacal total, la tasa volumétrica de transformación de nitritos, el consumo de oxígeno disuelto en el agua por los organismos acuáticos en estudio y la generación de residuos contaminantes por parte de estos.</w:t>
      </w:r>
    </w:p>
    <w:p>
      <w:pPr>
        <w:pStyle w:val="BodyText"/>
        <w:spacing w:before="9"/>
        <w:rPr>
          <w:sz w:val="17"/>
        </w:rPr>
      </w:pPr>
    </w:p>
    <w:p>
      <w:pPr>
        <w:pStyle w:val="BodyText"/>
        <w:spacing w:line="360" w:lineRule="auto"/>
        <w:ind w:left="781" w:right="497"/>
        <w:jc w:val="both"/>
      </w:pPr>
      <w:r>
        <w:rPr/>
        <w:t>La propuesta inicial de este trabajo fue la posibilidad de utilizar mejores modelos matemáticos como lo son los dinámicos. Después de profundizar el estado de arte sobre éstos, se encontró que su desarrollo se ha enfocado en conocer los procesos  involucrados en la estructura de la biopelícula y la distribución de las poblaciones que la forman (Wanner </w:t>
      </w:r>
      <w:r>
        <w:rPr>
          <w:i/>
        </w:rPr>
        <w:t>et al</w:t>
      </w:r>
      <w:r>
        <w:rPr/>
        <w:t>., 2006; Van Loosdrecht </w:t>
      </w:r>
      <w:r>
        <w:rPr>
          <w:i/>
        </w:rPr>
        <w:t>et al</w:t>
      </w:r>
      <w:r>
        <w:rPr/>
        <w:t>., 2002; Noguera </w:t>
      </w:r>
      <w:r>
        <w:rPr>
          <w:i/>
        </w:rPr>
        <w:t>et al</w:t>
      </w:r>
      <w:r>
        <w:rPr/>
        <w:t>., 1999; Wanner y Reichert, 1996; Wanner y Gujer, 1986), alejándose del objetivo de modelación de esta investigación, que fue el de conocer el comportamiento de los procesos involucrados en los filtros biológicos de un sistema cerrado de cultivo de trucha arco</w:t>
      </w:r>
      <w:r>
        <w:rPr>
          <w:spacing w:val="-19"/>
        </w:rPr>
        <w:t> </w:t>
      </w:r>
      <w:r>
        <w:rPr/>
        <w:t>iris.</w:t>
      </w:r>
    </w:p>
    <w:p>
      <w:pPr>
        <w:pStyle w:val="BodyText"/>
        <w:spacing w:before="9"/>
        <w:rPr>
          <w:sz w:val="17"/>
        </w:rPr>
      </w:pPr>
    </w:p>
    <w:p>
      <w:pPr>
        <w:pStyle w:val="BodyText"/>
        <w:spacing w:line="360" w:lineRule="auto"/>
        <w:ind w:left="781" w:right="498"/>
        <w:jc w:val="both"/>
      </w:pPr>
      <w:r>
        <w:rPr/>
        <w:t>Por otro lado se han realizado esfuerzos para utilizar modelos dinámicos derivados de el trabajo desarrollado en Holanda para filtros de lodos activados (Fall, 2007), es decir modificando el modelo ASM1 (Plattes </w:t>
      </w:r>
      <w:r>
        <w:rPr>
          <w:i/>
        </w:rPr>
        <w:t>et al</w:t>
      </w:r>
      <w:r>
        <w:rPr/>
        <w:t>., 2008; 2007; 2006) que permitirían dar respuesta al objeto de estudio de la investigación, desafortunadamente los estudios consideran una mezcla completa en el reactor, lo cual no se tiene para el filtro percolador.</w:t>
      </w:r>
    </w:p>
    <w:p>
      <w:pPr>
        <w:pStyle w:val="BodyText"/>
        <w:spacing w:before="9"/>
        <w:rPr>
          <w:sz w:val="17"/>
        </w:rPr>
      </w:pPr>
    </w:p>
    <w:p>
      <w:pPr>
        <w:pStyle w:val="BodyText"/>
        <w:spacing w:line="360" w:lineRule="auto"/>
        <w:ind w:left="781" w:right="498"/>
        <w:jc w:val="both"/>
      </w:pPr>
      <w:r>
        <w:rPr/>
        <w:t>No obstante se estudio la posibilidad de utilizar el modelo modificado reportado por  Plattes </w:t>
      </w:r>
      <w:r>
        <w:rPr>
          <w:i/>
        </w:rPr>
        <w:t>et al</w:t>
      </w:r>
      <w:r>
        <w:rPr/>
        <w:t>. (2008), pero se encontró que las concentraciones de los parámetros necesarios para el modelo que se tienen en un sistema de recirculación acuícola son muy bajas. El intervalo entre una concentración de entrada y de salida es muy reducido, la medias aritméticas de las concentraciones presentan desviaciones estándar grandes  </w:t>
      </w:r>
      <w:r>
        <w:rPr>
          <w:spacing w:val="6"/>
        </w:rPr>
        <w:t> </w:t>
      </w:r>
      <w:r>
        <w:rPr/>
        <w:t>por</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9"/>
        <w:jc w:val="both"/>
      </w:pPr>
      <w:r>
        <w:rPr/>
        <w:t>la naturaleza de los procesos biológicos ocurridos en el SRA, por lo que los intervalos de confianza y el error estándar llegan a confundir los valores medios de las concentraciones del influente y el efluente de las unidades del SRA para el modelo.</w:t>
      </w:r>
    </w:p>
    <w:p>
      <w:pPr>
        <w:pStyle w:val="BodyText"/>
        <w:spacing w:before="9"/>
        <w:rPr>
          <w:sz w:val="17"/>
        </w:rPr>
      </w:pPr>
    </w:p>
    <w:p>
      <w:pPr>
        <w:pStyle w:val="BodyText"/>
        <w:spacing w:line="360" w:lineRule="auto"/>
        <w:ind w:left="781" w:right="498"/>
        <w:jc w:val="both"/>
      </w:pPr>
      <w:r>
        <w:rPr/>
        <w:t>Por lo anterior, no fue posible utilizar los métodos de modelación dinámica o  determinística desarrollados hasta el momento para llegar a conocer como se representan matemáticamente los procesos ocurridos el filtro biológico a partir del comportamiento físico, químico y</w:t>
      </w:r>
      <w:r>
        <w:rPr>
          <w:spacing w:val="-8"/>
        </w:rPr>
        <w:t> </w:t>
      </w:r>
      <w:r>
        <w:rPr/>
        <w:t>biológico.</w:t>
      </w:r>
    </w:p>
    <w:p>
      <w:pPr>
        <w:pStyle w:val="BodyText"/>
        <w:spacing w:before="4"/>
        <w:rPr>
          <w:sz w:val="17"/>
        </w:rPr>
      </w:pPr>
    </w:p>
    <w:p>
      <w:pPr>
        <w:pStyle w:val="Heading5"/>
        <w:numPr>
          <w:ilvl w:val="2"/>
          <w:numId w:val="16"/>
        </w:numPr>
        <w:tabs>
          <w:tab w:pos="1396" w:val="left" w:leader="none"/>
        </w:tabs>
        <w:spacing w:line="240" w:lineRule="auto" w:before="0" w:after="0"/>
        <w:ind w:left="1395" w:right="0" w:hanging="614"/>
        <w:jc w:val="both"/>
      </w:pPr>
      <w:bookmarkStart w:name="_TOC_250022" w:id="152"/>
      <w:bookmarkStart w:name="5.7.1. Biofiltros" w:id="153"/>
      <w:r>
        <w:rPr>
          <w:b w:val="0"/>
        </w:rPr>
      </w:r>
      <w:bookmarkEnd w:id="153"/>
      <w:bookmarkStart w:name="5.7.1. Biofiltros" w:id="154"/>
      <w:r>
        <w:rPr/>
        <w:t>B</w:t>
      </w:r>
      <w:bookmarkEnd w:id="152"/>
      <w:r>
        <w:rPr/>
        <w:t>IOFILTROS</w:t>
      </w:r>
    </w:p>
    <w:p>
      <w:pPr>
        <w:pStyle w:val="BodyText"/>
        <w:spacing w:before="8"/>
        <w:rPr>
          <w:b/>
          <w:sz w:val="28"/>
        </w:rPr>
      </w:pPr>
    </w:p>
    <w:p>
      <w:pPr>
        <w:pStyle w:val="BodyText"/>
        <w:spacing w:line="360" w:lineRule="auto"/>
        <w:ind w:left="781" w:right="498"/>
        <w:jc w:val="both"/>
      </w:pPr>
      <w:r>
        <w:rPr/>
        <w:t>Para el caso de un biofiltro especializado en la nitrificación, se modela la tasa volumétrica de conversión de nitrógeno amoniacal (TVNA) que se define como el incremento diario de nitrógeno amoniacal convertido a nitritos por unidad de volumen (Timmons </w:t>
      </w:r>
      <w:r>
        <w:rPr>
          <w:i/>
        </w:rPr>
        <w:t>et al</w:t>
      </w:r>
      <w:r>
        <w:rPr/>
        <w:t>., 2009). Para la investigación se utilizó al filtro percolador como una unidad especializada en la nitrificación, también se tomó en cuenta al filtro de arena, debido a que se encontró que esta unidad removió un porcentaje importante de nitrógeno amoniacal total.</w:t>
      </w:r>
    </w:p>
    <w:p>
      <w:pPr>
        <w:pStyle w:val="BodyText"/>
        <w:spacing w:before="9"/>
        <w:rPr>
          <w:sz w:val="17"/>
        </w:rPr>
      </w:pPr>
    </w:p>
    <w:p>
      <w:pPr>
        <w:pStyle w:val="BodyText"/>
        <w:spacing w:line="357" w:lineRule="auto"/>
        <w:ind w:left="781" w:right="497"/>
        <w:jc w:val="both"/>
      </w:pPr>
      <w:r>
        <w:rPr/>
        <w:t>Tanto el percolador como el filtro de arena presentaron una dependencia lineal entre la concentración de nitrógeno amoniacal y la TVNA (figura 38 y 39) con una fuerte dependencia R</w:t>
      </w:r>
      <w:r>
        <w:rPr>
          <w:position w:val="10"/>
          <w:sz w:val="13"/>
        </w:rPr>
        <w:t>2 </w:t>
      </w:r>
      <w:r>
        <w:rPr/>
        <w:t>= 0,913, R = 0,956 y R</w:t>
      </w:r>
      <w:r>
        <w:rPr>
          <w:position w:val="10"/>
          <w:sz w:val="13"/>
        </w:rPr>
        <w:t>2 </w:t>
      </w:r>
      <w:r>
        <w:rPr/>
        <w:t>= 0,723, R = 0,851, para el filtro de arena y el percolador respectivamente. El filtro de arena presentó un mayor desempeño que el filtro percolador. La dependencia lineal entre la concentración de nitrógeno amoniacal a bajas concentraciones y la TVNA ha sido concurrente en estudios previos donde se evalúa el desempeño de biofiltros (Guerdat </w:t>
      </w:r>
      <w:r>
        <w:rPr>
          <w:i/>
        </w:rPr>
        <w:t>et al</w:t>
      </w:r>
      <w:r>
        <w:rPr/>
        <w:t>., 2010; Zhu y Chen, 1999; Ester </w:t>
      </w:r>
      <w:r>
        <w:rPr>
          <w:i/>
        </w:rPr>
        <w:t>et al</w:t>
      </w:r>
      <w:r>
        <w:rPr/>
        <w:t>. 1994). Los modelos matemáticos que describen el comportamiento de los biofiltros se expresan con la ecuación 8 para el filtro lento de arena y ecuación 9 para el filtro</w:t>
      </w:r>
      <w:r>
        <w:rPr>
          <w:spacing w:val="-29"/>
        </w:rPr>
        <w:t> </w:t>
      </w:r>
      <w:r>
        <w:rPr/>
        <w:t>percolador.</w:t>
      </w:r>
    </w:p>
    <w:p>
      <w:pPr>
        <w:pStyle w:val="BodyText"/>
        <w:spacing w:before="9"/>
        <w:rPr>
          <w:sz w:val="17"/>
        </w:rPr>
      </w:pPr>
    </w:p>
    <w:p>
      <w:pPr>
        <w:pStyle w:val="BodyText"/>
        <w:tabs>
          <w:tab w:pos="8569" w:val="left" w:leader="none"/>
        </w:tabs>
        <w:ind w:left="781"/>
        <w:jc w:val="both"/>
      </w:pPr>
      <w:r>
        <w:rPr/>
        <w:t>y = 228,45x</w:t>
      </w:r>
      <w:r>
        <w:rPr>
          <w:spacing w:val="-3"/>
        </w:rPr>
        <w:t> </w:t>
      </w:r>
      <w:r>
        <w:rPr/>
        <w:t>+</w:t>
      </w:r>
      <w:r>
        <w:rPr>
          <w:spacing w:val="-2"/>
        </w:rPr>
        <w:t> </w:t>
      </w:r>
      <w:r>
        <w:rPr/>
        <w:t>7,18</w:t>
        <w:tab/>
        <w:t>(8)</w:t>
      </w:r>
    </w:p>
    <w:p>
      <w:pPr>
        <w:pStyle w:val="BodyText"/>
        <w:spacing w:before="2"/>
        <w:rPr>
          <w:sz w:val="24"/>
        </w:rPr>
      </w:pPr>
    </w:p>
    <w:p>
      <w:pPr>
        <w:spacing w:line="206" w:lineRule="exact" w:before="0"/>
        <w:ind w:left="781" w:right="497" w:firstLine="0"/>
        <w:jc w:val="both"/>
        <w:rPr>
          <w:sz w:val="18"/>
        </w:rPr>
      </w:pPr>
      <w:r>
        <w:rPr>
          <w:position w:val="2"/>
          <w:sz w:val="18"/>
        </w:rPr>
        <w:t>Donde: x = Concentración de N-NH</w:t>
      </w:r>
      <w:r>
        <w:rPr>
          <w:sz w:val="12"/>
        </w:rPr>
        <w:t>3 </w:t>
      </w:r>
      <w:r>
        <w:rPr>
          <w:position w:val="2"/>
          <w:sz w:val="18"/>
        </w:rPr>
        <w:t>en el influente en mg/L; y = Tasa volumétrica de conversión de nitrógeno amoniacal (TVNA) en g de N-NH</w:t>
      </w:r>
      <w:r>
        <w:rPr>
          <w:sz w:val="12"/>
        </w:rPr>
        <w:t>3</w:t>
      </w:r>
      <w:r>
        <w:rPr>
          <w:position w:val="2"/>
          <w:sz w:val="18"/>
        </w:rPr>
        <w:t>/L h.</w:t>
      </w:r>
    </w:p>
    <w:p>
      <w:pPr>
        <w:pStyle w:val="BodyText"/>
        <w:rPr>
          <w:sz w:val="20"/>
        </w:rPr>
      </w:pPr>
    </w:p>
    <w:p>
      <w:pPr>
        <w:pStyle w:val="BodyText"/>
        <w:tabs>
          <w:tab w:pos="8569" w:val="left" w:leader="none"/>
        </w:tabs>
        <w:ind w:left="781"/>
        <w:jc w:val="both"/>
      </w:pPr>
      <w:r>
        <w:rPr/>
        <w:t>y =63,083x</w:t>
      </w:r>
      <w:r>
        <w:rPr>
          <w:spacing w:val="-4"/>
        </w:rPr>
        <w:t> </w:t>
      </w:r>
      <w:r>
        <w:rPr/>
        <w:t>– 6,33</w:t>
        <w:tab/>
        <w:t>(9)</w:t>
      </w:r>
    </w:p>
    <w:p>
      <w:pPr>
        <w:pStyle w:val="BodyText"/>
        <w:spacing w:before="2"/>
        <w:rPr>
          <w:sz w:val="24"/>
        </w:rPr>
      </w:pPr>
    </w:p>
    <w:p>
      <w:pPr>
        <w:spacing w:line="206" w:lineRule="exact" w:before="0"/>
        <w:ind w:left="781" w:right="497" w:firstLine="0"/>
        <w:jc w:val="both"/>
        <w:rPr>
          <w:sz w:val="18"/>
        </w:rPr>
      </w:pPr>
      <w:r>
        <w:rPr>
          <w:position w:val="2"/>
          <w:sz w:val="18"/>
        </w:rPr>
        <w:t>Donde: x = Concentración de N-NH</w:t>
      </w:r>
      <w:r>
        <w:rPr>
          <w:sz w:val="12"/>
        </w:rPr>
        <w:t>3 </w:t>
      </w:r>
      <w:r>
        <w:rPr>
          <w:position w:val="2"/>
          <w:sz w:val="18"/>
        </w:rPr>
        <w:t>en el influente en mg/L; y = Tasa volumétrica de conversión de nitrógeno amoniacal (TVNA) en g de N-NH</w:t>
      </w:r>
      <w:r>
        <w:rPr>
          <w:sz w:val="12"/>
        </w:rPr>
        <w:t>3</w:t>
      </w:r>
      <w:r>
        <w:rPr>
          <w:position w:val="2"/>
          <w:sz w:val="18"/>
        </w:rPr>
        <w:t>/L h.</w:t>
      </w:r>
    </w:p>
    <w:p>
      <w:pPr>
        <w:spacing w:after="0" w:line="206" w:lineRule="exact"/>
        <w:jc w:val="both"/>
        <w:rPr>
          <w:sz w:val="18"/>
        </w:rPr>
        <w:sectPr>
          <w:pgSz w:w="12240" w:h="15840"/>
          <w:pgMar w:header="725" w:footer="1084" w:top="1340" w:bottom="1280" w:left="920" w:right="1200"/>
        </w:sectPr>
      </w:pPr>
    </w:p>
    <w:p>
      <w:pPr>
        <w:pStyle w:val="BodyText"/>
        <w:spacing w:before="3"/>
        <w:rPr>
          <w:sz w:val="28"/>
        </w:rPr>
      </w:pPr>
      <w:r>
        <w:rPr/>
        <w:pict>
          <v:shape style="position:absolute;margin-left:121.737862pt;margin-top:168.004501pt;width:9.9pt;height:81.05pt;mso-position-horizontal-relative:page;mso-position-vertical-relative:page;z-index:8344" type="#_x0000_t202" filled="false" stroked="false">
            <v:textbox inset="0,0,0,0" style="layout-flow:vertical;mso-layout-flow-alt:bottom-to-top">
              <w:txbxContent>
                <w:p>
                  <w:pPr>
                    <w:spacing w:before="7"/>
                    <w:ind w:left="20" w:right="0" w:firstLine="0"/>
                    <w:jc w:val="left"/>
                    <w:rPr>
                      <w:sz w:val="15"/>
                    </w:rPr>
                  </w:pPr>
                  <w:r>
                    <w:rPr>
                      <w:spacing w:val="-1"/>
                      <w:w w:val="105"/>
                      <w:sz w:val="15"/>
                    </w:rPr>
                    <w:t>T</w:t>
                  </w:r>
                  <w:r>
                    <w:rPr>
                      <w:w w:val="105"/>
                      <w:sz w:val="15"/>
                    </w:rPr>
                    <w:t>V</w:t>
                  </w:r>
                  <w:r>
                    <w:rPr>
                      <w:spacing w:val="1"/>
                      <w:w w:val="105"/>
                      <w:sz w:val="15"/>
                    </w:rPr>
                    <w:t>N</w:t>
                  </w:r>
                  <w:r>
                    <w:rPr>
                      <w:w w:val="105"/>
                      <w:sz w:val="15"/>
                    </w:rPr>
                    <w:t>A</w:t>
                  </w:r>
                  <w:r>
                    <w:rPr>
                      <w:spacing w:val="2"/>
                      <w:sz w:val="15"/>
                    </w:rPr>
                    <w:t> </w:t>
                  </w:r>
                  <w:r>
                    <w:rPr>
                      <w:w w:val="105"/>
                      <w:sz w:val="15"/>
                    </w:rPr>
                    <w:t>(g</w:t>
                  </w:r>
                  <w:r>
                    <w:rPr>
                      <w:sz w:val="15"/>
                    </w:rPr>
                    <w:t> </w:t>
                  </w:r>
                  <w:r>
                    <w:rPr>
                      <w:spacing w:val="1"/>
                      <w:w w:val="105"/>
                      <w:sz w:val="15"/>
                    </w:rPr>
                    <w:t>N</w:t>
                  </w:r>
                  <w:r>
                    <w:rPr>
                      <w:w w:val="105"/>
                      <w:sz w:val="15"/>
                    </w:rPr>
                    <w:t>-</w:t>
                  </w:r>
                  <w:r>
                    <w:rPr>
                      <w:spacing w:val="1"/>
                      <w:w w:val="105"/>
                      <w:sz w:val="15"/>
                    </w:rPr>
                    <w:t>NH</w:t>
                  </w:r>
                  <w:r>
                    <w:rPr>
                      <w:spacing w:val="-2"/>
                      <w:w w:val="105"/>
                      <w:sz w:val="15"/>
                    </w:rPr>
                    <w:t>3</w:t>
                  </w:r>
                  <w:r>
                    <w:rPr>
                      <w:spacing w:val="-1"/>
                      <w:w w:val="105"/>
                      <w:sz w:val="15"/>
                    </w:rPr>
                    <w:t>/</w:t>
                  </w:r>
                  <w:r>
                    <w:rPr>
                      <w:w w:val="105"/>
                      <w:sz w:val="15"/>
                    </w:rPr>
                    <w:t>m3</w:t>
                  </w:r>
                  <w:r>
                    <w:rPr>
                      <w:spacing w:val="2"/>
                      <w:sz w:val="15"/>
                    </w:rPr>
                    <w:t> </w:t>
                  </w:r>
                  <w:r>
                    <w:rPr>
                      <w:spacing w:val="1"/>
                      <w:w w:val="105"/>
                      <w:sz w:val="15"/>
                    </w:rPr>
                    <w:t>d</w:t>
                  </w:r>
                  <w:r>
                    <w:rPr>
                      <w:w w:val="105"/>
                      <w:sz w:val="15"/>
                    </w:rPr>
                    <w:t>)</w:t>
                  </w:r>
                </w:p>
              </w:txbxContent>
            </v:textbox>
            <w10:wrap type="none"/>
          </v:shape>
        </w:pict>
      </w:r>
    </w:p>
    <w:p>
      <w:pPr>
        <w:tabs>
          <w:tab w:pos="2550" w:val="left" w:leader="none"/>
        </w:tabs>
        <w:spacing w:line="240" w:lineRule="auto"/>
        <w:ind w:left="1792" w:right="0" w:firstLine="0"/>
        <w:rPr>
          <w:sz w:val="20"/>
        </w:rPr>
      </w:pPr>
      <w:r>
        <w:rPr>
          <w:position w:val="9"/>
          <w:sz w:val="20"/>
        </w:rPr>
        <w:pict>
          <v:shape style="width:13.2pt;height:32pt;mso-position-horizontal-relative:char;mso-position-vertical-relative:line" type="#_x0000_t202" filled="false" stroked="false">
            <w10:anchorlock/>
            <v:textbox inset="0,0,0,0">
              <w:txbxContent>
                <w:p>
                  <w:pPr>
                    <w:spacing w:line="159" w:lineRule="exact" w:before="0"/>
                    <w:ind w:left="0" w:right="-19" w:firstLine="0"/>
                    <w:jc w:val="left"/>
                    <w:rPr>
                      <w:sz w:val="15"/>
                    </w:rPr>
                  </w:pPr>
                  <w:r>
                    <w:rPr>
                      <w:w w:val="105"/>
                      <w:sz w:val="15"/>
                    </w:rPr>
                    <w:t>220</w:t>
                  </w:r>
                </w:p>
                <w:p>
                  <w:pPr>
                    <w:pStyle w:val="BodyText"/>
                    <w:rPr>
                      <w:sz w:val="16"/>
                    </w:rPr>
                  </w:pPr>
                </w:p>
                <w:p>
                  <w:pPr>
                    <w:spacing w:line="171" w:lineRule="exact" w:before="126"/>
                    <w:ind w:left="0" w:right="-19" w:firstLine="0"/>
                    <w:jc w:val="left"/>
                    <w:rPr>
                      <w:sz w:val="15"/>
                    </w:rPr>
                  </w:pPr>
                  <w:r>
                    <w:rPr>
                      <w:w w:val="105"/>
                      <w:sz w:val="15"/>
                    </w:rPr>
                    <w:t>200</w:t>
                  </w:r>
                </w:p>
              </w:txbxContent>
            </v:textbox>
          </v:shape>
        </w:pict>
      </w:r>
      <w:r>
        <w:rPr>
          <w:position w:val="9"/>
          <w:sz w:val="20"/>
        </w:rPr>
      </w:r>
      <w:r>
        <w:rPr>
          <w:position w:val="9"/>
          <w:sz w:val="20"/>
        </w:rPr>
        <w:tab/>
      </w:r>
      <w:r>
        <w:rPr>
          <w:sz w:val="20"/>
        </w:rPr>
        <w:pict>
          <v:shape style="width:74.650pt;height:19.1pt;mso-position-horizontal-relative:char;mso-position-vertical-relative:line" type="#_x0000_t202" filled="false" stroked="false">
            <w10:anchorlock/>
            <v:textbox inset="0,0,0,0">
              <w:txbxContent>
                <w:p>
                  <w:pPr>
                    <w:spacing w:line="194" w:lineRule="auto" w:before="9"/>
                    <w:ind w:left="0" w:right="-19" w:firstLine="0"/>
                    <w:jc w:val="left"/>
                    <w:rPr>
                      <w:sz w:val="18"/>
                    </w:rPr>
                  </w:pPr>
                  <w:r>
                    <w:rPr>
                      <w:sz w:val="18"/>
                    </w:rPr>
                    <w:t>y = 228,45x + 7,18 R</w:t>
                  </w:r>
                  <w:r>
                    <w:rPr>
                      <w:position w:val="9"/>
                      <w:sz w:val="12"/>
                    </w:rPr>
                    <w:t>2 </w:t>
                  </w:r>
                  <w:r>
                    <w:rPr>
                      <w:sz w:val="18"/>
                    </w:rPr>
                    <w:t>= 0,913</w:t>
                  </w:r>
                </w:p>
              </w:txbxContent>
            </v:textbox>
          </v:shape>
        </w:pict>
      </w:r>
      <w:r>
        <w:rPr>
          <w:sz w:val="20"/>
        </w:rPr>
      </w:r>
    </w:p>
    <w:p>
      <w:pPr>
        <w:pStyle w:val="BodyText"/>
        <w:spacing w:before="7"/>
        <w:rPr>
          <w:sz w:val="18"/>
        </w:rPr>
      </w:pPr>
      <w:r>
        <w:rPr/>
        <w:pict>
          <v:shape style="position:absolute;margin-left:135.600418pt;margin-top:11.94pt;width:22.65pt;height:209.25pt;mso-position-horizontal-relative:page;mso-position-vertical-relative:paragraph;z-index:8032;mso-wrap-distance-left:0;mso-wrap-distance-right:0" type="#_x0000_t202" filled="false" stroked="false">
            <v:textbox inset="0,0,0,0">
              <w:txbxContent>
                <w:p>
                  <w:pPr>
                    <w:spacing w:line="159" w:lineRule="exact" w:before="0"/>
                    <w:ind w:left="0" w:right="-18" w:firstLine="0"/>
                    <w:jc w:val="left"/>
                    <w:rPr>
                      <w:sz w:val="15"/>
                    </w:rPr>
                  </w:pPr>
                  <w:r>
                    <w:rPr>
                      <w:w w:val="105"/>
                      <w:sz w:val="15"/>
                    </w:rPr>
                    <w:t>180</w:t>
                  </w:r>
                </w:p>
                <w:p>
                  <w:pPr>
                    <w:pStyle w:val="BodyText"/>
                    <w:rPr>
                      <w:sz w:val="16"/>
                    </w:rPr>
                  </w:pPr>
                </w:p>
                <w:p>
                  <w:pPr>
                    <w:spacing w:before="126"/>
                    <w:ind w:left="0" w:right="-18" w:firstLine="0"/>
                    <w:jc w:val="left"/>
                    <w:rPr>
                      <w:sz w:val="15"/>
                    </w:rPr>
                  </w:pPr>
                  <w:r>
                    <w:rPr>
                      <w:w w:val="105"/>
                      <w:sz w:val="15"/>
                    </w:rPr>
                    <w:t>160</w:t>
                  </w:r>
                </w:p>
                <w:p>
                  <w:pPr>
                    <w:pStyle w:val="BodyText"/>
                    <w:rPr>
                      <w:sz w:val="16"/>
                    </w:rPr>
                  </w:pPr>
                </w:p>
                <w:p>
                  <w:pPr>
                    <w:spacing w:before="128"/>
                    <w:ind w:left="0" w:right="-18" w:firstLine="0"/>
                    <w:jc w:val="left"/>
                    <w:rPr>
                      <w:sz w:val="15"/>
                    </w:rPr>
                  </w:pPr>
                  <w:r>
                    <w:rPr>
                      <w:w w:val="105"/>
                      <w:sz w:val="15"/>
                    </w:rPr>
                    <w:t>140</w:t>
                  </w:r>
                </w:p>
                <w:p>
                  <w:pPr>
                    <w:pStyle w:val="BodyText"/>
                    <w:rPr>
                      <w:sz w:val="16"/>
                    </w:rPr>
                  </w:pPr>
                </w:p>
                <w:p>
                  <w:pPr>
                    <w:spacing w:before="126"/>
                    <w:ind w:left="0" w:right="-18" w:firstLine="0"/>
                    <w:jc w:val="left"/>
                    <w:rPr>
                      <w:sz w:val="15"/>
                    </w:rPr>
                  </w:pPr>
                  <w:r>
                    <w:rPr>
                      <w:w w:val="105"/>
                      <w:sz w:val="15"/>
                    </w:rPr>
                    <w:t>120</w:t>
                  </w:r>
                </w:p>
                <w:p>
                  <w:pPr>
                    <w:pStyle w:val="BodyText"/>
                    <w:rPr>
                      <w:sz w:val="16"/>
                    </w:rPr>
                  </w:pPr>
                </w:p>
                <w:p>
                  <w:pPr>
                    <w:spacing w:before="126"/>
                    <w:ind w:left="0" w:right="-18" w:firstLine="0"/>
                    <w:jc w:val="left"/>
                    <w:rPr>
                      <w:sz w:val="15"/>
                    </w:rPr>
                  </w:pPr>
                  <w:r>
                    <w:rPr>
                      <w:w w:val="105"/>
                      <w:sz w:val="15"/>
                    </w:rPr>
                    <w:t>100</w:t>
                  </w:r>
                </w:p>
                <w:p>
                  <w:pPr>
                    <w:pStyle w:val="BodyText"/>
                    <w:rPr>
                      <w:sz w:val="16"/>
                    </w:rPr>
                  </w:pPr>
                </w:p>
                <w:p>
                  <w:pPr>
                    <w:spacing w:before="126"/>
                    <w:ind w:left="88" w:right="-18" w:firstLine="0"/>
                    <w:jc w:val="left"/>
                    <w:rPr>
                      <w:sz w:val="15"/>
                    </w:rPr>
                  </w:pPr>
                  <w:r>
                    <w:rPr>
                      <w:w w:val="105"/>
                      <w:sz w:val="15"/>
                    </w:rPr>
                    <w:t>80</w:t>
                  </w:r>
                </w:p>
                <w:p>
                  <w:pPr>
                    <w:pStyle w:val="BodyText"/>
                    <w:rPr>
                      <w:sz w:val="16"/>
                    </w:rPr>
                  </w:pPr>
                </w:p>
                <w:p>
                  <w:pPr>
                    <w:spacing w:before="126"/>
                    <w:ind w:left="88" w:right="-18" w:firstLine="0"/>
                    <w:jc w:val="left"/>
                    <w:rPr>
                      <w:sz w:val="15"/>
                    </w:rPr>
                  </w:pPr>
                  <w:r>
                    <w:rPr>
                      <w:w w:val="105"/>
                      <w:sz w:val="15"/>
                    </w:rPr>
                    <w:t>60</w:t>
                  </w:r>
                </w:p>
                <w:p>
                  <w:pPr>
                    <w:pStyle w:val="BodyText"/>
                    <w:rPr>
                      <w:sz w:val="16"/>
                    </w:rPr>
                  </w:pPr>
                </w:p>
                <w:p>
                  <w:pPr>
                    <w:spacing w:before="126"/>
                    <w:ind w:left="88" w:right="-18" w:firstLine="0"/>
                    <w:jc w:val="left"/>
                    <w:rPr>
                      <w:sz w:val="15"/>
                    </w:rPr>
                  </w:pPr>
                  <w:r>
                    <w:rPr>
                      <w:w w:val="105"/>
                      <w:sz w:val="15"/>
                    </w:rPr>
                    <w:t>40</w:t>
                  </w:r>
                </w:p>
                <w:p>
                  <w:pPr>
                    <w:pStyle w:val="BodyText"/>
                    <w:rPr>
                      <w:sz w:val="16"/>
                    </w:rPr>
                  </w:pPr>
                </w:p>
                <w:p>
                  <w:pPr>
                    <w:spacing w:line="170" w:lineRule="exact" w:before="123"/>
                    <w:ind w:left="88" w:right="-18" w:firstLine="0"/>
                    <w:jc w:val="left"/>
                    <w:rPr>
                      <w:sz w:val="15"/>
                    </w:rPr>
                  </w:pPr>
                  <w:r>
                    <w:rPr>
                      <w:w w:val="105"/>
                      <w:sz w:val="15"/>
                    </w:rPr>
                    <w:t>20</w:t>
                  </w:r>
                </w:p>
                <w:p>
                  <w:pPr>
                    <w:spacing w:line="168" w:lineRule="exact" w:before="0"/>
                    <w:ind w:left="235" w:right="-18" w:firstLine="0"/>
                    <w:jc w:val="left"/>
                    <w:rPr>
                      <w:sz w:val="15"/>
                    </w:rPr>
                  </w:pPr>
                  <w:r>
                    <w:rPr>
                      <w:spacing w:val="-1"/>
                      <w:w w:val="105"/>
                      <w:sz w:val="15"/>
                    </w:rPr>
                    <w:t>0.1</w:t>
                  </w:r>
                </w:p>
              </w:txbxContent>
            </v:textbox>
            <w10:wrap type="topAndBottom"/>
          </v:shape>
        </w:pict>
      </w:r>
      <w:r>
        <w:rPr/>
        <w:pict>
          <v:shape style="position:absolute;margin-left:183.961319pt;margin-top:213.300003pt;width:11pt;height:7.9pt;mso-position-horizontal-relative:page;mso-position-vertical-relative:paragraph;z-index:8056;mso-wrap-distance-left:0;mso-wrap-distance-right:0" type="#_x0000_t202" filled="false" stroked="false">
            <v:textbox inset="0,0,0,0">
              <w:txbxContent>
                <w:p>
                  <w:pPr>
                    <w:spacing w:line="158" w:lineRule="exact" w:before="0"/>
                    <w:ind w:left="0" w:right="-19" w:firstLine="0"/>
                    <w:jc w:val="left"/>
                    <w:rPr>
                      <w:sz w:val="15"/>
                    </w:rPr>
                  </w:pPr>
                  <w:r>
                    <w:rPr>
                      <w:w w:val="105"/>
                      <w:sz w:val="15"/>
                    </w:rPr>
                    <w:t>0.2</w:t>
                  </w:r>
                </w:p>
              </w:txbxContent>
            </v:textbox>
            <w10:wrap type="topAndBottom"/>
          </v:shape>
        </w:pict>
      </w:r>
      <w:r>
        <w:rPr/>
        <w:pict>
          <v:shape style="position:absolute;margin-left:220.68129pt;margin-top:213.300003pt;width:11pt;height:7.9pt;mso-position-horizontal-relative:page;mso-position-vertical-relative:paragraph;z-index:8080;mso-wrap-distance-left:0;mso-wrap-distance-right:0" type="#_x0000_t202" filled="false" stroked="false">
            <v:textbox inset="0,0,0,0">
              <w:txbxContent>
                <w:p>
                  <w:pPr>
                    <w:spacing w:line="158" w:lineRule="exact" w:before="0"/>
                    <w:ind w:left="0" w:right="-19" w:firstLine="0"/>
                    <w:jc w:val="left"/>
                    <w:rPr>
                      <w:sz w:val="15"/>
                    </w:rPr>
                  </w:pPr>
                  <w:r>
                    <w:rPr>
                      <w:w w:val="105"/>
                      <w:sz w:val="15"/>
                    </w:rPr>
                    <w:t>0.3</w:t>
                  </w:r>
                </w:p>
              </w:txbxContent>
            </v:textbox>
            <w10:wrap type="topAndBottom"/>
          </v:shape>
        </w:pict>
      </w:r>
      <w:r>
        <w:rPr/>
        <w:pict>
          <v:shape style="position:absolute;margin-left:257.401245pt;margin-top:213.300003pt;width:11pt;height:7.9pt;mso-position-horizontal-relative:page;mso-position-vertical-relative:paragraph;z-index:8104;mso-wrap-distance-left:0;mso-wrap-distance-right:0" type="#_x0000_t202" filled="false" stroked="false">
            <v:textbox inset="0,0,0,0">
              <w:txbxContent>
                <w:p>
                  <w:pPr>
                    <w:spacing w:line="158" w:lineRule="exact" w:before="0"/>
                    <w:ind w:left="0" w:right="-19" w:firstLine="0"/>
                    <w:jc w:val="left"/>
                    <w:rPr>
                      <w:sz w:val="15"/>
                    </w:rPr>
                  </w:pPr>
                  <w:r>
                    <w:rPr>
                      <w:w w:val="105"/>
                      <w:sz w:val="15"/>
                    </w:rPr>
                    <w:t>0.4</w:t>
                  </w:r>
                </w:p>
              </w:txbxContent>
            </v:textbox>
            <w10:wrap type="topAndBottom"/>
          </v:shape>
        </w:pict>
      </w:r>
      <w:r>
        <w:rPr/>
        <w:pict>
          <v:shape style="position:absolute;margin-left:294.121216pt;margin-top:213.300003pt;width:11pt;height:7.9pt;mso-position-horizontal-relative:page;mso-position-vertical-relative:paragraph;z-index:8128;mso-wrap-distance-left:0;mso-wrap-distance-right:0" type="#_x0000_t202" filled="false" stroked="false">
            <v:textbox inset="0,0,0,0">
              <w:txbxContent>
                <w:p>
                  <w:pPr>
                    <w:spacing w:line="158" w:lineRule="exact" w:before="0"/>
                    <w:ind w:left="0" w:right="-19" w:firstLine="0"/>
                    <w:jc w:val="left"/>
                    <w:rPr>
                      <w:sz w:val="15"/>
                    </w:rPr>
                  </w:pPr>
                  <w:r>
                    <w:rPr>
                      <w:w w:val="105"/>
                      <w:sz w:val="15"/>
                    </w:rPr>
                    <w:t>0.5</w:t>
                  </w:r>
                </w:p>
              </w:txbxContent>
            </v:textbox>
            <w10:wrap type="topAndBottom"/>
          </v:shape>
        </w:pict>
      </w:r>
      <w:r>
        <w:rPr/>
        <w:pict>
          <v:shape style="position:absolute;margin-left:330.841187pt;margin-top:213.300003pt;width:11pt;height:7.9pt;mso-position-horizontal-relative:page;mso-position-vertical-relative:paragraph;z-index:8152;mso-wrap-distance-left:0;mso-wrap-distance-right:0" type="#_x0000_t202" filled="false" stroked="false">
            <v:textbox inset="0,0,0,0">
              <w:txbxContent>
                <w:p>
                  <w:pPr>
                    <w:spacing w:line="158" w:lineRule="exact" w:before="0"/>
                    <w:ind w:left="0" w:right="-19" w:firstLine="0"/>
                    <w:jc w:val="left"/>
                    <w:rPr>
                      <w:sz w:val="15"/>
                    </w:rPr>
                  </w:pPr>
                  <w:r>
                    <w:rPr>
                      <w:w w:val="105"/>
                      <w:sz w:val="15"/>
                    </w:rPr>
                    <w:t>0.6</w:t>
                  </w:r>
                </w:p>
              </w:txbxContent>
            </v:textbox>
            <w10:wrap type="topAndBottom"/>
          </v:shape>
        </w:pict>
      </w:r>
      <w:r>
        <w:rPr/>
        <w:pict>
          <v:shape style="position:absolute;margin-left:367.561157pt;margin-top:213.300003pt;width:10.9pt;height:7.9pt;mso-position-horizontal-relative:page;mso-position-vertical-relative:paragraph;z-index:8176;mso-wrap-distance-left:0;mso-wrap-distance-right:0" type="#_x0000_t202" filled="false" stroked="false">
            <v:textbox inset="0,0,0,0">
              <w:txbxContent>
                <w:p>
                  <w:pPr>
                    <w:spacing w:line="158" w:lineRule="exact" w:before="0"/>
                    <w:ind w:left="0" w:right="-18" w:firstLine="0"/>
                    <w:jc w:val="left"/>
                    <w:rPr>
                      <w:sz w:val="15"/>
                    </w:rPr>
                  </w:pPr>
                  <w:r>
                    <w:rPr>
                      <w:spacing w:val="-1"/>
                      <w:w w:val="105"/>
                      <w:sz w:val="15"/>
                    </w:rPr>
                    <w:t>0.7</w:t>
                  </w:r>
                </w:p>
              </w:txbxContent>
            </v:textbox>
            <w10:wrap type="topAndBottom"/>
          </v:shape>
        </w:pict>
      </w:r>
      <w:r>
        <w:rPr/>
        <w:pict>
          <v:shape style="position:absolute;margin-left:404.281128pt;margin-top:213.300003pt;width:11pt;height:7.9pt;mso-position-horizontal-relative:page;mso-position-vertical-relative:paragraph;z-index:8200;mso-wrap-distance-left:0;mso-wrap-distance-right:0" type="#_x0000_t202" filled="false" stroked="false">
            <v:textbox inset="0,0,0,0">
              <w:txbxContent>
                <w:p>
                  <w:pPr>
                    <w:spacing w:line="158" w:lineRule="exact" w:before="0"/>
                    <w:ind w:left="0" w:right="-19" w:firstLine="0"/>
                    <w:jc w:val="left"/>
                    <w:rPr>
                      <w:sz w:val="15"/>
                    </w:rPr>
                  </w:pPr>
                  <w:r>
                    <w:rPr>
                      <w:w w:val="105"/>
                      <w:sz w:val="15"/>
                    </w:rPr>
                    <w:t>0.8</w:t>
                  </w:r>
                </w:p>
              </w:txbxContent>
            </v:textbox>
            <w10:wrap type="topAndBottom"/>
          </v:shape>
        </w:pict>
      </w:r>
      <w:r>
        <w:rPr/>
        <w:pict>
          <v:shape style="position:absolute;margin-left:440.882538pt;margin-top:213.300003pt;width:11pt;height:7.9pt;mso-position-horizontal-relative:page;mso-position-vertical-relative:paragraph;z-index:8224;mso-wrap-distance-left:0;mso-wrap-distance-right:0" type="#_x0000_t202" filled="false" stroked="false">
            <v:textbox inset="0,0,0,0">
              <w:txbxContent>
                <w:p>
                  <w:pPr>
                    <w:spacing w:line="158" w:lineRule="exact" w:before="0"/>
                    <w:ind w:left="0" w:right="-19" w:firstLine="0"/>
                    <w:jc w:val="left"/>
                    <w:rPr>
                      <w:sz w:val="15"/>
                    </w:rPr>
                  </w:pPr>
                  <w:r>
                    <w:rPr>
                      <w:w w:val="105"/>
                      <w:sz w:val="15"/>
                    </w:rPr>
                    <w:t>0.9</w:t>
                  </w:r>
                </w:p>
              </w:txbxContent>
            </v:textbox>
            <w10:wrap type="topAndBottom"/>
          </v:shape>
        </w:pict>
      </w:r>
      <w:r>
        <w:rPr/>
        <w:pict>
          <v:shape style="position:absolute;margin-left:477.602509pt;margin-top:213.300003pt;width:11pt;height:7.9pt;mso-position-horizontal-relative:page;mso-position-vertical-relative:paragraph;z-index:8248;mso-wrap-distance-left:0;mso-wrap-distance-right:0" type="#_x0000_t202" filled="false" stroked="false">
            <v:textbox inset="0,0,0,0">
              <w:txbxContent>
                <w:p>
                  <w:pPr>
                    <w:spacing w:line="158" w:lineRule="exact" w:before="0"/>
                    <w:ind w:left="0" w:right="-19" w:firstLine="0"/>
                    <w:jc w:val="left"/>
                    <w:rPr>
                      <w:sz w:val="15"/>
                    </w:rPr>
                  </w:pPr>
                  <w:r>
                    <w:rPr>
                      <w:w w:val="105"/>
                      <w:sz w:val="15"/>
                    </w:rPr>
                    <w:t>1.0</w:t>
                  </w:r>
                </w:p>
              </w:txbxContent>
            </v:textbox>
            <w10:wrap type="topAndBottom"/>
          </v:shape>
        </w:pict>
      </w:r>
      <w:r>
        <w:rPr/>
        <w:pict>
          <v:shape style="position:absolute;margin-left:264.239899pt;margin-top:226.740005pt;width:107.4pt;height:7.9pt;mso-position-horizontal-relative:page;mso-position-vertical-relative:paragraph;z-index:8272;mso-wrap-distance-left:0;mso-wrap-distance-right:0" type="#_x0000_t202" filled="false" stroked="false">
            <v:textbox inset="0,0,0,0">
              <w:txbxContent>
                <w:p>
                  <w:pPr>
                    <w:spacing w:line="158" w:lineRule="exact" w:before="0"/>
                    <w:ind w:left="0" w:right="-8" w:firstLine="0"/>
                    <w:jc w:val="left"/>
                    <w:rPr>
                      <w:sz w:val="15"/>
                    </w:rPr>
                  </w:pPr>
                  <w:r>
                    <w:rPr>
                      <w:w w:val="105"/>
                      <w:sz w:val="15"/>
                    </w:rPr>
                    <w:t>N.NH3 influente (g N-NH3/m3)</w:t>
                  </w:r>
                </w:p>
              </w:txbxContent>
            </v:textbox>
            <w10:wrap type="topAndBottom"/>
          </v:shape>
        </w:pict>
      </w:r>
    </w:p>
    <w:p>
      <w:pPr>
        <w:pStyle w:val="BodyText"/>
        <w:spacing w:before="3"/>
        <w:rPr>
          <w:sz w:val="6"/>
        </w:rPr>
      </w:pPr>
    </w:p>
    <w:p>
      <w:pPr>
        <w:pStyle w:val="BodyText"/>
        <w:spacing w:before="3"/>
        <w:rPr>
          <w:sz w:val="8"/>
        </w:rPr>
      </w:pPr>
    </w:p>
    <w:p>
      <w:pPr>
        <w:spacing w:before="77"/>
        <w:ind w:left="2048" w:right="1802" w:hanging="1153"/>
        <w:jc w:val="left"/>
        <w:rPr>
          <w:b/>
          <w:sz w:val="18"/>
        </w:rPr>
      </w:pPr>
      <w:r>
        <w:rPr/>
        <w:drawing>
          <wp:anchor distT="0" distB="0" distL="0" distR="0" allowOverlap="1" layoutInCell="1" locked="0" behindDoc="1" simplePos="0" relativeHeight="266911943">
            <wp:simplePos x="0" y="0"/>
            <wp:positionH relativeFrom="page">
              <wp:posOffset>1501926</wp:posOffset>
            </wp:positionH>
            <wp:positionV relativeFrom="paragraph">
              <wp:posOffset>-3608913</wp:posOffset>
            </wp:positionV>
            <wp:extent cx="4765817" cy="3586162"/>
            <wp:effectExtent l="0" t="0" r="0" b="0"/>
            <wp:wrapNone/>
            <wp:docPr id="49" name="image71.png" descr=""/>
            <wp:cNvGraphicFramePr>
              <a:graphicFrameLocks noChangeAspect="1"/>
            </wp:cNvGraphicFramePr>
            <a:graphic>
              <a:graphicData uri="http://schemas.openxmlformats.org/drawingml/2006/picture">
                <pic:pic>
                  <pic:nvPicPr>
                    <pic:cNvPr id="50" name="image71.png"/>
                    <pic:cNvPicPr/>
                  </pic:nvPicPr>
                  <pic:blipFill>
                    <a:blip r:embed="rId79" cstate="print"/>
                    <a:stretch>
                      <a:fillRect/>
                    </a:stretch>
                  </pic:blipFill>
                  <pic:spPr>
                    <a:xfrm>
                      <a:off x="0" y="0"/>
                      <a:ext cx="4765817" cy="3586162"/>
                    </a:xfrm>
                    <a:prstGeom prst="rect">
                      <a:avLst/>
                    </a:prstGeom>
                  </pic:spPr>
                </pic:pic>
              </a:graphicData>
            </a:graphic>
          </wp:anchor>
        </w:drawing>
      </w:r>
      <w:r>
        <w:rPr>
          <w:b/>
          <w:sz w:val="18"/>
        </w:rPr>
        <w:t>Figura 38. Efecto de la concentración de nitrógeno amoniacal en el influente y la tasa volumétrica de conversión de nitrógeno amoniacal total (TVNA) en el filtro lento de arena</w:t>
      </w:r>
    </w:p>
    <w:p>
      <w:pPr>
        <w:pStyle w:val="BodyText"/>
        <w:rPr>
          <w:b/>
        </w:rPr>
      </w:pPr>
    </w:p>
    <w:p>
      <w:pPr>
        <w:spacing w:before="84"/>
        <w:ind w:left="1866" w:right="1562" w:firstLine="0"/>
        <w:jc w:val="left"/>
        <w:rPr>
          <w:sz w:val="16"/>
        </w:rPr>
      </w:pPr>
      <w:r>
        <w:rPr/>
        <w:drawing>
          <wp:anchor distT="0" distB="0" distL="0" distR="0" allowOverlap="1" layoutInCell="1" locked="0" behindDoc="1" simplePos="0" relativeHeight="266911967">
            <wp:simplePos x="0" y="0"/>
            <wp:positionH relativeFrom="page">
              <wp:posOffset>1516218</wp:posOffset>
            </wp:positionH>
            <wp:positionV relativeFrom="paragraph">
              <wp:posOffset>-35922</wp:posOffset>
            </wp:positionV>
            <wp:extent cx="4727763" cy="3581716"/>
            <wp:effectExtent l="0" t="0" r="0" b="0"/>
            <wp:wrapNone/>
            <wp:docPr id="51" name="image72.png" descr=""/>
            <wp:cNvGraphicFramePr>
              <a:graphicFrameLocks noChangeAspect="1"/>
            </wp:cNvGraphicFramePr>
            <a:graphic>
              <a:graphicData uri="http://schemas.openxmlformats.org/drawingml/2006/picture">
                <pic:pic>
                  <pic:nvPicPr>
                    <pic:cNvPr id="52" name="image72.png"/>
                    <pic:cNvPicPr/>
                  </pic:nvPicPr>
                  <pic:blipFill>
                    <a:blip r:embed="rId80" cstate="print"/>
                    <a:stretch>
                      <a:fillRect/>
                    </a:stretch>
                  </pic:blipFill>
                  <pic:spPr>
                    <a:xfrm>
                      <a:off x="0" y="0"/>
                      <a:ext cx="4727763" cy="3581716"/>
                    </a:xfrm>
                    <a:prstGeom prst="rect">
                      <a:avLst/>
                    </a:prstGeom>
                  </pic:spPr>
                </pic:pic>
              </a:graphicData>
            </a:graphic>
          </wp:anchor>
        </w:drawing>
      </w:r>
      <w:r>
        <w:rPr>
          <w:w w:val="105"/>
          <w:sz w:val="16"/>
        </w:rPr>
        <w:t>100</w:t>
      </w:r>
    </w:p>
    <w:p>
      <w:pPr>
        <w:pStyle w:val="BodyText"/>
        <w:spacing w:before="5"/>
        <w:rPr>
          <w:sz w:val="9"/>
        </w:rPr>
      </w:pPr>
    </w:p>
    <w:p>
      <w:pPr>
        <w:spacing w:line="206" w:lineRule="exact" w:before="81"/>
        <w:ind w:left="2538" w:right="7316" w:firstLine="0"/>
        <w:jc w:val="left"/>
        <w:rPr>
          <w:sz w:val="18"/>
        </w:rPr>
      </w:pPr>
      <w:r>
        <w:rPr>
          <w:sz w:val="18"/>
        </w:rPr>
        <w:t>y = 63,083x - 6,33 R</w:t>
      </w:r>
      <w:r>
        <w:rPr>
          <w:position w:val="9"/>
          <w:sz w:val="12"/>
        </w:rPr>
        <w:t>2 </w:t>
      </w:r>
      <w:r>
        <w:rPr>
          <w:sz w:val="18"/>
        </w:rPr>
        <w:t>= 0,723</w:t>
      </w:r>
    </w:p>
    <w:p>
      <w:pPr>
        <w:spacing w:before="3"/>
        <w:ind w:left="1955" w:right="1562" w:firstLine="0"/>
        <w:jc w:val="left"/>
        <w:rPr>
          <w:sz w:val="16"/>
        </w:rPr>
      </w:pPr>
      <w:r>
        <w:rPr>
          <w:w w:val="105"/>
          <w:sz w:val="16"/>
        </w:rPr>
        <w:t>80</w:t>
      </w:r>
    </w:p>
    <w:p>
      <w:pPr>
        <w:pStyle w:val="BodyText"/>
        <w:rPr>
          <w:sz w:val="20"/>
        </w:rPr>
      </w:pPr>
    </w:p>
    <w:p>
      <w:pPr>
        <w:pStyle w:val="BodyText"/>
        <w:spacing w:before="2"/>
        <w:rPr>
          <w:sz w:val="25"/>
        </w:rPr>
      </w:pPr>
    </w:p>
    <w:p>
      <w:pPr>
        <w:spacing w:before="83"/>
        <w:ind w:left="1955" w:right="1562" w:firstLine="0"/>
        <w:jc w:val="left"/>
        <w:rPr>
          <w:sz w:val="16"/>
        </w:rPr>
      </w:pPr>
      <w:r>
        <w:rPr/>
        <w:pict>
          <v:shape style="position:absolute;margin-left:124.80291pt;margin-top:6.960697pt;width:10.25pt;height:84.1pt;mso-position-horizontal-relative:page;mso-position-vertical-relative:paragraph;z-index:8368" type="#_x0000_t202" filled="false" stroked="false">
            <v:textbox inset="0,0,0,0" style="layout-flow:vertical;mso-layout-flow-alt:bottom-to-top">
              <w:txbxContent>
                <w:p>
                  <w:pPr>
                    <w:spacing w:before="3"/>
                    <w:ind w:left="20" w:right="0" w:firstLine="0"/>
                    <w:jc w:val="left"/>
                    <w:rPr>
                      <w:sz w:val="16"/>
                    </w:rPr>
                  </w:pPr>
                  <w:r>
                    <w:rPr>
                      <w:spacing w:val="4"/>
                      <w:w w:val="103"/>
                      <w:sz w:val="16"/>
                    </w:rPr>
                    <w:t>T</w:t>
                  </w:r>
                  <w:r>
                    <w:rPr>
                      <w:spacing w:val="-7"/>
                      <w:w w:val="103"/>
                      <w:sz w:val="16"/>
                    </w:rPr>
                    <w:t>V</w:t>
                  </w:r>
                  <w:r>
                    <w:rPr>
                      <w:w w:val="103"/>
                      <w:sz w:val="16"/>
                    </w:rPr>
                    <w:t>NA</w:t>
                  </w:r>
                  <w:r>
                    <w:rPr>
                      <w:spacing w:val="-6"/>
                      <w:sz w:val="16"/>
                    </w:rPr>
                    <w:t> </w:t>
                  </w:r>
                  <w:r>
                    <w:rPr>
                      <w:spacing w:val="5"/>
                      <w:w w:val="103"/>
                      <w:sz w:val="16"/>
                    </w:rPr>
                    <w:t>(</w:t>
                  </w:r>
                  <w:r>
                    <w:rPr>
                      <w:w w:val="103"/>
                      <w:sz w:val="16"/>
                    </w:rPr>
                    <w:t>g</w:t>
                  </w:r>
                  <w:r>
                    <w:rPr>
                      <w:sz w:val="16"/>
                    </w:rPr>
                    <w:t> </w:t>
                  </w:r>
                  <w:r>
                    <w:rPr>
                      <w:w w:val="103"/>
                      <w:sz w:val="16"/>
                    </w:rPr>
                    <w:t>N</w:t>
                  </w:r>
                  <w:r>
                    <w:rPr>
                      <w:spacing w:val="2"/>
                      <w:w w:val="103"/>
                      <w:sz w:val="16"/>
                    </w:rPr>
                    <w:t>-</w:t>
                  </w:r>
                  <w:r>
                    <w:rPr>
                      <w:w w:val="103"/>
                      <w:sz w:val="16"/>
                    </w:rPr>
                    <w:t>NH</w:t>
                  </w:r>
                  <w:r>
                    <w:rPr>
                      <w:spacing w:val="-3"/>
                      <w:w w:val="103"/>
                      <w:sz w:val="16"/>
                    </w:rPr>
                    <w:t>3</w:t>
                  </w:r>
                  <w:r>
                    <w:rPr>
                      <w:spacing w:val="-1"/>
                      <w:w w:val="103"/>
                      <w:sz w:val="16"/>
                    </w:rPr>
                    <w:t>/</w:t>
                  </w:r>
                  <w:r>
                    <w:rPr>
                      <w:spacing w:val="-4"/>
                      <w:w w:val="103"/>
                      <w:sz w:val="16"/>
                    </w:rPr>
                    <w:t>m</w:t>
                  </w:r>
                  <w:r>
                    <w:rPr>
                      <w:w w:val="103"/>
                      <w:sz w:val="16"/>
                    </w:rPr>
                    <w:t>3</w:t>
                  </w:r>
                  <w:r>
                    <w:rPr>
                      <w:spacing w:val="-2"/>
                      <w:sz w:val="16"/>
                    </w:rPr>
                    <w:t> </w:t>
                  </w:r>
                  <w:r>
                    <w:rPr>
                      <w:spacing w:val="-1"/>
                      <w:w w:val="103"/>
                      <w:sz w:val="16"/>
                    </w:rPr>
                    <w:t>d</w:t>
                  </w:r>
                  <w:r>
                    <w:rPr>
                      <w:w w:val="103"/>
                      <w:sz w:val="16"/>
                    </w:rPr>
                    <w:t>)</w:t>
                  </w:r>
                </w:p>
              </w:txbxContent>
            </v:textbox>
            <w10:wrap type="none"/>
          </v:shape>
        </w:pict>
      </w:r>
      <w:r>
        <w:rPr>
          <w:w w:val="105"/>
          <w:sz w:val="16"/>
        </w:rPr>
        <w:t>60</w:t>
      </w:r>
    </w:p>
    <w:p>
      <w:pPr>
        <w:pStyle w:val="BodyText"/>
        <w:rPr>
          <w:sz w:val="20"/>
        </w:rPr>
      </w:pPr>
    </w:p>
    <w:p>
      <w:pPr>
        <w:pStyle w:val="BodyText"/>
        <w:spacing w:before="2"/>
        <w:rPr>
          <w:sz w:val="25"/>
        </w:rPr>
      </w:pPr>
    </w:p>
    <w:p>
      <w:pPr>
        <w:spacing w:before="83"/>
        <w:ind w:left="1955" w:right="1562" w:firstLine="0"/>
        <w:jc w:val="left"/>
        <w:rPr>
          <w:sz w:val="16"/>
        </w:rPr>
      </w:pPr>
      <w:r>
        <w:rPr>
          <w:w w:val="105"/>
          <w:sz w:val="16"/>
        </w:rPr>
        <w:t>40</w:t>
      </w:r>
    </w:p>
    <w:p>
      <w:pPr>
        <w:pStyle w:val="BodyText"/>
        <w:rPr>
          <w:sz w:val="20"/>
        </w:rPr>
      </w:pPr>
    </w:p>
    <w:p>
      <w:pPr>
        <w:pStyle w:val="BodyText"/>
        <w:spacing w:before="4"/>
        <w:rPr>
          <w:sz w:val="25"/>
        </w:rPr>
      </w:pPr>
    </w:p>
    <w:p>
      <w:pPr>
        <w:spacing w:before="84"/>
        <w:ind w:left="1955" w:right="1562" w:firstLine="0"/>
        <w:jc w:val="left"/>
        <w:rPr>
          <w:sz w:val="16"/>
        </w:rPr>
      </w:pPr>
      <w:r>
        <w:rPr>
          <w:w w:val="105"/>
          <w:sz w:val="16"/>
        </w:rPr>
        <w:t>20</w:t>
      </w:r>
    </w:p>
    <w:p>
      <w:pPr>
        <w:pStyle w:val="BodyText"/>
        <w:rPr>
          <w:sz w:val="20"/>
        </w:rPr>
      </w:pPr>
    </w:p>
    <w:p>
      <w:pPr>
        <w:pStyle w:val="BodyText"/>
        <w:spacing w:before="2"/>
        <w:rPr>
          <w:sz w:val="25"/>
        </w:rPr>
      </w:pPr>
    </w:p>
    <w:p>
      <w:pPr>
        <w:spacing w:before="83"/>
        <w:ind w:left="2046" w:right="0" w:firstLine="0"/>
        <w:jc w:val="left"/>
        <w:rPr>
          <w:sz w:val="16"/>
        </w:rPr>
      </w:pPr>
      <w:r>
        <w:rPr>
          <w:w w:val="103"/>
          <w:sz w:val="16"/>
        </w:rPr>
        <w:t>0</w:t>
      </w:r>
    </w:p>
    <w:p>
      <w:pPr>
        <w:pStyle w:val="BodyText"/>
        <w:rPr>
          <w:sz w:val="20"/>
        </w:rPr>
      </w:pPr>
    </w:p>
    <w:p>
      <w:pPr>
        <w:pStyle w:val="BodyText"/>
        <w:spacing w:before="2"/>
        <w:rPr>
          <w:sz w:val="25"/>
        </w:rPr>
      </w:pPr>
    </w:p>
    <w:p>
      <w:pPr>
        <w:spacing w:line="182" w:lineRule="exact" w:before="83"/>
        <w:ind w:left="1895" w:right="1562" w:firstLine="0"/>
        <w:jc w:val="left"/>
        <w:rPr>
          <w:sz w:val="16"/>
        </w:rPr>
      </w:pPr>
      <w:r>
        <w:rPr>
          <w:w w:val="105"/>
          <w:sz w:val="16"/>
        </w:rPr>
        <w:t>-20</w:t>
      </w:r>
    </w:p>
    <w:p>
      <w:pPr>
        <w:tabs>
          <w:tab w:pos="650" w:val="left" w:leader="none"/>
          <w:tab w:pos="1303" w:val="left" w:leader="none"/>
          <w:tab w:pos="1953" w:val="left" w:leader="none"/>
          <w:tab w:pos="2604" w:val="left" w:leader="none"/>
          <w:tab w:pos="3257" w:val="left" w:leader="none"/>
          <w:tab w:pos="3907" w:val="left" w:leader="none"/>
          <w:tab w:pos="4560" w:val="left" w:leader="none"/>
          <w:tab w:pos="5210" w:val="left" w:leader="none"/>
          <w:tab w:pos="5863" w:val="left" w:leader="none"/>
          <w:tab w:pos="6514" w:val="left" w:leader="none"/>
        </w:tabs>
        <w:spacing w:line="182" w:lineRule="exact" w:before="0"/>
        <w:ind w:left="0" w:right="376" w:firstLine="0"/>
        <w:jc w:val="center"/>
        <w:rPr>
          <w:sz w:val="16"/>
        </w:rPr>
      </w:pPr>
      <w:r>
        <w:rPr>
          <w:w w:val="105"/>
          <w:sz w:val="16"/>
        </w:rPr>
        <w:t>0.1</w:t>
        <w:tab/>
        <w:t>0.2</w:t>
        <w:tab/>
        <w:t>0.3</w:t>
        <w:tab/>
        <w:t>0.4</w:t>
        <w:tab/>
        <w:t>0.5</w:t>
        <w:tab/>
        <w:t>0.6</w:t>
        <w:tab/>
        <w:t>0.7</w:t>
        <w:tab/>
        <w:t>0.8</w:t>
        <w:tab/>
        <w:t>0.9</w:t>
        <w:tab/>
        <w:t>1.0</w:t>
        <w:tab/>
        <w:t>1.1</w:t>
      </w:r>
    </w:p>
    <w:p>
      <w:pPr>
        <w:spacing w:before="130"/>
        <w:ind w:left="0" w:right="385" w:firstLine="0"/>
        <w:jc w:val="center"/>
        <w:rPr>
          <w:sz w:val="16"/>
        </w:rPr>
      </w:pPr>
      <w:r>
        <w:rPr>
          <w:w w:val="105"/>
          <w:sz w:val="16"/>
        </w:rPr>
        <w:t>N-NH3 influente (g N-NH3/m3)</w:t>
      </w:r>
    </w:p>
    <w:p>
      <w:pPr>
        <w:pStyle w:val="BodyText"/>
        <w:spacing w:before="2"/>
        <w:rPr>
          <w:sz w:val="12"/>
        </w:rPr>
      </w:pPr>
    </w:p>
    <w:p>
      <w:pPr>
        <w:spacing w:before="77"/>
        <w:ind w:left="2394" w:right="1801" w:hanging="1498"/>
        <w:jc w:val="left"/>
        <w:rPr>
          <w:b/>
          <w:sz w:val="18"/>
        </w:rPr>
      </w:pPr>
      <w:r>
        <w:rPr>
          <w:b/>
          <w:sz w:val="18"/>
        </w:rPr>
        <w:t>Figura 39. Efecto de la concentración de nitrógeno amoniacal en el influente y la tasa volumétrica de conversión de nitrógeno amoniacal total (TVNA) en el percolador.</w:t>
      </w:r>
    </w:p>
    <w:p>
      <w:pPr>
        <w:spacing w:after="0"/>
        <w:jc w:val="left"/>
        <w:rPr>
          <w:sz w:val="18"/>
        </w:rPr>
        <w:sectPr>
          <w:pgSz w:w="12240" w:h="15840"/>
          <w:pgMar w:header="725" w:footer="1084" w:top="1340" w:bottom="1280" w:left="920" w:right="0"/>
        </w:sectPr>
      </w:pPr>
    </w:p>
    <w:p>
      <w:pPr>
        <w:pStyle w:val="BodyText"/>
        <w:spacing w:before="10"/>
        <w:rPr>
          <w:b/>
          <w:sz w:val="8"/>
        </w:rPr>
      </w:pPr>
    </w:p>
    <w:p>
      <w:pPr>
        <w:pStyle w:val="BodyText"/>
        <w:spacing w:line="343" w:lineRule="auto" w:before="73"/>
        <w:ind w:left="781" w:right="496"/>
        <w:jc w:val="both"/>
      </w:pPr>
      <w:r>
        <w:rPr/>
        <w:t>Las TVNA alcanzadas en este trabajo fueron en promedio de 119,65 ± 42,71 y 34,99 ± 41,20 g N-NH</w:t>
      </w:r>
      <w:r>
        <w:rPr>
          <w:position w:val="-2"/>
          <w:sz w:val="13"/>
        </w:rPr>
        <w:t>3</w:t>
      </w:r>
      <w:r>
        <w:rPr/>
        <w:t>/m</w:t>
      </w:r>
      <w:r>
        <w:rPr>
          <w:position w:val="10"/>
          <w:sz w:val="13"/>
        </w:rPr>
        <w:t>3 </w:t>
      </w:r>
      <w:r>
        <w:rPr/>
        <w:t>d para el filtro de arena y el percolador. Estas tasas fueron menores a las reportadas en estudios previos. Zhu y Chen (1999) reportan tasas en reactores de lechos fluidizados de 374 g N-NH</w:t>
      </w:r>
      <w:r>
        <w:rPr>
          <w:position w:val="-2"/>
          <w:sz w:val="13"/>
        </w:rPr>
        <w:t>3</w:t>
      </w:r>
      <w:r>
        <w:rPr/>
        <w:t>/m</w:t>
      </w:r>
      <w:r>
        <w:rPr>
          <w:position w:val="10"/>
          <w:sz w:val="13"/>
        </w:rPr>
        <w:t>3 </w:t>
      </w:r>
      <w:r>
        <w:rPr/>
        <w:t>d, sin embargo, en trabajos subsecuentes reportan tasas de 312 y 291 g N-NH</w:t>
      </w:r>
      <w:r>
        <w:rPr>
          <w:position w:val="-2"/>
          <w:sz w:val="13"/>
        </w:rPr>
        <w:t>3</w:t>
      </w:r>
      <w:r>
        <w:rPr/>
        <w:t>/m</w:t>
      </w:r>
      <w:r>
        <w:rPr>
          <w:position w:val="10"/>
          <w:sz w:val="13"/>
        </w:rPr>
        <w:t>3 </w:t>
      </w:r>
      <w:r>
        <w:rPr/>
        <w:t>d para el mismo filtro utilizado (Zhu y Chen, 2001). Para filtros de arena fluidizado Ling y Chen (2005) lograron tasas de 956 g N-NH</w:t>
      </w:r>
      <w:r>
        <w:rPr>
          <w:position w:val="-2"/>
          <w:sz w:val="13"/>
        </w:rPr>
        <w:t>3</w:t>
      </w:r>
      <w:r>
        <w:rPr/>
        <w:t>/m</w:t>
      </w:r>
      <w:r>
        <w:rPr>
          <w:position w:val="10"/>
          <w:sz w:val="13"/>
        </w:rPr>
        <w:t>3 </w:t>
      </w:r>
      <w:r>
        <w:rPr/>
        <w:t>d y 4 917  g N-NH</w:t>
      </w:r>
      <w:r>
        <w:rPr>
          <w:position w:val="-2"/>
          <w:sz w:val="13"/>
        </w:rPr>
        <w:t>3</w:t>
      </w:r>
      <w:r>
        <w:rPr/>
        <w:t>/m</w:t>
      </w:r>
      <w:r>
        <w:rPr>
          <w:position w:val="10"/>
          <w:sz w:val="13"/>
        </w:rPr>
        <w:t>3 </w:t>
      </w:r>
      <w:r>
        <w:rPr/>
        <w:t>d, con una razón (C/N) de 1,0 y 2,0 respectivamente. Cabe subrayar que todos los estudios previos fueron realizados bajo condiciones de laboratorio y con cultivos mono –</w:t>
      </w:r>
      <w:r>
        <w:rPr>
          <w:spacing w:val="-8"/>
        </w:rPr>
        <w:t> </w:t>
      </w:r>
      <w:r>
        <w:rPr/>
        <w:t>específicos.</w:t>
      </w:r>
    </w:p>
    <w:p>
      <w:pPr>
        <w:pStyle w:val="BodyText"/>
        <w:spacing w:before="1"/>
        <w:rPr>
          <w:sz w:val="19"/>
        </w:rPr>
      </w:pPr>
    </w:p>
    <w:p>
      <w:pPr>
        <w:pStyle w:val="BodyText"/>
        <w:spacing w:line="345" w:lineRule="auto"/>
        <w:ind w:left="781" w:right="497"/>
        <w:jc w:val="both"/>
      </w:pPr>
      <w:r>
        <w:rPr/>
        <w:t>Estudios realizados a escala piloto reportan tasas volumétricas de conversión de  nitrógeno amoniacal para filtros de perdigones y fluidizados de arena de 127 y 117 g N- NH</w:t>
      </w:r>
      <w:r>
        <w:rPr>
          <w:position w:val="-2"/>
          <w:sz w:val="13"/>
        </w:rPr>
        <w:t>3</w:t>
      </w:r>
      <w:r>
        <w:rPr/>
        <w:t>/m</w:t>
      </w:r>
      <w:r>
        <w:rPr>
          <w:position w:val="10"/>
          <w:sz w:val="13"/>
        </w:rPr>
        <w:t>3 </w:t>
      </w:r>
      <w:r>
        <w:rPr/>
        <w:t>d respectivamente (Pfeiffer y Malone, 2006). A nivel comercial Guerdat et al. (2010) reportan tasas de 704 g N-NH</w:t>
      </w:r>
      <w:r>
        <w:rPr>
          <w:position w:val="-2"/>
          <w:sz w:val="13"/>
        </w:rPr>
        <w:t>3</w:t>
      </w:r>
      <w:r>
        <w:rPr/>
        <w:t>/m</w:t>
      </w:r>
      <w:r>
        <w:rPr>
          <w:position w:val="10"/>
          <w:sz w:val="13"/>
        </w:rPr>
        <w:t>3 </w:t>
      </w:r>
      <w:r>
        <w:rPr/>
        <w:t>d para un filtro de lecho fluidizado, 267 g N- NH</w:t>
      </w:r>
      <w:r>
        <w:rPr>
          <w:position w:val="-2"/>
          <w:sz w:val="13"/>
        </w:rPr>
        <w:t>3</w:t>
      </w:r>
      <w:r>
        <w:rPr/>
        <w:t>/m</w:t>
      </w:r>
      <w:r>
        <w:rPr>
          <w:position w:val="10"/>
          <w:sz w:val="13"/>
        </w:rPr>
        <w:t>3 </w:t>
      </w:r>
      <w:r>
        <w:rPr/>
        <w:t>d para un bioreactor de poco espacio y 586 g N-NH</w:t>
      </w:r>
      <w:r>
        <w:rPr>
          <w:position w:val="-2"/>
          <w:sz w:val="13"/>
        </w:rPr>
        <w:t>3</w:t>
      </w:r>
      <w:r>
        <w:rPr/>
        <w:t>/m</w:t>
      </w:r>
      <w:r>
        <w:rPr>
          <w:position w:val="10"/>
          <w:sz w:val="13"/>
        </w:rPr>
        <w:t>3 </w:t>
      </w:r>
      <w:r>
        <w:rPr/>
        <w:t>d para un filtro de perdigones.</w:t>
      </w:r>
    </w:p>
    <w:p>
      <w:pPr>
        <w:pStyle w:val="BodyText"/>
        <w:spacing w:before="10"/>
        <w:rPr>
          <w:sz w:val="18"/>
        </w:rPr>
      </w:pPr>
    </w:p>
    <w:p>
      <w:pPr>
        <w:pStyle w:val="BodyText"/>
        <w:spacing w:line="357" w:lineRule="auto"/>
        <w:ind w:left="781" w:right="497"/>
        <w:jc w:val="both"/>
      </w:pPr>
      <w:r>
        <w:rPr/>
        <w:t>Comparadas las TVNA obtenidas en esta investigación con los trabajos previos, estas tasas siempre se encontraron por debajo de las reportadas, para el caso del percolador se tiene una baja TVNA y un bajo porcentaje de remoción (19,47 %), el cual es lógico respecto a la misma relación entre la concentración de nitrógeno amoniacal total y la TVNA, donde se espera que ha concentraciones bajas de N-NH</w:t>
      </w:r>
      <w:r>
        <w:rPr>
          <w:position w:val="-2"/>
          <w:sz w:val="13"/>
        </w:rPr>
        <w:t>3 </w:t>
      </w:r>
      <w:r>
        <w:rPr/>
        <w:t>(como en este trabajo)  se tengan bajas TVNA. El filtro de arena sin embargo, presenta una TVNA similar a la reportada por Pfeiffer y Malone (2006) para filtros de arena fluidizados y con una alta remoción de nitrógeno amoniacal (73,53 %) lo que indica un alto desempeño para un filtro lento de arena, debido principalmente a bajas cargas a las que fue</w:t>
      </w:r>
      <w:r>
        <w:rPr>
          <w:spacing w:val="-28"/>
        </w:rPr>
        <w:t> </w:t>
      </w:r>
      <w:r>
        <w:rPr/>
        <w:t>sometido.</w:t>
      </w:r>
    </w:p>
    <w:p>
      <w:pPr>
        <w:pStyle w:val="BodyText"/>
        <w:rPr>
          <w:sz w:val="18"/>
        </w:rPr>
      </w:pPr>
    </w:p>
    <w:p>
      <w:pPr>
        <w:pStyle w:val="BodyText"/>
        <w:spacing w:line="360" w:lineRule="auto"/>
        <w:ind w:left="781" w:right="496" w:hanging="1"/>
        <w:jc w:val="both"/>
      </w:pPr>
      <w:r>
        <w:rPr/>
        <w:t>Aún cuando los biofiltros estudiados presentaron bajas TVNA comparados con otros trabajos, en estudios similares en México se obtuvieron tasas menores (figura 40 y 41) lo cual lleva a una mejor comprensión de los procesos ocurridos en los filtros percoladores y de arena cuando están insertos en un sistema de recirculación acuícola (García, 2008; Gallego </w:t>
      </w:r>
      <w:r>
        <w:rPr>
          <w:i/>
        </w:rPr>
        <w:t>et al</w:t>
      </w:r>
      <w:r>
        <w:rPr/>
        <w:t>., 2004; Gallego 2004).</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1324"/>
        <w:rPr>
          <w:sz w:val="20"/>
        </w:rPr>
      </w:pPr>
      <w:r>
        <w:rPr>
          <w:sz w:val="20"/>
        </w:rPr>
        <w:drawing>
          <wp:inline distT="0" distB="0" distL="0" distR="0">
            <wp:extent cx="5001538" cy="3623500"/>
            <wp:effectExtent l="0" t="0" r="0" b="0"/>
            <wp:docPr id="53" name="image73.jpeg" descr=""/>
            <wp:cNvGraphicFramePr>
              <a:graphicFrameLocks noChangeAspect="1"/>
            </wp:cNvGraphicFramePr>
            <a:graphic>
              <a:graphicData uri="http://schemas.openxmlformats.org/drawingml/2006/picture">
                <pic:pic>
                  <pic:nvPicPr>
                    <pic:cNvPr id="54" name="image73.jpeg"/>
                    <pic:cNvPicPr/>
                  </pic:nvPicPr>
                  <pic:blipFill>
                    <a:blip r:embed="rId81" cstate="print"/>
                    <a:stretch>
                      <a:fillRect/>
                    </a:stretch>
                  </pic:blipFill>
                  <pic:spPr>
                    <a:xfrm>
                      <a:off x="0" y="0"/>
                      <a:ext cx="5001538" cy="3623500"/>
                    </a:xfrm>
                    <a:prstGeom prst="rect">
                      <a:avLst/>
                    </a:prstGeom>
                  </pic:spPr>
                </pic:pic>
              </a:graphicData>
            </a:graphic>
          </wp:inline>
        </w:drawing>
      </w:r>
      <w:r>
        <w:rPr>
          <w:sz w:val="20"/>
        </w:rPr>
      </w:r>
    </w:p>
    <w:p>
      <w:pPr>
        <w:spacing w:before="61"/>
        <w:ind w:left="868" w:right="587" w:firstLine="0"/>
        <w:jc w:val="center"/>
        <w:rPr>
          <w:b/>
          <w:sz w:val="18"/>
        </w:rPr>
      </w:pPr>
      <w:r>
        <w:rPr>
          <w:b/>
          <w:sz w:val="18"/>
        </w:rPr>
        <w:t>Figura 40. Comparación de desempeño de filtros de arena de trabajos previos y el actual.</w:t>
      </w:r>
    </w:p>
    <w:p>
      <w:pPr>
        <w:pStyle w:val="BodyText"/>
        <w:rPr>
          <w:b/>
          <w:sz w:val="20"/>
        </w:rPr>
      </w:pPr>
    </w:p>
    <w:p>
      <w:pPr>
        <w:pStyle w:val="BodyText"/>
        <w:rPr>
          <w:b/>
          <w:sz w:val="20"/>
        </w:rPr>
      </w:pPr>
      <w:r>
        <w:rPr/>
        <w:drawing>
          <wp:anchor distT="0" distB="0" distL="0" distR="0" allowOverlap="1" layoutInCell="1" locked="0" behindDoc="0" simplePos="0" relativeHeight="8392">
            <wp:simplePos x="0" y="0"/>
            <wp:positionH relativeFrom="page">
              <wp:posOffset>1438655</wp:posOffset>
            </wp:positionH>
            <wp:positionV relativeFrom="paragraph">
              <wp:posOffset>171114</wp:posOffset>
            </wp:positionV>
            <wp:extent cx="4889830" cy="3540442"/>
            <wp:effectExtent l="0" t="0" r="0" b="0"/>
            <wp:wrapTopAndBottom/>
            <wp:docPr id="55" name="image74.jpeg" descr=""/>
            <wp:cNvGraphicFramePr>
              <a:graphicFrameLocks noChangeAspect="1"/>
            </wp:cNvGraphicFramePr>
            <a:graphic>
              <a:graphicData uri="http://schemas.openxmlformats.org/drawingml/2006/picture">
                <pic:pic>
                  <pic:nvPicPr>
                    <pic:cNvPr id="56" name="image74.jpeg"/>
                    <pic:cNvPicPr/>
                  </pic:nvPicPr>
                  <pic:blipFill>
                    <a:blip r:embed="rId82" cstate="print"/>
                    <a:stretch>
                      <a:fillRect/>
                    </a:stretch>
                  </pic:blipFill>
                  <pic:spPr>
                    <a:xfrm>
                      <a:off x="0" y="0"/>
                      <a:ext cx="4889830" cy="3540442"/>
                    </a:xfrm>
                    <a:prstGeom prst="rect">
                      <a:avLst/>
                    </a:prstGeom>
                  </pic:spPr>
                </pic:pic>
              </a:graphicData>
            </a:graphic>
          </wp:anchor>
        </w:drawing>
      </w:r>
    </w:p>
    <w:p>
      <w:pPr>
        <w:spacing w:before="133"/>
        <w:ind w:left="868" w:right="587" w:firstLine="0"/>
        <w:jc w:val="center"/>
        <w:rPr>
          <w:b/>
          <w:sz w:val="18"/>
        </w:rPr>
      </w:pPr>
      <w:r>
        <w:rPr>
          <w:b/>
          <w:sz w:val="18"/>
        </w:rPr>
        <w:t>Figura 41. Comparación de desempeño de filtros percoladores de trabajos previos y el actual.</w:t>
      </w:r>
    </w:p>
    <w:p>
      <w:pPr>
        <w:spacing w:after="0"/>
        <w:jc w:val="center"/>
        <w:rPr>
          <w:sz w:val="18"/>
        </w:rPr>
        <w:sectPr>
          <w:pgSz w:w="12240" w:h="15840"/>
          <w:pgMar w:header="725" w:footer="1084" w:top="1340" w:bottom="1280" w:left="920" w:right="1200"/>
        </w:sectPr>
      </w:pPr>
    </w:p>
    <w:p>
      <w:pPr>
        <w:pStyle w:val="BodyText"/>
        <w:spacing w:before="10"/>
        <w:rPr>
          <w:b/>
          <w:sz w:val="8"/>
        </w:rPr>
      </w:pPr>
    </w:p>
    <w:p>
      <w:pPr>
        <w:pStyle w:val="BodyText"/>
        <w:spacing w:line="360" w:lineRule="auto" w:before="73"/>
        <w:ind w:left="781" w:right="498"/>
        <w:jc w:val="both"/>
      </w:pPr>
      <w:r>
        <w:rPr/>
        <w:t>La tasa volumétrica de conversión de nitritos (TVCN) permite conocer la cantidad de esta especie nitrogenada que se remueve en el biofiltro por una unidad de volumen. Con base en esta información es posible obtener las constantes cinéticas y construir los modelos matemáticos de la segunda etapa del proceso de nitrificación.</w:t>
      </w:r>
    </w:p>
    <w:p>
      <w:pPr>
        <w:pStyle w:val="BodyText"/>
        <w:spacing w:before="9"/>
        <w:rPr>
          <w:sz w:val="17"/>
        </w:rPr>
      </w:pPr>
    </w:p>
    <w:p>
      <w:pPr>
        <w:pStyle w:val="BodyText"/>
        <w:spacing w:line="360" w:lineRule="auto"/>
        <w:ind w:left="781" w:right="499"/>
        <w:jc w:val="both"/>
      </w:pPr>
      <w:r>
        <w:rPr/>
        <w:t>Para el caso en estudio se realizó una comparación de la concentración de nitrógeno amoniacal en el influente del biofiltro con la TVNA y la TVCN para cada biofiltro del tren de tratamiento (figura 42 y 43), ya que la segunda es dependiente de la primera. Es decir para que exista una oxidación de nitritos primero debe de existir la oxidación del nitrógeno amoniacal (Guerdat </w:t>
      </w:r>
      <w:r>
        <w:rPr>
          <w:i/>
        </w:rPr>
        <w:t>et al.</w:t>
      </w:r>
      <w:r>
        <w:rPr/>
        <w:t>,</w:t>
      </w:r>
      <w:r>
        <w:rPr>
          <w:spacing w:val="-15"/>
        </w:rPr>
        <w:t> </w:t>
      </w:r>
      <w:r>
        <w:rPr/>
        <w:t>2010).</w:t>
      </w:r>
    </w:p>
    <w:p>
      <w:pPr>
        <w:pStyle w:val="BodyText"/>
        <w:spacing w:before="9"/>
        <w:rPr>
          <w:sz w:val="17"/>
        </w:rPr>
      </w:pPr>
    </w:p>
    <w:p>
      <w:pPr>
        <w:pStyle w:val="BodyText"/>
        <w:spacing w:line="355" w:lineRule="auto"/>
        <w:ind w:left="781" w:right="498"/>
        <w:jc w:val="both"/>
      </w:pPr>
      <w:r>
        <w:rPr/>
        <w:t>En la gráfica de la figura 42 se puede observar que la remoción de nitritos depende tanto de la concentración de nitrógeno amoniacal a la entrada del filtro de arena y de la TVNA. En efecto, la TVNA se comporta de manera constante cuando se aumenta la carga en el filtro. Para tener una remoción de nitritos en esta unidad del tren de tratamiento es necesario contar con una carga mínima entre 0,30 y 0,40 g de N-NO</w:t>
      </w:r>
      <w:r>
        <w:rPr>
          <w:position w:val="-2"/>
          <w:sz w:val="13"/>
        </w:rPr>
        <w:t>2</w:t>
      </w:r>
      <w:r>
        <w:rPr>
          <w:position w:val="10"/>
          <w:sz w:val="13"/>
        </w:rPr>
        <w:t>-</w:t>
      </w:r>
      <w:r>
        <w:rPr/>
        <w:t>/m</w:t>
      </w:r>
      <w:r>
        <w:rPr>
          <w:position w:val="10"/>
          <w:sz w:val="13"/>
        </w:rPr>
        <w:t>3</w:t>
      </w:r>
      <w:r>
        <w:rPr/>
        <w:t>.</w:t>
      </w:r>
    </w:p>
    <w:p>
      <w:pPr>
        <w:pStyle w:val="BodyText"/>
        <w:spacing w:line="343" w:lineRule="auto" w:before="184"/>
        <w:ind w:left="781" w:right="497"/>
        <w:jc w:val="both"/>
      </w:pPr>
      <w:r>
        <w:rPr/>
        <w:t>El filtro de arena para el caso en estudio presenta un desempeño óptimo al llegar a TVNA de 160 a 180 g de N-NH</w:t>
      </w:r>
      <w:r>
        <w:rPr>
          <w:position w:val="-2"/>
          <w:sz w:val="13"/>
        </w:rPr>
        <w:t>3</w:t>
      </w:r>
      <w:r>
        <w:rPr/>
        <w:t>/m</w:t>
      </w:r>
      <w:r>
        <w:rPr>
          <w:position w:val="10"/>
          <w:sz w:val="13"/>
        </w:rPr>
        <w:t>3 </w:t>
      </w:r>
      <w:r>
        <w:rPr/>
        <w:t>d; una vez alcanzada esta tasa, la TVCN se reduce considerablemente. En el periodo de la fase experimental el promedio de la TVNA fue de 119,65 ± 42,71 g de N-NH</w:t>
      </w:r>
      <w:r>
        <w:rPr>
          <w:position w:val="-2"/>
          <w:sz w:val="13"/>
        </w:rPr>
        <w:t>3</w:t>
      </w:r>
      <w:r>
        <w:rPr/>
        <w:t>/m</w:t>
      </w:r>
      <w:r>
        <w:rPr>
          <w:position w:val="10"/>
          <w:sz w:val="13"/>
        </w:rPr>
        <w:t>3 </w:t>
      </w:r>
      <w:r>
        <w:rPr/>
        <w:t>d, permitiendo así que la remoción de nitrógeno amoniacal se encontrará en un intervalo adecuado para remover N-NO</w:t>
      </w:r>
      <w:r>
        <w:rPr>
          <w:position w:val="-2"/>
          <w:sz w:val="13"/>
        </w:rPr>
        <w:t>2</w:t>
      </w:r>
      <w:r>
        <w:rPr>
          <w:position w:val="10"/>
          <w:sz w:val="13"/>
        </w:rPr>
        <w:t>-</w:t>
      </w:r>
      <w:r>
        <w:rPr/>
        <w:t>.</w:t>
      </w:r>
    </w:p>
    <w:p>
      <w:pPr>
        <w:spacing w:after="0" w:line="343" w:lineRule="auto"/>
        <w:jc w:val="both"/>
        <w:sectPr>
          <w:pgSz w:w="12240" w:h="15840"/>
          <w:pgMar w:header="725" w:footer="1084" w:top="1340" w:bottom="1280" w:left="920" w:right="1200"/>
        </w:sectPr>
      </w:pPr>
    </w:p>
    <w:p>
      <w:pPr>
        <w:pStyle w:val="BodyText"/>
        <w:spacing w:before="10"/>
        <w:rPr>
          <w:sz w:val="14"/>
        </w:rPr>
      </w:pPr>
    </w:p>
    <w:p>
      <w:pPr>
        <w:pStyle w:val="BodyText"/>
        <w:ind w:left="1368"/>
        <w:rPr>
          <w:sz w:val="20"/>
        </w:rPr>
      </w:pPr>
      <w:r>
        <w:rPr>
          <w:sz w:val="20"/>
        </w:rPr>
        <w:pict>
          <v:group style="width:382.8pt;height:288.5pt;mso-position-horizontal-relative:char;mso-position-vertical-relative:line" coordorigin="0,0" coordsize="7656,5770">
            <v:rect style="position:absolute;left:6;top:6;width:7644;height:5758" filled="false" stroked="true" strokeweight=".59616pt" strokecolor="#000000"/>
            <v:shape style="position:absolute;left:2000;top:254;width:3939;height:4408" type="#_x0000_t75" stroked="false">
              <v:imagedata r:id="rId83" o:title=""/>
            </v:shape>
            <v:line style="position:absolute" from="3762,4463" to="3776,4472" stroked="true" strokeweight=".59616pt" strokecolor="#000000"/>
            <v:line style="position:absolute" from="3820,4432" to="3834,4441" stroked="true" strokeweight=".59616pt" strokecolor="#000000"/>
            <v:line style="position:absolute" from="3880,4403" to="3892,4412" stroked="true" strokeweight=".59616pt" strokecolor="#000000"/>
            <v:line style="position:absolute" from="3937,4374" to="3949,4384" stroked="true" strokeweight=".59616pt" strokecolor="#000000"/>
            <v:line style="position:absolute" from="3995,4343" to="4009,4355" stroked="true" strokeweight=".59616pt" strokecolor="#000000"/>
            <v:line style="position:absolute" from="4050,4314" to="4064,4324" stroked="true" strokeweight=".59616pt" strokecolor="#000000"/>
            <v:line style="position:absolute" from="4110,4285" to="4122,4295" stroked="true" strokeweight=".59616pt" strokecolor="#000000"/>
            <v:line style="position:absolute" from="4165,4256" to="4180,4266" stroked="true" strokeweight=".59616pt" strokecolor="#000000"/>
            <v:line style="position:absolute" from="4223,4228" to="4237,4237" stroked="true" strokeweight=".59616pt" strokecolor="#000000"/>
            <v:line style="position:absolute" from="4280,4199" to="4292,4208" stroked="true" strokeweight=".59616pt" strokecolor="#000000"/>
            <v:line style="position:absolute" from="4336,4170" to="4350,4180" stroked="true" strokeweight=".59616pt" strokecolor="#000000"/>
            <v:line style="position:absolute" from="4393,4139" to="4405,4151" stroked="true" strokeweight=".59616pt" strokecolor="#000000"/>
            <v:line style="position:absolute" from="4448,4110" to="4463,4122" stroked="true" strokeweight=".59616pt" strokecolor="#000000"/>
            <v:line style="position:absolute" from="4506,4084" to="4518,4093" stroked="true" strokeweight=".59616pt" strokecolor="#000000"/>
            <v:line style="position:absolute" from="4561,4055" to="4576,4064" stroked="true" strokeweight=".59616pt" strokecolor="#000000"/>
            <v:line style="position:absolute" from="4616,4026" to="4631,4036" stroked="true" strokeweight=".59616pt" strokecolor="#000000"/>
            <v:line style="position:absolute" from="4672,3997" to="4686,4007" stroked="true" strokeweight=".59616pt" strokecolor="#000000"/>
            <v:line style="position:absolute" from="4727,3968" to="4741,3978" stroked="true" strokeweight=".59616pt" strokecolor="#000000"/>
            <v:line style="position:absolute" from="4782,3942" to="4796,3952" stroked="true" strokeweight=".59616pt" strokecolor="#000000"/>
            <v:line style="position:absolute" from="4837,3913" to="4852,3923" stroked="true" strokeweight=".59616pt" strokecolor="#000000"/>
            <v:line style="position:absolute" from="4892,3884" to="4907,3894" stroked="true" strokeweight=".59616pt" strokecolor="#000000"/>
            <v:line style="position:absolute" from="4948,3856" to="4962,3868" stroked="true" strokeweight=".59616pt" strokecolor="#000000"/>
            <v:line style="position:absolute" from="5000,3829" to="5015,3839" stroked="true" strokeweight=".59616pt" strokecolor="#000000"/>
            <v:line style="position:absolute" from="5056,3803" to="5070,3810" stroked="true" strokeweight=".59616pt" strokecolor="#000000"/>
            <v:line style="position:absolute" from="5108,3774" to="5123,3784" stroked="true" strokeweight=".59616pt" strokecolor="#000000"/>
            <v:line style="position:absolute" from="5164,3748" to="5178,3755" stroked="true" strokeweight=".59616pt" strokecolor="#000000"/>
            <v:line style="position:absolute" from="5216,3719" to="5231,3728" stroked="true" strokeweight=".59616pt" strokecolor="#000000"/>
            <v:line style="position:absolute" from="5269,3692" to="5284,3702" stroked="true" strokeweight=".59616pt" strokecolor="#000000"/>
            <v:line style="position:absolute" from="5324,3664" to="5339,3673" stroked="true" strokeweight=".59616pt" strokecolor="#000000"/>
            <v:line style="position:absolute" from="5377,3637" to="5392,3647" stroked="true" strokeweight=".59616pt" strokecolor="#000000"/>
            <v:line style="position:absolute" from="5430,3611" to="5444,3620" stroked="true" strokeweight=".59616pt" strokecolor="#000000"/>
            <v:line style="position:absolute" from="5483,3584" to="5497,3592" stroked="true" strokeweight=".59616pt" strokecolor="#000000"/>
            <v:line style="position:absolute" from="5536,3556" to="5550,3565" stroked="true" strokeweight=".59616pt" strokecolor="#000000"/>
            <v:line style="position:absolute" from="5588,3529" to="5603,3539" stroked="true" strokeweight=".59616pt" strokecolor="#000000"/>
            <v:line style="position:absolute" from="5641,3503" to="5653,3512" stroked="true" strokeweight=".59616pt" strokecolor="#000000"/>
            <v:line style="position:absolute" from="5692,3476" to="5706,3486" stroked="true" strokeweight=".59616pt" strokecolor="#000000"/>
            <v:shape style="position:absolute;left:4686;top:4038;width:1085;height:578" type="#_x0000_t75" stroked="false">
              <v:imagedata r:id="rId84" o:title=""/>
            </v:shape>
            <v:line style="position:absolute" from="1991,1074" to="4055,260" stroked="true" strokeweight=".59616pt" strokecolor="#000000"/>
            <v:line style="position:absolute" from="2017,1091" to="1991,1074" stroked="true" strokeweight=".59616pt" strokecolor="#000000"/>
            <v:line style="position:absolute" from="2260,995" to="2233,978" stroked="true" strokeweight=".59616pt" strokecolor="#000000"/>
            <v:line style="position:absolute" from="2497,901" to="2471,884" stroked="true" strokeweight=".59616pt" strokecolor="#000000"/>
            <v:line style="position:absolute" from="2732,808" to="2706,793" stroked="true" strokeweight=".59616pt" strokecolor="#000000"/>
            <v:line style="position:absolute" from="2963,716" to="2939,700" stroked="true" strokeweight=".59616pt" strokecolor="#000000"/>
            <v:line style="position:absolute" from="3193,625" to="3167,611" stroked="true" strokeweight=".59616pt" strokecolor="#000000"/>
            <v:line style="position:absolute" from="3419,536" to="3395,522" stroked="true" strokeweight=".59616pt" strokecolor="#000000"/>
            <v:line style="position:absolute" from="3642,448" to="3618,433" stroked="true" strokeweight=".59616pt" strokecolor="#000000"/>
            <v:line style="position:absolute" from="3863,361" to="3839,347" stroked="true" strokeweight=".59616pt" strokecolor="#000000"/>
            <v:line style="position:absolute" from="4081,277" to="4055,260" stroked="true" strokeweight=".59616pt" strokecolor="#000000"/>
            <v:line style="position:absolute" from="2065,1057" to="2051,1050" stroked="true" strokeweight=".59616pt" strokecolor="#000000"/>
            <v:line style="position:absolute" from="2125,1036" to="2113,1026" stroked="true" strokeweight=".59616pt" strokecolor="#000000"/>
            <v:line style="position:absolute" from="2185,1012" to="2173,1002" stroked="true" strokeweight=".59616pt" strokecolor="#000000"/>
            <v:line style="position:absolute" from="2245,988" to="2233,978" stroked="true" strokeweight=".59616pt" strokecolor="#000000"/>
            <v:line style="position:absolute" from="2305,964" to="2293,956" stroked="true" strokeweight=".59616pt" strokecolor="#000000"/>
            <v:line style="position:absolute" from="2365,940" to="2353,932" stroked="true" strokeweight=".59616pt" strokecolor="#000000"/>
            <v:line style="position:absolute" from="2425,916" to="2413,908" stroked="true" strokeweight=".59616pt" strokecolor="#000000"/>
            <v:line style="position:absolute" from="2483,892" to="2471,884" stroked="true" strokeweight=".59616pt" strokecolor="#000000"/>
            <v:line style="position:absolute" from="2543,870" to="2531,860" stroked="true" strokeweight=".59616pt" strokecolor="#000000"/>
            <v:line style="position:absolute" from="2600,846" to="2588,839" stroked="true" strokeweight=".59616pt" strokecolor="#000000"/>
            <v:line style="position:absolute" from="2660,824" to="2648,815" stroked="true" strokeweight=".59616pt" strokecolor="#000000"/>
            <v:line style="position:absolute" from="2720,800" to="2706,793" stroked="true" strokeweight=".59616pt" strokecolor="#000000"/>
            <v:line style="position:absolute" from="2778,776" to="2764,769" stroked="true" strokeweight=".59616pt" strokecolor="#000000"/>
            <v:line style="position:absolute" from="2836,755" to="2821,748" stroked="true" strokeweight=".59616pt" strokecolor="#000000"/>
            <v:line style="position:absolute" from="2893,731" to="2881,724" stroked="true" strokeweight=".59616pt" strokecolor="#000000"/>
            <v:line style="position:absolute" from="2951,709" to="2939,700" stroked="true" strokeweight=".59616pt" strokecolor="#000000"/>
            <v:line style="position:absolute" from="3008,688" to="2996,678" stroked="true" strokeweight=".59616pt" strokecolor="#000000"/>
            <v:line style="position:absolute" from="3066,664" to="3054,656" stroked="true" strokeweight=".59616pt" strokecolor="#000000"/>
            <v:line style="position:absolute" from="3124,640" to="3109,632" stroked="true" strokeweight=".59616pt" strokecolor="#000000"/>
            <v:line style="position:absolute" from="3181,618" to="3167,611" stroked="true" strokeweight=".59616pt" strokecolor="#000000"/>
            <v:line style="position:absolute" from="3236,596" to="3224,589" stroked="true" strokeweight=".59616pt" strokecolor="#000000"/>
            <v:line style="position:absolute" from="3294,572" to="3282,565" stroked="true" strokeweight=".59616pt" strokecolor="#000000"/>
            <v:line style="position:absolute" from="3352,551" to="3337,544" stroked="true" strokeweight=".59616pt" strokecolor="#000000"/>
            <v:line style="position:absolute" from="3407,529" to="3395,522" stroked="true" strokeweight=".59616pt" strokecolor="#000000"/>
            <v:line style="position:absolute" from="3462,508" to="3450,500" stroked="true" strokeweight=".59616pt" strokecolor="#000000"/>
            <v:line style="position:absolute" from="3517,486" to="3505,476" stroked="true" strokeweight=".59616pt" strokecolor="#000000"/>
            <v:line style="position:absolute" from="3575,464" to="3560,455" stroked="true" strokeweight=".59616pt" strokecolor="#000000"/>
            <v:line style="position:absolute" from="3630,440" to="3618,433" stroked="true" strokeweight=".59616pt" strokecolor="#000000"/>
            <v:line style="position:absolute" from="3685,419" to="3673,412" stroked="true" strokeweight=".59616pt" strokecolor="#000000"/>
            <v:line style="position:absolute" from="3740,397" to="3728,390" stroked="true" strokeweight=".59616pt" strokecolor="#000000"/>
            <v:line style="position:absolute" from="3796,376" to="3784,368" stroked="true" strokeweight=".59616pt" strokecolor="#000000"/>
            <v:line style="position:absolute" from="3851,354" to="3839,347" stroked="true" strokeweight=".59616pt" strokecolor="#000000"/>
            <v:line style="position:absolute" from="3906,332" to="3892,325" stroked="true" strokeweight=".59616pt" strokecolor="#000000"/>
            <v:line style="position:absolute" from="3961,311" to="3947,304" stroked="true" strokeweight=".59616pt" strokecolor="#000000"/>
            <v:line style="position:absolute" from="4014,289" to="4002,282" stroked="true" strokeweight=".59616pt" strokecolor="#000000"/>
            <v:line style="position:absolute" from="4069,268" to="4055,260" stroked="true" strokeweight=".59616pt" strokecolor="#000000"/>
            <v:line style="position:absolute" from="3716,4501" to="2099,3296" stroked="true" strokeweight=".59616pt" strokecolor="#000000"/>
            <v:line style="position:absolute" from="2130,3280" to="2099,3296" stroked="true" strokeweight=".59616pt" strokecolor="#000000"/>
            <v:line style="position:absolute" from="2284,3392" to="2250,3409" stroked="true" strokeweight=".59616pt" strokecolor="#000000"/>
            <v:line style="position:absolute" from="2437,3508" to="2404,3524" stroked="true" strokeweight=".59616pt" strokecolor="#000000"/>
            <v:line style="position:absolute" from="2593,3625" to="2560,3640" stroked="true" strokeweight=".59616pt" strokecolor="#000000"/>
            <v:line style="position:absolute" from="2752,3743" to="2720,3760" stroked="true" strokeweight=".59616pt" strokecolor="#000000"/>
            <v:line style="position:absolute" from="2912,3863" to="2879,3877" stroked="true" strokeweight=".59616pt" strokecolor="#000000"/>
            <v:line style="position:absolute" from="3076,3983" to="3042,4000" stroked="true" strokeweight=".59616pt" strokecolor="#000000"/>
            <v:line style="position:absolute" from="3241,4105" to="3208,4122" stroked="true" strokeweight=".59616pt" strokecolor="#000000"/>
            <v:line style="position:absolute" from="3409,4230" to="3376,4247" stroked="true" strokeweight=".59616pt" strokecolor="#000000"/>
            <v:line style="position:absolute" from="3577,4357" to="3546,4374" stroked="true" strokeweight=".59616pt" strokecolor="#000000"/>
            <v:line style="position:absolute" from="3750,4484" to="3716,4501" stroked="true" strokeweight=".59616pt" strokecolor="#000000"/>
            <v:shape style="position:absolute;left:1868;top:3320;width:1781;height:1349" type="#_x0000_t75" stroked="false">
              <v:imagedata r:id="rId85" o:title=""/>
            </v:shape>
            <v:line style="position:absolute" from="2144,3311" to="2128,3318" stroked="true" strokeweight=".59616pt" strokecolor="#000000"/>
            <v:line style="position:absolute" from="2176,3332" to="2159,3340" stroked="true" strokeweight=".59616pt" strokecolor="#000000"/>
            <v:line style="position:absolute" from="2204,3356" to="2188,3364" stroked="true" strokeweight=".59616pt" strokecolor="#000000"/>
            <v:line style="position:absolute" from="2236,3378" to="2219,3388" stroked="true" strokeweight=".59616pt" strokecolor="#000000"/>
            <v:line style="position:absolute" from="2267,3402" to="2250,3409" stroked="true" strokeweight=".59616pt" strokecolor="#000000"/>
            <v:line style="position:absolute" from="2298,3424" to="2281,3431" stroked="true" strokeweight=".59616pt" strokecolor="#000000"/>
            <v:line style="position:absolute" from="2329,3448" to="2312,3455" stroked="true" strokeweight=".59616pt" strokecolor="#000000"/>
            <v:line style="position:absolute" from="2358,3469" to="2341,3476" stroked="true" strokeweight=".59616pt" strokecolor="#000000"/>
            <v:line style="position:absolute" from="2389,3493" to="2372,3500" stroked="true" strokeweight=".59616pt" strokecolor="#000000"/>
            <v:line style="position:absolute" from="2420,3517" to="2404,3524" stroked="true" strokeweight=".59616pt" strokecolor="#000000"/>
            <v:line style="position:absolute" from="2452,3539" to="2435,3546" stroked="true" strokeweight=".59616pt" strokecolor="#000000"/>
            <v:line style="position:absolute" from="2483,3563" to="2466,3570" stroked="true" strokeweight=".59616pt" strokecolor="#000000"/>
            <v:line style="position:absolute" from="2514,3584" to="2497,3594" stroked="true" strokeweight=".59616pt" strokecolor="#000000"/>
            <v:line style="position:absolute" from="2545,3608" to="2528,3616" stroked="true" strokeweight=".59616pt" strokecolor="#000000"/>
            <v:line style="position:absolute" from="2576,3632" to="2560,3640" stroked="true" strokeweight=".59616pt" strokecolor="#000000"/>
            <v:line style="position:absolute" from="2608,3656" to="2591,3664" stroked="true" strokeweight=".59616pt" strokecolor="#000000"/>
            <v:line style="position:absolute" from="2641,3680" to="2624,3688" stroked="true" strokeweight=".59616pt" strokecolor="#000000"/>
            <v:line style="position:absolute" from="2672,3702" to="2656,3712" stroked="true" strokeweight=".59616pt" strokecolor="#000000"/>
            <v:line style="position:absolute" from="2704,3726" to="2687,3736" stroked="true" strokeweight=".59616pt" strokecolor="#000000"/>
            <v:line style="position:absolute" from="2735,3750" to="2720,3760" stroked="true" strokeweight=".59616pt" strokecolor="#000000"/>
            <v:line style="position:absolute" from="2766,3774" to="2752,3781" stroked="true" strokeweight=".59616pt" strokecolor="#000000"/>
            <v:line style="position:absolute" from="2800,3798" to="2783,3805" stroked="true" strokeweight=".59616pt" strokecolor="#000000"/>
            <v:line style="position:absolute" from="2833,3822" to="2814,3829" stroked="true" strokeweight=".59616pt" strokecolor="#000000"/>
            <v:line style="position:absolute" from="2864,3846" to="2848,3853" stroked="true" strokeweight=".59616pt" strokecolor="#000000"/>
            <v:line style="position:absolute" from="2896,3870" to="2879,3877" stroked="true" strokeweight=".59616pt" strokecolor="#000000"/>
            <v:line style="position:absolute" from="2929,3894" to="2912,3901" stroked="true" strokeweight=".59616pt" strokecolor="#000000"/>
            <v:line style="position:absolute" from="2960,3918" to="2944,3925" stroked="true" strokeweight=".59616pt" strokecolor="#000000"/>
            <v:line style="position:absolute" from="2994,3942" to="2977,3952" stroked="true" strokeweight=".59616pt" strokecolor="#000000"/>
            <v:line style="position:absolute" from="3028,3966" to="3011,3976" stroked="true" strokeweight=".59616pt" strokecolor="#000000"/>
            <v:line style="position:absolute" from="3059,3990" to="3042,4000" stroked="true" strokeweight=".59616pt" strokecolor="#000000"/>
            <v:line style="position:absolute" from="3092,4016" to="3076,4024" stroked="true" strokeweight=".59616pt" strokecolor="#000000"/>
            <v:line style="position:absolute" from="3126,4040" to="3109,4048" stroked="true" strokeweight=".59616pt" strokecolor="#000000"/>
            <v:line style="position:absolute" from="3157,4064" to="3140,4074" stroked="true" strokeweight=".59616pt" strokecolor="#000000"/>
            <v:line style="position:absolute" from="3191,4088" to="3174,4098" stroked="true" strokeweight=".59616pt" strokecolor="#000000"/>
            <v:line style="position:absolute" from="3224,4115" to="3208,4122" stroked="true" strokeweight=".59616pt" strokecolor="#000000"/>
            <v:line style="position:absolute" from="3258,4139" to="3241,4146" stroked="true" strokeweight=".59616pt" strokecolor="#000000"/>
            <v:line style="position:absolute" from="3292,4163" to="3275,4172" stroked="true" strokeweight=".59616pt" strokecolor="#000000"/>
            <v:line style="position:absolute" from="3325,4189" to="3308,4196" stroked="true" strokeweight=".59616pt" strokecolor="#000000"/>
            <v:line style="position:absolute" from="3359,4213" to="3342,4223" stroked="true" strokeweight=".59616pt" strokecolor="#000000"/>
            <v:line style="position:absolute" from="3392,4240" to="3376,4247" stroked="true" strokeweight=".59616pt" strokecolor="#000000"/>
            <v:line style="position:absolute" from="3426,4264" to="3409,4273" stroked="true" strokeweight=".59616pt" strokecolor="#000000"/>
            <v:line style="position:absolute" from="3460,4290" to="3443,4297" stroked="true" strokeweight=".59616pt" strokecolor="#000000"/>
            <v:line style="position:absolute" from="3493,4314" to="3476,4324" stroked="true" strokeweight=".59616pt" strokecolor="#000000"/>
            <v:line style="position:absolute" from="3527,4340" to="3510,4348" stroked="true" strokeweight=".59616pt" strokecolor="#000000"/>
            <v:line style="position:absolute" from="3563,4364" to="3546,4374" stroked="true" strokeweight=".59616pt" strokecolor="#000000"/>
            <v:line style="position:absolute" from="3596,4391" to="3580,4398" stroked="true" strokeweight=".59616pt" strokecolor="#000000"/>
            <v:line style="position:absolute" from="3630,4417" to="3613,4424" stroked="true" strokeweight=".59616pt" strokecolor="#000000"/>
            <v:line style="position:absolute" from="3666,4441" to="3649,4451" stroked="true" strokeweight=".59616pt" strokecolor="#000000"/>
            <v:line style="position:absolute" from="3700,4468" to="3683,4477" stroked="true" strokeweight=".59616pt" strokecolor="#000000"/>
            <v:line style="position:absolute" from="3733,4494" to="3716,4501" stroked="true" strokeweight=".59616pt" strokecolor="#000000"/>
            <v:shape style="position:absolute;left:1825;top:3827;width:910;height:708" type="#_x0000_t75" stroked="false">
              <v:imagedata r:id="rId86" o:title=""/>
            </v:shape>
            <v:line style="position:absolute" from="5816,1247" to="4055,260" stroked="true" strokeweight=".59616pt" strokecolor="#000000"/>
            <v:line style="position:absolute" from="4024,272" to="4055,260" stroked="true" strokeweight=".59616pt" strokecolor="#000000"/>
            <v:line style="position:absolute" from="4189,366" to="4220,354" stroked="true" strokeweight=".59616pt" strokecolor="#000000"/>
            <v:line style="position:absolute" from="4357,460" to="4388,448" stroked="true" strokeweight=".59616pt" strokecolor="#000000"/>
            <v:line style="position:absolute" from="4528,556" to="4559,541" stroked="true" strokeweight=".59616pt" strokecolor="#000000"/>
            <v:line style="position:absolute" from="4698,652" to="4732,640" stroked="true" strokeweight=".59616pt" strokecolor="#000000"/>
            <v:line style="position:absolute" from="4873,750" to="4904,738" stroked="true" strokeweight=".59616pt" strokecolor="#000000"/>
            <v:line style="position:absolute" from="5051,848" to="5082,836" stroked="true" strokeweight=".59616pt" strokecolor="#000000"/>
            <v:line style="position:absolute" from="5231,952" to="5262,937" stroked="true" strokeweight=".59616pt" strokecolor="#000000"/>
            <v:line style="position:absolute" from="5411,1052" to="5444,1040" stroked="true" strokeweight=".59616pt" strokecolor="#000000"/>
            <v:line style="position:absolute" from="5598,1156" to="5629,1144" stroked="true" strokeweight=".59616pt" strokecolor="#000000"/>
            <v:line style="position:absolute" from="5783,1261" to="5816,1247" stroked="true" strokeweight=".59616pt" strokecolor="#000000"/>
            <v:line style="position:absolute" from="4074,284" to="4088,280" stroked="true" strokeweight=".59616pt" strokecolor="#000000"/>
            <v:line style="position:absolute" from="4105,304" to="4122,299" stroked="true" strokeweight=".59616pt" strokecolor="#000000"/>
            <v:line style="position:absolute" from="4139,323" to="4153,316" stroked="true" strokeweight=".59616pt" strokecolor="#000000"/>
            <v:line style="position:absolute" from="4172,342" to="4187,335" stroked="true" strokeweight=".59616pt" strokecolor="#000000"/>
            <v:line style="position:absolute" from="4204,361" to="4220,354" stroked="true" strokeweight=".59616pt" strokecolor="#000000"/>
            <v:line style="position:absolute" from="4240,378" to="4254,373" stroked="true" strokeweight=".59616pt" strokecolor="#000000"/>
            <v:line style="position:absolute" from="4271,397" to="4288,390" stroked="true" strokeweight=".59616pt" strokecolor="#000000"/>
            <v:line style="position:absolute" from="4304,416" to="4321,409" stroked="true" strokeweight=".59616pt" strokecolor="#000000"/>
            <v:line style="position:absolute" from="4340,436" to="4355,428" stroked="true" strokeweight=".59616pt" strokecolor="#000000"/>
            <v:line style="position:absolute" from="4372,455" to="4388,448" stroked="true" strokeweight=".59616pt" strokecolor="#000000"/>
            <v:line style="position:absolute" from="4405,474" to="4422,467" stroked="true" strokeweight=".59616pt" strokecolor="#000000"/>
            <v:line style="position:absolute" from="4441,493" to="4456,486" stroked="true" strokeweight=".59616pt" strokecolor="#000000"/>
            <v:line style="position:absolute" from="4475,512" to="4489,505" stroked="true" strokeweight=".59616pt" strokecolor="#000000"/>
            <v:line style="position:absolute" from="4508,529" to="4523,524" stroked="true" strokeweight=".59616pt" strokecolor="#000000"/>
            <v:line style="position:absolute" from="4542,548" to="4559,541" stroked="true" strokeweight=".59616pt" strokecolor="#000000"/>
            <v:line style="position:absolute" from="4578,568" to="4592,563" stroked="true" strokeweight=".59616pt" strokecolor="#000000"/>
            <v:line style="position:absolute" from="4612,587" to="4626,582" stroked="true" strokeweight=".59616pt" strokecolor="#000000"/>
            <v:line style="position:absolute" from="4645,608" to="4662,601" stroked="true" strokeweight=".59616pt" strokecolor="#000000"/>
            <v:line style="position:absolute" from="4679,625" to="4696,620" stroked="true" strokeweight=".59616pt" strokecolor="#000000"/>
            <v:line style="position:absolute" from="4715,644" to="4732,640" stroked="true" strokeweight=".59616pt" strokecolor="#000000"/>
            <v:line style="position:absolute" from="4748,666" to="4765,659" stroked="true" strokeweight=".59616pt" strokecolor="#000000"/>
            <v:line style="position:absolute" from="4784,685" to="4801,678" stroked="true" strokeweight=".59616pt" strokecolor="#000000"/>
            <v:line style="position:absolute" from="4820,704" to="4835,700" stroked="true" strokeweight=".59616pt" strokecolor="#000000"/>
            <v:line style="position:absolute" from="4854,724" to="4871,716" stroked="true" strokeweight=".59616pt" strokecolor="#000000"/>
            <v:line style="position:absolute" from="4890,743" to="4904,738" stroked="true" strokeweight=".59616pt" strokecolor="#000000"/>
            <v:line style="position:absolute" from="4926,764" to="4940,757" stroked="true" strokeweight=".59616pt" strokecolor="#000000"/>
            <v:line style="position:absolute" from="4960,784" to="4976,776" stroked="true" strokeweight=".59616pt" strokecolor="#000000"/>
            <v:line style="position:absolute" from="4996,803" to="5010,796" stroked="true" strokeweight=".59616pt" strokecolor="#000000"/>
            <v:line style="position:absolute" from="5032,824" to="5046,817" stroked="true" strokeweight=".59616pt" strokecolor="#000000"/>
            <v:line style="position:absolute" from="5068,844" to="5082,836" stroked="true" strokeweight=".59616pt" strokecolor="#000000"/>
            <v:line style="position:absolute" from="5101,863" to="5118,856" stroked="true" strokeweight=".59616pt" strokecolor="#000000"/>
            <v:line style="position:absolute" from="5137,884" to="5154,877" stroked="true" strokeweight=".59616pt" strokecolor="#000000"/>
            <v:line style="position:absolute" from="5173,904" to="5190,896" stroked="true" strokeweight=".59616pt" strokecolor="#000000"/>
            <v:line style="position:absolute" from="5209,923" to="5226,916" stroked="true" strokeweight=".59616pt" strokecolor="#000000"/>
            <v:line style="position:absolute" from="5245,944" to="5262,937" stroked="true" strokeweight=".59616pt" strokecolor="#000000"/>
            <v:line style="position:absolute" from="5281,964" to="5298,959" stroked="true" strokeweight=".59616pt" strokecolor="#000000"/>
            <v:line style="position:absolute" from="5317,985" to="5334,978" stroked="true" strokeweight=".59616pt" strokecolor="#000000"/>
            <v:line style="position:absolute" from="5356,1007" to="5370,1000" stroked="true" strokeweight=".59616pt" strokecolor="#000000"/>
            <v:line style="position:absolute" from="5392,1026" to="5406,1019" stroked="true" strokeweight=".59616pt" strokecolor="#000000"/>
            <v:line style="position:absolute" from="5428,1048" to="5444,1040" stroked="true" strokeweight=".59616pt" strokecolor="#000000"/>
            <v:line style="position:absolute" from="5464,1067" to="5480,1060" stroked="true" strokeweight=".59616pt" strokecolor="#000000"/>
            <v:line style="position:absolute" from="5502,1088" to="5516,1081" stroked="true" strokeweight=".59616pt" strokecolor="#000000"/>
            <v:line style="position:absolute" from="5538,1108" to="5555,1103" stroked="true" strokeweight=".59616pt" strokecolor="#000000"/>
            <v:line style="position:absolute" from="5576,1129" to="5591,1122" stroked="true" strokeweight=".59616pt" strokecolor="#000000"/>
            <v:line style="position:absolute" from="5612,1151" to="5629,1144" stroked="true" strokeweight=".59616pt" strokecolor="#000000"/>
            <v:line style="position:absolute" from="5651,1170" to="5665,1163" stroked="true" strokeweight=".59616pt" strokecolor="#000000"/>
            <v:line style="position:absolute" from="5687,1192" to="5704,1184" stroked="true" strokeweight=".59616pt" strokecolor="#000000"/>
            <v:line style="position:absolute" from="5725,1213" to="5742,1206" stroked="true" strokeweight=".59616pt" strokecolor="#000000"/>
            <v:line style="position:absolute" from="5764,1235" to="5778,1228" stroked="true" strokeweight=".59616pt" strokecolor="#000000"/>
            <v:line style="position:absolute" from="5800,1254" to="5816,1247" stroked="true" strokeweight=".59616pt" strokecolor="#000000"/>
            <v:line style="position:absolute" from="5706,3486" to="5816,1247" stroked="true" strokeweight=".59616pt" strokecolor="#000000"/>
            <v:line style="position:absolute" from="5677,3500" to="5706,3486" stroked="true" strokeweight=".59616pt" strokecolor="#000000"/>
            <v:line style="position:absolute" from="5689,3236" to="5720,3220" stroked="true" strokeweight=".59616pt" strokecolor="#000000"/>
            <v:line style="position:absolute" from="5701,2965" to="5732,2951" stroked="true" strokeweight=".59616pt" strokecolor="#000000"/>
            <v:line style="position:absolute" from="5716,2692" to="5747,2677" stroked="true" strokeweight=".59616pt" strokecolor="#000000"/>
            <v:line style="position:absolute" from="5730,2416" to="5759,2399" stroked="true" strokeweight=".59616pt" strokecolor="#000000"/>
            <v:line style="position:absolute" from="5742,2132" to="5773,2118" stroked="true" strokeweight=".59616pt" strokecolor="#000000"/>
            <v:line style="position:absolute" from="5756,1847" to="5788,1832" stroked="true" strokeweight=".59616pt" strokecolor="#000000"/>
            <v:line style="position:absolute" from="5771,1556" to="5802,1542" stroked="true" strokeweight=".59616pt" strokecolor="#000000"/>
            <v:line style="position:absolute" from="5783,1261" to="5816,1247" stroked="true" strokeweight=".59616pt" strokecolor="#000000"/>
            <v:line style="position:absolute" from="5694,3440" to="5708,3433" stroked="true" strokeweight=".59616pt" strokecolor="#000000"/>
            <v:line style="position:absolute" from="5696,3388" to="5713,3380" stroked="true" strokeweight=".59616pt" strokecolor="#000000"/>
            <v:line style="position:absolute" from="5699,3335" to="5713,3325" stroked="true" strokeweight=".59616pt" strokecolor="#000000"/>
            <v:line style="position:absolute" from="5701,3280" to="5718,3272" stroked="true" strokeweight=".59616pt" strokecolor="#000000"/>
            <v:line style="position:absolute" from="5706,3227" to="5720,3220" stroked="true" strokeweight=".59616pt" strokecolor="#000000"/>
            <v:line style="position:absolute" from="5706,3174" to="5723,3167" stroked="true" strokeweight=".59616pt" strokecolor="#000000"/>
            <v:line style="position:absolute" from="5711,3121" to="5725,3112" stroked="true" strokeweight=".59616pt" strokecolor="#000000"/>
            <v:line style="position:absolute" from="5713,3066" to="5728,3059" stroked="true" strokeweight=".59616pt" strokecolor="#000000"/>
            <v:line style="position:absolute" from="5716,3013" to="5730,3004" stroked="true" strokeweight=".59616pt" strokecolor="#000000"/>
            <v:line style="position:absolute" from="5718,2958" to="5732,2951" stroked="true" strokeweight=".59616pt" strokecolor="#000000"/>
            <v:line style="position:absolute" from="5720,2903" to="5737,2896" stroked="true" strokeweight=".59616pt" strokecolor="#000000"/>
            <v:line style="position:absolute" from="5723,2850" to="5737,2840" stroked="true" strokeweight=".59616pt" strokecolor="#000000"/>
            <v:line style="position:absolute" from="5725,2795" to="5742,2788" stroked="true" strokeweight=".59616pt" strokecolor="#000000"/>
            <v:line style="position:absolute" from="5728,2740" to="5744,2732" stroked="true" strokeweight=".59616pt" strokecolor="#000000"/>
            <v:line style="position:absolute" from="5730,2684" to="5747,2677" stroked="true" strokeweight=".59616pt" strokecolor="#000000"/>
            <v:line style="position:absolute" from="5735,2629" to="5749,2622" stroked="true" strokeweight=".59616pt" strokecolor="#000000"/>
            <v:line style="position:absolute" from="5737,2574" to="5752,2567" stroked="true" strokeweight=".59616pt" strokecolor="#000000"/>
            <v:line style="position:absolute" from="5740,2519" to="5754,2512" stroked="true" strokeweight=".59616pt" strokecolor="#000000"/>
            <v:line style="position:absolute" from="5742,2464" to="5756,2454" stroked="true" strokeweight=".59616pt" strokecolor="#000000"/>
            <v:line style="position:absolute" from="5744,2406" to="5759,2399" stroked="true" strokeweight=".59616pt" strokecolor="#000000"/>
            <v:line style="position:absolute" from="5747,2351" to="5764,2344" stroked="true" strokeweight=".59616pt" strokecolor="#000000"/>
            <v:line style="position:absolute" from="5749,2296" to="5766,2288" stroked="true" strokeweight=".59616pt" strokecolor="#000000"/>
            <v:line style="position:absolute" from="5754,2238" to="5768,2231" stroked="true" strokeweight=".59616pt" strokecolor="#000000"/>
            <v:line style="position:absolute" from="5754,2180" to="5771,2176" stroked="true" strokeweight=".59616pt" strokecolor="#000000"/>
            <v:line style="position:absolute" from="5759,2125" to="5773,2118" stroked="true" strokeweight=".59616pt" strokecolor="#000000"/>
            <v:line style="position:absolute" from="5761,2068" to="5776,2060" stroked="true" strokeweight=".59616pt" strokecolor="#000000"/>
            <v:line style="position:absolute" from="5764,2012" to="5778,2005" stroked="true" strokeweight=".59616pt" strokecolor="#000000"/>
            <v:line style="position:absolute" from="5766,1955" to="5783,1948" stroked="true" strokeweight=".59616pt" strokecolor="#000000"/>
            <v:line style="position:absolute" from="5768,1897" to="5785,1890" stroked="true" strokeweight=".59616pt" strokecolor="#000000"/>
            <v:line style="position:absolute" from="5771,1840" to="5788,1832" stroked="true" strokeweight=".59616pt" strokecolor="#000000"/>
            <v:line style="position:absolute" from="5776,1782" to="5790,1775" stroked="true" strokeweight=".59616pt" strokecolor="#000000"/>
            <v:line style="position:absolute" from="5778,1724" to="5792,1717" stroked="true" strokeweight=".59616pt" strokecolor="#000000"/>
            <v:line style="position:absolute" from="5780,1667" to="5795,1660" stroked="true" strokeweight=".59616pt" strokecolor="#000000"/>
            <v:line style="position:absolute" from="5783,1609" to="5800,1602" stroked="true" strokeweight=".59616pt" strokecolor="#000000"/>
            <v:line style="position:absolute" from="5785,1549" to="5802,1542" stroked="true" strokeweight=".59616pt" strokecolor="#000000"/>
            <v:line style="position:absolute" from="5790,1492" to="5804,1484" stroked="true" strokeweight=".59616pt" strokecolor="#000000"/>
            <v:line style="position:absolute" from="5792,1432" to="5807,1424" stroked="true" strokeweight=".59616pt" strokecolor="#000000"/>
            <v:line style="position:absolute" from="5795,1374" to="5809,1367" stroked="true" strokeweight=".59616pt" strokecolor="#000000"/>
            <v:line style="position:absolute" from="5797,1314" to="5814,1307" stroked="true" strokeweight=".59616pt" strokecolor="#000000"/>
            <v:line style="position:absolute" from="5800,1254" to="5816,1247" stroked="true" strokeweight=".59616pt" strokecolor="#000000"/>
            <v:line style="position:absolute" from="2099,3296" to="1991,1074" stroked="true" strokeweight=".59616pt" strokecolor="#000000"/>
            <v:line style="position:absolute" from="2130,3280" to="2099,3296" stroked="true" strokeweight=".59616pt" strokecolor="#000000"/>
            <v:line style="position:absolute" from="2118,3018" to="2087,3030" stroked="true" strokeweight=".59616pt" strokecolor="#000000"/>
            <v:line style="position:absolute" from="2106,2749" to="2072,2764" stroked="true" strokeweight=".59616pt" strokecolor="#000000"/>
            <v:line style="position:absolute" from="2094,2478" to="2060,2492" stroked="true" strokeweight=".59616pt" strokecolor="#000000"/>
            <v:line style="position:absolute" from="2080,2202" to="2046,2216" stroked="true" strokeweight=".59616pt" strokecolor="#000000"/>
            <v:line style="position:absolute" from="2068,1924" to="2034,1938" stroked="true" strokeweight=".59616pt" strokecolor="#000000"/>
            <v:line style="position:absolute" from="2053,1638" to="2020,1655" stroked="true" strokeweight=".59616pt" strokecolor="#000000"/>
            <v:line style="position:absolute" from="2039,1352" to="2005,1367" stroked="true" strokeweight=".59616pt" strokecolor="#000000"/>
            <v:line style="position:absolute" from="2027,1060" to="1991,1074" stroked="true" strokeweight=".59616pt" strokecolor="#000000"/>
            <v:shape style="position:absolute;left:1840;top:3037;width:156;height:132" type="#_x0000_t75" stroked="false">
              <v:imagedata r:id="rId87" o:title=""/>
            </v:shape>
            <v:shape style="position:absolute;left:1928;top:2771;width:53;height:96" type="#_x0000_t75" stroked="false">
              <v:imagedata r:id="rId88" o:title=""/>
            </v:shape>
            <v:shape style="position:absolute;left:1849;top:2495;width:120;height:130" type="#_x0000_t75" stroked="false">
              <v:imagedata r:id="rId89" o:title=""/>
            </v:shape>
            <v:shape style="position:absolute;left:1832;top:2221;width:122;height:113" type="#_x0000_t75" stroked="false">
              <v:imagedata r:id="rId90" o:title=""/>
            </v:shape>
            <v:shape style="position:absolute;left:1818;top:1940;width:125;height:127" type="#_x0000_t75" stroked="false">
              <v:imagedata r:id="rId91" o:title=""/>
            </v:shape>
            <v:shape style="position:absolute;left:1804;top:1655;width:122;height:127" type="#_x0000_t75" stroked="false">
              <v:imagedata r:id="rId92" o:title=""/>
            </v:shape>
            <v:shape style="position:absolute;left:1727;top:1364;width:185;height:151" type="#_x0000_t75" stroked="false">
              <v:imagedata r:id="rId93" o:title=""/>
            </v:shape>
            <v:shape style="position:absolute;left:1710;top:1072;width:190;height:151" type="#_x0000_t75" stroked="false">
              <v:imagedata r:id="rId94" o:title=""/>
            </v:shape>
            <v:line style="position:absolute" from="2111,3236" to="2096,3244" stroked="true" strokeweight=".59616pt" strokecolor="#000000"/>
            <v:line style="position:absolute" from="2111,3184" to="2094,3191" stroked="true" strokeweight=".59616pt" strokecolor="#000000"/>
            <v:line style="position:absolute" from="2106,3131" to="2092,3138" stroked="true" strokeweight=".59616pt" strokecolor="#000000"/>
            <v:line style="position:absolute" from="2104,3078" to="2087,3085" stroked="true" strokeweight=".59616pt" strokecolor="#000000"/>
            <v:line style="position:absolute" from="2101,3025" to="2087,3030" stroked="true" strokeweight=".59616pt" strokecolor="#000000"/>
            <v:line style="position:absolute" from="2099,2970" to="2082,2977" stroked="true" strokeweight=".59616pt" strokecolor="#000000"/>
            <v:line style="position:absolute" from="2096,2917" to="2080,2924" stroked="true" strokeweight=".59616pt" strokecolor="#000000"/>
            <v:line style="position:absolute" from="2094,2864" to="2077,2872" stroked="true" strokeweight=".59616pt" strokecolor="#000000"/>
            <v:line style="position:absolute" from="2092,2809" to="2075,2819" stroked="true" strokeweight=".59616pt" strokecolor="#000000"/>
            <v:line style="position:absolute" from="2089,2756" to="2072,2764" stroked="true" strokeweight=".59616pt" strokecolor="#000000"/>
            <v:line style="position:absolute" from="2087,2704" to="2070,2711" stroked="true" strokeweight=".59616pt" strokecolor="#000000"/>
            <v:line style="position:absolute" from="2084,2648" to="2068,2656" stroked="true" strokeweight=".59616pt" strokecolor="#000000"/>
            <v:line style="position:absolute" from="2082,2593" to="2065,2603" stroked="true" strokeweight=".59616pt" strokecolor="#000000"/>
            <v:line style="position:absolute" from="2080,2540" to="2063,2548" stroked="true" strokeweight=".59616pt" strokecolor="#000000"/>
            <v:line style="position:absolute" from="2075,2485" to="2060,2492" stroked="true" strokeweight=".59616pt" strokecolor="#000000"/>
            <v:line style="position:absolute" from="2075,2430" to="2058,2437" stroked="true" strokeweight=".59616pt" strokecolor="#000000"/>
            <v:line style="position:absolute" from="2070,2375" to="2053,2382" stroked="true" strokeweight=".59616pt" strokecolor="#000000"/>
            <v:line style="position:absolute" from="2070,2320" to="2051,2327" stroked="true" strokeweight=".59616pt" strokecolor="#000000"/>
            <v:line style="position:absolute" from="2065,2264" to="2048,2272" stroked="true" strokeweight=".59616pt" strokecolor="#000000"/>
            <v:line style="position:absolute" from="2063,2209" to="2046,2216" stroked="true" strokeweight=".59616pt" strokecolor="#000000"/>
            <v:line style="position:absolute" from="2060,2154" to="2044,2161" stroked="true" strokeweight=".59616pt" strokecolor="#000000"/>
            <v:line style="position:absolute" from="2058,2099" to="2041,2106" stroked="true" strokeweight=".59616pt" strokecolor="#000000"/>
            <v:line style="position:absolute" from="2056,2044" to="2039,2048" stroked="true" strokeweight=".59616pt" strokecolor="#000000"/>
            <v:line style="position:absolute" from="2053,1986" to="2036,1993" stroked="true" strokeweight=".59616pt" strokecolor="#000000"/>
            <v:line style="position:absolute" from="2051,1931" to="2034,1938" stroked="true" strokeweight=".59616pt" strokecolor="#000000"/>
            <v:line style="position:absolute" from="2046,1873" to="2029,1880" stroked="true" strokeweight=".59616pt" strokecolor="#000000"/>
            <v:line style="position:absolute" from="2046,1818" to="2027,1825" stroked="true" strokeweight=".59616pt" strokecolor="#000000"/>
            <v:line style="position:absolute" from="2041,1760" to="2024,1768" stroked="true" strokeweight=".59616pt" strokecolor="#000000"/>
            <v:line style="position:absolute" from="2039,1703" to="2022,1710" stroked="true" strokeweight=".59616pt" strokecolor="#000000"/>
            <v:line style="position:absolute" from="2036,1645" to="2020,1655" stroked="true" strokeweight=".59616pt" strokecolor="#000000"/>
            <v:line style="position:absolute" from="2034,1590" to="2017,1597" stroked="true" strokeweight=".59616pt" strokecolor="#000000"/>
            <v:line style="position:absolute" from="2032,1532" to="2015,1540" stroked="true" strokeweight=".59616pt" strokecolor="#000000"/>
            <v:line style="position:absolute" from="2027,1475" to="2010,1482" stroked="true" strokeweight=".59616pt" strokecolor="#000000"/>
            <v:line style="position:absolute" from="2024,1417" to="2008,1424" stroked="true" strokeweight=".59616pt" strokecolor="#000000"/>
            <v:line style="position:absolute" from="2022,1360" to="2005,1367" stroked="true" strokeweight=".59616pt" strokecolor="#000000"/>
            <v:line style="position:absolute" from="2020,1302" to="2003,1307" stroked="true" strokeweight=".59616pt" strokecolor="#000000"/>
            <v:line style="position:absolute" from="2017,1242" to="2000,1249" stroked="true" strokeweight=".59616pt" strokecolor="#000000"/>
            <v:line style="position:absolute" from="2015,1184" to="1998,1192" stroked="true" strokeweight=".59616pt" strokecolor="#000000"/>
            <v:line style="position:absolute" from="2012,1127" to="1993,1132" stroked="true" strokeweight=".59616pt" strokecolor="#000000"/>
            <v:line style="position:absolute" from="2010,1067" to="1991,1074" stroked="true" strokeweight=".59616pt" strokecolor="#000000"/>
            <v:shape style="position:absolute;left:1343;top:1847;width:175;height:1246" type="#_x0000_t75" stroked="false">
              <v:imagedata r:id="rId95" o:title=""/>
            </v:shape>
          </v:group>
        </w:pict>
      </w:r>
      <w:r>
        <w:rPr>
          <w:sz w:val="20"/>
        </w:rPr>
      </w:r>
    </w:p>
    <w:p>
      <w:pPr>
        <w:spacing w:line="171" w:lineRule="exact" w:before="0"/>
        <w:ind w:left="868" w:right="589" w:firstLine="0"/>
        <w:jc w:val="center"/>
        <w:rPr>
          <w:b/>
          <w:sz w:val="18"/>
        </w:rPr>
      </w:pPr>
      <w:r>
        <w:rPr>
          <w:b/>
          <w:sz w:val="18"/>
        </w:rPr>
        <w:t>Figura 42. Comparación de la TVCN con la concentración de nitrógeno amoniacal y la TVNA del filtro</w:t>
      </w:r>
    </w:p>
    <w:p>
      <w:pPr>
        <w:spacing w:line="207" w:lineRule="exact" w:before="0"/>
        <w:ind w:left="868" w:right="589" w:firstLine="0"/>
        <w:jc w:val="center"/>
        <w:rPr>
          <w:b/>
          <w:sz w:val="18"/>
        </w:rPr>
      </w:pPr>
      <w:r>
        <w:rPr>
          <w:b/>
          <w:sz w:val="18"/>
        </w:rPr>
        <w:t>lento de arena</w:t>
      </w:r>
    </w:p>
    <w:p>
      <w:pPr>
        <w:pStyle w:val="BodyText"/>
        <w:ind w:left="1394"/>
        <w:rPr>
          <w:sz w:val="20"/>
        </w:rPr>
      </w:pPr>
      <w:r>
        <w:rPr>
          <w:sz w:val="20"/>
        </w:rPr>
        <w:pict>
          <v:group style="width:380.3pt;height:286.350pt;mso-position-horizontal-relative:char;mso-position-vertical-relative:line" coordorigin="0,0" coordsize="7606,5727">
            <v:rect style="position:absolute;left:6;top:6;width:7594;height:5714" filled="false" stroked="true" strokeweight=".599838pt" strokecolor="#000000"/>
            <v:shape style="position:absolute;left:1998;top:252;width:3900;height:4374" type="#_x0000_t75" stroked="false">
              <v:imagedata r:id="rId96" o:title=""/>
            </v:shape>
            <v:line style="position:absolute" from="3856,4364" to="3868,4374" stroked="true" strokeweight=".599671pt" strokecolor="#000000"/>
            <v:line style="position:absolute" from="4026,4276" to="4040,4285" stroked="true" strokeweight=".600149pt" strokecolor="#000000"/>
            <v:line style="position:absolute" from="4194,4189" to="4208,4199" stroked="true" strokeweight=".600149pt" strokecolor="#000000"/>
            <v:line style="position:absolute" from="4362,4103" to="4376,4112" stroked="true" strokeweight=".600149pt" strokecolor="#000000"/>
            <v:line style="position:absolute" from="4530,4019" to="4542,4028" stroked="true" strokeweight=".599671pt" strokecolor="#000000"/>
            <v:line style="position:absolute" from="4693,3935" to="4708,3944" stroked="true" strokeweight=".600149pt" strokecolor="#000000"/>
            <v:line style="position:absolute" from="4856,3851" to="4871,3860" stroked="true" strokeweight=".600149pt" strokecolor="#000000"/>
            <v:line style="position:absolute" from="5017,3767" to="5032,3779" stroked="true" strokeweight=".599558pt" strokecolor="#000000"/>
            <v:line style="position:absolute" from="5178,3688" to="5192,3695" stroked="true" strokeweight=".600767pt" strokecolor="#000000"/>
            <v:line style="position:absolute" from="5336,3606" to="5351,3613" stroked="true" strokeweight=".600767pt" strokecolor="#000000"/>
            <v:line style="position:absolute" from="5495,3524" to="5507,3534" stroked="true" strokeweight=".599671pt" strokecolor="#000000"/>
            <v:line style="position:absolute" from="5648,3445" to="5663,3455" stroked="true" strokeweight=".600143pt" strokecolor="#000000"/>
            <v:shape style="position:absolute;left:4602;top:3978;width:1178;height:626" type="#_x0000_t75" stroked="false">
              <v:imagedata r:id="rId97" o:title=""/>
            </v:shape>
            <v:line style="position:absolute" from="1988,1064" to="4028,258" stroked="true" strokeweight=".601143pt" strokecolor="#000000"/>
            <v:line style="position:absolute" from="2012,1081" to="1988,1064" stroked="true" strokeweight=".600026pt" strokecolor="#000000"/>
            <v:line style="position:absolute" from="2370,940" to="2344,923" stroked="true" strokeweight=".600259pt" strokecolor="#000000"/>
            <v:line style="position:absolute" from="2720,803" to="2694,786" stroked="true" strokeweight=".600264pt" strokecolor="#000000"/>
            <v:line style="position:absolute" from="3064,666" to="3037,649" stroked="true" strokeweight=".600261pt" strokecolor="#000000"/>
            <v:line style="position:absolute" from="3400,534" to="3376,517" stroked="true" strokeweight=".600026pt" strokecolor="#000000"/>
            <v:line style="position:absolute" from="3731,402" to="3704,388" stroked="true" strokeweight=".6006pt" strokecolor="#000000"/>
            <v:line style="position:absolute" from="4055,275" to="4028,258" stroked="true" strokeweight=".600259pt" strokecolor="#000000"/>
            <v:line style="position:absolute" from="2180,1002" to="2166,992" stroked="true" strokeweight=".600143pt" strokecolor="#000000"/>
            <v:line style="position:absolute" from="2358,932" to="2344,923" stroked="true" strokeweight=".600149pt" strokecolor="#000000"/>
            <v:line style="position:absolute" from="2533,863" to="2521,853" stroked="true" strokeweight=".599677pt" strokecolor="#000000"/>
            <v:line style="position:absolute" from="2706,793" to="2694,786" stroked="true" strokeweight=".600403pt" strokecolor="#000000"/>
            <v:line style="position:absolute" from="2879,726" to="2867,716" stroked="true" strokeweight=".599664pt" strokecolor="#000000"/>
            <v:line style="position:absolute" from="3049,659" to="3037,649" stroked="true" strokeweight=".599677pt" strokecolor="#000000"/>
            <v:line style="position:absolute" from="3220,592" to="3208,582" stroked="true" strokeweight=".599671pt" strokecolor="#000000"/>
            <v:line style="position:absolute" from="3388,524" to="3376,517" stroked="true" strokeweight=".600396pt" strokecolor="#000000"/>
            <v:line style="position:absolute" from="3553,460" to="3541,452" stroked="true" strokeweight=".600391pt" strokecolor="#000000"/>
            <v:line style="position:absolute" from="3719,395" to="3704,388" stroked="true" strokeweight=".600764pt" strokecolor="#000000"/>
            <v:line style="position:absolute" from="3880,330" to="3868,323" stroked="true" strokeweight=".600396pt" strokecolor="#000000"/>
            <v:line style="position:absolute" from="4043,265" to="4028,258" stroked="true" strokeweight=".600773pt" strokecolor="#000000"/>
            <v:line style="position:absolute" from="3695,4463" to="2092,3268" stroked="true" strokeweight=".599863pt" strokecolor="#000000"/>
            <v:line style="position:absolute" from="2125,3251" to="2092,3268" stroked="true" strokeweight=".600768pt" strokecolor="#000000"/>
            <v:line style="position:absolute" from="2226,3325" to="2192,3342" stroked="true" strokeweight=".600768pt" strokecolor="#000000"/>
            <v:line style="position:absolute" from="2327,3402" to="2293,3416" stroked="true" strokeweight=".601027pt" strokecolor="#000000"/>
            <v:line style="position:absolute" from="2428,3479" to="2396,3493" stroked="true" strokeweight=".600911pt" strokecolor="#000000"/>
            <v:line style="position:absolute" from="2531,3553" to="2500,3570" stroked="true" strokeweight=".600625pt" strokecolor="#000000"/>
            <v:line style="position:absolute" from="2634,3632" to="2603,3647" stroked="true" strokeweight=".600910pt" strokecolor="#000000"/>
            <v:line style="position:absolute" from="2740,3709" to="2706,3724" stroked="true" strokeweight=".601027pt" strokecolor="#000000"/>
            <v:line style="position:absolute" from="2845,3788" to="2812,3805" stroked="true" strokeweight=".600768pt" strokecolor="#000000"/>
            <v:line style="position:absolute" from="2953,3868" to="2920,3884" stroked="true" strokeweight=".600767pt" strokecolor="#000000"/>
            <v:line style="position:absolute" from="3061,3947" to="3028,3964" stroked="true" strokeweight=".600768pt" strokecolor="#000000"/>
            <v:line style="position:absolute" from="3169,4028" to="3136,4045" stroked="true" strokeweight=".600768pt" strokecolor="#000000"/>
            <v:line style="position:absolute" from="3277,4110" to="3246,4127" stroked="true" strokeweight=".600626pt" strokecolor="#000000"/>
            <v:line style="position:absolute" from="3390,4194" to="3356,4208" stroked="true" strokeweight=".601027pt" strokecolor="#000000"/>
            <v:line style="position:absolute" from="3500,4276" to="3467,4292" stroked="true" strokeweight=".600768pt" strokecolor="#000000"/>
            <v:line style="position:absolute" from="3613,4360" to="3580,4376" stroked="true" strokeweight=".600768pt" strokecolor="#000000"/>
            <v:line style="position:absolute" from="3728,4446" to="3695,4463" stroked="true" strokeweight=".600767pt" strokecolor="#000000"/>
            <v:shape style="position:absolute;left:1854;top:3289;width:1771;height:1342" type="#_x0000_t75" stroked="false">
              <v:imagedata r:id="rId98" o:title=""/>
            </v:shape>
            <v:line style="position:absolute" from="2130,3275" to="2113,3282" stroked="true" strokeweight=".601026pt" strokecolor="#000000"/>
            <v:line style="position:absolute" from="2149,3289" to="2132,3296" stroked="true" strokeweight=".601031pt" strokecolor="#000000"/>
            <v:line style="position:absolute" from="2168,3304" to="2152,3311" stroked="true" strokeweight=".601029pt" strokecolor="#000000"/>
            <v:line style="position:absolute" from="2190,3320" to="2173,3325" stroked="true" strokeweight=".601487pt" strokecolor="#000000"/>
            <v:line style="position:absolute" from="2209,3335" to="2192,3342" stroked="true" strokeweight=".601026pt" strokecolor="#000000"/>
            <v:line style="position:absolute" from="2228,3349" to="2214,3356" stroked="true" strokeweight=".60077pt" strokecolor="#000000"/>
            <v:line style="position:absolute" from="2250,3364" to="2233,3371" stroked="true" strokeweight=".601031pt" strokecolor="#000000"/>
            <v:line style="position:absolute" from="2269,3380" to="2252,3388" stroked="true" strokeweight=".601026pt" strokecolor="#000000"/>
            <v:line style="position:absolute" from="2291,3395" to="2274,3402" stroked="true" strokeweight=".601029pt" strokecolor="#000000"/>
            <v:line style="position:absolute" from="2310,3409" to="2293,3416" stroked="true" strokeweight=".601029pt" strokecolor="#000000"/>
            <v:line style="position:absolute" from="2329,3424" to="2315,3431" stroked="true" strokeweight=".600773pt" strokecolor="#000000"/>
            <v:line style="position:absolute" from="2351,3440" to="2334,3448" stroked="true" strokeweight=".601024pt" strokecolor="#000000"/>
            <v:line style="position:absolute" from="2370,3455" to="2356,3462" stroked="true" strokeweight=".600773pt" strokecolor="#000000"/>
            <v:line style="position:absolute" from="2392,3469" to="2375,3479" stroked="true" strokeweight=".600502pt" strokecolor="#000000"/>
            <v:line style="position:absolute" from="2413,3486" to="2396,3493" stroked="true" strokeweight=".601026pt" strokecolor="#000000"/>
            <v:line style="position:absolute" from="2432,3500" to="2416,3508" stroked="true" strokeweight=".601026pt" strokecolor="#000000"/>
            <v:line style="position:absolute" from="2454,3515" to="2437,3522" stroked="true" strokeweight=".601029pt" strokecolor="#000000"/>
            <v:line style="position:absolute" from="2473,3532" to="2456,3539" stroked="true" strokeweight=".601026pt" strokecolor="#000000"/>
            <v:line style="position:absolute" from="2495,3546" to="2478,3553" stroked="true" strokeweight=".601024pt" strokecolor="#000000"/>
            <v:line style="position:absolute" from="2514,3563" to="2500,3570" stroked="true" strokeweight=".600767pt" strokecolor="#000000"/>
            <v:line style="position:absolute" from="2536,3577" to="2519,3584" stroked="true" strokeweight=".601024pt" strokecolor="#000000"/>
            <v:line style="position:absolute" from="2555,3592" to="2540,3601" stroked="true" strokeweight=".600149pt" strokecolor="#000000"/>
            <v:line style="position:absolute" from="2576,3608" to="2562,3616" stroked="true" strokeweight=".600773pt" strokecolor="#000000"/>
            <v:line style="position:absolute" from="2598,3623" to="2581,3632" stroked="true" strokeweight=".600502pt" strokecolor="#000000"/>
            <v:line style="position:absolute" from="2620,3640" to="2603,3647" stroked="true" strokeweight=".601029pt" strokecolor="#000000"/>
            <v:line style="position:absolute" from="2639,3654" to="2622,3664" stroked="true" strokeweight=".600502pt" strokecolor="#000000"/>
            <v:line style="position:absolute" from="2660,3671" to="2644,3678" stroked="true" strokeweight=".601024pt" strokecolor="#000000"/>
            <v:line style="position:absolute" from="2682,3685" to="2665,3692" stroked="true" strokeweight=".601031pt" strokecolor="#000000"/>
            <v:line style="position:absolute" from="2704,3702" to="2687,3709" stroked="true" strokeweight=".601024pt" strokecolor="#000000"/>
            <v:line style="position:absolute" from="2723,3719" to="2706,3724" stroked="true" strokeweight=".601486pt" strokecolor="#000000"/>
            <v:line style="position:absolute" from="2744,3733" to="2728,3740" stroked="true" strokeweight=".601024pt" strokecolor="#000000"/>
            <v:line style="position:absolute" from="2766,3748" to="2749,3757" stroked="true" strokeweight=".600505pt" strokecolor="#000000"/>
            <v:line style="position:absolute" from="2788,3764" to="2771,3772" stroked="true" strokeweight=".601029pt" strokecolor="#000000"/>
            <v:line style="position:absolute" from="2807,3779" to="2792,3788" stroked="true" strokeweight=".600149pt" strokecolor="#000000"/>
            <v:line style="position:absolute" from="2831,3796" to="2812,3805" stroked="true" strokeweight=".60077pt" strokecolor="#000000"/>
            <v:line style="position:absolute" from="2850,3812" to="2833,3820" stroked="true" strokeweight=".601026pt" strokecolor="#000000"/>
            <v:line style="position:absolute" from="2872,3829" to="2855,3836" stroked="true" strokeweight=".601029pt" strokecolor="#000000"/>
            <v:line style="position:absolute" from="2893,3844" to="2876,3851" stroked="true" strokeweight=".601024pt" strokecolor="#000000"/>
            <v:line style="position:absolute" from="2915,3860" to="2898,3868" stroked="true" strokeweight=".601031pt" strokecolor="#000000"/>
            <v:line style="position:absolute" from="2936,3875" to="2920,3884" stroked="true" strokeweight=".600502pt" strokecolor="#000000"/>
            <v:line style="position:absolute" from="2958,3892" to="2941,3899" stroked="true" strokeweight=".601024pt" strokecolor="#000000"/>
            <v:line style="position:absolute" from="2980,3908" to="2963,3916" stroked="true" strokeweight=".601026pt" strokecolor="#000000"/>
            <v:line style="position:absolute" from="3001,3923" to="2984,3932" stroked="true" strokeweight=".600502pt" strokecolor="#000000"/>
            <v:line style="position:absolute" from="3023,3940" to="3006,3947" stroked="true" strokeweight=".601029pt" strokecolor="#000000"/>
            <v:line style="position:absolute" from="3044,3956" to="3028,3964" stroked="true" strokeweight=".601031pt" strokecolor="#000000"/>
            <v:line style="position:absolute" from="3066,3971" to="3049,3980" stroked="true" strokeweight=".600502pt" strokecolor="#000000"/>
            <v:line style="position:absolute" from="3088,3988" to="3071,3997" stroked="true" strokeweight=".600502pt" strokecolor="#000000"/>
            <v:line style="position:absolute" from="3109,4004" to="3092,4012" stroked="true" strokeweight=".601026pt" strokecolor="#000000"/>
            <v:line style="position:absolute" from="3131,4021" to="3114,4028" stroked="true" strokeweight=".601029pt" strokecolor="#000000"/>
            <v:line style="position:absolute" from="3152,4038" to="3136,4045" stroked="true" strokeweight=".601024pt" strokecolor="#000000"/>
            <v:line style="position:absolute" from="3174,4052" to="3157,4062" stroked="true" strokeweight=".600505pt" strokecolor="#000000"/>
            <v:line style="position:absolute" from="3196,4069" to="3179,4079" stroked="true" strokeweight=".600502pt" strokecolor="#000000"/>
            <v:line style="position:absolute" from="3217,4086" to="3200,4093" stroked="true" strokeweight=".601031pt" strokecolor="#000000"/>
            <v:line style="position:absolute" from="3241,4103" to="3224,4110" stroked="true" strokeweight=".601024pt" strokecolor="#000000"/>
            <v:line style="position:absolute" from="3263,4120" to="3246,4127" stroked="true" strokeweight=".601026pt" strokecolor="#000000"/>
            <v:line style="position:absolute" from="3284,4136" to="3268,4144" stroked="true" strokeweight=".601029pt" strokecolor="#000000"/>
            <v:line style="position:absolute" from="3306,4151" to="3289,4160" stroked="true" strokeweight=".600502pt" strokecolor="#000000"/>
            <v:line style="position:absolute" from="3328,4168" to="3313,4177" stroked="true" strokeweight=".600143pt" strokecolor="#000000"/>
            <v:line style="position:absolute" from="3352,4184" to="3335,4194" stroked="true" strokeweight=".600505pt" strokecolor="#000000"/>
            <v:line style="position:absolute" from="3373,4201" to="3356,4208" stroked="true" strokeweight=".601029pt" strokecolor="#000000"/>
            <v:line style="position:absolute" from="3395,4218" to="3378,4228" stroked="true" strokeweight=".600502pt" strokecolor="#000000"/>
            <v:line style="position:absolute" from="3416,4235" to="3402,4242" stroked="true" strokeweight=".600767pt" strokecolor="#000000"/>
            <v:line style="position:absolute" from="3440,4252" to="3424,4259" stroked="true" strokeweight=".601029pt" strokecolor="#000000"/>
            <v:line style="position:absolute" from="3462,4268" to="3445,4276" stroked="true" strokeweight=".601026pt" strokecolor="#000000"/>
            <v:line style="position:absolute" from="3486,4285" to="3467,4292" stroked="true" strokeweight=".601209pt" strokecolor="#000000"/>
            <v:line style="position:absolute" from="3508,4302" to="3491,4309" stroked="true" strokeweight=".601029pt" strokecolor="#000000"/>
            <v:line style="position:absolute" from="3529,4319" to="3512,4326" stroked="true" strokeweight=".601024pt" strokecolor="#000000"/>
            <v:line style="position:absolute" from="3551,4336" to="3536,4345" stroked="true" strokeweight=".600149pt" strokecolor="#000000"/>
            <v:line style="position:absolute" from="3575,4352" to="3558,4360" stroked="true" strokeweight=".601031pt" strokecolor="#000000"/>
            <v:line style="position:absolute" from="3599,4369" to="3580,4376" stroked="true" strokeweight=".601209pt" strokecolor="#000000"/>
            <v:line style="position:absolute" from="3620,4386" to="3604,4393" stroked="true" strokeweight=".601031pt" strokecolor="#000000"/>
            <v:line style="position:absolute" from="3642,4403" to="3628,4412" stroked="true" strokeweight=".600149pt" strokecolor="#000000"/>
            <v:line style="position:absolute" from="3666,4420" to="3649,4429" stroked="true" strokeweight=".600505pt" strokecolor="#000000"/>
            <v:line style="position:absolute" from="3688,4436" to="3671,4446" stroked="true" strokeweight=".600502pt" strokecolor="#000000"/>
            <v:line style="position:absolute" from="3712,4456" to="3695,4463" stroked="true" strokeweight=".601024pt" strokecolor="#000000"/>
            <v:shape style="position:absolute;left:1864;top:3817;width:826;height:648" type="#_x0000_t75" stroked="false">
              <v:imagedata r:id="rId99" o:title=""/>
            </v:shape>
            <v:line style="position:absolute" from="5771,1237" to="4028,258" stroked="true" strokeweight=".600538pt" strokecolor="#000000"/>
            <v:line style="position:absolute" from="3997,270" to="4028,258" stroked="true" strokeweight=".601180pt" strokecolor="#000000"/>
            <v:line style="position:absolute" from="4108,332" to="4139,320" stroked="true" strokeweight=".601178pt" strokecolor="#000000"/>
            <v:line style="position:absolute" from="4218,395" to="4249,380" stroked="true" strokeweight=".600907pt" strokecolor="#000000"/>
            <v:line style="position:absolute" from="4328,457" to="4360,443" stroked="true" strokeweight=".600910pt" strokecolor="#000000"/>
            <v:line style="position:absolute" from="4439,520" to="4470,508" stroked="true" strokeweight=".601179pt" strokecolor="#000000"/>
            <v:line style="position:absolute" from="4552,582" to="4583,570" stroked="true" strokeweight=".601180pt" strokecolor="#000000"/>
            <v:line style="position:absolute" from="4664,647" to="4698,635" stroked="true" strokeweight=".601271pt" strokecolor="#000000"/>
            <v:line style="position:absolute" from="4780,712" to="4813,700" stroked="true" strokeweight=".601271pt" strokecolor="#000000"/>
            <v:line style="position:absolute" from="4897,776" to="4928,764" stroked="true" strokeweight=".601178pt" strokecolor="#000000"/>
            <v:line style="position:absolute" from="5015,844" to="5046,829" stroked="true" strokeweight=".600911pt" strokecolor="#000000"/>
            <v:line style="position:absolute" from="5132,908" to="5164,896" stroked="true" strokeweight=".601180pt" strokecolor="#000000"/>
            <v:line style="position:absolute" from="5250,976" to="5284,964" stroked="true" strokeweight=".601268pt" strokecolor="#000000"/>
            <v:line style="position:absolute" from="5372,1043" to="5404,1031" stroked="true" strokeweight=".601181pt" strokecolor="#000000"/>
            <v:line style="position:absolute" from="5495,1112" to="5524,1098" stroked="true" strokeweight=".600767pt" strokecolor="#000000"/>
            <v:line style="position:absolute" from="5615,1182" to="5648,1168" stroked="true" strokeweight=".601028pt" strokecolor="#000000"/>
            <v:line style="position:absolute" from="5740,1252" to="5771,1237" stroked="true" strokeweight=".600911pt" strokecolor="#000000"/>
            <v:line style="position:absolute" from="4036,277" to="4052,270" stroked="true" strokeweight=".601026pt" strokecolor="#000000"/>
            <v:line style="position:absolute" from="4057,289" to="4072,282" stroked="true" strokeweight=".600767pt" strokecolor="#000000"/>
            <v:line style="position:absolute" from="4079,301" to="4093,296" stroked="true" strokeweight=".601346pt" strokecolor="#000000"/>
            <v:line style="position:absolute" from="4100,313" to="4117,308" stroked="true" strokeweight=".601487pt" strokecolor="#000000"/>
            <v:line style="position:absolute" from="4122,325" to="4139,320" stroked="true" strokeweight=".601486pt" strokecolor="#000000"/>
            <v:line style="position:absolute" from="4144,337" to="4160,332" stroked="true" strokeweight=".601486pt" strokecolor="#000000"/>
            <v:line style="position:absolute" from="4165,352" to="4182,344" stroked="true" strokeweight=".601031pt" strokecolor="#000000"/>
            <v:line style="position:absolute" from="4189,364" to="4204,356" stroked="true" strokeweight=".600767pt" strokecolor="#000000"/>
            <v:line style="position:absolute" from="4211,376" to="4225,368" stroked="true" strokeweight=".60077pt" strokecolor="#000000"/>
            <v:line style="position:absolute" from="4232,388" to="4249,380" stroked="true" strokeweight=".601024pt" strokecolor="#000000"/>
            <v:line style="position:absolute" from="4254,400" to="4271,395" stroked="true" strokeweight=".601487pt" strokecolor="#000000"/>
            <v:line style="position:absolute" from="4278,412" to="4292,407" stroked="true" strokeweight=".601346pt" strokecolor="#000000"/>
            <v:line style="position:absolute" from="4300,426" to="4314,419" stroked="true" strokeweight=".600773pt" strokecolor="#000000"/>
            <v:line style="position:absolute" from="4321,438" to="4336,431" stroked="true" strokeweight=".600767pt" strokecolor="#000000"/>
            <v:line style="position:absolute" from="4343,450" to="4360,443" stroked="true" strokeweight=".601024pt" strokecolor="#000000"/>
            <v:line style="position:absolute" from="4367,462" to="4381,457" stroked="true" strokeweight=".601346pt" strokecolor="#000000"/>
            <v:line style="position:absolute" from="4388,476" to="4403,469" stroked="true" strokeweight=".600773pt" strokecolor="#000000"/>
            <v:line style="position:absolute" from="4410,488" to="4427,481" stroked="true" strokeweight=".601024pt" strokecolor="#000000"/>
            <v:line style="position:absolute" from="4434,500" to="4448,493" stroked="true" strokeweight=".600767pt" strokecolor="#000000"/>
            <v:line style="position:absolute" from="4456,512" to="4470,508" stroked="true" strokeweight=".601346pt" strokecolor="#000000"/>
            <v:line style="position:absolute" from="4477,527" to="4492,520" stroked="true" strokeweight=".600773pt" strokecolor="#000000"/>
            <v:line style="position:absolute" from="4499,539" to="4516,532" stroked="true" strokeweight=".601024pt" strokecolor="#000000"/>
            <v:line style="position:absolute" from="4523,551" to="4537,546" stroked="true" strokeweight=".601346pt" strokecolor="#000000"/>
            <v:line style="position:absolute" from="4544,563" to="4561,558" stroked="true" strokeweight=".601486pt" strokecolor="#000000"/>
            <v:line style="position:absolute" from="4568,577" to="4583,570" stroked="true" strokeweight=".60077pt" strokecolor="#000000"/>
            <v:line style="position:absolute" from="4590,589" to="4607,582" stroked="true" strokeweight=".601024pt" strokecolor="#000000"/>
            <v:line style="position:absolute" from="4614,601" to="4628,596" stroked="true" strokeweight=".601346pt" strokecolor="#000000"/>
            <v:line style="position:absolute" from="4636,616" to="4652,608" stroked="true" strokeweight=".601024pt" strokecolor="#000000"/>
            <v:line style="position:absolute" from="4660,628" to="4674,620" stroked="true" strokeweight=".600773pt" strokecolor="#000000"/>
            <v:line style="position:absolute" from="4681,640" to="4698,635" stroked="true" strokeweight=".601487pt" strokecolor="#000000"/>
            <v:line style="position:absolute" from="4705,654" to="4720,647" stroked="true" strokeweight=".600767pt" strokecolor="#000000"/>
            <v:line style="position:absolute" from="4727,666" to="4744,659" stroked="true" strokeweight=".601026pt" strokecolor="#000000"/>
            <v:line style="position:absolute" from="4751,680" to="4765,673" stroked="true" strokeweight=".600767pt" strokecolor="#000000"/>
            <v:line style="position:absolute" from="4772,692" to="4789,685" stroked="true" strokeweight=".601029pt" strokecolor="#000000"/>
            <v:line style="position:absolute" from="4796,704" to="4813,700" stroked="true" strokeweight=".601487pt" strokecolor="#000000"/>
            <v:line style="position:absolute" from="4820,719" to="4835,712" stroked="true" strokeweight=".600767pt" strokecolor="#000000"/>
            <v:line style="position:absolute" from="4842,731" to="4859,724" stroked="true" strokeweight=".601024pt" strokecolor="#000000"/>
            <v:line style="position:absolute" from="4866,745" to="4880,738" stroked="true" strokeweight=".600767pt" strokecolor="#000000"/>
            <v:line style="position:absolute" from="4890,757" to="4904,750" stroked="true" strokeweight=".600773pt" strokecolor="#000000"/>
            <v:line style="position:absolute" from="4912,772" to="4928,764" stroked="true" strokeweight=".601029pt" strokecolor="#000000"/>
            <v:line style="position:absolute" from="4936,784" to="4952,776" stroked="true" strokeweight=".601031pt" strokecolor="#000000"/>
            <v:line style="position:absolute" from="4960,798" to="4976,791" stroked="true" strokeweight=".601031pt" strokecolor="#000000"/>
            <v:line style="position:absolute" from="4981,810" to="4998,803" stroked="true" strokeweight=".601024pt" strokecolor="#000000"/>
            <v:line style="position:absolute" from="5005,822" to="5022,815" stroked="true" strokeweight=".601031pt" strokecolor="#000000"/>
            <v:line style="position:absolute" from="5029,836" to="5046,829" stroked="true" strokeweight=".601026pt" strokecolor="#000000"/>
            <v:line style="position:absolute" from="5053,848" to="5070,844" stroked="true" strokeweight=".601486pt" strokecolor="#000000"/>
            <v:line style="position:absolute" from="5077,863" to="5092,856" stroked="true" strokeweight=".600773pt" strokecolor="#000000"/>
            <v:line style="position:absolute" from="5101,877" to="5116,870" stroked="true" strokeweight=".600773pt" strokecolor="#000000"/>
            <v:line style="position:absolute" from="5125,889" to="5140,882" stroked="true" strokeweight=".600764pt" strokecolor="#000000"/>
            <v:line style="position:absolute" from="5149,901" to="5164,896" stroked="true" strokeweight=".601346pt" strokecolor="#000000"/>
            <v:line style="position:absolute" from="5171,916" to="5188,908" stroked="true" strokeweight=".601024pt" strokecolor="#000000"/>
            <v:line style="position:absolute" from="5195,930" to="5212,923" stroked="true" strokeweight=".601024pt" strokecolor="#000000"/>
            <v:line style="position:absolute" from="5219,942" to="5236,937" stroked="true" strokeweight=".601487pt" strokecolor="#000000"/>
            <v:line style="position:absolute" from="5243,956" to="5260,949" stroked="true" strokeweight=".601026pt" strokecolor="#000000"/>
            <v:line style="position:absolute" from="5267,968" to="5284,964" stroked="true" strokeweight=".601486pt" strokecolor="#000000"/>
            <v:line style="position:absolute" from="5291,983" to="5308,976" stroked="true" strokeweight=".601029pt" strokecolor="#000000"/>
            <v:line style="position:absolute" from="5315,997" to="5332,990" stroked="true" strokeweight=".601029pt" strokecolor="#000000"/>
            <v:line style="position:absolute" from="5339,1012" to="5356,1004" stroked="true" strokeweight=".601024pt" strokecolor="#000000"/>
            <v:line style="position:absolute" from="5363,1024" to="5380,1016" stroked="true" strokeweight=".601031pt" strokecolor="#000000"/>
            <v:line style="position:absolute" from="5387,1038" to="5404,1031" stroked="true" strokeweight=".601031pt" strokecolor="#000000"/>
            <v:line style="position:absolute" from="5411,1050" to="5428,1043" stroked="true" strokeweight=".601024pt" strokecolor="#000000"/>
            <v:line style="position:absolute" from="5435,1064" to="5452,1057" stroked="true" strokeweight=".601029pt" strokecolor="#000000"/>
            <v:line style="position:absolute" from="5461,1079" to="5476,1072" stroked="true" strokeweight=".600773pt" strokecolor="#000000"/>
            <v:line style="position:absolute" from="5485,1091" to="5500,1086" stroked="true" strokeweight=".601346pt" strokecolor="#000000"/>
            <v:line style="position:absolute" from="5509,1105" to="5524,1098" stroked="true" strokeweight=".600767pt" strokecolor="#000000"/>
            <v:line style="position:absolute" from="5533,1120" to="5548,1112" stroked="true" strokeweight=".600773pt" strokecolor="#000000"/>
            <v:line style="position:absolute" from="5557,1134" to="5574,1127" stroked="true" strokeweight=".601029pt" strokecolor="#000000"/>
            <v:line style="position:absolute" from="5584,1146" to="5598,1141" stroked="true" strokeweight=".601346pt" strokecolor="#000000"/>
            <v:line style="position:absolute" from="5608,1160" to="5622,1153" stroked="true" strokeweight=".600767pt" strokecolor="#000000"/>
            <v:line style="position:absolute" from="5632,1175" to="5648,1168" stroked="true" strokeweight=".601029pt" strokecolor="#000000"/>
            <v:line style="position:absolute" from="5656,1189" to="5672,1182" stroked="true" strokeweight=".601031pt" strokecolor="#000000"/>
            <v:line style="position:absolute" from="5682,1201" to="5696,1196" stroked="true" strokeweight=".601346pt" strokecolor="#000000"/>
            <v:line style="position:absolute" from="5706,1216" to="5720,1208" stroked="true" strokeweight=".600767pt" strokecolor="#000000"/>
            <v:line style="position:absolute" from="5730,1230" to="5747,1223" stroked="true" strokeweight=".601031pt" strokecolor="#000000"/>
            <v:line style="position:absolute" from="5756,1244" to="5771,1237" stroked="true" strokeweight=".600773pt" strokecolor="#000000"/>
            <v:line style="position:absolute" from="5663,3455" to="5771,1237" stroked="true" strokeweight=".596173pt" strokecolor="#000000"/>
            <v:line style="position:absolute" from="5634,3469" to="5663,3455" stroked="true" strokeweight=".60077pt" strokecolor="#000000"/>
            <v:line style="position:absolute" from="5648,3169" to="5677,3152" stroked="true" strokeweight=".600461pt" strokecolor="#000000"/>
            <v:line style="position:absolute" from="5663,2862" to="5692,2848" stroked="true" strokeweight=".60077pt" strokecolor="#000000"/>
            <v:line style="position:absolute" from="5677,2550" to="5708,2536" stroked="true" strokeweight=".600910pt" strokecolor="#000000"/>
            <v:line style="position:absolute" from="5692,2233" to="5723,2219" stroked="true" strokeweight=".600910pt" strokecolor="#000000"/>
            <v:line style="position:absolute" from="5708,1912" to="5740,1897" stroked="true" strokeweight=".600910pt" strokecolor="#000000"/>
            <v:line style="position:absolute" from="5725,1585" to="5756,1571" stroked="true" strokeweight=".600911pt" strokecolor="#000000"/>
            <v:line style="position:absolute" from="5740,1252" to="5771,1237" stroked="true" strokeweight=".600911pt" strokecolor="#000000"/>
            <v:line style="position:absolute" from="5651,3402" to="5668,3395" stroked="true" strokeweight=".601031pt" strokecolor="#000000"/>
            <v:line style="position:absolute" from="5656,3342" to="5670,3335" stroked="true" strokeweight=".600767pt" strokecolor="#000000"/>
            <v:line style="position:absolute" from="5658,3282" to="5672,3275" stroked="true" strokeweight=".600767pt" strokecolor="#000000"/>
            <v:line style="position:absolute" from="5660,3222" to="5675,3215" stroked="true" strokeweight=".600767pt" strokecolor="#000000"/>
            <v:line style="position:absolute" from="5663,3160" to="5677,3152" stroked="true" strokeweight=".600773pt" strokecolor="#000000"/>
            <v:line style="position:absolute" from="5665,3100" to="5680,3092" stroked="true" strokeweight=".600773pt" strokecolor="#000000"/>
            <v:line style="position:absolute" from="5668,3040" to="5684,3030" stroked="true" strokeweight=".600502pt" strokecolor="#000000"/>
            <v:line style="position:absolute" from="5672,2977" to="5687,2970" stroked="true" strokeweight=".600767pt" strokecolor="#000000"/>
            <v:line style="position:absolute" from="5675,2917" to="5689,2908" stroked="true" strokeweight=".600149pt" strokecolor="#000000"/>
            <v:line style="position:absolute" from="5677,2855" to="5692,2848" stroked="true" strokeweight=".600773pt" strokecolor="#000000"/>
            <v:line style="position:absolute" from="5680,2792" to="5696,2785" stroked="true" strokeweight=".601026pt" strokecolor="#000000"/>
            <v:line style="position:absolute" from="5684,2730" to="5699,2723" stroked="true" strokeweight=".600767pt" strokecolor="#000000"/>
            <v:line style="position:absolute" from="5687,2668" to="5701,2660" stroked="true" strokeweight=".600773pt" strokecolor="#000000"/>
            <v:line style="position:absolute" from="5689,2608" to="5706,2598" stroked="true" strokeweight=".600502pt" strokecolor="#000000"/>
            <v:line style="position:absolute" from="5692,2543" to="5708,2536" stroked="true" strokeweight=".601029pt" strokecolor="#000000"/>
            <v:line style="position:absolute" from="5696,2480" to="5711,2473" stroked="true" strokeweight=".600764pt" strokecolor="#000000"/>
            <v:line style="position:absolute" from="5699,2418" to="5713,2411" stroked="true" strokeweight=".600773pt" strokecolor="#000000"/>
            <v:line style="position:absolute" from="5701,2353" to="5718,2346" stroked="true" strokeweight=".601029pt" strokecolor="#000000"/>
            <v:line style="position:absolute" from="5706,2291" to="5720,2284" stroked="true" strokeweight=".600767pt" strokecolor="#000000"/>
            <v:line style="position:absolute" from="5708,2226" to="5723,2219" stroked="true" strokeweight=".600767pt" strokecolor="#000000"/>
            <v:line style="position:absolute" from="5711,2164" to="5725,2156" stroked="true" strokeweight=".600767pt" strokecolor="#000000"/>
            <v:line style="position:absolute" from="5713,2099" to="5730,2092" stroked="true" strokeweight=".601024pt" strokecolor="#000000"/>
            <v:line style="position:absolute" from="5718,2034" to="5732,2027" stroked="true" strokeweight=".600767pt" strokecolor="#000000"/>
            <v:line style="position:absolute" from="5720,1969" to="5737,1962" stroked="true" strokeweight=".601026pt" strokecolor="#000000"/>
            <v:line style="position:absolute" from="5723,1904" to="5740,1897" stroked="true" strokeweight=".601024pt" strokecolor="#000000"/>
            <v:line style="position:absolute" from="5725,1840" to="5742,1832" stroked="true" strokeweight=".601026pt" strokecolor="#000000"/>
            <v:line style="position:absolute" from="5730,1775" to="5744,1768" stroked="true" strokeweight=".600773pt" strokecolor="#000000"/>
            <v:line style="position:absolute" from="5732,1710" to="5749,1703" stroked="true" strokeweight=".601029pt" strokecolor="#000000"/>
            <v:line style="position:absolute" from="5737,1643" to="5752,1636" stroked="true" strokeweight=".600767pt" strokecolor="#000000"/>
            <v:line style="position:absolute" from="5740,1578" to="5756,1571" stroked="true" strokeweight=".601026pt" strokecolor="#000000"/>
            <v:line style="position:absolute" from="5742,1511" to="5759,1504" stroked="true" strokeweight=".601029pt" strokecolor="#000000"/>
            <v:line style="position:absolute" from="5747,1446" to="5761,1439" stroked="true" strokeweight=".600767pt" strokecolor="#000000"/>
            <v:line style="position:absolute" from="5749,1379" to="5764,1372" stroked="true" strokeweight=".600773pt" strokecolor="#000000"/>
            <v:line style="position:absolute" from="5752,1312" to="5768,1304" stroked="true" strokeweight=".601024pt" strokecolor="#000000"/>
            <v:line style="position:absolute" from="5756,1244" to="5771,1237" stroked="true" strokeweight=".600773pt" strokecolor="#000000"/>
            <v:line style="position:absolute" from="2092,3268" to="1988,1064" stroked="true" strokeweight=".596172pt" strokecolor="#000000"/>
            <v:line style="position:absolute" from="2125,3251" to="2092,3268" stroked="true" strokeweight=".600768pt" strokecolor="#000000"/>
            <v:line style="position:absolute" from="2111,2953" to="2080,2968" stroked="true" strokeweight=".600910pt" strokecolor="#000000"/>
            <v:line style="position:absolute" from="2096,2648" to="2063,2663" stroked="true" strokeweight=".601028pt" strokecolor="#000000"/>
            <v:line style="position:absolute" from="2082,2339" to="2048,2353" stroked="true" strokeweight=".601028pt" strokecolor="#000000"/>
            <v:line style="position:absolute" from="2068,2024" to="2034,2039" stroked="true" strokeweight=".601028pt" strokecolor="#000000"/>
            <v:line style="position:absolute" from="2053,1705" to="2020,1720" stroked="true" strokeweight=".601028pt" strokecolor="#000000"/>
            <v:line style="position:absolute" from="2036,1381" to="2003,1396" stroked="true" strokeweight=".601028pt" strokecolor="#000000"/>
            <v:line style="position:absolute" from="2022,1050" to="1988,1064" stroked="true" strokeweight=".601028pt" strokecolor="#000000"/>
            <v:shape style="position:absolute;left:1768;top:2972;width:223;height:151" type="#_x0000_t75" stroked="false">
              <v:imagedata r:id="rId100" o:title=""/>
            </v:shape>
            <v:shape style="position:absolute;left:1751;top:2668;width:223;height:151" type="#_x0000_t75" stroked="false">
              <v:imagedata r:id="rId101" o:title=""/>
            </v:shape>
            <v:shape style="position:absolute;left:1799;top:2356;width:161;height:130" type="#_x0000_t75" stroked="false">
              <v:imagedata r:id="rId102" o:title=""/>
            </v:shape>
            <v:shape style="position:absolute;left:1890;top:2041;width:55;height:98" type="#_x0000_t75" stroked="false">
              <v:imagedata r:id="rId103" o:title=""/>
            </v:shape>
            <v:shape style="position:absolute;left:1808;top:1720;width:120;height:130" type="#_x0000_t75" stroked="false">
              <v:imagedata r:id="rId104" o:title=""/>
            </v:shape>
            <v:shape style="position:absolute;left:1727;top:1393;width:187;height:151" type="#_x0000_t75" stroked="false">
              <v:imagedata r:id="rId105" o:title=""/>
            </v:shape>
            <v:shape style="position:absolute;left:1708;top:1062;width:185;height:149" type="#_x0000_t75" stroked="false">
              <v:imagedata r:id="rId106" o:title=""/>
            </v:shape>
            <v:line style="position:absolute" from="2106,3200" to="2092,3208" stroked="true" strokeweight=".600767pt" strokecolor="#000000"/>
            <v:line style="position:absolute" from="2104,3140" to="2087,3148" stroked="true" strokeweight=".601024pt" strokecolor="#000000"/>
            <v:line style="position:absolute" from="2101,3080" to="2084,3088" stroked="true" strokeweight=".601024pt" strokecolor="#000000"/>
            <v:line style="position:absolute" from="2096,3020" to="2082,3028" stroked="true" strokeweight=".600767pt" strokecolor="#000000"/>
            <v:line style="position:absolute" from="2094,2960" to="2080,2968" stroked="true" strokeweight=".600764pt" strokecolor="#000000"/>
            <v:line style="position:absolute" from="2092,2900" to="2075,2908" stroked="true" strokeweight=".601024pt" strokecolor="#000000"/>
            <v:line style="position:absolute" from="2089,2840" to="2072,2848" stroked="true" strokeweight=".601024pt" strokecolor="#000000"/>
            <v:line style="position:absolute" from="2087,2778" to="2070,2785" stroked="true" strokeweight=".601024pt" strokecolor="#000000"/>
            <v:line style="position:absolute" from="2084,2718" to="2068,2723" stroked="true" strokeweight=".601487pt" strokecolor="#000000"/>
            <v:line style="position:absolute" from="2080,2656" to="2063,2663" stroked="true" strokeweight=".601031pt" strokecolor="#000000"/>
            <v:line style="position:absolute" from="2077,2596" to="2060,2600" stroked="true" strokeweight=".601486pt" strokecolor="#000000"/>
            <v:line style="position:absolute" from="2075,2533" to="2058,2540" stroked="true" strokeweight=".601026pt" strokecolor="#000000"/>
            <v:line style="position:absolute" from="2072,2471" to="2056,2478" stroked="true" strokeweight=".601029pt" strokecolor="#000000"/>
            <v:line style="position:absolute" from="2068,2408" to="2053,2416" stroked="true" strokeweight=".600767pt" strokecolor="#000000"/>
            <v:line style="position:absolute" from="2065,2346" to="2048,2353" stroked="true" strokeweight=".601031pt" strokecolor="#000000"/>
            <v:line style="position:absolute" from="2063,2284" to="2046,2291" stroked="true" strokeweight=".601024pt" strokecolor="#000000"/>
            <v:line style="position:absolute" from="2060,2221" to="2044,2228" stroked="true" strokeweight=".601026pt" strokecolor="#000000"/>
            <v:line style="position:absolute" from="2056,2159" to="2039,2166" stroked="true" strokeweight=".601031pt" strokecolor="#000000"/>
            <v:line style="position:absolute" from="2053,2096" to="2036,2104" stroked="true" strokeweight=".601024pt" strokecolor="#000000"/>
            <v:line style="position:absolute" from="2051,2032" to="2034,2039" stroked="true" strokeweight=".601026pt" strokecolor="#000000"/>
            <v:line style="position:absolute" from="2048,1969" to="2032,1976" stroked="true" strokeweight=".601029pt" strokecolor="#000000"/>
            <v:line style="position:absolute" from="2044,1904" to="2027,1912" stroked="true" strokeweight=".601029pt" strokecolor="#000000"/>
            <v:line style="position:absolute" from="2041,1842" to="2024,1849" stroked="true" strokeweight=".601026pt" strokecolor="#000000"/>
            <v:line style="position:absolute" from="2039,1777" to="2022,1784" stroked="true" strokeweight=".601024pt" strokecolor="#000000"/>
            <v:line style="position:absolute" from="2036,1712" to="2020,1720" stroked="true" strokeweight=".601031pt" strokecolor="#000000"/>
            <v:line style="position:absolute" from="2032,1650" to="2015,1655" stroked="true" strokeweight=".601486pt" strokecolor="#000000"/>
            <v:line style="position:absolute" from="2029,1583" to="2012,1590" stroked="true" strokeweight=".601029pt" strokecolor="#000000"/>
            <v:line style="position:absolute" from="2027,1518" to="2010,1525" stroked="true" strokeweight=".601029pt" strokecolor="#000000"/>
            <v:line style="position:absolute" from="2024,1453" to="2008,1460" stroked="true" strokeweight=".601029pt" strokecolor="#000000"/>
            <v:line style="position:absolute" from="2020,1388" to="2003,1396" stroked="true" strokeweight=".601029pt" strokecolor="#000000"/>
            <v:line style="position:absolute" from="2017,1324" to="2000,1331" stroked="true" strokeweight=".601024pt" strokecolor="#000000"/>
            <v:line style="position:absolute" from="2012,1256" to="1996,1264" stroked="true" strokeweight=".601029pt" strokecolor="#000000"/>
            <v:line style="position:absolute" from="2010,1189" to="1993,1196" stroked="true" strokeweight=".601026pt" strokecolor="#000000"/>
            <v:line style="position:absolute" from="2008,1124" to="1991,1132" stroked="true" strokeweight=".601024pt" strokecolor="#000000"/>
            <v:line style="position:absolute" from="2005,1057" to="1988,1064" stroked="true" strokeweight=".601031pt" strokecolor="#000000"/>
            <v:shape style="position:absolute;left:1312;top:1895;width:163;height:1140" type="#_x0000_t75" stroked="false">
              <v:imagedata r:id="rId107" o:title=""/>
            </v:shape>
          </v:group>
        </w:pict>
      </w:r>
      <w:r>
        <w:rPr>
          <w:sz w:val="20"/>
        </w:rPr>
      </w:r>
    </w:p>
    <w:p>
      <w:pPr>
        <w:spacing w:line="173" w:lineRule="exact" w:before="0"/>
        <w:ind w:left="868" w:right="589" w:firstLine="0"/>
        <w:jc w:val="center"/>
        <w:rPr>
          <w:b/>
          <w:sz w:val="18"/>
        </w:rPr>
      </w:pPr>
      <w:r>
        <w:rPr>
          <w:b/>
          <w:sz w:val="18"/>
        </w:rPr>
        <w:t>Figura 43. Comparación de la TVCN con la concentración de nitrógeno amoniacal y la TVNA del filtro</w:t>
      </w:r>
    </w:p>
    <w:p>
      <w:pPr>
        <w:spacing w:line="207" w:lineRule="exact" w:before="0"/>
        <w:ind w:left="868" w:right="588" w:firstLine="0"/>
        <w:jc w:val="center"/>
        <w:rPr>
          <w:b/>
          <w:sz w:val="18"/>
        </w:rPr>
      </w:pPr>
      <w:r>
        <w:rPr>
          <w:b/>
          <w:sz w:val="18"/>
        </w:rPr>
        <w:t>percolador</w:t>
      </w:r>
    </w:p>
    <w:p>
      <w:pPr>
        <w:spacing w:after="0" w:line="207" w:lineRule="exact"/>
        <w:jc w:val="center"/>
        <w:rPr>
          <w:sz w:val="18"/>
        </w:rPr>
        <w:sectPr>
          <w:pgSz w:w="12240" w:h="15840"/>
          <w:pgMar w:header="725" w:footer="1084" w:top="1340" w:bottom="1280" w:left="920" w:right="1200"/>
        </w:sectPr>
      </w:pPr>
    </w:p>
    <w:p>
      <w:pPr>
        <w:pStyle w:val="BodyText"/>
        <w:spacing w:before="10"/>
        <w:rPr>
          <w:b/>
          <w:sz w:val="8"/>
        </w:rPr>
      </w:pPr>
    </w:p>
    <w:p>
      <w:pPr>
        <w:pStyle w:val="BodyText"/>
        <w:spacing w:line="360" w:lineRule="auto" w:before="73"/>
        <w:ind w:left="781" w:right="497"/>
        <w:jc w:val="both"/>
      </w:pPr>
      <w:r>
        <w:rPr/>
        <w:t>El comportamiento de la TVCN en el filtro percolador fue negativo, es decir, no se llegó de manera adecuada a remover completamente la cantidad de nitritos generados en esta unidad. Se puede observar, en la figura 43, el proceso de remoción de nitritos cuando se tienen concentraciones de nitrógeno amoniacal en el influente y TVNA altas, de otra forma los nitritos generados en la primera etapa de la nitrificación no son removidos en este filtro. La causa de que la nitrificación se no se culminará adecuadamente puede ser por  las bajas concentraciones de pH (Bonvendeur, 1989; Gujer y Boller,</w:t>
      </w:r>
      <w:r>
        <w:rPr>
          <w:spacing w:val="-34"/>
        </w:rPr>
        <w:t> </w:t>
      </w:r>
      <w:r>
        <w:rPr/>
        <w:t>1986).</w:t>
      </w:r>
    </w:p>
    <w:p>
      <w:pPr>
        <w:pStyle w:val="BodyText"/>
        <w:spacing w:before="4"/>
        <w:rPr>
          <w:sz w:val="17"/>
        </w:rPr>
      </w:pPr>
    </w:p>
    <w:p>
      <w:pPr>
        <w:pStyle w:val="Heading5"/>
        <w:numPr>
          <w:ilvl w:val="2"/>
          <w:numId w:val="16"/>
        </w:numPr>
        <w:tabs>
          <w:tab w:pos="1396" w:val="left" w:leader="none"/>
        </w:tabs>
        <w:spacing w:line="240" w:lineRule="auto" w:before="0" w:after="0"/>
        <w:ind w:left="1395" w:right="0" w:hanging="614"/>
        <w:jc w:val="both"/>
      </w:pPr>
      <w:bookmarkStart w:name="_TOC_250021" w:id="155"/>
      <w:bookmarkStart w:name="5.7.2. Consumo de oxígeno disuelto por l" w:id="156"/>
      <w:r>
        <w:rPr>
          <w:b w:val="0"/>
        </w:rPr>
      </w:r>
      <w:bookmarkEnd w:id="156"/>
      <w:bookmarkStart w:name="5.7.2. Consumo de oxígeno disuelto por l" w:id="157"/>
      <w:r>
        <w:rPr/>
        <w:t>C</w:t>
      </w:r>
      <w:r>
        <w:rPr/>
        <w:t>ONSUMO DE OXÍGENO DISUELTO </w:t>
      </w:r>
      <w:r>
        <w:rPr>
          <w:spacing w:val="-2"/>
        </w:rPr>
        <w:t>POR </w:t>
      </w:r>
      <w:r>
        <w:rPr/>
        <w:t>LOS</w:t>
      </w:r>
      <w:r>
        <w:rPr>
          <w:spacing w:val="-9"/>
        </w:rPr>
        <w:t> </w:t>
      </w:r>
      <w:bookmarkEnd w:id="155"/>
      <w:r>
        <w:rPr/>
        <w:t>PECES</w:t>
      </w:r>
    </w:p>
    <w:p>
      <w:pPr>
        <w:pStyle w:val="BodyText"/>
        <w:spacing w:before="8"/>
        <w:rPr>
          <w:b/>
          <w:sz w:val="28"/>
        </w:rPr>
      </w:pPr>
    </w:p>
    <w:p>
      <w:pPr>
        <w:pStyle w:val="BodyText"/>
        <w:spacing w:line="360" w:lineRule="auto"/>
        <w:ind w:left="781" w:right="497"/>
        <w:jc w:val="both"/>
      </w:pPr>
      <w:r>
        <w:rPr/>
        <w:t>En el SRA existen dos parámetros limitantes para conocer la capacidad de carga del sistema: el oxígeno disuelto en el agua y el nitrógeno amoniacal. La importancia del  primer parámetro se debe a que es imprescindible para la respiración de los organismos involucrados en los procesos del SRA (peces y bacterias). Una concentración mínima adecuada para sostener la vida (Fivelstad </w:t>
      </w:r>
      <w:r>
        <w:rPr>
          <w:i/>
        </w:rPr>
        <w:t>et al</w:t>
      </w:r>
      <w:r>
        <w:rPr/>
        <w:t>., 1999; Tudor, 1999) que para el caso de  la trucha que según García (2008) debe ser mayor a 5</w:t>
      </w:r>
      <w:r>
        <w:rPr>
          <w:spacing w:val="-20"/>
        </w:rPr>
        <w:t> </w:t>
      </w:r>
      <w:r>
        <w:rPr/>
        <w:t>mg/L.</w:t>
      </w:r>
    </w:p>
    <w:p>
      <w:pPr>
        <w:pStyle w:val="BodyText"/>
        <w:spacing w:before="9"/>
        <w:rPr>
          <w:sz w:val="17"/>
        </w:rPr>
      </w:pPr>
    </w:p>
    <w:p>
      <w:pPr>
        <w:pStyle w:val="BodyText"/>
        <w:spacing w:line="360" w:lineRule="auto"/>
        <w:ind w:left="781" w:right="498"/>
        <w:jc w:val="both"/>
      </w:pPr>
      <w:r>
        <w:rPr/>
        <w:t>Modelar el consumo de oxígeno disuelto por parte de los peces en las diferentes fases del cultivo es necesario para poder establecer las necesidades de aire que se deben añadir al sistema de acuerdo con la densidad del cultivo, así también para poder establecer el tipo de equipo requerido para abastecer el OD y disminuir la demanda de energía eléctrica.</w:t>
      </w:r>
    </w:p>
    <w:p>
      <w:pPr>
        <w:pStyle w:val="BodyText"/>
        <w:spacing w:before="7"/>
        <w:rPr>
          <w:sz w:val="17"/>
        </w:rPr>
      </w:pPr>
    </w:p>
    <w:p>
      <w:pPr>
        <w:pStyle w:val="BodyText"/>
        <w:spacing w:line="355" w:lineRule="auto"/>
        <w:ind w:left="781" w:right="498"/>
        <w:jc w:val="both"/>
      </w:pPr>
      <w:r>
        <w:rPr/>
        <w:t>La concentración de saturación (</w:t>
      </w:r>
      <w:r>
        <w:rPr>
          <w:i/>
        </w:rPr>
        <w:t>C</w:t>
      </w:r>
      <w:r>
        <w:rPr>
          <w:i/>
          <w:position w:val="-2"/>
          <w:sz w:val="14"/>
        </w:rPr>
        <w:t>sat</w:t>
      </w:r>
      <w:r>
        <w:rPr/>
        <w:t>) de oxígeno disuelto en el agua a una altitud de 2660 msnm fue en promedio de 6,42 ± 0,05 mg/L (figura 44). La concentración de equilibrio en el sistema fue de 5,53 ± 0,25 mg/L, para determinar esta concentración se utilizaron 6 truchas con un biomasa de 2,52 kg, ambas constantes a una temperatura de 18°C.</w:t>
      </w:r>
    </w:p>
    <w:p>
      <w:pPr>
        <w:spacing w:after="0" w:line="355" w:lineRule="auto"/>
        <w:jc w:val="both"/>
        <w:sectPr>
          <w:pgSz w:w="12240" w:h="15840"/>
          <w:pgMar w:header="725" w:footer="1084" w:top="1340" w:bottom="1280" w:left="920" w:right="1200"/>
        </w:sectPr>
      </w:pPr>
    </w:p>
    <w:p>
      <w:pPr>
        <w:pStyle w:val="BodyText"/>
        <w:spacing w:before="4"/>
        <w:rPr>
          <w:sz w:val="15"/>
        </w:rPr>
      </w:pPr>
    </w:p>
    <w:p>
      <w:pPr>
        <w:pStyle w:val="BodyText"/>
        <w:ind w:left="812"/>
        <w:rPr>
          <w:sz w:val="20"/>
        </w:rPr>
      </w:pPr>
      <w:r>
        <w:rPr>
          <w:sz w:val="20"/>
        </w:rPr>
        <w:drawing>
          <wp:inline distT="0" distB="0" distL="0" distR="0">
            <wp:extent cx="5650187" cy="4106037"/>
            <wp:effectExtent l="0" t="0" r="0" b="0"/>
            <wp:docPr id="57" name="image100.png" descr=""/>
            <wp:cNvGraphicFramePr>
              <a:graphicFrameLocks noChangeAspect="1"/>
            </wp:cNvGraphicFramePr>
            <a:graphic>
              <a:graphicData uri="http://schemas.openxmlformats.org/drawingml/2006/picture">
                <pic:pic>
                  <pic:nvPicPr>
                    <pic:cNvPr id="58" name="image100.png"/>
                    <pic:cNvPicPr/>
                  </pic:nvPicPr>
                  <pic:blipFill>
                    <a:blip r:embed="rId108" cstate="print"/>
                    <a:stretch>
                      <a:fillRect/>
                    </a:stretch>
                  </pic:blipFill>
                  <pic:spPr>
                    <a:xfrm>
                      <a:off x="0" y="0"/>
                      <a:ext cx="5650187" cy="4106037"/>
                    </a:xfrm>
                    <a:prstGeom prst="rect">
                      <a:avLst/>
                    </a:prstGeom>
                  </pic:spPr>
                </pic:pic>
              </a:graphicData>
            </a:graphic>
          </wp:inline>
        </w:drawing>
      </w:r>
      <w:r>
        <w:rPr>
          <w:sz w:val="20"/>
        </w:rPr>
      </w:r>
    </w:p>
    <w:p>
      <w:pPr>
        <w:pStyle w:val="BodyText"/>
        <w:rPr>
          <w:sz w:val="20"/>
        </w:rPr>
      </w:pPr>
    </w:p>
    <w:p>
      <w:pPr>
        <w:spacing w:before="77"/>
        <w:ind w:left="2298" w:right="948" w:firstLine="0"/>
        <w:jc w:val="left"/>
        <w:rPr>
          <w:b/>
          <w:sz w:val="18"/>
        </w:rPr>
      </w:pPr>
      <w:r>
        <w:rPr>
          <w:b/>
          <w:sz w:val="18"/>
        </w:rPr>
        <w:t>Figura 44. Saturación de oxígeno en el agua para el caso de estudio</w:t>
      </w:r>
    </w:p>
    <w:p>
      <w:pPr>
        <w:pStyle w:val="BodyText"/>
        <w:spacing w:before="8"/>
        <w:rPr>
          <w:b/>
          <w:sz w:val="17"/>
        </w:rPr>
      </w:pPr>
    </w:p>
    <w:p>
      <w:pPr>
        <w:pStyle w:val="BodyText"/>
        <w:spacing w:line="360" w:lineRule="auto" w:before="1"/>
        <w:ind w:left="781" w:right="497"/>
        <w:jc w:val="both"/>
      </w:pPr>
      <w:r>
        <w:rPr/>
        <w:t>La figura 45, ilustra que la concentración efectiva que se tendrá en los estanques será a un nivel inferior a la concentración de saturación, esto por la respiración de los peces en  el estanque. En este caso, el equilibrio se encontró a 5,53 mg de</w:t>
      </w:r>
      <w:r>
        <w:rPr>
          <w:spacing w:val="-17"/>
        </w:rPr>
        <w:t> </w:t>
      </w:r>
      <w:r>
        <w:rPr/>
        <w:t>O</w:t>
      </w:r>
      <w:r>
        <w:rPr>
          <w:position w:val="-2"/>
          <w:sz w:val="13"/>
        </w:rPr>
        <w:t>2</w:t>
      </w:r>
      <w:r>
        <w:rPr/>
        <w:t>/L.</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1271"/>
        <w:rPr>
          <w:sz w:val="20"/>
        </w:rPr>
      </w:pPr>
      <w:r>
        <w:rPr>
          <w:sz w:val="20"/>
        </w:rPr>
        <w:drawing>
          <wp:inline distT="0" distB="0" distL="0" distR="0">
            <wp:extent cx="4997399" cy="3632263"/>
            <wp:effectExtent l="0" t="0" r="0" b="0"/>
            <wp:docPr id="59" name="image101.png" descr=""/>
            <wp:cNvGraphicFramePr>
              <a:graphicFrameLocks noChangeAspect="1"/>
            </wp:cNvGraphicFramePr>
            <a:graphic>
              <a:graphicData uri="http://schemas.openxmlformats.org/drawingml/2006/picture">
                <pic:pic>
                  <pic:nvPicPr>
                    <pic:cNvPr id="60" name="image101.png"/>
                    <pic:cNvPicPr/>
                  </pic:nvPicPr>
                  <pic:blipFill>
                    <a:blip r:embed="rId109" cstate="print"/>
                    <a:stretch>
                      <a:fillRect/>
                    </a:stretch>
                  </pic:blipFill>
                  <pic:spPr>
                    <a:xfrm>
                      <a:off x="0" y="0"/>
                      <a:ext cx="4997399" cy="3632263"/>
                    </a:xfrm>
                    <a:prstGeom prst="rect">
                      <a:avLst/>
                    </a:prstGeom>
                  </pic:spPr>
                </pic:pic>
              </a:graphicData>
            </a:graphic>
          </wp:inline>
        </w:drawing>
      </w:r>
      <w:r>
        <w:rPr>
          <w:sz w:val="20"/>
        </w:rPr>
      </w:r>
    </w:p>
    <w:p>
      <w:pPr>
        <w:pStyle w:val="BodyText"/>
        <w:spacing w:before="1"/>
        <w:rPr>
          <w:sz w:val="23"/>
        </w:rPr>
      </w:pPr>
    </w:p>
    <w:p>
      <w:pPr>
        <w:spacing w:before="77"/>
        <w:ind w:left="3027" w:right="2707" w:firstLine="0"/>
        <w:jc w:val="left"/>
        <w:rPr>
          <w:b/>
          <w:sz w:val="18"/>
        </w:rPr>
      </w:pPr>
      <w:r>
        <w:rPr>
          <w:b/>
          <w:sz w:val="18"/>
        </w:rPr>
        <w:t>Figura 45. Concentración de equilibrio para el SRA</w:t>
      </w:r>
    </w:p>
    <w:p>
      <w:pPr>
        <w:pStyle w:val="BodyText"/>
        <w:spacing w:before="8"/>
        <w:rPr>
          <w:b/>
          <w:sz w:val="17"/>
        </w:rPr>
      </w:pPr>
    </w:p>
    <w:p>
      <w:pPr>
        <w:pStyle w:val="BodyText"/>
        <w:spacing w:line="360" w:lineRule="auto" w:before="1"/>
        <w:ind w:left="781" w:right="497"/>
        <w:jc w:val="both"/>
      </w:pPr>
      <w:r>
        <w:rPr/>
        <w:t>Los factores que determinan la concentración de oxígeno disuelto en el agua son la temperatura y la altitud principalmente (Timmons </w:t>
      </w:r>
      <w:r>
        <w:rPr>
          <w:i/>
        </w:rPr>
        <w:t>et al</w:t>
      </w:r>
      <w:r>
        <w:rPr/>
        <w:t>., 2009). En los cultivos acuícolas la concentración de oxígeno disuelto en los estanques también depende de la densidad y el tamaño de los organismos (Bergheim </w:t>
      </w:r>
      <w:r>
        <w:rPr>
          <w:i/>
        </w:rPr>
        <w:t>et al</w:t>
      </w:r>
      <w:r>
        <w:rPr/>
        <w:t>., 1993; Merino </w:t>
      </w:r>
      <w:r>
        <w:rPr>
          <w:i/>
        </w:rPr>
        <w:t>et al</w:t>
      </w:r>
      <w:r>
        <w:rPr/>
        <w:t>., 2007; Reig </w:t>
      </w:r>
      <w:r>
        <w:rPr>
          <w:i/>
        </w:rPr>
        <w:t>et al</w:t>
      </w:r>
      <w:r>
        <w:rPr/>
        <w:t>., 2007). En la operación de un SRA trutícola, al momento de consumir alimento y después de alimentar existen picos de consumo de oxígeno generados por el metabolismo de los organismos cultivados (Salas – Leiton </w:t>
      </w:r>
      <w:r>
        <w:rPr>
          <w:i/>
        </w:rPr>
        <w:t>et al</w:t>
      </w:r>
      <w:r>
        <w:rPr/>
        <w:t>., 2008).</w:t>
      </w:r>
    </w:p>
    <w:p>
      <w:pPr>
        <w:pStyle w:val="BodyText"/>
        <w:spacing w:before="9"/>
        <w:rPr>
          <w:sz w:val="17"/>
        </w:rPr>
      </w:pPr>
    </w:p>
    <w:p>
      <w:pPr>
        <w:pStyle w:val="BodyText"/>
        <w:spacing w:line="360" w:lineRule="auto"/>
        <w:ind w:left="781" w:right="496"/>
        <w:jc w:val="both"/>
      </w:pPr>
      <w:r>
        <w:rPr/>
        <w:t>Con base en la revisión de literatura (Cerezo – Valverde </w:t>
      </w:r>
      <w:r>
        <w:rPr>
          <w:i/>
        </w:rPr>
        <w:t>et al</w:t>
      </w:r>
      <w:r>
        <w:rPr/>
        <w:t>., 2009; Dalvi </w:t>
      </w:r>
      <w:r>
        <w:rPr>
          <w:i/>
        </w:rPr>
        <w:t>et al</w:t>
      </w:r>
      <w:r>
        <w:rPr/>
        <w:t>., 2009; Salas – Leiton </w:t>
      </w:r>
      <w:r>
        <w:rPr>
          <w:i/>
        </w:rPr>
        <w:t>et al</w:t>
      </w:r>
      <w:r>
        <w:rPr/>
        <w:t>., 2008; Perera </w:t>
      </w:r>
      <w:r>
        <w:rPr>
          <w:i/>
        </w:rPr>
        <w:t>et al</w:t>
      </w:r>
      <w:r>
        <w:rPr/>
        <w:t>., 2007; Debnath </w:t>
      </w:r>
      <w:r>
        <w:rPr>
          <w:i/>
        </w:rPr>
        <w:t>et al</w:t>
      </w:r>
      <w:r>
        <w:rPr/>
        <w:t>., 2006) y los resultados aquí obtenidos se determinó que los cuatro factores más importantes relacionados con la concentración de oxígeno disuelto en el agua son: densidad, tamaño de los organismos, temperatura y alimento.</w:t>
      </w:r>
    </w:p>
    <w:p>
      <w:pPr>
        <w:pStyle w:val="BodyText"/>
        <w:spacing w:before="9"/>
        <w:rPr>
          <w:sz w:val="17"/>
        </w:rPr>
      </w:pPr>
    </w:p>
    <w:p>
      <w:pPr>
        <w:pStyle w:val="BodyText"/>
        <w:spacing w:line="360" w:lineRule="auto"/>
        <w:ind w:left="781" w:right="497" w:hanging="1"/>
        <w:jc w:val="both"/>
      </w:pPr>
      <w:r>
        <w:rPr/>
        <w:t>Ahora bien, con un diseño experimental de tipo Plackett – Burman de 16 pruebas (Wheeler, 1989) se obtuvo mediante un análisis de varianza, que el factor principal que determina la conducta de consumo de oxígeno en el estanque es la densidad con un</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41,92 %, seguido de un efecto combinado de temperatura y densidad con un 21,48 % y por último la temperatura con un 11,27 % (los resultados de las 16 pruebas se muestran en el anexo 5).</w:t>
      </w:r>
    </w:p>
    <w:p>
      <w:pPr>
        <w:pStyle w:val="BodyText"/>
        <w:spacing w:before="9"/>
        <w:rPr>
          <w:sz w:val="17"/>
        </w:rPr>
      </w:pPr>
    </w:p>
    <w:p>
      <w:pPr>
        <w:pStyle w:val="BodyText"/>
        <w:spacing w:line="360" w:lineRule="auto"/>
        <w:ind w:left="781" w:right="498"/>
        <w:jc w:val="both"/>
      </w:pPr>
      <w:r>
        <w:rPr/>
        <w:t>Mediante un análisis de varianza se determinó el porcentaje de varianza explicada, la cual permite conocer los contrastes principales y las interacciones de los mismos que  expresan la variación del consumo de oxígeno por parte de los peces con base en los factores estudiados (figura</w:t>
      </w:r>
      <w:r>
        <w:rPr>
          <w:spacing w:val="-11"/>
        </w:rPr>
        <w:t> </w:t>
      </w:r>
      <w:r>
        <w:rPr/>
        <w:t>46).</w:t>
      </w:r>
    </w:p>
    <w:p>
      <w:pPr>
        <w:pStyle w:val="BodyText"/>
        <w:spacing w:before="7"/>
        <w:rPr>
          <w:sz w:val="14"/>
        </w:rPr>
      </w:pPr>
      <w:r>
        <w:rPr/>
        <w:drawing>
          <wp:anchor distT="0" distB="0" distL="0" distR="0" allowOverlap="1" layoutInCell="1" locked="0" behindDoc="0" simplePos="0" relativeHeight="8464">
            <wp:simplePos x="0" y="0"/>
            <wp:positionH relativeFrom="page">
              <wp:posOffset>1100327</wp:posOffset>
            </wp:positionH>
            <wp:positionV relativeFrom="paragraph">
              <wp:posOffset>131624</wp:posOffset>
            </wp:positionV>
            <wp:extent cx="5651369" cy="4106037"/>
            <wp:effectExtent l="0" t="0" r="0" b="0"/>
            <wp:wrapTopAndBottom/>
            <wp:docPr id="61" name="image102.jpeg" descr=""/>
            <wp:cNvGraphicFramePr>
              <a:graphicFrameLocks noChangeAspect="1"/>
            </wp:cNvGraphicFramePr>
            <a:graphic>
              <a:graphicData uri="http://schemas.openxmlformats.org/drawingml/2006/picture">
                <pic:pic>
                  <pic:nvPicPr>
                    <pic:cNvPr id="62" name="image102.jpeg"/>
                    <pic:cNvPicPr/>
                  </pic:nvPicPr>
                  <pic:blipFill>
                    <a:blip r:embed="rId110" cstate="print"/>
                    <a:stretch>
                      <a:fillRect/>
                    </a:stretch>
                  </pic:blipFill>
                  <pic:spPr>
                    <a:xfrm>
                      <a:off x="0" y="0"/>
                      <a:ext cx="5651369" cy="4106037"/>
                    </a:xfrm>
                    <a:prstGeom prst="rect">
                      <a:avLst/>
                    </a:prstGeom>
                  </pic:spPr>
                </pic:pic>
              </a:graphicData>
            </a:graphic>
          </wp:anchor>
        </w:drawing>
      </w:r>
    </w:p>
    <w:p>
      <w:pPr>
        <w:pStyle w:val="BodyText"/>
        <w:spacing w:before="8"/>
        <w:rPr>
          <w:sz w:val="20"/>
        </w:rPr>
      </w:pPr>
    </w:p>
    <w:p>
      <w:pPr>
        <w:spacing w:before="0"/>
        <w:ind w:left="4573" w:right="570" w:hanging="3706"/>
        <w:jc w:val="left"/>
        <w:rPr>
          <w:b/>
          <w:sz w:val="18"/>
        </w:rPr>
      </w:pPr>
      <w:r>
        <w:rPr>
          <w:b/>
          <w:sz w:val="18"/>
        </w:rPr>
        <w:t>Figura 46. Porcentaje de impacto de los factores determinantes de la tasa de consumo de oxígeno en los estanques.</w:t>
      </w:r>
    </w:p>
    <w:p>
      <w:pPr>
        <w:pStyle w:val="BodyText"/>
        <w:spacing w:line="355" w:lineRule="auto" w:before="122"/>
        <w:ind w:left="781" w:right="498"/>
        <w:jc w:val="both"/>
      </w:pPr>
      <w:r>
        <w:rPr/>
        <w:t>Para la modelación matemática del consumo de oxígeno en el SRA a una altitud de 2660 msnm se construyó un modelo de tipo regresivo lineal múltiple obteniendo la ecuación 10 con un coeficiente de determinación R</w:t>
      </w:r>
      <w:r>
        <w:rPr>
          <w:position w:val="10"/>
          <w:sz w:val="13"/>
        </w:rPr>
        <w:t>2 </w:t>
      </w:r>
      <w:r>
        <w:rPr/>
        <w:t>= 0,747 y un coeficiente de correlación de R = 0,864.</w:t>
      </w:r>
    </w:p>
    <w:p>
      <w:pPr>
        <w:pStyle w:val="BodyText"/>
        <w:rPr>
          <w:sz w:val="18"/>
        </w:rPr>
      </w:pPr>
    </w:p>
    <w:p>
      <w:pPr>
        <w:pStyle w:val="BodyText"/>
        <w:tabs>
          <w:tab w:pos="8568" w:val="left" w:leader="none"/>
        </w:tabs>
        <w:ind w:left="781"/>
        <w:jc w:val="both"/>
      </w:pPr>
      <w:r>
        <w:rPr/>
        <w:t>rO</w:t>
      </w:r>
      <w:r>
        <w:rPr>
          <w:position w:val="-2"/>
          <w:sz w:val="13"/>
        </w:rPr>
        <w:t>2  </w:t>
      </w:r>
      <w:r>
        <w:rPr/>
        <w:t>= 0,041 (T) (</w:t>
      </w:r>
      <w:r>
        <w:rPr>
          <w:i/>
        </w:rPr>
        <w:t>ρ</w:t>
      </w:r>
      <w:r>
        <w:rPr/>
        <w:t>) – 0,454 (</w:t>
      </w:r>
      <w:r>
        <w:rPr>
          <w:i/>
        </w:rPr>
        <w:t>ρ</w:t>
      </w:r>
      <w:r>
        <w:rPr/>
        <w:t>) – 1,324 (T)</w:t>
      </w:r>
      <w:r>
        <w:rPr>
          <w:spacing w:val="-21"/>
        </w:rPr>
        <w:t> </w:t>
      </w:r>
      <w:r>
        <w:rPr/>
        <w:t>+</w:t>
      </w:r>
      <w:r>
        <w:rPr>
          <w:spacing w:val="-2"/>
        </w:rPr>
        <w:t> </w:t>
      </w:r>
      <w:r>
        <w:rPr/>
        <w:t>22,447</w:t>
        <w:tab/>
        <w:t>(10)</w:t>
      </w:r>
    </w:p>
    <w:p>
      <w:pPr>
        <w:spacing w:after="0"/>
        <w:jc w:val="both"/>
        <w:sectPr>
          <w:pgSz w:w="12240" w:h="15840"/>
          <w:pgMar w:header="725" w:footer="1084" w:top="1340" w:bottom="1280" w:left="920" w:right="1200"/>
        </w:sectPr>
      </w:pPr>
    </w:p>
    <w:p>
      <w:pPr>
        <w:pStyle w:val="BodyText"/>
        <w:spacing w:before="9"/>
        <w:rPr>
          <w:sz w:val="17"/>
        </w:rPr>
      </w:pPr>
    </w:p>
    <w:p>
      <w:pPr>
        <w:spacing w:line="194" w:lineRule="auto" w:before="0"/>
        <w:ind w:left="781" w:right="497" w:firstLine="0"/>
        <w:jc w:val="both"/>
        <w:rPr>
          <w:sz w:val="18"/>
        </w:rPr>
      </w:pPr>
      <w:r>
        <w:rPr>
          <w:position w:val="2"/>
          <w:sz w:val="18"/>
        </w:rPr>
        <w:t>Donde: rO</w:t>
      </w:r>
      <w:r>
        <w:rPr>
          <w:sz w:val="12"/>
        </w:rPr>
        <w:t>2 </w:t>
      </w:r>
      <w:r>
        <w:rPr>
          <w:position w:val="2"/>
          <w:sz w:val="18"/>
        </w:rPr>
        <w:t>es la tasa de consumo de oxígeno (mg O</w:t>
      </w:r>
      <w:r>
        <w:rPr>
          <w:sz w:val="12"/>
        </w:rPr>
        <w:t>2</w:t>
      </w:r>
      <w:r>
        <w:rPr>
          <w:position w:val="2"/>
          <w:sz w:val="18"/>
        </w:rPr>
        <w:t>/L h), T es la temperatura del agua (°C) y </w:t>
      </w:r>
      <w:r>
        <w:rPr>
          <w:i/>
          <w:position w:val="2"/>
          <w:sz w:val="18"/>
        </w:rPr>
        <w:t>ρ </w:t>
      </w:r>
      <w:r>
        <w:rPr>
          <w:position w:val="2"/>
          <w:sz w:val="18"/>
        </w:rPr>
        <w:t>es la </w:t>
      </w:r>
      <w:r>
        <w:rPr>
          <w:sz w:val="18"/>
        </w:rPr>
        <w:t>densidad a la que se encuentra el cultivo (kg/m</w:t>
      </w:r>
      <w:r>
        <w:rPr>
          <w:position w:val="9"/>
          <w:sz w:val="12"/>
        </w:rPr>
        <w:t>3</w:t>
      </w:r>
      <w:r>
        <w:rPr>
          <w:sz w:val="18"/>
        </w:rPr>
        <w:t>).</w:t>
      </w:r>
    </w:p>
    <w:p>
      <w:pPr>
        <w:pStyle w:val="BodyText"/>
        <w:spacing w:before="11"/>
        <w:rPr>
          <w:sz w:val="17"/>
        </w:rPr>
      </w:pPr>
    </w:p>
    <w:p>
      <w:pPr>
        <w:pStyle w:val="BodyText"/>
        <w:spacing w:line="360" w:lineRule="auto"/>
        <w:ind w:left="781" w:right="500"/>
        <w:jc w:val="both"/>
      </w:pPr>
      <w:r>
        <w:rPr/>
        <w:t>Este modelo contrasta con lo reportado en diversos estudios para peces marinos y crustáceos (Cerezo – Valverde </w:t>
      </w:r>
      <w:r>
        <w:rPr>
          <w:i/>
        </w:rPr>
        <w:t>et al</w:t>
      </w:r>
      <w:r>
        <w:rPr/>
        <w:t>., 2009; Merino </w:t>
      </w:r>
      <w:r>
        <w:rPr>
          <w:i/>
        </w:rPr>
        <w:t>et al</w:t>
      </w:r>
      <w:r>
        <w:rPr/>
        <w:t>., 2009; Perera </w:t>
      </w:r>
      <w:r>
        <w:rPr>
          <w:i/>
        </w:rPr>
        <w:t>et al</w:t>
      </w:r>
      <w:r>
        <w:rPr/>
        <w:t>., 2007; Tudor, 1999) donde los modelos matemáticos están en función del peso del organismo y no en función de la temperatura y la densidad. Sin embargo el modelo propuesto en este trabajo está en función de los factores más impactantes en el patrón de consumo de oxígeno por parte de la trucha en sistemas cerrados a grandes altitudes (2660 msnm).</w:t>
      </w:r>
    </w:p>
    <w:p>
      <w:pPr>
        <w:pStyle w:val="BodyText"/>
        <w:spacing w:before="9"/>
        <w:rPr>
          <w:sz w:val="17"/>
        </w:rPr>
      </w:pPr>
    </w:p>
    <w:p>
      <w:pPr>
        <w:pStyle w:val="BodyText"/>
        <w:spacing w:line="355" w:lineRule="auto"/>
        <w:ind w:left="781" w:right="497"/>
        <w:jc w:val="both"/>
      </w:pPr>
      <w:r>
        <w:rPr/>
        <w:t>El modelo es válido para un intervalo de temperatura de 12 a 23°C, densidades de 8 a 60 kg/m</w:t>
      </w:r>
      <w:r>
        <w:rPr>
          <w:position w:val="10"/>
          <w:sz w:val="13"/>
        </w:rPr>
        <w:t>3 </w:t>
      </w:r>
      <w:r>
        <w:rPr/>
        <w:t>para una altitud de 2 660 msnm, se sustituyeron las variables en el modelo con valores dentro de los intervalos mencionados obteniendo el nomograma de consumo de oxígeno en un cultivo de trucha.</w:t>
      </w:r>
    </w:p>
    <w:p>
      <w:pPr>
        <w:pStyle w:val="BodyText"/>
        <w:spacing w:before="2"/>
        <w:rPr>
          <w:sz w:val="18"/>
        </w:rPr>
      </w:pPr>
    </w:p>
    <w:p>
      <w:pPr>
        <w:pStyle w:val="BodyText"/>
        <w:spacing w:line="357" w:lineRule="auto" w:before="1"/>
        <w:ind w:left="781" w:right="498"/>
        <w:jc w:val="both"/>
      </w:pPr>
      <w:r>
        <w:rPr/>
        <w:t>En la figura 47, el modelo construido a partir de las pruebas de respirometría detalla que a temperaturas bajas el consumo de oxígeno por parte de los peces incrementa conforme aumenta la densidad, a temperaturas altas dicho aumento en el consumo es más amplio. A densidades bajas (menores a 28 kg/m</w:t>
      </w:r>
      <w:r>
        <w:rPr>
          <w:position w:val="10"/>
          <w:sz w:val="13"/>
        </w:rPr>
        <w:t>3</w:t>
      </w:r>
      <w:r>
        <w:rPr/>
        <w:t>) cuando se aumenta la temperatura el consumo de oxígeno disminuye debido a que los organismos se encuentran en un intervalo de temperatura adecuado, permitiendo un mejor desarrollo de la trucha. Al acrecentar la densidad y la temperatura, el modelo indica que existen condiciones de estrés, probablemente por hacinamiento, causando un aumento considerable en el consumo de oxígeno.</w:t>
      </w:r>
    </w:p>
    <w:p>
      <w:pPr>
        <w:pStyle w:val="BodyText"/>
        <w:rPr>
          <w:sz w:val="18"/>
        </w:rPr>
      </w:pPr>
    </w:p>
    <w:p>
      <w:pPr>
        <w:pStyle w:val="BodyText"/>
        <w:spacing w:line="352" w:lineRule="auto"/>
        <w:ind w:left="781" w:right="497"/>
        <w:jc w:val="both"/>
      </w:pPr>
      <w:r>
        <w:rPr/>
        <w:t>De este modelo se puede determinar para el caso del SRA en evaluación la cantidad de oxígeno disuelto en el estanque para una densidad de 28 kg/m</w:t>
      </w:r>
      <w:r>
        <w:rPr>
          <w:position w:val="10"/>
          <w:sz w:val="13"/>
        </w:rPr>
        <w:t>3 </w:t>
      </w:r>
      <w:r>
        <w:rPr/>
        <w:t>a una temperatura de 17°C.</w:t>
      </w:r>
    </w:p>
    <w:p>
      <w:pPr>
        <w:pStyle w:val="BodyText"/>
        <w:spacing w:before="5"/>
        <w:rPr>
          <w:sz w:val="18"/>
        </w:rPr>
      </w:pPr>
    </w:p>
    <w:p>
      <w:pPr>
        <w:pStyle w:val="BodyText"/>
        <w:spacing w:line="352" w:lineRule="auto"/>
        <w:ind w:left="781" w:right="498"/>
        <w:jc w:val="both"/>
      </w:pPr>
      <w:r>
        <w:rPr/>
        <w:t>Una vez determinada la concentración de saturación y de equilibrio para el SRA, se determina la velocidad de consumo de oxígeno disuelto de los peces de la figura 47, en este caso 6,74 g O</w:t>
      </w:r>
      <w:r>
        <w:rPr>
          <w:position w:val="-2"/>
          <w:sz w:val="13"/>
        </w:rPr>
        <w:t>2</w:t>
      </w:r>
      <w:r>
        <w:rPr/>
        <w:t>/m</w:t>
      </w:r>
      <w:r>
        <w:rPr>
          <w:position w:val="10"/>
          <w:sz w:val="13"/>
        </w:rPr>
        <w:t>3 </w:t>
      </w:r>
      <w:r>
        <w:rPr/>
        <w:t>h.</w:t>
      </w:r>
    </w:p>
    <w:p>
      <w:pPr>
        <w:spacing w:after="0" w:line="352" w:lineRule="auto"/>
        <w:jc w:val="both"/>
        <w:sectPr>
          <w:pgSz w:w="12240" w:h="15840"/>
          <w:pgMar w:header="725" w:footer="1084" w:top="1340" w:bottom="1280" w:left="920" w:right="1200"/>
        </w:sectPr>
      </w:pPr>
    </w:p>
    <w:p>
      <w:pPr>
        <w:pStyle w:val="BodyText"/>
        <w:spacing w:before="4"/>
        <w:rPr>
          <w:sz w:val="15"/>
        </w:rPr>
      </w:pPr>
    </w:p>
    <w:p>
      <w:pPr>
        <w:pStyle w:val="BodyText"/>
        <w:ind w:left="812"/>
        <w:rPr>
          <w:sz w:val="20"/>
        </w:rPr>
      </w:pPr>
      <w:r>
        <w:rPr>
          <w:sz w:val="20"/>
        </w:rPr>
        <w:pict>
          <v:group style="width:441.85pt;height:295.7pt;mso-position-horizontal-relative:char;mso-position-vertical-relative:line" coordorigin="0,0" coordsize="8837,5914">
            <v:shape style="position:absolute;left:0;top:0;width:8837;height:5914" type="#_x0000_t75" stroked="false">
              <v:imagedata r:id="rId111" o:title=""/>
            </v:shape>
            <v:shape style="position:absolute;left:3998;top:3845;width:120;height:1390" coordorigin="3998,3845" coordsize="120,1390" path="m4068,3946l4049,3946,4046,5234,4068,5234,4068,3946xm4058,3845l3998,3965,4049,3965,4049,3946,4109,3946,4058,3845xm4109,3946l4068,3946,4068,3965,4118,3965,4109,3946xe" filled="true" fillcolor="#bf0000" stroked="false">
              <v:path arrowok="t"/>
              <v:fill type="solid"/>
            </v:shape>
            <v:shape style="position:absolute;left:655;top:3785;width:3404;height:120" coordorigin="655,3785" coordsize="3404,120" path="m775,3785l655,3845,775,3905,775,3857,756,3857,756,3835,775,3835,775,3785xm775,3835l756,3835,756,3857,775,3857,775,3857,775,3835xm775,3857l756,3857,775,3857,775,3857xm4058,3835l775,3835,775,3857,4058,3854,4058,3835xe" filled="true" fillcolor="#bf0000" stroked="false">
              <v:path arrowok="t"/>
              <v:fill type="solid"/>
            </v:shape>
            <v:shape style="position:absolute;left:329;top:3779;width:313;height:161" type="#_x0000_t202" filled="false" stroked="false">
              <v:textbox inset="0,0,0,0">
                <w:txbxContent>
                  <w:p>
                    <w:pPr>
                      <w:spacing w:line="161" w:lineRule="exact" w:before="0"/>
                      <w:ind w:left="0" w:right="-19" w:firstLine="0"/>
                      <w:jc w:val="left"/>
                      <w:rPr>
                        <w:b/>
                        <w:sz w:val="16"/>
                      </w:rPr>
                    </w:pPr>
                    <w:r>
                      <w:rPr>
                        <w:b/>
                        <w:color w:val="C00000"/>
                        <w:sz w:val="16"/>
                      </w:rPr>
                      <w:t>6,74</w:t>
                    </w:r>
                  </w:p>
                </w:txbxContent>
              </v:textbox>
              <w10:wrap type="none"/>
            </v:shape>
          </v:group>
        </w:pict>
      </w:r>
      <w:r>
        <w:rPr>
          <w:sz w:val="20"/>
        </w:rPr>
      </w:r>
    </w:p>
    <w:p>
      <w:pPr>
        <w:pStyle w:val="BodyText"/>
        <w:spacing w:before="9"/>
        <w:rPr>
          <w:sz w:val="17"/>
        </w:rPr>
      </w:pPr>
    </w:p>
    <w:p>
      <w:pPr>
        <w:spacing w:before="77"/>
        <w:ind w:left="3618" w:right="520" w:hanging="2801"/>
        <w:jc w:val="left"/>
        <w:rPr>
          <w:b/>
          <w:sz w:val="18"/>
        </w:rPr>
      </w:pPr>
      <w:r>
        <w:rPr>
          <w:b/>
          <w:sz w:val="18"/>
        </w:rPr>
        <w:t>Figura 47. Comportamiento de la tasa de consumo de oxígeno a diferentes temperaturas y densidades para la trucha arco iris a 2660 msnm.</w:t>
      </w:r>
    </w:p>
    <w:p>
      <w:pPr>
        <w:pStyle w:val="BodyText"/>
        <w:spacing w:line="348" w:lineRule="auto" w:before="122"/>
        <w:ind w:left="781" w:right="948"/>
      </w:pPr>
      <w:r>
        <w:rPr/>
        <w:t>Posteriormente se calcula la constante </w:t>
      </w:r>
      <w:r>
        <w:rPr>
          <w:i/>
        </w:rPr>
        <w:t>K</w:t>
      </w:r>
      <w:r>
        <w:rPr>
          <w:i/>
          <w:position w:val="-2"/>
          <w:sz w:val="14"/>
        </w:rPr>
        <w:t>L</w:t>
      </w:r>
      <w:r>
        <w:rPr>
          <w:i/>
        </w:rPr>
        <w:t>a </w:t>
      </w:r>
      <w:r>
        <w:rPr/>
        <w:t>que permite conocer la capacidad de oxigenación que el sistema necesita para soportar la biomasa en el estanque.</w:t>
      </w:r>
    </w:p>
    <w:p>
      <w:pPr>
        <w:pStyle w:val="BodyText"/>
        <w:spacing w:before="2"/>
        <w:rPr>
          <w:sz w:val="11"/>
        </w:rPr>
      </w:pPr>
    </w:p>
    <w:p>
      <w:pPr>
        <w:spacing w:after="0"/>
        <w:rPr>
          <w:sz w:val="11"/>
        </w:rPr>
        <w:sectPr>
          <w:pgSz w:w="12240" w:h="15840"/>
          <w:pgMar w:header="725" w:footer="1084" w:top="1340" w:bottom="1280" w:left="920" w:right="1200"/>
        </w:sectPr>
      </w:pPr>
    </w:p>
    <w:p>
      <w:pPr>
        <w:pStyle w:val="BodyText"/>
        <w:spacing w:before="8"/>
        <w:rPr>
          <w:sz w:val="19"/>
        </w:rPr>
      </w:pPr>
    </w:p>
    <w:p>
      <w:pPr>
        <w:tabs>
          <w:tab w:pos="2255" w:val="left" w:leader="none"/>
        </w:tabs>
        <w:spacing w:line="103" w:lineRule="exact" w:before="0"/>
        <w:ind w:left="1431" w:right="0" w:firstLine="0"/>
        <w:jc w:val="left"/>
        <w:rPr>
          <w:rFonts w:ascii="Cambria Math" w:hAnsi="Cambria Math"/>
          <w:sz w:val="13"/>
        </w:rPr>
      </w:pPr>
      <w:r>
        <w:rPr>
          <w:rFonts w:ascii="Times New Roman" w:hAnsi="Times New Roman"/>
          <w:w w:val="100"/>
          <w:sz w:val="16"/>
          <w:u w:val="single"/>
        </w:rPr>
        <w:t> </w:t>
      </w:r>
      <w:r>
        <w:rPr>
          <w:rFonts w:ascii="Times New Roman" w:hAnsi="Times New Roman"/>
          <w:sz w:val="16"/>
          <w:u w:val="single"/>
        </w:rPr>
        <w:t>   </w:t>
      </w:r>
      <w:r>
        <w:rPr>
          <w:rFonts w:ascii="Times New Roman" w:hAnsi="Times New Roman"/>
          <w:spacing w:val="18"/>
          <w:sz w:val="16"/>
          <w:u w:val="single"/>
        </w:rPr>
        <w:t> </w:t>
      </w:r>
      <w:r>
        <w:rPr>
          <w:rFonts w:ascii="Cambria Math" w:hAnsi="Cambria Math"/>
          <w:w w:val="120"/>
          <w:sz w:val="16"/>
          <w:u w:val="single"/>
        </w:rPr>
        <w:t>–rO</w:t>
      </w:r>
      <w:r>
        <w:rPr>
          <w:rFonts w:ascii="Cambria Math" w:hAnsi="Cambria Math"/>
          <w:w w:val="120"/>
          <w:position w:val="-2"/>
          <w:sz w:val="13"/>
          <w:u w:val="single"/>
        </w:rPr>
        <w:t>2</w:t>
      </w:r>
      <w:r>
        <w:rPr>
          <w:rFonts w:ascii="Cambria Math" w:hAnsi="Cambria Math"/>
          <w:position w:val="-2"/>
          <w:sz w:val="13"/>
          <w:u w:val="single"/>
        </w:rPr>
        <w:tab/>
      </w:r>
    </w:p>
    <w:p>
      <w:pPr>
        <w:pStyle w:val="BodyText"/>
        <w:spacing w:before="3"/>
        <w:rPr>
          <w:rFonts w:ascii="Cambria Math"/>
          <w:sz w:val="16"/>
        </w:rPr>
      </w:pPr>
      <w:r>
        <w:rPr/>
        <w:br w:type="column"/>
      </w:r>
      <w:r>
        <w:rPr>
          <w:rFonts w:ascii="Cambria Math"/>
          <w:sz w:val="16"/>
        </w:rPr>
      </w:r>
    </w:p>
    <w:p>
      <w:pPr>
        <w:spacing w:line="139" w:lineRule="exact" w:before="0"/>
        <w:ind w:left="495" w:right="-7" w:firstLine="0"/>
        <w:jc w:val="left"/>
        <w:rPr>
          <w:rFonts w:ascii="Cambria Math" w:hAnsi="Cambria Math"/>
          <w:sz w:val="16"/>
        </w:rPr>
      </w:pPr>
      <w:r>
        <w:rPr>
          <w:rFonts w:ascii="Cambria Math" w:hAnsi="Cambria Math"/>
          <w:w w:val="110"/>
          <w:sz w:val="16"/>
        </w:rPr>
        <w:t>–6,74</w:t>
      </w:r>
    </w:p>
    <w:p>
      <w:pPr>
        <w:spacing w:line="201" w:lineRule="exact" w:before="76"/>
        <w:ind w:left="-6" w:right="0" w:firstLine="0"/>
        <w:jc w:val="left"/>
        <w:rPr>
          <w:rFonts w:ascii="Cambria Math"/>
          <w:sz w:val="13"/>
        </w:rPr>
      </w:pPr>
      <w:r>
        <w:rPr/>
        <w:br w:type="column"/>
      </w:r>
      <w:r>
        <w:rPr>
          <w:rFonts w:ascii="Cambria Math"/>
          <w:w w:val="115"/>
          <w:sz w:val="13"/>
        </w:rPr>
        <w:t>g/m</w:t>
      </w:r>
      <w:r>
        <w:rPr>
          <w:rFonts w:ascii="Cambria Math"/>
          <w:w w:val="115"/>
          <w:position w:val="5"/>
          <w:sz w:val="13"/>
        </w:rPr>
        <w:t>3</w:t>
      </w:r>
    </w:p>
    <w:p>
      <w:pPr>
        <w:tabs>
          <w:tab w:pos="1932" w:val="right" w:leader="none"/>
        </w:tabs>
        <w:spacing w:line="53" w:lineRule="exact" w:before="0"/>
        <w:ind w:left="133" w:right="0" w:firstLine="0"/>
        <w:jc w:val="left"/>
        <w:rPr>
          <w:rFonts w:ascii="Cambria Math"/>
          <w:sz w:val="16"/>
        </w:rPr>
      </w:pPr>
      <w:r>
        <w:rPr/>
        <w:pict>
          <v:line style="position:absolute;mso-position-horizontal-relative:page;mso-position-vertical-relative:paragraph;z-index:-1523272" from="208.679993pt,1.038643pt" to="227.039992pt,1.038643pt" stroked="true" strokeweight=".48pt" strokecolor="#000000">
            <w10:wrap type="none"/>
          </v:line>
        </w:pict>
      </w:r>
      <w:r>
        <w:rPr/>
        <w:pict>
          <v:line style="position:absolute;mso-position-horizontal-relative:page;mso-position-vertical-relative:paragraph;z-index:-1523248" from="173.160004pt,8.478642pt" to="239.280002pt,8.478642pt" stroked="true" strokeweight=".72pt" strokecolor="#000000">
            <w10:wrap type="none"/>
          </v:line>
        </w:pict>
      </w:r>
      <w:r>
        <w:rPr>
          <w:rFonts w:ascii="Cambria Math"/>
          <w:w w:val="115"/>
          <w:sz w:val="13"/>
        </w:rPr>
        <w:t>h</w:t>
      </w:r>
      <w:r>
        <w:rPr>
          <w:rFonts w:ascii="Times New Roman"/>
          <w:w w:val="115"/>
          <w:sz w:val="16"/>
        </w:rPr>
        <w:tab/>
      </w:r>
      <w:r>
        <w:rPr>
          <w:rFonts w:ascii="Cambria Math"/>
          <w:w w:val="115"/>
          <w:sz w:val="16"/>
        </w:rPr>
        <w:t>1</w:t>
      </w:r>
    </w:p>
    <w:p>
      <w:pPr>
        <w:spacing w:after="0" w:line="53" w:lineRule="exact"/>
        <w:jc w:val="left"/>
        <w:rPr>
          <w:rFonts w:ascii="Cambria Math"/>
          <w:sz w:val="16"/>
        </w:rPr>
        <w:sectPr>
          <w:type w:val="continuous"/>
          <w:pgSz w:w="12240" w:h="15840"/>
          <w:pgMar w:top="0" w:bottom="0" w:left="920" w:right="1200"/>
          <w:cols w:num="3" w:equalWidth="0">
            <w:col w:w="2256" w:space="40"/>
            <w:col w:w="925" w:space="40"/>
            <w:col w:w="6859"/>
          </w:cols>
        </w:sectPr>
      </w:pPr>
    </w:p>
    <w:p>
      <w:pPr>
        <w:pStyle w:val="BodyText"/>
        <w:spacing w:line="232" w:lineRule="exact"/>
        <w:ind w:left="781"/>
        <w:rPr>
          <w:rFonts w:ascii="Cambria Math"/>
        </w:rPr>
      </w:pPr>
      <w:r>
        <w:rPr/>
        <w:pict>
          <v:shape style="position:absolute;margin-left:117.599998pt;margin-top:8.210361pt;width:8.5pt;height:8.2pt;mso-position-horizontal-relative:page;mso-position-vertical-relative:paragraph;z-index:-1523152" type="#_x0000_t202" filled="false" stroked="false">
            <v:textbox inset="0,0,0,0">
              <w:txbxContent>
                <w:p>
                  <w:pPr>
                    <w:spacing w:line="163" w:lineRule="exact" w:before="0"/>
                    <w:ind w:left="0" w:right="-15" w:firstLine="0"/>
                    <w:jc w:val="left"/>
                    <w:rPr>
                      <w:rFonts w:ascii="Cambria Math"/>
                      <w:sz w:val="16"/>
                    </w:rPr>
                  </w:pPr>
                  <w:r>
                    <w:rPr>
                      <w:rFonts w:ascii="Cambria Math"/>
                      <w:w w:val="105"/>
                      <w:sz w:val="16"/>
                    </w:rPr>
                    <w:t>(C</w:t>
                  </w:r>
                </w:p>
              </w:txbxContent>
            </v:textbox>
            <w10:wrap type="none"/>
          </v:shape>
        </w:pict>
      </w:r>
      <w:r>
        <w:rPr>
          <w:rFonts w:ascii="Cambria Math"/>
          <w:w w:val="105"/>
        </w:rPr>
        <w:t>K</w:t>
      </w:r>
      <w:r>
        <w:rPr>
          <w:rFonts w:ascii="Cambria Math"/>
          <w:w w:val="105"/>
          <w:position w:val="-4"/>
          <w:sz w:val="16"/>
        </w:rPr>
        <w:t>L</w:t>
      </w:r>
      <w:r>
        <w:rPr>
          <w:rFonts w:ascii="Cambria Math"/>
          <w:w w:val="105"/>
        </w:rPr>
        <w:t>a =</w:t>
      </w:r>
    </w:p>
    <w:p>
      <w:pPr>
        <w:spacing w:line="29" w:lineRule="exact" w:before="0"/>
        <w:ind w:left="0" w:right="0" w:firstLine="0"/>
        <w:jc w:val="right"/>
        <w:rPr>
          <w:rFonts w:ascii="Cambria Math"/>
          <w:sz w:val="13"/>
        </w:rPr>
      </w:pPr>
      <w:r>
        <w:rPr>
          <w:rFonts w:ascii="Cambria Math"/>
          <w:w w:val="115"/>
          <w:sz w:val="13"/>
        </w:rPr>
        <w:t>eq</w:t>
      </w:r>
    </w:p>
    <w:p>
      <w:pPr>
        <w:spacing w:line="120" w:lineRule="exact" w:before="141"/>
        <w:ind w:left="-32" w:right="-18" w:firstLine="0"/>
        <w:jc w:val="left"/>
        <w:rPr>
          <w:rFonts w:ascii="Cambria Math" w:hAnsi="Cambria Math"/>
          <w:sz w:val="13"/>
        </w:rPr>
      </w:pPr>
      <w:r>
        <w:rPr/>
        <w:br w:type="column"/>
      </w:r>
      <w:r>
        <w:rPr>
          <w:rFonts w:ascii="Cambria Math" w:hAnsi="Cambria Math"/>
          <w:w w:val="125"/>
          <w:position w:val="3"/>
          <w:sz w:val="16"/>
        </w:rPr>
        <w:t>–C</w:t>
      </w:r>
      <w:r>
        <w:rPr>
          <w:rFonts w:ascii="Cambria Math" w:hAnsi="Cambria Math"/>
          <w:w w:val="125"/>
          <w:sz w:val="13"/>
        </w:rPr>
        <w:t>sat</w:t>
      </w:r>
    </w:p>
    <w:p>
      <w:pPr>
        <w:pStyle w:val="BodyText"/>
        <w:tabs>
          <w:tab w:pos="714" w:val="left" w:leader="none"/>
          <w:tab w:pos="978" w:val="left" w:leader="none"/>
          <w:tab w:pos="1355" w:val="left" w:leader="none"/>
          <w:tab w:pos="1619" w:val="left" w:leader="none"/>
        </w:tabs>
        <w:spacing w:line="165" w:lineRule="exact"/>
        <w:ind w:left="98"/>
        <w:rPr>
          <w:rFonts w:ascii="Cambria Math" w:hAnsi="Cambria Math"/>
        </w:rPr>
      </w:pPr>
      <w:r>
        <w:rPr/>
        <w:br w:type="column"/>
      </w:r>
      <w:r>
        <w:rPr>
          <w:rFonts w:ascii="Cambria Math" w:hAnsi="Cambria Math"/>
        </w:rPr>
        <w:t>=</w:t>
        <w:tab/>
      </w:r>
      <w:r>
        <w:rPr>
          <w:rFonts w:ascii="Times New Roman" w:hAnsi="Times New Roman"/>
          <w:u w:val="single"/>
        </w:rPr>
        <w:tab/>
      </w:r>
      <w:r>
        <w:rPr>
          <w:rFonts w:ascii="Times New Roman" w:hAnsi="Times New Roman"/>
        </w:rPr>
        <w:tab/>
      </w:r>
      <w:r>
        <w:rPr>
          <w:rFonts w:ascii="Times New Roman" w:hAnsi="Times New Roman"/>
          <w:u w:val="single"/>
        </w:rPr>
        <w:tab/>
      </w:r>
      <w:r>
        <w:rPr>
          <w:rFonts w:ascii="Cambria Math" w:hAnsi="Cambria Math"/>
        </w:rPr>
        <w:t>= 7,5730</w:t>
      </w:r>
      <w:r>
        <w:rPr>
          <w:rFonts w:ascii="Cambria Math" w:hAnsi="Cambria Math"/>
          <w:spacing w:val="12"/>
        </w:rPr>
        <w:t> </w:t>
      </w:r>
      <w:r>
        <w:rPr>
          <w:rFonts w:ascii="Cambria Math" w:hAnsi="Cambria Math"/>
        </w:rPr>
        <w:t>ℎ</w:t>
      </w:r>
    </w:p>
    <w:p>
      <w:pPr>
        <w:tabs>
          <w:tab w:pos="323" w:val="left" w:leader="none"/>
        </w:tabs>
        <w:spacing w:line="95" w:lineRule="exact" w:before="0"/>
        <w:ind w:left="-32" w:right="0" w:firstLine="0"/>
        <w:jc w:val="left"/>
        <w:rPr>
          <w:rFonts w:ascii="Cambria Math" w:hAnsi="Cambria Math"/>
          <w:sz w:val="16"/>
        </w:rPr>
      </w:pPr>
      <w:r>
        <w:rPr>
          <w:rFonts w:ascii="Cambria Math" w:hAnsi="Cambria Math"/>
          <w:w w:val="120"/>
          <w:position w:val="2"/>
          <w:sz w:val="16"/>
        </w:rPr>
        <w:t>)</w:t>
        <w:tab/>
      </w:r>
      <w:r>
        <w:rPr>
          <w:rFonts w:ascii="Cambria Math" w:hAnsi="Cambria Math"/>
          <w:w w:val="120"/>
          <w:sz w:val="16"/>
        </w:rPr>
        <w:t>(5,53 </w:t>
      </w:r>
      <w:r>
        <w:rPr>
          <w:rFonts w:ascii="Cambria Math" w:hAnsi="Cambria Math"/>
          <w:w w:val="120"/>
          <w:position w:val="9"/>
          <w:sz w:val="13"/>
        </w:rPr>
        <w:t>g </w:t>
      </w:r>
      <w:r>
        <w:rPr>
          <w:rFonts w:ascii="Cambria Math" w:hAnsi="Cambria Math"/>
          <w:w w:val="120"/>
          <w:sz w:val="16"/>
        </w:rPr>
        <w:t>–6,42 </w:t>
      </w:r>
      <w:r>
        <w:rPr>
          <w:rFonts w:ascii="Cambria Math" w:hAnsi="Cambria Math"/>
          <w:w w:val="120"/>
          <w:position w:val="9"/>
          <w:sz w:val="13"/>
        </w:rPr>
        <w:t>g </w:t>
      </w:r>
      <w:r>
        <w:rPr>
          <w:rFonts w:ascii="Cambria Math" w:hAnsi="Cambria Math"/>
          <w:spacing w:val="3"/>
          <w:w w:val="120"/>
          <w:position w:val="9"/>
          <w:sz w:val="13"/>
        </w:rPr>
        <w:t> </w:t>
      </w:r>
      <w:r>
        <w:rPr>
          <w:rFonts w:ascii="Cambria Math" w:hAnsi="Cambria Math"/>
          <w:w w:val="120"/>
          <w:sz w:val="16"/>
        </w:rPr>
        <w:t>)</w:t>
      </w:r>
    </w:p>
    <w:p>
      <w:pPr>
        <w:pStyle w:val="BodyText"/>
        <w:spacing w:line="226" w:lineRule="exact"/>
        <w:ind w:left="762" w:right="1136"/>
        <w:jc w:val="center"/>
      </w:pPr>
      <w:r>
        <w:rPr/>
        <w:br w:type="column"/>
      </w:r>
      <w:r>
        <w:rPr/>
        <w:t>(11)</w:t>
      </w:r>
    </w:p>
    <w:p>
      <w:pPr>
        <w:spacing w:after="0" w:line="226" w:lineRule="exact"/>
        <w:jc w:val="center"/>
        <w:sectPr>
          <w:type w:val="continuous"/>
          <w:pgSz w:w="12240" w:h="15840"/>
          <w:pgMar w:top="0" w:bottom="0" w:left="920" w:right="1200"/>
          <w:cols w:num="4" w:equalWidth="0">
            <w:col w:w="1753" w:space="40"/>
            <w:col w:w="387" w:space="40"/>
            <w:col w:w="2761" w:space="2808"/>
            <w:col w:w="2331"/>
          </w:cols>
        </w:sectPr>
      </w:pPr>
    </w:p>
    <w:p>
      <w:pPr>
        <w:tabs>
          <w:tab w:pos="3575" w:val="left" w:leader="none"/>
        </w:tabs>
        <w:spacing w:line="170" w:lineRule="exact" w:before="0"/>
        <w:ind w:left="2934" w:right="2707" w:firstLine="0"/>
        <w:jc w:val="left"/>
        <w:rPr>
          <w:rFonts w:ascii="Cambria Math"/>
          <w:sz w:val="13"/>
        </w:rPr>
      </w:pPr>
      <w:r>
        <w:rPr>
          <w:rFonts w:ascii="Cambria Math"/>
          <w:w w:val="115"/>
          <w:position w:val="-3"/>
          <w:sz w:val="13"/>
        </w:rPr>
        <w:t>m</w:t>
      </w:r>
      <w:r>
        <w:rPr>
          <w:rFonts w:ascii="Cambria Math"/>
          <w:w w:val="115"/>
          <w:sz w:val="13"/>
        </w:rPr>
        <w:t>3</w:t>
        <w:tab/>
      </w:r>
      <w:r>
        <w:rPr>
          <w:rFonts w:ascii="Cambria Math"/>
          <w:w w:val="115"/>
          <w:position w:val="-3"/>
          <w:sz w:val="13"/>
        </w:rPr>
        <w:t>m</w:t>
      </w:r>
      <w:r>
        <w:rPr>
          <w:rFonts w:ascii="Cambria Math"/>
          <w:w w:val="115"/>
          <w:sz w:val="13"/>
        </w:rPr>
        <w:t>3</w:t>
      </w:r>
    </w:p>
    <w:p>
      <w:pPr>
        <w:spacing w:line="312" w:lineRule="auto" w:before="265"/>
        <w:ind w:left="781" w:right="514" w:firstLine="0"/>
        <w:jc w:val="left"/>
        <w:rPr>
          <w:sz w:val="18"/>
        </w:rPr>
      </w:pPr>
      <w:r>
        <w:rPr>
          <w:position w:val="2"/>
          <w:sz w:val="18"/>
        </w:rPr>
        <w:t>Donde: KLa = Coeficiente de transferencia volumétrico (h</w:t>
      </w:r>
      <w:r>
        <w:rPr>
          <w:position w:val="11"/>
          <w:sz w:val="12"/>
        </w:rPr>
        <w:t>-1</w:t>
      </w:r>
      <w:r>
        <w:rPr>
          <w:position w:val="2"/>
          <w:sz w:val="18"/>
        </w:rPr>
        <w:t>), </w:t>
      </w:r>
      <w:r>
        <w:rPr>
          <w:i/>
          <w:position w:val="2"/>
          <w:sz w:val="18"/>
        </w:rPr>
        <w:t>C</w:t>
      </w:r>
      <w:r>
        <w:rPr>
          <w:i/>
          <w:sz w:val="12"/>
        </w:rPr>
        <w:t>sat</w:t>
      </w:r>
      <w:r>
        <w:rPr>
          <w:position w:val="2"/>
          <w:sz w:val="18"/>
        </w:rPr>
        <w:t>= Concentración de saturación del gas (kg/m</w:t>
      </w:r>
      <w:r>
        <w:rPr>
          <w:position w:val="11"/>
          <w:sz w:val="12"/>
        </w:rPr>
        <w:t>3</w:t>
      </w:r>
      <w:r>
        <w:rPr>
          <w:position w:val="2"/>
          <w:sz w:val="18"/>
        </w:rPr>
        <w:t>), </w:t>
      </w:r>
      <w:r>
        <w:rPr>
          <w:i/>
          <w:position w:val="2"/>
          <w:sz w:val="18"/>
        </w:rPr>
        <w:t>C</w:t>
      </w:r>
      <w:r>
        <w:rPr>
          <w:i/>
          <w:sz w:val="12"/>
        </w:rPr>
        <w:t>eq</w:t>
      </w:r>
      <w:r>
        <w:rPr>
          <w:position w:val="2"/>
          <w:sz w:val="18"/>
        </w:rPr>
        <w:t>= Concentración de equilibrio del gas (kg/m</w:t>
      </w:r>
      <w:r>
        <w:rPr>
          <w:position w:val="11"/>
          <w:sz w:val="12"/>
        </w:rPr>
        <w:t>3</w:t>
      </w:r>
      <w:r>
        <w:rPr>
          <w:position w:val="2"/>
          <w:sz w:val="18"/>
        </w:rPr>
        <w:t>), rO</w:t>
      </w:r>
      <w:r>
        <w:rPr>
          <w:sz w:val="12"/>
        </w:rPr>
        <w:t>2 </w:t>
      </w:r>
      <w:r>
        <w:rPr>
          <w:position w:val="2"/>
          <w:sz w:val="18"/>
        </w:rPr>
        <w:t>= Tasa de consumo de oxígeno (kg O2/m</w:t>
      </w:r>
      <w:r>
        <w:rPr>
          <w:position w:val="11"/>
          <w:sz w:val="12"/>
        </w:rPr>
        <w:t>3</w:t>
      </w:r>
      <w:r>
        <w:rPr>
          <w:spacing w:val="-15"/>
          <w:position w:val="11"/>
          <w:sz w:val="12"/>
        </w:rPr>
        <w:t> </w:t>
      </w:r>
      <w:r>
        <w:rPr>
          <w:position w:val="2"/>
          <w:sz w:val="18"/>
        </w:rPr>
        <w:t>h)</w:t>
      </w:r>
    </w:p>
    <w:p>
      <w:pPr>
        <w:pStyle w:val="BodyText"/>
        <w:spacing w:before="225"/>
        <w:ind w:left="781" w:right="948"/>
      </w:pPr>
      <w:r>
        <w:rPr/>
        <w:t>La capacidad de oxigenación se calcula mediante la siguiente ecuación:</w:t>
      </w:r>
    </w:p>
    <w:p>
      <w:pPr>
        <w:spacing w:after="0"/>
        <w:sectPr>
          <w:type w:val="continuous"/>
          <w:pgSz w:w="12240" w:h="15840"/>
          <w:pgMar w:top="0" w:bottom="0" w:left="920" w:right="1200"/>
        </w:sectPr>
      </w:pPr>
    </w:p>
    <w:p>
      <w:pPr>
        <w:spacing w:before="369"/>
        <w:ind w:left="781" w:right="0" w:firstLine="0"/>
        <w:jc w:val="left"/>
        <w:rPr>
          <w:rFonts w:ascii="Cambria Math" w:hAnsi="Cambria Math"/>
          <w:sz w:val="22"/>
        </w:rPr>
      </w:pPr>
      <w:r>
        <w:rPr/>
        <w:pict>
          <v:line style="position:absolute;mso-position-horizontal-relative:page;mso-position-vertical-relative:paragraph;z-index:8584" from="331.440002pt,26.931463pt" to="343.200002pt,26.931463pt" stroked="true" strokeweight=".72pt" strokecolor="#000000">
            <w10:wrap type="none"/>
          </v:line>
        </w:pict>
      </w:r>
      <w:r>
        <w:rPr/>
        <w:pict>
          <v:shape style="position:absolute;margin-left:334.559906pt;margin-top:17.316046pt;width:5.3pt;height:8.0500pt;mso-position-horizontal-relative:page;mso-position-vertical-relative:paragraph;z-index:8680" type="#_x0000_t202" filled="false" stroked="false">
            <v:textbox inset="0,0,0,0">
              <w:txbxContent>
                <w:p>
                  <w:pPr>
                    <w:spacing w:line="161" w:lineRule="exact" w:before="0"/>
                    <w:ind w:left="0" w:right="0" w:firstLine="0"/>
                    <w:jc w:val="left"/>
                    <w:rPr>
                      <w:rFonts w:ascii="Cambria Math"/>
                      <w:sz w:val="16"/>
                    </w:rPr>
                  </w:pPr>
                  <w:r>
                    <w:rPr>
                      <w:rFonts w:ascii="Cambria Math"/>
                      <w:w w:val="134"/>
                      <w:sz w:val="16"/>
                    </w:rPr>
                    <w:t>g</w:t>
                  </w:r>
                </w:p>
              </w:txbxContent>
            </v:textbox>
            <w10:wrap type="none"/>
          </v:shape>
        </w:pict>
      </w:r>
      <w:r>
        <w:rPr/>
        <w:pict>
          <v:shape style="position:absolute;margin-left:331.439850pt;margin-top:28.129803pt;width:11.55pt;height:9.25pt;mso-position-horizontal-relative:page;mso-position-vertical-relative:paragraph;z-index:8704" type="#_x0000_t202" filled="false" stroked="false">
            <v:textbox inset="0,0,0,0">
              <w:txbxContent>
                <w:p>
                  <w:pPr>
                    <w:spacing w:line="185" w:lineRule="exact" w:before="0"/>
                    <w:ind w:left="0" w:right="-15" w:firstLine="0"/>
                    <w:jc w:val="left"/>
                    <w:rPr>
                      <w:rFonts w:ascii="Cambria Math"/>
                      <w:sz w:val="13"/>
                    </w:rPr>
                  </w:pPr>
                  <w:r>
                    <w:rPr>
                      <w:rFonts w:ascii="Cambria Math"/>
                      <w:w w:val="110"/>
                      <w:position w:val="-4"/>
                      <w:sz w:val="16"/>
                    </w:rPr>
                    <w:t>m</w:t>
                  </w:r>
                  <w:r>
                    <w:rPr>
                      <w:rFonts w:ascii="Cambria Math"/>
                      <w:w w:val="110"/>
                      <w:sz w:val="13"/>
                    </w:rPr>
                    <w:t>3</w:t>
                  </w:r>
                </w:p>
              </w:txbxContent>
            </v:textbox>
            <w10:wrap type="none"/>
          </v:shape>
        </w:pict>
      </w:r>
      <w:r>
        <w:rPr>
          <w:rFonts w:ascii="Cambria Math" w:hAnsi="Cambria Math"/>
          <w:w w:val="105"/>
          <w:sz w:val="22"/>
        </w:rPr>
        <w:t>C0 = K</w:t>
      </w:r>
      <w:r>
        <w:rPr>
          <w:rFonts w:ascii="Cambria Math" w:hAnsi="Cambria Math"/>
          <w:w w:val="105"/>
          <w:position w:val="-4"/>
          <w:sz w:val="16"/>
        </w:rPr>
        <w:t>L</w:t>
      </w:r>
      <w:r>
        <w:rPr>
          <w:rFonts w:ascii="Cambria Math" w:hAnsi="Cambria Math"/>
          <w:w w:val="105"/>
          <w:sz w:val="22"/>
        </w:rPr>
        <w:t>a ∙ V</w:t>
      </w:r>
      <w:r>
        <w:rPr>
          <w:rFonts w:ascii="Cambria Math" w:hAnsi="Cambria Math"/>
          <w:w w:val="105"/>
          <w:position w:val="1"/>
          <w:sz w:val="22"/>
        </w:rPr>
        <w:t>(</w:t>
      </w:r>
      <w:r>
        <w:rPr>
          <w:rFonts w:ascii="Cambria Math" w:hAnsi="Cambria Math"/>
          <w:w w:val="105"/>
          <w:sz w:val="22"/>
        </w:rPr>
        <w:t>C</w:t>
      </w:r>
      <w:r>
        <w:rPr>
          <w:rFonts w:ascii="Cambria Math" w:hAnsi="Cambria Math"/>
          <w:w w:val="105"/>
          <w:position w:val="-4"/>
          <w:sz w:val="16"/>
        </w:rPr>
        <w:t>sat  </w:t>
      </w:r>
      <w:r>
        <w:rPr>
          <w:rFonts w:ascii="Cambria Math" w:hAnsi="Cambria Math"/>
          <w:w w:val="105"/>
          <w:sz w:val="22"/>
        </w:rPr>
        <w:t>− C</w:t>
      </w:r>
      <w:r>
        <w:rPr>
          <w:rFonts w:ascii="Cambria Math" w:hAnsi="Cambria Math"/>
          <w:w w:val="105"/>
          <w:position w:val="1"/>
          <w:sz w:val="22"/>
        </w:rPr>
        <w:t>) </w:t>
      </w:r>
      <w:r>
        <w:rPr>
          <w:rFonts w:ascii="Cambria Math" w:hAnsi="Cambria Math"/>
          <w:w w:val="105"/>
          <w:sz w:val="22"/>
        </w:rPr>
        <w:t>= 7,5730ℎ</w:t>
      </w:r>
      <w:r>
        <w:rPr>
          <w:rFonts w:ascii="Cambria Math" w:hAnsi="Cambria Math"/>
          <w:w w:val="105"/>
          <w:position w:val="8"/>
          <w:sz w:val="16"/>
        </w:rPr>
        <w:t>–1 </w:t>
      </w:r>
      <w:r>
        <w:rPr>
          <w:rFonts w:ascii="Cambria Math" w:hAnsi="Cambria Math"/>
          <w:w w:val="105"/>
          <w:sz w:val="22"/>
        </w:rPr>
        <w:t>∙ 7,06m</w:t>
      </w:r>
      <w:r>
        <w:rPr>
          <w:rFonts w:ascii="Cambria Math" w:hAnsi="Cambria Math"/>
          <w:w w:val="105"/>
          <w:position w:val="8"/>
          <w:sz w:val="16"/>
        </w:rPr>
        <w:t>3 </w:t>
      </w:r>
      <w:r>
        <w:rPr>
          <w:rFonts w:ascii="Cambria Math" w:hAnsi="Cambria Math"/>
          <w:w w:val="105"/>
          <w:sz w:val="22"/>
        </w:rPr>
        <w:t>(6,42</w:t>
      </w:r>
    </w:p>
    <w:p>
      <w:pPr>
        <w:pStyle w:val="BodyText"/>
        <w:spacing w:before="392"/>
        <w:ind w:left="15" w:right="-18"/>
        <w:rPr>
          <w:rFonts w:ascii="Cambria Math" w:hAnsi="Cambria Math"/>
        </w:rPr>
      </w:pPr>
      <w:r>
        <w:rPr/>
        <w:br w:type="column"/>
      </w:r>
      <w:r>
        <w:rPr>
          <w:rFonts w:ascii="Cambria Math" w:hAnsi="Cambria Math"/>
        </w:rPr>
        <w:t>− 5,0</w:t>
      </w:r>
    </w:p>
    <w:p>
      <w:pPr>
        <w:spacing w:line="275" w:lineRule="exact" w:before="319"/>
        <w:ind w:left="58" w:right="-15" w:firstLine="0"/>
        <w:jc w:val="left"/>
        <w:rPr>
          <w:rFonts w:ascii="Cambria Math"/>
          <w:sz w:val="16"/>
        </w:rPr>
      </w:pPr>
      <w:r>
        <w:rPr/>
        <w:br w:type="column"/>
      </w:r>
      <w:r>
        <w:rPr>
          <w:rFonts w:ascii="Cambria Math"/>
          <w:w w:val="115"/>
          <w:position w:val="13"/>
          <w:sz w:val="16"/>
        </w:rPr>
        <w:t>g</w:t>
      </w:r>
      <w:r>
        <w:rPr>
          <w:rFonts w:ascii="Cambria Math"/>
          <w:spacing w:val="6"/>
          <w:w w:val="115"/>
          <w:position w:val="13"/>
          <w:sz w:val="16"/>
        </w:rPr>
        <w:t> </w:t>
      </w:r>
      <w:r>
        <w:rPr>
          <w:rFonts w:ascii="Cambria Math"/>
          <w:w w:val="115"/>
          <w:sz w:val="22"/>
        </w:rPr>
        <w:t>)</w:t>
      </w:r>
      <w:r>
        <w:rPr>
          <w:rFonts w:ascii="Cambria Math"/>
          <w:spacing w:val="-17"/>
          <w:w w:val="115"/>
          <w:sz w:val="22"/>
        </w:rPr>
        <w:t> </w:t>
      </w:r>
      <w:r>
        <w:rPr>
          <w:rFonts w:ascii="Cambria Math"/>
          <w:w w:val="115"/>
          <w:sz w:val="22"/>
        </w:rPr>
        <w:t>=</w:t>
      </w:r>
      <w:r>
        <w:rPr>
          <w:rFonts w:ascii="Cambria Math"/>
          <w:spacing w:val="-15"/>
          <w:w w:val="115"/>
          <w:sz w:val="22"/>
        </w:rPr>
        <w:t> </w:t>
      </w:r>
      <w:r>
        <w:rPr>
          <w:rFonts w:ascii="Cambria Math"/>
          <w:w w:val="115"/>
          <w:sz w:val="22"/>
        </w:rPr>
        <w:t>75,92</w:t>
      </w:r>
      <w:r>
        <w:rPr>
          <w:rFonts w:ascii="Cambria Math"/>
          <w:spacing w:val="-33"/>
          <w:w w:val="115"/>
          <w:sz w:val="22"/>
        </w:rPr>
        <w:t> </w:t>
      </w:r>
      <w:r>
        <w:rPr>
          <w:rFonts w:ascii="Cambria Math"/>
          <w:w w:val="115"/>
          <w:position w:val="13"/>
          <w:sz w:val="16"/>
        </w:rPr>
        <w:t>g</w:t>
      </w:r>
    </w:p>
    <w:p>
      <w:pPr>
        <w:tabs>
          <w:tab w:pos="1196" w:val="left" w:leader="none"/>
        </w:tabs>
        <w:spacing w:line="153" w:lineRule="exact" w:before="0"/>
        <w:ind w:left="-4" w:right="0" w:firstLine="0"/>
        <w:jc w:val="left"/>
        <w:rPr>
          <w:rFonts w:ascii="Cambria Math"/>
          <w:sz w:val="16"/>
        </w:rPr>
      </w:pPr>
      <w:r>
        <w:rPr/>
        <w:pict>
          <v:line style="position:absolute;mso-position-horizontal-relative:page;mso-position-vertical-relative:paragraph;z-index:-1523200" from="372.720001pt,-2.763884pt" to="384.480001pt,-2.763884pt" stroked="true" strokeweight=".72pt" strokecolor="#000000">
            <w10:wrap type="none"/>
          </v:line>
        </w:pict>
      </w:r>
      <w:r>
        <w:rPr/>
        <w:pict>
          <v:line style="position:absolute;mso-position-horizontal-relative:page;mso-position-vertical-relative:paragraph;z-index:-1523176" from="432.599976pt,-2.763884pt" to="437.999975pt,-2.763884pt" stroked="true" strokeweight=".72pt" strokecolor="#000000">
            <w10:wrap type="none"/>
          </v:line>
        </w:pict>
      </w:r>
      <w:r>
        <w:rPr>
          <w:rFonts w:ascii="Cambria Math"/>
          <w:w w:val="110"/>
          <w:sz w:val="16"/>
        </w:rPr>
        <w:t>m</w:t>
      </w:r>
      <w:r>
        <w:rPr>
          <w:rFonts w:ascii="Cambria Math"/>
          <w:w w:val="110"/>
          <w:position w:val="5"/>
          <w:sz w:val="13"/>
        </w:rPr>
        <w:t>3</w:t>
        <w:tab/>
      </w:r>
      <w:r>
        <w:rPr>
          <w:rFonts w:ascii="Cambria Math"/>
          <w:w w:val="110"/>
          <w:sz w:val="16"/>
        </w:rPr>
        <w:t>h</w:t>
      </w:r>
    </w:p>
    <w:p>
      <w:pPr>
        <w:pStyle w:val="BodyText"/>
        <w:spacing w:before="395"/>
        <w:ind w:left="691"/>
      </w:pPr>
      <w:r>
        <w:rPr/>
        <w:br w:type="column"/>
      </w:r>
      <w:r>
        <w:rPr/>
        <w:t>(12)</w:t>
      </w:r>
    </w:p>
    <w:p>
      <w:pPr>
        <w:spacing w:after="0"/>
        <w:sectPr>
          <w:type w:val="continuous"/>
          <w:pgSz w:w="12240" w:h="15840"/>
          <w:pgMar w:top="0" w:bottom="0" w:left="920" w:right="1200"/>
          <w:cols w:num="4" w:equalWidth="0">
            <w:col w:w="5940" w:space="40"/>
            <w:col w:w="519" w:space="40"/>
            <w:col w:w="1300" w:space="40"/>
            <w:col w:w="2241"/>
          </w:cols>
        </w:sectPr>
      </w:pPr>
    </w:p>
    <w:p>
      <w:pPr>
        <w:spacing w:line="206" w:lineRule="exact" w:before="325"/>
        <w:ind w:left="781" w:right="497" w:firstLine="0"/>
        <w:jc w:val="both"/>
        <w:rPr>
          <w:sz w:val="18"/>
        </w:rPr>
      </w:pPr>
      <w:r>
        <w:rPr>
          <w:position w:val="2"/>
          <w:sz w:val="18"/>
        </w:rPr>
        <w:t>Donde: </w:t>
      </w:r>
      <w:r>
        <w:rPr>
          <w:i/>
          <w:position w:val="2"/>
          <w:sz w:val="18"/>
        </w:rPr>
        <w:t>CO </w:t>
      </w:r>
      <w:r>
        <w:rPr>
          <w:position w:val="2"/>
          <w:sz w:val="18"/>
        </w:rPr>
        <w:t>= Consumo de oxígeno (kg/h), </w:t>
      </w:r>
      <w:r>
        <w:rPr>
          <w:i/>
          <w:position w:val="2"/>
          <w:sz w:val="18"/>
        </w:rPr>
        <w:t>C </w:t>
      </w:r>
      <w:r>
        <w:rPr>
          <w:position w:val="2"/>
          <w:sz w:val="18"/>
        </w:rPr>
        <w:t>= Concentración del gas a un tiempo t (kg/m</w:t>
      </w:r>
      <w:r>
        <w:rPr>
          <w:position w:val="11"/>
          <w:sz w:val="12"/>
        </w:rPr>
        <w:t>3</w:t>
      </w:r>
      <w:r>
        <w:rPr>
          <w:position w:val="2"/>
          <w:sz w:val="18"/>
        </w:rPr>
        <w:t>), </w:t>
      </w:r>
      <w:r>
        <w:rPr>
          <w:i/>
          <w:position w:val="2"/>
          <w:sz w:val="18"/>
        </w:rPr>
        <w:t>C</w:t>
      </w:r>
      <w:r>
        <w:rPr>
          <w:i/>
          <w:sz w:val="12"/>
        </w:rPr>
        <w:t>sat </w:t>
      </w:r>
      <w:r>
        <w:rPr>
          <w:position w:val="2"/>
          <w:sz w:val="18"/>
        </w:rPr>
        <w:t>= Concentración de saturación del gas (kg/m</w:t>
      </w:r>
      <w:r>
        <w:rPr>
          <w:position w:val="11"/>
          <w:sz w:val="12"/>
        </w:rPr>
        <w:t>3</w:t>
      </w:r>
      <w:r>
        <w:rPr>
          <w:position w:val="2"/>
          <w:sz w:val="18"/>
        </w:rPr>
        <w:t>), </w:t>
      </w:r>
      <w:r>
        <w:rPr>
          <w:i/>
          <w:position w:val="2"/>
          <w:sz w:val="18"/>
        </w:rPr>
        <w:t>K</w:t>
      </w:r>
      <w:r>
        <w:rPr>
          <w:i/>
          <w:sz w:val="12"/>
        </w:rPr>
        <w:t>L</w:t>
      </w:r>
      <w:r>
        <w:rPr>
          <w:i/>
          <w:position w:val="2"/>
          <w:sz w:val="18"/>
        </w:rPr>
        <w:t>a </w:t>
      </w:r>
      <w:r>
        <w:rPr>
          <w:position w:val="2"/>
          <w:sz w:val="18"/>
        </w:rPr>
        <w:t>= Coeficiente de transferencia volumétrico (h-1).</w:t>
      </w:r>
    </w:p>
    <w:p>
      <w:pPr>
        <w:pStyle w:val="BodyText"/>
        <w:spacing w:line="360" w:lineRule="auto" w:before="179"/>
        <w:ind w:left="781" w:right="497"/>
        <w:jc w:val="both"/>
      </w:pPr>
      <w:r>
        <w:rPr/>
        <w:t>Por lo que el requerimiento de oxigenación en el sistema fue de 75,92 g OD/h, es decir para mantener el OD en niveles de 5 mg/L en el sistema es necesario contar con equipo con la capacidad de transferir al agua 75 920 mg de O</w:t>
      </w:r>
      <w:r>
        <w:rPr>
          <w:position w:val="-2"/>
          <w:sz w:val="13"/>
        </w:rPr>
        <w:t>2</w:t>
      </w:r>
      <w:r>
        <w:rPr/>
        <w:t>/h.</w:t>
      </w:r>
    </w:p>
    <w:p>
      <w:pPr>
        <w:spacing w:after="0" w:line="360" w:lineRule="auto"/>
        <w:jc w:val="both"/>
        <w:sectPr>
          <w:type w:val="continuous"/>
          <w:pgSz w:w="12240" w:h="15840"/>
          <w:pgMar w:top="0" w:bottom="0" w:left="920" w:right="1200"/>
        </w:sectPr>
      </w:pPr>
    </w:p>
    <w:p>
      <w:pPr>
        <w:pStyle w:val="Heading5"/>
        <w:numPr>
          <w:ilvl w:val="2"/>
          <w:numId w:val="16"/>
        </w:numPr>
        <w:tabs>
          <w:tab w:pos="1394" w:val="left" w:leader="none"/>
        </w:tabs>
        <w:spacing w:line="240" w:lineRule="auto" w:before="172" w:after="0"/>
        <w:ind w:left="1393" w:right="0" w:hanging="612"/>
        <w:jc w:val="both"/>
      </w:pPr>
      <w:bookmarkStart w:name="_TOC_250020" w:id="158"/>
      <w:bookmarkStart w:name="5.7.3. Modelación de la producción de co" w:id="159"/>
      <w:r>
        <w:rPr>
          <w:b w:val="0"/>
        </w:rPr>
      </w:r>
      <w:bookmarkEnd w:id="159"/>
      <w:bookmarkStart w:name="5.7.3. Modelación de la producción de co" w:id="160"/>
      <w:r>
        <w:rPr/>
        <w:t>M</w:t>
      </w:r>
      <w:r>
        <w:rPr/>
        <w:t>ODELACIÓN DE LA PRODUCCIÓN DE</w:t>
      </w:r>
      <w:r>
        <w:rPr>
          <w:spacing w:val="-15"/>
        </w:rPr>
        <w:t> </w:t>
      </w:r>
      <w:bookmarkEnd w:id="158"/>
      <w:r>
        <w:rPr/>
        <w:t>CONTAMINANTES</w:t>
      </w:r>
    </w:p>
    <w:p>
      <w:pPr>
        <w:pStyle w:val="BodyText"/>
        <w:spacing w:before="5"/>
        <w:rPr>
          <w:b/>
          <w:sz w:val="28"/>
        </w:rPr>
      </w:pPr>
    </w:p>
    <w:p>
      <w:pPr>
        <w:pStyle w:val="BodyText"/>
        <w:spacing w:line="360" w:lineRule="auto" w:before="1"/>
        <w:ind w:left="781" w:right="498"/>
        <w:jc w:val="both"/>
      </w:pPr>
      <w:r>
        <w:rPr/>
        <w:t>La modelación de la producción de contaminantes se realizó tomando en cuenta el punto de muestreo D, es decir en el influente del tren de tratamiento. Utilizando una correlación de Pearson, se determinó que parámetros limitantes del cultivo de trucha en un SRA tienen una relación con la producción (biomasa generada).</w:t>
      </w:r>
    </w:p>
    <w:p>
      <w:pPr>
        <w:pStyle w:val="BodyText"/>
        <w:spacing w:before="7"/>
        <w:rPr>
          <w:sz w:val="17"/>
        </w:rPr>
      </w:pPr>
    </w:p>
    <w:p>
      <w:pPr>
        <w:pStyle w:val="BodyText"/>
        <w:spacing w:line="360" w:lineRule="auto"/>
        <w:ind w:left="781" w:right="496"/>
        <w:jc w:val="both"/>
      </w:pPr>
      <w:r>
        <w:rPr/>
        <w:t>Se encontró una correlación significativa de la biomasa con la generación de nitrógeno amoniacal, DQO, SST y nitratos. En general se pudo observar que la producción de contaminantes en el prototipo evaluado fue menor a lo reportado por García (2008), así mismo los intervalos de trabajo en cuanto a densidad y biomasa fueron superiores a los utilizados por este autor.</w:t>
      </w:r>
    </w:p>
    <w:p>
      <w:pPr>
        <w:pStyle w:val="BodyText"/>
        <w:spacing w:before="7"/>
        <w:rPr>
          <w:sz w:val="17"/>
        </w:rPr>
      </w:pPr>
    </w:p>
    <w:p>
      <w:pPr>
        <w:pStyle w:val="BodyText"/>
        <w:spacing w:line="360" w:lineRule="auto"/>
        <w:ind w:left="781" w:right="497"/>
        <w:jc w:val="both"/>
      </w:pPr>
      <w:r>
        <w:rPr/>
        <w:t>Los valores estimados por las ecuaciones encontradas en esta investigación y los determinados por las ecuaciones encontradas por García (2008) son significativamente diferentes. Esto implica que el manejo del cultivo, la operación del sistema y las modificaciones realizadas al sistema utilizado, disminuyeron las concentraciones de los contaminantes limitantes al cultivo de la trucha arco iris. El tiempo de contacto de los generadores de contaminantes (alimento balanceado no consumido y heces fecales de los peces) fue mínimo por lo que el proceso de hidrólisis de los compuestos nitrogenados y materia orgánica no se llevó a cabo de igual manera que en trabajo realizado por García (2008).</w:t>
      </w:r>
    </w:p>
    <w:p>
      <w:pPr>
        <w:pStyle w:val="BodyText"/>
        <w:spacing w:before="4"/>
        <w:rPr>
          <w:sz w:val="17"/>
        </w:rPr>
      </w:pPr>
    </w:p>
    <w:p>
      <w:pPr>
        <w:pStyle w:val="Heading5"/>
        <w:numPr>
          <w:ilvl w:val="3"/>
          <w:numId w:val="16"/>
        </w:numPr>
        <w:tabs>
          <w:tab w:pos="1578" w:val="left" w:leader="none"/>
        </w:tabs>
        <w:spacing w:line="240" w:lineRule="auto" w:before="0" w:after="0"/>
        <w:ind w:left="1577" w:right="0" w:hanging="796"/>
        <w:jc w:val="both"/>
        <w:rPr>
          <w:b w:val="0"/>
        </w:rPr>
      </w:pPr>
      <w:bookmarkStart w:name="_TOC_250019" w:id="161"/>
      <w:bookmarkStart w:name="5.7.3.1. Nitrógeno amoniacal (N-NH3) " w:id="162"/>
      <w:r>
        <w:rPr>
          <w:b w:val="0"/>
        </w:rPr>
      </w:r>
      <w:bookmarkEnd w:id="162"/>
      <w:bookmarkStart w:name="5.7.3.1. Nitrógeno amoniacal (N-NH3) " w:id="163"/>
      <w:r>
        <w:rPr/>
        <w:t>N</w:t>
      </w:r>
      <w:r>
        <w:rPr/>
        <w:t>ITRÓGENO AMONIACAL</w:t>
      </w:r>
      <w:r>
        <w:rPr>
          <w:spacing w:val="-12"/>
        </w:rPr>
        <w:t> </w:t>
      </w:r>
      <w:r>
        <w:rPr/>
        <w:t>(N-NH</w:t>
      </w:r>
      <w:r>
        <w:rPr>
          <w:position w:val="-2"/>
          <w:sz w:val="14"/>
        </w:rPr>
        <w:t>3</w:t>
      </w:r>
      <w:bookmarkEnd w:id="161"/>
      <w:r>
        <w:rPr>
          <w:b w:val="0"/>
        </w:rPr>
        <w:t>)</w:t>
      </w:r>
    </w:p>
    <w:p>
      <w:pPr>
        <w:pStyle w:val="BodyText"/>
        <w:spacing w:before="6"/>
        <w:rPr>
          <w:sz w:val="27"/>
        </w:rPr>
      </w:pPr>
    </w:p>
    <w:p>
      <w:pPr>
        <w:pStyle w:val="BodyText"/>
        <w:spacing w:line="360" w:lineRule="auto"/>
        <w:ind w:left="781" w:right="498"/>
        <w:jc w:val="both"/>
      </w:pPr>
      <w:r>
        <w:rPr/>
        <w:t>Dentro de los parámetros limitantes más importantes para la vida acuática se encuentra el nitrógeno amoniacal. Para el cual se encontró una relación entre la biomasa y la generación de nitrógeno amoniacal por los peces, fue obtenida relacionado los resultados de nitrógeno amoniacal en el estanque.</w:t>
      </w:r>
    </w:p>
    <w:p>
      <w:pPr>
        <w:pStyle w:val="BodyText"/>
        <w:spacing w:before="9"/>
        <w:rPr>
          <w:sz w:val="17"/>
        </w:rPr>
      </w:pPr>
    </w:p>
    <w:p>
      <w:pPr>
        <w:pStyle w:val="BodyText"/>
        <w:spacing w:line="350" w:lineRule="auto"/>
        <w:ind w:left="781" w:right="497"/>
        <w:jc w:val="both"/>
      </w:pPr>
      <w:r>
        <w:rPr/>
        <w:t>En la figura 48 se describe en forma analítica y en función de la biomasa, la producción de nitrógeno amoniacal por las truchas para un intervalo de biomasa de 15 a 28,7 kg/m</w:t>
      </w:r>
      <w:r>
        <w:rPr>
          <w:position w:val="10"/>
          <w:sz w:val="13"/>
        </w:rPr>
        <w:t>3</w:t>
      </w:r>
      <w:r>
        <w:rPr/>
        <w:t>, con un R</w:t>
      </w:r>
      <w:r>
        <w:rPr>
          <w:position w:val="10"/>
          <w:sz w:val="13"/>
        </w:rPr>
        <w:t>2 </w:t>
      </w:r>
      <w:r>
        <w:rPr/>
        <w:t>= 0,5667. Esta ecuación se comparó con la obtenida por García (2008) y Timmons  </w:t>
      </w:r>
      <w:r>
        <w:rPr>
          <w:i/>
        </w:rPr>
        <w:t>et al</w:t>
      </w:r>
      <w:r>
        <w:rPr/>
        <w:t>.</w:t>
      </w:r>
      <w:r>
        <w:rPr>
          <w:spacing w:val="-5"/>
        </w:rPr>
        <w:t> </w:t>
      </w:r>
      <w:r>
        <w:rPr/>
        <w:t>(2002).</w:t>
      </w:r>
    </w:p>
    <w:p>
      <w:pPr>
        <w:tabs>
          <w:tab w:pos="8570" w:val="left" w:leader="none"/>
        </w:tabs>
        <w:spacing w:before="133"/>
        <w:ind w:left="781" w:right="0" w:firstLine="0"/>
        <w:jc w:val="both"/>
        <w:rPr>
          <w:sz w:val="22"/>
        </w:rPr>
      </w:pPr>
      <w:r>
        <w:rPr>
          <w:i/>
          <w:sz w:val="22"/>
        </w:rPr>
        <w:t>y = 0,0063x</w:t>
      </w:r>
      <w:r>
        <w:rPr>
          <w:i/>
          <w:spacing w:val="-3"/>
          <w:sz w:val="22"/>
        </w:rPr>
        <w:t> </w:t>
      </w:r>
      <w:r>
        <w:rPr>
          <w:i/>
          <w:sz w:val="22"/>
        </w:rPr>
        <w:t>–</w:t>
      </w:r>
      <w:r>
        <w:rPr>
          <w:i/>
          <w:spacing w:val="-3"/>
          <w:sz w:val="22"/>
        </w:rPr>
        <w:t> </w:t>
      </w:r>
      <w:r>
        <w:rPr>
          <w:i/>
          <w:sz w:val="22"/>
        </w:rPr>
        <w:t>0,3027</w:t>
        <w:tab/>
      </w:r>
      <w:r>
        <w:rPr>
          <w:sz w:val="22"/>
        </w:rPr>
        <w:t>(13)</w:t>
      </w:r>
    </w:p>
    <w:p>
      <w:pPr>
        <w:spacing w:before="3"/>
        <w:ind w:left="781" w:right="0" w:firstLine="0"/>
        <w:jc w:val="both"/>
        <w:rPr>
          <w:sz w:val="18"/>
        </w:rPr>
      </w:pPr>
      <w:r>
        <w:rPr>
          <w:sz w:val="18"/>
        </w:rPr>
        <w:t>Donde y = nitrógeno amoniacal (mg/L); x = biomasa (kg)</w:t>
      </w:r>
    </w:p>
    <w:p>
      <w:pPr>
        <w:spacing w:after="0"/>
        <w:jc w:val="both"/>
        <w:rPr>
          <w:sz w:val="18"/>
        </w:rPr>
        <w:sectPr>
          <w:pgSz w:w="12240" w:h="15840"/>
          <w:pgMar w:header="725" w:footer="1084" w:top="1340" w:bottom="1280" w:left="920" w:right="1200"/>
        </w:sectPr>
      </w:pPr>
    </w:p>
    <w:p>
      <w:pPr>
        <w:pStyle w:val="BodyText"/>
        <w:spacing w:before="4"/>
        <w:rPr>
          <w:sz w:val="15"/>
        </w:rPr>
      </w:pPr>
    </w:p>
    <w:p>
      <w:pPr>
        <w:pStyle w:val="BodyText"/>
        <w:ind w:left="1189"/>
        <w:rPr>
          <w:sz w:val="20"/>
        </w:rPr>
      </w:pPr>
      <w:r>
        <w:rPr>
          <w:sz w:val="20"/>
        </w:rPr>
        <w:drawing>
          <wp:inline distT="0" distB="0" distL="0" distR="0">
            <wp:extent cx="5107121" cy="3711225"/>
            <wp:effectExtent l="0" t="0" r="0" b="0"/>
            <wp:docPr id="63" name="image104.jpeg" descr=""/>
            <wp:cNvGraphicFramePr>
              <a:graphicFrameLocks noChangeAspect="1"/>
            </wp:cNvGraphicFramePr>
            <a:graphic>
              <a:graphicData uri="http://schemas.openxmlformats.org/drawingml/2006/picture">
                <pic:pic>
                  <pic:nvPicPr>
                    <pic:cNvPr id="64" name="image104.jpeg"/>
                    <pic:cNvPicPr/>
                  </pic:nvPicPr>
                  <pic:blipFill>
                    <a:blip r:embed="rId112" cstate="print"/>
                    <a:stretch>
                      <a:fillRect/>
                    </a:stretch>
                  </pic:blipFill>
                  <pic:spPr>
                    <a:xfrm>
                      <a:off x="0" y="0"/>
                      <a:ext cx="5107121" cy="3711225"/>
                    </a:xfrm>
                    <a:prstGeom prst="rect">
                      <a:avLst/>
                    </a:prstGeom>
                  </pic:spPr>
                </pic:pic>
              </a:graphicData>
            </a:graphic>
          </wp:inline>
        </w:drawing>
      </w:r>
      <w:r>
        <w:rPr>
          <w:sz w:val="20"/>
        </w:rPr>
      </w:r>
    </w:p>
    <w:p>
      <w:pPr>
        <w:pStyle w:val="BodyText"/>
        <w:spacing w:before="7"/>
        <w:rPr>
          <w:sz w:val="10"/>
        </w:rPr>
      </w:pPr>
    </w:p>
    <w:p>
      <w:pPr>
        <w:spacing w:before="77"/>
        <w:ind w:left="1911" w:right="948" w:firstLine="0"/>
        <w:jc w:val="left"/>
        <w:rPr>
          <w:b/>
          <w:sz w:val="18"/>
        </w:rPr>
      </w:pPr>
      <w:r>
        <w:rPr>
          <w:b/>
          <w:sz w:val="18"/>
        </w:rPr>
        <w:t>Figura 48. Relación entre la biomasa y la producción de nitrógeno amoniacal</w:t>
      </w:r>
    </w:p>
    <w:p>
      <w:pPr>
        <w:pStyle w:val="BodyText"/>
        <w:spacing w:line="355" w:lineRule="auto" w:before="122"/>
        <w:ind w:left="781" w:right="497"/>
        <w:jc w:val="both"/>
      </w:pPr>
      <w:r>
        <w:rPr/>
        <w:t>El comportamiento de la concentración resultante de nitrógeno amoniacal fue directamente proporcional al incremento de biomasa en el estanque y se encuentra por debajo de la producción estimada por García (2008) y Timmons </w:t>
      </w:r>
      <w:r>
        <w:rPr>
          <w:i/>
        </w:rPr>
        <w:t>et al</w:t>
      </w:r>
      <w:r>
        <w:rPr/>
        <w:t>. (2002). García (2008) propone el uso de esta ecuación para el diseño de percoladores para sistemas de recirculación acuícola, sin embargo, en su estudio el intervalo para el cual se determinó la ecuación es hasta 12 kg/m</w:t>
      </w:r>
      <w:r>
        <w:rPr>
          <w:position w:val="10"/>
          <w:sz w:val="13"/>
        </w:rPr>
        <w:t>3</w:t>
      </w:r>
      <w:r>
        <w:rPr/>
        <w:t>, la ecuación encontrada en este estudio permite como menciona este autor incluir los errores de manejo por el ser humano (antrópicos) propios en la alimentación de los cultivos acuícolas para densidades mayores (hasta 28,7</w:t>
      </w:r>
      <w:r>
        <w:rPr>
          <w:spacing w:val="-26"/>
        </w:rPr>
        <w:t> </w:t>
      </w:r>
      <w:r>
        <w:rPr/>
        <w:t>kg/m</w:t>
      </w:r>
      <w:r>
        <w:rPr>
          <w:position w:val="10"/>
          <w:sz w:val="13"/>
        </w:rPr>
        <w:t>3</w:t>
      </w:r>
      <w:r>
        <w:rPr/>
        <w:t>).</w:t>
      </w:r>
    </w:p>
    <w:p>
      <w:pPr>
        <w:pStyle w:val="BodyText"/>
        <w:spacing w:line="360" w:lineRule="auto" w:before="198"/>
        <w:ind w:left="781" w:right="498"/>
        <w:jc w:val="both"/>
      </w:pPr>
      <w:r>
        <w:rPr/>
        <w:t>El caudal de operación de los SRA tiene un papel importante dentro de la conducción de los contaminantes entre el estanque (generación) y el tren de tratamiento (remoción),  entre más rápido pase del estanque a las unidades del tren de tratamiento y viceversa los contaminantes son removidos y el agua acondicionada llega a los peces (Timmons </w:t>
      </w:r>
      <w:r>
        <w:rPr>
          <w:i/>
        </w:rPr>
        <w:t>et al</w:t>
      </w:r>
      <w:r>
        <w:rPr/>
        <w:t>., 2009). Observando la grafica de la figura 48 se tiene que la pendiente de los modelos tanto de esta investigación como de García (2008) son similares. Eliminando la variable caudal de ambos modelos se tiene que las ecuaciones no son significativamente diferentes,</w:t>
      </w:r>
      <w:r>
        <w:rPr>
          <w:spacing w:val="41"/>
        </w:rPr>
        <w:t> </w:t>
      </w:r>
      <w:r>
        <w:rPr/>
        <w:t>es</w:t>
      </w:r>
      <w:r>
        <w:rPr>
          <w:spacing w:val="40"/>
        </w:rPr>
        <w:t> </w:t>
      </w:r>
      <w:r>
        <w:rPr/>
        <w:t>decir</w:t>
      </w:r>
      <w:r>
        <w:rPr>
          <w:spacing w:val="36"/>
        </w:rPr>
        <w:t> </w:t>
      </w:r>
      <w:r>
        <w:rPr/>
        <w:t>que</w:t>
      </w:r>
      <w:r>
        <w:rPr>
          <w:spacing w:val="37"/>
        </w:rPr>
        <w:t> </w:t>
      </w:r>
      <w:r>
        <w:rPr/>
        <w:t>la</w:t>
      </w:r>
      <w:r>
        <w:rPr>
          <w:spacing w:val="39"/>
        </w:rPr>
        <w:t> </w:t>
      </w:r>
      <w:r>
        <w:rPr/>
        <w:t>generación</w:t>
      </w:r>
      <w:r>
        <w:rPr>
          <w:spacing w:val="39"/>
        </w:rPr>
        <w:t> </w:t>
      </w:r>
      <w:r>
        <w:rPr/>
        <w:t>de</w:t>
      </w:r>
      <w:r>
        <w:rPr>
          <w:spacing w:val="39"/>
        </w:rPr>
        <w:t> </w:t>
      </w:r>
      <w:r>
        <w:rPr/>
        <w:t>nitrógeno</w:t>
      </w:r>
      <w:r>
        <w:rPr>
          <w:spacing w:val="40"/>
        </w:rPr>
        <w:t> </w:t>
      </w:r>
      <w:r>
        <w:rPr/>
        <w:t>amoniacal</w:t>
      </w:r>
      <w:r>
        <w:rPr>
          <w:spacing w:val="38"/>
        </w:rPr>
        <w:t> </w:t>
      </w:r>
      <w:r>
        <w:rPr/>
        <w:t>total</w:t>
      </w:r>
      <w:r>
        <w:rPr>
          <w:spacing w:val="38"/>
        </w:rPr>
        <w:t> </w:t>
      </w:r>
      <w:r>
        <w:rPr/>
        <w:t>en</w:t>
      </w:r>
      <w:r>
        <w:rPr>
          <w:spacing w:val="39"/>
        </w:rPr>
        <w:t> </w:t>
      </w:r>
      <w:r>
        <w:rPr/>
        <w:t>el</w:t>
      </w:r>
      <w:r>
        <w:rPr>
          <w:spacing w:val="38"/>
        </w:rPr>
        <w:t> </w:t>
      </w:r>
      <w:r>
        <w:rPr/>
        <w:t>estanque</w:t>
      </w:r>
      <w:r>
        <w:rPr>
          <w:spacing w:val="39"/>
        </w:rPr>
        <w:t> </w:t>
      </w:r>
      <w:r>
        <w:rPr/>
        <w:t>se</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8"/>
        <w:jc w:val="both"/>
      </w:pPr>
      <w:r>
        <w:rPr/>
        <w:t>comporta de manera igual en ambos SRA, siendo el caudal de operación un factor importante en la eficiencia del sistema.</w:t>
      </w:r>
    </w:p>
    <w:p>
      <w:pPr>
        <w:pStyle w:val="BodyText"/>
        <w:spacing w:before="9"/>
        <w:rPr>
          <w:sz w:val="17"/>
        </w:rPr>
      </w:pPr>
    </w:p>
    <w:p>
      <w:pPr>
        <w:pStyle w:val="BodyText"/>
        <w:spacing w:line="360" w:lineRule="auto"/>
        <w:ind w:left="781" w:right="497"/>
        <w:jc w:val="both"/>
      </w:pPr>
      <w:r>
        <w:rPr/>
        <w:t>Generalmente los modelos matemáticos reportados en la literatura se han realizado con base en la cantidad de alimento suministrado a los organismos acuáticos (Timmons et al., 2009; Timmons y Losordo 1994), lo cual no refleja la realidad de los cultivos comerciales (García </w:t>
      </w:r>
      <w:r>
        <w:rPr>
          <w:i/>
        </w:rPr>
        <w:t>et al</w:t>
      </w:r>
      <w:r>
        <w:rPr/>
        <w:t>., en prensa; García, 2008). En las unidades de producción trutícola el factor antropogénico impacta fuertemente en el comportamiento de los procesos limitantes al cultivo de la trucha, realizar los modelos matemáticos en función de la biomasa en el estanque se considera que cubre este factor.</w:t>
      </w:r>
    </w:p>
    <w:p>
      <w:pPr>
        <w:pStyle w:val="BodyText"/>
        <w:spacing w:before="9"/>
        <w:rPr>
          <w:sz w:val="17"/>
        </w:rPr>
      </w:pPr>
    </w:p>
    <w:p>
      <w:pPr>
        <w:pStyle w:val="BodyText"/>
        <w:spacing w:line="360" w:lineRule="auto"/>
        <w:ind w:left="781" w:right="497"/>
        <w:jc w:val="both"/>
      </w:pPr>
      <w:r>
        <w:rPr/>
        <w:t>El modelo generado de la TVNA del biofiltro (ecuación 8) describe la eficiencia de  la TVNA en función de la concentración de nitrógeno amoniacal total a la entrada a la unidad del tren de tratamiento. Esta misma concentración es la generada en el estanque de cultivo por los peces y es conducida por tubería y reservorios hasta el biofiltro. El modelo matemático que describe este fenómeno se representa por la ecuación</w:t>
      </w:r>
      <w:r>
        <w:rPr>
          <w:spacing w:val="-28"/>
        </w:rPr>
        <w:t> </w:t>
      </w:r>
      <w:r>
        <w:rPr/>
        <w:t>13.</w:t>
      </w:r>
    </w:p>
    <w:p>
      <w:pPr>
        <w:pStyle w:val="BodyText"/>
        <w:spacing w:before="9"/>
        <w:rPr>
          <w:sz w:val="17"/>
        </w:rPr>
      </w:pPr>
    </w:p>
    <w:p>
      <w:pPr>
        <w:pStyle w:val="BodyText"/>
        <w:spacing w:line="360" w:lineRule="auto"/>
        <w:ind w:left="781" w:right="497" w:hanging="1"/>
        <w:jc w:val="both"/>
      </w:pPr>
      <w:r>
        <w:rPr/>
        <w:t>Al sustituir la concentración de nitrógeno amoniacal total de la ecuación 8 por la ecuación 13, podemos describir el fenómeno de la tasa volumétrica de conversión del nitrógeno amoniacal en función de la biomasa existente en el estanque de cultivo bajo los siguientes supuestos: biomasa de 90 – 180 kg, altitud de 2 600 msnm, temperatura de 10 – 18 ºC. La ecuación 14 representa el modelo de la TVNA en función de la biomasa.</w:t>
      </w:r>
    </w:p>
    <w:p>
      <w:pPr>
        <w:pStyle w:val="BodyText"/>
        <w:tabs>
          <w:tab w:pos="8568" w:val="left" w:leader="none"/>
        </w:tabs>
        <w:spacing w:before="187"/>
        <w:ind w:left="781"/>
        <w:jc w:val="both"/>
      </w:pPr>
      <w:r>
        <w:rPr/>
        <w:t>TVNA (g N-NH</w:t>
      </w:r>
      <w:r>
        <w:rPr>
          <w:position w:val="-2"/>
          <w:sz w:val="13"/>
        </w:rPr>
        <w:t>3</w:t>
      </w:r>
      <w:r>
        <w:rPr/>
        <w:t>/m</w:t>
      </w:r>
      <w:r>
        <w:rPr>
          <w:position w:val="10"/>
          <w:sz w:val="13"/>
        </w:rPr>
        <w:t>3  </w:t>
      </w:r>
      <w:r>
        <w:rPr/>
        <w:t>d) = 1.439 (Biomasa [kg])</w:t>
      </w:r>
      <w:r>
        <w:rPr>
          <w:spacing w:val="-18"/>
        </w:rPr>
        <w:t> </w:t>
      </w:r>
      <w:r>
        <w:rPr/>
        <w:t>–</w:t>
      </w:r>
      <w:r>
        <w:rPr>
          <w:spacing w:val="1"/>
        </w:rPr>
        <w:t> </w:t>
      </w:r>
      <w:r>
        <w:rPr/>
        <w:t>61.97</w:t>
        <w:tab/>
        <w:t>(14)</w:t>
      </w:r>
    </w:p>
    <w:p>
      <w:pPr>
        <w:pStyle w:val="BodyText"/>
        <w:spacing w:before="4"/>
        <w:rPr>
          <w:sz w:val="27"/>
        </w:rPr>
      </w:pPr>
    </w:p>
    <w:p>
      <w:pPr>
        <w:pStyle w:val="Heading5"/>
        <w:numPr>
          <w:ilvl w:val="3"/>
          <w:numId w:val="16"/>
        </w:numPr>
        <w:tabs>
          <w:tab w:pos="1578" w:val="left" w:leader="none"/>
        </w:tabs>
        <w:spacing w:line="240" w:lineRule="auto" w:before="0" w:after="0"/>
        <w:ind w:left="1577" w:right="0" w:hanging="796"/>
        <w:jc w:val="both"/>
        <w:rPr>
          <w:b w:val="0"/>
        </w:rPr>
      </w:pPr>
      <w:bookmarkStart w:name="_TOC_250018" w:id="164"/>
      <w:bookmarkStart w:name="5.7.3.2. Sólidos suspendidos totales " w:id="165"/>
      <w:r>
        <w:rPr>
          <w:b w:val="0"/>
        </w:rPr>
      </w:r>
      <w:bookmarkEnd w:id="165"/>
      <w:bookmarkStart w:name="5.7.3.2. Sólidos suspendidos totales " w:id="166"/>
      <w:r>
        <w:rPr/>
        <w:t>S</w:t>
      </w:r>
      <w:r>
        <w:rPr/>
        <w:t>ÓLIDOS SUSPENDIDOS TOTALES</w:t>
      </w:r>
      <w:r>
        <w:rPr>
          <w:spacing w:val="-14"/>
        </w:rPr>
        <w:t> </w:t>
      </w:r>
      <w:r>
        <w:rPr/>
        <w:t>(SST</w:t>
      </w:r>
      <w:bookmarkEnd w:id="164"/>
      <w:r>
        <w:rPr>
          <w:b w:val="0"/>
        </w:rPr>
        <w:t>)</w:t>
      </w:r>
    </w:p>
    <w:p>
      <w:pPr>
        <w:pStyle w:val="BodyText"/>
        <w:spacing w:before="5"/>
        <w:rPr>
          <w:sz w:val="28"/>
        </w:rPr>
      </w:pPr>
    </w:p>
    <w:p>
      <w:pPr>
        <w:pStyle w:val="BodyText"/>
        <w:spacing w:line="352" w:lineRule="auto" w:before="1"/>
        <w:ind w:left="781" w:right="498"/>
        <w:jc w:val="both"/>
      </w:pPr>
      <w:r>
        <w:rPr/>
        <w:t>La generación de SST en el sistema prototipo fue, comparado con García (2008), mucho menor (figura 49) y directamente proporcional a la producción de SST (ecuación 15). Con un coeficiente de determinación R</w:t>
      </w:r>
      <w:r>
        <w:rPr>
          <w:position w:val="10"/>
          <w:sz w:val="13"/>
        </w:rPr>
        <w:t>2  </w:t>
      </w:r>
      <w:r>
        <w:rPr/>
        <w:t>= 0,7556.</w:t>
      </w:r>
    </w:p>
    <w:p>
      <w:pPr>
        <w:tabs>
          <w:tab w:pos="8570" w:val="left" w:leader="none"/>
        </w:tabs>
        <w:spacing w:before="201"/>
        <w:ind w:left="781" w:right="0" w:firstLine="0"/>
        <w:jc w:val="both"/>
        <w:rPr>
          <w:sz w:val="22"/>
        </w:rPr>
      </w:pPr>
      <w:r>
        <w:rPr>
          <w:i/>
          <w:sz w:val="22"/>
        </w:rPr>
        <w:t>y =</w:t>
      </w:r>
      <w:r>
        <w:rPr>
          <w:i/>
          <w:spacing w:val="-3"/>
          <w:sz w:val="22"/>
        </w:rPr>
        <w:t> </w:t>
      </w:r>
      <w:r>
        <w:rPr>
          <w:i/>
          <w:sz w:val="22"/>
        </w:rPr>
        <w:t>0,0873x</w:t>
      </w:r>
      <w:r>
        <w:rPr>
          <w:i/>
          <w:spacing w:val="-3"/>
          <w:sz w:val="22"/>
        </w:rPr>
        <w:t> </w:t>
      </w:r>
      <w:r>
        <w:rPr>
          <w:i/>
          <w:sz w:val="22"/>
        </w:rPr>
        <w:t>–8,218</w:t>
        <w:tab/>
      </w:r>
      <w:r>
        <w:rPr>
          <w:sz w:val="22"/>
        </w:rPr>
        <w:t>(15)</w:t>
      </w:r>
    </w:p>
    <w:p>
      <w:pPr>
        <w:spacing w:before="0"/>
        <w:ind w:left="781" w:right="0" w:firstLine="0"/>
        <w:jc w:val="both"/>
        <w:rPr>
          <w:sz w:val="18"/>
        </w:rPr>
      </w:pPr>
      <w:r>
        <w:rPr>
          <w:sz w:val="18"/>
        </w:rPr>
        <w:t>Donde y = SST (mg/L); x = biomasa (kg)</w:t>
      </w:r>
    </w:p>
    <w:p>
      <w:pPr>
        <w:spacing w:after="0"/>
        <w:jc w:val="both"/>
        <w:rPr>
          <w:sz w:val="18"/>
        </w:rPr>
        <w:sectPr>
          <w:pgSz w:w="12240" w:h="15840"/>
          <w:pgMar w:header="725" w:footer="1084" w:top="1340" w:bottom="1280" w:left="920" w:right="1200"/>
        </w:sectPr>
      </w:pPr>
    </w:p>
    <w:p>
      <w:pPr>
        <w:pStyle w:val="BodyText"/>
        <w:spacing w:before="4"/>
        <w:rPr>
          <w:sz w:val="15"/>
        </w:rPr>
      </w:pPr>
    </w:p>
    <w:p>
      <w:pPr>
        <w:pStyle w:val="BodyText"/>
        <w:ind w:left="880"/>
        <w:rPr>
          <w:sz w:val="20"/>
        </w:rPr>
      </w:pPr>
      <w:r>
        <w:rPr>
          <w:sz w:val="20"/>
        </w:rPr>
        <w:drawing>
          <wp:inline distT="0" distB="0" distL="0" distR="0">
            <wp:extent cx="5542789" cy="4027074"/>
            <wp:effectExtent l="0" t="0" r="0" b="0"/>
            <wp:docPr id="65" name="image105.jpeg" descr=""/>
            <wp:cNvGraphicFramePr>
              <a:graphicFrameLocks noChangeAspect="1"/>
            </wp:cNvGraphicFramePr>
            <a:graphic>
              <a:graphicData uri="http://schemas.openxmlformats.org/drawingml/2006/picture">
                <pic:pic>
                  <pic:nvPicPr>
                    <pic:cNvPr id="66" name="image105.jpeg"/>
                    <pic:cNvPicPr/>
                  </pic:nvPicPr>
                  <pic:blipFill>
                    <a:blip r:embed="rId113" cstate="print"/>
                    <a:stretch>
                      <a:fillRect/>
                    </a:stretch>
                  </pic:blipFill>
                  <pic:spPr>
                    <a:xfrm>
                      <a:off x="0" y="0"/>
                      <a:ext cx="5542789" cy="4027074"/>
                    </a:xfrm>
                    <a:prstGeom prst="rect">
                      <a:avLst/>
                    </a:prstGeom>
                  </pic:spPr>
                </pic:pic>
              </a:graphicData>
            </a:graphic>
          </wp:inline>
        </w:drawing>
      </w:r>
      <w:r>
        <w:rPr>
          <w:sz w:val="20"/>
        </w:rPr>
      </w:r>
    </w:p>
    <w:p>
      <w:pPr>
        <w:pStyle w:val="BodyText"/>
        <w:spacing w:before="4"/>
        <w:rPr>
          <w:sz w:val="18"/>
        </w:rPr>
      </w:pPr>
    </w:p>
    <w:p>
      <w:pPr>
        <w:spacing w:before="77"/>
        <w:ind w:left="2468" w:right="948" w:firstLine="0"/>
        <w:jc w:val="left"/>
        <w:rPr>
          <w:b/>
          <w:sz w:val="18"/>
        </w:rPr>
      </w:pPr>
      <w:r>
        <w:rPr>
          <w:b/>
          <w:sz w:val="18"/>
        </w:rPr>
        <w:t>Figura 49. Relación entre la biomasa y la concentración de SST.</w:t>
      </w:r>
    </w:p>
    <w:p>
      <w:pPr>
        <w:pStyle w:val="BodyText"/>
        <w:spacing w:line="355" w:lineRule="auto" w:before="122"/>
        <w:ind w:left="781" w:right="496"/>
        <w:jc w:val="both"/>
      </w:pPr>
      <w:r>
        <w:rPr/>
        <w:t>Para el caso que se observa en la figura 49, la concentración de SST es menor a la concentración estimada por la ecuación encontrada por García (2008), indicando que la generación de SST en un sistema de recirculación acuícola no es proporcional a la biomasa en el estanque para densidades de 6 a 28 kg/m</w:t>
      </w:r>
      <w:r>
        <w:rPr>
          <w:position w:val="10"/>
          <w:sz w:val="13"/>
        </w:rPr>
        <w:t>3</w:t>
      </w:r>
      <w:r>
        <w:rPr/>
        <w:t>.</w:t>
      </w:r>
    </w:p>
    <w:p>
      <w:pPr>
        <w:pStyle w:val="Heading5"/>
        <w:numPr>
          <w:ilvl w:val="3"/>
          <w:numId w:val="16"/>
        </w:numPr>
        <w:tabs>
          <w:tab w:pos="1578" w:val="left" w:leader="none"/>
        </w:tabs>
        <w:spacing w:line="240" w:lineRule="auto" w:before="196" w:after="0"/>
        <w:ind w:left="1577" w:right="0" w:hanging="796"/>
        <w:jc w:val="both"/>
        <w:rPr>
          <w:b w:val="0"/>
        </w:rPr>
      </w:pPr>
      <w:r>
        <w:rPr/>
        <w:pict>
          <v:shape style="position:absolute;margin-left:240.000595pt;margin-top:9.438076pt;width:2.35pt;height:7pt;mso-position-horizontal-relative:page;mso-position-vertical-relative:paragraph;z-index:-1523080" type="#_x0000_t202" filled="false" stroked="false">
            <v:textbox inset="0,0,0,0">
              <w:txbxContent>
                <w:p>
                  <w:pPr>
                    <w:spacing w:line="139" w:lineRule="exact" w:before="0"/>
                    <w:ind w:left="0" w:right="0" w:firstLine="0"/>
                    <w:jc w:val="left"/>
                    <w:rPr>
                      <w:b/>
                      <w:sz w:val="14"/>
                    </w:rPr>
                  </w:pPr>
                  <w:r>
                    <w:rPr>
                      <w:b/>
                      <w:w w:val="99"/>
                      <w:sz w:val="14"/>
                    </w:rPr>
                    <w:t>-</w:t>
                  </w:r>
                </w:p>
              </w:txbxContent>
            </v:textbox>
            <w10:wrap type="none"/>
          </v:shape>
        </w:pict>
      </w:r>
      <w:bookmarkStart w:name="5.7.3.3. N-Nitratos (N-NO3-) " w:id="167"/>
      <w:bookmarkEnd w:id="167"/>
      <w:r>
        <w:rPr>
          <w:b w:val="0"/>
        </w:rPr>
      </w:r>
      <w:bookmarkStart w:name="5.7.3.3. N-Nitratos (N-NO3-) " w:id="168"/>
      <w:bookmarkEnd w:id="168"/>
      <w:r>
        <w:rPr/>
        <w:t>N</w:t>
      </w:r>
      <w:r>
        <w:rPr/>
        <w:t> – NITRATOS (N-NO</w:t>
      </w:r>
      <w:r>
        <w:rPr>
          <w:position w:val="-2"/>
          <w:sz w:val="14"/>
        </w:rPr>
        <w:t>3</w:t>
      </w:r>
      <w:r>
        <w:rPr>
          <w:spacing w:val="1"/>
          <w:position w:val="-2"/>
          <w:sz w:val="14"/>
        </w:rPr>
        <w:t> </w:t>
      </w:r>
      <w:r>
        <w:rPr>
          <w:b w:val="0"/>
        </w:rPr>
        <w:t>)</w:t>
      </w:r>
    </w:p>
    <w:p>
      <w:pPr>
        <w:pStyle w:val="BodyText"/>
        <w:spacing w:before="6"/>
        <w:rPr>
          <w:sz w:val="27"/>
        </w:rPr>
      </w:pPr>
    </w:p>
    <w:p>
      <w:pPr>
        <w:pStyle w:val="BodyText"/>
        <w:spacing w:line="352" w:lineRule="auto"/>
        <w:ind w:left="781" w:right="498" w:hanging="1"/>
        <w:jc w:val="both"/>
      </w:pPr>
      <w:r>
        <w:rPr/>
        <w:t>Aunque este parámetro no es limitante al cultivo de la trucha, ya que la concentración a la cual es tóxico es mayor a 1 360 mg/L (6 020,45 mg/L NO</w:t>
      </w:r>
      <w:r>
        <w:rPr>
          <w:position w:val="-2"/>
          <w:sz w:val="13"/>
        </w:rPr>
        <w:t>3</w:t>
      </w:r>
      <w:r>
        <w:rPr>
          <w:position w:val="10"/>
          <w:sz w:val="13"/>
        </w:rPr>
        <w:t>-</w:t>
      </w:r>
      <w:r>
        <w:rPr/>
        <w:t>/L) (Russo y Thurston, 1991),  se encontró que los nitratos se producen de forma directamente proporcional a la biomasa presente en el sistema. Esta relación se describe matemáticamente de acuerdo a la ecuación 16, en la figura 50 se representa el modelo matemático de la concentración N- NO</w:t>
      </w:r>
      <w:r>
        <w:rPr>
          <w:position w:val="-2"/>
          <w:sz w:val="13"/>
        </w:rPr>
        <w:t>3</w:t>
      </w:r>
      <w:r>
        <w:rPr>
          <w:position w:val="10"/>
          <w:sz w:val="13"/>
        </w:rPr>
        <w:t>-  </w:t>
      </w:r>
      <w:r>
        <w:rPr/>
        <w:t>en función de la</w:t>
      </w:r>
      <w:r>
        <w:rPr>
          <w:spacing w:val="-11"/>
        </w:rPr>
        <w:t> </w:t>
      </w:r>
      <w:r>
        <w:rPr/>
        <w:t>biomasa.</w:t>
      </w:r>
    </w:p>
    <w:p>
      <w:pPr>
        <w:tabs>
          <w:tab w:pos="8570" w:val="left" w:leader="none"/>
        </w:tabs>
        <w:spacing w:before="187"/>
        <w:ind w:left="781" w:right="0" w:firstLine="0"/>
        <w:jc w:val="both"/>
        <w:rPr>
          <w:sz w:val="22"/>
        </w:rPr>
      </w:pPr>
      <w:r>
        <w:rPr>
          <w:i/>
          <w:sz w:val="22"/>
        </w:rPr>
        <w:t>y = 0,5821x</w:t>
      </w:r>
      <w:r>
        <w:rPr>
          <w:i/>
          <w:spacing w:val="-3"/>
          <w:sz w:val="22"/>
        </w:rPr>
        <w:t> </w:t>
      </w:r>
      <w:r>
        <w:rPr>
          <w:i/>
          <w:sz w:val="22"/>
        </w:rPr>
        <w:t>–</w:t>
      </w:r>
      <w:r>
        <w:rPr>
          <w:i/>
          <w:spacing w:val="-3"/>
          <w:sz w:val="22"/>
        </w:rPr>
        <w:t> </w:t>
      </w:r>
      <w:r>
        <w:rPr>
          <w:i/>
          <w:sz w:val="22"/>
        </w:rPr>
        <w:t>20,647</w:t>
        <w:tab/>
      </w:r>
      <w:r>
        <w:rPr>
          <w:sz w:val="22"/>
        </w:rPr>
        <w:t>(16)</w:t>
      </w:r>
    </w:p>
    <w:p>
      <w:pPr>
        <w:spacing w:before="0"/>
        <w:ind w:left="781" w:right="0" w:firstLine="0"/>
        <w:jc w:val="both"/>
        <w:rPr>
          <w:sz w:val="18"/>
        </w:rPr>
      </w:pPr>
      <w:r>
        <w:rPr>
          <w:sz w:val="18"/>
        </w:rPr>
        <w:t>Donde y = nitratos (mg/L) y x = biomasa (kg)</w:t>
      </w:r>
    </w:p>
    <w:p>
      <w:pPr>
        <w:spacing w:after="0"/>
        <w:jc w:val="both"/>
        <w:rPr>
          <w:sz w:val="18"/>
        </w:rPr>
        <w:sectPr>
          <w:pgSz w:w="12240" w:h="15840"/>
          <w:pgMar w:header="725" w:footer="1084" w:top="1340" w:bottom="1280" w:left="920" w:right="1200"/>
        </w:sectPr>
      </w:pPr>
    </w:p>
    <w:p>
      <w:pPr>
        <w:pStyle w:val="BodyText"/>
        <w:spacing w:before="4"/>
        <w:rPr>
          <w:sz w:val="15"/>
        </w:rPr>
      </w:pPr>
    </w:p>
    <w:p>
      <w:pPr>
        <w:pStyle w:val="BodyText"/>
        <w:ind w:left="812"/>
        <w:rPr>
          <w:sz w:val="20"/>
        </w:rPr>
      </w:pPr>
      <w:r>
        <w:rPr>
          <w:sz w:val="20"/>
        </w:rPr>
        <w:drawing>
          <wp:inline distT="0" distB="0" distL="0" distR="0">
            <wp:extent cx="5541595" cy="4027074"/>
            <wp:effectExtent l="0" t="0" r="0" b="0"/>
            <wp:docPr id="67" name="image106.png" descr=""/>
            <wp:cNvGraphicFramePr>
              <a:graphicFrameLocks noChangeAspect="1"/>
            </wp:cNvGraphicFramePr>
            <a:graphic>
              <a:graphicData uri="http://schemas.openxmlformats.org/drawingml/2006/picture">
                <pic:pic>
                  <pic:nvPicPr>
                    <pic:cNvPr id="68" name="image106.png"/>
                    <pic:cNvPicPr/>
                  </pic:nvPicPr>
                  <pic:blipFill>
                    <a:blip r:embed="rId114" cstate="print"/>
                    <a:stretch>
                      <a:fillRect/>
                    </a:stretch>
                  </pic:blipFill>
                  <pic:spPr>
                    <a:xfrm>
                      <a:off x="0" y="0"/>
                      <a:ext cx="5541595" cy="4027074"/>
                    </a:xfrm>
                    <a:prstGeom prst="rect">
                      <a:avLst/>
                    </a:prstGeom>
                  </pic:spPr>
                </pic:pic>
              </a:graphicData>
            </a:graphic>
          </wp:inline>
        </w:drawing>
      </w:r>
      <w:r>
        <w:rPr>
          <w:sz w:val="20"/>
        </w:rPr>
      </w:r>
    </w:p>
    <w:p>
      <w:pPr>
        <w:pStyle w:val="BodyText"/>
        <w:spacing w:before="8"/>
        <w:rPr>
          <w:sz w:val="21"/>
        </w:rPr>
      </w:pPr>
    </w:p>
    <w:p>
      <w:pPr>
        <w:spacing w:before="77"/>
        <w:ind w:left="2463" w:right="948" w:firstLine="0"/>
        <w:jc w:val="left"/>
        <w:rPr>
          <w:b/>
          <w:sz w:val="18"/>
        </w:rPr>
      </w:pPr>
      <w:r>
        <w:rPr>
          <w:b/>
          <w:sz w:val="18"/>
        </w:rPr>
        <w:t>Figura 50. Relación entre la biomasa y la producción de nitratos</w:t>
      </w:r>
    </w:p>
    <w:p>
      <w:pPr>
        <w:pStyle w:val="BodyText"/>
        <w:spacing w:before="8"/>
        <w:rPr>
          <w:b/>
          <w:sz w:val="17"/>
        </w:rPr>
      </w:pPr>
    </w:p>
    <w:p>
      <w:pPr>
        <w:pStyle w:val="BodyText"/>
        <w:spacing w:line="348" w:lineRule="auto" w:before="1"/>
        <w:ind w:left="781" w:right="497"/>
        <w:jc w:val="both"/>
      </w:pPr>
      <w:r>
        <w:rPr/>
        <w:pict>
          <v:shape style="position:absolute;margin-left:207.120392pt;margin-top:18.723454pt;width:2.3pt;height:6.9pt;mso-position-horizontal-relative:page;mso-position-vertical-relative:paragraph;z-index:-1523056" type="#_x0000_t202" filled="false" stroked="false">
            <v:textbox inset="0,0,0,0">
              <w:txbxContent>
                <w:p>
                  <w:pPr>
                    <w:spacing w:line="137" w:lineRule="exact" w:before="0"/>
                    <w:ind w:left="0" w:right="0" w:firstLine="0"/>
                    <w:jc w:val="left"/>
                    <w:rPr>
                      <w:sz w:val="13"/>
                    </w:rPr>
                  </w:pPr>
                  <w:r>
                    <w:rPr>
                      <w:w w:val="105"/>
                      <w:sz w:val="13"/>
                    </w:rPr>
                    <w:t>-</w:t>
                  </w:r>
                </w:p>
              </w:txbxContent>
            </v:textbox>
            <w10:wrap type="none"/>
          </v:shape>
        </w:pict>
      </w:r>
      <w:r>
        <w:rPr/>
        <w:t>La expresión matemática de la figura 50 permite asumir que entre más biomasa la concentración de N-NO</w:t>
      </w:r>
      <w:r>
        <w:rPr>
          <w:position w:val="-2"/>
          <w:sz w:val="13"/>
        </w:rPr>
        <w:t>3 </w:t>
      </w:r>
      <w:r>
        <w:rPr/>
        <w:t>será mayor, es decir para tener una concentración mayor  a 1  360 mg N-NO</w:t>
      </w:r>
      <w:r>
        <w:rPr>
          <w:position w:val="-2"/>
          <w:sz w:val="13"/>
        </w:rPr>
        <w:t>3</w:t>
      </w:r>
      <w:r>
        <w:rPr>
          <w:position w:val="10"/>
          <w:sz w:val="13"/>
        </w:rPr>
        <w:t>-</w:t>
      </w:r>
      <w:r>
        <w:rPr/>
        <w:t>/L es necesario tener una biomasa de 2 371,83 kg. Así mismo, Van Rijn </w:t>
      </w:r>
      <w:r>
        <w:rPr>
          <w:i/>
        </w:rPr>
        <w:t>et </w:t>
      </w:r>
      <w:r>
        <w:rPr>
          <w:i/>
        </w:rPr>
        <w:t>al</w:t>
      </w:r>
      <w:r>
        <w:rPr/>
        <w:t>. (2006), mencionan que aún cuando los niveles tóxicos de concentración de nitratos para peces es muy alta, a valores de 100 mg N-NO</w:t>
      </w:r>
      <w:r>
        <w:rPr>
          <w:position w:val="-2"/>
          <w:sz w:val="13"/>
        </w:rPr>
        <w:t>3</w:t>
      </w:r>
      <w:r>
        <w:rPr>
          <w:position w:val="10"/>
          <w:sz w:val="13"/>
        </w:rPr>
        <w:t>-</w:t>
      </w:r>
      <w:r>
        <w:rPr/>
        <w:t>/L se tienen consecuencias como: 1) desnitrificación pasiva incompleta, 2) desestabilización de la capacidad de</w:t>
      </w:r>
      <w:r>
        <w:rPr>
          <w:spacing w:val="55"/>
        </w:rPr>
        <w:t> </w:t>
      </w:r>
      <w:r>
        <w:rPr/>
        <w:t>amortiguación,</w:t>
      </w:r>
    </w:p>
    <w:p>
      <w:pPr>
        <w:pStyle w:val="BodyText"/>
        <w:spacing w:before="15"/>
        <w:ind w:left="781"/>
        <w:jc w:val="both"/>
      </w:pPr>
      <w:r>
        <w:rPr/>
        <w:t>3) no se lleva a cabo la eliminación concomitante de ortofosfatos y sulfatos.</w:t>
      </w:r>
    </w:p>
    <w:p>
      <w:pPr>
        <w:pStyle w:val="BodyText"/>
        <w:spacing w:before="1"/>
        <w:rPr>
          <w:sz w:val="27"/>
        </w:rPr>
      </w:pPr>
    </w:p>
    <w:p>
      <w:pPr>
        <w:pStyle w:val="BodyText"/>
        <w:spacing w:line="357" w:lineRule="auto"/>
        <w:ind w:left="781" w:right="497"/>
        <w:jc w:val="both"/>
      </w:pPr>
      <w:r>
        <w:rPr/>
        <w:t>Concentraciones mayores a 100 mg N-NO</w:t>
      </w:r>
      <w:r>
        <w:rPr>
          <w:position w:val="-2"/>
          <w:sz w:val="13"/>
        </w:rPr>
        <w:t>3</w:t>
      </w:r>
      <w:r>
        <w:rPr>
          <w:position w:val="10"/>
          <w:sz w:val="13"/>
        </w:rPr>
        <w:t>-</w:t>
      </w:r>
      <w:r>
        <w:rPr/>
        <w:t>/L se evitan en los SRA mediante la adición de agua limpia al sistema, de esta manera se elimina la acumulación de nitratos y sólidos disueltos totales (Eding </w:t>
      </w:r>
      <w:r>
        <w:rPr>
          <w:i/>
        </w:rPr>
        <w:t>et al</w:t>
      </w:r>
      <w:r>
        <w:rPr/>
        <w:t>., 2006). En la figura 51 se aprecia el comportamiento de los nitratos en el tren de tratamiento el cual aumenta y disminuye de acuerdo con los intercambios de agua realizados en el proceso del cultivo.</w:t>
      </w:r>
    </w:p>
    <w:p>
      <w:pPr>
        <w:spacing w:after="0" w:line="357" w:lineRule="auto"/>
        <w:jc w:val="both"/>
        <w:sectPr>
          <w:pgSz w:w="12240" w:h="15840"/>
          <w:pgMar w:header="725" w:footer="1084" w:top="1340" w:bottom="1280" w:left="920" w:right="1200"/>
        </w:sectPr>
      </w:pPr>
    </w:p>
    <w:p>
      <w:pPr>
        <w:pStyle w:val="BodyText"/>
        <w:spacing w:before="4"/>
        <w:rPr>
          <w:sz w:val="15"/>
        </w:rPr>
      </w:pPr>
    </w:p>
    <w:p>
      <w:pPr>
        <w:pStyle w:val="BodyText"/>
        <w:ind w:left="812"/>
        <w:rPr>
          <w:sz w:val="20"/>
        </w:rPr>
      </w:pPr>
      <w:r>
        <w:rPr>
          <w:sz w:val="20"/>
        </w:rPr>
        <w:drawing>
          <wp:inline distT="0" distB="0" distL="0" distR="0">
            <wp:extent cx="5652307" cy="4106037"/>
            <wp:effectExtent l="0" t="0" r="0" b="0"/>
            <wp:docPr id="69" name="image107.png" descr=""/>
            <wp:cNvGraphicFramePr>
              <a:graphicFrameLocks noChangeAspect="1"/>
            </wp:cNvGraphicFramePr>
            <a:graphic>
              <a:graphicData uri="http://schemas.openxmlformats.org/drawingml/2006/picture">
                <pic:pic>
                  <pic:nvPicPr>
                    <pic:cNvPr id="70" name="image107.png"/>
                    <pic:cNvPicPr/>
                  </pic:nvPicPr>
                  <pic:blipFill>
                    <a:blip r:embed="rId115" cstate="print"/>
                    <a:stretch>
                      <a:fillRect/>
                    </a:stretch>
                  </pic:blipFill>
                  <pic:spPr>
                    <a:xfrm>
                      <a:off x="0" y="0"/>
                      <a:ext cx="5652307" cy="4106037"/>
                    </a:xfrm>
                    <a:prstGeom prst="rect">
                      <a:avLst/>
                    </a:prstGeom>
                  </pic:spPr>
                </pic:pic>
              </a:graphicData>
            </a:graphic>
          </wp:inline>
        </w:drawing>
      </w:r>
      <w:r>
        <w:rPr>
          <w:sz w:val="20"/>
        </w:rPr>
      </w:r>
    </w:p>
    <w:p>
      <w:pPr>
        <w:pStyle w:val="BodyText"/>
        <w:spacing w:before="9"/>
        <w:rPr>
          <w:sz w:val="18"/>
        </w:rPr>
      </w:pPr>
    </w:p>
    <w:p>
      <w:pPr>
        <w:spacing w:before="85"/>
        <w:ind w:left="949" w:right="0" w:firstLine="0"/>
        <w:jc w:val="left"/>
        <w:rPr>
          <w:b/>
          <w:sz w:val="18"/>
        </w:rPr>
      </w:pPr>
      <w:r>
        <w:rPr>
          <w:b/>
          <w:position w:val="2"/>
          <w:sz w:val="18"/>
        </w:rPr>
        <w:t>Figura 51. Comportamiento de los nitratos (N-NO</w:t>
      </w:r>
      <w:r>
        <w:rPr>
          <w:b/>
          <w:sz w:val="12"/>
        </w:rPr>
        <w:t>3</w:t>
      </w:r>
      <w:r>
        <w:rPr>
          <w:b/>
          <w:position w:val="11"/>
          <w:sz w:val="12"/>
        </w:rPr>
        <w:t>-</w:t>
      </w:r>
      <w:r>
        <w:rPr>
          <w:b/>
          <w:position w:val="2"/>
          <w:sz w:val="18"/>
        </w:rPr>
        <w:t>) en el influente y efluente del tren de tratamiento</w:t>
      </w:r>
    </w:p>
    <w:p>
      <w:pPr>
        <w:pStyle w:val="Heading5"/>
        <w:numPr>
          <w:ilvl w:val="3"/>
          <w:numId w:val="16"/>
        </w:numPr>
        <w:tabs>
          <w:tab w:pos="1578" w:val="left" w:leader="none"/>
        </w:tabs>
        <w:spacing w:line="240" w:lineRule="auto" w:before="195" w:after="0"/>
        <w:ind w:left="1577" w:right="0" w:hanging="796"/>
        <w:jc w:val="both"/>
      </w:pPr>
      <w:bookmarkStart w:name="_TOC_250017" w:id="169"/>
      <w:bookmarkStart w:name="5.7.3.4. Demanda químca de oxígeno (DQO)" w:id="170"/>
      <w:r>
        <w:rPr>
          <w:b w:val="0"/>
        </w:rPr>
      </w:r>
      <w:bookmarkEnd w:id="170"/>
      <w:bookmarkStart w:name="5.7.3.4. Demanda químca de oxígeno (DQO)" w:id="171"/>
      <w:r>
        <w:rPr/>
        <w:t>D</w:t>
      </w:r>
      <w:r>
        <w:rPr/>
        <w:t>EMANDA QUÍMICA DE OXÍGENO</w:t>
      </w:r>
      <w:r>
        <w:rPr>
          <w:spacing w:val="-11"/>
        </w:rPr>
        <w:t> </w:t>
      </w:r>
      <w:bookmarkEnd w:id="169"/>
      <w:r>
        <w:rPr/>
        <w:t>(DQO)</w:t>
      </w:r>
    </w:p>
    <w:p>
      <w:pPr>
        <w:pStyle w:val="BodyText"/>
        <w:spacing w:before="5"/>
        <w:rPr>
          <w:b/>
          <w:sz w:val="28"/>
        </w:rPr>
      </w:pPr>
    </w:p>
    <w:p>
      <w:pPr>
        <w:pStyle w:val="BodyText"/>
        <w:spacing w:line="357" w:lineRule="auto" w:before="1"/>
        <w:ind w:left="781" w:right="497"/>
        <w:jc w:val="both"/>
      </w:pPr>
      <w:r>
        <w:rPr/>
        <w:t>La producción de materia orgánica generada determinada como la DQO es el único parámetro en el que no se encontró una diferencia significativa entre los datos estimados en esta investigación y los determinados por García (2008). Este mismo autor recomienda utilizar este parámetro en lugar de la DBO</w:t>
      </w:r>
      <w:r>
        <w:rPr>
          <w:position w:val="-2"/>
          <w:sz w:val="13"/>
        </w:rPr>
        <w:t>5</w:t>
      </w:r>
      <w:r>
        <w:rPr/>
        <w:t>, ya que este último implica un valor histórico al tener que esperar hasta cinco días para conocer el valor del análisis y las concentraciones son muy bajas encontrándose en el error de la prueba. Se puede observar en la figura 52 que la concentración de materia orgánica es proporcional a la biomasa y aún a  densidades de 28,7 kg/m</w:t>
      </w:r>
      <w:r>
        <w:rPr>
          <w:position w:val="10"/>
          <w:sz w:val="13"/>
        </w:rPr>
        <w:t>3 </w:t>
      </w:r>
      <w:r>
        <w:rPr/>
        <w:t>no se llega concentraciones que dañen a los peces. No obstante la acumulación de este parámetro indica una competencia de bacterias heterótrofas y nitrificantes en el biofiltro por lo que es importante mantener los niveles de DQO bajos para que los biofiltros se especialicen en la</w:t>
      </w:r>
      <w:r>
        <w:rPr>
          <w:spacing w:val="-23"/>
        </w:rPr>
        <w:t> </w:t>
      </w:r>
      <w:r>
        <w:rPr/>
        <w:t>nitrificación.</w:t>
      </w:r>
    </w:p>
    <w:p>
      <w:pPr>
        <w:spacing w:after="0" w:line="357" w:lineRule="auto"/>
        <w:jc w:val="both"/>
        <w:sectPr>
          <w:pgSz w:w="12240" w:h="15840"/>
          <w:pgMar w:header="725" w:footer="1084" w:top="1340" w:bottom="1280" w:left="920" w:right="1200"/>
        </w:sectPr>
      </w:pPr>
    </w:p>
    <w:p>
      <w:pPr>
        <w:pStyle w:val="BodyText"/>
        <w:spacing w:before="4"/>
        <w:rPr>
          <w:sz w:val="15"/>
        </w:rPr>
      </w:pPr>
    </w:p>
    <w:p>
      <w:pPr>
        <w:pStyle w:val="BodyText"/>
        <w:ind w:left="904"/>
        <w:rPr>
          <w:sz w:val="20"/>
        </w:rPr>
      </w:pPr>
      <w:r>
        <w:rPr>
          <w:sz w:val="20"/>
        </w:rPr>
        <w:drawing>
          <wp:inline distT="0" distB="0" distL="0" distR="0">
            <wp:extent cx="5432808" cy="3948112"/>
            <wp:effectExtent l="0" t="0" r="0" b="0"/>
            <wp:docPr id="71" name="image108.jpeg" descr=""/>
            <wp:cNvGraphicFramePr>
              <a:graphicFrameLocks noChangeAspect="1"/>
            </wp:cNvGraphicFramePr>
            <a:graphic>
              <a:graphicData uri="http://schemas.openxmlformats.org/drawingml/2006/picture">
                <pic:pic>
                  <pic:nvPicPr>
                    <pic:cNvPr id="72" name="image108.jpeg"/>
                    <pic:cNvPicPr/>
                  </pic:nvPicPr>
                  <pic:blipFill>
                    <a:blip r:embed="rId116" cstate="print"/>
                    <a:stretch>
                      <a:fillRect/>
                    </a:stretch>
                  </pic:blipFill>
                  <pic:spPr>
                    <a:xfrm>
                      <a:off x="0" y="0"/>
                      <a:ext cx="5432808" cy="3948112"/>
                    </a:xfrm>
                    <a:prstGeom prst="rect">
                      <a:avLst/>
                    </a:prstGeom>
                  </pic:spPr>
                </pic:pic>
              </a:graphicData>
            </a:graphic>
          </wp:inline>
        </w:drawing>
      </w:r>
      <w:r>
        <w:rPr>
          <w:sz w:val="20"/>
        </w:rPr>
      </w:r>
    </w:p>
    <w:p>
      <w:pPr>
        <w:pStyle w:val="BodyText"/>
        <w:spacing w:before="5"/>
        <w:rPr>
          <w:sz w:val="26"/>
        </w:rPr>
      </w:pPr>
    </w:p>
    <w:p>
      <w:pPr>
        <w:spacing w:before="77"/>
        <w:ind w:left="1933" w:right="948" w:firstLine="0"/>
        <w:jc w:val="left"/>
        <w:rPr>
          <w:b/>
          <w:sz w:val="18"/>
        </w:rPr>
      </w:pPr>
      <w:r>
        <w:rPr>
          <w:b/>
          <w:sz w:val="18"/>
        </w:rPr>
        <w:t>Figura 52. Relación de la producción de biomasa y la concentración de DQO</w:t>
      </w:r>
    </w:p>
    <w:p>
      <w:pPr>
        <w:pStyle w:val="BodyText"/>
        <w:spacing w:before="4"/>
        <w:rPr>
          <w:b/>
          <w:sz w:val="17"/>
        </w:rPr>
      </w:pPr>
    </w:p>
    <w:p>
      <w:pPr>
        <w:pStyle w:val="Heading5"/>
        <w:ind w:left="781"/>
      </w:pPr>
      <w:bookmarkStart w:name="_TOC_250016" w:id="172"/>
      <w:bookmarkStart w:name="5.8. Sistema de monitoreo y control del " w:id="173"/>
      <w:r>
        <w:rPr>
          <w:b w:val="0"/>
        </w:rPr>
      </w:r>
      <w:bookmarkEnd w:id="172"/>
      <w:r>
        <w:rPr/>
        <w:t>5.8. SISTEMA DE MONITOREO Y CONTROL DEL SRA</w:t>
      </w:r>
    </w:p>
    <w:p>
      <w:pPr>
        <w:pStyle w:val="BodyText"/>
        <w:spacing w:before="8"/>
        <w:rPr>
          <w:b/>
          <w:sz w:val="28"/>
        </w:rPr>
      </w:pPr>
    </w:p>
    <w:p>
      <w:pPr>
        <w:pStyle w:val="BodyText"/>
        <w:spacing w:line="360" w:lineRule="auto"/>
        <w:ind w:left="781" w:right="497"/>
        <w:jc w:val="both"/>
      </w:pPr>
      <w:r>
        <w:rPr/>
        <w:t>El control del SRA utilizado en este trabajo se llevó según el modelo modificado presentado por García (2008), considerando diez parámetros limitantes en el tratamiento del agua y cultivo de la trucha: SST, DQO, nitratos, nitritos, nitrógeno amoniacal, alcalinidad, pH, OD, temperatura y caudal (Anexo 6).</w:t>
      </w:r>
    </w:p>
    <w:p>
      <w:pPr>
        <w:pStyle w:val="BodyText"/>
        <w:spacing w:before="9"/>
        <w:rPr>
          <w:sz w:val="17"/>
        </w:rPr>
      </w:pPr>
    </w:p>
    <w:p>
      <w:pPr>
        <w:pStyle w:val="BodyText"/>
        <w:spacing w:line="360" w:lineRule="auto"/>
        <w:ind w:left="781" w:right="496" w:hanging="1"/>
        <w:jc w:val="both"/>
      </w:pPr>
      <w:r>
        <w:rPr/>
        <w:t>Así, el control del SRA se realizó gráficamente para los parámetros relacionados con la contaminación, donde se identificaron tres estados, letal (rojo), de tolerancia (amarillo) y óptimo (verde).</w:t>
      </w:r>
    </w:p>
    <w:p>
      <w:pPr>
        <w:pStyle w:val="BodyText"/>
        <w:spacing w:before="7"/>
        <w:rPr>
          <w:sz w:val="17"/>
        </w:rPr>
      </w:pPr>
    </w:p>
    <w:p>
      <w:pPr>
        <w:pStyle w:val="BodyText"/>
        <w:spacing w:line="360" w:lineRule="auto"/>
        <w:ind w:left="781" w:right="498"/>
        <w:jc w:val="both"/>
      </w:pPr>
      <w:r>
        <w:rPr/>
        <w:t>Estos valores deben permanecer preferentemente en la zona verde con tendencia a cero, esto indica que el sistema se encuentra trabajando adecuadamente. Sin embargo, si  algún valor se encuentra en la zona amarilla es necesario corregirlo a la brevedad. Cuando algún parámetro se encuentre en la zona roja, el cultivo acuícola presentará altas mortalidades y de no ser atendido inmediatamente el sistema</w:t>
      </w:r>
      <w:r>
        <w:rPr>
          <w:spacing w:val="-26"/>
        </w:rPr>
        <w:t> </w:t>
      </w:r>
      <w:r>
        <w:rPr/>
        <w:t>colapsará.</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Para los parámetros que representan las características físicas y químicas del agua, se dividen en cinco estados, dos letales, dos de tolerancia y uno óptimo, donde su función es similar a los parámetros anteriores, pero cuentan con valores máximos y mínimos para cada uno de ellos. Para que estos parámetros se encuentren en condiciones adecuadas para el SRA, éstos deben de estar en la zona verde.</w:t>
      </w:r>
    </w:p>
    <w:p>
      <w:pPr>
        <w:pStyle w:val="BodyText"/>
        <w:spacing w:before="9"/>
        <w:rPr>
          <w:sz w:val="17"/>
        </w:rPr>
      </w:pPr>
    </w:p>
    <w:p>
      <w:pPr>
        <w:pStyle w:val="BodyText"/>
        <w:spacing w:line="360" w:lineRule="auto"/>
        <w:ind w:left="781" w:right="502"/>
        <w:jc w:val="both"/>
      </w:pPr>
      <w:r>
        <w:rPr/>
        <w:t>La escala presentada en las siguientes figuras se detalla en la tabla 27 para cada zona letal, de tolerancia y óptima.</w:t>
      </w:r>
    </w:p>
    <w:p>
      <w:pPr>
        <w:pStyle w:val="BodyText"/>
        <w:spacing w:before="3"/>
        <w:rPr>
          <w:sz w:val="17"/>
        </w:rPr>
      </w:pPr>
    </w:p>
    <w:p>
      <w:pPr>
        <w:spacing w:before="0"/>
        <w:ind w:left="1460" w:right="948" w:firstLine="0"/>
        <w:jc w:val="left"/>
        <w:rPr>
          <w:b/>
          <w:sz w:val="18"/>
        </w:rPr>
      </w:pPr>
      <w:r>
        <w:rPr>
          <w:b/>
          <w:sz w:val="18"/>
        </w:rPr>
        <w:t>Tabla 27. Escala de las zonas de los parámetros en el sistema de seguimiento y control</w:t>
      </w:r>
    </w:p>
    <w:p>
      <w:pPr>
        <w:pStyle w:val="BodyText"/>
        <w:spacing w:after="1"/>
        <w:rPr>
          <w:b/>
          <w:sz w:val="11"/>
        </w:rPr>
      </w:pPr>
    </w:p>
    <w:tbl>
      <w:tblPr>
        <w:tblW w:w="0" w:type="auto"/>
        <w:jc w:val="left"/>
        <w:tblInd w:w="6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5"/>
        <w:gridCol w:w="1498"/>
        <w:gridCol w:w="1495"/>
        <w:gridCol w:w="1495"/>
        <w:gridCol w:w="1498"/>
        <w:gridCol w:w="1498"/>
      </w:tblGrid>
      <w:tr>
        <w:trPr>
          <w:trHeight w:val="240" w:hRule="exact"/>
        </w:trPr>
        <w:tc>
          <w:tcPr>
            <w:tcW w:w="1495" w:type="dxa"/>
            <w:vMerge w:val="restart"/>
          </w:tcPr>
          <w:p>
            <w:pPr>
              <w:pStyle w:val="TableParagraph"/>
              <w:spacing w:before="0"/>
              <w:ind w:right="0"/>
              <w:jc w:val="left"/>
              <w:rPr>
                <w:rFonts w:ascii="Arial"/>
                <w:b/>
                <w:sz w:val="20"/>
              </w:rPr>
            </w:pPr>
          </w:p>
          <w:p>
            <w:pPr>
              <w:pStyle w:val="TableParagraph"/>
              <w:spacing w:before="115"/>
              <w:ind w:left="94" w:right="94"/>
              <w:jc w:val="center"/>
              <w:rPr>
                <w:rFonts w:ascii="Arial"/>
                <w:b/>
                <w:sz w:val="20"/>
              </w:rPr>
            </w:pPr>
            <w:r>
              <w:rPr>
                <w:rFonts w:ascii="Arial"/>
                <w:b/>
                <w:sz w:val="20"/>
              </w:rPr>
              <w:t>Zona</w:t>
            </w:r>
          </w:p>
        </w:tc>
        <w:tc>
          <w:tcPr>
            <w:tcW w:w="7483" w:type="dxa"/>
            <w:gridSpan w:val="5"/>
          </w:tcPr>
          <w:p>
            <w:pPr>
              <w:pStyle w:val="TableParagraph"/>
              <w:spacing w:line="225" w:lineRule="exact" w:before="0"/>
              <w:ind w:left="3221" w:right="3222"/>
              <w:jc w:val="center"/>
              <w:rPr>
                <w:rFonts w:ascii="Arial" w:hAnsi="Arial"/>
                <w:b/>
                <w:sz w:val="20"/>
              </w:rPr>
            </w:pPr>
            <w:r>
              <w:rPr>
                <w:rFonts w:ascii="Arial" w:hAnsi="Arial"/>
                <w:b/>
                <w:sz w:val="20"/>
              </w:rPr>
              <w:t>Parámetro</w:t>
            </w:r>
          </w:p>
        </w:tc>
      </w:tr>
      <w:tr>
        <w:trPr>
          <w:trHeight w:val="698" w:hRule="exact"/>
        </w:trPr>
        <w:tc>
          <w:tcPr>
            <w:tcW w:w="1495" w:type="dxa"/>
            <w:vMerge/>
          </w:tcPr>
          <w:p>
            <w:pPr/>
          </w:p>
        </w:tc>
        <w:tc>
          <w:tcPr>
            <w:tcW w:w="1498" w:type="dxa"/>
          </w:tcPr>
          <w:p>
            <w:pPr>
              <w:pStyle w:val="TableParagraph"/>
              <w:spacing w:before="6"/>
              <w:ind w:right="0"/>
              <w:jc w:val="left"/>
              <w:rPr>
                <w:rFonts w:ascii="Arial"/>
                <w:b/>
                <w:sz w:val="19"/>
              </w:rPr>
            </w:pPr>
          </w:p>
          <w:p>
            <w:pPr>
              <w:pStyle w:val="TableParagraph"/>
              <w:spacing w:before="0"/>
              <w:ind w:left="112" w:right="115"/>
              <w:jc w:val="center"/>
              <w:rPr>
                <w:rFonts w:ascii="Arial"/>
                <w:b/>
                <w:sz w:val="20"/>
              </w:rPr>
            </w:pPr>
            <w:r>
              <w:rPr>
                <w:rFonts w:ascii="Arial"/>
                <w:b/>
                <w:sz w:val="20"/>
              </w:rPr>
              <w:t>Caudal (L/s)</w:t>
            </w:r>
          </w:p>
        </w:tc>
        <w:tc>
          <w:tcPr>
            <w:tcW w:w="1495" w:type="dxa"/>
          </w:tcPr>
          <w:p>
            <w:pPr>
              <w:pStyle w:val="TableParagraph"/>
              <w:spacing w:before="110"/>
              <w:ind w:left="564" w:right="0" w:hanging="430"/>
              <w:jc w:val="left"/>
              <w:rPr>
                <w:rFonts w:ascii="Arial" w:hAnsi="Arial"/>
                <w:b/>
                <w:sz w:val="20"/>
              </w:rPr>
            </w:pPr>
            <w:r>
              <w:rPr>
                <w:rFonts w:ascii="Arial" w:hAnsi="Arial"/>
                <w:b/>
                <w:w w:val="95"/>
                <w:sz w:val="20"/>
              </w:rPr>
              <w:t>Temperatura </w:t>
            </w:r>
            <w:r>
              <w:rPr>
                <w:rFonts w:ascii="Arial" w:hAnsi="Arial"/>
                <w:b/>
                <w:sz w:val="20"/>
              </w:rPr>
              <w:t>(ºC)</w:t>
            </w:r>
          </w:p>
        </w:tc>
        <w:tc>
          <w:tcPr>
            <w:tcW w:w="1495" w:type="dxa"/>
          </w:tcPr>
          <w:p>
            <w:pPr>
              <w:pStyle w:val="TableParagraph"/>
              <w:spacing w:before="0"/>
              <w:ind w:left="359" w:right="341" w:hanging="17"/>
              <w:jc w:val="both"/>
              <w:rPr>
                <w:rFonts w:ascii="Arial" w:hAnsi="Arial"/>
                <w:b/>
                <w:sz w:val="20"/>
              </w:rPr>
            </w:pPr>
            <w:r>
              <w:rPr>
                <w:rFonts w:ascii="Arial" w:hAnsi="Arial"/>
                <w:b/>
                <w:sz w:val="20"/>
              </w:rPr>
              <w:t>Oxígeno disuelto (mg/L)</w:t>
            </w:r>
          </w:p>
        </w:tc>
        <w:tc>
          <w:tcPr>
            <w:tcW w:w="1498" w:type="dxa"/>
          </w:tcPr>
          <w:p>
            <w:pPr>
              <w:pStyle w:val="TableParagraph"/>
              <w:spacing w:before="0"/>
              <w:ind w:left="112" w:right="111"/>
              <w:jc w:val="center"/>
              <w:rPr>
                <w:rFonts w:ascii="Arial"/>
                <w:b/>
                <w:sz w:val="20"/>
              </w:rPr>
            </w:pPr>
            <w:r>
              <w:rPr>
                <w:rFonts w:ascii="Arial"/>
                <w:b/>
                <w:sz w:val="20"/>
              </w:rPr>
              <w:t>Alcalinidad (mg/L como CaCO</w:t>
            </w:r>
            <w:r>
              <w:rPr>
                <w:rFonts w:ascii="Arial"/>
                <w:b/>
                <w:position w:val="-2"/>
                <w:sz w:val="13"/>
              </w:rPr>
              <w:t>3</w:t>
            </w:r>
            <w:r>
              <w:rPr>
                <w:rFonts w:ascii="Arial"/>
                <w:b/>
                <w:sz w:val="20"/>
              </w:rPr>
              <w:t>)</w:t>
            </w:r>
          </w:p>
        </w:tc>
        <w:tc>
          <w:tcPr>
            <w:tcW w:w="1498" w:type="dxa"/>
          </w:tcPr>
          <w:p>
            <w:pPr>
              <w:pStyle w:val="TableParagraph"/>
              <w:spacing w:before="6"/>
              <w:ind w:right="0"/>
              <w:jc w:val="left"/>
              <w:rPr>
                <w:rFonts w:ascii="Arial"/>
                <w:b/>
                <w:sz w:val="19"/>
              </w:rPr>
            </w:pPr>
          </w:p>
          <w:p>
            <w:pPr>
              <w:pStyle w:val="TableParagraph"/>
              <w:spacing w:before="0"/>
              <w:ind w:left="112" w:right="112"/>
              <w:jc w:val="center"/>
              <w:rPr>
                <w:rFonts w:ascii="Arial"/>
                <w:b/>
                <w:sz w:val="20"/>
              </w:rPr>
            </w:pPr>
            <w:r>
              <w:rPr>
                <w:rFonts w:ascii="Arial"/>
                <w:b/>
                <w:sz w:val="20"/>
              </w:rPr>
              <w:t>pH</w:t>
            </w:r>
          </w:p>
        </w:tc>
      </w:tr>
      <w:tr>
        <w:trPr>
          <w:trHeight w:val="240" w:hRule="exact"/>
        </w:trPr>
        <w:tc>
          <w:tcPr>
            <w:tcW w:w="1495" w:type="dxa"/>
            <w:shd w:val="clear" w:color="auto" w:fill="FF0000"/>
          </w:tcPr>
          <w:p>
            <w:pPr>
              <w:pStyle w:val="TableParagraph"/>
              <w:spacing w:line="227" w:lineRule="exact" w:before="0"/>
              <w:ind w:left="103" w:right="0"/>
              <w:jc w:val="left"/>
              <w:rPr>
                <w:rFonts w:ascii="Arial"/>
                <w:sz w:val="20"/>
              </w:rPr>
            </w:pPr>
            <w:r>
              <w:rPr>
                <w:rFonts w:ascii="Arial"/>
                <w:sz w:val="20"/>
              </w:rPr>
              <w:t>Letal</w:t>
            </w:r>
          </w:p>
        </w:tc>
        <w:tc>
          <w:tcPr>
            <w:tcW w:w="1498" w:type="dxa"/>
            <w:shd w:val="clear" w:color="auto" w:fill="FF0000"/>
          </w:tcPr>
          <w:p>
            <w:pPr>
              <w:pStyle w:val="TableParagraph"/>
              <w:spacing w:line="227" w:lineRule="exact" w:before="0"/>
              <w:ind w:left="110" w:right="115"/>
              <w:jc w:val="center"/>
              <w:rPr>
                <w:rFonts w:ascii="Arial"/>
                <w:sz w:val="20"/>
              </w:rPr>
            </w:pPr>
            <w:r>
              <w:rPr>
                <w:rFonts w:ascii="Arial"/>
                <w:sz w:val="20"/>
              </w:rPr>
              <w:t>&lt; 0,5</w:t>
            </w:r>
          </w:p>
        </w:tc>
        <w:tc>
          <w:tcPr>
            <w:tcW w:w="1495" w:type="dxa"/>
            <w:shd w:val="clear" w:color="auto" w:fill="FF0000"/>
          </w:tcPr>
          <w:p>
            <w:pPr>
              <w:pStyle w:val="TableParagraph"/>
              <w:spacing w:line="227" w:lineRule="exact" w:before="0"/>
              <w:ind w:left="87" w:right="94"/>
              <w:jc w:val="center"/>
              <w:rPr>
                <w:rFonts w:ascii="Arial"/>
                <w:sz w:val="20"/>
              </w:rPr>
            </w:pPr>
            <w:r>
              <w:rPr>
                <w:rFonts w:ascii="Arial"/>
                <w:sz w:val="20"/>
              </w:rPr>
              <w:t>&lt; 5,0</w:t>
            </w:r>
          </w:p>
        </w:tc>
        <w:tc>
          <w:tcPr>
            <w:tcW w:w="1495" w:type="dxa"/>
            <w:shd w:val="clear" w:color="auto" w:fill="FF0000"/>
          </w:tcPr>
          <w:p>
            <w:pPr>
              <w:pStyle w:val="TableParagraph"/>
              <w:spacing w:line="227" w:lineRule="exact" w:before="0"/>
              <w:ind w:left="92" w:right="94"/>
              <w:jc w:val="center"/>
              <w:rPr>
                <w:rFonts w:ascii="Arial"/>
                <w:sz w:val="20"/>
              </w:rPr>
            </w:pPr>
            <w:r>
              <w:rPr>
                <w:rFonts w:ascii="Arial"/>
                <w:sz w:val="20"/>
              </w:rPr>
              <w:t>&lt; 3,0</w:t>
            </w:r>
          </w:p>
        </w:tc>
        <w:tc>
          <w:tcPr>
            <w:tcW w:w="1498" w:type="dxa"/>
            <w:shd w:val="clear" w:color="auto" w:fill="FF0000"/>
          </w:tcPr>
          <w:p>
            <w:pPr>
              <w:pStyle w:val="TableParagraph"/>
              <w:spacing w:line="227" w:lineRule="exact" w:before="0"/>
              <w:ind w:left="112" w:right="112"/>
              <w:jc w:val="center"/>
              <w:rPr>
                <w:rFonts w:ascii="Arial"/>
                <w:sz w:val="20"/>
              </w:rPr>
            </w:pPr>
            <w:r>
              <w:rPr>
                <w:rFonts w:ascii="Arial"/>
                <w:sz w:val="20"/>
              </w:rPr>
              <w:t>&lt; 23,0</w:t>
            </w:r>
          </w:p>
        </w:tc>
        <w:tc>
          <w:tcPr>
            <w:tcW w:w="1498" w:type="dxa"/>
            <w:shd w:val="clear" w:color="auto" w:fill="FF0000"/>
          </w:tcPr>
          <w:p>
            <w:pPr>
              <w:pStyle w:val="TableParagraph"/>
              <w:spacing w:line="227" w:lineRule="exact" w:before="0"/>
              <w:ind w:left="112" w:right="112"/>
              <w:jc w:val="center"/>
              <w:rPr>
                <w:rFonts w:ascii="Arial"/>
                <w:sz w:val="20"/>
              </w:rPr>
            </w:pPr>
            <w:r>
              <w:rPr>
                <w:rFonts w:ascii="Arial"/>
                <w:sz w:val="20"/>
              </w:rPr>
              <w:t>&lt; 6,5</w:t>
            </w:r>
          </w:p>
        </w:tc>
      </w:tr>
      <w:tr>
        <w:trPr>
          <w:trHeight w:val="240" w:hRule="exact"/>
        </w:trPr>
        <w:tc>
          <w:tcPr>
            <w:tcW w:w="1495" w:type="dxa"/>
            <w:shd w:val="clear" w:color="auto" w:fill="FFFF00"/>
          </w:tcPr>
          <w:p>
            <w:pPr>
              <w:pStyle w:val="TableParagraph"/>
              <w:spacing w:line="227" w:lineRule="exact" w:before="0"/>
              <w:ind w:left="103" w:right="0"/>
              <w:jc w:val="left"/>
              <w:rPr>
                <w:rFonts w:ascii="Arial"/>
                <w:sz w:val="20"/>
              </w:rPr>
            </w:pPr>
            <w:r>
              <w:rPr>
                <w:rFonts w:ascii="Arial"/>
                <w:sz w:val="20"/>
              </w:rPr>
              <w:t>Tolerancia</w:t>
            </w:r>
          </w:p>
        </w:tc>
        <w:tc>
          <w:tcPr>
            <w:tcW w:w="1498" w:type="dxa"/>
            <w:shd w:val="clear" w:color="auto" w:fill="FFFF00"/>
          </w:tcPr>
          <w:p>
            <w:pPr>
              <w:pStyle w:val="TableParagraph"/>
              <w:spacing w:line="227" w:lineRule="exact" w:before="0"/>
              <w:ind w:left="111" w:right="115"/>
              <w:jc w:val="center"/>
              <w:rPr>
                <w:rFonts w:ascii="Arial" w:hAnsi="Arial"/>
                <w:sz w:val="20"/>
              </w:rPr>
            </w:pPr>
            <w:r>
              <w:rPr>
                <w:rFonts w:ascii="Arial" w:hAnsi="Arial"/>
                <w:sz w:val="20"/>
              </w:rPr>
              <w:t>0,5 – 2,0</w:t>
            </w:r>
          </w:p>
        </w:tc>
        <w:tc>
          <w:tcPr>
            <w:tcW w:w="1495" w:type="dxa"/>
            <w:shd w:val="clear" w:color="auto" w:fill="FFFF00"/>
          </w:tcPr>
          <w:p>
            <w:pPr>
              <w:pStyle w:val="TableParagraph"/>
              <w:spacing w:line="227" w:lineRule="exact" w:before="0"/>
              <w:ind w:right="300"/>
              <w:rPr>
                <w:rFonts w:ascii="Arial" w:hAnsi="Arial"/>
                <w:sz w:val="20"/>
              </w:rPr>
            </w:pPr>
            <w:r>
              <w:rPr>
                <w:rFonts w:ascii="Arial" w:hAnsi="Arial"/>
                <w:sz w:val="20"/>
              </w:rPr>
              <w:t>5,0 – 10,0</w:t>
            </w:r>
          </w:p>
        </w:tc>
        <w:tc>
          <w:tcPr>
            <w:tcW w:w="1495" w:type="dxa"/>
            <w:shd w:val="clear" w:color="auto" w:fill="FFFF00"/>
          </w:tcPr>
          <w:p>
            <w:pPr>
              <w:pStyle w:val="TableParagraph"/>
              <w:spacing w:line="227" w:lineRule="exact" w:before="0"/>
              <w:ind w:left="92" w:right="94"/>
              <w:jc w:val="center"/>
              <w:rPr>
                <w:rFonts w:ascii="Arial" w:hAnsi="Arial"/>
                <w:sz w:val="20"/>
              </w:rPr>
            </w:pPr>
            <w:r>
              <w:rPr>
                <w:rFonts w:ascii="Arial" w:hAnsi="Arial"/>
                <w:sz w:val="20"/>
              </w:rPr>
              <w:t>3,0 – 5,0</w:t>
            </w:r>
          </w:p>
        </w:tc>
        <w:tc>
          <w:tcPr>
            <w:tcW w:w="1498" w:type="dxa"/>
            <w:shd w:val="clear" w:color="auto" w:fill="FFFF00"/>
          </w:tcPr>
          <w:p>
            <w:pPr>
              <w:pStyle w:val="TableParagraph"/>
              <w:spacing w:line="227" w:lineRule="exact" w:before="0"/>
              <w:ind w:left="112" w:right="114"/>
              <w:jc w:val="center"/>
              <w:rPr>
                <w:rFonts w:ascii="Arial" w:hAnsi="Arial"/>
                <w:sz w:val="20"/>
              </w:rPr>
            </w:pPr>
            <w:r>
              <w:rPr>
                <w:rFonts w:ascii="Arial" w:hAnsi="Arial"/>
                <w:sz w:val="20"/>
              </w:rPr>
              <w:t>23,0 – 50,0</w:t>
            </w:r>
          </w:p>
        </w:tc>
        <w:tc>
          <w:tcPr>
            <w:tcW w:w="1498" w:type="dxa"/>
            <w:shd w:val="clear" w:color="auto" w:fill="FFFF00"/>
          </w:tcPr>
          <w:p>
            <w:pPr>
              <w:pStyle w:val="TableParagraph"/>
              <w:spacing w:line="227" w:lineRule="exact" w:before="0"/>
              <w:ind w:left="112" w:right="112"/>
              <w:jc w:val="center"/>
              <w:rPr>
                <w:rFonts w:ascii="Arial" w:hAnsi="Arial"/>
                <w:sz w:val="20"/>
              </w:rPr>
            </w:pPr>
            <w:r>
              <w:rPr>
                <w:rFonts w:ascii="Arial" w:hAnsi="Arial"/>
                <w:sz w:val="20"/>
              </w:rPr>
              <w:t>6,5 – 7,0</w:t>
            </w:r>
          </w:p>
        </w:tc>
      </w:tr>
      <w:tr>
        <w:trPr>
          <w:trHeight w:val="240" w:hRule="exact"/>
        </w:trPr>
        <w:tc>
          <w:tcPr>
            <w:tcW w:w="1495" w:type="dxa"/>
            <w:shd w:val="clear" w:color="auto" w:fill="00B04F"/>
          </w:tcPr>
          <w:p>
            <w:pPr>
              <w:pStyle w:val="TableParagraph"/>
              <w:spacing w:line="227" w:lineRule="exact" w:before="0"/>
              <w:ind w:left="103" w:right="0"/>
              <w:jc w:val="left"/>
              <w:rPr>
                <w:rFonts w:ascii="Arial" w:hAnsi="Arial"/>
                <w:sz w:val="20"/>
              </w:rPr>
            </w:pPr>
            <w:r>
              <w:rPr>
                <w:rFonts w:ascii="Arial" w:hAnsi="Arial"/>
                <w:sz w:val="20"/>
              </w:rPr>
              <w:t>Óptima</w:t>
            </w:r>
          </w:p>
        </w:tc>
        <w:tc>
          <w:tcPr>
            <w:tcW w:w="1498" w:type="dxa"/>
            <w:shd w:val="clear" w:color="auto" w:fill="00B04F"/>
          </w:tcPr>
          <w:p>
            <w:pPr>
              <w:pStyle w:val="TableParagraph"/>
              <w:spacing w:line="227" w:lineRule="exact" w:before="0"/>
              <w:ind w:left="111" w:right="115"/>
              <w:jc w:val="center"/>
              <w:rPr>
                <w:rFonts w:ascii="Arial" w:hAnsi="Arial"/>
                <w:sz w:val="20"/>
              </w:rPr>
            </w:pPr>
            <w:r>
              <w:rPr>
                <w:rFonts w:ascii="Arial" w:hAnsi="Arial"/>
                <w:sz w:val="20"/>
              </w:rPr>
              <w:t>2,1 – 3,0</w:t>
            </w:r>
          </w:p>
        </w:tc>
        <w:tc>
          <w:tcPr>
            <w:tcW w:w="1495" w:type="dxa"/>
            <w:shd w:val="clear" w:color="auto" w:fill="00B04F"/>
          </w:tcPr>
          <w:p>
            <w:pPr>
              <w:pStyle w:val="TableParagraph"/>
              <w:spacing w:line="227" w:lineRule="exact" w:before="0"/>
              <w:ind w:right="245"/>
              <w:rPr>
                <w:rFonts w:ascii="Arial" w:hAnsi="Arial"/>
                <w:sz w:val="20"/>
              </w:rPr>
            </w:pPr>
            <w:r>
              <w:rPr>
                <w:rFonts w:ascii="Arial" w:hAnsi="Arial"/>
                <w:sz w:val="20"/>
              </w:rPr>
              <w:t>10,1 – 18,0</w:t>
            </w:r>
          </w:p>
        </w:tc>
        <w:tc>
          <w:tcPr>
            <w:tcW w:w="1495" w:type="dxa"/>
            <w:shd w:val="clear" w:color="auto" w:fill="00B04F"/>
          </w:tcPr>
          <w:p>
            <w:pPr>
              <w:pStyle w:val="TableParagraph"/>
              <w:spacing w:line="227" w:lineRule="exact" w:before="0"/>
              <w:ind w:left="92" w:right="94"/>
              <w:jc w:val="center"/>
              <w:rPr>
                <w:rFonts w:ascii="Arial"/>
                <w:sz w:val="20"/>
              </w:rPr>
            </w:pPr>
            <w:r>
              <w:rPr>
                <w:rFonts w:ascii="Arial"/>
                <w:sz w:val="20"/>
              </w:rPr>
              <w:t>&gt; 5,0</w:t>
            </w:r>
          </w:p>
        </w:tc>
        <w:tc>
          <w:tcPr>
            <w:tcW w:w="1498" w:type="dxa"/>
            <w:shd w:val="clear" w:color="auto" w:fill="00B04F"/>
          </w:tcPr>
          <w:p>
            <w:pPr>
              <w:pStyle w:val="TableParagraph"/>
              <w:spacing w:line="227" w:lineRule="exact" w:before="0"/>
              <w:ind w:left="112" w:right="114"/>
              <w:jc w:val="center"/>
              <w:rPr>
                <w:rFonts w:ascii="Arial" w:hAnsi="Arial"/>
                <w:sz w:val="20"/>
              </w:rPr>
            </w:pPr>
            <w:r>
              <w:rPr>
                <w:rFonts w:ascii="Arial" w:hAnsi="Arial"/>
                <w:sz w:val="20"/>
              </w:rPr>
              <w:t>51,0 – 150,0</w:t>
            </w:r>
          </w:p>
        </w:tc>
        <w:tc>
          <w:tcPr>
            <w:tcW w:w="1498" w:type="dxa"/>
            <w:shd w:val="clear" w:color="auto" w:fill="00B04F"/>
          </w:tcPr>
          <w:p>
            <w:pPr>
              <w:pStyle w:val="TableParagraph"/>
              <w:spacing w:line="227" w:lineRule="exact" w:before="0"/>
              <w:ind w:left="112" w:right="112"/>
              <w:jc w:val="center"/>
              <w:rPr>
                <w:rFonts w:ascii="Arial" w:hAnsi="Arial"/>
                <w:sz w:val="20"/>
              </w:rPr>
            </w:pPr>
            <w:r>
              <w:rPr>
                <w:rFonts w:ascii="Arial" w:hAnsi="Arial"/>
                <w:sz w:val="20"/>
              </w:rPr>
              <w:t>7,1 – 8,5</w:t>
            </w:r>
          </w:p>
        </w:tc>
      </w:tr>
      <w:tr>
        <w:trPr>
          <w:trHeight w:val="240" w:hRule="exact"/>
        </w:trPr>
        <w:tc>
          <w:tcPr>
            <w:tcW w:w="1495" w:type="dxa"/>
            <w:shd w:val="clear" w:color="auto" w:fill="FFFF00"/>
          </w:tcPr>
          <w:p>
            <w:pPr>
              <w:pStyle w:val="TableParagraph"/>
              <w:spacing w:line="227" w:lineRule="exact" w:before="0"/>
              <w:ind w:left="103" w:right="0"/>
              <w:jc w:val="left"/>
              <w:rPr>
                <w:rFonts w:ascii="Arial"/>
                <w:sz w:val="20"/>
              </w:rPr>
            </w:pPr>
            <w:r>
              <w:rPr>
                <w:rFonts w:ascii="Arial"/>
                <w:sz w:val="20"/>
              </w:rPr>
              <w:t>Tolerancia</w:t>
            </w:r>
          </w:p>
        </w:tc>
        <w:tc>
          <w:tcPr>
            <w:tcW w:w="1498" w:type="dxa"/>
            <w:shd w:val="clear" w:color="auto" w:fill="FFFF00"/>
          </w:tcPr>
          <w:p>
            <w:pPr>
              <w:pStyle w:val="TableParagraph"/>
              <w:spacing w:line="227" w:lineRule="exact" w:before="0"/>
              <w:ind w:left="111" w:right="115"/>
              <w:jc w:val="center"/>
              <w:rPr>
                <w:rFonts w:ascii="Arial" w:hAnsi="Arial"/>
                <w:sz w:val="20"/>
              </w:rPr>
            </w:pPr>
            <w:r>
              <w:rPr>
                <w:rFonts w:ascii="Arial" w:hAnsi="Arial"/>
                <w:sz w:val="20"/>
              </w:rPr>
              <w:t>3,1 – 4,0</w:t>
            </w:r>
          </w:p>
        </w:tc>
        <w:tc>
          <w:tcPr>
            <w:tcW w:w="1495" w:type="dxa"/>
            <w:shd w:val="clear" w:color="auto" w:fill="FFFF00"/>
          </w:tcPr>
          <w:p>
            <w:pPr>
              <w:pStyle w:val="TableParagraph"/>
              <w:spacing w:line="227" w:lineRule="exact" w:before="0"/>
              <w:ind w:right="245"/>
              <w:rPr>
                <w:rFonts w:ascii="Arial" w:hAnsi="Arial"/>
                <w:sz w:val="20"/>
              </w:rPr>
            </w:pPr>
            <w:r>
              <w:rPr>
                <w:rFonts w:ascii="Arial" w:hAnsi="Arial"/>
                <w:sz w:val="20"/>
              </w:rPr>
              <w:t>18,1 – 22,0</w:t>
            </w:r>
          </w:p>
        </w:tc>
        <w:tc>
          <w:tcPr>
            <w:tcW w:w="1495" w:type="dxa"/>
            <w:shd w:val="clear" w:color="auto" w:fill="FFFF00"/>
          </w:tcPr>
          <w:p>
            <w:pPr/>
          </w:p>
        </w:tc>
        <w:tc>
          <w:tcPr>
            <w:tcW w:w="1498" w:type="dxa"/>
            <w:shd w:val="clear" w:color="auto" w:fill="FFFF00"/>
          </w:tcPr>
          <w:p>
            <w:pPr>
              <w:pStyle w:val="TableParagraph"/>
              <w:spacing w:line="227" w:lineRule="exact" w:before="0"/>
              <w:ind w:left="112" w:right="114"/>
              <w:jc w:val="center"/>
              <w:rPr>
                <w:rFonts w:ascii="Arial"/>
                <w:sz w:val="20"/>
              </w:rPr>
            </w:pPr>
            <w:r>
              <w:rPr>
                <w:rFonts w:ascii="Arial"/>
                <w:sz w:val="20"/>
              </w:rPr>
              <w:t>&gt; 150,00</w:t>
            </w:r>
          </w:p>
        </w:tc>
        <w:tc>
          <w:tcPr>
            <w:tcW w:w="1498" w:type="dxa"/>
            <w:shd w:val="clear" w:color="auto" w:fill="FFFF00"/>
          </w:tcPr>
          <w:p>
            <w:pPr>
              <w:pStyle w:val="TableParagraph"/>
              <w:spacing w:line="227" w:lineRule="exact" w:before="0"/>
              <w:ind w:left="112" w:right="112"/>
              <w:jc w:val="center"/>
              <w:rPr>
                <w:rFonts w:ascii="Arial" w:hAnsi="Arial"/>
                <w:sz w:val="20"/>
              </w:rPr>
            </w:pPr>
            <w:r>
              <w:rPr>
                <w:rFonts w:ascii="Arial" w:hAnsi="Arial"/>
                <w:sz w:val="20"/>
              </w:rPr>
              <w:t>8,6 – 9,0</w:t>
            </w:r>
          </w:p>
        </w:tc>
      </w:tr>
      <w:tr>
        <w:trPr>
          <w:trHeight w:val="240" w:hRule="exact"/>
        </w:trPr>
        <w:tc>
          <w:tcPr>
            <w:tcW w:w="1495" w:type="dxa"/>
            <w:shd w:val="clear" w:color="auto" w:fill="FF0000"/>
          </w:tcPr>
          <w:p>
            <w:pPr>
              <w:pStyle w:val="TableParagraph"/>
              <w:spacing w:line="227" w:lineRule="exact" w:before="0"/>
              <w:ind w:left="103" w:right="0"/>
              <w:jc w:val="left"/>
              <w:rPr>
                <w:rFonts w:ascii="Arial"/>
                <w:sz w:val="20"/>
              </w:rPr>
            </w:pPr>
            <w:r>
              <w:rPr>
                <w:rFonts w:ascii="Arial"/>
                <w:sz w:val="20"/>
              </w:rPr>
              <w:t>Letal</w:t>
            </w:r>
          </w:p>
        </w:tc>
        <w:tc>
          <w:tcPr>
            <w:tcW w:w="1498" w:type="dxa"/>
            <w:shd w:val="clear" w:color="auto" w:fill="FF0000"/>
          </w:tcPr>
          <w:p>
            <w:pPr>
              <w:pStyle w:val="TableParagraph"/>
              <w:spacing w:line="227" w:lineRule="exact" w:before="0"/>
              <w:ind w:left="110" w:right="115"/>
              <w:jc w:val="center"/>
              <w:rPr>
                <w:rFonts w:ascii="Arial"/>
                <w:sz w:val="20"/>
              </w:rPr>
            </w:pPr>
            <w:r>
              <w:rPr>
                <w:rFonts w:ascii="Arial"/>
                <w:sz w:val="20"/>
              </w:rPr>
              <w:t>&gt; 4,0</w:t>
            </w:r>
          </w:p>
        </w:tc>
        <w:tc>
          <w:tcPr>
            <w:tcW w:w="1495" w:type="dxa"/>
            <w:shd w:val="clear" w:color="auto" w:fill="FF0000"/>
          </w:tcPr>
          <w:p>
            <w:pPr>
              <w:pStyle w:val="TableParagraph"/>
              <w:spacing w:line="227" w:lineRule="exact" w:before="0"/>
              <w:ind w:left="458" w:right="0"/>
              <w:jc w:val="left"/>
              <w:rPr>
                <w:rFonts w:ascii="Arial"/>
                <w:sz w:val="20"/>
              </w:rPr>
            </w:pPr>
            <w:r>
              <w:rPr>
                <w:rFonts w:ascii="Arial"/>
                <w:sz w:val="20"/>
              </w:rPr>
              <w:t>&gt; 22,0</w:t>
            </w:r>
          </w:p>
        </w:tc>
        <w:tc>
          <w:tcPr>
            <w:tcW w:w="1495" w:type="dxa"/>
            <w:shd w:val="clear" w:color="auto" w:fill="FF0000"/>
          </w:tcPr>
          <w:p>
            <w:pPr/>
          </w:p>
        </w:tc>
        <w:tc>
          <w:tcPr>
            <w:tcW w:w="1498" w:type="dxa"/>
            <w:shd w:val="clear" w:color="auto" w:fill="FF0000"/>
          </w:tcPr>
          <w:p>
            <w:pPr/>
          </w:p>
        </w:tc>
        <w:tc>
          <w:tcPr>
            <w:tcW w:w="1498" w:type="dxa"/>
            <w:shd w:val="clear" w:color="auto" w:fill="FF0000"/>
          </w:tcPr>
          <w:p>
            <w:pPr>
              <w:pStyle w:val="TableParagraph"/>
              <w:spacing w:line="227" w:lineRule="exact" w:before="0"/>
              <w:ind w:left="112" w:right="112"/>
              <w:jc w:val="center"/>
              <w:rPr>
                <w:rFonts w:ascii="Arial"/>
                <w:sz w:val="20"/>
              </w:rPr>
            </w:pPr>
            <w:r>
              <w:rPr>
                <w:rFonts w:ascii="Arial"/>
                <w:sz w:val="20"/>
              </w:rPr>
              <w:t>&gt; 9,0</w:t>
            </w:r>
          </w:p>
        </w:tc>
      </w:tr>
      <w:tr>
        <w:trPr>
          <w:trHeight w:val="240" w:hRule="exact"/>
        </w:trPr>
        <w:tc>
          <w:tcPr>
            <w:tcW w:w="8978" w:type="dxa"/>
            <w:gridSpan w:val="6"/>
          </w:tcPr>
          <w:p>
            <w:pPr/>
          </w:p>
        </w:tc>
      </w:tr>
      <w:tr>
        <w:trPr>
          <w:trHeight w:val="470" w:hRule="exact"/>
        </w:trPr>
        <w:tc>
          <w:tcPr>
            <w:tcW w:w="1495" w:type="dxa"/>
          </w:tcPr>
          <w:p>
            <w:pPr>
              <w:pStyle w:val="TableParagraph"/>
              <w:spacing w:before="110"/>
              <w:ind w:left="94" w:right="94"/>
              <w:jc w:val="center"/>
              <w:rPr>
                <w:rFonts w:ascii="Arial"/>
                <w:b/>
                <w:sz w:val="20"/>
              </w:rPr>
            </w:pPr>
            <w:r>
              <w:rPr>
                <w:rFonts w:ascii="Arial"/>
                <w:b/>
                <w:sz w:val="20"/>
              </w:rPr>
              <w:t>Zona</w:t>
            </w:r>
          </w:p>
        </w:tc>
        <w:tc>
          <w:tcPr>
            <w:tcW w:w="1498" w:type="dxa"/>
          </w:tcPr>
          <w:p>
            <w:pPr>
              <w:pStyle w:val="TableParagraph"/>
              <w:spacing w:before="110"/>
              <w:ind w:left="112" w:right="115"/>
              <w:jc w:val="center"/>
              <w:rPr>
                <w:rFonts w:ascii="Arial"/>
                <w:b/>
                <w:sz w:val="20"/>
              </w:rPr>
            </w:pPr>
            <w:r>
              <w:rPr>
                <w:rFonts w:ascii="Arial"/>
                <w:b/>
                <w:sz w:val="20"/>
              </w:rPr>
              <w:t>N-NH</w:t>
            </w:r>
            <w:r>
              <w:rPr>
                <w:rFonts w:ascii="Arial"/>
                <w:b/>
                <w:position w:val="-2"/>
                <w:sz w:val="13"/>
              </w:rPr>
              <w:t>3 </w:t>
            </w:r>
            <w:r>
              <w:rPr>
                <w:rFonts w:ascii="Arial"/>
                <w:b/>
                <w:sz w:val="20"/>
              </w:rPr>
              <w:t>(mg/L)</w:t>
            </w:r>
          </w:p>
        </w:tc>
        <w:tc>
          <w:tcPr>
            <w:tcW w:w="1495" w:type="dxa"/>
          </w:tcPr>
          <w:p>
            <w:pPr>
              <w:pStyle w:val="TableParagraph"/>
              <w:spacing w:line="158" w:lineRule="exact" w:before="0"/>
              <w:ind w:left="427" w:right="0"/>
              <w:jc w:val="left"/>
              <w:rPr>
                <w:rFonts w:ascii="Arial"/>
                <w:b/>
                <w:sz w:val="13"/>
              </w:rPr>
            </w:pPr>
            <w:r>
              <w:rPr>
                <w:rFonts w:ascii="Arial"/>
                <w:b/>
                <w:sz w:val="20"/>
              </w:rPr>
              <w:t>N-NO </w:t>
            </w:r>
            <w:r>
              <w:rPr>
                <w:rFonts w:ascii="Arial"/>
                <w:b/>
                <w:position w:val="10"/>
                <w:sz w:val="13"/>
              </w:rPr>
              <w:t>-</w:t>
            </w:r>
          </w:p>
          <w:p>
            <w:pPr>
              <w:pStyle w:val="TableParagraph"/>
              <w:spacing w:line="75" w:lineRule="exact" w:before="0"/>
              <w:ind w:left="938" w:right="0"/>
              <w:jc w:val="left"/>
              <w:rPr>
                <w:rFonts w:ascii="Arial"/>
                <w:b/>
                <w:sz w:val="13"/>
              </w:rPr>
            </w:pPr>
            <w:r>
              <w:rPr>
                <w:rFonts w:ascii="Arial"/>
                <w:b/>
                <w:w w:val="99"/>
                <w:sz w:val="13"/>
              </w:rPr>
              <w:t>2</w:t>
            </w:r>
          </w:p>
          <w:p>
            <w:pPr>
              <w:pStyle w:val="TableParagraph"/>
              <w:spacing w:line="222" w:lineRule="exact" w:before="0"/>
              <w:ind w:left="434" w:right="0"/>
              <w:jc w:val="left"/>
              <w:rPr>
                <w:rFonts w:ascii="Arial"/>
                <w:b/>
                <w:sz w:val="20"/>
              </w:rPr>
            </w:pPr>
            <w:r>
              <w:rPr>
                <w:rFonts w:ascii="Arial"/>
                <w:b/>
                <w:sz w:val="20"/>
              </w:rPr>
              <w:t>(mg/L)</w:t>
            </w:r>
          </w:p>
        </w:tc>
        <w:tc>
          <w:tcPr>
            <w:tcW w:w="1495" w:type="dxa"/>
          </w:tcPr>
          <w:p>
            <w:pPr>
              <w:pStyle w:val="TableParagraph"/>
              <w:spacing w:line="198" w:lineRule="exact" w:before="75"/>
              <w:ind w:left="94" w:right="94"/>
              <w:jc w:val="center"/>
              <w:rPr>
                <w:rFonts w:ascii="Arial"/>
                <w:b/>
                <w:sz w:val="20"/>
              </w:rPr>
            </w:pPr>
            <w:r>
              <w:rPr>
                <w:rFonts w:ascii="Arial"/>
                <w:b/>
                <w:sz w:val="20"/>
              </w:rPr>
              <w:t>N-NO </w:t>
            </w:r>
            <w:r>
              <w:rPr>
                <w:rFonts w:ascii="Arial"/>
                <w:b/>
                <w:position w:val="10"/>
                <w:sz w:val="13"/>
              </w:rPr>
              <w:t>- </w:t>
            </w:r>
            <w:r>
              <w:rPr>
                <w:rFonts w:ascii="Arial"/>
                <w:b/>
                <w:sz w:val="20"/>
              </w:rPr>
              <w:t>(mg/L)</w:t>
            </w:r>
          </w:p>
          <w:p>
            <w:pPr>
              <w:pStyle w:val="TableParagraph"/>
              <w:spacing w:line="83" w:lineRule="exact" w:before="0"/>
              <w:ind w:right="178"/>
              <w:jc w:val="center"/>
              <w:rPr>
                <w:rFonts w:ascii="Arial"/>
                <w:b/>
                <w:sz w:val="13"/>
              </w:rPr>
            </w:pPr>
            <w:r>
              <w:rPr>
                <w:rFonts w:ascii="Arial"/>
                <w:b/>
                <w:w w:val="99"/>
                <w:sz w:val="13"/>
              </w:rPr>
              <w:t>3</w:t>
            </w:r>
          </w:p>
        </w:tc>
        <w:tc>
          <w:tcPr>
            <w:tcW w:w="1498" w:type="dxa"/>
          </w:tcPr>
          <w:p>
            <w:pPr>
              <w:pStyle w:val="TableParagraph"/>
              <w:spacing w:before="110"/>
              <w:ind w:left="112" w:right="112"/>
              <w:jc w:val="center"/>
              <w:rPr>
                <w:rFonts w:ascii="Arial"/>
                <w:b/>
                <w:sz w:val="20"/>
              </w:rPr>
            </w:pPr>
            <w:r>
              <w:rPr>
                <w:rFonts w:ascii="Arial"/>
                <w:b/>
                <w:sz w:val="20"/>
              </w:rPr>
              <w:t>DQO (mg/L)</w:t>
            </w:r>
          </w:p>
        </w:tc>
        <w:tc>
          <w:tcPr>
            <w:tcW w:w="1498" w:type="dxa"/>
          </w:tcPr>
          <w:p>
            <w:pPr>
              <w:pStyle w:val="TableParagraph"/>
              <w:spacing w:before="110"/>
              <w:ind w:left="112" w:right="112"/>
              <w:jc w:val="center"/>
              <w:rPr>
                <w:rFonts w:ascii="Arial"/>
                <w:b/>
                <w:sz w:val="20"/>
              </w:rPr>
            </w:pPr>
            <w:r>
              <w:rPr>
                <w:rFonts w:ascii="Arial"/>
                <w:b/>
                <w:sz w:val="20"/>
              </w:rPr>
              <w:t>SST (mg/L)</w:t>
            </w:r>
          </w:p>
        </w:tc>
      </w:tr>
      <w:tr>
        <w:trPr>
          <w:trHeight w:val="240" w:hRule="exact"/>
        </w:trPr>
        <w:tc>
          <w:tcPr>
            <w:tcW w:w="1495" w:type="dxa"/>
            <w:shd w:val="clear" w:color="auto" w:fill="00B04F"/>
          </w:tcPr>
          <w:p>
            <w:pPr>
              <w:pStyle w:val="TableParagraph"/>
              <w:spacing w:line="227" w:lineRule="exact" w:before="0"/>
              <w:ind w:left="103" w:right="0"/>
              <w:jc w:val="left"/>
              <w:rPr>
                <w:rFonts w:ascii="Arial" w:hAnsi="Arial"/>
                <w:sz w:val="20"/>
              </w:rPr>
            </w:pPr>
            <w:r>
              <w:rPr>
                <w:rFonts w:ascii="Arial" w:hAnsi="Arial"/>
                <w:sz w:val="20"/>
              </w:rPr>
              <w:t>Óptima</w:t>
            </w:r>
          </w:p>
        </w:tc>
        <w:tc>
          <w:tcPr>
            <w:tcW w:w="1498" w:type="dxa"/>
            <w:shd w:val="clear" w:color="auto" w:fill="00B04F"/>
          </w:tcPr>
          <w:p>
            <w:pPr>
              <w:pStyle w:val="TableParagraph"/>
              <w:spacing w:line="227" w:lineRule="exact" w:before="0"/>
              <w:ind w:left="110" w:right="115"/>
              <w:jc w:val="center"/>
              <w:rPr>
                <w:rFonts w:ascii="Arial"/>
                <w:sz w:val="20"/>
              </w:rPr>
            </w:pPr>
            <w:r>
              <w:rPr>
                <w:rFonts w:ascii="Arial"/>
                <w:sz w:val="20"/>
              </w:rPr>
              <w:t>&lt; 0,7</w:t>
            </w:r>
          </w:p>
        </w:tc>
        <w:tc>
          <w:tcPr>
            <w:tcW w:w="1495" w:type="dxa"/>
            <w:shd w:val="clear" w:color="auto" w:fill="00B04F"/>
          </w:tcPr>
          <w:p>
            <w:pPr>
              <w:pStyle w:val="TableParagraph"/>
              <w:spacing w:line="227" w:lineRule="exact" w:before="0"/>
              <w:ind w:left="87" w:right="94"/>
              <w:jc w:val="center"/>
              <w:rPr>
                <w:rFonts w:ascii="Arial"/>
                <w:sz w:val="20"/>
              </w:rPr>
            </w:pPr>
            <w:r>
              <w:rPr>
                <w:rFonts w:ascii="Arial"/>
                <w:sz w:val="20"/>
              </w:rPr>
              <w:t>&lt; 0,7</w:t>
            </w:r>
          </w:p>
        </w:tc>
        <w:tc>
          <w:tcPr>
            <w:tcW w:w="1495" w:type="dxa"/>
            <w:shd w:val="clear" w:color="auto" w:fill="00B04F"/>
          </w:tcPr>
          <w:p>
            <w:pPr>
              <w:pStyle w:val="TableParagraph"/>
              <w:spacing w:line="227" w:lineRule="exact" w:before="0"/>
              <w:ind w:left="94" w:right="94"/>
              <w:jc w:val="center"/>
              <w:rPr>
                <w:rFonts w:ascii="Arial"/>
                <w:sz w:val="20"/>
              </w:rPr>
            </w:pPr>
            <w:r>
              <w:rPr>
                <w:rFonts w:ascii="Arial"/>
                <w:sz w:val="20"/>
              </w:rPr>
              <w:t>&lt; 50</w:t>
            </w:r>
          </w:p>
        </w:tc>
        <w:tc>
          <w:tcPr>
            <w:tcW w:w="1498" w:type="dxa"/>
            <w:shd w:val="clear" w:color="auto" w:fill="00B04F"/>
          </w:tcPr>
          <w:p>
            <w:pPr>
              <w:pStyle w:val="TableParagraph"/>
              <w:spacing w:line="227" w:lineRule="exact" w:before="0"/>
              <w:ind w:left="112" w:right="114"/>
              <w:jc w:val="center"/>
              <w:rPr>
                <w:rFonts w:ascii="Arial"/>
                <w:sz w:val="20"/>
              </w:rPr>
            </w:pPr>
            <w:r>
              <w:rPr>
                <w:rFonts w:ascii="Arial"/>
                <w:sz w:val="20"/>
              </w:rPr>
              <w:t>&lt; 150</w:t>
            </w:r>
          </w:p>
        </w:tc>
        <w:tc>
          <w:tcPr>
            <w:tcW w:w="1498" w:type="dxa"/>
            <w:shd w:val="clear" w:color="auto" w:fill="00B04F"/>
          </w:tcPr>
          <w:p>
            <w:pPr>
              <w:pStyle w:val="TableParagraph"/>
              <w:spacing w:line="227" w:lineRule="exact" w:before="0"/>
              <w:ind w:left="112" w:right="114"/>
              <w:jc w:val="center"/>
              <w:rPr>
                <w:rFonts w:ascii="Arial"/>
                <w:sz w:val="20"/>
              </w:rPr>
            </w:pPr>
            <w:r>
              <w:rPr>
                <w:rFonts w:ascii="Arial"/>
                <w:sz w:val="20"/>
              </w:rPr>
              <w:t>&lt; 80</w:t>
            </w:r>
          </w:p>
        </w:tc>
      </w:tr>
      <w:tr>
        <w:trPr>
          <w:trHeight w:val="240" w:hRule="exact"/>
        </w:trPr>
        <w:tc>
          <w:tcPr>
            <w:tcW w:w="1495" w:type="dxa"/>
            <w:shd w:val="clear" w:color="auto" w:fill="FFFF00"/>
          </w:tcPr>
          <w:p>
            <w:pPr>
              <w:pStyle w:val="TableParagraph"/>
              <w:spacing w:line="227" w:lineRule="exact" w:before="0"/>
              <w:ind w:left="103" w:right="0"/>
              <w:jc w:val="left"/>
              <w:rPr>
                <w:rFonts w:ascii="Arial"/>
                <w:sz w:val="20"/>
              </w:rPr>
            </w:pPr>
            <w:r>
              <w:rPr>
                <w:rFonts w:ascii="Arial"/>
                <w:sz w:val="20"/>
              </w:rPr>
              <w:t>Tolerancia</w:t>
            </w:r>
          </w:p>
        </w:tc>
        <w:tc>
          <w:tcPr>
            <w:tcW w:w="1498" w:type="dxa"/>
            <w:shd w:val="clear" w:color="auto" w:fill="FFFF00"/>
          </w:tcPr>
          <w:p>
            <w:pPr>
              <w:pStyle w:val="TableParagraph"/>
              <w:spacing w:line="227" w:lineRule="exact" w:before="0"/>
              <w:ind w:left="111" w:right="115"/>
              <w:jc w:val="center"/>
              <w:rPr>
                <w:rFonts w:ascii="Arial" w:hAnsi="Arial"/>
                <w:sz w:val="20"/>
              </w:rPr>
            </w:pPr>
            <w:r>
              <w:rPr>
                <w:rFonts w:ascii="Arial" w:hAnsi="Arial"/>
                <w:sz w:val="20"/>
              </w:rPr>
              <w:t>0,7 – 1,0</w:t>
            </w:r>
          </w:p>
        </w:tc>
        <w:tc>
          <w:tcPr>
            <w:tcW w:w="1495" w:type="dxa"/>
            <w:shd w:val="clear" w:color="auto" w:fill="FFFF00"/>
          </w:tcPr>
          <w:p>
            <w:pPr>
              <w:pStyle w:val="TableParagraph"/>
              <w:spacing w:line="227" w:lineRule="exact" w:before="0"/>
              <w:ind w:left="350" w:right="0"/>
              <w:jc w:val="left"/>
              <w:rPr>
                <w:rFonts w:ascii="Arial" w:hAnsi="Arial"/>
                <w:sz w:val="20"/>
              </w:rPr>
            </w:pPr>
            <w:r>
              <w:rPr>
                <w:rFonts w:ascii="Arial" w:hAnsi="Arial"/>
                <w:sz w:val="20"/>
              </w:rPr>
              <w:t>0,7 – 1,0</w:t>
            </w:r>
          </w:p>
        </w:tc>
        <w:tc>
          <w:tcPr>
            <w:tcW w:w="1495" w:type="dxa"/>
            <w:shd w:val="clear" w:color="auto" w:fill="FFFF00"/>
          </w:tcPr>
          <w:p>
            <w:pPr>
              <w:pStyle w:val="TableParagraph"/>
              <w:spacing w:line="227" w:lineRule="exact" w:before="0"/>
              <w:ind w:left="92" w:right="94"/>
              <w:jc w:val="center"/>
              <w:rPr>
                <w:rFonts w:ascii="Arial" w:hAnsi="Arial"/>
                <w:sz w:val="20"/>
              </w:rPr>
            </w:pPr>
            <w:r>
              <w:rPr>
                <w:rFonts w:ascii="Arial" w:hAnsi="Arial"/>
                <w:sz w:val="20"/>
              </w:rPr>
              <w:t>50 – 100</w:t>
            </w:r>
          </w:p>
        </w:tc>
        <w:tc>
          <w:tcPr>
            <w:tcW w:w="1498" w:type="dxa"/>
            <w:shd w:val="clear" w:color="auto" w:fill="FFFF00"/>
          </w:tcPr>
          <w:p>
            <w:pPr>
              <w:pStyle w:val="TableParagraph"/>
              <w:spacing w:line="227" w:lineRule="exact" w:before="0"/>
              <w:ind w:left="112" w:right="114"/>
              <w:jc w:val="center"/>
              <w:rPr>
                <w:rFonts w:ascii="Arial" w:hAnsi="Arial"/>
                <w:sz w:val="20"/>
              </w:rPr>
            </w:pPr>
            <w:r>
              <w:rPr>
                <w:rFonts w:ascii="Arial" w:hAnsi="Arial"/>
                <w:sz w:val="20"/>
              </w:rPr>
              <w:t>150 – 190</w:t>
            </w:r>
          </w:p>
        </w:tc>
        <w:tc>
          <w:tcPr>
            <w:tcW w:w="1498" w:type="dxa"/>
            <w:shd w:val="clear" w:color="auto" w:fill="FFFF00"/>
          </w:tcPr>
          <w:p>
            <w:pPr>
              <w:pStyle w:val="TableParagraph"/>
              <w:spacing w:line="227" w:lineRule="exact" w:before="0"/>
              <w:ind w:left="112" w:right="112"/>
              <w:jc w:val="center"/>
              <w:rPr>
                <w:rFonts w:ascii="Arial" w:hAnsi="Arial"/>
                <w:sz w:val="20"/>
              </w:rPr>
            </w:pPr>
            <w:r>
              <w:rPr>
                <w:rFonts w:ascii="Arial" w:hAnsi="Arial"/>
                <w:sz w:val="20"/>
              </w:rPr>
              <w:t>80 – 100</w:t>
            </w:r>
          </w:p>
        </w:tc>
      </w:tr>
      <w:tr>
        <w:trPr>
          <w:trHeight w:val="240" w:hRule="exact"/>
        </w:trPr>
        <w:tc>
          <w:tcPr>
            <w:tcW w:w="1495" w:type="dxa"/>
            <w:shd w:val="clear" w:color="auto" w:fill="FF0000"/>
          </w:tcPr>
          <w:p>
            <w:pPr>
              <w:pStyle w:val="TableParagraph"/>
              <w:spacing w:line="227" w:lineRule="exact" w:before="0"/>
              <w:ind w:left="103" w:right="0"/>
              <w:jc w:val="left"/>
              <w:rPr>
                <w:rFonts w:ascii="Arial"/>
                <w:sz w:val="20"/>
              </w:rPr>
            </w:pPr>
            <w:r>
              <w:rPr>
                <w:rFonts w:ascii="Arial"/>
                <w:sz w:val="20"/>
              </w:rPr>
              <w:t>Letal</w:t>
            </w:r>
          </w:p>
        </w:tc>
        <w:tc>
          <w:tcPr>
            <w:tcW w:w="1498" w:type="dxa"/>
            <w:shd w:val="clear" w:color="auto" w:fill="FF0000"/>
          </w:tcPr>
          <w:p>
            <w:pPr>
              <w:pStyle w:val="TableParagraph"/>
              <w:spacing w:line="227" w:lineRule="exact" w:before="0"/>
              <w:ind w:left="110" w:right="115"/>
              <w:jc w:val="center"/>
              <w:rPr>
                <w:rFonts w:ascii="Arial"/>
                <w:sz w:val="20"/>
              </w:rPr>
            </w:pPr>
            <w:r>
              <w:rPr>
                <w:rFonts w:ascii="Arial"/>
                <w:sz w:val="20"/>
              </w:rPr>
              <w:t>&gt; 1,0</w:t>
            </w:r>
          </w:p>
        </w:tc>
        <w:tc>
          <w:tcPr>
            <w:tcW w:w="1495" w:type="dxa"/>
            <w:shd w:val="clear" w:color="auto" w:fill="FF0000"/>
          </w:tcPr>
          <w:p>
            <w:pPr>
              <w:pStyle w:val="TableParagraph"/>
              <w:spacing w:line="227" w:lineRule="exact" w:before="0"/>
              <w:ind w:left="87" w:right="94"/>
              <w:jc w:val="center"/>
              <w:rPr>
                <w:rFonts w:ascii="Arial"/>
                <w:sz w:val="20"/>
              </w:rPr>
            </w:pPr>
            <w:r>
              <w:rPr>
                <w:rFonts w:ascii="Arial"/>
                <w:sz w:val="20"/>
              </w:rPr>
              <w:t>&gt; 1,0</w:t>
            </w:r>
          </w:p>
        </w:tc>
        <w:tc>
          <w:tcPr>
            <w:tcW w:w="1495" w:type="dxa"/>
            <w:shd w:val="clear" w:color="auto" w:fill="FF0000"/>
          </w:tcPr>
          <w:p>
            <w:pPr>
              <w:pStyle w:val="TableParagraph"/>
              <w:spacing w:line="227" w:lineRule="exact" w:before="0"/>
              <w:ind w:left="94" w:right="94"/>
              <w:jc w:val="center"/>
              <w:rPr>
                <w:rFonts w:ascii="Arial"/>
                <w:sz w:val="20"/>
              </w:rPr>
            </w:pPr>
            <w:r>
              <w:rPr>
                <w:rFonts w:ascii="Arial"/>
                <w:sz w:val="20"/>
              </w:rPr>
              <w:t>&gt; 100</w:t>
            </w:r>
          </w:p>
        </w:tc>
        <w:tc>
          <w:tcPr>
            <w:tcW w:w="1498" w:type="dxa"/>
            <w:shd w:val="clear" w:color="auto" w:fill="FF0000"/>
          </w:tcPr>
          <w:p>
            <w:pPr>
              <w:pStyle w:val="TableParagraph"/>
              <w:spacing w:line="227" w:lineRule="exact" w:before="0"/>
              <w:ind w:left="112" w:right="114"/>
              <w:jc w:val="center"/>
              <w:rPr>
                <w:rFonts w:ascii="Arial"/>
                <w:sz w:val="20"/>
              </w:rPr>
            </w:pPr>
            <w:r>
              <w:rPr>
                <w:rFonts w:ascii="Arial"/>
                <w:sz w:val="20"/>
              </w:rPr>
              <w:t>&gt; 190</w:t>
            </w:r>
          </w:p>
        </w:tc>
        <w:tc>
          <w:tcPr>
            <w:tcW w:w="1498" w:type="dxa"/>
            <w:shd w:val="clear" w:color="auto" w:fill="FF0000"/>
          </w:tcPr>
          <w:p>
            <w:pPr>
              <w:pStyle w:val="TableParagraph"/>
              <w:spacing w:line="227" w:lineRule="exact" w:before="0"/>
              <w:ind w:left="112" w:right="114"/>
              <w:jc w:val="center"/>
              <w:rPr>
                <w:rFonts w:ascii="Arial"/>
                <w:sz w:val="20"/>
              </w:rPr>
            </w:pPr>
            <w:r>
              <w:rPr>
                <w:rFonts w:ascii="Arial"/>
                <w:sz w:val="20"/>
              </w:rPr>
              <w:t>&gt; 100</w:t>
            </w:r>
          </w:p>
        </w:tc>
      </w:tr>
    </w:tbl>
    <w:p>
      <w:pPr>
        <w:pStyle w:val="BodyText"/>
        <w:spacing w:before="9"/>
        <w:rPr>
          <w:b/>
          <w:sz w:val="10"/>
        </w:rPr>
      </w:pPr>
    </w:p>
    <w:p>
      <w:pPr>
        <w:pStyle w:val="BodyText"/>
        <w:spacing w:line="360" w:lineRule="auto" w:before="73"/>
        <w:ind w:left="781" w:right="498"/>
        <w:jc w:val="both"/>
      </w:pPr>
      <w:r>
        <w:rPr/>
        <w:t>En promedio, el comportamiento de los parámetros limitantes en el estanque, se mantuvieron en las zonas óptimas de operación, sin embargo la temperatura, el OD y el nitrógeno amoniacal se encontraron en zonas de tolerancia para la trucha. En la figura 53, el sistema de monitoreo muestra los valores promedio de la entrada y salida del estanque, siendo estos valores los críticos para la toma de decisiones.</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812"/>
        <w:rPr>
          <w:sz w:val="20"/>
        </w:rPr>
      </w:pPr>
      <w:r>
        <w:rPr>
          <w:sz w:val="20"/>
        </w:rPr>
        <w:drawing>
          <wp:inline distT="0" distB="0" distL="0" distR="0">
            <wp:extent cx="5595247" cy="3666744"/>
            <wp:effectExtent l="0" t="0" r="0" b="0"/>
            <wp:docPr id="73" name="image109.jpeg" descr=""/>
            <wp:cNvGraphicFramePr>
              <a:graphicFrameLocks noChangeAspect="1"/>
            </wp:cNvGraphicFramePr>
            <a:graphic>
              <a:graphicData uri="http://schemas.openxmlformats.org/drawingml/2006/picture">
                <pic:pic>
                  <pic:nvPicPr>
                    <pic:cNvPr id="74" name="image109.jpeg"/>
                    <pic:cNvPicPr/>
                  </pic:nvPicPr>
                  <pic:blipFill>
                    <a:blip r:embed="rId117" cstate="print"/>
                    <a:stretch>
                      <a:fillRect/>
                    </a:stretch>
                  </pic:blipFill>
                  <pic:spPr>
                    <a:xfrm>
                      <a:off x="0" y="0"/>
                      <a:ext cx="5595247" cy="3666744"/>
                    </a:xfrm>
                    <a:prstGeom prst="rect">
                      <a:avLst/>
                    </a:prstGeom>
                  </pic:spPr>
                </pic:pic>
              </a:graphicData>
            </a:graphic>
          </wp:inline>
        </w:drawing>
      </w:r>
      <w:r>
        <w:rPr>
          <w:sz w:val="20"/>
        </w:rPr>
      </w:r>
    </w:p>
    <w:p>
      <w:pPr>
        <w:pStyle w:val="BodyText"/>
        <w:spacing w:before="6"/>
      </w:pPr>
    </w:p>
    <w:p>
      <w:pPr>
        <w:spacing w:before="78"/>
        <w:ind w:left="1237" w:right="0" w:firstLine="0"/>
        <w:jc w:val="left"/>
        <w:rPr>
          <w:b/>
          <w:sz w:val="18"/>
        </w:rPr>
      </w:pPr>
      <w:r>
        <w:rPr>
          <w:b/>
          <w:sz w:val="18"/>
        </w:rPr>
        <w:t>Figura 53. Representación gráfica de los valores promedio a la entrada y salida del estanque</w:t>
      </w:r>
    </w:p>
    <w:p>
      <w:pPr>
        <w:pStyle w:val="BodyText"/>
        <w:spacing w:before="6"/>
        <w:rPr>
          <w:b/>
          <w:sz w:val="17"/>
        </w:rPr>
      </w:pPr>
    </w:p>
    <w:p>
      <w:pPr>
        <w:pStyle w:val="BodyText"/>
        <w:spacing w:line="360" w:lineRule="auto"/>
        <w:ind w:left="781" w:right="499"/>
        <w:jc w:val="both"/>
      </w:pPr>
      <w:r>
        <w:rPr/>
        <w:t>El control en el sistema mediante este modelo mostró en general un comportamiento similar en los puntos de muestreo A, D y E. Exceptuando el oxígeno disuelto y la alcalinidad, para el primero y debido al movimiento del agua se aumenta en el punto de muestreo A y la alcalinidad disminuye (figura 53). En particular se observa, en la figura 54, que los nitratos a pesar de ser el resultado de la nitrificación (Wheaton, 1982) estos no llegan a ser tóxicos para el cultivo de la trucha, sin embargo, forman ácidos minerales que inhiben el proceso de nitrificación.</w:t>
      </w:r>
    </w:p>
    <w:p>
      <w:pPr>
        <w:pStyle w:val="BodyText"/>
        <w:spacing w:before="7"/>
        <w:rPr>
          <w:sz w:val="17"/>
        </w:rPr>
      </w:pPr>
    </w:p>
    <w:p>
      <w:pPr>
        <w:pStyle w:val="BodyText"/>
        <w:spacing w:line="360" w:lineRule="auto"/>
        <w:ind w:left="781" w:right="498"/>
        <w:jc w:val="both"/>
      </w:pPr>
      <w:r>
        <w:rPr/>
        <w:t>El control del SRA mediante este modelo denota que los parámetros como el OD, la alcalinidad y el nitrógeno amoniacal son los más importantes de monitorear de forma continua e indican el buen manejo del prototipo (Colt </w:t>
      </w:r>
      <w:r>
        <w:rPr>
          <w:i/>
        </w:rPr>
        <w:t>et al</w:t>
      </w:r>
      <w:r>
        <w:rPr/>
        <w:t>., 2006; Colt, 2006).</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812"/>
        <w:rPr>
          <w:sz w:val="20"/>
        </w:rPr>
      </w:pPr>
      <w:r>
        <w:rPr>
          <w:sz w:val="20"/>
        </w:rPr>
        <w:pict>
          <v:group style="width:441.85pt;height:289.6pt;mso-position-horizontal-relative:char;mso-position-vertical-relative:line" coordorigin="0,0" coordsize="8837,5792">
            <v:shape style="position:absolute;left:0;top:0;width:8837;height:5791" type="#_x0000_t75" stroked="false">
              <v:imagedata r:id="rId118" o:title=""/>
            </v:shape>
            <v:line style="position:absolute" from="7433,4294" to="7932,4294" stroked="true" strokeweight=".99996pt" strokecolor="#000000"/>
            <v:line style="position:absolute" from="7433,4531" to="7932,4531" stroked="true" strokeweight=".99996pt" strokecolor="#00afef">
              <v:stroke dashstyle="longDash"/>
            </v:line>
            <v:line style="position:absolute" from="7433,4745" to="7932,4745" stroked="true" strokeweight=".99996pt" strokecolor="#ff0000">
              <v:stroke dashstyle="longDash"/>
            </v:line>
            <v:line style="position:absolute" from="7433,5006" to="7932,5006" stroked="true" strokeweight=".99996pt" strokecolor="#ff0000">
              <v:stroke dashstyle="longDash"/>
            </v:line>
            <v:line style="position:absolute" from="7433,5220" to="7932,5220" stroked="true" strokeweight=".99996pt" strokecolor="#000000">
              <v:stroke dashstyle="longDash"/>
            </v:line>
            <v:line style="position:absolute" from="7433,5446" to="7932,5446" stroked="true" strokeweight=".99996pt" strokecolor="#000000">
              <v:stroke dashstyle="longDash"/>
            </v:line>
            <v:rect style="position:absolute;left:5191;top:5446;width:2155;height:238" filled="true" fillcolor="#ffffff" stroked="false">
              <v:fill type="solid"/>
            </v:rect>
            <v:rect style="position:absolute;left:7934;top:4092;width:826;height:1591" filled="true" fillcolor="#ffffff" stroked="false">
              <v:fill type="solid"/>
            </v:rect>
            <v:shape style="position:absolute;left:8078;top:4181;width:412;height:1378" type="#_x0000_t202" filled="false" stroked="false">
              <v:textbox inset="0,0,0,0">
                <w:txbxContent>
                  <w:p>
                    <w:pPr>
                      <w:spacing w:line="184" w:lineRule="exact" w:before="0"/>
                      <w:ind w:left="0" w:right="0" w:firstLine="0"/>
                      <w:jc w:val="both"/>
                      <w:rPr>
                        <w:b/>
                        <w:sz w:val="18"/>
                      </w:rPr>
                    </w:pPr>
                    <w:r>
                      <w:rPr>
                        <w:b/>
                        <w:sz w:val="18"/>
                      </w:rPr>
                      <w:t>PMA</w:t>
                    </w:r>
                  </w:p>
                  <w:p>
                    <w:pPr>
                      <w:spacing w:line="276" w:lineRule="auto" w:before="33"/>
                      <w:ind w:left="0" w:right="0" w:firstLine="0"/>
                      <w:jc w:val="both"/>
                      <w:rPr>
                        <w:b/>
                        <w:sz w:val="18"/>
                      </w:rPr>
                    </w:pPr>
                    <w:r>
                      <w:rPr>
                        <w:b/>
                        <w:sz w:val="18"/>
                      </w:rPr>
                      <w:t>PMB PMC PMD PME</w:t>
                    </w:r>
                  </w:p>
                  <w:p>
                    <w:pPr>
                      <w:spacing w:line="203" w:lineRule="exact" w:before="7"/>
                      <w:ind w:left="0" w:right="0" w:firstLine="0"/>
                      <w:jc w:val="both"/>
                      <w:rPr>
                        <w:b/>
                        <w:sz w:val="18"/>
                      </w:rPr>
                    </w:pPr>
                    <w:r>
                      <w:rPr>
                        <w:b/>
                        <w:sz w:val="18"/>
                      </w:rPr>
                      <w:t>PMG</w:t>
                    </w:r>
                  </w:p>
                </w:txbxContent>
              </v:textbox>
              <w10:wrap type="none"/>
            </v:shape>
          </v:group>
        </w:pict>
      </w:r>
      <w:r>
        <w:rPr>
          <w:sz w:val="20"/>
        </w:rPr>
      </w:r>
    </w:p>
    <w:p>
      <w:pPr>
        <w:pStyle w:val="BodyText"/>
        <w:spacing w:before="8"/>
        <w:rPr>
          <w:sz w:val="19"/>
        </w:rPr>
      </w:pPr>
    </w:p>
    <w:p>
      <w:pPr>
        <w:spacing w:line="207" w:lineRule="exact" w:before="77"/>
        <w:ind w:left="868" w:right="586" w:firstLine="0"/>
        <w:jc w:val="center"/>
        <w:rPr>
          <w:b/>
          <w:sz w:val="18"/>
        </w:rPr>
      </w:pPr>
      <w:r>
        <w:rPr>
          <w:b/>
          <w:sz w:val="18"/>
        </w:rPr>
        <w:t>Figura 54. Control del SRA donde se muestra el promedio general por punto de muestreo.</w:t>
      </w:r>
    </w:p>
    <w:p>
      <w:pPr>
        <w:spacing w:before="0"/>
        <w:ind w:left="868" w:right="584" w:firstLine="0"/>
        <w:jc w:val="center"/>
        <w:rPr>
          <w:b/>
          <w:sz w:val="18"/>
        </w:rPr>
      </w:pPr>
      <w:r>
        <w:rPr>
          <w:b/>
          <w:sz w:val="18"/>
        </w:rPr>
        <w:t>PMA: punto de muestreo A, PMB: punto de muestreo B, PMC: punto de muestreo C, PMD: punto de muestreo D, PME: punto de muestreo E, PMG: punto de muestreo G.</w:t>
      </w:r>
    </w:p>
    <w:p>
      <w:pPr>
        <w:pStyle w:val="BodyText"/>
        <w:spacing w:line="360" w:lineRule="auto" w:before="122"/>
        <w:ind w:left="781" w:right="497"/>
        <w:jc w:val="both"/>
      </w:pPr>
      <w:r>
        <w:rPr/>
        <w:t>Se llevó un monitoreo puntual de las unidades biológicas del tren de tratamiento para conocer si estaban cumpliendo con los objetivos planteados en su diseño. En las figuras 55 y 56 se observa el control del percolador, el cual tuvo una variación muy importante en la alcalinidad, variación que se refleja también en el efluente del filtro de arena (figura 57).</w:t>
      </w:r>
    </w:p>
    <w:p>
      <w:pPr>
        <w:pStyle w:val="BodyText"/>
        <w:spacing w:before="7"/>
        <w:rPr>
          <w:sz w:val="17"/>
        </w:rPr>
      </w:pPr>
    </w:p>
    <w:p>
      <w:pPr>
        <w:pStyle w:val="BodyText"/>
        <w:spacing w:line="360" w:lineRule="auto"/>
        <w:ind w:left="781" w:right="498"/>
        <w:jc w:val="both"/>
      </w:pPr>
      <w:r>
        <w:rPr/>
        <w:t>Este comportamiento se debe al proceso de nitrificación que se lleva a cabo en los filtros biológicos (Wheaton, 1982) y a que el agua de lluvia contiene concentraciones muy bajas de sales, siendo necesario la incorporación de estas de manera diaria.</w:t>
      </w:r>
    </w:p>
    <w:p>
      <w:pPr>
        <w:spacing w:after="0" w:line="360" w:lineRule="auto"/>
        <w:jc w:val="both"/>
        <w:sectPr>
          <w:pgSz w:w="12240" w:h="15840"/>
          <w:pgMar w:header="725" w:footer="1084" w:top="1340" w:bottom="1280" w:left="920" w:right="1200"/>
        </w:sectPr>
      </w:pPr>
    </w:p>
    <w:p>
      <w:pPr>
        <w:pStyle w:val="BodyText"/>
        <w:spacing w:before="4"/>
        <w:rPr>
          <w:sz w:val="15"/>
        </w:rPr>
      </w:pPr>
    </w:p>
    <w:p>
      <w:pPr>
        <w:pStyle w:val="BodyText"/>
        <w:ind w:left="880"/>
        <w:rPr>
          <w:sz w:val="20"/>
        </w:rPr>
      </w:pPr>
      <w:r>
        <w:rPr>
          <w:sz w:val="20"/>
        </w:rPr>
        <w:drawing>
          <wp:inline distT="0" distB="0" distL="0" distR="0">
            <wp:extent cx="5481074" cy="3585876"/>
            <wp:effectExtent l="0" t="0" r="0" b="0"/>
            <wp:docPr id="75" name="image111.jpeg" descr=""/>
            <wp:cNvGraphicFramePr>
              <a:graphicFrameLocks noChangeAspect="1"/>
            </wp:cNvGraphicFramePr>
            <a:graphic>
              <a:graphicData uri="http://schemas.openxmlformats.org/drawingml/2006/picture">
                <pic:pic>
                  <pic:nvPicPr>
                    <pic:cNvPr id="76" name="image111.jpeg"/>
                    <pic:cNvPicPr/>
                  </pic:nvPicPr>
                  <pic:blipFill>
                    <a:blip r:embed="rId119" cstate="print"/>
                    <a:stretch>
                      <a:fillRect/>
                    </a:stretch>
                  </pic:blipFill>
                  <pic:spPr>
                    <a:xfrm>
                      <a:off x="0" y="0"/>
                      <a:ext cx="5481074" cy="3585876"/>
                    </a:xfrm>
                    <a:prstGeom prst="rect">
                      <a:avLst/>
                    </a:prstGeom>
                  </pic:spPr>
                </pic:pic>
              </a:graphicData>
            </a:graphic>
          </wp:inline>
        </w:drawing>
      </w:r>
      <w:r>
        <w:rPr>
          <w:sz w:val="20"/>
        </w:rPr>
      </w:r>
    </w:p>
    <w:p>
      <w:pPr>
        <w:pStyle w:val="BodyText"/>
        <w:spacing w:before="1"/>
        <w:rPr>
          <w:sz w:val="6"/>
        </w:rPr>
      </w:pPr>
    </w:p>
    <w:p>
      <w:pPr>
        <w:spacing w:before="77"/>
        <w:ind w:left="1108" w:right="0" w:hanging="70"/>
        <w:jc w:val="left"/>
        <w:rPr>
          <w:b/>
          <w:sz w:val="18"/>
        </w:rPr>
      </w:pPr>
      <w:r>
        <w:rPr>
          <w:b/>
          <w:sz w:val="18"/>
        </w:rPr>
        <w:t>Figura 55. Representación gráfica de los valores puntuales en el SRA a la entrada del percolador.</w:t>
      </w:r>
    </w:p>
    <w:p>
      <w:pPr>
        <w:pStyle w:val="BodyText"/>
        <w:rPr>
          <w:b/>
          <w:sz w:val="20"/>
        </w:rPr>
      </w:pPr>
    </w:p>
    <w:p>
      <w:pPr>
        <w:pStyle w:val="BodyText"/>
        <w:spacing w:before="8"/>
        <w:rPr>
          <w:b/>
          <w:sz w:val="11"/>
        </w:rPr>
      </w:pPr>
      <w:r>
        <w:rPr/>
        <w:drawing>
          <wp:anchor distT="0" distB="0" distL="0" distR="0" allowOverlap="1" layoutInCell="1" locked="0" behindDoc="0" simplePos="0" relativeHeight="8824">
            <wp:simplePos x="0" y="0"/>
            <wp:positionH relativeFrom="page">
              <wp:posOffset>1115567</wp:posOffset>
            </wp:positionH>
            <wp:positionV relativeFrom="paragraph">
              <wp:posOffset>110153</wp:posOffset>
            </wp:positionV>
            <wp:extent cx="5595283" cy="3662172"/>
            <wp:effectExtent l="0" t="0" r="0" b="0"/>
            <wp:wrapTopAndBottom/>
            <wp:docPr id="77" name="image112.jpeg" descr=""/>
            <wp:cNvGraphicFramePr>
              <a:graphicFrameLocks noChangeAspect="1"/>
            </wp:cNvGraphicFramePr>
            <a:graphic>
              <a:graphicData uri="http://schemas.openxmlformats.org/drawingml/2006/picture">
                <pic:pic>
                  <pic:nvPicPr>
                    <pic:cNvPr id="78" name="image112.jpeg"/>
                    <pic:cNvPicPr/>
                  </pic:nvPicPr>
                  <pic:blipFill>
                    <a:blip r:embed="rId120" cstate="print"/>
                    <a:stretch>
                      <a:fillRect/>
                    </a:stretch>
                  </pic:blipFill>
                  <pic:spPr>
                    <a:xfrm>
                      <a:off x="0" y="0"/>
                      <a:ext cx="5595283" cy="3662172"/>
                    </a:xfrm>
                    <a:prstGeom prst="rect">
                      <a:avLst/>
                    </a:prstGeom>
                  </pic:spPr>
                </pic:pic>
              </a:graphicData>
            </a:graphic>
          </wp:anchor>
        </w:drawing>
      </w:r>
    </w:p>
    <w:p>
      <w:pPr>
        <w:spacing w:before="47"/>
        <w:ind w:left="1108" w:right="0" w:firstLine="0"/>
        <w:jc w:val="left"/>
        <w:rPr>
          <w:b/>
          <w:sz w:val="18"/>
        </w:rPr>
      </w:pPr>
      <w:r>
        <w:rPr>
          <w:b/>
          <w:sz w:val="18"/>
        </w:rPr>
        <w:t>Figura 56. Representación gráfica de los valores puntuales en el SRA a la salida del percolador.</w:t>
      </w:r>
    </w:p>
    <w:p>
      <w:pPr>
        <w:spacing w:after="0"/>
        <w:jc w:val="left"/>
        <w:rPr>
          <w:sz w:val="18"/>
        </w:rPr>
        <w:sectPr>
          <w:pgSz w:w="12240" w:h="15840"/>
          <w:pgMar w:header="725" w:footer="1084" w:top="1340" w:bottom="1280" w:left="920" w:right="1200"/>
        </w:sectPr>
      </w:pPr>
    </w:p>
    <w:p>
      <w:pPr>
        <w:pStyle w:val="BodyText"/>
        <w:spacing w:before="4"/>
        <w:rPr>
          <w:b/>
          <w:sz w:val="15"/>
        </w:rPr>
      </w:pPr>
    </w:p>
    <w:p>
      <w:pPr>
        <w:pStyle w:val="BodyText"/>
        <w:ind w:left="1016"/>
        <w:rPr>
          <w:sz w:val="20"/>
        </w:rPr>
      </w:pPr>
      <w:r>
        <w:rPr>
          <w:sz w:val="20"/>
        </w:rPr>
        <w:drawing>
          <wp:inline distT="0" distB="0" distL="0" distR="0">
            <wp:extent cx="5363821" cy="3513963"/>
            <wp:effectExtent l="0" t="0" r="0" b="0"/>
            <wp:docPr id="79" name="image113.jpeg" descr=""/>
            <wp:cNvGraphicFramePr>
              <a:graphicFrameLocks noChangeAspect="1"/>
            </wp:cNvGraphicFramePr>
            <a:graphic>
              <a:graphicData uri="http://schemas.openxmlformats.org/drawingml/2006/picture">
                <pic:pic>
                  <pic:nvPicPr>
                    <pic:cNvPr id="80" name="image113.jpeg"/>
                    <pic:cNvPicPr/>
                  </pic:nvPicPr>
                  <pic:blipFill>
                    <a:blip r:embed="rId121" cstate="print"/>
                    <a:stretch>
                      <a:fillRect/>
                    </a:stretch>
                  </pic:blipFill>
                  <pic:spPr>
                    <a:xfrm>
                      <a:off x="0" y="0"/>
                      <a:ext cx="5363821" cy="3513963"/>
                    </a:xfrm>
                    <a:prstGeom prst="rect">
                      <a:avLst/>
                    </a:prstGeom>
                  </pic:spPr>
                </pic:pic>
              </a:graphicData>
            </a:graphic>
          </wp:inline>
        </w:drawing>
      </w:r>
      <w:r>
        <w:rPr>
          <w:sz w:val="20"/>
        </w:rPr>
      </w:r>
    </w:p>
    <w:p>
      <w:pPr>
        <w:spacing w:before="74"/>
        <w:ind w:left="3834" w:right="729" w:hanging="2806"/>
        <w:jc w:val="left"/>
        <w:rPr>
          <w:b/>
          <w:sz w:val="18"/>
        </w:rPr>
      </w:pPr>
      <w:r>
        <w:rPr/>
        <w:drawing>
          <wp:anchor distT="0" distB="0" distL="0" distR="0" allowOverlap="1" layoutInCell="1" locked="0" behindDoc="0" simplePos="0" relativeHeight="8848">
            <wp:simplePos x="0" y="0"/>
            <wp:positionH relativeFrom="page">
              <wp:posOffset>1153667</wp:posOffset>
            </wp:positionH>
            <wp:positionV relativeFrom="paragraph">
              <wp:posOffset>390419</wp:posOffset>
            </wp:positionV>
            <wp:extent cx="5482224" cy="3585876"/>
            <wp:effectExtent l="0" t="0" r="0" b="0"/>
            <wp:wrapTopAndBottom/>
            <wp:docPr id="81" name="image114.jpeg" descr=""/>
            <wp:cNvGraphicFramePr>
              <a:graphicFrameLocks noChangeAspect="1"/>
            </wp:cNvGraphicFramePr>
            <a:graphic>
              <a:graphicData uri="http://schemas.openxmlformats.org/drawingml/2006/picture">
                <pic:pic>
                  <pic:nvPicPr>
                    <pic:cNvPr id="82" name="image114.jpeg"/>
                    <pic:cNvPicPr/>
                  </pic:nvPicPr>
                  <pic:blipFill>
                    <a:blip r:embed="rId122" cstate="print"/>
                    <a:stretch>
                      <a:fillRect/>
                    </a:stretch>
                  </pic:blipFill>
                  <pic:spPr>
                    <a:xfrm>
                      <a:off x="0" y="0"/>
                      <a:ext cx="5482224" cy="3585876"/>
                    </a:xfrm>
                    <a:prstGeom prst="rect">
                      <a:avLst/>
                    </a:prstGeom>
                  </pic:spPr>
                </pic:pic>
              </a:graphicData>
            </a:graphic>
          </wp:anchor>
        </w:drawing>
      </w:r>
      <w:r>
        <w:rPr>
          <w:b/>
          <w:sz w:val="18"/>
        </w:rPr>
        <w:t>Figura 57. Representación gráfica de los valores puntuales en el SRA a salida del filtro de arena y efluente del tren de tratamiento.</w:t>
      </w:r>
    </w:p>
    <w:p>
      <w:pPr>
        <w:spacing w:before="97"/>
        <w:ind w:left="3803" w:right="833" w:hanging="2679"/>
        <w:jc w:val="left"/>
        <w:rPr>
          <w:b/>
          <w:sz w:val="18"/>
        </w:rPr>
      </w:pPr>
      <w:r>
        <w:rPr>
          <w:b/>
          <w:sz w:val="18"/>
        </w:rPr>
        <w:t>Figura 58. Representación gráfica de los valores puntuales en el SRA a la salida del estanque e influente del tren de tratamiento.</w:t>
      </w:r>
    </w:p>
    <w:p>
      <w:pPr>
        <w:spacing w:after="0"/>
        <w:jc w:val="left"/>
        <w:rPr>
          <w:sz w:val="18"/>
        </w:rPr>
        <w:sectPr>
          <w:pgSz w:w="12240" w:h="15840"/>
          <w:pgMar w:header="725" w:footer="1084" w:top="1340" w:bottom="1280" w:left="920" w:right="1200"/>
        </w:sectPr>
      </w:pPr>
    </w:p>
    <w:p>
      <w:pPr>
        <w:pStyle w:val="BodyText"/>
        <w:spacing w:before="10"/>
        <w:rPr>
          <w:b/>
          <w:sz w:val="8"/>
        </w:rPr>
      </w:pPr>
    </w:p>
    <w:p>
      <w:pPr>
        <w:pStyle w:val="BodyText"/>
        <w:spacing w:line="360" w:lineRule="auto" w:before="73"/>
        <w:ind w:left="781" w:right="498"/>
        <w:jc w:val="both"/>
      </w:pPr>
      <w:r>
        <w:rPr/>
        <w:t>De manera puntual el monitoreo del el efluente del tren de tratamiento muestra que los parámetros de control se encontraron en la zona óptima y de tolerancia para el cultivo. Algunos datos se determinaron en zonas letales, estos muestreos fueron tomados después de la falla eléctrica y cuando el biofiltro no estaba maduro (figura 55 a la 58).</w:t>
      </w:r>
    </w:p>
    <w:p>
      <w:pPr>
        <w:pStyle w:val="BodyText"/>
        <w:spacing w:before="9"/>
        <w:rPr>
          <w:sz w:val="17"/>
        </w:rPr>
      </w:pPr>
    </w:p>
    <w:p>
      <w:pPr>
        <w:pStyle w:val="BodyText"/>
        <w:spacing w:line="360" w:lineRule="auto"/>
        <w:ind w:left="781" w:right="498"/>
        <w:jc w:val="both"/>
      </w:pPr>
      <w:r>
        <w:rPr/>
        <w:t>Una característica del uso de agua pluvial en el SRA es la baja concentración de alcalinidad y valores ácidos para el pH, el control de estos parámetros fue difícil, las figuras 55, 56, 57 y 58 muestran valores muy dispersos para estos parámetros, los cuales tienden aún más a variar por el incremento de ácidos minerales que consumen parte de la alcalinidad.</w:t>
      </w:r>
    </w:p>
    <w:p>
      <w:pPr>
        <w:spacing w:after="0" w:line="360" w:lineRule="auto"/>
        <w:jc w:val="both"/>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42" w:lineRule="auto"/>
        <w:ind w:left="3083" w:right="2800"/>
        <w:jc w:val="center"/>
      </w:pPr>
      <w:bookmarkStart w:name="_TOC_250015" w:id="174"/>
      <w:bookmarkStart w:name="Capítulo 6. Conclusiones y recomendacion" w:id="175"/>
      <w:r>
        <w:rPr/>
      </w:r>
      <w:r>
        <w:rPr>
          <w:w w:val="105"/>
        </w:rPr>
        <w:t>CAPÍTULO 6 CONCLUSIONES Y </w:t>
      </w:r>
      <w:bookmarkEnd w:id="174"/>
      <w:r>
        <w:rPr/>
        <w:t>RECOMENDACIONES</w:t>
      </w:r>
    </w:p>
    <w:p>
      <w:pPr>
        <w:spacing w:after="0" w:line="242" w:lineRule="auto"/>
        <w:jc w:val="center"/>
        <w:sectPr>
          <w:pgSz w:w="12240" w:h="15840"/>
          <w:pgMar w:header="725" w:footer="1084" w:top="1340" w:bottom="1280" w:left="920" w:right="1200"/>
        </w:sectPr>
      </w:pPr>
    </w:p>
    <w:p>
      <w:pPr>
        <w:pStyle w:val="Heading5"/>
        <w:numPr>
          <w:ilvl w:val="0"/>
          <w:numId w:val="7"/>
        </w:numPr>
        <w:tabs>
          <w:tab w:pos="1029" w:val="left" w:leader="none"/>
        </w:tabs>
        <w:spacing w:line="240" w:lineRule="auto" w:before="172" w:after="0"/>
        <w:ind w:left="1028" w:right="0" w:hanging="247"/>
        <w:jc w:val="both"/>
      </w:pPr>
      <w:r>
        <w:rPr/>
        <w:t>CONCLUSIONES Y</w:t>
      </w:r>
      <w:r>
        <w:rPr>
          <w:spacing w:val="-13"/>
        </w:rPr>
        <w:t> </w:t>
      </w:r>
      <w:r>
        <w:rPr/>
        <w:t>RECOMENDACIONES</w:t>
      </w:r>
    </w:p>
    <w:p>
      <w:pPr>
        <w:pStyle w:val="BodyText"/>
        <w:spacing w:before="3"/>
        <w:rPr>
          <w:b/>
          <w:sz w:val="28"/>
        </w:rPr>
      </w:pPr>
    </w:p>
    <w:p>
      <w:pPr>
        <w:pStyle w:val="Heading5"/>
        <w:numPr>
          <w:ilvl w:val="1"/>
          <w:numId w:val="7"/>
        </w:numPr>
        <w:tabs>
          <w:tab w:pos="1211" w:val="left" w:leader="none"/>
        </w:tabs>
        <w:spacing w:line="240" w:lineRule="auto" w:before="0" w:after="0"/>
        <w:ind w:left="1210" w:right="0" w:hanging="429"/>
        <w:jc w:val="both"/>
      </w:pPr>
      <w:bookmarkStart w:name="_TOC_250014" w:id="176"/>
      <w:bookmarkStart w:name="6.1. Conclusiones" w:id="177"/>
      <w:r>
        <w:rPr>
          <w:b w:val="0"/>
        </w:rPr>
      </w:r>
      <w:bookmarkEnd w:id="177"/>
      <w:bookmarkStart w:name="6.1. Conclusiones" w:id="178"/>
      <w:r>
        <w:rPr/>
        <w:t>C</w:t>
      </w:r>
      <w:bookmarkEnd w:id="176"/>
      <w:r>
        <w:rPr/>
        <w:t>ONCLUSIONES</w:t>
      </w:r>
    </w:p>
    <w:p>
      <w:pPr>
        <w:pStyle w:val="BodyText"/>
        <w:spacing w:before="5"/>
        <w:rPr>
          <w:b/>
          <w:sz w:val="28"/>
        </w:rPr>
      </w:pPr>
    </w:p>
    <w:p>
      <w:pPr>
        <w:pStyle w:val="Heading5"/>
        <w:numPr>
          <w:ilvl w:val="2"/>
          <w:numId w:val="7"/>
        </w:numPr>
        <w:tabs>
          <w:tab w:pos="1396" w:val="left" w:leader="none"/>
        </w:tabs>
        <w:spacing w:line="240" w:lineRule="auto" w:before="1" w:after="0"/>
        <w:ind w:left="1395" w:right="0" w:hanging="614"/>
        <w:jc w:val="both"/>
      </w:pPr>
      <w:bookmarkStart w:name="_TOC_250013" w:id="179"/>
      <w:bookmarkStart w:name="6.1.1. Cosecha de agua pluvial" w:id="180"/>
      <w:r>
        <w:rPr>
          <w:b w:val="0"/>
        </w:rPr>
      </w:r>
      <w:bookmarkEnd w:id="180"/>
      <w:bookmarkStart w:name="6.1.1. Cosecha de agua pluvial" w:id="181"/>
      <w:r>
        <w:rPr/>
        <w:t>C</w:t>
      </w:r>
      <w:r>
        <w:rPr/>
        <w:t>OSECHA DE AGUA</w:t>
      </w:r>
      <w:r>
        <w:rPr>
          <w:spacing w:val="-14"/>
        </w:rPr>
        <w:t> </w:t>
      </w:r>
      <w:bookmarkEnd w:id="179"/>
      <w:r>
        <w:rPr/>
        <w:t>PLUVIAL</w:t>
      </w:r>
    </w:p>
    <w:p>
      <w:pPr>
        <w:pStyle w:val="BodyText"/>
        <w:spacing w:before="5"/>
        <w:rPr>
          <w:b/>
          <w:sz w:val="28"/>
        </w:rPr>
      </w:pPr>
    </w:p>
    <w:p>
      <w:pPr>
        <w:pStyle w:val="BodyText"/>
        <w:spacing w:line="360" w:lineRule="auto" w:before="1"/>
        <w:ind w:left="781" w:right="498"/>
        <w:jc w:val="both"/>
      </w:pPr>
      <w:r>
        <w:rPr/>
        <w:t>El agua pluvial cosechada es una opción viable para su uso en cultivos acuícolas cerrados. La baja concentración de alcalinidad y pH contenida en este tipo de agua hace necesario equilibrar el contenido de iones y cationes disueltos en el agua.</w:t>
      </w:r>
    </w:p>
    <w:p>
      <w:pPr>
        <w:pStyle w:val="BodyText"/>
        <w:spacing w:before="7"/>
        <w:rPr>
          <w:sz w:val="17"/>
        </w:rPr>
      </w:pPr>
    </w:p>
    <w:p>
      <w:pPr>
        <w:pStyle w:val="BodyText"/>
        <w:spacing w:line="360" w:lineRule="auto"/>
        <w:ind w:left="781" w:right="498"/>
        <w:jc w:val="both"/>
      </w:pPr>
      <w:r>
        <w:rPr/>
        <w:t>Para adecuar la calidad del agua para el cultivo de la trucha es necesario agregar una combinación de bicarbonato, sal marina y cal cuyas cantidades varían de acuerdo a las concentraciones de iones y cationes disueltos en el agua.</w:t>
      </w:r>
    </w:p>
    <w:p>
      <w:pPr>
        <w:pStyle w:val="BodyText"/>
        <w:spacing w:before="9"/>
        <w:rPr>
          <w:sz w:val="17"/>
        </w:rPr>
      </w:pPr>
    </w:p>
    <w:p>
      <w:pPr>
        <w:pStyle w:val="BodyText"/>
        <w:spacing w:line="362" w:lineRule="auto"/>
        <w:ind w:left="781" w:right="499"/>
        <w:jc w:val="both"/>
      </w:pPr>
      <w:r>
        <w:rPr/>
        <w:t>La cantidad de agua de lluvia utilizada para producir un kilo de carne de trucha fue de 178 L, para la región donde se llevó a cabo el estudio (19</w:t>
      </w:r>
      <w:r>
        <w:rPr>
          <w:rFonts w:ascii="Calibri" w:hAnsi="Calibri"/>
        </w:rPr>
        <w:t>⁰ </w:t>
      </w:r>
      <w:r>
        <w:rPr/>
        <w:t>23’ 5835’’N, 99</w:t>
      </w:r>
      <w:r>
        <w:rPr>
          <w:rFonts w:ascii="Calibri" w:hAnsi="Calibri"/>
        </w:rPr>
        <w:t>⁰ </w:t>
      </w:r>
      <w:r>
        <w:rPr/>
        <w:t>42’ 50,33’’W).</w:t>
      </w:r>
    </w:p>
    <w:p>
      <w:pPr>
        <w:pStyle w:val="BodyText"/>
        <w:spacing w:line="360" w:lineRule="auto" w:before="179"/>
        <w:ind w:left="781" w:right="497"/>
        <w:jc w:val="both"/>
      </w:pPr>
      <w:r>
        <w:rPr/>
        <w:t>Se requieren 0,22 m</w:t>
      </w:r>
      <w:r>
        <w:rPr>
          <w:position w:val="10"/>
          <w:sz w:val="13"/>
        </w:rPr>
        <w:t>2 </w:t>
      </w:r>
      <w:r>
        <w:rPr/>
        <w:t>de superficie expuesta a la lluvia para su cosecha por kilogramo de trucha a cultivar.</w:t>
      </w:r>
    </w:p>
    <w:p>
      <w:pPr>
        <w:pStyle w:val="BodyText"/>
        <w:spacing w:before="4"/>
        <w:rPr>
          <w:sz w:val="17"/>
        </w:rPr>
      </w:pPr>
    </w:p>
    <w:p>
      <w:pPr>
        <w:pStyle w:val="Heading5"/>
        <w:numPr>
          <w:ilvl w:val="2"/>
          <w:numId w:val="7"/>
        </w:numPr>
        <w:tabs>
          <w:tab w:pos="1396" w:val="left" w:leader="none"/>
        </w:tabs>
        <w:spacing w:line="240" w:lineRule="auto" w:before="0" w:after="0"/>
        <w:ind w:left="1395" w:right="0" w:hanging="614"/>
        <w:jc w:val="both"/>
      </w:pPr>
      <w:bookmarkStart w:name="_TOC_250012" w:id="182"/>
      <w:bookmarkStart w:name="6.1.2. Diseño del SRA" w:id="183"/>
      <w:r>
        <w:rPr>
          <w:b w:val="0"/>
        </w:rPr>
      </w:r>
      <w:bookmarkEnd w:id="183"/>
      <w:bookmarkStart w:name="6.1.2. Diseño del SRA" w:id="184"/>
      <w:r>
        <w:rPr/>
        <w:t>D</w:t>
      </w:r>
      <w:r>
        <w:rPr/>
        <w:t>ISEÑO DEL</w:t>
      </w:r>
      <w:r>
        <w:rPr>
          <w:spacing w:val="-7"/>
        </w:rPr>
        <w:t> </w:t>
      </w:r>
      <w:bookmarkEnd w:id="182"/>
      <w:r>
        <w:rPr/>
        <w:t>SRA</w:t>
      </w:r>
    </w:p>
    <w:p>
      <w:pPr>
        <w:pStyle w:val="BodyText"/>
        <w:spacing w:before="8"/>
        <w:rPr>
          <w:b/>
          <w:sz w:val="28"/>
        </w:rPr>
      </w:pPr>
    </w:p>
    <w:p>
      <w:pPr>
        <w:pStyle w:val="BodyText"/>
        <w:spacing w:line="360" w:lineRule="auto"/>
        <w:ind w:left="781" w:right="496"/>
        <w:jc w:val="both"/>
      </w:pPr>
      <w:r>
        <w:rPr/>
        <w:t>La contribución tecnológica del prototipo permite tener un manejo más adecuado lo que  se puede traducir en un mejor crecimiento y menor tiempo de cultivo. Siendo la parte medular del sistema de tratamiento que hace posible la recirculación el conjunto de biofiltros (percolador – filtro de</w:t>
      </w:r>
      <w:r>
        <w:rPr>
          <w:spacing w:val="-15"/>
        </w:rPr>
        <w:t> </w:t>
      </w:r>
      <w:r>
        <w:rPr/>
        <w:t>arena).</w:t>
      </w:r>
    </w:p>
    <w:p>
      <w:pPr>
        <w:pStyle w:val="BodyText"/>
        <w:spacing w:before="7"/>
        <w:rPr>
          <w:sz w:val="17"/>
        </w:rPr>
      </w:pPr>
    </w:p>
    <w:p>
      <w:pPr>
        <w:pStyle w:val="Heading5"/>
        <w:numPr>
          <w:ilvl w:val="2"/>
          <w:numId w:val="7"/>
        </w:numPr>
        <w:tabs>
          <w:tab w:pos="1394" w:val="left" w:leader="none"/>
        </w:tabs>
        <w:spacing w:line="240" w:lineRule="auto" w:before="0" w:after="0"/>
        <w:ind w:left="1393" w:right="0" w:hanging="612"/>
        <w:jc w:val="both"/>
      </w:pPr>
      <w:bookmarkStart w:name="_TOC_250011" w:id="185"/>
      <w:bookmarkStart w:name="6.1.3 Maduración del sistema" w:id="186"/>
      <w:r>
        <w:rPr>
          <w:b w:val="0"/>
        </w:rPr>
      </w:r>
      <w:bookmarkEnd w:id="186"/>
      <w:bookmarkStart w:name="6.1.3 Maduración del sistema" w:id="187"/>
      <w:r>
        <w:rPr/>
        <w:t>M</w:t>
      </w:r>
      <w:r>
        <w:rPr/>
        <w:t>ADURACIÓN DEL</w:t>
      </w:r>
      <w:r>
        <w:rPr>
          <w:spacing w:val="-5"/>
        </w:rPr>
        <w:t> </w:t>
      </w:r>
      <w:bookmarkEnd w:id="185"/>
      <w:r>
        <w:rPr/>
        <w:t>SISTEMA</w:t>
      </w:r>
    </w:p>
    <w:p>
      <w:pPr>
        <w:pStyle w:val="BodyText"/>
        <w:spacing w:before="5"/>
        <w:rPr>
          <w:b/>
          <w:sz w:val="28"/>
        </w:rPr>
      </w:pPr>
    </w:p>
    <w:p>
      <w:pPr>
        <w:pStyle w:val="BodyText"/>
        <w:spacing w:line="360" w:lineRule="auto" w:before="1"/>
        <w:ind w:left="781" w:right="499"/>
        <w:jc w:val="both"/>
      </w:pPr>
      <w:r>
        <w:rPr/>
        <w:t>La maduración del sistema se alcanzó cuando se tuvo una concentración constante de nitrógeno amoniacal total menor a 0,2 mg/L.</w:t>
      </w:r>
    </w:p>
    <w:p>
      <w:pPr>
        <w:pStyle w:val="BodyText"/>
        <w:spacing w:before="7"/>
        <w:rPr>
          <w:sz w:val="17"/>
        </w:rPr>
      </w:pPr>
    </w:p>
    <w:p>
      <w:pPr>
        <w:pStyle w:val="Heading5"/>
        <w:numPr>
          <w:ilvl w:val="2"/>
          <w:numId w:val="7"/>
        </w:numPr>
        <w:tabs>
          <w:tab w:pos="1396" w:val="left" w:leader="none"/>
        </w:tabs>
        <w:spacing w:line="240" w:lineRule="auto" w:before="0" w:after="0"/>
        <w:ind w:left="1395" w:right="0" w:hanging="614"/>
        <w:jc w:val="both"/>
      </w:pPr>
      <w:bookmarkStart w:name="_TOC_250010" w:id="188"/>
      <w:bookmarkStart w:name="6.1.4. Desarrollo de los organismos acuá" w:id="189"/>
      <w:r>
        <w:rPr>
          <w:b w:val="0"/>
        </w:rPr>
      </w:r>
      <w:bookmarkEnd w:id="189"/>
      <w:bookmarkStart w:name="6.1.4. Desarrollo de los organismos acuá" w:id="190"/>
      <w:r>
        <w:rPr/>
        <w:t>D</w:t>
      </w:r>
      <w:r>
        <w:rPr/>
        <w:t>ESARROLLO DE LOS ORGANISMOS</w:t>
      </w:r>
      <w:r>
        <w:rPr>
          <w:spacing w:val="-21"/>
        </w:rPr>
        <w:t> </w:t>
      </w:r>
      <w:bookmarkEnd w:id="188"/>
      <w:r>
        <w:rPr/>
        <w:t>ACUÁTICOS</w:t>
      </w:r>
    </w:p>
    <w:p>
      <w:pPr>
        <w:pStyle w:val="BodyText"/>
        <w:spacing w:before="5"/>
        <w:rPr>
          <w:b/>
          <w:sz w:val="28"/>
        </w:rPr>
      </w:pPr>
    </w:p>
    <w:p>
      <w:pPr>
        <w:pStyle w:val="BodyText"/>
        <w:spacing w:line="352" w:lineRule="auto" w:before="1"/>
        <w:ind w:left="781" w:right="499"/>
        <w:jc w:val="both"/>
      </w:pPr>
      <w:r>
        <w:rPr/>
        <w:t>El desarrollo observado en el presente trabajo se refleja en una biomasa alcanzada de 180,42 kg; una densidad de 28,73 kg/m</w:t>
      </w:r>
      <w:r>
        <w:rPr>
          <w:position w:val="10"/>
          <w:sz w:val="13"/>
        </w:rPr>
        <w:t>3</w:t>
      </w:r>
      <w:r>
        <w:rPr/>
        <w:t>; un caudal de 2,1 L/s, un recambio diario de agua limpia de lluvia de 2,21 %.</w:t>
      </w:r>
    </w:p>
    <w:p>
      <w:pPr>
        <w:spacing w:after="0" w:line="352"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7"/>
        <w:jc w:val="both"/>
      </w:pPr>
      <w:r>
        <w:rPr/>
        <w:t>El crecimiento observado de los organismos en el sistema (4,23 g/d) fue mayor al reportado por la literatura 0,95 g/d (Blanco, 1995), 0,3 g/d (Klontz, 1991) y 0,8 g/d (Ingram</w:t>
      </w:r>
    </w:p>
    <w:p>
      <w:pPr>
        <w:spacing w:before="3"/>
        <w:ind w:left="781" w:right="0" w:firstLine="0"/>
        <w:jc w:val="both"/>
        <w:rPr>
          <w:sz w:val="22"/>
        </w:rPr>
      </w:pPr>
      <w:r>
        <w:rPr>
          <w:i/>
          <w:sz w:val="22"/>
        </w:rPr>
        <w:t>et al</w:t>
      </w:r>
      <w:r>
        <w:rPr>
          <w:sz w:val="22"/>
        </w:rPr>
        <w:t>., 2002).</w:t>
      </w:r>
    </w:p>
    <w:p>
      <w:pPr>
        <w:pStyle w:val="BodyText"/>
        <w:spacing w:before="5"/>
        <w:rPr>
          <w:sz w:val="28"/>
        </w:rPr>
      </w:pPr>
    </w:p>
    <w:p>
      <w:pPr>
        <w:pStyle w:val="BodyText"/>
        <w:spacing w:line="360" w:lineRule="auto" w:before="1"/>
        <w:ind w:left="781" w:right="498"/>
        <w:jc w:val="both"/>
      </w:pPr>
      <w:r>
        <w:rPr/>
        <w:t>En el SRA estudiado se obtienen crecimientos mejores a lo reportado en investigaciones anteriores en la región del altiplano mexicano con sistemas de recirculación acuícola.</w:t>
      </w:r>
    </w:p>
    <w:p>
      <w:pPr>
        <w:pStyle w:val="BodyText"/>
        <w:spacing w:before="4"/>
        <w:rPr>
          <w:sz w:val="17"/>
        </w:rPr>
      </w:pPr>
    </w:p>
    <w:p>
      <w:pPr>
        <w:pStyle w:val="Heading5"/>
        <w:numPr>
          <w:ilvl w:val="2"/>
          <w:numId w:val="7"/>
        </w:numPr>
        <w:tabs>
          <w:tab w:pos="1396" w:val="left" w:leader="none"/>
        </w:tabs>
        <w:spacing w:line="240" w:lineRule="auto" w:before="0" w:after="0"/>
        <w:ind w:left="1395" w:right="0" w:hanging="614"/>
        <w:jc w:val="both"/>
      </w:pPr>
      <w:bookmarkStart w:name="_TOC_250009" w:id="191"/>
      <w:bookmarkStart w:name="6.1.5. Desempeño del tren de tratamiento" w:id="192"/>
      <w:r>
        <w:rPr>
          <w:b w:val="0"/>
        </w:rPr>
      </w:r>
      <w:bookmarkEnd w:id="192"/>
      <w:bookmarkStart w:name="6.1.5. Desempeño del tren de tratamiento" w:id="193"/>
      <w:r>
        <w:rPr/>
        <w:t>D</w:t>
      </w:r>
      <w:r>
        <w:rPr/>
        <w:t>ESEMPEÑO DEL TREN DE TRATAMIENTO DEL</w:t>
      </w:r>
      <w:r>
        <w:rPr>
          <w:spacing w:val="-15"/>
        </w:rPr>
        <w:t> </w:t>
      </w:r>
      <w:bookmarkEnd w:id="191"/>
      <w:r>
        <w:rPr/>
        <w:t>SRA</w:t>
      </w:r>
    </w:p>
    <w:p>
      <w:pPr>
        <w:pStyle w:val="BodyText"/>
        <w:spacing w:before="8"/>
        <w:rPr>
          <w:b/>
          <w:sz w:val="28"/>
        </w:rPr>
      </w:pPr>
    </w:p>
    <w:p>
      <w:pPr>
        <w:pStyle w:val="BodyText"/>
        <w:spacing w:line="360" w:lineRule="auto"/>
        <w:ind w:left="781" w:right="499"/>
        <w:jc w:val="both"/>
      </w:pPr>
      <w:r>
        <w:rPr/>
        <w:t>La operación del filtro de arena permitió una remoción general del sistema  del 78,99 ± 0,44 % de nitrógeno amoniacal y un 44,54 ± 0,62 % de SST.</w:t>
      </w:r>
    </w:p>
    <w:p>
      <w:pPr>
        <w:pStyle w:val="BodyText"/>
        <w:spacing w:before="7"/>
        <w:rPr>
          <w:sz w:val="17"/>
        </w:rPr>
      </w:pPr>
    </w:p>
    <w:p>
      <w:pPr>
        <w:pStyle w:val="BodyText"/>
        <w:spacing w:line="350" w:lineRule="auto"/>
        <w:ind w:left="781" w:right="497"/>
        <w:jc w:val="both"/>
      </w:pPr>
      <w:r>
        <w:rPr/>
        <w:t>La generación de nitrógeno amoniacal en el SRA fue, en el estanque de 107,18 g N-NH</w:t>
      </w:r>
      <w:r>
        <w:rPr>
          <w:position w:val="-2"/>
          <w:sz w:val="13"/>
        </w:rPr>
        <w:t>3</w:t>
      </w:r>
      <w:r>
        <w:rPr/>
        <w:t>/d (218,78 %), el biofiltro removió 25,40 g N-NH</w:t>
      </w:r>
      <w:r>
        <w:rPr>
          <w:position w:val="-2"/>
          <w:sz w:val="13"/>
        </w:rPr>
        <w:t>3</w:t>
      </w:r>
      <w:r>
        <w:rPr/>
        <w:t>/d (17,50 %), el filtro de arena descendente removió 70,76 g N-NH</w:t>
      </w:r>
      <w:r>
        <w:rPr>
          <w:position w:val="-2"/>
          <w:sz w:val="13"/>
        </w:rPr>
        <w:t>3</w:t>
      </w:r>
      <w:r>
        <w:rPr/>
        <w:t>/d (59,09 %). La tasa de remoción general fue de 96,08 g N-NH</w:t>
      </w:r>
      <w:r>
        <w:rPr>
          <w:position w:val="-2"/>
          <w:sz w:val="13"/>
        </w:rPr>
        <w:t>3</w:t>
      </w:r>
      <w:r>
        <w:rPr/>
        <w:t>/d (66,23 %).</w:t>
      </w:r>
    </w:p>
    <w:p>
      <w:pPr>
        <w:pStyle w:val="BodyText"/>
        <w:spacing w:line="343" w:lineRule="auto" w:before="196"/>
        <w:ind w:left="781" w:right="496"/>
        <w:jc w:val="both"/>
      </w:pPr>
      <w:r>
        <w:rPr/>
        <w:t>La tasa de generación de nitritos fue de 8,71 (18,18 %) y 13,27 (36,38 %) g N-NO</w:t>
      </w:r>
      <w:r>
        <w:rPr>
          <w:position w:val="-2"/>
          <w:sz w:val="13"/>
        </w:rPr>
        <w:t>2</w:t>
      </w:r>
      <w:r>
        <w:rPr>
          <w:position w:val="10"/>
          <w:sz w:val="13"/>
        </w:rPr>
        <w:t>-</w:t>
      </w:r>
      <w:r>
        <w:rPr/>
        <w:t>/d en el percolador y estanque, respectivamente. En el filtro de arena se obtuvo una tasa de remoción de 20,14 g N-NO</w:t>
      </w:r>
      <w:r>
        <w:rPr>
          <w:position w:val="-2"/>
          <w:sz w:val="13"/>
        </w:rPr>
        <w:t>2</w:t>
      </w:r>
      <w:r>
        <w:rPr>
          <w:position w:val="10"/>
          <w:sz w:val="13"/>
        </w:rPr>
        <w:t>-</w:t>
      </w:r>
      <w:r>
        <w:rPr/>
        <w:t>/d (35,58 %), de manera general la tasa de remoción de este parámetro en el sistema fue de 8,87 g N-NO</w:t>
      </w:r>
      <w:r>
        <w:rPr>
          <w:position w:val="-2"/>
          <w:sz w:val="13"/>
        </w:rPr>
        <w:t>2</w:t>
      </w:r>
      <w:r>
        <w:rPr>
          <w:position w:val="10"/>
          <w:sz w:val="13"/>
        </w:rPr>
        <w:t>-</w:t>
      </w:r>
      <w:r>
        <w:rPr/>
        <w:t>/d (19,56 %).</w:t>
      </w:r>
    </w:p>
    <w:p>
      <w:pPr>
        <w:pStyle w:val="BodyText"/>
        <w:spacing w:line="360" w:lineRule="auto" w:before="198"/>
        <w:ind w:left="781" w:right="496"/>
        <w:jc w:val="both"/>
      </w:pPr>
      <w:r>
        <w:rPr/>
        <w:t>Para la DQO, las tasas de remoción fueron de 484,44 (5,42 %), 506,22 (5,99 %) y  1404,63 (15,02 %) g de DQO/d para el percolador, el filtro de arena y de manera general respectivamente. El proceso de crecimiento de los peces genera materia orgánica, en el estanque, en el orden de 3 083,45 g de DQO/d (38,79</w:t>
      </w:r>
      <w:r>
        <w:rPr>
          <w:spacing w:val="-25"/>
        </w:rPr>
        <w:t> </w:t>
      </w:r>
      <w:r>
        <w:rPr/>
        <w:t>%).</w:t>
      </w:r>
    </w:p>
    <w:p>
      <w:pPr>
        <w:pStyle w:val="BodyText"/>
        <w:spacing w:before="9"/>
        <w:rPr>
          <w:sz w:val="17"/>
        </w:rPr>
      </w:pPr>
    </w:p>
    <w:p>
      <w:pPr>
        <w:pStyle w:val="BodyText"/>
        <w:spacing w:line="360" w:lineRule="auto"/>
        <w:ind w:left="781" w:right="497"/>
        <w:jc w:val="both"/>
      </w:pPr>
      <w:r>
        <w:rPr/>
        <w:t>La generación de los SST en el filtro percolador fue de 19,96 g de SST/d (3,04 %), el estanque de 361,66 g SST/d (96,76 %). La unidad del tren de tratamiento que removió los sólidos fue el filtro de arena (303 g de SST/d; 44,77 %). De manera general la tasa de remoción de sólidos suspendidos totales fue de 286,31 g SST/d (43,38 %).</w:t>
      </w:r>
    </w:p>
    <w:p>
      <w:pPr>
        <w:pStyle w:val="BodyText"/>
        <w:spacing w:before="4"/>
        <w:rPr>
          <w:sz w:val="17"/>
        </w:rPr>
      </w:pPr>
    </w:p>
    <w:p>
      <w:pPr>
        <w:pStyle w:val="Heading5"/>
        <w:numPr>
          <w:ilvl w:val="2"/>
          <w:numId w:val="7"/>
        </w:numPr>
        <w:tabs>
          <w:tab w:pos="1394" w:val="left" w:leader="none"/>
        </w:tabs>
        <w:spacing w:line="240" w:lineRule="auto" w:before="0" w:after="0"/>
        <w:ind w:left="1393" w:right="0" w:hanging="612"/>
        <w:jc w:val="both"/>
      </w:pPr>
      <w:r>
        <w:rPr/>
        <w:t>MODELACIÓN DE LOS PRINCIPALES PROCESOS DEL</w:t>
      </w:r>
      <w:r>
        <w:rPr>
          <w:spacing w:val="-12"/>
        </w:rPr>
        <w:t> </w:t>
      </w:r>
      <w:r>
        <w:rPr/>
        <w:t>SRA</w:t>
      </w:r>
    </w:p>
    <w:p>
      <w:pPr>
        <w:pStyle w:val="BodyText"/>
        <w:spacing w:before="8"/>
        <w:rPr>
          <w:b/>
          <w:sz w:val="28"/>
        </w:rPr>
      </w:pPr>
    </w:p>
    <w:p>
      <w:pPr>
        <w:pStyle w:val="BodyText"/>
        <w:spacing w:line="360" w:lineRule="auto"/>
        <w:ind w:left="781" w:right="497"/>
        <w:jc w:val="both"/>
      </w:pPr>
      <w:r>
        <w:rPr/>
        <w:t>No fue posible llevar a cabo una modelación determinística de los procesos limitantes en el biofiltro del tren de tratamiento, debido a las bajas concentraciones de contaminantes a la entrada y salida de la unidad biológica, la diferencia entre una y otra no son adecuadas para los modelos desarrollados en la</w:t>
      </w:r>
      <w:r>
        <w:rPr>
          <w:spacing w:val="-20"/>
        </w:rPr>
        <w:t> </w:t>
      </w:r>
      <w:r>
        <w:rPr/>
        <w:t>actualidad.</w:t>
      </w:r>
    </w:p>
    <w:p>
      <w:pPr>
        <w:spacing w:after="0" w:line="360" w:lineRule="auto"/>
        <w:jc w:val="both"/>
        <w:sectPr>
          <w:pgSz w:w="12240" w:h="15840"/>
          <w:pgMar w:header="725" w:footer="1084" w:top="1340" w:bottom="1280" w:left="920" w:right="1200"/>
        </w:sectPr>
      </w:pPr>
    </w:p>
    <w:p>
      <w:pPr>
        <w:pStyle w:val="BodyText"/>
        <w:spacing w:before="10"/>
        <w:rPr>
          <w:sz w:val="8"/>
        </w:rPr>
      </w:pPr>
    </w:p>
    <w:p>
      <w:pPr>
        <w:pStyle w:val="BodyText"/>
        <w:spacing w:line="355" w:lineRule="auto" w:before="73"/>
        <w:ind w:left="781" w:right="496"/>
        <w:jc w:val="both"/>
      </w:pPr>
      <w:bookmarkStart w:name="6.1.6. Modelación de los principales pro" w:id="194"/>
      <w:bookmarkEnd w:id="194"/>
      <w:r>
        <w:rPr/>
      </w:r>
      <w:r>
        <w:rPr/>
        <w:t>Ambos biofiltros presentaron una dependencia de primer orden entre la concentración de nitrógeno amoniacal y la TVNA con una fuerte dependencia: R = 0,96 y R</w:t>
      </w:r>
      <w:r>
        <w:rPr>
          <w:position w:val="10"/>
          <w:sz w:val="13"/>
        </w:rPr>
        <w:t>2 </w:t>
      </w:r>
      <w:r>
        <w:rPr/>
        <w:t>= 0,91 para el filtro de arena; R = 0,85 y R</w:t>
      </w:r>
      <w:r>
        <w:rPr>
          <w:position w:val="10"/>
          <w:sz w:val="13"/>
        </w:rPr>
        <w:t>2 </w:t>
      </w:r>
      <w:r>
        <w:rPr/>
        <w:t>= 0,72 para el filtro percolador. El primero presentó un mayor desempeño que el filtro percolador. La dependencia lineal entre la concentración de nitrógeno amoniacal a bajas concentraciones y la TVNA ha sido concurrente en estudios previos donde se evalúa el desempeño de filtros.</w:t>
      </w:r>
    </w:p>
    <w:p>
      <w:pPr>
        <w:pStyle w:val="BodyText"/>
        <w:rPr>
          <w:sz w:val="18"/>
        </w:rPr>
      </w:pPr>
    </w:p>
    <w:p>
      <w:pPr>
        <w:pStyle w:val="BodyText"/>
        <w:spacing w:line="352" w:lineRule="auto"/>
        <w:ind w:left="781" w:right="497"/>
        <w:jc w:val="both"/>
      </w:pPr>
      <w:r>
        <w:rPr/>
        <w:t>Los modelos matemáticos encontrados en este trabajo para la TVNA fueron, para el percolador: TVNA (g N-NH</w:t>
      </w:r>
      <w:r>
        <w:rPr>
          <w:position w:val="-2"/>
          <w:sz w:val="13"/>
        </w:rPr>
        <w:t>3</w:t>
      </w:r>
      <w:r>
        <w:rPr/>
        <w:t>/L h) = 63,083 [(concentración de N-NH</w:t>
      </w:r>
      <w:r>
        <w:rPr>
          <w:position w:val="-2"/>
          <w:sz w:val="13"/>
        </w:rPr>
        <w:t>3 </w:t>
      </w:r>
      <w:r>
        <w:rPr/>
        <w:t>influente (mg/L)] – 6,33; y para el filtro de arena: TVNA (g N-NH</w:t>
      </w:r>
      <w:r>
        <w:rPr>
          <w:position w:val="-2"/>
          <w:sz w:val="13"/>
        </w:rPr>
        <w:t>3</w:t>
      </w:r>
      <w:r>
        <w:rPr/>
        <w:t>/L h) = 228,45 [(concentración de N-NH</w:t>
      </w:r>
      <w:r>
        <w:rPr>
          <w:position w:val="-2"/>
          <w:sz w:val="13"/>
        </w:rPr>
        <w:t>3 </w:t>
      </w:r>
      <w:r>
        <w:rPr/>
        <w:t>influente (mg/L)] + 7,18.</w:t>
      </w:r>
    </w:p>
    <w:p>
      <w:pPr>
        <w:pStyle w:val="BodyText"/>
        <w:spacing w:before="5"/>
        <w:rPr>
          <w:sz w:val="18"/>
        </w:rPr>
      </w:pPr>
    </w:p>
    <w:p>
      <w:pPr>
        <w:pStyle w:val="BodyText"/>
        <w:spacing w:line="355" w:lineRule="auto"/>
        <w:ind w:left="781" w:right="498"/>
        <w:jc w:val="both"/>
      </w:pPr>
      <w:r>
        <w:rPr/>
        <w:t>Comparadas las Tasas Volumétricas de Conversión de Nitrógeno Amoniacal obtenidas en este estudio con los trabajos previos, estas siempre se encontraron por debajo de las reportadas, para el caso del percolador se tiene una baja TVNA (34,99 ± 41,20 g N- NH</w:t>
      </w:r>
      <w:r>
        <w:rPr>
          <w:position w:val="-2"/>
          <w:sz w:val="13"/>
        </w:rPr>
        <w:t>3</w:t>
      </w:r>
      <w:r>
        <w:rPr/>
        <w:t>/m</w:t>
      </w:r>
      <w:r>
        <w:rPr>
          <w:position w:val="10"/>
          <w:sz w:val="13"/>
        </w:rPr>
        <w:t>3 </w:t>
      </w:r>
      <w:r>
        <w:rPr/>
        <w:t>d) y un bajo porcentaje de remoción (19,47 %) causado por diferentes factores como la temperatura, pH por debajo de 7,0, y bajas concentraciones de alcalinidad (45 – 52 mg/L como CaCO</w:t>
      </w:r>
      <w:r>
        <w:rPr>
          <w:position w:val="-2"/>
          <w:sz w:val="13"/>
        </w:rPr>
        <w:t>3</w:t>
      </w:r>
      <w:r>
        <w:rPr/>
        <w:t>).</w:t>
      </w:r>
    </w:p>
    <w:p>
      <w:pPr>
        <w:pStyle w:val="BodyText"/>
        <w:spacing w:line="355" w:lineRule="auto" w:before="178"/>
        <w:ind w:left="781" w:right="498"/>
        <w:jc w:val="both"/>
      </w:pPr>
      <w:r>
        <w:rPr/>
        <w:t>El filtro de arena sin en cambio presenta una TVNA (119,65 ± 42,71 g N-NH</w:t>
      </w:r>
      <w:r>
        <w:rPr>
          <w:position w:val="-2"/>
          <w:sz w:val="13"/>
        </w:rPr>
        <w:t>3</w:t>
      </w:r>
      <w:r>
        <w:rPr/>
        <w:t>/m</w:t>
      </w:r>
      <w:r>
        <w:rPr>
          <w:position w:val="10"/>
          <w:sz w:val="13"/>
        </w:rPr>
        <w:t>3 </w:t>
      </w:r>
      <w:r>
        <w:rPr/>
        <w:t>d) similar a la reportada por Pfeiffer y Malone (2006) para filtros de arena fluidizados y con una alta remoción de nitrógeno amoniacal (73,53 %) lo que indica un alto desempeño para un filtro lento de arena, debido principalmente a bajas cargas a las que fue sometido.</w:t>
      </w:r>
    </w:p>
    <w:p>
      <w:pPr>
        <w:pStyle w:val="BodyText"/>
        <w:spacing w:before="2"/>
        <w:rPr>
          <w:sz w:val="18"/>
        </w:rPr>
      </w:pPr>
    </w:p>
    <w:p>
      <w:pPr>
        <w:pStyle w:val="BodyText"/>
        <w:spacing w:line="355" w:lineRule="auto" w:before="1"/>
        <w:ind w:left="781" w:right="498"/>
        <w:jc w:val="both"/>
      </w:pPr>
      <w:r>
        <w:rPr/>
        <w:t>La remoción de nitritos depende tanto de la concentración de nitrógeno amoniacal a la entrada del filtro de arena y de la TVNA, esta segunda se comporta de manera constante cuando se aumenta la carga en el filtro. Para tener una remoción de nitratos en esta unidad del tren de tratamiento es necesario contar con una carga mínima entre 0,30 y  0,40 g de</w:t>
      </w:r>
      <w:r>
        <w:rPr>
          <w:spacing w:val="10"/>
        </w:rPr>
        <w:t> </w:t>
      </w:r>
      <w:r>
        <w:rPr/>
        <w:t>N-NO</w:t>
      </w:r>
      <w:r>
        <w:rPr>
          <w:position w:val="-2"/>
          <w:sz w:val="13"/>
        </w:rPr>
        <w:t>2</w:t>
      </w:r>
      <w:r>
        <w:rPr>
          <w:position w:val="10"/>
          <w:sz w:val="13"/>
        </w:rPr>
        <w:t>-</w:t>
      </w:r>
      <w:r>
        <w:rPr/>
        <w:t>/m</w:t>
      </w:r>
      <w:r>
        <w:rPr>
          <w:position w:val="10"/>
          <w:sz w:val="13"/>
        </w:rPr>
        <w:t>3</w:t>
      </w:r>
      <w:r>
        <w:rPr/>
        <w:t>.</w:t>
      </w:r>
    </w:p>
    <w:p>
      <w:pPr>
        <w:pStyle w:val="BodyText"/>
        <w:spacing w:line="355" w:lineRule="auto" w:before="182"/>
        <w:ind w:left="781" w:right="497"/>
        <w:jc w:val="both"/>
      </w:pPr>
      <w:r>
        <w:rPr/>
        <w:t>El filtro de arena presenta un desempeño óptimo al llegar a TVNA de 160 a 180 g de N- NH</w:t>
      </w:r>
      <w:r>
        <w:rPr>
          <w:position w:val="-2"/>
          <w:sz w:val="13"/>
        </w:rPr>
        <w:t>3</w:t>
      </w:r>
      <w:r>
        <w:rPr/>
        <w:t>/m</w:t>
      </w:r>
      <w:r>
        <w:rPr>
          <w:position w:val="10"/>
          <w:sz w:val="13"/>
        </w:rPr>
        <w:t>3 </w:t>
      </w:r>
      <w:r>
        <w:rPr/>
        <w:t>d, una vez alcanzada esta tasa la TVCN se reduce considerablemente. El comportamiento de la TVCN en el filtro percolador fue negativo, es decir, no se llegó de manera adecuada a remover completamente la cantidad de nitritos generados en esta unidad. La causa de que la nitrificación no se llevara a cabo adecuadamente fue por las bajas concentraciones de alcalinidad y pH, así como las bajas temperaturas.</w:t>
      </w:r>
    </w:p>
    <w:p>
      <w:pPr>
        <w:spacing w:after="0" w:line="355"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500"/>
        <w:jc w:val="both"/>
      </w:pPr>
      <w:r>
        <w:rPr/>
        <w:t>La concentración de saturación de oxígeno disuelto en el agua a una altitud de 2660 msnm y una temperatura de 13ºC, fue en promedio de 6,42 ± 0,05 mg/L. La concentración de equilibrio en el sistema fue de 5,53 ± 0,25</w:t>
      </w:r>
      <w:r>
        <w:rPr>
          <w:spacing w:val="-19"/>
        </w:rPr>
        <w:t> </w:t>
      </w:r>
      <w:r>
        <w:rPr/>
        <w:t>mg/L.</w:t>
      </w:r>
    </w:p>
    <w:p>
      <w:pPr>
        <w:pStyle w:val="BodyText"/>
        <w:spacing w:before="9"/>
        <w:rPr>
          <w:sz w:val="17"/>
        </w:rPr>
      </w:pPr>
    </w:p>
    <w:p>
      <w:pPr>
        <w:pStyle w:val="BodyText"/>
        <w:spacing w:line="355" w:lineRule="auto"/>
        <w:ind w:left="781" w:right="498"/>
        <w:jc w:val="both"/>
      </w:pPr>
      <w:r>
        <w:rPr/>
        <w:t>El consumo de oxígeno disuelto en el agua por parte de los peces en el SRA está determinado por la densidad de organismos en el estanque (kg/m</w:t>
      </w:r>
      <w:r>
        <w:rPr>
          <w:position w:val="10"/>
          <w:sz w:val="13"/>
        </w:rPr>
        <w:t>3</w:t>
      </w:r>
      <w:r>
        <w:rPr/>
        <w:t>) con un 41,92 % seguido de un efecto combinado de temperatura y densidad con un 21,48 % y por último la temperatura con un 11,27</w:t>
      </w:r>
      <w:r>
        <w:rPr>
          <w:spacing w:val="-11"/>
        </w:rPr>
        <w:t> </w:t>
      </w:r>
      <w:r>
        <w:rPr/>
        <w:t>%.</w:t>
      </w:r>
    </w:p>
    <w:p>
      <w:pPr>
        <w:pStyle w:val="BodyText"/>
        <w:rPr>
          <w:sz w:val="18"/>
        </w:rPr>
      </w:pPr>
    </w:p>
    <w:p>
      <w:pPr>
        <w:pStyle w:val="BodyText"/>
        <w:spacing w:line="343" w:lineRule="auto"/>
        <w:ind w:left="781" w:right="497"/>
        <w:jc w:val="both"/>
      </w:pPr>
      <w:r>
        <w:rPr/>
        <w:t>La modelación del consumo de oxígeno en el SRA se describe mediante la ecuación: rO</w:t>
      </w:r>
      <w:r>
        <w:rPr>
          <w:position w:val="-2"/>
          <w:sz w:val="13"/>
        </w:rPr>
        <w:t>2 </w:t>
      </w:r>
      <w:r>
        <w:rPr/>
        <w:t>(mg O</w:t>
      </w:r>
      <w:r>
        <w:rPr>
          <w:position w:val="-2"/>
          <w:sz w:val="13"/>
        </w:rPr>
        <w:t>2</w:t>
      </w:r>
      <w:r>
        <w:rPr/>
        <w:t>/L h)= 0,041 [Temperatura (°C)] [Densidad (kg/m</w:t>
      </w:r>
      <w:r>
        <w:rPr>
          <w:position w:val="10"/>
          <w:sz w:val="13"/>
        </w:rPr>
        <w:t>3</w:t>
      </w:r>
      <w:r>
        <w:rPr/>
        <w:t>)] – 0,454 [Densidad (kg/m</w:t>
      </w:r>
      <w:r>
        <w:rPr>
          <w:position w:val="10"/>
          <w:sz w:val="13"/>
        </w:rPr>
        <w:t>3</w:t>
      </w:r>
      <w:r>
        <w:rPr/>
        <w:t>)] - 1,324 [Temperatura (°C)] + 22,447 con una R</w:t>
      </w:r>
      <w:r>
        <w:rPr>
          <w:position w:val="10"/>
          <w:sz w:val="13"/>
        </w:rPr>
        <w:t>2 </w:t>
      </w:r>
      <w:r>
        <w:rPr/>
        <w:t>= 0,747 y R = 0,864. El modelo es válido para un intervalo de temperatura de 12 a 23°C, densidades de 8 a 60 kg/m</w:t>
      </w:r>
      <w:r>
        <w:rPr>
          <w:position w:val="10"/>
          <w:sz w:val="13"/>
        </w:rPr>
        <w:t>3 </w:t>
      </w:r>
      <w:r>
        <w:rPr/>
        <w:t>para una altitud de 2 660 msnm.</w:t>
      </w:r>
    </w:p>
    <w:p>
      <w:pPr>
        <w:pStyle w:val="BodyText"/>
        <w:spacing w:before="1"/>
        <w:rPr>
          <w:sz w:val="19"/>
        </w:rPr>
      </w:pPr>
    </w:p>
    <w:p>
      <w:pPr>
        <w:pStyle w:val="BodyText"/>
        <w:spacing w:line="360" w:lineRule="auto"/>
        <w:ind w:left="781" w:right="498"/>
        <w:jc w:val="both"/>
      </w:pPr>
      <w:r>
        <w:rPr/>
        <w:t>Para el diseño de los filtros biológicos de un SRA, es necesario conocer la producción de contaminantes generados por los organismos acuáticos. Los modelos matemáticos que  se encontraron en el presente trabajo</w:t>
      </w:r>
      <w:r>
        <w:rPr>
          <w:spacing w:val="-18"/>
        </w:rPr>
        <w:t> </w:t>
      </w:r>
      <w:r>
        <w:rPr/>
        <w:t>fueron:</w:t>
      </w:r>
    </w:p>
    <w:p>
      <w:pPr>
        <w:pStyle w:val="BodyText"/>
        <w:spacing w:before="6"/>
        <w:rPr>
          <w:sz w:val="17"/>
        </w:rPr>
      </w:pPr>
    </w:p>
    <w:p>
      <w:pPr>
        <w:pStyle w:val="ListParagraph"/>
        <w:numPr>
          <w:ilvl w:val="0"/>
          <w:numId w:val="17"/>
        </w:numPr>
        <w:tabs>
          <w:tab w:pos="1502" w:val="left" w:leader="none"/>
        </w:tabs>
        <w:spacing w:line="348" w:lineRule="auto" w:before="0" w:after="0"/>
        <w:ind w:left="1501" w:right="499" w:hanging="360"/>
        <w:jc w:val="both"/>
        <w:rPr>
          <w:sz w:val="22"/>
        </w:rPr>
      </w:pPr>
      <w:r>
        <w:rPr>
          <w:sz w:val="22"/>
        </w:rPr>
        <w:t>Nitrógeno amoniacal total, en relación con la biomasa se describe por la ecuación nitrógeno amoniacal (mg/L) = 0,0063[biomasa (kg)] – 0,3027, con un coeficiente de determinación R</w:t>
      </w:r>
      <w:r>
        <w:rPr>
          <w:position w:val="10"/>
          <w:sz w:val="13"/>
        </w:rPr>
        <w:t>2  </w:t>
      </w:r>
      <w:r>
        <w:rPr>
          <w:sz w:val="22"/>
        </w:rPr>
        <w:t>= 0,56, R =</w:t>
      </w:r>
      <w:r>
        <w:rPr>
          <w:spacing w:val="-20"/>
          <w:sz w:val="22"/>
        </w:rPr>
        <w:t> </w:t>
      </w:r>
      <w:r>
        <w:rPr>
          <w:sz w:val="22"/>
        </w:rPr>
        <w:t>0,75.</w:t>
      </w:r>
    </w:p>
    <w:p>
      <w:pPr>
        <w:pStyle w:val="ListParagraph"/>
        <w:numPr>
          <w:ilvl w:val="0"/>
          <w:numId w:val="17"/>
        </w:numPr>
        <w:tabs>
          <w:tab w:pos="1502" w:val="left" w:leader="none"/>
        </w:tabs>
        <w:spacing w:line="336" w:lineRule="auto" w:before="208" w:after="0"/>
        <w:ind w:left="1501" w:right="499" w:hanging="360"/>
        <w:jc w:val="both"/>
        <w:rPr>
          <w:sz w:val="22"/>
        </w:rPr>
      </w:pPr>
      <w:r>
        <w:rPr>
          <w:sz w:val="22"/>
        </w:rPr>
        <w:t>DQO, se expresa por la ecuación DQO (mg/L) = 0,5992[biomasa (kg)] – 30,29, con un coeficiente de determinación R</w:t>
      </w:r>
      <w:r>
        <w:rPr>
          <w:position w:val="10"/>
          <w:sz w:val="13"/>
        </w:rPr>
        <w:t>2  </w:t>
      </w:r>
      <w:r>
        <w:rPr>
          <w:sz w:val="22"/>
        </w:rPr>
        <w:t>= 0,46, R =</w:t>
      </w:r>
      <w:r>
        <w:rPr>
          <w:spacing w:val="-26"/>
          <w:sz w:val="22"/>
        </w:rPr>
        <w:t> </w:t>
      </w:r>
      <w:r>
        <w:rPr>
          <w:sz w:val="22"/>
        </w:rPr>
        <w:t>0,68.</w:t>
      </w:r>
    </w:p>
    <w:p>
      <w:pPr>
        <w:pStyle w:val="BodyText"/>
        <w:spacing w:before="3"/>
        <w:rPr>
          <w:sz w:val="19"/>
        </w:rPr>
      </w:pPr>
    </w:p>
    <w:p>
      <w:pPr>
        <w:pStyle w:val="ListParagraph"/>
        <w:numPr>
          <w:ilvl w:val="0"/>
          <w:numId w:val="17"/>
        </w:numPr>
        <w:tabs>
          <w:tab w:pos="1502" w:val="left" w:leader="none"/>
        </w:tabs>
        <w:spacing w:line="336" w:lineRule="auto" w:before="0" w:after="0"/>
        <w:ind w:left="1501" w:right="498" w:hanging="360"/>
        <w:jc w:val="both"/>
        <w:rPr>
          <w:sz w:val="22"/>
        </w:rPr>
      </w:pPr>
      <w:r>
        <w:rPr>
          <w:sz w:val="22"/>
        </w:rPr>
        <w:t>SST, con la ecuación SST (mg/L) = 0,0873[biomasa (kg)] – 8,218, con un coeficiente de determinación R</w:t>
      </w:r>
      <w:r>
        <w:rPr>
          <w:position w:val="10"/>
          <w:sz w:val="13"/>
        </w:rPr>
        <w:t>2  </w:t>
      </w:r>
      <w:r>
        <w:rPr>
          <w:sz w:val="22"/>
        </w:rPr>
        <w:t>= 0,76, R =</w:t>
      </w:r>
      <w:r>
        <w:rPr>
          <w:spacing w:val="-21"/>
          <w:sz w:val="22"/>
        </w:rPr>
        <w:t> </w:t>
      </w:r>
      <w:r>
        <w:rPr>
          <w:sz w:val="22"/>
        </w:rPr>
        <w:t>0,87.</w:t>
      </w:r>
    </w:p>
    <w:p>
      <w:pPr>
        <w:pStyle w:val="BodyText"/>
        <w:rPr>
          <w:sz w:val="19"/>
        </w:rPr>
      </w:pPr>
    </w:p>
    <w:p>
      <w:pPr>
        <w:pStyle w:val="ListParagraph"/>
        <w:numPr>
          <w:ilvl w:val="0"/>
          <w:numId w:val="17"/>
        </w:numPr>
        <w:tabs>
          <w:tab w:pos="1502" w:val="left" w:leader="none"/>
        </w:tabs>
        <w:spacing w:line="345" w:lineRule="auto" w:before="0" w:after="0"/>
        <w:ind w:left="1501" w:right="498" w:hanging="360"/>
        <w:jc w:val="both"/>
        <w:rPr>
          <w:sz w:val="22"/>
        </w:rPr>
      </w:pPr>
      <w:r>
        <w:rPr>
          <w:sz w:val="22"/>
        </w:rPr>
        <w:t>Nitratos, mediante la ecuación N-NO</w:t>
      </w:r>
      <w:r>
        <w:rPr>
          <w:position w:val="-2"/>
          <w:sz w:val="13"/>
        </w:rPr>
        <w:t>3</w:t>
      </w:r>
      <w:r>
        <w:rPr>
          <w:position w:val="10"/>
          <w:sz w:val="13"/>
        </w:rPr>
        <w:t>- </w:t>
      </w:r>
      <w:r>
        <w:rPr>
          <w:sz w:val="22"/>
        </w:rPr>
        <w:t>(mg/L) = 0,5821[biomasa(kg)] – 20,647, con un coeficiente de determinación de 0,66 y un coeficiente de correlación de</w:t>
      </w:r>
      <w:r>
        <w:rPr>
          <w:spacing w:val="-30"/>
          <w:sz w:val="22"/>
        </w:rPr>
        <w:t> </w:t>
      </w:r>
      <w:r>
        <w:rPr>
          <w:sz w:val="22"/>
        </w:rPr>
        <w:t>0,81.</w:t>
      </w:r>
    </w:p>
    <w:p>
      <w:pPr>
        <w:spacing w:after="0" w:line="345" w:lineRule="auto"/>
        <w:jc w:val="both"/>
        <w:rPr>
          <w:sz w:val="22"/>
        </w:rPr>
        <w:sectPr>
          <w:pgSz w:w="12240" w:h="15840"/>
          <w:pgMar w:header="725" w:footer="1084" w:top="1340" w:bottom="1280" w:left="920" w:right="1200"/>
        </w:sectPr>
      </w:pPr>
    </w:p>
    <w:p>
      <w:pPr>
        <w:pStyle w:val="Heading5"/>
        <w:numPr>
          <w:ilvl w:val="1"/>
          <w:numId w:val="7"/>
        </w:numPr>
        <w:tabs>
          <w:tab w:pos="1211" w:val="left" w:leader="none"/>
        </w:tabs>
        <w:spacing w:line="240" w:lineRule="auto" w:before="172" w:after="0"/>
        <w:ind w:left="1210" w:right="0" w:hanging="429"/>
        <w:jc w:val="both"/>
      </w:pPr>
      <w:bookmarkStart w:name="_TOC_250008" w:id="195"/>
      <w:bookmarkStart w:name="6.2. Recomendaciones" w:id="196"/>
      <w:r>
        <w:rPr>
          <w:b w:val="0"/>
        </w:rPr>
      </w:r>
      <w:bookmarkEnd w:id="196"/>
      <w:bookmarkStart w:name="6.2. Recomendaciones" w:id="197"/>
      <w:r>
        <w:rPr/>
        <w:t>R</w:t>
      </w:r>
      <w:bookmarkEnd w:id="195"/>
      <w:r>
        <w:rPr/>
        <w:t>ECOMENDACIONES</w:t>
      </w:r>
    </w:p>
    <w:p>
      <w:pPr>
        <w:pStyle w:val="BodyText"/>
        <w:spacing w:before="5"/>
        <w:rPr>
          <w:b/>
          <w:sz w:val="28"/>
        </w:rPr>
      </w:pPr>
    </w:p>
    <w:p>
      <w:pPr>
        <w:pStyle w:val="BodyText"/>
        <w:spacing w:line="360" w:lineRule="auto" w:before="1"/>
        <w:ind w:left="781" w:right="498"/>
        <w:jc w:val="both"/>
      </w:pPr>
      <w:r>
        <w:rPr/>
        <w:t>Todo trabajo de investigación pretende dar respuestas a problemas derivados de las necesidades sociales, sin embargo este proceso siempre es perfectible. Por lo anterior se debe continuar desarrollando la tecnología propuesta en esta investigación con el fin de responder cada vez mejor a las necesidades planteadas por la sociedad, así como validar el desarrollo tecnológico en instalaciones comerciales del cultivo de trucha.</w:t>
      </w:r>
    </w:p>
    <w:p>
      <w:pPr>
        <w:pStyle w:val="BodyText"/>
        <w:spacing w:before="7"/>
        <w:rPr>
          <w:sz w:val="17"/>
        </w:rPr>
      </w:pPr>
    </w:p>
    <w:p>
      <w:pPr>
        <w:pStyle w:val="BodyText"/>
        <w:spacing w:line="360" w:lineRule="auto"/>
        <w:ind w:left="781" w:right="496"/>
        <w:jc w:val="both"/>
      </w:pPr>
      <w:r>
        <w:rPr/>
        <w:t>Se recomienda realizar un análisis hidrológico para determinar el llenado del sistema de producción en la temporada de lluvia para la región central del altiplano mexicano. Así mismo, un análisis de calidad del agua precipitada promedio en el ciclo hidrológico para contar con información que permita conocer el potencial del SRA alimentado con agua pluvial.</w:t>
      </w:r>
    </w:p>
    <w:p>
      <w:pPr>
        <w:pStyle w:val="BodyText"/>
        <w:spacing w:before="7"/>
        <w:rPr>
          <w:sz w:val="17"/>
        </w:rPr>
      </w:pPr>
    </w:p>
    <w:p>
      <w:pPr>
        <w:pStyle w:val="BodyText"/>
        <w:spacing w:line="360" w:lineRule="auto"/>
        <w:ind w:left="781" w:right="498"/>
        <w:jc w:val="both"/>
      </w:pPr>
      <w:r>
        <w:rPr/>
        <w:t>Para conocer mejor el comportamiento del SRA es necesario profundizar en el monitoreo de la alcalinidad pues éstos pueden son limitantes en el proceso de nitrificación en los biofiltros. Profundizar en los protocolos de compensación de sales para logar un manejo más eficiente de la alcalinidad, pH y el equilibrio de iones y cationes disueltos en el agua. Investigar el efecto que estas compensaciones de sales tienen en el desarrollo de la trucha.</w:t>
      </w:r>
    </w:p>
    <w:p>
      <w:pPr>
        <w:pStyle w:val="BodyText"/>
        <w:spacing w:before="7"/>
        <w:rPr>
          <w:sz w:val="17"/>
        </w:rPr>
      </w:pPr>
    </w:p>
    <w:p>
      <w:pPr>
        <w:pStyle w:val="BodyText"/>
        <w:spacing w:line="345" w:lineRule="auto"/>
        <w:ind w:left="781" w:right="499"/>
        <w:jc w:val="both"/>
      </w:pPr>
      <w:r>
        <w:rPr/>
        <w:t>En investigaciones posteriores se debe de trabajar con mayores densidades en el sistema tratando de llegar a lo reportado de 40 kg/m</w:t>
      </w:r>
      <w:r>
        <w:rPr>
          <w:position w:val="10"/>
          <w:sz w:val="13"/>
        </w:rPr>
        <w:t>3</w:t>
      </w:r>
      <w:r>
        <w:rPr/>
        <w:t>, determinando la rentabilidad del SRA.</w:t>
      </w:r>
    </w:p>
    <w:p>
      <w:pPr>
        <w:pStyle w:val="BodyText"/>
        <w:spacing w:line="360" w:lineRule="auto" w:before="211"/>
        <w:ind w:left="781" w:right="499"/>
        <w:jc w:val="both"/>
      </w:pPr>
      <w:r>
        <w:rPr/>
        <w:t>Realizar estudios para optimizar el caudal de operación en el SRA con base en la velocidad recomendada para la longitud de cada etapa del cultivo y el flujo necesario para conducir los contaminantes al tren de tratamiento y el agua acondicionada al estanque.</w:t>
      </w:r>
    </w:p>
    <w:p>
      <w:pPr>
        <w:pStyle w:val="BodyText"/>
        <w:spacing w:before="7"/>
        <w:rPr>
          <w:sz w:val="17"/>
        </w:rPr>
      </w:pPr>
    </w:p>
    <w:p>
      <w:pPr>
        <w:pStyle w:val="BodyText"/>
        <w:spacing w:line="360" w:lineRule="auto"/>
        <w:ind w:left="781" w:right="497"/>
        <w:jc w:val="both"/>
      </w:pPr>
      <w:r>
        <w:rPr/>
        <w:t>En cuanto al diseño de las unidades del tren de tratamiento se recomienda para el percolador utilizar como empaque cartuchos de manguera corrugada acomodados en forma de cruz para evitar perder área superficial del mismo, así también incluir un sistema de desinfección para evitar una posible contingencia patológica en el SRA, de preferencia ozono para que a su vez elimine el color del agua que se origina en la dilución del alimento.</w:t>
      </w:r>
    </w:p>
    <w:p>
      <w:pPr>
        <w:pStyle w:val="BodyText"/>
        <w:spacing w:before="7"/>
        <w:rPr>
          <w:sz w:val="17"/>
        </w:rPr>
      </w:pPr>
    </w:p>
    <w:p>
      <w:pPr>
        <w:pStyle w:val="BodyText"/>
        <w:spacing w:line="362" w:lineRule="auto"/>
        <w:ind w:left="781" w:right="496"/>
        <w:jc w:val="both"/>
      </w:pPr>
      <w:r>
        <w:rPr/>
        <w:t>Es necesario considerar en el tren de tratamiento, una unidad en la que se realice la desnitrificación para remover los nitratos del SRA y evitar acidez iónica o mineral que</w:t>
      </w:r>
    </w:p>
    <w:p>
      <w:pPr>
        <w:spacing w:after="0" w:line="362" w:lineRule="auto"/>
        <w:jc w:val="both"/>
        <w:sectPr>
          <w:pgSz w:w="12240" w:h="15840"/>
          <w:pgMar w:header="725" w:footer="1084" w:top="1340" w:bottom="1280" w:left="920" w:right="1200"/>
        </w:sectPr>
      </w:pPr>
    </w:p>
    <w:p>
      <w:pPr>
        <w:pStyle w:val="BodyText"/>
        <w:spacing w:before="10"/>
        <w:rPr>
          <w:sz w:val="8"/>
        </w:rPr>
      </w:pPr>
    </w:p>
    <w:p>
      <w:pPr>
        <w:pStyle w:val="BodyText"/>
        <w:spacing w:line="360" w:lineRule="auto" w:before="73"/>
        <w:ind w:left="781" w:right="498"/>
        <w:jc w:val="both"/>
      </w:pPr>
      <w:r>
        <w:rPr/>
        <w:t>provoca inhibición de la nitrificación, otro camino sería el uso de reactores anaeróbicos para la conversión de nitrógeno amoniacal total a gas nitrógeno, evitando la formación de nitratos en el SRA.</w:t>
      </w:r>
    </w:p>
    <w:p>
      <w:pPr>
        <w:pStyle w:val="BodyText"/>
        <w:spacing w:before="9"/>
        <w:rPr>
          <w:sz w:val="17"/>
        </w:rPr>
      </w:pPr>
    </w:p>
    <w:p>
      <w:pPr>
        <w:pStyle w:val="BodyText"/>
        <w:spacing w:line="360" w:lineRule="auto"/>
        <w:ind w:left="781" w:right="498"/>
        <w:jc w:val="both"/>
      </w:pPr>
      <w:r>
        <w:rPr/>
        <w:t>Se recomienda realizar estudios de sedimentabilidad en columnas de sedimentación de  los sólidos generados en el estanque con el propósito de determinar la eficiencia del sedimentador con base en su carga especifica.</w:t>
      </w:r>
    </w:p>
    <w:p>
      <w:pPr>
        <w:pStyle w:val="BodyText"/>
        <w:spacing w:before="7"/>
        <w:rPr>
          <w:sz w:val="17"/>
        </w:rPr>
      </w:pPr>
    </w:p>
    <w:p>
      <w:pPr>
        <w:pStyle w:val="BodyText"/>
        <w:spacing w:line="360" w:lineRule="auto"/>
        <w:ind w:left="781" w:right="498"/>
        <w:jc w:val="both"/>
      </w:pPr>
      <w:r>
        <w:rPr/>
        <w:t>El oxígeno disuelto en el agua es un parámetro limitante importante para determinar la carga máxima del estanque, por lo que es recomendable realizar estudios de consumo de oxígeno por los peces a diferentes altitudes y su abastecimiento en el estanque con jets aireadores y generadores de oxígeno puro.</w:t>
      </w:r>
    </w:p>
    <w:p>
      <w:pPr>
        <w:pStyle w:val="BodyText"/>
        <w:spacing w:before="7"/>
        <w:rPr>
          <w:sz w:val="17"/>
        </w:rPr>
      </w:pPr>
    </w:p>
    <w:p>
      <w:pPr>
        <w:pStyle w:val="BodyText"/>
        <w:spacing w:line="360" w:lineRule="auto"/>
        <w:ind w:left="781" w:right="499"/>
        <w:jc w:val="both"/>
      </w:pPr>
      <w:r>
        <w:rPr/>
        <w:t>Se recomienda, también, procurar contar con una fuente de energía alterna que evite la dependencia total del suministro de los proveedores de energía eléctrica (CFE), ya que un fallo en el servicio puede traer consecuencias fatales para los peces.</w:t>
      </w:r>
    </w:p>
    <w:p>
      <w:pPr>
        <w:pStyle w:val="BodyText"/>
        <w:spacing w:before="9"/>
        <w:rPr>
          <w:sz w:val="17"/>
        </w:rPr>
      </w:pPr>
    </w:p>
    <w:p>
      <w:pPr>
        <w:pStyle w:val="BodyText"/>
        <w:spacing w:line="360" w:lineRule="auto"/>
        <w:ind w:left="781" w:right="498"/>
        <w:jc w:val="both"/>
      </w:pPr>
      <w:r>
        <w:rPr/>
        <w:t>El desempeño de los biofiltros con respecto al consumo de energía eléctrica no fue adecuado llegando a consumir 25,34 kW/d lo que significa hasta $ 20,39/kg de pez. Este consumo de energía se debe de optimizar reduciendo el gasto por oxigenación y bombeo. Una alternativa es direccionar el gasto de energía a sistemas de generación eléctrica solar, eólica o hidráulica.</w:t>
      </w:r>
    </w:p>
    <w:p>
      <w:pPr>
        <w:pStyle w:val="BodyText"/>
        <w:spacing w:before="9"/>
        <w:rPr>
          <w:sz w:val="17"/>
        </w:rPr>
      </w:pPr>
    </w:p>
    <w:p>
      <w:pPr>
        <w:pStyle w:val="BodyText"/>
        <w:spacing w:line="360" w:lineRule="auto"/>
        <w:ind w:left="781" w:right="499"/>
        <w:jc w:val="both"/>
      </w:pPr>
      <w:r>
        <w:rPr/>
        <w:t>Otra opción para que el sistema sea rentable es el de cultivar organismos desde cría hasta los 12 cm de longitud o 10 g de peso promedio, ya que el número de peces de esta talla por kilogramo de biomasa amortiza el costo</w:t>
      </w:r>
      <w:r>
        <w:rPr>
          <w:spacing w:val="-19"/>
        </w:rPr>
        <w:t> </w:t>
      </w:r>
      <w:r>
        <w:rPr/>
        <w:t>energético.</w:t>
      </w:r>
    </w:p>
    <w:p>
      <w:pPr>
        <w:pStyle w:val="BodyText"/>
        <w:spacing w:before="7"/>
        <w:rPr>
          <w:sz w:val="17"/>
        </w:rPr>
      </w:pPr>
    </w:p>
    <w:p>
      <w:pPr>
        <w:pStyle w:val="BodyText"/>
        <w:spacing w:line="360" w:lineRule="auto"/>
        <w:ind w:left="781" w:right="498"/>
        <w:jc w:val="both"/>
      </w:pPr>
      <w:r>
        <w:rPr/>
        <w:t>Para SRA de producciones altas, se recomienda la automatización del sistema en  general. Así también es necesario afinar el procedimiento de monitoreo y control para que se tenga gráficamente en tiempo real las condiciones en que se encuentra el</w:t>
      </w:r>
      <w:r>
        <w:rPr>
          <w:spacing w:val="-32"/>
        </w:rPr>
        <w:t> </w:t>
      </w:r>
      <w:r>
        <w:rPr/>
        <w:t>SRA.</w:t>
      </w:r>
    </w:p>
    <w:p>
      <w:pPr>
        <w:spacing w:after="0" w:line="360" w:lineRule="auto"/>
        <w:jc w:val="both"/>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ind w:left="3056" w:right="2426" w:firstLine="0"/>
        <w:rPr>
          <w:rFonts w:ascii="Times New Roman"/>
          <w:b/>
          <w:sz w:val="22"/>
        </w:rPr>
      </w:pPr>
      <w:bookmarkStart w:name="_TOC_250007" w:id="198"/>
      <w:bookmarkStart w:name="Literatura citada" w:id="199"/>
      <w:r>
        <w:rPr/>
      </w:r>
      <w:r>
        <w:rPr>
          <w:w w:val="105"/>
        </w:rPr>
        <w:t>LITERATURA CITADA</w:t>
      </w:r>
      <w:bookmarkEnd w:id="198"/>
      <w:r>
        <w:rPr>
          <w:rFonts w:ascii="Times New Roman"/>
          <w:b/>
          <w:w w:val="105"/>
          <w:sz w:val="22"/>
        </w:rPr>
        <w:t>.</w:t>
      </w:r>
    </w:p>
    <w:p>
      <w:pPr>
        <w:spacing w:after="0"/>
        <w:rPr>
          <w:rFonts w:ascii="Times New Roman"/>
          <w:sz w:val="22"/>
        </w:rPr>
        <w:sectPr>
          <w:pgSz w:w="12240" w:h="15840"/>
          <w:pgMar w:header="725" w:footer="1084" w:top="1340" w:bottom="1280" w:left="920" w:right="1200"/>
        </w:sectPr>
      </w:pPr>
    </w:p>
    <w:p>
      <w:pPr>
        <w:pStyle w:val="Heading5"/>
        <w:spacing w:before="172"/>
        <w:ind w:left="781"/>
      </w:pPr>
      <w:r>
        <w:rPr/>
        <w:t>LITERATURA CITADA</w:t>
      </w:r>
    </w:p>
    <w:p>
      <w:pPr>
        <w:pStyle w:val="BodyText"/>
        <w:spacing w:before="5"/>
        <w:rPr>
          <w:b/>
          <w:sz w:val="28"/>
        </w:rPr>
      </w:pPr>
    </w:p>
    <w:p>
      <w:pPr>
        <w:spacing w:before="0"/>
        <w:ind w:left="781" w:right="516" w:hanging="1"/>
        <w:jc w:val="both"/>
        <w:rPr>
          <w:sz w:val="20"/>
        </w:rPr>
      </w:pPr>
      <w:r>
        <w:rPr>
          <w:sz w:val="20"/>
        </w:rPr>
        <w:t>Atwood H., J. Bruce, L. Sixt, R. Kegl, A. Stokes y C. Browdy. 2005. Intensive zero exchange systems incorporation of filtration technologies to improve survival and growth. International journal of recirculating aquaculture. 6: 49 – 64.</w:t>
      </w:r>
    </w:p>
    <w:p>
      <w:pPr>
        <w:pStyle w:val="BodyText"/>
        <w:rPr>
          <w:sz w:val="20"/>
        </w:rPr>
      </w:pPr>
    </w:p>
    <w:p>
      <w:pPr>
        <w:spacing w:before="1"/>
        <w:ind w:left="781" w:right="514" w:hanging="1"/>
        <w:jc w:val="both"/>
        <w:rPr>
          <w:sz w:val="20"/>
        </w:rPr>
      </w:pPr>
      <w:r>
        <w:rPr>
          <w:sz w:val="20"/>
        </w:rPr>
        <w:t>Ávila J., D. García, C. Díaz, I. Gallego, C. Fall y S. Garrido. 2006. Diseño y evaluación de un filtro de lecho flotante para tratar agua de lluvia en Villa Nicolás Zapata, Morelos. XII Reunión Nacional y II de América Latina y el Caribe sobre sistemas de captación y aprovechamiento de agua de lluvia. Querétaro. México.</w:t>
      </w:r>
    </w:p>
    <w:p>
      <w:pPr>
        <w:pStyle w:val="BodyText"/>
        <w:rPr>
          <w:sz w:val="20"/>
        </w:rPr>
      </w:pPr>
    </w:p>
    <w:p>
      <w:pPr>
        <w:spacing w:before="1"/>
        <w:ind w:left="781" w:right="519" w:hanging="1"/>
        <w:jc w:val="both"/>
        <w:rPr>
          <w:sz w:val="20"/>
        </w:rPr>
      </w:pPr>
      <w:r>
        <w:rPr>
          <w:sz w:val="20"/>
        </w:rPr>
        <w:t>Avila J. 2008. Diseño y evaluación de un filtro de lecho flotante para tratar agua de lluvia en Villa Nicolás Zapata, Morelos. Tesis de Maestría. FI. UAEM.</w:t>
      </w:r>
    </w:p>
    <w:p>
      <w:pPr>
        <w:pStyle w:val="BodyText"/>
        <w:spacing w:before="9"/>
        <w:rPr>
          <w:sz w:val="19"/>
        </w:rPr>
      </w:pPr>
    </w:p>
    <w:p>
      <w:pPr>
        <w:spacing w:before="1"/>
        <w:ind w:left="781" w:right="514" w:firstLine="0"/>
        <w:jc w:val="both"/>
        <w:rPr>
          <w:sz w:val="20"/>
        </w:rPr>
      </w:pPr>
      <w:r>
        <w:rPr>
          <w:sz w:val="20"/>
        </w:rPr>
        <w:t>Bâ M. K., C. Díaz. J. Llamas y H. Llanos. 1995. Zonas semiáridas y su modelación hidrológica (lluvia – escurrimiento). Ingeniería hidráulica en México. X: 21 – 31.</w:t>
      </w:r>
    </w:p>
    <w:p>
      <w:pPr>
        <w:pStyle w:val="BodyText"/>
        <w:rPr>
          <w:sz w:val="20"/>
        </w:rPr>
      </w:pPr>
    </w:p>
    <w:p>
      <w:pPr>
        <w:spacing w:before="1"/>
        <w:ind w:left="781" w:right="512" w:firstLine="0"/>
        <w:jc w:val="both"/>
        <w:rPr>
          <w:sz w:val="20"/>
        </w:rPr>
      </w:pPr>
      <w:r>
        <w:rPr>
          <w:sz w:val="20"/>
        </w:rPr>
        <w:t>Bergheim A., O. Forsberg, S. Sanni. 1993. Biological basis for landbased farming  of  atlantic salmon: oxygen consumption. En: Reinersten H., Dahle, Jorgensen (Ed.). Fish Farming  Technology. Balkema. Holanda. pp. 289 –</w:t>
      </w:r>
      <w:r>
        <w:rPr>
          <w:spacing w:val="-27"/>
          <w:sz w:val="20"/>
        </w:rPr>
        <w:t> </w:t>
      </w:r>
      <w:r>
        <w:rPr>
          <w:sz w:val="20"/>
        </w:rPr>
        <w:t>295.</w:t>
      </w:r>
    </w:p>
    <w:p>
      <w:pPr>
        <w:pStyle w:val="BodyText"/>
        <w:rPr>
          <w:sz w:val="20"/>
        </w:rPr>
      </w:pPr>
    </w:p>
    <w:p>
      <w:pPr>
        <w:spacing w:before="1"/>
        <w:ind w:left="781" w:right="0" w:firstLine="0"/>
        <w:jc w:val="both"/>
        <w:rPr>
          <w:sz w:val="20"/>
        </w:rPr>
      </w:pPr>
      <w:r>
        <w:rPr>
          <w:sz w:val="20"/>
        </w:rPr>
        <w:t>Blanco C. C. 1995. La trucha, cría industrial. Mundi-prensa. España. 503pp.</w:t>
      </w:r>
    </w:p>
    <w:p>
      <w:pPr>
        <w:pStyle w:val="BodyText"/>
        <w:rPr>
          <w:sz w:val="20"/>
        </w:rPr>
      </w:pPr>
    </w:p>
    <w:p>
      <w:pPr>
        <w:spacing w:before="1"/>
        <w:ind w:left="781" w:right="518" w:firstLine="0"/>
        <w:jc w:val="both"/>
        <w:rPr>
          <w:sz w:val="20"/>
        </w:rPr>
      </w:pPr>
      <w:r>
        <w:rPr>
          <w:sz w:val="20"/>
        </w:rPr>
        <w:t>Bonvendeur J. 1989. Fixed biofilm reactors applied to wastewater treatment and aquacultural water recirculating systems. Wageningen Uniersity. Holanda. 133p.</w:t>
      </w:r>
    </w:p>
    <w:p>
      <w:pPr>
        <w:pStyle w:val="BodyText"/>
        <w:spacing w:before="9"/>
        <w:rPr>
          <w:sz w:val="19"/>
        </w:rPr>
      </w:pPr>
    </w:p>
    <w:p>
      <w:pPr>
        <w:spacing w:line="480" w:lineRule="auto" w:before="1"/>
        <w:ind w:left="781" w:right="1503" w:firstLine="0"/>
        <w:jc w:val="left"/>
        <w:rPr>
          <w:sz w:val="20"/>
        </w:rPr>
      </w:pPr>
      <w:r>
        <w:rPr>
          <w:sz w:val="20"/>
        </w:rPr>
        <w:t>Boyd C.E. 1990. Water quality in ponds for aquaculture. Auburn University. USA. 479pp. Cánepa V. L. 1992. Filtración lenta, Manual 1: Teoria y evaluación. CEPIS. Perú. 104p.</w:t>
      </w:r>
    </w:p>
    <w:p>
      <w:pPr>
        <w:spacing w:before="7"/>
        <w:ind w:left="781" w:right="513" w:firstLine="0"/>
        <w:jc w:val="both"/>
        <w:rPr>
          <w:sz w:val="20"/>
        </w:rPr>
      </w:pPr>
      <w:r>
        <w:rPr>
          <w:sz w:val="20"/>
        </w:rPr>
        <w:t>Cerezo – Valverde J., M. Dolores Hernandez, F. Aguado – Gimenez y B. García García. 2009. Oxygen consumption in spider crab (Maja brachydactyla): Effect of weight, temperatura,  sex, feeding and daily light – dark cycle. Aquaculture. 298: 131 – 138.</w:t>
      </w:r>
    </w:p>
    <w:p>
      <w:pPr>
        <w:pStyle w:val="BodyText"/>
        <w:rPr>
          <w:sz w:val="20"/>
        </w:rPr>
      </w:pPr>
    </w:p>
    <w:p>
      <w:pPr>
        <w:spacing w:before="1"/>
        <w:ind w:left="781" w:right="515" w:firstLine="0"/>
        <w:jc w:val="both"/>
        <w:rPr>
          <w:sz w:val="20"/>
        </w:rPr>
      </w:pPr>
      <w:r>
        <w:rPr>
          <w:sz w:val="20"/>
        </w:rPr>
        <w:t>Chen S., J. Ling, y J. Blanceton. 2006. Nitrification kinetics of biofilm as affected by water quality factors. Aquacultural engineering. 34: 179 – 197.</w:t>
      </w:r>
    </w:p>
    <w:p>
      <w:pPr>
        <w:pStyle w:val="BodyText"/>
        <w:spacing w:before="9"/>
        <w:rPr>
          <w:sz w:val="19"/>
        </w:rPr>
      </w:pPr>
    </w:p>
    <w:p>
      <w:pPr>
        <w:spacing w:before="1"/>
        <w:ind w:left="781" w:right="516" w:firstLine="0"/>
        <w:jc w:val="both"/>
        <w:rPr>
          <w:sz w:val="20"/>
        </w:rPr>
      </w:pPr>
      <w:r>
        <w:rPr>
          <w:sz w:val="20"/>
        </w:rPr>
        <w:t>Colt J., J. Lamoureux, R. Patterson y G. Rogers. 2006. Reporting standards for biofilter performance studies. Aquacultural engineering. 34: 377 –</w:t>
      </w:r>
      <w:r>
        <w:rPr>
          <w:spacing w:val="-34"/>
          <w:sz w:val="20"/>
        </w:rPr>
        <w:t> </w:t>
      </w:r>
      <w:r>
        <w:rPr>
          <w:sz w:val="20"/>
        </w:rPr>
        <w:t>388.</w:t>
      </w:r>
    </w:p>
    <w:p>
      <w:pPr>
        <w:pStyle w:val="BodyText"/>
        <w:rPr>
          <w:sz w:val="20"/>
        </w:rPr>
      </w:pPr>
    </w:p>
    <w:p>
      <w:pPr>
        <w:spacing w:before="1"/>
        <w:ind w:left="781" w:right="519" w:firstLine="0"/>
        <w:jc w:val="both"/>
        <w:rPr>
          <w:sz w:val="20"/>
        </w:rPr>
      </w:pPr>
      <w:r>
        <w:rPr>
          <w:sz w:val="20"/>
        </w:rPr>
        <w:t>Colt J. 2006. Water quality requirements for reuse systems. Aquacultural engineering. 34: 143 – 156.</w:t>
      </w:r>
    </w:p>
    <w:p>
      <w:pPr>
        <w:pStyle w:val="BodyText"/>
        <w:spacing w:before="9"/>
        <w:rPr>
          <w:sz w:val="19"/>
        </w:rPr>
      </w:pPr>
    </w:p>
    <w:p>
      <w:pPr>
        <w:spacing w:before="1"/>
        <w:ind w:left="781" w:right="514" w:firstLine="0"/>
        <w:jc w:val="both"/>
        <w:rPr>
          <w:sz w:val="20"/>
        </w:rPr>
      </w:pPr>
      <w:r>
        <w:rPr>
          <w:sz w:val="20"/>
        </w:rPr>
        <w:t>Comisión Nacional del Agua (CNA). 2006. Concesión de Aprovechamiento de Aguas Superficiales. CNA-01-003-B. en línea: </w:t>
      </w:r>
      <w:hyperlink r:id="rId123">
        <w:r>
          <w:rPr>
            <w:sz w:val="20"/>
          </w:rPr>
          <w:t>http://www.cofemertramites.gob.mx/intranet/</w:t>
        </w:r>
      </w:hyperlink>
      <w:r>
        <w:rPr>
          <w:sz w:val="20"/>
        </w:rPr>
        <w:t> co_dialog_PublishedTramite</w:t>
      </w:r>
    </w:p>
    <w:p>
      <w:pPr>
        <w:spacing w:before="0"/>
        <w:ind w:left="781" w:right="0" w:firstLine="0"/>
        <w:jc w:val="both"/>
        <w:rPr>
          <w:sz w:val="20"/>
        </w:rPr>
      </w:pPr>
      <w:r>
        <w:rPr>
          <w:sz w:val="20"/>
        </w:rPr>
        <w:t>.asp?coNodes=1328488&amp;num_modalidad=2. Consultado:2006.</w:t>
      </w:r>
    </w:p>
    <w:p>
      <w:pPr>
        <w:pStyle w:val="BodyText"/>
        <w:rPr>
          <w:sz w:val="20"/>
        </w:rPr>
      </w:pPr>
    </w:p>
    <w:p>
      <w:pPr>
        <w:spacing w:before="1"/>
        <w:ind w:left="781" w:right="514" w:firstLine="0"/>
        <w:jc w:val="both"/>
        <w:rPr>
          <w:sz w:val="20"/>
        </w:rPr>
      </w:pPr>
      <w:r>
        <w:rPr>
          <w:sz w:val="20"/>
        </w:rPr>
        <w:t>Dalvi R., A.K. Pal, L.R. Tiwari, T. Das y K. Baruah. 2009. Thermal tolerance and oxygen consumption rates of the catfish Horabagrus brachysoma (Günther) acclimated to different temperaturas. Aquaculture. 295: 116 – 119.</w:t>
      </w:r>
    </w:p>
    <w:p>
      <w:pPr>
        <w:pStyle w:val="BodyText"/>
        <w:rPr>
          <w:sz w:val="20"/>
        </w:rPr>
      </w:pPr>
    </w:p>
    <w:p>
      <w:pPr>
        <w:spacing w:before="1"/>
        <w:ind w:left="781" w:right="513" w:firstLine="0"/>
        <w:jc w:val="both"/>
        <w:rPr>
          <w:sz w:val="20"/>
        </w:rPr>
      </w:pPr>
      <w:r>
        <w:rPr>
          <w:sz w:val="20"/>
        </w:rPr>
        <w:t>Daoud D., D. Chabot, C. Audet y Y. Lambert. 2007. Temperature induced variation in oxygen consumption of juvenile and adult stages of the northern shrimp, </w:t>
      </w:r>
      <w:r>
        <w:rPr>
          <w:i/>
          <w:sz w:val="20"/>
        </w:rPr>
        <w:t>Pandalus borealis</w:t>
      </w:r>
      <w:r>
        <w:rPr>
          <w:sz w:val="20"/>
        </w:rPr>
        <w:t>. Experimental Marine Biology and Ecology. 347: 30 – 40.</w:t>
      </w:r>
    </w:p>
    <w:p>
      <w:pPr>
        <w:spacing w:after="0"/>
        <w:jc w:val="both"/>
        <w:rPr>
          <w:sz w:val="20"/>
        </w:rPr>
        <w:sectPr>
          <w:pgSz w:w="12240" w:h="15840"/>
          <w:pgMar w:header="725" w:footer="1084" w:top="1340" w:bottom="1280" w:left="920" w:right="1200"/>
        </w:sectPr>
      </w:pPr>
    </w:p>
    <w:p>
      <w:pPr>
        <w:pStyle w:val="BodyText"/>
        <w:spacing w:before="8"/>
        <w:rPr>
          <w:sz w:val="8"/>
        </w:rPr>
      </w:pPr>
    </w:p>
    <w:p>
      <w:pPr>
        <w:spacing w:before="74"/>
        <w:ind w:left="781" w:right="517" w:firstLine="0"/>
        <w:jc w:val="both"/>
        <w:rPr>
          <w:sz w:val="20"/>
        </w:rPr>
      </w:pPr>
      <w:r>
        <w:rPr>
          <w:sz w:val="20"/>
        </w:rPr>
        <w:t>Davison W. 1997. The effects of exercise training on teleost fish, a review of recent literature. Comp. Biochem. Physiol. 117A(1): 67–75.</w:t>
      </w:r>
    </w:p>
    <w:p>
      <w:pPr>
        <w:pStyle w:val="BodyText"/>
        <w:spacing w:before="9"/>
        <w:rPr>
          <w:sz w:val="19"/>
        </w:rPr>
      </w:pPr>
    </w:p>
    <w:p>
      <w:pPr>
        <w:spacing w:line="240" w:lineRule="auto" w:before="1"/>
        <w:ind w:left="781" w:right="514" w:firstLine="0"/>
        <w:jc w:val="both"/>
        <w:rPr>
          <w:sz w:val="20"/>
        </w:rPr>
      </w:pPr>
      <w:r>
        <w:rPr>
          <w:sz w:val="20"/>
        </w:rPr>
        <w:t>Debnath D., A.K. Pal, N.P. Sahu, K. Baruah, S. Yengkokpam, T. Das y S.M. Manush.  2006. Thermal tolerance and metabolic activity of yellowtail catfish </w:t>
      </w:r>
      <w:r>
        <w:rPr>
          <w:i/>
          <w:sz w:val="20"/>
        </w:rPr>
        <w:t>Pangasius pangasius </w:t>
      </w:r>
      <w:r>
        <w:rPr>
          <w:sz w:val="20"/>
        </w:rPr>
        <w:t>(Hamilton) advanced fingerlings withemphasis on their culture potential. Aquaculture. 258: 606 – 610.</w:t>
      </w:r>
    </w:p>
    <w:p>
      <w:pPr>
        <w:pStyle w:val="BodyText"/>
        <w:rPr>
          <w:sz w:val="20"/>
        </w:rPr>
      </w:pPr>
    </w:p>
    <w:p>
      <w:pPr>
        <w:spacing w:before="1"/>
        <w:ind w:left="781" w:right="514" w:firstLine="0"/>
        <w:jc w:val="both"/>
        <w:rPr>
          <w:sz w:val="20"/>
        </w:rPr>
      </w:pPr>
      <w:r>
        <w:rPr>
          <w:sz w:val="20"/>
        </w:rPr>
        <w:t>Diario Oficial de la Federación. 2004. LEY DE AGUAS NACIONALES. Diario Oficial de la Federación. DCVII(14): 27 – 95.</w:t>
      </w:r>
    </w:p>
    <w:p>
      <w:pPr>
        <w:pStyle w:val="BodyText"/>
        <w:spacing w:before="9"/>
        <w:rPr>
          <w:sz w:val="19"/>
        </w:rPr>
      </w:pPr>
    </w:p>
    <w:p>
      <w:pPr>
        <w:spacing w:before="1"/>
        <w:ind w:left="781" w:right="517" w:firstLine="0"/>
        <w:jc w:val="both"/>
        <w:rPr>
          <w:sz w:val="20"/>
        </w:rPr>
      </w:pPr>
      <w:r>
        <w:rPr>
          <w:sz w:val="20"/>
        </w:rPr>
        <w:t>Diario Oficial de la Federación. 1989. Acuerdo por el que se establecen los criterios de calidad del agua CE-CCA-001/89. Tomo CDXXXV No. 9</w:t>
      </w:r>
    </w:p>
    <w:p>
      <w:pPr>
        <w:pStyle w:val="BodyText"/>
        <w:rPr>
          <w:sz w:val="20"/>
        </w:rPr>
      </w:pPr>
    </w:p>
    <w:p>
      <w:pPr>
        <w:spacing w:before="1"/>
        <w:ind w:left="781" w:right="513" w:firstLine="0"/>
        <w:jc w:val="both"/>
        <w:rPr>
          <w:sz w:val="20"/>
        </w:rPr>
      </w:pPr>
      <w:r>
        <w:rPr>
          <w:sz w:val="20"/>
        </w:rPr>
        <w:t>Díaz D. C., D. García, C. Morelos. 2000. Water supply in small rural communities: system of rainfall collection – treatment. Ciencia Ergo Sum. 7:129 – 133.</w:t>
      </w:r>
    </w:p>
    <w:p>
      <w:pPr>
        <w:pStyle w:val="BodyText"/>
        <w:spacing w:before="9"/>
        <w:rPr>
          <w:sz w:val="19"/>
        </w:rPr>
      </w:pPr>
    </w:p>
    <w:p>
      <w:pPr>
        <w:spacing w:before="1"/>
        <w:ind w:left="781" w:right="515" w:firstLine="0"/>
        <w:jc w:val="both"/>
        <w:rPr>
          <w:sz w:val="20"/>
        </w:rPr>
      </w:pPr>
      <w:r>
        <w:rPr>
          <w:sz w:val="20"/>
        </w:rPr>
        <w:t>Dong Y., S. Dong, X. Tian, F. Wang y M. Zhang. 2006. Effects of diel temperature fluctuations on growth, oxygen consumption and proximate body composition in the sea cucumber </w:t>
      </w:r>
      <w:r>
        <w:rPr>
          <w:i/>
          <w:sz w:val="20"/>
        </w:rPr>
        <w:t>Apostichopus </w:t>
      </w:r>
      <w:r>
        <w:rPr>
          <w:i/>
          <w:sz w:val="20"/>
        </w:rPr>
        <w:t>japonicus </w:t>
      </w:r>
      <w:r>
        <w:rPr>
          <w:sz w:val="20"/>
        </w:rPr>
        <w:t>Selenka. Aquaculture. 255: 514 – 521.</w:t>
      </w:r>
    </w:p>
    <w:p>
      <w:pPr>
        <w:pStyle w:val="BodyText"/>
        <w:rPr>
          <w:sz w:val="20"/>
        </w:rPr>
      </w:pPr>
    </w:p>
    <w:p>
      <w:pPr>
        <w:spacing w:before="1"/>
        <w:ind w:left="781" w:right="516" w:firstLine="0"/>
        <w:jc w:val="both"/>
        <w:rPr>
          <w:sz w:val="20"/>
        </w:rPr>
      </w:pPr>
      <w:r>
        <w:rPr>
          <w:sz w:val="20"/>
        </w:rPr>
        <w:t>Drennan D., K. Hosler, M. Francis, D. Weaver, E. Aneshansley, G. Beckman, C. Johnson y C. Cristina. 2006. Standardized evaluation and rating of biofilters II. Manufacturer’s and user’s perspective. Aquacultural engineering. 34: 403 - 416</w:t>
      </w:r>
    </w:p>
    <w:p>
      <w:pPr>
        <w:pStyle w:val="BodyText"/>
        <w:rPr>
          <w:sz w:val="20"/>
        </w:rPr>
      </w:pPr>
    </w:p>
    <w:p>
      <w:pPr>
        <w:spacing w:before="1"/>
        <w:ind w:left="781" w:right="514" w:firstLine="0"/>
        <w:jc w:val="both"/>
        <w:rPr>
          <w:sz w:val="20"/>
        </w:rPr>
      </w:pPr>
      <w:r>
        <w:rPr>
          <w:sz w:val="20"/>
        </w:rPr>
        <w:t>Duarte, J. Palmieri, S. Frutos, O. Guerrero. 2003. Estudio de alternativas de abastecimiento de agua para el Chaco Central. Informe Final de Consultoría. Banco Interamericano de Desarrollo. Asunción, Secretaría Técnica de Planificación.</w:t>
      </w:r>
    </w:p>
    <w:p>
      <w:pPr>
        <w:pStyle w:val="BodyText"/>
        <w:rPr>
          <w:sz w:val="24"/>
        </w:rPr>
      </w:pPr>
    </w:p>
    <w:p>
      <w:pPr>
        <w:spacing w:before="0"/>
        <w:ind w:left="781" w:right="514" w:firstLine="0"/>
        <w:jc w:val="both"/>
        <w:rPr>
          <w:sz w:val="20"/>
        </w:rPr>
      </w:pPr>
      <w:r>
        <w:rPr>
          <w:sz w:val="20"/>
        </w:rPr>
        <w:t>Eding E., A. Kamstra, J. Verreth, E. Huisman y A. klapwijk. 2006. Design and operation of nitrifying trickling filters in recirculating aquaculture: A review. Aquacultural engineering. 34: 234 – 260.</w:t>
      </w:r>
    </w:p>
    <w:p>
      <w:pPr>
        <w:pStyle w:val="BodyText"/>
        <w:rPr>
          <w:sz w:val="20"/>
        </w:rPr>
      </w:pPr>
    </w:p>
    <w:p>
      <w:pPr>
        <w:spacing w:before="1"/>
        <w:ind w:left="781" w:right="514" w:firstLine="0"/>
        <w:jc w:val="both"/>
        <w:rPr>
          <w:sz w:val="20"/>
        </w:rPr>
      </w:pPr>
      <w:r>
        <w:rPr>
          <w:sz w:val="20"/>
        </w:rPr>
        <w:t>Estación Meteorológica del Centro Interamericano de Recursos del Agua (EMCIRA). (2006). Registro de precipitación. CIRA. México.</w:t>
      </w:r>
    </w:p>
    <w:p>
      <w:pPr>
        <w:pStyle w:val="BodyText"/>
        <w:spacing w:before="9"/>
        <w:rPr>
          <w:sz w:val="19"/>
        </w:rPr>
      </w:pPr>
    </w:p>
    <w:p>
      <w:pPr>
        <w:spacing w:before="1"/>
        <w:ind w:left="781" w:right="515" w:firstLine="0"/>
        <w:jc w:val="both"/>
        <w:rPr>
          <w:sz w:val="20"/>
        </w:rPr>
      </w:pPr>
      <w:r>
        <w:rPr>
          <w:sz w:val="20"/>
        </w:rPr>
        <w:t>Ester C., J. Novak, G. Libey y G. Boardman. 1994. Rotating biological contactor performance. En: Timmons E., T. Losordo. (Eds). Aquaculture water reuse systems. Elsevier. Holanda.</w:t>
      </w:r>
    </w:p>
    <w:p>
      <w:pPr>
        <w:pStyle w:val="BodyText"/>
        <w:rPr>
          <w:sz w:val="20"/>
        </w:rPr>
      </w:pPr>
    </w:p>
    <w:p>
      <w:pPr>
        <w:spacing w:before="1"/>
        <w:ind w:left="781" w:right="514" w:firstLine="0"/>
        <w:jc w:val="both"/>
        <w:rPr>
          <w:sz w:val="20"/>
        </w:rPr>
      </w:pPr>
      <w:r>
        <w:rPr>
          <w:sz w:val="20"/>
        </w:rPr>
        <w:t>Evans C.A., P.J. Coombes y R.H. Dunstan. 2006. Wind, rain and bacteria: The effect of weather on the microbial composition of roof-harvested rainwater. Water Research 40:37 – 44.</w:t>
      </w:r>
    </w:p>
    <w:p>
      <w:pPr>
        <w:pStyle w:val="BodyText"/>
        <w:rPr>
          <w:sz w:val="20"/>
        </w:rPr>
      </w:pPr>
    </w:p>
    <w:p>
      <w:pPr>
        <w:spacing w:before="1"/>
        <w:ind w:left="781" w:right="512" w:firstLine="0"/>
        <w:jc w:val="both"/>
        <w:rPr>
          <w:sz w:val="20"/>
        </w:rPr>
      </w:pPr>
      <w:r>
        <w:rPr>
          <w:sz w:val="20"/>
        </w:rPr>
        <w:t>Fall C., C. Díaz, D. García y C. Solis. 2006. Hydraulically powered treatment plant: Mexico. En: Sharing innovative experiences, example of successful experiences in providing  safe  drinking water. (Ed.) TWAS/TWNSO, UNDP. Trieste, Italia. pp. 237 – 245.</w:t>
      </w:r>
    </w:p>
    <w:p>
      <w:pPr>
        <w:pStyle w:val="BodyText"/>
        <w:spacing w:before="9"/>
        <w:rPr>
          <w:sz w:val="19"/>
        </w:rPr>
      </w:pPr>
    </w:p>
    <w:p>
      <w:pPr>
        <w:spacing w:line="480" w:lineRule="auto" w:before="1"/>
        <w:ind w:left="781" w:right="1070" w:firstLine="0"/>
        <w:jc w:val="left"/>
        <w:rPr>
          <w:sz w:val="20"/>
        </w:rPr>
      </w:pPr>
      <w:r>
        <w:rPr>
          <w:sz w:val="20"/>
        </w:rPr>
        <w:t>Fall C. 2007. Modelación y simulación del proceso de lodos activados. CIRA. UAEM. México. Fall C. 1999. Operaciones unitarias básicas. CIRA. UAEM. México.</w:t>
      </w:r>
    </w:p>
    <w:p>
      <w:pPr>
        <w:spacing w:before="7"/>
        <w:ind w:left="781" w:right="513" w:firstLine="0"/>
        <w:jc w:val="both"/>
        <w:rPr>
          <w:sz w:val="20"/>
        </w:rPr>
      </w:pPr>
      <w:r>
        <w:rPr>
          <w:sz w:val="20"/>
        </w:rPr>
        <w:t>Fivelstad S., A. Bergheim, H. Kloften, R. Haugen, T. Lohne y A. Olsen. 1999. Water flow requirements in the intensive production of Atlantic salmon (</w:t>
      </w:r>
      <w:r>
        <w:rPr>
          <w:i/>
          <w:sz w:val="20"/>
        </w:rPr>
        <w:t>Salmo salar </w:t>
      </w:r>
      <w:r>
        <w:rPr>
          <w:sz w:val="20"/>
        </w:rPr>
        <w:t>L.) fry: growth and oxygen consumption. Aquacultural Engineering. 20: 1 – 15.</w:t>
      </w:r>
    </w:p>
    <w:p>
      <w:pPr>
        <w:pStyle w:val="BodyText"/>
        <w:rPr>
          <w:sz w:val="20"/>
        </w:rPr>
      </w:pPr>
    </w:p>
    <w:p>
      <w:pPr>
        <w:spacing w:before="1"/>
        <w:ind w:left="781" w:right="0" w:firstLine="0"/>
        <w:jc w:val="both"/>
        <w:rPr>
          <w:sz w:val="20"/>
        </w:rPr>
      </w:pPr>
      <w:r>
        <w:rPr>
          <w:sz w:val="20"/>
        </w:rPr>
        <w:t>Gallego A.  I., R. Carrillo, D. García, L. Sasso, J. Guerrero, R. Carrillo, D. García, C. Díaz, C.   Fall,</w:t>
      </w:r>
    </w:p>
    <w:p>
      <w:pPr>
        <w:spacing w:before="0"/>
        <w:ind w:left="781" w:right="512" w:firstLine="0"/>
        <w:jc w:val="both"/>
        <w:rPr>
          <w:sz w:val="20"/>
        </w:rPr>
      </w:pPr>
      <w:r>
        <w:rPr>
          <w:sz w:val="20"/>
        </w:rPr>
        <w:t>C. Burrola, L. White, J. Manjarrez, C. Zepeda, X. Aguilar, G. Legorreta y A. Sánchez. 2007. Programa maestro, Sistema producto trucha del estado de México. UAEM, México. 135 p.</w:t>
      </w:r>
    </w:p>
    <w:p>
      <w:pPr>
        <w:spacing w:after="0"/>
        <w:jc w:val="both"/>
        <w:rPr>
          <w:sz w:val="20"/>
        </w:rPr>
        <w:sectPr>
          <w:pgSz w:w="12240" w:h="15840"/>
          <w:pgMar w:header="725" w:footer="1084" w:top="1340" w:bottom="1280" w:left="920" w:right="1200"/>
        </w:sectPr>
      </w:pPr>
    </w:p>
    <w:p>
      <w:pPr>
        <w:pStyle w:val="BodyText"/>
        <w:spacing w:before="8"/>
        <w:rPr>
          <w:sz w:val="8"/>
        </w:rPr>
      </w:pPr>
    </w:p>
    <w:p>
      <w:pPr>
        <w:spacing w:before="74"/>
        <w:ind w:left="781" w:right="514" w:firstLine="0"/>
        <w:jc w:val="both"/>
        <w:rPr>
          <w:sz w:val="20"/>
        </w:rPr>
      </w:pPr>
      <w:r>
        <w:rPr>
          <w:sz w:val="20"/>
        </w:rPr>
        <w:t>Gallego A. I., D. García, C. Díaz y C. Fall. 2004. Production of juveniles of Oncorhynchus mykiss using am aquaculture water treatment plant. En: Adams S. y Olafsen J. Biotechnologies for quality. EAS. Bélgica. 884p.</w:t>
      </w:r>
    </w:p>
    <w:p>
      <w:pPr>
        <w:pStyle w:val="BodyText"/>
        <w:spacing w:before="9"/>
        <w:rPr>
          <w:sz w:val="19"/>
        </w:rPr>
      </w:pPr>
    </w:p>
    <w:p>
      <w:pPr>
        <w:spacing w:line="240" w:lineRule="auto" w:before="1"/>
        <w:ind w:left="781" w:right="513" w:firstLine="0"/>
        <w:jc w:val="both"/>
        <w:rPr>
          <w:sz w:val="20"/>
        </w:rPr>
      </w:pPr>
      <w:r>
        <w:rPr>
          <w:sz w:val="20"/>
        </w:rPr>
        <w:t>Gallego A. I. 2004. Diseño y evaluación de un sistema prototipo para el tratamiento de agua residual acuícola con reuso de agua en el cultivo de </w:t>
      </w:r>
      <w:r>
        <w:rPr>
          <w:i/>
          <w:sz w:val="20"/>
        </w:rPr>
        <w:t>Oncorhynchus mykiss </w:t>
      </w:r>
      <w:r>
        <w:rPr>
          <w:sz w:val="20"/>
        </w:rPr>
        <w:t>en la fase alevín – juvenil.  Tesis de maestría. CIRA, Facultad de Ingeniería, UAEM. México.</w:t>
      </w:r>
    </w:p>
    <w:p>
      <w:pPr>
        <w:pStyle w:val="BodyText"/>
        <w:rPr>
          <w:sz w:val="20"/>
        </w:rPr>
      </w:pPr>
    </w:p>
    <w:p>
      <w:pPr>
        <w:spacing w:before="1"/>
        <w:ind w:left="781" w:right="515" w:firstLine="0"/>
        <w:jc w:val="both"/>
        <w:rPr>
          <w:sz w:val="20"/>
        </w:rPr>
      </w:pPr>
      <w:r>
        <w:rPr>
          <w:sz w:val="20"/>
        </w:rPr>
        <w:t>García C. M. 2010. Evaluación de especies nitrogenadas en agua de pozos aledaños a panteones. Tesis de Maestría en Ciencias del Agua. CIRA. UAEM.</w:t>
      </w:r>
    </w:p>
    <w:p>
      <w:pPr>
        <w:pStyle w:val="BodyText"/>
        <w:rPr>
          <w:sz w:val="20"/>
        </w:rPr>
      </w:pPr>
    </w:p>
    <w:p>
      <w:pPr>
        <w:spacing w:before="1"/>
        <w:ind w:left="781" w:right="514" w:firstLine="0"/>
        <w:jc w:val="both"/>
        <w:rPr>
          <w:sz w:val="20"/>
        </w:rPr>
      </w:pPr>
      <w:r>
        <w:rPr>
          <w:sz w:val="20"/>
        </w:rPr>
        <w:t>García – Pulido. D., Gallego – Alarcón I., Díaz - Delgado C., Fall C. y Burrola- Aguilar C. En  prensa. Evaluación de un sistema de recirculación y acondicionamiento de agua en truticultura. Tecnología y Ciencias del Agua.</w:t>
      </w:r>
      <w:r>
        <w:rPr>
          <w:spacing w:val="-22"/>
          <w:sz w:val="20"/>
        </w:rPr>
        <w:t> </w:t>
      </w:r>
      <w:r>
        <w:rPr>
          <w:sz w:val="20"/>
        </w:rPr>
        <w:t>2(1).</w:t>
      </w:r>
    </w:p>
    <w:p>
      <w:pPr>
        <w:pStyle w:val="BodyText"/>
        <w:spacing w:before="9"/>
        <w:rPr>
          <w:sz w:val="19"/>
        </w:rPr>
      </w:pPr>
    </w:p>
    <w:p>
      <w:pPr>
        <w:spacing w:before="1"/>
        <w:ind w:left="781" w:right="514" w:firstLine="0"/>
        <w:jc w:val="both"/>
        <w:rPr>
          <w:sz w:val="20"/>
        </w:rPr>
      </w:pPr>
      <w:r>
        <w:rPr>
          <w:sz w:val="20"/>
        </w:rPr>
        <w:t>García P.D. 2008. Evaluación de un sistema prototipo integral de cultivo de trucha con  tratamiento y reciclado del efluente. Tesis de Doctorado. CIRA. Facultad de Ingeniería. UAEM. México.</w:t>
      </w:r>
    </w:p>
    <w:p>
      <w:pPr>
        <w:pStyle w:val="BodyText"/>
        <w:rPr>
          <w:sz w:val="20"/>
        </w:rPr>
      </w:pPr>
    </w:p>
    <w:p>
      <w:pPr>
        <w:spacing w:before="1"/>
        <w:ind w:left="781" w:right="516" w:firstLine="0"/>
        <w:jc w:val="both"/>
        <w:rPr>
          <w:sz w:val="20"/>
        </w:rPr>
      </w:pPr>
      <w:r>
        <w:rPr>
          <w:sz w:val="20"/>
        </w:rPr>
        <w:t>García P.D. 1999. “Planta experimental de tratamiento de aguas residuales por medios biológicos” Tesis para la obtención de grado de maestría. UAEM. 232pp</w:t>
      </w:r>
    </w:p>
    <w:p>
      <w:pPr>
        <w:pStyle w:val="BodyText"/>
        <w:spacing w:before="9"/>
        <w:rPr>
          <w:sz w:val="19"/>
        </w:rPr>
      </w:pPr>
    </w:p>
    <w:p>
      <w:pPr>
        <w:spacing w:before="1"/>
        <w:ind w:left="781" w:right="514" w:firstLine="0"/>
        <w:jc w:val="both"/>
        <w:rPr>
          <w:sz w:val="20"/>
        </w:rPr>
      </w:pPr>
      <w:r>
        <w:rPr>
          <w:sz w:val="20"/>
        </w:rPr>
        <w:t>Garrido S., M. Avilés, A. Ramírez, L.A. Barrera, A. González, L. Montellano, R.M. Ramírez, O. Cervantes y C. Díaz. 2005. Sistema para la captación y potabilización de aguas pluviales para uso  y consumo humano en comunidades rurales del norte del Estado de Morelos, Parte I. En: Memorias del Taller Regional Iberoamericano preparatorio para el IV Foro Mundial del Agua. México.</w:t>
      </w:r>
    </w:p>
    <w:p>
      <w:pPr>
        <w:pStyle w:val="BodyText"/>
        <w:spacing w:before="9"/>
        <w:rPr>
          <w:sz w:val="19"/>
        </w:rPr>
      </w:pPr>
    </w:p>
    <w:p>
      <w:pPr>
        <w:spacing w:line="240" w:lineRule="auto" w:before="1"/>
        <w:ind w:left="781" w:right="511" w:firstLine="0"/>
        <w:jc w:val="both"/>
        <w:rPr>
          <w:sz w:val="20"/>
        </w:rPr>
      </w:pPr>
      <w:r>
        <w:rPr>
          <w:sz w:val="20"/>
        </w:rPr>
        <w:t>González R., F. Díaz, A. Licea, A. D.Re, L. N. Sánchez y Z. García-Esquivel. 2010.Thermal preference, tolerance and oxygen consumption of adult white shrimp </w:t>
      </w:r>
      <w:r>
        <w:rPr>
          <w:i/>
          <w:sz w:val="20"/>
        </w:rPr>
        <w:t>Litopenaeus vannamei </w:t>
      </w:r>
      <w:r>
        <w:rPr>
          <w:sz w:val="20"/>
        </w:rPr>
        <w:t>(Boone) exposed to different acclimation temperatures. Journal of Thermal Biology. 35: 218 – 224.</w:t>
      </w:r>
    </w:p>
    <w:p>
      <w:pPr>
        <w:pStyle w:val="BodyText"/>
        <w:rPr>
          <w:sz w:val="20"/>
        </w:rPr>
      </w:pPr>
    </w:p>
    <w:p>
      <w:pPr>
        <w:spacing w:before="1"/>
        <w:ind w:left="781" w:right="516" w:firstLine="0"/>
        <w:jc w:val="both"/>
        <w:rPr>
          <w:sz w:val="20"/>
        </w:rPr>
      </w:pPr>
      <w:r>
        <w:rPr>
          <w:sz w:val="20"/>
        </w:rPr>
        <w:t>Grady L., G. Diagger y H. Lim. 1999. Biological wastewater treatment. Marcel – Dekker. USA. 1076 p.</w:t>
      </w:r>
    </w:p>
    <w:p>
      <w:pPr>
        <w:pStyle w:val="BodyText"/>
        <w:spacing w:before="9"/>
        <w:rPr>
          <w:sz w:val="19"/>
        </w:rPr>
      </w:pPr>
    </w:p>
    <w:p>
      <w:pPr>
        <w:spacing w:line="242" w:lineRule="auto" w:before="1"/>
        <w:ind w:left="781" w:right="514" w:firstLine="0"/>
        <w:jc w:val="both"/>
        <w:rPr>
          <w:sz w:val="20"/>
        </w:rPr>
      </w:pPr>
      <w:r>
        <w:rPr>
          <w:sz w:val="20"/>
        </w:rPr>
        <w:t>Grottum J. y T. Sigholt. 1998. A model for oxygen consumption of atlantic salmon (</w:t>
      </w:r>
      <w:r>
        <w:rPr>
          <w:i/>
          <w:sz w:val="20"/>
        </w:rPr>
        <w:t>Salmo salar</w:t>
      </w:r>
      <w:r>
        <w:rPr>
          <w:sz w:val="20"/>
        </w:rPr>
        <w:t>) based on measurements of individual fish in a tunnel respirometer. Aquacultural engineering. 17: 241 – 251.</w:t>
      </w:r>
    </w:p>
    <w:p>
      <w:pPr>
        <w:pStyle w:val="BodyText"/>
        <w:spacing w:before="7"/>
        <w:rPr>
          <w:sz w:val="23"/>
        </w:rPr>
      </w:pPr>
    </w:p>
    <w:p>
      <w:pPr>
        <w:spacing w:before="0"/>
        <w:ind w:left="781" w:right="512" w:firstLine="0"/>
        <w:jc w:val="both"/>
        <w:rPr>
          <w:sz w:val="20"/>
        </w:rPr>
      </w:pPr>
      <w:r>
        <w:rPr>
          <w:sz w:val="20"/>
        </w:rPr>
        <w:t>Guerdat T., T. Losordo, J. Classen, J. Osborne y D. DeLong. 2010. An evaluation of commercially available biological filters for recirculating aquaculture systems. Aquacultural Engineering. 42:38 – 49.</w:t>
      </w:r>
    </w:p>
    <w:p>
      <w:pPr>
        <w:pStyle w:val="BodyText"/>
        <w:rPr>
          <w:sz w:val="20"/>
        </w:rPr>
      </w:pPr>
    </w:p>
    <w:p>
      <w:pPr>
        <w:spacing w:before="1"/>
        <w:ind w:left="781" w:right="515" w:firstLine="0"/>
        <w:jc w:val="both"/>
        <w:rPr>
          <w:sz w:val="20"/>
        </w:rPr>
      </w:pPr>
      <w:r>
        <w:rPr>
          <w:sz w:val="20"/>
        </w:rPr>
        <w:t>Gujer, W. y M. Boller.1986. Design of a nitrifying tertiary trickling filter based on theoretical concepts. Water Research. 20: 1353 – 1362.</w:t>
      </w:r>
    </w:p>
    <w:p>
      <w:pPr>
        <w:pStyle w:val="BodyText"/>
        <w:spacing w:before="9"/>
        <w:rPr>
          <w:sz w:val="23"/>
        </w:rPr>
      </w:pPr>
    </w:p>
    <w:p>
      <w:pPr>
        <w:spacing w:line="240" w:lineRule="auto" w:before="0"/>
        <w:ind w:left="781" w:right="513" w:firstLine="0"/>
        <w:jc w:val="both"/>
        <w:rPr>
          <w:sz w:val="20"/>
        </w:rPr>
      </w:pPr>
      <w:r>
        <w:rPr>
          <w:sz w:val="20"/>
        </w:rPr>
        <w:t>Hafedh Y., A. Alam y M. Alam. 2003. Performance of plastic biofilter media with different configuration in a water recirculation system for the culture of Nile tilapia (</w:t>
      </w:r>
      <w:r>
        <w:rPr>
          <w:i/>
          <w:sz w:val="20"/>
        </w:rPr>
        <w:t>Oreochromis niloticus</w:t>
      </w:r>
      <w:r>
        <w:rPr>
          <w:sz w:val="20"/>
        </w:rPr>
        <w:t>). Aquacultural engineering. 29: 139 – 154.</w:t>
      </w:r>
    </w:p>
    <w:p>
      <w:pPr>
        <w:pStyle w:val="BodyText"/>
        <w:rPr>
          <w:sz w:val="20"/>
        </w:rPr>
      </w:pPr>
    </w:p>
    <w:p>
      <w:pPr>
        <w:spacing w:before="1"/>
        <w:ind w:left="781" w:right="518" w:firstLine="0"/>
        <w:jc w:val="both"/>
        <w:rPr>
          <w:sz w:val="20"/>
        </w:rPr>
      </w:pPr>
      <w:r>
        <w:rPr>
          <w:sz w:val="20"/>
        </w:rPr>
        <w:t>Hernández S. A. 2010. Propuesta de modificación del índice de Larson para la evaluación total de la acidez que aportan los iones minerales del agua. Estudio de caso, agua que se distribuye en la Ciudad de Toluca. Tesis de Licenciatura. Facultad de Química. UAEM.</w:t>
      </w:r>
    </w:p>
    <w:p>
      <w:pPr>
        <w:pStyle w:val="BodyText"/>
        <w:rPr>
          <w:sz w:val="20"/>
        </w:rPr>
      </w:pPr>
    </w:p>
    <w:p>
      <w:pPr>
        <w:spacing w:before="1"/>
        <w:ind w:left="781" w:right="514" w:firstLine="0"/>
        <w:jc w:val="both"/>
        <w:rPr>
          <w:sz w:val="20"/>
        </w:rPr>
      </w:pPr>
      <w:r>
        <w:rPr>
          <w:sz w:val="20"/>
        </w:rPr>
        <w:t>IICA. 1998. Sistemas de Captación de agua de lluvia para uso doméstico en América latina y El Caribe. Manual Técnico. Agencia de cooperación técnica IICA-México.</w:t>
      </w:r>
    </w:p>
    <w:p>
      <w:pPr>
        <w:spacing w:after="0"/>
        <w:jc w:val="both"/>
        <w:rPr>
          <w:sz w:val="20"/>
        </w:rPr>
        <w:sectPr>
          <w:pgSz w:w="12240" w:h="15840"/>
          <w:pgMar w:header="725" w:footer="1084" w:top="1340" w:bottom="1280" w:left="920" w:right="1200"/>
        </w:sectPr>
      </w:pPr>
    </w:p>
    <w:p>
      <w:pPr>
        <w:pStyle w:val="BodyText"/>
        <w:spacing w:before="8"/>
        <w:rPr>
          <w:sz w:val="8"/>
        </w:rPr>
      </w:pPr>
    </w:p>
    <w:p>
      <w:pPr>
        <w:spacing w:before="74"/>
        <w:ind w:left="781" w:right="515" w:firstLine="0"/>
        <w:jc w:val="both"/>
        <w:rPr>
          <w:sz w:val="20"/>
        </w:rPr>
      </w:pPr>
      <w:r>
        <w:rPr>
          <w:sz w:val="20"/>
        </w:rPr>
        <w:t>Ingram B. A., L. McKinnon y G. Gooley. 2002. Growth and survival of selected aquatic animals in two saline groundwater evaporation basins: an Australian case study. Aquaculture Research. 33: 425 – 436.</w:t>
      </w:r>
    </w:p>
    <w:p>
      <w:pPr>
        <w:pStyle w:val="BodyText"/>
        <w:spacing w:before="9"/>
        <w:rPr>
          <w:sz w:val="19"/>
        </w:rPr>
      </w:pPr>
    </w:p>
    <w:p>
      <w:pPr>
        <w:spacing w:before="1"/>
        <w:ind w:left="781" w:right="516" w:firstLine="0"/>
        <w:jc w:val="both"/>
        <w:rPr>
          <w:sz w:val="20"/>
        </w:rPr>
      </w:pPr>
      <w:r>
        <w:rPr>
          <w:sz w:val="20"/>
        </w:rPr>
        <w:t>Instituto Nacional de Estadística, Geografía e Informática (INEGI). 2004. Cartografía del Estado de México. En línea: </w:t>
      </w:r>
      <w:hyperlink r:id="rId124">
        <w:r>
          <w:rPr>
            <w:sz w:val="20"/>
          </w:rPr>
          <w:t>www.inegi.gob.mx.</w:t>
        </w:r>
      </w:hyperlink>
      <w:r>
        <w:rPr>
          <w:sz w:val="20"/>
        </w:rPr>
        <w:t> Consultado: 2010.</w:t>
      </w:r>
    </w:p>
    <w:p>
      <w:pPr>
        <w:pStyle w:val="BodyText"/>
        <w:rPr>
          <w:sz w:val="24"/>
        </w:rPr>
      </w:pPr>
    </w:p>
    <w:p>
      <w:pPr>
        <w:spacing w:before="0"/>
        <w:ind w:left="781" w:right="517" w:firstLine="0"/>
        <w:jc w:val="both"/>
        <w:rPr>
          <w:sz w:val="20"/>
        </w:rPr>
      </w:pPr>
      <w:r>
        <w:rPr>
          <w:sz w:val="20"/>
        </w:rPr>
        <w:t>Klontz W.G. 1991. Producción de trucha arco iris en granjas familiares. Universidad de Idaho. USA. 88pp.</w:t>
      </w:r>
    </w:p>
    <w:p>
      <w:pPr>
        <w:pStyle w:val="BodyText"/>
        <w:spacing w:before="9"/>
        <w:rPr>
          <w:sz w:val="19"/>
        </w:rPr>
      </w:pPr>
    </w:p>
    <w:p>
      <w:pPr>
        <w:spacing w:before="1"/>
        <w:ind w:left="781" w:right="517" w:firstLine="0"/>
        <w:jc w:val="both"/>
        <w:rPr>
          <w:sz w:val="20"/>
        </w:rPr>
      </w:pPr>
      <w:r>
        <w:rPr>
          <w:sz w:val="20"/>
        </w:rPr>
        <w:t>Kreft J.U., Picioreanu C., Wimpenny J.W.T., y van Loosdrecht M.C.M. 2001. Individual-based modeling of biofilms. Microbiology-SGM 147:2897-2912</w:t>
      </w:r>
    </w:p>
    <w:p>
      <w:pPr>
        <w:pStyle w:val="BodyText"/>
        <w:rPr>
          <w:sz w:val="20"/>
        </w:rPr>
      </w:pPr>
    </w:p>
    <w:p>
      <w:pPr>
        <w:spacing w:before="1"/>
        <w:ind w:left="781" w:right="513" w:firstLine="0"/>
        <w:jc w:val="both"/>
        <w:rPr>
          <w:sz w:val="20"/>
        </w:rPr>
      </w:pPr>
      <w:r>
        <w:rPr>
          <w:sz w:val="20"/>
        </w:rPr>
        <w:t>Larrea L., Albizuri J., Abad A., Larrea A. y Zalakain G. 2007. Optimizing and modeling nitrogen removal in a new configuration of the moving-bed biofilm reactor process. Water Science &amp; Technology, 55: 317 – 327</w:t>
      </w:r>
    </w:p>
    <w:p>
      <w:pPr>
        <w:pStyle w:val="BodyText"/>
        <w:spacing w:before="9"/>
        <w:rPr>
          <w:sz w:val="19"/>
        </w:rPr>
      </w:pPr>
    </w:p>
    <w:p>
      <w:pPr>
        <w:spacing w:before="1"/>
        <w:ind w:left="781" w:right="513" w:firstLine="0"/>
        <w:jc w:val="both"/>
        <w:rPr>
          <w:sz w:val="20"/>
        </w:rPr>
      </w:pPr>
      <w:r>
        <w:rPr>
          <w:sz w:val="20"/>
        </w:rPr>
        <w:t>Lee H., S. Lau, M. Kayhanian, y M. Stenstrom. 2004. Seasonal first flush phenomenon of urban stormwater discharges. Water Research 38: 4153 – 4163.</w:t>
      </w:r>
    </w:p>
    <w:p>
      <w:pPr>
        <w:pStyle w:val="BodyText"/>
        <w:rPr>
          <w:sz w:val="20"/>
        </w:rPr>
      </w:pPr>
    </w:p>
    <w:p>
      <w:pPr>
        <w:spacing w:before="1"/>
        <w:ind w:left="781" w:right="514" w:firstLine="0"/>
        <w:jc w:val="both"/>
        <w:rPr>
          <w:sz w:val="20"/>
        </w:rPr>
      </w:pPr>
      <w:r>
        <w:rPr>
          <w:sz w:val="20"/>
        </w:rPr>
        <w:t>Ling J. y S. Chen. 2005. Impact of organic carbon on nitrtification performance of different biofilters. Aquacultural Engineering. 33: 150 – 162.</w:t>
      </w:r>
    </w:p>
    <w:p>
      <w:pPr>
        <w:pStyle w:val="BodyText"/>
        <w:rPr>
          <w:sz w:val="20"/>
        </w:rPr>
      </w:pPr>
    </w:p>
    <w:p>
      <w:pPr>
        <w:spacing w:before="1"/>
        <w:ind w:left="781" w:right="0" w:firstLine="0"/>
        <w:jc w:val="both"/>
        <w:rPr>
          <w:sz w:val="20"/>
        </w:rPr>
      </w:pPr>
      <w:r>
        <w:rPr>
          <w:sz w:val="20"/>
        </w:rPr>
        <w:t>Lohr S. L. 2000. Muestreo: Diseño y analisis. International Thomson Editores. México. 480p.</w:t>
      </w:r>
    </w:p>
    <w:p>
      <w:pPr>
        <w:pStyle w:val="BodyText"/>
        <w:rPr>
          <w:sz w:val="20"/>
        </w:rPr>
      </w:pPr>
    </w:p>
    <w:p>
      <w:pPr>
        <w:spacing w:before="1"/>
        <w:ind w:left="781" w:right="515" w:firstLine="0"/>
        <w:jc w:val="both"/>
        <w:rPr>
          <w:sz w:val="20"/>
        </w:rPr>
      </w:pPr>
      <w:r>
        <w:rPr>
          <w:sz w:val="20"/>
        </w:rPr>
        <w:t>Loyless J. C. y R. Malone. 1997. A Sodium Bicarbonate Dosing Methodology for pH Management in</w:t>
      </w:r>
      <w:r>
        <w:rPr>
          <w:spacing w:val="-7"/>
          <w:sz w:val="20"/>
        </w:rPr>
        <w:t> </w:t>
      </w:r>
      <w:r>
        <w:rPr>
          <w:sz w:val="20"/>
        </w:rPr>
        <w:t>Freshwater-Recirculating</w:t>
      </w:r>
      <w:r>
        <w:rPr>
          <w:spacing w:val="-5"/>
          <w:sz w:val="20"/>
        </w:rPr>
        <w:t> </w:t>
      </w:r>
      <w:r>
        <w:rPr>
          <w:sz w:val="20"/>
        </w:rPr>
        <w:t>Aquaculture</w:t>
      </w:r>
      <w:r>
        <w:rPr>
          <w:spacing w:val="-5"/>
          <w:sz w:val="20"/>
        </w:rPr>
        <w:t> </w:t>
      </w:r>
      <w:r>
        <w:rPr>
          <w:sz w:val="20"/>
        </w:rPr>
        <w:t>Systems.</w:t>
      </w:r>
      <w:r>
        <w:rPr>
          <w:spacing w:val="-9"/>
          <w:sz w:val="20"/>
        </w:rPr>
        <w:t> </w:t>
      </w:r>
      <w:r>
        <w:rPr>
          <w:sz w:val="20"/>
        </w:rPr>
        <w:t>The</w:t>
      </w:r>
      <w:r>
        <w:rPr>
          <w:spacing w:val="-7"/>
          <w:sz w:val="20"/>
        </w:rPr>
        <w:t> </w:t>
      </w:r>
      <w:r>
        <w:rPr>
          <w:sz w:val="20"/>
        </w:rPr>
        <w:t>Progressive</w:t>
      </w:r>
      <w:r>
        <w:rPr>
          <w:spacing w:val="-7"/>
          <w:sz w:val="20"/>
        </w:rPr>
        <w:t> </w:t>
      </w:r>
      <w:r>
        <w:rPr>
          <w:sz w:val="20"/>
        </w:rPr>
        <w:t>Fish-Culturist</w:t>
      </w:r>
      <w:r>
        <w:rPr>
          <w:spacing w:val="-5"/>
          <w:sz w:val="20"/>
        </w:rPr>
        <w:t> </w:t>
      </w:r>
      <w:r>
        <w:rPr>
          <w:sz w:val="20"/>
        </w:rPr>
        <w:t>59:198-205.</w:t>
      </w:r>
    </w:p>
    <w:p>
      <w:pPr>
        <w:pStyle w:val="BodyText"/>
        <w:spacing w:before="9"/>
        <w:rPr>
          <w:sz w:val="19"/>
        </w:rPr>
      </w:pPr>
    </w:p>
    <w:p>
      <w:pPr>
        <w:spacing w:before="1"/>
        <w:ind w:left="781" w:right="514" w:firstLine="0"/>
        <w:jc w:val="both"/>
        <w:rPr>
          <w:sz w:val="20"/>
        </w:rPr>
      </w:pPr>
      <w:r>
        <w:rPr>
          <w:sz w:val="20"/>
        </w:rPr>
        <w:t>Maillard V., G. Boardman, J. Nayland y D. Kuhn. 2006. Water quality and sludge characterization at raceway-system trout farms. Aquacultural engineering. 33: 271 – 284</w:t>
      </w:r>
    </w:p>
    <w:p>
      <w:pPr>
        <w:pStyle w:val="BodyText"/>
        <w:rPr>
          <w:sz w:val="20"/>
        </w:rPr>
      </w:pPr>
    </w:p>
    <w:p>
      <w:pPr>
        <w:spacing w:before="1"/>
        <w:ind w:left="781" w:right="517" w:firstLine="0"/>
        <w:jc w:val="both"/>
        <w:rPr>
          <w:sz w:val="20"/>
        </w:rPr>
      </w:pPr>
      <w:r>
        <w:rPr>
          <w:sz w:val="20"/>
        </w:rPr>
        <w:t>Malone R. y T. Pfeiffer. 2006. Rating fixed film nitrifying biofilters used in recirculating aquaculture systems. Aquacultural engineering. 34: 389 – 402.</w:t>
      </w:r>
    </w:p>
    <w:p>
      <w:pPr>
        <w:pStyle w:val="BodyText"/>
        <w:spacing w:before="9"/>
        <w:rPr>
          <w:sz w:val="19"/>
        </w:rPr>
      </w:pPr>
    </w:p>
    <w:p>
      <w:pPr>
        <w:spacing w:before="1"/>
        <w:ind w:left="781" w:right="516" w:firstLine="0"/>
        <w:jc w:val="both"/>
        <w:rPr>
          <w:sz w:val="20"/>
        </w:rPr>
      </w:pPr>
      <w:r>
        <w:rPr>
          <w:sz w:val="20"/>
        </w:rPr>
        <w:t>Malone F. R. 2002. “Integrated design of recirculating aquaculture systems”. Aquaculture Engineering Society. News letter 5(4):2-6</w:t>
      </w:r>
    </w:p>
    <w:p>
      <w:pPr>
        <w:pStyle w:val="BodyText"/>
        <w:rPr>
          <w:sz w:val="20"/>
        </w:rPr>
      </w:pPr>
    </w:p>
    <w:p>
      <w:pPr>
        <w:spacing w:before="1"/>
        <w:ind w:left="781" w:right="514" w:firstLine="0"/>
        <w:jc w:val="both"/>
        <w:rPr>
          <w:sz w:val="20"/>
        </w:rPr>
      </w:pPr>
      <w:r>
        <w:rPr>
          <w:sz w:val="20"/>
        </w:rPr>
        <w:t>Mannina G., Di Trapani D., Torregrossa M. y Viviani G. 2007. Modelling of hybrid moving bed biofilm reactors:</w:t>
      </w:r>
      <w:r>
        <w:rPr>
          <w:spacing w:val="-5"/>
          <w:sz w:val="20"/>
        </w:rPr>
        <w:t> </w:t>
      </w:r>
      <w:r>
        <w:rPr>
          <w:sz w:val="20"/>
        </w:rPr>
        <w:t>a</w:t>
      </w:r>
      <w:r>
        <w:rPr>
          <w:spacing w:val="-5"/>
          <w:sz w:val="20"/>
        </w:rPr>
        <w:t> </w:t>
      </w:r>
      <w:r>
        <w:rPr>
          <w:sz w:val="20"/>
        </w:rPr>
        <w:t>pilot</w:t>
      </w:r>
      <w:r>
        <w:rPr>
          <w:spacing w:val="-5"/>
          <w:sz w:val="20"/>
        </w:rPr>
        <w:t> </w:t>
      </w:r>
      <w:r>
        <w:rPr>
          <w:sz w:val="20"/>
        </w:rPr>
        <w:t>plant</w:t>
      </w:r>
      <w:r>
        <w:rPr>
          <w:spacing w:val="-5"/>
          <w:sz w:val="20"/>
        </w:rPr>
        <w:t> </w:t>
      </w:r>
      <w:r>
        <w:rPr>
          <w:sz w:val="20"/>
        </w:rPr>
        <w:t>experiment.</w:t>
      </w:r>
      <w:r>
        <w:rPr>
          <w:spacing w:val="-7"/>
          <w:sz w:val="20"/>
        </w:rPr>
        <w:t> </w:t>
      </w:r>
      <w:r>
        <w:rPr>
          <w:sz w:val="20"/>
        </w:rPr>
        <w:t>Water</w:t>
      </w:r>
      <w:r>
        <w:rPr>
          <w:spacing w:val="-4"/>
          <w:sz w:val="20"/>
        </w:rPr>
        <w:t> </w:t>
      </w:r>
      <w:r>
        <w:rPr>
          <w:sz w:val="20"/>
        </w:rPr>
        <w:t>Science</w:t>
      </w:r>
      <w:r>
        <w:rPr>
          <w:spacing w:val="-5"/>
          <w:sz w:val="20"/>
        </w:rPr>
        <w:t> </w:t>
      </w:r>
      <w:r>
        <w:rPr>
          <w:sz w:val="20"/>
        </w:rPr>
        <w:t>&amp;</w:t>
      </w:r>
      <w:r>
        <w:rPr>
          <w:spacing w:val="-5"/>
          <w:sz w:val="20"/>
        </w:rPr>
        <w:t> </w:t>
      </w:r>
      <w:r>
        <w:rPr>
          <w:sz w:val="20"/>
        </w:rPr>
        <w:t>Technology,</w:t>
      </w:r>
      <w:r>
        <w:rPr>
          <w:spacing w:val="-2"/>
          <w:sz w:val="20"/>
        </w:rPr>
        <w:t> </w:t>
      </w:r>
      <w:r>
        <w:rPr>
          <w:sz w:val="20"/>
        </w:rPr>
        <w:t>55:</w:t>
      </w:r>
      <w:r>
        <w:rPr>
          <w:spacing w:val="-2"/>
          <w:sz w:val="20"/>
        </w:rPr>
        <w:t> </w:t>
      </w:r>
      <w:r>
        <w:rPr>
          <w:sz w:val="20"/>
        </w:rPr>
        <w:t>237</w:t>
      </w:r>
      <w:r>
        <w:rPr>
          <w:spacing w:val="-3"/>
          <w:sz w:val="20"/>
        </w:rPr>
        <w:t> </w:t>
      </w:r>
      <w:r>
        <w:rPr>
          <w:sz w:val="20"/>
        </w:rPr>
        <w:t>–</w:t>
      </w:r>
      <w:r>
        <w:rPr>
          <w:spacing w:val="-3"/>
          <w:sz w:val="20"/>
        </w:rPr>
        <w:t> </w:t>
      </w:r>
      <w:r>
        <w:rPr>
          <w:sz w:val="20"/>
        </w:rPr>
        <w:t>246.</w:t>
      </w:r>
    </w:p>
    <w:p>
      <w:pPr>
        <w:pStyle w:val="BodyText"/>
        <w:rPr>
          <w:sz w:val="20"/>
        </w:rPr>
      </w:pPr>
    </w:p>
    <w:p>
      <w:pPr>
        <w:spacing w:before="1"/>
        <w:ind w:left="781" w:right="517" w:firstLine="0"/>
        <w:jc w:val="both"/>
        <w:rPr>
          <w:sz w:val="20"/>
        </w:rPr>
      </w:pPr>
      <w:r>
        <w:rPr>
          <w:sz w:val="20"/>
        </w:rPr>
        <w:t>Merino G., R. Piedrahita, D. Conklin.2009. Routine oxygen consumption rates of California halibut (</w:t>
      </w:r>
      <w:r>
        <w:rPr>
          <w:i/>
          <w:sz w:val="20"/>
        </w:rPr>
        <w:t>Paralichthys californicus</w:t>
      </w:r>
      <w:r>
        <w:rPr>
          <w:sz w:val="20"/>
        </w:rPr>
        <w:t>) juveniles under farm – like conditions. Aquacultural engineering. 41:  166</w:t>
      </w:r>
    </w:p>
    <w:p>
      <w:pPr>
        <w:spacing w:before="3"/>
        <w:ind w:left="781" w:right="0" w:firstLine="0"/>
        <w:jc w:val="both"/>
        <w:rPr>
          <w:sz w:val="20"/>
        </w:rPr>
      </w:pPr>
      <w:r>
        <w:rPr>
          <w:sz w:val="20"/>
        </w:rPr>
        <w:t>– 175.</w:t>
      </w:r>
    </w:p>
    <w:p>
      <w:pPr>
        <w:pStyle w:val="BodyText"/>
        <w:spacing w:before="9"/>
        <w:rPr>
          <w:sz w:val="19"/>
        </w:rPr>
      </w:pPr>
    </w:p>
    <w:p>
      <w:pPr>
        <w:spacing w:before="1"/>
        <w:ind w:left="781" w:right="516" w:firstLine="0"/>
        <w:jc w:val="both"/>
        <w:rPr>
          <w:sz w:val="20"/>
        </w:rPr>
      </w:pPr>
      <w:r>
        <w:rPr>
          <w:sz w:val="20"/>
        </w:rPr>
        <w:t>Merino G., R. Piedrahita, D. Conklin. 2007. The effect of fish stocking density on the growth of California halibut (</w:t>
      </w:r>
      <w:r>
        <w:rPr>
          <w:i/>
          <w:sz w:val="20"/>
        </w:rPr>
        <w:t>Paralichthys californicus</w:t>
      </w:r>
      <w:r>
        <w:rPr>
          <w:sz w:val="20"/>
        </w:rPr>
        <w:t>) juveniles. Aquaculture. 271: 206 – 215.</w:t>
      </w:r>
    </w:p>
    <w:p>
      <w:pPr>
        <w:pStyle w:val="BodyText"/>
        <w:spacing w:before="3"/>
        <w:rPr>
          <w:sz w:val="20"/>
        </w:rPr>
      </w:pPr>
    </w:p>
    <w:p>
      <w:pPr>
        <w:spacing w:before="0"/>
        <w:ind w:left="781" w:right="514" w:firstLine="0"/>
        <w:jc w:val="both"/>
        <w:rPr>
          <w:sz w:val="20"/>
        </w:rPr>
      </w:pPr>
      <w:r>
        <w:rPr>
          <w:sz w:val="20"/>
        </w:rPr>
        <w:t>Metcalf y Eddy. 1991. Wastewater Engineering, treatment, disposal, reuse. Metcalf &amp; Eddy. McGraw Hill. USA. 1334pp</w:t>
      </w:r>
    </w:p>
    <w:p>
      <w:pPr>
        <w:pStyle w:val="BodyText"/>
        <w:spacing w:before="9"/>
        <w:rPr>
          <w:sz w:val="19"/>
        </w:rPr>
      </w:pPr>
    </w:p>
    <w:p>
      <w:pPr>
        <w:spacing w:before="1"/>
        <w:ind w:left="781" w:right="517" w:firstLine="0"/>
        <w:jc w:val="both"/>
        <w:rPr>
          <w:sz w:val="20"/>
        </w:rPr>
      </w:pPr>
      <w:r>
        <w:rPr>
          <w:sz w:val="20"/>
        </w:rPr>
        <w:t>Mohanty K. R. 2004. Density – dependent growth performance of Indian major carps in rainwater reservoir. Journal of applied ichthyology. 20: 123 – 127.</w:t>
      </w:r>
    </w:p>
    <w:p>
      <w:pPr>
        <w:spacing w:after="0"/>
        <w:jc w:val="both"/>
        <w:rPr>
          <w:sz w:val="20"/>
        </w:rPr>
        <w:sectPr>
          <w:pgSz w:w="12240" w:h="15840"/>
          <w:pgMar w:header="725" w:footer="1084" w:top="1340" w:bottom="1280" w:left="920" w:right="1200"/>
        </w:sectPr>
      </w:pPr>
    </w:p>
    <w:p>
      <w:pPr>
        <w:pStyle w:val="BodyText"/>
        <w:spacing w:before="8"/>
        <w:rPr>
          <w:sz w:val="8"/>
        </w:rPr>
      </w:pPr>
    </w:p>
    <w:p>
      <w:pPr>
        <w:spacing w:before="74"/>
        <w:ind w:left="781" w:right="515" w:firstLine="0"/>
        <w:jc w:val="both"/>
        <w:rPr>
          <w:sz w:val="20"/>
        </w:rPr>
      </w:pPr>
      <w:r>
        <w:rPr>
          <w:sz w:val="20"/>
        </w:rPr>
        <w:t>Montagne M. 2006. Two warm – water recirculating hatcheries used for propagation of endangered species in the upper Colorado river drainage system. International journal of recirculating aquaculture. 7: 43 – 52.</w:t>
      </w:r>
    </w:p>
    <w:p>
      <w:pPr>
        <w:pStyle w:val="BodyText"/>
        <w:spacing w:before="9"/>
        <w:rPr>
          <w:sz w:val="19"/>
        </w:rPr>
      </w:pPr>
    </w:p>
    <w:p>
      <w:pPr>
        <w:spacing w:before="1"/>
        <w:ind w:left="781" w:right="518" w:firstLine="0"/>
        <w:jc w:val="both"/>
        <w:rPr>
          <w:sz w:val="20"/>
        </w:rPr>
      </w:pPr>
      <w:r>
        <w:rPr>
          <w:sz w:val="20"/>
        </w:rPr>
        <w:t>Mundo-Molina M. 1997. Rain Collection as Water Source for Small Rural Communities in Chiapas, México. IMTA, México.</w:t>
      </w:r>
    </w:p>
    <w:p>
      <w:pPr>
        <w:pStyle w:val="BodyText"/>
        <w:rPr>
          <w:sz w:val="24"/>
        </w:rPr>
      </w:pPr>
    </w:p>
    <w:p>
      <w:pPr>
        <w:spacing w:before="0"/>
        <w:ind w:left="781" w:right="516" w:firstLine="0"/>
        <w:jc w:val="both"/>
        <w:rPr>
          <w:sz w:val="20"/>
        </w:rPr>
      </w:pPr>
      <w:r>
        <w:rPr>
          <w:sz w:val="20"/>
        </w:rPr>
        <w:t>Noguera D.R. y Picioreanu C. 2004. Results from the Multi-Species Benchmark Problem 3 (BM3) using Two-Dimensional Models. Water Sci Technol 49:169-176.</w:t>
      </w:r>
    </w:p>
    <w:p>
      <w:pPr>
        <w:pStyle w:val="BodyText"/>
        <w:spacing w:before="9"/>
        <w:rPr>
          <w:sz w:val="19"/>
        </w:rPr>
      </w:pPr>
    </w:p>
    <w:p>
      <w:pPr>
        <w:spacing w:before="1"/>
        <w:ind w:left="781" w:right="516" w:firstLine="0"/>
        <w:jc w:val="both"/>
        <w:rPr>
          <w:sz w:val="20"/>
        </w:rPr>
      </w:pPr>
      <w:r>
        <w:rPr>
          <w:sz w:val="20"/>
        </w:rPr>
        <w:t>Noguera D.R., S. Okabe y C. Picioreanu. 1999. Biofilm modeling, present status an future directions. Wat. Sci. Tec. 39:273-278.</w:t>
      </w:r>
    </w:p>
    <w:p>
      <w:pPr>
        <w:pStyle w:val="BodyText"/>
        <w:rPr>
          <w:sz w:val="20"/>
        </w:rPr>
      </w:pPr>
    </w:p>
    <w:p>
      <w:pPr>
        <w:spacing w:before="1"/>
        <w:ind w:left="781" w:right="511" w:firstLine="0"/>
        <w:jc w:val="both"/>
        <w:rPr>
          <w:sz w:val="20"/>
        </w:rPr>
      </w:pPr>
      <w:r>
        <w:rPr>
          <w:sz w:val="20"/>
        </w:rPr>
        <w:t>Papoutsoglou S., N. Karakatsouli y G. Chiras. 2005. Dietary L-tryptophan and tank colour effects on growth performance of rainbow trout (Oncorhynchus mykiss) juveniles reared in a recirculating  water system. Aquacultural engineering. 32: 277 –</w:t>
      </w:r>
      <w:r>
        <w:rPr>
          <w:spacing w:val="-25"/>
          <w:sz w:val="20"/>
        </w:rPr>
        <w:t> </w:t>
      </w:r>
      <w:r>
        <w:rPr>
          <w:sz w:val="20"/>
        </w:rPr>
        <w:t>284.</w:t>
      </w:r>
    </w:p>
    <w:p>
      <w:pPr>
        <w:pStyle w:val="BodyText"/>
        <w:spacing w:before="9"/>
        <w:rPr>
          <w:sz w:val="19"/>
        </w:rPr>
      </w:pPr>
    </w:p>
    <w:p>
      <w:pPr>
        <w:spacing w:before="1"/>
        <w:ind w:left="781" w:right="514" w:firstLine="0"/>
        <w:jc w:val="both"/>
        <w:rPr>
          <w:sz w:val="20"/>
        </w:rPr>
      </w:pPr>
      <w:r>
        <w:rPr>
          <w:sz w:val="20"/>
        </w:rPr>
        <w:t>Patterson R. y K. Watts. 2003. Micro-particles in recirculating aquaculture systems: particle size analysis of culture water from a commercial Atlantic salmon site. Aquacultural engineering. 28:99 – 113</w:t>
      </w:r>
    </w:p>
    <w:p>
      <w:pPr>
        <w:pStyle w:val="BodyText"/>
        <w:spacing w:before="9"/>
        <w:rPr>
          <w:sz w:val="19"/>
        </w:rPr>
      </w:pPr>
    </w:p>
    <w:p>
      <w:pPr>
        <w:spacing w:before="1"/>
        <w:ind w:left="781" w:right="0" w:firstLine="0"/>
        <w:jc w:val="both"/>
        <w:rPr>
          <w:sz w:val="20"/>
        </w:rPr>
      </w:pPr>
      <w:r>
        <w:rPr>
          <w:sz w:val="20"/>
        </w:rPr>
        <w:t>Pedregal, 2005. Tablas de alimentación para 1,000 truchas arco iris con alimento Silver Cup. 1pp.</w:t>
      </w:r>
    </w:p>
    <w:p>
      <w:pPr>
        <w:pStyle w:val="BodyText"/>
        <w:rPr>
          <w:sz w:val="20"/>
        </w:rPr>
      </w:pPr>
    </w:p>
    <w:p>
      <w:pPr>
        <w:spacing w:before="1"/>
        <w:ind w:left="781" w:right="515" w:firstLine="0"/>
        <w:jc w:val="both"/>
        <w:rPr>
          <w:sz w:val="20"/>
        </w:rPr>
      </w:pPr>
      <w:r>
        <w:rPr>
          <w:sz w:val="20"/>
        </w:rPr>
        <w:t>Perera E., E. Diaz – Iglesias, I. Fraga, O. Carrillo y G. Galich. 2007. Effect of body weight, temperatura and feeding on the metabolic rate in the spiny lobster Panulirus argus (Latreille, 1804). Aquaculture. 265: 261 – 270.</w:t>
      </w:r>
    </w:p>
    <w:p>
      <w:pPr>
        <w:pStyle w:val="BodyText"/>
        <w:spacing w:before="9"/>
        <w:rPr>
          <w:sz w:val="19"/>
        </w:rPr>
      </w:pPr>
    </w:p>
    <w:p>
      <w:pPr>
        <w:spacing w:before="1"/>
        <w:ind w:left="781" w:right="514" w:firstLine="0"/>
        <w:jc w:val="both"/>
        <w:rPr>
          <w:sz w:val="20"/>
        </w:rPr>
      </w:pPr>
      <w:r>
        <w:rPr>
          <w:sz w:val="20"/>
        </w:rPr>
        <w:t>Pérez J., Picioreanu C., y van Loosdrecht M.C.M. 2005. Modeling biofilm and floc diffusion processes based on analytical solution of reaction-diffusion equations. Water Research, 39:1311- 1323.</w:t>
      </w:r>
    </w:p>
    <w:p>
      <w:pPr>
        <w:pStyle w:val="BodyText"/>
        <w:rPr>
          <w:sz w:val="20"/>
        </w:rPr>
      </w:pPr>
    </w:p>
    <w:p>
      <w:pPr>
        <w:spacing w:before="1"/>
        <w:ind w:left="781" w:right="515" w:firstLine="0"/>
        <w:jc w:val="both"/>
        <w:rPr>
          <w:sz w:val="20"/>
        </w:rPr>
      </w:pPr>
      <w:r>
        <w:rPr>
          <w:sz w:val="20"/>
        </w:rPr>
        <w:t>Pfieffer T. y R. Malone. 2006. Nitrification performance of a propeller-washed bead clarifier supporting a fluidized sand biofilter in a recirculating warmwater fish system. Aquacultural engineering. 34:311 – 321.</w:t>
      </w:r>
    </w:p>
    <w:p>
      <w:pPr>
        <w:pStyle w:val="BodyText"/>
        <w:rPr>
          <w:sz w:val="20"/>
        </w:rPr>
      </w:pPr>
    </w:p>
    <w:p>
      <w:pPr>
        <w:spacing w:before="1"/>
        <w:ind w:left="781" w:right="514" w:firstLine="0"/>
        <w:jc w:val="left"/>
        <w:rPr>
          <w:sz w:val="20"/>
        </w:rPr>
      </w:pPr>
      <w:r>
        <w:rPr>
          <w:sz w:val="20"/>
        </w:rPr>
        <w:t>Picioreanu C., Head I.M., Katuri K.P., Van Loosdrecht M.C.M., y Scott K. 2007. A computational model for biofilm-based microbial fuel cells. Water Research, 41:2921-2940.</w:t>
      </w:r>
    </w:p>
    <w:p>
      <w:pPr>
        <w:pStyle w:val="BodyText"/>
        <w:spacing w:before="9"/>
        <w:rPr>
          <w:sz w:val="19"/>
        </w:rPr>
      </w:pPr>
    </w:p>
    <w:p>
      <w:pPr>
        <w:spacing w:before="1"/>
        <w:ind w:left="781" w:right="514" w:firstLine="0"/>
        <w:jc w:val="both"/>
        <w:rPr>
          <w:sz w:val="20"/>
        </w:rPr>
      </w:pPr>
      <w:r>
        <w:rPr>
          <w:sz w:val="20"/>
        </w:rPr>
        <w:t>Picioreanu C. y Van Loosdrecht M.C.M. 2003. Use of mathematical modeling to study biofilm development and morphology. En: Lens P., O'Flaherty V., Moran A. P., Stoodley P. y Mahony T. (ed). Biofilms in Medicine, Industry and Environmental Biotechnology – Characteristics, Analysis and Control. IWA Publishing. p 413- 437.</w:t>
      </w:r>
    </w:p>
    <w:p>
      <w:pPr>
        <w:pStyle w:val="BodyText"/>
        <w:rPr>
          <w:sz w:val="24"/>
        </w:rPr>
      </w:pPr>
    </w:p>
    <w:p>
      <w:pPr>
        <w:spacing w:before="0"/>
        <w:ind w:left="781" w:right="1015" w:firstLine="0"/>
        <w:jc w:val="left"/>
        <w:rPr>
          <w:sz w:val="20"/>
        </w:rPr>
      </w:pPr>
      <w:r>
        <w:rPr>
          <w:sz w:val="20"/>
        </w:rPr>
        <w:t>Picioreanu C., Van Loosdrecht M.C.M., y Heijnen J.J. 2001. Two-dimensional model of biofilm detachment caused by internal stress from liquid flow. Biotechnol Bioeng 72:205-218.</w:t>
      </w:r>
    </w:p>
    <w:p>
      <w:pPr>
        <w:pStyle w:val="BodyText"/>
        <w:spacing w:before="9"/>
        <w:rPr>
          <w:sz w:val="19"/>
        </w:rPr>
      </w:pPr>
    </w:p>
    <w:p>
      <w:pPr>
        <w:spacing w:before="1"/>
        <w:ind w:left="781" w:right="514" w:firstLine="0"/>
        <w:jc w:val="both"/>
        <w:rPr>
          <w:sz w:val="20"/>
        </w:rPr>
      </w:pPr>
      <w:r>
        <w:rPr>
          <w:sz w:val="20"/>
        </w:rPr>
        <w:t>Plattes M., Henry y Schosseler P.M. 2008. A zero-dimensional biofilm model for dynamic simulation of moving bed bioreactor systems: Model concepts, Peterson matrix, and application to a pilot-scale plant. Biochemical Engineering Journal. 40: 392–398.</w:t>
      </w:r>
    </w:p>
    <w:p>
      <w:pPr>
        <w:pStyle w:val="BodyText"/>
        <w:rPr>
          <w:sz w:val="20"/>
        </w:rPr>
      </w:pPr>
    </w:p>
    <w:p>
      <w:pPr>
        <w:spacing w:before="1"/>
        <w:ind w:left="781" w:right="514" w:firstLine="0"/>
        <w:jc w:val="both"/>
        <w:rPr>
          <w:sz w:val="20"/>
        </w:rPr>
      </w:pPr>
      <w:r>
        <w:rPr>
          <w:sz w:val="20"/>
        </w:rPr>
        <w:t>Plattes M., Fiorelli D., Gill S., Girard C., Henry E., Minette F., O’Nagy O. y Schosseler P.M. 2007. Modelling and dynamic simulation of a moving bed bioreactor using respirometry for the estimation of kinetic parameters. Biochemical Engineering Journal. 33: 253–259.</w:t>
      </w:r>
    </w:p>
    <w:p>
      <w:pPr>
        <w:spacing w:after="0"/>
        <w:jc w:val="both"/>
        <w:rPr>
          <w:sz w:val="20"/>
        </w:rPr>
        <w:sectPr>
          <w:pgSz w:w="12240" w:h="15840"/>
          <w:pgMar w:header="725" w:footer="1084" w:top="1340" w:bottom="1280" w:left="920" w:right="1200"/>
        </w:sectPr>
      </w:pPr>
    </w:p>
    <w:p>
      <w:pPr>
        <w:pStyle w:val="BodyText"/>
        <w:spacing w:before="8"/>
        <w:rPr>
          <w:sz w:val="8"/>
        </w:rPr>
      </w:pPr>
    </w:p>
    <w:p>
      <w:pPr>
        <w:spacing w:before="74"/>
        <w:ind w:left="781" w:right="515" w:firstLine="0"/>
        <w:jc w:val="both"/>
        <w:rPr>
          <w:sz w:val="20"/>
        </w:rPr>
      </w:pPr>
      <w:r>
        <w:rPr>
          <w:sz w:val="20"/>
        </w:rPr>
        <w:t>Plattes M., E. Henry, P.M. Schosseler y A. Weidenhaupt. 2006. Modelling and dynamic simulation of a moving bed bioreactor for the treatment of municipal wastewater. Biochemical Engineering Journal 32:</w:t>
      </w:r>
      <w:r>
        <w:rPr>
          <w:spacing w:val="-13"/>
          <w:sz w:val="20"/>
        </w:rPr>
        <w:t> </w:t>
      </w:r>
      <w:r>
        <w:rPr>
          <w:sz w:val="20"/>
        </w:rPr>
        <w:t>61–68.</w:t>
      </w:r>
    </w:p>
    <w:p>
      <w:pPr>
        <w:pStyle w:val="BodyText"/>
        <w:spacing w:before="9"/>
        <w:rPr>
          <w:sz w:val="19"/>
        </w:rPr>
      </w:pPr>
    </w:p>
    <w:p>
      <w:pPr>
        <w:spacing w:before="1"/>
        <w:ind w:left="781" w:right="514" w:firstLine="0"/>
        <w:jc w:val="both"/>
        <w:rPr>
          <w:sz w:val="20"/>
        </w:rPr>
      </w:pPr>
      <w:r>
        <w:rPr>
          <w:sz w:val="20"/>
        </w:rPr>
        <w:t>Ramírez C. R., M.S Alonso Gutiérrez, R Bruno Esparza y A. L. Rodríguez Lepure. 2002. Caracterización de un contactor de gas-liquido mediante el coeficiente volumétrico de transferencia de masa a diferentes condiciones de operación. XIII Congreso Nacional de Ingeniería Sanitaria. México. p 141-148.</w:t>
      </w:r>
    </w:p>
    <w:p>
      <w:pPr>
        <w:pStyle w:val="BodyText"/>
        <w:spacing w:before="7"/>
        <w:rPr>
          <w:sz w:val="19"/>
        </w:rPr>
      </w:pPr>
    </w:p>
    <w:p>
      <w:pPr>
        <w:spacing w:line="242" w:lineRule="auto" w:before="0"/>
        <w:ind w:left="781" w:right="513" w:firstLine="0"/>
        <w:jc w:val="both"/>
        <w:rPr>
          <w:sz w:val="20"/>
        </w:rPr>
      </w:pPr>
      <w:r>
        <w:rPr>
          <w:sz w:val="20"/>
        </w:rPr>
        <w:t>Reig L., R. Piedrahita, D. Conklin. 2007. Influence of California halibut (</w:t>
      </w:r>
      <w:r>
        <w:rPr>
          <w:i/>
          <w:sz w:val="20"/>
        </w:rPr>
        <w:t>Paralichthys californicus</w:t>
      </w:r>
      <w:r>
        <w:rPr>
          <w:sz w:val="20"/>
        </w:rPr>
        <w:t>) on the vertical distribution of dissolved oxygen in a raceway and circular tank at two depths. Aquacultural engineering. 36: 261 – 271.</w:t>
      </w:r>
    </w:p>
    <w:p>
      <w:pPr>
        <w:pStyle w:val="BodyText"/>
        <w:spacing w:before="9"/>
        <w:rPr>
          <w:sz w:val="23"/>
        </w:rPr>
      </w:pPr>
    </w:p>
    <w:p>
      <w:pPr>
        <w:spacing w:before="0"/>
        <w:ind w:left="781" w:right="515" w:firstLine="0"/>
        <w:jc w:val="both"/>
        <w:rPr>
          <w:sz w:val="20"/>
        </w:rPr>
      </w:pPr>
      <w:r>
        <w:rPr>
          <w:sz w:val="20"/>
        </w:rPr>
        <w:t>Ríos A. 2002. El uso del Ferrocemento para la captación de agua de lluvia en San Francisco Yucucundo, Oaxaca. IX Reunión nacional sobre sistemas de captación de agua de lluvia.</w:t>
      </w:r>
    </w:p>
    <w:p>
      <w:pPr>
        <w:pStyle w:val="BodyText"/>
        <w:rPr>
          <w:sz w:val="24"/>
        </w:rPr>
      </w:pPr>
    </w:p>
    <w:p>
      <w:pPr>
        <w:spacing w:before="0"/>
        <w:ind w:left="781" w:right="517" w:firstLine="0"/>
        <w:jc w:val="both"/>
        <w:rPr>
          <w:sz w:val="20"/>
        </w:rPr>
      </w:pPr>
      <w:r>
        <w:rPr>
          <w:sz w:val="20"/>
        </w:rPr>
        <w:t>Russo C.R. y R.V. Thurston. 1991. “Toxicity of ammonia, nitrite and nitrate to fishes”. Aquaculture and Water Quality (3):58 – 89.</w:t>
      </w:r>
    </w:p>
    <w:p>
      <w:pPr>
        <w:pStyle w:val="BodyText"/>
        <w:rPr>
          <w:sz w:val="20"/>
        </w:rPr>
      </w:pPr>
    </w:p>
    <w:p>
      <w:pPr>
        <w:spacing w:before="1"/>
        <w:ind w:left="781" w:right="514" w:firstLine="0"/>
        <w:jc w:val="both"/>
        <w:rPr>
          <w:sz w:val="20"/>
        </w:rPr>
      </w:pPr>
      <w:r>
        <w:rPr>
          <w:sz w:val="20"/>
        </w:rPr>
        <w:t>Salas – Leiton E., V. Anguis, M. Manchado y M. Cañavete. 2008. Growth, feeding and oxygen consumption of Senegaleses ole (Solea senegalensis) juveniles stoked al different densities. Aquaculture. 285: 84 – 89.</w:t>
      </w:r>
    </w:p>
    <w:p>
      <w:pPr>
        <w:pStyle w:val="BodyText"/>
        <w:spacing w:before="9"/>
        <w:rPr>
          <w:sz w:val="19"/>
        </w:rPr>
      </w:pPr>
    </w:p>
    <w:p>
      <w:pPr>
        <w:spacing w:before="1"/>
        <w:ind w:left="781" w:right="515" w:firstLine="0"/>
        <w:jc w:val="both"/>
        <w:rPr>
          <w:sz w:val="20"/>
        </w:rPr>
      </w:pPr>
      <w:r>
        <w:rPr>
          <w:sz w:val="20"/>
        </w:rPr>
        <w:t>Sharrer M., Y. Tal, D. Ferrier, J. Hankins y S. Summerfelt. 2007. Membrane biological reactor treatment of a saline backwash flow from a recirculating aquaculture system. Aquacultural engineering. 36: 159 – 176.</w:t>
      </w:r>
    </w:p>
    <w:p>
      <w:pPr>
        <w:pStyle w:val="BodyText"/>
        <w:rPr>
          <w:sz w:val="20"/>
        </w:rPr>
      </w:pPr>
    </w:p>
    <w:p>
      <w:pPr>
        <w:spacing w:before="1"/>
        <w:ind w:left="781" w:right="510" w:firstLine="0"/>
        <w:jc w:val="both"/>
        <w:rPr>
          <w:sz w:val="20"/>
        </w:rPr>
      </w:pPr>
      <w:r>
        <w:rPr>
          <w:sz w:val="20"/>
        </w:rPr>
        <w:t>Simmons G., V. Hope, G. Lewis, J. Whitmore y W. Gao. 2001. Contamination of potable roof – collected rainwater in Auckland, New Zealand. Water Research 35(6): 1518 – 1524.</w:t>
      </w:r>
    </w:p>
    <w:p>
      <w:pPr>
        <w:pStyle w:val="BodyText"/>
        <w:rPr>
          <w:sz w:val="20"/>
        </w:rPr>
      </w:pPr>
    </w:p>
    <w:p>
      <w:pPr>
        <w:spacing w:before="1"/>
        <w:ind w:left="781" w:right="510" w:firstLine="0"/>
        <w:jc w:val="both"/>
        <w:rPr>
          <w:sz w:val="20"/>
        </w:rPr>
      </w:pPr>
      <w:r>
        <w:rPr>
          <w:sz w:val="20"/>
        </w:rPr>
        <w:t>Simonel S., G. Boardman, B. Watten y B. Brazil. 2002. Factors influencing the nitrification efficiency of fluidized bed filter with a plastic bead medium. Aquacultural Engineering 26: 41–59.</w:t>
      </w:r>
    </w:p>
    <w:p>
      <w:pPr>
        <w:pStyle w:val="BodyText"/>
        <w:rPr>
          <w:sz w:val="24"/>
        </w:rPr>
      </w:pPr>
    </w:p>
    <w:p>
      <w:pPr>
        <w:spacing w:before="0"/>
        <w:ind w:left="781" w:right="0" w:firstLine="0"/>
        <w:jc w:val="both"/>
        <w:rPr>
          <w:sz w:val="20"/>
        </w:rPr>
      </w:pPr>
      <w:r>
        <w:rPr>
          <w:sz w:val="20"/>
        </w:rPr>
        <w:t>Stickney R. 2000. Encyclopedia of Aquaculture. Wiley-Interscience. Canada. 1063pp.</w:t>
      </w:r>
    </w:p>
    <w:p>
      <w:pPr>
        <w:pStyle w:val="BodyText"/>
        <w:spacing w:before="9"/>
        <w:rPr>
          <w:sz w:val="19"/>
        </w:rPr>
      </w:pPr>
    </w:p>
    <w:p>
      <w:pPr>
        <w:spacing w:before="1"/>
        <w:ind w:left="781" w:right="514" w:firstLine="0"/>
        <w:jc w:val="both"/>
        <w:rPr>
          <w:sz w:val="20"/>
        </w:rPr>
      </w:pPr>
      <w:r>
        <w:rPr>
          <w:sz w:val="20"/>
        </w:rPr>
        <w:t>Summerfelt S., G. Wilton, D. Roberts, T. Rimmer y K. Fonkalsrud. 2004. Developments in recirculating systems for Arctic char culture in North America. Aquacultural engineering. 30: 31 – 71.</w:t>
      </w:r>
    </w:p>
    <w:p>
      <w:pPr>
        <w:pStyle w:val="BodyText"/>
        <w:rPr>
          <w:sz w:val="20"/>
        </w:rPr>
      </w:pPr>
    </w:p>
    <w:p>
      <w:pPr>
        <w:spacing w:before="1"/>
        <w:ind w:left="781" w:right="589" w:firstLine="0"/>
        <w:jc w:val="both"/>
        <w:rPr>
          <w:sz w:val="20"/>
        </w:rPr>
      </w:pPr>
      <w:r>
        <w:rPr>
          <w:sz w:val="20"/>
        </w:rPr>
        <w:t>Takács I., Bye C.M., Chapman K., Dold P.L., Fairlamb P.M. y Jones R.M. 2007. A biofilm model for engineering design. Water Science &amp; Technology, 55: 329–336</w:t>
      </w:r>
    </w:p>
    <w:p>
      <w:pPr>
        <w:pStyle w:val="BodyText"/>
        <w:rPr>
          <w:sz w:val="20"/>
        </w:rPr>
      </w:pPr>
    </w:p>
    <w:p>
      <w:pPr>
        <w:spacing w:before="1"/>
        <w:ind w:left="781" w:right="0" w:firstLine="0"/>
        <w:jc w:val="both"/>
        <w:rPr>
          <w:sz w:val="20"/>
        </w:rPr>
      </w:pPr>
      <w:r>
        <w:rPr>
          <w:sz w:val="20"/>
        </w:rPr>
        <w:t>Taylor G., T. Fletcher, T. Wong, P. Breen y H. Duncan. 2005. Nitrogen composition in urban  runoff</w:t>
      </w:r>
    </w:p>
    <w:p>
      <w:pPr>
        <w:spacing w:before="0"/>
        <w:ind w:left="781" w:right="0" w:firstLine="0"/>
        <w:jc w:val="both"/>
        <w:rPr>
          <w:sz w:val="20"/>
        </w:rPr>
      </w:pPr>
      <w:r>
        <w:rPr>
          <w:sz w:val="20"/>
        </w:rPr>
        <w:t>– implications for stormwater management. Water Research 39: 1982 – 1989.</w:t>
      </w:r>
    </w:p>
    <w:p>
      <w:pPr>
        <w:pStyle w:val="BodyText"/>
        <w:rPr>
          <w:sz w:val="20"/>
        </w:rPr>
      </w:pPr>
    </w:p>
    <w:p>
      <w:pPr>
        <w:spacing w:before="1"/>
        <w:ind w:left="781" w:right="514" w:firstLine="0"/>
        <w:jc w:val="both"/>
        <w:rPr>
          <w:sz w:val="20"/>
        </w:rPr>
      </w:pPr>
      <w:r>
        <w:rPr>
          <w:sz w:val="20"/>
        </w:rPr>
        <w:t>Tilley D., H. Badrinarayanan, R. Rosati y J. Son. 2002. Constructed wetlands as recirculation filters in large-scale shrimp aquaculture. Aquacultural engineering. 26: 81 – 109</w:t>
      </w:r>
    </w:p>
    <w:p>
      <w:pPr>
        <w:pStyle w:val="BodyText"/>
        <w:rPr>
          <w:sz w:val="20"/>
        </w:rPr>
      </w:pPr>
    </w:p>
    <w:p>
      <w:pPr>
        <w:spacing w:before="1"/>
        <w:ind w:left="781" w:right="516" w:firstLine="0"/>
        <w:jc w:val="both"/>
        <w:rPr>
          <w:sz w:val="20"/>
        </w:rPr>
      </w:pPr>
      <w:r>
        <w:rPr>
          <w:sz w:val="20"/>
        </w:rPr>
        <w:t>Timmons M. B., J. M. Ebeling y R.H. Piedrahita. 2009. Acuicultura en sistemas de recirculación, LLC  Edición. USA. Cayuga Aqua Ventures. 959 pp.</w:t>
      </w:r>
    </w:p>
    <w:p>
      <w:pPr>
        <w:pStyle w:val="BodyText"/>
        <w:rPr>
          <w:sz w:val="20"/>
        </w:rPr>
      </w:pPr>
    </w:p>
    <w:p>
      <w:pPr>
        <w:spacing w:before="1"/>
        <w:ind w:left="781" w:right="514" w:firstLine="0"/>
        <w:jc w:val="both"/>
        <w:rPr>
          <w:sz w:val="20"/>
        </w:rPr>
      </w:pPr>
      <w:r>
        <w:rPr>
          <w:sz w:val="20"/>
        </w:rPr>
        <w:t>Timmons M. B., J. Ebeling, S. Summerfelt, F. Wheaton y B. Vinci. 2002. Recirculating aquaculture systems. Cayuga Aqua Ventures. USA. 769p.</w:t>
      </w:r>
    </w:p>
    <w:p>
      <w:pPr>
        <w:pStyle w:val="BodyText"/>
        <w:rPr>
          <w:sz w:val="20"/>
        </w:rPr>
      </w:pPr>
    </w:p>
    <w:p>
      <w:pPr>
        <w:spacing w:before="1"/>
        <w:ind w:left="781" w:right="0" w:firstLine="0"/>
        <w:jc w:val="both"/>
        <w:rPr>
          <w:sz w:val="20"/>
        </w:rPr>
      </w:pPr>
      <w:r>
        <w:rPr>
          <w:sz w:val="20"/>
        </w:rPr>
        <w:t>Timmons E. y T. Losordo. 1994. Aquaculture water reuse systems. Elsevier. Holanda. 390p.</w:t>
      </w:r>
    </w:p>
    <w:p>
      <w:pPr>
        <w:spacing w:after="0"/>
        <w:jc w:val="both"/>
        <w:rPr>
          <w:sz w:val="20"/>
        </w:rPr>
        <w:sectPr>
          <w:pgSz w:w="12240" w:h="15840"/>
          <w:pgMar w:header="725" w:footer="1084" w:top="1340" w:bottom="1280" w:left="920" w:right="1200"/>
        </w:sectPr>
      </w:pPr>
    </w:p>
    <w:p>
      <w:pPr>
        <w:pStyle w:val="BodyText"/>
        <w:spacing w:before="8"/>
        <w:rPr>
          <w:sz w:val="8"/>
        </w:rPr>
      </w:pPr>
    </w:p>
    <w:p>
      <w:pPr>
        <w:spacing w:before="74"/>
        <w:ind w:left="781" w:right="514" w:firstLine="0"/>
        <w:jc w:val="both"/>
        <w:rPr>
          <w:sz w:val="20"/>
        </w:rPr>
      </w:pPr>
      <w:r>
        <w:rPr>
          <w:sz w:val="20"/>
        </w:rPr>
        <w:t>Timmons M., S. Summerfelt y B. Vinci. 1998. Review of circular tank technology and management. Aquacultural Engineering 18:51–69.</w:t>
      </w:r>
    </w:p>
    <w:p>
      <w:pPr>
        <w:pStyle w:val="BodyText"/>
        <w:rPr>
          <w:sz w:val="24"/>
        </w:rPr>
      </w:pPr>
    </w:p>
    <w:p>
      <w:pPr>
        <w:spacing w:before="0"/>
        <w:ind w:left="781" w:right="515" w:firstLine="0"/>
        <w:jc w:val="both"/>
        <w:rPr>
          <w:sz w:val="20"/>
        </w:rPr>
      </w:pPr>
      <w:r>
        <w:rPr>
          <w:sz w:val="20"/>
        </w:rPr>
        <w:t>Tollner E W., D. Meyer, S. Triminio-Meyer, B. Verma, G. Pilz y J. Molnar. 2006. Spreadsheet tools for developing surface water supplies for freshwater fish production in developing countries. Aquacultural Engineering 31: 31–49.</w:t>
      </w:r>
    </w:p>
    <w:p>
      <w:pPr>
        <w:pStyle w:val="BodyText"/>
        <w:rPr>
          <w:sz w:val="20"/>
        </w:rPr>
      </w:pPr>
    </w:p>
    <w:p>
      <w:pPr>
        <w:spacing w:before="1"/>
        <w:ind w:left="781" w:right="515" w:firstLine="0"/>
        <w:jc w:val="both"/>
        <w:rPr>
          <w:sz w:val="20"/>
        </w:rPr>
      </w:pPr>
      <w:r>
        <w:rPr>
          <w:sz w:val="20"/>
        </w:rPr>
        <w:t>Trujillo E. y V. Martínez. 2005. AgrInc – 2.0 programa para computadora. Cálculo de agresividad e incrustabilidad del agua. Facultad de Ingeniería. UAEM. México.</w:t>
      </w:r>
    </w:p>
    <w:p>
      <w:pPr>
        <w:pStyle w:val="BodyText"/>
        <w:spacing w:before="9"/>
        <w:rPr>
          <w:sz w:val="19"/>
        </w:rPr>
      </w:pPr>
    </w:p>
    <w:p>
      <w:pPr>
        <w:spacing w:before="1"/>
        <w:ind w:left="781" w:right="518" w:firstLine="0"/>
        <w:jc w:val="both"/>
        <w:rPr>
          <w:sz w:val="20"/>
        </w:rPr>
      </w:pPr>
      <w:r>
        <w:rPr>
          <w:sz w:val="20"/>
        </w:rPr>
        <w:t>Tudor M. 1999. Diurnal changes of dissolved oxygen in fouling land-based tanks for rearing of sea bass. Aquacultural Engineering. 19: 243 – 258.</w:t>
      </w:r>
    </w:p>
    <w:p>
      <w:pPr>
        <w:pStyle w:val="BodyText"/>
        <w:rPr>
          <w:sz w:val="20"/>
        </w:rPr>
      </w:pPr>
    </w:p>
    <w:p>
      <w:pPr>
        <w:spacing w:before="1"/>
        <w:ind w:left="781" w:right="516" w:firstLine="0"/>
        <w:jc w:val="both"/>
        <w:rPr>
          <w:sz w:val="20"/>
        </w:rPr>
      </w:pPr>
      <w:r>
        <w:rPr>
          <w:sz w:val="20"/>
        </w:rPr>
        <w:t>Van Loosdrecht, M.C.M., J.J. Heijnen, H. Eberl, J. Kreft y C. Picioreanu. 2002. Mathematical modelling of biofilm structures. Antonie van Leeuwenhoek 81: 245.256.</w:t>
      </w:r>
    </w:p>
    <w:p>
      <w:pPr>
        <w:pStyle w:val="BodyText"/>
        <w:spacing w:before="4"/>
      </w:pPr>
    </w:p>
    <w:p>
      <w:pPr>
        <w:spacing w:before="0"/>
        <w:ind w:left="781" w:right="514" w:firstLine="0"/>
        <w:jc w:val="both"/>
        <w:rPr>
          <w:sz w:val="20"/>
        </w:rPr>
      </w:pPr>
      <w:r>
        <w:rPr>
          <w:sz w:val="20"/>
        </w:rPr>
        <w:t>Van Rijn J., Y. Tal, H. Schreier. 2006. Denitrtification in recirculating systems: Theory and applications. Aquacultural Engineering. 34:364-376.</w:t>
      </w:r>
    </w:p>
    <w:p>
      <w:pPr>
        <w:pStyle w:val="BodyText"/>
        <w:spacing w:before="4"/>
      </w:pPr>
    </w:p>
    <w:p>
      <w:pPr>
        <w:spacing w:before="0"/>
        <w:ind w:left="781" w:right="515" w:firstLine="0"/>
        <w:jc w:val="both"/>
        <w:rPr>
          <w:sz w:val="20"/>
        </w:rPr>
      </w:pPr>
      <w:r>
        <w:rPr>
          <w:sz w:val="20"/>
        </w:rPr>
        <w:t>Villanueva F. y Ontiveros F. 2001. Desarrollo de sistemas de captación de agua del programa de mejoramiento de vivienda en la región Tarahumara. Coordinación Estatal de la Taraumara. Memoria de Ponencia VIII Reunión Nacional de Captación de Agua de Lluvia.</w:t>
      </w:r>
    </w:p>
    <w:p>
      <w:pPr>
        <w:pStyle w:val="BodyText"/>
        <w:rPr>
          <w:sz w:val="24"/>
        </w:rPr>
      </w:pPr>
    </w:p>
    <w:p>
      <w:pPr>
        <w:spacing w:before="0"/>
        <w:ind w:left="781" w:right="517" w:firstLine="0"/>
        <w:jc w:val="both"/>
        <w:rPr>
          <w:sz w:val="20"/>
        </w:rPr>
      </w:pPr>
      <w:r>
        <w:rPr>
          <w:sz w:val="20"/>
        </w:rPr>
        <w:t>Wanner O., H. Eberl, E. Morgenroth, D. Noriega, C. Picioreanu, B. Rittmann y M. van Loosdrecht. 2006. Mathematical modeling of biofilms. IWA. Inglaterra. 179pp.</w:t>
      </w:r>
    </w:p>
    <w:p>
      <w:pPr>
        <w:pStyle w:val="BodyText"/>
        <w:rPr>
          <w:sz w:val="20"/>
        </w:rPr>
      </w:pPr>
    </w:p>
    <w:p>
      <w:pPr>
        <w:spacing w:before="1"/>
        <w:ind w:left="781" w:right="515" w:firstLine="0"/>
        <w:jc w:val="both"/>
        <w:rPr>
          <w:sz w:val="20"/>
        </w:rPr>
      </w:pPr>
      <w:r>
        <w:rPr>
          <w:sz w:val="20"/>
        </w:rPr>
        <w:t>Wanner, O. y P. Reichert. 1996. Mathematical modeling of mixed-culture biofilms. Biotechnol. Bioeng. 49: 172-184.</w:t>
      </w:r>
    </w:p>
    <w:p>
      <w:pPr>
        <w:pStyle w:val="BodyText"/>
        <w:rPr>
          <w:sz w:val="20"/>
        </w:rPr>
      </w:pPr>
    </w:p>
    <w:p>
      <w:pPr>
        <w:spacing w:before="1"/>
        <w:ind w:left="781" w:right="0" w:firstLine="0"/>
        <w:jc w:val="both"/>
        <w:rPr>
          <w:sz w:val="20"/>
        </w:rPr>
      </w:pPr>
      <w:r>
        <w:rPr>
          <w:sz w:val="20"/>
        </w:rPr>
        <w:t>Wanner, O. y W. Gujer. 1986. A multispecies biofilm model. Biotechnol. Bioeng. 28:314-328.</w:t>
      </w:r>
    </w:p>
    <w:p>
      <w:pPr>
        <w:pStyle w:val="BodyText"/>
        <w:spacing w:before="9"/>
        <w:rPr>
          <w:sz w:val="19"/>
        </w:rPr>
      </w:pPr>
    </w:p>
    <w:p>
      <w:pPr>
        <w:spacing w:before="1"/>
        <w:ind w:left="781" w:right="515" w:firstLine="0"/>
        <w:jc w:val="both"/>
        <w:rPr>
          <w:sz w:val="20"/>
        </w:rPr>
      </w:pPr>
      <w:r>
        <w:rPr>
          <w:sz w:val="20"/>
        </w:rPr>
        <w:t>Wheaton F., J. Hochheimer, G. Kaiser, R. Malone, M. Krones, G. Libey y C. Easter. 2000. “Nitrification filter design methods”. En: Timmons M. y T. Losordo (Edis). Aquaculture water reuse systems: engineering, design and management. Elsevier. Holanda. pp: 127- 171.</w:t>
      </w:r>
    </w:p>
    <w:p>
      <w:pPr>
        <w:pStyle w:val="BodyText"/>
        <w:rPr>
          <w:sz w:val="20"/>
        </w:rPr>
      </w:pPr>
    </w:p>
    <w:p>
      <w:pPr>
        <w:spacing w:before="1"/>
        <w:ind w:left="781" w:right="515" w:firstLine="0"/>
        <w:jc w:val="both"/>
        <w:rPr>
          <w:sz w:val="20"/>
        </w:rPr>
      </w:pPr>
      <w:r>
        <w:rPr>
          <w:sz w:val="20"/>
        </w:rPr>
        <w:t>Wheaton F., J. Hochheimer, G. Kaiser, M. Krones, G. Libey y C. Easter. 1994. Nitrification filters design methods. En: Timmons E., T. Losordo. (Eds). Aquaculture water reuse systems. Elsevier. Holanda.</w:t>
      </w:r>
    </w:p>
    <w:p>
      <w:pPr>
        <w:pStyle w:val="BodyText"/>
        <w:rPr>
          <w:sz w:val="20"/>
        </w:rPr>
      </w:pPr>
    </w:p>
    <w:p>
      <w:pPr>
        <w:spacing w:before="1"/>
        <w:ind w:left="781" w:right="512" w:firstLine="0"/>
        <w:jc w:val="both"/>
        <w:rPr>
          <w:sz w:val="20"/>
        </w:rPr>
      </w:pPr>
      <w:r>
        <w:rPr>
          <w:sz w:val="20"/>
        </w:rPr>
        <w:t>Wheaton F., J. Hochheimer y G. E. Kaiser. 1991. Fixed film nitrification filters for aquaculture. En: Brune D. y J. Tomasso. Aquaculture and water quality. WAS. USA. p 272 – 303.</w:t>
      </w:r>
    </w:p>
    <w:p>
      <w:pPr>
        <w:pStyle w:val="BodyText"/>
        <w:spacing w:before="9"/>
        <w:rPr>
          <w:sz w:val="19"/>
        </w:rPr>
      </w:pPr>
    </w:p>
    <w:p>
      <w:pPr>
        <w:spacing w:before="1"/>
        <w:ind w:left="781" w:right="0" w:firstLine="0"/>
        <w:jc w:val="both"/>
        <w:rPr>
          <w:sz w:val="20"/>
        </w:rPr>
      </w:pPr>
      <w:r>
        <w:rPr>
          <w:sz w:val="20"/>
        </w:rPr>
        <w:t>Wheaton F. 1982. Acuacultura. AGT Editor. México. 703p.</w:t>
      </w:r>
    </w:p>
    <w:p>
      <w:pPr>
        <w:pStyle w:val="BodyText"/>
        <w:rPr>
          <w:sz w:val="20"/>
        </w:rPr>
      </w:pPr>
    </w:p>
    <w:p>
      <w:pPr>
        <w:spacing w:before="1"/>
        <w:ind w:left="781" w:right="0" w:firstLine="0"/>
        <w:jc w:val="both"/>
        <w:rPr>
          <w:sz w:val="20"/>
        </w:rPr>
      </w:pPr>
      <w:r>
        <w:rPr>
          <w:sz w:val="20"/>
        </w:rPr>
        <w:t>Wheeler D. 1989. Tables of screening designs. SPC Press Inc. USA. 305 pp.</w:t>
      </w:r>
    </w:p>
    <w:p>
      <w:pPr>
        <w:pStyle w:val="BodyText"/>
        <w:rPr>
          <w:sz w:val="20"/>
        </w:rPr>
      </w:pPr>
    </w:p>
    <w:p>
      <w:pPr>
        <w:spacing w:before="1"/>
        <w:ind w:left="781" w:right="759" w:firstLine="0"/>
        <w:jc w:val="left"/>
        <w:rPr>
          <w:sz w:val="20"/>
        </w:rPr>
      </w:pPr>
      <w:r>
        <w:rPr>
          <w:sz w:val="20"/>
        </w:rPr>
        <w:t>Wolf G., Picioreanu C., van Loosdrecht M. C. M. 2007. Kinetic Modeling of Phototrophic Biofilms: The PHOBIA Model. Biotechnology and Bioengineering, Vol. 97: 1064 – 1079.</w:t>
      </w:r>
    </w:p>
    <w:p>
      <w:pPr>
        <w:pStyle w:val="BodyText"/>
        <w:rPr>
          <w:sz w:val="20"/>
        </w:rPr>
      </w:pPr>
    </w:p>
    <w:p>
      <w:pPr>
        <w:spacing w:before="1"/>
        <w:ind w:left="781" w:right="515" w:firstLine="0"/>
        <w:jc w:val="both"/>
        <w:rPr>
          <w:sz w:val="20"/>
        </w:rPr>
      </w:pPr>
      <w:r>
        <w:rPr>
          <w:sz w:val="20"/>
        </w:rPr>
        <w:t>Xavier J., Picioreanu C., van Loosdrecht M.C.M. y Stewart S.P. 2005. Biofilm-control strategies based on enzymic disruption of the extracellular polymeric substance matrix – a modelling study. Microbiology, 151:3817–3832.</w:t>
      </w:r>
    </w:p>
    <w:p>
      <w:pPr>
        <w:pStyle w:val="BodyText"/>
        <w:spacing w:before="9"/>
        <w:rPr>
          <w:sz w:val="19"/>
        </w:rPr>
      </w:pPr>
    </w:p>
    <w:p>
      <w:pPr>
        <w:spacing w:before="1"/>
        <w:ind w:left="781" w:right="512" w:firstLine="0"/>
        <w:jc w:val="both"/>
        <w:rPr>
          <w:sz w:val="20"/>
        </w:rPr>
      </w:pPr>
      <w:r>
        <w:rPr>
          <w:sz w:val="20"/>
        </w:rPr>
        <w:t>Zaizen M., T. Urakawa, Y. Masumoto y H. Takai. 1999. Te collection of rainwater from dome stadiums in Japan. Urban Water 1(4): 355 – 359.</w:t>
      </w:r>
    </w:p>
    <w:p>
      <w:pPr>
        <w:spacing w:after="0"/>
        <w:jc w:val="both"/>
        <w:rPr>
          <w:sz w:val="20"/>
        </w:rPr>
        <w:sectPr>
          <w:pgSz w:w="12240" w:h="15840"/>
          <w:pgMar w:header="725" w:footer="1084" w:top="1340" w:bottom="1280" w:left="920" w:right="1200"/>
        </w:sectPr>
      </w:pPr>
    </w:p>
    <w:p>
      <w:pPr>
        <w:pStyle w:val="BodyText"/>
        <w:spacing w:before="9"/>
        <w:rPr>
          <w:sz w:val="28"/>
        </w:rPr>
      </w:pPr>
    </w:p>
    <w:p>
      <w:pPr>
        <w:spacing w:before="74"/>
        <w:ind w:left="781" w:right="948" w:firstLine="0"/>
        <w:jc w:val="left"/>
        <w:rPr>
          <w:sz w:val="20"/>
        </w:rPr>
      </w:pPr>
      <w:r>
        <w:rPr>
          <w:sz w:val="20"/>
        </w:rPr>
        <w:t>Zhu S. y S. Chen. 2001. Effects of organic carbon on nitrification rate in fixed films biofilters. Aquacultural Engineering. 25:1 – 11.</w:t>
      </w:r>
    </w:p>
    <w:p>
      <w:pPr>
        <w:pStyle w:val="BodyText"/>
        <w:spacing w:before="9"/>
        <w:rPr>
          <w:sz w:val="19"/>
        </w:rPr>
      </w:pPr>
    </w:p>
    <w:p>
      <w:pPr>
        <w:spacing w:before="1"/>
        <w:ind w:left="781" w:right="514" w:firstLine="0"/>
        <w:jc w:val="left"/>
        <w:rPr>
          <w:sz w:val="20"/>
        </w:rPr>
      </w:pPr>
      <w:r>
        <w:rPr>
          <w:sz w:val="20"/>
        </w:rPr>
        <w:t>Zhu S. y S. Chen. 1999. An experimental study on nitrification biofilm performances using a series reactor system. Aquacultural Engineering. 20:245 – 259.</w:t>
      </w:r>
    </w:p>
    <w:p>
      <w:pPr>
        <w:spacing w:after="0"/>
        <w:jc w:val="left"/>
        <w:rPr>
          <w:sz w:val="20"/>
        </w:rPr>
        <w:sectPr>
          <w:pgSz w:w="12240" w:h="15840"/>
          <w:pgMar w:header="725" w:footer="1084" w:top="1340" w:bottom="1280" w:left="92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before="48"/>
        <w:ind w:left="863" w:right="589" w:firstLine="0"/>
        <w:jc w:val="center"/>
        <w:rPr>
          <w:sz w:val="48"/>
        </w:rPr>
      </w:pPr>
      <w:bookmarkStart w:name="Anexos" w:id="200"/>
      <w:bookmarkEnd w:id="200"/>
      <w:r>
        <w:rPr/>
      </w:r>
      <w:r>
        <w:rPr>
          <w:sz w:val="48"/>
        </w:rPr>
        <w:t>A N E X O</w:t>
      </w:r>
      <w:r>
        <w:rPr>
          <w:spacing w:val="-50"/>
          <w:sz w:val="48"/>
        </w:rPr>
        <w:t> </w:t>
      </w:r>
      <w:r>
        <w:rPr>
          <w:sz w:val="48"/>
        </w:rPr>
        <w:t>S</w:t>
      </w:r>
    </w:p>
    <w:p>
      <w:pPr>
        <w:spacing w:after="0"/>
        <w:jc w:val="center"/>
        <w:rPr>
          <w:sz w:val="48"/>
        </w:rPr>
        <w:sectPr>
          <w:pgSz w:w="12240" w:h="15840"/>
          <w:pgMar w:header="725" w:footer="1084" w:top="1340" w:bottom="1280" w:left="920" w:right="1200"/>
        </w:sectPr>
      </w:pPr>
    </w:p>
    <w:p>
      <w:pPr>
        <w:pStyle w:val="Heading5"/>
        <w:spacing w:before="172"/>
        <w:ind w:left="781" w:right="823"/>
        <w:jc w:val="left"/>
      </w:pPr>
      <w:bookmarkStart w:name="_TOC_250006" w:id="201"/>
      <w:bookmarkStart w:name="Anexo 1. Determinación de sales agregada" w:id="202"/>
      <w:r>
        <w:rPr>
          <w:b w:val="0"/>
        </w:rPr>
      </w:r>
      <w:bookmarkEnd w:id="201"/>
      <w:r>
        <w:rPr/>
        <w:t>ANEXO 1. DETERMINACIÓN DE SALES AGREGADAS PARA ADECUAR EL AGUA DE LLUVIA.</w:t>
      </w:r>
    </w:p>
    <w:p>
      <w:pPr>
        <w:pStyle w:val="BodyText"/>
        <w:spacing w:before="3"/>
        <w:rPr>
          <w:b/>
          <w:sz w:val="19"/>
        </w:rPr>
      </w:pPr>
      <w:r>
        <w:rPr/>
        <w:drawing>
          <wp:anchor distT="0" distB="0" distL="0" distR="0" allowOverlap="1" layoutInCell="1" locked="0" behindDoc="0" simplePos="0" relativeHeight="8872">
            <wp:simplePos x="0" y="0"/>
            <wp:positionH relativeFrom="page">
              <wp:posOffset>1100327</wp:posOffset>
            </wp:positionH>
            <wp:positionV relativeFrom="paragraph">
              <wp:posOffset>165463</wp:posOffset>
            </wp:positionV>
            <wp:extent cx="5532397" cy="7126605"/>
            <wp:effectExtent l="0" t="0" r="0" b="0"/>
            <wp:wrapTopAndBottom/>
            <wp:docPr id="83" name="image115.jpeg" descr=""/>
            <wp:cNvGraphicFramePr>
              <a:graphicFrameLocks noChangeAspect="1"/>
            </wp:cNvGraphicFramePr>
            <a:graphic>
              <a:graphicData uri="http://schemas.openxmlformats.org/drawingml/2006/picture">
                <pic:pic>
                  <pic:nvPicPr>
                    <pic:cNvPr id="84" name="image115.jpeg"/>
                    <pic:cNvPicPr/>
                  </pic:nvPicPr>
                  <pic:blipFill>
                    <a:blip r:embed="rId125" cstate="print"/>
                    <a:stretch>
                      <a:fillRect/>
                    </a:stretch>
                  </pic:blipFill>
                  <pic:spPr>
                    <a:xfrm>
                      <a:off x="0" y="0"/>
                      <a:ext cx="5532397" cy="7126605"/>
                    </a:xfrm>
                    <a:prstGeom prst="rect">
                      <a:avLst/>
                    </a:prstGeom>
                  </pic:spPr>
                </pic:pic>
              </a:graphicData>
            </a:graphic>
          </wp:anchor>
        </w:drawing>
      </w:r>
    </w:p>
    <w:p>
      <w:pPr>
        <w:spacing w:after="0"/>
        <w:rPr>
          <w:sz w:val="19"/>
        </w:rPr>
        <w:sectPr>
          <w:pgSz w:w="12240" w:h="15840"/>
          <w:pgMar w:header="725" w:footer="1084" w:top="1340" w:bottom="1280" w:left="920" w:right="1200"/>
        </w:sectPr>
      </w:pPr>
    </w:p>
    <w:p>
      <w:pPr>
        <w:spacing w:before="172" w:after="6"/>
        <w:ind w:left="781" w:right="481" w:firstLine="0"/>
        <w:jc w:val="left"/>
        <w:rPr>
          <w:b/>
          <w:sz w:val="22"/>
        </w:rPr>
      </w:pPr>
      <w:r>
        <w:rPr/>
        <w:pict>
          <v:group style="position:absolute;margin-left:155.519989pt;margin-top:81.437561pt;width:380.2pt;height:.5pt;mso-position-horizontal-relative:page;mso-position-vertical-relative:paragraph;z-index:-1522912" coordorigin="3110,1629" coordsize="7604,10">
            <v:shape style="position:absolute;left:3110;top:1629;width:1706;height:10" type="#_x0000_t75" stroked="false">
              <v:imagedata r:id="rId126" o:title=""/>
            </v:shape>
            <v:shape style="position:absolute;left:4812;top:1629;width:5902;height:10" type="#_x0000_t75" stroked="false">
              <v:imagedata r:id="rId127" o:title=""/>
            </v:shape>
            <w10:wrap type="none"/>
          </v:group>
        </w:pict>
      </w:r>
      <w:r>
        <w:rPr/>
        <w:pict>
          <v:group style="position:absolute;margin-left:155.519989pt;margin-top:97.637558pt;width:380.2pt;height:.5pt;mso-position-horizontal-relative:page;mso-position-vertical-relative:paragraph;z-index:-1522888" coordorigin="3110,1953" coordsize="7604,10">
            <v:shape style="position:absolute;left:3110;top:1953;width:1706;height:10" type="#_x0000_t75" stroked="false">
              <v:imagedata r:id="rId128" o:title=""/>
            </v:shape>
            <v:shape style="position:absolute;left:4812;top:1953;width:5902;height:10" type="#_x0000_t75" stroked="false">
              <v:imagedata r:id="rId129" o:title=""/>
            </v:shape>
            <w10:wrap type="none"/>
          </v:group>
        </w:pict>
      </w:r>
      <w:r>
        <w:rPr/>
        <w:pict>
          <v:group style="position:absolute;margin-left:155.519989pt;margin-top:113.117561pt;width:380.2pt;height:.5pt;mso-position-horizontal-relative:page;mso-position-vertical-relative:paragraph;z-index:-1522864" coordorigin="3110,2262" coordsize="7604,10">
            <v:shape style="position:absolute;left:3110;top:2262;width:1706;height:10" type="#_x0000_t75" stroked="false">
              <v:imagedata r:id="rId128" o:title=""/>
            </v:shape>
            <v:shape style="position:absolute;left:4812;top:2262;width:5902;height:10" type="#_x0000_t75" stroked="false">
              <v:imagedata r:id="rId129" o:title=""/>
            </v:shape>
            <w10:wrap type="none"/>
          </v:group>
        </w:pict>
      </w:r>
      <w:r>
        <w:rPr/>
        <w:drawing>
          <wp:anchor distT="0" distB="0" distL="0" distR="0" allowOverlap="1" layoutInCell="1" locked="0" behindDoc="0" simplePos="0" relativeHeight="8968">
            <wp:simplePos x="0" y="0"/>
            <wp:positionH relativeFrom="page">
              <wp:posOffset>3055619</wp:posOffset>
            </wp:positionH>
            <wp:positionV relativeFrom="paragraph">
              <wp:posOffset>1643857</wp:posOffset>
            </wp:positionV>
            <wp:extent cx="3747412" cy="6096"/>
            <wp:effectExtent l="0" t="0" r="0" b="0"/>
            <wp:wrapNone/>
            <wp:docPr id="85" name="image117.png" descr=""/>
            <wp:cNvGraphicFramePr>
              <a:graphicFrameLocks noChangeAspect="1"/>
            </wp:cNvGraphicFramePr>
            <a:graphic>
              <a:graphicData uri="http://schemas.openxmlformats.org/drawingml/2006/picture">
                <pic:pic>
                  <pic:nvPicPr>
                    <pic:cNvPr id="86" name="image117.png"/>
                    <pic:cNvPicPr/>
                  </pic:nvPicPr>
                  <pic:blipFill>
                    <a:blip r:embed="rId127" cstate="print"/>
                    <a:stretch>
                      <a:fillRect/>
                    </a:stretch>
                  </pic:blipFill>
                  <pic:spPr>
                    <a:xfrm>
                      <a:off x="0" y="0"/>
                      <a:ext cx="3747412" cy="6096"/>
                    </a:xfrm>
                    <a:prstGeom prst="rect">
                      <a:avLst/>
                    </a:prstGeom>
                  </pic:spPr>
                </pic:pic>
              </a:graphicData>
            </a:graphic>
          </wp:anchor>
        </w:drawing>
      </w:r>
      <w:r>
        <w:rPr/>
        <w:pict>
          <v:group style="position:absolute;margin-left:155.519989pt;margin-top:229.800003pt;width:380.2pt;height:.5pt;mso-position-horizontal-relative:page;mso-position-vertical-relative:page;z-index:-1522816" coordorigin="3110,4596" coordsize="7604,10">
            <v:shape style="position:absolute;left:3110;top:4596;width:1706;height:10" type="#_x0000_t75" stroked="false">
              <v:imagedata r:id="rId128" o:title=""/>
            </v:shape>
            <v:shape style="position:absolute;left:4812;top:4596;width:5902;height:10" type="#_x0000_t75" stroked="false">
              <v:imagedata r:id="rId129" o:title=""/>
            </v:shape>
            <w10:wrap type="none"/>
          </v:group>
        </w:pict>
      </w:r>
      <w:r>
        <w:rPr/>
        <w:pict>
          <v:group style="position:absolute;margin-left:155.519989pt;margin-top:245.399994pt;width:380.2pt;height:.5pt;mso-position-horizontal-relative:page;mso-position-vertical-relative:page;z-index:-1522792" coordorigin="3110,4908" coordsize="7604,10">
            <v:shape style="position:absolute;left:3110;top:4908;width:1706;height:10" type="#_x0000_t75" stroked="false">
              <v:imagedata r:id="rId126" o:title=""/>
            </v:shape>
            <v:shape style="position:absolute;left:4812;top:4908;width:5902;height:10" type="#_x0000_t75" stroked="false">
              <v:imagedata r:id="rId127" o:title=""/>
            </v:shape>
            <w10:wrap type="none"/>
          </v:group>
        </w:pict>
      </w:r>
      <w:r>
        <w:rPr/>
        <w:pict>
          <v:group style="position:absolute;margin-left:155.519989pt;margin-top:261.600006pt;width:380.2pt;height:.5pt;mso-position-horizontal-relative:page;mso-position-vertical-relative:page;z-index:-1522768" coordorigin="3110,5232" coordsize="7604,10">
            <v:shape style="position:absolute;left:3110;top:5232;width:1706;height:10" type="#_x0000_t75" stroked="false">
              <v:imagedata r:id="rId128" o:title=""/>
            </v:shape>
            <v:shape style="position:absolute;left:4812;top:5232;width:5902;height:10" type="#_x0000_t75" stroked="false">
              <v:imagedata r:id="rId129" o:title=""/>
            </v:shape>
            <w10:wrap type="none"/>
          </v:group>
        </w:pict>
      </w:r>
      <w:r>
        <w:rPr/>
        <w:drawing>
          <wp:anchor distT="0" distB="0" distL="0" distR="0" allowOverlap="1" layoutInCell="1" locked="0" behindDoc="0" simplePos="0" relativeHeight="9064">
            <wp:simplePos x="0" y="0"/>
            <wp:positionH relativeFrom="page">
              <wp:posOffset>3055619</wp:posOffset>
            </wp:positionH>
            <wp:positionV relativeFrom="page">
              <wp:posOffset>3518915</wp:posOffset>
            </wp:positionV>
            <wp:extent cx="3747426" cy="6096"/>
            <wp:effectExtent l="0" t="0" r="0" b="0"/>
            <wp:wrapNone/>
            <wp:docPr id="87" name="image119.png" descr=""/>
            <wp:cNvGraphicFramePr>
              <a:graphicFrameLocks noChangeAspect="1"/>
            </wp:cNvGraphicFramePr>
            <a:graphic>
              <a:graphicData uri="http://schemas.openxmlformats.org/drawingml/2006/picture">
                <pic:pic>
                  <pic:nvPicPr>
                    <pic:cNvPr id="88" name="image119.png"/>
                    <pic:cNvPicPr/>
                  </pic:nvPicPr>
                  <pic:blipFill>
                    <a:blip r:embed="rId129" cstate="print"/>
                    <a:stretch>
                      <a:fillRect/>
                    </a:stretch>
                  </pic:blipFill>
                  <pic:spPr>
                    <a:xfrm>
                      <a:off x="0" y="0"/>
                      <a:ext cx="3747426" cy="6096"/>
                    </a:xfrm>
                    <a:prstGeom prst="rect">
                      <a:avLst/>
                    </a:prstGeom>
                  </pic:spPr>
                </pic:pic>
              </a:graphicData>
            </a:graphic>
          </wp:anchor>
        </w:drawing>
      </w:r>
      <w:r>
        <w:rPr/>
        <w:pict>
          <v:group style="position:absolute;margin-left:155.519989pt;margin-top:309.600006pt;width:380.2pt;height:.5pt;mso-position-horizontal-relative:page;mso-position-vertical-relative:page;z-index:-1522720" coordorigin="3110,6192" coordsize="7604,10">
            <v:shape style="position:absolute;left:3110;top:6192;width:1706;height:10" type="#_x0000_t75" stroked="false">
              <v:imagedata r:id="rId128" o:title=""/>
            </v:shape>
            <v:shape style="position:absolute;left:4812;top:6192;width:5902;height:10" type="#_x0000_t75" stroked="false">
              <v:imagedata r:id="rId129" o:title=""/>
            </v:shape>
            <w10:wrap type="none"/>
          </v:group>
        </w:pict>
      </w:r>
      <w:r>
        <w:rPr/>
        <w:pict>
          <v:group style="position:absolute;margin-left:155.519989pt;margin-top:325.799988pt;width:380.2pt;height:.5pt;mso-position-horizontal-relative:page;mso-position-vertical-relative:page;z-index:-1522696" coordorigin="3110,6516" coordsize="7604,10">
            <v:shape style="position:absolute;left:3110;top:6516;width:1706;height:10" type="#_x0000_t75" stroked="false">
              <v:imagedata r:id="rId128" o:title=""/>
            </v:shape>
            <v:shape style="position:absolute;left:4812;top:6516;width:5902;height:10" type="#_x0000_t75" stroked="false">
              <v:imagedata r:id="rId129" o:title=""/>
            </v:shape>
            <w10:wrap type="none"/>
          </v:group>
        </w:pict>
      </w:r>
      <w:r>
        <w:rPr/>
        <w:pict>
          <v:group style="position:absolute;margin-left:155.519989pt;margin-top:341.399994pt;width:380.2pt;height:.5pt;mso-position-horizontal-relative:page;mso-position-vertical-relative:page;z-index:-1522672" coordorigin="3110,6828" coordsize="7604,10">
            <v:shape style="position:absolute;left:3110;top:6828;width:1706;height:10" type="#_x0000_t75" stroked="false">
              <v:imagedata r:id="rId126" o:title=""/>
            </v:shape>
            <v:shape style="position:absolute;left:4812;top:6828;width:5902;height:10" type="#_x0000_t75" stroked="false">
              <v:imagedata r:id="rId127" o:title=""/>
            </v:shape>
            <w10:wrap type="none"/>
          </v:group>
        </w:pict>
      </w:r>
      <w:r>
        <w:rPr/>
        <w:drawing>
          <wp:anchor distT="0" distB="0" distL="0" distR="0" allowOverlap="1" layoutInCell="1" locked="0" behindDoc="0" simplePos="0" relativeHeight="9160">
            <wp:simplePos x="0" y="0"/>
            <wp:positionH relativeFrom="page">
              <wp:posOffset>3055619</wp:posOffset>
            </wp:positionH>
            <wp:positionV relativeFrom="page">
              <wp:posOffset>4541520</wp:posOffset>
            </wp:positionV>
            <wp:extent cx="3747440" cy="6096"/>
            <wp:effectExtent l="0" t="0" r="0" b="0"/>
            <wp:wrapNone/>
            <wp:docPr id="89" name="image119.png" descr=""/>
            <wp:cNvGraphicFramePr>
              <a:graphicFrameLocks noChangeAspect="1"/>
            </wp:cNvGraphicFramePr>
            <a:graphic>
              <a:graphicData uri="http://schemas.openxmlformats.org/drawingml/2006/picture">
                <pic:pic>
                  <pic:nvPicPr>
                    <pic:cNvPr id="90" name="image119.png"/>
                    <pic:cNvPicPr/>
                  </pic:nvPicPr>
                  <pic:blipFill>
                    <a:blip r:embed="rId129" cstate="print"/>
                    <a:stretch>
                      <a:fillRect/>
                    </a:stretch>
                  </pic:blipFill>
                  <pic:spPr>
                    <a:xfrm>
                      <a:off x="0" y="0"/>
                      <a:ext cx="3747440" cy="6096"/>
                    </a:xfrm>
                    <a:prstGeom prst="rect">
                      <a:avLst/>
                    </a:prstGeom>
                  </pic:spPr>
                </pic:pic>
              </a:graphicData>
            </a:graphic>
          </wp:anchor>
        </w:drawing>
      </w:r>
      <w:r>
        <w:rPr/>
        <w:pict>
          <v:group style="position:absolute;margin-left:155.519989pt;margin-top:389.399994pt;width:380.2pt;height:.5pt;mso-position-horizontal-relative:page;mso-position-vertical-relative:page;z-index:-1522624" coordorigin="3110,7788" coordsize="7604,10">
            <v:shape style="position:absolute;left:3110;top:7788;width:1706;height:10" type="#_x0000_t75" stroked="false">
              <v:imagedata r:id="rId126" o:title=""/>
            </v:shape>
            <v:shape style="position:absolute;left:4812;top:7788;width:5902;height:10" type="#_x0000_t75" stroked="false">
              <v:imagedata r:id="rId127" o:title=""/>
            </v:shape>
            <w10:wrap type="none"/>
          </v:group>
        </w:pict>
      </w:r>
      <w:r>
        <w:rPr/>
        <w:pict>
          <v:group style="position:absolute;margin-left:155.519989pt;margin-top:404.880005pt;width:380.2pt;height:.5pt;mso-position-horizontal-relative:page;mso-position-vertical-relative:page;z-index:-1522600" coordorigin="3110,8098" coordsize="7604,10">
            <v:shape style="position:absolute;left:3110;top:8098;width:1706;height:10" type="#_x0000_t75" stroked="false">
              <v:imagedata r:id="rId128" o:title=""/>
            </v:shape>
            <v:shape style="position:absolute;left:4812;top:8098;width:5902;height:10" type="#_x0000_t75" stroked="false">
              <v:imagedata r:id="rId129" o:title=""/>
            </v:shape>
            <w10:wrap type="none"/>
          </v:group>
        </w:pict>
      </w:r>
      <w:r>
        <w:rPr/>
        <w:pict>
          <v:group style="position:absolute;margin-left:155.519989pt;margin-top:421.079987pt;width:380.2pt;height:.5pt;mso-position-horizontal-relative:page;mso-position-vertical-relative:page;z-index:-1522576" coordorigin="3110,8422" coordsize="7604,10">
            <v:shape style="position:absolute;left:3110;top:8422;width:1706;height:10" type="#_x0000_t75" stroked="false">
              <v:imagedata r:id="rId128" o:title=""/>
            </v:shape>
            <v:shape style="position:absolute;left:4812;top:8422;width:5902;height:10" type="#_x0000_t75" stroked="false">
              <v:imagedata r:id="rId129" o:title=""/>
            </v:shape>
            <w10:wrap type="none"/>
          </v:group>
        </w:pict>
      </w:r>
      <w:r>
        <w:rPr/>
        <w:drawing>
          <wp:anchor distT="0" distB="0" distL="0" distR="0" allowOverlap="1" layoutInCell="1" locked="0" behindDoc="0" simplePos="0" relativeHeight="9256">
            <wp:simplePos x="0" y="0"/>
            <wp:positionH relativeFrom="page">
              <wp:posOffset>3055619</wp:posOffset>
            </wp:positionH>
            <wp:positionV relativeFrom="page">
              <wp:posOffset>5544311</wp:posOffset>
            </wp:positionV>
            <wp:extent cx="3747454" cy="6096"/>
            <wp:effectExtent l="0" t="0" r="0" b="0"/>
            <wp:wrapNone/>
            <wp:docPr id="91" name="image119.png" descr=""/>
            <wp:cNvGraphicFramePr>
              <a:graphicFrameLocks noChangeAspect="1"/>
            </wp:cNvGraphicFramePr>
            <a:graphic>
              <a:graphicData uri="http://schemas.openxmlformats.org/drawingml/2006/picture">
                <pic:pic>
                  <pic:nvPicPr>
                    <pic:cNvPr id="92" name="image119.png"/>
                    <pic:cNvPicPr/>
                  </pic:nvPicPr>
                  <pic:blipFill>
                    <a:blip r:embed="rId129" cstate="print"/>
                    <a:stretch>
                      <a:fillRect/>
                    </a:stretch>
                  </pic:blipFill>
                  <pic:spPr>
                    <a:xfrm>
                      <a:off x="0" y="0"/>
                      <a:ext cx="3747454" cy="6096"/>
                    </a:xfrm>
                    <a:prstGeom prst="rect">
                      <a:avLst/>
                    </a:prstGeom>
                  </pic:spPr>
                </pic:pic>
              </a:graphicData>
            </a:graphic>
          </wp:anchor>
        </w:drawing>
      </w:r>
      <w:r>
        <w:rPr/>
        <w:pict>
          <v:group style="position:absolute;margin-left:155.519989pt;margin-top:468.359985pt;width:380.2pt;height:.5pt;mso-position-horizontal-relative:page;mso-position-vertical-relative:page;z-index:-1522528" coordorigin="3110,9367" coordsize="7604,10">
            <v:shape style="position:absolute;left:3110;top:9367;width:1706;height:10" type="#_x0000_t75" stroked="false">
              <v:imagedata r:id="rId128" o:title=""/>
            </v:shape>
            <v:shape style="position:absolute;left:4812;top:9367;width:5902;height:10" type="#_x0000_t75" stroked="false">
              <v:imagedata r:id="rId129" o:title=""/>
            </v:shape>
            <w10:wrap type="none"/>
          </v:group>
        </w:pict>
      </w:r>
      <w:r>
        <w:rPr/>
        <w:pict>
          <v:group style="position:absolute;margin-left:155.519989pt;margin-top:483.839996pt;width:380.2pt;height:.5pt;mso-position-horizontal-relative:page;mso-position-vertical-relative:page;z-index:-1522504" coordorigin="3110,9677" coordsize="7604,10">
            <v:shape style="position:absolute;left:3110;top:9677;width:1706;height:10" type="#_x0000_t75" stroked="false">
              <v:imagedata r:id="rId126" o:title=""/>
            </v:shape>
            <v:shape style="position:absolute;left:4812;top:9677;width:5902;height:10" type="#_x0000_t75" stroked="false">
              <v:imagedata r:id="rId127" o:title=""/>
            </v:shape>
            <w10:wrap type="none"/>
          </v:group>
        </w:pict>
      </w:r>
      <w:r>
        <w:rPr/>
        <w:pict>
          <v:group style="position:absolute;margin-left:155.519989pt;margin-top:499.320007pt;width:380.2pt;height:.5pt;mso-position-horizontal-relative:page;mso-position-vertical-relative:page;z-index:-1522480" coordorigin="3110,9986" coordsize="7604,10">
            <v:shape style="position:absolute;left:3110;top:9986;width:1706;height:10" type="#_x0000_t75" stroked="false">
              <v:imagedata r:id="rId128" o:title=""/>
            </v:shape>
            <v:shape style="position:absolute;left:4812;top:9986;width:5902;height:10" type="#_x0000_t75" stroked="false">
              <v:imagedata r:id="rId129" o:title=""/>
            </v:shape>
            <w10:wrap type="none"/>
          </v:group>
        </w:pict>
      </w:r>
      <w:r>
        <w:rPr/>
        <w:drawing>
          <wp:anchor distT="0" distB="0" distL="0" distR="0" allowOverlap="1" layoutInCell="1" locked="0" behindDoc="0" simplePos="0" relativeHeight="9352">
            <wp:simplePos x="0" y="0"/>
            <wp:positionH relativeFrom="page">
              <wp:posOffset>3055619</wp:posOffset>
            </wp:positionH>
            <wp:positionV relativeFrom="page">
              <wp:posOffset>6537959</wp:posOffset>
            </wp:positionV>
            <wp:extent cx="3747467" cy="6096"/>
            <wp:effectExtent l="0" t="0" r="0" b="0"/>
            <wp:wrapNone/>
            <wp:docPr id="93" name="image119.png" descr=""/>
            <wp:cNvGraphicFramePr>
              <a:graphicFrameLocks noChangeAspect="1"/>
            </wp:cNvGraphicFramePr>
            <a:graphic>
              <a:graphicData uri="http://schemas.openxmlformats.org/drawingml/2006/picture">
                <pic:pic>
                  <pic:nvPicPr>
                    <pic:cNvPr id="94" name="image119.png"/>
                    <pic:cNvPicPr/>
                  </pic:nvPicPr>
                  <pic:blipFill>
                    <a:blip r:embed="rId129" cstate="print"/>
                    <a:stretch>
                      <a:fillRect/>
                    </a:stretch>
                  </pic:blipFill>
                  <pic:spPr>
                    <a:xfrm>
                      <a:off x="0" y="0"/>
                      <a:ext cx="3747467" cy="6096"/>
                    </a:xfrm>
                    <a:prstGeom prst="rect">
                      <a:avLst/>
                    </a:prstGeom>
                  </pic:spPr>
                </pic:pic>
              </a:graphicData>
            </a:graphic>
          </wp:anchor>
        </w:drawing>
      </w:r>
      <w:r>
        <w:rPr/>
        <w:pict>
          <v:group style="position:absolute;margin-left:155.519989pt;margin-top:545.880005pt;width:380.2pt;height:.5pt;mso-position-horizontal-relative:page;mso-position-vertical-relative:page;z-index:-1522432" coordorigin="3110,10918" coordsize="7604,10">
            <v:shape style="position:absolute;left:3110;top:10918;width:1706;height:10" type="#_x0000_t75" stroked="false">
              <v:imagedata r:id="rId128" o:title=""/>
            </v:shape>
            <v:shape style="position:absolute;left:4812;top:10918;width:5902;height:10" type="#_x0000_t75" stroked="false">
              <v:imagedata r:id="rId129" o:title=""/>
            </v:shape>
            <w10:wrap type="none"/>
          </v:group>
        </w:pict>
      </w:r>
      <w:r>
        <w:rPr/>
        <w:pict>
          <v:group style="position:absolute;margin-left:155.519989pt;margin-top:561.359985pt;width:380.2pt;height:.5pt;mso-position-horizontal-relative:page;mso-position-vertical-relative:page;z-index:-1522408" coordorigin="3110,11227" coordsize="7604,10">
            <v:shape style="position:absolute;left:3110;top:11227;width:1706;height:10" type="#_x0000_t75" stroked="false">
              <v:imagedata r:id="rId128" o:title=""/>
            </v:shape>
            <v:shape style="position:absolute;left:4812;top:11227;width:5902;height:10" type="#_x0000_t75" stroked="false">
              <v:imagedata r:id="rId129" o:title=""/>
            </v:shape>
            <w10:wrap type="none"/>
          </v:group>
        </w:pict>
      </w:r>
      <w:r>
        <w:rPr/>
        <w:pict>
          <v:group style="position:absolute;margin-left:155.519989pt;margin-top:576.840027pt;width:380.2pt;height:.5pt;mso-position-horizontal-relative:page;mso-position-vertical-relative:page;z-index:-1522384" coordorigin="3110,11537" coordsize="7604,10">
            <v:shape style="position:absolute;left:3110;top:11537;width:1706;height:10" type="#_x0000_t75" stroked="false">
              <v:imagedata r:id="rId126" o:title=""/>
            </v:shape>
            <v:shape style="position:absolute;left:4812;top:11537;width:5902;height:10" type="#_x0000_t75" stroked="false">
              <v:imagedata r:id="rId127" o:title=""/>
            </v:shape>
            <w10:wrap type="none"/>
          </v:group>
        </w:pict>
      </w:r>
      <w:r>
        <w:rPr/>
        <w:drawing>
          <wp:anchor distT="0" distB="0" distL="0" distR="0" allowOverlap="1" layoutInCell="1" locked="0" behindDoc="0" simplePos="0" relativeHeight="9448">
            <wp:simplePos x="0" y="0"/>
            <wp:positionH relativeFrom="page">
              <wp:posOffset>3055619</wp:posOffset>
            </wp:positionH>
            <wp:positionV relativeFrom="page">
              <wp:posOffset>7522464</wp:posOffset>
            </wp:positionV>
            <wp:extent cx="3747481" cy="6095"/>
            <wp:effectExtent l="0" t="0" r="0" b="0"/>
            <wp:wrapNone/>
            <wp:docPr id="95" name="image119.png" descr=""/>
            <wp:cNvGraphicFramePr>
              <a:graphicFrameLocks noChangeAspect="1"/>
            </wp:cNvGraphicFramePr>
            <a:graphic>
              <a:graphicData uri="http://schemas.openxmlformats.org/drawingml/2006/picture">
                <pic:pic>
                  <pic:nvPicPr>
                    <pic:cNvPr id="96" name="image119.png"/>
                    <pic:cNvPicPr/>
                  </pic:nvPicPr>
                  <pic:blipFill>
                    <a:blip r:embed="rId129" cstate="print"/>
                    <a:stretch>
                      <a:fillRect/>
                    </a:stretch>
                  </pic:blipFill>
                  <pic:spPr>
                    <a:xfrm>
                      <a:off x="0" y="0"/>
                      <a:ext cx="3747481" cy="6095"/>
                    </a:xfrm>
                    <a:prstGeom prst="rect">
                      <a:avLst/>
                    </a:prstGeom>
                  </pic:spPr>
                </pic:pic>
              </a:graphicData>
            </a:graphic>
          </wp:anchor>
        </w:drawing>
      </w:r>
      <w:r>
        <w:rPr/>
        <w:pict>
          <v:group style="position:absolute;margin-left:155.519989pt;margin-top:623.400024pt;width:380.2pt;height:.5pt;mso-position-horizontal-relative:page;mso-position-vertical-relative:page;z-index:-1522336" coordorigin="3110,12468" coordsize="7604,10">
            <v:shape style="position:absolute;left:3110;top:12468;width:1706;height:10" type="#_x0000_t75" stroked="false">
              <v:imagedata r:id="rId126" o:title=""/>
            </v:shape>
            <v:shape style="position:absolute;left:4812;top:12468;width:5902;height:10" type="#_x0000_t75" stroked="false">
              <v:imagedata r:id="rId127" o:title=""/>
            </v:shape>
            <w10:wrap type="none"/>
          </v:group>
        </w:pict>
      </w:r>
      <w:r>
        <w:rPr/>
        <w:pict>
          <v:group style="position:absolute;margin-left:155.519989pt;margin-top:638.880005pt;width:380.2pt;height:.5pt;mso-position-horizontal-relative:page;mso-position-vertical-relative:page;z-index:-1522312" coordorigin="3110,12778" coordsize="7604,10">
            <v:shape style="position:absolute;left:3110;top:12778;width:1706;height:10" type="#_x0000_t75" stroked="false">
              <v:imagedata r:id="rId128" o:title=""/>
            </v:shape>
            <v:shape style="position:absolute;left:4812;top:12778;width:5902;height:10" type="#_x0000_t75" stroked="false">
              <v:imagedata r:id="rId129" o:title=""/>
            </v:shape>
            <w10:wrap type="none"/>
          </v:group>
        </w:pict>
      </w:r>
      <w:r>
        <w:rPr/>
        <w:pict>
          <v:group style="position:absolute;margin-left:155.519989pt;margin-top:655.080017pt;width:380.2pt;height:.5pt;mso-position-horizontal-relative:page;mso-position-vertical-relative:page;z-index:-1522288" coordorigin="3110,13102" coordsize="7604,10">
            <v:shape style="position:absolute;left:3110;top:13102;width:1706;height:10" type="#_x0000_t75" stroked="false">
              <v:imagedata r:id="rId128" o:title=""/>
            </v:shape>
            <v:shape style="position:absolute;left:4812;top:13102;width:5902;height:10" type="#_x0000_t75" stroked="false">
              <v:imagedata r:id="rId129" o:title=""/>
            </v:shape>
            <w10:wrap type="none"/>
          </v:group>
        </w:pict>
      </w:r>
      <w:r>
        <w:rPr/>
        <w:drawing>
          <wp:anchor distT="0" distB="0" distL="0" distR="0" allowOverlap="1" layoutInCell="1" locked="0" behindDoc="0" simplePos="0" relativeHeight="9544">
            <wp:simplePos x="0" y="0"/>
            <wp:positionH relativeFrom="page">
              <wp:posOffset>3055619</wp:posOffset>
            </wp:positionH>
            <wp:positionV relativeFrom="page">
              <wp:posOffset>8526780</wp:posOffset>
            </wp:positionV>
            <wp:extent cx="3747495" cy="6096"/>
            <wp:effectExtent l="0" t="0" r="0" b="0"/>
            <wp:wrapNone/>
            <wp:docPr id="97" name="image117.png" descr=""/>
            <wp:cNvGraphicFramePr>
              <a:graphicFrameLocks noChangeAspect="1"/>
            </wp:cNvGraphicFramePr>
            <a:graphic>
              <a:graphicData uri="http://schemas.openxmlformats.org/drawingml/2006/picture">
                <pic:pic>
                  <pic:nvPicPr>
                    <pic:cNvPr id="98" name="image117.png"/>
                    <pic:cNvPicPr/>
                  </pic:nvPicPr>
                  <pic:blipFill>
                    <a:blip r:embed="rId127" cstate="print"/>
                    <a:stretch>
                      <a:fillRect/>
                    </a:stretch>
                  </pic:blipFill>
                  <pic:spPr>
                    <a:xfrm>
                      <a:off x="0" y="0"/>
                      <a:ext cx="3747495" cy="6096"/>
                    </a:xfrm>
                    <a:prstGeom prst="rect">
                      <a:avLst/>
                    </a:prstGeom>
                  </pic:spPr>
                </pic:pic>
              </a:graphicData>
            </a:graphic>
          </wp:anchor>
        </w:drawing>
      </w:r>
      <w:bookmarkStart w:name="Anexo 2. Promedio, desviación estandar (" w:id="203"/>
      <w:bookmarkEnd w:id="203"/>
      <w:r>
        <w:rPr/>
      </w:r>
      <w:r>
        <w:rPr>
          <w:b/>
          <w:sz w:val="22"/>
        </w:rPr>
        <w:t>ANEXO 2. PROMEDIO, DESVIACIÓN ESTÁNDAR (DE), COEFICIENTE DE VARIACIÓN (CV) E INTERVALOS DE CONFIANZA (IC) DE LOS PARÁMETROS ESTUDIADOS.</w:t>
      </w:r>
    </w:p>
    <w:tbl>
      <w:tblPr>
        <w:tblW w:w="0" w:type="auto"/>
        <w:jc w:val="left"/>
        <w:tblInd w:w="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702"/>
        <w:gridCol w:w="936"/>
        <w:gridCol w:w="991"/>
        <w:gridCol w:w="994"/>
        <w:gridCol w:w="991"/>
        <w:gridCol w:w="994"/>
        <w:gridCol w:w="991"/>
      </w:tblGrid>
      <w:tr>
        <w:trPr>
          <w:trHeight w:val="310" w:hRule="exact"/>
        </w:trPr>
        <w:tc>
          <w:tcPr>
            <w:tcW w:w="3120" w:type="dxa"/>
            <w:gridSpan w:val="2"/>
            <w:vMerge w:val="restart"/>
            <w:shd w:val="clear" w:color="auto" w:fill="E6B9B8"/>
          </w:tcPr>
          <w:p>
            <w:pPr>
              <w:pStyle w:val="TableParagraph"/>
              <w:spacing w:before="7"/>
              <w:ind w:right="0"/>
              <w:jc w:val="left"/>
              <w:rPr>
                <w:rFonts w:ascii="Arial"/>
                <w:b/>
                <w:sz w:val="16"/>
              </w:rPr>
            </w:pPr>
          </w:p>
          <w:p>
            <w:pPr>
              <w:pStyle w:val="TableParagraph"/>
              <w:spacing w:before="0"/>
              <w:ind w:left="1037" w:right="1043"/>
              <w:jc w:val="center"/>
              <w:rPr>
                <w:rFonts w:ascii="Arial" w:hAnsi="Arial"/>
                <w:b/>
                <w:sz w:val="20"/>
              </w:rPr>
            </w:pPr>
            <w:r>
              <w:rPr>
                <w:rFonts w:ascii="Arial" w:hAnsi="Arial"/>
                <w:b/>
                <w:sz w:val="20"/>
              </w:rPr>
              <w:t>Parámetro</w:t>
            </w:r>
          </w:p>
        </w:tc>
        <w:tc>
          <w:tcPr>
            <w:tcW w:w="5897" w:type="dxa"/>
            <w:gridSpan w:val="6"/>
            <w:shd w:val="clear" w:color="auto" w:fill="E6B9B8"/>
          </w:tcPr>
          <w:p>
            <w:pPr>
              <w:pStyle w:val="TableParagraph"/>
              <w:spacing w:before="64"/>
              <w:ind w:left="1961" w:right="1962"/>
              <w:jc w:val="center"/>
              <w:rPr>
                <w:rFonts w:ascii="Arial"/>
                <w:b/>
                <w:sz w:val="20"/>
              </w:rPr>
            </w:pPr>
            <w:r>
              <w:rPr>
                <w:rFonts w:ascii="Arial"/>
                <w:b/>
                <w:sz w:val="20"/>
              </w:rPr>
              <w:t>Puntos de muestreo</w:t>
            </w:r>
          </w:p>
        </w:tc>
      </w:tr>
      <w:tr>
        <w:trPr>
          <w:trHeight w:val="324" w:hRule="exact"/>
        </w:trPr>
        <w:tc>
          <w:tcPr>
            <w:tcW w:w="3120" w:type="dxa"/>
            <w:gridSpan w:val="2"/>
            <w:vMerge/>
            <w:shd w:val="clear" w:color="auto" w:fill="E6B9B8"/>
          </w:tcPr>
          <w:p>
            <w:pPr/>
          </w:p>
        </w:tc>
        <w:tc>
          <w:tcPr>
            <w:tcW w:w="936" w:type="dxa"/>
            <w:shd w:val="clear" w:color="auto" w:fill="E6B9B8"/>
          </w:tcPr>
          <w:p>
            <w:pPr>
              <w:pStyle w:val="TableParagraph"/>
              <w:spacing w:before="81"/>
              <w:ind w:right="0"/>
              <w:jc w:val="center"/>
              <w:rPr>
                <w:rFonts w:ascii="Arial"/>
                <w:b/>
                <w:sz w:val="20"/>
              </w:rPr>
            </w:pPr>
            <w:r>
              <w:rPr>
                <w:rFonts w:ascii="Arial"/>
                <w:b/>
                <w:w w:val="99"/>
                <w:sz w:val="20"/>
              </w:rPr>
              <w:t>A</w:t>
            </w:r>
          </w:p>
        </w:tc>
        <w:tc>
          <w:tcPr>
            <w:tcW w:w="991" w:type="dxa"/>
            <w:shd w:val="clear" w:color="auto" w:fill="E6B9B8"/>
          </w:tcPr>
          <w:p>
            <w:pPr>
              <w:pStyle w:val="TableParagraph"/>
              <w:spacing w:before="81"/>
              <w:ind w:right="0"/>
              <w:jc w:val="center"/>
              <w:rPr>
                <w:rFonts w:ascii="Arial"/>
                <w:b/>
                <w:sz w:val="20"/>
              </w:rPr>
            </w:pPr>
            <w:r>
              <w:rPr>
                <w:rFonts w:ascii="Arial"/>
                <w:b/>
                <w:w w:val="99"/>
                <w:sz w:val="20"/>
              </w:rPr>
              <w:t>B</w:t>
            </w:r>
          </w:p>
        </w:tc>
        <w:tc>
          <w:tcPr>
            <w:tcW w:w="994" w:type="dxa"/>
            <w:shd w:val="clear" w:color="auto" w:fill="E6B9B8"/>
          </w:tcPr>
          <w:p>
            <w:pPr>
              <w:pStyle w:val="TableParagraph"/>
              <w:spacing w:before="81"/>
              <w:ind w:right="3"/>
              <w:jc w:val="center"/>
              <w:rPr>
                <w:rFonts w:ascii="Arial"/>
                <w:b/>
                <w:sz w:val="20"/>
              </w:rPr>
            </w:pPr>
            <w:r>
              <w:rPr>
                <w:rFonts w:ascii="Arial"/>
                <w:b/>
                <w:w w:val="99"/>
                <w:sz w:val="20"/>
              </w:rPr>
              <w:t>C</w:t>
            </w:r>
          </w:p>
        </w:tc>
        <w:tc>
          <w:tcPr>
            <w:tcW w:w="991" w:type="dxa"/>
            <w:shd w:val="clear" w:color="auto" w:fill="E6B9B8"/>
          </w:tcPr>
          <w:p>
            <w:pPr>
              <w:pStyle w:val="TableParagraph"/>
              <w:spacing w:before="81"/>
              <w:ind w:right="0"/>
              <w:jc w:val="center"/>
              <w:rPr>
                <w:rFonts w:ascii="Arial"/>
                <w:b/>
                <w:sz w:val="20"/>
              </w:rPr>
            </w:pPr>
            <w:r>
              <w:rPr>
                <w:rFonts w:ascii="Arial"/>
                <w:b/>
                <w:w w:val="99"/>
                <w:sz w:val="20"/>
              </w:rPr>
              <w:t>D</w:t>
            </w:r>
          </w:p>
        </w:tc>
        <w:tc>
          <w:tcPr>
            <w:tcW w:w="994" w:type="dxa"/>
            <w:shd w:val="clear" w:color="auto" w:fill="E6B9B8"/>
          </w:tcPr>
          <w:p>
            <w:pPr>
              <w:pStyle w:val="TableParagraph"/>
              <w:spacing w:before="81"/>
              <w:ind w:right="4"/>
              <w:jc w:val="center"/>
              <w:rPr>
                <w:rFonts w:ascii="Arial"/>
                <w:b/>
                <w:sz w:val="20"/>
              </w:rPr>
            </w:pPr>
            <w:r>
              <w:rPr>
                <w:rFonts w:ascii="Arial"/>
                <w:b/>
                <w:w w:val="99"/>
                <w:sz w:val="20"/>
              </w:rPr>
              <w:t>E</w:t>
            </w:r>
          </w:p>
        </w:tc>
        <w:tc>
          <w:tcPr>
            <w:tcW w:w="991" w:type="dxa"/>
            <w:shd w:val="clear" w:color="auto" w:fill="E6B9B8"/>
          </w:tcPr>
          <w:p>
            <w:pPr>
              <w:pStyle w:val="TableParagraph"/>
              <w:spacing w:before="81"/>
              <w:ind w:right="1"/>
              <w:jc w:val="center"/>
              <w:rPr>
                <w:rFonts w:ascii="Arial"/>
                <w:b/>
                <w:sz w:val="20"/>
              </w:rPr>
            </w:pPr>
            <w:r>
              <w:rPr>
                <w:rFonts w:ascii="Arial"/>
                <w:b/>
                <w:w w:val="99"/>
                <w:sz w:val="20"/>
              </w:rPr>
              <w:t>G</w:t>
            </w:r>
          </w:p>
        </w:tc>
      </w:tr>
      <w:tr>
        <w:trPr>
          <w:trHeight w:val="362" w:hRule="exact"/>
        </w:trPr>
        <w:tc>
          <w:tcPr>
            <w:tcW w:w="1418" w:type="dxa"/>
            <w:tcBorders>
              <w:bottom w:val="nil"/>
            </w:tcBorders>
          </w:tcPr>
          <w:p>
            <w:pPr/>
          </w:p>
        </w:tc>
        <w:tc>
          <w:tcPr>
            <w:tcW w:w="1702" w:type="dxa"/>
            <w:tcBorders>
              <w:bottom w:val="nil"/>
            </w:tcBorders>
          </w:tcPr>
          <w:p>
            <w:pPr>
              <w:pStyle w:val="TableParagraph"/>
              <w:spacing w:before="69"/>
              <w:ind w:left="64" w:right="0"/>
              <w:jc w:val="left"/>
              <w:rPr>
                <w:rFonts w:ascii="Arial"/>
                <w:sz w:val="20"/>
              </w:rPr>
            </w:pPr>
            <w:r>
              <w:rPr>
                <w:rFonts w:ascii="Arial"/>
                <w:sz w:val="20"/>
              </w:rPr>
              <w:t>Promedio (mg/L)</w:t>
            </w:r>
          </w:p>
        </w:tc>
        <w:tc>
          <w:tcPr>
            <w:tcW w:w="936" w:type="dxa"/>
            <w:tcBorders>
              <w:bottom w:val="nil"/>
              <w:right w:val="nil"/>
            </w:tcBorders>
          </w:tcPr>
          <w:p>
            <w:pPr>
              <w:pStyle w:val="TableParagraph"/>
              <w:spacing w:before="69"/>
              <w:ind w:right="69"/>
              <w:rPr>
                <w:rFonts w:ascii="Arial"/>
                <w:sz w:val="20"/>
              </w:rPr>
            </w:pPr>
            <w:r>
              <w:rPr>
                <w:rFonts w:ascii="Arial"/>
                <w:w w:val="95"/>
                <w:sz w:val="20"/>
              </w:rPr>
              <w:t>0,80</w:t>
            </w:r>
          </w:p>
        </w:tc>
        <w:tc>
          <w:tcPr>
            <w:tcW w:w="991" w:type="dxa"/>
            <w:tcBorders>
              <w:left w:val="nil"/>
              <w:bottom w:val="nil"/>
              <w:right w:val="nil"/>
            </w:tcBorders>
          </w:tcPr>
          <w:p>
            <w:pPr>
              <w:pStyle w:val="TableParagraph"/>
              <w:spacing w:before="69"/>
              <w:ind w:right="69"/>
              <w:rPr>
                <w:rFonts w:ascii="Arial"/>
                <w:sz w:val="20"/>
              </w:rPr>
            </w:pPr>
            <w:r>
              <w:rPr>
                <w:rFonts w:ascii="Arial"/>
                <w:w w:val="95"/>
                <w:sz w:val="20"/>
              </w:rPr>
              <w:t>0,66</w:t>
            </w:r>
          </w:p>
        </w:tc>
        <w:tc>
          <w:tcPr>
            <w:tcW w:w="994" w:type="dxa"/>
            <w:tcBorders>
              <w:left w:val="nil"/>
              <w:bottom w:val="nil"/>
              <w:right w:val="nil"/>
            </w:tcBorders>
          </w:tcPr>
          <w:p>
            <w:pPr>
              <w:pStyle w:val="TableParagraph"/>
              <w:spacing w:before="69"/>
              <w:ind w:right="72"/>
              <w:rPr>
                <w:rFonts w:ascii="Arial"/>
                <w:sz w:val="20"/>
              </w:rPr>
            </w:pPr>
            <w:r>
              <w:rPr>
                <w:rFonts w:ascii="Arial"/>
                <w:w w:val="95"/>
                <w:sz w:val="20"/>
              </w:rPr>
              <w:t>0,66</w:t>
            </w:r>
          </w:p>
        </w:tc>
        <w:tc>
          <w:tcPr>
            <w:tcW w:w="991" w:type="dxa"/>
            <w:tcBorders>
              <w:left w:val="nil"/>
              <w:bottom w:val="nil"/>
              <w:right w:val="nil"/>
            </w:tcBorders>
          </w:tcPr>
          <w:p>
            <w:pPr>
              <w:pStyle w:val="TableParagraph"/>
              <w:spacing w:before="69"/>
              <w:ind w:right="69"/>
              <w:rPr>
                <w:rFonts w:ascii="Arial"/>
                <w:sz w:val="20"/>
              </w:rPr>
            </w:pPr>
            <w:r>
              <w:rPr>
                <w:rFonts w:ascii="Arial"/>
                <w:w w:val="95"/>
                <w:sz w:val="20"/>
              </w:rPr>
              <w:t>0,66</w:t>
            </w:r>
          </w:p>
        </w:tc>
        <w:tc>
          <w:tcPr>
            <w:tcW w:w="994" w:type="dxa"/>
            <w:tcBorders>
              <w:left w:val="nil"/>
              <w:bottom w:val="nil"/>
              <w:right w:val="nil"/>
            </w:tcBorders>
          </w:tcPr>
          <w:p>
            <w:pPr>
              <w:pStyle w:val="TableParagraph"/>
              <w:spacing w:before="69"/>
              <w:ind w:right="72"/>
              <w:rPr>
                <w:rFonts w:ascii="Arial"/>
                <w:sz w:val="20"/>
              </w:rPr>
            </w:pPr>
            <w:r>
              <w:rPr>
                <w:rFonts w:ascii="Arial"/>
                <w:w w:val="95"/>
                <w:sz w:val="20"/>
              </w:rPr>
              <w:t>0,66</w:t>
            </w:r>
          </w:p>
        </w:tc>
        <w:tc>
          <w:tcPr>
            <w:tcW w:w="991" w:type="dxa"/>
            <w:tcBorders>
              <w:left w:val="nil"/>
              <w:bottom w:val="nil"/>
            </w:tcBorders>
          </w:tcPr>
          <w:p>
            <w:pPr>
              <w:pStyle w:val="TableParagraph"/>
              <w:spacing w:before="69"/>
              <w:ind w:right="65"/>
              <w:rPr>
                <w:rFonts w:ascii="Arial"/>
                <w:sz w:val="20"/>
              </w:rPr>
            </w:pPr>
            <w:r>
              <w:rPr>
                <w:rFonts w:ascii="Arial"/>
                <w:w w:val="95"/>
                <w:sz w:val="20"/>
              </w:rPr>
              <w:t>0,66</w:t>
            </w:r>
          </w:p>
        </w:tc>
      </w:tr>
      <w:tr>
        <w:trPr>
          <w:trHeight w:val="300" w:hRule="exact"/>
        </w:trPr>
        <w:tc>
          <w:tcPr>
            <w:tcW w:w="1418" w:type="dxa"/>
            <w:tcBorders>
              <w:top w:val="nil"/>
              <w:bottom w:val="nil"/>
            </w:tcBorders>
          </w:tcPr>
          <w:p>
            <w:pPr/>
          </w:p>
        </w:tc>
        <w:tc>
          <w:tcPr>
            <w:tcW w:w="1702" w:type="dxa"/>
            <w:tcBorders>
              <w:top w:val="nil"/>
              <w:bottom w:val="nil"/>
            </w:tcBorders>
          </w:tcPr>
          <w:p>
            <w:pPr>
              <w:pStyle w:val="TableParagraph"/>
              <w:spacing w:before="36"/>
              <w:ind w:left="64" w:right="126"/>
              <w:jc w:val="left"/>
              <w:rPr>
                <w:rFonts w:ascii="Arial"/>
                <w:sz w:val="20"/>
              </w:rPr>
            </w:pPr>
            <w:r>
              <w:rPr>
                <w:rFonts w:ascii="Arial"/>
                <w:sz w:val="20"/>
              </w:rPr>
              <w:t>DE</w:t>
            </w:r>
            <w:r>
              <w:rPr>
                <w:rFonts w:ascii="Arial"/>
                <w:spacing w:val="51"/>
                <w:sz w:val="20"/>
              </w:rPr>
              <w:t> </w:t>
            </w:r>
            <w:r>
              <w:rPr>
                <w:rFonts w:ascii="Arial"/>
                <w:sz w:val="20"/>
              </w:rPr>
              <w:t>(mg/L)</w:t>
            </w:r>
          </w:p>
        </w:tc>
        <w:tc>
          <w:tcPr>
            <w:tcW w:w="936" w:type="dxa"/>
            <w:tcBorders>
              <w:top w:val="nil"/>
              <w:bottom w:val="nil"/>
              <w:right w:val="nil"/>
            </w:tcBorders>
          </w:tcPr>
          <w:p>
            <w:pPr>
              <w:pStyle w:val="TableParagraph"/>
              <w:spacing w:before="36"/>
              <w:ind w:right="69"/>
              <w:rPr>
                <w:rFonts w:ascii="Arial"/>
                <w:sz w:val="20"/>
              </w:rPr>
            </w:pPr>
            <w:r>
              <w:rPr>
                <w:rFonts w:ascii="Arial"/>
                <w:w w:val="95"/>
                <w:sz w:val="20"/>
              </w:rPr>
              <w:t>0,013</w:t>
            </w:r>
          </w:p>
        </w:tc>
        <w:tc>
          <w:tcPr>
            <w:tcW w:w="991" w:type="dxa"/>
            <w:tcBorders>
              <w:top w:val="nil"/>
              <w:left w:val="nil"/>
              <w:bottom w:val="nil"/>
              <w:right w:val="nil"/>
            </w:tcBorders>
          </w:tcPr>
          <w:p>
            <w:pPr>
              <w:pStyle w:val="TableParagraph"/>
              <w:spacing w:before="36"/>
              <w:ind w:right="69"/>
              <w:rPr>
                <w:rFonts w:ascii="Arial"/>
                <w:sz w:val="20"/>
              </w:rPr>
            </w:pPr>
            <w:r>
              <w:rPr>
                <w:rFonts w:ascii="Arial"/>
                <w:w w:val="95"/>
                <w:sz w:val="20"/>
              </w:rPr>
              <w:t>0,012</w:t>
            </w:r>
          </w:p>
        </w:tc>
        <w:tc>
          <w:tcPr>
            <w:tcW w:w="994" w:type="dxa"/>
            <w:tcBorders>
              <w:top w:val="nil"/>
              <w:left w:val="nil"/>
              <w:bottom w:val="nil"/>
              <w:right w:val="nil"/>
            </w:tcBorders>
          </w:tcPr>
          <w:p>
            <w:pPr>
              <w:pStyle w:val="TableParagraph"/>
              <w:spacing w:before="36"/>
              <w:ind w:right="72"/>
              <w:rPr>
                <w:rFonts w:ascii="Arial"/>
                <w:sz w:val="20"/>
              </w:rPr>
            </w:pPr>
            <w:r>
              <w:rPr>
                <w:rFonts w:ascii="Arial"/>
                <w:w w:val="95"/>
                <w:sz w:val="20"/>
              </w:rPr>
              <w:t>0,012</w:t>
            </w:r>
          </w:p>
        </w:tc>
        <w:tc>
          <w:tcPr>
            <w:tcW w:w="991" w:type="dxa"/>
            <w:tcBorders>
              <w:top w:val="nil"/>
              <w:left w:val="nil"/>
              <w:bottom w:val="nil"/>
              <w:right w:val="nil"/>
            </w:tcBorders>
          </w:tcPr>
          <w:p>
            <w:pPr>
              <w:pStyle w:val="TableParagraph"/>
              <w:spacing w:before="36"/>
              <w:ind w:right="69"/>
              <w:rPr>
                <w:rFonts w:ascii="Arial"/>
                <w:sz w:val="20"/>
              </w:rPr>
            </w:pPr>
            <w:r>
              <w:rPr>
                <w:rFonts w:ascii="Arial"/>
                <w:w w:val="95"/>
                <w:sz w:val="20"/>
              </w:rPr>
              <w:t>0,012</w:t>
            </w:r>
          </w:p>
        </w:tc>
        <w:tc>
          <w:tcPr>
            <w:tcW w:w="994" w:type="dxa"/>
            <w:tcBorders>
              <w:top w:val="nil"/>
              <w:left w:val="nil"/>
              <w:bottom w:val="nil"/>
              <w:right w:val="nil"/>
            </w:tcBorders>
          </w:tcPr>
          <w:p>
            <w:pPr>
              <w:pStyle w:val="TableParagraph"/>
              <w:spacing w:before="36"/>
              <w:ind w:right="72"/>
              <w:rPr>
                <w:rFonts w:ascii="Arial"/>
                <w:sz w:val="20"/>
              </w:rPr>
            </w:pPr>
            <w:r>
              <w:rPr>
                <w:rFonts w:ascii="Arial"/>
                <w:w w:val="95"/>
                <w:sz w:val="20"/>
              </w:rPr>
              <w:t>0,014</w:t>
            </w:r>
          </w:p>
        </w:tc>
        <w:tc>
          <w:tcPr>
            <w:tcW w:w="991" w:type="dxa"/>
            <w:tcBorders>
              <w:top w:val="nil"/>
              <w:left w:val="nil"/>
              <w:bottom w:val="nil"/>
            </w:tcBorders>
          </w:tcPr>
          <w:p>
            <w:pPr>
              <w:pStyle w:val="TableParagraph"/>
              <w:spacing w:before="36"/>
              <w:ind w:right="65"/>
              <w:rPr>
                <w:rFonts w:ascii="Arial"/>
                <w:sz w:val="20"/>
              </w:rPr>
            </w:pPr>
            <w:r>
              <w:rPr>
                <w:rFonts w:ascii="Arial"/>
                <w:w w:val="95"/>
                <w:sz w:val="20"/>
              </w:rPr>
              <w:t>0,029</w:t>
            </w:r>
          </w:p>
        </w:tc>
      </w:tr>
      <w:tr>
        <w:trPr>
          <w:trHeight w:val="335" w:hRule="exact"/>
        </w:trPr>
        <w:tc>
          <w:tcPr>
            <w:tcW w:w="1418" w:type="dxa"/>
            <w:tcBorders>
              <w:top w:val="nil"/>
              <w:bottom w:val="nil"/>
            </w:tcBorders>
          </w:tcPr>
          <w:p>
            <w:pPr>
              <w:pStyle w:val="TableParagraph"/>
              <w:spacing w:before="12"/>
              <w:ind w:left="110" w:right="110"/>
              <w:jc w:val="center"/>
              <w:rPr>
                <w:rFonts w:ascii="Arial"/>
                <w:sz w:val="13"/>
              </w:rPr>
            </w:pPr>
            <w:r>
              <w:rPr>
                <w:rFonts w:ascii="Arial"/>
                <w:sz w:val="20"/>
              </w:rPr>
              <w:t>N-NH</w:t>
            </w:r>
            <w:r>
              <w:rPr>
                <w:rFonts w:ascii="Arial"/>
                <w:position w:val="-2"/>
                <w:sz w:val="13"/>
              </w:rPr>
              <w:t>3</w:t>
            </w:r>
          </w:p>
        </w:tc>
        <w:tc>
          <w:tcPr>
            <w:tcW w:w="1702" w:type="dxa"/>
            <w:tcBorders>
              <w:top w:val="nil"/>
              <w:bottom w:val="nil"/>
            </w:tcBorders>
          </w:tcPr>
          <w:p>
            <w:pPr>
              <w:pStyle w:val="TableParagraph"/>
              <w:spacing w:before="46"/>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46"/>
              <w:ind w:right="69"/>
              <w:rPr>
                <w:rFonts w:ascii="Arial"/>
                <w:sz w:val="20"/>
              </w:rPr>
            </w:pPr>
            <w:r>
              <w:rPr>
                <w:rFonts w:ascii="Arial"/>
                <w:w w:val="95"/>
                <w:sz w:val="20"/>
              </w:rPr>
              <w:t>0,016</w:t>
            </w:r>
          </w:p>
        </w:tc>
        <w:tc>
          <w:tcPr>
            <w:tcW w:w="991" w:type="dxa"/>
            <w:tcBorders>
              <w:top w:val="nil"/>
              <w:left w:val="nil"/>
              <w:bottom w:val="nil"/>
              <w:right w:val="nil"/>
            </w:tcBorders>
          </w:tcPr>
          <w:p>
            <w:pPr>
              <w:pStyle w:val="TableParagraph"/>
              <w:spacing w:before="46"/>
              <w:ind w:right="69"/>
              <w:rPr>
                <w:rFonts w:ascii="Arial"/>
                <w:sz w:val="20"/>
              </w:rPr>
            </w:pPr>
            <w:r>
              <w:rPr>
                <w:rFonts w:ascii="Arial"/>
                <w:w w:val="95"/>
                <w:sz w:val="20"/>
              </w:rPr>
              <w:t>0,019</w:t>
            </w:r>
          </w:p>
        </w:tc>
        <w:tc>
          <w:tcPr>
            <w:tcW w:w="994" w:type="dxa"/>
            <w:tcBorders>
              <w:top w:val="nil"/>
              <w:left w:val="nil"/>
              <w:bottom w:val="nil"/>
              <w:right w:val="nil"/>
            </w:tcBorders>
          </w:tcPr>
          <w:p>
            <w:pPr>
              <w:pStyle w:val="TableParagraph"/>
              <w:spacing w:before="46"/>
              <w:ind w:right="72"/>
              <w:rPr>
                <w:rFonts w:ascii="Arial"/>
                <w:sz w:val="20"/>
              </w:rPr>
            </w:pPr>
            <w:r>
              <w:rPr>
                <w:rFonts w:ascii="Arial"/>
                <w:w w:val="95"/>
                <w:sz w:val="20"/>
              </w:rPr>
              <w:t>0,019</w:t>
            </w:r>
          </w:p>
        </w:tc>
        <w:tc>
          <w:tcPr>
            <w:tcW w:w="991" w:type="dxa"/>
            <w:tcBorders>
              <w:top w:val="nil"/>
              <w:left w:val="nil"/>
              <w:bottom w:val="nil"/>
              <w:right w:val="nil"/>
            </w:tcBorders>
          </w:tcPr>
          <w:p>
            <w:pPr>
              <w:pStyle w:val="TableParagraph"/>
              <w:spacing w:before="46"/>
              <w:ind w:right="69"/>
              <w:rPr>
                <w:rFonts w:ascii="Arial"/>
                <w:sz w:val="20"/>
              </w:rPr>
            </w:pPr>
            <w:r>
              <w:rPr>
                <w:rFonts w:ascii="Arial"/>
                <w:w w:val="95"/>
                <w:sz w:val="20"/>
              </w:rPr>
              <w:t>0,019</w:t>
            </w:r>
          </w:p>
        </w:tc>
        <w:tc>
          <w:tcPr>
            <w:tcW w:w="994" w:type="dxa"/>
            <w:tcBorders>
              <w:top w:val="nil"/>
              <w:left w:val="nil"/>
              <w:bottom w:val="nil"/>
              <w:right w:val="nil"/>
            </w:tcBorders>
          </w:tcPr>
          <w:p>
            <w:pPr>
              <w:pStyle w:val="TableParagraph"/>
              <w:spacing w:before="46"/>
              <w:ind w:right="72"/>
              <w:rPr>
                <w:rFonts w:ascii="Arial"/>
                <w:sz w:val="20"/>
              </w:rPr>
            </w:pPr>
            <w:r>
              <w:rPr>
                <w:rFonts w:ascii="Arial"/>
                <w:w w:val="95"/>
                <w:sz w:val="20"/>
              </w:rPr>
              <w:t>0,022</w:t>
            </w:r>
          </w:p>
        </w:tc>
        <w:tc>
          <w:tcPr>
            <w:tcW w:w="991" w:type="dxa"/>
            <w:tcBorders>
              <w:top w:val="nil"/>
              <w:left w:val="nil"/>
              <w:bottom w:val="nil"/>
            </w:tcBorders>
          </w:tcPr>
          <w:p>
            <w:pPr>
              <w:pStyle w:val="TableParagraph"/>
              <w:spacing w:before="46"/>
              <w:ind w:right="65"/>
              <w:rPr>
                <w:rFonts w:ascii="Arial"/>
                <w:sz w:val="20"/>
              </w:rPr>
            </w:pPr>
            <w:r>
              <w:rPr>
                <w:rFonts w:ascii="Arial"/>
                <w:w w:val="95"/>
                <w:sz w:val="20"/>
              </w:rPr>
              <w:t>0,044</w:t>
            </w:r>
          </w:p>
        </w:tc>
      </w:tr>
      <w:tr>
        <w:trPr>
          <w:trHeight w:val="374" w:hRule="exact"/>
        </w:trPr>
        <w:tc>
          <w:tcPr>
            <w:tcW w:w="1418" w:type="dxa"/>
            <w:tcBorders>
              <w:top w:val="nil"/>
              <w:bottom w:val="nil"/>
            </w:tcBorders>
          </w:tcPr>
          <w:p>
            <w:pPr/>
          </w:p>
        </w:tc>
        <w:tc>
          <w:tcPr>
            <w:tcW w:w="1702" w:type="dxa"/>
            <w:tcBorders>
              <w:top w:val="nil"/>
              <w:bottom w:val="nil"/>
            </w:tcBorders>
          </w:tcPr>
          <w:p>
            <w:pPr>
              <w:pStyle w:val="TableParagraph"/>
              <w:spacing w:before="150"/>
              <w:ind w:left="64" w:right="126"/>
              <w:jc w:val="left"/>
              <w:rPr>
                <w:rFonts w:ascii="Arial"/>
                <w:sz w:val="20"/>
              </w:rPr>
            </w:pPr>
            <w:r>
              <w:rPr>
                <w:rFonts w:ascii="Arial"/>
                <w:sz w:val="20"/>
              </w:rPr>
              <w:t>IC (95%)</w:t>
            </w:r>
          </w:p>
        </w:tc>
        <w:tc>
          <w:tcPr>
            <w:tcW w:w="936" w:type="dxa"/>
            <w:tcBorders>
              <w:top w:val="nil"/>
              <w:bottom w:val="nil"/>
              <w:right w:val="nil"/>
            </w:tcBorders>
          </w:tcPr>
          <w:p>
            <w:pPr>
              <w:pStyle w:val="TableParagraph"/>
              <w:spacing w:before="37"/>
              <w:ind w:right="69"/>
              <w:rPr>
                <w:rFonts w:ascii="Arial"/>
                <w:sz w:val="20"/>
              </w:rPr>
            </w:pPr>
            <w:r>
              <w:rPr>
                <w:rFonts w:ascii="Arial"/>
                <w:w w:val="95"/>
                <w:sz w:val="20"/>
              </w:rPr>
              <w:t>0,776</w:t>
            </w:r>
          </w:p>
        </w:tc>
        <w:tc>
          <w:tcPr>
            <w:tcW w:w="991" w:type="dxa"/>
            <w:tcBorders>
              <w:top w:val="nil"/>
              <w:left w:val="nil"/>
              <w:bottom w:val="nil"/>
              <w:right w:val="nil"/>
            </w:tcBorders>
          </w:tcPr>
          <w:p>
            <w:pPr>
              <w:pStyle w:val="TableParagraph"/>
              <w:spacing w:before="37"/>
              <w:ind w:right="69"/>
              <w:rPr>
                <w:rFonts w:ascii="Arial"/>
                <w:sz w:val="20"/>
              </w:rPr>
            </w:pPr>
            <w:r>
              <w:rPr>
                <w:rFonts w:ascii="Arial"/>
                <w:w w:val="95"/>
                <w:sz w:val="20"/>
              </w:rPr>
              <w:t>0,636</w:t>
            </w:r>
          </w:p>
        </w:tc>
        <w:tc>
          <w:tcPr>
            <w:tcW w:w="994" w:type="dxa"/>
            <w:tcBorders>
              <w:top w:val="nil"/>
              <w:left w:val="nil"/>
              <w:bottom w:val="nil"/>
              <w:right w:val="nil"/>
            </w:tcBorders>
          </w:tcPr>
          <w:p>
            <w:pPr>
              <w:pStyle w:val="TableParagraph"/>
              <w:spacing w:before="37"/>
              <w:ind w:right="72"/>
              <w:rPr>
                <w:rFonts w:ascii="Arial"/>
                <w:sz w:val="20"/>
              </w:rPr>
            </w:pPr>
            <w:r>
              <w:rPr>
                <w:rFonts w:ascii="Arial"/>
                <w:w w:val="95"/>
                <w:sz w:val="20"/>
              </w:rPr>
              <w:t>0,636</w:t>
            </w:r>
          </w:p>
        </w:tc>
        <w:tc>
          <w:tcPr>
            <w:tcW w:w="991" w:type="dxa"/>
            <w:tcBorders>
              <w:top w:val="nil"/>
              <w:left w:val="nil"/>
              <w:bottom w:val="nil"/>
              <w:right w:val="nil"/>
            </w:tcBorders>
          </w:tcPr>
          <w:p>
            <w:pPr>
              <w:pStyle w:val="TableParagraph"/>
              <w:spacing w:before="37"/>
              <w:ind w:right="69"/>
              <w:rPr>
                <w:rFonts w:ascii="Arial"/>
                <w:sz w:val="20"/>
              </w:rPr>
            </w:pPr>
            <w:r>
              <w:rPr>
                <w:rFonts w:ascii="Arial"/>
                <w:w w:val="95"/>
                <w:sz w:val="20"/>
              </w:rPr>
              <w:t>0,636</w:t>
            </w:r>
          </w:p>
        </w:tc>
        <w:tc>
          <w:tcPr>
            <w:tcW w:w="994" w:type="dxa"/>
            <w:tcBorders>
              <w:top w:val="nil"/>
              <w:left w:val="nil"/>
              <w:bottom w:val="nil"/>
              <w:right w:val="nil"/>
            </w:tcBorders>
          </w:tcPr>
          <w:p>
            <w:pPr>
              <w:pStyle w:val="TableParagraph"/>
              <w:spacing w:before="37"/>
              <w:ind w:right="72"/>
              <w:rPr>
                <w:rFonts w:ascii="Arial"/>
                <w:sz w:val="20"/>
              </w:rPr>
            </w:pPr>
            <w:r>
              <w:rPr>
                <w:rFonts w:ascii="Arial"/>
                <w:w w:val="95"/>
                <w:sz w:val="20"/>
              </w:rPr>
              <w:t>0,632</w:t>
            </w:r>
          </w:p>
        </w:tc>
        <w:tc>
          <w:tcPr>
            <w:tcW w:w="991" w:type="dxa"/>
            <w:tcBorders>
              <w:top w:val="nil"/>
              <w:left w:val="nil"/>
              <w:bottom w:val="nil"/>
            </w:tcBorders>
          </w:tcPr>
          <w:p>
            <w:pPr>
              <w:pStyle w:val="TableParagraph"/>
              <w:spacing w:before="37"/>
              <w:ind w:right="65"/>
              <w:rPr>
                <w:rFonts w:ascii="Arial"/>
                <w:sz w:val="20"/>
              </w:rPr>
            </w:pPr>
            <w:r>
              <w:rPr>
                <w:rFonts w:ascii="Arial"/>
                <w:w w:val="95"/>
                <w:sz w:val="20"/>
              </w:rPr>
              <w:t>0,603</w:t>
            </w:r>
          </w:p>
        </w:tc>
      </w:tr>
      <w:tr>
        <w:trPr>
          <w:trHeight w:val="211" w:hRule="exact"/>
        </w:trPr>
        <w:tc>
          <w:tcPr>
            <w:tcW w:w="1418" w:type="dxa"/>
            <w:tcBorders>
              <w:top w:val="nil"/>
            </w:tcBorders>
          </w:tcPr>
          <w:p>
            <w:pPr/>
          </w:p>
        </w:tc>
        <w:tc>
          <w:tcPr>
            <w:tcW w:w="1702" w:type="dxa"/>
            <w:tcBorders>
              <w:top w:val="nil"/>
            </w:tcBorders>
          </w:tcPr>
          <w:p>
            <w:pPr/>
          </w:p>
        </w:tc>
        <w:tc>
          <w:tcPr>
            <w:tcW w:w="936" w:type="dxa"/>
            <w:tcBorders>
              <w:top w:val="nil"/>
              <w:right w:val="nil"/>
            </w:tcBorders>
          </w:tcPr>
          <w:p>
            <w:pPr>
              <w:pStyle w:val="TableParagraph"/>
              <w:spacing w:line="203" w:lineRule="exact" w:before="0"/>
              <w:ind w:right="69"/>
              <w:rPr>
                <w:rFonts w:ascii="Arial"/>
                <w:sz w:val="20"/>
              </w:rPr>
            </w:pPr>
            <w:r>
              <w:rPr>
                <w:rFonts w:ascii="Arial"/>
                <w:w w:val="95"/>
                <w:sz w:val="20"/>
              </w:rPr>
              <w:t>0,825</w:t>
            </w:r>
          </w:p>
        </w:tc>
        <w:tc>
          <w:tcPr>
            <w:tcW w:w="991" w:type="dxa"/>
            <w:tcBorders>
              <w:top w:val="nil"/>
              <w:left w:val="nil"/>
              <w:right w:val="nil"/>
            </w:tcBorders>
          </w:tcPr>
          <w:p>
            <w:pPr>
              <w:pStyle w:val="TableParagraph"/>
              <w:spacing w:line="203" w:lineRule="exact" w:before="0"/>
              <w:ind w:right="69"/>
              <w:rPr>
                <w:rFonts w:ascii="Arial"/>
                <w:sz w:val="20"/>
              </w:rPr>
            </w:pPr>
            <w:r>
              <w:rPr>
                <w:rFonts w:ascii="Arial"/>
                <w:w w:val="95"/>
                <w:sz w:val="20"/>
              </w:rPr>
              <w:t>0,684</w:t>
            </w:r>
          </w:p>
        </w:tc>
        <w:tc>
          <w:tcPr>
            <w:tcW w:w="994" w:type="dxa"/>
            <w:tcBorders>
              <w:top w:val="nil"/>
              <w:left w:val="nil"/>
              <w:right w:val="nil"/>
            </w:tcBorders>
          </w:tcPr>
          <w:p>
            <w:pPr>
              <w:pStyle w:val="TableParagraph"/>
              <w:spacing w:line="203" w:lineRule="exact" w:before="0"/>
              <w:ind w:right="72"/>
              <w:rPr>
                <w:rFonts w:ascii="Arial"/>
                <w:sz w:val="20"/>
              </w:rPr>
            </w:pPr>
            <w:r>
              <w:rPr>
                <w:rFonts w:ascii="Arial"/>
                <w:w w:val="95"/>
                <w:sz w:val="20"/>
              </w:rPr>
              <w:t>0,684</w:t>
            </w:r>
          </w:p>
        </w:tc>
        <w:tc>
          <w:tcPr>
            <w:tcW w:w="991" w:type="dxa"/>
            <w:tcBorders>
              <w:top w:val="nil"/>
              <w:left w:val="nil"/>
              <w:right w:val="nil"/>
            </w:tcBorders>
          </w:tcPr>
          <w:p>
            <w:pPr>
              <w:pStyle w:val="TableParagraph"/>
              <w:spacing w:line="203" w:lineRule="exact" w:before="0"/>
              <w:ind w:right="69"/>
              <w:rPr>
                <w:rFonts w:ascii="Arial"/>
                <w:sz w:val="20"/>
              </w:rPr>
            </w:pPr>
            <w:r>
              <w:rPr>
                <w:rFonts w:ascii="Arial"/>
                <w:w w:val="95"/>
                <w:sz w:val="20"/>
              </w:rPr>
              <w:t>0,684</w:t>
            </w:r>
          </w:p>
        </w:tc>
        <w:tc>
          <w:tcPr>
            <w:tcW w:w="994" w:type="dxa"/>
            <w:tcBorders>
              <w:top w:val="nil"/>
              <w:left w:val="nil"/>
              <w:right w:val="nil"/>
            </w:tcBorders>
          </w:tcPr>
          <w:p>
            <w:pPr>
              <w:pStyle w:val="TableParagraph"/>
              <w:spacing w:line="203" w:lineRule="exact" w:before="0"/>
              <w:ind w:right="72"/>
              <w:rPr>
                <w:rFonts w:ascii="Arial"/>
                <w:sz w:val="20"/>
              </w:rPr>
            </w:pPr>
            <w:r>
              <w:rPr>
                <w:rFonts w:ascii="Arial"/>
                <w:w w:val="95"/>
                <w:sz w:val="20"/>
              </w:rPr>
              <w:t>0,688</w:t>
            </w:r>
          </w:p>
        </w:tc>
        <w:tc>
          <w:tcPr>
            <w:tcW w:w="991" w:type="dxa"/>
            <w:tcBorders>
              <w:top w:val="nil"/>
              <w:left w:val="nil"/>
            </w:tcBorders>
          </w:tcPr>
          <w:p>
            <w:pPr>
              <w:pStyle w:val="TableParagraph"/>
              <w:spacing w:line="203" w:lineRule="exact" w:before="0"/>
              <w:ind w:right="65"/>
              <w:rPr>
                <w:rFonts w:ascii="Arial"/>
                <w:sz w:val="20"/>
              </w:rPr>
            </w:pPr>
            <w:r>
              <w:rPr>
                <w:rFonts w:ascii="Arial"/>
                <w:w w:val="95"/>
                <w:sz w:val="20"/>
              </w:rPr>
              <w:t>0,717</w:t>
            </w:r>
          </w:p>
        </w:tc>
      </w:tr>
      <w:tr>
        <w:trPr>
          <w:trHeight w:val="383" w:hRule="exact"/>
        </w:trPr>
        <w:tc>
          <w:tcPr>
            <w:tcW w:w="1418" w:type="dxa"/>
            <w:tcBorders>
              <w:bottom w:val="nil"/>
            </w:tcBorders>
          </w:tcPr>
          <w:p>
            <w:pPr/>
          </w:p>
        </w:tc>
        <w:tc>
          <w:tcPr>
            <w:tcW w:w="1702" w:type="dxa"/>
            <w:tcBorders>
              <w:bottom w:val="nil"/>
            </w:tcBorders>
          </w:tcPr>
          <w:p>
            <w:pPr>
              <w:pStyle w:val="TableParagraph"/>
              <w:spacing w:before="98"/>
              <w:ind w:left="64" w:right="0"/>
              <w:jc w:val="left"/>
              <w:rPr>
                <w:rFonts w:ascii="Arial"/>
                <w:sz w:val="20"/>
              </w:rPr>
            </w:pPr>
            <w:r>
              <w:rPr>
                <w:rFonts w:ascii="Arial"/>
                <w:sz w:val="20"/>
              </w:rPr>
              <w:t>Promedio (mg/L)</w:t>
            </w:r>
          </w:p>
        </w:tc>
        <w:tc>
          <w:tcPr>
            <w:tcW w:w="936" w:type="dxa"/>
            <w:tcBorders>
              <w:bottom w:val="nil"/>
              <w:right w:val="nil"/>
            </w:tcBorders>
          </w:tcPr>
          <w:p>
            <w:pPr>
              <w:pStyle w:val="TableParagraph"/>
              <w:spacing w:before="98"/>
              <w:ind w:right="70"/>
              <w:rPr>
                <w:rFonts w:ascii="Arial"/>
                <w:sz w:val="20"/>
              </w:rPr>
            </w:pPr>
            <w:r>
              <w:rPr>
                <w:rFonts w:ascii="Arial"/>
                <w:sz w:val="20"/>
              </w:rPr>
              <w:t>0,2641</w:t>
            </w:r>
          </w:p>
        </w:tc>
        <w:tc>
          <w:tcPr>
            <w:tcW w:w="991" w:type="dxa"/>
            <w:tcBorders>
              <w:left w:val="nil"/>
              <w:bottom w:val="nil"/>
              <w:right w:val="nil"/>
            </w:tcBorders>
          </w:tcPr>
          <w:p>
            <w:pPr>
              <w:pStyle w:val="TableParagraph"/>
              <w:spacing w:before="98"/>
              <w:ind w:right="71"/>
              <w:rPr>
                <w:rFonts w:ascii="Arial"/>
                <w:sz w:val="20"/>
              </w:rPr>
            </w:pPr>
            <w:r>
              <w:rPr>
                <w:rFonts w:ascii="Arial"/>
                <w:sz w:val="20"/>
              </w:rPr>
              <w:t>0,3115</w:t>
            </w:r>
          </w:p>
        </w:tc>
        <w:tc>
          <w:tcPr>
            <w:tcW w:w="994" w:type="dxa"/>
            <w:tcBorders>
              <w:left w:val="nil"/>
              <w:bottom w:val="nil"/>
              <w:right w:val="nil"/>
            </w:tcBorders>
          </w:tcPr>
          <w:p>
            <w:pPr>
              <w:pStyle w:val="TableParagraph"/>
              <w:spacing w:before="98"/>
              <w:ind w:right="72"/>
              <w:rPr>
                <w:rFonts w:ascii="Arial"/>
                <w:sz w:val="20"/>
              </w:rPr>
            </w:pPr>
            <w:r>
              <w:rPr>
                <w:rFonts w:ascii="Arial"/>
                <w:sz w:val="20"/>
              </w:rPr>
              <w:t>0,2009</w:t>
            </w:r>
          </w:p>
        </w:tc>
        <w:tc>
          <w:tcPr>
            <w:tcW w:w="991" w:type="dxa"/>
            <w:tcBorders>
              <w:left w:val="nil"/>
              <w:bottom w:val="nil"/>
              <w:right w:val="nil"/>
            </w:tcBorders>
          </w:tcPr>
          <w:p>
            <w:pPr>
              <w:pStyle w:val="TableParagraph"/>
              <w:spacing w:before="98"/>
              <w:ind w:right="71"/>
              <w:rPr>
                <w:rFonts w:ascii="Arial"/>
                <w:sz w:val="20"/>
              </w:rPr>
            </w:pPr>
            <w:r>
              <w:rPr>
                <w:rFonts w:ascii="Arial"/>
                <w:sz w:val="20"/>
              </w:rPr>
              <w:t>0,2503</w:t>
            </w:r>
          </w:p>
        </w:tc>
        <w:tc>
          <w:tcPr>
            <w:tcW w:w="994" w:type="dxa"/>
            <w:tcBorders>
              <w:left w:val="nil"/>
              <w:bottom w:val="nil"/>
              <w:right w:val="nil"/>
            </w:tcBorders>
          </w:tcPr>
          <w:p>
            <w:pPr>
              <w:pStyle w:val="TableParagraph"/>
              <w:spacing w:before="98"/>
              <w:ind w:right="72"/>
              <w:rPr>
                <w:rFonts w:ascii="Arial"/>
                <w:sz w:val="20"/>
              </w:rPr>
            </w:pPr>
            <w:r>
              <w:rPr>
                <w:rFonts w:ascii="Arial"/>
                <w:sz w:val="20"/>
              </w:rPr>
              <w:t>0,2740</w:t>
            </w:r>
          </w:p>
        </w:tc>
        <w:tc>
          <w:tcPr>
            <w:tcW w:w="991" w:type="dxa"/>
            <w:tcBorders>
              <w:left w:val="nil"/>
              <w:bottom w:val="nil"/>
            </w:tcBorders>
          </w:tcPr>
          <w:p>
            <w:pPr>
              <w:pStyle w:val="TableParagraph"/>
              <w:spacing w:before="98"/>
              <w:ind w:right="65"/>
              <w:rPr>
                <w:rFonts w:ascii="Arial"/>
                <w:sz w:val="20"/>
              </w:rPr>
            </w:pPr>
            <w:r>
              <w:rPr>
                <w:rFonts w:ascii="Arial"/>
                <w:sz w:val="20"/>
              </w:rPr>
              <w:t>0,5077</w:t>
            </w:r>
          </w:p>
        </w:tc>
      </w:tr>
      <w:tr>
        <w:trPr>
          <w:trHeight w:val="292" w:hRule="exact"/>
        </w:trPr>
        <w:tc>
          <w:tcPr>
            <w:tcW w:w="1418" w:type="dxa"/>
            <w:tcBorders>
              <w:top w:val="nil"/>
              <w:bottom w:val="nil"/>
            </w:tcBorders>
          </w:tcPr>
          <w:p>
            <w:pPr/>
          </w:p>
        </w:tc>
        <w:tc>
          <w:tcPr>
            <w:tcW w:w="1702" w:type="dxa"/>
            <w:tcBorders>
              <w:top w:val="nil"/>
              <w:bottom w:val="nil"/>
            </w:tcBorders>
          </w:tcPr>
          <w:p>
            <w:pPr>
              <w:pStyle w:val="TableParagraph"/>
              <w:spacing w:before="29"/>
              <w:ind w:left="64" w:right="126"/>
              <w:jc w:val="left"/>
              <w:rPr>
                <w:rFonts w:ascii="Arial"/>
                <w:sz w:val="20"/>
              </w:rPr>
            </w:pPr>
            <w:r>
              <w:rPr>
                <w:rFonts w:ascii="Arial"/>
                <w:sz w:val="20"/>
              </w:rPr>
              <w:t>DE</w:t>
            </w:r>
            <w:r>
              <w:rPr>
                <w:rFonts w:ascii="Arial"/>
                <w:spacing w:val="51"/>
                <w:sz w:val="20"/>
              </w:rPr>
              <w:t> </w:t>
            </w:r>
            <w:r>
              <w:rPr>
                <w:rFonts w:ascii="Arial"/>
                <w:sz w:val="20"/>
              </w:rPr>
              <w:t>(mg/L)</w:t>
            </w:r>
          </w:p>
        </w:tc>
        <w:tc>
          <w:tcPr>
            <w:tcW w:w="936" w:type="dxa"/>
            <w:tcBorders>
              <w:top w:val="nil"/>
              <w:bottom w:val="nil"/>
              <w:right w:val="nil"/>
            </w:tcBorders>
          </w:tcPr>
          <w:p>
            <w:pPr>
              <w:pStyle w:val="TableParagraph"/>
              <w:spacing w:before="29"/>
              <w:ind w:right="69"/>
              <w:rPr>
                <w:rFonts w:ascii="Arial"/>
                <w:sz w:val="20"/>
              </w:rPr>
            </w:pPr>
            <w:r>
              <w:rPr>
                <w:rFonts w:ascii="Arial"/>
                <w:sz w:val="20"/>
              </w:rPr>
              <w:t>0,0057</w:t>
            </w:r>
          </w:p>
        </w:tc>
        <w:tc>
          <w:tcPr>
            <w:tcW w:w="991" w:type="dxa"/>
            <w:tcBorders>
              <w:top w:val="nil"/>
              <w:left w:val="nil"/>
              <w:bottom w:val="nil"/>
              <w:right w:val="nil"/>
            </w:tcBorders>
          </w:tcPr>
          <w:p>
            <w:pPr>
              <w:pStyle w:val="TableParagraph"/>
              <w:spacing w:before="29"/>
              <w:ind w:right="71"/>
              <w:rPr>
                <w:rFonts w:ascii="Arial"/>
                <w:sz w:val="20"/>
              </w:rPr>
            </w:pPr>
            <w:r>
              <w:rPr>
                <w:rFonts w:ascii="Arial"/>
                <w:sz w:val="20"/>
              </w:rPr>
              <w:t>0,0056</w:t>
            </w:r>
          </w:p>
        </w:tc>
        <w:tc>
          <w:tcPr>
            <w:tcW w:w="994" w:type="dxa"/>
            <w:tcBorders>
              <w:top w:val="nil"/>
              <w:left w:val="nil"/>
              <w:bottom w:val="nil"/>
              <w:right w:val="nil"/>
            </w:tcBorders>
          </w:tcPr>
          <w:p>
            <w:pPr>
              <w:pStyle w:val="TableParagraph"/>
              <w:spacing w:before="29"/>
              <w:ind w:right="72"/>
              <w:rPr>
                <w:rFonts w:ascii="Arial"/>
                <w:sz w:val="20"/>
              </w:rPr>
            </w:pPr>
            <w:r>
              <w:rPr>
                <w:rFonts w:ascii="Arial"/>
                <w:sz w:val="20"/>
              </w:rPr>
              <w:t>0,0060</w:t>
            </w:r>
          </w:p>
        </w:tc>
        <w:tc>
          <w:tcPr>
            <w:tcW w:w="991" w:type="dxa"/>
            <w:tcBorders>
              <w:top w:val="nil"/>
              <w:left w:val="nil"/>
              <w:bottom w:val="nil"/>
              <w:right w:val="nil"/>
            </w:tcBorders>
          </w:tcPr>
          <w:p>
            <w:pPr>
              <w:pStyle w:val="TableParagraph"/>
              <w:spacing w:before="29"/>
              <w:ind w:right="71"/>
              <w:rPr>
                <w:rFonts w:ascii="Arial"/>
                <w:sz w:val="20"/>
              </w:rPr>
            </w:pPr>
            <w:r>
              <w:rPr>
                <w:rFonts w:ascii="Arial"/>
                <w:sz w:val="20"/>
              </w:rPr>
              <w:t>0,0058</w:t>
            </w:r>
          </w:p>
        </w:tc>
        <w:tc>
          <w:tcPr>
            <w:tcW w:w="994" w:type="dxa"/>
            <w:tcBorders>
              <w:top w:val="nil"/>
              <w:left w:val="nil"/>
              <w:bottom w:val="nil"/>
              <w:right w:val="nil"/>
            </w:tcBorders>
          </w:tcPr>
          <w:p>
            <w:pPr>
              <w:pStyle w:val="TableParagraph"/>
              <w:spacing w:before="29"/>
              <w:ind w:right="72"/>
              <w:rPr>
                <w:rFonts w:ascii="Arial"/>
                <w:sz w:val="20"/>
              </w:rPr>
            </w:pPr>
            <w:r>
              <w:rPr>
                <w:rFonts w:ascii="Arial"/>
                <w:sz w:val="20"/>
              </w:rPr>
              <w:t>0,0057</w:t>
            </w:r>
          </w:p>
        </w:tc>
        <w:tc>
          <w:tcPr>
            <w:tcW w:w="991" w:type="dxa"/>
            <w:tcBorders>
              <w:top w:val="nil"/>
              <w:left w:val="nil"/>
              <w:bottom w:val="nil"/>
            </w:tcBorders>
          </w:tcPr>
          <w:p>
            <w:pPr>
              <w:pStyle w:val="TableParagraph"/>
              <w:spacing w:before="29"/>
              <w:ind w:right="65"/>
              <w:rPr>
                <w:rFonts w:ascii="Arial"/>
                <w:sz w:val="20"/>
              </w:rPr>
            </w:pPr>
            <w:r>
              <w:rPr>
                <w:rFonts w:ascii="Arial"/>
                <w:sz w:val="20"/>
              </w:rPr>
              <w:t>0,0070</w:t>
            </w:r>
          </w:p>
        </w:tc>
      </w:tr>
      <w:tr>
        <w:trPr>
          <w:trHeight w:val="342" w:hRule="exact"/>
        </w:trPr>
        <w:tc>
          <w:tcPr>
            <w:tcW w:w="1418" w:type="dxa"/>
            <w:tcBorders>
              <w:top w:val="nil"/>
              <w:bottom w:val="nil"/>
            </w:tcBorders>
          </w:tcPr>
          <w:p>
            <w:pPr>
              <w:pStyle w:val="TableParagraph"/>
              <w:spacing w:before="11"/>
              <w:ind w:left="110" w:right="112"/>
              <w:jc w:val="center"/>
              <w:rPr>
                <w:rFonts w:ascii="Arial"/>
                <w:sz w:val="13"/>
              </w:rPr>
            </w:pPr>
            <w:r>
              <w:rPr>
                <w:rFonts w:ascii="Arial"/>
                <w:sz w:val="20"/>
              </w:rPr>
              <w:t>N-NO</w:t>
            </w:r>
            <w:r>
              <w:rPr>
                <w:rFonts w:ascii="Arial"/>
                <w:position w:val="-2"/>
                <w:sz w:val="13"/>
              </w:rPr>
              <w:t>2</w:t>
            </w:r>
          </w:p>
        </w:tc>
        <w:tc>
          <w:tcPr>
            <w:tcW w:w="1702" w:type="dxa"/>
            <w:tcBorders>
              <w:top w:val="nil"/>
              <w:bottom w:val="nil"/>
            </w:tcBorders>
          </w:tcPr>
          <w:p>
            <w:pPr>
              <w:pStyle w:val="TableParagraph"/>
              <w:spacing w:before="61"/>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61"/>
              <w:ind w:right="69"/>
              <w:rPr>
                <w:rFonts w:ascii="Arial"/>
                <w:sz w:val="20"/>
              </w:rPr>
            </w:pPr>
            <w:r>
              <w:rPr>
                <w:rFonts w:ascii="Arial"/>
                <w:sz w:val="20"/>
              </w:rPr>
              <w:t>0,0215</w:t>
            </w:r>
          </w:p>
        </w:tc>
        <w:tc>
          <w:tcPr>
            <w:tcW w:w="991" w:type="dxa"/>
            <w:tcBorders>
              <w:top w:val="nil"/>
              <w:left w:val="nil"/>
              <w:bottom w:val="nil"/>
              <w:right w:val="nil"/>
            </w:tcBorders>
          </w:tcPr>
          <w:p>
            <w:pPr>
              <w:pStyle w:val="TableParagraph"/>
              <w:spacing w:before="61"/>
              <w:ind w:right="71"/>
              <w:rPr>
                <w:rFonts w:ascii="Arial"/>
                <w:sz w:val="20"/>
              </w:rPr>
            </w:pPr>
            <w:r>
              <w:rPr>
                <w:rFonts w:ascii="Arial"/>
                <w:sz w:val="20"/>
              </w:rPr>
              <w:t>0,0181</w:t>
            </w:r>
          </w:p>
        </w:tc>
        <w:tc>
          <w:tcPr>
            <w:tcW w:w="994" w:type="dxa"/>
            <w:tcBorders>
              <w:top w:val="nil"/>
              <w:left w:val="nil"/>
              <w:bottom w:val="nil"/>
              <w:right w:val="nil"/>
            </w:tcBorders>
          </w:tcPr>
          <w:p>
            <w:pPr>
              <w:pStyle w:val="TableParagraph"/>
              <w:spacing w:before="61"/>
              <w:ind w:right="72"/>
              <w:rPr>
                <w:rFonts w:ascii="Arial"/>
                <w:sz w:val="20"/>
              </w:rPr>
            </w:pPr>
            <w:r>
              <w:rPr>
                <w:rFonts w:ascii="Arial"/>
                <w:sz w:val="20"/>
              </w:rPr>
              <w:t>0,0298</w:t>
            </w:r>
          </w:p>
        </w:tc>
        <w:tc>
          <w:tcPr>
            <w:tcW w:w="991" w:type="dxa"/>
            <w:tcBorders>
              <w:top w:val="nil"/>
              <w:left w:val="nil"/>
              <w:bottom w:val="nil"/>
              <w:right w:val="nil"/>
            </w:tcBorders>
          </w:tcPr>
          <w:p>
            <w:pPr>
              <w:pStyle w:val="TableParagraph"/>
              <w:spacing w:before="61"/>
              <w:ind w:right="71"/>
              <w:rPr>
                <w:rFonts w:ascii="Arial"/>
                <w:sz w:val="20"/>
              </w:rPr>
            </w:pPr>
            <w:r>
              <w:rPr>
                <w:rFonts w:ascii="Arial"/>
                <w:sz w:val="20"/>
              </w:rPr>
              <w:t>0,0233</w:t>
            </w:r>
          </w:p>
        </w:tc>
        <w:tc>
          <w:tcPr>
            <w:tcW w:w="994" w:type="dxa"/>
            <w:tcBorders>
              <w:top w:val="nil"/>
              <w:left w:val="nil"/>
              <w:bottom w:val="nil"/>
              <w:right w:val="nil"/>
            </w:tcBorders>
          </w:tcPr>
          <w:p>
            <w:pPr>
              <w:pStyle w:val="TableParagraph"/>
              <w:spacing w:before="61"/>
              <w:ind w:right="72"/>
              <w:rPr>
                <w:rFonts w:ascii="Arial"/>
                <w:sz w:val="20"/>
              </w:rPr>
            </w:pPr>
            <w:r>
              <w:rPr>
                <w:rFonts w:ascii="Arial"/>
                <w:sz w:val="20"/>
              </w:rPr>
              <w:t>0,0209</w:t>
            </w:r>
          </w:p>
        </w:tc>
        <w:tc>
          <w:tcPr>
            <w:tcW w:w="991" w:type="dxa"/>
            <w:tcBorders>
              <w:top w:val="nil"/>
              <w:left w:val="nil"/>
              <w:bottom w:val="nil"/>
            </w:tcBorders>
          </w:tcPr>
          <w:p>
            <w:pPr>
              <w:pStyle w:val="TableParagraph"/>
              <w:spacing w:before="61"/>
              <w:ind w:right="65"/>
              <w:rPr>
                <w:rFonts w:ascii="Arial"/>
                <w:sz w:val="20"/>
              </w:rPr>
            </w:pPr>
            <w:r>
              <w:rPr>
                <w:rFonts w:ascii="Arial"/>
                <w:sz w:val="20"/>
              </w:rPr>
              <w:t>0,0138</w:t>
            </w:r>
          </w:p>
        </w:tc>
      </w:tr>
      <w:tr>
        <w:trPr>
          <w:trHeight w:val="382" w:hRule="exact"/>
        </w:trPr>
        <w:tc>
          <w:tcPr>
            <w:tcW w:w="1418" w:type="dxa"/>
            <w:tcBorders>
              <w:top w:val="nil"/>
              <w:bottom w:val="nil"/>
            </w:tcBorders>
          </w:tcPr>
          <w:p>
            <w:pPr/>
          </w:p>
        </w:tc>
        <w:tc>
          <w:tcPr>
            <w:tcW w:w="1702" w:type="dxa"/>
            <w:tcBorders>
              <w:top w:val="nil"/>
              <w:bottom w:val="nil"/>
            </w:tcBorders>
          </w:tcPr>
          <w:p>
            <w:pPr>
              <w:pStyle w:val="TableParagraph"/>
              <w:spacing w:before="156"/>
              <w:ind w:left="64" w:right="126"/>
              <w:jc w:val="left"/>
              <w:rPr>
                <w:rFonts w:ascii="Arial"/>
                <w:sz w:val="20"/>
              </w:rPr>
            </w:pPr>
            <w:r>
              <w:rPr>
                <w:rFonts w:ascii="Arial"/>
                <w:sz w:val="20"/>
              </w:rPr>
              <w:t>IC (95%)</w:t>
            </w:r>
          </w:p>
        </w:tc>
        <w:tc>
          <w:tcPr>
            <w:tcW w:w="936" w:type="dxa"/>
            <w:tcBorders>
              <w:top w:val="nil"/>
              <w:bottom w:val="nil"/>
              <w:right w:val="nil"/>
            </w:tcBorders>
          </w:tcPr>
          <w:p>
            <w:pPr>
              <w:pStyle w:val="TableParagraph"/>
              <w:spacing w:before="29"/>
              <w:ind w:right="69"/>
              <w:rPr>
                <w:rFonts w:ascii="Arial"/>
                <w:sz w:val="20"/>
              </w:rPr>
            </w:pPr>
            <w:r>
              <w:rPr>
                <w:rFonts w:ascii="Arial"/>
                <w:w w:val="95"/>
                <w:sz w:val="20"/>
              </w:rPr>
              <w:t>0,253</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0,300</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0,189</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0,239</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0,263</w:t>
            </w:r>
          </w:p>
        </w:tc>
        <w:tc>
          <w:tcPr>
            <w:tcW w:w="991" w:type="dxa"/>
            <w:tcBorders>
              <w:top w:val="nil"/>
              <w:left w:val="nil"/>
              <w:bottom w:val="nil"/>
            </w:tcBorders>
          </w:tcPr>
          <w:p>
            <w:pPr>
              <w:pStyle w:val="TableParagraph"/>
              <w:spacing w:before="29"/>
              <w:ind w:right="65"/>
              <w:rPr>
                <w:rFonts w:ascii="Arial"/>
                <w:sz w:val="20"/>
              </w:rPr>
            </w:pPr>
            <w:r>
              <w:rPr>
                <w:rFonts w:ascii="Arial"/>
                <w:w w:val="95"/>
                <w:sz w:val="20"/>
              </w:rPr>
              <w:t>0,494</w:t>
            </w:r>
          </w:p>
        </w:tc>
      </w:tr>
      <w:tr>
        <w:trPr>
          <w:trHeight w:val="212" w:hRule="exact"/>
        </w:trPr>
        <w:tc>
          <w:tcPr>
            <w:tcW w:w="1418" w:type="dxa"/>
            <w:tcBorders>
              <w:top w:val="nil"/>
            </w:tcBorders>
          </w:tcPr>
          <w:p>
            <w:pPr/>
          </w:p>
        </w:tc>
        <w:tc>
          <w:tcPr>
            <w:tcW w:w="1702" w:type="dxa"/>
            <w:tcBorders>
              <w:top w:val="nil"/>
            </w:tcBorders>
          </w:tcPr>
          <w:p>
            <w:pPr/>
          </w:p>
        </w:tc>
        <w:tc>
          <w:tcPr>
            <w:tcW w:w="936" w:type="dxa"/>
            <w:tcBorders>
              <w:top w:val="nil"/>
              <w:right w:val="nil"/>
            </w:tcBorders>
          </w:tcPr>
          <w:p>
            <w:pPr>
              <w:pStyle w:val="TableParagraph"/>
              <w:spacing w:line="204" w:lineRule="exact" w:before="0"/>
              <w:ind w:right="69"/>
              <w:rPr>
                <w:rFonts w:ascii="Arial"/>
                <w:sz w:val="20"/>
              </w:rPr>
            </w:pPr>
            <w:r>
              <w:rPr>
                <w:rFonts w:ascii="Arial"/>
                <w:w w:val="95"/>
                <w:sz w:val="20"/>
              </w:rPr>
              <w:t>0,275</w:t>
            </w:r>
          </w:p>
        </w:tc>
        <w:tc>
          <w:tcPr>
            <w:tcW w:w="991" w:type="dxa"/>
            <w:tcBorders>
              <w:top w:val="nil"/>
              <w:left w:val="nil"/>
              <w:right w:val="nil"/>
            </w:tcBorders>
          </w:tcPr>
          <w:p>
            <w:pPr>
              <w:pStyle w:val="TableParagraph"/>
              <w:spacing w:line="204" w:lineRule="exact" w:before="0"/>
              <w:ind w:right="69"/>
              <w:rPr>
                <w:rFonts w:ascii="Arial"/>
                <w:sz w:val="20"/>
              </w:rPr>
            </w:pPr>
            <w:r>
              <w:rPr>
                <w:rFonts w:ascii="Arial"/>
                <w:w w:val="95"/>
                <w:sz w:val="20"/>
              </w:rPr>
              <w:t>0,323</w:t>
            </w:r>
          </w:p>
        </w:tc>
        <w:tc>
          <w:tcPr>
            <w:tcW w:w="994" w:type="dxa"/>
            <w:tcBorders>
              <w:top w:val="nil"/>
              <w:left w:val="nil"/>
              <w:right w:val="nil"/>
            </w:tcBorders>
          </w:tcPr>
          <w:p>
            <w:pPr>
              <w:pStyle w:val="TableParagraph"/>
              <w:spacing w:line="204" w:lineRule="exact" w:before="0"/>
              <w:ind w:right="72"/>
              <w:rPr>
                <w:rFonts w:ascii="Arial"/>
                <w:sz w:val="20"/>
              </w:rPr>
            </w:pPr>
            <w:r>
              <w:rPr>
                <w:rFonts w:ascii="Arial"/>
                <w:w w:val="95"/>
                <w:sz w:val="20"/>
              </w:rPr>
              <w:t>0,213</w:t>
            </w:r>
          </w:p>
        </w:tc>
        <w:tc>
          <w:tcPr>
            <w:tcW w:w="991" w:type="dxa"/>
            <w:tcBorders>
              <w:top w:val="nil"/>
              <w:left w:val="nil"/>
              <w:right w:val="nil"/>
            </w:tcBorders>
          </w:tcPr>
          <w:p>
            <w:pPr>
              <w:pStyle w:val="TableParagraph"/>
              <w:spacing w:line="204" w:lineRule="exact" w:before="0"/>
              <w:ind w:right="69"/>
              <w:rPr>
                <w:rFonts w:ascii="Arial"/>
                <w:sz w:val="20"/>
              </w:rPr>
            </w:pPr>
            <w:r>
              <w:rPr>
                <w:rFonts w:ascii="Arial"/>
                <w:w w:val="95"/>
                <w:sz w:val="20"/>
              </w:rPr>
              <w:t>0,262</w:t>
            </w:r>
          </w:p>
        </w:tc>
        <w:tc>
          <w:tcPr>
            <w:tcW w:w="994" w:type="dxa"/>
            <w:tcBorders>
              <w:top w:val="nil"/>
              <w:left w:val="nil"/>
              <w:right w:val="nil"/>
            </w:tcBorders>
          </w:tcPr>
          <w:p>
            <w:pPr>
              <w:pStyle w:val="TableParagraph"/>
              <w:spacing w:line="204" w:lineRule="exact" w:before="0"/>
              <w:ind w:right="72"/>
              <w:rPr>
                <w:rFonts w:ascii="Arial"/>
                <w:sz w:val="20"/>
              </w:rPr>
            </w:pPr>
            <w:r>
              <w:rPr>
                <w:rFonts w:ascii="Arial"/>
                <w:w w:val="95"/>
                <w:sz w:val="20"/>
              </w:rPr>
              <w:t>0,285</w:t>
            </w:r>
          </w:p>
        </w:tc>
        <w:tc>
          <w:tcPr>
            <w:tcW w:w="991" w:type="dxa"/>
            <w:tcBorders>
              <w:top w:val="nil"/>
              <w:left w:val="nil"/>
            </w:tcBorders>
          </w:tcPr>
          <w:p>
            <w:pPr>
              <w:pStyle w:val="TableParagraph"/>
              <w:spacing w:line="204" w:lineRule="exact" w:before="0"/>
              <w:ind w:right="65"/>
              <w:rPr>
                <w:rFonts w:ascii="Arial"/>
                <w:sz w:val="20"/>
              </w:rPr>
            </w:pPr>
            <w:r>
              <w:rPr>
                <w:rFonts w:ascii="Arial"/>
                <w:w w:val="95"/>
                <w:sz w:val="20"/>
              </w:rPr>
              <w:t>0,521</w:t>
            </w:r>
          </w:p>
        </w:tc>
      </w:tr>
      <w:tr>
        <w:trPr>
          <w:trHeight w:val="375" w:hRule="exact"/>
        </w:trPr>
        <w:tc>
          <w:tcPr>
            <w:tcW w:w="1418" w:type="dxa"/>
            <w:tcBorders>
              <w:bottom w:val="nil"/>
            </w:tcBorders>
          </w:tcPr>
          <w:p>
            <w:pPr/>
          </w:p>
        </w:tc>
        <w:tc>
          <w:tcPr>
            <w:tcW w:w="1702" w:type="dxa"/>
            <w:tcBorders>
              <w:bottom w:val="nil"/>
            </w:tcBorders>
          </w:tcPr>
          <w:p>
            <w:pPr>
              <w:pStyle w:val="TableParagraph"/>
              <w:spacing w:before="81"/>
              <w:ind w:left="64" w:right="0"/>
              <w:jc w:val="left"/>
              <w:rPr>
                <w:rFonts w:ascii="Arial"/>
                <w:sz w:val="20"/>
              </w:rPr>
            </w:pPr>
            <w:r>
              <w:rPr>
                <w:rFonts w:ascii="Arial"/>
                <w:sz w:val="20"/>
              </w:rPr>
              <w:t>Promedio (mg/L)</w:t>
            </w:r>
          </w:p>
        </w:tc>
        <w:tc>
          <w:tcPr>
            <w:tcW w:w="936" w:type="dxa"/>
            <w:tcBorders>
              <w:bottom w:val="nil"/>
              <w:right w:val="nil"/>
            </w:tcBorders>
          </w:tcPr>
          <w:p>
            <w:pPr>
              <w:pStyle w:val="TableParagraph"/>
              <w:spacing w:before="81"/>
              <w:ind w:right="70"/>
              <w:rPr>
                <w:rFonts w:ascii="Arial"/>
                <w:sz w:val="20"/>
              </w:rPr>
            </w:pPr>
            <w:r>
              <w:rPr>
                <w:rFonts w:ascii="Arial"/>
                <w:w w:val="95"/>
                <w:sz w:val="20"/>
              </w:rPr>
              <w:t>59,13</w:t>
            </w:r>
          </w:p>
        </w:tc>
        <w:tc>
          <w:tcPr>
            <w:tcW w:w="991" w:type="dxa"/>
            <w:tcBorders>
              <w:left w:val="nil"/>
              <w:bottom w:val="nil"/>
              <w:right w:val="nil"/>
            </w:tcBorders>
          </w:tcPr>
          <w:p>
            <w:pPr>
              <w:pStyle w:val="TableParagraph"/>
              <w:spacing w:before="81"/>
              <w:ind w:right="69"/>
              <w:rPr>
                <w:rFonts w:ascii="Arial"/>
                <w:sz w:val="20"/>
              </w:rPr>
            </w:pPr>
            <w:r>
              <w:rPr>
                <w:rFonts w:ascii="Arial"/>
                <w:w w:val="95"/>
                <w:sz w:val="20"/>
              </w:rPr>
              <w:t>58,13</w:t>
            </w:r>
          </w:p>
        </w:tc>
        <w:tc>
          <w:tcPr>
            <w:tcW w:w="994" w:type="dxa"/>
            <w:tcBorders>
              <w:left w:val="nil"/>
              <w:bottom w:val="nil"/>
              <w:right w:val="nil"/>
            </w:tcBorders>
          </w:tcPr>
          <w:p>
            <w:pPr>
              <w:pStyle w:val="TableParagraph"/>
              <w:spacing w:before="81"/>
              <w:ind w:right="72"/>
              <w:rPr>
                <w:rFonts w:ascii="Arial"/>
                <w:sz w:val="20"/>
              </w:rPr>
            </w:pPr>
            <w:r>
              <w:rPr>
                <w:rFonts w:ascii="Arial"/>
                <w:w w:val="95"/>
                <w:sz w:val="20"/>
              </w:rPr>
              <w:t>59,14</w:t>
            </w:r>
          </w:p>
        </w:tc>
        <w:tc>
          <w:tcPr>
            <w:tcW w:w="991" w:type="dxa"/>
            <w:tcBorders>
              <w:left w:val="nil"/>
              <w:bottom w:val="nil"/>
              <w:right w:val="nil"/>
            </w:tcBorders>
          </w:tcPr>
          <w:p>
            <w:pPr>
              <w:pStyle w:val="TableParagraph"/>
              <w:spacing w:before="81"/>
              <w:ind w:right="69"/>
              <w:rPr>
                <w:rFonts w:ascii="Arial"/>
                <w:sz w:val="20"/>
              </w:rPr>
            </w:pPr>
            <w:r>
              <w:rPr>
                <w:rFonts w:ascii="Arial"/>
                <w:w w:val="95"/>
                <w:sz w:val="20"/>
              </w:rPr>
              <w:t>58,77</w:t>
            </w:r>
          </w:p>
        </w:tc>
        <w:tc>
          <w:tcPr>
            <w:tcW w:w="994" w:type="dxa"/>
            <w:tcBorders>
              <w:left w:val="nil"/>
              <w:bottom w:val="nil"/>
              <w:right w:val="nil"/>
            </w:tcBorders>
          </w:tcPr>
          <w:p>
            <w:pPr>
              <w:pStyle w:val="TableParagraph"/>
              <w:spacing w:before="81"/>
              <w:ind w:right="72"/>
              <w:rPr>
                <w:rFonts w:ascii="Arial"/>
                <w:sz w:val="20"/>
              </w:rPr>
            </w:pPr>
            <w:r>
              <w:rPr>
                <w:rFonts w:ascii="Arial"/>
                <w:w w:val="95"/>
                <w:sz w:val="20"/>
              </w:rPr>
              <w:t>57,24</w:t>
            </w:r>
          </w:p>
        </w:tc>
        <w:tc>
          <w:tcPr>
            <w:tcW w:w="991" w:type="dxa"/>
            <w:tcBorders>
              <w:left w:val="nil"/>
              <w:bottom w:val="nil"/>
            </w:tcBorders>
          </w:tcPr>
          <w:p>
            <w:pPr>
              <w:pStyle w:val="TableParagraph"/>
              <w:spacing w:before="81"/>
              <w:ind w:right="65"/>
              <w:rPr>
                <w:rFonts w:ascii="Arial"/>
                <w:sz w:val="20"/>
              </w:rPr>
            </w:pPr>
            <w:r>
              <w:rPr>
                <w:rFonts w:ascii="Arial"/>
                <w:w w:val="95"/>
                <w:sz w:val="20"/>
              </w:rPr>
              <w:t>40,43</w:t>
            </w:r>
          </w:p>
        </w:tc>
      </w:tr>
      <w:tr>
        <w:trPr>
          <w:trHeight w:val="296" w:hRule="exact"/>
        </w:trPr>
        <w:tc>
          <w:tcPr>
            <w:tcW w:w="1418" w:type="dxa"/>
            <w:tcBorders>
              <w:top w:val="nil"/>
              <w:bottom w:val="nil"/>
            </w:tcBorders>
          </w:tcPr>
          <w:p>
            <w:pPr/>
          </w:p>
        </w:tc>
        <w:tc>
          <w:tcPr>
            <w:tcW w:w="1702" w:type="dxa"/>
            <w:tcBorders>
              <w:top w:val="nil"/>
              <w:bottom w:val="nil"/>
            </w:tcBorders>
          </w:tcPr>
          <w:p>
            <w:pPr>
              <w:pStyle w:val="TableParagraph"/>
              <w:spacing w:before="37"/>
              <w:ind w:left="64" w:right="126"/>
              <w:jc w:val="left"/>
              <w:rPr>
                <w:rFonts w:ascii="Arial"/>
                <w:sz w:val="20"/>
              </w:rPr>
            </w:pPr>
            <w:r>
              <w:rPr>
                <w:rFonts w:ascii="Arial"/>
                <w:sz w:val="20"/>
              </w:rPr>
              <w:t>DE</w:t>
            </w:r>
            <w:r>
              <w:rPr>
                <w:rFonts w:ascii="Arial"/>
                <w:spacing w:val="51"/>
                <w:sz w:val="20"/>
              </w:rPr>
              <w:t> </w:t>
            </w:r>
            <w:r>
              <w:rPr>
                <w:rFonts w:ascii="Arial"/>
                <w:sz w:val="20"/>
              </w:rPr>
              <w:t>(mg/L)</w:t>
            </w:r>
          </w:p>
        </w:tc>
        <w:tc>
          <w:tcPr>
            <w:tcW w:w="936" w:type="dxa"/>
            <w:tcBorders>
              <w:top w:val="nil"/>
              <w:bottom w:val="nil"/>
              <w:right w:val="nil"/>
            </w:tcBorders>
          </w:tcPr>
          <w:p>
            <w:pPr>
              <w:pStyle w:val="TableParagraph"/>
              <w:spacing w:before="37"/>
              <w:ind w:right="69"/>
              <w:rPr>
                <w:rFonts w:ascii="Arial"/>
                <w:sz w:val="20"/>
              </w:rPr>
            </w:pPr>
            <w:r>
              <w:rPr>
                <w:rFonts w:ascii="Arial"/>
                <w:w w:val="95"/>
                <w:sz w:val="20"/>
              </w:rPr>
              <w:t>0,17</w:t>
            </w:r>
          </w:p>
        </w:tc>
        <w:tc>
          <w:tcPr>
            <w:tcW w:w="991" w:type="dxa"/>
            <w:tcBorders>
              <w:top w:val="nil"/>
              <w:left w:val="nil"/>
              <w:bottom w:val="nil"/>
              <w:right w:val="nil"/>
            </w:tcBorders>
          </w:tcPr>
          <w:p>
            <w:pPr>
              <w:pStyle w:val="TableParagraph"/>
              <w:spacing w:before="37"/>
              <w:ind w:right="69"/>
              <w:rPr>
                <w:rFonts w:ascii="Arial"/>
                <w:sz w:val="20"/>
              </w:rPr>
            </w:pPr>
            <w:r>
              <w:rPr>
                <w:rFonts w:ascii="Arial"/>
                <w:w w:val="95"/>
                <w:sz w:val="20"/>
              </w:rPr>
              <w:t>0,19</w:t>
            </w:r>
          </w:p>
        </w:tc>
        <w:tc>
          <w:tcPr>
            <w:tcW w:w="994" w:type="dxa"/>
            <w:tcBorders>
              <w:top w:val="nil"/>
              <w:left w:val="nil"/>
              <w:bottom w:val="nil"/>
              <w:right w:val="nil"/>
            </w:tcBorders>
          </w:tcPr>
          <w:p>
            <w:pPr>
              <w:pStyle w:val="TableParagraph"/>
              <w:spacing w:before="37"/>
              <w:ind w:right="72"/>
              <w:rPr>
                <w:rFonts w:ascii="Arial"/>
                <w:sz w:val="20"/>
              </w:rPr>
            </w:pPr>
            <w:r>
              <w:rPr>
                <w:rFonts w:ascii="Arial"/>
                <w:w w:val="95"/>
                <w:sz w:val="20"/>
              </w:rPr>
              <w:t>0,21</w:t>
            </w:r>
          </w:p>
        </w:tc>
        <w:tc>
          <w:tcPr>
            <w:tcW w:w="991" w:type="dxa"/>
            <w:tcBorders>
              <w:top w:val="nil"/>
              <w:left w:val="nil"/>
              <w:bottom w:val="nil"/>
              <w:right w:val="nil"/>
            </w:tcBorders>
          </w:tcPr>
          <w:p>
            <w:pPr>
              <w:pStyle w:val="TableParagraph"/>
              <w:spacing w:before="37"/>
              <w:ind w:right="69"/>
              <w:rPr>
                <w:rFonts w:ascii="Arial"/>
                <w:sz w:val="20"/>
              </w:rPr>
            </w:pPr>
            <w:r>
              <w:rPr>
                <w:rFonts w:ascii="Arial"/>
                <w:w w:val="95"/>
                <w:sz w:val="20"/>
              </w:rPr>
              <w:t>0,18</w:t>
            </w:r>
          </w:p>
        </w:tc>
        <w:tc>
          <w:tcPr>
            <w:tcW w:w="994" w:type="dxa"/>
            <w:tcBorders>
              <w:top w:val="nil"/>
              <w:left w:val="nil"/>
              <w:bottom w:val="nil"/>
              <w:right w:val="nil"/>
            </w:tcBorders>
          </w:tcPr>
          <w:p>
            <w:pPr>
              <w:pStyle w:val="TableParagraph"/>
              <w:spacing w:before="37"/>
              <w:ind w:right="72"/>
              <w:rPr>
                <w:rFonts w:ascii="Arial"/>
                <w:sz w:val="20"/>
              </w:rPr>
            </w:pPr>
            <w:r>
              <w:rPr>
                <w:rFonts w:ascii="Arial"/>
                <w:w w:val="95"/>
                <w:sz w:val="20"/>
              </w:rPr>
              <w:t>0,19</w:t>
            </w:r>
          </w:p>
        </w:tc>
        <w:tc>
          <w:tcPr>
            <w:tcW w:w="991" w:type="dxa"/>
            <w:tcBorders>
              <w:top w:val="nil"/>
              <w:left w:val="nil"/>
              <w:bottom w:val="nil"/>
            </w:tcBorders>
          </w:tcPr>
          <w:p>
            <w:pPr>
              <w:pStyle w:val="TableParagraph"/>
              <w:spacing w:before="37"/>
              <w:ind w:right="65"/>
              <w:rPr>
                <w:rFonts w:ascii="Arial"/>
                <w:sz w:val="20"/>
              </w:rPr>
            </w:pPr>
            <w:r>
              <w:rPr>
                <w:rFonts w:ascii="Arial"/>
                <w:w w:val="95"/>
                <w:sz w:val="20"/>
              </w:rPr>
              <w:t>0,31</w:t>
            </w:r>
          </w:p>
        </w:tc>
      </w:tr>
      <w:tr>
        <w:trPr>
          <w:trHeight w:val="338" w:hRule="exact"/>
        </w:trPr>
        <w:tc>
          <w:tcPr>
            <w:tcW w:w="1418" w:type="dxa"/>
            <w:tcBorders>
              <w:top w:val="nil"/>
              <w:bottom w:val="nil"/>
            </w:tcBorders>
          </w:tcPr>
          <w:p>
            <w:pPr>
              <w:pStyle w:val="TableParagraph"/>
              <w:spacing w:before="7"/>
              <w:ind w:left="110" w:right="112"/>
              <w:jc w:val="center"/>
              <w:rPr>
                <w:rFonts w:ascii="Arial"/>
                <w:sz w:val="13"/>
              </w:rPr>
            </w:pPr>
            <w:r>
              <w:rPr>
                <w:rFonts w:ascii="Arial"/>
                <w:sz w:val="20"/>
              </w:rPr>
              <w:t>N-NO</w:t>
            </w:r>
            <w:r>
              <w:rPr>
                <w:rFonts w:ascii="Arial"/>
                <w:position w:val="-2"/>
                <w:sz w:val="13"/>
              </w:rPr>
              <w:t>3</w:t>
            </w:r>
          </w:p>
        </w:tc>
        <w:tc>
          <w:tcPr>
            <w:tcW w:w="1702" w:type="dxa"/>
            <w:tcBorders>
              <w:top w:val="nil"/>
              <w:bottom w:val="nil"/>
            </w:tcBorders>
          </w:tcPr>
          <w:p>
            <w:pPr>
              <w:pStyle w:val="TableParagraph"/>
              <w:spacing w:before="50"/>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50"/>
              <w:ind w:right="69"/>
              <w:rPr>
                <w:rFonts w:ascii="Arial"/>
                <w:sz w:val="20"/>
              </w:rPr>
            </w:pPr>
            <w:r>
              <w:rPr>
                <w:rFonts w:ascii="Arial"/>
                <w:sz w:val="20"/>
              </w:rPr>
              <w:t>0,0029</w:t>
            </w:r>
          </w:p>
        </w:tc>
        <w:tc>
          <w:tcPr>
            <w:tcW w:w="991" w:type="dxa"/>
            <w:tcBorders>
              <w:top w:val="nil"/>
              <w:left w:val="nil"/>
              <w:bottom w:val="nil"/>
              <w:right w:val="nil"/>
            </w:tcBorders>
          </w:tcPr>
          <w:p>
            <w:pPr>
              <w:pStyle w:val="TableParagraph"/>
              <w:spacing w:before="50"/>
              <w:ind w:right="71"/>
              <w:rPr>
                <w:rFonts w:ascii="Arial"/>
                <w:sz w:val="20"/>
              </w:rPr>
            </w:pPr>
            <w:r>
              <w:rPr>
                <w:rFonts w:ascii="Arial"/>
                <w:sz w:val="20"/>
              </w:rPr>
              <w:t>0,0032</w:t>
            </w:r>
          </w:p>
        </w:tc>
        <w:tc>
          <w:tcPr>
            <w:tcW w:w="994" w:type="dxa"/>
            <w:tcBorders>
              <w:top w:val="nil"/>
              <w:left w:val="nil"/>
              <w:bottom w:val="nil"/>
              <w:right w:val="nil"/>
            </w:tcBorders>
          </w:tcPr>
          <w:p>
            <w:pPr>
              <w:pStyle w:val="TableParagraph"/>
              <w:spacing w:before="50"/>
              <w:ind w:right="72"/>
              <w:rPr>
                <w:rFonts w:ascii="Arial"/>
                <w:sz w:val="20"/>
              </w:rPr>
            </w:pPr>
            <w:r>
              <w:rPr>
                <w:rFonts w:ascii="Arial"/>
                <w:sz w:val="20"/>
              </w:rPr>
              <w:t>0,0035</w:t>
            </w:r>
          </w:p>
        </w:tc>
        <w:tc>
          <w:tcPr>
            <w:tcW w:w="991" w:type="dxa"/>
            <w:tcBorders>
              <w:top w:val="nil"/>
              <w:left w:val="nil"/>
              <w:bottom w:val="nil"/>
              <w:right w:val="nil"/>
            </w:tcBorders>
          </w:tcPr>
          <w:p>
            <w:pPr>
              <w:pStyle w:val="TableParagraph"/>
              <w:spacing w:before="50"/>
              <w:ind w:right="71"/>
              <w:rPr>
                <w:rFonts w:ascii="Arial"/>
                <w:sz w:val="20"/>
              </w:rPr>
            </w:pPr>
            <w:r>
              <w:rPr>
                <w:rFonts w:ascii="Arial"/>
                <w:sz w:val="20"/>
              </w:rPr>
              <w:t>0,0031</w:t>
            </w:r>
          </w:p>
        </w:tc>
        <w:tc>
          <w:tcPr>
            <w:tcW w:w="994" w:type="dxa"/>
            <w:tcBorders>
              <w:top w:val="nil"/>
              <w:left w:val="nil"/>
              <w:bottom w:val="nil"/>
              <w:right w:val="nil"/>
            </w:tcBorders>
          </w:tcPr>
          <w:p>
            <w:pPr>
              <w:pStyle w:val="TableParagraph"/>
              <w:spacing w:before="50"/>
              <w:ind w:right="72"/>
              <w:rPr>
                <w:rFonts w:ascii="Arial"/>
                <w:sz w:val="20"/>
              </w:rPr>
            </w:pPr>
            <w:r>
              <w:rPr>
                <w:rFonts w:ascii="Arial"/>
                <w:sz w:val="20"/>
              </w:rPr>
              <w:t>0,0034</w:t>
            </w:r>
          </w:p>
        </w:tc>
        <w:tc>
          <w:tcPr>
            <w:tcW w:w="991" w:type="dxa"/>
            <w:tcBorders>
              <w:top w:val="nil"/>
              <w:left w:val="nil"/>
              <w:bottom w:val="nil"/>
            </w:tcBorders>
          </w:tcPr>
          <w:p>
            <w:pPr>
              <w:pStyle w:val="TableParagraph"/>
              <w:spacing w:before="50"/>
              <w:ind w:right="65"/>
              <w:rPr>
                <w:rFonts w:ascii="Arial"/>
                <w:sz w:val="20"/>
              </w:rPr>
            </w:pPr>
            <w:r>
              <w:rPr>
                <w:rFonts w:ascii="Arial"/>
                <w:sz w:val="20"/>
              </w:rPr>
              <w:t>0,0076</w:t>
            </w:r>
          </w:p>
        </w:tc>
      </w:tr>
      <w:tr>
        <w:trPr>
          <w:trHeight w:val="373" w:hRule="exact"/>
        </w:trPr>
        <w:tc>
          <w:tcPr>
            <w:tcW w:w="1418" w:type="dxa"/>
            <w:tcBorders>
              <w:top w:val="nil"/>
              <w:bottom w:val="nil"/>
            </w:tcBorders>
          </w:tcPr>
          <w:p>
            <w:pPr/>
          </w:p>
        </w:tc>
        <w:tc>
          <w:tcPr>
            <w:tcW w:w="1702" w:type="dxa"/>
            <w:tcBorders>
              <w:top w:val="nil"/>
              <w:bottom w:val="nil"/>
            </w:tcBorders>
          </w:tcPr>
          <w:p>
            <w:pPr>
              <w:pStyle w:val="TableParagraph"/>
              <w:spacing w:before="149"/>
              <w:ind w:left="64" w:right="126"/>
              <w:jc w:val="left"/>
              <w:rPr>
                <w:rFonts w:ascii="Arial"/>
                <w:sz w:val="20"/>
              </w:rPr>
            </w:pPr>
            <w:r>
              <w:rPr>
                <w:rFonts w:ascii="Arial"/>
                <w:sz w:val="20"/>
              </w:rPr>
              <w:t>IC (95%)</w:t>
            </w:r>
          </w:p>
        </w:tc>
        <w:tc>
          <w:tcPr>
            <w:tcW w:w="936" w:type="dxa"/>
            <w:tcBorders>
              <w:top w:val="nil"/>
              <w:bottom w:val="nil"/>
              <w:right w:val="nil"/>
            </w:tcBorders>
          </w:tcPr>
          <w:p>
            <w:pPr>
              <w:pStyle w:val="TableParagraph"/>
              <w:spacing w:before="36"/>
              <w:ind w:right="69"/>
              <w:rPr>
                <w:rFonts w:ascii="Arial"/>
                <w:sz w:val="20"/>
              </w:rPr>
            </w:pPr>
            <w:r>
              <w:rPr>
                <w:rFonts w:ascii="Arial"/>
                <w:sz w:val="20"/>
              </w:rPr>
              <w:t>58,796</w:t>
            </w:r>
          </w:p>
        </w:tc>
        <w:tc>
          <w:tcPr>
            <w:tcW w:w="991" w:type="dxa"/>
            <w:tcBorders>
              <w:top w:val="nil"/>
              <w:left w:val="nil"/>
              <w:bottom w:val="nil"/>
              <w:right w:val="nil"/>
            </w:tcBorders>
          </w:tcPr>
          <w:p>
            <w:pPr>
              <w:pStyle w:val="TableParagraph"/>
              <w:spacing w:before="36"/>
              <w:ind w:right="71"/>
              <w:rPr>
                <w:rFonts w:ascii="Arial"/>
                <w:sz w:val="20"/>
              </w:rPr>
            </w:pPr>
            <w:r>
              <w:rPr>
                <w:rFonts w:ascii="Arial"/>
                <w:sz w:val="20"/>
              </w:rPr>
              <w:t>57,764</w:t>
            </w:r>
          </w:p>
        </w:tc>
        <w:tc>
          <w:tcPr>
            <w:tcW w:w="994" w:type="dxa"/>
            <w:tcBorders>
              <w:top w:val="nil"/>
              <w:left w:val="nil"/>
              <w:bottom w:val="nil"/>
              <w:right w:val="nil"/>
            </w:tcBorders>
          </w:tcPr>
          <w:p>
            <w:pPr>
              <w:pStyle w:val="TableParagraph"/>
              <w:spacing w:before="36"/>
              <w:ind w:right="72"/>
              <w:rPr>
                <w:rFonts w:ascii="Arial"/>
                <w:sz w:val="20"/>
              </w:rPr>
            </w:pPr>
            <w:r>
              <w:rPr>
                <w:rFonts w:ascii="Arial"/>
                <w:sz w:val="20"/>
              </w:rPr>
              <w:t>58,738</w:t>
            </w:r>
          </w:p>
        </w:tc>
        <w:tc>
          <w:tcPr>
            <w:tcW w:w="991" w:type="dxa"/>
            <w:tcBorders>
              <w:top w:val="nil"/>
              <w:left w:val="nil"/>
              <w:bottom w:val="nil"/>
              <w:right w:val="nil"/>
            </w:tcBorders>
          </w:tcPr>
          <w:p>
            <w:pPr>
              <w:pStyle w:val="TableParagraph"/>
              <w:spacing w:before="36"/>
              <w:ind w:right="71"/>
              <w:rPr>
                <w:rFonts w:ascii="Arial"/>
                <w:sz w:val="20"/>
              </w:rPr>
            </w:pPr>
            <w:r>
              <w:rPr>
                <w:rFonts w:ascii="Arial"/>
                <w:sz w:val="20"/>
              </w:rPr>
              <w:t>58,414</w:t>
            </w:r>
          </w:p>
        </w:tc>
        <w:tc>
          <w:tcPr>
            <w:tcW w:w="994" w:type="dxa"/>
            <w:tcBorders>
              <w:top w:val="nil"/>
              <w:left w:val="nil"/>
              <w:bottom w:val="nil"/>
              <w:right w:val="nil"/>
            </w:tcBorders>
          </w:tcPr>
          <w:p>
            <w:pPr>
              <w:pStyle w:val="TableParagraph"/>
              <w:spacing w:before="36"/>
              <w:ind w:right="72"/>
              <w:rPr>
                <w:rFonts w:ascii="Arial"/>
                <w:sz w:val="20"/>
              </w:rPr>
            </w:pPr>
            <w:r>
              <w:rPr>
                <w:rFonts w:ascii="Arial"/>
                <w:sz w:val="20"/>
              </w:rPr>
              <w:t>56,868</w:t>
            </w:r>
          </w:p>
        </w:tc>
        <w:tc>
          <w:tcPr>
            <w:tcW w:w="991" w:type="dxa"/>
            <w:tcBorders>
              <w:top w:val="nil"/>
              <w:left w:val="nil"/>
              <w:bottom w:val="nil"/>
            </w:tcBorders>
          </w:tcPr>
          <w:p>
            <w:pPr>
              <w:pStyle w:val="TableParagraph"/>
              <w:spacing w:before="36"/>
              <w:ind w:right="65"/>
              <w:rPr>
                <w:rFonts w:ascii="Arial"/>
                <w:sz w:val="20"/>
              </w:rPr>
            </w:pPr>
            <w:r>
              <w:rPr>
                <w:rFonts w:ascii="Arial"/>
                <w:sz w:val="20"/>
              </w:rPr>
              <w:t>39,824</w:t>
            </w:r>
          </w:p>
        </w:tc>
      </w:tr>
      <w:tr>
        <w:trPr>
          <w:trHeight w:val="211" w:hRule="exact"/>
        </w:trPr>
        <w:tc>
          <w:tcPr>
            <w:tcW w:w="1418" w:type="dxa"/>
            <w:tcBorders>
              <w:top w:val="nil"/>
            </w:tcBorders>
          </w:tcPr>
          <w:p>
            <w:pPr/>
          </w:p>
        </w:tc>
        <w:tc>
          <w:tcPr>
            <w:tcW w:w="1702" w:type="dxa"/>
            <w:tcBorders>
              <w:top w:val="nil"/>
            </w:tcBorders>
          </w:tcPr>
          <w:p>
            <w:pPr/>
          </w:p>
        </w:tc>
        <w:tc>
          <w:tcPr>
            <w:tcW w:w="936" w:type="dxa"/>
            <w:tcBorders>
              <w:top w:val="nil"/>
              <w:right w:val="nil"/>
            </w:tcBorders>
          </w:tcPr>
          <w:p>
            <w:pPr>
              <w:pStyle w:val="TableParagraph"/>
              <w:spacing w:line="203" w:lineRule="exact" w:before="0"/>
              <w:ind w:right="71"/>
              <w:rPr>
                <w:rFonts w:ascii="Arial"/>
                <w:sz w:val="20"/>
              </w:rPr>
            </w:pPr>
            <w:r>
              <w:rPr>
                <w:rFonts w:ascii="Arial"/>
                <w:sz w:val="20"/>
              </w:rPr>
              <w:t>59,460</w:t>
            </w:r>
          </w:p>
        </w:tc>
        <w:tc>
          <w:tcPr>
            <w:tcW w:w="991" w:type="dxa"/>
            <w:tcBorders>
              <w:top w:val="nil"/>
              <w:left w:val="nil"/>
              <w:right w:val="nil"/>
            </w:tcBorders>
          </w:tcPr>
          <w:p>
            <w:pPr>
              <w:pStyle w:val="TableParagraph"/>
              <w:spacing w:line="203" w:lineRule="exact" w:before="0"/>
              <w:ind w:right="71"/>
              <w:rPr>
                <w:rFonts w:ascii="Arial"/>
                <w:sz w:val="20"/>
              </w:rPr>
            </w:pPr>
            <w:r>
              <w:rPr>
                <w:rFonts w:ascii="Arial"/>
                <w:sz w:val="20"/>
              </w:rPr>
              <w:t>58,499</w:t>
            </w:r>
          </w:p>
        </w:tc>
        <w:tc>
          <w:tcPr>
            <w:tcW w:w="994" w:type="dxa"/>
            <w:tcBorders>
              <w:top w:val="nil"/>
              <w:left w:val="nil"/>
              <w:right w:val="nil"/>
            </w:tcBorders>
          </w:tcPr>
          <w:p>
            <w:pPr>
              <w:pStyle w:val="TableParagraph"/>
              <w:spacing w:line="203" w:lineRule="exact" w:before="0"/>
              <w:ind w:right="72"/>
              <w:rPr>
                <w:rFonts w:ascii="Arial"/>
                <w:sz w:val="20"/>
              </w:rPr>
            </w:pPr>
            <w:r>
              <w:rPr>
                <w:rFonts w:ascii="Arial"/>
                <w:sz w:val="20"/>
              </w:rPr>
              <w:t>59,545</w:t>
            </w:r>
          </w:p>
        </w:tc>
        <w:tc>
          <w:tcPr>
            <w:tcW w:w="991" w:type="dxa"/>
            <w:tcBorders>
              <w:top w:val="nil"/>
              <w:left w:val="nil"/>
              <w:right w:val="nil"/>
            </w:tcBorders>
          </w:tcPr>
          <w:p>
            <w:pPr>
              <w:pStyle w:val="TableParagraph"/>
              <w:spacing w:line="203" w:lineRule="exact" w:before="0"/>
              <w:ind w:right="71"/>
              <w:rPr>
                <w:rFonts w:ascii="Arial"/>
                <w:sz w:val="20"/>
              </w:rPr>
            </w:pPr>
            <w:r>
              <w:rPr>
                <w:rFonts w:ascii="Arial"/>
                <w:sz w:val="20"/>
              </w:rPr>
              <w:t>59,130</w:t>
            </w:r>
          </w:p>
        </w:tc>
        <w:tc>
          <w:tcPr>
            <w:tcW w:w="994" w:type="dxa"/>
            <w:tcBorders>
              <w:top w:val="nil"/>
              <w:left w:val="nil"/>
              <w:right w:val="nil"/>
            </w:tcBorders>
          </w:tcPr>
          <w:p>
            <w:pPr>
              <w:pStyle w:val="TableParagraph"/>
              <w:spacing w:line="203" w:lineRule="exact" w:before="0"/>
              <w:ind w:right="72"/>
              <w:rPr>
                <w:rFonts w:ascii="Arial"/>
                <w:sz w:val="20"/>
              </w:rPr>
            </w:pPr>
            <w:r>
              <w:rPr>
                <w:rFonts w:ascii="Arial"/>
                <w:sz w:val="20"/>
              </w:rPr>
              <w:t>57,621</w:t>
            </w:r>
          </w:p>
        </w:tc>
        <w:tc>
          <w:tcPr>
            <w:tcW w:w="991" w:type="dxa"/>
            <w:tcBorders>
              <w:top w:val="nil"/>
              <w:left w:val="nil"/>
            </w:tcBorders>
          </w:tcPr>
          <w:p>
            <w:pPr>
              <w:pStyle w:val="TableParagraph"/>
              <w:spacing w:line="203" w:lineRule="exact" w:before="0"/>
              <w:ind w:right="65"/>
              <w:rPr>
                <w:rFonts w:ascii="Arial"/>
                <w:sz w:val="20"/>
              </w:rPr>
            </w:pPr>
            <w:r>
              <w:rPr>
                <w:rFonts w:ascii="Arial"/>
                <w:sz w:val="20"/>
              </w:rPr>
              <w:t>41,034</w:t>
            </w:r>
          </w:p>
        </w:tc>
      </w:tr>
      <w:tr>
        <w:trPr>
          <w:trHeight w:val="369" w:hRule="exact"/>
        </w:trPr>
        <w:tc>
          <w:tcPr>
            <w:tcW w:w="1418" w:type="dxa"/>
            <w:tcBorders>
              <w:bottom w:val="nil"/>
            </w:tcBorders>
          </w:tcPr>
          <w:p>
            <w:pPr/>
          </w:p>
        </w:tc>
        <w:tc>
          <w:tcPr>
            <w:tcW w:w="1702" w:type="dxa"/>
            <w:tcBorders>
              <w:bottom w:val="nil"/>
            </w:tcBorders>
          </w:tcPr>
          <w:p>
            <w:pPr>
              <w:pStyle w:val="TableParagraph"/>
              <w:spacing w:before="83"/>
              <w:ind w:left="64" w:right="0"/>
              <w:jc w:val="left"/>
              <w:rPr>
                <w:rFonts w:ascii="Arial"/>
                <w:sz w:val="20"/>
              </w:rPr>
            </w:pPr>
            <w:r>
              <w:rPr>
                <w:rFonts w:ascii="Arial"/>
                <w:sz w:val="20"/>
              </w:rPr>
              <w:t>Promedio (mg/L)</w:t>
            </w:r>
          </w:p>
        </w:tc>
        <w:tc>
          <w:tcPr>
            <w:tcW w:w="936" w:type="dxa"/>
            <w:tcBorders>
              <w:bottom w:val="nil"/>
              <w:right w:val="nil"/>
            </w:tcBorders>
          </w:tcPr>
          <w:p>
            <w:pPr>
              <w:pStyle w:val="TableParagraph"/>
              <w:spacing w:before="83"/>
              <w:ind w:right="70"/>
              <w:rPr>
                <w:rFonts w:ascii="Arial"/>
                <w:sz w:val="20"/>
              </w:rPr>
            </w:pPr>
            <w:r>
              <w:rPr>
                <w:rFonts w:ascii="Arial"/>
                <w:w w:val="95"/>
                <w:sz w:val="20"/>
              </w:rPr>
              <w:t>49,27</w:t>
            </w:r>
          </w:p>
        </w:tc>
        <w:tc>
          <w:tcPr>
            <w:tcW w:w="991" w:type="dxa"/>
            <w:tcBorders>
              <w:left w:val="nil"/>
              <w:bottom w:val="nil"/>
              <w:right w:val="nil"/>
            </w:tcBorders>
          </w:tcPr>
          <w:p>
            <w:pPr>
              <w:pStyle w:val="TableParagraph"/>
              <w:spacing w:before="83"/>
              <w:ind w:right="69"/>
              <w:rPr>
                <w:rFonts w:ascii="Arial"/>
                <w:sz w:val="20"/>
              </w:rPr>
            </w:pPr>
            <w:r>
              <w:rPr>
                <w:rFonts w:ascii="Arial"/>
                <w:w w:val="95"/>
                <w:sz w:val="20"/>
              </w:rPr>
              <w:t>46,60</w:t>
            </w:r>
          </w:p>
        </w:tc>
        <w:tc>
          <w:tcPr>
            <w:tcW w:w="994" w:type="dxa"/>
            <w:tcBorders>
              <w:left w:val="nil"/>
              <w:bottom w:val="nil"/>
              <w:right w:val="nil"/>
            </w:tcBorders>
          </w:tcPr>
          <w:p>
            <w:pPr>
              <w:pStyle w:val="TableParagraph"/>
              <w:spacing w:before="83"/>
              <w:ind w:right="72"/>
              <w:rPr>
                <w:rFonts w:ascii="Arial"/>
                <w:sz w:val="20"/>
              </w:rPr>
            </w:pPr>
            <w:r>
              <w:rPr>
                <w:rFonts w:ascii="Arial"/>
                <w:w w:val="95"/>
                <w:sz w:val="20"/>
              </w:rPr>
              <w:t>43,81</w:t>
            </w:r>
          </w:p>
        </w:tc>
        <w:tc>
          <w:tcPr>
            <w:tcW w:w="991" w:type="dxa"/>
            <w:tcBorders>
              <w:left w:val="nil"/>
              <w:bottom w:val="nil"/>
              <w:right w:val="nil"/>
            </w:tcBorders>
          </w:tcPr>
          <w:p>
            <w:pPr>
              <w:pStyle w:val="TableParagraph"/>
              <w:spacing w:before="83"/>
              <w:ind w:right="69"/>
              <w:rPr>
                <w:rFonts w:ascii="Arial"/>
                <w:sz w:val="20"/>
              </w:rPr>
            </w:pPr>
            <w:r>
              <w:rPr>
                <w:rFonts w:ascii="Arial"/>
                <w:w w:val="95"/>
                <w:sz w:val="20"/>
              </w:rPr>
              <w:t>51,58</w:t>
            </w:r>
          </w:p>
        </w:tc>
        <w:tc>
          <w:tcPr>
            <w:tcW w:w="994" w:type="dxa"/>
            <w:tcBorders>
              <w:left w:val="nil"/>
              <w:bottom w:val="nil"/>
              <w:right w:val="nil"/>
            </w:tcBorders>
          </w:tcPr>
          <w:p>
            <w:pPr>
              <w:pStyle w:val="TableParagraph"/>
              <w:spacing w:before="83"/>
              <w:ind w:right="72"/>
              <w:rPr>
                <w:rFonts w:ascii="Arial"/>
                <w:sz w:val="20"/>
              </w:rPr>
            </w:pPr>
            <w:r>
              <w:rPr>
                <w:rFonts w:ascii="Arial"/>
                <w:w w:val="95"/>
                <w:sz w:val="20"/>
              </w:rPr>
              <w:t>60,65</w:t>
            </w:r>
          </w:p>
        </w:tc>
        <w:tc>
          <w:tcPr>
            <w:tcW w:w="991" w:type="dxa"/>
            <w:tcBorders>
              <w:left w:val="nil"/>
              <w:bottom w:val="nil"/>
            </w:tcBorders>
          </w:tcPr>
          <w:p>
            <w:pPr>
              <w:pStyle w:val="TableParagraph"/>
              <w:spacing w:before="83"/>
              <w:ind w:right="65"/>
              <w:rPr>
                <w:rFonts w:ascii="Arial"/>
                <w:sz w:val="20"/>
              </w:rPr>
            </w:pPr>
            <w:r>
              <w:rPr>
                <w:rFonts w:ascii="Arial"/>
                <w:sz w:val="20"/>
              </w:rPr>
              <w:t>340,70</w:t>
            </w:r>
          </w:p>
        </w:tc>
      </w:tr>
      <w:tr>
        <w:trPr>
          <w:trHeight w:val="296" w:hRule="exact"/>
        </w:trPr>
        <w:tc>
          <w:tcPr>
            <w:tcW w:w="1418" w:type="dxa"/>
            <w:tcBorders>
              <w:top w:val="nil"/>
              <w:bottom w:val="nil"/>
            </w:tcBorders>
          </w:tcPr>
          <w:p>
            <w:pPr/>
          </w:p>
        </w:tc>
        <w:tc>
          <w:tcPr>
            <w:tcW w:w="1702" w:type="dxa"/>
            <w:tcBorders>
              <w:top w:val="nil"/>
              <w:bottom w:val="nil"/>
            </w:tcBorders>
          </w:tcPr>
          <w:p>
            <w:pPr>
              <w:pStyle w:val="TableParagraph"/>
              <w:spacing w:before="29"/>
              <w:ind w:left="64" w:right="126"/>
              <w:jc w:val="left"/>
              <w:rPr>
                <w:rFonts w:ascii="Arial"/>
                <w:sz w:val="20"/>
              </w:rPr>
            </w:pPr>
            <w:r>
              <w:rPr>
                <w:rFonts w:ascii="Arial"/>
                <w:sz w:val="20"/>
              </w:rPr>
              <w:t>DE</w:t>
            </w:r>
            <w:r>
              <w:rPr>
                <w:rFonts w:ascii="Arial"/>
                <w:spacing w:val="51"/>
                <w:sz w:val="20"/>
              </w:rPr>
              <w:t> </w:t>
            </w:r>
            <w:r>
              <w:rPr>
                <w:rFonts w:ascii="Arial"/>
                <w:sz w:val="20"/>
              </w:rPr>
              <w:t>(mg/L)</w:t>
            </w:r>
          </w:p>
        </w:tc>
        <w:tc>
          <w:tcPr>
            <w:tcW w:w="936" w:type="dxa"/>
            <w:tcBorders>
              <w:top w:val="nil"/>
              <w:bottom w:val="nil"/>
              <w:right w:val="nil"/>
            </w:tcBorders>
          </w:tcPr>
          <w:p>
            <w:pPr>
              <w:pStyle w:val="TableParagraph"/>
              <w:spacing w:before="29"/>
              <w:ind w:right="69"/>
              <w:rPr>
                <w:rFonts w:ascii="Arial"/>
                <w:sz w:val="20"/>
              </w:rPr>
            </w:pPr>
            <w:r>
              <w:rPr>
                <w:rFonts w:ascii="Arial"/>
                <w:w w:val="95"/>
                <w:sz w:val="20"/>
              </w:rPr>
              <w:t>0,33</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0,44</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0,37</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0,41</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0,64</w:t>
            </w:r>
          </w:p>
        </w:tc>
        <w:tc>
          <w:tcPr>
            <w:tcW w:w="991" w:type="dxa"/>
            <w:tcBorders>
              <w:top w:val="nil"/>
              <w:left w:val="nil"/>
              <w:bottom w:val="nil"/>
            </w:tcBorders>
          </w:tcPr>
          <w:p>
            <w:pPr>
              <w:pStyle w:val="TableParagraph"/>
              <w:spacing w:before="29"/>
              <w:ind w:right="65"/>
              <w:rPr>
                <w:rFonts w:ascii="Arial"/>
                <w:sz w:val="20"/>
              </w:rPr>
            </w:pPr>
            <w:r>
              <w:rPr>
                <w:rFonts w:ascii="Arial"/>
                <w:w w:val="95"/>
                <w:sz w:val="20"/>
              </w:rPr>
              <w:t>10,94</w:t>
            </w:r>
          </w:p>
        </w:tc>
      </w:tr>
      <w:tr>
        <w:trPr>
          <w:trHeight w:val="337" w:hRule="exact"/>
        </w:trPr>
        <w:tc>
          <w:tcPr>
            <w:tcW w:w="1418" w:type="dxa"/>
            <w:tcBorders>
              <w:top w:val="nil"/>
              <w:bottom w:val="nil"/>
            </w:tcBorders>
          </w:tcPr>
          <w:p>
            <w:pPr>
              <w:pStyle w:val="TableParagraph"/>
              <w:spacing w:before="16"/>
              <w:ind w:left="110" w:right="111"/>
              <w:jc w:val="center"/>
              <w:rPr>
                <w:rFonts w:ascii="Arial"/>
                <w:sz w:val="20"/>
              </w:rPr>
            </w:pPr>
            <w:r>
              <w:rPr>
                <w:rFonts w:ascii="Arial"/>
                <w:sz w:val="20"/>
              </w:rPr>
              <w:t>DQO</w:t>
            </w:r>
          </w:p>
        </w:tc>
        <w:tc>
          <w:tcPr>
            <w:tcW w:w="1702" w:type="dxa"/>
            <w:tcBorders>
              <w:top w:val="nil"/>
              <w:bottom w:val="nil"/>
            </w:tcBorders>
          </w:tcPr>
          <w:p>
            <w:pPr>
              <w:pStyle w:val="TableParagraph"/>
              <w:spacing w:before="56"/>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56"/>
              <w:ind w:right="69"/>
              <w:rPr>
                <w:rFonts w:ascii="Arial"/>
                <w:sz w:val="20"/>
              </w:rPr>
            </w:pPr>
            <w:r>
              <w:rPr>
                <w:rFonts w:ascii="Arial"/>
                <w:sz w:val="20"/>
              </w:rPr>
              <w:t>0,0068</w:t>
            </w:r>
          </w:p>
        </w:tc>
        <w:tc>
          <w:tcPr>
            <w:tcW w:w="991" w:type="dxa"/>
            <w:tcBorders>
              <w:top w:val="nil"/>
              <w:left w:val="nil"/>
              <w:bottom w:val="nil"/>
              <w:right w:val="nil"/>
            </w:tcBorders>
          </w:tcPr>
          <w:p>
            <w:pPr>
              <w:pStyle w:val="TableParagraph"/>
              <w:spacing w:before="56"/>
              <w:ind w:right="71"/>
              <w:rPr>
                <w:rFonts w:ascii="Arial"/>
                <w:sz w:val="20"/>
              </w:rPr>
            </w:pPr>
            <w:r>
              <w:rPr>
                <w:rFonts w:ascii="Arial"/>
                <w:sz w:val="20"/>
              </w:rPr>
              <w:t>0,0094</w:t>
            </w:r>
          </w:p>
        </w:tc>
        <w:tc>
          <w:tcPr>
            <w:tcW w:w="994" w:type="dxa"/>
            <w:tcBorders>
              <w:top w:val="nil"/>
              <w:left w:val="nil"/>
              <w:bottom w:val="nil"/>
              <w:right w:val="nil"/>
            </w:tcBorders>
          </w:tcPr>
          <w:p>
            <w:pPr>
              <w:pStyle w:val="TableParagraph"/>
              <w:spacing w:before="56"/>
              <w:ind w:right="72"/>
              <w:rPr>
                <w:rFonts w:ascii="Arial"/>
                <w:sz w:val="20"/>
              </w:rPr>
            </w:pPr>
            <w:r>
              <w:rPr>
                <w:rFonts w:ascii="Arial"/>
                <w:sz w:val="20"/>
              </w:rPr>
              <w:t>0,0084</w:t>
            </w:r>
          </w:p>
        </w:tc>
        <w:tc>
          <w:tcPr>
            <w:tcW w:w="991" w:type="dxa"/>
            <w:tcBorders>
              <w:top w:val="nil"/>
              <w:left w:val="nil"/>
              <w:bottom w:val="nil"/>
              <w:right w:val="nil"/>
            </w:tcBorders>
          </w:tcPr>
          <w:p>
            <w:pPr>
              <w:pStyle w:val="TableParagraph"/>
              <w:spacing w:before="56"/>
              <w:ind w:right="71"/>
              <w:rPr>
                <w:rFonts w:ascii="Arial"/>
                <w:sz w:val="20"/>
              </w:rPr>
            </w:pPr>
            <w:r>
              <w:rPr>
                <w:rFonts w:ascii="Arial"/>
                <w:sz w:val="20"/>
              </w:rPr>
              <w:t>0,0079</w:t>
            </w:r>
          </w:p>
        </w:tc>
        <w:tc>
          <w:tcPr>
            <w:tcW w:w="994" w:type="dxa"/>
            <w:tcBorders>
              <w:top w:val="nil"/>
              <w:left w:val="nil"/>
              <w:bottom w:val="nil"/>
              <w:right w:val="nil"/>
            </w:tcBorders>
          </w:tcPr>
          <w:p>
            <w:pPr>
              <w:pStyle w:val="TableParagraph"/>
              <w:spacing w:before="56"/>
              <w:ind w:right="72"/>
              <w:rPr>
                <w:rFonts w:ascii="Arial"/>
                <w:sz w:val="20"/>
              </w:rPr>
            </w:pPr>
            <w:r>
              <w:rPr>
                <w:rFonts w:ascii="Arial"/>
                <w:sz w:val="20"/>
              </w:rPr>
              <w:t>0,0106</w:t>
            </w:r>
          </w:p>
        </w:tc>
        <w:tc>
          <w:tcPr>
            <w:tcW w:w="991" w:type="dxa"/>
            <w:tcBorders>
              <w:top w:val="nil"/>
              <w:left w:val="nil"/>
              <w:bottom w:val="nil"/>
            </w:tcBorders>
          </w:tcPr>
          <w:p>
            <w:pPr>
              <w:pStyle w:val="TableParagraph"/>
              <w:spacing w:before="56"/>
              <w:ind w:right="65"/>
              <w:rPr>
                <w:rFonts w:ascii="Arial"/>
                <w:sz w:val="20"/>
              </w:rPr>
            </w:pPr>
            <w:r>
              <w:rPr>
                <w:rFonts w:ascii="Arial"/>
                <w:sz w:val="20"/>
              </w:rPr>
              <w:t>0,0321</w:t>
            </w:r>
          </w:p>
        </w:tc>
      </w:tr>
      <w:tr>
        <w:trPr>
          <w:trHeight w:val="383" w:hRule="exact"/>
        </w:trPr>
        <w:tc>
          <w:tcPr>
            <w:tcW w:w="1418" w:type="dxa"/>
            <w:tcBorders>
              <w:top w:val="nil"/>
              <w:bottom w:val="nil"/>
            </w:tcBorders>
          </w:tcPr>
          <w:p>
            <w:pPr/>
          </w:p>
        </w:tc>
        <w:tc>
          <w:tcPr>
            <w:tcW w:w="1702" w:type="dxa"/>
            <w:tcBorders>
              <w:top w:val="nil"/>
              <w:bottom w:val="nil"/>
            </w:tcBorders>
          </w:tcPr>
          <w:p>
            <w:pPr>
              <w:pStyle w:val="TableParagraph"/>
              <w:spacing w:before="158"/>
              <w:ind w:left="64" w:right="126"/>
              <w:jc w:val="left"/>
              <w:rPr>
                <w:rFonts w:ascii="Arial"/>
                <w:sz w:val="20"/>
              </w:rPr>
            </w:pPr>
            <w:r>
              <w:rPr>
                <w:rFonts w:ascii="Arial"/>
                <w:sz w:val="20"/>
              </w:rPr>
              <w:t>IC (95%)</w:t>
            </w:r>
          </w:p>
        </w:tc>
        <w:tc>
          <w:tcPr>
            <w:tcW w:w="936" w:type="dxa"/>
            <w:tcBorders>
              <w:top w:val="nil"/>
              <w:bottom w:val="nil"/>
              <w:right w:val="nil"/>
            </w:tcBorders>
          </w:tcPr>
          <w:p>
            <w:pPr>
              <w:pStyle w:val="TableParagraph"/>
              <w:spacing w:before="29"/>
              <w:ind w:right="69"/>
              <w:rPr>
                <w:rFonts w:ascii="Arial"/>
                <w:sz w:val="20"/>
              </w:rPr>
            </w:pPr>
            <w:r>
              <w:rPr>
                <w:rFonts w:ascii="Arial"/>
                <w:sz w:val="20"/>
              </w:rPr>
              <w:t>48,615</w:t>
            </w:r>
          </w:p>
        </w:tc>
        <w:tc>
          <w:tcPr>
            <w:tcW w:w="991" w:type="dxa"/>
            <w:tcBorders>
              <w:top w:val="nil"/>
              <w:left w:val="nil"/>
              <w:bottom w:val="nil"/>
              <w:right w:val="nil"/>
            </w:tcBorders>
          </w:tcPr>
          <w:p>
            <w:pPr>
              <w:pStyle w:val="TableParagraph"/>
              <w:spacing w:before="29"/>
              <w:ind w:right="71"/>
              <w:rPr>
                <w:rFonts w:ascii="Arial"/>
                <w:sz w:val="20"/>
              </w:rPr>
            </w:pPr>
            <w:r>
              <w:rPr>
                <w:rFonts w:ascii="Arial"/>
                <w:sz w:val="20"/>
              </w:rPr>
              <w:t>45,739</w:t>
            </w:r>
          </w:p>
        </w:tc>
        <w:tc>
          <w:tcPr>
            <w:tcW w:w="994" w:type="dxa"/>
            <w:tcBorders>
              <w:top w:val="nil"/>
              <w:left w:val="nil"/>
              <w:bottom w:val="nil"/>
              <w:right w:val="nil"/>
            </w:tcBorders>
          </w:tcPr>
          <w:p>
            <w:pPr>
              <w:pStyle w:val="TableParagraph"/>
              <w:spacing w:before="29"/>
              <w:ind w:right="72"/>
              <w:rPr>
                <w:rFonts w:ascii="Arial"/>
                <w:sz w:val="20"/>
              </w:rPr>
            </w:pPr>
            <w:r>
              <w:rPr>
                <w:rFonts w:ascii="Arial"/>
                <w:sz w:val="20"/>
              </w:rPr>
              <w:t>43,086</w:t>
            </w:r>
          </w:p>
        </w:tc>
        <w:tc>
          <w:tcPr>
            <w:tcW w:w="991" w:type="dxa"/>
            <w:tcBorders>
              <w:top w:val="nil"/>
              <w:left w:val="nil"/>
              <w:bottom w:val="nil"/>
              <w:right w:val="nil"/>
            </w:tcBorders>
          </w:tcPr>
          <w:p>
            <w:pPr>
              <w:pStyle w:val="TableParagraph"/>
              <w:spacing w:before="29"/>
              <w:ind w:right="71"/>
              <w:rPr>
                <w:rFonts w:ascii="Arial"/>
                <w:sz w:val="20"/>
              </w:rPr>
            </w:pPr>
            <w:r>
              <w:rPr>
                <w:rFonts w:ascii="Arial"/>
                <w:sz w:val="20"/>
              </w:rPr>
              <w:t>50,785</w:t>
            </w:r>
          </w:p>
        </w:tc>
        <w:tc>
          <w:tcPr>
            <w:tcW w:w="994" w:type="dxa"/>
            <w:tcBorders>
              <w:top w:val="nil"/>
              <w:left w:val="nil"/>
              <w:bottom w:val="nil"/>
              <w:right w:val="nil"/>
            </w:tcBorders>
          </w:tcPr>
          <w:p>
            <w:pPr>
              <w:pStyle w:val="TableParagraph"/>
              <w:spacing w:before="29"/>
              <w:ind w:right="72"/>
              <w:rPr>
                <w:rFonts w:ascii="Arial"/>
                <w:sz w:val="20"/>
              </w:rPr>
            </w:pPr>
            <w:r>
              <w:rPr>
                <w:rFonts w:ascii="Arial"/>
                <w:sz w:val="20"/>
              </w:rPr>
              <w:t>59,392</w:t>
            </w:r>
          </w:p>
        </w:tc>
        <w:tc>
          <w:tcPr>
            <w:tcW w:w="991" w:type="dxa"/>
            <w:tcBorders>
              <w:top w:val="nil"/>
              <w:left w:val="nil"/>
              <w:bottom w:val="nil"/>
            </w:tcBorders>
          </w:tcPr>
          <w:p>
            <w:pPr>
              <w:pStyle w:val="TableParagraph"/>
              <w:spacing w:before="29"/>
              <w:ind w:right="65"/>
              <w:rPr>
                <w:rFonts w:ascii="Arial"/>
                <w:sz w:val="20"/>
              </w:rPr>
            </w:pPr>
            <w:r>
              <w:rPr>
                <w:rFonts w:ascii="Arial"/>
                <w:w w:val="95"/>
                <w:sz w:val="20"/>
              </w:rPr>
              <w:t>319,245</w:t>
            </w:r>
          </w:p>
        </w:tc>
      </w:tr>
      <w:tr>
        <w:trPr>
          <w:trHeight w:val="211" w:hRule="exact"/>
        </w:trPr>
        <w:tc>
          <w:tcPr>
            <w:tcW w:w="1418" w:type="dxa"/>
            <w:tcBorders>
              <w:top w:val="nil"/>
            </w:tcBorders>
          </w:tcPr>
          <w:p>
            <w:pPr/>
          </w:p>
        </w:tc>
        <w:tc>
          <w:tcPr>
            <w:tcW w:w="1702" w:type="dxa"/>
            <w:tcBorders>
              <w:top w:val="nil"/>
            </w:tcBorders>
          </w:tcPr>
          <w:p>
            <w:pPr/>
          </w:p>
        </w:tc>
        <w:tc>
          <w:tcPr>
            <w:tcW w:w="936" w:type="dxa"/>
            <w:tcBorders>
              <w:top w:val="nil"/>
              <w:right w:val="nil"/>
            </w:tcBorders>
          </w:tcPr>
          <w:p>
            <w:pPr>
              <w:pStyle w:val="TableParagraph"/>
              <w:spacing w:line="203" w:lineRule="exact" w:before="0"/>
              <w:ind w:right="71"/>
              <w:rPr>
                <w:rFonts w:ascii="Arial"/>
                <w:sz w:val="20"/>
              </w:rPr>
            </w:pPr>
            <w:r>
              <w:rPr>
                <w:rFonts w:ascii="Arial"/>
                <w:sz w:val="20"/>
              </w:rPr>
              <w:t>49,920</w:t>
            </w:r>
          </w:p>
        </w:tc>
        <w:tc>
          <w:tcPr>
            <w:tcW w:w="991" w:type="dxa"/>
            <w:tcBorders>
              <w:top w:val="nil"/>
              <w:left w:val="nil"/>
              <w:right w:val="nil"/>
            </w:tcBorders>
          </w:tcPr>
          <w:p>
            <w:pPr>
              <w:pStyle w:val="TableParagraph"/>
              <w:spacing w:line="203" w:lineRule="exact" w:before="0"/>
              <w:ind w:right="71"/>
              <w:rPr>
                <w:rFonts w:ascii="Arial"/>
                <w:sz w:val="20"/>
              </w:rPr>
            </w:pPr>
            <w:r>
              <w:rPr>
                <w:rFonts w:ascii="Arial"/>
                <w:sz w:val="20"/>
              </w:rPr>
              <w:t>47,453</w:t>
            </w:r>
          </w:p>
        </w:tc>
        <w:tc>
          <w:tcPr>
            <w:tcW w:w="994" w:type="dxa"/>
            <w:tcBorders>
              <w:top w:val="nil"/>
              <w:left w:val="nil"/>
              <w:right w:val="nil"/>
            </w:tcBorders>
          </w:tcPr>
          <w:p>
            <w:pPr>
              <w:pStyle w:val="TableParagraph"/>
              <w:spacing w:line="203" w:lineRule="exact" w:before="0"/>
              <w:ind w:right="72"/>
              <w:rPr>
                <w:rFonts w:ascii="Arial"/>
                <w:sz w:val="20"/>
              </w:rPr>
            </w:pPr>
            <w:r>
              <w:rPr>
                <w:rFonts w:ascii="Arial"/>
                <w:sz w:val="20"/>
              </w:rPr>
              <w:t>44,527</w:t>
            </w:r>
          </w:p>
        </w:tc>
        <w:tc>
          <w:tcPr>
            <w:tcW w:w="991" w:type="dxa"/>
            <w:tcBorders>
              <w:top w:val="nil"/>
              <w:left w:val="nil"/>
              <w:right w:val="nil"/>
            </w:tcBorders>
          </w:tcPr>
          <w:p>
            <w:pPr>
              <w:pStyle w:val="TableParagraph"/>
              <w:spacing w:line="203" w:lineRule="exact" w:before="0"/>
              <w:ind w:right="71"/>
              <w:rPr>
                <w:rFonts w:ascii="Arial"/>
                <w:sz w:val="20"/>
              </w:rPr>
            </w:pPr>
            <w:r>
              <w:rPr>
                <w:rFonts w:ascii="Arial"/>
                <w:sz w:val="20"/>
              </w:rPr>
              <w:t>52,374</w:t>
            </w:r>
          </w:p>
        </w:tc>
        <w:tc>
          <w:tcPr>
            <w:tcW w:w="994" w:type="dxa"/>
            <w:tcBorders>
              <w:top w:val="nil"/>
              <w:left w:val="nil"/>
              <w:right w:val="nil"/>
            </w:tcBorders>
          </w:tcPr>
          <w:p>
            <w:pPr>
              <w:pStyle w:val="TableParagraph"/>
              <w:spacing w:line="203" w:lineRule="exact" w:before="0"/>
              <w:ind w:right="72"/>
              <w:rPr>
                <w:rFonts w:ascii="Arial"/>
                <w:sz w:val="20"/>
              </w:rPr>
            </w:pPr>
            <w:r>
              <w:rPr>
                <w:rFonts w:ascii="Arial"/>
                <w:sz w:val="20"/>
              </w:rPr>
              <w:t>61,918</w:t>
            </w:r>
          </w:p>
        </w:tc>
        <w:tc>
          <w:tcPr>
            <w:tcW w:w="991" w:type="dxa"/>
            <w:tcBorders>
              <w:top w:val="nil"/>
              <w:left w:val="nil"/>
            </w:tcBorders>
          </w:tcPr>
          <w:p>
            <w:pPr>
              <w:pStyle w:val="TableParagraph"/>
              <w:spacing w:line="203" w:lineRule="exact" w:before="0"/>
              <w:ind w:right="65"/>
              <w:rPr>
                <w:rFonts w:ascii="Arial"/>
                <w:sz w:val="20"/>
              </w:rPr>
            </w:pPr>
            <w:r>
              <w:rPr>
                <w:rFonts w:ascii="Arial"/>
                <w:w w:val="95"/>
                <w:sz w:val="20"/>
              </w:rPr>
              <w:t>362,145</w:t>
            </w:r>
          </w:p>
        </w:tc>
      </w:tr>
      <w:tr>
        <w:trPr>
          <w:trHeight w:val="352" w:hRule="exact"/>
        </w:trPr>
        <w:tc>
          <w:tcPr>
            <w:tcW w:w="1418" w:type="dxa"/>
            <w:tcBorders>
              <w:bottom w:val="nil"/>
            </w:tcBorders>
          </w:tcPr>
          <w:p>
            <w:pPr/>
          </w:p>
        </w:tc>
        <w:tc>
          <w:tcPr>
            <w:tcW w:w="1702" w:type="dxa"/>
            <w:tcBorders>
              <w:bottom w:val="nil"/>
            </w:tcBorders>
          </w:tcPr>
          <w:p>
            <w:pPr>
              <w:pStyle w:val="TableParagraph"/>
              <w:spacing w:before="67"/>
              <w:ind w:left="64" w:right="0"/>
              <w:jc w:val="left"/>
              <w:rPr>
                <w:rFonts w:ascii="Arial"/>
                <w:sz w:val="20"/>
              </w:rPr>
            </w:pPr>
            <w:r>
              <w:rPr>
                <w:rFonts w:ascii="Arial"/>
                <w:sz w:val="20"/>
              </w:rPr>
              <w:t>Promedio (mg/L)</w:t>
            </w:r>
          </w:p>
        </w:tc>
        <w:tc>
          <w:tcPr>
            <w:tcW w:w="936" w:type="dxa"/>
            <w:tcBorders>
              <w:bottom w:val="nil"/>
              <w:right w:val="nil"/>
            </w:tcBorders>
          </w:tcPr>
          <w:p>
            <w:pPr>
              <w:pStyle w:val="TableParagraph"/>
              <w:spacing w:before="67"/>
              <w:ind w:right="69"/>
              <w:rPr>
                <w:rFonts w:ascii="Arial"/>
                <w:sz w:val="20"/>
              </w:rPr>
            </w:pPr>
            <w:r>
              <w:rPr>
                <w:rFonts w:ascii="Arial"/>
                <w:w w:val="95"/>
                <w:sz w:val="20"/>
              </w:rPr>
              <w:t>3,62</w:t>
            </w:r>
          </w:p>
        </w:tc>
        <w:tc>
          <w:tcPr>
            <w:tcW w:w="991" w:type="dxa"/>
            <w:tcBorders>
              <w:left w:val="nil"/>
              <w:bottom w:val="nil"/>
              <w:right w:val="nil"/>
            </w:tcBorders>
          </w:tcPr>
          <w:p>
            <w:pPr>
              <w:pStyle w:val="TableParagraph"/>
              <w:spacing w:before="67"/>
              <w:ind w:right="69"/>
              <w:rPr>
                <w:rFonts w:ascii="Arial"/>
                <w:sz w:val="20"/>
              </w:rPr>
            </w:pPr>
            <w:r>
              <w:rPr>
                <w:rFonts w:ascii="Arial"/>
                <w:w w:val="95"/>
                <w:sz w:val="20"/>
              </w:rPr>
              <w:t>3,73</w:t>
            </w:r>
          </w:p>
        </w:tc>
        <w:tc>
          <w:tcPr>
            <w:tcW w:w="994" w:type="dxa"/>
            <w:tcBorders>
              <w:left w:val="nil"/>
              <w:bottom w:val="nil"/>
              <w:right w:val="nil"/>
            </w:tcBorders>
          </w:tcPr>
          <w:p>
            <w:pPr>
              <w:pStyle w:val="TableParagraph"/>
              <w:spacing w:before="67"/>
              <w:ind w:right="72"/>
              <w:rPr>
                <w:rFonts w:ascii="Arial"/>
                <w:sz w:val="20"/>
              </w:rPr>
            </w:pPr>
            <w:r>
              <w:rPr>
                <w:rFonts w:ascii="Arial"/>
                <w:w w:val="95"/>
                <w:sz w:val="20"/>
              </w:rPr>
              <w:t>2,06</w:t>
            </w:r>
          </w:p>
        </w:tc>
        <w:tc>
          <w:tcPr>
            <w:tcW w:w="991" w:type="dxa"/>
            <w:tcBorders>
              <w:left w:val="nil"/>
              <w:bottom w:val="nil"/>
              <w:right w:val="nil"/>
            </w:tcBorders>
          </w:tcPr>
          <w:p>
            <w:pPr>
              <w:pStyle w:val="TableParagraph"/>
              <w:spacing w:before="67"/>
              <w:ind w:right="69"/>
              <w:rPr>
                <w:rFonts w:ascii="Arial"/>
                <w:sz w:val="20"/>
              </w:rPr>
            </w:pPr>
            <w:r>
              <w:rPr>
                <w:rFonts w:ascii="Arial"/>
                <w:w w:val="95"/>
                <w:sz w:val="20"/>
              </w:rPr>
              <w:t>3,64</w:t>
            </w:r>
          </w:p>
        </w:tc>
        <w:tc>
          <w:tcPr>
            <w:tcW w:w="994" w:type="dxa"/>
            <w:tcBorders>
              <w:left w:val="nil"/>
              <w:bottom w:val="nil"/>
              <w:right w:val="nil"/>
            </w:tcBorders>
          </w:tcPr>
          <w:p>
            <w:pPr>
              <w:pStyle w:val="TableParagraph"/>
              <w:spacing w:before="67"/>
              <w:ind w:right="72"/>
              <w:rPr>
                <w:rFonts w:ascii="Arial"/>
                <w:sz w:val="20"/>
              </w:rPr>
            </w:pPr>
            <w:r>
              <w:rPr>
                <w:rFonts w:ascii="Arial"/>
                <w:w w:val="95"/>
                <w:sz w:val="20"/>
              </w:rPr>
              <w:t>3,83</w:t>
            </w:r>
          </w:p>
        </w:tc>
        <w:tc>
          <w:tcPr>
            <w:tcW w:w="991" w:type="dxa"/>
            <w:tcBorders>
              <w:left w:val="nil"/>
              <w:bottom w:val="nil"/>
            </w:tcBorders>
          </w:tcPr>
          <w:p>
            <w:pPr>
              <w:pStyle w:val="TableParagraph"/>
              <w:spacing w:before="67"/>
              <w:ind w:right="65"/>
              <w:rPr>
                <w:rFonts w:ascii="Arial"/>
                <w:sz w:val="20"/>
              </w:rPr>
            </w:pPr>
            <w:r>
              <w:rPr>
                <w:rFonts w:ascii="Arial"/>
                <w:sz w:val="20"/>
              </w:rPr>
              <w:t>408,99</w:t>
            </w:r>
          </w:p>
        </w:tc>
      </w:tr>
      <w:tr>
        <w:trPr>
          <w:trHeight w:val="293" w:hRule="exact"/>
        </w:trPr>
        <w:tc>
          <w:tcPr>
            <w:tcW w:w="1418" w:type="dxa"/>
            <w:tcBorders>
              <w:top w:val="nil"/>
              <w:bottom w:val="nil"/>
            </w:tcBorders>
          </w:tcPr>
          <w:p>
            <w:pPr/>
          </w:p>
        </w:tc>
        <w:tc>
          <w:tcPr>
            <w:tcW w:w="1702" w:type="dxa"/>
            <w:tcBorders>
              <w:top w:val="nil"/>
              <w:bottom w:val="nil"/>
            </w:tcBorders>
          </w:tcPr>
          <w:p>
            <w:pPr>
              <w:pStyle w:val="TableParagraph"/>
              <w:spacing w:before="29"/>
              <w:ind w:left="64" w:right="126"/>
              <w:jc w:val="left"/>
              <w:rPr>
                <w:rFonts w:ascii="Arial"/>
                <w:sz w:val="20"/>
              </w:rPr>
            </w:pPr>
            <w:r>
              <w:rPr>
                <w:rFonts w:ascii="Arial"/>
                <w:sz w:val="20"/>
              </w:rPr>
              <w:t>DE</w:t>
            </w:r>
            <w:r>
              <w:rPr>
                <w:rFonts w:ascii="Arial"/>
                <w:spacing w:val="51"/>
                <w:sz w:val="20"/>
              </w:rPr>
              <w:t> </w:t>
            </w:r>
            <w:r>
              <w:rPr>
                <w:rFonts w:ascii="Arial"/>
                <w:sz w:val="20"/>
              </w:rPr>
              <w:t>(mg/L)</w:t>
            </w:r>
          </w:p>
        </w:tc>
        <w:tc>
          <w:tcPr>
            <w:tcW w:w="936" w:type="dxa"/>
            <w:tcBorders>
              <w:top w:val="nil"/>
              <w:bottom w:val="nil"/>
              <w:right w:val="nil"/>
            </w:tcBorders>
          </w:tcPr>
          <w:p>
            <w:pPr>
              <w:pStyle w:val="TableParagraph"/>
              <w:spacing w:before="29"/>
              <w:ind w:right="69"/>
              <w:rPr>
                <w:rFonts w:ascii="Arial"/>
                <w:sz w:val="20"/>
              </w:rPr>
            </w:pPr>
            <w:r>
              <w:rPr>
                <w:rFonts w:ascii="Arial"/>
                <w:w w:val="95"/>
                <w:sz w:val="20"/>
              </w:rPr>
              <w:t>0,04</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0,04</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0,03</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0,03</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0,04</w:t>
            </w:r>
          </w:p>
        </w:tc>
        <w:tc>
          <w:tcPr>
            <w:tcW w:w="991" w:type="dxa"/>
            <w:tcBorders>
              <w:top w:val="nil"/>
              <w:left w:val="nil"/>
              <w:bottom w:val="nil"/>
            </w:tcBorders>
          </w:tcPr>
          <w:p>
            <w:pPr>
              <w:pStyle w:val="TableParagraph"/>
              <w:spacing w:before="29"/>
              <w:ind w:right="65"/>
              <w:rPr>
                <w:rFonts w:ascii="Arial"/>
                <w:sz w:val="20"/>
              </w:rPr>
            </w:pPr>
            <w:r>
              <w:rPr>
                <w:rFonts w:ascii="Arial"/>
                <w:w w:val="95"/>
                <w:sz w:val="20"/>
              </w:rPr>
              <w:t>6,75</w:t>
            </w:r>
          </w:p>
        </w:tc>
      </w:tr>
      <w:tr>
        <w:trPr>
          <w:trHeight w:val="328" w:hRule="exact"/>
        </w:trPr>
        <w:tc>
          <w:tcPr>
            <w:tcW w:w="1418" w:type="dxa"/>
            <w:tcBorders>
              <w:top w:val="nil"/>
              <w:bottom w:val="nil"/>
            </w:tcBorders>
          </w:tcPr>
          <w:p>
            <w:pPr>
              <w:pStyle w:val="TableParagraph"/>
              <w:spacing w:before="12"/>
              <w:ind w:left="109" w:right="112"/>
              <w:jc w:val="center"/>
              <w:rPr>
                <w:rFonts w:ascii="Arial"/>
                <w:sz w:val="20"/>
              </w:rPr>
            </w:pPr>
            <w:r>
              <w:rPr>
                <w:rFonts w:ascii="Arial"/>
                <w:sz w:val="20"/>
              </w:rPr>
              <w:t>SST</w:t>
            </w:r>
          </w:p>
        </w:tc>
        <w:tc>
          <w:tcPr>
            <w:tcW w:w="1702" w:type="dxa"/>
            <w:tcBorders>
              <w:top w:val="nil"/>
              <w:bottom w:val="nil"/>
            </w:tcBorders>
          </w:tcPr>
          <w:p>
            <w:pPr>
              <w:pStyle w:val="TableParagraph"/>
              <w:spacing w:before="46"/>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46"/>
              <w:ind w:right="69"/>
              <w:rPr>
                <w:rFonts w:ascii="Arial"/>
                <w:sz w:val="20"/>
              </w:rPr>
            </w:pPr>
            <w:r>
              <w:rPr>
                <w:rFonts w:ascii="Arial"/>
                <w:w w:val="95"/>
                <w:sz w:val="20"/>
              </w:rPr>
              <w:t>0,010</w:t>
            </w:r>
          </w:p>
        </w:tc>
        <w:tc>
          <w:tcPr>
            <w:tcW w:w="991" w:type="dxa"/>
            <w:tcBorders>
              <w:top w:val="nil"/>
              <w:left w:val="nil"/>
              <w:bottom w:val="nil"/>
              <w:right w:val="nil"/>
            </w:tcBorders>
          </w:tcPr>
          <w:p>
            <w:pPr>
              <w:pStyle w:val="TableParagraph"/>
              <w:spacing w:before="46"/>
              <w:ind w:right="69"/>
              <w:rPr>
                <w:rFonts w:ascii="Arial"/>
                <w:sz w:val="20"/>
              </w:rPr>
            </w:pPr>
            <w:r>
              <w:rPr>
                <w:rFonts w:ascii="Arial"/>
                <w:w w:val="95"/>
                <w:sz w:val="20"/>
              </w:rPr>
              <w:t>0,011</w:t>
            </w:r>
          </w:p>
        </w:tc>
        <w:tc>
          <w:tcPr>
            <w:tcW w:w="994" w:type="dxa"/>
            <w:tcBorders>
              <w:top w:val="nil"/>
              <w:left w:val="nil"/>
              <w:bottom w:val="nil"/>
              <w:right w:val="nil"/>
            </w:tcBorders>
          </w:tcPr>
          <w:p>
            <w:pPr>
              <w:pStyle w:val="TableParagraph"/>
              <w:spacing w:before="46"/>
              <w:ind w:right="72"/>
              <w:rPr>
                <w:rFonts w:ascii="Arial"/>
                <w:sz w:val="20"/>
              </w:rPr>
            </w:pPr>
            <w:r>
              <w:rPr>
                <w:rFonts w:ascii="Arial"/>
                <w:w w:val="95"/>
                <w:sz w:val="20"/>
              </w:rPr>
              <w:t>0,016</w:t>
            </w:r>
          </w:p>
        </w:tc>
        <w:tc>
          <w:tcPr>
            <w:tcW w:w="991" w:type="dxa"/>
            <w:tcBorders>
              <w:top w:val="nil"/>
              <w:left w:val="nil"/>
              <w:bottom w:val="nil"/>
              <w:right w:val="nil"/>
            </w:tcBorders>
          </w:tcPr>
          <w:p>
            <w:pPr>
              <w:pStyle w:val="TableParagraph"/>
              <w:spacing w:before="46"/>
              <w:ind w:right="69"/>
              <w:rPr>
                <w:rFonts w:ascii="Arial"/>
                <w:sz w:val="20"/>
              </w:rPr>
            </w:pPr>
            <w:r>
              <w:rPr>
                <w:rFonts w:ascii="Arial"/>
                <w:w w:val="95"/>
                <w:sz w:val="20"/>
              </w:rPr>
              <w:t>0,007</w:t>
            </w:r>
          </w:p>
        </w:tc>
        <w:tc>
          <w:tcPr>
            <w:tcW w:w="994" w:type="dxa"/>
            <w:tcBorders>
              <w:top w:val="nil"/>
              <w:left w:val="nil"/>
              <w:bottom w:val="nil"/>
              <w:right w:val="nil"/>
            </w:tcBorders>
          </w:tcPr>
          <w:p>
            <w:pPr>
              <w:pStyle w:val="TableParagraph"/>
              <w:spacing w:before="46"/>
              <w:ind w:right="72"/>
              <w:rPr>
                <w:rFonts w:ascii="Arial"/>
                <w:sz w:val="20"/>
              </w:rPr>
            </w:pPr>
            <w:r>
              <w:rPr>
                <w:rFonts w:ascii="Arial"/>
                <w:w w:val="95"/>
                <w:sz w:val="20"/>
              </w:rPr>
              <w:t>0,011</w:t>
            </w:r>
          </w:p>
        </w:tc>
        <w:tc>
          <w:tcPr>
            <w:tcW w:w="991" w:type="dxa"/>
            <w:tcBorders>
              <w:top w:val="nil"/>
              <w:left w:val="nil"/>
              <w:bottom w:val="nil"/>
            </w:tcBorders>
          </w:tcPr>
          <w:p>
            <w:pPr>
              <w:pStyle w:val="TableParagraph"/>
              <w:spacing w:before="46"/>
              <w:ind w:right="65"/>
              <w:rPr>
                <w:rFonts w:ascii="Arial"/>
                <w:sz w:val="20"/>
              </w:rPr>
            </w:pPr>
            <w:r>
              <w:rPr>
                <w:rFonts w:ascii="Arial"/>
                <w:w w:val="95"/>
                <w:sz w:val="20"/>
              </w:rPr>
              <w:t>0,017</w:t>
            </w:r>
          </w:p>
        </w:tc>
      </w:tr>
      <w:tr>
        <w:trPr>
          <w:trHeight w:val="578" w:hRule="exact"/>
        </w:trPr>
        <w:tc>
          <w:tcPr>
            <w:tcW w:w="1418" w:type="dxa"/>
            <w:tcBorders>
              <w:top w:val="nil"/>
            </w:tcBorders>
          </w:tcPr>
          <w:p>
            <w:pPr/>
          </w:p>
        </w:tc>
        <w:tc>
          <w:tcPr>
            <w:tcW w:w="1702" w:type="dxa"/>
            <w:tcBorders>
              <w:top w:val="nil"/>
            </w:tcBorders>
          </w:tcPr>
          <w:p>
            <w:pPr>
              <w:pStyle w:val="TableParagraph"/>
              <w:spacing w:before="150"/>
              <w:ind w:left="64" w:right="126"/>
              <w:jc w:val="left"/>
              <w:rPr>
                <w:rFonts w:ascii="Arial"/>
                <w:sz w:val="20"/>
              </w:rPr>
            </w:pPr>
            <w:r>
              <w:rPr>
                <w:rFonts w:ascii="Arial"/>
                <w:sz w:val="20"/>
              </w:rPr>
              <w:t>IC (95%)</w:t>
            </w:r>
          </w:p>
        </w:tc>
        <w:tc>
          <w:tcPr>
            <w:tcW w:w="936" w:type="dxa"/>
            <w:tcBorders>
              <w:top w:val="nil"/>
              <w:right w:val="nil"/>
            </w:tcBorders>
          </w:tcPr>
          <w:p>
            <w:pPr>
              <w:pStyle w:val="TableParagraph"/>
              <w:spacing w:before="30"/>
              <w:ind w:left="360" w:right="0"/>
              <w:jc w:val="left"/>
              <w:rPr>
                <w:rFonts w:ascii="Arial"/>
                <w:sz w:val="20"/>
              </w:rPr>
            </w:pPr>
            <w:r>
              <w:rPr>
                <w:rFonts w:ascii="Arial"/>
                <w:sz w:val="20"/>
              </w:rPr>
              <w:t>3,551</w:t>
            </w:r>
          </w:p>
          <w:p>
            <w:pPr>
              <w:pStyle w:val="TableParagraph"/>
              <w:spacing w:before="79"/>
              <w:ind w:left="359" w:right="0"/>
              <w:jc w:val="left"/>
              <w:rPr>
                <w:rFonts w:ascii="Arial"/>
                <w:sz w:val="20"/>
              </w:rPr>
            </w:pPr>
            <w:r>
              <w:rPr>
                <w:rFonts w:ascii="Arial"/>
                <w:sz w:val="20"/>
              </w:rPr>
              <w:t>3,698</w:t>
            </w:r>
          </w:p>
        </w:tc>
        <w:tc>
          <w:tcPr>
            <w:tcW w:w="991" w:type="dxa"/>
            <w:tcBorders>
              <w:top w:val="nil"/>
              <w:left w:val="nil"/>
              <w:right w:val="nil"/>
            </w:tcBorders>
          </w:tcPr>
          <w:p>
            <w:pPr>
              <w:pStyle w:val="TableParagraph"/>
              <w:spacing w:before="30"/>
              <w:ind w:left="419" w:right="0"/>
              <w:jc w:val="left"/>
              <w:rPr>
                <w:rFonts w:ascii="Arial"/>
                <w:sz w:val="20"/>
              </w:rPr>
            </w:pPr>
            <w:r>
              <w:rPr>
                <w:rFonts w:ascii="Arial"/>
                <w:sz w:val="20"/>
              </w:rPr>
              <w:t>3,648</w:t>
            </w:r>
          </w:p>
          <w:p>
            <w:pPr>
              <w:pStyle w:val="TableParagraph"/>
              <w:spacing w:before="79"/>
              <w:ind w:left="419" w:right="0"/>
              <w:jc w:val="left"/>
              <w:rPr>
                <w:rFonts w:ascii="Arial"/>
                <w:sz w:val="20"/>
              </w:rPr>
            </w:pPr>
            <w:r>
              <w:rPr>
                <w:rFonts w:ascii="Arial"/>
                <w:sz w:val="20"/>
              </w:rPr>
              <w:t>3,804</w:t>
            </w:r>
          </w:p>
        </w:tc>
        <w:tc>
          <w:tcPr>
            <w:tcW w:w="994" w:type="dxa"/>
            <w:tcBorders>
              <w:top w:val="nil"/>
              <w:left w:val="nil"/>
              <w:right w:val="nil"/>
            </w:tcBorders>
          </w:tcPr>
          <w:p>
            <w:pPr>
              <w:pStyle w:val="TableParagraph"/>
              <w:spacing w:before="30"/>
              <w:ind w:left="419" w:right="0"/>
              <w:jc w:val="left"/>
              <w:rPr>
                <w:rFonts w:ascii="Arial"/>
                <w:sz w:val="20"/>
              </w:rPr>
            </w:pPr>
            <w:r>
              <w:rPr>
                <w:rFonts w:ascii="Arial"/>
                <w:sz w:val="20"/>
              </w:rPr>
              <w:t>1,995</w:t>
            </w:r>
          </w:p>
          <w:p>
            <w:pPr>
              <w:pStyle w:val="TableParagraph"/>
              <w:spacing w:before="79"/>
              <w:ind w:left="419" w:right="0"/>
              <w:jc w:val="left"/>
              <w:rPr>
                <w:rFonts w:ascii="Arial"/>
                <w:sz w:val="20"/>
              </w:rPr>
            </w:pPr>
            <w:r>
              <w:rPr>
                <w:rFonts w:ascii="Arial"/>
                <w:sz w:val="20"/>
              </w:rPr>
              <w:t>2,124</w:t>
            </w:r>
          </w:p>
        </w:tc>
        <w:tc>
          <w:tcPr>
            <w:tcW w:w="991" w:type="dxa"/>
            <w:tcBorders>
              <w:top w:val="nil"/>
              <w:left w:val="nil"/>
              <w:right w:val="nil"/>
            </w:tcBorders>
          </w:tcPr>
          <w:p>
            <w:pPr>
              <w:pStyle w:val="TableParagraph"/>
              <w:spacing w:before="30"/>
              <w:ind w:left="419" w:right="0"/>
              <w:jc w:val="left"/>
              <w:rPr>
                <w:rFonts w:ascii="Arial"/>
                <w:sz w:val="20"/>
              </w:rPr>
            </w:pPr>
            <w:r>
              <w:rPr>
                <w:rFonts w:ascii="Arial"/>
                <w:sz w:val="20"/>
              </w:rPr>
              <w:t>3,586</w:t>
            </w:r>
          </w:p>
          <w:p>
            <w:pPr>
              <w:pStyle w:val="TableParagraph"/>
              <w:spacing w:before="79"/>
              <w:ind w:left="419" w:right="0"/>
              <w:jc w:val="left"/>
              <w:rPr>
                <w:rFonts w:ascii="Arial"/>
                <w:sz w:val="20"/>
              </w:rPr>
            </w:pPr>
            <w:r>
              <w:rPr>
                <w:rFonts w:ascii="Arial"/>
                <w:sz w:val="20"/>
              </w:rPr>
              <w:t>3,685</w:t>
            </w:r>
          </w:p>
        </w:tc>
        <w:tc>
          <w:tcPr>
            <w:tcW w:w="994" w:type="dxa"/>
            <w:tcBorders>
              <w:top w:val="nil"/>
              <w:left w:val="nil"/>
              <w:right w:val="nil"/>
            </w:tcBorders>
          </w:tcPr>
          <w:p>
            <w:pPr>
              <w:pStyle w:val="TableParagraph"/>
              <w:spacing w:before="30"/>
              <w:ind w:left="419" w:right="0"/>
              <w:jc w:val="left"/>
              <w:rPr>
                <w:rFonts w:ascii="Arial"/>
                <w:sz w:val="20"/>
              </w:rPr>
            </w:pPr>
            <w:r>
              <w:rPr>
                <w:rFonts w:ascii="Arial"/>
                <w:sz w:val="20"/>
              </w:rPr>
              <w:t>3,753</w:t>
            </w:r>
          </w:p>
          <w:p>
            <w:pPr>
              <w:pStyle w:val="TableParagraph"/>
              <w:spacing w:before="79"/>
              <w:ind w:left="419" w:right="0"/>
              <w:jc w:val="left"/>
              <w:rPr>
                <w:rFonts w:ascii="Arial"/>
                <w:sz w:val="20"/>
              </w:rPr>
            </w:pPr>
            <w:r>
              <w:rPr>
                <w:rFonts w:ascii="Arial"/>
                <w:sz w:val="20"/>
              </w:rPr>
              <w:t>3,915</w:t>
            </w:r>
          </w:p>
        </w:tc>
        <w:tc>
          <w:tcPr>
            <w:tcW w:w="991" w:type="dxa"/>
            <w:tcBorders>
              <w:top w:val="nil"/>
              <w:left w:val="nil"/>
            </w:tcBorders>
          </w:tcPr>
          <w:p>
            <w:pPr>
              <w:pStyle w:val="TableParagraph"/>
              <w:spacing w:before="30"/>
              <w:ind w:left="199" w:right="0"/>
              <w:jc w:val="left"/>
              <w:rPr>
                <w:rFonts w:ascii="Arial"/>
                <w:sz w:val="20"/>
              </w:rPr>
            </w:pPr>
            <w:r>
              <w:rPr>
                <w:rFonts w:ascii="Arial"/>
                <w:sz w:val="20"/>
              </w:rPr>
              <w:t>395,755</w:t>
            </w:r>
          </w:p>
          <w:p>
            <w:pPr>
              <w:pStyle w:val="TableParagraph"/>
              <w:spacing w:before="79"/>
              <w:ind w:left="199" w:right="0"/>
              <w:jc w:val="left"/>
              <w:rPr>
                <w:rFonts w:ascii="Arial"/>
                <w:sz w:val="20"/>
              </w:rPr>
            </w:pPr>
            <w:r>
              <w:rPr>
                <w:rFonts w:ascii="Arial"/>
                <w:sz w:val="20"/>
              </w:rPr>
              <w:t>422,226</w:t>
            </w:r>
          </w:p>
        </w:tc>
      </w:tr>
      <w:tr>
        <w:trPr>
          <w:trHeight w:val="352" w:hRule="exact"/>
        </w:trPr>
        <w:tc>
          <w:tcPr>
            <w:tcW w:w="1418" w:type="dxa"/>
            <w:tcBorders>
              <w:bottom w:val="nil"/>
            </w:tcBorders>
          </w:tcPr>
          <w:p>
            <w:pPr/>
          </w:p>
        </w:tc>
        <w:tc>
          <w:tcPr>
            <w:tcW w:w="1702" w:type="dxa"/>
            <w:tcBorders>
              <w:bottom w:val="nil"/>
            </w:tcBorders>
          </w:tcPr>
          <w:p>
            <w:pPr>
              <w:pStyle w:val="TableParagraph"/>
              <w:spacing w:before="67"/>
              <w:ind w:left="64" w:right="0"/>
              <w:jc w:val="left"/>
              <w:rPr>
                <w:rFonts w:ascii="Arial"/>
                <w:sz w:val="20"/>
              </w:rPr>
            </w:pPr>
            <w:r>
              <w:rPr>
                <w:rFonts w:ascii="Arial"/>
                <w:sz w:val="20"/>
              </w:rPr>
              <w:t>Promedio (mg/L)</w:t>
            </w:r>
          </w:p>
        </w:tc>
        <w:tc>
          <w:tcPr>
            <w:tcW w:w="936" w:type="dxa"/>
            <w:tcBorders>
              <w:bottom w:val="nil"/>
              <w:right w:val="nil"/>
            </w:tcBorders>
          </w:tcPr>
          <w:p>
            <w:pPr>
              <w:pStyle w:val="TableParagraph"/>
              <w:spacing w:before="67"/>
              <w:ind w:right="70"/>
              <w:rPr>
                <w:rFonts w:ascii="Arial"/>
                <w:sz w:val="20"/>
              </w:rPr>
            </w:pPr>
            <w:r>
              <w:rPr>
                <w:rFonts w:ascii="Arial"/>
                <w:w w:val="95"/>
                <w:sz w:val="20"/>
              </w:rPr>
              <w:t>65,14</w:t>
            </w:r>
          </w:p>
        </w:tc>
        <w:tc>
          <w:tcPr>
            <w:tcW w:w="991" w:type="dxa"/>
            <w:tcBorders>
              <w:left w:val="nil"/>
              <w:bottom w:val="nil"/>
              <w:right w:val="nil"/>
            </w:tcBorders>
          </w:tcPr>
          <w:p>
            <w:pPr>
              <w:pStyle w:val="TableParagraph"/>
              <w:spacing w:before="67"/>
              <w:ind w:right="69"/>
              <w:rPr>
                <w:rFonts w:ascii="Arial"/>
                <w:sz w:val="20"/>
              </w:rPr>
            </w:pPr>
            <w:r>
              <w:rPr>
                <w:rFonts w:ascii="Arial"/>
                <w:w w:val="95"/>
                <w:sz w:val="20"/>
              </w:rPr>
              <w:t>51,42</w:t>
            </w:r>
          </w:p>
        </w:tc>
        <w:tc>
          <w:tcPr>
            <w:tcW w:w="994" w:type="dxa"/>
            <w:tcBorders>
              <w:left w:val="nil"/>
              <w:bottom w:val="nil"/>
              <w:right w:val="nil"/>
            </w:tcBorders>
          </w:tcPr>
          <w:p>
            <w:pPr>
              <w:pStyle w:val="TableParagraph"/>
              <w:spacing w:before="67"/>
              <w:ind w:right="72"/>
              <w:rPr>
                <w:rFonts w:ascii="Arial"/>
                <w:sz w:val="20"/>
              </w:rPr>
            </w:pPr>
            <w:r>
              <w:rPr>
                <w:rFonts w:ascii="Arial"/>
                <w:w w:val="95"/>
                <w:sz w:val="20"/>
              </w:rPr>
              <w:t>46,11</w:t>
            </w:r>
          </w:p>
        </w:tc>
        <w:tc>
          <w:tcPr>
            <w:tcW w:w="991" w:type="dxa"/>
            <w:tcBorders>
              <w:left w:val="nil"/>
              <w:bottom w:val="nil"/>
              <w:right w:val="nil"/>
            </w:tcBorders>
          </w:tcPr>
          <w:p>
            <w:pPr>
              <w:pStyle w:val="TableParagraph"/>
              <w:spacing w:before="67"/>
              <w:ind w:right="69"/>
              <w:rPr>
                <w:rFonts w:ascii="Arial"/>
                <w:sz w:val="20"/>
              </w:rPr>
            </w:pPr>
            <w:r>
              <w:rPr>
                <w:rFonts w:ascii="Arial"/>
                <w:w w:val="95"/>
                <w:sz w:val="20"/>
              </w:rPr>
              <w:t>54,46</w:t>
            </w:r>
          </w:p>
        </w:tc>
        <w:tc>
          <w:tcPr>
            <w:tcW w:w="994" w:type="dxa"/>
            <w:tcBorders>
              <w:left w:val="nil"/>
              <w:bottom w:val="nil"/>
              <w:right w:val="nil"/>
            </w:tcBorders>
          </w:tcPr>
          <w:p>
            <w:pPr>
              <w:pStyle w:val="TableParagraph"/>
              <w:spacing w:before="67"/>
              <w:ind w:right="72"/>
              <w:rPr>
                <w:rFonts w:ascii="Arial"/>
                <w:sz w:val="20"/>
              </w:rPr>
            </w:pPr>
            <w:r>
              <w:rPr>
                <w:rFonts w:ascii="Arial"/>
                <w:w w:val="95"/>
                <w:sz w:val="20"/>
              </w:rPr>
              <w:t>55,73</w:t>
            </w:r>
          </w:p>
        </w:tc>
        <w:tc>
          <w:tcPr>
            <w:tcW w:w="991" w:type="dxa"/>
            <w:tcBorders>
              <w:left w:val="nil"/>
              <w:bottom w:val="nil"/>
            </w:tcBorders>
          </w:tcPr>
          <w:p>
            <w:pPr>
              <w:pStyle w:val="TableParagraph"/>
              <w:spacing w:before="67"/>
              <w:ind w:right="65"/>
              <w:rPr>
                <w:rFonts w:ascii="Arial"/>
                <w:sz w:val="20"/>
              </w:rPr>
            </w:pPr>
            <w:r>
              <w:rPr>
                <w:rFonts w:ascii="Arial"/>
                <w:sz w:val="20"/>
              </w:rPr>
              <w:t>119,42</w:t>
            </w:r>
          </w:p>
        </w:tc>
      </w:tr>
      <w:tr>
        <w:trPr>
          <w:trHeight w:val="316" w:hRule="exact"/>
        </w:trPr>
        <w:tc>
          <w:tcPr>
            <w:tcW w:w="1418" w:type="dxa"/>
            <w:tcBorders>
              <w:top w:val="nil"/>
              <w:bottom w:val="nil"/>
            </w:tcBorders>
          </w:tcPr>
          <w:p>
            <w:pPr>
              <w:pStyle w:val="TableParagraph"/>
              <w:spacing w:before="74"/>
              <w:ind w:left="110" w:right="110"/>
              <w:jc w:val="center"/>
              <w:rPr>
                <w:rFonts w:ascii="Arial"/>
                <w:sz w:val="20"/>
              </w:rPr>
            </w:pPr>
            <w:r>
              <w:rPr>
                <w:rFonts w:ascii="Arial"/>
                <w:sz w:val="20"/>
              </w:rPr>
              <w:t>Alcalinidad</w:t>
            </w:r>
          </w:p>
        </w:tc>
        <w:tc>
          <w:tcPr>
            <w:tcW w:w="1702" w:type="dxa"/>
            <w:tcBorders>
              <w:top w:val="nil"/>
              <w:bottom w:val="nil"/>
            </w:tcBorders>
          </w:tcPr>
          <w:p>
            <w:pPr>
              <w:pStyle w:val="TableParagraph"/>
              <w:spacing w:before="29"/>
              <w:ind w:left="64" w:right="126"/>
              <w:jc w:val="left"/>
              <w:rPr>
                <w:rFonts w:ascii="Arial"/>
                <w:sz w:val="20"/>
              </w:rPr>
            </w:pPr>
            <w:r>
              <w:rPr>
                <w:rFonts w:ascii="Arial"/>
                <w:sz w:val="20"/>
              </w:rPr>
              <w:t>DE</w:t>
            </w:r>
            <w:r>
              <w:rPr>
                <w:rFonts w:ascii="Arial"/>
                <w:spacing w:val="51"/>
                <w:sz w:val="20"/>
              </w:rPr>
              <w:t> </w:t>
            </w:r>
            <w:r>
              <w:rPr>
                <w:rFonts w:ascii="Arial"/>
                <w:sz w:val="20"/>
              </w:rPr>
              <w:t>(mg/L)</w:t>
            </w:r>
          </w:p>
        </w:tc>
        <w:tc>
          <w:tcPr>
            <w:tcW w:w="936" w:type="dxa"/>
            <w:tcBorders>
              <w:top w:val="nil"/>
              <w:bottom w:val="nil"/>
              <w:right w:val="nil"/>
            </w:tcBorders>
          </w:tcPr>
          <w:p>
            <w:pPr>
              <w:pStyle w:val="TableParagraph"/>
              <w:spacing w:before="29"/>
              <w:ind w:right="69"/>
              <w:rPr>
                <w:rFonts w:ascii="Arial"/>
                <w:sz w:val="20"/>
              </w:rPr>
            </w:pPr>
            <w:r>
              <w:rPr>
                <w:rFonts w:ascii="Arial"/>
                <w:w w:val="95"/>
                <w:sz w:val="20"/>
              </w:rPr>
              <w:t>0,69</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0,56</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0,56</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0,57</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0,52</w:t>
            </w:r>
          </w:p>
        </w:tc>
        <w:tc>
          <w:tcPr>
            <w:tcW w:w="991" w:type="dxa"/>
            <w:tcBorders>
              <w:top w:val="nil"/>
              <w:left w:val="nil"/>
              <w:bottom w:val="nil"/>
            </w:tcBorders>
          </w:tcPr>
          <w:p>
            <w:pPr>
              <w:pStyle w:val="TableParagraph"/>
              <w:spacing w:before="29"/>
              <w:ind w:right="65"/>
              <w:rPr>
                <w:rFonts w:ascii="Arial"/>
                <w:sz w:val="20"/>
              </w:rPr>
            </w:pPr>
            <w:r>
              <w:rPr>
                <w:rFonts w:ascii="Arial"/>
                <w:w w:val="95"/>
                <w:sz w:val="20"/>
              </w:rPr>
              <w:t>1,02</w:t>
            </w:r>
          </w:p>
        </w:tc>
      </w:tr>
      <w:tr>
        <w:trPr>
          <w:trHeight w:val="880" w:hRule="exact"/>
        </w:trPr>
        <w:tc>
          <w:tcPr>
            <w:tcW w:w="1418" w:type="dxa"/>
            <w:tcBorders>
              <w:top w:val="nil"/>
            </w:tcBorders>
          </w:tcPr>
          <w:p>
            <w:pPr>
              <w:pStyle w:val="TableParagraph"/>
              <w:spacing w:line="237" w:lineRule="auto" w:before="0"/>
              <w:ind w:left="271" w:right="243" w:hanging="15"/>
              <w:jc w:val="left"/>
              <w:rPr>
                <w:rFonts w:ascii="Arial"/>
                <w:sz w:val="20"/>
              </w:rPr>
            </w:pPr>
            <w:r>
              <w:rPr>
                <w:rFonts w:ascii="Arial"/>
                <w:sz w:val="20"/>
              </w:rPr>
              <w:t>(mg como CaCO</w:t>
            </w:r>
            <w:r>
              <w:rPr>
                <w:rFonts w:ascii="Arial"/>
                <w:position w:val="-2"/>
                <w:sz w:val="13"/>
              </w:rPr>
              <w:t>3</w:t>
            </w:r>
            <w:r>
              <w:rPr>
                <w:rFonts w:ascii="Arial"/>
                <w:sz w:val="20"/>
              </w:rPr>
              <w:t>/L)</w:t>
            </w:r>
          </w:p>
        </w:tc>
        <w:tc>
          <w:tcPr>
            <w:tcW w:w="1702" w:type="dxa"/>
            <w:tcBorders>
              <w:top w:val="nil"/>
            </w:tcBorders>
          </w:tcPr>
          <w:p>
            <w:pPr>
              <w:pStyle w:val="TableParagraph"/>
              <w:spacing w:before="23"/>
              <w:ind w:left="64" w:right="126"/>
              <w:jc w:val="left"/>
              <w:rPr>
                <w:rFonts w:ascii="Arial"/>
                <w:sz w:val="20"/>
              </w:rPr>
            </w:pPr>
            <w:r>
              <w:rPr>
                <w:rFonts w:ascii="Arial"/>
                <w:sz w:val="20"/>
              </w:rPr>
              <w:t>CV</w:t>
            </w:r>
          </w:p>
          <w:p>
            <w:pPr>
              <w:pStyle w:val="TableParagraph"/>
              <w:spacing w:before="4"/>
              <w:ind w:right="0"/>
              <w:jc w:val="left"/>
              <w:rPr>
                <w:rFonts w:ascii="Arial"/>
                <w:b/>
                <w:sz w:val="17"/>
              </w:rPr>
            </w:pPr>
          </w:p>
          <w:p>
            <w:pPr>
              <w:pStyle w:val="TableParagraph"/>
              <w:spacing w:before="0"/>
              <w:ind w:left="64" w:right="126"/>
              <w:jc w:val="left"/>
              <w:rPr>
                <w:rFonts w:ascii="Arial"/>
                <w:sz w:val="20"/>
              </w:rPr>
            </w:pPr>
            <w:r>
              <w:rPr>
                <w:rFonts w:ascii="Arial"/>
                <w:sz w:val="20"/>
              </w:rPr>
              <w:t>IC (95%)</w:t>
            </w:r>
          </w:p>
        </w:tc>
        <w:tc>
          <w:tcPr>
            <w:tcW w:w="936" w:type="dxa"/>
            <w:tcBorders>
              <w:top w:val="nil"/>
              <w:right w:val="nil"/>
            </w:tcBorders>
          </w:tcPr>
          <w:p>
            <w:pPr>
              <w:pStyle w:val="TableParagraph"/>
              <w:spacing w:before="23"/>
              <w:ind w:left="339" w:right="51"/>
              <w:jc w:val="center"/>
              <w:rPr>
                <w:rFonts w:ascii="Arial"/>
                <w:sz w:val="20"/>
              </w:rPr>
            </w:pPr>
            <w:r>
              <w:rPr>
                <w:rFonts w:ascii="Arial"/>
                <w:sz w:val="20"/>
              </w:rPr>
              <w:t>0,011</w:t>
            </w:r>
          </w:p>
          <w:p>
            <w:pPr>
              <w:pStyle w:val="TableParagraph"/>
              <w:spacing w:before="79"/>
              <w:ind w:left="228" w:right="51"/>
              <w:jc w:val="center"/>
              <w:rPr>
                <w:rFonts w:ascii="Arial"/>
                <w:sz w:val="20"/>
              </w:rPr>
            </w:pPr>
            <w:r>
              <w:rPr>
                <w:rFonts w:ascii="Arial"/>
                <w:sz w:val="20"/>
              </w:rPr>
              <w:t>63,796</w:t>
            </w:r>
          </w:p>
          <w:p>
            <w:pPr>
              <w:pStyle w:val="TableParagraph"/>
              <w:spacing w:before="82"/>
              <w:ind w:left="228" w:right="51"/>
              <w:jc w:val="center"/>
              <w:rPr>
                <w:rFonts w:ascii="Arial"/>
                <w:sz w:val="20"/>
              </w:rPr>
            </w:pPr>
            <w:r>
              <w:rPr>
                <w:rFonts w:ascii="Arial"/>
                <w:sz w:val="20"/>
              </w:rPr>
              <w:t>66,488</w:t>
            </w:r>
          </w:p>
        </w:tc>
        <w:tc>
          <w:tcPr>
            <w:tcW w:w="991" w:type="dxa"/>
            <w:tcBorders>
              <w:top w:val="nil"/>
              <w:left w:val="nil"/>
              <w:right w:val="nil"/>
            </w:tcBorders>
          </w:tcPr>
          <w:p>
            <w:pPr>
              <w:pStyle w:val="TableParagraph"/>
              <w:spacing w:before="23"/>
              <w:ind w:left="399" w:right="51"/>
              <w:jc w:val="center"/>
              <w:rPr>
                <w:rFonts w:ascii="Arial"/>
                <w:sz w:val="20"/>
              </w:rPr>
            </w:pPr>
            <w:r>
              <w:rPr>
                <w:rFonts w:ascii="Arial"/>
                <w:sz w:val="20"/>
              </w:rPr>
              <w:t>0,011</w:t>
            </w:r>
          </w:p>
          <w:p>
            <w:pPr>
              <w:pStyle w:val="TableParagraph"/>
              <w:spacing w:before="79"/>
              <w:ind w:left="288" w:right="51"/>
              <w:jc w:val="center"/>
              <w:rPr>
                <w:rFonts w:ascii="Arial"/>
                <w:sz w:val="20"/>
              </w:rPr>
            </w:pPr>
            <w:r>
              <w:rPr>
                <w:rFonts w:ascii="Arial"/>
                <w:sz w:val="20"/>
              </w:rPr>
              <w:t>50,321</w:t>
            </w:r>
          </w:p>
          <w:p>
            <w:pPr>
              <w:pStyle w:val="TableParagraph"/>
              <w:spacing w:before="82"/>
              <w:ind w:left="288" w:right="51"/>
              <w:jc w:val="center"/>
              <w:rPr>
                <w:rFonts w:ascii="Arial"/>
                <w:sz w:val="20"/>
              </w:rPr>
            </w:pPr>
            <w:r>
              <w:rPr>
                <w:rFonts w:ascii="Arial"/>
                <w:sz w:val="20"/>
              </w:rPr>
              <w:t>52,523</w:t>
            </w:r>
          </w:p>
        </w:tc>
        <w:tc>
          <w:tcPr>
            <w:tcW w:w="994" w:type="dxa"/>
            <w:tcBorders>
              <w:top w:val="nil"/>
              <w:left w:val="nil"/>
              <w:right w:val="nil"/>
            </w:tcBorders>
          </w:tcPr>
          <w:p>
            <w:pPr>
              <w:pStyle w:val="TableParagraph"/>
              <w:spacing w:before="23"/>
              <w:ind w:left="398" w:right="53"/>
              <w:jc w:val="center"/>
              <w:rPr>
                <w:rFonts w:ascii="Arial"/>
                <w:sz w:val="20"/>
              </w:rPr>
            </w:pPr>
            <w:r>
              <w:rPr>
                <w:rFonts w:ascii="Arial"/>
                <w:sz w:val="20"/>
              </w:rPr>
              <w:t>0,012</w:t>
            </w:r>
          </w:p>
          <w:p>
            <w:pPr>
              <w:pStyle w:val="TableParagraph"/>
              <w:spacing w:before="79"/>
              <w:ind w:left="288" w:right="53"/>
              <w:jc w:val="center"/>
              <w:rPr>
                <w:rFonts w:ascii="Arial"/>
                <w:sz w:val="20"/>
              </w:rPr>
            </w:pPr>
            <w:r>
              <w:rPr>
                <w:rFonts w:ascii="Arial"/>
                <w:sz w:val="20"/>
              </w:rPr>
              <w:t>45,020</w:t>
            </w:r>
          </w:p>
          <w:p>
            <w:pPr>
              <w:pStyle w:val="TableParagraph"/>
              <w:spacing w:before="82"/>
              <w:ind w:left="288" w:right="53"/>
              <w:jc w:val="center"/>
              <w:rPr>
                <w:rFonts w:ascii="Arial"/>
                <w:sz w:val="20"/>
              </w:rPr>
            </w:pPr>
            <w:r>
              <w:rPr>
                <w:rFonts w:ascii="Arial"/>
                <w:sz w:val="20"/>
              </w:rPr>
              <w:t>47,202</w:t>
            </w:r>
          </w:p>
        </w:tc>
        <w:tc>
          <w:tcPr>
            <w:tcW w:w="991" w:type="dxa"/>
            <w:tcBorders>
              <w:top w:val="nil"/>
              <w:left w:val="nil"/>
              <w:right w:val="nil"/>
            </w:tcBorders>
          </w:tcPr>
          <w:p>
            <w:pPr>
              <w:pStyle w:val="TableParagraph"/>
              <w:spacing w:before="23"/>
              <w:ind w:left="399" w:right="51"/>
              <w:jc w:val="center"/>
              <w:rPr>
                <w:rFonts w:ascii="Arial"/>
                <w:sz w:val="20"/>
              </w:rPr>
            </w:pPr>
            <w:r>
              <w:rPr>
                <w:rFonts w:ascii="Arial"/>
                <w:sz w:val="20"/>
              </w:rPr>
              <w:t>0,010</w:t>
            </w:r>
          </w:p>
          <w:p>
            <w:pPr>
              <w:pStyle w:val="TableParagraph"/>
              <w:spacing w:before="79"/>
              <w:ind w:left="288" w:right="51"/>
              <w:jc w:val="center"/>
              <w:rPr>
                <w:rFonts w:ascii="Arial"/>
                <w:sz w:val="20"/>
              </w:rPr>
            </w:pPr>
            <w:r>
              <w:rPr>
                <w:rFonts w:ascii="Arial"/>
                <w:sz w:val="20"/>
              </w:rPr>
              <w:t>53,348</w:t>
            </w:r>
          </w:p>
          <w:p>
            <w:pPr>
              <w:pStyle w:val="TableParagraph"/>
              <w:spacing w:before="82"/>
              <w:ind w:left="288" w:right="51"/>
              <w:jc w:val="center"/>
              <w:rPr>
                <w:rFonts w:ascii="Arial"/>
                <w:sz w:val="20"/>
              </w:rPr>
            </w:pPr>
            <w:r>
              <w:rPr>
                <w:rFonts w:ascii="Arial"/>
                <w:sz w:val="20"/>
              </w:rPr>
              <w:t>55,573</w:t>
            </w:r>
          </w:p>
        </w:tc>
        <w:tc>
          <w:tcPr>
            <w:tcW w:w="994" w:type="dxa"/>
            <w:tcBorders>
              <w:top w:val="nil"/>
              <w:left w:val="nil"/>
              <w:right w:val="nil"/>
            </w:tcBorders>
          </w:tcPr>
          <w:p>
            <w:pPr>
              <w:pStyle w:val="TableParagraph"/>
              <w:spacing w:before="23"/>
              <w:ind w:left="398" w:right="53"/>
              <w:jc w:val="center"/>
              <w:rPr>
                <w:rFonts w:ascii="Arial"/>
                <w:sz w:val="20"/>
              </w:rPr>
            </w:pPr>
            <w:r>
              <w:rPr>
                <w:rFonts w:ascii="Arial"/>
                <w:sz w:val="20"/>
              </w:rPr>
              <w:t>0,009</w:t>
            </w:r>
          </w:p>
          <w:p>
            <w:pPr>
              <w:pStyle w:val="TableParagraph"/>
              <w:spacing w:before="79"/>
              <w:ind w:left="288" w:right="53"/>
              <w:jc w:val="center"/>
              <w:rPr>
                <w:rFonts w:ascii="Arial"/>
                <w:sz w:val="20"/>
              </w:rPr>
            </w:pPr>
            <w:r>
              <w:rPr>
                <w:rFonts w:ascii="Arial"/>
                <w:sz w:val="20"/>
              </w:rPr>
              <w:t>54,705</w:t>
            </w:r>
          </w:p>
          <w:p>
            <w:pPr>
              <w:pStyle w:val="TableParagraph"/>
              <w:spacing w:before="82"/>
              <w:ind w:left="288" w:right="53"/>
              <w:jc w:val="center"/>
              <w:rPr>
                <w:rFonts w:ascii="Arial"/>
                <w:sz w:val="20"/>
              </w:rPr>
            </w:pPr>
            <w:r>
              <w:rPr>
                <w:rFonts w:ascii="Arial"/>
                <w:sz w:val="20"/>
              </w:rPr>
              <w:t>56,759</w:t>
            </w:r>
          </w:p>
        </w:tc>
        <w:tc>
          <w:tcPr>
            <w:tcW w:w="991" w:type="dxa"/>
            <w:tcBorders>
              <w:top w:val="nil"/>
              <w:left w:val="nil"/>
            </w:tcBorders>
          </w:tcPr>
          <w:p>
            <w:pPr>
              <w:pStyle w:val="TableParagraph"/>
              <w:spacing w:before="23"/>
              <w:ind w:left="419" w:right="0"/>
              <w:jc w:val="left"/>
              <w:rPr>
                <w:rFonts w:ascii="Arial"/>
                <w:sz w:val="20"/>
              </w:rPr>
            </w:pPr>
            <w:r>
              <w:rPr>
                <w:rFonts w:ascii="Arial"/>
                <w:sz w:val="20"/>
              </w:rPr>
              <w:t>0,009</w:t>
            </w:r>
          </w:p>
          <w:p>
            <w:pPr>
              <w:pStyle w:val="TableParagraph"/>
              <w:spacing w:before="79"/>
              <w:ind w:left="199" w:right="0"/>
              <w:jc w:val="left"/>
              <w:rPr>
                <w:rFonts w:ascii="Arial"/>
                <w:sz w:val="20"/>
              </w:rPr>
            </w:pPr>
            <w:r>
              <w:rPr>
                <w:rFonts w:ascii="Arial"/>
                <w:sz w:val="20"/>
              </w:rPr>
              <w:t>117,417</w:t>
            </w:r>
          </w:p>
          <w:p>
            <w:pPr>
              <w:pStyle w:val="TableParagraph"/>
              <w:spacing w:before="82"/>
              <w:ind w:left="199" w:right="0"/>
              <w:jc w:val="left"/>
              <w:rPr>
                <w:rFonts w:ascii="Arial"/>
                <w:sz w:val="20"/>
              </w:rPr>
            </w:pPr>
            <w:r>
              <w:rPr>
                <w:rFonts w:ascii="Arial"/>
                <w:sz w:val="20"/>
              </w:rPr>
              <w:t>121,429</w:t>
            </w:r>
          </w:p>
        </w:tc>
      </w:tr>
      <w:tr>
        <w:trPr>
          <w:trHeight w:val="355" w:hRule="exact"/>
        </w:trPr>
        <w:tc>
          <w:tcPr>
            <w:tcW w:w="1418" w:type="dxa"/>
            <w:tcBorders>
              <w:bottom w:val="nil"/>
            </w:tcBorders>
          </w:tcPr>
          <w:p>
            <w:pPr/>
          </w:p>
        </w:tc>
        <w:tc>
          <w:tcPr>
            <w:tcW w:w="1702" w:type="dxa"/>
            <w:tcBorders>
              <w:bottom w:val="nil"/>
            </w:tcBorders>
          </w:tcPr>
          <w:p>
            <w:pPr>
              <w:pStyle w:val="TableParagraph"/>
              <w:spacing w:before="69"/>
              <w:ind w:left="64" w:right="0"/>
              <w:jc w:val="left"/>
              <w:rPr>
                <w:rFonts w:ascii="Arial"/>
                <w:sz w:val="20"/>
              </w:rPr>
            </w:pPr>
            <w:r>
              <w:rPr>
                <w:rFonts w:ascii="Arial"/>
                <w:sz w:val="20"/>
              </w:rPr>
              <w:t>Promedio (mg/L)</w:t>
            </w:r>
          </w:p>
        </w:tc>
        <w:tc>
          <w:tcPr>
            <w:tcW w:w="936" w:type="dxa"/>
            <w:tcBorders>
              <w:bottom w:val="nil"/>
              <w:right w:val="nil"/>
            </w:tcBorders>
          </w:tcPr>
          <w:p>
            <w:pPr>
              <w:pStyle w:val="TableParagraph"/>
              <w:spacing w:before="69"/>
              <w:ind w:right="69"/>
              <w:rPr>
                <w:rFonts w:ascii="Arial"/>
                <w:sz w:val="20"/>
              </w:rPr>
            </w:pPr>
            <w:r>
              <w:rPr>
                <w:rFonts w:ascii="Arial"/>
                <w:w w:val="95"/>
                <w:sz w:val="20"/>
              </w:rPr>
              <w:t>6,54</w:t>
            </w:r>
          </w:p>
        </w:tc>
        <w:tc>
          <w:tcPr>
            <w:tcW w:w="991" w:type="dxa"/>
            <w:tcBorders>
              <w:left w:val="nil"/>
              <w:bottom w:val="nil"/>
              <w:right w:val="nil"/>
            </w:tcBorders>
          </w:tcPr>
          <w:p>
            <w:pPr>
              <w:pStyle w:val="TableParagraph"/>
              <w:spacing w:before="69"/>
              <w:ind w:right="69"/>
              <w:rPr>
                <w:rFonts w:ascii="Arial"/>
                <w:sz w:val="20"/>
              </w:rPr>
            </w:pPr>
            <w:r>
              <w:rPr>
                <w:rFonts w:ascii="Arial"/>
                <w:w w:val="95"/>
                <w:sz w:val="20"/>
              </w:rPr>
              <w:t>6,80</w:t>
            </w:r>
          </w:p>
        </w:tc>
        <w:tc>
          <w:tcPr>
            <w:tcW w:w="994" w:type="dxa"/>
            <w:tcBorders>
              <w:left w:val="nil"/>
              <w:bottom w:val="nil"/>
              <w:right w:val="nil"/>
            </w:tcBorders>
          </w:tcPr>
          <w:p>
            <w:pPr>
              <w:pStyle w:val="TableParagraph"/>
              <w:spacing w:before="69"/>
              <w:ind w:right="72"/>
              <w:rPr>
                <w:rFonts w:ascii="Arial"/>
                <w:sz w:val="20"/>
              </w:rPr>
            </w:pPr>
            <w:r>
              <w:rPr>
                <w:rFonts w:ascii="Arial"/>
                <w:w w:val="95"/>
                <w:sz w:val="20"/>
              </w:rPr>
              <w:t>5,35</w:t>
            </w:r>
          </w:p>
        </w:tc>
        <w:tc>
          <w:tcPr>
            <w:tcW w:w="991" w:type="dxa"/>
            <w:tcBorders>
              <w:left w:val="nil"/>
              <w:bottom w:val="nil"/>
              <w:right w:val="nil"/>
            </w:tcBorders>
          </w:tcPr>
          <w:p>
            <w:pPr>
              <w:pStyle w:val="TableParagraph"/>
              <w:spacing w:before="69"/>
              <w:ind w:right="69"/>
              <w:rPr>
                <w:rFonts w:ascii="Arial"/>
                <w:sz w:val="20"/>
              </w:rPr>
            </w:pPr>
            <w:r>
              <w:rPr>
                <w:rFonts w:ascii="Arial"/>
                <w:w w:val="95"/>
                <w:sz w:val="20"/>
              </w:rPr>
              <w:t>4,86</w:t>
            </w:r>
          </w:p>
        </w:tc>
        <w:tc>
          <w:tcPr>
            <w:tcW w:w="994" w:type="dxa"/>
            <w:tcBorders>
              <w:left w:val="nil"/>
              <w:bottom w:val="nil"/>
              <w:right w:val="nil"/>
            </w:tcBorders>
          </w:tcPr>
          <w:p>
            <w:pPr>
              <w:pStyle w:val="TableParagraph"/>
              <w:spacing w:before="69"/>
              <w:ind w:right="72"/>
              <w:rPr>
                <w:rFonts w:ascii="Arial"/>
                <w:sz w:val="20"/>
              </w:rPr>
            </w:pPr>
            <w:r>
              <w:rPr>
                <w:rFonts w:ascii="Arial"/>
                <w:w w:val="95"/>
                <w:sz w:val="20"/>
              </w:rPr>
              <w:t>5,21</w:t>
            </w:r>
          </w:p>
        </w:tc>
        <w:tc>
          <w:tcPr>
            <w:tcW w:w="991" w:type="dxa"/>
            <w:tcBorders>
              <w:left w:val="nil"/>
              <w:bottom w:val="nil"/>
            </w:tcBorders>
          </w:tcPr>
          <w:p>
            <w:pPr>
              <w:pStyle w:val="TableParagraph"/>
              <w:spacing w:before="69"/>
              <w:ind w:right="65"/>
              <w:rPr>
                <w:rFonts w:ascii="Arial"/>
                <w:sz w:val="20"/>
              </w:rPr>
            </w:pPr>
            <w:r>
              <w:rPr>
                <w:rFonts w:ascii="Arial"/>
                <w:w w:val="95"/>
                <w:sz w:val="20"/>
              </w:rPr>
              <w:t>1,39</w:t>
            </w:r>
          </w:p>
        </w:tc>
      </w:tr>
      <w:tr>
        <w:trPr>
          <w:trHeight w:val="300" w:hRule="exact"/>
        </w:trPr>
        <w:tc>
          <w:tcPr>
            <w:tcW w:w="1418" w:type="dxa"/>
            <w:tcBorders>
              <w:top w:val="nil"/>
              <w:bottom w:val="nil"/>
            </w:tcBorders>
          </w:tcPr>
          <w:p>
            <w:pPr/>
          </w:p>
        </w:tc>
        <w:tc>
          <w:tcPr>
            <w:tcW w:w="1702" w:type="dxa"/>
            <w:tcBorders>
              <w:top w:val="nil"/>
              <w:bottom w:val="nil"/>
            </w:tcBorders>
          </w:tcPr>
          <w:p>
            <w:pPr>
              <w:pStyle w:val="TableParagraph"/>
              <w:spacing w:before="29"/>
              <w:ind w:left="64" w:right="126"/>
              <w:jc w:val="left"/>
              <w:rPr>
                <w:rFonts w:ascii="Arial"/>
                <w:sz w:val="20"/>
              </w:rPr>
            </w:pPr>
            <w:r>
              <w:rPr>
                <w:rFonts w:ascii="Arial"/>
                <w:sz w:val="20"/>
              </w:rPr>
              <w:t>DE</w:t>
            </w:r>
            <w:r>
              <w:rPr>
                <w:rFonts w:ascii="Arial"/>
                <w:spacing w:val="51"/>
                <w:sz w:val="20"/>
              </w:rPr>
              <w:t> </w:t>
            </w:r>
            <w:r>
              <w:rPr>
                <w:rFonts w:ascii="Arial"/>
                <w:sz w:val="20"/>
              </w:rPr>
              <w:t>(mg/L)</w:t>
            </w:r>
          </w:p>
        </w:tc>
        <w:tc>
          <w:tcPr>
            <w:tcW w:w="936" w:type="dxa"/>
            <w:tcBorders>
              <w:top w:val="nil"/>
              <w:bottom w:val="nil"/>
              <w:right w:val="nil"/>
            </w:tcBorders>
          </w:tcPr>
          <w:p>
            <w:pPr>
              <w:pStyle w:val="TableParagraph"/>
              <w:spacing w:before="29"/>
              <w:ind w:right="69"/>
              <w:rPr>
                <w:rFonts w:ascii="Arial"/>
                <w:sz w:val="20"/>
              </w:rPr>
            </w:pPr>
            <w:r>
              <w:rPr>
                <w:rFonts w:ascii="Arial"/>
                <w:w w:val="95"/>
                <w:sz w:val="20"/>
              </w:rPr>
              <w:t>0,04</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0,03</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0,08</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0,09</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0,09</w:t>
            </w:r>
          </w:p>
        </w:tc>
        <w:tc>
          <w:tcPr>
            <w:tcW w:w="991" w:type="dxa"/>
            <w:tcBorders>
              <w:top w:val="nil"/>
              <w:left w:val="nil"/>
              <w:bottom w:val="nil"/>
            </w:tcBorders>
          </w:tcPr>
          <w:p>
            <w:pPr>
              <w:pStyle w:val="TableParagraph"/>
              <w:spacing w:before="29"/>
              <w:ind w:right="65"/>
              <w:rPr>
                <w:rFonts w:ascii="Arial"/>
                <w:sz w:val="20"/>
              </w:rPr>
            </w:pPr>
            <w:r>
              <w:rPr>
                <w:rFonts w:ascii="Arial"/>
                <w:w w:val="95"/>
                <w:sz w:val="20"/>
              </w:rPr>
              <w:t>0,12</w:t>
            </w:r>
          </w:p>
        </w:tc>
      </w:tr>
      <w:tr>
        <w:trPr>
          <w:trHeight w:val="342" w:hRule="exact"/>
        </w:trPr>
        <w:tc>
          <w:tcPr>
            <w:tcW w:w="1418" w:type="dxa"/>
            <w:tcBorders>
              <w:top w:val="nil"/>
              <w:bottom w:val="nil"/>
            </w:tcBorders>
          </w:tcPr>
          <w:p>
            <w:pPr>
              <w:pStyle w:val="TableParagraph"/>
              <w:spacing w:before="19"/>
              <w:ind w:left="109" w:right="112"/>
              <w:jc w:val="center"/>
              <w:rPr>
                <w:rFonts w:ascii="Arial"/>
                <w:sz w:val="20"/>
              </w:rPr>
            </w:pPr>
            <w:r>
              <w:rPr>
                <w:rFonts w:ascii="Arial"/>
                <w:sz w:val="20"/>
              </w:rPr>
              <w:t>OD</w:t>
            </w:r>
          </w:p>
        </w:tc>
        <w:tc>
          <w:tcPr>
            <w:tcW w:w="1702" w:type="dxa"/>
            <w:tcBorders>
              <w:top w:val="nil"/>
              <w:bottom w:val="nil"/>
            </w:tcBorders>
          </w:tcPr>
          <w:p>
            <w:pPr>
              <w:pStyle w:val="TableParagraph"/>
              <w:spacing w:before="53"/>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53"/>
              <w:ind w:right="69"/>
              <w:rPr>
                <w:rFonts w:ascii="Arial"/>
                <w:sz w:val="20"/>
              </w:rPr>
            </w:pPr>
            <w:r>
              <w:rPr>
                <w:rFonts w:ascii="Arial"/>
                <w:w w:val="95"/>
                <w:sz w:val="20"/>
              </w:rPr>
              <w:t>0,006</w:t>
            </w:r>
          </w:p>
        </w:tc>
        <w:tc>
          <w:tcPr>
            <w:tcW w:w="991" w:type="dxa"/>
            <w:tcBorders>
              <w:top w:val="nil"/>
              <w:left w:val="nil"/>
              <w:bottom w:val="nil"/>
              <w:right w:val="nil"/>
            </w:tcBorders>
          </w:tcPr>
          <w:p>
            <w:pPr>
              <w:pStyle w:val="TableParagraph"/>
              <w:spacing w:before="53"/>
              <w:ind w:right="69"/>
              <w:rPr>
                <w:rFonts w:ascii="Arial"/>
                <w:sz w:val="20"/>
              </w:rPr>
            </w:pPr>
            <w:r>
              <w:rPr>
                <w:rFonts w:ascii="Arial"/>
                <w:w w:val="95"/>
                <w:sz w:val="20"/>
              </w:rPr>
              <w:t>0,005</w:t>
            </w:r>
          </w:p>
        </w:tc>
        <w:tc>
          <w:tcPr>
            <w:tcW w:w="994" w:type="dxa"/>
            <w:tcBorders>
              <w:top w:val="nil"/>
              <w:left w:val="nil"/>
              <w:bottom w:val="nil"/>
              <w:right w:val="nil"/>
            </w:tcBorders>
          </w:tcPr>
          <w:p>
            <w:pPr>
              <w:pStyle w:val="TableParagraph"/>
              <w:spacing w:before="53"/>
              <w:ind w:right="72"/>
              <w:rPr>
                <w:rFonts w:ascii="Arial"/>
                <w:sz w:val="20"/>
              </w:rPr>
            </w:pPr>
            <w:r>
              <w:rPr>
                <w:rFonts w:ascii="Arial"/>
                <w:w w:val="95"/>
                <w:sz w:val="20"/>
              </w:rPr>
              <w:t>0,016</w:t>
            </w:r>
          </w:p>
        </w:tc>
        <w:tc>
          <w:tcPr>
            <w:tcW w:w="991" w:type="dxa"/>
            <w:tcBorders>
              <w:top w:val="nil"/>
              <w:left w:val="nil"/>
              <w:bottom w:val="nil"/>
              <w:right w:val="nil"/>
            </w:tcBorders>
          </w:tcPr>
          <w:p>
            <w:pPr>
              <w:pStyle w:val="TableParagraph"/>
              <w:spacing w:before="53"/>
              <w:ind w:right="69"/>
              <w:rPr>
                <w:rFonts w:ascii="Arial"/>
                <w:sz w:val="20"/>
              </w:rPr>
            </w:pPr>
            <w:r>
              <w:rPr>
                <w:rFonts w:ascii="Arial"/>
                <w:w w:val="95"/>
                <w:sz w:val="20"/>
              </w:rPr>
              <w:t>0,018</w:t>
            </w:r>
          </w:p>
        </w:tc>
        <w:tc>
          <w:tcPr>
            <w:tcW w:w="994" w:type="dxa"/>
            <w:tcBorders>
              <w:top w:val="nil"/>
              <w:left w:val="nil"/>
              <w:bottom w:val="nil"/>
              <w:right w:val="nil"/>
            </w:tcBorders>
          </w:tcPr>
          <w:p>
            <w:pPr>
              <w:pStyle w:val="TableParagraph"/>
              <w:spacing w:before="53"/>
              <w:ind w:right="72"/>
              <w:rPr>
                <w:rFonts w:ascii="Arial"/>
                <w:sz w:val="20"/>
              </w:rPr>
            </w:pPr>
            <w:r>
              <w:rPr>
                <w:rFonts w:ascii="Arial"/>
                <w:w w:val="95"/>
                <w:sz w:val="20"/>
              </w:rPr>
              <w:t>0,018</w:t>
            </w:r>
          </w:p>
        </w:tc>
        <w:tc>
          <w:tcPr>
            <w:tcW w:w="991" w:type="dxa"/>
            <w:tcBorders>
              <w:top w:val="nil"/>
              <w:left w:val="nil"/>
              <w:bottom w:val="nil"/>
            </w:tcBorders>
          </w:tcPr>
          <w:p>
            <w:pPr>
              <w:pStyle w:val="TableParagraph"/>
              <w:spacing w:before="53"/>
              <w:ind w:right="65"/>
              <w:rPr>
                <w:rFonts w:ascii="Arial"/>
                <w:sz w:val="20"/>
              </w:rPr>
            </w:pPr>
            <w:r>
              <w:rPr>
                <w:rFonts w:ascii="Arial"/>
                <w:w w:val="95"/>
                <w:sz w:val="20"/>
              </w:rPr>
              <w:t>0,086</w:t>
            </w:r>
          </w:p>
        </w:tc>
      </w:tr>
      <w:tr>
        <w:trPr>
          <w:trHeight w:val="374" w:hRule="exact"/>
        </w:trPr>
        <w:tc>
          <w:tcPr>
            <w:tcW w:w="1418" w:type="dxa"/>
            <w:tcBorders>
              <w:top w:val="nil"/>
              <w:bottom w:val="nil"/>
            </w:tcBorders>
          </w:tcPr>
          <w:p>
            <w:pPr/>
          </w:p>
        </w:tc>
        <w:tc>
          <w:tcPr>
            <w:tcW w:w="1702" w:type="dxa"/>
            <w:tcBorders>
              <w:top w:val="nil"/>
              <w:bottom w:val="nil"/>
            </w:tcBorders>
          </w:tcPr>
          <w:p>
            <w:pPr>
              <w:pStyle w:val="TableParagraph"/>
              <w:spacing w:before="150"/>
              <w:ind w:left="64" w:right="126"/>
              <w:jc w:val="left"/>
              <w:rPr>
                <w:rFonts w:ascii="Arial"/>
                <w:sz w:val="20"/>
              </w:rPr>
            </w:pPr>
            <w:r>
              <w:rPr>
                <w:rFonts w:ascii="Arial"/>
                <w:sz w:val="20"/>
              </w:rPr>
              <w:t>IC (95%)</w:t>
            </w:r>
          </w:p>
        </w:tc>
        <w:tc>
          <w:tcPr>
            <w:tcW w:w="936" w:type="dxa"/>
            <w:tcBorders>
              <w:top w:val="nil"/>
              <w:bottom w:val="nil"/>
              <w:right w:val="nil"/>
            </w:tcBorders>
          </w:tcPr>
          <w:p>
            <w:pPr>
              <w:pStyle w:val="TableParagraph"/>
              <w:spacing w:before="37"/>
              <w:ind w:right="69"/>
              <w:rPr>
                <w:rFonts w:ascii="Arial"/>
                <w:sz w:val="20"/>
              </w:rPr>
            </w:pPr>
            <w:r>
              <w:rPr>
                <w:rFonts w:ascii="Arial"/>
                <w:w w:val="95"/>
                <w:sz w:val="20"/>
              </w:rPr>
              <w:t>6,467</w:t>
            </w:r>
          </w:p>
        </w:tc>
        <w:tc>
          <w:tcPr>
            <w:tcW w:w="991" w:type="dxa"/>
            <w:tcBorders>
              <w:top w:val="nil"/>
              <w:left w:val="nil"/>
              <w:bottom w:val="nil"/>
              <w:right w:val="nil"/>
            </w:tcBorders>
          </w:tcPr>
          <w:p>
            <w:pPr>
              <w:pStyle w:val="TableParagraph"/>
              <w:spacing w:before="37"/>
              <w:ind w:right="69"/>
              <w:rPr>
                <w:rFonts w:ascii="Arial"/>
                <w:sz w:val="20"/>
              </w:rPr>
            </w:pPr>
            <w:r>
              <w:rPr>
                <w:rFonts w:ascii="Arial"/>
                <w:w w:val="95"/>
                <w:sz w:val="20"/>
              </w:rPr>
              <w:t>6,733</w:t>
            </w:r>
          </w:p>
        </w:tc>
        <w:tc>
          <w:tcPr>
            <w:tcW w:w="994" w:type="dxa"/>
            <w:tcBorders>
              <w:top w:val="nil"/>
              <w:left w:val="nil"/>
              <w:bottom w:val="nil"/>
              <w:right w:val="nil"/>
            </w:tcBorders>
          </w:tcPr>
          <w:p>
            <w:pPr>
              <w:pStyle w:val="TableParagraph"/>
              <w:spacing w:before="37"/>
              <w:ind w:right="72"/>
              <w:rPr>
                <w:rFonts w:ascii="Arial"/>
                <w:sz w:val="20"/>
              </w:rPr>
            </w:pPr>
            <w:r>
              <w:rPr>
                <w:rFonts w:ascii="Arial"/>
                <w:w w:val="95"/>
                <w:sz w:val="20"/>
              </w:rPr>
              <w:t>5,185</w:t>
            </w:r>
          </w:p>
        </w:tc>
        <w:tc>
          <w:tcPr>
            <w:tcW w:w="991" w:type="dxa"/>
            <w:tcBorders>
              <w:top w:val="nil"/>
              <w:left w:val="nil"/>
              <w:bottom w:val="nil"/>
              <w:right w:val="nil"/>
            </w:tcBorders>
          </w:tcPr>
          <w:p>
            <w:pPr>
              <w:pStyle w:val="TableParagraph"/>
              <w:spacing w:before="37"/>
              <w:ind w:right="69"/>
              <w:rPr>
                <w:rFonts w:ascii="Arial"/>
                <w:sz w:val="20"/>
              </w:rPr>
            </w:pPr>
            <w:r>
              <w:rPr>
                <w:rFonts w:ascii="Arial"/>
                <w:w w:val="95"/>
                <w:sz w:val="20"/>
              </w:rPr>
              <w:t>4,696</w:t>
            </w:r>
          </w:p>
        </w:tc>
        <w:tc>
          <w:tcPr>
            <w:tcW w:w="994" w:type="dxa"/>
            <w:tcBorders>
              <w:top w:val="nil"/>
              <w:left w:val="nil"/>
              <w:bottom w:val="nil"/>
              <w:right w:val="nil"/>
            </w:tcBorders>
          </w:tcPr>
          <w:p>
            <w:pPr>
              <w:pStyle w:val="TableParagraph"/>
              <w:spacing w:before="37"/>
              <w:ind w:right="72"/>
              <w:rPr>
                <w:rFonts w:ascii="Arial"/>
                <w:sz w:val="20"/>
              </w:rPr>
            </w:pPr>
            <w:r>
              <w:rPr>
                <w:rFonts w:ascii="Arial"/>
                <w:w w:val="95"/>
                <w:sz w:val="20"/>
              </w:rPr>
              <w:t>5,030</w:t>
            </w:r>
          </w:p>
        </w:tc>
        <w:tc>
          <w:tcPr>
            <w:tcW w:w="991" w:type="dxa"/>
            <w:tcBorders>
              <w:top w:val="nil"/>
              <w:left w:val="nil"/>
              <w:bottom w:val="nil"/>
            </w:tcBorders>
          </w:tcPr>
          <w:p>
            <w:pPr>
              <w:pStyle w:val="TableParagraph"/>
              <w:spacing w:before="37"/>
              <w:ind w:right="65"/>
              <w:rPr>
                <w:rFonts w:ascii="Arial"/>
                <w:sz w:val="20"/>
              </w:rPr>
            </w:pPr>
            <w:r>
              <w:rPr>
                <w:rFonts w:ascii="Arial"/>
                <w:w w:val="95"/>
                <w:sz w:val="20"/>
              </w:rPr>
              <w:t>1,158</w:t>
            </w:r>
          </w:p>
        </w:tc>
      </w:tr>
      <w:tr>
        <w:trPr>
          <w:trHeight w:val="211" w:hRule="exact"/>
        </w:trPr>
        <w:tc>
          <w:tcPr>
            <w:tcW w:w="1418" w:type="dxa"/>
            <w:tcBorders>
              <w:top w:val="nil"/>
            </w:tcBorders>
          </w:tcPr>
          <w:p>
            <w:pPr/>
          </w:p>
        </w:tc>
        <w:tc>
          <w:tcPr>
            <w:tcW w:w="1702" w:type="dxa"/>
            <w:tcBorders>
              <w:top w:val="nil"/>
            </w:tcBorders>
          </w:tcPr>
          <w:p>
            <w:pPr/>
          </w:p>
        </w:tc>
        <w:tc>
          <w:tcPr>
            <w:tcW w:w="936" w:type="dxa"/>
            <w:tcBorders>
              <w:top w:val="nil"/>
              <w:right w:val="nil"/>
            </w:tcBorders>
          </w:tcPr>
          <w:p>
            <w:pPr>
              <w:pStyle w:val="TableParagraph"/>
              <w:spacing w:line="203" w:lineRule="exact" w:before="0"/>
              <w:ind w:right="69"/>
              <w:rPr>
                <w:rFonts w:ascii="Arial"/>
                <w:sz w:val="20"/>
              </w:rPr>
            </w:pPr>
            <w:r>
              <w:rPr>
                <w:rFonts w:ascii="Arial"/>
                <w:w w:val="95"/>
                <w:sz w:val="20"/>
              </w:rPr>
              <w:t>6,610</w:t>
            </w:r>
          </w:p>
        </w:tc>
        <w:tc>
          <w:tcPr>
            <w:tcW w:w="991" w:type="dxa"/>
            <w:tcBorders>
              <w:top w:val="nil"/>
              <w:left w:val="nil"/>
              <w:right w:val="nil"/>
            </w:tcBorders>
          </w:tcPr>
          <w:p>
            <w:pPr>
              <w:pStyle w:val="TableParagraph"/>
              <w:spacing w:line="203" w:lineRule="exact" w:before="0"/>
              <w:ind w:right="69"/>
              <w:rPr>
                <w:rFonts w:ascii="Arial"/>
                <w:sz w:val="20"/>
              </w:rPr>
            </w:pPr>
            <w:r>
              <w:rPr>
                <w:rFonts w:ascii="Arial"/>
                <w:w w:val="95"/>
                <w:sz w:val="20"/>
              </w:rPr>
              <w:t>6,859</w:t>
            </w:r>
          </w:p>
        </w:tc>
        <w:tc>
          <w:tcPr>
            <w:tcW w:w="994" w:type="dxa"/>
            <w:tcBorders>
              <w:top w:val="nil"/>
              <w:left w:val="nil"/>
              <w:right w:val="nil"/>
            </w:tcBorders>
          </w:tcPr>
          <w:p>
            <w:pPr>
              <w:pStyle w:val="TableParagraph"/>
              <w:spacing w:line="203" w:lineRule="exact" w:before="0"/>
              <w:ind w:right="72"/>
              <w:rPr>
                <w:rFonts w:ascii="Arial"/>
                <w:sz w:val="20"/>
              </w:rPr>
            </w:pPr>
            <w:r>
              <w:rPr>
                <w:rFonts w:ascii="Arial"/>
                <w:w w:val="95"/>
                <w:sz w:val="20"/>
              </w:rPr>
              <w:t>5,511</w:t>
            </w:r>
          </w:p>
        </w:tc>
        <w:tc>
          <w:tcPr>
            <w:tcW w:w="991" w:type="dxa"/>
            <w:tcBorders>
              <w:top w:val="nil"/>
              <w:left w:val="nil"/>
              <w:right w:val="nil"/>
            </w:tcBorders>
          </w:tcPr>
          <w:p>
            <w:pPr>
              <w:pStyle w:val="TableParagraph"/>
              <w:spacing w:line="203" w:lineRule="exact" w:before="0"/>
              <w:ind w:right="69"/>
              <w:rPr>
                <w:rFonts w:ascii="Arial"/>
                <w:sz w:val="20"/>
              </w:rPr>
            </w:pPr>
            <w:r>
              <w:rPr>
                <w:rFonts w:ascii="Arial"/>
                <w:w w:val="95"/>
                <w:sz w:val="20"/>
              </w:rPr>
              <w:t>5,034</w:t>
            </w:r>
          </w:p>
        </w:tc>
        <w:tc>
          <w:tcPr>
            <w:tcW w:w="994" w:type="dxa"/>
            <w:tcBorders>
              <w:top w:val="nil"/>
              <w:left w:val="nil"/>
              <w:right w:val="nil"/>
            </w:tcBorders>
          </w:tcPr>
          <w:p>
            <w:pPr>
              <w:pStyle w:val="TableParagraph"/>
              <w:spacing w:line="203" w:lineRule="exact" w:before="0"/>
              <w:ind w:right="72"/>
              <w:rPr>
                <w:rFonts w:ascii="Arial"/>
                <w:sz w:val="20"/>
              </w:rPr>
            </w:pPr>
            <w:r>
              <w:rPr>
                <w:rFonts w:ascii="Arial"/>
                <w:w w:val="95"/>
                <w:sz w:val="20"/>
              </w:rPr>
              <w:t>5,396</w:t>
            </w:r>
          </w:p>
        </w:tc>
        <w:tc>
          <w:tcPr>
            <w:tcW w:w="991" w:type="dxa"/>
            <w:tcBorders>
              <w:top w:val="nil"/>
              <w:left w:val="nil"/>
            </w:tcBorders>
          </w:tcPr>
          <w:p>
            <w:pPr>
              <w:pStyle w:val="TableParagraph"/>
              <w:spacing w:line="203" w:lineRule="exact" w:before="0"/>
              <w:ind w:right="65"/>
              <w:rPr>
                <w:rFonts w:ascii="Arial"/>
                <w:sz w:val="20"/>
              </w:rPr>
            </w:pPr>
            <w:r>
              <w:rPr>
                <w:rFonts w:ascii="Arial"/>
                <w:w w:val="95"/>
                <w:sz w:val="20"/>
              </w:rPr>
              <w:t>1,630</w:t>
            </w:r>
          </w:p>
        </w:tc>
      </w:tr>
    </w:tbl>
    <w:p>
      <w:pPr>
        <w:spacing w:after="0" w:line="203" w:lineRule="exact"/>
        <w:rPr>
          <w:rFonts w:ascii="Arial"/>
          <w:sz w:val="20"/>
        </w:rPr>
        <w:sectPr>
          <w:pgSz w:w="12240" w:h="15840"/>
          <w:pgMar w:header="725" w:footer="1084" w:top="1340" w:bottom="1280" w:left="920" w:right="1200"/>
        </w:sectPr>
      </w:pPr>
    </w:p>
    <w:p>
      <w:pPr>
        <w:pStyle w:val="BodyText"/>
        <w:spacing w:before="4"/>
        <w:rPr>
          <w:rFonts w:ascii="Times New Roman"/>
          <w:sz w:val="15"/>
        </w:rPr>
      </w:pPr>
      <w:r>
        <w:rPr/>
        <w:pict>
          <v:group style="position:absolute;margin-left:155.519989pt;margin-top:125.519997pt;width:380.2pt;height:.5pt;mso-position-horizontal-relative:page;mso-position-vertical-relative:page;z-index:-1522240" coordorigin="3110,2510" coordsize="7604,10">
            <v:shape style="position:absolute;left:3110;top:2510;width:1706;height:10" type="#_x0000_t75" stroked="false">
              <v:imagedata r:id="rId128" o:title=""/>
            </v:shape>
            <v:shape style="position:absolute;left:4812;top:2510;width:5902;height:10" type="#_x0000_t75" stroked="false">
              <v:imagedata r:id="rId129" o:title=""/>
            </v:shape>
            <w10:wrap type="none"/>
          </v:group>
        </w:pict>
      </w:r>
      <w:r>
        <w:rPr/>
        <w:pict>
          <v:group style="position:absolute;margin-left:155.519989pt;margin-top:141pt;width:380.2pt;height:.5pt;mso-position-horizontal-relative:page;mso-position-vertical-relative:page;z-index:-1522216" coordorigin="3110,2820" coordsize="7604,10">
            <v:shape style="position:absolute;left:3110;top:2820;width:1706;height:10" type="#_x0000_t75" stroked="false">
              <v:imagedata r:id="rId128" o:title=""/>
            </v:shape>
            <v:shape style="position:absolute;left:4812;top:2820;width:5902;height:10" type="#_x0000_t75" stroked="false">
              <v:imagedata r:id="rId129" o:title=""/>
            </v:shape>
            <w10:wrap type="none"/>
          </v:group>
        </w:pict>
      </w:r>
      <w:r>
        <w:rPr/>
        <w:pict>
          <v:group style="position:absolute;margin-left:155.519989pt;margin-top:157.320007pt;width:380.2pt;height:.5pt;mso-position-horizontal-relative:page;mso-position-vertical-relative:page;z-index:-1522192" coordorigin="3110,3146" coordsize="7604,10">
            <v:shape style="position:absolute;left:3110;top:3146;width:1706;height:10" type="#_x0000_t75" stroked="false">
              <v:imagedata r:id="rId128" o:title=""/>
            </v:shape>
            <v:shape style="position:absolute;left:4812;top:3146;width:5902;height:10" type="#_x0000_t75" stroked="false">
              <v:imagedata r:id="rId129" o:title=""/>
            </v:shape>
            <w10:wrap type="none"/>
          </v:group>
        </w:pict>
      </w:r>
      <w:r>
        <w:rPr/>
        <w:drawing>
          <wp:anchor distT="0" distB="0" distL="0" distR="0" allowOverlap="1" layoutInCell="1" locked="0" behindDoc="0" simplePos="0" relativeHeight="9640">
            <wp:simplePos x="0" y="0"/>
            <wp:positionH relativeFrom="page">
              <wp:posOffset>3055619</wp:posOffset>
            </wp:positionH>
            <wp:positionV relativeFrom="page">
              <wp:posOffset>2194560</wp:posOffset>
            </wp:positionV>
            <wp:extent cx="3747408" cy="6096"/>
            <wp:effectExtent l="0" t="0" r="0" b="0"/>
            <wp:wrapNone/>
            <wp:docPr id="99" name="image119.png" descr=""/>
            <wp:cNvGraphicFramePr>
              <a:graphicFrameLocks noChangeAspect="1"/>
            </wp:cNvGraphicFramePr>
            <a:graphic>
              <a:graphicData uri="http://schemas.openxmlformats.org/drawingml/2006/picture">
                <pic:pic>
                  <pic:nvPicPr>
                    <pic:cNvPr id="100" name="image119.png"/>
                    <pic:cNvPicPr/>
                  </pic:nvPicPr>
                  <pic:blipFill>
                    <a:blip r:embed="rId129" cstate="print"/>
                    <a:stretch>
                      <a:fillRect/>
                    </a:stretch>
                  </pic:blipFill>
                  <pic:spPr>
                    <a:xfrm>
                      <a:off x="0" y="0"/>
                      <a:ext cx="3747408" cy="6096"/>
                    </a:xfrm>
                    <a:prstGeom prst="rect">
                      <a:avLst/>
                    </a:prstGeom>
                  </pic:spPr>
                </pic:pic>
              </a:graphicData>
            </a:graphic>
          </wp:anchor>
        </w:drawing>
      </w:r>
      <w:r>
        <w:rPr/>
        <w:pict>
          <v:group style="position:absolute;margin-left:155.519989pt;margin-top:204.600006pt;width:380.2pt;height:.5pt;mso-position-horizontal-relative:page;mso-position-vertical-relative:page;z-index:-1522144" coordorigin="3110,4092" coordsize="7604,10">
            <v:shape style="position:absolute;left:3110;top:4092;width:1706;height:10" type="#_x0000_t75" stroked="false">
              <v:imagedata r:id="rId128" o:title=""/>
            </v:shape>
            <v:shape style="position:absolute;left:4812;top:4092;width:5902;height:10" type="#_x0000_t75" stroked="false">
              <v:imagedata r:id="rId129" o:title=""/>
            </v:shape>
            <w10:wrap type="none"/>
          </v:group>
        </w:pict>
      </w:r>
      <w:r>
        <w:rPr/>
        <w:pict>
          <v:group style="position:absolute;margin-left:155.519989pt;margin-top:220.800003pt;width:380.2pt;height:.5pt;mso-position-horizontal-relative:page;mso-position-vertical-relative:page;z-index:-1522120" coordorigin="3110,4416" coordsize="7604,10">
            <v:shape style="position:absolute;left:3110;top:4416;width:1706;height:10" type="#_x0000_t75" stroked="false">
              <v:imagedata r:id="rId128" o:title=""/>
            </v:shape>
            <v:shape style="position:absolute;left:4812;top:4416;width:5902;height:10" type="#_x0000_t75" stroked="false">
              <v:imagedata r:id="rId129" o:title=""/>
            </v:shape>
            <w10:wrap type="none"/>
          </v:group>
        </w:pict>
      </w:r>
      <w:r>
        <w:rPr/>
        <w:pict>
          <v:group style="position:absolute;margin-left:155.519989pt;margin-top:236.279999pt;width:380.2pt;height:.5pt;mso-position-horizontal-relative:page;mso-position-vertical-relative:page;z-index:-1522096" coordorigin="3110,4726" coordsize="7604,10">
            <v:shape style="position:absolute;left:3110;top:4726;width:1706;height:10" type="#_x0000_t75" stroked="false">
              <v:imagedata r:id="rId128" o:title=""/>
            </v:shape>
            <v:shape style="position:absolute;left:4812;top:4726;width:5902;height:10" type="#_x0000_t75" stroked="false">
              <v:imagedata r:id="rId129" o:title=""/>
            </v:shape>
            <w10:wrap type="none"/>
          </v:group>
        </w:pict>
      </w:r>
      <w:r>
        <w:rPr/>
        <w:drawing>
          <wp:anchor distT="0" distB="0" distL="0" distR="0" allowOverlap="1" layoutInCell="1" locked="0" behindDoc="0" simplePos="0" relativeHeight="9736">
            <wp:simplePos x="0" y="0"/>
            <wp:positionH relativeFrom="page">
              <wp:posOffset>3055619</wp:posOffset>
            </wp:positionH>
            <wp:positionV relativeFrom="page">
              <wp:posOffset>3208020</wp:posOffset>
            </wp:positionV>
            <wp:extent cx="3747422" cy="6096"/>
            <wp:effectExtent l="0" t="0" r="0" b="0"/>
            <wp:wrapNone/>
            <wp:docPr id="101" name="image119.png" descr=""/>
            <wp:cNvGraphicFramePr>
              <a:graphicFrameLocks noChangeAspect="1"/>
            </wp:cNvGraphicFramePr>
            <a:graphic>
              <a:graphicData uri="http://schemas.openxmlformats.org/drawingml/2006/picture">
                <pic:pic>
                  <pic:nvPicPr>
                    <pic:cNvPr id="102" name="image119.png"/>
                    <pic:cNvPicPr/>
                  </pic:nvPicPr>
                  <pic:blipFill>
                    <a:blip r:embed="rId129" cstate="print"/>
                    <a:stretch>
                      <a:fillRect/>
                    </a:stretch>
                  </pic:blipFill>
                  <pic:spPr>
                    <a:xfrm>
                      <a:off x="0" y="0"/>
                      <a:ext cx="3747422" cy="6096"/>
                    </a:xfrm>
                    <a:prstGeom prst="rect">
                      <a:avLst/>
                    </a:prstGeom>
                  </pic:spPr>
                </pic:pic>
              </a:graphicData>
            </a:graphic>
          </wp:anchor>
        </w:drawing>
      </w:r>
    </w:p>
    <w:tbl>
      <w:tblPr>
        <w:tblW w:w="0" w:type="auto"/>
        <w:jc w:val="left"/>
        <w:tblInd w:w="7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702"/>
        <w:gridCol w:w="936"/>
        <w:gridCol w:w="991"/>
        <w:gridCol w:w="994"/>
        <w:gridCol w:w="991"/>
        <w:gridCol w:w="994"/>
        <w:gridCol w:w="991"/>
      </w:tblGrid>
      <w:tr>
        <w:trPr>
          <w:trHeight w:val="324" w:hRule="exact"/>
        </w:trPr>
        <w:tc>
          <w:tcPr>
            <w:tcW w:w="3120" w:type="dxa"/>
            <w:gridSpan w:val="2"/>
            <w:vMerge w:val="restart"/>
            <w:shd w:val="clear" w:color="auto" w:fill="E4B8B7"/>
          </w:tcPr>
          <w:p>
            <w:pPr>
              <w:pStyle w:val="TableParagraph"/>
              <w:spacing w:before="5"/>
              <w:ind w:right="0"/>
              <w:jc w:val="left"/>
              <w:rPr>
                <w:rFonts w:ascii="Times New Roman"/>
                <w:sz w:val="17"/>
              </w:rPr>
            </w:pPr>
          </w:p>
          <w:p>
            <w:pPr>
              <w:pStyle w:val="TableParagraph"/>
              <w:spacing w:before="0"/>
              <w:ind w:left="1037" w:right="1043"/>
              <w:jc w:val="center"/>
              <w:rPr>
                <w:rFonts w:ascii="Arial" w:hAnsi="Arial"/>
                <w:b/>
                <w:sz w:val="20"/>
              </w:rPr>
            </w:pPr>
            <w:r>
              <w:rPr>
                <w:rFonts w:ascii="Arial" w:hAnsi="Arial"/>
                <w:b/>
                <w:sz w:val="20"/>
              </w:rPr>
              <w:t>Parámetro</w:t>
            </w:r>
          </w:p>
        </w:tc>
        <w:tc>
          <w:tcPr>
            <w:tcW w:w="5897" w:type="dxa"/>
            <w:gridSpan w:val="6"/>
            <w:shd w:val="clear" w:color="auto" w:fill="E4B8B7"/>
          </w:tcPr>
          <w:p>
            <w:pPr>
              <w:pStyle w:val="TableParagraph"/>
              <w:spacing w:before="81"/>
              <w:ind w:left="1961" w:right="1962"/>
              <w:jc w:val="center"/>
              <w:rPr>
                <w:rFonts w:ascii="Arial"/>
                <w:b/>
                <w:sz w:val="20"/>
              </w:rPr>
            </w:pPr>
            <w:r>
              <w:rPr>
                <w:rFonts w:ascii="Arial"/>
                <w:b/>
                <w:sz w:val="20"/>
              </w:rPr>
              <w:t>Puntos de muestreo</w:t>
            </w:r>
          </w:p>
        </w:tc>
      </w:tr>
      <w:tr>
        <w:trPr>
          <w:trHeight w:val="326" w:hRule="exact"/>
        </w:trPr>
        <w:tc>
          <w:tcPr>
            <w:tcW w:w="3120" w:type="dxa"/>
            <w:gridSpan w:val="2"/>
            <w:vMerge/>
            <w:shd w:val="clear" w:color="auto" w:fill="E4B8B7"/>
          </w:tcPr>
          <w:p>
            <w:pPr/>
          </w:p>
        </w:tc>
        <w:tc>
          <w:tcPr>
            <w:tcW w:w="936" w:type="dxa"/>
            <w:shd w:val="clear" w:color="auto" w:fill="E4B8B7"/>
          </w:tcPr>
          <w:p>
            <w:pPr>
              <w:pStyle w:val="TableParagraph"/>
              <w:spacing w:before="81"/>
              <w:ind w:right="0"/>
              <w:jc w:val="center"/>
              <w:rPr>
                <w:rFonts w:ascii="Arial"/>
                <w:b/>
                <w:sz w:val="20"/>
              </w:rPr>
            </w:pPr>
            <w:r>
              <w:rPr>
                <w:rFonts w:ascii="Arial"/>
                <w:b/>
                <w:w w:val="99"/>
                <w:sz w:val="20"/>
              </w:rPr>
              <w:t>A</w:t>
            </w:r>
          </w:p>
        </w:tc>
        <w:tc>
          <w:tcPr>
            <w:tcW w:w="991" w:type="dxa"/>
            <w:shd w:val="clear" w:color="auto" w:fill="E4B8B7"/>
          </w:tcPr>
          <w:p>
            <w:pPr>
              <w:pStyle w:val="TableParagraph"/>
              <w:spacing w:before="81"/>
              <w:ind w:right="0"/>
              <w:jc w:val="center"/>
              <w:rPr>
                <w:rFonts w:ascii="Arial"/>
                <w:b/>
                <w:sz w:val="20"/>
              </w:rPr>
            </w:pPr>
            <w:r>
              <w:rPr>
                <w:rFonts w:ascii="Arial"/>
                <w:b/>
                <w:w w:val="99"/>
                <w:sz w:val="20"/>
              </w:rPr>
              <w:t>B</w:t>
            </w:r>
          </w:p>
        </w:tc>
        <w:tc>
          <w:tcPr>
            <w:tcW w:w="994" w:type="dxa"/>
            <w:shd w:val="clear" w:color="auto" w:fill="E4B8B7"/>
          </w:tcPr>
          <w:p>
            <w:pPr>
              <w:pStyle w:val="TableParagraph"/>
              <w:spacing w:before="81"/>
              <w:ind w:right="3"/>
              <w:jc w:val="center"/>
              <w:rPr>
                <w:rFonts w:ascii="Arial"/>
                <w:b/>
                <w:sz w:val="20"/>
              </w:rPr>
            </w:pPr>
            <w:r>
              <w:rPr>
                <w:rFonts w:ascii="Arial"/>
                <w:b/>
                <w:w w:val="99"/>
                <w:sz w:val="20"/>
              </w:rPr>
              <w:t>C</w:t>
            </w:r>
          </w:p>
        </w:tc>
        <w:tc>
          <w:tcPr>
            <w:tcW w:w="991" w:type="dxa"/>
            <w:shd w:val="clear" w:color="auto" w:fill="E4B8B7"/>
          </w:tcPr>
          <w:p>
            <w:pPr>
              <w:pStyle w:val="TableParagraph"/>
              <w:spacing w:before="81"/>
              <w:ind w:right="0"/>
              <w:jc w:val="center"/>
              <w:rPr>
                <w:rFonts w:ascii="Arial"/>
                <w:b/>
                <w:sz w:val="20"/>
              </w:rPr>
            </w:pPr>
            <w:r>
              <w:rPr>
                <w:rFonts w:ascii="Arial"/>
                <w:b/>
                <w:w w:val="99"/>
                <w:sz w:val="20"/>
              </w:rPr>
              <w:t>D</w:t>
            </w:r>
          </w:p>
        </w:tc>
        <w:tc>
          <w:tcPr>
            <w:tcW w:w="994" w:type="dxa"/>
            <w:shd w:val="clear" w:color="auto" w:fill="E4B8B7"/>
          </w:tcPr>
          <w:p>
            <w:pPr>
              <w:pStyle w:val="TableParagraph"/>
              <w:spacing w:before="81"/>
              <w:ind w:right="4"/>
              <w:jc w:val="center"/>
              <w:rPr>
                <w:rFonts w:ascii="Arial"/>
                <w:b/>
                <w:sz w:val="20"/>
              </w:rPr>
            </w:pPr>
            <w:r>
              <w:rPr>
                <w:rFonts w:ascii="Arial"/>
                <w:b/>
                <w:w w:val="99"/>
                <w:sz w:val="20"/>
              </w:rPr>
              <w:t>E</w:t>
            </w:r>
          </w:p>
        </w:tc>
        <w:tc>
          <w:tcPr>
            <w:tcW w:w="991" w:type="dxa"/>
            <w:shd w:val="clear" w:color="auto" w:fill="E4B8B7"/>
          </w:tcPr>
          <w:p>
            <w:pPr>
              <w:pStyle w:val="TableParagraph"/>
              <w:spacing w:before="81"/>
              <w:ind w:right="1"/>
              <w:jc w:val="center"/>
              <w:rPr>
                <w:rFonts w:ascii="Arial"/>
                <w:b/>
                <w:sz w:val="20"/>
              </w:rPr>
            </w:pPr>
            <w:r>
              <w:rPr>
                <w:rFonts w:ascii="Arial"/>
                <w:b/>
                <w:w w:val="99"/>
                <w:sz w:val="20"/>
              </w:rPr>
              <w:t>G</w:t>
            </w:r>
          </w:p>
        </w:tc>
      </w:tr>
      <w:tr>
        <w:trPr>
          <w:trHeight w:val="368" w:hRule="exact"/>
        </w:trPr>
        <w:tc>
          <w:tcPr>
            <w:tcW w:w="1418" w:type="dxa"/>
            <w:tcBorders>
              <w:bottom w:val="nil"/>
            </w:tcBorders>
          </w:tcPr>
          <w:p>
            <w:pPr/>
          </w:p>
        </w:tc>
        <w:tc>
          <w:tcPr>
            <w:tcW w:w="1702" w:type="dxa"/>
            <w:tcBorders>
              <w:bottom w:val="nil"/>
            </w:tcBorders>
          </w:tcPr>
          <w:p>
            <w:pPr>
              <w:pStyle w:val="TableParagraph"/>
              <w:spacing w:before="81"/>
              <w:ind w:left="64" w:right="126"/>
              <w:jc w:val="left"/>
              <w:rPr>
                <w:rFonts w:ascii="Arial"/>
                <w:sz w:val="20"/>
              </w:rPr>
            </w:pPr>
            <w:r>
              <w:rPr>
                <w:rFonts w:ascii="Arial"/>
                <w:sz w:val="20"/>
              </w:rPr>
              <w:t>Promedio</w:t>
            </w:r>
          </w:p>
        </w:tc>
        <w:tc>
          <w:tcPr>
            <w:tcW w:w="936" w:type="dxa"/>
            <w:tcBorders>
              <w:bottom w:val="nil"/>
              <w:right w:val="nil"/>
            </w:tcBorders>
          </w:tcPr>
          <w:p>
            <w:pPr>
              <w:pStyle w:val="TableParagraph"/>
              <w:spacing w:before="81"/>
              <w:ind w:right="69"/>
              <w:rPr>
                <w:rFonts w:ascii="Arial"/>
                <w:sz w:val="20"/>
              </w:rPr>
            </w:pPr>
            <w:r>
              <w:rPr>
                <w:rFonts w:ascii="Arial"/>
                <w:w w:val="95"/>
                <w:sz w:val="20"/>
              </w:rPr>
              <w:t>6,98</w:t>
            </w:r>
          </w:p>
        </w:tc>
        <w:tc>
          <w:tcPr>
            <w:tcW w:w="991" w:type="dxa"/>
            <w:tcBorders>
              <w:left w:val="nil"/>
              <w:bottom w:val="nil"/>
              <w:right w:val="nil"/>
            </w:tcBorders>
          </w:tcPr>
          <w:p>
            <w:pPr>
              <w:pStyle w:val="TableParagraph"/>
              <w:spacing w:before="81"/>
              <w:ind w:right="69"/>
              <w:rPr>
                <w:rFonts w:ascii="Arial"/>
                <w:sz w:val="20"/>
              </w:rPr>
            </w:pPr>
            <w:r>
              <w:rPr>
                <w:rFonts w:ascii="Arial"/>
                <w:w w:val="95"/>
                <w:sz w:val="20"/>
              </w:rPr>
              <w:t>7,13</w:t>
            </w:r>
          </w:p>
        </w:tc>
        <w:tc>
          <w:tcPr>
            <w:tcW w:w="994" w:type="dxa"/>
            <w:tcBorders>
              <w:left w:val="nil"/>
              <w:bottom w:val="nil"/>
              <w:right w:val="nil"/>
            </w:tcBorders>
          </w:tcPr>
          <w:p>
            <w:pPr>
              <w:pStyle w:val="TableParagraph"/>
              <w:spacing w:before="81"/>
              <w:ind w:right="72"/>
              <w:rPr>
                <w:rFonts w:ascii="Arial"/>
                <w:sz w:val="20"/>
              </w:rPr>
            </w:pPr>
            <w:r>
              <w:rPr>
                <w:rFonts w:ascii="Arial"/>
                <w:w w:val="95"/>
                <w:sz w:val="20"/>
              </w:rPr>
              <w:t>6,99</w:t>
            </w:r>
          </w:p>
        </w:tc>
        <w:tc>
          <w:tcPr>
            <w:tcW w:w="991" w:type="dxa"/>
            <w:tcBorders>
              <w:left w:val="nil"/>
              <w:bottom w:val="nil"/>
              <w:right w:val="nil"/>
            </w:tcBorders>
          </w:tcPr>
          <w:p>
            <w:pPr>
              <w:pStyle w:val="TableParagraph"/>
              <w:spacing w:before="81"/>
              <w:ind w:right="69"/>
              <w:rPr>
                <w:rFonts w:ascii="Arial"/>
                <w:sz w:val="20"/>
              </w:rPr>
            </w:pPr>
            <w:r>
              <w:rPr>
                <w:rFonts w:ascii="Arial"/>
                <w:w w:val="95"/>
                <w:sz w:val="20"/>
              </w:rPr>
              <w:t>6,95</w:t>
            </w:r>
          </w:p>
        </w:tc>
        <w:tc>
          <w:tcPr>
            <w:tcW w:w="994" w:type="dxa"/>
            <w:tcBorders>
              <w:left w:val="nil"/>
              <w:bottom w:val="nil"/>
              <w:right w:val="nil"/>
            </w:tcBorders>
          </w:tcPr>
          <w:p>
            <w:pPr>
              <w:pStyle w:val="TableParagraph"/>
              <w:spacing w:before="81"/>
              <w:ind w:right="72"/>
              <w:rPr>
                <w:rFonts w:ascii="Arial"/>
                <w:sz w:val="20"/>
              </w:rPr>
            </w:pPr>
            <w:r>
              <w:rPr>
                <w:rFonts w:ascii="Arial"/>
                <w:w w:val="95"/>
                <w:sz w:val="20"/>
              </w:rPr>
              <w:t>6,98</w:t>
            </w:r>
          </w:p>
        </w:tc>
        <w:tc>
          <w:tcPr>
            <w:tcW w:w="991" w:type="dxa"/>
            <w:tcBorders>
              <w:left w:val="nil"/>
              <w:bottom w:val="nil"/>
            </w:tcBorders>
          </w:tcPr>
          <w:p>
            <w:pPr>
              <w:pStyle w:val="TableParagraph"/>
              <w:spacing w:before="81"/>
              <w:ind w:right="65"/>
              <w:rPr>
                <w:rFonts w:ascii="Arial"/>
                <w:sz w:val="20"/>
              </w:rPr>
            </w:pPr>
            <w:r>
              <w:rPr>
                <w:rFonts w:ascii="Arial"/>
                <w:w w:val="95"/>
                <w:sz w:val="20"/>
              </w:rPr>
              <w:t>6,88</w:t>
            </w:r>
          </w:p>
        </w:tc>
      </w:tr>
      <w:tr>
        <w:trPr>
          <w:trHeight w:val="296" w:hRule="exact"/>
        </w:trPr>
        <w:tc>
          <w:tcPr>
            <w:tcW w:w="1418" w:type="dxa"/>
            <w:tcBorders>
              <w:top w:val="nil"/>
              <w:bottom w:val="nil"/>
            </w:tcBorders>
          </w:tcPr>
          <w:p>
            <w:pPr/>
          </w:p>
        </w:tc>
        <w:tc>
          <w:tcPr>
            <w:tcW w:w="1702" w:type="dxa"/>
            <w:tcBorders>
              <w:top w:val="nil"/>
              <w:bottom w:val="nil"/>
            </w:tcBorders>
          </w:tcPr>
          <w:p>
            <w:pPr>
              <w:pStyle w:val="TableParagraph"/>
              <w:spacing w:before="30"/>
              <w:ind w:left="64" w:right="126"/>
              <w:jc w:val="left"/>
              <w:rPr>
                <w:rFonts w:ascii="Arial"/>
                <w:sz w:val="20"/>
              </w:rPr>
            </w:pPr>
            <w:r>
              <w:rPr>
                <w:rFonts w:ascii="Arial"/>
                <w:sz w:val="20"/>
              </w:rPr>
              <w:t>DE</w:t>
            </w:r>
          </w:p>
        </w:tc>
        <w:tc>
          <w:tcPr>
            <w:tcW w:w="936" w:type="dxa"/>
            <w:tcBorders>
              <w:top w:val="nil"/>
              <w:bottom w:val="nil"/>
              <w:right w:val="nil"/>
            </w:tcBorders>
          </w:tcPr>
          <w:p>
            <w:pPr>
              <w:pStyle w:val="TableParagraph"/>
              <w:spacing w:before="30"/>
              <w:ind w:right="69"/>
              <w:rPr>
                <w:rFonts w:ascii="Arial"/>
                <w:sz w:val="20"/>
              </w:rPr>
            </w:pPr>
            <w:r>
              <w:rPr>
                <w:rFonts w:ascii="Arial"/>
                <w:w w:val="95"/>
                <w:sz w:val="20"/>
              </w:rPr>
              <w:t>0,08</w:t>
            </w:r>
          </w:p>
        </w:tc>
        <w:tc>
          <w:tcPr>
            <w:tcW w:w="991" w:type="dxa"/>
            <w:tcBorders>
              <w:top w:val="nil"/>
              <w:left w:val="nil"/>
              <w:bottom w:val="nil"/>
              <w:right w:val="nil"/>
            </w:tcBorders>
          </w:tcPr>
          <w:p>
            <w:pPr>
              <w:pStyle w:val="TableParagraph"/>
              <w:spacing w:before="30"/>
              <w:ind w:right="69"/>
              <w:rPr>
                <w:rFonts w:ascii="Arial"/>
                <w:sz w:val="20"/>
              </w:rPr>
            </w:pPr>
            <w:r>
              <w:rPr>
                <w:rFonts w:ascii="Arial"/>
                <w:w w:val="95"/>
                <w:sz w:val="20"/>
              </w:rPr>
              <w:t>0,07</w:t>
            </w:r>
          </w:p>
        </w:tc>
        <w:tc>
          <w:tcPr>
            <w:tcW w:w="994" w:type="dxa"/>
            <w:tcBorders>
              <w:top w:val="nil"/>
              <w:left w:val="nil"/>
              <w:bottom w:val="nil"/>
              <w:right w:val="nil"/>
            </w:tcBorders>
          </w:tcPr>
          <w:p>
            <w:pPr>
              <w:pStyle w:val="TableParagraph"/>
              <w:spacing w:before="30"/>
              <w:ind w:right="72"/>
              <w:rPr>
                <w:rFonts w:ascii="Arial"/>
                <w:sz w:val="20"/>
              </w:rPr>
            </w:pPr>
            <w:r>
              <w:rPr>
                <w:rFonts w:ascii="Arial"/>
                <w:w w:val="95"/>
                <w:sz w:val="20"/>
              </w:rPr>
              <w:t>0,07</w:t>
            </w:r>
          </w:p>
        </w:tc>
        <w:tc>
          <w:tcPr>
            <w:tcW w:w="991" w:type="dxa"/>
            <w:tcBorders>
              <w:top w:val="nil"/>
              <w:left w:val="nil"/>
              <w:bottom w:val="nil"/>
              <w:right w:val="nil"/>
            </w:tcBorders>
          </w:tcPr>
          <w:p>
            <w:pPr>
              <w:pStyle w:val="TableParagraph"/>
              <w:spacing w:before="30"/>
              <w:ind w:right="69"/>
              <w:rPr>
                <w:rFonts w:ascii="Arial"/>
                <w:sz w:val="20"/>
              </w:rPr>
            </w:pPr>
            <w:r>
              <w:rPr>
                <w:rFonts w:ascii="Arial"/>
                <w:w w:val="95"/>
                <w:sz w:val="20"/>
              </w:rPr>
              <w:t>0,07</w:t>
            </w:r>
          </w:p>
        </w:tc>
        <w:tc>
          <w:tcPr>
            <w:tcW w:w="994" w:type="dxa"/>
            <w:tcBorders>
              <w:top w:val="nil"/>
              <w:left w:val="nil"/>
              <w:bottom w:val="nil"/>
              <w:right w:val="nil"/>
            </w:tcBorders>
          </w:tcPr>
          <w:p>
            <w:pPr>
              <w:pStyle w:val="TableParagraph"/>
              <w:spacing w:before="30"/>
              <w:ind w:right="72"/>
              <w:rPr>
                <w:rFonts w:ascii="Arial"/>
                <w:sz w:val="20"/>
              </w:rPr>
            </w:pPr>
            <w:r>
              <w:rPr>
                <w:rFonts w:ascii="Arial"/>
                <w:w w:val="95"/>
                <w:sz w:val="20"/>
              </w:rPr>
              <w:t>0,07</w:t>
            </w:r>
          </w:p>
        </w:tc>
        <w:tc>
          <w:tcPr>
            <w:tcW w:w="991" w:type="dxa"/>
            <w:tcBorders>
              <w:top w:val="nil"/>
              <w:left w:val="nil"/>
              <w:bottom w:val="nil"/>
            </w:tcBorders>
          </w:tcPr>
          <w:p>
            <w:pPr>
              <w:pStyle w:val="TableParagraph"/>
              <w:spacing w:before="30"/>
              <w:ind w:right="65"/>
              <w:rPr>
                <w:rFonts w:ascii="Arial"/>
                <w:sz w:val="20"/>
              </w:rPr>
            </w:pPr>
            <w:r>
              <w:rPr>
                <w:rFonts w:ascii="Arial"/>
                <w:w w:val="95"/>
                <w:sz w:val="20"/>
              </w:rPr>
              <w:t>0,05</w:t>
            </w:r>
          </w:p>
        </w:tc>
      </w:tr>
      <w:tr>
        <w:trPr>
          <w:trHeight w:val="338" w:hRule="exact"/>
        </w:trPr>
        <w:tc>
          <w:tcPr>
            <w:tcW w:w="1418" w:type="dxa"/>
            <w:tcBorders>
              <w:top w:val="nil"/>
              <w:bottom w:val="nil"/>
            </w:tcBorders>
          </w:tcPr>
          <w:p>
            <w:pPr>
              <w:pStyle w:val="TableParagraph"/>
              <w:spacing w:before="14"/>
              <w:ind w:left="107" w:right="112"/>
              <w:jc w:val="center"/>
              <w:rPr>
                <w:rFonts w:ascii="Arial"/>
                <w:sz w:val="20"/>
              </w:rPr>
            </w:pPr>
            <w:r>
              <w:rPr>
                <w:rFonts w:ascii="Arial"/>
                <w:sz w:val="20"/>
              </w:rPr>
              <w:t>pH</w:t>
            </w:r>
          </w:p>
        </w:tc>
        <w:tc>
          <w:tcPr>
            <w:tcW w:w="1702" w:type="dxa"/>
            <w:tcBorders>
              <w:top w:val="nil"/>
              <w:bottom w:val="nil"/>
            </w:tcBorders>
          </w:tcPr>
          <w:p>
            <w:pPr>
              <w:pStyle w:val="TableParagraph"/>
              <w:spacing w:before="58"/>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58"/>
              <w:ind w:right="69"/>
              <w:rPr>
                <w:rFonts w:ascii="Arial"/>
                <w:sz w:val="20"/>
              </w:rPr>
            </w:pPr>
            <w:r>
              <w:rPr>
                <w:rFonts w:ascii="Arial"/>
                <w:w w:val="95"/>
                <w:sz w:val="20"/>
              </w:rPr>
              <w:t>0,011</w:t>
            </w:r>
          </w:p>
        </w:tc>
        <w:tc>
          <w:tcPr>
            <w:tcW w:w="991" w:type="dxa"/>
            <w:tcBorders>
              <w:top w:val="nil"/>
              <w:left w:val="nil"/>
              <w:bottom w:val="nil"/>
              <w:right w:val="nil"/>
            </w:tcBorders>
          </w:tcPr>
          <w:p>
            <w:pPr>
              <w:pStyle w:val="TableParagraph"/>
              <w:spacing w:before="58"/>
              <w:ind w:right="69"/>
              <w:rPr>
                <w:rFonts w:ascii="Arial"/>
                <w:sz w:val="20"/>
              </w:rPr>
            </w:pPr>
            <w:r>
              <w:rPr>
                <w:rFonts w:ascii="Arial"/>
                <w:w w:val="95"/>
                <w:sz w:val="20"/>
              </w:rPr>
              <w:t>0,010</w:t>
            </w:r>
          </w:p>
        </w:tc>
        <w:tc>
          <w:tcPr>
            <w:tcW w:w="994" w:type="dxa"/>
            <w:tcBorders>
              <w:top w:val="nil"/>
              <w:left w:val="nil"/>
              <w:bottom w:val="nil"/>
              <w:right w:val="nil"/>
            </w:tcBorders>
          </w:tcPr>
          <w:p>
            <w:pPr>
              <w:pStyle w:val="TableParagraph"/>
              <w:spacing w:before="58"/>
              <w:ind w:right="72"/>
              <w:rPr>
                <w:rFonts w:ascii="Arial"/>
                <w:sz w:val="20"/>
              </w:rPr>
            </w:pPr>
            <w:r>
              <w:rPr>
                <w:rFonts w:ascii="Arial"/>
                <w:w w:val="95"/>
                <w:sz w:val="20"/>
              </w:rPr>
              <w:t>0,010</w:t>
            </w:r>
          </w:p>
        </w:tc>
        <w:tc>
          <w:tcPr>
            <w:tcW w:w="991" w:type="dxa"/>
            <w:tcBorders>
              <w:top w:val="nil"/>
              <w:left w:val="nil"/>
              <w:bottom w:val="nil"/>
              <w:right w:val="nil"/>
            </w:tcBorders>
          </w:tcPr>
          <w:p>
            <w:pPr>
              <w:pStyle w:val="TableParagraph"/>
              <w:spacing w:before="58"/>
              <w:ind w:right="69"/>
              <w:rPr>
                <w:rFonts w:ascii="Arial"/>
                <w:sz w:val="20"/>
              </w:rPr>
            </w:pPr>
            <w:r>
              <w:rPr>
                <w:rFonts w:ascii="Arial"/>
                <w:w w:val="95"/>
                <w:sz w:val="20"/>
              </w:rPr>
              <w:t>0,010</w:t>
            </w:r>
          </w:p>
        </w:tc>
        <w:tc>
          <w:tcPr>
            <w:tcW w:w="994" w:type="dxa"/>
            <w:tcBorders>
              <w:top w:val="nil"/>
              <w:left w:val="nil"/>
              <w:bottom w:val="nil"/>
              <w:right w:val="nil"/>
            </w:tcBorders>
          </w:tcPr>
          <w:p>
            <w:pPr>
              <w:pStyle w:val="TableParagraph"/>
              <w:spacing w:before="58"/>
              <w:ind w:right="72"/>
              <w:rPr>
                <w:rFonts w:ascii="Arial"/>
                <w:sz w:val="20"/>
              </w:rPr>
            </w:pPr>
            <w:r>
              <w:rPr>
                <w:rFonts w:ascii="Arial"/>
                <w:w w:val="95"/>
                <w:sz w:val="20"/>
              </w:rPr>
              <w:t>0,010</w:t>
            </w:r>
          </w:p>
        </w:tc>
        <w:tc>
          <w:tcPr>
            <w:tcW w:w="991" w:type="dxa"/>
            <w:tcBorders>
              <w:top w:val="nil"/>
              <w:left w:val="nil"/>
              <w:bottom w:val="nil"/>
            </w:tcBorders>
          </w:tcPr>
          <w:p>
            <w:pPr>
              <w:pStyle w:val="TableParagraph"/>
              <w:spacing w:before="58"/>
              <w:ind w:right="65"/>
              <w:rPr>
                <w:rFonts w:ascii="Arial"/>
                <w:sz w:val="20"/>
              </w:rPr>
            </w:pPr>
            <w:r>
              <w:rPr>
                <w:rFonts w:ascii="Arial"/>
                <w:w w:val="95"/>
                <w:sz w:val="20"/>
              </w:rPr>
              <w:t>0,007</w:t>
            </w:r>
          </w:p>
        </w:tc>
      </w:tr>
      <w:tr>
        <w:trPr>
          <w:trHeight w:val="382" w:hRule="exact"/>
        </w:trPr>
        <w:tc>
          <w:tcPr>
            <w:tcW w:w="1418" w:type="dxa"/>
            <w:tcBorders>
              <w:top w:val="nil"/>
              <w:bottom w:val="nil"/>
            </w:tcBorders>
          </w:tcPr>
          <w:p>
            <w:pPr/>
          </w:p>
        </w:tc>
        <w:tc>
          <w:tcPr>
            <w:tcW w:w="1702" w:type="dxa"/>
            <w:tcBorders>
              <w:top w:val="nil"/>
              <w:bottom w:val="nil"/>
            </w:tcBorders>
          </w:tcPr>
          <w:p>
            <w:pPr>
              <w:pStyle w:val="TableParagraph"/>
              <w:spacing w:before="156"/>
              <w:ind w:left="64" w:right="126"/>
              <w:jc w:val="left"/>
              <w:rPr>
                <w:rFonts w:ascii="Arial"/>
                <w:sz w:val="20"/>
              </w:rPr>
            </w:pPr>
            <w:r>
              <w:rPr>
                <w:rFonts w:ascii="Arial"/>
                <w:sz w:val="20"/>
              </w:rPr>
              <w:t>IC (95%)</w:t>
            </w:r>
          </w:p>
        </w:tc>
        <w:tc>
          <w:tcPr>
            <w:tcW w:w="936" w:type="dxa"/>
            <w:tcBorders>
              <w:top w:val="nil"/>
              <w:bottom w:val="nil"/>
              <w:right w:val="nil"/>
            </w:tcBorders>
          </w:tcPr>
          <w:p>
            <w:pPr>
              <w:pStyle w:val="TableParagraph"/>
              <w:spacing w:before="29"/>
              <w:ind w:right="69"/>
              <w:rPr>
                <w:rFonts w:ascii="Arial"/>
                <w:sz w:val="20"/>
              </w:rPr>
            </w:pPr>
            <w:r>
              <w:rPr>
                <w:rFonts w:ascii="Arial"/>
                <w:w w:val="95"/>
                <w:sz w:val="20"/>
              </w:rPr>
              <w:t>6,830</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6,983</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6,851</w:t>
            </w:r>
          </w:p>
        </w:tc>
        <w:tc>
          <w:tcPr>
            <w:tcW w:w="991" w:type="dxa"/>
            <w:tcBorders>
              <w:top w:val="nil"/>
              <w:left w:val="nil"/>
              <w:bottom w:val="nil"/>
              <w:right w:val="nil"/>
            </w:tcBorders>
          </w:tcPr>
          <w:p>
            <w:pPr>
              <w:pStyle w:val="TableParagraph"/>
              <w:spacing w:before="29"/>
              <w:ind w:right="69"/>
              <w:rPr>
                <w:rFonts w:ascii="Arial"/>
                <w:sz w:val="20"/>
              </w:rPr>
            </w:pPr>
            <w:r>
              <w:rPr>
                <w:rFonts w:ascii="Arial"/>
                <w:w w:val="95"/>
                <w:sz w:val="20"/>
              </w:rPr>
              <w:t>6,810</w:t>
            </w:r>
          </w:p>
        </w:tc>
        <w:tc>
          <w:tcPr>
            <w:tcW w:w="994" w:type="dxa"/>
            <w:tcBorders>
              <w:top w:val="nil"/>
              <w:left w:val="nil"/>
              <w:bottom w:val="nil"/>
              <w:right w:val="nil"/>
            </w:tcBorders>
          </w:tcPr>
          <w:p>
            <w:pPr>
              <w:pStyle w:val="TableParagraph"/>
              <w:spacing w:before="29"/>
              <w:ind w:right="72"/>
              <w:rPr>
                <w:rFonts w:ascii="Arial"/>
                <w:sz w:val="20"/>
              </w:rPr>
            </w:pPr>
            <w:r>
              <w:rPr>
                <w:rFonts w:ascii="Arial"/>
                <w:w w:val="95"/>
                <w:sz w:val="20"/>
              </w:rPr>
              <w:t>6,844</w:t>
            </w:r>
          </w:p>
        </w:tc>
        <w:tc>
          <w:tcPr>
            <w:tcW w:w="991" w:type="dxa"/>
            <w:tcBorders>
              <w:top w:val="nil"/>
              <w:left w:val="nil"/>
              <w:bottom w:val="nil"/>
            </w:tcBorders>
          </w:tcPr>
          <w:p>
            <w:pPr>
              <w:pStyle w:val="TableParagraph"/>
              <w:spacing w:before="29"/>
              <w:ind w:right="65"/>
              <w:rPr>
                <w:rFonts w:ascii="Arial"/>
                <w:sz w:val="20"/>
              </w:rPr>
            </w:pPr>
            <w:r>
              <w:rPr>
                <w:rFonts w:ascii="Arial"/>
                <w:w w:val="95"/>
                <w:sz w:val="20"/>
              </w:rPr>
              <w:t>6,785</w:t>
            </w:r>
          </w:p>
        </w:tc>
      </w:tr>
      <w:tr>
        <w:trPr>
          <w:trHeight w:val="209" w:hRule="exact"/>
        </w:trPr>
        <w:tc>
          <w:tcPr>
            <w:tcW w:w="1418" w:type="dxa"/>
            <w:tcBorders>
              <w:top w:val="nil"/>
            </w:tcBorders>
          </w:tcPr>
          <w:p>
            <w:pPr/>
          </w:p>
        </w:tc>
        <w:tc>
          <w:tcPr>
            <w:tcW w:w="1702" w:type="dxa"/>
            <w:tcBorders>
              <w:top w:val="nil"/>
            </w:tcBorders>
          </w:tcPr>
          <w:p>
            <w:pPr/>
          </w:p>
        </w:tc>
        <w:tc>
          <w:tcPr>
            <w:tcW w:w="936" w:type="dxa"/>
            <w:tcBorders>
              <w:top w:val="nil"/>
              <w:right w:val="nil"/>
            </w:tcBorders>
          </w:tcPr>
          <w:p>
            <w:pPr>
              <w:pStyle w:val="TableParagraph"/>
              <w:spacing w:line="204" w:lineRule="exact" w:before="0"/>
              <w:ind w:right="69"/>
              <w:rPr>
                <w:rFonts w:ascii="Arial"/>
                <w:sz w:val="20"/>
              </w:rPr>
            </w:pPr>
            <w:r>
              <w:rPr>
                <w:rFonts w:ascii="Arial"/>
                <w:w w:val="95"/>
                <w:sz w:val="20"/>
              </w:rPr>
              <w:t>7,125</w:t>
            </w:r>
          </w:p>
        </w:tc>
        <w:tc>
          <w:tcPr>
            <w:tcW w:w="991" w:type="dxa"/>
            <w:tcBorders>
              <w:top w:val="nil"/>
              <w:left w:val="nil"/>
              <w:right w:val="nil"/>
            </w:tcBorders>
          </w:tcPr>
          <w:p>
            <w:pPr>
              <w:pStyle w:val="TableParagraph"/>
              <w:spacing w:line="204" w:lineRule="exact" w:before="0"/>
              <w:ind w:right="69"/>
              <w:rPr>
                <w:rFonts w:ascii="Arial"/>
                <w:sz w:val="20"/>
              </w:rPr>
            </w:pPr>
            <w:r>
              <w:rPr>
                <w:rFonts w:ascii="Arial"/>
                <w:w w:val="95"/>
                <w:sz w:val="20"/>
              </w:rPr>
              <w:t>7,269</w:t>
            </w:r>
          </w:p>
        </w:tc>
        <w:tc>
          <w:tcPr>
            <w:tcW w:w="994" w:type="dxa"/>
            <w:tcBorders>
              <w:top w:val="nil"/>
              <w:left w:val="nil"/>
              <w:right w:val="nil"/>
            </w:tcBorders>
          </w:tcPr>
          <w:p>
            <w:pPr>
              <w:pStyle w:val="TableParagraph"/>
              <w:spacing w:line="204" w:lineRule="exact" w:before="0"/>
              <w:ind w:right="72"/>
              <w:rPr>
                <w:rFonts w:ascii="Arial"/>
                <w:sz w:val="20"/>
              </w:rPr>
            </w:pPr>
            <w:r>
              <w:rPr>
                <w:rFonts w:ascii="Arial"/>
                <w:w w:val="95"/>
                <w:sz w:val="20"/>
              </w:rPr>
              <w:t>7,121</w:t>
            </w:r>
          </w:p>
        </w:tc>
        <w:tc>
          <w:tcPr>
            <w:tcW w:w="991" w:type="dxa"/>
            <w:tcBorders>
              <w:top w:val="nil"/>
              <w:left w:val="nil"/>
              <w:right w:val="nil"/>
            </w:tcBorders>
          </w:tcPr>
          <w:p>
            <w:pPr>
              <w:pStyle w:val="TableParagraph"/>
              <w:spacing w:line="204" w:lineRule="exact" w:before="0"/>
              <w:ind w:right="69"/>
              <w:rPr>
                <w:rFonts w:ascii="Arial"/>
                <w:sz w:val="20"/>
              </w:rPr>
            </w:pPr>
            <w:r>
              <w:rPr>
                <w:rFonts w:ascii="Arial"/>
                <w:w w:val="95"/>
                <w:sz w:val="20"/>
              </w:rPr>
              <w:t>7,086</w:t>
            </w:r>
          </w:p>
        </w:tc>
        <w:tc>
          <w:tcPr>
            <w:tcW w:w="994" w:type="dxa"/>
            <w:tcBorders>
              <w:top w:val="nil"/>
              <w:left w:val="nil"/>
              <w:right w:val="nil"/>
            </w:tcBorders>
          </w:tcPr>
          <w:p>
            <w:pPr>
              <w:pStyle w:val="TableParagraph"/>
              <w:spacing w:line="204" w:lineRule="exact" w:before="0"/>
              <w:ind w:right="72"/>
              <w:rPr>
                <w:rFonts w:ascii="Arial"/>
                <w:sz w:val="20"/>
              </w:rPr>
            </w:pPr>
            <w:r>
              <w:rPr>
                <w:rFonts w:ascii="Arial"/>
                <w:w w:val="95"/>
                <w:sz w:val="20"/>
              </w:rPr>
              <w:t>7,111</w:t>
            </w:r>
          </w:p>
        </w:tc>
        <w:tc>
          <w:tcPr>
            <w:tcW w:w="991" w:type="dxa"/>
            <w:tcBorders>
              <w:top w:val="nil"/>
              <w:left w:val="nil"/>
            </w:tcBorders>
          </w:tcPr>
          <w:p>
            <w:pPr>
              <w:pStyle w:val="TableParagraph"/>
              <w:spacing w:line="204" w:lineRule="exact" w:before="0"/>
              <w:ind w:right="65"/>
              <w:rPr>
                <w:rFonts w:ascii="Arial"/>
                <w:sz w:val="20"/>
              </w:rPr>
            </w:pPr>
            <w:r>
              <w:rPr>
                <w:rFonts w:ascii="Arial"/>
                <w:w w:val="95"/>
                <w:sz w:val="20"/>
              </w:rPr>
              <w:t>6,973</w:t>
            </w:r>
          </w:p>
        </w:tc>
      </w:tr>
      <w:tr>
        <w:trPr>
          <w:trHeight w:val="362" w:hRule="exact"/>
        </w:trPr>
        <w:tc>
          <w:tcPr>
            <w:tcW w:w="1418" w:type="dxa"/>
            <w:tcBorders>
              <w:bottom w:val="nil"/>
            </w:tcBorders>
          </w:tcPr>
          <w:p>
            <w:pPr/>
          </w:p>
        </w:tc>
        <w:tc>
          <w:tcPr>
            <w:tcW w:w="1702" w:type="dxa"/>
            <w:tcBorders>
              <w:bottom w:val="nil"/>
            </w:tcBorders>
          </w:tcPr>
          <w:p>
            <w:pPr>
              <w:pStyle w:val="TableParagraph"/>
              <w:spacing w:before="69"/>
              <w:ind w:left="64" w:right="126"/>
              <w:jc w:val="left"/>
              <w:rPr>
                <w:rFonts w:ascii="Arial" w:hAnsi="Arial"/>
                <w:sz w:val="20"/>
              </w:rPr>
            </w:pPr>
            <w:r>
              <w:rPr>
                <w:rFonts w:ascii="Arial" w:hAnsi="Arial"/>
                <w:sz w:val="20"/>
              </w:rPr>
              <w:t>Promedio (ºC)</w:t>
            </w:r>
          </w:p>
        </w:tc>
        <w:tc>
          <w:tcPr>
            <w:tcW w:w="936" w:type="dxa"/>
            <w:tcBorders>
              <w:bottom w:val="nil"/>
              <w:right w:val="nil"/>
            </w:tcBorders>
          </w:tcPr>
          <w:p>
            <w:pPr>
              <w:pStyle w:val="TableParagraph"/>
              <w:spacing w:before="69"/>
              <w:ind w:right="70"/>
              <w:rPr>
                <w:rFonts w:ascii="Arial"/>
                <w:sz w:val="20"/>
              </w:rPr>
            </w:pPr>
            <w:r>
              <w:rPr>
                <w:rFonts w:ascii="Arial"/>
                <w:w w:val="95"/>
                <w:sz w:val="20"/>
              </w:rPr>
              <w:t>16,91</w:t>
            </w:r>
          </w:p>
        </w:tc>
        <w:tc>
          <w:tcPr>
            <w:tcW w:w="991" w:type="dxa"/>
            <w:tcBorders>
              <w:left w:val="nil"/>
              <w:bottom w:val="nil"/>
              <w:right w:val="nil"/>
            </w:tcBorders>
          </w:tcPr>
          <w:p>
            <w:pPr>
              <w:pStyle w:val="TableParagraph"/>
              <w:spacing w:before="69"/>
              <w:ind w:right="69"/>
              <w:rPr>
                <w:rFonts w:ascii="Arial"/>
                <w:sz w:val="20"/>
              </w:rPr>
            </w:pPr>
            <w:r>
              <w:rPr>
                <w:rFonts w:ascii="Arial"/>
                <w:w w:val="95"/>
                <w:sz w:val="20"/>
              </w:rPr>
              <w:t>16,82</w:t>
            </w:r>
          </w:p>
        </w:tc>
        <w:tc>
          <w:tcPr>
            <w:tcW w:w="994" w:type="dxa"/>
            <w:tcBorders>
              <w:left w:val="nil"/>
              <w:bottom w:val="nil"/>
              <w:right w:val="nil"/>
            </w:tcBorders>
          </w:tcPr>
          <w:p>
            <w:pPr>
              <w:pStyle w:val="TableParagraph"/>
              <w:spacing w:before="69"/>
              <w:ind w:right="72"/>
              <w:rPr>
                <w:rFonts w:ascii="Arial"/>
                <w:sz w:val="20"/>
              </w:rPr>
            </w:pPr>
            <w:r>
              <w:rPr>
                <w:rFonts w:ascii="Arial"/>
                <w:w w:val="95"/>
                <w:sz w:val="20"/>
              </w:rPr>
              <w:t>16,77</w:t>
            </w:r>
          </w:p>
        </w:tc>
        <w:tc>
          <w:tcPr>
            <w:tcW w:w="991" w:type="dxa"/>
            <w:tcBorders>
              <w:left w:val="nil"/>
              <w:bottom w:val="nil"/>
              <w:right w:val="nil"/>
            </w:tcBorders>
          </w:tcPr>
          <w:p>
            <w:pPr>
              <w:pStyle w:val="TableParagraph"/>
              <w:spacing w:before="69"/>
              <w:ind w:right="69"/>
              <w:rPr>
                <w:rFonts w:ascii="Arial"/>
                <w:sz w:val="20"/>
              </w:rPr>
            </w:pPr>
            <w:r>
              <w:rPr>
                <w:rFonts w:ascii="Arial"/>
                <w:w w:val="95"/>
                <w:sz w:val="20"/>
              </w:rPr>
              <w:t>16,76</w:t>
            </w:r>
          </w:p>
        </w:tc>
        <w:tc>
          <w:tcPr>
            <w:tcW w:w="994" w:type="dxa"/>
            <w:tcBorders>
              <w:left w:val="nil"/>
              <w:bottom w:val="nil"/>
              <w:right w:val="nil"/>
            </w:tcBorders>
          </w:tcPr>
          <w:p>
            <w:pPr>
              <w:pStyle w:val="TableParagraph"/>
              <w:spacing w:before="69"/>
              <w:ind w:right="72"/>
              <w:rPr>
                <w:rFonts w:ascii="Arial"/>
                <w:sz w:val="20"/>
              </w:rPr>
            </w:pPr>
            <w:r>
              <w:rPr>
                <w:rFonts w:ascii="Arial"/>
                <w:w w:val="95"/>
                <w:sz w:val="20"/>
              </w:rPr>
              <w:t>16,69</w:t>
            </w:r>
          </w:p>
        </w:tc>
        <w:tc>
          <w:tcPr>
            <w:tcW w:w="991" w:type="dxa"/>
            <w:tcBorders>
              <w:left w:val="nil"/>
              <w:bottom w:val="nil"/>
            </w:tcBorders>
          </w:tcPr>
          <w:p>
            <w:pPr>
              <w:pStyle w:val="TableParagraph"/>
              <w:spacing w:before="69"/>
              <w:ind w:right="65"/>
              <w:rPr>
                <w:rFonts w:ascii="Arial"/>
                <w:sz w:val="20"/>
              </w:rPr>
            </w:pPr>
            <w:r>
              <w:rPr>
                <w:rFonts w:ascii="Arial"/>
                <w:w w:val="95"/>
                <w:sz w:val="20"/>
              </w:rPr>
              <w:t>16,48</w:t>
            </w:r>
          </w:p>
        </w:tc>
      </w:tr>
      <w:tr>
        <w:trPr>
          <w:trHeight w:val="300" w:hRule="exact"/>
        </w:trPr>
        <w:tc>
          <w:tcPr>
            <w:tcW w:w="1418" w:type="dxa"/>
            <w:tcBorders>
              <w:top w:val="nil"/>
              <w:bottom w:val="nil"/>
            </w:tcBorders>
          </w:tcPr>
          <w:p>
            <w:pPr/>
          </w:p>
        </w:tc>
        <w:tc>
          <w:tcPr>
            <w:tcW w:w="1702" w:type="dxa"/>
            <w:tcBorders>
              <w:top w:val="nil"/>
              <w:bottom w:val="nil"/>
            </w:tcBorders>
          </w:tcPr>
          <w:p>
            <w:pPr>
              <w:pStyle w:val="TableParagraph"/>
              <w:spacing w:before="36"/>
              <w:ind w:left="64" w:right="126"/>
              <w:jc w:val="left"/>
              <w:rPr>
                <w:rFonts w:ascii="Arial" w:hAnsi="Arial"/>
                <w:sz w:val="20"/>
              </w:rPr>
            </w:pPr>
            <w:r>
              <w:rPr>
                <w:rFonts w:ascii="Arial" w:hAnsi="Arial"/>
                <w:sz w:val="20"/>
              </w:rPr>
              <w:t>DE (ºC)</w:t>
            </w:r>
          </w:p>
        </w:tc>
        <w:tc>
          <w:tcPr>
            <w:tcW w:w="936" w:type="dxa"/>
            <w:tcBorders>
              <w:top w:val="nil"/>
              <w:bottom w:val="nil"/>
              <w:right w:val="nil"/>
            </w:tcBorders>
          </w:tcPr>
          <w:p>
            <w:pPr>
              <w:pStyle w:val="TableParagraph"/>
              <w:spacing w:before="36"/>
              <w:ind w:right="69"/>
              <w:rPr>
                <w:rFonts w:ascii="Arial"/>
                <w:sz w:val="20"/>
              </w:rPr>
            </w:pPr>
            <w:r>
              <w:rPr>
                <w:rFonts w:ascii="Arial"/>
                <w:w w:val="95"/>
                <w:sz w:val="20"/>
              </w:rPr>
              <w:t>0,12</w:t>
            </w:r>
          </w:p>
        </w:tc>
        <w:tc>
          <w:tcPr>
            <w:tcW w:w="991" w:type="dxa"/>
            <w:tcBorders>
              <w:top w:val="nil"/>
              <w:left w:val="nil"/>
              <w:bottom w:val="nil"/>
              <w:right w:val="nil"/>
            </w:tcBorders>
          </w:tcPr>
          <w:p>
            <w:pPr>
              <w:pStyle w:val="TableParagraph"/>
              <w:spacing w:before="36"/>
              <w:ind w:right="69"/>
              <w:rPr>
                <w:rFonts w:ascii="Arial"/>
                <w:sz w:val="20"/>
              </w:rPr>
            </w:pPr>
            <w:r>
              <w:rPr>
                <w:rFonts w:ascii="Arial"/>
                <w:w w:val="95"/>
                <w:sz w:val="20"/>
              </w:rPr>
              <w:t>0,12</w:t>
            </w:r>
          </w:p>
        </w:tc>
        <w:tc>
          <w:tcPr>
            <w:tcW w:w="994" w:type="dxa"/>
            <w:tcBorders>
              <w:top w:val="nil"/>
              <w:left w:val="nil"/>
              <w:bottom w:val="nil"/>
              <w:right w:val="nil"/>
            </w:tcBorders>
          </w:tcPr>
          <w:p>
            <w:pPr>
              <w:pStyle w:val="TableParagraph"/>
              <w:spacing w:before="36"/>
              <w:ind w:right="72"/>
              <w:rPr>
                <w:rFonts w:ascii="Arial"/>
                <w:sz w:val="20"/>
              </w:rPr>
            </w:pPr>
            <w:r>
              <w:rPr>
                <w:rFonts w:ascii="Arial"/>
                <w:w w:val="95"/>
                <w:sz w:val="20"/>
              </w:rPr>
              <w:t>0,12</w:t>
            </w:r>
          </w:p>
        </w:tc>
        <w:tc>
          <w:tcPr>
            <w:tcW w:w="991" w:type="dxa"/>
            <w:tcBorders>
              <w:top w:val="nil"/>
              <w:left w:val="nil"/>
              <w:bottom w:val="nil"/>
              <w:right w:val="nil"/>
            </w:tcBorders>
          </w:tcPr>
          <w:p>
            <w:pPr>
              <w:pStyle w:val="TableParagraph"/>
              <w:spacing w:before="36"/>
              <w:ind w:right="69"/>
              <w:rPr>
                <w:rFonts w:ascii="Arial"/>
                <w:sz w:val="20"/>
              </w:rPr>
            </w:pPr>
            <w:r>
              <w:rPr>
                <w:rFonts w:ascii="Arial"/>
                <w:w w:val="95"/>
                <w:sz w:val="20"/>
              </w:rPr>
              <w:t>0,13</w:t>
            </w:r>
          </w:p>
        </w:tc>
        <w:tc>
          <w:tcPr>
            <w:tcW w:w="994" w:type="dxa"/>
            <w:tcBorders>
              <w:top w:val="nil"/>
              <w:left w:val="nil"/>
              <w:bottom w:val="nil"/>
              <w:right w:val="nil"/>
            </w:tcBorders>
          </w:tcPr>
          <w:p>
            <w:pPr>
              <w:pStyle w:val="TableParagraph"/>
              <w:spacing w:before="36"/>
              <w:ind w:right="72"/>
              <w:rPr>
                <w:rFonts w:ascii="Arial"/>
                <w:sz w:val="20"/>
              </w:rPr>
            </w:pPr>
            <w:r>
              <w:rPr>
                <w:rFonts w:ascii="Arial"/>
                <w:w w:val="95"/>
                <w:sz w:val="20"/>
              </w:rPr>
              <w:t>0,13</w:t>
            </w:r>
          </w:p>
        </w:tc>
        <w:tc>
          <w:tcPr>
            <w:tcW w:w="991" w:type="dxa"/>
            <w:tcBorders>
              <w:top w:val="nil"/>
              <w:left w:val="nil"/>
              <w:bottom w:val="nil"/>
            </w:tcBorders>
          </w:tcPr>
          <w:p>
            <w:pPr>
              <w:pStyle w:val="TableParagraph"/>
              <w:spacing w:before="36"/>
              <w:ind w:right="65"/>
              <w:rPr>
                <w:rFonts w:ascii="Arial"/>
                <w:sz w:val="20"/>
              </w:rPr>
            </w:pPr>
            <w:r>
              <w:rPr>
                <w:rFonts w:ascii="Arial"/>
                <w:w w:val="95"/>
                <w:sz w:val="20"/>
              </w:rPr>
              <w:t>0,12</w:t>
            </w:r>
          </w:p>
        </w:tc>
      </w:tr>
      <w:tr>
        <w:trPr>
          <w:trHeight w:val="335" w:hRule="exact"/>
        </w:trPr>
        <w:tc>
          <w:tcPr>
            <w:tcW w:w="1418" w:type="dxa"/>
            <w:tcBorders>
              <w:top w:val="nil"/>
              <w:bottom w:val="nil"/>
            </w:tcBorders>
          </w:tcPr>
          <w:p>
            <w:pPr>
              <w:pStyle w:val="TableParagraph"/>
              <w:spacing w:before="12"/>
              <w:ind w:left="110" w:right="112"/>
              <w:jc w:val="center"/>
              <w:rPr>
                <w:rFonts w:ascii="Arial"/>
                <w:sz w:val="20"/>
              </w:rPr>
            </w:pPr>
            <w:r>
              <w:rPr>
                <w:rFonts w:ascii="Arial"/>
                <w:sz w:val="20"/>
              </w:rPr>
              <w:t>Temperatura</w:t>
            </w:r>
          </w:p>
        </w:tc>
        <w:tc>
          <w:tcPr>
            <w:tcW w:w="1702" w:type="dxa"/>
            <w:tcBorders>
              <w:top w:val="nil"/>
              <w:bottom w:val="nil"/>
            </w:tcBorders>
          </w:tcPr>
          <w:p>
            <w:pPr>
              <w:pStyle w:val="TableParagraph"/>
              <w:spacing w:before="46"/>
              <w:ind w:left="64" w:right="126"/>
              <w:jc w:val="left"/>
              <w:rPr>
                <w:rFonts w:ascii="Arial"/>
                <w:sz w:val="20"/>
              </w:rPr>
            </w:pPr>
            <w:r>
              <w:rPr>
                <w:rFonts w:ascii="Arial"/>
                <w:sz w:val="20"/>
              </w:rPr>
              <w:t>CV</w:t>
            </w:r>
          </w:p>
        </w:tc>
        <w:tc>
          <w:tcPr>
            <w:tcW w:w="936" w:type="dxa"/>
            <w:tcBorders>
              <w:top w:val="nil"/>
              <w:bottom w:val="nil"/>
              <w:right w:val="nil"/>
            </w:tcBorders>
          </w:tcPr>
          <w:p>
            <w:pPr>
              <w:pStyle w:val="TableParagraph"/>
              <w:spacing w:before="46"/>
              <w:ind w:right="69"/>
              <w:rPr>
                <w:rFonts w:ascii="Arial"/>
                <w:sz w:val="20"/>
              </w:rPr>
            </w:pPr>
            <w:r>
              <w:rPr>
                <w:rFonts w:ascii="Arial"/>
                <w:w w:val="95"/>
                <w:sz w:val="20"/>
              </w:rPr>
              <w:t>0,007</w:t>
            </w:r>
          </w:p>
        </w:tc>
        <w:tc>
          <w:tcPr>
            <w:tcW w:w="991" w:type="dxa"/>
            <w:tcBorders>
              <w:top w:val="nil"/>
              <w:left w:val="nil"/>
              <w:bottom w:val="nil"/>
              <w:right w:val="nil"/>
            </w:tcBorders>
          </w:tcPr>
          <w:p>
            <w:pPr>
              <w:pStyle w:val="TableParagraph"/>
              <w:spacing w:before="46"/>
              <w:ind w:right="69"/>
              <w:rPr>
                <w:rFonts w:ascii="Arial"/>
                <w:sz w:val="20"/>
              </w:rPr>
            </w:pPr>
            <w:r>
              <w:rPr>
                <w:rFonts w:ascii="Arial"/>
                <w:w w:val="95"/>
                <w:sz w:val="20"/>
              </w:rPr>
              <w:t>0,007</w:t>
            </w:r>
          </w:p>
        </w:tc>
        <w:tc>
          <w:tcPr>
            <w:tcW w:w="994" w:type="dxa"/>
            <w:tcBorders>
              <w:top w:val="nil"/>
              <w:left w:val="nil"/>
              <w:bottom w:val="nil"/>
              <w:right w:val="nil"/>
            </w:tcBorders>
          </w:tcPr>
          <w:p>
            <w:pPr>
              <w:pStyle w:val="TableParagraph"/>
              <w:spacing w:before="46"/>
              <w:ind w:right="72"/>
              <w:rPr>
                <w:rFonts w:ascii="Arial"/>
                <w:sz w:val="20"/>
              </w:rPr>
            </w:pPr>
            <w:r>
              <w:rPr>
                <w:rFonts w:ascii="Arial"/>
                <w:w w:val="95"/>
                <w:sz w:val="20"/>
              </w:rPr>
              <w:t>0,007</w:t>
            </w:r>
          </w:p>
        </w:tc>
        <w:tc>
          <w:tcPr>
            <w:tcW w:w="991" w:type="dxa"/>
            <w:tcBorders>
              <w:top w:val="nil"/>
              <w:left w:val="nil"/>
              <w:bottom w:val="nil"/>
              <w:right w:val="nil"/>
            </w:tcBorders>
          </w:tcPr>
          <w:p>
            <w:pPr>
              <w:pStyle w:val="TableParagraph"/>
              <w:spacing w:before="46"/>
              <w:ind w:right="69"/>
              <w:rPr>
                <w:rFonts w:ascii="Arial"/>
                <w:sz w:val="20"/>
              </w:rPr>
            </w:pPr>
            <w:r>
              <w:rPr>
                <w:rFonts w:ascii="Arial"/>
                <w:w w:val="95"/>
                <w:sz w:val="20"/>
              </w:rPr>
              <w:t>0,007</w:t>
            </w:r>
          </w:p>
        </w:tc>
        <w:tc>
          <w:tcPr>
            <w:tcW w:w="994" w:type="dxa"/>
            <w:tcBorders>
              <w:top w:val="nil"/>
              <w:left w:val="nil"/>
              <w:bottom w:val="nil"/>
              <w:right w:val="nil"/>
            </w:tcBorders>
          </w:tcPr>
          <w:p>
            <w:pPr>
              <w:pStyle w:val="TableParagraph"/>
              <w:spacing w:before="46"/>
              <w:ind w:right="72"/>
              <w:rPr>
                <w:rFonts w:ascii="Arial"/>
                <w:sz w:val="20"/>
              </w:rPr>
            </w:pPr>
            <w:r>
              <w:rPr>
                <w:rFonts w:ascii="Arial"/>
                <w:w w:val="95"/>
                <w:sz w:val="20"/>
              </w:rPr>
              <w:t>0,008</w:t>
            </w:r>
          </w:p>
        </w:tc>
        <w:tc>
          <w:tcPr>
            <w:tcW w:w="991" w:type="dxa"/>
            <w:tcBorders>
              <w:top w:val="nil"/>
              <w:left w:val="nil"/>
              <w:bottom w:val="nil"/>
            </w:tcBorders>
          </w:tcPr>
          <w:p>
            <w:pPr>
              <w:pStyle w:val="TableParagraph"/>
              <w:spacing w:before="46"/>
              <w:ind w:right="65"/>
              <w:rPr>
                <w:rFonts w:ascii="Arial"/>
                <w:sz w:val="20"/>
              </w:rPr>
            </w:pPr>
            <w:r>
              <w:rPr>
                <w:rFonts w:ascii="Arial"/>
                <w:w w:val="95"/>
                <w:sz w:val="20"/>
              </w:rPr>
              <w:t>0,007</w:t>
            </w:r>
          </w:p>
        </w:tc>
      </w:tr>
      <w:tr>
        <w:trPr>
          <w:trHeight w:val="374" w:hRule="exact"/>
        </w:trPr>
        <w:tc>
          <w:tcPr>
            <w:tcW w:w="1418" w:type="dxa"/>
            <w:tcBorders>
              <w:top w:val="nil"/>
              <w:bottom w:val="nil"/>
            </w:tcBorders>
          </w:tcPr>
          <w:p>
            <w:pPr/>
          </w:p>
        </w:tc>
        <w:tc>
          <w:tcPr>
            <w:tcW w:w="1702" w:type="dxa"/>
            <w:tcBorders>
              <w:top w:val="nil"/>
              <w:bottom w:val="nil"/>
            </w:tcBorders>
          </w:tcPr>
          <w:p>
            <w:pPr>
              <w:pStyle w:val="TableParagraph"/>
              <w:spacing w:before="150"/>
              <w:ind w:left="64" w:right="126"/>
              <w:jc w:val="left"/>
              <w:rPr>
                <w:rFonts w:ascii="Arial"/>
                <w:sz w:val="20"/>
              </w:rPr>
            </w:pPr>
            <w:r>
              <w:rPr>
                <w:rFonts w:ascii="Arial"/>
                <w:sz w:val="20"/>
              </w:rPr>
              <w:t>IC (95%)</w:t>
            </w:r>
          </w:p>
        </w:tc>
        <w:tc>
          <w:tcPr>
            <w:tcW w:w="936" w:type="dxa"/>
            <w:tcBorders>
              <w:top w:val="nil"/>
              <w:bottom w:val="nil"/>
              <w:right w:val="nil"/>
            </w:tcBorders>
          </w:tcPr>
          <w:p>
            <w:pPr>
              <w:pStyle w:val="TableParagraph"/>
              <w:spacing w:before="37"/>
              <w:ind w:right="69"/>
              <w:rPr>
                <w:rFonts w:ascii="Arial"/>
                <w:sz w:val="20"/>
              </w:rPr>
            </w:pPr>
            <w:r>
              <w:rPr>
                <w:rFonts w:ascii="Arial"/>
                <w:sz w:val="20"/>
              </w:rPr>
              <w:t>16,681</w:t>
            </w:r>
          </w:p>
        </w:tc>
        <w:tc>
          <w:tcPr>
            <w:tcW w:w="991" w:type="dxa"/>
            <w:tcBorders>
              <w:top w:val="nil"/>
              <w:left w:val="nil"/>
              <w:bottom w:val="nil"/>
              <w:right w:val="nil"/>
            </w:tcBorders>
          </w:tcPr>
          <w:p>
            <w:pPr>
              <w:pStyle w:val="TableParagraph"/>
              <w:spacing w:before="37"/>
              <w:ind w:right="71"/>
              <w:rPr>
                <w:rFonts w:ascii="Arial"/>
                <w:sz w:val="20"/>
              </w:rPr>
            </w:pPr>
            <w:r>
              <w:rPr>
                <w:rFonts w:ascii="Arial"/>
                <w:sz w:val="20"/>
              </w:rPr>
              <w:t>16,576</w:t>
            </w:r>
          </w:p>
        </w:tc>
        <w:tc>
          <w:tcPr>
            <w:tcW w:w="994" w:type="dxa"/>
            <w:tcBorders>
              <w:top w:val="nil"/>
              <w:left w:val="nil"/>
              <w:bottom w:val="nil"/>
              <w:right w:val="nil"/>
            </w:tcBorders>
          </w:tcPr>
          <w:p>
            <w:pPr>
              <w:pStyle w:val="TableParagraph"/>
              <w:spacing w:before="37"/>
              <w:ind w:right="72"/>
              <w:rPr>
                <w:rFonts w:ascii="Arial"/>
                <w:sz w:val="20"/>
              </w:rPr>
            </w:pPr>
            <w:r>
              <w:rPr>
                <w:rFonts w:ascii="Arial"/>
                <w:sz w:val="20"/>
              </w:rPr>
              <w:t>16,529</w:t>
            </w:r>
          </w:p>
        </w:tc>
        <w:tc>
          <w:tcPr>
            <w:tcW w:w="991" w:type="dxa"/>
            <w:tcBorders>
              <w:top w:val="nil"/>
              <w:left w:val="nil"/>
              <w:bottom w:val="nil"/>
              <w:right w:val="nil"/>
            </w:tcBorders>
          </w:tcPr>
          <w:p>
            <w:pPr>
              <w:pStyle w:val="TableParagraph"/>
              <w:spacing w:before="37"/>
              <w:ind w:right="71"/>
              <w:rPr>
                <w:rFonts w:ascii="Arial"/>
                <w:sz w:val="20"/>
              </w:rPr>
            </w:pPr>
            <w:r>
              <w:rPr>
                <w:rFonts w:ascii="Arial"/>
                <w:sz w:val="20"/>
              </w:rPr>
              <w:t>16,512</w:t>
            </w:r>
          </w:p>
        </w:tc>
        <w:tc>
          <w:tcPr>
            <w:tcW w:w="994" w:type="dxa"/>
            <w:tcBorders>
              <w:top w:val="nil"/>
              <w:left w:val="nil"/>
              <w:bottom w:val="nil"/>
              <w:right w:val="nil"/>
            </w:tcBorders>
          </w:tcPr>
          <w:p>
            <w:pPr>
              <w:pStyle w:val="TableParagraph"/>
              <w:spacing w:before="37"/>
              <w:ind w:right="72"/>
              <w:rPr>
                <w:rFonts w:ascii="Arial"/>
                <w:sz w:val="20"/>
              </w:rPr>
            </w:pPr>
            <w:r>
              <w:rPr>
                <w:rFonts w:ascii="Arial"/>
                <w:sz w:val="20"/>
              </w:rPr>
              <w:t>16,440</w:t>
            </w:r>
          </w:p>
        </w:tc>
        <w:tc>
          <w:tcPr>
            <w:tcW w:w="991" w:type="dxa"/>
            <w:tcBorders>
              <w:top w:val="nil"/>
              <w:left w:val="nil"/>
              <w:bottom w:val="nil"/>
            </w:tcBorders>
          </w:tcPr>
          <w:p>
            <w:pPr>
              <w:pStyle w:val="TableParagraph"/>
              <w:spacing w:before="37"/>
              <w:ind w:right="65"/>
              <w:rPr>
                <w:rFonts w:ascii="Arial"/>
                <w:sz w:val="20"/>
              </w:rPr>
            </w:pPr>
            <w:r>
              <w:rPr>
                <w:rFonts w:ascii="Arial"/>
                <w:sz w:val="20"/>
              </w:rPr>
              <w:t>16,243</w:t>
            </w:r>
          </w:p>
        </w:tc>
      </w:tr>
      <w:tr>
        <w:trPr>
          <w:trHeight w:val="211" w:hRule="exact"/>
        </w:trPr>
        <w:tc>
          <w:tcPr>
            <w:tcW w:w="1418" w:type="dxa"/>
            <w:tcBorders>
              <w:top w:val="nil"/>
            </w:tcBorders>
          </w:tcPr>
          <w:p>
            <w:pPr/>
          </w:p>
        </w:tc>
        <w:tc>
          <w:tcPr>
            <w:tcW w:w="1702" w:type="dxa"/>
            <w:tcBorders>
              <w:top w:val="nil"/>
            </w:tcBorders>
          </w:tcPr>
          <w:p>
            <w:pPr/>
          </w:p>
        </w:tc>
        <w:tc>
          <w:tcPr>
            <w:tcW w:w="936" w:type="dxa"/>
            <w:tcBorders>
              <w:top w:val="nil"/>
              <w:right w:val="nil"/>
            </w:tcBorders>
          </w:tcPr>
          <w:p>
            <w:pPr>
              <w:pStyle w:val="TableParagraph"/>
              <w:spacing w:line="203" w:lineRule="exact" w:before="0"/>
              <w:ind w:right="71"/>
              <w:rPr>
                <w:rFonts w:ascii="Arial"/>
                <w:sz w:val="20"/>
              </w:rPr>
            </w:pPr>
            <w:r>
              <w:rPr>
                <w:rFonts w:ascii="Arial"/>
                <w:sz w:val="20"/>
              </w:rPr>
              <w:t>17,140</w:t>
            </w:r>
          </w:p>
        </w:tc>
        <w:tc>
          <w:tcPr>
            <w:tcW w:w="991" w:type="dxa"/>
            <w:tcBorders>
              <w:top w:val="nil"/>
              <w:left w:val="nil"/>
              <w:right w:val="nil"/>
            </w:tcBorders>
          </w:tcPr>
          <w:p>
            <w:pPr>
              <w:pStyle w:val="TableParagraph"/>
              <w:spacing w:line="203" w:lineRule="exact" w:before="0"/>
              <w:ind w:right="71"/>
              <w:rPr>
                <w:rFonts w:ascii="Arial"/>
                <w:sz w:val="20"/>
              </w:rPr>
            </w:pPr>
            <w:r>
              <w:rPr>
                <w:rFonts w:ascii="Arial"/>
                <w:sz w:val="20"/>
              </w:rPr>
              <w:t>17,063</w:t>
            </w:r>
          </w:p>
        </w:tc>
        <w:tc>
          <w:tcPr>
            <w:tcW w:w="994" w:type="dxa"/>
            <w:tcBorders>
              <w:top w:val="nil"/>
              <w:left w:val="nil"/>
              <w:right w:val="nil"/>
            </w:tcBorders>
          </w:tcPr>
          <w:p>
            <w:pPr>
              <w:pStyle w:val="TableParagraph"/>
              <w:spacing w:line="203" w:lineRule="exact" w:before="0"/>
              <w:ind w:right="72"/>
              <w:rPr>
                <w:rFonts w:ascii="Arial"/>
                <w:sz w:val="20"/>
              </w:rPr>
            </w:pPr>
            <w:r>
              <w:rPr>
                <w:rFonts w:ascii="Arial"/>
                <w:sz w:val="20"/>
              </w:rPr>
              <w:t>17,006</w:t>
            </w:r>
          </w:p>
        </w:tc>
        <w:tc>
          <w:tcPr>
            <w:tcW w:w="991" w:type="dxa"/>
            <w:tcBorders>
              <w:top w:val="nil"/>
              <w:left w:val="nil"/>
              <w:right w:val="nil"/>
            </w:tcBorders>
          </w:tcPr>
          <w:p>
            <w:pPr>
              <w:pStyle w:val="TableParagraph"/>
              <w:spacing w:line="203" w:lineRule="exact" w:before="0"/>
              <w:ind w:right="71"/>
              <w:rPr>
                <w:rFonts w:ascii="Arial"/>
                <w:sz w:val="20"/>
              </w:rPr>
            </w:pPr>
            <w:r>
              <w:rPr>
                <w:rFonts w:ascii="Arial"/>
                <w:sz w:val="20"/>
              </w:rPr>
              <w:t>17,003</w:t>
            </w:r>
          </w:p>
        </w:tc>
        <w:tc>
          <w:tcPr>
            <w:tcW w:w="994" w:type="dxa"/>
            <w:tcBorders>
              <w:top w:val="nil"/>
              <w:left w:val="nil"/>
              <w:right w:val="nil"/>
            </w:tcBorders>
          </w:tcPr>
          <w:p>
            <w:pPr>
              <w:pStyle w:val="TableParagraph"/>
              <w:spacing w:line="203" w:lineRule="exact" w:before="0"/>
              <w:ind w:right="72"/>
              <w:rPr>
                <w:rFonts w:ascii="Arial"/>
                <w:sz w:val="20"/>
              </w:rPr>
            </w:pPr>
            <w:r>
              <w:rPr>
                <w:rFonts w:ascii="Arial"/>
                <w:sz w:val="20"/>
              </w:rPr>
              <w:t>16,944</w:t>
            </w:r>
          </w:p>
        </w:tc>
        <w:tc>
          <w:tcPr>
            <w:tcW w:w="991" w:type="dxa"/>
            <w:tcBorders>
              <w:top w:val="nil"/>
              <w:left w:val="nil"/>
            </w:tcBorders>
          </w:tcPr>
          <w:p>
            <w:pPr>
              <w:pStyle w:val="TableParagraph"/>
              <w:spacing w:line="203" w:lineRule="exact" w:before="0"/>
              <w:ind w:right="65"/>
              <w:rPr>
                <w:rFonts w:ascii="Arial"/>
                <w:sz w:val="20"/>
              </w:rPr>
            </w:pPr>
            <w:r>
              <w:rPr>
                <w:rFonts w:ascii="Arial"/>
                <w:sz w:val="20"/>
              </w:rPr>
              <w:t>16,708</w:t>
            </w:r>
          </w:p>
        </w:tc>
      </w:tr>
    </w:tbl>
    <w:p>
      <w:pPr>
        <w:spacing w:after="0" w:line="203" w:lineRule="exact"/>
        <w:rPr>
          <w:rFonts w:ascii="Arial"/>
          <w:sz w:val="20"/>
        </w:rPr>
        <w:sectPr>
          <w:pgSz w:w="12240" w:h="15840"/>
          <w:pgMar w:header="725" w:footer="1084" w:top="1340" w:bottom="1280" w:left="920" w:right="1200"/>
        </w:sectPr>
      </w:pPr>
    </w:p>
    <w:p>
      <w:pPr>
        <w:pStyle w:val="Heading5"/>
        <w:tabs>
          <w:tab w:pos="1803" w:val="left" w:leader="none"/>
          <w:tab w:pos="2228" w:val="left" w:leader="none"/>
          <w:tab w:pos="3236" w:val="left" w:leader="none"/>
          <w:tab w:pos="4793" w:val="left" w:leader="none"/>
          <w:tab w:pos="5657" w:val="left" w:leader="none"/>
          <w:tab w:pos="7361" w:val="left" w:leader="none"/>
          <w:tab w:pos="8055" w:val="left" w:leader="none"/>
        </w:tabs>
        <w:spacing w:line="360" w:lineRule="auto" w:before="172"/>
        <w:ind w:left="781" w:right="500"/>
        <w:jc w:val="left"/>
      </w:pPr>
      <w:bookmarkStart w:name="_TOC_250005" w:id="204"/>
      <w:bookmarkStart w:name="Anexo 3. Datos utilizados para determina" w:id="205"/>
      <w:r>
        <w:rPr>
          <w:b w:val="0"/>
        </w:rPr>
      </w:r>
      <w:r>
        <w:rPr/>
        <w:t>ANEXO</w:t>
        <w:tab/>
        <w:t>3.</w:t>
        <w:tab/>
        <w:t>DATOS</w:t>
        <w:tab/>
        <w:t>UTILIZADOS</w:t>
        <w:tab/>
        <w:t>PARA</w:t>
        <w:tab/>
        <w:t>DETERMINAR</w:t>
        <w:tab/>
        <w:t>LOS</w:t>
        <w:tab/>
      </w:r>
      <w:r>
        <w:rPr>
          <w:spacing w:val="-1"/>
        </w:rPr>
        <w:t>PARÁMETROS </w:t>
      </w:r>
      <w:bookmarkEnd w:id="204"/>
      <w:r>
        <w:rPr/>
        <w:t>FISICOQUÍMICOS</w:t>
      </w:r>
    </w:p>
    <w:p>
      <w:pPr>
        <w:pStyle w:val="BodyText"/>
        <w:spacing w:before="2"/>
        <w:rPr>
          <w:b/>
          <w:sz w:val="18"/>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2"/>
        <w:gridCol w:w="1262"/>
        <w:gridCol w:w="1190"/>
        <w:gridCol w:w="617"/>
        <w:gridCol w:w="1190"/>
        <w:gridCol w:w="1188"/>
        <w:gridCol w:w="1188"/>
      </w:tblGrid>
      <w:tr>
        <w:trPr>
          <w:trHeight w:val="310" w:hRule="exact"/>
        </w:trPr>
        <w:tc>
          <w:tcPr>
            <w:tcW w:w="8978" w:type="dxa"/>
            <w:gridSpan w:val="8"/>
            <w:shd w:val="clear" w:color="auto" w:fill="E6B9B8"/>
          </w:tcPr>
          <w:p>
            <w:pPr>
              <w:pStyle w:val="TableParagraph"/>
              <w:ind w:left="3629" w:right="3628"/>
              <w:jc w:val="center"/>
              <w:rPr>
                <w:b/>
                <w:sz w:val="22"/>
              </w:rPr>
            </w:pPr>
            <w:r>
              <w:rPr>
                <w:b/>
                <w:sz w:val="22"/>
              </w:rPr>
              <w:t>Oxigeno (mg/L)</w:t>
            </w:r>
          </w:p>
        </w:tc>
      </w:tr>
      <w:tr>
        <w:trPr>
          <w:trHeight w:val="610" w:hRule="exact"/>
        </w:trPr>
        <w:tc>
          <w:tcPr>
            <w:tcW w:w="660" w:type="dxa"/>
            <w:vMerge w:val="restart"/>
            <w:shd w:val="clear" w:color="auto" w:fill="E6B9B8"/>
          </w:tcPr>
          <w:p>
            <w:pPr>
              <w:pStyle w:val="TableParagraph"/>
              <w:spacing w:before="5"/>
              <w:ind w:right="0"/>
              <w:jc w:val="left"/>
              <w:rPr>
                <w:rFonts w:ascii="Arial"/>
                <w:b/>
                <w:sz w:val="27"/>
              </w:rPr>
            </w:pPr>
          </w:p>
          <w:p>
            <w:pPr>
              <w:pStyle w:val="TableParagraph"/>
              <w:spacing w:before="0"/>
              <w:ind w:left="129" w:right="0"/>
              <w:jc w:val="left"/>
              <w:rPr>
                <w:b/>
                <w:sz w:val="22"/>
              </w:rPr>
            </w:pPr>
            <w:r>
              <w:rPr>
                <w:b/>
                <w:sz w:val="22"/>
              </w:rPr>
              <w:t>Días</w:t>
            </w:r>
          </w:p>
        </w:tc>
        <w:tc>
          <w:tcPr>
            <w:tcW w:w="1682" w:type="dxa"/>
            <w:vMerge w:val="restart"/>
            <w:shd w:val="clear" w:color="auto" w:fill="E6B9B8"/>
          </w:tcPr>
          <w:p>
            <w:pPr>
              <w:pStyle w:val="TableParagraph"/>
              <w:spacing w:before="5"/>
              <w:ind w:right="0"/>
              <w:jc w:val="left"/>
              <w:rPr>
                <w:rFonts w:ascii="Arial"/>
                <w:b/>
                <w:sz w:val="27"/>
              </w:rPr>
            </w:pPr>
          </w:p>
          <w:p>
            <w:pPr>
              <w:pStyle w:val="TableParagraph"/>
              <w:spacing w:before="0"/>
              <w:ind w:left="551" w:right="551"/>
              <w:jc w:val="center"/>
              <w:rPr>
                <w:b/>
                <w:sz w:val="22"/>
              </w:rPr>
            </w:pPr>
            <w:r>
              <w:rPr>
                <w:b/>
                <w:sz w:val="22"/>
              </w:rPr>
              <w:t>Fecha</w:t>
            </w:r>
          </w:p>
        </w:tc>
        <w:tc>
          <w:tcPr>
            <w:tcW w:w="6636" w:type="dxa"/>
            <w:gridSpan w:val="6"/>
            <w:shd w:val="clear" w:color="auto" w:fill="E6B9B8"/>
          </w:tcPr>
          <w:p>
            <w:pPr>
              <w:pStyle w:val="TableParagraph"/>
              <w:spacing w:before="162"/>
              <w:ind w:left="2371" w:right="2372"/>
              <w:jc w:val="center"/>
              <w:rPr>
                <w:b/>
                <w:sz w:val="22"/>
              </w:rPr>
            </w:pPr>
            <w:r>
              <w:rPr>
                <w:b/>
                <w:sz w:val="22"/>
              </w:rPr>
              <w:t>Puntos de muestreo</w:t>
            </w:r>
          </w:p>
        </w:tc>
      </w:tr>
      <w:tr>
        <w:trPr>
          <w:trHeight w:val="310" w:hRule="exact"/>
        </w:trPr>
        <w:tc>
          <w:tcPr>
            <w:tcW w:w="660" w:type="dxa"/>
            <w:vMerge/>
            <w:shd w:val="clear" w:color="auto" w:fill="E6B9B8"/>
          </w:tcPr>
          <w:p>
            <w:pPr/>
          </w:p>
        </w:tc>
        <w:tc>
          <w:tcPr>
            <w:tcW w:w="1682" w:type="dxa"/>
            <w:vMerge/>
            <w:shd w:val="clear" w:color="auto" w:fill="E6B9B8"/>
          </w:tcPr>
          <w:p>
            <w:pPr/>
          </w:p>
        </w:tc>
        <w:tc>
          <w:tcPr>
            <w:tcW w:w="1262" w:type="dxa"/>
            <w:shd w:val="clear" w:color="auto" w:fill="E6B9B8"/>
          </w:tcPr>
          <w:p>
            <w:pPr>
              <w:pStyle w:val="TableParagraph"/>
              <w:spacing w:before="13"/>
              <w:ind w:right="0"/>
              <w:jc w:val="center"/>
              <w:rPr>
                <w:b/>
                <w:sz w:val="22"/>
              </w:rPr>
            </w:pPr>
            <w:r>
              <w:rPr>
                <w:b/>
                <w:w w:val="100"/>
                <w:sz w:val="22"/>
              </w:rPr>
              <w:t>A</w:t>
            </w:r>
          </w:p>
        </w:tc>
        <w:tc>
          <w:tcPr>
            <w:tcW w:w="1190" w:type="dxa"/>
            <w:shd w:val="clear" w:color="auto" w:fill="E6B9B8"/>
          </w:tcPr>
          <w:p>
            <w:pPr>
              <w:pStyle w:val="TableParagraph"/>
              <w:spacing w:before="13"/>
              <w:ind w:right="1"/>
              <w:jc w:val="center"/>
              <w:rPr>
                <w:b/>
                <w:sz w:val="22"/>
              </w:rPr>
            </w:pPr>
            <w:r>
              <w:rPr>
                <w:b/>
                <w:w w:val="100"/>
                <w:sz w:val="22"/>
              </w:rPr>
              <w:t>B</w:t>
            </w:r>
          </w:p>
        </w:tc>
        <w:tc>
          <w:tcPr>
            <w:tcW w:w="617" w:type="dxa"/>
            <w:shd w:val="clear" w:color="auto" w:fill="E6B9B8"/>
          </w:tcPr>
          <w:p>
            <w:pPr>
              <w:pStyle w:val="TableParagraph"/>
              <w:ind w:right="0"/>
              <w:jc w:val="center"/>
              <w:rPr>
                <w:b/>
                <w:sz w:val="22"/>
              </w:rPr>
            </w:pPr>
            <w:r>
              <w:rPr>
                <w:b/>
                <w:w w:val="100"/>
                <w:sz w:val="22"/>
              </w:rPr>
              <w:t>C</w:t>
            </w:r>
          </w:p>
        </w:tc>
        <w:tc>
          <w:tcPr>
            <w:tcW w:w="1190" w:type="dxa"/>
            <w:shd w:val="clear" w:color="auto" w:fill="E6B9B8"/>
          </w:tcPr>
          <w:p>
            <w:pPr>
              <w:pStyle w:val="TableParagraph"/>
              <w:spacing w:before="13"/>
              <w:ind w:right="3"/>
              <w:jc w:val="center"/>
              <w:rPr>
                <w:b/>
                <w:sz w:val="22"/>
              </w:rPr>
            </w:pPr>
            <w:r>
              <w:rPr>
                <w:b/>
                <w:w w:val="100"/>
                <w:sz w:val="22"/>
              </w:rPr>
              <w:t>D</w:t>
            </w:r>
          </w:p>
        </w:tc>
        <w:tc>
          <w:tcPr>
            <w:tcW w:w="1188" w:type="dxa"/>
            <w:shd w:val="clear" w:color="auto" w:fill="E6B9B8"/>
          </w:tcPr>
          <w:p>
            <w:pPr>
              <w:pStyle w:val="TableParagraph"/>
              <w:spacing w:before="13"/>
              <w:ind w:right="0"/>
              <w:jc w:val="center"/>
              <w:rPr>
                <w:b/>
                <w:sz w:val="22"/>
              </w:rPr>
            </w:pPr>
            <w:r>
              <w:rPr>
                <w:b/>
                <w:w w:val="100"/>
                <w:sz w:val="22"/>
              </w:rPr>
              <w:t>E</w:t>
            </w:r>
          </w:p>
        </w:tc>
        <w:tc>
          <w:tcPr>
            <w:tcW w:w="1188" w:type="dxa"/>
            <w:shd w:val="clear" w:color="auto" w:fill="E6B9B8"/>
          </w:tcPr>
          <w:p>
            <w:pPr>
              <w:pStyle w:val="TableParagraph"/>
              <w:spacing w:before="13"/>
              <w:ind w:right="1"/>
              <w:jc w:val="center"/>
              <w:rPr>
                <w:b/>
                <w:sz w:val="22"/>
              </w:rPr>
            </w:pPr>
            <w:r>
              <w:rPr>
                <w:b/>
                <w:w w:val="100"/>
                <w:sz w:val="22"/>
              </w:rPr>
              <w:t>G</w:t>
            </w:r>
          </w:p>
        </w:tc>
      </w:tr>
      <w:tr>
        <w:trPr>
          <w:trHeight w:val="310" w:hRule="exact"/>
        </w:trPr>
        <w:tc>
          <w:tcPr>
            <w:tcW w:w="660" w:type="dxa"/>
            <w:shd w:val="clear" w:color="auto" w:fill="DBE4F0"/>
          </w:tcPr>
          <w:p>
            <w:pPr>
              <w:pStyle w:val="TableParagraph"/>
              <w:rPr>
                <w:sz w:val="22"/>
              </w:rPr>
            </w:pPr>
            <w:r>
              <w:rPr>
                <w:w w:val="100"/>
                <w:sz w:val="22"/>
              </w:rPr>
              <w:t>1</w:t>
            </w:r>
          </w:p>
        </w:tc>
        <w:tc>
          <w:tcPr>
            <w:tcW w:w="1682" w:type="dxa"/>
            <w:shd w:val="clear" w:color="auto" w:fill="DBE4F0"/>
          </w:tcPr>
          <w:p>
            <w:pPr>
              <w:pStyle w:val="TableParagraph"/>
              <w:rPr>
                <w:sz w:val="22"/>
              </w:rPr>
            </w:pPr>
            <w:r>
              <w:rPr>
                <w:sz w:val="22"/>
              </w:rPr>
              <w:t>20/06/2009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5.65</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rPr>
                <w:sz w:val="22"/>
              </w:rPr>
            </w:pPr>
            <w:r>
              <w:rPr>
                <w:w w:val="100"/>
                <w:sz w:val="22"/>
              </w:rPr>
              <w:t>2</w:t>
            </w:r>
          </w:p>
        </w:tc>
        <w:tc>
          <w:tcPr>
            <w:tcW w:w="1682" w:type="dxa"/>
            <w:shd w:val="clear" w:color="auto" w:fill="DBE4F0"/>
          </w:tcPr>
          <w:p>
            <w:pPr>
              <w:pStyle w:val="TableParagraph"/>
              <w:rPr>
                <w:sz w:val="22"/>
              </w:rPr>
            </w:pPr>
            <w:r>
              <w:rPr>
                <w:sz w:val="22"/>
              </w:rPr>
              <w:t>21/06/2009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5.31</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spacing w:before="29"/>
              <w:rPr>
                <w:sz w:val="22"/>
              </w:rPr>
            </w:pPr>
            <w:r>
              <w:rPr>
                <w:w w:val="100"/>
                <w:sz w:val="22"/>
              </w:rPr>
              <w:t>3</w:t>
            </w:r>
          </w:p>
        </w:tc>
        <w:tc>
          <w:tcPr>
            <w:tcW w:w="1682" w:type="dxa"/>
            <w:shd w:val="clear" w:color="auto" w:fill="DBE4F0"/>
          </w:tcPr>
          <w:p>
            <w:pPr>
              <w:pStyle w:val="TableParagraph"/>
              <w:spacing w:before="29"/>
              <w:rPr>
                <w:sz w:val="22"/>
              </w:rPr>
            </w:pPr>
            <w:r>
              <w:rPr>
                <w:sz w:val="22"/>
              </w:rPr>
              <w:t>22/06/2009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spacing w:before="29"/>
              <w:rPr>
                <w:sz w:val="22"/>
              </w:rPr>
            </w:pPr>
            <w:r>
              <w:rPr>
                <w:sz w:val="22"/>
              </w:rPr>
              <w:t>5.3</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w w:val="100"/>
                <w:sz w:val="22"/>
              </w:rPr>
              <w:t>4</w:t>
            </w:r>
          </w:p>
        </w:tc>
        <w:tc>
          <w:tcPr>
            <w:tcW w:w="1682" w:type="dxa"/>
            <w:shd w:val="clear" w:color="auto" w:fill="DBE4F0"/>
          </w:tcPr>
          <w:p>
            <w:pPr>
              <w:pStyle w:val="TableParagraph"/>
              <w:rPr>
                <w:sz w:val="22"/>
              </w:rPr>
            </w:pPr>
            <w:r>
              <w:rPr>
                <w:sz w:val="22"/>
              </w:rPr>
              <w:t>23/06/2009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5.55</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w w:val="100"/>
                <w:sz w:val="22"/>
              </w:rPr>
              <w:t>5</w:t>
            </w:r>
          </w:p>
        </w:tc>
        <w:tc>
          <w:tcPr>
            <w:tcW w:w="1682" w:type="dxa"/>
            <w:shd w:val="clear" w:color="auto" w:fill="DBE4F0"/>
          </w:tcPr>
          <w:p>
            <w:pPr>
              <w:pStyle w:val="TableParagraph"/>
              <w:rPr>
                <w:sz w:val="22"/>
              </w:rPr>
            </w:pPr>
            <w:r>
              <w:rPr>
                <w:sz w:val="22"/>
              </w:rPr>
              <w:t>24/06/2009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5.4</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w w:val="100"/>
                <w:sz w:val="22"/>
              </w:rPr>
              <w:t>6</w:t>
            </w:r>
          </w:p>
        </w:tc>
        <w:tc>
          <w:tcPr>
            <w:tcW w:w="1682" w:type="dxa"/>
            <w:shd w:val="clear" w:color="auto" w:fill="DBE4F0"/>
          </w:tcPr>
          <w:p>
            <w:pPr>
              <w:pStyle w:val="TableParagraph"/>
              <w:rPr>
                <w:sz w:val="22"/>
              </w:rPr>
            </w:pPr>
            <w:r>
              <w:rPr>
                <w:sz w:val="22"/>
              </w:rPr>
              <w:t>25/06/2009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5.46</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w w:val="100"/>
                <w:sz w:val="22"/>
              </w:rPr>
              <w:t>7</w:t>
            </w:r>
          </w:p>
        </w:tc>
        <w:tc>
          <w:tcPr>
            <w:tcW w:w="1682" w:type="dxa"/>
            <w:shd w:val="clear" w:color="auto" w:fill="DBE4F0"/>
          </w:tcPr>
          <w:p>
            <w:pPr>
              <w:pStyle w:val="TableParagraph"/>
              <w:rPr>
                <w:sz w:val="22"/>
              </w:rPr>
            </w:pPr>
            <w:r>
              <w:rPr>
                <w:sz w:val="22"/>
              </w:rPr>
              <w:t>26/06/2009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5.18</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rPr>
                <w:sz w:val="22"/>
              </w:rPr>
            </w:pPr>
            <w:r>
              <w:rPr>
                <w:w w:val="100"/>
                <w:sz w:val="22"/>
              </w:rPr>
              <w:t>8</w:t>
            </w:r>
          </w:p>
        </w:tc>
        <w:tc>
          <w:tcPr>
            <w:tcW w:w="1682" w:type="dxa"/>
            <w:shd w:val="clear" w:color="auto" w:fill="DBE4F0"/>
          </w:tcPr>
          <w:p>
            <w:pPr>
              <w:pStyle w:val="TableParagraph"/>
              <w:rPr>
                <w:sz w:val="22"/>
              </w:rPr>
            </w:pPr>
            <w:r>
              <w:rPr>
                <w:sz w:val="22"/>
              </w:rPr>
              <w:t>27/06/2009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5.71</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spacing w:before="29"/>
              <w:rPr>
                <w:sz w:val="22"/>
              </w:rPr>
            </w:pPr>
            <w:r>
              <w:rPr>
                <w:w w:val="100"/>
                <w:sz w:val="22"/>
              </w:rPr>
              <w:t>9</w:t>
            </w:r>
          </w:p>
        </w:tc>
        <w:tc>
          <w:tcPr>
            <w:tcW w:w="1682" w:type="dxa"/>
            <w:shd w:val="clear" w:color="auto" w:fill="DBE4F0"/>
          </w:tcPr>
          <w:p>
            <w:pPr>
              <w:pStyle w:val="TableParagraph"/>
              <w:spacing w:before="29"/>
              <w:rPr>
                <w:sz w:val="22"/>
              </w:rPr>
            </w:pPr>
            <w:r>
              <w:rPr>
                <w:sz w:val="22"/>
              </w:rPr>
              <w:t>28/06/2009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spacing w:before="29"/>
              <w:rPr>
                <w:sz w:val="22"/>
              </w:rPr>
            </w:pPr>
            <w:r>
              <w:rPr>
                <w:sz w:val="22"/>
              </w:rPr>
              <w:t>5.61</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10</w:t>
            </w:r>
          </w:p>
        </w:tc>
        <w:tc>
          <w:tcPr>
            <w:tcW w:w="1682" w:type="dxa"/>
            <w:shd w:val="clear" w:color="auto" w:fill="DBE4F0"/>
          </w:tcPr>
          <w:p>
            <w:pPr>
              <w:pStyle w:val="TableParagraph"/>
              <w:rPr>
                <w:sz w:val="22"/>
              </w:rPr>
            </w:pPr>
            <w:r>
              <w:rPr>
                <w:sz w:val="22"/>
              </w:rPr>
              <w:t>29/06/2009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5.78</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11</w:t>
            </w:r>
          </w:p>
        </w:tc>
        <w:tc>
          <w:tcPr>
            <w:tcW w:w="1682" w:type="dxa"/>
            <w:shd w:val="clear" w:color="auto" w:fill="DBE4F0"/>
          </w:tcPr>
          <w:p>
            <w:pPr>
              <w:pStyle w:val="TableParagraph"/>
              <w:rPr>
                <w:sz w:val="22"/>
              </w:rPr>
            </w:pPr>
            <w:r>
              <w:rPr>
                <w:sz w:val="22"/>
              </w:rPr>
              <w:t>30/06/2009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5.65</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12</w:t>
            </w:r>
          </w:p>
        </w:tc>
        <w:tc>
          <w:tcPr>
            <w:tcW w:w="1682" w:type="dxa"/>
            <w:shd w:val="clear" w:color="auto" w:fill="DBE4F0"/>
          </w:tcPr>
          <w:p>
            <w:pPr>
              <w:pStyle w:val="TableParagraph"/>
              <w:rPr>
                <w:sz w:val="22"/>
              </w:rPr>
            </w:pPr>
            <w:r>
              <w:rPr>
                <w:sz w:val="22"/>
              </w:rPr>
              <w:t>01/07/2009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5.7</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13</w:t>
            </w:r>
          </w:p>
        </w:tc>
        <w:tc>
          <w:tcPr>
            <w:tcW w:w="1682" w:type="dxa"/>
            <w:shd w:val="clear" w:color="auto" w:fill="DBE4F0"/>
          </w:tcPr>
          <w:p>
            <w:pPr>
              <w:pStyle w:val="TableParagraph"/>
              <w:rPr>
                <w:sz w:val="22"/>
              </w:rPr>
            </w:pPr>
            <w:r>
              <w:rPr>
                <w:sz w:val="22"/>
              </w:rPr>
              <w:t>02/07/2009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5.4</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rPr>
                <w:sz w:val="22"/>
              </w:rPr>
            </w:pPr>
            <w:r>
              <w:rPr>
                <w:sz w:val="22"/>
              </w:rPr>
              <w:t>14</w:t>
            </w:r>
          </w:p>
        </w:tc>
        <w:tc>
          <w:tcPr>
            <w:tcW w:w="1682" w:type="dxa"/>
            <w:shd w:val="clear" w:color="auto" w:fill="DBE4F0"/>
          </w:tcPr>
          <w:p>
            <w:pPr>
              <w:pStyle w:val="TableParagraph"/>
              <w:rPr>
                <w:sz w:val="22"/>
              </w:rPr>
            </w:pPr>
            <w:r>
              <w:rPr>
                <w:sz w:val="22"/>
              </w:rPr>
              <w:t>03/07/2009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5.46</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spacing w:before="29"/>
              <w:rPr>
                <w:sz w:val="22"/>
              </w:rPr>
            </w:pPr>
            <w:r>
              <w:rPr>
                <w:sz w:val="22"/>
              </w:rPr>
              <w:t>15</w:t>
            </w:r>
          </w:p>
        </w:tc>
        <w:tc>
          <w:tcPr>
            <w:tcW w:w="1682" w:type="dxa"/>
            <w:shd w:val="clear" w:color="auto" w:fill="DBE4F0"/>
          </w:tcPr>
          <w:p>
            <w:pPr>
              <w:pStyle w:val="TableParagraph"/>
              <w:spacing w:before="29"/>
              <w:rPr>
                <w:sz w:val="22"/>
              </w:rPr>
            </w:pPr>
            <w:r>
              <w:rPr>
                <w:sz w:val="22"/>
              </w:rPr>
              <w:t>04/07/2009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spacing w:before="29"/>
              <w:rPr>
                <w:sz w:val="22"/>
              </w:rPr>
            </w:pPr>
            <w:r>
              <w:rPr>
                <w:sz w:val="22"/>
              </w:rPr>
              <w:t>6.56</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16</w:t>
            </w:r>
          </w:p>
        </w:tc>
        <w:tc>
          <w:tcPr>
            <w:tcW w:w="1682" w:type="dxa"/>
            <w:shd w:val="clear" w:color="auto" w:fill="DBE4F0"/>
          </w:tcPr>
          <w:p>
            <w:pPr>
              <w:pStyle w:val="TableParagraph"/>
              <w:rPr>
                <w:sz w:val="22"/>
              </w:rPr>
            </w:pPr>
            <w:r>
              <w:rPr>
                <w:sz w:val="22"/>
              </w:rPr>
              <w:t>05/07/2009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6.58</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17</w:t>
            </w:r>
          </w:p>
        </w:tc>
        <w:tc>
          <w:tcPr>
            <w:tcW w:w="1682" w:type="dxa"/>
            <w:shd w:val="clear" w:color="auto" w:fill="DBE4F0"/>
          </w:tcPr>
          <w:p>
            <w:pPr>
              <w:pStyle w:val="TableParagraph"/>
              <w:rPr>
                <w:sz w:val="22"/>
              </w:rPr>
            </w:pPr>
            <w:r>
              <w:rPr>
                <w:sz w:val="22"/>
              </w:rPr>
              <w:t>06/07/2009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6.55</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18</w:t>
            </w:r>
          </w:p>
        </w:tc>
        <w:tc>
          <w:tcPr>
            <w:tcW w:w="1682" w:type="dxa"/>
            <w:shd w:val="clear" w:color="auto" w:fill="DBE4F0"/>
          </w:tcPr>
          <w:p>
            <w:pPr>
              <w:pStyle w:val="TableParagraph"/>
              <w:rPr>
                <w:sz w:val="22"/>
              </w:rPr>
            </w:pPr>
            <w:r>
              <w:rPr>
                <w:sz w:val="22"/>
              </w:rPr>
              <w:t>07/07/2009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6.42</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19</w:t>
            </w:r>
          </w:p>
        </w:tc>
        <w:tc>
          <w:tcPr>
            <w:tcW w:w="1682" w:type="dxa"/>
            <w:shd w:val="clear" w:color="auto" w:fill="DBE4F0"/>
          </w:tcPr>
          <w:p>
            <w:pPr>
              <w:pStyle w:val="TableParagraph"/>
              <w:rPr>
                <w:sz w:val="22"/>
              </w:rPr>
            </w:pPr>
            <w:r>
              <w:rPr>
                <w:sz w:val="22"/>
              </w:rPr>
              <w:t>08/07/2009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6.57</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rPr>
                <w:sz w:val="22"/>
              </w:rPr>
            </w:pPr>
            <w:r>
              <w:rPr>
                <w:sz w:val="22"/>
              </w:rPr>
              <w:t>20</w:t>
            </w:r>
          </w:p>
        </w:tc>
        <w:tc>
          <w:tcPr>
            <w:tcW w:w="1682" w:type="dxa"/>
            <w:shd w:val="clear" w:color="auto" w:fill="DBE4F0"/>
          </w:tcPr>
          <w:p>
            <w:pPr>
              <w:pStyle w:val="TableParagraph"/>
              <w:rPr>
                <w:sz w:val="22"/>
              </w:rPr>
            </w:pPr>
            <w:r>
              <w:rPr>
                <w:sz w:val="22"/>
              </w:rPr>
              <w:t>09/07/2009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6.34</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spacing w:before="29"/>
              <w:rPr>
                <w:sz w:val="22"/>
              </w:rPr>
            </w:pPr>
            <w:r>
              <w:rPr>
                <w:sz w:val="22"/>
              </w:rPr>
              <w:t>21</w:t>
            </w:r>
          </w:p>
        </w:tc>
        <w:tc>
          <w:tcPr>
            <w:tcW w:w="1682" w:type="dxa"/>
            <w:shd w:val="clear" w:color="auto" w:fill="DBE4F0"/>
          </w:tcPr>
          <w:p>
            <w:pPr>
              <w:pStyle w:val="TableParagraph"/>
              <w:spacing w:before="29"/>
              <w:rPr>
                <w:sz w:val="22"/>
              </w:rPr>
            </w:pPr>
            <w:r>
              <w:rPr>
                <w:sz w:val="22"/>
              </w:rPr>
              <w:t>10/07/2009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spacing w:before="29"/>
              <w:rPr>
                <w:sz w:val="22"/>
              </w:rPr>
            </w:pPr>
            <w:r>
              <w:rPr>
                <w:sz w:val="22"/>
              </w:rPr>
              <w:t>6.38</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22</w:t>
            </w:r>
          </w:p>
        </w:tc>
        <w:tc>
          <w:tcPr>
            <w:tcW w:w="1682" w:type="dxa"/>
            <w:shd w:val="clear" w:color="auto" w:fill="DBE4F0"/>
          </w:tcPr>
          <w:p>
            <w:pPr>
              <w:pStyle w:val="TableParagraph"/>
              <w:rPr>
                <w:sz w:val="22"/>
              </w:rPr>
            </w:pPr>
            <w:r>
              <w:rPr>
                <w:sz w:val="22"/>
              </w:rPr>
              <w:t>11/07/2009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6.49</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23</w:t>
            </w:r>
          </w:p>
        </w:tc>
        <w:tc>
          <w:tcPr>
            <w:tcW w:w="1682" w:type="dxa"/>
            <w:shd w:val="clear" w:color="auto" w:fill="DBE4F0"/>
          </w:tcPr>
          <w:p>
            <w:pPr>
              <w:pStyle w:val="TableParagraph"/>
              <w:rPr>
                <w:sz w:val="22"/>
              </w:rPr>
            </w:pPr>
            <w:r>
              <w:rPr>
                <w:sz w:val="22"/>
              </w:rPr>
              <w:t>12/07/2009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5.33</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24</w:t>
            </w:r>
          </w:p>
        </w:tc>
        <w:tc>
          <w:tcPr>
            <w:tcW w:w="1682" w:type="dxa"/>
            <w:shd w:val="clear" w:color="auto" w:fill="DBE4F0"/>
          </w:tcPr>
          <w:p>
            <w:pPr>
              <w:pStyle w:val="TableParagraph"/>
              <w:rPr>
                <w:sz w:val="22"/>
              </w:rPr>
            </w:pPr>
            <w:r>
              <w:rPr>
                <w:sz w:val="22"/>
              </w:rPr>
              <w:t>13/07/2009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5.49</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25</w:t>
            </w:r>
          </w:p>
        </w:tc>
        <w:tc>
          <w:tcPr>
            <w:tcW w:w="1682" w:type="dxa"/>
            <w:shd w:val="clear" w:color="auto" w:fill="DBE4F0"/>
          </w:tcPr>
          <w:p>
            <w:pPr>
              <w:pStyle w:val="TableParagraph"/>
              <w:rPr>
                <w:sz w:val="22"/>
              </w:rPr>
            </w:pPr>
            <w:r>
              <w:rPr>
                <w:sz w:val="22"/>
              </w:rPr>
              <w:t>14/07/2009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5.31</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rPr>
                <w:sz w:val="22"/>
              </w:rPr>
            </w:pPr>
            <w:r>
              <w:rPr>
                <w:sz w:val="22"/>
              </w:rPr>
              <w:t>26</w:t>
            </w:r>
          </w:p>
        </w:tc>
        <w:tc>
          <w:tcPr>
            <w:tcW w:w="1682" w:type="dxa"/>
            <w:shd w:val="clear" w:color="auto" w:fill="DBE4F0"/>
          </w:tcPr>
          <w:p>
            <w:pPr>
              <w:pStyle w:val="TableParagraph"/>
              <w:rPr>
                <w:sz w:val="22"/>
              </w:rPr>
            </w:pPr>
            <w:r>
              <w:rPr>
                <w:sz w:val="22"/>
              </w:rPr>
              <w:t>15/07/2009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5.43</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spacing w:before="29"/>
              <w:rPr>
                <w:sz w:val="22"/>
              </w:rPr>
            </w:pPr>
            <w:r>
              <w:rPr>
                <w:sz w:val="22"/>
              </w:rPr>
              <w:t>27</w:t>
            </w:r>
          </w:p>
        </w:tc>
        <w:tc>
          <w:tcPr>
            <w:tcW w:w="1682" w:type="dxa"/>
            <w:shd w:val="clear" w:color="auto" w:fill="DBE4F0"/>
          </w:tcPr>
          <w:p>
            <w:pPr>
              <w:pStyle w:val="TableParagraph"/>
              <w:spacing w:before="29"/>
              <w:rPr>
                <w:sz w:val="22"/>
              </w:rPr>
            </w:pPr>
            <w:r>
              <w:rPr>
                <w:sz w:val="22"/>
              </w:rPr>
              <w:t>16/07/2009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spacing w:before="29"/>
              <w:rPr>
                <w:sz w:val="22"/>
              </w:rPr>
            </w:pPr>
            <w:r>
              <w:rPr>
                <w:sz w:val="22"/>
              </w:rPr>
              <w:t>5.36</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28</w:t>
            </w:r>
          </w:p>
        </w:tc>
        <w:tc>
          <w:tcPr>
            <w:tcW w:w="1682" w:type="dxa"/>
            <w:shd w:val="clear" w:color="auto" w:fill="DBE4F0"/>
          </w:tcPr>
          <w:p>
            <w:pPr>
              <w:pStyle w:val="TableParagraph"/>
              <w:rPr>
                <w:sz w:val="22"/>
              </w:rPr>
            </w:pPr>
            <w:r>
              <w:rPr>
                <w:sz w:val="22"/>
              </w:rPr>
              <w:t>17/07/2009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5.9</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29</w:t>
            </w:r>
          </w:p>
        </w:tc>
        <w:tc>
          <w:tcPr>
            <w:tcW w:w="1682" w:type="dxa"/>
            <w:shd w:val="clear" w:color="auto" w:fill="DBE4F0"/>
          </w:tcPr>
          <w:p>
            <w:pPr>
              <w:pStyle w:val="TableParagraph"/>
              <w:rPr>
                <w:sz w:val="22"/>
              </w:rPr>
            </w:pPr>
            <w:r>
              <w:rPr>
                <w:sz w:val="22"/>
              </w:rPr>
              <w:t>18/07/2009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6.09</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30</w:t>
            </w:r>
          </w:p>
        </w:tc>
        <w:tc>
          <w:tcPr>
            <w:tcW w:w="1682" w:type="dxa"/>
            <w:shd w:val="clear" w:color="auto" w:fill="DBE4F0"/>
          </w:tcPr>
          <w:p>
            <w:pPr>
              <w:pStyle w:val="TableParagraph"/>
              <w:rPr>
                <w:sz w:val="22"/>
              </w:rPr>
            </w:pPr>
            <w:r>
              <w:rPr>
                <w:sz w:val="22"/>
              </w:rPr>
              <w:t>19/07/2009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5.79</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31</w:t>
            </w:r>
          </w:p>
        </w:tc>
        <w:tc>
          <w:tcPr>
            <w:tcW w:w="1682" w:type="dxa"/>
            <w:shd w:val="clear" w:color="auto" w:fill="DBE4F0"/>
          </w:tcPr>
          <w:p>
            <w:pPr>
              <w:pStyle w:val="TableParagraph"/>
              <w:rPr>
                <w:sz w:val="22"/>
              </w:rPr>
            </w:pPr>
            <w:r>
              <w:rPr>
                <w:sz w:val="22"/>
              </w:rPr>
              <w:t>20/07/2009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5.8</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rPr>
                <w:sz w:val="22"/>
              </w:rPr>
            </w:pPr>
            <w:r>
              <w:rPr>
                <w:sz w:val="22"/>
              </w:rPr>
              <w:t>32</w:t>
            </w:r>
          </w:p>
        </w:tc>
        <w:tc>
          <w:tcPr>
            <w:tcW w:w="1682" w:type="dxa"/>
            <w:shd w:val="clear" w:color="auto" w:fill="DBE4F0"/>
          </w:tcPr>
          <w:p>
            <w:pPr>
              <w:pStyle w:val="TableParagraph"/>
              <w:rPr>
                <w:sz w:val="22"/>
              </w:rPr>
            </w:pPr>
            <w:r>
              <w:rPr>
                <w:sz w:val="22"/>
              </w:rPr>
              <w:t>21/07/2009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5.2</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1" w:hRule="exact"/>
        </w:trPr>
        <w:tc>
          <w:tcPr>
            <w:tcW w:w="660" w:type="dxa"/>
            <w:shd w:val="clear" w:color="auto" w:fill="DBE4F0"/>
          </w:tcPr>
          <w:p>
            <w:pPr>
              <w:pStyle w:val="TableParagraph"/>
              <w:spacing w:before="29"/>
              <w:rPr>
                <w:sz w:val="22"/>
              </w:rPr>
            </w:pPr>
            <w:r>
              <w:rPr>
                <w:sz w:val="22"/>
              </w:rPr>
              <w:t>33</w:t>
            </w:r>
          </w:p>
        </w:tc>
        <w:tc>
          <w:tcPr>
            <w:tcW w:w="1682" w:type="dxa"/>
            <w:shd w:val="clear" w:color="auto" w:fill="DBE4F0"/>
          </w:tcPr>
          <w:p>
            <w:pPr>
              <w:pStyle w:val="TableParagraph"/>
              <w:spacing w:before="29"/>
              <w:rPr>
                <w:sz w:val="22"/>
              </w:rPr>
            </w:pPr>
            <w:r>
              <w:rPr>
                <w:sz w:val="22"/>
              </w:rPr>
              <w:t>22/07/2009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spacing w:before="29"/>
              <w:rPr>
                <w:sz w:val="22"/>
              </w:rPr>
            </w:pPr>
            <w:r>
              <w:rPr>
                <w:sz w:val="22"/>
              </w:rPr>
              <w:t>5.4</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34</w:t>
            </w:r>
          </w:p>
        </w:tc>
        <w:tc>
          <w:tcPr>
            <w:tcW w:w="1682" w:type="dxa"/>
            <w:shd w:val="clear" w:color="auto" w:fill="DBE4F0"/>
          </w:tcPr>
          <w:p>
            <w:pPr>
              <w:pStyle w:val="TableParagraph"/>
              <w:rPr>
                <w:sz w:val="22"/>
              </w:rPr>
            </w:pPr>
            <w:r>
              <w:rPr>
                <w:sz w:val="22"/>
              </w:rPr>
              <w:t>23/07/2009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5.45</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bl>
    <w:p>
      <w:pPr>
        <w:spacing w:after="0"/>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2"/>
        <w:gridCol w:w="1262"/>
        <w:gridCol w:w="1190"/>
        <w:gridCol w:w="617"/>
        <w:gridCol w:w="1190"/>
        <w:gridCol w:w="1188"/>
        <w:gridCol w:w="1188"/>
      </w:tblGrid>
      <w:tr>
        <w:trPr>
          <w:trHeight w:val="310" w:hRule="exact"/>
        </w:trPr>
        <w:tc>
          <w:tcPr>
            <w:tcW w:w="8978" w:type="dxa"/>
            <w:gridSpan w:val="8"/>
            <w:shd w:val="clear" w:color="auto" w:fill="E6B9B8"/>
          </w:tcPr>
          <w:p>
            <w:pPr>
              <w:pStyle w:val="TableParagraph"/>
              <w:ind w:left="3629" w:right="3628"/>
              <w:jc w:val="center"/>
              <w:rPr>
                <w:b/>
                <w:sz w:val="22"/>
              </w:rPr>
            </w:pPr>
            <w:r>
              <w:rPr>
                <w:b/>
                <w:sz w:val="22"/>
              </w:rPr>
              <w:t>Oxigeno (mg/L)</w:t>
            </w:r>
          </w:p>
        </w:tc>
      </w:tr>
      <w:tr>
        <w:trPr>
          <w:trHeight w:val="610" w:hRule="exact"/>
        </w:trPr>
        <w:tc>
          <w:tcPr>
            <w:tcW w:w="660" w:type="dxa"/>
            <w:vMerge w:val="restart"/>
            <w:shd w:val="clear" w:color="auto" w:fill="E6B9B8"/>
          </w:tcPr>
          <w:p>
            <w:pPr>
              <w:pStyle w:val="TableParagraph"/>
              <w:spacing w:before="8"/>
              <w:ind w:right="0"/>
              <w:jc w:val="left"/>
              <w:rPr>
                <w:rFonts w:ascii="Times New Roman"/>
                <w:sz w:val="27"/>
              </w:rPr>
            </w:pPr>
          </w:p>
          <w:p>
            <w:pPr>
              <w:pStyle w:val="TableParagraph"/>
              <w:spacing w:before="0"/>
              <w:ind w:left="129" w:right="0"/>
              <w:jc w:val="left"/>
              <w:rPr>
                <w:b/>
                <w:sz w:val="22"/>
              </w:rPr>
            </w:pPr>
            <w:r>
              <w:rPr>
                <w:b/>
                <w:sz w:val="22"/>
              </w:rPr>
              <w:t>Días</w:t>
            </w:r>
          </w:p>
        </w:tc>
        <w:tc>
          <w:tcPr>
            <w:tcW w:w="1682" w:type="dxa"/>
            <w:vMerge w:val="restart"/>
            <w:shd w:val="clear" w:color="auto" w:fill="E6B9B8"/>
          </w:tcPr>
          <w:p>
            <w:pPr>
              <w:pStyle w:val="TableParagraph"/>
              <w:spacing w:before="8"/>
              <w:ind w:right="0"/>
              <w:jc w:val="left"/>
              <w:rPr>
                <w:rFonts w:ascii="Times New Roman"/>
                <w:sz w:val="27"/>
              </w:rPr>
            </w:pPr>
          </w:p>
          <w:p>
            <w:pPr>
              <w:pStyle w:val="TableParagraph"/>
              <w:spacing w:before="0"/>
              <w:ind w:left="551" w:right="551"/>
              <w:jc w:val="center"/>
              <w:rPr>
                <w:b/>
                <w:sz w:val="22"/>
              </w:rPr>
            </w:pPr>
            <w:r>
              <w:rPr>
                <w:b/>
                <w:sz w:val="22"/>
              </w:rPr>
              <w:t>Fecha</w:t>
            </w:r>
          </w:p>
        </w:tc>
        <w:tc>
          <w:tcPr>
            <w:tcW w:w="6636" w:type="dxa"/>
            <w:gridSpan w:val="6"/>
            <w:shd w:val="clear" w:color="auto" w:fill="E6B9B8"/>
          </w:tcPr>
          <w:p>
            <w:pPr>
              <w:pStyle w:val="TableParagraph"/>
              <w:spacing w:before="162"/>
              <w:ind w:left="2371" w:right="2372"/>
              <w:jc w:val="center"/>
              <w:rPr>
                <w:b/>
                <w:sz w:val="22"/>
              </w:rPr>
            </w:pPr>
            <w:r>
              <w:rPr>
                <w:b/>
                <w:sz w:val="22"/>
              </w:rPr>
              <w:t>Puntos de muestreo</w:t>
            </w:r>
          </w:p>
        </w:tc>
      </w:tr>
      <w:tr>
        <w:trPr>
          <w:trHeight w:val="311" w:hRule="exact"/>
        </w:trPr>
        <w:tc>
          <w:tcPr>
            <w:tcW w:w="660" w:type="dxa"/>
            <w:vMerge/>
            <w:shd w:val="clear" w:color="auto" w:fill="E6B9B8"/>
          </w:tcPr>
          <w:p>
            <w:pPr/>
          </w:p>
        </w:tc>
        <w:tc>
          <w:tcPr>
            <w:tcW w:w="1682" w:type="dxa"/>
            <w:vMerge/>
            <w:shd w:val="clear" w:color="auto" w:fill="E6B9B8"/>
          </w:tcPr>
          <w:p>
            <w:pPr/>
          </w:p>
        </w:tc>
        <w:tc>
          <w:tcPr>
            <w:tcW w:w="1262" w:type="dxa"/>
            <w:shd w:val="clear" w:color="auto" w:fill="E6B9B8"/>
          </w:tcPr>
          <w:p>
            <w:pPr>
              <w:pStyle w:val="TableParagraph"/>
              <w:spacing w:before="13"/>
              <w:ind w:right="0"/>
              <w:jc w:val="center"/>
              <w:rPr>
                <w:b/>
                <w:sz w:val="22"/>
              </w:rPr>
            </w:pPr>
            <w:r>
              <w:rPr>
                <w:b/>
                <w:w w:val="100"/>
                <w:sz w:val="22"/>
              </w:rPr>
              <w:t>A</w:t>
            </w:r>
          </w:p>
        </w:tc>
        <w:tc>
          <w:tcPr>
            <w:tcW w:w="1190" w:type="dxa"/>
            <w:shd w:val="clear" w:color="auto" w:fill="E6B9B8"/>
          </w:tcPr>
          <w:p>
            <w:pPr>
              <w:pStyle w:val="TableParagraph"/>
              <w:spacing w:before="13"/>
              <w:ind w:right="1"/>
              <w:jc w:val="center"/>
              <w:rPr>
                <w:b/>
                <w:sz w:val="22"/>
              </w:rPr>
            </w:pPr>
            <w:r>
              <w:rPr>
                <w:b/>
                <w:w w:val="100"/>
                <w:sz w:val="22"/>
              </w:rPr>
              <w:t>B</w:t>
            </w:r>
          </w:p>
        </w:tc>
        <w:tc>
          <w:tcPr>
            <w:tcW w:w="617" w:type="dxa"/>
            <w:shd w:val="clear" w:color="auto" w:fill="E6B9B8"/>
          </w:tcPr>
          <w:p>
            <w:pPr>
              <w:pStyle w:val="TableParagraph"/>
              <w:spacing w:before="30"/>
              <w:ind w:right="0"/>
              <w:jc w:val="center"/>
              <w:rPr>
                <w:b/>
                <w:sz w:val="22"/>
              </w:rPr>
            </w:pPr>
            <w:r>
              <w:rPr>
                <w:b/>
                <w:w w:val="100"/>
                <w:sz w:val="22"/>
              </w:rPr>
              <w:t>C</w:t>
            </w:r>
          </w:p>
        </w:tc>
        <w:tc>
          <w:tcPr>
            <w:tcW w:w="1190" w:type="dxa"/>
            <w:shd w:val="clear" w:color="auto" w:fill="E6B9B8"/>
          </w:tcPr>
          <w:p>
            <w:pPr>
              <w:pStyle w:val="TableParagraph"/>
              <w:spacing w:before="13"/>
              <w:ind w:right="3"/>
              <w:jc w:val="center"/>
              <w:rPr>
                <w:b/>
                <w:sz w:val="22"/>
              </w:rPr>
            </w:pPr>
            <w:r>
              <w:rPr>
                <w:b/>
                <w:w w:val="100"/>
                <w:sz w:val="22"/>
              </w:rPr>
              <w:t>D</w:t>
            </w:r>
          </w:p>
        </w:tc>
        <w:tc>
          <w:tcPr>
            <w:tcW w:w="1188" w:type="dxa"/>
            <w:shd w:val="clear" w:color="auto" w:fill="E6B9B8"/>
          </w:tcPr>
          <w:p>
            <w:pPr>
              <w:pStyle w:val="TableParagraph"/>
              <w:spacing w:before="13"/>
              <w:ind w:right="0"/>
              <w:jc w:val="center"/>
              <w:rPr>
                <w:b/>
                <w:sz w:val="22"/>
              </w:rPr>
            </w:pPr>
            <w:r>
              <w:rPr>
                <w:b/>
                <w:w w:val="100"/>
                <w:sz w:val="22"/>
              </w:rPr>
              <w:t>E</w:t>
            </w:r>
          </w:p>
        </w:tc>
        <w:tc>
          <w:tcPr>
            <w:tcW w:w="1188" w:type="dxa"/>
            <w:shd w:val="clear" w:color="auto" w:fill="E6B9B8"/>
          </w:tcPr>
          <w:p>
            <w:pPr>
              <w:pStyle w:val="TableParagraph"/>
              <w:spacing w:before="13"/>
              <w:ind w:right="1"/>
              <w:jc w:val="center"/>
              <w:rPr>
                <w:b/>
                <w:sz w:val="22"/>
              </w:rPr>
            </w:pPr>
            <w:r>
              <w:rPr>
                <w:b/>
                <w:w w:val="100"/>
                <w:sz w:val="22"/>
              </w:rPr>
              <w:t>G</w:t>
            </w:r>
          </w:p>
        </w:tc>
      </w:tr>
      <w:tr>
        <w:trPr>
          <w:trHeight w:val="311" w:hRule="exact"/>
        </w:trPr>
        <w:tc>
          <w:tcPr>
            <w:tcW w:w="660" w:type="dxa"/>
            <w:shd w:val="clear" w:color="auto" w:fill="DBE4F0"/>
          </w:tcPr>
          <w:p>
            <w:pPr>
              <w:pStyle w:val="TableParagraph"/>
              <w:spacing w:before="29"/>
              <w:rPr>
                <w:sz w:val="22"/>
              </w:rPr>
            </w:pPr>
            <w:r>
              <w:rPr>
                <w:sz w:val="22"/>
              </w:rPr>
              <w:t>35</w:t>
            </w:r>
          </w:p>
        </w:tc>
        <w:tc>
          <w:tcPr>
            <w:tcW w:w="1682" w:type="dxa"/>
            <w:shd w:val="clear" w:color="auto" w:fill="DBE4F0"/>
          </w:tcPr>
          <w:p>
            <w:pPr>
              <w:pStyle w:val="TableParagraph"/>
              <w:spacing w:before="29"/>
              <w:rPr>
                <w:sz w:val="22"/>
              </w:rPr>
            </w:pPr>
            <w:r>
              <w:rPr>
                <w:sz w:val="22"/>
              </w:rPr>
              <w:t>24/07/2009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spacing w:before="29"/>
              <w:rPr>
                <w:sz w:val="22"/>
              </w:rPr>
            </w:pPr>
            <w:r>
              <w:rPr>
                <w:sz w:val="22"/>
              </w:rPr>
              <w:t>5.21</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36</w:t>
            </w:r>
          </w:p>
        </w:tc>
        <w:tc>
          <w:tcPr>
            <w:tcW w:w="1682" w:type="dxa"/>
            <w:shd w:val="clear" w:color="auto" w:fill="DBE4F0"/>
          </w:tcPr>
          <w:p>
            <w:pPr>
              <w:pStyle w:val="TableParagraph"/>
              <w:rPr>
                <w:sz w:val="22"/>
              </w:rPr>
            </w:pPr>
            <w:r>
              <w:rPr>
                <w:sz w:val="22"/>
              </w:rPr>
              <w:t>25/07/2009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5.67</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shd w:val="clear" w:color="auto" w:fill="DBE4F0"/>
          </w:tcPr>
          <w:p>
            <w:pPr>
              <w:pStyle w:val="TableParagraph"/>
              <w:rPr>
                <w:sz w:val="22"/>
              </w:rPr>
            </w:pPr>
            <w:r>
              <w:rPr>
                <w:sz w:val="22"/>
              </w:rPr>
              <w:t>37</w:t>
            </w:r>
          </w:p>
        </w:tc>
        <w:tc>
          <w:tcPr>
            <w:tcW w:w="1682" w:type="dxa"/>
            <w:shd w:val="clear" w:color="auto" w:fill="DBE4F0"/>
          </w:tcPr>
          <w:p>
            <w:pPr>
              <w:pStyle w:val="TableParagraph"/>
              <w:rPr>
                <w:sz w:val="22"/>
              </w:rPr>
            </w:pPr>
            <w:r>
              <w:rPr>
                <w:sz w:val="22"/>
              </w:rPr>
              <w:t>26/07/2009</w:t>
            </w:r>
          </w:p>
        </w:tc>
        <w:tc>
          <w:tcPr>
            <w:tcW w:w="1262" w:type="dxa"/>
            <w:shd w:val="clear" w:color="auto" w:fill="DBE4F0"/>
          </w:tcPr>
          <w:p>
            <w:pPr/>
          </w:p>
        </w:tc>
        <w:tc>
          <w:tcPr>
            <w:tcW w:w="1190" w:type="dxa"/>
            <w:shd w:val="clear" w:color="auto" w:fill="DBE4F0"/>
          </w:tcPr>
          <w:p>
            <w:pPr/>
          </w:p>
        </w:tc>
        <w:tc>
          <w:tcPr>
            <w:tcW w:w="617" w:type="dxa"/>
            <w:shd w:val="clear" w:color="auto" w:fill="DBE4F0"/>
          </w:tcPr>
          <w:p>
            <w:pPr>
              <w:pStyle w:val="TableParagraph"/>
              <w:rPr>
                <w:sz w:val="22"/>
              </w:rPr>
            </w:pPr>
            <w:r>
              <w:rPr>
                <w:sz w:val="22"/>
              </w:rPr>
              <w:t>5.78</w:t>
            </w:r>
          </w:p>
        </w:tc>
        <w:tc>
          <w:tcPr>
            <w:tcW w:w="1190" w:type="dxa"/>
            <w:shd w:val="clear" w:color="auto" w:fill="DBE4F0"/>
          </w:tcPr>
          <w:p>
            <w:pPr/>
          </w:p>
        </w:tc>
        <w:tc>
          <w:tcPr>
            <w:tcW w:w="1188" w:type="dxa"/>
            <w:shd w:val="clear" w:color="auto" w:fill="DBE4F0"/>
          </w:tcPr>
          <w:p>
            <w:pPr/>
          </w:p>
        </w:tc>
        <w:tc>
          <w:tcPr>
            <w:tcW w:w="1188" w:type="dxa"/>
            <w:shd w:val="clear" w:color="auto" w:fill="DBE4F0"/>
          </w:tcPr>
          <w:p>
            <w:pPr/>
          </w:p>
        </w:tc>
      </w:tr>
      <w:tr>
        <w:trPr>
          <w:trHeight w:val="310" w:hRule="exact"/>
        </w:trPr>
        <w:tc>
          <w:tcPr>
            <w:tcW w:w="660" w:type="dxa"/>
          </w:tcPr>
          <w:p>
            <w:pPr>
              <w:pStyle w:val="TableParagraph"/>
              <w:rPr>
                <w:sz w:val="22"/>
              </w:rPr>
            </w:pPr>
            <w:r>
              <w:rPr>
                <w:sz w:val="22"/>
              </w:rPr>
              <w:t>38</w:t>
            </w:r>
          </w:p>
        </w:tc>
        <w:tc>
          <w:tcPr>
            <w:tcW w:w="1682" w:type="dxa"/>
          </w:tcPr>
          <w:p>
            <w:pPr>
              <w:pStyle w:val="TableParagraph"/>
              <w:rPr>
                <w:sz w:val="22"/>
              </w:rPr>
            </w:pPr>
            <w:r>
              <w:rPr>
                <w:sz w:val="22"/>
              </w:rPr>
              <w:t>27/07/2009</w:t>
            </w:r>
          </w:p>
        </w:tc>
        <w:tc>
          <w:tcPr>
            <w:tcW w:w="1262" w:type="dxa"/>
          </w:tcPr>
          <w:p>
            <w:pPr>
              <w:pStyle w:val="TableParagraph"/>
              <w:rPr>
                <w:sz w:val="22"/>
              </w:rPr>
            </w:pPr>
            <w:r>
              <w:rPr>
                <w:sz w:val="22"/>
              </w:rPr>
              <w:t>6.81</w:t>
            </w:r>
          </w:p>
        </w:tc>
        <w:tc>
          <w:tcPr>
            <w:tcW w:w="1190" w:type="dxa"/>
          </w:tcPr>
          <w:p>
            <w:pPr>
              <w:pStyle w:val="TableParagraph"/>
              <w:ind w:right="63"/>
              <w:rPr>
                <w:sz w:val="22"/>
              </w:rPr>
            </w:pPr>
            <w:r>
              <w:rPr>
                <w:sz w:val="22"/>
              </w:rPr>
              <w:t>7.26</w:t>
            </w:r>
          </w:p>
        </w:tc>
        <w:tc>
          <w:tcPr>
            <w:tcW w:w="617" w:type="dxa"/>
          </w:tcPr>
          <w:p>
            <w:pPr>
              <w:pStyle w:val="TableParagraph"/>
              <w:rPr>
                <w:sz w:val="22"/>
              </w:rPr>
            </w:pPr>
            <w:r>
              <w:rPr>
                <w:sz w:val="22"/>
              </w:rPr>
              <w:t>5.88</w:t>
            </w:r>
          </w:p>
        </w:tc>
        <w:tc>
          <w:tcPr>
            <w:tcW w:w="1190" w:type="dxa"/>
          </w:tcPr>
          <w:p>
            <w:pPr>
              <w:pStyle w:val="TableParagraph"/>
              <w:ind w:right="63"/>
              <w:rPr>
                <w:sz w:val="22"/>
              </w:rPr>
            </w:pPr>
            <w:r>
              <w:rPr>
                <w:sz w:val="22"/>
              </w:rPr>
              <w:t>5.37</w:t>
            </w:r>
          </w:p>
        </w:tc>
        <w:tc>
          <w:tcPr>
            <w:tcW w:w="1188" w:type="dxa"/>
          </w:tcPr>
          <w:p>
            <w:pPr>
              <w:pStyle w:val="TableParagraph"/>
              <w:rPr>
                <w:sz w:val="22"/>
              </w:rPr>
            </w:pPr>
            <w:r>
              <w:rPr>
                <w:sz w:val="22"/>
              </w:rPr>
              <w:t>5.42</w:t>
            </w:r>
          </w:p>
        </w:tc>
        <w:tc>
          <w:tcPr>
            <w:tcW w:w="1188" w:type="dxa"/>
          </w:tcPr>
          <w:p>
            <w:pPr>
              <w:pStyle w:val="TableParagraph"/>
              <w:rPr>
                <w:sz w:val="22"/>
              </w:rPr>
            </w:pPr>
            <w:r>
              <w:rPr>
                <w:sz w:val="22"/>
              </w:rPr>
              <w:t>2.94</w:t>
            </w:r>
          </w:p>
        </w:tc>
      </w:tr>
      <w:tr>
        <w:trPr>
          <w:trHeight w:val="310" w:hRule="exact"/>
        </w:trPr>
        <w:tc>
          <w:tcPr>
            <w:tcW w:w="660" w:type="dxa"/>
          </w:tcPr>
          <w:p>
            <w:pPr>
              <w:pStyle w:val="TableParagraph"/>
              <w:rPr>
                <w:sz w:val="22"/>
              </w:rPr>
            </w:pPr>
            <w:r>
              <w:rPr>
                <w:sz w:val="22"/>
              </w:rPr>
              <w:t>39</w:t>
            </w:r>
          </w:p>
        </w:tc>
        <w:tc>
          <w:tcPr>
            <w:tcW w:w="1682" w:type="dxa"/>
          </w:tcPr>
          <w:p>
            <w:pPr>
              <w:pStyle w:val="TableParagraph"/>
              <w:rPr>
                <w:sz w:val="22"/>
              </w:rPr>
            </w:pPr>
            <w:r>
              <w:rPr>
                <w:sz w:val="22"/>
              </w:rPr>
              <w:t>28/07/2009</w:t>
            </w:r>
          </w:p>
        </w:tc>
        <w:tc>
          <w:tcPr>
            <w:tcW w:w="1262" w:type="dxa"/>
          </w:tcPr>
          <w:p>
            <w:pPr>
              <w:pStyle w:val="TableParagraph"/>
              <w:rPr>
                <w:sz w:val="22"/>
              </w:rPr>
            </w:pPr>
            <w:r>
              <w:rPr>
                <w:sz w:val="22"/>
              </w:rPr>
              <w:t>6.45</w:t>
            </w:r>
          </w:p>
        </w:tc>
        <w:tc>
          <w:tcPr>
            <w:tcW w:w="1190" w:type="dxa"/>
          </w:tcPr>
          <w:p>
            <w:pPr>
              <w:pStyle w:val="TableParagraph"/>
              <w:ind w:right="63"/>
              <w:rPr>
                <w:sz w:val="22"/>
              </w:rPr>
            </w:pPr>
            <w:r>
              <w:rPr>
                <w:sz w:val="22"/>
              </w:rPr>
              <w:t>6.94</w:t>
            </w:r>
          </w:p>
        </w:tc>
        <w:tc>
          <w:tcPr>
            <w:tcW w:w="617" w:type="dxa"/>
          </w:tcPr>
          <w:p>
            <w:pPr>
              <w:pStyle w:val="TableParagraph"/>
              <w:rPr>
                <w:sz w:val="22"/>
              </w:rPr>
            </w:pPr>
            <w:r>
              <w:rPr>
                <w:sz w:val="22"/>
              </w:rPr>
              <w:t>5.33</w:t>
            </w:r>
          </w:p>
        </w:tc>
        <w:tc>
          <w:tcPr>
            <w:tcW w:w="1190" w:type="dxa"/>
          </w:tcPr>
          <w:p>
            <w:pPr>
              <w:pStyle w:val="TableParagraph"/>
              <w:ind w:right="63"/>
              <w:rPr>
                <w:sz w:val="22"/>
              </w:rPr>
            </w:pPr>
            <w:r>
              <w:rPr>
                <w:sz w:val="22"/>
              </w:rPr>
              <w:t>5.23</w:t>
            </w:r>
          </w:p>
        </w:tc>
        <w:tc>
          <w:tcPr>
            <w:tcW w:w="1188" w:type="dxa"/>
          </w:tcPr>
          <w:p>
            <w:pPr>
              <w:pStyle w:val="TableParagraph"/>
              <w:rPr>
                <w:sz w:val="22"/>
              </w:rPr>
            </w:pPr>
            <w:r>
              <w:rPr>
                <w:sz w:val="22"/>
              </w:rPr>
              <w:t>5.53</w:t>
            </w:r>
          </w:p>
        </w:tc>
        <w:tc>
          <w:tcPr>
            <w:tcW w:w="1188" w:type="dxa"/>
          </w:tcPr>
          <w:p>
            <w:pPr>
              <w:pStyle w:val="TableParagraph"/>
              <w:rPr>
                <w:sz w:val="22"/>
              </w:rPr>
            </w:pPr>
            <w:r>
              <w:rPr>
                <w:sz w:val="22"/>
              </w:rPr>
              <w:t>2.65</w:t>
            </w:r>
          </w:p>
        </w:tc>
      </w:tr>
      <w:tr>
        <w:trPr>
          <w:trHeight w:val="310" w:hRule="exact"/>
        </w:trPr>
        <w:tc>
          <w:tcPr>
            <w:tcW w:w="660" w:type="dxa"/>
          </w:tcPr>
          <w:p>
            <w:pPr>
              <w:pStyle w:val="TableParagraph"/>
              <w:spacing w:before="30"/>
              <w:rPr>
                <w:sz w:val="22"/>
              </w:rPr>
            </w:pPr>
            <w:r>
              <w:rPr>
                <w:sz w:val="22"/>
              </w:rPr>
              <w:t>40</w:t>
            </w:r>
          </w:p>
        </w:tc>
        <w:tc>
          <w:tcPr>
            <w:tcW w:w="1682" w:type="dxa"/>
          </w:tcPr>
          <w:p>
            <w:pPr>
              <w:pStyle w:val="TableParagraph"/>
              <w:spacing w:before="30"/>
              <w:rPr>
                <w:sz w:val="22"/>
              </w:rPr>
            </w:pPr>
            <w:r>
              <w:rPr>
                <w:sz w:val="22"/>
              </w:rPr>
              <w:t>29/07/2009</w:t>
            </w:r>
          </w:p>
        </w:tc>
        <w:tc>
          <w:tcPr>
            <w:tcW w:w="1262" w:type="dxa"/>
          </w:tcPr>
          <w:p>
            <w:pPr>
              <w:pStyle w:val="TableParagraph"/>
              <w:spacing w:before="30"/>
              <w:rPr>
                <w:sz w:val="22"/>
              </w:rPr>
            </w:pPr>
            <w:r>
              <w:rPr>
                <w:sz w:val="22"/>
              </w:rPr>
              <w:t>6.54</w:t>
            </w:r>
          </w:p>
        </w:tc>
        <w:tc>
          <w:tcPr>
            <w:tcW w:w="1190" w:type="dxa"/>
          </w:tcPr>
          <w:p>
            <w:pPr>
              <w:pStyle w:val="TableParagraph"/>
              <w:spacing w:before="30"/>
              <w:ind w:right="63"/>
              <w:rPr>
                <w:sz w:val="22"/>
              </w:rPr>
            </w:pPr>
            <w:r>
              <w:rPr>
                <w:sz w:val="22"/>
              </w:rPr>
              <w:t>6.81</w:t>
            </w:r>
          </w:p>
        </w:tc>
        <w:tc>
          <w:tcPr>
            <w:tcW w:w="617" w:type="dxa"/>
          </w:tcPr>
          <w:p>
            <w:pPr>
              <w:pStyle w:val="TableParagraph"/>
              <w:spacing w:before="30"/>
              <w:rPr>
                <w:sz w:val="22"/>
              </w:rPr>
            </w:pPr>
            <w:r>
              <w:rPr>
                <w:sz w:val="22"/>
              </w:rPr>
              <w:t>5.14</w:t>
            </w:r>
          </w:p>
        </w:tc>
        <w:tc>
          <w:tcPr>
            <w:tcW w:w="1190" w:type="dxa"/>
          </w:tcPr>
          <w:p>
            <w:pPr>
              <w:pStyle w:val="TableParagraph"/>
              <w:spacing w:before="30"/>
              <w:ind w:right="63"/>
              <w:rPr>
                <w:sz w:val="22"/>
              </w:rPr>
            </w:pPr>
            <w:r>
              <w:rPr>
                <w:sz w:val="22"/>
              </w:rPr>
              <w:t>5.07</w:t>
            </w:r>
          </w:p>
        </w:tc>
        <w:tc>
          <w:tcPr>
            <w:tcW w:w="1188" w:type="dxa"/>
          </w:tcPr>
          <w:p>
            <w:pPr>
              <w:pStyle w:val="TableParagraph"/>
              <w:spacing w:before="30"/>
              <w:rPr>
                <w:sz w:val="22"/>
              </w:rPr>
            </w:pPr>
            <w:r>
              <w:rPr>
                <w:sz w:val="22"/>
              </w:rPr>
              <w:t>5.61</w:t>
            </w:r>
          </w:p>
        </w:tc>
        <w:tc>
          <w:tcPr>
            <w:tcW w:w="1188" w:type="dxa"/>
          </w:tcPr>
          <w:p>
            <w:pPr>
              <w:pStyle w:val="TableParagraph"/>
              <w:spacing w:before="30"/>
              <w:rPr>
                <w:sz w:val="22"/>
              </w:rPr>
            </w:pPr>
            <w:r>
              <w:rPr>
                <w:sz w:val="22"/>
              </w:rPr>
              <w:t>1.99</w:t>
            </w:r>
          </w:p>
        </w:tc>
      </w:tr>
      <w:tr>
        <w:trPr>
          <w:trHeight w:val="312" w:hRule="exact"/>
        </w:trPr>
        <w:tc>
          <w:tcPr>
            <w:tcW w:w="660" w:type="dxa"/>
          </w:tcPr>
          <w:p>
            <w:pPr>
              <w:pStyle w:val="TableParagraph"/>
              <w:spacing w:before="30"/>
              <w:rPr>
                <w:sz w:val="22"/>
              </w:rPr>
            </w:pPr>
            <w:r>
              <w:rPr>
                <w:sz w:val="22"/>
              </w:rPr>
              <w:t>41</w:t>
            </w:r>
          </w:p>
        </w:tc>
        <w:tc>
          <w:tcPr>
            <w:tcW w:w="1682" w:type="dxa"/>
          </w:tcPr>
          <w:p>
            <w:pPr>
              <w:pStyle w:val="TableParagraph"/>
              <w:spacing w:before="30"/>
              <w:rPr>
                <w:sz w:val="22"/>
              </w:rPr>
            </w:pPr>
            <w:r>
              <w:rPr>
                <w:sz w:val="22"/>
              </w:rPr>
              <w:t>30/07/2009</w:t>
            </w:r>
          </w:p>
        </w:tc>
        <w:tc>
          <w:tcPr>
            <w:tcW w:w="1262" w:type="dxa"/>
          </w:tcPr>
          <w:p>
            <w:pPr>
              <w:pStyle w:val="TableParagraph"/>
              <w:spacing w:before="30"/>
              <w:rPr>
                <w:sz w:val="22"/>
              </w:rPr>
            </w:pPr>
            <w:r>
              <w:rPr>
                <w:sz w:val="22"/>
              </w:rPr>
              <w:t>6.83</w:t>
            </w:r>
          </w:p>
        </w:tc>
        <w:tc>
          <w:tcPr>
            <w:tcW w:w="1190" w:type="dxa"/>
          </w:tcPr>
          <w:p>
            <w:pPr>
              <w:pStyle w:val="TableParagraph"/>
              <w:spacing w:before="30"/>
              <w:ind w:right="63"/>
              <w:rPr>
                <w:sz w:val="22"/>
              </w:rPr>
            </w:pPr>
            <w:r>
              <w:rPr>
                <w:sz w:val="22"/>
              </w:rPr>
              <w:t>7.06</w:t>
            </w:r>
          </w:p>
        </w:tc>
        <w:tc>
          <w:tcPr>
            <w:tcW w:w="617" w:type="dxa"/>
          </w:tcPr>
          <w:p>
            <w:pPr>
              <w:pStyle w:val="TableParagraph"/>
              <w:spacing w:before="30"/>
              <w:rPr>
                <w:sz w:val="22"/>
              </w:rPr>
            </w:pPr>
            <w:r>
              <w:rPr>
                <w:sz w:val="22"/>
              </w:rPr>
              <w:t>5.27</w:t>
            </w:r>
          </w:p>
        </w:tc>
        <w:tc>
          <w:tcPr>
            <w:tcW w:w="1190" w:type="dxa"/>
          </w:tcPr>
          <w:p>
            <w:pPr>
              <w:pStyle w:val="TableParagraph"/>
              <w:spacing w:before="30"/>
              <w:ind w:right="63"/>
              <w:rPr>
                <w:sz w:val="22"/>
              </w:rPr>
            </w:pPr>
            <w:r>
              <w:rPr>
                <w:sz w:val="22"/>
              </w:rPr>
              <w:t>5.03</w:t>
            </w:r>
          </w:p>
        </w:tc>
        <w:tc>
          <w:tcPr>
            <w:tcW w:w="1188" w:type="dxa"/>
          </w:tcPr>
          <w:p>
            <w:pPr>
              <w:pStyle w:val="TableParagraph"/>
              <w:spacing w:before="30"/>
              <w:rPr>
                <w:sz w:val="22"/>
              </w:rPr>
            </w:pPr>
            <w:r>
              <w:rPr>
                <w:sz w:val="22"/>
              </w:rPr>
              <w:t>5.57</w:t>
            </w:r>
          </w:p>
        </w:tc>
        <w:tc>
          <w:tcPr>
            <w:tcW w:w="1188" w:type="dxa"/>
          </w:tcPr>
          <w:p>
            <w:pPr>
              <w:pStyle w:val="TableParagraph"/>
              <w:spacing w:before="30"/>
              <w:rPr>
                <w:sz w:val="22"/>
              </w:rPr>
            </w:pPr>
            <w:r>
              <w:rPr>
                <w:sz w:val="22"/>
              </w:rPr>
              <w:t>3.06</w:t>
            </w:r>
          </w:p>
        </w:tc>
      </w:tr>
      <w:tr>
        <w:trPr>
          <w:trHeight w:val="310" w:hRule="exact"/>
        </w:trPr>
        <w:tc>
          <w:tcPr>
            <w:tcW w:w="660" w:type="dxa"/>
          </w:tcPr>
          <w:p>
            <w:pPr>
              <w:pStyle w:val="TableParagraph"/>
              <w:rPr>
                <w:sz w:val="22"/>
              </w:rPr>
            </w:pPr>
            <w:r>
              <w:rPr>
                <w:sz w:val="22"/>
              </w:rPr>
              <w:t>42</w:t>
            </w:r>
          </w:p>
        </w:tc>
        <w:tc>
          <w:tcPr>
            <w:tcW w:w="1682" w:type="dxa"/>
          </w:tcPr>
          <w:p>
            <w:pPr>
              <w:pStyle w:val="TableParagraph"/>
              <w:rPr>
                <w:sz w:val="22"/>
              </w:rPr>
            </w:pPr>
            <w:r>
              <w:rPr>
                <w:sz w:val="22"/>
              </w:rPr>
              <w:t>31/07/2009</w:t>
            </w:r>
          </w:p>
        </w:tc>
        <w:tc>
          <w:tcPr>
            <w:tcW w:w="1262" w:type="dxa"/>
          </w:tcPr>
          <w:p>
            <w:pPr>
              <w:pStyle w:val="TableParagraph"/>
              <w:rPr>
                <w:sz w:val="22"/>
              </w:rPr>
            </w:pPr>
            <w:r>
              <w:rPr>
                <w:sz w:val="22"/>
              </w:rPr>
              <w:t>6.81</w:t>
            </w:r>
          </w:p>
        </w:tc>
        <w:tc>
          <w:tcPr>
            <w:tcW w:w="1190" w:type="dxa"/>
          </w:tcPr>
          <w:p>
            <w:pPr>
              <w:pStyle w:val="TableParagraph"/>
              <w:ind w:right="63"/>
              <w:rPr>
                <w:sz w:val="22"/>
              </w:rPr>
            </w:pPr>
            <w:r>
              <w:rPr>
                <w:sz w:val="22"/>
              </w:rPr>
              <w:t>6.93</w:t>
            </w:r>
          </w:p>
        </w:tc>
        <w:tc>
          <w:tcPr>
            <w:tcW w:w="617" w:type="dxa"/>
          </w:tcPr>
          <w:p>
            <w:pPr>
              <w:pStyle w:val="TableParagraph"/>
              <w:rPr>
                <w:sz w:val="22"/>
              </w:rPr>
            </w:pPr>
            <w:r>
              <w:rPr>
                <w:sz w:val="22"/>
              </w:rPr>
              <w:t>5.27</w:t>
            </w:r>
          </w:p>
        </w:tc>
        <w:tc>
          <w:tcPr>
            <w:tcW w:w="1190" w:type="dxa"/>
          </w:tcPr>
          <w:p>
            <w:pPr>
              <w:pStyle w:val="TableParagraph"/>
              <w:ind w:right="63"/>
              <w:rPr>
                <w:sz w:val="22"/>
              </w:rPr>
            </w:pPr>
            <w:r>
              <w:rPr>
                <w:sz w:val="22"/>
              </w:rPr>
              <w:t>4.67</w:t>
            </w:r>
          </w:p>
        </w:tc>
        <w:tc>
          <w:tcPr>
            <w:tcW w:w="1188" w:type="dxa"/>
          </w:tcPr>
          <w:p>
            <w:pPr>
              <w:pStyle w:val="TableParagraph"/>
              <w:rPr>
                <w:sz w:val="22"/>
              </w:rPr>
            </w:pPr>
            <w:r>
              <w:rPr>
                <w:sz w:val="22"/>
              </w:rPr>
              <w:t>5.34</w:t>
            </w:r>
          </w:p>
        </w:tc>
        <w:tc>
          <w:tcPr>
            <w:tcW w:w="1188" w:type="dxa"/>
          </w:tcPr>
          <w:p>
            <w:pPr>
              <w:pStyle w:val="TableParagraph"/>
              <w:rPr>
                <w:sz w:val="22"/>
              </w:rPr>
            </w:pPr>
            <w:r>
              <w:rPr>
                <w:sz w:val="22"/>
              </w:rPr>
              <w:t>4.33</w:t>
            </w:r>
          </w:p>
        </w:tc>
      </w:tr>
      <w:tr>
        <w:trPr>
          <w:trHeight w:val="310" w:hRule="exact"/>
        </w:trPr>
        <w:tc>
          <w:tcPr>
            <w:tcW w:w="660" w:type="dxa"/>
          </w:tcPr>
          <w:p>
            <w:pPr>
              <w:pStyle w:val="TableParagraph"/>
              <w:rPr>
                <w:sz w:val="22"/>
              </w:rPr>
            </w:pPr>
            <w:r>
              <w:rPr>
                <w:sz w:val="22"/>
              </w:rPr>
              <w:t>43</w:t>
            </w:r>
          </w:p>
        </w:tc>
        <w:tc>
          <w:tcPr>
            <w:tcW w:w="1682" w:type="dxa"/>
          </w:tcPr>
          <w:p>
            <w:pPr>
              <w:pStyle w:val="TableParagraph"/>
              <w:rPr>
                <w:sz w:val="22"/>
              </w:rPr>
            </w:pPr>
            <w:r>
              <w:rPr>
                <w:sz w:val="22"/>
              </w:rPr>
              <w:t>01/08/2009</w:t>
            </w:r>
          </w:p>
        </w:tc>
        <w:tc>
          <w:tcPr>
            <w:tcW w:w="1262" w:type="dxa"/>
          </w:tcPr>
          <w:p>
            <w:pPr>
              <w:pStyle w:val="TableParagraph"/>
              <w:rPr>
                <w:sz w:val="22"/>
              </w:rPr>
            </w:pPr>
            <w:r>
              <w:rPr>
                <w:sz w:val="22"/>
              </w:rPr>
              <w:t>6.57</w:t>
            </w:r>
          </w:p>
        </w:tc>
        <w:tc>
          <w:tcPr>
            <w:tcW w:w="1190" w:type="dxa"/>
          </w:tcPr>
          <w:p>
            <w:pPr>
              <w:pStyle w:val="TableParagraph"/>
              <w:ind w:right="63"/>
              <w:rPr>
                <w:sz w:val="22"/>
              </w:rPr>
            </w:pPr>
            <w:r>
              <w:rPr>
                <w:sz w:val="22"/>
              </w:rPr>
              <w:t>6.89</w:t>
            </w:r>
          </w:p>
        </w:tc>
        <w:tc>
          <w:tcPr>
            <w:tcW w:w="617" w:type="dxa"/>
          </w:tcPr>
          <w:p>
            <w:pPr>
              <w:pStyle w:val="TableParagraph"/>
              <w:rPr>
                <w:sz w:val="22"/>
              </w:rPr>
            </w:pPr>
            <w:r>
              <w:rPr>
                <w:sz w:val="22"/>
              </w:rPr>
              <w:t>5.2</w:t>
            </w:r>
          </w:p>
        </w:tc>
        <w:tc>
          <w:tcPr>
            <w:tcW w:w="1190" w:type="dxa"/>
          </w:tcPr>
          <w:p>
            <w:pPr>
              <w:pStyle w:val="TableParagraph"/>
              <w:ind w:right="63"/>
              <w:rPr>
                <w:sz w:val="22"/>
              </w:rPr>
            </w:pPr>
            <w:r>
              <w:rPr>
                <w:sz w:val="22"/>
              </w:rPr>
              <w:t>4.45</w:t>
            </w:r>
          </w:p>
        </w:tc>
        <w:tc>
          <w:tcPr>
            <w:tcW w:w="1188" w:type="dxa"/>
          </w:tcPr>
          <w:p>
            <w:pPr>
              <w:pStyle w:val="TableParagraph"/>
              <w:rPr>
                <w:sz w:val="22"/>
              </w:rPr>
            </w:pPr>
            <w:r>
              <w:rPr>
                <w:sz w:val="22"/>
              </w:rPr>
              <w:t>5.23</w:t>
            </w:r>
          </w:p>
        </w:tc>
        <w:tc>
          <w:tcPr>
            <w:tcW w:w="1188" w:type="dxa"/>
          </w:tcPr>
          <w:p>
            <w:pPr>
              <w:pStyle w:val="TableParagraph"/>
              <w:rPr>
                <w:sz w:val="22"/>
              </w:rPr>
            </w:pPr>
            <w:r>
              <w:rPr>
                <w:sz w:val="22"/>
              </w:rPr>
              <w:t>4.35</w:t>
            </w:r>
          </w:p>
        </w:tc>
      </w:tr>
      <w:tr>
        <w:trPr>
          <w:trHeight w:val="310" w:hRule="exact"/>
        </w:trPr>
        <w:tc>
          <w:tcPr>
            <w:tcW w:w="660" w:type="dxa"/>
          </w:tcPr>
          <w:p>
            <w:pPr>
              <w:pStyle w:val="TableParagraph"/>
              <w:rPr>
                <w:sz w:val="22"/>
              </w:rPr>
            </w:pPr>
            <w:r>
              <w:rPr>
                <w:sz w:val="22"/>
              </w:rPr>
              <w:t>44</w:t>
            </w:r>
          </w:p>
        </w:tc>
        <w:tc>
          <w:tcPr>
            <w:tcW w:w="1682" w:type="dxa"/>
          </w:tcPr>
          <w:p>
            <w:pPr>
              <w:pStyle w:val="TableParagraph"/>
              <w:rPr>
                <w:sz w:val="22"/>
              </w:rPr>
            </w:pPr>
            <w:r>
              <w:rPr>
                <w:sz w:val="22"/>
              </w:rPr>
              <w:t>02/08/2009</w:t>
            </w:r>
          </w:p>
        </w:tc>
        <w:tc>
          <w:tcPr>
            <w:tcW w:w="1262" w:type="dxa"/>
          </w:tcPr>
          <w:p>
            <w:pPr>
              <w:pStyle w:val="TableParagraph"/>
              <w:rPr>
                <w:sz w:val="22"/>
              </w:rPr>
            </w:pPr>
            <w:r>
              <w:rPr>
                <w:sz w:val="22"/>
              </w:rPr>
              <w:t>6.32</w:t>
            </w:r>
          </w:p>
        </w:tc>
        <w:tc>
          <w:tcPr>
            <w:tcW w:w="1190" w:type="dxa"/>
          </w:tcPr>
          <w:p>
            <w:pPr>
              <w:pStyle w:val="TableParagraph"/>
              <w:ind w:right="63"/>
              <w:rPr>
                <w:sz w:val="22"/>
              </w:rPr>
            </w:pPr>
            <w:r>
              <w:rPr>
                <w:sz w:val="22"/>
              </w:rPr>
              <w:t>7.10</w:t>
            </w:r>
          </w:p>
        </w:tc>
        <w:tc>
          <w:tcPr>
            <w:tcW w:w="617" w:type="dxa"/>
          </w:tcPr>
          <w:p>
            <w:pPr>
              <w:pStyle w:val="TableParagraph"/>
              <w:rPr>
                <w:sz w:val="22"/>
              </w:rPr>
            </w:pPr>
            <w:r>
              <w:rPr>
                <w:sz w:val="22"/>
              </w:rPr>
              <w:t>5.66</w:t>
            </w:r>
          </w:p>
        </w:tc>
        <w:tc>
          <w:tcPr>
            <w:tcW w:w="1190" w:type="dxa"/>
          </w:tcPr>
          <w:p>
            <w:pPr>
              <w:pStyle w:val="TableParagraph"/>
              <w:ind w:right="63"/>
              <w:rPr>
                <w:sz w:val="22"/>
              </w:rPr>
            </w:pPr>
            <w:r>
              <w:rPr>
                <w:sz w:val="22"/>
              </w:rPr>
              <w:t>4.69</w:t>
            </w:r>
          </w:p>
        </w:tc>
        <w:tc>
          <w:tcPr>
            <w:tcW w:w="1188" w:type="dxa"/>
          </w:tcPr>
          <w:p>
            <w:pPr>
              <w:pStyle w:val="TableParagraph"/>
              <w:rPr>
                <w:sz w:val="22"/>
              </w:rPr>
            </w:pPr>
            <w:r>
              <w:rPr>
                <w:sz w:val="22"/>
              </w:rPr>
              <w:t>5.74</w:t>
            </w:r>
          </w:p>
        </w:tc>
        <w:tc>
          <w:tcPr>
            <w:tcW w:w="1188" w:type="dxa"/>
          </w:tcPr>
          <w:p>
            <w:pPr>
              <w:pStyle w:val="TableParagraph"/>
              <w:rPr>
                <w:sz w:val="22"/>
              </w:rPr>
            </w:pPr>
            <w:r>
              <w:rPr>
                <w:sz w:val="22"/>
              </w:rPr>
              <w:t>4.54</w:t>
            </w:r>
          </w:p>
        </w:tc>
      </w:tr>
      <w:tr>
        <w:trPr>
          <w:trHeight w:val="310" w:hRule="exact"/>
        </w:trPr>
        <w:tc>
          <w:tcPr>
            <w:tcW w:w="660" w:type="dxa"/>
          </w:tcPr>
          <w:p>
            <w:pPr>
              <w:pStyle w:val="TableParagraph"/>
              <w:rPr>
                <w:sz w:val="22"/>
              </w:rPr>
            </w:pPr>
            <w:r>
              <w:rPr>
                <w:sz w:val="22"/>
              </w:rPr>
              <w:t>45</w:t>
            </w:r>
          </w:p>
        </w:tc>
        <w:tc>
          <w:tcPr>
            <w:tcW w:w="1682" w:type="dxa"/>
          </w:tcPr>
          <w:p>
            <w:pPr>
              <w:pStyle w:val="TableParagraph"/>
              <w:rPr>
                <w:sz w:val="22"/>
              </w:rPr>
            </w:pPr>
            <w:r>
              <w:rPr>
                <w:sz w:val="22"/>
              </w:rPr>
              <w:t>03/08/2009</w:t>
            </w:r>
          </w:p>
        </w:tc>
        <w:tc>
          <w:tcPr>
            <w:tcW w:w="1262" w:type="dxa"/>
          </w:tcPr>
          <w:p>
            <w:pPr>
              <w:pStyle w:val="TableParagraph"/>
              <w:rPr>
                <w:sz w:val="22"/>
              </w:rPr>
            </w:pPr>
            <w:r>
              <w:rPr>
                <w:sz w:val="22"/>
              </w:rPr>
              <w:t>6.34</w:t>
            </w:r>
          </w:p>
        </w:tc>
        <w:tc>
          <w:tcPr>
            <w:tcW w:w="1190" w:type="dxa"/>
          </w:tcPr>
          <w:p>
            <w:pPr>
              <w:pStyle w:val="TableParagraph"/>
              <w:ind w:right="63"/>
              <w:rPr>
                <w:sz w:val="22"/>
              </w:rPr>
            </w:pPr>
            <w:r>
              <w:rPr>
                <w:sz w:val="22"/>
              </w:rPr>
              <w:t>7.01</w:t>
            </w:r>
          </w:p>
        </w:tc>
        <w:tc>
          <w:tcPr>
            <w:tcW w:w="617" w:type="dxa"/>
          </w:tcPr>
          <w:p>
            <w:pPr>
              <w:pStyle w:val="TableParagraph"/>
              <w:rPr>
                <w:sz w:val="22"/>
              </w:rPr>
            </w:pPr>
            <w:r>
              <w:rPr>
                <w:sz w:val="22"/>
              </w:rPr>
              <w:t>5.79</w:t>
            </w:r>
          </w:p>
        </w:tc>
        <w:tc>
          <w:tcPr>
            <w:tcW w:w="1190" w:type="dxa"/>
          </w:tcPr>
          <w:p>
            <w:pPr>
              <w:pStyle w:val="TableParagraph"/>
              <w:ind w:right="63"/>
              <w:rPr>
                <w:sz w:val="22"/>
              </w:rPr>
            </w:pPr>
            <w:r>
              <w:rPr>
                <w:sz w:val="22"/>
              </w:rPr>
              <w:t>4.45</w:t>
            </w:r>
          </w:p>
        </w:tc>
        <w:tc>
          <w:tcPr>
            <w:tcW w:w="1188" w:type="dxa"/>
          </w:tcPr>
          <w:p>
            <w:pPr>
              <w:pStyle w:val="TableParagraph"/>
              <w:rPr>
                <w:sz w:val="22"/>
              </w:rPr>
            </w:pPr>
            <w:r>
              <w:rPr>
                <w:sz w:val="22"/>
              </w:rPr>
              <w:t>5.41</w:t>
            </w:r>
          </w:p>
        </w:tc>
        <w:tc>
          <w:tcPr>
            <w:tcW w:w="1188" w:type="dxa"/>
          </w:tcPr>
          <w:p>
            <w:pPr>
              <w:pStyle w:val="TableParagraph"/>
              <w:rPr>
                <w:sz w:val="22"/>
              </w:rPr>
            </w:pPr>
            <w:r>
              <w:rPr>
                <w:sz w:val="22"/>
              </w:rPr>
              <w:t>2.67</w:t>
            </w:r>
          </w:p>
        </w:tc>
      </w:tr>
      <w:tr>
        <w:trPr>
          <w:trHeight w:val="310" w:hRule="exact"/>
        </w:trPr>
        <w:tc>
          <w:tcPr>
            <w:tcW w:w="660" w:type="dxa"/>
          </w:tcPr>
          <w:p>
            <w:pPr>
              <w:pStyle w:val="TableParagraph"/>
              <w:spacing w:before="30"/>
              <w:rPr>
                <w:sz w:val="22"/>
              </w:rPr>
            </w:pPr>
            <w:r>
              <w:rPr>
                <w:sz w:val="22"/>
              </w:rPr>
              <w:t>46</w:t>
            </w:r>
          </w:p>
        </w:tc>
        <w:tc>
          <w:tcPr>
            <w:tcW w:w="1682" w:type="dxa"/>
          </w:tcPr>
          <w:p>
            <w:pPr>
              <w:pStyle w:val="TableParagraph"/>
              <w:spacing w:before="30"/>
              <w:rPr>
                <w:sz w:val="22"/>
              </w:rPr>
            </w:pPr>
            <w:r>
              <w:rPr>
                <w:sz w:val="22"/>
              </w:rPr>
              <w:t>04/08/2009</w:t>
            </w:r>
          </w:p>
        </w:tc>
        <w:tc>
          <w:tcPr>
            <w:tcW w:w="1262" w:type="dxa"/>
          </w:tcPr>
          <w:p>
            <w:pPr>
              <w:pStyle w:val="TableParagraph"/>
              <w:spacing w:before="30"/>
              <w:rPr>
                <w:sz w:val="22"/>
              </w:rPr>
            </w:pPr>
            <w:r>
              <w:rPr>
                <w:sz w:val="22"/>
              </w:rPr>
              <w:t>6.55</w:t>
            </w:r>
          </w:p>
        </w:tc>
        <w:tc>
          <w:tcPr>
            <w:tcW w:w="1190" w:type="dxa"/>
          </w:tcPr>
          <w:p>
            <w:pPr>
              <w:pStyle w:val="TableParagraph"/>
              <w:spacing w:before="30"/>
              <w:ind w:right="63"/>
              <w:rPr>
                <w:sz w:val="22"/>
              </w:rPr>
            </w:pPr>
            <w:r>
              <w:rPr>
                <w:sz w:val="22"/>
              </w:rPr>
              <w:t>7.06</w:t>
            </w:r>
          </w:p>
        </w:tc>
        <w:tc>
          <w:tcPr>
            <w:tcW w:w="617" w:type="dxa"/>
          </w:tcPr>
          <w:p>
            <w:pPr>
              <w:pStyle w:val="TableParagraph"/>
              <w:spacing w:before="30"/>
              <w:rPr>
                <w:sz w:val="22"/>
              </w:rPr>
            </w:pPr>
            <w:r>
              <w:rPr>
                <w:sz w:val="22"/>
              </w:rPr>
              <w:t>5.73</w:t>
            </w:r>
          </w:p>
        </w:tc>
        <w:tc>
          <w:tcPr>
            <w:tcW w:w="1190" w:type="dxa"/>
          </w:tcPr>
          <w:p>
            <w:pPr>
              <w:pStyle w:val="TableParagraph"/>
              <w:spacing w:before="30"/>
              <w:ind w:right="63"/>
              <w:rPr>
                <w:sz w:val="22"/>
              </w:rPr>
            </w:pPr>
            <w:r>
              <w:rPr>
                <w:sz w:val="22"/>
              </w:rPr>
              <w:t>4.68</w:t>
            </w:r>
          </w:p>
        </w:tc>
        <w:tc>
          <w:tcPr>
            <w:tcW w:w="1188" w:type="dxa"/>
          </w:tcPr>
          <w:p>
            <w:pPr>
              <w:pStyle w:val="TableParagraph"/>
              <w:spacing w:before="30"/>
              <w:rPr>
                <w:sz w:val="22"/>
              </w:rPr>
            </w:pPr>
            <w:r>
              <w:rPr>
                <w:sz w:val="22"/>
              </w:rPr>
              <w:t>5.71</w:t>
            </w:r>
          </w:p>
        </w:tc>
        <w:tc>
          <w:tcPr>
            <w:tcW w:w="1188" w:type="dxa"/>
          </w:tcPr>
          <w:p>
            <w:pPr>
              <w:pStyle w:val="TableParagraph"/>
              <w:spacing w:before="30"/>
              <w:rPr>
                <w:sz w:val="22"/>
              </w:rPr>
            </w:pPr>
            <w:r>
              <w:rPr>
                <w:sz w:val="22"/>
              </w:rPr>
              <w:t>2.36</w:t>
            </w:r>
          </w:p>
        </w:tc>
      </w:tr>
      <w:tr>
        <w:trPr>
          <w:trHeight w:val="312" w:hRule="exact"/>
        </w:trPr>
        <w:tc>
          <w:tcPr>
            <w:tcW w:w="660" w:type="dxa"/>
          </w:tcPr>
          <w:p>
            <w:pPr>
              <w:pStyle w:val="TableParagraph"/>
              <w:spacing w:before="30"/>
              <w:rPr>
                <w:sz w:val="22"/>
              </w:rPr>
            </w:pPr>
            <w:r>
              <w:rPr>
                <w:sz w:val="22"/>
              </w:rPr>
              <w:t>47</w:t>
            </w:r>
          </w:p>
        </w:tc>
        <w:tc>
          <w:tcPr>
            <w:tcW w:w="1682" w:type="dxa"/>
          </w:tcPr>
          <w:p>
            <w:pPr>
              <w:pStyle w:val="TableParagraph"/>
              <w:spacing w:before="30"/>
              <w:rPr>
                <w:sz w:val="22"/>
              </w:rPr>
            </w:pPr>
            <w:r>
              <w:rPr>
                <w:sz w:val="22"/>
              </w:rPr>
              <w:t>05/08/2009</w:t>
            </w:r>
          </w:p>
        </w:tc>
        <w:tc>
          <w:tcPr>
            <w:tcW w:w="1262" w:type="dxa"/>
          </w:tcPr>
          <w:p>
            <w:pPr>
              <w:pStyle w:val="TableParagraph"/>
              <w:spacing w:before="30"/>
              <w:rPr>
                <w:sz w:val="22"/>
              </w:rPr>
            </w:pPr>
            <w:r>
              <w:rPr>
                <w:sz w:val="22"/>
              </w:rPr>
              <w:t>6.51</w:t>
            </w:r>
          </w:p>
        </w:tc>
        <w:tc>
          <w:tcPr>
            <w:tcW w:w="1190" w:type="dxa"/>
          </w:tcPr>
          <w:p>
            <w:pPr>
              <w:pStyle w:val="TableParagraph"/>
              <w:spacing w:before="30"/>
              <w:ind w:right="63"/>
              <w:rPr>
                <w:sz w:val="22"/>
              </w:rPr>
            </w:pPr>
            <w:r>
              <w:rPr>
                <w:sz w:val="22"/>
              </w:rPr>
              <w:t>6.77</w:t>
            </w:r>
          </w:p>
        </w:tc>
        <w:tc>
          <w:tcPr>
            <w:tcW w:w="617" w:type="dxa"/>
          </w:tcPr>
          <w:p>
            <w:pPr>
              <w:pStyle w:val="TableParagraph"/>
              <w:spacing w:before="30"/>
              <w:rPr>
                <w:sz w:val="22"/>
              </w:rPr>
            </w:pPr>
            <w:r>
              <w:rPr>
                <w:sz w:val="22"/>
              </w:rPr>
              <w:t>5.69</w:t>
            </w:r>
          </w:p>
        </w:tc>
        <w:tc>
          <w:tcPr>
            <w:tcW w:w="1190" w:type="dxa"/>
          </w:tcPr>
          <w:p>
            <w:pPr>
              <w:pStyle w:val="TableParagraph"/>
              <w:spacing w:before="30"/>
              <w:ind w:right="63"/>
              <w:rPr>
                <w:sz w:val="22"/>
              </w:rPr>
            </w:pPr>
            <w:r>
              <w:rPr>
                <w:sz w:val="22"/>
              </w:rPr>
              <w:t>4.76</w:t>
            </w:r>
          </w:p>
        </w:tc>
        <w:tc>
          <w:tcPr>
            <w:tcW w:w="1188" w:type="dxa"/>
          </w:tcPr>
          <w:p>
            <w:pPr>
              <w:pStyle w:val="TableParagraph"/>
              <w:spacing w:before="30"/>
              <w:rPr>
                <w:sz w:val="22"/>
              </w:rPr>
            </w:pPr>
            <w:r>
              <w:rPr>
                <w:sz w:val="22"/>
              </w:rPr>
              <w:t>5.86</w:t>
            </w:r>
          </w:p>
        </w:tc>
        <w:tc>
          <w:tcPr>
            <w:tcW w:w="1188" w:type="dxa"/>
          </w:tcPr>
          <w:p>
            <w:pPr>
              <w:pStyle w:val="TableParagraph"/>
              <w:spacing w:before="30"/>
              <w:rPr>
                <w:sz w:val="22"/>
              </w:rPr>
            </w:pPr>
            <w:r>
              <w:rPr>
                <w:sz w:val="22"/>
              </w:rPr>
              <w:t>1.47</w:t>
            </w:r>
          </w:p>
        </w:tc>
      </w:tr>
      <w:tr>
        <w:trPr>
          <w:trHeight w:val="310" w:hRule="exact"/>
        </w:trPr>
        <w:tc>
          <w:tcPr>
            <w:tcW w:w="660" w:type="dxa"/>
          </w:tcPr>
          <w:p>
            <w:pPr>
              <w:pStyle w:val="TableParagraph"/>
              <w:rPr>
                <w:sz w:val="22"/>
              </w:rPr>
            </w:pPr>
            <w:r>
              <w:rPr>
                <w:sz w:val="22"/>
              </w:rPr>
              <w:t>48</w:t>
            </w:r>
          </w:p>
        </w:tc>
        <w:tc>
          <w:tcPr>
            <w:tcW w:w="1682" w:type="dxa"/>
          </w:tcPr>
          <w:p>
            <w:pPr>
              <w:pStyle w:val="TableParagraph"/>
              <w:rPr>
                <w:sz w:val="22"/>
              </w:rPr>
            </w:pPr>
            <w:r>
              <w:rPr>
                <w:sz w:val="22"/>
              </w:rPr>
              <w:t>06/08/2009</w:t>
            </w:r>
          </w:p>
        </w:tc>
        <w:tc>
          <w:tcPr>
            <w:tcW w:w="1262" w:type="dxa"/>
          </w:tcPr>
          <w:p>
            <w:pPr>
              <w:pStyle w:val="TableParagraph"/>
              <w:rPr>
                <w:sz w:val="22"/>
              </w:rPr>
            </w:pPr>
            <w:r>
              <w:rPr>
                <w:sz w:val="22"/>
              </w:rPr>
              <w:t>6.55</w:t>
            </w:r>
          </w:p>
        </w:tc>
        <w:tc>
          <w:tcPr>
            <w:tcW w:w="1190" w:type="dxa"/>
          </w:tcPr>
          <w:p>
            <w:pPr>
              <w:pStyle w:val="TableParagraph"/>
              <w:ind w:right="63"/>
              <w:rPr>
                <w:sz w:val="22"/>
              </w:rPr>
            </w:pPr>
            <w:r>
              <w:rPr>
                <w:sz w:val="22"/>
              </w:rPr>
              <w:t>6.94</w:t>
            </w:r>
          </w:p>
        </w:tc>
        <w:tc>
          <w:tcPr>
            <w:tcW w:w="617" w:type="dxa"/>
          </w:tcPr>
          <w:p>
            <w:pPr>
              <w:pStyle w:val="TableParagraph"/>
              <w:rPr>
                <w:sz w:val="22"/>
              </w:rPr>
            </w:pPr>
            <w:r>
              <w:rPr>
                <w:sz w:val="22"/>
              </w:rPr>
              <w:t>5.46</w:t>
            </w:r>
          </w:p>
        </w:tc>
        <w:tc>
          <w:tcPr>
            <w:tcW w:w="1190" w:type="dxa"/>
          </w:tcPr>
          <w:p>
            <w:pPr>
              <w:pStyle w:val="TableParagraph"/>
              <w:ind w:right="63"/>
              <w:rPr>
                <w:sz w:val="22"/>
              </w:rPr>
            </w:pPr>
            <w:r>
              <w:rPr>
                <w:sz w:val="22"/>
              </w:rPr>
              <w:t>4.56</w:t>
            </w:r>
          </w:p>
        </w:tc>
        <w:tc>
          <w:tcPr>
            <w:tcW w:w="1188" w:type="dxa"/>
          </w:tcPr>
          <w:p>
            <w:pPr>
              <w:pStyle w:val="TableParagraph"/>
              <w:rPr>
                <w:sz w:val="22"/>
              </w:rPr>
            </w:pPr>
            <w:r>
              <w:rPr>
                <w:sz w:val="22"/>
              </w:rPr>
              <w:t>5.51</w:t>
            </w:r>
          </w:p>
        </w:tc>
        <w:tc>
          <w:tcPr>
            <w:tcW w:w="1188" w:type="dxa"/>
          </w:tcPr>
          <w:p>
            <w:pPr>
              <w:pStyle w:val="TableParagraph"/>
              <w:rPr>
                <w:sz w:val="22"/>
              </w:rPr>
            </w:pPr>
            <w:r>
              <w:rPr>
                <w:sz w:val="22"/>
              </w:rPr>
              <w:t>2.05</w:t>
            </w:r>
          </w:p>
        </w:tc>
      </w:tr>
      <w:tr>
        <w:trPr>
          <w:trHeight w:val="310" w:hRule="exact"/>
        </w:trPr>
        <w:tc>
          <w:tcPr>
            <w:tcW w:w="660" w:type="dxa"/>
          </w:tcPr>
          <w:p>
            <w:pPr>
              <w:pStyle w:val="TableParagraph"/>
              <w:rPr>
                <w:sz w:val="22"/>
              </w:rPr>
            </w:pPr>
            <w:r>
              <w:rPr>
                <w:sz w:val="22"/>
              </w:rPr>
              <w:t>49</w:t>
            </w:r>
          </w:p>
        </w:tc>
        <w:tc>
          <w:tcPr>
            <w:tcW w:w="1682" w:type="dxa"/>
          </w:tcPr>
          <w:p>
            <w:pPr>
              <w:pStyle w:val="TableParagraph"/>
              <w:rPr>
                <w:sz w:val="22"/>
              </w:rPr>
            </w:pPr>
            <w:r>
              <w:rPr>
                <w:sz w:val="22"/>
              </w:rPr>
              <w:t>07/08/2009</w:t>
            </w:r>
          </w:p>
        </w:tc>
        <w:tc>
          <w:tcPr>
            <w:tcW w:w="1262" w:type="dxa"/>
          </w:tcPr>
          <w:p>
            <w:pPr>
              <w:pStyle w:val="TableParagraph"/>
              <w:rPr>
                <w:sz w:val="22"/>
              </w:rPr>
            </w:pPr>
            <w:r>
              <w:rPr>
                <w:sz w:val="22"/>
              </w:rPr>
              <w:t>6.64</w:t>
            </w:r>
          </w:p>
        </w:tc>
        <w:tc>
          <w:tcPr>
            <w:tcW w:w="1190" w:type="dxa"/>
          </w:tcPr>
          <w:p>
            <w:pPr>
              <w:pStyle w:val="TableParagraph"/>
              <w:ind w:right="63"/>
              <w:rPr>
                <w:sz w:val="22"/>
              </w:rPr>
            </w:pPr>
            <w:r>
              <w:rPr>
                <w:sz w:val="22"/>
              </w:rPr>
              <w:t>7.04</w:t>
            </w:r>
          </w:p>
        </w:tc>
        <w:tc>
          <w:tcPr>
            <w:tcW w:w="617" w:type="dxa"/>
          </w:tcPr>
          <w:p>
            <w:pPr>
              <w:pStyle w:val="TableParagraph"/>
              <w:rPr>
                <w:sz w:val="22"/>
              </w:rPr>
            </w:pPr>
            <w:r>
              <w:rPr>
                <w:sz w:val="22"/>
              </w:rPr>
              <w:t>5.08</w:t>
            </w:r>
          </w:p>
        </w:tc>
        <w:tc>
          <w:tcPr>
            <w:tcW w:w="1190" w:type="dxa"/>
          </w:tcPr>
          <w:p>
            <w:pPr>
              <w:pStyle w:val="TableParagraph"/>
              <w:ind w:right="63"/>
              <w:rPr>
                <w:sz w:val="22"/>
              </w:rPr>
            </w:pPr>
            <w:r>
              <w:rPr>
                <w:sz w:val="22"/>
              </w:rPr>
              <w:t>4.45</w:t>
            </w:r>
          </w:p>
        </w:tc>
        <w:tc>
          <w:tcPr>
            <w:tcW w:w="1188" w:type="dxa"/>
          </w:tcPr>
          <w:p>
            <w:pPr>
              <w:pStyle w:val="TableParagraph"/>
              <w:rPr>
                <w:sz w:val="22"/>
              </w:rPr>
            </w:pPr>
            <w:r>
              <w:rPr>
                <w:sz w:val="22"/>
              </w:rPr>
              <w:t>5.02</w:t>
            </w:r>
          </w:p>
        </w:tc>
        <w:tc>
          <w:tcPr>
            <w:tcW w:w="1188" w:type="dxa"/>
          </w:tcPr>
          <w:p>
            <w:pPr>
              <w:pStyle w:val="TableParagraph"/>
              <w:rPr>
                <w:sz w:val="22"/>
              </w:rPr>
            </w:pPr>
            <w:r>
              <w:rPr>
                <w:sz w:val="22"/>
              </w:rPr>
              <w:t>1.58</w:t>
            </w:r>
          </w:p>
        </w:tc>
      </w:tr>
      <w:tr>
        <w:trPr>
          <w:trHeight w:val="310" w:hRule="exact"/>
        </w:trPr>
        <w:tc>
          <w:tcPr>
            <w:tcW w:w="660" w:type="dxa"/>
          </w:tcPr>
          <w:p>
            <w:pPr>
              <w:pStyle w:val="TableParagraph"/>
              <w:rPr>
                <w:sz w:val="22"/>
              </w:rPr>
            </w:pPr>
            <w:r>
              <w:rPr>
                <w:sz w:val="22"/>
              </w:rPr>
              <w:t>50</w:t>
            </w:r>
          </w:p>
        </w:tc>
        <w:tc>
          <w:tcPr>
            <w:tcW w:w="1682" w:type="dxa"/>
          </w:tcPr>
          <w:p>
            <w:pPr>
              <w:pStyle w:val="TableParagraph"/>
              <w:rPr>
                <w:sz w:val="22"/>
              </w:rPr>
            </w:pPr>
            <w:r>
              <w:rPr>
                <w:sz w:val="22"/>
              </w:rPr>
              <w:t>08/08/2009</w:t>
            </w:r>
          </w:p>
        </w:tc>
        <w:tc>
          <w:tcPr>
            <w:tcW w:w="1262" w:type="dxa"/>
          </w:tcPr>
          <w:p>
            <w:pPr>
              <w:pStyle w:val="TableParagraph"/>
              <w:rPr>
                <w:sz w:val="22"/>
              </w:rPr>
            </w:pPr>
            <w:r>
              <w:rPr>
                <w:sz w:val="22"/>
              </w:rPr>
              <w:t>6.68</w:t>
            </w:r>
          </w:p>
        </w:tc>
        <w:tc>
          <w:tcPr>
            <w:tcW w:w="1190" w:type="dxa"/>
          </w:tcPr>
          <w:p>
            <w:pPr>
              <w:pStyle w:val="TableParagraph"/>
              <w:ind w:right="63"/>
              <w:rPr>
                <w:sz w:val="22"/>
              </w:rPr>
            </w:pPr>
            <w:r>
              <w:rPr>
                <w:sz w:val="22"/>
              </w:rPr>
              <w:t>7.01</w:t>
            </w:r>
          </w:p>
        </w:tc>
        <w:tc>
          <w:tcPr>
            <w:tcW w:w="617" w:type="dxa"/>
          </w:tcPr>
          <w:p>
            <w:pPr>
              <w:pStyle w:val="TableParagraph"/>
              <w:rPr>
                <w:sz w:val="22"/>
              </w:rPr>
            </w:pPr>
            <w:r>
              <w:rPr>
                <w:sz w:val="22"/>
              </w:rPr>
              <w:t>6.08</w:t>
            </w:r>
          </w:p>
        </w:tc>
        <w:tc>
          <w:tcPr>
            <w:tcW w:w="1190" w:type="dxa"/>
          </w:tcPr>
          <w:p>
            <w:pPr>
              <w:pStyle w:val="TableParagraph"/>
              <w:ind w:right="63"/>
              <w:rPr>
                <w:sz w:val="22"/>
              </w:rPr>
            </w:pPr>
            <w:r>
              <w:rPr>
                <w:sz w:val="22"/>
              </w:rPr>
              <w:t>4.94</w:t>
            </w:r>
          </w:p>
        </w:tc>
        <w:tc>
          <w:tcPr>
            <w:tcW w:w="1188" w:type="dxa"/>
          </w:tcPr>
          <w:p>
            <w:pPr>
              <w:pStyle w:val="TableParagraph"/>
              <w:rPr>
                <w:sz w:val="22"/>
              </w:rPr>
            </w:pPr>
            <w:r>
              <w:rPr>
                <w:sz w:val="22"/>
              </w:rPr>
              <w:t>5.81</w:t>
            </w:r>
          </w:p>
        </w:tc>
        <w:tc>
          <w:tcPr>
            <w:tcW w:w="1188" w:type="dxa"/>
          </w:tcPr>
          <w:p>
            <w:pPr>
              <w:pStyle w:val="TableParagraph"/>
              <w:rPr>
                <w:sz w:val="22"/>
              </w:rPr>
            </w:pPr>
            <w:r>
              <w:rPr>
                <w:sz w:val="22"/>
              </w:rPr>
              <w:t>4.35</w:t>
            </w:r>
          </w:p>
        </w:tc>
      </w:tr>
      <w:tr>
        <w:trPr>
          <w:trHeight w:val="310" w:hRule="exact"/>
        </w:trPr>
        <w:tc>
          <w:tcPr>
            <w:tcW w:w="660" w:type="dxa"/>
          </w:tcPr>
          <w:p>
            <w:pPr>
              <w:pStyle w:val="TableParagraph"/>
              <w:rPr>
                <w:sz w:val="22"/>
              </w:rPr>
            </w:pPr>
            <w:r>
              <w:rPr>
                <w:sz w:val="22"/>
              </w:rPr>
              <w:t>51</w:t>
            </w:r>
          </w:p>
        </w:tc>
        <w:tc>
          <w:tcPr>
            <w:tcW w:w="1682" w:type="dxa"/>
          </w:tcPr>
          <w:p>
            <w:pPr>
              <w:pStyle w:val="TableParagraph"/>
              <w:rPr>
                <w:sz w:val="22"/>
              </w:rPr>
            </w:pPr>
            <w:r>
              <w:rPr>
                <w:sz w:val="22"/>
              </w:rPr>
              <w:t>09/08/2009</w:t>
            </w:r>
          </w:p>
        </w:tc>
        <w:tc>
          <w:tcPr>
            <w:tcW w:w="1262" w:type="dxa"/>
          </w:tcPr>
          <w:p>
            <w:pPr>
              <w:pStyle w:val="TableParagraph"/>
              <w:rPr>
                <w:sz w:val="22"/>
              </w:rPr>
            </w:pPr>
            <w:r>
              <w:rPr>
                <w:sz w:val="22"/>
              </w:rPr>
              <w:t>6.89</w:t>
            </w:r>
          </w:p>
        </w:tc>
        <w:tc>
          <w:tcPr>
            <w:tcW w:w="1190" w:type="dxa"/>
          </w:tcPr>
          <w:p>
            <w:pPr>
              <w:pStyle w:val="TableParagraph"/>
              <w:ind w:right="63"/>
              <w:rPr>
                <w:sz w:val="22"/>
              </w:rPr>
            </w:pPr>
            <w:r>
              <w:rPr>
                <w:sz w:val="22"/>
              </w:rPr>
              <w:t>7.09</w:t>
            </w:r>
          </w:p>
        </w:tc>
        <w:tc>
          <w:tcPr>
            <w:tcW w:w="617" w:type="dxa"/>
          </w:tcPr>
          <w:p>
            <w:pPr>
              <w:pStyle w:val="TableParagraph"/>
              <w:rPr>
                <w:sz w:val="22"/>
              </w:rPr>
            </w:pPr>
            <w:r>
              <w:rPr>
                <w:sz w:val="22"/>
              </w:rPr>
              <w:t>5.75</w:t>
            </w:r>
          </w:p>
        </w:tc>
        <w:tc>
          <w:tcPr>
            <w:tcW w:w="1190" w:type="dxa"/>
          </w:tcPr>
          <w:p>
            <w:pPr>
              <w:pStyle w:val="TableParagraph"/>
              <w:ind w:right="63"/>
              <w:rPr>
                <w:sz w:val="22"/>
              </w:rPr>
            </w:pPr>
            <w:r>
              <w:rPr>
                <w:sz w:val="22"/>
              </w:rPr>
              <w:t>5.03</w:t>
            </w:r>
          </w:p>
        </w:tc>
        <w:tc>
          <w:tcPr>
            <w:tcW w:w="1188" w:type="dxa"/>
          </w:tcPr>
          <w:p>
            <w:pPr>
              <w:pStyle w:val="TableParagraph"/>
              <w:rPr>
                <w:sz w:val="22"/>
              </w:rPr>
            </w:pPr>
            <w:r>
              <w:rPr>
                <w:w w:val="100"/>
                <w:sz w:val="22"/>
              </w:rPr>
              <w:t>6</w:t>
            </w:r>
          </w:p>
        </w:tc>
        <w:tc>
          <w:tcPr>
            <w:tcW w:w="1188" w:type="dxa"/>
          </w:tcPr>
          <w:p>
            <w:pPr>
              <w:pStyle w:val="TableParagraph"/>
              <w:rPr>
                <w:sz w:val="22"/>
              </w:rPr>
            </w:pPr>
            <w:r>
              <w:rPr>
                <w:sz w:val="22"/>
              </w:rPr>
              <w:t>4.96</w:t>
            </w:r>
          </w:p>
        </w:tc>
      </w:tr>
      <w:tr>
        <w:trPr>
          <w:trHeight w:val="310" w:hRule="exact"/>
        </w:trPr>
        <w:tc>
          <w:tcPr>
            <w:tcW w:w="660" w:type="dxa"/>
          </w:tcPr>
          <w:p>
            <w:pPr>
              <w:pStyle w:val="TableParagraph"/>
              <w:spacing w:before="30"/>
              <w:rPr>
                <w:sz w:val="22"/>
              </w:rPr>
            </w:pPr>
            <w:r>
              <w:rPr>
                <w:sz w:val="22"/>
              </w:rPr>
              <w:t>52</w:t>
            </w:r>
          </w:p>
        </w:tc>
        <w:tc>
          <w:tcPr>
            <w:tcW w:w="1682" w:type="dxa"/>
          </w:tcPr>
          <w:p>
            <w:pPr>
              <w:pStyle w:val="TableParagraph"/>
              <w:spacing w:before="30"/>
              <w:rPr>
                <w:sz w:val="22"/>
              </w:rPr>
            </w:pPr>
            <w:r>
              <w:rPr>
                <w:sz w:val="22"/>
              </w:rPr>
              <w:t>10/08/2009</w:t>
            </w:r>
          </w:p>
        </w:tc>
        <w:tc>
          <w:tcPr>
            <w:tcW w:w="1262" w:type="dxa"/>
          </w:tcPr>
          <w:p>
            <w:pPr>
              <w:pStyle w:val="TableParagraph"/>
              <w:spacing w:before="30"/>
              <w:rPr>
                <w:sz w:val="22"/>
              </w:rPr>
            </w:pPr>
            <w:r>
              <w:rPr>
                <w:sz w:val="22"/>
              </w:rPr>
              <w:t>6.88</w:t>
            </w:r>
          </w:p>
        </w:tc>
        <w:tc>
          <w:tcPr>
            <w:tcW w:w="1190" w:type="dxa"/>
          </w:tcPr>
          <w:p>
            <w:pPr>
              <w:pStyle w:val="TableParagraph"/>
              <w:spacing w:before="30"/>
              <w:ind w:right="63"/>
              <w:rPr>
                <w:sz w:val="22"/>
              </w:rPr>
            </w:pPr>
            <w:r>
              <w:rPr>
                <w:sz w:val="22"/>
              </w:rPr>
              <w:t>7.10</w:t>
            </w:r>
          </w:p>
        </w:tc>
        <w:tc>
          <w:tcPr>
            <w:tcW w:w="617" w:type="dxa"/>
          </w:tcPr>
          <w:p>
            <w:pPr>
              <w:pStyle w:val="TableParagraph"/>
              <w:spacing w:before="30"/>
              <w:rPr>
                <w:sz w:val="22"/>
              </w:rPr>
            </w:pPr>
            <w:r>
              <w:rPr>
                <w:sz w:val="22"/>
              </w:rPr>
              <w:t>6.41</w:t>
            </w:r>
          </w:p>
        </w:tc>
        <w:tc>
          <w:tcPr>
            <w:tcW w:w="1190" w:type="dxa"/>
          </w:tcPr>
          <w:p>
            <w:pPr>
              <w:pStyle w:val="TableParagraph"/>
              <w:spacing w:before="30"/>
              <w:ind w:right="63"/>
              <w:rPr>
                <w:sz w:val="22"/>
              </w:rPr>
            </w:pPr>
            <w:r>
              <w:rPr>
                <w:sz w:val="22"/>
              </w:rPr>
              <w:t>5.44</w:t>
            </w:r>
          </w:p>
        </w:tc>
        <w:tc>
          <w:tcPr>
            <w:tcW w:w="1188" w:type="dxa"/>
          </w:tcPr>
          <w:p>
            <w:pPr>
              <w:pStyle w:val="TableParagraph"/>
              <w:spacing w:before="30"/>
              <w:rPr>
                <w:sz w:val="22"/>
              </w:rPr>
            </w:pPr>
            <w:r>
              <w:rPr>
                <w:sz w:val="22"/>
              </w:rPr>
              <w:t>6.1</w:t>
            </w:r>
          </w:p>
        </w:tc>
        <w:tc>
          <w:tcPr>
            <w:tcW w:w="1188" w:type="dxa"/>
          </w:tcPr>
          <w:p>
            <w:pPr>
              <w:pStyle w:val="TableParagraph"/>
              <w:spacing w:before="30"/>
              <w:rPr>
                <w:sz w:val="22"/>
              </w:rPr>
            </w:pPr>
            <w:r>
              <w:rPr>
                <w:sz w:val="22"/>
              </w:rPr>
              <w:t>5.37</w:t>
            </w:r>
          </w:p>
        </w:tc>
      </w:tr>
      <w:tr>
        <w:trPr>
          <w:trHeight w:val="312" w:hRule="exact"/>
        </w:trPr>
        <w:tc>
          <w:tcPr>
            <w:tcW w:w="660" w:type="dxa"/>
          </w:tcPr>
          <w:p>
            <w:pPr>
              <w:pStyle w:val="TableParagraph"/>
              <w:spacing w:before="30"/>
              <w:rPr>
                <w:sz w:val="22"/>
              </w:rPr>
            </w:pPr>
            <w:r>
              <w:rPr>
                <w:sz w:val="22"/>
              </w:rPr>
              <w:t>53</w:t>
            </w:r>
          </w:p>
        </w:tc>
        <w:tc>
          <w:tcPr>
            <w:tcW w:w="1682" w:type="dxa"/>
          </w:tcPr>
          <w:p>
            <w:pPr>
              <w:pStyle w:val="TableParagraph"/>
              <w:spacing w:before="30"/>
              <w:rPr>
                <w:sz w:val="22"/>
              </w:rPr>
            </w:pPr>
            <w:r>
              <w:rPr>
                <w:sz w:val="22"/>
              </w:rPr>
              <w:t>11/08/2009</w:t>
            </w:r>
          </w:p>
        </w:tc>
        <w:tc>
          <w:tcPr>
            <w:tcW w:w="1262" w:type="dxa"/>
          </w:tcPr>
          <w:p>
            <w:pPr>
              <w:pStyle w:val="TableParagraph"/>
              <w:spacing w:before="30"/>
              <w:rPr>
                <w:sz w:val="22"/>
              </w:rPr>
            </w:pPr>
            <w:r>
              <w:rPr>
                <w:sz w:val="22"/>
              </w:rPr>
              <w:t>6.39</w:t>
            </w:r>
          </w:p>
        </w:tc>
        <w:tc>
          <w:tcPr>
            <w:tcW w:w="1190" w:type="dxa"/>
          </w:tcPr>
          <w:p>
            <w:pPr>
              <w:pStyle w:val="TableParagraph"/>
              <w:spacing w:before="30"/>
              <w:ind w:right="63"/>
              <w:rPr>
                <w:sz w:val="22"/>
              </w:rPr>
            </w:pPr>
            <w:r>
              <w:rPr>
                <w:sz w:val="22"/>
              </w:rPr>
              <w:t>6.91</w:t>
            </w:r>
          </w:p>
        </w:tc>
        <w:tc>
          <w:tcPr>
            <w:tcW w:w="617" w:type="dxa"/>
          </w:tcPr>
          <w:p>
            <w:pPr>
              <w:pStyle w:val="TableParagraph"/>
              <w:spacing w:before="30"/>
              <w:rPr>
                <w:sz w:val="22"/>
              </w:rPr>
            </w:pPr>
            <w:r>
              <w:rPr>
                <w:sz w:val="22"/>
              </w:rPr>
              <w:t>5.92</w:t>
            </w:r>
          </w:p>
        </w:tc>
        <w:tc>
          <w:tcPr>
            <w:tcW w:w="1190" w:type="dxa"/>
          </w:tcPr>
          <w:p>
            <w:pPr>
              <w:pStyle w:val="TableParagraph"/>
              <w:spacing w:before="30"/>
              <w:ind w:right="63"/>
              <w:rPr>
                <w:sz w:val="22"/>
              </w:rPr>
            </w:pPr>
            <w:r>
              <w:rPr>
                <w:sz w:val="22"/>
              </w:rPr>
              <w:t>4.64</w:t>
            </w:r>
          </w:p>
        </w:tc>
        <w:tc>
          <w:tcPr>
            <w:tcW w:w="1188" w:type="dxa"/>
          </w:tcPr>
          <w:p>
            <w:pPr>
              <w:pStyle w:val="TableParagraph"/>
              <w:spacing w:before="30"/>
              <w:rPr>
                <w:sz w:val="22"/>
              </w:rPr>
            </w:pPr>
            <w:r>
              <w:rPr>
                <w:sz w:val="22"/>
              </w:rPr>
              <w:t>5.5</w:t>
            </w:r>
          </w:p>
        </w:tc>
        <w:tc>
          <w:tcPr>
            <w:tcW w:w="1188" w:type="dxa"/>
          </w:tcPr>
          <w:p>
            <w:pPr>
              <w:pStyle w:val="TableParagraph"/>
              <w:spacing w:before="30"/>
              <w:rPr>
                <w:sz w:val="22"/>
              </w:rPr>
            </w:pPr>
            <w:r>
              <w:rPr>
                <w:sz w:val="22"/>
              </w:rPr>
              <w:t>0.09</w:t>
            </w:r>
          </w:p>
        </w:tc>
      </w:tr>
      <w:tr>
        <w:trPr>
          <w:trHeight w:val="310" w:hRule="exact"/>
        </w:trPr>
        <w:tc>
          <w:tcPr>
            <w:tcW w:w="660" w:type="dxa"/>
          </w:tcPr>
          <w:p>
            <w:pPr>
              <w:pStyle w:val="TableParagraph"/>
              <w:rPr>
                <w:sz w:val="22"/>
              </w:rPr>
            </w:pPr>
            <w:r>
              <w:rPr>
                <w:sz w:val="22"/>
              </w:rPr>
              <w:t>54</w:t>
            </w:r>
          </w:p>
        </w:tc>
        <w:tc>
          <w:tcPr>
            <w:tcW w:w="1682" w:type="dxa"/>
          </w:tcPr>
          <w:p>
            <w:pPr>
              <w:pStyle w:val="TableParagraph"/>
              <w:rPr>
                <w:sz w:val="22"/>
              </w:rPr>
            </w:pPr>
            <w:r>
              <w:rPr>
                <w:sz w:val="22"/>
              </w:rPr>
              <w:t>12/08/2009</w:t>
            </w:r>
          </w:p>
        </w:tc>
        <w:tc>
          <w:tcPr>
            <w:tcW w:w="1262" w:type="dxa"/>
          </w:tcPr>
          <w:p>
            <w:pPr>
              <w:pStyle w:val="TableParagraph"/>
              <w:rPr>
                <w:sz w:val="22"/>
              </w:rPr>
            </w:pPr>
            <w:r>
              <w:rPr>
                <w:sz w:val="22"/>
              </w:rPr>
              <w:t>6.45</w:t>
            </w:r>
          </w:p>
        </w:tc>
        <w:tc>
          <w:tcPr>
            <w:tcW w:w="1190" w:type="dxa"/>
          </w:tcPr>
          <w:p>
            <w:pPr>
              <w:pStyle w:val="TableParagraph"/>
              <w:ind w:right="63"/>
              <w:rPr>
                <w:sz w:val="22"/>
              </w:rPr>
            </w:pPr>
            <w:r>
              <w:rPr>
                <w:sz w:val="22"/>
              </w:rPr>
              <w:t>6.89</w:t>
            </w:r>
          </w:p>
        </w:tc>
        <w:tc>
          <w:tcPr>
            <w:tcW w:w="617" w:type="dxa"/>
          </w:tcPr>
          <w:p>
            <w:pPr>
              <w:pStyle w:val="TableParagraph"/>
              <w:rPr>
                <w:sz w:val="22"/>
              </w:rPr>
            </w:pPr>
            <w:r>
              <w:rPr>
                <w:sz w:val="22"/>
              </w:rPr>
              <w:t>5.92</w:t>
            </w:r>
          </w:p>
        </w:tc>
        <w:tc>
          <w:tcPr>
            <w:tcW w:w="1190" w:type="dxa"/>
          </w:tcPr>
          <w:p>
            <w:pPr>
              <w:pStyle w:val="TableParagraph"/>
              <w:ind w:right="63"/>
              <w:rPr>
                <w:sz w:val="22"/>
              </w:rPr>
            </w:pPr>
            <w:r>
              <w:rPr>
                <w:sz w:val="22"/>
              </w:rPr>
              <w:t>5.01</w:t>
            </w:r>
          </w:p>
        </w:tc>
        <w:tc>
          <w:tcPr>
            <w:tcW w:w="1188" w:type="dxa"/>
          </w:tcPr>
          <w:p>
            <w:pPr>
              <w:pStyle w:val="TableParagraph"/>
              <w:rPr>
                <w:sz w:val="22"/>
              </w:rPr>
            </w:pPr>
            <w:r>
              <w:rPr>
                <w:sz w:val="22"/>
              </w:rPr>
              <w:t>5.6</w:t>
            </w:r>
          </w:p>
        </w:tc>
        <w:tc>
          <w:tcPr>
            <w:tcW w:w="1188" w:type="dxa"/>
          </w:tcPr>
          <w:p>
            <w:pPr>
              <w:pStyle w:val="TableParagraph"/>
              <w:rPr>
                <w:sz w:val="22"/>
              </w:rPr>
            </w:pPr>
            <w:r>
              <w:rPr>
                <w:sz w:val="22"/>
              </w:rPr>
              <w:t>0.85</w:t>
            </w:r>
          </w:p>
        </w:tc>
      </w:tr>
      <w:tr>
        <w:trPr>
          <w:trHeight w:val="310" w:hRule="exact"/>
        </w:trPr>
        <w:tc>
          <w:tcPr>
            <w:tcW w:w="660" w:type="dxa"/>
          </w:tcPr>
          <w:p>
            <w:pPr>
              <w:pStyle w:val="TableParagraph"/>
              <w:rPr>
                <w:sz w:val="22"/>
              </w:rPr>
            </w:pPr>
            <w:r>
              <w:rPr>
                <w:sz w:val="22"/>
              </w:rPr>
              <w:t>55</w:t>
            </w:r>
          </w:p>
        </w:tc>
        <w:tc>
          <w:tcPr>
            <w:tcW w:w="1682" w:type="dxa"/>
          </w:tcPr>
          <w:p>
            <w:pPr>
              <w:pStyle w:val="TableParagraph"/>
              <w:rPr>
                <w:sz w:val="22"/>
              </w:rPr>
            </w:pPr>
            <w:r>
              <w:rPr>
                <w:sz w:val="22"/>
              </w:rPr>
              <w:t>13/08/2009</w:t>
            </w:r>
          </w:p>
        </w:tc>
        <w:tc>
          <w:tcPr>
            <w:tcW w:w="1262" w:type="dxa"/>
          </w:tcPr>
          <w:p>
            <w:pPr>
              <w:pStyle w:val="TableParagraph"/>
              <w:rPr>
                <w:sz w:val="22"/>
              </w:rPr>
            </w:pPr>
            <w:r>
              <w:rPr>
                <w:sz w:val="22"/>
              </w:rPr>
              <w:t>6.89</w:t>
            </w:r>
          </w:p>
        </w:tc>
        <w:tc>
          <w:tcPr>
            <w:tcW w:w="1190" w:type="dxa"/>
          </w:tcPr>
          <w:p>
            <w:pPr>
              <w:pStyle w:val="TableParagraph"/>
              <w:ind w:right="63"/>
              <w:rPr>
                <w:sz w:val="22"/>
              </w:rPr>
            </w:pPr>
            <w:r>
              <w:rPr>
                <w:sz w:val="22"/>
              </w:rPr>
              <w:t>6.66</w:t>
            </w:r>
          </w:p>
        </w:tc>
        <w:tc>
          <w:tcPr>
            <w:tcW w:w="617" w:type="dxa"/>
          </w:tcPr>
          <w:p>
            <w:pPr>
              <w:pStyle w:val="TableParagraph"/>
              <w:rPr>
                <w:sz w:val="22"/>
              </w:rPr>
            </w:pPr>
            <w:r>
              <w:rPr>
                <w:sz w:val="22"/>
              </w:rPr>
              <w:t>5.79</w:t>
            </w:r>
          </w:p>
        </w:tc>
        <w:tc>
          <w:tcPr>
            <w:tcW w:w="1190" w:type="dxa"/>
          </w:tcPr>
          <w:p>
            <w:pPr>
              <w:pStyle w:val="TableParagraph"/>
              <w:ind w:right="63"/>
              <w:rPr>
                <w:sz w:val="22"/>
              </w:rPr>
            </w:pPr>
            <w:r>
              <w:rPr>
                <w:sz w:val="22"/>
              </w:rPr>
              <w:t>4.85</w:t>
            </w:r>
          </w:p>
        </w:tc>
        <w:tc>
          <w:tcPr>
            <w:tcW w:w="1188" w:type="dxa"/>
          </w:tcPr>
          <w:p>
            <w:pPr>
              <w:pStyle w:val="TableParagraph"/>
              <w:rPr>
                <w:sz w:val="22"/>
              </w:rPr>
            </w:pPr>
            <w:r>
              <w:rPr>
                <w:sz w:val="22"/>
              </w:rPr>
              <w:t>5.7</w:t>
            </w:r>
          </w:p>
        </w:tc>
        <w:tc>
          <w:tcPr>
            <w:tcW w:w="1188" w:type="dxa"/>
          </w:tcPr>
          <w:p>
            <w:pPr>
              <w:pStyle w:val="TableParagraph"/>
              <w:rPr>
                <w:sz w:val="22"/>
              </w:rPr>
            </w:pPr>
            <w:r>
              <w:rPr>
                <w:sz w:val="22"/>
              </w:rPr>
              <w:t>0.24</w:t>
            </w:r>
          </w:p>
        </w:tc>
      </w:tr>
      <w:tr>
        <w:trPr>
          <w:trHeight w:val="310" w:hRule="exact"/>
        </w:trPr>
        <w:tc>
          <w:tcPr>
            <w:tcW w:w="660" w:type="dxa"/>
          </w:tcPr>
          <w:p>
            <w:pPr>
              <w:pStyle w:val="TableParagraph"/>
              <w:rPr>
                <w:sz w:val="22"/>
              </w:rPr>
            </w:pPr>
            <w:r>
              <w:rPr>
                <w:sz w:val="22"/>
              </w:rPr>
              <w:t>56</w:t>
            </w:r>
          </w:p>
        </w:tc>
        <w:tc>
          <w:tcPr>
            <w:tcW w:w="1682" w:type="dxa"/>
          </w:tcPr>
          <w:p>
            <w:pPr>
              <w:pStyle w:val="TableParagraph"/>
              <w:rPr>
                <w:sz w:val="22"/>
              </w:rPr>
            </w:pPr>
            <w:r>
              <w:rPr>
                <w:sz w:val="22"/>
              </w:rPr>
              <w:t>14/08/2009</w:t>
            </w:r>
          </w:p>
        </w:tc>
        <w:tc>
          <w:tcPr>
            <w:tcW w:w="1262" w:type="dxa"/>
          </w:tcPr>
          <w:p>
            <w:pPr>
              <w:pStyle w:val="TableParagraph"/>
              <w:rPr>
                <w:sz w:val="22"/>
              </w:rPr>
            </w:pPr>
            <w:r>
              <w:rPr>
                <w:sz w:val="22"/>
              </w:rPr>
              <w:t>6.86</w:t>
            </w:r>
          </w:p>
        </w:tc>
        <w:tc>
          <w:tcPr>
            <w:tcW w:w="1190" w:type="dxa"/>
          </w:tcPr>
          <w:p>
            <w:pPr>
              <w:pStyle w:val="TableParagraph"/>
              <w:ind w:right="63"/>
              <w:rPr>
                <w:sz w:val="22"/>
              </w:rPr>
            </w:pPr>
            <w:r>
              <w:rPr>
                <w:sz w:val="22"/>
              </w:rPr>
              <w:t>7.05</w:t>
            </w:r>
          </w:p>
        </w:tc>
        <w:tc>
          <w:tcPr>
            <w:tcW w:w="617" w:type="dxa"/>
          </w:tcPr>
          <w:p>
            <w:pPr>
              <w:pStyle w:val="TableParagraph"/>
              <w:rPr>
                <w:sz w:val="22"/>
              </w:rPr>
            </w:pPr>
            <w:r>
              <w:rPr>
                <w:sz w:val="22"/>
              </w:rPr>
              <w:t>6.26</w:t>
            </w:r>
          </w:p>
        </w:tc>
        <w:tc>
          <w:tcPr>
            <w:tcW w:w="1190" w:type="dxa"/>
          </w:tcPr>
          <w:p>
            <w:pPr>
              <w:pStyle w:val="TableParagraph"/>
              <w:ind w:right="63"/>
              <w:rPr>
                <w:sz w:val="22"/>
              </w:rPr>
            </w:pPr>
            <w:r>
              <w:rPr>
                <w:sz w:val="22"/>
              </w:rPr>
              <w:t>5.63</w:t>
            </w:r>
          </w:p>
        </w:tc>
        <w:tc>
          <w:tcPr>
            <w:tcW w:w="1188" w:type="dxa"/>
          </w:tcPr>
          <w:p>
            <w:pPr>
              <w:pStyle w:val="TableParagraph"/>
              <w:rPr>
                <w:sz w:val="22"/>
              </w:rPr>
            </w:pPr>
            <w:r>
              <w:rPr>
                <w:sz w:val="22"/>
              </w:rPr>
              <w:t>5.53</w:t>
            </w:r>
          </w:p>
        </w:tc>
        <w:tc>
          <w:tcPr>
            <w:tcW w:w="1188" w:type="dxa"/>
          </w:tcPr>
          <w:p>
            <w:pPr>
              <w:pStyle w:val="TableParagraph"/>
              <w:rPr>
                <w:sz w:val="22"/>
              </w:rPr>
            </w:pPr>
            <w:r>
              <w:rPr>
                <w:sz w:val="22"/>
              </w:rPr>
              <w:t>0.59</w:t>
            </w:r>
          </w:p>
        </w:tc>
      </w:tr>
      <w:tr>
        <w:trPr>
          <w:trHeight w:val="310" w:hRule="exact"/>
        </w:trPr>
        <w:tc>
          <w:tcPr>
            <w:tcW w:w="660" w:type="dxa"/>
          </w:tcPr>
          <w:p>
            <w:pPr>
              <w:pStyle w:val="TableParagraph"/>
              <w:rPr>
                <w:sz w:val="22"/>
              </w:rPr>
            </w:pPr>
            <w:r>
              <w:rPr>
                <w:sz w:val="22"/>
              </w:rPr>
              <w:t>85</w:t>
            </w:r>
          </w:p>
        </w:tc>
        <w:tc>
          <w:tcPr>
            <w:tcW w:w="1682" w:type="dxa"/>
          </w:tcPr>
          <w:p>
            <w:pPr>
              <w:pStyle w:val="TableParagraph"/>
              <w:rPr>
                <w:sz w:val="22"/>
              </w:rPr>
            </w:pPr>
            <w:r>
              <w:rPr>
                <w:sz w:val="22"/>
              </w:rPr>
              <w:t>12/09/2009</w:t>
            </w:r>
          </w:p>
        </w:tc>
        <w:tc>
          <w:tcPr>
            <w:tcW w:w="1262" w:type="dxa"/>
          </w:tcPr>
          <w:p>
            <w:pPr>
              <w:pStyle w:val="TableParagraph"/>
              <w:rPr>
                <w:sz w:val="22"/>
              </w:rPr>
            </w:pPr>
            <w:r>
              <w:rPr>
                <w:sz w:val="22"/>
              </w:rPr>
              <w:t>6.68</w:t>
            </w:r>
          </w:p>
        </w:tc>
        <w:tc>
          <w:tcPr>
            <w:tcW w:w="1190" w:type="dxa"/>
          </w:tcPr>
          <w:p>
            <w:pPr>
              <w:pStyle w:val="TableParagraph"/>
              <w:ind w:right="63"/>
              <w:rPr>
                <w:sz w:val="22"/>
              </w:rPr>
            </w:pPr>
            <w:r>
              <w:rPr>
                <w:sz w:val="22"/>
              </w:rPr>
              <w:t>6.90</w:t>
            </w:r>
          </w:p>
        </w:tc>
        <w:tc>
          <w:tcPr>
            <w:tcW w:w="617" w:type="dxa"/>
          </w:tcPr>
          <w:p>
            <w:pPr>
              <w:pStyle w:val="TableParagraph"/>
              <w:rPr>
                <w:sz w:val="22"/>
              </w:rPr>
            </w:pPr>
            <w:r>
              <w:rPr>
                <w:sz w:val="22"/>
              </w:rPr>
              <w:t>4.94</w:t>
            </w:r>
          </w:p>
        </w:tc>
        <w:tc>
          <w:tcPr>
            <w:tcW w:w="1190" w:type="dxa"/>
          </w:tcPr>
          <w:p>
            <w:pPr>
              <w:pStyle w:val="TableParagraph"/>
              <w:ind w:right="63"/>
              <w:rPr>
                <w:sz w:val="22"/>
              </w:rPr>
            </w:pPr>
            <w:r>
              <w:rPr>
                <w:sz w:val="22"/>
              </w:rPr>
              <w:t>5.02</w:t>
            </w:r>
          </w:p>
        </w:tc>
        <w:tc>
          <w:tcPr>
            <w:tcW w:w="1188" w:type="dxa"/>
          </w:tcPr>
          <w:p>
            <w:pPr>
              <w:pStyle w:val="TableParagraph"/>
              <w:rPr>
                <w:sz w:val="22"/>
              </w:rPr>
            </w:pPr>
            <w:r>
              <w:rPr>
                <w:sz w:val="22"/>
              </w:rPr>
              <w:t>5.66</w:t>
            </w:r>
          </w:p>
        </w:tc>
        <w:tc>
          <w:tcPr>
            <w:tcW w:w="1188" w:type="dxa"/>
          </w:tcPr>
          <w:p>
            <w:pPr>
              <w:pStyle w:val="TableParagraph"/>
              <w:rPr>
                <w:sz w:val="22"/>
              </w:rPr>
            </w:pPr>
            <w:r>
              <w:rPr>
                <w:sz w:val="22"/>
              </w:rPr>
              <w:t>5.18</w:t>
            </w:r>
          </w:p>
        </w:tc>
      </w:tr>
      <w:tr>
        <w:trPr>
          <w:trHeight w:val="310" w:hRule="exact"/>
        </w:trPr>
        <w:tc>
          <w:tcPr>
            <w:tcW w:w="660" w:type="dxa"/>
          </w:tcPr>
          <w:p>
            <w:pPr>
              <w:pStyle w:val="TableParagraph"/>
              <w:spacing w:before="30"/>
              <w:rPr>
                <w:sz w:val="22"/>
              </w:rPr>
            </w:pPr>
            <w:r>
              <w:rPr>
                <w:sz w:val="22"/>
              </w:rPr>
              <w:t>86</w:t>
            </w:r>
          </w:p>
        </w:tc>
        <w:tc>
          <w:tcPr>
            <w:tcW w:w="1682" w:type="dxa"/>
          </w:tcPr>
          <w:p>
            <w:pPr>
              <w:pStyle w:val="TableParagraph"/>
              <w:spacing w:before="30"/>
              <w:rPr>
                <w:sz w:val="22"/>
              </w:rPr>
            </w:pPr>
            <w:r>
              <w:rPr>
                <w:sz w:val="22"/>
              </w:rPr>
              <w:t>13/09/2009</w:t>
            </w:r>
          </w:p>
        </w:tc>
        <w:tc>
          <w:tcPr>
            <w:tcW w:w="1262" w:type="dxa"/>
          </w:tcPr>
          <w:p>
            <w:pPr>
              <w:pStyle w:val="TableParagraph"/>
              <w:spacing w:before="30"/>
              <w:rPr>
                <w:sz w:val="22"/>
              </w:rPr>
            </w:pPr>
            <w:r>
              <w:rPr>
                <w:sz w:val="22"/>
              </w:rPr>
              <w:t>6.66</w:t>
            </w:r>
          </w:p>
        </w:tc>
        <w:tc>
          <w:tcPr>
            <w:tcW w:w="1190" w:type="dxa"/>
          </w:tcPr>
          <w:p>
            <w:pPr>
              <w:pStyle w:val="TableParagraph"/>
              <w:spacing w:before="30"/>
              <w:ind w:right="63"/>
              <w:rPr>
                <w:sz w:val="22"/>
              </w:rPr>
            </w:pPr>
            <w:r>
              <w:rPr>
                <w:sz w:val="22"/>
              </w:rPr>
              <w:t>6.89</w:t>
            </w:r>
          </w:p>
        </w:tc>
        <w:tc>
          <w:tcPr>
            <w:tcW w:w="617" w:type="dxa"/>
          </w:tcPr>
          <w:p>
            <w:pPr>
              <w:pStyle w:val="TableParagraph"/>
              <w:spacing w:before="30"/>
              <w:rPr>
                <w:sz w:val="22"/>
              </w:rPr>
            </w:pPr>
            <w:r>
              <w:rPr>
                <w:sz w:val="22"/>
              </w:rPr>
              <w:t>5.23</w:t>
            </w:r>
          </w:p>
        </w:tc>
        <w:tc>
          <w:tcPr>
            <w:tcW w:w="1190" w:type="dxa"/>
          </w:tcPr>
          <w:p>
            <w:pPr>
              <w:pStyle w:val="TableParagraph"/>
              <w:spacing w:before="30"/>
              <w:ind w:right="63"/>
              <w:rPr>
                <w:sz w:val="22"/>
              </w:rPr>
            </w:pPr>
            <w:r>
              <w:rPr>
                <w:sz w:val="22"/>
              </w:rPr>
              <w:t>4.96</w:t>
            </w:r>
          </w:p>
        </w:tc>
        <w:tc>
          <w:tcPr>
            <w:tcW w:w="1188" w:type="dxa"/>
          </w:tcPr>
          <w:p>
            <w:pPr>
              <w:pStyle w:val="TableParagraph"/>
              <w:spacing w:before="30"/>
              <w:rPr>
                <w:sz w:val="22"/>
              </w:rPr>
            </w:pPr>
            <w:r>
              <w:rPr>
                <w:sz w:val="22"/>
              </w:rPr>
              <w:t>5.9</w:t>
            </w:r>
          </w:p>
        </w:tc>
        <w:tc>
          <w:tcPr>
            <w:tcW w:w="1188" w:type="dxa"/>
          </w:tcPr>
          <w:p>
            <w:pPr>
              <w:pStyle w:val="TableParagraph"/>
              <w:spacing w:before="30"/>
              <w:rPr>
                <w:sz w:val="22"/>
              </w:rPr>
            </w:pPr>
            <w:r>
              <w:rPr>
                <w:sz w:val="22"/>
              </w:rPr>
              <w:t>3.23</w:t>
            </w:r>
          </w:p>
        </w:tc>
      </w:tr>
      <w:tr>
        <w:trPr>
          <w:trHeight w:val="312" w:hRule="exact"/>
        </w:trPr>
        <w:tc>
          <w:tcPr>
            <w:tcW w:w="660" w:type="dxa"/>
          </w:tcPr>
          <w:p>
            <w:pPr>
              <w:pStyle w:val="TableParagraph"/>
              <w:spacing w:before="30"/>
              <w:rPr>
                <w:sz w:val="22"/>
              </w:rPr>
            </w:pPr>
            <w:r>
              <w:rPr>
                <w:sz w:val="22"/>
              </w:rPr>
              <w:t>87</w:t>
            </w:r>
          </w:p>
        </w:tc>
        <w:tc>
          <w:tcPr>
            <w:tcW w:w="1682" w:type="dxa"/>
          </w:tcPr>
          <w:p>
            <w:pPr>
              <w:pStyle w:val="TableParagraph"/>
              <w:spacing w:before="30"/>
              <w:rPr>
                <w:sz w:val="22"/>
              </w:rPr>
            </w:pPr>
            <w:r>
              <w:rPr>
                <w:sz w:val="22"/>
              </w:rPr>
              <w:t>14/09/2009</w:t>
            </w:r>
          </w:p>
        </w:tc>
        <w:tc>
          <w:tcPr>
            <w:tcW w:w="1262" w:type="dxa"/>
          </w:tcPr>
          <w:p>
            <w:pPr>
              <w:pStyle w:val="TableParagraph"/>
              <w:spacing w:before="30"/>
              <w:rPr>
                <w:sz w:val="22"/>
              </w:rPr>
            </w:pPr>
            <w:r>
              <w:rPr>
                <w:sz w:val="22"/>
              </w:rPr>
              <w:t>6.41</w:t>
            </w:r>
          </w:p>
        </w:tc>
        <w:tc>
          <w:tcPr>
            <w:tcW w:w="1190" w:type="dxa"/>
          </w:tcPr>
          <w:p>
            <w:pPr>
              <w:pStyle w:val="TableParagraph"/>
              <w:spacing w:before="30"/>
              <w:ind w:right="63"/>
              <w:rPr>
                <w:sz w:val="22"/>
              </w:rPr>
            </w:pPr>
            <w:r>
              <w:rPr>
                <w:sz w:val="22"/>
              </w:rPr>
              <w:t>6.92</w:t>
            </w:r>
          </w:p>
        </w:tc>
        <w:tc>
          <w:tcPr>
            <w:tcW w:w="617" w:type="dxa"/>
          </w:tcPr>
          <w:p>
            <w:pPr>
              <w:pStyle w:val="TableParagraph"/>
              <w:spacing w:before="30"/>
              <w:rPr>
                <w:sz w:val="22"/>
              </w:rPr>
            </w:pPr>
            <w:r>
              <w:rPr>
                <w:sz w:val="22"/>
              </w:rPr>
              <w:t>5.12</w:t>
            </w:r>
          </w:p>
        </w:tc>
        <w:tc>
          <w:tcPr>
            <w:tcW w:w="1190" w:type="dxa"/>
          </w:tcPr>
          <w:p>
            <w:pPr>
              <w:pStyle w:val="TableParagraph"/>
              <w:spacing w:before="30"/>
              <w:ind w:right="63"/>
              <w:rPr>
                <w:sz w:val="22"/>
              </w:rPr>
            </w:pPr>
            <w:r>
              <w:rPr>
                <w:sz w:val="22"/>
              </w:rPr>
              <w:t>4.87</w:t>
            </w:r>
          </w:p>
        </w:tc>
        <w:tc>
          <w:tcPr>
            <w:tcW w:w="1188" w:type="dxa"/>
          </w:tcPr>
          <w:p>
            <w:pPr>
              <w:pStyle w:val="TableParagraph"/>
              <w:spacing w:before="30"/>
              <w:rPr>
                <w:sz w:val="22"/>
              </w:rPr>
            </w:pPr>
            <w:r>
              <w:rPr>
                <w:sz w:val="22"/>
              </w:rPr>
              <w:t>5.2</w:t>
            </w:r>
          </w:p>
        </w:tc>
        <w:tc>
          <w:tcPr>
            <w:tcW w:w="1188" w:type="dxa"/>
          </w:tcPr>
          <w:p>
            <w:pPr>
              <w:pStyle w:val="TableParagraph"/>
              <w:spacing w:before="30"/>
              <w:rPr>
                <w:sz w:val="22"/>
              </w:rPr>
            </w:pPr>
            <w:r>
              <w:rPr>
                <w:sz w:val="22"/>
              </w:rPr>
              <w:t>1.6</w:t>
            </w:r>
          </w:p>
        </w:tc>
      </w:tr>
      <w:tr>
        <w:trPr>
          <w:trHeight w:val="310" w:hRule="exact"/>
        </w:trPr>
        <w:tc>
          <w:tcPr>
            <w:tcW w:w="660" w:type="dxa"/>
          </w:tcPr>
          <w:p>
            <w:pPr>
              <w:pStyle w:val="TableParagraph"/>
              <w:rPr>
                <w:sz w:val="22"/>
              </w:rPr>
            </w:pPr>
            <w:r>
              <w:rPr>
                <w:sz w:val="22"/>
              </w:rPr>
              <w:t>88</w:t>
            </w:r>
          </w:p>
        </w:tc>
        <w:tc>
          <w:tcPr>
            <w:tcW w:w="1682" w:type="dxa"/>
          </w:tcPr>
          <w:p>
            <w:pPr>
              <w:pStyle w:val="TableParagraph"/>
              <w:rPr>
                <w:sz w:val="22"/>
              </w:rPr>
            </w:pPr>
            <w:r>
              <w:rPr>
                <w:sz w:val="22"/>
              </w:rPr>
              <w:t>15/09/2009</w:t>
            </w:r>
          </w:p>
        </w:tc>
        <w:tc>
          <w:tcPr>
            <w:tcW w:w="1262" w:type="dxa"/>
          </w:tcPr>
          <w:p>
            <w:pPr>
              <w:pStyle w:val="TableParagraph"/>
              <w:rPr>
                <w:sz w:val="22"/>
              </w:rPr>
            </w:pPr>
            <w:r>
              <w:rPr>
                <w:sz w:val="22"/>
              </w:rPr>
              <w:t>6.57</w:t>
            </w:r>
          </w:p>
        </w:tc>
        <w:tc>
          <w:tcPr>
            <w:tcW w:w="1190" w:type="dxa"/>
          </w:tcPr>
          <w:p>
            <w:pPr>
              <w:pStyle w:val="TableParagraph"/>
              <w:ind w:right="63"/>
              <w:rPr>
                <w:sz w:val="22"/>
              </w:rPr>
            </w:pPr>
            <w:r>
              <w:rPr>
                <w:sz w:val="22"/>
              </w:rPr>
              <w:t>6.84</w:t>
            </w:r>
          </w:p>
        </w:tc>
        <w:tc>
          <w:tcPr>
            <w:tcW w:w="617" w:type="dxa"/>
          </w:tcPr>
          <w:p>
            <w:pPr>
              <w:pStyle w:val="TableParagraph"/>
              <w:rPr>
                <w:sz w:val="22"/>
              </w:rPr>
            </w:pPr>
            <w:r>
              <w:rPr>
                <w:sz w:val="22"/>
              </w:rPr>
              <w:t>5.52</w:t>
            </w:r>
          </w:p>
        </w:tc>
        <w:tc>
          <w:tcPr>
            <w:tcW w:w="1190" w:type="dxa"/>
          </w:tcPr>
          <w:p>
            <w:pPr>
              <w:pStyle w:val="TableParagraph"/>
              <w:ind w:right="63"/>
              <w:rPr>
                <w:sz w:val="22"/>
              </w:rPr>
            </w:pPr>
            <w:r>
              <w:rPr>
                <w:sz w:val="22"/>
              </w:rPr>
              <w:t>5.47</w:t>
            </w:r>
          </w:p>
        </w:tc>
        <w:tc>
          <w:tcPr>
            <w:tcW w:w="1188" w:type="dxa"/>
          </w:tcPr>
          <w:p>
            <w:pPr>
              <w:pStyle w:val="TableParagraph"/>
              <w:rPr>
                <w:sz w:val="22"/>
              </w:rPr>
            </w:pPr>
            <w:r>
              <w:rPr>
                <w:sz w:val="22"/>
              </w:rPr>
              <w:t>5.99</w:t>
            </w:r>
          </w:p>
        </w:tc>
        <w:tc>
          <w:tcPr>
            <w:tcW w:w="1188" w:type="dxa"/>
          </w:tcPr>
          <w:p>
            <w:pPr>
              <w:pStyle w:val="TableParagraph"/>
              <w:rPr>
                <w:sz w:val="22"/>
              </w:rPr>
            </w:pPr>
            <w:r>
              <w:rPr>
                <w:sz w:val="22"/>
              </w:rPr>
              <w:t>1.2</w:t>
            </w:r>
          </w:p>
        </w:tc>
      </w:tr>
      <w:tr>
        <w:trPr>
          <w:trHeight w:val="310" w:hRule="exact"/>
        </w:trPr>
        <w:tc>
          <w:tcPr>
            <w:tcW w:w="660" w:type="dxa"/>
          </w:tcPr>
          <w:p>
            <w:pPr>
              <w:pStyle w:val="TableParagraph"/>
              <w:rPr>
                <w:sz w:val="22"/>
              </w:rPr>
            </w:pPr>
            <w:r>
              <w:rPr>
                <w:sz w:val="22"/>
              </w:rPr>
              <w:t>89</w:t>
            </w:r>
          </w:p>
        </w:tc>
        <w:tc>
          <w:tcPr>
            <w:tcW w:w="1682" w:type="dxa"/>
          </w:tcPr>
          <w:p>
            <w:pPr>
              <w:pStyle w:val="TableParagraph"/>
              <w:rPr>
                <w:sz w:val="22"/>
              </w:rPr>
            </w:pPr>
            <w:r>
              <w:rPr>
                <w:sz w:val="22"/>
              </w:rPr>
              <w:t>16/09/2009</w:t>
            </w:r>
          </w:p>
        </w:tc>
        <w:tc>
          <w:tcPr>
            <w:tcW w:w="1262" w:type="dxa"/>
          </w:tcPr>
          <w:p>
            <w:pPr>
              <w:pStyle w:val="TableParagraph"/>
              <w:rPr>
                <w:sz w:val="22"/>
              </w:rPr>
            </w:pPr>
            <w:r>
              <w:rPr>
                <w:sz w:val="22"/>
              </w:rPr>
              <w:t>6.61</w:t>
            </w:r>
          </w:p>
        </w:tc>
        <w:tc>
          <w:tcPr>
            <w:tcW w:w="1190" w:type="dxa"/>
          </w:tcPr>
          <w:p>
            <w:pPr>
              <w:pStyle w:val="TableParagraph"/>
              <w:ind w:right="63"/>
              <w:rPr>
                <w:sz w:val="22"/>
              </w:rPr>
            </w:pPr>
            <w:r>
              <w:rPr>
                <w:sz w:val="22"/>
              </w:rPr>
              <w:t>6.79</w:t>
            </w:r>
          </w:p>
        </w:tc>
        <w:tc>
          <w:tcPr>
            <w:tcW w:w="617" w:type="dxa"/>
          </w:tcPr>
          <w:p>
            <w:pPr>
              <w:pStyle w:val="TableParagraph"/>
              <w:rPr>
                <w:sz w:val="22"/>
              </w:rPr>
            </w:pPr>
            <w:r>
              <w:rPr>
                <w:sz w:val="22"/>
              </w:rPr>
              <w:t>6.01</w:t>
            </w:r>
          </w:p>
        </w:tc>
        <w:tc>
          <w:tcPr>
            <w:tcW w:w="1190" w:type="dxa"/>
          </w:tcPr>
          <w:p>
            <w:pPr>
              <w:pStyle w:val="TableParagraph"/>
              <w:ind w:right="63"/>
              <w:rPr>
                <w:sz w:val="22"/>
              </w:rPr>
            </w:pPr>
            <w:r>
              <w:rPr>
                <w:sz w:val="22"/>
              </w:rPr>
              <w:t>5.46</w:t>
            </w:r>
          </w:p>
        </w:tc>
        <w:tc>
          <w:tcPr>
            <w:tcW w:w="1188" w:type="dxa"/>
          </w:tcPr>
          <w:p>
            <w:pPr>
              <w:pStyle w:val="TableParagraph"/>
              <w:rPr>
                <w:sz w:val="22"/>
              </w:rPr>
            </w:pPr>
            <w:r>
              <w:rPr>
                <w:sz w:val="22"/>
              </w:rPr>
              <w:t>5.36</w:t>
            </w:r>
          </w:p>
        </w:tc>
        <w:tc>
          <w:tcPr>
            <w:tcW w:w="1188" w:type="dxa"/>
          </w:tcPr>
          <w:p>
            <w:pPr>
              <w:pStyle w:val="TableParagraph"/>
              <w:rPr>
                <w:sz w:val="22"/>
              </w:rPr>
            </w:pPr>
            <w:r>
              <w:rPr>
                <w:sz w:val="22"/>
              </w:rPr>
              <w:t>0.42</w:t>
            </w:r>
          </w:p>
        </w:tc>
      </w:tr>
      <w:tr>
        <w:trPr>
          <w:trHeight w:val="310" w:hRule="exact"/>
        </w:trPr>
        <w:tc>
          <w:tcPr>
            <w:tcW w:w="660" w:type="dxa"/>
          </w:tcPr>
          <w:p>
            <w:pPr>
              <w:pStyle w:val="TableParagraph"/>
              <w:rPr>
                <w:sz w:val="22"/>
              </w:rPr>
            </w:pPr>
            <w:r>
              <w:rPr>
                <w:sz w:val="22"/>
              </w:rPr>
              <w:t>90</w:t>
            </w:r>
          </w:p>
        </w:tc>
        <w:tc>
          <w:tcPr>
            <w:tcW w:w="1682" w:type="dxa"/>
          </w:tcPr>
          <w:p>
            <w:pPr>
              <w:pStyle w:val="TableParagraph"/>
              <w:rPr>
                <w:sz w:val="22"/>
              </w:rPr>
            </w:pPr>
            <w:r>
              <w:rPr>
                <w:sz w:val="22"/>
              </w:rPr>
              <w:t>17/09/2009</w:t>
            </w:r>
          </w:p>
        </w:tc>
        <w:tc>
          <w:tcPr>
            <w:tcW w:w="1262" w:type="dxa"/>
          </w:tcPr>
          <w:p>
            <w:pPr>
              <w:pStyle w:val="TableParagraph"/>
              <w:rPr>
                <w:sz w:val="22"/>
              </w:rPr>
            </w:pPr>
            <w:r>
              <w:rPr>
                <w:sz w:val="22"/>
              </w:rPr>
              <w:t>6.56</w:t>
            </w:r>
          </w:p>
        </w:tc>
        <w:tc>
          <w:tcPr>
            <w:tcW w:w="1190" w:type="dxa"/>
          </w:tcPr>
          <w:p>
            <w:pPr>
              <w:pStyle w:val="TableParagraph"/>
              <w:ind w:right="63"/>
              <w:rPr>
                <w:sz w:val="22"/>
              </w:rPr>
            </w:pPr>
            <w:r>
              <w:rPr>
                <w:sz w:val="22"/>
              </w:rPr>
              <w:t>6.82</w:t>
            </w:r>
          </w:p>
        </w:tc>
        <w:tc>
          <w:tcPr>
            <w:tcW w:w="617" w:type="dxa"/>
          </w:tcPr>
          <w:p>
            <w:pPr>
              <w:pStyle w:val="TableParagraph"/>
              <w:rPr>
                <w:sz w:val="22"/>
              </w:rPr>
            </w:pPr>
            <w:r>
              <w:rPr>
                <w:sz w:val="22"/>
              </w:rPr>
              <w:t>5.09</w:t>
            </w:r>
          </w:p>
        </w:tc>
        <w:tc>
          <w:tcPr>
            <w:tcW w:w="1190" w:type="dxa"/>
          </w:tcPr>
          <w:p>
            <w:pPr>
              <w:pStyle w:val="TableParagraph"/>
              <w:ind w:right="63"/>
              <w:rPr>
                <w:sz w:val="22"/>
              </w:rPr>
            </w:pPr>
            <w:r>
              <w:rPr>
                <w:sz w:val="22"/>
              </w:rPr>
              <w:t>5.28</w:t>
            </w:r>
          </w:p>
        </w:tc>
        <w:tc>
          <w:tcPr>
            <w:tcW w:w="1188" w:type="dxa"/>
          </w:tcPr>
          <w:p>
            <w:pPr>
              <w:pStyle w:val="TableParagraph"/>
              <w:rPr>
                <w:sz w:val="22"/>
              </w:rPr>
            </w:pPr>
            <w:r>
              <w:rPr>
                <w:sz w:val="22"/>
              </w:rPr>
              <w:t>5.94</w:t>
            </w:r>
          </w:p>
        </w:tc>
        <w:tc>
          <w:tcPr>
            <w:tcW w:w="1188" w:type="dxa"/>
          </w:tcPr>
          <w:p>
            <w:pPr>
              <w:pStyle w:val="TableParagraph"/>
              <w:rPr>
                <w:sz w:val="22"/>
              </w:rPr>
            </w:pPr>
            <w:r>
              <w:rPr>
                <w:sz w:val="22"/>
              </w:rPr>
              <w:t>1.12</w:t>
            </w:r>
          </w:p>
        </w:tc>
      </w:tr>
      <w:tr>
        <w:trPr>
          <w:trHeight w:val="310" w:hRule="exact"/>
        </w:trPr>
        <w:tc>
          <w:tcPr>
            <w:tcW w:w="660" w:type="dxa"/>
          </w:tcPr>
          <w:p>
            <w:pPr>
              <w:pStyle w:val="TableParagraph"/>
              <w:rPr>
                <w:sz w:val="22"/>
              </w:rPr>
            </w:pPr>
            <w:r>
              <w:rPr>
                <w:sz w:val="22"/>
              </w:rPr>
              <w:t>91</w:t>
            </w:r>
          </w:p>
        </w:tc>
        <w:tc>
          <w:tcPr>
            <w:tcW w:w="1682" w:type="dxa"/>
          </w:tcPr>
          <w:p>
            <w:pPr>
              <w:pStyle w:val="TableParagraph"/>
              <w:rPr>
                <w:sz w:val="22"/>
              </w:rPr>
            </w:pPr>
            <w:r>
              <w:rPr>
                <w:sz w:val="22"/>
              </w:rPr>
              <w:t>18/09/2009</w:t>
            </w:r>
          </w:p>
        </w:tc>
        <w:tc>
          <w:tcPr>
            <w:tcW w:w="1262" w:type="dxa"/>
          </w:tcPr>
          <w:p>
            <w:pPr>
              <w:pStyle w:val="TableParagraph"/>
              <w:rPr>
                <w:sz w:val="22"/>
              </w:rPr>
            </w:pPr>
            <w:r>
              <w:rPr>
                <w:sz w:val="22"/>
              </w:rPr>
              <w:t>6.67</w:t>
            </w:r>
          </w:p>
        </w:tc>
        <w:tc>
          <w:tcPr>
            <w:tcW w:w="1190" w:type="dxa"/>
          </w:tcPr>
          <w:p>
            <w:pPr>
              <w:pStyle w:val="TableParagraph"/>
              <w:ind w:right="63"/>
              <w:rPr>
                <w:sz w:val="22"/>
              </w:rPr>
            </w:pPr>
            <w:r>
              <w:rPr>
                <w:sz w:val="22"/>
              </w:rPr>
              <w:t>7.16</w:t>
            </w:r>
          </w:p>
        </w:tc>
        <w:tc>
          <w:tcPr>
            <w:tcW w:w="617" w:type="dxa"/>
          </w:tcPr>
          <w:p>
            <w:pPr>
              <w:pStyle w:val="TableParagraph"/>
              <w:rPr>
                <w:sz w:val="22"/>
              </w:rPr>
            </w:pPr>
            <w:r>
              <w:rPr>
                <w:sz w:val="22"/>
              </w:rPr>
              <w:t>4.91</w:t>
            </w:r>
          </w:p>
        </w:tc>
        <w:tc>
          <w:tcPr>
            <w:tcW w:w="1190" w:type="dxa"/>
          </w:tcPr>
          <w:p>
            <w:pPr>
              <w:pStyle w:val="TableParagraph"/>
              <w:ind w:right="63"/>
              <w:rPr>
                <w:sz w:val="22"/>
              </w:rPr>
            </w:pPr>
            <w:r>
              <w:rPr>
                <w:sz w:val="22"/>
              </w:rPr>
              <w:t>4.51</w:t>
            </w:r>
          </w:p>
        </w:tc>
        <w:tc>
          <w:tcPr>
            <w:tcW w:w="1188" w:type="dxa"/>
          </w:tcPr>
          <w:p>
            <w:pPr>
              <w:pStyle w:val="TableParagraph"/>
              <w:rPr>
                <w:sz w:val="22"/>
              </w:rPr>
            </w:pPr>
            <w:r>
              <w:rPr>
                <w:sz w:val="22"/>
              </w:rPr>
              <w:t>5.33</w:t>
            </w:r>
          </w:p>
        </w:tc>
        <w:tc>
          <w:tcPr>
            <w:tcW w:w="1188" w:type="dxa"/>
          </w:tcPr>
          <w:p>
            <w:pPr>
              <w:pStyle w:val="TableParagraph"/>
              <w:rPr>
                <w:sz w:val="22"/>
              </w:rPr>
            </w:pPr>
            <w:r>
              <w:rPr>
                <w:sz w:val="22"/>
              </w:rPr>
              <w:t>2.25</w:t>
            </w:r>
          </w:p>
        </w:tc>
      </w:tr>
      <w:tr>
        <w:trPr>
          <w:trHeight w:val="310" w:hRule="exact"/>
        </w:trPr>
        <w:tc>
          <w:tcPr>
            <w:tcW w:w="660" w:type="dxa"/>
          </w:tcPr>
          <w:p>
            <w:pPr>
              <w:pStyle w:val="TableParagraph"/>
              <w:spacing w:before="30"/>
              <w:rPr>
                <w:sz w:val="22"/>
              </w:rPr>
            </w:pPr>
            <w:r>
              <w:rPr>
                <w:sz w:val="22"/>
              </w:rPr>
              <w:t>92</w:t>
            </w:r>
          </w:p>
        </w:tc>
        <w:tc>
          <w:tcPr>
            <w:tcW w:w="1682" w:type="dxa"/>
          </w:tcPr>
          <w:p>
            <w:pPr>
              <w:pStyle w:val="TableParagraph"/>
              <w:spacing w:before="30"/>
              <w:rPr>
                <w:sz w:val="22"/>
              </w:rPr>
            </w:pPr>
            <w:r>
              <w:rPr>
                <w:sz w:val="22"/>
              </w:rPr>
              <w:t>19/09/2009</w:t>
            </w:r>
          </w:p>
        </w:tc>
        <w:tc>
          <w:tcPr>
            <w:tcW w:w="1262" w:type="dxa"/>
          </w:tcPr>
          <w:p>
            <w:pPr>
              <w:pStyle w:val="TableParagraph"/>
              <w:spacing w:before="30"/>
              <w:rPr>
                <w:sz w:val="22"/>
              </w:rPr>
            </w:pPr>
            <w:r>
              <w:rPr>
                <w:sz w:val="22"/>
              </w:rPr>
              <w:t>6.85</w:t>
            </w:r>
          </w:p>
        </w:tc>
        <w:tc>
          <w:tcPr>
            <w:tcW w:w="1190" w:type="dxa"/>
          </w:tcPr>
          <w:p>
            <w:pPr>
              <w:pStyle w:val="TableParagraph"/>
              <w:spacing w:before="30"/>
              <w:ind w:right="63"/>
              <w:rPr>
                <w:sz w:val="22"/>
              </w:rPr>
            </w:pPr>
            <w:r>
              <w:rPr>
                <w:sz w:val="22"/>
              </w:rPr>
              <w:t>7.14</w:t>
            </w:r>
          </w:p>
        </w:tc>
        <w:tc>
          <w:tcPr>
            <w:tcW w:w="617" w:type="dxa"/>
          </w:tcPr>
          <w:p>
            <w:pPr>
              <w:pStyle w:val="TableParagraph"/>
              <w:spacing w:before="30"/>
              <w:rPr>
                <w:sz w:val="22"/>
              </w:rPr>
            </w:pPr>
            <w:r>
              <w:rPr>
                <w:sz w:val="22"/>
              </w:rPr>
              <w:t>5.17</w:t>
            </w:r>
          </w:p>
        </w:tc>
        <w:tc>
          <w:tcPr>
            <w:tcW w:w="1190" w:type="dxa"/>
          </w:tcPr>
          <w:p>
            <w:pPr>
              <w:pStyle w:val="TableParagraph"/>
              <w:spacing w:before="30"/>
              <w:ind w:right="63"/>
              <w:rPr>
                <w:sz w:val="22"/>
              </w:rPr>
            </w:pPr>
            <w:r>
              <w:rPr>
                <w:sz w:val="22"/>
              </w:rPr>
              <w:t>4.93</w:t>
            </w:r>
          </w:p>
        </w:tc>
        <w:tc>
          <w:tcPr>
            <w:tcW w:w="1188" w:type="dxa"/>
          </w:tcPr>
          <w:p>
            <w:pPr>
              <w:pStyle w:val="TableParagraph"/>
              <w:spacing w:before="30"/>
              <w:rPr>
                <w:sz w:val="22"/>
              </w:rPr>
            </w:pPr>
            <w:r>
              <w:rPr>
                <w:sz w:val="22"/>
              </w:rPr>
              <w:t>5.35</w:t>
            </w:r>
          </w:p>
        </w:tc>
        <w:tc>
          <w:tcPr>
            <w:tcW w:w="1188" w:type="dxa"/>
          </w:tcPr>
          <w:p>
            <w:pPr>
              <w:pStyle w:val="TableParagraph"/>
              <w:spacing w:before="30"/>
              <w:rPr>
                <w:sz w:val="22"/>
              </w:rPr>
            </w:pPr>
            <w:r>
              <w:rPr>
                <w:sz w:val="22"/>
              </w:rPr>
              <w:t>0.93</w:t>
            </w:r>
          </w:p>
        </w:tc>
      </w:tr>
      <w:tr>
        <w:trPr>
          <w:trHeight w:val="312" w:hRule="exact"/>
        </w:trPr>
        <w:tc>
          <w:tcPr>
            <w:tcW w:w="660" w:type="dxa"/>
          </w:tcPr>
          <w:p>
            <w:pPr>
              <w:pStyle w:val="TableParagraph"/>
              <w:spacing w:before="30"/>
              <w:rPr>
                <w:sz w:val="22"/>
              </w:rPr>
            </w:pPr>
            <w:r>
              <w:rPr>
                <w:sz w:val="22"/>
              </w:rPr>
              <w:t>93</w:t>
            </w:r>
          </w:p>
        </w:tc>
        <w:tc>
          <w:tcPr>
            <w:tcW w:w="1682" w:type="dxa"/>
          </w:tcPr>
          <w:p>
            <w:pPr>
              <w:pStyle w:val="TableParagraph"/>
              <w:spacing w:before="30"/>
              <w:rPr>
                <w:sz w:val="22"/>
              </w:rPr>
            </w:pPr>
            <w:r>
              <w:rPr>
                <w:sz w:val="22"/>
              </w:rPr>
              <w:t>20/09/2009</w:t>
            </w:r>
          </w:p>
        </w:tc>
        <w:tc>
          <w:tcPr>
            <w:tcW w:w="1262" w:type="dxa"/>
          </w:tcPr>
          <w:p>
            <w:pPr>
              <w:pStyle w:val="TableParagraph"/>
              <w:spacing w:before="30"/>
              <w:rPr>
                <w:sz w:val="22"/>
              </w:rPr>
            </w:pPr>
            <w:r>
              <w:rPr>
                <w:sz w:val="22"/>
              </w:rPr>
              <w:t>6.79</w:t>
            </w:r>
          </w:p>
        </w:tc>
        <w:tc>
          <w:tcPr>
            <w:tcW w:w="1190" w:type="dxa"/>
          </w:tcPr>
          <w:p>
            <w:pPr>
              <w:pStyle w:val="TableParagraph"/>
              <w:spacing w:before="30"/>
              <w:ind w:right="63"/>
              <w:rPr>
                <w:sz w:val="22"/>
              </w:rPr>
            </w:pPr>
            <w:r>
              <w:rPr>
                <w:sz w:val="22"/>
              </w:rPr>
              <w:t>6.87</w:t>
            </w:r>
          </w:p>
        </w:tc>
        <w:tc>
          <w:tcPr>
            <w:tcW w:w="617" w:type="dxa"/>
          </w:tcPr>
          <w:p>
            <w:pPr>
              <w:pStyle w:val="TableParagraph"/>
              <w:spacing w:before="30"/>
              <w:rPr>
                <w:sz w:val="22"/>
              </w:rPr>
            </w:pPr>
            <w:r>
              <w:rPr>
                <w:sz w:val="22"/>
              </w:rPr>
              <w:t>5.52</w:t>
            </w:r>
          </w:p>
        </w:tc>
        <w:tc>
          <w:tcPr>
            <w:tcW w:w="1190" w:type="dxa"/>
          </w:tcPr>
          <w:p>
            <w:pPr>
              <w:pStyle w:val="TableParagraph"/>
              <w:spacing w:before="30"/>
              <w:ind w:right="63"/>
              <w:rPr>
                <w:sz w:val="22"/>
              </w:rPr>
            </w:pPr>
            <w:r>
              <w:rPr>
                <w:sz w:val="22"/>
              </w:rPr>
              <w:t>5.12</w:t>
            </w:r>
          </w:p>
        </w:tc>
        <w:tc>
          <w:tcPr>
            <w:tcW w:w="1188" w:type="dxa"/>
          </w:tcPr>
          <w:p>
            <w:pPr>
              <w:pStyle w:val="TableParagraph"/>
              <w:spacing w:before="30"/>
              <w:rPr>
                <w:sz w:val="22"/>
              </w:rPr>
            </w:pPr>
            <w:r>
              <w:rPr>
                <w:sz w:val="22"/>
              </w:rPr>
              <w:t>5.4</w:t>
            </w:r>
          </w:p>
        </w:tc>
        <w:tc>
          <w:tcPr>
            <w:tcW w:w="1188" w:type="dxa"/>
          </w:tcPr>
          <w:p>
            <w:pPr>
              <w:pStyle w:val="TableParagraph"/>
              <w:spacing w:before="30"/>
              <w:rPr>
                <w:sz w:val="22"/>
              </w:rPr>
            </w:pPr>
            <w:r>
              <w:rPr>
                <w:sz w:val="22"/>
              </w:rPr>
              <w:t>0.87</w:t>
            </w:r>
          </w:p>
        </w:tc>
      </w:tr>
      <w:tr>
        <w:trPr>
          <w:trHeight w:val="310" w:hRule="exact"/>
        </w:trPr>
        <w:tc>
          <w:tcPr>
            <w:tcW w:w="660" w:type="dxa"/>
          </w:tcPr>
          <w:p>
            <w:pPr>
              <w:pStyle w:val="TableParagraph"/>
              <w:rPr>
                <w:sz w:val="22"/>
              </w:rPr>
            </w:pPr>
            <w:r>
              <w:rPr>
                <w:sz w:val="22"/>
              </w:rPr>
              <w:t>94</w:t>
            </w:r>
          </w:p>
        </w:tc>
        <w:tc>
          <w:tcPr>
            <w:tcW w:w="1682" w:type="dxa"/>
          </w:tcPr>
          <w:p>
            <w:pPr>
              <w:pStyle w:val="TableParagraph"/>
              <w:rPr>
                <w:sz w:val="22"/>
              </w:rPr>
            </w:pPr>
            <w:r>
              <w:rPr>
                <w:sz w:val="22"/>
              </w:rPr>
              <w:t>21/09/2009</w:t>
            </w:r>
          </w:p>
        </w:tc>
        <w:tc>
          <w:tcPr>
            <w:tcW w:w="1262" w:type="dxa"/>
          </w:tcPr>
          <w:p>
            <w:pPr>
              <w:pStyle w:val="TableParagraph"/>
              <w:rPr>
                <w:sz w:val="22"/>
              </w:rPr>
            </w:pPr>
            <w:r>
              <w:rPr>
                <w:sz w:val="22"/>
              </w:rPr>
              <w:t>6.56</w:t>
            </w:r>
          </w:p>
        </w:tc>
        <w:tc>
          <w:tcPr>
            <w:tcW w:w="1190" w:type="dxa"/>
          </w:tcPr>
          <w:p>
            <w:pPr>
              <w:pStyle w:val="TableParagraph"/>
              <w:ind w:right="63"/>
              <w:rPr>
                <w:sz w:val="22"/>
              </w:rPr>
            </w:pPr>
            <w:r>
              <w:rPr>
                <w:sz w:val="22"/>
              </w:rPr>
              <w:t>6.72</w:t>
            </w:r>
          </w:p>
        </w:tc>
        <w:tc>
          <w:tcPr>
            <w:tcW w:w="617" w:type="dxa"/>
          </w:tcPr>
          <w:p>
            <w:pPr>
              <w:pStyle w:val="TableParagraph"/>
              <w:rPr>
                <w:sz w:val="22"/>
              </w:rPr>
            </w:pPr>
            <w:r>
              <w:rPr>
                <w:sz w:val="22"/>
              </w:rPr>
              <w:t>5.15</w:t>
            </w:r>
          </w:p>
        </w:tc>
        <w:tc>
          <w:tcPr>
            <w:tcW w:w="1190" w:type="dxa"/>
          </w:tcPr>
          <w:p>
            <w:pPr>
              <w:pStyle w:val="TableParagraph"/>
              <w:ind w:right="63"/>
              <w:rPr>
                <w:sz w:val="22"/>
              </w:rPr>
            </w:pPr>
            <w:r>
              <w:rPr>
                <w:sz w:val="22"/>
              </w:rPr>
              <w:t>4.89</w:t>
            </w:r>
          </w:p>
        </w:tc>
        <w:tc>
          <w:tcPr>
            <w:tcW w:w="1188" w:type="dxa"/>
          </w:tcPr>
          <w:p>
            <w:pPr>
              <w:pStyle w:val="TableParagraph"/>
              <w:rPr>
                <w:sz w:val="22"/>
              </w:rPr>
            </w:pPr>
            <w:r>
              <w:rPr>
                <w:sz w:val="22"/>
              </w:rPr>
              <w:t>5.32</w:t>
            </w:r>
          </w:p>
        </w:tc>
        <w:tc>
          <w:tcPr>
            <w:tcW w:w="1188" w:type="dxa"/>
          </w:tcPr>
          <w:p>
            <w:pPr>
              <w:pStyle w:val="TableParagraph"/>
              <w:rPr>
                <w:sz w:val="22"/>
              </w:rPr>
            </w:pPr>
            <w:r>
              <w:rPr>
                <w:sz w:val="22"/>
              </w:rPr>
              <w:t>0.98</w:t>
            </w:r>
          </w:p>
        </w:tc>
      </w:tr>
      <w:tr>
        <w:trPr>
          <w:trHeight w:val="310" w:hRule="exact"/>
        </w:trPr>
        <w:tc>
          <w:tcPr>
            <w:tcW w:w="660" w:type="dxa"/>
          </w:tcPr>
          <w:p>
            <w:pPr>
              <w:pStyle w:val="TableParagraph"/>
              <w:rPr>
                <w:sz w:val="22"/>
              </w:rPr>
            </w:pPr>
            <w:r>
              <w:rPr>
                <w:sz w:val="22"/>
              </w:rPr>
              <w:t>95</w:t>
            </w:r>
          </w:p>
        </w:tc>
        <w:tc>
          <w:tcPr>
            <w:tcW w:w="1682" w:type="dxa"/>
          </w:tcPr>
          <w:p>
            <w:pPr>
              <w:pStyle w:val="TableParagraph"/>
              <w:rPr>
                <w:sz w:val="22"/>
              </w:rPr>
            </w:pPr>
            <w:r>
              <w:rPr>
                <w:sz w:val="22"/>
              </w:rPr>
              <w:t>22/09/2009</w:t>
            </w:r>
          </w:p>
        </w:tc>
        <w:tc>
          <w:tcPr>
            <w:tcW w:w="1262" w:type="dxa"/>
          </w:tcPr>
          <w:p>
            <w:pPr>
              <w:pStyle w:val="TableParagraph"/>
              <w:rPr>
                <w:sz w:val="22"/>
              </w:rPr>
            </w:pPr>
            <w:r>
              <w:rPr>
                <w:sz w:val="22"/>
              </w:rPr>
              <w:t>6.48</w:t>
            </w:r>
          </w:p>
        </w:tc>
        <w:tc>
          <w:tcPr>
            <w:tcW w:w="1190" w:type="dxa"/>
          </w:tcPr>
          <w:p>
            <w:pPr>
              <w:pStyle w:val="TableParagraph"/>
              <w:ind w:right="63"/>
              <w:rPr>
                <w:sz w:val="22"/>
              </w:rPr>
            </w:pPr>
            <w:r>
              <w:rPr>
                <w:sz w:val="22"/>
              </w:rPr>
              <w:t>6.65</w:t>
            </w:r>
          </w:p>
        </w:tc>
        <w:tc>
          <w:tcPr>
            <w:tcW w:w="617" w:type="dxa"/>
          </w:tcPr>
          <w:p>
            <w:pPr>
              <w:pStyle w:val="TableParagraph"/>
              <w:rPr>
                <w:sz w:val="22"/>
              </w:rPr>
            </w:pPr>
            <w:r>
              <w:rPr>
                <w:sz w:val="22"/>
              </w:rPr>
              <w:t>5.2</w:t>
            </w:r>
          </w:p>
        </w:tc>
        <w:tc>
          <w:tcPr>
            <w:tcW w:w="1190" w:type="dxa"/>
          </w:tcPr>
          <w:p>
            <w:pPr>
              <w:pStyle w:val="TableParagraph"/>
              <w:ind w:right="63"/>
              <w:rPr>
                <w:sz w:val="22"/>
              </w:rPr>
            </w:pPr>
            <w:r>
              <w:rPr>
                <w:sz w:val="22"/>
              </w:rPr>
              <w:t>5.08</w:t>
            </w:r>
          </w:p>
        </w:tc>
        <w:tc>
          <w:tcPr>
            <w:tcW w:w="1188" w:type="dxa"/>
          </w:tcPr>
          <w:p>
            <w:pPr>
              <w:pStyle w:val="TableParagraph"/>
              <w:rPr>
                <w:sz w:val="22"/>
              </w:rPr>
            </w:pPr>
            <w:r>
              <w:rPr>
                <w:sz w:val="22"/>
              </w:rPr>
              <w:t>5.11</w:t>
            </w:r>
          </w:p>
        </w:tc>
        <w:tc>
          <w:tcPr>
            <w:tcW w:w="1188" w:type="dxa"/>
          </w:tcPr>
          <w:p>
            <w:pPr>
              <w:pStyle w:val="TableParagraph"/>
              <w:rPr>
                <w:sz w:val="22"/>
              </w:rPr>
            </w:pPr>
            <w:r>
              <w:rPr>
                <w:sz w:val="22"/>
              </w:rPr>
              <w:t>0.89</w:t>
            </w:r>
          </w:p>
        </w:tc>
      </w:tr>
      <w:tr>
        <w:trPr>
          <w:trHeight w:val="310" w:hRule="exact"/>
        </w:trPr>
        <w:tc>
          <w:tcPr>
            <w:tcW w:w="660" w:type="dxa"/>
          </w:tcPr>
          <w:p>
            <w:pPr>
              <w:pStyle w:val="TableParagraph"/>
              <w:rPr>
                <w:sz w:val="22"/>
              </w:rPr>
            </w:pPr>
            <w:r>
              <w:rPr>
                <w:sz w:val="22"/>
              </w:rPr>
              <w:t>96</w:t>
            </w:r>
          </w:p>
        </w:tc>
        <w:tc>
          <w:tcPr>
            <w:tcW w:w="1682" w:type="dxa"/>
          </w:tcPr>
          <w:p>
            <w:pPr>
              <w:pStyle w:val="TableParagraph"/>
              <w:rPr>
                <w:sz w:val="22"/>
              </w:rPr>
            </w:pPr>
            <w:r>
              <w:rPr>
                <w:sz w:val="22"/>
              </w:rPr>
              <w:t>23/09/2009</w:t>
            </w:r>
          </w:p>
        </w:tc>
        <w:tc>
          <w:tcPr>
            <w:tcW w:w="1262" w:type="dxa"/>
          </w:tcPr>
          <w:p>
            <w:pPr>
              <w:pStyle w:val="TableParagraph"/>
              <w:rPr>
                <w:sz w:val="22"/>
              </w:rPr>
            </w:pPr>
            <w:r>
              <w:rPr>
                <w:sz w:val="22"/>
              </w:rPr>
              <w:t>6.39</w:t>
            </w:r>
          </w:p>
        </w:tc>
        <w:tc>
          <w:tcPr>
            <w:tcW w:w="1190" w:type="dxa"/>
          </w:tcPr>
          <w:p>
            <w:pPr>
              <w:pStyle w:val="TableParagraph"/>
              <w:ind w:right="63"/>
              <w:rPr>
                <w:sz w:val="22"/>
              </w:rPr>
            </w:pPr>
            <w:r>
              <w:rPr>
                <w:sz w:val="22"/>
              </w:rPr>
              <w:t>6.59</w:t>
            </w:r>
          </w:p>
        </w:tc>
        <w:tc>
          <w:tcPr>
            <w:tcW w:w="617" w:type="dxa"/>
          </w:tcPr>
          <w:p>
            <w:pPr>
              <w:pStyle w:val="TableParagraph"/>
              <w:rPr>
                <w:sz w:val="22"/>
              </w:rPr>
            </w:pPr>
            <w:r>
              <w:rPr>
                <w:sz w:val="22"/>
              </w:rPr>
              <w:t>4.58</w:t>
            </w:r>
          </w:p>
        </w:tc>
        <w:tc>
          <w:tcPr>
            <w:tcW w:w="1190" w:type="dxa"/>
          </w:tcPr>
          <w:p>
            <w:pPr>
              <w:pStyle w:val="TableParagraph"/>
              <w:ind w:right="63"/>
              <w:rPr>
                <w:sz w:val="22"/>
              </w:rPr>
            </w:pPr>
            <w:r>
              <w:rPr>
                <w:sz w:val="22"/>
              </w:rPr>
              <w:t>4.32</w:t>
            </w:r>
          </w:p>
        </w:tc>
        <w:tc>
          <w:tcPr>
            <w:tcW w:w="1188" w:type="dxa"/>
          </w:tcPr>
          <w:p>
            <w:pPr>
              <w:pStyle w:val="TableParagraph"/>
              <w:rPr>
                <w:sz w:val="22"/>
              </w:rPr>
            </w:pPr>
            <w:r>
              <w:rPr>
                <w:sz w:val="22"/>
              </w:rPr>
              <w:t>4.78</w:t>
            </w:r>
          </w:p>
        </w:tc>
        <w:tc>
          <w:tcPr>
            <w:tcW w:w="1188" w:type="dxa"/>
          </w:tcPr>
          <w:p>
            <w:pPr>
              <w:pStyle w:val="TableParagraph"/>
              <w:rPr>
                <w:sz w:val="22"/>
              </w:rPr>
            </w:pPr>
            <w:r>
              <w:rPr>
                <w:sz w:val="22"/>
              </w:rPr>
              <w:t>1.17</w:t>
            </w:r>
          </w:p>
        </w:tc>
      </w:tr>
      <w:tr>
        <w:trPr>
          <w:trHeight w:val="310" w:hRule="exact"/>
        </w:trPr>
        <w:tc>
          <w:tcPr>
            <w:tcW w:w="660" w:type="dxa"/>
          </w:tcPr>
          <w:p>
            <w:pPr>
              <w:pStyle w:val="TableParagraph"/>
              <w:rPr>
                <w:sz w:val="22"/>
              </w:rPr>
            </w:pPr>
            <w:r>
              <w:rPr>
                <w:sz w:val="22"/>
              </w:rPr>
              <w:t>97</w:t>
            </w:r>
          </w:p>
        </w:tc>
        <w:tc>
          <w:tcPr>
            <w:tcW w:w="1682" w:type="dxa"/>
          </w:tcPr>
          <w:p>
            <w:pPr>
              <w:pStyle w:val="TableParagraph"/>
              <w:rPr>
                <w:sz w:val="22"/>
              </w:rPr>
            </w:pPr>
            <w:r>
              <w:rPr>
                <w:sz w:val="22"/>
              </w:rPr>
              <w:t>24/09/2009</w:t>
            </w:r>
          </w:p>
        </w:tc>
        <w:tc>
          <w:tcPr>
            <w:tcW w:w="1262" w:type="dxa"/>
          </w:tcPr>
          <w:p>
            <w:pPr>
              <w:pStyle w:val="TableParagraph"/>
              <w:rPr>
                <w:sz w:val="22"/>
              </w:rPr>
            </w:pPr>
            <w:r>
              <w:rPr>
                <w:sz w:val="22"/>
              </w:rPr>
              <w:t>6.23</w:t>
            </w:r>
          </w:p>
        </w:tc>
        <w:tc>
          <w:tcPr>
            <w:tcW w:w="1190" w:type="dxa"/>
          </w:tcPr>
          <w:p>
            <w:pPr>
              <w:pStyle w:val="TableParagraph"/>
              <w:ind w:right="63"/>
              <w:rPr>
                <w:sz w:val="22"/>
              </w:rPr>
            </w:pPr>
            <w:r>
              <w:rPr>
                <w:sz w:val="22"/>
              </w:rPr>
              <w:t>6.55</w:t>
            </w:r>
          </w:p>
        </w:tc>
        <w:tc>
          <w:tcPr>
            <w:tcW w:w="617" w:type="dxa"/>
          </w:tcPr>
          <w:p>
            <w:pPr>
              <w:pStyle w:val="TableParagraph"/>
              <w:rPr>
                <w:sz w:val="22"/>
              </w:rPr>
            </w:pPr>
            <w:r>
              <w:rPr>
                <w:sz w:val="22"/>
              </w:rPr>
              <w:t>4.79</w:t>
            </w:r>
          </w:p>
        </w:tc>
        <w:tc>
          <w:tcPr>
            <w:tcW w:w="1190" w:type="dxa"/>
          </w:tcPr>
          <w:p>
            <w:pPr>
              <w:pStyle w:val="TableParagraph"/>
              <w:ind w:right="63"/>
              <w:rPr>
                <w:sz w:val="22"/>
              </w:rPr>
            </w:pPr>
            <w:r>
              <w:rPr>
                <w:sz w:val="22"/>
              </w:rPr>
              <w:t>4.38</w:t>
            </w:r>
          </w:p>
        </w:tc>
        <w:tc>
          <w:tcPr>
            <w:tcW w:w="1188" w:type="dxa"/>
          </w:tcPr>
          <w:p>
            <w:pPr>
              <w:pStyle w:val="TableParagraph"/>
              <w:rPr>
                <w:sz w:val="22"/>
              </w:rPr>
            </w:pPr>
            <w:r>
              <w:rPr>
                <w:sz w:val="22"/>
              </w:rPr>
              <w:t>3.94</w:t>
            </w:r>
          </w:p>
        </w:tc>
        <w:tc>
          <w:tcPr>
            <w:tcW w:w="1188" w:type="dxa"/>
          </w:tcPr>
          <w:p>
            <w:pPr>
              <w:pStyle w:val="TableParagraph"/>
              <w:rPr>
                <w:sz w:val="22"/>
              </w:rPr>
            </w:pPr>
            <w:r>
              <w:rPr>
                <w:sz w:val="22"/>
              </w:rPr>
              <w:t>0.89</w:t>
            </w:r>
          </w:p>
        </w:tc>
      </w:tr>
      <w:tr>
        <w:trPr>
          <w:trHeight w:val="310" w:hRule="exact"/>
        </w:trPr>
        <w:tc>
          <w:tcPr>
            <w:tcW w:w="660" w:type="dxa"/>
          </w:tcPr>
          <w:p>
            <w:pPr>
              <w:pStyle w:val="TableParagraph"/>
              <w:spacing w:before="30"/>
              <w:rPr>
                <w:sz w:val="22"/>
              </w:rPr>
            </w:pPr>
            <w:r>
              <w:rPr>
                <w:sz w:val="22"/>
              </w:rPr>
              <w:t>98</w:t>
            </w:r>
          </w:p>
        </w:tc>
        <w:tc>
          <w:tcPr>
            <w:tcW w:w="1682" w:type="dxa"/>
          </w:tcPr>
          <w:p>
            <w:pPr>
              <w:pStyle w:val="TableParagraph"/>
              <w:spacing w:before="30"/>
              <w:rPr>
                <w:sz w:val="22"/>
              </w:rPr>
            </w:pPr>
            <w:r>
              <w:rPr>
                <w:sz w:val="22"/>
              </w:rPr>
              <w:t>25/09/2009</w:t>
            </w:r>
          </w:p>
        </w:tc>
        <w:tc>
          <w:tcPr>
            <w:tcW w:w="1262" w:type="dxa"/>
          </w:tcPr>
          <w:p>
            <w:pPr>
              <w:pStyle w:val="TableParagraph"/>
              <w:spacing w:before="30"/>
              <w:rPr>
                <w:sz w:val="22"/>
              </w:rPr>
            </w:pPr>
            <w:r>
              <w:rPr>
                <w:sz w:val="22"/>
              </w:rPr>
              <w:t>6.31</w:t>
            </w:r>
          </w:p>
        </w:tc>
        <w:tc>
          <w:tcPr>
            <w:tcW w:w="1190" w:type="dxa"/>
          </w:tcPr>
          <w:p>
            <w:pPr>
              <w:pStyle w:val="TableParagraph"/>
              <w:spacing w:before="30"/>
              <w:ind w:right="63"/>
              <w:rPr>
                <w:sz w:val="22"/>
              </w:rPr>
            </w:pPr>
            <w:r>
              <w:rPr>
                <w:sz w:val="22"/>
              </w:rPr>
              <w:t>6.51</w:t>
            </w:r>
          </w:p>
        </w:tc>
        <w:tc>
          <w:tcPr>
            <w:tcW w:w="617" w:type="dxa"/>
          </w:tcPr>
          <w:p>
            <w:pPr>
              <w:pStyle w:val="TableParagraph"/>
              <w:spacing w:before="30"/>
              <w:rPr>
                <w:sz w:val="22"/>
              </w:rPr>
            </w:pPr>
            <w:r>
              <w:rPr>
                <w:sz w:val="22"/>
              </w:rPr>
              <w:t>5.65</w:t>
            </w:r>
          </w:p>
        </w:tc>
        <w:tc>
          <w:tcPr>
            <w:tcW w:w="1190" w:type="dxa"/>
          </w:tcPr>
          <w:p>
            <w:pPr>
              <w:pStyle w:val="TableParagraph"/>
              <w:spacing w:before="30"/>
              <w:ind w:right="63"/>
              <w:rPr>
                <w:sz w:val="22"/>
              </w:rPr>
            </w:pPr>
            <w:r>
              <w:rPr>
                <w:sz w:val="22"/>
              </w:rPr>
              <w:t>5.25</w:t>
            </w:r>
          </w:p>
        </w:tc>
        <w:tc>
          <w:tcPr>
            <w:tcW w:w="1188" w:type="dxa"/>
          </w:tcPr>
          <w:p>
            <w:pPr>
              <w:pStyle w:val="TableParagraph"/>
              <w:spacing w:before="30"/>
              <w:rPr>
                <w:sz w:val="22"/>
              </w:rPr>
            </w:pPr>
            <w:r>
              <w:rPr>
                <w:sz w:val="22"/>
              </w:rPr>
              <w:t>4.85</w:t>
            </w:r>
          </w:p>
        </w:tc>
        <w:tc>
          <w:tcPr>
            <w:tcW w:w="1188" w:type="dxa"/>
          </w:tcPr>
          <w:p>
            <w:pPr>
              <w:pStyle w:val="TableParagraph"/>
              <w:spacing w:before="30"/>
              <w:rPr>
                <w:sz w:val="22"/>
              </w:rPr>
            </w:pPr>
            <w:r>
              <w:rPr>
                <w:sz w:val="22"/>
              </w:rPr>
              <w:t>0.98</w:t>
            </w:r>
          </w:p>
        </w:tc>
      </w:tr>
      <w:tr>
        <w:trPr>
          <w:trHeight w:val="312" w:hRule="exact"/>
        </w:trPr>
        <w:tc>
          <w:tcPr>
            <w:tcW w:w="660" w:type="dxa"/>
          </w:tcPr>
          <w:p>
            <w:pPr>
              <w:pStyle w:val="TableParagraph"/>
              <w:spacing w:before="30"/>
              <w:rPr>
                <w:sz w:val="22"/>
              </w:rPr>
            </w:pPr>
            <w:r>
              <w:rPr>
                <w:sz w:val="22"/>
              </w:rPr>
              <w:t>99</w:t>
            </w:r>
          </w:p>
        </w:tc>
        <w:tc>
          <w:tcPr>
            <w:tcW w:w="1682" w:type="dxa"/>
          </w:tcPr>
          <w:p>
            <w:pPr>
              <w:pStyle w:val="TableParagraph"/>
              <w:spacing w:before="30"/>
              <w:rPr>
                <w:sz w:val="22"/>
              </w:rPr>
            </w:pPr>
            <w:r>
              <w:rPr>
                <w:sz w:val="22"/>
              </w:rPr>
              <w:t>26/09/2009</w:t>
            </w:r>
          </w:p>
        </w:tc>
        <w:tc>
          <w:tcPr>
            <w:tcW w:w="1262" w:type="dxa"/>
          </w:tcPr>
          <w:p>
            <w:pPr>
              <w:pStyle w:val="TableParagraph"/>
              <w:spacing w:before="30"/>
              <w:rPr>
                <w:sz w:val="22"/>
              </w:rPr>
            </w:pPr>
            <w:r>
              <w:rPr>
                <w:sz w:val="22"/>
              </w:rPr>
              <w:t>6.4</w:t>
            </w:r>
          </w:p>
        </w:tc>
        <w:tc>
          <w:tcPr>
            <w:tcW w:w="1190" w:type="dxa"/>
          </w:tcPr>
          <w:p>
            <w:pPr>
              <w:pStyle w:val="TableParagraph"/>
              <w:spacing w:before="30"/>
              <w:ind w:right="63"/>
              <w:rPr>
                <w:sz w:val="22"/>
              </w:rPr>
            </w:pPr>
            <w:r>
              <w:rPr>
                <w:sz w:val="22"/>
              </w:rPr>
              <w:t>6.59</w:t>
            </w:r>
          </w:p>
        </w:tc>
        <w:tc>
          <w:tcPr>
            <w:tcW w:w="617" w:type="dxa"/>
          </w:tcPr>
          <w:p>
            <w:pPr>
              <w:pStyle w:val="TableParagraph"/>
              <w:spacing w:before="30"/>
              <w:rPr>
                <w:sz w:val="22"/>
              </w:rPr>
            </w:pPr>
            <w:r>
              <w:rPr>
                <w:sz w:val="22"/>
              </w:rPr>
              <w:t>5.5</w:t>
            </w:r>
          </w:p>
        </w:tc>
        <w:tc>
          <w:tcPr>
            <w:tcW w:w="1190" w:type="dxa"/>
          </w:tcPr>
          <w:p>
            <w:pPr>
              <w:pStyle w:val="TableParagraph"/>
              <w:spacing w:before="30"/>
              <w:ind w:right="63"/>
              <w:rPr>
                <w:sz w:val="22"/>
              </w:rPr>
            </w:pPr>
            <w:r>
              <w:rPr>
                <w:sz w:val="22"/>
              </w:rPr>
              <w:t>4.07</w:t>
            </w:r>
          </w:p>
        </w:tc>
        <w:tc>
          <w:tcPr>
            <w:tcW w:w="1188" w:type="dxa"/>
          </w:tcPr>
          <w:p>
            <w:pPr>
              <w:pStyle w:val="TableParagraph"/>
              <w:spacing w:before="30"/>
              <w:rPr>
                <w:sz w:val="22"/>
              </w:rPr>
            </w:pPr>
            <w:r>
              <w:rPr>
                <w:w w:val="100"/>
                <w:sz w:val="22"/>
              </w:rPr>
              <w:t>4</w:t>
            </w:r>
          </w:p>
        </w:tc>
        <w:tc>
          <w:tcPr>
            <w:tcW w:w="1188" w:type="dxa"/>
          </w:tcPr>
          <w:p>
            <w:pPr>
              <w:pStyle w:val="TableParagraph"/>
              <w:spacing w:before="30"/>
              <w:rPr>
                <w:sz w:val="22"/>
              </w:rPr>
            </w:pPr>
            <w:r>
              <w:rPr>
                <w:sz w:val="22"/>
              </w:rPr>
              <w:t>0.98</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2"/>
        <w:gridCol w:w="1262"/>
        <w:gridCol w:w="1190"/>
        <w:gridCol w:w="617"/>
        <w:gridCol w:w="1190"/>
        <w:gridCol w:w="1188"/>
        <w:gridCol w:w="1188"/>
      </w:tblGrid>
      <w:tr>
        <w:trPr>
          <w:trHeight w:val="310" w:hRule="exact"/>
        </w:trPr>
        <w:tc>
          <w:tcPr>
            <w:tcW w:w="8978" w:type="dxa"/>
            <w:gridSpan w:val="8"/>
            <w:shd w:val="clear" w:color="auto" w:fill="E6B9B8"/>
          </w:tcPr>
          <w:p>
            <w:pPr>
              <w:pStyle w:val="TableParagraph"/>
              <w:ind w:left="3629" w:right="3628"/>
              <w:jc w:val="center"/>
              <w:rPr>
                <w:b/>
                <w:sz w:val="22"/>
              </w:rPr>
            </w:pPr>
            <w:r>
              <w:rPr>
                <w:b/>
                <w:sz w:val="22"/>
              </w:rPr>
              <w:t>Oxigeno (mg/L)</w:t>
            </w:r>
          </w:p>
        </w:tc>
      </w:tr>
      <w:tr>
        <w:trPr>
          <w:trHeight w:val="610" w:hRule="exact"/>
        </w:trPr>
        <w:tc>
          <w:tcPr>
            <w:tcW w:w="660" w:type="dxa"/>
            <w:vMerge w:val="restart"/>
            <w:shd w:val="clear" w:color="auto" w:fill="E6B9B8"/>
          </w:tcPr>
          <w:p>
            <w:pPr>
              <w:pStyle w:val="TableParagraph"/>
              <w:spacing w:before="8"/>
              <w:ind w:right="0"/>
              <w:jc w:val="left"/>
              <w:rPr>
                <w:rFonts w:ascii="Times New Roman"/>
                <w:sz w:val="27"/>
              </w:rPr>
            </w:pPr>
          </w:p>
          <w:p>
            <w:pPr>
              <w:pStyle w:val="TableParagraph"/>
              <w:spacing w:before="0"/>
              <w:ind w:left="129" w:right="0"/>
              <w:jc w:val="left"/>
              <w:rPr>
                <w:b/>
                <w:sz w:val="22"/>
              </w:rPr>
            </w:pPr>
            <w:r>
              <w:rPr>
                <w:b/>
                <w:sz w:val="22"/>
              </w:rPr>
              <w:t>Días</w:t>
            </w:r>
          </w:p>
        </w:tc>
        <w:tc>
          <w:tcPr>
            <w:tcW w:w="1682" w:type="dxa"/>
            <w:vMerge w:val="restart"/>
            <w:shd w:val="clear" w:color="auto" w:fill="E6B9B8"/>
          </w:tcPr>
          <w:p>
            <w:pPr>
              <w:pStyle w:val="TableParagraph"/>
              <w:spacing w:before="8"/>
              <w:ind w:right="0"/>
              <w:jc w:val="left"/>
              <w:rPr>
                <w:rFonts w:ascii="Times New Roman"/>
                <w:sz w:val="27"/>
              </w:rPr>
            </w:pPr>
          </w:p>
          <w:p>
            <w:pPr>
              <w:pStyle w:val="TableParagraph"/>
              <w:spacing w:before="0"/>
              <w:ind w:left="551" w:right="551"/>
              <w:jc w:val="center"/>
              <w:rPr>
                <w:b/>
                <w:sz w:val="22"/>
              </w:rPr>
            </w:pPr>
            <w:r>
              <w:rPr>
                <w:b/>
                <w:sz w:val="22"/>
              </w:rPr>
              <w:t>Fecha</w:t>
            </w:r>
          </w:p>
        </w:tc>
        <w:tc>
          <w:tcPr>
            <w:tcW w:w="6636" w:type="dxa"/>
            <w:gridSpan w:val="6"/>
            <w:shd w:val="clear" w:color="auto" w:fill="E6B9B8"/>
          </w:tcPr>
          <w:p>
            <w:pPr>
              <w:pStyle w:val="TableParagraph"/>
              <w:spacing w:before="162"/>
              <w:ind w:left="2371" w:right="2372"/>
              <w:jc w:val="center"/>
              <w:rPr>
                <w:b/>
                <w:sz w:val="22"/>
              </w:rPr>
            </w:pPr>
            <w:r>
              <w:rPr>
                <w:b/>
                <w:sz w:val="22"/>
              </w:rPr>
              <w:t>Puntos de muestreo</w:t>
            </w:r>
          </w:p>
        </w:tc>
      </w:tr>
      <w:tr>
        <w:trPr>
          <w:trHeight w:val="310" w:hRule="exact"/>
        </w:trPr>
        <w:tc>
          <w:tcPr>
            <w:tcW w:w="660" w:type="dxa"/>
            <w:vMerge/>
            <w:shd w:val="clear" w:color="auto" w:fill="E6B9B8"/>
          </w:tcPr>
          <w:p>
            <w:pPr/>
          </w:p>
        </w:tc>
        <w:tc>
          <w:tcPr>
            <w:tcW w:w="1682" w:type="dxa"/>
            <w:vMerge/>
            <w:shd w:val="clear" w:color="auto" w:fill="E6B9B8"/>
          </w:tcPr>
          <w:p>
            <w:pPr/>
          </w:p>
        </w:tc>
        <w:tc>
          <w:tcPr>
            <w:tcW w:w="1262" w:type="dxa"/>
            <w:shd w:val="clear" w:color="auto" w:fill="E6B9B8"/>
          </w:tcPr>
          <w:p>
            <w:pPr>
              <w:pStyle w:val="TableParagraph"/>
              <w:spacing w:before="13"/>
              <w:ind w:right="0"/>
              <w:jc w:val="center"/>
              <w:rPr>
                <w:b/>
                <w:sz w:val="22"/>
              </w:rPr>
            </w:pPr>
            <w:r>
              <w:rPr>
                <w:b/>
                <w:w w:val="100"/>
                <w:sz w:val="22"/>
              </w:rPr>
              <w:t>A</w:t>
            </w:r>
          </w:p>
        </w:tc>
        <w:tc>
          <w:tcPr>
            <w:tcW w:w="1190" w:type="dxa"/>
            <w:shd w:val="clear" w:color="auto" w:fill="E6B9B8"/>
          </w:tcPr>
          <w:p>
            <w:pPr>
              <w:pStyle w:val="TableParagraph"/>
              <w:spacing w:before="13"/>
              <w:ind w:right="1"/>
              <w:jc w:val="center"/>
              <w:rPr>
                <w:b/>
                <w:sz w:val="22"/>
              </w:rPr>
            </w:pPr>
            <w:r>
              <w:rPr>
                <w:b/>
                <w:w w:val="100"/>
                <w:sz w:val="22"/>
              </w:rPr>
              <w:t>B</w:t>
            </w:r>
          </w:p>
        </w:tc>
        <w:tc>
          <w:tcPr>
            <w:tcW w:w="617" w:type="dxa"/>
            <w:shd w:val="clear" w:color="auto" w:fill="E6B9B8"/>
          </w:tcPr>
          <w:p>
            <w:pPr>
              <w:pStyle w:val="TableParagraph"/>
              <w:spacing w:before="30"/>
              <w:ind w:right="0"/>
              <w:jc w:val="center"/>
              <w:rPr>
                <w:b/>
                <w:sz w:val="22"/>
              </w:rPr>
            </w:pPr>
            <w:r>
              <w:rPr>
                <w:b/>
                <w:w w:val="100"/>
                <w:sz w:val="22"/>
              </w:rPr>
              <w:t>C</w:t>
            </w:r>
          </w:p>
        </w:tc>
        <w:tc>
          <w:tcPr>
            <w:tcW w:w="1190" w:type="dxa"/>
            <w:shd w:val="clear" w:color="auto" w:fill="E6B9B8"/>
          </w:tcPr>
          <w:p>
            <w:pPr>
              <w:pStyle w:val="TableParagraph"/>
              <w:spacing w:before="13"/>
              <w:ind w:right="3"/>
              <w:jc w:val="center"/>
              <w:rPr>
                <w:b/>
                <w:sz w:val="22"/>
              </w:rPr>
            </w:pPr>
            <w:r>
              <w:rPr>
                <w:b/>
                <w:w w:val="100"/>
                <w:sz w:val="22"/>
              </w:rPr>
              <w:t>D</w:t>
            </w:r>
          </w:p>
        </w:tc>
        <w:tc>
          <w:tcPr>
            <w:tcW w:w="1188" w:type="dxa"/>
            <w:shd w:val="clear" w:color="auto" w:fill="E6B9B8"/>
          </w:tcPr>
          <w:p>
            <w:pPr>
              <w:pStyle w:val="TableParagraph"/>
              <w:spacing w:before="13"/>
              <w:ind w:right="0"/>
              <w:jc w:val="center"/>
              <w:rPr>
                <w:b/>
                <w:sz w:val="22"/>
              </w:rPr>
            </w:pPr>
            <w:r>
              <w:rPr>
                <w:b/>
                <w:w w:val="100"/>
                <w:sz w:val="22"/>
              </w:rPr>
              <w:t>E</w:t>
            </w:r>
          </w:p>
        </w:tc>
        <w:tc>
          <w:tcPr>
            <w:tcW w:w="1188" w:type="dxa"/>
            <w:shd w:val="clear" w:color="auto" w:fill="E6B9B8"/>
          </w:tcPr>
          <w:p>
            <w:pPr>
              <w:pStyle w:val="TableParagraph"/>
              <w:spacing w:before="13"/>
              <w:ind w:right="1"/>
              <w:jc w:val="center"/>
              <w:rPr>
                <w:b/>
                <w:sz w:val="22"/>
              </w:rPr>
            </w:pPr>
            <w:r>
              <w:rPr>
                <w:b/>
                <w:w w:val="100"/>
                <w:sz w:val="22"/>
              </w:rPr>
              <w:t>G</w:t>
            </w:r>
          </w:p>
        </w:tc>
      </w:tr>
      <w:tr>
        <w:trPr>
          <w:trHeight w:val="312" w:hRule="exact"/>
        </w:trPr>
        <w:tc>
          <w:tcPr>
            <w:tcW w:w="660" w:type="dxa"/>
          </w:tcPr>
          <w:p>
            <w:pPr>
              <w:pStyle w:val="TableParagraph"/>
              <w:spacing w:before="30"/>
              <w:rPr>
                <w:sz w:val="22"/>
              </w:rPr>
            </w:pPr>
            <w:r>
              <w:rPr>
                <w:sz w:val="22"/>
              </w:rPr>
              <w:t>100</w:t>
            </w:r>
          </w:p>
        </w:tc>
        <w:tc>
          <w:tcPr>
            <w:tcW w:w="1682" w:type="dxa"/>
          </w:tcPr>
          <w:p>
            <w:pPr>
              <w:pStyle w:val="TableParagraph"/>
              <w:spacing w:before="30"/>
              <w:rPr>
                <w:sz w:val="22"/>
              </w:rPr>
            </w:pPr>
            <w:r>
              <w:rPr>
                <w:sz w:val="22"/>
              </w:rPr>
              <w:t>27/09/2009</w:t>
            </w:r>
          </w:p>
        </w:tc>
        <w:tc>
          <w:tcPr>
            <w:tcW w:w="1262" w:type="dxa"/>
          </w:tcPr>
          <w:p>
            <w:pPr>
              <w:pStyle w:val="TableParagraph"/>
              <w:spacing w:before="30"/>
              <w:rPr>
                <w:sz w:val="22"/>
              </w:rPr>
            </w:pPr>
            <w:r>
              <w:rPr>
                <w:sz w:val="22"/>
              </w:rPr>
              <w:t>6.73</w:t>
            </w:r>
          </w:p>
        </w:tc>
        <w:tc>
          <w:tcPr>
            <w:tcW w:w="1190" w:type="dxa"/>
          </w:tcPr>
          <w:p>
            <w:pPr>
              <w:pStyle w:val="TableParagraph"/>
              <w:spacing w:before="30"/>
              <w:ind w:right="63"/>
              <w:rPr>
                <w:sz w:val="22"/>
              </w:rPr>
            </w:pPr>
            <w:r>
              <w:rPr>
                <w:sz w:val="22"/>
              </w:rPr>
              <w:t>6.59</w:t>
            </w:r>
          </w:p>
        </w:tc>
        <w:tc>
          <w:tcPr>
            <w:tcW w:w="617" w:type="dxa"/>
          </w:tcPr>
          <w:p>
            <w:pPr>
              <w:pStyle w:val="TableParagraph"/>
              <w:spacing w:before="30"/>
              <w:rPr>
                <w:sz w:val="22"/>
              </w:rPr>
            </w:pPr>
            <w:r>
              <w:rPr>
                <w:sz w:val="22"/>
              </w:rPr>
              <w:t>5.52</w:t>
            </w:r>
          </w:p>
        </w:tc>
        <w:tc>
          <w:tcPr>
            <w:tcW w:w="1190" w:type="dxa"/>
          </w:tcPr>
          <w:p>
            <w:pPr>
              <w:pStyle w:val="TableParagraph"/>
              <w:spacing w:before="30"/>
              <w:ind w:right="63"/>
              <w:rPr>
                <w:sz w:val="22"/>
              </w:rPr>
            </w:pPr>
            <w:r>
              <w:rPr>
                <w:sz w:val="22"/>
              </w:rPr>
              <w:t>5.45</w:t>
            </w:r>
          </w:p>
        </w:tc>
        <w:tc>
          <w:tcPr>
            <w:tcW w:w="1188" w:type="dxa"/>
          </w:tcPr>
          <w:p>
            <w:pPr>
              <w:pStyle w:val="TableParagraph"/>
              <w:spacing w:before="30"/>
              <w:rPr>
                <w:sz w:val="22"/>
              </w:rPr>
            </w:pPr>
            <w:r>
              <w:rPr>
                <w:sz w:val="22"/>
              </w:rPr>
              <w:t>5.33</w:t>
            </w:r>
          </w:p>
        </w:tc>
        <w:tc>
          <w:tcPr>
            <w:tcW w:w="1188" w:type="dxa"/>
          </w:tcPr>
          <w:p>
            <w:pPr>
              <w:pStyle w:val="TableParagraph"/>
              <w:spacing w:before="30"/>
              <w:rPr>
                <w:sz w:val="22"/>
              </w:rPr>
            </w:pPr>
            <w:r>
              <w:rPr>
                <w:sz w:val="22"/>
              </w:rPr>
              <w:t>1.03</w:t>
            </w:r>
          </w:p>
        </w:tc>
      </w:tr>
      <w:tr>
        <w:trPr>
          <w:trHeight w:val="310" w:hRule="exact"/>
        </w:trPr>
        <w:tc>
          <w:tcPr>
            <w:tcW w:w="660" w:type="dxa"/>
          </w:tcPr>
          <w:p>
            <w:pPr>
              <w:pStyle w:val="TableParagraph"/>
              <w:rPr>
                <w:sz w:val="22"/>
              </w:rPr>
            </w:pPr>
            <w:r>
              <w:rPr>
                <w:sz w:val="22"/>
              </w:rPr>
              <w:t>101</w:t>
            </w:r>
          </w:p>
        </w:tc>
        <w:tc>
          <w:tcPr>
            <w:tcW w:w="1682" w:type="dxa"/>
          </w:tcPr>
          <w:p>
            <w:pPr>
              <w:pStyle w:val="TableParagraph"/>
              <w:rPr>
                <w:sz w:val="22"/>
              </w:rPr>
            </w:pPr>
            <w:r>
              <w:rPr>
                <w:sz w:val="22"/>
              </w:rPr>
              <w:t>28/09/2009</w:t>
            </w:r>
          </w:p>
        </w:tc>
        <w:tc>
          <w:tcPr>
            <w:tcW w:w="1262" w:type="dxa"/>
          </w:tcPr>
          <w:p>
            <w:pPr>
              <w:pStyle w:val="TableParagraph"/>
              <w:rPr>
                <w:sz w:val="22"/>
              </w:rPr>
            </w:pPr>
            <w:r>
              <w:rPr>
                <w:sz w:val="22"/>
              </w:rPr>
              <w:t>6.25</w:t>
            </w:r>
          </w:p>
        </w:tc>
        <w:tc>
          <w:tcPr>
            <w:tcW w:w="1190" w:type="dxa"/>
          </w:tcPr>
          <w:p>
            <w:pPr>
              <w:pStyle w:val="TableParagraph"/>
              <w:ind w:right="63"/>
              <w:rPr>
                <w:sz w:val="22"/>
              </w:rPr>
            </w:pPr>
            <w:r>
              <w:rPr>
                <w:sz w:val="22"/>
              </w:rPr>
              <w:t>6.23</w:t>
            </w:r>
          </w:p>
        </w:tc>
        <w:tc>
          <w:tcPr>
            <w:tcW w:w="617" w:type="dxa"/>
          </w:tcPr>
          <w:p>
            <w:pPr>
              <w:pStyle w:val="TableParagraph"/>
              <w:rPr>
                <w:sz w:val="22"/>
              </w:rPr>
            </w:pPr>
            <w:r>
              <w:rPr>
                <w:sz w:val="22"/>
              </w:rPr>
              <w:t>5.29</w:t>
            </w:r>
          </w:p>
        </w:tc>
        <w:tc>
          <w:tcPr>
            <w:tcW w:w="1190" w:type="dxa"/>
          </w:tcPr>
          <w:p>
            <w:pPr>
              <w:pStyle w:val="TableParagraph"/>
              <w:ind w:right="63"/>
              <w:rPr>
                <w:sz w:val="22"/>
              </w:rPr>
            </w:pPr>
            <w:r>
              <w:rPr>
                <w:sz w:val="22"/>
              </w:rPr>
              <w:t>5.21</w:t>
            </w:r>
          </w:p>
        </w:tc>
        <w:tc>
          <w:tcPr>
            <w:tcW w:w="1188" w:type="dxa"/>
          </w:tcPr>
          <w:p>
            <w:pPr>
              <w:pStyle w:val="TableParagraph"/>
              <w:rPr>
                <w:sz w:val="22"/>
              </w:rPr>
            </w:pPr>
            <w:r>
              <w:rPr>
                <w:sz w:val="22"/>
              </w:rPr>
              <w:t>4.59</w:t>
            </w:r>
          </w:p>
        </w:tc>
        <w:tc>
          <w:tcPr>
            <w:tcW w:w="1188" w:type="dxa"/>
          </w:tcPr>
          <w:p>
            <w:pPr>
              <w:pStyle w:val="TableParagraph"/>
              <w:rPr>
                <w:sz w:val="22"/>
              </w:rPr>
            </w:pPr>
            <w:r>
              <w:rPr>
                <w:sz w:val="22"/>
              </w:rPr>
              <w:t>0.81</w:t>
            </w:r>
          </w:p>
        </w:tc>
      </w:tr>
      <w:tr>
        <w:trPr>
          <w:trHeight w:val="310" w:hRule="exact"/>
        </w:trPr>
        <w:tc>
          <w:tcPr>
            <w:tcW w:w="660" w:type="dxa"/>
          </w:tcPr>
          <w:p>
            <w:pPr>
              <w:pStyle w:val="TableParagraph"/>
              <w:rPr>
                <w:sz w:val="22"/>
              </w:rPr>
            </w:pPr>
            <w:r>
              <w:rPr>
                <w:sz w:val="22"/>
              </w:rPr>
              <w:t>102</w:t>
            </w:r>
          </w:p>
        </w:tc>
        <w:tc>
          <w:tcPr>
            <w:tcW w:w="1682" w:type="dxa"/>
          </w:tcPr>
          <w:p>
            <w:pPr>
              <w:pStyle w:val="TableParagraph"/>
              <w:rPr>
                <w:sz w:val="22"/>
              </w:rPr>
            </w:pPr>
            <w:r>
              <w:rPr>
                <w:sz w:val="22"/>
              </w:rPr>
              <w:t>29/09/2009</w:t>
            </w:r>
          </w:p>
        </w:tc>
        <w:tc>
          <w:tcPr>
            <w:tcW w:w="1262" w:type="dxa"/>
          </w:tcPr>
          <w:p>
            <w:pPr>
              <w:pStyle w:val="TableParagraph"/>
              <w:rPr>
                <w:sz w:val="22"/>
              </w:rPr>
            </w:pPr>
            <w:r>
              <w:rPr>
                <w:sz w:val="22"/>
              </w:rPr>
              <w:t>6.63</w:t>
            </w:r>
          </w:p>
        </w:tc>
        <w:tc>
          <w:tcPr>
            <w:tcW w:w="1190" w:type="dxa"/>
          </w:tcPr>
          <w:p>
            <w:pPr>
              <w:pStyle w:val="TableParagraph"/>
              <w:ind w:right="63"/>
              <w:rPr>
                <w:sz w:val="22"/>
              </w:rPr>
            </w:pPr>
            <w:r>
              <w:rPr>
                <w:sz w:val="22"/>
              </w:rPr>
              <w:t>6.74</w:t>
            </w:r>
          </w:p>
        </w:tc>
        <w:tc>
          <w:tcPr>
            <w:tcW w:w="617" w:type="dxa"/>
          </w:tcPr>
          <w:p>
            <w:pPr>
              <w:pStyle w:val="TableParagraph"/>
              <w:rPr>
                <w:sz w:val="22"/>
              </w:rPr>
            </w:pPr>
            <w:r>
              <w:rPr>
                <w:sz w:val="22"/>
              </w:rPr>
              <w:t>6.2</w:t>
            </w:r>
          </w:p>
        </w:tc>
        <w:tc>
          <w:tcPr>
            <w:tcW w:w="1190" w:type="dxa"/>
          </w:tcPr>
          <w:p>
            <w:pPr>
              <w:pStyle w:val="TableParagraph"/>
              <w:ind w:right="63"/>
              <w:rPr>
                <w:sz w:val="22"/>
              </w:rPr>
            </w:pPr>
            <w:r>
              <w:rPr>
                <w:sz w:val="22"/>
              </w:rPr>
              <w:t>5.89</w:t>
            </w:r>
          </w:p>
        </w:tc>
        <w:tc>
          <w:tcPr>
            <w:tcW w:w="1188" w:type="dxa"/>
          </w:tcPr>
          <w:p>
            <w:pPr>
              <w:pStyle w:val="TableParagraph"/>
              <w:rPr>
                <w:sz w:val="22"/>
              </w:rPr>
            </w:pPr>
            <w:r>
              <w:rPr>
                <w:sz w:val="22"/>
              </w:rPr>
              <w:t>5.56</w:t>
            </w:r>
          </w:p>
        </w:tc>
        <w:tc>
          <w:tcPr>
            <w:tcW w:w="1188" w:type="dxa"/>
          </w:tcPr>
          <w:p>
            <w:pPr>
              <w:pStyle w:val="TableParagraph"/>
              <w:rPr>
                <w:sz w:val="22"/>
              </w:rPr>
            </w:pPr>
            <w:r>
              <w:rPr>
                <w:sz w:val="22"/>
              </w:rPr>
              <w:t>0.93</w:t>
            </w:r>
          </w:p>
        </w:tc>
      </w:tr>
      <w:tr>
        <w:trPr>
          <w:trHeight w:val="310" w:hRule="exact"/>
        </w:trPr>
        <w:tc>
          <w:tcPr>
            <w:tcW w:w="660" w:type="dxa"/>
          </w:tcPr>
          <w:p>
            <w:pPr>
              <w:pStyle w:val="TableParagraph"/>
              <w:rPr>
                <w:sz w:val="22"/>
              </w:rPr>
            </w:pPr>
            <w:r>
              <w:rPr>
                <w:sz w:val="22"/>
              </w:rPr>
              <w:t>103</w:t>
            </w:r>
          </w:p>
        </w:tc>
        <w:tc>
          <w:tcPr>
            <w:tcW w:w="1682" w:type="dxa"/>
          </w:tcPr>
          <w:p>
            <w:pPr>
              <w:pStyle w:val="TableParagraph"/>
              <w:rPr>
                <w:sz w:val="22"/>
              </w:rPr>
            </w:pPr>
            <w:r>
              <w:rPr>
                <w:sz w:val="22"/>
              </w:rPr>
              <w:t>30/09/2009</w:t>
            </w:r>
          </w:p>
        </w:tc>
        <w:tc>
          <w:tcPr>
            <w:tcW w:w="1262" w:type="dxa"/>
          </w:tcPr>
          <w:p>
            <w:pPr>
              <w:pStyle w:val="TableParagraph"/>
              <w:rPr>
                <w:sz w:val="22"/>
              </w:rPr>
            </w:pPr>
            <w:r>
              <w:rPr>
                <w:sz w:val="22"/>
              </w:rPr>
              <w:t>6.36</w:t>
            </w:r>
          </w:p>
        </w:tc>
        <w:tc>
          <w:tcPr>
            <w:tcW w:w="1190" w:type="dxa"/>
          </w:tcPr>
          <w:p>
            <w:pPr>
              <w:pStyle w:val="TableParagraph"/>
              <w:ind w:right="63"/>
              <w:rPr>
                <w:sz w:val="22"/>
              </w:rPr>
            </w:pPr>
            <w:r>
              <w:rPr>
                <w:sz w:val="22"/>
              </w:rPr>
              <w:t>6.57</w:t>
            </w:r>
          </w:p>
        </w:tc>
        <w:tc>
          <w:tcPr>
            <w:tcW w:w="617" w:type="dxa"/>
          </w:tcPr>
          <w:p>
            <w:pPr>
              <w:pStyle w:val="TableParagraph"/>
              <w:rPr>
                <w:sz w:val="22"/>
              </w:rPr>
            </w:pPr>
            <w:r>
              <w:rPr>
                <w:sz w:val="22"/>
              </w:rPr>
              <w:t>5.91</w:t>
            </w:r>
          </w:p>
        </w:tc>
        <w:tc>
          <w:tcPr>
            <w:tcW w:w="1190" w:type="dxa"/>
          </w:tcPr>
          <w:p>
            <w:pPr>
              <w:pStyle w:val="TableParagraph"/>
              <w:ind w:right="63"/>
              <w:rPr>
                <w:sz w:val="22"/>
              </w:rPr>
            </w:pPr>
            <w:r>
              <w:rPr>
                <w:sz w:val="22"/>
              </w:rPr>
              <w:t>5.28</w:t>
            </w:r>
          </w:p>
        </w:tc>
        <w:tc>
          <w:tcPr>
            <w:tcW w:w="1188" w:type="dxa"/>
          </w:tcPr>
          <w:p>
            <w:pPr>
              <w:pStyle w:val="TableParagraph"/>
              <w:rPr>
                <w:sz w:val="22"/>
              </w:rPr>
            </w:pPr>
            <w:r>
              <w:rPr>
                <w:sz w:val="22"/>
              </w:rPr>
              <w:t>5.07</w:t>
            </w:r>
          </w:p>
        </w:tc>
        <w:tc>
          <w:tcPr>
            <w:tcW w:w="1188" w:type="dxa"/>
          </w:tcPr>
          <w:p>
            <w:pPr>
              <w:pStyle w:val="TableParagraph"/>
              <w:rPr>
                <w:sz w:val="22"/>
              </w:rPr>
            </w:pPr>
            <w:r>
              <w:rPr>
                <w:sz w:val="22"/>
              </w:rPr>
              <w:t>0.86</w:t>
            </w:r>
          </w:p>
        </w:tc>
      </w:tr>
      <w:tr>
        <w:trPr>
          <w:trHeight w:val="310" w:hRule="exact"/>
        </w:trPr>
        <w:tc>
          <w:tcPr>
            <w:tcW w:w="660" w:type="dxa"/>
          </w:tcPr>
          <w:p>
            <w:pPr>
              <w:pStyle w:val="TableParagraph"/>
              <w:rPr>
                <w:sz w:val="22"/>
              </w:rPr>
            </w:pPr>
            <w:r>
              <w:rPr>
                <w:sz w:val="22"/>
              </w:rPr>
              <w:t>104</w:t>
            </w:r>
          </w:p>
        </w:tc>
        <w:tc>
          <w:tcPr>
            <w:tcW w:w="1682" w:type="dxa"/>
          </w:tcPr>
          <w:p>
            <w:pPr>
              <w:pStyle w:val="TableParagraph"/>
              <w:rPr>
                <w:sz w:val="22"/>
              </w:rPr>
            </w:pPr>
            <w:r>
              <w:rPr>
                <w:sz w:val="22"/>
              </w:rPr>
              <w:t>01/10/2009</w:t>
            </w:r>
          </w:p>
        </w:tc>
        <w:tc>
          <w:tcPr>
            <w:tcW w:w="1262" w:type="dxa"/>
          </w:tcPr>
          <w:p>
            <w:pPr>
              <w:pStyle w:val="TableParagraph"/>
              <w:rPr>
                <w:sz w:val="22"/>
              </w:rPr>
            </w:pPr>
            <w:r>
              <w:rPr>
                <w:sz w:val="22"/>
              </w:rPr>
              <w:t>6.09</w:t>
            </w:r>
          </w:p>
        </w:tc>
        <w:tc>
          <w:tcPr>
            <w:tcW w:w="1190" w:type="dxa"/>
          </w:tcPr>
          <w:p>
            <w:pPr>
              <w:pStyle w:val="TableParagraph"/>
              <w:ind w:right="63"/>
              <w:rPr>
                <w:sz w:val="22"/>
              </w:rPr>
            </w:pPr>
            <w:r>
              <w:rPr>
                <w:sz w:val="22"/>
              </w:rPr>
              <w:t>6.39</w:t>
            </w:r>
          </w:p>
        </w:tc>
        <w:tc>
          <w:tcPr>
            <w:tcW w:w="617" w:type="dxa"/>
          </w:tcPr>
          <w:p>
            <w:pPr>
              <w:pStyle w:val="TableParagraph"/>
              <w:rPr>
                <w:sz w:val="22"/>
              </w:rPr>
            </w:pPr>
            <w:r>
              <w:rPr>
                <w:sz w:val="22"/>
              </w:rPr>
              <w:t>4.58</w:t>
            </w:r>
          </w:p>
        </w:tc>
        <w:tc>
          <w:tcPr>
            <w:tcW w:w="1190" w:type="dxa"/>
          </w:tcPr>
          <w:p>
            <w:pPr>
              <w:pStyle w:val="TableParagraph"/>
              <w:ind w:right="63"/>
              <w:rPr>
                <w:sz w:val="22"/>
              </w:rPr>
            </w:pPr>
            <w:r>
              <w:rPr>
                <w:sz w:val="22"/>
              </w:rPr>
              <w:t>4.39</w:t>
            </w:r>
          </w:p>
        </w:tc>
        <w:tc>
          <w:tcPr>
            <w:tcW w:w="1188" w:type="dxa"/>
          </w:tcPr>
          <w:p>
            <w:pPr>
              <w:pStyle w:val="TableParagraph"/>
              <w:rPr>
                <w:sz w:val="22"/>
              </w:rPr>
            </w:pPr>
            <w:r>
              <w:rPr>
                <w:sz w:val="22"/>
              </w:rPr>
              <w:t>4.32</w:t>
            </w:r>
          </w:p>
        </w:tc>
        <w:tc>
          <w:tcPr>
            <w:tcW w:w="1188" w:type="dxa"/>
          </w:tcPr>
          <w:p>
            <w:pPr>
              <w:pStyle w:val="TableParagraph"/>
              <w:rPr>
                <w:sz w:val="22"/>
              </w:rPr>
            </w:pPr>
            <w:r>
              <w:rPr>
                <w:sz w:val="22"/>
              </w:rPr>
              <w:t>0.81</w:t>
            </w:r>
          </w:p>
        </w:tc>
      </w:tr>
      <w:tr>
        <w:trPr>
          <w:trHeight w:val="310" w:hRule="exact"/>
        </w:trPr>
        <w:tc>
          <w:tcPr>
            <w:tcW w:w="660" w:type="dxa"/>
          </w:tcPr>
          <w:p>
            <w:pPr>
              <w:pStyle w:val="TableParagraph"/>
              <w:spacing w:before="30"/>
              <w:rPr>
                <w:sz w:val="22"/>
              </w:rPr>
            </w:pPr>
            <w:r>
              <w:rPr>
                <w:sz w:val="22"/>
              </w:rPr>
              <w:t>105</w:t>
            </w:r>
          </w:p>
        </w:tc>
        <w:tc>
          <w:tcPr>
            <w:tcW w:w="1682" w:type="dxa"/>
          </w:tcPr>
          <w:p>
            <w:pPr>
              <w:pStyle w:val="TableParagraph"/>
              <w:spacing w:before="30"/>
              <w:rPr>
                <w:sz w:val="22"/>
              </w:rPr>
            </w:pPr>
            <w:r>
              <w:rPr>
                <w:sz w:val="22"/>
              </w:rPr>
              <w:t>02/10/2009</w:t>
            </w:r>
          </w:p>
        </w:tc>
        <w:tc>
          <w:tcPr>
            <w:tcW w:w="1262" w:type="dxa"/>
          </w:tcPr>
          <w:p>
            <w:pPr>
              <w:pStyle w:val="TableParagraph"/>
              <w:spacing w:before="30"/>
              <w:rPr>
                <w:sz w:val="22"/>
              </w:rPr>
            </w:pPr>
            <w:r>
              <w:rPr>
                <w:sz w:val="22"/>
              </w:rPr>
              <w:t>6.15</w:t>
            </w:r>
          </w:p>
        </w:tc>
        <w:tc>
          <w:tcPr>
            <w:tcW w:w="1190" w:type="dxa"/>
          </w:tcPr>
          <w:p>
            <w:pPr>
              <w:pStyle w:val="TableParagraph"/>
              <w:spacing w:before="30"/>
              <w:ind w:right="63"/>
              <w:rPr>
                <w:sz w:val="22"/>
              </w:rPr>
            </w:pPr>
            <w:r>
              <w:rPr>
                <w:sz w:val="22"/>
              </w:rPr>
              <w:t>6.91</w:t>
            </w:r>
          </w:p>
        </w:tc>
        <w:tc>
          <w:tcPr>
            <w:tcW w:w="617" w:type="dxa"/>
          </w:tcPr>
          <w:p>
            <w:pPr>
              <w:pStyle w:val="TableParagraph"/>
              <w:spacing w:before="30"/>
              <w:rPr>
                <w:sz w:val="22"/>
              </w:rPr>
            </w:pPr>
            <w:r>
              <w:rPr>
                <w:sz w:val="22"/>
              </w:rPr>
              <w:t>5.01</w:t>
            </w:r>
          </w:p>
        </w:tc>
        <w:tc>
          <w:tcPr>
            <w:tcW w:w="1190" w:type="dxa"/>
          </w:tcPr>
          <w:p>
            <w:pPr>
              <w:pStyle w:val="TableParagraph"/>
              <w:spacing w:before="30"/>
              <w:ind w:right="63"/>
              <w:rPr>
                <w:sz w:val="22"/>
              </w:rPr>
            </w:pPr>
            <w:r>
              <w:rPr>
                <w:sz w:val="22"/>
              </w:rPr>
              <w:t>4.93</w:t>
            </w:r>
          </w:p>
        </w:tc>
        <w:tc>
          <w:tcPr>
            <w:tcW w:w="1188" w:type="dxa"/>
          </w:tcPr>
          <w:p>
            <w:pPr>
              <w:pStyle w:val="TableParagraph"/>
              <w:spacing w:before="30"/>
              <w:rPr>
                <w:sz w:val="22"/>
              </w:rPr>
            </w:pPr>
            <w:r>
              <w:rPr>
                <w:sz w:val="22"/>
              </w:rPr>
              <w:t>5.32</w:t>
            </w:r>
          </w:p>
        </w:tc>
        <w:tc>
          <w:tcPr>
            <w:tcW w:w="1188" w:type="dxa"/>
          </w:tcPr>
          <w:p>
            <w:pPr>
              <w:pStyle w:val="TableParagraph"/>
              <w:spacing w:before="30"/>
              <w:rPr>
                <w:sz w:val="22"/>
              </w:rPr>
            </w:pPr>
            <w:r>
              <w:rPr>
                <w:sz w:val="22"/>
              </w:rPr>
              <w:t>0.64</w:t>
            </w:r>
          </w:p>
        </w:tc>
      </w:tr>
      <w:tr>
        <w:trPr>
          <w:trHeight w:val="312" w:hRule="exact"/>
        </w:trPr>
        <w:tc>
          <w:tcPr>
            <w:tcW w:w="660" w:type="dxa"/>
          </w:tcPr>
          <w:p>
            <w:pPr>
              <w:pStyle w:val="TableParagraph"/>
              <w:spacing w:before="30"/>
              <w:rPr>
                <w:sz w:val="22"/>
              </w:rPr>
            </w:pPr>
            <w:r>
              <w:rPr>
                <w:sz w:val="22"/>
              </w:rPr>
              <w:t>106</w:t>
            </w:r>
          </w:p>
        </w:tc>
        <w:tc>
          <w:tcPr>
            <w:tcW w:w="1682" w:type="dxa"/>
          </w:tcPr>
          <w:p>
            <w:pPr>
              <w:pStyle w:val="TableParagraph"/>
              <w:spacing w:before="30"/>
              <w:rPr>
                <w:sz w:val="22"/>
              </w:rPr>
            </w:pPr>
            <w:r>
              <w:rPr>
                <w:sz w:val="22"/>
              </w:rPr>
              <w:t>03/10/2009</w:t>
            </w:r>
          </w:p>
        </w:tc>
        <w:tc>
          <w:tcPr>
            <w:tcW w:w="1262" w:type="dxa"/>
          </w:tcPr>
          <w:p>
            <w:pPr>
              <w:pStyle w:val="TableParagraph"/>
              <w:spacing w:before="30"/>
              <w:rPr>
                <w:sz w:val="22"/>
              </w:rPr>
            </w:pPr>
            <w:r>
              <w:rPr>
                <w:sz w:val="22"/>
              </w:rPr>
              <w:t>6.22</w:t>
            </w:r>
          </w:p>
        </w:tc>
        <w:tc>
          <w:tcPr>
            <w:tcW w:w="1190" w:type="dxa"/>
          </w:tcPr>
          <w:p>
            <w:pPr>
              <w:pStyle w:val="TableParagraph"/>
              <w:spacing w:before="30"/>
              <w:ind w:right="63"/>
              <w:rPr>
                <w:sz w:val="22"/>
              </w:rPr>
            </w:pPr>
            <w:r>
              <w:rPr>
                <w:sz w:val="22"/>
              </w:rPr>
              <w:t>6.84</w:t>
            </w:r>
          </w:p>
        </w:tc>
        <w:tc>
          <w:tcPr>
            <w:tcW w:w="617" w:type="dxa"/>
          </w:tcPr>
          <w:p>
            <w:pPr>
              <w:pStyle w:val="TableParagraph"/>
              <w:spacing w:before="30"/>
              <w:rPr>
                <w:sz w:val="22"/>
              </w:rPr>
            </w:pPr>
            <w:r>
              <w:rPr>
                <w:sz w:val="22"/>
              </w:rPr>
              <w:t>4.73</w:t>
            </w:r>
          </w:p>
        </w:tc>
        <w:tc>
          <w:tcPr>
            <w:tcW w:w="1190" w:type="dxa"/>
          </w:tcPr>
          <w:p>
            <w:pPr>
              <w:pStyle w:val="TableParagraph"/>
              <w:spacing w:before="30"/>
              <w:ind w:right="63"/>
              <w:rPr>
                <w:sz w:val="22"/>
              </w:rPr>
            </w:pPr>
            <w:r>
              <w:rPr>
                <w:sz w:val="22"/>
              </w:rPr>
              <w:t>4.99</w:t>
            </w:r>
          </w:p>
        </w:tc>
        <w:tc>
          <w:tcPr>
            <w:tcW w:w="1188" w:type="dxa"/>
          </w:tcPr>
          <w:p>
            <w:pPr>
              <w:pStyle w:val="TableParagraph"/>
              <w:spacing w:before="30"/>
              <w:rPr>
                <w:sz w:val="22"/>
              </w:rPr>
            </w:pPr>
            <w:r>
              <w:rPr>
                <w:sz w:val="22"/>
              </w:rPr>
              <w:t>5.15</w:t>
            </w:r>
          </w:p>
        </w:tc>
        <w:tc>
          <w:tcPr>
            <w:tcW w:w="1188" w:type="dxa"/>
          </w:tcPr>
          <w:p>
            <w:pPr>
              <w:pStyle w:val="TableParagraph"/>
              <w:spacing w:before="30"/>
              <w:rPr>
                <w:sz w:val="22"/>
              </w:rPr>
            </w:pPr>
            <w:r>
              <w:rPr>
                <w:sz w:val="22"/>
              </w:rPr>
              <w:t>0.45</w:t>
            </w:r>
          </w:p>
        </w:tc>
      </w:tr>
      <w:tr>
        <w:trPr>
          <w:trHeight w:val="310" w:hRule="exact"/>
        </w:trPr>
        <w:tc>
          <w:tcPr>
            <w:tcW w:w="660" w:type="dxa"/>
          </w:tcPr>
          <w:p>
            <w:pPr>
              <w:pStyle w:val="TableParagraph"/>
              <w:rPr>
                <w:sz w:val="22"/>
              </w:rPr>
            </w:pPr>
            <w:r>
              <w:rPr>
                <w:sz w:val="22"/>
              </w:rPr>
              <w:t>107</w:t>
            </w:r>
          </w:p>
        </w:tc>
        <w:tc>
          <w:tcPr>
            <w:tcW w:w="1682" w:type="dxa"/>
          </w:tcPr>
          <w:p>
            <w:pPr>
              <w:pStyle w:val="TableParagraph"/>
              <w:rPr>
                <w:sz w:val="22"/>
              </w:rPr>
            </w:pPr>
            <w:r>
              <w:rPr>
                <w:sz w:val="22"/>
              </w:rPr>
              <w:t>04/10/2009</w:t>
            </w:r>
          </w:p>
        </w:tc>
        <w:tc>
          <w:tcPr>
            <w:tcW w:w="1262" w:type="dxa"/>
          </w:tcPr>
          <w:p>
            <w:pPr>
              <w:pStyle w:val="TableParagraph"/>
              <w:rPr>
                <w:sz w:val="22"/>
              </w:rPr>
            </w:pPr>
            <w:r>
              <w:rPr>
                <w:sz w:val="22"/>
              </w:rPr>
              <w:t>6.07</w:t>
            </w:r>
          </w:p>
        </w:tc>
        <w:tc>
          <w:tcPr>
            <w:tcW w:w="1190" w:type="dxa"/>
          </w:tcPr>
          <w:p>
            <w:pPr>
              <w:pStyle w:val="TableParagraph"/>
              <w:ind w:right="63"/>
              <w:rPr>
                <w:sz w:val="22"/>
              </w:rPr>
            </w:pPr>
            <w:r>
              <w:rPr>
                <w:sz w:val="22"/>
              </w:rPr>
              <w:t>6.2</w:t>
            </w:r>
          </w:p>
        </w:tc>
        <w:tc>
          <w:tcPr>
            <w:tcW w:w="617" w:type="dxa"/>
          </w:tcPr>
          <w:p>
            <w:pPr>
              <w:pStyle w:val="TableParagraph"/>
              <w:rPr>
                <w:sz w:val="22"/>
              </w:rPr>
            </w:pPr>
            <w:r>
              <w:rPr>
                <w:sz w:val="22"/>
              </w:rPr>
              <w:t>3.88</w:t>
            </w:r>
          </w:p>
        </w:tc>
        <w:tc>
          <w:tcPr>
            <w:tcW w:w="1190" w:type="dxa"/>
          </w:tcPr>
          <w:p>
            <w:pPr>
              <w:pStyle w:val="TableParagraph"/>
              <w:ind w:right="63"/>
              <w:rPr>
                <w:sz w:val="22"/>
              </w:rPr>
            </w:pPr>
            <w:r>
              <w:rPr>
                <w:sz w:val="22"/>
              </w:rPr>
              <w:t>3.51</w:t>
            </w:r>
          </w:p>
        </w:tc>
        <w:tc>
          <w:tcPr>
            <w:tcW w:w="1188" w:type="dxa"/>
          </w:tcPr>
          <w:p>
            <w:pPr>
              <w:pStyle w:val="TableParagraph"/>
              <w:rPr>
                <w:sz w:val="22"/>
              </w:rPr>
            </w:pPr>
            <w:r>
              <w:rPr>
                <w:w w:val="100"/>
                <w:sz w:val="22"/>
              </w:rPr>
              <w:t>4</w:t>
            </w:r>
          </w:p>
        </w:tc>
        <w:tc>
          <w:tcPr>
            <w:tcW w:w="1188" w:type="dxa"/>
          </w:tcPr>
          <w:p>
            <w:pPr>
              <w:pStyle w:val="TableParagraph"/>
              <w:rPr>
                <w:sz w:val="22"/>
              </w:rPr>
            </w:pPr>
            <w:r>
              <w:rPr>
                <w:sz w:val="22"/>
              </w:rPr>
              <w:t>0.22</w:t>
            </w:r>
          </w:p>
        </w:tc>
      </w:tr>
      <w:tr>
        <w:trPr>
          <w:trHeight w:val="310" w:hRule="exact"/>
        </w:trPr>
        <w:tc>
          <w:tcPr>
            <w:tcW w:w="660" w:type="dxa"/>
          </w:tcPr>
          <w:p>
            <w:pPr>
              <w:pStyle w:val="TableParagraph"/>
              <w:rPr>
                <w:sz w:val="22"/>
              </w:rPr>
            </w:pPr>
            <w:r>
              <w:rPr>
                <w:sz w:val="22"/>
              </w:rPr>
              <w:t>108</w:t>
            </w:r>
          </w:p>
        </w:tc>
        <w:tc>
          <w:tcPr>
            <w:tcW w:w="1682" w:type="dxa"/>
          </w:tcPr>
          <w:p>
            <w:pPr>
              <w:pStyle w:val="TableParagraph"/>
              <w:rPr>
                <w:sz w:val="22"/>
              </w:rPr>
            </w:pPr>
            <w:r>
              <w:rPr>
                <w:sz w:val="22"/>
              </w:rPr>
              <w:t>05/10/2009</w:t>
            </w:r>
          </w:p>
        </w:tc>
        <w:tc>
          <w:tcPr>
            <w:tcW w:w="1262" w:type="dxa"/>
          </w:tcPr>
          <w:p>
            <w:pPr>
              <w:pStyle w:val="TableParagraph"/>
              <w:rPr>
                <w:sz w:val="22"/>
              </w:rPr>
            </w:pPr>
            <w:r>
              <w:rPr>
                <w:sz w:val="22"/>
              </w:rPr>
              <w:t>5.72</w:t>
            </w:r>
          </w:p>
        </w:tc>
        <w:tc>
          <w:tcPr>
            <w:tcW w:w="1190" w:type="dxa"/>
          </w:tcPr>
          <w:p>
            <w:pPr>
              <w:pStyle w:val="TableParagraph"/>
              <w:ind w:right="63"/>
              <w:rPr>
                <w:sz w:val="22"/>
              </w:rPr>
            </w:pPr>
            <w:r>
              <w:rPr>
                <w:sz w:val="22"/>
              </w:rPr>
              <w:t>6.47</w:t>
            </w:r>
          </w:p>
        </w:tc>
        <w:tc>
          <w:tcPr>
            <w:tcW w:w="617" w:type="dxa"/>
          </w:tcPr>
          <w:p>
            <w:pPr>
              <w:pStyle w:val="TableParagraph"/>
              <w:rPr>
                <w:sz w:val="22"/>
              </w:rPr>
            </w:pPr>
            <w:r>
              <w:rPr>
                <w:sz w:val="22"/>
              </w:rPr>
              <w:t>5.71</w:t>
            </w:r>
          </w:p>
        </w:tc>
        <w:tc>
          <w:tcPr>
            <w:tcW w:w="1190" w:type="dxa"/>
          </w:tcPr>
          <w:p>
            <w:pPr>
              <w:pStyle w:val="TableParagraph"/>
              <w:ind w:right="63"/>
              <w:rPr>
                <w:sz w:val="22"/>
              </w:rPr>
            </w:pPr>
            <w:r>
              <w:rPr>
                <w:sz w:val="22"/>
              </w:rPr>
              <w:t>4.13</w:t>
            </w:r>
          </w:p>
        </w:tc>
        <w:tc>
          <w:tcPr>
            <w:tcW w:w="1188" w:type="dxa"/>
          </w:tcPr>
          <w:p>
            <w:pPr>
              <w:pStyle w:val="TableParagraph"/>
              <w:rPr>
                <w:sz w:val="22"/>
              </w:rPr>
            </w:pPr>
            <w:r>
              <w:rPr>
                <w:sz w:val="22"/>
              </w:rPr>
              <w:t>4.01</w:t>
            </w:r>
          </w:p>
        </w:tc>
        <w:tc>
          <w:tcPr>
            <w:tcW w:w="1188" w:type="dxa"/>
          </w:tcPr>
          <w:p>
            <w:pPr>
              <w:pStyle w:val="TableParagraph"/>
              <w:rPr>
                <w:sz w:val="22"/>
              </w:rPr>
            </w:pPr>
            <w:r>
              <w:rPr>
                <w:sz w:val="22"/>
              </w:rPr>
              <w:t>1.69</w:t>
            </w:r>
          </w:p>
        </w:tc>
      </w:tr>
      <w:tr>
        <w:trPr>
          <w:trHeight w:val="310" w:hRule="exact"/>
        </w:trPr>
        <w:tc>
          <w:tcPr>
            <w:tcW w:w="660" w:type="dxa"/>
          </w:tcPr>
          <w:p>
            <w:pPr>
              <w:pStyle w:val="TableParagraph"/>
              <w:rPr>
                <w:sz w:val="22"/>
              </w:rPr>
            </w:pPr>
            <w:r>
              <w:rPr>
                <w:sz w:val="22"/>
              </w:rPr>
              <w:t>109</w:t>
            </w:r>
          </w:p>
        </w:tc>
        <w:tc>
          <w:tcPr>
            <w:tcW w:w="1682" w:type="dxa"/>
          </w:tcPr>
          <w:p>
            <w:pPr>
              <w:pStyle w:val="TableParagraph"/>
              <w:rPr>
                <w:sz w:val="22"/>
              </w:rPr>
            </w:pPr>
            <w:r>
              <w:rPr>
                <w:sz w:val="22"/>
              </w:rPr>
              <w:t>06/10/2009</w:t>
            </w:r>
          </w:p>
        </w:tc>
        <w:tc>
          <w:tcPr>
            <w:tcW w:w="1262" w:type="dxa"/>
          </w:tcPr>
          <w:p>
            <w:pPr>
              <w:pStyle w:val="TableParagraph"/>
              <w:rPr>
                <w:sz w:val="22"/>
              </w:rPr>
            </w:pPr>
            <w:r>
              <w:rPr>
                <w:sz w:val="22"/>
              </w:rPr>
              <w:t>5.57</w:t>
            </w:r>
          </w:p>
        </w:tc>
        <w:tc>
          <w:tcPr>
            <w:tcW w:w="1190" w:type="dxa"/>
          </w:tcPr>
          <w:p>
            <w:pPr>
              <w:pStyle w:val="TableParagraph"/>
              <w:ind w:right="63"/>
              <w:rPr>
                <w:sz w:val="22"/>
              </w:rPr>
            </w:pPr>
            <w:r>
              <w:rPr>
                <w:sz w:val="22"/>
              </w:rPr>
              <w:t>6.12</w:t>
            </w:r>
          </w:p>
        </w:tc>
        <w:tc>
          <w:tcPr>
            <w:tcW w:w="617" w:type="dxa"/>
          </w:tcPr>
          <w:p>
            <w:pPr>
              <w:pStyle w:val="TableParagraph"/>
              <w:rPr>
                <w:sz w:val="22"/>
              </w:rPr>
            </w:pPr>
            <w:r>
              <w:rPr>
                <w:sz w:val="22"/>
              </w:rPr>
              <w:t>5.14</w:t>
            </w:r>
          </w:p>
        </w:tc>
        <w:tc>
          <w:tcPr>
            <w:tcW w:w="1190" w:type="dxa"/>
          </w:tcPr>
          <w:p>
            <w:pPr>
              <w:pStyle w:val="TableParagraph"/>
              <w:ind w:right="63"/>
              <w:rPr>
                <w:sz w:val="22"/>
              </w:rPr>
            </w:pPr>
            <w:r>
              <w:rPr>
                <w:sz w:val="22"/>
              </w:rPr>
              <w:t>4.81</w:t>
            </w:r>
          </w:p>
        </w:tc>
        <w:tc>
          <w:tcPr>
            <w:tcW w:w="1188" w:type="dxa"/>
          </w:tcPr>
          <w:p>
            <w:pPr>
              <w:pStyle w:val="TableParagraph"/>
              <w:rPr>
                <w:sz w:val="22"/>
              </w:rPr>
            </w:pPr>
            <w:r>
              <w:rPr>
                <w:sz w:val="22"/>
              </w:rPr>
              <w:t>4.14</w:t>
            </w:r>
          </w:p>
        </w:tc>
        <w:tc>
          <w:tcPr>
            <w:tcW w:w="1188" w:type="dxa"/>
          </w:tcPr>
          <w:p>
            <w:pPr>
              <w:pStyle w:val="TableParagraph"/>
              <w:rPr>
                <w:sz w:val="22"/>
              </w:rPr>
            </w:pPr>
            <w:r>
              <w:rPr>
                <w:sz w:val="22"/>
              </w:rPr>
              <w:t>2.64</w:t>
            </w:r>
          </w:p>
        </w:tc>
      </w:tr>
      <w:tr>
        <w:trPr>
          <w:trHeight w:val="310" w:hRule="exact"/>
        </w:trPr>
        <w:tc>
          <w:tcPr>
            <w:tcW w:w="660" w:type="dxa"/>
          </w:tcPr>
          <w:p>
            <w:pPr>
              <w:pStyle w:val="TableParagraph"/>
              <w:rPr>
                <w:sz w:val="22"/>
              </w:rPr>
            </w:pPr>
            <w:r>
              <w:rPr>
                <w:sz w:val="22"/>
              </w:rPr>
              <w:t>110</w:t>
            </w:r>
          </w:p>
        </w:tc>
        <w:tc>
          <w:tcPr>
            <w:tcW w:w="1682" w:type="dxa"/>
          </w:tcPr>
          <w:p>
            <w:pPr>
              <w:pStyle w:val="TableParagraph"/>
              <w:rPr>
                <w:sz w:val="22"/>
              </w:rPr>
            </w:pPr>
            <w:r>
              <w:rPr>
                <w:sz w:val="22"/>
              </w:rPr>
              <w:t>07/10/2009</w:t>
            </w:r>
          </w:p>
        </w:tc>
        <w:tc>
          <w:tcPr>
            <w:tcW w:w="1262" w:type="dxa"/>
          </w:tcPr>
          <w:p>
            <w:pPr>
              <w:pStyle w:val="TableParagraph"/>
              <w:rPr>
                <w:sz w:val="22"/>
              </w:rPr>
            </w:pPr>
            <w:r>
              <w:rPr>
                <w:sz w:val="22"/>
              </w:rPr>
              <w:t>5.96</w:t>
            </w:r>
          </w:p>
        </w:tc>
        <w:tc>
          <w:tcPr>
            <w:tcW w:w="1190" w:type="dxa"/>
          </w:tcPr>
          <w:p>
            <w:pPr>
              <w:pStyle w:val="TableParagraph"/>
              <w:ind w:right="63"/>
              <w:rPr>
                <w:sz w:val="22"/>
              </w:rPr>
            </w:pPr>
            <w:r>
              <w:rPr>
                <w:sz w:val="22"/>
              </w:rPr>
              <w:t>6.21</w:t>
            </w:r>
          </w:p>
        </w:tc>
        <w:tc>
          <w:tcPr>
            <w:tcW w:w="617" w:type="dxa"/>
          </w:tcPr>
          <w:p>
            <w:pPr>
              <w:pStyle w:val="TableParagraph"/>
              <w:rPr>
                <w:sz w:val="22"/>
              </w:rPr>
            </w:pPr>
            <w:r>
              <w:rPr>
                <w:sz w:val="22"/>
              </w:rPr>
              <w:t>4.83</w:t>
            </w:r>
          </w:p>
        </w:tc>
        <w:tc>
          <w:tcPr>
            <w:tcW w:w="1190" w:type="dxa"/>
          </w:tcPr>
          <w:p>
            <w:pPr>
              <w:pStyle w:val="TableParagraph"/>
              <w:ind w:right="63"/>
              <w:rPr>
                <w:sz w:val="22"/>
              </w:rPr>
            </w:pPr>
            <w:r>
              <w:rPr>
                <w:sz w:val="22"/>
              </w:rPr>
              <w:t>4.56</w:t>
            </w:r>
          </w:p>
        </w:tc>
        <w:tc>
          <w:tcPr>
            <w:tcW w:w="1188" w:type="dxa"/>
          </w:tcPr>
          <w:p>
            <w:pPr>
              <w:pStyle w:val="TableParagraph"/>
              <w:rPr>
                <w:sz w:val="22"/>
              </w:rPr>
            </w:pPr>
            <w:r>
              <w:rPr>
                <w:sz w:val="22"/>
              </w:rPr>
              <w:t>4.79</w:t>
            </w:r>
          </w:p>
        </w:tc>
        <w:tc>
          <w:tcPr>
            <w:tcW w:w="1188" w:type="dxa"/>
          </w:tcPr>
          <w:p>
            <w:pPr>
              <w:pStyle w:val="TableParagraph"/>
              <w:rPr>
                <w:sz w:val="22"/>
              </w:rPr>
            </w:pPr>
            <w:r>
              <w:rPr>
                <w:sz w:val="22"/>
              </w:rPr>
              <w:t>1.4</w:t>
            </w:r>
          </w:p>
        </w:tc>
      </w:tr>
      <w:tr>
        <w:trPr>
          <w:trHeight w:val="310" w:hRule="exact"/>
        </w:trPr>
        <w:tc>
          <w:tcPr>
            <w:tcW w:w="660" w:type="dxa"/>
          </w:tcPr>
          <w:p>
            <w:pPr>
              <w:pStyle w:val="TableParagraph"/>
              <w:spacing w:before="30"/>
              <w:rPr>
                <w:sz w:val="22"/>
              </w:rPr>
            </w:pPr>
            <w:r>
              <w:rPr>
                <w:sz w:val="22"/>
              </w:rPr>
              <w:t>111</w:t>
            </w:r>
          </w:p>
        </w:tc>
        <w:tc>
          <w:tcPr>
            <w:tcW w:w="1682" w:type="dxa"/>
          </w:tcPr>
          <w:p>
            <w:pPr>
              <w:pStyle w:val="TableParagraph"/>
              <w:spacing w:before="30"/>
              <w:rPr>
                <w:sz w:val="22"/>
              </w:rPr>
            </w:pPr>
            <w:r>
              <w:rPr>
                <w:sz w:val="22"/>
              </w:rPr>
              <w:t>08/10/2009</w:t>
            </w:r>
          </w:p>
        </w:tc>
        <w:tc>
          <w:tcPr>
            <w:tcW w:w="1262" w:type="dxa"/>
          </w:tcPr>
          <w:p>
            <w:pPr>
              <w:pStyle w:val="TableParagraph"/>
              <w:spacing w:before="30"/>
              <w:rPr>
                <w:sz w:val="22"/>
              </w:rPr>
            </w:pPr>
            <w:r>
              <w:rPr>
                <w:sz w:val="22"/>
              </w:rPr>
              <w:t>6.34</w:t>
            </w:r>
          </w:p>
        </w:tc>
        <w:tc>
          <w:tcPr>
            <w:tcW w:w="1190" w:type="dxa"/>
          </w:tcPr>
          <w:p>
            <w:pPr>
              <w:pStyle w:val="TableParagraph"/>
              <w:spacing w:before="30"/>
              <w:ind w:right="63"/>
              <w:rPr>
                <w:sz w:val="22"/>
              </w:rPr>
            </w:pPr>
            <w:r>
              <w:rPr>
                <w:sz w:val="22"/>
              </w:rPr>
              <w:t>6.63</w:t>
            </w:r>
          </w:p>
        </w:tc>
        <w:tc>
          <w:tcPr>
            <w:tcW w:w="617" w:type="dxa"/>
          </w:tcPr>
          <w:p>
            <w:pPr>
              <w:pStyle w:val="TableParagraph"/>
              <w:spacing w:before="30"/>
              <w:rPr>
                <w:sz w:val="22"/>
              </w:rPr>
            </w:pPr>
            <w:r>
              <w:rPr>
                <w:sz w:val="22"/>
              </w:rPr>
              <w:t>5.44</w:t>
            </w:r>
          </w:p>
        </w:tc>
        <w:tc>
          <w:tcPr>
            <w:tcW w:w="1190" w:type="dxa"/>
          </w:tcPr>
          <w:p>
            <w:pPr>
              <w:pStyle w:val="TableParagraph"/>
              <w:spacing w:before="30"/>
              <w:ind w:right="63"/>
              <w:rPr>
                <w:sz w:val="22"/>
              </w:rPr>
            </w:pPr>
            <w:r>
              <w:rPr>
                <w:sz w:val="22"/>
              </w:rPr>
              <w:t>4.81</w:t>
            </w:r>
          </w:p>
        </w:tc>
        <w:tc>
          <w:tcPr>
            <w:tcW w:w="1188" w:type="dxa"/>
          </w:tcPr>
          <w:p>
            <w:pPr>
              <w:pStyle w:val="TableParagraph"/>
              <w:spacing w:before="30"/>
              <w:rPr>
                <w:sz w:val="22"/>
              </w:rPr>
            </w:pPr>
            <w:r>
              <w:rPr>
                <w:sz w:val="22"/>
              </w:rPr>
              <w:t>3.74</w:t>
            </w:r>
          </w:p>
        </w:tc>
        <w:tc>
          <w:tcPr>
            <w:tcW w:w="1188" w:type="dxa"/>
          </w:tcPr>
          <w:p>
            <w:pPr>
              <w:pStyle w:val="TableParagraph"/>
              <w:spacing w:before="30"/>
              <w:rPr>
                <w:sz w:val="22"/>
              </w:rPr>
            </w:pPr>
            <w:r>
              <w:rPr>
                <w:sz w:val="22"/>
              </w:rPr>
              <w:t>0.98</w:t>
            </w:r>
          </w:p>
        </w:tc>
      </w:tr>
      <w:tr>
        <w:trPr>
          <w:trHeight w:val="312" w:hRule="exact"/>
        </w:trPr>
        <w:tc>
          <w:tcPr>
            <w:tcW w:w="660" w:type="dxa"/>
          </w:tcPr>
          <w:p>
            <w:pPr>
              <w:pStyle w:val="TableParagraph"/>
              <w:spacing w:before="30"/>
              <w:rPr>
                <w:sz w:val="22"/>
              </w:rPr>
            </w:pPr>
            <w:r>
              <w:rPr>
                <w:sz w:val="22"/>
              </w:rPr>
              <w:t>112</w:t>
            </w:r>
          </w:p>
        </w:tc>
        <w:tc>
          <w:tcPr>
            <w:tcW w:w="1682" w:type="dxa"/>
          </w:tcPr>
          <w:p>
            <w:pPr>
              <w:pStyle w:val="TableParagraph"/>
              <w:spacing w:before="30"/>
              <w:rPr>
                <w:sz w:val="22"/>
              </w:rPr>
            </w:pPr>
            <w:r>
              <w:rPr>
                <w:sz w:val="22"/>
              </w:rPr>
              <w:t>09/10/2009</w:t>
            </w:r>
          </w:p>
        </w:tc>
        <w:tc>
          <w:tcPr>
            <w:tcW w:w="1262" w:type="dxa"/>
          </w:tcPr>
          <w:p>
            <w:pPr>
              <w:pStyle w:val="TableParagraph"/>
              <w:spacing w:before="30"/>
              <w:rPr>
                <w:sz w:val="22"/>
              </w:rPr>
            </w:pPr>
            <w:r>
              <w:rPr>
                <w:sz w:val="22"/>
              </w:rPr>
              <w:t>6.04</w:t>
            </w:r>
          </w:p>
        </w:tc>
        <w:tc>
          <w:tcPr>
            <w:tcW w:w="1190" w:type="dxa"/>
          </w:tcPr>
          <w:p>
            <w:pPr>
              <w:pStyle w:val="TableParagraph"/>
              <w:spacing w:before="30"/>
              <w:ind w:right="63"/>
              <w:rPr>
                <w:sz w:val="22"/>
              </w:rPr>
            </w:pPr>
            <w:r>
              <w:rPr>
                <w:sz w:val="22"/>
              </w:rPr>
              <w:t>6.63</w:t>
            </w:r>
          </w:p>
        </w:tc>
        <w:tc>
          <w:tcPr>
            <w:tcW w:w="617" w:type="dxa"/>
          </w:tcPr>
          <w:p>
            <w:pPr>
              <w:pStyle w:val="TableParagraph"/>
              <w:spacing w:before="30"/>
              <w:rPr>
                <w:sz w:val="22"/>
              </w:rPr>
            </w:pPr>
            <w:r>
              <w:rPr>
                <w:sz w:val="22"/>
              </w:rPr>
              <w:t>4.68</w:t>
            </w:r>
          </w:p>
        </w:tc>
        <w:tc>
          <w:tcPr>
            <w:tcW w:w="1190" w:type="dxa"/>
          </w:tcPr>
          <w:p>
            <w:pPr>
              <w:pStyle w:val="TableParagraph"/>
              <w:spacing w:before="30"/>
              <w:ind w:right="63"/>
              <w:rPr>
                <w:sz w:val="22"/>
              </w:rPr>
            </w:pPr>
            <w:r>
              <w:rPr>
                <w:sz w:val="22"/>
              </w:rPr>
              <w:t>4.05</w:t>
            </w:r>
          </w:p>
        </w:tc>
        <w:tc>
          <w:tcPr>
            <w:tcW w:w="1188" w:type="dxa"/>
          </w:tcPr>
          <w:p>
            <w:pPr>
              <w:pStyle w:val="TableParagraph"/>
              <w:spacing w:before="30"/>
              <w:rPr>
                <w:sz w:val="22"/>
              </w:rPr>
            </w:pPr>
            <w:r>
              <w:rPr>
                <w:sz w:val="22"/>
              </w:rPr>
              <w:t>3.85</w:t>
            </w:r>
          </w:p>
        </w:tc>
        <w:tc>
          <w:tcPr>
            <w:tcW w:w="1188" w:type="dxa"/>
          </w:tcPr>
          <w:p>
            <w:pPr>
              <w:pStyle w:val="TableParagraph"/>
              <w:spacing w:before="30"/>
              <w:rPr>
                <w:sz w:val="22"/>
              </w:rPr>
            </w:pPr>
            <w:r>
              <w:rPr>
                <w:sz w:val="22"/>
              </w:rPr>
              <w:t>0.91</w:t>
            </w:r>
          </w:p>
        </w:tc>
      </w:tr>
      <w:tr>
        <w:trPr>
          <w:trHeight w:val="310" w:hRule="exact"/>
        </w:trPr>
        <w:tc>
          <w:tcPr>
            <w:tcW w:w="660" w:type="dxa"/>
          </w:tcPr>
          <w:p>
            <w:pPr>
              <w:pStyle w:val="TableParagraph"/>
              <w:rPr>
                <w:sz w:val="22"/>
              </w:rPr>
            </w:pPr>
            <w:r>
              <w:rPr>
                <w:sz w:val="22"/>
              </w:rPr>
              <w:t>113</w:t>
            </w:r>
          </w:p>
        </w:tc>
        <w:tc>
          <w:tcPr>
            <w:tcW w:w="1682" w:type="dxa"/>
          </w:tcPr>
          <w:p>
            <w:pPr>
              <w:pStyle w:val="TableParagraph"/>
              <w:rPr>
                <w:sz w:val="22"/>
              </w:rPr>
            </w:pPr>
            <w:r>
              <w:rPr>
                <w:sz w:val="22"/>
              </w:rPr>
              <w:t>10/10/2009</w:t>
            </w:r>
          </w:p>
        </w:tc>
        <w:tc>
          <w:tcPr>
            <w:tcW w:w="1262" w:type="dxa"/>
          </w:tcPr>
          <w:p>
            <w:pPr>
              <w:pStyle w:val="TableParagraph"/>
              <w:rPr>
                <w:sz w:val="22"/>
              </w:rPr>
            </w:pPr>
            <w:r>
              <w:rPr>
                <w:sz w:val="22"/>
              </w:rPr>
              <w:t>6.7</w:t>
            </w:r>
          </w:p>
        </w:tc>
        <w:tc>
          <w:tcPr>
            <w:tcW w:w="1190" w:type="dxa"/>
          </w:tcPr>
          <w:p>
            <w:pPr>
              <w:pStyle w:val="TableParagraph"/>
              <w:ind w:right="63"/>
              <w:rPr>
                <w:sz w:val="22"/>
              </w:rPr>
            </w:pPr>
            <w:r>
              <w:rPr>
                <w:sz w:val="22"/>
              </w:rPr>
              <w:t>6.53</w:t>
            </w:r>
          </w:p>
        </w:tc>
        <w:tc>
          <w:tcPr>
            <w:tcW w:w="617" w:type="dxa"/>
          </w:tcPr>
          <w:p>
            <w:pPr>
              <w:pStyle w:val="TableParagraph"/>
              <w:rPr>
                <w:sz w:val="22"/>
              </w:rPr>
            </w:pPr>
            <w:r>
              <w:rPr>
                <w:sz w:val="22"/>
              </w:rPr>
              <w:t>4.55</w:t>
            </w:r>
          </w:p>
        </w:tc>
        <w:tc>
          <w:tcPr>
            <w:tcW w:w="1190" w:type="dxa"/>
          </w:tcPr>
          <w:p>
            <w:pPr>
              <w:pStyle w:val="TableParagraph"/>
              <w:ind w:right="63"/>
              <w:rPr>
                <w:sz w:val="22"/>
              </w:rPr>
            </w:pPr>
            <w:r>
              <w:rPr>
                <w:sz w:val="22"/>
              </w:rPr>
              <w:t>4.71</w:t>
            </w:r>
          </w:p>
        </w:tc>
        <w:tc>
          <w:tcPr>
            <w:tcW w:w="1188" w:type="dxa"/>
          </w:tcPr>
          <w:p>
            <w:pPr>
              <w:pStyle w:val="TableParagraph"/>
              <w:rPr>
                <w:sz w:val="22"/>
              </w:rPr>
            </w:pPr>
            <w:r>
              <w:rPr>
                <w:sz w:val="22"/>
              </w:rPr>
              <w:t>4.11</w:t>
            </w:r>
          </w:p>
        </w:tc>
        <w:tc>
          <w:tcPr>
            <w:tcW w:w="1188" w:type="dxa"/>
          </w:tcPr>
          <w:p>
            <w:pPr>
              <w:pStyle w:val="TableParagraph"/>
              <w:rPr>
                <w:sz w:val="22"/>
              </w:rPr>
            </w:pPr>
            <w:r>
              <w:rPr>
                <w:sz w:val="22"/>
              </w:rPr>
              <w:t>0.81</w:t>
            </w:r>
          </w:p>
        </w:tc>
      </w:tr>
      <w:tr>
        <w:trPr>
          <w:trHeight w:val="310" w:hRule="exact"/>
        </w:trPr>
        <w:tc>
          <w:tcPr>
            <w:tcW w:w="660" w:type="dxa"/>
          </w:tcPr>
          <w:p>
            <w:pPr>
              <w:pStyle w:val="TableParagraph"/>
              <w:rPr>
                <w:sz w:val="22"/>
              </w:rPr>
            </w:pPr>
            <w:r>
              <w:rPr>
                <w:sz w:val="22"/>
              </w:rPr>
              <w:t>114</w:t>
            </w:r>
          </w:p>
        </w:tc>
        <w:tc>
          <w:tcPr>
            <w:tcW w:w="1682" w:type="dxa"/>
          </w:tcPr>
          <w:p>
            <w:pPr>
              <w:pStyle w:val="TableParagraph"/>
              <w:rPr>
                <w:sz w:val="22"/>
              </w:rPr>
            </w:pPr>
            <w:r>
              <w:rPr>
                <w:sz w:val="22"/>
              </w:rPr>
              <w:t>11/10/2009</w:t>
            </w:r>
          </w:p>
        </w:tc>
        <w:tc>
          <w:tcPr>
            <w:tcW w:w="1262" w:type="dxa"/>
          </w:tcPr>
          <w:p>
            <w:pPr>
              <w:pStyle w:val="TableParagraph"/>
              <w:rPr>
                <w:sz w:val="22"/>
              </w:rPr>
            </w:pPr>
            <w:r>
              <w:rPr>
                <w:sz w:val="22"/>
              </w:rPr>
              <w:t>6.21</w:t>
            </w:r>
          </w:p>
        </w:tc>
        <w:tc>
          <w:tcPr>
            <w:tcW w:w="1190" w:type="dxa"/>
          </w:tcPr>
          <w:p>
            <w:pPr>
              <w:pStyle w:val="TableParagraph"/>
              <w:ind w:right="63"/>
              <w:rPr>
                <w:sz w:val="22"/>
              </w:rPr>
            </w:pPr>
            <w:r>
              <w:rPr>
                <w:sz w:val="22"/>
              </w:rPr>
              <w:t>6.88</w:t>
            </w:r>
          </w:p>
        </w:tc>
        <w:tc>
          <w:tcPr>
            <w:tcW w:w="617" w:type="dxa"/>
          </w:tcPr>
          <w:p>
            <w:pPr>
              <w:pStyle w:val="TableParagraph"/>
              <w:rPr>
                <w:sz w:val="22"/>
              </w:rPr>
            </w:pPr>
            <w:r>
              <w:rPr>
                <w:sz w:val="22"/>
              </w:rPr>
              <w:t>5.82</w:t>
            </w:r>
          </w:p>
        </w:tc>
        <w:tc>
          <w:tcPr>
            <w:tcW w:w="1190" w:type="dxa"/>
          </w:tcPr>
          <w:p>
            <w:pPr>
              <w:pStyle w:val="TableParagraph"/>
              <w:ind w:right="63"/>
              <w:rPr>
                <w:sz w:val="22"/>
              </w:rPr>
            </w:pPr>
            <w:r>
              <w:rPr>
                <w:sz w:val="22"/>
              </w:rPr>
              <w:t>4.36</w:t>
            </w:r>
          </w:p>
        </w:tc>
        <w:tc>
          <w:tcPr>
            <w:tcW w:w="1188" w:type="dxa"/>
          </w:tcPr>
          <w:p>
            <w:pPr>
              <w:pStyle w:val="TableParagraph"/>
              <w:rPr>
                <w:sz w:val="22"/>
              </w:rPr>
            </w:pPr>
            <w:r>
              <w:rPr>
                <w:sz w:val="22"/>
              </w:rPr>
              <w:t>5.31</w:t>
            </w:r>
          </w:p>
        </w:tc>
        <w:tc>
          <w:tcPr>
            <w:tcW w:w="1188" w:type="dxa"/>
          </w:tcPr>
          <w:p>
            <w:pPr>
              <w:pStyle w:val="TableParagraph"/>
              <w:rPr>
                <w:sz w:val="22"/>
              </w:rPr>
            </w:pPr>
            <w:r>
              <w:rPr>
                <w:sz w:val="22"/>
              </w:rPr>
              <w:t>0.57</w:t>
            </w:r>
          </w:p>
        </w:tc>
      </w:tr>
      <w:tr>
        <w:trPr>
          <w:trHeight w:val="310" w:hRule="exact"/>
        </w:trPr>
        <w:tc>
          <w:tcPr>
            <w:tcW w:w="660" w:type="dxa"/>
          </w:tcPr>
          <w:p>
            <w:pPr>
              <w:pStyle w:val="TableParagraph"/>
              <w:rPr>
                <w:sz w:val="22"/>
              </w:rPr>
            </w:pPr>
            <w:r>
              <w:rPr>
                <w:sz w:val="22"/>
              </w:rPr>
              <w:t>115</w:t>
            </w:r>
          </w:p>
        </w:tc>
        <w:tc>
          <w:tcPr>
            <w:tcW w:w="1682" w:type="dxa"/>
          </w:tcPr>
          <w:p>
            <w:pPr>
              <w:pStyle w:val="TableParagraph"/>
              <w:rPr>
                <w:sz w:val="22"/>
              </w:rPr>
            </w:pPr>
            <w:r>
              <w:rPr>
                <w:sz w:val="22"/>
              </w:rPr>
              <w:t>12/10/2009</w:t>
            </w:r>
          </w:p>
        </w:tc>
        <w:tc>
          <w:tcPr>
            <w:tcW w:w="1262" w:type="dxa"/>
          </w:tcPr>
          <w:p>
            <w:pPr>
              <w:pStyle w:val="TableParagraph"/>
              <w:rPr>
                <w:sz w:val="22"/>
              </w:rPr>
            </w:pPr>
            <w:r>
              <w:rPr>
                <w:sz w:val="22"/>
              </w:rPr>
              <w:t>6.41</w:t>
            </w:r>
          </w:p>
        </w:tc>
        <w:tc>
          <w:tcPr>
            <w:tcW w:w="1190" w:type="dxa"/>
          </w:tcPr>
          <w:p>
            <w:pPr>
              <w:pStyle w:val="TableParagraph"/>
              <w:ind w:right="63"/>
              <w:rPr>
                <w:sz w:val="22"/>
              </w:rPr>
            </w:pPr>
            <w:r>
              <w:rPr>
                <w:sz w:val="22"/>
              </w:rPr>
              <w:t>6.91</w:t>
            </w:r>
          </w:p>
        </w:tc>
        <w:tc>
          <w:tcPr>
            <w:tcW w:w="617" w:type="dxa"/>
          </w:tcPr>
          <w:p>
            <w:pPr>
              <w:pStyle w:val="TableParagraph"/>
              <w:rPr>
                <w:sz w:val="22"/>
              </w:rPr>
            </w:pPr>
            <w:r>
              <w:rPr>
                <w:sz w:val="22"/>
              </w:rPr>
              <w:t>5.39</w:t>
            </w:r>
          </w:p>
        </w:tc>
        <w:tc>
          <w:tcPr>
            <w:tcW w:w="1190" w:type="dxa"/>
          </w:tcPr>
          <w:p>
            <w:pPr>
              <w:pStyle w:val="TableParagraph"/>
              <w:ind w:right="63"/>
              <w:rPr>
                <w:sz w:val="22"/>
              </w:rPr>
            </w:pPr>
            <w:r>
              <w:rPr>
                <w:sz w:val="22"/>
              </w:rPr>
              <w:t>4.58</w:t>
            </w:r>
          </w:p>
        </w:tc>
        <w:tc>
          <w:tcPr>
            <w:tcW w:w="1188" w:type="dxa"/>
          </w:tcPr>
          <w:p>
            <w:pPr>
              <w:pStyle w:val="TableParagraph"/>
              <w:rPr>
                <w:sz w:val="22"/>
              </w:rPr>
            </w:pPr>
            <w:r>
              <w:rPr>
                <w:sz w:val="22"/>
              </w:rPr>
              <w:t>5.59</w:t>
            </w:r>
          </w:p>
        </w:tc>
        <w:tc>
          <w:tcPr>
            <w:tcW w:w="1188" w:type="dxa"/>
          </w:tcPr>
          <w:p>
            <w:pPr>
              <w:pStyle w:val="TableParagraph"/>
              <w:rPr>
                <w:sz w:val="22"/>
              </w:rPr>
            </w:pPr>
            <w:r>
              <w:rPr>
                <w:sz w:val="22"/>
              </w:rPr>
              <w:t>0.41</w:t>
            </w:r>
          </w:p>
        </w:tc>
      </w:tr>
      <w:tr>
        <w:trPr>
          <w:trHeight w:val="310" w:hRule="exact"/>
        </w:trPr>
        <w:tc>
          <w:tcPr>
            <w:tcW w:w="660" w:type="dxa"/>
          </w:tcPr>
          <w:p>
            <w:pPr>
              <w:pStyle w:val="TableParagraph"/>
              <w:rPr>
                <w:sz w:val="22"/>
              </w:rPr>
            </w:pPr>
            <w:r>
              <w:rPr>
                <w:sz w:val="22"/>
              </w:rPr>
              <w:t>116</w:t>
            </w:r>
          </w:p>
        </w:tc>
        <w:tc>
          <w:tcPr>
            <w:tcW w:w="1682" w:type="dxa"/>
          </w:tcPr>
          <w:p>
            <w:pPr>
              <w:pStyle w:val="TableParagraph"/>
              <w:rPr>
                <w:sz w:val="22"/>
              </w:rPr>
            </w:pPr>
            <w:r>
              <w:rPr>
                <w:sz w:val="22"/>
              </w:rPr>
              <w:t>13/10/2009</w:t>
            </w:r>
          </w:p>
        </w:tc>
        <w:tc>
          <w:tcPr>
            <w:tcW w:w="1262" w:type="dxa"/>
          </w:tcPr>
          <w:p>
            <w:pPr>
              <w:pStyle w:val="TableParagraph"/>
              <w:rPr>
                <w:sz w:val="22"/>
              </w:rPr>
            </w:pPr>
            <w:r>
              <w:rPr>
                <w:sz w:val="22"/>
              </w:rPr>
              <w:t>6.37</w:t>
            </w:r>
          </w:p>
        </w:tc>
        <w:tc>
          <w:tcPr>
            <w:tcW w:w="1190" w:type="dxa"/>
          </w:tcPr>
          <w:p>
            <w:pPr>
              <w:pStyle w:val="TableParagraph"/>
              <w:ind w:right="63"/>
              <w:rPr>
                <w:sz w:val="22"/>
              </w:rPr>
            </w:pPr>
            <w:r>
              <w:rPr>
                <w:sz w:val="22"/>
              </w:rPr>
              <w:t>6.63</w:t>
            </w:r>
          </w:p>
        </w:tc>
        <w:tc>
          <w:tcPr>
            <w:tcW w:w="617" w:type="dxa"/>
          </w:tcPr>
          <w:p>
            <w:pPr>
              <w:pStyle w:val="TableParagraph"/>
              <w:rPr>
                <w:sz w:val="22"/>
              </w:rPr>
            </w:pPr>
            <w:r>
              <w:rPr>
                <w:sz w:val="22"/>
              </w:rPr>
              <w:t>5.57</w:t>
            </w:r>
          </w:p>
        </w:tc>
        <w:tc>
          <w:tcPr>
            <w:tcW w:w="1190" w:type="dxa"/>
          </w:tcPr>
          <w:p>
            <w:pPr>
              <w:pStyle w:val="TableParagraph"/>
              <w:ind w:right="63"/>
              <w:rPr>
                <w:sz w:val="22"/>
              </w:rPr>
            </w:pPr>
            <w:r>
              <w:rPr>
                <w:sz w:val="22"/>
              </w:rPr>
              <w:t>4.66</w:t>
            </w:r>
          </w:p>
        </w:tc>
        <w:tc>
          <w:tcPr>
            <w:tcW w:w="1188" w:type="dxa"/>
          </w:tcPr>
          <w:p>
            <w:pPr>
              <w:pStyle w:val="TableParagraph"/>
              <w:rPr>
                <w:sz w:val="22"/>
              </w:rPr>
            </w:pPr>
            <w:r>
              <w:rPr>
                <w:sz w:val="22"/>
              </w:rPr>
              <w:t>5.74</w:t>
            </w:r>
          </w:p>
        </w:tc>
        <w:tc>
          <w:tcPr>
            <w:tcW w:w="1188" w:type="dxa"/>
          </w:tcPr>
          <w:p>
            <w:pPr>
              <w:pStyle w:val="TableParagraph"/>
              <w:rPr>
                <w:sz w:val="22"/>
              </w:rPr>
            </w:pPr>
            <w:r>
              <w:rPr>
                <w:sz w:val="22"/>
              </w:rPr>
              <w:t>1.09</w:t>
            </w:r>
          </w:p>
        </w:tc>
      </w:tr>
      <w:tr>
        <w:trPr>
          <w:trHeight w:val="310" w:hRule="exact"/>
        </w:trPr>
        <w:tc>
          <w:tcPr>
            <w:tcW w:w="660" w:type="dxa"/>
          </w:tcPr>
          <w:p>
            <w:pPr>
              <w:pStyle w:val="TableParagraph"/>
              <w:spacing w:before="30"/>
              <w:rPr>
                <w:sz w:val="22"/>
              </w:rPr>
            </w:pPr>
            <w:r>
              <w:rPr>
                <w:sz w:val="22"/>
              </w:rPr>
              <w:t>117</w:t>
            </w:r>
          </w:p>
        </w:tc>
        <w:tc>
          <w:tcPr>
            <w:tcW w:w="1682" w:type="dxa"/>
          </w:tcPr>
          <w:p>
            <w:pPr>
              <w:pStyle w:val="TableParagraph"/>
              <w:spacing w:before="30"/>
              <w:rPr>
                <w:sz w:val="22"/>
              </w:rPr>
            </w:pPr>
            <w:r>
              <w:rPr>
                <w:sz w:val="22"/>
              </w:rPr>
              <w:t>14/10/2009</w:t>
            </w:r>
          </w:p>
        </w:tc>
        <w:tc>
          <w:tcPr>
            <w:tcW w:w="1262" w:type="dxa"/>
          </w:tcPr>
          <w:p>
            <w:pPr>
              <w:pStyle w:val="TableParagraph"/>
              <w:spacing w:before="30"/>
              <w:rPr>
                <w:sz w:val="22"/>
              </w:rPr>
            </w:pPr>
            <w:r>
              <w:rPr>
                <w:sz w:val="22"/>
              </w:rPr>
              <w:t>6.41</w:t>
            </w:r>
          </w:p>
        </w:tc>
        <w:tc>
          <w:tcPr>
            <w:tcW w:w="1190" w:type="dxa"/>
          </w:tcPr>
          <w:p>
            <w:pPr>
              <w:pStyle w:val="TableParagraph"/>
              <w:spacing w:before="30"/>
              <w:ind w:right="63"/>
              <w:rPr>
                <w:sz w:val="22"/>
              </w:rPr>
            </w:pPr>
            <w:r>
              <w:rPr>
                <w:sz w:val="22"/>
              </w:rPr>
              <w:t>6.8</w:t>
            </w:r>
          </w:p>
        </w:tc>
        <w:tc>
          <w:tcPr>
            <w:tcW w:w="617" w:type="dxa"/>
          </w:tcPr>
          <w:p>
            <w:pPr>
              <w:pStyle w:val="TableParagraph"/>
              <w:spacing w:before="30"/>
              <w:rPr>
                <w:sz w:val="22"/>
              </w:rPr>
            </w:pPr>
            <w:r>
              <w:rPr>
                <w:sz w:val="22"/>
              </w:rPr>
              <w:t>5.35</w:t>
            </w:r>
          </w:p>
        </w:tc>
        <w:tc>
          <w:tcPr>
            <w:tcW w:w="1190" w:type="dxa"/>
          </w:tcPr>
          <w:p>
            <w:pPr>
              <w:pStyle w:val="TableParagraph"/>
              <w:spacing w:before="30"/>
              <w:ind w:right="63"/>
              <w:rPr>
                <w:sz w:val="22"/>
              </w:rPr>
            </w:pPr>
            <w:r>
              <w:rPr>
                <w:sz w:val="22"/>
              </w:rPr>
              <w:t>4.46</w:t>
            </w:r>
          </w:p>
        </w:tc>
        <w:tc>
          <w:tcPr>
            <w:tcW w:w="1188" w:type="dxa"/>
          </w:tcPr>
          <w:p>
            <w:pPr>
              <w:pStyle w:val="TableParagraph"/>
              <w:spacing w:before="30"/>
              <w:rPr>
                <w:sz w:val="22"/>
              </w:rPr>
            </w:pPr>
            <w:r>
              <w:rPr>
                <w:sz w:val="22"/>
              </w:rPr>
              <w:t>5.39</w:t>
            </w:r>
          </w:p>
        </w:tc>
        <w:tc>
          <w:tcPr>
            <w:tcW w:w="1188" w:type="dxa"/>
          </w:tcPr>
          <w:p>
            <w:pPr>
              <w:pStyle w:val="TableParagraph"/>
              <w:spacing w:before="30"/>
              <w:rPr>
                <w:sz w:val="22"/>
              </w:rPr>
            </w:pPr>
            <w:r>
              <w:rPr>
                <w:sz w:val="22"/>
              </w:rPr>
              <w:t>1.05</w:t>
            </w:r>
          </w:p>
        </w:tc>
      </w:tr>
      <w:tr>
        <w:trPr>
          <w:trHeight w:val="312" w:hRule="exact"/>
        </w:trPr>
        <w:tc>
          <w:tcPr>
            <w:tcW w:w="660" w:type="dxa"/>
          </w:tcPr>
          <w:p>
            <w:pPr>
              <w:pStyle w:val="TableParagraph"/>
              <w:spacing w:before="30"/>
              <w:rPr>
                <w:sz w:val="22"/>
              </w:rPr>
            </w:pPr>
            <w:r>
              <w:rPr>
                <w:sz w:val="22"/>
              </w:rPr>
              <w:t>118</w:t>
            </w:r>
          </w:p>
        </w:tc>
        <w:tc>
          <w:tcPr>
            <w:tcW w:w="1682" w:type="dxa"/>
          </w:tcPr>
          <w:p>
            <w:pPr>
              <w:pStyle w:val="TableParagraph"/>
              <w:spacing w:before="30"/>
              <w:rPr>
                <w:sz w:val="22"/>
              </w:rPr>
            </w:pPr>
            <w:r>
              <w:rPr>
                <w:sz w:val="22"/>
              </w:rPr>
              <w:t>15/10/2009</w:t>
            </w:r>
          </w:p>
        </w:tc>
        <w:tc>
          <w:tcPr>
            <w:tcW w:w="1262" w:type="dxa"/>
          </w:tcPr>
          <w:p>
            <w:pPr>
              <w:pStyle w:val="TableParagraph"/>
              <w:spacing w:before="30"/>
              <w:rPr>
                <w:sz w:val="22"/>
              </w:rPr>
            </w:pPr>
            <w:r>
              <w:rPr>
                <w:sz w:val="22"/>
              </w:rPr>
              <w:t>6.5</w:t>
            </w:r>
          </w:p>
        </w:tc>
        <w:tc>
          <w:tcPr>
            <w:tcW w:w="1190" w:type="dxa"/>
          </w:tcPr>
          <w:p>
            <w:pPr>
              <w:pStyle w:val="TableParagraph"/>
              <w:spacing w:before="30"/>
              <w:ind w:right="63"/>
              <w:rPr>
                <w:sz w:val="22"/>
              </w:rPr>
            </w:pPr>
            <w:r>
              <w:rPr>
                <w:sz w:val="22"/>
              </w:rPr>
              <w:t>6.89</w:t>
            </w:r>
          </w:p>
        </w:tc>
        <w:tc>
          <w:tcPr>
            <w:tcW w:w="617" w:type="dxa"/>
          </w:tcPr>
          <w:p>
            <w:pPr>
              <w:pStyle w:val="TableParagraph"/>
              <w:spacing w:before="30"/>
              <w:rPr>
                <w:sz w:val="22"/>
              </w:rPr>
            </w:pPr>
            <w:r>
              <w:rPr>
                <w:sz w:val="22"/>
              </w:rPr>
              <w:t>4.97</w:t>
            </w:r>
          </w:p>
        </w:tc>
        <w:tc>
          <w:tcPr>
            <w:tcW w:w="1190" w:type="dxa"/>
          </w:tcPr>
          <w:p>
            <w:pPr>
              <w:pStyle w:val="TableParagraph"/>
              <w:spacing w:before="30"/>
              <w:ind w:right="63"/>
              <w:rPr>
                <w:sz w:val="22"/>
              </w:rPr>
            </w:pPr>
            <w:r>
              <w:rPr>
                <w:sz w:val="22"/>
              </w:rPr>
              <w:t>4.36</w:t>
            </w:r>
          </w:p>
        </w:tc>
        <w:tc>
          <w:tcPr>
            <w:tcW w:w="1188" w:type="dxa"/>
          </w:tcPr>
          <w:p>
            <w:pPr>
              <w:pStyle w:val="TableParagraph"/>
              <w:spacing w:before="30"/>
              <w:rPr>
                <w:sz w:val="22"/>
              </w:rPr>
            </w:pPr>
            <w:r>
              <w:rPr>
                <w:sz w:val="22"/>
              </w:rPr>
              <w:t>4.91</w:t>
            </w:r>
          </w:p>
        </w:tc>
        <w:tc>
          <w:tcPr>
            <w:tcW w:w="1188" w:type="dxa"/>
          </w:tcPr>
          <w:p>
            <w:pPr>
              <w:pStyle w:val="TableParagraph"/>
              <w:spacing w:before="30"/>
              <w:rPr>
                <w:sz w:val="22"/>
              </w:rPr>
            </w:pPr>
            <w:r>
              <w:rPr>
                <w:sz w:val="22"/>
              </w:rPr>
              <w:t>0.91</w:t>
            </w:r>
          </w:p>
        </w:tc>
      </w:tr>
      <w:tr>
        <w:trPr>
          <w:trHeight w:val="310" w:hRule="exact"/>
        </w:trPr>
        <w:tc>
          <w:tcPr>
            <w:tcW w:w="660" w:type="dxa"/>
          </w:tcPr>
          <w:p>
            <w:pPr>
              <w:pStyle w:val="TableParagraph"/>
              <w:rPr>
                <w:sz w:val="22"/>
              </w:rPr>
            </w:pPr>
            <w:r>
              <w:rPr>
                <w:sz w:val="22"/>
              </w:rPr>
              <w:t>119</w:t>
            </w:r>
          </w:p>
        </w:tc>
        <w:tc>
          <w:tcPr>
            <w:tcW w:w="1682" w:type="dxa"/>
          </w:tcPr>
          <w:p>
            <w:pPr>
              <w:pStyle w:val="TableParagraph"/>
              <w:rPr>
                <w:sz w:val="22"/>
              </w:rPr>
            </w:pPr>
            <w:r>
              <w:rPr>
                <w:sz w:val="22"/>
              </w:rPr>
              <w:t>16/10/2009</w:t>
            </w:r>
          </w:p>
        </w:tc>
        <w:tc>
          <w:tcPr>
            <w:tcW w:w="1262" w:type="dxa"/>
          </w:tcPr>
          <w:p>
            <w:pPr>
              <w:pStyle w:val="TableParagraph"/>
              <w:rPr>
                <w:sz w:val="22"/>
              </w:rPr>
            </w:pPr>
            <w:r>
              <w:rPr>
                <w:sz w:val="22"/>
              </w:rPr>
              <w:t>6.54</w:t>
            </w:r>
          </w:p>
        </w:tc>
        <w:tc>
          <w:tcPr>
            <w:tcW w:w="1190" w:type="dxa"/>
          </w:tcPr>
          <w:p>
            <w:pPr>
              <w:pStyle w:val="TableParagraph"/>
              <w:ind w:right="63"/>
              <w:rPr>
                <w:sz w:val="22"/>
              </w:rPr>
            </w:pPr>
            <w:r>
              <w:rPr>
                <w:sz w:val="22"/>
              </w:rPr>
              <w:t>6.86</w:t>
            </w:r>
          </w:p>
        </w:tc>
        <w:tc>
          <w:tcPr>
            <w:tcW w:w="617" w:type="dxa"/>
          </w:tcPr>
          <w:p>
            <w:pPr>
              <w:pStyle w:val="TableParagraph"/>
              <w:rPr>
                <w:sz w:val="22"/>
              </w:rPr>
            </w:pPr>
            <w:r>
              <w:rPr>
                <w:sz w:val="22"/>
              </w:rPr>
              <w:t>5.99</w:t>
            </w:r>
          </w:p>
        </w:tc>
        <w:tc>
          <w:tcPr>
            <w:tcW w:w="1190" w:type="dxa"/>
          </w:tcPr>
          <w:p>
            <w:pPr>
              <w:pStyle w:val="TableParagraph"/>
              <w:ind w:right="63"/>
              <w:rPr>
                <w:sz w:val="22"/>
              </w:rPr>
            </w:pPr>
            <w:r>
              <w:rPr>
                <w:sz w:val="22"/>
              </w:rPr>
              <w:t>4.84</w:t>
            </w:r>
          </w:p>
        </w:tc>
        <w:tc>
          <w:tcPr>
            <w:tcW w:w="1188" w:type="dxa"/>
          </w:tcPr>
          <w:p>
            <w:pPr>
              <w:pStyle w:val="TableParagraph"/>
              <w:rPr>
                <w:sz w:val="22"/>
              </w:rPr>
            </w:pPr>
            <w:r>
              <w:rPr>
                <w:sz w:val="22"/>
              </w:rPr>
              <w:t>5.69</w:t>
            </w:r>
          </w:p>
        </w:tc>
        <w:tc>
          <w:tcPr>
            <w:tcW w:w="1188" w:type="dxa"/>
          </w:tcPr>
          <w:p>
            <w:pPr>
              <w:pStyle w:val="TableParagraph"/>
              <w:rPr>
                <w:sz w:val="22"/>
              </w:rPr>
            </w:pPr>
            <w:r>
              <w:rPr>
                <w:sz w:val="22"/>
              </w:rPr>
              <w:t>0.85</w:t>
            </w:r>
          </w:p>
        </w:tc>
      </w:tr>
      <w:tr>
        <w:trPr>
          <w:trHeight w:val="310" w:hRule="exact"/>
        </w:trPr>
        <w:tc>
          <w:tcPr>
            <w:tcW w:w="660" w:type="dxa"/>
          </w:tcPr>
          <w:p>
            <w:pPr>
              <w:pStyle w:val="TableParagraph"/>
              <w:rPr>
                <w:sz w:val="22"/>
              </w:rPr>
            </w:pPr>
            <w:r>
              <w:rPr>
                <w:sz w:val="22"/>
              </w:rPr>
              <w:t>120</w:t>
            </w:r>
          </w:p>
        </w:tc>
        <w:tc>
          <w:tcPr>
            <w:tcW w:w="1682" w:type="dxa"/>
          </w:tcPr>
          <w:p>
            <w:pPr>
              <w:pStyle w:val="TableParagraph"/>
              <w:rPr>
                <w:sz w:val="22"/>
              </w:rPr>
            </w:pPr>
            <w:r>
              <w:rPr>
                <w:sz w:val="22"/>
              </w:rPr>
              <w:t>17/10/2009</w:t>
            </w:r>
          </w:p>
        </w:tc>
        <w:tc>
          <w:tcPr>
            <w:tcW w:w="1262" w:type="dxa"/>
          </w:tcPr>
          <w:p>
            <w:pPr>
              <w:pStyle w:val="TableParagraph"/>
              <w:rPr>
                <w:sz w:val="22"/>
              </w:rPr>
            </w:pPr>
            <w:r>
              <w:rPr>
                <w:sz w:val="22"/>
              </w:rPr>
              <w:t>6.75</w:t>
            </w:r>
          </w:p>
        </w:tc>
        <w:tc>
          <w:tcPr>
            <w:tcW w:w="1190" w:type="dxa"/>
          </w:tcPr>
          <w:p>
            <w:pPr>
              <w:pStyle w:val="TableParagraph"/>
              <w:ind w:right="63"/>
              <w:rPr>
                <w:sz w:val="22"/>
              </w:rPr>
            </w:pPr>
            <w:r>
              <w:rPr>
                <w:sz w:val="22"/>
              </w:rPr>
              <w:t>6.94</w:t>
            </w:r>
          </w:p>
        </w:tc>
        <w:tc>
          <w:tcPr>
            <w:tcW w:w="617" w:type="dxa"/>
          </w:tcPr>
          <w:p>
            <w:pPr>
              <w:pStyle w:val="TableParagraph"/>
              <w:rPr>
                <w:sz w:val="22"/>
              </w:rPr>
            </w:pPr>
            <w:r>
              <w:rPr>
                <w:sz w:val="22"/>
              </w:rPr>
              <w:t>5.63</w:t>
            </w:r>
          </w:p>
        </w:tc>
        <w:tc>
          <w:tcPr>
            <w:tcW w:w="1190" w:type="dxa"/>
          </w:tcPr>
          <w:p>
            <w:pPr>
              <w:pStyle w:val="TableParagraph"/>
              <w:ind w:right="63"/>
              <w:rPr>
                <w:sz w:val="22"/>
              </w:rPr>
            </w:pPr>
            <w:r>
              <w:rPr>
                <w:sz w:val="22"/>
              </w:rPr>
              <w:t>4.92</w:t>
            </w:r>
          </w:p>
        </w:tc>
        <w:tc>
          <w:tcPr>
            <w:tcW w:w="1188" w:type="dxa"/>
          </w:tcPr>
          <w:p>
            <w:pPr>
              <w:pStyle w:val="TableParagraph"/>
              <w:rPr>
                <w:sz w:val="22"/>
              </w:rPr>
            </w:pPr>
            <w:r>
              <w:rPr>
                <w:sz w:val="22"/>
              </w:rPr>
              <w:t>5.88</w:t>
            </w:r>
          </w:p>
        </w:tc>
        <w:tc>
          <w:tcPr>
            <w:tcW w:w="1188" w:type="dxa"/>
          </w:tcPr>
          <w:p>
            <w:pPr>
              <w:pStyle w:val="TableParagraph"/>
              <w:rPr>
                <w:sz w:val="22"/>
              </w:rPr>
            </w:pPr>
            <w:r>
              <w:rPr>
                <w:sz w:val="22"/>
              </w:rPr>
              <w:t>0.78</w:t>
            </w:r>
          </w:p>
        </w:tc>
      </w:tr>
      <w:tr>
        <w:trPr>
          <w:trHeight w:val="310" w:hRule="exact"/>
        </w:trPr>
        <w:tc>
          <w:tcPr>
            <w:tcW w:w="660" w:type="dxa"/>
          </w:tcPr>
          <w:p>
            <w:pPr>
              <w:pStyle w:val="TableParagraph"/>
              <w:rPr>
                <w:sz w:val="22"/>
              </w:rPr>
            </w:pPr>
            <w:r>
              <w:rPr>
                <w:sz w:val="22"/>
              </w:rPr>
              <w:t>121</w:t>
            </w:r>
          </w:p>
        </w:tc>
        <w:tc>
          <w:tcPr>
            <w:tcW w:w="1682" w:type="dxa"/>
          </w:tcPr>
          <w:p>
            <w:pPr>
              <w:pStyle w:val="TableParagraph"/>
              <w:rPr>
                <w:sz w:val="22"/>
              </w:rPr>
            </w:pPr>
            <w:r>
              <w:rPr>
                <w:sz w:val="22"/>
              </w:rPr>
              <w:t>18/10/2009</w:t>
            </w:r>
          </w:p>
        </w:tc>
        <w:tc>
          <w:tcPr>
            <w:tcW w:w="1262" w:type="dxa"/>
          </w:tcPr>
          <w:p>
            <w:pPr>
              <w:pStyle w:val="TableParagraph"/>
              <w:rPr>
                <w:sz w:val="22"/>
              </w:rPr>
            </w:pPr>
            <w:r>
              <w:rPr>
                <w:sz w:val="22"/>
              </w:rPr>
              <w:t>6.74</w:t>
            </w:r>
          </w:p>
        </w:tc>
        <w:tc>
          <w:tcPr>
            <w:tcW w:w="1190" w:type="dxa"/>
          </w:tcPr>
          <w:p>
            <w:pPr>
              <w:pStyle w:val="TableParagraph"/>
              <w:ind w:right="63"/>
              <w:rPr>
                <w:sz w:val="22"/>
              </w:rPr>
            </w:pPr>
            <w:r>
              <w:rPr>
                <w:sz w:val="22"/>
              </w:rPr>
              <w:t>6.95</w:t>
            </w:r>
          </w:p>
        </w:tc>
        <w:tc>
          <w:tcPr>
            <w:tcW w:w="617" w:type="dxa"/>
          </w:tcPr>
          <w:p>
            <w:pPr>
              <w:pStyle w:val="TableParagraph"/>
              <w:rPr>
                <w:sz w:val="22"/>
              </w:rPr>
            </w:pPr>
            <w:r>
              <w:rPr>
                <w:sz w:val="22"/>
              </w:rPr>
              <w:t>6.28</w:t>
            </w:r>
          </w:p>
        </w:tc>
        <w:tc>
          <w:tcPr>
            <w:tcW w:w="1190" w:type="dxa"/>
          </w:tcPr>
          <w:p>
            <w:pPr>
              <w:pStyle w:val="TableParagraph"/>
              <w:ind w:right="63"/>
              <w:rPr>
                <w:sz w:val="22"/>
              </w:rPr>
            </w:pPr>
            <w:r>
              <w:rPr>
                <w:sz w:val="22"/>
              </w:rPr>
              <w:t>5.31</w:t>
            </w:r>
          </w:p>
        </w:tc>
        <w:tc>
          <w:tcPr>
            <w:tcW w:w="1188" w:type="dxa"/>
          </w:tcPr>
          <w:p>
            <w:pPr>
              <w:pStyle w:val="TableParagraph"/>
              <w:rPr>
                <w:sz w:val="22"/>
              </w:rPr>
            </w:pPr>
            <w:r>
              <w:rPr>
                <w:sz w:val="22"/>
              </w:rPr>
              <w:t>5.97</w:t>
            </w:r>
          </w:p>
        </w:tc>
        <w:tc>
          <w:tcPr>
            <w:tcW w:w="1188" w:type="dxa"/>
          </w:tcPr>
          <w:p>
            <w:pPr>
              <w:pStyle w:val="TableParagraph"/>
              <w:rPr>
                <w:sz w:val="22"/>
              </w:rPr>
            </w:pPr>
            <w:r>
              <w:rPr>
                <w:sz w:val="22"/>
              </w:rPr>
              <w:t>0.64</w:t>
            </w:r>
          </w:p>
        </w:tc>
      </w:tr>
      <w:tr>
        <w:trPr>
          <w:trHeight w:val="310" w:hRule="exact"/>
        </w:trPr>
        <w:tc>
          <w:tcPr>
            <w:tcW w:w="660" w:type="dxa"/>
          </w:tcPr>
          <w:p>
            <w:pPr>
              <w:pStyle w:val="TableParagraph"/>
              <w:rPr>
                <w:sz w:val="22"/>
              </w:rPr>
            </w:pPr>
            <w:r>
              <w:rPr>
                <w:sz w:val="22"/>
              </w:rPr>
              <w:t>122</w:t>
            </w:r>
          </w:p>
        </w:tc>
        <w:tc>
          <w:tcPr>
            <w:tcW w:w="1682" w:type="dxa"/>
          </w:tcPr>
          <w:p>
            <w:pPr>
              <w:pStyle w:val="TableParagraph"/>
              <w:rPr>
                <w:sz w:val="22"/>
              </w:rPr>
            </w:pPr>
            <w:r>
              <w:rPr>
                <w:sz w:val="22"/>
              </w:rPr>
              <w:t>19/10/2009</w:t>
            </w:r>
          </w:p>
        </w:tc>
        <w:tc>
          <w:tcPr>
            <w:tcW w:w="1262" w:type="dxa"/>
          </w:tcPr>
          <w:p>
            <w:pPr>
              <w:pStyle w:val="TableParagraph"/>
              <w:rPr>
                <w:sz w:val="22"/>
              </w:rPr>
            </w:pPr>
            <w:r>
              <w:rPr>
                <w:sz w:val="22"/>
              </w:rPr>
              <w:t>6.26</w:t>
            </w:r>
          </w:p>
        </w:tc>
        <w:tc>
          <w:tcPr>
            <w:tcW w:w="1190" w:type="dxa"/>
          </w:tcPr>
          <w:p>
            <w:pPr>
              <w:pStyle w:val="TableParagraph"/>
              <w:ind w:right="63"/>
              <w:rPr>
                <w:sz w:val="22"/>
              </w:rPr>
            </w:pPr>
            <w:r>
              <w:rPr>
                <w:sz w:val="22"/>
              </w:rPr>
              <w:t>6.77</w:t>
            </w:r>
          </w:p>
        </w:tc>
        <w:tc>
          <w:tcPr>
            <w:tcW w:w="617" w:type="dxa"/>
          </w:tcPr>
          <w:p>
            <w:pPr>
              <w:pStyle w:val="TableParagraph"/>
              <w:rPr>
                <w:sz w:val="22"/>
              </w:rPr>
            </w:pPr>
            <w:r>
              <w:rPr>
                <w:sz w:val="22"/>
              </w:rPr>
              <w:t>5.81</w:t>
            </w:r>
          </w:p>
        </w:tc>
        <w:tc>
          <w:tcPr>
            <w:tcW w:w="1190" w:type="dxa"/>
          </w:tcPr>
          <w:p>
            <w:pPr>
              <w:pStyle w:val="TableParagraph"/>
              <w:ind w:right="63"/>
              <w:rPr>
                <w:sz w:val="22"/>
              </w:rPr>
            </w:pPr>
            <w:r>
              <w:rPr>
                <w:sz w:val="22"/>
              </w:rPr>
              <w:t>4.54</w:t>
            </w:r>
          </w:p>
        </w:tc>
        <w:tc>
          <w:tcPr>
            <w:tcW w:w="1188" w:type="dxa"/>
          </w:tcPr>
          <w:p>
            <w:pPr>
              <w:pStyle w:val="TableParagraph"/>
              <w:rPr>
                <w:sz w:val="22"/>
              </w:rPr>
            </w:pPr>
            <w:r>
              <w:rPr>
                <w:sz w:val="22"/>
              </w:rPr>
              <w:t>5.39</w:t>
            </w:r>
          </w:p>
        </w:tc>
        <w:tc>
          <w:tcPr>
            <w:tcW w:w="1188" w:type="dxa"/>
          </w:tcPr>
          <w:p>
            <w:pPr>
              <w:pStyle w:val="TableParagraph"/>
              <w:rPr>
                <w:sz w:val="22"/>
              </w:rPr>
            </w:pPr>
            <w:r>
              <w:rPr>
                <w:sz w:val="22"/>
              </w:rPr>
              <w:t>0.12</w:t>
            </w:r>
          </w:p>
        </w:tc>
      </w:tr>
      <w:tr>
        <w:trPr>
          <w:trHeight w:val="310" w:hRule="exact"/>
        </w:trPr>
        <w:tc>
          <w:tcPr>
            <w:tcW w:w="660" w:type="dxa"/>
          </w:tcPr>
          <w:p>
            <w:pPr>
              <w:pStyle w:val="TableParagraph"/>
              <w:spacing w:before="30"/>
              <w:rPr>
                <w:sz w:val="22"/>
              </w:rPr>
            </w:pPr>
            <w:r>
              <w:rPr>
                <w:sz w:val="22"/>
              </w:rPr>
              <w:t>123</w:t>
            </w:r>
          </w:p>
        </w:tc>
        <w:tc>
          <w:tcPr>
            <w:tcW w:w="1682" w:type="dxa"/>
          </w:tcPr>
          <w:p>
            <w:pPr>
              <w:pStyle w:val="TableParagraph"/>
              <w:spacing w:before="30"/>
              <w:rPr>
                <w:sz w:val="22"/>
              </w:rPr>
            </w:pPr>
            <w:r>
              <w:rPr>
                <w:sz w:val="22"/>
              </w:rPr>
              <w:t>20/10/2009</w:t>
            </w:r>
          </w:p>
        </w:tc>
        <w:tc>
          <w:tcPr>
            <w:tcW w:w="1262" w:type="dxa"/>
          </w:tcPr>
          <w:p>
            <w:pPr>
              <w:pStyle w:val="TableParagraph"/>
              <w:spacing w:before="30"/>
              <w:rPr>
                <w:sz w:val="22"/>
              </w:rPr>
            </w:pPr>
            <w:r>
              <w:rPr>
                <w:sz w:val="22"/>
              </w:rPr>
              <w:t>6.32</w:t>
            </w:r>
          </w:p>
        </w:tc>
        <w:tc>
          <w:tcPr>
            <w:tcW w:w="1190" w:type="dxa"/>
          </w:tcPr>
          <w:p>
            <w:pPr>
              <w:pStyle w:val="TableParagraph"/>
              <w:spacing w:before="30"/>
              <w:ind w:right="63"/>
              <w:rPr>
                <w:sz w:val="22"/>
              </w:rPr>
            </w:pPr>
            <w:r>
              <w:rPr>
                <w:sz w:val="22"/>
              </w:rPr>
              <w:t>6.75</w:t>
            </w:r>
          </w:p>
        </w:tc>
        <w:tc>
          <w:tcPr>
            <w:tcW w:w="617" w:type="dxa"/>
          </w:tcPr>
          <w:p>
            <w:pPr>
              <w:pStyle w:val="TableParagraph"/>
              <w:spacing w:before="30"/>
              <w:rPr>
                <w:sz w:val="22"/>
              </w:rPr>
            </w:pPr>
            <w:r>
              <w:rPr>
                <w:sz w:val="22"/>
              </w:rPr>
              <w:t>5.91</w:t>
            </w:r>
          </w:p>
        </w:tc>
        <w:tc>
          <w:tcPr>
            <w:tcW w:w="1190" w:type="dxa"/>
          </w:tcPr>
          <w:p>
            <w:pPr>
              <w:pStyle w:val="TableParagraph"/>
              <w:spacing w:before="30"/>
              <w:ind w:right="63"/>
              <w:rPr>
                <w:sz w:val="22"/>
              </w:rPr>
            </w:pPr>
            <w:r>
              <w:rPr>
                <w:sz w:val="22"/>
              </w:rPr>
              <w:t>5.01</w:t>
            </w:r>
          </w:p>
        </w:tc>
        <w:tc>
          <w:tcPr>
            <w:tcW w:w="1188" w:type="dxa"/>
          </w:tcPr>
          <w:p>
            <w:pPr>
              <w:pStyle w:val="TableParagraph"/>
              <w:spacing w:before="30"/>
              <w:rPr>
                <w:sz w:val="22"/>
              </w:rPr>
            </w:pPr>
            <w:r>
              <w:rPr>
                <w:sz w:val="22"/>
              </w:rPr>
              <w:t>5.48</w:t>
            </w:r>
          </w:p>
        </w:tc>
        <w:tc>
          <w:tcPr>
            <w:tcW w:w="1188" w:type="dxa"/>
          </w:tcPr>
          <w:p>
            <w:pPr>
              <w:pStyle w:val="TableParagraph"/>
              <w:spacing w:before="30"/>
              <w:rPr>
                <w:sz w:val="22"/>
              </w:rPr>
            </w:pPr>
            <w:r>
              <w:rPr>
                <w:sz w:val="22"/>
              </w:rPr>
              <w:t>0.23</w:t>
            </w:r>
          </w:p>
        </w:tc>
      </w:tr>
      <w:tr>
        <w:trPr>
          <w:trHeight w:val="312" w:hRule="exact"/>
        </w:trPr>
        <w:tc>
          <w:tcPr>
            <w:tcW w:w="660" w:type="dxa"/>
          </w:tcPr>
          <w:p>
            <w:pPr>
              <w:pStyle w:val="TableParagraph"/>
              <w:spacing w:before="30"/>
              <w:rPr>
                <w:sz w:val="22"/>
              </w:rPr>
            </w:pPr>
            <w:r>
              <w:rPr>
                <w:sz w:val="22"/>
              </w:rPr>
              <w:t>124</w:t>
            </w:r>
          </w:p>
        </w:tc>
        <w:tc>
          <w:tcPr>
            <w:tcW w:w="1682" w:type="dxa"/>
          </w:tcPr>
          <w:p>
            <w:pPr>
              <w:pStyle w:val="TableParagraph"/>
              <w:spacing w:before="30"/>
              <w:rPr>
                <w:sz w:val="22"/>
              </w:rPr>
            </w:pPr>
            <w:r>
              <w:rPr>
                <w:sz w:val="22"/>
              </w:rPr>
              <w:t>21/10/2009</w:t>
            </w:r>
          </w:p>
        </w:tc>
        <w:tc>
          <w:tcPr>
            <w:tcW w:w="1262" w:type="dxa"/>
          </w:tcPr>
          <w:p>
            <w:pPr>
              <w:pStyle w:val="TableParagraph"/>
              <w:spacing w:before="30"/>
              <w:rPr>
                <w:sz w:val="22"/>
              </w:rPr>
            </w:pPr>
            <w:r>
              <w:rPr>
                <w:sz w:val="22"/>
              </w:rPr>
              <w:t>6.75</w:t>
            </w:r>
          </w:p>
        </w:tc>
        <w:tc>
          <w:tcPr>
            <w:tcW w:w="1190" w:type="dxa"/>
          </w:tcPr>
          <w:p>
            <w:pPr>
              <w:pStyle w:val="TableParagraph"/>
              <w:spacing w:before="30"/>
              <w:ind w:right="63"/>
              <w:rPr>
                <w:sz w:val="22"/>
              </w:rPr>
            </w:pPr>
            <w:r>
              <w:rPr>
                <w:sz w:val="22"/>
              </w:rPr>
              <w:t>6.52</w:t>
            </w:r>
          </w:p>
        </w:tc>
        <w:tc>
          <w:tcPr>
            <w:tcW w:w="617" w:type="dxa"/>
          </w:tcPr>
          <w:p>
            <w:pPr>
              <w:pStyle w:val="TableParagraph"/>
              <w:spacing w:before="30"/>
              <w:rPr>
                <w:sz w:val="22"/>
              </w:rPr>
            </w:pPr>
            <w:r>
              <w:rPr>
                <w:sz w:val="22"/>
              </w:rPr>
              <w:t>5.67</w:t>
            </w:r>
          </w:p>
        </w:tc>
        <w:tc>
          <w:tcPr>
            <w:tcW w:w="1190" w:type="dxa"/>
          </w:tcPr>
          <w:p>
            <w:pPr>
              <w:pStyle w:val="TableParagraph"/>
              <w:spacing w:before="30"/>
              <w:ind w:right="63"/>
              <w:rPr>
                <w:sz w:val="22"/>
              </w:rPr>
            </w:pPr>
            <w:r>
              <w:rPr>
                <w:sz w:val="22"/>
              </w:rPr>
              <w:t>5.4</w:t>
            </w:r>
          </w:p>
        </w:tc>
        <w:tc>
          <w:tcPr>
            <w:tcW w:w="1188" w:type="dxa"/>
          </w:tcPr>
          <w:p>
            <w:pPr>
              <w:pStyle w:val="TableParagraph"/>
              <w:spacing w:before="30"/>
              <w:rPr>
                <w:sz w:val="22"/>
              </w:rPr>
            </w:pPr>
            <w:r>
              <w:rPr>
                <w:sz w:val="22"/>
              </w:rPr>
              <w:t>5.58</w:t>
            </w:r>
          </w:p>
        </w:tc>
        <w:tc>
          <w:tcPr>
            <w:tcW w:w="1188" w:type="dxa"/>
          </w:tcPr>
          <w:p>
            <w:pPr>
              <w:pStyle w:val="TableParagraph"/>
              <w:spacing w:before="30"/>
              <w:rPr>
                <w:sz w:val="22"/>
              </w:rPr>
            </w:pPr>
            <w:r>
              <w:rPr>
                <w:sz w:val="22"/>
              </w:rPr>
              <w:t>0.63</w:t>
            </w:r>
          </w:p>
        </w:tc>
      </w:tr>
      <w:tr>
        <w:trPr>
          <w:trHeight w:val="310" w:hRule="exact"/>
        </w:trPr>
        <w:tc>
          <w:tcPr>
            <w:tcW w:w="660" w:type="dxa"/>
          </w:tcPr>
          <w:p>
            <w:pPr>
              <w:pStyle w:val="TableParagraph"/>
              <w:rPr>
                <w:sz w:val="22"/>
              </w:rPr>
            </w:pPr>
            <w:r>
              <w:rPr>
                <w:sz w:val="22"/>
              </w:rPr>
              <w:t>125</w:t>
            </w:r>
          </w:p>
        </w:tc>
        <w:tc>
          <w:tcPr>
            <w:tcW w:w="1682" w:type="dxa"/>
          </w:tcPr>
          <w:p>
            <w:pPr>
              <w:pStyle w:val="TableParagraph"/>
              <w:rPr>
                <w:sz w:val="22"/>
              </w:rPr>
            </w:pPr>
            <w:r>
              <w:rPr>
                <w:sz w:val="22"/>
              </w:rPr>
              <w:t>22/10/2009</w:t>
            </w:r>
          </w:p>
        </w:tc>
        <w:tc>
          <w:tcPr>
            <w:tcW w:w="1262" w:type="dxa"/>
          </w:tcPr>
          <w:p>
            <w:pPr>
              <w:pStyle w:val="TableParagraph"/>
              <w:rPr>
                <w:sz w:val="22"/>
              </w:rPr>
            </w:pPr>
            <w:r>
              <w:rPr>
                <w:sz w:val="22"/>
              </w:rPr>
              <w:t>6.72</w:t>
            </w:r>
          </w:p>
        </w:tc>
        <w:tc>
          <w:tcPr>
            <w:tcW w:w="1190" w:type="dxa"/>
          </w:tcPr>
          <w:p>
            <w:pPr>
              <w:pStyle w:val="TableParagraph"/>
              <w:ind w:right="63"/>
              <w:rPr>
                <w:sz w:val="22"/>
              </w:rPr>
            </w:pPr>
            <w:r>
              <w:rPr>
                <w:sz w:val="22"/>
              </w:rPr>
              <w:t>6.99</w:t>
            </w:r>
          </w:p>
        </w:tc>
        <w:tc>
          <w:tcPr>
            <w:tcW w:w="617" w:type="dxa"/>
          </w:tcPr>
          <w:p>
            <w:pPr>
              <w:pStyle w:val="TableParagraph"/>
              <w:rPr>
                <w:sz w:val="22"/>
              </w:rPr>
            </w:pPr>
            <w:r>
              <w:rPr>
                <w:sz w:val="22"/>
              </w:rPr>
              <w:t>6.13</w:t>
            </w:r>
          </w:p>
        </w:tc>
        <w:tc>
          <w:tcPr>
            <w:tcW w:w="1190" w:type="dxa"/>
          </w:tcPr>
          <w:p>
            <w:pPr>
              <w:pStyle w:val="TableParagraph"/>
              <w:ind w:right="63"/>
              <w:rPr>
                <w:sz w:val="22"/>
              </w:rPr>
            </w:pPr>
            <w:r>
              <w:rPr>
                <w:sz w:val="22"/>
              </w:rPr>
              <w:t>5.51</w:t>
            </w:r>
          </w:p>
        </w:tc>
        <w:tc>
          <w:tcPr>
            <w:tcW w:w="1188" w:type="dxa"/>
          </w:tcPr>
          <w:p>
            <w:pPr>
              <w:pStyle w:val="TableParagraph"/>
              <w:rPr>
                <w:sz w:val="22"/>
              </w:rPr>
            </w:pPr>
            <w:r>
              <w:rPr>
                <w:sz w:val="22"/>
              </w:rPr>
              <w:t>5.41</w:t>
            </w:r>
          </w:p>
        </w:tc>
        <w:tc>
          <w:tcPr>
            <w:tcW w:w="1188" w:type="dxa"/>
          </w:tcPr>
          <w:p>
            <w:pPr>
              <w:pStyle w:val="TableParagraph"/>
              <w:rPr>
                <w:sz w:val="22"/>
              </w:rPr>
            </w:pPr>
            <w:r>
              <w:rPr>
                <w:sz w:val="22"/>
              </w:rPr>
              <w:t>0.57</w:t>
            </w:r>
          </w:p>
        </w:tc>
      </w:tr>
      <w:tr>
        <w:trPr>
          <w:trHeight w:val="310" w:hRule="exact"/>
        </w:trPr>
        <w:tc>
          <w:tcPr>
            <w:tcW w:w="660" w:type="dxa"/>
          </w:tcPr>
          <w:p>
            <w:pPr>
              <w:pStyle w:val="TableParagraph"/>
              <w:rPr>
                <w:sz w:val="22"/>
              </w:rPr>
            </w:pPr>
            <w:r>
              <w:rPr>
                <w:sz w:val="22"/>
              </w:rPr>
              <w:t>126</w:t>
            </w:r>
          </w:p>
        </w:tc>
        <w:tc>
          <w:tcPr>
            <w:tcW w:w="1682" w:type="dxa"/>
          </w:tcPr>
          <w:p>
            <w:pPr>
              <w:pStyle w:val="TableParagraph"/>
              <w:rPr>
                <w:sz w:val="22"/>
              </w:rPr>
            </w:pPr>
            <w:r>
              <w:rPr>
                <w:sz w:val="22"/>
              </w:rPr>
              <w:t>23/10/2009</w:t>
            </w:r>
          </w:p>
        </w:tc>
        <w:tc>
          <w:tcPr>
            <w:tcW w:w="1262" w:type="dxa"/>
          </w:tcPr>
          <w:p>
            <w:pPr>
              <w:pStyle w:val="TableParagraph"/>
              <w:rPr>
                <w:sz w:val="22"/>
              </w:rPr>
            </w:pPr>
            <w:r>
              <w:rPr>
                <w:sz w:val="22"/>
              </w:rPr>
              <w:t>6.54</w:t>
            </w:r>
          </w:p>
        </w:tc>
        <w:tc>
          <w:tcPr>
            <w:tcW w:w="1190" w:type="dxa"/>
          </w:tcPr>
          <w:p>
            <w:pPr>
              <w:pStyle w:val="TableParagraph"/>
              <w:ind w:right="63"/>
              <w:rPr>
                <w:sz w:val="22"/>
              </w:rPr>
            </w:pPr>
            <w:r>
              <w:rPr>
                <w:sz w:val="22"/>
              </w:rPr>
              <w:t>6.79</w:t>
            </w:r>
          </w:p>
        </w:tc>
        <w:tc>
          <w:tcPr>
            <w:tcW w:w="617" w:type="dxa"/>
          </w:tcPr>
          <w:p>
            <w:pPr>
              <w:pStyle w:val="TableParagraph"/>
              <w:rPr>
                <w:sz w:val="22"/>
              </w:rPr>
            </w:pPr>
            <w:r>
              <w:rPr>
                <w:sz w:val="22"/>
              </w:rPr>
              <w:t>5.38</w:t>
            </w:r>
          </w:p>
        </w:tc>
        <w:tc>
          <w:tcPr>
            <w:tcW w:w="1190" w:type="dxa"/>
          </w:tcPr>
          <w:p>
            <w:pPr>
              <w:pStyle w:val="TableParagraph"/>
              <w:ind w:right="63"/>
              <w:rPr>
                <w:sz w:val="22"/>
              </w:rPr>
            </w:pPr>
            <w:r>
              <w:rPr>
                <w:sz w:val="22"/>
              </w:rPr>
              <w:t>5.12</w:t>
            </w:r>
          </w:p>
        </w:tc>
        <w:tc>
          <w:tcPr>
            <w:tcW w:w="1188" w:type="dxa"/>
          </w:tcPr>
          <w:p>
            <w:pPr>
              <w:pStyle w:val="TableParagraph"/>
              <w:rPr>
                <w:sz w:val="22"/>
              </w:rPr>
            </w:pPr>
            <w:r>
              <w:rPr>
                <w:sz w:val="22"/>
              </w:rPr>
              <w:t>5.54</w:t>
            </w:r>
          </w:p>
        </w:tc>
        <w:tc>
          <w:tcPr>
            <w:tcW w:w="1188" w:type="dxa"/>
          </w:tcPr>
          <w:p>
            <w:pPr>
              <w:pStyle w:val="TableParagraph"/>
              <w:rPr>
                <w:sz w:val="22"/>
              </w:rPr>
            </w:pPr>
            <w:r>
              <w:rPr>
                <w:sz w:val="22"/>
              </w:rPr>
              <w:t>0.14</w:t>
            </w:r>
          </w:p>
        </w:tc>
      </w:tr>
      <w:tr>
        <w:trPr>
          <w:trHeight w:val="310" w:hRule="exact"/>
        </w:trPr>
        <w:tc>
          <w:tcPr>
            <w:tcW w:w="660" w:type="dxa"/>
          </w:tcPr>
          <w:p>
            <w:pPr>
              <w:pStyle w:val="TableParagraph"/>
              <w:rPr>
                <w:sz w:val="22"/>
              </w:rPr>
            </w:pPr>
            <w:r>
              <w:rPr>
                <w:sz w:val="22"/>
              </w:rPr>
              <w:t>127</w:t>
            </w:r>
          </w:p>
        </w:tc>
        <w:tc>
          <w:tcPr>
            <w:tcW w:w="1682" w:type="dxa"/>
          </w:tcPr>
          <w:p>
            <w:pPr>
              <w:pStyle w:val="TableParagraph"/>
              <w:rPr>
                <w:sz w:val="22"/>
              </w:rPr>
            </w:pPr>
            <w:r>
              <w:rPr>
                <w:sz w:val="22"/>
              </w:rPr>
              <w:t>24/10/2009</w:t>
            </w:r>
          </w:p>
        </w:tc>
        <w:tc>
          <w:tcPr>
            <w:tcW w:w="1262" w:type="dxa"/>
          </w:tcPr>
          <w:p>
            <w:pPr>
              <w:pStyle w:val="TableParagraph"/>
              <w:rPr>
                <w:sz w:val="22"/>
              </w:rPr>
            </w:pPr>
            <w:r>
              <w:rPr>
                <w:sz w:val="22"/>
              </w:rPr>
              <w:t>6.52</w:t>
            </w:r>
          </w:p>
        </w:tc>
        <w:tc>
          <w:tcPr>
            <w:tcW w:w="1190" w:type="dxa"/>
          </w:tcPr>
          <w:p>
            <w:pPr>
              <w:pStyle w:val="TableParagraph"/>
              <w:ind w:right="63"/>
              <w:rPr>
                <w:sz w:val="22"/>
              </w:rPr>
            </w:pPr>
            <w:r>
              <w:rPr>
                <w:sz w:val="22"/>
              </w:rPr>
              <w:t>6.75</w:t>
            </w:r>
          </w:p>
        </w:tc>
        <w:tc>
          <w:tcPr>
            <w:tcW w:w="617" w:type="dxa"/>
          </w:tcPr>
          <w:p>
            <w:pPr>
              <w:pStyle w:val="TableParagraph"/>
              <w:rPr>
                <w:sz w:val="22"/>
              </w:rPr>
            </w:pPr>
            <w:r>
              <w:rPr>
                <w:sz w:val="22"/>
              </w:rPr>
              <w:t>5.62</w:t>
            </w:r>
          </w:p>
        </w:tc>
        <w:tc>
          <w:tcPr>
            <w:tcW w:w="1190" w:type="dxa"/>
          </w:tcPr>
          <w:p>
            <w:pPr>
              <w:pStyle w:val="TableParagraph"/>
              <w:ind w:right="63"/>
              <w:rPr>
                <w:sz w:val="22"/>
              </w:rPr>
            </w:pPr>
            <w:r>
              <w:rPr>
                <w:sz w:val="22"/>
              </w:rPr>
              <w:t>5.16</w:t>
            </w:r>
          </w:p>
        </w:tc>
        <w:tc>
          <w:tcPr>
            <w:tcW w:w="1188" w:type="dxa"/>
          </w:tcPr>
          <w:p>
            <w:pPr>
              <w:pStyle w:val="TableParagraph"/>
              <w:rPr>
                <w:sz w:val="22"/>
              </w:rPr>
            </w:pPr>
            <w:r>
              <w:rPr>
                <w:sz w:val="22"/>
              </w:rPr>
              <w:t>5.78</w:t>
            </w:r>
          </w:p>
        </w:tc>
        <w:tc>
          <w:tcPr>
            <w:tcW w:w="1188" w:type="dxa"/>
          </w:tcPr>
          <w:p>
            <w:pPr>
              <w:pStyle w:val="TableParagraph"/>
              <w:rPr>
                <w:sz w:val="22"/>
              </w:rPr>
            </w:pPr>
            <w:r>
              <w:rPr>
                <w:sz w:val="22"/>
              </w:rPr>
              <w:t>0.96</w:t>
            </w:r>
          </w:p>
        </w:tc>
      </w:tr>
      <w:tr>
        <w:trPr>
          <w:trHeight w:val="310" w:hRule="exact"/>
        </w:trPr>
        <w:tc>
          <w:tcPr>
            <w:tcW w:w="660" w:type="dxa"/>
          </w:tcPr>
          <w:p>
            <w:pPr>
              <w:pStyle w:val="TableParagraph"/>
              <w:rPr>
                <w:sz w:val="22"/>
              </w:rPr>
            </w:pPr>
            <w:r>
              <w:rPr>
                <w:sz w:val="22"/>
              </w:rPr>
              <w:t>128</w:t>
            </w:r>
          </w:p>
        </w:tc>
        <w:tc>
          <w:tcPr>
            <w:tcW w:w="1682" w:type="dxa"/>
          </w:tcPr>
          <w:p>
            <w:pPr>
              <w:pStyle w:val="TableParagraph"/>
              <w:rPr>
                <w:sz w:val="22"/>
              </w:rPr>
            </w:pPr>
            <w:r>
              <w:rPr>
                <w:sz w:val="22"/>
              </w:rPr>
              <w:t>25/10/2009</w:t>
            </w:r>
          </w:p>
        </w:tc>
        <w:tc>
          <w:tcPr>
            <w:tcW w:w="1262" w:type="dxa"/>
          </w:tcPr>
          <w:p>
            <w:pPr>
              <w:pStyle w:val="TableParagraph"/>
              <w:rPr>
                <w:sz w:val="22"/>
              </w:rPr>
            </w:pPr>
            <w:r>
              <w:rPr>
                <w:sz w:val="22"/>
              </w:rPr>
              <w:t>6.55</w:t>
            </w:r>
          </w:p>
        </w:tc>
        <w:tc>
          <w:tcPr>
            <w:tcW w:w="1190" w:type="dxa"/>
          </w:tcPr>
          <w:p>
            <w:pPr>
              <w:pStyle w:val="TableParagraph"/>
              <w:ind w:right="63"/>
              <w:rPr>
                <w:sz w:val="22"/>
              </w:rPr>
            </w:pPr>
            <w:r>
              <w:rPr>
                <w:sz w:val="22"/>
              </w:rPr>
              <w:t>6.69</w:t>
            </w:r>
          </w:p>
        </w:tc>
        <w:tc>
          <w:tcPr>
            <w:tcW w:w="617" w:type="dxa"/>
          </w:tcPr>
          <w:p>
            <w:pPr>
              <w:pStyle w:val="TableParagraph"/>
              <w:rPr>
                <w:sz w:val="22"/>
              </w:rPr>
            </w:pPr>
            <w:r>
              <w:rPr>
                <w:sz w:val="22"/>
              </w:rPr>
              <w:t>5.14</w:t>
            </w:r>
          </w:p>
        </w:tc>
        <w:tc>
          <w:tcPr>
            <w:tcW w:w="1190" w:type="dxa"/>
          </w:tcPr>
          <w:p>
            <w:pPr>
              <w:pStyle w:val="TableParagraph"/>
              <w:ind w:right="63"/>
              <w:rPr>
                <w:sz w:val="22"/>
              </w:rPr>
            </w:pPr>
            <w:r>
              <w:rPr>
                <w:sz w:val="22"/>
              </w:rPr>
              <w:t>4.8</w:t>
            </w:r>
          </w:p>
        </w:tc>
        <w:tc>
          <w:tcPr>
            <w:tcW w:w="1188" w:type="dxa"/>
          </w:tcPr>
          <w:p>
            <w:pPr>
              <w:pStyle w:val="TableParagraph"/>
              <w:rPr>
                <w:sz w:val="22"/>
              </w:rPr>
            </w:pPr>
            <w:r>
              <w:rPr>
                <w:sz w:val="22"/>
              </w:rPr>
              <w:t>5.9</w:t>
            </w:r>
          </w:p>
        </w:tc>
        <w:tc>
          <w:tcPr>
            <w:tcW w:w="1188" w:type="dxa"/>
          </w:tcPr>
          <w:p>
            <w:pPr>
              <w:pStyle w:val="TableParagraph"/>
              <w:rPr>
                <w:sz w:val="22"/>
              </w:rPr>
            </w:pPr>
            <w:r>
              <w:rPr>
                <w:sz w:val="22"/>
              </w:rPr>
              <w:t>0.58</w:t>
            </w:r>
          </w:p>
        </w:tc>
      </w:tr>
      <w:tr>
        <w:trPr>
          <w:trHeight w:val="310" w:hRule="exact"/>
        </w:trPr>
        <w:tc>
          <w:tcPr>
            <w:tcW w:w="660" w:type="dxa"/>
          </w:tcPr>
          <w:p>
            <w:pPr>
              <w:pStyle w:val="TableParagraph"/>
              <w:spacing w:before="30"/>
              <w:rPr>
                <w:sz w:val="22"/>
              </w:rPr>
            </w:pPr>
            <w:r>
              <w:rPr>
                <w:sz w:val="22"/>
              </w:rPr>
              <w:t>129</w:t>
            </w:r>
          </w:p>
        </w:tc>
        <w:tc>
          <w:tcPr>
            <w:tcW w:w="1682" w:type="dxa"/>
          </w:tcPr>
          <w:p>
            <w:pPr>
              <w:pStyle w:val="TableParagraph"/>
              <w:spacing w:before="30"/>
              <w:rPr>
                <w:sz w:val="22"/>
              </w:rPr>
            </w:pPr>
            <w:r>
              <w:rPr>
                <w:sz w:val="22"/>
              </w:rPr>
              <w:t>26/10/2009</w:t>
            </w:r>
          </w:p>
        </w:tc>
        <w:tc>
          <w:tcPr>
            <w:tcW w:w="1262" w:type="dxa"/>
          </w:tcPr>
          <w:p>
            <w:pPr>
              <w:pStyle w:val="TableParagraph"/>
              <w:spacing w:before="30"/>
              <w:rPr>
                <w:sz w:val="22"/>
              </w:rPr>
            </w:pPr>
            <w:r>
              <w:rPr>
                <w:sz w:val="22"/>
              </w:rPr>
              <w:t>6.49</w:t>
            </w:r>
          </w:p>
        </w:tc>
        <w:tc>
          <w:tcPr>
            <w:tcW w:w="1190" w:type="dxa"/>
          </w:tcPr>
          <w:p>
            <w:pPr>
              <w:pStyle w:val="TableParagraph"/>
              <w:spacing w:before="30"/>
              <w:ind w:right="63"/>
              <w:rPr>
                <w:sz w:val="22"/>
              </w:rPr>
            </w:pPr>
            <w:r>
              <w:rPr>
                <w:sz w:val="22"/>
              </w:rPr>
              <w:t>6.68</w:t>
            </w:r>
          </w:p>
        </w:tc>
        <w:tc>
          <w:tcPr>
            <w:tcW w:w="617" w:type="dxa"/>
          </w:tcPr>
          <w:p>
            <w:pPr>
              <w:pStyle w:val="TableParagraph"/>
              <w:spacing w:before="30"/>
              <w:rPr>
                <w:sz w:val="22"/>
              </w:rPr>
            </w:pPr>
            <w:r>
              <w:rPr>
                <w:sz w:val="22"/>
              </w:rPr>
              <w:t>5.02</w:t>
            </w:r>
          </w:p>
        </w:tc>
        <w:tc>
          <w:tcPr>
            <w:tcW w:w="1190" w:type="dxa"/>
          </w:tcPr>
          <w:p>
            <w:pPr>
              <w:pStyle w:val="TableParagraph"/>
              <w:spacing w:before="30"/>
              <w:ind w:right="63"/>
              <w:rPr>
                <w:sz w:val="22"/>
              </w:rPr>
            </w:pPr>
            <w:r>
              <w:rPr>
                <w:sz w:val="22"/>
              </w:rPr>
              <w:t>4.45</w:t>
            </w:r>
          </w:p>
        </w:tc>
        <w:tc>
          <w:tcPr>
            <w:tcW w:w="1188" w:type="dxa"/>
          </w:tcPr>
          <w:p>
            <w:pPr>
              <w:pStyle w:val="TableParagraph"/>
              <w:spacing w:before="30"/>
              <w:rPr>
                <w:sz w:val="22"/>
              </w:rPr>
            </w:pPr>
            <w:r>
              <w:rPr>
                <w:sz w:val="22"/>
              </w:rPr>
              <w:t>5.58</w:t>
            </w:r>
          </w:p>
        </w:tc>
        <w:tc>
          <w:tcPr>
            <w:tcW w:w="1188" w:type="dxa"/>
          </w:tcPr>
          <w:p>
            <w:pPr>
              <w:pStyle w:val="TableParagraph"/>
              <w:spacing w:before="30"/>
              <w:rPr>
                <w:sz w:val="22"/>
              </w:rPr>
            </w:pPr>
            <w:r>
              <w:rPr>
                <w:sz w:val="22"/>
              </w:rPr>
              <w:t>0.83</w:t>
            </w:r>
          </w:p>
        </w:tc>
      </w:tr>
      <w:tr>
        <w:trPr>
          <w:trHeight w:val="312" w:hRule="exact"/>
        </w:trPr>
        <w:tc>
          <w:tcPr>
            <w:tcW w:w="660" w:type="dxa"/>
          </w:tcPr>
          <w:p>
            <w:pPr>
              <w:pStyle w:val="TableParagraph"/>
              <w:spacing w:before="30"/>
              <w:rPr>
                <w:sz w:val="22"/>
              </w:rPr>
            </w:pPr>
            <w:r>
              <w:rPr>
                <w:sz w:val="22"/>
              </w:rPr>
              <w:t>130</w:t>
            </w:r>
          </w:p>
        </w:tc>
        <w:tc>
          <w:tcPr>
            <w:tcW w:w="1682" w:type="dxa"/>
          </w:tcPr>
          <w:p>
            <w:pPr>
              <w:pStyle w:val="TableParagraph"/>
              <w:spacing w:before="30"/>
              <w:rPr>
                <w:sz w:val="22"/>
              </w:rPr>
            </w:pPr>
            <w:r>
              <w:rPr>
                <w:sz w:val="22"/>
              </w:rPr>
              <w:t>27/10/2009</w:t>
            </w:r>
          </w:p>
        </w:tc>
        <w:tc>
          <w:tcPr>
            <w:tcW w:w="1262" w:type="dxa"/>
          </w:tcPr>
          <w:p>
            <w:pPr>
              <w:pStyle w:val="TableParagraph"/>
              <w:spacing w:before="30"/>
              <w:rPr>
                <w:sz w:val="22"/>
              </w:rPr>
            </w:pPr>
            <w:r>
              <w:rPr>
                <w:sz w:val="22"/>
              </w:rPr>
              <w:t>6.5</w:t>
            </w:r>
          </w:p>
        </w:tc>
        <w:tc>
          <w:tcPr>
            <w:tcW w:w="1190" w:type="dxa"/>
          </w:tcPr>
          <w:p>
            <w:pPr>
              <w:pStyle w:val="TableParagraph"/>
              <w:spacing w:before="30"/>
              <w:ind w:right="63"/>
              <w:rPr>
                <w:sz w:val="22"/>
              </w:rPr>
            </w:pPr>
            <w:r>
              <w:rPr>
                <w:sz w:val="22"/>
              </w:rPr>
              <w:t>6.46</w:t>
            </w:r>
          </w:p>
        </w:tc>
        <w:tc>
          <w:tcPr>
            <w:tcW w:w="617" w:type="dxa"/>
          </w:tcPr>
          <w:p>
            <w:pPr>
              <w:pStyle w:val="TableParagraph"/>
              <w:spacing w:before="30"/>
              <w:rPr>
                <w:sz w:val="22"/>
              </w:rPr>
            </w:pPr>
            <w:r>
              <w:rPr>
                <w:sz w:val="22"/>
              </w:rPr>
              <w:t>4.96</w:t>
            </w:r>
          </w:p>
        </w:tc>
        <w:tc>
          <w:tcPr>
            <w:tcW w:w="1190" w:type="dxa"/>
          </w:tcPr>
          <w:p>
            <w:pPr>
              <w:pStyle w:val="TableParagraph"/>
              <w:spacing w:before="30"/>
              <w:ind w:right="63"/>
              <w:rPr>
                <w:sz w:val="22"/>
              </w:rPr>
            </w:pPr>
            <w:r>
              <w:rPr>
                <w:sz w:val="22"/>
              </w:rPr>
              <w:t>4.63</w:t>
            </w:r>
          </w:p>
        </w:tc>
        <w:tc>
          <w:tcPr>
            <w:tcW w:w="1188" w:type="dxa"/>
          </w:tcPr>
          <w:p>
            <w:pPr>
              <w:pStyle w:val="TableParagraph"/>
              <w:spacing w:before="30"/>
              <w:rPr>
                <w:sz w:val="22"/>
              </w:rPr>
            </w:pPr>
            <w:r>
              <w:rPr>
                <w:sz w:val="22"/>
              </w:rPr>
              <w:t>4.65</w:t>
            </w:r>
          </w:p>
        </w:tc>
        <w:tc>
          <w:tcPr>
            <w:tcW w:w="1188" w:type="dxa"/>
          </w:tcPr>
          <w:p>
            <w:pPr>
              <w:pStyle w:val="TableParagraph"/>
              <w:spacing w:before="30"/>
              <w:rPr>
                <w:sz w:val="22"/>
              </w:rPr>
            </w:pPr>
            <w:r>
              <w:rPr>
                <w:sz w:val="22"/>
              </w:rPr>
              <w:t>0.78</w:t>
            </w:r>
          </w:p>
        </w:tc>
      </w:tr>
      <w:tr>
        <w:trPr>
          <w:trHeight w:val="310" w:hRule="exact"/>
        </w:trPr>
        <w:tc>
          <w:tcPr>
            <w:tcW w:w="660" w:type="dxa"/>
          </w:tcPr>
          <w:p>
            <w:pPr>
              <w:pStyle w:val="TableParagraph"/>
              <w:rPr>
                <w:sz w:val="22"/>
              </w:rPr>
            </w:pPr>
            <w:r>
              <w:rPr>
                <w:sz w:val="22"/>
              </w:rPr>
              <w:t>131</w:t>
            </w:r>
          </w:p>
        </w:tc>
        <w:tc>
          <w:tcPr>
            <w:tcW w:w="1682" w:type="dxa"/>
          </w:tcPr>
          <w:p>
            <w:pPr>
              <w:pStyle w:val="TableParagraph"/>
              <w:rPr>
                <w:sz w:val="22"/>
              </w:rPr>
            </w:pPr>
            <w:r>
              <w:rPr>
                <w:sz w:val="22"/>
              </w:rPr>
              <w:t>28/10/2009</w:t>
            </w:r>
          </w:p>
        </w:tc>
        <w:tc>
          <w:tcPr>
            <w:tcW w:w="1262" w:type="dxa"/>
          </w:tcPr>
          <w:p>
            <w:pPr>
              <w:pStyle w:val="TableParagraph"/>
              <w:rPr>
                <w:sz w:val="22"/>
              </w:rPr>
            </w:pPr>
            <w:r>
              <w:rPr>
                <w:sz w:val="22"/>
              </w:rPr>
              <w:t>6.59</w:t>
            </w:r>
          </w:p>
        </w:tc>
        <w:tc>
          <w:tcPr>
            <w:tcW w:w="1190" w:type="dxa"/>
          </w:tcPr>
          <w:p>
            <w:pPr>
              <w:pStyle w:val="TableParagraph"/>
              <w:ind w:right="63"/>
              <w:rPr>
                <w:sz w:val="22"/>
              </w:rPr>
            </w:pPr>
            <w:r>
              <w:rPr>
                <w:sz w:val="22"/>
              </w:rPr>
              <w:t>6.83</w:t>
            </w:r>
          </w:p>
        </w:tc>
        <w:tc>
          <w:tcPr>
            <w:tcW w:w="617" w:type="dxa"/>
          </w:tcPr>
          <w:p>
            <w:pPr>
              <w:pStyle w:val="TableParagraph"/>
              <w:rPr>
                <w:sz w:val="22"/>
              </w:rPr>
            </w:pPr>
            <w:r>
              <w:rPr>
                <w:sz w:val="22"/>
              </w:rPr>
              <w:t>5.29</w:t>
            </w:r>
          </w:p>
        </w:tc>
        <w:tc>
          <w:tcPr>
            <w:tcW w:w="1190" w:type="dxa"/>
          </w:tcPr>
          <w:p>
            <w:pPr>
              <w:pStyle w:val="TableParagraph"/>
              <w:ind w:right="63"/>
              <w:rPr>
                <w:sz w:val="22"/>
              </w:rPr>
            </w:pPr>
            <w:r>
              <w:rPr>
                <w:sz w:val="22"/>
              </w:rPr>
              <w:t>4.95</w:t>
            </w:r>
          </w:p>
        </w:tc>
        <w:tc>
          <w:tcPr>
            <w:tcW w:w="1188" w:type="dxa"/>
          </w:tcPr>
          <w:p>
            <w:pPr>
              <w:pStyle w:val="TableParagraph"/>
              <w:rPr>
                <w:sz w:val="22"/>
              </w:rPr>
            </w:pPr>
            <w:r>
              <w:rPr>
                <w:sz w:val="22"/>
              </w:rPr>
              <w:t>4.69</w:t>
            </w:r>
          </w:p>
        </w:tc>
        <w:tc>
          <w:tcPr>
            <w:tcW w:w="1188" w:type="dxa"/>
          </w:tcPr>
          <w:p>
            <w:pPr>
              <w:pStyle w:val="TableParagraph"/>
              <w:rPr>
                <w:sz w:val="22"/>
              </w:rPr>
            </w:pPr>
            <w:r>
              <w:rPr>
                <w:sz w:val="22"/>
              </w:rPr>
              <w:t>0.48</w:t>
            </w:r>
          </w:p>
        </w:tc>
      </w:tr>
      <w:tr>
        <w:trPr>
          <w:trHeight w:val="310" w:hRule="exact"/>
        </w:trPr>
        <w:tc>
          <w:tcPr>
            <w:tcW w:w="660" w:type="dxa"/>
          </w:tcPr>
          <w:p>
            <w:pPr>
              <w:pStyle w:val="TableParagraph"/>
              <w:rPr>
                <w:sz w:val="22"/>
              </w:rPr>
            </w:pPr>
            <w:r>
              <w:rPr>
                <w:sz w:val="22"/>
              </w:rPr>
              <w:t>132</w:t>
            </w:r>
          </w:p>
        </w:tc>
        <w:tc>
          <w:tcPr>
            <w:tcW w:w="1682" w:type="dxa"/>
          </w:tcPr>
          <w:p>
            <w:pPr>
              <w:pStyle w:val="TableParagraph"/>
              <w:rPr>
                <w:sz w:val="22"/>
              </w:rPr>
            </w:pPr>
            <w:r>
              <w:rPr>
                <w:sz w:val="22"/>
              </w:rPr>
              <w:t>29/10/2009</w:t>
            </w:r>
          </w:p>
        </w:tc>
        <w:tc>
          <w:tcPr>
            <w:tcW w:w="1262" w:type="dxa"/>
          </w:tcPr>
          <w:p>
            <w:pPr>
              <w:pStyle w:val="TableParagraph"/>
              <w:rPr>
                <w:sz w:val="22"/>
              </w:rPr>
            </w:pPr>
            <w:r>
              <w:rPr>
                <w:sz w:val="22"/>
              </w:rPr>
              <w:t>6.56</w:t>
            </w:r>
          </w:p>
        </w:tc>
        <w:tc>
          <w:tcPr>
            <w:tcW w:w="1190" w:type="dxa"/>
          </w:tcPr>
          <w:p>
            <w:pPr>
              <w:pStyle w:val="TableParagraph"/>
              <w:ind w:right="63"/>
              <w:rPr>
                <w:sz w:val="22"/>
              </w:rPr>
            </w:pPr>
            <w:r>
              <w:rPr>
                <w:sz w:val="22"/>
              </w:rPr>
              <w:t>6.76</w:t>
            </w:r>
          </w:p>
        </w:tc>
        <w:tc>
          <w:tcPr>
            <w:tcW w:w="617" w:type="dxa"/>
          </w:tcPr>
          <w:p>
            <w:pPr>
              <w:pStyle w:val="TableParagraph"/>
              <w:rPr>
                <w:sz w:val="22"/>
              </w:rPr>
            </w:pPr>
            <w:r>
              <w:rPr>
                <w:sz w:val="22"/>
              </w:rPr>
              <w:t>4.66</w:t>
            </w:r>
          </w:p>
        </w:tc>
        <w:tc>
          <w:tcPr>
            <w:tcW w:w="1190" w:type="dxa"/>
          </w:tcPr>
          <w:p>
            <w:pPr>
              <w:pStyle w:val="TableParagraph"/>
              <w:ind w:right="63"/>
              <w:rPr>
                <w:sz w:val="22"/>
              </w:rPr>
            </w:pPr>
            <w:r>
              <w:rPr>
                <w:sz w:val="22"/>
              </w:rPr>
              <w:t>4.38</w:t>
            </w:r>
          </w:p>
        </w:tc>
        <w:tc>
          <w:tcPr>
            <w:tcW w:w="1188" w:type="dxa"/>
          </w:tcPr>
          <w:p>
            <w:pPr>
              <w:pStyle w:val="TableParagraph"/>
              <w:rPr>
                <w:sz w:val="22"/>
              </w:rPr>
            </w:pPr>
            <w:r>
              <w:rPr>
                <w:sz w:val="22"/>
              </w:rPr>
              <w:t>4.69</w:t>
            </w:r>
          </w:p>
        </w:tc>
        <w:tc>
          <w:tcPr>
            <w:tcW w:w="1188" w:type="dxa"/>
          </w:tcPr>
          <w:p>
            <w:pPr>
              <w:pStyle w:val="TableParagraph"/>
              <w:rPr>
                <w:sz w:val="22"/>
              </w:rPr>
            </w:pPr>
            <w:r>
              <w:rPr>
                <w:sz w:val="22"/>
              </w:rPr>
              <w:t>0.71</w:t>
            </w:r>
          </w:p>
        </w:tc>
      </w:tr>
      <w:tr>
        <w:trPr>
          <w:trHeight w:val="310" w:hRule="exact"/>
        </w:trPr>
        <w:tc>
          <w:tcPr>
            <w:tcW w:w="660" w:type="dxa"/>
          </w:tcPr>
          <w:p>
            <w:pPr>
              <w:pStyle w:val="TableParagraph"/>
              <w:rPr>
                <w:sz w:val="22"/>
              </w:rPr>
            </w:pPr>
            <w:r>
              <w:rPr>
                <w:sz w:val="22"/>
              </w:rPr>
              <w:t>133</w:t>
            </w:r>
          </w:p>
        </w:tc>
        <w:tc>
          <w:tcPr>
            <w:tcW w:w="1682" w:type="dxa"/>
          </w:tcPr>
          <w:p>
            <w:pPr>
              <w:pStyle w:val="TableParagraph"/>
              <w:rPr>
                <w:sz w:val="22"/>
              </w:rPr>
            </w:pPr>
            <w:r>
              <w:rPr>
                <w:sz w:val="22"/>
              </w:rPr>
              <w:t>30/10/2009</w:t>
            </w:r>
          </w:p>
        </w:tc>
        <w:tc>
          <w:tcPr>
            <w:tcW w:w="1262" w:type="dxa"/>
          </w:tcPr>
          <w:p>
            <w:pPr>
              <w:pStyle w:val="TableParagraph"/>
              <w:rPr>
                <w:sz w:val="22"/>
              </w:rPr>
            </w:pPr>
            <w:r>
              <w:rPr>
                <w:sz w:val="22"/>
              </w:rPr>
              <w:t>6.23</w:t>
            </w:r>
          </w:p>
        </w:tc>
        <w:tc>
          <w:tcPr>
            <w:tcW w:w="1190" w:type="dxa"/>
          </w:tcPr>
          <w:p>
            <w:pPr>
              <w:pStyle w:val="TableParagraph"/>
              <w:ind w:right="63"/>
              <w:rPr>
                <w:sz w:val="22"/>
              </w:rPr>
            </w:pPr>
            <w:r>
              <w:rPr>
                <w:sz w:val="22"/>
              </w:rPr>
              <w:t>6.53</w:t>
            </w:r>
          </w:p>
        </w:tc>
        <w:tc>
          <w:tcPr>
            <w:tcW w:w="617" w:type="dxa"/>
          </w:tcPr>
          <w:p>
            <w:pPr>
              <w:pStyle w:val="TableParagraph"/>
              <w:rPr>
                <w:sz w:val="22"/>
              </w:rPr>
            </w:pPr>
            <w:r>
              <w:rPr>
                <w:sz w:val="22"/>
              </w:rPr>
              <w:t>5.42</w:t>
            </w:r>
          </w:p>
        </w:tc>
        <w:tc>
          <w:tcPr>
            <w:tcW w:w="1190" w:type="dxa"/>
          </w:tcPr>
          <w:p>
            <w:pPr>
              <w:pStyle w:val="TableParagraph"/>
              <w:ind w:right="63"/>
              <w:rPr>
                <w:sz w:val="22"/>
              </w:rPr>
            </w:pPr>
            <w:r>
              <w:rPr>
                <w:sz w:val="22"/>
              </w:rPr>
              <w:t>4.96</w:t>
            </w:r>
          </w:p>
        </w:tc>
        <w:tc>
          <w:tcPr>
            <w:tcW w:w="1188" w:type="dxa"/>
          </w:tcPr>
          <w:p>
            <w:pPr>
              <w:pStyle w:val="TableParagraph"/>
              <w:rPr>
                <w:sz w:val="22"/>
              </w:rPr>
            </w:pPr>
            <w:r>
              <w:rPr>
                <w:sz w:val="22"/>
              </w:rPr>
              <w:t>4.08</w:t>
            </w:r>
          </w:p>
        </w:tc>
        <w:tc>
          <w:tcPr>
            <w:tcW w:w="1188" w:type="dxa"/>
          </w:tcPr>
          <w:p>
            <w:pPr>
              <w:pStyle w:val="TableParagraph"/>
              <w:rPr>
                <w:sz w:val="22"/>
              </w:rPr>
            </w:pPr>
            <w:r>
              <w:rPr>
                <w:sz w:val="22"/>
              </w:rPr>
              <w:t>1.36</w:t>
            </w:r>
          </w:p>
        </w:tc>
      </w:tr>
      <w:tr>
        <w:trPr>
          <w:trHeight w:val="310" w:hRule="exact"/>
        </w:trPr>
        <w:tc>
          <w:tcPr>
            <w:tcW w:w="660" w:type="dxa"/>
          </w:tcPr>
          <w:p>
            <w:pPr>
              <w:pStyle w:val="TableParagraph"/>
              <w:rPr>
                <w:sz w:val="22"/>
              </w:rPr>
            </w:pPr>
            <w:r>
              <w:rPr>
                <w:sz w:val="22"/>
              </w:rPr>
              <w:t>134</w:t>
            </w:r>
          </w:p>
        </w:tc>
        <w:tc>
          <w:tcPr>
            <w:tcW w:w="1682" w:type="dxa"/>
          </w:tcPr>
          <w:p>
            <w:pPr>
              <w:pStyle w:val="TableParagraph"/>
              <w:rPr>
                <w:sz w:val="22"/>
              </w:rPr>
            </w:pPr>
            <w:r>
              <w:rPr>
                <w:sz w:val="22"/>
              </w:rPr>
              <w:t>31/10/2009</w:t>
            </w:r>
          </w:p>
        </w:tc>
        <w:tc>
          <w:tcPr>
            <w:tcW w:w="1262" w:type="dxa"/>
          </w:tcPr>
          <w:p>
            <w:pPr>
              <w:pStyle w:val="TableParagraph"/>
              <w:rPr>
                <w:sz w:val="22"/>
              </w:rPr>
            </w:pPr>
            <w:r>
              <w:rPr>
                <w:sz w:val="22"/>
              </w:rPr>
              <w:t>6.58</w:t>
            </w:r>
          </w:p>
        </w:tc>
        <w:tc>
          <w:tcPr>
            <w:tcW w:w="1190" w:type="dxa"/>
          </w:tcPr>
          <w:p>
            <w:pPr>
              <w:pStyle w:val="TableParagraph"/>
              <w:ind w:right="63"/>
              <w:rPr>
                <w:sz w:val="22"/>
              </w:rPr>
            </w:pPr>
            <w:r>
              <w:rPr>
                <w:sz w:val="22"/>
              </w:rPr>
              <w:t>6.69</w:t>
            </w:r>
          </w:p>
        </w:tc>
        <w:tc>
          <w:tcPr>
            <w:tcW w:w="617" w:type="dxa"/>
          </w:tcPr>
          <w:p>
            <w:pPr>
              <w:pStyle w:val="TableParagraph"/>
              <w:rPr>
                <w:sz w:val="22"/>
              </w:rPr>
            </w:pPr>
            <w:r>
              <w:rPr>
                <w:sz w:val="22"/>
              </w:rPr>
              <w:t>4.27</w:t>
            </w:r>
          </w:p>
        </w:tc>
        <w:tc>
          <w:tcPr>
            <w:tcW w:w="1190" w:type="dxa"/>
          </w:tcPr>
          <w:p>
            <w:pPr>
              <w:pStyle w:val="TableParagraph"/>
              <w:ind w:right="63"/>
              <w:rPr>
                <w:sz w:val="22"/>
              </w:rPr>
            </w:pPr>
            <w:r>
              <w:rPr>
                <w:sz w:val="22"/>
              </w:rPr>
              <w:t>4.09</w:t>
            </w:r>
          </w:p>
        </w:tc>
        <w:tc>
          <w:tcPr>
            <w:tcW w:w="1188" w:type="dxa"/>
          </w:tcPr>
          <w:p>
            <w:pPr>
              <w:pStyle w:val="TableParagraph"/>
              <w:rPr>
                <w:sz w:val="22"/>
              </w:rPr>
            </w:pPr>
            <w:r>
              <w:rPr>
                <w:sz w:val="22"/>
              </w:rPr>
              <w:t>4.61</w:t>
            </w:r>
          </w:p>
        </w:tc>
        <w:tc>
          <w:tcPr>
            <w:tcW w:w="1188" w:type="dxa"/>
          </w:tcPr>
          <w:p>
            <w:pPr>
              <w:pStyle w:val="TableParagraph"/>
              <w:rPr>
                <w:sz w:val="22"/>
              </w:rPr>
            </w:pPr>
            <w:r>
              <w:rPr>
                <w:sz w:val="22"/>
              </w:rPr>
              <w:t>1.33</w:t>
            </w:r>
          </w:p>
        </w:tc>
      </w:tr>
      <w:tr>
        <w:trPr>
          <w:trHeight w:val="310" w:hRule="exact"/>
        </w:trPr>
        <w:tc>
          <w:tcPr>
            <w:tcW w:w="660" w:type="dxa"/>
          </w:tcPr>
          <w:p>
            <w:pPr>
              <w:pStyle w:val="TableParagraph"/>
              <w:spacing w:before="30"/>
              <w:rPr>
                <w:sz w:val="22"/>
              </w:rPr>
            </w:pPr>
            <w:r>
              <w:rPr>
                <w:sz w:val="22"/>
              </w:rPr>
              <w:t>135</w:t>
            </w:r>
          </w:p>
        </w:tc>
        <w:tc>
          <w:tcPr>
            <w:tcW w:w="1682" w:type="dxa"/>
          </w:tcPr>
          <w:p>
            <w:pPr>
              <w:pStyle w:val="TableParagraph"/>
              <w:spacing w:before="30"/>
              <w:rPr>
                <w:sz w:val="22"/>
              </w:rPr>
            </w:pPr>
            <w:r>
              <w:rPr>
                <w:sz w:val="22"/>
              </w:rPr>
              <w:t>01/11/2009</w:t>
            </w:r>
          </w:p>
        </w:tc>
        <w:tc>
          <w:tcPr>
            <w:tcW w:w="1262" w:type="dxa"/>
          </w:tcPr>
          <w:p>
            <w:pPr>
              <w:pStyle w:val="TableParagraph"/>
              <w:spacing w:before="30"/>
              <w:rPr>
                <w:sz w:val="22"/>
              </w:rPr>
            </w:pPr>
            <w:r>
              <w:rPr>
                <w:sz w:val="22"/>
              </w:rPr>
              <w:t>6.21</w:t>
            </w:r>
          </w:p>
        </w:tc>
        <w:tc>
          <w:tcPr>
            <w:tcW w:w="1190" w:type="dxa"/>
          </w:tcPr>
          <w:p>
            <w:pPr>
              <w:pStyle w:val="TableParagraph"/>
              <w:spacing w:before="30"/>
              <w:ind w:right="63"/>
              <w:rPr>
                <w:sz w:val="22"/>
              </w:rPr>
            </w:pPr>
            <w:r>
              <w:rPr>
                <w:sz w:val="22"/>
              </w:rPr>
              <w:t>6.66</w:t>
            </w:r>
          </w:p>
        </w:tc>
        <w:tc>
          <w:tcPr>
            <w:tcW w:w="617" w:type="dxa"/>
          </w:tcPr>
          <w:p>
            <w:pPr>
              <w:pStyle w:val="TableParagraph"/>
              <w:spacing w:before="30"/>
              <w:rPr>
                <w:sz w:val="22"/>
              </w:rPr>
            </w:pPr>
            <w:r>
              <w:rPr>
                <w:sz w:val="22"/>
              </w:rPr>
              <w:t>4.49</w:t>
            </w:r>
          </w:p>
        </w:tc>
        <w:tc>
          <w:tcPr>
            <w:tcW w:w="1190" w:type="dxa"/>
          </w:tcPr>
          <w:p>
            <w:pPr>
              <w:pStyle w:val="TableParagraph"/>
              <w:spacing w:before="30"/>
              <w:ind w:right="63"/>
              <w:rPr>
                <w:sz w:val="22"/>
              </w:rPr>
            </w:pPr>
            <w:r>
              <w:rPr>
                <w:sz w:val="22"/>
              </w:rPr>
              <w:t>3.81</w:t>
            </w:r>
          </w:p>
        </w:tc>
        <w:tc>
          <w:tcPr>
            <w:tcW w:w="1188" w:type="dxa"/>
          </w:tcPr>
          <w:p>
            <w:pPr>
              <w:pStyle w:val="TableParagraph"/>
              <w:spacing w:before="30"/>
              <w:rPr>
                <w:sz w:val="22"/>
              </w:rPr>
            </w:pPr>
            <w:r>
              <w:rPr>
                <w:sz w:val="22"/>
              </w:rPr>
              <w:t>4.34</w:t>
            </w:r>
          </w:p>
        </w:tc>
        <w:tc>
          <w:tcPr>
            <w:tcW w:w="1188" w:type="dxa"/>
          </w:tcPr>
          <w:p>
            <w:pPr>
              <w:pStyle w:val="TableParagraph"/>
              <w:spacing w:before="30"/>
              <w:rPr>
                <w:sz w:val="22"/>
              </w:rPr>
            </w:pPr>
            <w:r>
              <w:rPr>
                <w:sz w:val="22"/>
              </w:rPr>
              <w:t>0.28</w:t>
            </w:r>
          </w:p>
        </w:tc>
      </w:tr>
      <w:tr>
        <w:trPr>
          <w:trHeight w:val="312" w:hRule="exact"/>
        </w:trPr>
        <w:tc>
          <w:tcPr>
            <w:tcW w:w="660" w:type="dxa"/>
          </w:tcPr>
          <w:p>
            <w:pPr>
              <w:pStyle w:val="TableParagraph"/>
              <w:spacing w:before="30"/>
              <w:rPr>
                <w:sz w:val="22"/>
              </w:rPr>
            </w:pPr>
            <w:r>
              <w:rPr>
                <w:sz w:val="22"/>
              </w:rPr>
              <w:t>136</w:t>
            </w:r>
          </w:p>
        </w:tc>
        <w:tc>
          <w:tcPr>
            <w:tcW w:w="1682" w:type="dxa"/>
          </w:tcPr>
          <w:p>
            <w:pPr>
              <w:pStyle w:val="TableParagraph"/>
              <w:spacing w:before="30"/>
              <w:rPr>
                <w:sz w:val="22"/>
              </w:rPr>
            </w:pPr>
            <w:r>
              <w:rPr>
                <w:sz w:val="22"/>
              </w:rPr>
              <w:t>02/11/2009</w:t>
            </w:r>
          </w:p>
        </w:tc>
        <w:tc>
          <w:tcPr>
            <w:tcW w:w="1262" w:type="dxa"/>
          </w:tcPr>
          <w:p>
            <w:pPr>
              <w:pStyle w:val="TableParagraph"/>
              <w:spacing w:before="30"/>
              <w:rPr>
                <w:sz w:val="22"/>
              </w:rPr>
            </w:pPr>
            <w:r>
              <w:rPr>
                <w:sz w:val="22"/>
              </w:rPr>
              <w:t>7.28</w:t>
            </w:r>
          </w:p>
        </w:tc>
        <w:tc>
          <w:tcPr>
            <w:tcW w:w="1190" w:type="dxa"/>
          </w:tcPr>
          <w:p>
            <w:pPr>
              <w:pStyle w:val="TableParagraph"/>
              <w:spacing w:before="30"/>
              <w:ind w:right="63"/>
              <w:rPr>
                <w:sz w:val="22"/>
              </w:rPr>
            </w:pPr>
            <w:r>
              <w:rPr>
                <w:sz w:val="22"/>
              </w:rPr>
              <w:t>7.17</w:t>
            </w:r>
          </w:p>
        </w:tc>
        <w:tc>
          <w:tcPr>
            <w:tcW w:w="617" w:type="dxa"/>
          </w:tcPr>
          <w:p>
            <w:pPr>
              <w:pStyle w:val="TableParagraph"/>
              <w:spacing w:before="30"/>
              <w:rPr>
                <w:sz w:val="22"/>
              </w:rPr>
            </w:pPr>
            <w:r>
              <w:rPr>
                <w:sz w:val="22"/>
              </w:rPr>
              <w:t>7.18</w:t>
            </w:r>
          </w:p>
        </w:tc>
        <w:tc>
          <w:tcPr>
            <w:tcW w:w="1190" w:type="dxa"/>
          </w:tcPr>
          <w:p>
            <w:pPr>
              <w:pStyle w:val="TableParagraph"/>
              <w:spacing w:before="30"/>
              <w:ind w:right="63"/>
              <w:rPr>
                <w:sz w:val="22"/>
              </w:rPr>
            </w:pPr>
            <w:r>
              <w:rPr>
                <w:sz w:val="22"/>
              </w:rPr>
              <w:t>6.87</w:t>
            </w:r>
          </w:p>
        </w:tc>
        <w:tc>
          <w:tcPr>
            <w:tcW w:w="1188" w:type="dxa"/>
          </w:tcPr>
          <w:p>
            <w:pPr>
              <w:pStyle w:val="TableParagraph"/>
              <w:spacing w:before="30"/>
              <w:rPr>
                <w:sz w:val="22"/>
              </w:rPr>
            </w:pPr>
            <w:r>
              <w:rPr>
                <w:sz w:val="22"/>
              </w:rPr>
              <w:t>6.3</w:t>
            </w:r>
          </w:p>
        </w:tc>
        <w:tc>
          <w:tcPr>
            <w:tcW w:w="1188" w:type="dxa"/>
          </w:tcPr>
          <w:p>
            <w:pPr>
              <w:pStyle w:val="TableParagraph"/>
              <w:spacing w:before="30"/>
              <w:rPr>
                <w:sz w:val="22"/>
              </w:rPr>
            </w:pPr>
            <w:r>
              <w:rPr>
                <w:sz w:val="22"/>
              </w:rPr>
              <w:t>3.5</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2"/>
        <w:gridCol w:w="1262"/>
        <w:gridCol w:w="1190"/>
        <w:gridCol w:w="617"/>
        <w:gridCol w:w="1190"/>
        <w:gridCol w:w="1188"/>
        <w:gridCol w:w="1188"/>
      </w:tblGrid>
      <w:tr>
        <w:trPr>
          <w:trHeight w:val="310" w:hRule="exact"/>
        </w:trPr>
        <w:tc>
          <w:tcPr>
            <w:tcW w:w="8978" w:type="dxa"/>
            <w:gridSpan w:val="8"/>
            <w:shd w:val="clear" w:color="auto" w:fill="E6B9B8"/>
          </w:tcPr>
          <w:p>
            <w:pPr>
              <w:pStyle w:val="TableParagraph"/>
              <w:ind w:left="3629" w:right="3628"/>
              <w:jc w:val="center"/>
              <w:rPr>
                <w:b/>
                <w:sz w:val="22"/>
              </w:rPr>
            </w:pPr>
            <w:r>
              <w:rPr>
                <w:b/>
                <w:sz w:val="22"/>
              </w:rPr>
              <w:t>Oxigeno (mg/L)</w:t>
            </w:r>
          </w:p>
        </w:tc>
      </w:tr>
      <w:tr>
        <w:trPr>
          <w:trHeight w:val="610" w:hRule="exact"/>
        </w:trPr>
        <w:tc>
          <w:tcPr>
            <w:tcW w:w="660" w:type="dxa"/>
            <w:vMerge w:val="restart"/>
            <w:shd w:val="clear" w:color="auto" w:fill="E6B9B8"/>
          </w:tcPr>
          <w:p>
            <w:pPr>
              <w:pStyle w:val="TableParagraph"/>
              <w:spacing w:before="8"/>
              <w:ind w:right="0"/>
              <w:jc w:val="left"/>
              <w:rPr>
                <w:rFonts w:ascii="Times New Roman"/>
                <w:sz w:val="27"/>
              </w:rPr>
            </w:pPr>
          </w:p>
          <w:p>
            <w:pPr>
              <w:pStyle w:val="TableParagraph"/>
              <w:spacing w:before="0"/>
              <w:ind w:left="129" w:right="0"/>
              <w:jc w:val="left"/>
              <w:rPr>
                <w:b/>
                <w:sz w:val="22"/>
              </w:rPr>
            </w:pPr>
            <w:r>
              <w:rPr>
                <w:b/>
                <w:sz w:val="22"/>
              </w:rPr>
              <w:t>Días</w:t>
            </w:r>
          </w:p>
        </w:tc>
        <w:tc>
          <w:tcPr>
            <w:tcW w:w="1682" w:type="dxa"/>
            <w:vMerge w:val="restart"/>
            <w:shd w:val="clear" w:color="auto" w:fill="E6B9B8"/>
          </w:tcPr>
          <w:p>
            <w:pPr>
              <w:pStyle w:val="TableParagraph"/>
              <w:spacing w:before="8"/>
              <w:ind w:right="0"/>
              <w:jc w:val="left"/>
              <w:rPr>
                <w:rFonts w:ascii="Times New Roman"/>
                <w:sz w:val="27"/>
              </w:rPr>
            </w:pPr>
          </w:p>
          <w:p>
            <w:pPr>
              <w:pStyle w:val="TableParagraph"/>
              <w:spacing w:before="0"/>
              <w:ind w:left="551" w:right="551"/>
              <w:jc w:val="center"/>
              <w:rPr>
                <w:b/>
                <w:sz w:val="22"/>
              </w:rPr>
            </w:pPr>
            <w:r>
              <w:rPr>
                <w:b/>
                <w:sz w:val="22"/>
              </w:rPr>
              <w:t>Fecha</w:t>
            </w:r>
          </w:p>
        </w:tc>
        <w:tc>
          <w:tcPr>
            <w:tcW w:w="6636" w:type="dxa"/>
            <w:gridSpan w:val="6"/>
            <w:shd w:val="clear" w:color="auto" w:fill="E6B9B8"/>
          </w:tcPr>
          <w:p>
            <w:pPr>
              <w:pStyle w:val="TableParagraph"/>
              <w:spacing w:before="162"/>
              <w:ind w:left="2371" w:right="2372"/>
              <w:jc w:val="center"/>
              <w:rPr>
                <w:b/>
                <w:sz w:val="22"/>
              </w:rPr>
            </w:pPr>
            <w:r>
              <w:rPr>
                <w:b/>
                <w:sz w:val="22"/>
              </w:rPr>
              <w:t>Puntos de muestreo</w:t>
            </w:r>
          </w:p>
        </w:tc>
      </w:tr>
      <w:tr>
        <w:trPr>
          <w:trHeight w:val="310" w:hRule="exact"/>
        </w:trPr>
        <w:tc>
          <w:tcPr>
            <w:tcW w:w="660" w:type="dxa"/>
            <w:vMerge/>
            <w:shd w:val="clear" w:color="auto" w:fill="E6B9B8"/>
          </w:tcPr>
          <w:p>
            <w:pPr/>
          </w:p>
        </w:tc>
        <w:tc>
          <w:tcPr>
            <w:tcW w:w="1682" w:type="dxa"/>
            <w:vMerge/>
            <w:shd w:val="clear" w:color="auto" w:fill="E6B9B8"/>
          </w:tcPr>
          <w:p>
            <w:pPr/>
          </w:p>
        </w:tc>
        <w:tc>
          <w:tcPr>
            <w:tcW w:w="1262" w:type="dxa"/>
            <w:shd w:val="clear" w:color="auto" w:fill="E6B9B8"/>
          </w:tcPr>
          <w:p>
            <w:pPr>
              <w:pStyle w:val="TableParagraph"/>
              <w:spacing w:before="13"/>
              <w:ind w:right="0"/>
              <w:jc w:val="center"/>
              <w:rPr>
                <w:b/>
                <w:sz w:val="22"/>
              </w:rPr>
            </w:pPr>
            <w:r>
              <w:rPr>
                <w:b/>
                <w:w w:val="100"/>
                <w:sz w:val="22"/>
              </w:rPr>
              <w:t>A</w:t>
            </w:r>
          </w:p>
        </w:tc>
        <w:tc>
          <w:tcPr>
            <w:tcW w:w="1190" w:type="dxa"/>
            <w:shd w:val="clear" w:color="auto" w:fill="E6B9B8"/>
          </w:tcPr>
          <w:p>
            <w:pPr>
              <w:pStyle w:val="TableParagraph"/>
              <w:spacing w:before="13"/>
              <w:ind w:right="1"/>
              <w:jc w:val="center"/>
              <w:rPr>
                <w:b/>
                <w:sz w:val="22"/>
              </w:rPr>
            </w:pPr>
            <w:r>
              <w:rPr>
                <w:b/>
                <w:w w:val="100"/>
                <w:sz w:val="22"/>
              </w:rPr>
              <w:t>B</w:t>
            </w:r>
          </w:p>
        </w:tc>
        <w:tc>
          <w:tcPr>
            <w:tcW w:w="617" w:type="dxa"/>
            <w:shd w:val="clear" w:color="auto" w:fill="E6B9B8"/>
          </w:tcPr>
          <w:p>
            <w:pPr>
              <w:pStyle w:val="TableParagraph"/>
              <w:spacing w:before="30"/>
              <w:ind w:right="0"/>
              <w:jc w:val="center"/>
              <w:rPr>
                <w:b/>
                <w:sz w:val="22"/>
              </w:rPr>
            </w:pPr>
            <w:r>
              <w:rPr>
                <w:b/>
                <w:w w:val="100"/>
                <w:sz w:val="22"/>
              </w:rPr>
              <w:t>C</w:t>
            </w:r>
          </w:p>
        </w:tc>
        <w:tc>
          <w:tcPr>
            <w:tcW w:w="1190" w:type="dxa"/>
            <w:shd w:val="clear" w:color="auto" w:fill="E6B9B8"/>
          </w:tcPr>
          <w:p>
            <w:pPr>
              <w:pStyle w:val="TableParagraph"/>
              <w:spacing w:before="13"/>
              <w:ind w:right="3"/>
              <w:jc w:val="center"/>
              <w:rPr>
                <w:b/>
                <w:sz w:val="22"/>
              </w:rPr>
            </w:pPr>
            <w:r>
              <w:rPr>
                <w:b/>
                <w:w w:val="100"/>
                <w:sz w:val="22"/>
              </w:rPr>
              <w:t>D</w:t>
            </w:r>
          </w:p>
        </w:tc>
        <w:tc>
          <w:tcPr>
            <w:tcW w:w="1188" w:type="dxa"/>
            <w:shd w:val="clear" w:color="auto" w:fill="E6B9B8"/>
          </w:tcPr>
          <w:p>
            <w:pPr>
              <w:pStyle w:val="TableParagraph"/>
              <w:spacing w:before="13"/>
              <w:ind w:right="0"/>
              <w:jc w:val="center"/>
              <w:rPr>
                <w:b/>
                <w:sz w:val="22"/>
              </w:rPr>
            </w:pPr>
            <w:r>
              <w:rPr>
                <w:b/>
                <w:w w:val="100"/>
                <w:sz w:val="22"/>
              </w:rPr>
              <w:t>E</w:t>
            </w:r>
          </w:p>
        </w:tc>
        <w:tc>
          <w:tcPr>
            <w:tcW w:w="1188" w:type="dxa"/>
            <w:shd w:val="clear" w:color="auto" w:fill="E6B9B8"/>
          </w:tcPr>
          <w:p>
            <w:pPr>
              <w:pStyle w:val="TableParagraph"/>
              <w:spacing w:before="13"/>
              <w:ind w:right="1"/>
              <w:jc w:val="center"/>
              <w:rPr>
                <w:b/>
                <w:sz w:val="22"/>
              </w:rPr>
            </w:pPr>
            <w:r>
              <w:rPr>
                <w:b/>
                <w:w w:val="100"/>
                <w:sz w:val="22"/>
              </w:rPr>
              <w:t>G</w:t>
            </w:r>
          </w:p>
        </w:tc>
      </w:tr>
      <w:tr>
        <w:trPr>
          <w:trHeight w:val="312" w:hRule="exact"/>
        </w:trPr>
        <w:tc>
          <w:tcPr>
            <w:tcW w:w="660" w:type="dxa"/>
          </w:tcPr>
          <w:p>
            <w:pPr>
              <w:pStyle w:val="TableParagraph"/>
              <w:spacing w:before="30"/>
              <w:rPr>
                <w:sz w:val="22"/>
              </w:rPr>
            </w:pPr>
            <w:r>
              <w:rPr>
                <w:sz w:val="22"/>
              </w:rPr>
              <w:t>137</w:t>
            </w:r>
          </w:p>
        </w:tc>
        <w:tc>
          <w:tcPr>
            <w:tcW w:w="1682" w:type="dxa"/>
          </w:tcPr>
          <w:p>
            <w:pPr>
              <w:pStyle w:val="TableParagraph"/>
              <w:spacing w:before="30"/>
              <w:rPr>
                <w:sz w:val="22"/>
              </w:rPr>
            </w:pPr>
            <w:r>
              <w:rPr>
                <w:sz w:val="22"/>
              </w:rPr>
              <w:t>03/11/2009</w:t>
            </w:r>
          </w:p>
        </w:tc>
        <w:tc>
          <w:tcPr>
            <w:tcW w:w="1262" w:type="dxa"/>
          </w:tcPr>
          <w:p>
            <w:pPr>
              <w:pStyle w:val="TableParagraph"/>
              <w:spacing w:before="30"/>
              <w:rPr>
                <w:sz w:val="22"/>
              </w:rPr>
            </w:pPr>
            <w:r>
              <w:rPr>
                <w:sz w:val="22"/>
              </w:rPr>
              <w:t>6.72</w:t>
            </w:r>
          </w:p>
        </w:tc>
        <w:tc>
          <w:tcPr>
            <w:tcW w:w="1190" w:type="dxa"/>
          </w:tcPr>
          <w:p>
            <w:pPr>
              <w:pStyle w:val="TableParagraph"/>
              <w:spacing w:before="30"/>
              <w:ind w:right="63"/>
              <w:rPr>
                <w:sz w:val="22"/>
              </w:rPr>
            </w:pPr>
            <w:r>
              <w:rPr>
                <w:sz w:val="22"/>
              </w:rPr>
              <w:t>6.89</w:t>
            </w:r>
          </w:p>
        </w:tc>
        <w:tc>
          <w:tcPr>
            <w:tcW w:w="617" w:type="dxa"/>
          </w:tcPr>
          <w:p>
            <w:pPr>
              <w:pStyle w:val="TableParagraph"/>
              <w:spacing w:before="30"/>
              <w:ind w:left="132" w:right="45"/>
              <w:jc w:val="center"/>
              <w:rPr>
                <w:sz w:val="22"/>
              </w:rPr>
            </w:pPr>
            <w:r>
              <w:rPr>
                <w:sz w:val="22"/>
              </w:rPr>
              <w:t>4.85</w:t>
            </w:r>
          </w:p>
        </w:tc>
        <w:tc>
          <w:tcPr>
            <w:tcW w:w="1190" w:type="dxa"/>
          </w:tcPr>
          <w:p>
            <w:pPr>
              <w:pStyle w:val="TableParagraph"/>
              <w:spacing w:before="30"/>
              <w:ind w:right="63"/>
              <w:rPr>
                <w:sz w:val="22"/>
              </w:rPr>
            </w:pPr>
            <w:r>
              <w:rPr>
                <w:sz w:val="22"/>
              </w:rPr>
              <w:t>4.22</w:t>
            </w:r>
          </w:p>
        </w:tc>
        <w:tc>
          <w:tcPr>
            <w:tcW w:w="1188" w:type="dxa"/>
          </w:tcPr>
          <w:p>
            <w:pPr>
              <w:pStyle w:val="TableParagraph"/>
              <w:spacing w:before="30"/>
              <w:rPr>
                <w:sz w:val="22"/>
              </w:rPr>
            </w:pPr>
            <w:r>
              <w:rPr>
                <w:sz w:val="22"/>
              </w:rPr>
              <w:t>4.98</w:t>
            </w:r>
          </w:p>
        </w:tc>
        <w:tc>
          <w:tcPr>
            <w:tcW w:w="1188" w:type="dxa"/>
          </w:tcPr>
          <w:p>
            <w:pPr>
              <w:pStyle w:val="TableParagraph"/>
              <w:spacing w:before="30"/>
              <w:rPr>
                <w:sz w:val="22"/>
              </w:rPr>
            </w:pPr>
            <w:r>
              <w:rPr>
                <w:sz w:val="22"/>
              </w:rPr>
              <w:t>1.43</w:t>
            </w:r>
          </w:p>
        </w:tc>
      </w:tr>
      <w:tr>
        <w:trPr>
          <w:trHeight w:val="310" w:hRule="exact"/>
        </w:trPr>
        <w:tc>
          <w:tcPr>
            <w:tcW w:w="660" w:type="dxa"/>
          </w:tcPr>
          <w:p>
            <w:pPr>
              <w:pStyle w:val="TableParagraph"/>
              <w:rPr>
                <w:sz w:val="22"/>
              </w:rPr>
            </w:pPr>
            <w:r>
              <w:rPr>
                <w:sz w:val="22"/>
              </w:rPr>
              <w:t>138</w:t>
            </w:r>
          </w:p>
        </w:tc>
        <w:tc>
          <w:tcPr>
            <w:tcW w:w="1682" w:type="dxa"/>
          </w:tcPr>
          <w:p>
            <w:pPr>
              <w:pStyle w:val="TableParagraph"/>
              <w:rPr>
                <w:sz w:val="22"/>
              </w:rPr>
            </w:pPr>
            <w:r>
              <w:rPr>
                <w:sz w:val="22"/>
              </w:rPr>
              <w:t>04/11/2009</w:t>
            </w:r>
          </w:p>
        </w:tc>
        <w:tc>
          <w:tcPr>
            <w:tcW w:w="1262" w:type="dxa"/>
          </w:tcPr>
          <w:p>
            <w:pPr>
              <w:pStyle w:val="TableParagraph"/>
              <w:rPr>
                <w:sz w:val="22"/>
              </w:rPr>
            </w:pPr>
            <w:r>
              <w:rPr>
                <w:sz w:val="22"/>
              </w:rPr>
              <w:t>6.83</w:t>
            </w:r>
          </w:p>
        </w:tc>
        <w:tc>
          <w:tcPr>
            <w:tcW w:w="1190" w:type="dxa"/>
          </w:tcPr>
          <w:p>
            <w:pPr>
              <w:pStyle w:val="TableParagraph"/>
              <w:ind w:right="63"/>
              <w:rPr>
                <w:sz w:val="22"/>
              </w:rPr>
            </w:pPr>
            <w:r>
              <w:rPr>
                <w:sz w:val="22"/>
              </w:rPr>
              <w:t>6.68</w:t>
            </w:r>
          </w:p>
        </w:tc>
        <w:tc>
          <w:tcPr>
            <w:tcW w:w="617" w:type="dxa"/>
          </w:tcPr>
          <w:p>
            <w:pPr>
              <w:pStyle w:val="TableParagraph"/>
              <w:ind w:left="132" w:right="45"/>
              <w:jc w:val="center"/>
              <w:rPr>
                <w:sz w:val="22"/>
              </w:rPr>
            </w:pPr>
            <w:r>
              <w:rPr>
                <w:sz w:val="22"/>
              </w:rPr>
              <w:t>5.23</w:t>
            </w:r>
          </w:p>
        </w:tc>
        <w:tc>
          <w:tcPr>
            <w:tcW w:w="1190" w:type="dxa"/>
          </w:tcPr>
          <w:p>
            <w:pPr>
              <w:pStyle w:val="TableParagraph"/>
              <w:ind w:right="63"/>
              <w:rPr>
                <w:sz w:val="22"/>
              </w:rPr>
            </w:pPr>
            <w:r>
              <w:rPr>
                <w:sz w:val="22"/>
              </w:rPr>
              <w:t>4.88</w:t>
            </w:r>
          </w:p>
        </w:tc>
        <w:tc>
          <w:tcPr>
            <w:tcW w:w="1188" w:type="dxa"/>
          </w:tcPr>
          <w:p>
            <w:pPr>
              <w:pStyle w:val="TableParagraph"/>
              <w:rPr>
                <w:sz w:val="22"/>
              </w:rPr>
            </w:pPr>
            <w:r>
              <w:rPr>
                <w:sz w:val="22"/>
              </w:rPr>
              <w:t>5.14</w:t>
            </w:r>
          </w:p>
        </w:tc>
        <w:tc>
          <w:tcPr>
            <w:tcW w:w="1188" w:type="dxa"/>
          </w:tcPr>
          <w:p>
            <w:pPr>
              <w:pStyle w:val="TableParagraph"/>
              <w:rPr>
                <w:sz w:val="22"/>
              </w:rPr>
            </w:pPr>
            <w:r>
              <w:rPr>
                <w:sz w:val="22"/>
              </w:rPr>
              <w:t>0.97</w:t>
            </w:r>
          </w:p>
        </w:tc>
      </w:tr>
      <w:tr>
        <w:trPr>
          <w:trHeight w:val="310" w:hRule="exact"/>
        </w:trPr>
        <w:tc>
          <w:tcPr>
            <w:tcW w:w="660" w:type="dxa"/>
          </w:tcPr>
          <w:p>
            <w:pPr>
              <w:pStyle w:val="TableParagraph"/>
              <w:rPr>
                <w:sz w:val="22"/>
              </w:rPr>
            </w:pPr>
            <w:r>
              <w:rPr>
                <w:sz w:val="22"/>
              </w:rPr>
              <w:t>139</w:t>
            </w:r>
          </w:p>
        </w:tc>
        <w:tc>
          <w:tcPr>
            <w:tcW w:w="1682" w:type="dxa"/>
          </w:tcPr>
          <w:p>
            <w:pPr>
              <w:pStyle w:val="TableParagraph"/>
              <w:rPr>
                <w:sz w:val="22"/>
              </w:rPr>
            </w:pPr>
            <w:r>
              <w:rPr>
                <w:sz w:val="22"/>
              </w:rPr>
              <w:t>05/11/2009</w:t>
            </w:r>
          </w:p>
        </w:tc>
        <w:tc>
          <w:tcPr>
            <w:tcW w:w="1262" w:type="dxa"/>
          </w:tcPr>
          <w:p>
            <w:pPr>
              <w:pStyle w:val="TableParagraph"/>
              <w:rPr>
                <w:sz w:val="22"/>
              </w:rPr>
            </w:pPr>
            <w:r>
              <w:rPr>
                <w:sz w:val="22"/>
              </w:rPr>
              <w:t>6.65</w:t>
            </w:r>
          </w:p>
        </w:tc>
        <w:tc>
          <w:tcPr>
            <w:tcW w:w="1190" w:type="dxa"/>
          </w:tcPr>
          <w:p>
            <w:pPr>
              <w:pStyle w:val="TableParagraph"/>
              <w:ind w:right="63"/>
              <w:rPr>
                <w:sz w:val="22"/>
              </w:rPr>
            </w:pPr>
            <w:r>
              <w:rPr>
                <w:sz w:val="22"/>
              </w:rPr>
              <w:t>6.9</w:t>
            </w:r>
          </w:p>
        </w:tc>
        <w:tc>
          <w:tcPr>
            <w:tcW w:w="617" w:type="dxa"/>
          </w:tcPr>
          <w:p>
            <w:pPr>
              <w:pStyle w:val="TableParagraph"/>
              <w:ind w:left="132" w:right="45"/>
              <w:jc w:val="center"/>
              <w:rPr>
                <w:sz w:val="22"/>
              </w:rPr>
            </w:pPr>
            <w:r>
              <w:rPr>
                <w:sz w:val="22"/>
              </w:rPr>
              <w:t>5.59</w:t>
            </w:r>
          </w:p>
        </w:tc>
        <w:tc>
          <w:tcPr>
            <w:tcW w:w="1190" w:type="dxa"/>
          </w:tcPr>
          <w:p>
            <w:pPr>
              <w:pStyle w:val="TableParagraph"/>
              <w:ind w:right="63"/>
              <w:rPr>
                <w:sz w:val="22"/>
              </w:rPr>
            </w:pPr>
            <w:r>
              <w:rPr>
                <w:sz w:val="22"/>
              </w:rPr>
              <w:t>4.35</w:t>
            </w:r>
          </w:p>
        </w:tc>
        <w:tc>
          <w:tcPr>
            <w:tcW w:w="1188" w:type="dxa"/>
          </w:tcPr>
          <w:p>
            <w:pPr>
              <w:pStyle w:val="TableParagraph"/>
              <w:rPr>
                <w:sz w:val="22"/>
              </w:rPr>
            </w:pPr>
            <w:r>
              <w:rPr>
                <w:sz w:val="22"/>
              </w:rPr>
              <w:t>4.32</w:t>
            </w:r>
          </w:p>
        </w:tc>
        <w:tc>
          <w:tcPr>
            <w:tcW w:w="1188" w:type="dxa"/>
          </w:tcPr>
          <w:p>
            <w:pPr>
              <w:pStyle w:val="TableParagraph"/>
              <w:rPr>
                <w:sz w:val="22"/>
              </w:rPr>
            </w:pPr>
            <w:r>
              <w:rPr>
                <w:sz w:val="22"/>
              </w:rPr>
              <w:t>0.79</w:t>
            </w:r>
          </w:p>
        </w:tc>
      </w:tr>
      <w:tr>
        <w:trPr>
          <w:trHeight w:val="310" w:hRule="exact"/>
        </w:trPr>
        <w:tc>
          <w:tcPr>
            <w:tcW w:w="660" w:type="dxa"/>
          </w:tcPr>
          <w:p>
            <w:pPr>
              <w:pStyle w:val="TableParagraph"/>
              <w:rPr>
                <w:sz w:val="22"/>
              </w:rPr>
            </w:pPr>
            <w:r>
              <w:rPr>
                <w:sz w:val="22"/>
              </w:rPr>
              <w:t>140</w:t>
            </w:r>
          </w:p>
        </w:tc>
        <w:tc>
          <w:tcPr>
            <w:tcW w:w="1682" w:type="dxa"/>
          </w:tcPr>
          <w:p>
            <w:pPr>
              <w:pStyle w:val="TableParagraph"/>
              <w:rPr>
                <w:sz w:val="22"/>
              </w:rPr>
            </w:pPr>
            <w:r>
              <w:rPr>
                <w:sz w:val="22"/>
              </w:rPr>
              <w:t>06/11/2009</w:t>
            </w:r>
          </w:p>
        </w:tc>
        <w:tc>
          <w:tcPr>
            <w:tcW w:w="1262" w:type="dxa"/>
          </w:tcPr>
          <w:p>
            <w:pPr>
              <w:pStyle w:val="TableParagraph"/>
              <w:rPr>
                <w:sz w:val="22"/>
              </w:rPr>
            </w:pPr>
            <w:r>
              <w:rPr>
                <w:sz w:val="22"/>
              </w:rPr>
              <w:t>6.69</w:t>
            </w:r>
          </w:p>
        </w:tc>
        <w:tc>
          <w:tcPr>
            <w:tcW w:w="1190" w:type="dxa"/>
          </w:tcPr>
          <w:p>
            <w:pPr>
              <w:pStyle w:val="TableParagraph"/>
              <w:ind w:right="63"/>
              <w:rPr>
                <w:sz w:val="22"/>
              </w:rPr>
            </w:pPr>
            <w:r>
              <w:rPr>
                <w:sz w:val="22"/>
              </w:rPr>
              <w:t>6.58</w:t>
            </w:r>
          </w:p>
        </w:tc>
        <w:tc>
          <w:tcPr>
            <w:tcW w:w="617" w:type="dxa"/>
          </w:tcPr>
          <w:p>
            <w:pPr>
              <w:pStyle w:val="TableParagraph"/>
              <w:ind w:left="132" w:right="45"/>
              <w:jc w:val="center"/>
              <w:rPr>
                <w:sz w:val="22"/>
              </w:rPr>
            </w:pPr>
            <w:r>
              <w:rPr>
                <w:sz w:val="22"/>
              </w:rPr>
              <w:t>5.23</w:t>
            </w:r>
          </w:p>
        </w:tc>
        <w:tc>
          <w:tcPr>
            <w:tcW w:w="1190" w:type="dxa"/>
          </w:tcPr>
          <w:p>
            <w:pPr>
              <w:pStyle w:val="TableParagraph"/>
              <w:ind w:right="63"/>
              <w:rPr>
                <w:sz w:val="22"/>
              </w:rPr>
            </w:pPr>
            <w:r>
              <w:rPr>
                <w:sz w:val="22"/>
              </w:rPr>
              <w:t>4.48</w:t>
            </w:r>
          </w:p>
        </w:tc>
        <w:tc>
          <w:tcPr>
            <w:tcW w:w="1188" w:type="dxa"/>
          </w:tcPr>
          <w:p>
            <w:pPr>
              <w:pStyle w:val="TableParagraph"/>
              <w:rPr>
                <w:sz w:val="22"/>
              </w:rPr>
            </w:pPr>
            <w:r>
              <w:rPr>
                <w:sz w:val="22"/>
              </w:rPr>
              <w:t>4.58</w:t>
            </w:r>
          </w:p>
        </w:tc>
        <w:tc>
          <w:tcPr>
            <w:tcW w:w="1188" w:type="dxa"/>
          </w:tcPr>
          <w:p>
            <w:pPr>
              <w:pStyle w:val="TableParagraph"/>
              <w:rPr>
                <w:sz w:val="22"/>
              </w:rPr>
            </w:pPr>
            <w:r>
              <w:rPr>
                <w:sz w:val="22"/>
              </w:rPr>
              <w:t>0.93</w:t>
            </w:r>
          </w:p>
        </w:tc>
      </w:tr>
      <w:tr>
        <w:trPr>
          <w:trHeight w:val="310" w:hRule="exact"/>
        </w:trPr>
        <w:tc>
          <w:tcPr>
            <w:tcW w:w="660" w:type="dxa"/>
          </w:tcPr>
          <w:p>
            <w:pPr>
              <w:pStyle w:val="TableParagraph"/>
              <w:rPr>
                <w:sz w:val="22"/>
              </w:rPr>
            </w:pPr>
            <w:r>
              <w:rPr>
                <w:sz w:val="22"/>
              </w:rPr>
              <w:t>141</w:t>
            </w:r>
          </w:p>
        </w:tc>
        <w:tc>
          <w:tcPr>
            <w:tcW w:w="1682" w:type="dxa"/>
          </w:tcPr>
          <w:p>
            <w:pPr>
              <w:pStyle w:val="TableParagraph"/>
              <w:rPr>
                <w:sz w:val="22"/>
              </w:rPr>
            </w:pPr>
            <w:r>
              <w:rPr>
                <w:sz w:val="22"/>
              </w:rPr>
              <w:t>07/11/2009</w:t>
            </w:r>
          </w:p>
        </w:tc>
        <w:tc>
          <w:tcPr>
            <w:tcW w:w="1262" w:type="dxa"/>
          </w:tcPr>
          <w:p>
            <w:pPr>
              <w:pStyle w:val="TableParagraph"/>
              <w:rPr>
                <w:sz w:val="22"/>
              </w:rPr>
            </w:pPr>
            <w:r>
              <w:rPr>
                <w:sz w:val="22"/>
              </w:rPr>
              <w:t>6.77</w:t>
            </w:r>
          </w:p>
        </w:tc>
        <w:tc>
          <w:tcPr>
            <w:tcW w:w="1190" w:type="dxa"/>
          </w:tcPr>
          <w:p>
            <w:pPr>
              <w:pStyle w:val="TableParagraph"/>
              <w:ind w:right="63"/>
              <w:rPr>
                <w:sz w:val="22"/>
              </w:rPr>
            </w:pPr>
            <w:r>
              <w:rPr>
                <w:sz w:val="22"/>
              </w:rPr>
              <w:t>7.07</w:t>
            </w:r>
          </w:p>
        </w:tc>
        <w:tc>
          <w:tcPr>
            <w:tcW w:w="617" w:type="dxa"/>
          </w:tcPr>
          <w:p>
            <w:pPr>
              <w:pStyle w:val="TableParagraph"/>
              <w:ind w:left="132" w:right="45"/>
              <w:jc w:val="center"/>
              <w:rPr>
                <w:sz w:val="22"/>
              </w:rPr>
            </w:pPr>
            <w:r>
              <w:rPr>
                <w:sz w:val="22"/>
              </w:rPr>
              <w:t>4.65</w:t>
            </w:r>
          </w:p>
        </w:tc>
        <w:tc>
          <w:tcPr>
            <w:tcW w:w="1190" w:type="dxa"/>
          </w:tcPr>
          <w:p>
            <w:pPr>
              <w:pStyle w:val="TableParagraph"/>
              <w:ind w:right="63"/>
              <w:rPr>
                <w:sz w:val="22"/>
              </w:rPr>
            </w:pPr>
            <w:r>
              <w:rPr>
                <w:sz w:val="22"/>
              </w:rPr>
              <w:t>4.52</w:t>
            </w:r>
          </w:p>
        </w:tc>
        <w:tc>
          <w:tcPr>
            <w:tcW w:w="1188" w:type="dxa"/>
          </w:tcPr>
          <w:p>
            <w:pPr>
              <w:pStyle w:val="TableParagraph"/>
              <w:rPr>
                <w:sz w:val="22"/>
              </w:rPr>
            </w:pPr>
            <w:r>
              <w:rPr>
                <w:sz w:val="22"/>
              </w:rPr>
              <w:t>4.72</w:t>
            </w:r>
          </w:p>
        </w:tc>
        <w:tc>
          <w:tcPr>
            <w:tcW w:w="1188" w:type="dxa"/>
          </w:tcPr>
          <w:p>
            <w:pPr>
              <w:pStyle w:val="TableParagraph"/>
              <w:rPr>
                <w:sz w:val="22"/>
              </w:rPr>
            </w:pPr>
            <w:r>
              <w:rPr>
                <w:sz w:val="22"/>
              </w:rPr>
              <w:t>0.64</w:t>
            </w:r>
          </w:p>
        </w:tc>
      </w:tr>
      <w:tr>
        <w:trPr>
          <w:trHeight w:val="310" w:hRule="exact"/>
        </w:trPr>
        <w:tc>
          <w:tcPr>
            <w:tcW w:w="660" w:type="dxa"/>
          </w:tcPr>
          <w:p>
            <w:pPr>
              <w:pStyle w:val="TableParagraph"/>
              <w:spacing w:before="30"/>
              <w:rPr>
                <w:sz w:val="22"/>
              </w:rPr>
            </w:pPr>
            <w:r>
              <w:rPr>
                <w:sz w:val="22"/>
              </w:rPr>
              <w:t>142</w:t>
            </w:r>
          </w:p>
        </w:tc>
        <w:tc>
          <w:tcPr>
            <w:tcW w:w="1682" w:type="dxa"/>
          </w:tcPr>
          <w:p>
            <w:pPr>
              <w:pStyle w:val="TableParagraph"/>
              <w:spacing w:before="30"/>
              <w:rPr>
                <w:sz w:val="22"/>
              </w:rPr>
            </w:pPr>
            <w:r>
              <w:rPr>
                <w:sz w:val="22"/>
              </w:rPr>
              <w:t>08/11/2009</w:t>
            </w:r>
          </w:p>
        </w:tc>
        <w:tc>
          <w:tcPr>
            <w:tcW w:w="1262" w:type="dxa"/>
          </w:tcPr>
          <w:p>
            <w:pPr>
              <w:pStyle w:val="TableParagraph"/>
              <w:spacing w:before="30"/>
              <w:rPr>
                <w:sz w:val="22"/>
              </w:rPr>
            </w:pPr>
            <w:r>
              <w:rPr>
                <w:sz w:val="22"/>
              </w:rPr>
              <w:t>6.82</w:t>
            </w:r>
          </w:p>
        </w:tc>
        <w:tc>
          <w:tcPr>
            <w:tcW w:w="1190" w:type="dxa"/>
          </w:tcPr>
          <w:p>
            <w:pPr>
              <w:pStyle w:val="TableParagraph"/>
              <w:spacing w:before="30"/>
              <w:ind w:right="63"/>
              <w:rPr>
                <w:sz w:val="22"/>
              </w:rPr>
            </w:pPr>
            <w:r>
              <w:rPr>
                <w:sz w:val="22"/>
              </w:rPr>
              <w:t>7.12</w:t>
            </w:r>
          </w:p>
        </w:tc>
        <w:tc>
          <w:tcPr>
            <w:tcW w:w="617" w:type="dxa"/>
          </w:tcPr>
          <w:p>
            <w:pPr>
              <w:pStyle w:val="TableParagraph"/>
              <w:spacing w:before="30"/>
              <w:ind w:left="132" w:right="45"/>
              <w:jc w:val="center"/>
              <w:rPr>
                <w:sz w:val="22"/>
              </w:rPr>
            </w:pPr>
            <w:r>
              <w:rPr>
                <w:sz w:val="22"/>
              </w:rPr>
              <w:t>4.98</w:t>
            </w:r>
          </w:p>
        </w:tc>
        <w:tc>
          <w:tcPr>
            <w:tcW w:w="1190" w:type="dxa"/>
          </w:tcPr>
          <w:p>
            <w:pPr>
              <w:pStyle w:val="TableParagraph"/>
              <w:spacing w:before="30"/>
              <w:ind w:right="63"/>
              <w:rPr>
                <w:sz w:val="22"/>
              </w:rPr>
            </w:pPr>
            <w:r>
              <w:rPr>
                <w:sz w:val="22"/>
              </w:rPr>
              <w:t>4.41</w:t>
            </w:r>
          </w:p>
        </w:tc>
        <w:tc>
          <w:tcPr>
            <w:tcW w:w="1188" w:type="dxa"/>
          </w:tcPr>
          <w:p>
            <w:pPr>
              <w:pStyle w:val="TableParagraph"/>
              <w:spacing w:before="30"/>
              <w:rPr>
                <w:sz w:val="22"/>
              </w:rPr>
            </w:pPr>
            <w:r>
              <w:rPr>
                <w:sz w:val="22"/>
              </w:rPr>
              <w:t>4.28</w:t>
            </w:r>
          </w:p>
        </w:tc>
        <w:tc>
          <w:tcPr>
            <w:tcW w:w="1188" w:type="dxa"/>
          </w:tcPr>
          <w:p>
            <w:pPr>
              <w:pStyle w:val="TableParagraph"/>
              <w:spacing w:before="30"/>
              <w:rPr>
                <w:sz w:val="22"/>
              </w:rPr>
            </w:pPr>
            <w:r>
              <w:rPr>
                <w:sz w:val="22"/>
              </w:rPr>
              <w:t>0.73</w:t>
            </w:r>
          </w:p>
        </w:tc>
      </w:tr>
      <w:tr>
        <w:trPr>
          <w:trHeight w:val="312" w:hRule="exact"/>
        </w:trPr>
        <w:tc>
          <w:tcPr>
            <w:tcW w:w="660" w:type="dxa"/>
          </w:tcPr>
          <w:p>
            <w:pPr>
              <w:pStyle w:val="TableParagraph"/>
              <w:spacing w:before="30"/>
              <w:rPr>
                <w:sz w:val="22"/>
              </w:rPr>
            </w:pPr>
            <w:r>
              <w:rPr>
                <w:sz w:val="22"/>
              </w:rPr>
              <w:t>143</w:t>
            </w:r>
          </w:p>
        </w:tc>
        <w:tc>
          <w:tcPr>
            <w:tcW w:w="1682" w:type="dxa"/>
          </w:tcPr>
          <w:p>
            <w:pPr>
              <w:pStyle w:val="TableParagraph"/>
              <w:spacing w:before="30"/>
              <w:rPr>
                <w:sz w:val="22"/>
              </w:rPr>
            </w:pPr>
            <w:r>
              <w:rPr>
                <w:sz w:val="22"/>
              </w:rPr>
              <w:t>09/11/2009</w:t>
            </w:r>
          </w:p>
        </w:tc>
        <w:tc>
          <w:tcPr>
            <w:tcW w:w="1262" w:type="dxa"/>
          </w:tcPr>
          <w:p>
            <w:pPr>
              <w:pStyle w:val="TableParagraph"/>
              <w:spacing w:before="30"/>
              <w:rPr>
                <w:sz w:val="22"/>
              </w:rPr>
            </w:pPr>
            <w:r>
              <w:rPr>
                <w:sz w:val="22"/>
              </w:rPr>
              <w:t>6.48</w:t>
            </w:r>
          </w:p>
        </w:tc>
        <w:tc>
          <w:tcPr>
            <w:tcW w:w="1190" w:type="dxa"/>
          </w:tcPr>
          <w:p>
            <w:pPr>
              <w:pStyle w:val="TableParagraph"/>
              <w:spacing w:before="30"/>
              <w:ind w:right="63"/>
              <w:rPr>
                <w:sz w:val="22"/>
              </w:rPr>
            </w:pPr>
            <w:r>
              <w:rPr>
                <w:sz w:val="22"/>
              </w:rPr>
              <w:t>6.91</w:t>
            </w:r>
          </w:p>
        </w:tc>
        <w:tc>
          <w:tcPr>
            <w:tcW w:w="617" w:type="dxa"/>
          </w:tcPr>
          <w:p>
            <w:pPr>
              <w:pStyle w:val="TableParagraph"/>
              <w:spacing w:before="30"/>
              <w:ind w:left="132" w:right="45"/>
              <w:jc w:val="center"/>
              <w:rPr>
                <w:sz w:val="22"/>
              </w:rPr>
            </w:pPr>
            <w:r>
              <w:rPr>
                <w:sz w:val="22"/>
              </w:rPr>
              <w:t>5.56</w:t>
            </w:r>
          </w:p>
        </w:tc>
        <w:tc>
          <w:tcPr>
            <w:tcW w:w="1190" w:type="dxa"/>
          </w:tcPr>
          <w:p>
            <w:pPr>
              <w:pStyle w:val="TableParagraph"/>
              <w:spacing w:before="30"/>
              <w:ind w:right="63"/>
              <w:rPr>
                <w:sz w:val="22"/>
              </w:rPr>
            </w:pPr>
            <w:r>
              <w:rPr>
                <w:sz w:val="22"/>
              </w:rPr>
              <w:t>5.17</w:t>
            </w:r>
          </w:p>
        </w:tc>
        <w:tc>
          <w:tcPr>
            <w:tcW w:w="1188" w:type="dxa"/>
          </w:tcPr>
          <w:p>
            <w:pPr>
              <w:pStyle w:val="TableParagraph"/>
              <w:spacing w:before="30"/>
              <w:rPr>
                <w:sz w:val="22"/>
              </w:rPr>
            </w:pPr>
            <w:r>
              <w:rPr>
                <w:sz w:val="22"/>
              </w:rPr>
              <w:t>4.73</w:t>
            </w:r>
          </w:p>
        </w:tc>
        <w:tc>
          <w:tcPr>
            <w:tcW w:w="1188" w:type="dxa"/>
          </w:tcPr>
          <w:p>
            <w:pPr>
              <w:pStyle w:val="TableParagraph"/>
              <w:spacing w:before="30"/>
              <w:rPr>
                <w:sz w:val="22"/>
              </w:rPr>
            </w:pPr>
            <w:r>
              <w:rPr>
                <w:sz w:val="22"/>
              </w:rPr>
              <w:t>0.91</w:t>
            </w:r>
          </w:p>
        </w:tc>
      </w:tr>
      <w:tr>
        <w:trPr>
          <w:trHeight w:val="310" w:hRule="exact"/>
        </w:trPr>
        <w:tc>
          <w:tcPr>
            <w:tcW w:w="660" w:type="dxa"/>
          </w:tcPr>
          <w:p>
            <w:pPr>
              <w:pStyle w:val="TableParagraph"/>
              <w:rPr>
                <w:sz w:val="22"/>
              </w:rPr>
            </w:pPr>
            <w:r>
              <w:rPr>
                <w:sz w:val="22"/>
              </w:rPr>
              <w:t>144</w:t>
            </w:r>
          </w:p>
        </w:tc>
        <w:tc>
          <w:tcPr>
            <w:tcW w:w="1682" w:type="dxa"/>
          </w:tcPr>
          <w:p>
            <w:pPr>
              <w:pStyle w:val="TableParagraph"/>
              <w:rPr>
                <w:sz w:val="22"/>
              </w:rPr>
            </w:pPr>
            <w:r>
              <w:rPr>
                <w:sz w:val="22"/>
              </w:rPr>
              <w:t>10/11/2009</w:t>
            </w:r>
          </w:p>
        </w:tc>
        <w:tc>
          <w:tcPr>
            <w:tcW w:w="1262" w:type="dxa"/>
          </w:tcPr>
          <w:p>
            <w:pPr>
              <w:pStyle w:val="TableParagraph"/>
              <w:rPr>
                <w:sz w:val="22"/>
              </w:rPr>
            </w:pPr>
            <w:r>
              <w:rPr>
                <w:sz w:val="22"/>
              </w:rPr>
              <w:t>6.89</w:t>
            </w:r>
          </w:p>
        </w:tc>
        <w:tc>
          <w:tcPr>
            <w:tcW w:w="1190" w:type="dxa"/>
          </w:tcPr>
          <w:p>
            <w:pPr>
              <w:pStyle w:val="TableParagraph"/>
              <w:ind w:right="63"/>
              <w:rPr>
                <w:sz w:val="22"/>
              </w:rPr>
            </w:pPr>
            <w:r>
              <w:rPr>
                <w:sz w:val="22"/>
              </w:rPr>
              <w:t>6.66</w:t>
            </w:r>
          </w:p>
        </w:tc>
        <w:tc>
          <w:tcPr>
            <w:tcW w:w="617" w:type="dxa"/>
          </w:tcPr>
          <w:p>
            <w:pPr>
              <w:pStyle w:val="TableParagraph"/>
              <w:ind w:left="132" w:right="45"/>
              <w:jc w:val="center"/>
              <w:rPr>
                <w:sz w:val="22"/>
              </w:rPr>
            </w:pPr>
            <w:r>
              <w:rPr>
                <w:sz w:val="22"/>
              </w:rPr>
              <w:t>5.79</w:t>
            </w:r>
          </w:p>
        </w:tc>
        <w:tc>
          <w:tcPr>
            <w:tcW w:w="1190" w:type="dxa"/>
          </w:tcPr>
          <w:p>
            <w:pPr>
              <w:pStyle w:val="TableParagraph"/>
              <w:ind w:right="63"/>
              <w:rPr>
                <w:sz w:val="22"/>
              </w:rPr>
            </w:pPr>
            <w:r>
              <w:rPr>
                <w:sz w:val="22"/>
              </w:rPr>
              <w:t>4.85</w:t>
            </w:r>
          </w:p>
        </w:tc>
        <w:tc>
          <w:tcPr>
            <w:tcW w:w="1188" w:type="dxa"/>
          </w:tcPr>
          <w:p>
            <w:pPr>
              <w:pStyle w:val="TableParagraph"/>
              <w:rPr>
                <w:sz w:val="22"/>
              </w:rPr>
            </w:pPr>
            <w:r>
              <w:rPr>
                <w:sz w:val="22"/>
              </w:rPr>
              <w:t>5.7</w:t>
            </w:r>
          </w:p>
        </w:tc>
        <w:tc>
          <w:tcPr>
            <w:tcW w:w="1188" w:type="dxa"/>
          </w:tcPr>
          <w:p>
            <w:pPr>
              <w:pStyle w:val="TableParagraph"/>
              <w:rPr>
                <w:sz w:val="22"/>
              </w:rPr>
            </w:pPr>
            <w:r>
              <w:rPr>
                <w:sz w:val="22"/>
              </w:rPr>
              <w:t>0.24</w:t>
            </w:r>
          </w:p>
        </w:tc>
      </w:tr>
      <w:tr>
        <w:trPr>
          <w:trHeight w:val="310" w:hRule="exact"/>
        </w:trPr>
        <w:tc>
          <w:tcPr>
            <w:tcW w:w="660" w:type="dxa"/>
          </w:tcPr>
          <w:p>
            <w:pPr>
              <w:pStyle w:val="TableParagraph"/>
              <w:rPr>
                <w:sz w:val="22"/>
              </w:rPr>
            </w:pPr>
            <w:r>
              <w:rPr>
                <w:sz w:val="22"/>
              </w:rPr>
              <w:t>145</w:t>
            </w:r>
          </w:p>
        </w:tc>
        <w:tc>
          <w:tcPr>
            <w:tcW w:w="1682" w:type="dxa"/>
          </w:tcPr>
          <w:p>
            <w:pPr>
              <w:pStyle w:val="TableParagraph"/>
              <w:rPr>
                <w:sz w:val="22"/>
              </w:rPr>
            </w:pPr>
            <w:r>
              <w:rPr>
                <w:sz w:val="22"/>
              </w:rPr>
              <w:t>11/11/2009</w:t>
            </w:r>
          </w:p>
        </w:tc>
        <w:tc>
          <w:tcPr>
            <w:tcW w:w="1262" w:type="dxa"/>
          </w:tcPr>
          <w:p>
            <w:pPr>
              <w:pStyle w:val="TableParagraph"/>
              <w:rPr>
                <w:sz w:val="22"/>
              </w:rPr>
            </w:pPr>
            <w:r>
              <w:rPr>
                <w:sz w:val="22"/>
              </w:rPr>
              <w:t>6.86</w:t>
            </w:r>
          </w:p>
        </w:tc>
        <w:tc>
          <w:tcPr>
            <w:tcW w:w="1190" w:type="dxa"/>
          </w:tcPr>
          <w:p>
            <w:pPr>
              <w:pStyle w:val="TableParagraph"/>
              <w:ind w:right="63"/>
              <w:rPr>
                <w:sz w:val="22"/>
              </w:rPr>
            </w:pPr>
            <w:r>
              <w:rPr>
                <w:sz w:val="22"/>
              </w:rPr>
              <w:t>7.05</w:t>
            </w:r>
          </w:p>
        </w:tc>
        <w:tc>
          <w:tcPr>
            <w:tcW w:w="617" w:type="dxa"/>
          </w:tcPr>
          <w:p>
            <w:pPr>
              <w:pStyle w:val="TableParagraph"/>
              <w:ind w:left="132" w:right="45"/>
              <w:jc w:val="center"/>
              <w:rPr>
                <w:sz w:val="22"/>
              </w:rPr>
            </w:pPr>
            <w:r>
              <w:rPr>
                <w:sz w:val="22"/>
              </w:rPr>
              <w:t>6.26</w:t>
            </w:r>
          </w:p>
        </w:tc>
        <w:tc>
          <w:tcPr>
            <w:tcW w:w="1190" w:type="dxa"/>
          </w:tcPr>
          <w:p>
            <w:pPr>
              <w:pStyle w:val="TableParagraph"/>
              <w:ind w:right="63"/>
              <w:rPr>
                <w:sz w:val="22"/>
              </w:rPr>
            </w:pPr>
            <w:r>
              <w:rPr>
                <w:sz w:val="22"/>
              </w:rPr>
              <w:t>5.63</w:t>
            </w:r>
          </w:p>
        </w:tc>
        <w:tc>
          <w:tcPr>
            <w:tcW w:w="1188" w:type="dxa"/>
          </w:tcPr>
          <w:p>
            <w:pPr>
              <w:pStyle w:val="TableParagraph"/>
              <w:rPr>
                <w:sz w:val="22"/>
              </w:rPr>
            </w:pPr>
            <w:r>
              <w:rPr>
                <w:sz w:val="22"/>
              </w:rPr>
              <w:t>5.53</w:t>
            </w:r>
          </w:p>
        </w:tc>
        <w:tc>
          <w:tcPr>
            <w:tcW w:w="1188" w:type="dxa"/>
          </w:tcPr>
          <w:p>
            <w:pPr>
              <w:pStyle w:val="TableParagraph"/>
              <w:rPr>
                <w:sz w:val="22"/>
              </w:rPr>
            </w:pPr>
            <w:r>
              <w:rPr>
                <w:sz w:val="22"/>
              </w:rPr>
              <w:t>0.59</w:t>
            </w:r>
          </w:p>
        </w:tc>
      </w:tr>
      <w:tr>
        <w:trPr>
          <w:trHeight w:val="310" w:hRule="exact"/>
        </w:trPr>
        <w:tc>
          <w:tcPr>
            <w:tcW w:w="660" w:type="dxa"/>
          </w:tcPr>
          <w:p>
            <w:pPr>
              <w:pStyle w:val="TableParagraph"/>
              <w:rPr>
                <w:sz w:val="22"/>
              </w:rPr>
            </w:pPr>
            <w:r>
              <w:rPr>
                <w:sz w:val="22"/>
              </w:rPr>
              <w:t>146</w:t>
            </w:r>
          </w:p>
        </w:tc>
        <w:tc>
          <w:tcPr>
            <w:tcW w:w="1682" w:type="dxa"/>
          </w:tcPr>
          <w:p>
            <w:pPr>
              <w:pStyle w:val="TableParagraph"/>
              <w:rPr>
                <w:sz w:val="22"/>
              </w:rPr>
            </w:pPr>
            <w:r>
              <w:rPr>
                <w:sz w:val="22"/>
              </w:rPr>
              <w:t>12/11/2009</w:t>
            </w:r>
          </w:p>
        </w:tc>
        <w:tc>
          <w:tcPr>
            <w:tcW w:w="1262" w:type="dxa"/>
          </w:tcPr>
          <w:p>
            <w:pPr>
              <w:pStyle w:val="TableParagraph"/>
              <w:rPr>
                <w:sz w:val="22"/>
              </w:rPr>
            </w:pPr>
            <w:r>
              <w:rPr>
                <w:sz w:val="22"/>
              </w:rPr>
              <w:t>6.68</w:t>
            </w:r>
          </w:p>
        </w:tc>
        <w:tc>
          <w:tcPr>
            <w:tcW w:w="1190" w:type="dxa"/>
          </w:tcPr>
          <w:p>
            <w:pPr>
              <w:pStyle w:val="TableParagraph"/>
              <w:ind w:right="63"/>
              <w:rPr>
                <w:sz w:val="22"/>
              </w:rPr>
            </w:pPr>
            <w:r>
              <w:rPr>
                <w:sz w:val="22"/>
              </w:rPr>
              <w:t>6.90</w:t>
            </w:r>
          </w:p>
        </w:tc>
        <w:tc>
          <w:tcPr>
            <w:tcW w:w="617" w:type="dxa"/>
          </w:tcPr>
          <w:p>
            <w:pPr>
              <w:pStyle w:val="TableParagraph"/>
              <w:ind w:left="132" w:right="45"/>
              <w:jc w:val="center"/>
              <w:rPr>
                <w:sz w:val="22"/>
              </w:rPr>
            </w:pPr>
            <w:r>
              <w:rPr>
                <w:sz w:val="22"/>
              </w:rPr>
              <w:t>4.94</w:t>
            </w:r>
          </w:p>
        </w:tc>
        <w:tc>
          <w:tcPr>
            <w:tcW w:w="1190" w:type="dxa"/>
          </w:tcPr>
          <w:p>
            <w:pPr>
              <w:pStyle w:val="TableParagraph"/>
              <w:ind w:right="63"/>
              <w:rPr>
                <w:sz w:val="22"/>
              </w:rPr>
            </w:pPr>
            <w:r>
              <w:rPr>
                <w:sz w:val="22"/>
              </w:rPr>
              <w:t>5.02</w:t>
            </w:r>
          </w:p>
        </w:tc>
        <w:tc>
          <w:tcPr>
            <w:tcW w:w="1188" w:type="dxa"/>
          </w:tcPr>
          <w:p>
            <w:pPr>
              <w:pStyle w:val="TableParagraph"/>
              <w:rPr>
                <w:sz w:val="22"/>
              </w:rPr>
            </w:pPr>
            <w:r>
              <w:rPr>
                <w:sz w:val="22"/>
              </w:rPr>
              <w:t>5.66</w:t>
            </w:r>
          </w:p>
        </w:tc>
        <w:tc>
          <w:tcPr>
            <w:tcW w:w="1188" w:type="dxa"/>
          </w:tcPr>
          <w:p>
            <w:pPr>
              <w:pStyle w:val="TableParagraph"/>
              <w:rPr>
                <w:sz w:val="22"/>
              </w:rPr>
            </w:pPr>
            <w:r>
              <w:rPr>
                <w:sz w:val="22"/>
              </w:rPr>
              <w:t>5.18</w:t>
            </w:r>
          </w:p>
        </w:tc>
      </w:tr>
      <w:tr>
        <w:trPr>
          <w:trHeight w:val="310" w:hRule="exact"/>
        </w:trPr>
        <w:tc>
          <w:tcPr>
            <w:tcW w:w="660" w:type="dxa"/>
          </w:tcPr>
          <w:p>
            <w:pPr>
              <w:pStyle w:val="TableParagraph"/>
              <w:rPr>
                <w:sz w:val="22"/>
              </w:rPr>
            </w:pPr>
            <w:r>
              <w:rPr>
                <w:sz w:val="22"/>
              </w:rPr>
              <w:t>147</w:t>
            </w:r>
          </w:p>
        </w:tc>
        <w:tc>
          <w:tcPr>
            <w:tcW w:w="1682" w:type="dxa"/>
          </w:tcPr>
          <w:p>
            <w:pPr>
              <w:pStyle w:val="TableParagraph"/>
              <w:rPr>
                <w:sz w:val="22"/>
              </w:rPr>
            </w:pPr>
            <w:r>
              <w:rPr>
                <w:sz w:val="22"/>
              </w:rPr>
              <w:t>13/11/2009</w:t>
            </w:r>
          </w:p>
        </w:tc>
        <w:tc>
          <w:tcPr>
            <w:tcW w:w="1262" w:type="dxa"/>
          </w:tcPr>
          <w:p>
            <w:pPr>
              <w:pStyle w:val="TableParagraph"/>
              <w:rPr>
                <w:sz w:val="22"/>
              </w:rPr>
            </w:pPr>
            <w:r>
              <w:rPr>
                <w:sz w:val="22"/>
              </w:rPr>
              <w:t>6.66</w:t>
            </w:r>
          </w:p>
        </w:tc>
        <w:tc>
          <w:tcPr>
            <w:tcW w:w="1190" w:type="dxa"/>
          </w:tcPr>
          <w:p>
            <w:pPr>
              <w:pStyle w:val="TableParagraph"/>
              <w:ind w:right="63"/>
              <w:rPr>
                <w:sz w:val="22"/>
              </w:rPr>
            </w:pPr>
            <w:r>
              <w:rPr>
                <w:sz w:val="22"/>
              </w:rPr>
              <w:t>6.89</w:t>
            </w:r>
          </w:p>
        </w:tc>
        <w:tc>
          <w:tcPr>
            <w:tcW w:w="617" w:type="dxa"/>
          </w:tcPr>
          <w:p>
            <w:pPr>
              <w:pStyle w:val="TableParagraph"/>
              <w:ind w:left="132" w:right="45"/>
              <w:jc w:val="center"/>
              <w:rPr>
                <w:sz w:val="22"/>
              </w:rPr>
            </w:pPr>
            <w:r>
              <w:rPr>
                <w:sz w:val="22"/>
              </w:rPr>
              <w:t>5.23</w:t>
            </w:r>
          </w:p>
        </w:tc>
        <w:tc>
          <w:tcPr>
            <w:tcW w:w="1190" w:type="dxa"/>
          </w:tcPr>
          <w:p>
            <w:pPr>
              <w:pStyle w:val="TableParagraph"/>
              <w:ind w:right="63"/>
              <w:rPr>
                <w:sz w:val="22"/>
              </w:rPr>
            </w:pPr>
            <w:r>
              <w:rPr>
                <w:sz w:val="22"/>
              </w:rPr>
              <w:t>4.96</w:t>
            </w:r>
          </w:p>
        </w:tc>
        <w:tc>
          <w:tcPr>
            <w:tcW w:w="1188" w:type="dxa"/>
          </w:tcPr>
          <w:p>
            <w:pPr>
              <w:pStyle w:val="TableParagraph"/>
              <w:rPr>
                <w:sz w:val="22"/>
              </w:rPr>
            </w:pPr>
            <w:r>
              <w:rPr>
                <w:sz w:val="22"/>
              </w:rPr>
              <w:t>5.9</w:t>
            </w:r>
          </w:p>
        </w:tc>
        <w:tc>
          <w:tcPr>
            <w:tcW w:w="1188" w:type="dxa"/>
          </w:tcPr>
          <w:p>
            <w:pPr>
              <w:pStyle w:val="TableParagraph"/>
              <w:rPr>
                <w:sz w:val="22"/>
              </w:rPr>
            </w:pPr>
            <w:r>
              <w:rPr>
                <w:sz w:val="22"/>
              </w:rPr>
              <w:t>3.23</w:t>
            </w:r>
          </w:p>
        </w:tc>
      </w:tr>
      <w:tr>
        <w:trPr>
          <w:trHeight w:val="310" w:hRule="exact"/>
        </w:trPr>
        <w:tc>
          <w:tcPr>
            <w:tcW w:w="660" w:type="dxa"/>
          </w:tcPr>
          <w:p>
            <w:pPr>
              <w:pStyle w:val="TableParagraph"/>
              <w:spacing w:before="30"/>
              <w:rPr>
                <w:sz w:val="22"/>
              </w:rPr>
            </w:pPr>
            <w:r>
              <w:rPr>
                <w:sz w:val="22"/>
              </w:rPr>
              <w:t>148</w:t>
            </w:r>
          </w:p>
        </w:tc>
        <w:tc>
          <w:tcPr>
            <w:tcW w:w="1682" w:type="dxa"/>
          </w:tcPr>
          <w:p>
            <w:pPr>
              <w:pStyle w:val="TableParagraph"/>
              <w:spacing w:before="30"/>
              <w:rPr>
                <w:sz w:val="22"/>
              </w:rPr>
            </w:pPr>
            <w:r>
              <w:rPr>
                <w:sz w:val="22"/>
              </w:rPr>
              <w:t>14/11/2009</w:t>
            </w:r>
          </w:p>
        </w:tc>
        <w:tc>
          <w:tcPr>
            <w:tcW w:w="1262" w:type="dxa"/>
          </w:tcPr>
          <w:p>
            <w:pPr>
              <w:pStyle w:val="TableParagraph"/>
              <w:spacing w:before="30"/>
              <w:rPr>
                <w:sz w:val="22"/>
              </w:rPr>
            </w:pPr>
            <w:r>
              <w:rPr>
                <w:sz w:val="22"/>
              </w:rPr>
              <w:t>6.41</w:t>
            </w:r>
          </w:p>
        </w:tc>
        <w:tc>
          <w:tcPr>
            <w:tcW w:w="1190" w:type="dxa"/>
          </w:tcPr>
          <w:p>
            <w:pPr>
              <w:pStyle w:val="TableParagraph"/>
              <w:spacing w:before="30"/>
              <w:ind w:right="63"/>
              <w:rPr>
                <w:sz w:val="22"/>
              </w:rPr>
            </w:pPr>
            <w:r>
              <w:rPr>
                <w:sz w:val="22"/>
              </w:rPr>
              <w:t>6.92</w:t>
            </w:r>
          </w:p>
        </w:tc>
        <w:tc>
          <w:tcPr>
            <w:tcW w:w="617" w:type="dxa"/>
          </w:tcPr>
          <w:p>
            <w:pPr>
              <w:pStyle w:val="TableParagraph"/>
              <w:spacing w:before="30"/>
              <w:ind w:left="132" w:right="45"/>
              <w:jc w:val="center"/>
              <w:rPr>
                <w:sz w:val="22"/>
              </w:rPr>
            </w:pPr>
            <w:r>
              <w:rPr>
                <w:sz w:val="22"/>
              </w:rPr>
              <w:t>5.12</w:t>
            </w:r>
          </w:p>
        </w:tc>
        <w:tc>
          <w:tcPr>
            <w:tcW w:w="1190" w:type="dxa"/>
          </w:tcPr>
          <w:p>
            <w:pPr>
              <w:pStyle w:val="TableParagraph"/>
              <w:spacing w:before="30"/>
              <w:ind w:right="63"/>
              <w:rPr>
                <w:sz w:val="22"/>
              </w:rPr>
            </w:pPr>
            <w:r>
              <w:rPr>
                <w:sz w:val="22"/>
              </w:rPr>
              <w:t>4.87</w:t>
            </w:r>
          </w:p>
        </w:tc>
        <w:tc>
          <w:tcPr>
            <w:tcW w:w="1188" w:type="dxa"/>
          </w:tcPr>
          <w:p>
            <w:pPr>
              <w:pStyle w:val="TableParagraph"/>
              <w:spacing w:before="30"/>
              <w:rPr>
                <w:sz w:val="22"/>
              </w:rPr>
            </w:pPr>
            <w:r>
              <w:rPr>
                <w:sz w:val="22"/>
              </w:rPr>
              <w:t>5.2</w:t>
            </w:r>
          </w:p>
        </w:tc>
        <w:tc>
          <w:tcPr>
            <w:tcW w:w="1188" w:type="dxa"/>
          </w:tcPr>
          <w:p>
            <w:pPr>
              <w:pStyle w:val="TableParagraph"/>
              <w:spacing w:before="30"/>
              <w:rPr>
                <w:sz w:val="22"/>
              </w:rPr>
            </w:pPr>
            <w:r>
              <w:rPr>
                <w:sz w:val="22"/>
              </w:rPr>
              <w:t>1.6</w:t>
            </w:r>
          </w:p>
        </w:tc>
      </w:tr>
      <w:tr>
        <w:trPr>
          <w:trHeight w:val="312" w:hRule="exact"/>
        </w:trPr>
        <w:tc>
          <w:tcPr>
            <w:tcW w:w="660" w:type="dxa"/>
          </w:tcPr>
          <w:p>
            <w:pPr>
              <w:pStyle w:val="TableParagraph"/>
              <w:spacing w:before="30"/>
              <w:rPr>
                <w:sz w:val="22"/>
              </w:rPr>
            </w:pPr>
            <w:r>
              <w:rPr>
                <w:sz w:val="22"/>
              </w:rPr>
              <w:t>149</w:t>
            </w:r>
          </w:p>
        </w:tc>
        <w:tc>
          <w:tcPr>
            <w:tcW w:w="1682" w:type="dxa"/>
          </w:tcPr>
          <w:p>
            <w:pPr>
              <w:pStyle w:val="TableParagraph"/>
              <w:spacing w:before="30"/>
              <w:rPr>
                <w:sz w:val="22"/>
              </w:rPr>
            </w:pPr>
            <w:r>
              <w:rPr>
                <w:sz w:val="22"/>
              </w:rPr>
              <w:t>15/11/2009</w:t>
            </w:r>
          </w:p>
        </w:tc>
        <w:tc>
          <w:tcPr>
            <w:tcW w:w="1262" w:type="dxa"/>
          </w:tcPr>
          <w:p>
            <w:pPr>
              <w:pStyle w:val="TableParagraph"/>
              <w:spacing w:before="30"/>
              <w:rPr>
                <w:sz w:val="22"/>
              </w:rPr>
            </w:pPr>
            <w:r>
              <w:rPr>
                <w:sz w:val="22"/>
              </w:rPr>
              <w:t>6.57</w:t>
            </w:r>
          </w:p>
        </w:tc>
        <w:tc>
          <w:tcPr>
            <w:tcW w:w="1190" w:type="dxa"/>
          </w:tcPr>
          <w:p>
            <w:pPr>
              <w:pStyle w:val="TableParagraph"/>
              <w:spacing w:before="30"/>
              <w:ind w:right="63"/>
              <w:rPr>
                <w:sz w:val="22"/>
              </w:rPr>
            </w:pPr>
            <w:r>
              <w:rPr>
                <w:sz w:val="22"/>
              </w:rPr>
              <w:t>6.84</w:t>
            </w:r>
          </w:p>
        </w:tc>
        <w:tc>
          <w:tcPr>
            <w:tcW w:w="617" w:type="dxa"/>
          </w:tcPr>
          <w:p>
            <w:pPr>
              <w:pStyle w:val="TableParagraph"/>
              <w:spacing w:before="30"/>
              <w:ind w:left="132" w:right="45"/>
              <w:jc w:val="center"/>
              <w:rPr>
                <w:sz w:val="22"/>
              </w:rPr>
            </w:pPr>
            <w:r>
              <w:rPr>
                <w:sz w:val="22"/>
              </w:rPr>
              <w:t>5.52</w:t>
            </w:r>
          </w:p>
        </w:tc>
        <w:tc>
          <w:tcPr>
            <w:tcW w:w="1190" w:type="dxa"/>
          </w:tcPr>
          <w:p>
            <w:pPr>
              <w:pStyle w:val="TableParagraph"/>
              <w:spacing w:before="30"/>
              <w:ind w:right="63"/>
              <w:rPr>
                <w:sz w:val="22"/>
              </w:rPr>
            </w:pPr>
            <w:r>
              <w:rPr>
                <w:sz w:val="22"/>
              </w:rPr>
              <w:t>5.47</w:t>
            </w:r>
          </w:p>
        </w:tc>
        <w:tc>
          <w:tcPr>
            <w:tcW w:w="1188" w:type="dxa"/>
          </w:tcPr>
          <w:p>
            <w:pPr>
              <w:pStyle w:val="TableParagraph"/>
              <w:spacing w:before="30"/>
              <w:rPr>
                <w:sz w:val="22"/>
              </w:rPr>
            </w:pPr>
            <w:r>
              <w:rPr>
                <w:sz w:val="22"/>
              </w:rPr>
              <w:t>5.99</w:t>
            </w:r>
          </w:p>
        </w:tc>
        <w:tc>
          <w:tcPr>
            <w:tcW w:w="1188" w:type="dxa"/>
          </w:tcPr>
          <w:p>
            <w:pPr>
              <w:pStyle w:val="TableParagraph"/>
              <w:spacing w:before="30"/>
              <w:rPr>
                <w:sz w:val="22"/>
              </w:rPr>
            </w:pPr>
            <w:r>
              <w:rPr>
                <w:sz w:val="22"/>
              </w:rPr>
              <w:t>1.2</w:t>
            </w:r>
          </w:p>
        </w:tc>
      </w:tr>
      <w:tr>
        <w:trPr>
          <w:trHeight w:val="310" w:hRule="exact"/>
        </w:trPr>
        <w:tc>
          <w:tcPr>
            <w:tcW w:w="660" w:type="dxa"/>
          </w:tcPr>
          <w:p>
            <w:pPr>
              <w:pStyle w:val="TableParagraph"/>
              <w:rPr>
                <w:sz w:val="22"/>
              </w:rPr>
            </w:pPr>
            <w:r>
              <w:rPr>
                <w:sz w:val="22"/>
              </w:rPr>
              <w:t>150</w:t>
            </w:r>
          </w:p>
        </w:tc>
        <w:tc>
          <w:tcPr>
            <w:tcW w:w="1682" w:type="dxa"/>
          </w:tcPr>
          <w:p>
            <w:pPr>
              <w:pStyle w:val="TableParagraph"/>
              <w:rPr>
                <w:sz w:val="22"/>
              </w:rPr>
            </w:pPr>
            <w:r>
              <w:rPr>
                <w:sz w:val="22"/>
              </w:rPr>
              <w:t>16/11/2009</w:t>
            </w:r>
          </w:p>
        </w:tc>
        <w:tc>
          <w:tcPr>
            <w:tcW w:w="1262" w:type="dxa"/>
          </w:tcPr>
          <w:p>
            <w:pPr>
              <w:pStyle w:val="TableParagraph"/>
              <w:rPr>
                <w:sz w:val="22"/>
              </w:rPr>
            </w:pPr>
            <w:r>
              <w:rPr>
                <w:sz w:val="22"/>
              </w:rPr>
              <w:t>6.61</w:t>
            </w:r>
          </w:p>
        </w:tc>
        <w:tc>
          <w:tcPr>
            <w:tcW w:w="1190" w:type="dxa"/>
          </w:tcPr>
          <w:p>
            <w:pPr>
              <w:pStyle w:val="TableParagraph"/>
              <w:ind w:right="63"/>
              <w:rPr>
                <w:sz w:val="22"/>
              </w:rPr>
            </w:pPr>
            <w:r>
              <w:rPr>
                <w:sz w:val="22"/>
              </w:rPr>
              <w:t>6.79</w:t>
            </w:r>
          </w:p>
        </w:tc>
        <w:tc>
          <w:tcPr>
            <w:tcW w:w="617" w:type="dxa"/>
          </w:tcPr>
          <w:p>
            <w:pPr>
              <w:pStyle w:val="TableParagraph"/>
              <w:ind w:left="132" w:right="45"/>
              <w:jc w:val="center"/>
              <w:rPr>
                <w:sz w:val="22"/>
              </w:rPr>
            </w:pPr>
            <w:r>
              <w:rPr>
                <w:sz w:val="22"/>
              </w:rPr>
              <w:t>6.01</w:t>
            </w:r>
          </w:p>
        </w:tc>
        <w:tc>
          <w:tcPr>
            <w:tcW w:w="1190" w:type="dxa"/>
          </w:tcPr>
          <w:p>
            <w:pPr>
              <w:pStyle w:val="TableParagraph"/>
              <w:ind w:right="63"/>
              <w:rPr>
                <w:sz w:val="22"/>
              </w:rPr>
            </w:pPr>
            <w:r>
              <w:rPr>
                <w:sz w:val="22"/>
              </w:rPr>
              <w:t>5.46</w:t>
            </w:r>
          </w:p>
        </w:tc>
        <w:tc>
          <w:tcPr>
            <w:tcW w:w="1188" w:type="dxa"/>
          </w:tcPr>
          <w:p>
            <w:pPr>
              <w:pStyle w:val="TableParagraph"/>
              <w:rPr>
                <w:sz w:val="22"/>
              </w:rPr>
            </w:pPr>
            <w:r>
              <w:rPr>
                <w:sz w:val="22"/>
              </w:rPr>
              <w:t>5.36</w:t>
            </w:r>
          </w:p>
        </w:tc>
        <w:tc>
          <w:tcPr>
            <w:tcW w:w="1188" w:type="dxa"/>
          </w:tcPr>
          <w:p>
            <w:pPr>
              <w:pStyle w:val="TableParagraph"/>
              <w:rPr>
                <w:sz w:val="22"/>
              </w:rPr>
            </w:pPr>
            <w:r>
              <w:rPr>
                <w:sz w:val="22"/>
              </w:rPr>
              <w:t>0.42</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7"/>
        <w:gridCol w:w="1265"/>
        <w:gridCol w:w="1188"/>
        <w:gridCol w:w="612"/>
        <w:gridCol w:w="1188"/>
        <w:gridCol w:w="1190"/>
        <w:gridCol w:w="1190"/>
      </w:tblGrid>
      <w:tr>
        <w:trPr>
          <w:trHeight w:val="310" w:hRule="exact"/>
        </w:trPr>
        <w:tc>
          <w:tcPr>
            <w:tcW w:w="8981" w:type="dxa"/>
            <w:gridSpan w:val="8"/>
            <w:shd w:val="clear" w:color="auto" w:fill="E6B9B8"/>
          </w:tcPr>
          <w:p>
            <w:pPr>
              <w:pStyle w:val="TableParagraph"/>
              <w:ind w:left="4337" w:right="4337"/>
              <w:jc w:val="center"/>
              <w:rPr>
                <w:b/>
                <w:sz w:val="22"/>
              </w:rPr>
            </w:pPr>
            <w:r>
              <w:rPr>
                <w:b/>
                <w:sz w:val="22"/>
              </w:rPr>
              <w:t>pH</w:t>
            </w:r>
          </w:p>
        </w:tc>
      </w:tr>
      <w:tr>
        <w:trPr>
          <w:trHeight w:val="610" w:hRule="exact"/>
        </w:trPr>
        <w:tc>
          <w:tcPr>
            <w:tcW w:w="660" w:type="dxa"/>
            <w:vMerge w:val="restart"/>
            <w:shd w:val="clear" w:color="auto" w:fill="E6B9B8"/>
          </w:tcPr>
          <w:p>
            <w:pPr>
              <w:pStyle w:val="TableParagraph"/>
              <w:spacing w:before="8"/>
              <w:ind w:right="0"/>
              <w:jc w:val="left"/>
              <w:rPr>
                <w:rFonts w:ascii="Times New Roman"/>
                <w:sz w:val="27"/>
              </w:rPr>
            </w:pPr>
          </w:p>
          <w:p>
            <w:pPr>
              <w:pStyle w:val="TableParagraph"/>
              <w:spacing w:before="0"/>
              <w:ind w:left="129" w:right="0"/>
              <w:jc w:val="left"/>
              <w:rPr>
                <w:b/>
                <w:sz w:val="22"/>
              </w:rPr>
            </w:pPr>
            <w:r>
              <w:rPr>
                <w:b/>
                <w:sz w:val="22"/>
              </w:rPr>
              <w:t>Días</w:t>
            </w:r>
          </w:p>
        </w:tc>
        <w:tc>
          <w:tcPr>
            <w:tcW w:w="1687" w:type="dxa"/>
            <w:vMerge w:val="restart"/>
            <w:shd w:val="clear" w:color="auto" w:fill="E6B9B8"/>
          </w:tcPr>
          <w:p>
            <w:pPr>
              <w:pStyle w:val="TableParagraph"/>
              <w:spacing w:before="8"/>
              <w:ind w:right="0"/>
              <w:jc w:val="left"/>
              <w:rPr>
                <w:rFonts w:ascii="Times New Roman"/>
                <w:sz w:val="27"/>
              </w:rPr>
            </w:pPr>
          </w:p>
          <w:p>
            <w:pPr>
              <w:pStyle w:val="TableParagraph"/>
              <w:spacing w:before="0"/>
              <w:ind w:left="553" w:right="553"/>
              <w:jc w:val="center"/>
              <w:rPr>
                <w:b/>
                <w:sz w:val="22"/>
              </w:rPr>
            </w:pPr>
            <w:r>
              <w:rPr>
                <w:b/>
                <w:sz w:val="22"/>
              </w:rPr>
              <w:t>Fecha</w:t>
            </w:r>
          </w:p>
        </w:tc>
        <w:tc>
          <w:tcPr>
            <w:tcW w:w="6634" w:type="dxa"/>
            <w:gridSpan w:val="6"/>
            <w:shd w:val="clear" w:color="auto" w:fill="E6B9B8"/>
          </w:tcPr>
          <w:p>
            <w:pPr>
              <w:pStyle w:val="TableParagraph"/>
              <w:spacing w:before="162"/>
              <w:ind w:left="2371" w:right="2370"/>
              <w:jc w:val="center"/>
              <w:rPr>
                <w:b/>
                <w:sz w:val="22"/>
              </w:rPr>
            </w:pPr>
            <w:r>
              <w:rPr>
                <w:b/>
                <w:sz w:val="22"/>
              </w:rPr>
              <w:t>Puntos de muestreo</w:t>
            </w:r>
          </w:p>
        </w:tc>
      </w:tr>
      <w:tr>
        <w:trPr>
          <w:trHeight w:val="311" w:hRule="exact"/>
        </w:trPr>
        <w:tc>
          <w:tcPr>
            <w:tcW w:w="660" w:type="dxa"/>
            <w:vMerge/>
            <w:shd w:val="clear" w:color="auto" w:fill="E6B9B8"/>
          </w:tcPr>
          <w:p>
            <w:pPr/>
          </w:p>
        </w:tc>
        <w:tc>
          <w:tcPr>
            <w:tcW w:w="1687" w:type="dxa"/>
            <w:vMerge/>
            <w:shd w:val="clear" w:color="auto" w:fill="E6B9B8"/>
          </w:tcPr>
          <w:p>
            <w:pPr/>
          </w:p>
        </w:tc>
        <w:tc>
          <w:tcPr>
            <w:tcW w:w="1265" w:type="dxa"/>
            <w:shd w:val="clear" w:color="auto" w:fill="E6B9B8"/>
          </w:tcPr>
          <w:p>
            <w:pPr>
              <w:pStyle w:val="TableParagraph"/>
              <w:spacing w:before="13"/>
              <w:ind w:right="1"/>
              <w:jc w:val="center"/>
              <w:rPr>
                <w:b/>
                <w:sz w:val="22"/>
              </w:rPr>
            </w:pPr>
            <w:r>
              <w:rPr>
                <w:b/>
                <w:w w:val="100"/>
                <w:sz w:val="22"/>
              </w:rPr>
              <w:t>A</w:t>
            </w:r>
          </w:p>
        </w:tc>
        <w:tc>
          <w:tcPr>
            <w:tcW w:w="1188" w:type="dxa"/>
            <w:shd w:val="clear" w:color="auto" w:fill="E6B9B8"/>
          </w:tcPr>
          <w:p>
            <w:pPr>
              <w:pStyle w:val="TableParagraph"/>
              <w:spacing w:before="13"/>
              <w:ind w:left="1" w:right="0"/>
              <w:jc w:val="center"/>
              <w:rPr>
                <w:b/>
                <w:sz w:val="22"/>
              </w:rPr>
            </w:pPr>
            <w:r>
              <w:rPr>
                <w:b/>
                <w:w w:val="100"/>
                <w:sz w:val="22"/>
              </w:rPr>
              <w:t>B</w:t>
            </w:r>
          </w:p>
        </w:tc>
        <w:tc>
          <w:tcPr>
            <w:tcW w:w="612" w:type="dxa"/>
            <w:shd w:val="clear" w:color="auto" w:fill="E6B9B8"/>
          </w:tcPr>
          <w:p>
            <w:pPr>
              <w:pStyle w:val="TableParagraph"/>
              <w:spacing w:before="30"/>
              <w:ind w:right="3"/>
              <w:jc w:val="center"/>
              <w:rPr>
                <w:b/>
                <w:sz w:val="22"/>
              </w:rPr>
            </w:pPr>
            <w:r>
              <w:rPr>
                <w:b/>
                <w:w w:val="100"/>
                <w:sz w:val="22"/>
              </w:rPr>
              <w:t>C</w:t>
            </w:r>
          </w:p>
        </w:tc>
        <w:tc>
          <w:tcPr>
            <w:tcW w:w="1188" w:type="dxa"/>
            <w:shd w:val="clear" w:color="auto" w:fill="E6B9B8"/>
          </w:tcPr>
          <w:p>
            <w:pPr>
              <w:pStyle w:val="TableParagraph"/>
              <w:spacing w:before="13"/>
              <w:ind w:left="2" w:right="0"/>
              <w:jc w:val="center"/>
              <w:rPr>
                <w:b/>
                <w:sz w:val="22"/>
              </w:rPr>
            </w:pPr>
            <w:r>
              <w:rPr>
                <w:b/>
                <w:w w:val="100"/>
                <w:sz w:val="22"/>
              </w:rPr>
              <w:t>D</w:t>
            </w:r>
          </w:p>
        </w:tc>
        <w:tc>
          <w:tcPr>
            <w:tcW w:w="1190" w:type="dxa"/>
            <w:shd w:val="clear" w:color="auto" w:fill="E6B9B8"/>
          </w:tcPr>
          <w:p>
            <w:pPr>
              <w:pStyle w:val="TableParagraph"/>
              <w:spacing w:before="13"/>
              <w:ind w:right="0"/>
              <w:jc w:val="center"/>
              <w:rPr>
                <w:b/>
                <w:sz w:val="22"/>
              </w:rPr>
            </w:pPr>
            <w:r>
              <w:rPr>
                <w:b/>
                <w:w w:val="100"/>
                <w:sz w:val="22"/>
              </w:rPr>
              <w:t>E</w:t>
            </w:r>
          </w:p>
        </w:tc>
        <w:tc>
          <w:tcPr>
            <w:tcW w:w="1190" w:type="dxa"/>
            <w:shd w:val="clear" w:color="auto" w:fill="E6B9B8"/>
          </w:tcPr>
          <w:p>
            <w:pPr>
              <w:pStyle w:val="TableParagraph"/>
              <w:spacing w:before="13"/>
              <w:ind w:left="1" w:right="0"/>
              <w:jc w:val="center"/>
              <w:rPr>
                <w:b/>
                <w:sz w:val="22"/>
              </w:rPr>
            </w:pPr>
            <w:r>
              <w:rPr>
                <w:b/>
                <w:w w:val="100"/>
                <w:sz w:val="22"/>
              </w:rPr>
              <w:t>G</w:t>
            </w:r>
          </w:p>
        </w:tc>
      </w:tr>
      <w:tr>
        <w:trPr>
          <w:trHeight w:val="311" w:hRule="exact"/>
        </w:trPr>
        <w:tc>
          <w:tcPr>
            <w:tcW w:w="660" w:type="dxa"/>
            <w:shd w:val="clear" w:color="auto" w:fill="DBE4F0"/>
          </w:tcPr>
          <w:p>
            <w:pPr>
              <w:pStyle w:val="TableParagraph"/>
              <w:spacing w:before="29"/>
              <w:ind w:right="63"/>
              <w:rPr>
                <w:sz w:val="22"/>
              </w:rPr>
            </w:pPr>
            <w:r>
              <w:rPr>
                <w:w w:val="100"/>
                <w:sz w:val="22"/>
              </w:rPr>
              <w:t>1</w:t>
            </w:r>
          </w:p>
        </w:tc>
        <w:tc>
          <w:tcPr>
            <w:tcW w:w="1687" w:type="dxa"/>
            <w:shd w:val="clear" w:color="auto" w:fill="DBE4F0"/>
          </w:tcPr>
          <w:p>
            <w:pPr>
              <w:pStyle w:val="TableParagraph"/>
              <w:spacing w:before="29"/>
              <w:rPr>
                <w:sz w:val="22"/>
              </w:rPr>
            </w:pPr>
            <w:r>
              <w:rPr>
                <w:sz w:val="22"/>
              </w:rPr>
              <w:t>20/06/2009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29"/>
              <w:ind w:right="63"/>
              <w:rPr>
                <w:sz w:val="22"/>
              </w:rPr>
            </w:pPr>
            <w:r>
              <w:rPr>
                <w:sz w:val="22"/>
              </w:rPr>
              <w:t>6.9</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w w:val="100"/>
                <w:sz w:val="22"/>
              </w:rPr>
              <w:t>2</w:t>
            </w:r>
          </w:p>
        </w:tc>
        <w:tc>
          <w:tcPr>
            <w:tcW w:w="1687" w:type="dxa"/>
            <w:shd w:val="clear" w:color="auto" w:fill="DBE4F0"/>
          </w:tcPr>
          <w:p>
            <w:pPr>
              <w:pStyle w:val="TableParagraph"/>
              <w:rPr>
                <w:sz w:val="22"/>
              </w:rPr>
            </w:pPr>
            <w:r>
              <w:rPr>
                <w:sz w:val="22"/>
              </w:rPr>
              <w:t>21/06/2009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7.53</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w w:val="100"/>
                <w:sz w:val="22"/>
              </w:rPr>
              <w:t>3</w:t>
            </w:r>
          </w:p>
        </w:tc>
        <w:tc>
          <w:tcPr>
            <w:tcW w:w="1687" w:type="dxa"/>
            <w:shd w:val="clear" w:color="auto" w:fill="DBE4F0"/>
          </w:tcPr>
          <w:p>
            <w:pPr>
              <w:pStyle w:val="TableParagraph"/>
              <w:rPr>
                <w:sz w:val="22"/>
              </w:rPr>
            </w:pPr>
            <w:r>
              <w:rPr>
                <w:sz w:val="22"/>
              </w:rPr>
              <w:t>22/06/2009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7.11</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w w:val="100"/>
                <w:sz w:val="22"/>
              </w:rPr>
              <w:t>4</w:t>
            </w:r>
          </w:p>
        </w:tc>
        <w:tc>
          <w:tcPr>
            <w:tcW w:w="1687" w:type="dxa"/>
            <w:shd w:val="clear" w:color="auto" w:fill="DBE4F0"/>
          </w:tcPr>
          <w:p>
            <w:pPr>
              <w:pStyle w:val="TableParagraph"/>
              <w:rPr>
                <w:sz w:val="22"/>
              </w:rPr>
            </w:pPr>
            <w:r>
              <w:rPr>
                <w:sz w:val="22"/>
              </w:rPr>
              <w:t>23/06/2009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7.14</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w w:val="100"/>
                <w:sz w:val="22"/>
              </w:rPr>
              <w:t>5</w:t>
            </w:r>
          </w:p>
        </w:tc>
        <w:tc>
          <w:tcPr>
            <w:tcW w:w="1687" w:type="dxa"/>
            <w:shd w:val="clear" w:color="auto" w:fill="DBE4F0"/>
          </w:tcPr>
          <w:p>
            <w:pPr>
              <w:pStyle w:val="TableParagraph"/>
              <w:rPr>
                <w:sz w:val="22"/>
              </w:rPr>
            </w:pPr>
            <w:r>
              <w:rPr>
                <w:sz w:val="22"/>
              </w:rPr>
              <w:t>24/06/2009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7.15</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30"/>
              <w:ind w:right="63"/>
              <w:rPr>
                <w:sz w:val="22"/>
              </w:rPr>
            </w:pPr>
            <w:r>
              <w:rPr>
                <w:w w:val="100"/>
                <w:sz w:val="22"/>
              </w:rPr>
              <w:t>6</w:t>
            </w:r>
          </w:p>
        </w:tc>
        <w:tc>
          <w:tcPr>
            <w:tcW w:w="1687" w:type="dxa"/>
            <w:shd w:val="clear" w:color="auto" w:fill="DBE4F0"/>
          </w:tcPr>
          <w:p>
            <w:pPr>
              <w:pStyle w:val="TableParagraph"/>
              <w:spacing w:before="30"/>
              <w:rPr>
                <w:sz w:val="22"/>
              </w:rPr>
            </w:pPr>
            <w:r>
              <w:rPr>
                <w:sz w:val="22"/>
              </w:rPr>
              <w:t>25/06/2009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30"/>
              <w:ind w:right="63"/>
              <w:rPr>
                <w:sz w:val="22"/>
              </w:rPr>
            </w:pPr>
            <w:r>
              <w:rPr>
                <w:sz w:val="22"/>
              </w:rPr>
              <w:t>6.9</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29"/>
              <w:ind w:right="63"/>
              <w:rPr>
                <w:sz w:val="22"/>
              </w:rPr>
            </w:pPr>
            <w:r>
              <w:rPr>
                <w:w w:val="100"/>
                <w:sz w:val="22"/>
              </w:rPr>
              <w:t>7</w:t>
            </w:r>
          </w:p>
        </w:tc>
        <w:tc>
          <w:tcPr>
            <w:tcW w:w="1687" w:type="dxa"/>
            <w:shd w:val="clear" w:color="auto" w:fill="DBE4F0"/>
          </w:tcPr>
          <w:p>
            <w:pPr>
              <w:pStyle w:val="TableParagraph"/>
              <w:spacing w:before="29"/>
              <w:rPr>
                <w:sz w:val="22"/>
              </w:rPr>
            </w:pPr>
            <w:r>
              <w:rPr>
                <w:sz w:val="22"/>
              </w:rPr>
              <w:t>26/06/2009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29"/>
              <w:ind w:right="63"/>
              <w:rPr>
                <w:sz w:val="22"/>
              </w:rPr>
            </w:pPr>
            <w:r>
              <w:rPr>
                <w:sz w:val="22"/>
              </w:rPr>
              <w:t>7.05</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w w:val="100"/>
                <w:sz w:val="22"/>
              </w:rPr>
              <w:t>8</w:t>
            </w:r>
          </w:p>
        </w:tc>
        <w:tc>
          <w:tcPr>
            <w:tcW w:w="1687" w:type="dxa"/>
            <w:shd w:val="clear" w:color="auto" w:fill="DBE4F0"/>
          </w:tcPr>
          <w:p>
            <w:pPr>
              <w:pStyle w:val="TableParagraph"/>
              <w:rPr>
                <w:sz w:val="22"/>
              </w:rPr>
            </w:pPr>
            <w:r>
              <w:rPr>
                <w:sz w:val="22"/>
              </w:rPr>
              <w:t>27/06/2009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7.11</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w w:val="100"/>
                <w:sz w:val="22"/>
              </w:rPr>
              <w:t>9</w:t>
            </w:r>
          </w:p>
        </w:tc>
        <w:tc>
          <w:tcPr>
            <w:tcW w:w="1687" w:type="dxa"/>
            <w:shd w:val="clear" w:color="auto" w:fill="DBE4F0"/>
          </w:tcPr>
          <w:p>
            <w:pPr>
              <w:pStyle w:val="TableParagraph"/>
              <w:rPr>
                <w:sz w:val="22"/>
              </w:rPr>
            </w:pPr>
            <w:r>
              <w:rPr>
                <w:sz w:val="22"/>
              </w:rPr>
              <w:t>28/06/2009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7.12</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10</w:t>
            </w:r>
          </w:p>
        </w:tc>
        <w:tc>
          <w:tcPr>
            <w:tcW w:w="1687" w:type="dxa"/>
            <w:shd w:val="clear" w:color="auto" w:fill="DBE4F0"/>
          </w:tcPr>
          <w:p>
            <w:pPr>
              <w:pStyle w:val="TableParagraph"/>
              <w:rPr>
                <w:sz w:val="22"/>
              </w:rPr>
            </w:pPr>
            <w:r>
              <w:rPr>
                <w:sz w:val="22"/>
              </w:rPr>
              <w:t>29/06/2009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7.26</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11</w:t>
            </w:r>
          </w:p>
        </w:tc>
        <w:tc>
          <w:tcPr>
            <w:tcW w:w="1687" w:type="dxa"/>
            <w:shd w:val="clear" w:color="auto" w:fill="DBE4F0"/>
          </w:tcPr>
          <w:p>
            <w:pPr>
              <w:pStyle w:val="TableParagraph"/>
              <w:rPr>
                <w:sz w:val="22"/>
              </w:rPr>
            </w:pPr>
            <w:r>
              <w:rPr>
                <w:sz w:val="22"/>
              </w:rPr>
              <w:t>30/06/2009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7.14</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30"/>
              <w:ind w:right="63"/>
              <w:rPr>
                <w:sz w:val="22"/>
              </w:rPr>
            </w:pPr>
            <w:r>
              <w:rPr>
                <w:sz w:val="22"/>
              </w:rPr>
              <w:t>12</w:t>
            </w:r>
          </w:p>
        </w:tc>
        <w:tc>
          <w:tcPr>
            <w:tcW w:w="1687" w:type="dxa"/>
            <w:shd w:val="clear" w:color="auto" w:fill="DBE4F0"/>
          </w:tcPr>
          <w:p>
            <w:pPr>
              <w:pStyle w:val="TableParagraph"/>
              <w:spacing w:before="30"/>
              <w:rPr>
                <w:sz w:val="22"/>
              </w:rPr>
            </w:pPr>
            <w:r>
              <w:rPr>
                <w:sz w:val="22"/>
              </w:rPr>
              <w:t>01/07/2009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30"/>
              <w:ind w:right="63"/>
              <w:rPr>
                <w:sz w:val="22"/>
              </w:rPr>
            </w:pPr>
            <w:r>
              <w:rPr>
                <w:sz w:val="22"/>
              </w:rPr>
              <w:t>7.17</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29"/>
              <w:ind w:right="63"/>
              <w:rPr>
                <w:sz w:val="22"/>
              </w:rPr>
            </w:pPr>
            <w:r>
              <w:rPr>
                <w:sz w:val="22"/>
              </w:rPr>
              <w:t>13</w:t>
            </w:r>
          </w:p>
        </w:tc>
        <w:tc>
          <w:tcPr>
            <w:tcW w:w="1687" w:type="dxa"/>
            <w:shd w:val="clear" w:color="auto" w:fill="DBE4F0"/>
          </w:tcPr>
          <w:p>
            <w:pPr>
              <w:pStyle w:val="TableParagraph"/>
              <w:spacing w:before="29"/>
              <w:rPr>
                <w:sz w:val="22"/>
              </w:rPr>
            </w:pPr>
            <w:r>
              <w:rPr>
                <w:sz w:val="22"/>
              </w:rPr>
              <w:t>02/07/2009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29"/>
              <w:ind w:right="63"/>
              <w:rPr>
                <w:sz w:val="22"/>
              </w:rPr>
            </w:pPr>
            <w:r>
              <w:rPr>
                <w:sz w:val="22"/>
              </w:rPr>
              <w:t>7.13</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14</w:t>
            </w:r>
          </w:p>
        </w:tc>
        <w:tc>
          <w:tcPr>
            <w:tcW w:w="1687" w:type="dxa"/>
            <w:shd w:val="clear" w:color="auto" w:fill="DBE4F0"/>
          </w:tcPr>
          <w:p>
            <w:pPr>
              <w:pStyle w:val="TableParagraph"/>
              <w:rPr>
                <w:sz w:val="22"/>
              </w:rPr>
            </w:pPr>
            <w:r>
              <w:rPr>
                <w:sz w:val="22"/>
              </w:rPr>
              <w:t>03/07/2009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7.06</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15</w:t>
            </w:r>
          </w:p>
        </w:tc>
        <w:tc>
          <w:tcPr>
            <w:tcW w:w="1687" w:type="dxa"/>
            <w:shd w:val="clear" w:color="auto" w:fill="DBE4F0"/>
          </w:tcPr>
          <w:p>
            <w:pPr>
              <w:pStyle w:val="TableParagraph"/>
              <w:rPr>
                <w:sz w:val="22"/>
              </w:rPr>
            </w:pPr>
            <w:r>
              <w:rPr>
                <w:sz w:val="22"/>
              </w:rPr>
              <w:t>04/07/2009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w w:val="100"/>
                <w:sz w:val="22"/>
              </w:rPr>
              <w:t>7</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16</w:t>
            </w:r>
          </w:p>
        </w:tc>
        <w:tc>
          <w:tcPr>
            <w:tcW w:w="1687" w:type="dxa"/>
            <w:shd w:val="clear" w:color="auto" w:fill="DBE4F0"/>
          </w:tcPr>
          <w:p>
            <w:pPr>
              <w:pStyle w:val="TableParagraph"/>
              <w:rPr>
                <w:sz w:val="22"/>
              </w:rPr>
            </w:pPr>
            <w:r>
              <w:rPr>
                <w:sz w:val="22"/>
              </w:rPr>
              <w:t>05/07/2009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7.28</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17</w:t>
            </w:r>
          </w:p>
        </w:tc>
        <w:tc>
          <w:tcPr>
            <w:tcW w:w="1687" w:type="dxa"/>
            <w:shd w:val="clear" w:color="auto" w:fill="DBE4F0"/>
          </w:tcPr>
          <w:p>
            <w:pPr>
              <w:pStyle w:val="TableParagraph"/>
              <w:rPr>
                <w:sz w:val="22"/>
              </w:rPr>
            </w:pPr>
            <w:r>
              <w:rPr>
                <w:sz w:val="22"/>
              </w:rPr>
              <w:t>06/07/2009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7.23</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30"/>
              <w:ind w:right="63"/>
              <w:rPr>
                <w:sz w:val="22"/>
              </w:rPr>
            </w:pPr>
            <w:r>
              <w:rPr>
                <w:sz w:val="22"/>
              </w:rPr>
              <w:t>18</w:t>
            </w:r>
          </w:p>
        </w:tc>
        <w:tc>
          <w:tcPr>
            <w:tcW w:w="1687" w:type="dxa"/>
            <w:shd w:val="clear" w:color="auto" w:fill="DBE4F0"/>
          </w:tcPr>
          <w:p>
            <w:pPr>
              <w:pStyle w:val="TableParagraph"/>
              <w:spacing w:before="30"/>
              <w:rPr>
                <w:sz w:val="22"/>
              </w:rPr>
            </w:pPr>
            <w:r>
              <w:rPr>
                <w:sz w:val="22"/>
              </w:rPr>
              <w:t>07/07/2009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30"/>
              <w:ind w:right="63"/>
              <w:rPr>
                <w:sz w:val="22"/>
              </w:rPr>
            </w:pPr>
            <w:r>
              <w:rPr>
                <w:sz w:val="22"/>
              </w:rPr>
              <w:t>7.11</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29"/>
              <w:ind w:right="63"/>
              <w:rPr>
                <w:sz w:val="22"/>
              </w:rPr>
            </w:pPr>
            <w:r>
              <w:rPr>
                <w:sz w:val="22"/>
              </w:rPr>
              <w:t>19</w:t>
            </w:r>
          </w:p>
        </w:tc>
        <w:tc>
          <w:tcPr>
            <w:tcW w:w="1687" w:type="dxa"/>
            <w:shd w:val="clear" w:color="auto" w:fill="DBE4F0"/>
          </w:tcPr>
          <w:p>
            <w:pPr>
              <w:pStyle w:val="TableParagraph"/>
              <w:spacing w:before="29"/>
              <w:rPr>
                <w:sz w:val="22"/>
              </w:rPr>
            </w:pPr>
            <w:r>
              <w:rPr>
                <w:sz w:val="22"/>
              </w:rPr>
              <w:t>08/07/2009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29"/>
              <w:ind w:right="63"/>
              <w:rPr>
                <w:sz w:val="22"/>
              </w:rPr>
            </w:pPr>
            <w:r>
              <w:rPr>
                <w:sz w:val="22"/>
              </w:rPr>
              <w:t>7.35</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20</w:t>
            </w:r>
          </w:p>
        </w:tc>
        <w:tc>
          <w:tcPr>
            <w:tcW w:w="1687" w:type="dxa"/>
            <w:shd w:val="clear" w:color="auto" w:fill="DBE4F0"/>
          </w:tcPr>
          <w:p>
            <w:pPr>
              <w:pStyle w:val="TableParagraph"/>
              <w:rPr>
                <w:sz w:val="22"/>
              </w:rPr>
            </w:pPr>
            <w:r>
              <w:rPr>
                <w:sz w:val="22"/>
              </w:rPr>
              <w:t>09/07/2009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7.4</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21</w:t>
            </w:r>
          </w:p>
        </w:tc>
        <w:tc>
          <w:tcPr>
            <w:tcW w:w="1687" w:type="dxa"/>
            <w:shd w:val="clear" w:color="auto" w:fill="DBE4F0"/>
          </w:tcPr>
          <w:p>
            <w:pPr>
              <w:pStyle w:val="TableParagraph"/>
              <w:rPr>
                <w:sz w:val="22"/>
              </w:rPr>
            </w:pPr>
            <w:r>
              <w:rPr>
                <w:sz w:val="22"/>
              </w:rPr>
              <w:t>10/07/2009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7.02</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22</w:t>
            </w:r>
          </w:p>
        </w:tc>
        <w:tc>
          <w:tcPr>
            <w:tcW w:w="1687" w:type="dxa"/>
            <w:shd w:val="clear" w:color="auto" w:fill="DBE4F0"/>
          </w:tcPr>
          <w:p>
            <w:pPr>
              <w:pStyle w:val="TableParagraph"/>
              <w:rPr>
                <w:sz w:val="22"/>
              </w:rPr>
            </w:pPr>
            <w:r>
              <w:rPr>
                <w:sz w:val="22"/>
              </w:rPr>
              <w:t>11/07/2009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6.49</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23</w:t>
            </w:r>
          </w:p>
        </w:tc>
        <w:tc>
          <w:tcPr>
            <w:tcW w:w="1687" w:type="dxa"/>
            <w:shd w:val="clear" w:color="auto" w:fill="DBE4F0"/>
          </w:tcPr>
          <w:p>
            <w:pPr>
              <w:pStyle w:val="TableParagraph"/>
              <w:rPr>
                <w:sz w:val="22"/>
              </w:rPr>
            </w:pPr>
            <w:r>
              <w:rPr>
                <w:sz w:val="22"/>
              </w:rPr>
              <w:t>12/07/2009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6.9</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30"/>
              <w:ind w:right="63"/>
              <w:rPr>
                <w:sz w:val="22"/>
              </w:rPr>
            </w:pPr>
            <w:r>
              <w:rPr>
                <w:sz w:val="22"/>
              </w:rPr>
              <w:t>24</w:t>
            </w:r>
          </w:p>
        </w:tc>
        <w:tc>
          <w:tcPr>
            <w:tcW w:w="1687" w:type="dxa"/>
            <w:shd w:val="clear" w:color="auto" w:fill="DBE4F0"/>
          </w:tcPr>
          <w:p>
            <w:pPr>
              <w:pStyle w:val="TableParagraph"/>
              <w:spacing w:before="30"/>
              <w:rPr>
                <w:sz w:val="22"/>
              </w:rPr>
            </w:pPr>
            <w:r>
              <w:rPr>
                <w:sz w:val="22"/>
              </w:rPr>
              <w:t>13/07/2009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30"/>
              <w:ind w:right="63"/>
              <w:rPr>
                <w:sz w:val="22"/>
              </w:rPr>
            </w:pPr>
            <w:r>
              <w:rPr>
                <w:sz w:val="22"/>
              </w:rPr>
              <w:t>7.07</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29"/>
              <w:ind w:right="63"/>
              <w:rPr>
                <w:sz w:val="22"/>
              </w:rPr>
            </w:pPr>
            <w:r>
              <w:rPr>
                <w:sz w:val="22"/>
              </w:rPr>
              <w:t>25</w:t>
            </w:r>
          </w:p>
        </w:tc>
        <w:tc>
          <w:tcPr>
            <w:tcW w:w="1687" w:type="dxa"/>
            <w:shd w:val="clear" w:color="auto" w:fill="DBE4F0"/>
          </w:tcPr>
          <w:p>
            <w:pPr>
              <w:pStyle w:val="TableParagraph"/>
              <w:spacing w:before="29"/>
              <w:rPr>
                <w:sz w:val="22"/>
              </w:rPr>
            </w:pPr>
            <w:r>
              <w:rPr>
                <w:sz w:val="22"/>
              </w:rPr>
              <w:t>14/07/2009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29"/>
              <w:ind w:right="63"/>
              <w:rPr>
                <w:sz w:val="22"/>
              </w:rPr>
            </w:pPr>
            <w:r>
              <w:rPr>
                <w:sz w:val="22"/>
              </w:rPr>
              <w:t>7.29</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26</w:t>
            </w:r>
          </w:p>
        </w:tc>
        <w:tc>
          <w:tcPr>
            <w:tcW w:w="1687" w:type="dxa"/>
            <w:shd w:val="clear" w:color="auto" w:fill="DBE4F0"/>
          </w:tcPr>
          <w:p>
            <w:pPr>
              <w:pStyle w:val="TableParagraph"/>
              <w:rPr>
                <w:sz w:val="22"/>
              </w:rPr>
            </w:pPr>
            <w:r>
              <w:rPr>
                <w:sz w:val="22"/>
              </w:rPr>
              <w:t>15/07/2009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7.05</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27</w:t>
            </w:r>
          </w:p>
        </w:tc>
        <w:tc>
          <w:tcPr>
            <w:tcW w:w="1687" w:type="dxa"/>
            <w:shd w:val="clear" w:color="auto" w:fill="DBE4F0"/>
          </w:tcPr>
          <w:p>
            <w:pPr>
              <w:pStyle w:val="TableParagraph"/>
              <w:rPr>
                <w:sz w:val="22"/>
              </w:rPr>
            </w:pPr>
            <w:r>
              <w:rPr>
                <w:sz w:val="22"/>
              </w:rPr>
              <w:t>16/07/2009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7.06</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28</w:t>
            </w:r>
          </w:p>
        </w:tc>
        <w:tc>
          <w:tcPr>
            <w:tcW w:w="1687" w:type="dxa"/>
            <w:shd w:val="clear" w:color="auto" w:fill="DBE4F0"/>
          </w:tcPr>
          <w:p>
            <w:pPr>
              <w:pStyle w:val="TableParagraph"/>
              <w:rPr>
                <w:sz w:val="22"/>
              </w:rPr>
            </w:pPr>
            <w:r>
              <w:rPr>
                <w:sz w:val="22"/>
              </w:rPr>
              <w:t>17/07/2009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7.08</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29</w:t>
            </w:r>
          </w:p>
        </w:tc>
        <w:tc>
          <w:tcPr>
            <w:tcW w:w="1687" w:type="dxa"/>
            <w:shd w:val="clear" w:color="auto" w:fill="DBE4F0"/>
          </w:tcPr>
          <w:p>
            <w:pPr>
              <w:pStyle w:val="TableParagraph"/>
              <w:rPr>
                <w:sz w:val="22"/>
              </w:rPr>
            </w:pPr>
            <w:r>
              <w:rPr>
                <w:sz w:val="22"/>
              </w:rPr>
              <w:t>18/07/2009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7.28</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30"/>
              <w:ind w:right="63"/>
              <w:rPr>
                <w:sz w:val="22"/>
              </w:rPr>
            </w:pPr>
            <w:r>
              <w:rPr>
                <w:sz w:val="22"/>
              </w:rPr>
              <w:t>30</w:t>
            </w:r>
          </w:p>
        </w:tc>
        <w:tc>
          <w:tcPr>
            <w:tcW w:w="1687" w:type="dxa"/>
            <w:shd w:val="clear" w:color="auto" w:fill="DBE4F0"/>
          </w:tcPr>
          <w:p>
            <w:pPr>
              <w:pStyle w:val="TableParagraph"/>
              <w:spacing w:before="30"/>
              <w:rPr>
                <w:sz w:val="22"/>
              </w:rPr>
            </w:pPr>
            <w:r>
              <w:rPr>
                <w:sz w:val="22"/>
              </w:rPr>
              <w:t>19/07/2009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30"/>
              <w:ind w:right="63"/>
              <w:rPr>
                <w:sz w:val="22"/>
              </w:rPr>
            </w:pPr>
            <w:r>
              <w:rPr>
                <w:sz w:val="22"/>
              </w:rPr>
              <w:t>7.53</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29"/>
              <w:ind w:right="63"/>
              <w:rPr>
                <w:sz w:val="22"/>
              </w:rPr>
            </w:pPr>
            <w:r>
              <w:rPr>
                <w:sz w:val="22"/>
              </w:rPr>
              <w:t>31</w:t>
            </w:r>
          </w:p>
        </w:tc>
        <w:tc>
          <w:tcPr>
            <w:tcW w:w="1687" w:type="dxa"/>
            <w:shd w:val="clear" w:color="auto" w:fill="DBE4F0"/>
          </w:tcPr>
          <w:p>
            <w:pPr>
              <w:pStyle w:val="TableParagraph"/>
              <w:spacing w:before="29"/>
              <w:rPr>
                <w:sz w:val="22"/>
              </w:rPr>
            </w:pPr>
            <w:r>
              <w:rPr>
                <w:sz w:val="22"/>
              </w:rPr>
              <w:t>20/07/2009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29"/>
              <w:ind w:right="63"/>
              <w:rPr>
                <w:sz w:val="22"/>
              </w:rPr>
            </w:pPr>
            <w:r>
              <w:rPr>
                <w:sz w:val="22"/>
              </w:rPr>
              <w:t>7.43</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32</w:t>
            </w:r>
          </w:p>
        </w:tc>
        <w:tc>
          <w:tcPr>
            <w:tcW w:w="1687" w:type="dxa"/>
            <w:shd w:val="clear" w:color="auto" w:fill="DBE4F0"/>
          </w:tcPr>
          <w:p>
            <w:pPr>
              <w:pStyle w:val="TableParagraph"/>
              <w:rPr>
                <w:sz w:val="22"/>
              </w:rPr>
            </w:pPr>
            <w:r>
              <w:rPr>
                <w:sz w:val="22"/>
              </w:rPr>
              <w:t>21/07/2009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7.51</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33</w:t>
            </w:r>
          </w:p>
        </w:tc>
        <w:tc>
          <w:tcPr>
            <w:tcW w:w="1687" w:type="dxa"/>
            <w:shd w:val="clear" w:color="auto" w:fill="DBE4F0"/>
          </w:tcPr>
          <w:p>
            <w:pPr>
              <w:pStyle w:val="TableParagraph"/>
              <w:rPr>
                <w:sz w:val="22"/>
              </w:rPr>
            </w:pPr>
            <w:r>
              <w:rPr>
                <w:sz w:val="22"/>
              </w:rPr>
              <w:t>22/07/2009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7.22</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34</w:t>
            </w:r>
          </w:p>
        </w:tc>
        <w:tc>
          <w:tcPr>
            <w:tcW w:w="1687" w:type="dxa"/>
            <w:shd w:val="clear" w:color="auto" w:fill="DBE4F0"/>
          </w:tcPr>
          <w:p>
            <w:pPr>
              <w:pStyle w:val="TableParagraph"/>
              <w:rPr>
                <w:sz w:val="22"/>
              </w:rPr>
            </w:pPr>
            <w:r>
              <w:rPr>
                <w:sz w:val="22"/>
              </w:rPr>
              <w:t>23/07/2009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6.9</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0" w:hRule="exact"/>
        </w:trPr>
        <w:tc>
          <w:tcPr>
            <w:tcW w:w="660" w:type="dxa"/>
            <w:shd w:val="clear" w:color="auto" w:fill="DBE4F0"/>
          </w:tcPr>
          <w:p>
            <w:pPr>
              <w:pStyle w:val="TableParagraph"/>
              <w:ind w:right="63"/>
              <w:rPr>
                <w:sz w:val="22"/>
              </w:rPr>
            </w:pPr>
            <w:r>
              <w:rPr>
                <w:sz w:val="22"/>
              </w:rPr>
              <w:t>35</w:t>
            </w:r>
          </w:p>
        </w:tc>
        <w:tc>
          <w:tcPr>
            <w:tcW w:w="1687" w:type="dxa"/>
            <w:shd w:val="clear" w:color="auto" w:fill="DBE4F0"/>
          </w:tcPr>
          <w:p>
            <w:pPr>
              <w:pStyle w:val="TableParagraph"/>
              <w:rPr>
                <w:sz w:val="22"/>
              </w:rPr>
            </w:pPr>
            <w:r>
              <w:rPr>
                <w:sz w:val="22"/>
              </w:rPr>
              <w:t>24/07/2009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ind w:right="63"/>
              <w:rPr>
                <w:sz w:val="22"/>
              </w:rPr>
            </w:pPr>
            <w:r>
              <w:rPr>
                <w:sz w:val="22"/>
              </w:rPr>
              <w:t>7.08</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30"/>
              <w:ind w:right="63"/>
              <w:rPr>
                <w:sz w:val="22"/>
              </w:rPr>
            </w:pPr>
            <w:r>
              <w:rPr>
                <w:sz w:val="22"/>
              </w:rPr>
              <w:t>36</w:t>
            </w:r>
          </w:p>
        </w:tc>
        <w:tc>
          <w:tcPr>
            <w:tcW w:w="1687" w:type="dxa"/>
            <w:shd w:val="clear" w:color="auto" w:fill="DBE4F0"/>
          </w:tcPr>
          <w:p>
            <w:pPr>
              <w:pStyle w:val="TableParagraph"/>
              <w:spacing w:before="30"/>
              <w:rPr>
                <w:sz w:val="22"/>
              </w:rPr>
            </w:pPr>
            <w:r>
              <w:rPr>
                <w:sz w:val="22"/>
              </w:rPr>
              <w:t>25/07/2009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30"/>
              <w:ind w:right="63"/>
              <w:rPr>
                <w:sz w:val="22"/>
              </w:rPr>
            </w:pPr>
            <w:r>
              <w:rPr>
                <w:sz w:val="22"/>
              </w:rPr>
              <w:t>7.24</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r>
        <w:trPr>
          <w:trHeight w:val="311" w:hRule="exact"/>
        </w:trPr>
        <w:tc>
          <w:tcPr>
            <w:tcW w:w="660" w:type="dxa"/>
            <w:shd w:val="clear" w:color="auto" w:fill="DBE4F0"/>
          </w:tcPr>
          <w:p>
            <w:pPr>
              <w:pStyle w:val="TableParagraph"/>
              <w:spacing w:before="29"/>
              <w:ind w:right="63"/>
              <w:rPr>
                <w:sz w:val="22"/>
              </w:rPr>
            </w:pPr>
            <w:r>
              <w:rPr>
                <w:sz w:val="22"/>
              </w:rPr>
              <w:t>37</w:t>
            </w:r>
          </w:p>
        </w:tc>
        <w:tc>
          <w:tcPr>
            <w:tcW w:w="1687" w:type="dxa"/>
            <w:shd w:val="clear" w:color="auto" w:fill="DBE4F0"/>
          </w:tcPr>
          <w:p>
            <w:pPr>
              <w:pStyle w:val="TableParagraph"/>
              <w:spacing w:before="29"/>
              <w:rPr>
                <w:sz w:val="22"/>
              </w:rPr>
            </w:pPr>
            <w:r>
              <w:rPr>
                <w:sz w:val="22"/>
              </w:rPr>
              <w:t>26/07/2009</w:t>
            </w:r>
          </w:p>
        </w:tc>
        <w:tc>
          <w:tcPr>
            <w:tcW w:w="1265" w:type="dxa"/>
            <w:shd w:val="clear" w:color="auto" w:fill="DBE4F0"/>
          </w:tcPr>
          <w:p>
            <w:pPr/>
          </w:p>
        </w:tc>
        <w:tc>
          <w:tcPr>
            <w:tcW w:w="1188" w:type="dxa"/>
            <w:shd w:val="clear" w:color="auto" w:fill="DBE4F0"/>
          </w:tcPr>
          <w:p>
            <w:pPr/>
          </w:p>
        </w:tc>
        <w:tc>
          <w:tcPr>
            <w:tcW w:w="612" w:type="dxa"/>
            <w:shd w:val="clear" w:color="auto" w:fill="DBE4F0"/>
          </w:tcPr>
          <w:p>
            <w:pPr>
              <w:pStyle w:val="TableParagraph"/>
              <w:spacing w:before="29"/>
              <w:ind w:right="63"/>
              <w:rPr>
                <w:sz w:val="22"/>
              </w:rPr>
            </w:pPr>
            <w:r>
              <w:rPr>
                <w:sz w:val="22"/>
              </w:rPr>
              <w:t>7.12</w:t>
            </w:r>
          </w:p>
        </w:tc>
        <w:tc>
          <w:tcPr>
            <w:tcW w:w="1188" w:type="dxa"/>
            <w:shd w:val="clear" w:color="auto" w:fill="DBE4F0"/>
          </w:tcPr>
          <w:p>
            <w:pPr/>
          </w:p>
        </w:tc>
        <w:tc>
          <w:tcPr>
            <w:tcW w:w="1190" w:type="dxa"/>
            <w:shd w:val="clear" w:color="auto" w:fill="DBE4F0"/>
          </w:tcPr>
          <w:p>
            <w:pPr/>
          </w:p>
        </w:tc>
        <w:tc>
          <w:tcPr>
            <w:tcW w:w="1190" w:type="dxa"/>
            <w:shd w:val="clear" w:color="auto" w:fill="DBE4F0"/>
          </w:tcPr>
          <w:p>
            <w:pPr/>
          </w:p>
        </w:tc>
      </w:tr>
    </w:tbl>
    <w:p>
      <w:pPr>
        <w:spacing w:after="0"/>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7"/>
        <w:gridCol w:w="1265"/>
        <w:gridCol w:w="1188"/>
        <w:gridCol w:w="612"/>
        <w:gridCol w:w="1188"/>
        <w:gridCol w:w="1190"/>
        <w:gridCol w:w="1190"/>
      </w:tblGrid>
      <w:tr>
        <w:trPr>
          <w:trHeight w:val="310" w:hRule="exact"/>
        </w:trPr>
        <w:tc>
          <w:tcPr>
            <w:tcW w:w="8981" w:type="dxa"/>
            <w:gridSpan w:val="8"/>
            <w:shd w:val="clear" w:color="auto" w:fill="E6B9B8"/>
          </w:tcPr>
          <w:p>
            <w:pPr>
              <w:pStyle w:val="TableParagraph"/>
              <w:ind w:left="4337" w:right="4337"/>
              <w:jc w:val="center"/>
              <w:rPr>
                <w:b/>
                <w:sz w:val="22"/>
              </w:rPr>
            </w:pPr>
            <w:r>
              <w:rPr>
                <w:b/>
                <w:sz w:val="22"/>
              </w:rPr>
              <w:t>pH</w:t>
            </w:r>
          </w:p>
        </w:tc>
      </w:tr>
      <w:tr>
        <w:trPr>
          <w:trHeight w:val="610" w:hRule="exact"/>
        </w:trPr>
        <w:tc>
          <w:tcPr>
            <w:tcW w:w="660" w:type="dxa"/>
            <w:vMerge w:val="restart"/>
            <w:shd w:val="clear" w:color="auto" w:fill="E6B9B8"/>
          </w:tcPr>
          <w:p>
            <w:pPr>
              <w:pStyle w:val="TableParagraph"/>
              <w:spacing w:before="8"/>
              <w:ind w:right="0"/>
              <w:jc w:val="left"/>
              <w:rPr>
                <w:rFonts w:ascii="Times New Roman"/>
                <w:sz w:val="27"/>
              </w:rPr>
            </w:pPr>
          </w:p>
          <w:p>
            <w:pPr>
              <w:pStyle w:val="TableParagraph"/>
              <w:spacing w:before="0"/>
              <w:ind w:left="129" w:right="0"/>
              <w:jc w:val="left"/>
              <w:rPr>
                <w:b/>
                <w:sz w:val="22"/>
              </w:rPr>
            </w:pPr>
            <w:r>
              <w:rPr>
                <w:b/>
                <w:sz w:val="22"/>
              </w:rPr>
              <w:t>Días</w:t>
            </w:r>
          </w:p>
        </w:tc>
        <w:tc>
          <w:tcPr>
            <w:tcW w:w="1687" w:type="dxa"/>
            <w:vMerge w:val="restart"/>
            <w:shd w:val="clear" w:color="auto" w:fill="E6B9B8"/>
          </w:tcPr>
          <w:p>
            <w:pPr>
              <w:pStyle w:val="TableParagraph"/>
              <w:spacing w:before="8"/>
              <w:ind w:right="0"/>
              <w:jc w:val="left"/>
              <w:rPr>
                <w:rFonts w:ascii="Times New Roman"/>
                <w:sz w:val="27"/>
              </w:rPr>
            </w:pPr>
          </w:p>
          <w:p>
            <w:pPr>
              <w:pStyle w:val="TableParagraph"/>
              <w:spacing w:before="0"/>
              <w:ind w:left="553" w:right="553"/>
              <w:jc w:val="center"/>
              <w:rPr>
                <w:b/>
                <w:sz w:val="22"/>
              </w:rPr>
            </w:pPr>
            <w:r>
              <w:rPr>
                <w:b/>
                <w:sz w:val="22"/>
              </w:rPr>
              <w:t>Fecha</w:t>
            </w:r>
          </w:p>
        </w:tc>
        <w:tc>
          <w:tcPr>
            <w:tcW w:w="6634" w:type="dxa"/>
            <w:gridSpan w:val="6"/>
            <w:shd w:val="clear" w:color="auto" w:fill="E6B9B8"/>
          </w:tcPr>
          <w:p>
            <w:pPr>
              <w:pStyle w:val="TableParagraph"/>
              <w:spacing w:before="162"/>
              <w:ind w:left="2371" w:right="2370"/>
              <w:jc w:val="center"/>
              <w:rPr>
                <w:b/>
                <w:sz w:val="22"/>
              </w:rPr>
            </w:pPr>
            <w:r>
              <w:rPr>
                <w:b/>
                <w:sz w:val="22"/>
              </w:rPr>
              <w:t>Puntos de muestreo</w:t>
            </w:r>
          </w:p>
        </w:tc>
      </w:tr>
      <w:tr>
        <w:trPr>
          <w:trHeight w:val="310" w:hRule="exact"/>
        </w:trPr>
        <w:tc>
          <w:tcPr>
            <w:tcW w:w="660" w:type="dxa"/>
            <w:vMerge/>
            <w:shd w:val="clear" w:color="auto" w:fill="E6B9B8"/>
          </w:tcPr>
          <w:p>
            <w:pPr/>
          </w:p>
        </w:tc>
        <w:tc>
          <w:tcPr>
            <w:tcW w:w="1687" w:type="dxa"/>
            <w:vMerge/>
            <w:shd w:val="clear" w:color="auto" w:fill="E6B9B8"/>
          </w:tcPr>
          <w:p>
            <w:pPr/>
          </w:p>
        </w:tc>
        <w:tc>
          <w:tcPr>
            <w:tcW w:w="1265" w:type="dxa"/>
            <w:shd w:val="clear" w:color="auto" w:fill="E6B9B8"/>
          </w:tcPr>
          <w:p>
            <w:pPr>
              <w:pStyle w:val="TableParagraph"/>
              <w:spacing w:before="13"/>
              <w:ind w:right="1"/>
              <w:jc w:val="center"/>
              <w:rPr>
                <w:b/>
                <w:sz w:val="22"/>
              </w:rPr>
            </w:pPr>
            <w:r>
              <w:rPr>
                <w:b/>
                <w:w w:val="100"/>
                <w:sz w:val="22"/>
              </w:rPr>
              <w:t>A</w:t>
            </w:r>
          </w:p>
        </w:tc>
        <w:tc>
          <w:tcPr>
            <w:tcW w:w="1188" w:type="dxa"/>
            <w:shd w:val="clear" w:color="auto" w:fill="E6B9B8"/>
          </w:tcPr>
          <w:p>
            <w:pPr>
              <w:pStyle w:val="TableParagraph"/>
              <w:spacing w:before="13"/>
              <w:ind w:left="1" w:right="0"/>
              <w:jc w:val="center"/>
              <w:rPr>
                <w:b/>
                <w:sz w:val="22"/>
              </w:rPr>
            </w:pPr>
            <w:r>
              <w:rPr>
                <w:b/>
                <w:w w:val="100"/>
                <w:sz w:val="22"/>
              </w:rPr>
              <w:t>B</w:t>
            </w:r>
          </w:p>
        </w:tc>
        <w:tc>
          <w:tcPr>
            <w:tcW w:w="612" w:type="dxa"/>
            <w:shd w:val="clear" w:color="auto" w:fill="E6B9B8"/>
          </w:tcPr>
          <w:p>
            <w:pPr>
              <w:pStyle w:val="TableParagraph"/>
              <w:spacing w:before="30"/>
              <w:ind w:right="3"/>
              <w:jc w:val="center"/>
              <w:rPr>
                <w:b/>
                <w:sz w:val="22"/>
              </w:rPr>
            </w:pPr>
            <w:r>
              <w:rPr>
                <w:b/>
                <w:w w:val="100"/>
                <w:sz w:val="22"/>
              </w:rPr>
              <w:t>C</w:t>
            </w:r>
          </w:p>
        </w:tc>
        <w:tc>
          <w:tcPr>
            <w:tcW w:w="1188" w:type="dxa"/>
            <w:shd w:val="clear" w:color="auto" w:fill="E6B9B8"/>
          </w:tcPr>
          <w:p>
            <w:pPr>
              <w:pStyle w:val="TableParagraph"/>
              <w:spacing w:before="13"/>
              <w:ind w:left="2" w:right="0"/>
              <w:jc w:val="center"/>
              <w:rPr>
                <w:b/>
                <w:sz w:val="22"/>
              </w:rPr>
            </w:pPr>
            <w:r>
              <w:rPr>
                <w:b/>
                <w:w w:val="100"/>
                <w:sz w:val="22"/>
              </w:rPr>
              <w:t>D</w:t>
            </w:r>
          </w:p>
        </w:tc>
        <w:tc>
          <w:tcPr>
            <w:tcW w:w="1190" w:type="dxa"/>
            <w:shd w:val="clear" w:color="auto" w:fill="E6B9B8"/>
          </w:tcPr>
          <w:p>
            <w:pPr>
              <w:pStyle w:val="TableParagraph"/>
              <w:spacing w:before="13"/>
              <w:ind w:right="0"/>
              <w:jc w:val="center"/>
              <w:rPr>
                <w:b/>
                <w:sz w:val="22"/>
              </w:rPr>
            </w:pPr>
            <w:r>
              <w:rPr>
                <w:b/>
                <w:w w:val="100"/>
                <w:sz w:val="22"/>
              </w:rPr>
              <w:t>E</w:t>
            </w:r>
          </w:p>
        </w:tc>
        <w:tc>
          <w:tcPr>
            <w:tcW w:w="1190" w:type="dxa"/>
            <w:shd w:val="clear" w:color="auto" w:fill="E6B9B8"/>
          </w:tcPr>
          <w:p>
            <w:pPr>
              <w:pStyle w:val="TableParagraph"/>
              <w:spacing w:before="13"/>
              <w:ind w:left="1" w:right="0"/>
              <w:jc w:val="center"/>
              <w:rPr>
                <w:b/>
                <w:sz w:val="22"/>
              </w:rPr>
            </w:pPr>
            <w:r>
              <w:rPr>
                <w:b/>
                <w:w w:val="100"/>
                <w:sz w:val="22"/>
              </w:rPr>
              <w:t>G</w:t>
            </w:r>
          </w:p>
        </w:tc>
      </w:tr>
      <w:tr>
        <w:trPr>
          <w:trHeight w:val="312" w:hRule="exact"/>
        </w:trPr>
        <w:tc>
          <w:tcPr>
            <w:tcW w:w="660" w:type="dxa"/>
          </w:tcPr>
          <w:p>
            <w:pPr>
              <w:pStyle w:val="TableParagraph"/>
              <w:spacing w:before="30"/>
              <w:ind w:right="63"/>
              <w:rPr>
                <w:sz w:val="22"/>
              </w:rPr>
            </w:pPr>
            <w:r>
              <w:rPr>
                <w:sz w:val="22"/>
              </w:rPr>
              <w:t>38</w:t>
            </w:r>
          </w:p>
        </w:tc>
        <w:tc>
          <w:tcPr>
            <w:tcW w:w="1687" w:type="dxa"/>
          </w:tcPr>
          <w:p>
            <w:pPr>
              <w:pStyle w:val="TableParagraph"/>
              <w:spacing w:before="30"/>
              <w:rPr>
                <w:sz w:val="22"/>
              </w:rPr>
            </w:pPr>
            <w:r>
              <w:rPr>
                <w:sz w:val="22"/>
              </w:rPr>
              <w:t>27/07/2009</w:t>
            </w:r>
          </w:p>
        </w:tc>
        <w:tc>
          <w:tcPr>
            <w:tcW w:w="1265" w:type="dxa"/>
          </w:tcPr>
          <w:p>
            <w:pPr>
              <w:pStyle w:val="TableParagraph"/>
              <w:spacing w:before="30"/>
              <w:ind w:right="63"/>
              <w:rPr>
                <w:sz w:val="22"/>
              </w:rPr>
            </w:pPr>
            <w:r>
              <w:rPr>
                <w:sz w:val="22"/>
              </w:rPr>
              <w:t>7.00</w:t>
            </w:r>
          </w:p>
        </w:tc>
        <w:tc>
          <w:tcPr>
            <w:tcW w:w="1188" w:type="dxa"/>
          </w:tcPr>
          <w:p>
            <w:pPr>
              <w:pStyle w:val="TableParagraph"/>
              <w:spacing w:before="30"/>
              <w:ind w:right="59"/>
              <w:rPr>
                <w:sz w:val="22"/>
              </w:rPr>
            </w:pPr>
            <w:r>
              <w:rPr>
                <w:sz w:val="22"/>
              </w:rPr>
              <w:t>7.12</w:t>
            </w:r>
          </w:p>
        </w:tc>
        <w:tc>
          <w:tcPr>
            <w:tcW w:w="612" w:type="dxa"/>
          </w:tcPr>
          <w:p>
            <w:pPr>
              <w:pStyle w:val="TableParagraph"/>
              <w:spacing w:before="30"/>
              <w:ind w:right="63"/>
              <w:rPr>
                <w:sz w:val="22"/>
              </w:rPr>
            </w:pPr>
            <w:r>
              <w:rPr>
                <w:sz w:val="22"/>
              </w:rPr>
              <w:t>7.07</w:t>
            </w:r>
          </w:p>
        </w:tc>
        <w:tc>
          <w:tcPr>
            <w:tcW w:w="1188" w:type="dxa"/>
          </w:tcPr>
          <w:p>
            <w:pPr>
              <w:pStyle w:val="TableParagraph"/>
              <w:spacing w:before="30"/>
              <w:ind w:right="59"/>
              <w:rPr>
                <w:sz w:val="22"/>
              </w:rPr>
            </w:pPr>
            <w:r>
              <w:rPr>
                <w:sz w:val="22"/>
              </w:rPr>
              <w:t>6.89</w:t>
            </w:r>
          </w:p>
        </w:tc>
        <w:tc>
          <w:tcPr>
            <w:tcW w:w="1190" w:type="dxa"/>
          </w:tcPr>
          <w:p>
            <w:pPr>
              <w:pStyle w:val="TableParagraph"/>
              <w:spacing w:before="30"/>
              <w:rPr>
                <w:sz w:val="22"/>
              </w:rPr>
            </w:pPr>
            <w:r>
              <w:rPr>
                <w:sz w:val="22"/>
              </w:rPr>
              <w:t>7.01</w:t>
            </w:r>
          </w:p>
        </w:tc>
        <w:tc>
          <w:tcPr>
            <w:tcW w:w="1190" w:type="dxa"/>
          </w:tcPr>
          <w:p>
            <w:pPr>
              <w:pStyle w:val="TableParagraph"/>
              <w:spacing w:before="30"/>
              <w:rPr>
                <w:sz w:val="22"/>
              </w:rPr>
            </w:pPr>
            <w:r>
              <w:rPr>
                <w:sz w:val="22"/>
              </w:rPr>
              <w:t>7.02</w:t>
            </w:r>
          </w:p>
        </w:tc>
      </w:tr>
      <w:tr>
        <w:trPr>
          <w:trHeight w:val="310" w:hRule="exact"/>
        </w:trPr>
        <w:tc>
          <w:tcPr>
            <w:tcW w:w="660" w:type="dxa"/>
          </w:tcPr>
          <w:p>
            <w:pPr>
              <w:pStyle w:val="TableParagraph"/>
              <w:ind w:right="63"/>
              <w:rPr>
                <w:sz w:val="22"/>
              </w:rPr>
            </w:pPr>
            <w:r>
              <w:rPr>
                <w:sz w:val="22"/>
              </w:rPr>
              <w:t>39</w:t>
            </w:r>
          </w:p>
        </w:tc>
        <w:tc>
          <w:tcPr>
            <w:tcW w:w="1687" w:type="dxa"/>
          </w:tcPr>
          <w:p>
            <w:pPr>
              <w:pStyle w:val="TableParagraph"/>
              <w:rPr>
                <w:sz w:val="22"/>
              </w:rPr>
            </w:pPr>
            <w:r>
              <w:rPr>
                <w:sz w:val="22"/>
              </w:rPr>
              <w:t>28/07/2009</w:t>
            </w:r>
          </w:p>
        </w:tc>
        <w:tc>
          <w:tcPr>
            <w:tcW w:w="1265" w:type="dxa"/>
          </w:tcPr>
          <w:p>
            <w:pPr>
              <w:pStyle w:val="TableParagraph"/>
              <w:ind w:right="63"/>
              <w:rPr>
                <w:sz w:val="22"/>
              </w:rPr>
            </w:pPr>
            <w:r>
              <w:rPr>
                <w:sz w:val="22"/>
              </w:rPr>
              <w:t>7.21</w:t>
            </w:r>
          </w:p>
        </w:tc>
        <w:tc>
          <w:tcPr>
            <w:tcW w:w="1188" w:type="dxa"/>
          </w:tcPr>
          <w:p>
            <w:pPr>
              <w:pStyle w:val="TableParagraph"/>
              <w:ind w:right="59"/>
              <w:rPr>
                <w:sz w:val="22"/>
              </w:rPr>
            </w:pPr>
            <w:r>
              <w:rPr>
                <w:sz w:val="22"/>
              </w:rPr>
              <w:t>7.10</w:t>
            </w:r>
          </w:p>
        </w:tc>
        <w:tc>
          <w:tcPr>
            <w:tcW w:w="612" w:type="dxa"/>
          </w:tcPr>
          <w:p>
            <w:pPr>
              <w:pStyle w:val="TableParagraph"/>
              <w:ind w:right="63"/>
              <w:rPr>
                <w:sz w:val="22"/>
              </w:rPr>
            </w:pPr>
            <w:r>
              <w:rPr>
                <w:sz w:val="22"/>
              </w:rPr>
              <w:t>7.09</w:t>
            </w:r>
          </w:p>
        </w:tc>
        <w:tc>
          <w:tcPr>
            <w:tcW w:w="1188" w:type="dxa"/>
          </w:tcPr>
          <w:p>
            <w:pPr>
              <w:pStyle w:val="TableParagraph"/>
              <w:ind w:right="59"/>
              <w:rPr>
                <w:sz w:val="22"/>
              </w:rPr>
            </w:pPr>
            <w:r>
              <w:rPr>
                <w:sz w:val="22"/>
              </w:rPr>
              <w:t>7.05</w:t>
            </w:r>
          </w:p>
        </w:tc>
        <w:tc>
          <w:tcPr>
            <w:tcW w:w="1190" w:type="dxa"/>
          </w:tcPr>
          <w:p>
            <w:pPr>
              <w:pStyle w:val="TableParagraph"/>
              <w:rPr>
                <w:sz w:val="22"/>
              </w:rPr>
            </w:pPr>
            <w:r>
              <w:rPr>
                <w:sz w:val="22"/>
              </w:rPr>
              <w:t>7.08</w:t>
            </w:r>
          </w:p>
        </w:tc>
        <w:tc>
          <w:tcPr>
            <w:tcW w:w="1190" w:type="dxa"/>
          </w:tcPr>
          <w:p>
            <w:pPr>
              <w:pStyle w:val="TableParagraph"/>
              <w:rPr>
                <w:sz w:val="22"/>
              </w:rPr>
            </w:pPr>
            <w:r>
              <w:rPr>
                <w:sz w:val="22"/>
              </w:rPr>
              <w:t>7.12</w:t>
            </w:r>
          </w:p>
        </w:tc>
      </w:tr>
      <w:tr>
        <w:trPr>
          <w:trHeight w:val="310" w:hRule="exact"/>
        </w:trPr>
        <w:tc>
          <w:tcPr>
            <w:tcW w:w="660" w:type="dxa"/>
          </w:tcPr>
          <w:p>
            <w:pPr>
              <w:pStyle w:val="TableParagraph"/>
              <w:ind w:right="63"/>
              <w:rPr>
                <w:sz w:val="22"/>
              </w:rPr>
            </w:pPr>
            <w:r>
              <w:rPr>
                <w:sz w:val="22"/>
              </w:rPr>
              <w:t>40</w:t>
            </w:r>
          </w:p>
        </w:tc>
        <w:tc>
          <w:tcPr>
            <w:tcW w:w="1687" w:type="dxa"/>
          </w:tcPr>
          <w:p>
            <w:pPr>
              <w:pStyle w:val="TableParagraph"/>
              <w:rPr>
                <w:sz w:val="22"/>
              </w:rPr>
            </w:pPr>
            <w:r>
              <w:rPr>
                <w:sz w:val="22"/>
              </w:rPr>
              <w:t>29/07/2009</w:t>
            </w:r>
          </w:p>
        </w:tc>
        <w:tc>
          <w:tcPr>
            <w:tcW w:w="1265" w:type="dxa"/>
          </w:tcPr>
          <w:p>
            <w:pPr>
              <w:pStyle w:val="TableParagraph"/>
              <w:ind w:right="63"/>
              <w:rPr>
                <w:sz w:val="22"/>
              </w:rPr>
            </w:pPr>
            <w:r>
              <w:rPr>
                <w:sz w:val="22"/>
              </w:rPr>
              <w:t>7.35</w:t>
            </w:r>
          </w:p>
        </w:tc>
        <w:tc>
          <w:tcPr>
            <w:tcW w:w="1188" w:type="dxa"/>
          </w:tcPr>
          <w:p>
            <w:pPr>
              <w:pStyle w:val="TableParagraph"/>
              <w:ind w:right="59"/>
              <w:rPr>
                <w:sz w:val="22"/>
              </w:rPr>
            </w:pPr>
            <w:r>
              <w:rPr>
                <w:sz w:val="22"/>
              </w:rPr>
              <w:t>7.00</w:t>
            </w:r>
          </w:p>
        </w:tc>
        <w:tc>
          <w:tcPr>
            <w:tcW w:w="612" w:type="dxa"/>
          </w:tcPr>
          <w:p>
            <w:pPr>
              <w:pStyle w:val="TableParagraph"/>
              <w:ind w:right="63"/>
              <w:rPr>
                <w:sz w:val="22"/>
              </w:rPr>
            </w:pPr>
            <w:r>
              <w:rPr>
                <w:sz w:val="22"/>
              </w:rPr>
              <w:t>7.01</w:t>
            </w:r>
          </w:p>
        </w:tc>
        <w:tc>
          <w:tcPr>
            <w:tcW w:w="1188" w:type="dxa"/>
          </w:tcPr>
          <w:p>
            <w:pPr>
              <w:pStyle w:val="TableParagraph"/>
              <w:ind w:right="59"/>
              <w:rPr>
                <w:sz w:val="22"/>
              </w:rPr>
            </w:pPr>
            <w:r>
              <w:rPr>
                <w:sz w:val="22"/>
              </w:rPr>
              <w:t>6.98</w:t>
            </w:r>
          </w:p>
        </w:tc>
        <w:tc>
          <w:tcPr>
            <w:tcW w:w="1190" w:type="dxa"/>
          </w:tcPr>
          <w:p>
            <w:pPr>
              <w:pStyle w:val="TableParagraph"/>
              <w:rPr>
                <w:sz w:val="22"/>
              </w:rPr>
            </w:pPr>
            <w:r>
              <w:rPr>
                <w:sz w:val="22"/>
              </w:rPr>
              <w:t>7.01</w:t>
            </w:r>
          </w:p>
        </w:tc>
        <w:tc>
          <w:tcPr>
            <w:tcW w:w="1190" w:type="dxa"/>
          </w:tcPr>
          <w:p>
            <w:pPr>
              <w:pStyle w:val="TableParagraph"/>
              <w:rPr>
                <w:sz w:val="22"/>
              </w:rPr>
            </w:pPr>
            <w:r>
              <w:rPr>
                <w:sz w:val="22"/>
              </w:rPr>
              <w:t>7.05</w:t>
            </w:r>
          </w:p>
        </w:tc>
      </w:tr>
      <w:tr>
        <w:trPr>
          <w:trHeight w:val="310" w:hRule="exact"/>
        </w:trPr>
        <w:tc>
          <w:tcPr>
            <w:tcW w:w="660" w:type="dxa"/>
          </w:tcPr>
          <w:p>
            <w:pPr>
              <w:pStyle w:val="TableParagraph"/>
              <w:ind w:right="63"/>
              <w:rPr>
                <w:sz w:val="22"/>
              </w:rPr>
            </w:pPr>
            <w:r>
              <w:rPr>
                <w:sz w:val="22"/>
              </w:rPr>
              <w:t>41</w:t>
            </w:r>
          </w:p>
        </w:tc>
        <w:tc>
          <w:tcPr>
            <w:tcW w:w="1687" w:type="dxa"/>
          </w:tcPr>
          <w:p>
            <w:pPr>
              <w:pStyle w:val="TableParagraph"/>
              <w:rPr>
                <w:sz w:val="22"/>
              </w:rPr>
            </w:pPr>
            <w:r>
              <w:rPr>
                <w:sz w:val="22"/>
              </w:rPr>
              <w:t>30/07/2009</w:t>
            </w:r>
          </w:p>
        </w:tc>
        <w:tc>
          <w:tcPr>
            <w:tcW w:w="1265" w:type="dxa"/>
          </w:tcPr>
          <w:p>
            <w:pPr>
              <w:pStyle w:val="TableParagraph"/>
              <w:ind w:right="63"/>
              <w:rPr>
                <w:sz w:val="22"/>
              </w:rPr>
            </w:pPr>
            <w:r>
              <w:rPr>
                <w:sz w:val="22"/>
              </w:rPr>
              <w:t>7.19</w:t>
            </w:r>
          </w:p>
        </w:tc>
        <w:tc>
          <w:tcPr>
            <w:tcW w:w="1188" w:type="dxa"/>
          </w:tcPr>
          <w:p>
            <w:pPr>
              <w:pStyle w:val="TableParagraph"/>
              <w:ind w:right="59"/>
              <w:rPr>
                <w:sz w:val="22"/>
              </w:rPr>
            </w:pPr>
            <w:r>
              <w:rPr>
                <w:sz w:val="22"/>
              </w:rPr>
              <w:t>7.30</w:t>
            </w:r>
          </w:p>
        </w:tc>
        <w:tc>
          <w:tcPr>
            <w:tcW w:w="612" w:type="dxa"/>
          </w:tcPr>
          <w:p>
            <w:pPr>
              <w:pStyle w:val="TableParagraph"/>
              <w:ind w:right="63"/>
              <w:rPr>
                <w:sz w:val="22"/>
              </w:rPr>
            </w:pPr>
            <w:r>
              <w:rPr>
                <w:sz w:val="22"/>
              </w:rPr>
              <w:t>6.81</w:t>
            </w:r>
          </w:p>
        </w:tc>
        <w:tc>
          <w:tcPr>
            <w:tcW w:w="1188" w:type="dxa"/>
          </w:tcPr>
          <w:p>
            <w:pPr>
              <w:pStyle w:val="TableParagraph"/>
              <w:ind w:right="59"/>
              <w:rPr>
                <w:sz w:val="22"/>
              </w:rPr>
            </w:pPr>
            <w:r>
              <w:rPr>
                <w:sz w:val="22"/>
              </w:rPr>
              <w:t>6.63</w:t>
            </w:r>
          </w:p>
        </w:tc>
        <w:tc>
          <w:tcPr>
            <w:tcW w:w="1190" w:type="dxa"/>
          </w:tcPr>
          <w:p>
            <w:pPr>
              <w:pStyle w:val="TableParagraph"/>
              <w:rPr>
                <w:sz w:val="22"/>
              </w:rPr>
            </w:pPr>
            <w:r>
              <w:rPr>
                <w:sz w:val="22"/>
              </w:rPr>
              <w:t>6.68</w:t>
            </w:r>
          </w:p>
        </w:tc>
        <w:tc>
          <w:tcPr>
            <w:tcW w:w="1190" w:type="dxa"/>
          </w:tcPr>
          <w:p>
            <w:pPr>
              <w:pStyle w:val="TableParagraph"/>
              <w:rPr>
                <w:sz w:val="22"/>
              </w:rPr>
            </w:pPr>
            <w:r>
              <w:rPr>
                <w:sz w:val="22"/>
              </w:rPr>
              <w:t>6.87</w:t>
            </w:r>
          </w:p>
        </w:tc>
      </w:tr>
      <w:tr>
        <w:trPr>
          <w:trHeight w:val="310" w:hRule="exact"/>
        </w:trPr>
        <w:tc>
          <w:tcPr>
            <w:tcW w:w="660" w:type="dxa"/>
          </w:tcPr>
          <w:p>
            <w:pPr>
              <w:pStyle w:val="TableParagraph"/>
              <w:ind w:right="63"/>
              <w:rPr>
                <w:sz w:val="22"/>
              </w:rPr>
            </w:pPr>
            <w:r>
              <w:rPr>
                <w:sz w:val="22"/>
              </w:rPr>
              <w:t>42</w:t>
            </w:r>
          </w:p>
        </w:tc>
        <w:tc>
          <w:tcPr>
            <w:tcW w:w="1687" w:type="dxa"/>
          </w:tcPr>
          <w:p>
            <w:pPr>
              <w:pStyle w:val="TableParagraph"/>
              <w:rPr>
                <w:sz w:val="22"/>
              </w:rPr>
            </w:pPr>
            <w:r>
              <w:rPr>
                <w:sz w:val="22"/>
              </w:rPr>
              <w:t>31/07/2009</w:t>
            </w:r>
          </w:p>
        </w:tc>
        <w:tc>
          <w:tcPr>
            <w:tcW w:w="1265" w:type="dxa"/>
          </w:tcPr>
          <w:p>
            <w:pPr>
              <w:pStyle w:val="TableParagraph"/>
              <w:ind w:right="63"/>
              <w:rPr>
                <w:sz w:val="22"/>
              </w:rPr>
            </w:pPr>
            <w:r>
              <w:rPr>
                <w:sz w:val="22"/>
              </w:rPr>
              <w:t>6.67</w:t>
            </w:r>
          </w:p>
        </w:tc>
        <w:tc>
          <w:tcPr>
            <w:tcW w:w="1188" w:type="dxa"/>
          </w:tcPr>
          <w:p>
            <w:pPr>
              <w:pStyle w:val="TableParagraph"/>
              <w:ind w:right="59"/>
              <w:rPr>
                <w:sz w:val="22"/>
              </w:rPr>
            </w:pPr>
            <w:r>
              <w:rPr>
                <w:sz w:val="22"/>
              </w:rPr>
              <w:t>6.75</w:t>
            </w:r>
          </w:p>
        </w:tc>
        <w:tc>
          <w:tcPr>
            <w:tcW w:w="612" w:type="dxa"/>
          </w:tcPr>
          <w:p>
            <w:pPr>
              <w:pStyle w:val="TableParagraph"/>
              <w:ind w:right="63"/>
              <w:rPr>
                <w:sz w:val="22"/>
              </w:rPr>
            </w:pPr>
            <w:r>
              <w:rPr>
                <w:sz w:val="22"/>
              </w:rPr>
              <w:t>6.59</w:t>
            </w:r>
          </w:p>
        </w:tc>
        <w:tc>
          <w:tcPr>
            <w:tcW w:w="1188" w:type="dxa"/>
          </w:tcPr>
          <w:p>
            <w:pPr>
              <w:pStyle w:val="TableParagraph"/>
              <w:ind w:right="59"/>
              <w:rPr>
                <w:sz w:val="22"/>
              </w:rPr>
            </w:pPr>
            <w:r>
              <w:rPr>
                <w:sz w:val="22"/>
              </w:rPr>
              <w:t>6.39</w:t>
            </w:r>
          </w:p>
        </w:tc>
        <w:tc>
          <w:tcPr>
            <w:tcW w:w="1190" w:type="dxa"/>
          </w:tcPr>
          <w:p>
            <w:pPr>
              <w:pStyle w:val="TableParagraph"/>
              <w:rPr>
                <w:sz w:val="22"/>
              </w:rPr>
            </w:pPr>
            <w:r>
              <w:rPr>
                <w:sz w:val="22"/>
              </w:rPr>
              <w:t>6.37</w:t>
            </w:r>
          </w:p>
        </w:tc>
        <w:tc>
          <w:tcPr>
            <w:tcW w:w="1190" w:type="dxa"/>
          </w:tcPr>
          <w:p>
            <w:pPr>
              <w:pStyle w:val="TableParagraph"/>
              <w:rPr>
                <w:sz w:val="22"/>
              </w:rPr>
            </w:pPr>
            <w:r>
              <w:rPr>
                <w:sz w:val="22"/>
              </w:rPr>
              <w:t>6.45</w:t>
            </w:r>
          </w:p>
        </w:tc>
      </w:tr>
      <w:tr>
        <w:trPr>
          <w:trHeight w:val="310" w:hRule="exact"/>
        </w:trPr>
        <w:tc>
          <w:tcPr>
            <w:tcW w:w="660" w:type="dxa"/>
          </w:tcPr>
          <w:p>
            <w:pPr>
              <w:pStyle w:val="TableParagraph"/>
              <w:spacing w:before="30"/>
              <w:ind w:right="63"/>
              <w:rPr>
                <w:sz w:val="22"/>
              </w:rPr>
            </w:pPr>
            <w:r>
              <w:rPr>
                <w:sz w:val="22"/>
              </w:rPr>
              <w:t>43</w:t>
            </w:r>
          </w:p>
        </w:tc>
        <w:tc>
          <w:tcPr>
            <w:tcW w:w="1687" w:type="dxa"/>
          </w:tcPr>
          <w:p>
            <w:pPr>
              <w:pStyle w:val="TableParagraph"/>
              <w:spacing w:before="30"/>
              <w:rPr>
                <w:sz w:val="22"/>
              </w:rPr>
            </w:pPr>
            <w:r>
              <w:rPr>
                <w:sz w:val="22"/>
              </w:rPr>
              <w:t>01/08/2009</w:t>
            </w:r>
          </w:p>
        </w:tc>
        <w:tc>
          <w:tcPr>
            <w:tcW w:w="1265" w:type="dxa"/>
          </w:tcPr>
          <w:p>
            <w:pPr>
              <w:pStyle w:val="TableParagraph"/>
              <w:spacing w:before="30"/>
              <w:ind w:right="63"/>
              <w:rPr>
                <w:sz w:val="22"/>
              </w:rPr>
            </w:pPr>
            <w:r>
              <w:rPr>
                <w:sz w:val="22"/>
              </w:rPr>
              <w:t>6.45</w:t>
            </w:r>
          </w:p>
        </w:tc>
        <w:tc>
          <w:tcPr>
            <w:tcW w:w="1188" w:type="dxa"/>
          </w:tcPr>
          <w:p>
            <w:pPr>
              <w:pStyle w:val="TableParagraph"/>
              <w:spacing w:before="30"/>
              <w:ind w:right="59"/>
              <w:rPr>
                <w:sz w:val="22"/>
              </w:rPr>
            </w:pPr>
            <w:r>
              <w:rPr>
                <w:sz w:val="22"/>
              </w:rPr>
              <w:t>6.57</w:t>
            </w:r>
          </w:p>
        </w:tc>
        <w:tc>
          <w:tcPr>
            <w:tcW w:w="612" w:type="dxa"/>
          </w:tcPr>
          <w:p>
            <w:pPr>
              <w:pStyle w:val="TableParagraph"/>
              <w:spacing w:before="30"/>
              <w:ind w:right="63"/>
              <w:rPr>
                <w:sz w:val="22"/>
              </w:rPr>
            </w:pPr>
            <w:r>
              <w:rPr>
                <w:sz w:val="22"/>
              </w:rPr>
              <w:t>6.5</w:t>
            </w:r>
          </w:p>
        </w:tc>
        <w:tc>
          <w:tcPr>
            <w:tcW w:w="1188" w:type="dxa"/>
          </w:tcPr>
          <w:p>
            <w:pPr>
              <w:pStyle w:val="TableParagraph"/>
              <w:spacing w:before="30"/>
              <w:ind w:right="59"/>
              <w:rPr>
                <w:sz w:val="22"/>
              </w:rPr>
            </w:pPr>
            <w:r>
              <w:rPr>
                <w:sz w:val="22"/>
              </w:rPr>
              <w:t>6.35</w:t>
            </w:r>
          </w:p>
        </w:tc>
        <w:tc>
          <w:tcPr>
            <w:tcW w:w="1190" w:type="dxa"/>
          </w:tcPr>
          <w:p>
            <w:pPr>
              <w:pStyle w:val="TableParagraph"/>
              <w:spacing w:before="30"/>
              <w:rPr>
                <w:sz w:val="22"/>
              </w:rPr>
            </w:pPr>
            <w:r>
              <w:rPr>
                <w:sz w:val="22"/>
              </w:rPr>
              <w:t>6.41</w:t>
            </w:r>
          </w:p>
        </w:tc>
        <w:tc>
          <w:tcPr>
            <w:tcW w:w="1190" w:type="dxa"/>
          </w:tcPr>
          <w:p>
            <w:pPr>
              <w:pStyle w:val="TableParagraph"/>
              <w:spacing w:before="30"/>
              <w:rPr>
                <w:sz w:val="22"/>
              </w:rPr>
            </w:pPr>
            <w:r>
              <w:rPr>
                <w:sz w:val="22"/>
              </w:rPr>
              <w:t>6.49</w:t>
            </w:r>
          </w:p>
        </w:tc>
      </w:tr>
      <w:tr>
        <w:trPr>
          <w:trHeight w:val="312" w:hRule="exact"/>
        </w:trPr>
        <w:tc>
          <w:tcPr>
            <w:tcW w:w="660" w:type="dxa"/>
          </w:tcPr>
          <w:p>
            <w:pPr>
              <w:pStyle w:val="TableParagraph"/>
              <w:spacing w:before="30"/>
              <w:ind w:right="63"/>
              <w:rPr>
                <w:sz w:val="22"/>
              </w:rPr>
            </w:pPr>
            <w:r>
              <w:rPr>
                <w:sz w:val="22"/>
              </w:rPr>
              <w:t>44</w:t>
            </w:r>
          </w:p>
        </w:tc>
        <w:tc>
          <w:tcPr>
            <w:tcW w:w="1687" w:type="dxa"/>
          </w:tcPr>
          <w:p>
            <w:pPr>
              <w:pStyle w:val="TableParagraph"/>
              <w:spacing w:before="30"/>
              <w:rPr>
                <w:sz w:val="22"/>
              </w:rPr>
            </w:pPr>
            <w:r>
              <w:rPr>
                <w:sz w:val="22"/>
              </w:rPr>
              <w:t>02/08/2009</w:t>
            </w:r>
          </w:p>
        </w:tc>
        <w:tc>
          <w:tcPr>
            <w:tcW w:w="1265" w:type="dxa"/>
          </w:tcPr>
          <w:p>
            <w:pPr>
              <w:pStyle w:val="TableParagraph"/>
              <w:spacing w:before="30"/>
              <w:ind w:right="63"/>
              <w:rPr>
                <w:sz w:val="22"/>
              </w:rPr>
            </w:pPr>
            <w:r>
              <w:rPr>
                <w:sz w:val="22"/>
              </w:rPr>
              <w:t>6.32</w:t>
            </w:r>
          </w:p>
        </w:tc>
        <w:tc>
          <w:tcPr>
            <w:tcW w:w="1188" w:type="dxa"/>
          </w:tcPr>
          <w:p>
            <w:pPr>
              <w:pStyle w:val="TableParagraph"/>
              <w:spacing w:before="30"/>
              <w:ind w:right="59"/>
              <w:rPr>
                <w:sz w:val="22"/>
              </w:rPr>
            </w:pPr>
            <w:r>
              <w:rPr>
                <w:sz w:val="22"/>
              </w:rPr>
              <w:t>6.24</w:t>
            </w:r>
          </w:p>
        </w:tc>
        <w:tc>
          <w:tcPr>
            <w:tcW w:w="612" w:type="dxa"/>
          </w:tcPr>
          <w:p>
            <w:pPr>
              <w:pStyle w:val="TableParagraph"/>
              <w:spacing w:before="30"/>
              <w:ind w:right="63"/>
              <w:rPr>
                <w:sz w:val="22"/>
              </w:rPr>
            </w:pPr>
            <w:r>
              <w:rPr>
                <w:sz w:val="22"/>
              </w:rPr>
              <w:t>6.44</w:t>
            </w:r>
          </w:p>
        </w:tc>
        <w:tc>
          <w:tcPr>
            <w:tcW w:w="1188" w:type="dxa"/>
          </w:tcPr>
          <w:p>
            <w:pPr>
              <w:pStyle w:val="TableParagraph"/>
              <w:spacing w:before="30"/>
              <w:ind w:right="59"/>
              <w:rPr>
                <w:sz w:val="22"/>
              </w:rPr>
            </w:pPr>
            <w:r>
              <w:rPr>
                <w:sz w:val="22"/>
              </w:rPr>
              <w:t>6.82</w:t>
            </w:r>
          </w:p>
        </w:tc>
        <w:tc>
          <w:tcPr>
            <w:tcW w:w="1190" w:type="dxa"/>
          </w:tcPr>
          <w:p>
            <w:pPr>
              <w:pStyle w:val="TableParagraph"/>
              <w:spacing w:before="30"/>
              <w:rPr>
                <w:sz w:val="22"/>
              </w:rPr>
            </w:pPr>
            <w:r>
              <w:rPr>
                <w:sz w:val="22"/>
              </w:rPr>
              <w:t>6.87</w:t>
            </w:r>
          </w:p>
        </w:tc>
        <w:tc>
          <w:tcPr>
            <w:tcW w:w="1190" w:type="dxa"/>
          </w:tcPr>
          <w:p>
            <w:pPr>
              <w:pStyle w:val="TableParagraph"/>
              <w:spacing w:before="30"/>
              <w:rPr>
                <w:sz w:val="22"/>
              </w:rPr>
            </w:pPr>
            <w:r>
              <w:rPr>
                <w:sz w:val="22"/>
              </w:rPr>
              <w:t>6.79</w:t>
            </w:r>
          </w:p>
        </w:tc>
      </w:tr>
      <w:tr>
        <w:trPr>
          <w:trHeight w:val="310" w:hRule="exact"/>
        </w:trPr>
        <w:tc>
          <w:tcPr>
            <w:tcW w:w="660" w:type="dxa"/>
          </w:tcPr>
          <w:p>
            <w:pPr>
              <w:pStyle w:val="TableParagraph"/>
              <w:ind w:right="63"/>
              <w:rPr>
                <w:sz w:val="22"/>
              </w:rPr>
            </w:pPr>
            <w:r>
              <w:rPr>
                <w:sz w:val="22"/>
              </w:rPr>
              <w:t>45</w:t>
            </w:r>
          </w:p>
        </w:tc>
        <w:tc>
          <w:tcPr>
            <w:tcW w:w="1687" w:type="dxa"/>
          </w:tcPr>
          <w:p>
            <w:pPr>
              <w:pStyle w:val="TableParagraph"/>
              <w:rPr>
                <w:sz w:val="22"/>
              </w:rPr>
            </w:pPr>
            <w:r>
              <w:rPr>
                <w:sz w:val="22"/>
              </w:rPr>
              <w:t>03/08/2009</w:t>
            </w:r>
          </w:p>
        </w:tc>
        <w:tc>
          <w:tcPr>
            <w:tcW w:w="1265" w:type="dxa"/>
          </w:tcPr>
          <w:p>
            <w:pPr>
              <w:pStyle w:val="TableParagraph"/>
              <w:ind w:right="63"/>
              <w:rPr>
                <w:sz w:val="22"/>
              </w:rPr>
            </w:pPr>
            <w:r>
              <w:rPr>
                <w:sz w:val="22"/>
              </w:rPr>
              <w:t>6.89</w:t>
            </w:r>
          </w:p>
        </w:tc>
        <w:tc>
          <w:tcPr>
            <w:tcW w:w="1188" w:type="dxa"/>
          </w:tcPr>
          <w:p>
            <w:pPr>
              <w:pStyle w:val="TableParagraph"/>
              <w:ind w:right="59"/>
              <w:rPr>
                <w:sz w:val="22"/>
              </w:rPr>
            </w:pPr>
            <w:r>
              <w:rPr>
                <w:sz w:val="22"/>
              </w:rPr>
              <w:t>6.96</w:t>
            </w:r>
          </w:p>
        </w:tc>
        <w:tc>
          <w:tcPr>
            <w:tcW w:w="612" w:type="dxa"/>
          </w:tcPr>
          <w:p>
            <w:pPr>
              <w:pStyle w:val="TableParagraph"/>
              <w:ind w:right="63"/>
              <w:rPr>
                <w:sz w:val="22"/>
              </w:rPr>
            </w:pPr>
            <w:r>
              <w:rPr>
                <w:sz w:val="22"/>
              </w:rPr>
              <w:t>7.1</w:t>
            </w:r>
          </w:p>
        </w:tc>
        <w:tc>
          <w:tcPr>
            <w:tcW w:w="1188" w:type="dxa"/>
          </w:tcPr>
          <w:p>
            <w:pPr>
              <w:pStyle w:val="TableParagraph"/>
              <w:ind w:right="59"/>
              <w:rPr>
                <w:sz w:val="22"/>
              </w:rPr>
            </w:pPr>
            <w:r>
              <w:rPr>
                <w:sz w:val="22"/>
              </w:rPr>
              <w:t>6.97</w:t>
            </w:r>
          </w:p>
        </w:tc>
        <w:tc>
          <w:tcPr>
            <w:tcW w:w="1190" w:type="dxa"/>
          </w:tcPr>
          <w:p>
            <w:pPr>
              <w:pStyle w:val="TableParagraph"/>
              <w:rPr>
                <w:sz w:val="22"/>
              </w:rPr>
            </w:pPr>
            <w:r>
              <w:rPr>
                <w:sz w:val="22"/>
              </w:rPr>
              <w:t>6.7</w:t>
            </w:r>
          </w:p>
        </w:tc>
        <w:tc>
          <w:tcPr>
            <w:tcW w:w="1190" w:type="dxa"/>
          </w:tcPr>
          <w:p>
            <w:pPr>
              <w:pStyle w:val="TableParagraph"/>
              <w:rPr>
                <w:sz w:val="22"/>
              </w:rPr>
            </w:pPr>
            <w:r>
              <w:rPr>
                <w:sz w:val="22"/>
              </w:rPr>
              <w:t>7.18</w:t>
            </w:r>
          </w:p>
        </w:tc>
      </w:tr>
      <w:tr>
        <w:trPr>
          <w:trHeight w:val="310" w:hRule="exact"/>
        </w:trPr>
        <w:tc>
          <w:tcPr>
            <w:tcW w:w="660" w:type="dxa"/>
          </w:tcPr>
          <w:p>
            <w:pPr>
              <w:pStyle w:val="TableParagraph"/>
              <w:ind w:right="63"/>
              <w:rPr>
                <w:sz w:val="22"/>
              </w:rPr>
            </w:pPr>
            <w:r>
              <w:rPr>
                <w:sz w:val="22"/>
              </w:rPr>
              <w:t>46</w:t>
            </w:r>
          </w:p>
        </w:tc>
        <w:tc>
          <w:tcPr>
            <w:tcW w:w="1687" w:type="dxa"/>
          </w:tcPr>
          <w:p>
            <w:pPr>
              <w:pStyle w:val="TableParagraph"/>
              <w:rPr>
                <w:sz w:val="22"/>
              </w:rPr>
            </w:pPr>
            <w:r>
              <w:rPr>
                <w:sz w:val="22"/>
              </w:rPr>
              <w:t>04/08/2009</w:t>
            </w:r>
          </w:p>
        </w:tc>
        <w:tc>
          <w:tcPr>
            <w:tcW w:w="1265" w:type="dxa"/>
          </w:tcPr>
          <w:p>
            <w:pPr>
              <w:pStyle w:val="TableParagraph"/>
              <w:ind w:right="63"/>
              <w:rPr>
                <w:sz w:val="22"/>
              </w:rPr>
            </w:pPr>
            <w:r>
              <w:rPr>
                <w:sz w:val="22"/>
              </w:rPr>
              <w:t>7.01</w:t>
            </w:r>
          </w:p>
        </w:tc>
        <w:tc>
          <w:tcPr>
            <w:tcW w:w="1188" w:type="dxa"/>
          </w:tcPr>
          <w:p>
            <w:pPr>
              <w:pStyle w:val="TableParagraph"/>
              <w:ind w:right="59"/>
              <w:rPr>
                <w:sz w:val="22"/>
              </w:rPr>
            </w:pPr>
            <w:r>
              <w:rPr>
                <w:sz w:val="22"/>
              </w:rPr>
              <w:t>7.09</w:t>
            </w:r>
          </w:p>
        </w:tc>
        <w:tc>
          <w:tcPr>
            <w:tcW w:w="612" w:type="dxa"/>
          </w:tcPr>
          <w:p>
            <w:pPr>
              <w:pStyle w:val="TableParagraph"/>
              <w:ind w:right="63"/>
              <w:rPr>
                <w:sz w:val="22"/>
              </w:rPr>
            </w:pPr>
            <w:r>
              <w:rPr>
                <w:sz w:val="22"/>
              </w:rPr>
              <w:t>7.14</w:t>
            </w:r>
          </w:p>
        </w:tc>
        <w:tc>
          <w:tcPr>
            <w:tcW w:w="1188" w:type="dxa"/>
          </w:tcPr>
          <w:p>
            <w:pPr>
              <w:pStyle w:val="TableParagraph"/>
              <w:ind w:right="59"/>
              <w:rPr>
                <w:sz w:val="22"/>
              </w:rPr>
            </w:pPr>
            <w:r>
              <w:rPr>
                <w:sz w:val="22"/>
              </w:rPr>
              <w:t>7.04</w:t>
            </w:r>
          </w:p>
        </w:tc>
        <w:tc>
          <w:tcPr>
            <w:tcW w:w="1190" w:type="dxa"/>
          </w:tcPr>
          <w:p>
            <w:pPr>
              <w:pStyle w:val="TableParagraph"/>
              <w:rPr>
                <w:sz w:val="22"/>
              </w:rPr>
            </w:pPr>
            <w:r>
              <w:rPr>
                <w:sz w:val="22"/>
              </w:rPr>
              <w:t>7.06</w:t>
            </w:r>
          </w:p>
        </w:tc>
        <w:tc>
          <w:tcPr>
            <w:tcW w:w="1190" w:type="dxa"/>
          </w:tcPr>
          <w:p>
            <w:pPr>
              <w:pStyle w:val="TableParagraph"/>
              <w:rPr>
                <w:sz w:val="22"/>
              </w:rPr>
            </w:pPr>
            <w:r>
              <w:rPr>
                <w:sz w:val="22"/>
              </w:rPr>
              <w:t>7.15</w:t>
            </w:r>
          </w:p>
        </w:tc>
      </w:tr>
      <w:tr>
        <w:trPr>
          <w:trHeight w:val="310" w:hRule="exact"/>
        </w:trPr>
        <w:tc>
          <w:tcPr>
            <w:tcW w:w="660" w:type="dxa"/>
          </w:tcPr>
          <w:p>
            <w:pPr>
              <w:pStyle w:val="TableParagraph"/>
              <w:ind w:right="63"/>
              <w:rPr>
                <w:sz w:val="22"/>
              </w:rPr>
            </w:pPr>
            <w:r>
              <w:rPr>
                <w:sz w:val="22"/>
              </w:rPr>
              <w:t>47</w:t>
            </w:r>
          </w:p>
        </w:tc>
        <w:tc>
          <w:tcPr>
            <w:tcW w:w="1687" w:type="dxa"/>
          </w:tcPr>
          <w:p>
            <w:pPr>
              <w:pStyle w:val="TableParagraph"/>
              <w:rPr>
                <w:sz w:val="22"/>
              </w:rPr>
            </w:pPr>
            <w:r>
              <w:rPr>
                <w:sz w:val="22"/>
              </w:rPr>
              <w:t>05/08/2009</w:t>
            </w:r>
          </w:p>
        </w:tc>
        <w:tc>
          <w:tcPr>
            <w:tcW w:w="1265" w:type="dxa"/>
          </w:tcPr>
          <w:p>
            <w:pPr>
              <w:pStyle w:val="TableParagraph"/>
              <w:ind w:right="63"/>
              <w:rPr>
                <w:sz w:val="22"/>
              </w:rPr>
            </w:pPr>
            <w:r>
              <w:rPr>
                <w:sz w:val="22"/>
              </w:rPr>
              <w:t>7.12</w:t>
            </w:r>
          </w:p>
        </w:tc>
        <w:tc>
          <w:tcPr>
            <w:tcW w:w="1188" w:type="dxa"/>
          </w:tcPr>
          <w:p>
            <w:pPr>
              <w:pStyle w:val="TableParagraph"/>
              <w:ind w:right="59"/>
              <w:rPr>
                <w:sz w:val="22"/>
              </w:rPr>
            </w:pPr>
            <w:r>
              <w:rPr>
                <w:sz w:val="22"/>
              </w:rPr>
              <w:t>7.13</w:t>
            </w:r>
          </w:p>
        </w:tc>
        <w:tc>
          <w:tcPr>
            <w:tcW w:w="612" w:type="dxa"/>
          </w:tcPr>
          <w:p>
            <w:pPr>
              <w:pStyle w:val="TableParagraph"/>
              <w:ind w:right="63"/>
              <w:rPr>
                <w:sz w:val="22"/>
              </w:rPr>
            </w:pPr>
            <w:r>
              <w:rPr>
                <w:sz w:val="22"/>
              </w:rPr>
              <w:t>7.15</w:t>
            </w:r>
          </w:p>
        </w:tc>
        <w:tc>
          <w:tcPr>
            <w:tcW w:w="1188" w:type="dxa"/>
          </w:tcPr>
          <w:p>
            <w:pPr>
              <w:pStyle w:val="TableParagraph"/>
              <w:ind w:right="59"/>
              <w:rPr>
                <w:sz w:val="22"/>
              </w:rPr>
            </w:pPr>
            <w:r>
              <w:rPr>
                <w:sz w:val="22"/>
              </w:rPr>
              <w:t>7.08</w:t>
            </w:r>
          </w:p>
        </w:tc>
        <w:tc>
          <w:tcPr>
            <w:tcW w:w="1190" w:type="dxa"/>
          </w:tcPr>
          <w:p>
            <w:pPr>
              <w:pStyle w:val="TableParagraph"/>
              <w:rPr>
                <w:sz w:val="22"/>
              </w:rPr>
            </w:pPr>
            <w:r>
              <w:rPr>
                <w:sz w:val="22"/>
              </w:rPr>
              <w:t>7.04</w:t>
            </w:r>
          </w:p>
        </w:tc>
        <w:tc>
          <w:tcPr>
            <w:tcW w:w="1190" w:type="dxa"/>
          </w:tcPr>
          <w:p>
            <w:pPr>
              <w:pStyle w:val="TableParagraph"/>
              <w:rPr>
                <w:sz w:val="22"/>
              </w:rPr>
            </w:pPr>
            <w:r>
              <w:rPr>
                <w:sz w:val="22"/>
              </w:rPr>
              <w:t>7.18</w:t>
            </w:r>
          </w:p>
        </w:tc>
      </w:tr>
      <w:tr>
        <w:trPr>
          <w:trHeight w:val="310" w:hRule="exact"/>
        </w:trPr>
        <w:tc>
          <w:tcPr>
            <w:tcW w:w="660" w:type="dxa"/>
          </w:tcPr>
          <w:p>
            <w:pPr>
              <w:pStyle w:val="TableParagraph"/>
              <w:ind w:right="63"/>
              <w:rPr>
                <w:sz w:val="22"/>
              </w:rPr>
            </w:pPr>
            <w:r>
              <w:rPr>
                <w:sz w:val="22"/>
              </w:rPr>
              <w:t>48</w:t>
            </w:r>
          </w:p>
        </w:tc>
        <w:tc>
          <w:tcPr>
            <w:tcW w:w="1687" w:type="dxa"/>
          </w:tcPr>
          <w:p>
            <w:pPr>
              <w:pStyle w:val="TableParagraph"/>
              <w:rPr>
                <w:sz w:val="22"/>
              </w:rPr>
            </w:pPr>
            <w:r>
              <w:rPr>
                <w:sz w:val="22"/>
              </w:rPr>
              <w:t>06/08/2009</w:t>
            </w:r>
          </w:p>
        </w:tc>
        <w:tc>
          <w:tcPr>
            <w:tcW w:w="1265" w:type="dxa"/>
          </w:tcPr>
          <w:p>
            <w:pPr>
              <w:pStyle w:val="TableParagraph"/>
              <w:ind w:right="63"/>
              <w:rPr>
                <w:sz w:val="22"/>
              </w:rPr>
            </w:pPr>
            <w:r>
              <w:rPr>
                <w:sz w:val="22"/>
              </w:rPr>
              <w:t>7.42</w:t>
            </w:r>
          </w:p>
        </w:tc>
        <w:tc>
          <w:tcPr>
            <w:tcW w:w="1188" w:type="dxa"/>
          </w:tcPr>
          <w:p>
            <w:pPr>
              <w:pStyle w:val="TableParagraph"/>
              <w:ind w:right="59"/>
              <w:rPr>
                <w:sz w:val="22"/>
              </w:rPr>
            </w:pPr>
            <w:r>
              <w:rPr>
                <w:sz w:val="22"/>
              </w:rPr>
              <w:t>7.07</w:t>
            </w:r>
          </w:p>
        </w:tc>
        <w:tc>
          <w:tcPr>
            <w:tcW w:w="612" w:type="dxa"/>
          </w:tcPr>
          <w:p>
            <w:pPr>
              <w:pStyle w:val="TableParagraph"/>
              <w:ind w:right="63"/>
              <w:rPr>
                <w:sz w:val="22"/>
              </w:rPr>
            </w:pPr>
            <w:r>
              <w:rPr>
                <w:sz w:val="22"/>
              </w:rPr>
              <w:t>7.08</w:t>
            </w:r>
          </w:p>
        </w:tc>
        <w:tc>
          <w:tcPr>
            <w:tcW w:w="1188" w:type="dxa"/>
          </w:tcPr>
          <w:p>
            <w:pPr>
              <w:pStyle w:val="TableParagraph"/>
              <w:ind w:right="59"/>
              <w:rPr>
                <w:sz w:val="22"/>
              </w:rPr>
            </w:pPr>
            <w:r>
              <w:rPr>
                <w:sz w:val="22"/>
              </w:rPr>
              <w:t>7.05</w:t>
            </w:r>
          </w:p>
        </w:tc>
        <w:tc>
          <w:tcPr>
            <w:tcW w:w="1190" w:type="dxa"/>
          </w:tcPr>
          <w:p>
            <w:pPr>
              <w:pStyle w:val="TableParagraph"/>
              <w:rPr>
                <w:sz w:val="22"/>
              </w:rPr>
            </w:pPr>
            <w:r>
              <w:rPr>
                <w:sz w:val="22"/>
              </w:rPr>
              <w:t>7.08</w:t>
            </w:r>
          </w:p>
        </w:tc>
        <w:tc>
          <w:tcPr>
            <w:tcW w:w="1190" w:type="dxa"/>
          </w:tcPr>
          <w:p>
            <w:pPr>
              <w:pStyle w:val="TableParagraph"/>
              <w:rPr>
                <w:sz w:val="22"/>
              </w:rPr>
            </w:pPr>
            <w:r>
              <w:rPr>
                <w:sz w:val="22"/>
              </w:rPr>
              <w:t>7.12</w:t>
            </w:r>
          </w:p>
        </w:tc>
      </w:tr>
      <w:tr>
        <w:trPr>
          <w:trHeight w:val="310" w:hRule="exact"/>
        </w:trPr>
        <w:tc>
          <w:tcPr>
            <w:tcW w:w="660" w:type="dxa"/>
          </w:tcPr>
          <w:p>
            <w:pPr>
              <w:pStyle w:val="TableParagraph"/>
              <w:spacing w:before="30"/>
              <w:ind w:right="63"/>
              <w:rPr>
                <w:sz w:val="22"/>
              </w:rPr>
            </w:pPr>
            <w:r>
              <w:rPr>
                <w:sz w:val="22"/>
              </w:rPr>
              <w:t>49</w:t>
            </w:r>
          </w:p>
        </w:tc>
        <w:tc>
          <w:tcPr>
            <w:tcW w:w="1687" w:type="dxa"/>
          </w:tcPr>
          <w:p>
            <w:pPr>
              <w:pStyle w:val="TableParagraph"/>
              <w:spacing w:before="30"/>
              <w:rPr>
                <w:sz w:val="22"/>
              </w:rPr>
            </w:pPr>
            <w:r>
              <w:rPr>
                <w:sz w:val="22"/>
              </w:rPr>
              <w:t>07/08/2009</w:t>
            </w:r>
          </w:p>
        </w:tc>
        <w:tc>
          <w:tcPr>
            <w:tcW w:w="1265" w:type="dxa"/>
          </w:tcPr>
          <w:p>
            <w:pPr>
              <w:pStyle w:val="TableParagraph"/>
              <w:spacing w:before="30"/>
              <w:ind w:right="63"/>
              <w:rPr>
                <w:sz w:val="22"/>
              </w:rPr>
            </w:pPr>
            <w:r>
              <w:rPr>
                <w:sz w:val="22"/>
              </w:rPr>
              <w:t>7.26</w:t>
            </w:r>
          </w:p>
        </w:tc>
        <w:tc>
          <w:tcPr>
            <w:tcW w:w="1188" w:type="dxa"/>
          </w:tcPr>
          <w:p>
            <w:pPr>
              <w:pStyle w:val="TableParagraph"/>
              <w:spacing w:before="30"/>
              <w:ind w:right="59"/>
              <w:rPr>
                <w:sz w:val="22"/>
              </w:rPr>
            </w:pPr>
            <w:r>
              <w:rPr>
                <w:sz w:val="22"/>
              </w:rPr>
              <w:t>7.37</w:t>
            </w:r>
          </w:p>
        </w:tc>
        <w:tc>
          <w:tcPr>
            <w:tcW w:w="612" w:type="dxa"/>
          </w:tcPr>
          <w:p>
            <w:pPr>
              <w:pStyle w:val="TableParagraph"/>
              <w:spacing w:before="30"/>
              <w:ind w:right="63"/>
              <w:rPr>
                <w:sz w:val="22"/>
              </w:rPr>
            </w:pPr>
            <w:r>
              <w:rPr>
                <w:sz w:val="22"/>
              </w:rPr>
              <w:t>6.88</w:t>
            </w:r>
          </w:p>
        </w:tc>
        <w:tc>
          <w:tcPr>
            <w:tcW w:w="1188" w:type="dxa"/>
          </w:tcPr>
          <w:p>
            <w:pPr>
              <w:pStyle w:val="TableParagraph"/>
              <w:spacing w:before="30"/>
              <w:ind w:right="59"/>
              <w:rPr>
                <w:sz w:val="22"/>
              </w:rPr>
            </w:pPr>
            <w:r>
              <w:rPr>
                <w:sz w:val="22"/>
              </w:rPr>
              <w:t>6.70</w:t>
            </w:r>
          </w:p>
        </w:tc>
        <w:tc>
          <w:tcPr>
            <w:tcW w:w="1190" w:type="dxa"/>
          </w:tcPr>
          <w:p>
            <w:pPr>
              <w:pStyle w:val="TableParagraph"/>
              <w:spacing w:before="30"/>
              <w:rPr>
                <w:sz w:val="22"/>
              </w:rPr>
            </w:pPr>
            <w:r>
              <w:rPr>
                <w:sz w:val="22"/>
              </w:rPr>
              <w:t>6.75</w:t>
            </w:r>
          </w:p>
        </w:tc>
        <w:tc>
          <w:tcPr>
            <w:tcW w:w="1190" w:type="dxa"/>
          </w:tcPr>
          <w:p>
            <w:pPr>
              <w:pStyle w:val="TableParagraph"/>
              <w:spacing w:before="30"/>
              <w:rPr>
                <w:sz w:val="22"/>
              </w:rPr>
            </w:pPr>
            <w:r>
              <w:rPr>
                <w:sz w:val="22"/>
              </w:rPr>
              <w:t>6.94</w:t>
            </w:r>
          </w:p>
        </w:tc>
      </w:tr>
      <w:tr>
        <w:trPr>
          <w:trHeight w:val="312" w:hRule="exact"/>
        </w:trPr>
        <w:tc>
          <w:tcPr>
            <w:tcW w:w="660" w:type="dxa"/>
          </w:tcPr>
          <w:p>
            <w:pPr>
              <w:pStyle w:val="TableParagraph"/>
              <w:spacing w:before="30"/>
              <w:ind w:right="63"/>
              <w:rPr>
                <w:sz w:val="22"/>
              </w:rPr>
            </w:pPr>
            <w:r>
              <w:rPr>
                <w:sz w:val="22"/>
              </w:rPr>
              <w:t>50</w:t>
            </w:r>
          </w:p>
        </w:tc>
        <w:tc>
          <w:tcPr>
            <w:tcW w:w="1687" w:type="dxa"/>
          </w:tcPr>
          <w:p>
            <w:pPr>
              <w:pStyle w:val="TableParagraph"/>
              <w:spacing w:before="30"/>
              <w:rPr>
                <w:sz w:val="22"/>
              </w:rPr>
            </w:pPr>
            <w:r>
              <w:rPr>
                <w:sz w:val="22"/>
              </w:rPr>
              <w:t>08/08/2009</w:t>
            </w:r>
          </w:p>
        </w:tc>
        <w:tc>
          <w:tcPr>
            <w:tcW w:w="1265" w:type="dxa"/>
          </w:tcPr>
          <w:p>
            <w:pPr>
              <w:pStyle w:val="TableParagraph"/>
              <w:spacing w:before="30"/>
              <w:ind w:right="63"/>
              <w:rPr>
                <w:sz w:val="22"/>
              </w:rPr>
            </w:pPr>
            <w:r>
              <w:rPr>
                <w:sz w:val="22"/>
              </w:rPr>
              <w:t>6.74</w:t>
            </w:r>
          </w:p>
        </w:tc>
        <w:tc>
          <w:tcPr>
            <w:tcW w:w="1188" w:type="dxa"/>
          </w:tcPr>
          <w:p>
            <w:pPr>
              <w:pStyle w:val="TableParagraph"/>
              <w:spacing w:before="30"/>
              <w:ind w:right="59"/>
              <w:rPr>
                <w:sz w:val="22"/>
              </w:rPr>
            </w:pPr>
            <w:r>
              <w:rPr>
                <w:sz w:val="22"/>
              </w:rPr>
              <w:t>6.82</w:t>
            </w:r>
          </w:p>
        </w:tc>
        <w:tc>
          <w:tcPr>
            <w:tcW w:w="612" w:type="dxa"/>
          </w:tcPr>
          <w:p>
            <w:pPr>
              <w:pStyle w:val="TableParagraph"/>
              <w:spacing w:before="30"/>
              <w:ind w:right="63"/>
              <w:rPr>
                <w:sz w:val="22"/>
              </w:rPr>
            </w:pPr>
            <w:r>
              <w:rPr>
                <w:sz w:val="22"/>
              </w:rPr>
              <w:t>6.66</w:t>
            </w:r>
          </w:p>
        </w:tc>
        <w:tc>
          <w:tcPr>
            <w:tcW w:w="1188" w:type="dxa"/>
          </w:tcPr>
          <w:p>
            <w:pPr>
              <w:pStyle w:val="TableParagraph"/>
              <w:spacing w:before="30"/>
              <w:ind w:right="59"/>
              <w:rPr>
                <w:sz w:val="22"/>
              </w:rPr>
            </w:pPr>
            <w:r>
              <w:rPr>
                <w:sz w:val="22"/>
              </w:rPr>
              <w:t>6.45</w:t>
            </w:r>
          </w:p>
        </w:tc>
        <w:tc>
          <w:tcPr>
            <w:tcW w:w="1190" w:type="dxa"/>
          </w:tcPr>
          <w:p>
            <w:pPr>
              <w:pStyle w:val="TableParagraph"/>
              <w:spacing w:before="30"/>
              <w:rPr>
                <w:sz w:val="22"/>
              </w:rPr>
            </w:pPr>
            <w:r>
              <w:rPr>
                <w:sz w:val="22"/>
              </w:rPr>
              <w:t>6.43</w:t>
            </w:r>
          </w:p>
        </w:tc>
        <w:tc>
          <w:tcPr>
            <w:tcW w:w="1190" w:type="dxa"/>
          </w:tcPr>
          <w:p>
            <w:pPr>
              <w:pStyle w:val="TableParagraph"/>
              <w:spacing w:before="30"/>
              <w:rPr>
                <w:sz w:val="22"/>
              </w:rPr>
            </w:pPr>
            <w:r>
              <w:rPr>
                <w:sz w:val="22"/>
              </w:rPr>
              <w:t>6.51</w:t>
            </w:r>
          </w:p>
        </w:tc>
      </w:tr>
      <w:tr>
        <w:trPr>
          <w:trHeight w:val="310" w:hRule="exact"/>
        </w:trPr>
        <w:tc>
          <w:tcPr>
            <w:tcW w:w="660" w:type="dxa"/>
          </w:tcPr>
          <w:p>
            <w:pPr>
              <w:pStyle w:val="TableParagraph"/>
              <w:ind w:right="63"/>
              <w:rPr>
                <w:sz w:val="22"/>
              </w:rPr>
            </w:pPr>
            <w:r>
              <w:rPr>
                <w:sz w:val="22"/>
              </w:rPr>
              <w:t>51</w:t>
            </w:r>
          </w:p>
        </w:tc>
        <w:tc>
          <w:tcPr>
            <w:tcW w:w="1687" w:type="dxa"/>
          </w:tcPr>
          <w:p>
            <w:pPr>
              <w:pStyle w:val="TableParagraph"/>
              <w:rPr>
                <w:sz w:val="22"/>
              </w:rPr>
            </w:pPr>
            <w:r>
              <w:rPr>
                <w:sz w:val="22"/>
              </w:rPr>
              <w:t>09/08/2009</w:t>
            </w:r>
          </w:p>
        </w:tc>
        <w:tc>
          <w:tcPr>
            <w:tcW w:w="1265" w:type="dxa"/>
          </w:tcPr>
          <w:p>
            <w:pPr>
              <w:pStyle w:val="TableParagraph"/>
              <w:ind w:right="63"/>
              <w:rPr>
                <w:sz w:val="22"/>
              </w:rPr>
            </w:pPr>
            <w:r>
              <w:rPr>
                <w:sz w:val="22"/>
              </w:rPr>
              <w:t>6.51</w:t>
            </w:r>
          </w:p>
        </w:tc>
        <w:tc>
          <w:tcPr>
            <w:tcW w:w="1188" w:type="dxa"/>
          </w:tcPr>
          <w:p>
            <w:pPr>
              <w:pStyle w:val="TableParagraph"/>
              <w:ind w:right="59"/>
              <w:rPr>
                <w:sz w:val="22"/>
              </w:rPr>
            </w:pPr>
            <w:r>
              <w:rPr>
                <w:sz w:val="22"/>
              </w:rPr>
              <w:t>6.64</w:t>
            </w:r>
          </w:p>
        </w:tc>
        <w:tc>
          <w:tcPr>
            <w:tcW w:w="612" w:type="dxa"/>
          </w:tcPr>
          <w:p>
            <w:pPr>
              <w:pStyle w:val="TableParagraph"/>
              <w:ind w:right="63"/>
              <w:rPr>
                <w:sz w:val="22"/>
              </w:rPr>
            </w:pPr>
            <w:r>
              <w:rPr>
                <w:sz w:val="22"/>
              </w:rPr>
              <w:t>6.57</w:t>
            </w:r>
          </w:p>
        </w:tc>
        <w:tc>
          <w:tcPr>
            <w:tcW w:w="1188" w:type="dxa"/>
          </w:tcPr>
          <w:p>
            <w:pPr>
              <w:pStyle w:val="TableParagraph"/>
              <w:ind w:right="59"/>
              <w:rPr>
                <w:sz w:val="22"/>
              </w:rPr>
            </w:pPr>
            <w:r>
              <w:rPr>
                <w:sz w:val="22"/>
              </w:rPr>
              <w:t>6.41</w:t>
            </w:r>
          </w:p>
        </w:tc>
        <w:tc>
          <w:tcPr>
            <w:tcW w:w="1190" w:type="dxa"/>
          </w:tcPr>
          <w:p>
            <w:pPr>
              <w:pStyle w:val="TableParagraph"/>
              <w:rPr>
                <w:sz w:val="22"/>
              </w:rPr>
            </w:pPr>
            <w:r>
              <w:rPr>
                <w:sz w:val="22"/>
              </w:rPr>
              <w:t>6.47</w:t>
            </w:r>
          </w:p>
        </w:tc>
        <w:tc>
          <w:tcPr>
            <w:tcW w:w="1190" w:type="dxa"/>
          </w:tcPr>
          <w:p>
            <w:pPr>
              <w:pStyle w:val="TableParagraph"/>
              <w:rPr>
                <w:sz w:val="22"/>
              </w:rPr>
            </w:pPr>
            <w:r>
              <w:rPr>
                <w:sz w:val="22"/>
              </w:rPr>
              <w:t>6.55</w:t>
            </w:r>
          </w:p>
        </w:tc>
      </w:tr>
      <w:tr>
        <w:trPr>
          <w:trHeight w:val="310" w:hRule="exact"/>
        </w:trPr>
        <w:tc>
          <w:tcPr>
            <w:tcW w:w="660" w:type="dxa"/>
          </w:tcPr>
          <w:p>
            <w:pPr>
              <w:pStyle w:val="TableParagraph"/>
              <w:ind w:right="63"/>
              <w:rPr>
                <w:sz w:val="22"/>
              </w:rPr>
            </w:pPr>
            <w:r>
              <w:rPr>
                <w:sz w:val="22"/>
              </w:rPr>
              <w:t>52</w:t>
            </w:r>
          </w:p>
        </w:tc>
        <w:tc>
          <w:tcPr>
            <w:tcW w:w="1687" w:type="dxa"/>
          </w:tcPr>
          <w:p>
            <w:pPr>
              <w:pStyle w:val="TableParagraph"/>
              <w:rPr>
                <w:sz w:val="22"/>
              </w:rPr>
            </w:pPr>
            <w:r>
              <w:rPr>
                <w:sz w:val="22"/>
              </w:rPr>
              <w:t>10/08/2009</w:t>
            </w:r>
          </w:p>
        </w:tc>
        <w:tc>
          <w:tcPr>
            <w:tcW w:w="1265" w:type="dxa"/>
          </w:tcPr>
          <w:p>
            <w:pPr>
              <w:pStyle w:val="TableParagraph"/>
              <w:ind w:right="63"/>
              <w:rPr>
                <w:sz w:val="22"/>
              </w:rPr>
            </w:pPr>
            <w:r>
              <w:rPr>
                <w:sz w:val="22"/>
              </w:rPr>
              <w:t>6.38</w:t>
            </w:r>
          </w:p>
        </w:tc>
        <w:tc>
          <w:tcPr>
            <w:tcW w:w="1188" w:type="dxa"/>
          </w:tcPr>
          <w:p>
            <w:pPr>
              <w:pStyle w:val="TableParagraph"/>
              <w:ind w:right="59"/>
              <w:rPr>
                <w:sz w:val="22"/>
              </w:rPr>
            </w:pPr>
            <w:r>
              <w:rPr>
                <w:sz w:val="22"/>
              </w:rPr>
              <w:t>6.30</w:t>
            </w:r>
          </w:p>
        </w:tc>
        <w:tc>
          <w:tcPr>
            <w:tcW w:w="612" w:type="dxa"/>
          </w:tcPr>
          <w:p>
            <w:pPr>
              <w:pStyle w:val="TableParagraph"/>
              <w:ind w:right="63"/>
              <w:rPr>
                <w:sz w:val="22"/>
              </w:rPr>
            </w:pPr>
            <w:r>
              <w:rPr>
                <w:sz w:val="22"/>
              </w:rPr>
              <w:t>6.50</w:t>
            </w:r>
          </w:p>
        </w:tc>
        <w:tc>
          <w:tcPr>
            <w:tcW w:w="1188" w:type="dxa"/>
          </w:tcPr>
          <w:p>
            <w:pPr>
              <w:pStyle w:val="TableParagraph"/>
              <w:ind w:right="59"/>
              <w:rPr>
                <w:sz w:val="22"/>
              </w:rPr>
            </w:pPr>
            <w:r>
              <w:rPr>
                <w:sz w:val="22"/>
              </w:rPr>
              <w:t>6.89</w:t>
            </w:r>
          </w:p>
        </w:tc>
        <w:tc>
          <w:tcPr>
            <w:tcW w:w="1190" w:type="dxa"/>
          </w:tcPr>
          <w:p>
            <w:pPr>
              <w:pStyle w:val="TableParagraph"/>
              <w:rPr>
                <w:sz w:val="22"/>
              </w:rPr>
            </w:pPr>
            <w:r>
              <w:rPr>
                <w:sz w:val="22"/>
              </w:rPr>
              <w:t>6.94</w:t>
            </w:r>
          </w:p>
        </w:tc>
        <w:tc>
          <w:tcPr>
            <w:tcW w:w="1190" w:type="dxa"/>
          </w:tcPr>
          <w:p>
            <w:pPr>
              <w:pStyle w:val="TableParagraph"/>
              <w:rPr>
                <w:sz w:val="22"/>
              </w:rPr>
            </w:pPr>
            <w:r>
              <w:rPr>
                <w:sz w:val="22"/>
              </w:rPr>
              <w:t>6.86</w:t>
            </w:r>
          </w:p>
        </w:tc>
      </w:tr>
      <w:tr>
        <w:trPr>
          <w:trHeight w:val="310" w:hRule="exact"/>
        </w:trPr>
        <w:tc>
          <w:tcPr>
            <w:tcW w:w="660" w:type="dxa"/>
          </w:tcPr>
          <w:p>
            <w:pPr>
              <w:pStyle w:val="TableParagraph"/>
              <w:ind w:right="63"/>
              <w:rPr>
                <w:sz w:val="22"/>
              </w:rPr>
            </w:pPr>
            <w:r>
              <w:rPr>
                <w:sz w:val="22"/>
              </w:rPr>
              <w:t>53</w:t>
            </w:r>
          </w:p>
        </w:tc>
        <w:tc>
          <w:tcPr>
            <w:tcW w:w="1687" w:type="dxa"/>
          </w:tcPr>
          <w:p>
            <w:pPr>
              <w:pStyle w:val="TableParagraph"/>
              <w:rPr>
                <w:sz w:val="22"/>
              </w:rPr>
            </w:pPr>
            <w:r>
              <w:rPr>
                <w:sz w:val="22"/>
              </w:rPr>
              <w:t>11/08/2009</w:t>
            </w:r>
          </w:p>
        </w:tc>
        <w:tc>
          <w:tcPr>
            <w:tcW w:w="1265" w:type="dxa"/>
          </w:tcPr>
          <w:p>
            <w:pPr>
              <w:pStyle w:val="TableParagraph"/>
              <w:ind w:right="63"/>
              <w:rPr>
                <w:sz w:val="22"/>
              </w:rPr>
            </w:pPr>
            <w:r>
              <w:rPr>
                <w:sz w:val="22"/>
              </w:rPr>
              <w:t>6.96</w:t>
            </w:r>
          </w:p>
        </w:tc>
        <w:tc>
          <w:tcPr>
            <w:tcW w:w="1188" w:type="dxa"/>
          </w:tcPr>
          <w:p>
            <w:pPr>
              <w:pStyle w:val="TableParagraph"/>
              <w:ind w:right="59"/>
              <w:rPr>
                <w:sz w:val="22"/>
              </w:rPr>
            </w:pPr>
            <w:r>
              <w:rPr>
                <w:sz w:val="22"/>
              </w:rPr>
              <w:t>7.03</w:t>
            </w:r>
          </w:p>
        </w:tc>
        <w:tc>
          <w:tcPr>
            <w:tcW w:w="612" w:type="dxa"/>
          </w:tcPr>
          <w:p>
            <w:pPr>
              <w:pStyle w:val="TableParagraph"/>
              <w:ind w:right="63"/>
              <w:rPr>
                <w:sz w:val="22"/>
              </w:rPr>
            </w:pPr>
            <w:r>
              <w:rPr>
                <w:sz w:val="22"/>
              </w:rPr>
              <w:t>7.17</w:t>
            </w:r>
          </w:p>
        </w:tc>
        <w:tc>
          <w:tcPr>
            <w:tcW w:w="1188" w:type="dxa"/>
          </w:tcPr>
          <w:p>
            <w:pPr>
              <w:pStyle w:val="TableParagraph"/>
              <w:ind w:right="59"/>
              <w:rPr>
                <w:sz w:val="22"/>
              </w:rPr>
            </w:pPr>
            <w:r>
              <w:rPr>
                <w:sz w:val="22"/>
              </w:rPr>
              <w:t>7.04</w:t>
            </w:r>
          </w:p>
        </w:tc>
        <w:tc>
          <w:tcPr>
            <w:tcW w:w="1190" w:type="dxa"/>
          </w:tcPr>
          <w:p>
            <w:pPr>
              <w:pStyle w:val="TableParagraph"/>
              <w:rPr>
                <w:sz w:val="22"/>
              </w:rPr>
            </w:pPr>
            <w:r>
              <w:rPr>
                <w:sz w:val="22"/>
              </w:rPr>
              <w:t>6.77</w:t>
            </w:r>
          </w:p>
        </w:tc>
        <w:tc>
          <w:tcPr>
            <w:tcW w:w="1190" w:type="dxa"/>
          </w:tcPr>
          <w:p>
            <w:pPr>
              <w:pStyle w:val="TableParagraph"/>
              <w:rPr>
                <w:sz w:val="22"/>
              </w:rPr>
            </w:pPr>
            <w:r>
              <w:rPr>
                <w:sz w:val="22"/>
              </w:rPr>
              <w:t>7.25</w:t>
            </w:r>
          </w:p>
        </w:tc>
      </w:tr>
      <w:tr>
        <w:trPr>
          <w:trHeight w:val="310" w:hRule="exact"/>
        </w:trPr>
        <w:tc>
          <w:tcPr>
            <w:tcW w:w="660" w:type="dxa"/>
          </w:tcPr>
          <w:p>
            <w:pPr>
              <w:pStyle w:val="TableParagraph"/>
              <w:ind w:right="63"/>
              <w:rPr>
                <w:sz w:val="22"/>
              </w:rPr>
            </w:pPr>
            <w:r>
              <w:rPr>
                <w:sz w:val="22"/>
              </w:rPr>
              <w:t>54</w:t>
            </w:r>
          </w:p>
        </w:tc>
        <w:tc>
          <w:tcPr>
            <w:tcW w:w="1687" w:type="dxa"/>
          </w:tcPr>
          <w:p>
            <w:pPr>
              <w:pStyle w:val="TableParagraph"/>
              <w:rPr>
                <w:sz w:val="22"/>
              </w:rPr>
            </w:pPr>
            <w:r>
              <w:rPr>
                <w:sz w:val="22"/>
              </w:rPr>
              <w:t>12/08/2009</w:t>
            </w:r>
          </w:p>
        </w:tc>
        <w:tc>
          <w:tcPr>
            <w:tcW w:w="1265" w:type="dxa"/>
          </w:tcPr>
          <w:p>
            <w:pPr>
              <w:pStyle w:val="TableParagraph"/>
              <w:ind w:right="63"/>
              <w:rPr>
                <w:sz w:val="22"/>
              </w:rPr>
            </w:pPr>
            <w:r>
              <w:rPr>
                <w:sz w:val="22"/>
              </w:rPr>
              <w:t>6.99</w:t>
            </w:r>
          </w:p>
        </w:tc>
        <w:tc>
          <w:tcPr>
            <w:tcW w:w="1188" w:type="dxa"/>
          </w:tcPr>
          <w:p>
            <w:pPr>
              <w:pStyle w:val="TableParagraph"/>
              <w:ind w:right="59"/>
              <w:rPr>
                <w:sz w:val="22"/>
              </w:rPr>
            </w:pPr>
            <w:r>
              <w:rPr>
                <w:sz w:val="22"/>
              </w:rPr>
              <w:t>7.01</w:t>
            </w:r>
          </w:p>
        </w:tc>
        <w:tc>
          <w:tcPr>
            <w:tcW w:w="612" w:type="dxa"/>
          </w:tcPr>
          <w:p>
            <w:pPr>
              <w:pStyle w:val="TableParagraph"/>
              <w:ind w:right="63"/>
              <w:rPr>
                <w:sz w:val="22"/>
              </w:rPr>
            </w:pPr>
            <w:r>
              <w:rPr>
                <w:sz w:val="22"/>
              </w:rPr>
              <w:t>7.05</w:t>
            </w:r>
          </w:p>
        </w:tc>
        <w:tc>
          <w:tcPr>
            <w:tcW w:w="1188" w:type="dxa"/>
          </w:tcPr>
          <w:p>
            <w:pPr>
              <w:pStyle w:val="TableParagraph"/>
              <w:ind w:right="59"/>
              <w:rPr>
                <w:sz w:val="22"/>
              </w:rPr>
            </w:pPr>
            <w:r>
              <w:rPr>
                <w:sz w:val="22"/>
              </w:rPr>
              <w:t>6.95</w:t>
            </w:r>
          </w:p>
        </w:tc>
        <w:tc>
          <w:tcPr>
            <w:tcW w:w="1190" w:type="dxa"/>
          </w:tcPr>
          <w:p>
            <w:pPr>
              <w:pStyle w:val="TableParagraph"/>
              <w:rPr>
                <w:sz w:val="22"/>
              </w:rPr>
            </w:pPr>
            <w:r>
              <w:rPr>
                <w:sz w:val="22"/>
              </w:rPr>
              <w:t>6.99</w:t>
            </w:r>
          </w:p>
        </w:tc>
        <w:tc>
          <w:tcPr>
            <w:tcW w:w="1190" w:type="dxa"/>
          </w:tcPr>
          <w:p>
            <w:pPr>
              <w:pStyle w:val="TableParagraph"/>
              <w:rPr>
                <w:sz w:val="22"/>
              </w:rPr>
            </w:pPr>
            <w:r>
              <w:rPr>
                <w:sz w:val="22"/>
              </w:rPr>
              <w:t>7.15</w:t>
            </w:r>
          </w:p>
        </w:tc>
      </w:tr>
      <w:tr>
        <w:trPr>
          <w:trHeight w:val="310" w:hRule="exact"/>
        </w:trPr>
        <w:tc>
          <w:tcPr>
            <w:tcW w:w="660" w:type="dxa"/>
          </w:tcPr>
          <w:p>
            <w:pPr>
              <w:pStyle w:val="TableParagraph"/>
              <w:spacing w:before="30"/>
              <w:ind w:right="63"/>
              <w:rPr>
                <w:sz w:val="22"/>
              </w:rPr>
            </w:pPr>
            <w:r>
              <w:rPr>
                <w:sz w:val="22"/>
              </w:rPr>
              <w:t>55</w:t>
            </w:r>
          </w:p>
        </w:tc>
        <w:tc>
          <w:tcPr>
            <w:tcW w:w="1687" w:type="dxa"/>
          </w:tcPr>
          <w:p>
            <w:pPr>
              <w:pStyle w:val="TableParagraph"/>
              <w:spacing w:before="30"/>
              <w:rPr>
                <w:sz w:val="22"/>
              </w:rPr>
            </w:pPr>
            <w:r>
              <w:rPr>
                <w:sz w:val="22"/>
              </w:rPr>
              <w:t>13/08/2009</w:t>
            </w:r>
          </w:p>
        </w:tc>
        <w:tc>
          <w:tcPr>
            <w:tcW w:w="1265" w:type="dxa"/>
          </w:tcPr>
          <w:p>
            <w:pPr>
              <w:pStyle w:val="TableParagraph"/>
              <w:spacing w:before="30"/>
              <w:ind w:right="63"/>
              <w:rPr>
                <w:sz w:val="22"/>
              </w:rPr>
            </w:pPr>
            <w:r>
              <w:rPr>
                <w:sz w:val="22"/>
              </w:rPr>
              <w:t>6.04</w:t>
            </w:r>
          </w:p>
        </w:tc>
        <w:tc>
          <w:tcPr>
            <w:tcW w:w="1188" w:type="dxa"/>
          </w:tcPr>
          <w:p>
            <w:pPr>
              <w:pStyle w:val="TableParagraph"/>
              <w:spacing w:before="30"/>
              <w:ind w:right="59"/>
              <w:rPr>
                <w:sz w:val="22"/>
              </w:rPr>
            </w:pPr>
            <w:r>
              <w:rPr>
                <w:sz w:val="22"/>
              </w:rPr>
              <w:t>6.09</w:t>
            </w:r>
          </w:p>
        </w:tc>
        <w:tc>
          <w:tcPr>
            <w:tcW w:w="612" w:type="dxa"/>
          </w:tcPr>
          <w:p>
            <w:pPr>
              <w:pStyle w:val="TableParagraph"/>
              <w:spacing w:before="30"/>
              <w:ind w:right="63"/>
              <w:rPr>
                <w:sz w:val="22"/>
              </w:rPr>
            </w:pPr>
            <w:r>
              <w:rPr>
                <w:sz w:val="22"/>
              </w:rPr>
              <w:t>5.81</w:t>
            </w:r>
          </w:p>
        </w:tc>
        <w:tc>
          <w:tcPr>
            <w:tcW w:w="1188" w:type="dxa"/>
          </w:tcPr>
          <w:p>
            <w:pPr>
              <w:pStyle w:val="TableParagraph"/>
              <w:spacing w:before="30"/>
              <w:ind w:right="59"/>
              <w:rPr>
                <w:sz w:val="22"/>
              </w:rPr>
            </w:pPr>
            <w:r>
              <w:rPr>
                <w:sz w:val="22"/>
              </w:rPr>
              <w:t>5.91</w:t>
            </w:r>
          </w:p>
        </w:tc>
        <w:tc>
          <w:tcPr>
            <w:tcW w:w="1190" w:type="dxa"/>
          </w:tcPr>
          <w:p>
            <w:pPr>
              <w:pStyle w:val="TableParagraph"/>
              <w:spacing w:before="30"/>
              <w:rPr>
                <w:sz w:val="22"/>
              </w:rPr>
            </w:pPr>
            <w:r>
              <w:rPr>
                <w:sz w:val="22"/>
              </w:rPr>
              <w:t>6.07</w:t>
            </w:r>
          </w:p>
        </w:tc>
        <w:tc>
          <w:tcPr>
            <w:tcW w:w="1190" w:type="dxa"/>
          </w:tcPr>
          <w:p>
            <w:pPr>
              <w:pStyle w:val="TableParagraph"/>
              <w:spacing w:before="30"/>
              <w:rPr>
                <w:sz w:val="22"/>
              </w:rPr>
            </w:pPr>
            <w:r>
              <w:rPr>
                <w:sz w:val="22"/>
              </w:rPr>
              <w:t>7.05</w:t>
            </w:r>
          </w:p>
        </w:tc>
      </w:tr>
      <w:tr>
        <w:trPr>
          <w:trHeight w:val="312" w:hRule="exact"/>
        </w:trPr>
        <w:tc>
          <w:tcPr>
            <w:tcW w:w="660" w:type="dxa"/>
          </w:tcPr>
          <w:p>
            <w:pPr>
              <w:pStyle w:val="TableParagraph"/>
              <w:spacing w:before="30"/>
              <w:ind w:right="63"/>
              <w:rPr>
                <w:sz w:val="22"/>
              </w:rPr>
            </w:pPr>
            <w:r>
              <w:rPr>
                <w:sz w:val="22"/>
              </w:rPr>
              <w:t>56</w:t>
            </w:r>
          </w:p>
        </w:tc>
        <w:tc>
          <w:tcPr>
            <w:tcW w:w="1687" w:type="dxa"/>
          </w:tcPr>
          <w:p>
            <w:pPr>
              <w:pStyle w:val="TableParagraph"/>
              <w:spacing w:before="30"/>
              <w:rPr>
                <w:sz w:val="22"/>
              </w:rPr>
            </w:pPr>
            <w:r>
              <w:rPr>
                <w:sz w:val="22"/>
              </w:rPr>
              <w:t>14/08/2009</w:t>
            </w:r>
          </w:p>
        </w:tc>
        <w:tc>
          <w:tcPr>
            <w:tcW w:w="1265" w:type="dxa"/>
          </w:tcPr>
          <w:p>
            <w:pPr>
              <w:pStyle w:val="TableParagraph"/>
              <w:spacing w:before="30"/>
              <w:ind w:right="63"/>
              <w:rPr>
                <w:sz w:val="22"/>
              </w:rPr>
            </w:pPr>
            <w:r>
              <w:rPr>
                <w:sz w:val="22"/>
              </w:rPr>
              <w:t>5.92</w:t>
            </w:r>
          </w:p>
        </w:tc>
        <w:tc>
          <w:tcPr>
            <w:tcW w:w="1188" w:type="dxa"/>
          </w:tcPr>
          <w:p>
            <w:pPr>
              <w:pStyle w:val="TableParagraph"/>
              <w:spacing w:before="30"/>
              <w:ind w:right="59"/>
              <w:rPr>
                <w:sz w:val="22"/>
              </w:rPr>
            </w:pPr>
            <w:r>
              <w:rPr>
                <w:sz w:val="22"/>
              </w:rPr>
              <w:t>6.08</w:t>
            </w:r>
          </w:p>
        </w:tc>
        <w:tc>
          <w:tcPr>
            <w:tcW w:w="612" w:type="dxa"/>
          </w:tcPr>
          <w:p>
            <w:pPr>
              <w:pStyle w:val="TableParagraph"/>
              <w:spacing w:before="30"/>
              <w:ind w:right="63"/>
              <w:rPr>
                <w:sz w:val="22"/>
              </w:rPr>
            </w:pPr>
            <w:r>
              <w:rPr>
                <w:sz w:val="22"/>
              </w:rPr>
              <w:t>5.78</w:t>
            </w:r>
          </w:p>
        </w:tc>
        <w:tc>
          <w:tcPr>
            <w:tcW w:w="1188" w:type="dxa"/>
          </w:tcPr>
          <w:p>
            <w:pPr>
              <w:pStyle w:val="TableParagraph"/>
              <w:spacing w:before="30"/>
              <w:ind w:right="59"/>
              <w:rPr>
                <w:sz w:val="22"/>
              </w:rPr>
            </w:pPr>
            <w:r>
              <w:rPr>
                <w:sz w:val="22"/>
              </w:rPr>
              <w:t>5.87</w:t>
            </w:r>
          </w:p>
        </w:tc>
        <w:tc>
          <w:tcPr>
            <w:tcW w:w="1190" w:type="dxa"/>
          </w:tcPr>
          <w:p>
            <w:pPr>
              <w:pStyle w:val="TableParagraph"/>
              <w:spacing w:before="30"/>
              <w:rPr>
                <w:sz w:val="22"/>
              </w:rPr>
            </w:pPr>
            <w:r>
              <w:rPr>
                <w:sz w:val="22"/>
              </w:rPr>
              <w:t>5.92</w:t>
            </w:r>
          </w:p>
        </w:tc>
        <w:tc>
          <w:tcPr>
            <w:tcW w:w="1190" w:type="dxa"/>
          </w:tcPr>
          <w:p>
            <w:pPr>
              <w:pStyle w:val="TableParagraph"/>
              <w:spacing w:before="30"/>
              <w:rPr>
                <w:sz w:val="22"/>
              </w:rPr>
            </w:pPr>
            <w:r>
              <w:rPr>
                <w:sz w:val="22"/>
              </w:rPr>
              <w:t>6.86</w:t>
            </w:r>
          </w:p>
        </w:tc>
      </w:tr>
      <w:tr>
        <w:trPr>
          <w:trHeight w:val="310" w:hRule="exact"/>
        </w:trPr>
        <w:tc>
          <w:tcPr>
            <w:tcW w:w="660" w:type="dxa"/>
          </w:tcPr>
          <w:p>
            <w:pPr>
              <w:pStyle w:val="TableParagraph"/>
              <w:ind w:right="63"/>
              <w:rPr>
                <w:sz w:val="22"/>
              </w:rPr>
            </w:pPr>
            <w:r>
              <w:rPr>
                <w:sz w:val="22"/>
              </w:rPr>
              <w:t>85</w:t>
            </w:r>
          </w:p>
        </w:tc>
        <w:tc>
          <w:tcPr>
            <w:tcW w:w="1687" w:type="dxa"/>
          </w:tcPr>
          <w:p>
            <w:pPr>
              <w:pStyle w:val="TableParagraph"/>
              <w:rPr>
                <w:sz w:val="22"/>
              </w:rPr>
            </w:pPr>
            <w:r>
              <w:rPr>
                <w:sz w:val="22"/>
              </w:rPr>
              <w:t>12/09/2009</w:t>
            </w:r>
          </w:p>
        </w:tc>
        <w:tc>
          <w:tcPr>
            <w:tcW w:w="1265" w:type="dxa"/>
          </w:tcPr>
          <w:p>
            <w:pPr>
              <w:pStyle w:val="TableParagraph"/>
              <w:ind w:right="63"/>
              <w:rPr>
                <w:sz w:val="22"/>
              </w:rPr>
            </w:pPr>
            <w:r>
              <w:rPr>
                <w:sz w:val="22"/>
              </w:rPr>
              <w:t>6.83</w:t>
            </w:r>
          </w:p>
        </w:tc>
        <w:tc>
          <w:tcPr>
            <w:tcW w:w="1188" w:type="dxa"/>
          </w:tcPr>
          <w:p>
            <w:pPr>
              <w:pStyle w:val="TableParagraph"/>
              <w:ind w:right="59"/>
              <w:rPr>
                <w:sz w:val="22"/>
              </w:rPr>
            </w:pPr>
            <w:r>
              <w:rPr>
                <w:w w:val="100"/>
                <w:sz w:val="22"/>
              </w:rPr>
              <w:t>7</w:t>
            </w:r>
          </w:p>
        </w:tc>
        <w:tc>
          <w:tcPr>
            <w:tcW w:w="612" w:type="dxa"/>
          </w:tcPr>
          <w:p>
            <w:pPr>
              <w:pStyle w:val="TableParagraph"/>
              <w:ind w:right="63"/>
              <w:rPr>
                <w:sz w:val="22"/>
              </w:rPr>
            </w:pPr>
            <w:r>
              <w:rPr>
                <w:sz w:val="22"/>
              </w:rPr>
              <w:t>6.65</w:t>
            </w:r>
          </w:p>
        </w:tc>
        <w:tc>
          <w:tcPr>
            <w:tcW w:w="1188" w:type="dxa"/>
          </w:tcPr>
          <w:p>
            <w:pPr>
              <w:pStyle w:val="TableParagraph"/>
              <w:ind w:right="59"/>
              <w:rPr>
                <w:sz w:val="22"/>
              </w:rPr>
            </w:pPr>
            <w:r>
              <w:rPr>
                <w:sz w:val="22"/>
              </w:rPr>
              <w:t>6.65</w:t>
            </w:r>
          </w:p>
        </w:tc>
        <w:tc>
          <w:tcPr>
            <w:tcW w:w="1190" w:type="dxa"/>
          </w:tcPr>
          <w:p>
            <w:pPr>
              <w:pStyle w:val="TableParagraph"/>
              <w:rPr>
                <w:sz w:val="22"/>
              </w:rPr>
            </w:pPr>
            <w:r>
              <w:rPr>
                <w:sz w:val="22"/>
              </w:rPr>
              <w:t>6.69</w:t>
            </w:r>
          </w:p>
        </w:tc>
        <w:tc>
          <w:tcPr>
            <w:tcW w:w="1190" w:type="dxa"/>
          </w:tcPr>
          <w:p>
            <w:pPr>
              <w:pStyle w:val="TableParagraph"/>
              <w:rPr>
                <w:sz w:val="22"/>
              </w:rPr>
            </w:pPr>
            <w:r>
              <w:rPr>
                <w:sz w:val="22"/>
              </w:rPr>
              <w:t>6.67</w:t>
            </w:r>
          </w:p>
        </w:tc>
      </w:tr>
      <w:tr>
        <w:trPr>
          <w:trHeight w:val="310" w:hRule="exact"/>
        </w:trPr>
        <w:tc>
          <w:tcPr>
            <w:tcW w:w="660" w:type="dxa"/>
          </w:tcPr>
          <w:p>
            <w:pPr>
              <w:pStyle w:val="TableParagraph"/>
              <w:ind w:right="63"/>
              <w:rPr>
                <w:sz w:val="22"/>
              </w:rPr>
            </w:pPr>
            <w:r>
              <w:rPr>
                <w:sz w:val="22"/>
              </w:rPr>
              <w:t>86</w:t>
            </w:r>
          </w:p>
        </w:tc>
        <w:tc>
          <w:tcPr>
            <w:tcW w:w="1687" w:type="dxa"/>
          </w:tcPr>
          <w:p>
            <w:pPr>
              <w:pStyle w:val="TableParagraph"/>
              <w:rPr>
                <w:sz w:val="22"/>
              </w:rPr>
            </w:pPr>
            <w:r>
              <w:rPr>
                <w:sz w:val="22"/>
              </w:rPr>
              <w:t>13/09/2009</w:t>
            </w:r>
          </w:p>
        </w:tc>
        <w:tc>
          <w:tcPr>
            <w:tcW w:w="1265" w:type="dxa"/>
          </w:tcPr>
          <w:p>
            <w:pPr>
              <w:pStyle w:val="TableParagraph"/>
              <w:ind w:right="63"/>
              <w:rPr>
                <w:sz w:val="22"/>
              </w:rPr>
            </w:pPr>
            <w:r>
              <w:rPr>
                <w:sz w:val="22"/>
              </w:rPr>
              <w:t>6.38</w:t>
            </w:r>
          </w:p>
        </w:tc>
        <w:tc>
          <w:tcPr>
            <w:tcW w:w="1188" w:type="dxa"/>
          </w:tcPr>
          <w:p>
            <w:pPr>
              <w:pStyle w:val="TableParagraph"/>
              <w:ind w:right="59"/>
              <w:rPr>
                <w:sz w:val="22"/>
              </w:rPr>
            </w:pPr>
            <w:r>
              <w:rPr>
                <w:sz w:val="22"/>
              </w:rPr>
              <w:t>6.88</w:t>
            </w:r>
          </w:p>
        </w:tc>
        <w:tc>
          <w:tcPr>
            <w:tcW w:w="612" w:type="dxa"/>
          </w:tcPr>
          <w:p>
            <w:pPr>
              <w:pStyle w:val="TableParagraph"/>
              <w:ind w:right="63"/>
              <w:rPr>
                <w:sz w:val="22"/>
              </w:rPr>
            </w:pPr>
            <w:r>
              <w:rPr>
                <w:sz w:val="22"/>
              </w:rPr>
              <w:t>6.54</w:t>
            </w:r>
          </w:p>
        </w:tc>
        <w:tc>
          <w:tcPr>
            <w:tcW w:w="1188" w:type="dxa"/>
          </w:tcPr>
          <w:p>
            <w:pPr>
              <w:pStyle w:val="TableParagraph"/>
              <w:ind w:right="59"/>
              <w:rPr>
                <w:sz w:val="22"/>
              </w:rPr>
            </w:pPr>
            <w:r>
              <w:rPr>
                <w:sz w:val="22"/>
              </w:rPr>
              <w:t>6.55</w:t>
            </w:r>
          </w:p>
        </w:tc>
        <w:tc>
          <w:tcPr>
            <w:tcW w:w="1190" w:type="dxa"/>
          </w:tcPr>
          <w:p>
            <w:pPr>
              <w:pStyle w:val="TableParagraph"/>
              <w:rPr>
                <w:sz w:val="22"/>
              </w:rPr>
            </w:pPr>
            <w:r>
              <w:rPr>
                <w:sz w:val="22"/>
              </w:rPr>
              <w:t>6.62</w:t>
            </w:r>
          </w:p>
        </w:tc>
        <w:tc>
          <w:tcPr>
            <w:tcW w:w="1190" w:type="dxa"/>
          </w:tcPr>
          <w:p>
            <w:pPr>
              <w:pStyle w:val="TableParagraph"/>
              <w:rPr>
                <w:sz w:val="22"/>
              </w:rPr>
            </w:pPr>
            <w:r>
              <w:rPr>
                <w:sz w:val="22"/>
              </w:rPr>
              <w:t>7.08</w:t>
            </w:r>
          </w:p>
        </w:tc>
      </w:tr>
      <w:tr>
        <w:trPr>
          <w:trHeight w:val="310" w:hRule="exact"/>
        </w:trPr>
        <w:tc>
          <w:tcPr>
            <w:tcW w:w="660" w:type="dxa"/>
          </w:tcPr>
          <w:p>
            <w:pPr>
              <w:pStyle w:val="TableParagraph"/>
              <w:ind w:right="63"/>
              <w:rPr>
                <w:sz w:val="22"/>
              </w:rPr>
            </w:pPr>
            <w:r>
              <w:rPr>
                <w:sz w:val="22"/>
              </w:rPr>
              <w:t>87</w:t>
            </w:r>
          </w:p>
        </w:tc>
        <w:tc>
          <w:tcPr>
            <w:tcW w:w="1687" w:type="dxa"/>
          </w:tcPr>
          <w:p>
            <w:pPr>
              <w:pStyle w:val="TableParagraph"/>
              <w:rPr>
                <w:sz w:val="22"/>
              </w:rPr>
            </w:pPr>
            <w:r>
              <w:rPr>
                <w:sz w:val="22"/>
              </w:rPr>
              <w:t>14/09/2009</w:t>
            </w:r>
          </w:p>
        </w:tc>
        <w:tc>
          <w:tcPr>
            <w:tcW w:w="1265" w:type="dxa"/>
          </w:tcPr>
          <w:p>
            <w:pPr>
              <w:pStyle w:val="TableParagraph"/>
              <w:ind w:right="63"/>
              <w:rPr>
                <w:sz w:val="22"/>
              </w:rPr>
            </w:pPr>
            <w:r>
              <w:rPr>
                <w:sz w:val="22"/>
              </w:rPr>
              <w:t>6.42</w:t>
            </w:r>
          </w:p>
        </w:tc>
        <w:tc>
          <w:tcPr>
            <w:tcW w:w="1188" w:type="dxa"/>
          </w:tcPr>
          <w:p>
            <w:pPr>
              <w:pStyle w:val="TableParagraph"/>
              <w:ind w:right="59"/>
              <w:rPr>
                <w:sz w:val="22"/>
              </w:rPr>
            </w:pPr>
            <w:r>
              <w:rPr>
                <w:sz w:val="22"/>
              </w:rPr>
              <w:t>6.76</w:t>
            </w:r>
          </w:p>
        </w:tc>
        <w:tc>
          <w:tcPr>
            <w:tcW w:w="612" w:type="dxa"/>
          </w:tcPr>
          <w:p>
            <w:pPr>
              <w:pStyle w:val="TableParagraph"/>
              <w:ind w:right="63"/>
              <w:rPr>
                <w:sz w:val="22"/>
              </w:rPr>
            </w:pPr>
            <w:r>
              <w:rPr>
                <w:sz w:val="22"/>
              </w:rPr>
              <w:t>6.68</w:t>
            </w:r>
          </w:p>
        </w:tc>
        <w:tc>
          <w:tcPr>
            <w:tcW w:w="1188" w:type="dxa"/>
          </w:tcPr>
          <w:p>
            <w:pPr>
              <w:pStyle w:val="TableParagraph"/>
              <w:ind w:right="59"/>
              <w:rPr>
                <w:sz w:val="22"/>
              </w:rPr>
            </w:pPr>
            <w:r>
              <w:rPr>
                <w:sz w:val="22"/>
              </w:rPr>
              <w:t>6.42</w:t>
            </w:r>
          </w:p>
        </w:tc>
        <w:tc>
          <w:tcPr>
            <w:tcW w:w="1190" w:type="dxa"/>
          </w:tcPr>
          <w:p>
            <w:pPr>
              <w:pStyle w:val="TableParagraph"/>
              <w:rPr>
                <w:sz w:val="22"/>
              </w:rPr>
            </w:pPr>
            <w:r>
              <w:rPr>
                <w:sz w:val="22"/>
              </w:rPr>
              <w:t>6.58</w:t>
            </w:r>
          </w:p>
        </w:tc>
        <w:tc>
          <w:tcPr>
            <w:tcW w:w="1190" w:type="dxa"/>
          </w:tcPr>
          <w:p>
            <w:pPr>
              <w:pStyle w:val="TableParagraph"/>
              <w:rPr>
                <w:sz w:val="22"/>
              </w:rPr>
            </w:pPr>
            <w:r>
              <w:rPr>
                <w:sz w:val="22"/>
              </w:rPr>
              <w:t>6.85</w:t>
            </w:r>
          </w:p>
        </w:tc>
      </w:tr>
      <w:tr>
        <w:trPr>
          <w:trHeight w:val="310" w:hRule="exact"/>
        </w:trPr>
        <w:tc>
          <w:tcPr>
            <w:tcW w:w="660" w:type="dxa"/>
          </w:tcPr>
          <w:p>
            <w:pPr>
              <w:pStyle w:val="TableParagraph"/>
              <w:ind w:right="63"/>
              <w:rPr>
                <w:sz w:val="22"/>
              </w:rPr>
            </w:pPr>
            <w:r>
              <w:rPr>
                <w:sz w:val="22"/>
              </w:rPr>
              <w:t>88</w:t>
            </w:r>
          </w:p>
        </w:tc>
        <w:tc>
          <w:tcPr>
            <w:tcW w:w="1687" w:type="dxa"/>
          </w:tcPr>
          <w:p>
            <w:pPr>
              <w:pStyle w:val="TableParagraph"/>
              <w:rPr>
                <w:sz w:val="22"/>
              </w:rPr>
            </w:pPr>
            <w:r>
              <w:rPr>
                <w:sz w:val="22"/>
              </w:rPr>
              <w:t>15/09/2009</w:t>
            </w:r>
          </w:p>
        </w:tc>
        <w:tc>
          <w:tcPr>
            <w:tcW w:w="1265" w:type="dxa"/>
          </w:tcPr>
          <w:p>
            <w:pPr>
              <w:pStyle w:val="TableParagraph"/>
              <w:ind w:right="63"/>
              <w:rPr>
                <w:sz w:val="22"/>
              </w:rPr>
            </w:pPr>
            <w:r>
              <w:rPr>
                <w:sz w:val="22"/>
              </w:rPr>
              <w:t>6.3</w:t>
            </w:r>
          </w:p>
        </w:tc>
        <w:tc>
          <w:tcPr>
            <w:tcW w:w="1188" w:type="dxa"/>
          </w:tcPr>
          <w:p>
            <w:pPr>
              <w:pStyle w:val="TableParagraph"/>
              <w:ind w:right="59"/>
              <w:rPr>
                <w:sz w:val="22"/>
              </w:rPr>
            </w:pPr>
            <w:r>
              <w:rPr>
                <w:sz w:val="22"/>
              </w:rPr>
              <w:t>5.8</w:t>
            </w:r>
          </w:p>
        </w:tc>
        <w:tc>
          <w:tcPr>
            <w:tcW w:w="612" w:type="dxa"/>
          </w:tcPr>
          <w:p>
            <w:pPr>
              <w:pStyle w:val="TableParagraph"/>
              <w:ind w:right="63"/>
              <w:rPr>
                <w:sz w:val="22"/>
              </w:rPr>
            </w:pPr>
            <w:r>
              <w:rPr>
                <w:sz w:val="22"/>
              </w:rPr>
              <w:t>5.8</w:t>
            </w:r>
          </w:p>
        </w:tc>
        <w:tc>
          <w:tcPr>
            <w:tcW w:w="1188" w:type="dxa"/>
          </w:tcPr>
          <w:p>
            <w:pPr>
              <w:pStyle w:val="TableParagraph"/>
              <w:ind w:right="59"/>
              <w:rPr>
                <w:sz w:val="22"/>
              </w:rPr>
            </w:pPr>
            <w:r>
              <w:rPr>
                <w:sz w:val="22"/>
              </w:rPr>
              <w:t>5.81</w:t>
            </w:r>
          </w:p>
        </w:tc>
        <w:tc>
          <w:tcPr>
            <w:tcW w:w="1190" w:type="dxa"/>
          </w:tcPr>
          <w:p>
            <w:pPr>
              <w:pStyle w:val="TableParagraph"/>
              <w:rPr>
                <w:sz w:val="22"/>
              </w:rPr>
            </w:pPr>
            <w:r>
              <w:rPr>
                <w:sz w:val="22"/>
              </w:rPr>
              <w:t>5.79</w:t>
            </w:r>
          </w:p>
        </w:tc>
        <w:tc>
          <w:tcPr>
            <w:tcW w:w="1190" w:type="dxa"/>
          </w:tcPr>
          <w:p>
            <w:pPr>
              <w:pStyle w:val="TableParagraph"/>
              <w:rPr>
                <w:sz w:val="22"/>
              </w:rPr>
            </w:pPr>
            <w:r>
              <w:rPr>
                <w:sz w:val="22"/>
              </w:rPr>
              <w:t>6.83</w:t>
            </w:r>
          </w:p>
        </w:tc>
      </w:tr>
      <w:tr>
        <w:trPr>
          <w:trHeight w:val="310" w:hRule="exact"/>
        </w:trPr>
        <w:tc>
          <w:tcPr>
            <w:tcW w:w="660" w:type="dxa"/>
          </w:tcPr>
          <w:p>
            <w:pPr>
              <w:pStyle w:val="TableParagraph"/>
              <w:spacing w:before="30"/>
              <w:ind w:right="63"/>
              <w:rPr>
                <w:sz w:val="22"/>
              </w:rPr>
            </w:pPr>
            <w:r>
              <w:rPr>
                <w:sz w:val="22"/>
              </w:rPr>
              <w:t>89</w:t>
            </w:r>
          </w:p>
        </w:tc>
        <w:tc>
          <w:tcPr>
            <w:tcW w:w="1687" w:type="dxa"/>
          </w:tcPr>
          <w:p>
            <w:pPr>
              <w:pStyle w:val="TableParagraph"/>
              <w:spacing w:before="30"/>
              <w:rPr>
                <w:sz w:val="22"/>
              </w:rPr>
            </w:pPr>
            <w:r>
              <w:rPr>
                <w:sz w:val="22"/>
              </w:rPr>
              <w:t>16/09/2009</w:t>
            </w:r>
          </w:p>
        </w:tc>
        <w:tc>
          <w:tcPr>
            <w:tcW w:w="1265" w:type="dxa"/>
          </w:tcPr>
          <w:p>
            <w:pPr>
              <w:pStyle w:val="TableParagraph"/>
              <w:spacing w:before="30"/>
              <w:ind w:right="63"/>
              <w:rPr>
                <w:sz w:val="22"/>
              </w:rPr>
            </w:pPr>
            <w:r>
              <w:rPr>
                <w:sz w:val="22"/>
              </w:rPr>
              <w:t>7.42</w:t>
            </w:r>
          </w:p>
        </w:tc>
        <w:tc>
          <w:tcPr>
            <w:tcW w:w="1188" w:type="dxa"/>
          </w:tcPr>
          <w:p>
            <w:pPr>
              <w:pStyle w:val="TableParagraph"/>
              <w:spacing w:before="30"/>
              <w:ind w:right="59"/>
              <w:rPr>
                <w:sz w:val="22"/>
              </w:rPr>
            </w:pPr>
            <w:r>
              <w:rPr>
                <w:sz w:val="22"/>
              </w:rPr>
              <w:t>7.56</w:t>
            </w:r>
          </w:p>
        </w:tc>
        <w:tc>
          <w:tcPr>
            <w:tcW w:w="612" w:type="dxa"/>
          </w:tcPr>
          <w:p>
            <w:pPr>
              <w:pStyle w:val="TableParagraph"/>
              <w:spacing w:before="30"/>
              <w:ind w:right="63"/>
              <w:rPr>
                <w:sz w:val="22"/>
              </w:rPr>
            </w:pPr>
            <w:r>
              <w:rPr>
                <w:sz w:val="22"/>
              </w:rPr>
              <w:t>6.98</w:t>
            </w:r>
          </w:p>
        </w:tc>
        <w:tc>
          <w:tcPr>
            <w:tcW w:w="1188" w:type="dxa"/>
          </w:tcPr>
          <w:p>
            <w:pPr>
              <w:pStyle w:val="TableParagraph"/>
              <w:spacing w:before="30"/>
              <w:ind w:right="59"/>
              <w:rPr>
                <w:sz w:val="22"/>
              </w:rPr>
            </w:pPr>
            <w:r>
              <w:rPr>
                <w:sz w:val="22"/>
              </w:rPr>
              <w:t>7.1</w:t>
            </w:r>
          </w:p>
        </w:tc>
        <w:tc>
          <w:tcPr>
            <w:tcW w:w="1190" w:type="dxa"/>
          </w:tcPr>
          <w:p>
            <w:pPr>
              <w:pStyle w:val="TableParagraph"/>
              <w:spacing w:before="30"/>
              <w:rPr>
                <w:sz w:val="22"/>
              </w:rPr>
            </w:pPr>
            <w:r>
              <w:rPr>
                <w:sz w:val="22"/>
              </w:rPr>
              <w:t>7.18</w:t>
            </w:r>
          </w:p>
        </w:tc>
        <w:tc>
          <w:tcPr>
            <w:tcW w:w="1190" w:type="dxa"/>
          </w:tcPr>
          <w:p>
            <w:pPr>
              <w:pStyle w:val="TableParagraph"/>
              <w:spacing w:before="30"/>
              <w:rPr>
                <w:sz w:val="22"/>
              </w:rPr>
            </w:pPr>
            <w:r>
              <w:rPr>
                <w:sz w:val="22"/>
              </w:rPr>
              <w:t>6.27</w:t>
            </w:r>
          </w:p>
        </w:tc>
      </w:tr>
      <w:tr>
        <w:trPr>
          <w:trHeight w:val="312" w:hRule="exact"/>
        </w:trPr>
        <w:tc>
          <w:tcPr>
            <w:tcW w:w="660" w:type="dxa"/>
          </w:tcPr>
          <w:p>
            <w:pPr>
              <w:pStyle w:val="TableParagraph"/>
              <w:spacing w:before="30"/>
              <w:ind w:right="63"/>
              <w:rPr>
                <w:sz w:val="22"/>
              </w:rPr>
            </w:pPr>
            <w:r>
              <w:rPr>
                <w:sz w:val="22"/>
              </w:rPr>
              <w:t>90</w:t>
            </w:r>
          </w:p>
        </w:tc>
        <w:tc>
          <w:tcPr>
            <w:tcW w:w="1687" w:type="dxa"/>
          </w:tcPr>
          <w:p>
            <w:pPr>
              <w:pStyle w:val="TableParagraph"/>
              <w:spacing w:before="30"/>
              <w:rPr>
                <w:sz w:val="22"/>
              </w:rPr>
            </w:pPr>
            <w:r>
              <w:rPr>
                <w:sz w:val="22"/>
              </w:rPr>
              <w:t>17/09/2009</w:t>
            </w:r>
          </w:p>
        </w:tc>
        <w:tc>
          <w:tcPr>
            <w:tcW w:w="1265" w:type="dxa"/>
          </w:tcPr>
          <w:p>
            <w:pPr>
              <w:pStyle w:val="TableParagraph"/>
              <w:spacing w:before="30"/>
              <w:ind w:right="63"/>
              <w:rPr>
                <w:sz w:val="22"/>
              </w:rPr>
            </w:pPr>
            <w:r>
              <w:rPr>
                <w:sz w:val="22"/>
              </w:rPr>
              <w:t>7.37</w:t>
            </w:r>
          </w:p>
        </w:tc>
        <w:tc>
          <w:tcPr>
            <w:tcW w:w="1188" w:type="dxa"/>
          </w:tcPr>
          <w:p>
            <w:pPr>
              <w:pStyle w:val="TableParagraph"/>
              <w:spacing w:before="30"/>
              <w:ind w:right="59"/>
              <w:rPr>
                <w:sz w:val="22"/>
              </w:rPr>
            </w:pPr>
            <w:r>
              <w:rPr>
                <w:sz w:val="22"/>
              </w:rPr>
              <w:t>7.61</w:t>
            </w:r>
          </w:p>
        </w:tc>
        <w:tc>
          <w:tcPr>
            <w:tcW w:w="612" w:type="dxa"/>
          </w:tcPr>
          <w:p>
            <w:pPr>
              <w:pStyle w:val="TableParagraph"/>
              <w:spacing w:before="30"/>
              <w:ind w:right="63"/>
              <w:rPr>
                <w:sz w:val="22"/>
              </w:rPr>
            </w:pPr>
            <w:r>
              <w:rPr>
                <w:sz w:val="22"/>
              </w:rPr>
              <w:t>7.25</w:t>
            </w:r>
          </w:p>
        </w:tc>
        <w:tc>
          <w:tcPr>
            <w:tcW w:w="1188" w:type="dxa"/>
          </w:tcPr>
          <w:p>
            <w:pPr>
              <w:pStyle w:val="TableParagraph"/>
              <w:spacing w:before="30"/>
              <w:ind w:right="59"/>
              <w:rPr>
                <w:sz w:val="22"/>
              </w:rPr>
            </w:pPr>
            <w:r>
              <w:rPr>
                <w:sz w:val="22"/>
              </w:rPr>
              <w:t>7.29</w:t>
            </w:r>
          </w:p>
        </w:tc>
        <w:tc>
          <w:tcPr>
            <w:tcW w:w="1190" w:type="dxa"/>
          </w:tcPr>
          <w:p>
            <w:pPr>
              <w:pStyle w:val="TableParagraph"/>
              <w:spacing w:before="30"/>
              <w:rPr>
                <w:sz w:val="22"/>
              </w:rPr>
            </w:pPr>
            <w:r>
              <w:rPr>
                <w:sz w:val="22"/>
              </w:rPr>
              <w:t>7.31</w:t>
            </w:r>
          </w:p>
        </w:tc>
        <w:tc>
          <w:tcPr>
            <w:tcW w:w="1190" w:type="dxa"/>
          </w:tcPr>
          <w:p>
            <w:pPr>
              <w:pStyle w:val="TableParagraph"/>
              <w:spacing w:before="30"/>
              <w:rPr>
                <w:sz w:val="22"/>
              </w:rPr>
            </w:pPr>
            <w:r>
              <w:rPr>
                <w:sz w:val="22"/>
              </w:rPr>
              <w:t>6.7</w:t>
            </w:r>
          </w:p>
        </w:tc>
      </w:tr>
      <w:tr>
        <w:trPr>
          <w:trHeight w:val="310" w:hRule="exact"/>
        </w:trPr>
        <w:tc>
          <w:tcPr>
            <w:tcW w:w="660" w:type="dxa"/>
          </w:tcPr>
          <w:p>
            <w:pPr>
              <w:pStyle w:val="TableParagraph"/>
              <w:ind w:right="63"/>
              <w:rPr>
                <w:sz w:val="22"/>
              </w:rPr>
            </w:pPr>
            <w:r>
              <w:rPr>
                <w:sz w:val="22"/>
              </w:rPr>
              <w:t>91</w:t>
            </w:r>
          </w:p>
        </w:tc>
        <w:tc>
          <w:tcPr>
            <w:tcW w:w="1687" w:type="dxa"/>
          </w:tcPr>
          <w:p>
            <w:pPr>
              <w:pStyle w:val="TableParagraph"/>
              <w:rPr>
                <w:sz w:val="22"/>
              </w:rPr>
            </w:pPr>
            <w:r>
              <w:rPr>
                <w:sz w:val="22"/>
              </w:rPr>
              <w:t>18/09/2009</w:t>
            </w:r>
          </w:p>
        </w:tc>
        <w:tc>
          <w:tcPr>
            <w:tcW w:w="1265" w:type="dxa"/>
          </w:tcPr>
          <w:p>
            <w:pPr>
              <w:pStyle w:val="TableParagraph"/>
              <w:ind w:right="63"/>
              <w:rPr>
                <w:sz w:val="22"/>
              </w:rPr>
            </w:pPr>
            <w:r>
              <w:rPr>
                <w:w w:val="100"/>
                <w:sz w:val="22"/>
              </w:rPr>
              <w:t>7</w:t>
            </w:r>
          </w:p>
        </w:tc>
        <w:tc>
          <w:tcPr>
            <w:tcW w:w="1188" w:type="dxa"/>
          </w:tcPr>
          <w:p>
            <w:pPr>
              <w:pStyle w:val="TableParagraph"/>
              <w:ind w:right="59"/>
              <w:rPr>
                <w:sz w:val="22"/>
              </w:rPr>
            </w:pPr>
            <w:r>
              <w:rPr>
                <w:sz w:val="22"/>
              </w:rPr>
              <w:t>7.35</w:t>
            </w:r>
          </w:p>
        </w:tc>
        <w:tc>
          <w:tcPr>
            <w:tcW w:w="612" w:type="dxa"/>
          </w:tcPr>
          <w:p>
            <w:pPr>
              <w:pStyle w:val="TableParagraph"/>
              <w:ind w:right="63"/>
              <w:rPr>
                <w:sz w:val="22"/>
              </w:rPr>
            </w:pPr>
            <w:r>
              <w:rPr>
                <w:sz w:val="22"/>
              </w:rPr>
              <w:t>7.09</w:t>
            </w:r>
          </w:p>
        </w:tc>
        <w:tc>
          <w:tcPr>
            <w:tcW w:w="1188" w:type="dxa"/>
          </w:tcPr>
          <w:p>
            <w:pPr>
              <w:pStyle w:val="TableParagraph"/>
              <w:ind w:right="59"/>
              <w:rPr>
                <w:sz w:val="22"/>
              </w:rPr>
            </w:pPr>
            <w:r>
              <w:rPr>
                <w:sz w:val="22"/>
              </w:rPr>
              <w:t>7.1</w:t>
            </w:r>
          </w:p>
        </w:tc>
        <w:tc>
          <w:tcPr>
            <w:tcW w:w="1190" w:type="dxa"/>
          </w:tcPr>
          <w:p>
            <w:pPr>
              <w:pStyle w:val="TableParagraph"/>
              <w:rPr>
                <w:sz w:val="22"/>
              </w:rPr>
            </w:pPr>
            <w:r>
              <w:rPr>
                <w:sz w:val="22"/>
              </w:rPr>
              <w:t>7.14</w:t>
            </w:r>
          </w:p>
        </w:tc>
        <w:tc>
          <w:tcPr>
            <w:tcW w:w="1190" w:type="dxa"/>
          </w:tcPr>
          <w:p>
            <w:pPr>
              <w:pStyle w:val="TableParagraph"/>
              <w:rPr>
                <w:sz w:val="22"/>
              </w:rPr>
            </w:pPr>
            <w:r>
              <w:rPr>
                <w:sz w:val="22"/>
              </w:rPr>
              <w:t>7.1</w:t>
            </w:r>
          </w:p>
        </w:tc>
      </w:tr>
      <w:tr>
        <w:trPr>
          <w:trHeight w:val="310" w:hRule="exact"/>
        </w:trPr>
        <w:tc>
          <w:tcPr>
            <w:tcW w:w="660" w:type="dxa"/>
          </w:tcPr>
          <w:p>
            <w:pPr>
              <w:pStyle w:val="TableParagraph"/>
              <w:ind w:right="63"/>
              <w:rPr>
                <w:sz w:val="22"/>
              </w:rPr>
            </w:pPr>
            <w:r>
              <w:rPr>
                <w:sz w:val="22"/>
              </w:rPr>
              <w:t>92</w:t>
            </w:r>
          </w:p>
        </w:tc>
        <w:tc>
          <w:tcPr>
            <w:tcW w:w="1687" w:type="dxa"/>
          </w:tcPr>
          <w:p>
            <w:pPr>
              <w:pStyle w:val="TableParagraph"/>
              <w:rPr>
                <w:sz w:val="22"/>
              </w:rPr>
            </w:pPr>
            <w:r>
              <w:rPr>
                <w:sz w:val="22"/>
              </w:rPr>
              <w:t>19/09/2009</w:t>
            </w:r>
          </w:p>
        </w:tc>
        <w:tc>
          <w:tcPr>
            <w:tcW w:w="1265" w:type="dxa"/>
          </w:tcPr>
          <w:p>
            <w:pPr>
              <w:pStyle w:val="TableParagraph"/>
              <w:ind w:right="63"/>
              <w:rPr>
                <w:sz w:val="22"/>
              </w:rPr>
            </w:pPr>
            <w:r>
              <w:rPr>
                <w:sz w:val="22"/>
              </w:rPr>
              <w:t>7.18</w:t>
            </w:r>
          </w:p>
        </w:tc>
        <w:tc>
          <w:tcPr>
            <w:tcW w:w="1188" w:type="dxa"/>
          </w:tcPr>
          <w:p>
            <w:pPr>
              <w:pStyle w:val="TableParagraph"/>
              <w:ind w:right="59"/>
              <w:rPr>
                <w:sz w:val="22"/>
              </w:rPr>
            </w:pPr>
            <w:r>
              <w:rPr>
                <w:sz w:val="22"/>
              </w:rPr>
              <w:t>7.22</w:t>
            </w:r>
          </w:p>
        </w:tc>
        <w:tc>
          <w:tcPr>
            <w:tcW w:w="612" w:type="dxa"/>
          </w:tcPr>
          <w:p>
            <w:pPr>
              <w:pStyle w:val="TableParagraph"/>
              <w:ind w:right="63"/>
              <w:rPr>
                <w:sz w:val="22"/>
              </w:rPr>
            </w:pPr>
            <w:r>
              <w:rPr>
                <w:sz w:val="22"/>
              </w:rPr>
              <w:t>7.12</w:t>
            </w:r>
          </w:p>
        </w:tc>
        <w:tc>
          <w:tcPr>
            <w:tcW w:w="1188" w:type="dxa"/>
          </w:tcPr>
          <w:p>
            <w:pPr>
              <w:pStyle w:val="TableParagraph"/>
              <w:ind w:right="59"/>
              <w:rPr>
                <w:sz w:val="22"/>
              </w:rPr>
            </w:pPr>
            <w:r>
              <w:rPr>
                <w:sz w:val="22"/>
              </w:rPr>
              <w:t>7.12</w:t>
            </w:r>
          </w:p>
        </w:tc>
        <w:tc>
          <w:tcPr>
            <w:tcW w:w="1190" w:type="dxa"/>
          </w:tcPr>
          <w:p>
            <w:pPr>
              <w:pStyle w:val="TableParagraph"/>
              <w:rPr>
                <w:sz w:val="22"/>
              </w:rPr>
            </w:pPr>
            <w:r>
              <w:rPr>
                <w:sz w:val="22"/>
              </w:rPr>
              <w:t>7.16</w:t>
            </w:r>
          </w:p>
        </w:tc>
        <w:tc>
          <w:tcPr>
            <w:tcW w:w="1190" w:type="dxa"/>
          </w:tcPr>
          <w:p>
            <w:pPr>
              <w:pStyle w:val="TableParagraph"/>
              <w:rPr>
                <w:sz w:val="22"/>
              </w:rPr>
            </w:pPr>
            <w:r>
              <w:rPr>
                <w:sz w:val="22"/>
              </w:rPr>
              <w:t>6.94</w:t>
            </w:r>
          </w:p>
        </w:tc>
      </w:tr>
      <w:tr>
        <w:trPr>
          <w:trHeight w:val="310" w:hRule="exact"/>
        </w:trPr>
        <w:tc>
          <w:tcPr>
            <w:tcW w:w="660" w:type="dxa"/>
          </w:tcPr>
          <w:p>
            <w:pPr>
              <w:pStyle w:val="TableParagraph"/>
              <w:ind w:right="63"/>
              <w:rPr>
                <w:sz w:val="22"/>
              </w:rPr>
            </w:pPr>
            <w:r>
              <w:rPr>
                <w:sz w:val="22"/>
              </w:rPr>
              <w:t>93</w:t>
            </w:r>
          </w:p>
        </w:tc>
        <w:tc>
          <w:tcPr>
            <w:tcW w:w="1687" w:type="dxa"/>
          </w:tcPr>
          <w:p>
            <w:pPr>
              <w:pStyle w:val="TableParagraph"/>
              <w:rPr>
                <w:sz w:val="22"/>
              </w:rPr>
            </w:pPr>
            <w:r>
              <w:rPr>
                <w:sz w:val="22"/>
              </w:rPr>
              <w:t>20/09/2009</w:t>
            </w:r>
          </w:p>
        </w:tc>
        <w:tc>
          <w:tcPr>
            <w:tcW w:w="1265" w:type="dxa"/>
          </w:tcPr>
          <w:p>
            <w:pPr>
              <w:pStyle w:val="TableParagraph"/>
              <w:ind w:right="63"/>
              <w:rPr>
                <w:sz w:val="22"/>
              </w:rPr>
            </w:pPr>
            <w:r>
              <w:rPr>
                <w:sz w:val="22"/>
              </w:rPr>
              <w:t>7.12</w:t>
            </w:r>
          </w:p>
        </w:tc>
        <w:tc>
          <w:tcPr>
            <w:tcW w:w="1188" w:type="dxa"/>
          </w:tcPr>
          <w:p>
            <w:pPr>
              <w:pStyle w:val="TableParagraph"/>
              <w:ind w:right="59"/>
              <w:rPr>
                <w:sz w:val="22"/>
              </w:rPr>
            </w:pPr>
            <w:r>
              <w:rPr>
                <w:sz w:val="22"/>
              </w:rPr>
              <w:t>7.56</w:t>
            </w:r>
          </w:p>
        </w:tc>
        <w:tc>
          <w:tcPr>
            <w:tcW w:w="612" w:type="dxa"/>
          </w:tcPr>
          <w:p>
            <w:pPr>
              <w:pStyle w:val="TableParagraph"/>
              <w:ind w:right="63"/>
              <w:rPr>
                <w:sz w:val="22"/>
              </w:rPr>
            </w:pPr>
            <w:r>
              <w:rPr>
                <w:sz w:val="22"/>
              </w:rPr>
              <w:t>7.4</w:t>
            </w:r>
          </w:p>
        </w:tc>
        <w:tc>
          <w:tcPr>
            <w:tcW w:w="1188" w:type="dxa"/>
          </w:tcPr>
          <w:p>
            <w:pPr>
              <w:pStyle w:val="TableParagraph"/>
              <w:ind w:right="59"/>
              <w:rPr>
                <w:sz w:val="22"/>
              </w:rPr>
            </w:pPr>
            <w:r>
              <w:rPr>
                <w:sz w:val="22"/>
              </w:rPr>
              <w:t>7.4</w:t>
            </w:r>
          </w:p>
        </w:tc>
        <w:tc>
          <w:tcPr>
            <w:tcW w:w="1190" w:type="dxa"/>
          </w:tcPr>
          <w:p>
            <w:pPr>
              <w:pStyle w:val="TableParagraph"/>
              <w:rPr>
                <w:sz w:val="22"/>
              </w:rPr>
            </w:pPr>
            <w:r>
              <w:rPr>
                <w:sz w:val="22"/>
              </w:rPr>
              <w:t>7.35</w:t>
            </w:r>
          </w:p>
        </w:tc>
        <w:tc>
          <w:tcPr>
            <w:tcW w:w="1190" w:type="dxa"/>
          </w:tcPr>
          <w:p>
            <w:pPr>
              <w:pStyle w:val="TableParagraph"/>
              <w:rPr>
                <w:sz w:val="22"/>
              </w:rPr>
            </w:pPr>
            <w:r>
              <w:rPr>
                <w:sz w:val="22"/>
              </w:rPr>
              <w:t>6.72</w:t>
            </w:r>
          </w:p>
        </w:tc>
      </w:tr>
      <w:tr>
        <w:trPr>
          <w:trHeight w:val="310" w:hRule="exact"/>
        </w:trPr>
        <w:tc>
          <w:tcPr>
            <w:tcW w:w="660" w:type="dxa"/>
          </w:tcPr>
          <w:p>
            <w:pPr>
              <w:pStyle w:val="TableParagraph"/>
              <w:ind w:right="63"/>
              <w:rPr>
                <w:sz w:val="22"/>
              </w:rPr>
            </w:pPr>
            <w:r>
              <w:rPr>
                <w:sz w:val="22"/>
              </w:rPr>
              <w:t>94</w:t>
            </w:r>
          </w:p>
        </w:tc>
        <w:tc>
          <w:tcPr>
            <w:tcW w:w="1687" w:type="dxa"/>
          </w:tcPr>
          <w:p>
            <w:pPr>
              <w:pStyle w:val="TableParagraph"/>
              <w:rPr>
                <w:sz w:val="22"/>
              </w:rPr>
            </w:pPr>
            <w:r>
              <w:rPr>
                <w:sz w:val="22"/>
              </w:rPr>
              <w:t>21/09/2009</w:t>
            </w:r>
          </w:p>
        </w:tc>
        <w:tc>
          <w:tcPr>
            <w:tcW w:w="1265" w:type="dxa"/>
          </w:tcPr>
          <w:p>
            <w:pPr>
              <w:pStyle w:val="TableParagraph"/>
              <w:ind w:right="63"/>
              <w:rPr>
                <w:sz w:val="22"/>
              </w:rPr>
            </w:pPr>
            <w:r>
              <w:rPr>
                <w:sz w:val="22"/>
              </w:rPr>
              <w:t>7.11</w:t>
            </w:r>
          </w:p>
        </w:tc>
        <w:tc>
          <w:tcPr>
            <w:tcW w:w="1188" w:type="dxa"/>
          </w:tcPr>
          <w:p>
            <w:pPr>
              <w:pStyle w:val="TableParagraph"/>
              <w:ind w:right="59"/>
              <w:rPr>
                <w:sz w:val="22"/>
              </w:rPr>
            </w:pPr>
            <w:r>
              <w:rPr>
                <w:sz w:val="22"/>
              </w:rPr>
              <w:t>7.46</w:t>
            </w:r>
          </w:p>
        </w:tc>
        <w:tc>
          <w:tcPr>
            <w:tcW w:w="612" w:type="dxa"/>
          </w:tcPr>
          <w:p>
            <w:pPr>
              <w:pStyle w:val="TableParagraph"/>
              <w:ind w:right="63"/>
              <w:rPr>
                <w:sz w:val="22"/>
              </w:rPr>
            </w:pPr>
            <w:r>
              <w:rPr>
                <w:sz w:val="22"/>
              </w:rPr>
              <w:t>7.29</w:t>
            </w:r>
          </w:p>
        </w:tc>
        <w:tc>
          <w:tcPr>
            <w:tcW w:w="1188" w:type="dxa"/>
          </w:tcPr>
          <w:p>
            <w:pPr>
              <w:pStyle w:val="TableParagraph"/>
              <w:ind w:right="59"/>
              <w:rPr>
                <w:sz w:val="22"/>
              </w:rPr>
            </w:pPr>
            <w:r>
              <w:rPr>
                <w:sz w:val="22"/>
              </w:rPr>
              <w:t>7.3</w:t>
            </w:r>
          </w:p>
        </w:tc>
        <w:tc>
          <w:tcPr>
            <w:tcW w:w="1190" w:type="dxa"/>
          </w:tcPr>
          <w:p>
            <w:pPr>
              <w:pStyle w:val="TableParagraph"/>
              <w:rPr>
                <w:sz w:val="22"/>
              </w:rPr>
            </w:pPr>
            <w:r>
              <w:rPr>
                <w:sz w:val="22"/>
              </w:rPr>
              <w:t>7.33</w:t>
            </w:r>
          </w:p>
        </w:tc>
        <w:tc>
          <w:tcPr>
            <w:tcW w:w="1190" w:type="dxa"/>
          </w:tcPr>
          <w:p>
            <w:pPr>
              <w:pStyle w:val="TableParagraph"/>
              <w:rPr>
                <w:sz w:val="22"/>
              </w:rPr>
            </w:pPr>
            <w:r>
              <w:rPr>
                <w:sz w:val="22"/>
              </w:rPr>
              <w:t>6.79</w:t>
            </w:r>
          </w:p>
        </w:tc>
      </w:tr>
      <w:tr>
        <w:trPr>
          <w:trHeight w:val="310" w:hRule="exact"/>
        </w:trPr>
        <w:tc>
          <w:tcPr>
            <w:tcW w:w="660" w:type="dxa"/>
          </w:tcPr>
          <w:p>
            <w:pPr>
              <w:pStyle w:val="TableParagraph"/>
              <w:spacing w:before="30"/>
              <w:ind w:right="63"/>
              <w:rPr>
                <w:sz w:val="22"/>
              </w:rPr>
            </w:pPr>
            <w:r>
              <w:rPr>
                <w:sz w:val="22"/>
              </w:rPr>
              <w:t>95</w:t>
            </w:r>
          </w:p>
        </w:tc>
        <w:tc>
          <w:tcPr>
            <w:tcW w:w="1687" w:type="dxa"/>
          </w:tcPr>
          <w:p>
            <w:pPr>
              <w:pStyle w:val="TableParagraph"/>
              <w:spacing w:before="30"/>
              <w:rPr>
                <w:sz w:val="22"/>
              </w:rPr>
            </w:pPr>
            <w:r>
              <w:rPr>
                <w:sz w:val="22"/>
              </w:rPr>
              <w:t>22/09/2009</w:t>
            </w:r>
          </w:p>
        </w:tc>
        <w:tc>
          <w:tcPr>
            <w:tcW w:w="1265" w:type="dxa"/>
          </w:tcPr>
          <w:p>
            <w:pPr>
              <w:pStyle w:val="TableParagraph"/>
              <w:spacing w:before="30"/>
              <w:ind w:right="63"/>
              <w:rPr>
                <w:sz w:val="22"/>
              </w:rPr>
            </w:pPr>
            <w:r>
              <w:rPr>
                <w:sz w:val="22"/>
              </w:rPr>
              <w:t>7.87</w:t>
            </w:r>
          </w:p>
        </w:tc>
        <w:tc>
          <w:tcPr>
            <w:tcW w:w="1188" w:type="dxa"/>
          </w:tcPr>
          <w:p>
            <w:pPr>
              <w:pStyle w:val="TableParagraph"/>
              <w:spacing w:before="30"/>
              <w:ind w:right="59"/>
              <w:rPr>
                <w:sz w:val="22"/>
              </w:rPr>
            </w:pPr>
            <w:r>
              <w:rPr>
                <w:sz w:val="22"/>
              </w:rPr>
              <w:t>7.5</w:t>
            </w:r>
          </w:p>
        </w:tc>
        <w:tc>
          <w:tcPr>
            <w:tcW w:w="612" w:type="dxa"/>
          </w:tcPr>
          <w:p>
            <w:pPr>
              <w:pStyle w:val="TableParagraph"/>
              <w:spacing w:before="30"/>
              <w:ind w:right="63"/>
              <w:rPr>
                <w:sz w:val="22"/>
              </w:rPr>
            </w:pPr>
            <w:r>
              <w:rPr>
                <w:sz w:val="22"/>
              </w:rPr>
              <w:t>7.3</w:t>
            </w:r>
          </w:p>
        </w:tc>
        <w:tc>
          <w:tcPr>
            <w:tcW w:w="1188" w:type="dxa"/>
          </w:tcPr>
          <w:p>
            <w:pPr>
              <w:pStyle w:val="TableParagraph"/>
              <w:spacing w:before="30"/>
              <w:ind w:right="59"/>
              <w:rPr>
                <w:sz w:val="22"/>
              </w:rPr>
            </w:pPr>
            <w:r>
              <w:rPr>
                <w:sz w:val="22"/>
              </w:rPr>
              <w:t>7.31</w:t>
            </w:r>
          </w:p>
        </w:tc>
        <w:tc>
          <w:tcPr>
            <w:tcW w:w="1190" w:type="dxa"/>
          </w:tcPr>
          <w:p>
            <w:pPr>
              <w:pStyle w:val="TableParagraph"/>
              <w:spacing w:before="30"/>
              <w:rPr>
                <w:sz w:val="22"/>
              </w:rPr>
            </w:pPr>
            <w:r>
              <w:rPr>
                <w:sz w:val="22"/>
              </w:rPr>
              <w:t>7.35</w:t>
            </w:r>
          </w:p>
        </w:tc>
        <w:tc>
          <w:tcPr>
            <w:tcW w:w="1190" w:type="dxa"/>
          </w:tcPr>
          <w:p>
            <w:pPr>
              <w:pStyle w:val="TableParagraph"/>
              <w:spacing w:before="30"/>
              <w:rPr>
                <w:sz w:val="22"/>
              </w:rPr>
            </w:pPr>
            <w:r>
              <w:rPr>
                <w:sz w:val="22"/>
              </w:rPr>
              <w:t>6.86</w:t>
            </w:r>
          </w:p>
        </w:tc>
      </w:tr>
      <w:tr>
        <w:trPr>
          <w:trHeight w:val="312" w:hRule="exact"/>
        </w:trPr>
        <w:tc>
          <w:tcPr>
            <w:tcW w:w="660" w:type="dxa"/>
          </w:tcPr>
          <w:p>
            <w:pPr>
              <w:pStyle w:val="TableParagraph"/>
              <w:spacing w:before="30"/>
              <w:ind w:right="63"/>
              <w:rPr>
                <w:sz w:val="22"/>
              </w:rPr>
            </w:pPr>
            <w:r>
              <w:rPr>
                <w:sz w:val="22"/>
              </w:rPr>
              <w:t>96</w:t>
            </w:r>
          </w:p>
        </w:tc>
        <w:tc>
          <w:tcPr>
            <w:tcW w:w="1687" w:type="dxa"/>
          </w:tcPr>
          <w:p>
            <w:pPr>
              <w:pStyle w:val="TableParagraph"/>
              <w:spacing w:before="30"/>
              <w:rPr>
                <w:sz w:val="22"/>
              </w:rPr>
            </w:pPr>
            <w:r>
              <w:rPr>
                <w:sz w:val="22"/>
              </w:rPr>
              <w:t>23/09/2009</w:t>
            </w:r>
          </w:p>
        </w:tc>
        <w:tc>
          <w:tcPr>
            <w:tcW w:w="1265" w:type="dxa"/>
          </w:tcPr>
          <w:p>
            <w:pPr>
              <w:pStyle w:val="TableParagraph"/>
              <w:spacing w:before="30"/>
              <w:ind w:right="63"/>
              <w:rPr>
                <w:sz w:val="22"/>
              </w:rPr>
            </w:pPr>
            <w:r>
              <w:rPr>
                <w:sz w:val="22"/>
              </w:rPr>
              <w:t>6.7</w:t>
            </w:r>
          </w:p>
        </w:tc>
        <w:tc>
          <w:tcPr>
            <w:tcW w:w="1188" w:type="dxa"/>
          </w:tcPr>
          <w:p>
            <w:pPr>
              <w:pStyle w:val="TableParagraph"/>
              <w:spacing w:before="30"/>
              <w:ind w:right="59"/>
              <w:rPr>
                <w:sz w:val="22"/>
              </w:rPr>
            </w:pPr>
            <w:r>
              <w:rPr>
                <w:sz w:val="22"/>
              </w:rPr>
              <w:t>7.26</w:t>
            </w:r>
          </w:p>
        </w:tc>
        <w:tc>
          <w:tcPr>
            <w:tcW w:w="612" w:type="dxa"/>
          </w:tcPr>
          <w:p>
            <w:pPr>
              <w:pStyle w:val="TableParagraph"/>
              <w:spacing w:before="30"/>
              <w:ind w:right="63"/>
              <w:rPr>
                <w:sz w:val="22"/>
              </w:rPr>
            </w:pPr>
            <w:r>
              <w:rPr>
                <w:sz w:val="22"/>
              </w:rPr>
              <w:t>7.12</w:t>
            </w:r>
          </w:p>
        </w:tc>
        <w:tc>
          <w:tcPr>
            <w:tcW w:w="1188" w:type="dxa"/>
          </w:tcPr>
          <w:p>
            <w:pPr>
              <w:pStyle w:val="TableParagraph"/>
              <w:spacing w:before="30"/>
              <w:ind w:right="59"/>
              <w:rPr>
                <w:sz w:val="22"/>
              </w:rPr>
            </w:pPr>
            <w:r>
              <w:rPr>
                <w:sz w:val="22"/>
              </w:rPr>
              <w:t>7.15</w:t>
            </w:r>
          </w:p>
        </w:tc>
        <w:tc>
          <w:tcPr>
            <w:tcW w:w="1190" w:type="dxa"/>
          </w:tcPr>
          <w:p>
            <w:pPr>
              <w:pStyle w:val="TableParagraph"/>
              <w:spacing w:before="30"/>
              <w:rPr>
                <w:sz w:val="22"/>
              </w:rPr>
            </w:pPr>
            <w:r>
              <w:rPr>
                <w:sz w:val="22"/>
              </w:rPr>
              <w:t>7.19</w:t>
            </w:r>
          </w:p>
        </w:tc>
        <w:tc>
          <w:tcPr>
            <w:tcW w:w="1190" w:type="dxa"/>
          </w:tcPr>
          <w:p>
            <w:pPr>
              <w:pStyle w:val="TableParagraph"/>
              <w:spacing w:before="30"/>
              <w:rPr>
                <w:sz w:val="22"/>
              </w:rPr>
            </w:pPr>
            <w:r>
              <w:rPr>
                <w:sz w:val="22"/>
              </w:rPr>
              <w:t>6.87</w:t>
            </w:r>
          </w:p>
        </w:tc>
      </w:tr>
      <w:tr>
        <w:trPr>
          <w:trHeight w:val="310" w:hRule="exact"/>
        </w:trPr>
        <w:tc>
          <w:tcPr>
            <w:tcW w:w="660" w:type="dxa"/>
          </w:tcPr>
          <w:p>
            <w:pPr>
              <w:pStyle w:val="TableParagraph"/>
              <w:ind w:right="63"/>
              <w:rPr>
                <w:sz w:val="22"/>
              </w:rPr>
            </w:pPr>
            <w:r>
              <w:rPr>
                <w:sz w:val="22"/>
              </w:rPr>
              <w:t>97</w:t>
            </w:r>
          </w:p>
        </w:tc>
        <w:tc>
          <w:tcPr>
            <w:tcW w:w="1687" w:type="dxa"/>
          </w:tcPr>
          <w:p>
            <w:pPr>
              <w:pStyle w:val="TableParagraph"/>
              <w:rPr>
                <w:sz w:val="22"/>
              </w:rPr>
            </w:pPr>
            <w:r>
              <w:rPr>
                <w:sz w:val="22"/>
              </w:rPr>
              <w:t>24/09/2009</w:t>
            </w:r>
          </w:p>
        </w:tc>
        <w:tc>
          <w:tcPr>
            <w:tcW w:w="1265" w:type="dxa"/>
          </w:tcPr>
          <w:p>
            <w:pPr>
              <w:pStyle w:val="TableParagraph"/>
              <w:ind w:right="63"/>
              <w:rPr>
                <w:sz w:val="22"/>
              </w:rPr>
            </w:pPr>
            <w:r>
              <w:rPr>
                <w:sz w:val="22"/>
              </w:rPr>
              <w:t>7.89</w:t>
            </w:r>
          </w:p>
        </w:tc>
        <w:tc>
          <w:tcPr>
            <w:tcW w:w="1188" w:type="dxa"/>
          </w:tcPr>
          <w:p>
            <w:pPr>
              <w:pStyle w:val="TableParagraph"/>
              <w:ind w:right="59"/>
              <w:rPr>
                <w:sz w:val="22"/>
              </w:rPr>
            </w:pPr>
            <w:r>
              <w:rPr>
                <w:sz w:val="22"/>
              </w:rPr>
              <w:t>7.27</w:t>
            </w:r>
          </w:p>
        </w:tc>
        <w:tc>
          <w:tcPr>
            <w:tcW w:w="612" w:type="dxa"/>
          </w:tcPr>
          <w:p>
            <w:pPr>
              <w:pStyle w:val="TableParagraph"/>
              <w:ind w:right="63"/>
              <w:rPr>
                <w:sz w:val="22"/>
              </w:rPr>
            </w:pPr>
            <w:r>
              <w:rPr>
                <w:sz w:val="22"/>
              </w:rPr>
              <w:t>7.07</w:t>
            </w:r>
          </w:p>
        </w:tc>
        <w:tc>
          <w:tcPr>
            <w:tcW w:w="1188" w:type="dxa"/>
          </w:tcPr>
          <w:p>
            <w:pPr>
              <w:pStyle w:val="TableParagraph"/>
              <w:ind w:right="59"/>
              <w:rPr>
                <w:sz w:val="22"/>
              </w:rPr>
            </w:pPr>
            <w:r>
              <w:rPr>
                <w:sz w:val="22"/>
              </w:rPr>
              <w:t>7.07</w:t>
            </w:r>
          </w:p>
        </w:tc>
        <w:tc>
          <w:tcPr>
            <w:tcW w:w="1190" w:type="dxa"/>
          </w:tcPr>
          <w:p>
            <w:pPr>
              <w:pStyle w:val="TableParagraph"/>
              <w:rPr>
                <w:sz w:val="22"/>
              </w:rPr>
            </w:pPr>
            <w:r>
              <w:rPr>
                <w:sz w:val="22"/>
              </w:rPr>
              <w:t>7.01</w:t>
            </w:r>
          </w:p>
        </w:tc>
        <w:tc>
          <w:tcPr>
            <w:tcW w:w="1190" w:type="dxa"/>
          </w:tcPr>
          <w:p>
            <w:pPr>
              <w:pStyle w:val="TableParagraph"/>
              <w:rPr>
                <w:sz w:val="22"/>
              </w:rPr>
            </w:pPr>
            <w:r>
              <w:rPr>
                <w:sz w:val="22"/>
              </w:rPr>
              <w:t>6.88</w:t>
            </w:r>
          </w:p>
        </w:tc>
      </w:tr>
      <w:tr>
        <w:trPr>
          <w:trHeight w:val="310" w:hRule="exact"/>
        </w:trPr>
        <w:tc>
          <w:tcPr>
            <w:tcW w:w="660" w:type="dxa"/>
          </w:tcPr>
          <w:p>
            <w:pPr>
              <w:pStyle w:val="TableParagraph"/>
              <w:ind w:right="63"/>
              <w:rPr>
                <w:sz w:val="22"/>
              </w:rPr>
            </w:pPr>
            <w:r>
              <w:rPr>
                <w:sz w:val="22"/>
              </w:rPr>
              <w:t>98</w:t>
            </w:r>
          </w:p>
        </w:tc>
        <w:tc>
          <w:tcPr>
            <w:tcW w:w="1687" w:type="dxa"/>
          </w:tcPr>
          <w:p>
            <w:pPr>
              <w:pStyle w:val="TableParagraph"/>
              <w:rPr>
                <w:sz w:val="22"/>
              </w:rPr>
            </w:pPr>
            <w:r>
              <w:rPr>
                <w:sz w:val="22"/>
              </w:rPr>
              <w:t>25/09/2009</w:t>
            </w:r>
          </w:p>
        </w:tc>
        <w:tc>
          <w:tcPr>
            <w:tcW w:w="1265" w:type="dxa"/>
          </w:tcPr>
          <w:p>
            <w:pPr>
              <w:pStyle w:val="TableParagraph"/>
              <w:ind w:right="63"/>
              <w:rPr>
                <w:sz w:val="22"/>
              </w:rPr>
            </w:pPr>
            <w:r>
              <w:rPr>
                <w:sz w:val="22"/>
              </w:rPr>
              <w:t>6.82</w:t>
            </w:r>
          </w:p>
        </w:tc>
        <w:tc>
          <w:tcPr>
            <w:tcW w:w="1188" w:type="dxa"/>
          </w:tcPr>
          <w:p>
            <w:pPr>
              <w:pStyle w:val="TableParagraph"/>
              <w:ind w:right="59"/>
              <w:rPr>
                <w:sz w:val="22"/>
              </w:rPr>
            </w:pPr>
            <w:r>
              <w:rPr>
                <w:sz w:val="22"/>
              </w:rPr>
              <w:t>7.22</w:t>
            </w:r>
          </w:p>
        </w:tc>
        <w:tc>
          <w:tcPr>
            <w:tcW w:w="612" w:type="dxa"/>
          </w:tcPr>
          <w:p>
            <w:pPr>
              <w:pStyle w:val="TableParagraph"/>
              <w:ind w:right="63"/>
              <w:rPr>
                <w:sz w:val="22"/>
              </w:rPr>
            </w:pPr>
            <w:r>
              <w:rPr>
                <w:sz w:val="22"/>
              </w:rPr>
              <w:t>6.96</w:t>
            </w:r>
          </w:p>
        </w:tc>
        <w:tc>
          <w:tcPr>
            <w:tcW w:w="1188" w:type="dxa"/>
          </w:tcPr>
          <w:p>
            <w:pPr>
              <w:pStyle w:val="TableParagraph"/>
              <w:ind w:right="59"/>
              <w:rPr>
                <w:sz w:val="22"/>
              </w:rPr>
            </w:pPr>
            <w:r>
              <w:rPr>
                <w:sz w:val="22"/>
              </w:rPr>
              <w:t>6.96</w:t>
            </w:r>
          </w:p>
        </w:tc>
        <w:tc>
          <w:tcPr>
            <w:tcW w:w="1190" w:type="dxa"/>
          </w:tcPr>
          <w:p>
            <w:pPr>
              <w:pStyle w:val="TableParagraph"/>
              <w:rPr>
                <w:sz w:val="22"/>
              </w:rPr>
            </w:pPr>
            <w:r>
              <w:rPr>
                <w:sz w:val="22"/>
              </w:rPr>
              <w:t>7.03</w:t>
            </w:r>
          </w:p>
        </w:tc>
        <w:tc>
          <w:tcPr>
            <w:tcW w:w="1190" w:type="dxa"/>
          </w:tcPr>
          <w:p>
            <w:pPr>
              <w:pStyle w:val="TableParagraph"/>
              <w:rPr>
                <w:sz w:val="22"/>
              </w:rPr>
            </w:pPr>
            <w:r>
              <w:rPr>
                <w:sz w:val="22"/>
              </w:rPr>
              <w:t>6.74</w:t>
            </w:r>
          </w:p>
        </w:tc>
      </w:tr>
      <w:tr>
        <w:trPr>
          <w:trHeight w:val="310" w:hRule="exact"/>
        </w:trPr>
        <w:tc>
          <w:tcPr>
            <w:tcW w:w="660" w:type="dxa"/>
          </w:tcPr>
          <w:p>
            <w:pPr>
              <w:pStyle w:val="TableParagraph"/>
              <w:ind w:right="63"/>
              <w:rPr>
                <w:sz w:val="22"/>
              </w:rPr>
            </w:pPr>
            <w:r>
              <w:rPr>
                <w:sz w:val="22"/>
              </w:rPr>
              <w:t>99</w:t>
            </w:r>
          </w:p>
        </w:tc>
        <w:tc>
          <w:tcPr>
            <w:tcW w:w="1687" w:type="dxa"/>
          </w:tcPr>
          <w:p>
            <w:pPr>
              <w:pStyle w:val="TableParagraph"/>
              <w:rPr>
                <w:sz w:val="22"/>
              </w:rPr>
            </w:pPr>
            <w:r>
              <w:rPr>
                <w:sz w:val="22"/>
              </w:rPr>
              <w:t>26/09/2009</w:t>
            </w:r>
          </w:p>
        </w:tc>
        <w:tc>
          <w:tcPr>
            <w:tcW w:w="1265" w:type="dxa"/>
          </w:tcPr>
          <w:p>
            <w:pPr>
              <w:pStyle w:val="TableParagraph"/>
              <w:ind w:right="63"/>
              <w:rPr>
                <w:sz w:val="22"/>
              </w:rPr>
            </w:pPr>
            <w:r>
              <w:rPr>
                <w:sz w:val="22"/>
              </w:rPr>
              <w:t>6.5</w:t>
            </w:r>
          </w:p>
        </w:tc>
        <w:tc>
          <w:tcPr>
            <w:tcW w:w="1188" w:type="dxa"/>
          </w:tcPr>
          <w:p>
            <w:pPr>
              <w:pStyle w:val="TableParagraph"/>
              <w:ind w:right="59"/>
              <w:rPr>
                <w:sz w:val="22"/>
              </w:rPr>
            </w:pPr>
            <w:r>
              <w:rPr>
                <w:sz w:val="22"/>
              </w:rPr>
              <w:t>7.07</w:t>
            </w:r>
          </w:p>
        </w:tc>
        <w:tc>
          <w:tcPr>
            <w:tcW w:w="612" w:type="dxa"/>
          </w:tcPr>
          <w:p>
            <w:pPr>
              <w:pStyle w:val="TableParagraph"/>
              <w:ind w:right="63"/>
              <w:rPr>
                <w:sz w:val="22"/>
              </w:rPr>
            </w:pPr>
            <w:r>
              <w:rPr>
                <w:sz w:val="22"/>
              </w:rPr>
              <w:t>6.9</w:t>
            </w:r>
          </w:p>
        </w:tc>
        <w:tc>
          <w:tcPr>
            <w:tcW w:w="1188" w:type="dxa"/>
          </w:tcPr>
          <w:p>
            <w:pPr>
              <w:pStyle w:val="TableParagraph"/>
              <w:ind w:right="59"/>
              <w:rPr>
                <w:sz w:val="22"/>
              </w:rPr>
            </w:pPr>
            <w:r>
              <w:rPr>
                <w:sz w:val="22"/>
              </w:rPr>
              <w:t>6.9</w:t>
            </w:r>
          </w:p>
        </w:tc>
        <w:tc>
          <w:tcPr>
            <w:tcW w:w="1190" w:type="dxa"/>
          </w:tcPr>
          <w:p>
            <w:pPr>
              <w:pStyle w:val="TableParagraph"/>
              <w:rPr>
                <w:sz w:val="22"/>
              </w:rPr>
            </w:pPr>
            <w:r>
              <w:rPr>
                <w:sz w:val="22"/>
              </w:rPr>
              <w:t>6.88</w:t>
            </w:r>
          </w:p>
        </w:tc>
        <w:tc>
          <w:tcPr>
            <w:tcW w:w="1190" w:type="dxa"/>
          </w:tcPr>
          <w:p>
            <w:pPr>
              <w:pStyle w:val="TableParagraph"/>
              <w:rPr>
                <w:sz w:val="22"/>
              </w:rPr>
            </w:pPr>
            <w:r>
              <w:rPr>
                <w:sz w:val="22"/>
              </w:rPr>
              <w:t>6.88</w:t>
            </w:r>
          </w:p>
        </w:tc>
      </w:tr>
      <w:tr>
        <w:trPr>
          <w:trHeight w:val="310" w:hRule="exact"/>
        </w:trPr>
        <w:tc>
          <w:tcPr>
            <w:tcW w:w="660" w:type="dxa"/>
          </w:tcPr>
          <w:p>
            <w:pPr>
              <w:pStyle w:val="TableParagraph"/>
              <w:ind w:right="63"/>
              <w:rPr>
                <w:sz w:val="22"/>
              </w:rPr>
            </w:pPr>
            <w:r>
              <w:rPr>
                <w:sz w:val="22"/>
              </w:rPr>
              <w:t>100</w:t>
            </w:r>
          </w:p>
        </w:tc>
        <w:tc>
          <w:tcPr>
            <w:tcW w:w="1687" w:type="dxa"/>
          </w:tcPr>
          <w:p>
            <w:pPr>
              <w:pStyle w:val="TableParagraph"/>
              <w:rPr>
                <w:sz w:val="22"/>
              </w:rPr>
            </w:pPr>
            <w:r>
              <w:rPr>
                <w:sz w:val="22"/>
              </w:rPr>
              <w:t>27/09/2009</w:t>
            </w:r>
          </w:p>
        </w:tc>
        <w:tc>
          <w:tcPr>
            <w:tcW w:w="1265" w:type="dxa"/>
          </w:tcPr>
          <w:p>
            <w:pPr>
              <w:pStyle w:val="TableParagraph"/>
              <w:ind w:right="63"/>
              <w:rPr>
                <w:sz w:val="22"/>
              </w:rPr>
            </w:pPr>
            <w:r>
              <w:rPr>
                <w:sz w:val="22"/>
              </w:rPr>
              <w:t>6.85</w:t>
            </w:r>
          </w:p>
        </w:tc>
        <w:tc>
          <w:tcPr>
            <w:tcW w:w="1188" w:type="dxa"/>
          </w:tcPr>
          <w:p>
            <w:pPr>
              <w:pStyle w:val="TableParagraph"/>
              <w:ind w:right="59"/>
              <w:rPr>
                <w:sz w:val="22"/>
              </w:rPr>
            </w:pPr>
            <w:r>
              <w:rPr>
                <w:sz w:val="22"/>
              </w:rPr>
              <w:t>7.29</w:t>
            </w:r>
          </w:p>
        </w:tc>
        <w:tc>
          <w:tcPr>
            <w:tcW w:w="612" w:type="dxa"/>
          </w:tcPr>
          <w:p>
            <w:pPr>
              <w:pStyle w:val="TableParagraph"/>
              <w:ind w:right="63"/>
              <w:rPr>
                <w:sz w:val="22"/>
              </w:rPr>
            </w:pPr>
            <w:r>
              <w:rPr>
                <w:sz w:val="22"/>
              </w:rPr>
              <w:t>7.16</w:t>
            </w:r>
          </w:p>
        </w:tc>
        <w:tc>
          <w:tcPr>
            <w:tcW w:w="1188" w:type="dxa"/>
          </w:tcPr>
          <w:p>
            <w:pPr>
              <w:pStyle w:val="TableParagraph"/>
              <w:ind w:right="59"/>
              <w:rPr>
                <w:sz w:val="22"/>
              </w:rPr>
            </w:pPr>
            <w:r>
              <w:rPr>
                <w:sz w:val="22"/>
              </w:rPr>
              <w:t>7.18</w:t>
            </w:r>
          </w:p>
        </w:tc>
        <w:tc>
          <w:tcPr>
            <w:tcW w:w="1190" w:type="dxa"/>
          </w:tcPr>
          <w:p>
            <w:pPr>
              <w:pStyle w:val="TableParagraph"/>
              <w:rPr>
                <w:sz w:val="22"/>
              </w:rPr>
            </w:pPr>
            <w:r>
              <w:rPr>
                <w:sz w:val="22"/>
              </w:rPr>
              <w:t>7.2</w:t>
            </w:r>
          </w:p>
        </w:tc>
        <w:tc>
          <w:tcPr>
            <w:tcW w:w="1190" w:type="dxa"/>
          </w:tcPr>
          <w:p>
            <w:pPr>
              <w:pStyle w:val="TableParagraph"/>
              <w:rPr>
                <w:sz w:val="22"/>
              </w:rPr>
            </w:pPr>
            <w:r>
              <w:rPr>
                <w:sz w:val="22"/>
              </w:rPr>
              <w:t>6.41</w:t>
            </w:r>
          </w:p>
        </w:tc>
      </w:tr>
      <w:tr>
        <w:trPr>
          <w:trHeight w:val="310" w:hRule="exact"/>
        </w:trPr>
        <w:tc>
          <w:tcPr>
            <w:tcW w:w="660" w:type="dxa"/>
          </w:tcPr>
          <w:p>
            <w:pPr>
              <w:pStyle w:val="TableParagraph"/>
              <w:spacing w:before="30"/>
              <w:ind w:right="63"/>
              <w:rPr>
                <w:sz w:val="22"/>
              </w:rPr>
            </w:pPr>
            <w:r>
              <w:rPr>
                <w:sz w:val="22"/>
              </w:rPr>
              <w:t>101</w:t>
            </w:r>
          </w:p>
        </w:tc>
        <w:tc>
          <w:tcPr>
            <w:tcW w:w="1687" w:type="dxa"/>
          </w:tcPr>
          <w:p>
            <w:pPr>
              <w:pStyle w:val="TableParagraph"/>
              <w:spacing w:before="30"/>
              <w:rPr>
                <w:sz w:val="22"/>
              </w:rPr>
            </w:pPr>
            <w:r>
              <w:rPr>
                <w:sz w:val="22"/>
              </w:rPr>
              <w:t>28/09/2009</w:t>
            </w:r>
          </w:p>
        </w:tc>
        <w:tc>
          <w:tcPr>
            <w:tcW w:w="1265" w:type="dxa"/>
          </w:tcPr>
          <w:p>
            <w:pPr>
              <w:pStyle w:val="TableParagraph"/>
              <w:spacing w:before="30"/>
              <w:ind w:right="63"/>
              <w:rPr>
                <w:sz w:val="22"/>
              </w:rPr>
            </w:pPr>
            <w:r>
              <w:rPr>
                <w:sz w:val="22"/>
              </w:rPr>
              <w:t>6.81</w:t>
            </w:r>
          </w:p>
        </w:tc>
        <w:tc>
          <w:tcPr>
            <w:tcW w:w="1188" w:type="dxa"/>
          </w:tcPr>
          <w:p>
            <w:pPr>
              <w:pStyle w:val="TableParagraph"/>
              <w:spacing w:before="30"/>
              <w:ind w:right="59"/>
              <w:rPr>
                <w:sz w:val="22"/>
              </w:rPr>
            </w:pPr>
            <w:r>
              <w:rPr>
                <w:sz w:val="22"/>
              </w:rPr>
              <w:t>7.32</w:t>
            </w:r>
          </w:p>
        </w:tc>
        <w:tc>
          <w:tcPr>
            <w:tcW w:w="612" w:type="dxa"/>
          </w:tcPr>
          <w:p>
            <w:pPr>
              <w:pStyle w:val="TableParagraph"/>
              <w:spacing w:before="30"/>
              <w:ind w:right="63"/>
              <w:rPr>
                <w:sz w:val="22"/>
              </w:rPr>
            </w:pPr>
            <w:r>
              <w:rPr>
                <w:sz w:val="22"/>
              </w:rPr>
              <w:t>7.13</w:t>
            </w:r>
          </w:p>
        </w:tc>
        <w:tc>
          <w:tcPr>
            <w:tcW w:w="1188" w:type="dxa"/>
          </w:tcPr>
          <w:p>
            <w:pPr>
              <w:pStyle w:val="TableParagraph"/>
              <w:spacing w:before="30"/>
              <w:ind w:right="59"/>
              <w:rPr>
                <w:sz w:val="22"/>
              </w:rPr>
            </w:pPr>
            <w:r>
              <w:rPr>
                <w:sz w:val="22"/>
              </w:rPr>
              <w:t>7.14</w:t>
            </w:r>
          </w:p>
        </w:tc>
        <w:tc>
          <w:tcPr>
            <w:tcW w:w="1190" w:type="dxa"/>
          </w:tcPr>
          <w:p>
            <w:pPr>
              <w:pStyle w:val="TableParagraph"/>
              <w:spacing w:before="30"/>
              <w:rPr>
                <w:sz w:val="22"/>
              </w:rPr>
            </w:pPr>
            <w:r>
              <w:rPr>
                <w:sz w:val="22"/>
              </w:rPr>
              <w:t>7.16</w:t>
            </w:r>
          </w:p>
        </w:tc>
        <w:tc>
          <w:tcPr>
            <w:tcW w:w="1190" w:type="dxa"/>
          </w:tcPr>
          <w:p>
            <w:pPr>
              <w:pStyle w:val="TableParagraph"/>
              <w:spacing w:before="30"/>
              <w:rPr>
                <w:sz w:val="22"/>
              </w:rPr>
            </w:pPr>
            <w:r>
              <w:rPr>
                <w:sz w:val="22"/>
              </w:rPr>
              <w:t>6.34</w:t>
            </w:r>
          </w:p>
        </w:tc>
      </w:tr>
      <w:tr>
        <w:trPr>
          <w:trHeight w:val="312" w:hRule="exact"/>
        </w:trPr>
        <w:tc>
          <w:tcPr>
            <w:tcW w:w="660" w:type="dxa"/>
          </w:tcPr>
          <w:p>
            <w:pPr>
              <w:pStyle w:val="TableParagraph"/>
              <w:spacing w:before="30"/>
              <w:ind w:right="63"/>
              <w:rPr>
                <w:sz w:val="22"/>
              </w:rPr>
            </w:pPr>
            <w:r>
              <w:rPr>
                <w:sz w:val="22"/>
              </w:rPr>
              <w:t>102</w:t>
            </w:r>
          </w:p>
        </w:tc>
        <w:tc>
          <w:tcPr>
            <w:tcW w:w="1687" w:type="dxa"/>
          </w:tcPr>
          <w:p>
            <w:pPr>
              <w:pStyle w:val="TableParagraph"/>
              <w:spacing w:before="30"/>
              <w:rPr>
                <w:sz w:val="22"/>
              </w:rPr>
            </w:pPr>
            <w:r>
              <w:rPr>
                <w:sz w:val="22"/>
              </w:rPr>
              <w:t>29/09/2009</w:t>
            </w:r>
          </w:p>
        </w:tc>
        <w:tc>
          <w:tcPr>
            <w:tcW w:w="1265" w:type="dxa"/>
          </w:tcPr>
          <w:p>
            <w:pPr>
              <w:pStyle w:val="TableParagraph"/>
              <w:spacing w:before="30"/>
              <w:ind w:right="63"/>
              <w:rPr>
                <w:sz w:val="22"/>
              </w:rPr>
            </w:pPr>
            <w:r>
              <w:rPr>
                <w:sz w:val="22"/>
              </w:rPr>
              <w:t>7.1</w:t>
            </w:r>
          </w:p>
        </w:tc>
        <w:tc>
          <w:tcPr>
            <w:tcW w:w="1188" w:type="dxa"/>
          </w:tcPr>
          <w:p>
            <w:pPr>
              <w:pStyle w:val="TableParagraph"/>
              <w:spacing w:before="30"/>
              <w:ind w:right="59"/>
              <w:rPr>
                <w:sz w:val="22"/>
              </w:rPr>
            </w:pPr>
            <w:r>
              <w:rPr>
                <w:sz w:val="22"/>
              </w:rPr>
              <w:t>7.52</w:t>
            </w:r>
          </w:p>
        </w:tc>
        <w:tc>
          <w:tcPr>
            <w:tcW w:w="612" w:type="dxa"/>
          </w:tcPr>
          <w:p>
            <w:pPr>
              <w:pStyle w:val="TableParagraph"/>
              <w:spacing w:before="30"/>
              <w:ind w:right="63"/>
              <w:rPr>
                <w:sz w:val="22"/>
              </w:rPr>
            </w:pPr>
            <w:r>
              <w:rPr>
                <w:sz w:val="22"/>
              </w:rPr>
              <w:t>7.37</w:t>
            </w:r>
          </w:p>
        </w:tc>
        <w:tc>
          <w:tcPr>
            <w:tcW w:w="1188" w:type="dxa"/>
          </w:tcPr>
          <w:p>
            <w:pPr>
              <w:pStyle w:val="TableParagraph"/>
              <w:spacing w:before="30"/>
              <w:ind w:right="59"/>
              <w:rPr>
                <w:sz w:val="22"/>
              </w:rPr>
            </w:pPr>
            <w:r>
              <w:rPr>
                <w:sz w:val="22"/>
              </w:rPr>
              <w:t>7.39</w:t>
            </w:r>
          </w:p>
        </w:tc>
        <w:tc>
          <w:tcPr>
            <w:tcW w:w="1190" w:type="dxa"/>
          </w:tcPr>
          <w:p>
            <w:pPr>
              <w:pStyle w:val="TableParagraph"/>
              <w:spacing w:before="30"/>
              <w:rPr>
                <w:sz w:val="22"/>
              </w:rPr>
            </w:pPr>
            <w:r>
              <w:rPr>
                <w:sz w:val="22"/>
              </w:rPr>
              <w:t>7.4</w:t>
            </w:r>
          </w:p>
        </w:tc>
        <w:tc>
          <w:tcPr>
            <w:tcW w:w="1190" w:type="dxa"/>
          </w:tcPr>
          <w:p>
            <w:pPr>
              <w:pStyle w:val="TableParagraph"/>
              <w:spacing w:before="30"/>
              <w:rPr>
                <w:sz w:val="22"/>
              </w:rPr>
            </w:pPr>
            <w:r>
              <w:rPr>
                <w:sz w:val="22"/>
              </w:rPr>
              <w:t>6.9</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7"/>
        <w:gridCol w:w="1265"/>
        <w:gridCol w:w="1188"/>
        <w:gridCol w:w="612"/>
        <w:gridCol w:w="1188"/>
        <w:gridCol w:w="1190"/>
        <w:gridCol w:w="1190"/>
      </w:tblGrid>
      <w:tr>
        <w:trPr>
          <w:trHeight w:val="310" w:hRule="exact"/>
        </w:trPr>
        <w:tc>
          <w:tcPr>
            <w:tcW w:w="8981" w:type="dxa"/>
            <w:gridSpan w:val="8"/>
            <w:shd w:val="clear" w:color="auto" w:fill="E6B9B8"/>
          </w:tcPr>
          <w:p>
            <w:pPr>
              <w:pStyle w:val="TableParagraph"/>
              <w:ind w:left="4337" w:right="4337"/>
              <w:jc w:val="center"/>
              <w:rPr>
                <w:b/>
                <w:sz w:val="22"/>
              </w:rPr>
            </w:pPr>
            <w:r>
              <w:rPr>
                <w:b/>
                <w:sz w:val="22"/>
              </w:rPr>
              <w:t>pH</w:t>
            </w:r>
          </w:p>
        </w:tc>
      </w:tr>
      <w:tr>
        <w:trPr>
          <w:trHeight w:val="610" w:hRule="exact"/>
        </w:trPr>
        <w:tc>
          <w:tcPr>
            <w:tcW w:w="660" w:type="dxa"/>
            <w:vMerge w:val="restart"/>
            <w:shd w:val="clear" w:color="auto" w:fill="E6B9B8"/>
          </w:tcPr>
          <w:p>
            <w:pPr>
              <w:pStyle w:val="TableParagraph"/>
              <w:spacing w:before="8"/>
              <w:ind w:right="0"/>
              <w:jc w:val="left"/>
              <w:rPr>
                <w:rFonts w:ascii="Times New Roman"/>
                <w:sz w:val="27"/>
              </w:rPr>
            </w:pPr>
          </w:p>
          <w:p>
            <w:pPr>
              <w:pStyle w:val="TableParagraph"/>
              <w:spacing w:before="0"/>
              <w:ind w:left="129" w:right="0"/>
              <w:jc w:val="left"/>
              <w:rPr>
                <w:b/>
                <w:sz w:val="22"/>
              </w:rPr>
            </w:pPr>
            <w:r>
              <w:rPr>
                <w:b/>
                <w:sz w:val="22"/>
              </w:rPr>
              <w:t>Días</w:t>
            </w:r>
          </w:p>
        </w:tc>
        <w:tc>
          <w:tcPr>
            <w:tcW w:w="1687" w:type="dxa"/>
            <w:vMerge w:val="restart"/>
            <w:shd w:val="clear" w:color="auto" w:fill="E6B9B8"/>
          </w:tcPr>
          <w:p>
            <w:pPr>
              <w:pStyle w:val="TableParagraph"/>
              <w:spacing w:before="8"/>
              <w:ind w:right="0"/>
              <w:jc w:val="left"/>
              <w:rPr>
                <w:rFonts w:ascii="Times New Roman"/>
                <w:sz w:val="27"/>
              </w:rPr>
            </w:pPr>
          </w:p>
          <w:p>
            <w:pPr>
              <w:pStyle w:val="TableParagraph"/>
              <w:spacing w:before="0"/>
              <w:ind w:left="553" w:right="553"/>
              <w:jc w:val="center"/>
              <w:rPr>
                <w:b/>
                <w:sz w:val="22"/>
              </w:rPr>
            </w:pPr>
            <w:r>
              <w:rPr>
                <w:b/>
                <w:sz w:val="22"/>
              </w:rPr>
              <w:t>Fecha</w:t>
            </w:r>
          </w:p>
        </w:tc>
        <w:tc>
          <w:tcPr>
            <w:tcW w:w="6634" w:type="dxa"/>
            <w:gridSpan w:val="6"/>
            <w:shd w:val="clear" w:color="auto" w:fill="E6B9B8"/>
          </w:tcPr>
          <w:p>
            <w:pPr>
              <w:pStyle w:val="TableParagraph"/>
              <w:spacing w:before="162"/>
              <w:ind w:left="2371" w:right="2370"/>
              <w:jc w:val="center"/>
              <w:rPr>
                <w:b/>
                <w:sz w:val="22"/>
              </w:rPr>
            </w:pPr>
            <w:r>
              <w:rPr>
                <w:b/>
                <w:sz w:val="22"/>
              </w:rPr>
              <w:t>Puntos de muestreo</w:t>
            </w:r>
          </w:p>
        </w:tc>
      </w:tr>
      <w:tr>
        <w:trPr>
          <w:trHeight w:val="310" w:hRule="exact"/>
        </w:trPr>
        <w:tc>
          <w:tcPr>
            <w:tcW w:w="660" w:type="dxa"/>
            <w:vMerge/>
            <w:shd w:val="clear" w:color="auto" w:fill="E6B9B8"/>
          </w:tcPr>
          <w:p>
            <w:pPr/>
          </w:p>
        </w:tc>
        <w:tc>
          <w:tcPr>
            <w:tcW w:w="1687" w:type="dxa"/>
            <w:vMerge/>
            <w:shd w:val="clear" w:color="auto" w:fill="E6B9B8"/>
          </w:tcPr>
          <w:p>
            <w:pPr/>
          </w:p>
        </w:tc>
        <w:tc>
          <w:tcPr>
            <w:tcW w:w="1265" w:type="dxa"/>
            <w:shd w:val="clear" w:color="auto" w:fill="E6B9B8"/>
          </w:tcPr>
          <w:p>
            <w:pPr>
              <w:pStyle w:val="TableParagraph"/>
              <w:spacing w:before="13"/>
              <w:ind w:right="1"/>
              <w:jc w:val="center"/>
              <w:rPr>
                <w:b/>
                <w:sz w:val="22"/>
              </w:rPr>
            </w:pPr>
            <w:r>
              <w:rPr>
                <w:b/>
                <w:w w:val="100"/>
                <w:sz w:val="22"/>
              </w:rPr>
              <w:t>A</w:t>
            </w:r>
          </w:p>
        </w:tc>
        <w:tc>
          <w:tcPr>
            <w:tcW w:w="1188" w:type="dxa"/>
            <w:shd w:val="clear" w:color="auto" w:fill="E6B9B8"/>
          </w:tcPr>
          <w:p>
            <w:pPr>
              <w:pStyle w:val="TableParagraph"/>
              <w:spacing w:before="13"/>
              <w:ind w:left="1" w:right="0"/>
              <w:jc w:val="center"/>
              <w:rPr>
                <w:b/>
                <w:sz w:val="22"/>
              </w:rPr>
            </w:pPr>
            <w:r>
              <w:rPr>
                <w:b/>
                <w:w w:val="100"/>
                <w:sz w:val="22"/>
              </w:rPr>
              <w:t>B</w:t>
            </w:r>
          </w:p>
        </w:tc>
        <w:tc>
          <w:tcPr>
            <w:tcW w:w="612" w:type="dxa"/>
            <w:shd w:val="clear" w:color="auto" w:fill="E6B9B8"/>
          </w:tcPr>
          <w:p>
            <w:pPr>
              <w:pStyle w:val="TableParagraph"/>
              <w:spacing w:before="30"/>
              <w:ind w:right="3"/>
              <w:jc w:val="center"/>
              <w:rPr>
                <w:b/>
                <w:sz w:val="22"/>
              </w:rPr>
            </w:pPr>
            <w:r>
              <w:rPr>
                <w:b/>
                <w:w w:val="100"/>
                <w:sz w:val="22"/>
              </w:rPr>
              <w:t>C</w:t>
            </w:r>
          </w:p>
        </w:tc>
        <w:tc>
          <w:tcPr>
            <w:tcW w:w="1188" w:type="dxa"/>
            <w:shd w:val="clear" w:color="auto" w:fill="E6B9B8"/>
          </w:tcPr>
          <w:p>
            <w:pPr>
              <w:pStyle w:val="TableParagraph"/>
              <w:spacing w:before="13"/>
              <w:ind w:left="2" w:right="0"/>
              <w:jc w:val="center"/>
              <w:rPr>
                <w:b/>
                <w:sz w:val="22"/>
              </w:rPr>
            </w:pPr>
            <w:r>
              <w:rPr>
                <w:b/>
                <w:w w:val="100"/>
                <w:sz w:val="22"/>
              </w:rPr>
              <w:t>D</w:t>
            </w:r>
          </w:p>
        </w:tc>
        <w:tc>
          <w:tcPr>
            <w:tcW w:w="1190" w:type="dxa"/>
            <w:shd w:val="clear" w:color="auto" w:fill="E6B9B8"/>
          </w:tcPr>
          <w:p>
            <w:pPr>
              <w:pStyle w:val="TableParagraph"/>
              <w:spacing w:before="13"/>
              <w:ind w:right="0"/>
              <w:jc w:val="center"/>
              <w:rPr>
                <w:b/>
                <w:sz w:val="22"/>
              </w:rPr>
            </w:pPr>
            <w:r>
              <w:rPr>
                <w:b/>
                <w:w w:val="100"/>
                <w:sz w:val="22"/>
              </w:rPr>
              <w:t>E</w:t>
            </w:r>
          </w:p>
        </w:tc>
        <w:tc>
          <w:tcPr>
            <w:tcW w:w="1190" w:type="dxa"/>
            <w:shd w:val="clear" w:color="auto" w:fill="E6B9B8"/>
          </w:tcPr>
          <w:p>
            <w:pPr>
              <w:pStyle w:val="TableParagraph"/>
              <w:spacing w:before="13"/>
              <w:ind w:left="1" w:right="0"/>
              <w:jc w:val="center"/>
              <w:rPr>
                <w:b/>
                <w:sz w:val="22"/>
              </w:rPr>
            </w:pPr>
            <w:r>
              <w:rPr>
                <w:b/>
                <w:w w:val="100"/>
                <w:sz w:val="22"/>
              </w:rPr>
              <w:t>G</w:t>
            </w:r>
          </w:p>
        </w:tc>
      </w:tr>
      <w:tr>
        <w:trPr>
          <w:trHeight w:val="312" w:hRule="exact"/>
        </w:trPr>
        <w:tc>
          <w:tcPr>
            <w:tcW w:w="660" w:type="dxa"/>
          </w:tcPr>
          <w:p>
            <w:pPr>
              <w:pStyle w:val="TableParagraph"/>
              <w:spacing w:before="30"/>
              <w:ind w:right="63"/>
              <w:rPr>
                <w:sz w:val="22"/>
              </w:rPr>
            </w:pPr>
            <w:r>
              <w:rPr>
                <w:sz w:val="22"/>
              </w:rPr>
              <w:t>103</w:t>
            </w:r>
          </w:p>
        </w:tc>
        <w:tc>
          <w:tcPr>
            <w:tcW w:w="1687" w:type="dxa"/>
          </w:tcPr>
          <w:p>
            <w:pPr>
              <w:pStyle w:val="TableParagraph"/>
              <w:spacing w:before="30"/>
              <w:rPr>
                <w:sz w:val="22"/>
              </w:rPr>
            </w:pPr>
            <w:r>
              <w:rPr>
                <w:sz w:val="22"/>
              </w:rPr>
              <w:t>30/09/2009</w:t>
            </w:r>
          </w:p>
        </w:tc>
        <w:tc>
          <w:tcPr>
            <w:tcW w:w="1265" w:type="dxa"/>
          </w:tcPr>
          <w:p>
            <w:pPr>
              <w:pStyle w:val="TableParagraph"/>
              <w:spacing w:before="30"/>
              <w:ind w:right="63"/>
              <w:rPr>
                <w:sz w:val="22"/>
              </w:rPr>
            </w:pPr>
            <w:r>
              <w:rPr>
                <w:sz w:val="22"/>
              </w:rPr>
              <w:t>7.12</w:t>
            </w:r>
          </w:p>
        </w:tc>
        <w:tc>
          <w:tcPr>
            <w:tcW w:w="1188" w:type="dxa"/>
          </w:tcPr>
          <w:p>
            <w:pPr>
              <w:pStyle w:val="TableParagraph"/>
              <w:spacing w:before="30"/>
              <w:ind w:right="59"/>
              <w:rPr>
                <w:sz w:val="22"/>
              </w:rPr>
            </w:pPr>
            <w:r>
              <w:rPr>
                <w:sz w:val="22"/>
              </w:rPr>
              <w:t>7.39</w:t>
            </w:r>
          </w:p>
        </w:tc>
        <w:tc>
          <w:tcPr>
            <w:tcW w:w="612" w:type="dxa"/>
          </w:tcPr>
          <w:p>
            <w:pPr>
              <w:pStyle w:val="TableParagraph"/>
              <w:spacing w:before="30"/>
              <w:ind w:right="63"/>
              <w:rPr>
                <w:sz w:val="22"/>
              </w:rPr>
            </w:pPr>
            <w:r>
              <w:rPr>
                <w:sz w:val="22"/>
              </w:rPr>
              <w:t>7.34</w:t>
            </w:r>
          </w:p>
        </w:tc>
        <w:tc>
          <w:tcPr>
            <w:tcW w:w="1188" w:type="dxa"/>
          </w:tcPr>
          <w:p>
            <w:pPr>
              <w:pStyle w:val="TableParagraph"/>
              <w:spacing w:before="30"/>
              <w:ind w:right="59"/>
              <w:rPr>
                <w:sz w:val="22"/>
              </w:rPr>
            </w:pPr>
            <w:r>
              <w:rPr>
                <w:sz w:val="22"/>
              </w:rPr>
              <w:t>7.21</w:t>
            </w:r>
          </w:p>
        </w:tc>
        <w:tc>
          <w:tcPr>
            <w:tcW w:w="1190" w:type="dxa"/>
          </w:tcPr>
          <w:p>
            <w:pPr>
              <w:pStyle w:val="TableParagraph"/>
              <w:spacing w:before="30"/>
              <w:rPr>
                <w:sz w:val="22"/>
              </w:rPr>
            </w:pPr>
            <w:r>
              <w:rPr>
                <w:sz w:val="22"/>
              </w:rPr>
              <w:t>7.41</w:t>
            </w:r>
          </w:p>
        </w:tc>
        <w:tc>
          <w:tcPr>
            <w:tcW w:w="1190" w:type="dxa"/>
          </w:tcPr>
          <w:p>
            <w:pPr>
              <w:pStyle w:val="TableParagraph"/>
              <w:spacing w:before="30"/>
              <w:rPr>
                <w:sz w:val="22"/>
              </w:rPr>
            </w:pPr>
            <w:r>
              <w:rPr>
                <w:sz w:val="22"/>
              </w:rPr>
              <w:t>6.42</w:t>
            </w:r>
          </w:p>
        </w:tc>
      </w:tr>
      <w:tr>
        <w:trPr>
          <w:trHeight w:val="310" w:hRule="exact"/>
        </w:trPr>
        <w:tc>
          <w:tcPr>
            <w:tcW w:w="660" w:type="dxa"/>
          </w:tcPr>
          <w:p>
            <w:pPr>
              <w:pStyle w:val="TableParagraph"/>
              <w:ind w:right="63"/>
              <w:rPr>
                <w:sz w:val="22"/>
              </w:rPr>
            </w:pPr>
            <w:r>
              <w:rPr>
                <w:sz w:val="22"/>
              </w:rPr>
              <w:t>104</w:t>
            </w:r>
          </w:p>
        </w:tc>
        <w:tc>
          <w:tcPr>
            <w:tcW w:w="1687" w:type="dxa"/>
          </w:tcPr>
          <w:p>
            <w:pPr>
              <w:pStyle w:val="TableParagraph"/>
              <w:rPr>
                <w:sz w:val="22"/>
              </w:rPr>
            </w:pPr>
            <w:r>
              <w:rPr>
                <w:sz w:val="22"/>
              </w:rPr>
              <w:t>01/10/2009</w:t>
            </w:r>
          </w:p>
        </w:tc>
        <w:tc>
          <w:tcPr>
            <w:tcW w:w="1265" w:type="dxa"/>
          </w:tcPr>
          <w:p>
            <w:pPr>
              <w:pStyle w:val="TableParagraph"/>
              <w:ind w:right="63"/>
              <w:rPr>
                <w:sz w:val="22"/>
              </w:rPr>
            </w:pPr>
            <w:r>
              <w:rPr>
                <w:sz w:val="22"/>
              </w:rPr>
              <w:t>7.5</w:t>
            </w:r>
          </w:p>
        </w:tc>
        <w:tc>
          <w:tcPr>
            <w:tcW w:w="1188" w:type="dxa"/>
          </w:tcPr>
          <w:p>
            <w:pPr>
              <w:pStyle w:val="TableParagraph"/>
              <w:ind w:right="59"/>
              <w:rPr>
                <w:sz w:val="22"/>
              </w:rPr>
            </w:pPr>
            <w:r>
              <w:rPr>
                <w:sz w:val="22"/>
              </w:rPr>
              <w:t>7.49</w:t>
            </w:r>
          </w:p>
        </w:tc>
        <w:tc>
          <w:tcPr>
            <w:tcW w:w="612" w:type="dxa"/>
          </w:tcPr>
          <w:p>
            <w:pPr>
              <w:pStyle w:val="TableParagraph"/>
              <w:ind w:right="63"/>
              <w:rPr>
                <w:sz w:val="22"/>
              </w:rPr>
            </w:pPr>
            <w:r>
              <w:rPr>
                <w:sz w:val="22"/>
              </w:rPr>
              <w:t>7.25</w:t>
            </w:r>
          </w:p>
        </w:tc>
        <w:tc>
          <w:tcPr>
            <w:tcW w:w="1188" w:type="dxa"/>
          </w:tcPr>
          <w:p>
            <w:pPr>
              <w:pStyle w:val="TableParagraph"/>
              <w:ind w:right="59"/>
              <w:rPr>
                <w:sz w:val="22"/>
              </w:rPr>
            </w:pPr>
            <w:r>
              <w:rPr>
                <w:sz w:val="22"/>
              </w:rPr>
              <w:t>7.26</w:t>
            </w:r>
          </w:p>
        </w:tc>
        <w:tc>
          <w:tcPr>
            <w:tcW w:w="1190" w:type="dxa"/>
          </w:tcPr>
          <w:p>
            <w:pPr>
              <w:pStyle w:val="TableParagraph"/>
              <w:rPr>
                <w:sz w:val="22"/>
              </w:rPr>
            </w:pPr>
            <w:r>
              <w:rPr>
                <w:sz w:val="22"/>
              </w:rPr>
              <w:t>7.16</w:t>
            </w:r>
          </w:p>
        </w:tc>
        <w:tc>
          <w:tcPr>
            <w:tcW w:w="1190" w:type="dxa"/>
          </w:tcPr>
          <w:p>
            <w:pPr>
              <w:pStyle w:val="TableParagraph"/>
              <w:rPr>
                <w:sz w:val="22"/>
              </w:rPr>
            </w:pPr>
            <w:r>
              <w:rPr>
                <w:sz w:val="22"/>
              </w:rPr>
              <w:t>6.49</w:t>
            </w:r>
          </w:p>
        </w:tc>
      </w:tr>
      <w:tr>
        <w:trPr>
          <w:trHeight w:val="310" w:hRule="exact"/>
        </w:trPr>
        <w:tc>
          <w:tcPr>
            <w:tcW w:w="660" w:type="dxa"/>
          </w:tcPr>
          <w:p>
            <w:pPr>
              <w:pStyle w:val="TableParagraph"/>
              <w:ind w:right="63"/>
              <w:rPr>
                <w:sz w:val="22"/>
              </w:rPr>
            </w:pPr>
            <w:r>
              <w:rPr>
                <w:sz w:val="22"/>
              </w:rPr>
              <w:t>105</w:t>
            </w:r>
          </w:p>
        </w:tc>
        <w:tc>
          <w:tcPr>
            <w:tcW w:w="1687" w:type="dxa"/>
          </w:tcPr>
          <w:p>
            <w:pPr>
              <w:pStyle w:val="TableParagraph"/>
              <w:rPr>
                <w:sz w:val="22"/>
              </w:rPr>
            </w:pPr>
            <w:r>
              <w:rPr>
                <w:sz w:val="22"/>
              </w:rPr>
              <w:t>02/10/2009</w:t>
            </w:r>
          </w:p>
        </w:tc>
        <w:tc>
          <w:tcPr>
            <w:tcW w:w="1265" w:type="dxa"/>
          </w:tcPr>
          <w:p>
            <w:pPr>
              <w:pStyle w:val="TableParagraph"/>
              <w:ind w:right="63"/>
              <w:rPr>
                <w:sz w:val="22"/>
              </w:rPr>
            </w:pPr>
            <w:r>
              <w:rPr>
                <w:sz w:val="22"/>
              </w:rPr>
              <w:t>7.31</w:t>
            </w:r>
          </w:p>
        </w:tc>
        <w:tc>
          <w:tcPr>
            <w:tcW w:w="1188" w:type="dxa"/>
          </w:tcPr>
          <w:p>
            <w:pPr>
              <w:pStyle w:val="TableParagraph"/>
              <w:ind w:right="59"/>
              <w:rPr>
                <w:sz w:val="22"/>
              </w:rPr>
            </w:pPr>
            <w:r>
              <w:rPr>
                <w:sz w:val="22"/>
              </w:rPr>
              <w:t>7.74</w:t>
            </w:r>
          </w:p>
        </w:tc>
        <w:tc>
          <w:tcPr>
            <w:tcW w:w="612" w:type="dxa"/>
          </w:tcPr>
          <w:p>
            <w:pPr>
              <w:pStyle w:val="TableParagraph"/>
              <w:ind w:right="63"/>
              <w:rPr>
                <w:sz w:val="22"/>
              </w:rPr>
            </w:pPr>
            <w:r>
              <w:rPr>
                <w:sz w:val="22"/>
              </w:rPr>
              <w:t>7.59</w:t>
            </w:r>
          </w:p>
        </w:tc>
        <w:tc>
          <w:tcPr>
            <w:tcW w:w="1188" w:type="dxa"/>
          </w:tcPr>
          <w:p>
            <w:pPr>
              <w:pStyle w:val="TableParagraph"/>
              <w:ind w:right="59"/>
              <w:rPr>
                <w:sz w:val="22"/>
              </w:rPr>
            </w:pPr>
            <w:r>
              <w:rPr>
                <w:sz w:val="22"/>
              </w:rPr>
              <w:t>7.61</w:t>
            </w:r>
          </w:p>
        </w:tc>
        <w:tc>
          <w:tcPr>
            <w:tcW w:w="1190" w:type="dxa"/>
          </w:tcPr>
          <w:p>
            <w:pPr>
              <w:pStyle w:val="TableParagraph"/>
              <w:rPr>
                <w:sz w:val="22"/>
              </w:rPr>
            </w:pPr>
            <w:r>
              <w:rPr>
                <w:sz w:val="22"/>
              </w:rPr>
              <w:t>7.62</w:t>
            </w:r>
          </w:p>
        </w:tc>
        <w:tc>
          <w:tcPr>
            <w:tcW w:w="1190" w:type="dxa"/>
          </w:tcPr>
          <w:p>
            <w:pPr>
              <w:pStyle w:val="TableParagraph"/>
              <w:rPr>
                <w:sz w:val="22"/>
              </w:rPr>
            </w:pPr>
            <w:r>
              <w:rPr>
                <w:sz w:val="22"/>
              </w:rPr>
              <w:t>7.1</w:t>
            </w:r>
          </w:p>
        </w:tc>
      </w:tr>
      <w:tr>
        <w:trPr>
          <w:trHeight w:val="310" w:hRule="exact"/>
        </w:trPr>
        <w:tc>
          <w:tcPr>
            <w:tcW w:w="660" w:type="dxa"/>
          </w:tcPr>
          <w:p>
            <w:pPr>
              <w:pStyle w:val="TableParagraph"/>
              <w:ind w:right="63"/>
              <w:rPr>
                <w:sz w:val="22"/>
              </w:rPr>
            </w:pPr>
            <w:r>
              <w:rPr>
                <w:sz w:val="22"/>
              </w:rPr>
              <w:t>106</w:t>
            </w:r>
          </w:p>
        </w:tc>
        <w:tc>
          <w:tcPr>
            <w:tcW w:w="1687" w:type="dxa"/>
          </w:tcPr>
          <w:p>
            <w:pPr>
              <w:pStyle w:val="TableParagraph"/>
              <w:rPr>
                <w:sz w:val="22"/>
              </w:rPr>
            </w:pPr>
            <w:r>
              <w:rPr>
                <w:sz w:val="22"/>
              </w:rPr>
              <w:t>03/10/2009</w:t>
            </w:r>
          </w:p>
        </w:tc>
        <w:tc>
          <w:tcPr>
            <w:tcW w:w="1265" w:type="dxa"/>
          </w:tcPr>
          <w:p>
            <w:pPr>
              <w:pStyle w:val="TableParagraph"/>
              <w:ind w:right="63"/>
              <w:rPr>
                <w:sz w:val="22"/>
              </w:rPr>
            </w:pPr>
            <w:r>
              <w:rPr>
                <w:sz w:val="22"/>
              </w:rPr>
              <w:t>7.33</w:t>
            </w:r>
          </w:p>
        </w:tc>
        <w:tc>
          <w:tcPr>
            <w:tcW w:w="1188" w:type="dxa"/>
          </w:tcPr>
          <w:p>
            <w:pPr>
              <w:pStyle w:val="TableParagraph"/>
              <w:ind w:right="59"/>
              <w:rPr>
                <w:sz w:val="22"/>
              </w:rPr>
            </w:pPr>
            <w:r>
              <w:rPr>
                <w:sz w:val="22"/>
              </w:rPr>
              <w:t>7.61</w:t>
            </w:r>
          </w:p>
        </w:tc>
        <w:tc>
          <w:tcPr>
            <w:tcW w:w="612" w:type="dxa"/>
          </w:tcPr>
          <w:p>
            <w:pPr>
              <w:pStyle w:val="TableParagraph"/>
              <w:ind w:right="63"/>
              <w:rPr>
                <w:sz w:val="22"/>
              </w:rPr>
            </w:pPr>
            <w:r>
              <w:rPr>
                <w:sz w:val="22"/>
              </w:rPr>
              <w:t>7.56</w:t>
            </w:r>
          </w:p>
        </w:tc>
        <w:tc>
          <w:tcPr>
            <w:tcW w:w="1188" w:type="dxa"/>
          </w:tcPr>
          <w:p>
            <w:pPr>
              <w:pStyle w:val="TableParagraph"/>
              <w:ind w:right="59"/>
              <w:rPr>
                <w:sz w:val="22"/>
              </w:rPr>
            </w:pPr>
            <w:r>
              <w:rPr>
                <w:sz w:val="22"/>
              </w:rPr>
              <w:t>7.42</w:t>
            </w:r>
          </w:p>
        </w:tc>
        <w:tc>
          <w:tcPr>
            <w:tcW w:w="1190" w:type="dxa"/>
          </w:tcPr>
          <w:p>
            <w:pPr>
              <w:pStyle w:val="TableParagraph"/>
              <w:rPr>
                <w:sz w:val="22"/>
              </w:rPr>
            </w:pPr>
            <w:r>
              <w:rPr>
                <w:sz w:val="22"/>
              </w:rPr>
              <w:t>7.63</w:t>
            </w:r>
          </w:p>
        </w:tc>
        <w:tc>
          <w:tcPr>
            <w:tcW w:w="1190" w:type="dxa"/>
          </w:tcPr>
          <w:p>
            <w:pPr>
              <w:pStyle w:val="TableParagraph"/>
              <w:rPr>
                <w:sz w:val="22"/>
              </w:rPr>
            </w:pPr>
            <w:r>
              <w:rPr>
                <w:sz w:val="22"/>
              </w:rPr>
              <w:t>6.61</w:t>
            </w:r>
          </w:p>
        </w:tc>
      </w:tr>
      <w:tr>
        <w:trPr>
          <w:trHeight w:val="310" w:hRule="exact"/>
        </w:trPr>
        <w:tc>
          <w:tcPr>
            <w:tcW w:w="660" w:type="dxa"/>
          </w:tcPr>
          <w:p>
            <w:pPr>
              <w:pStyle w:val="TableParagraph"/>
              <w:ind w:right="63"/>
              <w:rPr>
                <w:sz w:val="22"/>
              </w:rPr>
            </w:pPr>
            <w:r>
              <w:rPr>
                <w:sz w:val="22"/>
              </w:rPr>
              <w:t>107</w:t>
            </w:r>
          </w:p>
        </w:tc>
        <w:tc>
          <w:tcPr>
            <w:tcW w:w="1687" w:type="dxa"/>
          </w:tcPr>
          <w:p>
            <w:pPr>
              <w:pStyle w:val="TableParagraph"/>
              <w:rPr>
                <w:sz w:val="22"/>
              </w:rPr>
            </w:pPr>
            <w:r>
              <w:rPr>
                <w:sz w:val="22"/>
              </w:rPr>
              <w:t>04/10/2009</w:t>
            </w:r>
          </w:p>
        </w:tc>
        <w:tc>
          <w:tcPr>
            <w:tcW w:w="1265" w:type="dxa"/>
          </w:tcPr>
          <w:p>
            <w:pPr>
              <w:pStyle w:val="TableParagraph"/>
              <w:ind w:right="63"/>
              <w:rPr>
                <w:sz w:val="22"/>
              </w:rPr>
            </w:pPr>
            <w:r>
              <w:rPr>
                <w:sz w:val="22"/>
              </w:rPr>
              <w:t>7.05</w:t>
            </w:r>
          </w:p>
        </w:tc>
        <w:tc>
          <w:tcPr>
            <w:tcW w:w="1188" w:type="dxa"/>
          </w:tcPr>
          <w:p>
            <w:pPr>
              <w:pStyle w:val="TableParagraph"/>
              <w:ind w:right="59"/>
              <w:rPr>
                <w:sz w:val="22"/>
              </w:rPr>
            </w:pPr>
            <w:r>
              <w:rPr>
                <w:sz w:val="22"/>
              </w:rPr>
              <w:t>7.27</w:t>
            </w:r>
          </w:p>
        </w:tc>
        <w:tc>
          <w:tcPr>
            <w:tcW w:w="612" w:type="dxa"/>
          </w:tcPr>
          <w:p>
            <w:pPr>
              <w:pStyle w:val="TableParagraph"/>
              <w:ind w:right="63"/>
              <w:rPr>
                <w:sz w:val="22"/>
              </w:rPr>
            </w:pPr>
            <w:r>
              <w:rPr>
                <w:sz w:val="22"/>
              </w:rPr>
              <w:t>6.96</w:t>
            </w:r>
          </w:p>
        </w:tc>
        <w:tc>
          <w:tcPr>
            <w:tcW w:w="1188" w:type="dxa"/>
          </w:tcPr>
          <w:p>
            <w:pPr>
              <w:pStyle w:val="TableParagraph"/>
              <w:ind w:right="59"/>
              <w:rPr>
                <w:sz w:val="22"/>
              </w:rPr>
            </w:pPr>
            <w:r>
              <w:rPr>
                <w:sz w:val="22"/>
              </w:rPr>
              <w:t>6.96</w:t>
            </w:r>
          </w:p>
        </w:tc>
        <w:tc>
          <w:tcPr>
            <w:tcW w:w="1190" w:type="dxa"/>
          </w:tcPr>
          <w:p>
            <w:pPr>
              <w:pStyle w:val="TableParagraph"/>
              <w:rPr>
                <w:sz w:val="22"/>
              </w:rPr>
            </w:pPr>
            <w:r>
              <w:rPr>
                <w:sz w:val="22"/>
              </w:rPr>
              <w:t>7.01</w:t>
            </w:r>
          </w:p>
        </w:tc>
        <w:tc>
          <w:tcPr>
            <w:tcW w:w="1190" w:type="dxa"/>
          </w:tcPr>
          <w:p>
            <w:pPr>
              <w:pStyle w:val="TableParagraph"/>
              <w:rPr>
                <w:sz w:val="22"/>
              </w:rPr>
            </w:pPr>
            <w:r>
              <w:rPr>
                <w:sz w:val="22"/>
              </w:rPr>
              <w:t>6.75</w:t>
            </w:r>
          </w:p>
        </w:tc>
      </w:tr>
      <w:tr>
        <w:trPr>
          <w:trHeight w:val="310" w:hRule="exact"/>
        </w:trPr>
        <w:tc>
          <w:tcPr>
            <w:tcW w:w="660" w:type="dxa"/>
          </w:tcPr>
          <w:p>
            <w:pPr>
              <w:pStyle w:val="TableParagraph"/>
              <w:spacing w:before="30"/>
              <w:ind w:right="63"/>
              <w:rPr>
                <w:sz w:val="22"/>
              </w:rPr>
            </w:pPr>
            <w:r>
              <w:rPr>
                <w:sz w:val="22"/>
              </w:rPr>
              <w:t>108</w:t>
            </w:r>
          </w:p>
        </w:tc>
        <w:tc>
          <w:tcPr>
            <w:tcW w:w="1687" w:type="dxa"/>
          </w:tcPr>
          <w:p>
            <w:pPr>
              <w:pStyle w:val="TableParagraph"/>
              <w:spacing w:before="30"/>
              <w:rPr>
                <w:sz w:val="22"/>
              </w:rPr>
            </w:pPr>
            <w:r>
              <w:rPr>
                <w:sz w:val="22"/>
              </w:rPr>
              <w:t>05/10/2009</w:t>
            </w:r>
          </w:p>
        </w:tc>
        <w:tc>
          <w:tcPr>
            <w:tcW w:w="1265" w:type="dxa"/>
          </w:tcPr>
          <w:p>
            <w:pPr>
              <w:pStyle w:val="TableParagraph"/>
              <w:spacing w:before="30"/>
              <w:ind w:right="63"/>
              <w:rPr>
                <w:sz w:val="22"/>
              </w:rPr>
            </w:pPr>
            <w:r>
              <w:rPr>
                <w:sz w:val="22"/>
              </w:rPr>
              <w:t>6.92</w:t>
            </w:r>
          </w:p>
        </w:tc>
        <w:tc>
          <w:tcPr>
            <w:tcW w:w="1188" w:type="dxa"/>
          </w:tcPr>
          <w:p>
            <w:pPr>
              <w:pStyle w:val="TableParagraph"/>
              <w:spacing w:before="30"/>
              <w:ind w:right="59"/>
              <w:rPr>
                <w:sz w:val="22"/>
              </w:rPr>
            </w:pPr>
            <w:r>
              <w:rPr>
                <w:sz w:val="22"/>
              </w:rPr>
              <w:t>6.58</w:t>
            </w:r>
          </w:p>
        </w:tc>
        <w:tc>
          <w:tcPr>
            <w:tcW w:w="612" w:type="dxa"/>
          </w:tcPr>
          <w:p>
            <w:pPr>
              <w:pStyle w:val="TableParagraph"/>
              <w:spacing w:before="30"/>
              <w:ind w:right="63"/>
              <w:rPr>
                <w:sz w:val="22"/>
              </w:rPr>
            </w:pPr>
            <w:r>
              <w:rPr>
                <w:sz w:val="22"/>
              </w:rPr>
              <w:t>6.85</w:t>
            </w:r>
          </w:p>
        </w:tc>
        <w:tc>
          <w:tcPr>
            <w:tcW w:w="1188" w:type="dxa"/>
          </w:tcPr>
          <w:p>
            <w:pPr>
              <w:pStyle w:val="TableParagraph"/>
              <w:spacing w:before="30"/>
              <w:ind w:right="59"/>
              <w:rPr>
                <w:sz w:val="22"/>
              </w:rPr>
            </w:pPr>
            <w:r>
              <w:rPr>
                <w:sz w:val="22"/>
              </w:rPr>
              <w:t>6.82</w:t>
            </w:r>
          </w:p>
        </w:tc>
        <w:tc>
          <w:tcPr>
            <w:tcW w:w="1190" w:type="dxa"/>
          </w:tcPr>
          <w:p>
            <w:pPr>
              <w:pStyle w:val="TableParagraph"/>
              <w:spacing w:before="30"/>
              <w:rPr>
                <w:sz w:val="22"/>
              </w:rPr>
            </w:pPr>
            <w:r>
              <w:rPr>
                <w:sz w:val="22"/>
              </w:rPr>
              <w:t>6.91</w:t>
            </w:r>
          </w:p>
        </w:tc>
        <w:tc>
          <w:tcPr>
            <w:tcW w:w="1190" w:type="dxa"/>
          </w:tcPr>
          <w:p>
            <w:pPr>
              <w:pStyle w:val="TableParagraph"/>
              <w:spacing w:before="30"/>
              <w:rPr>
                <w:sz w:val="22"/>
              </w:rPr>
            </w:pPr>
            <w:r>
              <w:rPr>
                <w:sz w:val="22"/>
              </w:rPr>
              <w:t>6.21</w:t>
            </w:r>
          </w:p>
        </w:tc>
      </w:tr>
      <w:tr>
        <w:trPr>
          <w:trHeight w:val="312" w:hRule="exact"/>
        </w:trPr>
        <w:tc>
          <w:tcPr>
            <w:tcW w:w="660" w:type="dxa"/>
          </w:tcPr>
          <w:p>
            <w:pPr>
              <w:pStyle w:val="TableParagraph"/>
              <w:spacing w:before="30"/>
              <w:ind w:right="63"/>
              <w:rPr>
                <w:sz w:val="22"/>
              </w:rPr>
            </w:pPr>
            <w:r>
              <w:rPr>
                <w:sz w:val="22"/>
              </w:rPr>
              <w:t>109</w:t>
            </w:r>
          </w:p>
        </w:tc>
        <w:tc>
          <w:tcPr>
            <w:tcW w:w="1687" w:type="dxa"/>
          </w:tcPr>
          <w:p>
            <w:pPr>
              <w:pStyle w:val="TableParagraph"/>
              <w:spacing w:before="30"/>
              <w:rPr>
                <w:sz w:val="22"/>
              </w:rPr>
            </w:pPr>
            <w:r>
              <w:rPr>
                <w:sz w:val="22"/>
              </w:rPr>
              <w:t>06/10/2009</w:t>
            </w:r>
          </w:p>
        </w:tc>
        <w:tc>
          <w:tcPr>
            <w:tcW w:w="1265" w:type="dxa"/>
          </w:tcPr>
          <w:p>
            <w:pPr>
              <w:pStyle w:val="TableParagraph"/>
              <w:spacing w:before="30"/>
              <w:ind w:right="63"/>
              <w:rPr>
                <w:sz w:val="22"/>
              </w:rPr>
            </w:pPr>
            <w:r>
              <w:rPr>
                <w:sz w:val="22"/>
              </w:rPr>
              <w:t>6.45</w:t>
            </w:r>
          </w:p>
        </w:tc>
        <w:tc>
          <w:tcPr>
            <w:tcW w:w="1188" w:type="dxa"/>
          </w:tcPr>
          <w:p>
            <w:pPr>
              <w:pStyle w:val="TableParagraph"/>
              <w:spacing w:before="30"/>
              <w:ind w:right="59"/>
              <w:rPr>
                <w:sz w:val="22"/>
              </w:rPr>
            </w:pPr>
            <w:r>
              <w:rPr>
                <w:sz w:val="22"/>
              </w:rPr>
              <w:t>6.89</w:t>
            </w:r>
          </w:p>
        </w:tc>
        <w:tc>
          <w:tcPr>
            <w:tcW w:w="612" w:type="dxa"/>
          </w:tcPr>
          <w:p>
            <w:pPr>
              <w:pStyle w:val="TableParagraph"/>
              <w:spacing w:before="30"/>
              <w:ind w:right="63"/>
              <w:rPr>
                <w:sz w:val="22"/>
              </w:rPr>
            </w:pPr>
            <w:r>
              <w:rPr>
                <w:sz w:val="22"/>
              </w:rPr>
              <w:t>6.71</w:t>
            </w:r>
          </w:p>
        </w:tc>
        <w:tc>
          <w:tcPr>
            <w:tcW w:w="1188" w:type="dxa"/>
          </w:tcPr>
          <w:p>
            <w:pPr>
              <w:pStyle w:val="TableParagraph"/>
              <w:spacing w:before="30"/>
              <w:ind w:right="59"/>
              <w:rPr>
                <w:sz w:val="22"/>
              </w:rPr>
            </w:pPr>
            <w:r>
              <w:rPr>
                <w:sz w:val="22"/>
              </w:rPr>
              <w:t>6.71</w:t>
            </w:r>
          </w:p>
        </w:tc>
        <w:tc>
          <w:tcPr>
            <w:tcW w:w="1190" w:type="dxa"/>
          </w:tcPr>
          <w:p>
            <w:pPr>
              <w:pStyle w:val="TableParagraph"/>
              <w:spacing w:before="30"/>
              <w:rPr>
                <w:sz w:val="22"/>
              </w:rPr>
            </w:pPr>
            <w:r>
              <w:rPr>
                <w:sz w:val="22"/>
              </w:rPr>
              <w:t>6.53</w:t>
            </w:r>
          </w:p>
        </w:tc>
        <w:tc>
          <w:tcPr>
            <w:tcW w:w="1190" w:type="dxa"/>
          </w:tcPr>
          <w:p>
            <w:pPr>
              <w:pStyle w:val="TableParagraph"/>
              <w:spacing w:before="30"/>
              <w:rPr>
                <w:sz w:val="22"/>
              </w:rPr>
            </w:pPr>
            <w:r>
              <w:rPr>
                <w:sz w:val="22"/>
              </w:rPr>
              <w:t>7.07</w:t>
            </w:r>
          </w:p>
        </w:tc>
      </w:tr>
      <w:tr>
        <w:trPr>
          <w:trHeight w:val="310" w:hRule="exact"/>
        </w:trPr>
        <w:tc>
          <w:tcPr>
            <w:tcW w:w="660" w:type="dxa"/>
          </w:tcPr>
          <w:p>
            <w:pPr>
              <w:pStyle w:val="TableParagraph"/>
              <w:ind w:right="63"/>
              <w:rPr>
                <w:sz w:val="22"/>
              </w:rPr>
            </w:pPr>
            <w:r>
              <w:rPr>
                <w:sz w:val="22"/>
              </w:rPr>
              <w:t>110</w:t>
            </w:r>
          </w:p>
        </w:tc>
        <w:tc>
          <w:tcPr>
            <w:tcW w:w="1687" w:type="dxa"/>
          </w:tcPr>
          <w:p>
            <w:pPr>
              <w:pStyle w:val="TableParagraph"/>
              <w:rPr>
                <w:sz w:val="22"/>
              </w:rPr>
            </w:pPr>
            <w:r>
              <w:rPr>
                <w:sz w:val="22"/>
              </w:rPr>
              <w:t>07/10/2009</w:t>
            </w:r>
          </w:p>
        </w:tc>
        <w:tc>
          <w:tcPr>
            <w:tcW w:w="1265" w:type="dxa"/>
          </w:tcPr>
          <w:p>
            <w:pPr>
              <w:pStyle w:val="TableParagraph"/>
              <w:ind w:right="63"/>
              <w:rPr>
                <w:sz w:val="22"/>
              </w:rPr>
            </w:pPr>
            <w:r>
              <w:rPr>
                <w:sz w:val="22"/>
              </w:rPr>
              <w:t>6.33</w:t>
            </w:r>
          </w:p>
        </w:tc>
        <w:tc>
          <w:tcPr>
            <w:tcW w:w="1188" w:type="dxa"/>
          </w:tcPr>
          <w:p>
            <w:pPr>
              <w:pStyle w:val="TableParagraph"/>
              <w:ind w:right="59"/>
              <w:rPr>
                <w:sz w:val="22"/>
              </w:rPr>
            </w:pPr>
            <w:r>
              <w:rPr>
                <w:sz w:val="22"/>
              </w:rPr>
              <w:t>6.68</w:t>
            </w:r>
          </w:p>
        </w:tc>
        <w:tc>
          <w:tcPr>
            <w:tcW w:w="612" w:type="dxa"/>
          </w:tcPr>
          <w:p>
            <w:pPr>
              <w:pStyle w:val="TableParagraph"/>
              <w:ind w:right="63"/>
              <w:rPr>
                <w:sz w:val="22"/>
              </w:rPr>
            </w:pPr>
            <w:r>
              <w:rPr>
                <w:sz w:val="22"/>
              </w:rPr>
              <w:t>6.64</w:t>
            </w:r>
          </w:p>
        </w:tc>
        <w:tc>
          <w:tcPr>
            <w:tcW w:w="1188" w:type="dxa"/>
          </w:tcPr>
          <w:p>
            <w:pPr>
              <w:pStyle w:val="TableParagraph"/>
              <w:ind w:right="59"/>
              <w:rPr>
                <w:sz w:val="22"/>
              </w:rPr>
            </w:pPr>
            <w:r>
              <w:rPr>
                <w:sz w:val="22"/>
              </w:rPr>
              <w:t>6.46</w:t>
            </w:r>
          </w:p>
        </w:tc>
        <w:tc>
          <w:tcPr>
            <w:tcW w:w="1190" w:type="dxa"/>
          </w:tcPr>
          <w:p>
            <w:pPr>
              <w:pStyle w:val="TableParagraph"/>
              <w:rPr>
                <w:sz w:val="22"/>
              </w:rPr>
            </w:pPr>
            <w:r>
              <w:rPr>
                <w:sz w:val="22"/>
              </w:rPr>
              <w:t>6.53</w:t>
            </w:r>
          </w:p>
        </w:tc>
        <w:tc>
          <w:tcPr>
            <w:tcW w:w="1190" w:type="dxa"/>
          </w:tcPr>
          <w:p>
            <w:pPr>
              <w:pStyle w:val="TableParagraph"/>
              <w:rPr>
                <w:sz w:val="22"/>
              </w:rPr>
            </w:pPr>
            <w:r>
              <w:rPr>
                <w:sz w:val="22"/>
              </w:rPr>
              <w:t>6.6</w:t>
            </w:r>
          </w:p>
        </w:tc>
      </w:tr>
      <w:tr>
        <w:trPr>
          <w:trHeight w:val="310" w:hRule="exact"/>
        </w:trPr>
        <w:tc>
          <w:tcPr>
            <w:tcW w:w="660" w:type="dxa"/>
          </w:tcPr>
          <w:p>
            <w:pPr>
              <w:pStyle w:val="TableParagraph"/>
              <w:ind w:right="63"/>
              <w:rPr>
                <w:sz w:val="22"/>
              </w:rPr>
            </w:pPr>
            <w:r>
              <w:rPr>
                <w:sz w:val="22"/>
              </w:rPr>
              <w:t>111</w:t>
            </w:r>
          </w:p>
        </w:tc>
        <w:tc>
          <w:tcPr>
            <w:tcW w:w="1687" w:type="dxa"/>
          </w:tcPr>
          <w:p>
            <w:pPr>
              <w:pStyle w:val="TableParagraph"/>
              <w:rPr>
                <w:sz w:val="22"/>
              </w:rPr>
            </w:pPr>
            <w:r>
              <w:rPr>
                <w:sz w:val="22"/>
              </w:rPr>
              <w:t>08/10/2009</w:t>
            </w:r>
          </w:p>
        </w:tc>
        <w:tc>
          <w:tcPr>
            <w:tcW w:w="1265" w:type="dxa"/>
          </w:tcPr>
          <w:p>
            <w:pPr>
              <w:pStyle w:val="TableParagraph"/>
              <w:ind w:right="63"/>
              <w:rPr>
                <w:sz w:val="22"/>
              </w:rPr>
            </w:pPr>
            <w:r>
              <w:rPr>
                <w:sz w:val="22"/>
              </w:rPr>
              <w:t>6.07</w:t>
            </w:r>
          </w:p>
        </w:tc>
        <w:tc>
          <w:tcPr>
            <w:tcW w:w="1188" w:type="dxa"/>
          </w:tcPr>
          <w:p>
            <w:pPr>
              <w:pStyle w:val="TableParagraph"/>
              <w:ind w:right="59"/>
              <w:rPr>
                <w:sz w:val="22"/>
              </w:rPr>
            </w:pPr>
            <w:r>
              <w:rPr>
                <w:sz w:val="22"/>
              </w:rPr>
              <w:t>6.34</w:t>
            </w:r>
          </w:p>
        </w:tc>
        <w:tc>
          <w:tcPr>
            <w:tcW w:w="612" w:type="dxa"/>
          </w:tcPr>
          <w:p>
            <w:pPr>
              <w:pStyle w:val="TableParagraph"/>
              <w:ind w:right="63"/>
              <w:rPr>
                <w:sz w:val="22"/>
              </w:rPr>
            </w:pPr>
            <w:r>
              <w:rPr>
                <w:sz w:val="22"/>
              </w:rPr>
              <w:t>6.16</w:t>
            </w:r>
          </w:p>
        </w:tc>
        <w:tc>
          <w:tcPr>
            <w:tcW w:w="1188" w:type="dxa"/>
          </w:tcPr>
          <w:p>
            <w:pPr>
              <w:pStyle w:val="TableParagraph"/>
              <w:ind w:right="59"/>
              <w:rPr>
                <w:sz w:val="22"/>
              </w:rPr>
            </w:pPr>
            <w:r>
              <w:rPr>
                <w:sz w:val="22"/>
              </w:rPr>
              <w:t>6.19</w:t>
            </w:r>
          </w:p>
        </w:tc>
        <w:tc>
          <w:tcPr>
            <w:tcW w:w="1190" w:type="dxa"/>
          </w:tcPr>
          <w:p>
            <w:pPr>
              <w:pStyle w:val="TableParagraph"/>
              <w:rPr>
                <w:sz w:val="22"/>
              </w:rPr>
            </w:pPr>
            <w:r>
              <w:rPr>
                <w:sz w:val="22"/>
              </w:rPr>
              <w:t>6.34</w:t>
            </w:r>
          </w:p>
        </w:tc>
        <w:tc>
          <w:tcPr>
            <w:tcW w:w="1190" w:type="dxa"/>
          </w:tcPr>
          <w:p>
            <w:pPr>
              <w:pStyle w:val="TableParagraph"/>
              <w:rPr>
                <w:sz w:val="22"/>
              </w:rPr>
            </w:pPr>
            <w:r>
              <w:rPr>
                <w:sz w:val="22"/>
              </w:rPr>
              <w:t>6.41</w:t>
            </w:r>
          </w:p>
        </w:tc>
      </w:tr>
      <w:tr>
        <w:trPr>
          <w:trHeight w:val="310" w:hRule="exact"/>
        </w:trPr>
        <w:tc>
          <w:tcPr>
            <w:tcW w:w="660" w:type="dxa"/>
          </w:tcPr>
          <w:p>
            <w:pPr>
              <w:pStyle w:val="TableParagraph"/>
              <w:ind w:right="63"/>
              <w:rPr>
                <w:sz w:val="22"/>
              </w:rPr>
            </w:pPr>
            <w:r>
              <w:rPr>
                <w:sz w:val="22"/>
              </w:rPr>
              <w:t>112</w:t>
            </w:r>
          </w:p>
        </w:tc>
        <w:tc>
          <w:tcPr>
            <w:tcW w:w="1687" w:type="dxa"/>
          </w:tcPr>
          <w:p>
            <w:pPr>
              <w:pStyle w:val="TableParagraph"/>
              <w:rPr>
                <w:sz w:val="22"/>
              </w:rPr>
            </w:pPr>
            <w:r>
              <w:rPr>
                <w:sz w:val="22"/>
              </w:rPr>
              <w:t>09/10/2009</w:t>
            </w:r>
          </w:p>
        </w:tc>
        <w:tc>
          <w:tcPr>
            <w:tcW w:w="1265" w:type="dxa"/>
          </w:tcPr>
          <w:p>
            <w:pPr>
              <w:pStyle w:val="TableParagraph"/>
              <w:ind w:right="63"/>
              <w:rPr>
                <w:sz w:val="22"/>
              </w:rPr>
            </w:pPr>
            <w:r>
              <w:rPr>
                <w:sz w:val="22"/>
              </w:rPr>
              <w:t>7.12</w:t>
            </w:r>
          </w:p>
        </w:tc>
        <w:tc>
          <w:tcPr>
            <w:tcW w:w="1188" w:type="dxa"/>
          </w:tcPr>
          <w:p>
            <w:pPr>
              <w:pStyle w:val="TableParagraph"/>
              <w:ind w:right="59"/>
              <w:rPr>
                <w:sz w:val="22"/>
              </w:rPr>
            </w:pPr>
            <w:r>
              <w:rPr>
                <w:sz w:val="22"/>
              </w:rPr>
              <w:t>6.68</w:t>
            </w:r>
          </w:p>
        </w:tc>
        <w:tc>
          <w:tcPr>
            <w:tcW w:w="612" w:type="dxa"/>
          </w:tcPr>
          <w:p>
            <w:pPr>
              <w:pStyle w:val="TableParagraph"/>
              <w:ind w:right="63"/>
              <w:rPr>
                <w:sz w:val="22"/>
              </w:rPr>
            </w:pPr>
            <w:r>
              <w:rPr>
                <w:sz w:val="22"/>
              </w:rPr>
              <w:t>7.01</w:t>
            </w:r>
          </w:p>
        </w:tc>
        <w:tc>
          <w:tcPr>
            <w:tcW w:w="1188" w:type="dxa"/>
          </w:tcPr>
          <w:p>
            <w:pPr>
              <w:pStyle w:val="TableParagraph"/>
              <w:ind w:right="59"/>
              <w:rPr>
                <w:sz w:val="22"/>
              </w:rPr>
            </w:pPr>
            <w:r>
              <w:rPr>
                <w:sz w:val="22"/>
              </w:rPr>
              <w:t>6.28</w:t>
            </w:r>
          </w:p>
        </w:tc>
        <w:tc>
          <w:tcPr>
            <w:tcW w:w="1190" w:type="dxa"/>
          </w:tcPr>
          <w:p>
            <w:pPr>
              <w:pStyle w:val="TableParagraph"/>
              <w:rPr>
                <w:sz w:val="22"/>
              </w:rPr>
            </w:pPr>
            <w:r>
              <w:rPr>
                <w:sz w:val="22"/>
              </w:rPr>
              <w:t>6.61</w:t>
            </w:r>
          </w:p>
        </w:tc>
        <w:tc>
          <w:tcPr>
            <w:tcW w:w="1190" w:type="dxa"/>
          </w:tcPr>
          <w:p>
            <w:pPr>
              <w:pStyle w:val="TableParagraph"/>
              <w:rPr>
                <w:sz w:val="22"/>
              </w:rPr>
            </w:pPr>
            <w:r>
              <w:rPr>
                <w:sz w:val="22"/>
              </w:rPr>
              <w:t>6.54</w:t>
            </w:r>
          </w:p>
        </w:tc>
      </w:tr>
      <w:tr>
        <w:trPr>
          <w:trHeight w:val="310" w:hRule="exact"/>
        </w:trPr>
        <w:tc>
          <w:tcPr>
            <w:tcW w:w="660" w:type="dxa"/>
          </w:tcPr>
          <w:p>
            <w:pPr>
              <w:pStyle w:val="TableParagraph"/>
              <w:ind w:right="63"/>
              <w:rPr>
                <w:sz w:val="22"/>
              </w:rPr>
            </w:pPr>
            <w:r>
              <w:rPr>
                <w:sz w:val="22"/>
              </w:rPr>
              <w:t>113</w:t>
            </w:r>
          </w:p>
        </w:tc>
        <w:tc>
          <w:tcPr>
            <w:tcW w:w="1687" w:type="dxa"/>
          </w:tcPr>
          <w:p>
            <w:pPr>
              <w:pStyle w:val="TableParagraph"/>
              <w:rPr>
                <w:sz w:val="22"/>
              </w:rPr>
            </w:pPr>
            <w:r>
              <w:rPr>
                <w:sz w:val="22"/>
              </w:rPr>
              <w:t>10/10/2009</w:t>
            </w:r>
          </w:p>
        </w:tc>
        <w:tc>
          <w:tcPr>
            <w:tcW w:w="1265" w:type="dxa"/>
          </w:tcPr>
          <w:p>
            <w:pPr>
              <w:pStyle w:val="TableParagraph"/>
              <w:ind w:right="63"/>
              <w:rPr>
                <w:sz w:val="22"/>
              </w:rPr>
            </w:pPr>
            <w:r>
              <w:rPr>
                <w:sz w:val="22"/>
              </w:rPr>
              <w:t>7.09</w:t>
            </w:r>
          </w:p>
        </w:tc>
        <w:tc>
          <w:tcPr>
            <w:tcW w:w="1188" w:type="dxa"/>
          </w:tcPr>
          <w:p>
            <w:pPr>
              <w:pStyle w:val="TableParagraph"/>
              <w:ind w:right="59"/>
              <w:rPr>
                <w:sz w:val="22"/>
              </w:rPr>
            </w:pPr>
            <w:r>
              <w:rPr>
                <w:sz w:val="22"/>
              </w:rPr>
              <w:t>7.42</w:t>
            </w:r>
          </w:p>
        </w:tc>
        <w:tc>
          <w:tcPr>
            <w:tcW w:w="612" w:type="dxa"/>
          </w:tcPr>
          <w:p>
            <w:pPr>
              <w:pStyle w:val="TableParagraph"/>
              <w:ind w:right="63"/>
              <w:rPr>
                <w:sz w:val="22"/>
              </w:rPr>
            </w:pPr>
            <w:r>
              <w:rPr>
                <w:sz w:val="22"/>
              </w:rPr>
              <w:t>7.38</w:t>
            </w:r>
          </w:p>
        </w:tc>
        <w:tc>
          <w:tcPr>
            <w:tcW w:w="1188" w:type="dxa"/>
          </w:tcPr>
          <w:p>
            <w:pPr>
              <w:pStyle w:val="TableParagraph"/>
              <w:ind w:right="59"/>
              <w:rPr>
                <w:sz w:val="22"/>
              </w:rPr>
            </w:pPr>
            <w:r>
              <w:rPr>
                <w:sz w:val="22"/>
              </w:rPr>
              <w:t>7.19</w:t>
            </w:r>
          </w:p>
        </w:tc>
        <w:tc>
          <w:tcPr>
            <w:tcW w:w="1190" w:type="dxa"/>
          </w:tcPr>
          <w:p>
            <w:pPr>
              <w:pStyle w:val="TableParagraph"/>
              <w:rPr>
                <w:sz w:val="22"/>
              </w:rPr>
            </w:pPr>
            <w:r>
              <w:rPr>
                <w:sz w:val="22"/>
              </w:rPr>
              <w:t>7.43</w:t>
            </w:r>
          </w:p>
        </w:tc>
        <w:tc>
          <w:tcPr>
            <w:tcW w:w="1190" w:type="dxa"/>
          </w:tcPr>
          <w:p>
            <w:pPr>
              <w:pStyle w:val="TableParagraph"/>
              <w:rPr>
                <w:sz w:val="22"/>
              </w:rPr>
            </w:pPr>
            <w:r>
              <w:rPr>
                <w:sz w:val="22"/>
              </w:rPr>
              <w:t>6.31</w:t>
            </w:r>
          </w:p>
        </w:tc>
      </w:tr>
      <w:tr>
        <w:trPr>
          <w:trHeight w:val="310" w:hRule="exact"/>
        </w:trPr>
        <w:tc>
          <w:tcPr>
            <w:tcW w:w="660" w:type="dxa"/>
          </w:tcPr>
          <w:p>
            <w:pPr>
              <w:pStyle w:val="TableParagraph"/>
              <w:spacing w:before="30"/>
              <w:ind w:right="63"/>
              <w:rPr>
                <w:sz w:val="22"/>
              </w:rPr>
            </w:pPr>
            <w:r>
              <w:rPr>
                <w:sz w:val="22"/>
              </w:rPr>
              <w:t>114</w:t>
            </w:r>
          </w:p>
        </w:tc>
        <w:tc>
          <w:tcPr>
            <w:tcW w:w="1687" w:type="dxa"/>
          </w:tcPr>
          <w:p>
            <w:pPr>
              <w:pStyle w:val="TableParagraph"/>
              <w:spacing w:before="30"/>
              <w:rPr>
                <w:sz w:val="22"/>
              </w:rPr>
            </w:pPr>
            <w:r>
              <w:rPr>
                <w:sz w:val="22"/>
              </w:rPr>
              <w:t>11/10/2009</w:t>
            </w:r>
          </w:p>
        </w:tc>
        <w:tc>
          <w:tcPr>
            <w:tcW w:w="1265" w:type="dxa"/>
          </w:tcPr>
          <w:p>
            <w:pPr>
              <w:pStyle w:val="TableParagraph"/>
              <w:spacing w:before="30"/>
              <w:ind w:right="63"/>
              <w:rPr>
                <w:sz w:val="22"/>
              </w:rPr>
            </w:pPr>
            <w:r>
              <w:rPr>
                <w:sz w:val="22"/>
              </w:rPr>
              <w:t>6.89</w:t>
            </w:r>
          </w:p>
        </w:tc>
        <w:tc>
          <w:tcPr>
            <w:tcW w:w="1188" w:type="dxa"/>
          </w:tcPr>
          <w:p>
            <w:pPr>
              <w:pStyle w:val="TableParagraph"/>
              <w:spacing w:before="30"/>
              <w:ind w:right="59"/>
              <w:rPr>
                <w:sz w:val="22"/>
              </w:rPr>
            </w:pPr>
            <w:r>
              <w:rPr>
                <w:sz w:val="22"/>
              </w:rPr>
              <w:t>6.96</w:t>
            </w:r>
          </w:p>
        </w:tc>
        <w:tc>
          <w:tcPr>
            <w:tcW w:w="612" w:type="dxa"/>
          </w:tcPr>
          <w:p>
            <w:pPr>
              <w:pStyle w:val="TableParagraph"/>
              <w:spacing w:before="30"/>
              <w:ind w:right="63"/>
              <w:rPr>
                <w:sz w:val="22"/>
              </w:rPr>
            </w:pPr>
            <w:r>
              <w:rPr>
                <w:sz w:val="22"/>
              </w:rPr>
              <w:t>7.1</w:t>
            </w:r>
          </w:p>
        </w:tc>
        <w:tc>
          <w:tcPr>
            <w:tcW w:w="1188" w:type="dxa"/>
          </w:tcPr>
          <w:p>
            <w:pPr>
              <w:pStyle w:val="TableParagraph"/>
              <w:spacing w:before="30"/>
              <w:ind w:right="59"/>
              <w:rPr>
                <w:sz w:val="22"/>
              </w:rPr>
            </w:pPr>
            <w:r>
              <w:rPr>
                <w:sz w:val="22"/>
              </w:rPr>
              <w:t>6.97</w:t>
            </w:r>
          </w:p>
        </w:tc>
        <w:tc>
          <w:tcPr>
            <w:tcW w:w="1190" w:type="dxa"/>
          </w:tcPr>
          <w:p>
            <w:pPr>
              <w:pStyle w:val="TableParagraph"/>
              <w:spacing w:before="30"/>
              <w:rPr>
                <w:sz w:val="22"/>
              </w:rPr>
            </w:pPr>
            <w:r>
              <w:rPr>
                <w:sz w:val="22"/>
              </w:rPr>
              <w:t>6.7</w:t>
            </w:r>
          </w:p>
        </w:tc>
        <w:tc>
          <w:tcPr>
            <w:tcW w:w="1190" w:type="dxa"/>
          </w:tcPr>
          <w:p>
            <w:pPr>
              <w:pStyle w:val="TableParagraph"/>
              <w:spacing w:before="30"/>
              <w:rPr>
                <w:sz w:val="22"/>
              </w:rPr>
            </w:pPr>
            <w:r>
              <w:rPr>
                <w:sz w:val="22"/>
              </w:rPr>
              <w:t>7.18</w:t>
            </w:r>
          </w:p>
        </w:tc>
      </w:tr>
      <w:tr>
        <w:trPr>
          <w:trHeight w:val="312" w:hRule="exact"/>
        </w:trPr>
        <w:tc>
          <w:tcPr>
            <w:tcW w:w="660" w:type="dxa"/>
          </w:tcPr>
          <w:p>
            <w:pPr>
              <w:pStyle w:val="TableParagraph"/>
              <w:spacing w:before="30"/>
              <w:ind w:right="63"/>
              <w:rPr>
                <w:sz w:val="22"/>
              </w:rPr>
            </w:pPr>
            <w:r>
              <w:rPr>
                <w:sz w:val="22"/>
              </w:rPr>
              <w:t>115</w:t>
            </w:r>
          </w:p>
        </w:tc>
        <w:tc>
          <w:tcPr>
            <w:tcW w:w="1687" w:type="dxa"/>
          </w:tcPr>
          <w:p>
            <w:pPr>
              <w:pStyle w:val="TableParagraph"/>
              <w:spacing w:before="30"/>
              <w:rPr>
                <w:sz w:val="22"/>
              </w:rPr>
            </w:pPr>
            <w:r>
              <w:rPr>
                <w:sz w:val="22"/>
              </w:rPr>
              <w:t>12/10/2009</w:t>
            </w:r>
          </w:p>
        </w:tc>
        <w:tc>
          <w:tcPr>
            <w:tcW w:w="1265" w:type="dxa"/>
          </w:tcPr>
          <w:p>
            <w:pPr>
              <w:pStyle w:val="TableParagraph"/>
              <w:spacing w:before="30"/>
              <w:ind w:right="63"/>
              <w:rPr>
                <w:sz w:val="22"/>
              </w:rPr>
            </w:pPr>
            <w:r>
              <w:rPr>
                <w:sz w:val="22"/>
              </w:rPr>
              <w:t>7.01</w:t>
            </w:r>
          </w:p>
        </w:tc>
        <w:tc>
          <w:tcPr>
            <w:tcW w:w="1188" w:type="dxa"/>
          </w:tcPr>
          <w:p>
            <w:pPr>
              <w:pStyle w:val="TableParagraph"/>
              <w:spacing w:before="30"/>
              <w:ind w:right="59"/>
              <w:rPr>
                <w:sz w:val="22"/>
              </w:rPr>
            </w:pPr>
            <w:r>
              <w:rPr>
                <w:sz w:val="22"/>
              </w:rPr>
              <w:t>7.09</w:t>
            </w:r>
          </w:p>
        </w:tc>
        <w:tc>
          <w:tcPr>
            <w:tcW w:w="612" w:type="dxa"/>
          </w:tcPr>
          <w:p>
            <w:pPr>
              <w:pStyle w:val="TableParagraph"/>
              <w:spacing w:before="30"/>
              <w:ind w:right="63"/>
              <w:rPr>
                <w:sz w:val="22"/>
              </w:rPr>
            </w:pPr>
            <w:r>
              <w:rPr>
                <w:sz w:val="22"/>
              </w:rPr>
              <w:t>7.14</w:t>
            </w:r>
          </w:p>
        </w:tc>
        <w:tc>
          <w:tcPr>
            <w:tcW w:w="1188" w:type="dxa"/>
          </w:tcPr>
          <w:p>
            <w:pPr>
              <w:pStyle w:val="TableParagraph"/>
              <w:spacing w:before="30"/>
              <w:ind w:right="59"/>
              <w:rPr>
                <w:sz w:val="22"/>
              </w:rPr>
            </w:pPr>
            <w:r>
              <w:rPr>
                <w:sz w:val="22"/>
              </w:rPr>
              <w:t>7.04</w:t>
            </w:r>
          </w:p>
        </w:tc>
        <w:tc>
          <w:tcPr>
            <w:tcW w:w="1190" w:type="dxa"/>
          </w:tcPr>
          <w:p>
            <w:pPr>
              <w:pStyle w:val="TableParagraph"/>
              <w:spacing w:before="30"/>
              <w:rPr>
                <w:sz w:val="22"/>
              </w:rPr>
            </w:pPr>
            <w:r>
              <w:rPr>
                <w:sz w:val="22"/>
              </w:rPr>
              <w:t>7.06</w:t>
            </w:r>
          </w:p>
        </w:tc>
        <w:tc>
          <w:tcPr>
            <w:tcW w:w="1190" w:type="dxa"/>
          </w:tcPr>
          <w:p>
            <w:pPr>
              <w:pStyle w:val="TableParagraph"/>
              <w:spacing w:before="30"/>
              <w:rPr>
                <w:sz w:val="22"/>
              </w:rPr>
            </w:pPr>
            <w:r>
              <w:rPr>
                <w:sz w:val="22"/>
              </w:rPr>
              <w:t>7.15</w:t>
            </w:r>
          </w:p>
        </w:tc>
      </w:tr>
      <w:tr>
        <w:trPr>
          <w:trHeight w:val="310" w:hRule="exact"/>
        </w:trPr>
        <w:tc>
          <w:tcPr>
            <w:tcW w:w="660" w:type="dxa"/>
          </w:tcPr>
          <w:p>
            <w:pPr>
              <w:pStyle w:val="TableParagraph"/>
              <w:ind w:right="63"/>
              <w:rPr>
                <w:sz w:val="22"/>
              </w:rPr>
            </w:pPr>
            <w:r>
              <w:rPr>
                <w:sz w:val="22"/>
              </w:rPr>
              <w:t>116</w:t>
            </w:r>
          </w:p>
        </w:tc>
        <w:tc>
          <w:tcPr>
            <w:tcW w:w="1687" w:type="dxa"/>
          </w:tcPr>
          <w:p>
            <w:pPr>
              <w:pStyle w:val="TableParagraph"/>
              <w:rPr>
                <w:sz w:val="22"/>
              </w:rPr>
            </w:pPr>
            <w:r>
              <w:rPr>
                <w:sz w:val="22"/>
              </w:rPr>
              <w:t>13/10/2009</w:t>
            </w:r>
          </w:p>
        </w:tc>
        <w:tc>
          <w:tcPr>
            <w:tcW w:w="1265" w:type="dxa"/>
          </w:tcPr>
          <w:p>
            <w:pPr>
              <w:pStyle w:val="TableParagraph"/>
              <w:ind w:right="63"/>
              <w:rPr>
                <w:sz w:val="22"/>
              </w:rPr>
            </w:pPr>
            <w:r>
              <w:rPr>
                <w:sz w:val="22"/>
              </w:rPr>
              <w:t>7.12</w:t>
            </w:r>
          </w:p>
        </w:tc>
        <w:tc>
          <w:tcPr>
            <w:tcW w:w="1188" w:type="dxa"/>
          </w:tcPr>
          <w:p>
            <w:pPr>
              <w:pStyle w:val="TableParagraph"/>
              <w:ind w:right="59"/>
              <w:rPr>
                <w:sz w:val="22"/>
              </w:rPr>
            </w:pPr>
            <w:r>
              <w:rPr>
                <w:sz w:val="22"/>
              </w:rPr>
              <w:t>7.13</w:t>
            </w:r>
          </w:p>
        </w:tc>
        <w:tc>
          <w:tcPr>
            <w:tcW w:w="612" w:type="dxa"/>
          </w:tcPr>
          <w:p>
            <w:pPr>
              <w:pStyle w:val="TableParagraph"/>
              <w:ind w:right="63"/>
              <w:rPr>
                <w:sz w:val="22"/>
              </w:rPr>
            </w:pPr>
            <w:r>
              <w:rPr>
                <w:sz w:val="22"/>
              </w:rPr>
              <w:t>7.15</w:t>
            </w:r>
          </w:p>
        </w:tc>
        <w:tc>
          <w:tcPr>
            <w:tcW w:w="1188" w:type="dxa"/>
          </w:tcPr>
          <w:p>
            <w:pPr>
              <w:pStyle w:val="TableParagraph"/>
              <w:ind w:right="59"/>
              <w:rPr>
                <w:sz w:val="22"/>
              </w:rPr>
            </w:pPr>
            <w:r>
              <w:rPr>
                <w:sz w:val="22"/>
              </w:rPr>
              <w:t>7.08</w:t>
            </w:r>
          </w:p>
        </w:tc>
        <w:tc>
          <w:tcPr>
            <w:tcW w:w="1190" w:type="dxa"/>
          </w:tcPr>
          <w:p>
            <w:pPr>
              <w:pStyle w:val="TableParagraph"/>
              <w:rPr>
                <w:sz w:val="22"/>
              </w:rPr>
            </w:pPr>
            <w:r>
              <w:rPr>
                <w:sz w:val="22"/>
              </w:rPr>
              <w:t>7.04</w:t>
            </w:r>
          </w:p>
        </w:tc>
        <w:tc>
          <w:tcPr>
            <w:tcW w:w="1190" w:type="dxa"/>
          </w:tcPr>
          <w:p>
            <w:pPr>
              <w:pStyle w:val="TableParagraph"/>
              <w:rPr>
                <w:sz w:val="22"/>
              </w:rPr>
            </w:pPr>
            <w:r>
              <w:rPr>
                <w:sz w:val="22"/>
              </w:rPr>
              <w:t>7.18</w:t>
            </w:r>
          </w:p>
        </w:tc>
      </w:tr>
      <w:tr>
        <w:trPr>
          <w:trHeight w:val="310" w:hRule="exact"/>
        </w:trPr>
        <w:tc>
          <w:tcPr>
            <w:tcW w:w="660" w:type="dxa"/>
          </w:tcPr>
          <w:p>
            <w:pPr>
              <w:pStyle w:val="TableParagraph"/>
              <w:ind w:right="63"/>
              <w:rPr>
                <w:sz w:val="22"/>
              </w:rPr>
            </w:pPr>
            <w:r>
              <w:rPr>
                <w:sz w:val="22"/>
              </w:rPr>
              <w:t>117</w:t>
            </w:r>
          </w:p>
        </w:tc>
        <w:tc>
          <w:tcPr>
            <w:tcW w:w="1687" w:type="dxa"/>
          </w:tcPr>
          <w:p>
            <w:pPr>
              <w:pStyle w:val="TableParagraph"/>
              <w:rPr>
                <w:sz w:val="22"/>
              </w:rPr>
            </w:pPr>
            <w:r>
              <w:rPr>
                <w:sz w:val="22"/>
              </w:rPr>
              <w:t>14/10/2009</w:t>
            </w:r>
          </w:p>
        </w:tc>
        <w:tc>
          <w:tcPr>
            <w:tcW w:w="1265" w:type="dxa"/>
          </w:tcPr>
          <w:p>
            <w:pPr>
              <w:pStyle w:val="TableParagraph"/>
              <w:ind w:right="63"/>
              <w:rPr>
                <w:sz w:val="22"/>
              </w:rPr>
            </w:pPr>
            <w:r>
              <w:rPr>
                <w:sz w:val="22"/>
              </w:rPr>
              <w:t>7.42</w:t>
            </w:r>
          </w:p>
        </w:tc>
        <w:tc>
          <w:tcPr>
            <w:tcW w:w="1188" w:type="dxa"/>
          </w:tcPr>
          <w:p>
            <w:pPr>
              <w:pStyle w:val="TableParagraph"/>
              <w:ind w:right="59"/>
              <w:rPr>
                <w:sz w:val="22"/>
              </w:rPr>
            </w:pPr>
            <w:r>
              <w:rPr>
                <w:sz w:val="22"/>
              </w:rPr>
              <w:t>7.07</w:t>
            </w:r>
          </w:p>
        </w:tc>
        <w:tc>
          <w:tcPr>
            <w:tcW w:w="612" w:type="dxa"/>
          </w:tcPr>
          <w:p>
            <w:pPr>
              <w:pStyle w:val="TableParagraph"/>
              <w:ind w:right="63"/>
              <w:rPr>
                <w:sz w:val="22"/>
              </w:rPr>
            </w:pPr>
            <w:r>
              <w:rPr>
                <w:sz w:val="22"/>
              </w:rPr>
              <w:t>7.08</w:t>
            </w:r>
          </w:p>
        </w:tc>
        <w:tc>
          <w:tcPr>
            <w:tcW w:w="1188" w:type="dxa"/>
          </w:tcPr>
          <w:p>
            <w:pPr>
              <w:pStyle w:val="TableParagraph"/>
              <w:ind w:right="59"/>
              <w:rPr>
                <w:sz w:val="22"/>
              </w:rPr>
            </w:pPr>
            <w:r>
              <w:rPr>
                <w:sz w:val="22"/>
              </w:rPr>
              <w:t>7.05</w:t>
            </w:r>
          </w:p>
        </w:tc>
        <w:tc>
          <w:tcPr>
            <w:tcW w:w="1190" w:type="dxa"/>
          </w:tcPr>
          <w:p>
            <w:pPr>
              <w:pStyle w:val="TableParagraph"/>
              <w:rPr>
                <w:sz w:val="22"/>
              </w:rPr>
            </w:pPr>
            <w:r>
              <w:rPr>
                <w:sz w:val="22"/>
              </w:rPr>
              <w:t>7.08</w:t>
            </w:r>
          </w:p>
        </w:tc>
        <w:tc>
          <w:tcPr>
            <w:tcW w:w="1190" w:type="dxa"/>
          </w:tcPr>
          <w:p>
            <w:pPr>
              <w:pStyle w:val="TableParagraph"/>
              <w:rPr>
                <w:sz w:val="22"/>
              </w:rPr>
            </w:pPr>
            <w:r>
              <w:rPr>
                <w:sz w:val="22"/>
              </w:rPr>
              <w:t>7.12</w:t>
            </w:r>
          </w:p>
        </w:tc>
      </w:tr>
      <w:tr>
        <w:trPr>
          <w:trHeight w:val="310" w:hRule="exact"/>
        </w:trPr>
        <w:tc>
          <w:tcPr>
            <w:tcW w:w="660" w:type="dxa"/>
          </w:tcPr>
          <w:p>
            <w:pPr>
              <w:pStyle w:val="TableParagraph"/>
              <w:ind w:right="63"/>
              <w:rPr>
                <w:sz w:val="22"/>
              </w:rPr>
            </w:pPr>
            <w:r>
              <w:rPr>
                <w:sz w:val="22"/>
              </w:rPr>
              <w:t>118</w:t>
            </w:r>
          </w:p>
        </w:tc>
        <w:tc>
          <w:tcPr>
            <w:tcW w:w="1687" w:type="dxa"/>
          </w:tcPr>
          <w:p>
            <w:pPr>
              <w:pStyle w:val="TableParagraph"/>
              <w:rPr>
                <w:sz w:val="22"/>
              </w:rPr>
            </w:pPr>
            <w:r>
              <w:rPr>
                <w:sz w:val="22"/>
              </w:rPr>
              <w:t>15/10/2009</w:t>
            </w:r>
          </w:p>
        </w:tc>
        <w:tc>
          <w:tcPr>
            <w:tcW w:w="1265" w:type="dxa"/>
          </w:tcPr>
          <w:p>
            <w:pPr>
              <w:pStyle w:val="TableParagraph"/>
              <w:ind w:right="63"/>
              <w:rPr>
                <w:sz w:val="22"/>
              </w:rPr>
            </w:pPr>
            <w:r>
              <w:rPr>
                <w:sz w:val="22"/>
              </w:rPr>
              <w:t>7.26</w:t>
            </w:r>
          </w:p>
        </w:tc>
        <w:tc>
          <w:tcPr>
            <w:tcW w:w="1188" w:type="dxa"/>
          </w:tcPr>
          <w:p>
            <w:pPr>
              <w:pStyle w:val="TableParagraph"/>
              <w:ind w:right="59"/>
              <w:rPr>
                <w:sz w:val="22"/>
              </w:rPr>
            </w:pPr>
            <w:r>
              <w:rPr>
                <w:sz w:val="22"/>
              </w:rPr>
              <w:t>7.37</w:t>
            </w:r>
          </w:p>
        </w:tc>
        <w:tc>
          <w:tcPr>
            <w:tcW w:w="612" w:type="dxa"/>
          </w:tcPr>
          <w:p>
            <w:pPr>
              <w:pStyle w:val="TableParagraph"/>
              <w:ind w:right="63"/>
              <w:rPr>
                <w:sz w:val="22"/>
              </w:rPr>
            </w:pPr>
            <w:r>
              <w:rPr>
                <w:sz w:val="22"/>
              </w:rPr>
              <w:t>6.88</w:t>
            </w:r>
          </w:p>
        </w:tc>
        <w:tc>
          <w:tcPr>
            <w:tcW w:w="1188" w:type="dxa"/>
          </w:tcPr>
          <w:p>
            <w:pPr>
              <w:pStyle w:val="TableParagraph"/>
              <w:ind w:right="59"/>
              <w:rPr>
                <w:sz w:val="22"/>
              </w:rPr>
            </w:pPr>
            <w:r>
              <w:rPr>
                <w:sz w:val="22"/>
              </w:rPr>
              <w:t>6.70</w:t>
            </w:r>
          </w:p>
        </w:tc>
        <w:tc>
          <w:tcPr>
            <w:tcW w:w="1190" w:type="dxa"/>
          </w:tcPr>
          <w:p>
            <w:pPr>
              <w:pStyle w:val="TableParagraph"/>
              <w:rPr>
                <w:sz w:val="22"/>
              </w:rPr>
            </w:pPr>
            <w:r>
              <w:rPr>
                <w:sz w:val="22"/>
              </w:rPr>
              <w:t>6.75</w:t>
            </w:r>
          </w:p>
        </w:tc>
        <w:tc>
          <w:tcPr>
            <w:tcW w:w="1190" w:type="dxa"/>
          </w:tcPr>
          <w:p>
            <w:pPr>
              <w:pStyle w:val="TableParagraph"/>
              <w:rPr>
                <w:sz w:val="22"/>
              </w:rPr>
            </w:pPr>
            <w:r>
              <w:rPr>
                <w:sz w:val="22"/>
              </w:rPr>
              <w:t>6.94</w:t>
            </w:r>
          </w:p>
        </w:tc>
      </w:tr>
      <w:tr>
        <w:trPr>
          <w:trHeight w:val="310" w:hRule="exact"/>
        </w:trPr>
        <w:tc>
          <w:tcPr>
            <w:tcW w:w="660" w:type="dxa"/>
          </w:tcPr>
          <w:p>
            <w:pPr>
              <w:pStyle w:val="TableParagraph"/>
              <w:ind w:right="63"/>
              <w:rPr>
                <w:sz w:val="22"/>
              </w:rPr>
            </w:pPr>
            <w:r>
              <w:rPr>
                <w:sz w:val="22"/>
              </w:rPr>
              <w:t>119</w:t>
            </w:r>
          </w:p>
        </w:tc>
        <w:tc>
          <w:tcPr>
            <w:tcW w:w="1687" w:type="dxa"/>
          </w:tcPr>
          <w:p>
            <w:pPr>
              <w:pStyle w:val="TableParagraph"/>
              <w:rPr>
                <w:sz w:val="22"/>
              </w:rPr>
            </w:pPr>
            <w:r>
              <w:rPr>
                <w:sz w:val="22"/>
              </w:rPr>
              <w:t>16/10/2009</w:t>
            </w:r>
          </w:p>
        </w:tc>
        <w:tc>
          <w:tcPr>
            <w:tcW w:w="1265" w:type="dxa"/>
          </w:tcPr>
          <w:p>
            <w:pPr>
              <w:pStyle w:val="TableParagraph"/>
              <w:ind w:right="63"/>
              <w:rPr>
                <w:sz w:val="22"/>
              </w:rPr>
            </w:pPr>
            <w:r>
              <w:rPr>
                <w:sz w:val="22"/>
              </w:rPr>
              <w:t>6.74</w:t>
            </w:r>
          </w:p>
        </w:tc>
        <w:tc>
          <w:tcPr>
            <w:tcW w:w="1188" w:type="dxa"/>
          </w:tcPr>
          <w:p>
            <w:pPr>
              <w:pStyle w:val="TableParagraph"/>
              <w:ind w:right="59"/>
              <w:rPr>
                <w:sz w:val="22"/>
              </w:rPr>
            </w:pPr>
            <w:r>
              <w:rPr>
                <w:sz w:val="22"/>
              </w:rPr>
              <w:t>6.82</w:t>
            </w:r>
          </w:p>
        </w:tc>
        <w:tc>
          <w:tcPr>
            <w:tcW w:w="612" w:type="dxa"/>
          </w:tcPr>
          <w:p>
            <w:pPr>
              <w:pStyle w:val="TableParagraph"/>
              <w:ind w:right="63"/>
              <w:rPr>
                <w:sz w:val="22"/>
              </w:rPr>
            </w:pPr>
            <w:r>
              <w:rPr>
                <w:sz w:val="22"/>
              </w:rPr>
              <w:t>6.66</w:t>
            </w:r>
          </w:p>
        </w:tc>
        <w:tc>
          <w:tcPr>
            <w:tcW w:w="1188" w:type="dxa"/>
          </w:tcPr>
          <w:p>
            <w:pPr>
              <w:pStyle w:val="TableParagraph"/>
              <w:ind w:right="59"/>
              <w:rPr>
                <w:sz w:val="22"/>
              </w:rPr>
            </w:pPr>
            <w:r>
              <w:rPr>
                <w:sz w:val="22"/>
              </w:rPr>
              <w:t>6.45</w:t>
            </w:r>
          </w:p>
        </w:tc>
        <w:tc>
          <w:tcPr>
            <w:tcW w:w="1190" w:type="dxa"/>
          </w:tcPr>
          <w:p>
            <w:pPr>
              <w:pStyle w:val="TableParagraph"/>
              <w:rPr>
                <w:sz w:val="22"/>
              </w:rPr>
            </w:pPr>
            <w:r>
              <w:rPr>
                <w:sz w:val="22"/>
              </w:rPr>
              <w:t>6.43</w:t>
            </w:r>
          </w:p>
        </w:tc>
        <w:tc>
          <w:tcPr>
            <w:tcW w:w="1190" w:type="dxa"/>
          </w:tcPr>
          <w:p>
            <w:pPr>
              <w:pStyle w:val="TableParagraph"/>
              <w:rPr>
                <w:sz w:val="22"/>
              </w:rPr>
            </w:pPr>
            <w:r>
              <w:rPr>
                <w:sz w:val="22"/>
              </w:rPr>
              <w:t>6.51</w:t>
            </w:r>
          </w:p>
        </w:tc>
      </w:tr>
      <w:tr>
        <w:trPr>
          <w:trHeight w:val="310" w:hRule="exact"/>
        </w:trPr>
        <w:tc>
          <w:tcPr>
            <w:tcW w:w="660" w:type="dxa"/>
          </w:tcPr>
          <w:p>
            <w:pPr>
              <w:pStyle w:val="TableParagraph"/>
              <w:spacing w:before="30"/>
              <w:ind w:right="63"/>
              <w:rPr>
                <w:sz w:val="22"/>
              </w:rPr>
            </w:pPr>
            <w:r>
              <w:rPr>
                <w:sz w:val="22"/>
              </w:rPr>
              <w:t>120</w:t>
            </w:r>
          </w:p>
        </w:tc>
        <w:tc>
          <w:tcPr>
            <w:tcW w:w="1687" w:type="dxa"/>
          </w:tcPr>
          <w:p>
            <w:pPr>
              <w:pStyle w:val="TableParagraph"/>
              <w:spacing w:before="30"/>
              <w:rPr>
                <w:sz w:val="22"/>
              </w:rPr>
            </w:pPr>
            <w:r>
              <w:rPr>
                <w:sz w:val="22"/>
              </w:rPr>
              <w:t>17/10/2009</w:t>
            </w:r>
          </w:p>
        </w:tc>
        <w:tc>
          <w:tcPr>
            <w:tcW w:w="1265" w:type="dxa"/>
          </w:tcPr>
          <w:p>
            <w:pPr>
              <w:pStyle w:val="TableParagraph"/>
              <w:spacing w:before="30"/>
              <w:ind w:right="63"/>
              <w:rPr>
                <w:sz w:val="22"/>
              </w:rPr>
            </w:pPr>
            <w:r>
              <w:rPr>
                <w:sz w:val="22"/>
              </w:rPr>
              <w:t>6.51</w:t>
            </w:r>
          </w:p>
        </w:tc>
        <w:tc>
          <w:tcPr>
            <w:tcW w:w="1188" w:type="dxa"/>
          </w:tcPr>
          <w:p>
            <w:pPr>
              <w:pStyle w:val="TableParagraph"/>
              <w:spacing w:before="30"/>
              <w:ind w:right="59"/>
              <w:rPr>
                <w:sz w:val="22"/>
              </w:rPr>
            </w:pPr>
            <w:r>
              <w:rPr>
                <w:sz w:val="22"/>
              </w:rPr>
              <w:t>6.64</w:t>
            </w:r>
          </w:p>
        </w:tc>
        <w:tc>
          <w:tcPr>
            <w:tcW w:w="612" w:type="dxa"/>
          </w:tcPr>
          <w:p>
            <w:pPr>
              <w:pStyle w:val="TableParagraph"/>
              <w:spacing w:before="30"/>
              <w:ind w:right="63"/>
              <w:rPr>
                <w:sz w:val="22"/>
              </w:rPr>
            </w:pPr>
            <w:r>
              <w:rPr>
                <w:sz w:val="22"/>
              </w:rPr>
              <w:t>6.57</w:t>
            </w:r>
          </w:p>
        </w:tc>
        <w:tc>
          <w:tcPr>
            <w:tcW w:w="1188" w:type="dxa"/>
          </w:tcPr>
          <w:p>
            <w:pPr>
              <w:pStyle w:val="TableParagraph"/>
              <w:spacing w:before="30"/>
              <w:ind w:right="59"/>
              <w:rPr>
                <w:sz w:val="22"/>
              </w:rPr>
            </w:pPr>
            <w:r>
              <w:rPr>
                <w:sz w:val="22"/>
              </w:rPr>
              <w:t>6.41</w:t>
            </w:r>
          </w:p>
        </w:tc>
        <w:tc>
          <w:tcPr>
            <w:tcW w:w="1190" w:type="dxa"/>
          </w:tcPr>
          <w:p>
            <w:pPr>
              <w:pStyle w:val="TableParagraph"/>
              <w:spacing w:before="30"/>
              <w:rPr>
                <w:sz w:val="22"/>
              </w:rPr>
            </w:pPr>
            <w:r>
              <w:rPr>
                <w:sz w:val="22"/>
              </w:rPr>
              <w:t>6.47</w:t>
            </w:r>
          </w:p>
        </w:tc>
        <w:tc>
          <w:tcPr>
            <w:tcW w:w="1190" w:type="dxa"/>
          </w:tcPr>
          <w:p>
            <w:pPr>
              <w:pStyle w:val="TableParagraph"/>
              <w:spacing w:before="30"/>
              <w:rPr>
                <w:sz w:val="22"/>
              </w:rPr>
            </w:pPr>
            <w:r>
              <w:rPr>
                <w:sz w:val="22"/>
              </w:rPr>
              <w:t>6.55</w:t>
            </w:r>
          </w:p>
        </w:tc>
      </w:tr>
      <w:tr>
        <w:trPr>
          <w:trHeight w:val="312" w:hRule="exact"/>
        </w:trPr>
        <w:tc>
          <w:tcPr>
            <w:tcW w:w="660" w:type="dxa"/>
          </w:tcPr>
          <w:p>
            <w:pPr>
              <w:pStyle w:val="TableParagraph"/>
              <w:spacing w:before="30"/>
              <w:ind w:right="63"/>
              <w:rPr>
                <w:sz w:val="22"/>
              </w:rPr>
            </w:pPr>
            <w:r>
              <w:rPr>
                <w:sz w:val="22"/>
              </w:rPr>
              <w:t>121</w:t>
            </w:r>
          </w:p>
        </w:tc>
        <w:tc>
          <w:tcPr>
            <w:tcW w:w="1687" w:type="dxa"/>
          </w:tcPr>
          <w:p>
            <w:pPr>
              <w:pStyle w:val="TableParagraph"/>
              <w:spacing w:before="30"/>
              <w:rPr>
                <w:sz w:val="22"/>
              </w:rPr>
            </w:pPr>
            <w:r>
              <w:rPr>
                <w:sz w:val="22"/>
              </w:rPr>
              <w:t>18/10/2009</w:t>
            </w:r>
          </w:p>
        </w:tc>
        <w:tc>
          <w:tcPr>
            <w:tcW w:w="1265" w:type="dxa"/>
          </w:tcPr>
          <w:p>
            <w:pPr>
              <w:pStyle w:val="TableParagraph"/>
              <w:spacing w:before="30"/>
              <w:ind w:right="63"/>
              <w:rPr>
                <w:sz w:val="22"/>
              </w:rPr>
            </w:pPr>
            <w:r>
              <w:rPr>
                <w:sz w:val="22"/>
              </w:rPr>
              <w:t>6.38</w:t>
            </w:r>
          </w:p>
        </w:tc>
        <w:tc>
          <w:tcPr>
            <w:tcW w:w="1188" w:type="dxa"/>
          </w:tcPr>
          <w:p>
            <w:pPr>
              <w:pStyle w:val="TableParagraph"/>
              <w:spacing w:before="30"/>
              <w:ind w:right="59"/>
              <w:rPr>
                <w:sz w:val="22"/>
              </w:rPr>
            </w:pPr>
            <w:r>
              <w:rPr>
                <w:sz w:val="22"/>
              </w:rPr>
              <w:t>6.30</w:t>
            </w:r>
          </w:p>
        </w:tc>
        <w:tc>
          <w:tcPr>
            <w:tcW w:w="612" w:type="dxa"/>
          </w:tcPr>
          <w:p>
            <w:pPr>
              <w:pStyle w:val="TableParagraph"/>
              <w:spacing w:before="30"/>
              <w:ind w:right="63"/>
              <w:rPr>
                <w:sz w:val="22"/>
              </w:rPr>
            </w:pPr>
            <w:r>
              <w:rPr>
                <w:sz w:val="22"/>
              </w:rPr>
              <w:t>6.50</w:t>
            </w:r>
          </w:p>
        </w:tc>
        <w:tc>
          <w:tcPr>
            <w:tcW w:w="1188" w:type="dxa"/>
          </w:tcPr>
          <w:p>
            <w:pPr>
              <w:pStyle w:val="TableParagraph"/>
              <w:spacing w:before="30"/>
              <w:ind w:right="59"/>
              <w:rPr>
                <w:sz w:val="22"/>
              </w:rPr>
            </w:pPr>
            <w:r>
              <w:rPr>
                <w:sz w:val="22"/>
              </w:rPr>
              <w:t>6.89</w:t>
            </w:r>
          </w:p>
        </w:tc>
        <w:tc>
          <w:tcPr>
            <w:tcW w:w="1190" w:type="dxa"/>
          </w:tcPr>
          <w:p>
            <w:pPr>
              <w:pStyle w:val="TableParagraph"/>
              <w:spacing w:before="30"/>
              <w:rPr>
                <w:sz w:val="22"/>
              </w:rPr>
            </w:pPr>
            <w:r>
              <w:rPr>
                <w:sz w:val="22"/>
              </w:rPr>
              <w:t>6.94</w:t>
            </w:r>
          </w:p>
        </w:tc>
        <w:tc>
          <w:tcPr>
            <w:tcW w:w="1190" w:type="dxa"/>
          </w:tcPr>
          <w:p>
            <w:pPr>
              <w:pStyle w:val="TableParagraph"/>
              <w:spacing w:before="30"/>
              <w:rPr>
                <w:sz w:val="22"/>
              </w:rPr>
            </w:pPr>
            <w:r>
              <w:rPr>
                <w:sz w:val="22"/>
              </w:rPr>
              <w:t>6.86</w:t>
            </w:r>
          </w:p>
        </w:tc>
      </w:tr>
      <w:tr>
        <w:trPr>
          <w:trHeight w:val="310" w:hRule="exact"/>
        </w:trPr>
        <w:tc>
          <w:tcPr>
            <w:tcW w:w="660" w:type="dxa"/>
          </w:tcPr>
          <w:p>
            <w:pPr>
              <w:pStyle w:val="TableParagraph"/>
              <w:ind w:right="63"/>
              <w:rPr>
                <w:sz w:val="22"/>
              </w:rPr>
            </w:pPr>
            <w:r>
              <w:rPr>
                <w:sz w:val="22"/>
              </w:rPr>
              <w:t>122</w:t>
            </w:r>
          </w:p>
        </w:tc>
        <w:tc>
          <w:tcPr>
            <w:tcW w:w="1687" w:type="dxa"/>
          </w:tcPr>
          <w:p>
            <w:pPr>
              <w:pStyle w:val="TableParagraph"/>
              <w:rPr>
                <w:sz w:val="22"/>
              </w:rPr>
            </w:pPr>
            <w:r>
              <w:rPr>
                <w:sz w:val="22"/>
              </w:rPr>
              <w:t>19/10/2009</w:t>
            </w:r>
          </w:p>
        </w:tc>
        <w:tc>
          <w:tcPr>
            <w:tcW w:w="1265" w:type="dxa"/>
          </w:tcPr>
          <w:p>
            <w:pPr>
              <w:pStyle w:val="TableParagraph"/>
              <w:ind w:right="63"/>
              <w:rPr>
                <w:sz w:val="22"/>
              </w:rPr>
            </w:pPr>
            <w:r>
              <w:rPr>
                <w:sz w:val="22"/>
              </w:rPr>
              <w:t>6.96</w:t>
            </w:r>
          </w:p>
        </w:tc>
        <w:tc>
          <w:tcPr>
            <w:tcW w:w="1188" w:type="dxa"/>
          </w:tcPr>
          <w:p>
            <w:pPr>
              <w:pStyle w:val="TableParagraph"/>
              <w:ind w:right="59"/>
              <w:rPr>
                <w:sz w:val="22"/>
              </w:rPr>
            </w:pPr>
            <w:r>
              <w:rPr>
                <w:sz w:val="22"/>
              </w:rPr>
              <w:t>7.03</w:t>
            </w:r>
          </w:p>
        </w:tc>
        <w:tc>
          <w:tcPr>
            <w:tcW w:w="612" w:type="dxa"/>
          </w:tcPr>
          <w:p>
            <w:pPr>
              <w:pStyle w:val="TableParagraph"/>
              <w:ind w:right="63"/>
              <w:rPr>
                <w:sz w:val="22"/>
              </w:rPr>
            </w:pPr>
            <w:r>
              <w:rPr>
                <w:sz w:val="22"/>
              </w:rPr>
              <w:t>7.17</w:t>
            </w:r>
          </w:p>
        </w:tc>
        <w:tc>
          <w:tcPr>
            <w:tcW w:w="1188" w:type="dxa"/>
          </w:tcPr>
          <w:p>
            <w:pPr>
              <w:pStyle w:val="TableParagraph"/>
              <w:ind w:right="59"/>
              <w:rPr>
                <w:sz w:val="22"/>
              </w:rPr>
            </w:pPr>
            <w:r>
              <w:rPr>
                <w:sz w:val="22"/>
              </w:rPr>
              <w:t>7.04</w:t>
            </w:r>
          </w:p>
        </w:tc>
        <w:tc>
          <w:tcPr>
            <w:tcW w:w="1190" w:type="dxa"/>
          </w:tcPr>
          <w:p>
            <w:pPr>
              <w:pStyle w:val="TableParagraph"/>
              <w:rPr>
                <w:sz w:val="22"/>
              </w:rPr>
            </w:pPr>
            <w:r>
              <w:rPr>
                <w:sz w:val="22"/>
              </w:rPr>
              <w:t>6.77</w:t>
            </w:r>
          </w:p>
        </w:tc>
        <w:tc>
          <w:tcPr>
            <w:tcW w:w="1190" w:type="dxa"/>
          </w:tcPr>
          <w:p>
            <w:pPr>
              <w:pStyle w:val="TableParagraph"/>
              <w:rPr>
                <w:sz w:val="22"/>
              </w:rPr>
            </w:pPr>
            <w:r>
              <w:rPr>
                <w:sz w:val="22"/>
              </w:rPr>
              <w:t>7.25</w:t>
            </w:r>
          </w:p>
        </w:tc>
      </w:tr>
      <w:tr>
        <w:trPr>
          <w:trHeight w:val="310" w:hRule="exact"/>
        </w:trPr>
        <w:tc>
          <w:tcPr>
            <w:tcW w:w="660" w:type="dxa"/>
          </w:tcPr>
          <w:p>
            <w:pPr>
              <w:pStyle w:val="TableParagraph"/>
              <w:ind w:right="63"/>
              <w:rPr>
                <w:sz w:val="22"/>
              </w:rPr>
            </w:pPr>
            <w:r>
              <w:rPr>
                <w:sz w:val="22"/>
              </w:rPr>
              <w:t>123</w:t>
            </w:r>
          </w:p>
        </w:tc>
        <w:tc>
          <w:tcPr>
            <w:tcW w:w="1687" w:type="dxa"/>
          </w:tcPr>
          <w:p>
            <w:pPr>
              <w:pStyle w:val="TableParagraph"/>
              <w:rPr>
                <w:sz w:val="22"/>
              </w:rPr>
            </w:pPr>
            <w:r>
              <w:rPr>
                <w:sz w:val="22"/>
              </w:rPr>
              <w:t>20/10/2009</w:t>
            </w:r>
          </w:p>
        </w:tc>
        <w:tc>
          <w:tcPr>
            <w:tcW w:w="1265" w:type="dxa"/>
          </w:tcPr>
          <w:p>
            <w:pPr>
              <w:pStyle w:val="TableParagraph"/>
              <w:ind w:right="63"/>
              <w:rPr>
                <w:sz w:val="22"/>
              </w:rPr>
            </w:pPr>
            <w:r>
              <w:rPr>
                <w:sz w:val="22"/>
              </w:rPr>
              <w:t>6.99</w:t>
            </w:r>
          </w:p>
        </w:tc>
        <w:tc>
          <w:tcPr>
            <w:tcW w:w="1188" w:type="dxa"/>
          </w:tcPr>
          <w:p>
            <w:pPr>
              <w:pStyle w:val="TableParagraph"/>
              <w:ind w:right="59"/>
              <w:rPr>
                <w:sz w:val="22"/>
              </w:rPr>
            </w:pPr>
            <w:r>
              <w:rPr>
                <w:sz w:val="22"/>
              </w:rPr>
              <w:t>7.01</w:t>
            </w:r>
          </w:p>
        </w:tc>
        <w:tc>
          <w:tcPr>
            <w:tcW w:w="612" w:type="dxa"/>
          </w:tcPr>
          <w:p>
            <w:pPr>
              <w:pStyle w:val="TableParagraph"/>
              <w:ind w:right="63"/>
              <w:rPr>
                <w:sz w:val="22"/>
              </w:rPr>
            </w:pPr>
            <w:r>
              <w:rPr>
                <w:sz w:val="22"/>
              </w:rPr>
              <w:t>7.05</w:t>
            </w:r>
          </w:p>
        </w:tc>
        <w:tc>
          <w:tcPr>
            <w:tcW w:w="1188" w:type="dxa"/>
          </w:tcPr>
          <w:p>
            <w:pPr>
              <w:pStyle w:val="TableParagraph"/>
              <w:ind w:right="59"/>
              <w:rPr>
                <w:sz w:val="22"/>
              </w:rPr>
            </w:pPr>
            <w:r>
              <w:rPr>
                <w:sz w:val="22"/>
              </w:rPr>
              <w:t>6.95</w:t>
            </w:r>
          </w:p>
        </w:tc>
        <w:tc>
          <w:tcPr>
            <w:tcW w:w="1190" w:type="dxa"/>
          </w:tcPr>
          <w:p>
            <w:pPr>
              <w:pStyle w:val="TableParagraph"/>
              <w:rPr>
                <w:sz w:val="22"/>
              </w:rPr>
            </w:pPr>
            <w:r>
              <w:rPr>
                <w:sz w:val="22"/>
              </w:rPr>
              <w:t>6.99</w:t>
            </w:r>
          </w:p>
        </w:tc>
        <w:tc>
          <w:tcPr>
            <w:tcW w:w="1190" w:type="dxa"/>
          </w:tcPr>
          <w:p>
            <w:pPr>
              <w:pStyle w:val="TableParagraph"/>
              <w:rPr>
                <w:sz w:val="22"/>
              </w:rPr>
            </w:pPr>
            <w:r>
              <w:rPr>
                <w:sz w:val="22"/>
              </w:rPr>
              <w:t>7.15</w:t>
            </w:r>
          </w:p>
        </w:tc>
      </w:tr>
      <w:tr>
        <w:trPr>
          <w:trHeight w:val="310" w:hRule="exact"/>
        </w:trPr>
        <w:tc>
          <w:tcPr>
            <w:tcW w:w="660" w:type="dxa"/>
          </w:tcPr>
          <w:p>
            <w:pPr>
              <w:pStyle w:val="TableParagraph"/>
              <w:ind w:right="63"/>
              <w:rPr>
                <w:sz w:val="22"/>
              </w:rPr>
            </w:pPr>
            <w:r>
              <w:rPr>
                <w:sz w:val="22"/>
              </w:rPr>
              <w:t>124</w:t>
            </w:r>
          </w:p>
        </w:tc>
        <w:tc>
          <w:tcPr>
            <w:tcW w:w="1687" w:type="dxa"/>
          </w:tcPr>
          <w:p>
            <w:pPr>
              <w:pStyle w:val="TableParagraph"/>
              <w:rPr>
                <w:sz w:val="22"/>
              </w:rPr>
            </w:pPr>
            <w:r>
              <w:rPr>
                <w:sz w:val="22"/>
              </w:rPr>
              <w:t>21/10/2009</w:t>
            </w:r>
          </w:p>
        </w:tc>
        <w:tc>
          <w:tcPr>
            <w:tcW w:w="1265" w:type="dxa"/>
          </w:tcPr>
          <w:p>
            <w:pPr>
              <w:pStyle w:val="TableParagraph"/>
              <w:ind w:right="63"/>
              <w:rPr>
                <w:sz w:val="22"/>
              </w:rPr>
            </w:pPr>
            <w:r>
              <w:rPr>
                <w:sz w:val="22"/>
              </w:rPr>
              <w:t>6.04</w:t>
            </w:r>
          </w:p>
        </w:tc>
        <w:tc>
          <w:tcPr>
            <w:tcW w:w="1188" w:type="dxa"/>
          </w:tcPr>
          <w:p>
            <w:pPr>
              <w:pStyle w:val="TableParagraph"/>
              <w:ind w:right="59"/>
              <w:rPr>
                <w:sz w:val="22"/>
              </w:rPr>
            </w:pPr>
            <w:r>
              <w:rPr>
                <w:sz w:val="22"/>
              </w:rPr>
              <w:t>6.09</w:t>
            </w:r>
          </w:p>
        </w:tc>
        <w:tc>
          <w:tcPr>
            <w:tcW w:w="612" w:type="dxa"/>
          </w:tcPr>
          <w:p>
            <w:pPr>
              <w:pStyle w:val="TableParagraph"/>
              <w:ind w:right="63"/>
              <w:rPr>
                <w:sz w:val="22"/>
              </w:rPr>
            </w:pPr>
            <w:r>
              <w:rPr>
                <w:sz w:val="22"/>
              </w:rPr>
              <w:t>5.81</w:t>
            </w:r>
          </w:p>
        </w:tc>
        <w:tc>
          <w:tcPr>
            <w:tcW w:w="1188" w:type="dxa"/>
          </w:tcPr>
          <w:p>
            <w:pPr>
              <w:pStyle w:val="TableParagraph"/>
              <w:ind w:right="59"/>
              <w:rPr>
                <w:sz w:val="22"/>
              </w:rPr>
            </w:pPr>
            <w:r>
              <w:rPr>
                <w:sz w:val="22"/>
              </w:rPr>
              <w:t>5.91</w:t>
            </w:r>
          </w:p>
        </w:tc>
        <w:tc>
          <w:tcPr>
            <w:tcW w:w="1190" w:type="dxa"/>
          </w:tcPr>
          <w:p>
            <w:pPr>
              <w:pStyle w:val="TableParagraph"/>
              <w:rPr>
                <w:sz w:val="22"/>
              </w:rPr>
            </w:pPr>
            <w:r>
              <w:rPr>
                <w:sz w:val="22"/>
              </w:rPr>
              <w:t>6.07</w:t>
            </w:r>
          </w:p>
        </w:tc>
        <w:tc>
          <w:tcPr>
            <w:tcW w:w="1190" w:type="dxa"/>
          </w:tcPr>
          <w:p>
            <w:pPr>
              <w:pStyle w:val="TableParagraph"/>
              <w:rPr>
                <w:sz w:val="22"/>
              </w:rPr>
            </w:pPr>
            <w:r>
              <w:rPr>
                <w:sz w:val="22"/>
              </w:rPr>
              <w:t>7.05</w:t>
            </w:r>
          </w:p>
        </w:tc>
      </w:tr>
      <w:tr>
        <w:trPr>
          <w:trHeight w:val="310" w:hRule="exact"/>
        </w:trPr>
        <w:tc>
          <w:tcPr>
            <w:tcW w:w="660" w:type="dxa"/>
          </w:tcPr>
          <w:p>
            <w:pPr>
              <w:pStyle w:val="TableParagraph"/>
              <w:ind w:right="63"/>
              <w:rPr>
                <w:sz w:val="22"/>
              </w:rPr>
            </w:pPr>
            <w:r>
              <w:rPr>
                <w:sz w:val="22"/>
              </w:rPr>
              <w:t>125</w:t>
            </w:r>
          </w:p>
        </w:tc>
        <w:tc>
          <w:tcPr>
            <w:tcW w:w="1687" w:type="dxa"/>
          </w:tcPr>
          <w:p>
            <w:pPr>
              <w:pStyle w:val="TableParagraph"/>
              <w:rPr>
                <w:sz w:val="22"/>
              </w:rPr>
            </w:pPr>
            <w:r>
              <w:rPr>
                <w:sz w:val="22"/>
              </w:rPr>
              <w:t>22/10/2009</w:t>
            </w:r>
          </w:p>
        </w:tc>
        <w:tc>
          <w:tcPr>
            <w:tcW w:w="1265" w:type="dxa"/>
          </w:tcPr>
          <w:p>
            <w:pPr>
              <w:pStyle w:val="TableParagraph"/>
              <w:ind w:right="63"/>
              <w:rPr>
                <w:sz w:val="22"/>
              </w:rPr>
            </w:pPr>
            <w:r>
              <w:rPr>
                <w:sz w:val="22"/>
              </w:rPr>
              <w:t>5.92</w:t>
            </w:r>
          </w:p>
        </w:tc>
        <w:tc>
          <w:tcPr>
            <w:tcW w:w="1188" w:type="dxa"/>
          </w:tcPr>
          <w:p>
            <w:pPr>
              <w:pStyle w:val="TableParagraph"/>
              <w:ind w:right="59"/>
              <w:rPr>
                <w:sz w:val="22"/>
              </w:rPr>
            </w:pPr>
            <w:r>
              <w:rPr>
                <w:sz w:val="22"/>
              </w:rPr>
              <w:t>6.08</w:t>
            </w:r>
          </w:p>
        </w:tc>
        <w:tc>
          <w:tcPr>
            <w:tcW w:w="612" w:type="dxa"/>
          </w:tcPr>
          <w:p>
            <w:pPr>
              <w:pStyle w:val="TableParagraph"/>
              <w:ind w:right="63"/>
              <w:rPr>
                <w:sz w:val="22"/>
              </w:rPr>
            </w:pPr>
            <w:r>
              <w:rPr>
                <w:sz w:val="22"/>
              </w:rPr>
              <w:t>5.78</w:t>
            </w:r>
          </w:p>
        </w:tc>
        <w:tc>
          <w:tcPr>
            <w:tcW w:w="1188" w:type="dxa"/>
          </w:tcPr>
          <w:p>
            <w:pPr>
              <w:pStyle w:val="TableParagraph"/>
              <w:ind w:right="59"/>
              <w:rPr>
                <w:sz w:val="22"/>
              </w:rPr>
            </w:pPr>
            <w:r>
              <w:rPr>
                <w:sz w:val="22"/>
              </w:rPr>
              <w:t>5.87</w:t>
            </w:r>
          </w:p>
        </w:tc>
        <w:tc>
          <w:tcPr>
            <w:tcW w:w="1190" w:type="dxa"/>
          </w:tcPr>
          <w:p>
            <w:pPr>
              <w:pStyle w:val="TableParagraph"/>
              <w:rPr>
                <w:sz w:val="22"/>
              </w:rPr>
            </w:pPr>
            <w:r>
              <w:rPr>
                <w:sz w:val="22"/>
              </w:rPr>
              <w:t>5.92</w:t>
            </w:r>
          </w:p>
        </w:tc>
        <w:tc>
          <w:tcPr>
            <w:tcW w:w="1190" w:type="dxa"/>
          </w:tcPr>
          <w:p>
            <w:pPr>
              <w:pStyle w:val="TableParagraph"/>
              <w:rPr>
                <w:sz w:val="22"/>
              </w:rPr>
            </w:pPr>
            <w:r>
              <w:rPr>
                <w:sz w:val="22"/>
              </w:rPr>
              <w:t>6.86</w:t>
            </w:r>
          </w:p>
        </w:tc>
      </w:tr>
      <w:tr>
        <w:trPr>
          <w:trHeight w:val="310" w:hRule="exact"/>
        </w:trPr>
        <w:tc>
          <w:tcPr>
            <w:tcW w:w="660" w:type="dxa"/>
          </w:tcPr>
          <w:p>
            <w:pPr>
              <w:pStyle w:val="TableParagraph"/>
              <w:spacing w:before="30"/>
              <w:ind w:right="63"/>
              <w:rPr>
                <w:sz w:val="22"/>
              </w:rPr>
            </w:pPr>
            <w:r>
              <w:rPr>
                <w:sz w:val="22"/>
              </w:rPr>
              <w:t>126</w:t>
            </w:r>
          </w:p>
        </w:tc>
        <w:tc>
          <w:tcPr>
            <w:tcW w:w="1687" w:type="dxa"/>
          </w:tcPr>
          <w:p>
            <w:pPr>
              <w:pStyle w:val="TableParagraph"/>
              <w:spacing w:before="30"/>
              <w:rPr>
                <w:sz w:val="22"/>
              </w:rPr>
            </w:pPr>
            <w:r>
              <w:rPr>
                <w:sz w:val="22"/>
              </w:rPr>
              <w:t>23/10/2009</w:t>
            </w:r>
          </w:p>
        </w:tc>
        <w:tc>
          <w:tcPr>
            <w:tcW w:w="1265" w:type="dxa"/>
          </w:tcPr>
          <w:p>
            <w:pPr>
              <w:pStyle w:val="TableParagraph"/>
              <w:spacing w:before="30"/>
              <w:ind w:right="63"/>
              <w:rPr>
                <w:sz w:val="22"/>
              </w:rPr>
            </w:pPr>
            <w:r>
              <w:rPr>
                <w:sz w:val="22"/>
              </w:rPr>
              <w:t>6.83</w:t>
            </w:r>
          </w:p>
        </w:tc>
        <w:tc>
          <w:tcPr>
            <w:tcW w:w="1188" w:type="dxa"/>
          </w:tcPr>
          <w:p>
            <w:pPr>
              <w:pStyle w:val="TableParagraph"/>
              <w:spacing w:before="30"/>
              <w:ind w:right="59"/>
              <w:rPr>
                <w:sz w:val="22"/>
              </w:rPr>
            </w:pPr>
            <w:r>
              <w:rPr>
                <w:w w:val="100"/>
                <w:sz w:val="22"/>
              </w:rPr>
              <w:t>7</w:t>
            </w:r>
          </w:p>
        </w:tc>
        <w:tc>
          <w:tcPr>
            <w:tcW w:w="612" w:type="dxa"/>
          </w:tcPr>
          <w:p>
            <w:pPr>
              <w:pStyle w:val="TableParagraph"/>
              <w:spacing w:before="30"/>
              <w:ind w:right="63"/>
              <w:rPr>
                <w:sz w:val="22"/>
              </w:rPr>
            </w:pPr>
            <w:r>
              <w:rPr>
                <w:sz w:val="22"/>
              </w:rPr>
              <w:t>6.65</w:t>
            </w:r>
          </w:p>
        </w:tc>
        <w:tc>
          <w:tcPr>
            <w:tcW w:w="1188" w:type="dxa"/>
          </w:tcPr>
          <w:p>
            <w:pPr>
              <w:pStyle w:val="TableParagraph"/>
              <w:spacing w:before="30"/>
              <w:ind w:right="59"/>
              <w:rPr>
                <w:sz w:val="22"/>
              </w:rPr>
            </w:pPr>
            <w:r>
              <w:rPr>
                <w:sz w:val="22"/>
              </w:rPr>
              <w:t>6.65</w:t>
            </w:r>
          </w:p>
        </w:tc>
        <w:tc>
          <w:tcPr>
            <w:tcW w:w="1190" w:type="dxa"/>
          </w:tcPr>
          <w:p>
            <w:pPr>
              <w:pStyle w:val="TableParagraph"/>
              <w:spacing w:before="30"/>
              <w:rPr>
                <w:sz w:val="22"/>
              </w:rPr>
            </w:pPr>
            <w:r>
              <w:rPr>
                <w:sz w:val="22"/>
              </w:rPr>
              <w:t>6.69</w:t>
            </w:r>
          </w:p>
        </w:tc>
        <w:tc>
          <w:tcPr>
            <w:tcW w:w="1190" w:type="dxa"/>
          </w:tcPr>
          <w:p>
            <w:pPr>
              <w:pStyle w:val="TableParagraph"/>
              <w:spacing w:before="30"/>
              <w:rPr>
                <w:sz w:val="22"/>
              </w:rPr>
            </w:pPr>
            <w:r>
              <w:rPr>
                <w:sz w:val="22"/>
              </w:rPr>
              <w:t>6.67</w:t>
            </w:r>
          </w:p>
        </w:tc>
      </w:tr>
      <w:tr>
        <w:trPr>
          <w:trHeight w:val="312" w:hRule="exact"/>
        </w:trPr>
        <w:tc>
          <w:tcPr>
            <w:tcW w:w="660" w:type="dxa"/>
          </w:tcPr>
          <w:p>
            <w:pPr>
              <w:pStyle w:val="TableParagraph"/>
              <w:spacing w:before="30"/>
              <w:ind w:right="63"/>
              <w:rPr>
                <w:sz w:val="22"/>
              </w:rPr>
            </w:pPr>
            <w:r>
              <w:rPr>
                <w:sz w:val="22"/>
              </w:rPr>
              <w:t>127</w:t>
            </w:r>
          </w:p>
        </w:tc>
        <w:tc>
          <w:tcPr>
            <w:tcW w:w="1687" w:type="dxa"/>
          </w:tcPr>
          <w:p>
            <w:pPr>
              <w:pStyle w:val="TableParagraph"/>
              <w:spacing w:before="30"/>
              <w:rPr>
                <w:sz w:val="22"/>
              </w:rPr>
            </w:pPr>
            <w:r>
              <w:rPr>
                <w:sz w:val="22"/>
              </w:rPr>
              <w:t>24/10/2009</w:t>
            </w:r>
          </w:p>
        </w:tc>
        <w:tc>
          <w:tcPr>
            <w:tcW w:w="1265" w:type="dxa"/>
          </w:tcPr>
          <w:p>
            <w:pPr>
              <w:pStyle w:val="TableParagraph"/>
              <w:spacing w:before="30"/>
              <w:ind w:right="63"/>
              <w:rPr>
                <w:sz w:val="22"/>
              </w:rPr>
            </w:pPr>
            <w:r>
              <w:rPr>
                <w:sz w:val="22"/>
              </w:rPr>
              <w:t>6.38</w:t>
            </w:r>
          </w:p>
        </w:tc>
        <w:tc>
          <w:tcPr>
            <w:tcW w:w="1188" w:type="dxa"/>
          </w:tcPr>
          <w:p>
            <w:pPr>
              <w:pStyle w:val="TableParagraph"/>
              <w:spacing w:before="30"/>
              <w:ind w:right="59"/>
              <w:rPr>
                <w:sz w:val="22"/>
              </w:rPr>
            </w:pPr>
            <w:r>
              <w:rPr>
                <w:sz w:val="22"/>
              </w:rPr>
              <w:t>6.88</w:t>
            </w:r>
          </w:p>
        </w:tc>
        <w:tc>
          <w:tcPr>
            <w:tcW w:w="612" w:type="dxa"/>
          </w:tcPr>
          <w:p>
            <w:pPr>
              <w:pStyle w:val="TableParagraph"/>
              <w:spacing w:before="30"/>
              <w:ind w:right="63"/>
              <w:rPr>
                <w:sz w:val="22"/>
              </w:rPr>
            </w:pPr>
            <w:r>
              <w:rPr>
                <w:sz w:val="22"/>
              </w:rPr>
              <w:t>6.54</w:t>
            </w:r>
          </w:p>
        </w:tc>
        <w:tc>
          <w:tcPr>
            <w:tcW w:w="1188" w:type="dxa"/>
          </w:tcPr>
          <w:p>
            <w:pPr>
              <w:pStyle w:val="TableParagraph"/>
              <w:spacing w:before="30"/>
              <w:ind w:right="59"/>
              <w:rPr>
                <w:sz w:val="22"/>
              </w:rPr>
            </w:pPr>
            <w:r>
              <w:rPr>
                <w:sz w:val="22"/>
              </w:rPr>
              <w:t>6.55</w:t>
            </w:r>
          </w:p>
        </w:tc>
        <w:tc>
          <w:tcPr>
            <w:tcW w:w="1190" w:type="dxa"/>
          </w:tcPr>
          <w:p>
            <w:pPr>
              <w:pStyle w:val="TableParagraph"/>
              <w:spacing w:before="30"/>
              <w:rPr>
                <w:sz w:val="22"/>
              </w:rPr>
            </w:pPr>
            <w:r>
              <w:rPr>
                <w:sz w:val="22"/>
              </w:rPr>
              <w:t>6.62</w:t>
            </w:r>
          </w:p>
        </w:tc>
        <w:tc>
          <w:tcPr>
            <w:tcW w:w="1190" w:type="dxa"/>
          </w:tcPr>
          <w:p>
            <w:pPr>
              <w:pStyle w:val="TableParagraph"/>
              <w:spacing w:before="30"/>
              <w:rPr>
                <w:sz w:val="22"/>
              </w:rPr>
            </w:pPr>
            <w:r>
              <w:rPr>
                <w:sz w:val="22"/>
              </w:rPr>
              <w:t>7.08</w:t>
            </w:r>
          </w:p>
        </w:tc>
      </w:tr>
      <w:tr>
        <w:trPr>
          <w:trHeight w:val="310" w:hRule="exact"/>
        </w:trPr>
        <w:tc>
          <w:tcPr>
            <w:tcW w:w="660" w:type="dxa"/>
          </w:tcPr>
          <w:p>
            <w:pPr>
              <w:pStyle w:val="TableParagraph"/>
              <w:ind w:right="63"/>
              <w:rPr>
                <w:sz w:val="22"/>
              </w:rPr>
            </w:pPr>
            <w:r>
              <w:rPr>
                <w:sz w:val="22"/>
              </w:rPr>
              <w:t>128</w:t>
            </w:r>
          </w:p>
        </w:tc>
        <w:tc>
          <w:tcPr>
            <w:tcW w:w="1687" w:type="dxa"/>
          </w:tcPr>
          <w:p>
            <w:pPr>
              <w:pStyle w:val="TableParagraph"/>
              <w:rPr>
                <w:sz w:val="22"/>
              </w:rPr>
            </w:pPr>
            <w:r>
              <w:rPr>
                <w:sz w:val="22"/>
              </w:rPr>
              <w:t>25/10/2009</w:t>
            </w:r>
          </w:p>
        </w:tc>
        <w:tc>
          <w:tcPr>
            <w:tcW w:w="1265" w:type="dxa"/>
          </w:tcPr>
          <w:p>
            <w:pPr>
              <w:pStyle w:val="TableParagraph"/>
              <w:ind w:right="63"/>
              <w:rPr>
                <w:sz w:val="22"/>
              </w:rPr>
            </w:pPr>
            <w:r>
              <w:rPr>
                <w:sz w:val="22"/>
              </w:rPr>
              <w:t>7.67</w:t>
            </w:r>
          </w:p>
        </w:tc>
        <w:tc>
          <w:tcPr>
            <w:tcW w:w="1188" w:type="dxa"/>
          </w:tcPr>
          <w:p>
            <w:pPr>
              <w:pStyle w:val="TableParagraph"/>
              <w:ind w:right="59"/>
              <w:rPr>
                <w:sz w:val="22"/>
              </w:rPr>
            </w:pPr>
            <w:r>
              <w:rPr>
                <w:sz w:val="22"/>
              </w:rPr>
              <w:t>7.82</w:t>
            </w:r>
          </w:p>
        </w:tc>
        <w:tc>
          <w:tcPr>
            <w:tcW w:w="612" w:type="dxa"/>
          </w:tcPr>
          <w:p>
            <w:pPr>
              <w:pStyle w:val="TableParagraph"/>
              <w:ind w:right="63"/>
              <w:rPr>
                <w:sz w:val="22"/>
              </w:rPr>
            </w:pPr>
            <w:r>
              <w:rPr>
                <w:sz w:val="22"/>
              </w:rPr>
              <w:t>7.63</w:t>
            </w:r>
          </w:p>
        </w:tc>
        <w:tc>
          <w:tcPr>
            <w:tcW w:w="1188" w:type="dxa"/>
          </w:tcPr>
          <w:p>
            <w:pPr>
              <w:pStyle w:val="TableParagraph"/>
              <w:ind w:right="59"/>
              <w:rPr>
                <w:sz w:val="22"/>
              </w:rPr>
            </w:pPr>
            <w:r>
              <w:rPr>
                <w:sz w:val="22"/>
              </w:rPr>
              <w:t>7.64</w:t>
            </w:r>
          </w:p>
        </w:tc>
        <w:tc>
          <w:tcPr>
            <w:tcW w:w="1190" w:type="dxa"/>
          </w:tcPr>
          <w:p>
            <w:pPr>
              <w:pStyle w:val="TableParagraph"/>
              <w:rPr>
                <w:sz w:val="22"/>
              </w:rPr>
            </w:pPr>
            <w:r>
              <w:rPr>
                <w:sz w:val="22"/>
              </w:rPr>
              <w:t>7.57</w:t>
            </w:r>
          </w:p>
        </w:tc>
        <w:tc>
          <w:tcPr>
            <w:tcW w:w="1190" w:type="dxa"/>
          </w:tcPr>
          <w:p>
            <w:pPr>
              <w:pStyle w:val="TableParagraph"/>
              <w:rPr>
                <w:sz w:val="22"/>
              </w:rPr>
            </w:pPr>
            <w:r>
              <w:rPr>
                <w:sz w:val="22"/>
              </w:rPr>
              <w:t>7.54</w:t>
            </w:r>
          </w:p>
        </w:tc>
      </w:tr>
      <w:tr>
        <w:trPr>
          <w:trHeight w:val="310" w:hRule="exact"/>
        </w:trPr>
        <w:tc>
          <w:tcPr>
            <w:tcW w:w="660" w:type="dxa"/>
          </w:tcPr>
          <w:p>
            <w:pPr>
              <w:pStyle w:val="TableParagraph"/>
              <w:ind w:right="63"/>
              <w:rPr>
                <w:sz w:val="22"/>
              </w:rPr>
            </w:pPr>
            <w:r>
              <w:rPr>
                <w:sz w:val="22"/>
              </w:rPr>
              <w:t>129</w:t>
            </w:r>
          </w:p>
        </w:tc>
        <w:tc>
          <w:tcPr>
            <w:tcW w:w="1687" w:type="dxa"/>
          </w:tcPr>
          <w:p>
            <w:pPr>
              <w:pStyle w:val="TableParagraph"/>
              <w:rPr>
                <w:sz w:val="22"/>
              </w:rPr>
            </w:pPr>
            <w:r>
              <w:rPr>
                <w:sz w:val="22"/>
              </w:rPr>
              <w:t>26/10/2009</w:t>
            </w:r>
          </w:p>
        </w:tc>
        <w:tc>
          <w:tcPr>
            <w:tcW w:w="1265" w:type="dxa"/>
          </w:tcPr>
          <w:p>
            <w:pPr>
              <w:pStyle w:val="TableParagraph"/>
              <w:ind w:right="63"/>
              <w:rPr>
                <w:sz w:val="22"/>
              </w:rPr>
            </w:pPr>
            <w:r>
              <w:rPr>
                <w:sz w:val="22"/>
              </w:rPr>
              <w:t>7.53</w:t>
            </w:r>
          </w:p>
        </w:tc>
        <w:tc>
          <w:tcPr>
            <w:tcW w:w="1188" w:type="dxa"/>
          </w:tcPr>
          <w:p>
            <w:pPr>
              <w:pStyle w:val="TableParagraph"/>
              <w:ind w:right="59"/>
              <w:rPr>
                <w:sz w:val="22"/>
              </w:rPr>
            </w:pPr>
            <w:r>
              <w:rPr>
                <w:sz w:val="22"/>
              </w:rPr>
              <w:t>7.71</w:t>
            </w:r>
          </w:p>
        </w:tc>
        <w:tc>
          <w:tcPr>
            <w:tcW w:w="612" w:type="dxa"/>
          </w:tcPr>
          <w:p>
            <w:pPr>
              <w:pStyle w:val="TableParagraph"/>
              <w:ind w:right="63"/>
              <w:rPr>
                <w:sz w:val="22"/>
              </w:rPr>
            </w:pPr>
            <w:r>
              <w:rPr>
                <w:sz w:val="22"/>
              </w:rPr>
              <w:t>7.5</w:t>
            </w:r>
          </w:p>
        </w:tc>
        <w:tc>
          <w:tcPr>
            <w:tcW w:w="1188" w:type="dxa"/>
          </w:tcPr>
          <w:p>
            <w:pPr>
              <w:pStyle w:val="TableParagraph"/>
              <w:ind w:right="59"/>
              <w:rPr>
                <w:sz w:val="22"/>
              </w:rPr>
            </w:pPr>
            <w:r>
              <w:rPr>
                <w:sz w:val="22"/>
              </w:rPr>
              <w:t>7.51</w:t>
            </w:r>
          </w:p>
        </w:tc>
        <w:tc>
          <w:tcPr>
            <w:tcW w:w="1190" w:type="dxa"/>
          </w:tcPr>
          <w:p>
            <w:pPr>
              <w:pStyle w:val="TableParagraph"/>
              <w:rPr>
                <w:sz w:val="22"/>
              </w:rPr>
            </w:pPr>
            <w:r>
              <w:rPr>
                <w:sz w:val="22"/>
              </w:rPr>
              <w:t>7.53</w:t>
            </w:r>
          </w:p>
        </w:tc>
        <w:tc>
          <w:tcPr>
            <w:tcW w:w="1190" w:type="dxa"/>
          </w:tcPr>
          <w:p>
            <w:pPr>
              <w:pStyle w:val="TableParagraph"/>
              <w:rPr>
                <w:sz w:val="22"/>
              </w:rPr>
            </w:pPr>
            <w:r>
              <w:rPr>
                <w:sz w:val="22"/>
              </w:rPr>
              <w:t>7.41</w:t>
            </w:r>
          </w:p>
        </w:tc>
      </w:tr>
      <w:tr>
        <w:trPr>
          <w:trHeight w:val="310" w:hRule="exact"/>
        </w:trPr>
        <w:tc>
          <w:tcPr>
            <w:tcW w:w="660" w:type="dxa"/>
          </w:tcPr>
          <w:p>
            <w:pPr>
              <w:pStyle w:val="TableParagraph"/>
              <w:ind w:right="63"/>
              <w:rPr>
                <w:sz w:val="22"/>
              </w:rPr>
            </w:pPr>
            <w:r>
              <w:rPr>
                <w:sz w:val="22"/>
              </w:rPr>
              <w:t>130</w:t>
            </w:r>
          </w:p>
        </w:tc>
        <w:tc>
          <w:tcPr>
            <w:tcW w:w="1687" w:type="dxa"/>
          </w:tcPr>
          <w:p>
            <w:pPr>
              <w:pStyle w:val="TableParagraph"/>
              <w:rPr>
                <w:sz w:val="22"/>
              </w:rPr>
            </w:pPr>
            <w:r>
              <w:rPr>
                <w:sz w:val="22"/>
              </w:rPr>
              <w:t>27/10/2009</w:t>
            </w:r>
          </w:p>
        </w:tc>
        <w:tc>
          <w:tcPr>
            <w:tcW w:w="1265" w:type="dxa"/>
          </w:tcPr>
          <w:p>
            <w:pPr>
              <w:pStyle w:val="TableParagraph"/>
              <w:ind w:right="63"/>
              <w:rPr>
                <w:sz w:val="22"/>
              </w:rPr>
            </w:pPr>
            <w:r>
              <w:rPr>
                <w:sz w:val="22"/>
              </w:rPr>
              <w:t>7.32</w:t>
            </w:r>
          </w:p>
        </w:tc>
        <w:tc>
          <w:tcPr>
            <w:tcW w:w="1188" w:type="dxa"/>
          </w:tcPr>
          <w:p>
            <w:pPr>
              <w:pStyle w:val="TableParagraph"/>
              <w:ind w:right="59"/>
              <w:rPr>
                <w:sz w:val="22"/>
              </w:rPr>
            </w:pPr>
            <w:r>
              <w:rPr>
                <w:sz w:val="22"/>
              </w:rPr>
              <w:t>7.62</w:t>
            </w:r>
          </w:p>
        </w:tc>
        <w:tc>
          <w:tcPr>
            <w:tcW w:w="612" w:type="dxa"/>
          </w:tcPr>
          <w:p>
            <w:pPr>
              <w:pStyle w:val="TableParagraph"/>
              <w:ind w:right="63"/>
              <w:rPr>
                <w:sz w:val="22"/>
              </w:rPr>
            </w:pPr>
            <w:r>
              <w:rPr>
                <w:sz w:val="22"/>
              </w:rPr>
              <w:t>7.49</w:t>
            </w:r>
          </w:p>
        </w:tc>
        <w:tc>
          <w:tcPr>
            <w:tcW w:w="1188" w:type="dxa"/>
          </w:tcPr>
          <w:p>
            <w:pPr>
              <w:pStyle w:val="TableParagraph"/>
              <w:ind w:right="59"/>
              <w:rPr>
                <w:sz w:val="22"/>
              </w:rPr>
            </w:pPr>
            <w:r>
              <w:rPr>
                <w:sz w:val="22"/>
              </w:rPr>
              <w:t>7.47</w:t>
            </w:r>
          </w:p>
        </w:tc>
        <w:tc>
          <w:tcPr>
            <w:tcW w:w="1190" w:type="dxa"/>
          </w:tcPr>
          <w:p>
            <w:pPr>
              <w:pStyle w:val="TableParagraph"/>
              <w:rPr>
                <w:sz w:val="22"/>
              </w:rPr>
            </w:pPr>
            <w:r>
              <w:rPr>
                <w:sz w:val="22"/>
              </w:rPr>
              <w:t>7.47</w:t>
            </w:r>
          </w:p>
        </w:tc>
        <w:tc>
          <w:tcPr>
            <w:tcW w:w="1190" w:type="dxa"/>
          </w:tcPr>
          <w:p>
            <w:pPr>
              <w:pStyle w:val="TableParagraph"/>
              <w:rPr>
                <w:sz w:val="22"/>
              </w:rPr>
            </w:pPr>
            <w:r>
              <w:rPr>
                <w:sz w:val="22"/>
              </w:rPr>
              <w:t>7.15</w:t>
            </w:r>
          </w:p>
        </w:tc>
      </w:tr>
      <w:tr>
        <w:trPr>
          <w:trHeight w:val="310" w:hRule="exact"/>
        </w:trPr>
        <w:tc>
          <w:tcPr>
            <w:tcW w:w="660" w:type="dxa"/>
          </w:tcPr>
          <w:p>
            <w:pPr>
              <w:pStyle w:val="TableParagraph"/>
              <w:ind w:right="63"/>
              <w:rPr>
                <w:sz w:val="22"/>
              </w:rPr>
            </w:pPr>
            <w:r>
              <w:rPr>
                <w:sz w:val="22"/>
              </w:rPr>
              <w:t>131</w:t>
            </w:r>
          </w:p>
        </w:tc>
        <w:tc>
          <w:tcPr>
            <w:tcW w:w="1687" w:type="dxa"/>
          </w:tcPr>
          <w:p>
            <w:pPr>
              <w:pStyle w:val="TableParagraph"/>
              <w:rPr>
                <w:sz w:val="22"/>
              </w:rPr>
            </w:pPr>
            <w:r>
              <w:rPr>
                <w:sz w:val="22"/>
              </w:rPr>
              <w:t>28/10/2009</w:t>
            </w:r>
          </w:p>
        </w:tc>
        <w:tc>
          <w:tcPr>
            <w:tcW w:w="1265" w:type="dxa"/>
          </w:tcPr>
          <w:p>
            <w:pPr>
              <w:pStyle w:val="TableParagraph"/>
              <w:ind w:right="63"/>
              <w:rPr>
                <w:sz w:val="22"/>
              </w:rPr>
            </w:pPr>
            <w:r>
              <w:rPr>
                <w:sz w:val="22"/>
              </w:rPr>
              <w:t>7.55</w:t>
            </w:r>
          </w:p>
        </w:tc>
        <w:tc>
          <w:tcPr>
            <w:tcW w:w="1188" w:type="dxa"/>
          </w:tcPr>
          <w:p>
            <w:pPr>
              <w:pStyle w:val="TableParagraph"/>
              <w:ind w:right="59"/>
              <w:rPr>
                <w:sz w:val="22"/>
              </w:rPr>
            </w:pPr>
            <w:r>
              <w:rPr>
                <w:sz w:val="22"/>
              </w:rPr>
              <w:t>7.68</w:t>
            </w:r>
          </w:p>
        </w:tc>
        <w:tc>
          <w:tcPr>
            <w:tcW w:w="612" w:type="dxa"/>
          </w:tcPr>
          <w:p>
            <w:pPr>
              <w:pStyle w:val="TableParagraph"/>
              <w:ind w:right="63"/>
              <w:rPr>
                <w:sz w:val="22"/>
              </w:rPr>
            </w:pPr>
            <w:r>
              <w:rPr>
                <w:sz w:val="22"/>
              </w:rPr>
              <w:t>7.44</w:t>
            </w:r>
          </w:p>
        </w:tc>
        <w:tc>
          <w:tcPr>
            <w:tcW w:w="1188" w:type="dxa"/>
          </w:tcPr>
          <w:p>
            <w:pPr>
              <w:pStyle w:val="TableParagraph"/>
              <w:ind w:right="59"/>
              <w:rPr>
                <w:sz w:val="22"/>
              </w:rPr>
            </w:pPr>
            <w:r>
              <w:rPr>
                <w:sz w:val="22"/>
              </w:rPr>
              <w:t>7.42</w:t>
            </w:r>
          </w:p>
        </w:tc>
        <w:tc>
          <w:tcPr>
            <w:tcW w:w="1190" w:type="dxa"/>
          </w:tcPr>
          <w:p>
            <w:pPr>
              <w:pStyle w:val="TableParagraph"/>
              <w:rPr>
                <w:sz w:val="22"/>
              </w:rPr>
            </w:pPr>
            <w:r>
              <w:rPr>
                <w:sz w:val="22"/>
              </w:rPr>
              <w:t>7.42</w:t>
            </w:r>
          </w:p>
        </w:tc>
        <w:tc>
          <w:tcPr>
            <w:tcW w:w="1190" w:type="dxa"/>
          </w:tcPr>
          <w:p>
            <w:pPr>
              <w:pStyle w:val="TableParagraph"/>
              <w:rPr>
                <w:sz w:val="22"/>
              </w:rPr>
            </w:pPr>
            <w:r>
              <w:rPr>
                <w:sz w:val="22"/>
              </w:rPr>
              <w:t>7.23</w:t>
            </w:r>
          </w:p>
        </w:tc>
      </w:tr>
      <w:tr>
        <w:trPr>
          <w:trHeight w:val="310" w:hRule="exact"/>
        </w:trPr>
        <w:tc>
          <w:tcPr>
            <w:tcW w:w="660" w:type="dxa"/>
          </w:tcPr>
          <w:p>
            <w:pPr>
              <w:pStyle w:val="TableParagraph"/>
              <w:spacing w:before="30"/>
              <w:ind w:right="63"/>
              <w:rPr>
                <w:sz w:val="22"/>
              </w:rPr>
            </w:pPr>
            <w:r>
              <w:rPr>
                <w:sz w:val="22"/>
              </w:rPr>
              <w:t>132</w:t>
            </w:r>
          </w:p>
        </w:tc>
        <w:tc>
          <w:tcPr>
            <w:tcW w:w="1687" w:type="dxa"/>
          </w:tcPr>
          <w:p>
            <w:pPr>
              <w:pStyle w:val="TableParagraph"/>
              <w:spacing w:before="30"/>
              <w:rPr>
                <w:sz w:val="22"/>
              </w:rPr>
            </w:pPr>
            <w:r>
              <w:rPr>
                <w:sz w:val="22"/>
              </w:rPr>
              <w:t>29/10/2009</w:t>
            </w:r>
          </w:p>
        </w:tc>
        <w:tc>
          <w:tcPr>
            <w:tcW w:w="1265" w:type="dxa"/>
          </w:tcPr>
          <w:p>
            <w:pPr>
              <w:pStyle w:val="TableParagraph"/>
              <w:spacing w:before="30"/>
              <w:ind w:right="63"/>
              <w:rPr>
                <w:sz w:val="22"/>
              </w:rPr>
            </w:pPr>
            <w:r>
              <w:rPr>
                <w:sz w:val="22"/>
              </w:rPr>
              <w:t>7.27</w:t>
            </w:r>
          </w:p>
        </w:tc>
        <w:tc>
          <w:tcPr>
            <w:tcW w:w="1188" w:type="dxa"/>
          </w:tcPr>
          <w:p>
            <w:pPr>
              <w:pStyle w:val="TableParagraph"/>
              <w:spacing w:before="30"/>
              <w:ind w:right="59"/>
              <w:rPr>
                <w:sz w:val="22"/>
              </w:rPr>
            </w:pPr>
            <w:r>
              <w:rPr>
                <w:sz w:val="22"/>
              </w:rPr>
              <w:t>7.48</w:t>
            </w:r>
          </w:p>
        </w:tc>
        <w:tc>
          <w:tcPr>
            <w:tcW w:w="612" w:type="dxa"/>
          </w:tcPr>
          <w:p>
            <w:pPr>
              <w:pStyle w:val="TableParagraph"/>
              <w:spacing w:before="30"/>
              <w:ind w:right="63"/>
              <w:rPr>
                <w:sz w:val="22"/>
              </w:rPr>
            </w:pPr>
            <w:r>
              <w:rPr>
                <w:sz w:val="22"/>
              </w:rPr>
              <w:t>7.3</w:t>
            </w:r>
          </w:p>
        </w:tc>
        <w:tc>
          <w:tcPr>
            <w:tcW w:w="1188" w:type="dxa"/>
          </w:tcPr>
          <w:p>
            <w:pPr>
              <w:pStyle w:val="TableParagraph"/>
              <w:spacing w:before="30"/>
              <w:ind w:right="59"/>
              <w:rPr>
                <w:sz w:val="22"/>
              </w:rPr>
            </w:pPr>
            <w:r>
              <w:rPr>
                <w:sz w:val="22"/>
              </w:rPr>
              <w:t>7.27</w:t>
            </w:r>
          </w:p>
        </w:tc>
        <w:tc>
          <w:tcPr>
            <w:tcW w:w="1190" w:type="dxa"/>
          </w:tcPr>
          <w:p>
            <w:pPr>
              <w:pStyle w:val="TableParagraph"/>
              <w:spacing w:before="30"/>
              <w:rPr>
                <w:sz w:val="22"/>
              </w:rPr>
            </w:pPr>
            <w:r>
              <w:rPr>
                <w:sz w:val="22"/>
              </w:rPr>
              <w:t>7.28</w:t>
            </w:r>
          </w:p>
        </w:tc>
        <w:tc>
          <w:tcPr>
            <w:tcW w:w="1190" w:type="dxa"/>
          </w:tcPr>
          <w:p>
            <w:pPr>
              <w:pStyle w:val="TableParagraph"/>
              <w:spacing w:before="30"/>
              <w:rPr>
                <w:sz w:val="22"/>
              </w:rPr>
            </w:pPr>
            <w:r>
              <w:rPr>
                <w:sz w:val="22"/>
              </w:rPr>
              <w:t>6.81</w:t>
            </w:r>
          </w:p>
        </w:tc>
      </w:tr>
      <w:tr>
        <w:trPr>
          <w:trHeight w:val="312" w:hRule="exact"/>
        </w:trPr>
        <w:tc>
          <w:tcPr>
            <w:tcW w:w="660" w:type="dxa"/>
          </w:tcPr>
          <w:p>
            <w:pPr>
              <w:pStyle w:val="TableParagraph"/>
              <w:spacing w:before="30"/>
              <w:ind w:right="63"/>
              <w:rPr>
                <w:sz w:val="22"/>
              </w:rPr>
            </w:pPr>
            <w:r>
              <w:rPr>
                <w:sz w:val="22"/>
              </w:rPr>
              <w:t>133</w:t>
            </w:r>
          </w:p>
        </w:tc>
        <w:tc>
          <w:tcPr>
            <w:tcW w:w="1687" w:type="dxa"/>
          </w:tcPr>
          <w:p>
            <w:pPr>
              <w:pStyle w:val="TableParagraph"/>
              <w:spacing w:before="30"/>
              <w:rPr>
                <w:sz w:val="22"/>
              </w:rPr>
            </w:pPr>
            <w:r>
              <w:rPr>
                <w:sz w:val="22"/>
              </w:rPr>
              <w:t>30/10/2009</w:t>
            </w:r>
          </w:p>
        </w:tc>
        <w:tc>
          <w:tcPr>
            <w:tcW w:w="1265" w:type="dxa"/>
          </w:tcPr>
          <w:p>
            <w:pPr>
              <w:pStyle w:val="TableParagraph"/>
              <w:spacing w:before="30"/>
              <w:ind w:right="63"/>
              <w:rPr>
                <w:sz w:val="22"/>
              </w:rPr>
            </w:pPr>
            <w:r>
              <w:rPr>
                <w:sz w:val="22"/>
              </w:rPr>
              <w:t>7.07</w:t>
            </w:r>
          </w:p>
        </w:tc>
        <w:tc>
          <w:tcPr>
            <w:tcW w:w="1188" w:type="dxa"/>
          </w:tcPr>
          <w:p>
            <w:pPr>
              <w:pStyle w:val="TableParagraph"/>
              <w:spacing w:before="30"/>
              <w:ind w:right="59"/>
              <w:rPr>
                <w:sz w:val="22"/>
              </w:rPr>
            </w:pPr>
            <w:r>
              <w:rPr>
                <w:sz w:val="22"/>
              </w:rPr>
              <w:t>7.28</w:t>
            </w:r>
          </w:p>
        </w:tc>
        <w:tc>
          <w:tcPr>
            <w:tcW w:w="612" w:type="dxa"/>
          </w:tcPr>
          <w:p>
            <w:pPr>
              <w:pStyle w:val="TableParagraph"/>
              <w:spacing w:before="30"/>
              <w:ind w:right="63"/>
              <w:rPr>
                <w:sz w:val="22"/>
              </w:rPr>
            </w:pPr>
            <w:r>
              <w:rPr>
                <w:sz w:val="22"/>
              </w:rPr>
              <w:t>7.11</w:t>
            </w:r>
          </w:p>
        </w:tc>
        <w:tc>
          <w:tcPr>
            <w:tcW w:w="1188" w:type="dxa"/>
          </w:tcPr>
          <w:p>
            <w:pPr>
              <w:pStyle w:val="TableParagraph"/>
              <w:spacing w:before="30"/>
              <w:ind w:right="59"/>
              <w:rPr>
                <w:sz w:val="22"/>
              </w:rPr>
            </w:pPr>
            <w:r>
              <w:rPr>
                <w:sz w:val="22"/>
              </w:rPr>
              <w:t>7.13</w:t>
            </w:r>
          </w:p>
        </w:tc>
        <w:tc>
          <w:tcPr>
            <w:tcW w:w="1190" w:type="dxa"/>
          </w:tcPr>
          <w:p>
            <w:pPr>
              <w:pStyle w:val="TableParagraph"/>
              <w:spacing w:before="30"/>
              <w:rPr>
                <w:sz w:val="22"/>
              </w:rPr>
            </w:pPr>
            <w:r>
              <w:rPr>
                <w:sz w:val="22"/>
              </w:rPr>
              <w:t>7.15</w:t>
            </w:r>
          </w:p>
        </w:tc>
        <w:tc>
          <w:tcPr>
            <w:tcW w:w="1190" w:type="dxa"/>
          </w:tcPr>
          <w:p>
            <w:pPr>
              <w:pStyle w:val="TableParagraph"/>
              <w:spacing w:before="30"/>
              <w:rPr>
                <w:sz w:val="22"/>
              </w:rPr>
            </w:pPr>
            <w:r>
              <w:rPr>
                <w:sz w:val="22"/>
              </w:rPr>
              <w:t>7.2</w:t>
            </w:r>
          </w:p>
        </w:tc>
      </w:tr>
      <w:tr>
        <w:trPr>
          <w:trHeight w:val="310" w:hRule="exact"/>
        </w:trPr>
        <w:tc>
          <w:tcPr>
            <w:tcW w:w="660" w:type="dxa"/>
          </w:tcPr>
          <w:p>
            <w:pPr>
              <w:pStyle w:val="TableParagraph"/>
              <w:ind w:right="63"/>
              <w:rPr>
                <w:sz w:val="22"/>
              </w:rPr>
            </w:pPr>
            <w:r>
              <w:rPr>
                <w:sz w:val="22"/>
              </w:rPr>
              <w:t>134</w:t>
            </w:r>
          </w:p>
        </w:tc>
        <w:tc>
          <w:tcPr>
            <w:tcW w:w="1687" w:type="dxa"/>
          </w:tcPr>
          <w:p>
            <w:pPr>
              <w:pStyle w:val="TableParagraph"/>
              <w:rPr>
                <w:sz w:val="22"/>
              </w:rPr>
            </w:pPr>
            <w:r>
              <w:rPr>
                <w:sz w:val="22"/>
              </w:rPr>
              <w:t>31/10/2009</w:t>
            </w:r>
          </w:p>
        </w:tc>
        <w:tc>
          <w:tcPr>
            <w:tcW w:w="1265" w:type="dxa"/>
          </w:tcPr>
          <w:p>
            <w:pPr>
              <w:pStyle w:val="TableParagraph"/>
              <w:ind w:right="63"/>
              <w:rPr>
                <w:sz w:val="22"/>
              </w:rPr>
            </w:pPr>
            <w:r>
              <w:rPr>
                <w:sz w:val="22"/>
              </w:rPr>
              <w:t>7.19</w:t>
            </w:r>
          </w:p>
        </w:tc>
        <w:tc>
          <w:tcPr>
            <w:tcW w:w="1188" w:type="dxa"/>
          </w:tcPr>
          <w:p>
            <w:pPr>
              <w:pStyle w:val="TableParagraph"/>
              <w:ind w:right="59"/>
              <w:rPr>
                <w:sz w:val="22"/>
              </w:rPr>
            </w:pPr>
            <w:r>
              <w:rPr>
                <w:sz w:val="22"/>
              </w:rPr>
              <w:t>7.32</w:t>
            </w:r>
          </w:p>
        </w:tc>
        <w:tc>
          <w:tcPr>
            <w:tcW w:w="612" w:type="dxa"/>
          </w:tcPr>
          <w:p>
            <w:pPr>
              <w:pStyle w:val="TableParagraph"/>
              <w:ind w:right="63"/>
              <w:rPr>
                <w:sz w:val="22"/>
              </w:rPr>
            </w:pPr>
            <w:r>
              <w:rPr>
                <w:sz w:val="22"/>
              </w:rPr>
              <w:t>7.05</w:t>
            </w:r>
          </w:p>
        </w:tc>
        <w:tc>
          <w:tcPr>
            <w:tcW w:w="1188" w:type="dxa"/>
          </w:tcPr>
          <w:p>
            <w:pPr>
              <w:pStyle w:val="TableParagraph"/>
              <w:ind w:right="59"/>
              <w:rPr>
                <w:sz w:val="22"/>
              </w:rPr>
            </w:pPr>
            <w:r>
              <w:rPr>
                <w:sz w:val="22"/>
              </w:rPr>
              <w:t>7.03</w:t>
            </w:r>
          </w:p>
        </w:tc>
        <w:tc>
          <w:tcPr>
            <w:tcW w:w="1190" w:type="dxa"/>
          </w:tcPr>
          <w:p>
            <w:pPr>
              <w:pStyle w:val="TableParagraph"/>
              <w:rPr>
                <w:sz w:val="22"/>
              </w:rPr>
            </w:pPr>
            <w:r>
              <w:rPr>
                <w:sz w:val="22"/>
              </w:rPr>
              <w:t>7.06</w:t>
            </w:r>
          </w:p>
        </w:tc>
        <w:tc>
          <w:tcPr>
            <w:tcW w:w="1190" w:type="dxa"/>
          </w:tcPr>
          <w:p>
            <w:pPr>
              <w:pStyle w:val="TableParagraph"/>
              <w:rPr>
                <w:sz w:val="22"/>
              </w:rPr>
            </w:pPr>
            <w:r>
              <w:rPr>
                <w:sz w:val="22"/>
              </w:rPr>
              <w:t>7.14</w:t>
            </w:r>
          </w:p>
        </w:tc>
      </w:tr>
      <w:tr>
        <w:trPr>
          <w:trHeight w:val="310" w:hRule="exact"/>
        </w:trPr>
        <w:tc>
          <w:tcPr>
            <w:tcW w:w="660" w:type="dxa"/>
          </w:tcPr>
          <w:p>
            <w:pPr>
              <w:pStyle w:val="TableParagraph"/>
              <w:ind w:right="63"/>
              <w:rPr>
                <w:sz w:val="22"/>
              </w:rPr>
            </w:pPr>
            <w:r>
              <w:rPr>
                <w:sz w:val="22"/>
              </w:rPr>
              <w:t>135</w:t>
            </w:r>
          </w:p>
        </w:tc>
        <w:tc>
          <w:tcPr>
            <w:tcW w:w="1687" w:type="dxa"/>
          </w:tcPr>
          <w:p>
            <w:pPr>
              <w:pStyle w:val="TableParagraph"/>
              <w:rPr>
                <w:sz w:val="22"/>
              </w:rPr>
            </w:pPr>
            <w:r>
              <w:rPr>
                <w:sz w:val="22"/>
              </w:rPr>
              <w:t>01/11/2009</w:t>
            </w:r>
          </w:p>
        </w:tc>
        <w:tc>
          <w:tcPr>
            <w:tcW w:w="1265" w:type="dxa"/>
          </w:tcPr>
          <w:p>
            <w:pPr>
              <w:pStyle w:val="TableParagraph"/>
              <w:ind w:right="63"/>
              <w:rPr>
                <w:sz w:val="22"/>
              </w:rPr>
            </w:pPr>
            <w:r>
              <w:rPr>
                <w:sz w:val="22"/>
              </w:rPr>
              <w:t>7.1</w:t>
            </w:r>
          </w:p>
        </w:tc>
        <w:tc>
          <w:tcPr>
            <w:tcW w:w="1188" w:type="dxa"/>
          </w:tcPr>
          <w:p>
            <w:pPr>
              <w:pStyle w:val="TableParagraph"/>
              <w:ind w:right="59"/>
              <w:rPr>
                <w:sz w:val="22"/>
              </w:rPr>
            </w:pPr>
            <w:r>
              <w:rPr>
                <w:sz w:val="22"/>
              </w:rPr>
              <w:t>7.16</w:t>
            </w:r>
          </w:p>
        </w:tc>
        <w:tc>
          <w:tcPr>
            <w:tcW w:w="612" w:type="dxa"/>
          </w:tcPr>
          <w:p>
            <w:pPr>
              <w:pStyle w:val="TableParagraph"/>
              <w:ind w:right="63"/>
              <w:rPr>
                <w:sz w:val="22"/>
              </w:rPr>
            </w:pPr>
            <w:r>
              <w:rPr>
                <w:sz w:val="22"/>
              </w:rPr>
              <w:t>6.97</w:t>
            </w:r>
          </w:p>
        </w:tc>
        <w:tc>
          <w:tcPr>
            <w:tcW w:w="1188" w:type="dxa"/>
          </w:tcPr>
          <w:p>
            <w:pPr>
              <w:pStyle w:val="TableParagraph"/>
              <w:ind w:right="59"/>
              <w:rPr>
                <w:sz w:val="22"/>
              </w:rPr>
            </w:pPr>
            <w:r>
              <w:rPr>
                <w:sz w:val="22"/>
              </w:rPr>
              <w:t>6.96</w:t>
            </w:r>
          </w:p>
        </w:tc>
        <w:tc>
          <w:tcPr>
            <w:tcW w:w="1190" w:type="dxa"/>
          </w:tcPr>
          <w:p>
            <w:pPr>
              <w:pStyle w:val="TableParagraph"/>
              <w:rPr>
                <w:sz w:val="22"/>
              </w:rPr>
            </w:pPr>
            <w:r>
              <w:rPr>
                <w:sz w:val="22"/>
              </w:rPr>
              <w:t>6.95</w:t>
            </w:r>
          </w:p>
        </w:tc>
        <w:tc>
          <w:tcPr>
            <w:tcW w:w="1190" w:type="dxa"/>
          </w:tcPr>
          <w:p>
            <w:pPr>
              <w:pStyle w:val="TableParagraph"/>
              <w:rPr>
                <w:sz w:val="22"/>
              </w:rPr>
            </w:pPr>
            <w:r>
              <w:rPr>
                <w:sz w:val="22"/>
              </w:rPr>
              <w:t>7.09</w:t>
            </w:r>
          </w:p>
        </w:tc>
      </w:tr>
      <w:tr>
        <w:trPr>
          <w:trHeight w:val="310" w:hRule="exact"/>
        </w:trPr>
        <w:tc>
          <w:tcPr>
            <w:tcW w:w="660" w:type="dxa"/>
          </w:tcPr>
          <w:p>
            <w:pPr>
              <w:pStyle w:val="TableParagraph"/>
              <w:ind w:right="63"/>
              <w:rPr>
                <w:sz w:val="22"/>
              </w:rPr>
            </w:pPr>
            <w:r>
              <w:rPr>
                <w:sz w:val="22"/>
              </w:rPr>
              <w:t>136</w:t>
            </w:r>
          </w:p>
        </w:tc>
        <w:tc>
          <w:tcPr>
            <w:tcW w:w="1687" w:type="dxa"/>
          </w:tcPr>
          <w:p>
            <w:pPr>
              <w:pStyle w:val="TableParagraph"/>
              <w:rPr>
                <w:sz w:val="22"/>
              </w:rPr>
            </w:pPr>
            <w:r>
              <w:rPr>
                <w:sz w:val="22"/>
              </w:rPr>
              <w:t>02/11/2009</w:t>
            </w:r>
          </w:p>
        </w:tc>
        <w:tc>
          <w:tcPr>
            <w:tcW w:w="1265" w:type="dxa"/>
          </w:tcPr>
          <w:p>
            <w:pPr>
              <w:pStyle w:val="TableParagraph"/>
              <w:ind w:right="63"/>
              <w:rPr>
                <w:sz w:val="22"/>
              </w:rPr>
            </w:pPr>
            <w:r>
              <w:rPr>
                <w:sz w:val="22"/>
              </w:rPr>
              <w:t>7.23</w:t>
            </w:r>
          </w:p>
        </w:tc>
        <w:tc>
          <w:tcPr>
            <w:tcW w:w="1188" w:type="dxa"/>
          </w:tcPr>
          <w:p>
            <w:pPr>
              <w:pStyle w:val="TableParagraph"/>
              <w:ind w:right="59"/>
              <w:rPr>
                <w:sz w:val="22"/>
              </w:rPr>
            </w:pPr>
            <w:r>
              <w:rPr>
                <w:sz w:val="22"/>
              </w:rPr>
              <w:t>7.64</w:t>
            </w:r>
          </w:p>
        </w:tc>
        <w:tc>
          <w:tcPr>
            <w:tcW w:w="612" w:type="dxa"/>
          </w:tcPr>
          <w:p>
            <w:pPr>
              <w:pStyle w:val="TableParagraph"/>
              <w:ind w:right="63"/>
              <w:rPr>
                <w:sz w:val="22"/>
              </w:rPr>
            </w:pPr>
            <w:r>
              <w:rPr>
                <w:sz w:val="22"/>
              </w:rPr>
              <w:t>7.49</w:t>
            </w:r>
          </w:p>
        </w:tc>
        <w:tc>
          <w:tcPr>
            <w:tcW w:w="1188" w:type="dxa"/>
          </w:tcPr>
          <w:p>
            <w:pPr>
              <w:pStyle w:val="TableParagraph"/>
              <w:ind w:right="59"/>
              <w:rPr>
                <w:sz w:val="22"/>
              </w:rPr>
            </w:pPr>
            <w:r>
              <w:rPr>
                <w:sz w:val="22"/>
              </w:rPr>
              <w:t>7.46</w:t>
            </w:r>
          </w:p>
        </w:tc>
        <w:tc>
          <w:tcPr>
            <w:tcW w:w="1190" w:type="dxa"/>
          </w:tcPr>
          <w:p>
            <w:pPr>
              <w:pStyle w:val="TableParagraph"/>
              <w:rPr>
                <w:sz w:val="22"/>
              </w:rPr>
            </w:pPr>
            <w:r>
              <w:rPr>
                <w:sz w:val="22"/>
              </w:rPr>
              <w:t>7.35</w:t>
            </w:r>
          </w:p>
        </w:tc>
        <w:tc>
          <w:tcPr>
            <w:tcW w:w="1190" w:type="dxa"/>
          </w:tcPr>
          <w:p>
            <w:pPr>
              <w:pStyle w:val="TableParagraph"/>
              <w:rPr>
                <w:sz w:val="22"/>
              </w:rPr>
            </w:pPr>
            <w:r>
              <w:rPr>
                <w:sz w:val="22"/>
              </w:rPr>
              <w:t>7.54</w:t>
            </w:r>
          </w:p>
        </w:tc>
      </w:tr>
      <w:tr>
        <w:trPr>
          <w:trHeight w:val="310" w:hRule="exact"/>
        </w:trPr>
        <w:tc>
          <w:tcPr>
            <w:tcW w:w="660" w:type="dxa"/>
          </w:tcPr>
          <w:p>
            <w:pPr>
              <w:pStyle w:val="TableParagraph"/>
              <w:ind w:right="63"/>
              <w:rPr>
                <w:sz w:val="22"/>
              </w:rPr>
            </w:pPr>
            <w:r>
              <w:rPr>
                <w:sz w:val="22"/>
              </w:rPr>
              <w:t>137</w:t>
            </w:r>
          </w:p>
        </w:tc>
        <w:tc>
          <w:tcPr>
            <w:tcW w:w="1687" w:type="dxa"/>
          </w:tcPr>
          <w:p>
            <w:pPr>
              <w:pStyle w:val="TableParagraph"/>
              <w:rPr>
                <w:sz w:val="22"/>
              </w:rPr>
            </w:pPr>
            <w:r>
              <w:rPr>
                <w:sz w:val="22"/>
              </w:rPr>
              <w:t>03/11/2009</w:t>
            </w:r>
          </w:p>
        </w:tc>
        <w:tc>
          <w:tcPr>
            <w:tcW w:w="1265" w:type="dxa"/>
          </w:tcPr>
          <w:p>
            <w:pPr>
              <w:pStyle w:val="TableParagraph"/>
              <w:ind w:right="63"/>
              <w:rPr>
                <w:sz w:val="22"/>
              </w:rPr>
            </w:pPr>
            <w:r>
              <w:rPr>
                <w:sz w:val="22"/>
              </w:rPr>
              <w:t>7.11</w:t>
            </w:r>
          </w:p>
        </w:tc>
        <w:tc>
          <w:tcPr>
            <w:tcW w:w="1188" w:type="dxa"/>
          </w:tcPr>
          <w:p>
            <w:pPr>
              <w:pStyle w:val="TableParagraph"/>
              <w:ind w:right="59"/>
              <w:rPr>
                <w:sz w:val="22"/>
              </w:rPr>
            </w:pPr>
            <w:r>
              <w:rPr>
                <w:sz w:val="22"/>
              </w:rPr>
              <w:t>7.4</w:t>
            </w:r>
          </w:p>
        </w:tc>
        <w:tc>
          <w:tcPr>
            <w:tcW w:w="612" w:type="dxa"/>
          </w:tcPr>
          <w:p>
            <w:pPr>
              <w:pStyle w:val="TableParagraph"/>
              <w:ind w:right="63"/>
              <w:rPr>
                <w:sz w:val="22"/>
              </w:rPr>
            </w:pPr>
            <w:r>
              <w:rPr>
                <w:sz w:val="22"/>
              </w:rPr>
              <w:t>7.22</w:t>
            </w:r>
          </w:p>
        </w:tc>
        <w:tc>
          <w:tcPr>
            <w:tcW w:w="1188" w:type="dxa"/>
          </w:tcPr>
          <w:p>
            <w:pPr>
              <w:pStyle w:val="TableParagraph"/>
              <w:ind w:right="59"/>
              <w:rPr>
                <w:sz w:val="22"/>
              </w:rPr>
            </w:pPr>
            <w:r>
              <w:rPr>
                <w:sz w:val="22"/>
              </w:rPr>
              <w:t>7.22</w:t>
            </w:r>
          </w:p>
        </w:tc>
        <w:tc>
          <w:tcPr>
            <w:tcW w:w="1190" w:type="dxa"/>
          </w:tcPr>
          <w:p>
            <w:pPr>
              <w:pStyle w:val="TableParagraph"/>
              <w:rPr>
                <w:sz w:val="22"/>
              </w:rPr>
            </w:pPr>
            <w:r>
              <w:rPr>
                <w:sz w:val="22"/>
              </w:rPr>
              <w:t>7.25</w:t>
            </w:r>
          </w:p>
        </w:tc>
        <w:tc>
          <w:tcPr>
            <w:tcW w:w="1190" w:type="dxa"/>
          </w:tcPr>
          <w:p>
            <w:pPr>
              <w:pStyle w:val="TableParagraph"/>
              <w:rPr>
                <w:sz w:val="22"/>
              </w:rPr>
            </w:pPr>
            <w:r>
              <w:rPr>
                <w:sz w:val="22"/>
              </w:rPr>
              <w:t>7.01</w:t>
            </w:r>
          </w:p>
        </w:tc>
      </w:tr>
      <w:tr>
        <w:trPr>
          <w:trHeight w:val="310" w:hRule="exact"/>
        </w:trPr>
        <w:tc>
          <w:tcPr>
            <w:tcW w:w="660" w:type="dxa"/>
          </w:tcPr>
          <w:p>
            <w:pPr>
              <w:pStyle w:val="TableParagraph"/>
              <w:spacing w:before="30"/>
              <w:ind w:right="63"/>
              <w:rPr>
                <w:sz w:val="22"/>
              </w:rPr>
            </w:pPr>
            <w:r>
              <w:rPr>
                <w:sz w:val="22"/>
              </w:rPr>
              <w:t>138</w:t>
            </w:r>
          </w:p>
        </w:tc>
        <w:tc>
          <w:tcPr>
            <w:tcW w:w="1687" w:type="dxa"/>
          </w:tcPr>
          <w:p>
            <w:pPr>
              <w:pStyle w:val="TableParagraph"/>
              <w:spacing w:before="30"/>
              <w:rPr>
                <w:sz w:val="22"/>
              </w:rPr>
            </w:pPr>
            <w:r>
              <w:rPr>
                <w:sz w:val="22"/>
              </w:rPr>
              <w:t>04/11/2009</w:t>
            </w:r>
          </w:p>
        </w:tc>
        <w:tc>
          <w:tcPr>
            <w:tcW w:w="1265" w:type="dxa"/>
          </w:tcPr>
          <w:p>
            <w:pPr>
              <w:pStyle w:val="TableParagraph"/>
              <w:spacing w:before="30"/>
              <w:ind w:right="63"/>
              <w:rPr>
                <w:sz w:val="22"/>
              </w:rPr>
            </w:pPr>
            <w:r>
              <w:rPr>
                <w:sz w:val="22"/>
              </w:rPr>
              <w:t>7.04</w:t>
            </w:r>
          </w:p>
        </w:tc>
        <w:tc>
          <w:tcPr>
            <w:tcW w:w="1188" w:type="dxa"/>
          </w:tcPr>
          <w:p>
            <w:pPr>
              <w:pStyle w:val="TableParagraph"/>
              <w:spacing w:before="30"/>
              <w:ind w:right="59"/>
              <w:rPr>
                <w:sz w:val="22"/>
              </w:rPr>
            </w:pPr>
            <w:r>
              <w:rPr>
                <w:sz w:val="22"/>
              </w:rPr>
              <w:t>7.36</w:t>
            </w:r>
          </w:p>
        </w:tc>
        <w:tc>
          <w:tcPr>
            <w:tcW w:w="612" w:type="dxa"/>
          </w:tcPr>
          <w:p>
            <w:pPr>
              <w:pStyle w:val="TableParagraph"/>
              <w:spacing w:before="30"/>
              <w:ind w:right="63"/>
              <w:rPr>
                <w:sz w:val="22"/>
              </w:rPr>
            </w:pPr>
            <w:r>
              <w:rPr>
                <w:sz w:val="22"/>
              </w:rPr>
              <w:t>7.14</w:t>
            </w:r>
          </w:p>
        </w:tc>
        <w:tc>
          <w:tcPr>
            <w:tcW w:w="1188" w:type="dxa"/>
          </w:tcPr>
          <w:p>
            <w:pPr>
              <w:pStyle w:val="TableParagraph"/>
              <w:spacing w:before="30"/>
              <w:ind w:right="59"/>
              <w:rPr>
                <w:sz w:val="22"/>
              </w:rPr>
            </w:pPr>
            <w:r>
              <w:rPr>
                <w:sz w:val="22"/>
              </w:rPr>
              <w:t>7.2</w:t>
            </w:r>
          </w:p>
        </w:tc>
        <w:tc>
          <w:tcPr>
            <w:tcW w:w="1190" w:type="dxa"/>
          </w:tcPr>
          <w:p>
            <w:pPr>
              <w:pStyle w:val="TableParagraph"/>
              <w:spacing w:before="30"/>
              <w:rPr>
                <w:sz w:val="22"/>
              </w:rPr>
            </w:pPr>
            <w:r>
              <w:rPr>
                <w:sz w:val="22"/>
              </w:rPr>
              <w:t>7.23</w:t>
            </w:r>
          </w:p>
        </w:tc>
        <w:tc>
          <w:tcPr>
            <w:tcW w:w="1190" w:type="dxa"/>
          </w:tcPr>
          <w:p>
            <w:pPr>
              <w:pStyle w:val="TableParagraph"/>
              <w:spacing w:before="30"/>
              <w:rPr>
                <w:sz w:val="22"/>
              </w:rPr>
            </w:pPr>
            <w:r>
              <w:rPr>
                <w:sz w:val="22"/>
              </w:rPr>
              <w:t>7.05</w:t>
            </w:r>
          </w:p>
        </w:tc>
      </w:tr>
      <w:tr>
        <w:trPr>
          <w:trHeight w:val="312" w:hRule="exact"/>
        </w:trPr>
        <w:tc>
          <w:tcPr>
            <w:tcW w:w="660" w:type="dxa"/>
          </w:tcPr>
          <w:p>
            <w:pPr>
              <w:pStyle w:val="TableParagraph"/>
              <w:spacing w:before="30"/>
              <w:ind w:right="63"/>
              <w:rPr>
                <w:sz w:val="22"/>
              </w:rPr>
            </w:pPr>
            <w:r>
              <w:rPr>
                <w:sz w:val="22"/>
              </w:rPr>
              <w:t>139</w:t>
            </w:r>
          </w:p>
        </w:tc>
        <w:tc>
          <w:tcPr>
            <w:tcW w:w="1687" w:type="dxa"/>
          </w:tcPr>
          <w:p>
            <w:pPr>
              <w:pStyle w:val="TableParagraph"/>
              <w:spacing w:before="30"/>
              <w:rPr>
                <w:sz w:val="22"/>
              </w:rPr>
            </w:pPr>
            <w:r>
              <w:rPr>
                <w:sz w:val="22"/>
              </w:rPr>
              <w:t>05/11/2009</w:t>
            </w:r>
          </w:p>
        </w:tc>
        <w:tc>
          <w:tcPr>
            <w:tcW w:w="1265" w:type="dxa"/>
          </w:tcPr>
          <w:p>
            <w:pPr>
              <w:pStyle w:val="TableParagraph"/>
              <w:spacing w:before="30"/>
              <w:ind w:right="63"/>
              <w:rPr>
                <w:sz w:val="22"/>
              </w:rPr>
            </w:pPr>
            <w:r>
              <w:rPr>
                <w:sz w:val="22"/>
              </w:rPr>
              <w:t>7.41</w:t>
            </w:r>
          </w:p>
        </w:tc>
        <w:tc>
          <w:tcPr>
            <w:tcW w:w="1188" w:type="dxa"/>
          </w:tcPr>
          <w:p>
            <w:pPr>
              <w:pStyle w:val="TableParagraph"/>
              <w:spacing w:before="30"/>
              <w:ind w:right="59"/>
              <w:rPr>
                <w:sz w:val="22"/>
              </w:rPr>
            </w:pPr>
            <w:r>
              <w:rPr>
                <w:sz w:val="22"/>
              </w:rPr>
              <w:t>7.39</w:t>
            </w:r>
          </w:p>
        </w:tc>
        <w:tc>
          <w:tcPr>
            <w:tcW w:w="612" w:type="dxa"/>
          </w:tcPr>
          <w:p>
            <w:pPr>
              <w:pStyle w:val="TableParagraph"/>
              <w:spacing w:before="30"/>
              <w:ind w:right="63"/>
              <w:rPr>
                <w:sz w:val="22"/>
              </w:rPr>
            </w:pPr>
            <w:r>
              <w:rPr>
                <w:sz w:val="22"/>
              </w:rPr>
              <w:t>7.14</w:t>
            </w:r>
          </w:p>
        </w:tc>
        <w:tc>
          <w:tcPr>
            <w:tcW w:w="1188" w:type="dxa"/>
          </w:tcPr>
          <w:p>
            <w:pPr>
              <w:pStyle w:val="TableParagraph"/>
              <w:spacing w:before="30"/>
              <w:ind w:right="59"/>
              <w:rPr>
                <w:sz w:val="22"/>
              </w:rPr>
            </w:pPr>
            <w:r>
              <w:rPr>
                <w:sz w:val="22"/>
              </w:rPr>
              <w:t>6.97</w:t>
            </w:r>
          </w:p>
        </w:tc>
        <w:tc>
          <w:tcPr>
            <w:tcW w:w="1190" w:type="dxa"/>
          </w:tcPr>
          <w:p>
            <w:pPr>
              <w:pStyle w:val="TableParagraph"/>
              <w:spacing w:before="30"/>
              <w:rPr>
                <w:sz w:val="22"/>
              </w:rPr>
            </w:pPr>
            <w:r>
              <w:rPr>
                <w:w w:val="100"/>
                <w:sz w:val="22"/>
              </w:rPr>
              <w:t>7</w:t>
            </w:r>
          </w:p>
        </w:tc>
        <w:tc>
          <w:tcPr>
            <w:tcW w:w="1190" w:type="dxa"/>
          </w:tcPr>
          <w:p>
            <w:pPr>
              <w:pStyle w:val="TableParagraph"/>
              <w:spacing w:before="30"/>
              <w:rPr>
                <w:sz w:val="22"/>
              </w:rPr>
            </w:pPr>
            <w:r>
              <w:rPr>
                <w:sz w:val="22"/>
              </w:rPr>
              <w:t>7.16</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60"/>
        <w:gridCol w:w="1687"/>
        <w:gridCol w:w="1265"/>
        <w:gridCol w:w="1188"/>
        <w:gridCol w:w="612"/>
        <w:gridCol w:w="1188"/>
        <w:gridCol w:w="1190"/>
        <w:gridCol w:w="1190"/>
      </w:tblGrid>
      <w:tr>
        <w:trPr>
          <w:trHeight w:val="310" w:hRule="exact"/>
        </w:trPr>
        <w:tc>
          <w:tcPr>
            <w:tcW w:w="8981" w:type="dxa"/>
            <w:gridSpan w:val="8"/>
            <w:shd w:val="clear" w:color="auto" w:fill="E6B9B8"/>
          </w:tcPr>
          <w:p>
            <w:pPr>
              <w:pStyle w:val="TableParagraph"/>
              <w:ind w:left="4337" w:right="4337"/>
              <w:jc w:val="center"/>
              <w:rPr>
                <w:b/>
                <w:sz w:val="22"/>
              </w:rPr>
            </w:pPr>
            <w:r>
              <w:rPr>
                <w:b/>
                <w:sz w:val="22"/>
              </w:rPr>
              <w:t>pH</w:t>
            </w:r>
          </w:p>
        </w:tc>
      </w:tr>
      <w:tr>
        <w:trPr>
          <w:trHeight w:val="610" w:hRule="exact"/>
        </w:trPr>
        <w:tc>
          <w:tcPr>
            <w:tcW w:w="660" w:type="dxa"/>
            <w:vMerge w:val="restart"/>
            <w:shd w:val="clear" w:color="auto" w:fill="E6B9B8"/>
          </w:tcPr>
          <w:p>
            <w:pPr>
              <w:pStyle w:val="TableParagraph"/>
              <w:spacing w:before="8"/>
              <w:ind w:right="0"/>
              <w:jc w:val="left"/>
              <w:rPr>
                <w:rFonts w:ascii="Times New Roman"/>
                <w:sz w:val="27"/>
              </w:rPr>
            </w:pPr>
          </w:p>
          <w:p>
            <w:pPr>
              <w:pStyle w:val="TableParagraph"/>
              <w:spacing w:before="0"/>
              <w:ind w:left="129" w:right="0"/>
              <w:jc w:val="left"/>
              <w:rPr>
                <w:b/>
                <w:sz w:val="22"/>
              </w:rPr>
            </w:pPr>
            <w:r>
              <w:rPr>
                <w:b/>
                <w:sz w:val="22"/>
              </w:rPr>
              <w:t>Días</w:t>
            </w:r>
          </w:p>
        </w:tc>
        <w:tc>
          <w:tcPr>
            <w:tcW w:w="1687" w:type="dxa"/>
            <w:vMerge w:val="restart"/>
            <w:shd w:val="clear" w:color="auto" w:fill="E6B9B8"/>
          </w:tcPr>
          <w:p>
            <w:pPr>
              <w:pStyle w:val="TableParagraph"/>
              <w:spacing w:before="8"/>
              <w:ind w:right="0"/>
              <w:jc w:val="left"/>
              <w:rPr>
                <w:rFonts w:ascii="Times New Roman"/>
                <w:sz w:val="27"/>
              </w:rPr>
            </w:pPr>
          </w:p>
          <w:p>
            <w:pPr>
              <w:pStyle w:val="TableParagraph"/>
              <w:spacing w:before="0"/>
              <w:ind w:left="553" w:right="553"/>
              <w:jc w:val="center"/>
              <w:rPr>
                <w:b/>
                <w:sz w:val="22"/>
              </w:rPr>
            </w:pPr>
            <w:r>
              <w:rPr>
                <w:b/>
                <w:sz w:val="22"/>
              </w:rPr>
              <w:t>Fecha</w:t>
            </w:r>
          </w:p>
        </w:tc>
        <w:tc>
          <w:tcPr>
            <w:tcW w:w="6634" w:type="dxa"/>
            <w:gridSpan w:val="6"/>
            <w:shd w:val="clear" w:color="auto" w:fill="E6B9B8"/>
          </w:tcPr>
          <w:p>
            <w:pPr>
              <w:pStyle w:val="TableParagraph"/>
              <w:spacing w:before="162"/>
              <w:ind w:left="2371" w:right="2370"/>
              <w:jc w:val="center"/>
              <w:rPr>
                <w:b/>
                <w:sz w:val="22"/>
              </w:rPr>
            </w:pPr>
            <w:r>
              <w:rPr>
                <w:b/>
                <w:sz w:val="22"/>
              </w:rPr>
              <w:t>Puntos de muestreo</w:t>
            </w:r>
          </w:p>
        </w:tc>
      </w:tr>
      <w:tr>
        <w:trPr>
          <w:trHeight w:val="310" w:hRule="exact"/>
        </w:trPr>
        <w:tc>
          <w:tcPr>
            <w:tcW w:w="660" w:type="dxa"/>
            <w:vMerge/>
            <w:shd w:val="clear" w:color="auto" w:fill="E6B9B8"/>
          </w:tcPr>
          <w:p>
            <w:pPr/>
          </w:p>
        </w:tc>
        <w:tc>
          <w:tcPr>
            <w:tcW w:w="1687" w:type="dxa"/>
            <w:vMerge/>
            <w:shd w:val="clear" w:color="auto" w:fill="E6B9B8"/>
          </w:tcPr>
          <w:p>
            <w:pPr/>
          </w:p>
        </w:tc>
        <w:tc>
          <w:tcPr>
            <w:tcW w:w="1265" w:type="dxa"/>
            <w:shd w:val="clear" w:color="auto" w:fill="E6B9B8"/>
          </w:tcPr>
          <w:p>
            <w:pPr>
              <w:pStyle w:val="TableParagraph"/>
              <w:spacing w:before="13"/>
              <w:ind w:right="1"/>
              <w:jc w:val="center"/>
              <w:rPr>
                <w:b/>
                <w:sz w:val="22"/>
              </w:rPr>
            </w:pPr>
            <w:r>
              <w:rPr>
                <w:b/>
                <w:w w:val="100"/>
                <w:sz w:val="22"/>
              </w:rPr>
              <w:t>A</w:t>
            </w:r>
          </w:p>
        </w:tc>
        <w:tc>
          <w:tcPr>
            <w:tcW w:w="1188" w:type="dxa"/>
            <w:shd w:val="clear" w:color="auto" w:fill="E6B9B8"/>
          </w:tcPr>
          <w:p>
            <w:pPr>
              <w:pStyle w:val="TableParagraph"/>
              <w:spacing w:before="13"/>
              <w:ind w:left="1" w:right="0"/>
              <w:jc w:val="center"/>
              <w:rPr>
                <w:b/>
                <w:sz w:val="22"/>
              </w:rPr>
            </w:pPr>
            <w:r>
              <w:rPr>
                <w:b/>
                <w:w w:val="100"/>
                <w:sz w:val="22"/>
              </w:rPr>
              <w:t>B</w:t>
            </w:r>
          </w:p>
        </w:tc>
        <w:tc>
          <w:tcPr>
            <w:tcW w:w="612" w:type="dxa"/>
            <w:shd w:val="clear" w:color="auto" w:fill="E6B9B8"/>
          </w:tcPr>
          <w:p>
            <w:pPr>
              <w:pStyle w:val="TableParagraph"/>
              <w:spacing w:before="30"/>
              <w:ind w:right="3"/>
              <w:jc w:val="center"/>
              <w:rPr>
                <w:b/>
                <w:sz w:val="22"/>
              </w:rPr>
            </w:pPr>
            <w:r>
              <w:rPr>
                <w:b/>
                <w:w w:val="100"/>
                <w:sz w:val="22"/>
              </w:rPr>
              <w:t>C</w:t>
            </w:r>
          </w:p>
        </w:tc>
        <w:tc>
          <w:tcPr>
            <w:tcW w:w="1188" w:type="dxa"/>
            <w:shd w:val="clear" w:color="auto" w:fill="E6B9B8"/>
          </w:tcPr>
          <w:p>
            <w:pPr>
              <w:pStyle w:val="TableParagraph"/>
              <w:spacing w:before="13"/>
              <w:ind w:left="2" w:right="0"/>
              <w:jc w:val="center"/>
              <w:rPr>
                <w:b/>
                <w:sz w:val="22"/>
              </w:rPr>
            </w:pPr>
            <w:r>
              <w:rPr>
                <w:b/>
                <w:w w:val="100"/>
                <w:sz w:val="22"/>
              </w:rPr>
              <w:t>D</w:t>
            </w:r>
          </w:p>
        </w:tc>
        <w:tc>
          <w:tcPr>
            <w:tcW w:w="1190" w:type="dxa"/>
            <w:shd w:val="clear" w:color="auto" w:fill="E6B9B8"/>
          </w:tcPr>
          <w:p>
            <w:pPr>
              <w:pStyle w:val="TableParagraph"/>
              <w:spacing w:before="13"/>
              <w:ind w:right="0"/>
              <w:jc w:val="center"/>
              <w:rPr>
                <w:b/>
                <w:sz w:val="22"/>
              </w:rPr>
            </w:pPr>
            <w:r>
              <w:rPr>
                <w:b/>
                <w:w w:val="100"/>
                <w:sz w:val="22"/>
              </w:rPr>
              <w:t>E</w:t>
            </w:r>
          </w:p>
        </w:tc>
        <w:tc>
          <w:tcPr>
            <w:tcW w:w="1190" w:type="dxa"/>
            <w:shd w:val="clear" w:color="auto" w:fill="E6B9B8"/>
          </w:tcPr>
          <w:p>
            <w:pPr>
              <w:pStyle w:val="TableParagraph"/>
              <w:spacing w:before="13"/>
              <w:ind w:left="1" w:right="0"/>
              <w:jc w:val="center"/>
              <w:rPr>
                <w:b/>
                <w:sz w:val="22"/>
              </w:rPr>
            </w:pPr>
            <w:r>
              <w:rPr>
                <w:b/>
                <w:w w:val="100"/>
                <w:sz w:val="22"/>
              </w:rPr>
              <w:t>G</w:t>
            </w:r>
          </w:p>
        </w:tc>
      </w:tr>
      <w:tr>
        <w:trPr>
          <w:trHeight w:val="312" w:hRule="exact"/>
        </w:trPr>
        <w:tc>
          <w:tcPr>
            <w:tcW w:w="660" w:type="dxa"/>
          </w:tcPr>
          <w:p>
            <w:pPr>
              <w:pStyle w:val="TableParagraph"/>
              <w:spacing w:before="30"/>
              <w:ind w:right="63"/>
              <w:rPr>
                <w:sz w:val="22"/>
              </w:rPr>
            </w:pPr>
            <w:r>
              <w:rPr>
                <w:sz w:val="22"/>
              </w:rPr>
              <w:t>140</w:t>
            </w:r>
          </w:p>
        </w:tc>
        <w:tc>
          <w:tcPr>
            <w:tcW w:w="1687" w:type="dxa"/>
          </w:tcPr>
          <w:p>
            <w:pPr>
              <w:pStyle w:val="TableParagraph"/>
              <w:spacing w:before="30"/>
              <w:rPr>
                <w:sz w:val="22"/>
              </w:rPr>
            </w:pPr>
            <w:r>
              <w:rPr>
                <w:sz w:val="22"/>
              </w:rPr>
              <w:t>06/11/2009</w:t>
            </w:r>
          </w:p>
        </w:tc>
        <w:tc>
          <w:tcPr>
            <w:tcW w:w="1265" w:type="dxa"/>
          </w:tcPr>
          <w:p>
            <w:pPr>
              <w:pStyle w:val="TableParagraph"/>
              <w:spacing w:before="30"/>
              <w:ind w:right="63"/>
              <w:rPr>
                <w:sz w:val="22"/>
              </w:rPr>
            </w:pPr>
            <w:r>
              <w:rPr>
                <w:sz w:val="22"/>
              </w:rPr>
              <w:t>7.71</w:t>
            </w:r>
          </w:p>
        </w:tc>
        <w:tc>
          <w:tcPr>
            <w:tcW w:w="1188" w:type="dxa"/>
          </w:tcPr>
          <w:p>
            <w:pPr>
              <w:pStyle w:val="TableParagraph"/>
              <w:spacing w:before="30"/>
              <w:ind w:right="59"/>
              <w:rPr>
                <w:sz w:val="22"/>
              </w:rPr>
            </w:pPr>
            <w:r>
              <w:rPr>
                <w:sz w:val="22"/>
              </w:rPr>
              <w:t>7.14</w:t>
            </w:r>
          </w:p>
        </w:tc>
        <w:tc>
          <w:tcPr>
            <w:tcW w:w="612" w:type="dxa"/>
          </w:tcPr>
          <w:p>
            <w:pPr>
              <w:pStyle w:val="TableParagraph"/>
              <w:spacing w:before="30"/>
              <w:ind w:right="63"/>
              <w:rPr>
                <w:sz w:val="22"/>
              </w:rPr>
            </w:pPr>
            <w:r>
              <w:rPr>
                <w:sz w:val="22"/>
              </w:rPr>
              <w:t>7.31</w:t>
            </w:r>
          </w:p>
        </w:tc>
        <w:tc>
          <w:tcPr>
            <w:tcW w:w="1188" w:type="dxa"/>
          </w:tcPr>
          <w:p>
            <w:pPr>
              <w:pStyle w:val="TableParagraph"/>
              <w:spacing w:before="30"/>
              <w:ind w:right="59"/>
              <w:rPr>
                <w:sz w:val="22"/>
              </w:rPr>
            </w:pPr>
            <w:r>
              <w:rPr>
                <w:sz w:val="22"/>
              </w:rPr>
              <w:t>7.01</w:t>
            </w:r>
          </w:p>
        </w:tc>
        <w:tc>
          <w:tcPr>
            <w:tcW w:w="1190" w:type="dxa"/>
          </w:tcPr>
          <w:p>
            <w:pPr>
              <w:pStyle w:val="TableParagraph"/>
              <w:spacing w:before="30"/>
              <w:rPr>
                <w:sz w:val="22"/>
              </w:rPr>
            </w:pPr>
            <w:r>
              <w:rPr>
                <w:sz w:val="22"/>
              </w:rPr>
              <w:t>7.41</w:t>
            </w:r>
          </w:p>
        </w:tc>
        <w:tc>
          <w:tcPr>
            <w:tcW w:w="1190" w:type="dxa"/>
          </w:tcPr>
          <w:p>
            <w:pPr>
              <w:pStyle w:val="TableParagraph"/>
              <w:spacing w:before="30"/>
              <w:rPr>
                <w:sz w:val="22"/>
              </w:rPr>
            </w:pPr>
            <w:r>
              <w:rPr>
                <w:sz w:val="22"/>
              </w:rPr>
              <w:t>7.16</w:t>
            </w:r>
          </w:p>
        </w:tc>
      </w:tr>
      <w:tr>
        <w:trPr>
          <w:trHeight w:val="310" w:hRule="exact"/>
        </w:trPr>
        <w:tc>
          <w:tcPr>
            <w:tcW w:w="660" w:type="dxa"/>
          </w:tcPr>
          <w:p>
            <w:pPr>
              <w:pStyle w:val="TableParagraph"/>
              <w:ind w:right="63"/>
              <w:rPr>
                <w:sz w:val="22"/>
              </w:rPr>
            </w:pPr>
            <w:r>
              <w:rPr>
                <w:sz w:val="22"/>
              </w:rPr>
              <w:t>141</w:t>
            </w:r>
          </w:p>
        </w:tc>
        <w:tc>
          <w:tcPr>
            <w:tcW w:w="1687" w:type="dxa"/>
          </w:tcPr>
          <w:p>
            <w:pPr>
              <w:pStyle w:val="TableParagraph"/>
              <w:rPr>
                <w:sz w:val="22"/>
              </w:rPr>
            </w:pPr>
            <w:r>
              <w:rPr>
                <w:sz w:val="22"/>
              </w:rPr>
              <w:t>07/11/2009</w:t>
            </w:r>
          </w:p>
        </w:tc>
        <w:tc>
          <w:tcPr>
            <w:tcW w:w="1265" w:type="dxa"/>
          </w:tcPr>
          <w:p>
            <w:pPr>
              <w:pStyle w:val="TableParagraph"/>
              <w:ind w:right="63"/>
              <w:rPr>
                <w:sz w:val="22"/>
              </w:rPr>
            </w:pPr>
            <w:r>
              <w:rPr>
                <w:sz w:val="22"/>
              </w:rPr>
              <w:t>7.58</w:t>
            </w:r>
          </w:p>
        </w:tc>
        <w:tc>
          <w:tcPr>
            <w:tcW w:w="1188" w:type="dxa"/>
          </w:tcPr>
          <w:p>
            <w:pPr>
              <w:pStyle w:val="TableParagraph"/>
              <w:ind w:right="59"/>
              <w:rPr>
                <w:sz w:val="22"/>
              </w:rPr>
            </w:pPr>
            <w:r>
              <w:rPr>
                <w:sz w:val="22"/>
              </w:rPr>
              <w:t>7.69</w:t>
            </w:r>
          </w:p>
        </w:tc>
        <w:tc>
          <w:tcPr>
            <w:tcW w:w="612" w:type="dxa"/>
          </w:tcPr>
          <w:p>
            <w:pPr>
              <w:pStyle w:val="TableParagraph"/>
              <w:ind w:right="63"/>
              <w:rPr>
                <w:sz w:val="22"/>
              </w:rPr>
            </w:pPr>
            <w:r>
              <w:rPr>
                <w:sz w:val="22"/>
              </w:rPr>
              <w:t>7.45</w:t>
            </w:r>
          </w:p>
        </w:tc>
        <w:tc>
          <w:tcPr>
            <w:tcW w:w="1188" w:type="dxa"/>
          </w:tcPr>
          <w:p>
            <w:pPr>
              <w:pStyle w:val="TableParagraph"/>
              <w:ind w:right="59"/>
              <w:rPr>
                <w:sz w:val="22"/>
              </w:rPr>
            </w:pPr>
            <w:r>
              <w:rPr>
                <w:sz w:val="22"/>
              </w:rPr>
              <w:t>7.29</w:t>
            </w:r>
          </w:p>
        </w:tc>
        <w:tc>
          <w:tcPr>
            <w:tcW w:w="1190" w:type="dxa"/>
          </w:tcPr>
          <w:p>
            <w:pPr>
              <w:pStyle w:val="TableParagraph"/>
              <w:rPr>
                <w:sz w:val="22"/>
              </w:rPr>
            </w:pPr>
            <w:r>
              <w:rPr>
                <w:sz w:val="22"/>
              </w:rPr>
              <w:t>7.26</w:t>
            </w:r>
          </w:p>
        </w:tc>
        <w:tc>
          <w:tcPr>
            <w:tcW w:w="1190" w:type="dxa"/>
          </w:tcPr>
          <w:p>
            <w:pPr>
              <w:pStyle w:val="TableParagraph"/>
              <w:rPr>
                <w:sz w:val="22"/>
              </w:rPr>
            </w:pPr>
            <w:r>
              <w:rPr>
                <w:sz w:val="22"/>
              </w:rPr>
              <w:t>6.94</w:t>
            </w:r>
          </w:p>
        </w:tc>
      </w:tr>
      <w:tr>
        <w:trPr>
          <w:trHeight w:val="310" w:hRule="exact"/>
        </w:trPr>
        <w:tc>
          <w:tcPr>
            <w:tcW w:w="660" w:type="dxa"/>
          </w:tcPr>
          <w:p>
            <w:pPr>
              <w:pStyle w:val="TableParagraph"/>
              <w:ind w:right="63"/>
              <w:rPr>
                <w:sz w:val="22"/>
              </w:rPr>
            </w:pPr>
            <w:r>
              <w:rPr>
                <w:sz w:val="22"/>
              </w:rPr>
              <w:t>142</w:t>
            </w:r>
          </w:p>
        </w:tc>
        <w:tc>
          <w:tcPr>
            <w:tcW w:w="1687" w:type="dxa"/>
          </w:tcPr>
          <w:p>
            <w:pPr>
              <w:pStyle w:val="TableParagraph"/>
              <w:rPr>
                <w:sz w:val="22"/>
              </w:rPr>
            </w:pPr>
            <w:r>
              <w:rPr>
                <w:sz w:val="22"/>
              </w:rPr>
              <w:t>08/11/2009</w:t>
            </w:r>
          </w:p>
        </w:tc>
        <w:tc>
          <w:tcPr>
            <w:tcW w:w="1265" w:type="dxa"/>
          </w:tcPr>
          <w:p>
            <w:pPr>
              <w:pStyle w:val="TableParagraph"/>
              <w:ind w:right="63"/>
              <w:rPr>
                <w:sz w:val="22"/>
              </w:rPr>
            </w:pPr>
            <w:r>
              <w:rPr>
                <w:sz w:val="22"/>
              </w:rPr>
              <w:t>7.46</w:t>
            </w:r>
          </w:p>
        </w:tc>
        <w:tc>
          <w:tcPr>
            <w:tcW w:w="1188" w:type="dxa"/>
          </w:tcPr>
          <w:p>
            <w:pPr>
              <w:pStyle w:val="TableParagraph"/>
              <w:ind w:right="59"/>
              <w:rPr>
                <w:sz w:val="22"/>
              </w:rPr>
            </w:pPr>
            <w:r>
              <w:rPr>
                <w:sz w:val="22"/>
              </w:rPr>
              <w:t>7.33</w:t>
            </w:r>
          </w:p>
        </w:tc>
        <w:tc>
          <w:tcPr>
            <w:tcW w:w="612" w:type="dxa"/>
          </w:tcPr>
          <w:p>
            <w:pPr>
              <w:pStyle w:val="TableParagraph"/>
              <w:ind w:right="63"/>
              <w:rPr>
                <w:sz w:val="22"/>
              </w:rPr>
            </w:pPr>
            <w:r>
              <w:rPr>
                <w:sz w:val="22"/>
              </w:rPr>
              <w:t>7.21</w:t>
            </w:r>
          </w:p>
        </w:tc>
        <w:tc>
          <w:tcPr>
            <w:tcW w:w="1188" w:type="dxa"/>
          </w:tcPr>
          <w:p>
            <w:pPr>
              <w:pStyle w:val="TableParagraph"/>
              <w:ind w:right="59"/>
              <w:rPr>
                <w:sz w:val="22"/>
              </w:rPr>
            </w:pPr>
            <w:r>
              <w:rPr>
                <w:sz w:val="22"/>
              </w:rPr>
              <w:t>7.18</w:t>
            </w:r>
          </w:p>
        </w:tc>
        <w:tc>
          <w:tcPr>
            <w:tcW w:w="1190" w:type="dxa"/>
          </w:tcPr>
          <w:p>
            <w:pPr>
              <w:pStyle w:val="TableParagraph"/>
              <w:rPr>
                <w:sz w:val="22"/>
              </w:rPr>
            </w:pPr>
            <w:r>
              <w:rPr>
                <w:sz w:val="22"/>
              </w:rPr>
              <w:t>7.23</w:t>
            </w:r>
          </w:p>
        </w:tc>
        <w:tc>
          <w:tcPr>
            <w:tcW w:w="1190" w:type="dxa"/>
          </w:tcPr>
          <w:p>
            <w:pPr>
              <w:pStyle w:val="TableParagraph"/>
              <w:rPr>
                <w:sz w:val="22"/>
              </w:rPr>
            </w:pPr>
            <w:r>
              <w:rPr>
                <w:sz w:val="22"/>
              </w:rPr>
              <w:t>6.91</w:t>
            </w:r>
          </w:p>
        </w:tc>
      </w:tr>
      <w:tr>
        <w:trPr>
          <w:trHeight w:val="310" w:hRule="exact"/>
        </w:trPr>
        <w:tc>
          <w:tcPr>
            <w:tcW w:w="660" w:type="dxa"/>
          </w:tcPr>
          <w:p>
            <w:pPr>
              <w:pStyle w:val="TableParagraph"/>
              <w:ind w:right="63"/>
              <w:rPr>
                <w:sz w:val="22"/>
              </w:rPr>
            </w:pPr>
            <w:r>
              <w:rPr>
                <w:sz w:val="22"/>
              </w:rPr>
              <w:t>143</w:t>
            </w:r>
          </w:p>
        </w:tc>
        <w:tc>
          <w:tcPr>
            <w:tcW w:w="1687" w:type="dxa"/>
          </w:tcPr>
          <w:p>
            <w:pPr>
              <w:pStyle w:val="TableParagraph"/>
              <w:rPr>
                <w:sz w:val="22"/>
              </w:rPr>
            </w:pPr>
            <w:r>
              <w:rPr>
                <w:sz w:val="22"/>
              </w:rPr>
              <w:t>09/11/2009</w:t>
            </w:r>
          </w:p>
        </w:tc>
        <w:tc>
          <w:tcPr>
            <w:tcW w:w="1265" w:type="dxa"/>
          </w:tcPr>
          <w:p>
            <w:pPr>
              <w:pStyle w:val="TableParagraph"/>
              <w:ind w:right="63"/>
              <w:rPr>
                <w:sz w:val="22"/>
              </w:rPr>
            </w:pPr>
            <w:r>
              <w:rPr>
                <w:sz w:val="22"/>
              </w:rPr>
              <w:t>6.72</w:t>
            </w:r>
          </w:p>
        </w:tc>
        <w:tc>
          <w:tcPr>
            <w:tcW w:w="1188" w:type="dxa"/>
          </w:tcPr>
          <w:p>
            <w:pPr>
              <w:pStyle w:val="TableParagraph"/>
              <w:ind w:right="59"/>
              <w:rPr>
                <w:sz w:val="22"/>
              </w:rPr>
            </w:pPr>
            <w:r>
              <w:rPr>
                <w:sz w:val="22"/>
              </w:rPr>
              <w:t>7.07</w:t>
            </w:r>
          </w:p>
        </w:tc>
        <w:tc>
          <w:tcPr>
            <w:tcW w:w="612" w:type="dxa"/>
          </w:tcPr>
          <w:p>
            <w:pPr>
              <w:pStyle w:val="TableParagraph"/>
              <w:ind w:right="63"/>
              <w:rPr>
                <w:sz w:val="22"/>
              </w:rPr>
            </w:pPr>
            <w:r>
              <w:rPr>
                <w:sz w:val="22"/>
              </w:rPr>
              <w:t>7.01</w:t>
            </w:r>
          </w:p>
        </w:tc>
        <w:tc>
          <w:tcPr>
            <w:tcW w:w="1188" w:type="dxa"/>
          </w:tcPr>
          <w:p>
            <w:pPr>
              <w:pStyle w:val="TableParagraph"/>
              <w:ind w:right="59"/>
              <w:rPr>
                <w:sz w:val="22"/>
              </w:rPr>
            </w:pPr>
            <w:r>
              <w:rPr>
                <w:sz w:val="22"/>
              </w:rPr>
              <w:t>6.98</w:t>
            </w:r>
          </w:p>
        </w:tc>
        <w:tc>
          <w:tcPr>
            <w:tcW w:w="1190" w:type="dxa"/>
          </w:tcPr>
          <w:p>
            <w:pPr>
              <w:pStyle w:val="TableParagraph"/>
              <w:rPr>
                <w:sz w:val="22"/>
              </w:rPr>
            </w:pPr>
            <w:r>
              <w:rPr>
                <w:sz w:val="22"/>
              </w:rPr>
              <w:t>7.04</w:t>
            </w:r>
          </w:p>
        </w:tc>
        <w:tc>
          <w:tcPr>
            <w:tcW w:w="1190" w:type="dxa"/>
          </w:tcPr>
          <w:p>
            <w:pPr>
              <w:pStyle w:val="TableParagraph"/>
              <w:rPr>
                <w:sz w:val="22"/>
              </w:rPr>
            </w:pPr>
            <w:r>
              <w:rPr>
                <w:sz w:val="22"/>
              </w:rPr>
              <w:t>7.12</w:t>
            </w:r>
          </w:p>
        </w:tc>
      </w:tr>
      <w:tr>
        <w:trPr>
          <w:trHeight w:val="310" w:hRule="exact"/>
        </w:trPr>
        <w:tc>
          <w:tcPr>
            <w:tcW w:w="660" w:type="dxa"/>
          </w:tcPr>
          <w:p>
            <w:pPr>
              <w:pStyle w:val="TableParagraph"/>
              <w:ind w:right="63"/>
              <w:rPr>
                <w:sz w:val="22"/>
              </w:rPr>
            </w:pPr>
            <w:r>
              <w:rPr>
                <w:sz w:val="22"/>
              </w:rPr>
              <w:t>144</w:t>
            </w:r>
          </w:p>
        </w:tc>
        <w:tc>
          <w:tcPr>
            <w:tcW w:w="1687" w:type="dxa"/>
          </w:tcPr>
          <w:p>
            <w:pPr>
              <w:pStyle w:val="TableParagraph"/>
              <w:rPr>
                <w:sz w:val="22"/>
              </w:rPr>
            </w:pPr>
            <w:r>
              <w:rPr>
                <w:sz w:val="22"/>
              </w:rPr>
              <w:t>10/11/2009</w:t>
            </w:r>
          </w:p>
        </w:tc>
        <w:tc>
          <w:tcPr>
            <w:tcW w:w="1265" w:type="dxa"/>
          </w:tcPr>
          <w:p>
            <w:pPr>
              <w:pStyle w:val="TableParagraph"/>
              <w:ind w:right="63"/>
              <w:rPr>
                <w:sz w:val="22"/>
              </w:rPr>
            </w:pPr>
            <w:r>
              <w:rPr>
                <w:sz w:val="22"/>
              </w:rPr>
              <w:t>6.82</w:t>
            </w:r>
          </w:p>
        </w:tc>
        <w:tc>
          <w:tcPr>
            <w:tcW w:w="1188" w:type="dxa"/>
          </w:tcPr>
          <w:p>
            <w:pPr>
              <w:pStyle w:val="TableParagraph"/>
              <w:ind w:right="59"/>
              <w:rPr>
                <w:sz w:val="22"/>
              </w:rPr>
            </w:pPr>
            <w:r>
              <w:rPr>
                <w:sz w:val="22"/>
              </w:rPr>
              <w:t>7.22</w:t>
            </w:r>
          </w:p>
        </w:tc>
        <w:tc>
          <w:tcPr>
            <w:tcW w:w="612" w:type="dxa"/>
          </w:tcPr>
          <w:p>
            <w:pPr>
              <w:pStyle w:val="TableParagraph"/>
              <w:ind w:right="63"/>
              <w:rPr>
                <w:sz w:val="22"/>
              </w:rPr>
            </w:pPr>
            <w:r>
              <w:rPr>
                <w:sz w:val="22"/>
              </w:rPr>
              <w:t>6.96</w:t>
            </w:r>
          </w:p>
        </w:tc>
        <w:tc>
          <w:tcPr>
            <w:tcW w:w="1188" w:type="dxa"/>
          </w:tcPr>
          <w:p>
            <w:pPr>
              <w:pStyle w:val="TableParagraph"/>
              <w:ind w:right="59"/>
              <w:rPr>
                <w:sz w:val="22"/>
              </w:rPr>
            </w:pPr>
            <w:r>
              <w:rPr>
                <w:sz w:val="22"/>
              </w:rPr>
              <w:t>6.96</w:t>
            </w:r>
          </w:p>
        </w:tc>
        <w:tc>
          <w:tcPr>
            <w:tcW w:w="1190" w:type="dxa"/>
          </w:tcPr>
          <w:p>
            <w:pPr>
              <w:pStyle w:val="TableParagraph"/>
              <w:rPr>
                <w:sz w:val="22"/>
              </w:rPr>
            </w:pPr>
            <w:r>
              <w:rPr>
                <w:sz w:val="22"/>
              </w:rPr>
              <w:t>7.03</w:t>
            </w:r>
          </w:p>
        </w:tc>
        <w:tc>
          <w:tcPr>
            <w:tcW w:w="1190" w:type="dxa"/>
          </w:tcPr>
          <w:p>
            <w:pPr>
              <w:pStyle w:val="TableParagraph"/>
              <w:rPr>
                <w:sz w:val="22"/>
              </w:rPr>
            </w:pPr>
            <w:r>
              <w:rPr>
                <w:sz w:val="22"/>
              </w:rPr>
              <w:t>6.74</w:t>
            </w:r>
          </w:p>
        </w:tc>
      </w:tr>
      <w:tr>
        <w:trPr>
          <w:trHeight w:val="310" w:hRule="exact"/>
        </w:trPr>
        <w:tc>
          <w:tcPr>
            <w:tcW w:w="660" w:type="dxa"/>
          </w:tcPr>
          <w:p>
            <w:pPr>
              <w:pStyle w:val="TableParagraph"/>
              <w:spacing w:before="30"/>
              <w:ind w:right="63"/>
              <w:rPr>
                <w:sz w:val="22"/>
              </w:rPr>
            </w:pPr>
            <w:r>
              <w:rPr>
                <w:sz w:val="22"/>
              </w:rPr>
              <w:t>145</w:t>
            </w:r>
          </w:p>
        </w:tc>
        <w:tc>
          <w:tcPr>
            <w:tcW w:w="1687" w:type="dxa"/>
          </w:tcPr>
          <w:p>
            <w:pPr>
              <w:pStyle w:val="TableParagraph"/>
              <w:spacing w:before="30"/>
              <w:rPr>
                <w:sz w:val="22"/>
              </w:rPr>
            </w:pPr>
            <w:r>
              <w:rPr>
                <w:sz w:val="22"/>
              </w:rPr>
              <w:t>11/11/2009</w:t>
            </w:r>
          </w:p>
        </w:tc>
        <w:tc>
          <w:tcPr>
            <w:tcW w:w="1265" w:type="dxa"/>
          </w:tcPr>
          <w:p>
            <w:pPr>
              <w:pStyle w:val="TableParagraph"/>
              <w:spacing w:before="30"/>
              <w:ind w:right="63"/>
              <w:rPr>
                <w:sz w:val="22"/>
              </w:rPr>
            </w:pPr>
            <w:r>
              <w:rPr>
                <w:sz w:val="22"/>
              </w:rPr>
              <w:t>6.5</w:t>
            </w:r>
          </w:p>
        </w:tc>
        <w:tc>
          <w:tcPr>
            <w:tcW w:w="1188" w:type="dxa"/>
          </w:tcPr>
          <w:p>
            <w:pPr>
              <w:pStyle w:val="TableParagraph"/>
              <w:spacing w:before="30"/>
              <w:ind w:right="59"/>
              <w:rPr>
                <w:sz w:val="22"/>
              </w:rPr>
            </w:pPr>
            <w:r>
              <w:rPr>
                <w:sz w:val="22"/>
              </w:rPr>
              <w:t>7.07</w:t>
            </w:r>
          </w:p>
        </w:tc>
        <w:tc>
          <w:tcPr>
            <w:tcW w:w="612" w:type="dxa"/>
          </w:tcPr>
          <w:p>
            <w:pPr>
              <w:pStyle w:val="TableParagraph"/>
              <w:spacing w:before="30"/>
              <w:ind w:right="63"/>
              <w:rPr>
                <w:sz w:val="22"/>
              </w:rPr>
            </w:pPr>
            <w:r>
              <w:rPr>
                <w:sz w:val="22"/>
              </w:rPr>
              <w:t>6.9</w:t>
            </w:r>
          </w:p>
        </w:tc>
        <w:tc>
          <w:tcPr>
            <w:tcW w:w="1188" w:type="dxa"/>
          </w:tcPr>
          <w:p>
            <w:pPr>
              <w:pStyle w:val="TableParagraph"/>
              <w:spacing w:before="30"/>
              <w:ind w:right="59"/>
              <w:rPr>
                <w:sz w:val="22"/>
              </w:rPr>
            </w:pPr>
            <w:r>
              <w:rPr>
                <w:sz w:val="22"/>
              </w:rPr>
              <w:t>6.9</w:t>
            </w:r>
          </w:p>
        </w:tc>
        <w:tc>
          <w:tcPr>
            <w:tcW w:w="1190" w:type="dxa"/>
          </w:tcPr>
          <w:p>
            <w:pPr>
              <w:pStyle w:val="TableParagraph"/>
              <w:spacing w:before="30"/>
              <w:rPr>
                <w:sz w:val="22"/>
              </w:rPr>
            </w:pPr>
            <w:r>
              <w:rPr>
                <w:sz w:val="22"/>
              </w:rPr>
              <w:t>6.88</w:t>
            </w:r>
          </w:p>
        </w:tc>
        <w:tc>
          <w:tcPr>
            <w:tcW w:w="1190" w:type="dxa"/>
          </w:tcPr>
          <w:p>
            <w:pPr>
              <w:pStyle w:val="TableParagraph"/>
              <w:spacing w:before="30"/>
              <w:rPr>
                <w:sz w:val="22"/>
              </w:rPr>
            </w:pPr>
            <w:r>
              <w:rPr>
                <w:sz w:val="22"/>
              </w:rPr>
              <w:t>6.88</w:t>
            </w:r>
          </w:p>
        </w:tc>
      </w:tr>
      <w:tr>
        <w:trPr>
          <w:trHeight w:val="312" w:hRule="exact"/>
        </w:trPr>
        <w:tc>
          <w:tcPr>
            <w:tcW w:w="660" w:type="dxa"/>
          </w:tcPr>
          <w:p>
            <w:pPr>
              <w:pStyle w:val="TableParagraph"/>
              <w:spacing w:before="30"/>
              <w:ind w:right="63"/>
              <w:rPr>
                <w:sz w:val="22"/>
              </w:rPr>
            </w:pPr>
            <w:r>
              <w:rPr>
                <w:sz w:val="22"/>
              </w:rPr>
              <w:t>146</w:t>
            </w:r>
          </w:p>
        </w:tc>
        <w:tc>
          <w:tcPr>
            <w:tcW w:w="1687" w:type="dxa"/>
          </w:tcPr>
          <w:p>
            <w:pPr>
              <w:pStyle w:val="TableParagraph"/>
              <w:spacing w:before="30"/>
              <w:rPr>
                <w:sz w:val="22"/>
              </w:rPr>
            </w:pPr>
            <w:r>
              <w:rPr>
                <w:sz w:val="22"/>
              </w:rPr>
              <w:t>12/11/2009</w:t>
            </w:r>
          </w:p>
        </w:tc>
        <w:tc>
          <w:tcPr>
            <w:tcW w:w="1265" w:type="dxa"/>
          </w:tcPr>
          <w:p>
            <w:pPr>
              <w:pStyle w:val="TableParagraph"/>
              <w:spacing w:before="30"/>
              <w:ind w:right="63"/>
              <w:rPr>
                <w:sz w:val="22"/>
              </w:rPr>
            </w:pPr>
            <w:r>
              <w:rPr>
                <w:sz w:val="22"/>
              </w:rPr>
              <w:t>6.85</w:t>
            </w:r>
          </w:p>
        </w:tc>
        <w:tc>
          <w:tcPr>
            <w:tcW w:w="1188" w:type="dxa"/>
          </w:tcPr>
          <w:p>
            <w:pPr>
              <w:pStyle w:val="TableParagraph"/>
              <w:spacing w:before="30"/>
              <w:ind w:right="59"/>
              <w:rPr>
                <w:sz w:val="22"/>
              </w:rPr>
            </w:pPr>
            <w:r>
              <w:rPr>
                <w:sz w:val="22"/>
              </w:rPr>
              <w:t>7.29</w:t>
            </w:r>
          </w:p>
        </w:tc>
        <w:tc>
          <w:tcPr>
            <w:tcW w:w="612" w:type="dxa"/>
          </w:tcPr>
          <w:p>
            <w:pPr>
              <w:pStyle w:val="TableParagraph"/>
              <w:spacing w:before="30"/>
              <w:ind w:right="63"/>
              <w:rPr>
                <w:sz w:val="22"/>
              </w:rPr>
            </w:pPr>
            <w:r>
              <w:rPr>
                <w:sz w:val="22"/>
              </w:rPr>
              <w:t>7.16</w:t>
            </w:r>
          </w:p>
        </w:tc>
        <w:tc>
          <w:tcPr>
            <w:tcW w:w="1188" w:type="dxa"/>
          </w:tcPr>
          <w:p>
            <w:pPr>
              <w:pStyle w:val="TableParagraph"/>
              <w:spacing w:before="30"/>
              <w:ind w:right="59"/>
              <w:rPr>
                <w:sz w:val="22"/>
              </w:rPr>
            </w:pPr>
            <w:r>
              <w:rPr>
                <w:sz w:val="22"/>
              </w:rPr>
              <w:t>7.18</w:t>
            </w:r>
          </w:p>
        </w:tc>
        <w:tc>
          <w:tcPr>
            <w:tcW w:w="1190" w:type="dxa"/>
          </w:tcPr>
          <w:p>
            <w:pPr>
              <w:pStyle w:val="TableParagraph"/>
              <w:spacing w:before="30"/>
              <w:rPr>
                <w:sz w:val="22"/>
              </w:rPr>
            </w:pPr>
            <w:r>
              <w:rPr>
                <w:sz w:val="22"/>
              </w:rPr>
              <w:t>7.2</w:t>
            </w:r>
          </w:p>
        </w:tc>
        <w:tc>
          <w:tcPr>
            <w:tcW w:w="1190" w:type="dxa"/>
          </w:tcPr>
          <w:p>
            <w:pPr>
              <w:pStyle w:val="TableParagraph"/>
              <w:spacing w:before="30"/>
              <w:rPr>
                <w:sz w:val="22"/>
              </w:rPr>
            </w:pPr>
            <w:r>
              <w:rPr>
                <w:sz w:val="22"/>
              </w:rPr>
              <w:t>6.41</w:t>
            </w:r>
          </w:p>
        </w:tc>
      </w:tr>
      <w:tr>
        <w:trPr>
          <w:trHeight w:val="310" w:hRule="exact"/>
        </w:trPr>
        <w:tc>
          <w:tcPr>
            <w:tcW w:w="660" w:type="dxa"/>
          </w:tcPr>
          <w:p>
            <w:pPr>
              <w:pStyle w:val="TableParagraph"/>
              <w:ind w:right="63"/>
              <w:rPr>
                <w:sz w:val="22"/>
              </w:rPr>
            </w:pPr>
            <w:r>
              <w:rPr>
                <w:sz w:val="22"/>
              </w:rPr>
              <w:t>147</w:t>
            </w:r>
          </w:p>
        </w:tc>
        <w:tc>
          <w:tcPr>
            <w:tcW w:w="1687" w:type="dxa"/>
          </w:tcPr>
          <w:p>
            <w:pPr>
              <w:pStyle w:val="TableParagraph"/>
              <w:rPr>
                <w:sz w:val="22"/>
              </w:rPr>
            </w:pPr>
            <w:r>
              <w:rPr>
                <w:sz w:val="22"/>
              </w:rPr>
              <w:t>13/11/2009</w:t>
            </w:r>
          </w:p>
        </w:tc>
        <w:tc>
          <w:tcPr>
            <w:tcW w:w="1265" w:type="dxa"/>
          </w:tcPr>
          <w:p>
            <w:pPr>
              <w:pStyle w:val="TableParagraph"/>
              <w:ind w:right="63"/>
              <w:rPr>
                <w:sz w:val="22"/>
              </w:rPr>
            </w:pPr>
            <w:r>
              <w:rPr>
                <w:sz w:val="22"/>
              </w:rPr>
              <w:t>6.81</w:t>
            </w:r>
          </w:p>
        </w:tc>
        <w:tc>
          <w:tcPr>
            <w:tcW w:w="1188" w:type="dxa"/>
          </w:tcPr>
          <w:p>
            <w:pPr>
              <w:pStyle w:val="TableParagraph"/>
              <w:ind w:right="59"/>
              <w:rPr>
                <w:sz w:val="22"/>
              </w:rPr>
            </w:pPr>
            <w:r>
              <w:rPr>
                <w:sz w:val="22"/>
              </w:rPr>
              <w:t>7.32</w:t>
            </w:r>
          </w:p>
        </w:tc>
        <w:tc>
          <w:tcPr>
            <w:tcW w:w="612" w:type="dxa"/>
          </w:tcPr>
          <w:p>
            <w:pPr>
              <w:pStyle w:val="TableParagraph"/>
              <w:ind w:right="63"/>
              <w:rPr>
                <w:sz w:val="22"/>
              </w:rPr>
            </w:pPr>
            <w:r>
              <w:rPr>
                <w:sz w:val="22"/>
              </w:rPr>
              <w:t>7.13</w:t>
            </w:r>
          </w:p>
        </w:tc>
        <w:tc>
          <w:tcPr>
            <w:tcW w:w="1188" w:type="dxa"/>
          </w:tcPr>
          <w:p>
            <w:pPr>
              <w:pStyle w:val="TableParagraph"/>
              <w:ind w:right="59"/>
              <w:rPr>
                <w:sz w:val="22"/>
              </w:rPr>
            </w:pPr>
            <w:r>
              <w:rPr>
                <w:sz w:val="22"/>
              </w:rPr>
              <w:t>7.14</w:t>
            </w:r>
          </w:p>
        </w:tc>
        <w:tc>
          <w:tcPr>
            <w:tcW w:w="1190" w:type="dxa"/>
          </w:tcPr>
          <w:p>
            <w:pPr>
              <w:pStyle w:val="TableParagraph"/>
              <w:rPr>
                <w:sz w:val="22"/>
              </w:rPr>
            </w:pPr>
            <w:r>
              <w:rPr>
                <w:sz w:val="22"/>
              </w:rPr>
              <w:t>7.16</w:t>
            </w:r>
          </w:p>
        </w:tc>
        <w:tc>
          <w:tcPr>
            <w:tcW w:w="1190" w:type="dxa"/>
          </w:tcPr>
          <w:p>
            <w:pPr>
              <w:pStyle w:val="TableParagraph"/>
              <w:rPr>
                <w:sz w:val="22"/>
              </w:rPr>
            </w:pPr>
            <w:r>
              <w:rPr>
                <w:sz w:val="22"/>
              </w:rPr>
              <w:t>6.34</w:t>
            </w:r>
          </w:p>
        </w:tc>
      </w:tr>
      <w:tr>
        <w:trPr>
          <w:trHeight w:val="310" w:hRule="exact"/>
        </w:trPr>
        <w:tc>
          <w:tcPr>
            <w:tcW w:w="660" w:type="dxa"/>
          </w:tcPr>
          <w:p>
            <w:pPr>
              <w:pStyle w:val="TableParagraph"/>
              <w:ind w:right="63"/>
              <w:rPr>
                <w:sz w:val="22"/>
              </w:rPr>
            </w:pPr>
            <w:r>
              <w:rPr>
                <w:sz w:val="22"/>
              </w:rPr>
              <w:t>148</w:t>
            </w:r>
          </w:p>
        </w:tc>
        <w:tc>
          <w:tcPr>
            <w:tcW w:w="1687" w:type="dxa"/>
          </w:tcPr>
          <w:p>
            <w:pPr>
              <w:pStyle w:val="TableParagraph"/>
              <w:rPr>
                <w:sz w:val="22"/>
              </w:rPr>
            </w:pPr>
            <w:r>
              <w:rPr>
                <w:sz w:val="22"/>
              </w:rPr>
              <w:t>14/11/2009</w:t>
            </w:r>
          </w:p>
        </w:tc>
        <w:tc>
          <w:tcPr>
            <w:tcW w:w="1265" w:type="dxa"/>
          </w:tcPr>
          <w:p>
            <w:pPr>
              <w:pStyle w:val="TableParagraph"/>
              <w:ind w:right="63"/>
              <w:rPr>
                <w:sz w:val="22"/>
              </w:rPr>
            </w:pPr>
            <w:r>
              <w:rPr>
                <w:sz w:val="22"/>
              </w:rPr>
              <w:t>7.1</w:t>
            </w:r>
          </w:p>
        </w:tc>
        <w:tc>
          <w:tcPr>
            <w:tcW w:w="1188" w:type="dxa"/>
          </w:tcPr>
          <w:p>
            <w:pPr>
              <w:pStyle w:val="TableParagraph"/>
              <w:ind w:right="59"/>
              <w:rPr>
                <w:sz w:val="22"/>
              </w:rPr>
            </w:pPr>
            <w:r>
              <w:rPr>
                <w:sz w:val="22"/>
              </w:rPr>
              <w:t>7.52</w:t>
            </w:r>
          </w:p>
        </w:tc>
        <w:tc>
          <w:tcPr>
            <w:tcW w:w="612" w:type="dxa"/>
          </w:tcPr>
          <w:p>
            <w:pPr>
              <w:pStyle w:val="TableParagraph"/>
              <w:ind w:right="63"/>
              <w:rPr>
                <w:sz w:val="22"/>
              </w:rPr>
            </w:pPr>
            <w:r>
              <w:rPr>
                <w:sz w:val="22"/>
              </w:rPr>
              <w:t>7.37</w:t>
            </w:r>
          </w:p>
        </w:tc>
        <w:tc>
          <w:tcPr>
            <w:tcW w:w="1188" w:type="dxa"/>
          </w:tcPr>
          <w:p>
            <w:pPr>
              <w:pStyle w:val="TableParagraph"/>
              <w:ind w:right="59"/>
              <w:rPr>
                <w:sz w:val="22"/>
              </w:rPr>
            </w:pPr>
            <w:r>
              <w:rPr>
                <w:sz w:val="22"/>
              </w:rPr>
              <w:t>7.39</w:t>
            </w:r>
          </w:p>
        </w:tc>
        <w:tc>
          <w:tcPr>
            <w:tcW w:w="1190" w:type="dxa"/>
          </w:tcPr>
          <w:p>
            <w:pPr>
              <w:pStyle w:val="TableParagraph"/>
              <w:rPr>
                <w:sz w:val="22"/>
              </w:rPr>
            </w:pPr>
            <w:r>
              <w:rPr>
                <w:sz w:val="22"/>
              </w:rPr>
              <w:t>7.4</w:t>
            </w:r>
          </w:p>
        </w:tc>
        <w:tc>
          <w:tcPr>
            <w:tcW w:w="1190" w:type="dxa"/>
          </w:tcPr>
          <w:p>
            <w:pPr>
              <w:pStyle w:val="TableParagraph"/>
              <w:rPr>
                <w:sz w:val="22"/>
              </w:rPr>
            </w:pPr>
            <w:r>
              <w:rPr>
                <w:sz w:val="22"/>
              </w:rPr>
              <w:t>6.9</w:t>
            </w:r>
          </w:p>
        </w:tc>
      </w:tr>
      <w:tr>
        <w:trPr>
          <w:trHeight w:val="310" w:hRule="exact"/>
        </w:trPr>
        <w:tc>
          <w:tcPr>
            <w:tcW w:w="660" w:type="dxa"/>
          </w:tcPr>
          <w:p>
            <w:pPr>
              <w:pStyle w:val="TableParagraph"/>
              <w:ind w:right="63"/>
              <w:rPr>
                <w:sz w:val="22"/>
              </w:rPr>
            </w:pPr>
            <w:r>
              <w:rPr>
                <w:sz w:val="22"/>
              </w:rPr>
              <w:t>149</w:t>
            </w:r>
          </w:p>
        </w:tc>
        <w:tc>
          <w:tcPr>
            <w:tcW w:w="1687" w:type="dxa"/>
          </w:tcPr>
          <w:p>
            <w:pPr>
              <w:pStyle w:val="TableParagraph"/>
              <w:rPr>
                <w:sz w:val="22"/>
              </w:rPr>
            </w:pPr>
            <w:r>
              <w:rPr>
                <w:sz w:val="22"/>
              </w:rPr>
              <w:t>15/11/2009</w:t>
            </w:r>
          </w:p>
        </w:tc>
        <w:tc>
          <w:tcPr>
            <w:tcW w:w="1265" w:type="dxa"/>
          </w:tcPr>
          <w:p>
            <w:pPr>
              <w:pStyle w:val="TableParagraph"/>
              <w:ind w:right="63"/>
              <w:rPr>
                <w:sz w:val="22"/>
              </w:rPr>
            </w:pPr>
            <w:r>
              <w:rPr>
                <w:sz w:val="22"/>
              </w:rPr>
              <w:t>7.12</w:t>
            </w:r>
          </w:p>
        </w:tc>
        <w:tc>
          <w:tcPr>
            <w:tcW w:w="1188" w:type="dxa"/>
          </w:tcPr>
          <w:p>
            <w:pPr>
              <w:pStyle w:val="TableParagraph"/>
              <w:ind w:right="59"/>
              <w:rPr>
                <w:sz w:val="22"/>
              </w:rPr>
            </w:pPr>
            <w:r>
              <w:rPr>
                <w:sz w:val="22"/>
              </w:rPr>
              <w:t>7.39</w:t>
            </w:r>
          </w:p>
        </w:tc>
        <w:tc>
          <w:tcPr>
            <w:tcW w:w="612" w:type="dxa"/>
          </w:tcPr>
          <w:p>
            <w:pPr>
              <w:pStyle w:val="TableParagraph"/>
              <w:ind w:right="63"/>
              <w:rPr>
                <w:sz w:val="22"/>
              </w:rPr>
            </w:pPr>
            <w:r>
              <w:rPr>
                <w:sz w:val="22"/>
              </w:rPr>
              <w:t>7.34</w:t>
            </w:r>
          </w:p>
        </w:tc>
        <w:tc>
          <w:tcPr>
            <w:tcW w:w="1188" w:type="dxa"/>
          </w:tcPr>
          <w:p>
            <w:pPr>
              <w:pStyle w:val="TableParagraph"/>
              <w:ind w:right="59"/>
              <w:rPr>
                <w:sz w:val="22"/>
              </w:rPr>
            </w:pPr>
            <w:r>
              <w:rPr>
                <w:sz w:val="22"/>
              </w:rPr>
              <w:t>7.21</w:t>
            </w:r>
          </w:p>
        </w:tc>
        <w:tc>
          <w:tcPr>
            <w:tcW w:w="1190" w:type="dxa"/>
          </w:tcPr>
          <w:p>
            <w:pPr>
              <w:pStyle w:val="TableParagraph"/>
              <w:rPr>
                <w:sz w:val="22"/>
              </w:rPr>
            </w:pPr>
            <w:r>
              <w:rPr>
                <w:sz w:val="22"/>
              </w:rPr>
              <w:t>7.41</w:t>
            </w:r>
          </w:p>
        </w:tc>
        <w:tc>
          <w:tcPr>
            <w:tcW w:w="1190" w:type="dxa"/>
          </w:tcPr>
          <w:p>
            <w:pPr>
              <w:pStyle w:val="TableParagraph"/>
              <w:rPr>
                <w:sz w:val="22"/>
              </w:rPr>
            </w:pPr>
            <w:r>
              <w:rPr>
                <w:sz w:val="22"/>
              </w:rPr>
              <w:t>6.42</w:t>
            </w:r>
          </w:p>
        </w:tc>
      </w:tr>
      <w:tr>
        <w:trPr>
          <w:trHeight w:val="310" w:hRule="exact"/>
        </w:trPr>
        <w:tc>
          <w:tcPr>
            <w:tcW w:w="660" w:type="dxa"/>
          </w:tcPr>
          <w:p>
            <w:pPr>
              <w:pStyle w:val="TableParagraph"/>
              <w:ind w:right="63"/>
              <w:rPr>
                <w:sz w:val="22"/>
              </w:rPr>
            </w:pPr>
            <w:r>
              <w:rPr>
                <w:sz w:val="22"/>
              </w:rPr>
              <w:t>150</w:t>
            </w:r>
          </w:p>
        </w:tc>
        <w:tc>
          <w:tcPr>
            <w:tcW w:w="1687" w:type="dxa"/>
          </w:tcPr>
          <w:p>
            <w:pPr>
              <w:pStyle w:val="TableParagraph"/>
              <w:rPr>
                <w:sz w:val="22"/>
              </w:rPr>
            </w:pPr>
            <w:r>
              <w:rPr>
                <w:sz w:val="22"/>
              </w:rPr>
              <w:t>16/11/2009</w:t>
            </w:r>
          </w:p>
        </w:tc>
        <w:tc>
          <w:tcPr>
            <w:tcW w:w="1265" w:type="dxa"/>
          </w:tcPr>
          <w:p>
            <w:pPr>
              <w:pStyle w:val="TableParagraph"/>
              <w:ind w:right="63"/>
              <w:rPr>
                <w:sz w:val="22"/>
              </w:rPr>
            </w:pPr>
            <w:r>
              <w:rPr>
                <w:sz w:val="22"/>
              </w:rPr>
              <w:t>7.5</w:t>
            </w:r>
          </w:p>
        </w:tc>
        <w:tc>
          <w:tcPr>
            <w:tcW w:w="1188" w:type="dxa"/>
          </w:tcPr>
          <w:p>
            <w:pPr>
              <w:pStyle w:val="TableParagraph"/>
              <w:ind w:right="59"/>
              <w:rPr>
                <w:sz w:val="22"/>
              </w:rPr>
            </w:pPr>
            <w:r>
              <w:rPr>
                <w:sz w:val="22"/>
              </w:rPr>
              <w:t>7.49</w:t>
            </w:r>
          </w:p>
        </w:tc>
        <w:tc>
          <w:tcPr>
            <w:tcW w:w="612" w:type="dxa"/>
          </w:tcPr>
          <w:p>
            <w:pPr>
              <w:pStyle w:val="TableParagraph"/>
              <w:ind w:right="63"/>
              <w:rPr>
                <w:sz w:val="22"/>
              </w:rPr>
            </w:pPr>
            <w:r>
              <w:rPr>
                <w:sz w:val="22"/>
              </w:rPr>
              <w:t>7.25</w:t>
            </w:r>
          </w:p>
        </w:tc>
        <w:tc>
          <w:tcPr>
            <w:tcW w:w="1188" w:type="dxa"/>
          </w:tcPr>
          <w:p>
            <w:pPr>
              <w:pStyle w:val="TableParagraph"/>
              <w:ind w:right="59"/>
              <w:rPr>
                <w:sz w:val="22"/>
              </w:rPr>
            </w:pPr>
            <w:r>
              <w:rPr>
                <w:sz w:val="22"/>
              </w:rPr>
              <w:t>7.26</w:t>
            </w:r>
          </w:p>
        </w:tc>
        <w:tc>
          <w:tcPr>
            <w:tcW w:w="1190" w:type="dxa"/>
          </w:tcPr>
          <w:p>
            <w:pPr>
              <w:pStyle w:val="TableParagraph"/>
              <w:rPr>
                <w:sz w:val="22"/>
              </w:rPr>
            </w:pPr>
            <w:r>
              <w:rPr>
                <w:sz w:val="22"/>
              </w:rPr>
              <w:t>7.16</w:t>
            </w:r>
          </w:p>
        </w:tc>
        <w:tc>
          <w:tcPr>
            <w:tcW w:w="1190" w:type="dxa"/>
          </w:tcPr>
          <w:p>
            <w:pPr>
              <w:pStyle w:val="TableParagraph"/>
              <w:rPr>
                <w:sz w:val="22"/>
              </w:rPr>
            </w:pPr>
            <w:r>
              <w:rPr>
                <w:sz w:val="22"/>
              </w:rPr>
              <w:t>6.49</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
        <w:gridCol w:w="1654"/>
        <w:gridCol w:w="1320"/>
        <w:gridCol w:w="1248"/>
        <w:gridCol w:w="605"/>
        <w:gridCol w:w="1169"/>
        <w:gridCol w:w="1169"/>
        <w:gridCol w:w="1166"/>
      </w:tblGrid>
      <w:tr>
        <w:trPr>
          <w:trHeight w:val="310" w:hRule="exact"/>
        </w:trPr>
        <w:tc>
          <w:tcPr>
            <w:tcW w:w="8978" w:type="dxa"/>
            <w:gridSpan w:val="8"/>
            <w:shd w:val="clear" w:color="auto" w:fill="E6B9B8"/>
          </w:tcPr>
          <w:p>
            <w:pPr>
              <w:pStyle w:val="TableParagraph"/>
              <w:ind w:left="3628" w:right="3629"/>
              <w:jc w:val="center"/>
              <w:rPr>
                <w:b/>
                <w:sz w:val="22"/>
              </w:rPr>
            </w:pPr>
            <w:r>
              <w:rPr>
                <w:b/>
                <w:sz w:val="22"/>
              </w:rPr>
              <w:t>Temperatura (°C)</w:t>
            </w:r>
          </w:p>
        </w:tc>
      </w:tr>
      <w:tr>
        <w:trPr>
          <w:trHeight w:val="610" w:hRule="exact"/>
        </w:trPr>
        <w:tc>
          <w:tcPr>
            <w:tcW w:w="648" w:type="dxa"/>
            <w:vMerge w:val="restart"/>
            <w:shd w:val="clear" w:color="auto" w:fill="E6B9B8"/>
          </w:tcPr>
          <w:p>
            <w:pPr>
              <w:pStyle w:val="TableParagraph"/>
              <w:spacing w:before="8"/>
              <w:ind w:right="0"/>
              <w:jc w:val="left"/>
              <w:rPr>
                <w:rFonts w:ascii="Times New Roman"/>
                <w:sz w:val="27"/>
              </w:rPr>
            </w:pPr>
          </w:p>
          <w:p>
            <w:pPr>
              <w:pStyle w:val="TableParagraph"/>
              <w:spacing w:before="0"/>
              <w:ind w:left="124" w:right="0"/>
              <w:jc w:val="left"/>
              <w:rPr>
                <w:b/>
                <w:sz w:val="22"/>
              </w:rPr>
            </w:pPr>
            <w:r>
              <w:rPr>
                <w:b/>
                <w:sz w:val="22"/>
              </w:rPr>
              <w:t>Días</w:t>
            </w:r>
          </w:p>
        </w:tc>
        <w:tc>
          <w:tcPr>
            <w:tcW w:w="1654" w:type="dxa"/>
            <w:vMerge w:val="restart"/>
            <w:shd w:val="clear" w:color="auto" w:fill="E6B9B8"/>
          </w:tcPr>
          <w:p>
            <w:pPr>
              <w:pStyle w:val="TableParagraph"/>
              <w:spacing w:before="8"/>
              <w:ind w:right="0"/>
              <w:jc w:val="left"/>
              <w:rPr>
                <w:rFonts w:ascii="Times New Roman"/>
                <w:sz w:val="27"/>
              </w:rPr>
            </w:pPr>
          </w:p>
          <w:p>
            <w:pPr>
              <w:pStyle w:val="TableParagraph"/>
              <w:spacing w:before="0"/>
              <w:ind w:left="535" w:right="537"/>
              <w:jc w:val="center"/>
              <w:rPr>
                <w:b/>
                <w:sz w:val="22"/>
              </w:rPr>
            </w:pPr>
            <w:r>
              <w:rPr>
                <w:b/>
                <w:sz w:val="22"/>
              </w:rPr>
              <w:t>Fecha</w:t>
            </w:r>
          </w:p>
        </w:tc>
        <w:tc>
          <w:tcPr>
            <w:tcW w:w="6677" w:type="dxa"/>
            <w:gridSpan w:val="6"/>
            <w:shd w:val="clear" w:color="auto" w:fill="E6B9B8"/>
          </w:tcPr>
          <w:p>
            <w:pPr>
              <w:pStyle w:val="TableParagraph"/>
              <w:spacing w:before="162"/>
              <w:ind w:left="2391" w:right="2392"/>
              <w:jc w:val="center"/>
              <w:rPr>
                <w:b/>
                <w:sz w:val="22"/>
              </w:rPr>
            </w:pPr>
            <w:r>
              <w:rPr>
                <w:b/>
                <w:sz w:val="22"/>
              </w:rPr>
              <w:t>Puntos de muestreo</w:t>
            </w:r>
          </w:p>
        </w:tc>
      </w:tr>
      <w:tr>
        <w:trPr>
          <w:trHeight w:val="311" w:hRule="exact"/>
        </w:trPr>
        <w:tc>
          <w:tcPr>
            <w:tcW w:w="648" w:type="dxa"/>
            <w:vMerge/>
            <w:shd w:val="clear" w:color="auto" w:fill="E6B9B8"/>
          </w:tcPr>
          <w:p>
            <w:pPr/>
          </w:p>
        </w:tc>
        <w:tc>
          <w:tcPr>
            <w:tcW w:w="1654" w:type="dxa"/>
            <w:vMerge/>
            <w:shd w:val="clear" w:color="auto" w:fill="E6B9B8"/>
          </w:tcPr>
          <w:p>
            <w:pPr/>
          </w:p>
        </w:tc>
        <w:tc>
          <w:tcPr>
            <w:tcW w:w="1320" w:type="dxa"/>
            <w:shd w:val="clear" w:color="auto" w:fill="E6B9B8"/>
          </w:tcPr>
          <w:p>
            <w:pPr>
              <w:pStyle w:val="TableParagraph"/>
              <w:spacing w:before="13"/>
              <w:ind w:right="3"/>
              <w:jc w:val="center"/>
              <w:rPr>
                <w:b/>
                <w:sz w:val="22"/>
              </w:rPr>
            </w:pPr>
            <w:r>
              <w:rPr>
                <w:b/>
                <w:w w:val="100"/>
                <w:sz w:val="22"/>
              </w:rPr>
              <w:t>A</w:t>
            </w:r>
          </w:p>
        </w:tc>
        <w:tc>
          <w:tcPr>
            <w:tcW w:w="1248" w:type="dxa"/>
            <w:shd w:val="clear" w:color="auto" w:fill="E6B9B8"/>
          </w:tcPr>
          <w:p>
            <w:pPr>
              <w:pStyle w:val="TableParagraph"/>
              <w:spacing w:before="13"/>
              <w:ind w:right="4"/>
              <w:jc w:val="center"/>
              <w:rPr>
                <w:b/>
                <w:sz w:val="22"/>
              </w:rPr>
            </w:pPr>
            <w:r>
              <w:rPr>
                <w:b/>
                <w:w w:val="100"/>
                <w:sz w:val="22"/>
              </w:rPr>
              <w:t>B</w:t>
            </w:r>
          </w:p>
        </w:tc>
        <w:tc>
          <w:tcPr>
            <w:tcW w:w="605" w:type="dxa"/>
            <w:shd w:val="clear" w:color="auto" w:fill="E6B9B8"/>
          </w:tcPr>
          <w:p>
            <w:pPr>
              <w:pStyle w:val="TableParagraph"/>
              <w:spacing w:before="30"/>
              <w:ind w:right="1"/>
              <w:jc w:val="center"/>
              <w:rPr>
                <w:b/>
                <w:sz w:val="22"/>
              </w:rPr>
            </w:pPr>
            <w:r>
              <w:rPr>
                <w:b/>
                <w:w w:val="100"/>
                <w:sz w:val="22"/>
              </w:rPr>
              <w:t>C</w:t>
            </w:r>
          </w:p>
        </w:tc>
        <w:tc>
          <w:tcPr>
            <w:tcW w:w="1169" w:type="dxa"/>
            <w:shd w:val="clear" w:color="auto" w:fill="E6B9B8"/>
          </w:tcPr>
          <w:p>
            <w:pPr>
              <w:pStyle w:val="TableParagraph"/>
              <w:spacing w:before="13"/>
              <w:ind w:right="0"/>
              <w:jc w:val="center"/>
              <w:rPr>
                <w:b/>
                <w:sz w:val="22"/>
              </w:rPr>
            </w:pPr>
            <w:r>
              <w:rPr>
                <w:b/>
                <w:w w:val="100"/>
                <w:sz w:val="22"/>
              </w:rPr>
              <w:t>D</w:t>
            </w:r>
          </w:p>
        </w:tc>
        <w:tc>
          <w:tcPr>
            <w:tcW w:w="1169" w:type="dxa"/>
            <w:shd w:val="clear" w:color="auto" w:fill="E6B9B8"/>
          </w:tcPr>
          <w:p>
            <w:pPr>
              <w:pStyle w:val="TableParagraph"/>
              <w:spacing w:before="13"/>
              <w:ind w:right="3"/>
              <w:jc w:val="center"/>
              <w:rPr>
                <w:b/>
                <w:sz w:val="22"/>
              </w:rPr>
            </w:pPr>
            <w:r>
              <w:rPr>
                <w:b/>
                <w:w w:val="100"/>
                <w:sz w:val="22"/>
              </w:rPr>
              <w:t>E</w:t>
            </w:r>
          </w:p>
        </w:tc>
        <w:tc>
          <w:tcPr>
            <w:tcW w:w="1166" w:type="dxa"/>
            <w:shd w:val="clear" w:color="auto" w:fill="E6B9B8"/>
          </w:tcPr>
          <w:p>
            <w:pPr>
              <w:pStyle w:val="TableParagraph"/>
              <w:spacing w:before="13"/>
              <w:ind w:left="1" w:right="0"/>
              <w:jc w:val="center"/>
              <w:rPr>
                <w:b/>
                <w:sz w:val="22"/>
              </w:rPr>
            </w:pPr>
            <w:r>
              <w:rPr>
                <w:b/>
                <w:w w:val="100"/>
                <w:sz w:val="22"/>
              </w:rPr>
              <w:t>G</w:t>
            </w:r>
          </w:p>
        </w:tc>
      </w:tr>
      <w:tr>
        <w:trPr>
          <w:trHeight w:val="311" w:hRule="exact"/>
        </w:trPr>
        <w:tc>
          <w:tcPr>
            <w:tcW w:w="648" w:type="dxa"/>
            <w:shd w:val="clear" w:color="auto" w:fill="DBE4F0"/>
          </w:tcPr>
          <w:p>
            <w:pPr>
              <w:pStyle w:val="TableParagraph"/>
              <w:spacing w:before="29"/>
              <w:rPr>
                <w:sz w:val="22"/>
              </w:rPr>
            </w:pPr>
            <w:r>
              <w:rPr>
                <w:w w:val="100"/>
                <w:sz w:val="22"/>
              </w:rPr>
              <w:t>1</w:t>
            </w:r>
          </w:p>
        </w:tc>
        <w:tc>
          <w:tcPr>
            <w:tcW w:w="1654" w:type="dxa"/>
            <w:shd w:val="clear" w:color="auto" w:fill="DBE4F0"/>
          </w:tcPr>
          <w:p>
            <w:pPr>
              <w:pStyle w:val="TableParagraph"/>
              <w:spacing w:before="29"/>
              <w:ind w:right="63"/>
              <w:rPr>
                <w:sz w:val="22"/>
              </w:rPr>
            </w:pPr>
            <w:r>
              <w:rPr>
                <w:sz w:val="22"/>
              </w:rPr>
              <w:t>20/06/2009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29"/>
              <w:rPr>
                <w:sz w:val="22"/>
              </w:rPr>
            </w:pPr>
            <w:r>
              <w:rPr>
                <w:sz w:val="22"/>
              </w:rPr>
              <w:t>18.9</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w w:val="100"/>
                <w:sz w:val="22"/>
              </w:rPr>
              <w:t>2</w:t>
            </w:r>
          </w:p>
        </w:tc>
        <w:tc>
          <w:tcPr>
            <w:tcW w:w="1654" w:type="dxa"/>
            <w:shd w:val="clear" w:color="auto" w:fill="DBE4F0"/>
          </w:tcPr>
          <w:p>
            <w:pPr>
              <w:pStyle w:val="TableParagraph"/>
              <w:ind w:right="63"/>
              <w:rPr>
                <w:sz w:val="22"/>
              </w:rPr>
            </w:pPr>
            <w:r>
              <w:rPr>
                <w:sz w:val="22"/>
              </w:rPr>
              <w:t>21/06/2009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17.5</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w w:val="100"/>
                <w:sz w:val="22"/>
              </w:rPr>
              <w:t>3</w:t>
            </w:r>
          </w:p>
        </w:tc>
        <w:tc>
          <w:tcPr>
            <w:tcW w:w="1654" w:type="dxa"/>
            <w:shd w:val="clear" w:color="auto" w:fill="DBE4F0"/>
          </w:tcPr>
          <w:p>
            <w:pPr>
              <w:pStyle w:val="TableParagraph"/>
              <w:ind w:right="63"/>
              <w:rPr>
                <w:sz w:val="22"/>
              </w:rPr>
            </w:pPr>
            <w:r>
              <w:rPr>
                <w:sz w:val="22"/>
              </w:rPr>
              <w:t>22/06/2009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17.7</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w w:val="100"/>
                <w:sz w:val="22"/>
              </w:rPr>
              <w:t>4</w:t>
            </w:r>
          </w:p>
        </w:tc>
        <w:tc>
          <w:tcPr>
            <w:tcW w:w="1654" w:type="dxa"/>
            <w:shd w:val="clear" w:color="auto" w:fill="DBE4F0"/>
          </w:tcPr>
          <w:p>
            <w:pPr>
              <w:pStyle w:val="TableParagraph"/>
              <w:ind w:right="63"/>
              <w:rPr>
                <w:sz w:val="22"/>
              </w:rPr>
            </w:pPr>
            <w:r>
              <w:rPr>
                <w:sz w:val="22"/>
              </w:rPr>
              <w:t>23/06/2009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17.5</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w w:val="100"/>
                <w:sz w:val="22"/>
              </w:rPr>
              <w:t>5</w:t>
            </w:r>
          </w:p>
        </w:tc>
        <w:tc>
          <w:tcPr>
            <w:tcW w:w="1654" w:type="dxa"/>
            <w:shd w:val="clear" w:color="auto" w:fill="DBE4F0"/>
          </w:tcPr>
          <w:p>
            <w:pPr>
              <w:pStyle w:val="TableParagraph"/>
              <w:ind w:right="63"/>
              <w:rPr>
                <w:sz w:val="22"/>
              </w:rPr>
            </w:pPr>
            <w:r>
              <w:rPr>
                <w:sz w:val="22"/>
              </w:rPr>
              <w:t>24/06/2009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17.8</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30"/>
              <w:rPr>
                <w:sz w:val="22"/>
              </w:rPr>
            </w:pPr>
            <w:r>
              <w:rPr>
                <w:w w:val="100"/>
                <w:sz w:val="22"/>
              </w:rPr>
              <w:t>6</w:t>
            </w:r>
          </w:p>
        </w:tc>
        <w:tc>
          <w:tcPr>
            <w:tcW w:w="1654" w:type="dxa"/>
            <w:shd w:val="clear" w:color="auto" w:fill="DBE4F0"/>
          </w:tcPr>
          <w:p>
            <w:pPr>
              <w:pStyle w:val="TableParagraph"/>
              <w:spacing w:before="30"/>
              <w:ind w:right="63"/>
              <w:rPr>
                <w:sz w:val="22"/>
              </w:rPr>
            </w:pPr>
            <w:r>
              <w:rPr>
                <w:sz w:val="22"/>
              </w:rPr>
              <w:t>25/06/2009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30"/>
              <w:rPr>
                <w:sz w:val="22"/>
              </w:rPr>
            </w:pPr>
            <w:r>
              <w:rPr>
                <w:sz w:val="22"/>
              </w:rPr>
              <w:t>17.8</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29"/>
              <w:rPr>
                <w:sz w:val="22"/>
              </w:rPr>
            </w:pPr>
            <w:r>
              <w:rPr>
                <w:w w:val="100"/>
                <w:sz w:val="22"/>
              </w:rPr>
              <w:t>7</w:t>
            </w:r>
          </w:p>
        </w:tc>
        <w:tc>
          <w:tcPr>
            <w:tcW w:w="1654" w:type="dxa"/>
            <w:shd w:val="clear" w:color="auto" w:fill="DBE4F0"/>
          </w:tcPr>
          <w:p>
            <w:pPr>
              <w:pStyle w:val="TableParagraph"/>
              <w:spacing w:before="29"/>
              <w:ind w:right="63"/>
              <w:rPr>
                <w:sz w:val="22"/>
              </w:rPr>
            </w:pPr>
            <w:r>
              <w:rPr>
                <w:sz w:val="22"/>
              </w:rPr>
              <w:t>26/06/2009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29"/>
              <w:rPr>
                <w:sz w:val="22"/>
              </w:rPr>
            </w:pPr>
            <w:r>
              <w:rPr>
                <w:sz w:val="22"/>
              </w:rPr>
              <w:t>17.4</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w w:val="100"/>
                <w:sz w:val="22"/>
              </w:rPr>
              <w:t>8</w:t>
            </w:r>
          </w:p>
        </w:tc>
        <w:tc>
          <w:tcPr>
            <w:tcW w:w="1654" w:type="dxa"/>
            <w:shd w:val="clear" w:color="auto" w:fill="DBE4F0"/>
          </w:tcPr>
          <w:p>
            <w:pPr>
              <w:pStyle w:val="TableParagraph"/>
              <w:ind w:right="63"/>
              <w:rPr>
                <w:sz w:val="22"/>
              </w:rPr>
            </w:pPr>
            <w:r>
              <w:rPr>
                <w:sz w:val="22"/>
              </w:rPr>
              <w:t>27/06/2009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17.5</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w w:val="100"/>
                <w:sz w:val="22"/>
              </w:rPr>
              <w:t>9</w:t>
            </w:r>
          </w:p>
        </w:tc>
        <w:tc>
          <w:tcPr>
            <w:tcW w:w="1654" w:type="dxa"/>
            <w:shd w:val="clear" w:color="auto" w:fill="DBE4F0"/>
          </w:tcPr>
          <w:p>
            <w:pPr>
              <w:pStyle w:val="TableParagraph"/>
              <w:ind w:right="63"/>
              <w:rPr>
                <w:sz w:val="22"/>
              </w:rPr>
            </w:pPr>
            <w:r>
              <w:rPr>
                <w:sz w:val="22"/>
              </w:rPr>
              <w:t>28/06/2009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10</w:t>
            </w:r>
          </w:p>
        </w:tc>
        <w:tc>
          <w:tcPr>
            <w:tcW w:w="1654" w:type="dxa"/>
            <w:shd w:val="clear" w:color="auto" w:fill="DBE4F0"/>
          </w:tcPr>
          <w:p>
            <w:pPr>
              <w:pStyle w:val="TableParagraph"/>
              <w:ind w:right="63"/>
              <w:rPr>
                <w:sz w:val="22"/>
              </w:rPr>
            </w:pPr>
            <w:r>
              <w:rPr>
                <w:sz w:val="22"/>
              </w:rPr>
              <w:t>29/06/2009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16.5</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11</w:t>
            </w:r>
          </w:p>
        </w:tc>
        <w:tc>
          <w:tcPr>
            <w:tcW w:w="1654" w:type="dxa"/>
            <w:shd w:val="clear" w:color="auto" w:fill="DBE4F0"/>
          </w:tcPr>
          <w:p>
            <w:pPr>
              <w:pStyle w:val="TableParagraph"/>
              <w:ind w:right="63"/>
              <w:rPr>
                <w:sz w:val="22"/>
              </w:rPr>
            </w:pPr>
            <w:r>
              <w:rPr>
                <w:sz w:val="22"/>
              </w:rPr>
              <w:t>30/06/2009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16.7</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30"/>
              <w:rPr>
                <w:sz w:val="22"/>
              </w:rPr>
            </w:pPr>
            <w:r>
              <w:rPr>
                <w:sz w:val="22"/>
              </w:rPr>
              <w:t>12</w:t>
            </w:r>
          </w:p>
        </w:tc>
        <w:tc>
          <w:tcPr>
            <w:tcW w:w="1654" w:type="dxa"/>
            <w:shd w:val="clear" w:color="auto" w:fill="DBE4F0"/>
          </w:tcPr>
          <w:p>
            <w:pPr>
              <w:pStyle w:val="TableParagraph"/>
              <w:spacing w:before="30"/>
              <w:ind w:right="63"/>
              <w:rPr>
                <w:sz w:val="22"/>
              </w:rPr>
            </w:pPr>
            <w:r>
              <w:rPr>
                <w:sz w:val="22"/>
              </w:rPr>
              <w:t>01/07/2009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30"/>
              <w:rPr>
                <w:sz w:val="22"/>
              </w:rPr>
            </w:pPr>
            <w:r>
              <w:rPr>
                <w:sz w:val="22"/>
              </w:rPr>
              <w:t>17.5</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29"/>
              <w:rPr>
                <w:sz w:val="22"/>
              </w:rPr>
            </w:pPr>
            <w:r>
              <w:rPr>
                <w:sz w:val="22"/>
              </w:rPr>
              <w:t>13</w:t>
            </w:r>
          </w:p>
        </w:tc>
        <w:tc>
          <w:tcPr>
            <w:tcW w:w="1654" w:type="dxa"/>
            <w:shd w:val="clear" w:color="auto" w:fill="DBE4F0"/>
          </w:tcPr>
          <w:p>
            <w:pPr>
              <w:pStyle w:val="TableParagraph"/>
              <w:spacing w:before="29"/>
              <w:ind w:right="63"/>
              <w:rPr>
                <w:sz w:val="22"/>
              </w:rPr>
            </w:pPr>
            <w:r>
              <w:rPr>
                <w:sz w:val="22"/>
              </w:rPr>
              <w:t>02/07/2009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29"/>
              <w:rPr>
                <w:sz w:val="22"/>
              </w:rPr>
            </w:pPr>
            <w:r>
              <w:rPr>
                <w:sz w:val="22"/>
              </w:rPr>
              <w:t>17.4</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14</w:t>
            </w:r>
          </w:p>
        </w:tc>
        <w:tc>
          <w:tcPr>
            <w:tcW w:w="1654" w:type="dxa"/>
            <w:shd w:val="clear" w:color="auto" w:fill="DBE4F0"/>
          </w:tcPr>
          <w:p>
            <w:pPr>
              <w:pStyle w:val="TableParagraph"/>
              <w:ind w:right="63"/>
              <w:rPr>
                <w:sz w:val="22"/>
              </w:rPr>
            </w:pPr>
            <w:r>
              <w:rPr>
                <w:sz w:val="22"/>
              </w:rPr>
              <w:t>03/07/2009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17.1</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15</w:t>
            </w:r>
          </w:p>
        </w:tc>
        <w:tc>
          <w:tcPr>
            <w:tcW w:w="1654" w:type="dxa"/>
            <w:shd w:val="clear" w:color="auto" w:fill="DBE4F0"/>
          </w:tcPr>
          <w:p>
            <w:pPr>
              <w:pStyle w:val="TableParagraph"/>
              <w:ind w:right="63"/>
              <w:rPr>
                <w:sz w:val="22"/>
              </w:rPr>
            </w:pPr>
            <w:r>
              <w:rPr>
                <w:sz w:val="22"/>
              </w:rPr>
              <w:t>04/07/2009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17.3</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16</w:t>
            </w:r>
          </w:p>
        </w:tc>
        <w:tc>
          <w:tcPr>
            <w:tcW w:w="1654" w:type="dxa"/>
            <w:shd w:val="clear" w:color="auto" w:fill="DBE4F0"/>
          </w:tcPr>
          <w:p>
            <w:pPr>
              <w:pStyle w:val="TableParagraph"/>
              <w:ind w:right="63"/>
              <w:rPr>
                <w:sz w:val="22"/>
              </w:rPr>
            </w:pPr>
            <w:r>
              <w:rPr>
                <w:sz w:val="22"/>
              </w:rPr>
              <w:t>05/07/2009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17.1</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17</w:t>
            </w:r>
          </w:p>
        </w:tc>
        <w:tc>
          <w:tcPr>
            <w:tcW w:w="1654" w:type="dxa"/>
            <w:shd w:val="clear" w:color="auto" w:fill="DBE4F0"/>
          </w:tcPr>
          <w:p>
            <w:pPr>
              <w:pStyle w:val="TableParagraph"/>
              <w:ind w:right="63"/>
              <w:rPr>
                <w:sz w:val="22"/>
              </w:rPr>
            </w:pPr>
            <w:r>
              <w:rPr>
                <w:sz w:val="22"/>
              </w:rPr>
              <w:t>06/07/2009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17.7</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30"/>
              <w:rPr>
                <w:sz w:val="22"/>
              </w:rPr>
            </w:pPr>
            <w:r>
              <w:rPr>
                <w:sz w:val="22"/>
              </w:rPr>
              <w:t>18</w:t>
            </w:r>
          </w:p>
        </w:tc>
        <w:tc>
          <w:tcPr>
            <w:tcW w:w="1654" w:type="dxa"/>
            <w:shd w:val="clear" w:color="auto" w:fill="DBE4F0"/>
          </w:tcPr>
          <w:p>
            <w:pPr>
              <w:pStyle w:val="TableParagraph"/>
              <w:spacing w:before="30"/>
              <w:ind w:right="63"/>
              <w:rPr>
                <w:sz w:val="22"/>
              </w:rPr>
            </w:pPr>
            <w:r>
              <w:rPr>
                <w:sz w:val="22"/>
              </w:rPr>
              <w:t>07/07/2009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30"/>
              <w:rPr>
                <w:sz w:val="22"/>
              </w:rPr>
            </w:pPr>
            <w:r>
              <w:rPr>
                <w:sz w:val="22"/>
              </w:rPr>
              <w:t>17.5</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29"/>
              <w:rPr>
                <w:sz w:val="22"/>
              </w:rPr>
            </w:pPr>
            <w:r>
              <w:rPr>
                <w:sz w:val="22"/>
              </w:rPr>
              <w:t>19</w:t>
            </w:r>
          </w:p>
        </w:tc>
        <w:tc>
          <w:tcPr>
            <w:tcW w:w="1654" w:type="dxa"/>
            <w:shd w:val="clear" w:color="auto" w:fill="DBE4F0"/>
          </w:tcPr>
          <w:p>
            <w:pPr>
              <w:pStyle w:val="TableParagraph"/>
              <w:spacing w:before="29"/>
              <w:ind w:right="63"/>
              <w:rPr>
                <w:sz w:val="22"/>
              </w:rPr>
            </w:pPr>
            <w:r>
              <w:rPr>
                <w:sz w:val="22"/>
              </w:rPr>
              <w:t>08/07/2009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29"/>
              <w:rPr>
                <w:sz w:val="22"/>
              </w:rPr>
            </w:pPr>
            <w:r>
              <w:rPr>
                <w:sz w:val="22"/>
              </w:rPr>
              <w:t>17.8</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20</w:t>
            </w:r>
          </w:p>
        </w:tc>
        <w:tc>
          <w:tcPr>
            <w:tcW w:w="1654" w:type="dxa"/>
            <w:shd w:val="clear" w:color="auto" w:fill="DBE4F0"/>
          </w:tcPr>
          <w:p>
            <w:pPr>
              <w:pStyle w:val="TableParagraph"/>
              <w:ind w:right="63"/>
              <w:rPr>
                <w:sz w:val="22"/>
              </w:rPr>
            </w:pPr>
            <w:r>
              <w:rPr>
                <w:sz w:val="22"/>
              </w:rPr>
              <w:t>09/07/2009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18.2</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21</w:t>
            </w:r>
          </w:p>
        </w:tc>
        <w:tc>
          <w:tcPr>
            <w:tcW w:w="1654" w:type="dxa"/>
            <w:shd w:val="clear" w:color="auto" w:fill="DBE4F0"/>
          </w:tcPr>
          <w:p>
            <w:pPr>
              <w:pStyle w:val="TableParagraph"/>
              <w:ind w:right="63"/>
              <w:rPr>
                <w:sz w:val="22"/>
              </w:rPr>
            </w:pPr>
            <w:r>
              <w:rPr>
                <w:sz w:val="22"/>
              </w:rPr>
              <w:t>10/07/2009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18.4</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22</w:t>
            </w:r>
          </w:p>
        </w:tc>
        <w:tc>
          <w:tcPr>
            <w:tcW w:w="1654" w:type="dxa"/>
            <w:shd w:val="clear" w:color="auto" w:fill="DBE4F0"/>
          </w:tcPr>
          <w:p>
            <w:pPr>
              <w:pStyle w:val="TableParagraph"/>
              <w:ind w:right="63"/>
              <w:rPr>
                <w:sz w:val="22"/>
              </w:rPr>
            </w:pPr>
            <w:r>
              <w:rPr>
                <w:sz w:val="22"/>
              </w:rPr>
              <w:t>11/07/2009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16.7</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23</w:t>
            </w:r>
          </w:p>
        </w:tc>
        <w:tc>
          <w:tcPr>
            <w:tcW w:w="1654" w:type="dxa"/>
            <w:shd w:val="clear" w:color="auto" w:fill="DBE4F0"/>
          </w:tcPr>
          <w:p>
            <w:pPr>
              <w:pStyle w:val="TableParagraph"/>
              <w:ind w:right="63"/>
              <w:rPr>
                <w:sz w:val="22"/>
              </w:rPr>
            </w:pPr>
            <w:r>
              <w:rPr>
                <w:sz w:val="22"/>
              </w:rPr>
              <w:t>12/07/2009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16.9</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30"/>
              <w:rPr>
                <w:sz w:val="22"/>
              </w:rPr>
            </w:pPr>
            <w:r>
              <w:rPr>
                <w:sz w:val="22"/>
              </w:rPr>
              <w:t>24</w:t>
            </w:r>
          </w:p>
        </w:tc>
        <w:tc>
          <w:tcPr>
            <w:tcW w:w="1654" w:type="dxa"/>
            <w:shd w:val="clear" w:color="auto" w:fill="DBE4F0"/>
          </w:tcPr>
          <w:p>
            <w:pPr>
              <w:pStyle w:val="TableParagraph"/>
              <w:spacing w:before="30"/>
              <w:ind w:right="63"/>
              <w:rPr>
                <w:sz w:val="22"/>
              </w:rPr>
            </w:pPr>
            <w:r>
              <w:rPr>
                <w:sz w:val="22"/>
              </w:rPr>
              <w:t>13/07/2009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30"/>
              <w:rPr>
                <w:sz w:val="22"/>
              </w:rPr>
            </w:pPr>
            <w:r>
              <w:rPr>
                <w:sz w:val="22"/>
              </w:rPr>
              <w:t>17.6</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29"/>
              <w:rPr>
                <w:sz w:val="22"/>
              </w:rPr>
            </w:pPr>
            <w:r>
              <w:rPr>
                <w:sz w:val="22"/>
              </w:rPr>
              <w:t>25</w:t>
            </w:r>
          </w:p>
        </w:tc>
        <w:tc>
          <w:tcPr>
            <w:tcW w:w="1654" w:type="dxa"/>
            <w:shd w:val="clear" w:color="auto" w:fill="DBE4F0"/>
          </w:tcPr>
          <w:p>
            <w:pPr>
              <w:pStyle w:val="TableParagraph"/>
              <w:spacing w:before="29"/>
              <w:ind w:right="63"/>
              <w:rPr>
                <w:sz w:val="22"/>
              </w:rPr>
            </w:pPr>
            <w:r>
              <w:rPr>
                <w:sz w:val="22"/>
              </w:rPr>
              <w:t>14/07/2009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29"/>
              <w:rPr>
                <w:sz w:val="22"/>
              </w:rPr>
            </w:pPr>
            <w:r>
              <w:rPr>
                <w:sz w:val="22"/>
              </w:rPr>
              <w:t>17.1</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26</w:t>
            </w:r>
          </w:p>
        </w:tc>
        <w:tc>
          <w:tcPr>
            <w:tcW w:w="1654" w:type="dxa"/>
            <w:shd w:val="clear" w:color="auto" w:fill="DBE4F0"/>
          </w:tcPr>
          <w:p>
            <w:pPr>
              <w:pStyle w:val="TableParagraph"/>
              <w:ind w:right="63"/>
              <w:rPr>
                <w:sz w:val="22"/>
              </w:rPr>
            </w:pPr>
            <w:r>
              <w:rPr>
                <w:sz w:val="22"/>
              </w:rPr>
              <w:t>15/07/2009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17.3</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27</w:t>
            </w:r>
          </w:p>
        </w:tc>
        <w:tc>
          <w:tcPr>
            <w:tcW w:w="1654" w:type="dxa"/>
            <w:shd w:val="clear" w:color="auto" w:fill="DBE4F0"/>
          </w:tcPr>
          <w:p>
            <w:pPr>
              <w:pStyle w:val="TableParagraph"/>
              <w:ind w:right="63"/>
              <w:rPr>
                <w:sz w:val="22"/>
              </w:rPr>
            </w:pPr>
            <w:r>
              <w:rPr>
                <w:sz w:val="22"/>
              </w:rPr>
              <w:t>16/07/2009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17.8</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28</w:t>
            </w:r>
          </w:p>
        </w:tc>
        <w:tc>
          <w:tcPr>
            <w:tcW w:w="1654" w:type="dxa"/>
            <w:shd w:val="clear" w:color="auto" w:fill="DBE4F0"/>
          </w:tcPr>
          <w:p>
            <w:pPr>
              <w:pStyle w:val="TableParagraph"/>
              <w:ind w:right="63"/>
              <w:rPr>
                <w:sz w:val="22"/>
              </w:rPr>
            </w:pPr>
            <w:r>
              <w:rPr>
                <w:sz w:val="22"/>
              </w:rPr>
              <w:t>17/07/2009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17.6</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29</w:t>
            </w:r>
          </w:p>
        </w:tc>
        <w:tc>
          <w:tcPr>
            <w:tcW w:w="1654" w:type="dxa"/>
            <w:shd w:val="clear" w:color="auto" w:fill="DBE4F0"/>
          </w:tcPr>
          <w:p>
            <w:pPr>
              <w:pStyle w:val="TableParagraph"/>
              <w:ind w:right="63"/>
              <w:rPr>
                <w:sz w:val="22"/>
              </w:rPr>
            </w:pPr>
            <w:r>
              <w:rPr>
                <w:sz w:val="22"/>
              </w:rPr>
              <w:t>18/07/2009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17.3</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30"/>
              <w:rPr>
                <w:sz w:val="22"/>
              </w:rPr>
            </w:pPr>
            <w:r>
              <w:rPr>
                <w:sz w:val="22"/>
              </w:rPr>
              <w:t>30</w:t>
            </w:r>
          </w:p>
        </w:tc>
        <w:tc>
          <w:tcPr>
            <w:tcW w:w="1654" w:type="dxa"/>
            <w:shd w:val="clear" w:color="auto" w:fill="DBE4F0"/>
          </w:tcPr>
          <w:p>
            <w:pPr>
              <w:pStyle w:val="TableParagraph"/>
              <w:spacing w:before="30"/>
              <w:ind w:right="63"/>
              <w:rPr>
                <w:sz w:val="22"/>
              </w:rPr>
            </w:pPr>
            <w:r>
              <w:rPr>
                <w:sz w:val="22"/>
              </w:rPr>
              <w:t>19/07/2009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30"/>
              <w:rPr>
                <w:sz w:val="22"/>
              </w:rPr>
            </w:pPr>
            <w:r>
              <w:rPr>
                <w:sz w:val="22"/>
              </w:rPr>
              <w:t>17.3</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29"/>
              <w:rPr>
                <w:sz w:val="22"/>
              </w:rPr>
            </w:pPr>
            <w:r>
              <w:rPr>
                <w:sz w:val="22"/>
              </w:rPr>
              <w:t>31</w:t>
            </w:r>
          </w:p>
        </w:tc>
        <w:tc>
          <w:tcPr>
            <w:tcW w:w="1654" w:type="dxa"/>
            <w:shd w:val="clear" w:color="auto" w:fill="DBE4F0"/>
          </w:tcPr>
          <w:p>
            <w:pPr>
              <w:pStyle w:val="TableParagraph"/>
              <w:spacing w:before="29"/>
              <w:ind w:right="63"/>
              <w:rPr>
                <w:sz w:val="22"/>
              </w:rPr>
            </w:pPr>
            <w:r>
              <w:rPr>
                <w:sz w:val="22"/>
              </w:rPr>
              <w:t>20/07/2009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29"/>
              <w:rPr>
                <w:sz w:val="22"/>
              </w:rPr>
            </w:pPr>
            <w:r>
              <w:rPr>
                <w:sz w:val="22"/>
              </w:rPr>
              <w:t>16.5</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32</w:t>
            </w:r>
          </w:p>
        </w:tc>
        <w:tc>
          <w:tcPr>
            <w:tcW w:w="1654" w:type="dxa"/>
            <w:shd w:val="clear" w:color="auto" w:fill="DBE4F0"/>
          </w:tcPr>
          <w:p>
            <w:pPr>
              <w:pStyle w:val="TableParagraph"/>
              <w:ind w:right="63"/>
              <w:rPr>
                <w:sz w:val="22"/>
              </w:rPr>
            </w:pPr>
            <w:r>
              <w:rPr>
                <w:sz w:val="22"/>
              </w:rPr>
              <w:t>21/07/2009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16.9</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33</w:t>
            </w:r>
          </w:p>
        </w:tc>
        <w:tc>
          <w:tcPr>
            <w:tcW w:w="1654" w:type="dxa"/>
            <w:shd w:val="clear" w:color="auto" w:fill="DBE4F0"/>
          </w:tcPr>
          <w:p>
            <w:pPr>
              <w:pStyle w:val="TableParagraph"/>
              <w:ind w:right="63"/>
              <w:rPr>
                <w:sz w:val="22"/>
              </w:rPr>
            </w:pPr>
            <w:r>
              <w:rPr>
                <w:sz w:val="22"/>
              </w:rPr>
              <w:t>22/07/2009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16.8</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34</w:t>
            </w:r>
          </w:p>
        </w:tc>
        <w:tc>
          <w:tcPr>
            <w:tcW w:w="1654" w:type="dxa"/>
            <w:shd w:val="clear" w:color="auto" w:fill="DBE4F0"/>
          </w:tcPr>
          <w:p>
            <w:pPr>
              <w:pStyle w:val="TableParagraph"/>
              <w:ind w:right="63"/>
              <w:rPr>
                <w:sz w:val="22"/>
              </w:rPr>
            </w:pPr>
            <w:r>
              <w:rPr>
                <w:sz w:val="22"/>
              </w:rPr>
              <w:t>23/07/2009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17.1</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0" w:hRule="exact"/>
        </w:trPr>
        <w:tc>
          <w:tcPr>
            <w:tcW w:w="648" w:type="dxa"/>
            <w:shd w:val="clear" w:color="auto" w:fill="DBE4F0"/>
          </w:tcPr>
          <w:p>
            <w:pPr>
              <w:pStyle w:val="TableParagraph"/>
              <w:rPr>
                <w:sz w:val="22"/>
              </w:rPr>
            </w:pPr>
            <w:r>
              <w:rPr>
                <w:sz w:val="22"/>
              </w:rPr>
              <w:t>35</w:t>
            </w:r>
          </w:p>
        </w:tc>
        <w:tc>
          <w:tcPr>
            <w:tcW w:w="1654" w:type="dxa"/>
            <w:shd w:val="clear" w:color="auto" w:fill="DBE4F0"/>
          </w:tcPr>
          <w:p>
            <w:pPr>
              <w:pStyle w:val="TableParagraph"/>
              <w:ind w:right="63"/>
              <w:rPr>
                <w:sz w:val="22"/>
              </w:rPr>
            </w:pPr>
            <w:r>
              <w:rPr>
                <w:sz w:val="22"/>
              </w:rPr>
              <w:t>24/07/2009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rPr>
                <w:sz w:val="22"/>
              </w:rPr>
            </w:pPr>
            <w:r>
              <w:rPr>
                <w:sz w:val="22"/>
              </w:rPr>
              <w:t>16.9</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30"/>
              <w:rPr>
                <w:sz w:val="22"/>
              </w:rPr>
            </w:pPr>
            <w:r>
              <w:rPr>
                <w:sz w:val="22"/>
              </w:rPr>
              <w:t>36</w:t>
            </w:r>
          </w:p>
        </w:tc>
        <w:tc>
          <w:tcPr>
            <w:tcW w:w="1654" w:type="dxa"/>
            <w:shd w:val="clear" w:color="auto" w:fill="DBE4F0"/>
          </w:tcPr>
          <w:p>
            <w:pPr>
              <w:pStyle w:val="TableParagraph"/>
              <w:spacing w:before="30"/>
              <w:ind w:right="63"/>
              <w:rPr>
                <w:sz w:val="22"/>
              </w:rPr>
            </w:pPr>
            <w:r>
              <w:rPr>
                <w:sz w:val="22"/>
              </w:rPr>
              <w:t>25/07/2009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30"/>
              <w:rPr>
                <w:sz w:val="22"/>
              </w:rPr>
            </w:pPr>
            <w:r>
              <w:rPr>
                <w:sz w:val="22"/>
              </w:rPr>
              <w:t>17.6</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r>
        <w:trPr>
          <w:trHeight w:val="311" w:hRule="exact"/>
        </w:trPr>
        <w:tc>
          <w:tcPr>
            <w:tcW w:w="648" w:type="dxa"/>
            <w:shd w:val="clear" w:color="auto" w:fill="DBE4F0"/>
          </w:tcPr>
          <w:p>
            <w:pPr>
              <w:pStyle w:val="TableParagraph"/>
              <w:spacing w:before="29"/>
              <w:rPr>
                <w:sz w:val="22"/>
              </w:rPr>
            </w:pPr>
            <w:r>
              <w:rPr>
                <w:sz w:val="22"/>
              </w:rPr>
              <w:t>37</w:t>
            </w:r>
          </w:p>
        </w:tc>
        <w:tc>
          <w:tcPr>
            <w:tcW w:w="1654" w:type="dxa"/>
            <w:shd w:val="clear" w:color="auto" w:fill="DBE4F0"/>
          </w:tcPr>
          <w:p>
            <w:pPr>
              <w:pStyle w:val="TableParagraph"/>
              <w:spacing w:before="29"/>
              <w:ind w:right="63"/>
              <w:rPr>
                <w:sz w:val="22"/>
              </w:rPr>
            </w:pPr>
            <w:r>
              <w:rPr>
                <w:sz w:val="22"/>
              </w:rPr>
              <w:t>26/07/2009</w:t>
            </w:r>
          </w:p>
        </w:tc>
        <w:tc>
          <w:tcPr>
            <w:tcW w:w="1320" w:type="dxa"/>
            <w:shd w:val="clear" w:color="auto" w:fill="DBE4F0"/>
          </w:tcPr>
          <w:p>
            <w:pPr/>
          </w:p>
        </w:tc>
        <w:tc>
          <w:tcPr>
            <w:tcW w:w="1248" w:type="dxa"/>
            <w:shd w:val="clear" w:color="auto" w:fill="DBE4F0"/>
          </w:tcPr>
          <w:p>
            <w:pPr/>
          </w:p>
        </w:tc>
        <w:tc>
          <w:tcPr>
            <w:tcW w:w="605" w:type="dxa"/>
            <w:shd w:val="clear" w:color="auto" w:fill="DBE4F0"/>
          </w:tcPr>
          <w:p>
            <w:pPr>
              <w:pStyle w:val="TableParagraph"/>
              <w:spacing w:before="29"/>
              <w:rPr>
                <w:sz w:val="22"/>
              </w:rPr>
            </w:pPr>
            <w:r>
              <w:rPr>
                <w:sz w:val="22"/>
              </w:rPr>
              <w:t>17.8</w:t>
            </w:r>
          </w:p>
        </w:tc>
        <w:tc>
          <w:tcPr>
            <w:tcW w:w="1169" w:type="dxa"/>
            <w:shd w:val="clear" w:color="auto" w:fill="DBE4F0"/>
          </w:tcPr>
          <w:p>
            <w:pPr/>
          </w:p>
        </w:tc>
        <w:tc>
          <w:tcPr>
            <w:tcW w:w="1169" w:type="dxa"/>
            <w:shd w:val="clear" w:color="auto" w:fill="DBE4F0"/>
          </w:tcPr>
          <w:p>
            <w:pPr/>
          </w:p>
        </w:tc>
        <w:tc>
          <w:tcPr>
            <w:tcW w:w="1166" w:type="dxa"/>
            <w:shd w:val="clear" w:color="auto" w:fill="DBE4F0"/>
          </w:tcPr>
          <w:p>
            <w:pPr/>
          </w:p>
        </w:tc>
      </w:tr>
    </w:tbl>
    <w:p>
      <w:pPr>
        <w:spacing w:after="0"/>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
        <w:gridCol w:w="1654"/>
        <w:gridCol w:w="1320"/>
        <w:gridCol w:w="1248"/>
        <w:gridCol w:w="605"/>
        <w:gridCol w:w="1169"/>
        <w:gridCol w:w="1169"/>
        <w:gridCol w:w="1166"/>
      </w:tblGrid>
      <w:tr>
        <w:trPr>
          <w:trHeight w:val="310" w:hRule="exact"/>
        </w:trPr>
        <w:tc>
          <w:tcPr>
            <w:tcW w:w="8978" w:type="dxa"/>
            <w:gridSpan w:val="8"/>
            <w:shd w:val="clear" w:color="auto" w:fill="E6B9B8"/>
          </w:tcPr>
          <w:p>
            <w:pPr>
              <w:pStyle w:val="TableParagraph"/>
              <w:ind w:left="3628" w:right="3629"/>
              <w:jc w:val="center"/>
              <w:rPr>
                <w:b/>
                <w:sz w:val="22"/>
              </w:rPr>
            </w:pPr>
            <w:r>
              <w:rPr>
                <w:b/>
                <w:sz w:val="22"/>
              </w:rPr>
              <w:t>Temperatura (°C)</w:t>
            </w:r>
          </w:p>
        </w:tc>
      </w:tr>
      <w:tr>
        <w:trPr>
          <w:trHeight w:val="610" w:hRule="exact"/>
        </w:trPr>
        <w:tc>
          <w:tcPr>
            <w:tcW w:w="648" w:type="dxa"/>
            <w:vMerge w:val="restart"/>
            <w:shd w:val="clear" w:color="auto" w:fill="E6B9B8"/>
          </w:tcPr>
          <w:p>
            <w:pPr>
              <w:pStyle w:val="TableParagraph"/>
              <w:spacing w:before="8"/>
              <w:ind w:right="0"/>
              <w:jc w:val="left"/>
              <w:rPr>
                <w:rFonts w:ascii="Times New Roman"/>
                <w:sz w:val="27"/>
              </w:rPr>
            </w:pPr>
          </w:p>
          <w:p>
            <w:pPr>
              <w:pStyle w:val="TableParagraph"/>
              <w:spacing w:before="0"/>
              <w:ind w:left="124" w:right="0"/>
              <w:jc w:val="left"/>
              <w:rPr>
                <w:b/>
                <w:sz w:val="22"/>
              </w:rPr>
            </w:pPr>
            <w:r>
              <w:rPr>
                <w:b/>
                <w:sz w:val="22"/>
              </w:rPr>
              <w:t>Días</w:t>
            </w:r>
          </w:p>
        </w:tc>
        <w:tc>
          <w:tcPr>
            <w:tcW w:w="1654" w:type="dxa"/>
            <w:vMerge w:val="restart"/>
            <w:shd w:val="clear" w:color="auto" w:fill="E6B9B8"/>
          </w:tcPr>
          <w:p>
            <w:pPr>
              <w:pStyle w:val="TableParagraph"/>
              <w:spacing w:before="8"/>
              <w:ind w:right="0"/>
              <w:jc w:val="left"/>
              <w:rPr>
                <w:rFonts w:ascii="Times New Roman"/>
                <w:sz w:val="27"/>
              </w:rPr>
            </w:pPr>
          </w:p>
          <w:p>
            <w:pPr>
              <w:pStyle w:val="TableParagraph"/>
              <w:spacing w:before="0"/>
              <w:ind w:left="535" w:right="537"/>
              <w:jc w:val="center"/>
              <w:rPr>
                <w:b/>
                <w:sz w:val="22"/>
              </w:rPr>
            </w:pPr>
            <w:r>
              <w:rPr>
                <w:b/>
                <w:sz w:val="22"/>
              </w:rPr>
              <w:t>Fecha</w:t>
            </w:r>
          </w:p>
        </w:tc>
        <w:tc>
          <w:tcPr>
            <w:tcW w:w="6677" w:type="dxa"/>
            <w:gridSpan w:val="6"/>
            <w:shd w:val="clear" w:color="auto" w:fill="E6B9B8"/>
          </w:tcPr>
          <w:p>
            <w:pPr>
              <w:pStyle w:val="TableParagraph"/>
              <w:spacing w:before="162"/>
              <w:ind w:left="2391" w:right="2392"/>
              <w:jc w:val="center"/>
              <w:rPr>
                <w:b/>
                <w:sz w:val="22"/>
              </w:rPr>
            </w:pPr>
            <w:r>
              <w:rPr>
                <w:b/>
                <w:sz w:val="22"/>
              </w:rPr>
              <w:t>Puntos de muestreo</w:t>
            </w:r>
          </w:p>
        </w:tc>
      </w:tr>
      <w:tr>
        <w:trPr>
          <w:trHeight w:val="310" w:hRule="exact"/>
        </w:trPr>
        <w:tc>
          <w:tcPr>
            <w:tcW w:w="648" w:type="dxa"/>
            <w:vMerge/>
            <w:shd w:val="clear" w:color="auto" w:fill="E6B9B8"/>
          </w:tcPr>
          <w:p>
            <w:pPr/>
          </w:p>
        </w:tc>
        <w:tc>
          <w:tcPr>
            <w:tcW w:w="1654" w:type="dxa"/>
            <w:vMerge/>
            <w:shd w:val="clear" w:color="auto" w:fill="E6B9B8"/>
          </w:tcPr>
          <w:p>
            <w:pPr/>
          </w:p>
        </w:tc>
        <w:tc>
          <w:tcPr>
            <w:tcW w:w="1320" w:type="dxa"/>
            <w:shd w:val="clear" w:color="auto" w:fill="E6B9B8"/>
          </w:tcPr>
          <w:p>
            <w:pPr>
              <w:pStyle w:val="TableParagraph"/>
              <w:spacing w:before="13"/>
              <w:ind w:right="3"/>
              <w:jc w:val="center"/>
              <w:rPr>
                <w:b/>
                <w:sz w:val="22"/>
              </w:rPr>
            </w:pPr>
            <w:r>
              <w:rPr>
                <w:b/>
                <w:w w:val="100"/>
                <w:sz w:val="22"/>
              </w:rPr>
              <w:t>A</w:t>
            </w:r>
          </w:p>
        </w:tc>
        <w:tc>
          <w:tcPr>
            <w:tcW w:w="1248" w:type="dxa"/>
            <w:shd w:val="clear" w:color="auto" w:fill="E6B9B8"/>
          </w:tcPr>
          <w:p>
            <w:pPr>
              <w:pStyle w:val="TableParagraph"/>
              <w:spacing w:before="13"/>
              <w:ind w:right="4"/>
              <w:jc w:val="center"/>
              <w:rPr>
                <w:b/>
                <w:sz w:val="22"/>
              </w:rPr>
            </w:pPr>
            <w:r>
              <w:rPr>
                <w:b/>
                <w:w w:val="100"/>
                <w:sz w:val="22"/>
              </w:rPr>
              <w:t>B</w:t>
            </w:r>
          </w:p>
        </w:tc>
        <w:tc>
          <w:tcPr>
            <w:tcW w:w="605" w:type="dxa"/>
            <w:shd w:val="clear" w:color="auto" w:fill="E6B9B8"/>
          </w:tcPr>
          <w:p>
            <w:pPr>
              <w:pStyle w:val="TableParagraph"/>
              <w:spacing w:before="30"/>
              <w:ind w:right="1"/>
              <w:jc w:val="center"/>
              <w:rPr>
                <w:b/>
                <w:sz w:val="22"/>
              </w:rPr>
            </w:pPr>
            <w:r>
              <w:rPr>
                <w:b/>
                <w:w w:val="100"/>
                <w:sz w:val="22"/>
              </w:rPr>
              <w:t>C</w:t>
            </w:r>
          </w:p>
        </w:tc>
        <w:tc>
          <w:tcPr>
            <w:tcW w:w="1169" w:type="dxa"/>
            <w:shd w:val="clear" w:color="auto" w:fill="E6B9B8"/>
          </w:tcPr>
          <w:p>
            <w:pPr>
              <w:pStyle w:val="TableParagraph"/>
              <w:spacing w:before="13"/>
              <w:ind w:right="0"/>
              <w:jc w:val="center"/>
              <w:rPr>
                <w:b/>
                <w:sz w:val="22"/>
              </w:rPr>
            </w:pPr>
            <w:r>
              <w:rPr>
                <w:b/>
                <w:w w:val="100"/>
                <w:sz w:val="22"/>
              </w:rPr>
              <w:t>D</w:t>
            </w:r>
          </w:p>
        </w:tc>
        <w:tc>
          <w:tcPr>
            <w:tcW w:w="1169" w:type="dxa"/>
            <w:shd w:val="clear" w:color="auto" w:fill="E6B9B8"/>
          </w:tcPr>
          <w:p>
            <w:pPr>
              <w:pStyle w:val="TableParagraph"/>
              <w:spacing w:before="13"/>
              <w:ind w:right="3"/>
              <w:jc w:val="center"/>
              <w:rPr>
                <w:b/>
                <w:sz w:val="22"/>
              </w:rPr>
            </w:pPr>
            <w:r>
              <w:rPr>
                <w:b/>
                <w:w w:val="100"/>
                <w:sz w:val="22"/>
              </w:rPr>
              <w:t>E</w:t>
            </w:r>
          </w:p>
        </w:tc>
        <w:tc>
          <w:tcPr>
            <w:tcW w:w="1166" w:type="dxa"/>
            <w:shd w:val="clear" w:color="auto" w:fill="E6B9B8"/>
          </w:tcPr>
          <w:p>
            <w:pPr>
              <w:pStyle w:val="TableParagraph"/>
              <w:spacing w:before="13"/>
              <w:ind w:left="1" w:right="0"/>
              <w:jc w:val="center"/>
              <w:rPr>
                <w:b/>
                <w:sz w:val="22"/>
              </w:rPr>
            </w:pPr>
            <w:r>
              <w:rPr>
                <w:b/>
                <w:w w:val="100"/>
                <w:sz w:val="22"/>
              </w:rPr>
              <w:t>G</w:t>
            </w:r>
          </w:p>
        </w:tc>
      </w:tr>
      <w:tr>
        <w:trPr>
          <w:trHeight w:val="312" w:hRule="exact"/>
        </w:trPr>
        <w:tc>
          <w:tcPr>
            <w:tcW w:w="648" w:type="dxa"/>
          </w:tcPr>
          <w:p>
            <w:pPr>
              <w:pStyle w:val="TableParagraph"/>
              <w:spacing w:before="30"/>
              <w:rPr>
                <w:sz w:val="22"/>
              </w:rPr>
            </w:pPr>
            <w:r>
              <w:rPr>
                <w:sz w:val="22"/>
              </w:rPr>
              <w:t>38</w:t>
            </w:r>
          </w:p>
        </w:tc>
        <w:tc>
          <w:tcPr>
            <w:tcW w:w="1654" w:type="dxa"/>
          </w:tcPr>
          <w:p>
            <w:pPr>
              <w:pStyle w:val="TableParagraph"/>
              <w:spacing w:before="30"/>
              <w:ind w:right="63"/>
              <w:rPr>
                <w:sz w:val="22"/>
              </w:rPr>
            </w:pPr>
            <w:r>
              <w:rPr>
                <w:sz w:val="22"/>
              </w:rPr>
              <w:t>27/07/2009</w:t>
            </w:r>
          </w:p>
        </w:tc>
        <w:tc>
          <w:tcPr>
            <w:tcW w:w="1320" w:type="dxa"/>
          </w:tcPr>
          <w:p>
            <w:pPr>
              <w:pStyle w:val="TableParagraph"/>
              <w:spacing w:before="30"/>
              <w:ind w:right="63"/>
              <w:rPr>
                <w:sz w:val="22"/>
              </w:rPr>
            </w:pPr>
            <w:r>
              <w:rPr>
                <w:sz w:val="22"/>
              </w:rPr>
              <w:t>17.60</w:t>
            </w:r>
          </w:p>
        </w:tc>
        <w:tc>
          <w:tcPr>
            <w:tcW w:w="1248" w:type="dxa"/>
          </w:tcPr>
          <w:p>
            <w:pPr>
              <w:pStyle w:val="TableParagraph"/>
              <w:spacing w:before="30"/>
              <w:ind w:right="63"/>
              <w:rPr>
                <w:sz w:val="22"/>
              </w:rPr>
            </w:pPr>
            <w:r>
              <w:rPr>
                <w:sz w:val="22"/>
              </w:rPr>
              <w:t>17.30</w:t>
            </w:r>
          </w:p>
        </w:tc>
        <w:tc>
          <w:tcPr>
            <w:tcW w:w="605" w:type="dxa"/>
          </w:tcPr>
          <w:p>
            <w:pPr>
              <w:pStyle w:val="TableParagraph"/>
              <w:spacing w:before="30"/>
              <w:rPr>
                <w:sz w:val="22"/>
              </w:rPr>
            </w:pPr>
            <w:r>
              <w:rPr>
                <w:sz w:val="22"/>
              </w:rPr>
              <w:t>17.2</w:t>
            </w:r>
          </w:p>
        </w:tc>
        <w:tc>
          <w:tcPr>
            <w:tcW w:w="1169" w:type="dxa"/>
          </w:tcPr>
          <w:p>
            <w:pPr>
              <w:pStyle w:val="TableParagraph"/>
              <w:spacing w:before="30"/>
              <w:ind w:right="63"/>
              <w:rPr>
                <w:sz w:val="22"/>
              </w:rPr>
            </w:pPr>
            <w:r>
              <w:rPr>
                <w:sz w:val="22"/>
              </w:rPr>
              <w:t>17.1</w:t>
            </w:r>
          </w:p>
        </w:tc>
        <w:tc>
          <w:tcPr>
            <w:tcW w:w="1169" w:type="dxa"/>
          </w:tcPr>
          <w:p>
            <w:pPr>
              <w:pStyle w:val="TableParagraph"/>
              <w:spacing w:before="30"/>
              <w:ind w:right="63"/>
              <w:rPr>
                <w:sz w:val="22"/>
              </w:rPr>
            </w:pPr>
            <w:r>
              <w:rPr>
                <w:sz w:val="22"/>
              </w:rPr>
              <w:t>17.2</w:t>
            </w:r>
          </w:p>
        </w:tc>
        <w:tc>
          <w:tcPr>
            <w:tcW w:w="1166" w:type="dxa"/>
          </w:tcPr>
          <w:p>
            <w:pPr>
              <w:pStyle w:val="TableParagraph"/>
              <w:spacing w:before="30"/>
              <w:rPr>
                <w:sz w:val="22"/>
              </w:rPr>
            </w:pPr>
            <w:r>
              <w:rPr>
                <w:sz w:val="22"/>
              </w:rPr>
              <w:t>16.7</w:t>
            </w:r>
          </w:p>
        </w:tc>
      </w:tr>
      <w:tr>
        <w:trPr>
          <w:trHeight w:val="310" w:hRule="exact"/>
        </w:trPr>
        <w:tc>
          <w:tcPr>
            <w:tcW w:w="648" w:type="dxa"/>
          </w:tcPr>
          <w:p>
            <w:pPr>
              <w:pStyle w:val="TableParagraph"/>
              <w:rPr>
                <w:sz w:val="22"/>
              </w:rPr>
            </w:pPr>
            <w:r>
              <w:rPr>
                <w:sz w:val="22"/>
              </w:rPr>
              <w:t>39</w:t>
            </w:r>
          </w:p>
        </w:tc>
        <w:tc>
          <w:tcPr>
            <w:tcW w:w="1654" w:type="dxa"/>
          </w:tcPr>
          <w:p>
            <w:pPr>
              <w:pStyle w:val="TableParagraph"/>
              <w:ind w:right="63"/>
              <w:rPr>
                <w:sz w:val="22"/>
              </w:rPr>
            </w:pPr>
            <w:r>
              <w:rPr>
                <w:sz w:val="22"/>
              </w:rPr>
              <w:t>28/07/2009</w:t>
            </w:r>
          </w:p>
        </w:tc>
        <w:tc>
          <w:tcPr>
            <w:tcW w:w="1320" w:type="dxa"/>
          </w:tcPr>
          <w:p>
            <w:pPr>
              <w:pStyle w:val="TableParagraph"/>
              <w:ind w:right="63"/>
              <w:rPr>
                <w:sz w:val="22"/>
              </w:rPr>
            </w:pPr>
            <w:r>
              <w:rPr>
                <w:sz w:val="22"/>
              </w:rPr>
              <w:t>17.80</w:t>
            </w:r>
          </w:p>
        </w:tc>
        <w:tc>
          <w:tcPr>
            <w:tcW w:w="1248" w:type="dxa"/>
          </w:tcPr>
          <w:p>
            <w:pPr>
              <w:pStyle w:val="TableParagraph"/>
              <w:ind w:right="63"/>
              <w:rPr>
                <w:sz w:val="22"/>
              </w:rPr>
            </w:pPr>
            <w:r>
              <w:rPr>
                <w:sz w:val="22"/>
              </w:rPr>
              <w:t>17.30</w:t>
            </w:r>
          </w:p>
        </w:tc>
        <w:tc>
          <w:tcPr>
            <w:tcW w:w="605" w:type="dxa"/>
          </w:tcPr>
          <w:p>
            <w:pPr>
              <w:pStyle w:val="TableParagraph"/>
              <w:rPr>
                <w:sz w:val="22"/>
              </w:rPr>
            </w:pPr>
            <w:r>
              <w:rPr>
                <w:sz w:val="22"/>
              </w:rPr>
              <w:t>18.3</w:t>
            </w:r>
          </w:p>
        </w:tc>
        <w:tc>
          <w:tcPr>
            <w:tcW w:w="1169" w:type="dxa"/>
          </w:tcPr>
          <w:p>
            <w:pPr>
              <w:pStyle w:val="TableParagraph"/>
              <w:ind w:right="63"/>
              <w:rPr>
                <w:sz w:val="22"/>
              </w:rPr>
            </w:pPr>
            <w:r>
              <w:rPr>
                <w:sz w:val="22"/>
              </w:rPr>
              <w:t>17.2</w:t>
            </w:r>
          </w:p>
        </w:tc>
        <w:tc>
          <w:tcPr>
            <w:tcW w:w="1169" w:type="dxa"/>
          </w:tcPr>
          <w:p>
            <w:pPr>
              <w:pStyle w:val="TableParagraph"/>
              <w:ind w:right="63"/>
              <w:rPr>
                <w:sz w:val="22"/>
              </w:rPr>
            </w:pPr>
            <w:r>
              <w:rPr>
                <w:sz w:val="22"/>
              </w:rPr>
              <w:t>17.3</w:t>
            </w:r>
          </w:p>
        </w:tc>
        <w:tc>
          <w:tcPr>
            <w:tcW w:w="1166" w:type="dxa"/>
          </w:tcPr>
          <w:p>
            <w:pPr>
              <w:pStyle w:val="TableParagraph"/>
              <w:rPr>
                <w:sz w:val="22"/>
              </w:rPr>
            </w:pPr>
            <w:r>
              <w:rPr>
                <w:sz w:val="22"/>
              </w:rPr>
              <w:t>16.9</w:t>
            </w:r>
          </w:p>
        </w:tc>
      </w:tr>
      <w:tr>
        <w:trPr>
          <w:trHeight w:val="310" w:hRule="exact"/>
        </w:trPr>
        <w:tc>
          <w:tcPr>
            <w:tcW w:w="648" w:type="dxa"/>
          </w:tcPr>
          <w:p>
            <w:pPr>
              <w:pStyle w:val="TableParagraph"/>
              <w:rPr>
                <w:sz w:val="22"/>
              </w:rPr>
            </w:pPr>
            <w:r>
              <w:rPr>
                <w:sz w:val="22"/>
              </w:rPr>
              <w:t>40</w:t>
            </w:r>
          </w:p>
        </w:tc>
        <w:tc>
          <w:tcPr>
            <w:tcW w:w="1654" w:type="dxa"/>
          </w:tcPr>
          <w:p>
            <w:pPr>
              <w:pStyle w:val="TableParagraph"/>
              <w:ind w:right="63"/>
              <w:rPr>
                <w:sz w:val="22"/>
              </w:rPr>
            </w:pPr>
            <w:r>
              <w:rPr>
                <w:sz w:val="22"/>
              </w:rPr>
              <w:t>29/07/2009</w:t>
            </w:r>
          </w:p>
        </w:tc>
        <w:tc>
          <w:tcPr>
            <w:tcW w:w="1320" w:type="dxa"/>
          </w:tcPr>
          <w:p>
            <w:pPr>
              <w:pStyle w:val="TableParagraph"/>
              <w:ind w:right="63"/>
              <w:rPr>
                <w:sz w:val="22"/>
              </w:rPr>
            </w:pPr>
            <w:r>
              <w:rPr>
                <w:sz w:val="22"/>
              </w:rPr>
              <w:t>17.90</w:t>
            </w:r>
          </w:p>
        </w:tc>
        <w:tc>
          <w:tcPr>
            <w:tcW w:w="1248" w:type="dxa"/>
          </w:tcPr>
          <w:p>
            <w:pPr>
              <w:pStyle w:val="TableParagraph"/>
              <w:ind w:right="63"/>
              <w:rPr>
                <w:sz w:val="22"/>
              </w:rPr>
            </w:pPr>
            <w:r>
              <w:rPr>
                <w:sz w:val="22"/>
              </w:rPr>
              <w:t>17.40</w:t>
            </w:r>
          </w:p>
        </w:tc>
        <w:tc>
          <w:tcPr>
            <w:tcW w:w="605" w:type="dxa"/>
          </w:tcPr>
          <w:p>
            <w:pPr>
              <w:pStyle w:val="TableParagraph"/>
              <w:rPr>
                <w:sz w:val="22"/>
              </w:rPr>
            </w:pPr>
            <w:r>
              <w:rPr>
                <w:sz w:val="22"/>
              </w:rPr>
              <w:t>17.3</w:t>
            </w:r>
          </w:p>
        </w:tc>
        <w:tc>
          <w:tcPr>
            <w:tcW w:w="1169" w:type="dxa"/>
          </w:tcPr>
          <w:p>
            <w:pPr>
              <w:pStyle w:val="TableParagraph"/>
              <w:ind w:right="63"/>
              <w:rPr>
                <w:sz w:val="22"/>
              </w:rPr>
            </w:pPr>
            <w:r>
              <w:rPr>
                <w:sz w:val="22"/>
              </w:rPr>
              <w:t>17.3</w:t>
            </w:r>
          </w:p>
        </w:tc>
        <w:tc>
          <w:tcPr>
            <w:tcW w:w="1169" w:type="dxa"/>
          </w:tcPr>
          <w:p>
            <w:pPr>
              <w:pStyle w:val="TableParagraph"/>
              <w:ind w:right="63"/>
              <w:rPr>
                <w:sz w:val="22"/>
              </w:rPr>
            </w:pPr>
            <w:r>
              <w:rPr>
                <w:sz w:val="22"/>
              </w:rPr>
              <w:t>17.4</w:t>
            </w:r>
          </w:p>
        </w:tc>
        <w:tc>
          <w:tcPr>
            <w:tcW w:w="1166" w:type="dxa"/>
          </w:tcPr>
          <w:p>
            <w:pPr>
              <w:pStyle w:val="TableParagraph"/>
              <w:rPr>
                <w:sz w:val="22"/>
              </w:rPr>
            </w:pPr>
            <w:r>
              <w:rPr>
                <w:sz w:val="22"/>
              </w:rPr>
              <w:t>17.1</w:t>
            </w:r>
          </w:p>
        </w:tc>
      </w:tr>
      <w:tr>
        <w:trPr>
          <w:trHeight w:val="310" w:hRule="exact"/>
        </w:trPr>
        <w:tc>
          <w:tcPr>
            <w:tcW w:w="648" w:type="dxa"/>
          </w:tcPr>
          <w:p>
            <w:pPr>
              <w:pStyle w:val="TableParagraph"/>
              <w:rPr>
                <w:sz w:val="22"/>
              </w:rPr>
            </w:pPr>
            <w:r>
              <w:rPr>
                <w:sz w:val="22"/>
              </w:rPr>
              <w:t>41</w:t>
            </w:r>
          </w:p>
        </w:tc>
        <w:tc>
          <w:tcPr>
            <w:tcW w:w="1654" w:type="dxa"/>
          </w:tcPr>
          <w:p>
            <w:pPr>
              <w:pStyle w:val="TableParagraph"/>
              <w:ind w:right="63"/>
              <w:rPr>
                <w:sz w:val="22"/>
              </w:rPr>
            </w:pPr>
            <w:r>
              <w:rPr>
                <w:sz w:val="22"/>
              </w:rPr>
              <w:t>30/07/2009</w:t>
            </w:r>
          </w:p>
        </w:tc>
        <w:tc>
          <w:tcPr>
            <w:tcW w:w="1320" w:type="dxa"/>
          </w:tcPr>
          <w:p>
            <w:pPr>
              <w:pStyle w:val="TableParagraph"/>
              <w:ind w:right="63"/>
              <w:rPr>
                <w:sz w:val="22"/>
              </w:rPr>
            </w:pPr>
            <w:r>
              <w:rPr>
                <w:sz w:val="22"/>
              </w:rPr>
              <w:t>17.30</w:t>
            </w:r>
          </w:p>
        </w:tc>
        <w:tc>
          <w:tcPr>
            <w:tcW w:w="1248" w:type="dxa"/>
          </w:tcPr>
          <w:p>
            <w:pPr>
              <w:pStyle w:val="TableParagraph"/>
              <w:ind w:right="63"/>
              <w:rPr>
                <w:sz w:val="22"/>
              </w:rPr>
            </w:pPr>
            <w:r>
              <w:rPr>
                <w:sz w:val="22"/>
              </w:rPr>
              <w:t>16.90</w:t>
            </w:r>
          </w:p>
        </w:tc>
        <w:tc>
          <w:tcPr>
            <w:tcW w:w="605" w:type="dxa"/>
          </w:tcPr>
          <w:p>
            <w:pPr>
              <w:pStyle w:val="TableParagraph"/>
              <w:rPr>
                <w:sz w:val="22"/>
              </w:rPr>
            </w:pPr>
            <w:r>
              <w:rPr>
                <w:sz w:val="22"/>
              </w:rPr>
              <w:t>17</w:t>
            </w:r>
          </w:p>
        </w:tc>
        <w:tc>
          <w:tcPr>
            <w:tcW w:w="1169" w:type="dxa"/>
          </w:tcPr>
          <w:p>
            <w:pPr>
              <w:pStyle w:val="TableParagraph"/>
              <w:ind w:right="63"/>
              <w:rPr>
                <w:sz w:val="22"/>
              </w:rPr>
            </w:pPr>
            <w:r>
              <w:rPr>
                <w:sz w:val="22"/>
              </w:rPr>
              <w:t>16.8</w:t>
            </w:r>
          </w:p>
        </w:tc>
        <w:tc>
          <w:tcPr>
            <w:tcW w:w="1169" w:type="dxa"/>
          </w:tcPr>
          <w:p>
            <w:pPr>
              <w:pStyle w:val="TableParagraph"/>
              <w:ind w:right="63"/>
              <w:rPr>
                <w:sz w:val="22"/>
              </w:rPr>
            </w:pPr>
            <w:r>
              <w:rPr>
                <w:sz w:val="22"/>
              </w:rPr>
              <w:t>17.4</w:t>
            </w:r>
          </w:p>
        </w:tc>
        <w:tc>
          <w:tcPr>
            <w:tcW w:w="1166" w:type="dxa"/>
          </w:tcPr>
          <w:p>
            <w:pPr>
              <w:pStyle w:val="TableParagraph"/>
              <w:rPr>
                <w:sz w:val="22"/>
              </w:rPr>
            </w:pPr>
            <w:r>
              <w:rPr>
                <w:sz w:val="22"/>
              </w:rPr>
              <w:t>16.7</w:t>
            </w:r>
          </w:p>
        </w:tc>
      </w:tr>
      <w:tr>
        <w:trPr>
          <w:trHeight w:val="310" w:hRule="exact"/>
        </w:trPr>
        <w:tc>
          <w:tcPr>
            <w:tcW w:w="648" w:type="dxa"/>
          </w:tcPr>
          <w:p>
            <w:pPr>
              <w:pStyle w:val="TableParagraph"/>
              <w:rPr>
                <w:sz w:val="22"/>
              </w:rPr>
            </w:pPr>
            <w:r>
              <w:rPr>
                <w:sz w:val="22"/>
              </w:rPr>
              <w:t>42</w:t>
            </w:r>
          </w:p>
        </w:tc>
        <w:tc>
          <w:tcPr>
            <w:tcW w:w="1654" w:type="dxa"/>
          </w:tcPr>
          <w:p>
            <w:pPr>
              <w:pStyle w:val="TableParagraph"/>
              <w:ind w:right="63"/>
              <w:rPr>
                <w:sz w:val="22"/>
              </w:rPr>
            </w:pPr>
            <w:r>
              <w:rPr>
                <w:sz w:val="22"/>
              </w:rPr>
              <w:t>31/07/2009</w:t>
            </w:r>
          </w:p>
        </w:tc>
        <w:tc>
          <w:tcPr>
            <w:tcW w:w="1320" w:type="dxa"/>
          </w:tcPr>
          <w:p>
            <w:pPr>
              <w:pStyle w:val="TableParagraph"/>
              <w:ind w:right="63"/>
              <w:rPr>
                <w:sz w:val="22"/>
              </w:rPr>
            </w:pPr>
            <w:r>
              <w:rPr>
                <w:sz w:val="22"/>
              </w:rPr>
              <w:t>17.40</w:t>
            </w:r>
          </w:p>
        </w:tc>
        <w:tc>
          <w:tcPr>
            <w:tcW w:w="1248" w:type="dxa"/>
          </w:tcPr>
          <w:p>
            <w:pPr>
              <w:pStyle w:val="TableParagraph"/>
              <w:ind w:right="63"/>
              <w:rPr>
                <w:sz w:val="22"/>
              </w:rPr>
            </w:pPr>
            <w:r>
              <w:rPr>
                <w:sz w:val="22"/>
              </w:rPr>
              <w:t>17.50</w:t>
            </w:r>
          </w:p>
        </w:tc>
        <w:tc>
          <w:tcPr>
            <w:tcW w:w="605" w:type="dxa"/>
          </w:tcPr>
          <w:p>
            <w:pPr>
              <w:pStyle w:val="TableParagraph"/>
              <w:rPr>
                <w:sz w:val="22"/>
              </w:rPr>
            </w:pPr>
            <w:r>
              <w:rPr>
                <w:sz w:val="22"/>
              </w:rPr>
              <w:t>17.5</w:t>
            </w:r>
          </w:p>
        </w:tc>
        <w:tc>
          <w:tcPr>
            <w:tcW w:w="1169" w:type="dxa"/>
          </w:tcPr>
          <w:p>
            <w:pPr>
              <w:pStyle w:val="TableParagraph"/>
              <w:ind w:right="63"/>
              <w:rPr>
                <w:sz w:val="22"/>
              </w:rPr>
            </w:pPr>
            <w:r>
              <w:rPr>
                <w:sz w:val="22"/>
              </w:rPr>
              <w:t>17.5</w:t>
            </w:r>
          </w:p>
        </w:tc>
        <w:tc>
          <w:tcPr>
            <w:tcW w:w="1169" w:type="dxa"/>
          </w:tcPr>
          <w:p>
            <w:pPr>
              <w:pStyle w:val="TableParagraph"/>
              <w:ind w:right="63"/>
              <w:rPr>
                <w:sz w:val="22"/>
              </w:rPr>
            </w:pPr>
            <w:r>
              <w:rPr>
                <w:sz w:val="22"/>
              </w:rPr>
              <w:t>17.2</w:t>
            </w:r>
          </w:p>
        </w:tc>
        <w:tc>
          <w:tcPr>
            <w:tcW w:w="1166" w:type="dxa"/>
          </w:tcPr>
          <w:p>
            <w:pPr>
              <w:pStyle w:val="TableParagraph"/>
              <w:rPr>
                <w:sz w:val="22"/>
              </w:rPr>
            </w:pPr>
            <w:r>
              <w:rPr>
                <w:sz w:val="22"/>
              </w:rPr>
              <w:t>17.5</w:t>
            </w:r>
          </w:p>
        </w:tc>
      </w:tr>
      <w:tr>
        <w:trPr>
          <w:trHeight w:val="310" w:hRule="exact"/>
        </w:trPr>
        <w:tc>
          <w:tcPr>
            <w:tcW w:w="648" w:type="dxa"/>
          </w:tcPr>
          <w:p>
            <w:pPr>
              <w:pStyle w:val="TableParagraph"/>
              <w:spacing w:before="30"/>
              <w:rPr>
                <w:sz w:val="22"/>
              </w:rPr>
            </w:pPr>
            <w:r>
              <w:rPr>
                <w:sz w:val="22"/>
              </w:rPr>
              <w:t>43</w:t>
            </w:r>
          </w:p>
        </w:tc>
        <w:tc>
          <w:tcPr>
            <w:tcW w:w="1654" w:type="dxa"/>
          </w:tcPr>
          <w:p>
            <w:pPr>
              <w:pStyle w:val="TableParagraph"/>
              <w:spacing w:before="30"/>
              <w:ind w:right="63"/>
              <w:rPr>
                <w:sz w:val="22"/>
              </w:rPr>
            </w:pPr>
            <w:r>
              <w:rPr>
                <w:sz w:val="22"/>
              </w:rPr>
              <w:t>01/08/2009</w:t>
            </w:r>
          </w:p>
        </w:tc>
        <w:tc>
          <w:tcPr>
            <w:tcW w:w="1320" w:type="dxa"/>
          </w:tcPr>
          <w:p>
            <w:pPr>
              <w:pStyle w:val="TableParagraph"/>
              <w:spacing w:before="30"/>
              <w:ind w:right="63"/>
              <w:rPr>
                <w:sz w:val="22"/>
              </w:rPr>
            </w:pPr>
            <w:r>
              <w:rPr>
                <w:sz w:val="22"/>
              </w:rPr>
              <w:t>17.90</w:t>
            </w:r>
          </w:p>
        </w:tc>
        <w:tc>
          <w:tcPr>
            <w:tcW w:w="1248" w:type="dxa"/>
          </w:tcPr>
          <w:p>
            <w:pPr>
              <w:pStyle w:val="TableParagraph"/>
              <w:spacing w:before="30"/>
              <w:ind w:right="63"/>
              <w:rPr>
                <w:sz w:val="22"/>
              </w:rPr>
            </w:pPr>
            <w:r>
              <w:rPr>
                <w:sz w:val="22"/>
              </w:rPr>
              <w:t>17.80</w:t>
            </w:r>
          </w:p>
        </w:tc>
        <w:tc>
          <w:tcPr>
            <w:tcW w:w="605" w:type="dxa"/>
          </w:tcPr>
          <w:p>
            <w:pPr>
              <w:pStyle w:val="TableParagraph"/>
              <w:spacing w:before="30"/>
              <w:rPr>
                <w:sz w:val="22"/>
              </w:rPr>
            </w:pPr>
            <w:r>
              <w:rPr>
                <w:sz w:val="22"/>
              </w:rPr>
              <w:t>17.8</w:t>
            </w:r>
          </w:p>
        </w:tc>
        <w:tc>
          <w:tcPr>
            <w:tcW w:w="1169" w:type="dxa"/>
          </w:tcPr>
          <w:p>
            <w:pPr>
              <w:pStyle w:val="TableParagraph"/>
              <w:spacing w:before="30"/>
              <w:ind w:right="63"/>
              <w:rPr>
                <w:sz w:val="22"/>
              </w:rPr>
            </w:pPr>
            <w:r>
              <w:rPr>
                <w:sz w:val="22"/>
              </w:rPr>
              <w:t>17.9</w:t>
            </w:r>
          </w:p>
        </w:tc>
        <w:tc>
          <w:tcPr>
            <w:tcW w:w="1169" w:type="dxa"/>
          </w:tcPr>
          <w:p>
            <w:pPr>
              <w:pStyle w:val="TableParagraph"/>
              <w:spacing w:before="30"/>
              <w:ind w:right="63"/>
              <w:rPr>
                <w:sz w:val="22"/>
              </w:rPr>
            </w:pPr>
            <w:r>
              <w:rPr>
                <w:sz w:val="22"/>
              </w:rPr>
              <w:t>17.7</w:t>
            </w:r>
          </w:p>
        </w:tc>
        <w:tc>
          <w:tcPr>
            <w:tcW w:w="1166" w:type="dxa"/>
          </w:tcPr>
          <w:p>
            <w:pPr>
              <w:pStyle w:val="TableParagraph"/>
              <w:spacing w:before="30"/>
              <w:rPr>
                <w:sz w:val="22"/>
              </w:rPr>
            </w:pPr>
            <w:r>
              <w:rPr>
                <w:sz w:val="22"/>
              </w:rPr>
              <w:t>17.6</w:t>
            </w:r>
          </w:p>
        </w:tc>
      </w:tr>
      <w:tr>
        <w:trPr>
          <w:trHeight w:val="312" w:hRule="exact"/>
        </w:trPr>
        <w:tc>
          <w:tcPr>
            <w:tcW w:w="648" w:type="dxa"/>
          </w:tcPr>
          <w:p>
            <w:pPr>
              <w:pStyle w:val="TableParagraph"/>
              <w:spacing w:before="30"/>
              <w:rPr>
                <w:sz w:val="22"/>
              </w:rPr>
            </w:pPr>
            <w:r>
              <w:rPr>
                <w:sz w:val="22"/>
              </w:rPr>
              <w:t>44</w:t>
            </w:r>
          </w:p>
        </w:tc>
        <w:tc>
          <w:tcPr>
            <w:tcW w:w="1654" w:type="dxa"/>
          </w:tcPr>
          <w:p>
            <w:pPr>
              <w:pStyle w:val="TableParagraph"/>
              <w:spacing w:before="30"/>
              <w:ind w:right="63"/>
              <w:rPr>
                <w:sz w:val="22"/>
              </w:rPr>
            </w:pPr>
            <w:r>
              <w:rPr>
                <w:sz w:val="22"/>
              </w:rPr>
              <w:t>02/08/2009</w:t>
            </w:r>
          </w:p>
        </w:tc>
        <w:tc>
          <w:tcPr>
            <w:tcW w:w="1320" w:type="dxa"/>
          </w:tcPr>
          <w:p>
            <w:pPr>
              <w:pStyle w:val="TableParagraph"/>
              <w:spacing w:before="30"/>
              <w:ind w:right="63"/>
              <w:rPr>
                <w:sz w:val="22"/>
              </w:rPr>
            </w:pPr>
            <w:r>
              <w:rPr>
                <w:sz w:val="22"/>
              </w:rPr>
              <w:t>18.00</w:t>
            </w:r>
          </w:p>
        </w:tc>
        <w:tc>
          <w:tcPr>
            <w:tcW w:w="1248" w:type="dxa"/>
          </w:tcPr>
          <w:p>
            <w:pPr>
              <w:pStyle w:val="TableParagraph"/>
              <w:spacing w:before="30"/>
              <w:ind w:right="63"/>
              <w:rPr>
                <w:sz w:val="22"/>
              </w:rPr>
            </w:pPr>
            <w:r>
              <w:rPr>
                <w:sz w:val="22"/>
              </w:rPr>
              <w:t>18.00</w:t>
            </w:r>
          </w:p>
        </w:tc>
        <w:tc>
          <w:tcPr>
            <w:tcW w:w="605" w:type="dxa"/>
          </w:tcPr>
          <w:p>
            <w:pPr>
              <w:pStyle w:val="TableParagraph"/>
              <w:spacing w:before="30"/>
              <w:rPr>
                <w:sz w:val="22"/>
              </w:rPr>
            </w:pPr>
            <w:r>
              <w:rPr>
                <w:sz w:val="22"/>
              </w:rPr>
              <w:t>18</w:t>
            </w:r>
          </w:p>
        </w:tc>
        <w:tc>
          <w:tcPr>
            <w:tcW w:w="1169" w:type="dxa"/>
          </w:tcPr>
          <w:p>
            <w:pPr>
              <w:pStyle w:val="TableParagraph"/>
              <w:spacing w:before="30"/>
              <w:ind w:right="63"/>
              <w:rPr>
                <w:sz w:val="22"/>
              </w:rPr>
            </w:pPr>
            <w:r>
              <w:rPr>
                <w:sz w:val="22"/>
              </w:rPr>
              <w:t>18</w:t>
            </w:r>
          </w:p>
        </w:tc>
        <w:tc>
          <w:tcPr>
            <w:tcW w:w="1169" w:type="dxa"/>
          </w:tcPr>
          <w:p>
            <w:pPr>
              <w:pStyle w:val="TableParagraph"/>
              <w:spacing w:before="30"/>
              <w:ind w:right="63"/>
              <w:rPr>
                <w:sz w:val="22"/>
              </w:rPr>
            </w:pPr>
            <w:r>
              <w:rPr>
                <w:sz w:val="22"/>
              </w:rPr>
              <w:t>18</w:t>
            </w:r>
          </w:p>
        </w:tc>
        <w:tc>
          <w:tcPr>
            <w:tcW w:w="1166" w:type="dxa"/>
          </w:tcPr>
          <w:p>
            <w:pPr>
              <w:pStyle w:val="TableParagraph"/>
              <w:spacing w:before="30"/>
              <w:rPr>
                <w:sz w:val="22"/>
              </w:rPr>
            </w:pPr>
            <w:r>
              <w:rPr>
                <w:sz w:val="22"/>
              </w:rPr>
              <w:t>18</w:t>
            </w:r>
          </w:p>
        </w:tc>
      </w:tr>
      <w:tr>
        <w:trPr>
          <w:trHeight w:val="310" w:hRule="exact"/>
        </w:trPr>
        <w:tc>
          <w:tcPr>
            <w:tcW w:w="648" w:type="dxa"/>
          </w:tcPr>
          <w:p>
            <w:pPr>
              <w:pStyle w:val="TableParagraph"/>
              <w:rPr>
                <w:sz w:val="22"/>
              </w:rPr>
            </w:pPr>
            <w:r>
              <w:rPr>
                <w:sz w:val="22"/>
              </w:rPr>
              <w:t>45</w:t>
            </w:r>
          </w:p>
        </w:tc>
        <w:tc>
          <w:tcPr>
            <w:tcW w:w="1654" w:type="dxa"/>
          </w:tcPr>
          <w:p>
            <w:pPr>
              <w:pStyle w:val="TableParagraph"/>
              <w:ind w:right="63"/>
              <w:rPr>
                <w:sz w:val="22"/>
              </w:rPr>
            </w:pPr>
            <w:r>
              <w:rPr>
                <w:sz w:val="22"/>
              </w:rPr>
              <w:t>03/08/2009</w:t>
            </w:r>
          </w:p>
        </w:tc>
        <w:tc>
          <w:tcPr>
            <w:tcW w:w="1320" w:type="dxa"/>
          </w:tcPr>
          <w:p>
            <w:pPr>
              <w:pStyle w:val="TableParagraph"/>
              <w:ind w:right="63"/>
              <w:rPr>
                <w:sz w:val="22"/>
              </w:rPr>
            </w:pPr>
            <w:r>
              <w:rPr>
                <w:sz w:val="22"/>
              </w:rPr>
              <w:t>18.50</w:t>
            </w:r>
          </w:p>
        </w:tc>
        <w:tc>
          <w:tcPr>
            <w:tcW w:w="1248" w:type="dxa"/>
          </w:tcPr>
          <w:p>
            <w:pPr>
              <w:pStyle w:val="TableParagraph"/>
              <w:ind w:right="63"/>
              <w:rPr>
                <w:sz w:val="22"/>
              </w:rPr>
            </w:pPr>
            <w:r>
              <w:rPr>
                <w:sz w:val="22"/>
              </w:rPr>
              <w:t>18.20</w:t>
            </w:r>
          </w:p>
        </w:tc>
        <w:tc>
          <w:tcPr>
            <w:tcW w:w="605" w:type="dxa"/>
          </w:tcPr>
          <w:p>
            <w:pPr>
              <w:pStyle w:val="TableParagraph"/>
              <w:rPr>
                <w:sz w:val="22"/>
              </w:rPr>
            </w:pPr>
            <w:r>
              <w:rPr>
                <w:sz w:val="22"/>
              </w:rPr>
              <w:t>18.4</w:t>
            </w:r>
          </w:p>
        </w:tc>
        <w:tc>
          <w:tcPr>
            <w:tcW w:w="1169" w:type="dxa"/>
          </w:tcPr>
          <w:p>
            <w:pPr>
              <w:pStyle w:val="TableParagraph"/>
              <w:ind w:right="63"/>
              <w:rPr>
                <w:sz w:val="22"/>
              </w:rPr>
            </w:pPr>
            <w:r>
              <w:rPr>
                <w:sz w:val="22"/>
              </w:rPr>
              <w:t>18.4</w:t>
            </w:r>
          </w:p>
        </w:tc>
        <w:tc>
          <w:tcPr>
            <w:tcW w:w="1169" w:type="dxa"/>
          </w:tcPr>
          <w:p>
            <w:pPr>
              <w:pStyle w:val="TableParagraph"/>
              <w:ind w:right="63"/>
              <w:rPr>
                <w:sz w:val="22"/>
              </w:rPr>
            </w:pPr>
            <w:r>
              <w:rPr>
                <w:sz w:val="22"/>
              </w:rPr>
              <w:t>18.4</w:t>
            </w:r>
          </w:p>
        </w:tc>
        <w:tc>
          <w:tcPr>
            <w:tcW w:w="1166" w:type="dxa"/>
          </w:tcPr>
          <w:p>
            <w:pPr>
              <w:pStyle w:val="TableParagraph"/>
              <w:rPr>
                <w:sz w:val="22"/>
              </w:rPr>
            </w:pPr>
            <w:r>
              <w:rPr>
                <w:sz w:val="22"/>
              </w:rPr>
              <w:t>17.5</w:t>
            </w:r>
          </w:p>
        </w:tc>
      </w:tr>
      <w:tr>
        <w:trPr>
          <w:trHeight w:val="310" w:hRule="exact"/>
        </w:trPr>
        <w:tc>
          <w:tcPr>
            <w:tcW w:w="648" w:type="dxa"/>
          </w:tcPr>
          <w:p>
            <w:pPr>
              <w:pStyle w:val="TableParagraph"/>
              <w:rPr>
                <w:sz w:val="22"/>
              </w:rPr>
            </w:pPr>
            <w:r>
              <w:rPr>
                <w:sz w:val="22"/>
              </w:rPr>
              <w:t>46</w:t>
            </w:r>
          </w:p>
        </w:tc>
        <w:tc>
          <w:tcPr>
            <w:tcW w:w="1654" w:type="dxa"/>
          </w:tcPr>
          <w:p>
            <w:pPr>
              <w:pStyle w:val="TableParagraph"/>
              <w:ind w:right="63"/>
              <w:rPr>
                <w:sz w:val="22"/>
              </w:rPr>
            </w:pPr>
            <w:r>
              <w:rPr>
                <w:sz w:val="22"/>
              </w:rPr>
              <w:t>04/08/2009</w:t>
            </w:r>
          </w:p>
        </w:tc>
        <w:tc>
          <w:tcPr>
            <w:tcW w:w="1320" w:type="dxa"/>
          </w:tcPr>
          <w:p>
            <w:pPr>
              <w:pStyle w:val="TableParagraph"/>
              <w:ind w:right="63"/>
              <w:rPr>
                <w:sz w:val="22"/>
              </w:rPr>
            </w:pPr>
            <w:r>
              <w:rPr>
                <w:sz w:val="22"/>
              </w:rPr>
              <w:t>18.30</w:t>
            </w:r>
          </w:p>
        </w:tc>
        <w:tc>
          <w:tcPr>
            <w:tcW w:w="1248" w:type="dxa"/>
          </w:tcPr>
          <w:p>
            <w:pPr>
              <w:pStyle w:val="TableParagraph"/>
              <w:ind w:right="63"/>
              <w:rPr>
                <w:sz w:val="22"/>
              </w:rPr>
            </w:pPr>
            <w:r>
              <w:rPr>
                <w:sz w:val="22"/>
              </w:rPr>
              <w:t>19.30</w:t>
            </w:r>
          </w:p>
        </w:tc>
        <w:tc>
          <w:tcPr>
            <w:tcW w:w="605" w:type="dxa"/>
          </w:tcPr>
          <w:p>
            <w:pPr>
              <w:pStyle w:val="TableParagraph"/>
              <w:rPr>
                <w:sz w:val="22"/>
              </w:rPr>
            </w:pPr>
            <w:r>
              <w:rPr>
                <w:sz w:val="22"/>
              </w:rPr>
              <w:t>19</w:t>
            </w:r>
          </w:p>
        </w:tc>
        <w:tc>
          <w:tcPr>
            <w:tcW w:w="1169" w:type="dxa"/>
          </w:tcPr>
          <w:p>
            <w:pPr>
              <w:pStyle w:val="TableParagraph"/>
              <w:ind w:right="63"/>
              <w:rPr>
                <w:sz w:val="22"/>
              </w:rPr>
            </w:pPr>
            <w:r>
              <w:rPr>
                <w:sz w:val="22"/>
              </w:rPr>
              <w:t>19</w:t>
            </w:r>
          </w:p>
        </w:tc>
        <w:tc>
          <w:tcPr>
            <w:tcW w:w="1169" w:type="dxa"/>
          </w:tcPr>
          <w:p>
            <w:pPr>
              <w:pStyle w:val="TableParagraph"/>
              <w:ind w:right="63"/>
              <w:rPr>
                <w:sz w:val="22"/>
              </w:rPr>
            </w:pPr>
            <w:r>
              <w:rPr>
                <w:sz w:val="22"/>
              </w:rPr>
              <w:t>18.5</w:t>
            </w:r>
          </w:p>
        </w:tc>
        <w:tc>
          <w:tcPr>
            <w:tcW w:w="1166" w:type="dxa"/>
          </w:tcPr>
          <w:p>
            <w:pPr>
              <w:pStyle w:val="TableParagraph"/>
              <w:rPr>
                <w:sz w:val="22"/>
              </w:rPr>
            </w:pPr>
            <w:r>
              <w:rPr>
                <w:sz w:val="22"/>
              </w:rPr>
              <w:t>18.2</w:t>
            </w:r>
          </w:p>
        </w:tc>
      </w:tr>
      <w:tr>
        <w:trPr>
          <w:trHeight w:val="310" w:hRule="exact"/>
        </w:trPr>
        <w:tc>
          <w:tcPr>
            <w:tcW w:w="648" w:type="dxa"/>
          </w:tcPr>
          <w:p>
            <w:pPr>
              <w:pStyle w:val="TableParagraph"/>
              <w:rPr>
                <w:sz w:val="22"/>
              </w:rPr>
            </w:pPr>
            <w:r>
              <w:rPr>
                <w:sz w:val="22"/>
              </w:rPr>
              <w:t>47</w:t>
            </w:r>
          </w:p>
        </w:tc>
        <w:tc>
          <w:tcPr>
            <w:tcW w:w="1654" w:type="dxa"/>
          </w:tcPr>
          <w:p>
            <w:pPr>
              <w:pStyle w:val="TableParagraph"/>
              <w:ind w:right="63"/>
              <w:rPr>
                <w:sz w:val="22"/>
              </w:rPr>
            </w:pPr>
            <w:r>
              <w:rPr>
                <w:sz w:val="22"/>
              </w:rPr>
              <w:t>05/08/2009</w:t>
            </w:r>
          </w:p>
        </w:tc>
        <w:tc>
          <w:tcPr>
            <w:tcW w:w="1320" w:type="dxa"/>
          </w:tcPr>
          <w:p>
            <w:pPr>
              <w:pStyle w:val="TableParagraph"/>
              <w:ind w:right="63"/>
              <w:rPr>
                <w:sz w:val="22"/>
              </w:rPr>
            </w:pPr>
            <w:r>
              <w:rPr>
                <w:sz w:val="22"/>
              </w:rPr>
              <w:t>18.70</w:t>
            </w:r>
          </w:p>
        </w:tc>
        <w:tc>
          <w:tcPr>
            <w:tcW w:w="1248" w:type="dxa"/>
          </w:tcPr>
          <w:p>
            <w:pPr>
              <w:pStyle w:val="TableParagraph"/>
              <w:ind w:right="63"/>
              <w:rPr>
                <w:sz w:val="22"/>
              </w:rPr>
            </w:pPr>
            <w:r>
              <w:rPr>
                <w:sz w:val="22"/>
              </w:rPr>
              <w:t>18.70</w:t>
            </w:r>
          </w:p>
        </w:tc>
        <w:tc>
          <w:tcPr>
            <w:tcW w:w="605" w:type="dxa"/>
          </w:tcPr>
          <w:p>
            <w:pPr>
              <w:pStyle w:val="TableParagraph"/>
              <w:rPr>
                <w:sz w:val="22"/>
              </w:rPr>
            </w:pPr>
            <w:r>
              <w:rPr>
                <w:sz w:val="22"/>
              </w:rPr>
              <w:t>18.7</w:t>
            </w:r>
          </w:p>
        </w:tc>
        <w:tc>
          <w:tcPr>
            <w:tcW w:w="1169" w:type="dxa"/>
          </w:tcPr>
          <w:p>
            <w:pPr>
              <w:pStyle w:val="TableParagraph"/>
              <w:ind w:right="63"/>
              <w:rPr>
                <w:sz w:val="22"/>
              </w:rPr>
            </w:pPr>
            <w:r>
              <w:rPr>
                <w:sz w:val="22"/>
              </w:rPr>
              <w:t>18.7</w:t>
            </w:r>
          </w:p>
        </w:tc>
        <w:tc>
          <w:tcPr>
            <w:tcW w:w="1169" w:type="dxa"/>
          </w:tcPr>
          <w:p>
            <w:pPr>
              <w:pStyle w:val="TableParagraph"/>
              <w:ind w:right="63"/>
              <w:rPr>
                <w:sz w:val="22"/>
              </w:rPr>
            </w:pPr>
            <w:r>
              <w:rPr>
                <w:sz w:val="22"/>
              </w:rPr>
              <w:t>19</w:t>
            </w:r>
          </w:p>
        </w:tc>
        <w:tc>
          <w:tcPr>
            <w:tcW w:w="1166" w:type="dxa"/>
          </w:tcPr>
          <w:p>
            <w:pPr>
              <w:pStyle w:val="TableParagraph"/>
              <w:rPr>
                <w:sz w:val="22"/>
              </w:rPr>
            </w:pPr>
            <w:r>
              <w:rPr>
                <w:sz w:val="22"/>
              </w:rPr>
              <w:t>17.5</w:t>
            </w:r>
          </w:p>
        </w:tc>
      </w:tr>
      <w:tr>
        <w:trPr>
          <w:trHeight w:val="310" w:hRule="exact"/>
        </w:trPr>
        <w:tc>
          <w:tcPr>
            <w:tcW w:w="648" w:type="dxa"/>
          </w:tcPr>
          <w:p>
            <w:pPr>
              <w:pStyle w:val="TableParagraph"/>
              <w:rPr>
                <w:sz w:val="22"/>
              </w:rPr>
            </w:pPr>
            <w:r>
              <w:rPr>
                <w:sz w:val="22"/>
              </w:rPr>
              <w:t>48</w:t>
            </w:r>
          </w:p>
        </w:tc>
        <w:tc>
          <w:tcPr>
            <w:tcW w:w="1654" w:type="dxa"/>
          </w:tcPr>
          <w:p>
            <w:pPr>
              <w:pStyle w:val="TableParagraph"/>
              <w:ind w:right="63"/>
              <w:rPr>
                <w:sz w:val="22"/>
              </w:rPr>
            </w:pPr>
            <w:r>
              <w:rPr>
                <w:sz w:val="22"/>
              </w:rPr>
              <w:t>06/08/2009</w:t>
            </w:r>
          </w:p>
        </w:tc>
        <w:tc>
          <w:tcPr>
            <w:tcW w:w="1320" w:type="dxa"/>
          </w:tcPr>
          <w:p>
            <w:pPr>
              <w:pStyle w:val="TableParagraph"/>
              <w:ind w:right="63"/>
              <w:rPr>
                <w:sz w:val="22"/>
              </w:rPr>
            </w:pPr>
            <w:r>
              <w:rPr>
                <w:sz w:val="22"/>
              </w:rPr>
              <w:t>18.90</w:t>
            </w:r>
          </w:p>
        </w:tc>
        <w:tc>
          <w:tcPr>
            <w:tcW w:w="1248" w:type="dxa"/>
          </w:tcPr>
          <w:p>
            <w:pPr>
              <w:pStyle w:val="TableParagraph"/>
              <w:ind w:right="63"/>
              <w:rPr>
                <w:sz w:val="22"/>
              </w:rPr>
            </w:pPr>
            <w:r>
              <w:rPr>
                <w:sz w:val="22"/>
              </w:rPr>
              <w:t>18.80</w:t>
            </w:r>
          </w:p>
        </w:tc>
        <w:tc>
          <w:tcPr>
            <w:tcW w:w="605" w:type="dxa"/>
          </w:tcPr>
          <w:p>
            <w:pPr>
              <w:pStyle w:val="TableParagraph"/>
              <w:rPr>
                <w:sz w:val="22"/>
              </w:rPr>
            </w:pPr>
            <w:r>
              <w:rPr>
                <w:sz w:val="22"/>
              </w:rPr>
              <w:t>18.6</w:t>
            </w:r>
          </w:p>
        </w:tc>
        <w:tc>
          <w:tcPr>
            <w:tcW w:w="1169" w:type="dxa"/>
          </w:tcPr>
          <w:p>
            <w:pPr>
              <w:pStyle w:val="TableParagraph"/>
              <w:ind w:right="63"/>
              <w:rPr>
                <w:sz w:val="22"/>
              </w:rPr>
            </w:pPr>
            <w:r>
              <w:rPr>
                <w:sz w:val="22"/>
              </w:rPr>
              <w:t>18.6</w:t>
            </w:r>
          </w:p>
        </w:tc>
        <w:tc>
          <w:tcPr>
            <w:tcW w:w="1169" w:type="dxa"/>
          </w:tcPr>
          <w:p>
            <w:pPr>
              <w:pStyle w:val="TableParagraph"/>
              <w:ind w:right="63"/>
              <w:rPr>
                <w:sz w:val="22"/>
              </w:rPr>
            </w:pPr>
            <w:r>
              <w:rPr>
                <w:sz w:val="22"/>
              </w:rPr>
              <w:t>18.9</w:t>
            </w:r>
          </w:p>
        </w:tc>
        <w:tc>
          <w:tcPr>
            <w:tcW w:w="1166" w:type="dxa"/>
          </w:tcPr>
          <w:p>
            <w:pPr>
              <w:pStyle w:val="TableParagraph"/>
              <w:rPr>
                <w:sz w:val="22"/>
              </w:rPr>
            </w:pPr>
            <w:r>
              <w:rPr>
                <w:sz w:val="22"/>
              </w:rPr>
              <w:t>17</w:t>
            </w:r>
          </w:p>
        </w:tc>
      </w:tr>
      <w:tr>
        <w:trPr>
          <w:trHeight w:val="310" w:hRule="exact"/>
        </w:trPr>
        <w:tc>
          <w:tcPr>
            <w:tcW w:w="648" w:type="dxa"/>
          </w:tcPr>
          <w:p>
            <w:pPr>
              <w:pStyle w:val="TableParagraph"/>
              <w:spacing w:before="30"/>
              <w:rPr>
                <w:sz w:val="22"/>
              </w:rPr>
            </w:pPr>
            <w:r>
              <w:rPr>
                <w:sz w:val="22"/>
              </w:rPr>
              <w:t>49</w:t>
            </w:r>
          </w:p>
        </w:tc>
        <w:tc>
          <w:tcPr>
            <w:tcW w:w="1654" w:type="dxa"/>
          </w:tcPr>
          <w:p>
            <w:pPr>
              <w:pStyle w:val="TableParagraph"/>
              <w:spacing w:before="30"/>
              <w:ind w:right="63"/>
              <w:rPr>
                <w:sz w:val="22"/>
              </w:rPr>
            </w:pPr>
            <w:r>
              <w:rPr>
                <w:sz w:val="22"/>
              </w:rPr>
              <w:t>07/08/2009</w:t>
            </w:r>
          </w:p>
        </w:tc>
        <w:tc>
          <w:tcPr>
            <w:tcW w:w="1320" w:type="dxa"/>
          </w:tcPr>
          <w:p>
            <w:pPr>
              <w:pStyle w:val="TableParagraph"/>
              <w:spacing w:before="30"/>
              <w:ind w:right="63"/>
              <w:rPr>
                <w:sz w:val="22"/>
              </w:rPr>
            </w:pPr>
            <w:r>
              <w:rPr>
                <w:sz w:val="22"/>
              </w:rPr>
              <w:t>18.30</w:t>
            </w:r>
          </w:p>
        </w:tc>
        <w:tc>
          <w:tcPr>
            <w:tcW w:w="1248" w:type="dxa"/>
          </w:tcPr>
          <w:p>
            <w:pPr>
              <w:pStyle w:val="TableParagraph"/>
              <w:spacing w:before="30"/>
              <w:ind w:right="63"/>
              <w:rPr>
                <w:sz w:val="22"/>
              </w:rPr>
            </w:pPr>
            <w:r>
              <w:rPr>
                <w:sz w:val="22"/>
              </w:rPr>
              <w:t>18.10</w:t>
            </w:r>
          </w:p>
        </w:tc>
        <w:tc>
          <w:tcPr>
            <w:tcW w:w="605" w:type="dxa"/>
          </w:tcPr>
          <w:p>
            <w:pPr>
              <w:pStyle w:val="TableParagraph"/>
              <w:spacing w:before="30"/>
              <w:rPr>
                <w:sz w:val="22"/>
              </w:rPr>
            </w:pPr>
            <w:r>
              <w:rPr>
                <w:sz w:val="22"/>
              </w:rPr>
              <w:t>18.1</w:t>
            </w:r>
          </w:p>
        </w:tc>
        <w:tc>
          <w:tcPr>
            <w:tcW w:w="1169" w:type="dxa"/>
          </w:tcPr>
          <w:p>
            <w:pPr>
              <w:pStyle w:val="TableParagraph"/>
              <w:spacing w:before="30"/>
              <w:ind w:right="63"/>
              <w:rPr>
                <w:sz w:val="22"/>
              </w:rPr>
            </w:pPr>
            <w:r>
              <w:rPr>
                <w:sz w:val="22"/>
              </w:rPr>
              <w:t>18.1</w:t>
            </w:r>
          </w:p>
        </w:tc>
        <w:tc>
          <w:tcPr>
            <w:tcW w:w="1169" w:type="dxa"/>
          </w:tcPr>
          <w:p>
            <w:pPr>
              <w:pStyle w:val="TableParagraph"/>
              <w:spacing w:before="30"/>
              <w:ind w:right="63"/>
              <w:rPr>
                <w:sz w:val="22"/>
              </w:rPr>
            </w:pPr>
            <w:r>
              <w:rPr>
                <w:sz w:val="22"/>
              </w:rPr>
              <w:t>17.6</w:t>
            </w:r>
          </w:p>
        </w:tc>
        <w:tc>
          <w:tcPr>
            <w:tcW w:w="1166" w:type="dxa"/>
          </w:tcPr>
          <w:p>
            <w:pPr>
              <w:pStyle w:val="TableParagraph"/>
              <w:spacing w:before="30"/>
              <w:rPr>
                <w:sz w:val="22"/>
              </w:rPr>
            </w:pPr>
            <w:r>
              <w:rPr>
                <w:sz w:val="22"/>
              </w:rPr>
              <w:t>17.4</w:t>
            </w:r>
          </w:p>
        </w:tc>
      </w:tr>
      <w:tr>
        <w:trPr>
          <w:trHeight w:val="312" w:hRule="exact"/>
        </w:trPr>
        <w:tc>
          <w:tcPr>
            <w:tcW w:w="648" w:type="dxa"/>
          </w:tcPr>
          <w:p>
            <w:pPr>
              <w:pStyle w:val="TableParagraph"/>
              <w:spacing w:before="30"/>
              <w:rPr>
                <w:sz w:val="22"/>
              </w:rPr>
            </w:pPr>
            <w:r>
              <w:rPr>
                <w:sz w:val="22"/>
              </w:rPr>
              <w:t>50</w:t>
            </w:r>
          </w:p>
        </w:tc>
        <w:tc>
          <w:tcPr>
            <w:tcW w:w="1654" w:type="dxa"/>
          </w:tcPr>
          <w:p>
            <w:pPr>
              <w:pStyle w:val="TableParagraph"/>
              <w:spacing w:before="30"/>
              <w:ind w:right="63"/>
              <w:rPr>
                <w:sz w:val="22"/>
              </w:rPr>
            </w:pPr>
            <w:r>
              <w:rPr>
                <w:sz w:val="22"/>
              </w:rPr>
              <w:t>08/08/2009</w:t>
            </w:r>
          </w:p>
        </w:tc>
        <w:tc>
          <w:tcPr>
            <w:tcW w:w="1320" w:type="dxa"/>
          </w:tcPr>
          <w:p>
            <w:pPr>
              <w:pStyle w:val="TableParagraph"/>
              <w:spacing w:before="30"/>
              <w:ind w:right="63"/>
              <w:rPr>
                <w:sz w:val="22"/>
              </w:rPr>
            </w:pPr>
            <w:r>
              <w:rPr>
                <w:sz w:val="22"/>
              </w:rPr>
              <w:t>17.50</w:t>
            </w:r>
          </w:p>
        </w:tc>
        <w:tc>
          <w:tcPr>
            <w:tcW w:w="1248" w:type="dxa"/>
          </w:tcPr>
          <w:p>
            <w:pPr>
              <w:pStyle w:val="TableParagraph"/>
              <w:spacing w:before="30"/>
              <w:ind w:right="63"/>
              <w:rPr>
                <w:sz w:val="22"/>
              </w:rPr>
            </w:pPr>
            <w:r>
              <w:rPr>
                <w:sz w:val="22"/>
              </w:rPr>
              <w:t>17.30</w:t>
            </w:r>
          </w:p>
        </w:tc>
        <w:tc>
          <w:tcPr>
            <w:tcW w:w="605" w:type="dxa"/>
          </w:tcPr>
          <w:p>
            <w:pPr>
              <w:pStyle w:val="TableParagraph"/>
              <w:spacing w:before="30"/>
              <w:rPr>
                <w:sz w:val="22"/>
              </w:rPr>
            </w:pPr>
            <w:r>
              <w:rPr>
                <w:sz w:val="22"/>
              </w:rPr>
              <w:t>17.4</w:t>
            </w:r>
          </w:p>
        </w:tc>
        <w:tc>
          <w:tcPr>
            <w:tcW w:w="1169" w:type="dxa"/>
          </w:tcPr>
          <w:p>
            <w:pPr>
              <w:pStyle w:val="TableParagraph"/>
              <w:spacing w:before="30"/>
              <w:ind w:right="63"/>
              <w:rPr>
                <w:sz w:val="22"/>
              </w:rPr>
            </w:pPr>
            <w:r>
              <w:rPr>
                <w:sz w:val="22"/>
              </w:rPr>
              <w:t>17.4</w:t>
            </w:r>
          </w:p>
        </w:tc>
        <w:tc>
          <w:tcPr>
            <w:tcW w:w="1169" w:type="dxa"/>
          </w:tcPr>
          <w:p>
            <w:pPr>
              <w:pStyle w:val="TableParagraph"/>
              <w:spacing w:before="30"/>
              <w:ind w:right="63"/>
              <w:rPr>
                <w:sz w:val="22"/>
              </w:rPr>
            </w:pPr>
            <w:r>
              <w:rPr>
                <w:sz w:val="22"/>
              </w:rPr>
              <w:t>17</w:t>
            </w:r>
          </w:p>
        </w:tc>
        <w:tc>
          <w:tcPr>
            <w:tcW w:w="1166" w:type="dxa"/>
          </w:tcPr>
          <w:p>
            <w:pPr>
              <w:pStyle w:val="TableParagraph"/>
              <w:spacing w:before="30"/>
              <w:rPr>
                <w:sz w:val="22"/>
              </w:rPr>
            </w:pPr>
            <w:r>
              <w:rPr>
                <w:sz w:val="22"/>
              </w:rPr>
              <w:t>17.3</w:t>
            </w:r>
          </w:p>
        </w:tc>
      </w:tr>
      <w:tr>
        <w:trPr>
          <w:trHeight w:val="310" w:hRule="exact"/>
        </w:trPr>
        <w:tc>
          <w:tcPr>
            <w:tcW w:w="648" w:type="dxa"/>
          </w:tcPr>
          <w:p>
            <w:pPr>
              <w:pStyle w:val="TableParagraph"/>
              <w:rPr>
                <w:sz w:val="22"/>
              </w:rPr>
            </w:pPr>
            <w:r>
              <w:rPr>
                <w:sz w:val="22"/>
              </w:rPr>
              <w:t>51</w:t>
            </w:r>
          </w:p>
        </w:tc>
        <w:tc>
          <w:tcPr>
            <w:tcW w:w="1654" w:type="dxa"/>
          </w:tcPr>
          <w:p>
            <w:pPr>
              <w:pStyle w:val="TableParagraph"/>
              <w:ind w:right="63"/>
              <w:rPr>
                <w:sz w:val="22"/>
              </w:rPr>
            </w:pPr>
            <w:r>
              <w:rPr>
                <w:sz w:val="22"/>
              </w:rPr>
              <w:t>09/08/2009</w:t>
            </w:r>
          </w:p>
        </w:tc>
        <w:tc>
          <w:tcPr>
            <w:tcW w:w="1320" w:type="dxa"/>
          </w:tcPr>
          <w:p>
            <w:pPr>
              <w:pStyle w:val="TableParagraph"/>
              <w:ind w:right="63"/>
              <w:rPr>
                <w:sz w:val="22"/>
              </w:rPr>
            </w:pPr>
            <w:r>
              <w:rPr>
                <w:sz w:val="22"/>
              </w:rPr>
              <w:t>17.20</w:t>
            </w:r>
          </w:p>
        </w:tc>
        <w:tc>
          <w:tcPr>
            <w:tcW w:w="1248" w:type="dxa"/>
          </w:tcPr>
          <w:p>
            <w:pPr>
              <w:pStyle w:val="TableParagraph"/>
              <w:ind w:right="63"/>
              <w:rPr>
                <w:sz w:val="22"/>
              </w:rPr>
            </w:pPr>
            <w:r>
              <w:rPr>
                <w:sz w:val="22"/>
              </w:rPr>
              <w:t>16.90</w:t>
            </w:r>
          </w:p>
        </w:tc>
        <w:tc>
          <w:tcPr>
            <w:tcW w:w="605" w:type="dxa"/>
          </w:tcPr>
          <w:p>
            <w:pPr>
              <w:pStyle w:val="TableParagraph"/>
              <w:rPr>
                <w:sz w:val="22"/>
              </w:rPr>
            </w:pPr>
            <w:r>
              <w:rPr>
                <w:sz w:val="22"/>
              </w:rPr>
              <w:t>16.9</w:t>
            </w:r>
          </w:p>
        </w:tc>
        <w:tc>
          <w:tcPr>
            <w:tcW w:w="1169" w:type="dxa"/>
          </w:tcPr>
          <w:p>
            <w:pPr>
              <w:pStyle w:val="TableParagraph"/>
              <w:ind w:right="63"/>
              <w:rPr>
                <w:sz w:val="22"/>
              </w:rPr>
            </w:pPr>
            <w:r>
              <w:rPr>
                <w:sz w:val="22"/>
              </w:rPr>
              <w:t>16.8</w:t>
            </w:r>
          </w:p>
        </w:tc>
        <w:tc>
          <w:tcPr>
            <w:tcW w:w="1169" w:type="dxa"/>
          </w:tcPr>
          <w:p>
            <w:pPr>
              <w:pStyle w:val="TableParagraph"/>
              <w:ind w:right="63"/>
              <w:rPr>
                <w:sz w:val="22"/>
              </w:rPr>
            </w:pPr>
            <w:r>
              <w:rPr>
                <w:sz w:val="22"/>
              </w:rPr>
              <w:t>16.7</w:t>
            </w:r>
          </w:p>
        </w:tc>
        <w:tc>
          <w:tcPr>
            <w:tcW w:w="1166" w:type="dxa"/>
          </w:tcPr>
          <w:p>
            <w:pPr>
              <w:pStyle w:val="TableParagraph"/>
              <w:rPr>
                <w:sz w:val="22"/>
              </w:rPr>
            </w:pPr>
            <w:r>
              <w:rPr>
                <w:sz w:val="22"/>
              </w:rPr>
              <w:t>16.8</w:t>
            </w:r>
          </w:p>
        </w:tc>
      </w:tr>
      <w:tr>
        <w:trPr>
          <w:trHeight w:val="310" w:hRule="exact"/>
        </w:trPr>
        <w:tc>
          <w:tcPr>
            <w:tcW w:w="648" w:type="dxa"/>
          </w:tcPr>
          <w:p>
            <w:pPr>
              <w:pStyle w:val="TableParagraph"/>
              <w:rPr>
                <w:sz w:val="22"/>
              </w:rPr>
            </w:pPr>
            <w:r>
              <w:rPr>
                <w:sz w:val="22"/>
              </w:rPr>
              <w:t>52</w:t>
            </w:r>
          </w:p>
        </w:tc>
        <w:tc>
          <w:tcPr>
            <w:tcW w:w="1654" w:type="dxa"/>
          </w:tcPr>
          <w:p>
            <w:pPr>
              <w:pStyle w:val="TableParagraph"/>
              <w:ind w:right="63"/>
              <w:rPr>
                <w:sz w:val="22"/>
              </w:rPr>
            </w:pPr>
            <w:r>
              <w:rPr>
                <w:sz w:val="22"/>
              </w:rPr>
              <w:t>10/08/2009</w:t>
            </w:r>
          </w:p>
        </w:tc>
        <w:tc>
          <w:tcPr>
            <w:tcW w:w="1320" w:type="dxa"/>
          </w:tcPr>
          <w:p>
            <w:pPr>
              <w:pStyle w:val="TableParagraph"/>
              <w:ind w:right="63"/>
              <w:rPr>
                <w:sz w:val="22"/>
              </w:rPr>
            </w:pPr>
            <w:r>
              <w:rPr>
                <w:sz w:val="22"/>
              </w:rPr>
              <w:t>17.50</w:t>
            </w:r>
          </w:p>
        </w:tc>
        <w:tc>
          <w:tcPr>
            <w:tcW w:w="1248" w:type="dxa"/>
          </w:tcPr>
          <w:p>
            <w:pPr>
              <w:pStyle w:val="TableParagraph"/>
              <w:ind w:right="63"/>
              <w:rPr>
                <w:sz w:val="22"/>
              </w:rPr>
            </w:pPr>
            <w:r>
              <w:rPr>
                <w:sz w:val="22"/>
              </w:rPr>
              <w:t>17.10</w:t>
            </w:r>
          </w:p>
        </w:tc>
        <w:tc>
          <w:tcPr>
            <w:tcW w:w="605" w:type="dxa"/>
          </w:tcPr>
          <w:p>
            <w:pPr>
              <w:pStyle w:val="TableParagraph"/>
              <w:rPr>
                <w:sz w:val="22"/>
              </w:rPr>
            </w:pPr>
            <w:r>
              <w:rPr>
                <w:sz w:val="22"/>
              </w:rPr>
              <w:t>17</w:t>
            </w:r>
          </w:p>
        </w:tc>
        <w:tc>
          <w:tcPr>
            <w:tcW w:w="1169" w:type="dxa"/>
          </w:tcPr>
          <w:p>
            <w:pPr>
              <w:pStyle w:val="TableParagraph"/>
              <w:ind w:right="63"/>
              <w:rPr>
                <w:sz w:val="22"/>
              </w:rPr>
            </w:pPr>
            <w:r>
              <w:rPr>
                <w:sz w:val="22"/>
              </w:rPr>
              <w:t>17</w:t>
            </w:r>
          </w:p>
        </w:tc>
        <w:tc>
          <w:tcPr>
            <w:tcW w:w="1169" w:type="dxa"/>
          </w:tcPr>
          <w:p>
            <w:pPr>
              <w:pStyle w:val="TableParagraph"/>
              <w:ind w:right="63"/>
              <w:rPr>
                <w:sz w:val="22"/>
              </w:rPr>
            </w:pPr>
            <w:r>
              <w:rPr>
                <w:sz w:val="22"/>
              </w:rPr>
              <w:t>16.9</w:t>
            </w:r>
          </w:p>
        </w:tc>
        <w:tc>
          <w:tcPr>
            <w:tcW w:w="1166" w:type="dxa"/>
          </w:tcPr>
          <w:p>
            <w:pPr>
              <w:pStyle w:val="TableParagraph"/>
              <w:rPr>
                <w:sz w:val="22"/>
              </w:rPr>
            </w:pPr>
            <w:r>
              <w:rPr>
                <w:sz w:val="22"/>
              </w:rPr>
              <w:t>16.9</w:t>
            </w:r>
          </w:p>
        </w:tc>
      </w:tr>
      <w:tr>
        <w:trPr>
          <w:trHeight w:val="310" w:hRule="exact"/>
        </w:trPr>
        <w:tc>
          <w:tcPr>
            <w:tcW w:w="648" w:type="dxa"/>
          </w:tcPr>
          <w:p>
            <w:pPr>
              <w:pStyle w:val="TableParagraph"/>
              <w:rPr>
                <w:sz w:val="22"/>
              </w:rPr>
            </w:pPr>
            <w:r>
              <w:rPr>
                <w:sz w:val="22"/>
              </w:rPr>
              <w:t>53</w:t>
            </w:r>
          </w:p>
        </w:tc>
        <w:tc>
          <w:tcPr>
            <w:tcW w:w="1654" w:type="dxa"/>
          </w:tcPr>
          <w:p>
            <w:pPr>
              <w:pStyle w:val="TableParagraph"/>
              <w:ind w:right="63"/>
              <w:rPr>
                <w:sz w:val="22"/>
              </w:rPr>
            </w:pPr>
            <w:r>
              <w:rPr>
                <w:sz w:val="22"/>
              </w:rPr>
              <w:t>11/08/2009</w:t>
            </w:r>
          </w:p>
        </w:tc>
        <w:tc>
          <w:tcPr>
            <w:tcW w:w="1320" w:type="dxa"/>
          </w:tcPr>
          <w:p>
            <w:pPr>
              <w:pStyle w:val="TableParagraph"/>
              <w:ind w:right="63"/>
              <w:rPr>
                <w:sz w:val="22"/>
              </w:rPr>
            </w:pPr>
            <w:r>
              <w:rPr>
                <w:sz w:val="22"/>
              </w:rPr>
              <w:t>19.10</w:t>
            </w:r>
          </w:p>
        </w:tc>
        <w:tc>
          <w:tcPr>
            <w:tcW w:w="1248" w:type="dxa"/>
          </w:tcPr>
          <w:p>
            <w:pPr>
              <w:pStyle w:val="TableParagraph"/>
              <w:ind w:right="63"/>
              <w:rPr>
                <w:sz w:val="22"/>
              </w:rPr>
            </w:pPr>
            <w:r>
              <w:rPr>
                <w:sz w:val="22"/>
              </w:rPr>
              <w:t>17.50</w:t>
            </w:r>
          </w:p>
        </w:tc>
        <w:tc>
          <w:tcPr>
            <w:tcW w:w="605" w:type="dxa"/>
          </w:tcPr>
          <w:p>
            <w:pPr>
              <w:pStyle w:val="TableParagraph"/>
              <w:rPr>
                <w:sz w:val="22"/>
              </w:rPr>
            </w:pPr>
            <w:r>
              <w:rPr>
                <w:sz w:val="22"/>
              </w:rPr>
              <w:t>17.2</w:t>
            </w:r>
          </w:p>
        </w:tc>
        <w:tc>
          <w:tcPr>
            <w:tcW w:w="1169" w:type="dxa"/>
          </w:tcPr>
          <w:p>
            <w:pPr>
              <w:pStyle w:val="TableParagraph"/>
              <w:ind w:right="63"/>
              <w:rPr>
                <w:sz w:val="22"/>
              </w:rPr>
            </w:pPr>
            <w:r>
              <w:rPr>
                <w:sz w:val="22"/>
              </w:rPr>
              <w:t>17</w:t>
            </w:r>
          </w:p>
        </w:tc>
        <w:tc>
          <w:tcPr>
            <w:tcW w:w="1169" w:type="dxa"/>
          </w:tcPr>
          <w:p>
            <w:pPr>
              <w:pStyle w:val="TableParagraph"/>
              <w:ind w:right="63"/>
              <w:rPr>
                <w:sz w:val="22"/>
              </w:rPr>
            </w:pPr>
            <w:r>
              <w:rPr>
                <w:sz w:val="22"/>
              </w:rPr>
              <w:t>17</w:t>
            </w:r>
          </w:p>
        </w:tc>
        <w:tc>
          <w:tcPr>
            <w:tcW w:w="1166" w:type="dxa"/>
          </w:tcPr>
          <w:p>
            <w:pPr>
              <w:pStyle w:val="TableParagraph"/>
              <w:rPr>
                <w:sz w:val="22"/>
              </w:rPr>
            </w:pPr>
            <w:r>
              <w:rPr>
                <w:sz w:val="22"/>
              </w:rPr>
              <w:t>17.1</w:t>
            </w:r>
          </w:p>
        </w:tc>
      </w:tr>
      <w:tr>
        <w:trPr>
          <w:trHeight w:val="310" w:hRule="exact"/>
        </w:trPr>
        <w:tc>
          <w:tcPr>
            <w:tcW w:w="648" w:type="dxa"/>
          </w:tcPr>
          <w:p>
            <w:pPr>
              <w:pStyle w:val="TableParagraph"/>
              <w:rPr>
                <w:sz w:val="22"/>
              </w:rPr>
            </w:pPr>
            <w:r>
              <w:rPr>
                <w:sz w:val="22"/>
              </w:rPr>
              <w:t>54</w:t>
            </w:r>
          </w:p>
        </w:tc>
        <w:tc>
          <w:tcPr>
            <w:tcW w:w="1654" w:type="dxa"/>
          </w:tcPr>
          <w:p>
            <w:pPr>
              <w:pStyle w:val="TableParagraph"/>
              <w:ind w:right="63"/>
              <w:rPr>
                <w:sz w:val="22"/>
              </w:rPr>
            </w:pPr>
            <w:r>
              <w:rPr>
                <w:sz w:val="22"/>
              </w:rPr>
              <w:t>12/08/2009</w:t>
            </w:r>
          </w:p>
        </w:tc>
        <w:tc>
          <w:tcPr>
            <w:tcW w:w="1320" w:type="dxa"/>
          </w:tcPr>
          <w:p>
            <w:pPr>
              <w:pStyle w:val="TableParagraph"/>
              <w:ind w:right="63"/>
              <w:rPr>
                <w:sz w:val="22"/>
              </w:rPr>
            </w:pPr>
            <w:r>
              <w:rPr>
                <w:sz w:val="22"/>
              </w:rPr>
              <w:t>17.80</w:t>
            </w:r>
          </w:p>
        </w:tc>
        <w:tc>
          <w:tcPr>
            <w:tcW w:w="1248" w:type="dxa"/>
          </w:tcPr>
          <w:p>
            <w:pPr>
              <w:pStyle w:val="TableParagraph"/>
              <w:ind w:right="63"/>
              <w:rPr>
                <w:sz w:val="22"/>
              </w:rPr>
            </w:pPr>
            <w:r>
              <w:rPr>
                <w:sz w:val="22"/>
              </w:rPr>
              <w:t>17.70</w:t>
            </w:r>
          </w:p>
        </w:tc>
        <w:tc>
          <w:tcPr>
            <w:tcW w:w="605" w:type="dxa"/>
          </w:tcPr>
          <w:p>
            <w:pPr>
              <w:pStyle w:val="TableParagraph"/>
              <w:rPr>
                <w:sz w:val="22"/>
              </w:rPr>
            </w:pPr>
            <w:r>
              <w:rPr>
                <w:sz w:val="22"/>
              </w:rPr>
              <w:t>17.6</w:t>
            </w:r>
          </w:p>
        </w:tc>
        <w:tc>
          <w:tcPr>
            <w:tcW w:w="1169" w:type="dxa"/>
          </w:tcPr>
          <w:p>
            <w:pPr>
              <w:pStyle w:val="TableParagraph"/>
              <w:ind w:right="63"/>
              <w:rPr>
                <w:sz w:val="22"/>
              </w:rPr>
            </w:pPr>
            <w:r>
              <w:rPr>
                <w:sz w:val="22"/>
              </w:rPr>
              <w:t>17.6</w:t>
            </w:r>
          </w:p>
        </w:tc>
        <w:tc>
          <w:tcPr>
            <w:tcW w:w="1169" w:type="dxa"/>
          </w:tcPr>
          <w:p>
            <w:pPr>
              <w:pStyle w:val="TableParagraph"/>
              <w:ind w:right="63"/>
              <w:rPr>
                <w:sz w:val="22"/>
              </w:rPr>
            </w:pPr>
            <w:r>
              <w:rPr>
                <w:sz w:val="22"/>
              </w:rPr>
              <w:t>17.6</w:t>
            </w:r>
          </w:p>
        </w:tc>
        <w:tc>
          <w:tcPr>
            <w:tcW w:w="1166" w:type="dxa"/>
          </w:tcPr>
          <w:p>
            <w:pPr>
              <w:pStyle w:val="TableParagraph"/>
              <w:rPr>
                <w:sz w:val="22"/>
              </w:rPr>
            </w:pPr>
            <w:r>
              <w:rPr>
                <w:sz w:val="22"/>
              </w:rPr>
              <w:t>17</w:t>
            </w:r>
          </w:p>
        </w:tc>
      </w:tr>
      <w:tr>
        <w:trPr>
          <w:trHeight w:val="310" w:hRule="exact"/>
        </w:trPr>
        <w:tc>
          <w:tcPr>
            <w:tcW w:w="648" w:type="dxa"/>
          </w:tcPr>
          <w:p>
            <w:pPr>
              <w:pStyle w:val="TableParagraph"/>
              <w:spacing w:before="30"/>
              <w:rPr>
                <w:sz w:val="22"/>
              </w:rPr>
            </w:pPr>
            <w:r>
              <w:rPr>
                <w:sz w:val="22"/>
              </w:rPr>
              <w:t>55</w:t>
            </w:r>
          </w:p>
        </w:tc>
        <w:tc>
          <w:tcPr>
            <w:tcW w:w="1654" w:type="dxa"/>
          </w:tcPr>
          <w:p>
            <w:pPr>
              <w:pStyle w:val="TableParagraph"/>
              <w:spacing w:before="30"/>
              <w:ind w:right="63"/>
              <w:rPr>
                <w:sz w:val="22"/>
              </w:rPr>
            </w:pPr>
            <w:r>
              <w:rPr>
                <w:sz w:val="22"/>
              </w:rPr>
              <w:t>13/08/2009</w:t>
            </w:r>
          </w:p>
        </w:tc>
        <w:tc>
          <w:tcPr>
            <w:tcW w:w="1320" w:type="dxa"/>
          </w:tcPr>
          <w:p>
            <w:pPr>
              <w:pStyle w:val="TableParagraph"/>
              <w:spacing w:before="30"/>
              <w:ind w:right="63"/>
              <w:rPr>
                <w:sz w:val="22"/>
              </w:rPr>
            </w:pPr>
            <w:r>
              <w:rPr>
                <w:sz w:val="22"/>
              </w:rPr>
              <w:t>17.20</w:t>
            </w:r>
          </w:p>
        </w:tc>
        <w:tc>
          <w:tcPr>
            <w:tcW w:w="1248" w:type="dxa"/>
          </w:tcPr>
          <w:p>
            <w:pPr>
              <w:pStyle w:val="TableParagraph"/>
              <w:spacing w:before="30"/>
              <w:ind w:right="63"/>
              <w:rPr>
                <w:sz w:val="22"/>
              </w:rPr>
            </w:pPr>
            <w:r>
              <w:rPr>
                <w:sz w:val="22"/>
              </w:rPr>
              <w:t>16.90</w:t>
            </w:r>
          </w:p>
        </w:tc>
        <w:tc>
          <w:tcPr>
            <w:tcW w:w="605" w:type="dxa"/>
          </w:tcPr>
          <w:p>
            <w:pPr>
              <w:pStyle w:val="TableParagraph"/>
              <w:spacing w:before="30"/>
              <w:rPr>
                <w:sz w:val="22"/>
              </w:rPr>
            </w:pPr>
            <w:r>
              <w:rPr>
                <w:sz w:val="22"/>
              </w:rPr>
              <w:t>16.7</w:t>
            </w:r>
          </w:p>
        </w:tc>
        <w:tc>
          <w:tcPr>
            <w:tcW w:w="1169" w:type="dxa"/>
          </w:tcPr>
          <w:p>
            <w:pPr>
              <w:pStyle w:val="TableParagraph"/>
              <w:spacing w:before="30"/>
              <w:ind w:right="63"/>
              <w:rPr>
                <w:sz w:val="22"/>
              </w:rPr>
            </w:pPr>
            <w:r>
              <w:rPr>
                <w:sz w:val="22"/>
              </w:rPr>
              <w:t>16.7</w:t>
            </w:r>
          </w:p>
        </w:tc>
        <w:tc>
          <w:tcPr>
            <w:tcW w:w="1169" w:type="dxa"/>
          </w:tcPr>
          <w:p>
            <w:pPr>
              <w:pStyle w:val="TableParagraph"/>
              <w:spacing w:before="30"/>
              <w:ind w:right="63"/>
              <w:rPr>
                <w:sz w:val="22"/>
              </w:rPr>
            </w:pPr>
            <w:r>
              <w:rPr>
                <w:sz w:val="22"/>
              </w:rPr>
              <w:t>17.3</w:t>
            </w:r>
          </w:p>
        </w:tc>
        <w:tc>
          <w:tcPr>
            <w:tcW w:w="1166" w:type="dxa"/>
          </w:tcPr>
          <w:p>
            <w:pPr>
              <w:pStyle w:val="TableParagraph"/>
              <w:spacing w:before="30"/>
              <w:rPr>
                <w:sz w:val="22"/>
              </w:rPr>
            </w:pPr>
            <w:r>
              <w:rPr>
                <w:sz w:val="22"/>
              </w:rPr>
              <w:t>16.7</w:t>
            </w:r>
          </w:p>
        </w:tc>
      </w:tr>
      <w:tr>
        <w:trPr>
          <w:trHeight w:val="312" w:hRule="exact"/>
        </w:trPr>
        <w:tc>
          <w:tcPr>
            <w:tcW w:w="648" w:type="dxa"/>
          </w:tcPr>
          <w:p>
            <w:pPr>
              <w:pStyle w:val="TableParagraph"/>
              <w:spacing w:before="30"/>
              <w:rPr>
                <w:sz w:val="22"/>
              </w:rPr>
            </w:pPr>
            <w:r>
              <w:rPr>
                <w:sz w:val="22"/>
              </w:rPr>
              <w:t>56</w:t>
            </w:r>
          </w:p>
        </w:tc>
        <w:tc>
          <w:tcPr>
            <w:tcW w:w="1654" w:type="dxa"/>
          </w:tcPr>
          <w:p>
            <w:pPr>
              <w:pStyle w:val="TableParagraph"/>
              <w:spacing w:before="30"/>
              <w:ind w:right="63"/>
              <w:rPr>
                <w:sz w:val="22"/>
              </w:rPr>
            </w:pPr>
            <w:r>
              <w:rPr>
                <w:sz w:val="22"/>
              </w:rPr>
              <w:t>14/08/2009</w:t>
            </w:r>
          </w:p>
        </w:tc>
        <w:tc>
          <w:tcPr>
            <w:tcW w:w="1320" w:type="dxa"/>
          </w:tcPr>
          <w:p>
            <w:pPr>
              <w:pStyle w:val="TableParagraph"/>
              <w:spacing w:before="30"/>
              <w:ind w:right="63"/>
              <w:rPr>
                <w:sz w:val="22"/>
              </w:rPr>
            </w:pPr>
            <w:r>
              <w:rPr>
                <w:sz w:val="22"/>
              </w:rPr>
              <w:t>17.20</w:t>
            </w:r>
          </w:p>
        </w:tc>
        <w:tc>
          <w:tcPr>
            <w:tcW w:w="1248" w:type="dxa"/>
          </w:tcPr>
          <w:p>
            <w:pPr>
              <w:pStyle w:val="TableParagraph"/>
              <w:spacing w:before="30"/>
              <w:ind w:right="63"/>
              <w:rPr>
                <w:sz w:val="22"/>
              </w:rPr>
            </w:pPr>
            <w:r>
              <w:rPr>
                <w:sz w:val="22"/>
              </w:rPr>
              <w:t>16.90</w:t>
            </w:r>
          </w:p>
        </w:tc>
        <w:tc>
          <w:tcPr>
            <w:tcW w:w="605" w:type="dxa"/>
          </w:tcPr>
          <w:p>
            <w:pPr>
              <w:pStyle w:val="TableParagraph"/>
              <w:spacing w:before="30"/>
              <w:rPr>
                <w:sz w:val="22"/>
              </w:rPr>
            </w:pPr>
            <w:r>
              <w:rPr>
                <w:sz w:val="22"/>
              </w:rPr>
              <w:t>16.8</w:t>
            </w:r>
          </w:p>
        </w:tc>
        <w:tc>
          <w:tcPr>
            <w:tcW w:w="1169" w:type="dxa"/>
          </w:tcPr>
          <w:p>
            <w:pPr>
              <w:pStyle w:val="TableParagraph"/>
              <w:spacing w:before="30"/>
              <w:ind w:right="63"/>
              <w:rPr>
                <w:sz w:val="22"/>
              </w:rPr>
            </w:pPr>
            <w:r>
              <w:rPr>
                <w:sz w:val="22"/>
              </w:rPr>
              <w:t>16.5</w:t>
            </w:r>
          </w:p>
        </w:tc>
        <w:tc>
          <w:tcPr>
            <w:tcW w:w="1169" w:type="dxa"/>
          </w:tcPr>
          <w:p>
            <w:pPr>
              <w:pStyle w:val="TableParagraph"/>
              <w:spacing w:before="30"/>
              <w:ind w:right="63"/>
              <w:rPr>
                <w:sz w:val="22"/>
              </w:rPr>
            </w:pPr>
            <w:r>
              <w:rPr>
                <w:sz w:val="22"/>
              </w:rPr>
              <w:t>16.6</w:t>
            </w:r>
          </w:p>
        </w:tc>
        <w:tc>
          <w:tcPr>
            <w:tcW w:w="1166" w:type="dxa"/>
          </w:tcPr>
          <w:p>
            <w:pPr>
              <w:pStyle w:val="TableParagraph"/>
              <w:spacing w:before="30"/>
              <w:rPr>
                <w:sz w:val="22"/>
              </w:rPr>
            </w:pPr>
            <w:r>
              <w:rPr>
                <w:sz w:val="22"/>
              </w:rPr>
              <w:t>16.7</w:t>
            </w:r>
          </w:p>
        </w:tc>
      </w:tr>
      <w:tr>
        <w:trPr>
          <w:trHeight w:val="310" w:hRule="exact"/>
        </w:trPr>
        <w:tc>
          <w:tcPr>
            <w:tcW w:w="648" w:type="dxa"/>
          </w:tcPr>
          <w:p>
            <w:pPr>
              <w:pStyle w:val="TableParagraph"/>
              <w:rPr>
                <w:sz w:val="22"/>
              </w:rPr>
            </w:pPr>
            <w:r>
              <w:rPr>
                <w:sz w:val="22"/>
              </w:rPr>
              <w:t>85</w:t>
            </w:r>
          </w:p>
        </w:tc>
        <w:tc>
          <w:tcPr>
            <w:tcW w:w="1654" w:type="dxa"/>
          </w:tcPr>
          <w:p>
            <w:pPr>
              <w:pStyle w:val="TableParagraph"/>
              <w:ind w:right="63"/>
              <w:rPr>
                <w:sz w:val="22"/>
              </w:rPr>
            </w:pPr>
            <w:r>
              <w:rPr>
                <w:sz w:val="22"/>
              </w:rPr>
              <w:t>12/09/2009</w:t>
            </w:r>
          </w:p>
        </w:tc>
        <w:tc>
          <w:tcPr>
            <w:tcW w:w="1320" w:type="dxa"/>
          </w:tcPr>
          <w:p>
            <w:pPr>
              <w:pStyle w:val="TableParagraph"/>
              <w:ind w:right="63"/>
              <w:rPr>
                <w:sz w:val="22"/>
              </w:rPr>
            </w:pPr>
            <w:r>
              <w:rPr>
                <w:sz w:val="22"/>
              </w:rPr>
              <w:t>17.90</w:t>
            </w:r>
          </w:p>
        </w:tc>
        <w:tc>
          <w:tcPr>
            <w:tcW w:w="1248" w:type="dxa"/>
          </w:tcPr>
          <w:p>
            <w:pPr>
              <w:pStyle w:val="TableParagraph"/>
              <w:ind w:right="63"/>
              <w:rPr>
                <w:sz w:val="22"/>
              </w:rPr>
            </w:pPr>
            <w:r>
              <w:rPr>
                <w:sz w:val="22"/>
              </w:rPr>
              <w:t>17.80</w:t>
            </w:r>
          </w:p>
        </w:tc>
        <w:tc>
          <w:tcPr>
            <w:tcW w:w="605" w:type="dxa"/>
          </w:tcPr>
          <w:p>
            <w:pPr>
              <w:pStyle w:val="TableParagraph"/>
              <w:rPr>
                <w:sz w:val="22"/>
              </w:rPr>
            </w:pPr>
            <w:r>
              <w:rPr>
                <w:sz w:val="22"/>
              </w:rPr>
              <w:t>17.7</w:t>
            </w:r>
          </w:p>
        </w:tc>
        <w:tc>
          <w:tcPr>
            <w:tcW w:w="1169" w:type="dxa"/>
          </w:tcPr>
          <w:p>
            <w:pPr>
              <w:pStyle w:val="TableParagraph"/>
              <w:ind w:right="63"/>
              <w:rPr>
                <w:sz w:val="22"/>
              </w:rPr>
            </w:pPr>
            <w:r>
              <w:rPr>
                <w:sz w:val="22"/>
              </w:rPr>
              <w:t>17.5</w:t>
            </w:r>
          </w:p>
        </w:tc>
        <w:tc>
          <w:tcPr>
            <w:tcW w:w="1169" w:type="dxa"/>
          </w:tcPr>
          <w:p>
            <w:pPr>
              <w:pStyle w:val="TableParagraph"/>
              <w:ind w:right="63"/>
              <w:rPr>
                <w:sz w:val="22"/>
              </w:rPr>
            </w:pPr>
            <w:r>
              <w:rPr>
                <w:sz w:val="22"/>
              </w:rPr>
              <w:t>17.4</w:t>
            </w:r>
          </w:p>
        </w:tc>
        <w:tc>
          <w:tcPr>
            <w:tcW w:w="1166" w:type="dxa"/>
          </w:tcPr>
          <w:p>
            <w:pPr>
              <w:pStyle w:val="TableParagraph"/>
              <w:rPr>
                <w:sz w:val="22"/>
              </w:rPr>
            </w:pPr>
            <w:r>
              <w:rPr>
                <w:sz w:val="22"/>
              </w:rPr>
              <w:t>17.5</w:t>
            </w:r>
          </w:p>
        </w:tc>
      </w:tr>
      <w:tr>
        <w:trPr>
          <w:trHeight w:val="310" w:hRule="exact"/>
        </w:trPr>
        <w:tc>
          <w:tcPr>
            <w:tcW w:w="648" w:type="dxa"/>
          </w:tcPr>
          <w:p>
            <w:pPr>
              <w:pStyle w:val="TableParagraph"/>
              <w:rPr>
                <w:sz w:val="22"/>
              </w:rPr>
            </w:pPr>
            <w:r>
              <w:rPr>
                <w:sz w:val="22"/>
              </w:rPr>
              <w:t>86</w:t>
            </w:r>
          </w:p>
        </w:tc>
        <w:tc>
          <w:tcPr>
            <w:tcW w:w="1654" w:type="dxa"/>
          </w:tcPr>
          <w:p>
            <w:pPr>
              <w:pStyle w:val="TableParagraph"/>
              <w:ind w:right="63"/>
              <w:rPr>
                <w:sz w:val="22"/>
              </w:rPr>
            </w:pPr>
            <w:r>
              <w:rPr>
                <w:sz w:val="22"/>
              </w:rPr>
              <w:t>13/09/2009</w:t>
            </w:r>
          </w:p>
        </w:tc>
        <w:tc>
          <w:tcPr>
            <w:tcW w:w="1320" w:type="dxa"/>
          </w:tcPr>
          <w:p>
            <w:pPr>
              <w:pStyle w:val="TableParagraph"/>
              <w:ind w:right="63"/>
              <w:rPr>
                <w:sz w:val="22"/>
              </w:rPr>
            </w:pPr>
            <w:r>
              <w:rPr>
                <w:sz w:val="22"/>
              </w:rPr>
              <w:t>17.40</w:t>
            </w:r>
          </w:p>
        </w:tc>
        <w:tc>
          <w:tcPr>
            <w:tcW w:w="1248" w:type="dxa"/>
          </w:tcPr>
          <w:p>
            <w:pPr>
              <w:pStyle w:val="TableParagraph"/>
              <w:ind w:right="63"/>
              <w:rPr>
                <w:sz w:val="22"/>
              </w:rPr>
            </w:pPr>
            <w:r>
              <w:rPr>
                <w:sz w:val="22"/>
              </w:rPr>
              <w:t>17.00</w:t>
            </w:r>
          </w:p>
        </w:tc>
        <w:tc>
          <w:tcPr>
            <w:tcW w:w="605" w:type="dxa"/>
          </w:tcPr>
          <w:p>
            <w:pPr>
              <w:pStyle w:val="TableParagraph"/>
              <w:rPr>
                <w:sz w:val="22"/>
              </w:rPr>
            </w:pPr>
            <w:r>
              <w:rPr>
                <w:sz w:val="22"/>
              </w:rPr>
              <w:t>17.1</w:t>
            </w:r>
          </w:p>
        </w:tc>
        <w:tc>
          <w:tcPr>
            <w:tcW w:w="1169" w:type="dxa"/>
          </w:tcPr>
          <w:p>
            <w:pPr>
              <w:pStyle w:val="TableParagraph"/>
              <w:ind w:right="63"/>
              <w:rPr>
                <w:sz w:val="22"/>
              </w:rPr>
            </w:pPr>
            <w:r>
              <w:rPr>
                <w:sz w:val="22"/>
              </w:rPr>
              <w:t>17.1</w:t>
            </w:r>
          </w:p>
        </w:tc>
        <w:tc>
          <w:tcPr>
            <w:tcW w:w="1169" w:type="dxa"/>
          </w:tcPr>
          <w:p>
            <w:pPr>
              <w:pStyle w:val="TableParagraph"/>
              <w:ind w:right="63"/>
              <w:rPr>
                <w:sz w:val="22"/>
              </w:rPr>
            </w:pPr>
            <w:r>
              <w:rPr>
                <w:sz w:val="22"/>
              </w:rPr>
              <w:t>17</w:t>
            </w:r>
          </w:p>
        </w:tc>
        <w:tc>
          <w:tcPr>
            <w:tcW w:w="1166" w:type="dxa"/>
          </w:tcPr>
          <w:p>
            <w:pPr>
              <w:pStyle w:val="TableParagraph"/>
              <w:rPr>
                <w:sz w:val="22"/>
              </w:rPr>
            </w:pPr>
            <w:r>
              <w:rPr>
                <w:sz w:val="22"/>
              </w:rPr>
              <w:t>16.9</w:t>
            </w:r>
          </w:p>
        </w:tc>
      </w:tr>
      <w:tr>
        <w:trPr>
          <w:trHeight w:val="310" w:hRule="exact"/>
        </w:trPr>
        <w:tc>
          <w:tcPr>
            <w:tcW w:w="648" w:type="dxa"/>
          </w:tcPr>
          <w:p>
            <w:pPr>
              <w:pStyle w:val="TableParagraph"/>
              <w:rPr>
                <w:sz w:val="22"/>
              </w:rPr>
            </w:pPr>
            <w:r>
              <w:rPr>
                <w:sz w:val="22"/>
              </w:rPr>
              <w:t>87</w:t>
            </w:r>
          </w:p>
        </w:tc>
        <w:tc>
          <w:tcPr>
            <w:tcW w:w="1654" w:type="dxa"/>
          </w:tcPr>
          <w:p>
            <w:pPr>
              <w:pStyle w:val="TableParagraph"/>
              <w:ind w:right="63"/>
              <w:rPr>
                <w:sz w:val="22"/>
              </w:rPr>
            </w:pPr>
            <w:r>
              <w:rPr>
                <w:sz w:val="22"/>
              </w:rPr>
              <w:t>14/09/2009</w:t>
            </w:r>
          </w:p>
        </w:tc>
        <w:tc>
          <w:tcPr>
            <w:tcW w:w="1320" w:type="dxa"/>
          </w:tcPr>
          <w:p>
            <w:pPr>
              <w:pStyle w:val="TableParagraph"/>
              <w:ind w:right="63"/>
              <w:rPr>
                <w:sz w:val="22"/>
              </w:rPr>
            </w:pPr>
            <w:r>
              <w:rPr>
                <w:sz w:val="22"/>
              </w:rPr>
              <w:t>17.30</w:t>
            </w:r>
          </w:p>
        </w:tc>
        <w:tc>
          <w:tcPr>
            <w:tcW w:w="1248" w:type="dxa"/>
          </w:tcPr>
          <w:p>
            <w:pPr>
              <w:pStyle w:val="TableParagraph"/>
              <w:ind w:right="63"/>
              <w:rPr>
                <w:sz w:val="22"/>
              </w:rPr>
            </w:pPr>
            <w:r>
              <w:rPr>
                <w:sz w:val="22"/>
              </w:rPr>
              <w:t>17.30</w:t>
            </w:r>
          </w:p>
        </w:tc>
        <w:tc>
          <w:tcPr>
            <w:tcW w:w="605" w:type="dxa"/>
          </w:tcPr>
          <w:p>
            <w:pPr>
              <w:pStyle w:val="TableParagraph"/>
              <w:rPr>
                <w:sz w:val="22"/>
              </w:rPr>
            </w:pPr>
            <w:r>
              <w:rPr>
                <w:sz w:val="22"/>
              </w:rPr>
              <w:t>17.2</w:t>
            </w:r>
          </w:p>
        </w:tc>
        <w:tc>
          <w:tcPr>
            <w:tcW w:w="1169" w:type="dxa"/>
          </w:tcPr>
          <w:p>
            <w:pPr>
              <w:pStyle w:val="TableParagraph"/>
              <w:ind w:right="63"/>
              <w:rPr>
                <w:sz w:val="22"/>
              </w:rPr>
            </w:pPr>
            <w:r>
              <w:rPr>
                <w:sz w:val="22"/>
              </w:rPr>
              <w:t>17</w:t>
            </w:r>
          </w:p>
        </w:tc>
        <w:tc>
          <w:tcPr>
            <w:tcW w:w="1169" w:type="dxa"/>
          </w:tcPr>
          <w:p>
            <w:pPr>
              <w:pStyle w:val="TableParagraph"/>
              <w:ind w:right="63"/>
              <w:rPr>
                <w:sz w:val="22"/>
              </w:rPr>
            </w:pPr>
            <w:r>
              <w:rPr>
                <w:sz w:val="22"/>
              </w:rPr>
              <w:t>17</w:t>
            </w:r>
          </w:p>
        </w:tc>
        <w:tc>
          <w:tcPr>
            <w:tcW w:w="1166" w:type="dxa"/>
          </w:tcPr>
          <w:p>
            <w:pPr>
              <w:pStyle w:val="TableParagraph"/>
              <w:rPr>
                <w:sz w:val="22"/>
              </w:rPr>
            </w:pPr>
            <w:r>
              <w:rPr>
                <w:sz w:val="22"/>
              </w:rPr>
              <w:t>16.8</w:t>
            </w:r>
          </w:p>
        </w:tc>
      </w:tr>
      <w:tr>
        <w:trPr>
          <w:trHeight w:val="310" w:hRule="exact"/>
        </w:trPr>
        <w:tc>
          <w:tcPr>
            <w:tcW w:w="648" w:type="dxa"/>
          </w:tcPr>
          <w:p>
            <w:pPr>
              <w:pStyle w:val="TableParagraph"/>
              <w:rPr>
                <w:sz w:val="22"/>
              </w:rPr>
            </w:pPr>
            <w:r>
              <w:rPr>
                <w:sz w:val="22"/>
              </w:rPr>
              <w:t>88</w:t>
            </w:r>
          </w:p>
        </w:tc>
        <w:tc>
          <w:tcPr>
            <w:tcW w:w="1654" w:type="dxa"/>
          </w:tcPr>
          <w:p>
            <w:pPr>
              <w:pStyle w:val="TableParagraph"/>
              <w:ind w:right="63"/>
              <w:rPr>
                <w:sz w:val="22"/>
              </w:rPr>
            </w:pPr>
            <w:r>
              <w:rPr>
                <w:sz w:val="22"/>
              </w:rPr>
              <w:t>15/09/2009</w:t>
            </w:r>
          </w:p>
        </w:tc>
        <w:tc>
          <w:tcPr>
            <w:tcW w:w="1320" w:type="dxa"/>
          </w:tcPr>
          <w:p>
            <w:pPr>
              <w:pStyle w:val="TableParagraph"/>
              <w:ind w:right="63"/>
              <w:rPr>
                <w:sz w:val="22"/>
              </w:rPr>
            </w:pPr>
            <w:r>
              <w:rPr>
                <w:sz w:val="22"/>
              </w:rPr>
              <w:t>17.3</w:t>
            </w:r>
          </w:p>
        </w:tc>
        <w:tc>
          <w:tcPr>
            <w:tcW w:w="1248" w:type="dxa"/>
          </w:tcPr>
          <w:p>
            <w:pPr>
              <w:pStyle w:val="TableParagraph"/>
              <w:ind w:right="63"/>
              <w:rPr>
                <w:sz w:val="22"/>
              </w:rPr>
            </w:pPr>
            <w:r>
              <w:rPr>
                <w:sz w:val="22"/>
              </w:rPr>
              <w:t>17.5</w:t>
            </w:r>
          </w:p>
        </w:tc>
        <w:tc>
          <w:tcPr>
            <w:tcW w:w="605" w:type="dxa"/>
          </w:tcPr>
          <w:p>
            <w:pPr>
              <w:pStyle w:val="TableParagraph"/>
              <w:rPr>
                <w:sz w:val="22"/>
              </w:rPr>
            </w:pPr>
            <w:r>
              <w:rPr>
                <w:sz w:val="22"/>
              </w:rPr>
              <w:t>17.5</w:t>
            </w:r>
          </w:p>
        </w:tc>
        <w:tc>
          <w:tcPr>
            <w:tcW w:w="1169" w:type="dxa"/>
          </w:tcPr>
          <w:p>
            <w:pPr>
              <w:pStyle w:val="TableParagraph"/>
              <w:ind w:right="63"/>
              <w:rPr>
                <w:sz w:val="22"/>
              </w:rPr>
            </w:pPr>
            <w:r>
              <w:rPr>
                <w:sz w:val="22"/>
              </w:rPr>
              <w:t>17.5</w:t>
            </w:r>
          </w:p>
        </w:tc>
        <w:tc>
          <w:tcPr>
            <w:tcW w:w="1169" w:type="dxa"/>
          </w:tcPr>
          <w:p>
            <w:pPr>
              <w:pStyle w:val="TableParagraph"/>
              <w:ind w:right="63"/>
              <w:rPr>
                <w:sz w:val="22"/>
              </w:rPr>
            </w:pPr>
            <w:r>
              <w:rPr>
                <w:sz w:val="22"/>
              </w:rPr>
              <w:t>17.5</w:t>
            </w:r>
          </w:p>
        </w:tc>
        <w:tc>
          <w:tcPr>
            <w:tcW w:w="1166" w:type="dxa"/>
          </w:tcPr>
          <w:p>
            <w:pPr>
              <w:pStyle w:val="TableParagraph"/>
              <w:rPr>
                <w:sz w:val="22"/>
              </w:rPr>
            </w:pPr>
            <w:r>
              <w:rPr>
                <w:sz w:val="22"/>
              </w:rPr>
              <w:t>17.5</w:t>
            </w:r>
          </w:p>
        </w:tc>
      </w:tr>
      <w:tr>
        <w:trPr>
          <w:trHeight w:val="310" w:hRule="exact"/>
        </w:trPr>
        <w:tc>
          <w:tcPr>
            <w:tcW w:w="648" w:type="dxa"/>
          </w:tcPr>
          <w:p>
            <w:pPr>
              <w:pStyle w:val="TableParagraph"/>
              <w:spacing w:before="30"/>
              <w:rPr>
                <w:sz w:val="22"/>
              </w:rPr>
            </w:pPr>
            <w:r>
              <w:rPr>
                <w:sz w:val="22"/>
              </w:rPr>
              <w:t>89</w:t>
            </w:r>
          </w:p>
        </w:tc>
        <w:tc>
          <w:tcPr>
            <w:tcW w:w="1654" w:type="dxa"/>
          </w:tcPr>
          <w:p>
            <w:pPr>
              <w:pStyle w:val="TableParagraph"/>
              <w:spacing w:before="30"/>
              <w:ind w:right="63"/>
              <w:rPr>
                <w:sz w:val="22"/>
              </w:rPr>
            </w:pPr>
            <w:r>
              <w:rPr>
                <w:sz w:val="22"/>
              </w:rPr>
              <w:t>16/09/2009</w:t>
            </w:r>
          </w:p>
        </w:tc>
        <w:tc>
          <w:tcPr>
            <w:tcW w:w="1320" w:type="dxa"/>
          </w:tcPr>
          <w:p>
            <w:pPr>
              <w:pStyle w:val="TableParagraph"/>
              <w:spacing w:before="30"/>
              <w:ind w:right="63"/>
              <w:rPr>
                <w:sz w:val="22"/>
              </w:rPr>
            </w:pPr>
            <w:r>
              <w:rPr>
                <w:sz w:val="22"/>
              </w:rPr>
              <w:t>17.5</w:t>
            </w:r>
          </w:p>
        </w:tc>
        <w:tc>
          <w:tcPr>
            <w:tcW w:w="1248" w:type="dxa"/>
          </w:tcPr>
          <w:p>
            <w:pPr>
              <w:pStyle w:val="TableParagraph"/>
              <w:spacing w:before="30"/>
              <w:ind w:right="63"/>
              <w:rPr>
                <w:sz w:val="22"/>
              </w:rPr>
            </w:pPr>
            <w:r>
              <w:rPr>
                <w:sz w:val="22"/>
              </w:rPr>
              <w:t>17.5</w:t>
            </w:r>
          </w:p>
        </w:tc>
        <w:tc>
          <w:tcPr>
            <w:tcW w:w="605" w:type="dxa"/>
          </w:tcPr>
          <w:p>
            <w:pPr>
              <w:pStyle w:val="TableParagraph"/>
              <w:spacing w:before="30"/>
              <w:rPr>
                <w:sz w:val="22"/>
              </w:rPr>
            </w:pPr>
            <w:r>
              <w:rPr>
                <w:sz w:val="22"/>
              </w:rPr>
              <w:t>17.2</w:t>
            </w:r>
          </w:p>
        </w:tc>
        <w:tc>
          <w:tcPr>
            <w:tcW w:w="1169" w:type="dxa"/>
          </w:tcPr>
          <w:p>
            <w:pPr>
              <w:pStyle w:val="TableParagraph"/>
              <w:spacing w:before="30"/>
              <w:ind w:right="63"/>
              <w:rPr>
                <w:sz w:val="22"/>
              </w:rPr>
            </w:pPr>
            <w:r>
              <w:rPr>
                <w:sz w:val="22"/>
              </w:rPr>
              <w:t>17.5</w:t>
            </w:r>
          </w:p>
        </w:tc>
        <w:tc>
          <w:tcPr>
            <w:tcW w:w="1169" w:type="dxa"/>
          </w:tcPr>
          <w:p>
            <w:pPr>
              <w:pStyle w:val="TableParagraph"/>
              <w:spacing w:before="30"/>
              <w:ind w:right="63"/>
              <w:rPr>
                <w:sz w:val="22"/>
              </w:rPr>
            </w:pPr>
            <w:r>
              <w:rPr>
                <w:sz w:val="22"/>
              </w:rPr>
              <w:t>17.2</w:t>
            </w:r>
          </w:p>
        </w:tc>
        <w:tc>
          <w:tcPr>
            <w:tcW w:w="1166" w:type="dxa"/>
          </w:tcPr>
          <w:p>
            <w:pPr>
              <w:pStyle w:val="TableParagraph"/>
              <w:spacing w:before="30"/>
              <w:rPr>
                <w:sz w:val="22"/>
              </w:rPr>
            </w:pPr>
            <w:r>
              <w:rPr>
                <w:sz w:val="22"/>
              </w:rPr>
              <w:t>17.2</w:t>
            </w:r>
          </w:p>
        </w:tc>
      </w:tr>
      <w:tr>
        <w:trPr>
          <w:trHeight w:val="312" w:hRule="exact"/>
        </w:trPr>
        <w:tc>
          <w:tcPr>
            <w:tcW w:w="648" w:type="dxa"/>
          </w:tcPr>
          <w:p>
            <w:pPr>
              <w:pStyle w:val="TableParagraph"/>
              <w:spacing w:before="30"/>
              <w:rPr>
                <w:sz w:val="22"/>
              </w:rPr>
            </w:pPr>
            <w:r>
              <w:rPr>
                <w:sz w:val="22"/>
              </w:rPr>
              <w:t>90</w:t>
            </w:r>
          </w:p>
        </w:tc>
        <w:tc>
          <w:tcPr>
            <w:tcW w:w="1654" w:type="dxa"/>
          </w:tcPr>
          <w:p>
            <w:pPr>
              <w:pStyle w:val="TableParagraph"/>
              <w:spacing w:before="30"/>
              <w:ind w:right="63"/>
              <w:rPr>
                <w:sz w:val="22"/>
              </w:rPr>
            </w:pPr>
            <w:r>
              <w:rPr>
                <w:sz w:val="22"/>
              </w:rPr>
              <w:t>17/09/2009</w:t>
            </w:r>
          </w:p>
        </w:tc>
        <w:tc>
          <w:tcPr>
            <w:tcW w:w="1320" w:type="dxa"/>
          </w:tcPr>
          <w:p>
            <w:pPr>
              <w:pStyle w:val="TableParagraph"/>
              <w:spacing w:before="30"/>
              <w:ind w:right="63"/>
              <w:rPr>
                <w:sz w:val="22"/>
              </w:rPr>
            </w:pPr>
            <w:r>
              <w:rPr>
                <w:sz w:val="22"/>
              </w:rPr>
              <w:t>17.4</w:t>
            </w:r>
          </w:p>
        </w:tc>
        <w:tc>
          <w:tcPr>
            <w:tcW w:w="1248" w:type="dxa"/>
          </w:tcPr>
          <w:p>
            <w:pPr>
              <w:pStyle w:val="TableParagraph"/>
              <w:spacing w:before="30"/>
              <w:ind w:right="63"/>
              <w:rPr>
                <w:sz w:val="22"/>
              </w:rPr>
            </w:pPr>
            <w:r>
              <w:rPr>
                <w:sz w:val="22"/>
              </w:rPr>
              <w:t>17.5</w:t>
            </w:r>
          </w:p>
        </w:tc>
        <w:tc>
          <w:tcPr>
            <w:tcW w:w="605" w:type="dxa"/>
          </w:tcPr>
          <w:p>
            <w:pPr>
              <w:pStyle w:val="TableParagraph"/>
              <w:spacing w:before="30"/>
              <w:rPr>
                <w:sz w:val="22"/>
              </w:rPr>
            </w:pPr>
            <w:r>
              <w:rPr>
                <w:sz w:val="22"/>
              </w:rPr>
              <w:t>17.5</w:t>
            </w:r>
          </w:p>
        </w:tc>
        <w:tc>
          <w:tcPr>
            <w:tcW w:w="1169" w:type="dxa"/>
          </w:tcPr>
          <w:p>
            <w:pPr>
              <w:pStyle w:val="TableParagraph"/>
              <w:spacing w:before="30"/>
              <w:ind w:right="63"/>
              <w:rPr>
                <w:sz w:val="22"/>
              </w:rPr>
            </w:pPr>
            <w:r>
              <w:rPr>
                <w:sz w:val="22"/>
              </w:rPr>
              <w:t>17.4</w:t>
            </w:r>
          </w:p>
        </w:tc>
        <w:tc>
          <w:tcPr>
            <w:tcW w:w="1169" w:type="dxa"/>
          </w:tcPr>
          <w:p>
            <w:pPr>
              <w:pStyle w:val="TableParagraph"/>
              <w:spacing w:before="30"/>
              <w:ind w:right="63"/>
              <w:rPr>
                <w:sz w:val="22"/>
              </w:rPr>
            </w:pPr>
            <w:r>
              <w:rPr>
                <w:sz w:val="22"/>
              </w:rPr>
              <w:t>17.4</w:t>
            </w:r>
          </w:p>
        </w:tc>
        <w:tc>
          <w:tcPr>
            <w:tcW w:w="1166" w:type="dxa"/>
          </w:tcPr>
          <w:p>
            <w:pPr>
              <w:pStyle w:val="TableParagraph"/>
              <w:spacing w:before="30"/>
              <w:rPr>
                <w:sz w:val="22"/>
              </w:rPr>
            </w:pPr>
            <w:r>
              <w:rPr>
                <w:sz w:val="22"/>
              </w:rPr>
              <w:t>17.3</w:t>
            </w:r>
          </w:p>
        </w:tc>
      </w:tr>
      <w:tr>
        <w:trPr>
          <w:trHeight w:val="310" w:hRule="exact"/>
        </w:trPr>
        <w:tc>
          <w:tcPr>
            <w:tcW w:w="648" w:type="dxa"/>
          </w:tcPr>
          <w:p>
            <w:pPr>
              <w:pStyle w:val="TableParagraph"/>
              <w:rPr>
                <w:sz w:val="22"/>
              </w:rPr>
            </w:pPr>
            <w:r>
              <w:rPr>
                <w:sz w:val="22"/>
              </w:rPr>
              <w:t>91</w:t>
            </w:r>
          </w:p>
        </w:tc>
        <w:tc>
          <w:tcPr>
            <w:tcW w:w="1654" w:type="dxa"/>
          </w:tcPr>
          <w:p>
            <w:pPr>
              <w:pStyle w:val="TableParagraph"/>
              <w:ind w:right="63"/>
              <w:rPr>
                <w:sz w:val="22"/>
              </w:rPr>
            </w:pPr>
            <w:r>
              <w:rPr>
                <w:sz w:val="22"/>
              </w:rPr>
              <w:t>18/09/2009</w:t>
            </w:r>
          </w:p>
        </w:tc>
        <w:tc>
          <w:tcPr>
            <w:tcW w:w="1320" w:type="dxa"/>
          </w:tcPr>
          <w:p>
            <w:pPr>
              <w:pStyle w:val="TableParagraph"/>
              <w:ind w:right="63"/>
              <w:rPr>
                <w:sz w:val="22"/>
              </w:rPr>
            </w:pPr>
            <w:r>
              <w:rPr>
                <w:sz w:val="22"/>
              </w:rPr>
              <w:t>17.5</w:t>
            </w:r>
          </w:p>
        </w:tc>
        <w:tc>
          <w:tcPr>
            <w:tcW w:w="1248" w:type="dxa"/>
          </w:tcPr>
          <w:p>
            <w:pPr>
              <w:pStyle w:val="TableParagraph"/>
              <w:ind w:right="63"/>
              <w:rPr>
                <w:sz w:val="22"/>
              </w:rPr>
            </w:pPr>
            <w:r>
              <w:rPr>
                <w:sz w:val="22"/>
              </w:rPr>
              <w:t>17.9</w:t>
            </w:r>
          </w:p>
        </w:tc>
        <w:tc>
          <w:tcPr>
            <w:tcW w:w="605" w:type="dxa"/>
          </w:tcPr>
          <w:p>
            <w:pPr>
              <w:pStyle w:val="TableParagraph"/>
              <w:rPr>
                <w:sz w:val="22"/>
              </w:rPr>
            </w:pPr>
            <w:r>
              <w:rPr>
                <w:sz w:val="22"/>
              </w:rPr>
              <w:t>17.6</w:t>
            </w:r>
          </w:p>
        </w:tc>
        <w:tc>
          <w:tcPr>
            <w:tcW w:w="1169" w:type="dxa"/>
          </w:tcPr>
          <w:p>
            <w:pPr>
              <w:pStyle w:val="TableParagraph"/>
              <w:ind w:right="63"/>
              <w:rPr>
                <w:sz w:val="22"/>
              </w:rPr>
            </w:pPr>
            <w:r>
              <w:rPr>
                <w:sz w:val="22"/>
              </w:rPr>
              <w:t>17.5</w:t>
            </w:r>
          </w:p>
        </w:tc>
        <w:tc>
          <w:tcPr>
            <w:tcW w:w="1169" w:type="dxa"/>
          </w:tcPr>
          <w:p>
            <w:pPr>
              <w:pStyle w:val="TableParagraph"/>
              <w:ind w:right="63"/>
              <w:rPr>
                <w:sz w:val="22"/>
              </w:rPr>
            </w:pPr>
            <w:r>
              <w:rPr>
                <w:sz w:val="22"/>
              </w:rPr>
              <w:t>17.5</w:t>
            </w:r>
          </w:p>
        </w:tc>
        <w:tc>
          <w:tcPr>
            <w:tcW w:w="1166" w:type="dxa"/>
          </w:tcPr>
          <w:p>
            <w:pPr>
              <w:pStyle w:val="TableParagraph"/>
              <w:rPr>
                <w:sz w:val="22"/>
              </w:rPr>
            </w:pPr>
            <w:r>
              <w:rPr>
                <w:sz w:val="22"/>
              </w:rPr>
              <w:t>17.2</w:t>
            </w:r>
          </w:p>
        </w:tc>
      </w:tr>
      <w:tr>
        <w:trPr>
          <w:trHeight w:val="310" w:hRule="exact"/>
        </w:trPr>
        <w:tc>
          <w:tcPr>
            <w:tcW w:w="648" w:type="dxa"/>
          </w:tcPr>
          <w:p>
            <w:pPr>
              <w:pStyle w:val="TableParagraph"/>
              <w:rPr>
                <w:sz w:val="22"/>
              </w:rPr>
            </w:pPr>
            <w:r>
              <w:rPr>
                <w:sz w:val="22"/>
              </w:rPr>
              <w:t>92</w:t>
            </w:r>
          </w:p>
        </w:tc>
        <w:tc>
          <w:tcPr>
            <w:tcW w:w="1654" w:type="dxa"/>
          </w:tcPr>
          <w:p>
            <w:pPr>
              <w:pStyle w:val="TableParagraph"/>
              <w:ind w:right="63"/>
              <w:rPr>
                <w:sz w:val="22"/>
              </w:rPr>
            </w:pPr>
            <w:r>
              <w:rPr>
                <w:sz w:val="22"/>
              </w:rPr>
              <w:t>19/09/2009</w:t>
            </w:r>
          </w:p>
        </w:tc>
        <w:tc>
          <w:tcPr>
            <w:tcW w:w="1320" w:type="dxa"/>
          </w:tcPr>
          <w:p>
            <w:pPr>
              <w:pStyle w:val="TableParagraph"/>
              <w:ind w:right="63"/>
              <w:rPr>
                <w:sz w:val="22"/>
              </w:rPr>
            </w:pPr>
            <w:r>
              <w:rPr>
                <w:sz w:val="22"/>
              </w:rPr>
              <w:t>17.8</w:t>
            </w:r>
          </w:p>
        </w:tc>
        <w:tc>
          <w:tcPr>
            <w:tcW w:w="1248" w:type="dxa"/>
          </w:tcPr>
          <w:p>
            <w:pPr>
              <w:pStyle w:val="TableParagraph"/>
              <w:ind w:right="63"/>
              <w:rPr>
                <w:sz w:val="22"/>
              </w:rPr>
            </w:pPr>
            <w:r>
              <w:rPr>
                <w:sz w:val="22"/>
              </w:rPr>
              <w:t>17.9</w:t>
            </w:r>
          </w:p>
        </w:tc>
        <w:tc>
          <w:tcPr>
            <w:tcW w:w="605" w:type="dxa"/>
          </w:tcPr>
          <w:p>
            <w:pPr>
              <w:pStyle w:val="TableParagraph"/>
              <w:rPr>
                <w:sz w:val="22"/>
              </w:rPr>
            </w:pPr>
            <w:r>
              <w:rPr>
                <w:sz w:val="22"/>
              </w:rPr>
              <w:t>17.7</w:t>
            </w:r>
          </w:p>
        </w:tc>
        <w:tc>
          <w:tcPr>
            <w:tcW w:w="1169" w:type="dxa"/>
          </w:tcPr>
          <w:p>
            <w:pPr>
              <w:pStyle w:val="TableParagraph"/>
              <w:ind w:right="63"/>
              <w:rPr>
                <w:sz w:val="22"/>
              </w:rPr>
            </w:pPr>
            <w:r>
              <w:rPr>
                <w:sz w:val="22"/>
              </w:rPr>
              <w:t>17.7</w:t>
            </w:r>
          </w:p>
        </w:tc>
        <w:tc>
          <w:tcPr>
            <w:tcW w:w="1169" w:type="dxa"/>
          </w:tcPr>
          <w:p>
            <w:pPr>
              <w:pStyle w:val="TableParagraph"/>
              <w:ind w:right="63"/>
              <w:rPr>
                <w:sz w:val="22"/>
              </w:rPr>
            </w:pPr>
            <w:r>
              <w:rPr>
                <w:sz w:val="22"/>
              </w:rPr>
              <w:t>17.9</w:t>
            </w:r>
          </w:p>
        </w:tc>
        <w:tc>
          <w:tcPr>
            <w:tcW w:w="1166" w:type="dxa"/>
          </w:tcPr>
          <w:p>
            <w:pPr>
              <w:pStyle w:val="TableParagraph"/>
              <w:rPr>
                <w:sz w:val="22"/>
              </w:rPr>
            </w:pPr>
            <w:r>
              <w:rPr>
                <w:sz w:val="22"/>
              </w:rPr>
              <w:t>17</w:t>
            </w:r>
          </w:p>
        </w:tc>
      </w:tr>
      <w:tr>
        <w:trPr>
          <w:trHeight w:val="310" w:hRule="exact"/>
        </w:trPr>
        <w:tc>
          <w:tcPr>
            <w:tcW w:w="648" w:type="dxa"/>
          </w:tcPr>
          <w:p>
            <w:pPr>
              <w:pStyle w:val="TableParagraph"/>
              <w:rPr>
                <w:sz w:val="22"/>
              </w:rPr>
            </w:pPr>
            <w:r>
              <w:rPr>
                <w:sz w:val="22"/>
              </w:rPr>
              <w:t>93</w:t>
            </w:r>
          </w:p>
        </w:tc>
        <w:tc>
          <w:tcPr>
            <w:tcW w:w="1654" w:type="dxa"/>
          </w:tcPr>
          <w:p>
            <w:pPr>
              <w:pStyle w:val="TableParagraph"/>
              <w:ind w:right="63"/>
              <w:rPr>
                <w:sz w:val="22"/>
              </w:rPr>
            </w:pPr>
            <w:r>
              <w:rPr>
                <w:sz w:val="22"/>
              </w:rPr>
              <w:t>20/09/2009</w:t>
            </w:r>
          </w:p>
        </w:tc>
        <w:tc>
          <w:tcPr>
            <w:tcW w:w="1320" w:type="dxa"/>
          </w:tcPr>
          <w:p>
            <w:pPr>
              <w:pStyle w:val="TableParagraph"/>
              <w:ind w:right="63"/>
              <w:rPr>
                <w:sz w:val="22"/>
              </w:rPr>
            </w:pPr>
            <w:r>
              <w:rPr>
                <w:sz w:val="22"/>
              </w:rPr>
              <w:t>17.6</w:t>
            </w:r>
          </w:p>
        </w:tc>
        <w:tc>
          <w:tcPr>
            <w:tcW w:w="1248" w:type="dxa"/>
          </w:tcPr>
          <w:p>
            <w:pPr>
              <w:pStyle w:val="TableParagraph"/>
              <w:ind w:right="63"/>
              <w:rPr>
                <w:sz w:val="22"/>
              </w:rPr>
            </w:pPr>
            <w:r>
              <w:rPr>
                <w:sz w:val="22"/>
              </w:rPr>
              <w:t>17.6</w:t>
            </w:r>
          </w:p>
        </w:tc>
        <w:tc>
          <w:tcPr>
            <w:tcW w:w="605" w:type="dxa"/>
          </w:tcPr>
          <w:p>
            <w:pPr>
              <w:pStyle w:val="TableParagraph"/>
              <w:rPr>
                <w:sz w:val="22"/>
              </w:rPr>
            </w:pPr>
            <w:r>
              <w:rPr>
                <w:sz w:val="22"/>
              </w:rPr>
              <w:t>17.6</w:t>
            </w:r>
          </w:p>
        </w:tc>
        <w:tc>
          <w:tcPr>
            <w:tcW w:w="1169" w:type="dxa"/>
          </w:tcPr>
          <w:p>
            <w:pPr>
              <w:pStyle w:val="TableParagraph"/>
              <w:ind w:right="63"/>
              <w:rPr>
                <w:sz w:val="22"/>
              </w:rPr>
            </w:pPr>
            <w:r>
              <w:rPr>
                <w:sz w:val="22"/>
              </w:rPr>
              <w:t>17.7</w:t>
            </w:r>
          </w:p>
        </w:tc>
        <w:tc>
          <w:tcPr>
            <w:tcW w:w="1169" w:type="dxa"/>
          </w:tcPr>
          <w:p>
            <w:pPr>
              <w:pStyle w:val="TableParagraph"/>
              <w:ind w:right="63"/>
              <w:rPr>
                <w:sz w:val="22"/>
              </w:rPr>
            </w:pPr>
            <w:r>
              <w:rPr>
                <w:sz w:val="22"/>
              </w:rPr>
              <w:t>17.5</w:t>
            </w:r>
          </w:p>
        </w:tc>
        <w:tc>
          <w:tcPr>
            <w:tcW w:w="1166" w:type="dxa"/>
          </w:tcPr>
          <w:p>
            <w:pPr>
              <w:pStyle w:val="TableParagraph"/>
              <w:rPr>
                <w:sz w:val="22"/>
              </w:rPr>
            </w:pPr>
            <w:r>
              <w:rPr>
                <w:sz w:val="22"/>
              </w:rPr>
              <w:t>17.3</w:t>
            </w:r>
          </w:p>
        </w:tc>
      </w:tr>
      <w:tr>
        <w:trPr>
          <w:trHeight w:val="310" w:hRule="exact"/>
        </w:trPr>
        <w:tc>
          <w:tcPr>
            <w:tcW w:w="648" w:type="dxa"/>
          </w:tcPr>
          <w:p>
            <w:pPr>
              <w:pStyle w:val="TableParagraph"/>
              <w:rPr>
                <w:sz w:val="22"/>
              </w:rPr>
            </w:pPr>
            <w:r>
              <w:rPr>
                <w:sz w:val="22"/>
              </w:rPr>
              <w:t>94</w:t>
            </w:r>
          </w:p>
        </w:tc>
        <w:tc>
          <w:tcPr>
            <w:tcW w:w="1654" w:type="dxa"/>
          </w:tcPr>
          <w:p>
            <w:pPr>
              <w:pStyle w:val="TableParagraph"/>
              <w:ind w:right="63"/>
              <w:rPr>
                <w:sz w:val="22"/>
              </w:rPr>
            </w:pPr>
            <w:r>
              <w:rPr>
                <w:sz w:val="22"/>
              </w:rPr>
              <w:t>21/09/2009</w:t>
            </w:r>
          </w:p>
        </w:tc>
        <w:tc>
          <w:tcPr>
            <w:tcW w:w="1320" w:type="dxa"/>
          </w:tcPr>
          <w:p>
            <w:pPr>
              <w:pStyle w:val="TableParagraph"/>
              <w:ind w:right="63"/>
              <w:rPr>
                <w:sz w:val="22"/>
              </w:rPr>
            </w:pPr>
            <w:r>
              <w:rPr>
                <w:sz w:val="22"/>
              </w:rPr>
              <w:t>18.5</w:t>
            </w:r>
          </w:p>
        </w:tc>
        <w:tc>
          <w:tcPr>
            <w:tcW w:w="1248" w:type="dxa"/>
          </w:tcPr>
          <w:p>
            <w:pPr>
              <w:pStyle w:val="TableParagraph"/>
              <w:ind w:right="63"/>
              <w:rPr>
                <w:sz w:val="22"/>
              </w:rPr>
            </w:pPr>
            <w:r>
              <w:rPr>
                <w:sz w:val="22"/>
              </w:rPr>
              <w:t>18</w:t>
            </w:r>
          </w:p>
        </w:tc>
        <w:tc>
          <w:tcPr>
            <w:tcW w:w="605" w:type="dxa"/>
          </w:tcPr>
          <w:p>
            <w:pPr>
              <w:pStyle w:val="TableParagraph"/>
              <w:rPr>
                <w:sz w:val="22"/>
              </w:rPr>
            </w:pPr>
            <w:r>
              <w:rPr>
                <w:sz w:val="22"/>
              </w:rPr>
              <w:t>18</w:t>
            </w:r>
          </w:p>
        </w:tc>
        <w:tc>
          <w:tcPr>
            <w:tcW w:w="1169" w:type="dxa"/>
          </w:tcPr>
          <w:p>
            <w:pPr>
              <w:pStyle w:val="TableParagraph"/>
              <w:ind w:right="63"/>
              <w:rPr>
                <w:sz w:val="22"/>
              </w:rPr>
            </w:pPr>
            <w:r>
              <w:rPr>
                <w:sz w:val="22"/>
              </w:rPr>
              <w:t>18</w:t>
            </w:r>
          </w:p>
        </w:tc>
        <w:tc>
          <w:tcPr>
            <w:tcW w:w="1169" w:type="dxa"/>
          </w:tcPr>
          <w:p>
            <w:pPr>
              <w:pStyle w:val="TableParagraph"/>
              <w:ind w:right="63"/>
              <w:rPr>
                <w:sz w:val="22"/>
              </w:rPr>
            </w:pPr>
            <w:r>
              <w:rPr>
                <w:sz w:val="22"/>
              </w:rPr>
              <w:t>17.8</w:t>
            </w:r>
          </w:p>
        </w:tc>
        <w:tc>
          <w:tcPr>
            <w:tcW w:w="1166" w:type="dxa"/>
          </w:tcPr>
          <w:p>
            <w:pPr>
              <w:pStyle w:val="TableParagraph"/>
              <w:rPr>
                <w:sz w:val="22"/>
              </w:rPr>
            </w:pPr>
            <w:r>
              <w:rPr>
                <w:sz w:val="22"/>
              </w:rPr>
              <w:t>17.7</w:t>
            </w:r>
          </w:p>
        </w:tc>
      </w:tr>
      <w:tr>
        <w:trPr>
          <w:trHeight w:val="310" w:hRule="exact"/>
        </w:trPr>
        <w:tc>
          <w:tcPr>
            <w:tcW w:w="648" w:type="dxa"/>
          </w:tcPr>
          <w:p>
            <w:pPr>
              <w:pStyle w:val="TableParagraph"/>
              <w:spacing w:before="30"/>
              <w:rPr>
                <w:sz w:val="22"/>
              </w:rPr>
            </w:pPr>
            <w:r>
              <w:rPr>
                <w:sz w:val="22"/>
              </w:rPr>
              <w:t>95</w:t>
            </w:r>
          </w:p>
        </w:tc>
        <w:tc>
          <w:tcPr>
            <w:tcW w:w="1654" w:type="dxa"/>
          </w:tcPr>
          <w:p>
            <w:pPr>
              <w:pStyle w:val="TableParagraph"/>
              <w:spacing w:before="30"/>
              <w:ind w:right="63"/>
              <w:rPr>
                <w:sz w:val="22"/>
              </w:rPr>
            </w:pPr>
            <w:r>
              <w:rPr>
                <w:sz w:val="22"/>
              </w:rPr>
              <w:t>22/09/2009</w:t>
            </w:r>
          </w:p>
        </w:tc>
        <w:tc>
          <w:tcPr>
            <w:tcW w:w="1320" w:type="dxa"/>
          </w:tcPr>
          <w:p>
            <w:pPr>
              <w:pStyle w:val="TableParagraph"/>
              <w:spacing w:before="30"/>
              <w:ind w:right="63"/>
              <w:rPr>
                <w:sz w:val="22"/>
              </w:rPr>
            </w:pPr>
            <w:r>
              <w:rPr>
                <w:sz w:val="22"/>
              </w:rPr>
              <w:t>18</w:t>
            </w:r>
          </w:p>
        </w:tc>
        <w:tc>
          <w:tcPr>
            <w:tcW w:w="1248" w:type="dxa"/>
          </w:tcPr>
          <w:p>
            <w:pPr>
              <w:pStyle w:val="TableParagraph"/>
              <w:spacing w:before="30"/>
              <w:ind w:right="63"/>
              <w:rPr>
                <w:sz w:val="22"/>
              </w:rPr>
            </w:pPr>
            <w:r>
              <w:rPr>
                <w:sz w:val="22"/>
              </w:rPr>
              <w:t>18</w:t>
            </w:r>
          </w:p>
        </w:tc>
        <w:tc>
          <w:tcPr>
            <w:tcW w:w="605" w:type="dxa"/>
          </w:tcPr>
          <w:p>
            <w:pPr>
              <w:pStyle w:val="TableParagraph"/>
              <w:spacing w:before="30"/>
              <w:rPr>
                <w:sz w:val="22"/>
              </w:rPr>
            </w:pPr>
            <w:r>
              <w:rPr>
                <w:sz w:val="22"/>
              </w:rPr>
              <w:t>17.9</w:t>
            </w:r>
          </w:p>
        </w:tc>
        <w:tc>
          <w:tcPr>
            <w:tcW w:w="1169" w:type="dxa"/>
          </w:tcPr>
          <w:p>
            <w:pPr>
              <w:pStyle w:val="TableParagraph"/>
              <w:spacing w:before="30"/>
              <w:ind w:right="63"/>
              <w:rPr>
                <w:sz w:val="22"/>
              </w:rPr>
            </w:pPr>
            <w:r>
              <w:rPr>
                <w:sz w:val="22"/>
              </w:rPr>
              <w:t>17.7</w:t>
            </w:r>
          </w:p>
        </w:tc>
        <w:tc>
          <w:tcPr>
            <w:tcW w:w="1169" w:type="dxa"/>
          </w:tcPr>
          <w:p>
            <w:pPr>
              <w:pStyle w:val="TableParagraph"/>
              <w:spacing w:before="30"/>
              <w:ind w:right="63"/>
              <w:rPr>
                <w:sz w:val="22"/>
              </w:rPr>
            </w:pPr>
            <w:r>
              <w:rPr>
                <w:sz w:val="22"/>
              </w:rPr>
              <w:t>17.8</w:t>
            </w:r>
          </w:p>
        </w:tc>
        <w:tc>
          <w:tcPr>
            <w:tcW w:w="1166" w:type="dxa"/>
          </w:tcPr>
          <w:p>
            <w:pPr>
              <w:pStyle w:val="TableParagraph"/>
              <w:spacing w:before="30"/>
              <w:rPr>
                <w:sz w:val="22"/>
              </w:rPr>
            </w:pPr>
            <w:r>
              <w:rPr>
                <w:sz w:val="22"/>
              </w:rPr>
              <w:t>17.5</w:t>
            </w:r>
          </w:p>
        </w:tc>
      </w:tr>
      <w:tr>
        <w:trPr>
          <w:trHeight w:val="312" w:hRule="exact"/>
        </w:trPr>
        <w:tc>
          <w:tcPr>
            <w:tcW w:w="648" w:type="dxa"/>
          </w:tcPr>
          <w:p>
            <w:pPr>
              <w:pStyle w:val="TableParagraph"/>
              <w:spacing w:before="30"/>
              <w:rPr>
                <w:sz w:val="22"/>
              </w:rPr>
            </w:pPr>
            <w:r>
              <w:rPr>
                <w:sz w:val="22"/>
              </w:rPr>
              <w:t>96</w:t>
            </w:r>
          </w:p>
        </w:tc>
        <w:tc>
          <w:tcPr>
            <w:tcW w:w="1654" w:type="dxa"/>
          </w:tcPr>
          <w:p>
            <w:pPr>
              <w:pStyle w:val="TableParagraph"/>
              <w:spacing w:before="30"/>
              <w:ind w:right="63"/>
              <w:rPr>
                <w:sz w:val="22"/>
              </w:rPr>
            </w:pPr>
            <w:r>
              <w:rPr>
                <w:sz w:val="22"/>
              </w:rPr>
              <w:t>23/09/2009</w:t>
            </w:r>
          </w:p>
        </w:tc>
        <w:tc>
          <w:tcPr>
            <w:tcW w:w="1320" w:type="dxa"/>
          </w:tcPr>
          <w:p>
            <w:pPr>
              <w:pStyle w:val="TableParagraph"/>
              <w:spacing w:before="30"/>
              <w:ind w:right="63"/>
              <w:rPr>
                <w:sz w:val="22"/>
              </w:rPr>
            </w:pPr>
            <w:r>
              <w:rPr>
                <w:sz w:val="22"/>
              </w:rPr>
              <w:t>18.4</w:t>
            </w:r>
          </w:p>
        </w:tc>
        <w:tc>
          <w:tcPr>
            <w:tcW w:w="1248" w:type="dxa"/>
          </w:tcPr>
          <w:p>
            <w:pPr>
              <w:pStyle w:val="TableParagraph"/>
              <w:spacing w:before="30"/>
              <w:ind w:right="63"/>
              <w:rPr>
                <w:sz w:val="22"/>
              </w:rPr>
            </w:pPr>
            <w:r>
              <w:rPr>
                <w:sz w:val="22"/>
              </w:rPr>
              <w:t>18.2</w:t>
            </w:r>
          </w:p>
        </w:tc>
        <w:tc>
          <w:tcPr>
            <w:tcW w:w="605" w:type="dxa"/>
          </w:tcPr>
          <w:p>
            <w:pPr>
              <w:pStyle w:val="TableParagraph"/>
              <w:spacing w:before="30"/>
              <w:rPr>
                <w:sz w:val="22"/>
              </w:rPr>
            </w:pPr>
            <w:r>
              <w:rPr>
                <w:sz w:val="22"/>
              </w:rPr>
              <w:t>18.1</w:t>
            </w:r>
          </w:p>
        </w:tc>
        <w:tc>
          <w:tcPr>
            <w:tcW w:w="1169" w:type="dxa"/>
          </w:tcPr>
          <w:p>
            <w:pPr>
              <w:pStyle w:val="TableParagraph"/>
              <w:spacing w:before="30"/>
              <w:ind w:right="63"/>
              <w:rPr>
                <w:sz w:val="22"/>
              </w:rPr>
            </w:pPr>
            <w:r>
              <w:rPr>
                <w:sz w:val="22"/>
              </w:rPr>
              <w:t>18.1</w:t>
            </w:r>
          </w:p>
        </w:tc>
        <w:tc>
          <w:tcPr>
            <w:tcW w:w="1169" w:type="dxa"/>
          </w:tcPr>
          <w:p>
            <w:pPr>
              <w:pStyle w:val="TableParagraph"/>
              <w:spacing w:before="30"/>
              <w:ind w:right="63"/>
              <w:rPr>
                <w:sz w:val="22"/>
              </w:rPr>
            </w:pPr>
            <w:r>
              <w:rPr>
                <w:sz w:val="22"/>
              </w:rPr>
              <w:t>18</w:t>
            </w:r>
          </w:p>
        </w:tc>
        <w:tc>
          <w:tcPr>
            <w:tcW w:w="1166" w:type="dxa"/>
          </w:tcPr>
          <w:p>
            <w:pPr>
              <w:pStyle w:val="TableParagraph"/>
              <w:spacing w:before="30"/>
              <w:rPr>
                <w:sz w:val="22"/>
              </w:rPr>
            </w:pPr>
            <w:r>
              <w:rPr>
                <w:sz w:val="22"/>
              </w:rPr>
              <w:t>17.7</w:t>
            </w:r>
          </w:p>
        </w:tc>
      </w:tr>
      <w:tr>
        <w:trPr>
          <w:trHeight w:val="310" w:hRule="exact"/>
        </w:trPr>
        <w:tc>
          <w:tcPr>
            <w:tcW w:w="648" w:type="dxa"/>
          </w:tcPr>
          <w:p>
            <w:pPr>
              <w:pStyle w:val="TableParagraph"/>
              <w:rPr>
                <w:sz w:val="22"/>
              </w:rPr>
            </w:pPr>
            <w:r>
              <w:rPr>
                <w:sz w:val="22"/>
              </w:rPr>
              <w:t>97</w:t>
            </w:r>
          </w:p>
        </w:tc>
        <w:tc>
          <w:tcPr>
            <w:tcW w:w="1654" w:type="dxa"/>
          </w:tcPr>
          <w:p>
            <w:pPr>
              <w:pStyle w:val="TableParagraph"/>
              <w:ind w:right="63"/>
              <w:rPr>
                <w:sz w:val="22"/>
              </w:rPr>
            </w:pPr>
            <w:r>
              <w:rPr>
                <w:sz w:val="22"/>
              </w:rPr>
              <w:t>24/09/2009</w:t>
            </w:r>
          </w:p>
        </w:tc>
        <w:tc>
          <w:tcPr>
            <w:tcW w:w="1320" w:type="dxa"/>
          </w:tcPr>
          <w:p>
            <w:pPr>
              <w:pStyle w:val="TableParagraph"/>
              <w:ind w:right="63"/>
              <w:rPr>
                <w:sz w:val="22"/>
              </w:rPr>
            </w:pPr>
            <w:r>
              <w:rPr>
                <w:sz w:val="22"/>
              </w:rPr>
              <w:t>17.8</w:t>
            </w:r>
          </w:p>
        </w:tc>
        <w:tc>
          <w:tcPr>
            <w:tcW w:w="1248" w:type="dxa"/>
          </w:tcPr>
          <w:p>
            <w:pPr>
              <w:pStyle w:val="TableParagraph"/>
              <w:ind w:right="63"/>
              <w:rPr>
                <w:sz w:val="22"/>
              </w:rPr>
            </w:pPr>
            <w:r>
              <w:rPr>
                <w:sz w:val="22"/>
              </w:rPr>
              <w:t>17.5</w:t>
            </w:r>
          </w:p>
        </w:tc>
        <w:tc>
          <w:tcPr>
            <w:tcW w:w="605" w:type="dxa"/>
          </w:tcPr>
          <w:p>
            <w:pPr>
              <w:pStyle w:val="TableParagraph"/>
              <w:rPr>
                <w:sz w:val="22"/>
              </w:rPr>
            </w:pPr>
            <w:r>
              <w:rPr>
                <w:sz w:val="22"/>
              </w:rPr>
              <w:t>17.4</w:t>
            </w:r>
          </w:p>
        </w:tc>
        <w:tc>
          <w:tcPr>
            <w:tcW w:w="1169" w:type="dxa"/>
          </w:tcPr>
          <w:p>
            <w:pPr>
              <w:pStyle w:val="TableParagraph"/>
              <w:ind w:right="63"/>
              <w:rPr>
                <w:sz w:val="22"/>
              </w:rPr>
            </w:pPr>
            <w:r>
              <w:rPr>
                <w:sz w:val="22"/>
              </w:rPr>
              <w:t>17.4</w:t>
            </w:r>
          </w:p>
        </w:tc>
        <w:tc>
          <w:tcPr>
            <w:tcW w:w="1169" w:type="dxa"/>
          </w:tcPr>
          <w:p>
            <w:pPr>
              <w:pStyle w:val="TableParagraph"/>
              <w:ind w:right="63"/>
              <w:rPr>
                <w:sz w:val="22"/>
              </w:rPr>
            </w:pPr>
            <w:r>
              <w:rPr>
                <w:sz w:val="22"/>
              </w:rPr>
              <w:t>17.4</w:t>
            </w:r>
          </w:p>
        </w:tc>
        <w:tc>
          <w:tcPr>
            <w:tcW w:w="1166" w:type="dxa"/>
          </w:tcPr>
          <w:p>
            <w:pPr>
              <w:pStyle w:val="TableParagraph"/>
              <w:rPr>
                <w:sz w:val="22"/>
              </w:rPr>
            </w:pPr>
            <w:r>
              <w:rPr>
                <w:sz w:val="22"/>
              </w:rPr>
              <w:t>17.3</w:t>
            </w:r>
          </w:p>
        </w:tc>
      </w:tr>
      <w:tr>
        <w:trPr>
          <w:trHeight w:val="310" w:hRule="exact"/>
        </w:trPr>
        <w:tc>
          <w:tcPr>
            <w:tcW w:w="648" w:type="dxa"/>
          </w:tcPr>
          <w:p>
            <w:pPr>
              <w:pStyle w:val="TableParagraph"/>
              <w:rPr>
                <w:sz w:val="22"/>
              </w:rPr>
            </w:pPr>
            <w:r>
              <w:rPr>
                <w:sz w:val="22"/>
              </w:rPr>
              <w:t>98</w:t>
            </w:r>
          </w:p>
        </w:tc>
        <w:tc>
          <w:tcPr>
            <w:tcW w:w="1654" w:type="dxa"/>
          </w:tcPr>
          <w:p>
            <w:pPr>
              <w:pStyle w:val="TableParagraph"/>
              <w:ind w:right="63"/>
              <w:rPr>
                <w:sz w:val="22"/>
              </w:rPr>
            </w:pPr>
            <w:r>
              <w:rPr>
                <w:sz w:val="22"/>
              </w:rPr>
              <w:t>25/09/2009</w:t>
            </w:r>
          </w:p>
        </w:tc>
        <w:tc>
          <w:tcPr>
            <w:tcW w:w="1320" w:type="dxa"/>
          </w:tcPr>
          <w:p>
            <w:pPr>
              <w:pStyle w:val="TableParagraph"/>
              <w:ind w:right="63"/>
              <w:rPr>
                <w:sz w:val="22"/>
              </w:rPr>
            </w:pPr>
            <w:r>
              <w:rPr>
                <w:sz w:val="22"/>
              </w:rPr>
              <w:t>17.7</w:t>
            </w:r>
          </w:p>
        </w:tc>
        <w:tc>
          <w:tcPr>
            <w:tcW w:w="1248" w:type="dxa"/>
          </w:tcPr>
          <w:p>
            <w:pPr>
              <w:pStyle w:val="TableParagraph"/>
              <w:ind w:right="63"/>
              <w:rPr>
                <w:sz w:val="22"/>
              </w:rPr>
            </w:pPr>
            <w:r>
              <w:rPr>
                <w:sz w:val="22"/>
              </w:rPr>
              <w:t>17.8</w:t>
            </w:r>
          </w:p>
        </w:tc>
        <w:tc>
          <w:tcPr>
            <w:tcW w:w="605" w:type="dxa"/>
          </w:tcPr>
          <w:p>
            <w:pPr>
              <w:pStyle w:val="TableParagraph"/>
              <w:rPr>
                <w:sz w:val="22"/>
              </w:rPr>
            </w:pPr>
            <w:r>
              <w:rPr>
                <w:sz w:val="22"/>
              </w:rPr>
              <w:t>17.7</w:t>
            </w:r>
          </w:p>
        </w:tc>
        <w:tc>
          <w:tcPr>
            <w:tcW w:w="1169" w:type="dxa"/>
          </w:tcPr>
          <w:p>
            <w:pPr>
              <w:pStyle w:val="TableParagraph"/>
              <w:ind w:right="63"/>
              <w:rPr>
                <w:sz w:val="22"/>
              </w:rPr>
            </w:pPr>
            <w:r>
              <w:rPr>
                <w:sz w:val="22"/>
              </w:rPr>
              <w:t>17.6</w:t>
            </w:r>
          </w:p>
        </w:tc>
        <w:tc>
          <w:tcPr>
            <w:tcW w:w="1169" w:type="dxa"/>
          </w:tcPr>
          <w:p>
            <w:pPr>
              <w:pStyle w:val="TableParagraph"/>
              <w:ind w:right="63"/>
              <w:rPr>
                <w:sz w:val="22"/>
              </w:rPr>
            </w:pPr>
            <w:r>
              <w:rPr>
                <w:sz w:val="22"/>
              </w:rPr>
              <w:t>17.5</w:t>
            </w:r>
          </w:p>
        </w:tc>
        <w:tc>
          <w:tcPr>
            <w:tcW w:w="1166" w:type="dxa"/>
          </w:tcPr>
          <w:p>
            <w:pPr>
              <w:pStyle w:val="TableParagraph"/>
              <w:rPr>
                <w:sz w:val="22"/>
              </w:rPr>
            </w:pPr>
            <w:r>
              <w:rPr>
                <w:sz w:val="22"/>
              </w:rPr>
              <w:t>17.3</w:t>
            </w:r>
          </w:p>
        </w:tc>
      </w:tr>
      <w:tr>
        <w:trPr>
          <w:trHeight w:val="310" w:hRule="exact"/>
        </w:trPr>
        <w:tc>
          <w:tcPr>
            <w:tcW w:w="648" w:type="dxa"/>
          </w:tcPr>
          <w:p>
            <w:pPr>
              <w:pStyle w:val="TableParagraph"/>
              <w:rPr>
                <w:sz w:val="22"/>
              </w:rPr>
            </w:pPr>
            <w:r>
              <w:rPr>
                <w:sz w:val="22"/>
              </w:rPr>
              <w:t>99</w:t>
            </w:r>
          </w:p>
        </w:tc>
        <w:tc>
          <w:tcPr>
            <w:tcW w:w="1654" w:type="dxa"/>
          </w:tcPr>
          <w:p>
            <w:pPr>
              <w:pStyle w:val="TableParagraph"/>
              <w:ind w:right="63"/>
              <w:rPr>
                <w:sz w:val="22"/>
              </w:rPr>
            </w:pPr>
            <w:r>
              <w:rPr>
                <w:sz w:val="22"/>
              </w:rPr>
              <w:t>26/09/2009</w:t>
            </w:r>
          </w:p>
        </w:tc>
        <w:tc>
          <w:tcPr>
            <w:tcW w:w="1320" w:type="dxa"/>
          </w:tcPr>
          <w:p>
            <w:pPr>
              <w:pStyle w:val="TableParagraph"/>
              <w:ind w:right="63"/>
              <w:rPr>
                <w:sz w:val="22"/>
              </w:rPr>
            </w:pPr>
            <w:r>
              <w:rPr>
                <w:sz w:val="22"/>
              </w:rPr>
              <w:t>17.8</w:t>
            </w:r>
          </w:p>
        </w:tc>
        <w:tc>
          <w:tcPr>
            <w:tcW w:w="1248" w:type="dxa"/>
          </w:tcPr>
          <w:p>
            <w:pPr>
              <w:pStyle w:val="TableParagraph"/>
              <w:ind w:right="63"/>
              <w:rPr>
                <w:sz w:val="22"/>
              </w:rPr>
            </w:pPr>
            <w:r>
              <w:rPr>
                <w:sz w:val="22"/>
              </w:rPr>
              <w:t>17.7</w:t>
            </w:r>
          </w:p>
        </w:tc>
        <w:tc>
          <w:tcPr>
            <w:tcW w:w="605" w:type="dxa"/>
          </w:tcPr>
          <w:p>
            <w:pPr>
              <w:pStyle w:val="TableParagraph"/>
              <w:rPr>
                <w:sz w:val="22"/>
              </w:rPr>
            </w:pPr>
            <w:r>
              <w:rPr>
                <w:sz w:val="22"/>
              </w:rPr>
              <w:t>17.5</w:t>
            </w:r>
          </w:p>
        </w:tc>
        <w:tc>
          <w:tcPr>
            <w:tcW w:w="1169" w:type="dxa"/>
          </w:tcPr>
          <w:p>
            <w:pPr>
              <w:pStyle w:val="TableParagraph"/>
              <w:ind w:right="63"/>
              <w:rPr>
                <w:sz w:val="22"/>
              </w:rPr>
            </w:pPr>
            <w:r>
              <w:rPr>
                <w:sz w:val="22"/>
              </w:rPr>
              <w:t>17.5</w:t>
            </w:r>
          </w:p>
        </w:tc>
        <w:tc>
          <w:tcPr>
            <w:tcW w:w="1169" w:type="dxa"/>
          </w:tcPr>
          <w:p>
            <w:pPr>
              <w:pStyle w:val="TableParagraph"/>
              <w:ind w:right="63"/>
              <w:rPr>
                <w:sz w:val="22"/>
              </w:rPr>
            </w:pPr>
            <w:r>
              <w:rPr>
                <w:sz w:val="22"/>
              </w:rPr>
              <w:t>17.5</w:t>
            </w:r>
          </w:p>
        </w:tc>
        <w:tc>
          <w:tcPr>
            <w:tcW w:w="1166" w:type="dxa"/>
          </w:tcPr>
          <w:p>
            <w:pPr>
              <w:pStyle w:val="TableParagraph"/>
              <w:rPr>
                <w:sz w:val="22"/>
              </w:rPr>
            </w:pPr>
            <w:r>
              <w:rPr>
                <w:sz w:val="22"/>
              </w:rPr>
              <w:t>17.4</w:t>
            </w:r>
          </w:p>
        </w:tc>
      </w:tr>
      <w:tr>
        <w:trPr>
          <w:trHeight w:val="310" w:hRule="exact"/>
        </w:trPr>
        <w:tc>
          <w:tcPr>
            <w:tcW w:w="648" w:type="dxa"/>
          </w:tcPr>
          <w:p>
            <w:pPr>
              <w:pStyle w:val="TableParagraph"/>
              <w:rPr>
                <w:sz w:val="22"/>
              </w:rPr>
            </w:pPr>
            <w:r>
              <w:rPr>
                <w:sz w:val="22"/>
              </w:rPr>
              <w:t>100</w:t>
            </w:r>
          </w:p>
        </w:tc>
        <w:tc>
          <w:tcPr>
            <w:tcW w:w="1654" w:type="dxa"/>
          </w:tcPr>
          <w:p>
            <w:pPr>
              <w:pStyle w:val="TableParagraph"/>
              <w:ind w:right="63"/>
              <w:rPr>
                <w:sz w:val="22"/>
              </w:rPr>
            </w:pPr>
            <w:r>
              <w:rPr>
                <w:sz w:val="22"/>
              </w:rPr>
              <w:t>27/09/2009</w:t>
            </w:r>
          </w:p>
        </w:tc>
        <w:tc>
          <w:tcPr>
            <w:tcW w:w="1320" w:type="dxa"/>
          </w:tcPr>
          <w:p>
            <w:pPr>
              <w:pStyle w:val="TableParagraph"/>
              <w:ind w:right="63"/>
              <w:rPr>
                <w:sz w:val="22"/>
              </w:rPr>
            </w:pPr>
            <w:r>
              <w:rPr>
                <w:sz w:val="22"/>
              </w:rPr>
              <w:t>17.7</w:t>
            </w:r>
          </w:p>
        </w:tc>
        <w:tc>
          <w:tcPr>
            <w:tcW w:w="1248" w:type="dxa"/>
          </w:tcPr>
          <w:p>
            <w:pPr>
              <w:pStyle w:val="TableParagraph"/>
              <w:ind w:right="63"/>
              <w:rPr>
                <w:sz w:val="22"/>
              </w:rPr>
            </w:pPr>
            <w:r>
              <w:rPr>
                <w:sz w:val="22"/>
              </w:rPr>
              <w:t>17.7</w:t>
            </w:r>
          </w:p>
        </w:tc>
        <w:tc>
          <w:tcPr>
            <w:tcW w:w="605" w:type="dxa"/>
          </w:tcPr>
          <w:p>
            <w:pPr>
              <w:pStyle w:val="TableParagraph"/>
              <w:rPr>
                <w:sz w:val="22"/>
              </w:rPr>
            </w:pPr>
            <w:r>
              <w:rPr>
                <w:sz w:val="22"/>
              </w:rPr>
              <w:t>17.9</w:t>
            </w:r>
          </w:p>
        </w:tc>
        <w:tc>
          <w:tcPr>
            <w:tcW w:w="1169" w:type="dxa"/>
          </w:tcPr>
          <w:p>
            <w:pPr>
              <w:pStyle w:val="TableParagraph"/>
              <w:ind w:right="63"/>
              <w:rPr>
                <w:sz w:val="22"/>
              </w:rPr>
            </w:pPr>
            <w:r>
              <w:rPr>
                <w:sz w:val="22"/>
              </w:rPr>
              <w:t>17.9</w:t>
            </w:r>
          </w:p>
        </w:tc>
        <w:tc>
          <w:tcPr>
            <w:tcW w:w="1169" w:type="dxa"/>
          </w:tcPr>
          <w:p>
            <w:pPr>
              <w:pStyle w:val="TableParagraph"/>
              <w:ind w:right="63"/>
              <w:rPr>
                <w:sz w:val="22"/>
              </w:rPr>
            </w:pPr>
            <w:r>
              <w:rPr>
                <w:sz w:val="22"/>
              </w:rPr>
              <w:t>17.8</w:t>
            </w:r>
          </w:p>
        </w:tc>
        <w:tc>
          <w:tcPr>
            <w:tcW w:w="1166" w:type="dxa"/>
          </w:tcPr>
          <w:p>
            <w:pPr>
              <w:pStyle w:val="TableParagraph"/>
              <w:rPr>
                <w:sz w:val="22"/>
              </w:rPr>
            </w:pPr>
            <w:r>
              <w:rPr>
                <w:sz w:val="22"/>
              </w:rPr>
              <w:t>17.5</w:t>
            </w:r>
          </w:p>
        </w:tc>
      </w:tr>
      <w:tr>
        <w:trPr>
          <w:trHeight w:val="310" w:hRule="exact"/>
        </w:trPr>
        <w:tc>
          <w:tcPr>
            <w:tcW w:w="648" w:type="dxa"/>
          </w:tcPr>
          <w:p>
            <w:pPr>
              <w:pStyle w:val="TableParagraph"/>
              <w:spacing w:before="30"/>
              <w:rPr>
                <w:sz w:val="22"/>
              </w:rPr>
            </w:pPr>
            <w:r>
              <w:rPr>
                <w:sz w:val="22"/>
              </w:rPr>
              <w:t>101</w:t>
            </w:r>
          </w:p>
        </w:tc>
        <w:tc>
          <w:tcPr>
            <w:tcW w:w="1654" w:type="dxa"/>
          </w:tcPr>
          <w:p>
            <w:pPr>
              <w:pStyle w:val="TableParagraph"/>
              <w:spacing w:before="30"/>
              <w:ind w:right="63"/>
              <w:rPr>
                <w:sz w:val="22"/>
              </w:rPr>
            </w:pPr>
            <w:r>
              <w:rPr>
                <w:sz w:val="22"/>
              </w:rPr>
              <w:t>28/09/2009</w:t>
            </w:r>
          </w:p>
        </w:tc>
        <w:tc>
          <w:tcPr>
            <w:tcW w:w="1320" w:type="dxa"/>
          </w:tcPr>
          <w:p>
            <w:pPr>
              <w:pStyle w:val="TableParagraph"/>
              <w:spacing w:before="30"/>
              <w:ind w:right="63"/>
              <w:rPr>
                <w:sz w:val="22"/>
              </w:rPr>
            </w:pPr>
            <w:r>
              <w:rPr>
                <w:sz w:val="22"/>
              </w:rPr>
              <w:t>17.9</w:t>
            </w:r>
          </w:p>
        </w:tc>
        <w:tc>
          <w:tcPr>
            <w:tcW w:w="1248" w:type="dxa"/>
          </w:tcPr>
          <w:p>
            <w:pPr>
              <w:pStyle w:val="TableParagraph"/>
              <w:spacing w:before="30"/>
              <w:ind w:right="63"/>
              <w:rPr>
                <w:sz w:val="22"/>
              </w:rPr>
            </w:pPr>
            <w:r>
              <w:rPr>
                <w:sz w:val="22"/>
              </w:rPr>
              <w:t>17.8</w:t>
            </w:r>
          </w:p>
        </w:tc>
        <w:tc>
          <w:tcPr>
            <w:tcW w:w="605" w:type="dxa"/>
          </w:tcPr>
          <w:p>
            <w:pPr>
              <w:pStyle w:val="TableParagraph"/>
              <w:spacing w:before="30"/>
              <w:rPr>
                <w:sz w:val="22"/>
              </w:rPr>
            </w:pPr>
            <w:r>
              <w:rPr>
                <w:sz w:val="22"/>
              </w:rPr>
              <w:t>17.7</w:t>
            </w:r>
          </w:p>
        </w:tc>
        <w:tc>
          <w:tcPr>
            <w:tcW w:w="1169" w:type="dxa"/>
          </w:tcPr>
          <w:p>
            <w:pPr>
              <w:pStyle w:val="TableParagraph"/>
              <w:spacing w:before="30"/>
              <w:ind w:right="63"/>
              <w:rPr>
                <w:sz w:val="22"/>
              </w:rPr>
            </w:pPr>
            <w:r>
              <w:rPr>
                <w:sz w:val="22"/>
              </w:rPr>
              <w:t>17.8</w:t>
            </w:r>
          </w:p>
        </w:tc>
        <w:tc>
          <w:tcPr>
            <w:tcW w:w="1169" w:type="dxa"/>
          </w:tcPr>
          <w:p>
            <w:pPr>
              <w:pStyle w:val="TableParagraph"/>
              <w:spacing w:before="30"/>
              <w:ind w:right="63"/>
              <w:rPr>
                <w:sz w:val="22"/>
              </w:rPr>
            </w:pPr>
            <w:r>
              <w:rPr>
                <w:sz w:val="22"/>
              </w:rPr>
              <w:t>17.8</w:t>
            </w:r>
          </w:p>
        </w:tc>
        <w:tc>
          <w:tcPr>
            <w:tcW w:w="1166" w:type="dxa"/>
          </w:tcPr>
          <w:p>
            <w:pPr>
              <w:pStyle w:val="TableParagraph"/>
              <w:spacing w:before="30"/>
              <w:rPr>
                <w:sz w:val="22"/>
              </w:rPr>
            </w:pPr>
            <w:r>
              <w:rPr>
                <w:sz w:val="22"/>
              </w:rPr>
              <w:t>17.4</w:t>
            </w:r>
          </w:p>
        </w:tc>
      </w:tr>
      <w:tr>
        <w:trPr>
          <w:trHeight w:val="312" w:hRule="exact"/>
        </w:trPr>
        <w:tc>
          <w:tcPr>
            <w:tcW w:w="648" w:type="dxa"/>
          </w:tcPr>
          <w:p>
            <w:pPr>
              <w:pStyle w:val="TableParagraph"/>
              <w:spacing w:before="30"/>
              <w:rPr>
                <w:sz w:val="22"/>
              </w:rPr>
            </w:pPr>
            <w:r>
              <w:rPr>
                <w:sz w:val="22"/>
              </w:rPr>
              <w:t>102</w:t>
            </w:r>
          </w:p>
        </w:tc>
        <w:tc>
          <w:tcPr>
            <w:tcW w:w="1654" w:type="dxa"/>
          </w:tcPr>
          <w:p>
            <w:pPr>
              <w:pStyle w:val="TableParagraph"/>
              <w:spacing w:before="30"/>
              <w:ind w:right="63"/>
              <w:rPr>
                <w:sz w:val="22"/>
              </w:rPr>
            </w:pPr>
            <w:r>
              <w:rPr>
                <w:sz w:val="22"/>
              </w:rPr>
              <w:t>29/09/2009</w:t>
            </w:r>
          </w:p>
        </w:tc>
        <w:tc>
          <w:tcPr>
            <w:tcW w:w="1320" w:type="dxa"/>
          </w:tcPr>
          <w:p>
            <w:pPr>
              <w:pStyle w:val="TableParagraph"/>
              <w:spacing w:before="30"/>
              <w:ind w:right="63"/>
              <w:rPr>
                <w:sz w:val="22"/>
              </w:rPr>
            </w:pPr>
            <w:r>
              <w:rPr>
                <w:sz w:val="22"/>
              </w:rPr>
              <w:t>17.8</w:t>
            </w:r>
          </w:p>
        </w:tc>
        <w:tc>
          <w:tcPr>
            <w:tcW w:w="1248" w:type="dxa"/>
          </w:tcPr>
          <w:p>
            <w:pPr>
              <w:pStyle w:val="TableParagraph"/>
              <w:spacing w:before="30"/>
              <w:ind w:right="63"/>
              <w:rPr>
                <w:sz w:val="22"/>
              </w:rPr>
            </w:pPr>
            <w:r>
              <w:rPr>
                <w:sz w:val="22"/>
              </w:rPr>
              <w:t>17.6</w:t>
            </w:r>
          </w:p>
        </w:tc>
        <w:tc>
          <w:tcPr>
            <w:tcW w:w="605" w:type="dxa"/>
          </w:tcPr>
          <w:p>
            <w:pPr>
              <w:pStyle w:val="TableParagraph"/>
              <w:spacing w:before="30"/>
              <w:rPr>
                <w:sz w:val="22"/>
              </w:rPr>
            </w:pPr>
            <w:r>
              <w:rPr>
                <w:sz w:val="22"/>
              </w:rPr>
              <w:t>17.5</w:t>
            </w:r>
          </w:p>
        </w:tc>
        <w:tc>
          <w:tcPr>
            <w:tcW w:w="1169" w:type="dxa"/>
          </w:tcPr>
          <w:p>
            <w:pPr>
              <w:pStyle w:val="TableParagraph"/>
              <w:spacing w:before="30"/>
              <w:ind w:right="63"/>
              <w:rPr>
                <w:sz w:val="22"/>
              </w:rPr>
            </w:pPr>
            <w:r>
              <w:rPr>
                <w:sz w:val="22"/>
              </w:rPr>
              <w:t>17</w:t>
            </w:r>
          </w:p>
        </w:tc>
        <w:tc>
          <w:tcPr>
            <w:tcW w:w="1169" w:type="dxa"/>
          </w:tcPr>
          <w:p>
            <w:pPr>
              <w:pStyle w:val="TableParagraph"/>
              <w:spacing w:before="30"/>
              <w:ind w:right="63"/>
              <w:rPr>
                <w:sz w:val="22"/>
              </w:rPr>
            </w:pPr>
            <w:r>
              <w:rPr>
                <w:sz w:val="22"/>
              </w:rPr>
              <w:t>16.8</w:t>
            </w:r>
          </w:p>
        </w:tc>
        <w:tc>
          <w:tcPr>
            <w:tcW w:w="1166" w:type="dxa"/>
          </w:tcPr>
          <w:p>
            <w:pPr>
              <w:pStyle w:val="TableParagraph"/>
              <w:spacing w:before="30"/>
              <w:rPr>
                <w:sz w:val="22"/>
              </w:rPr>
            </w:pPr>
            <w:r>
              <w:rPr>
                <w:sz w:val="22"/>
              </w:rPr>
              <w:t>16.8</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
        <w:gridCol w:w="1654"/>
        <w:gridCol w:w="1320"/>
        <w:gridCol w:w="1248"/>
        <w:gridCol w:w="605"/>
        <w:gridCol w:w="1169"/>
        <w:gridCol w:w="1169"/>
        <w:gridCol w:w="1166"/>
      </w:tblGrid>
      <w:tr>
        <w:trPr>
          <w:trHeight w:val="310" w:hRule="exact"/>
        </w:trPr>
        <w:tc>
          <w:tcPr>
            <w:tcW w:w="8978" w:type="dxa"/>
            <w:gridSpan w:val="8"/>
            <w:shd w:val="clear" w:color="auto" w:fill="E6B9B8"/>
          </w:tcPr>
          <w:p>
            <w:pPr>
              <w:pStyle w:val="TableParagraph"/>
              <w:ind w:left="3628" w:right="3629"/>
              <w:jc w:val="center"/>
              <w:rPr>
                <w:b/>
                <w:sz w:val="22"/>
              </w:rPr>
            </w:pPr>
            <w:r>
              <w:rPr>
                <w:b/>
                <w:sz w:val="22"/>
              </w:rPr>
              <w:t>Temperatura (°C)</w:t>
            </w:r>
          </w:p>
        </w:tc>
      </w:tr>
      <w:tr>
        <w:trPr>
          <w:trHeight w:val="610" w:hRule="exact"/>
        </w:trPr>
        <w:tc>
          <w:tcPr>
            <w:tcW w:w="648" w:type="dxa"/>
            <w:vMerge w:val="restart"/>
            <w:shd w:val="clear" w:color="auto" w:fill="E6B9B8"/>
          </w:tcPr>
          <w:p>
            <w:pPr>
              <w:pStyle w:val="TableParagraph"/>
              <w:spacing w:before="8"/>
              <w:ind w:right="0"/>
              <w:jc w:val="left"/>
              <w:rPr>
                <w:rFonts w:ascii="Times New Roman"/>
                <w:sz w:val="27"/>
              </w:rPr>
            </w:pPr>
          </w:p>
          <w:p>
            <w:pPr>
              <w:pStyle w:val="TableParagraph"/>
              <w:spacing w:before="0"/>
              <w:ind w:left="124" w:right="0"/>
              <w:jc w:val="left"/>
              <w:rPr>
                <w:b/>
                <w:sz w:val="22"/>
              </w:rPr>
            </w:pPr>
            <w:r>
              <w:rPr>
                <w:b/>
                <w:sz w:val="22"/>
              </w:rPr>
              <w:t>Días</w:t>
            </w:r>
          </w:p>
        </w:tc>
        <w:tc>
          <w:tcPr>
            <w:tcW w:w="1654" w:type="dxa"/>
            <w:vMerge w:val="restart"/>
            <w:shd w:val="clear" w:color="auto" w:fill="E6B9B8"/>
          </w:tcPr>
          <w:p>
            <w:pPr>
              <w:pStyle w:val="TableParagraph"/>
              <w:spacing w:before="8"/>
              <w:ind w:right="0"/>
              <w:jc w:val="left"/>
              <w:rPr>
                <w:rFonts w:ascii="Times New Roman"/>
                <w:sz w:val="27"/>
              </w:rPr>
            </w:pPr>
          </w:p>
          <w:p>
            <w:pPr>
              <w:pStyle w:val="TableParagraph"/>
              <w:spacing w:before="0"/>
              <w:ind w:left="535" w:right="537"/>
              <w:jc w:val="center"/>
              <w:rPr>
                <w:b/>
                <w:sz w:val="22"/>
              </w:rPr>
            </w:pPr>
            <w:r>
              <w:rPr>
                <w:b/>
                <w:sz w:val="22"/>
              </w:rPr>
              <w:t>Fecha</w:t>
            </w:r>
          </w:p>
        </w:tc>
        <w:tc>
          <w:tcPr>
            <w:tcW w:w="6677" w:type="dxa"/>
            <w:gridSpan w:val="6"/>
            <w:shd w:val="clear" w:color="auto" w:fill="E6B9B8"/>
          </w:tcPr>
          <w:p>
            <w:pPr>
              <w:pStyle w:val="TableParagraph"/>
              <w:spacing w:before="162"/>
              <w:ind w:left="2391" w:right="2392"/>
              <w:jc w:val="center"/>
              <w:rPr>
                <w:b/>
                <w:sz w:val="22"/>
              </w:rPr>
            </w:pPr>
            <w:r>
              <w:rPr>
                <w:b/>
                <w:sz w:val="22"/>
              </w:rPr>
              <w:t>Puntos de muestreo</w:t>
            </w:r>
          </w:p>
        </w:tc>
      </w:tr>
      <w:tr>
        <w:trPr>
          <w:trHeight w:val="310" w:hRule="exact"/>
        </w:trPr>
        <w:tc>
          <w:tcPr>
            <w:tcW w:w="648" w:type="dxa"/>
            <w:vMerge/>
            <w:shd w:val="clear" w:color="auto" w:fill="E6B9B8"/>
          </w:tcPr>
          <w:p>
            <w:pPr/>
          </w:p>
        </w:tc>
        <w:tc>
          <w:tcPr>
            <w:tcW w:w="1654" w:type="dxa"/>
            <w:vMerge/>
            <w:shd w:val="clear" w:color="auto" w:fill="E6B9B8"/>
          </w:tcPr>
          <w:p>
            <w:pPr/>
          </w:p>
        </w:tc>
        <w:tc>
          <w:tcPr>
            <w:tcW w:w="1320" w:type="dxa"/>
            <w:shd w:val="clear" w:color="auto" w:fill="E6B9B8"/>
          </w:tcPr>
          <w:p>
            <w:pPr>
              <w:pStyle w:val="TableParagraph"/>
              <w:spacing w:before="13"/>
              <w:ind w:right="3"/>
              <w:jc w:val="center"/>
              <w:rPr>
                <w:b/>
                <w:sz w:val="22"/>
              </w:rPr>
            </w:pPr>
            <w:r>
              <w:rPr>
                <w:b/>
                <w:w w:val="100"/>
                <w:sz w:val="22"/>
              </w:rPr>
              <w:t>A</w:t>
            </w:r>
          </w:p>
        </w:tc>
        <w:tc>
          <w:tcPr>
            <w:tcW w:w="1248" w:type="dxa"/>
            <w:shd w:val="clear" w:color="auto" w:fill="E6B9B8"/>
          </w:tcPr>
          <w:p>
            <w:pPr>
              <w:pStyle w:val="TableParagraph"/>
              <w:spacing w:before="13"/>
              <w:ind w:right="4"/>
              <w:jc w:val="center"/>
              <w:rPr>
                <w:b/>
                <w:sz w:val="22"/>
              </w:rPr>
            </w:pPr>
            <w:r>
              <w:rPr>
                <w:b/>
                <w:w w:val="100"/>
                <w:sz w:val="22"/>
              </w:rPr>
              <w:t>B</w:t>
            </w:r>
          </w:p>
        </w:tc>
        <w:tc>
          <w:tcPr>
            <w:tcW w:w="605" w:type="dxa"/>
            <w:shd w:val="clear" w:color="auto" w:fill="E6B9B8"/>
          </w:tcPr>
          <w:p>
            <w:pPr>
              <w:pStyle w:val="TableParagraph"/>
              <w:spacing w:before="30"/>
              <w:ind w:right="1"/>
              <w:jc w:val="center"/>
              <w:rPr>
                <w:b/>
                <w:sz w:val="22"/>
              </w:rPr>
            </w:pPr>
            <w:r>
              <w:rPr>
                <w:b/>
                <w:w w:val="100"/>
                <w:sz w:val="22"/>
              </w:rPr>
              <w:t>C</w:t>
            </w:r>
          </w:p>
        </w:tc>
        <w:tc>
          <w:tcPr>
            <w:tcW w:w="1169" w:type="dxa"/>
            <w:shd w:val="clear" w:color="auto" w:fill="E6B9B8"/>
          </w:tcPr>
          <w:p>
            <w:pPr>
              <w:pStyle w:val="TableParagraph"/>
              <w:spacing w:before="13"/>
              <w:ind w:right="0"/>
              <w:jc w:val="center"/>
              <w:rPr>
                <w:b/>
                <w:sz w:val="22"/>
              </w:rPr>
            </w:pPr>
            <w:r>
              <w:rPr>
                <w:b/>
                <w:w w:val="100"/>
                <w:sz w:val="22"/>
              </w:rPr>
              <w:t>D</w:t>
            </w:r>
          </w:p>
        </w:tc>
        <w:tc>
          <w:tcPr>
            <w:tcW w:w="1169" w:type="dxa"/>
            <w:shd w:val="clear" w:color="auto" w:fill="E6B9B8"/>
          </w:tcPr>
          <w:p>
            <w:pPr>
              <w:pStyle w:val="TableParagraph"/>
              <w:spacing w:before="13"/>
              <w:ind w:right="3"/>
              <w:jc w:val="center"/>
              <w:rPr>
                <w:b/>
                <w:sz w:val="22"/>
              </w:rPr>
            </w:pPr>
            <w:r>
              <w:rPr>
                <w:b/>
                <w:w w:val="100"/>
                <w:sz w:val="22"/>
              </w:rPr>
              <w:t>E</w:t>
            </w:r>
          </w:p>
        </w:tc>
        <w:tc>
          <w:tcPr>
            <w:tcW w:w="1166" w:type="dxa"/>
            <w:shd w:val="clear" w:color="auto" w:fill="E6B9B8"/>
          </w:tcPr>
          <w:p>
            <w:pPr>
              <w:pStyle w:val="TableParagraph"/>
              <w:spacing w:before="13"/>
              <w:ind w:left="1" w:right="0"/>
              <w:jc w:val="center"/>
              <w:rPr>
                <w:b/>
                <w:sz w:val="22"/>
              </w:rPr>
            </w:pPr>
            <w:r>
              <w:rPr>
                <w:b/>
                <w:w w:val="100"/>
                <w:sz w:val="22"/>
              </w:rPr>
              <w:t>G</w:t>
            </w:r>
          </w:p>
        </w:tc>
      </w:tr>
      <w:tr>
        <w:trPr>
          <w:trHeight w:val="312" w:hRule="exact"/>
        </w:trPr>
        <w:tc>
          <w:tcPr>
            <w:tcW w:w="648" w:type="dxa"/>
          </w:tcPr>
          <w:p>
            <w:pPr>
              <w:pStyle w:val="TableParagraph"/>
              <w:spacing w:before="30"/>
              <w:rPr>
                <w:sz w:val="22"/>
              </w:rPr>
            </w:pPr>
            <w:r>
              <w:rPr>
                <w:sz w:val="22"/>
              </w:rPr>
              <w:t>103</w:t>
            </w:r>
          </w:p>
        </w:tc>
        <w:tc>
          <w:tcPr>
            <w:tcW w:w="1654" w:type="dxa"/>
          </w:tcPr>
          <w:p>
            <w:pPr>
              <w:pStyle w:val="TableParagraph"/>
              <w:spacing w:before="30"/>
              <w:ind w:right="63"/>
              <w:rPr>
                <w:sz w:val="22"/>
              </w:rPr>
            </w:pPr>
            <w:r>
              <w:rPr>
                <w:sz w:val="22"/>
              </w:rPr>
              <w:t>30/09/2009</w:t>
            </w:r>
          </w:p>
        </w:tc>
        <w:tc>
          <w:tcPr>
            <w:tcW w:w="1320" w:type="dxa"/>
          </w:tcPr>
          <w:p>
            <w:pPr>
              <w:pStyle w:val="TableParagraph"/>
              <w:spacing w:before="30"/>
              <w:ind w:right="63"/>
              <w:rPr>
                <w:sz w:val="22"/>
              </w:rPr>
            </w:pPr>
            <w:r>
              <w:rPr>
                <w:sz w:val="22"/>
              </w:rPr>
              <w:t>18.2</w:t>
            </w:r>
          </w:p>
        </w:tc>
        <w:tc>
          <w:tcPr>
            <w:tcW w:w="1248" w:type="dxa"/>
          </w:tcPr>
          <w:p>
            <w:pPr>
              <w:pStyle w:val="TableParagraph"/>
              <w:spacing w:before="30"/>
              <w:ind w:right="63"/>
              <w:rPr>
                <w:sz w:val="22"/>
              </w:rPr>
            </w:pPr>
            <w:r>
              <w:rPr>
                <w:sz w:val="22"/>
              </w:rPr>
              <w:t>18.2</w:t>
            </w:r>
          </w:p>
        </w:tc>
        <w:tc>
          <w:tcPr>
            <w:tcW w:w="605" w:type="dxa"/>
          </w:tcPr>
          <w:p>
            <w:pPr>
              <w:pStyle w:val="TableParagraph"/>
              <w:spacing w:before="30"/>
              <w:rPr>
                <w:sz w:val="22"/>
              </w:rPr>
            </w:pPr>
            <w:r>
              <w:rPr>
                <w:sz w:val="22"/>
              </w:rPr>
              <w:t>18</w:t>
            </w:r>
          </w:p>
        </w:tc>
        <w:tc>
          <w:tcPr>
            <w:tcW w:w="1169" w:type="dxa"/>
          </w:tcPr>
          <w:p>
            <w:pPr>
              <w:pStyle w:val="TableParagraph"/>
              <w:spacing w:before="30"/>
              <w:ind w:right="63"/>
              <w:rPr>
                <w:sz w:val="22"/>
              </w:rPr>
            </w:pPr>
            <w:r>
              <w:rPr>
                <w:sz w:val="22"/>
              </w:rPr>
              <w:t>18</w:t>
            </w:r>
          </w:p>
        </w:tc>
        <w:tc>
          <w:tcPr>
            <w:tcW w:w="1169" w:type="dxa"/>
          </w:tcPr>
          <w:p>
            <w:pPr>
              <w:pStyle w:val="TableParagraph"/>
              <w:spacing w:before="30"/>
              <w:ind w:right="63"/>
              <w:rPr>
                <w:sz w:val="22"/>
              </w:rPr>
            </w:pPr>
            <w:r>
              <w:rPr>
                <w:sz w:val="22"/>
              </w:rPr>
              <w:t>17.8</w:t>
            </w:r>
          </w:p>
        </w:tc>
        <w:tc>
          <w:tcPr>
            <w:tcW w:w="1166" w:type="dxa"/>
          </w:tcPr>
          <w:p>
            <w:pPr>
              <w:pStyle w:val="TableParagraph"/>
              <w:spacing w:before="30"/>
              <w:rPr>
                <w:sz w:val="22"/>
              </w:rPr>
            </w:pPr>
            <w:r>
              <w:rPr>
                <w:sz w:val="22"/>
              </w:rPr>
              <w:t>17.8</w:t>
            </w:r>
          </w:p>
        </w:tc>
      </w:tr>
      <w:tr>
        <w:trPr>
          <w:trHeight w:val="310" w:hRule="exact"/>
        </w:trPr>
        <w:tc>
          <w:tcPr>
            <w:tcW w:w="648" w:type="dxa"/>
          </w:tcPr>
          <w:p>
            <w:pPr>
              <w:pStyle w:val="TableParagraph"/>
              <w:rPr>
                <w:sz w:val="22"/>
              </w:rPr>
            </w:pPr>
            <w:r>
              <w:rPr>
                <w:sz w:val="22"/>
              </w:rPr>
              <w:t>104</w:t>
            </w:r>
          </w:p>
        </w:tc>
        <w:tc>
          <w:tcPr>
            <w:tcW w:w="1654" w:type="dxa"/>
          </w:tcPr>
          <w:p>
            <w:pPr>
              <w:pStyle w:val="TableParagraph"/>
              <w:ind w:right="63"/>
              <w:rPr>
                <w:sz w:val="22"/>
              </w:rPr>
            </w:pPr>
            <w:r>
              <w:rPr>
                <w:sz w:val="22"/>
              </w:rPr>
              <w:t>01/10/2009</w:t>
            </w:r>
          </w:p>
        </w:tc>
        <w:tc>
          <w:tcPr>
            <w:tcW w:w="1320" w:type="dxa"/>
          </w:tcPr>
          <w:p>
            <w:pPr>
              <w:pStyle w:val="TableParagraph"/>
              <w:ind w:right="63"/>
              <w:rPr>
                <w:sz w:val="22"/>
              </w:rPr>
            </w:pPr>
            <w:r>
              <w:rPr>
                <w:sz w:val="22"/>
              </w:rPr>
              <w:t>18.3</w:t>
            </w:r>
          </w:p>
        </w:tc>
        <w:tc>
          <w:tcPr>
            <w:tcW w:w="1248" w:type="dxa"/>
          </w:tcPr>
          <w:p>
            <w:pPr>
              <w:pStyle w:val="TableParagraph"/>
              <w:ind w:right="63"/>
              <w:rPr>
                <w:sz w:val="22"/>
              </w:rPr>
            </w:pPr>
            <w:r>
              <w:rPr>
                <w:sz w:val="22"/>
              </w:rPr>
              <w:t>18.1</w:t>
            </w:r>
          </w:p>
        </w:tc>
        <w:tc>
          <w:tcPr>
            <w:tcW w:w="605" w:type="dxa"/>
          </w:tcPr>
          <w:p>
            <w:pPr>
              <w:pStyle w:val="TableParagraph"/>
              <w:rPr>
                <w:sz w:val="22"/>
              </w:rPr>
            </w:pPr>
            <w:r>
              <w:rPr>
                <w:sz w:val="22"/>
              </w:rPr>
              <w:t>18.1</w:t>
            </w:r>
          </w:p>
        </w:tc>
        <w:tc>
          <w:tcPr>
            <w:tcW w:w="1169" w:type="dxa"/>
          </w:tcPr>
          <w:p>
            <w:pPr>
              <w:pStyle w:val="TableParagraph"/>
              <w:ind w:right="63"/>
              <w:rPr>
                <w:sz w:val="22"/>
              </w:rPr>
            </w:pPr>
            <w:r>
              <w:rPr>
                <w:sz w:val="22"/>
              </w:rPr>
              <w:t>18</w:t>
            </w:r>
          </w:p>
        </w:tc>
        <w:tc>
          <w:tcPr>
            <w:tcW w:w="1169" w:type="dxa"/>
          </w:tcPr>
          <w:p>
            <w:pPr>
              <w:pStyle w:val="TableParagraph"/>
              <w:ind w:right="63"/>
              <w:rPr>
                <w:sz w:val="22"/>
              </w:rPr>
            </w:pPr>
            <w:r>
              <w:rPr>
                <w:sz w:val="22"/>
              </w:rPr>
              <w:t>17.8</w:t>
            </w:r>
          </w:p>
        </w:tc>
        <w:tc>
          <w:tcPr>
            <w:tcW w:w="1166" w:type="dxa"/>
          </w:tcPr>
          <w:p>
            <w:pPr>
              <w:pStyle w:val="TableParagraph"/>
              <w:rPr>
                <w:sz w:val="22"/>
              </w:rPr>
            </w:pPr>
            <w:r>
              <w:rPr>
                <w:sz w:val="22"/>
              </w:rPr>
              <w:t>17.3</w:t>
            </w:r>
          </w:p>
        </w:tc>
      </w:tr>
      <w:tr>
        <w:trPr>
          <w:trHeight w:val="310" w:hRule="exact"/>
        </w:trPr>
        <w:tc>
          <w:tcPr>
            <w:tcW w:w="648" w:type="dxa"/>
          </w:tcPr>
          <w:p>
            <w:pPr>
              <w:pStyle w:val="TableParagraph"/>
              <w:rPr>
                <w:sz w:val="22"/>
              </w:rPr>
            </w:pPr>
            <w:r>
              <w:rPr>
                <w:sz w:val="22"/>
              </w:rPr>
              <w:t>105</w:t>
            </w:r>
          </w:p>
        </w:tc>
        <w:tc>
          <w:tcPr>
            <w:tcW w:w="1654" w:type="dxa"/>
          </w:tcPr>
          <w:p>
            <w:pPr>
              <w:pStyle w:val="TableParagraph"/>
              <w:ind w:right="63"/>
              <w:rPr>
                <w:sz w:val="22"/>
              </w:rPr>
            </w:pPr>
            <w:r>
              <w:rPr>
                <w:sz w:val="22"/>
              </w:rPr>
              <w:t>02/10/2009</w:t>
            </w:r>
          </w:p>
        </w:tc>
        <w:tc>
          <w:tcPr>
            <w:tcW w:w="1320" w:type="dxa"/>
          </w:tcPr>
          <w:p>
            <w:pPr>
              <w:pStyle w:val="TableParagraph"/>
              <w:ind w:right="63"/>
              <w:rPr>
                <w:sz w:val="22"/>
              </w:rPr>
            </w:pPr>
            <w:r>
              <w:rPr>
                <w:sz w:val="22"/>
              </w:rPr>
              <w:t>18.5</w:t>
            </w:r>
          </w:p>
        </w:tc>
        <w:tc>
          <w:tcPr>
            <w:tcW w:w="1248" w:type="dxa"/>
          </w:tcPr>
          <w:p>
            <w:pPr>
              <w:pStyle w:val="TableParagraph"/>
              <w:ind w:right="63"/>
              <w:rPr>
                <w:sz w:val="22"/>
              </w:rPr>
            </w:pPr>
            <w:r>
              <w:rPr>
                <w:sz w:val="22"/>
              </w:rPr>
              <w:t>18.7</w:t>
            </w:r>
          </w:p>
        </w:tc>
        <w:tc>
          <w:tcPr>
            <w:tcW w:w="605" w:type="dxa"/>
          </w:tcPr>
          <w:p>
            <w:pPr>
              <w:pStyle w:val="TableParagraph"/>
              <w:rPr>
                <w:sz w:val="22"/>
              </w:rPr>
            </w:pPr>
            <w:r>
              <w:rPr>
                <w:sz w:val="22"/>
              </w:rPr>
              <w:t>18.6</w:t>
            </w:r>
          </w:p>
        </w:tc>
        <w:tc>
          <w:tcPr>
            <w:tcW w:w="1169" w:type="dxa"/>
          </w:tcPr>
          <w:p>
            <w:pPr>
              <w:pStyle w:val="TableParagraph"/>
              <w:ind w:right="63"/>
              <w:rPr>
                <w:sz w:val="22"/>
              </w:rPr>
            </w:pPr>
            <w:r>
              <w:rPr>
                <w:sz w:val="22"/>
              </w:rPr>
              <w:t>18.7</w:t>
            </w:r>
          </w:p>
        </w:tc>
        <w:tc>
          <w:tcPr>
            <w:tcW w:w="1169" w:type="dxa"/>
          </w:tcPr>
          <w:p>
            <w:pPr>
              <w:pStyle w:val="TableParagraph"/>
              <w:ind w:right="63"/>
              <w:rPr>
                <w:sz w:val="22"/>
              </w:rPr>
            </w:pPr>
            <w:r>
              <w:rPr>
                <w:sz w:val="22"/>
              </w:rPr>
              <w:t>18.5</w:t>
            </w:r>
          </w:p>
        </w:tc>
        <w:tc>
          <w:tcPr>
            <w:tcW w:w="1166" w:type="dxa"/>
          </w:tcPr>
          <w:p>
            <w:pPr>
              <w:pStyle w:val="TableParagraph"/>
              <w:rPr>
                <w:sz w:val="22"/>
              </w:rPr>
            </w:pPr>
            <w:r>
              <w:rPr>
                <w:sz w:val="22"/>
              </w:rPr>
              <w:t>18.1</w:t>
            </w:r>
          </w:p>
        </w:tc>
      </w:tr>
      <w:tr>
        <w:trPr>
          <w:trHeight w:val="310" w:hRule="exact"/>
        </w:trPr>
        <w:tc>
          <w:tcPr>
            <w:tcW w:w="648" w:type="dxa"/>
          </w:tcPr>
          <w:p>
            <w:pPr>
              <w:pStyle w:val="TableParagraph"/>
              <w:rPr>
                <w:sz w:val="22"/>
              </w:rPr>
            </w:pPr>
            <w:r>
              <w:rPr>
                <w:sz w:val="22"/>
              </w:rPr>
              <w:t>106</w:t>
            </w:r>
          </w:p>
        </w:tc>
        <w:tc>
          <w:tcPr>
            <w:tcW w:w="1654" w:type="dxa"/>
          </w:tcPr>
          <w:p>
            <w:pPr>
              <w:pStyle w:val="TableParagraph"/>
              <w:ind w:right="63"/>
              <w:rPr>
                <w:sz w:val="22"/>
              </w:rPr>
            </w:pPr>
            <w:r>
              <w:rPr>
                <w:sz w:val="22"/>
              </w:rPr>
              <w:t>03/10/2009</w:t>
            </w:r>
          </w:p>
        </w:tc>
        <w:tc>
          <w:tcPr>
            <w:tcW w:w="1320" w:type="dxa"/>
          </w:tcPr>
          <w:p>
            <w:pPr>
              <w:pStyle w:val="TableParagraph"/>
              <w:ind w:right="63"/>
              <w:rPr>
                <w:sz w:val="22"/>
              </w:rPr>
            </w:pPr>
            <w:r>
              <w:rPr>
                <w:sz w:val="22"/>
              </w:rPr>
              <w:t>18.4</w:t>
            </w:r>
          </w:p>
        </w:tc>
        <w:tc>
          <w:tcPr>
            <w:tcW w:w="1248" w:type="dxa"/>
          </w:tcPr>
          <w:p>
            <w:pPr>
              <w:pStyle w:val="TableParagraph"/>
              <w:ind w:right="63"/>
              <w:rPr>
                <w:sz w:val="22"/>
              </w:rPr>
            </w:pPr>
            <w:r>
              <w:rPr>
                <w:sz w:val="22"/>
              </w:rPr>
              <w:t>18.9</w:t>
            </w:r>
          </w:p>
        </w:tc>
        <w:tc>
          <w:tcPr>
            <w:tcW w:w="605" w:type="dxa"/>
          </w:tcPr>
          <w:p>
            <w:pPr>
              <w:pStyle w:val="TableParagraph"/>
              <w:rPr>
                <w:sz w:val="22"/>
              </w:rPr>
            </w:pPr>
            <w:r>
              <w:rPr>
                <w:sz w:val="22"/>
              </w:rPr>
              <w:t>18.8</w:t>
            </w:r>
          </w:p>
        </w:tc>
        <w:tc>
          <w:tcPr>
            <w:tcW w:w="1169" w:type="dxa"/>
          </w:tcPr>
          <w:p>
            <w:pPr>
              <w:pStyle w:val="TableParagraph"/>
              <w:ind w:right="63"/>
              <w:rPr>
                <w:sz w:val="22"/>
              </w:rPr>
            </w:pPr>
            <w:r>
              <w:rPr>
                <w:sz w:val="22"/>
              </w:rPr>
              <w:t>18.8</w:t>
            </w:r>
          </w:p>
        </w:tc>
        <w:tc>
          <w:tcPr>
            <w:tcW w:w="1169" w:type="dxa"/>
          </w:tcPr>
          <w:p>
            <w:pPr>
              <w:pStyle w:val="TableParagraph"/>
              <w:ind w:right="63"/>
              <w:rPr>
                <w:sz w:val="22"/>
              </w:rPr>
            </w:pPr>
            <w:r>
              <w:rPr>
                <w:sz w:val="22"/>
              </w:rPr>
              <w:t>18.8</w:t>
            </w:r>
          </w:p>
        </w:tc>
        <w:tc>
          <w:tcPr>
            <w:tcW w:w="1166" w:type="dxa"/>
          </w:tcPr>
          <w:p>
            <w:pPr>
              <w:pStyle w:val="TableParagraph"/>
              <w:rPr>
                <w:sz w:val="22"/>
              </w:rPr>
            </w:pPr>
            <w:r>
              <w:rPr>
                <w:sz w:val="22"/>
              </w:rPr>
              <w:t>18.2</w:t>
            </w:r>
          </w:p>
        </w:tc>
      </w:tr>
      <w:tr>
        <w:trPr>
          <w:trHeight w:val="310" w:hRule="exact"/>
        </w:trPr>
        <w:tc>
          <w:tcPr>
            <w:tcW w:w="648" w:type="dxa"/>
          </w:tcPr>
          <w:p>
            <w:pPr>
              <w:pStyle w:val="TableParagraph"/>
              <w:rPr>
                <w:sz w:val="22"/>
              </w:rPr>
            </w:pPr>
            <w:r>
              <w:rPr>
                <w:sz w:val="22"/>
              </w:rPr>
              <w:t>107</w:t>
            </w:r>
          </w:p>
        </w:tc>
        <w:tc>
          <w:tcPr>
            <w:tcW w:w="1654" w:type="dxa"/>
          </w:tcPr>
          <w:p>
            <w:pPr>
              <w:pStyle w:val="TableParagraph"/>
              <w:ind w:right="63"/>
              <w:rPr>
                <w:sz w:val="22"/>
              </w:rPr>
            </w:pPr>
            <w:r>
              <w:rPr>
                <w:sz w:val="22"/>
              </w:rPr>
              <w:t>04/10/2009</w:t>
            </w:r>
          </w:p>
        </w:tc>
        <w:tc>
          <w:tcPr>
            <w:tcW w:w="1320" w:type="dxa"/>
          </w:tcPr>
          <w:p>
            <w:pPr>
              <w:pStyle w:val="TableParagraph"/>
              <w:ind w:right="63"/>
              <w:rPr>
                <w:sz w:val="22"/>
              </w:rPr>
            </w:pPr>
            <w:r>
              <w:rPr>
                <w:sz w:val="22"/>
              </w:rPr>
              <w:t>18.8</w:t>
            </w:r>
          </w:p>
        </w:tc>
        <w:tc>
          <w:tcPr>
            <w:tcW w:w="1248" w:type="dxa"/>
          </w:tcPr>
          <w:p>
            <w:pPr>
              <w:pStyle w:val="TableParagraph"/>
              <w:ind w:right="63"/>
              <w:rPr>
                <w:sz w:val="22"/>
              </w:rPr>
            </w:pPr>
            <w:r>
              <w:rPr>
                <w:sz w:val="22"/>
              </w:rPr>
              <w:t>18.8</w:t>
            </w:r>
          </w:p>
        </w:tc>
        <w:tc>
          <w:tcPr>
            <w:tcW w:w="605" w:type="dxa"/>
          </w:tcPr>
          <w:p>
            <w:pPr>
              <w:pStyle w:val="TableParagraph"/>
              <w:rPr>
                <w:sz w:val="22"/>
              </w:rPr>
            </w:pPr>
            <w:r>
              <w:rPr>
                <w:sz w:val="22"/>
              </w:rPr>
              <w:t>19</w:t>
            </w:r>
          </w:p>
        </w:tc>
        <w:tc>
          <w:tcPr>
            <w:tcW w:w="1169" w:type="dxa"/>
          </w:tcPr>
          <w:p>
            <w:pPr>
              <w:pStyle w:val="TableParagraph"/>
              <w:ind w:right="63"/>
              <w:rPr>
                <w:sz w:val="22"/>
              </w:rPr>
            </w:pPr>
            <w:r>
              <w:rPr>
                <w:sz w:val="22"/>
              </w:rPr>
              <w:t>19.9</w:t>
            </w:r>
          </w:p>
        </w:tc>
        <w:tc>
          <w:tcPr>
            <w:tcW w:w="1169" w:type="dxa"/>
          </w:tcPr>
          <w:p>
            <w:pPr>
              <w:pStyle w:val="TableParagraph"/>
              <w:ind w:right="63"/>
              <w:rPr>
                <w:sz w:val="22"/>
              </w:rPr>
            </w:pPr>
            <w:r>
              <w:rPr>
                <w:sz w:val="22"/>
              </w:rPr>
              <w:t>19.8</w:t>
            </w:r>
          </w:p>
        </w:tc>
        <w:tc>
          <w:tcPr>
            <w:tcW w:w="1166" w:type="dxa"/>
          </w:tcPr>
          <w:p>
            <w:pPr>
              <w:pStyle w:val="TableParagraph"/>
              <w:rPr>
                <w:sz w:val="22"/>
              </w:rPr>
            </w:pPr>
            <w:r>
              <w:rPr>
                <w:sz w:val="22"/>
              </w:rPr>
              <w:t>18.3</w:t>
            </w:r>
          </w:p>
        </w:tc>
      </w:tr>
      <w:tr>
        <w:trPr>
          <w:trHeight w:val="310" w:hRule="exact"/>
        </w:trPr>
        <w:tc>
          <w:tcPr>
            <w:tcW w:w="648" w:type="dxa"/>
          </w:tcPr>
          <w:p>
            <w:pPr>
              <w:pStyle w:val="TableParagraph"/>
              <w:spacing w:before="30"/>
              <w:rPr>
                <w:sz w:val="22"/>
              </w:rPr>
            </w:pPr>
            <w:r>
              <w:rPr>
                <w:sz w:val="22"/>
              </w:rPr>
              <w:t>108</w:t>
            </w:r>
          </w:p>
        </w:tc>
        <w:tc>
          <w:tcPr>
            <w:tcW w:w="1654" w:type="dxa"/>
          </w:tcPr>
          <w:p>
            <w:pPr>
              <w:pStyle w:val="TableParagraph"/>
              <w:spacing w:before="30"/>
              <w:ind w:right="63"/>
              <w:rPr>
                <w:sz w:val="22"/>
              </w:rPr>
            </w:pPr>
            <w:r>
              <w:rPr>
                <w:sz w:val="22"/>
              </w:rPr>
              <w:t>05/10/2009</w:t>
            </w:r>
          </w:p>
        </w:tc>
        <w:tc>
          <w:tcPr>
            <w:tcW w:w="1320" w:type="dxa"/>
          </w:tcPr>
          <w:p>
            <w:pPr>
              <w:pStyle w:val="TableParagraph"/>
              <w:spacing w:before="30"/>
              <w:ind w:right="63"/>
              <w:rPr>
                <w:sz w:val="22"/>
              </w:rPr>
            </w:pPr>
            <w:r>
              <w:rPr>
                <w:sz w:val="22"/>
              </w:rPr>
              <w:t>19.4</w:t>
            </w:r>
          </w:p>
        </w:tc>
        <w:tc>
          <w:tcPr>
            <w:tcW w:w="1248" w:type="dxa"/>
          </w:tcPr>
          <w:p>
            <w:pPr>
              <w:pStyle w:val="TableParagraph"/>
              <w:spacing w:before="30"/>
              <w:ind w:right="63"/>
              <w:rPr>
                <w:sz w:val="22"/>
              </w:rPr>
            </w:pPr>
            <w:r>
              <w:rPr>
                <w:sz w:val="22"/>
              </w:rPr>
              <w:t>19.4</w:t>
            </w:r>
          </w:p>
        </w:tc>
        <w:tc>
          <w:tcPr>
            <w:tcW w:w="605" w:type="dxa"/>
          </w:tcPr>
          <w:p>
            <w:pPr>
              <w:pStyle w:val="TableParagraph"/>
              <w:spacing w:before="30"/>
              <w:rPr>
                <w:sz w:val="22"/>
              </w:rPr>
            </w:pPr>
            <w:r>
              <w:rPr>
                <w:sz w:val="22"/>
              </w:rPr>
              <w:t>19</w:t>
            </w:r>
          </w:p>
        </w:tc>
        <w:tc>
          <w:tcPr>
            <w:tcW w:w="1169" w:type="dxa"/>
          </w:tcPr>
          <w:p>
            <w:pPr>
              <w:pStyle w:val="TableParagraph"/>
              <w:spacing w:before="30"/>
              <w:ind w:right="63"/>
              <w:rPr>
                <w:sz w:val="22"/>
              </w:rPr>
            </w:pPr>
            <w:r>
              <w:rPr>
                <w:sz w:val="22"/>
              </w:rPr>
              <w:t>18.9</w:t>
            </w:r>
          </w:p>
        </w:tc>
        <w:tc>
          <w:tcPr>
            <w:tcW w:w="1169" w:type="dxa"/>
          </w:tcPr>
          <w:p>
            <w:pPr>
              <w:pStyle w:val="TableParagraph"/>
              <w:spacing w:before="30"/>
              <w:ind w:right="63"/>
              <w:rPr>
                <w:sz w:val="22"/>
              </w:rPr>
            </w:pPr>
            <w:r>
              <w:rPr>
                <w:sz w:val="22"/>
              </w:rPr>
              <w:t>18.9</w:t>
            </w:r>
          </w:p>
        </w:tc>
        <w:tc>
          <w:tcPr>
            <w:tcW w:w="1166" w:type="dxa"/>
          </w:tcPr>
          <w:p>
            <w:pPr>
              <w:pStyle w:val="TableParagraph"/>
              <w:spacing w:before="30"/>
              <w:rPr>
                <w:sz w:val="22"/>
              </w:rPr>
            </w:pPr>
            <w:r>
              <w:rPr>
                <w:sz w:val="22"/>
              </w:rPr>
              <w:t>18.5</w:t>
            </w:r>
          </w:p>
        </w:tc>
      </w:tr>
      <w:tr>
        <w:trPr>
          <w:trHeight w:val="312" w:hRule="exact"/>
        </w:trPr>
        <w:tc>
          <w:tcPr>
            <w:tcW w:w="648" w:type="dxa"/>
          </w:tcPr>
          <w:p>
            <w:pPr>
              <w:pStyle w:val="TableParagraph"/>
              <w:spacing w:before="30"/>
              <w:rPr>
                <w:sz w:val="22"/>
              </w:rPr>
            </w:pPr>
            <w:r>
              <w:rPr>
                <w:sz w:val="22"/>
              </w:rPr>
              <w:t>109</w:t>
            </w:r>
          </w:p>
        </w:tc>
        <w:tc>
          <w:tcPr>
            <w:tcW w:w="1654" w:type="dxa"/>
          </w:tcPr>
          <w:p>
            <w:pPr>
              <w:pStyle w:val="TableParagraph"/>
              <w:spacing w:before="30"/>
              <w:ind w:right="63"/>
              <w:rPr>
                <w:sz w:val="22"/>
              </w:rPr>
            </w:pPr>
            <w:r>
              <w:rPr>
                <w:sz w:val="22"/>
              </w:rPr>
              <w:t>06/10/2009</w:t>
            </w:r>
          </w:p>
        </w:tc>
        <w:tc>
          <w:tcPr>
            <w:tcW w:w="1320" w:type="dxa"/>
          </w:tcPr>
          <w:p>
            <w:pPr>
              <w:pStyle w:val="TableParagraph"/>
              <w:spacing w:before="30"/>
              <w:ind w:right="63"/>
              <w:rPr>
                <w:sz w:val="22"/>
              </w:rPr>
            </w:pPr>
            <w:r>
              <w:rPr>
                <w:sz w:val="22"/>
              </w:rPr>
              <w:t>19.2</w:t>
            </w:r>
          </w:p>
        </w:tc>
        <w:tc>
          <w:tcPr>
            <w:tcW w:w="1248" w:type="dxa"/>
          </w:tcPr>
          <w:p>
            <w:pPr>
              <w:pStyle w:val="TableParagraph"/>
              <w:spacing w:before="30"/>
              <w:ind w:right="63"/>
              <w:rPr>
                <w:sz w:val="22"/>
              </w:rPr>
            </w:pPr>
            <w:r>
              <w:rPr>
                <w:sz w:val="22"/>
              </w:rPr>
              <w:t>19</w:t>
            </w:r>
          </w:p>
        </w:tc>
        <w:tc>
          <w:tcPr>
            <w:tcW w:w="605" w:type="dxa"/>
          </w:tcPr>
          <w:p>
            <w:pPr>
              <w:pStyle w:val="TableParagraph"/>
              <w:spacing w:before="30"/>
              <w:rPr>
                <w:sz w:val="22"/>
              </w:rPr>
            </w:pPr>
            <w:r>
              <w:rPr>
                <w:sz w:val="22"/>
              </w:rPr>
              <w:t>18.9</w:t>
            </w:r>
          </w:p>
        </w:tc>
        <w:tc>
          <w:tcPr>
            <w:tcW w:w="1169" w:type="dxa"/>
          </w:tcPr>
          <w:p>
            <w:pPr>
              <w:pStyle w:val="TableParagraph"/>
              <w:spacing w:before="30"/>
              <w:ind w:right="63"/>
              <w:rPr>
                <w:sz w:val="22"/>
              </w:rPr>
            </w:pPr>
            <w:r>
              <w:rPr>
                <w:sz w:val="22"/>
              </w:rPr>
              <w:t>18.8</w:t>
            </w:r>
          </w:p>
        </w:tc>
        <w:tc>
          <w:tcPr>
            <w:tcW w:w="1169" w:type="dxa"/>
          </w:tcPr>
          <w:p>
            <w:pPr>
              <w:pStyle w:val="TableParagraph"/>
              <w:spacing w:before="30"/>
              <w:ind w:right="63"/>
              <w:rPr>
                <w:sz w:val="22"/>
              </w:rPr>
            </w:pPr>
            <w:r>
              <w:rPr>
                <w:sz w:val="22"/>
              </w:rPr>
              <w:t>18.8</w:t>
            </w:r>
          </w:p>
        </w:tc>
        <w:tc>
          <w:tcPr>
            <w:tcW w:w="1166" w:type="dxa"/>
          </w:tcPr>
          <w:p>
            <w:pPr>
              <w:pStyle w:val="TableParagraph"/>
              <w:spacing w:before="30"/>
              <w:rPr>
                <w:sz w:val="22"/>
              </w:rPr>
            </w:pPr>
            <w:r>
              <w:rPr>
                <w:sz w:val="22"/>
              </w:rPr>
              <w:t>17.2</w:t>
            </w:r>
          </w:p>
        </w:tc>
      </w:tr>
      <w:tr>
        <w:trPr>
          <w:trHeight w:val="310" w:hRule="exact"/>
        </w:trPr>
        <w:tc>
          <w:tcPr>
            <w:tcW w:w="648" w:type="dxa"/>
          </w:tcPr>
          <w:p>
            <w:pPr>
              <w:pStyle w:val="TableParagraph"/>
              <w:rPr>
                <w:sz w:val="22"/>
              </w:rPr>
            </w:pPr>
            <w:r>
              <w:rPr>
                <w:sz w:val="22"/>
              </w:rPr>
              <w:t>110</w:t>
            </w:r>
          </w:p>
        </w:tc>
        <w:tc>
          <w:tcPr>
            <w:tcW w:w="1654" w:type="dxa"/>
          </w:tcPr>
          <w:p>
            <w:pPr>
              <w:pStyle w:val="TableParagraph"/>
              <w:ind w:right="63"/>
              <w:rPr>
                <w:sz w:val="22"/>
              </w:rPr>
            </w:pPr>
            <w:r>
              <w:rPr>
                <w:sz w:val="22"/>
              </w:rPr>
              <w:t>07/10/2009</w:t>
            </w:r>
          </w:p>
        </w:tc>
        <w:tc>
          <w:tcPr>
            <w:tcW w:w="1320" w:type="dxa"/>
          </w:tcPr>
          <w:p>
            <w:pPr>
              <w:pStyle w:val="TableParagraph"/>
              <w:ind w:right="63"/>
              <w:rPr>
                <w:sz w:val="22"/>
              </w:rPr>
            </w:pPr>
            <w:r>
              <w:rPr>
                <w:sz w:val="22"/>
              </w:rPr>
              <w:t>19</w:t>
            </w:r>
          </w:p>
        </w:tc>
        <w:tc>
          <w:tcPr>
            <w:tcW w:w="1248" w:type="dxa"/>
          </w:tcPr>
          <w:p>
            <w:pPr>
              <w:pStyle w:val="TableParagraph"/>
              <w:ind w:right="63"/>
              <w:rPr>
                <w:sz w:val="22"/>
              </w:rPr>
            </w:pPr>
            <w:r>
              <w:rPr>
                <w:sz w:val="22"/>
              </w:rPr>
              <w:t>19.1</w:t>
            </w:r>
          </w:p>
        </w:tc>
        <w:tc>
          <w:tcPr>
            <w:tcW w:w="605" w:type="dxa"/>
          </w:tcPr>
          <w:p>
            <w:pPr>
              <w:pStyle w:val="TableParagraph"/>
              <w:rPr>
                <w:sz w:val="22"/>
              </w:rPr>
            </w:pPr>
            <w:r>
              <w:rPr>
                <w:sz w:val="22"/>
              </w:rPr>
              <w:t>18.9</w:t>
            </w:r>
          </w:p>
        </w:tc>
        <w:tc>
          <w:tcPr>
            <w:tcW w:w="1169" w:type="dxa"/>
          </w:tcPr>
          <w:p>
            <w:pPr>
              <w:pStyle w:val="TableParagraph"/>
              <w:ind w:right="63"/>
              <w:rPr>
                <w:sz w:val="22"/>
              </w:rPr>
            </w:pPr>
            <w:r>
              <w:rPr>
                <w:sz w:val="22"/>
              </w:rPr>
              <w:t>18.8</w:t>
            </w:r>
          </w:p>
        </w:tc>
        <w:tc>
          <w:tcPr>
            <w:tcW w:w="1169" w:type="dxa"/>
          </w:tcPr>
          <w:p>
            <w:pPr>
              <w:pStyle w:val="TableParagraph"/>
              <w:ind w:right="63"/>
              <w:rPr>
                <w:sz w:val="22"/>
              </w:rPr>
            </w:pPr>
            <w:r>
              <w:rPr>
                <w:sz w:val="22"/>
              </w:rPr>
              <w:t>18.7</w:t>
            </w:r>
          </w:p>
        </w:tc>
        <w:tc>
          <w:tcPr>
            <w:tcW w:w="1166" w:type="dxa"/>
          </w:tcPr>
          <w:p>
            <w:pPr>
              <w:pStyle w:val="TableParagraph"/>
              <w:rPr>
                <w:sz w:val="22"/>
              </w:rPr>
            </w:pPr>
            <w:r>
              <w:rPr>
                <w:sz w:val="22"/>
              </w:rPr>
              <w:t>18.7</w:t>
            </w:r>
          </w:p>
        </w:tc>
      </w:tr>
      <w:tr>
        <w:trPr>
          <w:trHeight w:val="310" w:hRule="exact"/>
        </w:trPr>
        <w:tc>
          <w:tcPr>
            <w:tcW w:w="648" w:type="dxa"/>
          </w:tcPr>
          <w:p>
            <w:pPr>
              <w:pStyle w:val="TableParagraph"/>
              <w:rPr>
                <w:sz w:val="22"/>
              </w:rPr>
            </w:pPr>
            <w:r>
              <w:rPr>
                <w:sz w:val="22"/>
              </w:rPr>
              <w:t>111</w:t>
            </w:r>
          </w:p>
        </w:tc>
        <w:tc>
          <w:tcPr>
            <w:tcW w:w="1654" w:type="dxa"/>
          </w:tcPr>
          <w:p>
            <w:pPr>
              <w:pStyle w:val="TableParagraph"/>
              <w:ind w:right="63"/>
              <w:rPr>
                <w:sz w:val="22"/>
              </w:rPr>
            </w:pPr>
            <w:r>
              <w:rPr>
                <w:sz w:val="22"/>
              </w:rPr>
              <w:t>08/10/2009</w:t>
            </w:r>
          </w:p>
        </w:tc>
        <w:tc>
          <w:tcPr>
            <w:tcW w:w="1320" w:type="dxa"/>
          </w:tcPr>
          <w:p>
            <w:pPr>
              <w:pStyle w:val="TableParagraph"/>
              <w:ind w:right="63"/>
              <w:rPr>
                <w:sz w:val="22"/>
              </w:rPr>
            </w:pPr>
            <w:r>
              <w:rPr>
                <w:sz w:val="22"/>
              </w:rPr>
              <w:t>18.9</w:t>
            </w:r>
          </w:p>
        </w:tc>
        <w:tc>
          <w:tcPr>
            <w:tcW w:w="1248" w:type="dxa"/>
          </w:tcPr>
          <w:p>
            <w:pPr>
              <w:pStyle w:val="TableParagraph"/>
              <w:ind w:right="63"/>
              <w:rPr>
                <w:sz w:val="22"/>
              </w:rPr>
            </w:pPr>
            <w:r>
              <w:rPr>
                <w:sz w:val="22"/>
              </w:rPr>
              <w:t>18.8</w:t>
            </w:r>
          </w:p>
        </w:tc>
        <w:tc>
          <w:tcPr>
            <w:tcW w:w="605" w:type="dxa"/>
          </w:tcPr>
          <w:p>
            <w:pPr>
              <w:pStyle w:val="TableParagraph"/>
              <w:rPr>
                <w:sz w:val="22"/>
              </w:rPr>
            </w:pPr>
            <w:r>
              <w:rPr>
                <w:sz w:val="22"/>
              </w:rPr>
              <w:t>18.8</w:t>
            </w:r>
          </w:p>
        </w:tc>
        <w:tc>
          <w:tcPr>
            <w:tcW w:w="1169" w:type="dxa"/>
          </w:tcPr>
          <w:p>
            <w:pPr>
              <w:pStyle w:val="TableParagraph"/>
              <w:ind w:right="63"/>
              <w:rPr>
                <w:sz w:val="22"/>
              </w:rPr>
            </w:pPr>
            <w:r>
              <w:rPr>
                <w:sz w:val="22"/>
              </w:rPr>
              <w:t>18.7</w:t>
            </w:r>
          </w:p>
        </w:tc>
        <w:tc>
          <w:tcPr>
            <w:tcW w:w="1169" w:type="dxa"/>
          </w:tcPr>
          <w:p>
            <w:pPr>
              <w:pStyle w:val="TableParagraph"/>
              <w:ind w:right="63"/>
              <w:rPr>
                <w:sz w:val="22"/>
              </w:rPr>
            </w:pPr>
            <w:r>
              <w:rPr>
                <w:sz w:val="22"/>
              </w:rPr>
              <w:t>18.7</w:t>
            </w:r>
          </w:p>
        </w:tc>
        <w:tc>
          <w:tcPr>
            <w:tcW w:w="1166" w:type="dxa"/>
          </w:tcPr>
          <w:p>
            <w:pPr>
              <w:pStyle w:val="TableParagraph"/>
              <w:rPr>
                <w:sz w:val="22"/>
              </w:rPr>
            </w:pPr>
            <w:r>
              <w:rPr>
                <w:sz w:val="22"/>
              </w:rPr>
              <w:t>18.3</w:t>
            </w:r>
          </w:p>
        </w:tc>
      </w:tr>
      <w:tr>
        <w:trPr>
          <w:trHeight w:val="310" w:hRule="exact"/>
        </w:trPr>
        <w:tc>
          <w:tcPr>
            <w:tcW w:w="648" w:type="dxa"/>
          </w:tcPr>
          <w:p>
            <w:pPr>
              <w:pStyle w:val="TableParagraph"/>
              <w:rPr>
                <w:sz w:val="22"/>
              </w:rPr>
            </w:pPr>
            <w:r>
              <w:rPr>
                <w:sz w:val="22"/>
              </w:rPr>
              <w:t>112</w:t>
            </w:r>
          </w:p>
        </w:tc>
        <w:tc>
          <w:tcPr>
            <w:tcW w:w="1654" w:type="dxa"/>
          </w:tcPr>
          <w:p>
            <w:pPr>
              <w:pStyle w:val="TableParagraph"/>
              <w:ind w:right="63"/>
              <w:rPr>
                <w:sz w:val="22"/>
              </w:rPr>
            </w:pPr>
            <w:r>
              <w:rPr>
                <w:sz w:val="22"/>
              </w:rPr>
              <w:t>09/10/2009</w:t>
            </w:r>
          </w:p>
        </w:tc>
        <w:tc>
          <w:tcPr>
            <w:tcW w:w="1320" w:type="dxa"/>
          </w:tcPr>
          <w:p>
            <w:pPr>
              <w:pStyle w:val="TableParagraph"/>
              <w:ind w:right="63"/>
              <w:rPr>
                <w:sz w:val="22"/>
              </w:rPr>
            </w:pPr>
            <w:r>
              <w:rPr>
                <w:sz w:val="22"/>
              </w:rPr>
              <w:t>18.9</w:t>
            </w:r>
          </w:p>
        </w:tc>
        <w:tc>
          <w:tcPr>
            <w:tcW w:w="1248" w:type="dxa"/>
          </w:tcPr>
          <w:p>
            <w:pPr>
              <w:pStyle w:val="TableParagraph"/>
              <w:ind w:right="63"/>
              <w:rPr>
                <w:sz w:val="22"/>
              </w:rPr>
            </w:pPr>
            <w:r>
              <w:rPr>
                <w:sz w:val="22"/>
              </w:rPr>
              <w:t>18.7</w:t>
            </w:r>
          </w:p>
        </w:tc>
        <w:tc>
          <w:tcPr>
            <w:tcW w:w="605" w:type="dxa"/>
          </w:tcPr>
          <w:p>
            <w:pPr>
              <w:pStyle w:val="TableParagraph"/>
              <w:rPr>
                <w:sz w:val="22"/>
              </w:rPr>
            </w:pPr>
            <w:r>
              <w:rPr>
                <w:sz w:val="22"/>
              </w:rPr>
              <w:t>18.7</w:t>
            </w:r>
          </w:p>
        </w:tc>
        <w:tc>
          <w:tcPr>
            <w:tcW w:w="1169" w:type="dxa"/>
          </w:tcPr>
          <w:p>
            <w:pPr>
              <w:pStyle w:val="TableParagraph"/>
              <w:ind w:right="63"/>
              <w:rPr>
                <w:sz w:val="22"/>
              </w:rPr>
            </w:pPr>
            <w:r>
              <w:rPr>
                <w:sz w:val="22"/>
              </w:rPr>
              <w:t>18.8</w:t>
            </w:r>
          </w:p>
        </w:tc>
        <w:tc>
          <w:tcPr>
            <w:tcW w:w="1169" w:type="dxa"/>
          </w:tcPr>
          <w:p>
            <w:pPr>
              <w:pStyle w:val="TableParagraph"/>
              <w:ind w:right="63"/>
              <w:rPr>
                <w:sz w:val="22"/>
              </w:rPr>
            </w:pPr>
            <w:r>
              <w:rPr>
                <w:sz w:val="22"/>
              </w:rPr>
              <w:t>18.7</w:t>
            </w:r>
          </w:p>
        </w:tc>
        <w:tc>
          <w:tcPr>
            <w:tcW w:w="1166" w:type="dxa"/>
          </w:tcPr>
          <w:p>
            <w:pPr>
              <w:pStyle w:val="TableParagraph"/>
              <w:rPr>
                <w:sz w:val="22"/>
              </w:rPr>
            </w:pPr>
            <w:r>
              <w:rPr>
                <w:sz w:val="22"/>
              </w:rPr>
              <w:t>18.8</w:t>
            </w:r>
          </w:p>
        </w:tc>
      </w:tr>
      <w:tr>
        <w:trPr>
          <w:trHeight w:val="310" w:hRule="exact"/>
        </w:trPr>
        <w:tc>
          <w:tcPr>
            <w:tcW w:w="648" w:type="dxa"/>
          </w:tcPr>
          <w:p>
            <w:pPr>
              <w:pStyle w:val="TableParagraph"/>
              <w:rPr>
                <w:sz w:val="22"/>
              </w:rPr>
            </w:pPr>
            <w:r>
              <w:rPr>
                <w:sz w:val="22"/>
              </w:rPr>
              <w:t>113</w:t>
            </w:r>
          </w:p>
        </w:tc>
        <w:tc>
          <w:tcPr>
            <w:tcW w:w="1654" w:type="dxa"/>
          </w:tcPr>
          <w:p>
            <w:pPr>
              <w:pStyle w:val="TableParagraph"/>
              <w:ind w:right="63"/>
              <w:rPr>
                <w:sz w:val="22"/>
              </w:rPr>
            </w:pPr>
            <w:r>
              <w:rPr>
                <w:sz w:val="22"/>
              </w:rPr>
              <w:t>10/10/2009</w:t>
            </w:r>
          </w:p>
        </w:tc>
        <w:tc>
          <w:tcPr>
            <w:tcW w:w="1320" w:type="dxa"/>
          </w:tcPr>
          <w:p>
            <w:pPr>
              <w:pStyle w:val="TableParagraph"/>
              <w:ind w:right="63"/>
              <w:rPr>
                <w:sz w:val="22"/>
              </w:rPr>
            </w:pPr>
            <w:r>
              <w:rPr>
                <w:sz w:val="22"/>
              </w:rPr>
              <w:t>19.2</w:t>
            </w:r>
          </w:p>
        </w:tc>
        <w:tc>
          <w:tcPr>
            <w:tcW w:w="1248" w:type="dxa"/>
          </w:tcPr>
          <w:p>
            <w:pPr>
              <w:pStyle w:val="TableParagraph"/>
              <w:ind w:right="63"/>
              <w:rPr>
                <w:sz w:val="22"/>
              </w:rPr>
            </w:pPr>
            <w:r>
              <w:rPr>
                <w:sz w:val="22"/>
              </w:rPr>
              <w:t>19</w:t>
            </w:r>
          </w:p>
        </w:tc>
        <w:tc>
          <w:tcPr>
            <w:tcW w:w="605" w:type="dxa"/>
          </w:tcPr>
          <w:p>
            <w:pPr>
              <w:pStyle w:val="TableParagraph"/>
              <w:rPr>
                <w:sz w:val="22"/>
              </w:rPr>
            </w:pPr>
            <w:r>
              <w:rPr>
                <w:sz w:val="22"/>
              </w:rPr>
              <w:t>18.9</w:t>
            </w:r>
          </w:p>
        </w:tc>
        <w:tc>
          <w:tcPr>
            <w:tcW w:w="1169" w:type="dxa"/>
          </w:tcPr>
          <w:p>
            <w:pPr>
              <w:pStyle w:val="TableParagraph"/>
              <w:ind w:right="63"/>
              <w:rPr>
                <w:sz w:val="22"/>
              </w:rPr>
            </w:pPr>
            <w:r>
              <w:rPr>
                <w:sz w:val="22"/>
              </w:rPr>
              <w:t>18.7</w:t>
            </w:r>
          </w:p>
        </w:tc>
        <w:tc>
          <w:tcPr>
            <w:tcW w:w="1169" w:type="dxa"/>
          </w:tcPr>
          <w:p>
            <w:pPr>
              <w:pStyle w:val="TableParagraph"/>
              <w:ind w:right="63"/>
              <w:rPr>
                <w:sz w:val="22"/>
              </w:rPr>
            </w:pPr>
            <w:r>
              <w:rPr>
                <w:sz w:val="22"/>
              </w:rPr>
              <w:t>18.7</w:t>
            </w:r>
          </w:p>
        </w:tc>
        <w:tc>
          <w:tcPr>
            <w:tcW w:w="1166" w:type="dxa"/>
          </w:tcPr>
          <w:p>
            <w:pPr>
              <w:pStyle w:val="TableParagraph"/>
              <w:rPr>
                <w:sz w:val="22"/>
              </w:rPr>
            </w:pPr>
            <w:r>
              <w:rPr>
                <w:sz w:val="22"/>
              </w:rPr>
              <w:t>18.7</w:t>
            </w:r>
          </w:p>
        </w:tc>
      </w:tr>
      <w:tr>
        <w:trPr>
          <w:trHeight w:val="310" w:hRule="exact"/>
        </w:trPr>
        <w:tc>
          <w:tcPr>
            <w:tcW w:w="648" w:type="dxa"/>
          </w:tcPr>
          <w:p>
            <w:pPr>
              <w:pStyle w:val="TableParagraph"/>
              <w:spacing w:before="30"/>
              <w:rPr>
                <w:sz w:val="22"/>
              </w:rPr>
            </w:pPr>
            <w:r>
              <w:rPr>
                <w:sz w:val="22"/>
              </w:rPr>
              <w:t>114</w:t>
            </w:r>
          </w:p>
        </w:tc>
        <w:tc>
          <w:tcPr>
            <w:tcW w:w="1654" w:type="dxa"/>
          </w:tcPr>
          <w:p>
            <w:pPr>
              <w:pStyle w:val="TableParagraph"/>
              <w:spacing w:before="30"/>
              <w:ind w:right="63"/>
              <w:rPr>
                <w:sz w:val="22"/>
              </w:rPr>
            </w:pPr>
            <w:r>
              <w:rPr>
                <w:sz w:val="22"/>
              </w:rPr>
              <w:t>11/10/2009</w:t>
            </w:r>
          </w:p>
        </w:tc>
        <w:tc>
          <w:tcPr>
            <w:tcW w:w="1320" w:type="dxa"/>
          </w:tcPr>
          <w:p>
            <w:pPr>
              <w:pStyle w:val="TableParagraph"/>
              <w:spacing w:before="30"/>
              <w:ind w:right="63"/>
              <w:rPr>
                <w:sz w:val="22"/>
              </w:rPr>
            </w:pPr>
            <w:r>
              <w:rPr>
                <w:sz w:val="22"/>
              </w:rPr>
              <w:t>17.80</w:t>
            </w:r>
          </w:p>
        </w:tc>
        <w:tc>
          <w:tcPr>
            <w:tcW w:w="1248" w:type="dxa"/>
          </w:tcPr>
          <w:p>
            <w:pPr>
              <w:pStyle w:val="TableParagraph"/>
              <w:spacing w:before="30"/>
              <w:ind w:right="63"/>
              <w:rPr>
                <w:sz w:val="22"/>
              </w:rPr>
            </w:pPr>
            <w:r>
              <w:rPr>
                <w:sz w:val="22"/>
              </w:rPr>
              <w:t>17.70</w:t>
            </w:r>
          </w:p>
        </w:tc>
        <w:tc>
          <w:tcPr>
            <w:tcW w:w="605" w:type="dxa"/>
          </w:tcPr>
          <w:p>
            <w:pPr>
              <w:pStyle w:val="TableParagraph"/>
              <w:spacing w:before="30"/>
              <w:rPr>
                <w:sz w:val="22"/>
              </w:rPr>
            </w:pPr>
            <w:r>
              <w:rPr>
                <w:sz w:val="22"/>
              </w:rPr>
              <w:t>17.6</w:t>
            </w:r>
          </w:p>
        </w:tc>
        <w:tc>
          <w:tcPr>
            <w:tcW w:w="1169" w:type="dxa"/>
          </w:tcPr>
          <w:p>
            <w:pPr>
              <w:pStyle w:val="TableParagraph"/>
              <w:spacing w:before="30"/>
              <w:ind w:right="63"/>
              <w:rPr>
                <w:sz w:val="22"/>
              </w:rPr>
            </w:pPr>
            <w:r>
              <w:rPr>
                <w:sz w:val="22"/>
              </w:rPr>
              <w:t>17.6</w:t>
            </w:r>
          </w:p>
        </w:tc>
        <w:tc>
          <w:tcPr>
            <w:tcW w:w="1169" w:type="dxa"/>
          </w:tcPr>
          <w:p>
            <w:pPr>
              <w:pStyle w:val="TableParagraph"/>
              <w:spacing w:before="30"/>
              <w:ind w:right="63"/>
              <w:rPr>
                <w:sz w:val="22"/>
              </w:rPr>
            </w:pPr>
            <w:r>
              <w:rPr>
                <w:sz w:val="22"/>
              </w:rPr>
              <w:t>17.6</w:t>
            </w:r>
          </w:p>
        </w:tc>
        <w:tc>
          <w:tcPr>
            <w:tcW w:w="1166" w:type="dxa"/>
          </w:tcPr>
          <w:p>
            <w:pPr>
              <w:pStyle w:val="TableParagraph"/>
              <w:spacing w:before="30"/>
              <w:rPr>
                <w:sz w:val="22"/>
              </w:rPr>
            </w:pPr>
            <w:r>
              <w:rPr>
                <w:sz w:val="22"/>
              </w:rPr>
              <w:t>17</w:t>
            </w:r>
          </w:p>
        </w:tc>
      </w:tr>
      <w:tr>
        <w:trPr>
          <w:trHeight w:val="312" w:hRule="exact"/>
        </w:trPr>
        <w:tc>
          <w:tcPr>
            <w:tcW w:w="648" w:type="dxa"/>
          </w:tcPr>
          <w:p>
            <w:pPr>
              <w:pStyle w:val="TableParagraph"/>
              <w:spacing w:before="30"/>
              <w:rPr>
                <w:sz w:val="22"/>
              </w:rPr>
            </w:pPr>
            <w:r>
              <w:rPr>
                <w:sz w:val="22"/>
              </w:rPr>
              <w:t>115</w:t>
            </w:r>
          </w:p>
        </w:tc>
        <w:tc>
          <w:tcPr>
            <w:tcW w:w="1654" w:type="dxa"/>
          </w:tcPr>
          <w:p>
            <w:pPr>
              <w:pStyle w:val="TableParagraph"/>
              <w:spacing w:before="30"/>
              <w:ind w:right="63"/>
              <w:rPr>
                <w:sz w:val="22"/>
              </w:rPr>
            </w:pPr>
            <w:r>
              <w:rPr>
                <w:sz w:val="22"/>
              </w:rPr>
              <w:t>12/10/2009</w:t>
            </w:r>
          </w:p>
        </w:tc>
        <w:tc>
          <w:tcPr>
            <w:tcW w:w="1320" w:type="dxa"/>
          </w:tcPr>
          <w:p>
            <w:pPr>
              <w:pStyle w:val="TableParagraph"/>
              <w:spacing w:before="30"/>
              <w:ind w:right="63"/>
              <w:rPr>
                <w:sz w:val="22"/>
              </w:rPr>
            </w:pPr>
            <w:r>
              <w:rPr>
                <w:sz w:val="22"/>
              </w:rPr>
              <w:t>17.20</w:t>
            </w:r>
          </w:p>
        </w:tc>
        <w:tc>
          <w:tcPr>
            <w:tcW w:w="1248" w:type="dxa"/>
          </w:tcPr>
          <w:p>
            <w:pPr>
              <w:pStyle w:val="TableParagraph"/>
              <w:spacing w:before="30"/>
              <w:ind w:right="63"/>
              <w:rPr>
                <w:sz w:val="22"/>
              </w:rPr>
            </w:pPr>
            <w:r>
              <w:rPr>
                <w:sz w:val="22"/>
              </w:rPr>
              <w:t>16.90</w:t>
            </w:r>
          </w:p>
        </w:tc>
        <w:tc>
          <w:tcPr>
            <w:tcW w:w="605" w:type="dxa"/>
          </w:tcPr>
          <w:p>
            <w:pPr>
              <w:pStyle w:val="TableParagraph"/>
              <w:spacing w:before="30"/>
              <w:rPr>
                <w:sz w:val="22"/>
              </w:rPr>
            </w:pPr>
            <w:r>
              <w:rPr>
                <w:sz w:val="22"/>
              </w:rPr>
              <w:t>16.7</w:t>
            </w:r>
          </w:p>
        </w:tc>
        <w:tc>
          <w:tcPr>
            <w:tcW w:w="1169" w:type="dxa"/>
          </w:tcPr>
          <w:p>
            <w:pPr>
              <w:pStyle w:val="TableParagraph"/>
              <w:spacing w:before="30"/>
              <w:ind w:right="63"/>
              <w:rPr>
                <w:sz w:val="22"/>
              </w:rPr>
            </w:pPr>
            <w:r>
              <w:rPr>
                <w:sz w:val="22"/>
              </w:rPr>
              <w:t>16.7</w:t>
            </w:r>
          </w:p>
        </w:tc>
        <w:tc>
          <w:tcPr>
            <w:tcW w:w="1169" w:type="dxa"/>
          </w:tcPr>
          <w:p>
            <w:pPr>
              <w:pStyle w:val="TableParagraph"/>
              <w:spacing w:before="30"/>
              <w:ind w:right="63"/>
              <w:rPr>
                <w:sz w:val="22"/>
              </w:rPr>
            </w:pPr>
            <w:r>
              <w:rPr>
                <w:sz w:val="22"/>
              </w:rPr>
              <w:t>17.3</w:t>
            </w:r>
          </w:p>
        </w:tc>
        <w:tc>
          <w:tcPr>
            <w:tcW w:w="1166" w:type="dxa"/>
          </w:tcPr>
          <w:p>
            <w:pPr>
              <w:pStyle w:val="TableParagraph"/>
              <w:spacing w:before="30"/>
              <w:rPr>
                <w:sz w:val="22"/>
              </w:rPr>
            </w:pPr>
            <w:r>
              <w:rPr>
                <w:sz w:val="22"/>
              </w:rPr>
              <w:t>16.7</w:t>
            </w:r>
          </w:p>
        </w:tc>
      </w:tr>
      <w:tr>
        <w:trPr>
          <w:trHeight w:val="310" w:hRule="exact"/>
        </w:trPr>
        <w:tc>
          <w:tcPr>
            <w:tcW w:w="648" w:type="dxa"/>
          </w:tcPr>
          <w:p>
            <w:pPr>
              <w:pStyle w:val="TableParagraph"/>
              <w:rPr>
                <w:sz w:val="22"/>
              </w:rPr>
            </w:pPr>
            <w:r>
              <w:rPr>
                <w:sz w:val="22"/>
              </w:rPr>
              <w:t>116</w:t>
            </w:r>
          </w:p>
        </w:tc>
        <w:tc>
          <w:tcPr>
            <w:tcW w:w="1654" w:type="dxa"/>
          </w:tcPr>
          <w:p>
            <w:pPr>
              <w:pStyle w:val="TableParagraph"/>
              <w:ind w:right="63"/>
              <w:rPr>
                <w:sz w:val="22"/>
              </w:rPr>
            </w:pPr>
            <w:r>
              <w:rPr>
                <w:sz w:val="22"/>
              </w:rPr>
              <w:t>13/10/2009</w:t>
            </w:r>
          </w:p>
        </w:tc>
        <w:tc>
          <w:tcPr>
            <w:tcW w:w="1320" w:type="dxa"/>
          </w:tcPr>
          <w:p>
            <w:pPr>
              <w:pStyle w:val="TableParagraph"/>
              <w:ind w:right="63"/>
              <w:rPr>
                <w:sz w:val="22"/>
              </w:rPr>
            </w:pPr>
            <w:r>
              <w:rPr>
                <w:sz w:val="22"/>
              </w:rPr>
              <w:t>17.20</w:t>
            </w:r>
          </w:p>
        </w:tc>
        <w:tc>
          <w:tcPr>
            <w:tcW w:w="1248" w:type="dxa"/>
          </w:tcPr>
          <w:p>
            <w:pPr>
              <w:pStyle w:val="TableParagraph"/>
              <w:ind w:right="63"/>
              <w:rPr>
                <w:sz w:val="22"/>
              </w:rPr>
            </w:pPr>
            <w:r>
              <w:rPr>
                <w:sz w:val="22"/>
              </w:rPr>
              <w:t>16.90</w:t>
            </w:r>
          </w:p>
        </w:tc>
        <w:tc>
          <w:tcPr>
            <w:tcW w:w="605" w:type="dxa"/>
          </w:tcPr>
          <w:p>
            <w:pPr>
              <w:pStyle w:val="TableParagraph"/>
              <w:rPr>
                <w:sz w:val="22"/>
              </w:rPr>
            </w:pPr>
            <w:r>
              <w:rPr>
                <w:sz w:val="22"/>
              </w:rPr>
              <w:t>16.8</w:t>
            </w:r>
          </w:p>
        </w:tc>
        <w:tc>
          <w:tcPr>
            <w:tcW w:w="1169" w:type="dxa"/>
          </w:tcPr>
          <w:p>
            <w:pPr>
              <w:pStyle w:val="TableParagraph"/>
              <w:ind w:right="63"/>
              <w:rPr>
                <w:sz w:val="22"/>
              </w:rPr>
            </w:pPr>
            <w:r>
              <w:rPr>
                <w:sz w:val="22"/>
              </w:rPr>
              <w:t>16.5</w:t>
            </w:r>
          </w:p>
        </w:tc>
        <w:tc>
          <w:tcPr>
            <w:tcW w:w="1169" w:type="dxa"/>
          </w:tcPr>
          <w:p>
            <w:pPr>
              <w:pStyle w:val="TableParagraph"/>
              <w:ind w:right="63"/>
              <w:rPr>
                <w:sz w:val="22"/>
              </w:rPr>
            </w:pPr>
            <w:r>
              <w:rPr>
                <w:sz w:val="22"/>
              </w:rPr>
              <w:t>16.6</w:t>
            </w:r>
          </w:p>
        </w:tc>
        <w:tc>
          <w:tcPr>
            <w:tcW w:w="1166" w:type="dxa"/>
          </w:tcPr>
          <w:p>
            <w:pPr>
              <w:pStyle w:val="TableParagraph"/>
              <w:rPr>
                <w:sz w:val="22"/>
              </w:rPr>
            </w:pPr>
            <w:r>
              <w:rPr>
                <w:sz w:val="22"/>
              </w:rPr>
              <w:t>16.7</w:t>
            </w:r>
          </w:p>
        </w:tc>
      </w:tr>
      <w:tr>
        <w:trPr>
          <w:trHeight w:val="310" w:hRule="exact"/>
        </w:trPr>
        <w:tc>
          <w:tcPr>
            <w:tcW w:w="648" w:type="dxa"/>
          </w:tcPr>
          <w:p>
            <w:pPr>
              <w:pStyle w:val="TableParagraph"/>
              <w:rPr>
                <w:sz w:val="22"/>
              </w:rPr>
            </w:pPr>
            <w:r>
              <w:rPr>
                <w:sz w:val="22"/>
              </w:rPr>
              <w:t>117</w:t>
            </w:r>
          </w:p>
        </w:tc>
        <w:tc>
          <w:tcPr>
            <w:tcW w:w="1654" w:type="dxa"/>
          </w:tcPr>
          <w:p>
            <w:pPr>
              <w:pStyle w:val="TableParagraph"/>
              <w:ind w:right="63"/>
              <w:rPr>
                <w:sz w:val="22"/>
              </w:rPr>
            </w:pPr>
            <w:r>
              <w:rPr>
                <w:sz w:val="22"/>
              </w:rPr>
              <w:t>14/10/2009</w:t>
            </w:r>
          </w:p>
        </w:tc>
        <w:tc>
          <w:tcPr>
            <w:tcW w:w="1320" w:type="dxa"/>
          </w:tcPr>
          <w:p>
            <w:pPr>
              <w:pStyle w:val="TableParagraph"/>
              <w:ind w:right="63"/>
              <w:rPr>
                <w:sz w:val="22"/>
              </w:rPr>
            </w:pPr>
            <w:r>
              <w:rPr>
                <w:sz w:val="22"/>
              </w:rPr>
              <w:t>17.90</w:t>
            </w:r>
          </w:p>
        </w:tc>
        <w:tc>
          <w:tcPr>
            <w:tcW w:w="1248" w:type="dxa"/>
          </w:tcPr>
          <w:p>
            <w:pPr>
              <w:pStyle w:val="TableParagraph"/>
              <w:ind w:right="63"/>
              <w:rPr>
                <w:sz w:val="22"/>
              </w:rPr>
            </w:pPr>
            <w:r>
              <w:rPr>
                <w:sz w:val="22"/>
              </w:rPr>
              <w:t>17.80</w:t>
            </w:r>
          </w:p>
        </w:tc>
        <w:tc>
          <w:tcPr>
            <w:tcW w:w="605" w:type="dxa"/>
          </w:tcPr>
          <w:p>
            <w:pPr>
              <w:pStyle w:val="TableParagraph"/>
              <w:rPr>
                <w:sz w:val="22"/>
              </w:rPr>
            </w:pPr>
            <w:r>
              <w:rPr>
                <w:sz w:val="22"/>
              </w:rPr>
              <w:t>17.7</w:t>
            </w:r>
          </w:p>
        </w:tc>
        <w:tc>
          <w:tcPr>
            <w:tcW w:w="1169" w:type="dxa"/>
          </w:tcPr>
          <w:p>
            <w:pPr>
              <w:pStyle w:val="TableParagraph"/>
              <w:ind w:right="63"/>
              <w:rPr>
                <w:sz w:val="22"/>
              </w:rPr>
            </w:pPr>
            <w:r>
              <w:rPr>
                <w:sz w:val="22"/>
              </w:rPr>
              <w:t>17.5</w:t>
            </w:r>
          </w:p>
        </w:tc>
        <w:tc>
          <w:tcPr>
            <w:tcW w:w="1169" w:type="dxa"/>
          </w:tcPr>
          <w:p>
            <w:pPr>
              <w:pStyle w:val="TableParagraph"/>
              <w:ind w:right="63"/>
              <w:rPr>
                <w:sz w:val="22"/>
              </w:rPr>
            </w:pPr>
            <w:r>
              <w:rPr>
                <w:sz w:val="22"/>
              </w:rPr>
              <w:t>17.4</w:t>
            </w:r>
          </w:p>
        </w:tc>
        <w:tc>
          <w:tcPr>
            <w:tcW w:w="1166" w:type="dxa"/>
          </w:tcPr>
          <w:p>
            <w:pPr>
              <w:pStyle w:val="TableParagraph"/>
              <w:rPr>
                <w:sz w:val="22"/>
              </w:rPr>
            </w:pPr>
            <w:r>
              <w:rPr>
                <w:sz w:val="22"/>
              </w:rPr>
              <w:t>17.5</w:t>
            </w:r>
          </w:p>
        </w:tc>
      </w:tr>
      <w:tr>
        <w:trPr>
          <w:trHeight w:val="310" w:hRule="exact"/>
        </w:trPr>
        <w:tc>
          <w:tcPr>
            <w:tcW w:w="648" w:type="dxa"/>
          </w:tcPr>
          <w:p>
            <w:pPr>
              <w:pStyle w:val="TableParagraph"/>
              <w:rPr>
                <w:sz w:val="22"/>
              </w:rPr>
            </w:pPr>
            <w:r>
              <w:rPr>
                <w:sz w:val="22"/>
              </w:rPr>
              <w:t>118</w:t>
            </w:r>
          </w:p>
        </w:tc>
        <w:tc>
          <w:tcPr>
            <w:tcW w:w="1654" w:type="dxa"/>
          </w:tcPr>
          <w:p>
            <w:pPr>
              <w:pStyle w:val="TableParagraph"/>
              <w:ind w:right="63"/>
              <w:rPr>
                <w:sz w:val="22"/>
              </w:rPr>
            </w:pPr>
            <w:r>
              <w:rPr>
                <w:sz w:val="22"/>
              </w:rPr>
              <w:t>15/10/2009</w:t>
            </w:r>
          </w:p>
        </w:tc>
        <w:tc>
          <w:tcPr>
            <w:tcW w:w="1320" w:type="dxa"/>
          </w:tcPr>
          <w:p>
            <w:pPr>
              <w:pStyle w:val="TableParagraph"/>
              <w:ind w:right="63"/>
              <w:rPr>
                <w:sz w:val="22"/>
              </w:rPr>
            </w:pPr>
            <w:r>
              <w:rPr>
                <w:sz w:val="22"/>
              </w:rPr>
              <w:t>17.40</w:t>
            </w:r>
          </w:p>
        </w:tc>
        <w:tc>
          <w:tcPr>
            <w:tcW w:w="1248" w:type="dxa"/>
          </w:tcPr>
          <w:p>
            <w:pPr>
              <w:pStyle w:val="TableParagraph"/>
              <w:ind w:right="63"/>
              <w:rPr>
                <w:sz w:val="22"/>
              </w:rPr>
            </w:pPr>
            <w:r>
              <w:rPr>
                <w:sz w:val="22"/>
              </w:rPr>
              <w:t>17.00</w:t>
            </w:r>
          </w:p>
        </w:tc>
        <w:tc>
          <w:tcPr>
            <w:tcW w:w="605" w:type="dxa"/>
          </w:tcPr>
          <w:p>
            <w:pPr>
              <w:pStyle w:val="TableParagraph"/>
              <w:rPr>
                <w:sz w:val="22"/>
              </w:rPr>
            </w:pPr>
            <w:r>
              <w:rPr>
                <w:sz w:val="22"/>
              </w:rPr>
              <w:t>17.1</w:t>
            </w:r>
          </w:p>
        </w:tc>
        <w:tc>
          <w:tcPr>
            <w:tcW w:w="1169" w:type="dxa"/>
          </w:tcPr>
          <w:p>
            <w:pPr>
              <w:pStyle w:val="TableParagraph"/>
              <w:ind w:right="63"/>
              <w:rPr>
                <w:sz w:val="22"/>
              </w:rPr>
            </w:pPr>
            <w:r>
              <w:rPr>
                <w:sz w:val="22"/>
              </w:rPr>
              <w:t>17.1</w:t>
            </w:r>
          </w:p>
        </w:tc>
        <w:tc>
          <w:tcPr>
            <w:tcW w:w="1169" w:type="dxa"/>
          </w:tcPr>
          <w:p>
            <w:pPr>
              <w:pStyle w:val="TableParagraph"/>
              <w:ind w:right="63"/>
              <w:rPr>
                <w:sz w:val="22"/>
              </w:rPr>
            </w:pPr>
            <w:r>
              <w:rPr>
                <w:sz w:val="22"/>
              </w:rPr>
              <w:t>17</w:t>
            </w:r>
          </w:p>
        </w:tc>
        <w:tc>
          <w:tcPr>
            <w:tcW w:w="1166" w:type="dxa"/>
          </w:tcPr>
          <w:p>
            <w:pPr>
              <w:pStyle w:val="TableParagraph"/>
              <w:rPr>
                <w:sz w:val="22"/>
              </w:rPr>
            </w:pPr>
            <w:r>
              <w:rPr>
                <w:sz w:val="22"/>
              </w:rPr>
              <w:t>16.9</w:t>
            </w:r>
          </w:p>
        </w:tc>
      </w:tr>
      <w:tr>
        <w:trPr>
          <w:trHeight w:val="310" w:hRule="exact"/>
        </w:trPr>
        <w:tc>
          <w:tcPr>
            <w:tcW w:w="648" w:type="dxa"/>
          </w:tcPr>
          <w:p>
            <w:pPr>
              <w:pStyle w:val="TableParagraph"/>
              <w:rPr>
                <w:sz w:val="22"/>
              </w:rPr>
            </w:pPr>
            <w:r>
              <w:rPr>
                <w:sz w:val="22"/>
              </w:rPr>
              <w:t>119</w:t>
            </w:r>
          </w:p>
        </w:tc>
        <w:tc>
          <w:tcPr>
            <w:tcW w:w="1654" w:type="dxa"/>
          </w:tcPr>
          <w:p>
            <w:pPr>
              <w:pStyle w:val="TableParagraph"/>
              <w:ind w:right="63"/>
              <w:rPr>
                <w:sz w:val="22"/>
              </w:rPr>
            </w:pPr>
            <w:r>
              <w:rPr>
                <w:sz w:val="22"/>
              </w:rPr>
              <w:t>16/10/2009</w:t>
            </w:r>
          </w:p>
        </w:tc>
        <w:tc>
          <w:tcPr>
            <w:tcW w:w="1320" w:type="dxa"/>
          </w:tcPr>
          <w:p>
            <w:pPr>
              <w:pStyle w:val="TableParagraph"/>
              <w:ind w:right="63"/>
              <w:rPr>
                <w:sz w:val="22"/>
              </w:rPr>
            </w:pPr>
            <w:r>
              <w:rPr>
                <w:sz w:val="22"/>
              </w:rPr>
              <w:t>17.30</w:t>
            </w:r>
          </w:p>
        </w:tc>
        <w:tc>
          <w:tcPr>
            <w:tcW w:w="1248" w:type="dxa"/>
          </w:tcPr>
          <w:p>
            <w:pPr>
              <w:pStyle w:val="TableParagraph"/>
              <w:ind w:right="63"/>
              <w:rPr>
                <w:sz w:val="22"/>
              </w:rPr>
            </w:pPr>
            <w:r>
              <w:rPr>
                <w:sz w:val="22"/>
              </w:rPr>
              <w:t>17.30</w:t>
            </w:r>
          </w:p>
        </w:tc>
        <w:tc>
          <w:tcPr>
            <w:tcW w:w="605" w:type="dxa"/>
          </w:tcPr>
          <w:p>
            <w:pPr>
              <w:pStyle w:val="TableParagraph"/>
              <w:rPr>
                <w:sz w:val="22"/>
              </w:rPr>
            </w:pPr>
            <w:r>
              <w:rPr>
                <w:sz w:val="22"/>
              </w:rPr>
              <w:t>17.2</w:t>
            </w:r>
          </w:p>
        </w:tc>
        <w:tc>
          <w:tcPr>
            <w:tcW w:w="1169" w:type="dxa"/>
          </w:tcPr>
          <w:p>
            <w:pPr>
              <w:pStyle w:val="TableParagraph"/>
              <w:ind w:right="63"/>
              <w:rPr>
                <w:sz w:val="22"/>
              </w:rPr>
            </w:pPr>
            <w:r>
              <w:rPr>
                <w:sz w:val="22"/>
              </w:rPr>
              <w:t>17</w:t>
            </w:r>
          </w:p>
        </w:tc>
        <w:tc>
          <w:tcPr>
            <w:tcW w:w="1169" w:type="dxa"/>
          </w:tcPr>
          <w:p>
            <w:pPr>
              <w:pStyle w:val="TableParagraph"/>
              <w:ind w:right="63"/>
              <w:rPr>
                <w:sz w:val="22"/>
              </w:rPr>
            </w:pPr>
            <w:r>
              <w:rPr>
                <w:sz w:val="22"/>
              </w:rPr>
              <w:t>17</w:t>
            </w:r>
          </w:p>
        </w:tc>
        <w:tc>
          <w:tcPr>
            <w:tcW w:w="1166" w:type="dxa"/>
          </w:tcPr>
          <w:p>
            <w:pPr>
              <w:pStyle w:val="TableParagraph"/>
              <w:rPr>
                <w:sz w:val="22"/>
              </w:rPr>
            </w:pPr>
            <w:r>
              <w:rPr>
                <w:sz w:val="22"/>
              </w:rPr>
              <w:t>16.8</w:t>
            </w:r>
          </w:p>
        </w:tc>
      </w:tr>
      <w:tr>
        <w:trPr>
          <w:trHeight w:val="310" w:hRule="exact"/>
        </w:trPr>
        <w:tc>
          <w:tcPr>
            <w:tcW w:w="648" w:type="dxa"/>
          </w:tcPr>
          <w:p>
            <w:pPr>
              <w:pStyle w:val="TableParagraph"/>
              <w:spacing w:before="30"/>
              <w:rPr>
                <w:sz w:val="22"/>
              </w:rPr>
            </w:pPr>
            <w:r>
              <w:rPr>
                <w:sz w:val="22"/>
              </w:rPr>
              <w:t>120</w:t>
            </w:r>
          </w:p>
        </w:tc>
        <w:tc>
          <w:tcPr>
            <w:tcW w:w="1654" w:type="dxa"/>
          </w:tcPr>
          <w:p>
            <w:pPr>
              <w:pStyle w:val="TableParagraph"/>
              <w:spacing w:before="30"/>
              <w:ind w:right="63"/>
              <w:rPr>
                <w:sz w:val="22"/>
              </w:rPr>
            </w:pPr>
            <w:r>
              <w:rPr>
                <w:sz w:val="22"/>
              </w:rPr>
              <w:t>17/10/2009</w:t>
            </w:r>
          </w:p>
        </w:tc>
        <w:tc>
          <w:tcPr>
            <w:tcW w:w="1320" w:type="dxa"/>
          </w:tcPr>
          <w:p>
            <w:pPr>
              <w:pStyle w:val="TableParagraph"/>
              <w:spacing w:before="30"/>
              <w:ind w:right="63"/>
              <w:rPr>
                <w:sz w:val="22"/>
              </w:rPr>
            </w:pPr>
            <w:r>
              <w:rPr>
                <w:sz w:val="22"/>
              </w:rPr>
              <w:t>17.3</w:t>
            </w:r>
          </w:p>
        </w:tc>
        <w:tc>
          <w:tcPr>
            <w:tcW w:w="1248" w:type="dxa"/>
          </w:tcPr>
          <w:p>
            <w:pPr>
              <w:pStyle w:val="TableParagraph"/>
              <w:spacing w:before="30"/>
              <w:ind w:right="63"/>
              <w:rPr>
                <w:sz w:val="22"/>
              </w:rPr>
            </w:pPr>
            <w:r>
              <w:rPr>
                <w:sz w:val="22"/>
              </w:rPr>
              <w:t>17.5</w:t>
            </w:r>
          </w:p>
        </w:tc>
        <w:tc>
          <w:tcPr>
            <w:tcW w:w="605" w:type="dxa"/>
          </w:tcPr>
          <w:p>
            <w:pPr>
              <w:pStyle w:val="TableParagraph"/>
              <w:spacing w:before="30"/>
              <w:rPr>
                <w:sz w:val="22"/>
              </w:rPr>
            </w:pPr>
            <w:r>
              <w:rPr>
                <w:sz w:val="22"/>
              </w:rPr>
              <w:t>17.5</w:t>
            </w:r>
          </w:p>
        </w:tc>
        <w:tc>
          <w:tcPr>
            <w:tcW w:w="1169" w:type="dxa"/>
          </w:tcPr>
          <w:p>
            <w:pPr>
              <w:pStyle w:val="TableParagraph"/>
              <w:spacing w:before="30"/>
              <w:ind w:right="63"/>
              <w:rPr>
                <w:sz w:val="22"/>
              </w:rPr>
            </w:pPr>
            <w:r>
              <w:rPr>
                <w:sz w:val="22"/>
              </w:rPr>
              <w:t>17.5</w:t>
            </w:r>
          </w:p>
        </w:tc>
        <w:tc>
          <w:tcPr>
            <w:tcW w:w="1169" w:type="dxa"/>
          </w:tcPr>
          <w:p>
            <w:pPr>
              <w:pStyle w:val="TableParagraph"/>
              <w:spacing w:before="30"/>
              <w:ind w:right="63"/>
              <w:rPr>
                <w:sz w:val="22"/>
              </w:rPr>
            </w:pPr>
            <w:r>
              <w:rPr>
                <w:sz w:val="22"/>
              </w:rPr>
              <w:t>17.5</w:t>
            </w:r>
          </w:p>
        </w:tc>
        <w:tc>
          <w:tcPr>
            <w:tcW w:w="1166" w:type="dxa"/>
          </w:tcPr>
          <w:p>
            <w:pPr>
              <w:pStyle w:val="TableParagraph"/>
              <w:spacing w:before="30"/>
              <w:rPr>
                <w:sz w:val="22"/>
              </w:rPr>
            </w:pPr>
            <w:r>
              <w:rPr>
                <w:sz w:val="22"/>
              </w:rPr>
              <w:t>17.5</w:t>
            </w:r>
          </w:p>
        </w:tc>
      </w:tr>
      <w:tr>
        <w:trPr>
          <w:trHeight w:val="312" w:hRule="exact"/>
        </w:trPr>
        <w:tc>
          <w:tcPr>
            <w:tcW w:w="648" w:type="dxa"/>
          </w:tcPr>
          <w:p>
            <w:pPr>
              <w:pStyle w:val="TableParagraph"/>
              <w:spacing w:before="30"/>
              <w:rPr>
                <w:sz w:val="22"/>
              </w:rPr>
            </w:pPr>
            <w:r>
              <w:rPr>
                <w:sz w:val="22"/>
              </w:rPr>
              <w:t>121</w:t>
            </w:r>
          </w:p>
        </w:tc>
        <w:tc>
          <w:tcPr>
            <w:tcW w:w="1654" w:type="dxa"/>
          </w:tcPr>
          <w:p>
            <w:pPr>
              <w:pStyle w:val="TableParagraph"/>
              <w:spacing w:before="30"/>
              <w:ind w:right="63"/>
              <w:rPr>
                <w:sz w:val="22"/>
              </w:rPr>
            </w:pPr>
            <w:r>
              <w:rPr>
                <w:sz w:val="22"/>
              </w:rPr>
              <w:t>18/10/2009</w:t>
            </w:r>
          </w:p>
        </w:tc>
        <w:tc>
          <w:tcPr>
            <w:tcW w:w="1320" w:type="dxa"/>
          </w:tcPr>
          <w:p>
            <w:pPr>
              <w:pStyle w:val="TableParagraph"/>
              <w:spacing w:before="30"/>
              <w:ind w:right="63"/>
              <w:rPr>
                <w:sz w:val="22"/>
              </w:rPr>
            </w:pPr>
            <w:r>
              <w:rPr>
                <w:sz w:val="22"/>
              </w:rPr>
              <w:t>17.5</w:t>
            </w:r>
          </w:p>
        </w:tc>
        <w:tc>
          <w:tcPr>
            <w:tcW w:w="1248" w:type="dxa"/>
          </w:tcPr>
          <w:p>
            <w:pPr>
              <w:pStyle w:val="TableParagraph"/>
              <w:spacing w:before="30"/>
              <w:ind w:right="63"/>
              <w:rPr>
                <w:sz w:val="22"/>
              </w:rPr>
            </w:pPr>
            <w:r>
              <w:rPr>
                <w:sz w:val="22"/>
              </w:rPr>
              <w:t>17.5</w:t>
            </w:r>
          </w:p>
        </w:tc>
        <w:tc>
          <w:tcPr>
            <w:tcW w:w="605" w:type="dxa"/>
          </w:tcPr>
          <w:p>
            <w:pPr>
              <w:pStyle w:val="TableParagraph"/>
              <w:spacing w:before="30"/>
              <w:rPr>
                <w:sz w:val="22"/>
              </w:rPr>
            </w:pPr>
            <w:r>
              <w:rPr>
                <w:sz w:val="22"/>
              </w:rPr>
              <w:t>17.2</w:t>
            </w:r>
          </w:p>
        </w:tc>
        <w:tc>
          <w:tcPr>
            <w:tcW w:w="1169" w:type="dxa"/>
          </w:tcPr>
          <w:p>
            <w:pPr>
              <w:pStyle w:val="TableParagraph"/>
              <w:spacing w:before="30"/>
              <w:ind w:right="63"/>
              <w:rPr>
                <w:sz w:val="22"/>
              </w:rPr>
            </w:pPr>
            <w:r>
              <w:rPr>
                <w:sz w:val="22"/>
              </w:rPr>
              <w:t>17.5</w:t>
            </w:r>
          </w:p>
        </w:tc>
        <w:tc>
          <w:tcPr>
            <w:tcW w:w="1169" w:type="dxa"/>
          </w:tcPr>
          <w:p>
            <w:pPr>
              <w:pStyle w:val="TableParagraph"/>
              <w:spacing w:before="30"/>
              <w:ind w:right="63"/>
              <w:rPr>
                <w:sz w:val="22"/>
              </w:rPr>
            </w:pPr>
            <w:r>
              <w:rPr>
                <w:sz w:val="22"/>
              </w:rPr>
              <w:t>17.2</w:t>
            </w:r>
          </w:p>
        </w:tc>
        <w:tc>
          <w:tcPr>
            <w:tcW w:w="1166" w:type="dxa"/>
          </w:tcPr>
          <w:p>
            <w:pPr>
              <w:pStyle w:val="TableParagraph"/>
              <w:spacing w:before="30"/>
              <w:rPr>
                <w:sz w:val="22"/>
              </w:rPr>
            </w:pPr>
            <w:r>
              <w:rPr>
                <w:sz w:val="22"/>
              </w:rPr>
              <w:t>17.2</w:t>
            </w:r>
          </w:p>
        </w:tc>
      </w:tr>
      <w:tr>
        <w:trPr>
          <w:trHeight w:val="310" w:hRule="exact"/>
        </w:trPr>
        <w:tc>
          <w:tcPr>
            <w:tcW w:w="648" w:type="dxa"/>
          </w:tcPr>
          <w:p>
            <w:pPr>
              <w:pStyle w:val="TableParagraph"/>
              <w:rPr>
                <w:sz w:val="22"/>
              </w:rPr>
            </w:pPr>
            <w:r>
              <w:rPr>
                <w:sz w:val="22"/>
              </w:rPr>
              <w:t>122</w:t>
            </w:r>
          </w:p>
        </w:tc>
        <w:tc>
          <w:tcPr>
            <w:tcW w:w="1654" w:type="dxa"/>
          </w:tcPr>
          <w:p>
            <w:pPr>
              <w:pStyle w:val="TableParagraph"/>
              <w:ind w:right="63"/>
              <w:rPr>
                <w:sz w:val="22"/>
              </w:rPr>
            </w:pPr>
            <w:r>
              <w:rPr>
                <w:sz w:val="22"/>
              </w:rPr>
              <w:t>19/10/2009</w:t>
            </w:r>
          </w:p>
        </w:tc>
        <w:tc>
          <w:tcPr>
            <w:tcW w:w="1320" w:type="dxa"/>
          </w:tcPr>
          <w:p>
            <w:pPr>
              <w:pStyle w:val="TableParagraph"/>
              <w:ind w:right="63"/>
              <w:rPr>
                <w:sz w:val="22"/>
              </w:rPr>
            </w:pPr>
            <w:r>
              <w:rPr>
                <w:sz w:val="22"/>
              </w:rPr>
              <w:t>17.4</w:t>
            </w:r>
          </w:p>
        </w:tc>
        <w:tc>
          <w:tcPr>
            <w:tcW w:w="1248" w:type="dxa"/>
          </w:tcPr>
          <w:p>
            <w:pPr>
              <w:pStyle w:val="TableParagraph"/>
              <w:ind w:right="63"/>
              <w:rPr>
                <w:sz w:val="22"/>
              </w:rPr>
            </w:pPr>
            <w:r>
              <w:rPr>
                <w:sz w:val="22"/>
              </w:rPr>
              <w:t>17.5</w:t>
            </w:r>
          </w:p>
        </w:tc>
        <w:tc>
          <w:tcPr>
            <w:tcW w:w="605" w:type="dxa"/>
          </w:tcPr>
          <w:p>
            <w:pPr>
              <w:pStyle w:val="TableParagraph"/>
              <w:rPr>
                <w:sz w:val="22"/>
              </w:rPr>
            </w:pPr>
            <w:r>
              <w:rPr>
                <w:sz w:val="22"/>
              </w:rPr>
              <w:t>17.5</w:t>
            </w:r>
          </w:p>
        </w:tc>
        <w:tc>
          <w:tcPr>
            <w:tcW w:w="1169" w:type="dxa"/>
          </w:tcPr>
          <w:p>
            <w:pPr>
              <w:pStyle w:val="TableParagraph"/>
              <w:ind w:right="63"/>
              <w:rPr>
                <w:sz w:val="22"/>
              </w:rPr>
            </w:pPr>
            <w:r>
              <w:rPr>
                <w:sz w:val="22"/>
              </w:rPr>
              <w:t>17.4</w:t>
            </w:r>
          </w:p>
        </w:tc>
        <w:tc>
          <w:tcPr>
            <w:tcW w:w="1169" w:type="dxa"/>
          </w:tcPr>
          <w:p>
            <w:pPr>
              <w:pStyle w:val="TableParagraph"/>
              <w:ind w:right="63"/>
              <w:rPr>
                <w:sz w:val="22"/>
              </w:rPr>
            </w:pPr>
            <w:r>
              <w:rPr>
                <w:sz w:val="22"/>
              </w:rPr>
              <w:t>17.4</w:t>
            </w:r>
          </w:p>
        </w:tc>
        <w:tc>
          <w:tcPr>
            <w:tcW w:w="1166" w:type="dxa"/>
          </w:tcPr>
          <w:p>
            <w:pPr>
              <w:pStyle w:val="TableParagraph"/>
              <w:rPr>
                <w:sz w:val="22"/>
              </w:rPr>
            </w:pPr>
            <w:r>
              <w:rPr>
                <w:sz w:val="22"/>
              </w:rPr>
              <w:t>17.3</w:t>
            </w:r>
          </w:p>
        </w:tc>
      </w:tr>
      <w:tr>
        <w:trPr>
          <w:trHeight w:val="310" w:hRule="exact"/>
        </w:trPr>
        <w:tc>
          <w:tcPr>
            <w:tcW w:w="648" w:type="dxa"/>
          </w:tcPr>
          <w:p>
            <w:pPr>
              <w:pStyle w:val="TableParagraph"/>
              <w:rPr>
                <w:sz w:val="22"/>
              </w:rPr>
            </w:pPr>
            <w:r>
              <w:rPr>
                <w:sz w:val="22"/>
              </w:rPr>
              <w:t>123</w:t>
            </w:r>
          </w:p>
        </w:tc>
        <w:tc>
          <w:tcPr>
            <w:tcW w:w="1654" w:type="dxa"/>
          </w:tcPr>
          <w:p>
            <w:pPr>
              <w:pStyle w:val="TableParagraph"/>
              <w:ind w:right="63"/>
              <w:rPr>
                <w:sz w:val="22"/>
              </w:rPr>
            </w:pPr>
            <w:r>
              <w:rPr>
                <w:sz w:val="22"/>
              </w:rPr>
              <w:t>20/10/2009</w:t>
            </w:r>
          </w:p>
        </w:tc>
        <w:tc>
          <w:tcPr>
            <w:tcW w:w="1320" w:type="dxa"/>
          </w:tcPr>
          <w:p>
            <w:pPr>
              <w:pStyle w:val="TableParagraph"/>
              <w:ind w:right="63"/>
              <w:rPr>
                <w:sz w:val="22"/>
              </w:rPr>
            </w:pPr>
            <w:r>
              <w:rPr>
                <w:sz w:val="22"/>
              </w:rPr>
              <w:t>17.5</w:t>
            </w:r>
          </w:p>
        </w:tc>
        <w:tc>
          <w:tcPr>
            <w:tcW w:w="1248" w:type="dxa"/>
          </w:tcPr>
          <w:p>
            <w:pPr>
              <w:pStyle w:val="TableParagraph"/>
              <w:ind w:right="63"/>
              <w:rPr>
                <w:sz w:val="22"/>
              </w:rPr>
            </w:pPr>
            <w:r>
              <w:rPr>
                <w:sz w:val="22"/>
              </w:rPr>
              <w:t>17.9</w:t>
            </w:r>
          </w:p>
        </w:tc>
        <w:tc>
          <w:tcPr>
            <w:tcW w:w="605" w:type="dxa"/>
          </w:tcPr>
          <w:p>
            <w:pPr>
              <w:pStyle w:val="TableParagraph"/>
              <w:rPr>
                <w:sz w:val="22"/>
              </w:rPr>
            </w:pPr>
            <w:r>
              <w:rPr>
                <w:sz w:val="22"/>
              </w:rPr>
              <w:t>17.6</w:t>
            </w:r>
          </w:p>
        </w:tc>
        <w:tc>
          <w:tcPr>
            <w:tcW w:w="1169" w:type="dxa"/>
          </w:tcPr>
          <w:p>
            <w:pPr>
              <w:pStyle w:val="TableParagraph"/>
              <w:ind w:right="63"/>
              <w:rPr>
                <w:sz w:val="22"/>
              </w:rPr>
            </w:pPr>
            <w:r>
              <w:rPr>
                <w:sz w:val="22"/>
              </w:rPr>
              <w:t>17.5</w:t>
            </w:r>
          </w:p>
        </w:tc>
        <w:tc>
          <w:tcPr>
            <w:tcW w:w="1169" w:type="dxa"/>
          </w:tcPr>
          <w:p>
            <w:pPr>
              <w:pStyle w:val="TableParagraph"/>
              <w:ind w:right="63"/>
              <w:rPr>
                <w:sz w:val="22"/>
              </w:rPr>
            </w:pPr>
            <w:r>
              <w:rPr>
                <w:sz w:val="22"/>
              </w:rPr>
              <w:t>17.5</w:t>
            </w:r>
          </w:p>
        </w:tc>
        <w:tc>
          <w:tcPr>
            <w:tcW w:w="1166" w:type="dxa"/>
          </w:tcPr>
          <w:p>
            <w:pPr>
              <w:pStyle w:val="TableParagraph"/>
              <w:rPr>
                <w:sz w:val="22"/>
              </w:rPr>
            </w:pPr>
            <w:r>
              <w:rPr>
                <w:sz w:val="22"/>
              </w:rPr>
              <w:t>17.2</w:t>
            </w:r>
          </w:p>
        </w:tc>
      </w:tr>
      <w:tr>
        <w:trPr>
          <w:trHeight w:val="310" w:hRule="exact"/>
        </w:trPr>
        <w:tc>
          <w:tcPr>
            <w:tcW w:w="648" w:type="dxa"/>
          </w:tcPr>
          <w:p>
            <w:pPr>
              <w:pStyle w:val="TableParagraph"/>
              <w:rPr>
                <w:sz w:val="22"/>
              </w:rPr>
            </w:pPr>
            <w:r>
              <w:rPr>
                <w:sz w:val="22"/>
              </w:rPr>
              <w:t>124</w:t>
            </w:r>
          </w:p>
        </w:tc>
        <w:tc>
          <w:tcPr>
            <w:tcW w:w="1654" w:type="dxa"/>
          </w:tcPr>
          <w:p>
            <w:pPr>
              <w:pStyle w:val="TableParagraph"/>
              <w:ind w:right="63"/>
              <w:rPr>
                <w:sz w:val="22"/>
              </w:rPr>
            </w:pPr>
            <w:r>
              <w:rPr>
                <w:sz w:val="22"/>
              </w:rPr>
              <w:t>21/10/2009</w:t>
            </w:r>
          </w:p>
        </w:tc>
        <w:tc>
          <w:tcPr>
            <w:tcW w:w="1320" w:type="dxa"/>
          </w:tcPr>
          <w:p>
            <w:pPr>
              <w:pStyle w:val="TableParagraph"/>
              <w:ind w:right="63"/>
              <w:rPr>
                <w:sz w:val="22"/>
              </w:rPr>
            </w:pPr>
            <w:r>
              <w:rPr>
                <w:sz w:val="22"/>
              </w:rPr>
              <w:t>17.8</w:t>
            </w:r>
          </w:p>
        </w:tc>
        <w:tc>
          <w:tcPr>
            <w:tcW w:w="1248" w:type="dxa"/>
          </w:tcPr>
          <w:p>
            <w:pPr>
              <w:pStyle w:val="TableParagraph"/>
              <w:ind w:right="63"/>
              <w:rPr>
                <w:sz w:val="22"/>
              </w:rPr>
            </w:pPr>
            <w:r>
              <w:rPr>
                <w:sz w:val="22"/>
              </w:rPr>
              <w:t>17.9</w:t>
            </w:r>
          </w:p>
        </w:tc>
        <w:tc>
          <w:tcPr>
            <w:tcW w:w="605" w:type="dxa"/>
          </w:tcPr>
          <w:p>
            <w:pPr>
              <w:pStyle w:val="TableParagraph"/>
              <w:rPr>
                <w:sz w:val="22"/>
              </w:rPr>
            </w:pPr>
            <w:r>
              <w:rPr>
                <w:sz w:val="22"/>
              </w:rPr>
              <w:t>17.7</w:t>
            </w:r>
          </w:p>
        </w:tc>
        <w:tc>
          <w:tcPr>
            <w:tcW w:w="1169" w:type="dxa"/>
          </w:tcPr>
          <w:p>
            <w:pPr>
              <w:pStyle w:val="TableParagraph"/>
              <w:ind w:right="63"/>
              <w:rPr>
                <w:sz w:val="22"/>
              </w:rPr>
            </w:pPr>
            <w:r>
              <w:rPr>
                <w:sz w:val="22"/>
              </w:rPr>
              <w:t>17.7</w:t>
            </w:r>
          </w:p>
        </w:tc>
        <w:tc>
          <w:tcPr>
            <w:tcW w:w="1169" w:type="dxa"/>
          </w:tcPr>
          <w:p>
            <w:pPr>
              <w:pStyle w:val="TableParagraph"/>
              <w:ind w:right="63"/>
              <w:rPr>
                <w:sz w:val="22"/>
              </w:rPr>
            </w:pPr>
            <w:r>
              <w:rPr>
                <w:sz w:val="22"/>
              </w:rPr>
              <w:t>17.9</w:t>
            </w:r>
          </w:p>
        </w:tc>
        <w:tc>
          <w:tcPr>
            <w:tcW w:w="1166" w:type="dxa"/>
          </w:tcPr>
          <w:p>
            <w:pPr>
              <w:pStyle w:val="TableParagraph"/>
              <w:rPr>
                <w:sz w:val="22"/>
              </w:rPr>
            </w:pPr>
            <w:r>
              <w:rPr>
                <w:sz w:val="22"/>
              </w:rPr>
              <w:t>17</w:t>
            </w:r>
          </w:p>
        </w:tc>
      </w:tr>
      <w:tr>
        <w:trPr>
          <w:trHeight w:val="310" w:hRule="exact"/>
        </w:trPr>
        <w:tc>
          <w:tcPr>
            <w:tcW w:w="648" w:type="dxa"/>
          </w:tcPr>
          <w:p>
            <w:pPr>
              <w:pStyle w:val="TableParagraph"/>
              <w:rPr>
                <w:sz w:val="22"/>
              </w:rPr>
            </w:pPr>
            <w:r>
              <w:rPr>
                <w:sz w:val="22"/>
              </w:rPr>
              <w:t>125</w:t>
            </w:r>
          </w:p>
        </w:tc>
        <w:tc>
          <w:tcPr>
            <w:tcW w:w="1654" w:type="dxa"/>
          </w:tcPr>
          <w:p>
            <w:pPr>
              <w:pStyle w:val="TableParagraph"/>
              <w:ind w:right="63"/>
              <w:rPr>
                <w:sz w:val="22"/>
              </w:rPr>
            </w:pPr>
            <w:r>
              <w:rPr>
                <w:sz w:val="22"/>
              </w:rPr>
              <w:t>22/10/2009</w:t>
            </w:r>
          </w:p>
        </w:tc>
        <w:tc>
          <w:tcPr>
            <w:tcW w:w="1320" w:type="dxa"/>
          </w:tcPr>
          <w:p>
            <w:pPr>
              <w:pStyle w:val="TableParagraph"/>
              <w:ind w:right="63"/>
              <w:rPr>
                <w:sz w:val="22"/>
              </w:rPr>
            </w:pPr>
            <w:r>
              <w:rPr>
                <w:sz w:val="22"/>
              </w:rPr>
              <w:t>16.7</w:t>
            </w:r>
          </w:p>
        </w:tc>
        <w:tc>
          <w:tcPr>
            <w:tcW w:w="1248" w:type="dxa"/>
          </w:tcPr>
          <w:p>
            <w:pPr>
              <w:pStyle w:val="TableParagraph"/>
              <w:ind w:right="63"/>
              <w:rPr>
                <w:sz w:val="22"/>
              </w:rPr>
            </w:pPr>
            <w:r>
              <w:rPr>
                <w:sz w:val="22"/>
              </w:rPr>
              <w:t>16.6</w:t>
            </w:r>
          </w:p>
        </w:tc>
        <w:tc>
          <w:tcPr>
            <w:tcW w:w="605" w:type="dxa"/>
          </w:tcPr>
          <w:p>
            <w:pPr>
              <w:pStyle w:val="TableParagraph"/>
              <w:rPr>
                <w:sz w:val="22"/>
              </w:rPr>
            </w:pPr>
            <w:r>
              <w:rPr>
                <w:sz w:val="22"/>
              </w:rPr>
              <w:t>16.6</w:t>
            </w:r>
          </w:p>
        </w:tc>
        <w:tc>
          <w:tcPr>
            <w:tcW w:w="1169" w:type="dxa"/>
          </w:tcPr>
          <w:p>
            <w:pPr>
              <w:pStyle w:val="TableParagraph"/>
              <w:ind w:right="63"/>
              <w:rPr>
                <w:sz w:val="22"/>
              </w:rPr>
            </w:pPr>
            <w:r>
              <w:rPr>
                <w:sz w:val="22"/>
              </w:rPr>
              <w:t>16.7</w:t>
            </w:r>
          </w:p>
        </w:tc>
        <w:tc>
          <w:tcPr>
            <w:tcW w:w="1169" w:type="dxa"/>
          </w:tcPr>
          <w:p>
            <w:pPr>
              <w:pStyle w:val="TableParagraph"/>
              <w:ind w:right="63"/>
              <w:rPr>
                <w:sz w:val="22"/>
              </w:rPr>
            </w:pPr>
            <w:r>
              <w:rPr>
                <w:sz w:val="22"/>
              </w:rPr>
              <w:t>16.7</w:t>
            </w:r>
          </w:p>
        </w:tc>
        <w:tc>
          <w:tcPr>
            <w:tcW w:w="1166" w:type="dxa"/>
          </w:tcPr>
          <w:p>
            <w:pPr>
              <w:pStyle w:val="TableParagraph"/>
              <w:rPr>
                <w:sz w:val="22"/>
              </w:rPr>
            </w:pPr>
            <w:r>
              <w:rPr>
                <w:sz w:val="22"/>
              </w:rPr>
              <w:t>16.5</w:t>
            </w:r>
          </w:p>
        </w:tc>
      </w:tr>
      <w:tr>
        <w:trPr>
          <w:trHeight w:val="310" w:hRule="exact"/>
        </w:trPr>
        <w:tc>
          <w:tcPr>
            <w:tcW w:w="648" w:type="dxa"/>
          </w:tcPr>
          <w:p>
            <w:pPr>
              <w:pStyle w:val="TableParagraph"/>
              <w:spacing w:before="30"/>
              <w:rPr>
                <w:sz w:val="22"/>
              </w:rPr>
            </w:pPr>
            <w:r>
              <w:rPr>
                <w:sz w:val="22"/>
              </w:rPr>
              <w:t>126</w:t>
            </w:r>
          </w:p>
        </w:tc>
        <w:tc>
          <w:tcPr>
            <w:tcW w:w="1654" w:type="dxa"/>
          </w:tcPr>
          <w:p>
            <w:pPr>
              <w:pStyle w:val="TableParagraph"/>
              <w:spacing w:before="30"/>
              <w:ind w:right="63"/>
              <w:rPr>
                <w:sz w:val="22"/>
              </w:rPr>
            </w:pPr>
            <w:r>
              <w:rPr>
                <w:sz w:val="22"/>
              </w:rPr>
              <w:t>23/10/2009</w:t>
            </w:r>
          </w:p>
        </w:tc>
        <w:tc>
          <w:tcPr>
            <w:tcW w:w="1320" w:type="dxa"/>
          </w:tcPr>
          <w:p>
            <w:pPr>
              <w:pStyle w:val="TableParagraph"/>
              <w:spacing w:before="30"/>
              <w:ind w:right="63"/>
              <w:rPr>
                <w:sz w:val="22"/>
              </w:rPr>
            </w:pPr>
            <w:r>
              <w:rPr>
                <w:sz w:val="22"/>
              </w:rPr>
              <w:t>16.5</w:t>
            </w:r>
          </w:p>
        </w:tc>
        <w:tc>
          <w:tcPr>
            <w:tcW w:w="1248" w:type="dxa"/>
          </w:tcPr>
          <w:p>
            <w:pPr>
              <w:pStyle w:val="TableParagraph"/>
              <w:spacing w:before="30"/>
              <w:ind w:right="63"/>
              <w:rPr>
                <w:sz w:val="22"/>
              </w:rPr>
            </w:pPr>
            <w:r>
              <w:rPr>
                <w:sz w:val="22"/>
              </w:rPr>
              <w:t>16.4</w:t>
            </w:r>
          </w:p>
        </w:tc>
        <w:tc>
          <w:tcPr>
            <w:tcW w:w="605" w:type="dxa"/>
          </w:tcPr>
          <w:p>
            <w:pPr>
              <w:pStyle w:val="TableParagraph"/>
              <w:spacing w:before="30"/>
              <w:rPr>
                <w:sz w:val="22"/>
              </w:rPr>
            </w:pPr>
            <w:r>
              <w:rPr>
                <w:sz w:val="22"/>
              </w:rPr>
              <w:t>16.4</w:t>
            </w:r>
          </w:p>
        </w:tc>
        <w:tc>
          <w:tcPr>
            <w:tcW w:w="1169" w:type="dxa"/>
          </w:tcPr>
          <w:p>
            <w:pPr>
              <w:pStyle w:val="TableParagraph"/>
              <w:spacing w:before="30"/>
              <w:ind w:right="63"/>
              <w:rPr>
                <w:sz w:val="22"/>
              </w:rPr>
            </w:pPr>
            <w:r>
              <w:rPr>
                <w:sz w:val="22"/>
              </w:rPr>
              <w:t>16.4</w:t>
            </w:r>
          </w:p>
        </w:tc>
        <w:tc>
          <w:tcPr>
            <w:tcW w:w="1169" w:type="dxa"/>
          </w:tcPr>
          <w:p>
            <w:pPr>
              <w:pStyle w:val="TableParagraph"/>
              <w:spacing w:before="30"/>
              <w:ind w:right="63"/>
              <w:rPr>
                <w:sz w:val="22"/>
              </w:rPr>
            </w:pPr>
            <w:r>
              <w:rPr>
                <w:sz w:val="22"/>
              </w:rPr>
              <w:t>16.2</w:t>
            </w:r>
          </w:p>
        </w:tc>
        <w:tc>
          <w:tcPr>
            <w:tcW w:w="1166" w:type="dxa"/>
          </w:tcPr>
          <w:p>
            <w:pPr>
              <w:pStyle w:val="TableParagraph"/>
              <w:spacing w:before="30"/>
              <w:rPr>
                <w:sz w:val="22"/>
              </w:rPr>
            </w:pPr>
            <w:r>
              <w:rPr>
                <w:sz w:val="22"/>
              </w:rPr>
              <w:t>16.2</w:t>
            </w:r>
          </w:p>
        </w:tc>
      </w:tr>
      <w:tr>
        <w:trPr>
          <w:trHeight w:val="312" w:hRule="exact"/>
        </w:trPr>
        <w:tc>
          <w:tcPr>
            <w:tcW w:w="648" w:type="dxa"/>
          </w:tcPr>
          <w:p>
            <w:pPr>
              <w:pStyle w:val="TableParagraph"/>
              <w:spacing w:before="30"/>
              <w:rPr>
                <w:sz w:val="22"/>
              </w:rPr>
            </w:pPr>
            <w:r>
              <w:rPr>
                <w:sz w:val="22"/>
              </w:rPr>
              <w:t>127</w:t>
            </w:r>
          </w:p>
        </w:tc>
        <w:tc>
          <w:tcPr>
            <w:tcW w:w="1654" w:type="dxa"/>
          </w:tcPr>
          <w:p>
            <w:pPr>
              <w:pStyle w:val="TableParagraph"/>
              <w:spacing w:before="30"/>
              <w:ind w:right="63"/>
              <w:rPr>
                <w:sz w:val="22"/>
              </w:rPr>
            </w:pPr>
            <w:r>
              <w:rPr>
                <w:sz w:val="22"/>
              </w:rPr>
              <w:t>24/10/2009</w:t>
            </w:r>
          </w:p>
        </w:tc>
        <w:tc>
          <w:tcPr>
            <w:tcW w:w="1320" w:type="dxa"/>
          </w:tcPr>
          <w:p>
            <w:pPr>
              <w:pStyle w:val="TableParagraph"/>
              <w:spacing w:before="30"/>
              <w:ind w:right="63"/>
              <w:rPr>
                <w:sz w:val="22"/>
              </w:rPr>
            </w:pPr>
            <w:r>
              <w:rPr>
                <w:sz w:val="22"/>
              </w:rPr>
              <w:t>16</w:t>
            </w:r>
          </w:p>
        </w:tc>
        <w:tc>
          <w:tcPr>
            <w:tcW w:w="1248" w:type="dxa"/>
          </w:tcPr>
          <w:p>
            <w:pPr>
              <w:pStyle w:val="TableParagraph"/>
              <w:spacing w:before="30"/>
              <w:ind w:right="63"/>
              <w:rPr>
                <w:sz w:val="22"/>
              </w:rPr>
            </w:pPr>
            <w:r>
              <w:rPr>
                <w:sz w:val="22"/>
              </w:rPr>
              <w:t>15.8</w:t>
            </w:r>
          </w:p>
        </w:tc>
        <w:tc>
          <w:tcPr>
            <w:tcW w:w="605" w:type="dxa"/>
          </w:tcPr>
          <w:p>
            <w:pPr>
              <w:pStyle w:val="TableParagraph"/>
              <w:spacing w:before="30"/>
              <w:rPr>
                <w:sz w:val="22"/>
              </w:rPr>
            </w:pPr>
            <w:r>
              <w:rPr>
                <w:sz w:val="22"/>
              </w:rPr>
              <w:t>15.8</w:t>
            </w:r>
          </w:p>
        </w:tc>
        <w:tc>
          <w:tcPr>
            <w:tcW w:w="1169" w:type="dxa"/>
          </w:tcPr>
          <w:p>
            <w:pPr>
              <w:pStyle w:val="TableParagraph"/>
              <w:spacing w:before="30"/>
              <w:ind w:right="63"/>
              <w:rPr>
                <w:sz w:val="22"/>
              </w:rPr>
            </w:pPr>
            <w:r>
              <w:rPr>
                <w:sz w:val="22"/>
              </w:rPr>
              <w:t>15.7</w:t>
            </w:r>
          </w:p>
        </w:tc>
        <w:tc>
          <w:tcPr>
            <w:tcW w:w="1169" w:type="dxa"/>
          </w:tcPr>
          <w:p>
            <w:pPr>
              <w:pStyle w:val="TableParagraph"/>
              <w:spacing w:before="30"/>
              <w:ind w:right="63"/>
              <w:rPr>
                <w:sz w:val="22"/>
              </w:rPr>
            </w:pPr>
            <w:r>
              <w:rPr>
                <w:sz w:val="22"/>
              </w:rPr>
              <w:t>15.6</w:t>
            </w:r>
          </w:p>
        </w:tc>
        <w:tc>
          <w:tcPr>
            <w:tcW w:w="1166" w:type="dxa"/>
          </w:tcPr>
          <w:p>
            <w:pPr>
              <w:pStyle w:val="TableParagraph"/>
              <w:spacing w:before="30"/>
              <w:rPr>
                <w:sz w:val="22"/>
              </w:rPr>
            </w:pPr>
            <w:r>
              <w:rPr>
                <w:sz w:val="22"/>
              </w:rPr>
              <w:t>16.2</w:t>
            </w:r>
          </w:p>
        </w:tc>
      </w:tr>
      <w:tr>
        <w:trPr>
          <w:trHeight w:val="310" w:hRule="exact"/>
        </w:trPr>
        <w:tc>
          <w:tcPr>
            <w:tcW w:w="648" w:type="dxa"/>
          </w:tcPr>
          <w:p>
            <w:pPr>
              <w:pStyle w:val="TableParagraph"/>
              <w:rPr>
                <w:sz w:val="22"/>
              </w:rPr>
            </w:pPr>
            <w:r>
              <w:rPr>
                <w:sz w:val="22"/>
              </w:rPr>
              <w:t>128</w:t>
            </w:r>
          </w:p>
        </w:tc>
        <w:tc>
          <w:tcPr>
            <w:tcW w:w="1654" w:type="dxa"/>
          </w:tcPr>
          <w:p>
            <w:pPr>
              <w:pStyle w:val="TableParagraph"/>
              <w:ind w:right="63"/>
              <w:rPr>
                <w:sz w:val="22"/>
              </w:rPr>
            </w:pPr>
            <w:r>
              <w:rPr>
                <w:sz w:val="22"/>
              </w:rPr>
              <w:t>25/10/2009</w:t>
            </w:r>
          </w:p>
        </w:tc>
        <w:tc>
          <w:tcPr>
            <w:tcW w:w="1320" w:type="dxa"/>
          </w:tcPr>
          <w:p>
            <w:pPr>
              <w:pStyle w:val="TableParagraph"/>
              <w:ind w:right="63"/>
              <w:rPr>
                <w:sz w:val="22"/>
              </w:rPr>
            </w:pPr>
            <w:r>
              <w:rPr>
                <w:sz w:val="22"/>
              </w:rPr>
              <w:t>16.3</w:t>
            </w:r>
          </w:p>
        </w:tc>
        <w:tc>
          <w:tcPr>
            <w:tcW w:w="1248" w:type="dxa"/>
          </w:tcPr>
          <w:p>
            <w:pPr>
              <w:pStyle w:val="TableParagraph"/>
              <w:ind w:right="63"/>
              <w:rPr>
                <w:sz w:val="22"/>
              </w:rPr>
            </w:pPr>
            <w:r>
              <w:rPr>
                <w:sz w:val="22"/>
              </w:rPr>
              <w:t>15.8</w:t>
            </w:r>
          </w:p>
        </w:tc>
        <w:tc>
          <w:tcPr>
            <w:tcW w:w="605" w:type="dxa"/>
          </w:tcPr>
          <w:p>
            <w:pPr>
              <w:pStyle w:val="TableParagraph"/>
              <w:rPr>
                <w:sz w:val="22"/>
              </w:rPr>
            </w:pPr>
            <w:r>
              <w:rPr>
                <w:sz w:val="22"/>
              </w:rPr>
              <w:t>15.8</w:t>
            </w:r>
          </w:p>
        </w:tc>
        <w:tc>
          <w:tcPr>
            <w:tcW w:w="1169" w:type="dxa"/>
          </w:tcPr>
          <w:p>
            <w:pPr>
              <w:pStyle w:val="TableParagraph"/>
              <w:ind w:right="63"/>
              <w:rPr>
                <w:sz w:val="22"/>
              </w:rPr>
            </w:pPr>
            <w:r>
              <w:rPr>
                <w:sz w:val="22"/>
              </w:rPr>
              <w:t>15.7</w:t>
            </w:r>
          </w:p>
        </w:tc>
        <w:tc>
          <w:tcPr>
            <w:tcW w:w="1169" w:type="dxa"/>
          </w:tcPr>
          <w:p>
            <w:pPr>
              <w:pStyle w:val="TableParagraph"/>
              <w:ind w:right="63"/>
              <w:rPr>
                <w:sz w:val="22"/>
              </w:rPr>
            </w:pPr>
            <w:r>
              <w:rPr>
                <w:sz w:val="22"/>
              </w:rPr>
              <w:t>15.5</w:t>
            </w:r>
          </w:p>
        </w:tc>
        <w:tc>
          <w:tcPr>
            <w:tcW w:w="1166" w:type="dxa"/>
          </w:tcPr>
          <w:p>
            <w:pPr>
              <w:pStyle w:val="TableParagraph"/>
              <w:rPr>
                <w:sz w:val="22"/>
              </w:rPr>
            </w:pPr>
            <w:r>
              <w:rPr>
                <w:sz w:val="22"/>
              </w:rPr>
              <w:t>15.7</w:t>
            </w:r>
          </w:p>
        </w:tc>
      </w:tr>
      <w:tr>
        <w:trPr>
          <w:trHeight w:val="310" w:hRule="exact"/>
        </w:trPr>
        <w:tc>
          <w:tcPr>
            <w:tcW w:w="648" w:type="dxa"/>
          </w:tcPr>
          <w:p>
            <w:pPr>
              <w:pStyle w:val="TableParagraph"/>
              <w:rPr>
                <w:sz w:val="22"/>
              </w:rPr>
            </w:pPr>
            <w:r>
              <w:rPr>
                <w:sz w:val="22"/>
              </w:rPr>
              <w:t>129</w:t>
            </w:r>
          </w:p>
        </w:tc>
        <w:tc>
          <w:tcPr>
            <w:tcW w:w="1654" w:type="dxa"/>
          </w:tcPr>
          <w:p>
            <w:pPr>
              <w:pStyle w:val="TableParagraph"/>
              <w:ind w:right="63"/>
              <w:rPr>
                <w:sz w:val="22"/>
              </w:rPr>
            </w:pPr>
            <w:r>
              <w:rPr>
                <w:sz w:val="22"/>
              </w:rPr>
              <w:t>26/10/2009</w:t>
            </w:r>
          </w:p>
        </w:tc>
        <w:tc>
          <w:tcPr>
            <w:tcW w:w="1320" w:type="dxa"/>
          </w:tcPr>
          <w:p>
            <w:pPr>
              <w:pStyle w:val="TableParagraph"/>
              <w:ind w:right="63"/>
              <w:rPr>
                <w:sz w:val="22"/>
              </w:rPr>
            </w:pPr>
            <w:r>
              <w:rPr>
                <w:sz w:val="22"/>
              </w:rPr>
              <w:t>16.3</w:t>
            </w:r>
          </w:p>
        </w:tc>
        <w:tc>
          <w:tcPr>
            <w:tcW w:w="1248" w:type="dxa"/>
          </w:tcPr>
          <w:p>
            <w:pPr>
              <w:pStyle w:val="TableParagraph"/>
              <w:ind w:right="63"/>
              <w:rPr>
                <w:sz w:val="22"/>
              </w:rPr>
            </w:pPr>
            <w:r>
              <w:rPr>
                <w:sz w:val="22"/>
              </w:rPr>
              <w:t>16.2</w:t>
            </w:r>
          </w:p>
        </w:tc>
        <w:tc>
          <w:tcPr>
            <w:tcW w:w="605" w:type="dxa"/>
          </w:tcPr>
          <w:p>
            <w:pPr>
              <w:pStyle w:val="TableParagraph"/>
              <w:rPr>
                <w:sz w:val="22"/>
              </w:rPr>
            </w:pPr>
            <w:r>
              <w:rPr>
                <w:sz w:val="22"/>
              </w:rPr>
              <w:t>16.2</w:t>
            </w:r>
          </w:p>
        </w:tc>
        <w:tc>
          <w:tcPr>
            <w:tcW w:w="1169" w:type="dxa"/>
          </w:tcPr>
          <w:p>
            <w:pPr>
              <w:pStyle w:val="TableParagraph"/>
              <w:ind w:right="63"/>
              <w:rPr>
                <w:sz w:val="22"/>
              </w:rPr>
            </w:pPr>
            <w:r>
              <w:rPr>
                <w:sz w:val="22"/>
              </w:rPr>
              <w:t>16.3</w:t>
            </w:r>
          </w:p>
        </w:tc>
        <w:tc>
          <w:tcPr>
            <w:tcW w:w="1169" w:type="dxa"/>
          </w:tcPr>
          <w:p>
            <w:pPr>
              <w:pStyle w:val="TableParagraph"/>
              <w:ind w:right="63"/>
              <w:rPr>
                <w:sz w:val="22"/>
              </w:rPr>
            </w:pPr>
            <w:r>
              <w:rPr>
                <w:sz w:val="22"/>
              </w:rPr>
              <w:t>16.3</w:t>
            </w:r>
          </w:p>
        </w:tc>
        <w:tc>
          <w:tcPr>
            <w:tcW w:w="1166" w:type="dxa"/>
          </w:tcPr>
          <w:p>
            <w:pPr>
              <w:pStyle w:val="TableParagraph"/>
              <w:rPr>
                <w:sz w:val="22"/>
              </w:rPr>
            </w:pPr>
            <w:r>
              <w:rPr>
                <w:sz w:val="22"/>
              </w:rPr>
              <w:t>16.1</w:t>
            </w:r>
          </w:p>
        </w:tc>
      </w:tr>
      <w:tr>
        <w:trPr>
          <w:trHeight w:val="310" w:hRule="exact"/>
        </w:trPr>
        <w:tc>
          <w:tcPr>
            <w:tcW w:w="648" w:type="dxa"/>
          </w:tcPr>
          <w:p>
            <w:pPr>
              <w:pStyle w:val="TableParagraph"/>
              <w:rPr>
                <w:sz w:val="22"/>
              </w:rPr>
            </w:pPr>
            <w:r>
              <w:rPr>
                <w:sz w:val="22"/>
              </w:rPr>
              <w:t>130</w:t>
            </w:r>
          </w:p>
        </w:tc>
        <w:tc>
          <w:tcPr>
            <w:tcW w:w="1654" w:type="dxa"/>
          </w:tcPr>
          <w:p>
            <w:pPr>
              <w:pStyle w:val="TableParagraph"/>
              <w:ind w:right="63"/>
              <w:rPr>
                <w:sz w:val="22"/>
              </w:rPr>
            </w:pPr>
            <w:r>
              <w:rPr>
                <w:sz w:val="22"/>
              </w:rPr>
              <w:t>27/10/2009</w:t>
            </w:r>
          </w:p>
        </w:tc>
        <w:tc>
          <w:tcPr>
            <w:tcW w:w="1320" w:type="dxa"/>
          </w:tcPr>
          <w:p>
            <w:pPr>
              <w:pStyle w:val="TableParagraph"/>
              <w:ind w:right="63"/>
              <w:rPr>
                <w:sz w:val="22"/>
              </w:rPr>
            </w:pPr>
            <w:r>
              <w:rPr>
                <w:sz w:val="22"/>
              </w:rPr>
              <w:t>16.1</w:t>
            </w:r>
          </w:p>
        </w:tc>
        <w:tc>
          <w:tcPr>
            <w:tcW w:w="1248" w:type="dxa"/>
          </w:tcPr>
          <w:p>
            <w:pPr>
              <w:pStyle w:val="TableParagraph"/>
              <w:ind w:right="63"/>
              <w:rPr>
                <w:sz w:val="22"/>
              </w:rPr>
            </w:pPr>
            <w:r>
              <w:rPr>
                <w:sz w:val="22"/>
              </w:rPr>
              <w:t>16</w:t>
            </w:r>
          </w:p>
        </w:tc>
        <w:tc>
          <w:tcPr>
            <w:tcW w:w="605" w:type="dxa"/>
          </w:tcPr>
          <w:p>
            <w:pPr>
              <w:pStyle w:val="TableParagraph"/>
              <w:rPr>
                <w:sz w:val="22"/>
              </w:rPr>
            </w:pPr>
            <w:r>
              <w:rPr>
                <w:sz w:val="22"/>
              </w:rPr>
              <w:t>16</w:t>
            </w:r>
          </w:p>
        </w:tc>
        <w:tc>
          <w:tcPr>
            <w:tcW w:w="1169" w:type="dxa"/>
          </w:tcPr>
          <w:p>
            <w:pPr>
              <w:pStyle w:val="TableParagraph"/>
              <w:ind w:right="63"/>
              <w:rPr>
                <w:sz w:val="22"/>
              </w:rPr>
            </w:pPr>
            <w:r>
              <w:rPr>
                <w:sz w:val="22"/>
              </w:rPr>
              <w:t>16</w:t>
            </w:r>
          </w:p>
        </w:tc>
        <w:tc>
          <w:tcPr>
            <w:tcW w:w="1169" w:type="dxa"/>
          </w:tcPr>
          <w:p>
            <w:pPr>
              <w:pStyle w:val="TableParagraph"/>
              <w:ind w:right="63"/>
              <w:rPr>
                <w:sz w:val="22"/>
              </w:rPr>
            </w:pPr>
            <w:r>
              <w:rPr>
                <w:sz w:val="22"/>
              </w:rPr>
              <w:t>15.8</w:t>
            </w:r>
          </w:p>
        </w:tc>
        <w:tc>
          <w:tcPr>
            <w:tcW w:w="1166" w:type="dxa"/>
          </w:tcPr>
          <w:p>
            <w:pPr>
              <w:pStyle w:val="TableParagraph"/>
              <w:rPr>
                <w:sz w:val="22"/>
              </w:rPr>
            </w:pPr>
            <w:r>
              <w:rPr>
                <w:sz w:val="22"/>
              </w:rPr>
              <w:t>15.8</w:t>
            </w:r>
          </w:p>
        </w:tc>
      </w:tr>
      <w:tr>
        <w:trPr>
          <w:trHeight w:val="310" w:hRule="exact"/>
        </w:trPr>
        <w:tc>
          <w:tcPr>
            <w:tcW w:w="648" w:type="dxa"/>
          </w:tcPr>
          <w:p>
            <w:pPr>
              <w:pStyle w:val="TableParagraph"/>
              <w:rPr>
                <w:sz w:val="22"/>
              </w:rPr>
            </w:pPr>
            <w:r>
              <w:rPr>
                <w:sz w:val="22"/>
              </w:rPr>
              <w:t>131</w:t>
            </w:r>
          </w:p>
        </w:tc>
        <w:tc>
          <w:tcPr>
            <w:tcW w:w="1654" w:type="dxa"/>
          </w:tcPr>
          <w:p>
            <w:pPr>
              <w:pStyle w:val="TableParagraph"/>
              <w:ind w:right="63"/>
              <w:rPr>
                <w:sz w:val="22"/>
              </w:rPr>
            </w:pPr>
            <w:r>
              <w:rPr>
                <w:sz w:val="22"/>
              </w:rPr>
              <w:t>28/10/2009</w:t>
            </w:r>
          </w:p>
        </w:tc>
        <w:tc>
          <w:tcPr>
            <w:tcW w:w="1320" w:type="dxa"/>
          </w:tcPr>
          <w:p>
            <w:pPr>
              <w:pStyle w:val="TableParagraph"/>
              <w:ind w:right="63"/>
              <w:rPr>
                <w:sz w:val="22"/>
              </w:rPr>
            </w:pPr>
            <w:r>
              <w:rPr>
                <w:sz w:val="22"/>
              </w:rPr>
              <w:t>15.6</w:t>
            </w:r>
          </w:p>
        </w:tc>
        <w:tc>
          <w:tcPr>
            <w:tcW w:w="1248" w:type="dxa"/>
          </w:tcPr>
          <w:p>
            <w:pPr>
              <w:pStyle w:val="TableParagraph"/>
              <w:ind w:right="63"/>
              <w:rPr>
                <w:sz w:val="22"/>
              </w:rPr>
            </w:pPr>
            <w:r>
              <w:rPr>
                <w:sz w:val="22"/>
              </w:rPr>
              <w:t>15.4</w:t>
            </w:r>
          </w:p>
        </w:tc>
        <w:tc>
          <w:tcPr>
            <w:tcW w:w="605" w:type="dxa"/>
          </w:tcPr>
          <w:p>
            <w:pPr>
              <w:pStyle w:val="TableParagraph"/>
              <w:rPr>
                <w:sz w:val="22"/>
              </w:rPr>
            </w:pPr>
            <w:r>
              <w:rPr>
                <w:sz w:val="22"/>
              </w:rPr>
              <w:t>15.4</w:t>
            </w:r>
          </w:p>
        </w:tc>
        <w:tc>
          <w:tcPr>
            <w:tcW w:w="1169" w:type="dxa"/>
          </w:tcPr>
          <w:p>
            <w:pPr>
              <w:pStyle w:val="TableParagraph"/>
              <w:ind w:right="63"/>
              <w:rPr>
                <w:sz w:val="22"/>
              </w:rPr>
            </w:pPr>
            <w:r>
              <w:rPr>
                <w:sz w:val="22"/>
              </w:rPr>
              <w:t>15.3</w:t>
            </w:r>
          </w:p>
        </w:tc>
        <w:tc>
          <w:tcPr>
            <w:tcW w:w="1169" w:type="dxa"/>
          </w:tcPr>
          <w:p>
            <w:pPr>
              <w:pStyle w:val="TableParagraph"/>
              <w:ind w:right="63"/>
              <w:rPr>
                <w:sz w:val="22"/>
              </w:rPr>
            </w:pPr>
            <w:r>
              <w:rPr>
                <w:sz w:val="22"/>
              </w:rPr>
              <w:t>15.2</w:t>
            </w:r>
          </w:p>
        </w:tc>
        <w:tc>
          <w:tcPr>
            <w:tcW w:w="1166" w:type="dxa"/>
          </w:tcPr>
          <w:p>
            <w:pPr>
              <w:pStyle w:val="TableParagraph"/>
              <w:rPr>
                <w:sz w:val="22"/>
              </w:rPr>
            </w:pPr>
            <w:r>
              <w:rPr>
                <w:sz w:val="22"/>
              </w:rPr>
              <w:t>15</w:t>
            </w:r>
          </w:p>
        </w:tc>
      </w:tr>
      <w:tr>
        <w:trPr>
          <w:trHeight w:val="310" w:hRule="exact"/>
        </w:trPr>
        <w:tc>
          <w:tcPr>
            <w:tcW w:w="648" w:type="dxa"/>
          </w:tcPr>
          <w:p>
            <w:pPr>
              <w:pStyle w:val="TableParagraph"/>
              <w:spacing w:before="30"/>
              <w:rPr>
                <w:sz w:val="22"/>
              </w:rPr>
            </w:pPr>
            <w:r>
              <w:rPr>
                <w:sz w:val="22"/>
              </w:rPr>
              <w:t>132</w:t>
            </w:r>
          </w:p>
        </w:tc>
        <w:tc>
          <w:tcPr>
            <w:tcW w:w="1654" w:type="dxa"/>
          </w:tcPr>
          <w:p>
            <w:pPr>
              <w:pStyle w:val="TableParagraph"/>
              <w:spacing w:before="30"/>
              <w:ind w:right="63"/>
              <w:rPr>
                <w:sz w:val="22"/>
              </w:rPr>
            </w:pPr>
            <w:r>
              <w:rPr>
                <w:sz w:val="22"/>
              </w:rPr>
              <w:t>29/10/2009</w:t>
            </w:r>
          </w:p>
        </w:tc>
        <w:tc>
          <w:tcPr>
            <w:tcW w:w="1320" w:type="dxa"/>
          </w:tcPr>
          <w:p>
            <w:pPr>
              <w:pStyle w:val="TableParagraph"/>
              <w:spacing w:before="30"/>
              <w:ind w:right="63"/>
              <w:rPr>
                <w:sz w:val="22"/>
              </w:rPr>
            </w:pPr>
            <w:r>
              <w:rPr>
                <w:sz w:val="22"/>
              </w:rPr>
              <w:t>16</w:t>
            </w:r>
          </w:p>
        </w:tc>
        <w:tc>
          <w:tcPr>
            <w:tcW w:w="1248" w:type="dxa"/>
          </w:tcPr>
          <w:p>
            <w:pPr>
              <w:pStyle w:val="TableParagraph"/>
              <w:spacing w:before="30"/>
              <w:ind w:right="63"/>
              <w:rPr>
                <w:sz w:val="22"/>
              </w:rPr>
            </w:pPr>
            <w:r>
              <w:rPr>
                <w:sz w:val="22"/>
              </w:rPr>
              <w:t>15.9</w:t>
            </w:r>
          </w:p>
        </w:tc>
        <w:tc>
          <w:tcPr>
            <w:tcW w:w="605" w:type="dxa"/>
          </w:tcPr>
          <w:p>
            <w:pPr>
              <w:pStyle w:val="TableParagraph"/>
              <w:spacing w:before="30"/>
              <w:rPr>
                <w:sz w:val="22"/>
              </w:rPr>
            </w:pPr>
            <w:r>
              <w:rPr>
                <w:sz w:val="22"/>
              </w:rPr>
              <w:t>15.9</w:t>
            </w:r>
          </w:p>
        </w:tc>
        <w:tc>
          <w:tcPr>
            <w:tcW w:w="1169" w:type="dxa"/>
          </w:tcPr>
          <w:p>
            <w:pPr>
              <w:pStyle w:val="TableParagraph"/>
              <w:spacing w:before="30"/>
              <w:ind w:right="63"/>
              <w:rPr>
                <w:sz w:val="22"/>
              </w:rPr>
            </w:pPr>
            <w:r>
              <w:rPr>
                <w:sz w:val="22"/>
              </w:rPr>
              <w:t>15.8</w:t>
            </w:r>
          </w:p>
        </w:tc>
        <w:tc>
          <w:tcPr>
            <w:tcW w:w="1169" w:type="dxa"/>
          </w:tcPr>
          <w:p>
            <w:pPr>
              <w:pStyle w:val="TableParagraph"/>
              <w:spacing w:before="30"/>
              <w:ind w:right="63"/>
              <w:rPr>
                <w:sz w:val="22"/>
              </w:rPr>
            </w:pPr>
            <w:r>
              <w:rPr>
                <w:sz w:val="22"/>
              </w:rPr>
              <w:t>15.8</w:t>
            </w:r>
          </w:p>
        </w:tc>
        <w:tc>
          <w:tcPr>
            <w:tcW w:w="1166" w:type="dxa"/>
          </w:tcPr>
          <w:p>
            <w:pPr>
              <w:pStyle w:val="TableParagraph"/>
              <w:spacing w:before="30"/>
              <w:rPr>
                <w:sz w:val="22"/>
              </w:rPr>
            </w:pPr>
            <w:r>
              <w:rPr>
                <w:sz w:val="22"/>
              </w:rPr>
              <w:t>15.7</w:t>
            </w:r>
          </w:p>
        </w:tc>
      </w:tr>
      <w:tr>
        <w:trPr>
          <w:trHeight w:val="312" w:hRule="exact"/>
        </w:trPr>
        <w:tc>
          <w:tcPr>
            <w:tcW w:w="648" w:type="dxa"/>
          </w:tcPr>
          <w:p>
            <w:pPr>
              <w:pStyle w:val="TableParagraph"/>
              <w:spacing w:before="30"/>
              <w:rPr>
                <w:sz w:val="22"/>
              </w:rPr>
            </w:pPr>
            <w:r>
              <w:rPr>
                <w:sz w:val="22"/>
              </w:rPr>
              <w:t>133</w:t>
            </w:r>
          </w:p>
        </w:tc>
        <w:tc>
          <w:tcPr>
            <w:tcW w:w="1654" w:type="dxa"/>
          </w:tcPr>
          <w:p>
            <w:pPr>
              <w:pStyle w:val="TableParagraph"/>
              <w:spacing w:before="30"/>
              <w:ind w:right="63"/>
              <w:rPr>
                <w:sz w:val="22"/>
              </w:rPr>
            </w:pPr>
            <w:r>
              <w:rPr>
                <w:sz w:val="22"/>
              </w:rPr>
              <w:t>30/10/2009</w:t>
            </w:r>
          </w:p>
        </w:tc>
        <w:tc>
          <w:tcPr>
            <w:tcW w:w="1320" w:type="dxa"/>
          </w:tcPr>
          <w:p>
            <w:pPr>
              <w:pStyle w:val="TableParagraph"/>
              <w:spacing w:before="30"/>
              <w:ind w:right="63"/>
              <w:rPr>
                <w:sz w:val="22"/>
              </w:rPr>
            </w:pPr>
            <w:r>
              <w:rPr>
                <w:sz w:val="22"/>
              </w:rPr>
              <w:t>16.4</w:t>
            </w:r>
          </w:p>
        </w:tc>
        <w:tc>
          <w:tcPr>
            <w:tcW w:w="1248" w:type="dxa"/>
          </w:tcPr>
          <w:p>
            <w:pPr>
              <w:pStyle w:val="TableParagraph"/>
              <w:spacing w:before="30"/>
              <w:ind w:right="63"/>
              <w:rPr>
                <w:sz w:val="22"/>
              </w:rPr>
            </w:pPr>
            <w:r>
              <w:rPr>
                <w:sz w:val="22"/>
              </w:rPr>
              <w:t>16.2</w:t>
            </w:r>
          </w:p>
        </w:tc>
        <w:tc>
          <w:tcPr>
            <w:tcW w:w="605" w:type="dxa"/>
          </w:tcPr>
          <w:p>
            <w:pPr>
              <w:pStyle w:val="TableParagraph"/>
              <w:spacing w:before="30"/>
              <w:rPr>
                <w:sz w:val="22"/>
              </w:rPr>
            </w:pPr>
            <w:r>
              <w:rPr>
                <w:sz w:val="22"/>
              </w:rPr>
              <w:t>16.3</w:t>
            </w:r>
          </w:p>
        </w:tc>
        <w:tc>
          <w:tcPr>
            <w:tcW w:w="1169" w:type="dxa"/>
          </w:tcPr>
          <w:p>
            <w:pPr>
              <w:pStyle w:val="TableParagraph"/>
              <w:spacing w:before="30"/>
              <w:ind w:right="63"/>
              <w:rPr>
                <w:sz w:val="22"/>
              </w:rPr>
            </w:pPr>
            <w:r>
              <w:rPr>
                <w:sz w:val="22"/>
              </w:rPr>
              <w:t>16.3</w:t>
            </w:r>
          </w:p>
        </w:tc>
        <w:tc>
          <w:tcPr>
            <w:tcW w:w="1169" w:type="dxa"/>
          </w:tcPr>
          <w:p>
            <w:pPr>
              <w:pStyle w:val="TableParagraph"/>
              <w:spacing w:before="30"/>
              <w:ind w:right="63"/>
              <w:rPr>
                <w:sz w:val="22"/>
              </w:rPr>
            </w:pPr>
            <w:r>
              <w:rPr>
                <w:sz w:val="22"/>
              </w:rPr>
              <w:t>16.2</w:t>
            </w:r>
          </w:p>
        </w:tc>
        <w:tc>
          <w:tcPr>
            <w:tcW w:w="1166" w:type="dxa"/>
          </w:tcPr>
          <w:p>
            <w:pPr>
              <w:pStyle w:val="TableParagraph"/>
              <w:spacing w:before="30"/>
              <w:rPr>
                <w:sz w:val="22"/>
              </w:rPr>
            </w:pPr>
            <w:r>
              <w:rPr>
                <w:sz w:val="22"/>
              </w:rPr>
              <w:t>16.1</w:t>
            </w:r>
          </w:p>
        </w:tc>
      </w:tr>
      <w:tr>
        <w:trPr>
          <w:trHeight w:val="310" w:hRule="exact"/>
        </w:trPr>
        <w:tc>
          <w:tcPr>
            <w:tcW w:w="648" w:type="dxa"/>
          </w:tcPr>
          <w:p>
            <w:pPr>
              <w:pStyle w:val="TableParagraph"/>
              <w:rPr>
                <w:sz w:val="22"/>
              </w:rPr>
            </w:pPr>
            <w:r>
              <w:rPr>
                <w:sz w:val="22"/>
              </w:rPr>
              <w:t>134</w:t>
            </w:r>
          </w:p>
        </w:tc>
        <w:tc>
          <w:tcPr>
            <w:tcW w:w="1654" w:type="dxa"/>
          </w:tcPr>
          <w:p>
            <w:pPr>
              <w:pStyle w:val="TableParagraph"/>
              <w:ind w:right="63"/>
              <w:rPr>
                <w:sz w:val="22"/>
              </w:rPr>
            </w:pPr>
            <w:r>
              <w:rPr>
                <w:sz w:val="22"/>
              </w:rPr>
              <w:t>31/10/2009</w:t>
            </w:r>
          </w:p>
        </w:tc>
        <w:tc>
          <w:tcPr>
            <w:tcW w:w="1320" w:type="dxa"/>
          </w:tcPr>
          <w:p>
            <w:pPr>
              <w:pStyle w:val="TableParagraph"/>
              <w:ind w:right="63"/>
              <w:rPr>
                <w:sz w:val="22"/>
              </w:rPr>
            </w:pPr>
            <w:r>
              <w:rPr>
                <w:sz w:val="22"/>
              </w:rPr>
              <w:t>16.3</w:t>
            </w:r>
          </w:p>
        </w:tc>
        <w:tc>
          <w:tcPr>
            <w:tcW w:w="1248" w:type="dxa"/>
          </w:tcPr>
          <w:p>
            <w:pPr>
              <w:pStyle w:val="TableParagraph"/>
              <w:ind w:right="63"/>
              <w:rPr>
                <w:sz w:val="22"/>
              </w:rPr>
            </w:pPr>
            <w:r>
              <w:rPr>
                <w:sz w:val="22"/>
              </w:rPr>
              <w:t>16.3</w:t>
            </w:r>
          </w:p>
        </w:tc>
        <w:tc>
          <w:tcPr>
            <w:tcW w:w="605" w:type="dxa"/>
          </w:tcPr>
          <w:p>
            <w:pPr>
              <w:pStyle w:val="TableParagraph"/>
              <w:rPr>
                <w:sz w:val="22"/>
              </w:rPr>
            </w:pPr>
            <w:r>
              <w:rPr>
                <w:sz w:val="22"/>
              </w:rPr>
              <w:t>16.4</w:t>
            </w:r>
          </w:p>
        </w:tc>
        <w:tc>
          <w:tcPr>
            <w:tcW w:w="1169" w:type="dxa"/>
          </w:tcPr>
          <w:p>
            <w:pPr>
              <w:pStyle w:val="TableParagraph"/>
              <w:ind w:right="63"/>
              <w:rPr>
                <w:sz w:val="22"/>
              </w:rPr>
            </w:pPr>
            <w:r>
              <w:rPr>
                <w:sz w:val="22"/>
              </w:rPr>
              <w:t>16.5</w:t>
            </w:r>
          </w:p>
        </w:tc>
        <w:tc>
          <w:tcPr>
            <w:tcW w:w="1169" w:type="dxa"/>
          </w:tcPr>
          <w:p>
            <w:pPr>
              <w:pStyle w:val="TableParagraph"/>
              <w:ind w:right="63"/>
              <w:rPr>
                <w:sz w:val="22"/>
              </w:rPr>
            </w:pPr>
            <w:r>
              <w:rPr>
                <w:sz w:val="22"/>
              </w:rPr>
              <w:t>16.4</w:t>
            </w:r>
          </w:p>
        </w:tc>
        <w:tc>
          <w:tcPr>
            <w:tcW w:w="1166" w:type="dxa"/>
          </w:tcPr>
          <w:p>
            <w:pPr>
              <w:pStyle w:val="TableParagraph"/>
              <w:rPr>
                <w:sz w:val="22"/>
              </w:rPr>
            </w:pPr>
            <w:r>
              <w:rPr>
                <w:sz w:val="22"/>
              </w:rPr>
              <w:t>16.2</w:t>
            </w:r>
          </w:p>
        </w:tc>
      </w:tr>
      <w:tr>
        <w:trPr>
          <w:trHeight w:val="310" w:hRule="exact"/>
        </w:trPr>
        <w:tc>
          <w:tcPr>
            <w:tcW w:w="648" w:type="dxa"/>
          </w:tcPr>
          <w:p>
            <w:pPr>
              <w:pStyle w:val="TableParagraph"/>
              <w:rPr>
                <w:sz w:val="22"/>
              </w:rPr>
            </w:pPr>
            <w:r>
              <w:rPr>
                <w:sz w:val="22"/>
              </w:rPr>
              <w:t>135</w:t>
            </w:r>
          </w:p>
        </w:tc>
        <w:tc>
          <w:tcPr>
            <w:tcW w:w="1654" w:type="dxa"/>
          </w:tcPr>
          <w:p>
            <w:pPr>
              <w:pStyle w:val="TableParagraph"/>
              <w:ind w:right="63"/>
              <w:rPr>
                <w:sz w:val="22"/>
              </w:rPr>
            </w:pPr>
            <w:r>
              <w:rPr>
                <w:sz w:val="22"/>
              </w:rPr>
              <w:t>01/11/2009</w:t>
            </w:r>
          </w:p>
        </w:tc>
        <w:tc>
          <w:tcPr>
            <w:tcW w:w="1320" w:type="dxa"/>
          </w:tcPr>
          <w:p>
            <w:pPr>
              <w:pStyle w:val="TableParagraph"/>
              <w:ind w:right="63"/>
              <w:rPr>
                <w:sz w:val="22"/>
              </w:rPr>
            </w:pPr>
            <w:r>
              <w:rPr>
                <w:sz w:val="22"/>
              </w:rPr>
              <w:t>15.6</w:t>
            </w:r>
          </w:p>
        </w:tc>
        <w:tc>
          <w:tcPr>
            <w:tcW w:w="1248" w:type="dxa"/>
          </w:tcPr>
          <w:p>
            <w:pPr>
              <w:pStyle w:val="TableParagraph"/>
              <w:ind w:right="63"/>
              <w:rPr>
                <w:sz w:val="22"/>
              </w:rPr>
            </w:pPr>
            <w:r>
              <w:rPr>
                <w:sz w:val="22"/>
              </w:rPr>
              <w:t>15.8</w:t>
            </w:r>
          </w:p>
        </w:tc>
        <w:tc>
          <w:tcPr>
            <w:tcW w:w="605" w:type="dxa"/>
          </w:tcPr>
          <w:p>
            <w:pPr>
              <w:pStyle w:val="TableParagraph"/>
              <w:rPr>
                <w:sz w:val="22"/>
              </w:rPr>
            </w:pPr>
            <w:r>
              <w:rPr>
                <w:sz w:val="22"/>
              </w:rPr>
              <w:t>16.1</w:t>
            </w:r>
          </w:p>
        </w:tc>
        <w:tc>
          <w:tcPr>
            <w:tcW w:w="1169" w:type="dxa"/>
          </w:tcPr>
          <w:p>
            <w:pPr>
              <w:pStyle w:val="TableParagraph"/>
              <w:ind w:right="63"/>
              <w:rPr>
                <w:sz w:val="22"/>
              </w:rPr>
            </w:pPr>
            <w:r>
              <w:rPr>
                <w:sz w:val="22"/>
              </w:rPr>
              <w:t>16.2</w:t>
            </w:r>
          </w:p>
        </w:tc>
        <w:tc>
          <w:tcPr>
            <w:tcW w:w="1169" w:type="dxa"/>
          </w:tcPr>
          <w:p>
            <w:pPr>
              <w:pStyle w:val="TableParagraph"/>
              <w:ind w:right="63"/>
              <w:rPr>
                <w:sz w:val="22"/>
              </w:rPr>
            </w:pPr>
            <w:r>
              <w:rPr>
                <w:sz w:val="22"/>
              </w:rPr>
              <w:t>16.2</w:t>
            </w:r>
          </w:p>
        </w:tc>
        <w:tc>
          <w:tcPr>
            <w:tcW w:w="1166" w:type="dxa"/>
          </w:tcPr>
          <w:p>
            <w:pPr>
              <w:pStyle w:val="TableParagraph"/>
              <w:rPr>
                <w:sz w:val="22"/>
              </w:rPr>
            </w:pPr>
            <w:r>
              <w:rPr>
                <w:sz w:val="22"/>
              </w:rPr>
              <w:t>15.8</w:t>
            </w:r>
          </w:p>
        </w:tc>
      </w:tr>
      <w:tr>
        <w:trPr>
          <w:trHeight w:val="310" w:hRule="exact"/>
        </w:trPr>
        <w:tc>
          <w:tcPr>
            <w:tcW w:w="648" w:type="dxa"/>
          </w:tcPr>
          <w:p>
            <w:pPr>
              <w:pStyle w:val="TableParagraph"/>
              <w:rPr>
                <w:sz w:val="22"/>
              </w:rPr>
            </w:pPr>
            <w:r>
              <w:rPr>
                <w:sz w:val="22"/>
              </w:rPr>
              <w:t>136</w:t>
            </w:r>
          </w:p>
        </w:tc>
        <w:tc>
          <w:tcPr>
            <w:tcW w:w="1654" w:type="dxa"/>
          </w:tcPr>
          <w:p>
            <w:pPr>
              <w:pStyle w:val="TableParagraph"/>
              <w:ind w:right="63"/>
              <w:rPr>
                <w:sz w:val="22"/>
              </w:rPr>
            </w:pPr>
            <w:r>
              <w:rPr>
                <w:sz w:val="22"/>
              </w:rPr>
              <w:t>02/11/2009</w:t>
            </w:r>
          </w:p>
        </w:tc>
        <w:tc>
          <w:tcPr>
            <w:tcW w:w="1320" w:type="dxa"/>
          </w:tcPr>
          <w:p>
            <w:pPr>
              <w:pStyle w:val="TableParagraph"/>
              <w:ind w:right="63"/>
              <w:rPr>
                <w:sz w:val="22"/>
              </w:rPr>
            </w:pPr>
            <w:r>
              <w:rPr>
                <w:sz w:val="22"/>
              </w:rPr>
              <w:t>15</w:t>
            </w:r>
          </w:p>
        </w:tc>
        <w:tc>
          <w:tcPr>
            <w:tcW w:w="1248" w:type="dxa"/>
          </w:tcPr>
          <w:p>
            <w:pPr>
              <w:pStyle w:val="TableParagraph"/>
              <w:ind w:right="63"/>
              <w:rPr>
                <w:sz w:val="22"/>
              </w:rPr>
            </w:pPr>
            <w:r>
              <w:rPr>
                <w:sz w:val="22"/>
              </w:rPr>
              <w:t>15.1</w:t>
            </w:r>
          </w:p>
        </w:tc>
        <w:tc>
          <w:tcPr>
            <w:tcW w:w="605" w:type="dxa"/>
          </w:tcPr>
          <w:p>
            <w:pPr>
              <w:pStyle w:val="TableParagraph"/>
              <w:rPr>
                <w:sz w:val="22"/>
              </w:rPr>
            </w:pPr>
            <w:r>
              <w:rPr>
                <w:sz w:val="22"/>
              </w:rPr>
              <w:t>15.2</w:t>
            </w:r>
          </w:p>
        </w:tc>
        <w:tc>
          <w:tcPr>
            <w:tcW w:w="1169" w:type="dxa"/>
          </w:tcPr>
          <w:p>
            <w:pPr>
              <w:pStyle w:val="TableParagraph"/>
              <w:ind w:right="63"/>
              <w:rPr>
                <w:sz w:val="22"/>
              </w:rPr>
            </w:pPr>
            <w:r>
              <w:rPr>
                <w:sz w:val="22"/>
              </w:rPr>
              <w:t>15.2</w:t>
            </w:r>
          </w:p>
        </w:tc>
        <w:tc>
          <w:tcPr>
            <w:tcW w:w="1169" w:type="dxa"/>
          </w:tcPr>
          <w:p>
            <w:pPr>
              <w:pStyle w:val="TableParagraph"/>
              <w:ind w:right="63"/>
              <w:rPr>
                <w:sz w:val="22"/>
              </w:rPr>
            </w:pPr>
            <w:r>
              <w:rPr>
                <w:sz w:val="22"/>
              </w:rPr>
              <w:t>15.1</w:t>
            </w:r>
          </w:p>
        </w:tc>
        <w:tc>
          <w:tcPr>
            <w:tcW w:w="1166" w:type="dxa"/>
          </w:tcPr>
          <w:p>
            <w:pPr>
              <w:pStyle w:val="TableParagraph"/>
              <w:rPr>
                <w:sz w:val="22"/>
              </w:rPr>
            </w:pPr>
            <w:r>
              <w:rPr>
                <w:sz w:val="22"/>
              </w:rPr>
              <w:t>15.2</w:t>
            </w:r>
          </w:p>
        </w:tc>
      </w:tr>
      <w:tr>
        <w:trPr>
          <w:trHeight w:val="310" w:hRule="exact"/>
        </w:trPr>
        <w:tc>
          <w:tcPr>
            <w:tcW w:w="648" w:type="dxa"/>
          </w:tcPr>
          <w:p>
            <w:pPr>
              <w:pStyle w:val="TableParagraph"/>
              <w:rPr>
                <w:sz w:val="22"/>
              </w:rPr>
            </w:pPr>
            <w:r>
              <w:rPr>
                <w:sz w:val="22"/>
              </w:rPr>
              <w:t>137</w:t>
            </w:r>
          </w:p>
        </w:tc>
        <w:tc>
          <w:tcPr>
            <w:tcW w:w="1654" w:type="dxa"/>
          </w:tcPr>
          <w:p>
            <w:pPr>
              <w:pStyle w:val="TableParagraph"/>
              <w:ind w:right="63"/>
              <w:rPr>
                <w:sz w:val="22"/>
              </w:rPr>
            </w:pPr>
            <w:r>
              <w:rPr>
                <w:sz w:val="22"/>
              </w:rPr>
              <w:t>03/11/2009</w:t>
            </w:r>
          </w:p>
        </w:tc>
        <w:tc>
          <w:tcPr>
            <w:tcW w:w="1320" w:type="dxa"/>
          </w:tcPr>
          <w:p>
            <w:pPr>
              <w:pStyle w:val="TableParagraph"/>
              <w:ind w:right="63"/>
              <w:rPr>
                <w:sz w:val="22"/>
              </w:rPr>
            </w:pPr>
            <w:r>
              <w:rPr>
                <w:sz w:val="22"/>
              </w:rPr>
              <w:t>15</w:t>
            </w:r>
          </w:p>
        </w:tc>
        <w:tc>
          <w:tcPr>
            <w:tcW w:w="1248" w:type="dxa"/>
          </w:tcPr>
          <w:p>
            <w:pPr>
              <w:pStyle w:val="TableParagraph"/>
              <w:ind w:right="63"/>
              <w:rPr>
                <w:sz w:val="22"/>
              </w:rPr>
            </w:pPr>
            <w:r>
              <w:rPr>
                <w:sz w:val="22"/>
              </w:rPr>
              <w:t>14.7</w:t>
            </w:r>
          </w:p>
        </w:tc>
        <w:tc>
          <w:tcPr>
            <w:tcW w:w="605" w:type="dxa"/>
          </w:tcPr>
          <w:p>
            <w:pPr>
              <w:pStyle w:val="TableParagraph"/>
              <w:rPr>
                <w:sz w:val="22"/>
              </w:rPr>
            </w:pPr>
            <w:r>
              <w:rPr>
                <w:sz w:val="22"/>
              </w:rPr>
              <w:t>14.9</w:t>
            </w:r>
          </w:p>
        </w:tc>
        <w:tc>
          <w:tcPr>
            <w:tcW w:w="1169" w:type="dxa"/>
          </w:tcPr>
          <w:p>
            <w:pPr>
              <w:pStyle w:val="TableParagraph"/>
              <w:ind w:right="63"/>
              <w:rPr>
                <w:sz w:val="22"/>
              </w:rPr>
            </w:pPr>
            <w:r>
              <w:rPr>
                <w:sz w:val="22"/>
              </w:rPr>
              <w:t>14.9</w:t>
            </w:r>
          </w:p>
        </w:tc>
        <w:tc>
          <w:tcPr>
            <w:tcW w:w="1169" w:type="dxa"/>
          </w:tcPr>
          <w:p>
            <w:pPr>
              <w:pStyle w:val="TableParagraph"/>
              <w:ind w:right="63"/>
              <w:rPr>
                <w:sz w:val="22"/>
              </w:rPr>
            </w:pPr>
            <w:r>
              <w:rPr>
                <w:sz w:val="22"/>
              </w:rPr>
              <w:t>14.6</w:t>
            </w:r>
          </w:p>
        </w:tc>
        <w:tc>
          <w:tcPr>
            <w:tcW w:w="1166" w:type="dxa"/>
          </w:tcPr>
          <w:p>
            <w:pPr>
              <w:pStyle w:val="TableParagraph"/>
              <w:rPr>
                <w:sz w:val="22"/>
              </w:rPr>
            </w:pPr>
            <w:r>
              <w:rPr>
                <w:sz w:val="22"/>
              </w:rPr>
              <w:t>13.9</w:t>
            </w:r>
          </w:p>
        </w:tc>
      </w:tr>
      <w:tr>
        <w:trPr>
          <w:trHeight w:val="310" w:hRule="exact"/>
        </w:trPr>
        <w:tc>
          <w:tcPr>
            <w:tcW w:w="648" w:type="dxa"/>
          </w:tcPr>
          <w:p>
            <w:pPr>
              <w:pStyle w:val="TableParagraph"/>
              <w:spacing w:before="30"/>
              <w:rPr>
                <w:sz w:val="22"/>
              </w:rPr>
            </w:pPr>
            <w:r>
              <w:rPr>
                <w:sz w:val="22"/>
              </w:rPr>
              <w:t>138</w:t>
            </w:r>
          </w:p>
        </w:tc>
        <w:tc>
          <w:tcPr>
            <w:tcW w:w="1654" w:type="dxa"/>
          </w:tcPr>
          <w:p>
            <w:pPr>
              <w:pStyle w:val="TableParagraph"/>
              <w:spacing w:before="30"/>
              <w:ind w:right="63"/>
              <w:rPr>
                <w:sz w:val="22"/>
              </w:rPr>
            </w:pPr>
            <w:r>
              <w:rPr>
                <w:sz w:val="22"/>
              </w:rPr>
              <w:t>04/11/2009</w:t>
            </w:r>
          </w:p>
        </w:tc>
        <w:tc>
          <w:tcPr>
            <w:tcW w:w="1320" w:type="dxa"/>
          </w:tcPr>
          <w:p>
            <w:pPr>
              <w:pStyle w:val="TableParagraph"/>
              <w:spacing w:before="30"/>
              <w:ind w:right="63"/>
              <w:rPr>
                <w:sz w:val="22"/>
              </w:rPr>
            </w:pPr>
            <w:r>
              <w:rPr>
                <w:sz w:val="22"/>
              </w:rPr>
              <w:t>15.6</w:t>
            </w:r>
          </w:p>
        </w:tc>
        <w:tc>
          <w:tcPr>
            <w:tcW w:w="1248" w:type="dxa"/>
          </w:tcPr>
          <w:p>
            <w:pPr>
              <w:pStyle w:val="TableParagraph"/>
              <w:spacing w:before="30"/>
              <w:ind w:right="63"/>
              <w:rPr>
                <w:sz w:val="22"/>
              </w:rPr>
            </w:pPr>
            <w:r>
              <w:rPr>
                <w:sz w:val="22"/>
              </w:rPr>
              <w:t>15.7</w:t>
            </w:r>
          </w:p>
        </w:tc>
        <w:tc>
          <w:tcPr>
            <w:tcW w:w="605" w:type="dxa"/>
          </w:tcPr>
          <w:p>
            <w:pPr>
              <w:pStyle w:val="TableParagraph"/>
              <w:spacing w:before="30"/>
              <w:rPr>
                <w:sz w:val="22"/>
              </w:rPr>
            </w:pPr>
            <w:r>
              <w:rPr>
                <w:sz w:val="22"/>
              </w:rPr>
              <w:t>15.6</w:t>
            </w:r>
          </w:p>
        </w:tc>
        <w:tc>
          <w:tcPr>
            <w:tcW w:w="1169" w:type="dxa"/>
          </w:tcPr>
          <w:p>
            <w:pPr>
              <w:pStyle w:val="TableParagraph"/>
              <w:spacing w:before="30"/>
              <w:ind w:right="63"/>
              <w:rPr>
                <w:sz w:val="22"/>
              </w:rPr>
            </w:pPr>
            <w:r>
              <w:rPr>
                <w:sz w:val="22"/>
              </w:rPr>
              <w:t>15.8</w:t>
            </w:r>
          </w:p>
        </w:tc>
        <w:tc>
          <w:tcPr>
            <w:tcW w:w="1169" w:type="dxa"/>
          </w:tcPr>
          <w:p>
            <w:pPr>
              <w:pStyle w:val="TableParagraph"/>
              <w:spacing w:before="30"/>
              <w:ind w:right="63"/>
              <w:rPr>
                <w:sz w:val="22"/>
              </w:rPr>
            </w:pPr>
            <w:r>
              <w:rPr>
                <w:sz w:val="22"/>
              </w:rPr>
              <w:t>15.6</w:t>
            </w:r>
          </w:p>
        </w:tc>
        <w:tc>
          <w:tcPr>
            <w:tcW w:w="1166" w:type="dxa"/>
          </w:tcPr>
          <w:p>
            <w:pPr>
              <w:pStyle w:val="TableParagraph"/>
              <w:spacing w:before="30"/>
              <w:rPr>
                <w:sz w:val="22"/>
              </w:rPr>
            </w:pPr>
            <w:r>
              <w:rPr>
                <w:sz w:val="22"/>
              </w:rPr>
              <w:t>15.3</w:t>
            </w:r>
          </w:p>
        </w:tc>
      </w:tr>
      <w:tr>
        <w:trPr>
          <w:trHeight w:val="312" w:hRule="exact"/>
        </w:trPr>
        <w:tc>
          <w:tcPr>
            <w:tcW w:w="648" w:type="dxa"/>
          </w:tcPr>
          <w:p>
            <w:pPr>
              <w:pStyle w:val="TableParagraph"/>
              <w:spacing w:before="30"/>
              <w:rPr>
                <w:sz w:val="22"/>
              </w:rPr>
            </w:pPr>
            <w:r>
              <w:rPr>
                <w:sz w:val="22"/>
              </w:rPr>
              <w:t>139</w:t>
            </w:r>
          </w:p>
        </w:tc>
        <w:tc>
          <w:tcPr>
            <w:tcW w:w="1654" w:type="dxa"/>
          </w:tcPr>
          <w:p>
            <w:pPr>
              <w:pStyle w:val="TableParagraph"/>
              <w:spacing w:before="30"/>
              <w:ind w:right="63"/>
              <w:rPr>
                <w:sz w:val="22"/>
              </w:rPr>
            </w:pPr>
            <w:r>
              <w:rPr>
                <w:sz w:val="22"/>
              </w:rPr>
              <w:t>05/11/2009</w:t>
            </w:r>
          </w:p>
        </w:tc>
        <w:tc>
          <w:tcPr>
            <w:tcW w:w="1320" w:type="dxa"/>
          </w:tcPr>
          <w:p>
            <w:pPr>
              <w:pStyle w:val="TableParagraph"/>
              <w:spacing w:before="30"/>
              <w:ind w:right="63"/>
              <w:rPr>
                <w:sz w:val="22"/>
              </w:rPr>
            </w:pPr>
            <w:r>
              <w:rPr>
                <w:sz w:val="22"/>
              </w:rPr>
              <w:t>15.7</w:t>
            </w:r>
          </w:p>
        </w:tc>
        <w:tc>
          <w:tcPr>
            <w:tcW w:w="1248" w:type="dxa"/>
          </w:tcPr>
          <w:p>
            <w:pPr>
              <w:pStyle w:val="TableParagraph"/>
              <w:spacing w:before="30"/>
              <w:ind w:right="63"/>
              <w:rPr>
                <w:sz w:val="22"/>
              </w:rPr>
            </w:pPr>
            <w:r>
              <w:rPr>
                <w:sz w:val="22"/>
              </w:rPr>
              <w:t>15.4</w:t>
            </w:r>
          </w:p>
        </w:tc>
        <w:tc>
          <w:tcPr>
            <w:tcW w:w="605" w:type="dxa"/>
          </w:tcPr>
          <w:p>
            <w:pPr>
              <w:pStyle w:val="TableParagraph"/>
              <w:spacing w:before="30"/>
              <w:rPr>
                <w:sz w:val="22"/>
              </w:rPr>
            </w:pPr>
            <w:r>
              <w:rPr>
                <w:sz w:val="22"/>
              </w:rPr>
              <w:t>14.7</w:t>
            </w:r>
          </w:p>
        </w:tc>
        <w:tc>
          <w:tcPr>
            <w:tcW w:w="1169" w:type="dxa"/>
          </w:tcPr>
          <w:p>
            <w:pPr>
              <w:pStyle w:val="TableParagraph"/>
              <w:spacing w:before="30"/>
              <w:ind w:right="63"/>
              <w:rPr>
                <w:sz w:val="22"/>
              </w:rPr>
            </w:pPr>
            <w:r>
              <w:rPr>
                <w:sz w:val="22"/>
              </w:rPr>
              <w:t>14.8</w:t>
            </w:r>
          </w:p>
        </w:tc>
        <w:tc>
          <w:tcPr>
            <w:tcW w:w="1169" w:type="dxa"/>
          </w:tcPr>
          <w:p>
            <w:pPr>
              <w:pStyle w:val="TableParagraph"/>
              <w:spacing w:before="30"/>
              <w:ind w:right="63"/>
              <w:rPr>
                <w:sz w:val="22"/>
              </w:rPr>
            </w:pPr>
            <w:r>
              <w:rPr>
                <w:sz w:val="22"/>
              </w:rPr>
              <w:t>14.4</w:t>
            </w:r>
          </w:p>
        </w:tc>
        <w:tc>
          <w:tcPr>
            <w:tcW w:w="1166" w:type="dxa"/>
          </w:tcPr>
          <w:p>
            <w:pPr>
              <w:pStyle w:val="TableParagraph"/>
              <w:spacing w:before="30"/>
              <w:rPr>
                <w:sz w:val="22"/>
              </w:rPr>
            </w:pPr>
            <w:r>
              <w:rPr>
                <w:sz w:val="22"/>
              </w:rPr>
              <w:t>14.6</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8"/>
        <w:gridCol w:w="1654"/>
        <w:gridCol w:w="1320"/>
        <w:gridCol w:w="1248"/>
        <w:gridCol w:w="605"/>
        <w:gridCol w:w="1169"/>
        <w:gridCol w:w="1169"/>
        <w:gridCol w:w="1166"/>
      </w:tblGrid>
      <w:tr>
        <w:trPr>
          <w:trHeight w:val="310" w:hRule="exact"/>
        </w:trPr>
        <w:tc>
          <w:tcPr>
            <w:tcW w:w="8978" w:type="dxa"/>
            <w:gridSpan w:val="8"/>
            <w:shd w:val="clear" w:color="auto" w:fill="E6B9B8"/>
          </w:tcPr>
          <w:p>
            <w:pPr>
              <w:pStyle w:val="TableParagraph"/>
              <w:ind w:left="3628" w:right="3629"/>
              <w:jc w:val="center"/>
              <w:rPr>
                <w:b/>
                <w:sz w:val="22"/>
              </w:rPr>
            </w:pPr>
            <w:r>
              <w:rPr>
                <w:b/>
                <w:sz w:val="22"/>
              </w:rPr>
              <w:t>Temperatura (°C)</w:t>
            </w:r>
          </w:p>
        </w:tc>
      </w:tr>
      <w:tr>
        <w:trPr>
          <w:trHeight w:val="610" w:hRule="exact"/>
        </w:trPr>
        <w:tc>
          <w:tcPr>
            <w:tcW w:w="648" w:type="dxa"/>
            <w:vMerge w:val="restart"/>
            <w:shd w:val="clear" w:color="auto" w:fill="E6B9B8"/>
          </w:tcPr>
          <w:p>
            <w:pPr>
              <w:pStyle w:val="TableParagraph"/>
              <w:spacing w:before="8"/>
              <w:ind w:right="0"/>
              <w:jc w:val="left"/>
              <w:rPr>
                <w:rFonts w:ascii="Times New Roman"/>
                <w:sz w:val="27"/>
              </w:rPr>
            </w:pPr>
          </w:p>
          <w:p>
            <w:pPr>
              <w:pStyle w:val="TableParagraph"/>
              <w:spacing w:before="0"/>
              <w:ind w:left="124" w:right="0"/>
              <w:jc w:val="left"/>
              <w:rPr>
                <w:b/>
                <w:sz w:val="22"/>
              </w:rPr>
            </w:pPr>
            <w:r>
              <w:rPr>
                <w:b/>
                <w:sz w:val="22"/>
              </w:rPr>
              <w:t>Días</w:t>
            </w:r>
          </w:p>
        </w:tc>
        <w:tc>
          <w:tcPr>
            <w:tcW w:w="1654" w:type="dxa"/>
            <w:vMerge w:val="restart"/>
            <w:shd w:val="clear" w:color="auto" w:fill="E6B9B8"/>
          </w:tcPr>
          <w:p>
            <w:pPr>
              <w:pStyle w:val="TableParagraph"/>
              <w:spacing w:before="8"/>
              <w:ind w:right="0"/>
              <w:jc w:val="left"/>
              <w:rPr>
                <w:rFonts w:ascii="Times New Roman"/>
                <w:sz w:val="27"/>
              </w:rPr>
            </w:pPr>
          </w:p>
          <w:p>
            <w:pPr>
              <w:pStyle w:val="TableParagraph"/>
              <w:spacing w:before="0"/>
              <w:ind w:left="535" w:right="537"/>
              <w:jc w:val="center"/>
              <w:rPr>
                <w:b/>
                <w:sz w:val="22"/>
              </w:rPr>
            </w:pPr>
            <w:r>
              <w:rPr>
                <w:b/>
                <w:sz w:val="22"/>
              </w:rPr>
              <w:t>Fecha</w:t>
            </w:r>
          </w:p>
        </w:tc>
        <w:tc>
          <w:tcPr>
            <w:tcW w:w="6677" w:type="dxa"/>
            <w:gridSpan w:val="6"/>
            <w:shd w:val="clear" w:color="auto" w:fill="E6B9B8"/>
          </w:tcPr>
          <w:p>
            <w:pPr>
              <w:pStyle w:val="TableParagraph"/>
              <w:spacing w:before="162"/>
              <w:ind w:left="2391" w:right="2392"/>
              <w:jc w:val="center"/>
              <w:rPr>
                <w:b/>
                <w:sz w:val="22"/>
              </w:rPr>
            </w:pPr>
            <w:r>
              <w:rPr>
                <w:b/>
                <w:sz w:val="22"/>
              </w:rPr>
              <w:t>Puntos de muestreo</w:t>
            </w:r>
          </w:p>
        </w:tc>
      </w:tr>
      <w:tr>
        <w:trPr>
          <w:trHeight w:val="310" w:hRule="exact"/>
        </w:trPr>
        <w:tc>
          <w:tcPr>
            <w:tcW w:w="648" w:type="dxa"/>
            <w:vMerge/>
            <w:shd w:val="clear" w:color="auto" w:fill="E6B9B8"/>
          </w:tcPr>
          <w:p>
            <w:pPr/>
          </w:p>
        </w:tc>
        <w:tc>
          <w:tcPr>
            <w:tcW w:w="1654" w:type="dxa"/>
            <w:vMerge/>
            <w:shd w:val="clear" w:color="auto" w:fill="E6B9B8"/>
          </w:tcPr>
          <w:p>
            <w:pPr/>
          </w:p>
        </w:tc>
        <w:tc>
          <w:tcPr>
            <w:tcW w:w="1320" w:type="dxa"/>
            <w:shd w:val="clear" w:color="auto" w:fill="E6B9B8"/>
          </w:tcPr>
          <w:p>
            <w:pPr>
              <w:pStyle w:val="TableParagraph"/>
              <w:spacing w:before="13"/>
              <w:ind w:right="3"/>
              <w:jc w:val="center"/>
              <w:rPr>
                <w:b/>
                <w:sz w:val="22"/>
              </w:rPr>
            </w:pPr>
            <w:r>
              <w:rPr>
                <w:b/>
                <w:w w:val="100"/>
                <w:sz w:val="22"/>
              </w:rPr>
              <w:t>A</w:t>
            </w:r>
          </w:p>
        </w:tc>
        <w:tc>
          <w:tcPr>
            <w:tcW w:w="1248" w:type="dxa"/>
            <w:shd w:val="clear" w:color="auto" w:fill="E6B9B8"/>
          </w:tcPr>
          <w:p>
            <w:pPr>
              <w:pStyle w:val="TableParagraph"/>
              <w:spacing w:before="13"/>
              <w:ind w:right="4"/>
              <w:jc w:val="center"/>
              <w:rPr>
                <w:b/>
                <w:sz w:val="22"/>
              </w:rPr>
            </w:pPr>
            <w:r>
              <w:rPr>
                <w:b/>
                <w:w w:val="100"/>
                <w:sz w:val="22"/>
              </w:rPr>
              <w:t>B</w:t>
            </w:r>
          </w:p>
        </w:tc>
        <w:tc>
          <w:tcPr>
            <w:tcW w:w="605" w:type="dxa"/>
            <w:shd w:val="clear" w:color="auto" w:fill="E6B9B8"/>
          </w:tcPr>
          <w:p>
            <w:pPr>
              <w:pStyle w:val="TableParagraph"/>
              <w:spacing w:before="30"/>
              <w:ind w:right="1"/>
              <w:jc w:val="center"/>
              <w:rPr>
                <w:b/>
                <w:sz w:val="22"/>
              </w:rPr>
            </w:pPr>
            <w:r>
              <w:rPr>
                <w:b/>
                <w:w w:val="100"/>
                <w:sz w:val="22"/>
              </w:rPr>
              <w:t>C</w:t>
            </w:r>
          </w:p>
        </w:tc>
        <w:tc>
          <w:tcPr>
            <w:tcW w:w="1169" w:type="dxa"/>
            <w:shd w:val="clear" w:color="auto" w:fill="E6B9B8"/>
          </w:tcPr>
          <w:p>
            <w:pPr>
              <w:pStyle w:val="TableParagraph"/>
              <w:spacing w:before="13"/>
              <w:ind w:right="0"/>
              <w:jc w:val="center"/>
              <w:rPr>
                <w:b/>
                <w:sz w:val="22"/>
              </w:rPr>
            </w:pPr>
            <w:r>
              <w:rPr>
                <w:b/>
                <w:w w:val="100"/>
                <w:sz w:val="22"/>
              </w:rPr>
              <w:t>D</w:t>
            </w:r>
          </w:p>
        </w:tc>
        <w:tc>
          <w:tcPr>
            <w:tcW w:w="1169" w:type="dxa"/>
            <w:shd w:val="clear" w:color="auto" w:fill="E6B9B8"/>
          </w:tcPr>
          <w:p>
            <w:pPr>
              <w:pStyle w:val="TableParagraph"/>
              <w:spacing w:before="13"/>
              <w:ind w:right="3"/>
              <w:jc w:val="center"/>
              <w:rPr>
                <w:b/>
                <w:sz w:val="22"/>
              </w:rPr>
            </w:pPr>
            <w:r>
              <w:rPr>
                <w:b/>
                <w:w w:val="100"/>
                <w:sz w:val="22"/>
              </w:rPr>
              <w:t>E</w:t>
            </w:r>
          </w:p>
        </w:tc>
        <w:tc>
          <w:tcPr>
            <w:tcW w:w="1166" w:type="dxa"/>
            <w:shd w:val="clear" w:color="auto" w:fill="E6B9B8"/>
          </w:tcPr>
          <w:p>
            <w:pPr>
              <w:pStyle w:val="TableParagraph"/>
              <w:spacing w:before="13"/>
              <w:ind w:left="1" w:right="0"/>
              <w:jc w:val="center"/>
              <w:rPr>
                <w:b/>
                <w:sz w:val="22"/>
              </w:rPr>
            </w:pPr>
            <w:r>
              <w:rPr>
                <w:b/>
                <w:w w:val="100"/>
                <w:sz w:val="22"/>
              </w:rPr>
              <w:t>G</w:t>
            </w:r>
          </w:p>
        </w:tc>
      </w:tr>
      <w:tr>
        <w:trPr>
          <w:trHeight w:val="312" w:hRule="exact"/>
        </w:trPr>
        <w:tc>
          <w:tcPr>
            <w:tcW w:w="648" w:type="dxa"/>
          </w:tcPr>
          <w:p>
            <w:pPr>
              <w:pStyle w:val="TableParagraph"/>
              <w:spacing w:before="30"/>
              <w:rPr>
                <w:sz w:val="22"/>
              </w:rPr>
            </w:pPr>
            <w:r>
              <w:rPr>
                <w:sz w:val="22"/>
              </w:rPr>
              <w:t>140</w:t>
            </w:r>
          </w:p>
        </w:tc>
        <w:tc>
          <w:tcPr>
            <w:tcW w:w="1654" w:type="dxa"/>
          </w:tcPr>
          <w:p>
            <w:pPr>
              <w:pStyle w:val="TableParagraph"/>
              <w:spacing w:before="30"/>
              <w:ind w:right="63"/>
              <w:rPr>
                <w:sz w:val="22"/>
              </w:rPr>
            </w:pPr>
            <w:r>
              <w:rPr>
                <w:sz w:val="22"/>
              </w:rPr>
              <w:t>06/11/2009</w:t>
            </w:r>
          </w:p>
        </w:tc>
        <w:tc>
          <w:tcPr>
            <w:tcW w:w="1320" w:type="dxa"/>
          </w:tcPr>
          <w:p>
            <w:pPr>
              <w:pStyle w:val="TableParagraph"/>
              <w:spacing w:before="30"/>
              <w:ind w:right="63"/>
              <w:rPr>
                <w:sz w:val="22"/>
              </w:rPr>
            </w:pPr>
            <w:r>
              <w:rPr>
                <w:sz w:val="22"/>
              </w:rPr>
              <w:t>14.8</w:t>
            </w:r>
          </w:p>
        </w:tc>
        <w:tc>
          <w:tcPr>
            <w:tcW w:w="1248" w:type="dxa"/>
          </w:tcPr>
          <w:p>
            <w:pPr>
              <w:pStyle w:val="TableParagraph"/>
              <w:spacing w:before="30"/>
              <w:ind w:right="63"/>
              <w:rPr>
                <w:sz w:val="22"/>
              </w:rPr>
            </w:pPr>
            <w:r>
              <w:rPr>
                <w:sz w:val="22"/>
              </w:rPr>
              <w:t>14.9</w:t>
            </w:r>
          </w:p>
        </w:tc>
        <w:tc>
          <w:tcPr>
            <w:tcW w:w="605" w:type="dxa"/>
          </w:tcPr>
          <w:p>
            <w:pPr>
              <w:pStyle w:val="TableParagraph"/>
              <w:spacing w:before="30"/>
              <w:ind w:left="120" w:right="45"/>
              <w:jc w:val="center"/>
              <w:rPr>
                <w:sz w:val="22"/>
              </w:rPr>
            </w:pPr>
            <w:r>
              <w:rPr>
                <w:sz w:val="22"/>
              </w:rPr>
              <w:t>14.8</w:t>
            </w:r>
          </w:p>
        </w:tc>
        <w:tc>
          <w:tcPr>
            <w:tcW w:w="1169" w:type="dxa"/>
          </w:tcPr>
          <w:p>
            <w:pPr>
              <w:pStyle w:val="TableParagraph"/>
              <w:spacing w:before="30"/>
              <w:ind w:right="63"/>
              <w:rPr>
                <w:sz w:val="22"/>
              </w:rPr>
            </w:pPr>
            <w:r>
              <w:rPr>
                <w:sz w:val="22"/>
              </w:rPr>
              <w:t>14.8</w:t>
            </w:r>
          </w:p>
        </w:tc>
        <w:tc>
          <w:tcPr>
            <w:tcW w:w="1169" w:type="dxa"/>
          </w:tcPr>
          <w:p>
            <w:pPr>
              <w:pStyle w:val="TableParagraph"/>
              <w:spacing w:before="30"/>
              <w:ind w:right="63"/>
              <w:rPr>
                <w:sz w:val="22"/>
              </w:rPr>
            </w:pPr>
            <w:r>
              <w:rPr>
                <w:sz w:val="22"/>
              </w:rPr>
              <w:t>14.9</w:t>
            </w:r>
          </w:p>
        </w:tc>
        <w:tc>
          <w:tcPr>
            <w:tcW w:w="1166" w:type="dxa"/>
          </w:tcPr>
          <w:p>
            <w:pPr>
              <w:pStyle w:val="TableParagraph"/>
              <w:spacing w:before="30"/>
              <w:rPr>
                <w:sz w:val="22"/>
              </w:rPr>
            </w:pPr>
            <w:r>
              <w:rPr>
                <w:sz w:val="22"/>
              </w:rPr>
              <w:t>14.8</w:t>
            </w:r>
          </w:p>
        </w:tc>
      </w:tr>
      <w:tr>
        <w:trPr>
          <w:trHeight w:val="310" w:hRule="exact"/>
        </w:trPr>
        <w:tc>
          <w:tcPr>
            <w:tcW w:w="648" w:type="dxa"/>
          </w:tcPr>
          <w:p>
            <w:pPr>
              <w:pStyle w:val="TableParagraph"/>
              <w:rPr>
                <w:sz w:val="22"/>
              </w:rPr>
            </w:pPr>
            <w:r>
              <w:rPr>
                <w:sz w:val="22"/>
              </w:rPr>
              <w:t>141</w:t>
            </w:r>
          </w:p>
        </w:tc>
        <w:tc>
          <w:tcPr>
            <w:tcW w:w="1654" w:type="dxa"/>
          </w:tcPr>
          <w:p>
            <w:pPr>
              <w:pStyle w:val="TableParagraph"/>
              <w:ind w:right="63"/>
              <w:rPr>
                <w:sz w:val="22"/>
              </w:rPr>
            </w:pPr>
            <w:r>
              <w:rPr>
                <w:sz w:val="22"/>
              </w:rPr>
              <w:t>07/11/2009</w:t>
            </w:r>
          </w:p>
        </w:tc>
        <w:tc>
          <w:tcPr>
            <w:tcW w:w="1320" w:type="dxa"/>
          </w:tcPr>
          <w:p>
            <w:pPr>
              <w:pStyle w:val="TableParagraph"/>
              <w:ind w:right="63"/>
              <w:rPr>
                <w:sz w:val="22"/>
              </w:rPr>
            </w:pPr>
            <w:r>
              <w:rPr>
                <w:sz w:val="22"/>
              </w:rPr>
              <w:t>13.8</w:t>
            </w:r>
          </w:p>
        </w:tc>
        <w:tc>
          <w:tcPr>
            <w:tcW w:w="1248" w:type="dxa"/>
          </w:tcPr>
          <w:p>
            <w:pPr>
              <w:pStyle w:val="TableParagraph"/>
              <w:ind w:right="63"/>
              <w:rPr>
                <w:sz w:val="22"/>
              </w:rPr>
            </w:pPr>
            <w:r>
              <w:rPr>
                <w:sz w:val="22"/>
              </w:rPr>
              <w:t>13.6</w:t>
            </w:r>
          </w:p>
        </w:tc>
        <w:tc>
          <w:tcPr>
            <w:tcW w:w="605" w:type="dxa"/>
          </w:tcPr>
          <w:p>
            <w:pPr>
              <w:pStyle w:val="TableParagraph"/>
              <w:ind w:left="120" w:right="45"/>
              <w:jc w:val="center"/>
              <w:rPr>
                <w:sz w:val="22"/>
              </w:rPr>
            </w:pPr>
            <w:r>
              <w:rPr>
                <w:sz w:val="22"/>
              </w:rPr>
              <w:t>13.6</w:t>
            </w:r>
          </w:p>
        </w:tc>
        <w:tc>
          <w:tcPr>
            <w:tcW w:w="1169" w:type="dxa"/>
          </w:tcPr>
          <w:p>
            <w:pPr>
              <w:pStyle w:val="TableParagraph"/>
              <w:ind w:right="63"/>
              <w:rPr>
                <w:sz w:val="22"/>
              </w:rPr>
            </w:pPr>
            <w:r>
              <w:rPr>
                <w:sz w:val="22"/>
              </w:rPr>
              <w:t>13.7</w:t>
            </w:r>
          </w:p>
        </w:tc>
        <w:tc>
          <w:tcPr>
            <w:tcW w:w="1169" w:type="dxa"/>
          </w:tcPr>
          <w:p>
            <w:pPr>
              <w:pStyle w:val="TableParagraph"/>
              <w:ind w:right="63"/>
              <w:rPr>
                <w:sz w:val="22"/>
              </w:rPr>
            </w:pPr>
            <w:r>
              <w:rPr>
                <w:sz w:val="22"/>
              </w:rPr>
              <w:t>13.8</w:t>
            </w:r>
          </w:p>
        </w:tc>
        <w:tc>
          <w:tcPr>
            <w:tcW w:w="1166" w:type="dxa"/>
          </w:tcPr>
          <w:p>
            <w:pPr>
              <w:pStyle w:val="TableParagraph"/>
              <w:rPr>
                <w:sz w:val="22"/>
              </w:rPr>
            </w:pPr>
            <w:r>
              <w:rPr>
                <w:sz w:val="22"/>
              </w:rPr>
              <w:t>13.7</w:t>
            </w:r>
          </w:p>
        </w:tc>
      </w:tr>
      <w:tr>
        <w:trPr>
          <w:trHeight w:val="310" w:hRule="exact"/>
        </w:trPr>
        <w:tc>
          <w:tcPr>
            <w:tcW w:w="648" w:type="dxa"/>
          </w:tcPr>
          <w:p>
            <w:pPr>
              <w:pStyle w:val="TableParagraph"/>
              <w:rPr>
                <w:sz w:val="22"/>
              </w:rPr>
            </w:pPr>
            <w:r>
              <w:rPr>
                <w:sz w:val="22"/>
              </w:rPr>
              <w:t>142</w:t>
            </w:r>
          </w:p>
        </w:tc>
        <w:tc>
          <w:tcPr>
            <w:tcW w:w="1654" w:type="dxa"/>
          </w:tcPr>
          <w:p>
            <w:pPr>
              <w:pStyle w:val="TableParagraph"/>
              <w:ind w:right="63"/>
              <w:rPr>
                <w:sz w:val="22"/>
              </w:rPr>
            </w:pPr>
            <w:r>
              <w:rPr>
                <w:sz w:val="22"/>
              </w:rPr>
              <w:t>08/11/2009</w:t>
            </w:r>
          </w:p>
        </w:tc>
        <w:tc>
          <w:tcPr>
            <w:tcW w:w="1320" w:type="dxa"/>
          </w:tcPr>
          <w:p>
            <w:pPr>
              <w:pStyle w:val="TableParagraph"/>
              <w:ind w:right="63"/>
              <w:rPr>
                <w:sz w:val="22"/>
              </w:rPr>
            </w:pPr>
            <w:r>
              <w:rPr>
                <w:sz w:val="22"/>
              </w:rPr>
              <w:t>13</w:t>
            </w:r>
          </w:p>
        </w:tc>
        <w:tc>
          <w:tcPr>
            <w:tcW w:w="1248" w:type="dxa"/>
          </w:tcPr>
          <w:p>
            <w:pPr>
              <w:pStyle w:val="TableParagraph"/>
              <w:ind w:right="63"/>
              <w:rPr>
                <w:sz w:val="22"/>
              </w:rPr>
            </w:pPr>
            <w:r>
              <w:rPr>
                <w:sz w:val="22"/>
              </w:rPr>
              <w:t>13.1</w:t>
            </w:r>
          </w:p>
        </w:tc>
        <w:tc>
          <w:tcPr>
            <w:tcW w:w="605" w:type="dxa"/>
          </w:tcPr>
          <w:p>
            <w:pPr>
              <w:pStyle w:val="TableParagraph"/>
              <w:ind w:left="120" w:right="45"/>
              <w:jc w:val="center"/>
              <w:rPr>
                <w:sz w:val="22"/>
              </w:rPr>
            </w:pPr>
            <w:r>
              <w:rPr>
                <w:sz w:val="22"/>
              </w:rPr>
              <w:t>13.2</w:t>
            </w:r>
          </w:p>
        </w:tc>
        <w:tc>
          <w:tcPr>
            <w:tcW w:w="1169" w:type="dxa"/>
          </w:tcPr>
          <w:p>
            <w:pPr>
              <w:pStyle w:val="TableParagraph"/>
              <w:ind w:right="63"/>
              <w:rPr>
                <w:sz w:val="22"/>
              </w:rPr>
            </w:pPr>
            <w:r>
              <w:rPr>
                <w:sz w:val="22"/>
              </w:rPr>
              <w:t>13.5</w:t>
            </w:r>
          </w:p>
        </w:tc>
        <w:tc>
          <w:tcPr>
            <w:tcW w:w="1169" w:type="dxa"/>
          </w:tcPr>
          <w:p>
            <w:pPr>
              <w:pStyle w:val="TableParagraph"/>
              <w:ind w:right="63"/>
              <w:rPr>
                <w:sz w:val="22"/>
              </w:rPr>
            </w:pPr>
            <w:r>
              <w:rPr>
                <w:sz w:val="22"/>
              </w:rPr>
              <w:t>13.2</w:t>
            </w:r>
          </w:p>
        </w:tc>
        <w:tc>
          <w:tcPr>
            <w:tcW w:w="1166" w:type="dxa"/>
          </w:tcPr>
          <w:p>
            <w:pPr>
              <w:pStyle w:val="TableParagraph"/>
              <w:rPr>
                <w:sz w:val="22"/>
              </w:rPr>
            </w:pPr>
            <w:r>
              <w:rPr>
                <w:sz w:val="22"/>
              </w:rPr>
              <w:t>13.4</w:t>
            </w:r>
          </w:p>
        </w:tc>
      </w:tr>
      <w:tr>
        <w:trPr>
          <w:trHeight w:val="310" w:hRule="exact"/>
        </w:trPr>
        <w:tc>
          <w:tcPr>
            <w:tcW w:w="648" w:type="dxa"/>
          </w:tcPr>
          <w:p>
            <w:pPr>
              <w:pStyle w:val="TableParagraph"/>
              <w:rPr>
                <w:sz w:val="22"/>
              </w:rPr>
            </w:pPr>
            <w:r>
              <w:rPr>
                <w:sz w:val="22"/>
              </w:rPr>
              <w:t>143</w:t>
            </w:r>
          </w:p>
        </w:tc>
        <w:tc>
          <w:tcPr>
            <w:tcW w:w="1654" w:type="dxa"/>
          </w:tcPr>
          <w:p>
            <w:pPr>
              <w:pStyle w:val="TableParagraph"/>
              <w:ind w:right="63"/>
              <w:rPr>
                <w:sz w:val="22"/>
              </w:rPr>
            </w:pPr>
            <w:r>
              <w:rPr>
                <w:sz w:val="22"/>
              </w:rPr>
              <w:t>09/11/2009</w:t>
            </w:r>
          </w:p>
        </w:tc>
        <w:tc>
          <w:tcPr>
            <w:tcW w:w="1320" w:type="dxa"/>
          </w:tcPr>
          <w:p>
            <w:pPr>
              <w:pStyle w:val="TableParagraph"/>
              <w:ind w:right="63"/>
              <w:rPr>
                <w:sz w:val="22"/>
              </w:rPr>
            </w:pPr>
            <w:r>
              <w:rPr>
                <w:sz w:val="22"/>
              </w:rPr>
              <w:t>14.6</w:t>
            </w:r>
          </w:p>
        </w:tc>
        <w:tc>
          <w:tcPr>
            <w:tcW w:w="1248" w:type="dxa"/>
          </w:tcPr>
          <w:p>
            <w:pPr>
              <w:pStyle w:val="TableParagraph"/>
              <w:ind w:right="63"/>
              <w:rPr>
                <w:sz w:val="22"/>
              </w:rPr>
            </w:pPr>
            <w:r>
              <w:rPr>
                <w:sz w:val="22"/>
              </w:rPr>
              <w:t>14.4</w:t>
            </w:r>
          </w:p>
        </w:tc>
        <w:tc>
          <w:tcPr>
            <w:tcW w:w="605" w:type="dxa"/>
          </w:tcPr>
          <w:p>
            <w:pPr>
              <w:pStyle w:val="TableParagraph"/>
              <w:ind w:left="120" w:right="45"/>
              <w:jc w:val="center"/>
              <w:rPr>
                <w:sz w:val="22"/>
              </w:rPr>
            </w:pPr>
            <w:r>
              <w:rPr>
                <w:sz w:val="22"/>
              </w:rPr>
              <w:t>14.5</w:t>
            </w:r>
          </w:p>
        </w:tc>
        <w:tc>
          <w:tcPr>
            <w:tcW w:w="1169" w:type="dxa"/>
          </w:tcPr>
          <w:p>
            <w:pPr>
              <w:pStyle w:val="TableParagraph"/>
              <w:ind w:right="63"/>
              <w:rPr>
                <w:sz w:val="22"/>
              </w:rPr>
            </w:pPr>
            <w:r>
              <w:rPr>
                <w:sz w:val="22"/>
              </w:rPr>
              <w:t>14.5</w:t>
            </w:r>
          </w:p>
        </w:tc>
        <w:tc>
          <w:tcPr>
            <w:tcW w:w="1169" w:type="dxa"/>
          </w:tcPr>
          <w:p>
            <w:pPr>
              <w:pStyle w:val="TableParagraph"/>
              <w:ind w:right="63"/>
              <w:rPr>
                <w:sz w:val="22"/>
              </w:rPr>
            </w:pPr>
            <w:r>
              <w:rPr>
                <w:sz w:val="22"/>
              </w:rPr>
              <w:t>14.4</w:t>
            </w:r>
          </w:p>
        </w:tc>
        <w:tc>
          <w:tcPr>
            <w:tcW w:w="1166" w:type="dxa"/>
          </w:tcPr>
          <w:p>
            <w:pPr>
              <w:pStyle w:val="TableParagraph"/>
              <w:rPr>
                <w:sz w:val="22"/>
              </w:rPr>
            </w:pPr>
            <w:r>
              <w:rPr>
                <w:sz w:val="22"/>
              </w:rPr>
              <w:t>14.4</w:t>
            </w:r>
          </w:p>
        </w:tc>
      </w:tr>
      <w:tr>
        <w:trPr>
          <w:trHeight w:val="310" w:hRule="exact"/>
        </w:trPr>
        <w:tc>
          <w:tcPr>
            <w:tcW w:w="648" w:type="dxa"/>
          </w:tcPr>
          <w:p>
            <w:pPr>
              <w:pStyle w:val="TableParagraph"/>
              <w:rPr>
                <w:sz w:val="22"/>
              </w:rPr>
            </w:pPr>
            <w:r>
              <w:rPr>
                <w:sz w:val="22"/>
              </w:rPr>
              <w:t>144</w:t>
            </w:r>
          </w:p>
        </w:tc>
        <w:tc>
          <w:tcPr>
            <w:tcW w:w="1654" w:type="dxa"/>
          </w:tcPr>
          <w:p>
            <w:pPr>
              <w:pStyle w:val="TableParagraph"/>
              <w:ind w:right="63"/>
              <w:rPr>
                <w:sz w:val="22"/>
              </w:rPr>
            </w:pPr>
            <w:r>
              <w:rPr>
                <w:sz w:val="22"/>
              </w:rPr>
              <w:t>10/11/2009</w:t>
            </w:r>
          </w:p>
        </w:tc>
        <w:tc>
          <w:tcPr>
            <w:tcW w:w="1320" w:type="dxa"/>
          </w:tcPr>
          <w:p>
            <w:pPr>
              <w:pStyle w:val="TableParagraph"/>
              <w:ind w:right="63"/>
              <w:rPr>
                <w:sz w:val="22"/>
              </w:rPr>
            </w:pPr>
            <w:r>
              <w:rPr>
                <w:sz w:val="22"/>
              </w:rPr>
              <w:t>14.6</w:t>
            </w:r>
          </w:p>
        </w:tc>
        <w:tc>
          <w:tcPr>
            <w:tcW w:w="1248" w:type="dxa"/>
          </w:tcPr>
          <w:p>
            <w:pPr>
              <w:pStyle w:val="TableParagraph"/>
              <w:ind w:right="63"/>
              <w:rPr>
                <w:sz w:val="22"/>
              </w:rPr>
            </w:pPr>
            <w:r>
              <w:rPr>
                <w:sz w:val="22"/>
              </w:rPr>
              <w:t>14.3</w:t>
            </w:r>
          </w:p>
        </w:tc>
        <w:tc>
          <w:tcPr>
            <w:tcW w:w="605" w:type="dxa"/>
          </w:tcPr>
          <w:p>
            <w:pPr>
              <w:pStyle w:val="TableParagraph"/>
              <w:ind w:left="120" w:right="45"/>
              <w:jc w:val="center"/>
              <w:rPr>
                <w:sz w:val="22"/>
              </w:rPr>
            </w:pPr>
            <w:r>
              <w:rPr>
                <w:sz w:val="22"/>
              </w:rPr>
              <w:t>14.5</w:t>
            </w:r>
          </w:p>
        </w:tc>
        <w:tc>
          <w:tcPr>
            <w:tcW w:w="1169" w:type="dxa"/>
          </w:tcPr>
          <w:p>
            <w:pPr>
              <w:pStyle w:val="TableParagraph"/>
              <w:ind w:right="63"/>
              <w:rPr>
                <w:sz w:val="22"/>
              </w:rPr>
            </w:pPr>
            <w:r>
              <w:rPr>
                <w:sz w:val="22"/>
              </w:rPr>
              <w:t>14.5</w:t>
            </w:r>
          </w:p>
        </w:tc>
        <w:tc>
          <w:tcPr>
            <w:tcW w:w="1169" w:type="dxa"/>
          </w:tcPr>
          <w:p>
            <w:pPr>
              <w:pStyle w:val="TableParagraph"/>
              <w:ind w:right="63"/>
              <w:rPr>
                <w:sz w:val="22"/>
              </w:rPr>
            </w:pPr>
            <w:r>
              <w:rPr>
                <w:sz w:val="22"/>
              </w:rPr>
              <w:t>14.2</w:t>
            </w:r>
          </w:p>
        </w:tc>
        <w:tc>
          <w:tcPr>
            <w:tcW w:w="1166" w:type="dxa"/>
          </w:tcPr>
          <w:p>
            <w:pPr>
              <w:pStyle w:val="TableParagraph"/>
              <w:rPr>
                <w:sz w:val="22"/>
              </w:rPr>
            </w:pPr>
            <w:r>
              <w:rPr>
                <w:sz w:val="22"/>
              </w:rPr>
              <w:t>13.5</w:t>
            </w:r>
          </w:p>
        </w:tc>
      </w:tr>
      <w:tr>
        <w:trPr>
          <w:trHeight w:val="310" w:hRule="exact"/>
        </w:trPr>
        <w:tc>
          <w:tcPr>
            <w:tcW w:w="648" w:type="dxa"/>
          </w:tcPr>
          <w:p>
            <w:pPr>
              <w:pStyle w:val="TableParagraph"/>
              <w:spacing w:before="30"/>
              <w:rPr>
                <w:sz w:val="22"/>
              </w:rPr>
            </w:pPr>
            <w:r>
              <w:rPr>
                <w:sz w:val="22"/>
              </w:rPr>
              <w:t>145</w:t>
            </w:r>
          </w:p>
        </w:tc>
        <w:tc>
          <w:tcPr>
            <w:tcW w:w="1654" w:type="dxa"/>
          </w:tcPr>
          <w:p>
            <w:pPr>
              <w:pStyle w:val="TableParagraph"/>
              <w:spacing w:before="30"/>
              <w:ind w:right="63"/>
              <w:rPr>
                <w:sz w:val="22"/>
              </w:rPr>
            </w:pPr>
            <w:r>
              <w:rPr>
                <w:sz w:val="22"/>
              </w:rPr>
              <w:t>11/11/2009</w:t>
            </w:r>
          </w:p>
        </w:tc>
        <w:tc>
          <w:tcPr>
            <w:tcW w:w="1320" w:type="dxa"/>
          </w:tcPr>
          <w:p>
            <w:pPr>
              <w:pStyle w:val="TableParagraph"/>
              <w:spacing w:before="30"/>
              <w:ind w:right="63"/>
              <w:rPr>
                <w:sz w:val="22"/>
              </w:rPr>
            </w:pPr>
            <w:r>
              <w:rPr>
                <w:sz w:val="22"/>
              </w:rPr>
              <w:t>14.6</w:t>
            </w:r>
          </w:p>
        </w:tc>
        <w:tc>
          <w:tcPr>
            <w:tcW w:w="1248" w:type="dxa"/>
          </w:tcPr>
          <w:p>
            <w:pPr>
              <w:pStyle w:val="TableParagraph"/>
              <w:spacing w:before="30"/>
              <w:ind w:right="63"/>
              <w:rPr>
                <w:sz w:val="22"/>
              </w:rPr>
            </w:pPr>
            <w:r>
              <w:rPr>
                <w:sz w:val="22"/>
              </w:rPr>
              <w:t>14.7</w:t>
            </w:r>
          </w:p>
        </w:tc>
        <w:tc>
          <w:tcPr>
            <w:tcW w:w="605" w:type="dxa"/>
          </w:tcPr>
          <w:p>
            <w:pPr>
              <w:pStyle w:val="TableParagraph"/>
              <w:spacing w:before="30"/>
              <w:ind w:left="120" w:right="45"/>
              <w:jc w:val="center"/>
              <w:rPr>
                <w:sz w:val="22"/>
              </w:rPr>
            </w:pPr>
            <w:r>
              <w:rPr>
                <w:sz w:val="22"/>
              </w:rPr>
              <w:t>14.6</w:t>
            </w:r>
          </w:p>
        </w:tc>
        <w:tc>
          <w:tcPr>
            <w:tcW w:w="1169" w:type="dxa"/>
          </w:tcPr>
          <w:p>
            <w:pPr>
              <w:pStyle w:val="TableParagraph"/>
              <w:spacing w:before="30"/>
              <w:ind w:right="63"/>
              <w:rPr>
                <w:sz w:val="22"/>
              </w:rPr>
            </w:pPr>
            <w:r>
              <w:rPr>
                <w:sz w:val="22"/>
              </w:rPr>
              <w:t>14.8</w:t>
            </w:r>
          </w:p>
        </w:tc>
        <w:tc>
          <w:tcPr>
            <w:tcW w:w="1169" w:type="dxa"/>
          </w:tcPr>
          <w:p>
            <w:pPr>
              <w:pStyle w:val="TableParagraph"/>
              <w:spacing w:before="30"/>
              <w:ind w:right="63"/>
              <w:rPr>
                <w:sz w:val="22"/>
              </w:rPr>
            </w:pPr>
            <w:r>
              <w:rPr>
                <w:sz w:val="22"/>
              </w:rPr>
              <w:t>14.6</w:t>
            </w:r>
          </w:p>
        </w:tc>
        <w:tc>
          <w:tcPr>
            <w:tcW w:w="1166" w:type="dxa"/>
          </w:tcPr>
          <w:p>
            <w:pPr>
              <w:pStyle w:val="TableParagraph"/>
              <w:spacing w:before="30"/>
              <w:rPr>
                <w:sz w:val="22"/>
              </w:rPr>
            </w:pPr>
            <w:r>
              <w:rPr>
                <w:sz w:val="22"/>
              </w:rPr>
              <w:t>14.3</w:t>
            </w:r>
          </w:p>
        </w:tc>
      </w:tr>
      <w:tr>
        <w:trPr>
          <w:trHeight w:val="312" w:hRule="exact"/>
        </w:trPr>
        <w:tc>
          <w:tcPr>
            <w:tcW w:w="648" w:type="dxa"/>
          </w:tcPr>
          <w:p>
            <w:pPr>
              <w:pStyle w:val="TableParagraph"/>
              <w:spacing w:before="30"/>
              <w:rPr>
                <w:sz w:val="22"/>
              </w:rPr>
            </w:pPr>
            <w:r>
              <w:rPr>
                <w:sz w:val="22"/>
              </w:rPr>
              <w:t>146</w:t>
            </w:r>
          </w:p>
        </w:tc>
        <w:tc>
          <w:tcPr>
            <w:tcW w:w="1654" w:type="dxa"/>
          </w:tcPr>
          <w:p>
            <w:pPr>
              <w:pStyle w:val="TableParagraph"/>
              <w:spacing w:before="30"/>
              <w:ind w:right="63"/>
              <w:rPr>
                <w:sz w:val="22"/>
              </w:rPr>
            </w:pPr>
            <w:r>
              <w:rPr>
                <w:sz w:val="22"/>
              </w:rPr>
              <w:t>12/11/2009</w:t>
            </w:r>
          </w:p>
        </w:tc>
        <w:tc>
          <w:tcPr>
            <w:tcW w:w="1320" w:type="dxa"/>
          </w:tcPr>
          <w:p>
            <w:pPr>
              <w:pStyle w:val="TableParagraph"/>
              <w:spacing w:before="30"/>
              <w:ind w:right="63"/>
              <w:rPr>
                <w:sz w:val="22"/>
              </w:rPr>
            </w:pPr>
            <w:r>
              <w:rPr>
                <w:sz w:val="22"/>
              </w:rPr>
              <w:t>14.5</w:t>
            </w:r>
          </w:p>
        </w:tc>
        <w:tc>
          <w:tcPr>
            <w:tcW w:w="1248" w:type="dxa"/>
          </w:tcPr>
          <w:p>
            <w:pPr>
              <w:pStyle w:val="TableParagraph"/>
              <w:spacing w:before="30"/>
              <w:ind w:right="63"/>
              <w:rPr>
                <w:sz w:val="22"/>
              </w:rPr>
            </w:pPr>
            <w:r>
              <w:rPr>
                <w:sz w:val="22"/>
              </w:rPr>
              <w:t>14.2</w:t>
            </w:r>
          </w:p>
        </w:tc>
        <w:tc>
          <w:tcPr>
            <w:tcW w:w="605" w:type="dxa"/>
          </w:tcPr>
          <w:p>
            <w:pPr>
              <w:pStyle w:val="TableParagraph"/>
              <w:spacing w:before="30"/>
              <w:ind w:left="120" w:right="45"/>
              <w:jc w:val="center"/>
              <w:rPr>
                <w:sz w:val="22"/>
              </w:rPr>
            </w:pPr>
            <w:r>
              <w:rPr>
                <w:sz w:val="22"/>
              </w:rPr>
              <w:t>13.5</w:t>
            </w:r>
          </w:p>
        </w:tc>
        <w:tc>
          <w:tcPr>
            <w:tcW w:w="1169" w:type="dxa"/>
          </w:tcPr>
          <w:p>
            <w:pPr>
              <w:pStyle w:val="TableParagraph"/>
              <w:spacing w:before="30"/>
              <w:ind w:right="63"/>
              <w:rPr>
                <w:sz w:val="22"/>
              </w:rPr>
            </w:pPr>
            <w:r>
              <w:rPr>
                <w:sz w:val="22"/>
              </w:rPr>
              <w:t>13.6</w:t>
            </w:r>
          </w:p>
        </w:tc>
        <w:tc>
          <w:tcPr>
            <w:tcW w:w="1169" w:type="dxa"/>
          </w:tcPr>
          <w:p>
            <w:pPr>
              <w:pStyle w:val="TableParagraph"/>
              <w:spacing w:before="30"/>
              <w:ind w:right="63"/>
              <w:rPr>
                <w:sz w:val="22"/>
              </w:rPr>
            </w:pPr>
            <w:r>
              <w:rPr>
                <w:sz w:val="22"/>
              </w:rPr>
              <w:t>13.2</w:t>
            </w:r>
          </w:p>
        </w:tc>
        <w:tc>
          <w:tcPr>
            <w:tcW w:w="1166" w:type="dxa"/>
          </w:tcPr>
          <w:p>
            <w:pPr>
              <w:pStyle w:val="TableParagraph"/>
              <w:spacing w:before="30"/>
              <w:rPr>
                <w:sz w:val="22"/>
              </w:rPr>
            </w:pPr>
            <w:r>
              <w:rPr>
                <w:sz w:val="22"/>
              </w:rPr>
              <w:t>13.4</w:t>
            </w:r>
          </w:p>
        </w:tc>
      </w:tr>
      <w:tr>
        <w:trPr>
          <w:trHeight w:val="310" w:hRule="exact"/>
        </w:trPr>
        <w:tc>
          <w:tcPr>
            <w:tcW w:w="648" w:type="dxa"/>
          </w:tcPr>
          <w:p>
            <w:pPr>
              <w:pStyle w:val="TableParagraph"/>
              <w:rPr>
                <w:sz w:val="22"/>
              </w:rPr>
            </w:pPr>
            <w:r>
              <w:rPr>
                <w:sz w:val="22"/>
              </w:rPr>
              <w:t>147</w:t>
            </w:r>
          </w:p>
        </w:tc>
        <w:tc>
          <w:tcPr>
            <w:tcW w:w="1654" w:type="dxa"/>
          </w:tcPr>
          <w:p>
            <w:pPr>
              <w:pStyle w:val="TableParagraph"/>
              <w:ind w:right="63"/>
              <w:rPr>
                <w:sz w:val="22"/>
              </w:rPr>
            </w:pPr>
            <w:r>
              <w:rPr>
                <w:sz w:val="22"/>
              </w:rPr>
              <w:t>13/11/2009</w:t>
            </w:r>
          </w:p>
        </w:tc>
        <w:tc>
          <w:tcPr>
            <w:tcW w:w="1320" w:type="dxa"/>
          </w:tcPr>
          <w:p>
            <w:pPr>
              <w:pStyle w:val="TableParagraph"/>
              <w:ind w:right="63"/>
              <w:rPr>
                <w:sz w:val="22"/>
              </w:rPr>
            </w:pPr>
            <w:r>
              <w:rPr>
                <w:sz w:val="22"/>
              </w:rPr>
              <w:t>14.3</w:t>
            </w:r>
          </w:p>
        </w:tc>
        <w:tc>
          <w:tcPr>
            <w:tcW w:w="1248" w:type="dxa"/>
          </w:tcPr>
          <w:p>
            <w:pPr>
              <w:pStyle w:val="TableParagraph"/>
              <w:ind w:right="63"/>
              <w:rPr>
                <w:sz w:val="22"/>
              </w:rPr>
            </w:pPr>
            <w:r>
              <w:rPr>
                <w:sz w:val="22"/>
              </w:rPr>
              <w:t>14.4</w:t>
            </w:r>
          </w:p>
        </w:tc>
        <w:tc>
          <w:tcPr>
            <w:tcW w:w="605" w:type="dxa"/>
          </w:tcPr>
          <w:p>
            <w:pPr>
              <w:pStyle w:val="TableParagraph"/>
              <w:ind w:left="120" w:right="45"/>
              <w:jc w:val="center"/>
              <w:rPr>
                <w:sz w:val="22"/>
              </w:rPr>
            </w:pPr>
            <w:r>
              <w:rPr>
                <w:sz w:val="22"/>
              </w:rPr>
              <w:t>14.3</w:t>
            </w:r>
          </w:p>
        </w:tc>
        <w:tc>
          <w:tcPr>
            <w:tcW w:w="1169" w:type="dxa"/>
          </w:tcPr>
          <w:p>
            <w:pPr>
              <w:pStyle w:val="TableParagraph"/>
              <w:ind w:right="63"/>
              <w:rPr>
                <w:sz w:val="22"/>
              </w:rPr>
            </w:pPr>
            <w:r>
              <w:rPr>
                <w:sz w:val="22"/>
              </w:rPr>
              <w:t>14.3</w:t>
            </w:r>
          </w:p>
        </w:tc>
        <w:tc>
          <w:tcPr>
            <w:tcW w:w="1169" w:type="dxa"/>
          </w:tcPr>
          <w:p>
            <w:pPr>
              <w:pStyle w:val="TableParagraph"/>
              <w:ind w:right="63"/>
              <w:rPr>
                <w:sz w:val="22"/>
              </w:rPr>
            </w:pPr>
            <w:r>
              <w:rPr>
                <w:sz w:val="22"/>
              </w:rPr>
              <w:t>14.4</w:t>
            </w:r>
          </w:p>
        </w:tc>
        <w:tc>
          <w:tcPr>
            <w:tcW w:w="1166" w:type="dxa"/>
          </w:tcPr>
          <w:p>
            <w:pPr>
              <w:pStyle w:val="TableParagraph"/>
              <w:rPr>
                <w:sz w:val="22"/>
              </w:rPr>
            </w:pPr>
            <w:r>
              <w:rPr>
                <w:sz w:val="22"/>
              </w:rPr>
              <w:t>14.3</w:t>
            </w:r>
          </w:p>
        </w:tc>
      </w:tr>
      <w:tr>
        <w:trPr>
          <w:trHeight w:val="310" w:hRule="exact"/>
        </w:trPr>
        <w:tc>
          <w:tcPr>
            <w:tcW w:w="648" w:type="dxa"/>
          </w:tcPr>
          <w:p>
            <w:pPr>
              <w:pStyle w:val="TableParagraph"/>
              <w:rPr>
                <w:sz w:val="22"/>
              </w:rPr>
            </w:pPr>
            <w:r>
              <w:rPr>
                <w:sz w:val="22"/>
              </w:rPr>
              <w:t>148</w:t>
            </w:r>
          </w:p>
        </w:tc>
        <w:tc>
          <w:tcPr>
            <w:tcW w:w="1654" w:type="dxa"/>
          </w:tcPr>
          <w:p>
            <w:pPr>
              <w:pStyle w:val="TableParagraph"/>
              <w:ind w:right="63"/>
              <w:rPr>
                <w:sz w:val="22"/>
              </w:rPr>
            </w:pPr>
            <w:r>
              <w:rPr>
                <w:sz w:val="22"/>
              </w:rPr>
              <w:t>14/11/2009</w:t>
            </w:r>
          </w:p>
        </w:tc>
        <w:tc>
          <w:tcPr>
            <w:tcW w:w="1320" w:type="dxa"/>
          </w:tcPr>
          <w:p>
            <w:pPr>
              <w:pStyle w:val="TableParagraph"/>
              <w:ind w:right="63"/>
              <w:rPr>
                <w:sz w:val="22"/>
              </w:rPr>
            </w:pPr>
            <w:r>
              <w:rPr>
                <w:sz w:val="22"/>
              </w:rPr>
              <w:t>14</w:t>
            </w:r>
          </w:p>
        </w:tc>
        <w:tc>
          <w:tcPr>
            <w:tcW w:w="1248" w:type="dxa"/>
          </w:tcPr>
          <w:p>
            <w:pPr>
              <w:pStyle w:val="TableParagraph"/>
              <w:ind w:right="63"/>
              <w:rPr>
                <w:sz w:val="22"/>
              </w:rPr>
            </w:pPr>
            <w:r>
              <w:rPr>
                <w:sz w:val="22"/>
              </w:rPr>
              <w:t>13.8</w:t>
            </w:r>
          </w:p>
        </w:tc>
        <w:tc>
          <w:tcPr>
            <w:tcW w:w="605" w:type="dxa"/>
          </w:tcPr>
          <w:p>
            <w:pPr>
              <w:pStyle w:val="TableParagraph"/>
              <w:ind w:left="120" w:right="45"/>
              <w:jc w:val="center"/>
              <w:rPr>
                <w:sz w:val="22"/>
              </w:rPr>
            </w:pPr>
            <w:r>
              <w:rPr>
                <w:sz w:val="22"/>
              </w:rPr>
              <w:t>13.8</w:t>
            </w:r>
          </w:p>
        </w:tc>
        <w:tc>
          <w:tcPr>
            <w:tcW w:w="1169" w:type="dxa"/>
          </w:tcPr>
          <w:p>
            <w:pPr>
              <w:pStyle w:val="TableParagraph"/>
              <w:ind w:right="63"/>
              <w:rPr>
                <w:sz w:val="22"/>
              </w:rPr>
            </w:pPr>
            <w:r>
              <w:rPr>
                <w:sz w:val="22"/>
              </w:rPr>
              <w:t>13.9</w:t>
            </w:r>
          </w:p>
        </w:tc>
        <w:tc>
          <w:tcPr>
            <w:tcW w:w="1169" w:type="dxa"/>
          </w:tcPr>
          <w:p>
            <w:pPr>
              <w:pStyle w:val="TableParagraph"/>
              <w:ind w:right="63"/>
              <w:rPr>
                <w:sz w:val="22"/>
              </w:rPr>
            </w:pPr>
            <w:r>
              <w:rPr>
                <w:sz w:val="22"/>
              </w:rPr>
              <w:t>14</w:t>
            </w:r>
          </w:p>
        </w:tc>
        <w:tc>
          <w:tcPr>
            <w:tcW w:w="1166" w:type="dxa"/>
          </w:tcPr>
          <w:p>
            <w:pPr>
              <w:pStyle w:val="TableParagraph"/>
              <w:rPr>
                <w:sz w:val="22"/>
              </w:rPr>
            </w:pPr>
            <w:r>
              <w:rPr>
                <w:sz w:val="22"/>
              </w:rPr>
              <w:t>13.9</w:t>
            </w:r>
          </w:p>
        </w:tc>
      </w:tr>
      <w:tr>
        <w:trPr>
          <w:trHeight w:val="310" w:hRule="exact"/>
        </w:trPr>
        <w:tc>
          <w:tcPr>
            <w:tcW w:w="648" w:type="dxa"/>
          </w:tcPr>
          <w:p>
            <w:pPr>
              <w:pStyle w:val="TableParagraph"/>
              <w:rPr>
                <w:sz w:val="22"/>
              </w:rPr>
            </w:pPr>
            <w:r>
              <w:rPr>
                <w:sz w:val="22"/>
              </w:rPr>
              <w:t>149</w:t>
            </w:r>
          </w:p>
        </w:tc>
        <w:tc>
          <w:tcPr>
            <w:tcW w:w="1654" w:type="dxa"/>
          </w:tcPr>
          <w:p>
            <w:pPr>
              <w:pStyle w:val="TableParagraph"/>
              <w:ind w:right="63"/>
              <w:rPr>
                <w:sz w:val="22"/>
              </w:rPr>
            </w:pPr>
            <w:r>
              <w:rPr>
                <w:sz w:val="22"/>
              </w:rPr>
              <w:t>15/11/2009</w:t>
            </w:r>
          </w:p>
        </w:tc>
        <w:tc>
          <w:tcPr>
            <w:tcW w:w="1320" w:type="dxa"/>
          </w:tcPr>
          <w:p>
            <w:pPr>
              <w:pStyle w:val="TableParagraph"/>
              <w:ind w:right="63"/>
              <w:rPr>
                <w:sz w:val="22"/>
              </w:rPr>
            </w:pPr>
            <w:r>
              <w:rPr>
                <w:sz w:val="22"/>
              </w:rPr>
              <w:t>13.4</w:t>
            </w:r>
          </w:p>
        </w:tc>
        <w:tc>
          <w:tcPr>
            <w:tcW w:w="1248" w:type="dxa"/>
          </w:tcPr>
          <w:p>
            <w:pPr>
              <w:pStyle w:val="TableParagraph"/>
              <w:ind w:right="63"/>
              <w:rPr>
                <w:sz w:val="22"/>
              </w:rPr>
            </w:pPr>
            <w:r>
              <w:rPr>
                <w:sz w:val="22"/>
              </w:rPr>
              <w:t>13.5</w:t>
            </w:r>
          </w:p>
        </w:tc>
        <w:tc>
          <w:tcPr>
            <w:tcW w:w="605" w:type="dxa"/>
          </w:tcPr>
          <w:p>
            <w:pPr>
              <w:pStyle w:val="TableParagraph"/>
              <w:ind w:left="120" w:right="45"/>
              <w:jc w:val="center"/>
              <w:rPr>
                <w:sz w:val="22"/>
              </w:rPr>
            </w:pPr>
            <w:r>
              <w:rPr>
                <w:sz w:val="22"/>
              </w:rPr>
              <w:t>13.6</w:t>
            </w:r>
          </w:p>
        </w:tc>
        <w:tc>
          <w:tcPr>
            <w:tcW w:w="1169" w:type="dxa"/>
          </w:tcPr>
          <w:p>
            <w:pPr>
              <w:pStyle w:val="TableParagraph"/>
              <w:ind w:right="63"/>
              <w:rPr>
                <w:sz w:val="22"/>
              </w:rPr>
            </w:pPr>
            <w:r>
              <w:rPr>
                <w:sz w:val="22"/>
              </w:rPr>
              <w:t>13.9</w:t>
            </w:r>
          </w:p>
        </w:tc>
        <w:tc>
          <w:tcPr>
            <w:tcW w:w="1169" w:type="dxa"/>
          </w:tcPr>
          <w:p>
            <w:pPr>
              <w:pStyle w:val="TableParagraph"/>
              <w:ind w:right="63"/>
              <w:rPr>
                <w:sz w:val="22"/>
              </w:rPr>
            </w:pPr>
            <w:r>
              <w:rPr>
                <w:sz w:val="22"/>
              </w:rPr>
              <w:t>13.6</w:t>
            </w:r>
          </w:p>
        </w:tc>
        <w:tc>
          <w:tcPr>
            <w:tcW w:w="1166" w:type="dxa"/>
          </w:tcPr>
          <w:p>
            <w:pPr>
              <w:pStyle w:val="TableParagraph"/>
              <w:rPr>
                <w:sz w:val="22"/>
              </w:rPr>
            </w:pPr>
            <w:r>
              <w:rPr>
                <w:sz w:val="22"/>
              </w:rPr>
              <w:t>13.8</w:t>
            </w:r>
          </w:p>
        </w:tc>
      </w:tr>
      <w:tr>
        <w:trPr>
          <w:trHeight w:val="310" w:hRule="exact"/>
        </w:trPr>
        <w:tc>
          <w:tcPr>
            <w:tcW w:w="648" w:type="dxa"/>
          </w:tcPr>
          <w:p>
            <w:pPr>
              <w:pStyle w:val="TableParagraph"/>
              <w:rPr>
                <w:sz w:val="22"/>
              </w:rPr>
            </w:pPr>
            <w:r>
              <w:rPr>
                <w:sz w:val="22"/>
              </w:rPr>
              <w:t>150</w:t>
            </w:r>
          </w:p>
        </w:tc>
        <w:tc>
          <w:tcPr>
            <w:tcW w:w="1654" w:type="dxa"/>
          </w:tcPr>
          <w:p>
            <w:pPr>
              <w:pStyle w:val="TableParagraph"/>
              <w:ind w:right="63"/>
              <w:rPr>
                <w:sz w:val="22"/>
              </w:rPr>
            </w:pPr>
            <w:r>
              <w:rPr>
                <w:sz w:val="22"/>
              </w:rPr>
              <w:t>16/11/2009</w:t>
            </w:r>
          </w:p>
        </w:tc>
        <w:tc>
          <w:tcPr>
            <w:tcW w:w="1320" w:type="dxa"/>
          </w:tcPr>
          <w:p>
            <w:pPr>
              <w:pStyle w:val="TableParagraph"/>
              <w:ind w:right="63"/>
              <w:rPr>
                <w:sz w:val="22"/>
              </w:rPr>
            </w:pPr>
            <w:r>
              <w:rPr>
                <w:sz w:val="22"/>
              </w:rPr>
              <w:t>14.7</w:t>
            </w:r>
          </w:p>
        </w:tc>
        <w:tc>
          <w:tcPr>
            <w:tcW w:w="1248" w:type="dxa"/>
          </w:tcPr>
          <w:p>
            <w:pPr>
              <w:pStyle w:val="TableParagraph"/>
              <w:ind w:right="63"/>
              <w:rPr>
                <w:sz w:val="22"/>
              </w:rPr>
            </w:pPr>
            <w:r>
              <w:rPr>
                <w:sz w:val="22"/>
              </w:rPr>
              <w:t>14.5</w:t>
            </w:r>
          </w:p>
        </w:tc>
        <w:tc>
          <w:tcPr>
            <w:tcW w:w="605" w:type="dxa"/>
          </w:tcPr>
          <w:p>
            <w:pPr>
              <w:pStyle w:val="TableParagraph"/>
              <w:ind w:left="120" w:right="45"/>
              <w:jc w:val="center"/>
              <w:rPr>
                <w:sz w:val="22"/>
              </w:rPr>
            </w:pPr>
            <w:r>
              <w:rPr>
                <w:sz w:val="22"/>
              </w:rPr>
              <w:t>14.6</w:t>
            </w:r>
          </w:p>
        </w:tc>
        <w:tc>
          <w:tcPr>
            <w:tcW w:w="1169" w:type="dxa"/>
          </w:tcPr>
          <w:p>
            <w:pPr>
              <w:pStyle w:val="TableParagraph"/>
              <w:ind w:right="63"/>
              <w:rPr>
                <w:sz w:val="22"/>
              </w:rPr>
            </w:pPr>
            <w:r>
              <w:rPr>
                <w:sz w:val="22"/>
              </w:rPr>
              <w:t>14.6</w:t>
            </w:r>
          </w:p>
        </w:tc>
        <w:tc>
          <w:tcPr>
            <w:tcW w:w="1169" w:type="dxa"/>
          </w:tcPr>
          <w:p>
            <w:pPr>
              <w:pStyle w:val="TableParagraph"/>
              <w:ind w:right="63"/>
              <w:rPr>
                <w:sz w:val="22"/>
              </w:rPr>
            </w:pPr>
            <w:r>
              <w:rPr>
                <w:sz w:val="22"/>
              </w:rPr>
              <w:t>14.5</w:t>
            </w:r>
          </w:p>
        </w:tc>
        <w:tc>
          <w:tcPr>
            <w:tcW w:w="1166" w:type="dxa"/>
          </w:tcPr>
          <w:p>
            <w:pPr>
              <w:pStyle w:val="TableParagraph"/>
              <w:rPr>
                <w:sz w:val="22"/>
              </w:rPr>
            </w:pPr>
            <w:r>
              <w:rPr>
                <w:sz w:val="22"/>
              </w:rPr>
              <w:t>14.5</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7"/>
        <w:gridCol w:w="1762"/>
        <w:gridCol w:w="1267"/>
        <w:gridCol w:w="1193"/>
        <w:gridCol w:w="619"/>
        <w:gridCol w:w="1195"/>
        <w:gridCol w:w="1193"/>
        <w:gridCol w:w="1195"/>
      </w:tblGrid>
      <w:tr>
        <w:trPr>
          <w:trHeight w:val="310" w:hRule="exact"/>
        </w:trPr>
        <w:tc>
          <w:tcPr>
            <w:tcW w:w="9101" w:type="dxa"/>
            <w:gridSpan w:val="8"/>
            <w:shd w:val="clear" w:color="auto" w:fill="E6B9B8"/>
          </w:tcPr>
          <w:p>
            <w:pPr>
              <w:pStyle w:val="TableParagraph"/>
              <w:ind w:left="3016" w:right="0"/>
              <w:jc w:val="left"/>
              <w:rPr>
                <w:b/>
                <w:sz w:val="22"/>
              </w:rPr>
            </w:pPr>
            <w:r>
              <w:rPr>
                <w:b/>
                <w:sz w:val="22"/>
              </w:rPr>
              <w:t>Nitrógeno amoniacal total (mg/L)</w:t>
            </w:r>
          </w:p>
        </w:tc>
      </w:tr>
      <w:tr>
        <w:trPr>
          <w:trHeight w:val="610" w:hRule="exact"/>
        </w:trPr>
        <w:tc>
          <w:tcPr>
            <w:tcW w:w="677" w:type="dxa"/>
            <w:vMerge w:val="restart"/>
            <w:shd w:val="clear" w:color="auto" w:fill="E6B9B8"/>
          </w:tcPr>
          <w:p>
            <w:pPr>
              <w:pStyle w:val="TableParagraph"/>
              <w:spacing w:before="8"/>
              <w:ind w:right="0"/>
              <w:jc w:val="left"/>
              <w:rPr>
                <w:rFonts w:ascii="Times New Roman"/>
                <w:sz w:val="27"/>
              </w:rPr>
            </w:pPr>
          </w:p>
          <w:p>
            <w:pPr>
              <w:pStyle w:val="TableParagraph"/>
              <w:spacing w:before="0"/>
              <w:ind w:left="139" w:right="0"/>
              <w:jc w:val="left"/>
              <w:rPr>
                <w:b/>
                <w:sz w:val="22"/>
              </w:rPr>
            </w:pPr>
            <w:r>
              <w:rPr>
                <w:b/>
                <w:sz w:val="22"/>
              </w:rPr>
              <w:t>Días</w:t>
            </w:r>
          </w:p>
        </w:tc>
        <w:tc>
          <w:tcPr>
            <w:tcW w:w="1762" w:type="dxa"/>
            <w:vMerge w:val="restart"/>
            <w:shd w:val="clear" w:color="auto" w:fill="E6B9B8"/>
          </w:tcPr>
          <w:p>
            <w:pPr>
              <w:pStyle w:val="TableParagraph"/>
              <w:spacing w:before="8"/>
              <w:ind w:right="0"/>
              <w:jc w:val="left"/>
              <w:rPr>
                <w:rFonts w:ascii="Times New Roman"/>
                <w:sz w:val="27"/>
              </w:rPr>
            </w:pPr>
          </w:p>
          <w:p>
            <w:pPr>
              <w:pStyle w:val="TableParagraph"/>
              <w:spacing w:before="0"/>
              <w:ind w:left="590" w:right="591"/>
              <w:jc w:val="center"/>
              <w:rPr>
                <w:b/>
                <w:sz w:val="22"/>
              </w:rPr>
            </w:pPr>
            <w:r>
              <w:rPr>
                <w:b/>
                <w:sz w:val="22"/>
              </w:rPr>
              <w:t>Fecha</w:t>
            </w:r>
          </w:p>
        </w:tc>
        <w:tc>
          <w:tcPr>
            <w:tcW w:w="6662" w:type="dxa"/>
            <w:gridSpan w:val="6"/>
            <w:shd w:val="clear" w:color="auto" w:fill="E6B9B8"/>
          </w:tcPr>
          <w:p>
            <w:pPr>
              <w:pStyle w:val="TableParagraph"/>
              <w:spacing w:before="162"/>
              <w:ind w:left="2384" w:right="2385"/>
              <w:jc w:val="center"/>
              <w:rPr>
                <w:b/>
                <w:sz w:val="22"/>
              </w:rPr>
            </w:pPr>
            <w:r>
              <w:rPr>
                <w:b/>
                <w:sz w:val="22"/>
              </w:rPr>
              <w:t>Puntos de muestreo</w:t>
            </w:r>
          </w:p>
        </w:tc>
      </w:tr>
      <w:tr>
        <w:trPr>
          <w:trHeight w:val="311" w:hRule="exact"/>
        </w:trPr>
        <w:tc>
          <w:tcPr>
            <w:tcW w:w="677" w:type="dxa"/>
            <w:vMerge/>
            <w:shd w:val="clear" w:color="auto" w:fill="E6B9B8"/>
          </w:tcPr>
          <w:p>
            <w:pPr/>
          </w:p>
        </w:tc>
        <w:tc>
          <w:tcPr>
            <w:tcW w:w="1762" w:type="dxa"/>
            <w:vMerge/>
            <w:shd w:val="clear" w:color="auto" w:fill="E6B9B8"/>
          </w:tcPr>
          <w:p>
            <w:pPr/>
          </w:p>
        </w:tc>
        <w:tc>
          <w:tcPr>
            <w:tcW w:w="1267" w:type="dxa"/>
            <w:shd w:val="clear" w:color="auto" w:fill="E6B9B8"/>
          </w:tcPr>
          <w:p>
            <w:pPr>
              <w:pStyle w:val="TableParagraph"/>
              <w:spacing w:before="13"/>
              <w:ind w:right="3"/>
              <w:jc w:val="center"/>
              <w:rPr>
                <w:b/>
                <w:sz w:val="22"/>
              </w:rPr>
            </w:pPr>
            <w:r>
              <w:rPr>
                <w:b/>
                <w:w w:val="100"/>
                <w:sz w:val="22"/>
              </w:rPr>
              <w:t>A</w:t>
            </w:r>
          </w:p>
        </w:tc>
        <w:tc>
          <w:tcPr>
            <w:tcW w:w="1193" w:type="dxa"/>
            <w:shd w:val="clear" w:color="auto" w:fill="E6B9B8"/>
          </w:tcPr>
          <w:p>
            <w:pPr>
              <w:pStyle w:val="TableParagraph"/>
              <w:spacing w:before="13"/>
              <w:ind w:right="1"/>
              <w:jc w:val="center"/>
              <w:rPr>
                <w:b/>
                <w:sz w:val="22"/>
              </w:rPr>
            </w:pPr>
            <w:r>
              <w:rPr>
                <w:b/>
                <w:w w:val="100"/>
                <w:sz w:val="22"/>
              </w:rPr>
              <w:t>B</w:t>
            </w:r>
          </w:p>
        </w:tc>
        <w:tc>
          <w:tcPr>
            <w:tcW w:w="619" w:type="dxa"/>
            <w:shd w:val="clear" w:color="auto" w:fill="E6B9B8"/>
          </w:tcPr>
          <w:p>
            <w:pPr>
              <w:pStyle w:val="TableParagraph"/>
              <w:spacing w:before="30"/>
              <w:ind w:right="1"/>
              <w:jc w:val="center"/>
              <w:rPr>
                <w:b/>
                <w:sz w:val="22"/>
              </w:rPr>
            </w:pPr>
            <w:r>
              <w:rPr>
                <w:b/>
                <w:w w:val="100"/>
                <w:sz w:val="22"/>
              </w:rPr>
              <w:t>C</w:t>
            </w:r>
          </w:p>
        </w:tc>
        <w:tc>
          <w:tcPr>
            <w:tcW w:w="1195" w:type="dxa"/>
            <w:shd w:val="clear" w:color="auto" w:fill="E6B9B8"/>
          </w:tcPr>
          <w:p>
            <w:pPr>
              <w:pStyle w:val="TableParagraph"/>
              <w:spacing w:before="13"/>
              <w:ind w:right="3"/>
              <w:jc w:val="center"/>
              <w:rPr>
                <w:b/>
                <w:sz w:val="22"/>
              </w:rPr>
            </w:pPr>
            <w:r>
              <w:rPr>
                <w:b/>
                <w:w w:val="100"/>
                <w:sz w:val="22"/>
              </w:rPr>
              <w:t>D</w:t>
            </w:r>
          </w:p>
        </w:tc>
        <w:tc>
          <w:tcPr>
            <w:tcW w:w="1193" w:type="dxa"/>
            <w:shd w:val="clear" w:color="auto" w:fill="E6B9B8"/>
          </w:tcPr>
          <w:p>
            <w:pPr>
              <w:pStyle w:val="TableParagraph"/>
              <w:spacing w:before="13"/>
              <w:ind w:right="0"/>
              <w:jc w:val="center"/>
              <w:rPr>
                <w:b/>
                <w:sz w:val="22"/>
              </w:rPr>
            </w:pPr>
            <w:r>
              <w:rPr>
                <w:b/>
                <w:w w:val="100"/>
                <w:sz w:val="22"/>
              </w:rPr>
              <w:t>E</w:t>
            </w:r>
          </w:p>
        </w:tc>
        <w:tc>
          <w:tcPr>
            <w:tcW w:w="1195" w:type="dxa"/>
            <w:shd w:val="clear" w:color="auto" w:fill="E6B9B8"/>
          </w:tcPr>
          <w:p>
            <w:pPr>
              <w:pStyle w:val="TableParagraph"/>
              <w:spacing w:before="13"/>
              <w:ind w:right="1"/>
              <w:jc w:val="center"/>
              <w:rPr>
                <w:b/>
                <w:sz w:val="22"/>
              </w:rPr>
            </w:pPr>
            <w:r>
              <w:rPr>
                <w:b/>
                <w:w w:val="100"/>
                <w:sz w:val="22"/>
              </w:rPr>
              <w:t>G</w:t>
            </w:r>
          </w:p>
        </w:tc>
      </w:tr>
      <w:tr>
        <w:trPr>
          <w:trHeight w:val="311" w:hRule="exact"/>
        </w:trPr>
        <w:tc>
          <w:tcPr>
            <w:tcW w:w="677" w:type="dxa"/>
            <w:shd w:val="clear" w:color="auto" w:fill="DBE4F0"/>
          </w:tcPr>
          <w:p>
            <w:pPr>
              <w:pStyle w:val="TableParagraph"/>
              <w:spacing w:before="29"/>
              <w:rPr>
                <w:sz w:val="22"/>
              </w:rPr>
            </w:pPr>
            <w:r>
              <w:rPr>
                <w:w w:val="100"/>
                <w:sz w:val="22"/>
              </w:rPr>
              <w:t>1</w:t>
            </w:r>
          </w:p>
        </w:tc>
        <w:tc>
          <w:tcPr>
            <w:tcW w:w="1762" w:type="dxa"/>
            <w:shd w:val="clear" w:color="auto" w:fill="DBE4F0"/>
          </w:tcPr>
          <w:p>
            <w:pPr>
              <w:pStyle w:val="TableParagraph"/>
              <w:spacing w:before="29"/>
              <w:ind w:right="63"/>
              <w:rPr>
                <w:sz w:val="22"/>
              </w:rPr>
            </w:pPr>
            <w:r>
              <w:rPr>
                <w:sz w:val="22"/>
              </w:rPr>
              <w:t>20/06/2009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spacing w:before="29"/>
              <w:ind w:left="134" w:right="44"/>
              <w:jc w:val="center"/>
              <w:rPr>
                <w:sz w:val="22"/>
              </w:rPr>
            </w:pPr>
            <w:r>
              <w:rPr>
                <w:sz w:val="22"/>
              </w:rPr>
              <w:t>0.48</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w w:val="100"/>
                <w:sz w:val="22"/>
              </w:rPr>
              <w:t>4</w:t>
            </w:r>
          </w:p>
        </w:tc>
        <w:tc>
          <w:tcPr>
            <w:tcW w:w="1762" w:type="dxa"/>
            <w:shd w:val="clear" w:color="auto" w:fill="DBE4F0"/>
          </w:tcPr>
          <w:p>
            <w:pPr>
              <w:pStyle w:val="TableParagraph"/>
              <w:ind w:right="63"/>
              <w:rPr>
                <w:sz w:val="22"/>
              </w:rPr>
            </w:pPr>
            <w:r>
              <w:rPr>
                <w:sz w:val="22"/>
              </w:rPr>
              <w:t>23/06/2009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0.76</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w w:val="100"/>
                <w:sz w:val="22"/>
              </w:rPr>
              <w:t>8</w:t>
            </w:r>
          </w:p>
        </w:tc>
        <w:tc>
          <w:tcPr>
            <w:tcW w:w="1762" w:type="dxa"/>
            <w:shd w:val="clear" w:color="auto" w:fill="DBE4F0"/>
          </w:tcPr>
          <w:p>
            <w:pPr>
              <w:pStyle w:val="TableParagraph"/>
              <w:ind w:right="63"/>
              <w:rPr>
                <w:sz w:val="22"/>
              </w:rPr>
            </w:pPr>
            <w:r>
              <w:rPr>
                <w:sz w:val="22"/>
              </w:rPr>
              <w:t>27/06/2009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0.65</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sz w:val="22"/>
              </w:rPr>
              <w:t>11</w:t>
            </w:r>
          </w:p>
        </w:tc>
        <w:tc>
          <w:tcPr>
            <w:tcW w:w="1762" w:type="dxa"/>
            <w:shd w:val="clear" w:color="auto" w:fill="DBE4F0"/>
          </w:tcPr>
          <w:p>
            <w:pPr>
              <w:pStyle w:val="TableParagraph"/>
              <w:ind w:right="63"/>
              <w:rPr>
                <w:sz w:val="22"/>
              </w:rPr>
            </w:pPr>
            <w:r>
              <w:rPr>
                <w:sz w:val="22"/>
              </w:rPr>
              <w:t>30/06/2009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0.89</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sz w:val="22"/>
              </w:rPr>
              <w:t>15</w:t>
            </w:r>
          </w:p>
        </w:tc>
        <w:tc>
          <w:tcPr>
            <w:tcW w:w="1762" w:type="dxa"/>
            <w:shd w:val="clear" w:color="auto" w:fill="DBE4F0"/>
          </w:tcPr>
          <w:p>
            <w:pPr>
              <w:pStyle w:val="TableParagraph"/>
              <w:ind w:right="63"/>
              <w:rPr>
                <w:sz w:val="22"/>
              </w:rPr>
            </w:pPr>
            <w:r>
              <w:rPr>
                <w:sz w:val="22"/>
              </w:rPr>
              <w:t>04/07/2009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1.15</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1" w:hRule="exact"/>
        </w:trPr>
        <w:tc>
          <w:tcPr>
            <w:tcW w:w="677" w:type="dxa"/>
            <w:shd w:val="clear" w:color="auto" w:fill="DBE4F0"/>
          </w:tcPr>
          <w:p>
            <w:pPr>
              <w:pStyle w:val="TableParagraph"/>
              <w:spacing w:before="30"/>
              <w:rPr>
                <w:sz w:val="22"/>
              </w:rPr>
            </w:pPr>
            <w:r>
              <w:rPr>
                <w:sz w:val="22"/>
              </w:rPr>
              <w:t>18</w:t>
            </w:r>
          </w:p>
        </w:tc>
        <w:tc>
          <w:tcPr>
            <w:tcW w:w="1762" w:type="dxa"/>
            <w:shd w:val="clear" w:color="auto" w:fill="DBE4F0"/>
          </w:tcPr>
          <w:p>
            <w:pPr>
              <w:pStyle w:val="TableParagraph"/>
              <w:spacing w:before="30"/>
              <w:ind w:right="63"/>
              <w:rPr>
                <w:sz w:val="22"/>
              </w:rPr>
            </w:pPr>
            <w:r>
              <w:rPr>
                <w:sz w:val="22"/>
              </w:rPr>
              <w:t>07/07/2009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spacing w:before="30"/>
              <w:ind w:left="134" w:right="44"/>
              <w:jc w:val="center"/>
              <w:rPr>
                <w:sz w:val="22"/>
              </w:rPr>
            </w:pPr>
            <w:r>
              <w:rPr>
                <w:sz w:val="22"/>
              </w:rPr>
              <w:t>0.92</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1" w:hRule="exact"/>
        </w:trPr>
        <w:tc>
          <w:tcPr>
            <w:tcW w:w="677" w:type="dxa"/>
            <w:shd w:val="clear" w:color="auto" w:fill="DBE4F0"/>
          </w:tcPr>
          <w:p>
            <w:pPr>
              <w:pStyle w:val="TableParagraph"/>
              <w:spacing w:before="29"/>
              <w:rPr>
                <w:sz w:val="22"/>
              </w:rPr>
            </w:pPr>
            <w:r>
              <w:rPr>
                <w:sz w:val="22"/>
              </w:rPr>
              <w:t>22</w:t>
            </w:r>
          </w:p>
        </w:tc>
        <w:tc>
          <w:tcPr>
            <w:tcW w:w="1762" w:type="dxa"/>
            <w:shd w:val="clear" w:color="auto" w:fill="DBE4F0"/>
          </w:tcPr>
          <w:p>
            <w:pPr>
              <w:pStyle w:val="TableParagraph"/>
              <w:spacing w:before="29"/>
              <w:ind w:right="63"/>
              <w:rPr>
                <w:sz w:val="22"/>
              </w:rPr>
            </w:pPr>
            <w:r>
              <w:rPr>
                <w:sz w:val="22"/>
              </w:rPr>
              <w:t>11/07/2009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spacing w:before="29"/>
              <w:ind w:left="134" w:right="44"/>
              <w:jc w:val="center"/>
              <w:rPr>
                <w:sz w:val="22"/>
              </w:rPr>
            </w:pPr>
            <w:r>
              <w:rPr>
                <w:sz w:val="22"/>
              </w:rPr>
              <w:t>1.34</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sz w:val="22"/>
              </w:rPr>
              <w:t>25</w:t>
            </w:r>
          </w:p>
        </w:tc>
        <w:tc>
          <w:tcPr>
            <w:tcW w:w="1762" w:type="dxa"/>
            <w:shd w:val="clear" w:color="auto" w:fill="DBE4F0"/>
          </w:tcPr>
          <w:p>
            <w:pPr>
              <w:pStyle w:val="TableParagraph"/>
              <w:ind w:right="63"/>
              <w:rPr>
                <w:sz w:val="22"/>
              </w:rPr>
            </w:pPr>
            <w:r>
              <w:rPr>
                <w:sz w:val="22"/>
              </w:rPr>
              <w:t>14/07/2009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0.32</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sz w:val="22"/>
              </w:rPr>
              <w:t>29</w:t>
            </w:r>
          </w:p>
        </w:tc>
        <w:tc>
          <w:tcPr>
            <w:tcW w:w="1762" w:type="dxa"/>
            <w:shd w:val="clear" w:color="auto" w:fill="DBE4F0"/>
          </w:tcPr>
          <w:p>
            <w:pPr>
              <w:pStyle w:val="TableParagraph"/>
              <w:ind w:right="63"/>
              <w:rPr>
                <w:sz w:val="22"/>
              </w:rPr>
            </w:pPr>
            <w:r>
              <w:rPr>
                <w:sz w:val="22"/>
              </w:rPr>
              <w:t>18/07/2009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0.05</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sz w:val="22"/>
              </w:rPr>
              <w:t>32</w:t>
            </w:r>
          </w:p>
        </w:tc>
        <w:tc>
          <w:tcPr>
            <w:tcW w:w="1762" w:type="dxa"/>
            <w:shd w:val="clear" w:color="auto" w:fill="DBE4F0"/>
          </w:tcPr>
          <w:p>
            <w:pPr>
              <w:pStyle w:val="TableParagraph"/>
              <w:ind w:right="63"/>
              <w:rPr>
                <w:sz w:val="22"/>
              </w:rPr>
            </w:pPr>
            <w:r>
              <w:rPr>
                <w:sz w:val="22"/>
              </w:rPr>
              <w:t>21/07/2009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0.07</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shd w:val="clear" w:color="auto" w:fill="DBE4F0"/>
          </w:tcPr>
          <w:p>
            <w:pPr>
              <w:pStyle w:val="TableParagraph"/>
              <w:rPr>
                <w:sz w:val="22"/>
              </w:rPr>
            </w:pPr>
            <w:r>
              <w:rPr>
                <w:sz w:val="22"/>
              </w:rPr>
              <w:t>34</w:t>
            </w:r>
          </w:p>
        </w:tc>
        <w:tc>
          <w:tcPr>
            <w:tcW w:w="1762" w:type="dxa"/>
            <w:shd w:val="clear" w:color="auto" w:fill="DBE4F0"/>
          </w:tcPr>
          <w:p>
            <w:pPr>
              <w:pStyle w:val="TableParagraph"/>
              <w:ind w:right="63"/>
              <w:rPr>
                <w:sz w:val="22"/>
              </w:rPr>
            </w:pPr>
            <w:r>
              <w:rPr>
                <w:sz w:val="22"/>
              </w:rPr>
              <w:t>23/07/2009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ind w:left="134" w:right="44"/>
              <w:jc w:val="center"/>
              <w:rPr>
                <w:sz w:val="22"/>
              </w:rPr>
            </w:pPr>
            <w:r>
              <w:rPr>
                <w:sz w:val="22"/>
              </w:rPr>
              <w:t>0.17</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1" w:hRule="exact"/>
        </w:trPr>
        <w:tc>
          <w:tcPr>
            <w:tcW w:w="677" w:type="dxa"/>
            <w:shd w:val="clear" w:color="auto" w:fill="DBE4F0"/>
          </w:tcPr>
          <w:p>
            <w:pPr>
              <w:pStyle w:val="TableParagraph"/>
              <w:spacing w:before="30"/>
              <w:rPr>
                <w:sz w:val="22"/>
              </w:rPr>
            </w:pPr>
            <w:r>
              <w:rPr>
                <w:sz w:val="22"/>
              </w:rPr>
              <w:t>35</w:t>
            </w:r>
          </w:p>
        </w:tc>
        <w:tc>
          <w:tcPr>
            <w:tcW w:w="1762" w:type="dxa"/>
            <w:shd w:val="clear" w:color="auto" w:fill="DBE4F0"/>
          </w:tcPr>
          <w:p>
            <w:pPr>
              <w:pStyle w:val="TableParagraph"/>
              <w:spacing w:before="30"/>
              <w:ind w:right="63"/>
              <w:rPr>
                <w:sz w:val="22"/>
              </w:rPr>
            </w:pPr>
            <w:r>
              <w:rPr>
                <w:sz w:val="22"/>
              </w:rPr>
              <w:t>24/07/2009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spacing w:before="30"/>
              <w:ind w:left="134" w:right="44"/>
              <w:jc w:val="center"/>
              <w:rPr>
                <w:sz w:val="22"/>
              </w:rPr>
            </w:pPr>
            <w:r>
              <w:rPr>
                <w:sz w:val="22"/>
              </w:rPr>
              <w:t>0.03</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1" w:hRule="exact"/>
        </w:trPr>
        <w:tc>
          <w:tcPr>
            <w:tcW w:w="677" w:type="dxa"/>
            <w:shd w:val="clear" w:color="auto" w:fill="DBE4F0"/>
          </w:tcPr>
          <w:p>
            <w:pPr>
              <w:pStyle w:val="TableParagraph"/>
              <w:spacing w:before="29"/>
              <w:rPr>
                <w:sz w:val="22"/>
              </w:rPr>
            </w:pPr>
            <w:r>
              <w:rPr>
                <w:sz w:val="22"/>
              </w:rPr>
              <w:t>36</w:t>
            </w:r>
          </w:p>
        </w:tc>
        <w:tc>
          <w:tcPr>
            <w:tcW w:w="1762" w:type="dxa"/>
            <w:shd w:val="clear" w:color="auto" w:fill="DBE4F0"/>
          </w:tcPr>
          <w:p>
            <w:pPr>
              <w:pStyle w:val="TableParagraph"/>
              <w:spacing w:before="29"/>
              <w:ind w:right="63"/>
              <w:rPr>
                <w:sz w:val="22"/>
              </w:rPr>
            </w:pPr>
            <w:r>
              <w:rPr>
                <w:sz w:val="22"/>
              </w:rPr>
              <w:t>25/07/2009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spacing w:before="29"/>
              <w:ind w:left="134" w:right="44"/>
              <w:jc w:val="center"/>
              <w:rPr>
                <w:sz w:val="22"/>
              </w:rPr>
            </w:pPr>
            <w:r>
              <w:rPr>
                <w:sz w:val="22"/>
              </w:rPr>
              <w:t>0.11</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24" w:hRule="exact"/>
        </w:trPr>
        <w:tc>
          <w:tcPr>
            <w:tcW w:w="677" w:type="dxa"/>
            <w:shd w:val="clear" w:color="auto" w:fill="DBE4F0"/>
          </w:tcPr>
          <w:p>
            <w:pPr>
              <w:pStyle w:val="TableParagraph"/>
              <w:spacing w:before="42"/>
              <w:rPr>
                <w:sz w:val="22"/>
              </w:rPr>
            </w:pPr>
            <w:r>
              <w:rPr>
                <w:sz w:val="22"/>
              </w:rPr>
              <w:t>37</w:t>
            </w:r>
          </w:p>
        </w:tc>
        <w:tc>
          <w:tcPr>
            <w:tcW w:w="1762" w:type="dxa"/>
            <w:shd w:val="clear" w:color="auto" w:fill="DBE4F0"/>
          </w:tcPr>
          <w:p>
            <w:pPr>
              <w:pStyle w:val="TableParagraph"/>
              <w:spacing w:before="42"/>
              <w:ind w:right="63"/>
              <w:rPr>
                <w:sz w:val="22"/>
              </w:rPr>
            </w:pPr>
            <w:r>
              <w:rPr>
                <w:sz w:val="22"/>
              </w:rPr>
              <w:t>26/07/2009</w:t>
            </w:r>
          </w:p>
        </w:tc>
        <w:tc>
          <w:tcPr>
            <w:tcW w:w="1267" w:type="dxa"/>
            <w:shd w:val="clear" w:color="auto" w:fill="DBE4F0"/>
          </w:tcPr>
          <w:p>
            <w:pPr/>
          </w:p>
        </w:tc>
        <w:tc>
          <w:tcPr>
            <w:tcW w:w="1193" w:type="dxa"/>
            <w:shd w:val="clear" w:color="auto" w:fill="DBE4F0"/>
          </w:tcPr>
          <w:p>
            <w:pPr/>
          </w:p>
        </w:tc>
        <w:tc>
          <w:tcPr>
            <w:tcW w:w="619" w:type="dxa"/>
            <w:shd w:val="clear" w:color="auto" w:fill="DBE4F0"/>
          </w:tcPr>
          <w:p>
            <w:pPr>
              <w:pStyle w:val="TableParagraph"/>
              <w:spacing w:before="42"/>
              <w:ind w:left="134" w:right="44"/>
              <w:jc w:val="center"/>
              <w:rPr>
                <w:sz w:val="22"/>
              </w:rPr>
            </w:pPr>
            <w:r>
              <w:rPr>
                <w:sz w:val="22"/>
              </w:rPr>
              <w:t>0.09</w:t>
            </w:r>
          </w:p>
        </w:tc>
        <w:tc>
          <w:tcPr>
            <w:tcW w:w="1195" w:type="dxa"/>
            <w:shd w:val="clear" w:color="auto" w:fill="DBE4F0"/>
          </w:tcPr>
          <w:p>
            <w:pPr/>
          </w:p>
        </w:tc>
        <w:tc>
          <w:tcPr>
            <w:tcW w:w="1193" w:type="dxa"/>
            <w:shd w:val="clear" w:color="auto" w:fill="DBE4F0"/>
          </w:tcPr>
          <w:p>
            <w:pPr/>
          </w:p>
        </w:tc>
        <w:tc>
          <w:tcPr>
            <w:tcW w:w="1195" w:type="dxa"/>
            <w:shd w:val="clear" w:color="auto" w:fill="DBE4F0"/>
          </w:tcPr>
          <w:p>
            <w:pPr/>
          </w:p>
        </w:tc>
      </w:tr>
      <w:tr>
        <w:trPr>
          <w:trHeight w:val="310" w:hRule="exact"/>
        </w:trPr>
        <w:tc>
          <w:tcPr>
            <w:tcW w:w="677" w:type="dxa"/>
          </w:tcPr>
          <w:p>
            <w:pPr>
              <w:pStyle w:val="TableParagraph"/>
              <w:rPr>
                <w:sz w:val="22"/>
              </w:rPr>
            </w:pPr>
            <w:r>
              <w:rPr>
                <w:sz w:val="22"/>
              </w:rPr>
              <w:t>38</w:t>
            </w:r>
          </w:p>
        </w:tc>
        <w:tc>
          <w:tcPr>
            <w:tcW w:w="1762" w:type="dxa"/>
          </w:tcPr>
          <w:p>
            <w:pPr>
              <w:pStyle w:val="TableParagraph"/>
              <w:ind w:right="63"/>
              <w:rPr>
                <w:sz w:val="22"/>
              </w:rPr>
            </w:pPr>
            <w:r>
              <w:rPr>
                <w:sz w:val="22"/>
              </w:rPr>
              <w:t>27/07/2009</w:t>
            </w:r>
          </w:p>
        </w:tc>
        <w:tc>
          <w:tcPr>
            <w:tcW w:w="1267" w:type="dxa"/>
          </w:tcPr>
          <w:p>
            <w:pPr>
              <w:pStyle w:val="TableParagraph"/>
              <w:ind w:right="63"/>
              <w:rPr>
                <w:sz w:val="22"/>
              </w:rPr>
            </w:pPr>
            <w:r>
              <w:rPr>
                <w:sz w:val="22"/>
              </w:rPr>
              <w:t>0.70</w:t>
            </w:r>
          </w:p>
        </w:tc>
        <w:tc>
          <w:tcPr>
            <w:tcW w:w="1193" w:type="dxa"/>
          </w:tcPr>
          <w:p>
            <w:pPr>
              <w:pStyle w:val="TableParagraph"/>
              <w:ind w:right="63"/>
              <w:rPr>
                <w:sz w:val="22"/>
              </w:rPr>
            </w:pPr>
            <w:r>
              <w:rPr>
                <w:sz w:val="22"/>
              </w:rPr>
              <w:t>0.60</w:t>
            </w:r>
          </w:p>
        </w:tc>
        <w:tc>
          <w:tcPr>
            <w:tcW w:w="619" w:type="dxa"/>
          </w:tcPr>
          <w:p>
            <w:pPr>
              <w:pStyle w:val="TableParagraph"/>
              <w:ind w:left="134" w:right="44"/>
              <w:jc w:val="center"/>
              <w:rPr>
                <w:sz w:val="22"/>
              </w:rPr>
            </w:pPr>
            <w:r>
              <w:rPr>
                <w:sz w:val="22"/>
              </w:rPr>
              <w:t>0.30</w:t>
            </w:r>
          </w:p>
        </w:tc>
        <w:tc>
          <w:tcPr>
            <w:tcW w:w="1195" w:type="dxa"/>
          </w:tcPr>
          <w:p>
            <w:pPr>
              <w:pStyle w:val="TableParagraph"/>
              <w:ind w:right="63"/>
              <w:rPr>
                <w:sz w:val="22"/>
              </w:rPr>
            </w:pPr>
            <w:r>
              <w:rPr>
                <w:sz w:val="22"/>
              </w:rPr>
              <w:t>0.30</w:t>
            </w:r>
          </w:p>
        </w:tc>
        <w:tc>
          <w:tcPr>
            <w:tcW w:w="1193" w:type="dxa"/>
          </w:tcPr>
          <w:p>
            <w:pPr>
              <w:pStyle w:val="TableParagraph"/>
              <w:rPr>
                <w:sz w:val="22"/>
              </w:rPr>
            </w:pPr>
            <w:r>
              <w:rPr>
                <w:sz w:val="22"/>
              </w:rPr>
              <w:t>0.60</w:t>
            </w:r>
          </w:p>
        </w:tc>
        <w:tc>
          <w:tcPr>
            <w:tcW w:w="1195" w:type="dxa"/>
          </w:tcPr>
          <w:p>
            <w:pPr>
              <w:pStyle w:val="TableParagraph"/>
              <w:ind w:right="63"/>
              <w:rPr>
                <w:sz w:val="22"/>
              </w:rPr>
            </w:pPr>
            <w:r>
              <w:rPr>
                <w:sz w:val="22"/>
              </w:rPr>
              <w:t>2.00</w:t>
            </w:r>
          </w:p>
        </w:tc>
      </w:tr>
      <w:tr>
        <w:trPr>
          <w:trHeight w:val="310" w:hRule="exact"/>
        </w:trPr>
        <w:tc>
          <w:tcPr>
            <w:tcW w:w="677" w:type="dxa"/>
          </w:tcPr>
          <w:p>
            <w:pPr>
              <w:pStyle w:val="TableParagraph"/>
              <w:rPr>
                <w:sz w:val="22"/>
              </w:rPr>
            </w:pPr>
            <w:r>
              <w:rPr>
                <w:sz w:val="22"/>
              </w:rPr>
              <w:t>41</w:t>
            </w:r>
          </w:p>
        </w:tc>
        <w:tc>
          <w:tcPr>
            <w:tcW w:w="1762" w:type="dxa"/>
          </w:tcPr>
          <w:p>
            <w:pPr>
              <w:pStyle w:val="TableParagraph"/>
              <w:ind w:right="63"/>
              <w:rPr>
                <w:sz w:val="22"/>
              </w:rPr>
            </w:pPr>
            <w:r>
              <w:rPr>
                <w:sz w:val="22"/>
              </w:rPr>
              <w:t>30/07/2009</w:t>
            </w:r>
          </w:p>
        </w:tc>
        <w:tc>
          <w:tcPr>
            <w:tcW w:w="1267" w:type="dxa"/>
          </w:tcPr>
          <w:p>
            <w:pPr>
              <w:pStyle w:val="TableParagraph"/>
              <w:ind w:right="63"/>
              <w:rPr>
                <w:sz w:val="22"/>
              </w:rPr>
            </w:pPr>
            <w:r>
              <w:rPr>
                <w:sz w:val="22"/>
              </w:rPr>
              <w:t>0.50</w:t>
            </w:r>
          </w:p>
        </w:tc>
        <w:tc>
          <w:tcPr>
            <w:tcW w:w="1193" w:type="dxa"/>
          </w:tcPr>
          <w:p>
            <w:pPr>
              <w:pStyle w:val="TableParagraph"/>
              <w:ind w:right="63"/>
              <w:rPr>
                <w:sz w:val="22"/>
              </w:rPr>
            </w:pPr>
            <w:r>
              <w:rPr>
                <w:sz w:val="22"/>
              </w:rPr>
              <w:t>0.40</w:t>
            </w:r>
          </w:p>
        </w:tc>
        <w:tc>
          <w:tcPr>
            <w:tcW w:w="619" w:type="dxa"/>
          </w:tcPr>
          <w:p>
            <w:pPr>
              <w:pStyle w:val="TableParagraph"/>
              <w:ind w:left="134" w:right="44"/>
              <w:jc w:val="center"/>
              <w:rPr>
                <w:sz w:val="22"/>
              </w:rPr>
            </w:pPr>
            <w:r>
              <w:rPr>
                <w:sz w:val="22"/>
              </w:rPr>
              <w:t>0.00</w:t>
            </w:r>
          </w:p>
        </w:tc>
        <w:tc>
          <w:tcPr>
            <w:tcW w:w="1195" w:type="dxa"/>
          </w:tcPr>
          <w:p>
            <w:pPr>
              <w:pStyle w:val="TableParagraph"/>
              <w:ind w:right="63"/>
              <w:rPr>
                <w:sz w:val="22"/>
              </w:rPr>
            </w:pPr>
            <w:r>
              <w:rPr>
                <w:sz w:val="22"/>
              </w:rPr>
              <w:t>1.10</w:t>
            </w:r>
          </w:p>
        </w:tc>
        <w:tc>
          <w:tcPr>
            <w:tcW w:w="1193" w:type="dxa"/>
          </w:tcPr>
          <w:p>
            <w:pPr>
              <w:pStyle w:val="TableParagraph"/>
              <w:rPr>
                <w:sz w:val="22"/>
              </w:rPr>
            </w:pPr>
            <w:r>
              <w:rPr>
                <w:sz w:val="22"/>
              </w:rPr>
              <w:t>1.60</w:t>
            </w:r>
          </w:p>
        </w:tc>
        <w:tc>
          <w:tcPr>
            <w:tcW w:w="1195" w:type="dxa"/>
          </w:tcPr>
          <w:p>
            <w:pPr>
              <w:pStyle w:val="TableParagraph"/>
              <w:ind w:right="63"/>
              <w:rPr>
                <w:sz w:val="22"/>
              </w:rPr>
            </w:pPr>
            <w:r>
              <w:rPr>
                <w:sz w:val="22"/>
              </w:rPr>
              <w:t>4.10</w:t>
            </w:r>
          </w:p>
        </w:tc>
      </w:tr>
      <w:tr>
        <w:trPr>
          <w:trHeight w:val="312" w:hRule="exact"/>
        </w:trPr>
        <w:tc>
          <w:tcPr>
            <w:tcW w:w="677" w:type="dxa"/>
          </w:tcPr>
          <w:p>
            <w:pPr>
              <w:pStyle w:val="TableParagraph"/>
              <w:spacing w:before="30"/>
              <w:rPr>
                <w:sz w:val="22"/>
              </w:rPr>
            </w:pPr>
            <w:r>
              <w:rPr>
                <w:sz w:val="22"/>
              </w:rPr>
              <w:t>45</w:t>
            </w:r>
          </w:p>
        </w:tc>
        <w:tc>
          <w:tcPr>
            <w:tcW w:w="1762" w:type="dxa"/>
          </w:tcPr>
          <w:p>
            <w:pPr>
              <w:pStyle w:val="TableParagraph"/>
              <w:spacing w:before="30"/>
              <w:ind w:right="63"/>
              <w:rPr>
                <w:sz w:val="22"/>
              </w:rPr>
            </w:pPr>
            <w:r>
              <w:rPr>
                <w:sz w:val="22"/>
              </w:rPr>
              <w:t>03/08/2009</w:t>
            </w:r>
          </w:p>
        </w:tc>
        <w:tc>
          <w:tcPr>
            <w:tcW w:w="1267" w:type="dxa"/>
          </w:tcPr>
          <w:p>
            <w:pPr>
              <w:pStyle w:val="TableParagraph"/>
              <w:spacing w:before="30"/>
              <w:ind w:right="63"/>
              <w:rPr>
                <w:sz w:val="22"/>
              </w:rPr>
            </w:pPr>
            <w:r>
              <w:rPr>
                <w:sz w:val="22"/>
              </w:rPr>
              <w:t>0.24</w:t>
            </w:r>
          </w:p>
        </w:tc>
        <w:tc>
          <w:tcPr>
            <w:tcW w:w="1193" w:type="dxa"/>
          </w:tcPr>
          <w:p>
            <w:pPr>
              <w:pStyle w:val="TableParagraph"/>
              <w:spacing w:before="30"/>
              <w:ind w:right="63"/>
              <w:rPr>
                <w:sz w:val="22"/>
              </w:rPr>
            </w:pPr>
            <w:r>
              <w:rPr>
                <w:sz w:val="22"/>
              </w:rPr>
              <w:t>0.16</w:t>
            </w:r>
          </w:p>
        </w:tc>
        <w:tc>
          <w:tcPr>
            <w:tcW w:w="619" w:type="dxa"/>
          </w:tcPr>
          <w:p>
            <w:pPr>
              <w:pStyle w:val="TableParagraph"/>
              <w:spacing w:before="30"/>
              <w:ind w:left="134" w:right="44"/>
              <w:jc w:val="center"/>
              <w:rPr>
                <w:sz w:val="22"/>
              </w:rPr>
            </w:pPr>
            <w:r>
              <w:rPr>
                <w:sz w:val="22"/>
              </w:rPr>
              <w:t>0.03</w:t>
            </w:r>
          </w:p>
        </w:tc>
        <w:tc>
          <w:tcPr>
            <w:tcW w:w="1195" w:type="dxa"/>
          </w:tcPr>
          <w:p>
            <w:pPr>
              <w:pStyle w:val="TableParagraph"/>
              <w:spacing w:before="30"/>
              <w:ind w:right="63"/>
              <w:rPr>
                <w:sz w:val="22"/>
              </w:rPr>
            </w:pPr>
            <w:r>
              <w:rPr>
                <w:sz w:val="22"/>
              </w:rPr>
              <w:t>0.22</w:t>
            </w:r>
          </w:p>
        </w:tc>
        <w:tc>
          <w:tcPr>
            <w:tcW w:w="1193" w:type="dxa"/>
          </w:tcPr>
          <w:p>
            <w:pPr>
              <w:pStyle w:val="TableParagraph"/>
              <w:spacing w:before="30"/>
              <w:rPr>
                <w:sz w:val="22"/>
              </w:rPr>
            </w:pPr>
            <w:r>
              <w:rPr>
                <w:sz w:val="22"/>
              </w:rPr>
              <w:t>0.22</w:t>
            </w:r>
          </w:p>
        </w:tc>
        <w:tc>
          <w:tcPr>
            <w:tcW w:w="1195" w:type="dxa"/>
          </w:tcPr>
          <w:p>
            <w:pPr>
              <w:pStyle w:val="TableParagraph"/>
              <w:spacing w:before="30"/>
              <w:ind w:right="63"/>
              <w:rPr>
                <w:sz w:val="22"/>
              </w:rPr>
            </w:pPr>
            <w:r>
              <w:rPr>
                <w:sz w:val="22"/>
              </w:rPr>
              <w:t>1.68</w:t>
            </w:r>
          </w:p>
        </w:tc>
      </w:tr>
      <w:tr>
        <w:trPr>
          <w:trHeight w:val="310" w:hRule="exact"/>
        </w:trPr>
        <w:tc>
          <w:tcPr>
            <w:tcW w:w="677" w:type="dxa"/>
          </w:tcPr>
          <w:p>
            <w:pPr>
              <w:pStyle w:val="TableParagraph"/>
              <w:rPr>
                <w:sz w:val="22"/>
              </w:rPr>
            </w:pPr>
            <w:r>
              <w:rPr>
                <w:sz w:val="22"/>
              </w:rPr>
              <w:t>48</w:t>
            </w:r>
          </w:p>
        </w:tc>
        <w:tc>
          <w:tcPr>
            <w:tcW w:w="1762" w:type="dxa"/>
          </w:tcPr>
          <w:p>
            <w:pPr>
              <w:pStyle w:val="TableParagraph"/>
              <w:ind w:right="63"/>
              <w:rPr>
                <w:sz w:val="22"/>
              </w:rPr>
            </w:pPr>
            <w:r>
              <w:rPr>
                <w:sz w:val="22"/>
              </w:rPr>
              <w:t>06/08/2009</w:t>
            </w:r>
          </w:p>
        </w:tc>
        <w:tc>
          <w:tcPr>
            <w:tcW w:w="1267" w:type="dxa"/>
          </w:tcPr>
          <w:p>
            <w:pPr>
              <w:pStyle w:val="TableParagraph"/>
              <w:ind w:right="63"/>
              <w:rPr>
                <w:sz w:val="22"/>
              </w:rPr>
            </w:pPr>
            <w:r>
              <w:rPr>
                <w:sz w:val="22"/>
              </w:rPr>
              <w:t>0.21</w:t>
            </w:r>
          </w:p>
        </w:tc>
        <w:tc>
          <w:tcPr>
            <w:tcW w:w="1193" w:type="dxa"/>
          </w:tcPr>
          <w:p>
            <w:pPr>
              <w:pStyle w:val="TableParagraph"/>
              <w:ind w:right="63"/>
              <w:rPr>
                <w:sz w:val="22"/>
              </w:rPr>
            </w:pPr>
            <w:r>
              <w:rPr>
                <w:sz w:val="22"/>
              </w:rPr>
              <w:t>0.14</w:t>
            </w:r>
          </w:p>
        </w:tc>
        <w:tc>
          <w:tcPr>
            <w:tcW w:w="619" w:type="dxa"/>
          </w:tcPr>
          <w:p>
            <w:pPr>
              <w:pStyle w:val="TableParagraph"/>
              <w:ind w:left="134" w:right="44"/>
              <w:jc w:val="center"/>
              <w:rPr>
                <w:sz w:val="22"/>
              </w:rPr>
            </w:pPr>
            <w:r>
              <w:rPr>
                <w:sz w:val="22"/>
              </w:rPr>
              <w:t>0.00</w:t>
            </w:r>
          </w:p>
        </w:tc>
        <w:tc>
          <w:tcPr>
            <w:tcW w:w="1195" w:type="dxa"/>
          </w:tcPr>
          <w:p>
            <w:pPr>
              <w:pStyle w:val="TableParagraph"/>
              <w:ind w:right="63"/>
              <w:rPr>
                <w:sz w:val="22"/>
              </w:rPr>
            </w:pPr>
            <w:r>
              <w:rPr>
                <w:sz w:val="22"/>
              </w:rPr>
              <w:t>0.23</w:t>
            </w:r>
          </w:p>
        </w:tc>
        <w:tc>
          <w:tcPr>
            <w:tcW w:w="1193" w:type="dxa"/>
          </w:tcPr>
          <w:p>
            <w:pPr>
              <w:pStyle w:val="TableParagraph"/>
              <w:rPr>
                <w:sz w:val="22"/>
              </w:rPr>
            </w:pPr>
            <w:r>
              <w:rPr>
                <w:sz w:val="22"/>
              </w:rPr>
              <w:t>0.21</w:t>
            </w:r>
          </w:p>
        </w:tc>
        <w:tc>
          <w:tcPr>
            <w:tcW w:w="1195" w:type="dxa"/>
          </w:tcPr>
          <w:p>
            <w:pPr>
              <w:pStyle w:val="TableParagraph"/>
              <w:ind w:right="63"/>
              <w:rPr>
                <w:sz w:val="22"/>
              </w:rPr>
            </w:pPr>
            <w:r>
              <w:rPr>
                <w:sz w:val="22"/>
              </w:rPr>
              <w:t>0.48</w:t>
            </w:r>
          </w:p>
        </w:tc>
      </w:tr>
      <w:tr>
        <w:trPr>
          <w:trHeight w:val="310" w:hRule="exact"/>
        </w:trPr>
        <w:tc>
          <w:tcPr>
            <w:tcW w:w="677" w:type="dxa"/>
          </w:tcPr>
          <w:p>
            <w:pPr>
              <w:pStyle w:val="TableParagraph"/>
              <w:rPr>
                <w:sz w:val="22"/>
              </w:rPr>
            </w:pPr>
            <w:r>
              <w:rPr>
                <w:sz w:val="22"/>
              </w:rPr>
              <w:t>53</w:t>
            </w:r>
          </w:p>
        </w:tc>
        <w:tc>
          <w:tcPr>
            <w:tcW w:w="1762" w:type="dxa"/>
          </w:tcPr>
          <w:p>
            <w:pPr>
              <w:pStyle w:val="TableParagraph"/>
              <w:ind w:right="63"/>
              <w:rPr>
                <w:sz w:val="22"/>
              </w:rPr>
            </w:pPr>
            <w:r>
              <w:rPr>
                <w:sz w:val="22"/>
              </w:rPr>
              <w:t>11/08/2009</w:t>
            </w:r>
          </w:p>
        </w:tc>
        <w:tc>
          <w:tcPr>
            <w:tcW w:w="1267" w:type="dxa"/>
          </w:tcPr>
          <w:p>
            <w:pPr>
              <w:pStyle w:val="TableParagraph"/>
              <w:ind w:right="63"/>
              <w:rPr>
                <w:sz w:val="22"/>
              </w:rPr>
            </w:pPr>
            <w:r>
              <w:rPr>
                <w:sz w:val="22"/>
              </w:rPr>
              <w:t>0.36</w:t>
            </w:r>
          </w:p>
        </w:tc>
        <w:tc>
          <w:tcPr>
            <w:tcW w:w="1193" w:type="dxa"/>
          </w:tcPr>
          <w:p>
            <w:pPr>
              <w:pStyle w:val="TableParagraph"/>
              <w:ind w:right="63"/>
              <w:rPr>
                <w:sz w:val="22"/>
              </w:rPr>
            </w:pPr>
            <w:r>
              <w:rPr>
                <w:sz w:val="22"/>
              </w:rPr>
              <w:t>0.28</w:t>
            </w:r>
          </w:p>
        </w:tc>
        <w:tc>
          <w:tcPr>
            <w:tcW w:w="619" w:type="dxa"/>
          </w:tcPr>
          <w:p>
            <w:pPr>
              <w:pStyle w:val="TableParagraph"/>
              <w:ind w:left="134" w:right="44"/>
              <w:jc w:val="center"/>
              <w:rPr>
                <w:sz w:val="22"/>
              </w:rPr>
            </w:pPr>
            <w:r>
              <w:rPr>
                <w:sz w:val="22"/>
              </w:rPr>
              <w:t>0.14</w:t>
            </w:r>
          </w:p>
        </w:tc>
        <w:tc>
          <w:tcPr>
            <w:tcW w:w="1195" w:type="dxa"/>
          </w:tcPr>
          <w:p>
            <w:pPr>
              <w:pStyle w:val="TableParagraph"/>
              <w:ind w:right="63"/>
              <w:rPr>
                <w:sz w:val="22"/>
              </w:rPr>
            </w:pPr>
            <w:r>
              <w:rPr>
                <w:sz w:val="22"/>
              </w:rPr>
              <w:t>0.36</w:t>
            </w:r>
          </w:p>
        </w:tc>
        <w:tc>
          <w:tcPr>
            <w:tcW w:w="1193" w:type="dxa"/>
          </w:tcPr>
          <w:p>
            <w:pPr>
              <w:pStyle w:val="TableParagraph"/>
              <w:rPr>
                <w:sz w:val="22"/>
              </w:rPr>
            </w:pPr>
            <w:r>
              <w:rPr>
                <w:sz w:val="22"/>
              </w:rPr>
              <w:t>0.36</w:t>
            </w:r>
          </w:p>
        </w:tc>
        <w:tc>
          <w:tcPr>
            <w:tcW w:w="1195" w:type="dxa"/>
          </w:tcPr>
          <w:p>
            <w:pPr>
              <w:pStyle w:val="TableParagraph"/>
              <w:ind w:right="63"/>
              <w:rPr>
                <w:sz w:val="22"/>
              </w:rPr>
            </w:pPr>
            <w:r>
              <w:rPr>
                <w:sz w:val="22"/>
              </w:rPr>
              <w:t>0.47</w:t>
            </w:r>
          </w:p>
        </w:tc>
      </w:tr>
      <w:tr>
        <w:trPr>
          <w:trHeight w:val="310" w:hRule="exact"/>
        </w:trPr>
        <w:tc>
          <w:tcPr>
            <w:tcW w:w="677" w:type="dxa"/>
          </w:tcPr>
          <w:p>
            <w:pPr>
              <w:pStyle w:val="TableParagraph"/>
              <w:rPr>
                <w:sz w:val="22"/>
              </w:rPr>
            </w:pPr>
            <w:r>
              <w:rPr>
                <w:sz w:val="22"/>
              </w:rPr>
              <w:t>83</w:t>
            </w:r>
          </w:p>
        </w:tc>
        <w:tc>
          <w:tcPr>
            <w:tcW w:w="1762" w:type="dxa"/>
          </w:tcPr>
          <w:p>
            <w:pPr>
              <w:pStyle w:val="TableParagraph"/>
              <w:ind w:right="63"/>
              <w:rPr>
                <w:sz w:val="22"/>
              </w:rPr>
            </w:pPr>
            <w:r>
              <w:rPr>
                <w:sz w:val="22"/>
              </w:rPr>
              <w:t>10/09/2009</w:t>
            </w:r>
          </w:p>
        </w:tc>
        <w:tc>
          <w:tcPr>
            <w:tcW w:w="1267" w:type="dxa"/>
          </w:tcPr>
          <w:p>
            <w:pPr>
              <w:pStyle w:val="TableParagraph"/>
              <w:ind w:right="63"/>
              <w:rPr>
                <w:sz w:val="22"/>
              </w:rPr>
            </w:pPr>
            <w:r>
              <w:rPr>
                <w:sz w:val="22"/>
              </w:rPr>
              <w:t>2.84</w:t>
            </w:r>
          </w:p>
        </w:tc>
        <w:tc>
          <w:tcPr>
            <w:tcW w:w="1193" w:type="dxa"/>
          </w:tcPr>
          <w:p>
            <w:pPr>
              <w:pStyle w:val="TableParagraph"/>
              <w:ind w:right="63"/>
              <w:rPr>
                <w:sz w:val="22"/>
              </w:rPr>
            </w:pPr>
            <w:r>
              <w:rPr>
                <w:sz w:val="22"/>
              </w:rPr>
              <w:t>2.83</w:t>
            </w:r>
          </w:p>
        </w:tc>
        <w:tc>
          <w:tcPr>
            <w:tcW w:w="619" w:type="dxa"/>
          </w:tcPr>
          <w:p>
            <w:pPr>
              <w:pStyle w:val="TableParagraph"/>
              <w:ind w:left="134" w:right="44"/>
              <w:jc w:val="center"/>
              <w:rPr>
                <w:sz w:val="22"/>
              </w:rPr>
            </w:pPr>
            <w:r>
              <w:rPr>
                <w:sz w:val="22"/>
              </w:rPr>
              <w:t>2.46</w:t>
            </w:r>
          </w:p>
        </w:tc>
        <w:tc>
          <w:tcPr>
            <w:tcW w:w="1195" w:type="dxa"/>
          </w:tcPr>
          <w:p>
            <w:pPr>
              <w:pStyle w:val="TableParagraph"/>
              <w:ind w:right="63"/>
              <w:rPr>
                <w:sz w:val="22"/>
              </w:rPr>
            </w:pPr>
            <w:r>
              <w:rPr>
                <w:sz w:val="22"/>
              </w:rPr>
              <w:t>2.99</w:t>
            </w:r>
          </w:p>
        </w:tc>
        <w:tc>
          <w:tcPr>
            <w:tcW w:w="1193" w:type="dxa"/>
          </w:tcPr>
          <w:p>
            <w:pPr>
              <w:pStyle w:val="TableParagraph"/>
              <w:rPr>
                <w:sz w:val="22"/>
              </w:rPr>
            </w:pPr>
            <w:r>
              <w:rPr>
                <w:sz w:val="22"/>
              </w:rPr>
              <w:t>3.57</w:t>
            </w:r>
          </w:p>
        </w:tc>
        <w:tc>
          <w:tcPr>
            <w:tcW w:w="1195" w:type="dxa"/>
          </w:tcPr>
          <w:p>
            <w:pPr>
              <w:pStyle w:val="TableParagraph"/>
              <w:ind w:right="63"/>
              <w:rPr>
                <w:sz w:val="22"/>
              </w:rPr>
            </w:pPr>
            <w:r>
              <w:rPr>
                <w:sz w:val="22"/>
              </w:rPr>
              <w:t>4.72</w:t>
            </w:r>
          </w:p>
        </w:tc>
      </w:tr>
      <w:tr>
        <w:trPr>
          <w:trHeight w:val="310" w:hRule="exact"/>
        </w:trPr>
        <w:tc>
          <w:tcPr>
            <w:tcW w:w="677" w:type="dxa"/>
          </w:tcPr>
          <w:p>
            <w:pPr>
              <w:pStyle w:val="TableParagraph"/>
              <w:rPr>
                <w:sz w:val="22"/>
              </w:rPr>
            </w:pPr>
            <w:r>
              <w:rPr>
                <w:sz w:val="22"/>
              </w:rPr>
              <w:t>87</w:t>
            </w:r>
          </w:p>
        </w:tc>
        <w:tc>
          <w:tcPr>
            <w:tcW w:w="1762" w:type="dxa"/>
          </w:tcPr>
          <w:p>
            <w:pPr>
              <w:pStyle w:val="TableParagraph"/>
              <w:ind w:right="63"/>
              <w:rPr>
                <w:sz w:val="22"/>
              </w:rPr>
            </w:pPr>
            <w:r>
              <w:rPr>
                <w:sz w:val="22"/>
              </w:rPr>
              <w:t>13/09/2009</w:t>
            </w:r>
          </w:p>
        </w:tc>
        <w:tc>
          <w:tcPr>
            <w:tcW w:w="1267" w:type="dxa"/>
          </w:tcPr>
          <w:p>
            <w:pPr>
              <w:pStyle w:val="TableParagraph"/>
              <w:ind w:right="63"/>
              <w:rPr>
                <w:sz w:val="22"/>
              </w:rPr>
            </w:pPr>
            <w:r>
              <w:rPr>
                <w:sz w:val="22"/>
              </w:rPr>
              <w:t>1.04</w:t>
            </w:r>
          </w:p>
        </w:tc>
        <w:tc>
          <w:tcPr>
            <w:tcW w:w="1193" w:type="dxa"/>
          </w:tcPr>
          <w:p>
            <w:pPr>
              <w:pStyle w:val="TableParagraph"/>
              <w:ind w:right="63"/>
              <w:rPr>
                <w:sz w:val="22"/>
              </w:rPr>
            </w:pPr>
            <w:r>
              <w:rPr>
                <w:sz w:val="22"/>
              </w:rPr>
              <w:t>1.09</w:t>
            </w:r>
          </w:p>
        </w:tc>
        <w:tc>
          <w:tcPr>
            <w:tcW w:w="619" w:type="dxa"/>
          </w:tcPr>
          <w:p>
            <w:pPr>
              <w:pStyle w:val="TableParagraph"/>
              <w:ind w:left="134" w:right="44"/>
              <w:jc w:val="center"/>
              <w:rPr>
                <w:sz w:val="22"/>
              </w:rPr>
            </w:pPr>
            <w:r>
              <w:rPr>
                <w:sz w:val="22"/>
              </w:rPr>
              <w:t>0.86</w:t>
            </w:r>
          </w:p>
        </w:tc>
        <w:tc>
          <w:tcPr>
            <w:tcW w:w="1195" w:type="dxa"/>
          </w:tcPr>
          <w:p>
            <w:pPr>
              <w:pStyle w:val="TableParagraph"/>
              <w:ind w:right="63"/>
              <w:rPr>
                <w:sz w:val="22"/>
              </w:rPr>
            </w:pPr>
            <w:r>
              <w:rPr>
                <w:sz w:val="22"/>
              </w:rPr>
              <w:t>1.12</w:t>
            </w:r>
          </w:p>
        </w:tc>
        <w:tc>
          <w:tcPr>
            <w:tcW w:w="1193" w:type="dxa"/>
          </w:tcPr>
          <w:p>
            <w:pPr>
              <w:pStyle w:val="TableParagraph"/>
              <w:rPr>
                <w:sz w:val="22"/>
              </w:rPr>
            </w:pPr>
            <w:r>
              <w:rPr>
                <w:sz w:val="22"/>
              </w:rPr>
              <w:t>1.1</w:t>
            </w:r>
          </w:p>
        </w:tc>
        <w:tc>
          <w:tcPr>
            <w:tcW w:w="1195" w:type="dxa"/>
          </w:tcPr>
          <w:p>
            <w:pPr>
              <w:pStyle w:val="TableParagraph"/>
              <w:ind w:right="63"/>
              <w:rPr>
                <w:sz w:val="22"/>
              </w:rPr>
            </w:pPr>
            <w:r>
              <w:rPr>
                <w:w w:val="100"/>
                <w:sz w:val="22"/>
              </w:rPr>
              <w:t>2</w:t>
            </w:r>
          </w:p>
        </w:tc>
      </w:tr>
      <w:tr>
        <w:trPr>
          <w:trHeight w:val="310" w:hRule="exact"/>
        </w:trPr>
        <w:tc>
          <w:tcPr>
            <w:tcW w:w="677" w:type="dxa"/>
          </w:tcPr>
          <w:p>
            <w:pPr>
              <w:pStyle w:val="TableParagraph"/>
              <w:rPr>
                <w:sz w:val="22"/>
              </w:rPr>
            </w:pPr>
            <w:r>
              <w:rPr>
                <w:sz w:val="22"/>
              </w:rPr>
              <w:t>88</w:t>
            </w:r>
          </w:p>
        </w:tc>
        <w:tc>
          <w:tcPr>
            <w:tcW w:w="1762" w:type="dxa"/>
          </w:tcPr>
          <w:p>
            <w:pPr>
              <w:pStyle w:val="TableParagraph"/>
              <w:ind w:right="63"/>
              <w:rPr>
                <w:sz w:val="22"/>
              </w:rPr>
            </w:pPr>
            <w:r>
              <w:rPr>
                <w:sz w:val="22"/>
              </w:rPr>
              <w:t>15/09/2009</w:t>
            </w:r>
          </w:p>
        </w:tc>
        <w:tc>
          <w:tcPr>
            <w:tcW w:w="1267" w:type="dxa"/>
          </w:tcPr>
          <w:p>
            <w:pPr>
              <w:pStyle w:val="TableParagraph"/>
              <w:ind w:right="63"/>
              <w:rPr>
                <w:sz w:val="22"/>
              </w:rPr>
            </w:pPr>
            <w:r>
              <w:rPr>
                <w:sz w:val="22"/>
              </w:rPr>
              <w:t>2.15</w:t>
            </w:r>
          </w:p>
        </w:tc>
        <w:tc>
          <w:tcPr>
            <w:tcW w:w="1193" w:type="dxa"/>
          </w:tcPr>
          <w:p>
            <w:pPr>
              <w:pStyle w:val="TableParagraph"/>
              <w:ind w:right="63"/>
              <w:rPr>
                <w:sz w:val="22"/>
              </w:rPr>
            </w:pPr>
            <w:r>
              <w:rPr>
                <w:sz w:val="22"/>
              </w:rPr>
              <w:t>2.27</w:t>
            </w:r>
          </w:p>
        </w:tc>
        <w:tc>
          <w:tcPr>
            <w:tcW w:w="619" w:type="dxa"/>
          </w:tcPr>
          <w:p>
            <w:pPr>
              <w:pStyle w:val="TableParagraph"/>
              <w:ind w:left="134" w:right="44"/>
              <w:jc w:val="center"/>
              <w:rPr>
                <w:sz w:val="22"/>
              </w:rPr>
            </w:pPr>
            <w:r>
              <w:rPr>
                <w:sz w:val="22"/>
              </w:rPr>
              <w:t>1.92</w:t>
            </w:r>
          </w:p>
        </w:tc>
        <w:tc>
          <w:tcPr>
            <w:tcW w:w="1195" w:type="dxa"/>
          </w:tcPr>
          <w:p>
            <w:pPr>
              <w:pStyle w:val="TableParagraph"/>
              <w:ind w:right="63"/>
              <w:rPr>
                <w:sz w:val="22"/>
              </w:rPr>
            </w:pPr>
            <w:r>
              <w:rPr>
                <w:sz w:val="22"/>
              </w:rPr>
              <w:t>2.1</w:t>
            </w:r>
          </w:p>
        </w:tc>
        <w:tc>
          <w:tcPr>
            <w:tcW w:w="1193" w:type="dxa"/>
          </w:tcPr>
          <w:p>
            <w:pPr>
              <w:pStyle w:val="TableParagraph"/>
              <w:rPr>
                <w:sz w:val="22"/>
              </w:rPr>
            </w:pPr>
            <w:r>
              <w:rPr>
                <w:sz w:val="22"/>
              </w:rPr>
              <w:t>2.17</w:t>
            </w:r>
          </w:p>
        </w:tc>
        <w:tc>
          <w:tcPr>
            <w:tcW w:w="1195" w:type="dxa"/>
          </w:tcPr>
          <w:p>
            <w:pPr>
              <w:pStyle w:val="TableParagraph"/>
              <w:ind w:right="63"/>
              <w:rPr>
                <w:sz w:val="22"/>
              </w:rPr>
            </w:pPr>
            <w:r>
              <w:rPr>
                <w:sz w:val="22"/>
              </w:rPr>
              <w:t>4.5</w:t>
            </w:r>
          </w:p>
        </w:tc>
      </w:tr>
      <w:tr>
        <w:trPr>
          <w:trHeight w:val="312" w:hRule="exact"/>
        </w:trPr>
        <w:tc>
          <w:tcPr>
            <w:tcW w:w="677" w:type="dxa"/>
          </w:tcPr>
          <w:p>
            <w:pPr>
              <w:pStyle w:val="TableParagraph"/>
              <w:spacing w:before="30"/>
              <w:rPr>
                <w:sz w:val="22"/>
              </w:rPr>
            </w:pPr>
            <w:r>
              <w:rPr>
                <w:sz w:val="22"/>
              </w:rPr>
              <w:t>91</w:t>
            </w:r>
          </w:p>
        </w:tc>
        <w:tc>
          <w:tcPr>
            <w:tcW w:w="1762" w:type="dxa"/>
          </w:tcPr>
          <w:p>
            <w:pPr>
              <w:pStyle w:val="TableParagraph"/>
              <w:spacing w:before="30"/>
              <w:ind w:right="63"/>
              <w:rPr>
                <w:sz w:val="22"/>
              </w:rPr>
            </w:pPr>
            <w:r>
              <w:rPr>
                <w:sz w:val="22"/>
              </w:rPr>
              <w:t>18/09/2009</w:t>
            </w:r>
          </w:p>
        </w:tc>
        <w:tc>
          <w:tcPr>
            <w:tcW w:w="1267" w:type="dxa"/>
          </w:tcPr>
          <w:p>
            <w:pPr>
              <w:pStyle w:val="TableParagraph"/>
              <w:spacing w:before="30"/>
              <w:ind w:right="63"/>
              <w:rPr>
                <w:sz w:val="22"/>
              </w:rPr>
            </w:pPr>
            <w:r>
              <w:rPr>
                <w:sz w:val="22"/>
              </w:rPr>
              <w:t>0.53</w:t>
            </w:r>
          </w:p>
        </w:tc>
        <w:tc>
          <w:tcPr>
            <w:tcW w:w="1193" w:type="dxa"/>
          </w:tcPr>
          <w:p>
            <w:pPr>
              <w:pStyle w:val="TableParagraph"/>
              <w:spacing w:before="30"/>
              <w:ind w:right="63"/>
              <w:rPr>
                <w:sz w:val="22"/>
              </w:rPr>
            </w:pPr>
            <w:r>
              <w:rPr>
                <w:sz w:val="22"/>
              </w:rPr>
              <w:t>0.59</w:t>
            </w:r>
          </w:p>
        </w:tc>
        <w:tc>
          <w:tcPr>
            <w:tcW w:w="619" w:type="dxa"/>
          </w:tcPr>
          <w:p>
            <w:pPr>
              <w:pStyle w:val="TableParagraph"/>
              <w:spacing w:before="30"/>
              <w:ind w:left="134" w:right="44"/>
              <w:jc w:val="center"/>
              <w:rPr>
                <w:sz w:val="22"/>
              </w:rPr>
            </w:pPr>
            <w:r>
              <w:rPr>
                <w:sz w:val="22"/>
              </w:rPr>
              <w:t>0.07</w:t>
            </w:r>
          </w:p>
        </w:tc>
        <w:tc>
          <w:tcPr>
            <w:tcW w:w="1195" w:type="dxa"/>
          </w:tcPr>
          <w:p>
            <w:pPr>
              <w:pStyle w:val="TableParagraph"/>
              <w:spacing w:before="30"/>
              <w:ind w:right="63"/>
              <w:rPr>
                <w:sz w:val="22"/>
              </w:rPr>
            </w:pPr>
            <w:r>
              <w:rPr>
                <w:sz w:val="22"/>
              </w:rPr>
              <w:t>0.55</w:t>
            </w:r>
          </w:p>
        </w:tc>
        <w:tc>
          <w:tcPr>
            <w:tcW w:w="1193" w:type="dxa"/>
          </w:tcPr>
          <w:p>
            <w:pPr>
              <w:pStyle w:val="TableParagraph"/>
              <w:spacing w:before="30"/>
              <w:rPr>
                <w:sz w:val="22"/>
              </w:rPr>
            </w:pPr>
            <w:r>
              <w:rPr>
                <w:sz w:val="22"/>
              </w:rPr>
              <w:t>0.55</w:t>
            </w:r>
          </w:p>
        </w:tc>
        <w:tc>
          <w:tcPr>
            <w:tcW w:w="1195" w:type="dxa"/>
          </w:tcPr>
          <w:p>
            <w:pPr>
              <w:pStyle w:val="TableParagraph"/>
              <w:spacing w:before="30"/>
              <w:ind w:right="63"/>
              <w:rPr>
                <w:sz w:val="22"/>
              </w:rPr>
            </w:pPr>
            <w:r>
              <w:rPr>
                <w:sz w:val="22"/>
              </w:rPr>
              <w:t>2.25</w:t>
            </w:r>
          </w:p>
        </w:tc>
      </w:tr>
      <w:tr>
        <w:trPr>
          <w:trHeight w:val="310" w:hRule="exact"/>
        </w:trPr>
        <w:tc>
          <w:tcPr>
            <w:tcW w:w="677" w:type="dxa"/>
          </w:tcPr>
          <w:p>
            <w:pPr>
              <w:pStyle w:val="TableParagraph"/>
              <w:rPr>
                <w:sz w:val="22"/>
              </w:rPr>
            </w:pPr>
            <w:r>
              <w:rPr>
                <w:sz w:val="22"/>
              </w:rPr>
              <w:t>94</w:t>
            </w:r>
          </w:p>
        </w:tc>
        <w:tc>
          <w:tcPr>
            <w:tcW w:w="1762" w:type="dxa"/>
          </w:tcPr>
          <w:p>
            <w:pPr>
              <w:pStyle w:val="TableParagraph"/>
              <w:ind w:right="63"/>
              <w:rPr>
                <w:sz w:val="22"/>
              </w:rPr>
            </w:pPr>
            <w:r>
              <w:rPr>
                <w:sz w:val="22"/>
              </w:rPr>
              <w:t>21/09/2009</w:t>
            </w:r>
          </w:p>
        </w:tc>
        <w:tc>
          <w:tcPr>
            <w:tcW w:w="1267" w:type="dxa"/>
          </w:tcPr>
          <w:p>
            <w:pPr>
              <w:pStyle w:val="TableParagraph"/>
              <w:ind w:right="63"/>
              <w:rPr>
                <w:sz w:val="22"/>
              </w:rPr>
            </w:pPr>
            <w:r>
              <w:rPr>
                <w:sz w:val="22"/>
              </w:rPr>
              <w:t>0.38</w:t>
            </w:r>
          </w:p>
        </w:tc>
        <w:tc>
          <w:tcPr>
            <w:tcW w:w="1193" w:type="dxa"/>
          </w:tcPr>
          <w:p>
            <w:pPr>
              <w:pStyle w:val="TableParagraph"/>
              <w:ind w:right="63"/>
              <w:rPr>
                <w:sz w:val="22"/>
              </w:rPr>
            </w:pPr>
            <w:r>
              <w:rPr>
                <w:sz w:val="22"/>
              </w:rPr>
              <w:t>0.31</w:t>
            </w:r>
          </w:p>
        </w:tc>
        <w:tc>
          <w:tcPr>
            <w:tcW w:w="619" w:type="dxa"/>
          </w:tcPr>
          <w:p>
            <w:pPr>
              <w:pStyle w:val="TableParagraph"/>
              <w:ind w:left="134" w:right="44"/>
              <w:jc w:val="center"/>
              <w:rPr>
                <w:sz w:val="22"/>
              </w:rPr>
            </w:pPr>
            <w:r>
              <w:rPr>
                <w:sz w:val="22"/>
              </w:rPr>
              <w:t>0.01</w:t>
            </w:r>
          </w:p>
        </w:tc>
        <w:tc>
          <w:tcPr>
            <w:tcW w:w="1195" w:type="dxa"/>
          </w:tcPr>
          <w:p>
            <w:pPr>
              <w:pStyle w:val="TableParagraph"/>
              <w:ind w:right="63"/>
              <w:rPr>
                <w:sz w:val="22"/>
              </w:rPr>
            </w:pPr>
            <w:r>
              <w:rPr>
                <w:sz w:val="22"/>
              </w:rPr>
              <w:t>0.41</w:t>
            </w:r>
          </w:p>
        </w:tc>
        <w:tc>
          <w:tcPr>
            <w:tcW w:w="1193" w:type="dxa"/>
          </w:tcPr>
          <w:p>
            <w:pPr>
              <w:pStyle w:val="TableParagraph"/>
              <w:rPr>
                <w:sz w:val="22"/>
              </w:rPr>
            </w:pPr>
            <w:r>
              <w:rPr>
                <w:sz w:val="22"/>
              </w:rPr>
              <w:t>0.41</w:t>
            </w:r>
          </w:p>
        </w:tc>
        <w:tc>
          <w:tcPr>
            <w:tcW w:w="1195" w:type="dxa"/>
          </w:tcPr>
          <w:p>
            <w:pPr>
              <w:pStyle w:val="TableParagraph"/>
              <w:ind w:right="63"/>
              <w:rPr>
                <w:sz w:val="22"/>
              </w:rPr>
            </w:pPr>
            <w:r>
              <w:rPr>
                <w:sz w:val="22"/>
              </w:rPr>
              <w:t>1.71</w:t>
            </w:r>
          </w:p>
        </w:tc>
      </w:tr>
      <w:tr>
        <w:trPr>
          <w:trHeight w:val="310" w:hRule="exact"/>
        </w:trPr>
        <w:tc>
          <w:tcPr>
            <w:tcW w:w="677" w:type="dxa"/>
          </w:tcPr>
          <w:p>
            <w:pPr>
              <w:pStyle w:val="TableParagraph"/>
              <w:rPr>
                <w:sz w:val="22"/>
              </w:rPr>
            </w:pPr>
            <w:r>
              <w:rPr>
                <w:sz w:val="22"/>
              </w:rPr>
              <w:t>97</w:t>
            </w:r>
          </w:p>
        </w:tc>
        <w:tc>
          <w:tcPr>
            <w:tcW w:w="1762" w:type="dxa"/>
          </w:tcPr>
          <w:p>
            <w:pPr>
              <w:pStyle w:val="TableParagraph"/>
              <w:ind w:right="63"/>
              <w:rPr>
                <w:sz w:val="22"/>
              </w:rPr>
            </w:pPr>
            <w:r>
              <w:rPr>
                <w:sz w:val="22"/>
              </w:rPr>
              <w:t>24/09/2009</w:t>
            </w:r>
          </w:p>
        </w:tc>
        <w:tc>
          <w:tcPr>
            <w:tcW w:w="1267" w:type="dxa"/>
          </w:tcPr>
          <w:p>
            <w:pPr>
              <w:pStyle w:val="TableParagraph"/>
              <w:ind w:right="63"/>
              <w:rPr>
                <w:sz w:val="22"/>
              </w:rPr>
            </w:pPr>
            <w:r>
              <w:rPr>
                <w:sz w:val="22"/>
              </w:rPr>
              <w:t>0.4</w:t>
            </w:r>
          </w:p>
        </w:tc>
        <w:tc>
          <w:tcPr>
            <w:tcW w:w="1193" w:type="dxa"/>
          </w:tcPr>
          <w:p>
            <w:pPr>
              <w:pStyle w:val="TableParagraph"/>
              <w:ind w:right="63"/>
              <w:rPr>
                <w:sz w:val="22"/>
              </w:rPr>
            </w:pPr>
            <w:r>
              <w:rPr>
                <w:sz w:val="22"/>
              </w:rPr>
              <w:t>0.39</w:t>
            </w:r>
          </w:p>
        </w:tc>
        <w:tc>
          <w:tcPr>
            <w:tcW w:w="619" w:type="dxa"/>
          </w:tcPr>
          <w:p>
            <w:pPr>
              <w:pStyle w:val="TableParagraph"/>
              <w:ind w:left="134" w:right="44"/>
              <w:jc w:val="center"/>
              <w:rPr>
                <w:sz w:val="22"/>
              </w:rPr>
            </w:pPr>
            <w:r>
              <w:rPr>
                <w:sz w:val="22"/>
              </w:rPr>
              <w:t>0.01</w:t>
            </w:r>
          </w:p>
        </w:tc>
        <w:tc>
          <w:tcPr>
            <w:tcW w:w="1195" w:type="dxa"/>
          </w:tcPr>
          <w:p>
            <w:pPr>
              <w:pStyle w:val="TableParagraph"/>
              <w:ind w:right="63"/>
              <w:rPr>
                <w:sz w:val="22"/>
              </w:rPr>
            </w:pPr>
            <w:r>
              <w:rPr>
                <w:sz w:val="22"/>
              </w:rPr>
              <w:t>0.38</w:t>
            </w:r>
          </w:p>
        </w:tc>
        <w:tc>
          <w:tcPr>
            <w:tcW w:w="1193" w:type="dxa"/>
          </w:tcPr>
          <w:p>
            <w:pPr>
              <w:pStyle w:val="TableParagraph"/>
              <w:rPr>
                <w:sz w:val="22"/>
              </w:rPr>
            </w:pPr>
            <w:r>
              <w:rPr>
                <w:sz w:val="22"/>
              </w:rPr>
              <w:t>0.38</w:t>
            </w:r>
          </w:p>
        </w:tc>
        <w:tc>
          <w:tcPr>
            <w:tcW w:w="1195" w:type="dxa"/>
          </w:tcPr>
          <w:p>
            <w:pPr>
              <w:pStyle w:val="TableParagraph"/>
              <w:ind w:right="63"/>
              <w:rPr>
                <w:sz w:val="22"/>
              </w:rPr>
            </w:pPr>
            <w:r>
              <w:rPr>
                <w:sz w:val="22"/>
              </w:rPr>
              <w:t>0.45</w:t>
            </w:r>
          </w:p>
        </w:tc>
      </w:tr>
      <w:tr>
        <w:trPr>
          <w:trHeight w:val="310" w:hRule="exact"/>
        </w:trPr>
        <w:tc>
          <w:tcPr>
            <w:tcW w:w="677" w:type="dxa"/>
          </w:tcPr>
          <w:p>
            <w:pPr>
              <w:pStyle w:val="TableParagraph"/>
              <w:rPr>
                <w:sz w:val="22"/>
              </w:rPr>
            </w:pPr>
            <w:r>
              <w:rPr>
                <w:sz w:val="22"/>
              </w:rPr>
              <w:t>101</w:t>
            </w:r>
          </w:p>
        </w:tc>
        <w:tc>
          <w:tcPr>
            <w:tcW w:w="1762" w:type="dxa"/>
          </w:tcPr>
          <w:p>
            <w:pPr>
              <w:pStyle w:val="TableParagraph"/>
              <w:ind w:right="63"/>
              <w:rPr>
                <w:sz w:val="22"/>
              </w:rPr>
            </w:pPr>
            <w:r>
              <w:rPr>
                <w:sz w:val="22"/>
              </w:rPr>
              <w:t>28/09/2009</w:t>
            </w:r>
          </w:p>
        </w:tc>
        <w:tc>
          <w:tcPr>
            <w:tcW w:w="1267" w:type="dxa"/>
          </w:tcPr>
          <w:p>
            <w:pPr>
              <w:pStyle w:val="TableParagraph"/>
              <w:ind w:right="63"/>
              <w:rPr>
                <w:sz w:val="22"/>
              </w:rPr>
            </w:pPr>
            <w:r>
              <w:rPr>
                <w:sz w:val="22"/>
              </w:rPr>
              <w:t>0.97</w:t>
            </w:r>
          </w:p>
        </w:tc>
        <w:tc>
          <w:tcPr>
            <w:tcW w:w="1193" w:type="dxa"/>
          </w:tcPr>
          <w:p>
            <w:pPr>
              <w:pStyle w:val="TableParagraph"/>
              <w:ind w:right="63"/>
              <w:rPr>
                <w:sz w:val="22"/>
              </w:rPr>
            </w:pPr>
            <w:r>
              <w:rPr>
                <w:sz w:val="22"/>
              </w:rPr>
              <w:t>0.8</w:t>
            </w:r>
          </w:p>
        </w:tc>
        <w:tc>
          <w:tcPr>
            <w:tcW w:w="619" w:type="dxa"/>
          </w:tcPr>
          <w:p>
            <w:pPr>
              <w:pStyle w:val="TableParagraph"/>
              <w:ind w:left="134" w:right="44"/>
              <w:jc w:val="center"/>
              <w:rPr>
                <w:sz w:val="22"/>
              </w:rPr>
            </w:pPr>
            <w:r>
              <w:rPr>
                <w:sz w:val="22"/>
              </w:rPr>
              <w:t>0.15</w:t>
            </w:r>
          </w:p>
        </w:tc>
        <w:tc>
          <w:tcPr>
            <w:tcW w:w="1195" w:type="dxa"/>
          </w:tcPr>
          <w:p>
            <w:pPr>
              <w:pStyle w:val="TableParagraph"/>
              <w:ind w:right="63"/>
              <w:rPr>
                <w:sz w:val="22"/>
              </w:rPr>
            </w:pPr>
            <w:r>
              <w:rPr>
                <w:sz w:val="22"/>
              </w:rPr>
              <w:t>1.06</w:t>
            </w:r>
          </w:p>
        </w:tc>
        <w:tc>
          <w:tcPr>
            <w:tcW w:w="1193" w:type="dxa"/>
          </w:tcPr>
          <w:p>
            <w:pPr>
              <w:pStyle w:val="TableParagraph"/>
              <w:rPr>
                <w:sz w:val="22"/>
              </w:rPr>
            </w:pPr>
            <w:r>
              <w:rPr>
                <w:sz w:val="22"/>
              </w:rPr>
              <w:t>1.01</w:t>
            </w:r>
          </w:p>
        </w:tc>
        <w:tc>
          <w:tcPr>
            <w:tcW w:w="1195" w:type="dxa"/>
          </w:tcPr>
          <w:p>
            <w:pPr>
              <w:pStyle w:val="TableParagraph"/>
              <w:ind w:right="63"/>
              <w:rPr>
                <w:sz w:val="22"/>
              </w:rPr>
            </w:pPr>
            <w:r>
              <w:rPr>
                <w:sz w:val="22"/>
              </w:rPr>
              <w:t>1.14</w:t>
            </w:r>
          </w:p>
        </w:tc>
      </w:tr>
      <w:tr>
        <w:trPr>
          <w:trHeight w:val="310" w:hRule="exact"/>
        </w:trPr>
        <w:tc>
          <w:tcPr>
            <w:tcW w:w="677" w:type="dxa"/>
          </w:tcPr>
          <w:p>
            <w:pPr>
              <w:pStyle w:val="TableParagraph"/>
              <w:rPr>
                <w:sz w:val="22"/>
              </w:rPr>
            </w:pPr>
            <w:r>
              <w:rPr>
                <w:sz w:val="22"/>
              </w:rPr>
              <w:t>104</w:t>
            </w:r>
          </w:p>
        </w:tc>
        <w:tc>
          <w:tcPr>
            <w:tcW w:w="1762" w:type="dxa"/>
          </w:tcPr>
          <w:p>
            <w:pPr>
              <w:pStyle w:val="TableParagraph"/>
              <w:ind w:right="63"/>
              <w:rPr>
                <w:sz w:val="22"/>
              </w:rPr>
            </w:pPr>
            <w:r>
              <w:rPr>
                <w:sz w:val="22"/>
              </w:rPr>
              <w:t>01/10/2009</w:t>
            </w:r>
          </w:p>
        </w:tc>
        <w:tc>
          <w:tcPr>
            <w:tcW w:w="1267" w:type="dxa"/>
          </w:tcPr>
          <w:p>
            <w:pPr>
              <w:pStyle w:val="TableParagraph"/>
              <w:ind w:right="63"/>
              <w:rPr>
                <w:sz w:val="22"/>
              </w:rPr>
            </w:pPr>
            <w:r>
              <w:rPr>
                <w:sz w:val="22"/>
              </w:rPr>
              <w:t>0.62</w:t>
            </w:r>
          </w:p>
        </w:tc>
        <w:tc>
          <w:tcPr>
            <w:tcW w:w="1193" w:type="dxa"/>
          </w:tcPr>
          <w:p>
            <w:pPr>
              <w:pStyle w:val="TableParagraph"/>
              <w:ind w:right="63"/>
              <w:rPr>
                <w:sz w:val="22"/>
              </w:rPr>
            </w:pPr>
            <w:r>
              <w:rPr>
                <w:sz w:val="22"/>
              </w:rPr>
              <w:t>0.49</w:t>
            </w:r>
          </w:p>
        </w:tc>
        <w:tc>
          <w:tcPr>
            <w:tcW w:w="619" w:type="dxa"/>
          </w:tcPr>
          <w:p>
            <w:pPr>
              <w:pStyle w:val="TableParagraph"/>
              <w:ind w:left="134" w:right="44"/>
              <w:jc w:val="center"/>
              <w:rPr>
                <w:sz w:val="22"/>
              </w:rPr>
            </w:pPr>
            <w:r>
              <w:rPr>
                <w:sz w:val="22"/>
              </w:rPr>
              <w:t>0.03</w:t>
            </w:r>
          </w:p>
        </w:tc>
        <w:tc>
          <w:tcPr>
            <w:tcW w:w="1195" w:type="dxa"/>
          </w:tcPr>
          <w:p>
            <w:pPr>
              <w:pStyle w:val="TableParagraph"/>
              <w:ind w:right="63"/>
              <w:rPr>
                <w:sz w:val="22"/>
              </w:rPr>
            </w:pPr>
            <w:r>
              <w:rPr>
                <w:sz w:val="22"/>
              </w:rPr>
              <w:t>0.62</w:t>
            </w:r>
          </w:p>
        </w:tc>
        <w:tc>
          <w:tcPr>
            <w:tcW w:w="1193" w:type="dxa"/>
          </w:tcPr>
          <w:p>
            <w:pPr>
              <w:pStyle w:val="TableParagraph"/>
              <w:rPr>
                <w:sz w:val="22"/>
              </w:rPr>
            </w:pPr>
            <w:r>
              <w:rPr>
                <w:sz w:val="22"/>
              </w:rPr>
              <w:t>0.62</w:t>
            </w:r>
          </w:p>
        </w:tc>
        <w:tc>
          <w:tcPr>
            <w:tcW w:w="1195" w:type="dxa"/>
          </w:tcPr>
          <w:p>
            <w:pPr>
              <w:pStyle w:val="TableParagraph"/>
              <w:ind w:right="63"/>
              <w:rPr>
                <w:sz w:val="22"/>
              </w:rPr>
            </w:pPr>
            <w:r>
              <w:rPr>
                <w:sz w:val="22"/>
              </w:rPr>
              <w:t>4.5</w:t>
            </w:r>
          </w:p>
        </w:tc>
      </w:tr>
      <w:tr>
        <w:trPr>
          <w:trHeight w:val="310" w:hRule="exact"/>
        </w:trPr>
        <w:tc>
          <w:tcPr>
            <w:tcW w:w="677" w:type="dxa"/>
          </w:tcPr>
          <w:p>
            <w:pPr>
              <w:pStyle w:val="TableParagraph"/>
              <w:rPr>
                <w:sz w:val="22"/>
              </w:rPr>
            </w:pPr>
            <w:r>
              <w:rPr>
                <w:sz w:val="22"/>
              </w:rPr>
              <w:t>109</w:t>
            </w:r>
          </w:p>
        </w:tc>
        <w:tc>
          <w:tcPr>
            <w:tcW w:w="1762" w:type="dxa"/>
          </w:tcPr>
          <w:p>
            <w:pPr>
              <w:pStyle w:val="TableParagraph"/>
              <w:ind w:right="63"/>
              <w:rPr>
                <w:sz w:val="22"/>
              </w:rPr>
            </w:pPr>
            <w:r>
              <w:rPr>
                <w:sz w:val="22"/>
              </w:rPr>
              <w:t>06/10/2009</w:t>
            </w:r>
          </w:p>
        </w:tc>
        <w:tc>
          <w:tcPr>
            <w:tcW w:w="1267" w:type="dxa"/>
          </w:tcPr>
          <w:p>
            <w:pPr>
              <w:pStyle w:val="TableParagraph"/>
              <w:ind w:right="63"/>
              <w:rPr>
                <w:sz w:val="22"/>
              </w:rPr>
            </w:pPr>
            <w:r>
              <w:rPr>
                <w:sz w:val="22"/>
              </w:rPr>
              <w:t>0.76</w:t>
            </w:r>
          </w:p>
        </w:tc>
        <w:tc>
          <w:tcPr>
            <w:tcW w:w="1193" w:type="dxa"/>
          </w:tcPr>
          <w:p>
            <w:pPr>
              <w:pStyle w:val="TableParagraph"/>
              <w:ind w:right="63"/>
              <w:rPr>
                <w:sz w:val="22"/>
              </w:rPr>
            </w:pPr>
            <w:r>
              <w:rPr>
                <w:sz w:val="22"/>
              </w:rPr>
              <w:t>0.56</w:t>
            </w:r>
          </w:p>
        </w:tc>
        <w:tc>
          <w:tcPr>
            <w:tcW w:w="619" w:type="dxa"/>
          </w:tcPr>
          <w:p>
            <w:pPr>
              <w:pStyle w:val="TableParagraph"/>
              <w:ind w:left="134" w:right="44"/>
              <w:jc w:val="center"/>
              <w:rPr>
                <w:sz w:val="22"/>
              </w:rPr>
            </w:pPr>
            <w:r>
              <w:rPr>
                <w:sz w:val="22"/>
              </w:rPr>
              <w:t>0.06</w:t>
            </w:r>
          </w:p>
        </w:tc>
        <w:tc>
          <w:tcPr>
            <w:tcW w:w="1195" w:type="dxa"/>
          </w:tcPr>
          <w:p>
            <w:pPr>
              <w:pStyle w:val="TableParagraph"/>
              <w:ind w:right="63"/>
              <w:rPr>
                <w:sz w:val="22"/>
              </w:rPr>
            </w:pPr>
            <w:r>
              <w:rPr>
                <w:sz w:val="22"/>
              </w:rPr>
              <w:t>0.77</w:t>
            </w:r>
          </w:p>
        </w:tc>
        <w:tc>
          <w:tcPr>
            <w:tcW w:w="1193" w:type="dxa"/>
          </w:tcPr>
          <w:p>
            <w:pPr>
              <w:pStyle w:val="TableParagraph"/>
              <w:rPr>
                <w:sz w:val="22"/>
              </w:rPr>
            </w:pPr>
            <w:r>
              <w:rPr>
                <w:sz w:val="22"/>
              </w:rPr>
              <w:t>0.79</w:t>
            </w:r>
          </w:p>
        </w:tc>
        <w:tc>
          <w:tcPr>
            <w:tcW w:w="1195" w:type="dxa"/>
          </w:tcPr>
          <w:p>
            <w:pPr>
              <w:pStyle w:val="TableParagraph"/>
              <w:ind w:right="63"/>
              <w:rPr>
                <w:sz w:val="22"/>
              </w:rPr>
            </w:pPr>
            <w:r>
              <w:rPr>
                <w:sz w:val="22"/>
              </w:rPr>
              <w:t>0.89</w:t>
            </w:r>
          </w:p>
        </w:tc>
      </w:tr>
      <w:tr>
        <w:trPr>
          <w:trHeight w:val="312" w:hRule="exact"/>
        </w:trPr>
        <w:tc>
          <w:tcPr>
            <w:tcW w:w="677" w:type="dxa"/>
          </w:tcPr>
          <w:p>
            <w:pPr>
              <w:pStyle w:val="TableParagraph"/>
              <w:spacing w:before="30"/>
              <w:rPr>
                <w:sz w:val="22"/>
              </w:rPr>
            </w:pPr>
            <w:r>
              <w:rPr>
                <w:sz w:val="22"/>
              </w:rPr>
              <w:t>112</w:t>
            </w:r>
          </w:p>
        </w:tc>
        <w:tc>
          <w:tcPr>
            <w:tcW w:w="1762" w:type="dxa"/>
          </w:tcPr>
          <w:p>
            <w:pPr>
              <w:pStyle w:val="TableParagraph"/>
              <w:spacing w:before="30"/>
              <w:ind w:right="63"/>
              <w:rPr>
                <w:sz w:val="22"/>
              </w:rPr>
            </w:pPr>
            <w:r>
              <w:rPr>
                <w:sz w:val="22"/>
              </w:rPr>
              <w:t>09/10/2009</w:t>
            </w:r>
          </w:p>
        </w:tc>
        <w:tc>
          <w:tcPr>
            <w:tcW w:w="1267" w:type="dxa"/>
          </w:tcPr>
          <w:p>
            <w:pPr>
              <w:pStyle w:val="TableParagraph"/>
              <w:spacing w:before="30"/>
              <w:ind w:right="63"/>
              <w:rPr>
                <w:sz w:val="22"/>
              </w:rPr>
            </w:pPr>
            <w:r>
              <w:rPr>
                <w:sz w:val="22"/>
              </w:rPr>
              <w:t>0.67</w:t>
            </w:r>
          </w:p>
        </w:tc>
        <w:tc>
          <w:tcPr>
            <w:tcW w:w="1193" w:type="dxa"/>
          </w:tcPr>
          <w:p>
            <w:pPr>
              <w:pStyle w:val="TableParagraph"/>
              <w:spacing w:before="30"/>
              <w:ind w:right="63"/>
              <w:rPr>
                <w:sz w:val="22"/>
              </w:rPr>
            </w:pPr>
            <w:r>
              <w:rPr>
                <w:sz w:val="22"/>
              </w:rPr>
              <w:t>0.55</w:t>
            </w:r>
          </w:p>
        </w:tc>
        <w:tc>
          <w:tcPr>
            <w:tcW w:w="619" w:type="dxa"/>
          </w:tcPr>
          <w:p>
            <w:pPr>
              <w:pStyle w:val="TableParagraph"/>
              <w:spacing w:before="30"/>
              <w:ind w:left="134" w:right="44"/>
              <w:jc w:val="center"/>
              <w:rPr>
                <w:sz w:val="22"/>
              </w:rPr>
            </w:pPr>
            <w:r>
              <w:rPr>
                <w:sz w:val="22"/>
              </w:rPr>
              <w:t>0.18</w:t>
            </w:r>
          </w:p>
        </w:tc>
        <w:tc>
          <w:tcPr>
            <w:tcW w:w="1195" w:type="dxa"/>
          </w:tcPr>
          <w:p>
            <w:pPr>
              <w:pStyle w:val="TableParagraph"/>
              <w:spacing w:before="30"/>
              <w:ind w:right="63"/>
              <w:rPr>
                <w:sz w:val="22"/>
              </w:rPr>
            </w:pPr>
            <w:r>
              <w:rPr>
                <w:sz w:val="22"/>
              </w:rPr>
              <w:t>0.69</w:t>
            </w:r>
          </w:p>
        </w:tc>
        <w:tc>
          <w:tcPr>
            <w:tcW w:w="1193" w:type="dxa"/>
          </w:tcPr>
          <w:p>
            <w:pPr>
              <w:pStyle w:val="TableParagraph"/>
              <w:spacing w:before="30"/>
              <w:rPr>
                <w:sz w:val="22"/>
              </w:rPr>
            </w:pPr>
            <w:r>
              <w:rPr>
                <w:sz w:val="22"/>
              </w:rPr>
              <w:t>0.72</w:t>
            </w:r>
          </w:p>
        </w:tc>
        <w:tc>
          <w:tcPr>
            <w:tcW w:w="1195" w:type="dxa"/>
          </w:tcPr>
          <w:p>
            <w:pPr>
              <w:pStyle w:val="TableParagraph"/>
              <w:spacing w:before="30"/>
              <w:ind w:right="63"/>
              <w:rPr>
                <w:sz w:val="22"/>
              </w:rPr>
            </w:pPr>
            <w:r>
              <w:rPr>
                <w:sz w:val="22"/>
              </w:rPr>
              <w:t>1.59</w:t>
            </w:r>
          </w:p>
        </w:tc>
      </w:tr>
      <w:tr>
        <w:trPr>
          <w:trHeight w:val="310" w:hRule="exact"/>
        </w:trPr>
        <w:tc>
          <w:tcPr>
            <w:tcW w:w="677" w:type="dxa"/>
          </w:tcPr>
          <w:p>
            <w:pPr>
              <w:pStyle w:val="TableParagraph"/>
              <w:rPr>
                <w:sz w:val="22"/>
              </w:rPr>
            </w:pPr>
            <w:r>
              <w:rPr>
                <w:sz w:val="22"/>
              </w:rPr>
              <w:t>116</w:t>
            </w:r>
          </w:p>
        </w:tc>
        <w:tc>
          <w:tcPr>
            <w:tcW w:w="1762" w:type="dxa"/>
          </w:tcPr>
          <w:p>
            <w:pPr>
              <w:pStyle w:val="TableParagraph"/>
              <w:ind w:right="63"/>
              <w:rPr>
                <w:sz w:val="22"/>
              </w:rPr>
            </w:pPr>
            <w:r>
              <w:rPr>
                <w:sz w:val="22"/>
              </w:rPr>
              <w:t>13/10/2009</w:t>
            </w:r>
          </w:p>
        </w:tc>
        <w:tc>
          <w:tcPr>
            <w:tcW w:w="1267" w:type="dxa"/>
          </w:tcPr>
          <w:p>
            <w:pPr>
              <w:pStyle w:val="TableParagraph"/>
              <w:ind w:right="63"/>
              <w:rPr>
                <w:sz w:val="22"/>
              </w:rPr>
            </w:pPr>
            <w:r>
              <w:rPr>
                <w:sz w:val="22"/>
              </w:rPr>
              <w:t>0.47</w:t>
            </w:r>
          </w:p>
        </w:tc>
        <w:tc>
          <w:tcPr>
            <w:tcW w:w="1193" w:type="dxa"/>
          </w:tcPr>
          <w:p>
            <w:pPr>
              <w:pStyle w:val="TableParagraph"/>
              <w:ind w:right="63"/>
              <w:rPr>
                <w:sz w:val="22"/>
              </w:rPr>
            </w:pPr>
            <w:r>
              <w:rPr>
                <w:sz w:val="22"/>
              </w:rPr>
              <w:t>0.45</w:t>
            </w:r>
          </w:p>
        </w:tc>
        <w:tc>
          <w:tcPr>
            <w:tcW w:w="619" w:type="dxa"/>
          </w:tcPr>
          <w:p>
            <w:pPr>
              <w:pStyle w:val="TableParagraph"/>
              <w:ind w:left="134" w:right="44"/>
              <w:jc w:val="center"/>
              <w:rPr>
                <w:sz w:val="22"/>
              </w:rPr>
            </w:pPr>
            <w:r>
              <w:rPr>
                <w:sz w:val="22"/>
              </w:rPr>
              <w:t>0.11</w:t>
            </w:r>
          </w:p>
        </w:tc>
        <w:tc>
          <w:tcPr>
            <w:tcW w:w="1195" w:type="dxa"/>
          </w:tcPr>
          <w:p>
            <w:pPr>
              <w:pStyle w:val="TableParagraph"/>
              <w:ind w:right="63"/>
              <w:rPr>
                <w:sz w:val="22"/>
              </w:rPr>
            </w:pPr>
            <w:r>
              <w:rPr>
                <w:sz w:val="22"/>
              </w:rPr>
              <w:t>0.48</w:t>
            </w:r>
          </w:p>
        </w:tc>
        <w:tc>
          <w:tcPr>
            <w:tcW w:w="1193" w:type="dxa"/>
          </w:tcPr>
          <w:p>
            <w:pPr>
              <w:pStyle w:val="TableParagraph"/>
              <w:rPr>
                <w:sz w:val="22"/>
              </w:rPr>
            </w:pPr>
            <w:r>
              <w:rPr>
                <w:sz w:val="22"/>
              </w:rPr>
              <w:t>0.57</w:t>
            </w:r>
          </w:p>
        </w:tc>
        <w:tc>
          <w:tcPr>
            <w:tcW w:w="1195" w:type="dxa"/>
          </w:tcPr>
          <w:p>
            <w:pPr>
              <w:pStyle w:val="TableParagraph"/>
              <w:ind w:right="63"/>
              <w:rPr>
                <w:sz w:val="22"/>
              </w:rPr>
            </w:pPr>
            <w:r>
              <w:rPr>
                <w:sz w:val="22"/>
              </w:rPr>
              <w:t>0.93</w:t>
            </w:r>
          </w:p>
        </w:tc>
      </w:tr>
      <w:tr>
        <w:trPr>
          <w:trHeight w:val="310" w:hRule="exact"/>
        </w:trPr>
        <w:tc>
          <w:tcPr>
            <w:tcW w:w="677" w:type="dxa"/>
          </w:tcPr>
          <w:p>
            <w:pPr>
              <w:pStyle w:val="TableParagraph"/>
              <w:rPr>
                <w:sz w:val="22"/>
              </w:rPr>
            </w:pPr>
            <w:r>
              <w:rPr>
                <w:sz w:val="22"/>
              </w:rPr>
              <w:t>119</w:t>
            </w:r>
          </w:p>
        </w:tc>
        <w:tc>
          <w:tcPr>
            <w:tcW w:w="1762" w:type="dxa"/>
          </w:tcPr>
          <w:p>
            <w:pPr>
              <w:pStyle w:val="TableParagraph"/>
              <w:ind w:right="63"/>
              <w:rPr>
                <w:sz w:val="22"/>
              </w:rPr>
            </w:pPr>
            <w:r>
              <w:rPr>
                <w:sz w:val="22"/>
              </w:rPr>
              <w:t>16/10/2009</w:t>
            </w:r>
          </w:p>
        </w:tc>
        <w:tc>
          <w:tcPr>
            <w:tcW w:w="1267" w:type="dxa"/>
          </w:tcPr>
          <w:p>
            <w:pPr>
              <w:pStyle w:val="TableParagraph"/>
              <w:ind w:right="63"/>
              <w:rPr>
                <w:sz w:val="22"/>
              </w:rPr>
            </w:pPr>
            <w:r>
              <w:rPr>
                <w:sz w:val="22"/>
              </w:rPr>
              <w:t>0.54</w:t>
            </w:r>
          </w:p>
        </w:tc>
        <w:tc>
          <w:tcPr>
            <w:tcW w:w="1193" w:type="dxa"/>
          </w:tcPr>
          <w:p>
            <w:pPr>
              <w:pStyle w:val="TableParagraph"/>
              <w:ind w:right="63"/>
              <w:rPr>
                <w:sz w:val="22"/>
              </w:rPr>
            </w:pPr>
            <w:r>
              <w:rPr>
                <w:sz w:val="22"/>
              </w:rPr>
              <w:t>0.42</w:t>
            </w:r>
          </w:p>
        </w:tc>
        <w:tc>
          <w:tcPr>
            <w:tcW w:w="619" w:type="dxa"/>
          </w:tcPr>
          <w:p>
            <w:pPr>
              <w:pStyle w:val="TableParagraph"/>
              <w:ind w:left="134" w:right="44"/>
              <w:jc w:val="center"/>
              <w:rPr>
                <w:sz w:val="22"/>
              </w:rPr>
            </w:pPr>
            <w:r>
              <w:rPr>
                <w:sz w:val="22"/>
              </w:rPr>
              <w:t>0.06</w:t>
            </w:r>
          </w:p>
        </w:tc>
        <w:tc>
          <w:tcPr>
            <w:tcW w:w="1195" w:type="dxa"/>
          </w:tcPr>
          <w:p>
            <w:pPr>
              <w:pStyle w:val="TableParagraph"/>
              <w:ind w:right="63"/>
              <w:rPr>
                <w:sz w:val="22"/>
              </w:rPr>
            </w:pPr>
            <w:r>
              <w:rPr>
                <w:sz w:val="22"/>
              </w:rPr>
              <w:t>0.55</w:t>
            </w:r>
          </w:p>
        </w:tc>
        <w:tc>
          <w:tcPr>
            <w:tcW w:w="1193" w:type="dxa"/>
          </w:tcPr>
          <w:p>
            <w:pPr>
              <w:pStyle w:val="TableParagraph"/>
              <w:rPr>
                <w:sz w:val="22"/>
              </w:rPr>
            </w:pPr>
            <w:r>
              <w:rPr>
                <w:sz w:val="22"/>
              </w:rPr>
              <w:t>0.52</w:t>
            </w:r>
          </w:p>
        </w:tc>
        <w:tc>
          <w:tcPr>
            <w:tcW w:w="1195" w:type="dxa"/>
          </w:tcPr>
          <w:p>
            <w:pPr>
              <w:pStyle w:val="TableParagraph"/>
              <w:ind w:right="63"/>
              <w:rPr>
                <w:sz w:val="22"/>
              </w:rPr>
            </w:pPr>
            <w:r>
              <w:rPr>
                <w:sz w:val="22"/>
              </w:rPr>
              <w:t>1.63</w:t>
            </w:r>
          </w:p>
        </w:tc>
      </w:tr>
      <w:tr>
        <w:trPr>
          <w:trHeight w:val="310" w:hRule="exact"/>
        </w:trPr>
        <w:tc>
          <w:tcPr>
            <w:tcW w:w="677" w:type="dxa"/>
          </w:tcPr>
          <w:p>
            <w:pPr>
              <w:pStyle w:val="TableParagraph"/>
              <w:rPr>
                <w:sz w:val="22"/>
              </w:rPr>
            </w:pPr>
            <w:r>
              <w:rPr>
                <w:sz w:val="22"/>
              </w:rPr>
              <w:t>122</w:t>
            </w:r>
          </w:p>
        </w:tc>
        <w:tc>
          <w:tcPr>
            <w:tcW w:w="1762" w:type="dxa"/>
          </w:tcPr>
          <w:p>
            <w:pPr>
              <w:pStyle w:val="TableParagraph"/>
              <w:ind w:right="63"/>
              <w:rPr>
                <w:sz w:val="22"/>
              </w:rPr>
            </w:pPr>
            <w:r>
              <w:rPr>
                <w:sz w:val="22"/>
              </w:rPr>
              <w:t>19/10/2009</w:t>
            </w:r>
          </w:p>
        </w:tc>
        <w:tc>
          <w:tcPr>
            <w:tcW w:w="1267" w:type="dxa"/>
          </w:tcPr>
          <w:p>
            <w:pPr>
              <w:pStyle w:val="TableParagraph"/>
              <w:ind w:right="63"/>
              <w:rPr>
                <w:sz w:val="22"/>
              </w:rPr>
            </w:pPr>
            <w:r>
              <w:rPr>
                <w:sz w:val="22"/>
              </w:rPr>
              <w:t>0.53</w:t>
            </w:r>
          </w:p>
        </w:tc>
        <w:tc>
          <w:tcPr>
            <w:tcW w:w="1193" w:type="dxa"/>
          </w:tcPr>
          <w:p>
            <w:pPr>
              <w:pStyle w:val="TableParagraph"/>
              <w:ind w:right="63"/>
              <w:rPr>
                <w:sz w:val="22"/>
              </w:rPr>
            </w:pPr>
            <w:r>
              <w:rPr>
                <w:sz w:val="22"/>
              </w:rPr>
              <w:t>0.46</w:t>
            </w:r>
          </w:p>
        </w:tc>
        <w:tc>
          <w:tcPr>
            <w:tcW w:w="619" w:type="dxa"/>
          </w:tcPr>
          <w:p>
            <w:pPr>
              <w:pStyle w:val="TableParagraph"/>
              <w:ind w:left="134" w:right="44"/>
              <w:jc w:val="center"/>
              <w:rPr>
                <w:sz w:val="22"/>
              </w:rPr>
            </w:pPr>
            <w:r>
              <w:rPr>
                <w:sz w:val="22"/>
              </w:rPr>
              <w:t>0.03</w:t>
            </w:r>
          </w:p>
        </w:tc>
        <w:tc>
          <w:tcPr>
            <w:tcW w:w="1195" w:type="dxa"/>
          </w:tcPr>
          <w:p>
            <w:pPr>
              <w:pStyle w:val="TableParagraph"/>
              <w:ind w:right="63"/>
              <w:rPr>
                <w:sz w:val="22"/>
              </w:rPr>
            </w:pPr>
            <w:r>
              <w:rPr>
                <w:sz w:val="22"/>
              </w:rPr>
              <w:t>0.56</w:t>
            </w:r>
          </w:p>
        </w:tc>
        <w:tc>
          <w:tcPr>
            <w:tcW w:w="1193" w:type="dxa"/>
          </w:tcPr>
          <w:p>
            <w:pPr>
              <w:pStyle w:val="TableParagraph"/>
              <w:rPr>
                <w:sz w:val="22"/>
              </w:rPr>
            </w:pPr>
            <w:r>
              <w:rPr>
                <w:sz w:val="22"/>
              </w:rPr>
              <w:t>0.52</w:t>
            </w:r>
          </w:p>
        </w:tc>
        <w:tc>
          <w:tcPr>
            <w:tcW w:w="1195" w:type="dxa"/>
          </w:tcPr>
          <w:p>
            <w:pPr>
              <w:pStyle w:val="TableParagraph"/>
              <w:ind w:right="63"/>
              <w:rPr>
                <w:sz w:val="22"/>
              </w:rPr>
            </w:pPr>
            <w:r>
              <w:rPr>
                <w:sz w:val="22"/>
              </w:rPr>
              <w:t>3.1</w:t>
            </w:r>
          </w:p>
        </w:tc>
      </w:tr>
      <w:tr>
        <w:trPr>
          <w:trHeight w:val="310" w:hRule="exact"/>
        </w:trPr>
        <w:tc>
          <w:tcPr>
            <w:tcW w:w="677" w:type="dxa"/>
          </w:tcPr>
          <w:p>
            <w:pPr>
              <w:pStyle w:val="TableParagraph"/>
              <w:rPr>
                <w:sz w:val="22"/>
              </w:rPr>
            </w:pPr>
            <w:r>
              <w:rPr>
                <w:sz w:val="22"/>
              </w:rPr>
              <w:t>125</w:t>
            </w:r>
          </w:p>
        </w:tc>
        <w:tc>
          <w:tcPr>
            <w:tcW w:w="1762" w:type="dxa"/>
          </w:tcPr>
          <w:p>
            <w:pPr>
              <w:pStyle w:val="TableParagraph"/>
              <w:ind w:right="63"/>
              <w:rPr>
                <w:sz w:val="22"/>
              </w:rPr>
            </w:pPr>
            <w:r>
              <w:rPr>
                <w:sz w:val="22"/>
              </w:rPr>
              <w:t>22/10/2009</w:t>
            </w:r>
          </w:p>
        </w:tc>
        <w:tc>
          <w:tcPr>
            <w:tcW w:w="1267" w:type="dxa"/>
          </w:tcPr>
          <w:p>
            <w:pPr>
              <w:pStyle w:val="TableParagraph"/>
              <w:ind w:right="63"/>
              <w:rPr>
                <w:sz w:val="22"/>
              </w:rPr>
            </w:pPr>
            <w:r>
              <w:rPr>
                <w:sz w:val="22"/>
              </w:rPr>
              <w:t>0.47</w:t>
            </w:r>
          </w:p>
        </w:tc>
        <w:tc>
          <w:tcPr>
            <w:tcW w:w="1193" w:type="dxa"/>
          </w:tcPr>
          <w:p>
            <w:pPr>
              <w:pStyle w:val="TableParagraph"/>
              <w:ind w:right="63"/>
              <w:rPr>
                <w:sz w:val="22"/>
              </w:rPr>
            </w:pPr>
            <w:r>
              <w:rPr>
                <w:sz w:val="22"/>
              </w:rPr>
              <w:t>0.29</w:t>
            </w:r>
          </w:p>
        </w:tc>
        <w:tc>
          <w:tcPr>
            <w:tcW w:w="619" w:type="dxa"/>
          </w:tcPr>
          <w:p>
            <w:pPr>
              <w:pStyle w:val="TableParagraph"/>
              <w:ind w:left="134" w:right="44"/>
              <w:jc w:val="center"/>
              <w:rPr>
                <w:sz w:val="22"/>
              </w:rPr>
            </w:pPr>
            <w:r>
              <w:rPr>
                <w:sz w:val="22"/>
              </w:rPr>
              <w:t>0.12</w:t>
            </w:r>
          </w:p>
        </w:tc>
        <w:tc>
          <w:tcPr>
            <w:tcW w:w="1195" w:type="dxa"/>
          </w:tcPr>
          <w:p>
            <w:pPr>
              <w:pStyle w:val="TableParagraph"/>
              <w:ind w:right="63"/>
              <w:rPr>
                <w:sz w:val="22"/>
              </w:rPr>
            </w:pPr>
            <w:r>
              <w:rPr>
                <w:sz w:val="22"/>
              </w:rPr>
              <w:t>0.54</w:t>
            </w:r>
          </w:p>
        </w:tc>
        <w:tc>
          <w:tcPr>
            <w:tcW w:w="1193" w:type="dxa"/>
          </w:tcPr>
          <w:p>
            <w:pPr>
              <w:pStyle w:val="TableParagraph"/>
              <w:rPr>
                <w:sz w:val="22"/>
              </w:rPr>
            </w:pPr>
            <w:r>
              <w:rPr>
                <w:sz w:val="22"/>
              </w:rPr>
              <w:t>0.7</w:t>
            </w:r>
          </w:p>
        </w:tc>
        <w:tc>
          <w:tcPr>
            <w:tcW w:w="1195" w:type="dxa"/>
          </w:tcPr>
          <w:p>
            <w:pPr>
              <w:pStyle w:val="TableParagraph"/>
              <w:ind w:right="63"/>
              <w:rPr>
                <w:sz w:val="22"/>
              </w:rPr>
            </w:pPr>
            <w:r>
              <w:rPr>
                <w:sz w:val="22"/>
              </w:rPr>
              <w:t>3.09</w:t>
            </w:r>
          </w:p>
        </w:tc>
      </w:tr>
      <w:tr>
        <w:trPr>
          <w:trHeight w:val="310" w:hRule="exact"/>
        </w:trPr>
        <w:tc>
          <w:tcPr>
            <w:tcW w:w="677" w:type="dxa"/>
          </w:tcPr>
          <w:p>
            <w:pPr>
              <w:pStyle w:val="TableParagraph"/>
              <w:rPr>
                <w:sz w:val="22"/>
              </w:rPr>
            </w:pPr>
            <w:r>
              <w:rPr>
                <w:sz w:val="22"/>
              </w:rPr>
              <w:t>129</w:t>
            </w:r>
          </w:p>
        </w:tc>
        <w:tc>
          <w:tcPr>
            <w:tcW w:w="1762" w:type="dxa"/>
          </w:tcPr>
          <w:p>
            <w:pPr>
              <w:pStyle w:val="TableParagraph"/>
              <w:ind w:right="63"/>
              <w:rPr>
                <w:sz w:val="22"/>
              </w:rPr>
            </w:pPr>
            <w:r>
              <w:rPr>
                <w:sz w:val="22"/>
              </w:rPr>
              <w:t>26/10/2009</w:t>
            </w:r>
          </w:p>
        </w:tc>
        <w:tc>
          <w:tcPr>
            <w:tcW w:w="1267" w:type="dxa"/>
          </w:tcPr>
          <w:p>
            <w:pPr>
              <w:pStyle w:val="TableParagraph"/>
              <w:ind w:right="63"/>
              <w:rPr>
                <w:sz w:val="22"/>
              </w:rPr>
            </w:pPr>
            <w:r>
              <w:rPr>
                <w:sz w:val="22"/>
              </w:rPr>
              <w:t>0.4</w:t>
            </w:r>
          </w:p>
        </w:tc>
        <w:tc>
          <w:tcPr>
            <w:tcW w:w="1193" w:type="dxa"/>
          </w:tcPr>
          <w:p>
            <w:pPr>
              <w:pStyle w:val="TableParagraph"/>
              <w:ind w:right="63"/>
              <w:rPr>
                <w:sz w:val="22"/>
              </w:rPr>
            </w:pPr>
            <w:r>
              <w:rPr>
                <w:sz w:val="22"/>
              </w:rPr>
              <w:t>0.28</w:t>
            </w:r>
          </w:p>
        </w:tc>
        <w:tc>
          <w:tcPr>
            <w:tcW w:w="619" w:type="dxa"/>
          </w:tcPr>
          <w:p>
            <w:pPr>
              <w:pStyle w:val="TableParagraph"/>
              <w:ind w:left="134" w:right="44"/>
              <w:jc w:val="center"/>
              <w:rPr>
                <w:sz w:val="22"/>
              </w:rPr>
            </w:pPr>
            <w:r>
              <w:rPr>
                <w:sz w:val="22"/>
              </w:rPr>
              <w:t>0.09</w:t>
            </w:r>
          </w:p>
        </w:tc>
        <w:tc>
          <w:tcPr>
            <w:tcW w:w="1195" w:type="dxa"/>
          </w:tcPr>
          <w:p>
            <w:pPr>
              <w:pStyle w:val="TableParagraph"/>
              <w:ind w:right="63"/>
              <w:rPr>
                <w:sz w:val="22"/>
              </w:rPr>
            </w:pPr>
            <w:r>
              <w:rPr>
                <w:sz w:val="22"/>
              </w:rPr>
              <w:t>0.42</w:t>
            </w:r>
          </w:p>
        </w:tc>
        <w:tc>
          <w:tcPr>
            <w:tcW w:w="1193" w:type="dxa"/>
          </w:tcPr>
          <w:p>
            <w:pPr>
              <w:pStyle w:val="TableParagraph"/>
              <w:rPr>
                <w:sz w:val="22"/>
              </w:rPr>
            </w:pPr>
            <w:r>
              <w:rPr>
                <w:sz w:val="22"/>
              </w:rPr>
              <w:t>0.38</w:t>
            </w:r>
          </w:p>
        </w:tc>
        <w:tc>
          <w:tcPr>
            <w:tcW w:w="1195" w:type="dxa"/>
          </w:tcPr>
          <w:p>
            <w:pPr>
              <w:pStyle w:val="TableParagraph"/>
              <w:ind w:right="63"/>
              <w:rPr>
                <w:sz w:val="22"/>
              </w:rPr>
            </w:pPr>
            <w:r>
              <w:rPr>
                <w:sz w:val="22"/>
              </w:rPr>
              <w:t>1.49</w:t>
            </w:r>
          </w:p>
        </w:tc>
      </w:tr>
      <w:tr>
        <w:trPr>
          <w:trHeight w:val="312" w:hRule="exact"/>
        </w:trPr>
        <w:tc>
          <w:tcPr>
            <w:tcW w:w="677" w:type="dxa"/>
          </w:tcPr>
          <w:p>
            <w:pPr>
              <w:pStyle w:val="TableParagraph"/>
              <w:spacing w:before="30"/>
              <w:rPr>
                <w:sz w:val="22"/>
              </w:rPr>
            </w:pPr>
            <w:r>
              <w:rPr>
                <w:sz w:val="22"/>
              </w:rPr>
              <w:t>133</w:t>
            </w:r>
          </w:p>
        </w:tc>
        <w:tc>
          <w:tcPr>
            <w:tcW w:w="1762" w:type="dxa"/>
          </w:tcPr>
          <w:p>
            <w:pPr>
              <w:pStyle w:val="TableParagraph"/>
              <w:spacing w:before="30"/>
              <w:ind w:right="63"/>
              <w:rPr>
                <w:sz w:val="22"/>
              </w:rPr>
            </w:pPr>
            <w:r>
              <w:rPr>
                <w:sz w:val="22"/>
              </w:rPr>
              <w:t>30/10/2009</w:t>
            </w:r>
          </w:p>
        </w:tc>
        <w:tc>
          <w:tcPr>
            <w:tcW w:w="1267" w:type="dxa"/>
          </w:tcPr>
          <w:p>
            <w:pPr>
              <w:pStyle w:val="TableParagraph"/>
              <w:spacing w:before="30"/>
              <w:ind w:right="63"/>
              <w:rPr>
                <w:sz w:val="22"/>
              </w:rPr>
            </w:pPr>
            <w:r>
              <w:rPr>
                <w:sz w:val="22"/>
              </w:rPr>
              <w:t>1.5</w:t>
            </w:r>
          </w:p>
        </w:tc>
        <w:tc>
          <w:tcPr>
            <w:tcW w:w="1193" w:type="dxa"/>
          </w:tcPr>
          <w:p>
            <w:pPr>
              <w:pStyle w:val="TableParagraph"/>
              <w:spacing w:before="30"/>
              <w:ind w:right="63"/>
              <w:rPr>
                <w:sz w:val="22"/>
              </w:rPr>
            </w:pPr>
            <w:r>
              <w:rPr>
                <w:sz w:val="22"/>
              </w:rPr>
              <w:t>0.81</w:t>
            </w:r>
          </w:p>
        </w:tc>
        <w:tc>
          <w:tcPr>
            <w:tcW w:w="619" w:type="dxa"/>
          </w:tcPr>
          <w:p>
            <w:pPr>
              <w:pStyle w:val="TableParagraph"/>
              <w:spacing w:before="30"/>
              <w:ind w:left="134" w:right="44"/>
              <w:jc w:val="center"/>
              <w:rPr>
                <w:sz w:val="22"/>
              </w:rPr>
            </w:pPr>
            <w:r>
              <w:rPr>
                <w:sz w:val="22"/>
              </w:rPr>
              <w:t>0.21</w:t>
            </w:r>
          </w:p>
        </w:tc>
        <w:tc>
          <w:tcPr>
            <w:tcW w:w="1195" w:type="dxa"/>
          </w:tcPr>
          <w:p>
            <w:pPr>
              <w:pStyle w:val="TableParagraph"/>
              <w:spacing w:before="30"/>
              <w:ind w:right="63"/>
              <w:rPr>
                <w:sz w:val="22"/>
              </w:rPr>
            </w:pPr>
            <w:r>
              <w:rPr>
                <w:sz w:val="22"/>
              </w:rPr>
              <w:t>1.15</w:t>
            </w:r>
          </w:p>
        </w:tc>
        <w:tc>
          <w:tcPr>
            <w:tcW w:w="1193" w:type="dxa"/>
          </w:tcPr>
          <w:p>
            <w:pPr>
              <w:pStyle w:val="TableParagraph"/>
              <w:spacing w:before="30"/>
              <w:rPr>
                <w:sz w:val="22"/>
              </w:rPr>
            </w:pPr>
            <w:r>
              <w:rPr>
                <w:sz w:val="22"/>
              </w:rPr>
              <w:t>1.12</w:t>
            </w:r>
          </w:p>
        </w:tc>
        <w:tc>
          <w:tcPr>
            <w:tcW w:w="1195" w:type="dxa"/>
          </w:tcPr>
          <w:p>
            <w:pPr>
              <w:pStyle w:val="TableParagraph"/>
              <w:spacing w:before="30"/>
              <w:ind w:right="63"/>
              <w:rPr>
                <w:sz w:val="22"/>
              </w:rPr>
            </w:pPr>
            <w:r>
              <w:rPr>
                <w:sz w:val="22"/>
              </w:rPr>
              <w:t>1.34</w:t>
            </w:r>
          </w:p>
        </w:tc>
      </w:tr>
      <w:tr>
        <w:trPr>
          <w:trHeight w:val="310" w:hRule="exact"/>
        </w:trPr>
        <w:tc>
          <w:tcPr>
            <w:tcW w:w="677" w:type="dxa"/>
          </w:tcPr>
          <w:p>
            <w:pPr>
              <w:pStyle w:val="TableParagraph"/>
              <w:rPr>
                <w:sz w:val="22"/>
              </w:rPr>
            </w:pPr>
            <w:r>
              <w:rPr>
                <w:sz w:val="22"/>
              </w:rPr>
              <w:t>137</w:t>
            </w:r>
          </w:p>
        </w:tc>
        <w:tc>
          <w:tcPr>
            <w:tcW w:w="1762" w:type="dxa"/>
          </w:tcPr>
          <w:p>
            <w:pPr>
              <w:pStyle w:val="TableParagraph"/>
              <w:ind w:right="63"/>
              <w:rPr>
                <w:sz w:val="22"/>
              </w:rPr>
            </w:pPr>
            <w:r>
              <w:rPr>
                <w:sz w:val="22"/>
              </w:rPr>
              <w:t>03/11/2009</w:t>
            </w:r>
          </w:p>
        </w:tc>
        <w:tc>
          <w:tcPr>
            <w:tcW w:w="1267" w:type="dxa"/>
          </w:tcPr>
          <w:p>
            <w:pPr>
              <w:pStyle w:val="TableParagraph"/>
              <w:ind w:right="63"/>
              <w:rPr>
                <w:sz w:val="22"/>
              </w:rPr>
            </w:pPr>
            <w:r>
              <w:rPr>
                <w:sz w:val="22"/>
              </w:rPr>
              <w:t>1.04</w:t>
            </w:r>
          </w:p>
        </w:tc>
        <w:tc>
          <w:tcPr>
            <w:tcW w:w="1193" w:type="dxa"/>
          </w:tcPr>
          <w:p>
            <w:pPr>
              <w:pStyle w:val="TableParagraph"/>
              <w:ind w:right="63"/>
              <w:rPr>
                <w:sz w:val="22"/>
              </w:rPr>
            </w:pPr>
            <w:r>
              <w:rPr>
                <w:sz w:val="22"/>
              </w:rPr>
              <w:t>0.89</w:t>
            </w:r>
          </w:p>
        </w:tc>
        <w:tc>
          <w:tcPr>
            <w:tcW w:w="619" w:type="dxa"/>
          </w:tcPr>
          <w:p>
            <w:pPr>
              <w:pStyle w:val="TableParagraph"/>
              <w:ind w:left="134" w:right="44"/>
              <w:jc w:val="center"/>
              <w:rPr>
                <w:sz w:val="22"/>
              </w:rPr>
            </w:pPr>
            <w:r>
              <w:rPr>
                <w:sz w:val="22"/>
              </w:rPr>
              <w:t>0.24</w:t>
            </w:r>
          </w:p>
        </w:tc>
        <w:tc>
          <w:tcPr>
            <w:tcW w:w="1195" w:type="dxa"/>
          </w:tcPr>
          <w:p>
            <w:pPr>
              <w:pStyle w:val="TableParagraph"/>
              <w:ind w:right="63"/>
              <w:rPr>
                <w:sz w:val="22"/>
              </w:rPr>
            </w:pPr>
            <w:r>
              <w:rPr>
                <w:sz w:val="22"/>
              </w:rPr>
              <w:t>1.06</w:t>
            </w:r>
          </w:p>
        </w:tc>
        <w:tc>
          <w:tcPr>
            <w:tcW w:w="1193" w:type="dxa"/>
          </w:tcPr>
          <w:p>
            <w:pPr>
              <w:pStyle w:val="TableParagraph"/>
              <w:rPr>
                <w:sz w:val="22"/>
              </w:rPr>
            </w:pPr>
            <w:r>
              <w:rPr>
                <w:w w:val="100"/>
                <w:sz w:val="22"/>
              </w:rPr>
              <w:t>1</w:t>
            </w:r>
          </w:p>
        </w:tc>
        <w:tc>
          <w:tcPr>
            <w:tcW w:w="1195" w:type="dxa"/>
          </w:tcPr>
          <w:p>
            <w:pPr>
              <w:pStyle w:val="TableParagraph"/>
              <w:ind w:right="63"/>
              <w:rPr>
                <w:sz w:val="22"/>
              </w:rPr>
            </w:pPr>
            <w:r>
              <w:rPr>
                <w:sz w:val="22"/>
              </w:rPr>
              <w:t>2.3</w:t>
            </w:r>
          </w:p>
        </w:tc>
      </w:tr>
      <w:tr>
        <w:trPr>
          <w:trHeight w:val="310" w:hRule="exact"/>
        </w:trPr>
        <w:tc>
          <w:tcPr>
            <w:tcW w:w="677" w:type="dxa"/>
          </w:tcPr>
          <w:p>
            <w:pPr>
              <w:pStyle w:val="TableParagraph"/>
              <w:rPr>
                <w:sz w:val="22"/>
              </w:rPr>
            </w:pPr>
            <w:r>
              <w:rPr>
                <w:sz w:val="22"/>
              </w:rPr>
              <w:t>139</w:t>
            </w:r>
          </w:p>
        </w:tc>
        <w:tc>
          <w:tcPr>
            <w:tcW w:w="1762" w:type="dxa"/>
          </w:tcPr>
          <w:p>
            <w:pPr>
              <w:pStyle w:val="TableParagraph"/>
              <w:ind w:right="63"/>
              <w:rPr>
                <w:sz w:val="22"/>
              </w:rPr>
            </w:pPr>
            <w:r>
              <w:rPr>
                <w:sz w:val="22"/>
              </w:rPr>
              <w:t>05/11/2009</w:t>
            </w:r>
          </w:p>
        </w:tc>
        <w:tc>
          <w:tcPr>
            <w:tcW w:w="1267" w:type="dxa"/>
          </w:tcPr>
          <w:p>
            <w:pPr>
              <w:pStyle w:val="TableParagraph"/>
              <w:ind w:right="63"/>
              <w:rPr>
                <w:sz w:val="22"/>
              </w:rPr>
            </w:pPr>
            <w:r>
              <w:rPr>
                <w:sz w:val="22"/>
              </w:rPr>
              <w:t>0.98</w:t>
            </w:r>
          </w:p>
        </w:tc>
        <w:tc>
          <w:tcPr>
            <w:tcW w:w="1193" w:type="dxa"/>
          </w:tcPr>
          <w:p>
            <w:pPr>
              <w:pStyle w:val="TableParagraph"/>
              <w:ind w:right="63"/>
              <w:rPr>
                <w:sz w:val="22"/>
              </w:rPr>
            </w:pPr>
            <w:r>
              <w:rPr>
                <w:sz w:val="22"/>
              </w:rPr>
              <w:t>0.57</w:t>
            </w:r>
          </w:p>
        </w:tc>
        <w:tc>
          <w:tcPr>
            <w:tcW w:w="619" w:type="dxa"/>
          </w:tcPr>
          <w:p>
            <w:pPr>
              <w:pStyle w:val="TableParagraph"/>
              <w:ind w:left="134" w:right="44"/>
              <w:jc w:val="center"/>
              <w:rPr>
                <w:sz w:val="22"/>
              </w:rPr>
            </w:pPr>
            <w:r>
              <w:rPr>
                <w:sz w:val="22"/>
              </w:rPr>
              <w:t>0.13</w:t>
            </w:r>
          </w:p>
        </w:tc>
        <w:tc>
          <w:tcPr>
            <w:tcW w:w="1195" w:type="dxa"/>
          </w:tcPr>
          <w:p>
            <w:pPr>
              <w:pStyle w:val="TableParagraph"/>
              <w:ind w:right="63"/>
              <w:rPr>
                <w:sz w:val="22"/>
              </w:rPr>
            </w:pPr>
            <w:r>
              <w:rPr>
                <w:w w:val="100"/>
                <w:sz w:val="22"/>
              </w:rPr>
              <w:t>1</w:t>
            </w:r>
          </w:p>
        </w:tc>
        <w:tc>
          <w:tcPr>
            <w:tcW w:w="1193" w:type="dxa"/>
          </w:tcPr>
          <w:p>
            <w:pPr>
              <w:pStyle w:val="TableParagraph"/>
              <w:rPr>
                <w:sz w:val="22"/>
              </w:rPr>
            </w:pPr>
            <w:r>
              <w:rPr>
                <w:sz w:val="22"/>
              </w:rPr>
              <w:t>0.96</w:t>
            </w:r>
          </w:p>
        </w:tc>
        <w:tc>
          <w:tcPr>
            <w:tcW w:w="1195" w:type="dxa"/>
          </w:tcPr>
          <w:p>
            <w:pPr>
              <w:pStyle w:val="TableParagraph"/>
              <w:ind w:right="63"/>
              <w:rPr>
                <w:sz w:val="22"/>
              </w:rPr>
            </w:pPr>
            <w:r>
              <w:rPr>
                <w:sz w:val="22"/>
              </w:rPr>
              <w:t>2.25</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7"/>
        <w:gridCol w:w="1762"/>
        <w:gridCol w:w="1267"/>
        <w:gridCol w:w="1193"/>
        <w:gridCol w:w="619"/>
        <w:gridCol w:w="1195"/>
        <w:gridCol w:w="1193"/>
        <w:gridCol w:w="1195"/>
      </w:tblGrid>
      <w:tr>
        <w:trPr>
          <w:trHeight w:val="310" w:hRule="exact"/>
        </w:trPr>
        <w:tc>
          <w:tcPr>
            <w:tcW w:w="9101" w:type="dxa"/>
            <w:gridSpan w:val="8"/>
            <w:shd w:val="clear" w:color="auto" w:fill="E6B9B8"/>
          </w:tcPr>
          <w:p>
            <w:pPr>
              <w:pStyle w:val="TableParagraph"/>
              <w:ind w:left="3016" w:right="0"/>
              <w:jc w:val="left"/>
              <w:rPr>
                <w:b/>
                <w:sz w:val="22"/>
              </w:rPr>
            </w:pPr>
            <w:r>
              <w:rPr>
                <w:b/>
                <w:sz w:val="22"/>
              </w:rPr>
              <w:t>Nitrógeno amoniacal total (mg/L)</w:t>
            </w:r>
          </w:p>
        </w:tc>
      </w:tr>
      <w:tr>
        <w:trPr>
          <w:trHeight w:val="610" w:hRule="exact"/>
        </w:trPr>
        <w:tc>
          <w:tcPr>
            <w:tcW w:w="677" w:type="dxa"/>
            <w:vMerge w:val="restart"/>
            <w:shd w:val="clear" w:color="auto" w:fill="E6B9B8"/>
          </w:tcPr>
          <w:p>
            <w:pPr>
              <w:pStyle w:val="TableParagraph"/>
              <w:spacing w:before="8"/>
              <w:ind w:right="0"/>
              <w:jc w:val="left"/>
              <w:rPr>
                <w:rFonts w:ascii="Times New Roman"/>
                <w:sz w:val="27"/>
              </w:rPr>
            </w:pPr>
          </w:p>
          <w:p>
            <w:pPr>
              <w:pStyle w:val="TableParagraph"/>
              <w:spacing w:before="0"/>
              <w:ind w:left="139" w:right="0"/>
              <w:jc w:val="left"/>
              <w:rPr>
                <w:b/>
                <w:sz w:val="22"/>
              </w:rPr>
            </w:pPr>
            <w:r>
              <w:rPr>
                <w:b/>
                <w:sz w:val="22"/>
              </w:rPr>
              <w:t>Días</w:t>
            </w:r>
          </w:p>
        </w:tc>
        <w:tc>
          <w:tcPr>
            <w:tcW w:w="1762" w:type="dxa"/>
            <w:vMerge w:val="restart"/>
            <w:shd w:val="clear" w:color="auto" w:fill="E6B9B8"/>
          </w:tcPr>
          <w:p>
            <w:pPr>
              <w:pStyle w:val="TableParagraph"/>
              <w:spacing w:before="8"/>
              <w:ind w:right="0"/>
              <w:jc w:val="left"/>
              <w:rPr>
                <w:rFonts w:ascii="Times New Roman"/>
                <w:sz w:val="27"/>
              </w:rPr>
            </w:pPr>
          </w:p>
          <w:p>
            <w:pPr>
              <w:pStyle w:val="TableParagraph"/>
              <w:spacing w:before="0"/>
              <w:ind w:left="590" w:right="591"/>
              <w:jc w:val="center"/>
              <w:rPr>
                <w:b/>
                <w:sz w:val="22"/>
              </w:rPr>
            </w:pPr>
            <w:r>
              <w:rPr>
                <w:b/>
                <w:sz w:val="22"/>
              </w:rPr>
              <w:t>Fecha</w:t>
            </w:r>
          </w:p>
        </w:tc>
        <w:tc>
          <w:tcPr>
            <w:tcW w:w="6662" w:type="dxa"/>
            <w:gridSpan w:val="6"/>
            <w:shd w:val="clear" w:color="auto" w:fill="E6B9B8"/>
          </w:tcPr>
          <w:p>
            <w:pPr>
              <w:pStyle w:val="TableParagraph"/>
              <w:spacing w:before="162"/>
              <w:ind w:left="2384" w:right="2385"/>
              <w:jc w:val="center"/>
              <w:rPr>
                <w:b/>
                <w:sz w:val="22"/>
              </w:rPr>
            </w:pPr>
            <w:r>
              <w:rPr>
                <w:b/>
                <w:sz w:val="22"/>
              </w:rPr>
              <w:t>Puntos de muestreo</w:t>
            </w:r>
          </w:p>
        </w:tc>
      </w:tr>
      <w:tr>
        <w:trPr>
          <w:trHeight w:val="310" w:hRule="exact"/>
        </w:trPr>
        <w:tc>
          <w:tcPr>
            <w:tcW w:w="677" w:type="dxa"/>
            <w:vMerge/>
            <w:shd w:val="clear" w:color="auto" w:fill="E6B9B8"/>
          </w:tcPr>
          <w:p>
            <w:pPr/>
          </w:p>
        </w:tc>
        <w:tc>
          <w:tcPr>
            <w:tcW w:w="1762" w:type="dxa"/>
            <w:vMerge/>
            <w:shd w:val="clear" w:color="auto" w:fill="E6B9B8"/>
          </w:tcPr>
          <w:p>
            <w:pPr/>
          </w:p>
        </w:tc>
        <w:tc>
          <w:tcPr>
            <w:tcW w:w="1267" w:type="dxa"/>
            <w:shd w:val="clear" w:color="auto" w:fill="E6B9B8"/>
          </w:tcPr>
          <w:p>
            <w:pPr>
              <w:pStyle w:val="TableParagraph"/>
              <w:spacing w:before="13"/>
              <w:ind w:right="3"/>
              <w:jc w:val="center"/>
              <w:rPr>
                <w:b/>
                <w:sz w:val="22"/>
              </w:rPr>
            </w:pPr>
            <w:r>
              <w:rPr>
                <w:b/>
                <w:w w:val="100"/>
                <w:sz w:val="22"/>
              </w:rPr>
              <w:t>A</w:t>
            </w:r>
          </w:p>
        </w:tc>
        <w:tc>
          <w:tcPr>
            <w:tcW w:w="1193" w:type="dxa"/>
            <w:shd w:val="clear" w:color="auto" w:fill="E6B9B8"/>
          </w:tcPr>
          <w:p>
            <w:pPr>
              <w:pStyle w:val="TableParagraph"/>
              <w:spacing w:before="13"/>
              <w:ind w:right="1"/>
              <w:jc w:val="center"/>
              <w:rPr>
                <w:b/>
                <w:sz w:val="22"/>
              </w:rPr>
            </w:pPr>
            <w:r>
              <w:rPr>
                <w:b/>
                <w:w w:val="100"/>
                <w:sz w:val="22"/>
              </w:rPr>
              <w:t>B</w:t>
            </w:r>
          </w:p>
        </w:tc>
        <w:tc>
          <w:tcPr>
            <w:tcW w:w="619" w:type="dxa"/>
            <w:shd w:val="clear" w:color="auto" w:fill="E6B9B8"/>
          </w:tcPr>
          <w:p>
            <w:pPr>
              <w:pStyle w:val="TableParagraph"/>
              <w:spacing w:before="30"/>
              <w:ind w:right="1"/>
              <w:jc w:val="center"/>
              <w:rPr>
                <w:b/>
                <w:sz w:val="22"/>
              </w:rPr>
            </w:pPr>
            <w:r>
              <w:rPr>
                <w:b/>
                <w:w w:val="100"/>
                <w:sz w:val="22"/>
              </w:rPr>
              <w:t>C</w:t>
            </w:r>
          </w:p>
        </w:tc>
        <w:tc>
          <w:tcPr>
            <w:tcW w:w="1195" w:type="dxa"/>
            <w:shd w:val="clear" w:color="auto" w:fill="E6B9B8"/>
          </w:tcPr>
          <w:p>
            <w:pPr>
              <w:pStyle w:val="TableParagraph"/>
              <w:spacing w:before="13"/>
              <w:ind w:right="3"/>
              <w:jc w:val="center"/>
              <w:rPr>
                <w:b/>
                <w:sz w:val="22"/>
              </w:rPr>
            </w:pPr>
            <w:r>
              <w:rPr>
                <w:b/>
                <w:w w:val="100"/>
                <w:sz w:val="22"/>
              </w:rPr>
              <w:t>D</w:t>
            </w:r>
          </w:p>
        </w:tc>
        <w:tc>
          <w:tcPr>
            <w:tcW w:w="1193" w:type="dxa"/>
            <w:shd w:val="clear" w:color="auto" w:fill="E6B9B8"/>
          </w:tcPr>
          <w:p>
            <w:pPr>
              <w:pStyle w:val="TableParagraph"/>
              <w:spacing w:before="13"/>
              <w:ind w:right="0"/>
              <w:jc w:val="center"/>
              <w:rPr>
                <w:b/>
                <w:sz w:val="22"/>
              </w:rPr>
            </w:pPr>
            <w:r>
              <w:rPr>
                <w:b/>
                <w:w w:val="100"/>
                <w:sz w:val="22"/>
              </w:rPr>
              <w:t>E</w:t>
            </w:r>
          </w:p>
        </w:tc>
        <w:tc>
          <w:tcPr>
            <w:tcW w:w="1195" w:type="dxa"/>
            <w:shd w:val="clear" w:color="auto" w:fill="E6B9B8"/>
          </w:tcPr>
          <w:p>
            <w:pPr>
              <w:pStyle w:val="TableParagraph"/>
              <w:spacing w:before="13"/>
              <w:ind w:right="1"/>
              <w:jc w:val="center"/>
              <w:rPr>
                <w:b/>
                <w:sz w:val="22"/>
              </w:rPr>
            </w:pPr>
            <w:r>
              <w:rPr>
                <w:b/>
                <w:w w:val="100"/>
                <w:sz w:val="22"/>
              </w:rPr>
              <w:t>G</w:t>
            </w:r>
          </w:p>
        </w:tc>
      </w:tr>
      <w:tr>
        <w:trPr>
          <w:trHeight w:val="312" w:hRule="exact"/>
        </w:trPr>
        <w:tc>
          <w:tcPr>
            <w:tcW w:w="677" w:type="dxa"/>
          </w:tcPr>
          <w:p>
            <w:pPr>
              <w:pStyle w:val="TableParagraph"/>
              <w:spacing w:before="30"/>
              <w:rPr>
                <w:sz w:val="22"/>
              </w:rPr>
            </w:pPr>
            <w:r>
              <w:rPr>
                <w:sz w:val="22"/>
              </w:rPr>
              <w:t>143</w:t>
            </w:r>
          </w:p>
        </w:tc>
        <w:tc>
          <w:tcPr>
            <w:tcW w:w="1762" w:type="dxa"/>
          </w:tcPr>
          <w:p>
            <w:pPr>
              <w:pStyle w:val="TableParagraph"/>
              <w:spacing w:before="30"/>
              <w:ind w:right="63"/>
              <w:rPr>
                <w:sz w:val="22"/>
              </w:rPr>
            </w:pPr>
            <w:r>
              <w:rPr>
                <w:sz w:val="22"/>
              </w:rPr>
              <w:t>09/11/2009</w:t>
            </w:r>
          </w:p>
        </w:tc>
        <w:tc>
          <w:tcPr>
            <w:tcW w:w="1267" w:type="dxa"/>
          </w:tcPr>
          <w:p>
            <w:pPr>
              <w:pStyle w:val="TableParagraph"/>
              <w:spacing w:before="30"/>
              <w:ind w:right="63"/>
              <w:rPr>
                <w:sz w:val="22"/>
              </w:rPr>
            </w:pPr>
            <w:r>
              <w:rPr>
                <w:sz w:val="22"/>
              </w:rPr>
              <w:t>0.93</w:t>
            </w:r>
          </w:p>
        </w:tc>
        <w:tc>
          <w:tcPr>
            <w:tcW w:w="1193" w:type="dxa"/>
          </w:tcPr>
          <w:p>
            <w:pPr>
              <w:pStyle w:val="TableParagraph"/>
              <w:spacing w:before="30"/>
              <w:ind w:right="63"/>
              <w:rPr>
                <w:sz w:val="22"/>
              </w:rPr>
            </w:pPr>
            <w:r>
              <w:rPr>
                <w:sz w:val="22"/>
              </w:rPr>
              <w:t>0.62</w:t>
            </w:r>
          </w:p>
        </w:tc>
        <w:tc>
          <w:tcPr>
            <w:tcW w:w="619" w:type="dxa"/>
          </w:tcPr>
          <w:p>
            <w:pPr>
              <w:pStyle w:val="TableParagraph"/>
              <w:spacing w:before="30"/>
              <w:ind w:left="134" w:right="44"/>
              <w:jc w:val="center"/>
              <w:rPr>
                <w:sz w:val="22"/>
              </w:rPr>
            </w:pPr>
            <w:r>
              <w:rPr>
                <w:sz w:val="22"/>
              </w:rPr>
              <w:t>0.01</w:t>
            </w:r>
          </w:p>
        </w:tc>
        <w:tc>
          <w:tcPr>
            <w:tcW w:w="1195" w:type="dxa"/>
          </w:tcPr>
          <w:p>
            <w:pPr>
              <w:pStyle w:val="TableParagraph"/>
              <w:spacing w:before="30"/>
              <w:ind w:right="63"/>
              <w:rPr>
                <w:sz w:val="22"/>
              </w:rPr>
            </w:pPr>
            <w:r>
              <w:rPr>
                <w:sz w:val="22"/>
              </w:rPr>
              <w:t>0.83</w:t>
            </w:r>
          </w:p>
        </w:tc>
        <w:tc>
          <w:tcPr>
            <w:tcW w:w="1193" w:type="dxa"/>
          </w:tcPr>
          <w:p>
            <w:pPr>
              <w:pStyle w:val="TableParagraph"/>
              <w:spacing w:before="30"/>
              <w:rPr>
                <w:sz w:val="22"/>
              </w:rPr>
            </w:pPr>
            <w:r>
              <w:rPr>
                <w:sz w:val="22"/>
              </w:rPr>
              <w:t>0.96</w:t>
            </w:r>
          </w:p>
        </w:tc>
        <w:tc>
          <w:tcPr>
            <w:tcW w:w="1195" w:type="dxa"/>
          </w:tcPr>
          <w:p>
            <w:pPr>
              <w:pStyle w:val="TableParagraph"/>
              <w:spacing w:before="30"/>
              <w:ind w:right="63"/>
              <w:rPr>
                <w:sz w:val="22"/>
              </w:rPr>
            </w:pPr>
            <w:r>
              <w:rPr>
                <w:sz w:val="22"/>
              </w:rPr>
              <w:t>2.24</w:t>
            </w:r>
          </w:p>
        </w:tc>
      </w:tr>
      <w:tr>
        <w:trPr>
          <w:trHeight w:val="310" w:hRule="exact"/>
        </w:trPr>
        <w:tc>
          <w:tcPr>
            <w:tcW w:w="677" w:type="dxa"/>
          </w:tcPr>
          <w:p>
            <w:pPr>
              <w:pStyle w:val="TableParagraph"/>
              <w:rPr>
                <w:sz w:val="22"/>
              </w:rPr>
            </w:pPr>
            <w:r>
              <w:rPr>
                <w:sz w:val="22"/>
              </w:rPr>
              <w:t>146</w:t>
            </w:r>
          </w:p>
        </w:tc>
        <w:tc>
          <w:tcPr>
            <w:tcW w:w="1762" w:type="dxa"/>
          </w:tcPr>
          <w:p>
            <w:pPr>
              <w:pStyle w:val="TableParagraph"/>
              <w:ind w:right="63"/>
              <w:rPr>
                <w:sz w:val="22"/>
              </w:rPr>
            </w:pPr>
            <w:r>
              <w:rPr>
                <w:sz w:val="22"/>
              </w:rPr>
              <w:t>12/11/2009</w:t>
            </w:r>
          </w:p>
        </w:tc>
        <w:tc>
          <w:tcPr>
            <w:tcW w:w="1267" w:type="dxa"/>
          </w:tcPr>
          <w:p>
            <w:pPr>
              <w:pStyle w:val="TableParagraph"/>
              <w:ind w:right="63"/>
              <w:rPr>
                <w:sz w:val="22"/>
              </w:rPr>
            </w:pPr>
            <w:r>
              <w:rPr>
                <w:sz w:val="22"/>
              </w:rPr>
              <w:t>0.76</w:t>
            </w:r>
          </w:p>
        </w:tc>
        <w:tc>
          <w:tcPr>
            <w:tcW w:w="1193" w:type="dxa"/>
          </w:tcPr>
          <w:p>
            <w:pPr>
              <w:pStyle w:val="TableParagraph"/>
              <w:ind w:right="63"/>
              <w:rPr>
                <w:sz w:val="22"/>
              </w:rPr>
            </w:pPr>
            <w:r>
              <w:rPr>
                <w:sz w:val="22"/>
              </w:rPr>
              <w:t>0.52</w:t>
            </w:r>
          </w:p>
        </w:tc>
        <w:tc>
          <w:tcPr>
            <w:tcW w:w="619" w:type="dxa"/>
          </w:tcPr>
          <w:p>
            <w:pPr>
              <w:pStyle w:val="TableParagraph"/>
              <w:ind w:left="134" w:right="44"/>
              <w:jc w:val="center"/>
              <w:rPr>
                <w:sz w:val="22"/>
              </w:rPr>
            </w:pPr>
            <w:r>
              <w:rPr>
                <w:sz w:val="22"/>
              </w:rPr>
              <w:t>0.09</w:t>
            </w:r>
          </w:p>
        </w:tc>
        <w:tc>
          <w:tcPr>
            <w:tcW w:w="1195" w:type="dxa"/>
          </w:tcPr>
          <w:p>
            <w:pPr>
              <w:pStyle w:val="TableParagraph"/>
              <w:ind w:right="63"/>
              <w:rPr>
                <w:sz w:val="22"/>
              </w:rPr>
            </w:pPr>
            <w:r>
              <w:rPr>
                <w:sz w:val="22"/>
              </w:rPr>
              <w:t>0.68</w:t>
            </w:r>
          </w:p>
        </w:tc>
        <w:tc>
          <w:tcPr>
            <w:tcW w:w="1193" w:type="dxa"/>
          </w:tcPr>
          <w:p>
            <w:pPr>
              <w:pStyle w:val="TableParagraph"/>
              <w:rPr>
                <w:sz w:val="22"/>
              </w:rPr>
            </w:pPr>
            <w:r>
              <w:rPr>
                <w:sz w:val="22"/>
              </w:rPr>
              <w:t>0.81</w:t>
            </w:r>
          </w:p>
        </w:tc>
        <w:tc>
          <w:tcPr>
            <w:tcW w:w="1195" w:type="dxa"/>
          </w:tcPr>
          <w:p>
            <w:pPr>
              <w:pStyle w:val="TableParagraph"/>
              <w:ind w:right="63"/>
              <w:rPr>
                <w:sz w:val="22"/>
              </w:rPr>
            </w:pPr>
            <w:r>
              <w:rPr>
                <w:sz w:val="22"/>
              </w:rPr>
              <w:t>2.38</w:t>
            </w:r>
          </w:p>
        </w:tc>
      </w:tr>
      <w:tr>
        <w:trPr>
          <w:trHeight w:val="310" w:hRule="exact"/>
        </w:trPr>
        <w:tc>
          <w:tcPr>
            <w:tcW w:w="677" w:type="dxa"/>
          </w:tcPr>
          <w:p>
            <w:pPr>
              <w:pStyle w:val="TableParagraph"/>
              <w:rPr>
                <w:sz w:val="22"/>
              </w:rPr>
            </w:pPr>
            <w:r>
              <w:rPr>
                <w:sz w:val="22"/>
              </w:rPr>
              <w:t>150</w:t>
            </w:r>
          </w:p>
        </w:tc>
        <w:tc>
          <w:tcPr>
            <w:tcW w:w="1762" w:type="dxa"/>
          </w:tcPr>
          <w:p>
            <w:pPr>
              <w:pStyle w:val="TableParagraph"/>
              <w:ind w:right="63"/>
              <w:rPr>
                <w:sz w:val="22"/>
              </w:rPr>
            </w:pPr>
            <w:r>
              <w:rPr>
                <w:sz w:val="22"/>
              </w:rPr>
              <w:t>16/11/2009</w:t>
            </w:r>
          </w:p>
        </w:tc>
        <w:tc>
          <w:tcPr>
            <w:tcW w:w="1267" w:type="dxa"/>
          </w:tcPr>
          <w:p>
            <w:pPr>
              <w:pStyle w:val="TableParagraph"/>
              <w:ind w:right="63"/>
              <w:rPr>
                <w:sz w:val="22"/>
              </w:rPr>
            </w:pPr>
            <w:r>
              <w:rPr>
                <w:sz w:val="22"/>
              </w:rPr>
              <w:t>0.82</w:t>
            </w:r>
          </w:p>
        </w:tc>
        <w:tc>
          <w:tcPr>
            <w:tcW w:w="1193" w:type="dxa"/>
          </w:tcPr>
          <w:p>
            <w:pPr>
              <w:pStyle w:val="TableParagraph"/>
              <w:ind w:right="63"/>
              <w:rPr>
                <w:sz w:val="22"/>
              </w:rPr>
            </w:pPr>
            <w:r>
              <w:rPr>
                <w:sz w:val="22"/>
              </w:rPr>
              <w:t>0.61</w:t>
            </w:r>
          </w:p>
        </w:tc>
        <w:tc>
          <w:tcPr>
            <w:tcW w:w="619" w:type="dxa"/>
          </w:tcPr>
          <w:p>
            <w:pPr>
              <w:pStyle w:val="TableParagraph"/>
              <w:ind w:left="134" w:right="44"/>
              <w:jc w:val="center"/>
              <w:rPr>
                <w:sz w:val="22"/>
              </w:rPr>
            </w:pPr>
            <w:r>
              <w:rPr>
                <w:sz w:val="22"/>
              </w:rPr>
              <w:t>0.12</w:t>
            </w:r>
          </w:p>
        </w:tc>
        <w:tc>
          <w:tcPr>
            <w:tcW w:w="1195" w:type="dxa"/>
          </w:tcPr>
          <w:p>
            <w:pPr>
              <w:pStyle w:val="TableParagraph"/>
              <w:ind w:right="63"/>
              <w:rPr>
                <w:sz w:val="22"/>
              </w:rPr>
            </w:pPr>
            <w:r>
              <w:rPr>
                <w:sz w:val="22"/>
              </w:rPr>
              <w:t>0.74</w:t>
            </w:r>
          </w:p>
        </w:tc>
        <w:tc>
          <w:tcPr>
            <w:tcW w:w="1193" w:type="dxa"/>
          </w:tcPr>
          <w:p>
            <w:pPr>
              <w:pStyle w:val="TableParagraph"/>
              <w:rPr>
                <w:sz w:val="22"/>
              </w:rPr>
            </w:pPr>
            <w:r>
              <w:rPr>
                <w:sz w:val="22"/>
              </w:rPr>
              <w:t>0.86</w:t>
            </w:r>
          </w:p>
        </w:tc>
        <w:tc>
          <w:tcPr>
            <w:tcW w:w="1195" w:type="dxa"/>
          </w:tcPr>
          <w:p>
            <w:pPr>
              <w:pStyle w:val="TableParagraph"/>
              <w:ind w:right="63"/>
              <w:rPr>
                <w:sz w:val="22"/>
              </w:rPr>
            </w:pPr>
            <w:r>
              <w:rPr>
                <w:sz w:val="22"/>
              </w:rPr>
              <w:t>3.01</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22"/>
        <w:gridCol w:w="1610"/>
        <w:gridCol w:w="1267"/>
        <w:gridCol w:w="1195"/>
        <w:gridCol w:w="737"/>
        <w:gridCol w:w="1195"/>
        <w:gridCol w:w="1198"/>
        <w:gridCol w:w="1198"/>
      </w:tblGrid>
      <w:tr>
        <w:trPr>
          <w:trHeight w:val="310" w:hRule="exact"/>
        </w:trPr>
        <w:tc>
          <w:tcPr>
            <w:tcW w:w="9022" w:type="dxa"/>
            <w:gridSpan w:val="8"/>
            <w:shd w:val="clear" w:color="auto" w:fill="E6B9B8"/>
          </w:tcPr>
          <w:p>
            <w:pPr>
              <w:pStyle w:val="TableParagraph"/>
              <w:spacing w:line="98" w:lineRule="exact" w:before="3"/>
              <w:ind w:left="659" w:right="0"/>
              <w:jc w:val="center"/>
              <w:rPr>
                <w:b/>
                <w:sz w:val="14"/>
              </w:rPr>
            </w:pPr>
            <w:r>
              <w:rPr>
                <w:b/>
                <w:w w:val="99"/>
                <w:sz w:val="14"/>
              </w:rPr>
              <w:t>-</w:t>
            </w:r>
          </w:p>
          <w:p>
            <w:pPr>
              <w:pStyle w:val="TableParagraph"/>
              <w:spacing w:line="204" w:lineRule="exact" w:before="0"/>
              <w:ind w:left="3492" w:right="3492"/>
              <w:jc w:val="center"/>
              <w:rPr>
                <w:b/>
                <w:sz w:val="22"/>
              </w:rPr>
            </w:pPr>
            <w:r>
              <w:rPr>
                <w:b/>
                <w:sz w:val="22"/>
              </w:rPr>
              <w:t>Nitritos N-NO</w:t>
            </w:r>
            <w:r>
              <w:rPr>
                <w:b/>
                <w:position w:val="-2"/>
                <w:sz w:val="14"/>
              </w:rPr>
              <w:t>2  </w:t>
            </w:r>
            <w:r>
              <w:rPr>
                <w:b/>
                <w:sz w:val="22"/>
              </w:rPr>
              <w:t>(mg/L)</w:t>
            </w:r>
          </w:p>
        </w:tc>
      </w:tr>
      <w:tr>
        <w:trPr>
          <w:trHeight w:val="610" w:hRule="exact"/>
        </w:trPr>
        <w:tc>
          <w:tcPr>
            <w:tcW w:w="622"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110" w:right="0"/>
              <w:jc w:val="left"/>
              <w:rPr>
                <w:b/>
                <w:sz w:val="22"/>
              </w:rPr>
            </w:pPr>
            <w:r>
              <w:rPr>
                <w:b/>
                <w:sz w:val="22"/>
              </w:rPr>
              <w:t>Días</w:t>
            </w:r>
          </w:p>
        </w:tc>
        <w:tc>
          <w:tcPr>
            <w:tcW w:w="1610"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515" w:right="515"/>
              <w:jc w:val="center"/>
              <w:rPr>
                <w:b/>
                <w:sz w:val="22"/>
              </w:rPr>
            </w:pPr>
            <w:r>
              <w:rPr>
                <w:b/>
                <w:sz w:val="22"/>
              </w:rPr>
              <w:t>Fecha</w:t>
            </w:r>
          </w:p>
        </w:tc>
        <w:tc>
          <w:tcPr>
            <w:tcW w:w="6790" w:type="dxa"/>
            <w:gridSpan w:val="6"/>
            <w:shd w:val="clear" w:color="auto" w:fill="E6B9B8"/>
          </w:tcPr>
          <w:p>
            <w:pPr>
              <w:pStyle w:val="TableParagraph"/>
              <w:spacing w:before="162"/>
              <w:ind w:left="2448" w:right="2449"/>
              <w:jc w:val="center"/>
              <w:rPr>
                <w:b/>
                <w:sz w:val="22"/>
              </w:rPr>
            </w:pPr>
            <w:r>
              <w:rPr>
                <w:b/>
                <w:sz w:val="22"/>
              </w:rPr>
              <w:t>Puntos de muestreo</w:t>
            </w:r>
          </w:p>
        </w:tc>
      </w:tr>
      <w:tr>
        <w:trPr>
          <w:trHeight w:val="610" w:hRule="exact"/>
        </w:trPr>
        <w:tc>
          <w:tcPr>
            <w:tcW w:w="622" w:type="dxa"/>
            <w:vMerge/>
            <w:shd w:val="clear" w:color="auto" w:fill="E6B9B8"/>
          </w:tcPr>
          <w:p>
            <w:pPr/>
          </w:p>
        </w:tc>
        <w:tc>
          <w:tcPr>
            <w:tcW w:w="1610" w:type="dxa"/>
            <w:vMerge/>
            <w:shd w:val="clear" w:color="auto" w:fill="E6B9B8"/>
          </w:tcPr>
          <w:p>
            <w:pPr/>
          </w:p>
        </w:tc>
        <w:tc>
          <w:tcPr>
            <w:tcW w:w="1267" w:type="dxa"/>
            <w:shd w:val="clear" w:color="auto" w:fill="E6B9B8"/>
          </w:tcPr>
          <w:p>
            <w:pPr>
              <w:pStyle w:val="TableParagraph"/>
              <w:spacing w:before="165"/>
              <w:ind w:right="3"/>
              <w:jc w:val="center"/>
              <w:rPr>
                <w:b/>
                <w:sz w:val="22"/>
              </w:rPr>
            </w:pPr>
            <w:r>
              <w:rPr>
                <w:b/>
                <w:w w:val="100"/>
                <w:sz w:val="22"/>
              </w:rPr>
              <w:t>A</w:t>
            </w:r>
          </w:p>
        </w:tc>
        <w:tc>
          <w:tcPr>
            <w:tcW w:w="1195" w:type="dxa"/>
            <w:shd w:val="clear" w:color="auto" w:fill="E6B9B8"/>
          </w:tcPr>
          <w:p>
            <w:pPr>
              <w:pStyle w:val="TableParagraph"/>
              <w:spacing w:before="165"/>
              <w:ind w:right="1"/>
              <w:jc w:val="center"/>
              <w:rPr>
                <w:b/>
                <w:sz w:val="22"/>
              </w:rPr>
            </w:pPr>
            <w:r>
              <w:rPr>
                <w:b/>
                <w:w w:val="100"/>
                <w:sz w:val="22"/>
              </w:rPr>
              <w:t>B</w:t>
            </w:r>
          </w:p>
        </w:tc>
        <w:tc>
          <w:tcPr>
            <w:tcW w:w="737" w:type="dxa"/>
            <w:shd w:val="clear" w:color="auto" w:fill="E6B9B8"/>
          </w:tcPr>
          <w:p>
            <w:pPr>
              <w:pStyle w:val="TableParagraph"/>
              <w:spacing w:before="165"/>
              <w:ind w:right="3"/>
              <w:jc w:val="center"/>
              <w:rPr>
                <w:b/>
                <w:sz w:val="22"/>
              </w:rPr>
            </w:pPr>
            <w:r>
              <w:rPr>
                <w:b/>
                <w:w w:val="100"/>
                <w:sz w:val="22"/>
              </w:rPr>
              <w:t>C</w:t>
            </w:r>
          </w:p>
        </w:tc>
        <w:tc>
          <w:tcPr>
            <w:tcW w:w="1195" w:type="dxa"/>
            <w:shd w:val="clear" w:color="auto" w:fill="E6B9B8"/>
          </w:tcPr>
          <w:p>
            <w:pPr>
              <w:pStyle w:val="TableParagraph"/>
              <w:spacing w:before="165"/>
              <w:ind w:right="0"/>
              <w:jc w:val="center"/>
              <w:rPr>
                <w:b/>
                <w:sz w:val="22"/>
              </w:rPr>
            </w:pPr>
            <w:r>
              <w:rPr>
                <w:b/>
                <w:w w:val="100"/>
                <w:sz w:val="22"/>
              </w:rPr>
              <w:t>D</w:t>
            </w:r>
          </w:p>
        </w:tc>
        <w:tc>
          <w:tcPr>
            <w:tcW w:w="1198" w:type="dxa"/>
            <w:shd w:val="clear" w:color="auto" w:fill="E6B9B8"/>
          </w:tcPr>
          <w:p>
            <w:pPr>
              <w:pStyle w:val="TableParagraph"/>
              <w:spacing w:before="165"/>
              <w:ind w:right="3"/>
              <w:jc w:val="center"/>
              <w:rPr>
                <w:b/>
                <w:sz w:val="22"/>
              </w:rPr>
            </w:pPr>
            <w:r>
              <w:rPr>
                <w:b/>
                <w:w w:val="100"/>
                <w:sz w:val="22"/>
              </w:rPr>
              <w:t>E</w:t>
            </w:r>
          </w:p>
        </w:tc>
        <w:tc>
          <w:tcPr>
            <w:tcW w:w="1198" w:type="dxa"/>
            <w:shd w:val="clear" w:color="auto" w:fill="E6B9B8"/>
          </w:tcPr>
          <w:p>
            <w:pPr>
              <w:pStyle w:val="TableParagraph"/>
              <w:spacing w:before="165"/>
              <w:ind w:right="1"/>
              <w:jc w:val="center"/>
              <w:rPr>
                <w:b/>
                <w:sz w:val="22"/>
              </w:rPr>
            </w:pPr>
            <w:r>
              <w:rPr>
                <w:b/>
                <w:w w:val="100"/>
                <w:sz w:val="22"/>
              </w:rPr>
              <w:t>G</w:t>
            </w:r>
          </w:p>
        </w:tc>
      </w:tr>
      <w:tr>
        <w:trPr>
          <w:trHeight w:val="312" w:hRule="exact"/>
        </w:trPr>
        <w:tc>
          <w:tcPr>
            <w:tcW w:w="622" w:type="dxa"/>
          </w:tcPr>
          <w:p>
            <w:pPr>
              <w:pStyle w:val="TableParagraph"/>
              <w:spacing w:before="30"/>
              <w:rPr>
                <w:sz w:val="22"/>
              </w:rPr>
            </w:pPr>
            <w:r>
              <w:rPr>
                <w:sz w:val="22"/>
              </w:rPr>
              <w:t>38</w:t>
            </w:r>
          </w:p>
        </w:tc>
        <w:tc>
          <w:tcPr>
            <w:tcW w:w="1610" w:type="dxa"/>
          </w:tcPr>
          <w:p>
            <w:pPr>
              <w:pStyle w:val="TableParagraph"/>
              <w:spacing w:before="30"/>
              <w:rPr>
                <w:sz w:val="22"/>
              </w:rPr>
            </w:pPr>
            <w:r>
              <w:rPr>
                <w:sz w:val="22"/>
              </w:rPr>
              <w:t>27/07/2009</w:t>
            </w:r>
          </w:p>
        </w:tc>
        <w:tc>
          <w:tcPr>
            <w:tcW w:w="1267" w:type="dxa"/>
          </w:tcPr>
          <w:p>
            <w:pPr>
              <w:pStyle w:val="TableParagraph"/>
              <w:spacing w:before="30"/>
              <w:ind w:right="63"/>
              <w:rPr>
                <w:sz w:val="22"/>
              </w:rPr>
            </w:pPr>
            <w:r>
              <w:rPr>
                <w:sz w:val="22"/>
              </w:rPr>
              <w:t>0.143</w:t>
            </w:r>
          </w:p>
        </w:tc>
        <w:tc>
          <w:tcPr>
            <w:tcW w:w="1195" w:type="dxa"/>
          </w:tcPr>
          <w:p>
            <w:pPr>
              <w:pStyle w:val="TableParagraph"/>
              <w:spacing w:before="30"/>
              <w:rPr>
                <w:sz w:val="22"/>
              </w:rPr>
            </w:pPr>
            <w:r>
              <w:rPr>
                <w:sz w:val="22"/>
              </w:rPr>
              <w:t>0.123</w:t>
            </w:r>
          </w:p>
        </w:tc>
        <w:tc>
          <w:tcPr>
            <w:tcW w:w="737" w:type="dxa"/>
          </w:tcPr>
          <w:p>
            <w:pPr>
              <w:pStyle w:val="TableParagraph"/>
              <w:spacing w:before="30"/>
              <w:ind w:left="138" w:right="46"/>
              <w:jc w:val="center"/>
              <w:rPr>
                <w:sz w:val="22"/>
              </w:rPr>
            </w:pPr>
            <w:r>
              <w:rPr>
                <w:sz w:val="22"/>
              </w:rPr>
              <w:t>0.118</w:t>
            </w:r>
          </w:p>
        </w:tc>
        <w:tc>
          <w:tcPr>
            <w:tcW w:w="1195" w:type="dxa"/>
          </w:tcPr>
          <w:p>
            <w:pPr>
              <w:pStyle w:val="TableParagraph"/>
              <w:spacing w:before="30"/>
              <w:rPr>
                <w:sz w:val="22"/>
              </w:rPr>
            </w:pPr>
            <w:r>
              <w:rPr>
                <w:sz w:val="22"/>
              </w:rPr>
              <w:t>0.128</w:t>
            </w:r>
          </w:p>
        </w:tc>
        <w:tc>
          <w:tcPr>
            <w:tcW w:w="1198" w:type="dxa"/>
          </w:tcPr>
          <w:p>
            <w:pPr>
              <w:pStyle w:val="TableParagraph"/>
              <w:spacing w:before="30"/>
              <w:ind w:right="63"/>
              <w:rPr>
                <w:sz w:val="22"/>
              </w:rPr>
            </w:pPr>
            <w:r>
              <w:rPr>
                <w:sz w:val="22"/>
              </w:rPr>
              <w:t>0.130</w:t>
            </w:r>
          </w:p>
        </w:tc>
        <w:tc>
          <w:tcPr>
            <w:tcW w:w="1198" w:type="dxa"/>
          </w:tcPr>
          <w:p>
            <w:pPr>
              <w:pStyle w:val="TableParagraph"/>
              <w:spacing w:before="30"/>
              <w:ind w:right="63"/>
              <w:rPr>
                <w:sz w:val="22"/>
              </w:rPr>
            </w:pPr>
            <w:r>
              <w:rPr>
                <w:sz w:val="22"/>
              </w:rPr>
              <w:t>0.362</w:t>
            </w:r>
          </w:p>
        </w:tc>
      </w:tr>
      <w:tr>
        <w:trPr>
          <w:trHeight w:val="310" w:hRule="exact"/>
        </w:trPr>
        <w:tc>
          <w:tcPr>
            <w:tcW w:w="622" w:type="dxa"/>
          </w:tcPr>
          <w:p>
            <w:pPr>
              <w:pStyle w:val="TableParagraph"/>
              <w:rPr>
                <w:sz w:val="22"/>
              </w:rPr>
            </w:pPr>
            <w:r>
              <w:rPr>
                <w:sz w:val="22"/>
              </w:rPr>
              <w:t>41</w:t>
            </w:r>
          </w:p>
        </w:tc>
        <w:tc>
          <w:tcPr>
            <w:tcW w:w="1610" w:type="dxa"/>
          </w:tcPr>
          <w:p>
            <w:pPr>
              <w:pStyle w:val="TableParagraph"/>
              <w:rPr>
                <w:sz w:val="22"/>
              </w:rPr>
            </w:pPr>
            <w:r>
              <w:rPr>
                <w:sz w:val="22"/>
              </w:rPr>
              <w:t>30/07/2009</w:t>
            </w:r>
          </w:p>
        </w:tc>
        <w:tc>
          <w:tcPr>
            <w:tcW w:w="1267" w:type="dxa"/>
          </w:tcPr>
          <w:p>
            <w:pPr>
              <w:pStyle w:val="TableParagraph"/>
              <w:ind w:right="63"/>
              <w:rPr>
                <w:sz w:val="22"/>
              </w:rPr>
            </w:pPr>
            <w:r>
              <w:rPr>
                <w:sz w:val="22"/>
              </w:rPr>
              <w:t>0.103</w:t>
            </w:r>
          </w:p>
        </w:tc>
        <w:tc>
          <w:tcPr>
            <w:tcW w:w="1195" w:type="dxa"/>
          </w:tcPr>
          <w:p>
            <w:pPr>
              <w:pStyle w:val="TableParagraph"/>
              <w:rPr>
                <w:sz w:val="22"/>
              </w:rPr>
            </w:pPr>
            <w:r>
              <w:rPr>
                <w:sz w:val="22"/>
              </w:rPr>
              <w:t>0.095</w:t>
            </w:r>
          </w:p>
        </w:tc>
        <w:tc>
          <w:tcPr>
            <w:tcW w:w="737" w:type="dxa"/>
          </w:tcPr>
          <w:p>
            <w:pPr>
              <w:pStyle w:val="TableParagraph"/>
              <w:ind w:left="138" w:right="46"/>
              <w:jc w:val="center"/>
              <w:rPr>
                <w:sz w:val="22"/>
              </w:rPr>
            </w:pPr>
            <w:r>
              <w:rPr>
                <w:sz w:val="22"/>
              </w:rPr>
              <w:t>0.102</w:t>
            </w:r>
          </w:p>
        </w:tc>
        <w:tc>
          <w:tcPr>
            <w:tcW w:w="1195" w:type="dxa"/>
          </w:tcPr>
          <w:p>
            <w:pPr>
              <w:pStyle w:val="TableParagraph"/>
              <w:rPr>
                <w:sz w:val="22"/>
              </w:rPr>
            </w:pPr>
            <w:r>
              <w:rPr>
                <w:sz w:val="22"/>
              </w:rPr>
              <w:t>0.102</w:t>
            </w:r>
          </w:p>
        </w:tc>
        <w:tc>
          <w:tcPr>
            <w:tcW w:w="1198" w:type="dxa"/>
          </w:tcPr>
          <w:p>
            <w:pPr>
              <w:pStyle w:val="TableParagraph"/>
              <w:ind w:right="63"/>
              <w:rPr>
                <w:sz w:val="22"/>
              </w:rPr>
            </w:pPr>
            <w:r>
              <w:rPr>
                <w:sz w:val="22"/>
              </w:rPr>
              <w:t>0.105</w:t>
            </w:r>
          </w:p>
        </w:tc>
        <w:tc>
          <w:tcPr>
            <w:tcW w:w="1198" w:type="dxa"/>
          </w:tcPr>
          <w:p>
            <w:pPr>
              <w:pStyle w:val="TableParagraph"/>
              <w:ind w:right="63"/>
              <w:rPr>
                <w:sz w:val="22"/>
              </w:rPr>
            </w:pPr>
            <w:r>
              <w:rPr>
                <w:sz w:val="22"/>
              </w:rPr>
              <w:t>0.231</w:t>
            </w:r>
          </w:p>
        </w:tc>
      </w:tr>
      <w:tr>
        <w:trPr>
          <w:trHeight w:val="310" w:hRule="exact"/>
        </w:trPr>
        <w:tc>
          <w:tcPr>
            <w:tcW w:w="622" w:type="dxa"/>
          </w:tcPr>
          <w:p>
            <w:pPr>
              <w:pStyle w:val="TableParagraph"/>
              <w:rPr>
                <w:sz w:val="22"/>
              </w:rPr>
            </w:pPr>
            <w:r>
              <w:rPr>
                <w:sz w:val="22"/>
              </w:rPr>
              <w:t>45</w:t>
            </w:r>
          </w:p>
        </w:tc>
        <w:tc>
          <w:tcPr>
            <w:tcW w:w="1610" w:type="dxa"/>
          </w:tcPr>
          <w:p>
            <w:pPr>
              <w:pStyle w:val="TableParagraph"/>
              <w:rPr>
                <w:sz w:val="22"/>
              </w:rPr>
            </w:pPr>
            <w:r>
              <w:rPr>
                <w:sz w:val="22"/>
              </w:rPr>
              <w:t>03/08/2009</w:t>
            </w:r>
          </w:p>
        </w:tc>
        <w:tc>
          <w:tcPr>
            <w:tcW w:w="1267" w:type="dxa"/>
          </w:tcPr>
          <w:p>
            <w:pPr>
              <w:pStyle w:val="TableParagraph"/>
              <w:ind w:right="63"/>
              <w:rPr>
                <w:sz w:val="22"/>
              </w:rPr>
            </w:pPr>
            <w:r>
              <w:rPr>
                <w:sz w:val="22"/>
              </w:rPr>
              <w:t>0.132</w:t>
            </w:r>
          </w:p>
        </w:tc>
        <w:tc>
          <w:tcPr>
            <w:tcW w:w="1195" w:type="dxa"/>
          </w:tcPr>
          <w:p>
            <w:pPr>
              <w:pStyle w:val="TableParagraph"/>
              <w:rPr>
                <w:sz w:val="22"/>
              </w:rPr>
            </w:pPr>
            <w:r>
              <w:rPr>
                <w:sz w:val="22"/>
              </w:rPr>
              <w:t>0.109</w:t>
            </w:r>
          </w:p>
        </w:tc>
        <w:tc>
          <w:tcPr>
            <w:tcW w:w="737" w:type="dxa"/>
          </w:tcPr>
          <w:p>
            <w:pPr>
              <w:pStyle w:val="TableParagraph"/>
              <w:ind w:left="138" w:right="46"/>
              <w:jc w:val="center"/>
              <w:rPr>
                <w:sz w:val="22"/>
              </w:rPr>
            </w:pPr>
            <w:r>
              <w:rPr>
                <w:sz w:val="22"/>
              </w:rPr>
              <w:t>0.117</w:t>
            </w:r>
          </w:p>
        </w:tc>
        <w:tc>
          <w:tcPr>
            <w:tcW w:w="1195" w:type="dxa"/>
          </w:tcPr>
          <w:p>
            <w:pPr>
              <w:pStyle w:val="TableParagraph"/>
              <w:rPr>
                <w:sz w:val="22"/>
              </w:rPr>
            </w:pPr>
            <w:r>
              <w:rPr>
                <w:sz w:val="22"/>
              </w:rPr>
              <w:t>0.107</w:t>
            </w:r>
          </w:p>
        </w:tc>
        <w:tc>
          <w:tcPr>
            <w:tcW w:w="1198" w:type="dxa"/>
          </w:tcPr>
          <w:p>
            <w:pPr>
              <w:pStyle w:val="TableParagraph"/>
              <w:ind w:right="63"/>
              <w:rPr>
                <w:sz w:val="22"/>
              </w:rPr>
            </w:pPr>
            <w:r>
              <w:rPr>
                <w:sz w:val="22"/>
              </w:rPr>
              <w:t>0.109</w:t>
            </w:r>
          </w:p>
        </w:tc>
        <w:tc>
          <w:tcPr>
            <w:tcW w:w="1198" w:type="dxa"/>
          </w:tcPr>
          <w:p>
            <w:pPr>
              <w:pStyle w:val="TableParagraph"/>
              <w:ind w:right="63"/>
              <w:rPr>
                <w:sz w:val="22"/>
              </w:rPr>
            </w:pPr>
            <w:r>
              <w:rPr>
                <w:sz w:val="22"/>
              </w:rPr>
              <w:t>0.296</w:t>
            </w:r>
          </w:p>
        </w:tc>
      </w:tr>
      <w:tr>
        <w:trPr>
          <w:trHeight w:val="310" w:hRule="exact"/>
        </w:trPr>
        <w:tc>
          <w:tcPr>
            <w:tcW w:w="622" w:type="dxa"/>
          </w:tcPr>
          <w:p>
            <w:pPr>
              <w:pStyle w:val="TableParagraph"/>
              <w:rPr>
                <w:sz w:val="22"/>
              </w:rPr>
            </w:pPr>
            <w:r>
              <w:rPr>
                <w:sz w:val="22"/>
              </w:rPr>
              <w:t>48</w:t>
            </w:r>
          </w:p>
        </w:tc>
        <w:tc>
          <w:tcPr>
            <w:tcW w:w="1610" w:type="dxa"/>
          </w:tcPr>
          <w:p>
            <w:pPr>
              <w:pStyle w:val="TableParagraph"/>
              <w:rPr>
                <w:sz w:val="22"/>
              </w:rPr>
            </w:pPr>
            <w:r>
              <w:rPr>
                <w:sz w:val="22"/>
              </w:rPr>
              <w:t>06/08/2009</w:t>
            </w:r>
          </w:p>
        </w:tc>
        <w:tc>
          <w:tcPr>
            <w:tcW w:w="1267" w:type="dxa"/>
          </w:tcPr>
          <w:p>
            <w:pPr>
              <w:pStyle w:val="TableParagraph"/>
              <w:ind w:right="63"/>
              <w:rPr>
                <w:sz w:val="22"/>
              </w:rPr>
            </w:pPr>
            <w:r>
              <w:rPr>
                <w:sz w:val="22"/>
              </w:rPr>
              <w:t>0.120</w:t>
            </w:r>
          </w:p>
        </w:tc>
        <w:tc>
          <w:tcPr>
            <w:tcW w:w="1195" w:type="dxa"/>
          </w:tcPr>
          <w:p>
            <w:pPr>
              <w:pStyle w:val="TableParagraph"/>
              <w:rPr>
                <w:sz w:val="22"/>
              </w:rPr>
            </w:pPr>
            <w:r>
              <w:rPr>
                <w:sz w:val="22"/>
              </w:rPr>
              <w:t>0.112</w:t>
            </w:r>
          </w:p>
        </w:tc>
        <w:tc>
          <w:tcPr>
            <w:tcW w:w="737" w:type="dxa"/>
          </w:tcPr>
          <w:p>
            <w:pPr>
              <w:pStyle w:val="TableParagraph"/>
              <w:ind w:left="138" w:right="46"/>
              <w:jc w:val="center"/>
              <w:rPr>
                <w:sz w:val="22"/>
              </w:rPr>
            </w:pPr>
            <w:r>
              <w:rPr>
                <w:sz w:val="22"/>
              </w:rPr>
              <w:t>0.125</w:t>
            </w:r>
          </w:p>
        </w:tc>
        <w:tc>
          <w:tcPr>
            <w:tcW w:w="1195" w:type="dxa"/>
          </w:tcPr>
          <w:p>
            <w:pPr>
              <w:pStyle w:val="TableParagraph"/>
              <w:rPr>
                <w:sz w:val="22"/>
              </w:rPr>
            </w:pPr>
            <w:r>
              <w:rPr>
                <w:sz w:val="22"/>
              </w:rPr>
              <w:t>0.117</w:t>
            </w:r>
          </w:p>
        </w:tc>
        <w:tc>
          <w:tcPr>
            <w:tcW w:w="1198" w:type="dxa"/>
          </w:tcPr>
          <w:p>
            <w:pPr>
              <w:pStyle w:val="TableParagraph"/>
              <w:ind w:right="63"/>
              <w:rPr>
                <w:sz w:val="22"/>
              </w:rPr>
            </w:pPr>
            <w:r>
              <w:rPr>
                <w:sz w:val="22"/>
              </w:rPr>
              <w:t>0.111</w:t>
            </w:r>
          </w:p>
        </w:tc>
        <w:tc>
          <w:tcPr>
            <w:tcW w:w="1198" w:type="dxa"/>
          </w:tcPr>
          <w:p>
            <w:pPr>
              <w:pStyle w:val="TableParagraph"/>
              <w:ind w:right="63"/>
              <w:rPr>
                <w:sz w:val="22"/>
              </w:rPr>
            </w:pPr>
            <w:r>
              <w:rPr>
                <w:sz w:val="22"/>
              </w:rPr>
              <w:t>0.325</w:t>
            </w:r>
          </w:p>
        </w:tc>
      </w:tr>
      <w:tr>
        <w:trPr>
          <w:trHeight w:val="310" w:hRule="exact"/>
        </w:trPr>
        <w:tc>
          <w:tcPr>
            <w:tcW w:w="622" w:type="dxa"/>
          </w:tcPr>
          <w:p>
            <w:pPr>
              <w:pStyle w:val="TableParagraph"/>
              <w:rPr>
                <w:sz w:val="22"/>
              </w:rPr>
            </w:pPr>
            <w:r>
              <w:rPr>
                <w:sz w:val="22"/>
              </w:rPr>
              <w:t>53</w:t>
            </w:r>
          </w:p>
        </w:tc>
        <w:tc>
          <w:tcPr>
            <w:tcW w:w="1610" w:type="dxa"/>
          </w:tcPr>
          <w:p>
            <w:pPr>
              <w:pStyle w:val="TableParagraph"/>
              <w:rPr>
                <w:sz w:val="22"/>
              </w:rPr>
            </w:pPr>
            <w:r>
              <w:rPr>
                <w:sz w:val="22"/>
              </w:rPr>
              <w:t>11/08/2009</w:t>
            </w:r>
          </w:p>
        </w:tc>
        <w:tc>
          <w:tcPr>
            <w:tcW w:w="1267" w:type="dxa"/>
          </w:tcPr>
          <w:p>
            <w:pPr>
              <w:pStyle w:val="TableParagraph"/>
              <w:ind w:right="63"/>
              <w:rPr>
                <w:sz w:val="22"/>
              </w:rPr>
            </w:pPr>
            <w:r>
              <w:rPr>
                <w:sz w:val="22"/>
              </w:rPr>
              <w:t>0.116</w:t>
            </w:r>
          </w:p>
        </w:tc>
        <w:tc>
          <w:tcPr>
            <w:tcW w:w="1195" w:type="dxa"/>
          </w:tcPr>
          <w:p>
            <w:pPr>
              <w:pStyle w:val="TableParagraph"/>
              <w:rPr>
                <w:sz w:val="22"/>
              </w:rPr>
            </w:pPr>
            <w:r>
              <w:rPr>
                <w:sz w:val="22"/>
              </w:rPr>
              <w:t>0.131</w:t>
            </w:r>
          </w:p>
        </w:tc>
        <w:tc>
          <w:tcPr>
            <w:tcW w:w="737" w:type="dxa"/>
          </w:tcPr>
          <w:p>
            <w:pPr>
              <w:pStyle w:val="TableParagraph"/>
              <w:ind w:left="138" w:right="46"/>
              <w:jc w:val="center"/>
              <w:rPr>
                <w:sz w:val="22"/>
              </w:rPr>
            </w:pPr>
            <w:r>
              <w:rPr>
                <w:sz w:val="22"/>
              </w:rPr>
              <w:t>0.123</w:t>
            </w:r>
          </w:p>
        </w:tc>
        <w:tc>
          <w:tcPr>
            <w:tcW w:w="1195" w:type="dxa"/>
          </w:tcPr>
          <w:p>
            <w:pPr>
              <w:pStyle w:val="TableParagraph"/>
              <w:rPr>
                <w:sz w:val="22"/>
              </w:rPr>
            </w:pPr>
            <w:r>
              <w:rPr>
                <w:sz w:val="22"/>
              </w:rPr>
              <w:t>0.108</w:t>
            </w:r>
          </w:p>
        </w:tc>
        <w:tc>
          <w:tcPr>
            <w:tcW w:w="1198" w:type="dxa"/>
          </w:tcPr>
          <w:p>
            <w:pPr>
              <w:pStyle w:val="TableParagraph"/>
              <w:ind w:right="63"/>
              <w:rPr>
                <w:sz w:val="22"/>
              </w:rPr>
            </w:pPr>
            <w:r>
              <w:rPr>
                <w:sz w:val="22"/>
              </w:rPr>
              <w:t>0.108</w:t>
            </w:r>
          </w:p>
        </w:tc>
        <w:tc>
          <w:tcPr>
            <w:tcW w:w="1198" w:type="dxa"/>
          </w:tcPr>
          <w:p>
            <w:pPr>
              <w:pStyle w:val="TableParagraph"/>
              <w:ind w:right="63"/>
              <w:rPr>
                <w:sz w:val="22"/>
              </w:rPr>
            </w:pPr>
            <w:r>
              <w:rPr>
                <w:sz w:val="22"/>
              </w:rPr>
              <w:t>0.237</w:t>
            </w:r>
          </w:p>
        </w:tc>
      </w:tr>
      <w:tr>
        <w:trPr>
          <w:trHeight w:val="310" w:hRule="exact"/>
        </w:trPr>
        <w:tc>
          <w:tcPr>
            <w:tcW w:w="622" w:type="dxa"/>
          </w:tcPr>
          <w:p>
            <w:pPr>
              <w:pStyle w:val="TableParagraph"/>
              <w:spacing w:before="30"/>
              <w:rPr>
                <w:sz w:val="22"/>
              </w:rPr>
            </w:pPr>
            <w:r>
              <w:rPr>
                <w:sz w:val="22"/>
              </w:rPr>
              <w:t>83</w:t>
            </w:r>
          </w:p>
        </w:tc>
        <w:tc>
          <w:tcPr>
            <w:tcW w:w="1610" w:type="dxa"/>
          </w:tcPr>
          <w:p>
            <w:pPr>
              <w:pStyle w:val="TableParagraph"/>
              <w:spacing w:before="30"/>
              <w:rPr>
                <w:sz w:val="22"/>
              </w:rPr>
            </w:pPr>
            <w:r>
              <w:rPr>
                <w:sz w:val="22"/>
              </w:rPr>
              <w:t>10/09/2009</w:t>
            </w:r>
          </w:p>
        </w:tc>
        <w:tc>
          <w:tcPr>
            <w:tcW w:w="1267" w:type="dxa"/>
          </w:tcPr>
          <w:p>
            <w:pPr>
              <w:pStyle w:val="TableParagraph"/>
              <w:spacing w:before="30"/>
              <w:ind w:right="63"/>
              <w:rPr>
                <w:sz w:val="22"/>
              </w:rPr>
            </w:pPr>
            <w:r>
              <w:rPr>
                <w:sz w:val="22"/>
              </w:rPr>
              <w:t>0.124</w:t>
            </w:r>
          </w:p>
        </w:tc>
        <w:tc>
          <w:tcPr>
            <w:tcW w:w="1195" w:type="dxa"/>
          </w:tcPr>
          <w:p>
            <w:pPr>
              <w:pStyle w:val="TableParagraph"/>
              <w:spacing w:before="30"/>
              <w:rPr>
                <w:sz w:val="22"/>
              </w:rPr>
            </w:pPr>
            <w:r>
              <w:rPr>
                <w:sz w:val="22"/>
              </w:rPr>
              <w:t>0.115</w:t>
            </w:r>
          </w:p>
        </w:tc>
        <w:tc>
          <w:tcPr>
            <w:tcW w:w="737" w:type="dxa"/>
          </w:tcPr>
          <w:p>
            <w:pPr>
              <w:pStyle w:val="TableParagraph"/>
              <w:spacing w:before="30"/>
              <w:ind w:left="138" w:right="46"/>
              <w:jc w:val="center"/>
              <w:rPr>
                <w:sz w:val="22"/>
              </w:rPr>
            </w:pPr>
            <w:r>
              <w:rPr>
                <w:sz w:val="22"/>
              </w:rPr>
              <w:t>0.105</w:t>
            </w:r>
          </w:p>
        </w:tc>
        <w:tc>
          <w:tcPr>
            <w:tcW w:w="1195" w:type="dxa"/>
          </w:tcPr>
          <w:p>
            <w:pPr>
              <w:pStyle w:val="TableParagraph"/>
              <w:spacing w:before="30"/>
              <w:rPr>
                <w:sz w:val="22"/>
              </w:rPr>
            </w:pPr>
            <w:r>
              <w:rPr>
                <w:sz w:val="22"/>
              </w:rPr>
              <w:t>0.178</w:t>
            </w:r>
          </w:p>
        </w:tc>
        <w:tc>
          <w:tcPr>
            <w:tcW w:w="1198" w:type="dxa"/>
          </w:tcPr>
          <w:p>
            <w:pPr>
              <w:pStyle w:val="TableParagraph"/>
              <w:spacing w:before="30"/>
              <w:ind w:right="63"/>
              <w:rPr>
                <w:sz w:val="22"/>
              </w:rPr>
            </w:pPr>
            <w:r>
              <w:rPr>
                <w:sz w:val="22"/>
              </w:rPr>
              <w:t>0.132</w:t>
            </w:r>
          </w:p>
        </w:tc>
        <w:tc>
          <w:tcPr>
            <w:tcW w:w="1198" w:type="dxa"/>
          </w:tcPr>
          <w:p>
            <w:pPr>
              <w:pStyle w:val="TableParagraph"/>
              <w:spacing w:before="30"/>
              <w:ind w:right="63"/>
              <w:rPr>
                <w:sz w:val="22"/>
              </w:rPr>
            </w:pPr>
            <w:r>
              <w:rPr>
                <w:sz w:val="22"/>
              </w:rPr>
              <w:t>0.350</w:t>
            </w:r>
          </w:p>
        </w:tc>
      </w:tr>
      <w:tr>
        <w:trPr>
          <w:trHeight w:val="312" w:hRule="exact"/>
        </w:trPr>
        <w:tc>
          <w:tcPr>
            <w:tcW w:w="622" w:type="dxa"/>
          </w:tcPr>
          <w:p>
            <w:pPr>
              <w:pStyle w:val="TableParagraph"/>
              <w:spacing w:before="30"/>
              <w:rPr>
                <w:sz w:val="22"/>
              </w:rPr>
            </w:pPr>
            <w:r>
              <w:rPr>
                <w:sz w:val="22"/>
              </w:rPr>
              <w:t>86</w:t>
            </w:r>
          </w:p>
        </w:tc>
        <w:tc>
          <w:tcPr>
            <w:tcW w:w="1610" w:type="dxa"/>
          </w:tcPr>
          <w:p>
            <w:pPr>
              <w:pStyle w:val="TableParagraph"/>
              <w:spacing w:before="30"/>
              <w:rPr>
                <w:sz w:val="22"/>
              </w:rPr>
            </w:pPr>
            <w:r>
              <w:rPr>
                <w:sz w:val="22"/>
              </w:rPr>
              <w:t>13/09/2009</w:t>
            </w:r>
          </w:p>
        </w:tc>
        <w:tc>
          <w:tcPr>
            <w:tcW w:w="1267" w:type="dxa"/>
          </w:tcPr>
          <w:p>
            <w:pPr>
              <w:pStyle w:val="TableParagraph"/>
              <w:spacing w:before="30"/>
              <w:ind w:right="63"/>
              <w:rPr>
                <w:sz w:val="22"/>
              </w:rPr>
            </w:pPr>
            <w:r>
              <w:rPr>
                <w:sz w:val="22"/>
              </w:rPr>
              <w:t>0.295</w:t>
            </w:r>
          </w:p>
        </w:tc>
        <w:tc>
          <w:tcPr>
            <w:tcW w:w="1195" w:type="dxa"/>
          </w:tcPr>
          <w:p>
            <w:pPr>
              <w:pStyle w:val="TableParagraph"/>
              <w:spacing w:before="30"/>
              <w:rPr>
                <w:sz w:val="22"/>
              </w:rPr>
            </w:pPr>
            <w:r>
              <w:rPr>
                <w:sz w:val="22"/>
              </w:rPr>
              <w:t>0.282</w:t>
            </w:r>
          </w:p>
        </w:tc>
        <w:tc>
          <w:tcPr>
            <w:tcW w:w="737" w:type="dxa"/>
          </w:tcPr>
          <w:p>
            <w:pPr>
              <w:pStyle w:val="TableParagraph"/>
              <w:spacing w:before="30"/>
              <w:ind w:left="138" w:right="46"/>
              <w:jc w:val="center"/>
              <w:rPr>
                <w:sz w:val="22"/>
              </w:rPr>
            </w:pPr>
            <w:r>
              <w:rPr>
                <w:sz w:val="22"/>
              </w:rPr>
              <w:t>0.269</w:t>
            </w:r>
          </w:p>
        </w:tc>
        <w:tc>
          <w:tcPr>
            <w:tcW w:w="1195" w:type="dxa"/>
          </w:tcPr>
          <w:p>
            <w:pPr>
              <w:pStyle w:val="TableParagraph"/>
              <w:spacing w:before="30"/>
              <w:rPr>
                <w:sz w:val="22"/>
              </w:rPr>
            </w:pPr>
            <w:r>
              <w:rPr>
                <w:sz w:val="22"/>
              </w:rPr>
              <w:t>0.371</w:t>
            </w:r>
          </w:p>
        </w:tc>
        <w:tc>
          <w:tcPr>
            <w:tcW w:w="1198" w:type="dxa"/>
          </w:tcPr>
          <w:p>
            <w:pPr>
              <w:pStyle w:val="TableParagraph"/>
              <w:spacing w:before="30"/>
              <w:ind w:right="63"/>
              <w:rPr>
                <w:sz w:val="22"/>
              </w:rPr>
            </w:pPr>
            <w:r>
              <w:rPr>
                <w:sz w:val="22"/>
              </w:rPr>
              <w:t>0.388</w:t>
            </w:r>
          </w:p>
        </w:tc>
        <w:tc>
          <w:tcPr>
            <w:tcW w:w="1198" w:type="dxa"/>
          </w:tcPr>
          <w:p>
            <w:pPr>
              <w:pStyle w:val="TableParagraph"/>
              <w:spacing w:before="30"/>
              <w:ind w:right="63"/>
              <w:rPr>
                <w:sz w:val="22"/>
              </w:rPr>
            </w:pPr>
            <w:r>
              <w:rPr>
                <w:sz w:val="22"/>
              </w:rPr>
              <w:t>0.500</w:t>
            </w:r>
          </w:p>
        </w:tc>
      </w:tr>
      <w:tr>
        <w:trPr>
          <w:trHeight w:val="310" w:hRule="exact"/>
        </w:trPr>
        <w:tc>
          <w:tcPr>
            <w:tcW w:w="622" w:type="dxa"/>
          </w:tcPr>
          <w:p>
            <w:pPr>
              <w:pStyle w:val="TableParagraph"/>
              <w:rPr>
                <w:sz w:val="22"/>
              </w:rPr>
            </w:pPr>
            <w:r>
              <w:rPr>
                <w:sz w:val="22"/>
              </w:rPr>
              <w:t>88</w:t>
            </w:r>
          </w:p>
        </w:tc>
        <w:tc>
          <w:tcPr>
            <w:tcW w:w="1610" w:type="dxa"/>
          </w:tcPr>
          <w:p>
            <w:pPr>
              <w:pStyle w:val="TableParagraph"/>
              <w:rPr>
                <w:sz w:val="22"/>
              </w:rPr>
            </w:pPr>
            <w:r>
              <w:rPr>
                <w:sz w:val="22"/>
              </w:rPr>
              <w:t>15/09/2009</w:t>
            </w:r>
          </w:p>
        </w:tc>
        <w:tc>
          <w:tcPr>
            <w:tcW w:w="1267" w:type="dxa"/>
          </w:tcPr>
          <w:p>
            <w:pPr>
              <w:pStyle w:val="TableParagraph"/>
              <w:ind w:right="63"/>
              <w:rPr>
                <w:sz w:val="22"/>
              </w:rPr>
            </w:pPr>
            <w:r>
              <w:rPr>
                <w:sz w:val="22"/>
              </w:rPr>
              <w:t>0.150</w:t>
            </w:r>
          </w:p>
        </w:tc>
        <w:tc>
          <w:tcPr>
            <w:tcW w:w="1195" w:type="dxa"/>
          </w:tcPr>
          <w:p>
            <w:pPr>
              <w:pStyle w:val="TableParagraph"/>
              <w:rPr>
                <w:sz w:val="22"/>
              </w:rPr>
            </w:pPr>
            <w:r>
              <w:rPr>
                <w:sz w:val="22"/>
              </w:rPr>
              <w:t>0.146</w:t>
            </w:r>
          </w:p>
        </w:tc>
        <w:tc>
          <w:tcPr>
            <w:tcW w:w="737" w:type="dxa"/>
          </w:tcPr>
          <w:p>
            <w:pPr>
              <w:pStyle w:val="TableParagraph"/>
              <w:ind w:left="138" w:right="46"/>
              <w:jc w:val="center"/>
              <w:rPr>
                <w:sz w:val="22"/>
              </w:rPr>
            </w:pPr>
            <w:r>
              <w:rPr>
                <w:sz w:val="22"/>
              </w:rPr>
              <w:t>0.132</w:t>
            </w:r>
          </w:p>
        </w:tc>
        <w:tc>
          <w:tcPr>
            <w:tcW w:w="1195" w:type="dxa"/>
          </w:tcPr>
          <w:p>
            <w:pPr>
              <w:pStyle w:val="TableParagraph"/>
              <w:rPr>
                <w:sz w:val="22"/>
              </w:rPr>
            </w:pPr>
            <w:r>
              <w:rPr>
                <w:sz w:val="22"/>
              </w:rPr>
              <w:t>0.126</w:t>
            </w:r>
          </w:p>
        </w:tc>
        <w:tc>
          <w:tcPr>
            <w:tcW w:w="1198" w:type="dxa"/>
          </w:tcPr>
          <w:p>
            <w:pPr>
              <w:pStyle w:val="TableParagraph"/>
              <w:ind w:right="63"/>
              <w:rPr>
                <w:sz w:val="22"/>
              </w:rPr>
            </w:pPr>
            <w:r>
              <w:rPr>
                <w:sz w:val="22"/>
              </w:rPr>
              <w:t>0.131</w:t>
            </w:r>
          </w:p>
        </w:tc>
        <w:tc>
          <w:tcPr>
            <w:tcW w:w="1198" w:type="dxa"/>
          </w:tcPr>
          <w:p>
            <w:pPr>
              <w:pStyle w:val="TableParagraph"/>
              <w:ind w:right="63"/>
              <w:rPr>
                <w:sz w:val="22"/>
              </w:rPr>
            </w:pPr>
            <w:r>
              <w:rPr>
                <w:sz w:val="22"/>
              </w:rPr>
              <w:t>0.445</w:t>
            </w:r>
          </w:p>
        </w:tc>
      </w:tr>
      <w:tr>
        <w:trPr>
          <w:trHeight w:val="310" w:hRule="exact"/>
        </w:trPr>
        <w:tc>
          <w:tcPr>
            <w:tcW w:w="622" w:type="dxa"/>
          </w:tcPr>
          <w:p>
            <w:pPr>
              <w:pStyle w:val="TableParagraph"/>
              <w:rPr>
                <w:sz w:val="22"/>
              </w:rPr>
            </w:pPr>
            <w:r>
              <w:rPr>
                <w:sz w:val="22"/>
              </w:rPr>
              <w:t>91</w:t>
            </w:r>
          </w:p>
        </w:tc>
        <w:tc>
          <w:tcPr>
            <w:tcW w:w="1610" w:type="dxa"/>
          </w:tcPr>
          <w:p>
            <w:pPr>
              <w:pStyle w:val="TableParagraph"/>
              <w:rPr>
                <w:sz w:val="22"/>
              </w:rPr>
            </w:pPr>
            <w:r>
              <w:rPr>
                <w:sz w:val="22"/>
              </w:rPr>
              <w:t>18/09/2009</w:t>
            </w:r>
          </w:p>
        </w:tc>
        <w:tc>
          <w:tcPr>
            <w:tcW w:w="1267" w:type="dxa"/>
          </w:tcPr>
          <w:p>
            <w:pPr>
              <w:pStyle w:val="TableParagraph"/>
              <w:ind w:right="63"/>
              <w:rPr>
                <w:sz w:val="22"/>
              </w:rPr>
            </w:pPr>
            <w:r>
              <w:rPr>
                <w:sz w:val="22"/>
              </w:rPr>
              <w:t>0.129</w:t>
            </w:r>
          </w:p>
        </w:tc>
        <w:tc>
          <w:tcPr>
            <w:tcW w:w="1195" w:type="dxa"/>
          </w:tcPr>
          <w:p>
            <w:pPr>
              <w:pStyle w:val="TableParagraph"/>
              <w:rPr>
                <w:sz w:val="22"/>
              </w:rPr>
            </w:pPr>
            <w:r>
              <w:rPr>
                <w:sz w:val="22"/>
              </w:rPr>
              <w:t>0.171</w:t>
            </w:r>
          </w:p>
        </w:tc>
        <w:tc>
          <w:tcPr>
            <w:tcW w:w="737" w:type="dxa"/>
          </w:tcPr>
          <w:p>
            <w:pPr>
              <w:pStyle w:val="TableParagraph"/>
              <w:ind w:left="138" w:right="46"/>
              <w:jc w:val="center"/>
              <w:rPr>
                <w:sz w:val="22"/>
              </w:rPr>
            </w:pPr>
            <w:r>
              <w:rPr>
                <w:sz w:val="22"/>
              </w:rPr>
              <w:t>0.161</w:t>
            </w:r>
          </w:p>
        </w:tc>
        <w:tc>
          <w:tcPr>
            <w:tcW w:w="1195" w:type="dxa"/>
          </w:tcPr>
          <w:p>
            <w:pPr>
              <w:pStyle w:val="TableParagraph"/>
              <w:rPr>
                <w:sz w:val="22"/>
              </w:rPr>
            </w:pPr>
            <w:r>
              <w:rPr>
                <w:sz w:val="22"/>
              </w:rPr>
              <w:t>0.121</w:t>
            </w:r>
          </w:p>
        </w:tc>
        <w:tc>
          <w:tcPr>
            <w:tcW w:w="1198" w:type="dxa"/>
          </w:tcPr>
          <w:p>
            <w:pPr>
              <w:pStyle w:val="TableParagraph"/>
              <w:ind w:right="63"/>
              <w:rPr>
                <w:sz w:val="22"/>
              </w:rPr>
            </w:pPr>
            <w:r>
              <w:rPr>
                <w:sz w:val="22"/>
              </w:rPr>
              <w:t>0.126</w:t>
            </w:r>
          </w:p>
        </w:tc>
        <w:tc>
          <w:tcPr>
            <w:tcW w:w="1198" w:type="dxa"/>
          </w:tcPr>
          <w:p>
            <w:pPr>
              <w:pStyle w:val="TableParagraph"/>
              <w:ind w:right="63"/>
              <w:rPr>
                <w:sz w:val="22"/>
              </w:rPr>
            </w:pPr>
            <w:r>
              <w:rPr>
                <w:sz w:val="22"/>
              </w:rPr>
              <w:t>0.427</w:t>
            </w:r>
          </w:p>
        </w:tc>
      </w:tr>
      <w:tr>
        <w:trPr>
          <w:trHeight w:val="310" w:hRule="exact"/>
        </w:trPr>
        <w:tc>
          <w:tcPr>
            <w:tcW w:w="622" w:type="dxa"/>
          </w:tcPr>
          <w:p>
            <w:pPr>
              <w:pStyle w:val="TableParagraph"/>
              <w:rPr>
                <w:sz w:val="22"/>
              </w:rPr>
            </w:pPr>
            <w:r>
              <w:rPr>
                <w:sz w:val="22"/>
              </w:rPr>
              <w:t>94</w:t>
            </w:r>
          </w:p>
        </w:tc>
        <w:tc>
          <w:tcPr>
            <w:tcW w:w="1610" w:type="dxa"/>
          </w:tcPr>
          <w:p>
            <w:pPr>
              <w:pStyle w:val="TableParagraph"/>
              <w:rPr>
                <w:sz w:val="22"/>
              </w:rPr>
            </w:pPr>
            <w:r>
              <w:rPr>
                <w:sz w:val="22"/>
              </w:rPr>
              <w:t>21/09/2009</w:t>
            </w:r>
          </w:p>
        </w:tc>
        <w:tc>
          <w:tcPr>
            <w:tcW w:w="1267" w:type="dxa"/>
          </w:tcPr>
          <w:p>
            <w:pPr>
              <w:pStyle w:val="TableParagraph"/>
              <w:ind w:right="63"/>
              <w:rPr>
                <w:sz w:val="22"/>
              </w:rPr>
            </w:pPr>
            <w:r>
              <w:rPr>
                <w:sz w:val="22"/>
              </w:rPr>
              <w:t>0.083</w:t>
            </w:r>
          </w:p>
        </w:tc>
        <w:tc>
          <w:tcPr>
            <w:tcW w:w="1195" w:type="dxa"/>
          </w:tcPr>
          <w:p>
            <w:pPr>
              <w:pStyle w:val="TableParagraph"/>
              <w:rPr>
                <w:sz w:val="22"/>
              </w:rPr>
            </w:pPr>
            <w:r>
              <w:rPr>
                <w:sz w:val="22"/>
              </w:rPr>
              <w:t>0.126</w:t>
            </w:r>
          </w:p>
        </w:tc>
        <w:tc>
          <w:tcPr>
            <w:tcW w:w="737" w:type="dxa"/>
          </w:tcPr>
          <w:p>
            <w:pPr>
              <w:pStyle w:val="TableParagraph"/>
              <w:ind w:left="138" w:right="46"/>
              <w:jc w:val="center"/>
              <w:rPr>
                <w:sz w:val="22"/>
              </w:rPr>
            </w:pPr>
            <w:r>
              <w:rPr>
                <w:sz w:val="22"/>
              </w:rPr>
              <w:t>0.062</w:t>
            </w:r>
          </w:p>
        </w:tc>
        <w:tc>
          <w:tcPr>
            <w:tcW w:w="1195" w:type="dxa"/>
          </w:tcPr>
          <w:p>
            <w:pPr>
              <w:pStyle w:val="TableParagraph"/>
              <w:rPr>
                <w:sz w:val="22"/>
              </w:rPr>
            </w:pPr>
            <w:r>
              <w:rPr>
                <w:sz w:val="22"/>
              </w:rPr>
              <w:t>0.077</w:t>
            </w:r>
          </w:p>
        </w:tc>
        <w:tc>
          <w:tcPr>
            <w:tcW w:w="1198" w:type="dxa"/>
          </w:tcPr>
          <w:p>
            <w:pPr>
              <w:pStyle w:val="TableParagraph"/>
              <w:ind w:right="63"/>
              <w:rPr>
                <w:sz w:val="22"/>
              </w:rPr>
            </w:pPr>
            <w:r>
              <w:rPr>
                <w:sz w:val="22"/>
              </w:rPr>
              <w:t>0.080</w:t>
            </w:r>
          </w:p>
        </w:tc>
        <w:tc>
          <w:tcPr>
            <w:tcW w:w="1198" w:type="dxa"/>
          </w:tcPr>
          <w:p>
            <w:pPr>
              <w:pStyle w:val="TableParagraph"/>
              <w:ind w:right="63"/>
              <w:rPr>
                <w:sz w:val="22"/>
              </w:rPr>
            </w:pPr>
            <w:r>
              <w:rPr>
                <w:sz w:val="22"/>
              </w:rPr>
              <w:t>0.110</w:t>
            </w:r>
          </w:p>
        </w:tc>
      </w:tr>
      <w:tr>
        <w:trPr>
          <w:trHeight w:val="310" w:hRule="exact"/>
        </w:trPr>
        <w:tc>
          <w:tcPr>
            <w:tcW w:w="622" w:type="dxa"/>
          </w:tcPr>
          <w:p>
            <w:pPr>
              <w:pStyle w:val="TableParagraph"/>
              <w:rPr>
                <w:sz w:val="22"/>
              </w:rPr>
            </w:pPr>
            <w:r>
              <w:rPr>
                <w:sz w:val="22"/>
              </w:rPr>
              <w:t>97</w:t>
            </w:r>
          </w:p>
        </w:tc>
        <w:tc>
          <w:tcPr>
            <w:tcW w:w="1610" w:type="dxa"/>
          </w:tcPr>
          <w:p>
            <w:pPr>
              <w:pStyle w:val="TableParagraph"/>
              <w:rPr>
                <w:sz w:val="22"/>
              </w:rPr>
            </w:pPr>
            <w:r>
              <w:rPr>
                <w:sz w:val="22"/>
              </w:rPr>
              <w:t>24/09/2009</w:t>
            </w:r>
          </w:p>
        </w:tc>
        <w:tc>
          <w:tcPr>
            <w:tcW w:w="1267" w:type="dxa"/>
          </w:tcPr>
          <w:p>
            <w:pPr>
              <w:pStyle w:val="TableParagraph"/>
              <w:ind w:right="63"/>
              <w:rPr>
                <w:sz w:val="22"/>
              </w:rPr>
            </w:pPr>
            <w:r>
              <w:rPr>
                <w:sz w:val="22"/>
              </w:rPr>
              <w:t>0.082</w:t>
            </w:r>
          </w:p>
        </w:tc>
        <w:tc>
          <w:tcPr>
            <w:tcW w:w="1195" w:type="dxa"/>
          </w:tcPr>
          <w:p>
            <w:pPr>
              <w:pStyle w:val="TableParagraph"/>
              <w:rPr>
                <w:sz w:val="22"/>
              </w:rPr>
            </w:pPr>
            <w:r>
              <w:rPr>
                <w:sz w:val="22"/>
              </w:rPr>
              <w:t>0.145</w:t>
            </w:r>
          </w:p>
        </w:tc>
        <w:tc>
          <w:tcPr>
            <w:tcW w:w="737" w:type="dxa"/>
          </w:tcPr>
          <w:p>
            <w:pPr>
              <w:pStyle w:val="TableParagraph"/>
              <w:ind w:left="138" w:right="46"/>
              <w:jc w:val="center"/>
              <w:rPr>
                <w:sz w:val="22"/>
              </w:rPr>
            </w:pPr>
            <w:r>
              <w:rPr>
                <w:sz w:val="22"/>
              </w:rPr>
              <w:t>0.017</w:t>
            </w:r>
          </w:p>
        </w:tc>
        <w:tc>
          <w:tcPr>
            <w:tcW w:w="1195" w:type="dxa"/>
          </w:tcPr>
          <w:p>
            <w:pPr>
              <w:pStyle w:val="TableParagraph"/>
              <w:rPr>
                <w:sz w:val="22"/>
              </w:rPr>
            </w:pPr>
            <w:r>
              <w:rPr>
                <w:sz w:val="22"/>
              </w:rPr>
              <w:t>0.063</w:t>
            </w:r>
          </w:p>
        </w:tc>
        <w:tc>
          <w:tcPr>
            <w:tcW w:w="1198" w:type="dxa"/>
          </w:tcPr>
          <w:p>
            <w:pPr>
              <w:pStyle w:val="TableParagraph"/>
              <w:ind w:right="63"/>
              <w:rPr>
                <w:sz w:val="22"/>
              </w:rPr>
            </w:pPr>
            <w:r>
              <w:rPr>
                <w:sz w:val="22"/>
              </w:rPr>
              <w:t>0.072</w:t>
            </w:r>
          </w:p>
        </w:tc>
        <w:tc>
          <w:tcPr>
            <w:tcW w:w="1198" w:type="dxa"/>
          </w:tcPr>
          <w:p>
            <w:pPr>
              <w:pStyle w:val="TableParagraph"/>
              <w:ind w:right="63"/>
              <w:rPr>
                <w:sz w:val="22"/>
              </w:rPr>
            </w:pPr>
            <w:r>
              <w:rPr>
                <w:sz w:val="22"/>
              </w:rPr>
              <w:t>0.011</w:t>
            </w:r>
          </w:p>
        </w:tc>
      </w:tr>
      <w:tr>
        <w:trPr>
          <w:trHeight w:val="310" w:hRule="exact"/>
        </w:trPr>
        <w:tc>
          <w:tcPr>
            <w:tcW w:w="622" w:type="dxa"/>
          </w:tcPr>
          <w:p>
            <w:pPr>
              <w:pStyle w:val="TableParagraph"/>
              <w:spacing w:before="30"/>
              <w:rPr>
                <w:sz w:val="22"/>
              </w:rPr>
            </w:pPr>
            <w:r>
              <w:rPr>
                <w:sz w:val="22"/>
              </w:rPr>
              <w:t>101</w:t>
            </w:r>
          </w:p>
        </w:tc>
        <w:tc>
          <w:tcPr>
            <w:tcW w:w="1610" w:type="dxa"/>
          </w:tcPr>
          <w:p>
            <w:pPr>
              <w:pStyle w:val="TableParagraph"/>
              <w:spacing w:before="30"/>
              <w:rPr>
                <w:sz w:val="22"/>
              </w:rPr>
            </w:pPr>
            <w:r>
              <w:rPr>
                <w:sz w:val="22"/>
              </w:rPr>
              <w:t>28/09/2009</w:t>
            </w:r>
          </w:p>
        </w:tc>
        <w:tc>
          <w:tcPr>
            <w:tcW w:w="1267" w:type="dxa"/>
          </w:tcPr>
          <w:p>
            <w:pPr>
              <w:pStyle w:val="TableParagraph"/>
              <w:spacing w:before="30"/>
              <w:ind w:right="63"/>
              <w:rPr>
                <w:sz w:val="22"/>
              </w:rPr>
            </w:pPr>
            <w:r>
              <w:rPr>
                <w:sz w:val="22"/>
              </w:rPr>
              <w:t>0.833</w:t>
            </w:r>
          </w:p>
        </w:tc>
        <w:tc>
          <w:tcPr>
            <w:tcW w:w="1195" w:type="dxa"/>
          </w:tcPr>
          <w:p>
            <w:pPr>
              <w:pStyle w:val="TableParagraph"/>
              <w:spacing w:before="30"/>
              <w:rPr>
                <w:sz w:val="22"/>
              </w:rPr>
            </w:pPr>
            <w:r>
              <w:rPr>
                <w:sz w:val="22"/>
              </w:rPr>
              <w:t>0.919</w:t>
            </w:r>
          </w:p>
        </w:tc>
        <w:tc>
          <w:tcPr>
            <w:tcW w:w="737" w:type="dxa"/>
          </w:tcPr>
          <w:p>
            <w:pPr>
              <w:pStyle w:val="TableParagraph"/>
              <w:spacing w:before="30"/>
              <w:ind w:left="138" w:right="46"/>
              <w:jc w:val="center"/>
              <w:rPr>
                <w:sz w:val="22"/>
              </w:rPr>
            </w:pPr>
            <w:r>
              <w:rPr>
                <w:sz w:val="22"/>
              </w:rPr>
              <w:t>0.906</w:t>
            </w:r>
          </w:p>
        </w:tc>
        <w:tc>
          <w:tcPr>
            <w:tcW w:w="1195" w:type="dxa"/>
          </w:tcPr>
          <w:p>
            <w:pPr>
              <w:pStyle w:val="TableParagraph"/>
              <w:spacing w:before="30"/>
              <w:rPr>
                <w:sz w:val="22"/>
              </w:rPr>
            </w:pPr>
            <w:r>
              <w:rPr>
                <w:sz w:val="22"/>
              </w:rPr>
              <w:t>0.870</w:t>
            </w:r>
          </w:p>
        </w:tc>
        <w:tc>
          <w:tcPr>
            <w:tcW w:w="1198" w:type="dxa"/>
          </w:tcPr>
          <w:p>
            <w:pPr>
              <w:pStyle w:val="TableParagraph"/>
              <w:spacing w:before="30"/>
              <w:ind w:right="63"/>
              <w:rPr>
                <w:sz w:val="22"/>
              </w:rPr>
            </w:pPr>
            <w:r>
              <w:rPr>
                <w:sz w:val="22"/>
              </w:rPr>
              <w:t>0.868</w:t>
            </w:r>
          </w:p>
        </w:tc>
        <w:tc>
          <w:tcPr>
            <w:tcW w:w="1198" w:type="dxa"/>
          </w:tcPr>
          <w:p>
            <w:pPr>
              <w:pStyle w:val="TableParagraph"/>
              <w:spacing w:before="30"/>
              <w:ind w:right="63"/>
              <w:rPr>
                <w:sz w:val="22"/>
              </w:rPr>
            </w:pPr>
            <w:r>
              <w:rPr>
                <w:sz w:val="22"/>
              </w:rPr>
              <w:t>0.793</w:t>
            </w:r>
          </w:p>
        </w:tc>
      </w:tr>
      <w:tr>
        <w:trPr>
          <w:trHeight w:val="312" w:hRule="exact"/>
        </w:trPr>
        <w:tc>
          <w:tcPr>
            <w:tcW w:w="622" w:type="dxa"/>
          </w:tcPr>
          <w:p>
            <w:pPr>
              <w:pStyle w:val="TableParagraph"/>
              <w:spacing w:before="30"/>
              <w:rPr>
                <w:sz w:val="22"/>
              </w:rPr>
            </w:pPr>
            <w:r>
              <w:rPr>
                <w:sz w:val="22"/>
              </w:rPr>
              <w:t>104</w:t>
            </w:r>
          </w:p>
        </w:tc>
        <w:tc>
          <w:tcPr>
            <w:tcW w:w="1610" w:type="dxa"/>
          </w:tcPr>
          <w:p>
            <w:pPr>
              <w:pStyle w:val="TableParagraph"/>
              <w:spacing w:before="30"/>
              <w:rPr>
                <w:sz w:val="22"/>
              </w:rPr>
            </w:pPr>
            <w:r>
              <w:rPr>
                <w:sz w:val="22"/>
              </w:rPr>
              <w:t>01/10/2009</w:t>
            </w:r>
          </w:p>
        </w:tc>
        <w:tc>
          <w:tcPr>
            <w:tcW w:w="1267" w:type="dxa"/>
          </w:tcPr>
          <w:p>
            <w:pPr>
              <w:pStyle w:val="TableParagraph"/>
              <w:spacing w:before="30"/>
              <w:ind w:right="63"/>
              <w:rPr>
                <w:sz w:val="22"/>
              </w:rPr>
            </w:pPr>
            <w:r>
              <w:rPr>
                <w:sz w:val="22"/>
              </w:rPr>
              <w:t>0.233</w:t>
            </w:r>
          </w:p>
        </w:tc>
        <w:tc>
          <w:tcPr>
            <w:tcW w:w="1195" w:type="dxa"/>
          </w:tcPr>
          <w:p>
            <w:pPr>
              <w:pStyle w:val="TableParagraph"/>
              <w:spacing w:before="30"/>
              <w:rPr>
                <w:sz w:val="22"/>
              </w:rPr>
            </w:pPr>
            <w:r>
              <w:rPr>
                <w:sz w:val="22"/>
              </w:rPr>
              <w:t>0.304</w:t>
            </w:r>
          </w:p>
        </w:tc>
        <w:tc>
          <w:tcPr>
            <w:tcW w:w="737" w:type="dxa"/>
          </w:tcPr>
          <w:p>
            <w:pPr>
              <w:pStyle w:val="TableParagraph"/>
              <w:spacing w:before="30"/>
              <w:ind w:left="138" w:right="46"/>
              <w:jc w:val="center"/>
              <w:rPr>
                <w:sz w:val="22"/>
              </w:rPr>
            </w:pPr>
            <w:r>
              <w:rPr>
                <w:sz w:val="22"/>
              </w:rPr>
              <w:t>0.145</w:t>
            </w:r>
          </w:p>
        </w:tc>
        <w:tc>
          <w:tcPr>
            <w:tcW w:w="1195" w:type="dxa"/>
          </w:tcPr>
          <w:p>
            <w:pPr>
              <w:pStyle w:val="TableParagraph"/>
              <w:spacing w:before="30"/>
              <w:rPr>
                <w:sz w:val="22"/>
              </w:rPr>
            </w:pPr>
            <w:r>
              <w:rPr>
                <w:sz w:val="22"/>
              </w:rPr>
              <w:t>0.215</w:t>
            </w:r>
          </w:p>
        </w:tc>
        <w:tc>
          <w:tcPr>
            <w:tcW w:w="1198" w:type="dxa"/>
          </w:tcPr>
          <w:p>
            <w:pPr>
              <w:pStyle w:val="TableParagraph"/>
              <w:spacing w:before="30"/>
              <w:ind w:right="63"/>
              <w:rPr>
                <w:sz w:val="22"/>
              </w:rPr>
            </w:pPr>
            <w:r>
              <w:rPr>
                <w:sz w:val="22"/>
              </w:rPr>
              <w:t>0.219</w:t>
            </w:r>
          </w:p>
        </w:tc>
        <w:tc>
          <w:tcPr>
            <w:tcW w:w="1198" w:type="dxa"/>
          </w:tcPr>
          <w:p>
            <w:pPr>
              <w:pStyle w:val="TableParagraph"/>
              <w:spacing w:before="30"/>
              <w:ind w:right="63"/>
              <w:rPr>
                <w:sz w:val="22"/>
              </w:rPr>
            </w:pPr>
            <w:r>
              <w:rPr>
                <w:sz w:val="22"/>
              </w:rPr>
              <w:t>0.338</w:t>
            </w:r>
          </w:p>
        </w:tc>
      </w:tr>
      <w:tr>
        <w:trPr>
          <w:trHeight w:val="310" w:hRule="exact"/>
        </w:trPr>
        <w:tc>
          <w:tcPr>
            <w:tcW w:w="622" w:type="dxa"/>
          </w:tcPr>
          <w:p>
            <w:pPr>
              <w:pStyle w:val="TableParagraph"/>
              <w:rPr>
                <w:sz w:val="22"/>
              </w:rPr>
            </w:pPr>
            <w:r>
              <w:rPr>
                <w:sz w:val="22"/>
              </w:rPr>
              <w:t>109</w:t>
            </w:r>
          </w:p>
        </w:tc>
        <w:tc>
          <w:tcPr>
            <w:tcW w:w="1610" w:type="dxa"/>
          </w:tcPr>
          <w:p>
            <w:pPr>
              <w:pStyle w:val="TableParagraph"/>
              <w:rPr>
                <w:sz w:val="22"/>
              </w:rPr>
            </w:pPr>
            <w:r>
              <w:rPr>
                <w:sz w:val="22"/>
              </w:rPr>
              <w:t>06/10/2009</w:t>
            </w:r>
          </w:p>
        </w:tc>
        <w:tc>
          <w:tcPr>
            <w:tcW w:w="1267" w:type="dxa"/>
          </w:tcPr>
          <w:p>
            <w:pPr>
              <w:pStyle w:val="TableParagraph"/>
              <w:ind w:right="63"/>
              <w:rPr>
                <w:sz w:val="22"/>
              </w:rPr>
            </w:pPr>
            <w:r>
              <w:rPr>
                <w:sz w:val="22"/>
              </w:rPr>
              <w:t>0.304</w:t>
            </w:r>
          </w:p>
        </w:tc>
        <w:tc>
          <w:tcPr>
            <w:tcW w:w="1195" w:type="dxa"/>
          </w:tcPr>
          <w:p>
            <w:pPr>
              <w:pStyle w:val="TableParagraph"/>
              <w:rPr>
                <w:sz w:val="22"/>
              </w:rPr>
            </w:pPr>
            <w:r>
              <w:rPr>
                <w:sz w:val="22"/>
              </w:rPr>
              <w:t>0.398</w:t>
            </w:r>
          </w:p>
        </w:tc>
        <w:tc>
          <w:tcPr>
            <w:tcW w:w="737" w:type="dxa"/>
          </w:tcPr>
          <w:p>
            <w:pPr>
              <w:pStyle w:val="TableParagraph"/>
              <w:ind w:left="138" w:right="46"/>
              <w:jc w:val="center"/>
              <w:rPr>
                <w:sz w:val="22"/>
              </w:rPr>
            </w:pPr>
            <w:r>
              <w:rPr>
                <w:sz w:val="22"/>
              </w:rPr>
              <w:t>0.194</w:t>
            </w:r>
          </w:p>
        </w:tc>
        <w:tc>
          <w:tcPr>
            <w:tcW w:w="1195" w:type="dxa"/>
          </w:tcPr>
          <w:p>
            <w:pPr>
              <w:pStyle w:val="TableParagraph"/>
              <w:rPr>
                <w:sz w:val="22"/>
              </w:rPr>
            </w:pPr>
            <w:r>
              <w:rPr>
                <w:sz w:val="22"/>
              </w:rPr>
              <w:t>0.268</w:t>
            </w:r>
          </w:p>
        </w:tc>
        <w:tc>
          <w:tcPr>
            <w:tcW w:w="1198" w:type="dxa"/>
          </w:tcPr>
          <w:p>
            <w:pPr>
              <w:pStyle w:val="TableParagraph"/>
              <w:ind w:right="63"/>
              <w:rPr>
                <w:sz w:val="22"/>
              </w:rPr>
            </w:pPr>
            <w:r>
              <w:rPr>
                <w:sz w:val="22"/>
              </w:rPr>
              <w:t>0.279</w:t>
            </w:r>
          </w:p>
        </w:tc>
        <w:tc>
          <w:tcPr>
            <w:tcW w:w="1198" w:type="dxa"/>
          </w:tcPr>
          <w:p>
            <w:pPr>
              <w:pStyle w:val="TableParagraph"/>
              <w:ind w:right="63"/>
              <w:rPr>
                <w:sz w:val="22"/>
              </w:rPr>
            </w:pPr>
            <w:r>
              <w:rPr>
                <w:sz w:val="22"/>
              </w:rPr>
              <w:t>0.403</w:t>
            </w:r>
          </w:p>
        </w:tc>
      </w:tr>
      <w:tr>
        <w:trPr>
          <w:trHeight w:val="310" w:hRule="exact"/>
        </w:trPr>
        <w:tc>
          <w:tcPr>
            <w:tcW w:w="622" w:type="dxa"/>
          </w:tcPr>
          <w:p>
            <w:pPr>
              <w:pStyle w:val="TableParagraph"/>
              <w:rPr>
                <w:sz w:val="22"/>
              </w:rPr>
            </w:pPr>
            <w:r>
              <w:rPr>
                <w:sz w:val="22"/>
              </w:rPr>
              <w:t>112</w:t>
            </w:r>
          </w:p>
        </w:tc>
        <w:tc>
          <w:tcPr>
            <w:tcW w:w="1610" w:type="dxa"/>
          </w:tcPr>
          <w:p>
            <w:pPr>
              <w:pStyle w:val="TableParagraph"/>
              <w:rPr>
                <w:sz w:val="22"/>
              </w:rPr>
            </w:pPr>
            <w:r>
              <w:rPr>
                <w:sz w:val="22"/>
              </w:rPr>
              <w:t>09/10/2009</w:t>
            </w:r>
          </w:p>
        </w:tc>
        <w:tc>
          <w:tcPr>
            <w:tcW w:w="1267" w:type="dxa"/>
          </w:tcPr>
          <w:p>
            <w:pPr>
              <w:pStyle w:val="TableParagraph"/>
              <w:ind w:right="63"/>
              <w:rPr>
                <w:sz w:val="22"/>
              </w:rPr>
            </w:pPr>
            <w:r>
              <w:rPr>
                <w:sz w:val="22"/>
              </w:rPr>
              <w:t>0.134</w:t>
            </w:r>
          </w:p>
        </w:tc>
        <w:tc>
          <w:tcPr>
            <w:tcW w:w="1195" w:type="dxa"/>
          </w:tcPr>
          <w:p>
            <w:pPr>
              <w:pStyle w:val="TableParagraph"/>
              <w:rPr>
                <w:sz w:val="22"/>
              </w:rPr>
            </w:pPr>
            <w:r>
              <w:rPr>
                <w:sz w:val="22"/>
              </w:rPr>
              <w:t>0.153</w:t>
            </w:r>
          </w:p>
        </w:tc>
        <w:tc>
          <w:tcPr>
            <w:tcW w:w="737" w:type="dxa"/>
          </w:tcPr>
          <w:p>
            <w:pPr>
              <w:pStyle w:val="TableParagraph"/>
              <w:ind w:left="138" w:right="46"/>
              <w:jc w:val="center"/>
              <w:rPr>
                <w:sz w:val="22"/>
              </w:rPr>
            </w:pPr>
            <w:r>
              <w:rPr>
                <w:sz w:val="22"/>
              </w:rPr>
              <w:t>0.065</w:t>
            </w:r>
          </w:p>
        </w:tc>
        <w:tc>
          <w:tcPr>
            <w:tcW w:w="1195" w:type="dxa"/>
          </w:tcPr>
          <w:p>
            <w:pPr>
              <w:pStyle w:val="TableParagraph"/>
              <w:rPr>
                <w:sz w:val="22"/>
              </w:rPr>
            </w:pPr>
            <w:r>
              <w:rPr>
                <w:sz w:val="22"/>
              </w:rPr>
              <w:t>0.105</w:t>
            </w:r>
          </w:p>
        </w:tc>
        <w:tc>
          <w:tcPr>
            <w:tcW w:w="1198" w:type="dxa"/>
          </w:tcPr>
          <w:p>
            <w:pPr>
              <w:pStyle w:val="TableParagraph"/>
              <w:ind w:right="63"/>
              <w:rPr>
                <w:sz w:val="22"/>
              </w:rPr>
            </w:pPr>
            <w:r>
              <w:rPr>
                <w:sz w:val="22"/>
              </w:rPr>
              <w:t>0.315</w:t>
            </w:r>
          </w:p>
        </w:tc>
        <w:tc>
          <w:tcPr>
            <w:tcW w:w="1198" w:type="dxa"/>
          </w:tcPr>
          <w:p>
            <w:pPr>
              <w:pStyle w:val="TableParagraph"/>
              <w:ind w:right="63"/>
              <w:rPr>
                <w:sz w:val="22"/>
              </w:rPr>
            </w:pPr>
            <w:r>
              <w:rPr>
                <w:sz w:val="22"/>
              </w:rPr>
              <w:t>0.386</w:t>
            </w:r>
          </w:p>
        </w:tc>
      </w:tr>
      <w:tr>
        <w:trPr>
          <w:trHeight w:val="310" w:hRule="exact"/>
        </w:trPr>
        <w:tc>
          <w:tcPr>
            <w:tcW w:w="622" w:type="dxa"/>
          </w:tcPr>
          <w:p>
            <w:pPr>
              <w:pStyle w:val="TableParagraph"/>
              <w:rPr>
                <w:sz w:val="22"/>
              </w:rPr>
            </w:pPr>
            <w:r>
              <w:rPr>
                <w:sz w:val="22"/>
              </w:rPr>
              <w:t>116</w:t>
            </w:r>
          </w:p>
        </w:tc>
        <w:tc>
          <w:tcPr>
            <w:tcW w:w="1610" w:type="dxa"/>
          </w:tcPr>
          <w:p>
            <w:pPr>
              <w:pStyle w:val="TableParagraph"/>
              <w:rPr>
                <w:sz w:val="22"/>
              </w:rPr>
            </w:pPr>
            <w:r>
              <w:rPr>
                <w:sz w:val="22"/>
              </w:rPr>
              <w:t>13/10/2009</w:t>
            </w:r>
          </w:p>
        </w:tc>
        <w:tc>
          <w:tcPr>
            <w:tcW w:w="1267" w:type="dxa"/>
          </w:tcPr>
          <w:p>
            <w:pPr>
              <w:pStyle w:val="TableParagraph"/>
              <w:ind w:right="63"/>
              <w:rPr>
                <w:sz w:val="22"/>
              </w:rPr>
            </w:pPr>
            <w:r>
              <w:rPr>
                <w:sz w:val="22"/>
              </w:rPr>
              <w:t>0.137</w:t>
            </w:r>
          </w:p>
        </w:tc>
        <w:tc>
          <w:tcPr>
            <w:tcW w:w="1195" w:type="dxa"/>
          </w:tcPr>
          <w:p>
            <w:pPr>
              <w:pStyle w:val="TableParagraph"/>
              <w:rPr>
                <w:sz w:val="22"/>
              </w:rPr>
            </w:pPr>
            <w:r>
              <w:rPr>
                <w:sz w:val="22"/>
              </w:rPr>
              <w:t>0.167</w:t>
            </w:r>
          </w:p>
        </w:tc>
        <w:tc>
          <w:tcPr>
            <w:tcW w:w="737" w:type="dxa"/>
          </w:tcPr>
          <w:p>
            <w:pPr>
              <w:pStyle w:val="TableParagraph"/>
              <w:ind w:left="138" w:right="46"/>
              <w:jc w:val="center"/>
              <w:rPr>
                <w:sz w:val="22"/>
              </w:rPr>
            </w:pPr>
            <w:r>
              <w:rPr>
                <w:sz w:val="22"/>
              </w:rPr>
              <w:t>0.102</w:t>
            </w:r>
          </w:p>
        </w:tc>
        <w:tc>
          <w:tcPr>
            <w:tcW w:w="1195" w:type="dxa"/>
          </w:tcPr>
          <w:p>
            <w:pPr>
              <w:pStyle w:val="TableParagraph"/>
              <w:rPr>
                <w:sz w:val="22"/>
              </w:rPr>
            </w:pPr>
            <w:r>
              <w:rPr>
                <w:sz w:val="22"/>
              </w:rPr>
              <w:t>0.117</w:t>
            </w:r>
          </w:p>
        </w:tc>
        <w:tc>
          <w:tcPr>
            <w:tcW w:w="1198" w:type="dxa"/>
          </w:tcPr>
          <w:p>
            <w:pPr>
              <w:pStyle w:val="TableParagraph"/>
              <w:ind w:right="63"/>
              <w:rPr>
                <w:sz w:val="22"/>
              </w:rPr>
            </w:pPr>
            <w:r>
              <w:rPr>
                <w:sz w:val="22"/>
              </w:rPr>
              <w:t>0.279</w:t>
            </w:r>
          </w:p>
        </w:tc>
        <w:tc>
          <w:tcPr>
            <w:tcW w:w="1198" w:type="dxa"/>
          </w:tcPr>
          <w:p>
            <w:pPr>
              <w:pStyle w:val="TableParagraph"/>
              <w:ind w:right="63"/>
              <w:rPr>
                <w:sz w:val="22"/>
              </w:rPr>
            </w:pPr>
            <w:r>
              <w:rPr>
                <w:sz w:val="22"/>
              </w:rPr>
              <w:t>0.405</w:t>
            </w:r>
          </w:p>
        </w:tc>
      </w:tr>
      <w:tr>
        <w:trPr>
          <w:trHeight w:val="310" w:hRule="exact"/>
        </w:trPr>
        <w:tc>
          <w:tcPr>
            <w:tcW w:w="622" w:type="dxa"/>
          </w:tcPr>
          <w:p>
            <w:pPr>
              <w:pStyle w:val="TableParagraph"/>
              <w:rPr>
                <w:sz w:val="22"/>
              </w:rPr>
            </w:pPr>
            <w:r>
              <w:rPr>
                <w:sz w:val="22"/>
              </w:rPr>
              <w:t>119</w:t>
            </w:r>
          </w:p>
        </w:tc>
        <w:tc>
          <w:tcPr>
            <w:tcW w:w="1610" w:type="dxa"/>
          </w:tcPr>
          <w:p>
            <w:pPr>
              <w:pStyle w:val="TableParagraph"/>
              <w:rPr>
                <w:sz w:val="22"/>
              </w:rPr>
            </w:pPr>
            <w:r>
              <w:rPr>
                <w:sz w:val="22"/>
              </w:rPr>
              <w:t>16/10/2009</w:t>
            </w:r>
          </w:p>
        </w:tc>
        <w:tc>
          <w:tcPr>
            <w:tcW w:w="1267" w:type="dxa"/>
          </w:tcPr>
          <w:p>
            <w:pPr>
              <w:pStyle w:val="TableParagraph"/>
              <w:ind w:right="63"/>
              <w:rPr>
                <w:sz w:val="22"/>
              </w:rPr>
            </w:pPr>
            <w:r>
              <w:rPr>
                <w:sz w:val="22"/>
              </w:rPr>
              <w:t>0.187</w:t>
            </w:r>
          </w:p>
        </w:tc>
        <w:tc>
          <w:tcPr>
            <w:tcW w:w="1195" w:type="dxa"/>
          </w:tcPr>
          <w:p>
            <w:pPr>
              <w:pStyle w:val="TableParagraph"/>
              <w:rPr>
                <w:sz w:val="22"/>
              </w:rPr>
            </w:pPr>
            <w:r>
              <w:rPr>
                <w:sz w:val="22"/>
              </w:rPr>
              <w:t>0.215</w:t>
            </w:r>
          </w:p>
        </w:tc>
        <w:tc>
          <w:tcPr>
            <w:tcW w:w="737" w:type="dxa"/>
          </w:tcPr>
          <w:p>
            <w:pPr>
              <w:pStyle w:val="TableParagraph"/>
              <w:ind w:left="138" w:right="46"/>
              <w:jc w:val="center"/>
              <w:rPr>
                <w:sz w:val="22"/>
              </w:rPr>
            </w:pPr>
            <w:r>
              <w:rPr>
                <w:sz w:val="22"/>
              </w:rPr>
              <w:t>0.103</w:t>
            </w:r>
          </w:p>
        </w:tc>
        <w:tc>
          <w:tcPr>
            <w:tcW w:w="1195" w:type="dxa"/>
          </w:tcPr>
          <w:p>
            <w:pPr>
              <w:pStyle w:val="TableParagraph"/>
              <w:rPr>
                <w:sz w:val="22"/>
              </w:rPr>
            </w:pPr>
            <w:r>
              <w:rPr>
                <w:sz w:val="22"/>
              </w:rPr>
              <w:t>0.155</w:t>
            </w:r>
          </w:p>
        </w:tc>
        <w:tc>
          <w:tcPr>
            <w:tcW w:w="1198" w:type="dxa"/>
          </w:tcPr>
          <w:p>
            <w:pPr>
              <w:pStyle w:val="TableParagraph"/>
              <w:ind w:right="63"/>
              <w:rPr>
                <w:sz w:val="22"/>
              </w:rPr>
            </w:pPr>
            <w:r>
              <w:rPr>
                <w:sz w:val="22"/>
              </w:rPr>
              <w:t>0.177</w:t>
            </w:r>
          </w:p>
        </w:tc>
        <w:tc>
          <w:tcPr>
            <w:tcW w:w="1198" w:type="dxa"/>
          </w:tcPr>
          <w:p>
            <w:pPr>
              <w:pStyle w:val="TableParagraph"/>
              <w:ind w:right="63"/>
              <w:rPr>
                <w:sz w:val="22"/>
              </w:rPr>
            </w:pPr>
            <w:r>
              <w:rPr>
                <w:sz w:val="22"/>
              </w:rPr>
              <w:t>0.593</w:t>
            </w:r>
          </w:p>
        </w:tc>
      </w:tr>
      <w:tr>
        <w:trPr>
          <w:trHeight w:val="310" w:hRule="exact"/>
        </w:trPr>
        <w:tc>
          <w:tcPr>
            <w:tcW w:w="622" w:type="dxa"/>
          </w:tcPr>
          <w:p>
            <w:pPr>
              <w:pStyle w:val="TableParagraph"/>
              <w:spacing w:before="30"/>
              <w:rPr>
                <w:sz w:val="22"/>
              </w:rPr>
            </w:pPr>
            <w:r>
              <w:rPr>
                <w:sz w:val="22"/>
              </w:rPr>
              <w:t>122</w:t>
            </w:r>
          </w:p>
        </w:tc>
        <w:tc>
          <w:tcPr>
            <w:tcW w:w="1610" w:type="dxa"/>
          </w:tcPr>
          <w:p>
            <w:pPr>
              <w:pStyle w:val="TableParagraph"/>
              <w:spacing w:before="30"/>
              <w:rPr>
                <w:sz w:val="22"/>
              </w:rPr>
            </w:pPr>
            <w:r>
              <w:rPr>
                <w:sz w:val="22"/>
              </w:rPr>
              <w:t>19/10/2009</w:t>
            </w:r>
          </w:p>
        </w:tc>
        <w:tc>
          <w:tcPr>
            <w:tcW w:w="1267" w:type="dxa"/>
          </w:tcPr>
          <w:p>
            <w:pPr>
              <w:pStyle w:val="TableParagraph"/>
              <w:spacing w:before="30"/>
              <w:ind w:right="63"/>
              <w:rPr>
                <w:sz w:val="22"/>
              </w:rPr>
            </w:pPr>
            <w:r>
              <w:rPr>
                <w:sz w:val="22"/>
              </w:rPr>
              <w:t>0.115</w:t>
            </w:r>
          </w:p>
        </w:tc>
        <w:tc>
          <w:tcPr>
            <w:tcW w:w="1195" w:type="dxa"/>
          </w:tcPr>
          <w:p>
            <w:pPr>
              <w:pStyle w:val="TableParagraph"/>
              <w:spacing w:before="30"/>
              <w:rPr>
                <w:sz w:val="22"/>
              </w:rPr>
            </w:pPr>
            <w:r>
              <w:rPr>
                <w:sz w:val="22"/>
              </w:rPr>
              <w:t>0.164</w:t>
            </w:r>
          </w:p>
        </w:tc>
        <w:tc>
          <w:tcPr>
            <w:tcW w:w="737" w:type="dxa"/>
          </w:tcPr>
          <w:p>
            <w:pPr>
              <w:pStyle w:val="TableParagraph"/>
              <w:spacing w:before="30"/>
              <w:ind w:left="138" w:right="46"/>
              <w:jc w:val="center"/>
              <w:rPr>
                <w:sz w:val="22"/>
              </w:rPr>
            </w:pPr>
            <w:r>
              <w:rPr>
                <w:sz w:val="22"/>
              </w:rPr>
              <w:t>0.070</w:t>
            </w:r>
          </w:p>
        </w:tc>
        <w:tc>
          <w:tcPr>
            <w:tcW w:w="1195" w:type="dxa"/>
          </w:tcPr>
          <w:p>
            <w:pPr>
              <w:pStyle w:val="TableParagraph"/>
              <w:spacing w:before="30"/>
              <w:rPr>
                <w:sz w:val="22"/>
              </w:rPr>
            </w:pPr>
            <w:r>
              <w:rPr>
                <w:sz w:val="22"/>
              </w:rPr>
              <w:t>0.095</w:t>
            </w:r>
          </w:p>
        </w:tc>
        <w:tc>
          <w:tcPr>
            <w:tcW w:w="1198" w:type="dxa"/>
          </w:tcPr>
          <w:p>
            <w:pPr>
              <w:pStyle w:val="TableParagraph"/>
              <w:spacing w:before="30"/>
              <w:ind w:right="63"/>
              <w:rPr>
                <w:sz w:val="22"/>
              </w:rPr>
            </w:pPr>
            <w:r>
              <w:rPr>
                <w:sz w:val="22"/>
              </w:rPr>
              <w:t>0.108</w:t>
            </w:r>
          </w:p>
        </w:tc>
        <w:tc>
          <w:tcPr>
            <w:tcW w:w="1198" w:type="dxa"/>
          </w:tcPr>
          <w:p>
            <w:pPr>
              <w:pStyle w:val="TableParagraph"/>
              <w:spacing w:before="30"/>
              <w:ind w:right="63"/>
              <w:rPr>
                <w:sz w:val="22"/>
              </w:rPr>
            </w:pPr>
            <w:r>
              <w:rPr>
                <w:sz w:val="22"/>
              </w:rPr>
              <w:t>0.894</w:t>
            </w:r>
          </w:p>
        </w:tc>
      </w:tr>
      <w:tr>
        <w:trPr>
          <w:trHeight w:val="312" w:hRule="exact"/>
        </w:trPr>
        <w:tc>
          <w:tcPr>
            <w:tcW w:w="622" w:type="dxa"/>
          </w:tcPr>
          <w:p>
            <w:pPr>
              <w:pStyle w:val="TableParagraph"/>
              <w:spacing w:before="30"/>
              <w:rPr>
                <w:sz w:val="22"/>
              </w:rPr>
            </w:pPr>
            <w:r>
              <w:rPr>
                <w:sz w:val="22"/>
              </w:rPr>
              <w:t>125</w:t>
            </w:r>
          </w:p>
        </w:tc>
        <w:tc>
          <w:tcPr>
            <w:tcW w:w="1610" w:type="dxa"/>
          </w:tcPr>
          <w:p>
            <w:pPr>
              <w:pStyle w:val="TableParagraph"/>
              <w:spacing w:before="30"/>
              <w:rPr>
                <w:sz w:val="22"/>
              </w:rPr>
            </w:pPr>
            <w:r>
              <w:rPr>
                <w:sz w:val="22"/>
              </w:rPr>
              <w:t>22/10/2009</w:t>
            </w:r>
          </w:p>
        </w:tc>
        <w:tc>
          <w:tcPr>
            <w:tcW w:w="1267" w:type="dxa"/>
          </w:tcPr>
          <w:p>
            <w:pPr>
              <w:pStyle w:val="TableParagraph"/>
              <w:spacing w:before="30"/>
              <w:ind w:right="63"/>
              <w:rPr>
                <w:sz w:val="22"/>
              </w:rPr>
            </w:pPr>
            <w:r>
              <w:rPr>
                <w:sz w:val="22"/>
              </w:rPr>
              <w:t>0.114</w:t>
            </w:r>
          </w:p>
        </w:tc>
        <w:tc>
          <w:tcPr>
            <w:tcW w:w="1195" w:type="dxa"/>
          </w:tcPr>
          <w:p>
            <w:pPr>
              <w:pStyle w:val="TableParagraph"/>
              <w:spacing w:before="30"/>
              <w:rPr>
                <w:sz w:val="22"/>
              </w:rPr>
            </w:pPr>
            <w:r>
              <w:rPr>
                <w:sz w:val="22"/>
              </w:rPr>
              <w:t>0.165</w:t>
            </w:r>
          </w:p>
        </w:tc>
        <w:tc>
          <w:tcPr>
            <w:tcW w:w="737" w:type="dxa"/>
          </w:tcPr>
          <w:p>
            <w:pPr>
              <w:pStyle w:val="TableParagraph"/>
              <w:spacing w:before="30"/>
              <w:ind w:left="138" w:right="46"/>
              <w:jc w:val="center"/>
              <w:rPr>
                <w:sz w:val="22"/>
              </w:rPr>
            </w:pPr>
            <w:r>
              <w:rPr>
                <w:sz w:val="22"/>
              </w:rPr>
              <w:t>0.025</w:t>
            </w:r>
          </w:p>
        </w:tc>
        <w:tc>
          <w:tcPr>
            <w:tcW w:w="1195" w:type="dxa"/>
          </w:tcPr>
          <w:p>
            <w:pPr>
              <w:pStyle w:val="TableParagraph"/>
              <w:spacing w:before="30"/>
              <w:rPr>
                <w:sz w:val="22"/>
              </w:rPr>
            </w:pPr>
            <w:r>
              <w:rPr>
                <w:sz w:val="22"/>
              </w:rPr>
              <w:t>0.078</w:t>
            </w:r>
          </w:p>
        </w:tc>
        <w:tc>
          <w:tcPr>
            <w:tcW w:w="1198" w:type="dxa"/>
          </w:tcPr>
          <w:p>
            <w:pPr>
              <w:pStyle w:val="TableParagraph"/>
              <w:spacing w:before="30"/>
              <w:ind w:right="63"/>
              <w:rPr>
                <w:sz w:val="22"/>
              </w:rPr>
            </w:pPr>
            <w:r>
              <w:rPr>
                <w:sz w:val="22"/>
              </w:rPr>
              <w:t>0.100</w:t>
            </w:r>
          </w:p>
        </w:tc>
        <w:tc>
          <w:tcPr>
            <w:tcW w:w="1198" w:type="dxa"/>
          </w:tcPr>
          <w:p>
            <w:pPr>
              <w:pStyle w:val="TableParagraph"/>
              <w:spacing w:before="30"/>
              <w:ind w:right="63"/>
              <w:rPr>
                <w:sz w:val="22"/>
              </w:rPr>
            </w:pPr>
            <w:r>
              <w:rPr>
                <w:sz w:val="22"/>
              </w:rPr>
              <w:t>0.850</w:t>
            </w:r>
          </w:p>
        </w:tc>
      </w:tr>
      <w:tr>
        <w:trPr>
          <w:trHeight w:val="310" w:hRule="exact"/>
        </w:trPr>
        <w:tc>
          <w:tcPr>
            <w:tcW w:w="622" w:type="dxa"/>
          </w:tcPr>
          <w:p>
            <w:pPr>
              <w:pStyle w:val="TableParagraph"/>
              <w:rPr>
                <w:sz w:val="22"/>
              </w:rPr>
            </w:pPr>
            <w:r>
              <w:rPr>
                <w:sz w:val="22"/>
              </w:rPr>
              <w:t>129</w:t>
            </w:r>
          </w:p>
        </w:tc>
        <w:tc>
          <w:tcPr>
            <w:tcW w:w="1610" w:type="dxa"/>
          </w:tcPr>
          <w:p>
            <w:pPr>
              <w:pStyle w:val="TableParagraph"/>
              <w:rPr>
                <w:sz w:val="22"/>
              </w:rPr>
            </w:pPr>
            <w:r>
              <w:rPr>
                <w:sz w:val="22"/>
              </w:rPr>
              <w:t>26/10/2009</w:t>
            </w:r>
          </w:p>
        </w:tc>
        <w:tc>
          <w:tcPr>
            <w:tcW w:w="1267" w:type="dxa"/>
          </w:tcPr>
          <w:p>
            <w:pPr>
              <w:pStyle w:val="TableParagraph"/>
              <w:ind w:right="63"/>
              <w:rPr>
                <w:sz w:val="22"/>
              </w:rPr>
            </w:pPr>
            <w:r>
              <w:rPr>
                <w:sz w:val="22"/>
              </w:rPr>
              <w:t>0.132</w:t>
            </w:r>
          </w:p>
        </w:tc>
        <w:tc>
          <w:tcPr>
            <w:tcW w:w="1195" w:type="dxa"/>
          </w:tcPr>
          <w:p>
            <w:pPr>
              <w:pStyle w:val="TableParagraph"/>
              <w:rPr>
                <w:sz w:val="22"/>
              </w:rPr>
            </w:pPr>
            <w:r>
              <w:rPr>
                <w:sz w:val="22"/>
              </w:rPr>
              <w:t>0.174</w:t>
            </w:r>
          </w:p>
        </w:tc>
        <w:tc>
          <w:tcPr>
            <w:tcW w:w="737" w:type="dxa"/>
          </w:tcPr>
          <w:p>
            <w:pPr>
              <w:pStyle w:val="TableParagraph"/>
              <w:ind w:left="138" w:right="46"/>
              <w:jc w:val="center"/>
              <w:rPr>
                <w:sz w:val="22"/>
              </w:rPr>
            </w:pPr>
            <w:r>
              <w:rPr>
                <w:sz w:val="22"/>
              </w:rPr>
              <w:t>0.060</w:t>
            </w:r>
          </w:p>
        </w:tc>
        <w:tc>
          <w:tcPr>
            <w:tcW w:w="1195" w:type="dxa"/>
          </w:tcPr>
          <w:p>
            <w:pPr>
              <w:pStyle w:val="TableParagraph"/>
              <w:rPr>
                <w:sz w:val="22"/>
              </w:rPr>
            </w:pPr>
            <w:r>
              <w:rPr>
                <w:sz w:val="22"/>
              </w:rPr>
              <w:t>0.107</w:t>
            </w:r>
          </w:p>
        </w:tc>
        <w:tc>
          <w:tcPr>
            <w:tcW w:w="1198" w:type="dxa"/>
          </w:tcPr>
          <w:p>
            <w:pPr>
              <w:pStyle w:val="TableParagraph"/>
              <w:ind w:right="63"/>
              <w:rPr>
                <w:sz w:val="22"/>
              </w:rPr>
            </w:pPr>
            <w:r>
              <w:rPr>
                <w:sz w:val="22"/>
              </w:rPr>
              <w:t>0.120</w:t>
            </w:r>
          </w:p>
        </w:tc>
        <w:tc>
          <w:tcPr>
            <w:tcW w:w="1198" w:type="dxa"/>
          </w:tcPr>
          <w:p>
            <w:pPr>
              <w:pStyle w:val="TableParagraph"/>
              <w:ind w:right="63"/>
              <w:rPr>
                <w:sz w:val="22"/>
              </w:rPr>
            </w:pPr>
            <w:r>
              <w:rPr>
                <w:sz w:val="22"/>
              </w:rPr>
              <w:t>0.447</w:t>
            </w:r>
          </w:p>
        </w:tc>
      </w:tr>
      <w:tr>
        <w:trPr>
          <w:trHeight w:val="310" w:hRule="exact"/>
        </w:trPr>
        <w:tc>
          <w:tcPr>
            <w:tcW w:w="622" w:type="dxa"/>
          </w:tcPr>
          <w:p>
            <w:pPr>
              <w:pStyle w:val="TableParagraph"/>
              <w:rPr>
                <w:sz w:val="22"/>
              </w:rPr>
            </w:pPr>
            <w:r>
              <w:rPr>
                <w:sz w:val="22"/>
              </w:rPr>
              <w:t>133</w:t>
            </w:r>
          </w:p>
        </w:tc>
        <w:tc>
          <w:tcPr>
            <w:tcW w:w="1610" w:type="dxa"/>
          </w:tcPr>
          <w:p>
            <w:pPr>
              <w:pStyle w:val="TableParagraph"/>
              <w:rPr>
                <w:sz w:val="22"/>
              </w:rPr>
            </w:pPr>
            <w:r>
              <w:rPr>
                <w:sz w:val="22"/>
              </w:rPr>
              <w:t>30/10/2009</w:t>
            </w:r>
          </w:p>
        </w:tc>
        <w:tc>
          <w:tcPr>
            <w:tcW w:w="1267" w:type="dxa"/>
          </w:tcPr>
          <w:p>
            <w:pPr>
              <w:pStyle w:val="TableParagraph"/>
              <w:ind w:right="63"/>
              <w:rPr>
                <w:sz w:val="22"/>
              </w:rPr>
            </w:pPr>
            <w:r>
              <w:rPr>
                <w:sz w:val="22"/>
              </w:rPr>
              <w:t>0.871</w:t>
            </w:r>
          </w:p>
        </w:tc>
        <w:tc>
          <w:tcPr>
            <w:tcW w:w="1195" w:type="dxa"/>
          </w:tcPr>
          <w:p>
            <w:pPr>
              <w:pStyle w:val="TableParagraph"/>
              <w:rPr>
                <w:sz w:val="22"/>
              </w:rPr>
            </w:pPr>
            <w:r>
              <w:rPr>
                <w:sz w:val="22"/>
              </w:rPr>
              <w:t>0.957</w:t>
            </w:r>
          </w:p>
        </w:tc>
        <w:tc>
          <w:tcPr>
            <w:tcW w:w="737" w:type="dxa"/>
          </w:tcPr>
          <w:p>
            <w:pPr>
              <w:pStyle w:val="TableParagraph"/>
              <w:ind w:left="138" w:right="46"/>
              <w:jc w:val="center"/>
              <w:rPr>
                <w:sz w:val="22"/>
              </w:rPr>
            </w:pPr>
            <w:r>
              <w:rPr>
                <w:sz w:val="22"/>
              </w:rPr>
              <w:t>0.754</w:t>
            </w:r>
          </w:p>
        </w:tc>
        <w:tc>
          <w:tcPr>
            <w:tcW w:w="1195" w:type="dxa"/>
          </w:tcPr>
          <w:p>
            <w:pPr>
              <w:pStyle w:val="TableParagraph"/>
              <w:rPr>
                <w:sz w:val="22"/>
              </w:rPr>
            </w:pPr>
            <w:r>
              <w:rPr>
                <w:sz w:val="22"/>
              </w:rPr>
              <w:t>0.875</w:t>
            </w:r>
          </w:p>
        </w:tc>
        <w:tc>
          <w:tcPr>
            <w:tcW w:w="1198" w:type="dxa"/>
          </w:tcPr>
          <w:p>
            <w:pPr>
              <w:pStyle w:val="TableParagraph"/>
              <w:ind w:right="63"/>
              <w:rPr>
                <w:sz w:val="22"/>
              </w:rPr>
            </w:pPr>
            <w:r>
              <w:rPr>
                <w:sz w:val="22"/>
              </w:rPr>
              <w:t>0.900</w:t>
            </w:r>
          </w:p>
        </w:tc>
        <w:tc>
          <w:tcPr>
            <w:tcW w:w="1198" w:type="dxa"/>
          </w:tcPr>
          <w:p>
            <w:pPr>
              <w:pStyle w:val="TableParagraph"/>
              <w:ind w:right="63"/>
              <w:rPr>
                <w:sz w:val="22"/>
              </w:rPr>
            </w:pPr>
            <w:r>
              <w:rPr>
                <w:sz w:val="22"/>
              </w:rPr>
              <w:t>1.221</w:t>
            </w:r>
          </w:p>
        </w:tc>
      </w:tr>
      <w:tr>
        <w:trPr>
          <w:trHeight w:val="310" w:hRule="exact"/>
        </w:trPr>
        <w:tc>
          <w:tcPr>
            <w:tcW w:w="622" w:type="dxa"/>
          </w:tcPr>
          <w:p>
            <w:pPr>
              <w:pStyle w:val="TableParagraph"/>
              <w:rPr>
                <w:sz w:val="22"/>
              </w:rPr>
            </w:pPr>
            <w:r>
              <w:rPr>
                <w:sz w:val="22"/>
              </w:rPr>
              <w:t>137</w:t>
            </w:r>
          </w:p>
        </w:tc>
        <w:tc>
          <w:tcPr>
            <w:tcW w:w="1610" w:type="dxa"/>
          </w:tcPr>
          <w:p>
            <w:pPr>
              <w:pStyle w:val="TableParagraph"/>
              <w:rPr>
                <w:sz w:val="22"/>
              </w:rPr>
            </w:pPr>
            <w:r>
              <w:rPr>
                <w:sz w:val="22"/>
              </w:rPr>
              <w:t>03/11/2009</w:t>
            </w:r>
          </w:p>
        </w:tc>
        <w:tc>
          <w:tcPr>
            <w:tcW w:w="1267" w:type="dxa"/>
          </w:tcPr>
          <w:p>
            <w:pPr>
              <w:pStyle w:val="TableParagraph"/>
              <w:ind w:right="63"/>
              <w:rPr>
                <w:sz w:val="22"/>
              </w:rPr>
            </w:pPr>
            <w:r>
              <w:rPr>
                <w:sz w:val="22"/>
              </w:rPr>
              <w:t>0.419</w:t>
            </w:r>
          </w:p>
        </w:tc>
        <w:tc>
          <w:tcPr>
            <w:tcW w:w="1195" w:type="dxa"/>
          </w:tcPr>
          <w:p>
            <w:pPr>
              <w:pStyle w:val="TableParagraph"/>
              <w:rPr>
                <w:sz w:val="22"/>
              </w:rPr>
            </w:pPr>
            <w:r>
              <w:rPr>
                <w:sz w:val="22"/>
              </w:rPr>
              <w:t>0.518</w:t>
            </w:r>
          </w:p>
        </w:tc>
        <w:tc>
          <w:tcPr>
            <w:tcW w:w="737" w:type="dxa"/>
          </w:tcPr>
          <w:p>
            <w:pPr>
              <w:pStyle w:val="TableParagraph"/>
              <w:ind w:left="138" w:right="46"/>
              <w:jc w:val="center"/>
              <w:rPr>
                <w:sz w:val="22"/>
              </w:rPr>
            </w:pPr>
            <w:r>
              <w:rPr>
                <w:sz w:val="22"/>
              </w:rPr>
              <w:t>0.377</w:t>
            </w:r>
          </w:p>
        </w:tc>
        <w:tc>
          <w:tcPr>
            <w:tcW w:w="1195" w:type="dxa"/>
          </w:tcPr>
          <w:p>
            <w:pPr>
              <w:pStyle w:val="TableParagraph"/>
              <w:rPr>
                <w:sz w:val="22"/>
              </w:rPr>
            </w:pPr>
            <w:r>
              <w:rPr>
                <w:sz w:val="22"/>
              </w:rPr>
              <w:t>0.395</w:t>
            </w:r>
          </w:p>
        </w:tc>
        <w:tc>
          <w:tcPr>
            <w:tcW w:w="1198" w:type="dxa"/>
          </w:tcPr>
          <w:p>
            <w:pPr>
              <w:pStyle w:val="TableParagraph"/>
              <w:ind w:right="63"/>
              <w:rPr>
                <w:sz w:val="22"/>
              </w:rPr>
            </w:pPr>
            <w:r>
              <w:rPr>
                <w:sz w:val="22"/>
              </w:rPr>
              <w:t>0.410</w:t>
            </w:r>
          </w:p>
        </w:tc>
        <w:tc>
          <w:tcPr>
            <w:tcW w:w="1198" w:type="dxa"/>
          </w:tcPr>
          <w:p>
            <w:pPr>
              <w:pStyle w:val="TableParagraph"/>
              <w:ind w:right="63"/>
              <w:rPr>
                <w:sz w:val="22"/>
              </w:rPr>
            </w:pPr>
            <w:r>
              <w:rPr>
                <w:sz w:val="22"/>
              </w:rPr>
              <w:t>0.819</w:t>
            </w:r>
          </w:p>
        </w:tc>
      </w:tr>
      <w:tr>
        <w:trPr>
          <w:trHeight w:val="310" w:hRule="exact"/>
        </w:trPr>
        <w:tc>
          <w:tcPr>
            <w:tcW w:w="622" w:type="dxa"/>
          </w:tcPr>
          <w:p>
            <w:pPr>
              <w:pStyle w:val="TableParagraph"/>
              <w:rPr>
                <w:sz w:val="22"/>
              </w:rPr>
            </w:pPr>
            <w:r>
              <w:rPr>
                <w:sz w:val="22"/>
              </w:rPr>
              <w:t>139</w:t>
            </w:r>
          </w:p>
        </w:tc>
        <w:tc>
          <w:tcPr>
            <w:tcW w:w="1610" w:type="dxa"/>
          </w:tcPr>
          <w:p>
            <w:pPr>
              <w:pStyle w:val="TableParagraph"/>
              <w:rPr>
                <w:sz w:val="22"/>
              </w:rPr>
            </w:pPr>
            <w:r>
              <w:rPr>
                <w:sz w:val="22"/>
              </w:rPr>
              <w:t>05/11/2009</w:t>
            </w:r>
          </w:p>
        </w:tc>
        <w:tc>
          <w:tcPr>
            <w:tcW w:w="1267" w:type="dxa"/>
          </w:tcPr>
          <w:p>
            <w:pPr>
              <w:pStyle w:val="TableParagraph"/>
              <w:ind w:right="63"/>
              <w:rPr>
                <w:sz w:val="22"/>
              </w:rPr>
            </w:pPr>
            <w:r>
              <w:rPr>
                <w:sz w:val="22"/>
              </w:rPr>
              <w:t>0.920</w:t>
            </w:r>
          </w:p>
        </w:tc>
        <w:tc>
          <w:tcPr>
            <w:tcW w:w="1195" w:type="dxa"/>
          </w:tcPr>
          <w:p>
            <w:pPr>
              <w:pStyle w:val="TableParagraph"/>
              <w:rPr>
                <w:sz w:val="22"/>
              </w:rPr>
            </w:pPr>
            <w:r>
              <w:rPr>
                <w:sz w:val="22"/>
              </w:rPr>
              <w:t>0.966</w:t>
            </w:r>
          </w:p>
        </w:tc>
        <w:tc>
          <w:tcPr>
            <w:tcW w:w="737" w:type="dxa"/>
          </w:tcPr>
          <w:p>
            <w:pPr>
              <w:pStyle w:val="TableParagraph"/>
              <w:ind w:left="138" w:right="46"/>
              <w:jc w:val="center"/>
              <w:rPr>
                <w:sz w:val="22"/>
              </w:rPr>
            </w:pPr>
            <w:r>
              <w:rPr>
                <w:sz w:val="22"/>
              </w:rPr>
              <w:t>0.578</w:t>
            </w:r>
          </w:p>
        </w:tc>
        <w:tc>
          <w:tcPr>
            <w:tcW w:w="1195" w:type="dxa"/>
          </w:tcPr>
          <w:p>
            <w:pPr>
              <w:pStyle w:val="TableParagraph"/>
              <w:rPr>
                <w:sz w:val="22"/>
              </w:rPr>
            </w:pPr>
            <w:r>
              <w:rPr>
                <w:sz w:val="22"/>
              </w:rPr>
              <w:t>0.810</w:t>
            </w:r>
          </w:p>
        </w:tc>
        <w:tc>
          <w:tcPr>
            <w:tcW w:w="1198" w:type="dxa"/>
          </w:tcPr>
          <w:p>
            <w:pPr>
              <w:pStyle w:val="TableParagraph"/>
              <w:ind w:right="63"/>
              <w:rPr>
                <w:sz w:val="22"/>
              </w:rPr>
            </w:pPr>
            <w:r>
              <w:rPr>
                <w:sz w:val="22"/>
              </w:rPr>
              <w:t>0.825</w:t>
            </w:r>
          </w:p>
        </w:tc>
        <w:tc>
          <w:tcPr>
            <w:tcW w:w="1198" w:type="dxa"/>
          </w:tcPr>
          <w:p>
            <w:pPr>
              <w:pStyle w:val="TableParagraph"/>
              <w:ind w:right="63"/>
              <w:rPr>
                <w:sz w:val="22"/>
              </w:rPr>
            </w:pPr>
            <w:r>
              <w:rPr>
                <w:sz w:val="22"/>
              </w:rPr>
              <w:t>1.032</w:t>
            </w:r>
          </w:p>
        </w:tc>
      </w:tr>
      <w:tr>
        <w:trPr>
          <w:trHeight w:val="310" w:hRule="exact"/>
        </w:trPr>
        <w:tc>
          <w:tcPr>
            <w:tcW w:w="622" w:type="dxa"/>
          </w:tcPr>
          <w:p>
            <w:pPr>
              <w:pStyle w:val="TableParagraph"/>
              <w:spacing w:before="30"/>
              <w:rPr>
                <w:sz w:val="22"/>
              </w:rPr>
            </w:pPr>
            <w:r>
              <w:rPr>
                <w:sz w:val="22"/>
              </w:rPr>
              <w:t>143</w:t>
            </w:r>
          </w:p>
        </w:tc>
        <w:tc>
          <w:tcPr>
            <w:tcW w:w="1610" w:type="dxa"/>
          </w:tcPr>
          <w:p>
            <w:pPr>
              <w:pStyle w:val="TableParagraph"/>
              <w:spacing w:before="30"/>
              <w:rPr>
                <w:sz w:val="22"/>
              </w:rPr>
            </w:pPr>
            <w:r>
              <w:rPr>
                <w:sz w:val="22"/>
              </w:rPr>
              <w:t>09/11/2009</w:t>
            </w:r>
          </w:p>
        </w:tc>
        <w:tc>
          <w:tcPr>
            <w:tcW w:w="1267" w:type="dxa"/>
          </w:tcPr>
          <w:p>
            <w:pPr>
              <w:pStyle w:val="TableParagraph"/>
              <w:spacing w:before="30"/>
              <w:ind w:right="63"/>
              <w:rPr>
                <w:sz w:val="22"/>
              </w:rPr>
            </w:pPr>
            <w:r>
              <w:rPr>
                <w:sz w:val="22"/>
              </w:rPr>
              <w:t>0.308</w:t>
            </w:r>
          </w:p>
        </w:tc>
        <w:tc>
          <w:tcPr>
            <w:tcW w:w="1195" w:type="dxa"/>
          </w:tcPr>
          <w:p>
            <w:pPr>
              <w:pStyle w:val="TableParagraph"/>
              <w:spacing w:before="30"/>
              <w:rPr>
                <w:sz w:val="22"/>
              </w:rPr>
            </w:pPr>
            <w:r>
              <w:rPr>
                <w:sz w:val="22"/>
              </w:rPr>
              <w:t>0.468</w:t>
            </w:r>
          </w:p>
        </w:tc>
        <w:tc>
          <w:tcPr>
            <w:tcW w:w="737" w:type="dxa"/>
          </w:tcPr>
          <w:p>
            <w:pPr>
              <w:pStyle w:val="TableParagraph"/>
              <w:spacing w:before="30"/>
              <w:ind w:left="138" w:right="46"/>
              <w:jc w:val="center"/>
              <w:rPr>
                <w:sz w:val="22"/>
              </w:rPr>
            </w:pPr>
            <w:r>
              <w:rPr>
                <w:sz w:val="22"/>
              </w:rPr>
              <w:t>0.144</w:t>
            </w:r>
          </w:p>
        </w:tc>
        <w:tc>
          <w:tcPr>
            <w:tcW w:w="1195" w:type="dxa"/>
          </w:tcPr>
          <w:p>
            <w:pPr>
              <w:pStyle w:val="TableParagraph"/>
              <w:spacing w:before="30"/>
              <w:rPr>
                <w:sz w:val="22"/>
              </w:rPr>
            </w:pPr>
            <w:r>
              <w:rPr>
                <w:sz w:val="22"/>
              </w:rPr>
              <w:t>0.226</w:t>
            </w:r>
          </w:p>
        </w:tc>
        <w:tc>
          <w:tcPr>
            <w:tcW w:w="1198" w:type="dxa"/>
          </w:tcPr>
          <w:p>
            <w:pPr>
              <w:pStyle w:val="TableParagraph"/>
              <w:spacing w:before="30"/>
              <w:ind w:right="63"/>
              <w:rPr>
                <w:sz w:val="22"/>
              </w:rPr>
            </w:pPr>
            <w:r>
              <w:rPr>
                <w:sz w:val="22"/>
              </w:rPr>
              <w:t>0.276</w:t>
            </w:r>
          </w:p>
        </w:tc>
        <w:tc>
          <w:tcPr>
            <w:tcW w:w="1198" w:type="dxa"/>
          </w:tcPr>
          <w:p>
            <w:pPr>
              <w:pStyle w:val="TableParagraph"/>
              <w:spacing w:before="30"/>
              <w:ind w:right="63"/>
              <w:rPr>
                <w:sz w:val="22"/>
              </w:rPr>
            </w:pPr>
            <w:r>
              <w:rPr>
                <w:sz w:val="22"/>
              </w:rPr>
              <w:t>0.182</w:t>
            </w:r>
          </w:p>
        </w:tc>
      </w:tr>
      <w:tr>
        <w:trPr>
          <w:trHeight w:val="312" w:hRule="exact"/>
        </w:trPr>
        <w:tc>
          <w:tcPr>
            <w:tcW w:w="622" w:type="dxa"/>
          </w:tcPr>
          <w:p>
            <w:pPr>
              <w:pStyle w:val="TableParagraph"/>
              <w:spacing w:before="30"/>
              <w:rPr>
                <w:sz w:val="22"/>
              </w:rPr>
            </w:pPr>
            <w:r>
              <w:rPr>
                <w:sz w:val="22"/>
              </w:rPr>
              <w:t>146</w:t>
            </w:r>
          </w:p>
        </w:tc>
        <w:tc>
          <w:tcPr>
            <w:tcW w:w="1610" w:type="dxa"/>
          </w:tcPr>
          <w:p>
            <w:pPr>
              <w:pStyle w:val="TableParagraph"/>
              <w:spacing w:before="30"/>
              <w:rPr>
                <w:sz w:val="22"/>
              </w:rPr>
            </w:pPr>
            <w:r>
              <w:rPr>
                <w:sz w:val="22"/>
              </w:rPr>
              <w:t>12/11/2009</w:t>
            </w:r>
          </w:p>
        </w:tc>
        <w:tc>
          <w:tcPr>
            <w:tcW w:w="1267" w:type="dxa"/>
          </w:tcPr>
          <w:p>
            <w:pPr>
              <w:pStyle w:val="TableParagraph"/>
              <w:spacing w:before="30"/>
              <w:ind w:right="63"/>
              <w:rPr>
                <w:sz w:val="22"/>
              </w:rPr>
            </w:pPr>
            <w:r>
              <w:rPr>
                <w:sz w:val="22"/>
              </w:rPr>
              <w:t>0.215</w:t>
            </w:r>
          </w:p>
        </w:tc>
        <w:tc>
          <w:tcPr>
            <w:tcW w:w="1195" w:type="dxa"/>
          </w:tcPr>
          <w:p>
            <w:pPr>
              <w:pStyle w:val="TableParagraph"/>
              <w:spacing w:before="30"/>
              <w:rPr>
                <w:sz w:val="22"/>
              </w:rPr>
            </w:pPr>
            <w:r>
              <w:rPr>
                <w:sz w:val="22"/>
              </w:rPr>
              <w:t>0.301</w:t>
            </w:r>
          </w:p>
        </w:tc>
        <w:tc>
          <w:tcPr>
            <w:tcW w:w="737" w:type="dxa"/>
          </w:tcPr>
          <w:p>
            <w:pPr>
              <w:pStyle w:val="TableParagraph"/>
              <w:spacing w:before="30"/>
              <w:ind w:left="138" w:right="46"/>
              <w:jc w:val="center"/>
              <w:rPr>
                <w:sz w:val="22"/>
              </w:rPr>
            </w:pPr>
            <w:r>
              <w:rPr>
                <w:sz w:val="22"/>
              </w:rPr>
              <w:t>0.126</w:t>
            </w:r>
          </w:p>
        </w:tc>
        <w:tc>
          <w:tcPr>
            <w:tcW w:w="1195" w:type="dxa"/>
          </w:tcPr>
          <w:p>
            <w:pPr>
              <w:pStyle w:val="TableParagraph"/>
              <w:spacing w:before="30"/>
              <w:rPr>
                <w:sz w:val="22"/>
              </w:rPr>
            </w:pPr>
            <w:r>
              <w:rPr>
                <w:sz w:val="22"/>
              </w:rPr>
              <w:t>0.235</w:t>
            </w:r>
          </w:p>
        </w:tc>
        <w:tc>
          <w:tcPr>
            <w:tcW w:w="1198" w:type="dxa"/>
          </w:tcPr>
          <w:p>
            <w:pPr>
              <w:pStyle w:val="TableParagraph"/>
              <w:spacing w:before="30"/>
              <w:ind w:right="63"/>
              <w:rPr>
                <w:sz w:val="22"/>
              </w:rPr>
            </w:pPr>
            <w:r>
              <w:rPr>
                <w:sz w:val="22"/>
              </w:rPr>
              <w:t>0.243</w:t>
            </w:r>
          </w:p>
        </w:tc>
        <w:tc>
          <w:tcPr>
            <w:tcW w:w="1198" w:type="dxa"/>
          </w:tcPr>
          <w:p>
            <w:pPr>
              <w:pStyle w:val="TableParagraph"/>
              <w:spacing w:before="30"/>
              <w:ind w:right="63"/>
              <w:rPr>
                <w:sz w:val="22"/>
              </w:rPr>
            </w:pPr>
            <w:r>
              <w:rPr>
                <w:sz w:val="22"/>
              </w:rPr>
              <w:t>0.459</w:t>
            </w:r>
          </w:p>
        </w:tc>
      </w:tr>
      <w:tr>
        <w:trPr>
          <w:trHeight w:val="310" w:hRule="exact"/>
        </w:trPr>
        <w:tc>
          <w:tcPr>
            <w:tcW w:w="622" w:type="dxa"/>
          </w:tcPr>
          <w:p>
            <w:pPr>
              <w:pStyle w:val="TableParagraph"/>
              <w:rPr>
                <w:sz w:val="22"/>
              </w:rPr>
            </w:pPr>
            <w:r>
              <w:rPr>
                <w:sz w:val="22"/>
              </w:rPr>
              <w:t>150</w:t>
            </w:r>
          </w:p>
        </w:tc>
        <w:tc>
          <w:tcPr>
            <w:tcW w:w="1610" w:type="dxa"/>
          </w:tcPr>
          <w:p>
            <w:pPr>
              <w:pStyle w:val="TableParagraph"/>
              <w:rPr>
                <w:sz w:val="22"/>
              </w:rPr>
            </w:pPr>
            <w:r>
              <w:rPr>
                <w:sz w:val="22"/>
              </w:rPr>
              <w:t>16/11/2009</w:t>
            </w:r>
          </w:p>
        </w:tc>
        <w:tc>
          <w:tcPr>
            <w:tcW w:w="1267" w:type="dxa"/>
          </w:tcPr>
          <w:p>
            <w:pPr>
              <w:pStyle w:val="TableParagraph"/>
              <w:ind w:right="63"/>
              <w:rPr>
                <w:sz w:val="22"/>
              </w:rPr>
            </w:pPr>
            <w:r>
              <w:rPr>
                <w:sz w:val="22"/>
              </w:rPr>
              <w:t>0.224</w:t>
            </w:r>
          </w:p>
        </w:tc>
        <w:tc>
          <w:tcPr>
            <w:tcW w:w="1195" w:type="dxa"/>
          </w:tcPr>
          <w:p>
            <w:pPr>
              <w:pStyle w:val="TableParagraph"/>
              <w:rPr>
                <w:sz w:val="22"/>
              </w:rPr>
            </w:pPr>
            <w:r>
              <w:rPr>
                <w:sz w:val="22"/>
              </w:rPr>
              <w:t>0.333</w:t>
            </w:r>
          </w:p>
        </w:tc>
        <w:tc>
          <w:tcPr>
            <w:tcW w:w="737" w:type="dxa"/>
          </w:tcPr>
          <w:p>
            <w:pPr>
              <w:pStyle w:val="TableParagraph"/>
              <w:ind w:left="138" w:right="46"/>
              <w:jc w:val="center"/>
              <w:rPr>
                <w:sz w:val="22"/>
              </w:rPr>
            </w:pPr>
            <w:r>
              <w:rPr>
                <w:sz w:val="22"/>
              </w:rPr>
              <w:t>0.137</w:t>
            </w:r>
          </w:p>
        </w:tc>
        <w:tc>
          <w:tcPr>
            <w:tcW w:w="1195" w:type="dxa"/>
          </w:tcPr>
          <w:p>
            <w:pPr>
              <w:pStyle w:val="TableParagraph"/>
              <w:rPr>
                <w:sz w:val="22"/>
              </w:rPr>
            </w:pPr>
            <w:r>
              <w:rPr>
                <w:sz w:val="22"/>
              </w:rPr>
              <w:t>0.254</w:t>
            </w:r>
          </w:p>
        </w:tc>
        <w:tc>
          <w:tcPr>
            <w:tcW w:w="1198" w:type="dxa"/>
          </w:tcPr>
          <w:p>
            <w:pPr>
              <w:pStyle w:val="TableParagraph"/>
              <w:ind w:right="63"/>
              <w:rPr>
                <w:sz w:val="22"/>
              </w:rPr>
            </w:pPr>
            <w:r>
              <w:rPr>
                <w:sz w:val="22"/>
              </w:rPr>
              <w:t>0.261</w:t>
            </w:r>
          </w:p>
        </w:tc>
        <w:tc>
          <w:tcPr>
            <w:tcW w:w="1198" w:type="dxa"/>
          </w:tcPr>
          <w:p>
            <w:pPr>
              <w:pStyle w:val="TableParagraph"/>
              <w:ind w:right="63"/>
              <w:rPr>
                <w:sz w:val="22"/>
              </w:rPr>
            </w:pPr>
            <w:r>
              <w:rPr>
                <w:sz w:val="22"/>
              </w:rPr>
              <w:t>0.543</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0"/>
        <w:gridCol w:w="1200"/>
        <w:gridCol w:w="1433"/>
        <w:gridCol w:w="1320"/>
        <w:gridCol w:w="643"/>
        <w:gridCol w:w="1320"/>
        <w:gridCol w:w="1320"/>
        <w:gridCol w:w="1322"/>
      </w:tblGrid>
      <w:tr>
        <w:trPr>
          <w:trHeight w:val="610" w:hRule="exact"/>
        </w:trPr>
        <w:tc>
          <w:tcPr>
            <w:tcW w:w="9089" w:type="dxa"/>
            <w:gridSpan w:val="8"/>
            <w:shd w:val="clear" w:color="auto" w:fill="E6B9B8"/>
          </w:tcPr>
          <w:p>
            <w:pPr>
              <w:pStyle w:val="TableParagraph"/>
              <w:spacing w:before="11"/>
              <w:ind w:right="0"/>
              <w:jc w:val="left"/>
              <w:rPr>
                <w:rFonts w:ascii="Times New Roman"/>
                <w:sz w:val="11"/>
              </w:rPr>
            </w:pPr>
          </w:p>
          <w:p>
            <w:pPr>
              <w:pStyle w:val="TableParagraph"/>
              <w:spacing w:line="98" w:lineRule="exact" w:before="0"/>
              <w:ind w:left="716" w:right="0"/>
              <w:jc w:val="center"/>
              <w:rPr>
                <w:b/>
                <w:sz w:val="14"/>
              </w:rPr>
            </w:pPr>
            <w:r>
              <w:rPr>
                <w:b/>
                <w:w w:val="99"/>
                <w:sz w:val="14"/>
              </w:rPr>
              <w:t>-</w:t>
            </w:r>
          </w:p>
          <w:p>
            <w:pPr>
              <w:pStyle w:val="TableParagraph"/>
              <w:spacing w:line="204" w:lineRule="exact" w:before="0"/>
              <w:ind w:left="3499" w:right="3498"/>
              <w:jc w:val="center"/>
              <w:rPr>
                <w:b/>
                <w:sz w:val="22"/>
              </w:rPr>
            </w:pPr>
            <w:r>
              <w:rPr>
                <w:b/>
                <w:sz w:val="22"/>
              </w:rPr>
              <w:t>Nitratos N-NO</w:t>
            </w:r>
            <w:r>
              <w:rPr>
                <w:b/>
                <w:position w:val="-2"/>
                <w:sz w:val="14"/>
              </w:rPr>
              <w:t>3  </w:t>
            </w:r>
            <w:r>
              <w:rPr>
                <w:b/>
                <w:sz w:val="22"/>
              </w:rPr>
              <w:t>(mg/L)</w:t>
            </w:r>
          </w:p>
        </w:tc>
      </w:tr>
      <w:tr>
        <w:trPr>
          <w:trHeight w:val="610" w:hRule="exact"/>
        </w:trPr>
        <w:tc>
          <w:tcPr>
            <w:tcW w:w="530"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64" w:right="0"/>
              <w:jc w:val="left"/>
              <w:rPr>
                <w:b/>
                <w:sz w:val="22"/>
              </w:rPr>
            </w:pPr>
            <w:r>
              <w:rPr>
                <w:b/>
                <w:sz w:val="22"/>
              </w:rPr>
              <w:t>Días</w:t>
            </w:r>
          </w:p>
        </w:tc>
        <w:tc>
          <w:tcPr>
            <w:tcW w:w="1200"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331" w:right="87"/>
              <w:jc w:val="left"/>
              <w:rPr>
                <w:b/>
                <w:sz w:val="22"/>
              </w:rPr>
            </w:pPr>
            <w:r>
              <w:rPr>
                <w:b/>
                <w:sz w:val="22"/>
              </w:rPr>
              <w:t>Fecha</w:t>
            </w:r>
          </w:p>
        </w:tc>
        <w:tc>
          <w:tcPr>
            <w:tcW w:w="7358" w:type="dxa"/>
            <w:gridSpan w:val="6"/>
            <w:shd w:val="clear" w:color="auto" w:fill="E6B9B8"/>
          </w:tcPr>
          <w:p>
            <w:pPr>
              <w:pStyle w:val="TableParagraph"/>
              <w:spacing w:before="162"/>
              <w:ind w:left="2732" w:right="2733"/>
              <w:jc w:val="center"/>
              <w:rPr>
                <w:b/>
                <w:sz w:val="22"/>
              </w:rPr>
            </w:pPr>
            <w:r>
              <w:rPr>
                <w:b/>
                <w:sz w:val="22"/>
              </w:rPr>
              <w:t>Puntos de muestreo</w:t>
            </w:r>
          </w:p>
        </w:tc>
      </w:tr>
      <w:tr>
        <w:trPr>
          <w:trHeight w:val="610" w:hRule="exact"/>
        </w:trPr>
        <w:tc>
          <w:tcPr>
            <w:tcW w:w="530" w:type="dxa"/>
            <w:vMerge/>
            <w:shd w:val="clear" w:color="auto" w:fill="E6B9B8"/>
          </w:tcPr>
          <w:p>
            <w:pPr/>
          </w:p>
        </w:tc>
        <w:tc>
          <w:tcPr>
            <w:tcW w:w="1200" w:type="dxa"/>
            <w:vMerge/>
            <w:shd w:val="clear" w:color="auto" w:fill="E6B9B8"/>
          </w:tcPr>
          <w:p>
            <w:pPr/>
          </w:p>
        </w:tc>
        <w:tc>
          <w:tcPr>
            <w:tcW w:w="1433" w:type="dxa"/>
            <w:shd w:val="clear" w:color="auto" w:fill="E6B9B8"/>
          </w:tcPr>
          <w:p>
            <w:pPr>
              <w:pStyle w:val="TableParagraph"/>
              <w:spacing w:before="165"/>
              <w:ind w:right="1"/>
              <w:jc w:val="center"/>
              <w:rPr>
                <w:b/>
                <w:sz w:val="22"/>
              </w:rPr>
            </w:pPr>
            <w:r>
              <w:rPr>
                <w:b/>
                <w:w w:val="100"/>
                <w:sz w:val="22"/>
              </w:rPr>
              <w:t>A</w:t>
            </w:r>
          </w:p>
        </w:tc>
        <w:tc>
          <w:tcPr>
            <w:tcW w:w="1320" w:type="dxa"/>
            <w:shd w:val="clear" w:color="auto" w:fill="E6B9B8"/>
          </w:tcPr>
          <w:p>
            <w:pPr>
              <w:pStyle w:val="TableParagraph"/>
              <w:spacing w:before="165"/>
              <w:ind w:right="1"/>
              <w:jc w:val="center"/>
              <w:rPr>
                <w:b/>
                <w:sz w:val="22"/>
              </w:rPr>
            </w:pPr>
            <w:r>
              <w:rPr>
                <w:b/>
                <w:w w:val="100"/>
                <w:sz w:val="22"/>
              </w:rPr>
              <w:t>B</w:t>
            </w:r>
          </w:p>
        </w:tc>
        <w:tc>
          <w:tcPr>
            <w:tcW w:w="643" w:type="dxa"/>
            <w:shd w:val="clear" w:color="auto" w:fill="E6B9B8"/>
          </w:tcPr>
          <w:p>
            <w:pPr>
              <w:pStyle w:val="TableParagraph"/>
              <w:spacing w:before="8"/>
              <w:ind w:right="0"/>
              <w:jc w:val="left"/>
              <w:rPr>
                <w:rFonts w:ascii="Times New Roman"/>
                <w:sz w:val="28"/>
              </w:rPr>
            </w:pPr>
          </w:p>
          <w:p>
            <w:pPr>
              <w:pStyle w:val="TableParagraph"/>
              <w:spacing w:before="0"/>
              <w:ind w:right="1"/>
              <w:jc w:val="center"/>
              <w:rPr>
                <w:b/>
                <w:sz w:val="22"/>
              </w:rPr>
            </w:pPr>
            <w:r>
              <w:rPr>
                <w:b/>
                <w:w w:val="100"/>
                <w:sz w:val="22"/>
              </w:rPr>
              <w:t>C</w:t>
            </w:r>
          </w:p>
        </w:tc>
        <w:tc>
          <w:tcPr>
            <w:tcW w:w="1320" w:type="dxa"/>
            <w:shd w:val="clear" w:color="auto" w:fill="E6B9B8"/>
          </w:tcPr>
          <w:p>
            <w:pPr>
              <w:pStyle w:val="TableParagraph"/>
              <w:spacing w:before="165"/>
              <w:ind w:right="0"/>
              <w:jc w:val="center"/>
              <w:rPr>
                <w:b/>
                <w:sz w:val="22"/>
              </w:rPr>
            </w:pPr>
            <w:r>
              <w:rPr>
                <w:b/>
                <w:w w:val="100"/>
                <w:sz w:val="22"/>
              </w:rPr>
              <w:t>D</w:t>
            </w:r>
          </w:p>
        </w:tc>
        <w:tc>
          <w:tcPr>
            <w:tcW w:w="1320" w:type="dxa"/>
            <w:shd w:val="clear" w:color="auto" w:fill="E6B9B8"/>
          </w:tcPr>
          <w:p>
            <w:pPr>
              <w:pStyle w:val="TableParagraph"/>
              <w:spacing w:before="165"/>
              <w:ind w:right="0"/>
              <w:jc w:val="center"/>
              <w:rPr>
                <w:b/>
                <w:sz w:val="22"/>
              </w:rPr>
            </w:pPr>
            <w:r>
              <w:rPr>
                <w:b/>
                <w:w w:val="100"/>
                <w:sz w:val="22"/>
              </w:rPr>
              <w:t>E</w:t>
            </w:r>
          </w:p>
        </w:tc>
        <w:tc>
          <w:tcPr>
            <w:tcW w:w="1322" w:type="dxa"/>
            <w:shd w:val="clear" w:color="auto" w:fill="E6B9B8"/>
          </w:tcPr>
          <w:p>
            <w:pPr>
              <w:pStyle w:val="TableParagraph"/>
              <w:spacing w:before="165"/>
              <w:ind w:right="1"/>
              <w:jc w:val="center"/>
              <w:rPr>
                <w:b/>
                <w:sz w:val="22"/>
              </w:rPr>
            </w:pPr>
            <w:r>
              <w:rPr>
                <w:b/>
                <w:w w:val="100"/>
                <w:sz w:val="22"/>
              </w:rPr>
              <w:t>G</w:t>
            </w:r>
          </w:p>
        </w:tc>
      </w:tr>
      <w:tr>
        <w:trPr>
          <w:trHeight w:val="312" w:hRule="exact"/>
        </w:trPr>
        <w:tc>
          <w:tcPr>
            <w:tcW w:w="530" w:type="dxa"/>
          </w:tcPr>
          <w:p>
            <w:pPr>
              <w:pStyle w:val="TableParagraph"/>
              <w:spacing w:before="30"/>
              <w:rPr>
                <w:sz w:val="22"/>
              </w:rPr>
            </w:pPr>
            <w:r>
              <w:rPr>
                <w:sz w:val="22"/>
              </w:rPr>
              <w:t>38</w:t>
            </w:r>
          </w:p>
        </w:tc>
        <w:tc>
          <w:tcPr>
            <w:tcW w:w="1200" w:type="dxa"/>
          </w:tcPr>
          <w:p>
            <w:pPr>
              <w:pStyle w:val="TableParagraph"/>
              <w:spacing w:before="30"/>
              <w:ind w:left="45" w:right="42"/>
              <w:jc w:val="center"/>
              <w:rPr>
                <w:sz w:val="22"/>
              </w:rPr>
            </w:pPr>
            <w:r>
              <w:rPr>
                <w:sz w:val="22"/>
              </w:rPr>
              <w:t>27/07/2009</w:t>
            </w:r>
          </w:p>
        </w:tc>
        <w:tc>
          <w:tcPr>
            <w:tcW w:w="1433" w:type="dxa"/>
          </w:tcPr>
          <w:p>
            <w:pPr>
              <w:pStyle w:val="TableParagraph"/>
              <w:spacing w:before="30"/>
              <w:ind w:right="63"/>
              <w:rPr>
                <w:sz w:val="22"/>
              </w:rPr>
            </w:pPr>
            <w:r>
              <w:rPr>
                <w:sz w:val="22"/>
              </w:rPr>
              <w:t>36.10</w:t>
            </w:r>
          </w:p>
        </w:tc>
        <w:tc>
          <w:tcPr>
            <w:tcW w:w="1320" w:type="dxa"/>
          </w:tcPr>
          <w:p>
            <w:pPr>
              <w:pStyle w:val="TableParagraph"/>
              <w:spacing w:before="30"/>
              <w:rPr>
                <w:sz w:val="22"/>
              </w:rPr>
            </w:pPr>
            <w:r>
              <w:rPr>
                <w:sz w:val="22"/>
              </w:rPr>
              <w:t>37.60</w:t>
            </w:r>
          </w:p>
        </w:tc>
        <w:tc>
          <w:tcPr>
            <w:tcW w:w="643" w:type="dxa"/>
          </w:tcPr>
          <w:p>
            <w:pPr>
              <w:pStyle w:val="TableParagraph"/>
              <w:spacing w:before="30"/>
              <w:ind w:left="45" w:right="46"/>
              <w:jc w:val="center"/>
              <w:rPr>
                <w:sz w:val="22"/>
              </w:rPr>
            </w:pPr>
            <w:r>
              <w:rPr>
                <w:sz w:val="22"/>
              </w:rPr>
              <w:t>36.40</w:t>
            </w:r>
          </w:p>
        </w:tc>
        <w:tc>
          <w:tcPr>
            <w:tcW w:w="1320" w:type="dxa"/>
          </w:tcPr>
          <w:p>
            <w:pPr>
              <w:pStyle w:val="TableParagraph"/>
              <w:spacing w:before="30"/>
              <w:rPr>
                <w:sz w:val="22"/>
              </w:rPr>
            </w:pPr>
            <w:r>
              <w:rPr>
                <w:sz w:val="22"/>
              </w:rPr>
              <w:t>34.60</w:t>
            </w:r>
          </w:p>
        </w:tc>
        <w:tc>
          <w:tcPr>
            <w:tcW w:w="1320" w:type="dxa"/>
          </w:tcPr>
          <w:p>
            <w:pPr>
              <w:pStyle w:val="TableParagraph"/>
              <w:spacing w:before="30"/>
              <w:rPr>
                <w:sz w:val="22"/>
              </w:rPr>
            </w:pPr>
            <w:r>
              <w:rPr>
                <w:sz w:val="22"/>
              </w:rPr>
              <w:t>34.80</w:t>
            </w:r>
          </w:p>
        </w:tc>
        <w:tc>
          <w:tcPr>
            <w:tcW w:w="1322" w:type="dxa"/>
          </w:tcPr>
          <w:p>
            <w:pPr>
              <w:pStyle w:val="TableParagraph"/>
              <w:spacing w:before="30"/>
              <w:ind w:right="63"/>
              <w:rPr>
                <w:sz w:val="22"/>
              </w:rPr>
            </w:pPr>
            <w:r>
              <w:rPr>
                <w:sz w:val="22"/>
              </w:rPr>
              <w:t>36.10</w:t>
            </w:r>
          </w:p>
        </w:tc>
      </w:tr>
      <w:tr>
        <w:trPr>
          <w:trHeight w:val="310" w:hRule="exact"/>
        </w:trPr>
        <w:tc>
          <w:tcPr>
            <w:tcW w:w="530" w:type="dxa"/>
          </w:tcPr>
          <w:p>
            <w:pPr>
              <w:pStyle w:val="TableParagraph"/>
              <w:rPr>
                <w:sz w:val="22"/>
              </w:rPr>
            </w:pPr>
            <w:r>
              <w:rPr>
                <w:sz w:val="22"/>
              </w:rPr>
              <w:t>41</w:t>
            </w:r>
          </w:p>
        </w:tc>
        <w:tc>
          <w:tcPr>
            <w:tcW w:w="1200" w:type="dxa"/>
          </w:tcPr>
          <w:p>
            <w:pPr>
              <w:pStyle w:val="TableParagraph"/>
              <w:ind w:left="45" w:right="42"/>
              <w:jc w:val="center"/>
              <w:rPr>
                <w:sz w:val="22"/>
              </w:rPr>
            </w:pPr>
            <w:r>
              <w:rPr>
                <w:sz w:val="22"/>
              </w:rPr>
              <w:t>30/07/2009</w:t>
            </w:r>
          </w:p>
        </w:tc>
        <w:tc>
          <w:tcPr>
            <w:tcW w:w="1433" w:type="dxa"/>
          </w:tcPr>
          <w:p>
            <w:pPr>
              <w:pStyle w:val="TableParagraph"/>
              <w:ind w:right="63"/>
              <w:rPr>
                <w:sz w:val="22"/>
              </w:rPr>
            </w:pPr>
            <w:r>
              <w:rPr>
                <w:sz w:val="22"/>
              </w:rPr>
              <w:t>43.90</w:t>
            </w:r>
          </w:p>
        </w:tc>
        <w:tc>
          <w:tcPr>
            <w:tcW w:w="1320" w:type="dxa"/>
          </w:tcPr>
          <w:p>
            <w:pPr>
              <w:pStyle w:val="TableParagraph"/>
              <w:rPr>
                <w:sz w:val="22"/>
              </w:rPr>
            </w:pPr>
            <w:r>
              <w:rPr>
                <w:sz w:val="22"/>
              </w:rPr>
              <w:t>46.30</w:t>
            </w:r>
          </w:p>
        </w:tc>
        <w:tc>
          <w:tcPr>
            <w:tcW w:w="643" w:type="dxa"/>
          </w:tcPr>
          <w:p>
            <w:pPr>
              <w:pStyle w:val="TableParagraph"/>
              <w:ind w:left="45" w:right="46"/>
              <w:jc w:val="center"/>
              <w:rPr>
                <w:sz w:val="22"/>
              </w:rPr>
            </w:pPr>
            <w:r>
              <w:rPr>
                <w:sz w:val="22"/>
              </w:rPr>
              <w:t>49.40</w:t>
            </w:r>
          </w:p>
        </w:tc>
        <w:tc>
          <w:tcPr>
            <w:tcW w:w="1320" w:type="dxa"/>
          </w:tcPr>
          <w:p>
            <w:pPr>
              <w:pStyle w:val="TableParagraph"/>
              <w:rPr>
                <w:sz w:val="22"/>
              </w:rPr>
            </w:pPr>
            <w:r>
              <w:rPr>
                <w:sz w:val="22"/>
              </w:rPr>
              <w:t>47.50</w:t>
            </w:r>
          </w:p>
        </w:tc>
        <w:tc>
          <w:tcPr>
            <w:tcW w:w="1320" w:type="dxa"/>
          </w:tcPr>
          <w:p>
            <w:pPr>
              <w:pStyle w:val="TableParagraph"/>
              <w:rPr>
                <w:sz w:val="22"/>
              </w:rPr>
            </w:pPr>
            <w:r>
              <w:rPr>
                <w:sz w:val="22"/>
              </w:rPr>
              <w:t>44.80</w:t>
            </w:r>
          </w:p>
        </w:tc>
        <w:tc>
          <w:tcPr>
            <w:tcW w:w="1322" w:type="dxa"/>
          </w:tcPr>
          <w:p>
            <w:pPr>
              <w:pStyle w:val="TableParagraph"/>
              <w:ind w:right="63"/>
              <w:rPr>
                <w:sz w:val="22"/>
              </w:rPr>
            </w:pPr>
            <w:r>
              <w:rPr>
                <w:sz w:val="22"/>
              </w:rPr>
              <w:t>33.20</w:t>
            </w:r>
          </w:p>
        </w:tc>
      </w:tr>
      <w:tr>
        <w:trPr>
          <w:trHeight w:val="310" w:hRule="exact"/>
        </w:trPr>
        <w:tc>
          <w:tcPr>
            <w:tcW w:w="530" w:type="dxa"/>
          </w:tcPr>
          <w:p>
            <w:pPr>
              <w:pStyle w:val="TableParagraph"/>
              <w:rPr>
                <w:sz w:val="22"/>
              </w:rPr>
            </w:pPr>
            <w:r>
              <w:rPr>
                <w:sz w:val="22"/>
              </w:rPr>
              <w:t>45</w:t>
            </w:r>
          </w:p>
        </w:tc>
        <w:tc>
          <w:tcPr>
            <w:tcW w:w="1200" w:type="dxa"/>
          </w:tcPr>
          <w:p>
            <w:pPr>
              <w:pStyle w:val="TableParagraph"/>
              <w:ind w:left="45" w:right="42"/>
              <w:jc w:val="center"/>
              <w:rPr>
                <w:sz w:val="22"/>
              </w:rPr>
            </w:pPr>
            <w:r>
              <w:rPr>
                <w:sz w:val="22"/>
              </w:rPr>
              <w:t>03/08/2009</w:t>
            </w:r>
          </w:p>
        </w:tc>
        <w:tc>
          <w:tcPr>
            <w:tcW w:w="1433" w:type="dxa"/>
          </w:tcPr>
          <w:p>
            <w:pPr>
              <w:pStyle w:val="TableParagraph"/>
              <w:ind w:right="63"/>
              <w:rPr>
                <w:sz w:val="22"/>
              </w:rPr>
            </w:pPr>
            <w:r>
              <w:rPr>
                <w:sz w:val="22"/>
              </w:rPr>
              <w:t>34.30</w:t>
            </w:r>
          </w:p>
        </w:tc>
        <w:tc>
          <w:tcPr>
            <w:tcW w:w="1320" w:type="dxa"/>
          </w:tcPr>
          <w:p>
            <w:pPr>
              <w:pStyle w:val="TableParagraph"/>
              <w:rPr>
                <w:sz w:val="22"/>
              </w:rPr>
            </w:pPr>
            <w:r>
              <w:rPr>
                <w:sz w:val="22"/>
              </w:rPr>
              <w:t>34.20</w:t>
            </w:r>
          </w:p>
        </w:tc>
        <w:tc>
          <w:tcPr>
            <w:tcW w:w="643" w:type="dxa"/>
          </w:tcPr>
          <w:p>
            <w:pPr>
              <w:pStyle w:val="TableParagraph"/>
              <w:ind w:left="45" w:right="46"/>
              <w:jc w:val="center"/>
              <w:rPr>
                <w:sz w:val="22"/>
              </w:rPr>
            </w:pPr>
            <w:r>
              <w:rPr>
                <w:sz w:val="22"/>
              </w:rPr>
              <w:t>35.00</w:t>
            </w:r>
          </w:p>
        </w:tc>
        <w:tc>
          <w:tcPr>
            <w:tcW w:w="1320" w:type="dxa"/>
          </w:tcPr>
          <w:p>
            <w:pPr>
              <w:pStyle w:val="TableParagraph"/>
              <w:rPr>
                <w:sz w:val="22"/>
              </w:rPr>
            </w:pPr>
            <w:r>
              <w:rPr>
                <w:sz w:val="22"/>
              </w:rPr>
              <w:t>33.20</w:t>
            </w:r>
          </w:p>
        </w:tc>
        <w:tc>
          <w:tcPr>
            <w:tcW w:w="1320" w:type="dxa"/>
          </w:tcPr>
          <w:p>
            <w:pPr>
              <w:pStyle w:val="TableParagraph"/>
              <w:rPr>
                <w:sz w:val="22"/>
              </w:rPr>
            </w:pPr>
            <w:r>
              <w:rPr>
                <w:sz w:val="22"/>
              </w:rPr>
              <w:t>34.90</w:t>
            </w:r>
          </w:p>
        </w:tc>
        <w:tc>
          <w:tcPr>
            <w:tcW w:w="1322" w:type="dxa"/>
          </w:tcPr>
          <w:p>
            <w:pPr>
              <w:pStyle w:val="TableParagraph"/>
              <w:ind w:right="63"/>
              <w:rPr>
                <w:sz w:val="22"/>
              </w:rPr>
            </w:pPr>
            <w:r>
              <w:rPr>
                <w:sz w:val="22"/>
              </w:rPr>
              <w:t>33.90</w:t>
            </w:r>
          </w:p>
        </w:tc>
      </w:tr>
      <w:tr>
        <w:trPr>
          <w:trHeight w:val="310" w:hRule="exact"/>
        </w:trPr>
        <w:tc>
          <w:tcPr>
            <w:tcW w:w="530" w:type="dxa"/>
          </w:tcPr>
          <w:p>
            <w:pPr>
              <w:pStyle w:val="TableParagraph"/>
              <w:rPr>
                <w:sz w:val="22"/>
              </w:rPr>
            </w:pPr>
            <w:r>
              <w:rPr>
                <w:sz w:val="22"/>
              </w:rPr>
              <w:t>48</w:t>
            </w:r>
          </w:p>
        </w:tc>
        <w:tc>
          <w:tcPr>
            <w:tcW w:w="1200" w:type="dxa"/>
          </w:tcPr>
          <w:p>
            <w:pPr>
              <w:pStyle w:val="TableParagraph"/>
              <w:ind w:left="45" w:right="42"/>
              <w:jc w:val="center"/>
              <w:rPr>
                <w:sz w:val="22"/>
              </w:rPr>
            </w:pPr>
            <w:r>
              <w:rPr>
                <w:sz w:val="22"/>
              </w:rPr>
              <w:t>06/08/2009</w:t>
            </w:r>
          </w:p>
        </w:tc>
        <w:tc>
          <w:tcPr>
            <w:tcW w:w="1433" w:type="dxa"/>
          </w:tcPr>
          <w:p>
            <w:pPr>
              <w:pStyle w:val="TableParagraph"/>
              <w:ind w:right="63"/>
              <w:rPr>
                <w:sz w:val="22"/>
              </w:rPr>
            </w:pPr>
            <w:r>
              <w:rPr>
                <w:sz w:val="22"/>
              </w:rPr>
              <w:t>44.60</w:t>
            </w:r>
          </w:p>
        </w:tc>
        <w:tc>
          <w:tcPr>
            <w:tcW w:w="1320" w:type="dxa"/>
          </w:tcPr>
          <w:p>
            <w:pPr>
              <w:pStyle w:val="TableParagraph"/>
              <w:rPr>
                <w:sz w:val="22"/>
              </w:rPr>
            </w:pPr>
            <w:r>
              <w:rPr>
                <w:sz w:val="22"/>
              </w:rPr>
              <w:t>46.00</w:t>
            </w:r>
          </w:p>
        </w:tc>
        <w:tc>
          <w:tcPr>
            <w:tcW w:w="643" w:type="dxa"/>
          </w:tcPr>
          <w:p>
            <w:pPr>
              <w:pStyle w:val="TableParagraph"/>
              <w:ind w:left="45" w:right="46"/>
              <w:jc w:val="center"/>
              <w:rPr>
                <w:sz w:val="22"/>
              </w:rPr>
            </w:pPr>
            <w:r>
              <w:rPr>
                <w:sz w:val="22"/>
              </w:rPr>
              <w:t>42.60</w:t>
            </w:r>
          </w:p>
        </w:tc>
        <w:tc>
          <w:tcPr>
            <w:tcW w:w="1320" w:type="dxa"/>
          </w:tcPr>
          <w:p>
            <w:pPr>
              <w:pStyle w:val="TableParagraph"/>
              <w:rPr>
                <w:sz w:val="22"/>
              </w:rPr>
            </w:pPr>
            <w:r>
              <w:rPr>
                <w:sz w:val="22"/>
              </w:rPr>
              <w:t>43.70</w:t>
            </w:r>
          </w:p>
        </w:tc>
        <w:tc>
          <w:tcPr>
            <w:tcW w:w="1320" w:type="dxa"/>
          </w:tcPr>
          <w:p>
            <w:pPr>
              <w:pStyle w:val="TableParagraph"/>
              <w:rPr>
                <w:sz w:val="22"/>
              </w:rPr>
            </w:pPr>
            <w:r>
              <w:rPr>
                <w:sz w:val="22"/>
              </w:rPr>
              <w:t>44.30</w:t>
            </w:r>
          </w:p>
        </w:tc>
        <w:tc>
          <w:tcPr>
            <w:tcW w:w="1322" w:type="dxa"/>
          </w:tcPr>
          <w:p>
            <w:pPr>
              <w:pStyle w:val="TableParagraph"/>
              <w:ind w:right="63"/>
              <w:rPr>
                <w:sz w:val="22"/>
              </w:rPr>
            </w:pPr>
            <w:r>
              <w:rPr>
                <w:sz w:val="22"/>
              </w:rPr>
              <w:t>41.20</w:t>
            </w:r>
          </w:p>
        </w:tc>
      </w:tr>
      <w:tr>
        <w:trPr>
          <w:trHeight w:val="310" w:hRule="exact"/>
        </w:trPr>
        <w:tc>
          <w:tcPr>
            <w:tcW w:w="530" w:type="dxa"/>
          </w:tcPr>
          <w:p>
            <w:pPr>
              <w:pStyle w:val="TableParagraph"/>
              <w:rPr>
                <w:sz w:val="22"/>
              </w:rPr>
            </w:pPr>
            <w:r>
              <w:rPr>
                <w:sz w:val="22"/>
              </w:rPr>
              <w:t>53</w:t>
            </w:r>
          </w:p>
        </w:tc>
        <w:tc>
          <w:tcPr>
            <w:tcW w:w="1200" w:type="dxa"/>
          </w:tcPr>
          <w:p>
            <w:pPr>
              <w:pStyle w:val="TableParagraph"/>
              <w:ind w:left="45" w:right="42"/>
              <w:jc w:val="center"/>
              <w:rPr>
                <w:sz w:val="22"/>
              </w:rPr>
            </w:pPr>
            <w:r>
              <w:rPr>
                <w:sz w:val="22"/>
              </w:rPr>
              <w:t>11/08/2009</w:t>
            </w:r>
          </w:p>
        </w:tc>
        <w:tc>
          <w:tcPr>
            <w:tcW w:w="1433" w:type="dxa"/>
          </w:tcPr>
          <w:p>
            <w:pPr>
              <w:pStyle w:val="TableParagraph"/>
              <w:ind w:right="63"/>
              <w:rPr>
                <w:sz w:val="22"/>
              </w:rPr>
            </w:pPr>
            <w:r>
              <w:rPr>
                <w:sz w:val="22"/>
              </w:rPr>
              <w:t>71.90</w:t>
            </w:r>
          </w:p>
        </w:tc>
        <w:tc>
          <w:tcPr>
            <w:tcW w:w="1320" w:type="dxa"/>
          </w:tcPr>
          <w:p>
            <w:pPr>
              <w:pStyle w:val="TableParagraph"/>
              <w:rPr>
                <w:sz w:val="22"/>
              </w:rPr>
            </w:pPr>
            <w:r>
              <w:rPr>
                <w:sz w:val="22"/>
              </w:rPr>
              <w:t>67.70</w:t>
            </w:r>
          </w:p>
        </w:tc>
        <w:tc>
          <w:tcPr>
            <w:tcW w:w="643" w:type="dxa"/>
          </w:tcPr>
          <w:p>
            <w:pPr>
              <w:pStyle w:val="TableParagraph"/>
              <w:ind w:left="45" w:right="46"/>
              <w:jc w:val="center"/>
              <w:rPr>
                <w:sz w:val="22"/>
              </w:rPr>
            </w:pPr>
            <w:r>
              <w:rPr>
                <w:sz w:val="22"/>
              </w:rPr>
              <w:t>72.60</w:t>
            </w:r>
          </w:p>
        </w:tc>
        <w:tc>
          <w:tcPr>
            <w:tcW w:w="1320" w:type="dxa"/>
          </w:tcPr>
          <w:p>
            <w:pPr>
              <w:pStyle w:val="TableParagraph"/>
              <w:rPr>
                <w:sz w:val="22"/>
              </w:rPr>
            </w:pPr>
            <w:r>
              <w:rPr>
                <w:sz w:val="22"/>
              </w:rPr>
              <w:t>68.90</w:t>
            </w:r>
          </w:p>
        </w:tc>
        <w:tc>
          <w:tcPr>
            <w:tcW w:w="1320" w:type="dxa"/>
          </w:tcPr>
          <w:p>
            <w:pPr>
              <w:pStyle w:val="TableParagraph"/>
              <w:rPr>
                <w:sz w:val="22"/>
              </w:rPr>
            </w:pPr>
            <w:r>
              <w:rPr>
                <w:sz w:val="22"/>
              </w:rPr>
              <w:t>71.50</w:t>
            </w:r>
          </w:p>
        </w:tc>
        <w:tc>
          <w:tcPr>
            <w:tcW w:w="1322" w:type="dxa"/>
          </w:tcPr>
          <w:p>
            <w:pPr>
              <w:pStyle w:val="TableParagraph"/>
              <w:ind w:right="63"/>
              <w:rPr>
                <w:sz w:val="22"/>
              </w:rPr>
            </w:pPr>
            <w:r>
              <w:rPr>
                <w:sz w:val="22"/>
              </w:rPr>
              <w:t>62.90</w:t>
            </w:r>
          </w:p>
        </w:tc>
      </w:tr>
      <w:tr>
        <w:trPr>
          <w:trHeight w:val="310" w:hRule="exact"/>
        </w:trPr>
        <w:tc>
          <w:tcPr>
            <w:tcW w:w="530" w:type="dxa"/>
          </w:tcPr>
          <w:p>
            <w:pPr>
              <w:pStyle w:val="TableParagraph"/>
              <w:spacing w:before="30"/>
              <w:rPr>
                <w:sz w:val="22"/>
              </w:rPr>
            </w:pPr>
            <w:r>
              <w:rPr>
                <w:sz w:val="22"/>
              </w:rPr>
              <w:t>83</w:t>
            </w:r>
          </w:p>
        </w:tc>
        <w:tc>
          <w:tcPr>
            <w:tcW w:w="1200" w:type="dxa"/>
          </w:tcPr>
          <w:p>
            <w:pPr>
              <w:pStyle w:val="TableParagraph"/>
              <w:spacing w:before="30"/>
              <w:ind w:left="45" w:right="42"/>
              <w:jc w:val="center"/>
              <w:rPr>
                <w:sz w:val="22"/>
              </w:rPr>
            </w:pPr>
            <w:r>
              <w:rPr>
                <w:sz w:val="22"/>
              </w:rPr>
              <w:t>10/09/2009</w:t>
            </w:r>
          </w:p>
        </w:tc>
        <w:tc>
          <w:tcPr>
            <w:tcW w:w="1433" w:type="dxa"/>
          </w:tcPr>
          <w:p>
            <w:pPr>
              <w:pStyle w:val="TableParagraph"/>
              <w:spacing w:before="30"/>
              <w:ind w:right="63"/>
              <w:rPr>
                <w:sz w:val="22"/>
              </w:rPr>
            </w:pPr>
            <w:r>
              <w:rPr>
                <w:sz w:val="22"/>
              </w:rPr>
              <w:t>32.60</w:t>
            </w:r>
          </w:p>
        </w:tc>
        <w:tc>
          <w:tcPr>
            <w:tcW w:w="1320" w:type="dxa"/>
          </w:tcPr>
          <w:p>
            <w:pPr>
              <w:pStyle w:val="TableParagraph"/>
              <w:spacing w:before="30"/>
              <w:rPr>
                <w:sz w:val="22"/>
              </w:rPr>
            </w:pPr>
            <w:r>
              <w:rPr>
                <w:sz w:val="22"/>
              </w:rPr>
              <w:t>33.80</w:t>
            </w:r>
          </w:p>
        </w:tc>
        <w:tc>
          <w:tcPr>
            <w:tcW w:w="643" w:type="dxa"/>
          </w:tcPr>
          <w:p>
            <w:pPr>
              <w:pStyle w:val="TableParagraph"/>
              <w:spacing w:before="30"/>
              <w:ind w:left="45" w:right="46"/>
              <w:jc w:val="center"/>
              <w:rPr>
                <w:sz w:val="22"/>
              </w:rPr>
            </w:pPr>
            <w:r>
              <w:rPr>
                <w:sz w:val="22"/>
              </w:rPr>
              <w:t>37.20</w:t>
            </w:r>
          </w:p>
        </w:tc>
        <w:tc>
          <w:tcPr>
            <w:tcW w:w="1320" w:type="dxa"/>
          </w:tcPr>
          <w:p>
            <w:pPr>
              <w:pStyle w:val="TableParagraph"/>
              <w:spacing w:before="30"/>
              <w:rPr>
                <w:sz w:val="22"/>
              </w:rPr>
            </w:pPr>
            <w:r>
              <w:rPr>
                <w:sz w:val="22"/>
              </w:rPr>
              <w:t>34.70</w:t>
            </w:r>
          </w:p>
        </w:tc>
        <w:tc>
          <w:tcPr>
            <w:tcW w:w="1320" w:type="dxa"/>
          </w:tcPr>
          <w:p>
            <w:pPr>
              <w:pStyle w:val="TableParagraph"/>
              <w:spacing w:before="30"/>
              <w:rPr>
                <w:sz w:val="22"/>
              </w:rPr>
            </w:pPr>
            <w:r>
              <w:rPr>
                <w:sz w:val="22"/>
              </w:rPr>
              <w:t>33.40</w:t>
            </w:r>
          </w:p>
        </w:tc>
        <w:tc>
          <w:tcPr>
            <w:tcW w:w="1322" w:type="dxa"/>
          </w:tcPr>
          <w:p>
            <w:pPr>
              <w:pStyle w:val="TableParagraph"/>
              <w:spacing w:before="30"/>
              <w:ind w:right="63"/>
              <w:rPr>
                <w:sz w:val="22"/>
              </w:rPr>
            </w:pPr>
            <w:r>
              <w:rPr>
                <w:sz w:val="22"/>
              </w:rPr>
              <w:t>25.30</w:t>
            </w:r>
          </w:p>
        </w:tc>
      </w:tr>
      <w:tr>
        <w:trPr>
          <w:trHeight w:val="312" w:hRule="exact"/>
        </w:trPr>
        <w:tc>
          <w:tcPr>
            <w:tcW w:w="530" w:type="dxa"/>
          </w:tcPr>
          <w:p>
            <w:pPr>
              <w:pStyle w:val="TableParagraph"/>
              <w:spacing w:before="30"/>
              <w:rPr>
                <w:sz w:val="22"/>
              </w:rPr>
            </w:pPr>
            <w:r>
              <w:rPr>
                <w:sz w:val="22"/>
              </w:rPr>
              <w:t>86</w:t>
            </w:r>
          </w:p>
        </w:tc>
        <w:tc>
          <w:tcPr>
            <w:tcW w:w="1200" w:type="dxa"/>
          </w:tcPr>
          <w:p>
            <w:pPr>
              <w:pStyle w:val="TableParagraph"/>
              <w:spacing w:before="30"/>
              <w:ind w:left="45" w:right="42"/>
              <w:jc w:val="center"/>
              <w:rPr>
                <w:sz w:val="22"/>
              </w:rPr>
            </w:pPr>
            <w:r>
              <w:rPr>
                <w:sz w:val="22"/>
              </w:rPr>
              <w:t>13/09/2009</w:t>
            </w:r>
          </w:p>
        </w:tc>
        <w:tc>
          <w:tcPr>
            <w:tcW w:w="1433" w:type="dxa"/>
          </w:tcPr>
          <w:p>
            <w:pPr>
              <w:pStyle w:val="TableParagraph"/>
              <w:spacing w:before="30"/>
              <w:ind w:right="63"/>
              <w:rPr>
                <w:sz w:val="22"/>
              </w:rPr>
            </w:pPr>
            <w:r>
              <w:rPr>
                <w:sz w:val="22"/>
              </w:rPr>
              <w:t>37.50</w:t>
            </w:r>
          </w:p>
        </w:tc>
        <w:tc>
          <w:tcPr>
            <w:tcW w:w="1320" w:type="dxa"/>
          </w:tcPr>
          <w:p>
            <w:pPr>
              <w:pStyle w:val="TableParagraph"/>
              <w:spacing w:before="30"/>
              <w:rPr>
                <w:sz w:val="22"/>
              </w:rPr>
            </w:pPr>
            <w:r>
              <w:rPr>
                <w:sz w:val="22"/>
              </w:rPr>
              <w:t>38.90</w:t>
            </w:r>
          </w:p>
        </w:tc>
        <w:tc>
          <w:tcPr>
            <w:tcW w:w="643" w:type="dxa"/>
          </w:tcPr>
          <w:p>
            <w:pPr>
              <w:pStyle w:val="TableParagraph"/>
              <w:spacing w:before="30"/>
              <w:ind w:left="45" w:right="46"/>
              <w:jc w:val="center"/>
              <w:rPr>
                <w:sz w:val="22"/>
              </w:rPr>
            </w:pPr>
            <w:r>
              <w:rPr>
                <w:sz w:val="22"/>
              </w:rPr>
              <w:t>42.70</w:t>
            </w:r>
          </w:p>
        </w:tc>
        <w:tc>
          <w:tcPr>
            <w:tcW w:w="1320" w:type="dxa"/>
          </w:tcPr>
          <w:p>
            <w:pPr>
              <w:pStyle w:val="TableParagraph"/>
              <w:spacing w:before="30"/>
              <w:rPr>
                <w:sz w:val="22"/>
              </w:rPr>
            </w:pPr>
            <w:r>
              <w:rPr>
                <w:sz w:val="22"/>
              </w:rPr>
              <w:t>39.90</w:t>
            </w:r>
          </w:p>
        </w:tc>
        <w:tc>
          <w:tcPr>
            <w:tcW w:w="1320" w:type="dxa"/>
          </w:tcPr>
          <w:p>
            <w:pPr>
              <w:pStyle w:val="TableParagraph"/>
              <w:spacing w:before="30"/>
              <w:rPr>
                <w:sz w:val="22"/>
              </w:rPr>
            </w:pPr>
            <w:r>
              <w:rPr>
                <w:sz w:val="22"/>
              </w:rPr>
              <w:t>38.40</w:t>
            </w:r>
          </w:p>
        </w:tc>
        <w:tc>
          <w:tcPr>
            <w:tcW w:w="1322" w:type="dxa"/>
          </w:tcPr>
          <w:p>
            <w:pPr>
              <w:pStyle w:val="TableParagraph"/>
              <w:spacing w:before="30"/>
              <w:ind w:right="63"/>
              <w:rPr>
                <w:sz w:val="22"/>
              </w:rPr>
            </w:pPr>
            <w:r>
              <w:rPr>
                <w:sz w:val="22"/>
              </w:rPr>
              <w:t>29.10</w:t>
            </w:r>
          </w:p>
        </w:tc>
      </w:tr>
      <w:tr>
        <w:trPr>
          <w:trHeight w:val="310" w:hRule="exact"/>
        </w:trPr>
        <w:tc>
          <w:tcPr>
            <w:tcW w:w="530" w:type="dxa"/>
          </w:tcPr>
          <w:p>
            <w:pPr>
              <w:pStyle w:val="TableParagraph"/>
              <w:rPr>
                <w:sz w:val="22"/>
              </w:rPr>
            </w:pPr>
            <w:r>
              <w:rPr>
                <w:sz w:val="22"/>
              </w:rPr>
              <w:t>88</w:t>
            </w:r>
          </w:p>
        </w:tc>
        <w:tc>
          <w:tcPr>
            <w:tcW w:w="1200" w:type="dxa"/>
          </w:tcPr>
          <w:p>
            <w:pPr>
              <w:pStyle w:val="TableParagraph"/>
              <w:ind w:left="45" w:right="42"/>
              <w:jc w:val="center"/>
              <w:rPr>
                <w:sz w:val="22"/>
              </w:rPr>
            </w:pPr>
            <w:r>
              <w:rPr>
                <w:sz w:val="22"/>
              </w:rPr>
              <w:t>15/09/2009</w:t>
            </w:r>
          </w:p>
        </w:tc>
        <w:tc>
          <w:tcPr>
            <w:tcW w:w="1433" w:type="dxa"/>
          </w:tcPr>
          <w:p>
            <w:pPr>
              <w:pStyle w:val="TableParagraph"/>
              <w:ind w:right="63"/>
              <w:rPr>
                <w:sz w:val="22"/>
              </w:rPr>
            </w:pPr>
            <w:r>
              <w:rPr>
                <w:sz w:val="22"/>
              </w:rPr>
              <w:t>50.50</w:t>
            </w:r>
          </w:p>
        </w:tc>
        <w:tc>
          <w:tcPr>
            <w:tcW w:w="1320" w:type="dxa"/>
          </w:tcPr>
          <w:p>
            <w:pPr>
              <w:pStyle w:val="TableParagraph"/>
              <w:rPr>
                <w:sz w:val="22"/>
              </w:rPr>
            </w:pPr>
            <w:r>
              <w:rPr>
                <w:sz w:val="22"/>
              </w:rPr>
              <w:t>48.80</w:t>
            </w:r>
          </w:p>
        </w:tc>
        <w:tc>
          <w:tcPr>
            <w:tcW w:w="643" w:type="dxa"/>
          </w:tcPr>
          <w:p>
            <w:pPr>
              <w:pStyle w:val="TableParagraph"/>
              <w:ind w:left="45" w:right="46"/>
              <w:jc w:val="center"/>
              <w:rPr>
                <w:sz w:val="22"/>
              </w:rPr>
            </w:pPr>
            <w:r>
              <w:rPr>
                <w:sz w:val="22"/>
              </w:rPr>
              <w:t>51.80</w:t>
            </w:r>
          </w:p>
        </w:tc>
        <w:tc>
          <w:tcPr>
            <w:tcW w:w="1320" w:type="dxa"/>
          </w:tcPr>
          <w:p>
            <w:pPr>
              <w:pStyle w:val="TableParagraph"/>
              <w:rPr>
                <w:sz w:val="22"/>
              </w:rPr>
            </w:pPr>
            <w:r>
              <w:rPr>
                <w:sz w:val="22"/>
              </w:rPr>
              <w:t>52.90</w:t>
            </w:r>
          </w:p>
        </w:tc>
        <w:tc>
          <w:tcPr>
            <w:tcW w:w="1320" w:type="dxa"/>
          </w:tcPr>
          <w:p>
            <w:pPr>
              <w:pStyle w:val="TableParagraph"/>
              <w:rPr>
                <w:sz w:val="22"/>
              </w:rPr>
            </w:pPr>
            <w:r>
              <w:rPr>
                <w:sz w:val="22"/>
              </w:rPr>
              <w:t>51.20</w:t>
            </w:r>
          </w:p>
        </w:tc>
        <w:tc>
          <w:tcPr>
            <w:tcW w:w="1322" w:type="dxa"/>
          </w:tcPr>
          <w:p>
            <w:pPr>
              <w:pStyle w:val="TableParagraph"/>
              <w:ind w:right="63"/>
              <w:rPr>
                <w:sz w:val="22"/>
              </w:rPr>
            </w:pPr>
            <w:r>
              <w:rPr>
                <w:sz w:val="22"/>
              </w:rPr>
              <w:t>22.20</w:t>
            </w:r>
          </w:p>
        </w:tc>
      </w:tr>
      <w:tr>
        <w:trPr>
          <w:trHeight w:val="310" w:hRule="exact"/>
        </w:trPr>
        <w:tc>
          <w:tcPr>
            <w:tcW w:w="530" w:type="dxa"/>
          </w:tcPr>
          <w:p>
            <w:pPr>
              <w:pStyle w:val="TableParagraph"/>
              <w:rPr>
                <w:sz w:val="22"/>
              </w:rPr>
            </w:pPr>
            <w:r>
              <w:rPr>
                <w:sz w:val="22"/>
              </w:rPr>
              <w:t>91</w:t>
            </w:r>
          </w:p>
        </w:tc>
        <w:tc>
          <w:tcPr>
            <w:tcW w:w="1200" w:type="dxa"/>
          </w:tcPr>
          <w:p>
            <w:pPr>
              <w:pStyle w:val="TableParagraph"/>
              <w:ind w:left="45" w:right="42"/>
              <w:jc w:val="center"/>
              <w:rPr>
                <w:sz w:val="22"/>
              </w:rPr>
            </w:pPr>
            <w:r>
              <w:rPr>
                <w:sz w:val="22"/>
              </w:rPr>
              <w:t>18/09/2009</w:t>
            </w:r>
          </w:p>
        </w:tc>
        <w:tc>
          <w:tcPr>
            <w:tcW w:w="1433" w:type="dxa"/>
          </w:tcPr>
          <w:p>
            <w:pPr>
              <w:pStyle w:val="TableParagraph"/>
              <w:ind w:right="63"/>
              <w:rPr>
                <w:sz w:val="22"/>
              </w:rPr>
            </w:pPr>
            <w:r>
              <w:rPr>
                <w:sz w:val="22"/>
              </w:rPr>
              <w:t>31.50</w:t>
            </w:r>
          </w:p>
        </w:tc>
        <w:tc>
          <w:tcPr>
            <w:tcW w:w="1320" w:type="dxa"/>
          </w:tcPr>
          <w:p>
            <w:pPr>
              <w:pStyle w:val="TableParagraph"/>
              <w:rPr>
                <w:sz w:val="22"/>
              </w:rPr>
            </w:pPr>
            <w:r>
              <w:rPr>
                <w:sz w:val="22"/>
              </w:rPr>
              <w:t>33.40</w:t>
            </w:r>
          </w:p>
        </w:tc>
        <w:tc>
          <w:tcPr>
            <w:tcW w:w="643" w:type="dxa"/>
          </w:tcPr>
          <w:p>
            <w:pPr>
              <w:pStyle w:val="TableParagraph"/>
              <w:ind w:left="45" w:right="46"/>
              <w:jc w:val="center"/>
              <w:rPr>
                <w:sz w:val="22"/>
              </w:rPr>
            </w:pPr>
            <w:r>
              <w:rPr>
                <w:sz w:val="22"/>
              </w:rPr>
              <w:t>32.20</w:t>
            </w:r>
          </w:p>
        </w:tc>
        <w:tc>
          <w:tcPr>
            <w:tcW w:w="1320" w:type="dxa"/>
          </w:tcPr>
          <w:p>
            <w:pPr>
              <w:pStyle w:val="TableParagraph"/>
              <w:rPr>
                <w:sz w:val="22"/>
              </w:rPr>
            </w:pPr>
            <w:r>
              <w:rPr>
                <w:sz w:val="22"/>
              </w:rPr>
              <w:t>33.10</w:t>
            </w:r>
          </w:p>
        </w:tc>
        <w:tc>
          <w:tcPr>
            <w:tcW w:w="1320" w:type="dxa"/>
          </w:tcPr>
          <w:p>
            <w:pPr>
              <w:pStyle w:val="TableParagraph"/>
              <w:rPr>
                <w:sz w:val="22"/>
              </w:rPr>
            </w:pPr>
            <w:r>
              <w:rPr>
                <w:sz w:val="22"/>
              </w:rPr>
              <w:t>32.20</w:t>
            </w:r>
          </w:p>
        </w:tc>
        <w:tc>
          <w:tcPr>
            <w:tcW w:w="1322" w:type="dxa"/>
          </w:tcPr>
          <w:p>
            <w:pPr>
              <w:pStyle w:val="TableParagraph"/>
              <w:ind w:right="63"/>
              <w:rPr>
                <w:sz w:val="22"/>
              </w:rPr>
            </w:pPr>
            <w:r>
              <w:rPr>
                <w:sz w:val="22"/>
              </w:rPr>
              <w:t>15.60</w:t>
            </w:r>
          </w:p>
        </w:tc>
      </w:tr>
      <w:tr>
        <w:trPr>
          <w:trHeight w:val="310" w:hRule="exact"/>
        </w:trPr>
        <w:tc>
          <w:tcPr>
            <w:tcW w:w="530" w:type="dxa"/>
          </w:tcPr>
          <w:p>
            <w:pPr>
              <w:pStyle w:val="TableParagraph"/>
              <w:rPr>
                <w:sz w:val="22"/>
              </w:rPr>
            </w:pPr>
            <w:r>
              <w:rPr>
                <w:sz w:val="22"/>
              </w:rPr>
              <w:t>94</w:t>
            </w:r>
          </w:p>
        </w:tc>
        <w:tc>
          <w:tcPr>
            <w:tcW w:w="1200" w:type="dxa"/>
          </w:tcPr>
          <w:p>
            <w:pPr>
              <w:pStyle w:val="TableParagraph"/>
              <w:ind w:left="45" w:right="42"/>
              <w:jc w:val="center"/>
              <w:rPr>
                <w:sz w:val="22"/>
              </w:rPr>
            </w:pPr>
            <w:r>
              <w:rPr>
                <w:sz w:val="22"/>
              </w:rPr>
              <w:t>21/09/2009</w:t>
            </w:r>
          </w:p>
        </w:tc>
        <w:tc>
          <w:tcPr>
            <w:tcW w:w="1433" w:type="dxa"/>
          </w:tcPr>
          <w:p>
            <w:pPr>
              <w:pStyle w:val="TableParagraph"/>
              <w:ind w:right="63"/>
              <w:rPr>
                <w:sz w:val="22"/>
              </w:rPr>
            </w:pPr>
            <w:r>
              <w:rPr>
                <w:sz w:val="22"/>
              </w:rPr>
              <w:t>33.80</w:t>
            </w:r>
          </w:p>
        </w:tc>
        <w:tc>
          <w:tcPr>
            <w:tcW w:w="1320" w:type="dxa"/>
          </w:tcPr>
          <w:p>
            <w:pPr>
              <w:pStyle w:val="TableParagraph"/>
              <w:rPr>
                <w:sz w:val="22"/>
              </w:rPr>
            </w:pPr>
            <w:r>
              <w:rPr>
                <w:sz w:val="22"/>
              </w:rPr>
              <w:t>33.50</w:t>
            </w:r>
          </w:p>
        </w:tc>
        <w:tc>
          <w:tcPr>
            <w:tcW w:w="643" w:type="dxa"/>
          </w:tcPr>
          <w:p>
            <w:pPr>
              <w:pStyle w:val="TableParagraph"/>
              <w:ind w:left="45" w:right="46"/>
              <w:jc w:val="center"/>
              <w:rPr>
                <w:sz w:val="22"/>
              </w:rPr>
            </w:pPr>
            <w:r>
              <w:rPr>
                <w:sz w:val="22"/>
              </w:rPr>
              <w:t>36.20</w:t>
            </w:r>
          </w:p>
        </w:tc>
        <w:tc>
          <w:tcPr>
            <w:tcW w:w="1320" w:type="dxa"/>
          </w:tcPr>
          <w:p>
            <w:pPr>
              <w:pStyle w:val="TableParagraph"/>
              <w:rPr>
                <w:sz w:val="22"/>
              </w:rPr>
            </w:pPr>
            <w:r>
              <w:rPr>
                <w:sz w:val="22"/>
              </w:rPr>
              <w:t>32.50</w:t>
            </w:r>
          </w:p>
        </w:tc>
        <w:tc>
          <w:tcPr>
            <w:tcW w:w="1320" w:type="dxa"/>
          </w:tcPr>
          <w:p>
            <w:pPr>
              <w:pStyle w:val="TableParagraph"/>
              <w:rPr>
                <w:sz w:val="22"/>
              </w:rPr>
            </w:pPr>
            <w:r>
              <w:rPr>
                <w:sz w:val="22"/>
              </w:rPr>
              <w:t>30.80</w:t>
            </w:r>
          </w:p>
        </w:tc>
        <w:tc>
          <w:tcPr>
            <w:tcW w:w="1322" w:type="dxa"/>
          </w:tcPr>
          <w:p>
            <w:pPr>
              <w:pStyle w:val="TableParagraph"/>
              <w:ind w:right="63"/>
              <w:rPr>
                <w:sz w:val="22"/>
              </w:rPr>
            </w:pPr>
            <w:r>
              <w:rPr>
                <w:sz w:val="22"/>
              </w:rPr>
              <w:t>13.10</w:t>
            </w:r>
          </w:p>
        </w:tc>
      </w:tr>
      <w:tr>
        <w:trPr>
          <w:trHeight w:val="310" w:hRule="exact"/>
        </w:trPr>
        <w:tc>
          <w:tcPr>
            <w:tcW w:w="530" w:type="dxa"/>
          </w:tcPr>
          <w:p>
            <w:pPr>
              <w:pStyle w:val="TableParagraph"/>
              <w:rPr>
                <w:sz w:val="22"/>
              </w:rPr>
            </w:pPr>
            <w:r>
              <w:rPr>
                <w:sz w:val="22"/>
              </w:rPr>
              <w:t>97</w:t>
            </w:r>
          </w:p>
        </w:tc>
        <w:tc>
          <w:tcPr>
            <w:tcW w:w="1200" w:type="dxa"/>
          </w:tcPr>
          <w:p>
            <w:pPr>
              <w:pStyle w:val="TableParagraph"/>
              <w:ind w:left="45" w:right="42"/>
              <w:jc w:val="center"/>
              <w:rPr>
                <w:sz w:val="22"/>
              </w:rPr>
            </w:pPr>
            <w:r>
              <w:rPr>
                <w:sz w:val="22"/>
              </w:rPr>
              <w:t>24/09/2009</w:t>
            </w:r>
          </w:p>
        </w:tc>
        <w:tc>
          <w:tcPr>
            <w:tcW w:w="1433" w:type="dxa"/>
          </w:tcPr>
          <w:p>
            <w:pPr>
              <w:pStyle w:val="TableParagraph"/>
              <w:ind w:right="63"/>
              <w:rPr>
                <w:sz w:val="22"/>
              </w:rPr>
            </w:pPr>
            <w:r>
              <w:rPr>
                <w:sz w:val="22"/>
              </w:rPr>
              <w:t>44.30</w:t>
            </w:r>
          </w:p>
        </w:tc>
        <w:tc>
          <w:tcPr>
            <w:tcW w:w="1320" w:type="dxa"/>
          </w:tcPr>
          <w:p>
            <w:pPr>
              <w:pStyle w:val="TableParagraph"/>
              <w:rPr>
                <w:sz w:val="22"/>
              </w:rPr>
            </w:pPr>
            <w:r>
              <w:rPr>
                <w:sz w:val="22"/>
              </w:rPr>
              <w:t>42.80</w:t>
            </w:r>
          </w:p>
        </w:tc>
        <w:tc>
          <w:tcPr>
            <w:tcW w:w="643" w:type="dxa"/>
          </w:tcPr>
          <w:p>
            <w:pPr>
              <w:pStyle w:val="TableParagraph"/>
              <w:ind w:left="45" w:right="46"/>
              <w:jc w:val="center"/>
              <w:rPr>
                <w:sz w:val="22"/>
              </w:rPr>
            </w:pPr>
            <w:r>
              <w:rPr>
                <w:sz w:val="22"/>
              </w:rPr>
              <w:t>53.70</w:t>
            </w:r>
          </w:p>
        </w:tc>
        <w:tc>
          <w:tcPr>
            <w:tcW w:w="1320" w:type="dxa"/>
          </w:tcPr>
          <w:p>
            <w:pPr>
              <w:pStyle w:val="TableParagraph"/>
              <w:rPr>
                <w:sz w:val="22"/>
              </w:rPr>
            </w:pPr>
            <w:r>
              <w:rPr>
                <w:sz w:val="22"/>
              </w:rPr>
              <w:t>49.30</w:t>
            </w:r>
          </w:p>
        </w:tc>
        <w:tc>
          <w:tcPr>
            <w:tcW w:w="1320" w:type="dxa"/>
          </w:tcPr>
          <w:p>
            <w:pPr>
              <w:pStyle w:val="TableParagraph"/>
              <w:rPr>
                <w:sz w:val="22"/>
              </w:rPr>
            </w:pPr>
            <w:r>
              <w:rPr>
                <w:sz w:val="22"/>
              </w:rPr>
              <w:t>42.90</w:t>
            </w:r>
          </w:p>
        </w:tc>
        <w:tc>
          <w:tcPr>
            <w:tcW w:w="1322" w:type="dxa"/>
          </w:tcPr>
          <w:p>
            <w:pPr>
              <w:pStyle w:val="TableParagraph"/>
              <w:ind w:right="63"/>
              <w:rPr>
                <w:sz w:val="22"/>
              </w:rPr>
            </w:pPr>
            <w:r>
              <w:rPr>
                <w:sz w:val="22"/>
              </w:rPr>
              <w:t>42.00</w:t>
            </w:r>
          </w:p>
        </w:tc>
      </w:tr>
      <w:tr>
        <w:trPr>
          <w:trHeight w:val="310" w:hRule="exact"/>
        </w:trPr>
        <w:tc>
          <w:tcPr>
            <w:tcW w:w="530" w:type="dxa"/>
          </w:tcPr>
          <w:p>
            <w:pPr>
              <w:pStyle w:val="TableParagraph"/>
              <w:spacing w:before="30"/>
              <w:rPr>
                <w:sz w:val="22"/>
              </w:rPr>
            </w:pPr>
            <w:r>
              <w:rPr>
                <w:sz w:val="22"/>
              </w:rPr>
              <w:t>101</w:t>
            </w:r>
          </w:p>
        </w:tc>
        <w:tc>
          <w:tcPr>
            <w:tcW w:w="1200" w:type="dxa"/>
          </w:tcPr>
          <w:p>
            <w:pPr>
              <w:pStyle w:val="TableParagraph"/>
              <w:spacing w:before="30"/>
              <w:ind w:left="45" w:right="42"/>
              <w:jc w:val="center"/>
              <w:rPr>
                <w:sz w:val="22"/>
              </w:rPr>
            </w:pPr>
            <w:r>
              <w:rPr>
                <w:sz w:val="22"/>
              </w:rPr>
              <w:t>28/09/2009</w:t>
            </w:r>
          </w:p>
        </w:tc>
        <w:tc>
          <w:tcPr>
            <w:tcW w:w="1433" w:type="dxa"/>
          </w:tcPr>
          <w:p>
            <w:pPr>
              <w:pStyle w:val="TableParagraph"/>
              <w:spacing w:before="30"/>
              <w:ind w:right="63"/>
              <w:rPr>
                <w:sz w:val="22"/>
              </w:rPr>
            </w:pPr>
            <w:r>
              <w:rPr>
                <w:sz w:val="22"/>
              </w:rPr>
              <w:t>56.80</w:t>
            </w:r>
          </w:p>
        </w:tc>
        <w:tc>
          <w:tcPr>
            <w:tcW w:w="1320" w:type="dxa"/>
          </w:tcPr>
          <w:p>
            <w:pPr>
              <w:pStyle w:val="TableParagraph"/>
              <w:spacing w:before="30"/>
              <w:rPr>
                <w:sz w:val="22"/>
              </w:rPr>
            </w:pPr>
            <w:r>
              <w:rPr>
                <w:sz w:val="22"/>
              </w:rPr>
              <w:t>56.60</w:t>
            </w:r>
          </w:p>
        </w:tc>
        <w:tc>
          <w:tcPr>
            <w:tcW w:w="643" w:type="dxa"/>
          </w:tcPr>
          <w:p>
            <w:pPr>
              <w:pStyle w:val="TableParagraph"/>
              <w:spacing w:before="30"/>
              <w:ind w:left="45" w:right="46"/>
              <w:jc w:val="center"/>
              <w:rPr>
                <w:sz w:val="22"/>
              </w:rPr>
            </w:pPr>
            <w:r>
              <w:rPr>
                <w:sz w:val="22"/>
              </w:rPr>
              <w:t>57.20</w:t>
            </w:r>
          </w:p>
        </w:tc>
        <w:tc>
          <w:tcPr>
            <w:tcW w:w="1320" w:type="dxa"/>
          </w:tcPr>
          <w:p>
            <w:pPr>
              <w:pStyle w:val="TableParagraph"/>
              <w:spacing w:before="30"/>
              <w:rPr>
                <w:sz w:val="22"/>
              </w:rPr>
            </w:pPr>
            <w:r>
              <w:rPr>
                <w:sz w:val="22"/>
              </w:rPr>
              <w:t>50.90</w:t>
            </w:r>
          </w:p>
        </w:tc>
        <w:tc>
          <w:tcPr>
            <w:tcW w:w="1320" w:type="dxa"/>
          </w:tcPr>
          <w:p>
            <w:pPr>
              <w:pStyle w:val="TableParagraph"/>
              <w:spacing w:before="30"/>
              <w:rPr>
                <w:sz w:val="22"/>
              </w:rPr>
            </w:pPr>
            <w:r>
              <w:rPr>
                <w:sz w:val="22"/>
              </w:rPr>
              <w:t>50.20</w:t>
            </w:r>
          </w:p>
        </w:tc>
        <w:tc>
          <w:tcPr>
            <w:tcW w:w="1322" w:type="dxa"/>
          </w:tcPr>
          <w:p>
            <w:pPr>
              <w:pStyle w:val="TableParagraph"/>
              <w:spacing w:before="30"/>
              <w:ind w:right="63"/>
              <w:rPr>
                <w:sz w:val="22"/>
              </w:rPr>
            </w:pPr>
            <w:r>
              <w:rPr>
                <w:sz w:val="22"/>
              </w:rPr>
              <w:t>44.80</w:t>
            </w:r>
          </w:p>
        </w:tc>
      </w:tr>
      <w:tr>
        <w:trPr>
          <w:trHeight w:val="312" w:hRule="exact"/>
        </w:trPr>
        <w:tc>
          <w:tcPr>
            <w:tcW w:w="530" w:type="dxa"/>
          </w:tcPr>
          <w:p>
            <w:pPr>
              <w:pStyle w:val="TableParagraph"/>
              <w:spacing w:before="30"/>
              <w:rPr>
                <w:sz w:val="22"/>
              </w:rPr>
            </w:pPr>
            <w:r>
              <w:rPr>
                <w:sz w:val="22"/>
              </w:rPr>
              <w:t>104</w:t>
            </w:r>
          </w:p>
        </w:tc>
        <w:tc>
          <w:tcPr>
            <w:tcW w:w="1200" w:type="dxa"/>
          </w:tcPr>
          <w:p>
            <w:pPr>
              <w:pStyle w:val="TableParagraph"/>
              <w:spacing w:before="30"/>
              <w:ind w:left="45" w:right="42"/>
              <w:jc w:val="center"/>
              <w:rPr>
                <w:sz w:val="22"/>
              </w:rPr>
            </w:pPr>
            <w:r>
              <w:rPr>
                <w:sz w:val="22"/>
              </w:rPr>
              <w:t>01/10/2009</w:t>
            </w:r>
          </w:p>
        </w:tc>
        <w:tc>
          <w:tcPr>
            <w:tcW w:w="1433" w:type="dxa"/>
          </w:tcPr>
          <w:p>
            <w:pPr>
              <w:pStyle w:val="TableParagraph"/>
              <w:spacing w:before="30"/>
              <w:ind w:right="63"/>
              <w:rPr>
                <w:sz w:val="22"/>
              </w:rPr>
            </w:pPr>
            <w:r>
              <w:rPr>
                <w:sz w:val="22"/>
              </w:rPr>
              <w:t>47.60</w:t>
            </w:r>
          </w:p>
        </w:tc>
        <w:tc>
          <w:tcPr>
            <w:tcW w:w="1320" w:type="dxa"/>
          </w:tcPr>
          <w:p>
            <w:pPr>
              <w:pStyle w:val="TableParagraph"/>
              <w:spacing w:before="30"/>
              <w:rPr>
                <w:sz w:val="22"/>
              </w:rPr>
            </w:pPr>
            <w:r>
              <w:rPr>
                <w:sz w:val="22"/>
              </w:rPr>
              <w:t>42.60</w:t>
            </w:r>
          </w:p>
        </w:tc>
        <w:tc>
          <w:tcPr>
            <w:tcW w:w="643" w:type="dxa"/>
          </w:tcPr>
          <w:p>
            <w:pPr>
              <w:pStyle w:val="TableParagraph"/>
              <w:spacing w:before="30"/>
              <w:ind w:left="45" w:right="46"/>
              <w:jc w:val="center"/>
              <w:rPr>
                <w:sz w:val="22"/>
              </w:rPr>
            </w:pPr>
            <w:r>
              <w:rPr>
                <w:sz w:val="22"/>
              </w:rPr>
              <w:t>38.90</w:t>
            </w:r>
          </w:p>
        </w:tc>
        <w:tc>
          <w:tcPr>
            <w:tcW w:w="1320" w:type="dxa"/>
          </w:tcPr>
          <w:p>
            <w:pPr>
              <w:pStyle w:val="TableParagraph"/>
              <w:spacing w:before="30"/>
              <w:rPr>
                <w:sz w:val="22"/>
              </w:rPr>
            </w:pPr>
            <w:r>
              <w:rPr>
                <w:sz w:val="22"/>
              </w:rPr>
              <w:t>40.10</w:t>
            </w:r>
          </w:p>
        </w:tc>
        <w:tc>
          <w:tcPr>
            <w:tcW w:w="1320" w:type="dxa"/>
          </w:tcPr>
          <w:p>
            <w:pPr>
              <w:pStyle w:val="TableParagraph"/>
              <w:spacing w:before="30"/>
              <w:rPr>
                <w:sz w:val="22"/>
              </w:rPr>
            </w:pPr>
            <w:r>
              <w:rPr>
                <w:sz w:val="22"/>
              </w:rPr>
              <w:t>42.90</w:t>
            </w:r>
          </w:p>
        </w:tc>
        <w:tc>
          <w:tcPr>
            <w:tcW w:w="1322" w:type="dxa"/>
          </w:tcPr>
          <w:p>
            <w:pPr>
              <w:pStyle w:val="TableParagraph"/>
              <w:spacing w:before="30"/>
              <w:ind w:right="63"/>
              <w:rPr>
                <w:sz w:val="22"/>
              </w:rPr>
            </w:pPr>
            <w:r>
              <w:rPr>
                <w:sz w:val="22"/>
              </w:rPr>
              <w:t>7.50</w:t>
            </w:r>
          </w:p>
        </w:tc>
      </w:tr>
      <w:tr>
        <w:trPr>
          <w:trHeight w:val="310" w:hRule="exact"/>
        </w:trPr>
        <w:tc>
          <w:tcPr>
            <w:tcW w:w="530" w:type="dxa"/>
          </w:tcPr>
          <w:p>
            <w:pPr>
              <w:pStyle w:val="TableParagraph"/>
              <w:rPr>
                <w:sz w:val="22"/>
              </w:rPr>
            </w:pPr>
            <w:r>
              <w:rPr>
                <w:sz w:val="22"/>
              </w:rPr>
              <w:t>109</w:t>
            </w:r>
          </w:p>
        </w:tc>
        <w:tc>
          <w:tcPr>
            <w:tcW w:w="1200" w:type="dxa"/>
          </w:tcPr>
          <w:p>
            <w:pPr>
              <w:pStyle w:val="TableParagraph"/>
              <w:ind w:left="45" w:right="42"/>
              <w:jc w:val="center"/>
              <w:rPr>
                <w:sz w:val="22"/>
              </w:rPr>
            </w:pPr>
            <w:r>
              <w:rPr>
                <w:sz w:val="22"/>
              </w:rPr>
              <w:t>06/10/2009</w:t>
            </w:r>
          </w:p>
        </w:tc>
        <w:tc>
          <w:tcPr>
            <w:tcW w:w="1433" w:type="dxa"/>
          </w:tcPr>
          <w:p>
            <w:pPr>
              <w:pStyle w:val="TableParagraph"/>
              <w:ind w:right="63"/>
              <w:rPr>
                <w:sz w:val="22"/>
              </w:rPr>
            </w:pPr>
            <w:r>
              <w:rPr>
                <w:sz w:val="22"/>
              </w:rPr>
              <w:t>53.00</w:t>
            </w:r>
          </w:p>
        </w:tc>
        <w:tc>
          <w:tcPr>
            <w:tcW w:w="1320" w:type="dxa"/>
          </w:tcPr>
          <w:p>
            <w:pPr>
              <w:pStyle w:val="TableParagraph"/>
              <w:rPr>
                <w:sz w:val="22"/>
              </w:rPr>
            </w:pPr>
            <w:r>
              <w:rPr>
                <w:sz w:val="22"/>
              </w:rPr>
              <w:t>52.00</w:t>
            </w:r>
          </w:p>
        </w:tc>
        <w:tc>
          <w:tcPr>
            <w:tcW w:w="643" w:type="dxa"/>
          </w:tcPr>
          <w:p>
            <w:pPr>
              <w:pStyle w:val="TableParagraph"/>
              <w:ind w:left="45" w:right="46"/>
              <w:jc w:val="center"/>
              <w:rPr>
                <w:sz w:val="22"/>
              </w:rPr>
            </w:pPr>
            <w:r>
              <w:rPr>
                <w:sz w:val="22"/>
              </w:rPr>
              <w:t>54.80</w:t>
            </w:r>
          </w:p>
        </w:tc>
        <w:tc>
          <w:tcPr>
            <w:tcW w:w="1320" w:type="dxa"/>
          </w:tcPr>
          <w:p>
            <w:pPr>
              <w:pStyle w:val="TableParagraph"/>
              <w:rPr>
                <w:sz w:val="22"/>
              </w:rPr>
            </w:pPr>
            <w:r>
              <w:rPr>
                <w:sz w:val="22"/>
              </w:rPr>
              <w:t>52.00</w:t>
            </w:r>
          </w:p>
        </w:tc>
        <w:tc>
          <w:tcPr>
            <w:tcW w:w="1320" w:type="dxa"/>
          </w:tcPr>
          <w:p>
            <w:pPr>
              <w:pStyle w:val="TableParagraph"/>
              <w:rPr>
                <w:sz w:val="22"/>
              </w:rPr>
            </w:pPr>
            <w:r>
              <w:rPr>
                <w:sz w:val="22"/>
              </w:rPr>
              <w:t>47.70</w:t>
            </w:r>
          </w:p>
        </w:tc>
        <w:tc>
          <w:tcPr>
            <w:tcW w:w="1322" w:type="dxa"/>
          </w:tcPr>
          <w:p>
            <w:pPr>
              <w:pStyle w:val="TableParagraph"/>
              <w:ind w:right="63"/>
              <w:rPr>
                <w:sz w:val="22"/>
              </w:rPr>
            </w:pPr>
            <w:r>
              <w:rPr>
                <w:sz w:val="22"/>
              </w:rPr>
              <w:t>57.60</w:t>
            </w:r>
          </w:p>
        </w:tc>
      </w:tr>
      <w:tr>
        <w:trPr>
          <w:trHeight w:val="310" w:hRule="exact"/>
        </w:trPr>
        <w:tc>
          <w:tcPr>
            <w:tcW w:w="530" w:type="dxa"/>
          </w:tcPr>
          <w:p>
            <w:pPr>
              <w:pStyle w:val="TableParagraph"/>
              <w:rPr>
                <w:sz w:val="22"/>
              </w:rPr>
            </w:pPr>
            <w:r>
              <w:rPr>
                <w:sz w:val="22"/>
              </w:rPr>
              <w:t>112</w:t>
            </w:r>
          </w:p>
        </w:tc>
        <w:tc>
          <w:tcPr>
            <w:tcW w:w="1200" w:type="dxa"/>
          </w:tcPr>
          <w:p>
            <w:pPr>
              <w:pStyle w:val="TableParagraph"/>
              <w:ind w:left="45" w:right="42"/>
              <w:jc w:val="center"/>
              <w:rPr>
                <w:sz w:val="22"/>
              </w:rPr>
            </w:pPr>
            <w:r>
              <w:rPr>
                <w:sz w:val="22"/>
              </w:rPr>
              <w:t>09/10/2009</w:t>
            </w:r>
          </w:p>
        </w:tc>
        <w:tc>
          <w:tcPr>
            <w:tcW w:w="1433" w:type="dxa"/>
          </w:tcPr>
          <w:p>
            <w:pPr>
              <w:pStyle w:val="TableParagraph"/>
              <w:ind w:right="63"/>
              <w:rPr>
                <w:sz w:val="22"/>
              </w:rPr>
            </w:pPr>
            <w:r>
              <w:rPr>
                <w:sz w:val="22"/>
              </w:rPr>
              <w:t>63.10</w:t>
            </w:r>
          </w:p>
        </w:tc>
        <w:tc>
          <w:tcPr>
            <w:tcW w:w="1320" w:type="dxa"/>
          </w:tcPr>
          <w:p>
            <w:pPr>
              <w:pStyle w:val="TableParagraph"/>
              <w:rPr>
                <w:sz w:val="22"/>
              </w:rPr>
            </w:pPr>
            <w:r>
              <w:rPr>
                <w:sz w:val="22"/>
              </w:rPr>
              <w:t>61.80</w:t>
            </w:r>
          </w:p>
        </w:tc>
        <w:tc>
          <w:tcPr>
            <w:tcW w:w="643" w:type="dxa"/>
          </w:tcPr>
          <w:p>
            <w:pPr>
              <w:pStyle w:val="TableParagraph"/>
              <w:ind w:left="45" w:right="46"/>
              <w:jc w:val="center"/>
              <w:rPr>
                <w:sz w:val="22"/>
              </w:rPr>
            </w:pPr>
            <w:r>
              <w:rPr>
                <w:sz w:val="22"/>
              </w:rPr>
              <w:t>60.10</w:t>
            </w:r>
          </w:p>
        </w:tc>
        <w:tc>
          <w:tcPr>
            <w:tcW w:w="1320" w:type="dxa"/>
          </w:tcPr>
          <w:p>
            <w:pPr>
              <w:pStyle w:val="TableParagraph"/>
              <w:rPr>
                <w:sz w:val="22"/>
              </w:rPr>
            </w:pPr>
            <w:r>
              <w:rPr>
                <w:sz w:val="22"/>
              </w:rPr>
              <w:t>59.90</w:t>
            </w:r>
          </w:p>
        </w:tc>
        <w:tc>
          <w:tcPr>
            <w:tcW w:w="1320" w:type="dxa"/>
          </w:tcPr>
          <w:p>
            <w:pPr>
              <w:pStyle w:val="TableParagraph"/>
              <w:rPr>
                <w:sz w:val="22"/>
              </w:rPr>
            </w:pPr>
            <w:r>
              <w:rPr>
                <w:sz w:val="22"/>
              </w:rPr>
              <w:t>54.30</w:t>
            </w:r>
          </w:p>
        </w:tc>
        <w:tc>
          <w:tcPr>
            <w:tcW w:w="1322" w:type="dxa"/>
          </w:tcPr>
          <w:p>
            <w:pPr>
              <w:pStyle w:val="TableParagraph"/>
              <w:ind w:right="63"/>
              <w:rPr>
                <w:sz w:val="22"/>
              </w:rPr>
            </w:pPr>
            <w:r>
              <w:rPr>
                <w:sz w:val="22"/>
              </w:rPr>
              <w:t>24.60</w:t>
            </w:r>
          </w:p>
        </w:tc>
      </w:tr>
      <w:tr>
        <w:trPr>
          <w:trHeight w:val="310" w:hRule="exact"/>
        </w:trPr>
        <w:tc>
          <w:tcPr>
            <w:tcW w:w="530" w:type="dxa"/>
          </w:tcPr>
          <w:p>
            <w:pPr>
              <w:pStyle w:val="TableParagraph"/>
              <w:rPr>
                <w:sz w:val="22"/>
              </w:rPr>
            </w:pPr>
            <w:r>
              <w:rPr>
                <w:sz w:val="22"/>
              </w:rPr>
              <w:t>116</w:t>
            </w:r>
          </w:p>
        </w:tc>
        <w:tc>
          <w:tcPr>
            <w:tcW w:w="1200" w:type="dxa"/>
          </w:tcPr>
          <w:p>
            <w:pPr>
              <w:pStyle w:val="TableParagraph"/>
              <w:ind w:left="45" w:right="42"/>
              <w:jc w:val="center"/>
              <w:rPr>
                <w:sz w:val="22"/>
              </w:rPr>
            </w:pPr>
            <w:r>
              <w:rPr>
                <w:sz w:val="22"/>
              </w:rPr>
              <w:t>13/10/2009</w:t>
            </w:r>
          </w:p>
        </w:tc>
        <w:tc>
          <w:tcPr>
            <w:tcW w:w="1433" w:type="dxa"/>
          </w:tcPr>
          <w:p>
            <w:pPr>
              <w:pStyle w:val="TableParagraph"/>
              <w:ind w:right="63"/>
              <w:rPr>
                <w:sz w:val="22"/>
              </w:rPr>
            </w:pPr>
            <w:r>
              <w:rPr>
                <w:sz w:val="22"/>
              </w:rPr>
              <w:t>64.30</w:t>
            </w:r>
          </w:p>
        </w:tc>
        <w:tc>
          <w:tcPr>
            <w:tcW w:w="1320" w:type="dxa"/>
          </w:tcPr>
          <w:p>
            <w:pPr>
              <w:pStyle w:val="TableParagraph"/>
              <w:rPr>
                <w:sz w:val="22"/>
              </w:rPr>
            </w:pPr>
            <w:r>
              <w:rPr>
                <w:sz w:val="22"/>
              </w:rPr>
              <w:t>63.50</w:t>
            </w:r>
          </w:p>
        </w:tc>
        <w:tc>
          <w:tcPr>
            <w:tcW w:w="643" w:type="dxa"/>
          </w:tcPr>
          <w:p>
            <w:pPr>
              <w:pStyle w:val="TableParagraph"/>
              <w:ind w:left="45" w:right="46"/>
              <w:jc w:val="center"/>
              <w:rPr>
                <w:sz w:val="22"/>
              </w:rPr>
            </w:pPr>
            <w:r>
              <w:rPr>
                <w:sz w:val="22"/>
              </w:rPr>
              <w:t>59.80</w:t>
            </w:r>
          </w:p>
        </w:tc>
        <w:tc>
          <w:tcPr>
            <w:tcW w:w="1320" w:type="dxa"/>
          </w:tcPr>
          <w:p>
            <w:pPr>
              <w:pStyle w:val="TableParagraph"/>
              <w:rPr>
                <w:sz w:val="22"/>
              </w:rPr>
            </w:pPr>
            <w:r>
              <w:rPr>
                <w:sz w:val="22"/>
              </w:rPr>
              <w:t>63.80</w:t>
            </w:r>
          </w:p>
        </w:tc>
        <w:tc>
          <w:tcPr>
            <w:tcW w:w="1320" w:type="dxa"/>
          </w:tcPr>
          <w:p>
            <w:pPr>
              <w:pStyle w:val="TableParagraph"/>
              <w:rPr>
                <w:sz w:val="22"/>
              </w:rPr>
            </w:pPr>
            <w:r>
              <w:rPr>
                <w:sz w:val="22"/>
              </w:rPr>
              <w:t>57.40</w:t>
            </w:r>
          </w:p>
        </w:tc>
        <w:tc>
          <w:tcPr>
            <w:tcW w:w="1322" w:type="dxa"/>
          </w:tcPr>
          <w:p>
            <w:pPr>
              <w:pStyle w:val="TableParagraph"/>
              <w:ind w:right="63"/>
              <w:rPr>
                <w:sz w:val="22"/>
              </w:rPr>
            </w:pPr>
            <w:r>
              <w:rPr>
                <w:sz w:val="22"/>
              </w:rPr>
              <w:t>53.10</w:t>
            </w:r>
          </w:p>
        </w:tc>
      </w:tr>
      <w:tr>
        <w:trPr>
          <w:trHeight w:val="310" w:hRule="exact"/>
        </w:trPr>
        <w:tc>
          <w:tcPr>
            <w:tcW w:w="530" w:type="dxa"/>
          </w:tcPr>
          <w:p>
            <w:pPr>
              <w:pStyle w:val="TableParagraph"/>
              <w:rPr>
                <w:sz w:val="22"/>
              </w:rPr>
            </w:pPr>
            <w:r>
              <w:rPr>
                <w:sz w:val="22"/>
              </w:rPr>
              <w:t>119</w:t>
            </w:r>
          </w:p>
        </w:tc>
        <w:tc>
          <w:tcPr>
            <w:tcW w:w="1200" w:type="dxa"/>
          </w:tcPr>
          <w:p>
            <w:pPr>
              <w:pStyle w:val="TableParagraph"/>
              <w:ind w:left="45" w:right="42"/>
              <w:jc w:val="center"/>
              <w:rPr>
                <w:sz w:val="22"/>
              </w:rPr>
            </w:pPr>
            <w:r>
              <w:rPr>
                <w:sz w:val="22"/>
              </w:rPr>
              <w:t>16/10/2009</w:t>
            </w:r>
          </w:p>
        </w:tc>
        <w:tc>
          <w:tcPr>
            <w:tcW w:w="1433" w:type="dxa"/>
          </w:tcPr>
          <w:p>
            <w:pPr>
              <w:pStyle w:val="TableParagraph"/>
              <w:ind w:right="63"/>
              <w:rPr>
                <w:sz w:val="22"/>
              </w:rPr>
            </w:pPr>
            <w:r>
              <w:rPr>
                <w:sz w:val="22"/>
              </w:rPr>
              <w:t>63.20</w:t>
            </w:r>
          </w:p>
        </w:tc>
        <w:tc>
          <w:tcPr>
            <w:tcW w:w="1320" w:type="dxa"/>
          </w:tcPr>
          <w:p>
            <w:pPr>
              <w:pStyle w:val="TableParagraph"/>
              <w:rPr>
                <w:sz w:val="22"/>
              </w:rPr>
            </w:pPr>
            <w:r>
              <w:rPr>
                <w:sz w:val="22"/>
              </w:rPr>
              <w:t>62.30</w:t>
            </w:r>
          </w:p>
        </w:tc>
        <w:tc>
          <w:tcPr>
            <w:tcW w:w="643" w:type="dxa"/>
          </w:tcPr>
          <w:p>
            <w:pPr>
              <w:pStyle w:val="TableParagraph"/>
              <w:ind w:left="45" w:right="46"/>
              <w:jc w:val="center"/>
              <w:rPr>
                <w:sz w:val="22"/>
              </w:rPr>
            </w:pPr>
            <w:r>
              <w:rPr>
                <w:sz w:val="22"/>
              </w:rPr>
              <w:t>61.10</w:t>
            </w:r>
          </w:p>
        </w:tc>
        <w:tc>
          <w:tcPr>
            <w:tcW w:w="1320" w:type="dxa"/>
          </w:tcPr>
          <w:p>
            <w:pPr>
              <w:pStyle w:val="TableParagraph"/>
              <w:rPr>
                <w:sz w:val="22"/>
              </w:rPr>
            </w:pPr>
            <w:r>
              <w:rPr>
                <w:sz w:val="22"/>
              </w:rPr>
              <w:t>63.50</w:t>
            </w:r>
          </w:p>
        </w:tc>
        <w:tc>
          <w:tcPr>
            <w:tcW w:w="1320" w:type="dxa"/>
          </w:tcPr>
          <w:p>
            <w:pPr>
              <w:pStyle w:val="TableParagraph"/>
              <w:rPr>
                <w:sz w:val="22"/>
              </w:rPr>
            </w:pPr>
            <w:r>
              <w:rPr>
                <w:sz w:val="22"/>
              </w:rPr>
              <w:t>60.20</w:t>
            </w:r>
          </w:p>
        </w:tc>
        <w:tc>
          <w:tcPr>
            <w:tcW w:w="1322" w:type="dxa"/>
          </w:tcPr>
          <w:p>
            <w:pPr>
              <w:pStyle w:val="TableParagraph"/>
              <w:ind w:right="63"/>
              <w:rPr>
                <w:sz w:val="22"/>
              </w:rPr>
            </w:pPr>
            <w:r>
              <w:rPr>
                <w:sz w:val="22"/>
              </w:rPr>
              <w:t>41.30</w:t>
            </w:r>
          </w:p>
        </w:tc>
      </w:tr>
      <w:tr>
        <w:trPr>
          <w:trHeight w:val="310" w:hRule="exact"/>
        </w:trPr>
        <w:tc>
          <w:tcPr>
            <w:tcW w:w="530" w:type="dxa"/>
          </w:tcPr>
          <w:p>
            <w:pPr>
              <w:pStyle w:val="TableParagraph"/>
              <w:spacing w:before="30"/>
              <w:rPr>
                <w:sz w:val="22"/>
              </w:rPr>
            </w:pPr>
            <w:r>
              <w:rPr>
                <w:sz w:val="22"/>
              </w:rPr>
              <w:t>122</w:t>
            </w:r>
          </w:p>
        </w:tc>
        <w:tc>
          <w:tcPr>
            <w:tcW w:w="1200" w:type="dxa"/>
          </w:tcPr>
          <w:p>
            <w:pPr>
              <w:pStyle w:val="TableParagraph"/>
              <w:spacing w:before="30"/>
              <w:ind w:left="45" w:right="42"/>
              <w:jc w:val="center"/>
              <w:rPr>
                <w:sz w:val="22"/>
              </w:rPr>
            </w:pPr>
            <w:r>
              <w:rPr>
                <w:sz w:val="22"/>
              </w:rPr>
              <w:t>19/10/2009</w:t>
            </w:r>
          </w:p>
        </w:tc>
        <w:tc>
          <w:tcPr>
            <w:tcW w:w="1433" w:type="dxa"/>
          </w:tcPr>
          <w:p>
            <w:pPr>
              <w:pStyle w:val="TableParagraph"/>
              <w:spacing w:before="30"/>
              <w:ind w:right="63"/>
              <w:rPr>
                <w:sz w:val="22"/>
              </w:rPr>
            </w:pPr>
            <w:r>
              <w:rPr>
                <w:sz w:val="22"/>
              </w:rPr>
              <w:t>81.30</w:t>
            </w:r>
          </w:p>
        </w:tc>
        <w:tc>
          <w:tcPr>
            <w:tcW w:w="1320" w:type="dxa"/>
          </w:tcPr>
          <w:p>
            <w:pPr>
              <w:pStyle w:val="TableParagraph"/>
              <w:spacing w:before="30"/>
              <w:rPr>
                <w:sz w:val="22"/>
              </w:rPr>
            </w:pPr>
            <w:r>
              <w:rPr>
                <w:sz w:val="22"/>
              </w:rPr>
              <w:t>82.60</w:t>
            </w:r>
          </w:p>
        </w:tc>
        <w:tc>
          <w:tcPr>
            <w:tcW w:w="643" w:type="dxa"/>
          </w:tcPr>
          <w:p>
            <w:pPr>
              <w:pStyle w:val="TableParagraph"/>
              <w:spacing w:before="30"/>
              <w:ind w:left="45" w:right="46"/>
              <w:jc w:val="center"/>
              <w:rPr>
                <w:sz w:val="22"/>
              </w:rPr>
            </w:pPr>
            <w:r>
              <w:rPr>
                <w:sz w:val="22"/>
              </w:rPr>
              <w:t>81.10</w:t>
            </w:r>
          </w:p>
        </w:tc>
        <w:tc>
          <w:tcPr>
            <w:tcW w:w="1320" w:type="dxa"/>
          </w:tcPr>
          <w:p>
            <w:pPr>
              <w:pStyle w:val="TableParagraph"/>
              <w:spacing w:before="30"/>
              <w:rPr>
                <w:sz w:val="22"/>
              </w:rPr>
            </w:pPr>
            <w:r>
              <w:rPr>
                <w:sz w:val="22"/>
              </w:rPr>
              <w:t>82.50</w:t>
            </w:r>
          </w:p>
        </w:tc>
        <w:tc>
          <w:tcPr>
            <w:tcW w:w="1320" w:type="dxa"/>
          </w:tcPr>
          <w:p>
            <w:pPr>
              <w:pStyle w:val="TableParagraph"/>
              <w:spacing w:before="30"/>
              <w:rPr>
                <w:sz w:val="22"/>
              </w:rPr>
            </w:pPr>
            <w:r>
              <w:rPr>
                <w:sz w:val="22"/>
              </w:rPr>
              <w:t>81.90</w:t>
            </w:r>
          </w:p>
        </w:tc>
        <w:tc>
          <w:tcPr>
            <w:tcW w:w="1322" w:type="dxa"/>
          </w:tcPr>
          <w:p>
            <w:pPr>
              <w:pStyle w:val="TableParagraph"/>
              <w:spacing w:before="30"/>
              <w:ind w:right="63"/>
              <w:rPr>
                <w:sz w:val="22"/>
              </w:rPr>
            </w:pPr>
            <w:r>
              <w:rPr>
                <w:sz w:val="22"/>
              </w:rPr>
              <w:t>56.50</w:t>
            </w:r>
          </w:p>
        </w:tc>
      </w:tr>
      <w:tr>
        <w:trPr>
          <w:trHeight w:val="312" w:hRule="exact"/>
        </w:trPr>
        <w:tc>
          <w:tcPr>
            <w:tcW w:w="530" w:type="dxa"/>
          </w:tcPr>
          <w:p>
            <w:pPr>
              <w:pStyle w:val="TableParagraph"/>
              <w:spacing w:before="30"/>
              <w:rPr>
                <w:sz w:val="22"/>
              </w:rPr>
            </w:pPr>
            <w:r>
              <w:rPr>
                <w:sz w:val="22"/>
              </w:rPr>
              <w:t>125</w:t>
            </w:r>
          </w:p>
        </w:tc>
        <w:tc>
          <w:tcPr>
            <w:tcW w:w="1200" w:type="dxa"/>
          </w:tcPr>
          <w:p>
            <w:pPr>
              <w:pStyle w:val="TableParagraph"/>
              <w:spacing w:before="30"/>
              <w:ind w:left="45" w:right="42"/>
              <w:jc w:val="center"/>
              <w:rPr>
                <w:sz w:val="22"/>
              </w:rPr>
            </w:pPr>
            <w:r>
              <w:rPr>
                <w:sz w:val="22"/>
              </w:rPr>
              <w:t>22/10/2009</w:t>
            </w:r>
          </w:p>
        </w:tc>
        <w:tc>
          <w:tcPr>
            <w:tcW w:w="1433" w:type="dxa"/>
          </w:tcPr>
          <w:p>
            <w:pPr>
              <w:pStyle w:val="TableParagraph"/>
              <w:spacing w:before="30"/>
              <w:ind w:right="63"/>
              <w:rPr>
                <w:sz w:val="22"/>
              </w:rPr>
            </w:pPr>
            <w:r>
              <w:rPr>
                <w:sz w:val="22"/>
              </w:rPr>
              <w:t>75.20</w:t>
            </w:r>
          </w:p>
        </w:tc>
        <w:tc>
          <w:tcPr>
            <w:tcW w:w="1320" w:type="dxa"/>
          </w:tcPr>
          <w:p>
            <w:pPr>
              <w:pStyle w:val="TableParagraph"/>
              <w:spacing w:before="30"/>
              <w:rPr>
                <w:sz w:val="22"/>
              </w:rPr>
            </w:pPr>
            <w:r>
              <w:rPr>
                <w:sz w:val="22"/>
              </w:rPr>
              <w:t>75.60</w:t>
            </w:r>
          </w:p>
        </w:tc>
        <w:tc>
          <w:tcPr>
            <w:tcW w:w="643" w:type="dxa"/>
          </w:tcPr>
          <w:p>
            <w:pPr>
              <w:pStyle w:val="TableParagraph"/>
              <w:spacing w:before="30"/>
              <w:ind w:left="45" w:right="46"/>
              <w:jc w:val="center"/>
              <w:rPr>
                <w:sz w:val="22"/>
              </w:rPr>
            </w:pPr>
            <w:r>
              <w:rPr>
                <w:sz w:val="22"/>
              </w:rPr>
              <w:t>75.20</w:t>
            </w:r>
          </w:p>
        </w:tc>
        <w:tc>
          <w:tcPr>
            <w:tcW w:w="1320" w:type="dxa"/>
          </w:tcPr>
          <w:p>
            <w:pPr>
              <w:pStyle w:val="TableParagraph"/>
              <w:spacing w:before="30"/>
              <w:rPr>
                <w:sz w:val="22"/>
              </w:rPr>
            </w:pPr>
            <w:r>
              <w:rPr>
                <w:sz w:val="22"/>
              </w:rPr>
              <w:t>75.80</w:t>
            </w:r>
          </w:p>
        </w:tc>
        <w:tc>
          <w:tcPr>
            <w:tcW w:w="1320" w:type="dxa"/>
          </w:tcPr>
          <w:p>
            <w:pPr>
              <w:pStyle w:val="TableParagraph"/>
              <w:spacing w:before="30"/>
              <w:rPr>
                <w:sz w:val="22"/>
              </w:rPr>
            </w:pPr>
            <w:r>
              <w:rPr>
                <w:sz w:val="22"/>
              </w:rPr>
              <w:t>76.10</w:t>
            </w:r>
          </w:p>
        </w:tc>
        <w:tc>
          <w:tcPr>
            <w:tcW w:w="1322" w:type="dxa"/>
          </w:tcPr>
          <w:p>
            <w:pPr>
              <w:pStyle w:val="TableParagraph"/>
              <w:spacing w:before="30"/>
              <w:ind w:right="63"/>
              <w:rPr>
                <w:sz w:val="22"/>
              </w:rPr>
            </w:pPr>
            <w:r>
              <w:rPr>
                <w:sz w:val="22"/>
              </w:rPr>
              <w:t>45.10</w:t>
            </w:r>
          </w:p>
        </w:tc>
      </w:tr>
      <w:tr>
        <w:trPr>
          <w:trHeight w:val="310" w:hRule="exact"/>
        </w:trPr>
        <w:tc>
          <w:tcPr>
            <w:tcW w:w="530" w:type="dxa"/>
          </w:tcPr>
          <w:p>
            <w:pPr>
              <w:pStyle w:val="TableParagraph"/>
              <w:rPr>
                <w:sz w:val="22"/>
              </w:rPr>
            </w:pPr>
            <w:r>
              <w:rPr>
                <w:sz w:val="22"/>
              </w:rPr>
              <w:t>129</w:t>
            </w:r>
          </w:p>
        </w:tc>
        <w:tc>
          <w:tcPr>
            <w:tcW w:w="1200" w:type="dxa"/>
          </w:tcPr>
          <w:p>
            <w:pPr>
              <w:pStyle w:val="TableParagraph"/>
              <w:ind w:left="45" w:right="42"/>
              <w:jc w:val="center"/>
              <w:rPr>
                <w:sz w:val="22"/>
              </w:rPr>
            </w:pPr>
            <w:r>
              <w:rPr>
                <w:sz w:val="22"/>
              </w:rPr>
              <w:t>26/10/2009</w:t>
            </w:r>
          </w:p>
        </w:tc>
        <w:tc>
          <w:tcPr>
            <w:tcW w:w="1433" w:type="dxa"/>
          </w:tcPr>
          <w:p>
            <w:pPr>
              <w:pStyle w:val="TableParagraph"/>
              <w:ind w:right="63"/>
              <w:rPr>
                <w:sz w:val="22"/>
              </w:rPr>
            </w:pPr>
            <w:r>
              <w:rPr>
                <w:sz w:val="22"/>
              </w:rPr>
              <w:t>78.10</w:t>
            </w:r>
          </w:p>
        </w:tc>
        <w:tc>
          <w:tcPr>
            <w:tcW w:w="1320" w:type="dxa"/>
          </w:tcPr>
          <w:p>
            <w:pPr>
              <w:pStyle w:val="TableParagraph"/>
              <w:rPr>
                <w:sz w:val="22"/>
              </w:rPr>
            </w:pPr>
            <w:r>
              <w:rPr>
                <w:sz w:val="22"/>
              </w:rPr>
              <w:t>77.80</w:t>
            </w:r>
          </w:p>
        </w:tc>
        <w:tc>
          <w:tcPr>
            <w:tcW w:w="643" w:type="dxa"/>
          </w:tcPr>
          <w:p>
            <w:pPr>
              <w:pStyle w:val="TableParagraph"/>
              <w:ind w:left="45" w:right="46"/>
              <w:jc w:val="center"/>
              <w:rPr>
                <w:sz w:val="22"/>
              </w:rPr>
            </w:pPr>
            <w:r>
              <w:rPr>
                <w:sz w:val="22"/>
              </w:rPr>
              <w:t>78.20</w:t>
            </w:r>
          </w:p>
        </w:tc>
        <w:tc>
          <w:tcPr>
            <w:tcW w:w="1320" w:type="dxa"/>
          </w:tcPr>
          <w:p>
            <w:pPr>
              <w:pStyle w:val="TableParagraph"/>
              <w:rPr>
                <w:sz w:val="22"/>
              </w:rPr>
            </w:pPr>
            <w:r>
              <w:rPr>
                <w:sz w:val="22"/>
              </w:rPr>
              <w:t>78.10</w:t>
            </w:r>
          </w:p>
        </w:tc>
        <w:tc>
          <w:tcPr>
            <w:tcW w:w="1320" w:type="dxa"/>
          </w:tcPr>
          <w:p>
            <w:pPr>
              <w:pStyle w:val="TableParagraph"/>
              <w:rPr>
                <w:sz w:val="22"/>
              </w:rPr>
            </w:pPr>
            <w:r>
              <w:rPr>
                <w:sz w:val="22"/>
              </w:rPr>
              <w:t>77.90</w:t>
            </w:r>
          </w:p>
        </w:tc>
        <w:tc>
          <w:tcPr>
            <w:tcW w:w="1322" w:type="dxa"/>
          </w:tcPr>
          <w:p>
            <w:pPr>
              <w:pStyle w:val="TableParagraph"/>
              <w:ind w:right="63"/>
              <w:rPr>
                <w:sz w:val="22"/>
              </w:rPr>
            </w:pPr>
            <w:r>
              <w:rPr>
                <w:sz w:val="22"/>
              </w:rPr>
              <w:t>51.30</w:t>
            </w:r>
          </w:p>
        </w:tc>
      </w:tr>
      <w:tr>
        <w:trPr>
          <w:trHeight w:val="310" w:hRule="exact"/>
        </w:trPr>
        <w:tc>
          <w:tcPr>
            <w:tcW w:w="530" w:type="dxa"/>
          </w:tcPr>
          <w:p>
            <w:pPr>
              <w:pStyle w:val="TableParagraph"/>
              <w:rPr>
                <w:sz w:val="22"/>
              </w:rPr>
            </w:pPr>
            <w:r>
              <w:rPr>
                <w:sz w:val="22"/>
              </w:rPr>
              <w:t>133</w:t>
            </w:r>
          </w:p>
        </w:tc>
        <w:tc>
          <w:tcPr>
            <w:tcW w:w="1200" w:type="dxa"/>
          </w:tcPr>
          <w:p>
            <w:pPr>
              <w:pStyle w:val="TableParagraph"/>
              <w:ind w:left="45" w:right="42"/>
              <w:jc w:val="center"/>
              <w:rPr>
                <w:sz w:val="22"/>
              </w:rPr>
            </w:pPr>
            <w:r>
              <w:rPr>
                <w:sz w:val="22"/>
              </w:rPr>
              <w:t>30/10/2009</w:t>
            </w:r>
          </w:p>
        </w:tc>
        <w:tc>
          <w:tcPr>
            <w:tcW w:w="1433" w:type="dxa"/>
          </w:tcPr>
          <w:p>
            <w:pPr>
              <w:pStyle w:val="TableParagraph"/>
              <w:ind w:right="63"/>
              <w:rPr>
                <w:sz w:val="22"/>
              </w:rPr>
            </w:pPr>
            <w:r>
              <w:rPr>
                <w:sz w:val="22"/>
              </w:rPr>
              <w:t>79.20</w:t>
            </w:r>
          </w:p>
        </w:tc>
        <w:tc>
          <w:tcPr>
            <w:tcW w:w="1320" w:type="dxa"/>
          </w:tcPr>
          <w:p>
            <w:pPr>
              <w:pStyle w:val="TableParagraph"/>
              <w:rPr>
                <w:sz w:val="22"/>
              </w:rPr>
            </w:pPr>
            <w:r>
              <w:rPr>
                <w:sz w:val="22"/>
              </w:rPr>
              <w:t>72.60</w:t>
            </w:r>
          </w:p>
        </w:tc>
        <w:tc>
          <w:tcPr>
            <w:tcW w:w="643" w:type="dxa"/>
          </w:tcPr>
          <w:p>
            <w:pPr>
              <w:pStyle w:val="TableParagraph"/>
              <w:ind w:left="45" w:right="46"/>
              <w:jc w:val="center"/>
              <w:rPr>
                <w:sz w:val="22"/>
              </w:rPr>
            </w:pPr>
            <w:r>
              <w:rPr>
                <w:sz w:val="22"/>
              </w:rPr>
              <w:t>77.40</w:t>
            </w:r>
          </w:p>
        </w:tc>
        <w:tc>
          <w:tcPr>
            <w:tcW w:w="1320" w:type="dxa"/>
          </w:tcPr>
          <w:p>
            <w:pPr>
              <w:pStyle w:val="TableParagraph"/>
              <w:rPr>
                <w:sz w:val="22"/>
              </w:rPr>
            </w:pPr>
            <w:r>
              <w:rPr>
                <w:sz w:val="22"/>
              </w:rPr>
              <w:t>80.21</w:t>
            </w:r>
          </w:p>
        </w:tc>
        <w:tc>
          <w:tcPr>
            <w:tcW w:w="1320" w:type="dxa"/>
          </w:tcPr>
          <w:p>
            <w:pPr>
              <w:pStyle w:val="TableParagraph"/>
              <w:rPr>
                <w:sz w:val="22"/>
              </w:rPr>
            </w:pPr>
            <w:r>
              <w:rPr>
                <w:sz w:val="22"/>
              </w:rPr>
              <w:t>75.40</w:t>
            </w:r>
          </w:p>
        </w:tc>
        <w:tc>
          <w:tcPr>
            <w:tcW w:w="1322" w:type="dxa"/>
          </w:tcPr>
          <w:p>
            <w:pPr>
              <w:pStyle w:val="TableParagraph"/>
              <w:ind w:right="63"/>
              <w:rPr>
                <w:sz w:val="22"/>
              </w:rPr>
            </w:pPr>
            <w:r>
              <w:rPr>
                <w:sz w:val="22"/>
              </w:rPr>
              <w:t>48.90</w:t>
            </w:r>
          </w:p>
        </w:tc>
      </w:tr>
      <w:tr>
        <w:trPr>
          <w:trHeight w:val="310" w:hRule="exact"/>
        </w:trPr>
        <w:tc>
          <w:tcPr>
            <w:tcW w:w="530" w:type="dxa"/>
          </w:tcPr>
          <w:p>
            <w:pPr>
              <w:pStyle w:val="TableParagraph"/>
              <w:rPr>
                <w:sz w:val="22"/>
              </w:rPr>
            </w:pPr>
            <w:r>
              <w:rPr>
                <w:sz w:val="22"/>
              </w:rPr>
              <w:t>137</w:t>
            </w:r>
          </w:p>
        </w:tc>
        <w:tc>
          <w:tcPr>
            <w:tcW w:w="1200" w:type="dxa"/>
          </w:tcPr>
          <w:p>
            <w:pPr>
              <w:pStyle w:val="TableParagraph"/>
              <w:ind w:left="45" w:right="42"/>
              <w:jc w:val="center"/>
              <w:rPr>
                <w:sz w:val="22"/>
              </w:rPr>
            </w:pPr>
            <w:r>
              <w:rPr>
                <w:sz w:val="22"/>
              </w:rPr>
              <w:t>03/11/2009</w:t>
            </w:r>
          </w:p>
        </w:tc>
        <w:tc>
          <w:tcPr>
            <w:tcW w:w="1433" w:type="dxa"/>
          </w:tcPr>
          <w:p>
            <w:pPr>
              <w:pStyle w:val="TableParagraph"/>
              <w:ind w:right="63"/>
              <w:rPr>
                <w:sz w:val="22"/>
              </w:rPr>
            </w:pPr>
            <w:r>
              <w:rPr>
                <w:sz w:val="22"/>
              </w:rPr>
              <w:t>58.60</w:t>
            </w:r>
          </w:p>
        </w:tc>
        <w:tc>
          <w:tcPr>
            <w:tcW w:w="1320" w:type="dxa"/>
          </w:tcPr>
          <w:p>
            <w:pPr>
              <w:pStyle w:val="TableParagraph"/>
              <w:rPr>
                <w:sz w:val="22"/>
              </w:rPr>
            </w:pPr>
            <w:r>
              <w:rPr>
                <w:sz w:val="22"/>
              </w:rPr>
              <w:t>57.40</w:t>
            </w:r>
          </w:p>
        </w:tc>
        <w:tc>
          <w:tcPr>
            <w:tcW w:w="643" w:type="dxa"/>
          </w:tcPr>
          <w:p>
            <w:pPr>
              <w:pStyle w:val="TableParagraph"/>
              <w:ind w:left="45" w:right="46"/>
              <w:jc w:val="center"/>
              <w:rPr>
                <w:sz w:val="22"/>
              </w:rPr>
            </w:pPr>
            <w:r>
              <w:rPr>
                <w:sz w:val="22"/>
              </w:rPr>
              <w:t>51.90</w:t>
            </w:r>
          </w:p>
        </w:tc>
        <w:tc>
          <w:tcPr>
            <w:tcW w:w="1320" w:type="dxa"/>
          </w:tcPr>
          <w:p>
            <w:pPr>
              <w:pStyle w:val="TableParagraph"/>
              <w:rPr>
                <w:sz w:val="22"/>
              </w:rPr>
            </w:pPr>
            <w:r>
              <w:rPr>
                <w:sz w:val="22"/>
              </w:rPr>
              <w:t>55.60</w:t>
            </w:r>
          </w:p>
        </w:tc>
        <w:tc>
          <w:tcPr>
            <w:tcW w:w="1320" w:type="dxa"/>
          </w:tcPr>
          <w:p>
            <w:pPr>
              <w:pStyle w:val="TableParagraph"/>
              <w:rPr>
                <w:sz w:val="22"/>
              </w:rPr>
            </w:pPr>
            <w:r>
              <w:rPr>
                <w:sz w:val="22"/>
              </w:rPr>
              <w:t>57.40</w:t>
            </w:r>
          </w:p>
        </w:tc>
        <w:tc>
          <w:tcPr>
            <w:tcW w:w="1322" w:type="dxa"/>
          </w:tcPr>
          <w:p>
            <w:pPr>
              <w:pStyle w:val="TableParagraph"/>
              <w:ind w:right="63"/>
              <w:rPr>
                <w:sz w:val="22"/>
              </w:rPr>
            </w:pPr>
            <w:r>
              <w:rPr>
                <w:sz w:val="22"/>
              </w:rPr>
              <w:t>27.60</w:t>
            </w:r>
          </w:p>
        </w:tc>
      </w:tr>
      <w:tr>
        <w:trPr>
          <w:trHeight w:val="310" w:hRule="exact"/>
        </w:trPr>
        <w:tc>
          <w:tcPr>
            <w:tcW w:w="530" w:type="dxa"/>
          </w:tcPr>
          <w:p>
            <w:pPr>
              <w:pStyle w:val="TableParagraph"/>
              <w:rPr>
                <w:sz w:val="22"/>
              </w:rPr>
            </w:pPr>
            <w:r>
              <w:rPr>
                <w:sz w:val="22"/>
              </w:rPr>
              <w:t>139</w:t>
            </w:r>
          </w:p>
        </w:tc>
        <w:tc>
          <w:tcPr>
            <w:tcW w:w="1200" w:type="dxa"/>
          </w:tcPr>
          <w:p>
            <w:pPr>
              <w:pStyle w:val="TableParagraph"/>
              <w:ind w:left="45" w:right="42"/>
              <w:jc w:val="center"/>
              <w:rPr>
                <w:sz w:val="22"/>
              </w:rPr>
            </w:pPr>
            <w:r>
              <w:rPr>
                <w:sz w:val="22"/>
              </w:rPr>
              <w:t>05/11/2009</w:t>
            </w:r>
          </w:p>
        </w:tc>
        <w:tc>
          <w:tcPr>
            <w:tcW w:w="1433" w:type="dxa"/>
          </w:tcPr>
          <w:p>
            <w:pPr>
              <w:pStyle w:val="TableParagraph"/>
              <w:ind w:right="63"/>
              <w:rPr>
                <w:sz w:val="22"/>
              </w:rPr>
            </w:pPr>
            <w:r>
              <w:rPr>
                <w:sz w:val="22"/>
              </w:rPr>
              <w:t>66.90</w:t>
            </w:r>
          </w:p>
        </w:tc>
        <w:tc>
          <w:tcPr>
            <w:tcW w:w="1320" w:type="dxa"/>
          </w:tcPr>
          <w:p>
            <w:pPr>
              <w:pStyle w:val="TableParagraph"/>
              <w:rPr>
                <w:sz w:val="22"/>
              </w:rPr>
            </w:pPr>
            <w:r>
              <w:rPr>
                <w:sz w:val="22"/>
              </w:rPr>
              <w:t>68.20</w:t>
            </w:r>
          </w:p>
        </w:tc>
        <w:tc>
          <w:tcPr>
            <w:tcW w:w="643" w:type="dxa"/>
          </w:tcPr>
          <w:p>
            <w:pPr>
              <w:pStyle w:val="TableParagraph"/>
              <w:ind w:left="45" w:right="46"/>
              <w:jc w:val="center"/>
              <w:rPr>
                <w:sz w:val="22"/>
              </w:rPr>
            </w:pPr>
            <w:r>
              <w:rPr>
                <w:sz w:val="22"/>
              </w:rPr>
              <w:t>68.40</w:t>
            </w:r>
          </w:p>
        </w:tc>
        <w:tc>
          <w:tcPr>
            <w:tcW w:w="1320" w:type="dxa"/>
          </w:tcPr>
          <w:p>
            <w:pPr>
              <w:pStyle w:val="TableParagraph"/>
              <w:rPr>
                <w:sz w:val="22"/>
              </w:rPr>
            </w:pPr>
            <w:r>
              <w:rPr>
                <w:sz w:val="22"/>
              </w:rPr>
              <w:t>70.00</w:t>
            </w:r>
          </w:p>
        </w:tc>
        <w:tc>
          <w:tcPr>
            <w:tcW w:w="1320" w:type="dxa"/>
          </w:tcPr>
          <w:p>
            <w:pPr>
              <w:pStyle w:val="TableParagraph"/>
              <w:rPr>
                <w:sz w:val="22"/>
              </w:rPr>
            </w:pPr>
            <w:r>
              <w:rPr>
                <w:sz w:val="22"/>
              </w:rPr>
              <w:t>66.10</w:t>
            </w:r>
          </w:p>
        </w:tc>
        <w:tc>
          <w:tcPr>
            <w:tcW w:w="1322" w:type="dxa"/>
          </w:tcPr>
          <w:p>
            <w:pPr>
              <w:pStyle w:val="TableParagraph"/>
              <w:ind w:right="63"/>
              <w:rPr>
                <w:sz w:val="22"/>
              </w:rPr>
            </w:pPr>
            <w:r>
              <w:rPr>
                <w:sz w:val="22"/>
              </w:rPr>
              <w:t>48.60</w:t>
            </w:r>
          </w:p>
        </w:tc>
      </w:tr>
      <w:tr>
        <w:trPr>
          <w:trHeight w:val="310" w:hRule="exact"/>
        </w:trPr>
        <w:tc>
          <w:tcPr>
            <w:tcW w:w="530" w:type="dxa"/>
          </w:tcPr>
          <w:p>
            <w:pPr>
              <w:pStyle w:val="TableParagraph"/>
              <w:spacing w:before="30"/>
              <w:rPr>
                <w:sz w:val="22"/>
              </w:rPr>
            </w:pPr>
            <w:r>
              <w:rPr>
                <w:sz w:val="22"/>
              </w:rPr>
              <w:t>143</w:t>
            </w:r>
          </w:p>
        </w:tc>
        <w:tc>
          <w:tcPr>
            <w:tcW w:w="1200" w:type="dxa"/>
          </w:tcPr>
          <w:p>
            <w:pPr>
              <w:pStyle w:val="TableParagraph"/>
              <w:spacing w:before="30"/>
              <w:ind w:left="45" w:right="42"/>
              <w:jc w:val="center"/>
              <w:rPr>
                <w:sz w:val="22"/>
              </w:rPr>
            </w:pPr>
            <w:r>
              <w:rPr>
                <w:sz w:val="22"/>
              </w:rPr>
              <w:t>09/11/2009</w:t>
            </w:r>
          </w:p>
        </w:tc>
        <w:tc>
          <w:tcPr>
            <w:tcW w:w="1433" w:type="dxa"/>
          </w:tcPr>
          <w:p>
            <w:pPr>
              <w:pStyle w:val="TableParagraph"/>
              <w:spacing w:before="30"/>
              <w:ind w:right="63"/>
              <w:rPr>
                <w:sz w:val="22"/>
              </w:rPr>
            </w:pPr>
            <w:r>
              <w:rPr>
                <w:sz w:val="22"/>
              </w:rPr>
              <w:t>78.30</w:t>
            </w:r>
          </w:p>
        </w:tc>
        <w:tc>
          <w:tcPr>
            <w:tcW w:w="1320" w:type="dxa"/>
          </w:tcPr>
          <w:p>
            <w:pPr>
              <w:pStyle w:val="TableParagraph"/>
              <w:spacing w:before="30"/>
              <w:rPr>
                <w:sz w:val="22"/>
              </w:rPr>
            </w:pPr>
            <w:r>
              <w:rPr>
                <w:sz w:val="22"/>
              </w:rPr>
              <w:t>71.50</w:t>
            </w:r>
          </w:p>
        </w:tc>
        <w:tc>
          <w:tcPr>
            <w:tcW w:w="643" w:type="dxa"/>
          </w:tcPr>
          <w:p>
            <w:pPr>
              <w:pStyle w:val="TableParagraph"/>
              <w:spacing w:before="30"/>
              <w:ind w:left="45" w:right="46"/>
              <w:jc w:val="center"/>
              <w:rPr>
                <w:sz w:val="22"/>
              </w:rPr>
            </w:pPr>
            <w:r>
              <w:rPr>
                <w:sz w:val="22"/>
              </w:rPr>
              <w:t>79.40</w:t>
            </w:r>
          </w:p>
        </w:tc>
        <w:tc>
          <w:tcPr>
            <w:tcW w:w="1320" w:type="dxa"/>
          </w:tcPr>
          <w:p>
            <w:pPr>
              <w:pStyle w:val="TableParagraph"/>
              <w:spacing w:before="30"/>
              <w:rPr>
                <w:sz w:val="22"/>
              </w:rPr>
            </w:pPr>
            <w:r>
              <w:rPr>
                <w:sz w:val="22"/>
              </w:rPr>
              <w:t>76.70</w:t>
            </w:r>
          </w:p>
        </w:tc>
        <w:tc>
          <w:tcPr>
            <w:tcW w:w="1320" w:type="dxa"/>
          </w:tcPr>
          <w:p>
            <w:pPr>
              <w:pStyle w:val="TableParagraph"/>
              <w:spacing w:before="30"/>
              <w:rPr>
                <w:sz w:val="22"/>
              </w:rPr>
            </w:pPr>
            <w:r>
              <w:rPr>
                <w:sz w:val="22"/>
              </w:rPr>
              <w:t>72.80</w:t>
            </w:r>
          </w:p>
        </w:tc>
        <w:tc>
          <w:tcPr>
            <w:tcW w:w="1322" w:type="dxa"/>
          </w:tcPr>
          <w:p>
            <w:pPr>
              <w:pStyle w:val="TableParagraph"/>
              <w:spacing w:before="30"/>
              <w:ind w:right="63"/>
              <w:rPr>
                <w:sz w:val="22"/>
              </w:rPr>
            </w:pPr>
            <w:r>
              <w:rPr>
                <w:sz w:val="22"/>
              </w:rPr>
              <w:t>51.10</w:t>
            </w:r>
          </w:p>
        </w:tc>
      </w:tr>
      <w:tr>
        <w:trPr>
          <w:trHeight w:val="312" w:hRule="exact"/>
        </w:trPr>
        <w:tc>
          <w:tcPr>
            <w:tcW w:w="530" w:type="dxa"/>
          </w:tcPr>
          <w:p>
            <w:pPr>
              <w:pStyle w:val="TableParagraph"/>
              <w:spacing w:before="30"/>
              <w:rPr>
                <w:sz w:val="22"/>
              </w:rPr>
            </w:pPr>
            <w:r>
              <w:rPr>
                <w:sz w:val="22"/>
              </w:rPr>
              <w:t>146</w:t>
            </w:r>
          </w:p>
        </w:tc>
        <w:tc>
          <w:tcPr>
            <w:tcW w:w="1200" w:type="dxa"/>
          </w:tcPr>
          <w:p>
            <w:pPr>
              <w:pStyle w:val="TableParagraph"/>
              <w:spacing w:before="30"/>
              <w:ind w:left="45" w:right="42"/>
              <w:jc w:val="center"/>
              <w:rPr>
                <w:sz w:val="22"/>
              </w:rPr>
            </w:pPr>
            <w:r>
              <w:rPr>
                <w:sz w:val="22"/>
              </w:rPr>
              <w:t>12/11/2009</w:t>
            </w:r>
          </w:p>
        </w:tc>
        <w:tc>
          <w:tcPr>
            <w:tcW w:w="1433" w:type="dxa"/>
          </w:tcPr>
          <w:p>
            <w:pPr>
              <w:pStyle w:val="TableParagraph"/>
              <w:spacing w:before="30"/>
              <w:ind w:right="63"/>
              <w:rPr>
                <w:sz w:val="22"/>
              </w:rPr>
            </w:pPr>
            <w:r>
              <w:rPr>
                <w:sz w:val="22"/>
              </w:rPr>
              <w:t>82.90</w:t>
            </w:r>
          </w:p>
        </w:tc>
        <w:tc>
          <w:tcPr>
            <w:tcW w:w="1320" w:type="dxa"/>
          </w:tcPr>
          <w:p>
            <w:pPr>
              <w:pStyle w:val="TableParagraph"/>
              <w:spacing w:before="30"/>
              <w:rPr>
                <w:sz w:val="22"/>
              </w:rPr>
            </w:pPr>
            <w:r>
              <w:rPr>
                <w:sz w:val="22"/>
              </w:rPr>
              <w:t>76.20</w:t>
            </w:r>
          </w:p>
        </w:tc>
        <w:tc>
          <w:tcPr>
            <w:tcW w:w="643" w:type="dxa"/>
          </w:tcPr>
          <w:p>
            <w:pPr>
              <w:pStyle w:val="TableParagraph"/>
              <w:spacing w:before="30"/>
              <w:ind w:left="45" w:right="46"/>
              <w:jc w:val="center"/>
              <w:rPr>
                <w:sz w:val="22"/>
              </w:rPr>
            </w:pPr>
            <w:r>
              <w:rPr>
                <w:sz w:val="22"/>
              </w:rPr>
              <w:t>80.80</w:t>
            </w:r>
          </w:p>
        </w:tc>
        <w:tc>
          <w:tcPr>
            <w:tcW w:w="1320" w:type="dxa"/>
          </w:tcPr>
          <w:p>
            <w:pPr>
              <w:pStyle w:val="TableParagraph"/>
              <w:spacing w:before="30"/>
              <w:rPr>
                <w:sz w:val="22"/>
              </w:rPr>
            </w:pPr>
            <w:r>
              <w:rPr>
                <w:sz w:val="22"/>
              </w:rPr>
              <w:t>82.50</w:t>
            </w:r>
          </w:p>
        </w:tc>
        <w:tc>
          <w:tcPr>
            <w:tcW w:w="1320" w:type="dxa"/>
          </w:tcPr>
          <w:p>
            <w:pPr>
              <w:pStyle w:val="TableParagraph"/>
              <w:spacing w:before="30"/>
              <w:rPr>
                <w:sz w:val="22"/>
              </w:rPr>
            </w:pPr>
            <w:r>
              <w:rPr>
                <w:sz w:val="22"/>
              </w:rPr>
              <w:t>85.40</w:t>
            </w:r>
          </w:p>
        </w:tc>
        <w:tc>
          <w:tcPr>
            <w:tcW w:w="1322" w:type="dxa"/>
          </w:tcPr>
          <w:p>
            <w:pPr>
              <w:pStyle w:val="TableParagraph"/>
              <w:spacing w:before="30"/>
              <w:ind w:right="63"/>
              <w:rPr>
                <w:sz w:val="22"/>
              </w:rPr>
            </w:pPr>
            <w:r>
              <w:rPr>
                <w:sz w:val="22"/>
              </w:rPr>
              <w:t>66.80</w:t>
            </w:r>
          </w:p>
        </w:tc>
      </w:tr>
      <w:tr>
        <w:trPr>
          <w:trHeight w:val="310" w:hRule="exact"/>
        </w:trPr>
        <w:tc>
          <w:tcPr>
            <w:tcW w:w="530" w:type="dxa"/>
          </w:tcPr>
          <w:p>
            <w:pPr>
              <w:pStyle w:val="TableParagraph"/>
              <w:rPr>
                <w:sz w:val="22"/>
              </w:rPr>
            </w:pPr>
            <w:r>
              <w:rPr>
                <w:sz w:val="22"/>
              </w:rPr>
              <w:t>150</w:t>
            </w:r>
          </w:p>
        </w:tc>
        <w:tc>
          <w:tcPr>
            <w:tcW w:w="1200" w:type="dxa"/>
          </w:tcPr>
          <w:p>
            <w:pPr>
              <w:pStyle w:val="TableParagraph"/>
              <w:ind w:left="45" w:right="42"/>
              <w:jc w:val="center"/>
              <w:rPr>
                <w:sz w:val="22"/>
              </w:rPr>
            </w:pPr>
            <w:r>
              <w:rPr>
                <w:sz w:val="22"/>
              </w:rPr>
              <w:t>16/11/2009</w:t>
            </w:r>
          </w:p>
        </w:tc>
        <w:tc>
          <w:tcPr>
            <w:tcW w:w="1433" w:type="dxa"/>
          </w:tcPr>
          <w:p>
            <w:pPr>
              <w:pStyle w:val="TableParagraph"/>
              <w:ind w:right="63"/>
              <w:rPr>
                <w:sz w:val="22"/>
              </w:rPr>
            </w:pPr>
            <w:r>
              <w:rPr>
                <w:sz w:val="22"/>
              </w:rPr>
              <w:t>82.30</w:t>
            </w:r>
          </w:p>
        </w:tc>
        <w:tc>
          <w:tcPr>
            <w:tcW w:w="1320" w:type="dxa"/>
          </w:tcPr>
          <w:p>
            <w:pPr>
              <w:pStyle w:val="TableParagraph"/>
              <w:rPr>
                <w:sz w:val="22"/>
              </w:rPr>
            </w:pPr>
            <w:r>
              <w:rPr>
                <w:sz w:val="22"/>
              </w:rPr>
              <w:t>84.60</w:t>
            </w:r>
          </w:p>
        </w:tc>
        <w:tc>
          <w:tcPr>
            <w:tcW w:w="643" w:type="dxa"/>
          </w:tcPr>
          <w:p>
            <w:pPr>
              <w:pStyle w:val="TableParagraph"/>
              <w:ind w:left="45" w:right="46"/>
              <w:jc w:val="center"/>
              <w:rPr>
                <w:sz w:val="22"/>
              </w:rPr>
            </w:pPr>
            <w:r>
              <w:rPr>
                <w:sz w:val="22"/>
              </w:rPr>
              <w:t>82.40</w:t>
            </w:r>
          </w:p>
        </w:tc>
        <w:tc>
          <w:tcPr>
            <w:tcW w:w="1320" w:type="dxa"/>
          </w:tcPr>
          <w:p>
            <w:pPr>
              <w:pStyle w:val="TableParagraph"/>
              <w:rPr>
                <w:sz w:val="22"/>
              </w:rPr>
            </w:pPr>
            <w:r>
              <w:rPr>
                <w:sz w:val="22"/>
              </w:rPr>
              <w:t>80.50</w:t>
            </w:r>
          </w:p>
        </w:tc>
        <w:tc>
          <w:tcPr>
            <w:tcW w:w="1320" w:type="dxa"/>
          </w:tcPr>
          <w:p>
            <w:pPr>
              <w:pStyle w:val="TableParagraph"/>
              <w:rPr>
                <w:sz w:val="22"/>
              </w:rPr>
            </w:pPr>
            <w:r>
              <w:rPr>
                <w:sz w:val="22"/>
              </w:rPr>
              <w:t>79.90</w:t>
            </w:r>
          </w:p>
        </w:tc>
        <w:tc>
          <w:tcPr>
            <w:tcW w:w="1322" w:type="dxa"/>
          </w:tcPr>
          <w:p>
            <w:pPr>
              <w:pStyle w:val="TableParagraph"/>
              <w:ind w:right="63"/>
              <w:rPr>
                <w:sz w:val="22"/>
              </w:rPr>
            </w:pPr>
            <w:r>
              <w:rPr>
                <w:sz w:val="22"/>
              </w:rPr>
              <w:t>49.50</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5"/>
        <w:gridCol w:w="1807"/>
        <w:gridCol w:w="1224"/>
        <w:gridCol w:w="1145"/>
        <w:gridCol w:w="401"/>
        <w:gridCol w:w="1145"/>
        <w:gridCol w:w="1231"/>
        <w:gridCol w:w="1322"/>
      </w:tblGrid>
      <w:tr>
        <w:trPr>
          <w:trHeight w:val="370" w:hRule="exact"/>
        </w:trPr>
        <w:tc>
          <w:tcPr>
            <w:tcW w:w="9000" w:type="dxa"/>
            <w:gridSpan w:val="8"/>
            <w:shd w:val="clear" w:color="auto" w:fill="E6B9B8"/>
          </w:tcPr>
          <w:p>
            <w:pPr>
              <w:pStyle w:val="TableParagraph"/>
              <w:spacing w:before="88"/>
              <w:ind w:left="3902" w:right="3901"/>
              <w:jc w:val="center"/>
              <w:rPr>
                <w:b/>
                <w:sz w:val="22"/>
              </w:rPr>
            </w:pPr>
            <w:r>
              <w:rPr>
                <w:b/>
                <w:sz w:val="22"/>
              </w:rPr>
              <w:t>DQO</w:t>
            </w:r>
            <w:r>
              <w:rPr>
                <w:b/>
                <w:position w:val="-2"/>
                <w:sz w:val="14"/>
              </w:rPr>
              <w:t>T </w:t>
            </w:r>
            <w:r>
              <w:rPr>
                <w:b/>
                <w:sz w:val="22"/>
              </w:rPr>
              <w:t>(mg/L)</w:t>
            </w:r>
          </w:p>
        </w:tc>
      </w:tr>
      <w:tr>
        <w:trPr>
          <w:trHeight w:val="610" w:hRule="exact"/>
        </w:trPr>
        <w:tc>
          <w:tcPr>
            <w:tcW w:w="725"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163" w:right="0"/>
              <w:jc w:val="left"/>
              <w:rPr>
                <w:b/>
                <w:sz w:val="22"/>
              </w:rPr>
            </w:pPr>
            <w:r>
              <w:rPr>
                <w:b/>
                <w:sz w:val="22"/>
              </w:rPr>
              <w:t>Días</w:t>
            </w:r>
          </w:p>
        </w:tc>
        <w:tc>
          <w:tcPr>
            <w:tcW w:w="1807"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612" w:right="614"/>
              <w:jc w:val="center"/>
              <w:rPr>
                <w:b/>
                <w:sz w:val="22"/>
              </w:rPr>
            </w:pPr>
            <w:r>
              <w:rPr>
                <w:b/>
                <w:sz w:val="22"/>
              </w:rPr>
              <w:t>Fecha</w:t>
            </w:r>
          </w:p>
        </w:tc>
        <w:tc>
          <w:tcPr>
            <w:tcW w:w="6468" w:type="dxa"/>
            <w:gridSpan w:val="6"/>
            <w:shd w:val="clear" w:color="auto" w:fill="E6B9B8"/>
          </w:tcPr>
          <w:p>
            <w:pPr>
              <w:pStyle w:val="TableParagraph"/>
              <w:spacing w:before="162"/>
              <w:ind w:left="2287" w:right="2288"/>
              <w:jc w:val="center"/>
              <w:rPr>
                <w:b/>
                <w:sz w:val="22"/>
              </w:rPr>
            </w:pPr>
            <w:r>
              <w:rPr>
                <w:b/>
                <w:sz w:val="22"/>
              </w:rPr>
              <w:t>Puntos de muestreo</w:t>
            </w:r>
          </w:p>
        </w:tc>
      </w:tr>
      <w:tr>
        <w:trPr>
          <w:trHeight w:val="610" w:hRule="exact"/>
        </w:trPr>
        <w:tc>
          <w:tcPr>
            <w:tcW w:w="725" w:type="dxa"/>
            <w:vMerge/>
            <w:shd w:val="clear" w:color="auto" w:fill="E6B9B8"/>
          </w:tcPr>
          <w:p>
            <w:pPr/>
          </w:p>
        </w:tc>
        <w:tc>
          <w:tcPr>
            <w:tcW w:w="1807" w:type="dxa"/>
            <w:vMerge/>
            <w:shd w:val="clear" w:color="auto" w:fill="E6B9B8"/>
          </w:tcPr>
          <w:p>
            <w:pPr/>
          </w:p>
        </w:tc>
        <w:tc>
          <w:tcPr>
            <w:tcW w:w="1224" w:type="dxa"/>
            <w:shd w:val="clear" w:color="auto" w:fill="E6B9B8"/>
          </w:tcPr>
          <w:p>
            <w:pPr>
              <w:pStyle w:val="TableParagraph"/>
              <w:spacing w:before="165"/>
              <w:ind w:right="0"/>
              <w:jc w:val="center"/>
              <w:rPr>
                <w:b/>
                <w:sz w:val="22"/>
              </w:rPr>
            </w:pPr>
            <w:r>
              <w:rPr>
                <w:b/>
                <w:w w:val="100"/>
                <w:sz w:val="22"/>
              </w:rPr>
              <w:t>A</w:t>
            </w:r>
          </w:p>
        </w:tc>
        <w:tc>
          <w:tcPr>
            <w:tcW w:w="1145" w:type="dxa"/>
            <w:shd w:val="clear" w:color="auto" w:fill="E6B9B8"/>
          </w:tcPr>
          <w:p>
            <w:pPr>
              <w:pStyle w:val="TableParagraph"/>
              <w:spacing w:before="165"/>
              <w:ind w:left="1" w:right="0"/>
              <w:jc w:val="center"/>
              <w:rPr>
                <w:b/>
                <w:sz w:val="22"/>
              </w:rPr>
            </w:pPr>
            <w:r>
              <w:rPr>
                <w:b/>
                <w:w w:val="100"/>
                <w:sz w:val="22"/>
              </w:rPr>
              <w:t>B</w:t>
            </w:r>
          </w:p>
        </w:tc>
        <w:tc>
          <w:tcPr>
            <w:tcW w:w="401" w:type="dxa"/>
            <w:shd w:val="clear" w:color="auto" w:fill="E6B9B8"/>
          </w:tcPr>
          <w:p>
            <w:pPr>
              <w:pStyle w:val="TableParagraph"/>
              <w:spacing w:before="165"/>
              <w:ind w:right="138"/>
              <w:rPr>
                <w:b/>
                <w:sz w:val="22"/>
              </w:rPr>
            </w:pPr>
            <w:r>
              <w:rPr>
                <w:b/>
                <w:w w:val="100"/>
                <w:sz w:val="22"/>
              </w:rPr>
              <w:t>C</w:t>
            </w:r>
          </w:p>
        </w:tc>
        <w:tc>
          <w:tcPr>
            <w:tcW w:w="1145" w:type="dxa"/>
            <w:shd w:val="clear" w:color="auto" w:fill="E6B9B8"/>
          </w:tcPr>
          <w:p>
            <w:pPr>
              <w:pStyle w:val="TableParagraph"/>
              <w:spacing w:before="165"/>
              <w:ind w:right="5"/>
              <w:jc w:val="center"/>
              <w:rPr>
                <w:b/>
                <w:sz w:val="22"/>
              </w:rPr>
            </w:pPr>
            <w:r>
              <w:rPr>
                <w:b/>
                <w:w w:val="100"/>
                <w:sz w:val="22"/>
              </w:rPr>
              <w:t>D</w:t>
            </w:r>
          </w:p>
        </w:tc>
        <w:tc>
          <w:tcPr>
            <w:tcW w:w="1231" w:type="dxa"/>
            <w:shd w:val="clear" w:color="auto" w:fill="E6B9B8"/>
          </w:tcPr>
          <w:p>
            <w:pPr>
              <w:pStyle w:val="TableParagraph"/>
              <w:spacing w:before="165"/>
              <w:ind w:right="0"/>
              <w:jc w:val="center"/>
              <w:rPr>
                <w:b/>
                <w:sz w:val="22"/>
              </w:rPr>
            </w:pPr>
            <w:r>
              <w:rPr>
                <w:b/>
                <w:w w:val="100"/>
                <w:sz w:val="22"/>
              </w:rPr>
              <w:t>E</w:t>
            </w:r>
          </w:p>
        </w:tc>
        <w:tc>
          <w:tcPr>
            <w:tcW w:w="1322" w:type="dxa"/>
            <w:shd w:val="clear" w:color="auto" w:fill="E6B9B8"/>
          </w:tcPr>
          <w:p>
            <w:pPr>
              <w:pStyle w:val="TableParagraph"/>
              <w:spacing w:before="165"/>
              <w:ind w:right="1"/>
              <w:jc w:val="center"/>
              <w:rPr>
                <w:b/>
                <w:sz w:val="22"/>
              </w:rPr>
            </w:pPr>
            <w:r>
              <w:rPr>
                <w:b/>
                <w:w w:val="100"/>
                <w:sz w:val="22"/>
              </w:rPr>
              <w:t>G</w:t>
            </w:r>
          </w:p>
        </w:tc>
      </w:tr>
      <w:tr>
        <w:trPr>
          <w:trHeight w:val="312" w:hRule="exact"/>
        </w:trPr>
        <w:tc>
          <w:tcPr>
            <w:tcW w:w="725" w:type="dxa"/>
          </w:tcPr>
          <w:p>
            <w:pPr>
              <w:pStyle w:val="TableParagraph"/>
              <w:spacing w:before="30"/>
              <w:ind w:left="169" w:right="170"/>
              <w:jc w:val="center"/>
              <w:rPr>
                <w:sz w:val="22"/>
              </w:rPr>
            </w:pPr>
            <w:r>
              <w:rPr>
                <w:sz w:val="22"/>
              </w:rPr>
              <w:t>38</w:t>
            </w:r>
          </w:p>
        </w:tc>
        <w:tc>
          <w:tcPr>
            <w:tcW w:w="1807" w:type="dxa"/>
          </w:tcPr>
          <w:p>
            <w:pPr>
              <w:pStyle w:val="TableParagraph"/>
              <w:spacing w:before="30"/>
              <w:ind w:right="63"/>
              <w:rPr>
                <w:sz w:val="22"/>
              </w:rPr>
            </w:pPr>
            <w:r>
              <w:rPr>
                <w:sz w:val="22"/>
              </w:rPr>
              <w:t>27/07/2009</w:t>
            </w:r>
          </w:p>
        </w:tc>
        <w:tc>
          <w:tcPr>
            <w:tcW w:w="1224" w:type="dxa"/>
          </w:tcPr>
          <w:p>
            <w:pPr>
              <w:pStyle w:val="TableParagraph"/>
              <w:spacing w:before="30"/>
              <w:rPr>
                <w:sz w:val="22"/>
              </w:rPr>
            </w:pPr>
            <w:r>
              <w:rPr>
                <w:sz w:val="22"/>
              </w:rPr>
              <w:t>35</w:t>
            </w:r>
          </w:p>
        </w:tc>
        <w:tc>
          <w:tcPr>
            <w:tcW w:w="1145" w:type="dxa"/>
          </w:tcPr>
          <w:p>
            <w:pPr>
              <w:pStyle w:val="TableParagraph"/>
              <w:spacing w:before="30"/>
              <w:rPr>
                <w:sz w:val="22"/>
              </w:rPr>
            </w:pPr>
            <w:r>
              <w:rPr>
                <w:sz w:val="22"/>
              </w:rPr>
              <w:t>27</w:t>
            </w:r>
          </w:p>
        </w:tc>
        <w:tc>
          <w:tcPr>
            <w:tcW w:w="401" w:type="dxa"/>
          </w:tcPr>
          <w:p>
            <w:pPr>
              <w:pStyle w:val="TableParagraph"/>
              <w:spacing w:before="30"/>
              <w:ind w:right="63"/>
              <w:rPr>
                <w:sz w:val="22"/>
              </w:rPr>
            </w:pPr>
            <w:r>
              <w:rPr>
                <w:sz w:val="22"/>
              </w:rPr>
              <w:t>30</w:t>
            </w:r>
          </w:p>
        </w:tc>
        <w:tc>
          <w:tcPr>
            <w:tcW w:w="1145" w:type="dxa"/>
          </w:tcPr>
          <w:p>
            <w:pPr>
              <w:pStyle w:val="TableParagraph"/>
              <w:spacing w:before="30"/>
              <w:ind w:right="63"/>
              <w:rPr>
                <w:sz w:val="22"/>
              </w:rPr>
            </w:pPr>
            <w:r>
              <w:rPr>
                <w:sz w:val="22"/>
              </w:rPr>
              <w:t>44</w:t>
            </w:r>
          </w:p>
        </w:tc>
        <w:tc>
          <w:tcPr>
            <w:tcW w:w="1231" w:type="dxa"/>
          </w:tcPr>
          <w:p>
            <w:pPr>
              <w:pStyle w:val="TableParagraph"/>
              <w:spacing w:before="30"/>
              <w:rPr>
                <w:sz w:val="22"/>
              </w:rPr>
            </w:pPr>
            <w:r>
              <w:rPr>
                <w:sz w:val="22"/>
              </w:rPr>
              <w:t>76</w:t>
            </w:r>
          </w:p>
        </w:tc>
        <w:tc>
          <w:tcPr>
            <w:tcW w:w="1322" w:type="dxa"/>
          </w:tcPr>
          <w:p>
            <w:pPr>
              <w:pStyle w:val="TableParagraph"/>
              <w:spacing w:before="30"/>
              <w:ind w:right="63"/>
              <w:rPr>
                <w:sz w:val="22"/>
              </w:rPr>
            </w:pPr>
            <w:r>
              <w:rPr>
                <w:sz w:val="22"/>
              </w:rPr>
              <w:t>203</w:t>
            </w:r>
          </w:p>
        </w:tc>
      </w:tr>
      <w:tr>
        <w:trPr>
          <w:trHeight w:val="310" w:hRule="exact"/>
        </w:trPr>
        <w:tc>
          <w:tcPr>
            <w:tcW w:w="725" w:type="dxa"/>
          </w:tcPr>
          <w:p>
            <w:pPr>
              <w:pStyle w:val="TableParagraph"/>
              <w:ind w:left="169" w:right="170"/>
              <w:jc w:val="center"/>
              <w:rPr>
                <w:sz w:val="22"/>
              </w:rPr>
            </w:pPr>
            <w:r>
              <w:rPr>
                <w:sz w:val="22"/>
              </w:rPr>
              <w:t>41</w:t>
            </w:r>
          </w:p>
        </w:tc>
        <w:tc>
          <w:tcPr>
            <w:tcW w:w="1807" w:type="dxa"/>
          </w:tcPr>
          <w:p>
            <w:pPr>
              <w:pStyle w:val="TableParagraph"/>
              <w:ind w:right="63"/>
              <w:rPr>
                <w:sz w:val="22"/>
              </w:rPr>
            </w:pPr>
            <w:r>
              <w:rPr>
                <w:sz w:val="22"/>
              </w:rPr>
              <w:t>30/07/2009</w:t>
            </w:r>
          </w:p>
        </w:tc>
        <w:tc>
          <w:tcPr>
            <w:tcW w:w="1224" w:type="dxa"/>
          </w:tcPr>
          <w:p>
            <w:pPr>
              <w:pStyle w:val="TableParagraph"/>
              <w:rPr>
                <w:sz w:val="22"/>
              </w:rPr>
            </w:pPr>
            <w:r>
              <w:rPr>
                <w:sz w:val="22"/>
              </w:rPr>
              <w:t>50</w:t>
            </w:r>
          </w:p>
        </w:tc>
        <w:tc>
          <w:tcPr>
            <w:tcW w:w="1145" w:type="dxa"/>
          </w:tcPr>
          <w:p>
            <w:pPr>
              <w:pStyle w:val="TableParagraph"/>
              <w:rPr>
                <w:sz w:val="22"/>
              </w:rPr>
            </w:pPr>
            <w:r>
              <w:rPr>
                <w:sz w:val="22"/>
              </w:rPr>
              <w:t>49</w:t>
            </w:r>
          </w:p>
        </w:tc>
        <w:tc>
          <w:tcPr>
            <w:tcW w:w="401" w:type="dxa"/>
          </w:tcPr>
          <w:p>
            <w:pPr>
              <w:pStyle w:val="TableParagraph"/>
              <w:ind w:right="63"/>
              <w:rPr>
                <w:sz w:val="22"/>
              </w:rPr>
            </w:pPr>
            <w:r>
              <w:rPr>
                <w:sz w:val="22"/>
              </w:rPr>
              <w:t>47</w:t>
            </w:r>
          </w:p>
        </w:tc>
        <w:tc>
          <w:tcPr>
            <w:tcW w:w="1145" w:type="dxa"/>
          </w:tcPr>
          <w:p>
            <w:pPr>
              <w:pStyle w:val="TableParagraph"/>
              <w:ind w:right="63"/>
              <w:rPr>
                <w:sz w:val="22"/>
              </w:rPr>
            </w:pPr>
            <w:r>
              <w:rPr>
                <w:sz w:val="22"/>
              </w:rPr>
              <w:t>48</w:t>
            </w:r>
          </w:p>
        </w:tc>
        <w:tc>
          <w:tcPr>
            <w:tcW w:w="1231" w:type="dxa"/>
          </w:tcPr>
          <w:p>
            <w:pPr>
              <w:pStyle w:val="TableParagraph"/>
              <w:rPr>
                <w:sz w:val="22"/>
              </w:rPr>
            </w:pPr>
            <w:r>
              <w:rPr>
                <w:sz w:val="22"/>
              </w:rPr>
              <w:t>83</w:t>
            </w:r>
          </w:p>
        </w:tc>
        <w:tc>
          <w:tcPr>
            <w:tcW w:w="1322" w:type="dxa"/>
          </w:tcPr>
          <w:p>
            <w:pPr>
              <w:pStyle w:val="TableParagraph"/>
              <w:ind w:right="63"/>
              <w:rPr>
                <w:sz w:val="22"/>
              </w:rPr>
            </w:pPr>
            <w:r>
              <w:rPr>
                <w:sz w:val="22"/>
              </w:rPr>
              <w:t>207</w:t>
            </w:r>
          </w:p>
        </w:tc>
      </w:tr>
      <w:tr>
        <w:trPr>
          <w:trHeight w:val="310" w:hRule="exact"/>
        </w:trPr>
        <w:tc>
          <w:tcPr>
            <w:tcW w:w="725" w:type="dxa"/>
          </w:tcPr>
          <w:p>
            <w:pPr>
              <w:pStyle w:val="TableParagraph"/>
              <w:ind w:left="169" w:right="170"/>
              <w:jc w:val="center"/>
              <w:rPr>
                <w:sz w:val="22"/>
              </w:rPr>
            </w:pPr>
            <w:r>
              <w:rPr>
                <w:sz w:val="22"/>
              </w:rPr>
              <w:t>45</w:t>
            </w:r>
          </w:p>
        </w:tc>
        <w:tc>
          <w:tcPr>
            <w:tcW w:w="1807" w:type="dxa"/>
          </w:tcPr>
          <w:p>
            <w:pPr>
              <w:pStyle w:val="TableParagraph"/>
              <w:ind w:right="63"/>
              <w:rPr>
                <w:sz w:val="22"/>
              </w:rPr>
            </w:pPr>
            <w:r>
              <w:rPr>
                <w:sz w:val="22"/>
              </w:rPr>
              <w:t>03/08/2009</w:t>
            </w:r>
          </w:p>
        </w:tc>
        <w:tc>
          <w:tcPr>
            <w:tcW w:w="1224" w:type="dxa"/>
          </w:tcPr>
          <w:p>
            <w:pPr>
              <w:pStyle w:val="TableParagraph"/>
              <w:rPr>
                <w:sz w:val="22"/>
              </w:rPr>
            </w:pPr>
            <w:r>
              <w:rPr>
                <w:sz w:val="22"/>
              </w:rPr>
              <w:t>28</w:t>
            </w:r>
          </w:p>
        </w:tc>
        <w:tc>
          <w:tcPr>
            <w:tcW w:w="1145" w:type="dxa"/>
          </w:tcPr>
          <w:p>
            <w:pPr>
              <w:pStyle w:val="TableParagraph"/>
              <w:rPr>
                <w:sz w:val="22"/>
              </w:rPr>
            </w:pPr>
            <w:r>
              <w:rPr>
                <w:sz w:val="22"/>
              </w:rPr>
              <w:t>16</w:t>
            </w:r>
          </w:p>
        </w:tc>
        <w:tc>
          <w:tcPr>
            <w:tcW w:w="401" w:type="dxa"/>
          </w:tcPr>
          <w:p>
            <w:pPr>
              <w:pStyle w:val="TableParagraph"/>
              <w:ind w:right="63"/>
              <w:rPr>
                <w:sz w:val="22"/>
              </w:rPr>
            </w:pPr>
            <w:r>
              <w:rPr>
                <w:w w:val="100"/>
                <w:sz w:val="22"/>
              </w:rPr>
              <w:t>4</w:t>
            </w:r>
          </w:p>
        </w:tc>
        <w:tc>
          <w:tcPr>
            <w:tcW w:w="1145" w:type="dxa"/>
          </w:tcPr>
          <w:p>
            <w:pPr>
              <w:pStyle w:val="TableParagraph"/>
              <w:ind w:right="63"/>
              <w:rPr>
                <w:sz w:val="22"/>
              </w:rPr>
            </w:pPr>
            <w:r>
              <w:rPr>
                <w:sz w:val="22"/>
              </w:rPr>
              <w:t>16</w:t>
            </w:r>
          </w:p>
        </w:tc>
        <w:tc>
          <w:tcPr>
            <w:tcW w:w="1231" w:type="dxa"/>
          </w:tcPr>
          <w:p>
            <w:pPr>
              <w:pStyle w:val="TableParagraph"/>
              <w:rPr>
                <w:sz w:val="22"/>
              </w:rPr>
            </w:pPr>
            <w:r>
              <w:rPr>
                <w:sz w:val="22"/>
              </w:rPr>
              <w:t>16</w:t>
            </w:r>
          </w:p>
        </w:tc>
        <w:tc>
          <w:tcPr>
            <w:tcW w:w="1322" w:type="dxa"/>
          </w:tcPr>
          <w:p>
            <w:pPr>
              <w:pStyle w:val="TableParagraph"/>
              <w:ind w:right="63"/>
              <w:rPr>
                <w:sz w:val="22"/>
              </w:rPr>
            </w:pPr>
            <w:r>
              <w:rPr>
                <w:sz w:val="22"/>
              </w:rPr>
              <w:t>88</w:t>
            </w:r>
          </w:p>
        </w:tc>
      </w:tr>
      <w:tr>
        <w:trPr>
          <w:trHeight w:val="310" w:hRule="exact"/>
        </w:trPr>
        <w:tc>
          <w:tcPr>
            <w:tcW w:w="725" w:type="dxa"/>
          </w:tcPr>
          <w:p>
            <w:pPr>
              <w:pStyle w:val="TableParagraph"/>
              <w:ind w:left="169" w:right="170"/>
              <w:jc w:val="center"/>
              <w:rPr>
                <w:sz w:val="22"/>
              </w:rPr>
            </w:pPr>
            <w:r>
              <w:rPr>
                <w:sz w:val="22"/>
              </w:rPr>
              <w:t>48</w:t>
            </w:r>
          </w:p>
        </w:tc>
        <w:tc>
          <w:tcPr>
            <w:tcW w:w="1807" w:type="dxa"/>
          </w:tcPr>
          <w:p>
            <w:pPr>
              <w:pStyle w:val="TableParagraph"/>
              <w:ind w:right="63"/>
              <w:rPr>
                <w:sz w:val="22"/>
              </w:rPr>
            </w:pPr>
            <w:r>
              <w:rPr>
                <w:sz w:val="22"/>
              </w:rPr>
              <w:t>06/08/2009</w:t>
            </w:r>
          </w:p>
        </w:tc>
        <w:tc>
          <w:tcPr>
            <w:tcW w:w="1224" w:type="dxa"/>
          </w:tcPr>
          <w:p>
            <w:pPr>
              <w:pStyle w:val="TableParagraph"/>
              <w:rPr>
                <w:sz w:val="22"/>
              </w:rPr>
            </w:pPr>
            <w:r>
              <w:rPr>
                <w:sz w:val="22"/>
              </w:rPr>
              <w:t>63</w:t>
            </w:r>
          </w:p>
        </w:tc>
        <w:tc>
          <w:tcPr>
            <w:tcW w:w="1145" w:type="dxa"/>
          </w:tcPr>
          <w:p>
            <w:pPr>
              <w:pStyle w:val="TableParagraph"/>
              <w:rPr>
                <w:sz w:val="22"/>
              </w:rPr>
            </w:pPr>
            <w:r>
              <w:rPr>
                <w:sz w:val="22"/>
              </w:rPr>
              <w:t>40</w:t>
            </w:r>
          </w:p>
        </w:tc>
        <w:tc>
          <w:tcPr>
            <w:tcW w:w="401" w:type="dxa"/>
          </w:tcPr>
          <w:p>
            <w:pPr>
              <w:pStyle w:val="TableParagraph"/>
              <w:ind w:right="63"/>
              <w:rPr>
                <w:sz w:val="22"/>
              </w:rPr>
            </w:pPr>
            <w:r>
              <w:rPr>
                <w:sz w:val="22"/>
              </w:rPr>
              <w:t>41</w:t>
            </w:r>
          </w:p>
        </w:tc>
        <w:tc>
          <w:tcPr>
            <w:tcW w:w="1145" w:type="dxa"/>
          </w:tcPr>
          <w:p>
            <w:pPr>
              <w:pStyle w:val="TableParagraph"/>
              <w:ind w:right="63"/>
              <w:rPr>
                <w:sz w:val="22"/>
              </w:rPr>
            </w:pPr>
            <w:r>
              <w:rPr>
                <w:sz w:val="22"/>
              </w:rPr>
              <w:t>34</w:t>
            </w:r>
          </w:p>
        </w:tc>
        <w:tc>
          <w:tcPr>
            <w:tcW w:w="1231" w:type="dxa"/>
          </w:tcPr>
          <w:p>
            <w:pPr>
              <w:pStyle w:val="TableParagraph"/>
              <w:rPr>
                <w:sz w:val="22"/>
              </w:rPr>
            </w:pPr>
            <w:r>
              <w:rPr>
                <w:sz w:val="22"/>
              </w:rPr>
              <w:t>31</w:t>
            </w:r>
          </w:p>
        </w:tc>
        <w:tc>
          <w:tcPr>
            <w:tcW w:w="1322" w:type="dxa"/>
          </w:tcPr>
          <w:p>
            <w:pPr>
              <w:pStyle w:val="TableParagraph"/>
              <w:ind w:right="63"/>
              <w:rPr>
                <w:sz w:val="22"/>
              </w:rPr>
            </w:pPr>
            <w:r>
              <w:rPr>
                <w:sz w:val="22"/>
              </w:rPr>
              <w:t>198</w:t>
            </w:r>
          </w:p>
        </w:tc>
      </w:tr>
      <w:tr>
        <w:trPr>
          <w:trHeight w:val="310" w:hRule="exact"/>
        </w:trPr>
        <w:tc>
          <w:tcPr>
            <w:tcW w:w="725" w:type="dxa"/>
          </w:tcPr>
          <w:p>
            <w:pPr>
              <w:pStyle w:val="TableParagraph"/>
              <w:ind w:left="169" w:right="170"/>
              <w:jc w:val="center"/>
              <w:rPr>
                <w:sz w:val="22"/>
              </w:rPr>
            </w:pPr>
            <w:r>
              <w:rPr>
                <w:sz w:val="22"/>
              </w:rPr>
              <w:t>52</w:t>
            </w:r>
          </w:p>
        </w:tc>
        <w:tc>
          <w:tcPr>
            <w:tcW w:w="1807" w:type="dxa"/>
          </w:tcPr>
          <w:p>
            <w:pPr>
              <w:pStyle w:val="TableParagraph"/>
              <w:ind w:right="63"/>
              <w:rPr>
                <w:sz w:val="22"/>
              </w:rPr>
            </w:pPr>
            <w:r>
              <w:rPr>
                <w:sz w:val="22"/>
              </w:rPr>
              <w:t>10/08/2009</w:t>
            </w:r>
          </w:p>
        </w:tc>
        <w:tc>
          <w:tcPr>
            <w:tcW w:w="1224" w:type="dxa"/>
          </w:tcPr>
          <w:p>
            <w:pPr>
              <w:pStyle w:val="TableParagraph"/>
              <w:rPr>
                <w:sz w:val="22"/>
              </w:rPr>
            </w:pPr>
            <w:r>
              <w:rPr>
                <w:sz w:val="22"/>
              </w:rPr>
              <w:t>34</w:t>
            </w:r>
          </w:p>
        </w:tc>
        <w:tc>
          <w:tcPr>
            <w:tcW w:w="1145" w:type="dxa"/>
          </w:tcPr>
          <w:p>
            <w:pPr>
              <w:pStyle w:val="TableParagraph"/>
              <w:rPr>
                <w:sz w:val="22"/>
              </w:rPr>
            </w:pPr>
            <w:r>
              <w:rPr>
                <w:sz w:val="22"/>
              </w:rPr>
              <w:t>18</w:t>
            </w:r>
          </w:p>
        </w:tc>
        <w:tc>
          <w:tcPr>
            <w:tcW w:w="401" w:type="dxa"/>
          </w:tcPr>
          <w:p>
            <w:pPr>
              <w:pStyle w:val="TableParagraph"/>
              <w:ind w:right="63"/>
              <w:rPr>
                <w:sz w:val="22"/>
              </w:rPr>
            </w:pPr>
            <w:r>
              <w:rPr>
                <w:sz w:val="22"/>
              </w:rPr>
              <w:t>25</w:t>
            </w:r>
          </w:p>
        </w:tc>
        <w:tc>
          <w:tcPr>
            <w:tcW w:w="1145" w:type="dxa"/>
          </w:tcPr>
          <w:p>
            <w:pPr>
              <w:pStyle w:val="TableParagraph"/>
              <w:ind w:right="63"/>
              <w:rPr>
                <w:sz w:val="22"/>
              </w:rPr>
            </w:pPr>
            <w:r>
              <w:rPr>
                <w:sz w:val="22"/>
              </w:rPr>
              <w:t>27</w:t>
            </w:r>
          </w:p>
        </w:tc>
        <w:tc>
          <w:tcPr>
            <w:tcW w:w="1231" w:type="dxa"/>
          </w:tcPr>
          <w:p>
            <w:pPr>
              <w:pStyle w:val="TableParagraph"/>
              <w:rPr>
                <w:sz w:val="22"/>
              </w:rPr>
            </w:pPr>
            <w:r>
              <w:rPr>
                <w:sz w:val="22"/>
              </w:rPr>
              <w:t>18</w:t>
            </w:r>
          </w:p>
        </w:tc>
        <w:tc>
          <w:tcPr>
            <w:tcW w:w="1322" w:type="dxa"/>
          </w:tcPr>
          <w:p>
            <w:pPr>
              <w:pStyle w:val="TableParagraph"/>
              <w:ind w:right="63"/>
              <w:rPr>
                <w:sz w:val="22"/>
              </w:rPr>
            </w:pPr>
            <w:r>
              <w:rPr>
                <w:sz w:val="22"/>
              </w:rPr>
              <w:t>165</w:t>
            </w:r>
          </w:p>
        </w:tc>
      </w:tr>
      <w:tr>
        <w:trPr>
          <w:trHeight w:val="310" w:hRule="exact"/>
        </w:trPr>
        <w:tc>
          <w:tcPr>
            <w:tcW w:w="725" w:type="dxa"/>
          </w:tcPr>
          <w:p>
            <w:pPr>
              <w:pStyle w:val="TableParagraph"/>
              <w:spacing w:before="30"/>
              <w:ind w:left="169" w:right="170"/>
              <w:jc w:val="center"/>
              <w:rPr>
                <w:sz w:val="22"/>
              </w:rPr>
            </w:pPr>
            <w:r>
              <w:rPr>
                <w:sz w:val="22"/>
              </w:rPr>
              <w:t>83</w:t>
            </w:r>
          </w:p>
        </w:tc>
        <w:tc>
          <w:tcPr>
            <w:tcW w:w="1807" w:type="dxa"/>
          </w:tcPr>
          <w:p>
            <w:pPr>
              <w:pStyle w:val="TableParagraph"/>
              <w:spacing w:before="30"/>
              <w:ind w:right="63"/>
              <w:rPr>
                <w:sz w:val="22"/>
              </w:rPr>
            </w:pPr>
            <w:r>
              <w:rPr>
                <w:sz w:val="22"/>
              </w:rPr>
              <w:t>10/09/2009</w:t>
            </w:r>
          </w:p>
        </w:tc>
        <w:tc>
          <w:tcPr>
            <w:tcW w:w="1224" w:type="dxa"/>
          </w:tcPr>
          <w:p>
            <w:pPr>
              <w:pStyle w:val="TableParagraph"/>
              <w:spacing w:before="30"/>
              <w:rPr>
                <w:sz w:val="22"/>
              </w:rPr>
            </w:pPr>
            <w:r>
              <w:rPr>
                <w:sz w:val="22"/>
              </w:rPr>
              <w:t>37</w:t>
            </w:r>
          </w:p>
        </w:tc>
        <w:tc>
          <w:tcPr>
            <w:tcW w:w="1145" w:type="dxa"/>
          </w:tcPr>
          <w:p>
            <w:pPr>
              <w:pStyle w:val="TableParagraph"/>
              <w:spacing w:before="30"/>
              <w:rPr>
                <w:sz w:val="22"/>
              </w:rPr>
            </w:pPr>
            <w:r>
              <w:rPr>
                <w:sz w:val="22"/>
              </w:rPr>
              <w:t>42</w:t>
            </w:r>
          </w:p>
        </w:tc>
        <w:tc>
          <w:tcPr>
            <w:tcW w:w="401" w:type="dxa"/>
          </w:tcPr>
          <w:p>
            <w:pPr>
              <w:pStyle w:val="TableParagraph"/>
              <w:spacing w:before="30"/>
              <w:ind w:right="63"/>
              <w:rPr>
                <w:sz w:val="22"/>
              </w:rPr>
            </w:pPr>
            <w:r>
              <w:rPr>
                <w:sz w:val="22"/>
              </w:rPr>
              <w:t>53</w:t>
            </w:r>
          </w:p>
        </w:tc>
        <w:tc>
          <w:tcPr>
            <w:tcW w:w="1145" w:type="dxa"/>
          </w:tcPr>
          <w:p>
            <w:pPr>
              <w:pStyle w:val="TableParagraph"/>
              <w:spacing w:before="30"/>
              <w:ind w:right="63"/>
              <w:rPr>
                <w:sz w:val="22"/>
              </w:rPr>
            </w:pPr>
            <w:r>
              <w:rPr>
                <w:sz w:val="22"/>
              </w:rPr>
              <w:t>59</w:t>
            </w:r>
          </w:p>
        </w:tc>
        <w:tc>
          <w:tcPr>
            <w:tcW w:w="1231" w:type="dxa"/>
          </w:tcPr>
          <w:p>
            <w:pPr>
              <w:pStyle w:val="TableParagraph"/>
              <w:spacing w:before="30"/>
              <w:rPr>
                <w:sz w:val="22"/>
              </w:rPr>
            </w:pPr>
            <w:r>
              <w:rPr>
                <w:sz w:val="22"/>
              </w:rPr>
              <w:t>107</w:t>
            </w:r>
          </w:p>
        </w:tc>
        <w:tc>
          <w:tcPr>
            <w:tcW w:w="1322" w:type="dxa"/>
          </w:tcPr>
          <w:p>
            <w:pPr>
              <w:pStyle w:val="TableParagraph"/>
              <w:spacing w:before="30"/>
              <w:ind w:right="63"/>
              <w:rPr>
                <w:sz w:val="22"/>
              </w:rPr>
            </w:pPr>
            <w:r>
              <w:rPr>
                <w:sz w:val="22"/>
              </w:rPr>
              <w:t>209</w:t>
            </w:r>
          </w:p>
        </w:tc>
      </w:tr>
      <w:tr>
        <w:trPr>
          <w:trHeight w:val="312" w:hRule="exact"/>
        </w:trPr>
        <w:tc>
          <w:tcPr>
            <w:tcW w:w="725" w:type="dxa"/>
          </w:tcPr>
          <w:p>
            <w:pPr>
              <w:pStyle w:val="TableParagraph"/>
              <w:spacing w:before="30"/>
              <w:ind w:left="169" w:right="170"/>
              <w:jc w:val="center"/>
              <w:rPr>
                <w:sz w:val="22"/>
              </w:rPr>
            </w:pPr>
            <w:r>
              <w:rPr>
                <w:sz w:val="22"/>
              </w:rPr>
              <w:t>86</w:t>
            </w:r>
          </w:p>
        </w:tc>
        <w:tc>
          <w:tcPr>
            <w:tcW w:w="1807" w:type="dxa"/>
          </w:tcPr>
          <w:p>
            <w:pPr>
              <w:pStyle w:val="TableParagraph"/>
              <w:spacing w:before="30"/>
              <w:ind w:right="63"/>
              <w:rPr>
                <w:sz w:val="22"/>
              </w:rPr>
            </w:pPr>
            <w:r>
              <w:rPr>
                <w:sz w:val="22"/>
              </w:rPr>
              <w:t>13/09/2009</w:t>
            </w:r>
          </w:p>
        </w:tc>
        <w:tc>
          <w:tcPr>
            <w:tcW w:w="1224" w:type="dxa"/>
          </w:tcPr>
          <w:p>
            <w:pPr>
              <w:pStyle w:val="TableParagraph"/>
              <w:spacing w:before="30"/>
              <w:rPr>
                <w:sz w:val="22"/>
              </w:rPr>
            </w:pPr>
            <w:r>
              <w:rPr>
                <w:sz w:val="22"/>
              </w:rPr>
              <w:t>26</w:t>
            </w:r>
          </w:p>
        </w:tc>
        <w:tc>
          <w:tcPr>
            <w:tcW w:w="1145" w:type="dxa"/>
          </w:tcPr>
          <w:p>
            <w:pPr>
              <w:pStyle w:val="TableParagraph"/>
              <w:spacing w:before="30"/>
              <w:rPr>
                <w:sz w:val="22"/>
              </w:rPr>
            </w:pPr>
            <w:r>
              <w:rPr>
                <w:sz w:val="22"/>
              </w:rPr>
              <w:t>36</w:t>
            </w:r>
          </w:p>
        </w:tc>
        <w:tc>
          <w:tcPr>
            <w:tcW w:w="401" w:type="dxa"/>
          </w:tcPr>
          <w:p>
            <w:pPr>
              <w:pStyle w:val="TableParagraph"/>
              <w:spacing w:before="30"/>
              <w:ind w:right="63"/>
              <w:rPr>
                <w:sz w:val="22"/>
              </w:rPr>
            </w:pPr>
            <w:r>
              <w:rPr>
                <w:sz w:val="22"/>
              </w:rPr>
              <w:t>33</w:t>
            </w:r>
          </w:p>
        </w:tc>
        <w:tc>
          <w:tcPr>
            <w:tcW w:w="1145" w:type="dxa"/>
          </w:tcPr>
          <w:p>
            <w:pPr>
              <w:pStyle w:val="TableParagraph"/>
              <w:spacing w:before="30"/>
              <w:ind w:right="63"/>
              <w:rPr>
                <w:sz w:val="22"/>
              </w:rPr>
            </w:pPr>
            <w:r>
              <w:rPr>
                <w:sz w:val="22"/>
              </w:rPr>
              <w:t>41</w:t>
            </w:r>
          </w:p>
        </w:tc>
        <w:tc>
          <w:tcPr>
            <w:tcW w:w="1231" w:type="dxa"/>
          </w:tcPr>
          <w:p>
            <w:pPr>
              <w:pStyle w:val="TableParagraph"/>
              <w:spacing w:before="30"/>
              <w:rPr>
                <w:sz w:val="22"/>
              </w:rPr>
            </w:pPr>
            <w:r>
              <w:rPr>
                <w:sz w:val="22"/>
              </w:rPr>
              <w:t>65</w:t>
            </w:r>
          </w:p>
        </w:tc>
        <w:tc>
          <w:tcPr>
            <w:tcW w:w="1322" w:type="dxa"/>
          </w:tcPr>
          <w:p>
            <w:pPr>
              <w:pStyle w:val="TableParagraph"/>
              <w:spacing w:before="30"/>
              <w:ind w:right="63"/>
              <w:rPr>
                <w:sz w:val="22"/>
              </w:rPr>
            </w:pPr>
            <w:r>
              <w:rPr>
                <w:sz w:val="22"/>
              </w:rPr>
              <w:t>83</w:t>
            </w:r>
          </w:p>
        </w:tc>
      </w:tr>
      <w:tr>
        <w:trPr>
          <w:trHeight w:val="310" w:hRule="exact"/>
        </w:trPr>
        <w:tc>
          <w:tcPr>
            <w:tcW w:w="725" w:type="dxa"/>
          </w:tcPr>
          <w:p>
            <w:pPr>
              <w:pStyle w:val="TableParagraph"/>
              <w:ind w:left="169" w:right="170"/>
              <w:jc w:val="center"/>
              <w:rPr>
                <w:sz w:val="22"/>
              </w:rPr>
            </w:pPr>
            <w:r>
              <w:rPr>
                <w:sz w:val="22"/>
              </w:rPr>
              <w:t>88</w:t>
            </w:r>
          </w:p>
        </w:tc>
        <w:tc>
          <w:tcPr>
            <w:tcW w:w="1807" w:type="dxa"/>
          </w:tcPr>
          <w:p>
            <w:pPr>
              <w:pStyle w:val="TableParagraph"/>
              <w:ind w:right="63"/>
              <w:rPr>
                <w:sz w:val="22"/>
              </w:rPr>
            </w:pPr>
            <w:r>
              <w:rPr>
                <w:sz w:val="22"/>
              </w:rPr>
              <w:t>15/09/2009</w:t>
            </w:r>
          </w:p>
        </w:tc>
        <w:tc>
          <w:tcPr>
            <w:tcW w:w="1224" w:type="dxa"/>
          </w:tcPr>
          <w:p>
            <w:pPr>
              <w:pStyle w:val="TableParagraph"/>
              <w:rPr>
                <w:sz w:val="22"/>
              </w:rPr>
            </w:pPr>
            <w:r>
              <w:rPr>
                <w:sz w:val="22"/>
              </w:rPr>
              <w:t>18</w:t>
            </w:r>
          </w:p>
        </w:tc>
        <w:tc>
          <w:tcPr>
            <w:tcW w:w="1145" w:type="dxa"/>
          </w:tcPr>
          <w:p>
            <w:pPr>
              <w:pStyle w:val="TableParagraph"/>
              <w:rPr>
                <w:sz w:val="22"/>
              </w:rPr>
            </w:pPr>
            <w:r>
              <w:rPr>
                <w:sz w:val="22"/>
              </w:rPr>
              <w:t>26</w:t>
            </w:r>
          </w:p>
        </w:tc>
        <w:tc>
          <w:tcPr>
            <w:tcW w:w="401" w:type="dxa"/>
          </w:tcPr>
          <w:p>
            <w:pPr>
              <w:pStyle w:val="TableParagraph"/>
              <w:ind w:right="63"/>
              <w:rPr>
                <w:sz w:val="22"/>
              </w:rPr>
            </w:pPr>
            <w:r>
              <w:rPr>
                <w:sz w:val="22"/>
              </w:rPr>
              <w:t>29</w:t>
            </w:r>
          </w:p>
        </w:tc>
        <w:tc>
          <w:tcPr>
            <w:tcW w:w="1145" w:type="dxa"/>
          </w:tcPr>
          <w:p>
            <w:pPr>
              <w:pStyle w:val="TableParagraph"/>
              <w:ind w:right="63"/>
              <w:rPr>
                <w:sz w:val="22"/>
              </w:rPr>
            </w:pPr>
            <w:r>
              <w:rPr>
                <w:sz w:val="22"/>
              </w:rPr>
              <w:t>28</w:t>
            </w:r>
          </w:p>
        </w:tc>
        <w:tc>
          <w:tcPr>
            <w:tcW w:w="1231" w:type="dxa"/>
          </w:tcPr>
          <w:p>
            <w:pPr>
              <w:pStyle w:val="TableParagraph"/>
              <w:rPr>
                <w:sz w:val="22"/>
              </w:rPr>
            </w:pPr>
            <w:r>
              <w:rPr>
                <w:sz w:val="22"/>
              </w:rPr>
              <w:t>32</w:t>
            </w:r>
          </w:p>
        </w:tc>
        <w:tc>
          <w:tcPr>
            <w:tcW w:w="1322" w:type="dxa"/>
          </w:tcPr>
          <w:p>
            <w:pPr>
              <w:pStyle w:val="TableParagraph"/>
              <w:ind w:right="63"/>
              <w:rPr>
                <w:sz w:val="22"/>
              </w:rPr>
            </w:pPr>
            <w:r>
              <w:rPr>
                <w:sz w:val="22"/>
              </w:rPr>
              <w:t>180</w:t>
            </w:r>
          </w:p>
        </w:tc>
      </w:tr>
      <w:tr>
        <w:trPr>
          <w:trHeight w:val="310" w:hRule="exact"/>
        </w:trPr>
        <w:tc>
          <w:tcPr>
            <w:tcW w:w="725" w:type="dxa"/>
          </w:tcPr>
          <w:p>
            <w:pPr>
              <w:pStyle w:val="TableParagraph"/>
              <w:ind w:left="169" w:right="170"/>
              <w:jc w:val="center"/>
              <w:rPr>
                <w:sz w:val="22"/>
              </w:rPr>
            </w:pPr>
            <w:r>
              <w:rPr>
                <w:sz w:val="22"/>
              </w:rPr>
              <w:t>91</w:t>
            </w:r>
          </w:p>
        </w:tc>
        <w:tc>
          <w:tcPr>
            <w:tcW w:w="1807" w:type="dxa"/>
          </w:tcPr>
          <w:p>
            <w:pPr>
              <w:pStyle w:val="TableParagraph"/>
              <w:ind w:right="63"/>
              <w:rPr>
                <w:sz w:val="22"/>
              </w:rPr>
            </w:pPr>
            <w:r>
              <w:rPr>
                <w:sz w:val="22"/>
              </w:rPr>
              <w:t>18/09/2009</w:t>
            </w:r>
          </w:p>
        </w:tc>
        <w:tc>
          <w:tcPr>
            <w:tcW w:w="1224" w:type="dxa"/>
          </w:tcPr>
          <w:p>
            <w:pPr>
              <w:pStyle w:val="TableParagraph"/>
              <w:rPr>
                <w:sz w:val="22"/>
              </w:rPr>
            </w:pPr>
            <w:r>
              <w:rPr>
                <w:sz w:val="22"/>
              </w:rPr>
              <w:t>25</w:t>
            </w:r>
          </w:p>
        </w:tc>
        <w:tc>
          <w:tcPr>
            <w:tcW w:w="1145" w:type="dxa"/>
          </w:tcPr>
          <w:p>
            <w:pPr>
              <w:pStyle w:val="TableParagraph"/>
              <w:rPr>
                <w:sz w:val="22"/>
              </w:rPr>
            </w:pPr>
            <w:r>
              <w:rPr>
                <w:sz w:val="22"/>
              </w:rPr>
              <w:t>27</w:t>
            </w:r>
          </w:p>
        </w:tc>
        <w:tc>
          <w:tcPr>
            <w:tcW w:w="401" w:type="dxa"/>
          </w:tcPr>
          <w:p>
            <w:pPr>
              <w:pStyle w:val="TableParagraph"/>
              <w:ind w:right="63"/>
              <w:rPr>
                <w:sz w:val="22"/>
              </w:rPr>
            </w:pPr>
            <w:r>
              <w:rPr>
                <w:sz w:val="22"/>
              </w:rPr>
              <w:t>31</w:t>
            </w:r>
          </w:p>
        </w:tc>
        <w:tc>
          <w:tcPr>
            <w:tcW w:w="1145" w:type="dxa"/>
          </w:tcPr>
          <w:p>
            <w:pPr>
              <w:pStyle w:val="TableParagraph"/>
              <w:ind w:right="63"/>
              <w:rPr>
                <w:sz w:val="22"/>
              </w:rPr>
            </w:pPr>
            <w:r>
              <w:rPr>
                <w:sz w:val="22"/>
              </w:rPr>
              <w:t>29</w:t>
            </w:r>
          </w:p>
        </w:tc>
        <w:tc>
          <w:tcPr>
            <w:tcW w:w="1231" w:type="dxa"/>
          </w:tcPr>
          <w:p>
            <w:pPr>
              <w:pStyle w:val="TableParagraph"/>
              <w:rPr>
                <w:sz w:val="22"/>
              </w:rPr>
            </w:pPr>
            <w:r>
              <w:rPr>
                <w:sz w:val="22"/>
              </w:rPr>
              <w:t>26</w:t>
            </w:r>
          </w:p>
        </w:tc>
        <w:tc>
          <w:tcPr>
            <w:tcW w:w="1322" w:type="dxa"/>
          </w:tcPr>
          <w:p>
            <w:pPr>
              <w:pStyle w:val="TableParagraph"/>
              <w:ind w:right="63"/>
              <w:rPr>
                <w:sz w:val="22"/>
              </w:rPr>
            </w:pPr>
            <w:r>
              <w:rPr>
                <w:sz w:val="22"/>
              </w:rPr>
              <w:t>146</w:t>
            </w:r>
          </w:p>
        </w:tc>
      </w:tr>
      <w:tr>
        <w:trPr>
          <w:trHeight w:val="310" w:hRule="exact"/>
        </w:trPr>
        <w:tc>
          <w:tcPr>
            <w:tcW w:w="725" w:type="dxa"/>
          </w:tcPr>
          <w:p>
            <w:pPr>
              <w:pStyle w:val="TableParagraph"/>
              <w:ind w:left="169" w:right="170"/>
              <w:jc w:val="center"/>
              <w:rPr>
                <w:sz w:val="22"/>
              </w:rPr>
            </w:pPr>
            <w:r>
              <w:rPr>
                <w:sz w:val="22"/>
              </w:rPr>
              <w:t>94</w:t>
            </w:r>
          </w:p>
        </w:tc>
        <w:tc>
          <w:tcPr>
            <w:tcW w:w="1807" w:type="dxa"/>
          </w:tcPr>
          <w:p>
            <w:pPr>
              <w:pStyle w:val="TableParagraph"/>
              <w:ind w:right="63"/>
              <w:rPr>
                <w:sz w:val="22"/>
              </w:rPr>
            </w:pPr>
            <w:r>
              <w:rPr>
                <w:sz w:val="22"/>
              </w:rPr>
              <w:t>21/09/2009</w:t>
            </w:r>
          </w:p>
        </w:tc>
        <w:tc>
          <w:tcPr>
            <w:tcW w:w="1224" w:type="dxa"/>
          </w:tcPr>
          <w:p>
            <w:pPr>
              <w:pStyle w:val="TableParagraph"/>
              <w:rPr>
                <w:sz w:val="22"/>
              </w:rPr>
            </w:pPr>
            <w:r>
              <w:rPr>
                <w:sz w:val="22"/>
              </w:rPr>
              <w:t>18</w:t>
            </w:r>
          </w:p>
        </w:tc>
        <w:tc>
          <w:tcPr>
            <w:tcW w:w="1145" w:type="dxa"/>
          </w:tcPr>
          <w:p>
            <w:pPr>
              <w:pStyle w:val="TableParagraph"/>
              <w:rPr>
                <w:sz w:val="22"/>
              </w:rPr>
            </w:pPr>
            <w:r>
              <w:rPr>
                <w:sz w:val="22"/>
              </w:rPr>
              <w:t>17</w:t>
            </w:r>
          </w:p>
        </w:tc>
        <w:tc>
          <w:tcPr>
            <w:tcW w:w="401" w:type="dxa"/>
          </w:tcPr>
          <w:p>
            <w:pPr>
              <w:pStyle w:val="TableParagraph"/>
              <w:ind w:right="63"/>
              <w:rPr>
                <w:sz w:val="22"/>
              </w:rPr>
            </w:pPr>
            <w:r>
              <w:rPr>
                <w:w w:val="100"/>
                <w:sz w:val="22"/>
              </w:rPr>
              <w:t>6</w:t>
            </w:r>
          </w:p>
        </w:tc>
        <w:tc>
          <w:tcPr>
            <w:tcW w:w="1145" w:type="dxa"/>
          </w:tcPr>
          <w:p>
            <w:pPr>
              <w:pStyle w:val="TableParagraph"/>
              <w:ind w:right="63"/>
              <w:rPr>
                <w:sz w:val="22"/>
              </w:rPr>
            </w:pPr>
            <w:r>
              <w:rPr>
                <w:sz w:val="22"/>
              </w:rPr>
              <w:t>17</w:t>
            </w:r>
          </w:p>
        </w:tc>
        <w:tc>
          <w:tcPr>
            <w:tcW w:w="1231" w:type="dxa"/>
          </w:tcPr>
          <w:p>
            <w:pPr>
              <w:pStyle w:val="TableParagraph"/>
              <w:rPr>
                <w:sz w:val="22"/>
              </w:rPr>
            </w:pPr>
            <w:r>
              <w:rPr>
                <w:sz w:val="22"/>
              </w:rPr>
              <w:t>59</w:t>
            </w:r>
          </w:p>
        </w:tc>
        <w:tc>
          <w:tcPr>
            <w:tcW w:w="1322" w:type="dxa"/>
          </w:tcPr>
          <w:p>
            <w:pPr>
              <w:pStyle w:val="TableParagraph"/>
              <w:ind w:right="63"/>
              <w:rPr>
                <w:sz w:val="22"/>
              </w:rPr>
            </w:pPr>
            <w:r>
              <w:rPr>
                <w:sz w:val="22"/>
              </w:rPr>
              <w:t>144</w:t>
            </w:r>
          </w:p>
        </w:tc>
      </w:tr>
      <w:tr>
        <w:trPr>
          <w:trHeight w:val="310" w:hRule="exact"/>
        </w:trPr>
        <w:tc>
          <w:tcPr>
            <w:tcW w:w="725" w:type="dxa"/>
          </w:tcPr>
          <w:p>
            <w:pPr>
              <w:pStyle w:val="TableParagraph"/>
              <w:ind w:left="169" w:right="170"/>
              <w:jc w:val="center"/>
              <w:rPr>
                <w:sz w:val="22"/>
              </w:rPr>
            </w:pPr>
            <w:r>
              <w:rPr>
                <w:sz w:val="22"/>
              </w:rPr>
              <w:t>97</w:t>
            </w:r>
          </w:p>
        </w:tc>
        <w:tc>
          <w:tcPr>
            <w:tcW w:w="1807" w:type="dxa"/>
          </w:tcPr>
          <w:p>
            <w:pPr>
              <w:pStyle w:val="TableParagraph"/>
              <w:ind w:right="63"/>
              <w:rPr>
                <w:sz w:val="22"/>
              </w:rPr>
            </w:pPr>
            <w:r>
              <w:rPr>
                <w:sz w:val="22"/>
              </w:rPr>
              <w:t>24/09/2009</w:t>
            </w:r>
          </w:p>
        </w:tc>
        <w:tc>
          <w:tcPr>
            <w:tcW w:w="1224" w:type="dxa"/>
          </w:tcPr>
          <w:p>
            <w:pPr>
              <w:pStyle w:val="TableParagraph"/>
              <w:rPr>
                <w:sz w:val="22"/>
              </w:rPr>
            </w:pPr>
            <w:r>
              <w:rPr>
                <w:sz w:val="22"/>
              </w:rPr>
              <w:t>28</w:t>
            </w:r>
          </w:p>
        </w:tc>
        <w:tc>
          <w:tcPr>
            <w:tcW w:w="1145" w:type="dxa"/>
          </w:tcPr>
          <w:p>
            <w:pPr>
              <w:pStyle w:val="TableParagraph"/>
              <w:rPr>
                <w:sz w:val="22"/>
              </w:rPr>
            </w:pPr>
            <w:r>
              <w:rPr>
                <w:sz w:val="22"/>
              </w:rPr>
              <w:t>39</w:t>
            </w:r>
          </w:p>
        </w:tc>
        <w:tc>
          <w:tcPr>
            <w:tcW w:w="401" w:type="dxa"/>
          </w:tcPr>
          <w:p>
            <w:pPr>
              <w:pStyle w:val="TableParagraph"/>
              <w:ind w:right="63"/>
              <w:rPr>
                <w:sz w:val="22"/>
              </w:rPr>
            </w:pPr>
            <w:r>
              <w:rPr>
                <w:sz w:val="22"/>
              </w:rPr>
              <w:t>17</w:t>
            </w:r>
          </w:p>
        </w:tc>
        <w:tc>
          <w:tcPr>
            <w:tcW w:w="1145" w:type="dxa"/>
          </w:tcPr>
          <w:p>
            <w:pPr>
              <w:pStyle w:val="TableParagraph"/>
              <w:ind w:right="63"/>
              <w:rPr>
                <w:sz w:val="22"/>
              </w:rPr>
            </w:pPr>
            <w:r>
              <w:rPr>
                <w:sz w:val="22"/>
              </w:rPr>
              <w:t>36</w:t>
            </w:r>
          </w:p>
        </w:tc>
        <w:tc>
          <w:tcPr>
            <w:tcW w:w="1231" w:type="dxa"/>
          </w:tcPr>
          <w:p>
            <w:pPr>
              <w:pStyle w:val="TableParagraph"/>
              <w:rPr>
                <w:sz w:val="22"/>
              </w:rPr>
            </w:pPr>
            <w:r>
              <w:rPr>
                <w:sz w:val="22"/>
              </w:rPr>
              <w:t>22</w:t>
            </w:r>
          </w:p>
        </w:tc>
        <w:tc>
          <w:tcPr>
            <w:tcW w:w="1322" w:type="dxa"/>
          </w:tcPr>
          <w:p>
            <w:pPr>
              <w:pStyle w:val="TableParagraph"/>
              <w:ind w:right="63"/>
              <w:rPr>
                <w:sz w:val="22"/>
              </w:rPr>
            </w:pPr>
            <w:r>
              <w:rPr>
                <w:sz w:val="22"/>
              </w:rPr>
              <w:t>172</w:t>
            </w:r>
          </w:p>
        </w:tc>
      </w:tr>
      <w:tr>
        <w:trPr>
          <w:trHeight w:val="310" w:hRule="exact"/>
        </w:trPr>
        <w:tc>
          <w:tcPr>
            <w:tcW w:w="725" w:type="dxa"/>
          </w:tcPr>
          <w:p>
            <w:pPr>
              <w:pStyle w:val="TableParagraph"/>
              <w:spacing w:before="30"/>
              <w:ind w:left="169" w:right="170"/>
              <w:jc w:val="center"/>
              <w:rPr>
                <w:sz w:val="22"/>
              </w:rPr>
            </w:pPr>
            <w:r>
              <w:rPr>
                <w:sz w:val="22"/>
              </w:rPr>
              <w:t>101</w:t>
            </w:r>
          </w:p>
        </w:tc>
        <w:tc>
          <w:tcPr>
            <w:tcW w:w="1807" w:type="dxa"/>
          </w:tcPr>
          <w:p>
            <w:pPr>
              <w:pStyle w:val="TableParagraph"/>
              <w:spacing w:before="30"/>
              <w:ind w:right="63"/>
              <w:rPr>
                <w:sz w:val="22"/>
              </w:rPr>
            </w:pPr>
            <w:r>
              <w:rPr>
                <w:sz w:val="22"/>
              </w:rPr>
              <w:t>28/09/2009</w:t>
            </w:r>
          </w:p>
        </w:tc>
        <w:tc>
          <w:tcPr>
            <w:tcW w:w="1224" w:type="dxa"/>
          </w:tcPr>
          <w:p>
            <w:pPr>
              <w:pStyle w:val="TableParagraph"/>
              <w:spacing w:before="30"/>
              <w:rPr>
                <w:sz w:val="22"/>
              </w:rPr>
            </w:pPr>
            <w:r>
              <w:rPr>
                <w:sz w:val="22"/>
              </w:rPr>
              <w:t>39</w:t>
            </w:r>
          </w:p>
        </w:tc>
        <w:tc>
          <w:tcPr>
            <w:tcW w:w="1145" w:type="dxa"/>
          </w:tcPr>
          <w:p>
            <w:pPr>
              <w:pStyle w:val="TableParagraph"/>
              <w:spacing w:before="30"/>
              <w:rPr>
                <w:sz w:val="22"/>
              </w:rPr>
            </w:pPr>
            <w:r>
              <w:rPr>
                <w:sz w:val="22"/>
              </w:rPr>
              <w:t>38</w:t>
            </w:r>
          </w:p>
        </w:tc>
        <w:tc>
          <w:tcPr>
            <w:tcW w:w="401" w:type="dxa"/>
          </w:tcPr>
          <w:p>
            <w:pPr>
              <w:pStyle w:val="TableParagraph"/>
              <w:spacing w:before="30"/>
              <w:ind w:right="63"/>
              <w:rPr>
                <w:sz w:val="22"/>
              </w:rPr>
            </w:pPr>
            <w:r>
              <w:rPr>
                <w:sz w:val="22"/>
              </w:rPr>
              <w:t>36</w:t>
            </w:r>
          </w:p>
        </w:tc>
        <w:tc>
          <w:tcPr>
            <w:tcW w:w="1145" w:type="dxa"/>
          </w:tcPr>
          <w:p>
            <w:pPr>
              <w:pStyle w:val="TableParagraph"/>
              <w:spacing w:before="30"/>
              <w:ind w:right="63"/>
              <w:rPr>
                <w:sz w:val="22"/>
              </w:rPr>
            </w:pPr>
            <w:r>
              <w:rPr>
                <w:sz w:val="22"/>
              </w:rPr>
              <w:t>43</w:t>
            </w:r>
          </w:p>
        </w:tc>
        <w:tc>
          <w:tcPr>
            <w:tcW w:w="1231" w:type="dxa"/>
          </w:tcPr>
          <w:p>
            <w:pPr>
              <w:pStyle w:val="TableParagraph"/>
              <w:spacing w:before="30"/>
              <w:rPr>
                <w:sz w:val="22"/>
              </w:rPr>
            </w:pPr>
            <w:r>
              <w:rPr>
                <w:sz w:val="22"/>
              </w:rPr>
              <w:t>44</w:t>
            </w:r>
          </w:p>
        </w:tc>
        <w:tc>
          <w:tcPr>
            <w:tcW w:w="1322" w:type="dxa"/>
          </w:tcPr>
          <w:p>
            <w:pPr>
              <w:pStyle w:val="TableParagraph"/>
              <w:spacing w:before="30"/>
              <w:ind w:right="63"/>
              <w:rPr>
                <w:sz w:val="22"/>
              </w:rPr>
            </w:pPr>
            <w:r>
              <w:rPr>
                <w:sz w:val="22"/>
              </w:rPr>
              <w:t>188</w:t>
            </w:r>
          </w:p>
        </w:tc>
      </w:tr>
      <w:tr>
        <w:trPr>
          <w:trHeight w:val="312" w:hRule="exact"/>
        </w:trPr>
        <w:tc>
          <w:tcPr>
            <w:tcW w:w="725" w:type="dxa"/>
          </w:tcPr>
          <w:p>
            <w:pPr>
              <w:pStyle w:val="TableParagraph"/>
              <w:spacing w:before="30"/>
              <w:ind w:left="169" w:right="170"/>
              <w:jc w:val="center"/>
              <w:rPr>
                <w:sz w:val="22"/>
              </w:rPr>
            </w:pPr>
            <w:r>
              <w:rPr>
                <w:sz w:val="22"/>
              </w:rPr>
              <w:t>104</w:t>
            </w:r>
          </w:p>
        </w:tc>
        <w:tc>
          <w:tcPr>
            <w:tcW w:w="1807" w:type="dxa"/>
          </w:tcPr>
          <w:p>
            <w:pPr>
              <w:pStyle w:val="TableParagraph"/>
              <w:spacing w:before="30"/>
              <w:ind w:right="63"/>
              <w:rPr>
                <w:sz w:val="22"/>
              </w:rPr>
            </w:pPr>
            <w:r>
              <w:rPr>
                <w:sz w:val="22"/>
              </w:rPr>
              <w:t>01/10/2009</w:t>
            </w:r>
          </w:p>
        </w:tc>
        <w:tc>
          <w:tcPr>
            <w:tcW w:w="1224" w:type="dxa"/>
          </w:tcPr>
          <w:p>
            <w:pPr>
              <w:pStyle w:val="TableParagraph"/>
              <w:spacing w:before="30"/>
              <w:rPr>
                <w:sz w:val="22"/>
              </w:rPr>
            </w:pPr>
            <w:r>
              <w:rPr>
                <w:sz w:val="22"/>
              </w:rPr>
              <w:t>31</w:t>
            </w:r>
          </w:p>
        </w:tc>
        <w:tc>
          <w:tcPr>
            <w:tcW w:w="1145" w:type="dxa"/>
          </w:tcPr>
          <w:p>
            <w:pPr>
              <w:pStyle w:val="TableParagraph"/>
              <w:spacing w:before="30"/>
              <w:rPr>
                <w:sz w:val="22"/>
              </w:rPr>
            </w:pPr>
            <w:r>
              <w:rPr>
                <w:sz w:val="22"/>
              </w:rPr>
              <w:t>30</w:t>
            </w:r>
          </w:p>
        </w:tc>
        <w:tc>
          <w:tcPr>
            <w:tcW w:w="401" w:type="dxa"/>
          </w:tcPr>
          <w:p>
            <w:pPr>
              <w:pStyle w:val="TableParagraph"/>
              <w:spacing w:before="30"/>
              <w:ind w:right="63"/>
              <w:rPr>
                <w:sz w:val="22"/>
              </w:rPr>
            </w:pPr>
            <w:r>
              <w:rPr>
                <w:sz w:val="22"/>
              </w:rPr>
              <w:t>19</w:t>
            </w:r>
          </w:p>
        </w:tc>
        <w:tc>
          <w:tcPr>
            <w:tcW w:w="1145" w:type="dxa"/>
          </w:tcPr>
          <w:p>
            <w:pPr>
              <w:pStyle w:val="TableParagraph"/>
              <w:spacing w:before="30"/>
              <w:ind w:right="63"/>
              <w:rPr>
                <w:sz w:val="22"/>
              </w:rPr>
            </w:pPr>
            <w:r>
              <w:rPr>
                <w:sz w:val="22"/>
              </w:rPr>
              <w:t>32</w:t>
            </w:r>
          </w:p>
        </w:tc>
        <w:tc>
          <w:tcPr>
            <w:tcW w:w="1231" w:type="dxa"/>
          </w:tcPr>
          <w:p>
            <w:pPr>
              <w:pStyle w:val="TableParagraph"/>
              <w:spacing w:before="30"/>
              <w:rPr>
                <w:sz w:val="22"/>
              </w:rPr>
            </w:pPr>
            <w:r>
              <w:rPr>
                <w:sz w:val="22"/>
              </w:rPr>
              <w:t>47</w:t>
            </w:r>
          </w:p>
        </w:tc>
        <w:tc>
          <w:tcPr>
            <w:tcW w:w="1322" w:type="dxa"/>
          </w:tcPr>
          <w:p>
            <w:pPr>
              <w:pStyle w:val="TableParagraph"/>
              <w:spacing w:before="30"/>
              <w:ind w:right="63"/>
              <w:rPr>
                <w:sz w:val="22"/>
              </w:rPr>
            </w:pPr>
            <w:r>
              <w:rPr>
                <w:sz w:val="22"/>
              </w:rPr>
              <w:t>210</w:t>
            </w:r>
          </w:p>
        </w:tc>
      </w:tr>
      <w:tr>
        <w:trPr>
          <w:trHeight w:val="310" w:hRule="exact"/>
        </w:trPr>
        <w:tc>
          <w:tcPr>
            <w:tcW w:w="725" w:type="dxa"/>
          </w:tcPr>
          <w:p>
            <w:pPr>
              <w:pStyle w:val="TableParagraph"/>
              <w:ind w:left="169" w:right="170"/>
              <w:jc w:val="center"/>
              <w:rPr>
                <w:sz w:val="22"/>
              </w:rPr>
            </w:pPr>
            <w:r>
              <w:rPr>
                <w:sz w:val="22"/>
              </w:rPr>
              <w:t>109</w:t>
            </w:r>
          </w:p>
        </w:tc>
        <w:tc>
          <w:tcPr>
            <w:tcW w:w="1807" w:type="dxa"/>
          </w:tcPr>
          <w:p>
            <w:pPr>
              <w:pStyle w:val="TableParagraph"/>
              <w:ind w:right="63"/>
              <w:rPr>
                <w:sz w:val="22"/>
              </w:rPr>
            </w:pPr>
            <w:r>
              <w:rPr>
                <w:sz w:val="22"/>
              </w:rPr>
              <w:t>06/10/2009</w:t>
            </w:r>
          </w:p>
        </w:tc>
        <w:tc>
          <w:tcPr>
            <w:tcW w:w="1224" w:type="dxa"/>
          </w:tcPr>
          <w:p>
            <w:pPr>
              <w:pStyle w:val="TableParagraph"/>
              <w:rPr>
                <w:sz w:val="22"/>
              </w:rPr>
            </w:pPr>
            <w:r>
              <w:rPr>
                <w:sz w:val="22"/>
              </w:rPr>
              <w:t>32</w:t>
            </w:r>
          </w:p>
        </w:tc>
        <w:tc>
          <w:tcPr>
            <w:tcW w:w="1145" w:type="dxa"/>
          </w:tcPr>
          <w:p>
            <w:pPr>
              <w:pStyle w:val="TableParagraph"/>
              <w:rPr>
                <w:sz w:val="22"/>
              </w:rPr>
            </w:pPr>
            <w:r>
              <w:rPr>
                <w:sz w:val="22"/>
              </w:rPr>
              <w:t>29</w:t>
            </w:r>
          </w:p>
        </w:tc>
        <w:tc>
          <w:tcPr>
            <w:tcW w:w="401" w:type="dxa"/>
          </w:tcPr>
          <w:p>
            <w:pPr>
              <w:pStyle w:val="TableParagraph"/>
              <w:ind w:right="63"/>
              <w:rPr>
                <w:sz w:val="22"/>
              </w:rPr>
            </w:pPr>
            <w:r>
              <w:rPr>
                <w:sz w:val="22"/>
              </w:rPr>
              <w:t>35</w:t>
            </w:r>
          </w:p>
        </w:tc>
        <w:tc>
          <w:tcPr>
            <w:tcW w:w="1145" w:type="dxa"/>
          </w:tcPr>
          <w:p>
            <w:pPr>
              <w:pStyle w:val="TableParagraph"/>
              <w:ind w:right="63"/>
              <w:rPr>
                <w:sz w:val="22"/>
              </w:rPr>
            </w:pPr>
            <w:r>
              <w:rPr>
                <w:sz w:val="22"/>
              </w:rPr>
              <w:t>37</w:t>
            </w:r>
          </w:p>
        </w:tc>
        <w:tc>
          <w:tcPr>
            <w:tcW w:w="1231" w:type="dxa"/>
          </w:tcPr>
          <w:p>
            <w:pPr>
              <w:pStyle w:val="TableParagraph"/>
              <w:rPr>
                <w:sz w:val="22"/>
              </w:rPr>
            </w:pPr>
            <w:r>
              <w:rPr>
                <w:sz w:val="22"/>
              </w:rPr>
              <w:t>32</w:t>
            </w:r>
          </w:p>
        </w:tc>
        <w:tc>
          <w:tcPr>
            <w:tcW w:w="1322" w:type="dxa"/>
          </w:tcPr>
          <w:p>
            <w:pPr>
              <w:pStyle w:val="TableParagraph"/>
              <w:ind w:right="63"/>
              <w:rPr>
                <w:sz w:val="22"/>
              </w:rPr>
            </w:pPr>
            <w:r>
              <w:rPr>
                <w:sz w:val="22"/>
              </w:rPr>
              <w:t>87</w:t>
            </w:r>
          </w:p>
        </w:tc>
      </w:tr>
      <w:tr>
        <w:trPr>
          <w:trHeight w:val="310" w:hRule="exact"/>
        </w:trPr>
        <w:tc>
          <w:tcPr>
            <w:tcW w:w="725" w:type="dxa"/>
          </w:tcPr>
          <w:p>
            <w:pPr>
              <w:pStyle w:val="TableParagraph"/>
              <w:ind w:left="169" w:right="170"/>
              <w:jc w:val="center"/>
              <w:rPr>
                <w:sz w:val="22"/>
              </w:rPr>
            </w:pPr>
            <w:r>
              <w:rPr>
                <w:sz w:val="22"/>
              </w:rPr>
              <w:t>112</w:t>
            </w:r>
          </w:p>
        </w:tc>
        <w:tc>
          <w:tcPr>
            <w:tcW w:w="1807" w:type="dxa"/>
          </w:tcPr>
          <w:p>
            <w:pPr>
              <w:pStyle w:val="TableParagraph"/>
              <w:ind w:right="63"/>
              <w:rPr>
                <w:sz w:val="22"/>
              </w:rPr>
            </w:pPr>
            <w:r>
              <w:rPr>
                <w:sz w:val="22"/>
              </w:rPr>
              <w:t>09/10/2009</w:t>
            </w:r>
          </w:p>
        </w:tc>
        <w:tc>
          <w:tcPr>
            <w:tcW w:w="1224" w:type="dxa"/>
          </w:tcPr>
          <w:p>
            <w:pPr>
              <w:pStyle w:val="TableParagraph"/>
              <w:rPr>
                <w:sz w:val="22"/>
              </w:rPr>
            </w:pPr>
            <w:r>
              <w:rPr>
                <w:sz w:val="22"/>
              </w:rPr>
              <w:t>59</w:t>
            </w:r>
          </w:p>
        </w:tc>
        <w:tc>
          <w:tcPr>
            <w:tcW w:w="1145" w:type="dxa"/>
          </w:tcPr>
          <w:p>
            <w:pPr>
              <w:pStyle w:val="TableParagraph"/>
              <w:rPr>
                <w:sz w:val="22"/>
              </w:rPr>
            </w:pPr>
            <w:r>
              <w:rPr>
                <w:sz w:val="22"/>
              </w:rPr>
              <w:t>72</w:t>
            </w:r>
          </w:p>
        </w:tc>
        <w:tc>
          <w:tcPr>
            <w:tcW w:w="401" w:type="dxa"/>
          </w:tcPr>
          <w:p>
            <w:pPr>
              <w:pStyle w:val="TableParagraph"/>
              <w:ind w:right="63"/>
              <w:rPr>
                <w:sz w:val="22"/>
              </w:rPr>
            </w:pPr>
            <w:r>
              <w:rPr>
                <w:sz w:val="22"/>
              </w:rPr>
              <w:t>47</w:t>
            </w:r>
          </w:p>
        </w:tc>
        <w:tc>
          <w:tcPr>
            <w:tcW w:w="1145" w:type="dxa"/>
          </w:tcPr>
          <w:p>
            <w:pPr>
              <w:pStyle w:val="TableParagraph"/>
              <w:ind w:right="63"/>
              <w:rPr>
                <w:sz w:val="22"/>
              </w:rPr>
            </w:pPr>
            <w:r>
              <w:rPr>
                <w:sz w:val="22"/>
              </w:rPr>
              <w:t>60</w:t>
            </w:r>
          </w:p>
        </w:tc>
        <w:tc>
          <w:tcPr>
            <w:tcW w:w="1231" w:type="dxa"/>
          </w:tcPr>
          <w:p>
            <w:pPr>
              <w:pStyle w:val="TableParagraph"/>
              <w:rPr>
                <w:sz w:val="22"/>
              </w:rPr>
            </w:pPr>
            <w:r>
              <w:rPr>
                <w:sz w:val="22"/>
              </w:rPr>
              <w:t>65</w:t>
            </w:r>
          </w:p>
        </w:tc>
        <w:tc>
          <w:tcPr>
            <w:tcW w:w="1322" w:type="dxa"/>
          </w:tcPr>
          <w:p>
            <w:pPr>
              <w:pStyle w:val="TableParagraph"/>
              <w:ind w:right="63"/>
              <w:rPr>
                <w:sz w:val="22"/>
              </w:rPr>
            </w:pPr>
            <w:r>
              <w:rPr>
                <w:sz w:val="22"/>
              </w:rPr>
              <w:t>214</w:t>
            </w:r>
          </w:p>
        </w:tc>
      </w:tr>
      <w:tr>
        <w:trPr>
          <w:trHeight w:val="310" w:hRule="exact"/>
        </w:trPr>
        <w:tc>
          <w:tcPr>
            <w:tcW w:w="725" w:type="dxa"/>
          </w:tcPr>
          <w:p>
            <w:pPr>
              <w:pStyle w:val="TableParagraph"/>
              <w:ind w:left="169" w:right="170"/>
              <w:jc w:val="center"/>
              <w:rPr>
                <w:sz w:val="22"/>
              </w:rPr>
            </w:pPr>
            <w:r>
              <w:rPr>
                <w:sz w:val="22"/>
              </w:rPr>
              <w:t>116</w:t>
            </w:r>
          </w:p>
        </w:tc>
        <w:tc>
          <w:tcPr>
            <w:tcW w:w="1807" w:type="dxa"/>
          </w:tcPr>
          <w:p>
            <w:pPr>
              <w:pStyle w:val="TableParagraph"/>
              <w:ind w:right="63"/>
              <w:rPr>
                <w:sz w:val="22"/>
              </w:rPr>
            </w:pPr>
            <w:r>
              <w:rPr>
                <w:sz w:val="22"/>
              </w:rPr>
              <w:t>13/10/2009</w:t>
            </w:r>
          </w:p>
        </w:tc>
        <w:tc>
          <w:tcPr>
            <w:tcW w:w="1224" w:type="dxa"/>
          </w:tcPr>
          <w:p>
            <w:pPr>
              <w:pStyle w:val="TableParagraph"/>
              <w:rPr>
                <w:sz w:val="22"/>
              </w:rPr>
            </w:pPr>
            <w:r>
              <w:rPr>
                <w:sz w:val="22"/>
              </w:rPr>
              <w:t>56</w:t>
            </w:r>
          </w:p>
        </w:tc>
        <w:tc>
          <w:tcPr>
            <w:tcW w:w="1145" w:type="dxa"/>
          </w:tcPr>
          <w:p>
            <w:pPr>
              <w:pStyle w:val="TableParagraph"/>
              <w:rPr>
                <w:sz w:val="22"/>
              </w:rPr>
            </w:pPr>
            <w:r>
              <w:rPr>
                <w:sz w:val="22"/>
              </w:rPr>
              <w:t>43</w:t>
            </w:r>
          </w:p>
        </w:tc>
        <w:tc>
          <w:tcPr>
            <w:tcW w:w="401" w:type="dxa"/>
          </w:tcPr>
          <w:p>
            <w:pPr>
              <w:pStyle w:val="TableParagraph"/>
              <w:ind w:right="63"/>
              <w:rPr>
                <w:sz w:val="22"/>
              </w:rPr>
            </w:pPr>
            <w:r>
              <w:rPr>
                <w:sz w:val="22"/>
              </w:rPr>
              <w:t>46</w:t>
            </w:r>
          </w:p>
        </w:tc>
        <w:tc>
          <w:tcPr>
            <w:tcW w:w="1145" w:type="dxa"/>
          </w:tcPr>
          <w:p>
            <w:pPr>
              <w:pStyle w:val="TableParagraph"/>
              <w:ind w:right="63"/>
              <w:rPr>
                <w:sz w:val="22"/>
              </w:rPr>
            </w:pPr>
            <w:r>
              <w:rPr>
                <w:sz w:val="22"/>
              </w:rPr>
              <w:t>51</w:t>
            </w:r>
          </w:p>
        </w:tc>
        <w:tc>
          <w:tcPr>
            <w:tcW w:w="1231" w:type="dxa"/>
          </w:tcPr>
          <w:p>
            <w:pPr>
              <w:pStyle w:val="TableParagraph"/>
              <w:rPr>
                <w:sz w:val="22"/>
              </w:rPr>
            </w:pPr>
            <w:r>
              <w:rPr>
                <w:sz w:val="22"/>
              </w:rPr>
              <w:t>55</w:t>
            </w:r>
          </w:p>
        </w:tc>
        <w:tc>
          <w:tcPr>
            <w:tcW w:w="1322" w:type="dxa"/>
          </w:tcPr>
          <w:p>
            <w:pPr>
              <w:pStyle w:val="TableParagraph"/>
              <w:ind w:right="63"/>
              <w:rPr>
                <w:sz w:val="22"/>
              </w:rPr>
            </w:pPr>
            <w:r>
              <w:rPr>
                <w:sz w:val="22"/>
              </w:rPr>
              <w:t>189</w:t>
            </w:r>
          </w:p>
        </w:tc>
      </w:tr>
      <w:tr>
        <w:trPr>
          <w:trHeight w:val="310" w:hRule="exact"/>
        </w:trPr>
        <w:tc>
          <w:tcPr>
            <w:tcW w:w="725" w:type="dxa"/>
          </w:tcPr>
          <w:p>
            <w:pPr>
              <w:pStyle w:val="TableParagraph"/>
              <w:ind w:left="169" w:right="170"/>
              <w:jc w:val="center"/>
              <w:rPr>
                <w:sz w:val="22"/>
              </w:rPr>
            </w:pPr>
            <w:r>
              <w:rPr>
                <w:sz w:val="22"/>
              </w:rPr>
              <w:t>119</w:t>
            </w:r>
          </w:p>
        </w:tc>
        <w:tc>
          <w:tcPr>
            <w:tcW w:w="1807" w:type="dxa"/>
          </w:tcPr>
          <w:p>
            <w:pPr>
              <w:pStyle w:val="TableParagraph"/>
              <w:ind w:right="63"/>
              <w:rPr>
                <w:sz w:val="22"/>
              </w:rPr>
            </w:pPr>
            <w:r>
              <w:rPr>
                <w:sz w:val="22"/>
              </w:rPr>
              <w:t>16/10/2009</w:t>
            </w:r>
          </w:p>
        </w:tc>
        <w:tc>
          <w:tcPr>
            <w:tcW w:w="1224" w:type="dxa"/>
          </w:tcPr>
          <w:p>
            <w:pPr>
              <w:pStyle w:val="TableParagraph"/>
              <w:rPr>
                <w:sz w:val="22"/>
              </w:rPr>
            </w:pPr>
            <w:r>
              <w:rPr>
                <w:sz w:val="22"/>
              </w:rPr>
              <w:t>50</w:t>
            </w:r>
          </w:p>
        </w:tc>
        <w:tc>
          <w:tcPr>
            <w:tcW w:w="1145" w:type="dxa"/>
          </w:tcPr>
          <w:p>
            <w:pPr>
              <w:pStyle w:val="TableParagraph"/>
              <w:rPr>
                <w:sz w:val="22"/>
              </w:rPr>
            </w:pPr>
            <w:r>
              <w:rPr>
                <w:sz w:val="22"/>
              </w:rPr>
              <w:t>52</w:t>
            </w:r>
          </w:p>
        </w:tc>
        <w:tc>
          <w:tcPr>
            <w:tcW w:w="401" w:type="dxa"/>
          </w:tcPr>
          <w:p>
            <w:pPr>
              <w:pStyle w:val="TableParagraph"/>
              <w:ind w:right="63"/>
              <w:rPr>
                <w:sz w:val="22"/>
              </w:rPr>
            </w:pPr>
            <w:r>
              <w:rPr>
                <w:sz w:val="22"/>
              </w:rPr>
              <w:t>42</w:t>
            </w:r>
          </w:p>
        </w:tc>
        <w:tc>
          <w:tcPr>
            <w:tcW w:w="1145" w:type="dxa"/>
          </w:tcPr>
          <w:p>
            <w:pPr>
              <w:pStyle w:val="TableParagraph"/>
              <w:ind w:right="63"/>
              <w:rPr>
                <w:sz w:val="22"/>
              </w:rPr>
            </w:pPr>
            <w:r>
              <w:rPr>
                <w:sz w:val="22"/>
              </w:rPr>
              <w:t>55</w:t>
            </w:r>
          </w:p>
        </w:tc>
        <w:tc>
          <w:tcPr>
            <w:tcW w:w="1231" w:type="dxa"/>
          </w:tcPr>
          <w:p>
            <w:pPr>
              <w:pStyle w:val="TableParagraph"/>
              <w:rPr>
                <w:sz w:val="22"/>
              </w:rPr>
            </w:pPr>
            <w:r>
              <w:rPr>
                <w:sz w:val="22"/>
              </w:rPr>
              <w:t>55</w:t>
            </w:r>
          </w:p>
        </w:tc>
        <w:tc>
          <w:tcPr>
            <w:tcW w:w="1322" w:type="dxa"/>
          </w:tcPr>
          <w:p>
            <w:pPr>
              <w:pStyle w:val="TableParagraph"/>
              <w:ind w:right="63"/>
              <w:rPr>
                <w:sz w:val="22"/>
              </w:rPr>
            </w:pPr>
            <w:r>
              <w:rPr>
                <w:sz w:val="22"/>
              </w:rPr>
              <w:t>230</w:t>
            </w:r>
          </w:p>
        </w:tc>
      </w:tr>
      <w:tr>
        <w:trPr>
          <w:trHeight w:val="310" w:hRule="exact"/>
        </w:trPr>
        <w:tc>
          <w:tcPr>
            <w:tcW w:w="725" w:type="dxa"/>
          </w:tcPr>
          <w:p>
            <w:pPr>
              <w:pStyle w:val="TableParagraph"/>
              <w:spacing w:before="30"/>
              <w:ind w:left="169" w:right="170"/>
              <w:jc w:val="center"/>
              <w:rPr>
                <w:sz w:val="22"/>
              </w:rPr>
            </w:pPr>
            <w:r>
              <w:rPr>
                <w:sz w:val="22"/>
              </w:rPr>
              <w:t>122</w:t>
            </w:r>
          </w:p>
        </w:tc>
        <w:tc>
          <w:tcPr>
            <w:tcW w:w="1807" w:type="dxa"/>
          </w:tcPr>
          <w:p>
            <w:pPr>
              <w:pStyle w:val="TableParagraph"/>
              <w:spacing w:before="30"/>
              <w:ind w:right="63"/>
              <w:rPr>
                <w:sz w:val="22"/>
              </w:rPr>
            </w:pPr>
            <w:r>
              <w:rPr>
                <w:sz w:val="22"/>
              </w:rPr>
              <w:t>19/10/2009</w:t>
            </w:r>
          </w:p>
        </w:tc>
        <w:tc>
          <w:tcPr>
            <w:tcW w:w="1224" w:type="dxa"/>
          </w:tcPr>
          <w:p>
            <w:pPr>
              <w:pStyle w:val="TableParagraph"/>
              <w:spacing w:before="30"/>
              <w:rPr>
                <w:sz w:val="22"/>
              </w:rPr>
            </w:pPr>
            <w:r>
              <w:rPr>
                <w:sz w:val="22"/>
              </w:rPr>
              <w:t>50</w:t>
            </w:r>
          </w:p>
        </w:tc>
        <w:tc>
          <w:tcPr>
            <w:tcW w:w="1145" w:type="dxa"/>
          </w:tcPr>
          <w:p>
            <w:pPr>
              <w:pStyle w:val="TableParagraph"/>
              <w:spacing w:before="30"/>
              <w:rPr>
                <w:sz w:val="22"/>
              </w:rPr>
            </w:pPr>
            <w:r>
              <w:rPr>
                <w:sz w:val="22"/>
              </w:rPr>
              <w:t>34</w:t>
            </w:r>
          </w:p>
        </w:tc>
        <w:tc>
          <w:tcPr>
            <w:tcW w:w="401" w:type="dxa"/>
          </w:tcPr>
          <w:p>
            <w:pPr>
              <w:pStyle w:val="TableParagraph"/>
              <w:spacing w:before="30"/>
              <w:ind w:right="63"/>
              <w:rPr>
                <w:sz w:val="22"/>
              </w:rPr>
            </w:pPr>
            <w:r>
              <w:rPr>
                <w:sz w:val="22"/>
              </w:rPr>
              <w:t>56</w:t>
            </w:r>
          </w:p>
        </w:tc>
        <w:tc>
          <w:tcPr>
            <w:tcW w:w="1145" w:type="dxa"/>
          </w:tcPr>
          <w:p>
            <w:pPr>
              <w:pStyle w:val="TableParagraph"/>
              <w:spacing w:before="30"/>
              <w:ind w:right="63"/>
              <w:rPr>
                <w:sz w:val="22"/>
              </w:rPr>
            </w:pPr>
            <w:r>
              <w:rPr>
                <w:sz w:val="22"/>
              </w:rPr>
              <w:t>58</w:t>
            </w:r>
          </w:p>
        </w:tc>
        <w:tc>
          <w:tcPr>
            <w:tcW w:w="1231" w:type="dxa"/>
          </w:tcPr>
          <w:p>
            <w:pPr>
              <w:pStyle w:val="TableParagraph"/>
              <w:spacing w:before="30"/>
              <w:rPr>
                <w:sz w:val="22"/>
              </w:rPr>
            </w:pPr>
            <w:r>
              <w:rPr>
                <w:sz w:val="22"/>
              </w:rPr>
              <w:t>75</w:t>
            </w:r>
          </w:p>
        </w:tc>
        <w:tc>
          <w:tcPr>
            <w:tcW w:w="1322" w:type="dxa"/>
          </w:tcPr>
          <w:p>
            <w:pPr>
              <w:pStyle w:val="TableParagraph"/>
              <w:spacing w:before="30"/>
              <w:ind w:right="63"/>
              <w:rPr>
                <w:sz w:val="22"/>
              </w:rPr>
            </w:pPr>
            <w:r>
              <w:rPr>
                <w:sz w:val="22"/>
              </w:rPr>
              <w:t>325</w:t>
            </w:r>
          </w:p>
        </w:tc>
      </w:tr>
      <w:tr>
        <w:trPr>
          <w:trHeight w:val="312" w:hRule="exact"/>
        </w:trPr>
        <w:tc>
          <w:tcPr>
            <w:tcW w:w="725" w:type="dxa"/>
          </w:tcPr>
          <w:p>
            <w:pPr>
              <w:pStyle w:val="TableParagraph"/>
              <w:spacing w:before="30"/>
              <w:ind w:left="169" w:right="170"/>
              <w:jc w:val="center"/>
              <w:rPr>
                <w:sz w:val="22"/>
              </w:rPr>
            </w:pPr>
            <w:r>
              <w:rPr>
                <w:sz w:val="22"/>
              </w:rPr>
              <w:t>125</w:t>
            </w:r>
          </w:p>
        </w:tc>
        <w:tc>
          <w:tcPr>
            <w:tcW w:w="1807" w:type="dxa"/>
          </w:tcPr>
          <w:p>
            <w:pPr>
              <w:pStyle w:val="TableParagraph"/>
              <w:spacing w:before="30"/>
              <w:ind w:right="63"/>
              <w:rPr>
                <w:sz w:val="22"/>
              </w:rPr>
            </w:pPr>
            <w:r>
              <w:rPr>
                <w:sz w:val="22"/>
              </w:rPr>
              <w:t>22/10/2009</w:t>
            </w:r>
          </w:p>
        </w:tc>
        <w:tc>
          <w:tcPr>
            <w:tcW w:w="1224" w:type="dxa"/>
          </w:tcPr>
          <w:p>
            <w:pPr>
              <w:pStyle w:val="TableParagraph"/>
              <w:spacing w:before="30"/>
              <w:rPr>
                <w:sz w:val="22"/>
              </w:rPr>
            </w:pPr>
            <w:r>
              <w:rPr>
                <w:sz w:val="22"/>
              </w:rPr>
              <w:t>81</w:t>
            </w:r>
          </w:p>
        </w:tc>
        <w:tc>
          <w:tcPr>
            <w:tcW w:w="1145" w:type="dxa"/>
          </w:tcPr>
          <w:p>
            <w:pPr>
              <w:pStyle w:val="TableParagraph"/>
              <w:spacing w:before="30"/>
              <w:rPr>
                <w:sz w:val="22"/>
              </w:rPr>
            </w:pPr>
            <w:r>
              <w:rPr>
                <w:sz w:val="22"/>
              </w:rPr>
              <w:t>83</w:t>
            </w:r>
          </w:p>
        </w:tc>
        <w:tc>
          <w:tcPr>
            <w:tcW w:w="401" w:type="dxa"/>
          </w:tcPr>
          <w:p>
            <w:pPr>
              <w:pStyle w:val="TableParagraph"/>
              <w:spacing w:before="30"/>
              <w:ind w:right="63"/>
              <w:rPr>
                <w:sz w:val="22"/>
              </w:rPr>
            </w:pPr>
            <w:r>
              <w:rPr>
                <w:sz w:val="22"/>
              </w:rPr>
              <w:t>78</w:t>
            </w:r>
          </w:p>
        </w:tc>
        <w:tc>
          <w:tcPr>
            <w:tcW w:w="1145" w:type="dxa"/>
          </w:tcPr>
          <w:p>
            <w:pPr>
              <w:pStyle w:val="TableParagraph"/>
              <w:spacing w:before="30"/>
              <w:ind w:right="63"/>
              <w:rPr>
                <w:sz w:val="22"/>
              </w:rPr>
            </w:pPr>
            <w:r>
              <w:rPr>
                <w:sz w:val="22"/>
              </w:rPr>
              <w:t>89</w:t>
            </w:r>
          </w:p>
        </w:tc>
        <w:tc>
          <w:tcPr>
            <w:tcW w:w="1231" w:type="dxa"/>
          </w:tcPr>
          <w:p>
            <w:pPr>
              <w:pStyle w:val="TableParagraph"/>
              <w:spacing w:before="30"/>
              <w:rPr>
                <w:sz w:val="22"/>
              </w:rPr>
            </w:pPr>
            <w:r>
              <w:rPr>
                <w:sz w:val="22"/>
              </w:rPr>
              <w:t>145</w:t>
            </w:r>
          </w:p>
        </w:tc>
        <w:tc>
          <w:tcPr>
            <w:tcW w:w="1322" w:type="dxa"/>
          </w:tcPr>
          <w:p>
            <w:pPr>
              <w:pStyle w:val="TableParagraph"/>
              <w:spacing w:before="30"/>
              <w:ind w:right="63"/>
              <w:rPr>
                <w:sz w:val="22"/>
              </w:rPr>
            </w:pPr>
            <w:r>
              <w:rPr>
                <w:sz w:val="22"/>
              </w:rPr>
              <w:t>687</w:t>
            </w:r>
          </w:p>
        </w:tc>
      </w:tr>
      <w:tr>
        <w:trPr>
          <w:trHeight w:val="310" w:hRule="exact"/>
        </w:trPr>
        <w:tc>
          <w:tcPr>
            <w:tcW w:w="725" w:type="dxa"/>
          </w:tcPr>
          <w:p>
            <w:pPr>
              <w:pStyle w:val="TableParagraph"/>
              <w:ind w:left="169" w:right="170"/>
              <w:jc w:val="center"/>
              <w:rPr>
                <w:sz w:val="22"/>
              </w:rPr>
            </w:pPr>
            <w:r>
              <w:rPr>
                <w:sz w:val="22"/>
              </w:rPr>
              <w:t>129</w:t>
            </w:r>
          </w:p>
        </w:tc>
        <w:tc>
          <w:tcPr>
            <w:tcW w:w="1807" w:type="dxa"/>
          </w:tcPr>
          <w:p>
            <w:pPr>
              <w:pStyle w:val="TableParagraph"/>
              <w:ind w:right="63"/>
              <w:rPr>
                <w:sz w:val="22"/>
              </w:rPr>
            </w:pPr>
            <w:r>
              <w:rPr>
                <w:sz w:val="22"/>
              </w:rPr>
              <w:t>26/10/2009</w:t>
            </w:r>
          </w:p>
        </w:tc>
        <w:tc>
          <w:tcPr>
            <w:tcW w:w="1224" w:type="dxa"/>
          </w:tcPr>
          <w:p>
            <w:pPr>
              <w:pStyle w:val="TableParagraph"/>
              <w:rPr>
                <w:sz w:val="22"/>
              </w:rPr>
            </w:pPr>
            <w:r>
              <w:rPr>
                <w:sz w:val="22"/>
              </w:rPr>
              <w:t>86</w:t>
            </w:r>
          </w:p>
        </w:tc>
        <w:tc>
          <w:tcPr>
            <w:tcW w:w="1145" w:type="dxa"/>
          </w:tcPr>
          <w:p>
            <w:pPr>
              <w:pStyle w:val="TableParagraph"/>
              <w:rPr>
                <w:sz w:val="22"/>
              </w:rPr>
            </w:pPr>
            <w:r>
              <w:rPr>
                <w:sz w:val="22"/>
              </w:rPr>
              <w:t>73</w:t>
            </w:r>
          </w:p>
        </w:tc>
        <w:tc>
          <w:tcPr>
            <w:tcW w:w="401" w:type="dxa"/>
          </w:tcPr>
          <w:p>
            <w:pPr>
              <w:pStyle w:val="TableParagraph"/>
              <w:ind w:right="63"/>
              <w:rPr>
                <w:sz w:val="22"/>
              </w:rPr>
            </w:pPr>
            <w:r>
              <w:rPr>
                <w:sz w:val="22"/>
              </w:rPr>
              <w:t>69</w:t>
            </w:r>
          </w:p>
        </w:tc>
        <w:tc>
          <w:tcPr>
            <w:tcW w:w="1145" w:type="dxa"/>
          </w:tcPr>
          <w:p>
            <w:pPr>
              <w:pStyle w:val="TableParagraph"/>
              <w:ind w:right="63"/>
              <w:rPr>
                <w:sz w:val="22"/>
              </w:rPr>
            </w:pPr>
            <w:r>
              <w:rPr>
                <w:sz w:val="22"/>
              </w:rPr>
              <w:t>82</w:t>
            </w:r>
          </w:p>
        </w:tc>
        <w:tc>
          <w:tcPr>
            <w:tcW w:w="1231" w:type="dxa"/>
          </w:tcPr>
          <w:p>
            <w:pPr>
              <w:pStyle w:val="TableParagraph"/>
              <w:rPr>
                <w:sz w:val="22"/>
              </w:rPr>
            </w:pPr>
            <w:r>
              <w:rPr>
                <w:sz w:val="22"/>
              </w:rPr>
              <w:t>92</w:t>
            </w:r>
          </w:p>
        </w:tc>
        <w:tc>
          <w:tcPr>
            <w:tcW w:w="1322" w:type="dxa"/>
          </w:tcPr>
          <w:p>
            <w:pPr>
              <w:pStyle w:val="TableParagraph"/>
              <w:ind w:right="63"/>
              <w:rPr>
                <w:sz w:val="22"/>
              </w:rPr>
            </w:pPr>
            <w:r>
              <w:rPr>
                <w:sz w:val="22"/>
              </w:rPr>
              <w:t>169</w:t>
            </w:r>
          </w:p>
        </w:tc>
      </w:tr>
      <w:tr>
        <w:trPr>
          <w:trHeight w:val="310" w:hRule="exact"/>
        </w:trPr>
        <w:tc>
          <w:tcPr>
            <w:tcW w:w="725" w:type="dxa"/>
          </w:tcPr>
          <w:p>
            <w:pPr>
              <w:pStyle w:val="TableParagraph"/>
              <w:ind w:left="169" w:right="170"/>
              <w:jc w:val="center"/>
              <w:rPr>
                <w:sz w:val="22"/>
              </w:rPr>
            </w:pPr>
            <w:r>
              <w:rPr>
                <w:sz w:val="22"/>
              </w:rPr>
              <w:t>133</w:t>
            </w:r>
          </w:p>
        </w:tc>
        <w:tc>
          <w:tcPr>
            <w:tcW w:w="1807" w:type="dxa"/>
          </w:tcPr>
          <w:p>
            <w:pPr>
              <w:pStyle w:val="TableParagraph"/>
              <w:ind w:right="63"/>
              <w:rPr>
                <w:sz w:val="22"/>
              </w:rPr>
            </w:pPr>
            <w:r>
              <w:rPr>
                <w:sz w:val="22"/>
              </w:rPr>
              <w:t>30/10/2009</w:t>
            </w:r>
          </w:p>
        </w:tc>
        <w:tc>
          <w:tcPr>
            <w:tcW w:w="1224" w:type="dxa"/>
          </w:tcPr>
          <w:p>
            <w:pPr>
              <w:pStyle w:val="TableParagraph"/>
              <w:rPr>
                <w:sz w:val="22"/>
              </w:rPr>
            </w:pPr>
            <w:r>
              <w:rPr>
                <w:sz w:val="22"/>
              </w:rPr>
              <w:t>59</w:t>
            </w:r>
          </w:p>
        </w:tc>
        <w:tc>
          <w:tcPr>
            <w:tcW w:w="1145" w:type="dxa"/>
          </w:tcPr>
          <w:p>
            <w:pPr>
              <w:pStyle w:val="TableParagraph"/>
              <w:rPr>
                <w:sz w:val="22"/>
              </w:rPr>
            </w:pPr>
            <w:r>
              <w:rPr>
                <w:sz w:val="22"/>
              </w:rPr>
              <w:t>53</w:t>
            </w:r>
          </w:p>
        </w:tc>
        <w:tc>
          <w:tcPr>
            <w:tcW w:w="401" w:type="dxa"/>
          </w:tcPr>
          <w:p>
            <w:pPr>
              <w:pStyle w:val="TableParagraph"/>
              <w:ind w:right="63"/>
              <w:rPr>
                <w:sz w:val="22"/>
              </w:rPr>
            </w:pPr>
            <w:r>
              <w:rPr>
                <w:sz w:val="22"/>
              </w:rPr>
              <w:t>47</w:t>
            </w:r>
          </w:p>
        </w:tc>
        <w:tc>
          <w:tcPr>
            <w:tcW w:w="1145" w:type="dxa"/>
          </w:tcPr>
          <w:p>
            <w:pPr>
              <w:pStyle w:val="TableParagraph"/>
              <w:ind w:right="63"/>
              <w:rPr>
                <w:sz w:val="22"/>
              </w:rPr>
            </w:pPr>
            <w:r>
              <w:rPr>
                <w:sz w:val="22"/>
              </w:rPr>
              <w:t>55</w:t>
            </w:r>
          </w:p>
        </w:tc>
        <w:tc>
          <w:tcPr>
            <w:tcW w:w="1231" w:type="dxa"/>
          </w:tcPr>
          <w:p>
            <w:pPr>
              <w:pStyle w:val="TableParagraph"/>
              <w:rPr>
                <w:sz w:val="22"/>
              </w:rPr>
            </w:pPr>
            <w:r>
              <w:rPr>
                <w:sz w:val="22"/>
              </w:rPr>
              <w:t>62</w:t>
            </w:r>
          </w:p>
        </w:tc>
        <w:tc>
          <w:tcPr>
            <w:tcW w:w="1322" w:type="dxa"/>
          </w:tcPr>
          <w:p>
            <w:pPr>
              <w:pStyle w:val="TableParagraph"/>
              <w:ind w:right="63"/>
              <w:rPr>
                <w:sz w:val="22"/>
              </w:rPr>
            </w:pPr>
            <w:r>
              <w:rPr>
                <w:sz w:val="22"/>
              </w:rPr>
              <w:t>474</w:t>
            </w:r>
          </w:p>
        </w:tc>
      </w:tr>
      <w:tr>
        <w:trPr>
          <w:trHeight w:val="310" w:hRule="exact"/>
        </w:trPr>
        <w:tc>
          <w:tcPr>
            <w:tcW w:w="725" w:type="dxa"/>
          </w:tcPr>
          <w:p>
            <w:pPr>
              <w:pStyle w:val="TableParagraph"/>
              <w:ind w:left="169" w:right="170"/>
              <w:jc w:val="center"/>
              <w:rPr>
                <w:sz w:val="22"/>
              </w:rPr>
            </w:pPr>
            <w:r>
              <w:rPr>
                <w:sz w:val="22"/>
              </w:rPr>
              <w:t>137</w:t>
            </w:r>
          </w:p>
        </w:tc>
        <w:tc>
          <w:tcPr>
            <w:tcW w:w="1807" w:type="dxa"/>
          </w:tcPr>
          <w:p>
            <w:pPr>
              <w:pStyle w:val="TableParagraph"/>
              <w:ind w:right="63"/>
              <w:rPr>
                <w:sz w:val="22"/>
              </w:rPr>
            </w:pPr>
            <w:r>
              <w:rPr>
                <w:sz w:val="22"/>
              </w:rPr>
              <w:t>03/11/2009</w:t>
            </w:r>
          </w:p>
        </w:tc>
        <w:tc>
          <w:tcPr>
            <w:tcW w:w="1224" w:type="dxa"/>
          </w:tcPr>
          <w:p>
            <w:pPr>
              <w:pStyle w:val="TableParagraph"/>
              <w:rPr>
                <w:sz w:val="22"/>
              </w:rPr>
            </w:pPr>
            <w:r>
              <w:rPr>
                <w:sz w:val="22"/>
              </w:rPr>
              <w:t>65</w:t>
            </w:r>
          </w:p>
        </w:tc>
        <w:tc>
          <w:tcPr>
            <w:tcW w:w="1145" w:type="dxa"/>
          </w:tcPr>
          <w:p>
            <w:pPr>
              <w:pStyle w:val="TableParagraph"/>
              <w:rPr>
                <w:sz w:val="22"/>
              </w:rPr>
            </w:pPr>
            <w:r>
              <w:rPr>
                <w:sz w:val="22"/>
              </w:rPr>
              <w:t>72</w:t>
            </w:r>
          </w:p>
        </w:tc>
        <w:tc>
          <w:tcPr>
            <w:tcW w:w="401" w:type="dxa"/>
          </w:tcPr>
          <w:p>
            <w:pPr>
              <w:pStyle w:val="TableParagraph"/>
              <w:ind w:right="63"/>
              <w:rPr>
                <w:sz w:val="22"/>
              </w:rPr>
            </w:pPr>
            <w:r>
              <w:rPr>
                <w:sz w:val="22"/>
              </w:rPr>
              <w:t>60</w:t>
            </w:r>
          </w:p>
        </w:tc>
        <w:tc>
          <w:tcPr>
            <w:tcW w:w="1145" w:type="dxa"/>
          </w:tcPr>
          <w:p>
            <w:pPr>
              <w:pStyle w:val="TableParagraph"/>
              <w:ind w:right="63"/>
              <w:rPr>
                <w:sz w:val="22"/>
              </w:rPr>
            </w:pPr>
            <w:r>
              <w:rPr>
                <w:sz w:val="22"/>
              </w:rPr>
              <w:t>62</w:t>
            </w:r>
          </w:p>
        </w:tc>
        <w:tc>
          <w:tcPr>
            <w:tcW w:w="1231" w:type="dxa"/>
          </w:tcPr>
          <w:p>
            <w:pPr>
              <w:pStyle w:val="TableParagraph"/>
              <w:rPr>
                <w:sz w:val="22"/>
              </w:rPr>
            </w:pPr>
            <w:r>
              <w:rPr>
                <w:sz w:val="22"/>
              </w:rPr>
              <w:t>61</w:t>
            </w:r>
          </w:p>
        </w:tc>
        <w:tc>
          <w:tcPr>
            <w:tcW w:w="1322" w:type="dxa"/>
          </w:tcPr>
          <w:p>
            <w:pPr>
              <w:pStyle w:val="TableParagraph"/>
              <w:ind w:right="63"/>
              <w:rPr>
                <w:sz w:val="22"/>
              </w:rPr>
            </w:pPr>
            <w:r>
              <w:rPr>
                <w:sz w:val="22"/>
              </w:rPr>
              <w:t>394</w:t>
            </w:r>
          </w:p>
        </w:tc>
      </w:tr>
      <w:tr>
        <w:trPr>
          <w:trHeight w:val="310" w:hRule="exact"/>
        </w:trPr>
        <w:tc>
          <w:tcPr>
            <w:tcW w:w="725" w:type="dxa"/>
          </w:tcPr>
          <w:p>
            <w:pPr>
              <w:pStyle w:val="TableParagraph"/>
              <w:ind w:left="169" w:right="170"/>
              <w:jc w:val="center"/>
              <w:rPr>
                <w:sz w:val="22"/>
              </w:rPr>
            </w:pPr>
            <w:r>
              <w:rPr>
                <w:sz w:val="22"/>
              </w:rPr>
              <w:t>139</w:t>
            </w:r>
          </w:p>
        </w:tc>
        <w:tc>
          <w:tcPr>
            <w:tcW w:w="1807" w:type="dxa"/>
          </w:tcPr>
          <w:p>
            <w:pPr>
              <w:pStyle w:val="TableParagraph"/>
              <w:ind w:right="63"/>
              <w:rPr>
                <w:sz w:val="22"/>
              </w:rPr>
            </w:pPr>
            <w:r>
              <w:rPr>
                <w:sz w:val="22"/>
              </w:rPr>
              <w:t>05/11/2009</w:t>
            </w:r>
          </w:p>
        </w:tc>
        <w:tc>
          <w:tcPr>
            <w:tcW w:w="1224" w:type="dxa"/>
          </w:tcPr>
          <w:p>
            <w:pPr>
              <w:pStyle w:val="TableParagraph"/>
              <w:rPr>
                <w:sz w:val="22"/>
              </w:rPr>
            </w:pPr>
            <w:r>
              <w:rPr>
                <w:sz w:val="22"/>
              </w:rPr>
              <w:t>71</w:t>
            </w:r>
          </w:p>
        </w:tc>
        <w:tc>
          <w:tcPr>
            <w:tcW w:w="1145" w:type="dxa"/>
          </w:tcPr>
          <w:p>
            <w:pPr>
              <w:pStyle w:val="TableParagraph"/>
              <w:rPr>
                <w:sz w:val="22"/>
              </w:rPr>
            </w:pPr>
            <w:r>
              <w:rPr>
                <w:sz w:val="22"/>
              </w:rPr>
              <w:t>79</w:t>
            </w:r>
          </w:p>
        </w:tc>
        <w:tc>
          <w:tcPr>
            <w:tcW w:w="401" w:type="dxa"/>
          </w:tcPr>
          <w:p>
            <w:pPr>
              <w:pStyle w:val="TableParagraph"/>
              <w:ind w:right="63"/>
              <w:rPr>
                <w:sz w:val="22"/>
              </w:rPr>
            </w:pPr>
            <w:r>
              <w:rPr>
                <w:sz w:val="22"/>
              </w:rPr>
              <w:t>76</w:t>
            </w:r>
          </w:p>
        </w:tc>
        <w:tc>
          <w:tcPr>
            <w:tcW w:w="1145" w:type="dxa"/>
          </w:tcPr>
          <w:p>
            <w:pPr>
              <w:pStyle w:val="TableParagraph"/>
              <w:ind w:right="63"/>
              <w:rPr>
                <w:sz w:val="22"/>
              </w:rPr>
            </w:pPr>
            <w:r>
              <w:rPr>
                <w:sz w:val="22"/>
              </w:rPr>
              <w:t>97</w:t>
            </w:r>
          </w:p>
        </w:tc>
        <w:tc>
          <w:tcPr>
            <w:tcW w:w="1231" w:type="dxa"/>
          </w:tcPr>
          <w:p>
            <w:pPr>
              <w:pStyle w:val="TableParagraph"/>
              <w:rPr>
                <w:sz w:val="22"/>
              </w:rPr>
            </w:pPr>
            <w:r>
              <w:rPr>
                <w:sz w:val="22"/>
              </w:rPr>
              <w:t>71</w:t>
            </w:r>
          </w:p>
        </w:tc>
        <w:tc>
          <w:tcPr>
            <w:tcW w:w="1322" w:type="dxa"/>
          </w:tcPr>
          <w:p>
            <w:pPr>
              <w:pStyle w:val="TableParagraph"/>
              <w:ind w:right="63"/>
              <w:rPr>
                <w:sz w:val="22"/>
              </w:rPr>
            </w:pPr>
            <w:r>
              <w:rPr>
                <w:sz w:val="22"/>
              </w:rPr>
              <w:t>270</w:t>
            </w:r>
          </w:p>
        </w:tc>
      </w:tr>
      <w:tr>
        <w:trPr>
          <w:trHeight w:val="310" w:hRule="exact"/>
        </w:trPr>
        <w:tc>
          <w:tcPr>
            <w:tcW w:w="725" w:type="dxa"/>
          </w:tcPr>
          <w:p>
            <w:pPr>
              <w:pStyle w:val="TableParagraph"/>
              <w:spacing w:before="30"/>
              <w:ind w:left="169" w:right="170"/>
              <w:jc w:val="center"/>
              <w:rPr>
                <w:sz w:val="22"/>
              </w:rPr>
            </w:pPr>
            <w:r>
              <w:rPr>
                <w:sz w:val="22"/>
              </w:rPr>
              <w:t>143</w:t>
            </w:r>
          </w:p>
        </w:tc>
        <w:tc>
          <w:tcPr>
            <w:tcW w:w="1807" w:type="dxa"/>
          </w:tcPr>
          <w:p>
            <w:pPr>
              <w:pStyle w:val="TableParagraph"/>
              <w:spacing w:before="30"/>
              <w:ind w:right="63"/>
              <w:rPr>
                <w:sz w:val="22"/>
              </w:rPr>
            </w:pPr>
            <w:r>
              <w:rPr>
                <w:sz w:val="22"/>
              </w:rPr>
              <w:t>09/11/2009</w:t>
            </w:r>
          </w:p>
        </w:tc>
        <w:tc>
          <w:tcPr>
            <w:tcW w:w="1224" w:type="dxa"/>
          </w:tcPr>
          <w:p>
            <w:pPr>
              <w:pStyle w:val="TableParagraph"/>
              <w:spacing w:before="30"/>
              <w:rPr>
                <w:sz w:val="22"/>
              </w:rPr>
            </w:pPr>
            <w:r>
              <w:rPr>
                <w:sz w:val="22"/>
              </w:rPr>
              <w:t>87</w:t>
            </w:r>
          </w:p>
        </w:tc>
        <w:tc>
          <w:tcPr>
            <w:tcW w:w="1145" w:type="dxa"/>
          </w:tcPr>
          <w:p>
            <w:pPr>
              <w:pStyle w:val="TableParagraph"/>
              <w:spacing w:before="30"/>
              <w:rPr>
                <w:sz w:val="22"/>
              </w:rPr>
            </w:pPr>
            <w:r>
              <w:rPr>
                <w:sz w:val="22"/>
              </w:rPr>
              <w:t>84</w:t>
            </w:r>
          </w:p>
        </w:tc>
        <w:tc>
          <w:tcPr>
            <w:tcW w:w="401" w:type="dxa"/>
          </w:tcPr>
          <w:p>
            <w:pPr>
              <w:pStyle w:val="TableParagraph"/>
              <w:spacing w:before="30"/>
              <w:ind w:right="63"/>
              <w:rPr>
                <w:sz w:val="22"/>
              </w:rPr>
            </w:pPr>
            <w:r>
              <w:rPr>
                <w:sz w:val="22"/>
              </w:rPr>
              <w:t>82</w:t>
            </w:r>
          </w:p>
        </w:tc>
        <w:tc>
          <w:tcPr>
            <w:tcW w:w="1145" w:type="dxa"/>
          </w:tcPr>
          <w:p>
            <w:pPr>
              <w:pStyle w:val="TableParagraph"/>
              <w:spacing w:before="30"/>
              <w:ind w:right="63"/>
              <w:rPr>
                <w:sz w:val="22"/>
              </w:rPr>
            </w:pPr>
            <w:r>
              <w:rPr>
                <w:sz w:val="22"/>
              </w:rPr>
              <w:t>88</w:t>
            </w:r>
          </w:p>
        </w:tc>
        <w:tc>
          <w:tcPr>
            <w:tcW w:w="1231" w:type="dxa"/>
          </w:tcPr>
          <w:p>
            <w:pPr>
              <w:pStyle w:val="TableParagraph"/>
              <w:spacing w:before="30"/>
              <w:rPr>
                <w:sz w:val="22"/>
              </w:rPr>
            </w:pPr>
            <w:r>
              <w:rPr>
                <w:sz w:val="22"/>
              </w:rPr>
              <w:t>78</w:t>
            </w:r>
          </w:p>
        </w:tc>
        <w:tc>
          <w:tcPr>
            <w:tcW w:w="1322" w:type="dxa"/>
          </w:tcPr>
          <w:p>
            <w:pPr>
              <w:pStyle w:val="TableParagraph"/>
              <w:spacing w:before="30"/>
              <w:ind w:right="63"/>
              <w:rPr>
                <w:sz w:val="22"/>
              </w:rPr>
            </w:pPr>
            <w:r>
              <w:rPr>
                <w:sz w:val="22"/>
              </w:rPr>
              <w:t>290</w:t>
            </w:r>
          </w:p>
        </w:tc>
      </w:tr>
      <w:tr>
        <w:trPr>
          <w:trHeight w:val="312" w:hRule="exact"/>
        </w:trPr>
        <w:tc>
          <w:tcPr>
            <w:tcW w:w="725" w:type="dxa"/>
          </w:tcPr>
          <w:p>
            <w:pPr>
              <w:pStyle w:val="TableParagraph"/>
              <w:spacing w:before="30"/>
              <w:ind w:left="169" w:right="170"/>
              <w:jc w:val="center"/>
              <w:rPr>
                <w:sz w:val="22"/>
              </w:rPr>
            </w:pPr>
            <w:r>
              <w:rPr>
                <w:sz w:val="22"/>
              </w:rPr>
              <w:t>146</w:t>
            </w:r>
          </w:p>
        </w:tc>
        <w:tc>
          <w:tcPr>
            <w:tcW w:w="1807" w:type="dxa"/>
          </w:tcPr>
          <w:p>
            <w:pPr>
              <w:pStyle w:val="TableParagraph"/>
              <w:spacing w:before="30"/>
              <w:ind w:right="63"/>
              <w:rPr>
                <w:sz w:val="22"/>
              </w:rPr>
            </w:pPr>
            <w:r>
              <w:rPr>
                <w:sz w:val="22"/>
              </w:rPr>
              <w:t>12/11/2009</w:t>
            </w:r>
          </w:p>
        </w:tc>
        <w:tc>
          <w:tcPr>
            <w:tcW w:w="1224" w:type="dxa"/>
          </w:tcPr>
          <w:p>
            <w:pPr>
              <w:pStyle w:val="TableParagraph"/>
              <w:spacing w:before="30"/>
              <w:rPr>
                <w:sz w:val="22"/>
              </w:rPr>
            </w:pPr>
            <w:r>
              <w:rPr>
                <w:sz w:val="22"/>
              </w:rPr>
              <w:t>55</w:t>
            </w:r>
          </w:p>
        </w:tc>
        <w:tc>
          <w:tcPr>
            <w:tcW w:w="1145" w:type="dxa"/>
          </w:tcPr>
          <w:p>
            <w:pPr>
              <w:pStyle w:val="TableParagraph"/>
              <w:spacing w:before="30"/>
              <w:rPr>
                <w:sz w:val="22"/>
              </w:rPr>
            </w:pPr>
            <w:r>
              <w:rPr>
                <w:sz w:val="22"/>
              </w:rPr>
              <w:t>43</w:t>
            </w:r>
          </w:p>
        </w:tc>
        <w:tc>
          <w:tcPr>
            <w:tcW w:w="401" w:type="dxa"/>
          </w:tcPr>
          <w:p>
            <w:pPr>
              <w:pStyle w:val="TableParagraph"/>
              <w:spacing w:before="30"/>
              <w:ind w:right="63"/>
              <w:rPr>
                <w:sz w:val="22"/>
              </w:rPr>
            </w:pPr>
            <w:r>
              <w:rPr>
                <w:sz w:val="22"/>
              </w:rPr>
              <w:t>45</w:t>
            </w:r>
          </w:p>
        </w:tc>
        <w:tc>
          <w:tcPr>
            <w:tcW w:w="1145" w:type="dxa"/>
          </w:tcPr>
          <w:p>
            <w:pPr>
              <w:pStyle w:val="TableParagraph"/>
              <w:spacing w:before="30"/>
              <w:ind w:right="63"/>
              <w:rPr>
                <w:sz w:val="22"/>
              </w:rPr>
            </w:pPr>
            <w:r>
              <w:rPr>
                <w:sz w:val="22"/>
              </w:rPr>
              <w:t>58</w:t>
            </w:r>
          </w:p>
        </w:tc>
        <w:tc>
          <w:tcPr>
            <w:tcW w:w="1231" w:type="dxa"/>
          </w:tcPr>
          <w:p>
            <w:pPr>
              <w:pStyle w:val="TableParagraph"/>
              <w:spacing w:before="30"/>
              <w:rPr>
                <w:sz w:val="22"/>
              </w:rPr>
            </w:pPr>
            <w:r>
              <w:rPr>
                <w:sz w:val="22"/>
              </w:rPr>
              <w:t>63</w:t>
            </w:r>
          </w:p>
        </w:tc>
        <w:tc>
          <w:tcPr>
            <w:tcW w:w="1322" w:type="dxa"/>
          </w:tcPr>
          <w:p>
            <w:pPr>
              <w:pStyle w:val="TableParagraph"/>
              <w:spacing w:before="30"/>
              <w:ind w:right="63"/>
              <w:rPr>
                <w:sz w:val="22"/>
              </w:rPr>
            </w:pPr>
            <w:r>
              <w:rPr>
                <w:sz w:val="22"/>
              </w:rPr>
              <w:t>257</w:t>
            </w:r>
          </w:p>
        </w:tc>
      </w:tr>
      <w:tr>
        <w:trPr>
          <w:trHeight w:val="310" w:hRule="exact"/>
        </w:trPr>
        <w:tc>
          <w:tcPr>
            <w:tcW w:w="725" w:type="dxa"/>
          </w:tcPr>
          <w:p>
            <w:pPr>
              <w:pStyle w:val="TableParagraph"/>
              <w:ind w:left="169" w:right="170"/>
              <w:jc w:val="center"/>
              <w:rPr>
                <w:sz w:val="22"/>
              </w:rPr>
            </w:pPr>
            <w:r>
              <w:rPr>
                <w:sz w:val="22"/>
              </w:rPr>
              <w:t>150</w:t>
            </w:r>
          </w:p>
        </w:tc>
        <w:tc>
          <w:tcPr>
            <w:tcW w:w="1807" w:type="dxa"/>
          </w:tcPr>
          <w:p>
            <w:pPr>
              <w:pStyle w:val="TableParagraph"/>
              <w:ind w:right="63"/>
              <w:rPr>
                <w:sz w:val="22"/>
              </w:rPr>
            </w:pPr>
            <w:r>
              <w:rPr>
                <w:sz w:val="22"/>
              </w:rPr>
              <w:t>16/11/2009</w:t>
            </w:r>
          </w:p>
        </w:tc>
        <w:tc>
          <w:tcPr>
            <w:tcW w:w="1224" w:type="dxa"/>
          </w:tcPr>
          <w:p>
            <w:pPr>
              <w:pStyle w:val="TableParagraph"/>
              <w:rPr>
                <w:sz w:val="22"/>
              </w:rPr>
            </w:pPr>
            <w:r>
              <w:rPr>
                <w:sz w:val="22"/>
              </w:rPr>
              <w:t>54</w:t>
            </w:r>
          </w:p>
        </w:tc>
        <w:tc>
          <w:tcPr>
            <w:tcW w:w="1145" w:type="dxa"/>
          </w:tcPr>
          <w:p>
            <w:pPr>
              <w:pStyle w:val="TableParagraph"/>
              <w:rPr>
                <w:sz w:val="22"/>
              </w:rPr>
            </w:pPr>
            <w:r>
              <w:rPr>
                <w:sz w:val="22"/>
              </w:rPr>
              <w:t>45</w:t>
            </w:r>
          </w:p>
        </w:tc>
        <w:tc>
          <w:tcPr>
            <w:tcW w:w="401" w:type="dxa"/>
          </w:tcPr>
          <w:p>
            <w:pPr>
              <w:pStyle w:val="TableParagraph"/>
              <w:ind w:right="63"/>
              <w:rPr>
                <w:sz w:val="22"/>
              </w:rPr>
            </w:pPr>
            <w:r>
              <w:rPr>
                <w:sz w:val="22"/>
              </w:rPr>
              <w:t>41</w:t>
            </w:r>
          </w:p>
        </w:tc>
        <w:tc>
          <w:tcPr>
            <w:tcW w:w="1145" w:type="dxa"/>
          </w:tcPr>
          <w:p>
            <w:pPr>
              <w:pStyle w:val="TableParagraph"/>
              <w:ind w:right="63"/>
              <w:rPr>
                <w:sz w:val="22"/>
              </w:rPr>
            </w:pPr>
            <w:r>
              <w:rPr>
                <w:sz w:val="22"/>
              </w:rPr>
              <w:t>45</w:t>
            </w:r>
          </w:p>
        </w:tc>
        <w:tc>
          <w:tcPr>
            <w:tcW w:w="1231" w:type="dxa"/>
          </w:tcPr>
          <w:p>
            <w:pPr>
              <w:pStyle w:val="TableParagraph"/>
              <w:rPr>
                <w:sz w:val="22"/>
              </w:rPr>
            </w:pPr>
            <w:r>
              <w:rPr>
                <w:sz w:val="22"/>
              </w:rPr>
              <w:t>56</w:t>
            </w:r>
          </w:p>
        </w:tc>
        <w:tc>
          <w:tcPr>
            <w:tcW w:w="1322" w:type="dxa"/>
          </w:tcPr>
          <w:p>
            <w:pPr>
              <w:pStyle w:val="TableParagraph"/>
              <w:ind w:right="63"/>
              <w:rPr>
                <w:sz w:val="22"/>
              </w:rPr>
            </w:pPr>
            <w:r>
              <w:rPr>
                <w:sz w:val="22"/>
              </w:rPr>
              <w:t>490</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6"/>
        <w:gridCol w:w="1927"/>
        <w:gridCol w:w="1231"/>
        <w:gridCol w:w="919"/>
        <w:gridCol w:w="562"/>
        <w:gridCol w:w="1150"/>
        <w:gridCol w:w="1128"/>
        <w:gridCol w:w="1318"/>
      </w:tblGrid>
      <w:tr>
        <w:trPr>
          <w:trHeight w:val="310" w:hRule="exact"/>
        </w:trPr>
        <w:tc>
          <w:tcPr>
            <w:tcW w:w="8990" w:type="dxa"/>
            <w:gridSpan w:val="8"/>
            <w:shd w:val="clear" w:color="auto" w:fill="E6B9B8"/>
          </w:tcPr>
          <w:p>
            <w:pPr>
              <w:pStyle w:val="TableParagraph"/>
              <w:ind w:left="3983" w:right="3982"/>
              <w:jc w:val="center"/>
              <w:rPr>
                <w:b/>
                <w:sz w:val="22"/>
              </w:rPr>
            </w:pPr>
            <w:r>
              <w:rPr>
                <w:b/>
                <w:sz w:val="22"/>
              </w:rPr>
              <w:t>SST (mg/L)</w:t>
            </w:r>
          </w:p>
        </w:tc>
      </w:tr>
      <w:tr>
        <w:trPr>
          <w:trHeight w:val="610" w:hRule="exact"/>
        </w:trPr>
        <w:tc>
          <w:tcPr>
            <w:tcW w:w="756"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177" w:right="0"/>
              <w:jc w:val="left"/>
              <w:rPr>
                <w:b/>
                <w:sz w:val="22"/>
              </w:rPr>
            </w:pPr>
            <w:r>
              <w:rPr>
                <w:b/>
                <w:sz w:val="22"/>
              </w:rPr>
              <w:t>Días</w:t>
            </w:r>
          </w:p>
        </w:tc>
        <w:tc>
          <w:tcPr>
            <w:tcW w:w="1927"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673" w:right="673"/>
              <w:jc w:val="center"/>
              <w:rPr>
                <w:b/>
                <w:sz w:val="22"/>
              </w:rPr>
            </w:pPr>
            <w:r>
              <w:rPr>
                <w:b/>
                <w:sz w:val="22"/>
              </w:rPr>
              <w:t>Fecha</w:t>
            </w:r>
          </w:p>
        </w:tc>
        <w:tc>
          <w:tcPr>
            <w:tcW w:w="6307" w:type="dxa"/>
            <w:gridSpan w:val="6"/>
            <w:shd w:val="clear" w:color="auto" w:fill="E6B9B8"/>
          </w:tcPr>
          <w:p>
            <w:pPr>
              <w:pStyle w:val="TableParagraph"/>
              <w:spacing w:before="162"/>
              <w:ind w:left="2206" w:right="2207"/>
              <w:jc w:val="center"/>
              <w:rPr>
                <w:b/>
                <w:sz w:val="22"/>
              </w:rPr>
            </w:pPr>
            <w:r>
              <w:rPr>
                <w:b/>
                <w:sz w:val="22"/>
              </w:rPr>
              <w:t>Puntos de muestreo</w:t>
            </w:r>
          </w:p>
        </w:tc>
      </w:tr>
      <w:tr>
        <w:trPr>
          <w:trHeight w:val="610" w:hRule="exact"/>
        </w:trPr>
        <w:tc>
          <w:tcPr>
            <w:tcW w:w="756" w:type="dxa"/>
            <w:vMerge/>
            <w:shd w:val="clear" w:color="auto" w:fill="E6B9B8"/>
          </w:tcPr>
          <w:p>
            <w:pPr/>
          </w:p>
        </w:tc>
        <w:tc>
          <w:tcPr>
            <w:tcW w:w="1927" w:type="dxa"/>
            <w:vMerge/>
            <w:shd w:val="clear" w:color="auto" w:fill="E6B9B8"/>
          </w:tcPr>
          <w:p>
            <w:pPr/>
          </w:p>
        </w:tc>
        <w:tc>
          <w:tcPr>
            <w:tcW w:w="1231" w:type="dxa"/>
            <w:shd w:val="clear" w:color="auto" w:fill="E6B9B8"/>
          </w:tcPr>
          <w:p>
            <w:pPr>
              <w:pStyle w:val="TableParagraph"/>
              <w:spacing w:before="165"/>
              <w:ind w:right="1"/>
              <w:jc w:val="center"/>
              <w:rPr>
                <w:b/>
                <w:sz w:val="22"/>
              </w:rPr>
            </w:pPr>
            <w:r>
              <w:rPr>
                <w:b/>
                <w:w w:val="100"/>
                <w:sz w:val="22"/>
              </w:rPr>
              <w:t>A</w:t>
            </w:r>
          </w:p>
        </w:tc>
        <w:tc>
          <w:tcPr>
            <w:tcW w:w="919" w:type="dxa"/>
            <w:shd w:val="clear" w:color="auto" w:fill="E6B9B8"/>
          </w:tcPr>
          <w:p>
            <w:pPr>
              <w:pStyle w:val="TableParagraph"/>
              <w:spacing w:before="165"/>
              <w:ind w:left="1" w:right="0"/>
              <w:jc w:val="center"/>
              <w:rPr>
                <w:b/>
                <w:sz w:val="22"/>
              </w:rPr>
            </w:pPr>
            <w:r>
              <w:rPr>
                <w:b/>
                <w:w w:val="100"/>
                <w:sz w:val="22"/>
              </w:rPr>
              <w:t>B</w:t>
            </w:r>
          </w:p>
        </w:tc>
        <w:tc>
          <w:tcPr>
            <w:tcW w:w="562" w:type="dxa"/>
            <w:shd w:val="clear" w:color="auto" w:fill="E6B9B8"/>
          </w:tcPr>
          <w:p>
            <w:pPr>
              <w:pStyle w:val="TableParagraph"/>
              <w:spacing w:before="165"/>
              <w:ind w:right="1"/>
              <w:jc w:val="center"/>
              <w:rPr>
                <w:b/>
                <w:sz w:val="22"/>
              </w:rPr>
            </w:pPr>
            <w:r>
              <w:rPr>
                <w:b/>
                <w:w w:val="100"/>
                <w:sz w:val="22"/>
              </w:rPr>
              <w:t>C</w:t>
            </w:r>
          </w:p>
        </w:tc>
        <w:tc>
          <w:tcPr>
            <w:tcW w:w="1150" w:type="dxa"/>
            <w:shd w:val="clear" w:color="auto" w:fill="E6B9B8"/>
          </w:tcPr>
          <w:p>
            <w:pPr>
              <w:pStyle w:val="TableParagraph"/>
              <w:spacing w:before="165"/>
              <w:ind w:right="0"/>
              <w:jc w:val="center"/>
              <w:rPr>
                <w:b/>
                <w:sz w:val="22"/>
              </w:rPr>
            </w:pPr>
            <w:r>
              <w:rPr>
                <w:b/>
                <w:w w:val="100"/>
                <w:sz w:val="22"/>
              </w:rPr>
              <w:t>D</w:t>
            </w:r>
          </w:p>
        </w:tc>
        <w:tc>
          <w:tcPr>
            <w:tcW w:w="1128" w:type="dxa"/>
            <w:shd w:val="clear" w:color="auto" w:fill="E6B9B8"/>
          </w:tcPr>
          <w:p>
            <w:pPr>
              <w:pStyle w:val="TableParagraph"/>
              <w:spacing w:before="165"/>
              <w:ind w:right="0"/>
              <w:jc w:val="center"/>
              <w:rPr>
                <w:b/>
                <w:sz w:val="22"/>
              </w:rPr>
            </w:pPr>
            <w:r>
              <w:rPr>
                <w:b/>
                <w:w w:val="100"/>
                <w:sz w:val="22"/>
              </w:rPr>
              <w:t>E</w:t>
            </w:r>
          </w:p>
        </w:tc>
        <w:tc>
          <w:tcPr>
            <w:tcW w:w="1318" w:type="dxa"/>
            <w:shd w:val="clear" w:color="auto" w:fill="E6B9B8"/>
          </w:tcPr>
          <w:p>
            <w:pPr>
              <w:pStyle w:val="TableParagraph"/>
              <w:spacing w:before="165"/>
              <w:ind w:right="1"/>
              <w:jc w:val="center"/>
              <w:rPr>
                <w:b/>
                <w:sz w:val="22"/>
              </w:rPr>
            </w:pPr>
            <w:r>
              <w:rPr>
                <w:b/>
                <w:w w:val="100"/>
                <w:sz w:val="22"/>
              </w:rPr>
              <w:t>G</w:t>
            </w:r>
          </w:p>
        </w:tc>
      </w:tr>
      <w:tr>
        <w:trPr>
          <w:trHeight w:val="312" w:hRule="exact"/>
        </w:trPr>
        <w:tc>
          <w:tcPr>
            <w:tcW w:w="756" w:type="dxa"/>
          </w:tcPr>
          <w:p>
            <w:pPr>
              <w:pStyle w:val="TableParagraph"/>
              <w:spacing w:before="30"/>
              <w:rPr>
                <w:sz w:val="22"/>
              </w:rPr>
            </w:pPr>
            <w:r>
              <w:rPr>
                <w:sz w:val="22"/>
              </w:rPr>
              <w:t>38</w:t>
            </w:r>
          </w:p>
        </w:tc>
        <w:tc>
          <w:tcPr>
            <w:tcW w:w="1927" w:type="dxa"/>
          </w:tcPr>
          <w:p>
            <w:pPr>
              <w:pStyle w:val="TableParagraph"/>
              <w:spacing w:before="30"/>
              <w:rPr>
                <w:sz w:val="22"/>
              </w:rPr>
            </w:pPr>
            <w:r>
              <w:rPr>
                <w:sz w:val="22"/>
              </w:rPr>
              <w:t>27/07/2009</w:t>
            </w:r>
          </w:p>
        </w:tc>
        <w:tc>
          <w:tcPr>
            <w:tcW w:w="1231" w:type="dxa"/>
          </w:tcPr>
          <w:p>
            <w:pPr>
              <w:pStyle w:val="TableParagraph"/>
              <w:spacing w:before="30"/>
              <w:rPr>
                <w:sz w:val="22"/>
              </w:rPr>
            </w:pPr>
            <w:r>
              <w:rPr>
                <w:w w:val="100"/>
                <w:sz w:val="22"/>
              </w:rPr>
              <w:t>2</w:t>
            </w:r>
          </w:p>
        </w:tc>
        <w:tc>
          <w:tcPr>
            <w:tcW w:w="919" w:type="dxa"/>
          </w:tcPr>
          <w:p>
            <w:pPr>
              <w:pStyle w:val="TableParagraph"/>
              <w:spacing w:before="30"/>
              <w:rPr>
                <w:sz w:val="22"/>
              </w:rPr>
            </w:pPr>
            <w:r>
              <w:rPr>
                <w:w w:val="100"/>
                <w:sz w:val="22"/>
              </w:rPr>
              <w:t>1</w:t>
            </w:r>
          </w:p>
        </w:tc>
        <w:tc>
          <w:tcPr>
            <w:tcW w:w="562" w:type="dxa"/>
          </w:tcPr>
          <w:p>
            <w:pPr>
              <w:pStyle w:val="TableParagraph"/>
              <w:spacing w:before="30"/>
              <w:ind w:right="63"/>
              <w:rPr>
                <w:sz w:val="22"/>
              </w:rPr>
            </w:pPr>
            <w:r>
              <w:rPr>
                <w:w w:val="100"/>
                <w:sz w:val="22"/>
              </w:rPr>
              <w:t>1</w:t>
            </w:r>
          </w:p>
        </w:tc>
        <w:tc>
          <w:tcPr>
            <w:tcW w:w="1150" w:type="dxa"/>
          </w:tcPr>
          <w:p>
            <w:pPr>
              <w:pStyle w:val="TableParagraph"/>
              <w:spacing w:before="30"/>
              <w:rPr>
                <w:sz w:val="22"/>
              </w:rPr>
            </w:pPr>
            <w:r>
              <w:rPr>
                <w:w w:val="100"/>
                <w:sz w:val="22"/>
              </w:rPr>
              <w:t>0</w:t>
            </w:r>
          </w:p>
        </w:tc>
        <w:tc>
          <w:tcPr>
            <w:tcW w:w="1128" w:type="dxa"/>
          </w:tcPr>
          <w:p>
            <w:pPr>
              <w:pStyle w:val="TableParagraph"/>
              <w:spacing w:before="30"/>
              <w:rPr>
                <w:sz w:val="22"/>
              </w:rPr>
            </w:pPr>
            <w:r>
              <w:rPr>
                <w:w w:val="100"/>
                <w:sz w:val="22"/>
              </w:rPr>
              <w:t>2</w:t>
            </w:r>
          </w:p>
        </w:tc>
        <w:tc>
          <w:tcPr>
            <w:tcW w:w="1318" w:type="dxa"/>
          </w:tcPr>
          <w:p>
            <w:pPr>
              <w:pStyle w:val="TableParagraph"/>
              <w:spacing w:before="30"/>
              <w:ind w:right="63"/>
              <w:rPr>
                <w:sz w:val="22"/>
              </w:rPr>
            </w:pPr>
            <w:r>
              <w:rPr>
                <w:sz w:val="22"/>
              </w:rPr>
              <w:t>78</w:t>
            </w:r>
          </w:p>
        </w:tc>
      </w:tr>
      <w:tr>
        <w:trPr>
          <w:trHeight w:val="310" w:hRule="exact"/>
        </w:trPr>
        <w:tc>
          <w:tcPr>
            <w:tcW w:w="756" w:type="dxa"/>
          </w:tcPr>
          <w:p>
            <w:pPr>
              <w:pStyle w:val="TableParagraph"/>
              <w:rPr>
                <w:sz w:val="22"/>
              </w:rPr>
            </w:pPr>
            <w:r>
              <w:rPr>
                <w:sz w:val="22"/>
              </w:rPr>
              <w:t>41</w:t>
            </w:r>
          </w:p>
        </w:tc>
        <w:tc>
          <w:tcPr>
            <w:tcW w:w="1927" w:type="dxa"/>
          </w:tcPr>
          <w:p>
            <w:pPr>
              <w:pStyle w:val="TableParagraph"/>
              <w:rPr>
                <w:sz w:val="22"/>
              </w:rPr>
            </w:pPr>
            <w:r>
              <w:rPr>
                <w:sz w:val="22"/>
              </w:rPr>
              <w:t>30/07/2009</w:t>
            </w:r>
          </w:p>
        </w:tc>
        <w:tc>
          <w:tcPr>
            <w:tcW w:w="1231" w:type="dxa"/>
          </w:tcPr>
          <w:p>
            <w:pPr>
              <w:pStyle w:val="TableParagraph"/>
              <w:rPr>
                <w:sz w:val="22"/>
              </w:rPr>
            </w:pPr>
            <w:r>
              <w:rPr>
                <w:w w:val="100"/>
                <w:sz w:val="22"/>
              </w:rPr>
              <w:t>3</w:t>
            </w:r>
          </w:p>
        </w:tc>
        <w:tc>
          <w:tcPr>
            <w:tcW w:w="919" w:type="dxa"/>
          </w:tcPr>
          <w:p>
            <w:pPr>
              <w:pStyle w:val="TableParagraph"/>
              <w:rPr>
                <w:sz w:val="22"/>
              </w:rPr>
            </w:pPr>
            <w:r>
              <w:rPr>
                <w:w w:val="100"/>
                <w:sz w:val="22"/>
              </w:rPr>
              <w:t>3</w:t>
            </w:r>
          </w:p>
        </w:tc>
        <w:tc>
          <w:tcPr>
            <w:tcW w:w="562" w:type="dxa"/>
          </w:tcPr>
          <w:p>
            <w:pPr>
              <w:pStyle w:val="TableParagraph"/>
              <w:ind w:right="63"/>
              <w:rPr>
                <w:sz w:val="22"/>
              </w:rPr>
            </w:pPr>
            <w:r>
              <w:rPr>
                <w:w w:val="100"/>
                <w:sz w:val="22"/>
              </w:rPr>
              <w:t>2</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3</w:t>
            </w:r>
          </w:p>
        </w:tc>
        <w:tc>
          <w:tcPr>
            <w:tcW w:w="1318" w:type="dxa"/>
          </w:tcPr>
          <w:p>
            <w:pPr>
              <w:pStyle w:val="TableParagraph"/>
              <w:ind w:right="63"/>
              <w:rPr>
                <w:sz w:val="22"/>
              </w:rPr>
            </w:pPr>
            <w:r>
              <w:rPr>
                <w:sz w:val="22"/>
              </w:rPr>
              <w:t>41</w:t>
            </w:r>
          </w:p>
        </w:tc>
      </w:tr>
      <w:tr>
        <w:trPr>
          <w:trHeight w:val="310" w:hRule="exact"/>
        </w:trPr>
        <w:tc>
          <w:tcPr>
            <w:tcW w:w="756" w:type="dxa"/>
          </w:tcPr>
          <w:p>
            <w:pPr>
              <w:pStyle w:val="TableParagraph"/>
              <w:rPr>
                <w:sz w:val="22"/>
              </w:rPr>
            </w:pPr>
            <w:r>
              <w:rPr>
                <w:sz w:val="22"/>
              </w:rPr>
              <w:t>45</w:t>
            </w:r>
          </w:p>
        </w:tc>
        <w:tc>
          <w:tcPr>
            <w:tcW w:w="1927" w:type="dxa"/>
          </w:tcPr>
          <w:p>
            <w:pPr>
              <w:pStyle w:val="TableParagraph"/>
              <w:rPr>
                <w:sz w:val="22"/>
              </w:rPr>
            </w:pPr>
            <w:r>
              <w:rPr>
                <w:sz w:val="22"/>
              </w:rPr>
              <w:t>03/08/2009</w:t>
            </w:r>
          </w:p>
        </w:tc>
        <w:tc>
          <w:tcPr>
            <w:tcW w:w="1231" w:type="dxa"/>
          </w:tcPr>
          <w:p>
            <w:pPr>
              <w:pStyle w:val="TableParagraph"/>
              <w:rPr>
                <w:sz w:val="22"/>
              </w:rPr>
            </w:pPr>
            <w:r>
              <w:rPr>
                <w:w w:val="100"/>
                <w:sz w:val="22"/>
              </w:rPr>
              <w:t>1</w:t>
            </w:r>
          </w:p>
        </w:tc>
        <w:tc>
          <w:tcPr>
            <w:tcW w:w="919" w:type="dxa"/>
          </w:tcPr>
          <w:p>
            <w:pPr>
              <w:pStyle w:val="TableParagraph"/>
              <w:rPr>
                <w:sz w:val="22"/>
              </w:rPr>
            </w:pPr>
            <w:r>
              <w:rPr>
                <w:w w:val="100"/>
                <w:sz w:val="22"/>
              </w:rPr>
              <w:t>2</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1</w:t>
            </w:r>
          </w:p>
        </w:tc>
        <w:tc>
          <w:tcPr>
            <w:tcW w:w="1318" w:type="dxa"/>
          </w:tcPr>
          <w:p>
            <w:pPr>
              <w:pStyle w:val="TableParagraph"/>
              <w:ind w:right="63"/>
              <w:rPr>
                <w:sz w:val="22"/>
              </w:rPr>
            </w:pPr>
            <w:r>
              <w:rPr>
                <w:sz w:val="22"/>
              </w:rPr>
              <w:t>132</w:t>
            </w:r>
          </w:p>
        </w:tc>
      </w:tr>
      <w:tr>
        <w:trPr>
          <w:trHeight w:val="310" w:hRule="exact"/>
        </w:trPr>
        <w:tc>
          <w:tcPr>
            <w:tcW w:w="756" w:type="dxa"/>
          </w:tcPr>
          <w:p>
            <w:pPr>
              <w:pStyle w:val="TableParagraph"/>
              <w:rPr>
                <w:sz w:val="22"/>
              </w:rPr>
            </w:pPr>
            <w:r>
              <w:rPr>
                <w:sz w:val="22"/>
              </w:rPr>
              <w:t>48</w:t>
            </w:r>
          </w:p>
        </w:tc>
        <w:tc>
          <w:tcPr>
            <w:tcW w:w="1927" w:type="dxa"/>
          </w:tcPr>
          <w:p>
            <w:pPr>
              <w:pStyle w:val="TableParagraph"/>
              <w:rPr>
                <w:sz w:val="22"/>
              </w:rPr>
            </w:pPr>
            <w:r>
              <w:rPr>
                <w:sz w:val="22"/>
              </w:rPr>
              <w:t>06/08/2009</w:t>
            </w:r>
          </w:p>
        </w:tc>
        <w:tc>
          <w:tcPr>
            <w:tcW w:w="1231" w:type="dxa"/>
          </w:tcPr>
          <w:p>
            <w:pPr>
              <w:pStyle w:val="TableParagraph"/>
              <w:rPr>
                <w:sz w:val="22"/>
              </w:rPr>
            </w:pPr>
            <w:r>
              <w:rPr>
                <w:w w:val="100"/>
                <w:sz w:val="22"/>
              </w:rPr>
              <w:t>2</w:t>
            </w:r>
          </w:p>
        </w:tc>
        <w:tc>
          <w:tcPr>
            <w:tcW w:w="919" w:type="dxa"/>
          </w:tcPr>
          <w:p>
            <w:pPr>
              <w:pStyle w:val="TableParagraph"/>
              <w:rPr>
                <w:sz w:val="22"/>
              </w:rPr>
            </w:pPr>
            <w:r>
              <w:rPr>
                <w:w w:val="100"/>
                <w:sz w:val="22"/>
              </w:rPr>
              <w:t>3</w:t>
            </w:r>
          </w:p>
        </w:tc>
        <w:tc>
          <w:tcPr>
            <w:tcW w:w="562" w:type="dxa"/>
          </w:tcPr>
          <w:p>
            <w:pPr>
              <w:pStyle w:val="TableParagraph"/>
              <w:ind w:right="63"/>
              <w:rPr>
                <w:sz w:val="22"/>
              </w:rPr>
            </w:pPr>
            <w:r>
              <w:rPr>
                <w:w w:val="100"/>
                <w:sz w:val="22"/>
              </w:rPr>
              <w:t>2</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2</w:t>
            </w:r>
          </w:p>
        </w:tc>
        <w:tc>
          <w:tcPr>
            <w:tcW w:w="1318" w:type="dxa"/>
          </w:tcPr>
          <w:p>
            <w:pPr>
              <w:pStyle w:val="TableParagraph"/>
              <w:ind w:right="63"/>
              <w:rPr>
                <w:sz w:val="22"/>
              </w:rPr>
            </w:pPr>
            <w:r>
              <w:rPr>
                <w:sz w:val="22"/>
              </w:rPr>
              <w:t>117</w:t>
            </w:r>
          </w:p>
        </w:tc>
      </w:tr>
      <w:tr>
        <w:trPr>
          <w:trHeight w:val="310" w:hRule="exact"/>
        </w:trPr>
        <w:tc>
          <w:tcPr>
            <w:tcW w:w="756" w:type="dxa"/>
          </w:tcPr>
          <w:p>
            <w:pPr>
              <w:pStyle w:val="TableParagraph"/>
              <w:rPr>
                <w:sz w:val="22"/>
              </w:rPr>
            </w:pPr>
            <w:r>
              <w:rPr>
                <w:sz w:val="22"/>
              </w:rPr>
              <w:t>53</w:t>
            </w:r>
          </w:p>
        </w:tc>
        <w:tc>
          <w:tcPr>
            <w:tcW w:w="1927" w:type="dxa"/>
          </w:tcPr>
          <w:p>
            <w:pPr>
              <w:pStyle w:val="TableParagraph"/>
              <w:rPr>
                <w:sz w:val="22"/>
              </w:rPr>
            </w:pPr>
            <w:r>
              <w:rPr>
                <w:sz w:val="22"/>
              </w:rPr>
              <w:t>11/08/2009</w:t>
            </w:r>
          </w:p>
        </w:tc>
        <w:tc>
          <w:tcPr>
            <w:tcW w:w="1231" w:type="dxa"/>
          </w:tcPr>
          <w:p>
            <w:pPr>
              <w:pStyle w:val="TableParagraph"/>
              <w:rPr>
                <w:sz w:val="22"/>
              </w:rPr>
            </w:pPr>
            <w:r>
              <w:rPr>
                <w:w w:val="100"/>
                <w:sz w:val="22"/>
              </w:rPr>
              <w:t>2</w:t>
            </w:r>
          </w:p>
        </w:tc>
        <w:tc>
          <w:tcPr>
            <w:tcW w:w="919" w:type="dxa"/>
          </w:tcPr>
          <w:p>
            <w:pPr>
              <w:pStyle w:val="TableParagraph"/>
              <w:rPr>
                <w:sz w:val="22"/>
              </w:rPr>
            </w:pPr>
            <w:r>
              <w:rPr>
                <w:w w:val="100"/>
                <w:sz w:val="22"/>
              </w:rPr>
              <w:t>2</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2</w:t>
            </w:r>
          </w:p>
        </w:tc>
        <w:tc>
          <w:tcPr>
            <w:tcW w:w="1318" w:type="dxa"/>
          </w:tcPr>
          <w:p>
            <w:pPr>
              <w:pStyle w:val="TableParagraph"/>
              <w:ind w:right="63"/>
              <w:rPr>
                <w:sz w:val="22"/>
              </w:rPr>
            </w:pPr>
            <w:r>
              <w:rPr>
                <w:sz w:val="22"/>
              </w:rPr>
              <w:t>389</w:t>
            </w:r>
          </w:p>
        </w:tc>
      </w:tr>
      <w:tr>
        <w:trPr>
          <w:trHeight w:val="310" w:hRule="exact"/>
        </w:trPr>
        <w:tc>
          <w:tcPr>
            <w:tcW w:w="756" w:type="dxa"/>
          </w:tcPr>
          <w:p>
            <w:pPr>
              <w:pStyle w:val="TableParagraph"/>
              <w:spacing w:before="30"/>
              <w:rPr>
                <w:sz w:val="22"/>
              </w:rPr>
            </w:pPr>
            <w:r>
              <w:rPr>
                <w:sz w:val="22"/>
              </w:rPr>
              <w:t>83</w:t>
            </w:r>
          </w:p>
        </w:tc>
        <w:tc>
          <w:tcPr>
            <w:tcW w:w="1927" w:type="dxa"/>
          </w:tcPr>
          <w:p>
            <w:pPr>
              <w:pStyle w:val="TableParagraph"/>
              <w:spacing w:before="30"/>
              <w:rPr>
                <w:sz w:val="22"/>
              </w:rPr>
            </w:pPr>
            <w:r>
              <w:rPr>
                <w:sz w:val="22"/>
              </w:rPr>
              <w:t>10/09/2009</w:t>
            </w:r>
          </w:p>
        </w:tc>
        <w:tc>
          <w:tcPr>
            <w:tcW w:w="1231" w:type="dxa"/>
          </w:tcPr>
          <w:p>
            <w:pPr>
              <w:pStyle w:val="TableParagraph"/>
              <w:spacing w:before="30"/>
              <w:rPr>
                <w:sz w:val="22"/>
              </w:rPr>
            </w:pPr>
            <w:r>
              <w:rPr>
                <w:w w:val="100"/>
                <w:sz w:val="22"/>
              </w:rPr>
              <w:t>1</w:t>
            </w:r>
          </w:p>
        </w:tc>
        <w:tc>
          <w:tcPr>
            <w:tcW w:w="919" w:type="dxa"/>
          </w:tcPr>
          <w:p>
            <w:pPr>
              <w:pStyle w:val="TableParagraph"/>
              <w:spacing w:before="30"/>
              <w:rPr>
                <w:sz w:val="22"/>
              </w:rPr>
            </w:pPr>
            <w:r>
              <w:rPr>
                <w:w w:val="100"/>
                <w:sz w:val="22"/>
              </w:rPr>
              <w:t>2</w:t>
            </w:r>
          </w:p>
        </w:tc>
        <w:tc>
          <w:tcPr>
            <w:tcW w:w="562" w:type="dxa"/>
          </w:tcPr>
          <w:p>
            <w:pPr>
              <w:pStyle w:val="TableParagraph"/>
              <w:spacing w:before="30"/>
              <w:ind w:right="63"/>
              <w:rPr>
                <w:sz w:val="22"/>
              </w:rPr>
            </w:pPr>
            <w:r>
              <w:rPr>
                <w:w w:val="100"/>
                <w:sz w:val="22"/>
              </w:rPr>
              <w:t>1</w:t>
            </w:r>
          </w:p>
        </w:tc>
        <w:tc>
          <w:tcPr>
            <w:tcW w:w="1150" w:type="dxa"/>
          </w:tcPr>
          <w:p>
            <w:pPr>
              <w:pStyle w:val="TableParagraph"/>
              <w:spacing w:before="30"/>
              <w:rPr>
                <w:sz w:val="22"/>
              </w:rPr>
            </w:pPr>
            <w:r>
              <w:rPr>
                <w:w w:val="100"/>
                <w:sz w:val="22"/>
              </w:rPr>
              <w:t>2</w:t>
            </w:r>
          </w:p>
        </w:tc>
        <w:tc>
          <w:tcPr>
            <w:tcW w:w="1128" w:type="dxa"/>
          </w:tcPr>
          <w:p>
            <w:pPr>
              <w:pStyle w:val="TableParagraph"/>
              <w:spacing w:before="30"/>
              <w:rPr>
                <w:sz w:val="22"/>
              </w:rPr>
            </w:pPr>
            <w:r>
              <w:rPr>
                <w:w w:val="100"/>
                <w:sz w:val="22"/>
              </w:rPr>
              <w:t>4</w:t>
            </w:r>
          </w:p>
        </w:tc>
        <w:tc>
          <w:tcPr>
            <w:tcW w:w="1318" w:type="dxa"/>
          </w:tcPr>
          <w:p>
            <w:pPr>
              <w:pStyle w:val="TableParagraph"/>
              <w:spacing w:before="30"/>
              <w:ind w:right="63"/>
              <w:rPr>
                <w:sz w:val="22"/>
              </w:rPr>
            </w:pPr>
            <w:r>
              <w:rPr>
                <w:sz w:val="22"/>
              </w:rPr>
              <w:t>160</w:t>
            </w:r>
          </w:p>
        </w:tc>
      </w:tr>
      <w:tr>
        <w:trPr>
          <w:trHeight w:val="312" w:hRule="exact"/>
        </w:trPr>
        <w:tc>
          <w:tcPr>
            <w:tcW w:w="756" w:type="dxa"/>
          </w:tcPr>
          <w:p>
            <w:pPr>
              <w:pStyle w:val="TableParagraph"/>
              <w:spacing w:before="30"/>
              <w:rPr>
                <w:sz w:val="22"/>
              </w:rPr>
            </w:pPr>
            <w:r>
              <w:rPr>
                <w:sz w:val="22"/>
              </w:rPr>
              <w:t>86</w:t>
            </w:r>
          </w:p>
        </w:tc>
        <w:tc>
          <w:tcPr>
            <w:tcW w:w="1927" w:type="dxa"/>
          </w:tcPr>
          <w:p>
            <w:pPr>
              <w:pStyle w:val="TableParagraph"/>
              <w:spacing w:before="30"/>
              <w:rPr>
                <w:sz w:val="22"/>
              </w:rPr>
            </w:pPr>
            <w:r>
              <w:rPr>
                <w:sz w:val="22"/>
              </w:rPr>
              <w:t>13/09/2009</w:t>
            </w:r>
          </w:p>
        </w:tc>
        <w:tc>
          <w:tcPr>
            <w:tcW w:w="1231" w:type="dxa"/>
          </w:tcPr>
          <w:p>
            <w:pPr>
              <w:pStyle w:val="TableParagraph"/>
              <w:spacing w:before="30"/>
              <w:rPr>
                <w:sz w:val="22"/>
              </w:rPr>
            </w:pPr>
            <w:r>
              <w:rPr>
                <w:w w:val="100"/>
                <w:sz w:val="22"/>
              </w:rPr>
              <w:t>2</w:t>
            </w:r>
          </w:p>
        </w:tc>
        <w:tc>
          <w:tcPr>
            <w:tcW w:w="919" w:type="dxa"/>
          </w:tcPr>
          <w:p>
            <w:pPr>
              <w:pStyle w:val="TableParagraph"/>
              <w:spacing w:before="30"/>
              <w:rPr>
                <w:sz w:val="22"/>
              </w:rPr>
            </w:pPr>
            <w:r>
              <w:rPr>
                <w:w w:val="100"/>
                <w:sz w:val="22"/>
              </w:rPr>
              <w:t>1</w:t>
            </w:r>
          </w:p>
        </w:tc>
        <w:tc>
          <w:tcPr>
            <w:tcW w:w="562" w:type="dxa"/>
          </w:tcPr>
          <w:p>
            <w:pPr>
              <w:pStyle w:val="TableParagraph"/>
              <w:spacing w:before="30"/>
              <w:ind w:right="63"/>
              <w:rPr>
                <w:sz w:val="22"/>
              </w:rPr>
            </w:pPr>
            <w:r>
              <w:rPr>
                <w:w w:val="100"/>
                <w:sz w:val="22"/>
              </w:rPr>
              <w:t>1</w:t>
            </w:r>
          </w:p>
        </w:tc>
        <w:tc>
          <w:tcPr>
            <w:tcW w:w="1150" w:type="dxa"/>
          </w:tcPr>
          <w:p>
            <w:pPr>
              <w:pStyle w:val="TableParagraph"/>
              <w:spacing w:before="30"/>
              <w:rPr>
                <w:sz w:val="22"/>
              </w:rPr>
            </w:pPr>
            <w:r>
              <w:rPr>
                <w:w w:val="100"/>
                <w:sz w:val="22"/>
              </w:rPr>
              <w:t>2</w:t>
            </w:r>
          </w:p>
        </w:tc>
        <w:tc>
          <w:tcPr>
            <w:tcW w:w="1128" w:type="dxa"/>
          </w:tcPr>
          <w:p>
            <w:pPr>
              <w:pStyle w:val="TableParagraph"/>
              <w:spacing w:before="30"/>
              <w:rPr>
                <w:sz w:val="22"/>
              </w:rPr>
            </w:pPr>
            <w:r>
              <w:rPr>
                <w:w w:val="100"/>
                <w:sz w:val="22"/>
              </w:rPr>
              <w:t>1</w:t>
            </w:r>
          </w:p>
        </w:tc>
        <w:tc>
          <w:tcPr>
            <w:tcW w:w="1318" w:type="dxa"/>
          </w:tcPr>
          <w:p>
            <w:pPr>
              <w:pStyle w:val="TableParagraph"/>
              <w:spacing w:before="30"/>
              <w:ind w:right="63"/>
              <w:rPr>
                <w:sz w:val="22"/>
              </w:rPr>
            </w:pPr>
            <w:r>
              <w:rPr>
                <w:sz w:val="22"/>
              </w:rPr>
              <w:t>244</w:t>
            </w:r>
          </w:p>
        </w:tc>
      </w:tr>
      <w:tr>
        <w:trPr>
          <w:trHeight w:val="310" w:hRule="exact"/>
        </w:trPr>
        <w:tc>
          <w:tcPr>
            <w:tcW w:w="756" w:type="dxa"/>
          </w:tcPr>
          <w:p>
            <w:pPr>
              <w:pStyle w:val="TableParagraph"/>
              <w:rPr>
                <w:sz w:val="22"/>
              </w:rPr>
            </w:pPr>
            <w:r>
              <w:rPr>
                <w:sz w:val="22"/>
              </w:rPr>
              <w:t>88</w:t>
            </w:r>
          </w:p>
        </w:tc>
        <w:tc>
          <w:tcPr>
            <w:tcW w:w="1927" w:type="dxa"/>
          </w:tcPr>
          <w:p>
            <w:pPr>
              <w:pStyle w:val="TableParagraph"/>
              <w:rPr>
                <w:sz w:val="22"/>
              </w:rPr>
            </w:pPr>
            <w:r>
              <w:rPr>
                <w:sz w:val="22"/>
              </w:rPr>
              <w:t>15/09/2009</w:t>
            </w:r>
          </w:p>
        </w:tc>
        <w:tc>
          <w:tcPr>
            <w:tcW w:w="1231" w:type="dxa"/>
          </w:tcPr>
          <w:p>
            <w:pPr>
              <w:pStyle w:val="TableParagraph"/>
              <w:rPr>
                <w:sz w:val="22"/>
              </w:rPr>
            </w:pPr>
            <w:r>
              <w:rPr>
                <w:w w:val="100"/>
                <w:sz w:val="22"/>
              </w:rPr>
              <w:t>3</w:t>
            </w:r>
          </w:p>
        </w:tc>
        <w:tc>
          <w:tcPr>
            <w:tcW w:w="919" w:type="dxa"/>
          </w:tcPr>
          <w:p>
            <w:pPr>
              <w:pStyle w:val="TableParagraph"/>
              <w:rPr>
                <w:sz w:val="22"/>
              </w:rPr>
            </w:pPr>
            <w:r>
              <w:rPr>
                <w:w w:val="100"/>
                <w:sz w:val="22"/>
              </w:rPr>
              <w:t>2</w:t>
            </w:r>
          </w:p>
        </w:tc>
        <w:tc>
          <w:tcPr>
            <w:tcW w:w="562" w:type="dxa"/>
          </w:tcPr>
          <w:p>
            <w:pPr>
              <w:pStyle w:val="TableParagraph"/>
              <w:ind w:right="63"/>
              <w:rPr>
                <w:sz w:val="22"/>
              </w:rPr>
            </w:pPr>
            <w:r>
              <w:rPr>
                <w:w w:val="100"/>
                <w:sz w:val="22"/>
              </w:rPr>
              <w:t>2</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2</w:t>
            </w:r>
          </w:p>
        </w:tc>
        <w:tc>
          <w:tcPr>
            <w:tcW w:w="1318" w:type="dxa"/>
          </w:tcPr>
          <w:p>
            <w:pPr>
              <w:pStyle w:val="TableParagraph"/>
              <w:ind w:right="63"/>
              <w:rPr>
                <w:sz w:val="22"/>
              </w:rPr>
            </w:pPr>
            <w:r>
              <w:rPr>
                <w:sz w:val="22"/>
              </w:rPr>
              <w:t>411</w:t>
            </w:r>
          </w:p>
        </w:tc>
      </w:tr>
      <w:tr>
        <w:trPr>
          <w:trHeight w:val="310" w:hRule="exact"/>
        </w:trPr>
        <w:tc>
          <w:tcPr>
            <w:tcW w:w="756" w:type="dxa"/>
          </w:tcPr>
          <w:p>
            <w:pPr>
              <w:pStyle w:val="TableParagraph"/>
              <w:rPr>
                <w:sz w:val="22"/>
              </w:rPr>
            </w:pPr>
            <w:r>
              <w:rPr>
                <w:sz w:val="22"/>
              </w:rPr>
              <w:t>91</w:t>
            </w:r>
          </w:p>
        </w:tc>
        <w:tc>
          <w:tcPr>
            <w:tcW w:w="1927" w:type="dxa"/>
          </w:tcPr>
          <w:p>
            <w:pPr>
              <w:pStyle w:val="TableParagraph"/>
              <w:rPr>
                <w:sz w:val="22"/>
              </w:rPr>
            </w:pPr>
            <w:r>
              <w:rPr>
                <w:sz w:val="22"/>
              </w:rPr>
              <w:t>18/09/2009</w:t>
            </w:r>
          </w:p>
        </w:tc>
        <w:tc>
          <w:tcPr>
            <w:tcW w:w="1231" w:type="dxa"/>
          </w:tcPr>
          <w:p>
            <w:pPr>
              <w:pStyle w:val="TableParagraph"/>
              <w:rPr>
                <w:sz w:val="22"/>
              </w:rPr>
            </w:pPr>
            <w:r>
              <w:rPr>
                <w:w w:val="100"/>
                <w:sz w:val="22"/>
              </w:rPr>
              <w:t>1</w:t>
            </w:r>
          </w:p>
        </w:tc>
        <w:tc>
          <w:tcPr>
            <w:tcW w:w="919" w:type="dxa"/>
          </w:tcPr>
          <w:p>
            <w:pPr>
              <w:pStyle w:val="TableParagraph"/>
              <w:rPr>
                <w:sz w:val="22"/>
              </w:rPr>
            </w:pPr>
            <w:r>
              <w:rPr>
                <w:w w:val="100"/>
                <w:sz w:val="22"/>
              </w:rPr>
              <w:t>2</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1</w:t>
            </w:r>
          </w:p>
        </w:tc>
        <w:tc>
          <w:tcPr>
            <w:tcW w:w="1128" w:type="dxa"/>
          </w:tcPr>
          <w:p>
            <w:pPr>
              <w:pStyle w:val="TableParagraph"/>
              <w:rPr>
                <w:sz w:val="22"/>
              </w:rPr>
            </w:pPr>
            <w:r>
              <w:rPr>
                <w:w w:val="100"/>
                <w:sz w:val="22"/>
              </w:rPr>
              <w:t>1</w:t>
            </w:r>
          </w:p>
        </w:tc>
        <w:tc>
          <w:tcPr>
            <w:tcW w:w="1318" w:type="dxa"/>
          </w:tcPr>
          <w:p>
            <w:pPr>
              <w:pStyle w:val="TableParagraph"/>
              <w:ind w:right="63"/>
              <w:rPr>
                <w:sz w:val="22"/>
              </w:rPr>
            </w:pPr>
            <w:r>
              <w:rPr>
                <w:sz w:val="22"/>
              </w:rPr>
              <w:t>204</w:t>
            </w:r>
          </w:p>
        </w:tc>
      </w:tr>
      <w:tr>
        <w:trPr>
          <w:trHeight w:val="310" w:hRule="exact"/>
        </w:trPr>
        <w:tc>
          <w:tcPr>
            <w:tcW w:w="756" w:type="dxa"/>
          </w:tcPr>
          <w:p>
            <w:pPr>
              <w:pStyle w:val="TableParagraph"/>
              <w:rPr>
                <w:sz w:val="22"/>
              </w:rPr>
            </w:pPr>
            <w:r>
              <w:rPr>
                <w:sz w:val="22"/>
              </w:rPr>
              <w:t>94</w:t>
            </w:r>
          </w:p>
        </w:tc>
        <w:tc>
          <w:tcPr>
            <w:tcW w:w="1927" w:type="dxa"/>
          </w:tcPr>
          <w:p>
            <w:pPr>
              <w:pStyle w:val="TableParagraph"/>
              <w:rPr>
                <w:sz w:val="22"/>
              </w:rPr>
            </w:pPr>
            <w:r>
              <w:rPr>
                <w:sz w:val="22"/>
              </w:rPr>
              <w:t>21/09/2009</w:t>
            </w:r>
          </w:p>
        </w:tc>
        <w:tc>
          <w:tcPr>
            <w:tcW w:w="1231" w:type="dxa"/>
          </w:tcPr>
          <w:p>
            <w:pPr>
              <w:pStyle w:val="TableParagraph"/>
              <w:rPr>
                <w:sz w:val="22"/>
              </w:rPr>
            </w:pPr>
            <w:r>
              <w:rPr>
                <w:w w:val="100"/>
                <w:sz w:val="22"/>
              </w:rPr>
              <w:t>2</w:t>
            </w:r>
          </w:p>
        </w:tc>
        <w:tc>
          <w:tcPr>
            <w:tcW w:w="919" w:type="dxa"/>
          </w:tcPr>
          <w:p>
            <w:pPr>
              <w:pStyle w:val="TableParagraph"/>
              <w:rPr>
                <w:sz w:val="22"/>
              </w:rPr>
            </w:pPr>
            <w:r>
              <w:rPr>
                <w:w w:val="100"/>
                <w:sz w:val="22"/>
              </w:rPr>
              <w:t>2</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5</w:t>
            </w:r>
          </w:p>
        </w:tc>
        <w:tc>
          <w:tcPr>
            <w:tcW w:w="1318" w:type="dxa"/>
          </w:tcPr>
          <w:p>
            <w:pPr>
              <w:pStyle w:val="TableParagraph"/>
              <w:ind w:right="63"/>
              <w:rPr>
                <w:sz w:val="22"/>
              </w:rPr>
            </w:pPr>
            <w:r>
              <w:rPr>
                <w:sz w:val="22"/>
              </w:rPr>
              <w:t>456</w:t>
            </w:r>
          </w:p>
        </w:tc>
      </w:tr>
      <w:tr>
        <w:trPr>
          <w:trHeight w:val="310" w:hRule="exact"/>
        </w:trPr>
        <w:tc>
          <w:tcPr>
            <w:tcW w:w="756" w:type="dxa"/>
          </w:tcPr>
          <w:p>
            <w:pPr>
              <w:pStyle w:val="TableParagraph"/>
              <w:rPr>
                <w:sz w:val="22"/>
              </w:rPr>
            </w:pPr>
            <w:r>
              <w:rPr>
                <w:sz w:val="22"/>
              </w:rPr>
              <w:t>97</w:t>
            </w:r>
          </w:p>
        </w:tc>
        <w:tc>
          <w:tcPr>
            <w:tcW w:w="1927" w:type="dxa"/>
          </w:tcPr>
          <w:p>
            <w:pPr>
              <w:pStyle w:val="TableParagraph"/>
              <w:rPr>
                <w:sz w:val="22"/>
              </w:rPr>
            </w:pPr>
            <w:r>
              <w:rPr>
                <w:sz w:val="22"/>
              </w:rPr>
              <w:t>24/09/2009</w:t>
            </w:r>
          </w:p>
        </w:tc>
        <w:tc>
          <w:tcPr>
            <w:tcW w:w="1231" w:type="dxa"/>
          </w:tcPr>
          <w:p>
            <w:pPr>
              <w:pStyle w:val="TableParagraph"/>
              <w:rPr>
                <w:sz w:val="22"/>
              </w:rPr>
            </w:pPr>
            <w:r>
              <w:rPr>
                <w:w w:val="100"/>
                <w:sz w:val="22"/>
              </w:rPr>
              <w:t>2</w:t>
            </w:r>
          </w:p>
        </w:tc>
        <w:tc>
          <w:tcPr>
            <w:tcW w:w="919" w:type="dxa"/>
          </w:tcPr>
          <w:p>
            <w:pPr>
              <w:pStyle w:val="TableParagraph"/>
              <w:rPr>
                <w:sz w:val="22"/>
              </w:rPr>
            </w:pPr>
            <w:r>
              <w:rPr>
                <w:w w:val="100"/>
                <w:sz w:val="22"/>
              </w:rPr>
              <w:t>2</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3</w:t>
            </w:r>
          </w:p>
        </w:tc>
        <w:tc>
          <w:tcPr>
            <w:tcW w:w="1128" w:type="dxa"/>
          </w:tcPr>
          <w:p>
            <w:pPr>
              <w:pStyle w:val="TableParagraph"/>
              <w:rPr>
                <w:sz w:val="22"/>
              </w:rPr>
            </w:pPr>
            <w:r>
              <w:rPr>
                <w:w w:val="100"/>
                <w:sz w:val="22"/>
              </w:rPr>
              <w:t>3</w:t>
            </w:r>
          </w:p>
        </w:tc>
        <w:tc>
          <w:tcPr>
            <w:tcW w:w="1318" w:type="dxa"/>
          </w:tcPr>
          <w:p>
            <w:pPr>
              <w:pStyle w:val="TableParagraph"/>
              <w:ind w:right="63"/>
              <w:rPr>
                <w:sz w:val="22"/>
              </w:rPr>
            </w:pPr>
            <w:r>
              <w:rPr>
                <w:sz w:val="22"/>
              </w:rPr>
              <w:t>170</w:t>
            </w:r>
          </w:p>
        </w:tc>
      </w:tr>
      <w:tr>
        <w:trPr>
          <w:trHeight w:val="310" w:hRule="exact"/>
        </w:trPr>
        <w:tc>
          <w:tcPr>
            <w:tcW w:w="756" w:type="dxa"/>
          </w:tcPr>
          <w:p>
            <w:pPr>
              <w:pStyle w:val="TableParagraph"/>
              <w:spacing w:before="30"/>
              <w:rPr>
                <w:sz w:val="22"/>
              </w:rPr>
            </w:pPr>
            <w:r>
              <w:rPr>
                <w:sz w:val="22"/>
              </w:rPr>
              <w:t>101</w:t>
            </w:r>
          </w:p>
        </w:tc>
        <w:tc>
          <w:tcPr>
            <w:tcW w:w="1927" w:type="dxa"/>
          </w:tcPr>
          <w:p>
            <w:pPr>
              <w:pStyle w:val="TableParagraph"/>
              <w:spacing w:before="30"/>
              <w:rPr>
                <w:sz w:val="22"/>
              </w:rPr>
            </w:pPr>
            <w:r>
              <w:rPr>
                <w:sz w:val="22"/>
              </w:rPr>
              <w:t>28/09/2009</w:t>
            </w:r>
          </w:p>
        </w:tc>
        <w:tc>
          <w:tcPr>
            <w:tcW w:w="1231" w:type="dxa"/>
          </w:tcPr>
          <w:p>
            <w:pPr>
              <w:pStyle w:val="TableParagraph"/>
              <w:spacing w:before="30"/>
              <w:rPr>
                <w:sz w:val="22"/>
              </w:rPr>
            </w:pPr>
            <w:r>
              <w:rPr>
                <w:w w:val="100"/>
                <w:sz w:val="22"/>
              </w:rPr>
              <w:t>2</w:t>
            </w:r>
          </w:p>
        </w:tc>
        <w:tc>
          <w:tcPr>
            <w:tcW w:w="919" w:type="dxa"/>
          </w:tcPr>
          <w:p>
            <w:pPr>
              <w:pStyle w:val="TableParagraph"/>
              <w:spacing w:before="30"/>
              <w:rPr>
                <w:sz w:val="22"/>
              </w:rPr>
            </w:pPr>
            <w:r>
              <w:rPr>
                <w:w w:val="100"/>
                <w:sz w:val="22"/>
              </w:rPr>
              <w:t>1</w:t>
            </w:r>
          </w:p>
        </w:tc>
        <w:tc>
          <w:tcPr>
            <w:tcW w:w="562" w:type="dxa"/>
          </w:tcPr>
          <w:p>
            <w:pPr>
              <w:pStyle w:val="TableParagraph"/>
              <w:spacing w:before="30"/>
              <w:ind w:right="63"/>
              <w:rPr>
                <w:sz w:val="22"/>
              </w:rPr>
            </w:pPr>
            <w:r>
              <w:rPr>
                <w:w w:val="100"/>
                <w:sz w:val="22"/>
              </w:rPr>
              <w:t>1</w:t>
            </w:r>
          </w:p>
        </w:tc>
        <w:tc>
          <w:tcPr>
            <w:tcW w:w="1150" w:type="dxa"/>
          </w:tcPr>
          <w:p>
            <w:pPr>
              <w:pStyle w:val="TableParagraph"/>
              <w:spacing w:before="30"/>
              <w:rPr>
                <w:sz w:val="22"/>
              </w:rPr>
            </w:pPr>
            <w:r>
              <w:rPr>
                <w:w w:val="100"/>
                <w:sz w:val="22"/>
              </w:rPr>
              <w:t>2</w:t>
            </w:r>
          </w:p>
        </w:tc>
        <w:tc>
          <w:tcPr>
            <w:tcW w:w="1128" w:type="dxa"/>
          </w:tcPr>
          <w:p>
            <w:pPr>
              <w:pStyle w:val="TableParagraph"/>
              <w:spacing w:before="30"/>
              <w:rPr>
                <w:sz w:val="22"/>
              </w:rPr>
            </w:pPr>
            <w:r>
              <w:rPr>
                <w:w w:val="100"/>
                <w:sz w:val="22"/>
              </w:rPr>
              <w:t>2</w:t>
            </w:r>
          </w:p>
        </w:tc>
        <w:tc>
          <w:tcPr>
            <w:tcW w:w="1318" w:type="dxa"/>
          </w:tcPr>
          <w:p>
            <w:pPr>
              <w:pStyle w:val="TableParagraph"/>
              <w:spacing w:before="30"/>
              <w:ind w:right="63"/>
              <w:rPr>
                <w:sz w:val="22"/>
              </w:rPr>
            </w:pPr>
            <w:r>
              <w:rPr>
                <w:sz w:val="22"/>
              </w:rPr>
              <w:t>545</w:t>
            </w:r>
          </w:p>
        </w:tc>
      </w:tr>
      <w:tr>
        <w:trPr>
          <w:trHeight w:val="312" w:hRule="exact"/>
        </w:trPr>
        <w:tc>
          <w:tcPr>
            <w:tcW w:w="756" w:type="dxa"/>
          </w:tcPr>
          <w:p>
            <w:pPr>
              <w:pStyle w:val="TableParagraph"/>
              <w:spacing w:before="30"/>
              <w:rPr>
                <w:sz w:val="22"/>
              </w:rPr>
            </w:pPr>
            <w:r>
              <w:rPr>
                <w:sz w:val="22"/>
              </w:rPr>
              <w:t>104</w:t>
            </w:r>
          </w:p>
        </w:tc>
        <w:tc>
          <w:tcPr>
            <w:tcW w:w="1927" w:type="dxa"/>
          </w:tcPr>
          <w:p>
            <w:pPr>
              <w:pStyle w:val="TableParagraph"/>
              <w:spacing w:before="30"/>
              <w:rPr>
                <w:sz w:val="22"/>
              </w:rPr>
            </w:pPr>
            <w:r>
              <w:rPr>
                <w:sz w:val="22"/>
              </w:rPr>
              <w:t>01/10/2009</w:t>
            </w:r>
          </w:p>
        </w:tc>
        <w:tc>
          <w:tcPr>
            <w:tcW w:w="1231" w:type="dxa"/>
          </w:tcPr>
          <w:p>
            <w:pPr>
              <w:pStyle w:val="TableParagraph"/>
              <w:spacing w:before="30"/>
              <w:rPr>
                <w:sz w:val="22"/>
              </w:rPr>
            </w:pPr>
            <w:r>
              <w:rPr>
                <w:w w:val="100"/>
                <w:sz w:val="22"/>
              </w:rPr>
              <w:t>0</w:t>
            </w:r>
          </w:p>
        </w:tc>
        <w:tc>
          <w:tcPr>
            <w:tcW w:w="919" w:type="dxa"/>
          </w:tcPr>
          <w:p>
            <w:pPr>
              <w:pStyle w:val="TableParagraph"/>
              <w:spacing w:before="30"/>
              <w:rPr>
                <w:sz w:val="22"/>
              </w:rPr>
            </w:pPr>
            <w:r>
              <w:rPr>
                <w:w w:val="100"/>
                <w:sz w:val="22"/>
              </w:rPr>
              <w:t>0</w:t>
            </w:r>
          </w:p>
        </w:tc>
        <w:tc>
          <w:tcPr>
            <w:tcW w:w="562" w:type="dxa"/>
          </w:tcPr>
          <w:p>
            <w:pPr>
              <w:pStyle w:val="TableParagraph"/>
              <w:spacing w:before="30"/>
              <w:ind w:right="63"/>
              <w:rPr>
                <w:sz w:val="22"/>
              </w:rPr>
            </w:pPr>
            <w:r>
              <w:rPr>
                <w:w w:val="100"/>
                <w:sz w:val="22"/>
              </w:rPr>
              <w:t>0</w:t>
            </w:r>
          </w:p>
        </w:tc>
        <w:tc>
          <w:tcPr>
            <w:tcW w:w="1150" w:type="dxa"/>
          </w:tcPr>
          <w:p>
            <w:pPr>
              <w:pStyle w:val="TableParagraph"/>
              <w:spacing w:before="30"/>
              <w:rPr>
                <w:sz w:val="22"/>
              </w:rPr>
            </w:pPr>
            <w:r>
              <w:rPr>
                <w:w w:val="100"/>
                <w:sz w:val="22"/>
              </w:rPr>
              <w:t>1</w:t>
            </w:r>
          </w:p>
        </w:tc>
        <w:tc>
          <w:tcPr>
            <w:tcW w:w="1128" w:type="dxa"/>
          </w:tcPr>
          <w:p>
            <w:pPr>
              <w:pStyle w:val="TableParagraph"/>
              <w:spacing w:before="30"/>
              <w:rPr>
                <w:sz w:val="22"/>
              </w:rPr>
            </w:pPr>
            <w:r>
              <w:rPr>
                <w:w w:val="100"/>
                <w:sz w:val="22"/>
              </w:rPr>
              <w:t>0</w:t>
            </w:r>
          </w:p>
        </w:tc>
        <w:tc>
          <w:tcPr>
            <w:tcW w:w="1318" w:type="dxa"/>
          </w:tcPr>
          <w:p>
            <w:pPr>
              <w:pStyle w:val="TableParagraph"/>
              <w:spacing w:before="30"/>
              <w:ind w:right="63"/>
              <w:rPr>
                <w:sz w:val="22"/>
              </w:rPr>
            </w:pPr>
            <w:r>
              <w:rPr>
                <w:sz w:val="22"/>
              </w:rPr>
              <w:t>704</w:t>
            </w:r>
          </w:p>
        </w:tc>
      </w:tr>
      <w:tr>
        <w:trPr>
          <w:trHeight w:val="310" w:hRule="exact"/>
        </w:trPr>
        <w:tc>
          <w:tcPr>
            <w:tcW w:w="756" w:type="dxa"/>
          </w:tcPr>
          <w:p>
            <w:pPr>
              <w:pStyle w:val="TableParagraph"/>
              <w:rPr>
                <w:sz w:val="22"/>
              </w:rPr>
            </w:pPr>
            <w:r>
              <w:rPr>
                <w:sz w:val="22"/>
              </w:rPr>
              <w:t>109</w:t>
            </w:r>
          </w:p>
        </w:tc>
        <w:tc>
          <w:tcPr>
            <w:tcW w:w="1927" w:type="dxa"/>
          </w:tcPr>
          <w:p>
            <w:pPr>
              <w:pStyle w:val="TableParagraph"/>
              <w:rPr>
                <w:sz w:val="22"/>
              </w:rPr>
            </w:pPr>
            <w:r>
              <w:rPr>
                <w:sz w:val="22"/>
              </w:rPr>
              <w:t>06/10/2009</w:t>
            </w:r>
          </w:p>
        </w:tc>
        <w:tc>
          <w:tcPr>
            <w:tcW w:w="1231" w:type="dxa"/>
          </w:tcPr>
          <w:p>
            <w:pPr>
              <w:pStyle w:val="TableParagraph"/>
              <w:rPr>
                <w:sz w:val="22"/>
              </w:rPr>
            </w:pPr>
            <w:r>
              <w:rPr>
                <w:w w:val="100"/>
                <w:sz w:val="22"/>
              </w:rPr>
              <w:t>3</w:t>
            </w:r>
          </w:p>
        </w:tc>
        <w:tc>
          <w:tcPr>
            <w:tcW w:w="919" w:type="dxa"/>
          </w:tcPr>
          <w:p>
            <w:pPr>
              <w:pStyle w:val="TableParagraph"/>
              <w:rPr>
                <w:sz w:val="22"/>
              </w:rPr>
            </w:pPr>
            <w:r>
              <w:rPr>
                <w:w w:val="100"/>
                <w:sz w:val="22"/>
              </w:rPr>
              <w:t>5</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4</w:t>
            </w:r>
          </w:p>
        </w:tc>
        <w:tc>
          <w:tcPr>
            <w:tcW w:w="1318" w:type="dxa"/>
          </w:tcPr>
          <w:p>
            <w:pPr>
              <w:pStyle w:val="TableParagraph"/>
              <w:ind w:right="63"/>
              <w:rPr>
                <w:sz w:val="22"/>
              </w:rPr>
            </w:pPr>
            <w:r>
              <w:rPr>
                <w:sz w:val="22"/>
              </w:rPr>
              <w:t>129</w:t>
            </w:r>
          </w:p>
        </w:tc>
      </w:tr>
      <w:tr>
        <w:trPr>
          <w:trHeight w:val="310" w:hRule="exact"/>
        </w:trPr>
        <w:tc>
          <w:tcPr>
            <w:tcW w:w="756" w:type="dxa"/>
          </w:tcPr>
          <w:p>
            <w:pPr>
              <w:pStyle w:val="TableParagraph"/>
              <w:rPr>
                <w:sz w:val="22"/>
              </w:rPr>
            </w:pPr>
            <w:r>
              <w:rPr>
                <w:sz w:val="22"/>
              </w:rPr>
              <w:t>112</w:t>
            </w:r>
          </w:p>
        </w:tc>
        <w:tc>
          <w:tcPr>
            <w:tcW w:w="1927" w:type="dxa"/>
          </w:tcPr>
          <w:p>
            <w:pPr>
              <w:pStyle w:val="TableParagraph"/>
              <w:rPr>
                <w:sz w:val="22"/>
              </w:rPr>
            </w:pPr>
            <w:r>
              <w:rPr>
                <w:sz w:val="22"/>
              </w:rPr>
              <w:t>09/10/2009</w:t>
            </w:r>
          </w:p>
        </w:tc>
        <w:tc>
          <w:tcPr>
            <w:tcW w:w="1231" w:type="dxa"/>
          </w:tcPr>
          <w:p>
            <w:pPr>
              <w:pStyle w:val="TableParagraph"/>
              <w:rPr>
                <w:sz w:val="22"/>
              </w:rPr>
            </w:pPr>
            <w:r>
              <w:rPr>
                <w:w w:val="100"/>
                <w:sz w:val="22"/>
              </w:rPr>
              <w:t>2</w:t>
            </w:r>
          </w:p>
        </w:tc>
        <w:tc>
          <w:tcPr>
            <w:tcW w:w="919" w:type="dxa"/>
          </w:tcPr>
          <w:p>
            <w:pPr>
              <w:pStyle w:val="TableParagraph"/>
              <w:rPr>
                <w:sz w:val="22"/>
              </w:rPr>
            </w:pPr>
            <w:r>
              <w:rPr>
                <w:w w:val="100"/>
                <w:sz w:val="22"/>
              </w:rPr>
              <w:t>3</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3</w:t>
            </w:r>
          </w:p>
        </w:tc>
        <w:tc>
          <w:tcPr>
            <w:tcW w:w="1128" w:type="dxa"/>
          </w:tcPr>
          <w:p>
            <w:pPr>
              <w:pStyle w:val="TableParagraph"/>
              <w:rPr>
                <w:sz w:val="22"/>
              </w:rPr>
            </w:pPr>
            <w:r>
              <w:rPr>
                <w:w w:val="100"/>
                <w:sz w:val="22"/>
              </w:rPr>
              <w:t>3</w:t>
            </w:r>
          </w:p>
        </w:tc>
        <w:tc>
          <w:tcPr>
            <w:tcW w:w="1318" w:type="dxa"/>
          </w:tcPr>
          <w:p>
            <w:pPr>
              <w:pStyle w:val="TableParagraph"/>
              <w:ind w:right="63"/>
              <w:rPr>
                <w:sz w:val="22"/>
              </w:rPr>
            </w:pPr>
            <w:r>
              <w:rPr>
                <w:sz w:val="22"/>
              </w:rPr>
              <w:t>386</w:t>
            </w:r>
          </w:p>
        </w:tc>
      </w:tr>
      <w:tr>
        <w:trPr>
          <w:trHeight w:val="310" w:hRule="exact"/>
        </w:trPr>
        <w:tc>
          <w:tcPr>
            <w:tcW w:w="756" w:type="dxa"/>
          </w:tcPr>
          <w:p>
            <w:pPr>
              <w:pStyle w:val="TableParagraph"/>
              <w:rPr>
                <w:sz w:val="22"/>
              </w:rPr>
            </w:pPr>
            <w:r>
              <w:rPr>
                <w:sz w:val="22"/>
              </w:rPr>
              <w:t>116</w:t>
            </w:r>
          </w:p>
        </w:tc>
        <w:tc>
          <w:tcPr>
            <w:tcW w:w="1927" w:type="dxa"/>
          </w:tcPr>
          <w:p>
            <w:pPr>
              <w:pStyle w:val="TableParagraph"/>
              <w:rPr>
                <w:sz w:val="22"/>
              </w:rPr>
            </w:pPr>
            <w:r>
              <w:rPr>
                <w:sz w:val="22"/>
              </w:rPr>
              <w:t>13/10/2009</w:t>
            </w:r>
          </w:p>
        </w:tc>
        <w:tc>
          <w:tcPr>
            <w:tcW w:w="1231" w:type="dxa"/>
          </w:tcPr>
          <w:p>
            <w:pPr>
              <w:pStyle w:val="TableParagraph"/>
              <w:rPr>
                <w:sz w:val="22"/>
              </w:rPr>
            </w:pPr>
            <w:r>
              <w:rPr>
                <w:w w:val="100"/>
                <w:sz w:val="22"/>
              </w:rPr>
              <w:t>2</w:t>
            </w:r>
          </w:p>
        </w:tc>
        <w:tc>
          <w:tcPr>
            <w:tcW w:w="919" w:type="dxa"/>
          </w:tcPr>
          <w:p>
            <w:pPr>
              <w:pStyle w:val="TableParagraph"/>
              <w:rPr>
                <w:sz w:val="22"/>
              </w:rPr>
            </w:pPr>
            <w:r>
              <w:rPr>
                <w:w w:val="100"/>
                <w:sz w:val="22"/>
              </w:rPr>
              <w:t>2</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3</w:t>
            </w:r>
          </w:p>
        </w:tc>
        <w:tc>
          <w:tcPr>
            <w:tcW w:w="1128" w:type="dxa"/>
          </w:tcPr>
          <w:p>
            <w:pPr>
              <w:pStyle w:val="TableParagraph"/>
              <w:rPr>
                <w:sz w:val="22"/>
              </w:rPr>
            </w:pPr>
            <w:r>
              <w:rPr>
                <w:w w:val="100"/>
                <w:sz w:val="22"/>
              </w:rPr>
              <w:t>2</w:t>
            </w:r>
          </w:p>
        </w:tc>
        <w:tc>
          <w:tcPr>
            <w:tcW w:w="1318" w:type="dxa"/>
          </w:tcPr>
          <w:p>
            <w:pPr>
              <w:pStyle w:val="TableParagraph"/>
              <w:ind w:right="63"/>
              <w:rPr>
                <w:sz w:val="22"/>
              </w:rPr>
            </w:pPr>
            <w:r>
              <w:rPr>
                <w:sz w:val="22"/>
              </w:rPr>
              <w:t>90</w:t>
            </w:r>
          </w:p>
        </w:tc>
      </w:tr>
      <w:tr>
        <w:trPr>
          <w:trHeight w:val="310" w:hRule="exact"/>
        </w:trPr>
        <w:tc>
          <w:tcPr>
            <w:tcW w:w="756" w:type="dxa"/>
          </w:tcPr>
          <w:p>
            <w:pPr>
              <w:pStyle w:val="TableParagraph"/>
              <w:rPr>
                <w:sz w:val="22"/>
              </w:rPr>
            </w:pPr>
            <w:r>
              <w:rPr>
                <w:sz w:val="22"/>
              </w:rPr>
              <w:t>119</w:t>
            </w:r>
          </w:p>
        </w:tc>
        <w:tc>
          <w:tcPr>
            <w:tcW w:w="1927" w:type="dxa"/>
          </w:tcPr>
          <w:p>
            <w:pPr>
              <w:pStyle w:val="TableParagraph"/>
              <w:rPr>
                <w:sz w:val="22"/>
              </w:rPr>
            </w:pPr>
            <w:r>
              <w:rPr>
                <w:sz w:val="22"/>
              </w:rPr>
              <w:t>16/10/2009</w:t>
            </w:r>
          </w:p>
        </w:tc>
        <w:tc>
          <w:tcPr>
            <w:tcW w:w="1231" w:type="dxa"/>
          </w:tcPr>
          <w:p>
            <w:pPr>
              <w:pStyle w:val="TableParagraph"/>
              <w:rPr>
                <w:sz w:val="22"/>
              </w:rPr>
            </w:pPr>
            <w:r>
              <w:rPr>
                <w:w w:val="100"/>
                <w:sz w:val="22"/>
              </w:rPr>
              <w:t>3</w:t>
            </w:r>
          </w:p>
        </w:tc>
        <w:tc>
          <w:tcPr>
            <w:tcW w:w="919" w:type="dxa"/>
          </w:tcPr>
          <w:p>
            <w:pPr>
              <w:pStyle w:val="TableParagraph"/>
              <w:rPr>
                <w:sz w:val="22"/>
              </w:rPr>
            </w:pPr>
            <w:r>
              <w:rPr>
                <w:w w:val="100"/>
                <w:sz w:val="22"/>
              </w:rPr>
              <w:t>1</w:t>
            </w:r>
          </w:p>
        </w:tc>
        <w:tc>
          <w:tcPr>
            <w:tcW w:w="562" w:type="dxa"/>
          </w:tcPr>
          <w:p>
            <w:pPr>
              <w:pStyle w:val="TableParagraph"/>
              <w:ind w:right="63"/>
              <w:rPr>
                <w:sz w:val="22"/>
              </w:rPr>
            </w:pPr>
            <w:r>
              <w:rPr>
                <w:w w:val="100"/>
                <w:sz w:val="22"/>
              </w:rPr>
              <w:t>1</w:t>
            </w:r>
          </w:p>
        </w:tc>
        <w:tc>
          <w:tcPr>
            <w:tcW w:w="1150" w:type="dxa"/>
          </w:tcPr>
          <w:p>
            <w:pPr>
              <w:pStyle w:val="TableParagraph"/>
              <w:rPr>
                <w:sz w:val="22"/>
              </w:rPr>
            </w:pPr>
            <w:r>
              <w:rPr>
                <w:w w:val="100"/>
                <w:sz w:val="22"/>
              </w:rPr>
              <w:t>2</w:t>
            </w:r>
          </w:p>
        </w:tc>
        <w:tc>
          <w:tcPr>
            <w:tcW w:w="1128" w:type="dxa"/>
          </w:tcPr>
          <w:p>
            <w:pPr>
              <w:pStyle w:val="TableParagraph"/>
              <w:rPr>
                <w:sz w:val="22"/>
              </w:rPr>
            </w:pPr>
            <w:r>
              <w:rPr>
                <w:w w:val="100"/>
                <w:sz w:val="22"/>
              </w:rPr>
              <w:t>2</w:t>
            </w:r>
          </w:p>
        </w:tc>
        <w:tc>
          <w:tcPr>
            <w:tcW w:w="1318" w:type="dxa"/>
          </w:tcPr>
          <w:p>
            <w:pPr>
              <w:pStyle w:val="TableParagraph"/>
              <w:ind w:right="63"/>
              <w:rPr>
                <w:sz w:val="22"/>
              </w:rPr>
            </w:pPr>
            <w:r>
              <w:rPr>
                <w:sz w:val="22"/>
              </w:rPr>
              <w:t>683</w:t>
            </w:r>
          </w:p>
        </w:tc>
      </w:tr>
      <w:tr>
        <w:trPr>
          <w:trHeight w:val="310" w:hRule="exact"/>
        </w:trPr>
        <w:tc>
          <w:tcPr>
            <w:tcW w:w="756" w:type="dxa"/>
          </w:tcPr>
          <w:p>
            <w:pPr>
              <w:pStyle w:val="TableParagraph"/>
              <w:spacing w:before="30"/>
              <w:rPr>
                <w:sz w:val="22"/>
              </w:rPr>
            </w:pPr>
            <w:r>
              <w:rPr>
                <w:sz w:val="22"/>
              </w:rPr>
              <w:t>122</w:t>
            </w:r>
          </w:p>
        </w:tc>
        <w:tc>
          <w:tcPr>
            <w:tcW w:w="1927" w:type="dxa"/>
          </w:tcPr>
          <w:p>
            <w:pPr>
              <w:pStyle w:val="TableParagraph"/>
              <w:spacing w:before="30"/>
              <w:rPr>
                <w:sz w:val="22"/>
              </w:rPr>
            </w:pPr>
            <w:r>
              <w:rPr>
                <w:sz w:val="22"/>
              </w:rPr>
              <w:t>19/10/2009</w:t>
            </w:r>
          </w:p>
        </w:tc>
        <w:tc>
          <w:tcPr>
            <w:tcW w:w="1231" w:type="dxa"/>
          </w:tcPr>
          <w:p>
            <w:pPr>
              <w:pStyle w:val="TableParagraph"/>
              <w:spacing w:before="30"/>
              <w:rPr>
                <w:sz w:val="22"/>
              </w:rPr>
            </w:pPr>
            <w:r>
              <w:rPr>
                <w:w w:val="100"/>
                <w:sz w:val="22"/>
              </w:rPr>
              <w:t>2</w:t>
            </w:r>
          </w:p>
        </w:tc>
        <w:tc>
          <w:tcPr>
            <w:tcW w:w="919" w:type="dxa"/>
          </w:tcPr>
          <w:p>
            <w:pPr>
              <w:pStyle w:val="TableParagraph"/>
              <w:spacing w:before="30"/>
              <w:rPr>
                <w:sz w:val="22"/>
              </w:rPr>
            </w:pPr>
            <w:r>
              <w:rPr>
                <w:w w:val="100"/>
                <w:sz w:val="22"/>
              </w:rPr>
              <w:t>4</w:t>
            </w:r>
          </w:p>
        </w:tc>
        <w:tc>
          <w:tcPr>
            <w:tcW w:w="562" w:type="dxa"/>
          </w:tcPr>
          <w:p>
            <w:pPr>
              <w:pStyle w:val="TableParagraph"/>
              <w:spacing w:before="30"/>
              <w:ind w:right="63"/>
              <w:rPr>
                <w:sz w:val="22"/>
              </w:rPr>
            </w:pPr>
            <w:r>
              <w:rPr>
                <w:w w:val="100"/>
                <w:sz w:val="22"/>
              </w:rPr>
              <w:t>2</w:t>
            </w:r>
          </w:p>
        </w:tc>
        <w:tc>
          <w:tcPr>
            <w:tcW w:w="1150" w:type="dxa"/>
          </w:tcPr>
          <w:p>
            <w:pPr>
              <w:pStyle w:val="TableParagraph"/>
              <w:spacing w:before="30"/>
              <w:rPr>
                <w:sz w:val="22"/>
              </w:rPr>
            </w:pPr>
            <w:r>
              <w:rPr>
                <w:w w:val="100"/>
                <w:sz w:val="22"/>
              </w:rPr>
              <w:t>3</w:t>
            </w:r>
          </w:p>
        </w:tc>
        <w:tc>
          <w:tcPr>
            <w:tcW w:w="1128" w:type="dxa"/>
          </w:tcPr>
          <w:p>
            <w:pPr>
              <w:pStyle w:val="TableParagraph"/>
              <w:spacing w:before="30"/>
              <w:rPr>
                <w:sz w:val="22"/>
              </w:rPr>
            </w:pPr>
            <w:r>
              <w:rPr>
                <w:w w:val="100"/>
                <w:sz w:val="22"/>
              </w:rPr>
              <w:t>5</w:t>
            </w:r>
          </w:p>
        </w:tc>
        <w:tc>
          <w:tcPr>
            <w:tcW w:w="1318" w:type="dxa"/>
          </w:tcPr>
          <w:p>
            <w:pPr>
              <w:pStyle w:val="TableParagraph"/>
              <w:spacing w:before="30"/>
              <w:ind w:right="63"/>
              <w:rPr>
                <w:sz w:val="22"/>
              </w:rPr>
            </w:pPr>
            <w:r>
              <w:rPr>
                <w:sz w:val="22"/>
              </w:rPr>
              <w:t>928</w:t>
            </w:r>
          </w:p>
        </w:tc>
      </w:tr>
      <w:tr>
        <w:trPr>
          <w:trHeight w:val="312" w:hRule="exact"/>
        </w:trPr>
        <w:tc>
          <w:tcPr>
            <w:tcW w:w="756" w:type="dxa"/>
          </w:tcPr>
          <w:p>
            <w:pPr>
              <w:pStyle w:val="TableParagraph"/>
              <w:spacing w:before="30"/>
              <w:rPr>
                <w:sz w:val="22"/>
              </w:rPr>
            </w:pPr>
            <w:r>
              <w:rPr>
                <w:sz w:val="22"/>
              </w:rPr>
              <w:t>125</w:t>
            </w:r>
          </w:p>
        </w:tc>
        <w:tc>
          <w:tcPr>
            <w:tcW w:w="1927" w:type="dxa"/>
          </w:tcPr>
          <w:p>
            <w:pPr>
              <w:pStyle w:val="TableParagraph"/>
              <w:spacing w:before="30"/>
              <w:rPr>
                <w:sz w:val="22"/>
              </w:rPr>
            </w:pPr>
            <w:r>
              <w:rPr>
                <w:sz w:val="22"/>
              </w:rPr>
              <w:t>22/10/2009</w:t>
            </w:r>
          </w:p>
        </w:tc>
        <w:tc>
          <w:tcPr>
            <w:tcW w:w="1231" w:type="dxa"/>
          </w:tcPr>
          <w:p>
            <w:pPr>
              <w:pStyle w:val="TableParagraph"/>
              <w:spacing w:before="30"/>
              <w:rPr>
                <w:sz w:val="22"/>
              </w:rPr>
            </w:pPr>
            <w:r>
              <w:rPr>
                <w:w w:val="100"/>
                <w:sz w:val="22"/>
              </w:rPr>
              <w:t>5</w:t>
            </w:r>
          </w:p>
        </w:tc>
        <w:tc>
          <w:tcPr>
            <w:tcW w:w="919" w:type="dxa"/>
          </w:tcPr>
          <w:p>
            <w:pPr>
              <w:pStyle w:val="TableParagraph"/>
              <w:spacing w:before="30"/>
              <w:rPr>
                <w:sz w:val="22"/>
              </w:rPr>
            </w:pPr>
            <w:r>
              <w:rPr>
                <w:w w:val="100"/>
                <w:sz w:val="22"/>
              </w:rPr>
              <w:t>3</w:t>
            </w:r>
          </w:p>
        </w:tc>
        <w:tc>
          <w:tcPr>
            <w:tcW w:w="562" w:type="dxa"/>
          </w:tcPr>
          <w:p>
            <w:pPr>
              <w:pStyle w:val="TableParagraph"/>
              <w:spacing w:before="30"/>
              <w:ind w:right="63"/>
              <w:rPr>
                <w:sz w:val="22"/>
              </w:rPr>
            </w:pPr>
            <w:r>
              <w:rPr>
                <w:w w:val="100"/>
                <w:sz w:val="22"/>
              </w:rPr>
              <w:t>3</w:t>
            </w:r>
          </w:p>
        </w:tc>
        <w:tc>
          <w:tcPr>
            <w:tcW w:w="1150" w:type="dxa"/>
          </w:tcPr>
          <w:p>
            <w:pPr>
              <w:pStyle w:val="TableParagraph"/>
              <w:spacing w:before="30"/>
              <w:rPr>
                <w:sz w:val="22"/>
              </w:rPr>
            </w:pPr>
            <w:r>
              <w:rPr>
                <w:w w:val="100"/>
                <w:sz w:val="22"/>
              </w:rPr>
              <w:t>5</w:t>
            </w:r>
          </w:p>
        </w:tc>
        <w:tc>
          <w:tcPr>
            <w:tcW w:w="1128" w:type="dxa"/>
          </w:tcPr>
          <w:p>
            <w:pPr>
              <w:pStyle w:val="TableParagraph"/>
              <w:spacing w:before="30"/>
              <w:rPr>
                <w:sz w:val="22"/>
              </w:rPr>
            </w:pPr>
            <w:r>
              <w:rPr>
                <w:w w:val="100"/>
                <w:sz w:val="22"/>
              </w:rPr>
              <w:t>5</w:t>
            </w:r>
          </w:p>
        </w:tc>
        <w:tc>
          <w:tcPr>
            <w:tcW w:w="1318" w:type="dxa"/>
          </w:tcPr>
          <w:p>
            <w:pPr>
              <w:pStyle w:val="TableParagraph"/>
              <w:spacing w:before="30"/>
              <w:ind w:right="63"/>
              <w:rPr>
                <w:sz w:val="22"/>
              </w:rPr>
            </w:pPr>
            <w:r>
              <w:rPr>
                <w:sz w:val="22"/>
              </w:rPr>
              <w:t>898</w:t>
            </w:r>
          </w:p>
        </w:tc>
      </w:tr>
      <w:tr>
        <w:trPr>
          <w:trHeight w:val="310" w:hRule="exact"/>
        </w:trPr>
        <w:tc>
          <w:tcPr>
            <w:tcW w:w="756" w:type="dxa"/>
          </w:tcPr>
          <w:p>
            <w:pPr>
              <w:pStyle w:val="TableParagraph"/>
              <w:rPr>
                <w:sz w:val="22"/>
              </w:rPr>
            </w:pPr>
            <w:r>
              <w:rPr>
                <w:sz w:val="22"/>
              </w:rPr>
              <w:t>129</w:t>
            </w:r>
          </w:p>
        </w:tc>
        <w:tc>
          <w:tcPr>
            <w:tcW w:w="1927" w:type="dxa"/>
          </w:tcPr>
          <w:p>
            <w:pPr>
              <w:pStyle w:val="TableParagraph"/>
              <w:rPr>
                <w:sz w:val="22"/>
              </w:rPr>
            </w:pPr>
            <w:r>
              <w:rPr>
                <w:sz w:val="22"/>
              </w:rPr>
              <w:t>26/10/2009</w:t>
            </w:r>
          </w:p>
        </w:tc>
        <w:tc>
          <w:tcPr>
            <w:tcW w:w="1231" w:type="dxa"/>
          </w:tcPr>
          <w:p>
            <w:pPr>
              <w:pStyle w:val="TableParagraph"/>
              <w:rPr>
                <w:sz w:val="22"/>
              </w:rPr>
            </w:pPr>
            <w:r>
              <w:rPr>
                <w:w w:val="100"/>
                <w:sz w:val="22"/>
              </w:rPr>
              <w:t>6</w:t>
            </w:r>
          </w:p>
        </w:tc>
        <w:tc>
          <w:tcPr>
            <w:tcW w:w="919" w:type="dxa"/>
          </w:tcPr>
          <w:p>
            <w:pPr>
              <w:pStyle w:val="TableParagraph"/>
              <w:rPr>
                <w:sz w:val="22"/>
              </w:rPr>
            </w:pPr>
            <w:r>
              <w:rPr>
                <w:w w:val="100"/>
                <w:sz w:val="22"/>
              </w:rPr>
              <w:t>5</w:t>
            </w:r>
          </w:p>
        </w:tc>
        <w:tc>
          <w:tcPr>
            <w:tcW w:w="562" w:type="dxa"/>
          </w:tcPr>
          <w:p>
            <w:pPr>
              <w:pStyle w:val="TableParagraph"/>
              <w:ind w:right="63"/>
              <w:rPr>
                <w:sz w:val="22"/>
              </w:rPr>
            </w:pPr>
            <w:r>
              <w:rPr>
                <w:w w:val="100"/>
                <w:sz w:val="22"/>
              </w:rPr>
              <w:t>2</w:t>
            </w:r>
          </w:p>
        </w:tc>
        <w:tc>
          <w:tcPr>
            <w:tcW w:w="1150" w:type="dxa"/>
          </w:tcPr>
          <w:p>
            <w:pPr>
              <w:pStyle w:val="TableParagraph"/>
              <w:rPr>
                <w:sz w:val="22"/>
              </w:rPr>
            </w:pPr>
            <w:r>
              <w:rPr>
                <w:w w:val="100"/>
                <w:sz w:val="22"/>
              </w:rPr>
              <w:t>4</w:t>
            </w:r>
          </w:p>
        </w:tc>
        <w:tc>
          <w:tcPr>
            <w:tcW w:w="1128" w:type="dxa"/>
          </w:tcPr>
          <w:p>
            <w:pPr>
              <w:pStyle w:val="TableParagraph"/>
              <w:rPr>
                <w:sz w:val="22"/>
              </w:rPr>
            </w:pPr>
            <w:r>
              <w:rPr>
                <w:w w:val="100"/>
                <w:sz w:val="22"/>
              </w:rPr>
              <w:t>5</w:t>
            </w:r>
          </w:p>
        </w:tc>
        <w:tc>
          <w:tcPr>
            <w:tcW w:w="1318" w:type="dxa"/>
          </w:tcPr>
          <w:p>
            <w:pPr>
              <w:pStyle w:val="TableParagraph"/>
              <w:ind w:right="63"/>
              <w:rPr>
                <w:sz w:val="22"/>
              </w:rPr>
            </w:pPr>
            <w:r>
              <w:rPr>
                <w:sz w:val="22"/>
              </w:rPr>
              <w:t>291</w:t>
            </w:r>
          </w:p>
        </w:tc>
      </w:tr>
      <w:tr>
        <w:trPr>
          <w:trHeight w:val="310" w:hRule="exact"/>
        </w:trPr>
        <w:tc>
          <w:tcPr>
            <w:tcW w:w="756" w:type="dxa"/>
          </w:tcPr>
          <w:p>
            <w:pPr>
              <w:pStyle w:val="TableParagraph"/>
              <w:rPr>
                <w:sz w:val="22"/>
              </w:rPr>
            </w:pPr>
            <w:r>
              <w:rPr>
                <w:sz w:val="22"/>
              </w:rPr>
              <w:t>133</w:t>
            </w:r>
          </w:p>
        </w:tc>
        <w:tc>
          <w:tcPr>
            <w:tcW w:w="1927" w:type="dxa"/>
          </w:tcPr>
          <w:p>
            <w:pPr>
              <w:pStyle w:val="TableParagraph"/>
              <w:rPr>
                <w:sz w:val="22"/>
              </w:rPr>
            </w:pPr>
            <w:r>
              <w:rPr>
                <w:sz w:val="22"/>
              </w:rPr>
              <w:t>30/10/2009</w:t>
            </w:r>
          </w:p>
        </w:tc>
        <w:tc>
          <w:tcPr>
            <w:tcW w:w="1231" w:type="dxa"/>
          </w:tcPr>
          <w:p>
            <w:pPr>
              <w:pStyle w:val="TableParagraph"/>
              <w:rPr>
                <w:sz w:val="22"/>
              </w:rPr>
            </w:pPr>
            <w:r>
              <w:rPr>
                <w:w w:val="100"/>
                <w:sz w:val="22"/>
              </w:rPr>
              <w:t>8</w:t>
            </w:r>
          </w:p>
        </w:tc>
        <w:tc>
          <w:tcPr>
            <w:tcW w:w="919" w:type="dxa"/>
          </w:tcPr>
          <w:p>
            <w:pPr>
              <w:pStyle w:val="TableParagraph"/>
              <w:rPr>
                <w:sz w:val="22"/>
              </w:rPr>
            </w:pPr>
            <w:r>
              <w:rPr>
                <w:sz w:val="22"/>
              </w:rPr>
              <w:t>10</w:t>
            </w:r>
          </w:p>
        </w:tc>
        <w:tc>
          <w:tcPr>
            <w:tcW w:w="562" w:type="dxa"/>
          </w:tcPr>
          <w:p>
            <w:pPr>
              <w:pStyle w:val="TableParagraph"/>
              <w:ind w:right="63"/>
              <w:rPr>
                <w:sz w:val="22"/>
              </w:rPr>
            </w:pPr>
            <w:r>
              <w:rPr>
                <w:w w:val="100"/>
                <w:sz w:val="22"/>
              </w:rPr>
              <w:t>9</w:t>
            </w:r>
          </w:p>
        </w:tc>
        <w:tc>
          <w:tcPr>
            <w:tcW w:w="1150" w:type="dxa"/>
          </w:tcPr>
          <w:p>
            <w:pPr>
              <w:pStyle w:val="TableParagraph"/>
              <w:rPr>
                <w:sz w:val="22"/>
              </w:rPr>
            </w:pPr>
            <w:r>
              <w:rPr>
                <w:w w:val="100"/>
                <w:sz w:val="22"/>
              </w:rPr>
              <w:t>8</w:t>
            </w:r>
          </w:p>
        </w:tc>
        <w:tc>
          <w:tcPr>
            <w:tcW w:w="1128" w:type="dxa"/>
          </w:tcPr>
          <w:p>
            <w:pPr>
              <w:pStyle w:val="TableParagraph"/>
              <w:rPr>
                <w:sz w:val="22"/>
              </w:rPr>
            </w:pPr>
            <w:r>
              <w:rPr>
                <w:w w:val="100"/>
                <w:sz w:val="22"/>
              </w:rPr>
              <w:t>8</w:t>
            </w:r>
          </w:p>
        </w:tc>
        <w:tc>
          <w:tcPr>
            <w:tcW w:w="1318" w:type="dxa"/>
          </w:tcPr>
          <w:p>
            <w:pPr>
              <w:pStyle w:val="TableParagraph"/>
              <w:ind w:right="63"/>
              <w:rPr>
                <w:sz w:val="22"/>
              </w:rPr>
            </w:pPr>
            <w:r>
              <w:rPr>
                <w:sz w:val="22"/>
              </w:rPr>
              <w:t>257</w:t>
            </w:r>
          </w:p>
        </w:tc>
      </w:tr>
      <w:tr>
        <w:trPr>
          <w:trHeight w:val="310" w:hRule="exact"/>
        </w:trPr>
        <w:tc>
          <w:tcPr>
            <w:tcW w:w="756" w:type="dxa"/>
          </w:tcPr>
          <w:p>
            <w:pPr>
              <w:pStyle w:val="TableParagraph"/>
              <w:rPr>
                <w:sz w:val="22"/>
              </w:rPr>
            </w:pPr>
            <w:r>
              <w:rPr>
                <w:sz w:val="22"/>
              </w:rPr>
              <w:t>137</w:t>
            </w:r>
          </w:p>
        </w:tc>
        <w:tc>
          <w:tcPr>
            <w:tcW w:w="1927" w:type="dxa"/>
          </w:tcPr>
          <w:p>
            <w:pPr>
              <w:pStyle w:val="TableParagraph"/>
              <w:rPr>
                <w:sz w:val="22"/>
              </w:rPr>
            </w:pPr>
            <w:r>
              <w:rPr>
                <w:sz w:val="22"/>
              </w:rPr>
              <w:t>03/11/2009</w:t>
            </w:r>
          </w:p>
        </w:tc>
        <w:tc>
          <w:tcPr>
            <w:tcW w:w="1231" w:type="dxa"/>
          </w:tcPr>
          <w:p>
            <w:pPr>
              <w:pStyle w:val="TableParagraph"/>
              <w:rPr>
                <w:sz w:val="22"/>
              </w:rPr>
            </w:pPr>
            <w:r>
              <w:rPr>
                <w:w w:val="100"/>
                <w:sz w:val="22"/>
              </w:rPr>
              <w:t>5</w:t>
            </w:r>
          </w:p>
        </w:tc>
        <w:tc>
          <w:tcPr>
            <w:tcW w:w="919" w:type="dxa"/>
          </w:tcPr>
          <w:p>
            <w:pPr>
              <w:pStyle w:val="TableParagraph"/>
              <w:rPr>
                <w:sz w:val="22"/>
              </w:rPr>
            </w:pPr>
            <w:r>
              <w:rPr>
                <w:w w:val="100"/>
                <w:sz w:val="22"/>
              </w:rPr>
              <w:t>6</w:t>
            </w:r>
          </w:p>
        </w:tc>
        <w:tc>
          <w:tcPr>
            <w:tcW w:w="562" w:type="dxa"/>
          </w:tcPr>
          <w:p>
            <w:pPr>
              <w:pStyle w:val="TableParagraph"/>
              <w:ind w:right="63"/>
              <w:rPr>
                <w:sz w:val="22"/>
              </w:rPr>
            </w:pPr>
            <w:r>
              <w:rPr>
                <w:w w:val="100"/>
                <w:sz w:val="22"/>
              </w:rPr>
              <w:t>3</w:t>
            </w:r>
          </w:p>
        </w:tc>
        <w:tc>
          <w:tcPr>
            <w:tcW w:w="1150" w:type="dxa"/>
          </w:tcPr>
          <w:p>
            <w:pPr>
              <w:pStyle w:val="TableParagraph"/>
              <w:rPr>
                <w:sz w:val="22"/>
              </w:rPr>
            </w:pPr>
            <w:r>
              <w:rPr>
                <w:w w:val="100"/>
                <w:sz w:val="22"/>
              </w:rPr>
              <w:t>5</w:t>
            </w:r>
          </w:p>
        </w:tc>
        <w:tc>
          <w:tcPr>
            <w:tcW w:w="1128" w:type="dxa"/>
          </w:tcPr>
          <w:p>
            <w:pPr>
              <w:pStyle w:val="TableParagraph"/>
              <w:rPr>
                <w:sz w:val="22"/>
              </w:rPr>
            </w:pPr>
            <w:r>
              <w:rPr>
                <w:w w:val="100"/>
                <w:sz w:val="22"/>
              </w:rPr>
              <w:t>4</w:t>
            </w:r>
          </w:p>
        </w:tc>
        <w:tc>
          <w:tcPr>
            <w:tcW w:w="1318" w:type="dxa"/>
          </w:tcPr>
          <w:p>
            <w:pPr>
              <w:pStyle w:val="TableParagraph"/>
              <w:ind w:right="63"/>
              <w:rPr>
                <w:sz w:val="22"/>
              </w:rPr>
            </w:pPr>
            <w:r>
              <w:rPr>
                <w:sz w:val="22"/>
              </w:rPr>
              <w:t>607</w:t>
            </w:r>
          </w:p>
        </w:tc>
      </w:tr>
      <w:tr>
        <w:trPr>
          <w:trHeight w:val="310" w:hRule="exact"/>
        </w:trPr>
        <w:tc>
          <w:tcPr>
            <w:tcW w:w="756" w:type="dxa"/>
          </w:tcPr>
          <w:p>
            <w:pPr>
              <w:pStyle w:val="TableParagraph"/>
              <w:rPr>
                <w:sz w:val="22"/>
              </w:rPr>
            </w:pPr>
            <w:r>
              <w:rPr>
                <w:sz w:val="22"/>
              </w:rPr>
              <w:t>139</w:t>
            </w:r>
          </w:p>
        </w:tc>
        <w:tc>
          <w:tcPr>
            <w:tcW w:w="1927" w:type="dxa"/>
          </w:tcPr>
          <w:p>
            <w:pPr>
              <w:pStyle w:val="TableParagraph"/>
              <w:rPr>
                <w:sz w:val="22"/>
              </w:rPr>
            </w:pPr>
            <w:r>
              <w:rPr>
                <w:sz w:val="22"/>
              </w:rPr>
              <w:t>05/11/2009</w:t>
            </w:r>
          </w:p>
        </w:tc>
        <w:tc>
          <w:tcPr>
            <w:tcW w:w="1231" w:type="dxa"/>
          </w:tcPr>
          <w:p>
            <w:pPr>
              <w:pStyle w:val="TableParagraph"/>
              <w:rPr>
                <w:sz w:val="22"/>
              </w:rPr>
            </w:pPr>
            <w:r>
              <w:rPr>
                <w:w w:val="100"/>
                <w:sz w:val="22"/>
              </w:rPr>
              <w:t>8</w:t>
            </w:r>
          </w:p>
        </w:tc>
        <w:tc>
          <w:tcPr>
            <w:tcW w:w="919" w:type="dxa"/>
          </w:tcPr>
          <w:p>
            <w:pPr>
              <w:pStyle w:val="TableParagraph"/>
              <w:rPr>
                <w:sz w:val="22"/>
              </w:rPr>
            </w:pPr>
            <w:r>
              <w:rPr>
                <w:w w:val="100"/>
                <w:sz w:val="22"/>
              </w:rPr>
              <w:t>7</w:t>
            </w:r>
          </w:p>
        </w:tc>
        <w:tc>
          <w:tcPr>
            <w:tcW w:w="562" w:type="dxa"/>
          </w:tcPr>
          <w:p>
            <w:pPr>
              <w:pStyle w:val="TableParagraph"/>
              <w:ind w:right="63"/>
              <w:rPr>
                <w:sz w:val="22"/>
              </w:rPr>
            </w:pPr>
            <w:r>
              <w:rPr>
                <w:w w:val="100"/>
                <w:sz w:val="22"/>
              </w:rPr>
              <w:t>5</w:t>
            </w:r>
          </w:p>
        </w:tc>
        <w:tc>
          <w:tcPr>
            <w:tcW w:w="1150" w:type="dxa"/>
          </w:tcPr>
          <w:p>
            <w:pPr>
              <w:pStyle w:val="TableParagraph"/>
              <w:rPr>
                <w:sz w:val="22"/>
              </w:rPr>
            </w:pPr>
            <w:r>
              <w:rPr>
                <w:w w:val="100"/>
                <w:sz w:val="22"/>
              </w:rPr>
              <w:t>9</w:t>
            </w:r>
          </w:p>
        </w:tc>
        <w:tc>
          <w:tcPr>
            <w:tcW w:w="1128" w:type="dxa"/>
          </w:tcPr>
          <w:p>
            <w:pPr>
              <w:pStyle w:val="TableParagraph"/>
              <w:rPr>
                <w:sz w:val="22"/>
              </w:rPr>
            </w:pPr>
            <w:r>
              <w:rPr>
                <w:w w:val="100"/>
                <w:sz w:val="22"/>
              </w:rPr>
              <w:t>7</w:t>
            </w:r>
          </w:p>
        </w:tc>
        <w:tc>
          <w:tcPr>
            <w:tcW w:w="1318" w:type="dxa"/>
          </w:tcPr>
          <w:p>
            <w:pPr>
              <w:pStyle w:val="TableParagraph"/>
              <w:ind w:right="63"/>
              <w:rPr>
                <w:sz w:val="22"/>
              </w:rPr>
            </w:pPr>
            <w:r>
              <w:rPr>
                <w:sz w:val="22"/>
              </w:rPr>
              <w:t>471</w:t>
            </w:r>
          </w:p>
        </w:tc>
      </w:tr>
      <w:tr>
        <w:trPr>
          <w:trHeight w:val="310" w:hRule="exact"/>
        </w:trPr>
        <w:tc>
          <w:tcPr>
            <w:tcW w:w="756" w:type="dxa"/>
          </w:tcPr>
          <w:p>
            <w:pPr>
              <w:pStyle w:val="TableParagraph"/>
              <w:spacing w:before="30"/>
              <w:rPr>
                <w:sz w:val="22"/>
              </w:rPr>
            </w:pPr>
            <w:r>
              <w:rPr>
                <w:sz w:val="22"/>
              </w:rPr>
              <w:t>143</w:t>
            </w:r>
          </w:p>
        </w:tc>
        <w:tc>
          <w:tcPr>
            <w:tcW w:w="1927" w:type="dxa"/>
          </w:tcPr>
          <w:p>
            <w:pPr>
              <w:pStyle w:val="TableParagraph"/>
              <w:spacing w:before="30"/>
              <w:rPr>
                <w:sz w:val="22"/>
              </w:rPr>
            </w:pPr>
            <w:r>
              <w:rPr>
                <w:sz w:val="22"/>
              </w:rPr>
              <w:t>09/11/2009</w:t>
            </w:r>
          </w:p>
        </w:tc>
        <w:tc>
          <w:tcPr>
            <w:tcW w:w="1231" w:type="dxa"/>
          </w:tcPr>
          <w:p>
            <w:pPr>
              <w:pStyle w:val="TableParagraph"/>
              <w:spacing w:before="30"/>
              <w:rPr>
                <w:sz w:val="22"/>
              </w:rPr>
            </w:pPr>
            <w:r>
              <w:rPr>
                <w:w w:val="100"/>
                <w:sz w:val="22"/>
              </w:rPr>
              <w:t>5</w:t>
            </w:r>
          </w:p>
        </w:tc>
        <w:tc>
          <w:tcPr>
            <w:tcW w:w="919" w:type="dxa"/>
          </w:tcPr>
          <w:p>
            <w:pPr>
              <w:pStyle w:val="TableParagraph"/>
              <w:spacing w:before="30"/>
              <w:rPr>
                <w:sz w:val="22"/>
              </w:rPr>
            </w:pPr>
            <w:r>
              <w:rPr>
                <w:w w:val="100"/>
                <w:sz w:val="22"/>
              </w:rPr>
              <w:t>6</w:t>
            </w:r>
          </w:p>
        </w:tc>
        <w:tc>
          <w:tcPr>
            <w:tcW w:w="562" w:type="dxa"/>
          </w:tcPr>
          <w:p>
            <w:pPr>
              <w:pStyle w:val="TableParagraph"/>
              <w:spacing w:before="30"/>
              <w:ind w:right="63"/>
              <w:rPr>
                <w:sz w:val="22"/>
              </w:rPr>
            </w:pPr>
            <w:r>
              <w:rPr>
                <w:w w:val="100"/>
                <w:sz w:val="22"/>
              </w:rPr>
              <w:t>3</w:t>
            </w:r>
          </w:p>
        </w:tc>
        <w:tc>
          <w:tcPr>
            <w:tcW w:w="1150" w:type="dxa"/>
          </w:tcPr>
          <w:p>
            <w:pPr>
              <w:pStyle w:val="TableParagraph"/>
              <w:spacing w:before="30"/>
              <w:rPr>
                <w:sz w:val="22"/>
              </w:rPr>
            </w:pPr>
            <w:r>
              <w:rPr>
                <w:w w:val="100"/>
                <w:sz w:val="22"/>
              </w:rPr>
              <w:t>7</w:t>
            </w:r>
          </w:p>
        </w:tc>
        <w:tc>
          <w:tcPr>
            <w:tcW w:w="1128" w:type="dxa"/>
          </w:tcPr>
          <w:p>
            <w:pPr>
              <w:pStyle w:val="TableParagraph"/>
              <w:spacing w:before="30"/>
              <w:rPr>
                <w:sz w:val="22"/>
              </w:rPr>
            </w:pPr>
            <w:r>
              <w:rPr>
                <w:w w:val="100"/>
                <w:sz w:val="22"/>
              </w:rPr>
              <w:t>7</w:t>
            </w:r>
          </w:p>
        </w:tc>
        <w:tc>
          <w:tcPr>
            <w:tcW w:w="1318" w:type="dxa"/>
          </w:tcPr>
          <w:p>
            <w:pPr>
              <w:pStyle w:val="TableParagraph"/>
              <w:spacing w:before="30"/>
              <w:ind w:right="63"/>
              <w:rPr>
                <w:sz w:val="22"/>
              </w:rPr>
            </w:pPr>
            <w:r>
              <w:rPr>
                <w:sz w:val="22"/>
              </w:rPr>
              <w:t>509</w:t>
            </w:r>
          </w:p>
        </w:tc>
      </w:tr>
      <w:tr>
        <w:trPr>
          <w:trHeight w:val="312" w:hRule="exact"/>
        </w:trPr>
        <w:tc>
          <w:tcPr>
            <w:tcW w:w="756" w:type="dxa"/>
          </w:tcPr>
          <w:p>
            <w:pPr>
              <w:pStyle w:val="TableParagraph"/>
              <w:spacing w:before="30"/>
              <w:rPr>
                <w:sz w:val="22"/>
              </w:rPr>
            </w:pPr>
            <w:r>
              <w:rPr>
                <w:sz w:val="22"/>
              </w:rPr>
              <w:t>146</w:t>
            </w:r>
          </w:p>
        </w:tc>
        <w:tc>
          <w:tcPr>
            <w:tcW w:w="1927" w:type="dxa"/>
          </w:tcPr>
          <w:p>
            <w:pPr>
              <w:pStyle w:val="TableParagraph"/>
              <w:spacing w:before="30"/>
              <w:rPr>
                <w:sz w:val="22"/>
              </w:rPr>
            </w:pPr>
            <w:r>
              <w:rPr>
                <w:sz w:val="22"/>
              </w:rPr>
              <w:t>12/11/2009</w:t>
            </w:r>
          </w:p>
        </w:tc>
        <w:tc>
          <w:tcPr>
            <w:tcW w:w="1231" w:type="dxa"/>
          </w:tcPr>
          <w:p>
            <w:pPr>
              <w:pStyle w:val="TableParagraph"/>
              <w:spacing w:before="30"/>
              <w:rPr>
                <w:sz w:val="22"/>
              </w:rPr>
            </w:pPr>
            <w:r>
              <w:rPr>
                <w:w w:val="100"/>
                <w:sz w:val="22"/>
              </w:rPr>
              <w:t>9</w:t>
            </w:r>
          </w:p>
        </w:tc>
        <w:tc>
          <w:tcPr>
            <w:tcW w:w="919" w:type="dxa"/>
          </w:tcPr>
          <w:p>
            <w:pPr>
              <w:pStyle w:val="TableParagraph"/>
              <w:spacing w:before="30"/>
              <w:rPr>
                <w:sz w:val="22"/>
              </w:rPr>
            </w:pPr>
            <w:r>
              <w:rPr>
                <w:w w:val="100"/>
                <w:sz w:val="22"/>
              </w:rPr>
              <w:t>9</w:t>
            </w:r>
          </w:p>
        </w:tc>
        <w:tc>
          <w:tcPr>
            <w:tcW w:w="562" w:type="dxa"/>
          </w:tcPr>
          <w:p>
            <w:pPr>
              <w:pStyle w:val="TableParagraph"/>
              <w:spacing w:before="30"/>
              <w:ind w:right="63"/>
              <w:rPr>
                <w:sz w:val="22"/>
              </w:rPr>
            </w:pPr>
            <w:r>
              <w:rPr>
                <w:w w:val="100"/>
                <w:sz w:val="22"/>
              </w:rPr>
              <w:t>3</w:t>
            </w:r>
          </w:p>
        </w:tc>
        <w:tc>
          <w:tcPr>
            <w:tcW w:w="1150" w:type="dxa"/>
          </w:tcPr>
          <w:p>
            <w:pPr>
              <w:pStyle w:val="TableParagraph"/>
              <w:spacing w:before="30"/>
              <w:rPr>
                <w:sz w:val="22"/>
              </w:rPr>
            </w:pPr>
            <w:r>
              <w:rPr>
                <w:w w:val="100"/>
                <w:sz w:val="22"/>
              </w:rPr>
              <w:t>8</w:t>
            </w:r>
          </w:p>
        </w:tc>
        <w:tc>
          <w:tcPr>
            <w:tcW w:w="1128" w:type="dxa"/>
          </w:tcPr>
          <w:p>
            <w:pPr>
              <w:pStyle w:val="TableParagraph"/>
              <w:spacing w:before="30"/>
              <w:rPr>
                <w:sz w:val="22"/>
              </w:rPr>
            </w:pPr>
            <w:r>
              <w:rPr>
                <w:w w:val="100"/>
                <w:sz w:val="22"/>
              </w:rPr>
              <w:t>7</w:t>
            </w:r>
          </w:p>
        </w:tc>
        <w:tc>
          <w:tcPr>
            <w:tcW w:w="1318" w:type="dxa"/>
          </w:tcPr>
          <w:p>
            <w:pPr>
              <w:pStyle w:val="TableParagraph"/>
              <w:spacing w:before="30"/>
              <w:ind w:right="63"/>
              <w:rPr>
                <w:sz w:val="22"/>
              </w:rPr>
            </w:pPr>
            <w:r>
              <w:rPr>
                <w:sz w:val="22"/>
              </w:rPr>
              <w:t>675</w:t>
            </w:r>
          </w:p>
        </w:tc>
      </w:tr>
      <w:tr>
        <w:trPr>
          <w:trHeight w:val="310" w:hRule="exact"/>
        </w:trPr>
        <w:tc>
          <w:tcPr>
            <w:tcW w:w="756" w:type="dxa"/>
          </w:tcPr>
          <w:p>
            <w:pPr>
              <w:pStyle w:val="TableParagraph"/>
              <w:rPr>
                <w:sz w:val="22"/>
              </w:rPr>
            </w:pPr>
            <w:r>
              <w:rPr>
                <w:sz w:val="22"/>
              </w:rPr>
              <w:t>150</w:t>
            </w:r>
          </w:p>
        </w:tc>
        <w:tc>
          <w:tcPr>
            <w:tcW w:w="1927" w:type="dxa"/>
          </w:tcPr>
          <w:p>
            <w:pPr>
              <w:pStyle w:val="TableParagraph"/>
              <w:rPr>
                <w:sz w:val="22"/>
              </w:rPr>
            </w:pPr>
            <w:r>
              <w:rPr>
                <w:sz w:val="22"/>
              </w:rPr>
              <w:t>16/11/2009</w:t>
            </w:r>
          </w:p>
        </w:tc>
        <w:tc>
          <w:tcPr>
            <w:tcW w:w="1231" w:type="dxa"/>
          </w:tcPr>
          <w:p>
            <w:pPr>
              <w:pStyle w:val="TableParagraph"/>
              <w:rPr>
                <w:sz w:val="22"/>
              </w:rPr>
            </w:pPr>
            <w:r>
              <w:rPr>
                <w:w w:val="100"/>
                <w:sz w:val="22"/>
              </w:rPr>
              <w:t>8</w:t>
            </w:r>
          </w:p>
        </w:tc>
        <w:tc>
          <w:tcPr>
            <w:tcW w:w="919" w:type="dxa"/>
          </w:tcPr>
          <w:p>
            <w:pPr>
              <w:pStyle w:val="TableParagraph"/>
              <w:rPr>
                <w:sz w:val="22"/>
              </w:rPr>
            </w:pPr>
            <w:r>
              <w:rPr>
                <w:w w:val="100"/>
                <w:sz w:val="22"/>
              </w:rPr>
              <w:t>8</w:t>
            </w:r>
          </w:p>
        </w:tc>
        <w:tc>
          <w:tcPr>
            <w:tcW w:w="562" w:type="dxa"/>
          </w:tcPr>
          <w:p>
            <w:pPr>
              <w:pStyle w:val="TableParagraph"/>
              <w:ind w:right="63"/>
              <w:rPr>
                <w:sz w:val="22"/>
              </w:rPr>
            </w:pPr>
            <w:r>
              <w:rPr>
                <w:w w:val="100"/>
                <w:sz w:val="22"/>
              </w:rPr>
              <w:t>2</w:t>
            </w:r>
          </w:p>
        </w:tc>
        <w:tc>
          <w:tcPr>
            <w:tcW w:w="1150" w:type="dxa"/>
          </w:tcPr>
          <w:p>
            <w:pPr>
              <w:pStyle w:val="TableParagraph"/>
              <w:rPr>
                <w:sz w:val="22"/>
              </w:rPr>
            </w:pPr>
            <w:r>
              <w:rPr>
                <w:w w:val="100"/>
                <w:sz w:val="22"/>
              </w:rPr>
              <w:t>7</w:t>
            </w:r>
          </w:p>
        </w:tc>
        <w:tc>
          <w:tcPr>
            <w:tcW w:w="1128" w:type="dxa"/>
          </w:tcPr>
          <w:p>
            <w:pPr>
              <w:pStyle w:val="TableParagraph"/>
              <w:rPr>
                <w:sz w:val="22"/>
              </w:rPr>
            </w:pPr>
            <w:r>
              <w:rPr>
                <w:w w:val="100"/>
                <w:sz w:val="22"/>
              </w:rPr>
              <w:t>8</w:t>
            </w:r>
          </w:p>
        </w:tc>
        <w:tc>
          <w:tcPr>
            <w:tcW w:w="1318" w:type="dxa"/>
          </w:tcPr>
          <w:p>
            <w:pPr>
              <w:pStyle w:val="TableParagraph"/>
              <w:ind w:right="63"/>
              <w:rPr>
                <w:sz w:val="22"/>
              </w:rPr>
            </w:pPr>
            <w:r>
              <w:rPr>
                <w:sz w:val="22"/>
              </w:rPr>
              <w:t>549</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5"/>
        <w:gridCol w:w="1824"/>
        <w:gridCol w:w="1322"/>
        <w:gridCol w:w="830"/>
        <w:gridCol w:w="730"/>
        <w:gridCol w:w="1157"/>
        <w:gridCol w:w="1157"/>
        <w:gridCol w:w="1243"/>
      </w:tblGrid>
      <w:tr>
        <w:trPr>
          <w:trHeight w:val="310" w:hRule="exact"/>
        </w:trPr>
        <w:tc>
          <w:tcPr>
            <w:tcW w:w="8978" w:type="dxa"/>
            <w:gridSpan w:val="8"/>
            <w:shd w:val="clear" w:color="auto" w:fill="E6B9B8"/>
          </w:tcPr>
          <w:p>
            <w:pPr>
              <w:pStyle w:val="TableParagraph"/>
              <w:ind w:left="3629" w:right="3629"/>
              <w:jc w:val="center"/>
              <w:rPr>
                <w:b/>
                <w:sz w:val="22"/>
              </w:rPr>
            </w:pPr>
            <w:r>
              <w:rPr>
                <w:b/>
                <w:sz w:val="22"/>
              </w:rPr>
              <w:t>Alcalinidad (mg/L)</w:t>
            </w:r>
          </w:p>
        </w:tc>
      </w:tr>
      <w:tr>
        <w:trPr>
          <w:trHeight w:val="610" w:hRule="exact"/>
        </w:trPr>
        <w:tc>
          <w:tcPr>
            <w:tcW w:w="715"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158" w:right="0"/>
              <w:jc w:val="left"/>
              <w:rPr>
                <w:b/>
                <w:sz w:val="22"/>
              </w:rPr>
            </w:pPr>
            <w:r>
              <w:rPr>
                <w:b/>
                <w:sz w:val="22"/>
              </w:rPr>
              <w:t>Días</w:t>
            </w:r>
          </w:p>
        </w:tc>
        <w:tc>
          <w:tcPr>
            <w:tcW w:w="1824" w:type="dxa"/>
            <w:vMerge w:val="restart"/>
            <w:shd w:val="clear" w:color="auto" w:fill="E6B9B8"/>
          </w:tcPr>
          <w:p>
            <w:pPr>
              <w:pStyle w:val="TableParagraph"/>
              <w:spacing w:before="0"/>
              <w:ind w:right="0"/>
              <w:jc w:val="left"/>
              <w:rPr>
                <w:rFonts w:ascii="Times New Roman"/>
                <w:sz w:val="22"/>
              </w:rPr>
            </w:pPr>
          </w:p>
          <w:p>
            <w:pPr>
              <w:pStyle w:val="TableParagraph"/>
              <w:spacing w:before="7"/>
              <w:ind w:right="0"/>
              <w:jc w:val="left"/>
              <w:rPr>
                <w:rFonts w:ascii="Times New Roman"/>
                <w:sz w:val="18"/>
              </w:rPr>
            </w:pPr>
          </w:p>
          <w:p>
            <w:pPr>
              <w:pStyle w:val="TableParagraph"/>
              <w:spacing w:before="0"/>
              <w:ind w:left="621" w:right="622"/>
              <w:jc w:val="center"/>
              <w:rPr>
                <w:b/>
                <w:sz w:val="22"/>
              </w:rPr>
            </w:pPr>
            <w:r>
              <w:rPr>
                <w:b/>
                <w:sz w:val="22"/>
              </w:rPr>
              <w:t>Fecha</w:t>
            </w:r>
          </w:p>
        </w:tc>
        <w:tc>
          <w:tcPr>
            <w:tcW w:w="6439" w:type="dxa"/>
            <w:gridSpan w:val="6"/>
            <w:shd w:val="clear" w:color="auto" w:fill="E6B9B8"/>
          </w:tcPr>
          <w:p>
            <w:pPr>
              <w:pStyle w:val="TableParagraph"/>
              <w:spacing w:before="162"/>
              <w:ind w:left="2272" w:right="2273"/>
              <w:jc w:val="center"/>
              <w:rPr>
                <w:b/>
                <w:sz w:val="22"/>
              </w:rPr>
            </w:pPr>
            <w:r>
              <w:rPr>
                <w:b/>
                <w:sz w:val="22"/>
              </w:rPr>
              <w:t>Puntos de muestreo</w:t>
            </w:r>
          </w:p>
        </w:tc>
      </w:tr>
      <w:tr>
        <w:trPr>
          <w:trHeight w:val="610" w:hRule="exact"/>
        </w:trPr>
        <w:tc>
          <w:tcPr>
            <w:tcW w:w="715" w:type="dxa"/>
            <w:vMerge/>
            <w:shd w:val="clear" w:color="auto" w:fill="E6B9B8"/>
          </w:tcPr>
          <w:p>
            <w:pPr/>
          </w:p>
        </w:tc>
        <w:tc>
          <w:tcPr>
            <w:tcW w:w="1824" w:type="dxa"/>
            <w:vMerge/>
            <w:shd w:val="clear" w:color="auto" w:fill="E6B9B8"/>
          </w:tcPr>
          <w:p>
            <w:pPr/>
          </w:p>
        </w:tc>
        <w:tc>
          <w:tcPr>
            <w:tcW w:w="1322" w:type="dxa"/>
            <w:shd w:val="clear" w:color="auto" w:fill="E6B9B8"/>
          </w:tcPr>
          <w:p>
            <w:pPr>
              <w:pStyle w:val="TableParagraph"/>
              <w:spacing w:before="165"/>
              <w:ind w:right="1"/>
              <w:jc w:val="center"/>
              <w:rPr>
                <w:b/>
                <w:sz w:val="22"/>
              </w:rPr>
            </w:pPr>
            <w:r>
              <w:rPr>
                <w:b/>
                <w:w w:val="100"/>
                <w:sz w:val="22"/>
              </w:rPr>
              <w:t>A</w:t>
            </w:r>
          </w:p>
        </w:tc>
        <w:tc>
          <w:tcPr>
            <w:tcW w:w="830" w:type="dxa"/>
            <w:shd w:val="clear" w:color="auto" w:fill="E6B9B8"/>
          </w:tcPr>
          <w:p>
            <w:pPr>
              <w:pStyle w:val="TableParagraph"/>
              <w:spacing w:before="165"/>
              <w:ind w:right="1"/>
              <w:jc w:val="center"/>
              <w:rPr>
                <w:b/>
                <w:sz w:val="22"/>
              </w:rPr>
            </w:pPr>
            <w:r>
              <w:rPr>
                <w:b/>
                <w:w w:val="100"/>
                <w:sz w:val="22"/>
              </w:rPr>
              <w:t>B</w:t>
            </w:r>
          </w:p>
        </w:tc>
        <w:tc>
          <w:tcPr>
            <w:tcW w:w="730" w:type="dxa"/>
            <w:shd w:val="clear" w:color="auto" w:fill="E6B9B8"/>
          </w:tcPr>
          <w:p>
            <w:pPr>
              <w:pStyle w:val="TableParagraph"/>
              <w:spacing w:before="165"/>
              <w:ind w:right="1"/>
              <w:jc w:val="center"/>
              <w:rPr>
                <w:b/>
                <w:sz w:val="22"/>
              </w:rPr>
            </w:pPr>
            <w:r>
              <w:rPr>
                <w:b/>
                <w:w w:val="100"/>
                <w:sz w:val="22"/>
              </w:rPr>
              <w:t>C</w:t>
            </w:r>
          </w:p>
        </w:tc>
        <w:tc>
          <w:tcPr>
            <w:tcW w:w="1157" w:type="dxa"/>
            <w:shd w:val="clear" w:color="auto" w:fill="E6B9B8"/>
          </w:tcPr>
          <w:p>
            <w:pPr>
              <w:pStyle w:val="TableParagraph"/>
              <w:spacing w:before="165"/>
              <w:ind w:right="3"/>
              <w:jc w:val="center"/>
              <w:rPr>
                <w:b/>
                <w:sz w:val="22"/>
              </w:rPr>
            </w:pPr>
            <w:r>
              <w:rPr>
                <w:b/>
                <w:w w:val="100"/>
                <w:sz w:val="22"/>
              </w:rPr>
              <w:t>D</w:t>
            </w:r>
          </w:p>
        </w:tc>
        <w:tc>
          <w:tcPr>
            <w:tcW w:w="1157" w:type="dxa"/>
            <w:shd w:val="clear" w:color="auto" w:fill="E6B9B8"/>
          </w:tcPr>
          <w:p>
            <w:pPr>
              <w:pStyle w:val="TableParagraph"/>
              <w:spacing w:before="165"/>
              <w:ind w:right="0"/>
              <w:jc w:val="center"/>
              <w:rPr>
                <w:b/>
                <w:sz w:val="22"/>
              </w:rPr>
            </w:pPr>
            <w:r>
              <w:rPr>
                <w:b/>
                <w:w w:val="100"/>
                <w:sz w:val="22"/>
              </w:rPr>
              <w:t>E</w:t>
            </w:r>
          </w:p>
        </w:tc>
        <w:tc>
          <w:tcPr>
            <w:tcW w:w="1243" w:type="dxa"/>
            <w:shd w:val="clear" w:color="auto" w:fill="E6B9B8"/>
          </w:tcPr>
          <w:p>
            <w:pPr>
              <w:pStyle w:val="TableParagraph"/>
              <w:spacing w:before="165"/>
              <w:ind w:left="1" w:right="0"/>
              <w:jc w:val="center"/>
              <w:rPr>
                <w:b/>
                <w:sz w:val="22"/>
              </w:rPr>
            </w:pPr>
            <w:r>
              <w:rPr>
                <w:b/>
                <w:w w:val="100"/>
                <w:sz w:val="22"/>
              </w:rPr>
              <w:t>G</w:t>
            </w:r>
          </w:p>
        </w:tc>
      </w:tr>
      <w:tr>
        <w:trPr>
          <w:trHeight w:val="312" w:hRule="exact"/>
        </w:trPr>
        <w:tc>
          <w:tcPr>
            <w:tcW w:w="715" w:type="dxa"/>
          </w:tcPr>
          <w:p>
            <w:pPr>
              <w:pStyle w:val="TableParagraph"/>
              <w:spacing w:before="30"/>
              <w:rPr>
                <w:sz w:val="22"/>
              </w:rPr>
            </w:pPr>
            <w:r>
              <w:rPr>
                <w:sz w:val="22"/>
              </w:rPr>
              <w:t>38</w:t>
            </w:r>
          </w:p>
        </w:tc>
        <w:tc>
          <w:tcPr>
            <w:tcW w:w="1824" w:type="dxa"/>
          </w:tcPr>
          <w:p>
            <w:pPr>
              <w:pStyle w:val="TableParagraph"/>
              <w:spacing w:before="30"/>
              <w:ind w:right="63"/>
              <w:rPr>
                <w:sz w:val="22"/>
              </w:rPr>
            </w:pPr>
            <w:r>
              <w:rPr>
                <w:sz w:val="22"/>
              </w:rPr>
              <w:t>27/07/2009</w:t>
            </w:r>
          </w:p>
        </w:tc>
        <w:tc>
          <w:tcPr>
            <w:tcW w:w="1322" w:type="dxa"/>
          </w:tcPr>
          <w:p>
            <w:pPr>
              <w:pStyle w:val="TableParagraph"/>
              <w:spacing w:before="30"/>
              <w:rPr>
                <w:sz w:val="22"/>
              </w:rPr>
            </w:pPr>
            <w:r>
              <w:rPr>
                <w:sz w:val="22"/>
              </w:rPr>
              <w:t>38</w:t>
            </w:r>
          </w:p>
        </w:tc>
        <w:tc>
          <w:tcPr>
            <w:tcW w:w="830" w:type="dxa"/>
          </w:tcPr>
          <w:p>
            <w:pPr>
              <w:pStyle w:val="TableParagraph"/>
              <w:spacing w:before="30"/>
              <w:rPr>
                <w:sz w:val="22"/>
              </w:rPr>
            </w:pPr>
            <w:r>
              <w:rPr>
                <w:sz w:val="22"/>
              </w:rPr>
              <w:t>41</w:t>
            </w:r>
          </w:p>
        </w:tc>
        <w:tc>
          <w:tcPr>
            <w:tcW w:w="730" w:type="dxa"/>
          </w:tcPr>
          <w:p>
            <w:pPr>
              <w:pStyle w:val="TableParagraph"/>
              <w:spacing w:before="30"/>
              <w:rPr>
                <w:sz w:val="22"/>
              </w:rPr>
            </w:pPr>
            <w:r>
              <w:rPr>
                <w:sz w:val="22"/>
              </w:rPr>
              <w:t>37</w:t>
            </w:r>
          </w:p>
        </w:tc>
        <w:tc>
          <w:tcPr>
            <w:tcW w:w="1157" w:type="dxa"/>
          </w:tcPr>
          <w:p>
            <w:pPr>
              <w:pStyle w:val="TableParagraph"/>
              <w:spacing w:before="30"/>
              <w:ind w:right="63"/>
              <w:rPr>
                <w:sz w:val="22"/>
              </w:rPr>
            </w:pPr>
            <w:r>
              <w:rPr>
                <w:sz w:val="22"/>
              </w:rPr>
              <w:t>36</w:t>
            </w:r>
          </w:p>
        </w:tc>
        <w:tc>
          <w:tcPr>
            <w:tcW w:w="1157" w:type="dxa"/>
          </w:tcPr>
          <w:p>
            <w:pPr>
              <w:pStyle w:val="TableParagraph"/>
              <w:spacing w:before="30"/>
              <w:ind w:right="63"/>
              <w:rPr>
                <w:sz w:val="22"/>
              </w:rPr>
            </w:pPr>
            <w:r>
              <w:rPr>
                <w:sz w:val="22"/>
              </w:rPr>
              <w:t>42</w:t>
            </w:r>
          </w:p>
        </w:tc>
        <w:tc>
          <w:tcPr>
            <w:tcW w:w="1243" w:type="dxa"/>
          </w:tcPr>
          <w:p>
            <w:pPr>
              <w:pStyle w:val="TableParagraph"/>
              <w:spacing w:before="30"/>
              <w:rPr>
                <w:sz w:val="22"/>
              </w:rPr>
            </w:pPr>
            <w:r>
              <w:rPr>
                <w:sz w:val="22"/>
              </w:rPr>
              <w:t>102</w:t>
            </w:r>
          </w:p>
        </w:tc>
      </w:tr>
      <w:tr>
        <w:trPr>
          <w:trHeight w:val="310" w:hRule="exact"/>
        </w:trPr>
        <w:tc>
          <w:tcPr>
            <w:tcW w:w="715" w:type="dxa"/>
          </w:tcPr>
          <w:p>
            <w:pPr>
              <w:pStyle w:val="TableParagraph"/>
              <w:rPr>
                <w:sz w:val="22"/>
              </w:rPr>
            </w:pPr>
            <w:r>
              <w:rPr>
                <w:sz w:val="22"/>
              </w:rPr>
              <w:t>41</w:t>
            </w:r>
          </w:p>
        </w:tc>
        <w:tc>
          <w:tcPr>
            <w:tcW w:w="1824" w:type="dxa"/>
          </w:tcPr>
          <w:p>
            <w:pPr>
              <w:pStyle w:val="TableParagraph"/>
              <w:ind w:right="63"/>
              <w:rPr>
                <w:sz w:val="22"/>
              </w:rPr>
            </w:pPr>
            <w:r>
              <w:rPr>
                <w:sz w:val="22"/>
              </w:rPr>
              <w:t>30/07/2009</w:t>
            </w:r>
          </w:p>
        </w:tc>
        <w:tc>
          <w:tcPr>
            <w:tcW w:w="1322" w:type="dxa"/>
          </w:tcPr>
          <w:p>
            <w:pPr>
              <w:pStyle w:val="TableParagraph"/>
              <w:rPr>
                <w:sz w:val="22"/>
              </w:rPr>
            </w:pPr>
            <w:r>
              <w:rPr>
                <w:sz w:val="22"/>
              </w:rPr>
              <w:t>48</w:t>
            </w:r>
          </w:p>
        </w:tc>
        <w:tc>
          <w:tcPr>
            <w:tcW w:w="830" w:type="dxa"/>
          </w:tcPr>
          <w:p>
            <w:pPr>
              <w:pStyle w:val="TableParagraph"/>
              <w:rPr>
                <w:sz w:val="22"/>
              </w:rPr>
            </w:pPr>
            <w:r>
              <w:rPr>
                <w:sz w:val="22"/>
              </w:rPr>
              <w:t>27</w:t>
            </w:r>
          </w:p>
        </w:tc>
        <w:tc>
          <w:tcPr>
            <w:tcW w:w="730" w:type="dxa"/>
          </w:tcPr>
          <w:p>
            <w:pPr>
              <w:pStyle w:val="TableParagraph"/>
              <w:rPr>
                <w:sz w:val="22"/>
              </w:rPr>
            </w:pPr>
            <w:r>
              <w:rPr>
                <w:sz w:val="22"/>
              </w:rPr>
              <w:t>23</w:t>
            </w:r>
          </w:p>
        </w:tc>
        <w:tc>
          <w:tcPr>
            <w:tcW w:w="1157" w:type="dxa"/>
          </w:tcPr>
          <w:p>
            <w:pPr>
              <w:pStyle w:val="TableParagraph"/>
              <w:ind w:right="63"/>
              <w:rPr>
                <w:sz w:val="22"/>
              </w:rPr>
            </w:pPr>
            <w:r>
              <w:rPr>
                <w:sz w:val="22"/>
              </w:rPr>
              <w:t>24</w:t>
            </w:r>
          </w:p>
        </w:tc>
        <w:tc>
          <w:tcPr>
            <w:tcW w:w="1157" w:type="dxa"/>
          </w:tcPr>
          <w:p>
            <w:pPr>
              <w:pStyle w:val="TableParagraph"/>
              <w:ind w:right="63"/>
              <w:rPr>
                <w:sz w:val="22"/>
              </w:rPr>
            </w:pPr>
            <w:r>
              <w:rPr>
                <w:sz w:val="22"/>
              </w:rPr>
              <w:t>23</w:t>
            </w:r>
          </w:p>
        </w:tc>
        <w:tc>
          <w:tcPr>
            <w:tcW w:w="1243" w:type="dxa"/>
          </w:tcPr>
          <w:p>
            <w:pPr>
              <w:pStyle w:val="TableParagraph"/>
              <w:rPr>
                <w:sz w:val="22"/>
              </w:rPr>
            </w:pPr>
            <w:r>
              <w:rPr>
                <w:sz w:val="22"/>
              </w:rPr>
              <w:t>128</w:t>
            </w:r>
          </w:p>
        </w:tc>
      </w:tr>
      <w:tr>
        <w:trPr>
          <w:trHeight w:val="310" w:hRule="exact"/>
        </w:trPr>
        <w:tc>
          <w:tcPr>
            <w:tcW w:w="715" w:type="dxa"/>
          </w:tcPr>
          <w:p>
            <w:pPr>
              <w:pStyle w:val="TableParagraph"/>
              <w:rPr>
                <w:sz w:val="22"/>
              </w:rPr>
            </w:pPr>
            <w:r>
              <w:rPr>
                <w:sz w:val="22"/>
              </w:rPr>
              <w:t>45</w:t>
            </w:r>
          </w:p>
        </w:tc>
        <w:tc>
          <w:tcPr>
            <w:tcW w:w="1824" w:type="dxa"/>
          </w:tcPr>
          <w:p>
            <w:pPr>
              <w:pStyle w:val="TableParagraph"/>
              <w:ind w:right="63"/>
              <w:rPr>
                <w:sz w:val="22"/>
              </w:rPr>
            </w:pPr>
            <w:r>
              <w:rPr>
                <w:sz w:val="22"/>
              </w:rPr>
              <w:t>03/08/2009</w:t>
            </w:r>
          </w:p>
        </w:tc>
        <w:tc>
          <w:tcPr>
            <w:tcW w:w="1322" w:type="dxa"/>
          </w:tcPr>
          <w:p>
            <w:pPr>
              <w:pStyle w:val="TableParagraph"/>
              <w:rPr>
                <w:sz w:val="22"/>
              </w:rPr>
            </w:pPr>
            <w:r>
              <w:rPr>
                <w:sz w:val="22"/>
              </w:rPr>
              <w:t>66</w:t>
            </w:r>
          </w:p>
        </w:tc>
        <w:tc>
          <w:tcPr>
            <w:tcW w:w="830" w:type="dxa"/>
          </w:tcPr>
          <w:p>
            <w:pPr>
              <w:pStyle w:val="TableParagraph"/>
              <w:rPr>
                <w:sz w:val="22"/>
              </w:rPr>
            </w:pPr>
            <w:r>
              <w:rPr>
                <w:sz w:val="22"/>
              </w:rPr>
              <w:t>58</w:t>
            </w:r>
          </w:p>
        </w:tc>
        <w:tc>
          <w:tcPr>
            <w:tcW w:w="730" w:type="dxa"/>
          </w:tcPr>
          <w:p>
            <w:pPr>
              <w:pStyle w:val="TableParagraph"/>
              <w:rPr>
                <w:sz w:val="22"/>
              </w:rPr>
            </w:pPr>
            <w:r>
              <w:rPr>
                <w:sz w:val="22"/>
              </w:rPr>
              <w:t>49</w:t>
            </w:r>
          </w:p>
        </w:tc>
        <w:tc>
          <w:tcPr>
            <w:tcW w:w="1157" w:type="dxa"/>
          </w:tcPr>
          <w:p>
            <w:pPr>
              <w:pStyle w:val="TableParagraph"/>
              <w:ind w:right="63"/>
              <w:rPr>
                <w:sz w:val="22"/>
              </w:rPr>
            </w:pPr>
            <w:r>
              <w:rPr>
                <w:sz w:val="22"/>
              </w:rPr>
              <w:t>62</w:t>
            </w:r>
          </w:p>
        </w:tc>
        <w:tc>
          <w:tcPr>
            <w:tcW w:w="1157" w:type="dxa"/>
          </w:tcPr>
          <w:p>
            <w:pPr>
              <w:pStyle w:val="TableParagraph"/>
              <w:ind w:right="63"/>
              <w:rPr>
                <w:sz w:val="22"/>
              </w:rPr>
            </w:pPr>
            <w:r>
              <w:rPr>
                <w:sz w:val="22"/>
              </w:rPr>
              <w:t>54</w:t>
            </w:r>
          </w:p>
        </w:tc>
        <w:tc>
          <w:tcPr>
            <w:tcW w:w="1243" w:type="dxa"/>
          </w:tcPr>
          <w:p>
            <w:pPr>
              <w:pStyle w:val="TableParagraph"/>
              <w:rPr>
                <w:sz w:val="22"/>
              </w:rPr>
            </w:pPr>
            <w:r>
              <w:rPr>
                <w:sz w:val="22"/>
              </w:rPr>
              <w:t>137</w:t>
            </w:r>
          </w:p>
        </w:tc>
      </w:tr>
      <w:tr>
        <w:trPr>
          <w:trHeight w:val="310" w:hRule="exact"/>
        </w:trPr>
        <w:tc>
          <w:tcPr>
            <w:tcW w:w="715" w:type="dxa"/>
          </w:tcPr>
          <w:p>
            <w:pPr>
              <w:pStyle w:val="TableParagraph"/>
              <w:rPr>
                <w:sz w:val="22"/>
              </w:rPr>
            </w:pPr>
            <w:r>
              <w:rPr>
                <w:sz w:val="22"/>
              </w:rPr>
              <w:t>48</w:t>
            </w:r>
          </w:p>
        </w:tc>
        <w:tc>
          <w:tcPr>
            <w:tcW w:w="1824" w:type="dxa"/>
          </w:tcPr>
          <w:p>
            <w:pPr>
              <w:pStyle w:val="TableParagraph"/>
              <w:ind w:right="63"/>
              <w:rPr>
                <w:sz w:val="22"/>
              </w:rPr>
            </w:pPr>
            <w:r>
              <w:rPr>
                <w:sz w:val="22"/>
              </w:rPr>
              <w:t>06/08/2009</w:t>
            </w:r>
          </w:p>
        </w:tc>
        <w:tc>
          <w:tcPr>
            <w:tcW w:w="1322" w:type="dxa"/>
          </w:tcPr>
          <w:p>
            <w:pPr>
              <w:pStyle w:val="TableParagraph"/>
              <w:rPr>
                <w:sz w:val="22"/>
              </w:rPr>
            </w:pPr>
            <w:r>
              <w:rPr>
                <w:sz w:val="22"/>
              </w:rPr>
              <w:t>97</w:t>
            </w:r>
          </w:p>
        </w:tc>
        <w:tc>
          <w:tcPr>
            <w:tcW w:w="830" w:type="dxa"/>
          </w:tcPr>
          <w:p>
            <w:pPr>
              <w:pStyle w:val="TableParagraph"/>
              <w:rPr>
                <w:sz w:val="22"/>
              </w:rPr>
            </w:pPr>
            <w:r>
              <w:rPr>
                <w:sz w:val="22"/>
              </w:rPr>
              <w:t>85</w:t>
            </w:r>
          </w:p>
        </w:tc>
        <w:tc>
          <w:tcPr>
            <w:tcW w:w="730" w:type="dxa"/>
          </w:tcPr>
          <w:p>
            <w:pPr>
              <w:pStyle w:val="TableParagraph"/>
              <w:rPr>
                <w:sz w:val="22"/>
              </w:rPr>
            </w:pPr>
            <w:r>
              <w:rPr>
                <w:sz w:val="22"/>
              </w:rPr>
              <w:t>81</w:t>
            </w:r>
          </w:p>
        </w:tc>
        <w:tc>
          <w:tcPr>
            <w:tcW w:w="1157" w:type="dxa"/>
          </w:tcPr>
          <w:p>
            <w:pPr>
              <w:pStyle w:val="TableParagraph"/>
              <w:ind w:right="63"/>
              <w:rPr>
                <w:sz w:val="22"/>
              </w:rPr>
            </w:pPr>
            <w:r>
              <w:rPr>
                <w:sz w:val="22"/>
              </w:rPr>
              <w:t>84</w:t>
            </w:r>
          </w:p>
        </w:tc>
        <w:tc>
          <w:tcPr>
            <w:tcW w:w="1157" w:type="dxa"/>
          </w:tcPr>
          <w:p>
            <w:pPr>
              <w:pStyle w:val="TableParagraph"/>
              <w:ind w:right="63"/>
              <w:rPr>
                <w:sz w:val="22"/>
              </w:rPr>
            </w:pPr>
            <w:r>
              <w:rPr>
                <w:sz w:val="22"/>
              </w:rPr>
              <w:t>91</w:t>
            </w:r>
          </w:p>
        </w:tc>
        <w:tc>
          <w:tcPr>
            <w:tcW w:w="1243" w:type="dxa"/>
          </w:tcPr>
          <w:p>
            <w:pPr>
              <w:pStyle w:val="TableParagraph"/>
              <w:rPr>
                <w:sz w:val="22"/>
              </w:rPr>
            </w:pPr>
            <w:r>
              <w:rPr>
                <w:sz w:val="22"/>
              </w:rPr>
              <w:t>117</w:t>
            </w:r>
          </w:p>
        </w:tc>
      </w:tr>
      <w:tr>
        <w:trPr>
          <w:trHeight w:val="310" w:hRule="exact"/>
        </w:trPr>
        <w:tc>
          <w:tcPr>
            <w:tcW w:w="715" w:type="dxa"/>
          </w:tcPr>
          <w:p>
            <w:pPr>
              <w:pStyle w:val="TableParagraph"/>
              <w:rPr>
                <w:sz w:val="22"/>
              </w:rPr>
            </w:pPr>
            <w:r>
              <w:rPr>
                <w:sz w:val="22"/>
              </w:rPr>
              <w:t>53</w:t>
            </w:r>
          </w:p>
        </w:tc>
        <w:tc>
          <w:tcPr>
            <w:tcW w:w="1824" w:type="dxa"/>
          </w:tcPr>
          <w:p>
            <w:pPr>
              <w:pStyle w:val="TableParagraph"/>
              <w:ind w:right="63"/>
              <w:rPr>
                <w:sz w:val="22"/>
              </w:rPr>
            </w:pPr>
            <w:r>
              <w:rPr>
                <w:sz w:val="22"/>
              </w:rPr>
              <w:t>11/08/2009</w:t>
            </w:r>
          </w:p>
        </w:tc>
        <w:tc>
          <w:tcPr>
            <w:tcW w:w="1322" w:type="dxa"/>
          </w:tcPr>
          <w:p>
            <w:pPr>
              <w:pStyle w:val="TableParagraph"/>
              <w:rPr>
                <w:sz w:val="22"/>
              </w:rPr>
            </w:pPr>
            <w:r>
              <w:rPr>
                <w:sz w:val="22"/>
              </w:rPr>
              <w:t>50</w:t>
            </w:r>
          </w:p>
        </w:tc>
        <w:tc>
          <w:tcPr>
            <w:tcW w:w="830" w:type="dxa"/>
          </w:tcPr>
          <w:p>
            <w:pPr>
              <w:pStyle w:val="TableParagraph"/>
              <w:rPr>
                <w:sz w:val="22"/>
              </w:rPr>
            </w:pPr>
            <w:r>
              <w:rPr>
                <w:sz w:val="22"/>
              </w:rPr>
              <w:t>34</w:t>
            </w:r>
          </w:p>
        </w:tc>
        <w:tc>
          <w:tcPr>
            <w:tcW w:w="730" w:type="dxa"/>
          </w:tcPr>
          <w:p>
            <w:pPr>
              <w:pStyle w:val="TableParagraph"/>
              <w:rPr>
                <w:sz w:val="22"/>
              </w:rPr>
            </w:pPr>
            <w:r>
              <w:rPr>
                <w:sz w:val="22"/>
              </w:rPr>
              <w:t>54</w:t>
            </w:r>
          </w:p>
        </w:tc>
        <w:tc>
          <w:tcPr>
            <w:tcW w:w="1157" w:type="dxa"/>
          </w:tcPr>
          <w:p>
            <w:pPr>
              <w:pStyle w:val="TableParagraph"/>
              <w:ind w:right="63"/>
              <w:rPr>
                <w:sz w:val="22"/>
              </w:rPr>
            </w:pPr>
            <w:r>
              <w:rPr>
                <w:sz w:val="22"/>
              </w:rPr>
              <w:t>33</w:t>
            </w:r>
          </w:p>
        </w:tc>
        <w:tc>
          <w:tcPr>
            <w:tcW w:w="1157" w:type="dxa"/>
          </w:tcPr>
          <w:p>
            <w:pPr>
              <w:pStyle w:val="TableParagraph"/>
              <w:ind w:right="63"/>
              <w:rPr>
                <w:sz w:val="22"/>
              </w:rPr>
            </w:pPr>
            <w:r>
              <w:rPr>
                <w:sz w:val="22"/>
              </w:rPr>
              <w:t>37</w:t>
            </w:r>
          </w:p>
        </w:tc>
        <w:tc>
          <w:tcPr>
            <w:tcW w:w="1243" w:type="dxa"/>
          </w:tcPr>
          <w:p>
            <w:pPr>
              <w:pStyle w:val="TableParagraph"/>
              <w:rPr>
                <w:sz w:val="22"/>
              </w:rPr>
            </w:pPr>
            <w:r>
              <w:rPr>
                <w:sz w:val="22"/>
              </w:rPr>
              <w:t>57</w:t>
            </w:r>
          </w:p>
        </w:tc>
      </w:tr>
      <w:tr>
        <w:trPr>
          <w:trHeight w:val="310" w:hRule="exact"/>
        </w:trPr>
        <w:tc>
          <w:tcPr>
            <w:tcW w:w="715" w:type="dxa"/>
          </w:tcPr>
          <w:p>
            <w:pPr>
              <w:pStyle w:val="TableParagraph"/>
              <w:spacing w:before="30"/>
              <w:rPr>
                <w:sz w:val="22"/>
              </w:rPr>
            </w:pPr>
            <w:r>
              <w:rPr>
                <w:sz w:val="22"/>
              </w:rPr>
              <w:t>83</w:t>
            </w:r>
          </w:p>
        </w:tc>
        <w:tc>
          <w:tcPr>
            <w:tcW w:w="1824" w:type="dxa"/>
          </w:tcPr>
          <w:p>
            <w:pPr>
              <w:pStyle w:val="TableParagraph"/>
              <w:spacing w:before="30"/>
              <w:ind w:right="63"/>
              <w:rPr>
                <w:sz w:val="22"/>
              </w:rPr>
            </w:pPr>
            <w:r>
              <w:rPr>
                <w:sz w:val="22"/>
              </w:rPr>
              <w:t>10/09/2009</w:t>
            </w:r>
          </w:p>
        </w:tc>
        <w:tc>
          <w:tcPr>
            <w:tcW w:w="1322" w:type="dxa"/>
          </w:tcPr>
          <w:p>
            <w:pPr>
              <w:pStyle w:val="TableParagraph"/>
              <w:spacing w:before="30"/>
              <w:rPr>
                <w:sz w:val="22"/>
              </w:rPr>
            </w:pPr>
            <w:r>
              <w:rPr>
                <w:sz w:val="22"/>
              </w:rPr>
              <w:t>45</w:t>
            </w:r>
          </w:p>
        </w:tc>
        <w:tc>
          <w:tcPr>
            <w:tcW w:w="830" w:type="dxa"/>
          </w:tcPr>
          <w:p>
            <w:pPr>
              <w:pStyle w:val="TableParagraph"/>
              <w:spacing w:before="30"/>
              <w:rPr>
                <w:sz w:val="22"/>
              </w:rPr>
            </w:pPr>
            <w:r>
              <w:rPr>
                <w:sz w:val="22"/>
              </w:rPr>
              <w:t>34</w:t>
            </w:r>
          </w:p>
        </w:tc>
        <w:tc>
          <w:tcPr>
            <w:tcW w:w="730" w:type="dxa"/>
          </w:tcPr>
          <w:p>
            <w:pPr>
              <w:pStyle w:val="TableParagraph"/>
              <w:spacing w:before="30"/>
              <w:rPr>
                <w:sz w:val="22"/>
              </w:rPr>
            </w:pPr>
            <w:r>
              <w:rPr>
                <w:sz w:val="22"/>
              </w:rPr>
              <w:t>28</w:t>
            </w:r>
          </w:p>
        </w:tc>
        <w:tc>
          <w:tcPr>
            <w:tcW w:w="1157" w:type="dxa"/>
          </w:tcPr>
          <w:p>
            <w:pPr>
              <w:pStyle w:val="TableParagraph"/>
              <w:spacing w:before="30"/>
              <w:ind w:right="63"/>
              <w:rPr>
                <w:sz w:val="22"/>
              </w:rPr>
            </w:pPr>
            <w:r>
              <w:rPr>
                <w:sz w:val="22"/>
              </w:rPr>
              <w:t>36</w:t>
            </w:r>
          </w:p>
        </w:tc>
        <w:tc>
          <w:tcPr>
            <w:tcW w:w="1157" w:type="dxa"/>
          </w:tcPr>
          <w:p>
            <w:pPr>
              <w:pStyle w:val="TableParagraph"/>
              <w:spacing w:before="30"/>
              <w:ind w:right="63"/>
              <w:rPr>
                <w:sz w:val="22"/>
              </w:rPr>
            </w:pPr>
            <w:r>
              <w:rPr>
                <w:sz w:val="22"/>
              </w:rPr>
              <w:t>41</w:t>
            </w:r>
          </w:p>
        </w:tc>
        <w:tc>
          <w:tcPr>
            <w:tcW w:w="1243" w:type="dxa"/>
          </w:tcPr>
          <w:p>
            <w:pPr>
              <w:pStyle w:val="TableParagraph"/>
              <w:spacing w:before="30"/>
              <w:rPr>
                <w:sz w:val="22"/>
              </w:rPr>
            </w:pPr>
            <w:r>
              <w:rPr>
                <w:sz w:val="22"/>
              </w:rPr>
              <w:t>89</w:t>
            </w:r>
          </w:p>
        </w:tc>
      </w:tr>
      <w:tr>
        <w:trPr>
          <w:trHeight w:val="312" w:hRule="exact"/>
        </w:trPr>
        <w:tc>
          <w:tcPr>
            <w:tcW w:w="715" w:type="dxa"/>
          </w:tcPr>
          <w:p>
            <w:pPr>
              <w:pStyle w:val="TableParagraph"/>
              <w:spacing w:before="30"/>
              <w:rPr>
                <w:sz w:val="22"/>
              </w:rPr>
            </w:pPr>
            <w:r>
              <w:rPr>
                <w:sz w:val="22"/>
              </w:rPr>
              <w:t>86</w:t>
            </w:r>
          </w:p>
        </w:tc>
        <w:tc>
          <w:tcPr>
            <w:tcW w:w="1824" w:type="dxa"/>
          </w:tcPr>
          <w:p>
            <w:pPr>
              <w:pStyle w:val="TableParagraph"/>
              <w:spacing w:before="30"/>
              <w:ind w:right="63"/>
              <w:rPr>
                <w:sz w:val="22"/>
              </w:rPr>
            </w:pPr>
            <w:r>
              <w:rPr>
                <w:sz w:val="22"/>
              </w:rPr>
              <w:t>13/09/2009</w:t>
            </w:r>
          </w:p>
        </w:tc>
        <w:tc>
          <w:tcPr>
            <w:tcW w:w="1322" w:type="dxa"/>
          </w:tcPr>
          <w:p>
            <w:pPr>
              <w:pStyle w:val="TableParagraph"/>
              <w:spacing w:before="30"/>
              <w:rPr>
                <w:sz w:val="22"/>
              </w:rPr>
            </w:pPr>
            <w:r>
              <w:rPr>
                <w:sz w:val="22"/>
              </w:rPr>
              <w:t>36</w:t>
            </w:r>
          </w:p>
        </w:tc>
        <w:tc>
          <w:tcPr>
            <w:tcW w:w="830" w:type="dxa"/>
          </w:tcPr>
          <w:p>
            <w:pPr>
              <w:pStyle w:val="TableParagraph"/>
              <w:spacing w:before="30"/>
              <w:rPr>
                <w:sz w:val="22"/>
              </w:rPr>
            </w:pPr>
            <w:r>
              <w:rPr>
                <w:sz w:val="22"/>
              </w:rPr>
              <w:t>38</w:t>
            </w:r>
          </w:p>
        </w:tc>
        <w:tc>
          <w:tcPr>
            <w:tcW w:w="730" w:type="dxa"/>
          </w:tcPr>
          <w:p>
            <w:pPr>
              <w:pStyle w:val="TableParagraph"/>
              <w:spacing w:before="30"/>
              <w:rPr>
                <w:sz w:val="22"/>
              </w:rPr>
            </w:pPr>
            <w:r>
              <w:rPr>
                <w:sz w:val="22"/>
              </w:rPr>
              <w:t>35</w:t>
            </w:r>
          </w:p>
        </w:tc>
        <w:tc>
          <w:tcPr>
            <w:tcW w:w="1157" w:type="dxa"/>
          </w:tcPr>
          <w:p>
            <w:pPr>
              <w:pStyle w:val="TableParagraph"/>
              <w:spacing w:before="30"/>
              <w:ind w:right="63"/>
              <w:rPr>
                <w:sz w:val="22"/>
              </w:rPr>
            </w:pPr>
            <w:r>
              <w:rPr>
                <w:sz w:val="22"/>
              </w:rPr>
              <w:t>34</w:t>
            </w:r>
          </w:p>
        </w:tc>
        <w:tc>
          <w:tcPr>
            <w:tcW w:w="1157" w:type="dxa"/>
          </w:tcPr>
          <w:p>
            <w:pPr>
              <w:pStyle w:val="TableParagraph"/>
              <w:spacing w:before="30"/>
              <w:ind w:right="63"/>
              <w:rPr>
                <w:sz w:val="22"/>
              </w:rPr>
            </w:pPr>
            <w:r>
              <w:rPr>
                <w:sz w:val="22"/>
              </w:rPr>
              <w:t>39</w:t>
            </w:r>
          </w:p>
        </w:tc>
        <w:tc>
          <w:tcPr>
            <w:tcW w:w="1243" w:type="dxa"/>
          </w:tcPr>
          <w:p>
            <w:pPr>
              <w:pStyle w:val="TableParagraph"/>
              <w:spacing w:before="30"/>
              <w:rPr>
                <w:sz w:val="22"/>
              </w:rPr>
            </w:pPr>
            <w:r>
              <w:rPr>
                <w:sz w:val="22"/>
              </w:rPr>
              <w:t>95</w:t>
            </w:r>
          </w:p>
        </w:tc>
      </w:tr>
      <w:tr>
        <w:trPr>
          <w:trHeight w:val="310" w:hRule="exact"/>
        </w:trPr>
        <w:tc>
          <w:tcPr>
            <w:tcW w:w="715" w:type="dxa"/>
          </w:tcPr>
          <w:p>
            <w:pPr>
              <w:pStyle w:val="TableParagraph"/>
              <w:rPr>
                <w:sz w:val="22"/>
              </w:rPr>
            </w:pPr>
            <w:r>
              <w:rPr>
                <w:sz w:val="22"/>
              </w:rPr>
              <w:t>88</w:t>
            </w:r>
          </w:p>
        </w:tc>
        <w:tc>
          <w:tcPr>
            <w:tcW w:w="1824" w:type="dxa"/>
          </w:tcPr>
          <w:p>
            <w:pPr>
              <w:pStyle w:val="TableParagraph"/>
              <w:ind w:right="63"/>
              <w:rPr>
                <w:sz w:val="22"/>
              </w:rPr>
            </w:pPr>
            <w:r>
              <w:rPr>
                <w:sz w:val="22"/>
              </w:rPr>
              <w:t>15/09/2009</w:t>
            </w:r>
          </w:p>
        </w:tc>
        <w:tc>
          <w:tcPr>
            <w:tcW w:w="1322" w:type="dxa"/>
          </w:tcPr>
          <w:p>
            <w:pPr>
              <w:pStyle w:val="TableParagraph"/>
              <w:rPr>
                <w:sz w:val="22"/>
              </w:rPr>
            </w:pPr>
            <w:r>
              <w:rPr>
                <w:sz w:val="22"/>
              </w:rPr>
              <w:t>45</w:t>
            </w:r>
          </w:p>
        </w:tc>
        <w:tc>
          <w:tcPr>
            <w:tcW w:w="830" w:type="dxa"/>
          </w:tcPr>
          <w:p>
            <w:pPr>
              <w:pStyle w:val="TableParagraph"/>
              <w:rPr>
                <w:sz w:val="22"/>
              </w:rPr>
            </w:pPr>
            <w:r>
              <w:rPr>
                <w:sz w:val="22"/>
              </w:rPr>
              <w:t>25</w:t>
            </w:r>
          </w:p>
        </w:tc>
        <w:tc>
          <w:tcPr>
            <w:tcW w:w="730" w:type="dxa"/>
          </w:tcPr>
          <w:p>
            <w:pPr>
              <w:pStyle w:val="TableParagraph"/>
              <w:rPr>
                <w:sz w:val="22"/>
              </w:rPr>
            </w:pPr>
            <w:r>
              <w:rPr>
                <w:sz w:val="22"/>
              </w:rPr>
              <w:t>22</w:t>
            </w:r>
          </w:p>
        </w:tc>
        <w:tc>
          <w:tcPr>
            <w:tcW w:w="1157" w:type="dxa"/>
          </w:tcPr>
          <w:p>
            <w:pPr>
              <w:pStyle w:val="TableParagraph"/>
              <w:ind w:right="63"/>
              <w:rPr>
                <w:sz w:val="22"/>
              </w:rPr>
            </w:pPr>
            <w:r>
              <w:rPr>
                <w:sz w:val="22"/>
              </w:rPr>
              <w:t>23</w:t>
            </w:r>
          </w:p>
        </w:tc>
        <w:tc>
          <w:tcPr>
            <w:tcW w:w="1157" w:type="dxa"/>
          </w:tcPr>
          <w:p>
            <w:pPr>
              <w:pStyle w:val="TableParagraph"/>
              <w:ind w:right="63"/>
              <w:rPr>
                <w:sz w:val="22"/>
              </w:rPr>
            </w:pPr>
            <w:r>
              <w:rPr>
                <w:sz w:val="22"/>
              </w:rPr>
              <w:t>22</w:t>
            </w:r>
          </w:p>
        </w:tc>
        <w:tc>
          <w:tcPr>
            <w:tcW w:w="1243" w:type="dxa"/>
          </w:tcPr>
          <w:p>
            <w:pPr>
              <w:pStyle w:val="TableParagraph"/>
              <w:rPr>
                <w:sz w:val="22"/>
              </w:rPr>
            </w:pPr>
            <w:r>
              <w:rPr>
                <w:sz w:val="22"/>
              </w:rPr>
              <w:t>170</w:t>
            </w:r>
          </w:p>
        </w:tc>
      </w:tr>
      <w:tr>
        <w:trPr>
          <w:trHeight w:val="310" w:hRule="exact"/>
        </w:trPr>
        <w:tc>
          <w:tcPr>
            <w:tcW w:w="715" w:type="dxa"/>
          </w:tcPr>
          <w:p>
            <w:pPr>
              <w:pStyle w:val="TableParagraph"/>
              <w:rPr>
                <w:sz w:val="22"/>
              </w:rPr>
            </w:pPr>
            <w:r>
              <w:rPr>
                <w:sz w:val="22"/>
              </w:rPr>
              <w:t>91</w:t>
            </w:r>
          </w:p>
        </w:tc>
        <w:tc>
          <w:tcPr>
            <w:tcW w:w="1824" w:type="dxa"/>
          </w:tcPr>
          <w:p>
            <w:pPr>
              <w:pStyle w:val="TableParagraph"/>
              <w:ind w:right="63"/>
              <w:rPr>
                <w:sz w:val="22"/>
              </w:rPr>
            </w:pPr>
            <w:r>
              <w:rPr>
                <w:sz w:val="22"/>
              </w:rPr>
              <w:t>18/09/2009</w:t>
            </w:r>
          </w:p>
        </w:tc>
        <w:tc>
          <w:tcPr>
            <w:tcW w:w="1322" w:type="dxa"/>
          </w:tcPr>
          <w:p>
            <w:pPr>
              <w:pStyle w:val="TableParagraph"/>
              <w:rPr>
                <w:sz w:val="22"/>
              </w:rPr>
            </w:pPr>
            <w:r>
              <w:rPr>
                <w:sz w:val="22"/>
              </w:rPr>
              <w:t>62</w:t>
            </w:r>
          </w:p>
        </w:tc>
        <w:tc>
          <w:tcPr>
            <w:tcW w:w="830" w:type="dxa"/>
          </w:tcPr>
          <w:p>
            <w:pPr>
              <w:pStyle w:val="TableParagraph"/>
              <w:rPr>
                <w:sz w:val="22"/>
              </w:rPr>
            </w:pPr>
            <w:r>
              <w:rPr>
                <w:sz w:val="22"/>
              </w:rPr>
              <w:t>54</w:t>
            </w:r>
          </w:p>
        </w:tc>
        <w:tc>
          <w:tcPr>
            <w:tcW w:w="730" w:type="dxa"/>
          </w:tcPr>
          <w:p>
            <w:pPr>
              <w:pStyle w:val="TableParagraph"/>
              <w:rPr>
                <w:sz w:val="22"/>
              </w:rPr>
            </w:pPr>
            <w:r>
              <w:rPr>
                <w:sz w:val="22"/>
              </w:rPr>
              <w:t>46</w:t>
            </w:r>
          </w:p>
        </w:tc>
        <w:tc>
          <w:tcPr>
            <w:tcW w:w="1157" w:type="dxa"/>
          </w:tcPr>
          <w:p>
            <w:pPr>
              <w:pStyle w:val="TableParagraph"/>
              <w:ind w:right="63"/>
              <w:rPr>
                <w:sz w:val="22"/>
              </w:rPr>
            </w:pPr>
            <w:r>
              <w:rPr>
                <w:sz w:val="22"/>
              </w:rPr>
              <w:t>58</w:t>
            </w:r>
          </w:p>
        </w:tc>
        <w:tc>
          <w:tcPr>
            <w:tcW w:w="1157" w:type="dxa"/>
          </w:tcPr>
          <w:p>
            <w:pPr>
              <w:pStyle w:val="TableParagraph"/>
              <w:ind w:right="63"/>
              <w:rPr>
                <w:sz w:val="22"/>
              </w:rPr>
            </w:pPr>
            <w:r>
              <w:rPr>
                <w:sz w:val="22"/>
              </w:rPr>
              <w:t>50</w:t>
            </w:r>
          </w:p>
        </w:tc>
        <w:tc>
          <w:tcPr>
            <w:tcW w:w="1243" w:type="dxa"/>
          </w:tcPr>
          <w:p>
            <w:pPr>
              <w:pStyle w:val="TableParagraph"/>
              <w:rPr>
                <w:sz w:val="22"/>
              </w:rPr>
            </w:pPr>
            <w:r>
              <w:rPr>
                <w:sz w:val="22"/>
              </w:rPr>
              <w:t>170</w:t>
            </w:r>
          </w:p>
        </w:tc>
      </w:tr>
      <w:tr>
        <w:trPr>
          <w:trHeight w:val="310" w:hRule="exact"/>
        </w:trPr>
        <w:tc>
          <w:tcPr>
            <w:tcW w:w="715" w:type="dxa"/>
          </w:tcPr>
          <w:p>
            <w:pPr>
              <w:pStyle w:val="TableParagraph"/>
              <w:rPr>
                <w:sz w:val="22"/>
              </w:rPr>
            </w:pPr>
            <w:r>
              <w:rPr>
                <w:sz w:val="22"/>
              </w:rPr>
              <w:t>94</w:t>
            </w:r>
          </w:p>
        </w:tc>
        <w:tc>
          <w:tcPr>
            <w:tcW w:w="1824" w:type="dxa"/>
          </w:tcPr>
          <w:p>
            <w:pPr>
              <w:pStyle w:val="TableParagraph"/>
              <w:ind w:right="63"/>
              <w:rPr>
                <w:sz w:val="22"/>
              </w:rPr>
            </w:pPr>
            <w:r>
              <w:rPr>
                <w:sz w:val="22"/>
              </w:rPr>
              <w:t>21/09/2009</w:t>
            </w:r>
          </w:p>
        </w:tc>
        <w:tc>
          <w:tcPr>
            <w:tcW w:w="1322" w:type="dxa"/>
          </w:tcPr>
          <w:p>
            <w:pPr>
              <w:pStyle w:val="TableParagraph"/>
              <w:rPr>
                <w:sz w:val="22"/>
              </w:rPr>
            </w:pPr>
            <w:r>
              <w:rPr>
                <w:sz w:val="22"/>
              </w:rPr>
              <w:t>90</w:t>
            </w:r>
          </w:p>
        </w:tc>
        <w:tc>
          <w:tcPr>
            <w:tcW w:w="830" w:type="dxa"/>
          </w:tcPr>
          <w:p>
            <w:pPr>
              <w:pStyle w:val="TableParagraph"/>
              <w:rPr>
                <w:sz w:val="22"/>
              </w:rPr>
            </w:pPr>
            <w:r>
              <w:rPr>
                <w:sz w:val="22"/>
              </w:rPr>
              <w:t>79</w:t>
            </w:r>
          </w:p>
        </w:tc>
        <w:tc>
          <w:tcPr>
            <w:tcW w:w="730" w:type="dxa"/>
          </w:tcPr>
          <w:p>
            <w:pPr>
              <w:pStyle w:val="TableParagraph"/>
              <w:rPr>
                <w:sz w:val="22"/>
              </w:rPr>
            </w:pPr>
            <w:r>
              <w:rPr>
                <w:sz w:val="22"/>
              </w:rPr>
              <w:t>75</w:t>
            </w:r>
          </w:p>
        </w:tc>
        <w:tc>
          <w:tcPr>
            <w:tcW w:w="1157" w:type="dxa"/>
          </w:tcPr>
          <w:p>
            <w:pPr>
              <w:pStyle w:val="TableParagraph"/>
              <w:ind w:right="63"/>
              <w:rPr>
                <w:sz w:val="22"/>
              </w:rPr>
            </w:pPr>
            <w:r>
              <w:rPr>
                <w:sz w:val="22"/>
              </w:rPr>
              <w:t>78</w:t>
            </w:r>
          </w:p>
        </w:tc>
        <w:tc>
          <w:tcPr>
            <w:tcW w:w="1157" w:type="dxa"/>
          </w:tcPr>
          <w:p>
            <w:pPr>
              <w:pStyle w:val="TableParagraph"/>
              <w:ind w:right="63"/>
              <w:rPr>
                <w:sz w:val="22"/>
              </w:rPr>
            </w:pPr>
            <w:r>
              <w:rPr>
                <w:sz w:val="22"/>
              </w:rPr>
              <w:t>85</w:t>
            </w:r>
          </w:p>
        </w:tc>
        <w:tc>
          <w:tcPr>
            <w:tcW w:w="1243" w:type="dxa"/>
          </w:tcPr>
          <w:p>
            <w:pPr>
              <w:pStyle w:val="TableParagraph"/>
              <w:rPr>
                <w:sz w:val="22"/>
              </w:rPr>
            </w:pPr>
            <w:r>
              <w:rPr>
                <w:sz w:val="22"/>
              </w:rPr>
              <w:t>128</w:t>
            </w:r>
          </w:p>
        </w:tc>
      </w:tr>
      <w:tr>
        <w:trPr>
          <w:trHeight w:val="310" w:hRule="exact"/>
        </w:trPr>
        <w:tc>
          <w:tcPr>
            <w:tcW w:w="715" w:type="dxa"/>
          </w:tcPr>
          <w:p>
            <w:pPr>
              <w:pStyle w:val="TableParagraph"/>
              <w:rPr>
                <w:sz w:val="22"/>
              </w:rPr>
            </w:pPr>
            <w:r>
              <w:rPr>
                <w:sz w:val="22"/>
              </w:rPr>
              <w:t>97</w:t>
            </w:r>
          </w:p>
        </w:tc>
        <w:tc>
          <w:tcPr>
            <w:tcW w:w="1824" w:type="dxa"/>
          </w:tcPr>
          <w:p>
            <w:pPr>
              <w:pStyle w:val="TableParagraph"/>
              <w:ind w:right="63"/>
              <w:rPr>
                <w:sz w:val="22"/>
              </w:rPr>
            </w:pPr>
            <w:r>
              <w:rPr>
                <w:sz w:val="22"/>
              </w:rPr>
              <w:t>24/09/2009</w:t>
            </w:r>
          </w:p>
        </w:tc>
        <w:tc>
          <w:tcPr>
            <w:tcW w:w="1322" w:type="dxa"/>
          </w:tcPr>
          <w:p>
            <w:pPr>
              <w:pStyle w:val="TableParagraph"/>
              <w:rPr>
                <w:sz w:val="22"/>
              </w:rPr>
            </w:pPr>
            <w:r>
              <w:rPr>
                <w:sz w:val="22"/>
              </w:rPr>
              <w:t>87</w:t>
            </w:r>
          </w:p>
        </w:tc>
        <w:tc>
          <w:tcPr>
            <w:tcW w:w="830" w:type="dxa"/>
          </w:tcPr>
          <w:p>
            <w:pPr>
              <w:pStyle w:val="TableParagraph"/>
              <w:rPr>
                <w:sz w:val="22"/>
              </w:rPr>
            </w:pPr>
            <w:r>
              <w:rPr>
                <w:sz w:val="22"/>
              </w:rPr>
              <w:t>67</w:t>
            </w:r>
          </w:p>
        </w:tc>
        <w:tc>
          <w:tcPr>
            <w:tcW w:w="730" w:type="dxa"/>
          </w:tcPr>
          <w:p>
            <w:pPr>
              <w:pStyle w:val="TableParagraph"/>
              <w:rPr>
                <w:sz w:val="22"/>
              </w:rPr>
            </w:pPr>
            <w:r>
              <w:rPr>
                <w:sz w:val="22"/>
              </w:rPr>
              <w:t>63</w:t>
            </w:r>
          </w:p>
        </w:tc>
        <w:tc>
          <w:tcPr>
            <w:tcW w:w="1157" w:type="dxa"/>
          </w:tcPr>
          <w:p>
            <w:pPr>
              <w:pStyle w:val="TableParagraph"/>
              <w:ind w:right="63"/>
              <w:rPr>
                <w:sz w:val="22"/>
              </w:rPr>
            </w:pPr>
            <w:r>
              <w:rPr>
                <w:sz w:val="22"/>
              </w:rPr>
              <w:t>64</w:t>
            </w:r>
          </w:p>
        </w:tc>
        <w:tc>
          <w:tcPr>
            <w:tcW w:w="1157" w:type="dxa"/>
          </w:tcPr>
          <w:p>
            <w:pPr>
              <w:pStyle w:val="TableParagraph"/>
              <w:ind w:right="63"/>
              <w:rPr>
                <w:sz w:val="22"/>
              </w:rPr>
            </w:pPr>
            <w:r>
              <w:rPr>
                <w:sz w:val="22"/>
              </w:rPr>
              <w:t>68</w:t>
            </w:r>
          </w:p>
        </w:tc>
        <w:tc>
          <w:tcPr>
            <w:tcW w:w="1243" w:type="dxa"/>
          </w:tcPr>
          <w:p>
            <w:pPr>
              <w:pStyle w:val="TableParagraph"/>
              <w:rPr>
                <w:sz w:val="22"/>
              </w:rPr>
            </w:pPr>
            <w:r>
              <w:rPr>
                <w:sz w:val="22"/>
              </w:rPr>
              <w:t>69</w:t>
            </w:r>
          </w:p>
        </w:tc>
      </w:tr>
      <w:tr>
        <w:trPr>
          <w:trHeight w:val="310" w:hRule="exact"/>
        </w:trPr>
        <w:tc>
          <w:tcPr>
            <w:tcW w:w="715" w:type="dxa"/>
          </w:tcPr>
          <w:p>
            <w:pPr>
              <w:pStyle w:val="TableParagraph"/>
              <w:spacing w:before="30"/>
              <w:rPr>
                <w:sz w:val="22"/>
              </w:rPr>
            </w:pPr>
            <w:r>
              <w:rPr>
                <w:sz w:val="22"/>
              </w:rPr>
              <w:t>101</w:t>
            </w:r>
          </w:p>
        </w:tc>
        <w:tc>
          <w:tcPr>
            <w:tcW w:w="1824" w:type="dxa"/>
          </w:tcPr>
          <w:p>
            <w:pPr>
              <w:pStyle w:val="TableParagraph"/>
              <w:spacing w:before="30"/>
              <w:ind w:right="63"/>
              <w:rPr>
                <w:sz w:val="22"/>
              </w:rPr>
            </w:pPr>
            <w:r>
              <w:rPr>
                <w:sz w:val="22"/>
              </w:rPr>
              <w:t>28/09/2009</w:t>
            </w:r>
          </w:p>
        </w:tc>
        <w:tc>
          <w:tcPr>
            <w:tcW w:w="1322" w:type="dxa"/>
          </w:tcPr>
          <w:p>
            <w:pPr>
              <w:pStyle w:val="TableParagraph"/>
              <w:spacing w:before="30"/>
              <w:rPr>
                <w:sz w:val="22"/>
              </w:rPr>
            </w:pPr>
            <w:r>
              <w:rPr>
                <w:sz w:val="22"/>
              </w:rPr>
              <w:t>112</w:t>
            </w:r>
          </w:p>
        </w:tc>
        <w:tc>
          <w:tcPr>
            <w:tcW w:w="830" w:type="dxa"/>
          </w:tcPr>
          <w:p>
            <w:pPr>
              <w:pStyle w:val="TableParagraph"/>
              <w:spacing w:before="30"/>
              <w:rPr>
                <w:sz w:val="22"/>
              </w:rPr>
            </w:pPr>
            <w:r>
              <w:rPr>
                <w:sz w:val="22"/>
              </w:rPr>
              <w:t>63</w:t>
            </w:r>
          </w:p>
        </w:tc>
        <w:tc>
          <w:tcPr>
            <w:tcW w:w="730" w:type="dxa"/>
          </w:tcPr>
          <w:p>
            <w:pPr>
              <w:pStyle w:val="TableParagraph"/>
              <w:spacing w:before="30"/>
              <w:rPr>
                <w:sz w:val="22"/>
              </w:rPr>
            </w:pPr>
            <w:r>
              <w:rPr>
                <w:sz w:val="22"/>
              </w:rPr>
              <w:t>61</w:t>
            </w:r>
          </w:p>
        </w:tc>
        <w:tc>
          <w:tcPr>
            <w:tcW w:w="1157" w:type="dxa"/>
          </w:tcPr>
          <w:p>
            <w:pPr>
              <w:pStyle w:val="TableParagraph"/>
              <w:spacing w:before="30"/>
              <w:ind w:right="63"/>
              <w:rPr>
                <w:sz w:val="22"/>
              </w:rPr>
            </w:pPr>
            <w:r>
              <w:rPr>
                <w:sz w:val="22"/>
              </w:rPr>
              <w:t>70</w:t>
            </w:r>
          </w:p>
        </w:tc>
        <w:tc>
          <w:tcPr>
            <w:tcW w:w="1157" w:type="dxa"/>
          </w:tcPr>
          <w:p>
            <w:pPr>
              <w:pStyle w:val="TableParagraph"/>
              <w:spacing w:before="30"/>
              <w:ind w:right="63"/>
              <w:rPr>
                <w:sz w:val="22"/>
              </w:rPr>
            </w:pPr>
            <w:r>
              <w:rPr>
                <w:sz w:val="22"/>
              </w:rPr>
              <w:t>62</w:t>
            </w:r>
          </w:p>
        </w:tc>
        <w:tc>
          <w:tcPr>
            <w:tcW w:w="1243" w:type="dxa"/>
          </w:tcPr>
          <w:p>
            <w:pPr>
              <w:pStyle w:val="TableParagraph"/>
              <w:spacing w:before="30"/>
              <w:rPr>
                <w:sz w:val="22"/>
              </w:rPr>
            </w:pPr>
            <w:r>
              <w:rPr>
                <w:sz w:val="22"/>
              </w:rPr>
              <w:t>85</w:t>
            </w:r>
          </w:p>
        </w:tc>
      </w:tr>
      <w:tr>
        <w:trPr>
          <w:trHeight w:val="312" w:hRule="exact"/>
        </w:trPr>
        <w:tc>
          <w:tcPr>
            <w:tcW w:w="715" w:type="dxa"/>
          </w:tcPr>
          <w:p>
            <w:pPr>
              <w:pStyle w:val="TableParagraph"/>
              <w:spacing w:before="30"/>
              <w:rPr>
                <w:sz w:val="22"/>
              </w:rPr>
            </w:pPr>
            <w:r>
              <w:rPr>
                <w:sz w:val="22"/>
              </w:rPr>
              <w:t>104</w:t>
            </w:r>
          </w:p>
        </w:tc>
        <w:tc>
          <w:tcPr>
            <w:tcW w:w="1824" w:type="dxa"/>
          </w:tcPr>
          <w:p>
            <w:pPr>
              <w:pStyle w:val="TableParagraph"/>
              <w:spacing w:before="30"/>
              <w:ind w:right="63"/>
              <w:rPr>
                <w:sz w:val="22"/>
              </w:rPr>
            </w:pPr>
            <w:r>
              <w:rPr>
                <w:sz w:val="22"/>
              </w:rPr>
              <w:t>01/10/2009</w:t>
            </w:r>
          </w:p>
        </w:tc>
        <w:tc>
          <w:tcPr>
            <w:tcW w:w="1322" w:type="dxa"/>
          </w:tcPr>
          <w:p>
            <w:pPr>
              <w:pStyle w:val="TableParagraph"/>
              <w:spacing w:before="30"/>
              <w:rPr>
                <w:sz w:val="22"/>
              </w:rPr>
            </w:pPr>
            <w:r>
              <w:rPr>
                <w:sz w:val="22"/>
              </w:rPr>
              <w:t>96</w:t>
            </w:r>
          </w:p>
        </w:tc>
        <w:tc>
          <w:tcPr>
            <w:tcW w:w="830" w:type="dxa"/>
          </w:tcPr>
          <w:p>
            <w:pPr>
              <w:pStyle w:val="TableParagraph"/>
              <w:spacing w:before="30"/>
              <w:rPr>
                <w:sz w:val="22"/>
              </w:rPr>
            </w:pPr>
            <w:r>
              <w:rPr>
                <w:sz w:val="22"/>
              </w:rPr>
              <w:t>74</w:t>
            </w:r>
          </w:p>
        </w:tc>
        <w:tc>
          <w:tcPr>
            <w:tcW w:w="730" w:type="dxa"/>
          </w:tcPr>
          <w:p>
            <w:pPr>
              <w:pStyle w:val="TableParagraph"/>
              <w:spacing w:before="30"/>
              <w:rPr>
                <w:sz w:val="22"/>
              </w:rPr>
            </w:pPr>
            <w:r>
              <w:rPr>
                <w:sz w:val="22"/>
              </w:rPr>
              <w:t>76</w:t>
            </w:r>
          </w:p>
        </w:tc>
        <w:tc>
          <w:tcPr>
            <w:tcW w:w="1157" w:type="dxa"/>
          </w:tcPr>
          <w:p>
            <w:pPr>
              <w:pStyle w:val="TableParagraph"/>
              <w:spacing w:before="30"/>
              <w:ind w:right="63"/>
              <w:rPr>
                <w:sz w:val="22"/>
              </w:rPr>
            </w:pPr>
            <w:r>
              <w:rPr>
                <w:sz w:val="22"/>
              </w:rPr>
              <w:t>90</w:t>
            </w:r>
          </w:p>
        </w:tc>
        <w:tc>
          <w:tcPr>
            <w:tcW w:w="1157" w:type="dxa"/>
          </w:tcPr>
          <w:p>
            <w:pPr>
              <w:pStyle w:val="TableParagraph"/>
              <w:spacing w:before="30"/>
              <w:ind w:right="63"/>
              <w:rPr>
                <w:sz w:val="22"/>
              </w:rPr>
            </w:pPr>
            <w:r>
              <w:rPr>
                <w:sz w:val="22"/>
              </w:rPr>
              <w:t>78</w:t>
            </w:r>
          </w:p>
        </w:tc>
        <w:tc>
          <w:tcPr>
            <w:tcW w:w="1243" w:type="dxa"/>
          </w:tcPr>
          <w:p>
            <w:pPr>
              <w:pStyle w:val="TableParagraph"/>
              <w:spacing w:before="30"/>
              <w:rPr>
                <w:sz w:val="22"/>
              </w:rPr>
            </w:pPr>
            <w:r>
              <w:rPr>
                <w:sz w:val="22"/>
              </w:rPr>
              <w:t>193</w:t>
            </w:r>
          </w:p>
        </w:tc>
      </w:tr>
      <w:tr>
        <w:trPr>
          <w:trHeight w:val="310" w:hRule="exact"/>
        </w:trPr>
        <w:tc>
          <w:tcPr>
            <w:tcW w:w="715" w:type="dxa"/>
          </w:tcPr>
          <w:p>
            <w:pPr>
              <w:pStyle w:val="TableParagraph"/>
              <w:rPr>
                <w:sz w:val="22"/>
              </w:rPr>
            </w:pPr>
            <w:r>
              <w:rPr>
                <w:sz w:val="22"/>
              </w:rPr>
              <w:t>109</w:t>
            </w:r>
          </w:p>
        </w:tc>
        <w:tc>
          <w:tcPr>
            <w:tcW w:w="1824" w:type="dxa"/>
          </w:tcPr>
          <w:p>
            <w:pPr>
              <w:pStyle w:val="TableParagraph"/>
              <w:ind w:right="63"/>
              <w:rPr>
                <w:sz w:val="22"/>
              </w:rPr>
            </w:pPr>
            <w:r>
              <w:rPr>
                <w:sz w:val="22"/>
              </w:rPr>
              <w:t>06/10/2009</w:t>
            </w:r>
          </w:p>
        </w:tc>
        <w:tc>
          <w:tcPr>
            <w:tcW w:w="1322" w:type="dxa"/>
          </w:tcPr>
          <w:p>
            <w:pPr>
              <w:pStyle w:val="TableParagraph"/>
              <w:rPr>
                <w:sz w:val="22"/>
              </w:rPr>
            </w:pPr>
            <w:r>
              <w:rPr>
                <w:sz w:val="22"/>
              </w:rPr>
              <w:t>55</w:t>
            </w:r>
          </w:p>
        </w:tc>
        <w:tc>
          <w:tcPr>
            <w:tcW w:w="830" w:type="dxa"/>
          </w:tcPr>
          <w:p>
            <w:pPr>
              <w:pStyle w:val="TableParagraph"/>
              <w:rPr>
                <w:sz w:val="22"/>
              </w:rPr>
            </w:pPr>
            <w:r>
              <w:rPr>
                <w:sz w:val="22"/>
              </w:rPr>
              <w:t>33</w:t>
            </w:r>
          </w:p>
        </w:tc>
        <w:tc>
          <w:tcPr>
            <w:tcW w:w="730" w:type="dxa"/>
          </w:tcPr>
          <w:p>
            <w:pPr>
              <w:pStyle w:val="TableParagraph"/>
              <w:rPr>
                <w:sz w:val="22"/>
              </w:rPr>
            </w:pPr>
            <w:r>
              <w:rPr>
                <w:sz w:val="22"/>
              </w:rPr>
              <w:t>25</w:t>
            </w:r>
          </w:p>
        </w:tc>
        <w:tc>
          <w:tcPr>
            <w:tcW w:w="1157" w:type="dxa"/>
          </w:tcPr>
          <w:p>
            <w:pPr>
              <w:pStyle w:val="TableParagraph"/>
              <w:ind w:right="63"/>
              <w:rPr>
                <w:sz w:val="22"/>
              </w:rPr>
            </w:pPr>
            <w:r>
              <w:rPr>
                <w:sz w:val="22"/>
              </w:rPr>
              <w:t>32</w:t>
            </w:r>
          </w:p>
        </w:tc>
        <w:tc>
          <w:tcPr>
            <w:tcW w:w="1157" w:type="dxa"/>
          </w:tcPr>
          <w:p>
            <w:pPr>
              <w:pStyle w:val="TableParagraph"/>
              <w:ind w:right="63"/>
              <w:rPr>
                <w:sz w:val="22"/>
              </w:rPr>
            </w:pPr>
            <w:r>
              <w:rPr>
                <w:sz w:val="22"/>
              </w:rPr>
              <w:t>27</w:t>
            </w:r>
          </w:p>
        </w:tc>
        <w:tc>
          <w:tcPr>
            <w:tcW w:w="1243" w:type="dxa"/>
          </w:tcPr>
          <w:p>
            <w:pPr>
              <w:pStyle w:val="TableParagraph"/>
              <w:rPr>
                <w:sz w:val="22"/>
              </w:rPr>
            </w:pPr>
            <w:r>
              <w:rPr>
                <w:sz w:val="22"/>
              </w:rPr>
              <w:t>60</w:t>
            </w:r>
          </w:p>
        </w:tc>
      </w:tr>
      <w:tr>
        <w:trPr>
          <w:trHeight w:val="310" w:hRule="exact"/>
        </w:trPr>
        <w:tc>
          <w:tcPr>
            <w:tcW w:w="715" w:type="dxa"/>
          </w:tcPr>
          <w:p>
            <w:pPr>
              <w:pStyle w:val="TableParagraph"/>
              <w:rPr>
                <w:sz w:val="22"/>
              </w:rPr>
            </w:pPr>
            <w:r>
              <w:rPr>
                <w:sz w:val="22"/>
              </w:rPr>
              <w:t>112</w:t>
            </w:r>
          </w:p>
        </w:tc>
        <w:tc>
          <w:tcPr>
            <w:tcW w:w="1824" w:type="dxa"/>
          </w:tcPr>
          <w:p>
            <w:pPr>
              <w:pStyle w:val="TableParagraph"/>
              <w:ind w:right="63"/>
              <w:rPr>
                <w:sz w:val="22"/>
              </w:rPr>
            </w:pPr>
            <w:r>
              <w:rPr>
                <w:sz w:val="22"/>
              </w:rPr>
              <w:t>09/10/2009</w:t>
            </w:r>
          </w:p>
        </w:tc>
        <w:tc>
          <w:tcPr>
            <w:tcW w:w="1322" w:type="dxa"/>
          </w:tcPr>
          <w:p>
            <w:pPr>
              <w:pStyle w:val="TableParagraph"/>
              <w:rPr>
                <w:sz w:val="22"/>
              </w:rPr>
            </w:pPr>
            <w:r>
              <w:rPr>
                <w:sz w:val="22"/>
              </w:rPr>
              <w:t>16</w:t>
            </w:r>
          </w:p>
        </w:tc>
        <w:tc>
          <w:tcPr>
            <w:tcW w:w="830" w:type="dxa"/>
          </w:tcPr>
          <w:p>
            <w:pPr>
              <w:pStyle w:val="TableParagraph"/>
              <w:rPr>
                <w:sz w:val="22"/>
              </w:rPr>
            </w:pPr>
            <w:r>
              <w:rPr>
                <w:sz w:val="22"/>
              </w:rPr>
              <w:t>14</w:t>
            </w:r>
          </w:p>
        </w:tc>
        <w:tc>
          <w:tcPr>
            <w:tcW w:w="730" w:type="dxa"/>
          </w:tcPr>
          <w:p>
            <w:pPr>
              <w:pStyle w:val="TableParagraph"/>
              <w:rPr>
                <w:sz w:val="22"/>
              </w:rPr>
            </w:pPr>
            <w:r>
              <w:rPr>
                <w:sz w:val="22"/>
              </w:rPr>
              <w:t>10</w:t>
            </w:r>
          </w:p>
        </w:tc>
        <w:tc>
          <w:tcPr>
            <w:tcW w:w="1157" w:type="dxa"/>
          </w:tcPr>
          <w:p>
            <w:pPr>
              <w:pStyle w:val="TableParagraph"/>
              <w:ind w:right="63"/>
              <w:rPr>
                <w:sz w:val="22"/>
              </w:rPr>
            </w:pPr>
            <w:r>
              <w:rPr>
                <w:sz w:val="22"/>
              </w:rPr>
              <w:t>17</w:t>
            </w:r>
          </w:p>
        </w:tc>
        <w:tc>
          <w:tcPr>
            <w:tcW w:w="1157" w:type="dxa"/>
          </w:tcPr>
          <w:p>
            <w:pPr>
              <w:pStyle w:val="TableParagraph"/>
              <w:ind w:right="63"/>
              <w:rPr>
                <w:sz w:val="22"/>
              </w:rPr>
            </w:pPr>
            <w:r>
              <w:rPr>
                <w:sz w:val="22"/>
              </w:rPr>
              <w:t>14</w:t>
            </w:r>
          </w:p>
        </w:tc>
        <w:tc>
          <w:tcPr>
            <w:tcW w:w="1243" w:type="dxa"/>
          </w:tcPr>
          <w:p>
            <w:pPr>
              <w:pStyle w:val="TableParagraph"/>
              <w:rPr>
                <w:sz w:val="22"/>
              </w:rPr>
            </w:pPr>
            <w:r>
              <w:rPr>
                <w:sz w:val="22"/>
              </w:rPr>
              <w:t>79</w:t>
            </w:r>
          </w:p>
        </w:tc>
      </w:tr>
      <w:tr>
        <w:trPr>
          <w:trHeight w:val="310" w:hRule="exact"/>
        </w:trPr>
        <w:tc>
          <w:tcPr>
            <w:tcW w:w="715" w:type="dxa"/>
          </w:tcPr>
          <w:p>
            <w:pPr>
              <w:pStyle w:val="TableParagraph"/>
              <w:rPr>
                <w:sz w:val="22"/>
              </w:rPr>
            </w:pPr>
            <w:r>
              <w:rPr>
                <w:sz w:val="22"/>
              </w:rPr>
              <w:t>116</w:t>
            </w:r>
          </w:p>
        </w:tc>
        <w:tc>
          <w:tcPr>
            <w:tcW w:w="1824" w:type="dxa"/>
          </w:tcPr>
          <w:p>
            <w:pPr>
              <w:pStyle w:val="TableParagraph"/>
              <w:ind w:right="63"/>
              <w:rPr>
                <w:sz w:val="22"/>
              </w:rPr>
            </w:pPr>
            <w:r>
              <w:rPr>
                <w:sz w:val="22"/>
              </w:rPr>
              <w:t>13/10/2009</w:t>
            </w:r>
          </w:p>
        </w:tc>
        <w:tc>
          <w:tcPr>
            <w:tcW w:w="1322" w:type="dxa"/>
          </w:tcPr>
          <w:p>
            <w:pPr>
              <w:pStyle w:val="TableParagraph"/>
              <w:rPr>
                <w:sz w:val="22"/>
              </w:rPr>
            </w:pPr>
            <w:r>
              <w:rPr>
                <w:sz w:val="22"/>
              </w:rPr>
              <w:t>30</w:t>
            </w:r>
          </w:p>
        </w:tc>
        <w:tc>
          <w:tcPr>
            <w:tcW w:w="830" w:type="dxa"/>
          </w:tcPr>
          <w:p>
            <w:pPr>
              <w:pStyle w:val="TableParagraph"/>
              <w:rPr>
                <w:sz w:val="22"/>
              </w:rPr>
            </w:pPr>
            <w:r>
              <w:rPr>
                <w:sz w:val="22"/>
              </w:rPr>
              <w:t>19</w:t>
            </w:r>
          </w:p>
        </w:tc>
        <w:tc>
          <w:tcPr>
            <w:tcW w:w="730" w:type="dxa"/>
          </w:tcPr>
          <w:p>
            <w:pPr>
              <w:pStyle w:val="TableParagraph"/>
              <w:rPr>
                <w:sz w:val="22"/>
              </w:rPr>
            </w:pPr>
            <w:r>
              <w:rPr>
                <w:sz w:val="22"/>
              </w:rPr>
              <w:t>19</w:t>
            </w:r>
          </w:p>
        </w:tc>
        <w:tc>
          <w:tcPr>
            <w:tcW w:w="1157" w:type="dxa"/>
          </w:tcPr>
          <w:p>
            <w:pPr>
              <w:pStyle w:val="TableParagraph"/>
              <w:ind w:right="63"/>
              <w:rPr>
                <w:sz w:val="22"/>
              </w:rPr>
            </w:pPr>
            <w:r>
              <w:rPr>
                <w:sz w:val="22"/>
              </w:rPr>
              <w:t>25</w:t>
            </w:r>
          </w:p>
        </w:tc>
        <w:tc>
          <w:tcPr>
            <w:tcW w:w="1157" w:type="dxa"/>
          </w:tcPr>
          <w:p>
            <w:pPr>
              <w:pStyle w:val="TableParagraph"/>
              <w:ind w:right="63"/>
              <w:rPr>
                <w:sz w:val="22"/>
              </w:rPr>
            </w:pPr>
            <w:r>
              <w:rPr>
                <w:sz w:val="22"/>
              </w:rPr>
              <w:t>27</w:t>
            </w:r>
          </w:p>
        </w:tc>
        <w:tc>
          <w:tcPr>
            <w:tcW w:w="1243" w:type="dxa"/>
          </w:tcPr>
          <w:p>
            <w:pPr>
              <w:pStyle w:val="TableParagraph"/>
              <w:rPr>
                <w:sz w:val="22"/>
              </w:rPr>
            </w:pPr>
            <w:r>
              <w:rPr>
                <w:sz w:val="22"/>
              </w:rPr>
              <w:t>52</w:t>
            </w:r>
          </w:p>
        </w:tc>
      </w:tr>
      <w:tr>
        <w:trPr>
          <w:trHeight w:val="310" w:hRule="exact"/>
        </w:trPr>
        <w:tc>
          <w:tcPr>
            <w:tcW w:w="715" w:type="dxa"/>
          </w:tcPr>
          <w:p>
            <w:pPr>
              <w:pStyle w:val="TableParagraph"/>
              <w:rPr>
                <w:sz w:val="22"/>
              </w:rPr>
            </w:pPr>
            <w:r>
              <w:rPr>
                <w:sz w:val="22"/>
              </w:rPr>
              <w:t>119</w:t>
            </w:r>
          </w:p>
        </w:tc>
        <w:tc>
          <w:tcPr>
            <w:tcW w:w="1824" w:type="dxa"/>
          </w:tcPr>
          <w:p>
            <w:pPr>
              <w:pStyle w:val="TableParagraph"/>
              <w:ind w:right="63"/>
              <w:rPr>
                <w:sz w:val="22"/>
              </w:rPr>
            </w:pPr>
            <w:r>
              <w:rPr>
                <w:sz w:val="22"/>
              </w:rPr>
              <w:t>16/10/2009</w:t>
            </w:r>
          </w:p>
        </w:tc>
        <w:tc>
          <w:tcPr>
            <w:tcW w:w="1322" w:type="dxa"/>
          </w:tcPr>
          <w:p>
            <w:pPr>
              <w:pStyle w:val="TableParagraph"/>
              <w:rPr>
                <w:sz w:val="22"/>
              </w:rPr>
            </w:pPr>
            <w:r>
              <w:rPr>
                <w:sz w:val="22"/>
              </w:rPr>
              <w:t>66</w:t>
            </w:r>
          </w:p>
        </w:tc>
        <w:tc>
          <w:tcPr>
            <w:tcW w:w="830" w:type="dxa"/>
          </w:tcPr>
          <w:p>
            <w:pPr>
              <w:pStyle w:val="TableParagraph"/>
              <w:rPr>
                <w:sz w:val="22"/>
              </w:rPr>
            </w:pPr>
            <w:r>
              <w:rPr>
                <w:sz w:val="22"/>
              </w:rPr>
              <w:t>50</w:t>
            </w:r>
          </w:p>
        </w:tc>
        <w:tc>
          <w:tcPr>
            <w:tcW w:w="730" w:type="dxa"/>
          </w:tcPr>
          <w:p>
            <w:pPr>
              <w:pStyle w:val="TableParagraph"/>
              <w:rPr>
                <w:sz w:val="22"/>
              </w:rPr>
            </w:pPr>
            <w:r>
              <w:rPr>
                <w:sz w:val="22"/>
              </w:rPr>
              <w:t>43</w:t>
            </w:r>
          </w:p>
        </w:tc>
        <w:tc>
          <w:tcPr>
            <w:tcW w:w="1157" w:type="dxa"/>
          </w:tcPr>
          <w:p>
            <w:pPr>
              <w:pStyle w:val="TableParagraph"/>
              <w:ind w:right="63"/>
              <w:rPr>
                <w:sz w:val="22"/>
              </w:rPr>
            </w:pPr>
            <w:r>
              <w:rPr>
                <w:sz w:val="22"/>
              </w:rPr>
              <w:t>61</w:t>
            </w:r>
          </w:p>
        </w:tc>
        <w:tc>
          <w:tcPr>
            <w:tcW w:w="1157" w:type="dxa"/>
          </w:tcPr>
          <w:p>
            <w:pPr>
              <w:pStyle w:val="TableParagraph"/>
              <w:ind w:right="63"/>
              <w:rPr>
                <w:sz w:val="22"/>
              </w:rPr>
            </w:pPr>
            <w:r>
              <w:rPr>
                <w:sz w:val="22"/>
              </w:rPr>
              <w:t>55</w:t>
            </w:r>
          </w:p>
        </w:tc>
        <w:tc>
          <w:tcPr>
            <w:tcW w:w="1243" w:type="dxa"/>
          </w:tcPr>
          <w:p>
            <w:pPr>
              <w:pStyle w:val="TableParagraph"/>
              <w:rPr>
                <w:sz w:val="22"/>
              </w:rPr>
            </w:pPr>
            <w:r>
              <w:rPr>
                <w:sz w:val="22"/>
              </w:rPr>
              <w:t>119</w:t>
            </w:r>
          </w:p>
        </w:tc>
      </w:tr>
      <w:tr>
        <w:trPr>
          <w:trHeight w:val="310" w:hRule="exact"/>
        </w:trPr>
        <w:tc>
          <w:tcPr>
            <w:tcW w:w="715" w:type="dxa"/>
          </w:tcPr>
          <w:p>
            <w:pPr>
              <w:pStyle w:val="TableParagraph"/>
              <w:spacing w:before="30"/>
              <w:rPr>
                <w:sz w:val="22"/>
              </w:rPr>
            </w:pPr>
            <w:r>
              <w:rPr>
                <w:sz w:val="22"/>
              </w:rPr>
              <w:t>122</w:t>
            </w:r>
          </w:p>
        </w:tc>
        <w:tc>
          <w:tcPr>
            <w:tcW w:w="1824" w:type="dxa"/>
          </w:tcPr>
          <w:p>
            <w:pPr>
              <w:pStyle w:val="TableParagraph"/>
              <w:spacing w:before="30"/>
              <w:ind w:right="63"/>
              <w:rPr>
                <w:sz w:val="22"/>
              </w:rPr>
            </w:pPr>
            <w:r>
              <w:rPr>
                <w:sz w:val="22"/>
              </w:rPr>
              <w:t>19/10/2009</w:t>
            </w:r>
          </w:p>
        </w:tc>
        <w:tc>
          <w:tcPr>
            <w:tcW w:w="1322" w:type="dxa"/>
          </w:tcPr>
          <w:p>
            <w:pPr>
              <w:pStyle w:val="TableParagraph"/>
              <w:spacing w:before="30"/>
              <w:rPr>
                <w:sz w:val="22"/>
              </w:rPr>
            </w:pPr>
            <w:r>
              <w:rPr>
                <w:sz w:val="22"/>
              </w:rPr>
              <w:t>53</w:t>
            </w:r>
          </w:p>
        </w:tc>
        <w:tc>
          <w:tcPr>
            <w:tcW w:w="830" w:type="dxa"/>
          </w:tcPr>
          <w:p>
            <w:pPr>
              <w:pStyle w:val="TableParagraph"/>
              <w:spacing w:before="30"/>
              <w:rPr>
                <w:sz w:val="22"/>
              </w:rPr>
            </w:pPr>
            <w:r>
              <w:rPr>
                <w:sz w:val="22"/>
              </w:rPr>
              <w:t>41</w:t>
            </w:r>
          </w:p>
        </w:tc>
        <w:tc>
          <w:tcPr>
            <w:tcW w:w="730" w:type="dxa"/>
          </w:tcPr>
          <w:p>
            <w:pPr>
              <w:pStyle w:val="TableParagraph"/>
              <w:spacing w:before="30"/>
              <w:rPr>
                <w:sz w:val="22"/>
              </w:rPr>
            </w:pPr>
            <w:r>
              <w:rPr>
                <w:sz w:val="22"/>
              </w:rPr>
              <w:t>35</w:t>
            </w:r>
          </w:p>
        </w:tc>
        <w:tc>
          <w:tcPr>
            <w:tcW w:w="1157" w:type="dxa"/>
          </w:tcPr>
          <w:p>
            <w:pPr>
              <w:pStyle w:val="TableParagraph"/>
              <w:spacing w:before="30"/>
              <w:ind w:right="63"/>
              <w:rPr>
                <w:sz w:val="22"/>
              </w:rPr>
            </w:pPr>
            <w:r>
              <w:rPr>
                <w:sz w:val="22"/>
              </w:rPr>
              <w:t>42</w:t>
            </w:r>
          </w:p>
        </w:tc>
        <w:tc>
          <w:tcPr>
            <w:tcW w:w="1157" w:type="dxa"/>
          </w:tcPr>
          <w:p>
            <w:pPr>
              <w:pStyle w:val="TableParagraph"/>
              <w:spacing w:before="30"/>
              <w:ind w:right="63"/>
              <w:rPr>
                <w:sz w:val="22"/>
              </w:rPr>
            </w:pPr>
            <w:r>
              <w:rPr>
                <w:sz w:val="22"/>
              </w:rPr>
              <w:t>41</w:t>
            </w:r>
          </w:p>
        </w:tc>
        <w:tc>
          <w:tcPr>
            <w:tcW w:w="1243" w:type="dxa"/>
          </w:tcPr>
          <w:p>
            <w:pPr>
              <w:pStyle w:val="TableParagraph"/>
              <w:spacing w:before="30"/>
              <w:rPr>
                <w:sz w:val="22"/>
              </w:rPr>
            </w:pPr>
            <w:r>
              <w:rPr>
                <w:sz w:val="22"/>
              </w:rPr>
              <w:t>114</w:t>
            </w:r>
          </w:p>
        </w:tc>
      </w:tr>
      <w:tr>
        <w:trPr>
          <w:trHeight w:val="312" w:hRule="exact"/>
        </w:trPr>
        <w:tc>
          <w:tcPr>
            <w:tcW w:w="715" w:type="dxa"/>
          </w:tcPr>
          <w:p>
            <w:pPr>
              <w:pStyle w:val="TableParagraph"/>
              <w:spacing w:before="30"/>
              <w:rPr>
                <w:sz w:val="22"/>
              </w:rPr>
            </w:pPr>
            <w:r>
              <w:rPr>
                <w:sz w:val="22"/>
              </w:rPr>
              <w:t>125</w:t>
            </w:r>
          </w:p>
        </w:tc>
        <w:tc>
          <w:tcPr>
            <w:tcW w:w="1824" w:type="dxa"/>
          </w:tcPr>
          <w:p>
            <w:pPr>
              <w:pStyle w:val="TableParagraph"/>
              <w:spacing w:before="30"/>
              <w:ind w:right="63"/>
              <w:rPr>
                <w:sz w:val="22"/>
              </w:rPr>
            </w:pPr>
            <w:r>
              <w:rPr>
                <w:sz w:val="22"/>
              </w:rPr>
              <w:t>22/10/2009</w:t>
            </w:r>
          </w:p>
        </w:tc>
        <w:tc>
          <w:tcPr>
            <w:tcW w:w="1322" w:type="dxa"/>
          </w:tcPr>
          <w:p>
            <w:pPr>
              <w:pStyle w:val="TableParagraph"/>
              <w:spacing w:before="30"/>
              <w:rPr>
                <w:sz w:val="22"/>
              </w:rPr>
            </w:pPr>
            <w:r>
              <w:rPr>
                <w:sz w:val="22"/>
              </w:rPr>
              <w:t>40</w:t>
            </w:r>
          </w:p>
        </w:tc>
        <w:tc>
          <w:tcPr>
            <w:tcW w:w="830" w:type="dxa"/>
          </w:tcPr>
          <w:p>
            <w:pPr>
              <w:pStyle w:val="TableParagraph"/>
              <w:spacing w:before="30"/>
              <w:rPr>
                <w:sz w:val="22"/>
              </w:rPr>
            </w:pPr>
            <w:r>
              <w:rPr>
                <w:sz w:val="22"/>
              </w:rPr>
              <w:t>24</w:t>
            </w:r>
          </w:p>
        </w:tc>
        <w:tc>
          <w:tcPr>
            <w:tcW w:w="730" w:type="dxa"/>
          </w:tcPr>
          <w:p>
            <w:pPr>
              <w:pStyle w:val="TableParagraph"/>
              <w:spacing w:before="30"/>
              <w:rPr>
                <w:sz w:val="22"/>
              </w:rPr>
            </w:pPr>
            <w:r>
              <w:rPr>
                <w:sz w:val="22"/>
              </w:rPr>
              <w:t>18</w:t>
            </w:r>
          </w:p>
        </w:tc>
        <w:tc>
          <w:tcPr>
            <w:tcW w:w="1157" w:type="dxa"/>
          </w:tcPr>
          <w:p>
            <w:pPr>
              <w:pStyle w:val="TableParagraph"/>
              <w:spacing w:before="30"/>
              <w:ind w:right="63"/>
              <w:rPr>
                <w:sz w:val="22"/>
              </w:rPr>
            </w:pPr>
            <w:r>
              <w:rPr>
                <w:sz w:val="22"/>
              </w:rPr>
              <w:t>25</w:t>
            </w:r>
          </w:p>
        </w:tc>
        <w:tc>
          <w:tcPr>
            <w:tcW w:w="1157" w:type="dxa"/>
          </w:tcPr>
          <w:p>
            <w:pPr>
              <w:pStyle w:val="TableParagraph"/>
              <w:spacing w:before="30"/>
              <w:ind w:right="63"/>
              <w:rPr>
                <w:sz w:val="22"/>
              </w:rPr>
            </w:pPr>
            <w:r>
              <w:rPr>
                <w:sz w:val="22"/>
              </w:rPr>
              <w:t>31</w:t>
            </w:r>
          </w:p>
        </w:tc>
        <w:tc>
          <w:tcPr>
            <w:tcW w:w="1243" w:type="dxa"/>
          </w:tcPr>
          <w:p>
            <w:pPr>
              <w:pStyle w:val="TableParagraph"/>
              <w:spacing w:before="30"/>
              <w:rPr>
                <w:sz w:val="22"/>
              </w:rPr>
            </w:pPr>
            <w:r>
              <w:rPr>
                <w:sz w:val="22"/>
              </w:rPr>
              <w:t>159</w:t>
            </w:r>
          </w:p>
        </w:tc>
      </w:tr>
      <w:tr>
        <w:trPr>
          <w:trHeight w:val="310" w:hRule="exact"/>
        </w:trPr>
        <w:tc>
          <w:tcPr>
            <w:tcW w:w="715" w:type="dxa"/>
          </w:tcPr>
          <w:p>
            <w:pPr>
              <w:pStyle w:val="TableParagraph"/>
              <w:rPr>
                <w:sz w:val="22"/>
              </w:rPr>
            </w:pPr>
            <w:r>
              <w:rPr>
                <w:sz w:val="22"/>
              </w:rPr>
              <w:t>129</w:t>
            </w:r>
          </w:p>
        </w:tc>
        <w:tc>
          <w:tcPr>
            <w:tcW w:w="1824" w:type="dxa"/>
          </w:tcPr>
          <w:p>
            <w:pPr>
              <w:pStyle w:val="TableParagraph"/>
              <w:ind w:right="63"/>
              <w:rPr>
                <w:sz w:val="22"/>
              </w:rPr>
            </w:pPr>
            <w:r>
              <w:rPr>
                <w:sz w:val="22"/>
              </w:rPr>
              <w:t>26/10/2009</w:t>
            </w:r>
          </w:p>
        </w:tc>
        <w:tc>
          <w:tcPr>
            <w:tcW w:w="1322" w:type="dxa"/>
          </w:tcPr>
          <w:p>
            <w:pPr>
              <w:pStyle w:val="TableParagraph"/>
              <w:rPr>
                <w:sz w:val="22"/>
              </w:rPr>
            </w:pPr>
            <w:r>
              <w:rPr>
                <w:sz w:val="22"/>
              </w:rPr>
              <w:t>88</w:t>
            </w:r>
          </w:p>
        </w:tc>
        <w:tc>
          <w:tcPr>
            <w:tcW w:w="830" w:type="dxa"/>
          </w:tcPr>
          <w:p>
            <w:pPr>
              <w:pStyle w:val="TableParagraph"/>
              <w:rPr>
                <w:sz w:val="22"/>
              </w:rPr>
            </w:pPr>
            <w:r>
              <w:rPr>
                <w:sz w:val="22"/>
              </w:rPr>
              <w:t>79</w:t>
            </w:r>
          </w:p>
        </w:tc>
        <w:tc>
          <w:tcPr>
            <w:tcW w:w="730" w:type="dxa"/>
          </w:tcPr>
          <w:p>
            <w:pPr>
              <w:pStyle w:val="TableParagraph"/>
              <w:rPr>
                <w:sz w:val="22"/>
              </w:rPr>
            </w:pPr>
            <w:r>
              <w:rPr>
                <w:sz w:val="22"/>
              </w:rPr>
              <w:t>68</w:t>
            </w:r>
          </w:p>
        </w:tc>
        <w:tc>
          <w:tcPr>
            <w:tcW w:w="1157" w:type="dxa"/>
          </w:tcPr>
          <w:p>
            <w:pPr>
              <w:pStyle w:val="TableParagraph"/>
              <w:ind w:right="63"/>
              <w:rPr>
                <w:sz w:val="22"/>
              </w:rPr>
            </w:pPr>
            <w:r>
              <w:rPr>
                <w:sz w:val="22"/>
              </w:rPr>
              <w:t>72</w:t>
            </w:r>
          </w:p>
        </w:tc>
        <w:tc>
          <w:tcPr>
            <w:tcW w:w="1157" w:type="dxa"/>
          </w:tcPr>
          <w:p>
            <w:pPr>
              <w:pStyle w:val="TableParagraph"/>
              <w:ind w:right="63"/>
              <w:rPr>
                <w:sz w:val="22"/>
              </w:rPr>
            </w:pPr>
            <w:r>
              <w:rPr>
                <w:sz w:val="22"/>
              </w:rPr>
              <w:t>71</w:t>
            </w:r>
          </w:p>
        </w:tc>
        <w:tc>
          <w:tcPr>
            <w:tcW w:w="1243" w:type="dxa"/>
          </w:tcPr>
          <w:p>
            <w:pPr>
              <w:pStyle w:val="TableParagraph"/>
              <w:rPr>
                <w:sz w:val="22"/>
              </w:rPr>
            </w:pPr>
            <w:r>
              <w:rPr>
                <w:sz w:val="22"/>
              </w:rPr>
              <w:t>133</w:t>
            </w:r>
          </w:p>
        </w:tc>
      </w:tr>
      <w:tr>
        <w:trPr>
          <w:trHeight w:val="310" w:hRule="exact"/>
        </w:trPr>
        <w:tc>
          <w:tcPr>
            <w:tcW w:w="715" w:type="dxa"/>
          </w:tcPr>
          <w:p>
            <w:pPr>
              <w:pStyle w:val="TableParagraph"/>
              <w:rPr>
                <w:sz w:val="22"/>
              </w:rPr>
            </w:pPr>
            <w:r>
              <w:rPr>
                <w:sz w:val="22"/>
              </w:rPr>
              <w:t>133</w:t>
            </w:r>
          </w:p>
        </w:tc>
        <w:tc>
          <w:tcPr>
            <w:tcW w:w="1824" w:type="dxa"/>
          </w:tcPr>
          <w:p>
            <w:pPr>
              <w:pStyle w:val="TableParagraph"/>
              <w:ind w:right="63"/>
              <w:rPr>
                <w:sz w:val="22"/>
              </w:rPr>
            </w:pPr>
            <w:r>
              <w:rPr>
                <w:sz w:val="22"/>
              </w:rPr>
              <w:t>30/10/2009</w:t>
            </w:r>
          </w:p>
        </w:tc>
        <w:tc>
          <w:tcPr>
            <w:tcW w:w="1322" w:type="dxa"/>
          </w:tcPr>
          <w:p>
            <w:pPr>
              <w:pStyle w:val="TableParagraph"/>
              <w:rPr>
                <w:sz w:val="22"/>
              </w:rPr>
            </w:pPr>
            <w:r>
              <w:rPr>
                <w:sz w:val="22"/>
              </w:rPr>
              <w:t>44</w:t>
            </w:r>
          </w:p>
        </w:tc>
        <w:tc>
          <w:tcPr>
            <w:tcW w:w="830" w:type="dxa"/>
          </w:tcPr>
          <w:p>
            <w:pPr>
              <w:pStyle w:val="TableParagraph"/>
              <w:rPr>
                <w:sz w:val="22"/>
              </w:rPr>
            </w:pPr>
            <w:r>
              <w:rPr>
                <w:sz w:val="22"/>
              </w:rPr>
              <w:t>43</w:t>
            </w:r>
          </w:p>
        </w:tc>
        <w:tc>
          <w:tcPr>
            <w:tcW w:w="730" w:type="dxa"/>
          </w:tcPr>
          <w:p>
            <w:pPr>
              <w:pStyle w:val="TableParagraph"/>
              <w:rPr>
                <w:sz w:val="22"/>
              </w:rPr>
            </w:pPr>
            <w:r>
              <w:rPr>
                <w:sz w:val="22"/>
              </w:rPr>
              <w:t>36</w:t>
            </w:r>
          </w:p>
        </w:tc>
        <w:tc>
          <w:tcPr>
            <w:tcW w:w="1157" w:type="dxa"/>
          </w:tcPr>
          <w:p>
            <w:pPr>
              <w:pStyle w:val="TableParagraph"/>
              <w:ind w:right="63"/>
              <w:rPr>
                <w:sz w:val="22"/>
              </w:rPr>
            </w:pPr>
            <w:r>
              <w:rPr>
                <w:sz w:val="22"/>
              </w:rPr>
              <w:t>58</w:t>
            </w:r>
          </w:p>
        </w:tc>
        <w:tc>
          <w:tcPr>
            <w:tcW w:w="1157" w:type="dxa"/>
          </w:tcPr>
          <w:p>
            <w:pPr>
              <w:pStyle w:val="TableParagraph"/>
              <w:ind w:right="63"/>
              <w:rPr>
                <w:sz w:val="22"/>
              </w:rPr>
            </w:pPr>
            <w:r>
              <w:rPr>
                <w:sz w:val="22"/>
              </w:rPr>
              <w:t>65</w:t>
            </w:r>
          </w:p>
        </w:tc>
        <w:tc>
          <w:tcPr>
            <w:tcW w:w="1243" w:type="dxa"/>
          </w:tcPr>
          <w:p>
            <w:pPr>
              <w:pStyle w:val="TableParagraph"/>
              <w:rPr>
                <w:sz w:val="22"/>
              </w:rPr>
            </w:pPr>
            <w:r>
              <w:rPr>
                <w:sz w:val="22"/>
              </w:rPr>
              <w:t>152</w:t>
            </w:r>
          </w:p>
        </w:tc>
      </w:tr>
      <w:tr>
        <w:trPr>
          <w:trHeight w:val="310" w:hRule="exact"/>
        </w:trPr>
        <w:tc>
          <w:tcPr>
            <w:tcW w:w="715" w:type="dxa"/>
          </w:tcPr>
          <w:p>
            <w:pPr>
              <w:pStyle w:val="TableParagraph"/>
              <w:rPr>
                <w:sz w:val="22"/>
              </w:rPr>
            </w:pPr>
            <w:r>
              <w:rPr>
                <w:sz w:val="22"/>
              </w:rPr>
              <w:t>137</w:t>
            </w:r>
          </w:p>
        </w:tc>
        <w:tc>
          <w:tcPr>
            <w:tcW w:w="1824" w:type="dxa"/>
          </w:tcPr>
          <w:p>
            <w:pPr>
              <w:pStyle w:val="TableParagraph"/>
              <w:ind w:right="63"/>
              <w:rPr>
                <w:sz w:val="22"/>
              </w:rPr>
            </w:pPr>
            <w:r>
              <w:rPr>
                <w:sz w:val="22"/>
              </w:rPr>
              <w:t>03/11/2009</w:t>
            </w:r>
          </w:p>
        </w:tc>
        <w:tc>
          <w:tcPr>
            <w:tcW w:w="1322" w:type="dxa"/>
          </w:tcPr>
          <w:p>
            <w:pPr>
              <w:pStyle w:val="TableParagraph"/>
              <w:rPr>
                <w:sz w:val="22"/>
              </w:rPr>
            </w:pPr>
            <w:r>
              <w:rPr>
                <w:sz w:val="22"/>
              </w:rPr>
              <w:t>55</w:t>
            </w:r>
          </w:p>
        </w:tc>
        <w:tc>
          <w:tcPr>
            <w:tcW w:w="830" w:type="dxa"/>
          </w:tcPr>
          <w:p>
            <w:pPr>
              <w:pStyle w:val="TableParagraph"/>
              <w:rPr>
                <w:sz w:val="22"/>
              </w:rPr>
            </w:pPr>
            <w:r>
              <w:rPr>
                <w:sz w:val="22"/>
              </w:rPr>
              <w:t>39</w:t>
            </w:r>
          </w:p>
        </w:tc>
        <w:tc>
          <w:tcPr>
            <w:tcW w:w="730" w:type="dxa"/>
          </w:tcPr>
          <w:p>
            <w:pPr>
              <w:pStyle w:val="TableParagraph"/>
              <w:rPr>
                <w:sz w:val="22"/>
              </w:rPr>
            </w:pPr>
            <w:r>
              <w:rPr>
                <w:sz w:val="22"/>
              </w:rPr>
              <w:t>30</w:t>
            </w:r>
          </w:p>
        </w:tc>
        <w:tc>
          <w:tcPr>
            <w:tcW w:w="1157" w:type="dxa"/>
          </w:tcPr>
          <w:p>
            <w:pPr>
              <w:pStyle w:val="TableParagraph"/>
              <w:ind w:right="63"/>
              <w:rPr>
                <w:sz w:val="22"/>
              </w:rPr>
            </w:pPr>
            <w:r>
              <w:rPr>
                <w:sz w:val="22"/>
              </w:rPr>
              <w:t>43</w:t>
            </w:r>
          </w:p>
        </w:tc>
        <w:tc>
          <w:tcPr>
            <w:tcW w:w="1157" w:type="dxa"/>
          </w:tcPr>
          <w:p>
            <w:pPr>
              <w:pStyle w:val="TableParagraph"/>
              <w:ind w:right="63"/>
              <w:rPr>
                <w:sz w:val="22"/>
              </w:rPr>
            </w:pPr>
            <w:r>
              <w:rPr>
                <w:sz w:val="22"/>
              </w:rPr>
              <w:t>51</w:t>
            </w:r>
          </w:p>
        </w:tc>
        <w:tc>
          <w:tcPr>
            <w:tcW w:w="1243" w:type="dxa"/>
          </w:tcPr>
          <w:p>
            <w:pPr>
              <w:pStyle w:val="TableParagraph"/>
              <w:rPr>
                <w:sz w:val="22"/>
              </w:rPr>
            </w:pPr>
            <w:r>
              <w:rPr>
                <w:sz w:val="22"/>
              </w:rPr>
              <w:t>115</w:t>
            </w:r>
          </w:p>
        </w:tc>
      </w:tr>
      <w:tr>
        <w:trPr>
          <w:trHeight w:val="310" w:hRule="exact"/>
        </w:trPr>
        <w:tc>
          <w:tcPr>
            <w:tcW w:w="715" w:type="dxa"/>
          </w:tcPr>
          <w:p>
            <w:pPr>
              <w:pStyle w:val="TableParagraph"/>
              <w:rPr>
                <w:sz w:val="22"/>
              </w:rPr>
            </w:pPr>
            <w:r>
              <w:rPr>
                <w:sz w:val="22"/>
              </w:rPr>
              <w:t>139</w:t>
            </w:r>
          </w:p>
        </w:tc>
        <w:tc>
          <w:tcPr>
            <w:tcW w:w="1824" w:type="dxa"/>
          </w:tcPr>
          <w:p>
            <w:pPr>
              <w:pStyle w:val="TableParagraph"/>
              <w:ind w:right="63"/>
              <w:rPr>
                <w:sz w:val="22"/>
              </w:rPr>
            </w:pPr>
            <w:r>
              <w:rPr>
                <w:sz w:val="22"/>
              </w:rPr>
              <w:t>05/11/2009</w:t>
            </w:r>
          </w:p>
        </w:tc>
        <w:tc>
          <w:tcPr>
            <w:tcW w:w="1322" w:type="dxa"/>
          </w:tcPr>
          <w:p>
            <w:pPr>
              <w:pStyle w:val="TableParagraph"/>
              <w:rPr>
                <w:sz w:val="22"/>
              </w:rPr>
            </w:pPr>
            <w:r>
              <w:rPr>
                <w:sz w:val="22"/>
              </w:rPr>
              <w:t>95</w:t>
            </w:r>
          </w:p>
        </w:tc>
        <w:tc>
          <w:tcPr>
            <w:tcW w:w="830" w:type="dxa"/>
          </w:tcPr>
          <w:p>
            <w:pPr>
              <w:pStyle w:val="TableParagraph"/>
              <w:rPr>
                <w:sz w:val="22"/>
              </w:rPr>
            </w:pPr>
            <w:r>
              <w:rPr>
                <w:sz w:val="22"/>
              </w:rPr>
              <w:t>81</w:t>
            </w:r>
          </w:p>
        </w:tc>
        <w:tc>
          <w:tcPr>
            <w:tcW w:w="730" w:type="dxa"/>
          </w:tcPr>
          <w:p>
            <w:pPr>
              <w:pStyle w:val="TableParagraph"/>
              <w:rPr>
                <w:sz w:val="22"/>
              </w:rPr>
            </w:pPr>
            <w:r>
              <w:rPr>
                <w:sz w:val="22"/>
              </w:rPr>
              <w:t>74</w:t>
            </w:r>
          </w:p>
        </w:tc>
        <w:tc>
          <w:tcPr>
            <w:tcW w:w="1157" w:type="dxa"/>
          </w:tcPr>
          <w:p>
            <w:pPr>
              <w:pStyle w:val="TableParagraph"/>
              <w:ind w:right="63"/>
              <w:rPr>
                <w:sz w:val="22"/>
              </w:rPr>
            </w:pPr>
            <w:r>
              <w:rPr>
                <w:sz w:val="22"/>
              </w:rPr>
              <w:t>89</w:t>
            </w:r>
          </w:p>
        </w:tc>
        <w:tc>
          <w:tcPr>
            <w:tcW w:w="1157" w:type="dxa"/>
          </w:tcPr>
          <w:p>
            <w:pPr>
              <w:pStyle w:val="TableParagraph"/>
              <w:ind w:right="63"/>
              <w:rPr>
                <w:sz w:val="22"/>
              </w:rPr>
            </w:pPr>
            <w:r>
              <w:rPr>
                <w:sz w:val="22"/>
              </w:rPr>
              <w:t>87</w:t>
            </w:r>
          </w:p>
        </w:tc>
        <w:tc>
          <w:tcPr>
            <w:tcW w:w="1243" w:type="dxa"/>
          </w:tcPr>
          <w:p>
            <w:pPr>
              <w:pStyle w:val="TableParagraph"/>
              <w:rPr>
                <w:sz w:val="22"/>
              </w:rPr>
            </w:pPr>
            <w:r>
              <w:rPr>
                <w:sz w:val="22"/>
              </w:rPr>
              <w:t>132</w:t>
            </w:r>
          </w:p>
        </w:tc>
      </w:tr>
      <w:tr>
        <w:trPr>
          <w:trHeight w:val="310" w:hRule="exact"/>
        </w:trPr>
        <w:tc>
          <w:tcPr>
            <w:tcW w:w="715" w:type="dxa"/>
          </w:tcPr>
          <w:p>
            <w:pPr>
              <w:pStyle w:val="TableParagraph"/>
              <w:spacing w:before="30"/>
              <w:rPr>
                <w:sz w:val="22"/>
              </w:rPr>
            </w:pPr>
            <w:r>
              <w:rPr>
                <w:sz w:val="22"/>
              </w:rPr>
              <w:t>143</w:t>
            </w:r>
          </w:p>
        </w:tc>
        <w:tc>
          <w:tcPr>
            <w:tcW w:w="1824" w:type="dxa"/>
          </w:tcPr>
          <w:p>
            <w:pPr>
              <w:pStyle w:val="TableParagraph"/>
              <w:spacing w:before="30"/>
              <w:ind w:right="63"/>
              <w:rPr>
                <w:sz w:val="22"/>
              </w:rPr>
            </w:pPr>
            <w:r>
              <w:rPr>
                <w:sz w:val="22"/>
              </w:rPr>
              <w:t>09/11/2009</w:t>
            </w:r>
          </w:p>
        </w:tc>
        <w:tc>
          <w:tcPr>
            <w:tcW w:w="1322" w:type="dxa"/>
          </w:tcPr>
          <w:p>
            <w:pPr>
              <w:pStyle w:val="TableParagraph"/>
              <w:spacing w:before="30"/>
              <w:rPr>
                <w:sz w:val="22"/>
              </w:rPr>
            </w:pPr>
            <w:r>
              <w:rPr>
                <w:sz w:val="22"/>
              </w:rPr>
              <w:t>93</w:t>
            </w:r>
          </w:p>
        </w:tc>
        <w:tc>
          <w:tcPr>
            <w:tcW w:w="830" w:type="dxa"/>
          </w:tcPr>
          <w:p>
            <w:pPr>
              <w:pStyle w:val="TableParagraph"/>
              <w:spacing w:before="30"/>
              <w:rPr>
                <w:sz w:val="22"/>
              </w:rPr>
            </w:pPr>
            <w:r>
              <w:rPr>
                <w:sz w:val="22"/>
              </w:rPr>
              <w:t>81</w:t>
            </w:r>
          </w:p>
        </w:tc>
        <w:tc>
          <w:tcPr>
            <w:tcW w:w="730" w:type="dxa"/>
          </w:tcPr>
          <w:p>
            <w:pPr>
              <w:pStyle w:val="TableParagraph"/>
              <w:spacing w:before="30"/>
              <w:rPr>
                <w:sz w:val="22"/>
              </w:rPr>
            </w:pPr>
            <w:r>
              <w:rPr>
                <w:sz w:val="22"/>
              </w:rPr>
              <w:t>74</w:t>
            </w:r>
          </w:p>
        </w:tc>
        <w:tc>
          <w:tcPr>
            <w:tcW w:w="1157" w:type="dxa"/>
          </w:tcPr>
          <w:p>
            <w:pPr>
              <w:pStyle w:val="TableParagraph"/>
              <w:spacing w:before="30"/>
              <w:ind w:right="63"/>
              <w:rPr>
                <w:sz w:val="22"/>
              </w:rPr>
            </w:pPr>
            <w:r>
              <w:rPr>
                <w:sz w:val="22"/>
              </w:rPr>
              <w:t>80</w:t>
            </w:r>
          </w:p>
        </w:tc>
        <w:tc>
          <w:tcPr>
            <w:tcW w:w="1157" w:type="dxa"/>
          </w:tcPr>
          <w:p>
            <w:pPr>
              <w:pStyle w:val="TableParagraph"/>
              <w:spacing w:before="30"/>
              <w:ind w:right="63"/>
              <w:rPr>
                <w:sz w:val="22"/>
              </w:rPr>
            </w:pPr>
            <w:r>
              <w:rPr>
                <w:sz w:val="22"/>
              </w:rPr>
              <w:t>96</w:t>
            </w:r>
          </w:p>
        </w:tc>
        <w:tc>
          <w:tcPr>
            <w:tcW w:w="1243" w:type="dxa"/>
          </w:tcPr>
          <w:p>
            <w:pPr>
              <w:pStyle w:val="TableParagraph"/>
              <w:spacing w:before="30"/>
              <w:rPr>
                <w:sz w:val="22"/>
              </w:rPr>
            </w:pPr>
            <w:r>
              <w:rPr>
                <w:sz w:val="22"/>
              </w:rPr>
              <w:t>141</w:t>
            </w:r>
          </w:p>
        </w:tc>
      </w:tr>
      <w:tr>
        <w:trPr>
          <w:trHeight w:val="312" w:hRule="exact"/>
        </w:trPr>
        <w:tc>
          <w:tcPr>
            <w:tcW w:w="715" w:type="dxa"/>
          </w:tcPr>
          <w:p>
            <w:pPr>
              <w:pStyle w:val="TableParagraph"/>
              <w:spacing w:before="30"/>
              <w:rPr>
                <w:sz w:val="22"/>
              </w:rPr>
            </w:pPr>
            <w:r>
              <w:rPr>
                <w:sz w:val="22"/>
              </w:rPr>
              <w:t>146</w:t>
            </w:r>
          </w:p>
        </w:tc>
        <w:tc>
          <w:tcPr>
            <w:tcW w:w="1824" w:type="dxa"/>
          </w:tcPr>
          <w:p>
            <w:pPr>
              <w:pStyle w:val="TableParagraph"/>
              <w:spacing w:before="30"/>
              <w:ind w:right="63"/>
              <w:rPr>
                <w:sz w:val="22"/>
              </w:rPr>
            </w:pPr>
            <w:r>
              <w:rPr>
                <w:sz w:val="22"/>
              </w:rPr>
              <w:t>12/11/2009</w:t>
            </w:r>
          </w:p>
        </w:tc>
        <w:tc>
          <w:tcPr>
            <w:tcW w:w="1322" w:type="dxa"/>
          </w:tcPr>
          <w:p>
            <w:pPr>
              <w:pStyle w:val="TableParagraph"/>
              <w:spacing w:before="30"/>
              <w:rPr>
                <w:sz w:val="22"/>
              </w:rPr>
            </w:pPr>
            <w:r>
              <w:rPr>
                <w:sz w:val="22"/>
              </w:rPr>
              <w:t>87</w:t>
            </w:r>
          </w:p>
        </w:tc>
        <w:tc>
          <w:tcPr>
            <w:tcW w:w="830" w:type="dxa"/>
          </w:tcPr>
          <w:p>
            <w:pPr>
              <w:pStyle w:val="TableParagraph"/>
              <w:spacing w:before="30"/>
              <w:rPr>
                <w:sz w:val="22"/>
              </w:rPr>
            </w:pPr>
            <w:r>
              <w:rPr>
                <w:sz w:val="22"/>
              </w:rPr>
              <w:t>68</w:t>
            </w:r>
          </w:p>
        </w:tc>
        <w:tc>
          <w:tcPr>
            <w:tcW w:w="730" w:type="dxa"/>
          </w:tcPr>
          <w:p>
            <w:pPr>
              <w:pStyle w:val="TableParagraph"/>
              <w:spacing w:before="30"/>
              <w:rPr>
                <w:sz w:val="22"/>
              </w:rPr>
            </w:pPr>
            <w:r>
              <w:rPr>
                <w:sz w:val="22"/>
              </w:rPr>
              <w:t>53</w:t>
            </w:r>
          </w:p>
        </w:tc>
        <w:tc>
          <w:tcPr>
            <w:tcW w:w="1157" w:type="dxa"/>
          </w:tcPr>
          <w:p>
            <w:pPr>
              <w:pStyle w:val="TableParagraph"/>
              <w:spacing w:before="30"/>
              <w:ind w:right="63"/>
              <w:rPr>
                <w:sz w:val="22"/>
              </w:rPr>
            </w:pPr>
            <w:r>
              <w:rPr>
                <w:sz w:val="22"/>
              </w:rPr>
              <w:t>80</w:t>
            </w:r>
          </w:p>
        </w:tc>
        <w:tc>
          <w:tcPr>
            <w:tcW w:w="1157" w:type="dxa"/>
          </w:tcPr>
          <w:p>
            <w:pPr>
              <w:pStyle w:val="TableParagraph"/>
              <w:spacing w:before="30"/>
              <w:ind w:right="63"/>
              <w:rPr>
                <w:sz w:val="22"/>
              </w:rPr>
            </w:pPr>
            <w:r>
              <w:rPr>
                <w:sz w:val="22"/>
              </w:rPr>
              <w:t>85</w:t>
            </w:r>
          </w:p>
        </w:tc>
        <w:tc>
          <w:tcPr>
            <w:tcW w:w="1243" w:type="dxa"/>
          </w:tcPr>
          <w:p>
            <w:pPr>
              <w:pStyle w:val="TableParagraph"/>
              <w:spacing w:before="30"/>
              <w:rPr>
                <w:sz w:val="22"/>
              </w:rPr>
            </w:pPr>
            <w:r>
              <w:rPr>
                <w:sz w:val="22"/>
              </w:rPr>
              <w:t>136</w:t>
            </w:r>
          </w:p>
        </w:tc>
      </w:tr>
      <w:tr>
        <w:trPr>
          <w:trHeight w:val="310" w:hRule="exact"/>
        </w:trPr>
        <w:tc>
          <w:tcPr>
            <w:tcW w:w="715" w:type="dxa"/>
          </w:tcPr>
          <w:p>
            <w:pPr>
              <w:pStyle w:val="TableParagraph"/>
              <w:rPr>
                <w:sz w:val="22"/>
              </w:rPr>
            </w:pPr>
            <w:r>
              <w:rPr>
                <w:sz w:val="22"/>
              </w:rPr>
              <w:t>150</w:t>
            </w:r>
          </w:p>
        </w:tc>
        <w:tc>
          <w:tcPr>
            <w:tcW w:w="1824" w:type="dxa"/>
          </w:tcPr>
          <w:p>
            <w:pPr>
              <w:pStyle w:val="TableParagraph"/>
              <w:ind w:right="63"/>
              <w:rPr>
                <w:sz w:val="22"/>
              </w:rPr>
            </w:pPr>
            <w:r>
              <w:rPr>
                <w:sz w:val="22"/>
              </w:rPr>
              <w:t>16/11/2009</w:t>
            </w:r>
          </w:p>
        </w:tc>
        <w:tc>
          <w:tcPr>
            <w:tcW w:w="1322" w:type="dxa"/>
          </w:tcPr>
          <w:p>
            <w:pPr>
              <w:pStyle w:val="TableParagraph"/>
              <w:rPr>
                <w:sz w:val="22"/>
              </w:rPr>
            </w:pPr>
            <w:r>
              <w:rPr>
                <w:sz w:val="22"/>
              </w:rPr>
              <w:t>90</w:t>
            </w:r>
          </w:p>
        </w:tc>
        <w:tc>
          <w:tcPr>
            <w:tcW w:w="830" w:type="dxa"/>
          </w:tcPr>
          <w:p>
            <w:pPr>
              <w:pStyle w:val="TableParagraph"/>
              <w:rPr>
                <w:sz w:val="22"/>
              </w:rPr>
            </w:pPr>
            <w:r>
              <w:rPr>
                <w:sz w:val="22"/>
              </w:rPr>
              <w:t>78</w:t>
            </w:r>
          </w:p>
        </w:tc>
        <w:tc>
          <w:tcPr>
            <w:tcW w:w="730" w:type="dxa"/>
          </w:tcPr>
          <w:p>
            <w:pPr>
              <w:pStyle w:val="TableParagraph"/>
              <w:rPr>
                <w:sz w:val="22"/>
              </w:rPr>
            </w:pPr>
            <w:r>
              <w:rPr>
                <w:sz w:val="22"/>
              </w:rPr>
              <w:t>65</w:t>
            </w:r>
          </w:p>
        </w:tc>
        <w:tc>
          <w:tcPr>
            <w:tcW w:w="1157" w:type="dxa"/>
          </w:tcPr>
          <w:p>
            <w:pPr>
              <w:pStyle w:val="TableParagraph"/>
              <w:ind w:right="63"/>
              <w:rPr>
                <w:sz w:val="22"/>
              </w:rPr>
            </w:pPr>
            <w:r>
              <w:rPr>
                <w:sz w:val="22"/>
              </w:rPr>
              <w:t>84</w:t>
            </w:r>
          </w:p>
        </w:tc>
        <w:tc>
          <w:tcPr>
            <w:tcW w:w="1157" w:type="dxa"/>
          </w:tcPr>
          <w:p>
            <w:pPr>
              <w:pStyle w:val="TableParagraph"/>
              <w:ind w:right="63"/>
              <w:rPr>
                <w:sz w:val="22"/>
              </w:rPr>
            </w:pPr>
            <w:r>
              <w:rPr>
                <w:sz w:val="22"/>
              </w:rPr>
              <w:t>88</w:t>
            </w:r>
          </w:p>
        </w:tc>
        <w:tc>
          <w:tcPr>
            <w:tcW w:w="1243" w:type="dxa"/>
          </w:tcPr>
          <w:p>
            <w:pPr>
              <w:pStyle w:val="TableParagraph"/>
              <w:rPr>
                <w:sz w:val="22"/>
              </w:rPr>
            </w:pPr>
            <w:r>
              <w:rPr>
                <w:sz w:val="22"/>
              </w:rPr>
              <w:t>154</w:t>
            </w:r>
          </w:p>
        </w:tc>
      </w:tr>
    </w:tbl>
    <w:p>
      <w:pPr>
        <w:spacing w:after="0"/>
        <w:rPr>
          <w:sz w:val="22"/>
        </w:rPr>
        <w:sectPr>
          <w:pgSz w:w="12240" w:h="15840"/>
          <w:pgMar w:header="725" w:footer="1084" w:top="1340" w:bottom="1280" w:left="920" w:right="1200"/>
        </w:sectPr>
      </w:pPr>
    </w:p>
    <w:p>
      <w:pPr>
        <w:pStyle w:val="Heading5"/>
        <w:spacing w:before="172"/>
        <w:ind w:left="781" w:right="2707"/>
        <w:jc w:val="left"/>
      </w:pPr>
      <w:bookmarkStart w:name="_TOC_250004" w:id="206"/>
      <w:bookmarkStart w:name="Anexo 4. Parámetros biométricos " w:id="207"/>
      <w:r>
        <w:rPr>
          <w:b w:val="0"/>
        </w:rPr>
      </w:r>
      <w:bookmarkEnd w:id="206"/>
      <w:r>
        <w:rPr/>
        <w:t>ANEXO 4. PARÁMETROS BIOMÉTRICOS</w:t>
      </w:r>
    </w:p>
    <w:p>
      <w:pPr>
        <w:pStyle w:val="BodyText"/>
        <w:spacing w:before="5"/>
        <w:rPr>
          <w:b/>
        </w:rPr>
      </w:pPr>
    </w:p>
    <w:tbl>
      <w:tblPr>
        <w:tblW w:w="0" w:type="auto"/>
        <w:jc w:val="left"/>
        <w:tblInd w:w="1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0"/>
        <w:gridCol w:w="1202"/>
        <w:gridCol w:w="1301"/>
        <w:gridCol w:w="1200"/>
        <w:gridCol w:w="1200"/>
        <w:gridCol w:w="1200"/>
        <w:gridCol w:w="1199"/>
      </w:tblGrid>
      <w:tr>
        <w:trPr>
          <w:trHeight w:val="655" w:hRule="exact"/>
        </w:trPr>
        <w:tc>
          <w:tcPr>
            <w:tcW w:w="530" w:type="dxa"/>
            <w:shd w:val="clear" w:color="auto" w:fill="D99795"/>
          </w:tcPr>
          <w:p>
            <w:pPr>
              <w:pStyle w:val="TableParagraph"/>
              <w:spacing w:before="184"/>
              <w:ind w:right="63"/>
              <w:rPr>
                <w:b/>
                <w:sz w:val="22"/>
              </w:rPr>
            </w:pPr>
            <w:r>
              <w:rPr>
                <w:b/>
                <w:sz w:val="22"/>
              </w:rPr>
              <w:t>Días</w:t>
            </w:r>
          </w:p>
        </w:tc>
        <w:tc>
          <w:tcPr>
            <w:tcW w:w="1202" w:type="dxa"/>
            <w:shd w:val="clear" w:color="auto" w:fill="D99795"/>
          </w:tcPr>
          <w:p>
            <w:pPr>
              <w:pStyle w:val="TableParagraph"/>
              <w:spacing w:before="184"/>
              <w:ind w:left="44" w:right="44"/>
              <w:jc w:val="center"/>
              <w:rPr>
                <w:b/>
                <w:sz w:val="22"/>
              </w:rPr>
            </w:pPr>
            <w:r>
              <w:rPr>
                <w:b/>
                <w:sz w:val="22"/>
              </w:rPr>
              <w:t>Fecha</w:t>
            </w:r>
          </w:p>
        </w:tc>
        <w:tc>
          <w:tcPr>
            <w:tcW w:w="1301" w:type="dxa"/>
            <w:shd w:val="clear" w:color="auto" w:fill="D99795"/>
          </w:tcPr>
          <w:p>
            <w:pPr>
              <w:pStyle w:val="TableParagraph"/>
              <w:spacing w:before="49"/>
              <w:ind w:left="424" w:right="179" w:hanging="231"/>
              <w:jc w:val="left"/>
              <w:rPr>
                <w:b/>
                <w:sz w:val="22"/>
              </w:rPr>
            </w:pPr>
            <w:r>
              <w:rPr>
                <w:b/>
                <w:sz w:val="22"/>
              </w:rPr>
              <w:t>Población (org)</w:t>
            </w:r>
          </w:p>
        </w:tc>
        <w:tc>
          <w:tcPr>
            <w:tcW w:w="1200" w:type="dxa"/>
            <w:shd w:val="clear" w:color="auto" w:fill="D99795"/>
          </w:tcPr>
          <w:p>
            <w:pPr>
              <w:pStyle w:val="TableParagraph"/>
              <w:spacing w:before="184"/>
              <w:ind w:left="232" w:right="87"/>
              <w:jc w:val="left"/>
              <w:rPr>
                <w:b/>
                <w:sz w:val="22"/>
              </w:rPr>
            </w:pPr>
            <w:r>
              <w:rPr>
                <w:b/>
                <w:sz w:val="22"/>
              </w:rPr>
              <w:t>Peso (g)</w:t>
            </w:r>
          </w:p>
        </w:tc>
        <w:tc>
          <w:tcPr>
            <w:tcW w:w="1200" w:type="dxa"/>
            <w:shd w:val="clear" w:color="auto" w:fill="D99795"/>
          </w:tcPr>
          <w:p>
            <w:pPr>
              <w:pStyle w:val="TableParagraph"/>
              <w:spacing w:before="49"/>
              <w:ind w:left="419" w:right="187" w:hanging="216"/>
              <w:jc w:val="left"/>
              <w:rPr>
                <w:b/>
                <w:sz w:val="22"/>
              </w:rPr>
            </w:pPr>
            <w:r>
              <w:rPr>
                <w:b/>
                <w:sz w:val="22"/>
              </w:rPr>
              <w:t>Biomasa (kg)</w:t>
            </w:r>
          </w:p>
        </w:tc>
        <w:tc>
          <w:tcPr>
            <w:tcW w:w="1200" w:type="dxa"/>
            <w:shd w:val="clear" w:color="auto" w:fill="D99795"/>
          </w:tcPr>
          <w:p>
            <w:pPr>
              <w:pStyle w:val="TableParagraph"/>
              <w:spacing w:line="268" w:lineRule="exact" w:before="45"/>
              <w:ind w:left="249" w:right="149" w:hanging="82"/>
              <w:jc w:val="left"/>
              <w:rPr>
                <w:b/>
                <w:sz w:val="22"/>
              </w:rPr>
            </w:pPr>
            <w:r>
              <w:rPr>
                <w:b/>
                <w:sz w:val="22"/>
              </w:rPr>
              <w:t>Densidad (kg/m</w:t>
            </w:r>
            <w:r>
              <w:rPr>
                <w:b/>
                <w:position w:val="10"/>
                <w:sz w:val="14"/>
              </w:rPr>
              <w:t>3</w:t>
            </w:r>
            <w:r>
              <w:rPr>
                <w:b/>
                <w:sz w:val="22"/>
              </w:rPr>
              <w:t>)</w:t>
            </w:r>
          </w:p>
        </w:tc>
        <w:tc>
          <w:tcPr>
            <w:tcW w:w="1199" w:type="dxa"/>
            <w:shd w:val="clear" w:color="auto" w:fill="D99795"/>
          </w:tcPr>
          <w:p>
            <w:pPr>
              <w:pStyle w:val="TableParagraph"/>
              <w:spacing w:before="49"/>
              <w:ind w:left="376" w:right="62" w:hanging="296"/>
              <w:jc w:val="left"/>
              <w:rPr>
                <w:b/>
                <w:sz w:val="22"/>
              </w:rPr>
            </w:pPr>
            <w:r>
              <w:rPr>
                <w:b/>
                <w:sz w:val="22"/>
              </w:rPr>
              <w:t>Mortalidad (org)</w:t>
            </w:r>
          </w:p>
        </w:tc>
      </w:tr>
      <w:tr>
        <w:trPr>
          <w:trHeight w:val="310" w:hRule="exact"/>
        </w:trPr>
        <w:tc>
          <w:tcPr>
            <w:tcW w:w="530" w:type="dxa"/>
            <w:shd w:val="clear" w:color="auto" w:fill="DBE4F0"/>
          </w:tcPr>
          <w:p>
            <w:pPr>
              <w:pStyle w:val="TableParagraph"/>
              <w:rPr>
                <w:sz w:val="22"/>
              </w:rPr>
            </w:pPr>
            <w:r>
              <w:rPr>
                <w:w w:val="100"/>
                <w:sz w:val="22"/>
              </w:rPr>
              <w:t>1</w:t>
            </w:r>
          </w:p>
        </w:tc>
        <w:tc>
          <w:tcPr>
            <w:tcW w:w="1202" w:type="dxa"/>
            <w:shd w:val="clear" w:color="auto" w:fill="DBE4F0"/>
          </w:tcPr>
          <w:p>
            <w:pPr>
              <w:pStyle w:val="TableParagraph"/>
              <w:ind w:left="45" w:right="44"/>
              <w:jc w:val="center"/>
              <w:rPr>
                <w:sz w:val="22"/>
              </w:rPr>
            </w:pPr>
            <w:r>
              <w:rPr>
                <w:sz w:val="22"/>
              </w:rPr>
              <w:t>20/06/2009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w w:val="100"/>
                <w:sz w:val="22"/>
              </w:rPr>
              <w:t>2</w:t>
            </w:r>
          </w:p>
        </w:tc>
        <w:tc>
          <w:tcPr>
            <w:tcW w:w="1202" w:type="dxa"/>
            <w:shd w:val="clear" w:color="auto" w:fill="DBE4F0"/>
          </w:tcPr>
          <w:p>
            <w:pPr>
              <w:pStyle w:val="TableParagraph"/>
              <w:ind w:left="45" w:right="44"/>
              <w:jc w:val="center"/>
              <w:rPr>
                <w:sz w:val="22"/>
              </w:rPr>
            </w:pPr>
            <w:r>
              <w:rPr>
                <w:sz w:val="22"/>
              </w:rPr>
              <w:t>21/06/2009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w w:val="100"/>
                <w:sz w:val="22"/>
              </w:rPr>
              <w:t>3</w:t>
            </w:r>
          </w:p>
        </w:tc>
        <w:tc>
          <w:tcPr>
            <w:tcW w:w="1202" w:type="dxa"/>
            <w:shd w:val="clear" w:color="auto" w:fill="DBE4F0"/>
          </w:tcPr>
          <w:p>
            <w:pPr>
              <w:pStyle w:val="TableParagraph"/>
              <w:ind w:left="45" w:right="44"/>
              <w:jc w:val="center"/>
              <w:rPr>
                <w:sz w:val="22"/>
              </w:rPr>
            </w:pPr>
            <w:r>
              <w:rPr>
                <w:sz w:val="22"/>
              </w:rPr>
              <w:t>22/06/2009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rPr>
                <w:sz w:val="22"/>
              </w:rPr>
            </w:pPr>
            <w:r>
              <w:rPr>
                <w:w w:val="100"/>
                <w:sz w:val="22"/>
              </w:rPr>
              <w:t>4</w:t>
            </w:r>
          </w:p>
        </w:tc>
        <w:tc>
          <w:tcPr>
            <w:tcW w:w="1202" w:type="dxa"/>
            <w:shd w:val="clear" w:color="auto" w:fill="DBE4F0"/>
          </w:tcPr>
          <w:p>
            <w:pPr>
              <w:pStyle w:val="TableParagraph"/>
              <w:ind w:left="45" w:right="44"/>
              <w:jc w:val="center"/>
              <w:rPr>
                <w:sz w:val="22"/>
              </w:rPr>
            </w:pPr>
            <w:r>
              <w:rPr>
                <w:sz w:val="22"/>
              </w:rPr>
              <w:t>23/06/2009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spacing w:before="29"/>
              <w:rPr>
                <w:sz w:val="22"/>
              </w:rPr>
            </w:pPr>
            <w:r>
              <w:rPr>
                <w:w w:val="100"/>
                <w:sz w:val="22"/>
              </w:rPr>
              <w:t>5</w:t>
            </w:r>
          </w:p>
        </w:tc>
        <w:tc>
          <w:tcPr>
            <w:tcW w:w="1202" w:type="dxa"/>
            <w:shd w:val="clear" w:color="auto" w:fill="DBE4F0"/>
          </w:tcPr>
          <w:p>
            <w:pPr>
              <w:pStyle w:val="TableParagraph"/>
              <w:spacing w:before="29"/>
              <w:ind w:left="45" w:right="44"/>
              <w:jc w:val="center"/>
              <w:rPr>
                <w:sz w:val="22"/>
              </w:rPr>
            </w:pPr>
            <w:r>
              <w:rPr>
                <w:sz w:val="22"/>
              </w:rPr>
              <w:t>24/06/2009</w:t>
            </w:r>
          </w:p>
        </w:tc>
        <w:tc>
          <w:tcPr>
            <w:tcW w:w="1301" w:type="dxa"/>
            <w:shd w:val="clear" w:color="auto" w:fill="DBE4F0"/>
          </w:tcPr>
          <w:p>
            <w:pPr>
              <w:pStyle w:val="TableParagraph"/>
              <w:spacing w:before="29"/>
              <w:ind w:right="63"/>
              <w:rPr>
                <w:sz w:val="22"/>
              </w:rPr>
            </w:pPr>
            <w:r>
              <w:rPr>
                <w:sz w:val="22"/>
              </w:rPr>
              <w:t>102</w:t>
            </w:r>
          </w:p>
        </w:tc>
        <w:tc>
          <w:tcPr>
            <w:tcW w:w="1200" w:type="dxa"/>
            <w:shd w:val="clear" w:color="auto" w:fill="DBE4F0"/>
          </w:tcPr>
          <w:p>
            <w:pPr>
              <w:pStyle w:val="TableParagraph"/>
              <w:spacing w:before="29"/>
              <w:rPr>
                <w:sz w:val="22"/>
              </w:rPr>
            </w:pPr>
            <w:r>
              <w:rPr>
                <w:sz w:val="22"/>
              </w:rPr>
              <w:t>406.80</w:t>
            </w:r>
          </w:p>
        </w:tc>
        <w:tc>
          <w:tcPr>
            <w:tcW w:w="1200" w:type="dxa"/>
            <w:shd w:val="clear" w:color="auto" w:fill="DBE4F0"/>
          </w:tcPr>
          <w:p>
            <w:pPr>
              <w:pStyle w:val="TableParagraph"/>
              <w:spacing w:before="29"/>
              <w:rPr>
                <w:sz w:val="22"/>
              </w:rPr>
            </w:pPr>
            <w:r>
              <w:rPr>
                <w:sz w:val="22"/>
              </w:rPr>
              <w:t>41.49</w:t>
            </w:r>
          </w:p>
        </w:tc>
        <w:tc>
          <w:tcPr>
            <w:tcW w:w="1200" w:type="dxa"/>
            <w:shd w:val="clear" w:color="auto" w:fill="DBE4F0"/>
          </w:tcPr>
          <w:p>
            <w:pPr>
              <w:pStyle w:val="TableParagraph"/>
              <w:spacing w:before="29"/>
              <w:rPr>
                <w:sz w:val="22"/>
              </w:rPr>
            </w:pPr>
            <w:r>
              <w:rPr>
                <w:sz w:val="22"/>
              </w:rPr>
              <w:t>6.61</w:t>
            </w:r>
          </w:p>
        </w:tc>
        <w:tc>
          <w:tcPr>
            <w:tcW w:w="1199" w:type="dxa"/>
            <w:shd w:val="clear" w:color="auto" w:fill="DBE4F0"/>
          </w:tcPr>
          <w:p>
            <w:pPr>
              <w:pStyle w:val="TableParagraph"/>
              <w:spacing w:before="29"/>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w w:val="100"/>
                <w:sz w:val="22"/>
              </w:rPr>
              <w:t>6</w:t>
            </w:r>
          </w:p>
        </w:tc>
        <w:tc>
          <w:tcPr>
            <w:tcW w:w="1202" w:type="dxa"/>
            <w:shd w:val="clear" w:color="auto" w:fill="DBE4F0"/>
          </w:tcPr>
          <w:p>
            <w:pPr>
              <w:pStyle w:val="TableParagraph"/>
              <w:ind w:left="45" w:right="44"/>
              <w:jc w:val="center"/>
              <w:rPr>
                <w:sz w:val="22"/>
              </w:rPr>
            </w:pPr>
            <w:r>
              <w:rPr>
                <w:sz w:val="22"/>
              </w:rPr>
              <w:t>25/06/2009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w w:val="100"/>
                <w:sz w:val="22"/>
              </w:rPr>
              <w:t>7</w:t>
            </w:r>
          </w:p>
        </w:tc>
        <w:tc>
          <w:tcPr>
            <w:tcW w:w="1202" w:type="dxa"/>
            <w:shd w:val="clear" w:color="auto" w:fill="DBE4F0"/>
          </w:tcPr>
          <w:p>
            <w:pPr>
              <w:pStyle w:val="TableParagraph"/>
              <w:ind w:left="45" w:right="44"/>
              <w:jc w:val="center"/>
              <w:rPr>
                <w:sz w:val="22"/>
              </w:rPr>
            </w:pPr>
            <w:r>
              <w:rPr>
                <w:sz w:val="22"/>
              </w:rPr>
              <w:t>26/06/2009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w w:val="100"/>
                <w:sz w:val="22"/>
              </w:rPr>
              <w:t>8</w:t>
            </w:r>
          </w:p>
        </w:tc>
        <w:tc>
          <w:tcPr>
            <w:tcW w:w="1202" w:type="dxa"/>
            <w:shd w:val="clear" w:color="auto" w:fill="DBE4F0"/>
          </w:tcPr>
          <w:p>
            <w:pPr>
              <w:pStyle w:val="TableParagraph"/>
              <w:ind w:left="45" w:right="44"/>
              <w:jc w:val="center"/>
              <w:rPr>
                <w:sz w:val="22"/>
              </w:rPr>
            </w:pPr>
            <w:r>
              <w:rPr>
                <w:sz w:val="22"/>
              </w:rPr>
              <w:t>27/06/2009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w w:val="100"/>
                <w:sz w:val="22"/>
              </w:rPr>
              <w:t>9</w:t>
            </w:r>
          </w:p>
        </w:tc>
        <w:tc>
          <w:tcPr>
            <w:tcW w:w="1202" w:type="dxa"/>
            <w:shd w:val="clear" w:color="auto" w:fill="DBE4F0"/>
          </w:tcPr>
          <w:p>
            <w:pPr>
              <w:pStyle w:val="TableParagraph"/>
              <w:ind w:left="45" w:right="44"/>
              <w:jc w:val="center"/>
              <w:rPr>
                <w:sz w:val="22"/>
              </w:rPr>
            </w:pPr>
            <w:r>
              <w:rPr>
                <w:sz w:val="22"/>
              </w:rPr>
              <w:t>28/06/2009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rPr>
                <w:sz w:val="22"/>
              </w:rPr>
            </w:pPr>
            <w:r>
              <w:rPr>
                <w:sz w:val="22"/>
              </w:rPr>
              <w:t>10</w:t>
            </w:r>
          </w:p>
        </w:tc>
        <w:tc>
          <w:tcPr>
            <w:tcW w:w="1202" w:type="dxa"/>
            <w:shd w:val="clear" w:color="auto" w:fill="DBE4F0"/>
          </w:tcPr>
          <w:p>
            <w:pPr>
              <w:pStyle w:val="TableParagraph"/>
              <w:ind w:left="45" w:right="44"/>
              <w:jc w:val="center"/>
              <w:rPr>
                <w:sz w:val="22"/>
              </w:rPr>
            </w:pPr>
            <w:r>
              <w:rPr>
                <w:sz w:val="22"/>
              </w:rPr>
              <w:t>29/06/2009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spacing w:before="29"/>
              <w:rPr>
                <w:sz w:val="22"/>
              </w:rPr>
            </w:pPr>
            <w:r>
              <w:rPr>
                <w:sz w:val="22"/>
              </w:rPr>
              <w:t>11</w:t>
            </w:r>
          </w:p>
        </w:tc>
        <w:tc>
          <w:tcPr>
            <w:tcW w:w="1202" w:type="dxa"/>
            <w:shd w:val="clear" w:color="auto" w:fill="DBE4F0"/>
          </w:tcPr>
          <w:p>
            <w:pPr>
              <w:pStyle w:val="TableParagraph"/>
              <w:spacing w:before="29"/>
              <w:ind w:left="45" w:right="44"/>
              <w:jc w:val="center"/>
              <w:rPr>
                <w:sz w:val="22"/>
              </w:rPr>
            </w:pPr>
            <w:r>
              <w:rPr>
                <w:sz w:val="22"/>
              </w:rPr>
              <w:t>30/06/2009</w:t>
            </w:r>
          </w:p>
        </w:tc>
        <w:tc>
          <w:tcPr>
            <w:tcW w:w="1301" w:type="dxa"/>
            <w:shd w:val="clear" w:color="auto" w:fill="DBE4F0"/>
          </w:tcPr>
          <w:p>
            <w:pPr>
              <w:pStyle w:val="TableParagraph"/>
              <w:spacing w:before="29"/>
              <w:ind w:right="63"/>
              <w:rPr>
                <w:sz w:val="22"/>
              </w:rPr>
            </w:pPr>
            <w:r>
              <w:rPr>
                <w:sz w:val="22"/>
              </w:rPr>
              <w:t>102</w:t>
            </w:r>
          </w:p>
        </w:tc>
        <w:tc>
          <w:tcPr>
            <w:tcW w:w="1200" w:type="dxa"/>
            <w:shd w:val="clear" w:color="auto" w:fill="DBE4F0"/>
          </w:tcPr>
          <w:p>
            <w:pPr>
              <w:pStyle w:val="TableParagraph"/>
              <w:spacing w:before="29"/>
              <w:rPr>
                <w:sz w:val="22"/>
              </w:rPr>
            </w:pPr>
            <w:r>
              <w:rPr>
                <w:sz w:val="22"/>
              </w:rPr>
              <w:t>406.80</w:t>
            </w:r>
          </w:p>
        </w:tc>
        <w:tc>
          <w:tcPr>
            <w:tcW w:w="1200" w:type="dxa"/>
            <w:shd w:val="clear" w:color="auto" w:fill="DBE4F0"/>
          </w:tcPr>
          <w:p>
            <w:pPr>
              <w:pStyle w:val="TableParagraph"/>
              <w:spacing w:before="29"/>
              <w:rPr>
                <w:sz w:val="22"/>
              </w:rPr>
            </w:pPr>
            <w:r>
              <w:rPr>
                <w:sz w:val="22"/>
              </w:rPr>
              <w:t>41.49</w:t>
            </w:r>
          </w:p>
        </w:tc>
        <w:tc>
          <w:tcPr>
            <w:tcW w:w="1200" w:type="dxa"/>
            <w:shd w:val="clear" w:color="auto" w:fill="DBE4F0"/>
          </w:tcPr>
          <w:p>
            <w:pPr>
              <w:pStyle w:val="TableParagraph"/>
              <w:spacing w:before="29"/>
              <w:rPr>
                <w:sz w:val="22"/>
              </w:rPr>
            </w:pPr>
            <w:r>
              <w:rPr>
                <w:sz w:val="22"/>
              </w:rPr>
              <w:t>6.61</w:t>
            </w:r>
          </w:p>
        </w:tc>
        <w:tc>
          <w:tcPr>
            <w:tcW w:w="1199" w:type="dxa"/>
            <w:shd w:val="clear" w:color="auto" w:fill="DBE4F0"/>
          </w:tcPr>
          <w:p>
            <w:pPr>
              <w:pStyle w:val="TableParagraph"/>
              <w:spacing w:before="29"/>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12</w:t>
            </w:r>
          </w:p>
        </w:tc>
        <w:tc>
          <w:tcPr>
            <w:tcW w:w="1202" w:type="dxa"/>
            <w:shd w:val="clear" w:color="auto" w:fill="DBE4F0"/>
          </w:tcPr>
          <w:p>
            <w:pPr>
              <w:pStyle w:val="TableParagraph"/>
              <w:ind w:left="45" w:right="44"/>
              <w:jc w:val="center"/>
              <w:rPr>
                <w:sz w:val="22"/>
              </w:rPr>
            </w:pPr>
            <w:r>
              <w:rPr>
                <w:sz w:val="22"/>
              </w:rPr>
              <w:t>01/07/2009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13</w:t>
            </w:r>
          </w:p>
        </w:tc>
        <w:tc>
          <w:tcPr>
            <w:tcW w:w="1202" w:type="dxa"/>
            <w:shd w:val="clear" w:color="auto" w:fill="DBE4F0"/>
          </w:tcPr>
          <w:p>
            <w:pPr>
              <w:pStyle w:val="TableParagraph"/>
              <w:ind w:left="45" w:right="44"/>
              <w:jc w:val="center"/>
              <w:rPr>
                <w:sz w:val="22"/>
              </w:rPr>
            </w:pPr>
            <w:r>
              <w:rPr>
                <w:sz w:val="22"/>
              </w:rPr>
              <w:t>02/07/2009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14</w:t>
            </w:r>
          </w:p>
        </w:tc>
        <w:tc>
          <w:tcPr>
            <w:tcW w:w="1202" w:type="dxa"/>
            <w:shd w:val="clear" w:color="auto" w:fill="DBE4F0"/>
          </w:tcPr>
          <w:p>
            <w:pPr>
              <w:pStyle w:val="TableParagraph"/>
              <w:ind w:left="45" w:right="44"/>
              <w:jc w:val="center"/>
              <w:rPr>
                <w:sz w:val="22"/>
              </w:rPr>
            </w:pPr>
            <w:r>
              <w:rPr>
                <w:sz w:val="22"/>
              </w:rPr>
              <w:t>03/07/2009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15</w:t>
            </w:r>
          </w:p>
        </w:tc>
        <w:tc>
          <w:tcPr>
            <w:tcW w:w="1202" w:type="dxa"/>
            <w:shd w:val="clear" w:color="auto" w:fill="DBE4F0"/>
          </w:tcPr>
          <w:p>
            <w:pPr>
              <w:pStyle w:val="TableParagraph"/>
              <w:ind w:left="45" w:right="44"/>
              <w:jc w:val="center"/>
              <w:rPr>
                <w:sz w:val="22"/>
              </w:rPr>
            </w:pPr>
            <w:r>
              <w:rPr>
                <w:sz w:val="22"/>
              </w:rPr>
              <w:t>04/07/2009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rPr>
                <w:sz w:val="22"/>
              </w:rPr>
            </w:pPr>
            <w:r>
              <w:rPr>
                <w:sz w:val="22"/>
              </w:rPr>
              <w:t>16</w:t>
            </w:r>
          </w:p>
        </w:tc>
        <w:tc>
          <w:tcPr>
            <w:tcW w:w="1202" w:type="dxa"/>
            <w:shd w:val="clear" w:color="auto" w:fill="DBE4F0"/>
          </w:tcPr>
          <w:p>
            <w:pPr>
              <w:pStyle w:val="TableParagraph"/>
              <w:ind w:left="45" w:right="44"/>
              <w:jc w:val="center"/>
              <w:rPr>
                <w:sz w:val="22"/>
              </w:rPr>
            </w:pPr>
            <w:r>
              <w:rPr>
                <w:sz w:val="22"/>
              </w:rPr>
              <w:t>05/07/2009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spacing w:before="29"/>
              <w:rPr>
                <w:sz w:val="22"/>
              </w:rPr>
            </w:pPr>
            <w:r>
              <w:rPr>
                <w:sz w:val="22"/>
              </w:rPr>
              <w:t>17</w:t>
            </w:r>
          </w:p>
        </w:tc>
        <w:tc>
          <w:tcPr>
            <w:tcW w:w="1202" w:type="dxa"/>
            <w:shd w:val="clear" w:color="auto" w:fill="DBE4F0"/>
          </w:tcPr>
          <w:p>
            <w:pPr>
              <w:pStyle w:val="TableParagraph"/>
              <w:spacing w:before="29"/>
              <w:ind w:left="45" w:right="44"/>
              <w:jc w:val="center"/>
              <w:rPr>
                <w:sz w:val="22"/>
              </w:rPr>
            </w:pPr>
            <w:r>
              <w:rPr>
                <w:sz w:val="22"/>
              </w:rPr>
              <w:t>06/07/2009</w:t>
            </w:r>
          </w:p>
        </w:tc>
        <w:tc>
          <w:tcPr>
            <w:tcW w:w="1301" w:type="dxa"/>
            <w:shd w:val="clear" w:color="auto" w:fill="DBE4F0"/>
          </w:tcPr>
          <w:p>
            <w:pPr>
              <w:pStyle w:val="TableParagraph"/>
              <w:spacing w:before="29"/>
              <w:ind w:right="63"/>
              <w:rPr>
                <w:sz w:val="22"/>
              </w:rPr>
            </w:pPr>
            <w:r>
              <w:rPr>
                <w:sz w:val="22"/>
              </w:rPr>
              <w:t>102</w:t>
            </w:r>
          </w:p>
        </w:tc>
        <w:tc>
          <w:tcPr>
            <w:tcW w:w="1200" w:type="dxa"/>
            <w:shd w:val="clear" w:color="auto" w:fill="DBE4F0"/>
          </w:tcPr>
          <w:p>
            <w:pPr>
              <w:pStyle w:val="TableParagraph"/>
              <w:spacing w:before="29"/>
              <w:rPr>
                <w:sz w:val="22"/>
              </w:rPr>
            </w:pPr>
            <w:r>
              <w:rPr>
                <w:sz w:val="22"/>
              </w:rPr>
              <w:t>406.80</w:t>
            </w:r>
          </w:p>
        </w:tc>
        <w:tc>
          <w:tcPr>
            <w:tcW w:w="1200" w:type="dxa"/>
            <w:shd w:val="clear" w:color="auto" w:fill="DBE4F0"/>
          </w:tcPr>
          <w:p>
            <w:pPr>
              <w:pStyle w:val="TableParagraph"/>
              <w:spacing w:before="29"/>
              <w:rPr>
                <w:sz w:val="22"/>
              </w:rPr>
            </w:pPr>
            <w:r>
              <w:rPr>
                <w:sz w:val="22"/>
              </w:rPr>
              <w:t>41.49</w:t>
            </w:r>
          </w:p>
        </w:tc>
        <w:tc>
          <w:tcPr>
            <w:tcW w:w="1200" w:type="dxa"/>
            <w:shd w:val="clear" w:color="auto" w:fill="DBE4F0"/>
          </w:tcPr>
          <w:p>
            <w:pPr>
              <w:pStyle w:val="TableParagraph"/>
              <w:spacing w:before="29"/>
              <w:rPr>
                <w:sz w:val="22"/>
              </w:rPr>
            </w:pPr>
            <w:r>
              <w:rPr>
                <w:sz w:val="22"/>
              </w:rPr>
              <w:t>6.61</w:t>
            </w:r>
          </w:p>
        </w:tc>
        <w:tc>
          <w:tcPr>
            <w:tcW w:w="1199" w:type="dxa"/>
            <w:shd w:val="clear" w:color="auto" w:fill="DBE4F0"/>
          </w:tcPr>
          <w:p>
            <w:pPr>
              <w:pStyle w:val="TableParagraph"/>
              <w:spacing w:before="29"/>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18</w:t>
            </w:r>
          </w:p>
        </w:tc>
        <w:tc>
          <w:tcPr>
            <w:tcW w:w="1202" w:type="dxa"/>
            <w:shd w:val="clear" w:color="auto" w:fill="DBE4F0"/>
          </w:tcPr>
          <w:p>
            <w:pPr>
              <w:pStyle w:val="TableParagraph"/>
              <w:ind w:left="45" w:right="44"/>
              <w:jc w:val="center"/>
              <w:rPr>
                <w:sz w:val="22"/>
              </w:rPr>
            </w:pPr>
            <w:r>
              <w:rPr>
                <w:sz w:val="22"/>
              </w:rPr>
              <w:t>07/07/2009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19</w:t>
            </w:r>
          </w:p>
        </w:tc>
        <w:tc>
          <w:tcPr>
            <w:tcW w:w="1202" w:type="dxa"/>
            <w:shd w:val="clear" w:color="auto" w:fill="DBE4F0"/>
          </w:tcPr>
          <w:p>
            <w:pPr>
              <w:pStyle w:val="TableParagraph"/>
              <w:ind w:left="45" w:right="44"/>
              <w:jc w:val="center"/>
              <w:rPr>
                <w:sz w:val="22"/>
              </w:rPr>
            </w:pPr>
            <w:r>
              <w:rPr>
                <w:sz w:val="22"/>
              </w:rPr>
              <w:t>08/07/2009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20</w:t>
            </w:r>
          </w:p>
        </w:tc>
        <w:tc>
          <w:tcPr>
            <w:tcW w:w="1202" w:type="dxa"/>
            <w:shd w:val="clear" w:color="auto" w:fill="DBE4F0"/>
          </w:tcPr>
          <w:p>
            <w:pPr>
              <w:pStyle w:val="TableParagraph"/>
              <w:ind w:left="45" w:right="44"/>
              <w:jc w:val="center"/>
              <w:rPr>
                <w:sz w:val="22"/>
              </w:rPr>
            </w:pPr>
            <w:r>
              <w:rPr>
                <w:sz w:val="22"/>
              </w:rPr>
              <w:t>09/07/2009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21</w:t>
            </w:r>
          </w:p>
        </w:tc>
        <w:tc>
          <w:tcPr>
            <w:tcW w:w="1202" w:type="dxa"/>
            <w:shd w:val="clear" w:color="auto" w:fill="DBE4F0"/>
          </w:tcPr>
          <w:p>
            <w:pPr>
              <w:pStyle w:val="TableParagraph"/>
              <w:ind w:left="45" w:right="44"/>
              <w:jc w:val="center"/>
              <w:rPr>
                <w:sz w:val="22"/>
              </w:rPr>
            </w:pPr>
            <w:r>
              <w:rPr>
                <w:sz w:val="22"/>
              </w:rPr>
              <w:t>10/07/2009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rPr>
                <w:sz w:val="22"/>
              </w:rPr>
            </w:pPr>
            <w:r>
              <w:rPr>
                <w:sz w:val="22"/>
              </w:rPr>
              <w:t>22</w:t>
            </w:r>
          </w:p>
        </w:tc>
        <w:tc>
          <w:tcPr>
            <w:tcW w:w="1202" w:type="dxa"/>
            <w:shd w:val="clear" w:color="auto" w:fill="DBE4F0"/>
          </w:tcPr>
          <w:p>
            <w:pPr>
              <w:pStyle w:val="TableParagraph"/>
              <w:ind w:left="45" w:right="44"/>
              <w:jc w:val="center"/>
              <w:rPr>
                <w:sz w:val="22"/>
              </w:rPr>
            </w:pPr>
            <w:r>
              <w:rPr>
                <w:sz w:val="22"/>
              </w:rPr>
              <w:t>11/07/2009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spacing w:before="29"/>
              <w:rPr>
                <w:sz w:val="22"/>
              </w:rPr>
            </w:pPr>
            <w:r>
              <w:rPr>
                <w:sz w:val="22"/>
              </w:rPr>
              <w:t>23</w:t>
            </w:r>
          </w:p>
        </w:tc>
        <w:tc>
          <w:tcPr>
            <w:tcW w:w="1202" w:type="dxa"/>
            <w:shd w:val="clear" w:color="auto" w:fill="DBE4F0"/>
          </w:tcPr>
          <w:p>
            <w:pPr>
              <w:pStyle w:val="TableParagraph"/>
              <w:spacing w:before="29"/>
              <w:ind w:left="45" w:right="44"/>
              <w:jc w:val="center"/>
              <w:rPr>
                <w:sz w:val="22"/>
              </w:rPr>
            </w:pPr>
            <w:r>
              <w:rPr>
                <w:sz w:val="22"/>
              </w:rPr>
              <w:t>12/07/2009</w:t>
            </w:r>
          </w:p>
        </w:tc>
        <w:tc>
          <w:tcPr>
            <w:tcW w:w="1301" w:type="dxa"/>
            <w:shd w:val="clear" w:color="auto" w:fill="DBE4F0"/>
          </w:tcPr>
          <w:p>
            <w:pPr>
              <w:pStyle w:val="TableParagraph"/>
              <w:spacing w:before="29"/>
              <w:ind w:right="63"/>
              <w:rPr>
                <w:sz w:val="22"/>
              </w:rPr>
            </w:pPr>
            <w:r>
              <w:rPr>
                <w:sz w:val="22"/>
              </w:rPr>
              <w:t>102</w:t>
            </w:r>
          </w:p>
        </w:tc>
        <w:tc>
          <w:tcPr>
            <w:tcW w:w="1200" w:type="dxa"/>
            <w:shd w:val="clear" w:color="auto" w:fill="DBE4F0"/>
          </w:tcPr>
          <w:p>
            <w:pPr>
              <w:pStyle w:val="TableParagraph"/>
              <w:spacing w:before="29"/>
              <w:rPr>
                <w:sz w:val="22"/>
              </w:rPr>
            </w:pPr>
            <w:r>
              <w:rPr>
                <w:sz w:val="22"/>
              </w:rPr>
              <w:t>406.80</w:t>
            </w:r>
          </w:p>
        </w:tc>
        <w:tc>
          <w:tcPr>
            <w:tcW w:w="1200" w:type="dxa"/>
            <w:shd w:val="clear" w:color="auto" w:fill="DBE4F0"/>
          </w:tcPr>
          <w:p>
            <w:pPr>
              <w:pStyle w:val="TableParagraph"/>
              <w:spacing w:before="29"/>
              <w:rPr>
                <w:sz w:val="22"/>
              </w:rPr>
            </w:pPr>
            <w:r>
              <w:rPr>
                <w:sz w:val="22"/>
              </w:rPr>
              <w:t>41.49</w:t>
            </w:r>
          </w:p>
        </w:tc>
        <w:tc>
          <w:tcPr>
            <w:tcW w:w="1200" w:type="dxa"/>
            <w:shd w:val="clear" w:color="auto" w:fill="DBE4F0"/>
          </w:tcPr>
          <w:p>
            <w:pPr>
              <w:pStyle w:val="TableParagraph"/>
              <w:spacing w:before="29"/>
              <w:rPr>
                <w:sz w:val="22"/>
              </w:rPr>
            </w:pPr>
            <w:r>
              <w:rPr>
                <w:sz w:val="22"/>
              </w:rPr>
              <w:t>6.61</w:t>
            </w:r>
          </w:p>
        </w:tc>
        <w:tc>
          <w:tcPr>
            <w:tcW w:w="1199" w:type="dxa"/>
            <w:shd w:val="clear" w:color="auto" w:fill="DBE4F0"/>
          </w:tcPr>
          <w:p>
            <w:pPr>
              <w:pStyle w:val="TableParagraph"/>
              <w:spacing w:before="29"/>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24</w:t>
            </w:r>
          </w:p>
        </w:tc>
        <w:tc>
          <w:tcPr>
            <w:tcW w:w="1202" w:type="dxa"/>
            <w:shd w:val="clear" w:color="auto" w:fill="DBE4F0"/>
          </w:tcPr>
          <w:p>
            <w:pPr>
              <w:pStyle w:val="TableParagraph"/>
              <w:ind w:left="45" w:right="44"/>
              <w:jc w:val="center"/>
              <w:rPr>
                <w:sz w:val="22"/>
              </w:rPr>
            </w:pPr>
            <w:r>
              <w:rPr>
                <w:sz w:val="22"/>
              </w:rPr>
              <w:t>13/07/2009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406.80</w:t>
            </w:r>
          </w:p>
        </w:tc>
        <w:tc>
          <w:tcPr>
            <w:tcW w:w="1200" w:type="dxa"/>
            <w:shd w:val="clear" w:color="auto" w:fill="DBE4F0"/>
          </w:tcPr>
          <w:p>
            <w:pPr>
              <w:pStyle w:val="TableParagraph"/>
              <w:rPr>
                <w:sz w:val="22"/>
              </w:rPr>
            </w:pPr>
            <w:r>
              <w:rPr>
                <w:sz w:val="22"/>
              </w:rPr>
              <w:t>41.49</w:t>
            </w:r>
          </w:p>
        </w:tc>
        <w:tc>
          <w:tcPr>
            <w:tcW w:w="1200" w:type="dxa"/>
            <w:shd w:val="clear" w:color="auto" w:fill="DBE4F0"/>
          </w:tcPr>
          <w:p>
            <w:pPr>
              <w:pStyle w:val="TableParagraph"/>
              <w:rPr>
                <w:sz w:val="22"/>
              </w:rPr>
            </w:pPr>
            <w:r>
              <w:rPr>
                <w:sz w:val="22"/>
              </w:rPr>
              <w:t>6.61</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25</w:t>
            </w:r>
          </w:p>
        </w:tc>
        <w:tc>
          <w:tcPr>
            <w:tcW w:w="1202" w:type="dxa"/>
            <w:shd w:val="clear" w:color="auto" w:fill="DBE4F0"/>
          </w:tcPr>
          <w:p>
            <w:pPr>
              <w:pStyle w:val="TableParagraph"/>
              <w:ind w:left="45" w:right="44"/>
              <w:jc w:val="center"/>
              <w:rPr>
                <w:sz w:val="22"/>
              </w:rPr>
            </w:pPr>
            <w:r>
              <w:rPr>
                <w:sz w:val="22"/>
              </w:rPr>
              <w:t>14/07/2009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560.04</w:t>
            </w:r>
          </w:p>
        </w:tc>
        <w:tc>
          <w:tcPr>
            <w:tcW w:w="1200" w:type="dxa"/>
            <w:shd w:val="clear" w:color="auto" w:fill="DBE4F0"/>
          </w:tcPr>
          <w:p>
            <w:pPr>
              <w:pStyle w:val="TableParagraph"/>
              <w:rPr>
                <w:sz w:val="22"/>
              </w:rPr>
            </w:pPr>
            <w:r>
              <w:rPr>
                <w:sz w:val="22"/>
              </w:rPr>
              <w:t>57.12</w:t>
            </w:r>
          </w:p>
        </w:tc>
        <w:tc>
          <w:tcPr>
            <w:tcW w:w="1200" w:type="dxa"/>
            <w:shd w:val="clear" w:color="auto" w:fill="DBE4F0"/>
          </w:tcPr>
          <w:p>
            <w:pPr>
              <w:pStyle w:val="TableParagraph"/>
              <w:rPr>
                <w:sz w:val="22"/>
              </w:rPr>
            </w:pPr>
            <w:r>
              <w:rPr>
                <w:sz w:val="22"/>
              </w:rPr>
              <w:t>9.10</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26</w:t>
            </w:r>
          </w:p>
        </w:tc>
        <w:tc>
          <w:tcPr>
            <w:tcW w:w="1202" w:type="dxa"/>
            <w:shd w:val="clear" w:color="auto" w:fill="DBE4F0"/>
          </w:tcPr>
          <w:p>
            <w:pPr>
              <w:pStyle w:val="TableParagraph"/>
              <w:ind w:left="45" w:right="44"/>
              <w:jc w:val="center"/>
              <w:rPr>
                <w:sz w:val="22"/>
              </w:rPr>
            </w:pPr>
            <w:r>
              <w:rPr>
                <w:sz w:val="22"/>
              </w:rPr>
              <w:t>15/07/2009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27</w:t>
            </w:r>
          </w:p>
        </w:tc>
        <w:tc>
          <w:tcPr>
            <w:tcW w:w="1202" w:type="dxa"/>
            <w:shd w:val="clear" w:color="auto" w:fill="DBE4F0"/>
          </w:tcPr>
          <w:p>
            <w:pPr>
              <w:pStyle w:val="TableParagraph"/>
              <w:ind w:left="45" w:right="44"/>
              <w:jc w:val="center"/>
              <w:rPr>
                <w:sz w:val="22"/>
              </w:rPr>
            </w:pPr>
            <w:r>
              <w:rPr>
                <w:sz w:val="22"/>
              </w:rPr>
              <w:t>16/07/2009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rPr>
                <w:sz w:val="22"/>
              </w:rPr>
            </w:pPr>
            <w:r>
              <w:rPr>
                <w:sz w:val="22"/>
              </w:rPr>
              <w:t>28</w:t>
            </w:r>
          </w:p>
        </w:tc>
        <w:tc>
          <w:tcPr>
            <w:tcW w:w="1202" w:type="dxa"/>
            <w:shd w:val="clear" w:color="auto" w:fill="DBE4F0"/>
          </w:tcPr>
          <w:p>
            <w:pPr>
              <w:pStyle w:val="TableParagraph"/>
              <w:ind w:left="45" w:right="44"/>
              <w:jc w:val="center"/>
              <w:rPr>
                <w:sz w:val="22"/>
              </w:rPr>
            </w:pPr>
            <w:r>
              <w:rPr>
                <w:sz w:val="22"/>
              </w:rPr>
              <w:t>17/07/2009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spacing w:before="29"/>
              <w:rPr>
                <w:sz w:val="22"/>
              </w:rPr>
            </w:pPr>
            <w:r>
              <w:rPr>
                <w:sz w:val="22"/>
              </w:rPr>
              <w:t>29</w:t>
            </w:r>
          </w:p>
        </w:tc>
        <w:tc>
          <w:tcPr>
            <w:tcW w:w="1202" w:type="dxa"/>
            <w:shd w:val="clear" w:color="auto" w:fill="DBE4F0"/>
          </w:tcPr>
          <w:p>
            <w:pPr>
              <w:pStyle w:val="TableParagraph"/>
              <w:spacing w:before="29"/>
              <w:ind w:left="45" w:right="44"/>
              <w:jc w:val="center"/>
              <w:rPr>
                <w:sz w:val="22"/>
              </w:rPr>
            </w:pPr>
            <w:r>
              <w:rPr>
                <w:sz w:val="22"/>
              </w:rPr>
              <w:t>18/07/2009</w:t>
            </w:r>
          </w:p>
        </w:tc>
        <w:tc>
          <w:tcPr>
            <w:tcW w:w="1301" w:type="dxa"/>
            <w:shd w:val="clear" w:color="auto" w:fill="DBE4F0"/>
          </w:tcPr>
          <w:p>
            <w:pPr>
              <w:pStyle w:val="TableParagraph"/>
              <w:spacing w:before="29"/>
              <w:ind w:right="63"/>
              <w:rPr>
                <w:sz w:val="22"/>
              </w:rPr>
            </w:pPr>
            <w:r>
              <w:rPr>
                <w:sz w:val="22"/>
              </w:rPr>
              <w:t>102</w:t>
            </w:r>
          </w:p>
        </w:tc>
        <w:tc>
          <w:tcPr>
            <w:tcW w:w="1200" w:type="dxa"/>
            <w:shd w:val="clear" w:color="auto" w:fill="DBE4F0"/>
          </w:tcPr>
          <w:p>
            <w:pPr>
              <w:pStyle w:val="TableParagraph"/>
              <w:spacing w:before="29"/>
              <w:rPr>
                <w:sz w:val="22"/>
              </w:rPr>
            </w:pPr>
            <w:r>
              <w:rPr>
                <w:sz w:val="22"/>
              </w:rPr>
              <w:t>559.76</w:t>
            </w:r>
          </w:p>
        </w:tc>
        <w:tc>
          <w:tcPr>
            <w:tcW w:w="1200" w:type="dxa"/>
            <w:shd w:val="clear" w:color="auto" w:fill="DBE4F0"/>
          </w:tcPr>
          <w:p>
            <w:pPr>
              <w:pStyle w:val="TableParagraph"/>
              <w:spacing w:before="29"/>
              <w:rPr>
                <w:sz w:val="22"/>
              </w:rPr>
            </w:pPr>
            <w:r>
              <w:rPr>
                <w:sz w:val="22"/>
              </w:rPr>
              <w:t>57.10</w:t>
            </w:r>
          </w:p>
        </w:tc>
        <w:tc>
          <w:tcPr>
            <w:tcW w:w="1200" w:type="dxa"/>
            <w:shd w:val="clear" w:color="auto" w:fill="DBE4F0"/>
          </w:tcPr>
          <w:p>
            <w:pPr>
              <w:pStyle w:val="TableParagraph"/>
              <w:spacing w:before="29"/>
              <w:rPr>
                <w:sz w:val="22"/>
              </w:rPr>
            </w:pPr>
            <w:r>
              <w:rPr>
                <w:sz w:val="22"/>
              </w:rPr>
              <w:t>9.09</w:t>
            </w:r>
          </w:p>
        </w:tc>
        <w:tc>
          <w:tcPr>
            <w:tcW w:w="1199" w:type="dxa"/>
            <w:shd w:val="clear" w:color="auto" w:fill="DBE4F0"/>
          </w:tcPr>
          <w:p>
            <w:pPr>
              <w:pStyle w:val="TableParagraph"/>
              <w:spacing w:before="29"/>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30</w:t>
            </w:r>
          </w:p>
        </w:tc>
        <w:tc>
          <w:tcPr>
            <w:tcW w:w="1202" w:type="dxa"/>
            <w:shd w:val="clear" w:color="auto" w:fill="DBE4F0"/>
          </w:tcPr>
          <w:p>
            <w:pPr>
              <w:pStyle w:val="TableParagraph"/>
              <w:ind w:left="45" w:right="44"/>
              <w:jc w:val="center"/>
              <w:rPr>
                <w:sz w:val="22"/>
              </w:rPr>
            </w:pPr>
            <w:r>
              <w:rPr>
                <w:sz w:val="22"/>
              </w:rPr>
              <w:t>19/07/2009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31</w:t>
            </w:r>
          </w:p>
        </w:tc>
        <w:tc>
          <w:tcPr>
            <w:tcW w:w="1202" w:type="dxa"/>
            <w:shd w:val="clear" w:color="auto" w:fill="DBE4F0"/>
          </w:tcPr>
          <w:p>
            <w:pPr>
              <w:pStyle w:val="TableParagraph"/>
              <w:ind w:left="45" w:right="44"/>
              <w:jc w:val="center"/>
              <w:rPr>
                <w:sz w:val="22"/>
              </w:rPr>
            </w:pPr>
            <w:r>
              <w:rPr>
                <w:sz w:val="22"/>
              </w:rPr>
              <w:t>20/07/2009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32</w:t>
            </w:r>
          </w:p>
        </w:tc>
        <w:tc>
          <w:tcPr>
            <w:tcW w:w="1202" w:type="dxa"/>
            <w:shd w:val="clear" w:color="auto" w:fill="DBE4F0"/>
          </w:tcPr>
          <w:p>
            <w:pPr>
              <w:pStyle w:val="TableParagraph"/>
              <w:ind w:left="45" w:right="44"/>
              <w:jc w:val="center"/>
              <w:rPr>
                <w:sz w:val="22"/>
              </w:rPr>
            </w:pPr>
            <w:r>
              <w:rPr>
                <w:sz w:val="22"/>
              </w:rPr>
              <w:t>21/07/2009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33</w:t>
            </w:r>
          </w:p>
        </w:tc>
        <w:tc>
          <w:tcPr>
            <w:tcW w:w="1202" w:type="dxa"/>
            <w:shd w:val="clear" w:color="auto" w:fill="DBE4F0"/>
          </w:tcPr>
          <w:p>
            <w:pPr>
              <w:pStyle w:val="TableParagraph"/>
              <w:ind w:left="45" w:right="44"/>
              <w:jc w:val="center"/>
              <w:rPr>
                <w:sz w:val="22"/>
              </w:rPr>
            </w:pPr>
            <w:r>
              <w:rPr>
                <w:sz w:val="22"/>
              </w:rPr>
              <w:t>22/07/2009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rPr>
                <w:sz w:val="22"/>
              </w:rPr>
            </w:pPr>
            <w:r>
              <w:rPr>
                <w:sz w:val="22"/>
              </w:rPr>
              <w:t>34</w:t>
            </w:r>
          </w:p>
        </w:tc>
        <w:tc>
          <w:tcPr>
            <w:tcW w:w="1202" w:type="dxa"/>
            <w:shd w:val="clear" w:color="auto" w:fill="DBE4F0"/>
          </w:tcPr>
          <w:p>
            <w:pPr>
              <w:pStyle w:val="TableParagraph"/>
              <w:ind w:left="45" w:right="44"/>
              <w:jc w:val="center"/>
              <w:rPr>
                <w:sz w:val="22"/>
              </w:rPr>
            </w:pPr>
            <w:r>
              <w:rPr>
                <w:sz w:val="22"/>
              </w:rPr>
              <w:t>23/07/2009</w:t>
            </w:r>
          </w:p>
        </w:tc>
        <w:tc>
          <w:tcPr>
            <w:tcW w:w="1301" w:type="dxa"/>
            <w:shd w:val="clear" w:color="auto" w:fill="DBE4F0"/>
          </w:tcPr>
          <w:p>
            <w:pPr>
              <w:pStyle w:val="TableParagraph"/>
              <w:ind w:right="63"/>
              <w:rPr>
                <w:sz w:val="22"/>
              </w:rPr>
            </w:pPr>
            <w:r>
              <w:rPr>
                <w:sz w:val="22"/>
              </w:rPr>
              <w:t>102</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57.10</w:t>
            </w:r>
          </w:p>
        </w:tc>
        <w:tc>
          <w:tcPr>
            <w:tcW w:w="1200" w:type="dxa"/>
            <w:shd w:val="clear" w:color="auto" w:fill="DBE4F0"/>
          </w:tcPr>
          <w:p>
            <w:pPr>
              <w:pStyle w:val="TableParagraph"/>
              <w:rPr>
                <w:sz w:val="22"/>
              </w:rPr>
            </w:pPr>
            <w:r>
              <w:rPr>
                <w:sz w:val="22"/>
              </w:rPr>
              <w:t>9.09</w:t>
            </w:r>
          </w:p>
        </w:tc>
        <w:tc>
          <w:tcPr>
            <w:tcW w:w="1199" w:type="dxa"/>
            <w:shd w:val="clear" w:color="auto" w:fill="DBE4F0"/>
          </w:tcPr>
          <w:p>
            <w:pPr>
              <w:pStyle w:val="TableParagraph"/>
              <w:ind w:right="60"/>
              <w:rPr>
                <w:sz w:val="22"/>
              </w:rPr>
            </w:pPr>
            <w:r>
              <w:rPr>
                <w:w w:val="100"/>
                <w:sz w:val="22"/>
              </w:rPr>
              <w:t>0</w:t>
            </w:r>
          </w:p>
        </w:tc>
      </w:tr>
      <w:tr>
        <w:trPr>
          <w:trHeight w:val="311" w:hRule="exact"/>
        </w:trPr>
        <w:tc>
          <w:tcPr>
            <w:tcW w:w="530" w:type="dxa"/>
            <w:shd w:val="clear" w:color="auto" w:fill="DBE4F0"/>
          </w:tcPr>
          <w:p>
            <w:pPr>
              <w:pStyle w:val="TableParagraph"/>
              <w:spacing w:before="29"/>
              <w:rPr>
                <w:sz w:val="22"/>
              </w:rPr>
            </w:pPr>
            <w:r>
              <w:rPr>
                <w:sz w:val="22"/>
              </w:rPr>
              <w:t>35</w:t>
            </w:r>
          </w:p>
        </w:tc>
        <w:tc>
          <w:tcPr>
            <w:tcW w:w="1202" w:type="dxa"/>
            <w:shd w:val="clear" w:color="auto" w:fill="DBE4F0"/>
          </w:tcPr>
          <w:p>
            <w:pPr>
              <w:pStyle w:val="TableParagraph"/>
              <w:spacing w:before="29"/>
              <w:ind w:left="45" w:right="44"/>
              <w:jc w:val="center"/>
              <w:rPr>
                <w:sz w:val="22"/>
              </w:rPr>
            </w:pPr>
            <w:r>
              <w:rPr>
                <w:sz w:val="22"/>
              </w:rPr>
              <w:t>24/07/2009</w:t>
            </w:r>
          </w:p>
        </w:tc>
        <w:tc>
          <w:tcPr>
            <w:tcW w:w="1301" w:type="dxa"/>
            <w:shd w:val="clear" w:color="auto" w:fill="DBE4F0"/>
          </w:tcPr>
          <w:p>
            <w:pPr>
              <w:pStyle w:val="TableParagraph"/>
              <w:spacing w:before="29"/>
              <w:ind w:right="63"/>
              <w:rPr>
                <w:sz w:val="22"/>
              </w:rPr>
            </w:pPr>
            <w:r>
              <w:rPr>
                <w:sz w:val="22"/>
              </w:rPr>
              <w:t>181</w:t>
            </w:r>
          </w:p>
        </w:tc>
        <w:tc>
          <w:tcPr>
            <w:tcW w:w="1200" w:type="dxa"/>
            <w:shd w:val="clear" w:color="auto" w:fill="DBE4F0"/>
          </w:tcPr>
          <w:p>
            <w:pPr>
              <w:pStyle w:val="TableParagraph"/>
              <w:spacing w:before="29"/>
              <w:rPr>
                <w:sz w:val="22"/>
              </w:rPr>
            </w:pPr>
            <w:r>
              <w:rPr>
                <w:sz w:val="22"/>
              </w:rPr>
              <w:t>559.76</w:t>
            </w:r>
          </w:p>
        </w:tc>
        <w:tc>
          <w:tcPr>
            <w:tcW w:w="1200" w:type="dxa"/>
            <w:shd w:val="clear" w:color="auto" w:fill="DBE4F0"/>
          </w:tcPr>
          <w:p>
            <w:pPr>
              <w:pStyle w:val="TableParagraph"/>
              <w:spacing w:before="29"/>
              <w:rPr>
                <w:sz w:val="22"/>
              </w:rPr>
            </w:pPr>
            <w:r>
              <w:rPr>
                <w:sz w:val="22"/>
              </w:rPr>
              <w:t>101.32</w:t>
            </w:r>
          </w:p>
        </w:tc>
        <w:tc>
          <w:tcPr>
            <w:tcW w:w="1200" w:type="dxa"/>
            <w:shd w:val="clear" w:color="auto" w:fill="DBE4F0"/>
          </w:tcPr>
          <w:p>
            <w:pPr>
              <w:pStyle w:val="TableParagraph"/>
              <w:spacing w:before="29"/>
              <w:rPr>
                <w:sz w:val="22"/>
              </w:rPr>
            </w:pPr>
            <w:r>
              <w:rPr>
                <w:sz w:val="22"/>
              </w:rPr>
              <w:t>16.13</w:t>
            </w:r>
          </w:p>
        </w:tc>
        <w:tc>
          <w:tcPr>
            <w:tcW w:w="1199" w:type="dxa"/>
            <w:shd w:val="clear" w:color="auto" w:fill="DBE4F0"/>
          </w:tcPr>
          <w:p>
            <w:pPr>
              <w:pStyle w:val="TableParagraph"/>
              <w:spacing w:before="29"/>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36</w:t>
            </w:r>
          </w:p>
        </w:tc>
        <w:tc>
          <w:tcPr>
            <w:tcW w:w="1202" w:type="dxa"/>
            <w:shd w:val="clear" w:color="auto" w:fill="DBE4F0"/>
          </w:tcPr>
          <w:p>
            <w:pPr>
              <w:pStyle w:val="TableParagraph"/>
              <w:ind w:left="45" w:right="44"/>
              <w:jc w:val="center"/>
              <w:rPr>
                <w:sz w:val="22"/>
              </w:rPr>
            </w:pPr>
            <w:r>
              <w:rPr>
                <w:sz w:val="22"/>
              </w:rPr>
              <w:t>25/07/2009</w:t>
            </w:r>
          </w:p>
        </w:tc>
        <w:tc>
          <w:tcPr>
            <w:tcW w:w="1301" w:type="dxa"/>
            <w:shd w:val="clear" w:color="auto" w:fill="DBE4F0"/>
          </w:tcPr>
          <w:p>
            <w:pPr>
              <w:pStyle w:val="TableParagraph"/>
              <w:ind w:right="63"/>
              <w:rPr>
                <w:sz w:val="22"/>
              </w:rPr>
            </w:pPr>
            <w:r>
              <w:rPr>
                <w:sz w:val="22"/>
              </w:rPr>
              <w:t>181</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101.32</w:t>
            </w:r>
          </w:p>
        </w:tc>
        <w:tc>
          <w:tcPr>
            <w:tcW w:w="1200" w:type="dxa"/>
            <w:shd w:val="clear" w:color="auto" w:fill="DBE4F0"/>
          </w:tcPr>
          <w:p>
            <w:pPr>
              <w:pStyle w:val="TableParagraph"/>
              <w:rPr>
                <w:sz w:val="22"/>
              </w:rPr>
            </w:pPr>
            <w:r>
              <w:rPr>
                <w:sz w:val="22"/>
              </w:rPr>
              <w:t>16.13</w:t>
            </w:r>
          </w:p>
        </w:tc>
        <w:tc>
          <w:tcPr>
            <w:tcW w:w="1199" w:type="dxa"/>
            <w:shd w:val="clear" w:color="auto" w:fill="DBE4F0"/>
          </w:tcPr>
          <w:p>
            <w:pPr>
              <w:pStyle w:val="TableParagraph"/>
              <w:ind w:right="60"/>
              <w:rPr>
                <w:sz w:val="22"/>
              </w:rPr>
            </w:pPr>
            <w:r>
              <w:rPr>
                <w:w w:val="100"/>
                <w:sz w:val="22"/>
              </w:rPr>
              <w:t>0</w:t>
            </w:r>
          </w:p>
        </w:tc>
      </w:tr>
      <w:tr>
        <w:trPr>
          <w:trHeight w:val="310" w:hRule="exact"/>
        </w:trPr>
        <w:tc>
          <w:tcPr>
            <w:tcW w:w="530" w:type="dxa"/>
            <w:shd w:val="clear" w:color="auto" w:fill="DBE4F0"/>
          </w:tcPr>
          <w:p>
            <w:pPr>
              <w:pStyle w:val="TableParagraph"/>
              <w:rPr>
                <w:sz w:val="22"/>
              </w:rPr>
            </w:pPr>
            <w:r>
              <w:rPr>
                <w:sz w:val="22"/>
              </w:rPr>
              <w:t>37</w:t>
            </w:r>
          </w:p>
        </w:tc>
        <w:tc>
          <w:tcPr>
            <w:tcW w:w="1202" w:type="dxa"/>
            <w:shd w:val="clear" w:color="auto" w:fill="DBE4F0"/>
          </w:tcPr>
          <w:p>
            <w:pPr>
              <w:pStyle w:val="TableParagraph"/>
              <w:ind w:left="45" w:right="44"/>
              <w:jc w:val="center"/>
              <w:rPr>
                <w:sz w:val="22"/>
              </w:rPr>
            </w:pPr>
            <w:r>
              <w:rPr>
                <w:sz w:val="22"/>
              </w:rPr>
              <w:t>26/07/2009</w:t>
            </w:r>
          </w:p>
        </w:tc>
        <w:tc>
          <w:tcPr>
            <w:tcW w:w="1301" w:type="dxa"/>
            <w:shd w:val="clear" w:color="auto" w:fill="DBE4F0"/>
          </w:tcPr>
          <w:p>
            <w:pPr>
              <w:pStyle w:val="TableParagraph"/>
              <w:ind w:right="63"/>
              <w:rPr>
                <w:sz w:val="22"/>
              </w:rPr>
            </w:pPr>
            <w:r>
              <w:rPr>
                <w:sz w:val="22"/>
              </w:rPr>
              <w:t>181</w:t>
            </w:r>
          </w:p>
        </w:tc>
        <w:tc>
          <w:tcPr>
            <w:tcW w:w="1200" w:type="dxa"/>
            <w:shd w:val="clear" w:color="auto" w:fill="DBE4F0"/>
          </w:tcPr>
          <w:p>
            <w:pPr>
              <w:pStyle w:val="TableParagraph"/>
              <w:rPr>
                <w:sz w:val="22"/>
              </w:rPr>
            </w:pPr>
            <w:r>
              <w:rPr>
                <w:sz w:val="22"/>
              </w:rPr>
              <w:t>559.76</w:t>
            </w:r>
          </w:p>
        </w:tc>
        <w:tc>
          <w:tcPr>
            <w:tcW w:w="1200" w:type="dxa"/>
            <w:shd w:val="clear" w:color="auto" w:fill="DBE4F0"/>
          </w:tcPr>
          <w:p>
            <w:pPr>
              <w:pStyle w:val="TableParagraph"/>
              <w:rPr>
                <w:sz w:val="22"/>
              </w:rPr>
            </w:pPr>
            <w:r>
              <w:rPr>
                <w:sz w:val="22"/>
              </w:rPr>
              <w:t>101.32</w:t>
            </w:r>
          </w:p>
        </w:tc>
        <w:tc>
          <w:tcPr>
            <w:tcW w:w="1200" w:type="dxa"/>
            <w:shd w:val="clear" w:color="auto" w:fill="DBE4F0"/>
          </w:tcPr>
          <w:p>
            <w:pPr>
              <w:pStyle w:val="TableParagraph"/>
              <w:rPr>
                <w:sz w:val="22"/>
              </w:rPr>
            </w:pPr>
            <w:r>
              <w:rPr>
                <w:sz w:val="22"/>
              </w:rPr>
              <w:t>16.13</w:t>
            </w:r>
          </w:p>
        </w:tc>
        <w:tc>
          <w:tcPr>
            <w:tcW w:w="1199" w:type="dxa"/>
            <w:shd w:val="clear" w:color="auto" w:fill="DBE4F0"/>
          </w:tcPr>
          <w:p>
            <w:pPr>
              <w:pStyle w:val="TableParagraph"/>
              <w:ind w:right="60"/>
              <w:rPr>
                <w:sz w:val="22"/>
              </w:rPr>
            </w:pPr>
            <w:r>
              <w:rPr>
                <w:w w:val="100"/>
                <w:sz w:val="22"/>
              </w:rPr>
              <w:t>0</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1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0"/>
        <w:gridCol w:w="1202"/>
        <w:gridCol w:w="1301"/>
        <w:gridCol w:w="1200"/>
        <w:gridCol w:w="1200"/>
        <w:gridCol w:w="1200"/>
        <w:gridCol w:w="1200"/>
      </w:tblGrid>
      <w:tr>
        <w:trPr>
          <w:trHeight w:val="655" w:hRule="exact"/>
        </w:trPr>
        <w:tc>
          <w:tcPr>
            <w:tcW w:w="530" w:type="dxa"/>
            <w:shd w:val="clear" w:color="auto" w:fill="D99795"/>
          </w:tcPr>
          <w:p>
            <w:pPr>
              <w:pStyle w:val="TableParagraph"/>
              <w:spacing w:before="186"/>
              <w:ind w:right="63"/>
              <w:rPr>
                <w:b/>
                <w:sz w:val="22"/>
              </w:rPr>
            </w:pPr>
            <w:r>
              <w:rPr>
                <w:b/>
                <w:sz w:val="22"/>
              </w:rPr>
              <w:t>Días</w:t>
            </w:r>
          </w:p>
        </w:tc>
        <w:tc>
          <w:tcPr>
            <w:tcW w:w="1202" w:type="dxa"/>
            <w:shd w:val="clear" w:color="auto" w:fill="D99795"/>
          </w:tcPr>
          <w:p>
            <w:pPr>
              <w:pStyle w:val="TableParagraph"/>
              <w:spacing w:before="186"/>
              <w:ind w:left="44" w:right="44"/>
              <w:jc w:val="center"/>
              <w:rPr>
                <w:b/>
                <w:sz w:val="22"/>
              </w:rPr>
            </w:pPr>
            <w:r>
              <w:rPr>
                <w:b/>
                <w:sz w:val="22"/>
              </w:rPr>
              <w:t>Fecha</w:t>
            </w:r>
          </w:p>
        </w:tc>
        <w:tc>
          <w:tcPr>
            <w:tcW w:w="1301" w:type="dxa"/>
            <w:shd w:val="clear" w:color="auto" w:fill="D99795"/>
          </w:tcPr>
          <w:p>
            <w:pPr>
              <w:pStyle w:val="TableParagraph"/>
              <w:spacing w:before="52"/>
              <w:ind w:left="424" w:right="179" w:hanging="231"/>
              <w:jc w:val="left"/>
              <w:rPr>
                <w:b/>
                <w:sz w:val="22"/>
              </w:rPr>
            </w:pPr>
            <w:r>
              <w:rPr>
                <w:b/>
                <w:sz w:val="22"/>
              </w:rPr>
              <w:t>Población (org)</w:t>
            </w:r>
          </w:p>
        </w:tc>
        <w:tc>
          <w:tcPr>
            <w:tcW w:w="1200" w:type="dxa"/>
            <w:shd w:val="clear" w:color="auto" w:fill="D99795"/>
          </w:tcPr>
          <w:p>
            <w:pPr>
              <w:pStyle w:val="TableParagraph"/>
              <w:spacing w:before="186"/>
              <w:ind w:left="232" w:right="87"/>
              <w:jc w:val="left"/>
              <w:rPr>
                <w:b/>
                <w:sz w:val="22"/>
              </w:rPr>
            </w:pPr>
            <w:r>
              <w:rPr>
                <w:b/>
                <w:sz w:val="22"/>
              </w:rPr>
              <w:t>Peso (g)</w:t>
            </w:r>
          </w:p>
        </w:tc>
        <w:tc>
          <w:tcPr>
            <w:tcW w:w="1200" w:type="dxa"/>
            <w:shd w:val="clear" w:color="auto" w:fill="D99795"/>
          </w:tcPr>
          <w:p>
            <w:pPr>
              <w:pStyle w:val="TableParagraph"/>
              <w:spacing w:before="52"/>
              <w:ind w:left="419" w:right="187" w:hanging="216"/>
              <w:jc w:val="left"/>
              <w:rPr>
                <w:b/>
                <w:sz w:val="22"/>
              </w:rPr>
            </w:pPr>
            <w:r>
              <w:rPr>
                <w:b/>
                <w:sz w:val="22"/>
              </w:rPr>
              <w:t>Biomasa (kg)</w:t>
            </w:r>
          </w:p>
        </w:tc>
        <w:tc>
          <w:tcPr>
            <w:tcW w:w="1200" w:type="dxa"/>
            <w:shd w:val="clear" w:color="auto" w:fill="D99795"/>
          </w:tcPr>
          <w:p>
            <w:pPr>
              <w:pStyle w:val="TableParagraph"/>
              <w:spacing w:line="268" w:lineRule="exact" w:before="47"/>
              <w:ind w:left="249" w:right="149" w:hanging="82"/>
              <w:jc w:val="left"/>
              <w:rPr>
                <w:b/>
                <w:sz w:val="22"/>
              </w:rPr>
            </w:pPr>
            <w:r>
              <w:rPr>
                <w:b/>
                <w:sz w:val="22"/>
              </w:rPr>
              <w:t>Densidad (kg/m</w:t>
            </w:r>
            <w:r>
              <w:rPr>
                <w:b/>
                <w:position w:val="10"/>
                <w:sz w:val="14"/>
              </w:rPr>
              <w:t>3</w:t>
            </w:r>
            <w:r>
              <w:rPr>
                <w:b/>
                <w:sz w:val="22"/>
              </w:rPr>
              <w:t>)</w:t>
            </w:r>
          </w:p>
        </w:tc>
        <w:tc>
          <w:tcPr>
            <w:tcW w:w="1200" w:type="dxa"/>
            <w:shd w:val="clear" w:color="auto" w:fill="D99795"/>
          </w:tcPr>
          <w:p>
            <w:pPr>
              <w:pStyle w:val="TableParagraph"/>
              <w:spacing w:before="52"/>
              <w:ind w:left="376" w:right="64" w:hanging="296"/>
              <w:jc w:val="left"/>
              <w:rPr>
                <w:b/>
                <w:sz w:val="22"/>
              </w:rPr>
            </w:pPr>
            <w:r>
              <w:rPr>
                <w:b/>
                <w:sz w:val="22"/>
              </w:rPr>
              <w:t>Mortalidad (org)</w:t>
            </w:r>
          </w:p>
        </w:tc>
      </w:tr>
      <w:tr>
        <w:trPr>
          <w:trHeight w:val="310" w:hRule="exact"/>
        </w:trPr>
        <w:tc>
          <w:tcPr>
            <w:tcW w:w="530" w:type="dxa"/>
          </w:tcPr>
          <w:p>
            <w:pPr>
              <w:pStyle w:val="TableParagraph"/>
              <w:rPr>
                <w:sz w:val="22"/>
              </w:rPr>
            </w:pPr>
            <w:r>
              <w:rPr>
                <w:sz w:val="22"/>
              </w:rPr>
              <w:t>38</w:t>
            </w:r>
          </w:p>
        </w:tc>
        <w:tc>
          <w:tcPr>
            <w:tcW w:w="1202" w:type="dxa"/>
          </w:tcPr>
          <w:p>
            <w:pPr>
              <w:pStyle w:val="TableParagraph"/>
              <w:ind w:left="45" w:right="44"/>
              <w:jc w:val="center"/>
              <w:rPr>
                <w:sz w:val="22"/>
              </w:rPr>
            </w:pPr>
            <w:r>
              <w:rPr>
                <w:sz w:val="22"/>
              </w:rPr>
              <w:t>27/07/2009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3</w:t>
            </w:r>
          </w:p>
        </w:tc>
      </w:tr>
      <w:tr>
        <w:trPr>
          <w:trHeight w:val="310" w:hRule="exact"/>
        </w:trPr>
        <w:tc>
          <w:tcPr>
            <w:tcW w:w="530" w:type="dxa"/>
          </w:tcPr>
          <w:p>
            <w:pPr>
              <w:pStyle w:val="TableParagraph"/>
              <w:rPr>
                <w:sz w:val="22"/>
              </w:rPr>
            </w:pPr>
            <w:r>
              <w:rPr>
                <w:sz w:val="22"/>
              </w:rPr>
              <w:t>39</w:t>
            </w:r>
          </w:p>
        </w:tc>
        <w:tc>
          <w:tcPr>
            <w:tcW w:w="1202" w:type="dxa"/>
          </w:tcPr>
          <w:p>
            <w:pPr>
              <w:pStyle w:val="TableParagraph"/>
              <w:ind w:left="45" w:right="44"/>
              <w:jc w:val="center"/>
              <w:rPr>
                <w:sz w:val="22"/>
              </w:rPr>
            </w:pPr>
            <w:r>
              <w:rPr>
                <w:sz w:val="22"/>
              </w:rPr>
              <w:t>28/07/2009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40</w:t>
            </w:r>
          </w:p>
        </w:tc>
        <w:tc>
          <w:tcPr>
            <w:tcW w:w="1202" w:type="dxa"/>
          </w:tcPr>
          <w:p>
            <w:pPr>
              <w:pStyle w:val="TableParagraph"/>
              <w:ind w:left="45" w:right="44"/>
              <w:jc w:val="center"/>
              <w:rPr>
                <w:sz w:val="22"/>
              </w:rPr>
            </w:pPr>
            <w:r>
              <w:rPr>
                <w:sz w:val="22"/>
              </w:rPr>
              <w:t>29/07/2009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rPr>
                <w:sz w:val="22"/>
              </w:rPr>
            </w:pPr>
            <w:r>
              <w:rPr>
                <w:sz w:val="22"/>
              </w:rPr>
              <w:t>41</w:t>
            </w:r>
          </w:p>
        </w:tc>
        <w:tc>
          <w:tcPr>
            <w:tcW w:w="1202" w:type="dxa"/>
          </w:tcPr>
          <w:p>
            <w:pPr>
              <w:pStyle w:val="TableParagraph"/>
              <w:spacing w:before="30"/>
              <w:ind w:left="45" w:right="44"/>
              <w:jc w:val="center"/>
              <w:rPr>
                <w:sz w:val="22"/>
              </w:rPr>
            </w:pPr>
            <w:r>
              <w:rPr>
                <w:sz w:val="22"/>
              </w:rPr>
              <w:t>30/07/2009</w:t>
            </w:r>
          </w:p>
        </w:tc>
        <w:tc>
          <w:tcPr>
            <w:tcW w:w="1301" w:type="dxa"/>
          </w:tcPr>
          <w:p>
            <w:pPr>
              <w:pStyle w:val="TableParagraph"/>
              <w:spacing w:before="30"/>
              <w:ind w:right="63"/>
              <w:rPr>
                <w:sz w:val="22"/>
              </w:rPr>
            </w:pPr>
            <w:r>
              <w:rPr>
                <w:sz w:val="22"/>
              </w:rPr>
              <w:t>178</w:t>
            </w:r>
          </w:p>
        </w:tc>
        <w:tc>
          <w:tcPr>
            <w:tcW w:w="1200" w:type="dxa"/>
          </w:tcPr>
          <w:p>
            <w:pPr>
              <w:pStyle w:val="TableParagraph"/>
              <w:spacing w:before="30"/>
              <w:rPr>
                <w:sz w:val="22"/>
              </w:rPr>
            </w:pPr>
            <w:r>
              <w:rPr>
                <w:sz w:val="22"/>
              </w:rPr>
              <w:t>559.76</w:t>
            </w:r>
          </w:p>
        </w:tc>
        <w:tc>
          <w:tcPr>
            <w:tcW w:w="1200" w:type="dxa"/>
          </w:tcPr>
          <w:p>
            <w:pPr>
              <w:pStyle w:val="TableParagraph"/>
              <w:spacing w:before="30"/>
              <w:rPr>
                <w:sz w:val="22"/>
              </w:rPr>
            </w:pPr>
            <w:r>
              <w:rPr>
                <w:sz w:val="22"/>
              </w:rPr>
              <w:t>99.64</w:t>
            </w:r>
          </w:p>
        </w:tc>
        <w:tc>
          <w:tcPr>
            <w:tcW w:w="1200" w:type="dxa"/>
          </w:tcPr>
          <w:p>
            <w:pPr>
              <w:pStyle w:val="TableParagraph"/>
              <w:spacing w:before="30"/>
              <w:rPr>
                <w:sz w:val="22"/>
              </w:rPr>
            </w:pPr>
            <w:r>
              <w:rPr>
                <w:sz w:val="22"/>
              </w:rPr>
              <w:t>15.87</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rPr>
                <w:sz w:val="22"/>
              </w:rPr>
            </w:pPr>
            <w:r>
              <w:rPr>
                <w:sz w:val="22"/>
              </w:rPr>
              <w:t>42</w:t>
            </w:r>
          </w:p>
        </w:tc>
        <w:tc>
          <w:tcPr>
            <w:tcW w:w="1202" w:type="dxa"/>
          </w:tcPr>
          <w:p>
            <w:pPr>
              <w:pStyle w:val="TableParagraph"/>
              <w:ind w:left="45" w:right="44"/>
              <w:jc w:val="center"/>
              <w:rPr>
                <w:sz w:val="22"/>
              </w:rPr>
            </w:pPr>
            <w:r>
              <w:rPr>
                <w:sz w:val="22"/>
              </w:rPr>
              <w:t>31/07/2009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43</w:t>
            </w:r>
          </w:p>
        </w:tc>
        <w:tc>
          <w:tcPr>
            <w:tcW w:w="1202" w:type="dxa"/>
          </w:tcPr>
          <w:p>
            <w:pPr>
              <w:pStyle w:val="TableParagraph"/>
              <w:ind w:left="45" w:right="44"/>
              <w:jc w:val="center"/>
              <w:rPr>
                <w:sz w:val="22"/>
              </w:rPr>
            </w:pPr>
            <w:r>
              <w:rPr>
                <w:sz w:val="22"/>
              </w:rPr>
              <w:t>01/08/2009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44</w:t>
            </w:r>
          </w:p>
        </w:tc>
        <w:tc>
          <w:tcPr>
            <w:tcW w:w="1202" w:type="dxa"/>
          </w:tcPr>
          <w:p>
            <w:pPr>
              <w:pStyle w:val="TableParagraph"/>
              <w:ind w:left="45" w:right="44"/>
              <w:jc w:val="center"/>
              <w:rPr>
                <w:sz w:val="22"/>
              </w:rPr>
            </w:pPr>
            <w:r>
              <w:rPr>
                <w:sz w:val="22"/>
              </w:rPr>
              <w:t>02/08/2009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45</w:t>
            </w:r>
          </w:p>
        </w:tc>
        <w:tc>
          <w:tcPr>
            <w:tcW w:w="1202" w:type="dxa"/>
          </w:tcPr>
          <w:p>
            <w:pPr>
              <w:pStyle w:val="TableParagraph"/>
              <w:ind w:left="45" w:right="44"/>
              <w:jc w:val="center"/>
              <w:rPr>
                <w:sz w:val="22"/>
              </w:rPr>
            </w:pPr>
            <w:r>
              <w:rPr>
                <w:sz w:val="22"/>
              </w:rPr>
              <w:t>03/08/2009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46</w:t>
            </w:r>
          </w:p>
        </w:tc>
        <w:tc>
          <w:tcPr>
            <w:tcW w:w="1202" w:type="dxa"/>
          </w:tcPr>
          <w:p>
            <w:pPr>
              <w:pStyle w:val="TableParagraph"/>
              <w:ind w:left="45" w:right="44"/>
              <w:jc w:val="center"/>
              <w:rPr>
                <w:sz w:val="22"/>
              </w:rPr>
            </w:pPr>
            <w:r>
              <w:rPr>
                <w:sz w:val="22"/>
              </w:rPr>
              <w:t>04/08/2009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rPr>
                <w:sz w:val="22"/>
              </w:rPr>
            </w:pPr>
            <w:r>
              <w:rPr>
                <w:sz w:val="22"/>
              </w:rPr>
              <w:t>47</w:t>
            </w:r>
          </w:p>
        </w:tc>
        <w:tc>
          <w:tcPr>
            <w:tcW w:w="1202" w:type="dxa"/>
          </w:tcPr>
          <w:p>
            <w:pPr>
              <w:pStyle w:val="TableParagraph"/>
              <w:spacing w:before="30"/>
              <w:ind w:left="45" w:right="44"/>
              <w:jc w:val="center"/>
              <w:rPr>
                <w:sz w:val="22"/>
              </w:rPr>
            </w:pPr>
            <w:r>
              <w:rPr>
                <w:sz w:val="22"/>
              </w:rPr>
              <w:t>05/08/2009</w:t>
            </w:r>
          </w:p>
        </w:tc>
        <w:tc>
          <w:tcPr>
            <w:tcW w:w="1301" w:type="dxa"/>
          </w:tcPr>
          <w:p>
            <w:pPr>
              <w:pStyle w:val="TableParagraph"/>
              <w:spacing w:before="30"/>
              <w:ind w:right="63"/>
              <w:rPr>
                <w:sz w:val="22"/>
              </w:rPr>
            </w:pPr>
            <w:r>
              <w:rPr>
                <w:sz w:val="22"/>
              </w:rPr>
              <w:t>178</w:t>
            </w:r>
          </w:p>
        </w:tc>
        <w:tc>
          <w:tcPr>
            <w:tcW w:w="1200" w:type="dxa"/>
          </w:tcPr>
          <w:p>
            <w:pPr>
              <w:pStyle w:val="TableParagraph"/>
              <w:spacing w:before="30"/>
              <w:rPr>
                <w:sz w:val="22"/>
              </w:rPr>
            </w:pPr>
            <w:r>
              <w:rPr>
                <w:sz w:val="22"/>
              </w:rPr>
              <w:t>559.76</w:t>
            </w:r>
          </w:p>
        </w:tc>
        <w:tc>
          <w:tcPr>
            <w:tcW w:w="1200" w:type="dxa"/>
          </w:tcPr>
          <w:p>
            <w:pPr>
              <w:pStyle w:val="TableParagraph"/>
              <w:spacing w:before="30"/>
              <w:rPr>
                <w:sz w:val="22"/>
              </w:rPr>
            </w:pPr>
            <w:r>
              <w:rPr>
                <w:sz w:val="22"/>
              </w:rPr>
              <w:t>99.64</w:t>
            </w:r>
          </w:p>
        </w:tc>
        <w:tc>
          <w:tcPr>
            <w:tcW w:w="1200" w:type="dxa"/>
          </w:tcPr>
          <w:p>
            <w:pPr>
              <w:pStyle w:val="TableParagraph"/>
              <w:spacing w:before="30"/>
              <w:rPr>
                <w:sz w:val="22"/>
              </w:rPr>
            </w:pPr>
            <w:r>
              <w:rPr>
                <w:sz w:val="22"/>
              </w:rPr>
              <w:t>15.87</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rPr>
                <w:sz w:val="22"/>
              </w:rPr>
            </w:pPr>
            <w:r>
              <w:rPr>
                <w:sz w:val="22"/>
              </w:rPr>
              <w:t>48</w:t>
            </w:r>
          </w:p>
        </w:tc>
        <w:tc>
          <w:tcPr>
            <w:tcW w:w="1202" w:type="dxa"/>
          </w:tcPr>
          <w:p>
            <w:pPr>
              <w:pStyle w:val="TableParagraph"/>
              <w:ind w:left="45" w:right="44"/>
              <w:jc w:val="center"/>
              <w:rPr>
                <w:sz w:val="22"/>
              </w:rPr>
            </w:pPr>
            <w:r>
              <w:rPr>
                <w:sz w:val="22"/>
              </w:rPr>
              <w:t>06/08/2009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49</w:t>
            </w:r>
          </w:p>
        </w:tc>
        <w:tc>
          <w:tcPr>
            <w:tcW w:w="1202" w:type="dxa"/>
          </w:tcPr>
          <w:p>
            <w:pPr>
              <w:pStyle w:val="TableParagraph"/>
              <w:ind w:left="45" w:right="44"/>
              <w:jc w:val="center"/>
              <w:rPr>
                <w:sz w:val="22"/>
              </w:rPr>
            </w:pPr>
            <w:r>
              <w:rPr>
                <w:sz w:val="22"/>
              </w:rPr>
              <w:t>07/08/2009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50</w:t>
            </w:r>
          </w:p>
        </w:tc>
        <w:tc>
          <w:tcPr>
            <w:tcW w:w="1202" w:type="dxa"/>
          </w:tcPr>
          <w:p>
            <w:pPr>
              <w:pStyle w:val="TableParagraph"/>
              <w:ind w:left="45" w:right="44"/>
              <w:jc w:val="center"/>
              <w:rPr>
                <w:sz w:val="22"/>
              </w:rPr>
            </w:pPr>
            <w:r>
              <w:rPr>
                <w:sz w:val="22"/>
              </w:rPr>
              <w:t>08/08/2009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559.76</w:t>
            </w:r>
          </w:p>
        </w:tc>
        <w:tc>
          <w:tcPr>
            <w:tcW w:w="1200" w:type="dxa"/>
          </w:tcPr>
          <w:p>
            <w:pPr>
              <w:pStyle w:val="TableParagraph"/>
              <w:rPr>
                <w:sz w:val="22"/>
              </w:rPr>
            </w:pPr>
            <w:r>
              <w:rPr>
                <w:sz w:val="22"/>
              </w:rPr>
              <w:t>99.64</w:t>
            </w:r>
          </w:p>
        </w:tc>
        <w:tc>
          <w:tcPr>
            <w:tcW w:w="1200" w:type="dxa"/>
          </w:tcPr>
          <w:p>
            <w:pPr>
              <w:pStyle w:val="TableParagraph"/>
              <w:rPr>
                <w:sz w:val="22"/>
              </w:rPr>
            </w:pPr>
            <w:r>
              <w:rPr>
                <w:sz w:val="22"/>
              </w:rPr>
              <w:t>15.87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51</w:t>
            </w:r>
          </w:p>
        </w:tc>
        <w:tc>
          <w:tcPr>
            <w:tcW w:w="1202" w:type="dxa"/>
          </w:tcPr>
          <w:p>
            <w:pPr>
              <w:pStyle w:val="TableParagraph"/>
              <w:ind w:left="45" w:right="44"/>
              <w:jc w:val="center"/>
              <w:rPr>
                <w:sz w:val="22"/>
              </w:rPr>
            </w:pPr>
            <w:r>
              <w:rPr>
                <w:sz w:val="22"/>
              </w:rPr>
              <w:t>09/08/2009</w:t>
            </w:r>
          </w:p>
        </w:tc>
        <w:tc>
          <w:tcPr>
            <w:tcW w:w="1301" w:type="dxa"/>
          </w:tcPr>
          <w:p>
            <w:pPr>
              <w:pStyle w:val="TableParagraph"/>
              <w:ind w:right="63"/>
              <w:rPr>
                <w:sz w:val="22"/>
              </w:rPr>
            </w:pPr>
            <w:r>
              <w:rPr>
                <w:sz w:val="22"/>
              </w:rPr>
              <w:t>178</w:t>
            </w:r>
          </w:p>
        </w:tc>
        <w:tc>
          <w:tcPr>
            <w:tcW w:w="1200" w:type="dxa"/>
          </w:tcPr>
          <w:p>
            <w:pPr>
              <w:pStyle w:val="TableParagraph"/>
              <w:rPr>
                <w:sz w:val="22"/>
              </w:rPr>
            </w:pPr>
            <w:r>
              <w:rPr>
                <w:sz w:val="22"/>
              </w:rPr>
              <w:t>623.77</w:t>
            </w:r>
          </w:p>
        </w:tc>
        <w:tc>
          <w:tcPr>
            <w:tcW w:w="1200" w:type="dxa"/>
          </w:tcPr>
          <w:p>
            <w:pPr>
              <w:pStyle w:val="TableParagraph"/>
              <w:rPr>
                <w:sz w:val="22"/>
              </w:rPr>
            </w:pPr>
            <w:r>
              <w:rPr>
                <w:sz w:val="22"/>
              </w:rPr>
              <w:t>111.03</w:t>
            </w:r>
          </w:p>
        </w:tc>
        <w:tc>
          <w:tcPr>
            <w:tcW w:w="1200" w:type="dxa"/>
          </w:tcPr>
          <w:p>
            <w:pPr>
              <w:pStyle w:val="TableParagraph"/>
              <w:rPr>
                <w:sz w:val="22"/>
              </w:rPr>
            </w:pPr>
            <w:r>
              <w:rPr>
                <w:sz w:val="22"/>
              </w:rPr>
              <w:t>17.68</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52</w:t>
            </w:r>
          </w:p>
        </w:tc>
        <w:tc>
          <w:tcPr>
            <w:tcW w:w="1202" w:type="dxa"/>
          </w:tcPr>
          <w:p>
            <w:pPr>
              <w:pStyle w:val="TableParagraph"/>
              <w:ind w:left="45" w:right="44"/>
              <w:jc w:val="center"/>
              <w:rPr>
                <w:sz w:val="22"/>
              </w:rPr>
            </w:pPr>
            <w:r>
              <w:rPr>
                <w:sz w:val="22"/>
              </w:rPr>
              <w:t>10/08/2009</w:t>
            </w:r>
          </w:p>
        </w:tc>
        <w:tc>
          <w:tcPr>
            <w:tcW w:w="1301" w:type="dxa"/>
          </w:tcPr>
          <w:p>
            <w:pPr>
              <w:pStyle w:val="TableParagraph"/>
              <w:ind w:right="63"/>
              <w:rPr>
                <w:sz w:val="22"/>
              </w:rPr>
            </w:pPr>
            <w:r>
              <w:rPr>
                <w:sz w:val="22"/>
              </w:rPr>
              <w:t>173</w:t>
            </w:r>
          </w:p>
        </w:tc>
        <w:tc>
          <w:tcPr>
            <w:tcW w:w="1200" w:type="dxa"/>
          </w:tcPr>
          <w:p>
            <w:pPr>
              <w:pStyle w:val="TableParagraph"/>
              <w:rPr>
                <w:sz w:val="22"/>
              </w:rPr>
            </w:pPr>
            <w:r>
              <w:rPr>
                <w:sz w:val="22"/>
              </w:rPr>
              <w:t>623.77</w:t>
            </w:r>
          </w:p>
        </w:tc>
        <w:tc>
          <w:tcPr>
            <w:tcW w:w="1200" w:type="dxa"/>
          </w:tcPr>
          <w:p>
            <w:pPr>
              <w:pStyle w:val="TableParagraph"/>
              <w:rPr>
                <w:sz w:val="22"/>
              </w:rPr>
            </w:pPr>
            <w:r>
              <w:rPr>
                <w:sz w:val="22"/>
              </w:rPr>
              <w:t>107.91</w:t>
            </w:r>
          </w:p>
        </w:tc>
        <w:tc>
          <w:tcPr>
            <w:tcW w:w="1200" w:type="dxa"/>
          </w:tcPr>
          <w:p>
            <w:pPr>
              <w:pStyle w:val="TableParagraph"/>
              <w:rPr>
                <w:sz w:val="22"/>
              </w:rPr>
            </w:pPr>
            <w:r>
              <w:rPr>
                <w:sz w:val="22"/>
              </w:rPr>
              <w:t>17.18</w:t>
            </w:r>
          </w:p>
        </w:tc>
        <w:tc>
          <w:tcPr>
            <w:tcW w:w="1200" w:type="dxa"/>
          </w:tcPr>
          <w:p>
            <w:pPr>
              <w:pStyle w:val="TableParagraph"/>
              <w:rPr>
                <w:sz w:val="22"/>
              </w:rPr>
            </w:pPr>
            <w:r>
              <w:rPr>
                <w:w w:val="100"/>
                <w:sz w:val="22"/>
              </w:rPr>
              <w:t>5</w:t>
            </w:r>
          </w:p>
        </w:tc>
      </w:tr>
      <w:tr>
        <w:trPr>
          <w:trHeight w:val="312" w:hRule="exact"/>
        </w:trPr>
        <w:tc>
          <w:tcPr>
            <w:tcW w:w="530" w:type="dxa"/>
          </w:tcPr>
          <w:p>
            <w:pPr>
              <w:pStyle w:val="TableParagraph"/>
              <w:spacing w:before="30"/>
              <w:rPr>
                <w:sz w:val="22"/>
              </w:rPr>
            </w:pPr>
            <w:r>
              <w:rPr>
                <w:sz w:val="22"/>
              </w:rPr>
              <w:t>53</w:t>
            </w:r>
          </w:p>
        </w:tc>
        <w:tc>
          <w:tcPr>
            <w:tcW w:w="1202" w:type="dxa"/>
          </w:tcPr>
          <w:p>
            <w:pPr>
              <w:pStyle w:val="TableParagraph"/>
              <w:spacing w:before="30"/>
              <w:ind w:left="45" w:right="44"/>
              <w:jc w:val="center"/>
              <w:rPr>
                <w:sz w:val="22"/>
              </w:rPr>
            </w:pPr>
            <w:r>
              <w:rPr>
                <w:sz w:val="22"/>
              </w:rPr>
              <w:t>11/08/2009</w:t>
            </w:r>
          </w:p>
        </w:tc>
        <w:tc>
          <w:tcPr>
            <w:tcW w:w="1301" w:type="dxa"/>
          </w:tcPr>
          <w:p>
            <w:pPr>
              <w:pStyle w:val="TableParagraph"/>
              <w:spacing w:before="30"/>
              <w:ind w:right="63"/>
              <w:rPr>
                <w:sz w:val="22"/>
              </w:rPr>
            </w:pPr>
            <w:r>
              <w:rPr>
                <w:sz w:val="22"/>
              </w:rPr>
              <w:t>173</w:t>
            </w:r>
          </w:p>
        </w:tc>
        <w:tc>
          <w:tcPr>
            <w:tcW w:w="1200" w:type="dxa"/>
          </w:tcPr>
          <w:p>
            <w:pPr>
              <w:pStyle w:val="TableParagraph"/>
              <w:spacing w:before="30"/>
              <w:rPr>
                <w:sz w:val="22"/>
              </w:rPr>
            </w:pPr>
            <w:r>
              <w:rPr>
                <w:sz w:val="22"/>
              </w:rPr>
              <w:t>623.77</w:t>
            </w:r>
          </w:p>
        </w:tc>
        <w:tc>
          <w:tcPr>
            <w:tcW w:w="1200" w:type="dxa"/>
          </w:tcPr>
          <w:p>
            <w:pPr>
              <w:pStyle w:val="TableParagraph"/>
              <w:spacing w:before="30"/>
              <w:rPr>
                <w:sz w:val="22"/>
              </w:rPr>
            </w:pPr>
            <w:r>
              <w:rPr>
                <w:sz w:val="22"/>
              </w:rPr>
              <w:t>107.91</w:t>
            </w:r>
          </w:p>
        </w:tc>
        <w:tc>
          <w:tcPr>
            <w:tcW w:w="1200" w:type="dxa"/>
          </w:tcPr>
          <w:p>
            <w:pPr>
              <w:pStyle w:val="TableParagraph"/>
              <w:spacing w:before="30"/>
              <w:rPr>
                <w:sz w:val="22"/>
              </w:rPr>
            </w:pPr>
            <w:r>
              <w:rPr>
                <w:sz w:val="22"/>
              </w:rPr>
              <w:t>17.18</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rPr>
                <w:sz w:val="22"/>
              </w:rPr>
            </w:pPr>
            <w:r>
              <w:rPr>
                <w:sz w:val="22"/>
              </w:rPr>
              <w:t>54</w:t>
            </w:r>
          </w:p>
        </w:tc>
        <w:tc>
          <w:tcPr>
            <w:tcW w:w="1202" w:type="dxa"/>
          </w:tcPr>
          <w:p>
            <w:pPr>
              <w:pStyle w:val="TableParagraph"/>
              <w:ind w:left="45" w:right="44"/>
              <w:jc w:val="center"/>
              <w:rPr>
                <w:sz w:val="22"/>
              </w:rPr>
            </w:pPr>
            <w:r>
              <w:rPr>
                <w:sz w:val="22"/>
              </w:rPr>
              <w:t>12/08/2009</w:t>
            </w:r>
          </w:p>
        </w:tc>
        <w:tc>
          <w:tcPr>
            <w:tcW w:w="1301" w:type="dxa"/>
          </w:tcPr>
          <w:p>
            <w:pPr>
              <w:pStyle w:val="TableParagraph"/>
              <w:ind w:right="63"/>
              <w:rPr>
                <w:sz w:val="22"/>
              </w:rPr>
            </w:pPr>
            <w:r>
              <w:rPr>
                <w:sz w:val="22"/>
              </w:rPr>
              <w:t>173</w:t>
            </w:r>
          </w:p>
        </w:tc>
        <w:tc>
          <w:tcPr>
            <w:tcW w:w="1200" w:type="dxa"/>
          </w:tcPr>
          <w:p>
            <w:pPr>
              <w:pStyle w:val="TableParagraph"/>
              <w:rPr>
                <w:sz w:val="22"/>
              </w:rPr>
            </w:pPr>
            <w:r>
              <w:rPr>
                <w:sz w:val="22"/>
              </w:rPr>
              <w:t>624.77</w:t>
            </w:r>
          </w:p>
        </w:tc>
        <w:tc>
          <w:tcPr>
            <w:tcW w:w="1200" w:type="dxa"/>
          </w:tcPr>
          <w:p>
            <w:pPr>
              <w:pStyle w:val="TableParagraph"/>
              <w:rPr>
                <w:sz w:val="22"/>
              </w:rPr>
            </w:pPr>
            <w:r>
              <w:rPr>
                <w:sz w:val="22"/>
              </w:rPr>
              <w:t>108.09</w:t>
            </w:r>
          </w:p>
        </w:tc>
        <w:tc>
          <w:tcPr>
            <w:tcW w:w="1200" w:type="dxa"/>
          </w:tcPr>
          <w:p>
            <w:pPr>
              <w:pStyle w:val="TableParagraph"/>
              <w:rPr>
                <w:sz w:val="22"/>
              </w:rPr>
            </w:pPr>
            <w:r>
              <w:rPr>
                <w:sz w:val="22"/>
              </w:rPr>
              <w:t>17.21</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55</w:t>
            </w:r>
          </w:p>
        </w:tc>
        <w:tc>
          <w:tcPr>
            <w:tcW w:w="1202" w:type="dxa"/>
          </w:tcPr>
          <w:p>
            <w:pPr>
              <w:pStyle w:val="TableParagraph"/>
              <w:ind w:left="45" w:right="44"/>
              <w:jc w:val="center"/>
              <w:rPr>
                <w:sz w:val="22"/>
              </w:rPr>
            </w:pPr>
            <w:r>
              <w:rPr>
                <w:sz w:val="22"/>
              </w:rPr>
              <w:t>13/08/2009</w:t>
            </w:r>
          </w:p>
        </w:tc>
        <w:tc>
          <w:tcPr>
            <w:tcW w:w="1301" w:type="dxa"/>
          </w:tcPr>
          <w:p>
            <w:pPr>
              <w:pStyle w:val="TableParagraph"/>
              <w:ind w:right="63"/>
              <w:rPr>
                <w:sz w:val="22"/>
              </w:rPr>
            </w:pPr>
            <w:r>
              <w:rPr>
                <w:sz w:val="22"/>
              </w:rPr>
              <w:t>173</w:t>
            </w:r>
          </w:p>
        </w:tc>
        <w:tc>
          <w:tcPr>
            <w:tcW w:w="1200" w:type="dxa"/>
          </w:tcPr>
          <w:p>
            <w:pPr>
              <w:pStyle w:val="TableParagraph"/>
              <w:rPr>
                <w:sz w:val="22"/>
              </w:rPr>
            </w:pPr>
            <w:r>
              <w:rPr>
                <w:sz w:val="22"/>
              </w:rPr>
              <w:t>625.77</w:t>
            </w:r>
          </w:p>
        </w:tc>
        <w:tc>
          <w:tcPr>
            <w:tcW w:w="1200" w:type="dxa"/>
          </w:tcPr>
          <w:p>
            <w:pPr>
              <w:pStyle w:val="TableParagraph"/>
              <w:rPr>
                <w:sz w:val="22"/>
              </w:rPr>
            </w:pPr>
            <w:r>
              <w:rPr>
                <w:sz w:val="22"/>
              </w:rPr>
              <w:t>108.26</w:t>
            </w:r>
          </w:p>
        </w:tc>
        <w:tc>
          <w:tcPr>
            <w:tcW w:w="1200" w:type="dxa"/>
          </w:tcPr>
          <w:p>
            <w:pPr>
              <w:pStyle w:val="TableParagraph"/>
              <w:rPr>
                <w:sz w:val="22"/>
              </w:rPr>
            </w:pPr>
            <w:r>
              <w:rPr>
                <w:sz w:val="22"/>
              </w:rPr>
              <w:t>17.24</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56</w:t>
            </w:r>
          </w:p>
        </w:tc>
        <w:tc>
          <w:tcPr>
            <w:tcW w:w="1202" w:type="dxa"/>
          </w:tcPr>
          <w:p>
            <w:pPr>
              <w:pStyle w:val="TableParagraph"/>
              <w:ind w:left="45" w:right="44"/>
              <w:jc w:val="center"/>
              <w:rPr>
                <w:sz w:val="22"/>
              </w:rPr>
            </w:pPr>
            <w:r>
              <w:rPr>
                <w:sz w:val="22"/>
              </w:rPr>
              <w:t>14/08/2009</w:t>
            </w:r>
          </w:p>
        </w:tc>
        <w:tc>
          <w:tcPr>
            <w:tcW w:w="1301" w:type="dxa"/>
          </w:tcPr>
          <w:p>
            <w:pPr>
              <w:pStyle w:val="TableParagraph"/>
              <w:ind w:right="63"/>
              <w:rPr>
                <w:sz w:val="22"/>
              </w:rPr>
            </w:pPr>
            <w:r>
              <w:rPr>
                <w:sz w:val="22"/>
              </w:rPr>
              <w:t>173</w:t>
            </w:r>
          </w:p>
        </w:tc>
        <w:tc>
          <w:tcPr>
            <w:tcW w:w="1200" w:type="dxa"/>
          </w:tcPr>
          <w:p>
            <w:pPr>
              <w:pStyle w:val="TableParagraph"/>
              <w:rPr>
                <w:sz w:val="22"/>
              </w:rPr>
            </w:pPr>
            <w:r>
              <w:rPr>
                <w:sz w:val="22"/>
              </w:rPr>
              <w:t>626.77</w:t>
            </w:r>
          </w:p>
        </w:tc>
        <w:tc>
          <w:tcPr>
            <w:tcW w:w="1200" w:type="dxa"/>
          </w:tcPr>
          <w:p>
            <w:pPr>
              <w:pStyle w:val="TableParagraph"/>
              <w:rPr>
                <w:sz w:val="22"/>
              </w:rPr>
            </w:pPr>
            <w:r>
              <w:rPr>
                <w:sz w:val="22"/>
              </w:rPr>
              <w:t>108.43</w:t>
            </w:r>
          </w:p>
        </w:tc>
        <w:tc>
          <w:tcPr>
            <w:tcW w:w="1200" w:type="dxa"/>
          </w:tcPr>
          <w:p>
            <w:pPr>
              <w:pStyle w:val="TableParagraph"/>
              <w:rPr>
                <w:sz w:val="22"/>
              </w:rPr>
            </w:pPr>
            <w:r>
              <w:rPr>
                <w:sz w:val="22"/>
              </w:rPr>
              <w:t>17.27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57</w:t>
            </w:r>
          </w:p>
        </w:tc>
        <w:tc>
          <w:tcPr>
            <w:tcW w:w="1202" w:type="dxa"/>
          </w:tcPr>
          <w:p>
            <w:pPr>
              <w:pStyle w:val="TableParagraph"/>
              <w:ind w:left="45" w:right="44"/>
              <w:jc w:val="center"/>
              <w:rPr>
                <w:sz w:val="22"/>
              </w:rPr>
            </w:pPr>
            <w:r>
              <w:rPr>
                <w:sz w:val="22"/>
              </w:rPr>
              <w:t>15/08/2009</w:t>
            </w:r>
          </w:p>
        </w:tc>
        <w:tc>
          <w:tcPr>
            <w:tcW w:w="1301" w:type="dxa"/>
          </w:tcPr>
          <w:p>
            <w:pPr>
              <w:pStyle w:val="TableParagraph"/>
              <w:ind w:right="63"/>
              <w:rPr>
                <w:sz w:val="22"/>
              </w:rPr>
            </w:pPr>
            <w:r>
              <w:rPr>
                <w:sz w:val="22"/>
              </w:rPr>
              <w:t>173</w:t>
            </w:r>
          </w:p>
        </w:tc>
        <w:tc>
          <w:tcPr>
            <w:tcW w:w="1200" w:type="dxa"/>
          </w:tcPr>
          <w:p>
            <w:pPr>
              <w:pStyle w:val="TableParagraph"/>
              <w:rPr>
                <w:sz w:val="22"/>
              </w:rPr>
            </w:pPr>
            <w:r>
              <w:rPr>
                <w:sz w:val="22"/>
              </w:rPr>
              <w:t>627.77</w:t>
            </w:r>
          </w:p>
        </w:tc>
        <w:tc>
          <w:tcPr>
            <w:tcW w:w="1200" w:type="dxa"/>
          </w:tcPr>
          <w:p>
            <w:pPr>
              <w:pStyle w:val="TableParagraph"/>
              <w:rPr>
                <w:sz w:val="22"/>
              </w:rPr>
            </w:pPr>
            <w:r>
              <w:rPr>
                <w:sz w:val="22"/>
              </w:rPr>
              <w:t>108.60</w:t>
            </w:r>
          </w:p>
        </w:tc>
        <w:tc>
          <w:tcPr>
            <w:tcW w:w="1200" w:type="dxa"/>
          </w:tcPr>
          <w:p>
            <w:pPr>
              <w:pStyle w:val="TableParagraph"/>
              <w:rPr>
                <w:sz w:val="22"/>
              </w:rPr>
            </w:pPr>
            <w:r>
              <w:rPr>
                <w:sz w:val="22"/>
              </w:rPr>
              <w:t>17.29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58</w:t>
            </w:r>
          </w:p>
        </w:tc>
        <w:tc>
          <w:tcPr>
            <w:tcW w:w="1202" w:type="dxa"/>
          </w:tcPr>
          <w:p>
            <w:pPr>
              <w:pStyle w:val="TableParagraph"/>
              <w:ind w:left="45" w:right="44"/>
              <w:jc w:val="center"/>
              <w:rPr>
                <w:sz w:val="22"/>
              </w:rPr>
            </w:pPr>
            <w:r>
              <w:rPr>
                <w:sz w:val="22"/>
              </w:rPr>
              <w:t>16/08/2009</w:t>
            </w:r>
          </w:p>
        </w:tc>
        <w:tc>
          <w:tcPr>
            <w:tcW w:w="1301" w:type="dxa"/>
          </w:tcPr>
          <w:p>
            <w:pPr>
              <w:pStyle w:val="TableParagraph"/>
              <w:ind w:right="63"/>
              <w:rPr>
                <w:sz w:val="22"/>
              </w:rPr>
            </w:pPr>
            <w:r>
              <w:rPr>
                <w:sz w:val="22"/>
              </w:rPr>
              <w:t>168</w:t>
            </w:r>
          </w:p>
        </w:tc>
        <w:tc>
          <w:tcPr>
            <w:tcW w:w="1200" w:type="dxa"/>
          </w:tcPr>
          <w:p>
            <w:pPr>
              <w:pStyle w:val="TableParagraph"/>
              <w:rPr>
                <w:sz w:val="22"/>
              </w:rPr>
            </w:pPr>
            <w:r>
              <w:rPr>
                <w:sz w:val="22"/>
              </w:rPr>
              <w:t>644.32</w:t>
            </w:r>
          </w:p>
        </w:tc>
        <w:tc>
          <w:tcPr>
            <w:tcW w:w="1200" w:type="dxa"/>
          </w:tcPr>
          <w:p>
            <w:pPr>
              <w:pStyle w:val="TableParagraph"/>
              <w:rPr>
                <w:sz w:val="22"/>
              </w:rPr>
            </w:pPr>
            <w:r>
              <w:rPr>
                <w:sz w:val="22"/>
              </w:rPr>
              <w:t>108.25</w:t>
            </w:r>
          </w:p>
        </w:tc>
        <w:tc>
          <w:tcPr>
            <w:tcW w:w="1200" w:type="dxa"/>
          </w:tcPr>
          <w:p>
            <w:pPr>
              <w:pStyle w:val="TableParagraph"/>
              <w:rPr>
                <w:sz w:val="22"/>
              </w:rPr>
            </w:pPr>
            <w:r>
              <w:rPr>
                <w:sz w:val="22"/>
              </w:rPr>
              <w:t>17.24</w:t>
            </w:r>
          </w:p>
        </w:tc>
        <w:tc>
          <w:tcPr>
            <w:tcW w:w="1200" w:type="dxa"/>
          </w:tcPr>
          <w:p>
            <w:pPr>
              <w:pStyle w:val="TableParagraph"/>
              <w:spacing w:before="13"/>
              <w:rPr>
                <w:sz w:val="22"/>
              </w:rPr>
            </w:pPr>
            <w:r>
              <w:rPr>
                <w:sz w:val="22"/>
              </w:rPr>
              <w:t>168</w:t>
            </w:r>
          </w:p>
        </w:tc>
      </w:tr>
      <w:tr>
        <w:trPr>
          <w:trHeight w:val="312" w:hRule="exact"/>
        </w:trPr>
        <w:tc>
          <w:tcPr>
            <w:tcW w:w="530" w:type="dxa"/>
          </w:tcPr>
          <w:p>
            <w:pPr>
              <w:pStyle w:val="TableParagraph"/>
              <w:spacing w:before="30"/>
              <w:rPr>
                <w:sz w:val="22"/>
              </w:rPr>
            </w:pPr>
            <w:r>
              <w:rPr>
                <w:sz w:val="22"/>
              </w:rPr>
              <w:t>87</w:t>
            </w:r>
          </w:p>
        </w:tc>
        <w:tc>
          <w:tcPr>
            <w:tcW w:w="1202" w:type="dxa"/>
          </w:tcPr>
          <w:p>
            <w:pPr>
              <w:pStyle w:val="TableParagraph"/>
              <w:spacing w:before="30"/>
              <w:ind w:left="45" w:right="44"/>
              <w:jc w:val="center"/>
              <w:rPr>
                <w:sz w:val="22"/>
              </w:rPr>
            </w:pPr>
            <w:r>
              <w:rPr>
                <w:sz w:val="22"/>
              </w:rPr>
              <w:t>14/09/2009</w:t>
            </w:r>
          </w:p>
        </w:tc>
        <w:tc>
          <w:tcPr>
            <w:tcW w:w="1301" w:type="dxa"/>
          </w:tcPr>
          <w:p>
            <w:pPr>
              <w:pStyle w:val="TableParagraph"/>
              <w:spacing w:before="30"/>
              <w:ind w:right="63"/>
              <w:rPr>
                <w:sz w:val="22"/>
              </w:rPr>
            </w:pPr>
            <w:r>
              <w:rPr>
                <w:sz w:val="22"/>
              </w:rPr>
              <w:t>441</w:t>
            </w:r>
          </w:p>
        </w:tc>
        <w:tc>
          <w:tcPr>
            <w:tcW w:w="1200" w:type="dxa"/>
          </w:tcPr>
          <w:p>
            <w:pPr>
              <w:pStyle w:val="TableParagraph"/>
              <w:spacing w:before="30"/>
              <w:rPr>
                <w:sz w:val="22"/>
              </w:rPr>
            </w:pPr>
            <w:r>
              <w:rPr>
                <w:sz w:val="22"/>
              </w:rPr>
              <w:t>287.37</w:t>
            </w:r>
          </w:p>
        </w:tc>
        <w:tc>
          <w:tcPr>
            <w:tcW w:w="1200" w:type="dxa"/>
          </w:tcPr>
          <w:p>
            <w:pPr>
              <w:pStyle w:val="TableParagraph"/>
              <w:spacing w:before="30"/>
              <w:rPr>
                <w:sz w:val="22"/>
              </w:rPr>
            </w:pPr>
            <w:r>
              <w:rPr>
                <w:sz w:val="22"/>
              </w:rPr>
              <w:t>126.73</w:t>
            </w:r>
          </w:p>
        </w:tc>
        <w:tc>
          <w:tcPr>
            <w:tcW w:w="1200" w:type="dxa"/>
          </w:tcPr>
          <w:p>
            <w:pPr>
              <w:pStyle w:val="TableParagraph"/>
              <w:spacing w:before="30"/>
              <w:rPr>
                <w:sz w:val="22"/>
              </w:rPr>
            </w:pPr>
            <w:r>
              <w:rPr>
                <w:sz w:val="22"/>
              </w:rPr>
              <w:t>20.18</w:t>
            </w:r>
          </w:p>
        </w:tc>
        <w:tc>
          <w:tcPr>
            <w:tcW w:w="1200" w:type="dxa"/>
          </w:tcPr>
          <w:p>
            <w:pPr>
              <w:pStyle w:val="TableParagraph"/>
              <w:spacing w:before="13"/>
              <w:rPr>
                <w:sz w:val="22"/>
              </w:rPr>
            </w:pPr>
            <w:r>
              <w:rPr>
                <w:sz w:val="22"/>
              </w:rPr>
              <w:t>24</w:t>
            </w:r>
          </w:p>
        </w:tc>
      </w:tr>
      <w:tr>
        <w:trPr>
          <w:trHeight w:val="310" w:hRule="exact"/>
        </w:trPr>
        <w:tc>
          <w:tcPr>
            <w:tcW w:w="530" w:type="dxa"/>
          </w:tcPr>
          <w:p>
            <w:pPr>
              <w:pStyle w:val="TableParagraph"/>
              <w:rPr>
                <w:sz w:val="22"/>
              </w:rPr>
            </w:pPr>
            <w:r>
              <w:rPr>
                <w:sz w:val="22"/>
              </w:rPr>
              <w:t>88</w:t>
            </w:r>
          </w:p>
        </w:tc>
        <w:tc>
          <w:tcPr>
            <w:tcW w:w="1202" w:type="dxa"/>
          </w:tcPr>
          <w:p>
            <w:pPr>
              <w:pStyle w:val="TableParagraph"/>
              <w:ind w:left="45" w:right="44"/>
              <w:jc w:val="center"/>
              <w:rPr>
                <w:sz w:val="22"/>
              </w:rPr>
            </w:pPr>
            <w:r>
              <w:rPr>
                <w:sz w:val="22"/>
              </w:rPr>
              <w:t>15/09/2009</w:t>
            </w:r>
          </w:p>
        </w:tc>
        <w:tc>
          <w:tcPr>
            <w:tcW w:w="1301" w:type="dxa"/>
          </w:tcPr>
          <w:p>
            <w:pPr>
              <w:pStyle w:val="TableParagraph"/>
              <w:ind w:right="63"/>
              <w:rPr>
                <w:sz w:val="22"/>
              </w:rPr>
            </w:pPr>
            <w:r>
              <w:rPr>
                <w:sz w:val="22"/>
              </w:rPr>
              <w:t>417</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119.83</w:t>
            </w:r>
          </w:p>
        </w:tc>
        <w:tc>
          <w:tcPr>
            <w:tcW w:w="1200" w:type="dxa"/>
          </w:tcPr>
          <w:p>
            <w:pPr>
              <w:pStyle w:val="TableParagraph"/>
              <w:rPr>
                <w:sz w:val="22"/>
              </w:rPr>
            </w:pPr>
            <w:r>
              <w:rPr>
                <w:sz w:val="22"/>
              </w:rPr>
              <w:t>19.08</w:t>
            </w:r>
          </w:p>
        </w:tc>
        <w:tc>
          <w:tcPr>
            <w:tcW w:w="1200" w:type="dxa"/>
          </w:tcPr>
          <w:p>
            <w:pPr>
              <w:pStyle w:val="TableParagraph"/>
              <w:rPr>
                <w:sz w:val="22"/>
              </w:rPr>
            </w:pPr>
            <w:r>
              <w:rPr>
                <w:sz w:val="22"/>
              </w:rPr>
              <w:t>24</w:t>
            </w:r>
          </w:p>
        </w:tc>
      </w:tr>
      <w:tr>
        <w:trPr>
          <w:trHeight w:val="310" w:hRule="exact"/>
        </w:trPr>
        <w:tc>
          <w:tcPr>
            <w:tcW w:w="530" w:type="dxa"/>
          </w:tcPr>
          <w:p>
            <w:pPr>
              <w:pStyle w:val="TableParagraph"/>
              <w:rPr>
                <w:sz w:val="22"/>
              </w:rPr>
            </w:pPr>
            <w:r>
              <w:rPr>
                <w:sz w:val="22"/>
              </w:rPr>
              <w:t>89</w:t>
            </w:r>
          </w:p>
        </w:tc>
        <w:tc>
          <w:tcPr>
            <w:tcW w:w="1202" w:type="dxa"/>
          </w:tcPr>
          <w:p>
            <w:pPr>
              <w:pStyle w:val="TableParagraph"/>
              <w:ind w:left="45" w:right="44"/>
              <w:jc w:val="center"/>
              <w:rPr>
                <w:sz w:val="22"/>
              </w:rPr>
            </w:pPr>
            <w:r>
              <w:rPr>
                <w:sz w:val="22"/>
              </w:rPr>
              <w:t>16/09/2009</w:t>
            </w:r>
          </w:p>
        </w:tc>
        <w:tc>
          <w:tcPr>
            <w:tcW w:w="1301" w:type="dxa"/>
          </w:tcPr>
          <w:p>
            <w:pPr>
              <w:pStyle w:val="TableParagraph"/>
              <w:ind w:right="63"/>
              <w:rPr>
                <w:sz w:val="22"/>
              </w:rPr>
            </w:pPr>
            <w:r>
              <w:rPr>
                <w:sz w:val="22"/>
              </w:rPr>
              <w:t>410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117.82</w:t>
            </w:r>
          </w:p>
        </w:tc>
        <w:tc>
          <w:tcPr>
            <w:tcW w:w="1200" w:type="dxa"/>
          </w:tcPr>
          <w:p>
            <w:pPr>
              <w:pStyle w:val="TableParagraph"/>
              <w:rPr>
                <w:sz w:val="22"/>
              </w:rPr>
            </w:pPr>
            <w:r>
              <w:rPr>
                <w:sz w:val="22"/>
              </w:rPr>
              <w:t>18.76</w:t>
            </w:r>
          </w:p>
        </w:tc>
        <w:tc>
          <w:tcPr>
            <w:tcW w:w="1200" w:type="dxa"/>
          </w:tcPr>
          <w:p>
            <w:pPr>
              <w:pStyle w:val="TableParagraph"/>
              <w:rPr>
                <w:sz w:val="22"/>
              </w:rPr>
            </w:pPr>
            <w:r>
              <w:rPr>
                <w:w w:val="100"/>
                <w:sz w:val="22"/>
              </w:rPr>
              <w:t>7</w:t>
            </w:r>
          </w:p>
        </w:tc>
      </w:tr>
      <w:tr>
        <w:trPr>
          <w:trHeight w:val="310" w:hRule="exact"/>
        </w:trPr>
        <w:tc>
          <w:tcPr>
            <w:tcW w:w="530" w:type="dxa"/>
          </w:tcPr>
          <w:p>
            <w:pPr>
              <w:pStyle w:val="TableParagraph"/>
              <w:rPr>
                <w:sz w:val="22"/>
              </w:rPr>
            </w:pPr>
            <w:r>
              <w:rPr>
                <w:sz w:val="22"/>
              </w:rPr>
              <w:t>90</w:t>
            </w:r>
          </w:p>
        </w:tc>
        <w:tc>
          <w:tcPr>
            <w:tcW w:w="1202" w:type="dxa"/>
          </w:tcPr>
          <w:p>
            <w:pPr>
              <w:pStyle w:val="TableParagraph"/>
              <w:ind w:left="45" w:right="44"/>
              <w:jc w:val="center"/>
              <w:rPr>
                <w:sz w:val="22"/>
              </w:rPr>
            </w:pPr>
            <w:r>
              <w:rPr>
                <w:sz w:val="22"/>
              </w:rPr>
              <w:t>17/09/2009</w:t>
            </w:r>
          </w:p>
        </w:tc>
        <w:tc>
          <w:tcPr>
            <w:tcW w:w="1301" w:type="dxa"/>
          </w:tcPr>
          <w:p>
            <w:pPr>
              <w:pStyle w:val="TableParagraph"/>
              <w:ind w:right="63"/>
              <w:rPr>
                <w:sz w:val="22"/>
              </w:rPr>
            </w:pPr>
            <w:r>
              <w:rPr>
                <w:sz w:val="22"/>
              </w:rPr>
              <w:t>402</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115.52</w:t>
            </w:r>
          </w:p>
        </w:tc>
        <w:tc>
          <w:tcPr>
            <w:tcW w:w="1200" w:type="dxa"/>
          </w:tcPr>
          <w:p>
            <w:pPr>
              <w:pStyle w:val="TableParagraph"/>
              <w:rPr>
                <w:sz w:val="22"/>
              </w:rPr>
            </w:pPr>
            <w:r>
              <w:rPr>
                <w:sz w:val="22"/>
              </w:rPr>
              <w:t>18.40</w:t>
            </w:r>
          </w:p>
        </w:tc>
        <w:tc>
          <w:tcPr>
            <w:tcW w:w="1200" w:type="dxa"/>
          </w:tcPr>
          <w:p>
            <w:pPr>
              <w:pStyle w:val="TableParagraph"/>
              <w:rPr>
                <w:sz w:val="22"/>
              </w:rPr>
            </w:pPr>
            <w:r>
              <w:rPr>
                <w:w w:val="100"/>
                <w:sz w:val="22"/>
              </w:rPr>
              <w:t>8</w:t>
            </w:r>
          </w:p>
        </w:tc>
      </w:tr>
      <w:tr>
        <w:trPr>
          <w:trHeight w:val="310" w:hRule="exact"/>
        </w:trPr>
        <w:tc>
          <w:tcPr>
            <w:tcW w:w="530" w:type="dxa"/>
          </w:tcPr>
          <w:p>
            <w:pPr>
              <w:pStyle w:val="TableParagraph"/>
              <w:rPr>
                <w:sz w:val="22"/>
              </w:rPr>
            </w:pPr>
            <w:r>
              <w:rPr>
                <w:sz w:val="22"/>
              </w:rPr>
              <w:t>91</w:t>
            </w:r>
          </w:p>
        </w:tc>
        <w:tc>
          <w:tcPr>
            <w:tcW w:w="1202" w:type="dxa"/>
          </w:tcPr>
          <w:p>
            <w:pPr>
              <w:pStyle w:val="TableParagraph"/>
              <w:ind w:left="45" w:right="44"/>
              <w:jc w:val="center"/>
              <w:rPr>
                <w:sz w:val="22"/>
              </w:rPr>
            </w:pPr>
            <w:r>
              <w:rPr>
                <w:sz w:val="22"/>
              </w:rPr>
              <w:t>18/09/2009</w:t>
            </w:r>
          </w:p>
        </w:tc>
        <w:tc>
          <w:tcPr>
            <w:tcW w:w="1301" w:type="dxa"/>
          </w:tcPr>
          <w:p>
            <w:pPr>
              <w:pStyle w:val="TableParagraph"/>
              <w:ind w:right="63"/>
              <w:rPr>
                <w:sz w:val="22"/>
              </w:rPr>
            </w:pPr>
            <w:r>
              <w:rPr>
                <w:sz w:val="22"/>
              </w:rPr>
              <w:t>396</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113.80</w:t>
            </w:r>
          </w:p>
        </w:tc>
        <w:tc>
          <w:tcPr>
            <w:tcW w:w="1200" w:type="dxa"/>
          </w:tcPr>
          <w:p>
            <w:pPr>
              <w:pStyle w:val="TableParagraph"/>
              <w:rPr>
                <w:sz w:val="22"/>
              </w:rPr>
            </w:pPr>
            <w:r>
              <w:rPr>
                <w:sz w:val="22"/>
              </w:rPr>
              <w:t>18.12</w:t>
            </w:r>
          </w:p>
        </w:tc>
        <w:tc>
          <w:tcPr>
            <w:tcW w:w="1200" w:type="dxa"/>
          </w:tcPr>
          <w:p>
            <w:pPr>
              <w:pStyle w:val="TableParagraph"/>
              <w:rPr>
                <w:sz w:val="22"/>
              </w:rPr>
            </w:pPr>
            <w:r>
              <w:rPr>
                <w:w w:val="100"/>
                <w:sz w:val="22"/>
              </w:rPr>
              <w:t>6</w:t>
            </w:r>
          </w:p>
        </w:tc>
      </w:tr>
      <w:tr>
        <w:trPr>
          <w:trHeight w:val="310" w:hRule="exact"/>
        </w:trPr>
        <w:tc>
          <w:tcPr>
            <w:tcW w:w="530" w:type="dxa"/>
          </w:tcPr>
          <w:p>
            <w:pPr>
              <w:pStyle w:val="TableParagraph"/>
              <w:rPr>
                <w:sz w:val="22"/>
              </w:rPr>
            </w:pPr>
            <w:r>
              <w:rPr>
                <w:sz w:val="22"/>
              </w:rPr>
              <w:t>92</w:t>
            </w:r>
          </w:p>
        </w:tc>
        <w:tc>
          <w:tcPr>
            <w:tcW w:w="1202" w:type="dxa"/>
          </w:tcPr>
          <w:p>
            <w:pPr>
              <w:pStyle w:val="TableParagraph"/>
              <w:ind w:left="45" w:right="44"/>
              <w:jc w:val="center"/>
              <w:rPr>
                <w:sz w:val="22"/>
              </w:rPr>
            </w:pPr>
            <w:r>
              <w:rPr>
                <w:sz w:val="22"/>
              </w:rPr>
              <w:t>19/09/2009</w:t>
            </w:r>
          </w:p>
        </w:tc>
        <w:tc>
          <w:tcPr>
            <w:tcW w:w="1301" w:type="dxa"/>
          </w:tcPr>
          <w:p>
            <w:pPr>
              <w:pStyle w:val="TableParagraph"/>
              <w:ind w:right="63"/>
              <w:rPr>
                <w:sz w:val="22"/>
              </w:rPr>
            </w:pPr>
            <w:r>
              <w:rPr>
                <w:sz w:val="22"/>
              </w:rPr>
              <w:t>394</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113.22</w:t>
            </w:r>
          </w:p>
        </w:tc>
        <w:tc>
          <w:tcPr>
            <w:tcW w:w="1200" w:type="dxa"/>
          </w:tcPr>
          <w:p>
            <w:pPr>
              <w:pStyle w:val="TableParagraph"/>
              <w:rPr>
                <w:sz w:val="22"/>
              </w:rPr>
            </w:pPr>
            <w:r>
              <w:rPr>
                <w:sz w:val="22"/>
              </w:rPr>
              <w:t>18.03</w:t>
            </w:r>
          </w:p>
        </w:tc>
        <w:tc>
          <w:tcPr>
            <w:tcW w:w="1200" w:type="dxa"/>
          </w:tcPr>
          <w:p>
            <w:pPr>
              <w:pStyle w:val="TableParagraph"/>
              <w:rPr>
                <w:sz w:val="22"/>
              </w:rPr>
            </w:pPr>
            <w:r>
              <w:rPr>
                <w:w w:val="100"/>
                <w:sz w:val="22"/>
              </w:rPr>
              <w:t>2</w:t>
            </w:r>
          </w:p>
        </w:tc>
      </w:tr>
      <w:tr>
        <w:trPr>
          <w:trHeight w:val="312" w:hRule="exact"/>
        </w:trPr>
        <w:tc>
          <w:tcPr>
            <w:tcW w:w="530" w:type="dxa"/>
          </w:tcPr>
          <w:p>
            <w:pPr>
              <w:pStyle w:val="TableParagraph"/>
              <w:spacing w:before="30"/>
              <w:rPr>
                <w:sz w:val="22"/>
              </w:rPr>
            </w:pPr>
            <w:r>
              <w:rPr>
                <w:sz w:val="22"/>
              </w:rPr>
              <w:t>93</w:t>
            </w:r>
          </w:p>
        </w:tc>
        <w:tc>
          <w:tcPr>
            <w:tcW w:w="1202" w:type="dxa"/>
          </w:tcPr>
          <w:p>
            <w:pPr>
              <w:pStyle w:val="TableParagraph"/>
              <w:spacing w:before="30"/>
              <w:ind w:left="45" w:right="44"/>
              <w:jc w:val="center"/>
              <w:rPr>
                <w:sz w:val="22"/>
              </w:rPr>
            </w:pPr>
            <w:r>
              <w:rPr>
                <w:sz w:val="22"/>
              </w:rPr>
              <w:t>20/09/2009</w:t>
            </w:r>
          </w:p>
        </w:tc>
        <w:tc>
          <w:tcPr>
            <w:tcW w:w="1301" w:type="dxa"/>
          </w:tcPr>
          <w:p>
            <w:pPr>
              <w:pStyle w:val="TableParagraph"/>
              <w:spacing w:before="30"/>
              <w:ind w:right="63"/>
              <w:rPr>
                <w:sz w:val="22"/>
              </w:rPr>
            </w:pPr>
            <w:r>
              <w:rPr>
                <w:sz w:val="22"/>
              </w:rPr>
              <w:t>393</w:t>
            </w:r>
          </w:p>
        </w:tc>
        <w:tc>
          <w:tcPr>
            <w:tcW w:w="1200" w:type="dxa"/>
          </w:tcPr>
          <w:p>
            <w:pPr>
              <w:pStyle w:val="TableParagraph"/>
              <w:spacing w:before="30"/>
              <w:rPr>
                <w:sz w:val="22"/>
              </w:rPr>
            </w:pPr>
            <w:r>
              <w:rPr>
                <w:sz w:val="22"/>
              </w:rPr>
              <w:t>287.37</w:t>
            </w:r>
          </w:p>
        </w:tc>
        <w:tc>
          <w:tcPr>
            <w:tcW w:w="1200" w:type="dxa"/>
          </w:tcPr>
          <w:p>
            <w:pPr>
              <w:pStyle w:val="TableParagraph"/>
              <w:spacing w:before="30"/>
              <w:rPr>
                <w:sz w:val="22"/>
              </w:rPr>
            </w:pPr>
            <w:r>
              <w:rPr>
                <w:sz w:val="22"/>
              </w:rPr>
              <w:t>112.94</w:t>
            </w:r>
          </w:p>
        </w:tc>
        <w:tc>
          <w:tcPr>
            <w:tcW w:w="1200" w:type="dxa"/>
          </w:tcPr>
          <w:p>
            <w:pPr>
              <w:pStyle w:val="TableParagraph"/>
              <w:spacing w:before="30"/>
              <w:rPr>
                <w:sz w:val="22"/>
              </w:rPr>
            </w:pPr>
            <w:r>
              <w:rPr>
                <w:sz w:val="22"/>
              </w:rPr>
              <w:t>17.98</w:t>
            </w:r>
          </w:p>
        </w:tc>
        <w:tc>
          <w:tcPr>
            <w:tcW w:w="1200" w:type="dxa"/>
          </w:tcPr>
          <w:p>
            <w:pPr>
              <w:pStyle w:val="TableParagraph"/>
              <w:spacing w:before="30"/>
              <w:rPr>
                <w:sz w:val="22"/>
              </w:rPr>
            </w:pPr>
            <w:r>
              <w:rPr>
                <w:w w:val="100"/>
                <w:sz w:val="22"/>
              </w:rPr>
              <w:t>1</w:t>
            </w:r>
          </w:p>
        </w:tc>
      </w:tr>
      <w:tr>
        <w:trPr>
          <w:trHeight w:val="310" w:hRule="exact"/>
        </w:trPr>
        <w:tc>
          <w:tcPr>
            <w:tcW w:w="530" w:type="dxa"/>
          </w:tcPr>
          <w:p>
            <w:pPr>
              <w:pStyle w:val="TableParagraph"/>
              <w:rPr>
                <w:sz w:val="22"/>
              </w:rPr>
            </w:pPr>
            <w:r>
              <w:rPr>
                <w:sz w:val="22"/>
              </w:rPr>
              <w:t>94</w:t>
            </w:r>
          </w:p>
        </w:tc>
        <w:tc>
          <w:tcPr>
            <w:tcW w:w="1202" w:type="dxa"/>
          </w:tcPr>
          <w:p>
            <w:pPr>
              <w:pStyle w:val="TableParagraph"/>
              <w:ind w:left="45" w:right="44"/>
              <w:jc w:val="center"/>
              <w:rPr>
                <w:sz w:val="22"/>
              </w:rPr>
            </w:pPr>
            <w:r>
              <w:rPr>
                <w:sz w:val="22"/>
              </w:rPr>
              <w:t>21/09/2009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3</w:t>
            </w:r>
          </w:p>
        </w:tc>
      </w:tr>
      <w:tr>
        <w:trPr>
          <w:trHeight w:val="310" w:hRule="exact"/>
        </w:trPr>
        <w:tc>
          <w:tcPr>
            <w:tcW w:w="530" w:type="dxa"/>
          </w:tcPr>
          <w:p>
            <w:pPr>
              <w:pStyle w:val="TableParagraph"/>
              <w:rPr>
                <w:sz w:val="22"/>
              </w:rPr>
            </w:pPr>
            <w:r>
              <w:rPr>
                <w:sz w:val="22"/>
              </w:rPr>
              <w:t>95</w:t>
            </w:r>
          </w:p>
        </w:tc>
        <w:tc>
          <w:tcPr>
            <w:tcW w:w="1202" w:type="dxa"/>
          </w:tcPr>
          <w:p>
            <w:pPr>
              <w:pStyle w:val="TableParagraph"/>
              <w:ind w:left="45" w:right="44"/>
              <w:jc w:val="center"/>
              <w:rPr>
                <w:sz w:val="22"/>
              </w:rPr>
            </w:pPr>
            <w:r>
              <w:rPr>
                <w:sz w:val="22"/>
              </w:rPr>
              <w:t>22/09/2009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96</w:t>
            </w:r>
          </w:p>
        </w:tc>
        <w:tc>
          <w:tcPr>
            <w:tcW w:w="1202" w:type="dxa"/>
          </w:tcPr>
          <w:p>
            <w:pPr>
              <w:pStyle w:val="TableParagraph"/>
              <w:ind w:left="45" w:right="44"/>
              <w:jc w:val="center"/>
              <w:rPr>
                <w:sz w:val="22"/>
              </w:rPr>
            </w:pPr>
            <w:r>
              <w:rPr>
                <w:sz w:val="22"/>
              </w:rPr>
              <w:t>23/09/2009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97</w:t>
            </w:r>
          </w:p>
        </w:tc>
        <w:tc>
          <w:tcPr>
            <w:tcW w:w="1202" w:type="dxa"/>
          </w:tcPr>
          <w:p>
            <w:pPr>
              <w:pStyle w:val="TableParagraph"/>
              <w:ind w:left="45" w:right="44"/>
              <w:jc w:val="center"/>
              <w:rPr>
                <w:sz w:val="22"/>
              </w:rPr>
            </w:pPr>
            <w:r>
              <w:rPr>
                <w:sz w:val="22"/>
              </w:rPr>
              <w:t>24/09/2009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98</w:t>
            </w:r>
          </w:p>
        </w:tc>
        <w:tc>
          <w:tcPr>
            <w:tcW w:w="1202" w:type="dxa"/>
          </w:tcPr>
          <w:p>
            <w:pPr>
              <w:pStyle w:val="TableParagraph"/>
              <w:ind w:left="45" w:right="44"/>
              <w:jc w:val="center"/>
              <w:rPr>
                <w:sz w:val="22"/>
              </w:rPr>
            </w:pPr>
            <w:r>
              <w:rPr>
                <w:sz w:val="22"/>
              </w:rPr>
              <w:t>25/09/2009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rPr>
                <w:sz w:val="22"/>
              </w:rPr>
            </w:pPr>
            <w:r>
              <w:rPr>
                <w:sz w:val="22"/>
              </w:rPr>
              <w:t>99</w:t>
            </w:r>
          </w:p>
        </w:tc>
        <w:tc>
          <w:tcPr>
            <w:tcW w:w="1202" w:type="dxa"/>
          </w:tcPr>
          <w:p>
            <w:pPr>
              <w:pStyle w:val="TableParagraph"/>
              <w:spacing w:before="30"/>
              <w:ind w:left="45" w:right="44"/>
              <w:jc w:val="center"/>
              <w:rPr>
                <w:sz w:val="22"/>
              </w:rPr>
            </w:pPr>
            <w:r>
              <w:rPr>
                <w:sz w:val="22"/>
              </w:rPr>
              <w:t>26/09/2009</w:t>
            </w:r>
          </w:p>
        </w:tc>
        <w:tc>
          <w:tcPr>
            <w:tcW w:w="1301" w:type="dxa"/>
          </w:tcPr>
          <w:p>
            <w:pPr>
              <w:pStyle w:val="TableParagraph"/>
              <w:spacing w:before="30"/>
              <w:ind w:right="63"/>
              <w:rPr>
                <w:sz w:val="22"/>
              </w:rPr>
            </w:pPr>
            <w:r>
              <w:rPr>
                <w:sz w:val="22"/>
              </w:rPr>
              <w:t>390</w:t>
            </w:r>
          </w:p>
        </w:tc>
        <w:tc>
          <w:tcPr>
            <w:tcW w:w="1200" w:type="dxa"/>
          </w:tcPr>
          <w:p>
            <w:pPr>
              <w:pStyle w:val="TableParagraph"/>
              <w:spacing w:before="30"/>
              <w:rPr>
                <w:sz w:val="22"/>
              </w:rPr>
            </w:pPr>
            <w:r>
              <w:rPr>
                <w:sz w:val="22"/>
              </w:rPr>
              <w:t>287.37</w:t>
            </w:r>
          </w:p>
        </w:tc>
        <w:tc>
          <w:tcPr>
            <w:tcW w:w="1200" w:type="dxa"/>
          </w:tcPr>
          <w:p>
            <w:pPr>
              <w:pStyle w:val="TableParagraph"/>
              <w:spacing w:before="30"/>
              <w:rPr>
                <w:sz w:val="22"/>
              </w:rPr>
            </w:pPr>
            <w:r>
              <w:rPr>
                <w:sz w:val="22"/>
              </w:rPr>
              <w:t>112.07</w:t>
            </w:r>
          </w:p>
        </w:tc>
        <w:tc>
          <w:tcPr>
            <w:tcW w:w="1200" w:type="dxa"/>
          </w:tcPr>
          <w:p>
            <w:pPr>
              <w:pStyle w:val="TableParagraph"/>
              <w:spacing w:before="30"/>
              <w:rPr>
                <w:sz w:val="22"/>
              </w:rPr>
            </w:pPr>
            <w:r>
              <w:rPr>
                <w:sz w:val="22"/>
              </w:rPr>
              <w:t>17.85</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rPr>
                <w:sz w:val="22"/>
              </w:rPr>
            </w:pPr>
            <w:r>
              <w:rPr>
                <w:sz w:val="22"/>
              </w:rPr>
              <w:t>100</w:t>
            </w:r>
          </w:p>
        </w:tc>
        <w:tc>
          <w:tcPr>
            <w:tcW w:w="1202" w:type="dxa"/>
          </w:tcPr>
          <w:p>
            <w:pPr>
              <w:pStyle w:val="TableParagraph"/>
              <w:ind w:left="45" w:right="44"/>
              <w:jc w:val="center"/>
              <w:rPr>
                <w:sz w:val="22"/>
              </w:rPr>
            </w:pPr>
            <w:r>
              <w:rPr>
                <w:sz w:val="22"/>
              </w:rPr>
              <w:t>27/09/2009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101</w:t>
            </w:r>
          </w:p>
        </w:tc>
        <w:tc>
          <w:tcPr>
            <w:tcW w:w="1202" w:type="dxa"/>
          </w:tcPr>
          <w:p>
            <w:pPr>
              <w:pStyle w:val="TableParagraph"/>
              <w:ind w:left="45" w:right="44"/>
              <w:jc w:val="center"/>
              <w:rPr>
                <w:sz w:val="22"/>
              </w:rPr>
            </w:pPr>
            <w:r>
              <w:rPr>
                <w:sz w:val="22"/>
              </w:rPr>
              <w:t>28/09/2009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102</w:t>
            </w:r>
          </w:p>
        </w:tc>
        <w:tc>
          <w:tcPr>
            <w:tcW w:w="1202" w:type="dxa"/>
          </w:tcPr>
          <w:p>
            <w:pPr>
              <w:pStyle w:val="TableParagraph"/>
              <w:ind w:left="45" w:right="44"/>
              <w:jc w:val="center"/>
              <w:rPr>
                <w:sz w:val="22"/>
              </w:rPr>
            </w:pPr>
            <w:r>
              <w:rPr>
                <w:sz w:val="22"/>
              </w:rPr>
              <w:t>29/09/2009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rPr>
                <w:sz w:val="22"/>
              </w:rPr>
            </w:pPr>
            <w:r>
              <w:rPr>
                <w:sz w:val="22"/>
              </w:rPr>
              <w:t>103</w:t>
            </w:r>
          </w:p>
        </w:tc>
        <w:tc>
          <w:tcPr>
            <w:tcW w:w="1202" w:type="dxa"/>
          </w:tcPr>
          <w:p>
            <w:pPr>
              <w:pStyle w:val="TableParagraph"/>
              <w:ind w:left="45" w:right="44"/>
              <w:jc w:val="center"/>
              <w:rPr>
                <w:sz w:val="22"/>
              </w:rPr>
            </w:pPr>
            <w:r>
              <w:rPr>
                <w:sz w:val="22"/>
              </w:rPr>
              <w:t>30/09/2009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rPr>
                <w:sz w:val="22"/>
              </w:rPr>
            </w:pPr>
            <w:r>
              <w:rPr>
                <w:sz w:val="22"/>
              </w:rPr>
              <w:t>104</w:t>
            </w:r>
          </w:p>
        </w:tc>
        <w:tc>
          <w:tcPr>
            <w:tcW w:w="1202" w:type="dxa"/>
          </w:tcPr>
          <w:p>
            <w:pPr>
              <w:pStyle w:val="TableParagraph"/>
              <w:ind w:left="45" w:right="44"/>
              <w:jc w:val="center"/>
              <w:rPr>
                <w:sz w:val="22"/>
              </w:rPr>
            </w:pPr>
            <w:r>
              <w:rPr>
                <w:sz w:val="22"/>
              </w:rPr>
              <w:t>01/10/2009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1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0"/>
        <w:gridCol w:w="1202"/>
        <w:gridCol w:w="1301"/>
        <w:gridCol w:w="1200"/>
        <w:gridCol w:w="1200"/>
        <w:gridCol w:w="1200"/>
        <w:gridCol w:w="1200"/>
      </w:tblGrid>
      <w:tr>
        <w:trPr>
          <w:trHeight w:val="655" w:hRule="exact"/>
        </w:trPr>
        <w:tc>
          <w:tcPr>
            <w:tcW w:w="530" w:type="dxa"/>
            <w:shd w:val="clear" w:color="auto" w:fill="D99795"/>
          </w:tcPr>
          <w:p>
            <w:pPr>
              <w:pStyle w:val="TableParagraph"/>
              <w:spacing w:before="186"/>
              <w:ind w:left="44" w:right="44"/>
              <w:jc w:val="center"/>
              <w:rPr>
                <w:b/>
                <w:sz w:val="22"/>
              </w:rPr>
            </w:pPr>
            <w:r>
              <w:rPr>
                <w:b/>
                <w:sz w:val="22"/>
              </w:rPr>
              <w:t>Días</w:t>
            </w:r>
          </w:p>
        </w:tc>
        <w:tc>
          <w:tcPr>
            <w:tcW w:w="1202" w:type="dxa"/>
            <w:shd w:val="clear" w:color="auto" w:fill="D99795"/>
          </w:tcPr>
          <w:p>
            <w:pPr>
              <w:pStyle w:val="TableParagraph"/>
              <w:spacing w:before="186"/>
              <w:ind w:left="44" w:right="44"/>
              <w:jc w:val="center"/>
              <w:rPr>
                <w:b/>
                <w:sz w:val="22"/>
              </w:rPr>
            </w:pPr>
            <w:r>
              <w:rPr>
                <w:b/>
                <w:sz w:val="22"/>
              </w:rPr>
              <w:t>Fecha</w:t>
            </w:r>
          </w:p>
        </w:tc>
        <w:tc>
          <w:tcPr>
            <w:tcW w:w="1301" w:type="dxa"/>
            <w:shd w:val="clear" w:color="auto" w:fill="D99795"/>
          </w:tcPr>
          <w:p>
            <w:pPr>
              <w:pStyle w:val="TableParagraph"/>
              <w:spacing w:before="52"/>
              <w:ind w:left="424" w:right="179" w:hanging="231"/>
              <w:jc w:val="left"/>
              <w:rPr>
                <w:b/>
                <w:sz w:val="22"/>
              </w:rPr>
            </w:pPr>
            <w:r>
              <w:rPr>
                <w:b/>
                <w:sz w:val="22"/>
              </w:rPr>
              <w:t>Población (org)</w:t>
            </w:r>
          </w:p>
        </w:tc>
        <w:tc>
          <w:tcPr>
            <w:tcW w:w="1200" w:type="dxa"/>
            <w:shd w:val="clear" w:color="auto" w:fill="D99795"/>
          </w:tcPr>
          <w:p>
            <w:pPr>
              <w:pStyle w:val="TableParagraph"/>
              <w:spacing w:before="186"/>
              <w:ind w:left="232" w:right="87"/>
              <w:jc w:val="left"/>
              <w:rPr>
                <w:b/>
                <w:sz w:val="22"/>
              </w:rPr>
            </w:pPr>
            <w:r>
              <w:rPr>
                <w:b/>
                <w:sz w:val="22"/>
              </w:rPr>
              <w:t>Peso (g)</w:t>
            </w:r>
          </w:p>
        </w:tc>
        <w:tc>
          <w:tcPr>
            <w:tcW w:w="1200" w:type="dxa"/>
            <w:shd w:val="clear" w:color="auto" w:fill="D99795"/>
          </w:tcPr>
          <w:p>
            <w:pPr>
              <w:pStyle w:val="TableParagraph"/>
              <w:spacing w:before="52"/>
              <w:ind w:left="419" w:right="187" w:hanging="216"/>
              <w:jc w:val="left"/>
              <w:rPr>
                <w:b/>
                <w:sz w:val="22"/>
              </w:rPr>
            </w:pPr>
            <w:r>
              <w:rPr>
                <w:b/>
                <w:sz w:val="22"/>
              </w:rPr>
              <w:t>Biomasa (kg)</w:t>
            </w:r>
          </w:p>
        </w:tc>
        <w:tc>
          <w:tcPr>
            <w:tcW w:w="1200" w:type="dxa"/>
            <w:shd w:val="clear" w:color="auto" w:fill="D99795"/>
          </w:tcPr>
          <w:p>
            <w:pPr>
              <w:pStyle w:val="TableParagraph"/>
              <w:spacing w:line="268" w:lineRule="exact" w:before="47"/>
              <w:ind w:left="249" w:right="149" w:hanging="82"/>
              <w:jc w:val="left"/>
              <w:rPr>
                <w:b/>
                <w:sz w:val="22"/>
              </w:rPr>
            </w:pPr>
            <w:r>
              <w:rPr>
                <w:b/>
                <w:sz w:val="22"/>
              </w:rPr>
              <w:t>Densidad (kg/m</w:t>
            </w:r>
            <w:r>
              <w:rPr>
                <w:b/>
                <w:position w:val="10"/>
                <w:sz w:val="14"/>
              </w:rPr>
              <w:t>3</w:t>
            </w:r>
            <w:r>
              <w:rPr>
                <w:b/>
                <w:sz w:val="22"/>
              </w:rPr>
              <w:t>)</w:t>
            </w:r>
          </w:p>
        </w:tc>
        <w:tc>
          <w:tcPr>
            <w:tcW w:w="1200" w:type="dxa"/>
            <w:shd w:val="clear" w:color="auto" w:fill="D99795"/>
          </w:tcPr>
          <w:p>
            <w:pPr>
              <w:pStyle w:val="TableParagraph"/>
              <w:spacing w:before="52"/>
              <w:ind w:left="376" w:right="64" w:hanging="296"/>
              <w:jc w:val="left"/>
              <w:rPr>
                <w:b/>
                <w:sz w:val="22"/>
              </w:rPr>
            </w:pPr>
            <w:r>
              <w:rPr>
                <w:b/>
                <w:sz w:val="22"/>
              </w:rPr>
              <w:t>Mortalidad (org)</w:t>
            </w:r>
          </w:p>
        </w:tc>
      </w:tr>
      <w:tr>
        <w:trPr>
          <w:trHeight w:val="310" w:hRule="exact"/>
        </w:trPr>
        <w:tc>
          <w:tcPr>
            <w:tcW w:w="530" w:type="dxa"/>
          </w:tcPr>
          <w:p>
            <w:pPr>
              <w:pStyle w:val="TableParagraph"/>
              <w:ind w:left="102" w:right="44"/>
              <w:jc w:val="center"/>
              <w:rPr>
                <w:sz w:val="22"/>
              </w:rPr>
            </w:pPr>
            <w:r>
              <w:rPr>
                <w:sz w:val="22"/>
              </w:rPr>
              <w:t>105</w:t>
            </w:r>
          </w:p>
        </w:tc>
        <w:tc>
          <w:tcPr>
            <w:tcW w:w="1202" w:type="dxa"/>
          </w:tcPr>
          <w:p>
            <w:pPr>
              <w:pStyle w:val="TableParagraph"/>
              <w:ind w:left="45" w:right="44"/>
              <w:jc w:val="center"/>
              <w:rPr>
                <w:sz w:val="22"/>
              </w:rPr>
            </w:pPr>
            <w:r>
              <w:rPr>
                <w:sz w:val="22"/>
              </w:rPr>
              <w:t>02/10/2009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106</w:t>
            </w:r>
          </w:p>
        </w:tc>
        <w:tc>
          <w:tcPr>
            <w:tcW w:w="1202" w:type="dxa"/>
          </w:tcPr>
          <w:p>
            <w:pPr>
              <w:pStyle w:val="TableParagraph"/>
              <w:ind w:left="45" w:right="44"/>
              <w:jc w:val="center"/>
              <w:rPr>
                <w:sz w:val="22"/>
              </w:rPr>
            </w:pPr>
            <w:r>
              <w:rPr>
                <w:sz w:val="22"/>
              </w:rPr>
              <w:t>03/10/2009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107</w:t>
            </w:r>
          </w:p>
        </w:tc>
        <w:tc>
          <w:tcPr>
            <w:tcW w:w="1202" w:type="dxa"/>
          </w:tcPr>
          <w:p>
            <w:pPr>
              <w:pStyle w:val="TableParagraph"/>
              <w:ind w:left="45" w:right="44"/>
              <w:jc w:val="center"/>
              <w:rPr>
                <w:sz w:val="22"/>
              </w:rPr>
            </w:pPr>
            <w:r>
              <w:rPr>
                <w:sz w:val="22"/>
              </w:rPr>
              <w:t>04/10/2009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ind w:left="102" w:right="44"/>
              <w:jc w:val="center"/>
              <w:rPr>
                <w:sz w:val="22"/>
              </w:rPr>
            </w:pPr>
            <w:r>
              <w:rPr>
                <w:sz w:val="22"/>
              </w:rPr>
              <w:t>108</w:t>
            </w:r>
          </w:p>
        </w:tc>
        <w:tc>
          <w:tcPr>
            <w:tcW w:w="1202" w:type="dxa"/>
          </w:tcPr>
          <w:p>
            <w:pPr>
              <w:pStyle w:val="TableParagraph"/>
              <w:spacing w:before="30"/>
              <w:ind w:left="45" w:right="44"/>
              <w:jc w:val="center"/>
              <w:rPr>
                <w:sz w:val="22"/>
              </w:rPr>
            </w:pPr>
            <w:r>
              <w:rPr>
                <w:sz w:val="22"/>
              </w:rPr>
              <w:t>05/10/2009</w:t>
            </w:r>
          </w:p>
        </w:tc>
        <w:tc>
          <w:tcPr>
            <w:tcW w:w="1301" w:type="dxa"/>
          </w:tcPr>
          <w:p>
            <w:pPr>
              <w:pStyle w:val="TableParagraph"/>
              <w:spacing w:before="30"/>
              <w:ind w:right="63"/>
              <w:rPr>
                <w:sz w:val="22"/>
              </w:rPr>
            </w:pPr>
            <w:r>
              <w:rPr>
                <w:sz w:val="22"/>
              </w:rPr>
              <w:t>390</w:t>
            </w:r>
          </w:p>
        </w:tc>
        <w:tc>
          <w:tcPr>
            <w:tcW w:w="1200" w:type="dxa"/>
          </w:tcPr>
          <w:p>
            <w:pPr>
              <w:pStyle w:val="TableParagraph"/>
              <w:spacing w:before="30"/>
              <w:rPr>
                <w:sz w:val="22"/>
              </w:rPr>
            </w:pPr>
            <w:r>
              <w:rPr>
                <w:sz w:val="22"/>
              </w:rPr>
              <w:t>287.37</w:t>
            </w:r>
          </w:p>
        </w:tc>
        <w:tc>
          <w:tcPr>
            <w:tcW w:w="1200" w:type="dxa"/>
          </w:tcPr>
          <w:p>
            <w:pPr>
              <w:pStyle w:val="TableParagraph"/>
              <w:spacing w:before="30"/>
              <w:rPr>
                <w:sz w:val="22"/>
              </w:rPr>
            </w:pPr>
            <w:r>
              <w:rPr>
                <w:sz w:val="22"/>
              </w:rPr>
              <w:t>112.07</w:t>
            </w:r>
          </w:p>
        </w:tc>
        <w:tc>
          <w:tcPr>
            <w:tcW w:w="1200" w:type="dxa"/>
          </w:tcPr>
          <w:p>
            <w:pPr>
              <w:pStyle w:val="TableParagraph"/>
              <w:spacing w:before="30"/>
              <w:rPr>
                <w:sz w:val="22"/>
              </w:rPr>
            </w:pPr>
            <w:r>
              <w:rPr>
                <w:sz w:val="22"/>
              </w:rPr>
              <w:t>17.85</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109</w:t>
            </w:r>
          </w:p>
        </w:tc>
        <w:tc>
          <w:tcPr>
            <w:tcW w:w="1202" w:type="dxa"/>
          </w:tcPr>
          <w:p>
            <w:pPr>
              <w:pStyle w:val="TableParagraph"/>
              <w:ind w:left="45" w:right="44"/>
              <w:jc w:val="center"/>
              <w:rPr>
                <w:sz w:val="22"/>
              </w:rPr>
            </w:pPr>
            <w:r>
              <w:rPr>
                <w:sz w:val="22"/>
              </w:rPr>
              <w:t>06/10/2009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110</w:t>
            </w:r>
          </w:p>
        </w:tc>
        <w:tc>
          <w:tcPr>
            <w:tcW w:w="1202" w:type="dxa"/>
          </w:tcPr>
          <w:p>
            <w:pPr>
              <w:pStyle w:val="TableParagraph"/>
              <w:ind w:left="45" w:right="44"/>
              <w:jc w:val="center"/>
              <w:rPr>
                <w:sz w:val="22"/>
              </w:rPr>
            </w:pPr>
            <w:r>
              <w:rPr>
                <w:sz w:val="22"/>
              </w:rPr>
              <w:t>07/10/2009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287.37</w:t>
            </w:r>
          </w:p>
        </w:tc>
        <w:tc>
          <w:tcPr>
            <w:tcW w:w="1200" w:type="dxa"/>
          </w:tcPr>
          <w:p>
            <w:pPr>
              <w:pStyle w:val="TableParagraph"/>
              <w:rPr>
                <w:sz w:val="22"/>
              </w:rPr>
            </w:pPr>
            <w:r>
              <w:rPr>
                <w:sz w:val="22"/>
              </w:rPr>
              <w:t>112.07</w:t>
            </w:r>
          </w:p>
        </w:tc>
        <w:tc>
          <w:tcPr>
            <w:tcW w:w="1200" w:type="dxa"/>
          </w:tcPr>
          <w:p>
            <w:pPr>
              <w:pStyle w:val="TableParagraph"/>
              <w:rPr>
                <w:sz w:val="22"/>
              </w:rPr>
            </w:pPr>
            <w:r>
              <w:rPr>
                <w:sz w:val="22"/>
              </w:rPr>
              <w:t>17.85</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111</w:t>
            </w:r>
          </w:p>
        </w:tc>
        <w:tc>
          <w:tcPr>
            <w:tcW w:w="1202" w:type="dxa"/>
          </w:tcPr>
          <w:p>
            <w:pPr>
              <w:pStyle w:val="TableParagraph"/>
              <w:ind w:left="45" w:right="44"/>
              <w:jc w:val="center"/>
              <w:rPr>
                <w:sz w:val="22"/>
              </w:rPr>
            </w:pPr>
            <w:r>
              <w:rPr>
                <w:sz w:val="22"/>
              </w:rPr>
              <w:t>08/10/2009</w:t>
            </w:r>
          </w:p>
        </w:tc>
        <w:tc>
          <w:tcPr>
            <w:tcW w:w="1301" w:type="dxa"/>
          </w:tcPr>
          <w:p>
            <w:pPr>
              <w:pStyle w:val="TableParagraph"/>
              <w:ind w:right="63"/>
              <w:rPr>
                <w:sz w:val="22"/>
              </w:rPr>
            </w:pPr>
            <w:r>
              <w:rPr>
                <w:sz w:val="22"/>
              </w:rPr>
              <w:t>390</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124.29</w:t>
            </w:r>
          </w:p>
        </w:tc>
        <w:tc>
          <w:tcPr>
            <w:tcW w:w="1200" w:type="dxa"/>
          </w:tcPr>
          <w:p>
            <w:pPr>
              <w:pStyle w:val="TableParagraph"/>
              <w:rPr>
                <w:sz w:val="22"/>
              </w:rPr>
            </w:pPr>
            <w:r>
              <w:rPr>
                <w:sz w:val="22"/>
              </w:rPr>
              <w:t>19.79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112</w:t>
            </w:r>
          </w:p>
        </w:tc>
        <w:tc>
          <w:tcPr>
            <w:tcW w:w="1202" w:type="dxa"/>
          </w:tcPr>
          <w:p>
            <w:pPr>
              <w:pStyle w:val="TableParagraph"/>
              <w:ind w:left="45" w:right="44"/>
              <w:jc w:val="center"/>
              <w:rPr>
                <w:sz w:val="22"/>
              </w:rPr>
            </w:pPr>
            <w:r>
              <w:rPr>
                <w:sz w:val="22"/>
              </w:rPr>
              <w:t>09/10/2009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6</w:t>
            </w:r>
          </w:p>
        </w:tc>
      </w:tr>
      <w:tr>
        <w:trPr>
          <w:trHeight w:val="310" w:hRule="exact"/>
        </w:trPr>
        <w:tc>
          <w:tcPr>
            <w:tcW w:w="530" w:type="dxa"/>
          </w:tcPr>
          <w:p>
            <w:pPr>
              <w:pStyle w:val="TableParagraph"/>
              <w:ind w:left="102" w:right="44"/>
              <w:jc w:val="center"/>
              <w:rPr>
                <w:sz w:val="22"/>
              </w:rPr>
            </w:pPr>
            <w:r>
              <w:rPr>
                <w:sz w:val="22"/>
              </w:rPr>
              <w:t>113</w:t>
            </w:r>
          </w:p>
        </w:tc>
        <w:tc>
          <w:tcPr>
            <w:tcW w:w="1202" w:type="dxa"/>
          </w:tcPr>
          <w:p>
            <w:pPr>
              <w:pStyle w:val="TableParagraph"/>
              <w:ind w:left="45" w:right="44"/>
              <w:jc w:val="center"/>
              <w:rPr>
                <w:sz w:val="22"/>
              </w:rPr>
            </w:pPr>
            <w:r>
              <w:rPr>
                <w:sz w:val="22"/>
              </w:rPr>
              <w:t>10/10/2009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ind w:left="102" w:right="44"/>
              <w:jc w:val="center"/>
              <w:rPr>
                <w:sz w:val="22"/>
              </w:rPr>
            </w:pPr>
            <w:r>
              <w:rPr>
                <w:sz w:val="22"/>
              </w:rPr>
              <w:t>114</w:t>
            </w:r>
          </w:p>
        </w:tc>
        <w:tc>
          <w:tcPr>
            <w:tcW w:w="1202" w:type="dxa"/>
          </w:tcPr>
          <w:p>
            <w:pPr>
              <w:pStyle w:val="TableParagraph"/>
              <w:spacing w:before="30"/>
              <w:ind w:left="45" w:right="44"/>
              <w:jc w:val="center"/>
              <w:rPr>
                <w:sz w:val="22"/>
              </w:rPr>
            </w:pPr>
            <w:r>
              <w:rPr>
                <w:sz w:val="22"/>
              </w:rPr>
              <w:t>11/10/2009</w:t>
            </w:r>
          </w:p>
        </w:tc>
        <w:tc>
          <w:tcPr>
            <w:tcW w:w="1301" w:type="dxa"/>
          </w:tcPr>
          <w:p>
            <w:pPr>
              <w:pStyle w:val="TableParagraph"/>
              <w:spacing w:before="30"/>
              <w:ind w:right="63"/>
              <w:rPr>
                <w:sz w:val="22"/>
              </w:rPr>
            </w:pPr>
            <w:r>
              <w:rPr>
                <w:sz w:val="22"/>
              </w:rPr>
              <w:t>384</w:t>
            </w:r>
          </w:p>
        </w:tc>
        <w:tc>
          <w:tcPr>
            <w:tcW w:w="1200" w:type="dxa"/>
          </w:tcPr>
          <w:p>
            <w:pPr>
              <w:pStyle w:val="TableParagraph"/>
              <w:spacing w:before="30"/>
              <w:rPr>
                <w:sz w:val="22"/>
              </w:rPr>
            </w:pPr>
            <w:r>
              <w:rPr>
                <w:sz w:val="22"/>
              </w:rPr>
              <w:t>318.69</w:t>
            </w:r>
          </w:p>
        </w:tc>
        <w:tc>
          <w:tcPr>
            <w:tcW w:w="1200" w:type="dxa"/>
          </w:tcPr>
          <w:p>
            <w:pPr>
              <w:pStyle w:val="TableParagraph"/>
              <w:spacing w:before="30"/>
              <w:rPr>
                <w:sz w:val="22"/>
              </w:rPr>
            </w:pPr>
            <w:r>
              <w:rPr>
                <w:sz w:val="22"/>
              </w:rPr>
              <w:t>122.38</w:t>
            </w:r>
          </w:p>
        </w:tc>
        <w:tc>
          <w:tcPr>
            <w:tcW w:w="1200" w:type="dxa"/>
          </w:tcPr>
          <w:p>
            <w:pPr>
              <w:pStyle w:val="TableParagraph"/>
              <w:spacing w:before="30"/>
              <w:rPr>
                <w:sz w:val="22"/>
              </w:rPr>
            </w:pPr>
            <w:r>
              <w:rPr>
                <w:sz w:val="22"/>
              </w:rPr>
              <w:t>19.49</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115</w:t>
            </w:r>
          </w:p>
        </w:tc>
        <w:tc>
          <w:tcPr>
            <w:tcW w:w="1202" w:type="dxa"/>
          </w:tcPr>
          <w:p>
            <w:pPr>
              <w:pStyle w:val="TableParagraph"/>
              <w:ind w:left="45" w:right="44"/>
              <w:jc w:val="center"/>
              <w:rPr>
                <w:sz w:val="22"/>
              </w:rPr>
            </w:pPr>
            <w:r>
              <w:rPr>
                <w:sz w:val="22"/>
              </w:rPr>
              <w:t>12/10/2009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116</w:t>
            </w:r>
          </w:p>
        </w:tc>
        <w:tc>
          <w:tcPr>
            <w:tcW w:w="1202" w:type="dxa"/>
          </w:tcPr>
          <w:p>
            <w:pPr>
              <w:pStyle w:val="TableParagraph"/>
              <w:ind w:left="45" w:right="44"/>
              <w:jc w:val="center"/>
              <w:rPr>
                <w:sz w:val="22"/>
              </w:rPr>
            </w:pPr>
            <w:r>
              <w:rPr>
                <w:sz w:val="22"/>
              </w:rPr>
              <w:t>13/10/2009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117</w:t>
            </w:r>
          </w:p>
        </w:tc>
        <w:tc>
          <w:tcPr>
            <w:tcW w:w="1202" w:type="dxa"/>
          </w:tcPr>
          <w:p>
            <w:pPr>
              <w:pStyle w:val="TableParagraph"/>
              <w:ind w:left="45" w:right="44"/>
              <w:jc w:val="center"/>
              <w:rPr>
                <w:sz w:val="22"/>
              </w:rPr>
            </w:pPr>
            <w:r>
              <w:rPr>
                <w:sz w:val="22"/>
              </w:rPr>
              <w:t>14/10/2009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118</w:t>
            </w:r>
          </w:p>
        </w:tc>
        <w:tc>
          <w:tcPr>
            <w:tcW w:w="1202" w:type="dxa"/>
          </w:tcPr>
          <w:p>
            <w:pPr>
              <w:pStyle w:val="TableParagraph"/>
              <w:ind w:left="45" w:right="44"/>
              <w:jc w:val="center"/>
              <w:rPr>
                <w:sz w:val="22"/>
              </w:rPr>
            </w:pPr>
            <w:r>
              <w:rPr>
                <w:sz w:val="22"/>
              </w:rPr>
              <w:t>15/10/2009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119</w:t>
            </w:r>
          </w:p>
        </w:tc>
        <w:tc>
          <w:tcPr>
            <w:tcW w:w="1202" w:type="dxa"/>
          </w:tcPr>
          <w:p>
            <w:pPr>
              <w:pStyle w:val="TableParagraph"/>
              <w:ind w:left="45" w:right="44"/>
              <w:jc w:val="center"/>
              <w:rPr>
                <w:sz w:val="22"/>
              </w:rPr>
            </w:pPr>
            <w:r>
              <w:rPr>
                <w:sz w:val="22"/>
              </w:rPr>
              <w:t>16/10/2009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ind w:left="102" w:right="44"/>
              <w:jc w:val="center"/>
              <w:rPr>
                <w:sz w:val="22"/>
              </w:rPr>
            </w:pPr>
            <w:r>
              <w:rPr>
                <w:sz w:val="22"/>
              </w:rPr>
              <w:t>120</w:t>
            </w:r>
          </w:p>
        </w:tc>
        <w:tc>
          <w:tcPr>
            <w:tcW w:w="1202" w:type="dxa"/>
          </w:tcPr>
          <w:p>
            <w:pPr>
              <w:pStyle w:val="TableParagraph"/>
              <w:spacing w:before="30"/>
              <w:ind w:left="45" w:right="44"/>
              <w:jc w:val="center"/>
              <w:rPr>
                <w:sz w:val="22"/>
              </w:rPr>
            </w:pPr>
            <w:r>
              <w:rPr>
                <w:sz w:val="22"/>
              </w:rPr>
              <w:t>17/10/2009</w:t>
            </w:r>
          </w:p>
        </w:tc>
        <w:tc>
          <w:tcPr>
            <w:tcW w:w="1301" w:type="dxa"/>
          </w:tcPr>
          <w:p>
            <w:pPr>
              <w:pStyle w:val="TableParagraph"/>
              <w:spacing w:before="30"/>
              <w:ind w:right="63"/>
              <w:rPr>
                <w:sz w:val="22"/>
              </w:rPr>
            </w:pPr>
            <w:r>
              <w:rPr>
                <w:sz w:val="22"/>
              </w:rPr>
              <w:t>384</w:t>
            </w:r>
          </w:p>
        </w:tc>
        <w:tc>
          <w:tcPr>
            <w:tcW w:w="1200" w:type="dxa"/>
          </w:tcPr>
          <w:p>
            <w:pPr>
              <w:pStyle w:val="TableParagraph"/>
              <w:spacing w:before="30"/>
              <w:rPr>
                <w:sz w:val="22"/>
              </w:rPr>
            </w:pPr>
            <w:r>
              <w:rPr>
                <w:sz w:val="22"/>
              </w:rPr>
              <w:t>318.69</w:t>
            </w:r>
          </w:p>
        </w:tc>
        <w:tc>
          <w:tcPr>
            <w:tcW w:w="1200" w:type="dxa"/>
          </w:tcPr>
          <w:p>
            <w:pPr>
              <w:pStyle w:val="TableParagraph"/>
              <w:spacing w:before="30"/>
              <w:rPr>
                <w:sz w:val="22"/>
              </w:rPr>
            </w:pPr>
            <w:r>
              <w:rPr>
                <w:sz w:val="22"/>
              </w:rPr>
              <w:t>122.38</w:t>
            </w:r>
          </w:p>
        </w:tc>
        <w:tc>
          <w:tcPr>
            <w:tcW w:w="1200" w:type="dxa"/>
          </w:tcPr>
          <w:p>
            <w:pPr>
              <w:pStyle w:val="TableParagraph"/>
              <w:spacing w:before="30"/>
              <w:rPr>
                <w:sz w:val="22"/>
              </w:rPr>
            </w:pPr>
            <w:r>
              <w:rPr>
                <w:sz w:val="22"/>
              </w:rPr>
              <w:t>19.49</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121</w:t>
            </w:r>
          </w:p>
        </w:tc>
        <w:tc>
          <w:tcPr>
            <w:tcW w:w="1202" w:type="dxa"/>
          </w:tcPr>
          <w:p>
            <w:pPr>
              <w:pStyle w:val="TableParagraph"/>
              <w:ind w:left="45" w:right="44"/>
              <w:jc w:val="center"/>
              <w:rPr>
                <w:sz w:val="22"/>
              </w:rPr>
            </w:pPr>
            <w:r>
              <w:rPr>
                <w:sz w:val="22"/>
              </w:rPr>
              <w:t>18/10/2009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122</w:t>
            </w:r>
          </w:p>
        </w:tc>
        <w:tc>
          <w:tcPr>
            <w:tcW w:w="1202" w:type="dxa"/>
          </w:tcPr>
          <w:p>
            <w:pPr>
              <w:pStyle w:val="TableParagraph"/>
              <w:ind w:left="45" w:right="44"/>
              <w:jc w:val="center"/>
              <w:rPr>
                <w:sz w:val="22"/>
              </w:rPr>
            </w:pPr>
            <w:r>
              <w:rPr>
                <w:sz w:val="22"/>
              </w:rPr>
              <w:t>19/10/2009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123</w:t>
            </w:r>
          </w:p>
        </w:tc>
        <w:tc>
          <w:tcPr>
            <w:tcW w:w="1202" w:type="dxa"/>
          </w:tcPr>
          <w:p>
            <w:pPr>
              <w:pStyle w:val="TableParagraph"/>
              <w:ind w:left="45" w:right="44"/>
              <w:jc w:val="center"/>
              <w:rPr>
                <w:sz w:val="22"/>
              </w:rPr>
            </w:pPr>
            <w:r>
              <w:rPr>
                <w:sz w:val="22"/>
              </w:rPr>
              <w:t>20/10/2009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124</w:t>
            </w:r>
          </w:p>
        </w:tc>
        <w:tc>
          <w:tcPr>
            <w:tcW w:w="1202" w:type="dxa"/>
          </w:tcPr>
          <w:p>
            <w:pPr>
              <w:pStyle w:val="TableParagraph"/>
              <w:ind w:left="45" w:right="44"/>
              <w:jc w:val="center"/>
              <w:rPr>
                <w:sz w:val="22"/>
              </w:rPr>
            </w:pPr>
            <w:r>
              <w:rPr>
                <w:sz w:val="22"/>
              </w:rPr>
              <w:t>21/10/2009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125</w:t>
            </w:r>
          </w:p>
        </w:tc>
        <w:tc>
          <w:tcPr>
            <w:tcW w:w="1202" w:type="dxa"/>
          </w:tcPr>
          <w:p>
            <w:pPr>
              <w:pStyle w:val="TableParagraph"/>
              <w:ind w:left="45" w:right="44"/>
              <w:jc w:val="center"/>
              <w:rPr>
                <w:sz w:val="22"/>
              </w:rPr>
            </w:pPr>
            <w:r>
              <w:rPr>
                <w:sz w:val="22"/>
              </w:rPr>
              <w:t>22/10/2009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318.69</w:t>
            </w:r>
          </w:p>
        </w:tc>
        <w:tc>
          <w:tcPr>
            <w:tcW w:w="1200" w:type="dxa"/>
          </w:tcPr>
          <w:p>
            <w:pPr>
              <w:pStyle w:val="TableParagraph"/>
              <w:rPr>
                <w:sz w:val="22"/>
              </w:rPr>
            </w:pPr>
            <w:r>
              <w:rPr>
                <w:sz w:val="22"/>
              </w:rPr>
              <w:t>122.38</w:t>
            </w:r>
          </w:p>
        </w:tc>
        <w:tc>
          <w:tcPr>
            <w:tcW w:w="1200" w:type="dxa"/>
          </w:tcPr>
          <w:p>
            <w:pPr>
              <w:pStyle w:val="TableParagraph"/>
              <w:rPr>
                <w:sz w:val="22"/>
              </w:rPr>
            </w:pPr>
            <w:r>
              <w:rPr>
                <w:sz w:val="22"/>
              </w:rPr>
              <w:t>19.49</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ind w:left="102" w:right="44"/>
              <w:jc w:val="center"/>
              <w:rPr>
                <w:sz w:val="22"/>
              </w:rPr>
            </w:pPr>
            <w:r>
              <w:rPr>
                <w:sz w:val="22"/>
              </w:rPr>
              <w:t>126</w:t>
            </w:r>
          </w:p>
        </w:tc>
        <w:tc>
          <w:tcPr>
            <w:tcW w:w="1202" w:type="dxa"/>
          </w:tcPr>
          <w:p>
            <w:pPr>
              <w:pStyle w:val="TableParagraph"/>
              <w:spacing w:before="30"/>
              <w:ind w:left="45" w:right="44"/>
              <w:jc w:val="center"/>
              <w:rPr>
                <w:sz w:val="22"/>
              </w:rPr>
            </w:pPr>
            <w:r>
              <w:rPr>
                <w:sz w:val="22"/>
              </w:rPr>
              <w:t>23/10/2009</w:t>
            </w:r>
          </w:p>
        </w:tc>
        <w:tc>
          <w:tcPr>
            <w:tcW w:w="1301" w:type="dxa"/>
          </w:tcPr>
          <w:p>
            <w:pPr>
              <w:pStyle w:val="TableParagraph"/>
              <w:spacing w:before="30"/>
              <w:ind w:right="63"/>
              <w:rPr>
                <w:sz w:val="22"/>
              </w:rPr>
            </w:pPr>
            <w:r>
              <w:rPr>
                <w:sz w:val="22"/>
              </w:rPr>
              <w:t>384</w:t>
            </w:r>
          </w:p>
        </w:tc>
        <w:tc>
          <w:tcPr>
            <w:tcW w:w="1200" w:type="dxa"/>
          </w:tcPr>
          <w:p>
            <w:pPr>
              <w:pStyle w:val="TableParagraph"/>
              <w:spacing w:before="30"/>
              <w:rPr>
                <w:sz w:val="22"/>
              </w:rPr>
            </w:pPr>
            <w:r>
              <w:rPr>
                <w:sz w:val="22"/>
              </w:rPr>
              <w:t>318.69</w:t>
            </w:r>
          </w:p>
        </w:tc>
        <w:tc>
          <w:tcPr>
            <w:tcW w:w="1200" w:type="dxa"/>
          </w:tcPr>
          <w:p>
            <w:pPr>
              <w:pStyle w:val="TableParagraph"/>
              <w:spacing w:before="30"/>
              <w:rPr>
                <w:sz w:val="22"/>
              </w:rPr>
            </w:pPr>
            <w:r>
              <w:rPr>
                <w:sz w:val="22"/>
              </w:rPr>
              <w:t>122.38</w:t>
            </w:r>
          </w:p>
        </w:tc>
        <w:tc>
          <w:tcPr>
            <w:tcW w:w="1200" w:type="dxa"/>
          </w:tcPr>
          <w:p>
            <w:pPr>
              <w:pStyle w:val="TableParagraph"/>
              <w:spacing w:before="30"/>
              <w:rPr>
                <w:sz w:val="22"/>
              </w:rPr>
            </w:pPr>
            <w:r>
              <w:rPr>
                <w:sz w:val="22"/>
              </w:rPr>
              <w:t>19.49</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127</w:t>
            </w:r>
          </w:p>
        </w:tc>
        <w:tc>
          <w:tcPr>
            <w:tcW w:w="1202" w:type="dxa"/>
          </w:tcPr>
          <w:p>
            <w:pPr>
              <w:pStyle w:val="TableParagraph"/>
              <w:ind w:left="45" w:right="44"/>
              <w:jc w:val="center"/>
              <w:rPr>
                <w:sz w:val="22"/>
              </w:rPr>
            </w:pPr>
            <w:r>
              <w:rPr>
                <w:sz w:val="22"/>
              </w:rPr>
              <w:t>24/10/2009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148.12</w:t>
            </w:r>
          </w:p>
        </w:tc>
        <w:tc>
          <w:tcPr>
            <w:tcW w:w="1200" w:type="dxa"/>
          </w:tcPr>
          <w:p>
            <w:pPr>
              <w:pStyle w:val="TableParagraph"/>
              <w:rPr>
                <w:sz w:val="22"/>
              </w:rPr>
            </w:pPr>
            <w:r>
              <w:rPr>
                <w:sz w:val="22"/>
              </w:rPr>
              <w:t>23.59</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128</w:t>
            </w:r>
          </w:p>
        </w:tc>
        <w:tc>
          <w:tcPr>
            <w:tcW w:w="1202" w:type="dxa"/>
          </w:tcPr>
          <w:p>
            <w:pPr>
              <w:pStyle w:val="TableParagraph"/>
              <w:ind w:left="45" w:right="44"/>
              <w:jc w:val="center"/>
              <w:rPr>
                <w:sz w:val="22"/>
              </w:rPr>
            </w:pPr>
            <w:r>
              <w:rPr>
                <w:sz w:val="22"/>
              </w:rPr>
              <w:t>25/10/2009</w:t>
            </w:r>
          </w:p>
        </w:tc>
        <w:tc>
          <w:tcPr>
            <w:tcW w:w="1301" w:type="dxa"/>
          </w:tcPr>
          <w:p>
            <w:pPr>
              <w:pStyle w:val="TableParagraph"/>
              <w:ind w:right="63"/>
              <w:rPr>
                <w:sz w:val="22"/>
              </w:rPr>
            </w:pPr>
            <w:r>
              <w:rPr>
                <w:sz w:val="22"/>
              </w:rPr>
              <w:t>384</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148.12</w:t>
            </w:r>
          </w:p>
        </w:tc>
        <w:tc>
          <w:tcPr>
            <w:tcW w:w="1200" w:type="dxa"/>
          </w:tcPr>
          <w:p>
            <w:pPr>
              <w:pStyle w:val="TableParagraph"/>
              <w:rPr>
                <w:sz w:val="22"/>
              </w:rPr>
            </w:pPr>
            <w:r>
              <w:rPr>
                <w:sz w:val="22"/>
              </w:rPr>
              <w:t>23.59</w:t>
            </w:r>
          </w:p>
        </w:tc>
        <w:tc>
          <w:tcPr>
            <w:tcW w:w="1200" w:type="dxa"/>
          </w:tcPr>
          <w:p>
            <w:pPr>
              <w:pStyle w:val="TableParagraph"/>
              <w:rPr>
                <w:sz w:val="22"/>
              </w:rPr>
            </w:pPr>
            <w:r>
              <w:rPr>
                <w:w w:val="100"/>
                <w:sz w:val="22"/>
              </w:rPr>
              <w:t>2</w:t>
            </w:r>
          </w:p>
        </w:tc>
      </w:tr>
      <w:tr>
        <w:trPr>
          <w:trHeight w:val="310" w:hRule="exact"/>
        </w:trPr>
        <w:tc>
          <w:tcPr>
            <w:tcW w:w="530" w:type="dxa"/>
          </w:tcPr>
          <w:p>
            <w:pPr>
              <w:pStyle w:val="TableParagraph"/>
              <w:ind w:left="102" w:right="44"/>
              <w:jc w:val="center"/>
              <w:rPr>
                <w:sz w:val="22"/>
              </w:rPr>
            </w:pPr>
            <w:r>
              <w:rPr>
                <w:sz w:val="22"/>
              </w:rPr>
              <w:t>129</w:t>
            </w:r>
          </w:p>
        </w:tc>
        <w:tc>
          <w:tcPr>
            <w:tcW w:w="1202" w:type="dxa"/>
          </w:tcPr>
          <w:p>
            <w:pPr>
              <w:pStyle w:val="TableParagraph"/>
              <w:ind w:left="45" w:right="44"/>
              <w:jc w:val="center"/>
              <w:rPr>
                <w:sz w:val="22"/>
              </w:rPr>
            </w:pPr>
            <w:r>
              <w:rPr>
                <w:sz w:val="22"/>
              </w:rPr>
              <w:t>26/10/2009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130</w:t>
            </w:r>
          </w:p>
        </w:tc>
        <w:tc>
          <w:tcPr>
            <w:tcW w:w="1202" w:type="dxa"/>
          </w:tcPr>
          <w:p>
            <w:pPr>
              <w:pStyle w:val="TableParagraph"/>
              <w:ind w:left="45" w:right="44"/>
              <w:jc w:val="center"/>
              <w:rPr>
                <w:sz w:val="22"/>
              </w:rPr>
            </w:pPr>
            <w:r>
              <w:rPr>
                <w:sz w:val="22"/>
              </w:rPr>
              <w:t>27/10/2009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131</w:t>
            </w:r>
          </w:p>
        </w:tc>
        <w:tc>
          <w:tcPr>
            <w:tcW w:w="1202" w:type="dxa"/>
          </w:tcPr>
          <w:p>
            <w:pPr>
              <w:pStyle w:val="TableParagraph"/>
              <w:ind w:left="45" w:right="44"/>
              <w:jc w:val="center"/>
              <w:rPr>
                <w:sz w:val="22"/>
              </w:rPr>
            </w:pPr>
            <w:r>
              <w:rPr>
                <w:sz w:val="22"/>
              </w:rPr>
              <w:t>28/10/2009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ind w:left="102" w:right="44"/>
              <w:jc w:val="center"/>
              <w:rPr>
                <w:sz w:val="22"/>
              </w:rPr>
            </w:pPr>
            <w:r>
              <w:rPr>
                <w:sz w:val="22"/>
              </w:rPr>
              <w:t>132</w:t>
            </w:r>
          </w:p>
        </w:tc>
        <w:tc>
          <w:tcPr>
            <w:tcW w:w="1202" w:type="dxa"/>
          </w:tcPr>
          <w:p>
            <w:pPr>
              <w:pStyle w:val="TableParagraph"/>
              <w:spacing w:before="30"/>
              <w:ind w:left="45" w:right="44"/>
              <w:jc w:val="center"/>
              <w:rPr>
                <w:sz w:val="22"/>
              </w:rPr>
            </w:pPr>
            <w:r>
              <w:rPr>
                <w:sz w:val="22"/>
              </w:rPr>
              <w:t>29/10/2009</w:t>
            </w:r>
          </w:p>
        </w:tc>
        <w:tc>
          <w:tcPr>
            <w:tcW w:w="1301" w:type="dxa"/>
          </w:tcPr>
          <w:p>
            <w:pPr>
              <w:pStyle w:val="TableParagraph"/>
              <w:spacing w:before="30"/>
              <w:ind w:right="63"/>
              <w:rPr>
                <w:sz w:val="22"/>
              </w:rPr>
            </w:pPr>
            <w:r>
              <w:rPr>
                <w:sz w:val="22"/>
              </w:rPr>
              <w:t>382</w:t>
            </w:r>
          </w:p>
        </w:tc>
        <w:tc>
          <w:tcPr>
            <w:tcW w:w="1200" w:type="dxa"/>
          </w:tcPr>
          <w:p>
            <w:pPr>
              <w:pStyle w:val="TableParagraph"/>
              <w:spacing w:before="30"/>
              <w:rPr>
                <w:sz w:val="22"/>
              </w:rPr>
            </w:pPr>
            <w:r>
              <w:rPr>
                <w:sz w:val="22"/>
              </w:rPr>
              <w:t>385.72</w:t>
            </w:r>
          </w:p>
        </w:tc>
        <w:tc>
          <w:tcPr>
            <w:tcW w:w="1200" w:type="dxa"/>
          </w:tcPr>
          <w:p>
            <w:pPr>
              <w:pStyle w:val="TableParagraph"/>
              <w:spacing w:before="30"/>
              <w:rPr>
                <w:sz w:val="22"/>
              </w:rPr>
            </w:pPr>
            <w:r>
              <w:rPr>
                <w:sz w:val="22"/>
              </w:rPr>
              <w:t>147.35</w:t>
            </w:r>
          </w:p>
        </w:tc>
        <w:tc>
          <w:tcPr>
            <w:tcW w:w="1200" w:type="dxa"/>
          </w:tcPr>
          <w:p>
            <w:pPr>
              <w:pStyle w:val="TableParagraph"/>
              <w:spacing w:before="30"/>
              <w:rPr>
                <w:sz w:val="22"/>
              </w:rPr>
            </w:pPr>
            <w:r>
              <w:rPr>
                <w:sz w:val="22"/>
              </w:rPr>
              <w:t>23.46</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133</w:t>
            </w:r>
          </w:p>
        </w:tc>
        <w:tc>
          <w:tcPr>
            <w:tcW w:w="1202" w:type="dxa"/>
          </w:tcPr>
          <w:p>
            <w:pPr>
              <w:pStyle w:val="TableParagraph"/>
              <w:ind w:left="45" w:right="44"/>
              <w:jc w:val="center"/>
              <w:rPr>
                <w:sz w:val="22"/>
              </w:rPr>
            </w:pPr>
            <w:r>
              <w:rPr>
                <w:sz w:val="22"/>
              </w:rPr>
              <w:t>30/10/2009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134</w:t>
            </w:r>
          </w:p>
        </w:tc>
        <w:tc>
          <w:tcPr>
            <w:tcW w:w="1202" w:type="dxa"/>
          </w:tcPr>
          <w:p>
            <w:pPr>
              <w:pStyle w:val="TableParagraph"/>
              <w:ind w:left="45" w:right="44"/>
              <w:jc w:val="center"/>
              <w:rPr>
                <w:sz w:val="22"/>
              </w:rPr>
            </w:pPr>
            <w:r>
              <w:rPr>
                <w:sz w:val="22"/>
              </w:rPr>
              <w:t>31/10/2009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135</w:t>
            </w:r>
          </w:p>
        </w:tc>
        <w:tc>
          <w:tcPr>
            <w:tcW w:w="1202" w:type="dxa"/>
          </w:tcPr>
          <w:p>
            <w:pPr>
              <w:pStyle w:val="TableParagraph"/>
              <w:ind w:left="45" w:right="44"/>
              <w:jc w:val="center"/>
              <w:rPr>
                <w:sz w:val="22"/>
              </w:rPr>
            </w:pPr>
            <w:r>
              <w:rPr>
                <w:sz w:val="22"/>
              </w:rPr>
              <w:t>01/11/2009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136</w:t>
            </w:r>
          </w:p>
        </w:tc>
        <w:tc>
          <w:tcPr>
            <w:tcW w:w="1202" w:type="dxa"/>
          </w:tcPr>
          <w:p>
            <w:pPr>
              <w:pStyle w:val="TableParagraph"/>
              <w:ind w:left="45" w:right="44"/>
              <w:jc w:val="center"/>
              <w:rPr>
                <w:sz w:val="22"/>
              </w:rPr>
            </w:pPr>
            <w:r>
              <w:rPr>
                <w:sz w:val="22"/>
              </w:rPr>
              <w:t>02/11/2009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137</w:t>
            </w:r>
          </w:p>
        </w:tc>
        <w:tc>
          <w:tcPr>
            <w:tcW w:w="1202" w:type="dxa"/>
          </w:tcPr>
          <w:p>
            <w:pPr>
              <w:pStyle w:val="TableParagraph"/>
              <w:ind w:left="45" w:right="44"/>
              <w:jc w:val="center"/>
              <w:rPr>
                <w:sz w:val="22"/>
              </w:rPr>
            </w:pPr>
            <w:r>
              <w:rPr>
                <w:sz w:val="22"/>
              </w:rPr>
              <w:t>03/11/2009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ind w:left="102" w:right="44"/>
              <w:jc w:val="center"/>
              <w:rPr>
                <w:sz w:val="22"/>
              </w:rPr>
            </w:pPr>
            <w:r>
              <w:rPr>
                <w:sz w:val="22"/>
              </w:rPr>
              <w:t>138</w:t>
            </w:r>
          </w:p>
        </w:tc>
        <w:tc>
          <w:tcPr>
            <w:tcW w:w="1202" w:type="dxa"/>
          </w:tcPr>
          <w:p>
            <w:pPr>
              <w:pStyle w:val="TableParagraph"/>
              <w:spacing w:before="30"/>
              <w:ind w:left="45" w:right="44"/>
              <w:jc w:val="center"/>
              <w:rPr>
                <w:sz w:val="22"/>
              </w:rPr>
            </w:pPr>
            <w:r>
              <w:rPr>
                <w:sz w:val="22"/>
              </w:rPr>
              <w:t>04/11/2009</w:t>
            </w:r>
          </w:p>
        </w:tc>
        <w:tc>
          <w:tcPr>
            <w:tcW w:w="1301" w:type="dxa"/>
          </w:tcPr>
          <w:p>
            <w:pPr>
              <w:pStyle w:val="TableParagraph"/>
              <w:spacing w:before="30"/>
              <w:ind w:right="63"/>
              <w:rPr>
                <w:sz w:val="22"/>
              </w:rPr>
            </w:pPr>
            <w:r>
              <w:rPr>
                <w:sz w:val="22"/>
              </w:rPr>
              <w:t>382</w:t>
            </w:r>
          </w:p>
        </w:tc>
        <w:tc>
          <w:tcPr>
            <w:tcW w:w="1200" w:type="dxa"/>
          </w:tcPr>
          <w:p>
            <w:pPr>
              <w:pStyle w:val="TableParagraph"/>
              <w:spacing w:before="30"/>
              <w:rPr>
                <w:sz w:val="22"/>
              </w:rPr>
            </w:pPr>
            <w:r>
              <w:rPr>
                <w:sz w:val="22"/>
              </w:rPr>
              <w:t>385.72</w:t>
            </w:r>
          </w:p>
        </w:tc>
        <w:tc>
          <w:tcPr>
            <w:tcW w:w="1200" w:type="dxa"/>
          </w:tcPr>
          <w:p>
            <w:pPr>
              <w:pStyle w:val="TableParagraph"/>
              <w:spacing w:before="30"/>
              <w:rPr>
                <w:sz w:val="22"/>
              </w:rPr>
            </w:pPr>
            <w:r>
              <w:rPr>
                <w:sz w:val="22"/>
              </w:rPr>
              <w:t>147.35</w:t>
            </w:r>
          </w:p>
        </w:tc>
        <w:tc>
          <w:tcPr>
            <w:tcW w:w="1200" w:type="dxa"/>
          </w:tcPr>
          <w:p>
            <w:pPr>
              <w:pStyle w:val="TableParagraph"/>
              <w:spacing w:before="30"/>
              <w:rPr>
                <w:sz w:val="22"/>
              </w:rPr>
            </w:pPr>
            <w:r>
              <w:rPr>
                <w:sz w:val="22"/>
              </w:rPr>
              <w:t>23.46</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139</w:t>
            </w:r>
          </w:p>
        </w:tc>
        <w:tc>
          <w:tcPr>
            <w:tcW w:w="1202" w:type="dxa"/>
          </w:tcPr>
          <w:p>
            <w:pPr>
              <w:pStyle w:val="TableParagraph"/>
              <w:ind w:left="45" w:right="44"/>
              <w:jc w:val="center"/>
              <w:rPr>
                <w:sz w:val="22"/>
              </w:rPr>
            </w:pPr>
            <w:r>
              <w:rPr>
                <w:sz w:val="22"/>
              </w:rPr>
              <w:t>05/11/2009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140</w:t>
            </w:r>
          </w:p>
        </w:tc>
        <w:tc>
          <w:tcPr>
            <w:tcW w:w="1202" w:type="dxa"/>
          </w:tcPr>
          <w:p>
            <w:pPr>
              <w:pStyle w:val="TableParagraph"/>
              <w:ind w:left="45" w:right="44"/>
              <w:jc w:val="center"/>
              <w:rPr>
                <w:sz w:val="22"/>
              </w:rPr>
            </w:pPr>
            <w:r>
              <w:rPr>
                <w:sz w:val="22"/>
              </w:rPr>
              <w:t>06/11/2009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141</w:t>
            </w:r>
          </w:p>
        </w:tc>
        <w:tc>
          <w:tcPr>
            <w:tcW w:w="1202" w:type="dxa"/>
          </w:tcPr>
          <w:p>
            <w:pPr>
              <w:pStyle w:val="TableParagraph"/>
              <w:ind w:left="45" w:right="44"/>
              <w:jc w:val="center"/>
              <w:rPr>
                <w:sz w:val="22"/>
              </w:rPr>
            </w:pPr>
            <w:r>
              <w:rPr>
                <w:sz w:val="22"/>
              </w:rPr>
              <w:t>07/11/2009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142</w:t>
            </w:r>
          </w:p>
        </w:tc>
        <w:tc>
          <w:tcPr>
            <w:tcW w:w="1202" w:type="dxa"/>
          </w:tcPr>
          <w:p>
            <w:pPr>
              <w:pStyle w:val="TableParagraph"/>
              <w:ind w:left="45" w:right="44"/>
              <w:jc w:val="center"/>
              <w:rPr>
                <w:sz w:val="22"/>
              </w:rPr>
            </w:pPr>
            <w:r>
              <w:rPr>
                <w:sz w:val="22"/>
              </w:rPr>
              <w:t>08/11/2009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ind w:left="102" w:right="44"/>
              <w:jc w:val="center"/>
              <w:rPr>
                <w:sz w:val="22"/>
              </w:rPr>
            </w:pPr>
            <w:r>
              <w:rPr>
                <w:sz w:val="22"/>
              </w:rPr>
              <w:t>143</w:t>
            </w:r>
          </w:p>
        </w:tc>
        <w:tc>
          <w:tcPr>
            <w:tcW w:w="1202" w:type="dxa"/>
          </w:tcPr>
          <w:p>
            <w:pPr>
              <w:pStyle w:val="TableParagraph"/>
              <w:ind w:left="45" w:right="44"/>
              <w:jc w:val="center"/>
              <w:rPr>
                <w:sz w:val="22"/>
              </w:rPr>
            </w:pPr>
            <w:r>
              <w:rPr>
                <w:sz w:val="22"/>
              </w:rPr>
              <w:t>09/11/2009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14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30"/>
        <w:gridCol w:w="1202"/>
        <w:gridCol w:w="1301"/>
        <w:gridCol w:w="1200"/>
        <w:gridCol w:w="1200"/>
        <w:gridCol w:w="1200"/>
        <w:gridCol w:w="1200"/>
      </w:tblGrid>
      <w:tr>
        <w:trPr>
          <w:trHeight w:val="655" w:hRule="exact"/>
        </w:trPr>
        <w:tc>
          <w:tcPr>
            <w:tcW w:w="530" w:type="dxa"/>
            <w:shd w:val="clear" w:color="auto" w:fill="D99795"/>
          </w:tcPr>
          <w:p>
            <w:pPr>
              <w:pStyle w:val="TableParagraph"/>
              <w:spacing w:before="186"/>
              <w:ind w:left="44" w:right="44"/>
              <w:jc w:val="center"/>
              <w:rPr>
                <w:b/>
                <w:sz w:val="22"/>
              </w:rPr>
            </w:pPr>
            <w:r>
              <w:rPr>
                <w:b/>
                <w:sz w:val="22"/>
              </w:rPr>
              <w:t>Días</w:t>
            </w:r>
          </w:p>
        </w:tc>
        <w:tc>
          <w:tcPr>
            <w:tcW w:w="1202" w:type="dxa"/>
            <w:shd w:val="clear" w:color="auto" w:fill="D99795"/>
          </w:tcPr>
          <w:p>
            <w:pPr>
              <w:pStyle w:val="TableParagraph"/>
              <w:spacing w:before="186"/>
              <w:ind w:left="44" w:right="44"/>
              <w:jc w:val="center"/>
              <w:rPr>
                <w:b/>
                <w:sz w:val="22"/>
              </w:rPr>
            </w:pPr>
            <w:r>
              <w:rPr>
                <w:b/>
                <w:sz w:val="22"/>
              </w:rPr>
              <w:t>Fecha</w:t>
            </w:r>
          </w:p>
        </w:tc>
        <w:tc>
          <w:tcPr>
            <w:tcW w:w="1301" w:type="dxa"/>
            <w:shd w:val="clear" w:color="auto" w:fill="D99795"/>
          </w:tcPr>
          <w:p>
            <w:pPr>
              <w:pStyle w:val="TableParagraph"/>
              <w:spacing w:before="52"/>
              <w:ind w:left="424" w:right="179" w:hanging="231"/>
              <w:jc w:val="left"/>
              <w:rPr>
                <w:b/>
                <w:sz w:val="22"/>
              </w:rPr>
            </w:pPr>
            <w:r>
              <w:rPr>
                <w:b/>
                <w:sz w:val="22"/>
              </w:rPr>
              <w:t>Población (org)</w:t>
            </w:r>
          </w:p>
        </w:tc>
        <w:tc>
          <w:tcPr>
            <w:tcW w:w="1200" w:type="dxa"/>
            <w:shd w:val="clear" w:color="auto" w:fill="D99795"/>
          </w:tcPr>
          <w:p>
            <w:pPr>
              <w:pStyle w:val="TableParagraph"/>
              <w:spacing w:before="186"/>
              <w:ind w:left="232" w:right="87"/>
              <w:jc w:val="left"/>
              <w:rPr>
                <w:b/>
                <w:sz w:val="22"/>
              </w:rPr>
            </w:pPr>
            <w:r>
              <w:rPr>
                <w:b/>
                <w:sz w:val="22"/>
              </w:rPr>
              <w:t>Peso (g)</w:t>
            </w:r>
          </w:p>
        </w:tc>
        <w:tc>
          <w:tcPr>
            <w:tcW w:w="1200" w:type="dxa"/>
            <w:shd w:val="clear" w:color="auto" w:fill="D99795"/>
          </w:tcPr>
          <w:p>
            <w:pPr>
              <w:pStyle w:val="TableParagraph"/>
              <w:spacing w:before="52"/>
              <w:ind w:left="419" w:right="187" w:hanging="216"/>
              <w:jc w:val="left"/>
              <w:rPr>
                <w:b/>
                <w:sz w:val="22"/>
              </w:rPr>
            </w:pPr>
            <w:r>
              <w:rPr>
                <w:b/>
                <w:sz w:val="22"/>
              </w:rPr>
              <w:t>Biomasa (kg)</w:t>
            </w:r>
          </w:p>
        </w:tc>
        <w:tc>
          <w:tcPr>
            <w:tcW w:w="1200" w:type="dxa"/>
            <w:shd w:val="clear" w:color="auto" w:fill="D99795"/>
          </w:tcPr>
          <w:p>
            <w:pPr>
              <w:pStyle w:val="TableParagraph"/>
              <w:spacing w:line="268" w:lineRule="exact" w:before="47"/>
              <w:ind w:left="249" w:right="149" w:hanging="82"/>
              <w:jc w:val="left"/>
              <w:rPr>
                <w:b/>
                <w:sz w:val="22"/>
              </w:rPr>
            </w:pPr>
            <w:r>
              <w:rPr>
                <w:b/>
                <w:sz w:val="22"/>
              </w:rPr>
              <w:t>Densidad (kg/m</w:t>
            </w:r>
            <w:r>
              <w:rPr>
                <w:b/>
                <w:position w:val="10"/>
                <w:sz w:val="14"/>
              </w:rPr>
              <w:t>3</w:t>
            </w:r>
            <w:r>
              <w:rPr>
                <w:b/>
                <w:sz w:val="22"/>
              </w:rPr>
              <w:t>)</w:t>
            </w:r>
          </w:p>
        </w:tc>
        <w:tc>
          <w:tcPr>
            <w:tcW w:w="1200" w:type="dxa"/>
            <w:shd w:val="clear" w:color="auto" w:fill="D99795"/>
          </w:tcPr>
          <w:p>
            <w:pPr>
              <w:pStyle w:val="TableParagraph"/>
              <w:spacing w:before="52"/>
              <w:ind w:left="376" w:right="64" w:hanging="296"/>
              <w:jc w:val="left"/>
              <w:rPr>
                <w:b/>
                <w:sz w:val="22"/>
              </w:rPr>
            </w:pPr>
            <w:r>
              <w:rPr>
                <w:b/>
                <w:sz w:val="22"/>
              </w:rPr>
              <w:t>Mortalidad (org)</w:t>
            </w:r>
          </w:p>
        </w:tc>
      </w:tr>
      <w:tr>
        <w:trPr>
          <w:trHeight w:val="310" w:hRule="exact"/>
        </w:trPr>
        <w:tc>
          <w:tcPr>
            <w:tcW w:w="530" w:type="dxa"/>
          </w:tcPr>
          <w:p>
            <w:pPr>
              <w:pStyle w:val="TableParagraph"/>
              <w:ind w:left="102" w:right="44"/>
              <w:jc w:val="center"/>
              <w:rPr>
                <w:sz w:val="22"/>
              </w:rPr>
            </w:pPr>
            <w:r>
              <w:rPr>
                <w:sz w:val="22"/>
              </w:rPr>
              <w:t>144</w:t>
            </w:r>
          </w:p>
        </w:tc>
        <w:tc>
          <w:tcPr>
            <w:tcW w:w="1202" w:type="dxa"/>
          </w:tcPr>
          <w:p>
            <w:pPr>
              <w:pStyle w:val="TableParagraph"/>
              <w:ind w:left="45" w:right="44"/>
              <w:jc w:val="center"/>
              <w:rPr>
                <w:sz w:val="22"/>
              </w:rPr>
            </w:pPr>
            <w:r>
              <w:rPr>
                <w:sz w:val="22"/>
              </w:rPr>
              <w:t>10/11/2009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145</w:t>
            </w:r>
          </w:p>
        </w:tc>
        <w:tc>
          <w:tcPr>
            <w:tcW w:w="1202" w:type="dxa"/>
          </w:tcPr>
          <w:p>
            <w:pPr>
              <w:pStyle w:val="TableParagraph"/>
              <w:ind w:left="45" w:right="44"/>
              <w:jc w:val="center"/>
              <w:rPr>
                <w:sz w:val="22"/>
              </w:rPr>
            </w:pPr>
            <w:r>
              <w:rPr>
                <w:sz w:val="22"/>
              </w:rPr>
              <w:t>11/11/2009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146</w:t>
            </w:r>
          </w:p>
        </w:tc>
        <w:tc>
          <w:tcPr>
            <w:tcW w:w="1202" w:type="dxa"/>
          </w:tcPr>
          <w:p>
            <w:pPr>
              <w:pStyle w:val="TableParagraph"/>
              <w:ind w:left="45" w:right="44"/>
              <w:jc w:val="center"/>
              <w:rPr>
                <w:sz w:val="22"/>
              </w:rPr>
            </w:pPr>
            <w:r>
              <w:rPr>
                <w:sz w:val="22"/>
              </w:rPr>
              <w:t>12/11/2009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385.72</w:t>
            </w:r>
          </w:p>
        </w:tc>
        <w:tc>
          <w:tcPr>
            <w:tcW w:w="1200" w:type="dxa"/>
          </w:tcPr>
          <w:p>
            <w:pPr>
              <w:pStyle w:val="TableParagraph"/>
              <w:rPr>
                <w:sz w:val="22"/>
              </w:rPr>
            </w:pPr>
            <w:r>
              <w:rPr>
                <w:sz w:val="22"/>
              </w:rPr>
              <w:t>147.35</w:t>
            </w:r>
          </w:p>
        </w:tc>
        <w:tc>
          <w:tcPr>
            <w:tcW w:w="1200" w:type="dxa"/>
          </w:tcPr>
          <w:p>
            <w:pPr>
              <w:pStyle w:val="TableParagraph"/>
              <w:rPr>
                <w:sz w:val="22"/>
              </w:rPr>
            </w:pPr>
            <w:r>
              <w:rPr>
                <w:sz w:val="22"/>
              </w:rPr>
              <w:t>23.46</w:t>
            </w:r>
          </w:p>
        </w:tc>
        <w:tc>
          <w:tcPr>
            <w:tcW w:w="1200" w:type="dxa"/>
          </w:tcPr>
          <w:p>
            <w:pPr>
              <w:pStyle w:val="TableParagraph"/>
              <w:rPr>
                <w:sz w:val="22"/>
              </w:rPr>
            </w:pPr>
            <w:r>
              <w:rPr>
                <w:w w:val="100"/>
                <w:sz w:val="22"/>
              </w:rPr>
              <w:t>0</w:t>
            </w:r>
          </w:p>
        </w:tc>
      </w:tr>
      <w:tr>
        <w:trPr>
          <w:trHeight w:val="312" w:hRule="exact"/>
        </w:trPr>
        <w:tc>
          <w:tcPr>
            <w:tcW w:w="530" w:type="dxa"/>
          </w:tcPr>
          <w:p>
            <w:pPr>
              <w:pStyle w:val="TableParagraph"/>
              <w:spacing w:before="30"/>
              <w:ind w:left="102" w:right="44"/>
              <w:jc w:val="center"/>
              <w:rPr>
                <w:sz w:val="22"/>
              </w:rPr>
            </w:pPr>
            <w:r>
              <w:rPr>
                <w:sz w:val="22"/>
              </w:rPr>
              <w:t>147</w:t>
            </w:r>
          </w:p>
        </w:tc>
        <w:tc>
          <w:tcPr>
            <w:tcW w:w="1202" w:type="dxa"/>
          </w:tcPr>
          <w:p>
            <w:pPr>
              <w:pStyle w:val="TableParagraph"/>
              <w:spacing w:before="30"/>
              <w:ind w:left="45" w:right="44"/>
              <w:jc w:val="center"/>
              <w:rPr>
                <w:sz w:val="22"/>
              </w:rPr>
            </w:pPr>
            <w:r>
              <w:rPr>
                <w:sz w:val="22"/>
              </w:rPr>
              <w:t>13/11/2009</w:t>
            </w:r>
          </w:p>
        </w:tc>
        <w:tc>
          <w:tcPr>
            <w:tcW w:w="1301" w:type="dxa"/>
          </w:tcPr>
          <w:p>
            <w:pPr>
              <w:pStyle w:val="TableParagraph"/>
              <w:spacing w:before="30"/>
              <w:ind w:right="63"/>
              <w:rPr>
                <w:sz w:val="22"/>
              </w:rPr>
            </w:pPr>
            <w:r>
              <w:rPr>
                <w:sz w:val="22"/>
              </w:rPr>
              <w:t>382</w:t>
            </w:r>
          </w:p>
        </w:tc>
        <w:tc>
          <w:tcPr>
            <w:tcW w:w="1200" w:type="dxa"/>
          </w:tcPr>
          <w:p>
            <w:pPr>
              <w:pStyle w:val="TableParagraph"/>
              <w:spacing w:before="30"/>
              <w:rPr>
                <w:sz w:val="22"/>
              </w:rPr>
            </w:pPr>
            <w:r>
              <w:rPr>
                <w:sz w:val="22"/>
              </w:rPr>
              <w:t>385.72</w:t>
            </w:r>
          </w:p>
        </w:tc>
        <w:tc>
          <w:tcPr>
            <w:tcW w:w="1200" w:type="dxa"/>
          </w:tcPr>
          <w:p>
            <w:pPr>
              <w:pStyle w:val="TableParagraph"/>
              <w:spacing w:before="30"/>
              <w:rPr>
                <w:sz w:val="22"/>
              </w:rPr>
            </w:pPr>
            <w:r>
              <w:rPr>
                <w:sz w:val="22"/>
              </w:rPr>
              <w:t>147.35</w:t>
            </w:r>
          </w:p>
        </w:tc>
        <w:tc>
          <w:tcPr>
            <w:tcW w:w="1200" w:type="dxa"/>
          </w:tcPr>
          <w:p>
            <w:pPr>
              <w:pStyle w:val="TableParagraph"/>
              <w:spacing w:before="30"/>
              <w:rPr>
                <w:sz w:val="22"/>
              </w:rPr>
            </w:pPr>
            <w:r>
              <w:rPr>
                <w:sz w:val="22"/>
              </w:rPr>
              <w:t>23.46</w:t>
            </w:r>
          </w:p>
        </w:tc>
        <w:tc>
          <w:tcPr>
            <w:tcW w:w="1200" w:type="dxa"/>
          </w:tcPr>
          <w:p>
            <w:pPr>
              <w:pStyle w:val="TableParagraph"/>
              <w:spacing w:before="30"/>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148</w:t>
            </w:r>
          </w:p>
        </w:tc>
        <w:tc>
          <w:tcPr>
            <w:tcW w:w="1202" w:type="dxa"/>
          </w:tcPr>
          <w:p>
            <w:pPr>
              <w:pStyle w:val="TableParagraph"/>
              <w:ind w:left="45" w:right="44"/>
              <w:jc w:val="center"/>
              <w:rPr>
                <w:sz w:val="22"/>
              </w:rPr>
            </w:pPr>
            <w:r>
              <w:rPr>
                <w:sz w:val="22"/>
              </w:rPr>
              <w:t>14/11/2009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471.32</w:t>
            </w:r>
          </w:p>
        </w:tc>
        <w:tc>
          <w:tcPr>
            <w:tcW w:w="1200" w:type="dxa"/>
          </w:tcPr>
          <w:p>
            <w:pPr>
              <w:pStyle w:val="TableParagraph"/>
              <w:rPr>
                <w:sz w:val="22"/>
              </w:rPr>
            </w:pPr>
            <w:r>
              <w:rPr>
                <w:sz w:val="22"/>
              </w:rPr>
              <w:t>180.04</w:t>
            </w:r>
          </w:p>
        </w:tc>
        <w:tc>
          <w:tcPr>
            <w:tcW w:w="1200" w:type="dxa"/>
          </w:tcPr>
          <w:p>
            <w:pPr>
              <w:pStyle w:val="TableParagraph"/>
              <w:rPr>
                <w:sz w:val="22"/>
              </w:rPr>
            </w:pPr>
            <w:r>
              <w:rPr>
                <w:sz w:val="22"/>
              </w:rPr>
              <w:t>28.67</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149</w:t>
            </w:r>
          </w:p>
        </w:tc>
        <w:tc>
          <w:tcPr>
            <w:tcW w:w="1202" w:type="dxa"/>
          </w:tcPr>
          <w:p>
            <w:pPr>
              <w:pStyle w:val="TableParagraph"/>
              <w:ind w:left="45" w:right="44"/>
              <w:jc w:val="center"/>
              <w:rPr>
                <w:sz w:val="22"/>
              </w:rPr>
            </w:pPr>
            <w:r>
              <w:rPr>
                <w:sz w:val="22"/>
              </w:rPr>
              <w:t>15/11/2009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472.31</w:t>
            </w:r>
          </w:p>
        </w:tc>
        <w:tc>
          <w:tcPr>
            <w:tcW w:w="1200" w:type="dxa"/>
          </w:tcPr>
          <w:p>
            <w:pPr>
              <w:pStyle w:val="TableParagraph"/>
              <w:rPr>
                <w:sz w:val="22"/>
              </w:rPr>
            </w:pPr>
            <w:r>
              <w:rPr>
                <w:sz w:val="22"/>
              </w:rPr>
              <w:t>180.42</w:t>
            </w:r>
          </w:p>
        </w:tc>
        <w:tc>
          <w:tcPr>
            <w:tcW w:w="1200" w:type="dxa"/>
          </w:tcPr>
          <w:p>
            <w:pPr>
              <w:pStyle w:val="TableParagraph"/>
              <w:rPr>
                <w:sz w:val="22"/>
              </w:rPr>
            </w:pPr>
            <w:r>
              <w:rPr>
                <w:sz w:val="22"/>
              </w:rPr>
              <w:t>28.73</w:t>
            </w:r>
          </w:p>
        </w:tc>
        <w:tc>
          <w:tcPr>
            <w:tcW w:w="1200" w:type="dxa"/>
          </w:tcPr>
          <w:p>
            <w:pPr>
              <w:pStyle w:val="TableParagraph"/>
              <w:rPr>
                <w:sz w:val="22"/>
              </w:rPr>
            </w:pPr>
            <w:r>
              <w:rPr>
                <w:w w:val="100"/>
                <w:sz w:val="22"/>
              </w:rPr>
              <w:t>0</w:t>
            </w:r>
          </w:p>
        </w:tc>
      </w:tr>
      <w:tr>
        <w:trPr>
          <w:trHeight w:val="310" w:hRule="exact"/>
        </w:trPr>
        <w:tc>
          <w:tcPr>
            <w:tcW w:w="530" w:type="dxa"/>
          </w:tcPr>
          <w:p>
            <w:pPr>
              <w:pStyle w:val="TableParagraph"/>
              <w:ind w:left="102" w:right="44"/>
              <w:jc w:val="center"/>
              <w:rPr>
                <w:sz w:val="22"/>
              </w:rPr>
            </w:pPr>
            <w:r>
              <w:rPr>
                <w:sz w:val="22"/>
              </w:rPr>
              <w:t>150</w:t>
            </w:r>
          </w:p>
        </w:tc>
        <w:tc>
          <w:tcPr>
            <w:tcW w:w="1202" w:type="dxa"/>
          </w:tcPr>
          <w:p>
            <w:pPr>
              <w:pStyle w:val="TableParagraph"/>
              <w:ind w:left="45" w:right="44"/>
              <w:jc w:val="center"/>
              <w:rPr>
                <w:sz w:val="22"/>
              </w:rPr>
            </w:pPr>
            <w:r>
              <w:rPr>
                <w:sz w:val="22"/>
              </w:rPr>
              <w:t>16/11/2009</w:t>
            </w:r>
          </w:p>
        </w:tc>
        <w:tc>
          <w:tcPr>
            <w:tcW w:w="1301" w:type="dxa"/>
          </w:tcPr>
          <w:p>
            <w:pPr>
              <w:pStyle w:val="TableParagraph"/>
              <w:ind w:right="63"/>
              <w:rPr>
                <w:sz w:val="22"/>
              </w:rPr>
            </w:pPr>
            <w:r>
              <w:rPr>
                <w:sz w:val="22"/>
              </w:rPr>
              <w:t>382</w:t>
            </w:r>
          </w:p>
        </w:tc>
        <w:tc>
          <w:tcPr>
            <w:tcW w:w="1200" w:type="dxa"/>
          </w:tcPr>
          <w:p>
            <w:pPr>
              <w:pStyle w:val="TableParagraph"/>
              <w:rPr>
                <w:sz w:val="22"/>
              </w:rPr>
            </w:pPr>
            <w:r>
              <w:rPr>
                <w:sz w:val="22"/>
              </w:rPr>
              <w:t>472.31</w:t>
            </w:r>
          </w:p>
        </w:tc>
        <w:tc>
          <w:tcPr>
            <w:tcW w:w="1200" w:type="dxa"/>
          </w:tcPr>
          <w:p>
            <w:pPr>
              <w:pStyle w:val="TableParagraph"/>
              <w:rPr>
                <w:sz w:val="22"/>
              </w:rPr>
            </w:pPr>
            <w:r>
              <w:rPr>
                <w:sz w:val="22"/>
              </w:rPr>
              <w:t>180.42</w:t>
            </w:r>
          </w:p>
        </w:tc>
        <w:tc>
          <w:tcPr>
            <w:tcW w:w="1200" w:type="dxa"/>
          </w:tcPr>
          <w:p>
            <w:pPr>
              <w:pStyle w:val="TableParagraph"/>
              <w:rPr>
                <w:sz w:val="22"/>
              </w:rPr>
            </w:pPr>
            <w:r>
              <w:rPr>
                <w:sz w:val="22"/>
              </w:rPr>
              <w:t>28.73</w:t>
            </w:r>
          </w:p>
        </w:tc>
        <w:tc>
          <w:tcPr>
            <w:tcW w:w="1200" w:type="dxa"/>
          </w:tcPr>
          <w:p>
            <w:pPr>
              <w:pStyle w:val="TableParagraph"/>
              <w:rPr>
                <w:sz w:val="22"/>
              </w:rPr>
            </w:pPr>
            <w:r>
              <w:rPr>
                <w:sz w:val="22"/>
              </w:rPr>
              <w:t>383</w:t>
            </w:r>
          </w:p>
        </w:tc>
      </w:tr>
    </w:tbl>
    <w:p>
      <w:pPr>
        <w:spacing w:after="0"/>
        <w:rPr>
          <w:sz w:val="22"/>
        </w:rPr>
        <w:sectPr>
          <w:pgSz w:w="12240" w:h="15840"/>
          <w:pgMar w:header="725" w:footer="1084" w:top="1340" w:bottom="1280" w:left="920" w:right="1200"/>
        </w:sectPr>
      </w:pPr>
    </w:p>
    <w:p>
      <w:pPr>
        <w:pStyle w:val="Heading5"/>
        <w:spacing w:before="172"/>
        <w:ind w:left="781" w:right="1859"/>
        <w:jc w:val="left"/>
      </w:pPr>
      <w:bookmarkStart w:name="_TOC_250003" w:id="208"/>
      <w:bookmarkStart w:name="Anexo 5. Resultados de la prueba Plakett" w:id="209"/>
      <w:r>
        <w:rPr>
          <w:b w:val="0"/>
        </w:rPr>
      </w:r>
      <w:bookmarkEnd w:id="208"/>
      <w:r>
        <w:rPr/>
        <w:t>ANEXO 5. RESULTADOS DE LA PRUEBA PLAKETT – BURMAN PARA EL CONSUMO DE OXÍGENO</w:t>
      </w:r>
    </w:p>
    <w:p>
      <w:pPr>
        <w:pStyle w:val="BodyText"/>
        <w:rPr>
          <w:b/>
          <w:sz w:val="20"/>
        </w:rPr>
      </w:pPr>
    </w:p>
    <w:p>
      <w:pPr>
        <w:pStyle w:val="BodyText"/>
        <w:spacing w:before="6"/>
        <w:rPr>
          <w:b/>
          <w:sz w:val="24"/>
        </w:rPr>
      </w:pPr>
    </w:p>
    <w:tbl>
      <w:tblPr>
        <w:tblW w:w="0" w:type="auto"/>
        <w:jc w:val="left"/>
        <w:tblInd w:w="7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01"/>
        <w:gridCol w:w="458"/>
        <w:gridCol w:w="461"/>
        <w:gridCol w:w="461"/>
        <w:gridCol w:w="458"/>
        <w:gridCol w:w="461"/>
        <w:gridCol w:w="461"/>
        <w:gridCol w:w="458"/>
        <w:gridCol w:w="461"/>
        <w:gridCol w:w="461"/>
        <w:gridCol w:w="458"/>
        <w:gridCol w:w="461"/>
        <w:gridCol w:w="461"/>
        <w:gridCol w:w="458"/>
        <w:gridCol w:w="461"/>
        <w:gridCol w:w="461"/>
        <w:gridCol w:w="1200"/>
      </w:tblGrid>
      <w:tr>
        <w:trPr>
          <w:trHeight w:val="338" w:hRule="exact"/>
        </w:trPr>
        <w:tc>
          <w:tcPr>
            <w:tcW w:w="1301" w:type="dxa"/>
            <w:vMerge w:val="restart"/>
            <w:shd w:val="clear" w:color="auto" w:fill="D99594"/>
          </w:tcPr>
          <w:p>
            <w:pPr>
              <w:pStyle w:val="TableParagraph"/>
              <w:spacing w:before="62"/>
              <w:ind w:left="465" w:right="255" w:hanging="195"/>
              <w:jc w:val="left"/>
              <w:rPr>
                <w:rFonts w:ascii="Arial"/>
                <w:b/>
                <w:sz w:val="22"/>
              </w:rPr>
            </w:pPr>
            <w:r>
              <w:rPr>
                <w:rFonts w:ascii="Arial"/>
                <w:b/>
                <w:sz w:val="22"/>
              </w:rPr>
              <w:t>Prueba No.</w:t>
            </w:r>
          </w:p>
        </w:tc>
        <w:tc>
          <w:tcPr>
            <w:tcW w:w="6900" w:type="dxa"/>
            <w:gridSpan w:val="15"/>
            <w:shd w:val="clear" w:color="auto" w:fill="D99594"/>
          </w:tcPr>
          <w:p>
            <w:pPr>
              <w:pStyle w:val="TableParagraph"/>
              <w:spacing w:before="72"/>
              <w:ind w:left="2851" w:right="2849"/>
              <w:jc w:val="center"/>
              <w:rPr>
                <w:rFonts w:ascii="Arial"/>
                <w:b/>
                <w:sz w:val="22"/>
              </w:rPr>
            </w:pPr>
            <w:r>
              <w:rPr>
                <w:rFonts w:ascii="Arial"/>
                <w:b/>
                <w:sz w:val="22"/>
              </w:rPr>
              <w:t>Contrastes</w:t>
            </w:r>
          </w:p>
        </w:tc>
        <w:tc>
          <w:tcPr>
            <w:tcW w:w="1200" w:type="dxa"/>
            <w:vMerge w:val="restart"/>
            <w:shd w:val="clear" w:color="auto" w:fill="D99594"/>
          </w:tcPr>
          <w:p>
            <w:pPr>
              <w:pStyle w:val="TableParagraph"/>
              <w:spacing w:before="187"/>
              <w:ind w:left="42" w:right="42"/>
              <w:jc w:val="center"/>
              <w:rPr>
                <w:rFonts w:ascii="Arial"/>
                <w:b/>
                <w:sz w:val="14"/>
              </w:rPr>
            </w:pPr>
            <w:r>
              <w:rPr>
                <w:rFonts w:ascii="Arial"/>
                <w:b/>
                <w:sz w:val="22"/>
              </w:rPr>
              <w:t>rO</w:t>
            </w:r>
            <w:r>
              <w:rPr>
                <w:rFonts w:ascii="Arial"/>
                <w:b/>
                <w:position w:val="-2"/>
                <w:sz w:val="14"/>
              </w:rPr>
              <w:t>2</w:t>
            </w:r>
          </w:p>
        </w:tc>
      </w:tr>
      <w:tr>
        <w:trPr>
          <w:trHeight w:val="310" w:hRule="exact"/>
        </w:trPr>
        <w:tc>
          <w:tcPr>
            <w:tcW w:w="1301" w:type="dxa"/>
            <w:vMerge/>
            <w:shd w:val="clear" w:color="auto" w:fill="D99594"/>
          </w:tcPr>
          <w:p>
            <w:pPr/>
          </w:p>
        </w:tc>
        <w:tc>
          <w:tcPr>
            <w:tcW w:w="458" w:type="dxa"/>
            <w:shd w:val="clear" w:color="auto" w:fill="D99594"/>
          </w:tcPr>
          <w:p>
            <w:pPr>
              <w:pStyle w:val="TableParagraph"/>
              <w:spacing w:before="43"/>
              <w:ind w:left="143" w:right="0"/>
              <w:jc w:val="left"/>
              <w:rPr>
                <w:rFonts w:ascii="Arial"/>
                <w:b/>
                <w:sz w:val="22"/>
              </w:rPr>
            </w:pPr>
            <w:r>
              <w:rPr>
                <w:rFonts w:ascii="Arial"/>
                <w:b/>
                <w:w w:val="100"/>
                <w:sz w:val="22"/>
              </w:rPr>
              <w:t>A</w:t>
            </w:r>
          </w:p>
        </w:tc>
        <w:tc>
          <w:tcPr>
            <w:tcW w:w="461" w:type="dxa"/>
            <w:shd w:val="clear" w:color="auto" w:fill="D99594"/>
          </w:tcPr>
          <w:p>
            <w:pPr>
              <w:pStyle w:val="TableParagraph"/>
              <w:spacing w:before="43"/>
              <w:ind w:left="143" w:right="0"/>
              <w:jc w:val="left"/>
              <w:rPr>
                <w:rFonts w:ascii="Arial"/>
                <w:b/>
                <w:sz w:val="22"/>
              </w:rPr>
            </w:pPr>
            <w:r>
              <w:rPr>
                <w:rFonts w:ascii="Arial"/>
                <w:b/>
                <w:w w:val="100"/>
                <w:sz w:val="22"/>
              </w:rPr>
              <w:t>B</w:t>
            </w:r>
          </w:p>
        </w:tc>
        <w:tc>
          <w:tcPr>
            <w:tcW w:w="461" w:type="dxa"/>
            <w:shd w:val="clear" w:color="auto" w:fill="D99594"/>
          </w:tcPr>
          <w:p>
            <w:pPr>
              <w:pStyle w:val="TableParagraph"/>
              <w:spacing w:before="43"/>
              <w:ind w:left="143" w:right="0"/>
              <w:jc w:val="left"/>
              <w:rPr>
                <w:rFonts w:ascii="Arial"/>
                <w:b/>
                <w:sz w:val="22"/>
              </w:rPr>
            </w:pPr>
            <w:r>
              <w:rPr>
                <w:rFonts w:ascii="Arial"/>
                <w:b/>
                <w:w w:val="100"/>
                <w:sz w:val="22"/>
              </w:rPr>
              <w:t>C</w:t>
            </w:r>
          </w:p>
        </w:tc>
        <w:tc>
          <w:tcPr>
            <w:tcW w:w="458" w:type="dxa"/>
            <w:shd w:val="clear" w:color="auto" w:fill="D99594"/>
          </w:tcPr>
          <w:p>
            <w:pPr>
              <w:pStyle w:val="TableParagraph"/>
              <w:spacing w:before="43"/>
              <w:ind w:left="143" w:right="0"/>
              <w:jc w:val="left"/>
              <w:rPr>
                <w:rFonts w:ascii="Arial"/>
                <w:b/>
                <w:sz w:val="22"/>
              </w:rPr>
            </w:pPr>
            <w:r>
              <w:rPr>
                <w:rFonts w:ascii="Arial"/>
                <w:b/>
                <w:w w:val="100"/>
                <w:sz w:val="22"/>
              </w:rPr>
              <w:t>D</w:t>
            </w:r>
          </w:p>
        </w:tc>
        <w:tc>
          <w:tcPr>
            <w:tcW w:w="461" w:type="dxa"/>
            <w:shd w:val="clear" w:color="auto" w:fill="D99594"/>
          </w:tcPr>
          <w:p>
            <w:pPr>
              <w:pStyle w:val="TableParagraph"/>
              <w:spacing w:before="43"/>
              <w:ind w:right="1"/>
              <w:jc w:val="center"/>
              <w:rPr>
                <w:rFonts w:ascii="Arial"/>
                <w:b/>
                <w:sz w:val="22"/>
              </w:rPr>
            </w:pPr>
            <w:r>
              <w:rPr>
                <w:rFonts w:ascii="Arial"/>
                <w:b/>
                <w:w w:val="100"/>
                <w:sz w:val="22"/>
              </w:rPr>
              <w:t>E</w:t>
            </w:r>
          </w:p>
        </w:tc>
        <w:tc>
          <w:tcPr>
            <w:tcW w:w="461" w:type="dxa"/>
            <w:shd w:val="clear" w:color="auto" w:fill="D99594"/>
          </w:tcPr>
          <w:p>
            <w:pPr>
              <w:pStyle w:val="TableParagraph"/>
              <w:spacing w:before="43"/>
              <w:ind w:right="2"/>
              <w:jc w:val="center"/>
              <w:rPr>
                <w:rFonts w:ascii="Arial"/>
                <w:b/>
                <w:sz w:val="22"/>
              </w:rPr>
            </w:pPr>
            <w:r>
              <w:rPr>
                <w:rFonts w:ascii="Arial"/>
                <w:b/>
                <w:w w:val="100"/>
                <w:sz w:val="22"/>
              </w:rPr>
              <w:t>F</w:t>
            </w:r>
          </w:p>
        </w:tc>
        <w:tc>
          <w:tcPr>
            <w:tcW w:w="458" w:type="dxa"/>
            <w:shd w:val="clear" w:color="auto" w:fill="D99594"/>
          </w:tcPr>
          <w:p>
            <w:pPr>
              <w:pStyle w:val="TableParagraph"/>
              <w:spacing w:before="43"/>
              <w:ind w:left="139" w:right="0"/>
              <w:jc w:val="left"/>
              <w:rPr>
                <w:rFonts w:ascii="Arial"/>
                <w:b/>
                <w:sz w:val="22"/>
              </w:rPr>
            </w:pPr>
            <w:r>
              <w:rPr>
                <w:rFonts w:ascii="Arial"/>
                <w:b/>
                <w:w w:val="100"/>
                <w:sz w:val="22"/>
              </w:rPr>
              <w:t>G</w:t>
            </w:r>
          </w:p>
        </w:tc>
        <w:tc>
          <w:tcPr>
            <w:tcW w:w="461" w:type="dxa"/>
            <w:shd w:val="clear" w:color="auto" w:fill="D99594"/>
          </w:tcPr>
          <w:p>
            <w:pPr>
              <w:pStyle w:val="TableParagraph"/>
              <w:spacing w:before="43"/>
              <w:ind w:left="143" w:right="0"/>
              <w:jc w:val="left"/>
              <w:rPr>
                <w:rFonts w:ascii="Arial"/>
                <w:b/>
                <w:sz w:val="22"/>
              </w:rPr>
            </w:pPr>
            <w:r>
              <w:rPr>
                <w:rFonts w:ascii="Arial"/>
                <w:b/>
                <w:w w:val="100"/>
                <w:sz w:val="22"/>
              </w:rPr>
              <w:t>H</w:t>
            </w:r>
          </w:p>
        </w:tc>
        <w:tc>
          <w:tcPr>
            <w:tcW w:w="461" w:type="dxa"/>
            <w:shd w:val="clear" w:color="auto" w:fill="D99594"/>
          </w:tcPr>
          <w:p>
            <w:pPr>
              <w:pStyle w:val="TableParagraph"/>
              <w:spacing w:before="43"/>
              <w:ind w:right="1"/>
              <w:jc w:val="center"/>
              <w:rPr>
                <w:rFonts w:ascii="Arial"/>
                <w:b/>
                <w:sz w:val="22"/>
              </w:rPr>
            </w:pPr>
            <w:r>
              <w:rPr>
                <w:rFonts w:ascii="Arial"/>
                <w:b/>
                <w:w w:val="100"/>
                <w:sz w:val="22"/>
              </w:rPr>
              <w:t>I</w:t>
            </w:r>
          </w:p>
        </w:tc>
        <w:tc>
          <w:tcPr>
            <w:tcW w:w="458" w:type="dxa"/>
            <w:shd w:val="clear" w:color="auto" w:fill="D99594"/>
          </w:tcPr>
          <w:p>
            <w:pPr>
              <w:pStyle w:val="TableParagraph"/>
              <w:spacing w:before="43"/>
              <w:ind w:right="0"/>
              <w:jc w:val="center"/>
              <w:rPr>
                <w:rFonts w:ascii="Arial"/>
                <w:b/>
                <w:sz w:val="22"/>
              </w:rPr>
            </w:pPr>
            <w:r>
              <w:rPr>
                <w:rFonts w:ascii="Arial"/>
                <w:b/>
                <w:w w:val="100"/>
                <w:sz w:val="22"/>
              </w:rPr>
              <w:t>J</w:t>
            </w:r>
          </w:p>
        </w:tc>
        <w:tc>
          <w:tcPr>
            <w:tcW w:w="461" w:type="dxa"/>
            <w:shd w:val="clear" w:color="auto" w:fill="D99594"/>
          </w:tcPr>
          <w:p>
            <w:pPr>
              <w:pStyle w:val="TableParagraph"/>
              <w:spacing w:before="43"/>
              <w:ind w:left="143" w:right="0"/>
              <w:jc w:val="left"/>
              <w:rPr>
                <w:rFonts w:ascii="Arial"/>
                <w:b/>
                <w:sz w:val="22"/>
              </w:rPr>
            </w:pPr>
            <w:r>
              <w:rPr>
                <w:rFonts w:ascii="Arial"/>
                <w:b/>
                <w:w w:val="100"/>
                <w:sz w:val="22"/>
              </w:rPr>
              <w:t>K</w:t>
            </w:r>
          </w:p>
        </w:tc>
        <w:tc>
          <w:tcPr>
            <w:tcW w:w="461" w:type="dxa"/>
            <w:shd w:val="clear" w:color="auto" w:fill="D99594"/>
          </w:tcPr>
          <w:p>
            <w:pPr>
              <w:pStyle w:val="TableParagraph"/>
              <w:spacing w:before="43"/>
              <w:ind w:right="2"/>
              <w:jc w:val="center"/>
              <w:rPr>
                <w:rFonts w:ascii="Arial"/>
                <w:b/>
                <w:sz w:val="22"/>
              </w:rPr>
            </w:pPr>
            <w:r>
              <w:rPr>
                <w:rFonts w:ascii="Arial"/>
                <w:b/>
                <w:w w:val="100"/>
                <w:sz w:val="22"/>
              </w:rPr>
              <w:t>L</w:t>
            </w:r>
          </w:p>
        </w:tc>
        <w:tc>
          <w:tcPr>
            <w:tcW w:w="458" w:type="dxa"/>
            <w:shd w:val="clear" w:color="auto" w:fill="D99594"/>
          </w:tcPr>
          <w:p>
            <w:pPr>
              <w:pStyle w:val="TableParagraph"/>
              <w:spacing w:before="43"/>
              <w:ind w:left="131" w:right="0"/>
              <w:jc w:val="left"/>
              <w:rPr>
                <w:rFonts w:ascii="Arial"/>
                <w:b/>
                <w:sz w:val="22"/>
              </w:rPr>
            </w:pPr>
            <w:r>
              <w:rPr>
                <w:rFonts w:ascii="Arial"/>
                <w:b/>
                <w:w w:val="100"/>
                <w:sz w:val="22"/>
              </w:rPr>
              <w:t>M</w:t>
            </w:r>
          </w:p>
        </w:tc>
        <w:tc>
          <w:tcPr>
            <w:tcW w:w="461" w:type="dxa"/>
            <w:shd w:val="clear" w:color="auto" w:fill="D99594"/>
          </w:tcPr>
          <w:p>
            <w:pPr>
              <w:pStyle w:val="TableParagraph"/>
              <w:spacing w:before="43"/>
              <w:ind w:left="143" w:right="0"/>
              <w:jc w:val="left"/>
              <w:rPr>
                <w:rFonts w:ascii="Arial"/>
                <w:b/>
                <w:sz w:val="22"/>
              </w:rPr>
            </w:pPr>
            <w:r>
              <w:rPr>
                <w:rFonts w:ascii="Arial"/>
                <w:b/>
                <w:w w:val="100"/>
                <w:sz w:val="22"/>
              </w:rPr>
              <w:t>N</w:t>
            </w:r>
          </w:p>
        </w:tc>
        <w:tc>
          <w:tcPr>
            <w:tcW w:w="461" w:type="dxa"/>
            <w:shd w:val="clear" w:color="auto" w:fill="D99594"/>
          </w:tcPr>
          <w:p>
            <w:pPr>
              <w:pStyle w:val="TableParagraph"/>
              <w:spacing w:before="43"/>
              <w:ind w:left="139" w:right="0"/>
              <w:jc w:val="left"/>
              <w:rPr>
                <w:rFonts w:ascii="Arial"/>
                <w:b/>
                <w:sz w:val="22"/>
              </w:rPr>
            </w:pPr>
            <w:r>
              <w:rPr>
                <w:rFonts w:ascii="Arial"/>
                <w:b/>
                <w:w w:val="100"/>
                <w:sz w:val="22"/>
              </w:rPr>
              <w:t>O</w:t>
            </w:r>
          </w:p>
        </w:tc>
        <w:tc>
          <w:tcPr>
            <w:tcW w:w="1200" w:type="dxa"/>
            <w:vMerge/>
            <w:shd w:val="clear" w:color="auto" w:fill="D99594"/>
          </w:tcPr>
          <w:p>
            <w:pPr/>
          </w:p>
        </w:tc>
      </w:tr>
      <w:tr>
        <w:trPr>
          <w:trHeight w:val="312" w:hRule="exact"/>
        </w:trPr>
        <w:tc>
          <w:tcPr>
            <w:tcW w:w="1301" w:type="dxa"/>
          </w:tcPr>
          <w:p>
            <w:pPr>
              <w:pStyle w:val="TableParagraph"/>
              <w:spacing w:before="45"/>
              <w:ind w:right="0"/>
              <w:jc w:val="center"/>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0"/>
              <w:rPr>
                <w:rFonts w:ascii="Arial"/>
                <w:sz w:val="22"/>
              </w:rPr>
            </w:pPr>
            <w:r>
              <w:rPr>
                <w:rFonts w:ascii="Arial"/>
                <w:sz w:val="22"/>
              </w:rPr>
              <w:t>10.97</w:t>
            </w:r>
          </w:p>
        </w:tc>
      </w:tr>
      <w:tr>
        <w:trPr>
          <w:trHeight w:val="310" w:hRule="exact"/>
        </w:trPr>
        <w:tc>
          <w:tcPr>
            <w:tcW w:w="1301" w:type="dxa"/>
          </w:tcPr>
          <w:p>
            <w:pPr>
              <w:pStyle w:val="TableParagraph"/>
              <w:spacing w:before="43"/>
              <w:ind w:right="0"/>
              <w:jc w:val="center"/>
              <w:rPr>
                <w:rFonts w:ascii="Arial"/>
                <w:sz w:val="22"/>
              </w:rPr>
            </w:pPr>
            <w:r>
              <w:rPr>
                <w:rFonts w:ascii="Arial"/>
                <w:w w:val="100"/>
                <w:sz w:val="22"/>
              </w:rPr>
              <w:t>2</w:t>
            </w:r>
          </w:p>
        </w:tc>
        <w:tc>
          <w:tcPr>
            <w:tcW w:w="458" w:type="dxa"/>
          </w:tcPr>
          <w:p>
            <w:pPr>
              <w:pStyle w:val="TableParagraph"/>
              <w:spacing w:before="43"/>
              <w:ind w:right="62"/>
              <w:rPr>
                <w:rFonts w:ascii="Arial"/>
                <w:sz w:val="22"/>
              </w:rPr>
            </w:pPr>
            <w:r>
              <w:rPr>
                <w:rFonts w:ascii="Arial"/>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4"/>
              <w:rPr>
                <w:rFonts w:ascii="Arial"/>
                <w:sz w:val="22"/>
              </w:rPr>
            </w:pPr>
            <w:r>
              <w:rPr>
                <w:rFonts w:ascii="Arial"/>
                <w:sz w:val="22"/>
              </w:rPr>
              <w:t>-1</w:t>
            </w:r>
          </w:p>
        </w:tc>
        <w:tc>
          <w:tcPr>
            <w:tcW w:w="458" w:type="dxa"/>
          </w:tcPr>
          <w:p>
            <w:pPr>
              <w:pStyle w:val="TableParagraph"/>
              <w:spacing w:before="43"/>
              <w:ind w:right="62"/>
              <w:rPr>
                <w:rFonts w:ascii="Arial"/>
                <w:sz w:val="22"/>
              </w:rPr>
            </w:pPr>
            <w:r>
              <w:rPr>
                <w:rFonts w:ascii="Arial"/>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4"/>
              <w:rPr>
                <w:rFonts w:ascii="Arial"/>
                <w:sz w:val="22"/>
              </w:rPr>
            </w:pPr>
            <w:r>
              <w:rPr>
                <w:rFonts w:ascii="Arial"/>
                <w:sz w:val="22"/>
              </w:rPr>
              <w:t>-1</w:t>
            </w:r>
          </w:p>
        </w:tc>
        <w:tc>
          <w:tcPr>
            <w:tcW w:w="458" w:type="dxa"/>
          </w:tcPr>
          <w:p>
            <w:pPr>
              <w:pStyle w:val="TableParagraph"/>
              <w:spacing w:before="43"/>
              <w:ind w:right="62"/>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1200" w:type="dxa"/>
          </w:tcPr>
          <w:p>
            <w:pPr>
              <w:pStyle w:val="TableParagraph"/>
              <w:spacing w:before="43"/>
              <w:ind w:right="60"/>
              <w:rPr>
                <w:rFonts w:ascii="Arial"/>
                <w:sz w:val="22"/>
              </w:rPr>
            </w:pPr>
            <w:r>
              <w:rPr>
                <w:rFonts w:ascii="Arial"/>
                <w:sz w:val="22"/>
              </w:rPr>
              <w:t>7.05</w:t>
            </w:r>
          </w:p>
        </w:tc>
      </w:tr>
      <w:tr>
        <w:trPr>
          <w:trHeight w:val="310" w:hRule="exact"/>
        </w:trPr>
        <w:tc>
          <w:tcPr>
            <w:tcW w:w="1301" w:type="dxa"/>
          </w:tcPr>
          <w:p>
            <w:pPr>
              <w:pStyle w:val="TableParagraph"/>
              <w:spacing w:before="45"/>
              <w:ind w:right="0"/>
              <w:jc w:val="center"/>
              <w:rPr>
                <w:rFonts w:ascii="Arial"/>
                <w:sz w:val="22"/>
              </w:rPr>
            </w:pPr>
            <w:r>
              <w:rPr>
                <w:rFonts w:ascii="Arial"/>
                <w:w w:val="100"/>
                <w:sz w:val="22"/>
              </w:rPr>
              <w:t>3</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2"/>
              <w:rPr>
                <w:rFonts w:ascii="Arial"/>
                <w:sz w:val="22"/>
              </w:rPr>
            </w:pPr>
            <w:r>
              <w:rPr>
                <w:rFonts w:ascii="Arial"/>
                <w:w w:val="100"/>
                <w:sz w:val="22"/>
              </w:rPr>
              <w:t>6</w:t>
            </w:r>
          </w:p>
        </w:tc>
      </w:tr>
      <w:tr>
        <w:trPr>
          <w:trHeight w:val="310" w:hRule="exact"/>
        </w:trPr>
        <w:tc>
          <w:tcPr>
            <w:tcW w:w="1301" w:type="dxa"/>
          </w:tcPr>
          <w:p>
            <w:pPr>
              <w:pStyle w:val="TableParagraph"/>
              <w:spacing w:before="45"/>
              <w:ind w:right="0"/>
              <w:jc w:val="center"/>
              <w:rPr>
                <w:rFonts w:ascii="Arial"/>
                <w:sz w:val="22"/>
              </w:rPr>
            </w:pPr>
            <w:r>
              <w:rPr>
                <w:rFonts w:ascii="Arial"/>
                <w:w w:val="100"/>
                <w:sz w:val="22"/>
              </w:rPr>
              <w:t>4</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1200" w:type="dxa"/>
          </w:tcPr>
          <w:p>
            <w:pPr>
              <w:pStyle w:val="TableParagraph"/>
              <w:spacing w:before="45"/>
              <w:ind w:right="60"/>
              <w:rPr>
                <w:rFonts w:ascii="Arial"/>
                <w:sz w:val="22"/>
              </w:rPr>
            </w:pPr>
            <w:r>
              <w:rPr>
                <w:rFonts w:ascii="Arial"/>
                <w:sz w:val="22"/>
              </w:rPr>
              <w:t>6.89</w:t>
            </w:r>
          </w:p>
        </w:tc>
      </w:tr>
      <w:tr>
        <w:trPr>
          <w:trHeight w:val="310" w:hRule="exact"/>
        </w:trPr>
        <w:tc>
          <w:tcPr>
            <w:tcW w:w="1301" w:type="dxa"/>
          </w:tcPr>
          <w:p>
            <w:pPr>
              <w:pStyle w:val="TableParagraph"/>
              <w:spacing w:before="45"/>
              <w:ind w:right="0"/>
              <w:jc w:val="center"/>
              <w:rPr>
                <w:rFonts w:ascii="Arial"/>
                <w:sz w:val="22"/>
              </w:rPr>
            </w:pPr>
            <w:r>
              <w:rPr>
                <w:rFonts w:ascii="Arial"/>
                <w:w w:val="100"/>
                <w:sz w:val="22"/>
              </w:rPr>
              <w:t>5</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0"/>
              <w:rPr>
                <w:rFonts w:ascii="Arial"/>
                <w:sz w:val="22"/>
              </w:rPr>
            </w:pPr>
            <w:r>
              <w:rPr>
                <w:rFonts w:ascii="Arial"/>
                <w:sz w:val="22"/>
              </w:rPr>
              <w:t>18.08</w:t>
            </w:r>
          </w:p>
        </w:tc>
      </w:tr>
      <w:tr>
        <w:trPr>
          <w:trHeight w:val="310" w:hRule="exact"/>
        </w:trPr>
        <w:tc>
          <w:tcPr>
            <w:tcW w:w="1301" w:type="dxa"/>
          </w:tcPr>
          <w:p>
            <w:pPr>
              <w:pStyle w:val="TableParagraph"/>
              <w:spacing w:before="45"/>
              <w:ind w:right="0"/>
              <w:jc w:val="center"/>
              <w:rPr>
                <w:rFonts w:ascii="Arial"/>
                <w:sz w:val="22"/>
              </w:rPr>
            </w:pPr>
            <w:r>
              <w:rPr>
                <w:rFonts w:ascii="Arial"/>
                <w:w w:val="100"/>
                <w:sz w:val="22"/>
              </w:rPr>
              <w:t>6</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1200" w:type="dxa"/>
          </w:tcPr>
          <w:p>
            <w:pPr>
              <w:pStyle w:val="TableParagraph"/>
              <w:spacing w:before="45"/>
              <w:ind w:right="62"/>
              <w:rPr>
                <w:rFonts w:ascii="Arial"/>
                <w:sz w:val="22"/>
              </w:rPr>
            </w:pPr>
            <w:r>
              <w:rPr>
                <w:rFonts w:ascii="Arial"/>
                <w:sz w:val="22"/>
              </w:rPr>
              <w:t>21</w:t>
            </w:r>
          </w:p>
        </w:tc>
      </w:tr>
      <w:tr>
        <w:trPr>
          <w:trHeight w:val="312" w:hRule="exact"/>
        </w:trPr>
        <w:tc>
          <w:tcPr>
            <w:tcW w:w="1301" w:type="dxa"/>
          </w:tcPr>
          <w:p>
            <w:pPr>
              <w:pStyle w:val="TableParagraph"/>
              <w:spacing w:before="45"/>
              <w:ind w:right="0"/>
              <w:jc w:val="center"/>
              <w:rPr>
                <w:rFonts w:ascii="Arial"/>
                <w:sz w:val="22"/>
              </w:rPr>
            </w:pPr>
            <w:r>
              <w:rPr>
                <w:rFonts w:ascii="Arial"/>
                <w:w w:val="100"/>
                <w:sz w:val="22"/>
              </w:rPr>
              <w:t>7</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0"/>
              <w:rPr>
                <w:rFonts w:ascii="Arial"/>
                <w:sz w:val="22"/>
              </w:rPr>
            </w:pPr>
            <w:r>
              <w:rPr>
                <w:rFonts w:ascii="Arial"/>
                <w:sz w:val="22"/>
              </w:rPr>
              <w:t>4.28</w:t>
            </w:r>
          </w:p>
        </w:tc>
      </w:tr>
      <w:tr>
        <w:trPr>
          <w:trHeight w:val="310" w:hRule="exact"/>
        </w:trPr>
        <w:tc>
          <w:tcPr>
            <w:tcW w:w="1301" w:type="dxa"/>
          </w:tcPr>
          <w:p>
            <w:pPr>
              <w:pStyle w:val="TableParagraph"/>
              <w:spacing w:before="43"/>
              <w:ind w:right="0"/>
              <w:jc w:val="center"/>
              <w:rPr>
                <w:rFonts w:ascii="Arial"/>
                <w:sz w:val="22"/>
              </w:rPr>
            </w:pPr>
            <w:r>
              <w:rPr>
                <w:rFonts w:ascii="Arial"/>
                <w:w w:val="100"/>
                <w:sz w:val="22"/>
              </w:rPr>
              <w:t>8</w:t>
            </w:r>
          </w:p>
        </w:tc>
        <w:tc>
          <w:tcPr>
            <w:tcW w:w="458" w:type="dxa"/>
          </w:tcPr>
          <w:p>
            <w:pPr>
              <w:pStyle w:val="TableParagraph"/>
              <w:spacing w:before="43"/>
              <w:ind w:right="62"/>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458" w:type="dxa"/>
          </w:tcPr>
          <w:p>
            <w:pPr>
              <w:pStyle w:val="TableParagraph"/>
              <w:spacing w:before="43"/>
              <w:ind w:right="62"/>
              <w:rPr>
                <w:rFonts w:ascii="Arial"/>
                <w:sz w:val="22"/>
              </w:rPr>
            </w:pPr>
            <w:r>
              <w:rPr>
                <w:rFonts w:ascii="Arial"/>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4"/>
              <w:rPr>
                <w:rFonts w:ascii="Arial"/>
                <w:sz w:val="22"/>
              </w:rPr>
            </w:pPr>
            <w:r>
              <w:rPr>
                <w:rFonts w:ascii="Arial"/>
                <w:sz w:val="22"/>
              </w:rPr>
              <w:t>-1</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461" w:type="dxa"/>
          </w:tcPr>
          <w:p>
            <w:pPr>
              <w:pStyle w:val="TableParagraph"/>
              <w:spacing w:before="43"/>
              <w:ind w:right="64"/>
              <w:rPr>
                <w:rFonts w:ascii="Arial"/>
                <w:sz w:val="22"/>
              </w:rPr>
            </w:pPr>
            <w:r>
              <w:rPr>
                <w:rFonts w:ascii="Arial"/>
                <w:sz w:val="22"/>
              </w:rPr>
              <w:t>-1</w:t>
            </w:r>
          </w:p>
        </w:tc>
        <w:tc>
          <w:tcPr>
            <w:tcW w:w="458" w:type="dxa"/>
          </w:tcPr>
          <w:p>
            <w:pPr>
              <w:pStyle w:val="TableParagraph"/>
              <w:spacing w:before="43"/>
              <w:ind w:right="62"/>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461" w:type="dxa"/>
          </w:tcPr>
          <w:p>
            <w:pPr>
              <w:pStyle w:val="TableParagraph"/>
              <w:spacing w:before="43"/>
              <w:ind w:right="65"/>
              <w:rPr>
                <w:rFonts w:ascii="Arial"/>
                <w:sz w:val="22"/>
              </w:rPr>
            </w:pPr>
            <w:r>
              <w:rPr>
                <w:rFonts w:ascii="Arial"/>
                <w:w w:val="100"/>
                <w:sz w:val="22"/>
              </w:rPr>
              <w:t>1</w:t>
            </w:r>
          </w:p>
        </w:tc>
        <w:tc>
          <w:tcPr>
            <w:tcW w:w="1200" w:type="dxa"/>
          </w:tcPr>
          <w:p>
            <w:pPr>
              <w:pStyle w:val="TableParagraph"/>
              <w:spacing w:before="43"/>
              <w:ind w:right="60"/>
              <w:rPr>
                <w:rFonts w:ascii="Arial"/>
                <w:sz w:val="22"/>
              </w:rPr>
            </w:pPr>
            <w:r>
              <w:rPr>
                <w:rFonts w:ascii="Arial"/>
                <w:sz w:val="22"/>
              </w:rPr>
              <w:t>5.29</w:t>
            </w:r>
          </w:p>
        </w:tc>
      </w:tr>
      <w:tr>
        <w:trPr>
          <w:trHeight w:val="310" w:hRule="exact"/>
        </w:trPr>
        <w:tc>
          <w:tcPr>
            <w:tcW w:w="1301" w:type="dxa"/>
          </w:tcPr>
          <w:p>
            <w:pPr>
              <w:pStyle w:val="TableParagraph"/>
              <w:spacing w:before="45"/>
              <w:ind w:right="0"/>
              <w:jc w:val="center"/>
              <w:rPr>
                <w:rFonts w:ascii="Arial"/>
                <w:sz w:val="22"/>
              </w:rPr>
            </w:pPr>
            <w:r>
              <w:rPr>
                <w:rFonts w:ascii="Arial"/>
                <w:w w:val="100"/>
                <w:sz w:val="22"/>
              </w:rPr>
              <w:t>9</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0"/>
              <w:rPr>
                <w:rFonts w:ascii="Arial"/>
                <w:sz w:val="22"/>
              </w:rPr>
            </w:pPr>
            <w:r>
              <w:rPr>
                <w:rFonts w:ascii="Arial"/>
                <w:sz w:val="22"/>
              </w:rPr>
              <w:t>6.11</w:t>
            </w:r>
          </w:p>
        </w:tc>
      </w:tr>
      <w:tr>
        <w:trPr>
          <w:trHeight w:val="310" w:hRule="exact"/>
        </w:trPr>
        <w:tc>
          <w:tcPr>
            <w:tcW w:w="1301" w:type="dxa"/>
          </w:tcPr>
          <w:p>
            <w:pPr>
              <w:pStyle w:val="TableParagraph"/>
              <w:spacing w:before="45"/>
              <w:ind w:left="447" w:right="449"/>
              <w:jc w:val="center"/>
              <w:rPr>
                <w:rFonts w:ascii="Arial"/>
                <w:sz w:val="22"/>
              </w:rPr>
            </w:pPr>
            <w:r>
              <w:rPr>
                <w:rFonts w:ascii="Arial"/>
                <w:sz w:val="22"/>
              </w:rPr>
              <w:t>10</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1200" w:type="dxa"/>
          </w:tcPr>
          <w:p>
            <w:pPr>
              <w:pStyle w:val="TableParagraph"/>
              <w:spacing w:before="45"/>
              <w:ind w:right="60"/>
              <w:rPr>
                <w:rFonts w:ascii="Arial"/>
                <w:sz w:val="22"/>
              </w:rPr>
            </w:pPr>
            <w:r>
              <w:rPr>
                <w:rFonts w:ascii="Arial"/>
                <w:sz w:val="22"/>
              </w:rPr>
              <w:t>8.2</w:t>
            </w:r>
          </w:p>
        </w:tc>
      </w:tr>
      <w:tr>
        <w:trPr>
          <w:trHeight w:val="310" w:hRule="exact"/>
        </w:trPr>
        <w:tc>
          <w:tcPr>
            <w:tcW w:w="1301" w:type="dxa"/>
          </w:tcPr>
          <w:p>
            <w:pPr>
              <w:pStyle w:val="TableParagraph"/>
              <w:spacing w:before="45"/>
              <w:ind w:left="447" w:right="449"/>
              <w:jc w:val="center"/>
              <w:rPr>
                <w:rFonts w:ascii="Arial"/>
                <w:sz w:val="22"/>
              </w:rPr>
            </w:pPr>
            <w:r>
              <w:rPr>
                <w:rFonts w:ascii="Arial"/>
                <w:sz w:val="22"/>
              </w:rPr>
              <w:t>11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2"/>
              <w:rPr>
                <w:rFonts w:ascii="Arial"/>
                <w:sz w:val="22"/>
              </w:rPr>
            </w:pPr>
            <w:r>
              <w:rPr>
                <w:rFonts w:ascii="Arial"/>
                <w:sz w:val="22"/>
              </w:rPr>
              <w:t>26</w:t>
            </w:r>
          </w:p>
        </w:tc>
      </w:tr>
      <w:tr>
        <w:trPr>
          <w:trHeight w:val="310" w:hRule="exact"/>
        </w:trPr>
        <w:tc>
          <w:tcPr>
            <w:tcW w:w="1301" w:type="dxa"/>
          </w:tcPr>
          <w:p>
            <w:pPr>
              <w:pStyle w:val="TableParagraph"/>
              <w:spacing w:before="45"/>
              <w:ind w:left="447" w:right="449"/>
              <w:jc w:val="center"/>
              <w:rPr>
                <w:rFonts w:ascii="Arial"/>
                <w:sz w:val="22"/>
              </w:rPr>
            </w:pPr>
            <w:r>
              <w:rPr>
                <w:rFonts w:ascii="Arial"/>
                <w:sz w:val="22"/>
              </w:rPr>
              <w:t>12</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1200" w:type="dxa"/>
          </w:tcPr>
          <w:p>
            <w:pPr>
              <w:pStyle w:val="TableParagraph"/>
              <w:spacing w:before="45"/>
              <w:ind w:right="60"/>
              <w:rPr>
                <w:rFonts w:ascii="Arial"/>
                <w:sz w:val="22"/>
              </w:rPr>
            </w:pPr>
            <w:r>
              <w:rPr>
                <w:rFonts w:ascii="Arial"/>
                <w:sz w:val="22"/>
              </w:rPr>
              <w:t>13.56</w:t>
            </w:r>
          </w:p>
        </w:tc>
      </w:tr>
      <w:tr>
        <w:trPr>
          <w:trHeight w:val="312" w:hRule="exact"/>
        </w:trPr>
        <w:tc>
          <w:tcPr>
            <w:tcW w:w="1301" w:type="dxa"/>
          </w:tcPr>
          <w:p>
            <w:pPr>
              <w:pStyle w:val="TableParagraph"/>
              <w:spacing w:before="45"/>
              <w:ind w:left="447" w:right="449"/>
              <w:jc w:val="center"/>
              <w:rPr>
                <w:rFonts w:ascii="Arial"/>
                <w:sz w:val="22"/>
              </w:rPr>
            </w:pPr>
            <w:r>
              <w:rPr>
                <w:rFonts w:ascii="Arial"/>
                <w:sz w:val="22"/>
              </w:rPr>
              <w:t>13</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0"/>
              <w:rPr>
                <w:rFonts w:ascii="Arial"/>
                <w:sz w:val="22"/>
              </w:rPr>
            </w:pPr>
            <w:r>
              <w:rPr>
                <w:rFonts w:ascii="Arial"/>
                <w:sz w:val="22"/>
              </w:rPr>
              <w:t>12.3</w:t>
            </w:r>
          </w:p>
        </w:tc>
      </w:tr>
      <w:tr>
        <w:trPr>
          <w:trHeight w:val="310" w:hRule="exact"/>
        </w:trPr>
        <w:tc>
          <w:tcPr>
            <w:tcW w:w="1301" w:type="dxa"/>
          </w:tcPr>
          <w:p>
            <w:pPr>
              <w:pStyle w:val="TableParagraph"/>
              <w:spacing w:before="43"/>
              <w:ind w:left="447" w:right="449"/>
              <w:jc w:val="center"/>
              <w:rPr>
                <w:rFonts w:ascii="Arial"/>
                <w:sz w:val="22"/>
              </w:rPr>
            </w:pPr>
            <w:r>
              <w:rPr>
                <w:rFonts w:ascii="Arial"/>
                <w:sz w:val="22"/>
              </w:rPr>
              <w:t>14</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458" w:type="dxa"/>
          </w:tcPr>
          <w:p>
            <w:pPr>
              <w:pStyle w:val="TableParagraph"/>
              <w:spacing w:before="43"/>
              <w:ind w:right="62"/>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461" w:type="dxa"/>
          </w:tcPr>
          <w:p>
            <w:pPr>
              <w:pStyle w:val="TableParagraph"/>
              <w:spacing w:before="43"/>
              <w:ind w:right="64"/>
              <w:rPr>
                <w:rFonts w:ascii="Arial"/>
                <w:sz w:val="22"/>
              </w:rPr>
            </w:pPr>
            <w:r>
              <w:rPr>
                <w:rFonts w:ascii="Arial"/>
                <w:sz w:val="22"/>
              </w:rPr>
              <w:t>-1</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4"/>
              <w:rPr>
                <w:rFonts w:ascii="Arial"/>
                <w:sz w:val="22"/>
              </w:rPr>
            </w:pPr>
            <w:r>
              <w:rPr>
                <w:rFonts w:ascii="Arial"/>
                <w:sz w:val="22"/>
              </w:rPr>
              <w:t>-1</w:t>
            </w:r>
          </w:p>
        </w:tc>
        <w:tc>
          <w:tcPr>
            <w:tcW w:w="458" w:type="dxa"/>
          </w:tcPr>
          <w:p>
            <w:pPr>
              <w:pStyle w:val="TableParagraph"/>
              <w:spacing w:before="43"/>
              <w:ind w:right="62"/>
              <w:rPr>
                <w:rFonts w:ascii="Arial"/>
                <w:sz w:val="22"/>
              </w:rPr>
            </w:pPr>
            <w:r>
              <w:rPr>
                <w:rFonts w:ascii="Arial"/>
                <w:w w:val="100"/>
                <w:sz w:val="22"/>
              </w:rPr>
              <w:t>1</w:t>
            </w:r>
          </w:p>
        </w:tc>
        <w:tc>
          <w:tcPr>
            <w:tcW w:w="461" w:type="dxa"/>
          </w:tcPr>
          <w:p>
            <w:pPr>
              <w:pStyle w:val="TableParagraph"/>
              <w:spacing w:before="43"/>
              <w:ind w:right="64"/>
              <w:rPr>
                <w:rFonts w:ascii="Arial"/>
                <w:sz w:val="22"/>
              </w:rPr>
            </w:pPr>
            <w:r>
              <w:rPr>
                <w:rFonts w:ascii="Arial"/>
                <w:sz w:val="22"/>
              </w:rPr>
              <w:t>-1</w:t>
            </w:r>
          </w:p>
        </w:tc>
        <w:tc>
          <w:tcPr>
            <w:tcW w:w="461" w:type="dxa"/>
          </w:tcPr>
          <w:p>
            <w:pPr>
              <w:pStyle w:val="TableParagraph"/>
              <w:spacing w:before="43"/>
              <w:ind w:right="65"/>
              <w:rPr>
                <w:rFonts w:ascii="Arial"/>
                <w:sz w:val="22"/>
              </w:rPr>
            </w:pPr>
            <w:r>
              <w:rPr>
                <w:rFonts w:ascii="Arial"/>
                <w:w w:val="100"/>
                <w:sz w:val="22"/>
              </w:rPr>
              <w:t>1</w:t>
            </w:r>
          </w:p>
        </w:tc>
        <w:tc>
          <w:tcPr>
            <w:tcW w:w="1200" w:type="dxa"/>
          </w:tcPr>
          <w:p>
            <w:pPr>
              <w:pStyle w:val="TableParagraph"/>
              <w:spacing w:before="43"/>
              <w:ind w:right="60"/>
              <w:rPr>
                <w:rFonts w:ascii="Arial"/>
                <w:sz w:val="22"/>
              </w:rPr>
            </w:pPr>
            <w:r>
              <w:rPr>
                <w:rFonts w:ascii="Arial"/>
                <w:sz w:val="22"/>
              </w:rPr>
              <w:t>14.06</w:t>
            </w:r>
          </w:p>
        </w:tc>
      </w:tr>
      <w:tr>
        <w:trPr>
          <w:trHeight w:val="310" w:hRule="exact"/>
        </w:trPr>
        <w:tc>
          <w:tcPr>
            <w:tcW w:w="1301" w:type="dxa"/>
          </w:tcPr>
          <w:p>
            <w:pPr>
              <w:pStyle w:val="TableParagraph"/>
              <w:spacing w:before="45"/>
              <w:ind w:left="447" w:right="449"/>
              <w:jc w:val="center"/>
              <w:rPr>
                <w:rFonts w:ascii="Arial"/>
                <w:sz w:val="22"/>
              </w:rPr>
            </w:pPr>
            <w:r>
              <w:rPr>
                <w:rFonts w:ascii="Arial"/>
                <w:sz w:val="22"/>
              </w:rPr>
              <w:t>15</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1200" w:type="dxa"/>
          </w:tcPr>
          <w:p>
            <w:pPr>
              <w:pStyle w:val="TableParagraph"/>
              <w:spacing w:before="45"/>
              <w:ind w:right="60"/>
              <w:rPr>
                <w:rFonts w:ascii="Arial"/>
                <w:sz w:val="22"/>
              </w:rPr>
            </w:pPr>
            <w:r>
              <w:rPr>
                <w:rFonts w:ascii="Arial"/>
                <w:sz w:val="22"/>
              </w:rPr>
              <w:t>5.69</w:t>
            </w:r>
          </w:p>
        </w:tc>
      </w:tr>
      <w:tr>
        <w:trPr>
          <w:trHeight w:val="310" w:hRule="exact"/>
        </w:trPr>
        <w:tc>
          <w:tcPr>
            <w:tcW w:w="1301" w:type="dxa"/>
          </w:tcPr>
          <w:p>
            <w:pPr>
              <w:pStyle w:val="TableParagraph"/>
              <w:spacing w:before="45"/>
              <w:ind w:left="447" w:right="449"/>
              <w:jc w:val="center"/>
              <w:rPr>
                <w:rFonts w:ascii="Arial"/>
                <w:sz w:val="22"/>
              </w:rPr>
            </w:pPr>
            <w:r>
              <w:rPr>
                <w:rFonts w:ascii="Arial"/>
                <w:sz w:val="22"/>
              </w:rPr>
              <w:t>16</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58" w:type="dxa"/>
          </w:tcPr>
          <w:p>
            <w:pPr>
              <w:pStyle w:val="TableParagraph"/>
              <w:spacing w:before="45"/>
              <w:ind w:right="62"/>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58" w:type="dxa"/>
          </w:tcPr>
          <w:p>
            <w:pPr>
              <w:pStyle w:val="TableParagraph"/>
              <w:spacing w:before="45"/>
              <w:ind w:right="62"/>
              <w:rPr>
                <w:rFonts w:ascii="Arial"/>
                <w:sz w:val="22"/>
              </w:rPr>
            </w:pPr>
            <w:r>
              <w:rPr>
                <w:rFonts w:ascii="Arial"/>
                <w:w w:val="100"/>
                <w:sz w:val="22"/>
              </w:rPr>
              <w:t>1</w:t>
            </w:r>
          </w:p>
        </w:tc>
        <w:tc>
          <w:tcPr>
            <w:tcW w:w="461" w:type="dxa"/>
          </w:tcPr>
          <w:p>
            <w:pPr>
              <w:pStyle w:val="TableParagraph"/>
              <w:spacing w:before="45"/>
              <w:ind w:right="64"/>
              <w:rPr>
                <w:rFonts w:ascii="Arial"/>
                <w:sz w:val="22"/>
              </w:rPr>
            </w:pPr>
            <w:r>
              <w:rPr>
                <w:rFonts w:ascii="Arial"/>
                <w:sz w:val="22"/>
              </w:rPr>
              <w:t>-1</w:t>
            </w:r>
          </w:p>
        </w:tc>
        <w:tc>
          <w:tcPr>
            <w:tcW w:w="461" w:type="dxa"/>
          </w:tcPr>
          <w:p>
            <w:pPr>
              <w:pStyle w:val="TableParagraph"/>
              <w:spacing w:before="45"/>
              <w:ind w:right="65"/>
              <w:rPr>
                <w:rFonts w:ascii="Arial"/>
                <w:sz w:val="22"/>
              </w:rPr>
            </w:pPr>
            <w:r>
              <w:rPr>
                <w:rFonts w:ascii="Arial"/>
                <w:w w:val="100"/>
                <w:sz w:val="22"/>
              </w:rPr>
              <w:t>1</w:t>
            </w:r>
          </w:p>
        </w:tc>
        <w:tc>
          <w:tcPr>
            <w:tcW w:w="1200" w:type="dxa"/>
          </w:tcPr>
          <w:p>
            <w:pPr>
              <w:pStyle w:val="TableParagraph"/>
              <w:spacing w:before="45"/>
              <w:ind w:right="60"/>
              <w:rPr>
                <w:rFonts w:ascii="Arial"/>
                <w:sz w:val="22"/>
              </w:rPr>
            </w:pPr>
            <w:r>
              <w:rPr>
                <w:rFonts w:ascii="Arial"/>
                <w:sz w:val="22"/>
              </w:rPr>
              <w:t>6.47</w:t>
            </w:r>
          </w:p>
        </w:tc>
      </w:tr>
    </w:tbl>
    <w:p>
      <w:pPr>
        <w:spacing w:after="0"/>
        <w:rPr>
          <w:rFonts w:ascii="Arial"/>
          <w:sz w:val="22"/>
        </w:rPr>
        <w:sectPr>
          <w:pgSz w:w="12240" w:h="15840"/>
          <w:pgMar w:header="725" w:footer="1084" w:top="1340" w:bottom="1280" w:left="920" w:right="1020"/>
        </w:sectPr>
      </w:pPr>
    </w:p>
    <w:p>
      <w:pPr>
        <w:pStyle w:val="Heading5"/>
        <w:spacing w:before="172"/>
        <w:ind w:left="781" w:right="2707"/>
        <w:jc w:val="left"/>
        <w:rPr>
          <w:b w:val="0"/>
        </w:rPr>
      </w:pPr>
      <w:bookmarkStart w:name="_TOC_250002" w:id="210"/>
      <w:bookmarkStart w:name="Anexo 6. Tarjetas de valoración (García," w:id="211"/>
      <w:r>
        <w:rPr>
          <w:b w:val="0"/>
        </w:rPr>
      </w:r>
      <w:r>
        <w:rPr/>
        <w:t>ANEXO 6. TARJETAS DE VALORACIÓN (García, 2008</w:t>
      </w:r>
      <w:bookmarkEnd w:id="210"/>
      <w:r>
        <w:rPr>
          <w:b w:val="0"/>
        </w:rPr>
        <w:t>)</w:t>
      </w:r>
    </w:p>
    <w:p>
      <w:pPr>
        <w:pStyle w:val="BodyText"/>
        <w:spacing w:before="5"/>
        <w:rPr>
          <w:sz w:val="24"/>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282" w:hRule="exact"/>
        </w:trPr>
        <w:tc>
          <w:tcPr>
            <w:tcW w:w="4322" w:type="dxa"/>
            <w:tcBorders>
              <w:bottom w:val="double" w:sz="4" w:space="0" w:color="000000"/>
              <w:right w:val="single" w:sz="4" w:space="0" w:color="000000"/>
            </w:tcBorders>
            <w:shd w:val="clear" w:color="auto" w:fill="D99594"/>
          </w:tcPr>
          <w:p>
            <w:pPr>
              <w:pStyle w:val="TableParagraph"/>
              <w:spacing w:line="249"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9" w:lineRule="exact" w:before="0"/>
              <w:ind w:left="981" w:right="402"/>
              <w:jc w:val="left"/>
              <w:rPr>
                <w:rFonts w:ascii="Arial" w:hAnsi="Arial"/>
                <w:b/>
                <w:sz w:val="22"/>
              </w:rPr>
            </w:pPr>
            <w:r>
              <w:rPr>
                <w:rFonts w:ascii="Arial" w:hAnsi="Arial"/>
                <w:b/>
                <w:sz w:val="22"/>
              </w:rPr>
              <w:t>Oxígeno Disuelto (OD)</w:t>
            </w:r>
          </w:p>
        </w:tc>
      </w:tr>
      <w:tr>
        <w:trPr>
          <w:trHeight w:val="1538" w:hRule="exact"/>
        </w:trPr>
        <w:tc>
          <w:tcPr>
            <w:tcW w:w="4322" w:type="dxa"/>
            <w:tcBorders>
              <w:top w:val="doub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before="0"/>
              <w:ind w:left="103" w:right="90" w:hanging="1"/>
              <w:jc w:val="both"/>
              <w:rPr>
                <w:rFonts w:ascii="Arial" w:hAnsi="Arial"/>
                <w:sz w:val="22"/>
              </w:rPr>
            </w:pPr>
            <w:r>
              <w:rPr>
                <w:rFonts w:ascii="Arial" w:hAnsi="Arial"/>
                <w:sz w:val="22"/>
              </w:rPr>
              <w:t>Es la concentración de oxígeno que se encuentra disuelto en el agua, involucrado en el proceso de respiración en organismos acuáticos, así como en la oxidación de diferentes especies químicas y materia</w:t>
            </w:r>
            <w:r>
              <w:rPr>
                <w:rFonts w:ascii="Arial" w:hAnsi="Arial"/>
                <w:spacing w:val="-10"/>
                <w:sz w:val="22"/>
              </w:rPr>
              <w:t> </w:t>
            </w:r>
            <w:r>
              <w:rPr>
                <w:rFonts w:ascii="Arial" w:hAnsi="Arial"/>
                <w:sz w:val="22"/>
              </w:rPr>
              <w:t>orgánica.</w:t>
            </w:r>
          </w:p>
        </w:tc>
      </w:tr>
      <w:tr>
        <w:trPr>
          <w:trHeight w:val="516"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line="242" w:lineRule="auto" w:before="0"/>
              <w:ind w:left="103" w:right="402" w:hanging="1"/>
              <w:jc w:val="left"/>
              <w:rPr>
                <w:rFonts w:ascii="Arial" w:hAnsi="Arial"/>
                <w:sz w:val="22"/>
              </w:rPr>
            </w:pPr>
            <w:r>
              <w:rPr>
                <w:rFonts w:ascii="Arial" w:hAnsi="Arial"/>
                <w:sz w:val="22"/>
              </w:rPr>
              <w:t>Se midió con un sensor de LCD marca Hach.</w:t>
            </w:r>
          </w:p>
        </w:tc>
      </w:tr>
      <w:tr>
        <w:trPr>
          <w:trHeight w:val="1529"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line="244" w:lineRule="auto" w:before="0"/>
              <w:ind w:left="103" w:right="585"/>
              <w:jc w:val="left"/>
              <w:rPr>
                <w:rFonts w:ascii="Arial" w:hAnsi="Arial"/>
                <w:sz w:val="22"/>
              </w:rPr>
            </w:pPr>
            <w:r>
              <w:rPr>
                <w:rFonts w:ascii="Arial" w:hAnsi="Arial"/>
                <w:b/>
                <w:sz w:val="22"/>
              </w:rPr>
              <w:t>Temperatura </w:t>
            </w:r>
            <w:r>
              <w:rPr>
                <w:rFonts w:ascii="Arial" w:hAnsi="Arial"/>
                <w:sz w:val="22"/>
              </w:rPr>
              <w:t>(A mayor temperatura, menor concentración de OD).</w:t>
            </w:r>
          </w:p>
          <w:p>
            <w:pPr>
              <w:pStyle w:val="TableParagraph"/>
              <w:spacing w:line="244" w:lineRule="auto" w:before="0"/>
              <w:ind w:left="103" w:right="365"/>
              <w:jc w:val="left"/>
              <w:rPr>
                <w:rFonts w:ascii="Arial"/>
                <w:sz w:val="22"/>
              </w:rPr>
            </w:pPr>
            <w:r>
              <w:rPr>
                <w:rFonts w:ascii="Arial"/>
                <w:b/>
                <w:sz w:val="22"/>
              </w:rPr>
              <w:t>Caudal </w:t>
            </w:r>
            <w:r>
              <w:rPr>
                <w:rFonts w:ascii="Arial"/>
                <w:sz w:val="22"/>
              </w:rPr>
              <w:t>(mayor caudal, mayor cantidad de OD disponible).</w:t>
            </w:r>
          </w:p>
          <w:p>
            <w:pPr>
              <w:pStyle w:val="TableParagraph"/>
              <w:spacing w:line="242" w:lineRule="auto" w:before="0"/>
              <w:ind w:left="103" w:right="548"/>
              <w:jc w:val="left"/>
              <w:rPr>
                <w:rFonts w:ascii="Arial" w:hAnsi="Arial"/>
                <w:sz w:val="22"/>
              </w:rPr>
            </w:pPr>
            <w:r>
              <w:rPr>
                <w:rFonts w:ascii="Arial" w:hAnsi="Arial"/>
                <w:b/>
                <w:sz w:val="22"/>
              </w:rPr>
              <w:t>DQO </w:t>
            </w:r>
            <w:r>
              <w:rPr>
                <w:rFonts w:ascii="Arial" w:hAnsi="Arial"/>
                <w:sz w:val="22"/>
              </w:rPr>
              <w:t>(A mayor concentración, menor concentración de OD)</w:t>
            </w:r>
          </w:p>
        </w:tc>
      </w:tr>
      <w:tr>
        <w:trPr>
          <w:trHeight w:val="1781"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99" w:hanging="1"/>
              <w:jc w:val="left"/>
              <w:rPr>
                <w:rFonts w:ascii="Arial" w:hAnsi="Arial"/>
                <w:sz w:val="22"/>
              </w:rPr>
            </w:pPr>
            <w:r>
              <w:rPr>
                <w:rFonts w:ascii="Arial" w:hAnsi="Arial"/>
                <w:sz w:val="22"/>
              </w:rPr>
              <w:t>En la gráfica se identifican cinco zonas de control, dos de color rojo que indican efectos letales, dos de color amarillo que hacen referencia a condiciones de vida de las truchas pero no son las ideales y una zona verde donde se tiene el desarrollo adecuado del</w:t>
            </w:r>
            <w:r>
              <w:rPr>
                <w:rFonts w:ascii="Arial" w:hAnsi="Arial"/>
                <w:spacing w:val="-17"/>
                <w:sz w:val="22"/>
              </w:rPr>
              <w:t> </w:t>
            </w:r>
            <w:r>
              <w:rPr>
                <w:rFonts w:ascii="Arial" w:hAnsi="Arial"/>
                <w:sz w:val="22"/>
              </w:rPr>
              <w:t>cultivo.</w:t>
            </w:r>
          </w:p>
        </w:tc>
      </w:tr>
      <w:tr>
        <w:trPr>
          <w:trHeight w:val="1528" w:hRule="exact"/>
        </w:trPr>
        <w:tc>
          <w:tcPr>
            <w:tcW w:w="4322" w:type="dxa"/>
            <w:tcBorders>
              <w:top w:val="single" w:sz="4" w:space="0" w:color="000000"/>
              <w:bottom w:val="single" w:sz="4" w:space="0" w:color="000000"/>
              <w:right w:val="single" w:sz="4" w:space="0" w:color="000000"/>
            </w:tcBorders>
            <w:shd w:val="clear" w:color="auto" w:fill="FF0000"/>
          </w:tcPr>
          <w:p>
            <w:pPr>
              <w:pStyle w:val="TableParagraph"/>
              <w:spacing w:line="251" w:lineRule="exact" w:before="0"/>
              <w:ind w:left="93" w:right="402"/>
              <w:jc w:val="left"/>
              <w:rPr>
                <w:rFonts w:ascii="Arial"/>
                <w:sz w:val="22"/>
              </w:rPr>
            </w:pPr>
            <w:r>
              <w:rPr>
                <w:rFonts w:ascii="Arial"/>
                <w:color w:val="FFFFFF"/>
                <w:sz w:val="22"/>
              </w:rPr>
              <w:t>&lt;  3.0</w:t>
            </w:r>
            <w:r>
              <w:rPr>
                <w:rFonts w:ascii="Arial"/>
                <w:color w:val="FFFFFF"/>
                <w:spacing w:val="60"/>
                <w:sz w:val="22"/>
              </w:rPr>
              <w:t> </w:t>
            </w:r>
            <w:r>
              <w:rPr>
                <w:rFonts w:ascii="Arial"/>
                <w:color w:val="FFFFFF"/>
                <w:sz w:val="22"/>
              </w:rPr>
              <w:t>mg/L</w:t>
            </w:r>
          </w:p>
        </w:tc>
        <w:tc>
          <w:tcPr>
            <w:tcW w:w="4322" w:type="dxa"/>
            <w:tcBorders>
              <w:top w:val="single" w:sz="4" w:space="0" w:color="000000"/>
              <w:left w:val="single" w:sz="4" w:space="0" w:color="000000"/>
              <w:bottom w:val="single" w:sz="4" w:space="0" w:color="000000"/>
            </w:tcBorders>
            <w:shd w:val="clear" w:color="auto" w:fill="FF0000"/>
          </w:tcPr>
          <w:p>
            <w:pPr>
              <w:pStyle w:val="TableParagraph"/>
              <w:spacing w:before="0"/>
              <w:ind w:left="103" w:right="376"/>
              <w:jc w:val="left"/>
              <w:rPr>
                <w:rFonts w:ascii="Arial" w:hAnsi="Arial"/>
                <w:sz w:val="22"/>
              </w:rPr>
            </w:pPr>
            <w:r>
              <w:rPr>
                <w:rFonts w:ascii="Arial" w:hAnsi="Arial"/>
                <w:color w:val="FFFFFF"/>
                <w:sz w:val="22"/>
              </w:rPr>
              <w:t>Condiciones de baja concentración de oxígeno disuelto para el cultivo, esto provoca asfixia en las truchas. Esto es ocasionado por una excesiva biomasa, bajo o nulo caudal y/o por un alto contenido de materia orgánica.</w:t>
            </w:r>
          </w:p>
        </w:tc>
      </w:tr>
      <w:tr>
        <w:trPr>
          <w:trHeight w:val="1781"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2" w:lineRule="exact" w:before="0"/>
              <w:ind w:left="93" w:right="402"/>
              <w:jc w:val="left"/>
              <w:rPr>
                <w:rFonts w:ascii="Arial" w:hAnsi="Arial"/>
                <w:sz w:val="22"/>
              </w:rPr>
            </w:pPr>
            <w:r>
              <w:rPr>
                <w:rFonts w:ascii="Arial" w:hAnsi="Arial"/>
                <w:sz w:val="22"/>
              </w:rPr>
              <w:t>3.0 – 5.0</w:t>
            </w:r>
            <w:r>
              <w:rPr>
                <w:rFonts w:ascii="Arial" w:hAnsi="Arial"/>
                <w:spacing w:val="60"/>
                <w:sz w:val="22"/>
              </w:rPr>
              <w:t> </w:t>
            </w:r>
            <w:r>
              <w:rPr>
                <w:rFonts w:ascii="Arial" w:hAnsi="Arial"/>
                <w:sz w:val="22"/>
              </w:rPr>
              <w:t>mg/L</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229"/>
              <w:jc w:val="left"/>
              <w:rPr>
                <w:rFonts w:ascii="Arial" w:hAnsi="Arial"/>
                <w:sz w:val="22"/>
              </w:rPr>
            </w:pPr>
            <w:r>
              <w:rPr>
                <w:rFonts w:ascii="Arial" w:hAnsi="Arial"/>
                <w:sz w:val="22"/>
              </w:rPr>
              <w:t>En este rango, la trucha tiene capacidad de sobrevivir pero su desarrollo es bajo, encontrándose incluso nulo crecimiento, debido principalmente al estrés ocasionado a los peces. Caer en este rango, generalmente es debido a un mal manejo del sistema.</w:t>
            </w:r>
          </w:p>
        </w:tc>
      </w:tr>
      <w:tr>
        <w:trPr>
          <w:trHeight w:val="1032" w:hRule="exact"/>
        </w:trPr>
        <w:tc>
          <w:tcPr>
            <w:tcW w:w="4322" w:type="dxa"/>
            <w:tcBorders>
              <w:top w:val="single" w:sz="4" w:space="0" w:color="000000"/>
              <w:right w:val="single" w:sz="4" w:space="0" w:color="000000"/>
            </w:tcBorders>
            <w:shd w:val="clear" w:color="auto" w:fill="92D04F"/>
          </w:tcPr>
          <w:p>
            <w:pPr>
              <w:pStyle w:val="TableParagraph"/>
              <w:spacing w:line="252" w:lineRule="exact" w:before="0"/>
              <w:ind w:left="93" w:right="402"/>
              <w:jc w:val="left"/>
              <w:rPr>
                <w:rFonts w:ascii="Arial"/>
                <w:sz w:val="22"/>
              </w:rPr>
            </w:pPr>
            <w:r>
              <w:rPr>
                <w:rFonts w:ascii="Arial"/>
                <w:sz w:val="22"/>
              </w:rPr>
              <w:t>&gt; 5.0 mg/L</w:t>
            </w:r>
          </w:p>
        </w:tc>
        <w:tc>
          <w:tcPr>
            <w:tcW w:w="4322" w:type="dxa"/>
            <w:tcBorders>
              <w:top w:val="single" w:sz="4" w:space="0" w:color="000000"/>
              <w:left w:val="single" w:sz="4" w:space="0" w:color="000000"/>
            </w:tcBorders>
            <w:shd w:val="clear" w:color="auto" w:fill="92D04F"/>
          </w:tcPr>
          <w:p>
            <w:pPr>
              <w:pStyle w:val="TableParagraph"/>
              <w:spacing w:before="0"/>
              <w:ind w:left="103" w:right="254"/>
              <w:jc w:val="left"/>
              <w:rPr>
                <w:rFonts w:ascii="Arial" w:hAnsi="Arial"/>
                <w:sz w:val="22"/>
              </w:rPr>
            </w:pPr>
            <w:r>
              <w:rPr>
                <w:rFonts w:ascii="Arial" w:hAnsi="Arial"/>
                <w:sz w:val="22"/>
              </w:rPr>
              <w:t>Este es el intervalo óptimo para es buen desarrollo de la trucha, sin embargo cuanto más se acerque al valor superior es preferible.</w:t>
            </w:r>
          </w:p>
        </w:tc>
      </w:tr>
    </w:tbl>
    <w:p>
      <w:pPr>
        <w:spacing w:after="0"/>
        <w:jc w:val="left"/>
        <w:rPr>
          <w:rFonts w:ascii="Arial" w:hAnsi="Arial"/>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283" w:hRule="exact"/>
        </w:trPr>
        <w:tc>
          <w:tcPr>
            <w:tcW w:w="4322" w:type="dxa"/>
            <w:tcBorders>
              <w:bottom w:val="double" w:sz="4" w:space="0" w:color="000000"/>
              <w:right w:val="single" w:sz="4" w:space="0" w:color="000000"/>
            </w:tcBorders>
            <w:shd w:val="clear" w:color="auto" w:fill="D99594"/>
          </w:tcPr>
          <w:p>
            <w:pPr>
              <w:pStyle w:val="TableParagraph"/>
              <w:spacing w:line="248"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8" w:lineRule="exact" w:before="0"/>
              <w:ind w:left="1471" w:right="1459"/>
              <w:jc w:val="center"/>
              <w:rPr>
                <w:rFonts w:ascii="Arial"/>
                <w:b/>
                <w:sz w:val="22"/>
              </w:rPr>
            </w:pPr>
            <w:r>
              <w:rPr>
                <w:rFonts w:ascii="Arial"/>
                <w:b/>
                <w:sz w:val="22"/>
              </w:rPr>
              <w:t>Temperatura</w:t>
            </w:r>
          </w:p>
        </w:tc>
      </w:tr>
      <w:tr>
        <w:trPr>
          <w:trHeight w:val="1790" w:hRule="exact"/>
        </w:trPr>
        <w:tc>
          <w:tcPr>
            <w:tcW w:w="4322" w:type="dxa"/>
            <w:tcBorders>
              <w:top w:val="doub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before="0"/>
              <w:ind w:left="103" w:right="89" w:hanging="1"/>
              <w:jc w:val="both"/>
              <w:rPr>
                <w:rFonts w:ascii="Arial" w:hAnsi="Arial"/>
                <w:sz w:val="22"/>
              </w:rPr>
            </w:pPr>
            <w:r>
              <w:rPr>
                <w:rFonts w:ascii="Arial" w:hAnsi="Arial"/>
                <w:sz w:val="22"/>
              </w:rPr>
              <w:t>De acuerdo a la biología de la trucha, existe un intervalo de temperatura que hace posible el desarrollo adecuado para rentabilidad del cultivo. Este  parámetro no es controlable por el sistema y los principales problemas se presentan en  los meses más fríos del</w:t>
            </w:r>
            <w:r>
              <w:rPr>
                <w:rFonts w:ascii="Arial" w:hAnsi="Arial"/>
                <w:spacing w:val="-13"/>
                <w:sz w:val="22"/>
              </w:rPr>
              <w:t> </w:t>
            </w:r>
            <w:r>
              <w:rPr>
                <w:rFonts w:ascii="Arial" w:hAnsi="Arial"/>
                <w:sz w:val="22"/>
              </w:rPr>
              <w:t>año.</w:t>
            </w:r>
          </w:p>
        </w:tc>
      </w:tr>
      <w:tr>
        <w:trPr>
          <w:trHeight w:val="516"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line="242" w:lineRule="auto" w:before="0"/>
              <w:ind w:left="103" w:right="329" w:hanging="1"/>
              <w:jc w:val="left"/>
              <w:rPr>
                <w:rFonts w:ascii="Arial" w:hAnsi="Arial"/>
                <w:sz w:val="22"/>
              </w:rPr>
            </w:pPr>
            <w:r>
              <w:rPr>
                <w:rFonts w:ascii="Arial" w:hAnsi="Arial"/>
                <w:sz w:val="22"/>
              </w:rPr>
              <w:t>Se midió con un sensor de temperatura marca HACH</w:t>
            </w:r>
          </w:p>
        </w:tc>
      </w:tr>
      <w:tr>
        <w:trPr>
          <w:trHeight w:val="264"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line="251" w:lineRule="exact" w:before="0"/>
              <w:ind w:left="102" w:right="402"/>
              <w:jc w:val="left"/>
              <w:rPr>
                <w:rFonts w:ascii="Arial"/>
                <w:sz w:val="22"/>
              </w:rPr>
            </w:pPr>
            <w:r>
              <w:rPr>
                <w:rFonts w:ascii="Arial"/>
                <w:sz w:val="22"/>
              </w:rPr>
              <w:t>Ninguno</w:t>
            </w:r>
          </w:p>
        </w:tc>
      </w:tr>
      <w:tr>
        <w:trPr>
          <w:trHeight w:val="1781"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99" w:hanging="1"/>
              <w:jc w:val="left"/>
              <w:rPr>
                <w:rFonts w:ascii="Arial" w:hAnsi="Arial"/>
                <w:sz w:val="22"/>
              </w:rPr>
            </w:pPr>
            <w:r>
              <w:rPr>
                <w:rFonts w:ascii="Arial" w:hAnsi="Arial"/>
                <w:sz w:val="22"/>
              </w:rPr>
              <w:t>En la gráfica se identifican cinco zonas de control, dos de color rojo que indican efectos letales, dos de color amarillo que hacen referencia a condiciones de vida de las truchas pero no son las ideales y una zona verde donde se tiene el desarrollo adecuado del</w:t>
            </w:r>
            <w:r>
              <w:rPr>
                <w:rFonts w:ascii="Arial" w:hAnsi="Arial"/>
                <w:spacing w:val="-17"/>
                <w:sz w:val="22"/>
              </w:rPr>
              <w:t> </w:t>
            </w:r>
            <w:r>
              <w:rPr>
                <w:rFonts w:ascii="Arial" w:hAnsi="Arial"/>
                <w:sz w:val="22"/>
              </w:rPr>
              <w:t>cultivo.</w:t>
            </w:r>
          </w:p>
        </w:tc>
      </w:tr>
      <w:tr>
        <w:trPr>
          <w:trHeight w:val="263" w:hRule="exact"/>
        </w:trPr>
        <w:tc>
          <w:tcPr>
            <w:tcW w:w="4322" w:type="dxa"/>
            <w:tcBorders>
              <w:top w:val="single" w:sz="4" w:space="0" w:color="000000"/>
              <w:bottom w:val="single" w:sz="4" w:space="0" w:color="000000"/>
              <w:right w:val="single" w:sz="4" w:space="0" w:color="000000"/>
            </w:tcBorders>
            <w:shd w:val="clear" w:color="auto" w:fill="FF0000"/>
          </w:tcPr>
          <w:p>
            <w:pPr>
              <w:pStyle w:val="TableParagraph"/>
              <w:spacing w:line="251" w:lineRule="exact" w:before="0"/>
              <w:ind w:left="93" w:right="402"/>
              <w:jc w:val="left"/>
              <w:rPr>
                <w:rFonts w:ascii="Arial" w:hAnsi="Arial"/>
                <w:sz w:val="22"/>
              </w:rPr>
            </w:pPr>
            <w:r>
              <w:rPr>
                <w:rFonts w:ascii="Arial" w:hAnsi="Arial"/>
                <w:color w:val="FFFFFF"/>
                <w:sz w:val="22"/>
              </w:rPr>
              <w:t>&lt; 5.0 °C</w:t>
            </w:r>
          </w:p>
        </w:tc>
        <w:tc>
          <w:tcPr>
            <w:tcW w:w="4322" w:type="dxa"/>
            <w:tcBorders>
              <w:top w:val="single" w:sz="4" w:space="0" w:color="000000"/>
              <w:left w:val="single" w:sz="4" w:space="0" w:color="000000"/>
              <w:bottom w:val="single" w:sz="4" w:space="0" w:color="000000"/>
            </w:tcBorders>
            <w:shd w:val="clear" w:color="auto" w:fill="FF0000"/>
          </w:tcPr>
          <w:p>
            <w:pPr>
              <w:pStyle w:val="TableParagraph"/>
              <w:spacing w:line="251" w:lineRule="exact" w:before="0"/>
              <w:ind w:left="103" w:right="402"/>
              <w:jc w:val="left"/>
              <w:rPr>
                <w:rFonts w:ascii="Arial"/>
                <w:sz w:val="22"/>
              </w:rPr>
            </w:pPr>
            <w:r>
              <w:rPr>
                <w:rFonts w:ascii="Arial"/>
                <w:color w:val="FFFFFF"/>
                <w:sz w:val="22"/>
              </w:rPr>
              <w:t>Muerte por hipotermia</w:t>
            </w:r>
          </w:p>
        </w:tc>
      </w:tr>
      <w:tr>
        <w:trPr>
          <w:trHeight w:val="769"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2" w:lineRule="exact" w:before="0"/>
              <w:ind w:left="93" w:right="402"/>
              <w:jc w:val="left"/>
              <w:rPr>
                <w:rFonts w:ascii="Arial" w:hAnsi="Arial"/>
                <w:sz w:val="22"/>
              </w:rPr>
            </w:pPr>
            <w:r>
              <w:rPr>
                <w:rFonts w:ascii="Arial" w:hAnsi="Arial"/>
                <w:sz w:val="22"/>
              </w:rPr>
              <w:t>5.0 – 10.0</w:t>
            </w:r>
            <w:r>
              <w:rPr>
                <w:rFonts w:ascii="Arial" w:hAnsi="Arial"/>
                <w:spacing w:val="58"/>
                <w:sz w:val="22"/>
              </w:rPr>
              <w:t> </w:t>
            </w:r>
            <w:r>
              <w:rPr>
                <w:rFonts w:ascii="Arial" w:hAnsi="Arial"/>
                <w:sz w:val="22"/>
              </w:rPr>
              <w:t>°C</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218"/>
              <w:jc w:val="left"/>
              <w:rPr>
                <w:rFonts w:ascii="Arial" w:hAnsi="Arial"/>
                <w:sz w:val="22"/>
              </w:rPr>
            </w:pPr>
            <w:r>
              <w:rPr>
                <w:rFonts w:ascii="Arial" w:hAnsi="Arial"/>
                <w:sz w:val="22"/>
              </w:rPr>
              <w:t>Se disminuye su metabolismo por lo que su crecimiento es bajo e incluso puede haber pérdida de peso</w:t>
            </w:r>
          </w:p>
        </w:tc>
      </w:tr>
      <w:tr>
        <w:trPr>
          <w:trHeight w:val="1022" w:hRule="exact"/>
        </w:trPr>
        <w:tc>
          <w:tcPr>
            <w:tcW w:w="4322" w:type="dxa"/>
            <w:tcBorders>
              <w:top w:val="single" w:sz="4" w:space="0" w:color="000000"/>
              <w:bottom w:val="single" w:sz="4" w:space="0" w:color="000000"/>
              <w:right w:val="single" w:sz="4" w:space="0" w:color="000000"/>
            </w:tcBorders>
            <w:shd w:val="clear" w:color="auto" w:fill="92D04F"/>
          </w:tcPr>
          <w:p>
            <w:pPr>
              <w:pStyle w:val="TableParagraph"/>
              <w:spacing w:line="251" w:lineRule="exact" w:before="0"/>
              <w:ind w:left="93" w:right="402"/>
              <w:jc w:val="left"/>
              <w:rPr>
                <w:rFonts w:ascii="Arial" w:hAnsi="Arial"/>
                <w:sz w:val="22"/>
              </w:rPr>
            </w:pPr>
            <w:r>
              <w:rPr>
                <w:rFonts w:ascii="Arial" w:hAnsi="Arial"/>
                <w:sz w:val="22"/>
              </w:rPr>
              <w:t>10.1 – 18.0 °C</w:t>
            </w:r>
          </w:p>
        </w:tc>
        <w:tc>
          <w:tcPr>
            <w:tcW w:w="4322" w:type="dxa"/>
            <w:tcBorders>
              <w:top w:val="single" w:sz="4" w:space="0" w:color="000000"/>
              <w:left w:val="single" w:sz="4" w:space="0" w:color="000000"/>
              <w:bottom w:val="single" w:sz="4" w:space="0" w:color="000000"/>
            </w:tcBorders>
            <w:shd w:val="clear" w:color="auto" w:fill="92D04F"/>
          </w:tcPr>
          <w:p>
            <w:pPr>
              <w:pStyle w:val="TableParagraph"/>
              <w:spacing w:before="0"/>
              <w:ind w:left="103" w:right="254"/>
              <w:jc w:val="left"/>
              <w:rPr>
                <w:rFonts w:ascii="Arial" w:hAnsi="Arial"/>
                <w:sz w:val="22"/>
              </w:rPr>
            </w:pPr>
            <w:r>
              <w:rPr>
                <w:rFonts w:ascii="Arial" w:hAnsi="Arial"/>
                <w:sz w:val="22"/>
              </w:rPr>
              <w:t>Este es el intervalo óptimo para es buen desarrollo de la trucha, sin embargo cuanto más se acerque al valor superior es preferible.</w:t>
            </w:r>
          </w:p>
        </w:tc>
      </w:tr>
      <w:tr>
        <w:trPr>
          <w:trHeight w:val="2033"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1" w:lineRule="exact" w:before="0"/>
              <w:ind w:left="93" w:right="402"/>
              <w:jc w:val="left"/>
              <w:rPr>
                <w:rFonts w:ascii="Arial" w:hAnsi="Arial"/>
                <w:sz w:val="22"/>
              </w:rPr>
            </w:pPr>
            <w:r>
              <w:rPr>
                <w:rFonts w:ascii="Arial" w:hAnsi="Arial"/>
                <w:sz w:val="22"/>
              </w:rPr>
              <w:t>18.1 – 21.0</w:t>
            </w:r>
            <w:r>
              <w:rPr>
                <w:rFonts w:ascii="Arial" w:hAnsi="Arial"/>
                <w:spacing w:val="57"/>
                <w:sz w:val="22"/>
              </w:rPr>
              <w:t> </w:t>
            </w:r>
            <w:r>
              <w:rPr>
                <w:rFonts w:ascii="Arial" w:hAnsi="Arial"/>
                <w:sz w:val="22"/>
              </w:rPr>
              <w:t>°C</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173"/>
              <w:jc w:val="left"/>
              <w:rPr>
                <w:rFonts w:ascii="Arial" w:hAnsi="Arial"/>
                <w:sz w:val="22"/>
              </w:rPr>
            </w:pPr>
            <w:r>
              <w:rPr>
                <w:rFonts w:ascii="Arial" w:hAnsi="Arial"/>
                <w:sz w:val="22"/>
              </w:rPr>
              <w:t>En este rango, la trucha tiene capacidad de sobrevivir pero su desarrollo no es óptimo, afectando la salud de los peces por el incremento de la temperatura en el agua, la trucha es un organismo originario de climas templados a fríos por lo que estas temperaturas desencadenan cuadros de</w:t>
            </w:r>
            <w:r>
              <w:rPr>
                <w:rFonts w:ascii="Arial" w:hAnsi="Arial"/>
                <w:spacing w:val="-15"/>
                <w:sz w:val="22"/>
              </w:rPr>
              <w:t> </w:t>
            </w:r>
            <w:r>
              <w:rPr>
                <w:rFonts w:ascii="Arial" w:hAnsi="Arial"/>
                <w:sz w:val="22"/>
              </w:rPr>
              <w:t>hipertermia.</w:t>
            </w:r>
          </w:p>
        </w:tc>
      </w:tr>
      <w:tr>
        <w:trPr>
          <w:trHeight w:val="274" w:hRule="exact"/>
        </w:trPr>
        <w:tc>
          <w:tcPr>
            <w:tcW w:w="4322" w:type="dxa"/>
            <w:tcBorders>
              <w:top w:val="single" w:sz="4" w:space="0" w:color="000000"/>
              <w:right w:val="single" w:sz="4" w:space="0" w:color="000000"/>
            </w:tcBorders>
            <w:shd w:val="clear" w:color="auto" w:fill="FF0000"/>
          </w:tcPr>
          <w:p>
            <w:pPr>
              <w:pStyle w:val="TableParagraph"/>
              <w:spacing w:line="251" w:lineRule="exact" w:before="0"/>
              <w:ind w:left="93" w:right="402"/>
              <w:jc w:val="left"/>
              <w:rPr>
                <w:rFonts w:ascii="Arial" w:hAnsi="Arial"/>
                <w:sz w:val="22"/>
              </w:rPr>
            </w:pPr>
            <w:r>
              <w:rPr>
                <w:rFonts w:ascii="Arial" w:hAnsi="Arial"/>
                <w:color w:val="FFFFFF"/>
                <w:sz w:val="22"/>
              </w:rPr>
              <w:t>&gt; 21.0 °C</w:t>
            </w:r>
          </w:p>
        </w:tc>
        <w:tc>
          <w:tcPr>
            <w:tcW w:w="4322" w:type="dxa"/>
            <w:tcBorders>
              <w:top w:val="single" w:sz="4" w:space="0" w:color="000000"/>
              <w:left w:val="single" w:sz="4" w:space="0" w:color="000000"/>
            </w:tcBorders>
            <w:shd w:val="clear" w:color="auto" w:fill="FF0000"/>
          </w:tcPr>
          <w:p>
            <w:pPr>
              <w:pStyle w:val="TableParagraph"/>
              <w:spacing w:line="251" w:lineRule="exact" w:before="0"/>
              <w:ind w:left="103" w:right="402"/>
              <w:jc w:val="left"/>
              <w:rPr>
                <w:rFonts w:ascii="Arial"/>
                <w:sz w:val="22"/>
              </w:rPr>
            </w:pPr>
            <w:r>
              <w:rPr>
                <w:rFonts w:ascii="Arial"/>
                <w:color w:val="FFFFFF"/>
                <w:sz w:val="22"/>
              </w:rPr>
              <w:t>Muerte por hipertermia</w:t>
            </w:r>
          </w:p>
        </w:tc>
      </w:tr>
    </w:tbl>
    <w:p>
      <w:pPr>
        <w:spacing w:after="0" w:line="251" w:lineRule="exact"/>
        <w:jc w:val="left"/>
        <w:rPr>
          <w:rFonts w:ascii="Arial"/>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283" w:hRule="exact"/>
        </w:trPr>
        <w:tc>
          <w:tcPr>
            <w:tcW w:w="4322" w:type="dxa"/>
            <w:tcBorders>
              <w:bottom w:val="double" w:sz="4" w:space="0" w:color="000000"/>
              <w:right w:val="single" w:sz="4" w:space="0" w:color="000000"/>
            </w:tcBorders>
            <w:shd w:val="clear" w:color="auto" w:fill="D99594"/>
          </w:tcPr>
          <w:p>
            <w:pPr>
              <w:pStyle w:val="TableParagraph"/>
              <w:spacing w:line="248"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8" w:lineRule="exact" w:before="0"/>
              <w:ind w:left="1464" w:right="1459"/>
              <w:jc w:val="center"/>
              <w:rPr>
                <w:rFonts w:ascii="Arial"/>
                <w:b/>
                <w:sz w:val="22"/>
              </w:rPr>
            </w:pPr>
            <w:r>
              <w:rPr>
                <w:rFonts w:ascii="Arial"/>
                <w:b/>
                <w:sz w:val="22"/>
              </w:rPr>
              <w:t>Caudal</w:t>
            </w:r>
          </w:p>
        </w:tc>
      </w:tr>
      <w:tr>
        <w:trPr>
          <w:trHeight w:val="1538" w:hRule="exact"/>
        </w:trPr>
        <w:tc>
          <w:tcPr>
            <w:tcW w:w="4322" w:type="dxa"/>
            <w:tcBorders>
              <w:top w:val="doub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before="0"/>
              <w:ind w:left="103" w:right="89" w:hanging="1"/>
              <w:jc w:val="both"/>
              <w:rPr>
                <w:rFonts w:ascii="Arial"/>
                <w:sz w:val="22"/>
              </w:rPr>
            </w:pPr>
            <w:r>
              <w:rPr>
                <w:rFonts w:ascii="Arial"/>
                <w:sz w:val="22"/>
              </w:rPr>
              <w:t>Es el flujo que transporta agua en condiciones servidas por la trucha hacia el sistema de tratamiento y de agua con condiciones que permiten la vida de los organismos hacia los estanques de cultivo.</w:t>
            </w:r>
          </w:p>
        </w:tc>
      </w:tr>
      <w:tr>
        <w:trPr>
          <w:trHeight w:val="516"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line="252" w:lineRule="exact" w:before="2"/>
              <w:ind w:left="103" w:right="255" w:hanging="1"/>
              <w:jc w:val="left"/>
              <w:rPr>
                <w:rFonts w:ascii="Arial" w:hAnsi="Arial"/>
                <w:sz w:val="22"/>
              </w:rPr>
            </w:pPr>
            <w:r>
              <w:rPr>
                <w:rFonts w:ascii="Arial" w:hAnsi="Arial"/>
                <w:sz w:val="22"/>
              </w:rPr>
              <w:t>El cálculo de caudal se realizó mediante un aforo.</w:t>
            </w:r>
          </w:p>
        </w:tc>
      </w:tr>
      <w:tr>
        <w:trPr>
          <w:trHeight w:val="262"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line="251" w:lineRule="exact" w:before="0"/>
              <w:ind w:left="102" w:right="402"/>
              <w:jc w:val="left"/>
              <w:rPr>
                <w:rFonts w:ascii="Arial"/>
                <w:sz w:val="22"/>
              </w:rPr>
            </w:pPr>
            <w:r>
              <w:rPr>
                <w:rFonts w:ascii="Arial"/>
                <w:sz w:val="22"/>
              </w:rPr>
              <w:t>Ninguno</w:t>
            </w:r>
          </w:p>
        </w:tc>
      </w:tr>
      <w:tr>
        <w:trPr>
          <w:trHeight w:val="1782" w:hRule="exact"/>
        </w:trPr>
        <w:tc>
          <w:tcPr>
            <w:tcW w:w="4322" w:type="dxa"/>
            <w:tcBorders>
              <w:top w:val="sing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99" w:hanging="1"/>
              <w:jc w:val="left"/>
              <w:rPr>
                <w:rFonts w:ascii="Arial" w:hAnsi="Arial"/>
                <w:sz w:val="22"/>
              </w:rPr>
            </w:pPr>
            <w:r>
              <w:rPr>
                <w:rFonts w:ascii="Arial" w:hAnsi="Arial"/>
                <w:sz w:val="22"/>
              </w:rPr>
              <w:t>En la gráfica se identifican cinco zonas de control, dos de color rojo que indican efectos letales, dos de color amarillo que hacen referencia a condiciones de vida de las truchas pero no son las ideales y una zona verde donde se tiene el desarrollo adecuado del</w:t>
            </w:r>
            <w:r>
              <w:rPr>
                <w:rFonts w:ascii="Arial" w:hAnsi="Arial"/>
                <w:spacing w:val="-17"/>
                <w:sz w:val="22"/>
              </w:rPr>
              <w:t> </w:t>
            </w:r>
            <w:r>
              <w:rPr>
                <w:rFonts w:ascii="Arial" w:hAnsi="Arial"/>
                <w:sz w:val="22"/>
              </w:rPr>
              <w:t>cultivo.</w:t>
            </w:r>
          </w:p>
        </w:tc>
      </w:tr>
      <w:tr>
        <w:trPr>
          <w:trHeight w:val="1528" w:hRule="exact"/>
        </w:trPr>
        <w:tc>
          <w:tcPr>
            <w:tcW w:w="4322" w:type="dxa"/>
            <w:tcBorders>
              <w:top w:val="single" w:sz="4" w:space="0" w:color="000000"/>
              <w:bottom w:val="single" w:sz="4" w:space="0" w:color="000000"/>
              <w:right w:val="single" w:sz="4" w:space="0" w:color="000000"/>
            </w:tcBorders>
            <w:shd w:val="clear" w:color="auto" w:fill="FF0000"/>
          </w:tcPr>
          <w:p>
            <w:pPr>
              <w:pStyle w:val="TableParagraph"/>
              <w:spacing w:line="252" w:lineRule="exact" w:before="0"/>
              <w:ind w:left="93" w:right="402"/>
              <w:jc w:val="left"/>
              <w:rPr>
                <w:rFonts w:ascii="Arial"/>
                <w:sz w:val="22"/>
              </w:rPr>
            </w:pPr>
            <w:r>
              <w:rPr>
                <w:rFonts w:ascii="Arial"/>
                <w:color w:val="FFFFFF"/>
                <w:sz w:val="22"/>
              </w:rPr>
              <w:t>&lt; 0,5 L/s</w:t>
            </w:r>
          </w:p>
        </w:tc>
        <w:tc>
          <w:tcPr>
            <w:tcW w:w="4322" w:type="dxa"/>
            <w:tcBorders>
              <w:top w:val="single" w:sz="4" w:space="0" w:color="000000"/>
              <w:left w:val="single" w:sz="4" w:space="0" w:color="000000"/>
              <w:bottom w:val="single" w:sz="4" w:space="0" w:color="000000"/>
            </w:tcBorders>
            <w:shd w:val="clear" w:color="auto" w:fill="FF0000"/>
          </w:tcPr>
          <w:p>
            <w:pPr>
              <w:pStyle w:val="TableParagraph"/>
              <w:spacing w:before="0"/>
              <w:ind w:left="103" w:right="254"/>
              <w:jc w:val="left"/>
              <w:rPr>
                <w:rFonts w:ascii="Arial" w:hAnsi="Arial"/>
                <w:sz w:val="22"/>
              </w:rPr>
            </w:pPr>
            <w:r>
              <w:rPr>
                <w:rFonts w:ascii="Arial" w:hAnsi="Arial"/>
                <w:color w:val="FFFFFF"/>
                <w:sz w:val="22"/>
              </w:rPr>
              <w:t>Con este flujo, el transporte de especies químicas tóxicas no es realizado adecuadamente, ocasionando que los parámetros se encuentren en concentraciones críticas que pueden llegar a ser letales.</w:t>
            </w:r>
          </w:p>
        </w:tc>
      </w:tr>
      <w:tr>
        <w:trPr>
          <w:trHeight w:val="1274"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1" w:lineRule="exact" w:before="0"/>
              <w:ind w:left="93" w:right="402"/>
              <w:jc w:val="left"/>
              <w:rPr>
                <w:rFonts w:ascii="Arial" w:hAnsi="Arial"/>
                <w:sz w:val="22"/>
              </w:rPr>
            </w:pPr>
            <w:r>
              <w:rPr>
                <w:rFonts w:ascii="Arial" w:hAnsi="Arial"/>
                <w:sz w:val="22"/>
              </w:rPr>
              <w:t>0,5 – 2,0 L/s</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254"/>
              <w:jc w:val="left"/>
              <w:rPr>
                <w:rFonts w:ascii="Arial" w:hAnsi="Arial"/>
                <w:sz w:val="22"/>
              </w:rPr>
            </w:pPr>
            <w:r>
              <w:rPr>
                <w:rFonts w:ascii="Arial" w:hAnsi="Arial"/>
                <w:sz w:val="22"/>
              </w:rPr>
              <w:t>El movimiento del flujo permite un transporte limitado ocasionando principalmente concentraciones altas de SST, nitrógeno amoniacal y bajas concentraciones de OD.</w:t>
            </w:r>
          </w:p>
        </w:tc>
      </w:tr>
      <w:tr>
        <w:trPr>
          <w:trHeight w:val="1276" w:hRule="exact"/>
        </w:trPr>
        <w:tc>
          <w:tcPr>
            <w:tcW w:w="4322" w:type="dxa"/>
            <w:tcBorders>
              <w:top w:val="single" w:sz="4" w:space="0" w:color="000000"/>
              <w:bottom w:val="single" w:sz="4" w:space="0" w:color="000000"/>
              <w:right w:val="single" w:sz="4" w:space="0" w:color="000000"/>
            </w:tcBorders>
            <w:shd w:val="clear" w:color="auto" w:fill="92D04F"/>
          </w:tcPr>
          <w:p>
            <w:pPr>
              <w:pStyle w:val="TableParagraph"/>
              <w:spacing w:line="251" w:lineRule="exact" w:before="0"/>
              <w:ind w:left="93" w:right="402"/>
              <w:jc w:val="left"/>
              <w:rPr>
                <w:rFonts w:ascii="Arial" w:hAnsi="Arial"/>
                <w:sz w:val="22"/>
              </w:rPr>
            </w:pPr>
            <w:r>
              <w:rPr>
                <w:rFonts w:ascii="Arial" w:hAnsi="Arial"/>
                <w:sz w:val="22"/>
              </w:rPr>
              <w:t>2,0 – 3,0 L/s</w:t>
            </w:r>
          </w:p>
        </w:tc>
        <w:tc>
          <w:tcPr>
            <w:tcW w:w="4322" w:type="dxa"/>
            <w:tcBorders>
              <w:top w:val="single" w:sz="4" w:space="0" w:color="000000"/>
              <w:left w:val="single" w:sz="4" w:space="0" w:color="000000"/>
              <w:bottom w:val="single" w:sz="4" w:space="0" w:color="000000"/>
            </w:tcBorders>
            <w:shd w:val="clear" w:color="auto" w:fill="92D04F"/>
          </w:tcPr>
          <w:p>
            <w:pPr>
              <w:pStyle w:val="TableParagraph"/>
              <w:spacing w:before="0"/>
              <w:ind w:left="103" w:right="126"/>
              <w:jc w:val="left"/>
              <w:rPr>
                <w:rFonts w:ascii="Arial" w:hAnsi="Arial"/>
                <w:sz w:val="22"/>
              </w:rPr>
            </w:pPr>
            <w:r>
              <w:rPr>
                <w:rFonts w:ascii="Arial" w:hAnsi="Arial"/>
                <w:sz w:val="22"/>
              </w:rPr>
              <w:t>Este es el intervalo óptimo para es adecuado arrastre de especies químicas tóxicas y permite una velocidad que evita la acumulación de sólidos en los estanques.</w:t>
            </w:r>
          </w:p>
        </w:tc>
      </w:tr>
      <w:tr>
        <w:trPr>
          <w:trHeight w:val="1528"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2" w:lineRule="exact" w:before="0"/>
              <w:ind w:left="93" w:right="402"/>
              <w:jc w:val="left"/>
              <w:rPr>
                <w:rFonts w:ascii="Arial" w:hAnsi="Arial"/>
                <w:sz w:val="22"/>
              </w:rPr>
            </w:pPr>
            <w:r>
              <w:rPr>
                <w:rFonts w:ascii="Arial" w:hAnsi="Arial"/>
                <w:sz w:val="22"/>
              </w:rPr>
              <w:t>3,0 – 4,0 L/s</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168"/>
              <w:jc w:val="left"/>
              <w:rPr>
                <w:rFonts w:ascii="Arial" w:hAnsi="Arial"/>
                <w:sz w:val="22"/>
              </w:rPr>
            </w:pPr>
            <w:r>
              <w:rPr>
                <w:rFonts w:ascii="Arial" w:hAnsi="Arial"/>
                <w:sz w:val="22"/>
              </w:rPr>
              <w:t>El sistema de tratamiento ha sido diseñado para operar a estos caudales sólo en condiciones extremas por lo que pueden presentarse condiciones de lavado de biopelícula en el filtro biológico y/o fluidificación en  el filtro de arena.</w:t>
            </w:r>
          </w:p>
        </w:tc>
      </w:tr>
      <w:tr>
        <w:trPr>
          <w:trHeight w:val="527" w:hRule="exact"/>
        </w:trPr>
        <w:tc>
          <w:tcPr>
            <w:tcW w:w="4322" w:type="dxa"/>
            <w:tcBorders>
              <w:top w:val="single" w:sz="4" w:space="0" w:color="000000"/>
              <w:right w:val="single" w:sz="4" w:space="0" w:color="000000"/>
            </w:tcBorders>
            <w:shd w:val="clear" w:color="auto" w:fill="FF0000"/>
          </w:tcPr>
          <w:p>
            <w:pPr>
              <w:pStyle w:val="TableParagraph"/>
              <w:spacing w:line="251" w:lineRule="exact" w:before="0"/>
              <w:ind w:left="93" w:right="402"/>
              <w:jc w:val="left"/>
              <w:rPr>
                <w:rFonts w:ascii="Arial"/>
                <w:sz w:val="22"/>
              </w:rPr>
            </w:pPr>
            <w:r>
              <w:rPr>
                <w:rFonts w:ascii="Arial"/>
                <w:color w:val="FFFFFF"/>
                <w:sz w:val="22"/>
              </w:rPr>
              <w:t>&gt; 4,0 L/s</w:t>
            </w:r>
          </w:p>
        </w:tc>
        <w:tc>
          <w:tcPr>
            <w:tcW w:w="4322" w:type="dxa"/>
            <w:tcBorders>
              <w:top w:val="single" w:sz="4" w:space="0" w:color="000000"/>
              <w:left w:val="single" w:sz="4" w:space="0" w:color="000000"/>
            </w:tcBorders>
            <w:shd w:val="clear" w:color="auto" w:fill="FF0000"/>
          </w:tcPr>
          <w:p>
            <w:pPr>
              <w:pStyle w:val="TableParagraph"/>
              <w:spacing w:line="242" w:lineRule="auto" w:before="0"/>
              <w:ind w:left="103" w:right="181"/>
              <w:jc w:val="left"/>
              <w:rPr>
                <w:rFonts w:ascii="Arial"/>
                <w:sz w:val="22"/>
              </w:rPr>
            </w:pPr>
            <w:r>
              <w:rPr>
                <w:rFonts w:ascii="Arial"/>
                <w:color w:val="FFFFFF"/>
                <w:sz w:val="22"/>
              </w:rPr>
              <w:t>El sistema de tratamiento se colapsa y el sistema de bombeo se puede averiar.</w:t>
            </w:r>
          </w:p>
        </w:tc>
      </w:tr>
    </w:tbl>
    <w:p>
      <w:pPr>
        <w:spacing w:after="0" w:line="242" w:lineRule="auto"/>
        <w:jc w:val="left"/>
        <w:rPr>
          <w:rFonts w:ascii="Arial"/>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283" w:hRule="exact"/>
        </w:trPr>
        <w:tc>
          <w:tcPr>
            <w:tcW w:w="4322" w:type="dxa"/>
            <w:tcBorders>
              <w:bottom w:val="double" w:sz="4" w:space="0" w:color="000000"/>
              <w:right w:val="single" w:sz="4" w:space="0" w:color="000000"/>
            </w:tcBorders>
            <w:shd w:val="clear" w:color="auto" w:fill="D99594"/>
          </w:tcPr>
          <w:p>
            <w:pPr>
              <w:pStyle w:val="TableParagraph"/>
              <w:spacing w:line="248"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8" w:lineRule="exact" w:before="0"/>
              <w:ind w:left="1466" w:right="1459"/>
              <w:jc w:val="center"/>
              <w:rPr>
                <w:rFonts w:ascii="Arial"/>
                <w:b/>
                <w:sz w:val="22"/>
              </w:rPr>
            </w:pPr>
            <w:r>
              <w:rPr>
                <w:rFonts w:ascii="Arial"/>
                <w:b/>
                <w:sz w:val="22"/>
              </w:rPr>
              <w:t>pH</w:t>
            </w:r>
          </w:p>
        </w:tc>
      </w:tr>
      <w:tr>
        <w:trPr>
          <w:trHeight w:val="1032" w:hRule="exact"/>
        </w:trPr>
        <w:tc>
          <w:tcPr>
            <w:tcW w:w="4322" w:type="dxa"/>
            <w:tcBorders>
              <w:top w:val="doub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before="0"/>
              <w:ind w:left="103" w:right="89" w:hanging="1"/>
              <w:jc w:val="both"/>
              <w:rPr>
                <w:rFonts w:ascii="Arial" w:hAnsi="Arial"/>
                <w:sz w:val="22"/>
              </w:rPr>
            </w:pPr>
            <w:r>
              <w:rPr>
                <w:rFonts w:ascii="Arial" w:hAnsi="Arial"/>
                <w:sz w:val="22"/>
              </w:rPr>
              <w:t>Este parámetro es indicativo de la acidez o alcalinidad del agua, ya que representa la concentración de iones hidrogeno en el agua.</w:t>
            </w:r>
          </w:p>
        </w:tc>
      </w:tr>
      <w:tr>
        <w:trPr>
          <w:trHeight w:val="516"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line="242" w:lineRule="auto" w:before="0"/>
              <w:ind w:left="103" w:right="1270" w:hanging="1"/>
              <w:jc w:val="left"/>
              <w:rPr>
                <w:rFonts w:ascii="Arial" w:hAnsi="Arial"/>
                <w:sz w:val="22"/>
              </w:rPr>
            </w:pPr>
            <w:r>
              <w:rPr>
                <w:rFonts w:ascii="Arial" w:hAnsi="Arial"/>
                <w:sz w:val="22"/>
              </w:rPr>
              <w:t>La medición se realizó con un potenciómetro marca HACH.</w:t>
            </w:r>
          </w:p>
        </w:tc>
      </w:tr>
      <w:tr>
        <w:trPr>
          <w:trHeight w:val="1274"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line="242" w:lineRule="auto" w:before="0"/>
              <w:ind w:left="103" w:right="168"/>
              <w:jc w:val="left"/>
              <w:rPr>
                <w:rFonts w:ascii="Arial" w:hAnsi="Arial"/>
                <w:sz w:val="22"/>
              </w:rPr>
            </w:pPr>
            <w:r>
              <w:rPr>
                <w:rFonts w:ascii="Arial" w:hAnsi="Arial"/>
                <w:b/>
                <w:sz w:val="22"/>
              </w:rPr>
              <w:t>Nitrógeno amoniacal </w:t>
            </w:r>
            <w:r>
              <w:rPr>
                <w:rFonts w:ascii="Arial" w:hAnsi="Arial"/>
                <w:sz w:val="22"/>
              </w:rPr>
              <w:t>(a mayor concentración de nitrógeno amoniacal, el pH es menor)</w:t>
            </w:r>
          </w:p>
          <w:p>
            <w:pPr>
              <w:pStyle w:val="TableParagraph"/>
              <w:spacing w:line="244" w:lineRule="auto" w:before="0"/>
              <w:ind w:left="103" w:right="683"/>
              <w:jc w:val="left"/>
              <w:rPr>
                <w:rFonts w:ascii="Arial" w:hAnsi="Arial"/>
                <w:sz w:val="22"/>
              </w:rPr>
            </w:pPr>
            <w:r>
              <w:rPr>
                <w:rFonts w:ascii="Arial" w:hAnsi="Arial"/>
                <w:b/>
                <w:sz w:val="22"/>
              </w:rPr>
              <w:t>Nitratos </w:t>
            </w:r>
            <w:r>
              <w:rPr>
                <w:rFonts w:ascii="Arial" w:hAnsi="Arial"/>
                <w:sz w:val="22"/>
              </w:rPr>
              <w:t>(a mayor concentración de nitratos, el pH es menor)</w:t>
            </w:r>
          </w:p>
        </w:tc>
      </w:tr>
      <w:tr>
        <w:trPr>
          <w:trHeight w:val="1781"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99" w:hanging="1"/>
              <w:jc w:val="left"/>
              <w:rPr>
                <w:rFonts w:ascii="Arial" w:hAnsi="Arial"/>
                <w:sz w:val="22"/>
              </w:rPr>
            </w:pPr>
            <w:r>
              <w:rPr>
                <w:rFonts w:ascii="Arial" w:hAnsi="Arial"/>
                <w:sz w:val="22"/>
              </w:rPr>
              <w:t>En la gráfica se identifican cinco zonas de control, dos de color rojo que indican efectos letales, dos de color amarillo que hacen referencia a condiciones de vida de las truchas pero no son las ideales y una zona verde donde se tiene el desarrollo adecuado del</w:t>
            </w:r>
            <w:r>
              <w:rPr>
                <w:rFonts w:ascii="Arial" w:hAnsi="Arial"/>
                <w:spacing w:val="-17"/>
                <w:sz w:val="22"/>
              </w:rPr>
              <w:t> </w:t>
            </w:r>
            <w:r>
              <w:rPr>
                <w:rFonts w:ascii="Arial" w:hAnsi="Arial"/>
                <w:sz w:val="22"/>
              </w:rPr>
              <w:t>cultivo.</w:t>
            </w:r>
          </w:p>
        </w:tc>
      </w:tr>
      <w:tr>
        <w:trPr>
          <w:trHeight w:val="770" w:hRule="exact"/>
        </w:trPr>
        <w:tc>
          <w:tcPr>
            <w:tcW w:w="4322" w:type="dxa"/>
            <w:tcBorders>
              <w:top w:val="single" w:sz="4" w:space="0" w:color="000000"/>
              <w:bottom w:val="single" w:sz="4" w:space="0" w:color="000000"/>
              <w:right w:val="single" w:sz="4" w:space="0" w:color="000000"/>
            </w:tcBorders>
            <w:shd w:val="clear" w:color="auto" w:fill="FF0000"/>
          </w:tcPr>
          <w:p>
            <w:pPr>
              <w:pStyle w:val="TableParagraph"/>
              <w:spacing w:line="251" w:lineRule="exact" w:before="0"/>
              <w:ind w:left="93" w:right="402"/>
              <w:jc w:val="left"/>
              <w:rPr>
                <w:rFonts w:ascii="Arial"/>
                <w:sz w:val="22"/>
              </w:rPr>
            </w:pPr>
            <w:r>
              <w:rPr>
                <w:rFonts w:ascii="Arial"/>
                <w:color w:val="FFFFFF"/>
                <w:sz w:val="22"/>
              </w:rPr>
              <w:t>&lt; 6,5</w:t>
            </w:r>
          </w:p>
        </w:tc>
        <w:tc>
          <w:tcPr>
            <w:tcW w:w="4322" w:type="dxa"/>
            <w:tcBorders>
              <w:top w:val="single" w:sz="4" w:space="0" w:color="000000"/>
              <w:left w:val="single" w:sz="4" w:space="0" w:color="000000"/>
              <w:bottom w:val="single" w:sz="4" w:space="0" w:color="000000"/>
            </w:tcBorders>
            <w:shd w:val="clear" w:color="auto" w:fill="FF0000"/>
          </w:tcPr>
          <w:p>
            <w:pPr>
              <w:pStyle w:val="TableParagraph"/>
              <w:spacing w:before="0"/>
              <w:ind w:left="103" w:right="266"/>
              <w:jc w:val="left"/>
              <w:rPr>
                <w:rFonts w:ascii="Arial" w:hAnsi="Arial"/>
                <w:sz w:val="22"/>
              </w:rPr>
            </w:pPr>
            <w:r>
              <w:rPr>
                <w:rFonts w:ascii="Arial" w:hAnsi="Arial"/>
                <w:color w:val="FFFFFF"/>
                <w:sz w:val="22"/>
              </w:rPr>
              <w:t>Nitritos altamente tóxicos, bacterias responsables de la nitrificación no están presentes</w:t>
            </w:r>
          </w:p>
        </w:tc>
      </w:tr>
      <w:tr>
        <w:trPr>
          <w:trHeight w:val="516"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1" w:lineRule="exact" w:before="0"/>
              <w:ind w:left="93" w:right="402"/>
              <w:jc w:val="left"/>
              <w:rPr>
                <w:rFonts w:ascii="Arial" w:hAnsi="Arial"/>
                <w:sz w:val="22"/>
              </w:rPr>
            </w:pPr>
            <w:r>
              <w:rPr>
                <w:rFonts w:ascii="Arial" w:hAnsi="Arial"/>
                <w:sz w:val="22"/>
              </w:rPr>
              <w:t>6,5 – 7,5</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line="252" w:lineRule="exact" w:before="2"/>
              <w:ind w:left="103" w:right="365"/>
              <w:jc w:val="left"/>
              <w:rPr>
                <w:rFonts w:ascii="Arial" w:hAnsi="Arial"/>
                <w:sz w:val="22"/>
              </w:rPr>
            </w:pPr>
            <w:r>
              <w:rPr>
                <w:rFonts w:ascii="Arial" w:hAnsi="Arial"/>
                <w:sz w:val="22"/>
              </w:rPr>
              <w:t>Nitritos tóxicos, bacterias responsables de la nitrificación son inhibidas</w:t>
            </w:r>
          </w:p>
        </w:tc>
      </w:tr>
      <w:tr>
        <w:trPr>
          <w:trHeight w:val="1021" w:hRule="exact"/>
        </w:trPr>
        <w:tc>
          <w:tcPr>
            <w:tcW w:w="4322" w:type="dxa"/>
            <w:tcBorders>
              <w:top w:val="single" w:sz="4" w:space="0" w:color="000000"/>
              <w:bottom w:val="single" w:sz="4" w:space="0" w:color="000000"/>
              <w:right w:val="single" w:sz="4" w:space="0" w:color="000000"/>
            </w:tcBorders>
            <w:shd w:val="clear" w:color="auto" w:fill="92D04F"/>
          </w:tcPr>
          <w:p>
            <w:pPr>
              <w:pStyle w:val="TableParagraph"/>
              <w:spacing w:line="251" w:lineRule="exact" w:before="0"/>
              <w:ind w:left="93" w:right="402"/>
              <w:jc w:val="left"/>
              <w:rPr>
                <w:rFonts w:ascii="Arial" w:hAnsi="Arial"/>
                <w:sz w:val="22"/>
              </w:rPr>
            </w:pPr>
            <w:r>
              <w:rPr>
                <w:rFonts w:ascii="Arial" w:hAnsi="Arial"/>
                <w:sz w:val="22"/>
              </w:rPr>
              <w:t>7,6 – 8,5</w:t>
            </w:r>
          </w:p>
        </w:tc>
        <w:tc>
          <w:tcPr>
            <w:tcW w:w="4322" w:type="dxa"/>
            <w:tcBorders>
              <w:top w:val="single" w:sz="4" w:space="0" w:color="000000"/>
              <w:left w:val="single" w:sz="4" w:space="0" w:color="000000"/>
              <w:bottom w:val="single" w:sz="4" w:space="0" w:color="000000"/>
            </w:tcBorders>
            <w:shd w:val="clear" w:color="auto" w:fill="92D04F"/>
          </w:tcPr>
          <w:p>
            <w:pPr>
              <w:pStyle w:val="TableParagraph"/>
              <w:spacing w:before="0"/>
              <w:ind w:left="103" w:right="205"/>
              <w:jc w:val="left"/>
              <w:rPr>
                <w:rFonts w:ascii="Arial" w:hAnsi="Arial"/>
                <w:sz w:val="22"/>
              </w:rPr>
            </w:pPr>
            <w:r>
              <w:rPr>
                <w:rFonts w:ascii="Arial" w:hAnsi="Arial"/>
                <w:sz w:val="22"/>
              </w:rPr>
              <w:t>Este es el intervalo óptimo para es buen desarrollo de la trucha, sin embargo cuanto más se acerque al valor superior, es preferible.</w:t>
            </w:r>
          </w:p>
        </w:tc>
      </w:tr>
      <w:tr>
        <w:trPr>
          <w:trHeight w:val="1021"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2" w:lineRule="exact" w:before="0"/>
              <w:ind w:left="93" w:right="402"/>
              <w:jc w:val="left"/>
              <w:rPr>
                <w:rFonts w:ascii="Arial" w:hAnsi="Arial"/>
                <w:sz w:val="22"/>
              </w:rPr>
            </w:pPr>
            <w:r>
              <w:rPr>
                <w:rFonts w:ascii="Arial" w:hAnsi="Arial"/>
                <w:sz w:val="22"/>
              </w:rPr>
              <w:t>8,6 – 9,0</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316"/>
              <w:jc w:val="left"/>
              <w:rPr>
                <w:rFonts w:ascii="Arial" w:hAnsi="Arial"/>
                <w:sz w:val="22"/>
              </w:rPr>
            </w:pPr>
            <w:r>
              <w:rPr>
                <w:rFonts w:ascii="Arial" w:hAnsi="Arial"/>
                <w:sz w:val="22"/>
              </w:rPr>
              <w:t>Intervalo óptimo para la nitrificación, sin embargo, los niveles posibles de nitrógeno amoniacal se pueden volver tóxicos.</w:t>
            </w:r>
          </w:p>
        </w:tc>
      </w:tr>
      <w:tr>
        <w:trPr>
          <w:trHeight w:val="780" w:hRule="exact"/>
        </w:trPr>
        <w:tc>
          <w:tcPr>
            <w:tcW w:w="4322" w:type="dxa"/>
            <w:tcBorders>
              <w:top w:val="single" w:sz="4" w:space="0" w:color="000000"/>
              <w:right w:val="single" w:sz="4" w:space="0" w:color="000000"/>
            </w:tcBorders>
            <w:shd w:val="clear" w:color="auto" w:fill="FF0000"/>
          </w:tcPr>
          <w:p>
            <w:pPr>
              <w:pStyle w:val="TableParagraph"/>
              <w:spacing w:line="251" w:lineRule="exact" w:before="0"/>
              <w:ind w:left="93" w:right="402"/>
              <w:jc w:val="left"/>
              <w:rPr>
                <w:rFonts w:ascii="Arial"/>
                <w:sz w:val="22"/>
              </w:rPr>
            </w:pPr>
            <w:r>
              <w:rPr>
                <w:rFonts w:ascii="Arial"/>
                <w:color w:val="FFFFFF"/>
                <w:sz w:val="22"/>
              </w:rPr>
              <w:t>&gt; 9,0</w:t>
            </w:r>
          </w:p>
        </w:tc>
        <w:tc>
          <w:tcPr>
            <w:tcW w:w="4322" w:type="dxa"/>
            <w:tcBorders>
              <w:top w:val="single" w:sz="4" w:space="0" w:color="000000"/>
              <w:left w:val="single" w:sz="4" w:space="0" w:color="000000"/>
            </w:tcBorders>
            <w:shd w:val="clear" w:color="auto" w:fill="FF0000"/>
          </w:tcPr>
          <w:p>
            <w:pPr>
              <w:pStyle w:val="TableParagraph"/>
              <w:spacing w:before="0"/>
              <w:ind w:left="103" w:right="137"/>
              <w:jc w:val="both"/>
              <w:rPr>
                <w:rFonts w:ascii="Arial" w:hAnsi="Arial"/>
                <w:sz w:val="22"/>
              </w:rPr>
            </w:pPr>
            <w:r>
              <w:rPr>
                <w:rFonts w:ascii="Arial" w:hAnsi="Arial"/>
                <w:color w:val="FFFFFF"/>
                <w:sz w:val="22"/>
              </w:rPr>
              <w:t>Se asocia con crecimiento de microalgas, predomina el amoniaco (altamente tóxico para los peces) e inhibe la nitrificación</w:t>
            </w:r>
          </w:p>
        </w:tc>
      </w:tr>
    </w:tbl>
    <w:p>
      <w:pPr>
        <w:spacing w:after="0"/>
        <w:jc w:val="both"/>
        <w:rPr>
          <w:rFonts w:ascii="Arial" w:hAnsi="Arial"/>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535" w:hRule="exact"/>
        </w:trPr>
        <w:tc>
          <w:tcPr>
            <w:tcW w:w="4322" w:type="dxa"/>
            <w:tcBorders>
              <w:bottom w:val="double" w:sz="4" w:space="0" w:color="000000"/>
              <w:right w:val="single" w:sz="4" w:space="0" w:color="000000"/>
            </w:tcBorders>
            <w:shd w:val="clear" w:color="auto" w:fill="D99594"/>
          </w:tcPr>
          <w:p>
            <w:pPr>
              <w:pStyle w:val="TableParagraph"/>
              <w:spacing w:line="248"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2" w:lineRule="auto" w:before="0"/>
              <w:ind w:left="1787" w:right="313" w:hanging="1448"/>
              <w:jc w:val="left"/>
              <w:rPr>
                <w:rFonts w:ascii="Arial" w:hAnsi="Arial"/>
                <w:b/>
                <w:sz w:val="22"/>
              </w:rPr>
            </w:pPr>
            <w:r>
              <w:rPr>
                <w:rFonts w:ascii="Arial" w:hAnsi="Arial"/>
                <w:b/>
                <w:sz w:val="22"/>
              </w:rPr>
              <w:t>Demanda química de oxígeno total (DQO</w:t>
            </w:r>
            <w:r>
              <w:rPr>
                <w:rFonts w:ascii="Arial" w:hAnsi="Arial"/>
                <w:b/>
                <w:position w:val="-2"/>
                <w:sz w:val="14"/>
              </w:rPr>
              <w:t>T</w:t>
            </w:r>
            <w:r>
              <w:rPr>
                <w:rFonts w:ascii="Arial" w:hAnsi="Arial"/>
                <w:b/>
                <w:sz w:val="22"/>
              </w:rPr>
              <w:t>)</w:t>
            </w:r>
          </w:p>
        </w:tc>
      </w:tr>
      <w:tr>
        <w:trPr>
          <w:trHeight w:val="780" w:hRule="exact"/>
        </w:trPr>
        <w:tc>
          <w:tcPr>
            <w:tcW w:w="4322" w:type="dxa"/>
            <w:tcBorders>
              <w:top w:val="doub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before="0"/>
              <w:ind w:left="103" w:right="90" w:hanging="1"/>
              <w:jc w:val="both"/>
              <w:rPr>
                <w:rFonts w:ascii="Arial" w:hAnsi="Arial"/>
                <w:sz w:val="22"/>
              </w:rPr>
            </w:pPr>
            <w:r>
              <w:rPr>
                <w:rFonts w:ascii="Arial" w:hAnsi="Arial"/>
                <w:sz w:val="22"/>
              </w:rPr>
              <w:t>Es la determinación indirecta de la concentración de materia orgánica disuelta en el agua.</w:t>
            </w:r>
          </w:p>
        </w:tc>
      </w:tr>
      <w:tr>
        <w:trPr>
          <w:trHeight w:val="768"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before="0"/>
              <w:ind w:left="103" w:right="182" w:hanging="1"/>
              <w:jc w:val="left"/>
              <w:rPr>
                <w:rFonts w:ascii="Arial" w:hAnsi="Arial"/>
                <w:sz w:val="22"/>
              </w:rPr>
            </w:pPr>
            <w:r>
              <w:rPr>
                <w:rFonts w:ascii="Arial" w:hAnsi="Arial"/>
                <w:sz w:val="22"/>
              </w:rPr>
              <w:t>Este parámetro se determinó de acuerdo con la técnica recomendada en el “Stándard Methods”</w:t>
            </w:r>
          </w:p>
        </w:tc>
      </w:tr>
      <w:tr>
        <w:trPr>
          <w:trHeight w:val="516" w:hRule="exact"/>
        </w:trPr>
        <w:tc>
          <w:tcPr>
            <w:tcW w:w="4322" w:type="dxa"/>
            <w:tcBorders>
              <w:top w:val="sing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before="0"/>
              <w:ind w:left="103" w:right="562" w:hanging="1"/>
              <w:jc w:val="left"/>
              <w:rPr>
                <w:rFonts w:ascii="Arial" w:hAnsi="Arial"/>
                <w:sz w:val="22"/>
              </w:rPr>
            </w:pPr>
            <w:r>
              <w:rPr>
                <w:rFonts w:ascii="Arial" w:hAnsi="Arial"/>
                <w:sz w:val="22"/>
              </w:rPr>
              <w:t>OD (A mayor cantidad de OD, menor concentración de DQO</w:t>
            </w:r>
            <w:r>
              <w:rPr>
                <w:rFonts w:ascii="Arial" w:hAnsi="Arial"/>
                <w:position w:val="-2"/>
                <w:sz w:val="13"/>
              </w:rPr>
              <w:t>T</w:t>
            </w:r>
            <w:r>
              <w:rPr>
                <w:rFonts w:ascii="Arial" w:hAnsi="Arial"/>
                <w:sz w:val="22"/>
              </w:rPr>
              <w:t>).</w:t>
            </w:r>
          </w:p>
        </w:tc>
      </w:tr>
      <w:tr>
        <w:trPr>
          <w:trHeight w:val="1782" w:hRule="exact"/>
        </w:trPr>
        <w:tc>
          <w:tcPr>
            <w:tcW w:w="4322" w:type="dxa"/>
            <w:tcBorders>
              <w:top w:val="sing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180" w:hanging="1"/>
              <w:jc w:val="left"/>
              <w:rPr>
                <w:rFonts w:ascii="Arial" w:hAnsi="Arial"/>
                <w:sz w:val="22"/>
              </w:rPr>
            </w:pPr>
            <w:r>
              <w:rPr>
                <w:rFonts w:ascii="Arial" w:hAnsi="Arial"/>
                <w:sz w:val="22"/>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1021" w:hRule="exact"/>
        </w:trPr>
        <w:tc>
          <w:tcPr>
            <w:tcW w:w="4322" w:type="dxa"/>
            <w:tcBorders>
              <w:top w:val="single" w:sz="4" w:space="0" w:color="000000"/>
              <w:bottom w:val="single" w:sz="4" w:space="0" w:color="000000"/>
              <w:right w:val="single" w:sz="4" w:space="0" w:color="000000"/>
            </w:tcBorders>
            <w:shd w:val="clear" w:color="auto" w:fill="92D04F"/>
          </w:tcPr>
          <w:p>
            <w:pPr>
              <w:pStyle w:val="TableParagraph"/>
              <w:spacing w:line="252" w:lineRule="exact" w:before="0"/>
              <w:ind w:left="93" w:right="402"/>
              <w:jc w:val="left"/>
              <w:rPr>
                <w:rFonts w:ascii="Arial"/>
                <w:sz w:val="22"/>
              </w:rPr>
            </w:pPr>
            <w:r>
              <w:rPr>
                <w:rFonts w:ascii="Arial"/>
                <w:sz w:val="22"/>
              </w:rPr>
              <w:t>&lt; 150 mg/L</w:t>
            </w:r>
          </w:p>
        </w:tc>
        <w:tc>
          <w:tcPr>
            <w:tcW w:w="4322" w:type="dxa"/>
            <w:tcBorders>
              <w:top w:val="single" w:sz="4" w:space="0" w:color="000000"/>
              <w:left w:val="single" w:sz="4" w:space="0" w:color="000000"/>
              <w:bottom w:val="single" w:sz="4" w:space="0" w:color="000000"/>
            </w:tcBorders>
            <w:shd w:val="clear" w:color="auto" w:fill="92D04F"/>
          </w:tcPr>
          <w:p>
            <w:pPr>
              <w:pStyle w:val="TableParagraph"/>
              <w:spacing w:line="235" w:lineRule="auto" w:before="3"/>
              <w:ind w:left="103" w:right="126"/>
              <w:jc w:val="left"/>
              <w:rPr>
                <w:rFonts w:ascii="Arial"/>
                <w:sz w:val="22"/>
              </w:rPr>
            </w:pPr>
            <w:r>
              <w:rPr>
                <w:rFonts w:ascii="Arial"/>
                <w:sz w:val="22"/>
              </w:rPr>
              <w:t>Intervalo ideal, ya que cuando la DQO</w:t>
            </w:r>
            <w:r>
              <w:rPr>
                <w:rFonts w:ascii="Arial"/>
                <w:position w:val="-2"/>
                <w:sz w:val="13"/>
              </w:rPr>
              <w:t>T </w:t>
            </w:r>
            <w:r>
              <w:rPr>
                <w:rFonts w:ascii="Arial"/>
                <w:sz w:val="22"/>
              </w:rPr>
              <w:t>es menor a 150 mg/L, la disponibilidad</w:t>
            </w:r>
            <w:r>
              <w:rPr>
                <w:rFonts w:ascii="Arial"/>
                <w:spacing w:val="-18"/>
                <w:sz w:val="22"/>
              </w:rPr>
              <w:t> </w:t>
            </w:r>
            <w:r>
              <w:rPr>
                <w:rFonts w:ascii="Arial"/>
                <w:sz w:val="22"/>
              </w:rPr>
              <w:t>de OD se encuentra dentro del rango ideal para el desarrollo de la</w:t>
            </w:r>
            <w:r>
              <w:rPr>
                <w:rFonts w:ascii="Arial"/>
                <w:spacing w:val="-12"/>
                <w:sz w:val="22"/>
              </w:rPr>
              <w:t> </w:t>
            </w:r>
            <w:r>
              <w:rPr>
                <w:rFonts w:ascii="Arial"/>
                <w:sz w:val="22"/>
              </w:rPr>
              <w:t>trucha.</w:t>
            </w:r>
          </w:p>
        </w:tc>
      </w:tr>
      <w:tr>
        <w:trPr>
          <w:trHeight w:val="1022"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1" w:lineRule="exact" w:before="0"/>
              <w:ind w:left="93" w:right="402"/>
              <w:jc w:val="left"/>
              <w:rPr>
                <w:rFonts w:ascii="Arial" w:hAnsi="Arial"/>
                <w:sz w:val="22"/>
              </w:rPr>
            </w:pPr>
            <w:r>
              <w:rPr>
                <w:rFonts w:ascii="Arial" w:hAnsi="Arial"/>
                <w:sz w:val="22"/>
              </w:rPr>
              <w:t>150.0 – 190.00 mg/L</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132"/>
              <w:jc w:val="left"/>
              <w:rPr>
                <w:rFonts w:ascii="Arial" w:hAnsi="Arial"/>
                <w:sz w:val="22"/>
              </w:rPr>
            </w:pPr>
            <w:r>
              <w:rPr>
                <w:rFonts w:ascii="Arial" w:hAnsi="Arial"/>
                <w:sz w:val="22"/>
              </w:rPr>
              <w:t>La concentración de OD en el agua se ve comprometida hacia la oxidación de la materia orgánica, reduciendo la disponibilidad de OD hacia la trucha.</w:t>
            </w:r>
          </w:p>
        </w:tc>
      </w:tr>
      <w:tr>
        <w:trPr>
          <w:trHeight w:val="526" w:hRule="exact"/>
        </w:trPr>
        <w:tc>
          <w:tcPr>
            <w:tcW w:w="4322" w:type="dxa"/>
            <w:tcBorders>
              <w:top w:val="single" w:sz="4" w:space="0" w:color="000000"/>
              <w:right w:val="single" w:sz="4" w:space="0" w:color="000000"/>
            </w:tcBorders>
            <w:shd w:val="clear" w:color="auto" w:fill="FF0000"/>
          </w:tcPr>
          <w:p>
            <w:pPr>
              <w:pStyle w:val="TableParagraph"/>
              <w:spacing w:line="251" w:lineRule="exact" w:before="0"/>
              <w:ind w:left="93" w:right="402"/>
              <w:jc w:val="left"/>
              <w:rPr>
                <w:rFonts w:ascii="Arial"/>
                <w:sz w:val="22"/>
              </w:rPr>
            </w:pPr>
            <w:r>
              <w:rPr>
                <w:rFonts w:ascii="Arial"/>
                <w:color w:val="FFFFFF"/>
                <w:sz w:val="22"/>
              </w:rPr>
              <w:t>&gt; 190.0 mg/L</w:t>
            </w:r>
          </w:p>
        </w:tc>
        <w:tc>
          <w:tcPr>
            <w:tcW w:w="4322" w:type="dxa"/>
            <w:tcBorders>
              <w:top w:val="single" w:sz="4" w:space="0" w:color="000000"/>
              <w:left w:val="single" w:sz="4" w:space="0" w:color="000000"/>
            </w:tcBorders>
            <w:shd w:val="clear" w:color="auto" w:fill="FF0000"/>
          </w:tcPr>
          <w:p>
            <w:pPr>
              <w:pStyle w:val="TableParagraph"/>
              <w:spacing w:line="242" w:lineRule="auto" w:before="0"/>
              <w:ind w:left="103" w:right="560"/>
              <w:jc w:val="left"/>
              <w:rPr>
                <w:rFonts w:ascii="Arial"/>
                <w:sz w:val="22"/>
              </w:rPr>
            </w:pPr>
            <w:r>
              <w:rPr>
                <w:rFonts w:ascii="Arial"/>
                <w:color w:val="FFFFFF"/>
                <w:sz w:val="22"/>
              </w:rPr>
              <w:t>Los rangos de OD se encuentran por debajo de los valores letales.</w:t>
            </w:r>
          </w:p>
        </w:tc>
      </w:tr>
    </w:tbl>
    <w:p>
      <w:pPr>
        <w:spacing w:after="0" w:line="242" w:lineRule="auto"/>
        <w:jc w:val="left"/>
        <w:rPr>
          <w:rFonts w:ascii="Arial"/>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283" w:hRule="exact"/>
        </w:trPr>
        <w:tc>
          <w:tcPr>
            <w:tcW w:w="4322" w:type="dxa"/>
            <w:tcBorders>
              <w:bottom w:val="double" w:sz="4" w:space="0" w:color="000000"/>
              <w:right w:val="single" w:sz="4" w:space="0" w:color="000000"/>
            </w:tcBorders>
            <w:shd w:val="clear" w:color="auto" w:fill="D99594"/>
          </w:tcPr>
          <w:p>
            <w:pPr>
              <w:pStyle w:val="TableParagraph"/>
              <w:spacing w:line="248"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8" w:lineRule="exact" w:before="0"/>
              <w:ind w:left="345" w:right="229"/>
              <w:jc w:val="left"/>
              <w:rPr>
                <w:rFonts w:ascii="Arial" w:hAnsi="Arial"/>
                <w:b/>
                <w:sz w:val="22"/>
              </w:rPr>
            </w:pPr>
            <w:r>
              <w:rPr>
                <w:rFonts w:ascii="Arial" w:hAnsi="Arial"/>
                <w:b/>
                <w:sz w:val="22"/>
              </w:rPr>
              <w:t>Sólidos suspendidos totales (SST)</w:t>
            </w:r>
          </w:p>
        </w:tc>
      </w:tr>
      <w:tr>
        <w:trPr>
          <w:trHeight w:val="1284" w:hRule="exact"/>
        </w:trPr>
        <w:tc>
          <w:tcPr>
            <w:tcW w:w="4322" w:type="dxa"/>
            <w:tcBorders>
              <w:top w:val="doub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before="0"/>
              <w:ind w:left="103" w:right="90" w:hanging="1"/>
              <w:jc w:val="both"/>
              <w:rPr>
                <w:rFonts w:ascii="Arial" w:hAnsi="Arial"/>
                <w:sz w:val="22"/>
              </w:rPr>
            </w:pPr>
            <w:r>
              <w:rPr>
                <w:rFonts w:ascii="Arial" w:hAnsi="Arial"/>
                <w:sz w:val="22"/>
              </w:rPr>
              <w:t>Es la concentración de sólidos que se encuentran suspendidos en el agua, generalmente son originados por heces fecales, alimento no consumido y  bioflocs.</w:t>
            </w:r>
          </w:p>
        </w:tc>
      </w:tr>
      <w:tr>
        <w:trPr>
          <w:trHeight w:val="770" w:hRule="exact"/>
        </w:trPr>
        <w:tc>
          <w:tcPr>
            <w:tcW w:w="4322" w:type="dxa"/>
            <w:tcBorders>
              <w:top w:val="sing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before="0"/>
              <w:ind w:left="103" w:right="182" w:hanging="1"/>
              <w:jc w:val="left"/>
              <w:rPr>
                <w:rFonts w:ascii="Arial" w:hAnsi="Arial"/>
                <w:sz w:val="22"/>
              </w:rPr>
            </w:pPr>
            <w:r>
              <w:rPr>
                <w:rFonts w:ascii="Arial" w:hAnsi="Arial"/>
                <w:sz w:val="22"/>
              </w:rPr>
              <w:t>Este parámetro se determinó de acuerdo con la técnica recomendada en el “Stándard Methods”</w:t>
            </w:r>
          </w:p>
        </w:tc>
      </w:tr>
      <w:tr>
        <w:trPr>
          <w:trHeight w:val="516"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line="242" w:lineRule="auto" w:before="0"/>
              <w:ind w:left="103" w:right="792"/>
              <w:jc w:val="left"/>
              <w:rPr>
                <w:rFonts w:ascii="Arial" w:hAnsi="Arial"/>
                <w:sz w:val="22"/>
              </w:rPr>
            </w:pPr>
            <w:r>
              <w:rPr>
                <w:rFonts w:ascii="Arial" w:hAnsi="Arial"/>
                <w:b/>
                <w:sz w:val="22"/>
              </w:rPr>
              <w:t>Caudal </w:t>
            </w:r>
            <w:r>
              <w:rPr>
                <w:rFonts w:ascii="Arial" w:hAnsi="Arial"/>
                <w:sz w:val="22"/>
              </w:rPr>
              <w:t>(A mayor caudal, menor concentración de SST en el agua).</w:t>
            </w:r>
          </w:p>
        </w:tc>
      </w:tr>
      <w:tr>
        <w:trPr>
          <w:trHeight w:val="1781"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180" w:hanging="1"/>
              <w:jc w:val="left"/>
              <w:rPr>
                <w:rFonts w:ascii="Arial" w:hAnsi="Arial"/>
                <w:sz w:val="22"/>
              </w:rPr>
            </w:pPr>
            <w:r>
              <w:rPr>
                <w:rFonts w:ascii="Arial" w:hAnsi="Arial"/>
                <w:sz w:val="22"/>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1022" w:hRule="exact"/>
        </w:trPr>
        <w:tc>
          <w:tcPr>
            <w:tcW w:w="4322" w:type="dxa"/>
            <w:tcBorders>
              <w:top w:val="single" w:sz="4" w:space="0" w:color="000000"/>
              <w:bottom w:val="single" w:sz="4" w:space="0" w:color="000000"/>
              <w:right w:val="single" w:sz="4" w:space="0" w:color="000000"/>
            </w:tcBorders>
            <w:shd w:val="clear" w:color="auto" w:fill="92D04F"/>
          </w:tcPr>
          <w:p>
            <w:pPr>
              <w:pStyle w:val="TableParagraph"/>
              <w:spacing w:line="251" w:lineRule="exact" w:before="0"/>
              <w:ind w:left="93" w:right="402"/>
              <w:jc w:val="left"/>
              <w:rPr>
                <w:rFonts w:ascii="Arial"/>
                <w:sz w:val="22"/>
              </w:rPr>
            </w:pPr>
            <w:r>
              <w:rPr>
                <w:rFonts w:ascii="Arial"/>
                <w:sz w:val="22"/>
              </w:rPr>
              <w:t>&lt; 80.0 mg/L</w:t>
            </w:r>
          </w:p>
        </w:tc>
        <w:tc>
          <w:tcPr>
            <w:tcW w:w="4322" w:type="dxa"/>
            <w:tcBorders>
              <w:top w:val="single" w:sz="4" w:space="0" w:color="000000"/>
              <w:left w:val="single" w:sz="4" w:space="0" w:color="000000"/>
              <w:bottom w:val="single" w:sz="4" w:space="0" w:color="000000"/>
            </w:tcBorders>
            <w:shd w:val="clear" w:color="auto" w:fill="92D04F"/>
          </w:tcPr>
          <w:p>
            <w:pPr>
              <w:pStyle w:val="TableParagraph"/>
              <w:spacing w:before="0"/>
              <w:ind w:left="103" w:right="254"/>
              <w:jc w:val="left"/>
              <w:rPr>
                <w:rFonts w:ascii="Arial" w:hAnsi="Arial"/>
                <w:sz w:val="22"/>
              </w:rPr>
            </w:pPr>
            <w:r>
              <w:rPr>
                <w:rFonts w:ascii="Arial" w:hAnsi="Arial"/>
                <w:sz w:val="22"/>
              </w:rPr>
              <w:t>Este es el intervalo óptimo para es buen desarrollo de la trucha, sin embargo cuanto más se acerque al valor inferior, es preferible.</w:t>
            </w:r>
          </w:p>
        </w:tc>
      </w:tr>
      <w:tr>
        <w:trPr>
          <w:trHeight w:val="1021"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1" w:lineRule="exact" w:before="0"/>
              <w:ind w:left="93" w:right="402"/>
              <w:jc w:val="left"/>
              <w:rPr>
                <w:rFonts w:ascii="Arial" w:hAnsi="Arial"/>
                <w:sz w:val="22"/>
              </w:rPr>
            </w:pPr>
            <w:r>
              <w:rPr>
                <w:rFonts w:ascii="Arial" w:hAnsi="Arial"/>
                <w:sz w:val="22"/>
              </w:rPr>
              <w:t>80.0 – 100.0 mg/L</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100"/>
              <w:jc w:val="left"/>
              <w:rPr>
                <w:rFonts w:ascii="Arial" w:hAnsi="Arial"/>
                <w:sz w:val="22"/>
              </w:rPr>
            </w:pPr>
            <w:r>
              <w:rPr>
                <w:rFonts w:ascii="Arial" w:hAnsi="Arial"/>
                <w:sz w:val="22"/>
              </w:rPr>
              <w:t>La concentración de SST en el agua hace posible la sobrevivencia de la trucha, sin embargo, se presentan inicios de irritación en</w:t>
            </w:r>
            <w:r>
              <w:rPr>
                <w:rFonts w:ascii="Arial" w:hAnsi="Arial"/>
                <w:spacing w:val="-9"/>
                <w:sz w:val="22"/>
              </w:rPr>
              <w:t> </w:t>
            </w:r>
            <w:r>
              <w:rPr>
                <w:rFonts w:ascii="Arial" w:hAnsi="Arial"/>
                <w:sz w:val="22"/>
              </w:rPr>
              <w:t>branquias.</w:t>
            </w:r>
          </w:p>
        </w:tc>
      </w:tr>
      <w:tr>
        <w:trPr>
          <w:trHeight w:val="526" w:hRule="exact"/>
        </w:trPr>
        <w:tc>
          <w:tcPr>
            <w:tcW w:w="4322" w:type="dxa"/>
            <w:tcBorders>
              <w:top w:val="single" w:sz="4" w:space="0" w:color="000000"/>
              <w:right w:val="single" w:sz="4" w:space="0" w:color="000000"/>
            </w:tcBorders>
            <w:shd w:val="clear" w:color="auto" w:fill="FF0000"/>
          </w:tcPr>
          <w:p>
            <w:pPr>
              <w:pStyle w:val="TableParagraph"/>
              <w:spacing w:line="252" w:lineRule="exact" w:before="0"/>
              <w:ind w:left="93" w:right="402"/>
              <w:jc w:val="left"/>
              <w:rPr>
                <w:rFonts w:ascii="Arial"/>
                <w:sz w:val="22"/>
              </w:rPr>
            </w:pPr>
            <w:r>
              <w:rPr>
                <w:rFonts w:ascii="Arial"/>
                <w:color w:val="FFFFFF"/>
                <w:sz w:val="22"/>
              </w:rPr>
              <w:t>&gt; 100.0 mg/L</w:t>
            </w:r>
          </w:p>
        </w:tc>
        <w:tc>
          <w:tcPr>
            <w:tcW w:w="4322" w:type="dxa"/>
            <w:tcBorders>
              <w:top w:val="single" w:sz="4" w:space="0" w:color="000000"/>
              <w:left w:val="single" w:sz="4" w:space="0" w:color="000000"/>
            </w:tcBorders>
            <w:shd w:val="clear" w:color="auto" w:fill="FF0000"/>
          </w:tcPr>
          <w:p>
            <w:pPr>
              <w:pStyle w:val="TableParagraph"/>
              <w:spacing w:before="0"/>
              <w:ind w:left="103" w:right="1098"/>
              <w:jc w:val="left"/>
              <w:rPr>
                <w:rFonts w:ascii="Arial"/>
                <w:sz w:val="22"/>
              </w:rPr>
            </w:pPr>
            <w:r>
              <w:rPr>
                <w:rFonts w:ascii="Arial"/>
                <w:color w:val="FFFFFF"/>
                <w:sz w:val="22"/>
              </w:rPr>
              <w:t>Causa la muerte de truchas por taponamiento de branquias.</w:t>
            </w:r>
          </w:p>
        </w:tc>
      </w:tr>
    </w:tbl>
    <w:p>
      <w:pPr>
        <w:spacing w:after="0"/>
        <w:jc w:val="left"/>
        <w:rPr>
          <w:rFonts w:ascii="Arial"/>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283" w:hRule="exact"/>
        </w:trPr>
        <w:tc>
          <w:tcPr>
            <w:tcW w:w="4322" w:type="dxa"/>
            <w:tcBorders>
              <w:bottom w:val="double" w:sz="4" w:space="0" w:color="000000"/>
              <w:right w:val="single" w:sz="4" w:space="0" w:color="000000"/>
            </w:tcBorders>
            <w:shd w:val="clear" w:color="auto" w:fill="D99594"/>
          </w:tcPr>
          <w:p>
            <w:pPr>
              <w:pStyle w:val="TableParagraph"/>
              <w:spacing w:line="248"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8" w:lineRule="exact" w:before="0"/>
              <w:ind w:left="803" w:right="402"/>
              <w:jc w:val="left"/>
              <w:rPr>
                <w:rFonts w:ascii="Arial" w:hAnsi="Arial"/>
                <w:b/>
                <w:sz w:val="22"/>
              </w:rPr>
            </w:pPr>
            <w:r>
              <w:rPr>
                <w:rFonts w:ascii="Arial" w:hAnsi="Arial"/>
                <w:b/>
                <w:sz w:val="22"/>
              </w:rPr>
              <w:t>Nitrógeno amoniacal total</w:t>
            </w:r>
          </w:p>
        </w:tc>
      </w:tr>
      <w:tr>
        <w:trPr>
          <w:trHeight w:val="1284" w:hRule="exact"/>
        </w:trPr>
        <w:tc>
          <w:tcPr>
            <w:tcW w:w="4322" w:type="dxa"/>
            <w:tcBorders>
              <w:top w:val="doub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line="235" w:lineRule="auto" w:before="0"/>
              <w:ind w:left="103" w:right="90" w:hanging="1"/>
              <w:jc w:val="both"/>
              <w:rPr>
                <w:rFonts w:ascii="Arial" w:hAnsi="Arial"/>
                <w:sz w:val="22"/>
              </w:rPr>
            </w:pPr>
            <w:r>
              <w:rPr>
                <w:rFonts w:ascii="Arial" w:hAnsi="Arial"/>
                <w:sz w:val="22"/>
              </w:rPr>
              <w:t>Es concentración de N-NH</w:t>
            </w:r>
            <w:r>
              <w:rPr>
                <w:rFonts w:ascii="Arial" w:hAnsi="Arial"/>
                <w:position w:val="-2"/>
                <w:sz w:val="13"/>
              </w:rPr>
              <w:t>3</w:t>
            </w:r>
            <w:r>
              <w:rPr>
                <w:rFonts w:ascii="Arial" w:hAnsi="Arial"/>
                <w:position w:val="10"/>
                <w:sz w:val="13"/>
              </w:rPr>
              <w:t>+ </w:t>
            </w:r>
            <w:r>
              <w:rPr>
                <w:rFonts w:ascii="Arial" w:hAnsi="Arial"/>
                <w:sz w:val="22"/>
              </w:rPr>
              <w:t>+ N-NH</w:t>
            </w:r>
            <w:r>
              <w:rPr>
                <w:rFonts w:ascii="Arial" w:hAnsi="Arial"/>
                <w:position w:val="-2"/>
                <w:sz w:val="13"/>
              </w:rPr>
              <w:t>4 </w:t>
            </w:r>
            <w:r>
              <w:rPr>
                <w:rFonts w:ascii="Arial" w:hAnsi="Arial"/>
                <w:sz w:val="22"/>
              </w:rPr>
              <w:t>disuelta en el agua, conocida como nitrógeno  amoniacal  por  ser  la  especie</w:t>
            </w:r>
          </w:p>
          <w:p>
            <w:pPr>
              <w:pStyle w:val="TableParagraph"/>
              <w:spacing w:before="2"/>
              <w:ind w:left="103" w:right="94"/>
              <w:jc w:val="both"/>
              <w:rPr>
                <w:rFonts w:ascii="Arial"/>
                <w:sz w:val="22"/>
              </w:rPr>
            </w:pPr>
            <w:r>
              <w:rPr>
                <w:rFonts w:ascii="Arial"/>
                <w:sz w:val="22"/>
              </w:rPr>
              <w:t>dominante al intervalo de pH ideal para el cultivo.</w:t>
            </w:r>
          </w:p>
        </w:tc>
      </w:tr>
      <w:tr>
        <w:trPr>
          <w:trHeight w:val="770" w:hRule="exact"/>
        </w:trPr>
        <w:tc>
          <w:tcPr>
            <w:tcW w:w="4322" w:type="dxa"/>
            <w:tcBorders>
              <w:top w:val="sing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before="0"/>
              <w:ind w:left="103" w:right="182" w:hanging="1"/>
              <w:jc w:val="left"/>
              <w:rPr>
                <w:rFonts w:ascii="Arial" w:hAnsi="Arial"/>
                <w:sz w:val="22"/>
              </w:rPr>
            </w:pPr>
            <w:r>
              <w:rPr>
                <w:rFonts w:ascii="Arial" w:hAnsi="Arial"/>
                <w:sz w:val="22"/>
              </w:rPr>
              <w:t>Este parámetro se determinó de acuerdo con la técnica recomendada en el “Stándard Methods”</w:t>
            </w:r>
          </w:p>
        </w:tc>
      </w:tr>
      <w:tr>
        <w:trPr>
          <w:trHeight w:val="2539"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line="242" w:lineRule="auto" w:before="0"/>
              <w:ind w:left="103" w:right="156"/>
              <w:jc w:val="left"/>
              <w:rPr>
                <w:rFonts w:ascii="Arial" w:hAnsi="Arial"/>
                <w:sz w:val="22"/>
              </w:rPr>
            </w:pPr>
            <w:r>
              <w:rPr>
                <w:rFonts w:ascii="Arial" w:hAnsi="Arial"/>
                <w:b/>
                <w:sz w:val="22"/>
              </w:rPr>
              <w:t>Caudal </w:t>
            </w:r>
            <w:r>
              <w:rPr>
                <w:rFonts w:ascii="Arial" w:hAnsi="Arial"/>
                <w:sz w:val="22"/>
              </w:rPr>
              <w:t>(A mayor caudal, menor concentración de nitrógeno amoniacal en el agua).</w:t>
            </w:r>
          </w:p>
          <w:p>
            <w:pPr>
              <w:pStyle w:val="TableParagraph"/>
              <w:spacing w:before="0"/>
              <w:ind w:left="103" w:right="205"/>
              <w:jc w:val="left"/>
              <w:rPr>
                <w:rFonts w:ascii="Arial" w:hAnsi="Arial"/>
                <w:sz w:val="22"/>
              </w:rPr>
            </w:pPr>
            <w:r>
              <w:rPr>
                <w:rFonts w:ascii="Arial" w:hAnsi="Arial"/>
                <w:b/>
                <w:sz w:val="22"/>
              </w:rPr>
              <w:t>pH </w:t>
            </w:r>
            <w:r>
              <w:rPr>
                <w:rFonts w:ascii="Arial" w:hAnsi="Arial"/>
                <w:sz w:val="22"/>
              </w:rPr>
              <w:t>( De acuerdo al valor de pH, se tiene predominancia de nitrógeno amoniacal o de amoniaco, siendo este último altamente tóxico).</w:t>
            </w:r>
          </w:p>
          <w:p>
            <w:pPr>
              <w:pStyle w:val="TableParagraph"/>
              <w:spacing w:before="0"/>
              <w:ind w:left="103" w:right="318"/>
              <w:jc w:val="both"/>
              <w:rPr>
                <w:rFonts w:ascii="Arial" w:hAnsi="Arial"/>
                <w:sz w:val="22"/>
              </w:rPr>
            </w:pPr>
            <w:r>
              <w:rPr>
                <w:rFonts w:ascii="Arial" w:hAnsi="Arial"/>
                <w:b/>
                <w:sz w:val="22"/>
              </w:rPr>
              <w:t>SST </w:t>
            </w:r>
            <w:r>
              <w:rPr>
                <w:rFonts w:ascii="Arial" w:hAnsi="Arial"/>
                <w:sz w:val="22"/>
              </w:rPr>
              <w:t>(Cuando la retención de sólidos es alta, se incrementa la concentración de nitrógeno amoniacal).</w:t>
            </w:r>
          </w:p>
        </w:tc>
      </w:tr>
      <w:tr>
        <w:trPr>
          <w:trHeight w:val="1781"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180" w:hanging="1"/>
              <w:jc w:val="left"/>
              <w:rPr>
                <w:rFonts w:ascii="Arial" w:hAnsi="Arial"/>
                <w:sz w:val="22"/>
              </w:rPr>
            </w:pPr>
            <w:r>
              <w:rPr>
                <w:rFonts w:ascii="Arial" w:hAnsi="Arial"/>
                <w:sz w:val="22"/>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1022" w:hRule="exact"/>
        </w:trPr>
        <w:tc>
          <w:tcPr>
            <w:tcW w:w="4322" w:type="dxa"/>
            <w:tcBorders>
              <w:top w:val="single" w:sz="4" w:space="0" w:color="000000"/>
              <w:bottom w:val="single" w:sz="4" w:space="0" w:color="000000"/>
              <w:right w:val="single" w:sz="4" w:space="0" w:color="000000"/>
            </w:tcBorders>
            <w:shd w:val="clear" w:color="auto" w:fill="92D04F"/>
          </w:tcPr>
          <w:p>
            <w:pPr>
              <w:pStyle w:val="TableParagraph"/>
              <w:spacing w:line="251" w:lineRule="exact" w:before="0"/>
              <w:ind w:left="93" w:right="402"/>
              <w:jc w:val="left"/>
              <w:rPr>
                <w:rFonts w:ascii="Arial"/>
                <w:sz w:val="22"/>
              </w:rPr>
            </w:pPr>
            <w:r>
              <w:rPr>
                <w:rFonts w:ascii="Arial"/>
                <w:sz w:val="22"/>
              </w:rPr>
              <w:t>&lt; 0.7 mg/L</w:t>
            </w:r>
          </w:p>
        </w:tc>
        <w:tc>
          <w:tcPr>
            <w:tcW w:w="4322" w:type="dxa"/>
            <w:tcBorders>
              <w:top w:val="single" w:sz="4" w:space="0" w:color="000000"/>
              <w:left w:val="single" w:sz="4" w:space="0" w:color="000000"/>
              <w:bottom w:val="single" w:sz="4" w:space="0" w:color="000000"/>
            </w:tcBorders>
            <w:shd w:val="clear" w:color="auto" w:fill="92D04F"/>
          </w:tcPr>
          <w:p>
            <w:pPr>
              <w:pStyle w:val="TableParagraph"/>
              <w:spacing w:before="0"/>
              <w:ind w:left="103" w:right="254"/>
              <w:jc w:val="left"/>
              <w:rPr>
                <w:rFonts w:ascii="Arial" w:hAnsi="Arial"/>
                <w:sz w:val="22"/>
              </w:rPr>
            </w:pPr>
            <w:r>
              <w:rPr>
                <w:rFonts w:ascii="Arial" w:hAnsi="Arial"/>
                <w:sz w:val="22"/>
              </w:rPr>
              <w:t>Este es el intervalo óptimo para es buen desarrollo de la trucha, sin embargo cuanto más se acerque al valor inferior, es preferible.</w:t>
            </w:r>
          </w:p>
        </w:tc>
      </w:tr>
      <w:tr>
        <w:trPr>
          <w:trHeight w:val="1274"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51" w:lineRule="exact" w:before="0"/>
              <w:ind w:left="93" w:right="402"/>
              <w:jc w:val="left"/>
              <w:rPr>
                <w:rFonts w:ascii="Arial" w:hAnsi="Arial"/>
                <w:sz w:val="22"/>
              </w:rPr>
            </w:pPr>
            <w:r>
              <w:rPr>
                <w:rFonts w:ascii="Arial" w:hAnsi="Arial"/>
                <w:sz w:val="22"/>
              </w:rPr>
              <w:t>0.8 – 1.0 mg/L</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303"/>
              <w:jc w:val="left"/>
              <w:rPr>
                <w:rFonts w:ascii="Arial" w:hAnsi="Arial"/>
                <w:sz w:val="22"/>
              </w:rPr>
            </w:pPr>
            <w:r>
              <w:rPr>
                <w:rFonts w:ascii="Arial" w:hAnsi="Arial"/>
                <w:sz w:val="22"/>
              </w:rPr>
              <w:t>Cuando estas concentraciones son puntuales, permiten la sobrevivencia de la trucha pero cuando los peces son sometidos a largos periodos de exposición, estas pueden ser letales</w:t>
            </w:r>
          </w:p>
        </w:tc>
      </w:tr>
      <w:tr>
        <w:trPr>
          <w:trHeight w:val="527" w:hRule="exact"/>
        </w:trPr>
        <w:tc>
          <w:tcPr>
            <w:tcW w:w="4322" w:type="dxa"/>
            <w:tcBorders>
              <w:top w:val="single" w:sz="4" w:space="0" w:color="000000"/>
              <w:right w:val="single" w:sz="4" w:space="0" w:color="000000"/>
            </w:tcBorders>
            <w:shd w:val="clear" w:color="auto" w:fill="FF0000"/>
          </w:tcPr>
          <w:p>
            <w:pPr>
              <w:pStyle w:val="TableParagraph"/>
              <w:spacing w:line="251" w:lineRule="exact" w:before="0"/>
              <w:ind w:left="93" w:right="402"/>
              <w:jc w:val="left"/>
              <w:rPr>
                <w:rFonts w:ascii="Arial"/>
                <w:sz w:val="22"/>
              </w:rPr>
            </w:pPr>
            <w:r>
              <w:rPr>
                <w:rFonts w:ascii="Arial"/>
                <w:color w:val="FFFFFF"/>
                <w:sz w:val="22"/>
              </w:rPr>
              <w:t>&gt; 1.0 mg/L</w:t>
            </w:r>
          </w:p>
        </w:tc>
        <w:tc>
          <w:tcPr>
            <w:tcW w:w="4322" w:type="dxa"/>
            <w:tcBorders>
              <w:top w:val="single" w:sz="4" w:space="0" w:color="000000"/>
              <w:left w:val="single" w:sz="4" w:space="0" w:color="000000"/>
            </w:tcBorders>
            <w:shd w:val="clear" w:color="auto" w:fill="FF0000"/>
          </w:tcPr>
          <w:p>
            <w:pPr>
              <w:pStyle w:val="TableParagraph"/>
              <w:spacing w:line="242" w:lineRule="auto" w:before="0"/>
              <w:ind w:left="103" w:right="1098"/>
              <w:jc w:val="left"/>
              <w:rPr>
                <w:rFonts w:ascii="Arial"/>
                <w:sz w:val="22"/>
              </w:rPr>
            </w:pPr>
            <w:r>
              <w:rPr>
                <w:rFonts w:ascii="Arial"/>
                <w:color w:val="FFFFFF"/>
                <w:sz w:val="22"/>
              </w:rPr>
              <w:t>Causa la muerte de truchas por envenenamiento.</w:t>
            </w:r>
          </w:p>
        </w:tc>
      </w:tr>
    </w:tbl>
    <w:p>
      <w:pPr>
        <w:spacing w:after="0" w:line="242" w:lineRule="auto"/>
        <w:jc w:val="left"/>
        <w:rPr>
          <w:rFonts w:ascii="Arial"/>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65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322"/>
        <w:gridCol w:w="4322"/>
      </w:tblGrid>
      <w:tr>
        <w:trPr>
          <w:trHeight w:val="283" w:hRule="exact"/>
        </w:trPr>
        <w:tc>
          <w:tcPr>
            <w:tcW w:w="4322" w:type="dxa"/>
            <w:tcBorders>
              <w:bottom w:val="double" w:sz="4" w:space="0" w:color="000000"/>
              <w:right w:val="single" w:sz="4" w:space="0" w:color="000000"/>
            </w:tcBorders>
            <w:shd w:val="clear" w:color="auto" w:fill="D99594"/>
          </w:tcPr>
          <w:p>
            <w:pPr>
              <w:pStyle w:val="TableParagraph"/>
              <w:spacing w:line="248" w:lineRule="exact" w:before="0"/>
              <w:ind w:left="1454" w:right="1459"/>
              <w:jc w:val="center"/>
              <w:rPr>
                <w:rFonts w:ascii="Arial" w:hAnsi="Arial"/>
                <w:b/>
                <w:sz w:val="22"/>
              </w:rPr>
            </w:pPr>
            <w:r>
              <w:rPr>
                <w:rFonts w:ascii="Arial" w:hAnsi="Arial"/>
                <w:b/>
                <w:sz w:val="22"/>
              </w:rPr>
              <w:t>Parámetro</w:t>
            </w:r>
          </w:p>
        </w:tc>
        <w:tc>
          <w:tcPr>
            <w:tcW w:w="4322" w:type="dxa"/>
            <w:tcBorders>
              <w:left w:val="single" w:sz="4" w:space="0" w:color="000000"/>
              <w:bottom w:val="double" w:sz="4" w:space="0" w:color="000000"/>
            </w:tcBorders>
            <w:shd w:val="clear" w:color="auto" w:fill="D99594"/>
          </w:tcPr>
          <w:p>
            <w:pPr>
              <w:pStyle w:val="TableParagraph"/>
              <w:spacing w:line="248" w:lineRule="exact" w:before="0"/>
              <w:ind w:left="1468" w:right="1459"/>
              <w:jc w:val="center"/>
              <w:rPr>
                <w:rFonts w:ascii="Arial"/>
                <w:b/>
                <w:sz w:val="22"/>
              </w:rPr>
            </w:pPr>
            <w:r>
              <w:rPr>
                <w:rFonts w:ascii="Arial"/>
                <w:b/>
                <w:sz w:val="22"/>
              </w:rPr>
              <w:t>Nitratos</w:t>
            </w:r>
          </w:p>
        </w:tc>
      </w:tr>
      <w:tr>
        <w:trPr>
          <w:trHeight w:val="1284" w:hRule="exact"/>
        </w:trPr>
        <w:tc>
          <w:tcPr>
            <w:tcW w:w="4322" w:type="dxa"/>
            <w:tcBorders>
              <w:top w:val="doub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Descripción</w:t>
            </w:r>
          </w:p>
        </w:tc>
        <w:tc>
          <w:tcPr>
            <w:tcW w:w="4322" w:type="dxa"/>
            <w:tcBorders>
              <w:top w:val="double" w:sz="4" w:space="0" w:color="000000"/>
              <w:left w:val="single" w:sz="4" w:space="0" w:color="000000"/>
              <w:bottom w:val="single" w:sz="4" w:space="0" w:color="000000"/>
            </w:tcBorders>
          </w:tcPr>
          <w:p>
            <w:pPr>
              <w:pStyle w:val="TableParagraph"/>
              <w:spacing w:before="0"/>
              <w:ind w:left="103" w:right="88" w:hanging="1"/>
              <w:jc w:val="both"/>
              <w:rPr>
                <w:rFonts w:ascii="Arial" w:hAnsi="Arial"/>
                <w:sz w:val="22"/>
              </w:rPr>
            </w:pPr>
            <w:r>
              <w:rPr>
                <w:rFonts w:ascii="Arial" w:hAnsi="Arial"/>
                <w:sz w:val="22"/>
              </w:rPr>
              <w:t>Es la especie nitrogenada, resultado final de la nitrificación del nitrógeno amoniacal, el cual es tóxico para los peces a valores muy altos, por lo que no es necesaria su eliminación en el sistema.</w:t>
            </w:r>
          </w:p>
        </w:tc>
      </w:tr>
      <w:tr>
        <w:trPr>
          <w:trHeight w:val="770" w:hRule="exact"/>
        </w:trPr>
        <w:tc>
          <w:tcPr>
            <w:tcW w:w="4322" w:type="dxa"/>
            <w:tcBorders>
              <w:top w:val="single" w:sz="4" w:space="0" w:color="000000"/>
              <w:bottom w:val="single" w:sz="4" w:space="0" w:color="000000"/>
              <w:right w:val="single" w:sz="4" w:space="0" w:color="000000"/>
            </w:tcBorders>
          </w:tcPr>
          <w:p>
            <w:pPr>
              <w:pStyle w:val="TableParagraph"/>
              <w:spacing w:before="0"/>
              <w:ind w:left="93" w:right="402"/>
              <w:jc w:val="left"/>
              <w:rPr>
                <w:rFonts w:ascii="Arial" w:hAnsi="Arial"/>
                <w:sz w:val="22"/>
              </w:rPr>
            </w:pPr>
            <w:r>
              <w:rPr>
                <w:rFonts w:ascii="Arial" w:hAnsi="Arial"/>
                <w:sz w:val="22"/>
              </w:rPr>
              <w:t>Técnica analítica</w:t>
            </w:r>
          </w:p>
        </w:tc>
        <w:tc>
          <w:tcPr>
            <w:tcW w:w="4322" w:type="dxa"/>
            <w:tcBorders>
              <w:top w:val="single" w:sz="4" w:space="0" w:color="000000"/>
              <w:left w:val="single" w:sz="4" w:space="0" w:color="000000"/>
              <w:bottom w:val="single" w:sz="4" w:space="0" w:color="000000"/>
            </w:tcBorders>
          </w:tcPr>
          <w:p>
            <w:pPr>
              <w:pStyle w:val="TableParagraph"/>
              <w:spacing w:before="0"/>
              <w:ind w:left="103" w:right="182" w:hanging="1"/>
              <w:jc w:val="left"/>
              <w:rPr>
                <w:rFonts w:ascii="Arial" w:hAnsi="Arial"/>
                <w:sz w:val="22"/>
              </w:rPr>
            </w:pPr>
            <w:r>
              <w:rPr>
                <w:rFonts w:ascii="Arial" w:hAnsi="Arial"/>
                <w:sz w:val="22"/>
              </w:rPr>
              <w:t>Este parámetro se determinó de acuerdo con la técnica recomendada en el “Stándard Methods”</w:t>
            </w:r>
          </w:p>
        </w:tc>
      </w:tr>
      <w:tr>
        <w:trPr>
          <w:trHeight w:val="1781"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Parámetros relacionados</w:t>
            </w:r>
          </w:p>
        </w:tc>
        <w:tc>
          <w:tcPr>
            <w:tcW w:w="4322" w:type="dxa"/>
            <w:tcBorders>
              <w:top w:val="single" w:sz="4" w:space="0" w:color="000000"/>
              <w:left w:val="single" w:sz="4" w:space="0" w:color="000000"/>
              <w:bottom w:val="single" w:sz="4" w:space="0" w:color="000000"/>
            </w:tcBorders>
          </w:tcPr>
          <w:p>
            <w:pPr>
              <w:pStyle w:val="TableParagraph"/>
              <w:spacing w:line="242" w:lineRule="auto" w:before="0"/>
              <w:ind w:left="103" w:right="498"/>
              <w:jc w:val="left"/>
              <w:rPr>
                <w:rFonts w:ascii="Arial" w:hAnsi="Arial"/>
                <w:sz w:val="22"/>
              </w:rPr>
            </w:pPr>
            <w:r>
              <w:rPr>
                <w:rFonts w:ascii="Arial" w:hAnsi="Arial"/>
                <w:b/>
                <w:sz w:val="22"/>
              </w:rPr>
              <w:t>OD</w:t>
            </w:r>
            <w:r>
              <w:rPr>
                <w:rFonts w:ascii="Arial" w:hAnsi="Arial"/>
                <w:sz w:val="22"/>
              </w:rPr>
              <w:t>(A mayor OD en el biofiltro, mayor concentración de nitratos en el agua).</w:t>
            </w:r>
          </w:p>
          <w:p>
            <w:pPr>
              <w:pStyle w:val="TableParagraph"/>
              <w:spacing w:line="242" w:lineRule="auto" w:before="0"/>
              <w:ind w:left="103" w:right="132"/>
              <w:jc w:val="left"/>
              <w:rPr>
                <w:rFonts w:ascii="Arial" w:hAnsi="Arial"/>
                <w:sz w:val="22"/>
              </w:rPr>
            </w:pPr>
            <w:r>
              <w:rPr>
                <w:rFonts w:ascii="Arial" w:hAnsi="Arial"/>
                <w:b/>
                <w:sz w:val="22"/>
              </w:rPr>
              <w:t>pH </w:t>
            </w:r>
            <w:r>
              <w:rPr>
                <w:rFonts w:ascii="Arial" w:hAnsi="Arial"/>
                <w:sz w:val="22"/>
              </w:rPr>
              <w:t>( De acuerdo al valor de pH, se inhibe o estimula la nitrificación)</w:t>
            </w:r>
          </w:p>
          <w:p>
            <w:pPr>
              <w:pStyle w:val="TableParagraph"/>
              <w:spacing w:before="0"/>
              <w:ind w:left="103" w:right="621"/>
              <w:jc w:val="left"/>
              <w:rPr>
                <w:rFonts w:ascii="Arial" w:hAnsi="Arial"/>
                <w:sz w:val="22"/>
              </w:rPr>
            </w:pPr>
            <w:r>
              <w:rPr>
                <w:rFonts w:ascii="Arial" w:hAnsi="Arial"/>
                <w:b/>
                <w:sz w:val="22"/>
              </w:rPr>
              <w:t>Nitrógeno amoniacal </w:t>
            </w:r>
            <w:r>
              <w:rPr>
                <w:rFonts w:ascii="Arial" w:hAnsi="Arial"/>
                <w:sz w:val="22"/>
              </w:rPr>
              <w:t>(Los nitratos tienen como fuente de generación al nitrógeno amoniacal).</w:t>
            </w:r>
          </w:p>
        </w:tc>
      </w:tr>
      <w:tr>
        <w:trPr>
          <w:trHeight w:val="1781" w:hRule="exact"/>
        </w:trPr>
        <w:tc>
          <w:tcPr>
            <w:tcW w:w="4322" w:type="dxa"/>
            <w:tcBorders>
              <w:top w:val="single" w:sz="4" w:space="0" w:color="000000"/>
              <w:bottom w:val="single" w:sz="4" w:space="0" w:color="000000"/>
              <w:right w:val="single" w:sz="4" w:space="0" w:color="000000"/>
            </w:tcBorders>
          </w:tcPr>
          <w:p>
            <w:pPr>
              <w:pStyle w:val="TableParagraph"/>
              <w:spacing w:line="251" w:lineRule="exact" w:before="0"/>
              <w:ind w:left="93" w:right="402"/>
              <w:jc w:val="left"/>
              <w:rPr>
                <w:rFonts w:ascii="Arial" w:hAnsi="Arial"/>
                <w:sz w:val="22"/>
              </w:rPr>
            </w:pPr>
            <w:r>
              <w:rPr>
                <w:rFonts w:ascii="Arial" w:hAnsi="Arial"/>
                <w:sz w:val="22"/>
              </w:rPr>
              <w:t>Interpretación</w:t>
            </w:r>
          </w:p>
        </w:tc>
        <w:tc>
          <w:tcPr>
            <w:tcW w:w="4322" w:type="dxa"/>
            <w:tcBorders>
              <w:top w:val="single" w:sz="4" w:space="0" w:color="000000"/>
              <w:left w:val="single" w:sz="4" w:space="0" w:color="000000"/>
              <w:bottom w:val="single" w:sz="4" w:space="0" w:color="000000"/>
            </w:tcBorders>
          </w:tcPr>
          <w:p>
            <w:pPr>
              <w:pStyle w:val="TableParagraph"/>
              <w:spacing w:before="0"/>
              <w:ind w:left="103" w:right="180" w:hanging="1"/>
              <w:jc w:val="left"/>
              <w:rPr>
                <w:rFonts w:ascii="Arial" w:hAnsi="Arial"/>
                <w:sz w:val="22"/>
              </w:rPr>
            </w:pPr>
            <w:r>
              <w:rPr>
                <w:rFonts w:ascii="Arial" w:hAnsi="Arial"/>
                <w:sz w:val="22"/>
              </w:rPr>
              <w:t>En la gráfica se identifican tres zonas de control, una de color rojo que indica efectos letales, una de color amarillo que hace referencia a condiciones de vida de las truchas pero no son las ideales y una zona verde donde se tiene el desarrollo adecuado del cultivo.</w:t>
            </w:r>
          </w:p>
        </w:tc>
      </w:tr>
      <w:tr>
        <w:trPr>
          <w:trHeight w:val="1274" w:hRule="exact"/>
        </w:trPr>
        <w:tc>
          <w:tcPr>
            <w:tcW w:w="4322" w:type="dxa"/>
            <w:tcBorders>
              <w:top w:val="single" w:sz="4" w:space="0" w:color="000000"/>
              <w:bottom w:val="single" w:sz="4" w:space="0" w:color="000000"/>
              <w:right w:val="single" w:sz="4" w:space="0" w:color="000000"/>
            </w:tcBorders>
            <w:shd w:val="clear" w:color="auto" w:fill="92D04F"/>
          </w:tcPr>
          <w:p>
            <w:pPr>
              <w:pStyle w:val="TableParagraph"/>
              <w:spacing w:line="248" w:lineRule="exact" w:before="0"/>
              <w:ind w:left="93" w:right="402"/>
              <w:jc w:val="left"/>
              <w:rPr>
                <w:rFonts w:ascii="Arial"/>
                <w:b/>
                <w:sz w:val="22"/>
              </w:rPr>
            </w:pPr>
            <w:r>
              <w:rPr>
                <w:rFonts w:ascii="Arial"/>
                <w:b/>
                <w:sz w:val="22"/>
              </w:rPr>
              <w:t>&lt; 50 mg/L</w:t>
            </w:r>
          </w:p>
        </w:tc>
        <w:tc>
          <w:tcPr>
            <w:tcW w:w="4322" w:type="dxa"/>
            <w:tcBorders>
              <w:top w:val="single" w:sz="4" w:space="0" w:color="000000"/>
              <w:left w:val="single" w:sz="4" w:space="0" w:color="000000"/>
              <w:bottom w:val="single" w:sz="4" w:space="0" w:color="000000"/>
            </w:tcBorders>
            <w:shd w:val="clear" w:color="auto" w:fill="92D04F"/>
          </w:tcPr>
          <w:p>
            <w:pPr>
              <w:pStyle w:val="TableParagraph"/>
              <w:spacing w:before="0"/>
              <w:ind w:left="103" w:right="254"/>
              <w:jc w:val="left"/>
              <w:rPr>
                <w:rFonts w:ascii="Arial" w:hAnsi="Arial"/>
                <w:sz w:val="22"/>
              </w:rPr>
            </w:pPr>
            <w:r>
              <w:rPr>
                <w:rFonts w:ascii="Arial" w:hAnsi="Arial"/>
                <w:sz w:val="22"/>
              </w:rPr>
              <w:t>Este es el intervalo óptimo para es buen desarrollo de la trucha y del sistema bacteriano en los biofiltros, sin embargo cuanto más se acerque al valor inferior, es preferible.</w:t>
            </w:r>
          </w:p>
        </w:tc>
      </w:tr>
      <w:tr>
        <w:trPr>
          <w:trHeight w:val="1274" w:hRule="exact"/>
        </w:trPr>
        <w:tc>
          <w:tcPr>
            <w:tcW w:w="4322" w:type="dxa"/>
            <w:tcBorders>
              <w:top w:val="single" w:sz="4" w:space="0" w:color="000000"/>
              <w:bottom w:val="single" w:sz="4" w:space="0" w:color="000000"/>
              <w:right w:val="single" w:sz="4" w:space="0" w:color="000000"/>
            </w:tcBorders>
            <w:shd w:val="clear" w:color="auto" w:fill="FFFF00"/>
          </w:tcPr>
          <w:p>
            <w:pPr>
              <w:pStyle w:val="TableParagraph"/>
              <w:spacing w:line="248" w:lineRule="exact" w:before="0"/>
              <w:ind w:left="93" w:right="402"/>
              <w:jc w:val="left"/>
              <w:rPr>
                <w:rFonts w:ascii="Arial" w:hAnsi="Arial"/>
                <w:b/>
                <w:sz w:val="22"/>
              </w:rPr>
            </w:pPr>
            <w:r>
              <w:rPr>
                <w:rFonts w:ascii="Arial" w:hAnsi="Arial"/>
                <w:b/>
                <w:sz w:val="22"/>
              </w:rPr>
              <w:t>50 – 100 mg/L</w:t>
            </w:r>
          </w:p>
        </w:tc>
        <w:tc>
          <w:tcPr>
            <w:tcW w:w="4322" w:type="dxa"/>
            <w:tcBorders>
              <w:top w:val="single" w:sz="4" w:space="0" w:color="000000"/>
              <w:left w:val="single" w:sz="4" w:space="0" w:color="000000"/>
              <w:bottom w:val="single" w:sz="4" w:space="0" w:color="000000"/>
            </w:tcBorders>
            <w:shd w:val="clear" w:color="auto" w:fill="FFFF00"/>
          </w:tcPr>
          <w:p>
            <w:pPr>
              <w:pStyle w:val="TableParagraph"/>
              <w:spacing w:before="0"/>
              <w:ind w:left="103" w:right="303"/>
              <w:jc w:val="left"/>
              <w:rPr>
                <w:rFonts w:ascii="Arial" w:hAnsi="Arial"/>
                <w:sz w:val="22"/>
              </w:rPr>
            </w:pPr>
            <w:r>
              <w:rPr>
                <w:rFonts w:ascii="Arial" w:hAnsi="Arial"/>
                <w:sz w:val="22"/>
              </w:rPr>
              <w:t>Cuando estas concentraciones son puntuales, permiten la sobrevivencia de la trucha pero cuando los peces son sometidos a largos periodos de exposición puede causar intoxicación.</w:t>
            </w:r>
          </w:p>
        </w:tc>
      </w:tr>
      <w:tr>
        <w:trPr>
          <w:trHeight w:val="780" w:hRule="exact"/>
        </w:trPr>
        <w:tc>
          <w:tcPr>
            <w:tcW w:w="4322" w:type="dxa"/>
            <w:tcBorders>
              <w:top w:val="single" w:sz="4" w:space="0" w:color="000000"/>
              <w:right w:val="single" w:sz="4" w:space="0" w:color="000000"/>
            </w:tcBorders>
            <w:shd w:val="clear" w:color="auto" w:fill="FF0000"/>
          </w:tcPr>
          <w:p>
            <w:pPr>
              <w:pStyle w:val="TableParagraph"/>
              <w:spacing w:line="248" w:lineRule="exact" w:before="0"/>
              <w:ind w:left="93" w:right="402"/>
              <w:jc w:val="left"/>
              <w:rPr>
                <w:rFonts w:ascii="Arial"/>
                <w:b/>
                <w:sz w:val="22"/>
              </w:rPr>
            </w:pPr>
            <w:r>
              <w:rPr>
                <w:rFonts w:ascii="Arial"/>
                <w:b/>
                <w:color w:val="FFFFFF"/>
                <w:sz w:val="22"/>
              </w:rPr>
              <w:t>&gt; 100 mg/L</w:t>
            </w:r>
          </w:p>
        </w:tc>
        <w:tc>
          <w:tcPr>
            <w:tcW w:w="4322" w:type="dxa"/>
            <w:tcBorders>
              <w:top w:val="single" w:sz="4" w:space="0" w:color="000000"/>
              <w:left w:val="single" w:sz="4" w:space="0" w:color="000000"/>
            </w:tcBorders>
            <w:shd w:val="clear" w:color="auto" w:fill="FF0000"/>
          </w:tcPr>
          <w:p>
            <w:pPr>
              <w:pStyle w:val="TableParagraph"/>
              <w:spacing w:before="0"/>
              <w:ind w:left="103" w:right="300"/>
              <w:jc w:val="both"/>
              <w:rPr>
                <w:rFonts w:ascii="Arial" w:hAnsi="Arial"/>
                <w:sz w:val="22"/>
              </w:rPr>
            </w:pPr>
            <w:r>
              <w:rPr>
                <w:rFonts w:ascii="Arial" w:hAnsi="Arial"/>
                <w:color w:val="FFFFFF"/>
                <w:sz w:val="22"/>
              </w:rPr>
              <w:t>Causa problemas de desequilibrio en el agua, desnitrificación parcial y</w:t>
            </w:r>
            <w:r>
              <w:rPr>
                <w:rFonts w:ascii="Arial" w:hAnsi="Arial"/>
                <w:color w:val="FFFFFF"/>
                <w:spacing w:val="-17"/>
                <w:sz w:val="22"/>
              </w:rPr>
              <w:t> </w:t>
            </w:r>
            <w:r>
              <w:rPr>
                <w:rFonts w:ascii="Arial" w:hAnsi="Arial"/>
                <w:color w:val="FFFFFF"/>
                <w:sz w:val="22"/>
              </w:rPr>
              <w:t>aparición de zonas</w:t>
            </w:r>
            <w:r>
              <w:rPr>
                <w:rFonts w:ascii="Arial" w:hAnsi="Arial"/>
                <w:color w:val="FFFFFF"/>
                <w:spacing w:val="-12"/>
                <w:sz w:val="22"/>
              </w:rPr>
              <w:t> </w:t>
            </w:r>
            <w:r>
              <w:rPr>
                <w:rFonts w:ascii="Arial" w:hAnsi="Arial"/>
                <w:color w:val="FFFFFF"/>
                <w:sz w:val="22"/>
              </w:rPr>
              <w:t>anaeróbicas.</w:t>
            </w:r>
          </w:p>
        </w:tc>
      </w:tr>
    </w:tbl>
    <w:p>
      <w:pPr>
        <w:spacing w:after="0"/>
        <w:jc w:val="both"/>
        <w:rPr>
          <w:rFonts w:ascii="Arial" w:hAnsi="Arial"/>
          <w:sz w:val="22"/>
        </w:rPr>
        <w:sectPr>
          <w:pgSz w:w="12240" w:h="15840"/>
          <w:pgMar w:header="725" w:footer="1084" w:top="1340" w:bottom="1280" w:left="920" w:right="1200"/>
        </w:sectPr>
      </w:pPr>
    </w:p>
    <w:p>
      <w:pPr>
        <w:pStyle w:val="Heading5"/>
        <w:spacing w:before="172"/>
        <w:ind w:left="781" w:right="893"/>
        <w:jc w:val="left"/>
      </w:pPr>
      <w:bookmarkStart w:name="_TOC_250001" w:id="212"/>
      <w:bookmarkStart w:name="Anexo 7. Memoria de cálculo de estimador" w:id="213"/>
      <w:r>
        <w:rPr>
          <w:b w:val="0"/>
        </w:rPr>
      </w:r>
      <w:bookmarkEnd w:id="212"/>
      <w:r>
        <w:rPr/>
        <w:t>ANEXO 7. MEMORIA DE CÁLCULO DE ESTIMADORES ESTADÍSTICOS CON BASE EN LA TEORÍA DE MUESTREO ESTRATIFICADO.</w:t>
      </w:r>
    </w:p>
    <w:p>
      <w:pPr>
        <w:spacing w:before="1"/>
        <w:ind w:left="2977" w:right="1859" w:firstLine="0"/>
        <w:jc w:val="left"/>
        <w:rPr>
          <w:b/>
          <w:sz w:val="22"/>
        </w:rPr>
      </w:pPr>
      <w:r>
        <w:rPr>
          <w:b/>
          <w:sz w:val="22"/>
        </w:rPr>
        <w:t>Nitrógeno amoniacal total (mg de N-NH</w:t>
      </w:r>
      <w:r>
        <w:rPr>
          <w:b/>
          <w:position w:val="-2"/>
          <w:sz w:val="14"/>
        </w:rPr>
        <w:t>3</w:t>
      </w:r>
      <w:r>
        <w:rPr>
          <w:b/>
          <w:sz w:val="22"/>
        </w:rPr>
        <w:t>/L)</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gridCol w:w="773"/>
        <w:gridCol w:w="475"/>
        <w:gridCol w:w="1044"/>
        <w:gridCol w:w="1150"/>
        <w:gridCol w:w="1178"/>
        <w:gridCol w:w="1447"/>
        <w:gridCol w:w="1529"/>
        <w:gridCol w:w="1555"/>
      </w:tblGrid>
      <w:tr>
        <w:trPr>
          <w:trHeight w:val="310" w:hRule="exact"/>
        </w:trPr>
        <w:tc>
          <w:tcPr>
            <w:tcW w:w="9958" w:type="dxa"/>
            <w:gridSpan w:val="9"/>
          </w:tcPr>
          <w:p>
            <w:pPr>
              <w:pStyle w:val="TableParagraph"/>
              <w:spacing w:before="19"/>
              <w:ind w:left="3998" w:right="3998"/>
              <w:jc w:val="center"/>
              <w:rPr>
                <w:sz w:val="22"/>
              </w:rPr>
            </w:pPr>
            <w:r>
              <w:rPr>
                <w:sz w:val="22"/>
              </w:rPr>
              <w:t>Punto de Muestreo A</w:t>
            </w:r>
          </w:p>
        </w:tc>
      </w:tr>
      <w:tr>
        <w:trPr>
          <w:trHeight w:val="312" w:hRule="exact"/>
        </w:trPr>
        <w:tc>
          <w:tcPr>
            <w:tcW w:w="806" w:type="dxa"/>
          </w:tcPr>
          <w:p>
            <w:pPr>
              <w:pStyle w:val="TableParagraph"/>
              <w:spacing w:before="4"/>
              <w:ind w:left="46" w:right="71"/>
              <w:jc w:val="center"/>
              <w:rPr>
                <w:sz w:val="22"/>
              </w:rPr>
            </w:pPr>
            <w:r>
              <w:rPr>
                <w:sz w:val="22"/>
              </w:rPr>
              <w:t>Estrato</w:t>
            </w:r>
          </w:p>
        </w:tc>
        <w:tc>
          <w:tcPr>
            <w:tcW w:w="773" w:type="dxa"/>
          </w:tcPr>
          <w:p>
            <w:pPr>
              <w:pStyle w:val="TableParagraph"/>
              <w:spacing w:before="33"/>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33"/>
              <w:ind w:left="112" w:right="0"/>
              <w:jc w:val="left"/>
              <w:rPr>
                <w:rFonts w:ascii="Cambria Math"/>
                <w:sz w:val="16"/>
              </w:rPr>
            </w:pPr>
            <w:r>
              <w:rPr>
                <w:rFonts w:ascii="Cambria Math"/>
                <w:w w:val="110"/>
                <w:sz w:val="22"/>
              </w:rPr>
              <w:t>n</w:t>
            </w:r>
            <w:r>
              <w:rPr>
                <w:rFonts w:ascii="Cambria Math"/>
                <w:w w:val="110"/>
                <w:position w:val="-4"/>
                <w:sz w:val="16"/>
              </w:rPr>
              <w:t>h</w:t>
            </w:r>
          </w:p>
        </w:tc>
        <w:tc>
          <w:tcPr>
            <w:tcW w:w="1044" w:type="dxa"/>
          </w:tcPr>
          <w:p>
            <w:pPr>
              <w:pStyle w:val="TableParagraph"/>
              <w:spacing w:before="33"/>
              <w:ind w:left="403"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50" w:type="dxa"/>
          </w:tcPr>
          <w:p>
            <w:pPr>
              <w:pStyle w:val="TableParagraph"/>
              <w:spacing w:line="211" w:lineRule="exact" w:before="0"/>
              <w:ind w:left="379" w:right="38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78" w:type="dxa"/>
          </w:tcPr>
          <w:p>
            <w:pPr>
              <w:pStyle w:val="TableParagraph"/>
              <w:spacing w:before="9"/>
              <w:ind w:left="465" w:right="476"/>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447" w:type="dxa"/>
          </w:tcPr>
          <w:p>
            <w:pPr>
              <w:pStyle w:val="TableParagraph"/>
              <w:spacing w:before="33"/>
              <w:ind w:left="594" w:right="602"/>
              <w:jc w:val="center"/>
              <w:rPr>
                <w:rFonts w:ascii="Cambria Math"/>
                <w:sz w:val="16"/>
              </w:rPr>
            </w:pPr>
            <w:r>
              <w:rPr>
                <w:rFonts w:ascii="Cambria Math"/>
                <w:w w:val="110"/>
                <w:sz w:val="22"/>
              </w:rPr>
              <w:t>s</w:t>
            </w:r>
            <w:r>
              <w:rPr>
                <w:rFonts w:ascii="Cambria Math"/>
                <w:w w:val="110"/>
                <w:position w:val="-4"/>
                <w:sz w:val="16"/>
              </w:rPr>
              <w:t>h</w:t>
            </w:r>
          </w:p>
        </w:tc>
        <w:tc>
          <w:tcPr>
            <w:tcW w:w="1529" w:type="dxa"/>
          </w:tcPr>
          <w:p>
            <w:pPr>
              <w:pStyle w:val="TableParagraph"/>
              <w:spacing w:line="328" w:lineRule="exact" w:before="0"/>
              <w:ind w:left="42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55" w:type="dxa"/>
          </w:tcPr>
          <w:p>
            <w:pPr>
              <w:pStyle w:val="TableParagraph"/>
              <w:spacing w:line="328" w:lineRule="exact" w:before="0"/>
              <w:ind w:left="42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06" w:type="dxa"/>
          </w:tcPr>
          <w:p>
            <w:pPr>
              <w:pStyle w:val="TableParagraph"/>
              <w:spacing w:before="19"/>
              <w:ind w:left="1" w:right="0"/>
              <w:jc w:val="center"/>
              <w:rPr>
                <w:sz w:val="22"/>
              </w:rPr>
            </w:pPr>
            <w:r>
              <w:rPr>
                <w:w w:val="100"/>
                <w:sz w:val="22"/>
              </w:rPr>
              <w:t>1</w:t>
            </w:r>
          </w:p>
        </w:tc>
        <w:tc>
          <w:tcPr>
            <w:tcW w:w="773" w:type="dxa"/>
          </w:tcPr>
          <w:p>
            <w:pPr>
              <w:pStyle w:val="TableParagraph"/>
              <w:spacing w:before="19"/>
              <w:ind w:left="66" w:right="43"/>
              <w:jc w:val="center"/>
              <w:rPr>
                <w:sz w:val="22"/>
              </w:rPr>
            </w:pPr>
            <w:r>
              <w:rPr>
                <w:sz w:val="22"/>
              </w:rPr>
              <w:t>108,60</w:t>
            </w:r>
          </w:p>
        </w:tc>
        <w:tc>
          <w:tcPr>
            <w:tcW w:w="475" w:type="dxa"/>
          </w:tcPr>
          <w:p>
            <w:pPr>
              <w:pStyle w:val="TableParagraph"/>
              <w:spacing w:before="19"/>
              <w:ind w:left="67" w:right="0"/>
              <w:jc w:val="left"/>
              <w:rPr>
                <w:sz w:val="22"/>
              </w:rPr>
            </w:pPr>
            <w:r>
              <w:rPr>
                <w:sz w:val="22"/>
              </w:rPr>
              <w:t>108</w:t>
            </w:r>
          </w:p>
        </w:tc>
        <w:tc>
          <w:tcPr>
            <w:tcW w:w="1044" w:type="dxa"/>
          </w:tcPr>
          <w:p>
            <w:pPr>
              <w:pStyle w:val="TableParagraph"/>
              <w:spacing w:before="19"/>
              <w:ind w:left="357" w:right="0"/>
              <w:jc w:val="left"/>
              <w:rPr>
                <w:sz w:val="22"/>
              </w:rPr>
            </w:pPr>
            <w:r>
              <w:rPr>
                <w:sz w:val="22"/>
              </w:rPr>
              <w:t>0,4020</w:t>
            </w:r>
          </w:p>
        </w:tc>
        <w:tc>
          <w:tcPr>
            <w:tcW w:w="1150" w:type="dxa"/>
          </w:tcPr>
          <w:p>
            <w:pPr>
              <w:pStyle w:val="TableParagraph"/>
              <w:spacing w:before="19"/>
              <w:ind w:left="463" w:right="0"/>
              <w:jc w:val="left"/>
              <w:rPr>
                <w:sz w:val="22"/>
              </w:rPr>
            </w:pPr>
            <w:r>
              <w:rPr>
                <w:sz w:val="22"/>
              </w:rPr>
              <w:t>0,0408</w:t>
            </w:r>
          </w:p>
        </w:tc>
        <w:tc>
          <w:tcPr>
            <w:tcW w:w="1178" w:type="dxa"/>
          </w:tcPr>
          <w:p>
            <w:pPr>
              <w:pStyle w:val="TableParagraph"/>
              <w:spacing w:before="19"/>
              <w:ind w:right="63"/>
              <w:rPr>
                <w:sz w:val="22"/>
              </w:rPr>
            </w:pPr>
            <w:r>
              <w:rPr>
                <w:sz w:val="22"/>
              </w:rPr>
              <w:t>43,6572</w:t>
            </w:r>
          </w:p>
        </w:tc>
        <w:tc>
          <w:tcPr>
            <w:tcW w:w="1447" w:type="dxa"/>
          </w:tcPr>
          <w:p>
            <w:pPr>
              <w:pStyle w:val="TableParagraph"/>
              <w:spacing w:before="19"/>
              <w:rPr>
                <w:sz w:val="22"/>
              </w:rPr>
            </w:pPr>
            <w:r>
              <w:rPr>
                <w:sz w:val="22"/>
              </w:rPr>
              <w:t>0,2020</w:t>
            </w:r>
          </w:p>
        </w:tc>
        <w:tc>
          <w:tcPr>
            <w:tcW w:w="1529" w:type="dxa"/>
          </w:tcPr>
          <w:p>
            <w:pPr>
              <w:pStyle w:val="TableParagraph"/>
              <w:spacing w:before="19"/>
              <w:rPr>
                <w:sz w:val="22"/>
              </w:rPr>
            </w:pPr>
            <w:r>
              <w:rPr>
                <w:sz w:val="22"/>
              </w:rPr>
              <w:t>-1,4903</w:t>
            </w:r>
          </w:p>
        </w:tc>
        <w:tc>
          <w:tcPr>
            <w:tcW w:w="1555" w:type="dxa"/>
          </w:tcPr>
          <w:p>
            <w:pPr>
              <w:pStyle w:val="TableParagraph"/>
              <w:spacing w:before="19"/>
              <w:rPr>
                <w:sz w:val="22"/>
              </w:rPr>
            </w:pPr>
            <w:r>
              <w:rPr>
                <w:sz w:val="22"/>
              </w:rPr>
              <w:t>-3,0839E-06</w:t>
            </w:r>
          </w:p>
        </w:tc>
      </w:tr>
      <w:tr>
        <w:trPr>
          <w:trHeight w:val="310" w:hRule="exact"/>
        </w:trPr>
        <w:tc>
          <w:tcPr>
            <w:tcW w:w="806" w:type="dxa"/>
          </w:tcPr>
          <w:p>
            <w:pPr>
              <w:pStyle w:val="TableParagraph"/>
              <w:spacing w:before="19"/>
              <w:ind w:left="1" w:right="0"/>
              <w:jc w:val="center"/>
              <w:rPr>
                <w:sz w:val="22"/>
              </w:rPr>
            </w:pPr>
            <w:r>
              <w:rPr>
                <w:w w:val="100"/>
                <w:sz w:val="22"/>
              </w:rPr>
              <w:t>2</w:t>
            </w:r>
          </w:p>
        </w:tc>
        <w:tc>
          <w:tcPr>
            <w:tcW w:w="773" w:type="dxa"/>
          </w:tcPr>
          <w:p>
            <w:pPr>
              <w:pStyle w:val="TableParagraph"/>
              <w:spacing w:before="19"/>
              <w:ind w:left="66" w:right="43"/>
              <w:jc w:val="center"/>
              <w:rPr>
                <w:sz w:val="22"/>
              </w:rPr>
            </w:pPr>
            <w:r>
              <w:rPr>
                <w:sz w:val="22"/>
              </w:rPr>
              <w:t>121,03</w:t>
            </w:r>
          </w:p>
        </w:tc>
        <w:tc>
          <w:tcPr>
            <w:tcW w:w="475" w:type="dxa"/>
          </w:tcPr>
          <w:p>
            <w:pPr>
              <w:pStyle w:val="TableParagraph"/>
              <w:spacing w:before="19"/>
              <w:rPr>
                <w:sz w:val="22"/>
              </w:rPr>
            </w:pPr>
            <w:r>
              <w:rPr>
                <w:sz w:val="22"/>
              </w:rPr>
              <w:t>81</w:t>
            </w:r>
          </w:p>
        </w:tc>
        <w:tc>
          <w:tcPr>
            <w:tcW w:w="1044" w:type="dxa"/>
          </w:tcPr>
          <w:p>
            <w:pPr>
              <w:pStyle w:val="TableParagraph"/>
              <w:spacing w:before="19"/>
              <w:ind w:left="357" w:right="0"/>
              <w:jc w:val="left"/>
              <w:rPr>
                <w:sz w:val="22"/>
              </w:rPr>
            </w:pPr>
            <w:r>
              <w:rPr>
                <w:sz w:val="22"/>
              </w:rPr>
              <w:t>1,3880</w:t>
            </w:r>
          </w:p>
        </w:tc>
        <w:tc>
          <w:tcPr>
            <w:tcW w:w="1150" w:type="dxa"/>
          </w:tcPr>
          <w:p>
            <w:pPr>
              <w:pStyle w:val="TableParagraph"/>
              <w:spacing w:before="19"/>
              <w:ind w:left="463" w:right="0"/>
              <w:jc w:val="left"/>
              <w:rPr>
                <w:sz w:val="22"/>
              </w:rPr>
            </w:pPr>
            <w:r>
              <w:rPr>
                <w:sz w:val="22"/>
              </w:rPr>
              <w:t>1,1406</w:t>
            </w:r>
          </w:p>
        </w:tc>
        <w:tc>
          <w:tcPr>
            <w:tcW w:w="1178" w:type="dxa"/>
          </w:tcPr>
          <w:p>
            <w:pPr>
              <w:pStyle w:val="TableParagraph"/>
              <w:spacing w:before="19"/>
              <w:ind w:right="63"/>
              <w:rPr>
                <w:sz w:val="22"/>
              </w:rPr>
            </w:pPr>
            <w:r>
              <w:rPr>
                <w:sz w:val="22"/>
              </w:rPr>
              <w:t>167,9896</w:t>
            </w:r>
          </w:p>
        </w:tc>
        <w:tc>
          <w:tcPr>
            <w:tcW w:w="1447" w:type="dxa"/>
          </w:tcPr>
          <w:p>
            <w:pPr>
              <w:pStyle w:val="TableParagraph"/>
              <w:spacing w:before="19"/>
              <w:rPr>
                <w:sz w:val="22"/>
              </w:rPr>
            </w:pPr>
            <w:r>
              <w:rPr>
                <w:sz w:val="22"/>
              </w:rPr>
              <w:t>1,0680</w:t>
            </w:r>
          </w:p>
        </w:tc>
        <w:tc>
          <w:tcPr>
            <w:tcW w:w="1529" w:type="dxa"/>
          </w:tcPr>
          <w:p>
            <w:pPr>
              <w:pStyle w:val="TableParagraph"/>
              <w:spacing w:before="19"/>
              <w:rPr>
                <w:sz w:val="22"/>
              </w:rPr>
            </w:pPr>
            <w:r>
              <w:rPr>
                <w:sz w:val="22"/>
              </w:rPr>
              <w:t>68,3225</w:t>
            </w:r>
          </w:p>
        </w:tc>
        <w:tc>
          <w:tcPr>
            <w:tcW w:w="1555" w:type="dxa"/>
          </w:tcPr>
          <w:p>
            <w:pPr>
              <w:pStyle w:val="TableParagraph"/>
              <w:spacing w:before="19"/>
              <w:rPr>
                <w:sz w:val="22"/>
              </w:rPr>
            </w:pPr>
            <w:r>
              <w:rPr>
                <w:sz w:val="22"/>
              </w:rPr>
              <w:t>0,000141378</w:t>
            </w:r>
          </w:p>
        </w:tc>
      </w:tr>
      <w:tr>
        <w:trPr>
          <w:trHeight w:val="310" w:hRule="exact"/>
        </w:trPr>
        <w:tc>
          <w:tcPr>
            <w:tcW w:w="806" w:type="dxa"/>
          </w:tcPr>
          <w:p>
            <w:pPr>
              <w:pStyle w:val="TableParagraph"/>
              <w:spacing w:before="19"/>
              <w:ind w:left="1" w:right="0"/>
              <w:jc w:val="center"/>
              <w:rPr>
                <w:sz w:val="22"/>
              </w:rPr>
            </w:pPr>
            <w:r>
              <w:rPr>
                <w:w w:val="100"/>
                <w:sz w:val="22"/>
              </w:rPr>
              <w:t>3</w:t>
            </w:r>
          </w:p>
        </w:tc>
        <w:tc>
          <w:tcPr>
            <w:tcW w:w="773" w:type="dxa"/>
          </w:tcPr>
          <w:p>
            <w:pPr>
              <w:pStyle w:val="TableParagraph"/>
              <w:spacing w:before="19"/>
              <w:ind w:left="66" w:right="43"/>
              <w:jc w:val="center"/>
              <w:rPr>
                <w:sz w:val="22"/>
              </w:rPr>
            </w:pPr>
            <w:r>
              <w:rPr>
                <w:sz w:val="22"/>
              </w:rPr>
              <w:t>130,21</w:t>
            </w:r>
          </w:p>
        </w:tc>
        <w:tc>
          <w:tcPr>
            <w:tcW w:w="475" w:type="dxa"/>
          </w:tcPr>
          <w:p>
            <w:pPr>
              <w:pStyle w:val="TableParagraph"/>
              <w:spacing w:before="19"/>
              <w:rPr>
                <w:sz w:val="22"/>
              </w:rPr>
            </w:pPr>
            <w:r>
              <w:rPr>
                <w:sz w:val="22"/>
              </w:rPr>
              <w:t>77</w:t>
            </w:r>
          </w:p>
        </w:tc>
        <w:tc>
          <w:tcPr>
            <w:tcW w:w="1044" w:type="dxa"/>
          </w:tcPr>
          <w:p>
            <w:pPr>
              <w:pStyle w:val="TableParagraph"/>
              <w:spacing w:before="19"/>
              <w:ind w:left="357" w:right="0"/>
              <w:jc w:val="left"/>
              <w:rPr>
                <w:sz w:val="22"/>
              </w:rPr>
            </w:pPr>
            <w:r>
              <w:rPr>
                <w:sz w:val="22"/>
              </w:rPr>
              <w:t>0,6840</w:t>
            </w:r>
          </w:p>
        </w:tc>
        <w:tc>
          <w:tcPr>
            <w:tcW w:w="1150" w:type="dxa"/>
          </w:tcPr>
          <w:p>
            <w:pPr>
              <w:pStyle w:val="TableParagraph"/>
              <w:spacing w:before="19"/>
              <w:ind w:left="463" w:right="0"/>
              <w:jc w:val="left"/>
              <w:rPr>
                <w:sz w:val="22"/>
              </w:rPr>
            </w:pPr>
            <w:r>
              <w:rPr>
                <w:sz w:val="22"/>
              </w:rPr>
              <w:t>0,0431</w:t>
            </w:r>
          </w:p>
        </w:tc>
        <w:tc>
          <w:tcPr>
            <w:tcW w:w="1178" w:type="dxa"/>
          </w:tcPr>
          <w:p>
            <w:pPr>
              <w:pStyle w:val="TableParagraph"/>
              <w:spacing w:before="19"/>
              <w:ind w:right="63"/>
              <w:rPr>
                <w:sz w:val="22"/>
              </w:rPr>
            </w:pPr>
            <w:r>
              <w:rPr>
                <w:sz w:val="22"/>
              </w:rPr>
              <w:t>89,0636</w:t>
            </w:r>
          </w:p>
        </w:tc>
        <w:tc>
          <w:tcPr>
            <w:tcW w:w="1447" w:type="dxa"/>
          </w:tcPr>
          <w:p>
            <w:pPr>
              <w:pStyle w:val="TableParagraph"/>
              <w:spacing w:before="19"/>
              <w:rPr>
                <w:sz w:val="22"/>
              </w:rPr>
            </w:pPr>
            <w:r>
              <w:rPr>
                <w:sz w:val="22"/>
              </w:rPr>
              <w:t>0,2077</w:t>
            </w:r>
          </w:p>
        </w:tc>
        <w:tc>
          <w:tcPr>
            <w:tcW w:w="1529" w:type="dxa"/>
          </w:tcPr>
          <w:p>
            <w:pPr>
              <w:pStyle w:val="TableParagraph"/>
              <w:spacing w:before="19"/>
              <w:rPr>
                <w:sz w:val="22"/>
              </w:rPr>
            </w:pPr>
            <w:r>
              <w:rPr>
                <w:sz w:val="22"/>
              </w:rPr>
              <w:t>3,9379</w:t>
            </w:r>
          </w:p>
        </w:tc>
        <w:tc>
          <w:tcPr>
            <w:tcW w:w="1555" w:type="dxa"/>
          </w:tcPr>
          <w:p>
            <w:pPr>
              <w:pStyle w:val="TableParagraph"/>
              <w:spacing w:before="19"/>
              <w:rPr>
                <w:sz w:val="22"/>
              </w:rPr>
            </w:pPr>
            <w:r>
              <w:rPr>
                <w:sz w:val="22"/>
              </w:rPr>
              <w:t>8,14864E-06</w:t>
            </w:r>
          </w:p>
        </w:tc>
      </w:tr>
      <w:tr>
        <w:trPr>
          <w:trHeight w:val="310" w:hRule="exact"/>
        </w:trPr>
        <w:tc>
          <w:tcPr>
            <w:tcW w:w="806" w:type="dxa"/>
          </w:tcPr>
          <w:p>
            <w:pPr>
              <w:pStyle w:val="TableParagraph"/>
              <w:spacing w:before="19"/>
              <w:ind w:left="1" w:right="0"/>
              <w:jc w:val="center"/>
              <w:rPr>
                <w:sz w:val="22"/>
              </w:rPr>
            </w:pPr>
            <w:r>
              <w:rPr>
                <w:w w:val="100"/>
                <w:sz w:val="22"/>
              </w:rPr>
              <w:t>4</w:t>
            </w:r>
          </w:p>
        </w:tc>
        <w:tc>
          <w:tcPr>
            <w:tcW w:w="773" w:type="dxa"/>
          </w:tcPr>
          <w:p>
            <w:pPr>
              <w:pStyle w:val="TableParagraph"/>
              <w:spacing w:before="19"/>
              <w:ind w:left="66" w:right="43"/>
              <w:jc w:val="center"/>
              <w:rPr>
                <w:sz w:val="22"/>
              </w:rPr>
            </w:pPr>
            <w:r>
              <w:rPr>
                <w:sz w:val="22"/>
              </w:rPr>
              <w:t>155,12</w:t>
            </w:r>
          </w:p>
        </w:tc>
        <w:tc>
          <w:tcPr>
            <w:tcW w:w="475" w:type="dxa"/>
          </w:tcPr>
          <w:p>
            <w:pPr>
              <w:pStyle w:val="TableParagraph"/>
              <w:spacing w:before="19"/>
              <w:rPr>
                <w:sz w:val="22"/>
              </w:rPr>
            </w:pPr>
            <w:r>
              <w:rPr>
                <w:sz w:val="22"/>
              </w:rPr>
              <w:t>92</w:t>
            </w:r>
          </w:p>
        </w:tc>
        <w:tc>
          <w:tcPr>
            <w:tcW w:w="1044" w:type="dxa"/>
          </w:tcPr>
          <w:p>
            <w:pPr>
              <w:pStyle w:val="TableParagraph"/>
              <w:spacing w:before="19"/>
              <w:ind w:left="357" w:right="0"/>
              <w:jc w:val="left"/>
              <w:rPr>
                <w:sz w:val="22"/>
              </w:rPr>
            </w:pPr>
            <w:r>
              <w:rPr>
                <w:sz w:val="22"/>
              </w:rPr>
              <w:t>0,4820</w:t>
            </w:r>
          </w:p>
        </w:tc>
        <w:tc>
          <w:tcPr>
            <w:tcW w:w="1150" w:type="dxa"/>
          </w:tcPr>
          <w:p>
            <w:pPr>
              <w:pStyle w:val="TableParagraph"/>
              <w:spacing w:before="19"/>
              <w:ind w:left="463" w:right="0"/>
              <w:jc w:val="left"/>
              <w:rPr>
                <w:sz w:val="22"/>
              </w:rPr>
            </w:pPr>
            <w:r>
              <w:rPr>
                <w:sz w:val="22"/>
              </w:rPr>
              <w:t>0,0032</w:t>
            </w:r>
          </w:p>
        </w:tc>
        <w:tc>
          <w:tcPr>
            <w:tcW w:w="1178" w:type="dxa"/>
          </w:tcPr>
          <w:p>
            <w:pPr>
              <w:pStyle w:val="TableParagraph"/>
              <w:spacing w:before="19"/>
              <w:ind w:right="63"/>
              <w:rPr>
                <w:sz w:val="22"/>
              </w:rPr>
            </w:pPr>
            <w:r>
              <w:rPr>
                <w:sz w:val="22"/>
              </w:rPr>
              <w:t>74,7678</w:t>
            </w:r>
          </w:p>
        </w:tc>
        <w:tc>
          <w:tcPr>
            <w:tcW w:w="1447" w:type="dxa"/>
          </w:tcPr>
          <w:p>
            <w:pPr>
              <w:pStyle w:val="TableParagraph"/>
              <w:spacing w:before="19"/>
              <w:rPr>
                <w:sz w:val="22"/>
              </w:rPr>
            </w:pPr>
            <w:r>
              <w:rPr>
                <w:sz w:val="22"/>
              </w:rPr>
              <w:t>0,0563</w:t>
            </w:r>
          </w:p>
        </w:tc>
        <w:tc>
          <w:tcPr>
            <w:tcW w:w="1529" w:type="dxa"/>
          </w:tcPr>
          <w:p>
            <w:pPr>
              <w:pStyle w:val="TableParagraph"/>
              <w:spacing w:before="19"/>
              <w:rPr>
                <w:sz w:val="22"/>
              </w:rPr>
            </w:pPr>
            <w:r>
              <w:rPr>
                <w:sz w:val="22"/>
              </w:rPr>
              <w:t>0,3391</w:t>
            </w:r>
          </w:p>
        </w:tc>
        <w:tc>
          <w:tcPr>
            <w:tcW w:w="1555" w:type="dxa"/>
          </w:tcPr>
          <w:p>
            <w:pPr>
              <w:pStyle w:val="TableParagraph"/>
              <w:spacing w:before="19"/>
              <w:rPr>
                <w:sz w:val="22"/>
              </w:rPr>
            </w:pPr>
            <w:r>
              <w:rPr>
                <w:sz w:val="22"/>
              </w:rPr>
              <w:t>7,01661E-07</w:t>
            </w:r>
          </w:p>
        </w:tc>
      </w:tr>
      <w:tr>
        <w:trPr>
          <w:trHeight w:val="310" w:hRule="exact"/>
        </w:trPr>
        <w:tc>
          <w:tcPr>
            <w:tcW w:w="806" w:type="dxa"/>
          </w:tcPr>
          <w:p>
            <w:pPr>
              <w:pStyle w:val="TableParagraph"/>
              <w:spacing w:before="19"/>
              <w:ind w:left="1" w:right="0"/>
              <w:jc w:val="center"/>
              <w:rPr>
                <w:sz w:val="22"/>
              </w:rPr>
            </w:pPr>
            <w:r>
              <w:rPr>
                <w:w w:val="100"/>
                <w:sz w:val="22"/>
              </w:rPr>
              <w:t>5</w:t>
            </w:r>
          </w:p>
        </w:tc>
        <w:tc>
          <w:tcPr>
            <w:tcW w:w="773" w:type="dxa"/>
          </w:tcPr>
          <w:p>
            <w:pPr>
              <w:pStyle w:val="TableParagraph"/>
              <w:spacing w:before="19"/>
              <w:ind w:left="66" w:right="43"/>
              <w:jc w:val="center"/>
              <w:rPr>
                <w:sz w:val="22"/>
              </w:rPr>
            </w:pPr>
            <w:r>
              <w:rPr>
                <w:sz w:val="22"/>
              </w:rPr>
              <w:t>180,21</w:t>
            </w:r>
          </w:p>
        </w:tc>
        <w:tc>
          <w:tcPr>
            <w:tcW w:w="475" w:type="dxa"/>
          </w:tcPr>
          <w:p>
            <w:pPr>
              <w:pStyle w:val="TableParagraph"/>
              <w:spacing w:before="19"/>
              <w:ind w:left="67" w:right="0"/>
              <w:jc w:val="left"/>
              <w:rPr>
                <w:sz w:val="22"/>
              </w:rPr>
            </w:pPr>
            <w:r>
              <w:rPr>
                <w:sz w:val="22"/>
              </w:rPr>
              <w:t>132</w:t>
            </w:r>
          </w:p>
        </w:tc>
        <w:tc>
          <w:tcPr>
            <w:tcW w:w="1044" w:type="dxa"/>
          </w:tcPr>
          <w:p>
            <w:pPr>
              <w:pStyle w:val="TableParagraph"/>
              <w:spacing w:before="19"/>
              <w:ind w:left="357" w:right="0"/>
              <w:jc w:val="left"/>
              <w:rPr>
                <w:sz w:val="22"/>
              </w:rPr>
            </w:pPr>
            <w:r>
              <w:rPr>
                <w:sz w:val="22"/>
              </w:rPr>
              <w:t>1,0050</w:t>
            </w:r>
          </w:p>
        </w:tc>
        <w:tc>
          <w:tcPr>
            <w:tcW w:w="1150" w:type="dxa"/>
          </w:tcPr>
          <w:p>
            <w:pPr>
              <w:pStyle w:val="TableParagraph"/>
              <w:spacing w:before="19"/>
              <w:ind w:left="463" w:right="0"/>
              <w:jc w:val="left"/>
              <w:rPr>
                <w:sz w:val="22"/>
              </w:rPr>
            </w:pPr>
            <w:r>
              <w:rPr>
                <w:sz w:val="22"/>
              </w:rPr>
              <w:t>0,0694</w:t>
            </w:r>
          </w:p>
        </w:tc>
        <w:tc>
          <w:tcPr>
            <w:tcW w:w="1178" w:type="dxa"/>
          </w:tcPr>
          <w:p>
            <w:pPr>
              <w:pStyle w:val="TableParagraph"/>
              <w:spacing w:before="19"/>
              <w:ind w:right="63"/>
              <w:rPr>
                <w:sz w:val="22"/>
              </w:rPr>
            </w:pPr>
            <w:r>
              <w:rPr>
                <w:sz w:val="22"/>
              </w:rPr>
              <w:t>181,1111</w:t>
            </w:r>
          </w:p>
        </w:tc>
        <w:tc>
          <w:tcPr>
            <w:tcW w:w="1447" w:type="dxa"/>
          </w:tcPr>
          <w:p>
            <w:pPr>
              <w:pStyle w:val="TableParagraph"/>
              <w:spacing w:before="19"/>
              <w:rPr>
                <w:sz w:val="22"/>
              </w:rPr>
            </w:pPr>
            <w:r>
              <w:rPr>
                <w:sz w:val="22"/>
              </w:rPr>
              <w:t>0,2633</w:t>
            </w:r>
          </w:p>
        </w:tc>
        <w:tc>
          <w:tcPr>
            <w:tcW w:w="1529" w:type="dxa"/>
          </w:tcPr>
          <w:p>
            <w:pPr>
              <w:pStyle w:val="TableParagraph"/>
              <w:spacing w:before="19"/>
              <w:rPr>
                <w:sz w:val="22"/>
              </w:rPr>
            </w:pPr>
            <w:r>
              <w:rPr>
                <w:sz w:val="22"/>
              </w:rPr>
              <w:t>4,5593</w:t>
            </w:r>
          </w:p>
        </w:tc>
        <w:tc>
          <w:tcPr>
            <w:tcW w:w="1555" w:type="dxa"/>
          </w:tcPr>
          <w:p>
            <w:pPr>
              <w:pStyle w:val="TableParagraph"/>
              <w:spacing w:before="19"/>
              <w:rPr>
                <w:sz w:val="22"/>
              </w:rPr>
            </w:pPr>
            <w:r>
              <w:rPr>
                <w:sz w:val="22"/>
              </w:rPr>
              <w:t>9,4344E-06</w:t>
            </w:r>
          </w:p>
        </w:tc>
      </w:tr>
      <w:tr>
        <w:trPr>
          <w:trHeight w:val="312" w:hRule="exact"/>
        </w:trPr>
        <w:tc>
          <w:tcPr>
            <w:tcW w:w="806" w:type="dxa"/>
          </w:tcPr>
          <w:p>
            <w:pPr>
              <w:pStyle w:val="TableParagraph"/>
              <w:spacing w:before="21"/>
              <w:ind w:right="1"/>
              <w:jc w:val="center"/>
              <w:rPr>
                <w:sz w:val="22"/>
              </w:rPr>
            </w:pPr>
            <w:r>
              <w:rPr>
                <w:w w:val="100"/>
                <w:sz w:val="22"/>
              </w:rPr>
              <w:t>N</w:t>
            </w:r>
          </w:p>
        </w:tc>
        <w:tc>
          <w:tcPr>
            <w:tcW w:w="773" w:type="dxa"/>
          </w:tcPr>
          <w:p>
            <w:pPr>
              <w:pStyle w:val="TableParagraph"/>
              <w:spacing w:before="21"/>
              <w:ind w:left="66" w:right="43"/>
              <w:jc w:val="center"/>
              <w:rPr>
                <w:sz w:val="22"/>
              </w:rPr>
            </w:pPr>
            <w:r>
              <w:rPr>
                <w:sz w:val="22"/>
              </w:rPr>
              <w:t>695,17</w:t>
            </w:r>
          </w:p>
        </w:tc>
        <w:tc>
          <w:tcPr>
            <w:tcW w:w="475" w:type="dxa"/>
          </w:tcPr>
          <w:p>
            <w:pPr/>
          </w:p>
        </w:tc>
        <w:tc>
          <w:tcPr>
            <w:tcW w:w="1044" w:type="dxa"/>
          </w:tcPr>
          <w:p>
            <w:pPr/>
          </w:p>
        </w:tc>
        <w:tc>
          <w:tcPr>
            <w:tcW w:w="1150" w:type="dxa"/>
          </w:tcPr>
          <w:p>
            <w:pPr>
              <w:pStyle w:val="TableParagraph"/>
              <w:spacing w:before="9"/>
              <w:ind w:left="403"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78" w:type="dxa"/>
          </w:tcPr>
          <w:p>
            <w:pPr>
              <w:pStyle w:val="TableParagraph"/>
              <w:spacing w:before="21"/>
              <w:ind w:right="63"/>
              <w:rPr>
                <w:sz w:val="22"/>
              </w:rPr>
            </w:pPr>
            <w:r>
              <w:rPr>
                <w:sz w:val="22"/>
              </w:rPr>
              <w:t>556,5894</w:t>
            </w:r>
          </w:p>
        </w:tc>
        <w:tc>
          <w:tcPr>
            <w:tcW w:w="1447" w:type="dxa"/>
          </w:tcPr>
          <w:p>
            <w:pPr/>
          </w:p>
        </w:tc>
        <w:tc>
          <w:tcPr>
            <w:tcW w:w="1529" w:type="dxa"/>
          </w:tcPr>
          <w:p>
            <w:pPr>
              <w:pStyle w:val="TableParagraph"/>
              <w:spacing w:before="21"/>
              <w:rPr>
                <w:sz w:val="22"/>
              </w:rPr>
            </w:pPr>
            <w:r>
              <w:rPr>
                <w:sz w:val="22"/>
              </w:rPr>
              <w:t>75,6685</w:t>
            </w:r>
          </w:p>
        </w:tc>
        <w:tc>
          <w:tcPr>
            <w:tcW w:w="1555" w:type="dxa"/>
          </w:tcPr>
          <w:p>
            <w:pPr>
              <w:pStyle w:val="TableParagraph"/>
              <w:spacing w:before="21"/>
              <w:rPr>
                <w:sz w:val="22"/>
              </w:rPr>
            </w:pPr>
            <w:r>
              <w:rPr>
                <w:sz w:val="22"/>
              </w:rPr>
              <w:t>0,000156579</w:t>
            </w:r>
          </w:p>
        </w:tc>
      </w:tr>
      <w:tr>
        <w:trPr>
          <w:trHeight w:val="310" w:hRule="exact"/>
        </w:trPr>
        <w:tc>
          <w:tcPr>
            <w:tcW w:w="5426" w:type="dxa"/>
            <w:gridSpan w:val="6"/>
            <w:vMerge w:val="restart"/>
            <w:tcBorders>
              <w:left w:val="nil"/>
            </w:tcBorders>
          </w:tcPr>
          <w:p>
            <w:pPr/>
          </w:p>
        </w:tc>
        <w:tc>
          <w:tcPr>
            <w:tcW w:w="2976" w:type="dxa"/>
            <w:gridSpan w:val="2"/>
          </w:tcPr>
          <w:p>
            <w:pPr>
              <w:pStyle w:val="TableParagraph"/>
              <w:spacing w:before="19"/>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55" w:type="dxa"/>
          </w:tcPr>
          <w:p>
            <w:pPr>
              <w:pStyle w:val="TableParagraph"/>
              <w:spacing w:before="19"/>
              <w:rPr>
                <w:b/>
                <w:sz w:val="22"/>
              </w:rPr>
            </w:pPr>
            <w:r>
              <w:rPr>
                <w:b/>
                <w:sz w:val="22"/>
              </w:rPr>
              <w:t>0,801</w:t>
            </w:r>
          </w:p>
        </w:tc>
      </w:tr>
      <w:tr>
        <w:trPr>
          <w:trHeight w:val="310" w:hRule="exact"/>
        </w:trPr>
        <w:tc>
          <w:tcPr>
            <w:tcW w:w="5426" w:type="dxa"/>
            <w:gridSpan w:val="6"/>
            <w:vMerge/>
            <w:tcBorders>
              <w:left w:val="nil"/>
            </w:tcBorders>
          </w:tcPr>
          <w:p>
            <w:pPr/>
          </w:p>
        </w:tc>
        <w:tc>
          <w:tcPr>
            <w:tcW w:w="2976" w:type="dxa"/>
            <w:gridSpan w:val="2"/>
          </w:tcPr>
          <w:p>
            <w:pPr>
              <w:pStyle w:val="TableParagraph"/>
              <w:spacing w:before="19"/>
              <w:ind w:left="64" w:right="0"/>
              <w:jc w:val="left"/>
              <w:rPr>
                <w:sz w:val="22"/>
              </w:rPr>
            </w:pPr>
            <w:r>
              <w:rPr>
                <w:sz w:val="22"/>
              </w:rPr>
              <w:t>Desviación estándar</w:t>
            </w:r>
          </w:p>
        </w:tc>
        <w:tc>
          <w:tcPr>
            <w:tcW w:w="1555" w:type="dxa"/>
          </w:tcPr>
          <w:p>
            <w:pPr>
              <w:pStyle w:val="TableParagraph"/>
              <w:spacing w:before="19"/>
              <w:rPr>
                <w:b/>
                <w:sz w:val="22"/>
              </w:rPr>
            </w:pPr>
            <w:r>
              <w:rPr>
                <w:b/>
                <w:sz w:val="22"/>
              </w:rPr>
              <w:t>0,0125</w:t>
            </w:r>
          </w:p>
        </w:tc>
      </w:tr>
      <w:tr>
        <w:trPr>
          <w:trHeight w:val="310" w:hRule="exact"/>
        </w:trPr>
        <w:tc>
          <w:tcPr>
            <w:tcW w:w="5426" w:type="dxa"/>
            <w:gridSpan w:val="6"/>
            <w:vMerge/>
            <w:tcBorders>
              <w:left w:val="nil"/>
            </w:tcBorders>
          </w:tcPr>
          <w:p>
            <w:pPr/>
          </w:p>
        </w:tc>
        <w:tc>
          <w:tcPr>
            <w:tcW w:w="2976" w:type="dxa"/>
            <w:gridSpan w:val="2"/>
            <w:vMerge w:val="restart"/>
          </w:tcPr>
          <w:p>
            <w:pPr>
              <w:pStyle w:val="TableParagraph"/>
              <w:spacing w:before="158"/>
              <w:ind w:left="64" w:right="0"/>
              <w:jc w:val="left"/>
              <w:rPr>
                <w:sz w:val="22"/>
              </w:rPr>
            </w:pPr>
            <w:r>
              <w:rPr>
                <w:sz w:val="22"/>
              </w:rPr>
              <w:t>Intervalo de confianza al 95 %</w:t>
            </w:r>
          </w:p>
        </w:tc>
        <w:tc>
          <w:tcPr>
            <w:tcW w:w="1555" w:type="dxa"/>
          </w:tcPr>
          <w:p>
            <w:pPr>
              <w:pStyle w:val="TableParagraph"/>
              <w:spacing w:before="19"/>
              <w:rPr>
                <w:sz w:val="22"/>
              </w:rPr>
            </w:pPr>
            <w:r>
              <w:rPr>
                <w:sz w:val="22"/>
              </w:rPr>
              <w:t>0,78</w:t>
            </w:r>
          </w:p>
        </w:tc>
      </w:tr>
      <w:tr>
        <w:trPr>
          <w:trHeight w:val="310" w:hRule="exact"/>
        </w:trPr>
        <w:tc>
          <w:tcPr>
            <w:tcW w:w="5426" w:type="dxa"/>
            <w:gridSpan w:val="6"/>
            <w:vMerge/>
            <w:tcBorders>
              <w:left w:val="nil"/>
              <w:bottom w:val="nil"/>
            </w:tcBorders>
          </w:tcPr>
          <w:p>
            <w:pPr/>
          </w:p>
        </w:tc>
        <w:tc>
          <w:tcPr>
            <w:tcW w:w="2976" w:type="dxa"/>
            <w:gridSpan w:val="2"/>
            <w:vMerge/>
          </w:tcPr>
          <w:p>
            <w:pPr/>
          </w:p>
        </w:tc>
        <w:tc>
          <w:tcPr>
            <w:tcW w:w="1555" w:type="dxa"/>
          </w:tcPr>
          <w:p>
            <w:pPr>
              <w:pStyle w:val="TableParagraph"/>
              <w:spacing w:before="19"/>
              <w:rPr>
                <w:sz w:val="22"/>
              </w:rPr>
            </w:pPr>
            <w:r>
              <w:rPr>
                <w:sz w:val="22"/>
              </w:rPr>
              <w:t>0,83</w:t>
            </w:r>
          </w:p>
        </w:tc>
      </w:tr>
    </w:tbl>
    <w:p>
      <w:pPr>
        <w:pStyle w:val="BodyText"/>
        <w:spacing w:before="3"/>
        <w:rPr>
          <w:b/>
          <w:sz w:val="2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gridCol w:w="773"/>
        <w:gridCol w:w="475"/>
        <w:gridCol w:w="1044"/>
        <w:gridCol w:w="1150"/>
        <w:gridCol w:w="1178"/>
        <w:gridCol w:w="1447"/>
        <w:gridCol w:w="1529"/>
        <w:gridCol w:w="1555"/>
      </w:tblGrid>
      <w:tr>
        <w:trPr>
          <w:trHeight w:val="312" w:hRule="exact"/>
        </w:trPr>
        <w:tc>
          <w:tcPr>
            <w:tcW w:w="9958" w:type="dxa"/>
            <w:gridSpan w:val="9"/>
          </w:tcPr>
          <w:p>
            <w:pPr>
              <w:pStyle w:val="TableParagraph"/>
              <w:spacing w:before="30"/>
              <w:ind w:left="3998" w:right="3997"/>
              <w:jc w:val="center"/>
              <w:rPr>
                <w:sz w:val="22"/>
              </w:rPr>
            </w:pPr>
            <w:r>
              <w:rPr>
                <w:sz w:val="22"/>
              </w:rPr>
              <w:t>Punto de Muestreo B</w:t>
            </w:r>
          </w:p>
        </w:tc>
      </w:tr>
      <w:tr>
        <w:trPr>
          <w:trHeight w:val="310" w:hRule="exact"/>
        </w:trPr>
        <w:tc>
          <w:tcPr>
            <w:tcW w:w="806" w:type="dxa"/>
          </w:tcPr>
          <w:p>
            <w:pPr>
              <w:pStyle w:val="TableParagraph"/>
              <w:spacing w:before="11"/>
              <w:ind w:left="46" w:right="71"/>
              <w:jc w:val="center"/>
              <w:rPr>
                <w:sz w:val="22"/>
              </w:rPr>
            </w:pPr>
            <w:r>
              <w:rPr>
                <w:sz w:val="22"/>
              </w:rPr>
              <w:t>Estrato</w:t>
            </w:r>
          </w:p>
        </w:tc>
        <w:tc>
          <w:tcPr>
            <w:tcW w:w="773" w:type="dxa"/>
          </w:tcPr>
          <w:p>
            <w:pPr>
              <w:pStyle w:val="TableParagraph"/>
              <w:spacing w:before="40"/>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left="112" w:right="0"/>
              <w:jc w:val="left"/>
              <w:rPr>
                <w:rFonts w:ascii="Cambria Math"/>
                <w:sz w:val="16"/>
              </w:rPr>
            </w:pPr>
            <w:r>
              <w:rPr>
                <w:rFonts w:ascii="Cambria Math"/>
                <w:w w:val="110"/>
                <w:sz w:val="22"/>
              </w:rPr>
              <w:t>n</w:t>
            </w:r>
            <w:r>
              <w:rPr>
                <w:rFonts w:ascii="Cambria Math"/>
                <w:w w:val="110"/>
                <w:position w:val="-4"/>
                <w:sz w:val="16"/>
              </w:rPr>
              <w:t>h</w:t>
            </w:r>
          </w:p>
        </w:tc>
        <w:tc>
          <w:tcPr>
            <w:tcW w:w="1044" w:type="dxa"/>
          </w:tcPr>
          <w:p>
            <w:pPr>
              <w:pStyle w:val="TableParagraph"/>
              <w:spacing w:before="40"/>
              <w:ind w:left="33"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50" w:type="dxa"/>
          </w:tcPr>
          <w:p>
            <w:pPr>
              <w:pStyle w:val="TableParagraph"/>
              <w:spacing w:line="214" w:lineRule="exact" w:before="6"/>
              <w:ind w:left="379" w:right="38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78" w:type="dxa"/>
          </w:tcPr>
          <w:p>
            <w:pPr>
              <w:pStyle w:val="TableParagraph"/>
              <w:spacing w:before="16"/>
              <w:ind w:left="465" w:right="476"/>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447" w:type="dxa"/>
          </w:tcPr>
          <w:p>
            <w:pPr>
              <w:pStyle w:val="TableParagraph"/>
              <w:spacing w:before="40"/>
              <w:ind w:left="594" w:right="602"/>
              <w:jc w:val="center"/>
              <w:rPr>
                <w:rFonts w:ascii="Cambria Math"/>
                <w:sz w:val="16"/>
              </w:rPr>
            </w:pPr>
            <w:r>
              <w:rPr>
                <w:rFonts w:ascii="Cambria Math"/>
                <w:w w:val="110"/>
                <w:sz w:val="22"/>
              </w:rPr>
              <w:t>s</w:t>
            </w:r>
            <w:r>
              <w:rPr>
                <w:rFonts w:ascii="Cambria Math"/>
                <w:w w:val="110"/>
                <w:position w:val="-4"/>
                <w:sz w:val="16"/>
              </w:rPr>
              <w:t>h</w:t>
            </w:r>
          </w:p>
        </w:tc>
        <w:tc>
          <w:tcPr>
            <w:tcW w:w="1529" w:type="dxa"/>
          </w:tcPr>
          <w:p>
            <w:pPr>
              <w:pStyle w:val="TableParagraph"/>
              <w:spacing w:before="0"/>
              <w:ind w:left="42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55" w:type="dxa"/>
          </w:tcPr>
          <w:p>
            <w:pPr>
              <w:pStyle w:val="TableParagraph"/>
              <w:spacing w:before="0"/>
              <w:ind w:left="42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06" w:type="dxa"/>
          </w:tcPr>
          <w:p>
            <w:pPr>
              <w:pStyle w:val="TableParagraph"/>
              <w:ind w:left="1" w:right="0"/>
              <w:jc w:val="center"/>
              <w:rPr>
                <w:sz w:val="22"/>
              </w:rPr>
            </w:pPr>
            <w:r>
              <w:rPr>
                <w:w w:val="100"/>
                <w:sz w:val="22"/>
              </w:rPr>
              <w:t>1</w:t>
            </w:r>
          </w:p>
        </w:tc>
        <w:tc>
          <w:tcPr>
            <w:tcW w:w="773" w:type="dxa"/>
          </w:tcPr>
          <w:p>
            <w:pPr>
              <w:pStyle w:val="TableParagraph"/>
              <w:ind w:left="66" w:right="43"/>
              <w:jc w:val="center"/>
              <w:rPr>
                <w:sz w:val="22"/>
              </w:rPr>
            </w:pPr>
            <w:r>
              <w:rPr>
                <w:sz w:val="22"/>
              </w:rPr>
              <w:t>108,60</w:t>
            </w:r>
          </w:p>
        </w:tc>
        <w:tc>
          <w:tcPr>
            <w:tcW w:w="475" w:type="dxa"/>
          </w:tcPr>
          <w:p>
            <w:pPr>
              <w:pStyle w:val="TableParagraph"/>
              <w:ind w:left="67" w:right="0"/>
              <w:jc w:val="left"/>
              <w:rPr>
                <w:sz w:val="22"/>
              </w:rPr>
            </w:pPr>
            <w:r>
              <w:rPr>
                <w:sz w:val="22"/>
              </w:rPr>
              <w:t>108</w:t>
            </w:r>
          </w:p>
        </w:tc>
        <w:tc>
          <w:tcPr>
            <w:tcW w:w="1044" w:type="dxa"/>
          </w:tcPr>
          <w:p>
            <w:pPr>
              <w:pStyle w:val="TableParagraph"/>
              <w:ind w:left="115" w:right="44"/>
              <w:jc w:val="center"/>
              <w:rPr>
                <w:sz w:val="22"/>
              </w:rPr>
            </w:pPr>
            <w:r>
              <w:rPr>
                <w:sz w:val="22"/>
              </w:rPr>
              <w:t>0,316000</w:t>
            </w:r>
          </w:p>
        </w:tc>
        <w:tc>
          <w:tcPr>
            <w:tcW w:w="1150" w:type="dxa"/>
          </w:tcPr>
          <w:p>
            <w:pPr>
              <w:pStyle w:val="TableParagraph"/>
              <w:rPr>
                <w:sz w:val="22"/>
              </w:rPr>
            </w:pPr>
            <w:r>
              <w:rPr>
                <w:sz w:val="22"/>
              </w:rPr>
              <w:t>0,03608</w:t>
            </w:r>
          </w:p>
        </w:tc>
        <w:tc>
          <w:tcPr>
            <w:tcW w:w="1178" w:type="dxa"/>
          </w:tcPr>
          <w:p>
            <w:pPr>
              <w:pStyle w:val="TableParagraph"/>
              <w:ind w:right="63"/>
              <w:rPr>
                <w:sz w:val="22"/>
              </w:rPr>
            </w:pPr>
            <w:r>
              <w:rPr>
                <w:sz w:val="22"/>
              </w:rPr>
              <w:t>34,3176</w:t>
            </w:r>
          </w:p>
        </w:tc>
        <w:tc>
          <w:tcPr>
            <w:tcW w:w="1447" w:type="dxa"/>
          </w:tcPr>
          <w:p>
            <w:pPr>
              <w:pStyle w:val="TableParagraph"/>
              <w:rPr>
                <w:sz w:val="22"/>
              </w:rPr>
            </w:pPr>
            <w:r>
              <w:rPr>
                <w:sz w:val="22"/>
              </w:rPr>
              <w:t>0,189947361</w:t>
            </w:r>
          </w:p>
        </w:tc>
        <w:tc>
          <w:tcPr>
            <w:tcW w:w="1529" w:type="dxa"/>
          </w:tcPr>
          <w:p>
            <w:pPr>
              <w:pStyle w:val="TableParagraph"/>
              <w:rPr>
                <w:sz w:val="22"/>
              </w:rPr>
            </w:pPr>
            <w:r>
              <w:rPr>
                <w:sz w:val="22"/>
              </w:rPr>
              <w:t>-1,317272861</w:t>
            </w:r>
          </w:p>
        </w:tc>
        <w:tc>
          <w:tcPr>
            <w:tcW w:w="1555" w:type="dxa"/>
          </w:tcPr>
          <w:p>
            <w:pPr>
              <w:pStyle w:val="TableParagraph"/>
              <w:rPr>
                <w:sz w:val="22"/>
              </w:rPr>
            </w:pPr>
            <w:r>
              <w:rPr>
                <w:sz w:val="22"/>
              </w:rPr>
              <w:t>-2,7258E-06</w:t>
            </w:r>
          </w:p>
        </w:tc>
      </w:tr>
      <w:tr>
        <w:trPr>
          <w:trHeight w:val="310" w:hRule="exact"/>
        </w:trPr>
        <w:tc>
          <w:tcPr>
            <w:tcW w:w="806" w:type="dxa"/>
          </w:tcPr>
          <w:p>
            <w:pPr>
              <w:pStyle w:val="TableParagraph"/>
              <w:ind w:left="1" w:right="0"/>
              <w:jc w:val="center"/>
              <w:rPr>
                <w:sz w:val="22"/>
              </w:rPr>
            </w:pPr>
            <w:r>
              <w:rPr>
                <w:w w:val="100"/>
                <w:sz w:val="22"/>
              </w:rPr>
              <w:t>2</w:t>
            </w:r>
          </w:p>
        </w:tc>
        <w:tc>
          <w:tcPr>
            <w:tcW w:w="773" w:type="dxa"/>
          </w:tcPr>
          <w:p>
            <w:pPr>
              <w:pStyle w:val="TableParagraph"/>
              <w:ind w:left="66" w:right="43"/>
              <w:jc w:val="center"/>
              <w:rPr>
                <w:sz w:val="22"/>
              </w:rPr>
            </w:pPr>
            <w:r>
              <w:rPr>
                <w:sz w:val="22"/>
              </w:rPr>
              <w:t>121,03</w:t>
            </w:r>
          </w:p>
        </w:tc>
        <w:tc>
          <w:tcPr>
            <w:tcW w:w="475" w:type="dxa"/>
          </w:tcPr>
          <w:p>
            <w:pPr>
              <w:pStyle w:val="TableParagraph"/>
              <w:rPr>
                <w:sz w:val="22"/>
              </w:rPr>
            </w:pPr>
            <w:r>
              <w:rPr>
                <w:sz w:val="22"/>
              </w:rPr>
              <w:t>81</w:t>
            </w:r>
          </w:p>
        </w:tc>
        <w:tc>
          <w:tcPr>
            <w:tcW w:w="1044" w:type="dxa"/>
          </w:tcPr>
          <w:p>
            <w:pPr>
              <w:pStyle w:val="TableParagraph"/>
              <w:ind w:left="115" w:right="44"/>
              <w:jc w:val="center"/>
              <w:rPr>
                <w:sz w:val="22"/>
              </w:rPr>
            </w:pPr>
            <w:r>
              <w:rPr>
                <w:sz w:val="22"/>
              </w:rPr>
              <w:t>1,418000</w:t>
            </w:r>
          </w:p>
        </w:tc>
        <w:tc>
          <w:tcPr>
            <w:tcW w:w="1150" w:type="dxa"/>
          </w:tcPr>
          <w:p>
            <w:pPr>
              <w:pStyle w:val="TableParagraph"/>
              <w:rPr>
                <w:sz w:val="22"/>
              </w:rPr>
            </w:pPr>
            <w:r>
              <w:rPr>
                <w:sz w:val="22"/>
              </w:rPr>
              <w:t>1,18512</w:t>
            </w:r>
          </w:p>
        </w:tc>
        <w:tc>
          <w:tcPr>
            <w:tcW w:w="1178" w:type="dxa"/>
          </w:tcPr>
          <w:p>
            <w:pPr>
              <w:pStyle w:val="TableParagraph"/>
              <w:ind w:right="63"/>
              <w:rPr>
                <w:sz w:val="22"/>
              </w:rPr>
            </w:pPr>
            <w:r>
              <w:rPr>
                <w:sz w:val="22"/>
              </w:rPr>
              <w:t>171,62054</w:t>
            </w:r>
          </w:p>
        </w:tc>
        <w:tc>
          <w:tcPr>
            <w:tcW w:w="1447" w:type="dxa"/>
          </w:tcPr>
          <w:p>
            <w:pPr>
              <w:pStyle w:val="TableParagraph"/>
              <w:rPr>
                <w:sz w:val="22"/>
              </w:rPr>
            </w:pPr>
            <w:r>
              <w:rPr>
                <w:sz w:val="22"/>
              </w:rPr>
              <w:t>1,088632169</w:t>
            </w:r>
          </w:p>
        </w:tc>
        <w:tc>
          <w:tcPr>
            <w:tcW w:w="1529" w:type="dxa"/>
          </w:tcPr>
          <w:p>
            <w:pPr>
              <w:pStyle w:val="TableParagraph"/>
              <w:rPr>
                <w:sz w:val="22"/>
              </w:rPr>
            </w:pPr>
            <w:r>
              <w:rPr>
                <w:sz w:val="22"/>
              </w:rPr>
              <w:t>70,9911487</w:t>
            </w:r>
          </w:p>
        </w:tc>
        <w:tc>
          <w:tcPr>
            <w:tcW w:w="1555" w:type="dxa"/>
          </w:tcPr>
          <w:p>
            <w:pPr>
              <w:pStyle w:val="TableParagraph"/>
              <w:rPr>
                <w:sz w:val="22"/>
              </w:rPr>
            </w:pPr>
            <w:r>
              <w:rPr>
                <w:sz w:val="22"/>
              </w:rPr>
              <w:t>0,0001469</w:t>
            </w:r>
          </w:p>
        </w:tc>
      </w:tr>
      <w:tr>
        <w:trPr>
          <w:trHeight w:val="310" w:hRule="exact"/>
        </w:trPr>
        <w:tc>
          <w:tcPr>
            <w:tcW w:w="806" w:type="dxa"/>
          </w:tcPr>
          <w:p>
            <w:pPr>
              <w:pStyle w:val="TableParagraph"/>
              <w:ind w:left="1" w:right="0"/>
              <w:jc w:val="center"/>
              <w:rPr>
                <w:sz w:val="22"/>
              </w:rPr>
            </w:pPr>
            <w:r>
              <w:rPr>
                <w:w w:val="100"/>
                <w:sz w:val="22"/>
              </w:rPr>
              <w:t>3</w:t>
            </w:r>
          </w:p>
        </w:tc>
        <w:tc>
          <w:tcPr>
            <w:tcW w:w="773" w:type="dxa"/>
          </w:tcPr>
          <w:p>
            <w:pPr>
              <w:pStyle w:val="TableParagraph"/>
              <w:ind w:left="66" w:right="43"/>
              <w:jc w:val="center"/>
              <w:rPr>
                <w:sz w:val="22"/>
              </w:rPr>
            </w:pPr>
            <w:r>
              <w:rPr>
                <w:sz w:val="22"/>
              </w:rPr>
              <w:t>130,21</w:t>
            </w:r>
          </w:p>
        </w:tc>
        <w:tc>
          <w:tcPr>
            <w:tcW w:w="475" w:type="dxa"/>
          </w:tcPr>
          <w:p>
            <w:pPr>
              <w:pStyle w:val="TableParagraph"/>
              <w:rPr>
                <w:sz w:val="22"/>
              </w:rPr>
            </w:pPr>
            <w:r>
              <w:rPr>
                <w:sz w:val="22"/>
              </w:rPr>
              <w:t>77</w:t>
            </w:r>
          </w:p>
        </w:tc>
        <w:tc>
          <w:tcPr>
            <w:tcW w:w="1044" w:type="dxa"/>
          </w:tcPr>
          <w:p>
            <w:pPr>
              <w:pStyle w:val="TableParagraph"/>
              <w:ind w:left="115" w:right="44"/>
              <w:jc w:val="center"/>
              <w:rPr>
                <w:sz w:val="22"/>
              </w:rPr>
            </w:pPr>
            <w:r>
              <w:rPr>
                <w:sz w:val="22"/>
              </w:rPr>
              <w:t>0,558000</w:t>
            </w:r>
          </w:p>
        </w:tc>
        <w:tc>
          <w:tcPr>
            <w:tcW w:w="1150" w:type="dxa"/>
          </w:tcPr>
          <w:p>
            <w:pPr>
              <w:pStyle w:val="TableParagraph"/>
              <w:rPr>
                <w:sz w:val="22"/>
              </w:rPr>
            </w:pPr>
            <w:r>
              <w:rPr>
                <w:sz w:val="22"/>
              </w:rPr>
              <w:t>0,02287</w:t>
            </w:r>
          </w:p>
        </w:tc>
        <w:tc>
          <w:tcPr>
            <w:tcW w:w="1178" w:type="dxa"/>
          </w:tcPr>
          <w:p>
            <w:pPr>
              <w:pStyle w:val="TableParagraph"/>
              <w:ind w:right="63"/>
              <w:rPr>
                <w:sz w:val="22"/>
              </w:rPr>
            </w:pPr>
            <w:r>
              <w:rPr>
                <w:sz w:val="22"/>
              </w:rPr>
              <w:t>72,65718</w:t>
            </w:r>
          </w:p>
        </w:tc>
        <w:tc>
          <w:tcPr>
            <w:tcW w:w="1447" w:type="dxa"/>
          </w:tcPr>
          <w:p>
            <w:pPr>
              <w:pStyle w:val="TableParagraph"/>
              <w:rPr>
                <w:sz w:val="22"/>
              </w:rPr>
            </w:pPr>
            <w:r>
              <w:rPr>
                <w:sz w:val="22"/>
              </w:rPr>
              <w:t>0,151228304</w:t>
            </w:r>
          </w:p>
        </w:tc>
        <w:tc>
          <w:tcPr>
            <w:tcW w:w="1529" w:type="dxa"/>
          </w:tcPr>
          <w:p>
            <w:pPr>
              <w:pStyle w:val="TableParagraph"/>
              <w:rPr>
                <w:sz w:val="22"/>
              </w:rPr>
            </w:pPr>
            <w:r>
              <w:rPr>
                <w:sz w:val="22"/>
              </w:rPr>
              <w:t>2,088111287</w:t>
            </w:r>
          </w:p>
        </w:tc>
        <w:tc>
          <w:tcPr>
            <w:tcW w:w="1555" w:type="dxa"/>
          </w:tcPr>
          <w:p>
            <w:pPr>
              <w:pStyle w:val="TableParagraph"/>
              <w:rPr>
                <w:sz w:val="22"/>
              </w:rPr>
            </w:pPr>
            <w:r>
              <w:rPr>
                <w:sz w:val="22"/>
              </w:rPr>
              <w:t>4,32087E-06</w:t>
            </w:r>
          </w:p>
        </w:tc>
      </w:tr>
      <w:tr>
        <w:trPr>
          <w:trHeight w:val="310" w:hRule="exact"/>
        </w:trPr>
        <w:tc>
          <w:tcPr>
            <w:tcW w:w="806" w:type="dxa"/>
          </w:tcPr>
          <w:p>
            <w:pPr>
              <w:pStyle w:val="TableParagraph"/>
              <w:ind w:left="1" w:right="0"/>
              <w:jc w:val="center"/>
              <w:rPr>
                <w:sz w:val="22"/>
              </w:rPr>
            </w:pPr>
            <w:r>
              <w:rPr>
                <w:w w:val="100"/>
                <w:sz w:val="22"/>
              </w:rPr>
              <w:t>4</w:t>
            </w:r>
          </w:p>
        </w:tc>
        <w:tc>
          <w:tcPr>
            <w:tcW w:w="773" w:type="dxa"/>
          </w:tcPr>
          <w:p>
            <w:pPr>
              <w:pStyle w:val="TableParagraph"/>
              <w:ind w:left="66" w:right="43"/>
              <w:jc w:val="center"/>
              <w:rPr>
                <w:sz w:val="22"/>
              </w:rPr>
            </w:pPr>
            <w:r>
              <w:rPr>
                <w:sz w:val="22"/>
              </w:rPr>
              <w:t>155,12</w:t>
            </w:r>
          </w:p>
        </w:tc>
        <w:tc>
          <w:tcPr>
            <w:tcW w:w="475" w:type="dxa"/>
          </w:tcPr>
          <w:p>
            <w:pPr>
              <w:pStyle w:val="TableParagraph"/>
              <w:rPr>
                <w:sz w:val="22"/>
              </w:rPr>
            </w:pPr>
            <w:r>
              <w:rPr>
                <w:sz w:val="22"/>
              </w:rPr>
              <w:t>92</w:t>
            </w:r>
          </w:p>
        </w:tc>
        <w:tc>
          <w:tcPr>
            <w:tcW w:w="1044" w:type="dxa"/>
          </w:tcPr>
          <w:p>
            <w:pPr>
              <w:pStyle w:val="TableParagraph"/>
              <w:ind w:left="115" w:right="44"/>
              <w:jc w:val="center"/>
              <w:rPr>
                <w:sz w:val="22"/>
              </w:rPr>
            </w:pPr>
            <w:r>
              <w:rPr>
                <w:sz w:val="22"/>
              </w:rPr>
              <w:t>0,380000</w:t>
            </w:r>
          </w:p>
        </w:tc>
        <w:tc>
          <w:tcPr>
            <w:tcW w:w="1150" w:type="dxa"/>
          </w:tcPr>
          <w:p>
            <w:pPr>
              <w:pStyle w:val="TableParagraph"/>
              <w:rPr>
                <w:sz w:val="22"/>
              </w:rPr>
            </w:pPr>
            <w:r>
              <w:rPr>
                <w:sz w:val="22"/>
              </w:rPr>
              <w:t>0,00775</w:t>
            </w:r>
          </w:p>
        </w:tc>
        <w:tc>
          <w:tcPr>
            <w:tcW w:w="1178" w:type="dxa"/>
          </w:tcPr>
          <w:p>
            <w:pPr>
              <w:pStyle w:val="TableParagraph"/>
              <w:ind w:right="63"/>
              <w:rPr>
                <w:sz w:val="22"/>
              </w:rPr>
            </w:pPr>
            <w:r>
              <w:rPr>
                <w:sz w:val="22"/>
              </w:rPr>
              <w:t>58,9456</w:t>
            </w:r>
          </w:p>
        </w:tc>
        <w:tc>
          <w:tcPr>
            <w:tcW w:w="1447" w:type="dxa"/>
          </w:tcPr>
          <w:p>
            <w:pPr>
              <w:pStyle w:val="TableParagraph"/>
              <w:rPr>
                <w:sz w:val="22"/>
              </w:rPr>
            </w:pPr>
            <w:r>
              <w:rPr>
                <w:sz w:val="22"/>
              </w:rPr>
              <w:t>0,088034084</w:t>
            </w:r>
          </w:p>
        </w:tc>
        <w:tc>
          <w:tcPr>
            <w:tcW w:w="1529" w:type="dxa"/>
          </w:tcPr>
          <w:p>
            <w:pPr>
              <w:pStyle w:val="TableParagraph"/>
              <w:rPr>
                <w:sz w:val="22"/>
              </w:rPr>
            </w:pPr>
            <w:r>
              <w:rPr>
                <w:sz w:val="22"/>
              </w:rPr>
              <w:t>0,828994835</w:t>
            </w:r>
          </w:p>
        </w:tc>
        <w:tc>
          <w:tcPr>
            <w:tcW w:w="1555" w:type="dxa"/>
          </w:tcPr>
          <w:p>
            <w:pPr>
              <w:pStyle w:val="TableParagraph"/>
              <w:rPr>
                <w:sz w:val="22"/>
              </w:rPr>
            </w:pPr>
            <w:r>
              <w:rPr>
                <w:sz w:val="22"/>
              </w:rPr>
              <w:t>1,71542E-06</w:t>
            </w:r>
          </w:p>
        </w:tc>
      </w:tr>
      <w:tr>
        <w:trPr>
          <w:trHeight w:val="312" w:hRule="exact"/>
        </w:trPr>
        <w:tc>
          <w:tcPr>
            <w:tcW w:w="806" w:type="dxa"/>
          </w:tcPr>
          <w:p>
            <w:pPr>
              <w:pStyle w:val="TableParagraph"/>
              <w:spacing w:before="30"/>
              <w:ind w:left="1" w:right="0"/>
              <w:jc w:val="center"/>
              <w:rPr>
                <w:sz w:val="22"/>
              </w:rPr>
            </w:pPr>
            <w:r>
              <w:rPr>
                <w:w w:val="100"/>
                <w:sz w:val="22"/>
              </w:rPr>
              <w:t>5</w:t>
            </w:r>
          </w:p>
        </w:tc>
        <w:tc>
          <w:tcPr>
            <w:tcW w:w="773" w:type="dxa"/>
          </w:tcPr>
          <w:p>
            <w:pPr>
              <w:pStyle w:val="TableParagraph"/>
              <w:spacing w:before="30"/>
              <w:ind w:left="66" w:right="43"/>
              <w:jc w:val="center"/>
              <w:rPr>
                <w:sz w:val="22"/>
              </w:rPr>
            </w:pPr>
            <w:r>
              <w:rPr>
                <w:sz w:val="22"/>
              </w:rPr>
              <w:t>180,21</w:t>
            </w:r>
          </w:p>
        </w:tc>
        <w:tc>
          <w:tcPr>
            <w:tcW w:w="475" w:type="dxa"/>
          </w:tcPr>
          <w:p>
            <w:pPr>
              <w:pStyle w:val="TableParagraph"/>
              <w:spacing w:before="30"/>
              <w:ind w:left="67" w:right="0"/>
              <w:jc w:val="left"/>
              <w:rPr>
                <w:sz w:val="22"/>
              </w:rPr>
            </w:pPr>
            <w:r>
              <w:rPr>
                <w:sz w:val="22"/>
              </w:rPr>
              <w:t>132</w:t>
            </w:r>
          </w:p>
        </w:tc>
        <w:tc>
          <w:tcPr>
            <w:tcW w:w="1044" w:type="dxa"/>
          </w:tcPr>
          <w:p>
            <w:pPr>
              <w:pStyle w:val="TableParagraph"/>
              <w:spacing w:before="30"/>
              <w:ind w:left="115" w:right="44"/>
              <w:jc w:val="center"/>
              <w:rPr>
                <w:sz w:val="22"/>
              </w:rPr>
            </w:pPr>
            <w:r>
              <w:rPr>
                <w:sz w:val="22"/>
              </w:rPr>
              <w:t>0,670000</w:t>
            </w:r>
          </w:p>
        </w:tc>
        <w:tc>
          <w:tcPr>
            <w:tcW w:w="1150" w:type="dxa"/>
          </w:tcPr>
          <w:p>
            <w:pPr>
              <w:pStyle w:val="TableParagraph"/>
              <w:spacing w:before="30"/>
              <w:rPr>
                <w:sz w:val="22"/>
              </w:rPr>
            </w:pPr>
            <w:r>
              <w:rPr>
                <w:sz w:val="22"/>
              </w:rPr>
              <w:t>0,02132</w:t>
            </w:r>
          </w:p>
        </w:tc>
        <w:tc>
          <w:tcPr>
            <w:tcW w:w="1178" w:type="dxa"/>
          </w:tcPr>
          <w:p>
            <w:pPr>
              <w:pStyle w:val="TableParagraph"/>
              <w:spacing w:before="30"/>
              <w:ind w:right="63"/>
              <w:rPr>
                <w:sz w:val="22"/>
              </w:rPr>
            </w:pPr>
            <w:r>
              <w:rPr>
                <w:sz w:val="22"/>
              </w:rPr>
              <w:t>120,7407</w:t>
            </w:r>
          </w:p>
        </w:tc>
        <w:tc>
          <w:tcPr>
            <w:tcW w:w="1447" w:type="dxa"/>
          </w:tcPr>
          <w:p>
            <w:pPr>
              <w:pStyle w:val="TableParagraph"/>
              <w:spacing w:before="30"/>
              <w:rPr>
                <w:sz w:val="22"/>
              </w:rPr>
            </w:pPr>
            <w:r>
              <w:rPr>
                <w:sz w:val="22"/>
              </w:rPr>
              <w:t>0,146013698</w:t>
            </w:r>
          </w:p>
        </w:tc>
        <w:tc>
          <w:tcPr>
            <w:tcW w:w="1529" w:type="dxa"/>
          </w:tcPr>
          <w:p>
            <w:pPr>
              <w:pStyle w:val="TableParagraph"/>
              <w:spacing w:before="30"/>
              <w:rPr>
                <w:sz w:val="22"/>
              </w:rPr>
            </w:pPr>
            <w:r>
              <w:rPr>
                <w:sz w:val="22"/>
              </w:rPr>
              <w:t>1,401642371</w:t>
            </w:r>
          </w:p>
        </w:tc>
        <w:tc>
          <w:tcPr>
            <w:tcW w:w="1555" w:type="dxa"/>
          </w:tcPr>
          <w:p>
            <w:pPr>
              <w:pStyle w:val="TableParagraph"/>
              <w:spacing w:before="30"/>
              <w:rPr>
                <w:sz w:val="22"/>
              </w:rPr>
            </w:pPr>
            <w:r>
              <w:rPr>
                <w:sz w:val="22"/>
              </w:rPr>
              <w:t>2,90038E-06</w:t>
            </w:r>
          </w:p>
        </w:tc>
      </w:tr>
      <w:tr>
        <w:trPr>
          <w:trHeight w:val="310" w:hRule="exact"/>
        </w:trPr>
        <w:tc>
          <w:tcPr>
            <w:tcW w:w="806" w:type="dxa"/>
          </w:tcPr>
          <w:p>
            <w:pPr>
              <w:pStyle w:val="TableParagraph"/>
              <w:ind w:right="1"/>
              <w:jc w:val="center"/>
              <w:rPr>
                <w:sz w:val="22"/>
              </w:rPr>
            </w:pPr>
            <w:r>
              <w:rPr>
                <w:w w:val="100"/>
                <w:sz w:val="22"/>
              </w:rPr>
              <w:t>N</w:t>
            </w:r>
          </w:p>
        </w:tc>
        <w:tc>
          <w:tcPr>
            <w:tcW w:w="773" w:type="dxa"/>
          </w:tcPr>
          <w:p>
            <w:pPr>
              <w:pStyle w:val="TableParagraph"/>
              <w:ind w:left="66" w:right="43"/>
              <w:jc w:val="center"/>
              <w:rPr>
                <w:sz w:val="22"/>
              </w:rPr>
            </w:pPr>
            <w:r>
              <w:rPr>
                <w:sz w:val="22"/>
              </w:rPr>
              <w:t>695,17</w:t>
            </w:r>
          </w:p>
        </w:tc>
        <w:tc>
          <w:tcPr>
            <w:tcW w:w="475" w:type="dxa"/>
          </w:tcPr>
          <w:p>
            <w:pPr/>
          </w:p>
        </w:tc>
        <w:tc>
          <w:tcPr>
            <w:tcW w:w="1044" w:type="dxa"/>
          </w:tcPr>
          <w:p>
            <w:pPr/>
          </w:p>
        </w:tc>
        <w:tc>
          <w:tcPr>
            <w:tcW w:w="1150" w:type="dxa"/>
          </w:tcPr>
          <w:p>
            <w:pPr>
              <w:pStyle w:val="TableParagraph"/>
              <w:spacing w:before="16"/>
              <w:ind w:left="379" w:right="390"/>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78" w:type="dxa"/>
          </w:tcPr>
          <w:p>
            <w:pPr>
              <w:pStyle w:val="TableParagraph"/>
              <w:ind w:right="63"/>
              <w:rPr>
                <w:sz w:val="22"/>
              </w:rPr>
            </w:pPr>
            <w:r>
              <w:rPr>
                <w:sz w:val="22"/>
              </w:rPr>
              <w:t>458,28162</w:t>
            </w:r>
          </w:p>
        </w:tc>
        <w:tc>
          <w:tcPr>
            <w:tcW w:w="1447" w:type="dxa"/>
          </w:tcPr>
          <w:p>
            <w:pPr/>
          </w:p>
        </w:tc>
        <w:tc>
          <w:tcPr>
            <w:tcW w:w="1529" w:type="dxa"/>
          </w:tcPr>
          <w:p>
            <w:pPr>
              <w:pStyle w:val="TableParagraph"/>
              <w:rPr>
                <w:sz w:val="22"/>
              </w:rPr>
            </w:pPr>
            <w:r>
              <w:rPr>
                <w:sz w:val="22"/>
              </w:rPr>
              <w:t>73,99262434</w:t>
            </w:r>
          </w:p>
        </w:tc>
        <w:tc>
          <w:tcPr>
            <w:tcW w:w="1555" w:type="dxa"/>
          </w:tcPr>
          <w:p>
            <w:pPr>
              <w:pStyle w:val="TableParagraph"/>
              <w:rPr>
                <w:sz w:val="22"/>
              </w:rPr>
            </w:pPr>
            <w:r>
              <w:rPr>
                <w:sz w:val="22"/>
              </w:rPr>
              <w:t>0,000153111</w:t>
            </w:r>
          </w:p>
        </w:tc>
      </w:tr>
      <w:tr>
        <w:trPr>
          <w:trHeight w:val="310" w:hRule="exact"/>
        </w:trPr>
        <w:tc>
          <w:tcPr>
            <w:tcW w:w="5426" w:type="dxa"/>
            <w:gridSpan w:val="6"/>
            <w:vMerge w:val="restart"/>
            <w:tcBorders>
              <w:left w:val="nil"/>
            </w:tcBorders>
          </w:tcPr>
          <w:p>
            <w:pPr/>
          </w:p>
        </w:tc>
        <w:tc>
          <w:tcPr>
            <w:tcW w:w="2976"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55" w:type="dxa"/>
          </w:tcPr>
          <w:p>
            <w:pPr>
              <w:pStyle w:val="TableParagraph"/>
              <w:rPr>
                <w:b/>
                <w:sz w:val="22"/>
              </w:rPr>
            </w:pPr>
            <w:r>
              <w:rPr>
                <w:b/>
                <w:sz w:val="22"/>
              </w:rPr>
              <w:t>0,659</w:t>
            </w:r>
          </w:p>
        </w:tc>
      </w:tr>
      <w:tr>
        <w:trPr>
          <w:trHeight w:val="310" w:hRule="exact"/>
        </w:trPr>
        <w:tc>
          <w:tcPr>
            <w:tcW w:w="5426" w:type="dxa"/>
            <w:gridSpan w:val="6"/>
            <w:vMerge/>
            <w:tcBorders>
              <w:left w:val="nil"/>
            </w:tcBorders>
          </w:tcPr>
          <w:p>
            <w:pPr/>
          </w:p>
        </w:tc>
        <w:tc>
          <w:tcPr>
            <w:tcW w:w="2976" w:type="dxa"/>
            <w:gridSpan w:val="2"/>
          </w:tcPr>
          <w:p>
            <w:pPr>
              <w:pStyle w:val="TableParagraph"/>
              <w:spacing w:before="13"/>
              <w:ind w:left="64" w:right="0"/>
              <w:jc w:val="left"/>
              <w:rPr>
                <w:sz w:val="22"/>
              </w:rPr>
            </w:pPr>
            <w:r>
              <w:rPr>
                <w:sz w:val="22"/>
              </w:rPr>
              <w:t>Desviación estándar</w:t>
            </w:r>
          </w:p>
        </w:tc>
        <w:tc>
          <w:tcPr>
            <w:tcW w:w="1555" w:type="dxa"/>
          </w:tcPr>
          <w:p>
            <w:pPr>
              <w:pStyle w:val="TableParagraph"/>
              <w:rPr>
                <w:b/>
                <w:sz w:val="22"/>
              </w:rPr>
            </w:pPr>
            <w:r>
              <w:rPr>
                <w:b/>
                <w:sz w:val="22"/>
              </w:rPr>
              <w:t>0,0124</w:t>
            </w:r>
          </w:p>
        </w:tc>
      </w:tr>
      <w:tr>
        <w:trPr>
          <w:trHeight w:val="310" w:hRule="exact"/>
        </w:trPr>
        <w:tc>
          <w:tcPr>
            <w:tcW w:w="5426" w:type="dxa"/>
            <w:gridSpan w:val="6"/>
            <w:vMerge/>
            <w:tcBorders>
              <w:left w:val="nil"/>
            </w:tcBorders>
          </w:tcPr>
          <w:p>
            <w:pPr/>
          </w:p>
        </w:tc>
        <w:tc>
          <w:tcPr>
            <w:tcW w:w="2976" w:type="dxa"/>
            <w:gridSpan w:val="2"/>
            <w:vMerge w:val="restart"/>
          </w:tcPr>
          <w:p>
            <w:pPr>
              <w:pStyle w:val="TableParagraph"/>
              <w:spacing w:before="167"/>
              <w:ind w:left="64" w:right="0"/>
              <w:jc w:val="left"/>
              <w:rPr>
                <w:sz w:val="22"/>
              </w:rPr>
            </w:pPr>
            <w:r>
              <w:rPr>
                <w:sz w:val="22"/>
              </w:rPr>
              <w:t>Intervalo de confianza al 95 %</w:t>
            </w:r>
          </w:p>
        </w:tc>
        <w:tc>
          <w:tcPr>
            <w:tcW w:w="1555" w:type="dxa"/>
          </w:tcPr>
          <w:p>
            <w:pPr>
              <w:pStyle w:val="TableParagraph"/>
              <w:rPr>
                <w:sz w:val="22"/>
              </w:rPr>
            </w:pPr>
            <w:r>
              <w:rPr>
                <w:sz w:val="22"/>
              </w:rPr>
              <w:t>0,63</w:t>
            </w:r>
          </w:p>
        </w:tc>
      </w:tr>
      <w:tr>
        <w:trPr>
          <w:trHeight w:val="310" w:hRule="exact"/>
        </w:trPr>
        <w:tc>
          <w:tcPr>
            <w:tcW w:w="5426" w:type="dxa"/>
            <w:gridSpan w:val="6"/>
            <w:vMerge/>
            <w:tcBorders>
              <w:left w:val="nil"/>
              <w:bottom w:val="nil"/>
            </w:tcBorders>
          </w:tcPr>
          <w:p>
            <w:pPr/>
          </w:p>
        </w:tc>
        <w:tc>
          <w:tcPr>
            <w:tcW w:w="2976" w:type="dxa"/>
            <w:gridSpan w:val="2"/>
            <w:vMerge/>
          </w:tcPr>
          <w:p>
            <w:pPr/>
          </w:p>
        </w:tc>
        <w:tc>
          <w:tcPr>
            <w:tcW w:w="1555" w:type="dxa"/>
          </w:tcPr>
          <w:p>
            <w:pPr>
              <w:pStyle w:val="TableParagraph"/>
              <w:rPr>
                <w:sz w:val="22"/>
              </w:rPr>
            </w:pPr>
            <w:r>
              <w:rPr>
                <w:sz w:val="22"/>
              </w:rPr>
              <w:t>0,68</w:t>
            </w:r>
          </w:p>
        </w:tc>
      </w:tr>
    </w:tbl>
    <w:p>
      <w:pPr>
        <w:pStyle w:val="BodyText"/>
        <w:spacing w:before="3"/>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gridCol w:w="773"/>
        <w:gridCol w:w="475"/>
        <w:gridCol w:w="1044"/>
        <w:gridCol w:w="1150"/>
        <w:gridCol w:w="1178"/>
        <w:gridCol w:w="1447"/>
        <w:gridCol w:w="1529"/>
        <w:gridCol w:w="1555"/>
      </w:tblGrid>
      <w:tr>
        <w:trPr>
          <w:trHeight w:val="310" w:hRule="exact"/>
        </w:trPr>
        <w:tc>
          <w:tcPr>
            <w:tcW w:w="9958" w:type="dxa"/>
            <w:gridSpan w:val="9"/>
          </w:tcPr>
          <w:p>
            <w:pPr>
              <w:pStyle w:val="TableParagraph"/>
              <w:ind w:left="3998" w:right="3998"/>
              <w:jc w:val="center"/>
              <w:rPr>
                <w:sz w:val="22"/>
              </w:rPr>
            </w:pPr>
            <w:r>
              <w:rPr>
                <w:sz w:val="22"/>
              </w:rPr>
              <w:t>Punto de Muestreo C</w:t>
            </w:r>
          </w:p>
        </w:tc>
      </w:tr>
      <w:tr>
        <w:trPr>
          <w:trHeight w:val="310" w:hRule="exact"/>
        </w:trPr>
        <w:tc>
          <w:tcPr>
            <w:tcW w:w="806" w:type="dxa"/>
          </w:tcPr>
          <w:p>
            <w:pPr>
              <w:pStyle w:val="TableParagraph"/>
              <w:spacing w:before="11"/>
              <w:ind w:left="46" w:right="71"/>
              <w:jc w:val="center"/>
              <w:rPr>
                <w:sz w:val="22"/>
              </w:rPr>
            </w:pPr>
            <w:r>
              <w:rPr>
                <w:sz w:val="22"/>
              </w:rPr>
              <w:t>Estrato</w:t>
            </w:r>
          </w:p>
        </w:tc>
        <w:tc>
          <w:tcPr>
            <w:tcW w:w="773" w:type="dxa"/>
          </w:tcPr>
          <w:p>
            <w:pPr>
              <w:pStyle w:val="TableParagraph"/>
              <w:spacing w:before="40"/>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left="112" w:right="0"/>
              <w:jc w:val="left"/>
              <w:rPr>
                <w:rFonts w:ascii="Cambria Math"/>
                <w:sz w:val="16"/>
              </w:rPr>
            </w:pPr>
            <w:r>
              <w:rPr>
                <w:rFonts w:ascii="Cambria Math"/>
                <w:w w:val="110"/>
                <w:sz w:val="22"/>
              </w:rPr>
              <w:t>n</w:t>
            </w:r>
            <w:r>
              <w:rPr>
                <w:rFonts w:ascii="Cambria Math"/>
                <w:w w:val="110"/>
                <w:position w:val="-4"/>
                <w:sz w:val="16"/>
              </w:rPr>
              <w:t>h</w:t>
            </w:r>
          </w:p>
        </w:tc>
        <w:tc>
          <w:tcPr>
            <w:tcW w:w="1044" w:type="dxa"/>
          </w:tcPr>
          <w:p>
            <w:pPr>
              <w:pStyle w:val="TableParagraph"/>
              <w:spacing w:before="40"/>
              <w:ind w:left="403"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50" w:type="dxa"/>
          </w:tcPr>
          <w:p>
            <w:pPr>
              <w:pStyle w:val="TableParagraph"/>
              <w:spacing w:line="214" w:lineRule="exact" w:before="6"/>
              <w:ind w:left="379" w:right="38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78" w:type="dxa"/>
          </w:tcPr>
          <w:p>
            <w:pPr>
              <w:pStyle w:val="TableParagraph"/>
              <w:spacing w:before="16"/>
              <w:ind w:left="465" w:right="476"/>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447" w:type="dxa"/>
          </w:tcPr>
          <w:p>
            <w:pPr>
              <w:pStyle w:val="TableParagraph"/>
              <w:spacing w:before="40"/>
              <w:ind w:left="594" w:right="602"/>
              <w:jc w:val="center"/>
              <w:rPr>
                <w:rFonts w:ascii="Cambria Math"/>
                <w:sz w:val="16"/>
              </w:rPr>
            </w:pPr>
            <w:r>
              <w:rPr>
                <w:rFonts w:ascii="Cambria Math"/>
                <w:w w:val="110"/>
                <w:sz w:val="22"/>
              </w:rPr>
              <w:t>s</w:t>
            </w:r>
            <w:r>
              <w:rPr>
                <w:rFonts w:ascii="Cambria Math"/>
                <w:w w:val="110"/>
                <w:position w:val="-4"/>
                <w:sz w:val="16"/>
              </w:rPr>
              <w:t>h</w:t>
            </w:r>
          </w:p>
        </w:tc>
        <w:tc>
          <w:tcPr>
            <w:tcW w:w="1529" w:type="dxa"/>
          </w:tcPr>
          <w:p>
            <w:pPr>
              <w:pStyle w:val="TableParagraph"/>
              <w:spacing w:before="0"/>
              <w:ind w:left="42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55" w:type="dxa"/>
          </w:tcPr>
          <w:p>
            <w:pPr>
              <w:pStyle w:val="TableParagraph"/>
              <w:spacing w:before="0"/>
              <w:ind w:left="42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06" w:type="dxa"/>
          </w:tcPr>
          <w:p>
            <w:pPr>
              <w:pStyle w:val="TableParagraph"/>
              <w:spacing w:before="13"/>
              <w:ind w:left="1" w:right="0"/>
              <w:jc w:val="center"/>
              <w:rPr>
                <w:sz w:val="22"/>
              </w:rPr>
            </w:pPr>
            <w:r>
              <w:rPr>
                <w:w w:val="100"/>
                <w:sz w:val="22"/>
              </w:rPr>
              <w:t>1</w:t>
            </w:r>
          </w:p>
        </w:tc>
        <w:tc>
          <w:tcPr>
            <w:tcW w:w="773" w:type="dxa"/>
          </w:tcPr>
          <w:p>
            <w:pPr>
              <w:pStyle w:val="TableParagraph"/>
              <w:ind w:left="66" w:right="43"/>
              <w:jc w:val="center"/>
              <w:rPr>
                <w:sz w:val="22"/>
              </w:rPr>
            </w:pPr>
            <w:r>
              <w:rPr>
                <w:sz w:val="22"/>
              </w:rPr>
              <w:t>108,60</w:t>
            </w:r>
          </w:p>
        </w:tc>
        <w:tc>
          <w:tcPr>
            <w:tcW w:w="475" w:type="dxa"/>
          </w:tcPr>
          <w:p>
            <w:pPr>
              <w:pStyle w:val="TableParagraph"/>
              <w:ind w:left="67" w:right="0"/>
              <w:jc w:val="left"/>
              <w:rPr>
                <w:sz w:val="22"/>
              </w:rPr>
            </w:pPr>
            <w:r>
              <w:rPr>
                <w:sz w:val="22"/>
              </w:rPr>
              <w:t>108</w:t>
            </w:r>
          </w:p>
        </w:tc>
        <w:tc>
          <w:tcPr>
            <w:tcW w:w="1044" w:type="dxa"/>
          </w:tcPr>
          <w:p>
            <w:pPr>
              <w:pStyle w:val="TableParagraph"/>
              <w:ind w:left="357" w:right="0"/>
              <w:jc w:val="left"/>
              <w:rPr>
                <w:sz w:val="22"/>
              </w:rPr>
            </w:pPr>
            <w:r>
              <w:rPr>
                <w:sz w:val="22"/>
              </w:rPr>
              <w:t>0,0940</w:t>
            </w:r>
          </w:p>
        </w:tc>
        <w:tc>
          <w:tcPr>
            <w:tcW w:w="1150" w:type="dxa"/>
          </w:tcPr>
          <w:p>
            <w:pPr>
              <w:pStyle w:val="TableParagraph"/>
              <w:ind w:left="463" w:right="0"/>
              <w:jc w:val="left"/>
              <w:rPr>
                <w:sz w:val="22"/>
              </w:rPr>
            </w:pPr>
            <w:r>
              <w:rPr>
                <w:sz w:val="22"/>
              </w:rPr>
              <w:t>0,0166</w:t>
            </w:r>
          </w:p>
        </w:tc>
        <w:tc>
          <w:tcPr>
            <w:tcW w:w="1178" w:type="dxa"/>
          </w:tcPr>
          <w:p>
            <w:pPr>
              <w:pStyle w:val="TableParagraph"/>
              <w:ind w:right="63"/>
              <w:rPr>
                <w:sz w:val="22"/>
              </w:rPr>
            </w:pPr>
            <w:r>
              <w:rPr>
                <w:sz w:val="22"/>
              </w:rPr>
              <w:t>10,208</w:t>
            </w:r>
          </w:p>
        </w:tc>
        <w:tc>
          <w:tcPr>
            <w:tcW w:w="1447" w:type="dxa"/>
          </w:tcPr>
          <w:p>
            <w:pPr>
              <w:pStyle w:val="TableParagraph"/>
              <w:rPr>
                <w:sz w:val="22"/>
              </w:rPr>
            </w:pPr>
            <w:r>
              <w:rPr>
                <w:sz w:val="22"/>
              </w:rPr>
              <w:t>0,1288</w:t>
            </w:r>
          </w:p>
        </w:tc>
        <w:tc>
          <w:tcPr>
            <w:tcW w:w="1529" w:type="dxa"/>
          </w:tcPr>
          <w:p>
            <w:pPr>
              <w:pStyle w:val="TableParagraph"/>
              <w:rPr>
                <w:sz w:val="22"/>
              </w:rPr>
            </w:pPr>
            <w:r>
              <w:rPr>
                <w:sz w:val="22"/>
              </w:rPr>
              <w:t>0,0100</w:t>
            </w:r>
          </w:p>
        </w:tc>
        <w:tc>
          <w:tcPr>
            <w:tcW w:w="1555" w:type="dxa"/>
          </w:tcPr>
          <w:p>
            <w:pPr>
              <w:pStyle w:val="TableParagraph"/>
              <w:rPr>
                <w:sz w:val="22"/>
              </w:rPr>
            </w:pPr>
            <w:r>
              <w:rPr>
                <w:sz w:val="22"/>
              </w:rPr>
              <w:t>2,06995E-08</w:t>
            </w:r>
          </w:p>
        </w:tc>
      </w:tr>
      <w:tr>
        <w:trPr>
          <w:trHeight w:val="310" w:hRule="exact"/>
        </w:trPr>
        <w:tc>
          <w:tcPr>
            <w:tcW w:w="806" w:type="dxa"/>
          </w:tcPr>
          <w:p>
            <w:pPr>
              <w:pStyle w:val="TableParagraph"/>
              <w:spacing w:before="13"/>
              <w:ind w:left="1" w:right="0"/>
              <w:jc w:val="center"/>
              <w:rPr>
                <w:sz w:val="22"/>
              </w:rPr>
            </w:pPr>
            <w:r>
              <w:rPr>
                <w:w w:val="100"/>
                <w:sz w:val="22"/>
              </w:rPr>
              <w:t>2</w:t>
            </w:r>
          </w:p>
        </w:tc>
        <w:tc>
          <w:tcPr>
            <w:tcW w:w="773" w:type="dxa"/>
          </w:tcPr>
          <w:p>
            <w:pPr>
              <w:pStyle w:val="TableParagraph"/>
              <w:ind w:left="66" w:right="43"/>
              <w:jc w:val="center"/>
              <w:rPr>
                <w:sz w:val="22"/>
              </w:rPr>
            </w:pPr>
            <w:r>
              <w:rPr>
                <w:sz w:val="22"/>
              </w:rPr>
              <w:t>121,03</w:t>
            </w:r>
          </w:p>
        </w:tc>
        <w:tc>
          <w:tcPr>
            <w:tcW w:w="475" w:type="dxa"/>
          </w:tcPr>
          <w:p>
            <w:pPr>
              <w:pStyle w:val="TableParagraph"/>
              <w:rPr>
                <w:sz w:val="22"/>
              </w:rPr>
            </w:pPr>
            <w:r>
              <w:rPr>
                <w:sz w:val="22"/>
              </w:rPr>
              <w:t>81</w:t>
            </w:r>
          </w:p>
        </w:tc>
        <w:tc>
          <w:tcPr>
            <w:tcW w:w="1044" w:type="dxa"/>
          </w:tcPr>
          <w:p>
            <w:pPr>
              <w:pStyle w:val="TableParagraph"/>
              <w:ind w:left="357" w:right="0"/>
              <w:jc w:val="left"/>
              <w:rPr>
                <w:sz w:val="22"/>
              </w:rPr>
            </w:pPr>
            <w:r>
              <w:rPr>
                <w:sz w:val="22"/>
              </w:rPr>
              <w:t>1,0640</w:t>
            </w:r>
          </w:p>
        </w:tc>
        <w:tc>
          <w:tcPr>
            <w:tcW w:w="1150" w:type="dxa"/>
          </w:tcPr>
          <w:p>
            <w:pPr>
              <w:pStyle w:val="TableParagraph"/>
              <w:ind w:left="463" w:right="0"/>
              <w:jc w:val="left"/>
              <w:rPr>
                <w:sz w:val="22"/>
              </w:rPr>
            </w:pPr>
            <w:r>
              <w:rPr>
                <w:sz w:val="22"/>
              </w:rPr>
              <w:t>1,2055</w:t>
            </w:r>
          </w:p>
        </w:tc>
        <w:tc>
          <w:tcPr>
            <w:tcW w:w="1178" w:type="dxa"/>
          </w:tcPr>
          <w:p>
            <w:pPr>
              <w:pStyle w:val="TableParagraph"/>
              <w:ind w:right="63"/>
              <w:rPr>
                <w:sz w:val="22"/>
              </w:rPr>
            </w:pPr>
            <w:r>
              <w:rPr>
                <w:sz w:val="22"/>
              </w:rPr>
              <w:t>128,776</w:t>
            </w:r>
          </w:p>
        </w:tc>
        <w:tc>
          <w:tcPr>
            <w:tcW w:w="1447" w:type="dxa"/>
          </w:tcPr>
          <w:p>
            <w:pPr>
              <w:pStyle w:val="TableParagraph"/>
              <w:rPr>
                <w:sz w:val="22"/>
              </w:rPr>
            </w:pPr>
            <w:r>
              <w:rPr>
                <w:sz w:val="22"/>
              </w:rPr>
              <w:t>1,0980</w:t>
            </w:r>
          </w:p>
        </w:tc>
        <w:tc>
          <w:tcPr>
            <w:tcW w:w="1529" w:type="dxa"/>
          </w:tcPr>
          <w:p>
            <w:pPr>
              <w:pStyle w:val="TableParagraph"/>
              <w:rPr>
                <w:sz w:val="22"/>
              </w:rPr>
            </w:pPr>
            <w:r>
              <w:rPr>
                <w:sz w:val="22"/>
              </w:rPr>
              <w:t>72,2138</w:t>
            </w:r>
          </w:p>
        </w:tc>
        <w:tc>
          <w:tcPr>
            <w:tcW w:w="1555" w:type="dxa"/>
          </w:tcPr>
          <w:p>
            <w:pPr>
              <w:pStyle w:val="TableParagraph"/>
              <w:rPr>
                <w:sz w:val="22"/>
              </w:rPr>
            </w:pPr>
            <w:r>
              <w:rPr>
                <w:sz w:val="22"/>
              </w:rPr>
              <w:t>0,00014943</w:t>
            </w:r>
          </w:p>
        </w:tc>
      </w:tr>
      <w:tr>
        <w:trPr>
          <w:trHeight w:val="310" w:hRule="exact"/>
        </w:trPr>
        <w:tc>
          <w:tcPr>
            <w:tcW w:w="806" w:type="dxa"/>
          </w:tcPr>
          <w:p>
            <w:pPr>
              <w:pStyle w:val="TableParagraph"/>
              <w:spacing w:before="13"/>
              <w:ind w:left="1" w:right="0"/>
              <w:jc w:val="center"/>
              <w:rPr>
                <w:sz w:val="22"/>
              </w:rPr>
            </w:pPr>
            <w:r>
              <w:rPr>
                <w:w w:val="100"/>
                <w:sz w:val="22"/>
              </w:rPr>
              <w:t>3</w:t>
            </w:r>
          </w:p>
        </w:tc>
        <w:tc>
          <w:tcPr>
            <w:tcW w:w="773" w:type="dxa"/>
          </w:tcPr>
          <w:p>
            <w:pPr>
              <w:pStyle w:val="TableParagraph"/>
              <w:ind w:left="66" w:right="43"/>
              <w:jc w:val="center"/>
              <w:rPr>
                <w:sz w:val="22"/>
              </w:rPr>
            </w:pPr>
            <w:r>
              <w:rPr>
                <w:sz w:val="22"/>
              </w:rPr>
              <w:t>130,21</w:t>
            </w:r>
          </w:p>
        </w:tc>
        <w:tc>
          <w:tcPr>
            <w:tcW w:w="475" w:type="dxa"/>
          </w:tcPr>
          <w:p>
            <w:pPr>
              <w:pStyle w:val="TableParagraph"/>
              <w:rPr>
                <w:sz w:val="22"/>
              </w:rPr>
            </w:pPr>
            <w:r>
              <w:rPr>
                <w:sz w:val="22"/>
              </w:rPr>
              <w:t>77</w:t>
            </w:r>
          </w:p>
        </w:tc>
        <w:tc>
          <w:tcPr>
            <w:tcW w:w="1044" w:type="dxa"/>
          </w:tcPr>
          <w:p>
            <w:pPr>
              <w:pStyle w:val="TableParagraph"/>
              <w:ind w:left="357" w:right="0"/>
              <w:jc w:val="left"/>
              <w:rPr>
                <w:sz w:val="22"/>
              </w:rPr>
            </w:pPr>
            <w:r>
              <w:rPr>
                <w:sz w:val="22"/>
              </w:rPr>
              <w:t>0,0860</w:t>
            </w:r>
          </w:p>
        </w:tc>
        <w:tc>
          <w:tcPr>
            <w:tcW w:w="1150" w:type="dxa"/>
          </w:tcPr>
          <w:p>
            <w:pPr>
              <w:pStyle w:val="TableParagraph"/>
              <w:ind w:left="463" w:right="0"/>
              <w:jc w:val="left"/>
              <w:rPr>
                <w:sz w:val="22"/>
              </w:rPr>
            </w:pPr>
            <w:r>
              <w:rPr>
                <w:sz w:val="22"/>
              </w:rPr>
              <w:t>0,0056</w:t>
            </w:r>
          </w:p>
        </w:tc>
        <w:tc>
          <w:tcPr>
            <w:tcW w:w="1178" w:type="dxa"/>
          </w:tcPr>
          <w:p>
            <w:pPr>
              <w:pStyle w:val="TableParagraph"/>
              <w:ind w:right="63"/>
              <w:rPr>
                <w:sz w:val="22"/>
              </w:rPr>
            </w:pPr>
            <w:r>
              <w:rPr>
                <w:sz w:val="22"/>
              </w:rPr>
              <w:t>11,198</w:t>
            </w:r>
          </w:p>
        </w:tc>
        <w:tc>
          <w:tcPr>
            <w:tcW w:w="1447" w:type="dxa"/>
          </w:tcPr>
          <w:p>
            <w:pPr>
              <w:pStyle w:val="TableParagraph"/>
              <w:rPr>
                <w:sz w:val="22"/>
              </w:rPr>
            </w:pPr>
            <w:r>
              <w:rPr>
                <w:sz w:val="22"/>
              </w:rPr>
              <w:t>0,0750</w:t>
            </w:r>
          </w:p>
        </w:tc>
        <w:tc>
          <w:tcPr>
            <w:tcW w:w="1529" w:type="dxa"/>
          </w:tcPr>
          <w:p>
            <w:pPr>
              <w:pStyle w:val="TableParagraph"/>
              <w:rPr>
                <w:sz w:val="22"/>
              </w:rPr>
            </w:pPr>
            <w:r>
              <w:rPr>
                <w:sz w:val="22"/>
              </w:rPr>
              <w:t>0,5140</w:t>
            </w:r>
          </w:p>
        </w:tc>
        <w:tc>
          <w:tcPr>
            <w:tcW w:w="1555" w:type="dxa"/>
          </w:tcPr>
          <w:p>
            <w:pPr>
              <w:pStyle w:val="TableParagraph"/>
              <w:rPr>
                <w:sz w:val="22"/>
              </w:rPr>
            </w:pPr>
            <w:r>
              <w:rPr>
                <w:sz w:val="22"/>
              </w:rPr>
              <w:t>1,06369E-06</w:t>
            </w:r>
          </w:p>
        </w:tc>
      </w:tr>
      <w:tr>
        <w:trPr>
          <w:trHeight w:val="312" w:hRule="exact"/>
        </w:trPr>
        <w:tc>
          <w:tcPr>
            <w:tcW w:w="806" w:type="dxa"/>
          </w:tcPr>
          <w:p>
            <w:pPr>
              <w:pStyle w:val="TableParagraph"/>
              <w:spacing w:before="13"/>
              <w:ind w:left="1" w:right="0"/>
              <w:jc w:val="center"/>
              <w:rPr>
                <w:sz w:val="22"/>
              </w:rPr>
            </w:pPr>
            <w:r>
              <w:rPr>
                <w:w w:val="100"/>
                <w:sz w:val="22"/>
              </w:rPr>
              <w:t>4</w:t>
            </w:r>
          </w:p>
        </w:tc>
        <w:tc>
          <w:tcPr>
            <w:tcW w:w="773" w:type="dxa"/>
          </w:tcPr>
          <w:p>
            <w:pPr>
              <w:pStyle w:val="TableParagraph"/>
              <w:spacing w:before="30"/>
              <w:ind w:left="66" w:right="43"/>
              <w:jc w:val="center"/>
              <w:rPr>
                <w:sz w:val="22"/>
              </w:rPr>
            </w:pPr>
            <w:r>
              <w:rPr>
                <w:sz w:val="22"/>
              </w:rPr>
              <w:t>155,12</w:t>
            </w:r>
          </w:p>
        </w:tc>
        <w:tc>
          <w:tcPr>
            <w:tcW w:w="475" w:type="dxa"/>
          </w:tcPr>
          <w:p>
            <w:pPr>
              <w:pStyle w:val="TableParagraph"/>
              <w:spacing w:before="30"/>
              <w:rPr>
                <w:sz w:val="22"/>
              </w:rPr>
            </w:pPr>
            <w:r>
              <w:rPr>
                <w:sz w:val="22"/>
              </w:rPr>
              <w:t>92</w:t>
            </w:r>
          </w:p>
        </w:tc>
        <w:tc>
          <w:tcPr>
            <w:tcW w:w="1044" w:type="dxa"/>
          </w:tcPr>
          <w:p>
            <w:pPr>
              <w:pStyle w:val="TableParagraph"/>
              <w:spacing w:before="30"/>
              <w:ind w:left="357" w:right="0"/>
              <w:jc w:val="left"/>
              <w:rPr>
                <w:sz w:val="22"/>
              </w:rPr>
            </w:pPr>
            <w:r>
              <w:rPr>
                <w:sz w:val="22"/>
              </w:rPr>
              <w:t>0,0820</w:t>
            </w:r>
          </w:p>
        </w:tc>
        <w:tc>
          <w:tcPr>
            <w:tcW w:w="1150" w:type="dxa"/>
          </w:tcPr>
          <w:p>
            <w:pPr>
              <w:pStyle w:val="TableParagraph"/>
              <w:spacing w:before="30"/>
              <w:ind w:left="463" w:right="0"/>
              <w:jc w:val="left"/>
              <w:rPr>
                <w:sz w:val="22"/>
              </w:rPr>
            </w:pPr>
            <w:r>
              <w:rPr>
                <w:sz w:val="22"/>
              </w:rPr>
              <w:t>0,0014</w:t>
            </w:r>
          </w:p>
        </w:tc>
        <w:tc>
          <w:tcPr>
            <w:tcW w:w="1178" w:type="dxa"/>
          </w:tcPr>
          <w:p>
            <w:pPr>
              <w:pStyle w:val="TableParagraph"/>
              <w:spacing w:before="30"/>
              <w:ind w:right="63"/>
              <w:rPr>
                <w:sz w:val="22"/>
              </w:rPr>
            </w:pPr>
            <w:r>
              <w:rPr>
                <w:sz w:val="22"/>
              </w:rPr>
              <w:t>12,720</w:t>
            </w:r>
          </w:p>
        </w:tc>
        <w:tc>
          <w:tcPr>
            <w:tcW w:w="1447" w:type="dxa"/>
          </w:tcPr>
          <w:p>
            <w:pPr>
              <w:pStyle w:val="TableParagraph"/>
              <w:spacing w:before="30"/>
              <w:rPr>
                <w:sz w:val="22"/>
              </w:rPr>
            </w:pPr>
            <w:r>
              <w:rPr>
                <w:sz w:val="22"/>
              </w:rPr>
              <w:t>0,0370</w:t>
            </w:r>
          </w:p>
        </w:tc>
        <w:tc>
          <w:tcPr>
            <w:tcW w:w="1529" w:type="dxa"/>
          </w:tcPr>
          <w:p>
            <w:pPr>
              <w:pStyle w:val="TableParagraph"/>
              <w:spacing w:before="30"/>
              <w:rPr>
                <w:sz w:val="22"/>
              </w:rPr>
            </w:pPr>
            <w:r>
              <w:rPr>
                <w:sz w:val="22"/>
              </w:rPr>
              <w:t>0,1465</w:t>
            </w:r>
          </w:p>
        </w:tc>
        <w:tc>
          <w:tcPr>
            <w:tcW w:w="1555" w:type="dxa"/>
          </w:tcPr>
          <w:p>
            <w:pPr>
              <w:pStyle w:val="TableParagraph"/>
              <w:spacing w:before="30"/>
              <w:rPr>
                <w:sz w:val="22"/>
              </w:rPr>
            </w:pPr>
            <w:r>
              <w:rPr>
                <w:sz w:val="22"/>
              </w:rPr>
              <w:t>3,03242E-07</w:t>
            </w:r>
          </w:p>
        </w:tc>
      </w:tr>
      <w:tr>
        <w:trPr>
          <w:trHeight w:val="310" w:hRule="exact"/>
        </w:trPr>
        <w:tc>
          <w:tcPr>
            <w:tcW w:w="806" w:type="dxa"/>
          </w:tcPr>
          <w:p>
            <w:pPr>
              <w:pStyle w:val="TableParagraph"/>
              <w:spacing w:before="11"/>
              <w:ind w:left="1" w:right="0"/>
              <w:jc w:val="center"/>
              <w:rPr>
                <w:sz w:val="22"/>
              </w:rPr>
            </w:pPr>
            <w:r>
              <w:rPr>
                <w:w w:val="100"/>
                <w:sz w:val="22"/>
              </w:rPr>
              <w:t>5</w:t>
            </w:r>
          </w:p>
        </w:tc>
        <w:tc>
          <w:tcPr>
            <w:tcW w:w="773" w:type="dxa"/>
          </w:tcPr>
          <w:p>
            <w:pPr>
              <w:pStyle w:val="TableParagraph"/>
              <w:ind w:left="66" w:right="43"/>
              <w:jc w:val="center"/>
              <w:rPr>
                <w:sz w:val="22"/>
              </w:rPr>
            </w:pPr>
            <w:r>
              <w:rPr>
                <w:sz w:val="22"/>
              </w:rPr>
              <w:t>180,21</w:t>
            </w:r>
          </w:p>
        </w:tc>
        <w:tc>
          <w:tcPr>
            <w:tcW w:w="475" w:type="dxa"/>
          </w:tcPr>
          <w:p>
            <w:pPr>
              <w:pStyle w:val="TableParagraph"/>
              <w:ind w:left="67" w:right="0"/>
              <w:jc w:val="left"/>
              <w:rPr>
                <w:sz w:val="22"/>
              </w:rPr>
            </w:pPr>
            <w:r>
              <w:rPr>
                <w:sz w:val="22"/>
              </w:rPr>
              <w:t>132</w:t>
            </w:r>
          </w:p>
        </w:tc>
        <w:tc>
          <w:tcPr>
            <w:tcW w:w="1044" w:type="dxa"/>
          </w:tcPr>
          <w:p>
            <w:pPr>
              <w:pStyle w:val="TableParagraph"/>
              <w:ind w:left="357" w:right="0"/>
              <w:jc w:val="left"/>
              <w:rPr>
                <w:sz w:val="22"/>
              </w:rPr>
            </w:pPr>
            <w:r>
              <w:rPr>
                <w:sz w:val="22"/>
              </w:rPr>
              <w:t>0,1333</w:t>
            </w:r>
          </w:p>
        </w:tc>
        <w:tc>
          <w:tcPr>
            <w:tcW w:w="1150" w:type="dxa"/>
          </w:tcPr>
          <w:p>
            <w:pPr>
              <w:pStyle w:val="TableParagraph"/>
              <w:ind w:left="463" w:right="0"/>
              <w:jc w:val="left"/>
              <w:rPr>
                <w:sz w:val="22"/>
              </w:rPr>
            </w:pPr>
            <w:r>
              <w:rPr>
                <w:sz w:val="22"/>
              </w:rPr>
              <w:t>0,0069</w:t>
            </w:r>
          </w:p>
        </w:tc>
        <w:tc>
          <w:tcPr>
            <w:tcW w:w="1178" w:type="dxa"/>
          </w:tcPr>
          <w:p>
            <w:pPr>
              <w:pStyle w:val="TableParagraph"/>
              <w:ind w:right="63"/>
              <w:rPr>
                <w:sz w:val="22"/>
              </w:rPr>
            </w:pPr>
            <w:r>
              <w:rPr>
                <w:sz w:val="22"/>
              </w:rPr>
              <w:t>24,028</w:t>
            </w:r>
          </w:p>
        </w:tc>
        <w:tc>
          <w:tcPr>
            <w:tcW w:w="1447" w:type="dxa"/>
          </w:tcPr>
          <w:p>
            <w:pPr>
              <w:pStyle w:val="TableParagraph"/>
              <w:rPr>
                <w:sz w:val="22"/>
              </w:rPr>
            </w:pPr>
            <w:r>
              <w:rPr>
                <w:sz w:val="22"/>
              </w:rPr>
              <w:t>0,0831</w:t>
            </w:r>
          </w:p>
        </w:tc>
        <w:tc>
          <w:tcPr>
            <w:tcW w:w="1529" w:type="dxa"/>
          </w:tcPr>
          <w:p>
            <w:pPr>
              <w:pStyle w:val="TableParagraph"/>
              <w:rPr>
                <w:sz w:val="22"/>
              </w:rPr>
            </w:pPr>
            <w:r>
              <w:rPr>
                <w:sz w:val="22"/>
              </w:rPr>
              <w:t>0,4541</w:t>
            </w:r>
          </w:p>
        </w:tc>
        <w:tc>
          <w:tcPr>
            <w:tcW w:w="1555" w:type="dxa"/>
          </w:tcPr>
          <w:p>
            <w:pPr>
              <w:pStyle w:val="TableParagraph"/>
              <w:rPr>
                <w:sz w:val="22"/>
              </w:rPr>
            </w:pPr>
            <w:r>
              <w:rPr>
                <w:sz w:val="22"/>
              </w:rPr>
              <w:t>9,39586E-07</w:t>
            </w:r>
          </w:p>
        </w:tc>
      </w:tr>
      <w:tr>
        <w:trPr>
          <w:trHeight w:val="310" w:hRule="exact"/>
        </w:trPr>
        <w:tc>
          <w:tcPr>
            <w:tcW w:w="806" w:type="dxa"/>
          </w:tcPr>
          <w:p>
            <w:pPr>
              <w:pStyle w:val="TableParagraph"/>
              <w:spacing w:before="11"/>
              <w:ind w:right="1"/>
              <w:jc w:val="center"/>
              <w:rPr>
                <w:sz w:val="22"/>
              </w:rPr>
            </w:pPr>
            <w:r>
              <w:rPr>
                <w:w w:val="100"/>
                <w:sz w:val="22"/>
              </w:rPr>
              <w:t>N</w:t>
            </w:r>
          </w:p>
        </w:tc>
        <w:tc>
          <w:tcPr>
            <w:tcW w:w="773" w:type="dxa"/>
          </w:tcPr>
          <w:p>
            <w:pPr>
              <w:pStyle w:val="TableParagraph"/>
              <w:ind w:left="66" w:right="43"/>
              <w:jc w:val="center"/>
              <w:rPr>
                <w:sz w:val="22"/>
              </w:rPr>
            </w:pPr>
            <w:r>
              <w:rPr>
                <w:sz w:val="22"/>
              </w:rPr>
              <w:t>695,17</w:t>
            </w:r>
          </w:p>
        </w:tc>
        <w:tc>
          <w:tcPr>
            <w:tcW w:w="475" w:type="dxa"/>
          </w:tcPr>
          <w:p>
            <w:pPr/>
          </w:p>
        </w:tc>
        <w:tc>
          <w:tcPr>
            <w:tcW w:w="1044" w:type="dxa"/>
          </w:tcPr>
          <w:p>
            <w:pPr/>
          </w:p>
        </w:tc>
        <w:tc>
          <w:tcPr>
            <w:tcW w:w="1150" w:type="dxa"/>
          </w:tcPr>
          <w:p>
            <w:pPr>
              <w:pStyle w:val="TableParagraph"/>
              <w:spacing w:before="16"/>
              <w:ind w:left="403"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78" w:type="dxa"/>
          </w:tcPr>
          <w:p>
            <w:pPr>
              <w:pStyle w:val="TableParagraph"/>
              <w:ind w:right="63"/>
              <w:rPr>
                <w:sz w:val="22"/>
              </w:rPr>
            </w:pPr>
            <w:r>
              <w:rPr>
                <w:sz w:val="22"/>
              </w:rPr>
              <w:t>186,93022</w:t>
            </w:r>
          </w:p>
        </w:tc>
        <w:tc>
          <w:tcPr>
            <w:tcW w:w="1447" w:type="dxa"/>
          </w:tcPr>
          <w:p>
            <w:pPr/>
          </w:p>
        </w:tc>
        <w:tc>
          <w:tcPr>
            <w:tcW w:w="1529" w:type="dxa"/>
          </w:tcPr>
          <w:p>
            <w:pPr>
              <w:pStyle w:val="TableParagraph"/>
              <w:rPr>
                <w:sz w:val="22"/>
              </w:rPr>
            </w:pPr>
            <w:r>
              <w:rPr>
                <w:sz w:val="22"/>
              </w:rPr>
              <w:t>73,3384</w:t>
            </w:r>
          </w:p>
        </w:tc>
        <w:tc>
          <w:tcPr>
            <w:tcW w:w="1555" w:type="dxa"/>
          </w:tcPr>
          <w:p>
            <w:pPr>
              <w:pStyle w:val="TableParagraph"/>
              <w:rPr>
                <w:sz w:val="22"/>
              </w:rPr>
            </w:pPr>
            <w:r>
              <w:rPr>
                <w:sz w:val="22"/>
              </w:rPr>
              <w:t>0,000151757</w:t>
            </w:r>
          </w:p>
        </w:tc>
      </w:tr>
      <w:tr>
        <w:trPr>
          <w:trHeight w:val="310" w:hRule="exact"/>
        </w:trPr>
        <w:tc>
          <w:tcPr>
            <w:tcW w:w="5426" w:type="dxa"/>
            <w:gridSpan w:val="6"/>
            <w:vMerge w:val="restart"/>
            <w:tcBorders>
              <w:left w:val="nil"/>
            </w:tcBorders>
          </w:tcPr>
          <w:p>
            <w:pPr/>
          </w:p>
        </w:tc>
        <w:tc>
          <w:tcPr>
            <w:tcW w:w="2976"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55" w:type="dxa"/>
          </w:tcPr>
          <w:p>
            <w:pPr>
              <w:pStyle w:val="TableParagraph"/>
              <w:rPr>
                <w:b/>
                <w:sz w:val="22"/>
              </w:rPr>
            </w:pPr>
            <w:r>
              <w:rPr>
                <w:b/>
                <w:sz w:val="22"/>
              </w:rPr>
              <w:t>0,269</w:t>
            </w:r>
          </w:p>
        </w:tc>
      </w:tr>
      <w:tr>
        <w:trPr>
          <w:trHeight w:val="310" w:hRule="exact"/>
        </w:trPr>
        <w:tc>
          <w:tcPr>
            <w:tcW w:w="5426" w:type="dxa"/>
            <w:gridSpan w:val="6"/>
            <w:vMerge/>
            <w:tcBorders>
              <w:left w:val="nil"/>
            </w:tcBorders>
          </w:tcPr>
          <w:p>
            <w:pPr/>
          </w:p>
        </w:tc>
        <w:tc>
          <w:tcPr>
            <w:tcW w:w="2976" w:type="dxa"/>
            <w:gridSpan w:val="2"/>
          </w:tcPr>
          <w:p>
            <w:pPr>
              <w:pStyle w:val="TableParagraph"/>
              <w:spacing w:before="13"/>
              <w:ind w:left="64" w:right="0"/>
              <w:jc w:val="left"/>
              <w:rPr>
                <w:sz w:val="22"/>
              </w:rPr>
            </w:pPr>
            <w:r>
              <w:rPr>
                <w:sz w:val="22"/>
              </w:rPr>
              <w:t>Desviación estándar</w:t>
            </w:r>
          </w:p>
        </w:tc>
        <w:tc>
          <w:tcPr>
            <w:tcW w:w="1555" w:type="dxa"/>
          </w:tcPr>
          <w:p>
            <w:pPr>
              <w:pStyle w:val="TableParagraph"/>
              <w:rPr>
                <w:b/>
                <w:sz w:val="22"/>
              </w:rPr>
            </w:pPr>
            <w:r>
              <w:rPr>
                <w:b/>
                <w:sz w:val="22"/>
              </w:rPr>
              <w:t>0,0123</w:t>
            </w:r>
          </w:p>
        </w:tc>
      </w:tr>
      <w:tr>
        <w:trPr>
          <w:trHeight w:val="310" w:hRule="exact"/>
        </w:trPr>
        <w:tc>
          <w:tcPr>
            <w:tcW w:w="5426" w:type="dxa"/>
            <w:gridSpan w:val="6"/>
            <w:vMerge/>
            <w:tcBorders>
              <w:left w:val="nil"/>
            </w:tcBorders>
          </w:tcPr>
          <w:p>
            <w:pPr/>
          </w:p>
        </w:tc>
        <w:tc>
          <w:tcPr>
            <w:tcW w:w="2976" w:type="dxa"/>
            <w:gridSpan w:val="2"/>
            <w:vMerge w:val="restart"/>
          </w:tcPr>
          <w:p>
            <w:pPr>
              <w:pStyle w:val="TableParagraph"/>
              <w:spacing w:before="167"/>
              <w:ind w:left="64" w:right="0"/>
              <w:jc w:val="left"/>
              <w:rPr>
                <w:sz w:val="22"/>
              </w:rPr>
            </w:pPr>
            <w:r>
              <w:rPr>
                <w:sz w:val="22"/>
              </w:rPr>
              <w:t>Intervalo de confianza al 95 %</w:t>
            </w:r>
          </w:p>
        </w:tc>
        <w:tc>
          <w:tcPr>
            <w:tcW w:w="1555" w:type="dxa"/>
          </w:tcPr>
          <w:p>
            <w:pPr>
              <w:pStyle w:val="TableParagraph"/>
              <w:rPr>
                <w:sz w:val="22"/>
              </w:rPr>
            </w:pPr>
            <w:r>
              <w:rPr>
                <w:sz w:val="22"/>
              </w:rPr>
              <w:t>0,24</w:t>
            </w:r>
          </w:p>
        </w:tc>
      </w:tr>
      <w:tr>
        <w:trPr>
          <w:trHeight w:val="312" w:hRule="exact"/>
        </w:trPr>
        <w:tc>
          <w:tcPr>
            <w:tcW w:w="5426" w:type="dxa"/>
            <w:gridSpan w:val="6"/>
            <w:vMerge/>
            <w:tcBorders>
              <w:left w:val="nil"/>
              <w:bottom w:val="nil"/>
            </w:tcBorders>
          </w:tcPr>
          <w:p>
            <w:pPr/>
          </w:p>
        </w:tc>
        <w:tc>
          <w:tcPr>
            <w:tcW w:w="2976" w:type="dxa"/>
            <w:gridSpan w:val="2"/>
            <w:vMerge/>
          </w:tcPr>
          <w:p>
            <w:pPr/>
          </w:p>
        </w:tc>
        <w:tc>
          <w:tcPr>
            <w:tcW w:w="1555" w:type="dxa"/>
          </w:tcPr>
          <w:p>
            <w:pPr>
              <w:pStyle w:val="TableParagraph"/>
              <w:spacing w:before="30"/>
              <w:rPr>
                <w:sz w:val="22"/>
              </w:rPr>
            </w:pPr>
            <w:r>
              <w:rPr>
                <w:sz w:val="22"/>
              </w:rPr>
              <w:t>0,29</w:t>
            </w:r>
          </w:p>
        </w:tc>
      </w:tr>
    </w:tbl>
    <w:p>
      <w:pPr>
        <w:spacing w:after="0"/>
        <w:rPr>
          <w:sz w:val="22"/>
        </w:rPr>
        <w:sectPr>
          <w:pgSz w:w="12240" w:h="15840"/>
          <w:pgMar w:header="725" w:footer="1084" w:top="1340" w:bottom="1280" w:left="920" w:right="1020"/>
        </w:sectPr>
      </w:pPr>
    </w:p>
    <w:p>
      <w:pPr>
        <w:pStyle w:val="BodyText"/>
        <w:rPr>
          <w:rFonts w:ascii="Times New Roman"/>
          <w:sz w:val="20"/>
        </w:rPr>
      </w:pPr>
    </w:p>
    <w:p>
      <w:pPr>
        <w:pStyle w:val="BodyText"/>
        <w:spacing w:before="3"/>
        <w:rPr>
          <w:rFonts w:ascii="Times New Roman"/>
          <w:sz w:val="17"/>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8"/>
        <w:gridCol w:w="794"/>
        <w:gridCol w:w="475"/>
        <w:gridCol w:w="1073"/>
        <w:gridCol w:w="1486"/>
        <w:gridCol w:w="1349"/>
        <w:gridCol w:w="1349"/>
        <w:gridCol w:w="1433"/>
        <w:gridCol w:w="1658"/>
      </w:tblGrid>
      <w:tr>
        <w:trPr>
          <w:trHeight w:val="312" w:hRule="exact"/>
        </w:trPr>
        <w:tc>
          <w:tcPr>
            <w:tcW w:w="10445" w:type="dxa"/>
            <w:gridSpan w:val="9"/>
          </w:tcPr>
          <w:p>
            <w:pPr>
              <w:pStyle w:val="TableParagraph"/>
              <w:spacing w:before="30"/>
              <w:ind w:left="4236" w:right="4236"/>
              <w:jc w:val="center"/>
              <w:rPr>
                <w:sz w:val="22"/>
              </w:rPr>
            </w:pPr>
            <w:r>
              <w:rPr>
                <w:sz w:val="22"/>
              </w:rPr>
              <w:t>Punto de Muestro D</w:t>
            </w:r>
          </w:p>
        </w:tc>
      </w:tr>
      <w:tr>
        <w:trPr>
          <w:trHeight w:val="310" w:hRule="exact"/>
        </w:trPr>
        <w:tc>
          <w:tcPr>
            <w:tcW w:w="828" w:type="dxa"/>
          </w:tcPr>
          <w:p>
            <w:pPr>
              <w:pStyle w:val="TableParagraph"/>
              <w:spacing w:before="11"/>
              <w:ind w:left="46" w:right="93"/>
              <w:jc w:val="center"/>
              <w:rPr>
                <w:sz w:val="22"/>
              </w:rPr>
            </w:pPr>
            <w:r>
              <w:rPr>
                <w:sz w:val="22"/>
              </w:rPr>
              <w:t>Estrato</w:t>
            </w:r>
          </w:p>
        </w:tc>
        <w:tc>
          <w:tcPr>
            <w:tcW w:w="794" w:type="dxa"/>
          </w:tcPr>
          <w:p>
            <w:pPr>
              <w:pStyle w:val="TableParagraph"/>
              <w:spacing w:before="40"/>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left="112" w:right="0"/>
              <w:jc w:val="left"/>
              <w:rPr>
                <w:rFonts w:ascii="Cambria Math"/>
                <w:sz w:val="16"/>
              </w:rPr>
            </w:pPr>
            <w:r>
              <w:rPr>
                <w:rFonts w:ascii="Cambria Math"/>
                <w:w w:val="110"/>
                <w:sz w:val="22"/>
              </w:rPr>
              <w:t>n</w:t>
            </w:r>
            <w:r>
              <w:rPr>
                <w:rFonts w:ascii="Cambria Math"/>
                <w:w w:val="110"/>
                <w:position w:val="-4"/>
                <w:sz w:val="16"/>
              </w:rPr>
              <w:t>h</w:t>
            </w:r>
          </w:p>
        </w:tc>
        <w:tc>
          <w:tcPr>
            <w:tcW w:w="1073" w:type="dxa"/>
          </w:tcPr>
          <w:p>
            <w:pPr>
              <w:pStyle w:val="TableParagraph"/>
              <w:spacing w:before="40"/>
              <w:ind w:left="415"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86" w:type="dxa"/>
          </w:tcPr>
          <w:p>
            <w:pPr>
              <w:pStyle w:val="TableParagraph"/>
              <w:spacing w:line="214" w:lineRule="exact" w:before="6"/>
              <w:ind w:left="544" w:right="55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49" w:type="dxa"/>
          </w:tcPr>
          <w:p>
            <w:pPr>
              <w:pStyle w:val="TableParagraph"/>
              <w:spacing w:before="16"/>
              <w:ind w:left="534" w:right="54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49" w:type="dxa"/>
          </w:tcPr>
          <w:p>
            <w:pPr>
              <w:pStyle w:val="TableParagraph"/>
              <w:spacing w:before="40"/>
              <w:ind w:left="534" w:right="545"/>
              <w:jc w:val="center"/>
              <w:rPr>
                <w:rFonts w:ascii="Cambria Math"/>
                <w:sz w:val="16"/>
              </w:rPr>
            </w:pPr>
            <w:r>
              <w:rPr>
                <w:rFonts w:ascii="Cambria Math"/>
                <w:w w:val="110"/>
                <w:sz w:val="22"/>
              </w:rPr>
              <w:t>s</w:t>
            </w:r>
            <w:r>
              <w:rPr>
                <w:rFonts w:ascii="Cambria Math"/>
                <w:w w:val="110"/>
                <w:position w:val="-4"/>
                <w:sz w:val="16"/>
              </w:rPr>
              <w:t>h</w:t>
            </w:r>
          </w:p>
        </w:tc>
        <w:tc>
          <w:tcPr>
            <w:tcW w:w="1433" w:type="dxa"/>
          </w:tcPr>
          <w:p>
            <w:pPr>
              <w:pStyle w:val="TableParagraph"/>
              <w:spacing w:before="0"/>
              <w:ind w:left="38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58" w:type="dxa"/>
          </w:tcPr>
          <w:p>
            <w:pPr>
              <w:pStyle w:val="TableParagraph"/>
              <w:spacing w:before="0"/>
              <w:ind w:left="47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28" w:type="dxa"/>
          </w:tcPr>
          <w:p>
            <w:pPr>
              <w:pStyle w:val="TableParagraph"/>
              <w:ind w:right="1"/>
              <w:jc w:val="center"/>
              <w:rPr>
                <w:sz w:val="22"/>
              </w:rPr>
            </w:pPr>
            <w:r>
              <w:rPr>
                <w:w w:val="100"/>
                <w:sz w:val="22"/>
              </w:rPr>
              <w:t>1</w:t>
            </w:r>
          </w:p>
        </w:tc>
        <w:tc>
          <w:tcPr>
            <w:tcW w:w="794" w:type="dxa"/>
          </w:tcPr>
          <w:p>
            <w:pPr>
              <w:pStyle w:val="TableParagraph"/>
              <w:ind w:left="88" w:right="44"/>
              <w:jc w:val="center"/>
              <w:rPr>
                <w:sz w:val="22"/>
              </w:rPr>
            </w:pPr>
            <w:r>
              <w:rPr>
                <w:sz w:val="22"/>
              </w:rPr>
              <w:t>108,60</w:t>
            </w:r>
          </w:p>
        </w:tc>
        <w:tc>
          <w:tcPr>
            <w:tcW w:w="475" w:type="dxa"/>
          </w:tcPr>
          <w:p>
            <w:pPr>
              <w:pStyle w:val="TableParagraph"/>
              <w:rPr>
                <w:sz w:val="22"/>
              </w:rPr>
            </w:pPr>
            <w:r>
              <w:rPr>
                <w:sz w:val="22"/>
              </w:rPr>
              <w:t>108</w:t>
            </w:r>
          </w:p>
        </w:tc>
        <w:tc>
          <w:tcPr>
            <w:tcW w:w="1073" w:type="dxa"/>
          </w:tcPr>
          <w:p>
            <w:pPr>
              <w:pStyle w:val="TableParagraph"/>
              <w:ind w:left="383" w:right="0"/>
              <w:jc w:val="left"/>
              <w:rPr>
                <w:sz w:val="22"/>
              </w:rPr>
            </w:pPr>
            <w:r>
              <w:rPr>
                <w:sz w:val="22"/>
              </w:rPr>
              <w:t>0,4420</w:t>
            </w:r>
          </w:p>
        </w:tc>
        <w:tc>
          <w:tcPr>
            <w:tcW w:w="1486" w:type="dxa"/>
          </w:tcPr>
          <w:p>
            <w:pPr>
              <w:pStyle w:val="TableParagraph"/>
              <w:ind w:right="63"/>
              <w:rPr>
                <w:sz w:val="22"/>
              </w:rPr>
            </w:pPr>
            <w:r>
              <w:rPr>
                <w:sz w:val="22"/>
              </w:rPr>
              <w:t>0,1385</w:t>
            </w:r>
          </w:p>
        </w:tc>
        <w:tc>
          <w:tcPr>
            <w:tcW w:w="1349" w:type="dxa"/>
          </w:tcPr>
          <w:p>
            <w:pPr>
              <w:pStyle w:val="TableParagraph"/>
              <w:rPr>
                <w:sz w:val="22"/>
              </w:rPr>
            </w:pPr>
            <w:r>
              <w:rPr>
                <w:sz w:val="22"/>
              </w:rPr>
              <w:t>48,0012</w:t>
            </w:r>
          </w:p>
        </w:tc>
        <w:tc>
          <w:tcPr>
            <w:tcW w:w="1349" w:type="dxa"/>
          </w:tcPr>
          <w:p>
            <w:pPr>
              <w:pStyle w:val="TableParagraph"/>
              <w:rPr>
                <w:sz w:val="22"/>
              </w:rPr>
            </w:pPr>
            <w:r>
              <w:rPr>
                <w:sz w:val="22"/>
              </w:rPr>
              <w:t>0,3722</w:t>
            </w:r>
          </w:p>
        </w:tc>
        <w:tc>
          <w:tcPr>
            <w:tcW w:w="1433" w:type="dxa"/>
          </w:tcPr>
          <w:p>
            <w:pPr>
              <w:pStyle w:val="TableParagraph"/>
              <w:ind w:right="63"/>
              <w:rPr>
                <w:sz w:val="22"/>
              </w:rPr>
            </w:pPr>
            <w:r>
              <w:rPr>
                <w:sz w:val="22"/>
              </w:rPr>
              <w:t>-5,0573</w:t>
            </w:r>
          </w:p>
        </w:tc>
        <w:tc>
          <w:tcPr>
            <w:tcW w:w="1658" w:type="dxa"/>
          </w:tcPr>
          <w:p>
            <w:pPr>
              <w:pStyle w:val="TableParagraph"/>
              <w:rPr>
                <w:sz w:val="22"/>
              </w:rPr>
            </w:pPr>
            <w:r>
              <w:rPr>
                <w:sz w:val="22"/>
              </w:rPr>
              <w:t>-1,0465E-05</w:t>
            </w:r>
          </w:p>
        </w:tc>
      </w:tr>
      <w:tr>
        <w:trPr>
          <w:trHeight w:val="310" w:hRule="exact"/>
        </w:trPr>
        <w:tc>
          <w:tcPr>
            <w:tcW w:w="828" w:type="dxa"/>
          </w:tcPr>
          <w:p>
            <w:pPr>
              <w:pStyle w:val="TableParagraph"/>
              <w:ind w:right="1"/>
              <w:jc w:val="center"/>
              <w:rPr>
                <w:sz w:val="22"/>
              </w:rPr>
            </w:pPr>
            <w:r>
              <w:rPr>
                <w:w w:val="100"/>
                <w:sz w:val="22"/>
              </w:rPr>
              <w:t>2</w:t>
            </w:r>
          </w:p>
        </w:tc>
        <w:tc>
          <w:tcPr>
            <w:tcW w:w="794" w:type="dxa"/>
          </w:tcPr>
          <w:p>
            <w:pPr>
              <w:pStyle w:val="TableParagraph"/>
              <w:ind w:left="88" w:right="44"/>
              <w:jc w:val="center"/>
              <w:rPr>
                <w:sz w:val="22"/>
              </w:rPr>
            </w:pPr>
            <w:r>
              <w:rPr>
                <w:sz w:val="22"/>
              </w:rPr>
              <w:t>121,03</w:t>
            </w:r>
          </w:p>
        </w:tc>
        <w:tc>
          <w:tcPr>
            <w:tcW w:w="475" w:type="dxa"/>
          </w:tcPr>
          <w:p>
            <w:pPr>
              <w:pStyle w:val="TableParagraph"/>
              <w:rPr>
                <w:sz w:val="22"/>
              </w:rPr>
            </w:pPr>
            <w:r>
              <w:rPr>
                <w:sz w:val="22"/>
              </w:rPr>
              <w:t>81</w:t>
            </w:r>
          </w:p>
        </w:tc>
        <w:tc>
          <w:tcPr>
            <w:tcW w:w="1073" w:type="dxa"/>
          </w:tcPr>
          <w:p>
            <w:pPr>
              <w:pStyle w:val="TableParagraph"/>
              <w:ind w:left="383" w:right="0"/>
              <w:jc w:val="left"/>
              <w:rPr>
                <w:sz w:val="22"/>
              </w:rPr>
            </w:pPr>
            <w:r>
              <w:rPr>
                <w:sz w:val="22"/>
              </w:rPr>
              <w:t>1,4340</w:t>
            </w:r>
          </w:p>
        </w:tc>
        <w:tc>
          <w:tcPr>
            <w:tcW w:w="1486" w:type="dxa"/>
          </w:tcPr>
          <w:p>
            <w:pPr>
              <w:pStyle w:val="TableParagraph"/>
              <w:ind w:right="63"/>
              <w:rPr>
                <w:sz w:val="22"/>
              </w:rPr>
            </w:pPr>
            <w:r>
              <w:rPr>
                <w:sz w:val="22"/>
              </w:rPr>
              <w:t>1,1983</w:t>
            </w:r>
          </w:p>
        </w:tc>
        <w:tc>
          <w:tcPr>
            <w:tcW w:w="1349" w:type="dxa"/>
          </w:tcPr>
          <w:p>
            <w:pPr>
              <w:pStyle w:val="TableParagraph"/>
              <w:rPr>
                <w:sz w:val="22"/>
              </w:rPr>
            </w:pPr>
            <w:r>
              <w:rPr>
                <w:sz w:val="22"/>
              </w:rPr>
              <w:t>173,5570</w:t>
            </w:r>
          </w:p>
        </w:tc>
        <w:tc>
          <w:tcPr>
            <w:tcW w:w="1349" w:type="dxa"/>
          </w:tcPr>
          <w:p>
            <w:pPr>
              <w:pStyle w:val="TableParagraph"/>
              <w:rPr>
                <w:sz w:val="22"/>
              </w:rPr>
            </w:pPr>
            <w:r>
              <w:rPr>
                <w:sz w:val="22"/>
              </w:rPr>
              <w:t>1,0947</w:t>
            </w:r>
          </w:p>
        </w:tc>
        <w:tc>
          <w:tcPr>
            <w:tcW w:w="1433" w:type="dxa"/>
          </w:tcPr>
          <w:p>
            <w:pPr>
              <w:pStyle w:val="TableParagraph"/>
              <w:ind w:right="63"/>
              <w:rPr>
                <w:sz w:val="22"/>
              </w:rPr>
            </w:pPr>
            <w:r>
              <w:rPr>
                <w:sz w:val="22"/>
              </w:rPr>
              <w:t>71,7825</w:t>
            </w:r>
          </w:p>
        </w:tc>
        <w:tc>
          <w:tcPr>
            <w:tcW w:w="1658" w:type="dxa"/>
          </w:tcPr>
          <w:p>
            <w:pPr>
              <w:pStyle w:val="TableParagraph"/>
              <w:rPr>
                <w:sz w:val="22"/>
              </w:rPr>
            </w:pPr>
            <w:r>
              <w:rPr>
                <w:sz w:val="22"/>
              </w:rPr>
              <w:t>0,000148538</w:t>
            </w:r>
          </w:p>
        </w:tc>
      </w:tr>
      <w:tr>
        <w:trPr>
          <w:trHeight w:val="310" w:hRule="exact"/>
        </w:trPr>
        <w:tc>
          <w:tcPr>
            <w:tcW w:w="828" w:type="dxa"/>
          </w:tcPr>
          <w:p>
            <w:pPr>
              <w:pStyle w:val="TableParagraph"/>
              <w:ind w:right="1"/>
              <w:jc w:val="center"/>
              <w:rPr>
                <w:sz w:val="22"/>
              </w:rPr>
            </w:pPr>
            <w:r>
              <w:rPr>
                <w:w w:val="100"/>
                <w:sz w:val="22"/>
              </w:rPr>
              <w:t>3</w:t>
            </w:r>
          </w:p>
        </w:tc>
        <w:tc>
          <w:tcPr>
            <w:tcW w:w="794" w:type="dxa"/>
          </w:tcPr>
          <w:p>
            <w:pPr>
              <w:pStyle w:val="TableParagraph"/>
              <w:ind w:left="88" w:right="44"/>
              <w:jc w:val="center"/>
              <w:rPr>
                <w:sz w:val="22"/>
              </w:rPr>
            </w:pPr>
            <w:r>
              <w:rPr>
                <w:sz w:val="22"/>
              </w:rPr>
              <w:t>130,21</w:t>
            </w:r>
          </w:p>
        </w:tc>
        <w:tc>
          <w:tcPr>
            <w:tcW w:w="475" w:type="dxa"/>
          </w:tcPr>
          <w:p>
            <w:pPr>
              <w:pStyle w:val="TableParagraph"/>
              <w:rPr>
                <w:sz w:val="22"/>
              </w:rPr>
            </w:pPr>
            <w:r>
              <w:rPr>
                <w:sz w:val="22"/>
              </w:rPr>
              <w:t>77</w:t>
            </w:r>
          </w:p>
        </w:tc>
        <w:tc>
          <w:tcPr>
            <w:tcW w:w="1073" w:type="dxa"/>
          </w:tcPr>
          <w:p>
            <w:pPr>
              <w:pStyle w:val="TableParagraph"/>
              <w:ind w:left="383" w:right="0"/>
              <w:jc w:val="left"/>
              <w:rPr>
                <w:sz w:val="22"/>
              </w:rPr>
            </w:pPr>
            <w:r>
              <w:rPr>
                <w:sz w:val="22"/>
              </w:rPr>
              <w:t>0,7040</w:t>
            </w:r>
          </w:p>
        </w:tc>
        <w:tc>
          <w:tcPr>
            <w:tcW w:w="1486" w:type="dxa"/>
          </w:tcPr>
          <w:p>
            <w:pPr>
              <w:pStyle w:val="TableParagraph"/>
              <w:ind w:right="63"/>
              <w:rPr>
                <w:sz w:val="22"/>
              </w:rPr>
            </w:pPr>
            <w:r>
              <w:rPr>
                <w:sz w:val="22"/>
              </w:rPr>
              <w:t>0,0608</w:t>
            </w:r>
          </w:p>
        </w:tc>
        <w:tc>
          <w:tcPr>
            <w:tcW w:w="1349" w:type="dxa"/>
          </w:tcPr>
          <w:p>
            <w:pPr>
              <w:pStyle w:val="TableParagraph"/>
              <w:rPr>
                <w:sz w:val="22"/>
              </w:rPr>
            </w:pPr>
            <w:r>
              <w:rPr>
                <w:sz w:val="22"/>
              </w:rPr>
              <w:t>91,6678</w:t>
            </w:r>
          </w:p>
        </w:tc>
        <w:tc>
          <w:tcPr>
            <w:tcW w:w="1349" w:type="dxa"/>
          </w:tcPr>
          <w:p>
            <w:pPr>
              <w:pStyle w:val="TableParagraph"/>
              <w:rPr>
                <w:sz w:val="22"/>
              </w:rPr>
            </w:pPr>
            <w:r>
              <w:rPr>
                <w:sz w:val="22"/>
              </w:rPr>
              <w:t>0,2466</w:t>
            </w:r>
          </w:p>
        </w:tc>
        <w:tc>
          <w:tcPr>
            <w:tcW w:w="1433" w:type="dxa"/>
          </w:tcPr>
          <w:p>
            <w:pPr>
              <w:pStyle w:val="TableParagraph"/>
              <w:ind w:right="63"/>
              <w:rPr>
                <w:sz w:val="22"/>
              </w:rPr>
            </w:pPr>
            <w:r>
              <w:rPr>
                <w:sz w:val="22"/>
              </w:rPr>
              <w:t>5,5540</w:t>
            </w:r>
          </w:p>
        </w:tc>
        <w:tc>
          <w:tcPr>
            <w:tcW w:w="1658" w:type="dxa"/>
          </w:tcPr>
          <w:p>
            <w:pPr>
              <w:pStyle w:val="TableParagraph"/>
              <w:rPr>
                <w:sz w:val="22"/>
              </w:rPr>
            </w:pPr>
            <w:r>
              <w:rPr>
                <w:sz w:val="22"/>
              </w:rPr>
              <w:t>1,14927E-05</w:t>
            </w:r>
          </w:p>
        </w:tc>
      </w:tr>
      <w:tr>
        <w:trPr>
          <w:trHeight w:val="310" w:hRule="exact"/>
        </w:trPr>
        <w:tc>
          <w:tcPr>
            <w:tcW w:w="828" w:type="dxa"/>
          </w:tcPr>
          <w:p>
            <w:pPr>
              <w:pStyle w:val="TableParagraph"/>
              <w:ind w:right="1"/>
              <w:jc w:val="center"/>
              <w:rPr>
                <w:sz w:val="22"/>
              </w:rPr>
            </w:pPr>
            <w:r>
              <w:rPr>
                <w:w w:val="100"/>
                <w:sz w:val="22"/>
              </w:rPr>
              <w:t>4</w:t>
            </w:r>
          </w:p>
        </w:tc>
        <w:tc>
          <w:tcPr>
            <w:tcW w:w="794" w:type="dxa"/>
          </w:tcPr>
          <w:p>
            <w:pPr>
              <w:pStyle w:val="TableParagraph"/>
              <w:ind w:left="88" w:right="44"/>
              <w:jc w:val="center"/>
              <w:rPr>
                <w:sz w:val="22"/>
              </w:rPr>
            </w:pPr>
            <w:r>
              <w:rPr>
                <w:sz w:val="22"/>
              </w:rPr>
              <w:t>155,12</w:t>
            </w:r>
          </w:p>
        </w:tc>
        <w:tc>
          <w:tcPr>
            <w:tcW w:w="475" w:type="dxa"/>
          </w:tcPr>
          <w:p>
            <w:pPr>
              <w:pStyle w:val="TableParagraph"/>
              <w:rPr>
                <w:sz w:val="22"/>
              </w:rPr>
            </w:pPr>
            <w:r>
              <w:rPr>
                <w:sz w:val="22"/>
              </w:rPr>
              <w:t>92</w:t>
            </w:r>
          </w:p>
        </w:tc>
        <w:tc>
          <w:tcPr>
            <w:tcW w:w="1073" w:type="dxa"/>
          </w:tcPr>
          <w:p>
            <w:pPr>
              <w:pStyle w:val="TableParagraph"/>
              <w:ind w:left="383" w:right="0"/>
              <w:jc w:val="left"/>
              <w:rPr>
                <w:sz w:val="22"/>
              </w:rPr>
            </w:pPr>
            <w:r>
              <w:rPr>
                <w:sz w:val="22"/>
              </w:rPr>
              <w:t>0,5100</w:t>
            </w:r>
          </w:p>
        </w:tc>
        <w:tc>
          <w:tcPr>
            <w:tcW w:w="1486" w:type="dxa"/>
          </w:tcPr>
          <w:p>
            <w:pPr>
              <w:pStyle w:val="TableParagraph"/>
              <w:ind w:right="63"/>
              <w:rPr>
                <w:sz w:val="22"/>
              </w:rPr>
            </w:pPr>
            <w:r>
              <w:rPr>
                <w:sz w:val="22"/>
              </w:rPr>
              <w:t>0,0035</w:t>
            </w:r>
          </w:p>
        </w:tc>
        <w:tc>
          <w:tcPr>
            <w:tcW w:w="1349" w:type="dxa"/>
          </w:tcPr>
          <w:p>
            <w:pPr>
              <w:pStyle w:val="TableParagraph"/>
              <w:rPr>
                <w:sz w:val="22"/>
              </w:rPr>
            </w:pPr>
            <w:r>
              <w:rPr>
                <w:sz w:val="22"/>
              </w:rPr>
              <w:t>79,1112</w:t>
            </w:r>
          </w:p>
        </w:tc>
        <w:tc>
          <w:tcPr>
            <w:tcW w:w="1349" w:type="dxa"/>
          </w:tcPr>
          <w:p>
            <w:pPr>
              <w:pStyle w:val="TableParagraph"/>
              <w:rPr>
                <w:sz w:val="22"/>
              </w:rPr>
            </w:pPr>
            <w:r>
              <w:rPr>
                <w:sz w:val="22"/>
              </w:rPr>
              <w:t>0,0592</w:t>
            </w:r>
          </w:p>
        </w:tc>
        <w:tc>
          <w:tcPr>
            <w:tcW w:w="1433" w:type="dxa"/>
          </w:tcPr>
          <w:p>
            <w:pPr>
              <w:pStyle w:val="TableParagraph"/>
              <w:ind w:right="63"/>
              <w:rPr>
                <w:sz w:val="22"/>
              </w:rPr>
            </w:pPr>
            <w:r>
              <w:rPr>
                <w:sz w:val="22"/>
              </w:rPr>
              <w:t>0,3744</w:t>
            </w:r>
          </w:p>
        </w:tc>
        <w:tc>
          <w:tcPr>
            <w:tcW w:w="1658" w:type="dxa"/>
          </w:tcPr>
          <w:p>
            <w:pPr>
              <w:pStyle w:val="TableParagraph"/>
              <w:rPr>
                <w:sz w:val="22"/>
              </w:rPr>
            </w:pPr>
            <w:r>
              <w:rPr>
                <w:sz w:val="22"/>
              </w:rPr>
              <w:t>7,74705E-07</w:t>
            </w:r>
          </w:p>
        </w:tc>
      </w:tr>
      <w:tr>
        <w:trPr>
          <w:trHeight w:val="312" w:hRule="exact"/>
        </w:trPr>
        <w:tc>
          <w:tcPr>
            <w:tcW w:w="828" w:type="dxa"/>
          </w:tcPr>
          <w:p>
            <w:pPr>
              <w:pStyle w:val="TableParagraph"/>
              <w:spacing w:before="30"/>
              <w:ind w:right="1"/>
              <w:jc w:val="center"/>
              <w:rPr>
                <w:sz w:val="22"/>
              </w:rPr>
            </w:pPr>
            <w:r>
              <w:rPr>
                <w:w w:val="100"/>
                <w:sz w:val="22"/>
              </w:rPr>
              <w:t>5</w:t>
            </w:r>
          </w:p>
        </w:tc>
        <w:tc>
          <w:tcPr>
            <w:tcW w:w="794" w:type="dxa"/>
          </w:tcPr>
          <w:p>
            <w:pPr>
              <w:pStyle w:val="TableParagraph"/>
              <w:spacing w:before="30"/>
              <w:ind w:left="88" w:right="44"/>
              <w:jc w:val="center"/>
              <w:rPr>
                <w:sz w:val="22"/>
              </w:rPr>
            </w:pPr>
            <w:r>
              <w:rPr>
                <w:sz w:val="22"/>
              </w:rPr>
              <w:t>180,21</w:t>
            </w:r>
          </w:p>
        </w:tc>
        <w:tc>
          <w:tcPr>
            <w:tcW w:w="475" w:type="dxa"/>
          </w:tcPr>
          <w:p>
            <w:pPr>
              <w:pStyle w:val="TableParagraph"/>
              <w:spacing w:before="30"/>
              <w:rPr>
                <w:sz w:val="22"/>
              </w:rPr>
            </w:pPr>
            <w:r>
              <w:rPr>
                <w:sz w:val="22"/>
              </w:rPr>
              <w:t>132</w:t>
            </w:r>
          </w:p>
        </w:tc>
        <w:tc>
          <w:tcPr>
            <w:tcW w:w="1073" w:type="dxa"/>
          </w:tcPr>
          <w:p>
            <w:pPr>
              <w:pStyle w:val="TableParagraph"/>
              <w:spacing w:before="30"/>
              <w:ind w:left="383" w:right="0"/>
              <w:jc w:val="left"/>
              <w:rPr>
                <w:sz w:val="22"/>
              </w:rPr>
            </w:pPr>
            <w:r>
              <w:rPr>
                <w:sz w:val="22"/>
              </w:rPr>
              <w:t>0,9100</w:t>
            </w:r>
          </w:p>
        </w:tc>
        <w:tc>
          <w:tcPr>
            <w:tcW w:w="1486" w:type="dxa"/>
          </w:tcPr>
          <w:p>
            <w:pPr>
              <w:pStyle w:val="TableParagraph"/>
              <w:spacing w:before="30"/>
              <w:ind w:right="63"/>
              <w:rPr>
                <w:sz w:val="22"/>
              </w:rPr>
            </w:pPr>
            <w:r>
              <w:rPr>
                <w:sz w:val="22"/>
              </w:rPr>
              <w:t>0,0353</w:t>
            </w:r>
          </w:p>
        </w:tc>
        <w:tc>
          <w:tcPr>
            <w:tcW w:w="1349" w:type="dxa"/>
          </w:tcPr>
          <w:p>
            <w:pPr>
              <w:pStyle w:val="TableParagraph"/>
              <w:spacing w:before="30"/>
              <w:rPr>
                <w:sz w:val="22"/>
              </w:rPr>
            </w:pPr>
            <w:r>
              <w:rPr>
                <w:sz w:val="22"/>
              </w:rPr>
              <w:t>163,9911</w:t>
            </w:r>
          </w:p>
        </w:tc>
        <w:tc>
          <w:tcPr>
            <w:tcW w:w="1349" w:type="dxa"/>
          </w:tcPr>
          <w:p>
            <w:pPr>
              <w:pStyle w:val="TableParagraph"/>
              <w:spacing w:before="30"/>
              <w:rPr>
                <w:sz w:val="22"/>
              </w:rPr>
            </w:pPr>
            <w:r>
              <w:rPr>
                <w:sz w:val="22"/>
              </w:rPr>
              <w:t>0,1878</w:t>
            </w:r>
          </w:p>
        </w:tc>
        <w:tc>
          <w:tcPr>
            <w:tcW w:w="1433" w:type="dxa"/>
          </w:tcPr>
          <w:p>
            <w:pPr>
              <w:pStyle w:val="TableParagraph"/>
              <w:spacing w:before="30"/>
              <w:ind w:right="63"/>
              <w:rPr>
                <w:sz w:val="22"/>
              </w:rPr>
            </w:pPr>
            <w:r>
              <w:rPr>
                <w:sz w:val="22"/>
              </w:rPr>
              <w:t>2,3194</w:t>
            </w:r>
          </w:p>
        </w:tc>
        <w:tc>
          <w:tcPr>
            <w:tcW w:w="1658" w:type="dxa"/>
          </w:tcPr>
          <w:p>
            <w:pPr>
              <w:pStyle w:val="TableParagraph"/>
              <w:spacing w:before="30"/>
              <w:rPr>
                <w:sz w:val="22"/>
              </w:rPr>
            </w:pPr>
            <w:r>
              <w:rPr>
                <w:sz w:val="22"/>
              </w:rPr>
              <w:t>4,79951E-06</w:t>
            </w:r>
          </w:p>
        </w:tc>
      </w:tr>
      <w:tr>
        <w:trPr>
          <w:trHeight w:val="310" w:hRule="exact"/>
        </w:trPr>
        <w:tc>
          <w:tcPr>
            <w:tcW w:w="828" w:type="dxa"/>
          </w:tcPr>
          <w:p>
            <w:pPr>
              <w:pStyle w:val="TableParagraph"/>
              <w:ind w:right="0"/>
              <w:jc w:val="center"/>
              <w:rPr>
                <w:sz w:val="22"/>
              </w:rPr>
            </w:pPr>
            <w:r>
              <w:rPr>
                <w:w w:val="100"/>
                <w:sz w:val="22"/>
              </w:rPr>
              <w:t>N</w:t>
            </w:r>
          </w:p>
        </w:tc>
        <w:tc>
          <w:tcPr>
            <w:tcW w:w="794" w:type="dxa"/>
          </w:tcPr>
          <w:p>
            <w:pPr>
              <w:pStyle w:val="TableParagraph"/>
              <w:ind w:left="88" w:right="44"/>
              <w:jc w:val="center"/>
              <w:rPr>
                <w:sz w:val="22"/>
              </w:rPr>
            </w:pPr>
            <w:r>
              <w:rPr>
                <w:sz w:val="22"/>
              </w:rPr>
              <w:t>695,17</w:t>
            </w:r>
          </w:p>
        </w:tc>
        <w:tc>
          <w:tcPr>
            <w:tcW w:w="475" w:type="dxa"/>
          </w:tcPr>
          <w:p>
            <w:pPr/>
          </w:p>
        </w:tc>
        <w:tc>
          <w:tcPr>
            <w:tcW w:w="1073" w:type="dxa"/>
          </w:tcPr>
          <w:p>
            <w:pPr/>
          </w:p>
        </w:tc>
        <w:tc>
          <w:tcPr>
            <w:tcW w:w="1486" w:type="dxa"/>
          </w:tcPr>
          <w:p>
            <w:pPr>
              <w:pStyle w:val="TableParagraph"/>
              <w:spacing w:before="16"/>
              <w:ind w:left="544" w:right="560"/>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9" w:type="dxa"/>
          </w:tcPr>
          <w:p>
            <w:pPr>
              <w:pStyle w:val="TableParagraph"/>
              <w:rPr>
                <w:sz w:val="22"/>
              </w:rPr>
            </w:pPr>
            <w:r>
              <w:rPr>
                <w:sz w:val="22"/>
              </w:rPr>
              <w:t>556,3284</w:t>
            </w:r>
          </w:p>
        </w:tc>
        <w:tc>
          <w:tcPr>
            <w:tcW w:w="1349" w:type="dxa"/>
          </w:tcPr>
          <w:p>
            <w:pPr/>
          </w:p>
        </w:tc>
        <w:tc>
          <w:tcPr>
            <w:tcW w:w="1433" w:type="dxa"/>
          </w:tcPr>
          <w:p>
            <w:pPr>
              <w:pStyle w:val="TableParagraph"/>
              <w:ind w:right="63"/>
              <w:rPr>
                <w:sz w:val="22"/>
              </w:rPr>
            </w:pPr>
            <w:r>
              <w:rPr>
                <w:sz w:val="22"/>
              </w:rPr>
              <w:t>74,9729</w:t>
            </w:r>
          </w:p>
        </w:tc>
        <w:tc>
          <w:tcPr>
            <w:tcW w:w="1658" w:type="dxa"/>
          </w:tcPr>
          <w:p>
            <w:pPr>
              <w:pStyle w:val="TableParagraph"/>
              <w:rPr>
                <w:sz w:val="22"/>
              </w:rPr>
            </w:pPr>
            <w:r>
              <w:rPr>
                <w:sz w:val="22"/>
              </w:rPr>
              <w:t>0,000155139</w:t>
            </w:r>
          </w:p>
        </w:tc>
      </w:tr>
      <w:tr>
        <w:trPr>
          <w:trHeight w:val="310" w:hRule="exact"/>
        </w:trPr>
        <w:tc>
          <w:tcPr>
            <w:tcW w:w="6005" w:type="dxa"/>
            <w:gridSpan w:val="6"/>
            <w:vMerge w:val="restart"/>
            <w:tcBorders>
              <w:left w:val="nil"/>
            </w:tcBorders>
          </w:tcPr>
          <w:p>
            <w:pPr/>
          </w:p>
        </w:tc>
        <w:tc>
          <w:tcPr>
            <w:tcW w:w="2782"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58" w:type="dxa"/>
          </w:tcPr>
          <w:p>
            <w:pPr>
              <w:pStyle w:val="TableParagraph"/>
              <w:rPr>
                <w:b/>
                <w:sz w:val="22"/>
              </w:rPr>
            </w:pPr>
            <w:r>
              <w:rPr>
                <w:b/>
                <w:sz w:val="22"/>
              </w:rPr>
              <w:t>0,800</w:t>
            </w:r>
          </w:p>
        </w:tc>
      </w:tr>
      <w:tr>
        <w:trPr>
          <w:trHeight w:val="310" w:hRule="exact"/>
        </w:trPr>
        <w:tc>
          <w:tcPr>
            <w:tcW w:w="6005" w:type="dxa"/>
            <w:gridSpan w:val="6"/>
            <w:vMerge/>
            <w:tcBorders>
              <w:left w:val="nil"/>
            </w:tcBorders>
          </w:tcPr>
          <w:p>
            <w:pPr/>
          </w:p>
        </w:tc>
        <w:tc>
          <w:tcPr>
            <w:tcW w:w="2782" w:type="dxa"/>
            <w:gridSpan w:val="2"/>
          </w:tcPr>
          <w:p>
            <w:pPr>
              <w:pStyle w:val="TableParagraph"/>
              <w:spacing w:before="13"/>
              <w:ind w:left="64" w:right="0"/>
              <w:jc w:val="left"/>
              <w:rPr>
                <w:sz w:val="22"/>
              </w:rPr>
            </w:pPr>
            <w:r>
              <w:rPr>
                <w:sz w:val="22"/>
              </w:rPr>
              <w:t>Desviación estándar</w:t>
            </w:r>
          </w:p>
        </w:tc>
        <w:tc>
          <w:tcPr>
            <w:tcW w:w="1658" w:type="dxa"/>
          </w:tcPr>
          <w:p>
            <w:pPr>
              <w:pStyle w:val="TableParagraph"/>
              <w:rPr>
                <w:b/>
                <w:sz w:val="22"/>
              </w:rPr>
            </w:pPr>
            <w:r>
              <w:rPr>
                <w:b/>
                <w:sz w:val="22"/>
              </w:rPr>
              <w:t>0,0125</w:t>
            </w:r>
          </w:p>
        </w:tc>
      </w:tr>
      <w:tr>
        <w:trPr>
          <w:trHeight w:val="310" w:hRule="exact"/>
        </w:trPr>
        <w:tc>
          <w:tcPr>
            <w:tcW w:w="6005" w:type="dxa"/>
            <w:gridSpan w:val="6"/>
            <w:vMerge/>
            <w:tcBorders>
              <w:left w:val="nil"/>
            </w:tcBorders>
          </w:tcPr>
          <w:p>
            <w:pPr/>
          </w:p>
        </w:tc>
        <w:tc>
          <w:tcPr>
            <w:tcW w:w="2782" w:type="dxa"/>
            <w:gridSpan w:val="2"/>
            <w:vMerge w:val="restart"/>
          </w:tcPr>
          <w:p>
            <w:pPr>
              <w:pStyle w:val="TableParagraph"/>
              <w:spacing w:before="33"/>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658" w:type="dxa"/>
          </w:tcPr>
          <w:p>
            <w:pPr>
              <w:pStyle w:val="TableParagraph"/>
              <w:rPr>
                <w:sz w:val="22"/>
              </w:rPr>
            </w:pPr>
            <w:r>
              <w:rPr>
                <w:sz w:val="22"/>
              </w:rPr>
              <w:t>0,78</w:t>
            </w:r>
          </w:p>
        </w:tc>
      </w:tr>
      <w:tr>
        <w:trPr>
          <w:trHeight w:val="310" w:hRule="exact"/>
        </w:trPr>
        <w:tc>
          <w:tcPr>
            <w:tcW w:w="6005" w:type="dxa"/>
            <w:gridSpan w:val="6"/>
            <w:vMerge/>
            <w:tcBorders>
              <w:left w:val="nil"/>
              <w:bottom w:val="nil"/>
            </w:tcBorders>
          </w:tcPr>
          <w:p>
            <w:pPr/>
          </w:p>
        </w:tc>
        <w:tc>
          <w:tcPr>
            <w:tcW w:w="2782" w:type="dxa"/>
            <w:gridSpan w:val="2"/>
            <w:vMerge/>
          </w:tcPr>
          <w:p>
            <w:pPr/>
          </w:p>
        </w:tc>
        <w:tc>
          <w:tcPr>
            <w:tcW w:w="1658" w:type="dxa"/>
          </w:tcPr>
          <w:p>
            <w:pPr>
              <w:pStyle w:val="TableParagraph"/>
              <w:rPr>
                <w:sz w:val="22"/>
              </w:rPr>
            </w:pPr>
            <w:r>
              <w:rPr>
                <w:sz w:val="22"/>
              </w:rPr>
              <w:t>0,82</w:t>
            </w:r>
          </w:p>
        </w:tc>
      </w:tr>
    </w:tbl>
    <w:p>
      <w:pPr>
        <w:pStyle w:val="BodyText"/>
        <w:spacing w:before="3"/>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8"/>
        <w:gridCol w:w="794"/>
        <w:gridCol w:w="475"/>
        <w:gridCol w:w="1073"/>
        <w:gridCol w:w="1486"/>
        <w:gridCol w:w="1349"/>
        <w:gridCol w:w="1349"/>
        <w:gridCol w:w="1433"/>
        <w:gridCol w:w="1658"/>
      </w:tblGrid>
      <w:tr>
        <w:trPr>
          <w:trHeight w:val="310" w:hRule="exact"/>
        </w:trPr>
        <w:tc>
          <w:tcPr>
            <w:tcW w:w="10445" w:type="dxa"/>
            <w:gridSpan w:val="9"/>
          </w:tcPr>
          <w:p>
            <w:pPr>
              <w:pStyle w:val="TableParagraph"/>
              <w:ind w:left="4236" w:right="4235"/>
              <w:jc w:val="center"/>
              <w:rPr>
                <w:sz w:val="22"/>
              </w:rPr>
            </w:pPr>
            <w:r>
              <w:rPr>
                <w:sz w:val="22"/>
              </w:rPr>
              <w:t>Punto de Muestreo E</w:t>
            </w:r>
          </w:p>
        </w:tc>
      </w:tr>
      <w:tr>
        <w:trPr>
          <w:trHeight w:val="310" w:hRule="exact"/>
        </w:trPr>
        <w:tc>
          <w:tcPr>
            <w:tcW w:w="828" w:type="dxa"/>
          </w:tcPr>
          <w:p>
            <w:pPr>
              <w:pStyle w:val="TableParagraph"/>
              <w:spacing w:before="11"/>
              <w:ind w:left="46" w:right="93"/>
              <w:jc w:val="center"/>
              <w:rPr>
                <w:sz w:val="22"/>
              </w:rPr>
            </w:pPr>
            <w:r>
              <w:rPr>
                <w:sz w:val="22"/>
              </w:rPr>
              <w:t>Estrato</w:t>
            </w:r>
          </w:p>
        </w:tc>
        <w:tc>
          <w:tcPr>
            <w:tcW w:w="794" w:type="dxa"/>
          </w:tcPr>
          <w:p>
            <w:pPr>
              <w:pStyle w:val="TableParagraph"/>
              <w:spacing w:before="40"/>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left="112" w:right="0"/>
              <w:jc w:val="left"/>
              <w:rPr>
                <w:rFonts w:ascii="Cambria Math"/>
                <w:sz w:val="16"/>
              </w:rPr>
            </w:pPr>
            <w:r>
              <w:rPr>
                <w:rFonts w:ascii="Cambria Math"/>
                <w:w w:val="110"/>
                <w:sz w:val="22"/>
              </w:rPr>
              <w:t>n</w:t>
            </w:r>
            <w:r>
              <w:rPr>
                <w:rFonts w:ascii="Cambria Math"/>
                <w:w w:val="110"/>
                <w:position w:val="-4"/>
                <w:sz w:val="16"/>
              </w:rPr>
              <w:t>h</w:t>
            </w:r>
          </w:p>
        </w:tc>
        <w:tc>
          <w:tcPr>
            <w:tcW w:w="1073" w:type="dxa"/>
          </w:tcPr>
          <w:p>
            <w:pPr>
              <w:pStyle w:val="TableParagraph"/>
              <w:spacing w:before="40"/>
              <w:ind w:left="415"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86" w:type="dxa"/>
          </w:tcPr>
          <w:p>
            <w:pPr>
              <w:pStyle w:val="TableParagraph"/>
              <w:spacing w:line="214" w:lineRule="exact" w:before="6"/>
              <w:ind w:left="544" w:right="55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49" w:type="dxa"/>
          </w:tcPr>
          <w:p>
            <w:pPr>
              <w:pStyle w:val="TableParagraph"/>
              <w:spacing w:before="16"/>
              <w:ind w:left="534" w:right="54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49" w:type="dxa"/>
          </w:tcPr>
          <w:p>
            <w:pPr>
              <w:pStyle w:val="TableParagraph"/>
              <w:spacing w:before="40"/>
              <w:ind w:left="534" w:right="545"/>
              <w:jc w:val="center"/>
              <w:rPr>
                <w:rFonts w:ascii="Cambria Math"/>
                <w:sz w:val="16"/>
              </w:rPr>
            </w:pPr>
            <w:r>
              <w:rPr>
                <w:rFonts w:ascii="Cambria Math"/>
                <w:w w:val="110"/>
                <w:sz w:val="22"/>
              </w:rPr>
              <w:t>s</w:t>
            </w:r>
            <w:r>
              <w:rPr>
                <w:rFonts w:ascii="Cambria Math"/>
                <w:w w:val="110"/>
                <w:position w:val="-4"/>
                <w:sz w:val="16"/>
              </w:rPr>
              <w:t>h</w:t>
            </w:r>
          </w:p>
        </w:tc>
        <w:tc>
          <w:tcPr>
            <w:tcW w:w="1433" w:type="dxa"/>
          </w:tcPr>
          <w:p>
            <w:pPr>
              <w:pStyle w:val="TableParagraph"/>
              <w:spacing w:before="0"/>
              <w:ind w:left="38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58" w:type="dxa"/>
          </w:tcPr>
          <w:p>
            <w:pPr>
              <w:pStyle w:val="TableParagraph"/>
              <w:spacing w:before="0"/>
              <w:ind w:left="47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28" w:type="dxa"/>
          </w:tcPr>
          <w:p>
            <w:pPr>
              <w:pStyle w:val="TableParagraph"/>
              <w:spacing w:before="13"/>
              <w:ind w:right="1"/>
              <w:jc w:val="center"/>
              <w:rPr>
                <w:sz w:val="22"/>
              </w:rPr>
            </w:pPr>
            <w:r>
              <w:rPr>
                <w:w w:val="100"/>
                <w:sz w:val="22"/>
              </w:rPr>
              <w:t>1</w:t>
            </w:r>
          </w:p>
        </w:tc>
        <w:tc>
          <w:tcPr>
            <w:tcW w:w="794" w:type="dxa"/>
          </w:tcPr>
          <w:p>
            <w:pPr>
              <w:pStyle w:val="TableParagraph"/>
              <w:ind w:left="88" w:right="44"/>
              <w:jc w:val="center"/>
              <w:rPr>
                <w:sz w:val="22"/>
              </w:rPr>
            </w:pPr>
            <w:r>
              <w:rPr>
                <w:sz w:val="22"/>
              </w:rPr>
              <w:t>108,60</w:t>
            </w:r>
          </w:p>
        </w:tc>
        <w:tc>
          <w:tcPr>
            <w:tcW w:w="475" w:type="dxa"/>
          </w:tcPr>
          <w:p>
            <w:pPr>
              <w:pStyle w:val="TableParagraph"/>
              <w:rPr>
                <w:sz w:val="22"/>
              </w:rPr>
            </w:pPr>
            <w:r>
              <w:rPr>
                <w:sz w:val="22"/>
              </w:rPr>
              <w:t>108</w:t>
            </w:r>
          </w:p>
        </w:tc>
        <w:tc>
          <w:tcPr>
            <w:tcW w:w="1073" w:type="dxa"/>
          </w:tcPr>
          <w:p>
            <w:pPr>
              <w:pStyle w:val="TableParagraph"/>
              <w:ind w:left="383" w:right="0"/>
              <w:jc w:val="left"/>
              <w:rPr>
                <w:sz w:val="22"/>
              </w:rPr>
            </w:pPr>
            <w:r>
              <w:rPr>
                <w:sz w:val="22"/>
              </w:rPr>
              <w:t>0,5980</w:t>
            </w:r>
          </w:p>
        </w:tc>
        <w:tc>
          <w:tcPr>
            <w:tcW w:w="1486" w:type="dxa"/>
          </w:tcPr>
          <w:p>
            <w:pPr>
              <w:pStyle w:val="TableParagraph"/>
              <w:ind w:right="63"/>
              <w:rPr>
                <w:sz w:val="22"/>
              </w:rPr>
            </w:pPr>
            <w:r>
              <w:rPr>
                <w:sz w:val="22"/>
              </w:rPr>
              <w:t>0,3385</w:t>
            </w:r>
          </w:p>
        </w:tc>
        <w:tc>
          <w:tcPr>
            <w:tcW w:w="1349" w:type="dxa"/>
          </w:tcPr>
          <w:p>
            <w:pPr>
              <w:pStyle w:val="TableParagraph"/>
              <w:rPr>
                <w:sz w:val="22"/>
              </w:rPr>
            </w:pPr>
            <w:r>
              <w:rPr>
                <w:sz w:val="22"/>
              </w:rPr>
              <w:t>64,9428</w:t>
            </w:r>
          </w:p>
        </w:tc>
        <w:tc>
          <w:tcPr>
            <w:tcW w:w="1349" w:type="dxa"/>
          </w:tcPr>
          <w:p>
            <w:pPr>
              <w:pStyle w:val="TableParagraph"/>
              <w:rPr>
                <w:sz w:val="22"/>
              </w:rPr>
            </w:pPr>
            <w:r>
              <w:rPr>
                <w:sz w:val="22"/>
              </w:rPr>
              <w:t>0,5818</w:t>
            </w:r>
          </w:p>
        </w:tc>
        <w:tc>
          <w:tcPr>
            <w:tcW w:w="1433" w:type="dxa"/>
          </w:tcPr>
          <w:p>
            <w:pPr>
              <w:pStyle w:val="TableParagraph"/>
              <w:ind w:right="63"/>
              <w:rPr>
                <w:sz w:val="22"/>
              </w:rPr>
            </w:pPr>
            <w:r>
              <w:rPr>
                <w:sz w:val="22"/>
              </w:rPr>
              <w:t>-12,3592907</w:t>
            </w:r>
          </w:p>
        </w:tc>
        <w:tc>
          <w:tcPr>
            <w:tcW w:w="1658" w:type="dxa"/>
          </w:tcPr>
          <w:p>
            <w:pPr>
              <w:pStyle w:val="TableParagraph"/>
              <w:rPr>
                <w:sz w:val="22"/>
              </w:rPr>
            </w:pPr>
            <w:r>
              <w:rPr>
                <w:sz w:val="22"/>
              </w:rPr>
              <w:t>-2,55748E-05</w:t>
            </w:r>
          </w:p>
        </w:tc>
      </w:tr>
      <w:tr>
        <w:trPr>
          <w:trHeight w:val="310" w:hRule="exact"/>
        </w:trPr>
        <w:tc>
          <w:tcPr>
            <w:tcW w:w="828" w:type="dxa"/>
          </w:tcPr>
          <w:p>
            <w:pPr>
              <w:pStyle w:val="TableParagraph"/>
              <w:spacing w:before="13"/>
              <w:ind w:right="1"/>
              <w:jc w:val="center"/>
              <w:rPr>
                <w:sz w:val="22"/>
              </w:rPr>
            </w:pPr>
            <w:r>
              <w:rPr>
                <w:w w:val="100"/>
                <w:sz w:val="22"/>
              </w:rPr>
              <w:t>2</w:t>
            </w:r>
          </w:p>
        </w:tc>
        <w:tc>
          <w:tcPr>
            <w:tcW w:w="794" w:type="dxa"/>
          </w:tcPr>
          <w:p>
            <w:pPr>
              <w:pStyle w:val="TableParagraph"/>
              <w:ind w:left="88" w:right="44"/>
              <w:jc w:val="center"/>
              <w:rPr>
                <w:sz w:val="22"/>
              </w:rPr>
            </w:pPr>
            <w:r>
              <w:rPr>
                <w:sz w:val="22"/>
              </w:rPr>
              <w:t>121,03</w:t>
            </w:r>
          </w:p>
        </w:tc>
        <w:tc>
          <w:tcPr>
            <w:tcW w:w="475" w:type="dxa"/>
          </w:tcPr>
          <w:p>
            <w:pPr>
              <w:pStyle w:val="TableParagraph"/>
              <w:rPr>
                <w:sz w:val="22"/>
              </w:rPr>
            </w:pPr>
            <w:r>
              <w:rPr>
                <w:sz w:val="22"/>
              </w:rPr>
              <w:t>81</w:t>
            </w:r>
          </w:p>
        </w:tc>
        <w:tc>
          <w:tcPr>
            <w:tcW w:w="1073" w:type="dxa"/>
          </w:tcPr>
          <w:p>
            <w:pPr>
              <w:pStyle w:val="TableParagraph"/>
              <w:ind w:left="383" w:right="0"/>
              <w:jc w:val="left"/>
              <w:rPr>
                <w:sz w:val="22"/>
              </w:rPr>
            </w:pPr>
            <w:r>
              <w:rPr>
                <w:sz w:val="22"/>
              </w:rPr>
              <w:t>1,5600</w:t>
            </w:r>
          </w:p>
        </w:tc>
        <w:tc>
          <w:tcPr>
            <w:tcW w:w="1486" w:type="dxa"/>
          </w:tcPr>
          <w:p>
            <w:pPr>
              <w:pStyle w:val="TableParagraph"/>
              <w:ind w:right="63"/>
              <w:rPr>
                <w:sz w:val="22"/>
              </w:rPr>
            </w:pPr>
            <w:r>
              <w:rPr>
                <w:sz w:val="22"/>
              </w:rPr>
              <w:t>1,7416</w:t>
            </w:r>
          </w:p>
        </w:tc>
        <w:tc>
          <w:tcPr>
            <w:tcW w:w="1349" w:type="dxa"/>
          </w:tcPr>
          <w:p>
            <w:pPr>
              <w:pStyle w:val="TableParagraph"/>
              <w:rPr>
                <w:sz w:val="22"/>
              </w:rPr>
            </w:pPr>
            <w:r>
              <w:rPr>
                <w:sz w:val="22"/>
              </w:rPr>
              <w:t>188,8068</w:t>
            </w:r>
          </w:p>
        </w:tc>
        <w:tc>
          <w:tcPr>
            <w:tcW w:w="1349" w:type="dxa"/>
          </w:tcPr>
          <w:p>
            <w:pPr>
              <w:pStyle w:val="TableParagraph"/>
              <w:rPr>
                <w:sz w:val="22"/>
              </w:rPr>
            </w:pPr>
            <w:r>
              <w:rPr>
                <w:sz w:val="22"/>
              </w:rPr>
              <w:t>1,3197</w:t>
            </w:r>
          </w:p>
        </w:tc>
        <w:tc>
          <w:tcPr>
            <w:tcW w:w="1433" w:type="dxa"/>
          </w:tcPr>
          <w:p>
            <w:pPr>
              <w:pStyle w:val="TableParagraph"/>
              <w:ind w:right="63"/>
              <w:rPr>
                <w:sz w:val="22"/>
              </w:rPr>
            </w:pPr>
            <w:r>
              <w:rPr>
                <w:sz w:val="22"/>
              </w:rPr>
              <w:t>104,325456</w:t>
            </w:r>
          </w:p>
        </w:tc>
        <w:tc>
          <w:tcPr>
            <w:tcW w:w="1658" w:type="dxa"/>
          </w:tcPr>
          <w:p>
            <w:pPr>
              <w:pStyle w:val="TableParagraph"/>
              <w:rPr>
                <w:sz w:val="22"/>
              </w:rPr>
            </w:pPr>
            <w:r>
              <w:rPr>
                <w:sz w:val="22"/>
              </w:rPr>
              <w:t>0,000215878</w:t>
            </w:r>
          </w:p>
        </w:tc>
      </w:tr>
      <w:tr>
        <w:trPr>
          <w:trHeight w:val="310" w:hRule="exact"/>
        </w:trPr>
        <w:tc>
          <w:tcPr>
            <w:tcW w:w="828" w:type="dxa"/>
          </w:tcPr>
          <w:p>
            <w:pPr>
              <w:pStyle w:val="TableParagraph"/>
              <w:spacing w:before="13"/>
              <w:ind w:right="1"/>
              <w:jc w:val="center"/>
              <w:rPr>
                <w:sz w:val="22"/>
              </w:rPr>
            </w:pPr>
            <w:r>
              <w:rPr>
                <w:w w:val="100"/>
                <w:sz w:val="22"/>
              </w:rPr>
              <w:t>3</w:t>
            </w:r>
          </w:p>
        </w:tc>
        <w:tc>
          <w:tcPr>
            <w:tcW w:w="794" w:type="dxa"/>
          </w:tcPr>
          <w:p>
            <w:pPr>
              <w:pStyle w:val="TableParagraph"/>
              <w:ind w:left="88" w:right="44"/>
              <w:jc w:val="center"/>
              <w:rPr>
                <w:sz w:val="22"/>
              </w:rPr>
            </w:pPr>
            <w:r>
              <w:rPr>
                <w:sz w:val="22"/>
              </w:rPr>
              <w:t>130,21</w:t>
            </w:r>
          </w:p>
        </w:tc>
        <w:tc>
          <w:tcPr>
            <w:tcW w:w="475" w:type="dxa"/>
          </w:tcPr>
          <w:p>
            <w:pPr>
              <w:pStyle w:val="TableParagraph"/>
              <w:rPr>
                <w:sz w:val="22"/>
              </w:rPr>
            </w:pPr>
            <w:r>
              <w:rPr>
                <w:sz w:val="22"/>
              </w:rPr>
              <w:t>77</w:t>
            </w:r>
          </w:p>
        </w:tc>
        <w:tc>
          <w:tcPr>
            <w:tcW w:w="1073" w:type="dxa"/>
          </w:tcPr>
          <w:p>
            <w:pPr>
              <w:pStyle w:val="TableParagraph"/>
              <w:ind w:left="383" w:right="0"/>
              <w:jc w:val="left"/>
              <w:rPr>
                <w:sz w:val="22"/>
              </w:rPr>
            </w:pPr>
            <w:r>
              <w:rPr>
                <w:sz w:val="22"/>
              </w:rPr>
              <w:t>0,7040</w:t>
            </w:r>
          </w:p>
        </w:tc>
        <w:tc>
          <w:tcPr>
            <w:tcW w:w="1486" w:type="dxa"/>
          </w:tcPr>
          <w:p>
            <w:pPr>
              <w:pStyle w:val="TableParagraph"/>
              <w:ind w:right="63"/>
              <w:rPr>
                <w:sz w:val="22"/>
              </w:rPr>
            </w:pPr>
            <w:r>
              <w:rPr>
                <w:sz w:val="22"/>
              </w:rPr>
              <w:t>0,0533</w:t>
            </w:r>
          </w:p>
        </w:tc>
        <w:tc>
          <w:tcPr>
            <w:tcW w:w="1349" w:type="dxa"/>
          </w:tcPr>
          <w:p>
            <w:pPr>
              <w:pStyle w:val="TableParagraph"/>
              <w:rPr>
                <w:sz w:val="22"/>
              </w:rPr>
            </w:pPr>
            <w:r>
              <w:rPr>
                <w:sz w:val="22"/>
              </w:rPr>
              <w:t>91,6678</w:t>
            </w:r>
          </w:p>
        </w:tc>
        <w:tc>
          <w:tcPr>
            <w:tcW w:w="1349" w:type="dxa"/>
          </w:tcPr>
          <w:p>
            <w:pPr>
              <w:pStyle w:val="TableParagraph"/>
              <w:rPr>
                <w:sz w:val="22"/>
              </w:rPr>
            </w:pPr>
            <w:r>
              <w:rPr>
                <w:sz w:val="22"/>
              </w:rPr>
              <w:t>0,2309</w:t>
            </w:r>
          </w:p>
        </w:tc>
        <w:tc>
          <w:tcPr>
            <w:tcW w:w="1433" w:type="dxa"/>
          </w:tcPr>
          <w:p>
            <w:pPr>
              <w:pStyle w:val="TableParagraph"/>
              <w:ind w:right="63"/>
              <w:rPr>
                <w:sz w:val="22"/>
              </w:rPr>
            </w:pPr>
            <w:r>
              <w:rPr>
                <w:sz w:val="22"/>
              </w:rPr>
              <w:t>4,86921622</w:t>
            </w:r>
          </w:p>
        </w:tc>
        <w:tc>
          <w:tcPr>
            <w:tcW w:w="1658" w:type="dxa"/>
          </w:tcPr>
          <w:p>
            <w:pPr>
              <w:pStyle w:val="TableParagraph"/>
              <w:rPr>
                <w:sz w:val="22"/>
              </w:rPr>
            </w:pPr>
            <w:r>
              <w:rPr>
                <w:sz w:val="22"/>
              </w:rPr>
              <w:t>1,00757E-05</w:t>
            </w:r>
          </w:p>
        </w:tc>
      </w:tr>
      <w:tr>
        <w:trPr>
          <w:trHeight w:val="312" w:hRule="exact"/>
        </w:trPr>
        <w:tc>
          <w:tcPr>
            <w:tcW w:w="828" w:type="dxa"/>
          </w:tcPr>
          <w:p>
            <w:pPr>
              <w:pStyle w:val="TableParagraph"/>
              <w:spacing w:before="13"/>
              <w:ind w:right="1"/>
              <w:jc w:val="center"/>
              <w:rPr>
                <w:sz w:val="22"/>
              </w:rPr>
            </w:pPr>
            <w:r>
              <w:rPr>
                <w:w w:val="100"/>
                <w:sz w:val="22"/>
              </w:rPr>
              <w:t>4</w:t>
            </w:r>
          </w:p>
        </w:tc>
        <w:tc>
          <w:tcPr>
            <w:tcW w:w="794" w:type="dxa"/>
          </w:tcPr>
          <w:p>
            <w:pPr>
              <w:pStyle w:val="TableParagraph"/>
              <w:spacing w:before="30"/>
              <w:ind w:left="88" w:right="44"/>
              <w:jc w:val="center"/>
              <w:rPr>
                <w:sz w:val="22"/>
              </w:rPr>
            </w:pPr>
            <w:r>
              <w:rPr>
                <w:sz w:val="22"/>
              </w:rPr>
              <w:t>155,12</w:t>
            </w:r>
          </w:p>
        </w:tc>
        <w:tc>
          <w:tcPr>
            <w:tcW w:w="475" w:type="dxa"/>
          </w:tcPr>
          <w:p>
            <w:pPr>
              <w:pStyle w:val="TableParagraph"/>
              <w:spacing w:before="30"/>
              <w:rPr>
                <w:sz w:val="22"/>
              </w:rPr>
            </w:pPr>
            <w:r>
              <w:rPr>
                <w:sz w:val="22"/>
              </w:rPr>
              <w:t>92</w:t>
            </w:r>
          </w:p>
        </w:tc>
        <w:tc>
          <w:tcPr>
            <w:tcW w:w="1073" w:type="dxa"/>
          </w:tcPr>
          <w:p>
            <w:pPr>
              <w:pStyle w:val="TableParagraph"/>
              <w:spacing w:before="30"/>
              <w:ind w:left="383" w:right="0"/>
              <w:jc w:val="left"/>
              <w:rPr>
                <w:sz w:val="22"/>
              </w:rPr>
            </w:pPr>
            <w:r>
              <w:rPr>
                <w:sz w:val="22"/>
              </w:rPr>
              <w:t>0,5380</w:t>
            </w:r>
          </w:p>
        </w:tc>
        <w:tc>
          <w:tcPr>
            <w:tcW w:w="1486" w:type="dxa"/>
          </w:tcPr>
          <w:p>
            <w:pPr>
              <w:pStyle w:val="TableParagraph"/>
              <w:spacing w:before="30"/>
              <w:ind w:right="63"/>
              <w:rPr>
                <w:sz w:val="22"/>
              </w:rPr>
            </w:pPr>
            <w:r>
              <w:rPr>
                <w:sz w:val="22"/>
              </w:rPr>
              <w:t>0,0132</w:t>
            </w:r>
          </w:p>
        </w:tc>
        <w:tc>
          <w:tcPr>
            <w:tcW w:w="1349" w:type="dxa"/>
          </w:tcPr>
          <w:p>
            <w:pPr>
              <w:pStyle w:val="TableParagraph"/>
              <w:spacing w:before="30"/>
              <w:rPr>
                <w:sz w:val="22"/>
              </w:rPr>
            </w:pPr>
            <w:r>
              <w:rPr>
                <w:sz w:val="22"/>
              </w:rPr>
              <w:t>83,4546</w:t>
            </w:r>
          </w:p>
        </w:tc>
        <w:tc>
          <w:tcPr>
            <w:tcW w:w="1349" w:type="dxa"/>
          </w:tcPr>
          <w:p>
            <w:pPr>
              <w:pStyle w:val="TableParagraph"/>
              <w:spacing w:before="30"/>
              <w:rPr>
                <w:sz w:val="22"/>
              </w:rPr>
            </w:pPr>
            <w:r>
              <w:rPr>
                <w:sz w:val="22"/>
              </w:rPr>
              <w:t>0,1150</w:t>
            </w:r>
          </w:p>
        </w:tc>
        <w:tc>
          <w:tcPr>
            <w:tcW w:w="1433" w:type="dxa"/>
          </w:tcPr>
          <w:p>
            <w:pPr>
              <w:pStyle w:val="TableParagraph"/>
              <w:spacing w:before="30"/>
              <w:ind w:right="63"/>
              <w:rPr>
                <w:sz w:val="22"/>
              </w:rPr>
            </w:pPr>
            <w:r>
              <w:rPr>
                <w:sz w:val="22"/>
              </w:rPr>
              <w:t>1,41410474</w:t>
            </w:r>
          </w:p>
        </w:tc>
        <w:tc>
          <w:tcPr>
            <w:tcW w:w="1658" w:type="dxa"/>
          </w:tcPr>
          <w:p>
            <w:pPr>
              <w:pStyle w:val="TableParagraph"/>
              <w:spacing w:before="30"/>
              <w:rPr>
                <w:sz w:val="22"/>
              </w:rPr>
            </w:pPr>
            <w:r>
              <w:rPr>
                <w:sz w:val="22"/>
              </w:rPr>
              <w:t>2,92617E-06</w:t>
            </w:r>
          </w:p>
        </w:tc>
      </w:tr>
      <w:tr>
        <w:trPr>
          <w:trHeight w:val="310" w:hRule="exact"/>
        </w:trPr>
        <w:tc>
          <w:tcPr>
            <w:tcW w:w="828" w:type="dxa"/>
          </w:tcPr>
          <w:p>
            <w:pPr>
              <w:pStyle w:val="TableParagraph"/>
              <w:spacing w:before="11"/>
              <w:ind w:right="1"/>
              <w:jc w:val="center"/>
              <w:rPr>
                <w:sz w:val="22"/>
              </w:rPr>
            </w:pPr>
            <w:r>
              <w:rPr>
                <w:w w:val="100"/>
                <w:sz w:val="22"/>
              </w:rPr>
              <w:t>5</w:t>
            </w:r>
          </w:p>
        </w:tc>
        <w:tc>
          <w:tcPr>
            <w:tcW w:w="794" w:type="dxa"/>
          </w:tcPr>
          <w:p>
            <w:pPr>
              <w:pStyle w:val="TableParagraph"/>
              <w:ind w:left="88" w:right="44"/>
              <w:jc w:val="center"/>
              <w:rPr>
                <w:sz w:val="22"/>
              </w:rPr>
            </w:pPr>
            <w:r>
              <w:rPr>
                <w:sz w:val="22"/>
              </w:rPr>
              <w:t>180,21</w:t>
            </w:r>
          </w:p>
        </w:tc>
        <w:tc>
          <w:tcPr>
            <w:tcW w:w="475" w:type="dxa"/>
          </w:tcPr>
          <w:p>
            <w:pPr>
              <w:pStyle w:val="TableParagraph"/>
              <w:rPr>
                <w:sz w:val="22"/>
              </w:rPr>
            </w:pPr>
            <w:r>
              <w:rPr>
                <w:sz w:val="22"/>
              </w:rPr>
              <w:t>132</w:t>
            </w:r>
          </w:p>
        </w:tc>
        <w:tc>
          <w:tcPr>
            <w:tcW w:w="1073" w:type="dxa"/>
          </w:tcPr>
          <w:p>
            <w:pPr>
              <w:pStyle w:val="TableParagraph"/>
              <w:ind w:left="383" w:right="0"/>
              <w:jc w:val="left"/>
              <w:rPr>
                <w:sz w:val="22"/>
              </w:rPr>
            </w:pPr>
            <w:r>
              <w:rPr>
                <w:sz w:val="22"/>
              </w:rPr>
              <w:t>0,9517</w:t>
            </w:r>
          </w:p>
        </w:tc>
        <w:tc>
          <w:tcPr>
            <w:tcW w:w="1486" w:type="dxa"/>
          </w:tcPr>
          <w:p>
            <w:pPr>
              <w:pStyle w:val="TableParagraph"/>
              <w:ind w:right="63"/>
              <w:rPr>
                <w:sz w:val="22"/>
              </w:rPr>
            </w:pPr>
            <w:r>
              <w:rPr>
                <w:sz w:val="22"/>
              </w:rPr>
              <w:t>0,0119</w:t>
            </w:r>
          </w:p>
        </w:tc>
        <w:tc>
          <w:tcPr>
            <w:tcW w:w="1349" w:type="dxa"/>
          </w:tcPr>
          <w:p>
            <w:pPr>
              <w:pStyle w:val="TableParagraph"/>
              <w:rPr>
                <w:sz w:val="22"/>
              </w:rPr>
            </w:pPr>
            <w:r>
              <w:rPr>
                <w:sz w:val="22"/>
              </w:rPr>
              <w:t>171,4999</w:t>
            </w:r>
          </w:p>
        </w:tc>
        <w:tc>
          <w:tcPr>
            <w:tcW w:w="1349" w:type="dxa"/>
          </w:tcPr>
          <w:p>
            <w:pPr>
              <w:pStyle w:val="TableParagraph"/>
              <w:rPr>
                <w:sz w:val="22"/>
              </w:rPr>
            </w:pPr>
            <w:r>
              <w:rPr>
                <w:sz w:val="22"/>
              </w:rPr>
              <w:t>0,1089</w:t>
            </w:r>
          </w:p>
        </w:tc>
        <w:tc>
          <w:tcPr>
            <w:tcW w:w="1433" w:type="dxa"/>
          </w:tcPr>
          <w:p>
            <w:pPr>
              <w:pStyle w:val="TableParagraph"/>
              <w:ind w:right="63"/>
              <w:rPr>
                <w:sz w:val="22"/>
              </w:rPr>
            </w:pPr>
            <w:r>
              <w:rPr>
                <w:sz w:val="22"/>
              </w:rPr>
              <w:t>0,77949373</w:t>
            </w:r>
          </w:p>
        </w:tc>
        <w:tc>
          <w:tcPr>
            <w:tcW w:w="1658" w:type="dxa"/>
          </w:tcPr>
          <w:p>
            <w:pPr>
              <w:pStyle w:val="TableParagraph"/>
              <w:rPr>
                <w:sz w:val="22"/>
              </w:rPr>
            </w:pPr>
            <w:r>
              <w:rPr>
                <w:sz w:val="22"/>
              </w:rPr>
              <w:t>1,61299E-06</w:t>
            </w:r>
          </w:p>
        </w:tc>
      </w:tr>
      <w:tr>
        <w:trPr>
          <w:trHeight w:val="310" w:hRule="exact"/>
        </w:trPr>
        <w:tc>
          <w:tcPr>
            <w:tcW w:w="828" w:type="dxa"/>
          </w:tcPr>
          <w:p>
            <w:pPr>
              <w:pStyle w:val="TableParagraph"/>
              <w:spacing w:before="11"/>
              <w:ind w:right="0"/>
              <w:jc w:val="center"/>
              <w:rPr>
                <w:sz w:val="22"/>
              </w:rPr>
            </w:pPr>
            <w:r>
              <w:rPr>
                <w:w w:val="100"/>
                <w:sz w:val="22"/>
              </w:rPr>
              <w:t>N</w:t>
            </w:r>
          </w:p>
        </w:tc>
        <w:tc>
          <w:tcPr>
            <w:tcW w:w="794" w:type="dxa"/>
          </w:tcPr>
          <w:p>
            <w:pPr>
              <w:pStyle w:val="TableParagraph"/>
              <w:ind w:left="88" w:right="44"/>
              <w:jc w:val="center"/>
              <w:rPr>
                <w:sz w:val="22"/>
              </w:rPr>
            </w:pPr>
            <w:r>
              <w:rPr>
                <w:sz w:val="22"/>
              </w:rPr>
              <w:t>695,17</w:t>
            </w:r>
          </w:p>
        </w:tc>
        <w:tc>
          <w:tcPr>
            <w:tcW w:w="475" w:type="dxa"/>
          </w:tcPr>
          <w:p>
            <w:pPr/>
          </w:p>
        </w:tc>
        <w:tc>
          <w:tcPr>
            <w:tcW w:w="1073" w:type="dxa"/>
          </w:tcPr>
          <w:p>
            <w:pPr/>
          </w:p>
        </w:tc>
        <w:tc>
          <w:tcPr>
            <w:tcW w:w="1486" w:type="dxa"/>
          </w:tcPr>
          <w:p>
            <w:pPr>
              <w:pStyle w:val="TableParagraph"/>
              <w:spacing w:before="16"/>
              <w:ind w:left="544" w:right="560"/>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9" w:type="dxa"/>
          </w:tcPr>
          <w:p>
            <w:pPr>
              <w:pStyle w:val="TableParagraph"/>
              <w:rPr>
                <w:sz w:val="22"/>
              </w:rPr>
            </w:pPr>
            <w:r>
              <w:rPr>
                <w:sz w:val="22"/>
              </w:rPr>
              <w:t>600,3719</w:t>
            </w:r>
          </w:p>
        </w:tc>
        <w:tc>
          <w:tcPr>
            <w:tcW w:w="1349" w:type="dxa"/>
          </w:tcPr>
          <w:p>
            <w:pPr/>
          </w:p>
        </w:tc>
        <w:tc>
          <w:tcPr>
            <w:tcW w:w="1433" w:type="dxa"/>
          </w:tcPr>
          <w:p>
            <w:pPr>
              <w:pStyle w:val="TableParagraph"/>
              <w:ind w:right="63"/>
              <w:rPr>
                <w:sz w:val="22"/>
              </w:rPr>
            </w:pPr>
            <w:r>
              <w:rPr>
                <w:sz w:val="22"/>
              </w:rPr>
              <w:t>99,0290</w:t>
            </w:r>
          </w:p>
        </w:tc>
        <w:tc>
          <w:tcPr>
            <w:tcW w:w="1658" w:type="dxa"/>
          </w:tcPr>
          <w:p>
            <w:pPr>
              <w:pStyle w:val="TableParagraph"/>
              <w:rPr>
                <w:sz w:val="22"/>
              </w:rPr>
            </w:pPr>
            <w:r>
              <w:rPr>
                <w:sz w:val="22"/>
              </w:rPr>
              <w:t>0,0002</w:t>
            </w:r>
          </w:p>
        </w:tc>
      </w:tr>
      <w:tr>
        <w:trPr>
          <w:trHeight w:val="310" w:hRule="exact"/>
        </w:trPr>
        <w:tc>
          <w:tcPr>
            <w:tcW w:w="6005" w:type="dxa"/>
            <w:gridSpan w:val="6"/>
            <w:vMerge w:val="restart"/>
            <w:tcBorders>
              <w:left w:val="nil"/>
            </w:tcBorders>
          </w:tcPr>
          <w:p>
            <w:pPr/>
          </w:p>
        </w:tc>
        <w:tc>
          <w:tcPr>
            <w:tcW w:w="278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58" w:type="dxa"/>
          </w:tcPr>
          <w:p>
            <w:pPr>
              <w:pStyle w:val="TableParagraph"/>
              <w:rPr>
                <w:b/>
                <w:sz w:val="22"/>
              </w:rPr>
            </w:pPr>
            <w:r>
              <w:rPr>
                <w:b/>
                <w:sz w:val="22"/>
              </w:rPr>
              <w:t>0,864</w:t>
            </w:r>
          </w:p>
        </w:tc>
      </w:tr>
      <w:tr>
        <w:trPr>
          <w:trHeight w:val="310" w:hRule="exact"/>
        </w:trPr>
        <w:tc>
          <w:tcPr>
            <w:tcW w:w="6005" w:type="dxa"/>
            <w:gridSpan w:val="6"/>
            <w:vMerge/>
            <w:tcBorders>
              <w:left w:val="nil"/>
            </w:tcBorders>
          </w:tcPr>
          <w:p>
            <w:pPr/>
          </w:p>
        </w:tc>
        <w:tc>
          <w:tcPr>
            <w:tcW w:w="2782" w:type="dxa"/>
            <w:gridSpan w:val="2"/>
          </w:tcPr>
          <w:p>
            <w:pPr>
              <w:pStyle w:val="TableParagraph"/>
              <w:spacing w:before="13"/>
              <w:ind w:left="64" w:right="0"/>
              <w:jc w:val="left"/>
              <w:rPr>
                <w:sz w:val="22"/>
              </w:rPr>
            </w:pPr>
            <w:r>
              <w:rPr>
                <w:sz w:val="22"/>
              </w:rPr>
              <w:t>Desviación estándar</w:t>
            </w:r>
          </w:p>
        </w:tc>
        <w:tc>
          <w:tcPr>
            <w:tcW w:w="1658" w:type="dxa"/>
          </w:tcPr>
          <w:p>
            <w:pPr>
              <w:pStyle w:val="TableParagraph"/>
              <w:rPr>
                <w:b/>
                <w:sz w:val="22"/>
              </w:rPr>
            </w:pPr>
            <w:r>
              <w:rPr>
                <w:b/>
                <w:sz w:val="22"/>
              </w:rPr>
              <w:t>0,0143</w:t>
            </w:r>
          </w:p>
        </w:tc>
      </w:tr>
      <w:tr>
        <w:trPr>
          <w:trHeight w:val="310" w:hRule="exact"/>
        </w:trPr>
        <w:tc>
          <w:tcPr>
            <w:tcW w:w="6005" w:type="dxa"/>
            <w:gridSpan w:val="6"/>
            <w:vMerge/>
            <w:tcBorders>
              <w:left w:val="nil"/>
            </w:tcBorders>
          </w:tcPr>
          <w:p>
            <w:pPr/>
          </w:p>
        </w:tc>
        <w:tc>
          <w:tcPr>
            <w:tcW w:w="2782" w:type="dxa"/>
            <w:gridSpan w:val="2"/>
            <w:vMerge w:val="restart"/>
          </w:tcPr>
          <w:p>
            <w:pPr>
              <w:pStyle w:val="TableParagraph"/>
              <w:spacing w:line="267" w:lineRule="exact" w:before="35"/>
              <w:ind w:left="64" w:right="0"/>
              <w:jc w:val="left"/>
              <w:rPr>
                <w:sz w:val="22"/>
              </w:rPr>
            </w:pPr>
            <w:r>
              <w:rPr>
                <w:sz w:val="22"/>
              </w:rPr>
              <w:t>Intervalo de confianza al 95</w:t>
            </w:r>
          </w:p>
          <w:p>
            <w:pPr>
              <w:pStyle w:val="TableParagraph"/>
              <w:spacing w:line="267" w:lineRule="exact" w:before="0"/>
              <w:ind w:left="64" w:right="0"/>
              <w:jc w:val="left"/>
              <w:rPr>
                <w:sz w:val="22"/>
              </w:rPr>
            </w:pPr>
            <w:r>
              <w:rPr>
                <w:w w:val="100"/>
                <w:sz w:val="22"/>
              </w:rPr>
              <w:t>%</w:t>
            </w:r>
          </w:p>
        </w:tc>
        <w:tc>
          <w:tcPr>
            <w:tcW w:w="1658" w:type="dxa"/>
          </w:tcPr>
          <w:p>
            <w:pPr>
              <w:pStyle w:val="TableParagraph"/>
              <w:rPr>
                <w:sz w:val="22"/>
              </w:rPr>
            </w:pPr>
            <w:r>
              <w:rPr>
                <w:sz w:val="22"/>
              </w:rPr>
              <w:t>0,84</w:t>
            </w:r>
          </w:p>
        </w:tc>
      </w:tr>
      <w:tr>
        <w:trPr>
          <w:trHeight w:val="312" w:hRule="exact"/>
        </w:trPr>
        <w:tc>
          <w:tcPr>
            <w:tcW w:w="6005" w:type="dxa"/>
            <w:gridSpan w:val="6"/>
            <w:vMerge/>
            <w:tcBorders>
              <w:left w:val="nil"/>
              <w:bottom w:val="nil"/>
            </w:tcBorders>
          </w:tcPr>
          <w:p>
            <w:pPr/>
          </w:p>
        </w:tc>
        <w:tc>
          <w:tcPr>
            <w:tcW w:w="2782" w:type="dxa"/>
            <w:gridSpan w:val="2"/>
            <w:vMerge/>
          </w:tcPr>
          <w:p>
            <w:pPr/>
          </w:p>
        </w:tc>
        <w:tc>
          <w:tcPr>
            <w:tcW w:w="1658" w:type="dxa"/>
          </w:tcPr>
          <w:p>
            <w:pPr>
              <w:pStyle w:val="TableParagraph"/>
              <w:spacing w:before="30"/>
              <w:rPr>
                <w:sz w:val="22"/>
              </w:rPr>
            </w:pPr>
            <w:r>
              <w:rPr>
                <w:sz w:val="22"/>
              </w:rPr>
              <w:t>0,89</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8"/>
        <w:gridCol w:w="794"/>
        <w:gridCol w:w="475"/>
        <w:gridCol w:w="1073"/>
        <w:gridCol w:w="1486"/>
        <w:gridCol w:w="1349"/>
        <w:gridCol w:w="1349"/>
        <w:gridCol w:w="1433"/>
        <w:gridCol w:w="1658"/>
      </w:tblGrid>
      <w:tr>
        <w:trPr>
          <w:trHeight w:val="310" w:hRule="exact"/>
        </w:trPr>
        <w:tc>
          <w:tcPr>
            <w:tcW w:w="10445" w:type="dxa"/>
            <w:gridSpan w:val="9"/>
          </w:tcPr>
          <w:p>
            <w:pPr>
              <w:pStyle w:val="TableParagraph"/>
              <w:ind w:left="4236" w:right="4236"/>
              <w:jc w:val="center"/>
              <w:rPr>
                <w:sz w:val="22"/>
              </w:rPr>
            </w:pPr>
            <w:r>
              <w:rPr>
                <w:sz w:val="22"/>
              </w:rPr>
              <w:t>Punto de Muestreo G</w:t>
            </w:r>
          </w:p>
        </w:tc>
      </w:tr>
      <w:tr>
        <w:trPr>
          <w:trHeight w:val="310" w:hRule="exact"/>
        </w:trPr>
        <w:tc>
          <w:tcPr>
            <w:tcW w:w="828" w:type="dxa"/>
          </w:tcPr>
          <w:p>
            <w:pPr>
              <w:pStyle w:val="TableParagraph"/>
              <w:spacing w:before="13"/>
              <w:ind w:left="46" w:right="93"/>
              <w:jc w:val="center"/>
              <w:rPr>
                <w:sz w:val="22"/>
              </w:rPr>
            </w:pPr>
            <w:r>
              <w:rPr>
                <w:sz w:val="22"/>
              </w:rPr>
              <w:t>Estrato</w:t>
            </w:r>
          </w:p>
        </w:tc>
        <w:tc>
          <w:tcPr>
            <w:tcW w:w="794" w:type="dxa"/>
          </w:tcPr>
          <w:p>
            <w:pPr>
              <w:pStyle w:val="TableParagraph"/>
              <w:spacing w:before="43"/>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112" w:right="0"/>
              <w:jc w:val="left"/>
              <w:rPr>
                <w:rFonts w:ascii="Cambria Math"/>
                <w:sz w:val="16"/>
              </w:rPr>
            </w:pPr>
            <w:r>
              <w:rPr>
                <w:rFonts w:ascii="Cambria Math"/>
                <w:w w:val="110"/>
                <w:sz w:val="22"/>
              </w:rPr>
              <w:t>n</w:t>
            </w:r>
            <w:r>
              <w:rPr>
                <w:rFonts w:ascii="Cambria Math"/>
                <w:w w:val="110"/>
                <w:position w:val="-4"/>
                <w:sz w:val="16"/>
              </w:rPr>
              <w:t>h</w:t>
            </w:r>
          </w:p>
        </w:tc>
        <w:tc>
          <w:tcPr>
            <w:tcW w:w="1073" w:type="dxa"/>
          </w:tcPr>
          <w:p>
            <w:pPr>
              <w:pStyle w:val="TableParagraph"/>
              <w:spacing w:before="43"/>
              <w:ind w:left="31" w:right="46"/>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86" w:type="dxa"/>
          </w:tcPr>
          <w:p>
            <w:pPr>
              <w:pStyle w:val="TableParagraph"/>
              <w:spacing w:line="214" w:lineRule="exact" w:before="6"/>
              <w:ind w:left="544" w:right="55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49" w:type="dxa"/>
          </w:tcPr>
          <w:p>
            <w:pPr>
              <w:pStyle w:val="TableParagraph"/>
              <w:spacing w:before="19"/>
              <w:ind w:left="534" w:right="54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49" w:type="dxa"/>
          </w:tcPr>
          <w:p>
            <w:pPr>
              <w:pStyle w:val="TableParagraph"/>
              <w:spacing w:before="43"/>
              <w:ind w:left="534" w:right="545"/>
              <w:jc w:val="center"/>
              <w:rPr>
                <w:rFonts w:ascii="Cambria Math"/>
                <w:sz w:val="16"/>
              </w:rPr>
            </w:pPr>
            <w:r>
              <w:rPr>
                <w:rFonts w:ascii="Cambria Math"/>
                <w:w w:val="110"/>
                <w:sz w:val="22"/>
              </w:rPr>
              <w:t>s</w:t>
            </w:r>
            <w:r>
              <w:rPr>
                <w:rFonts w:ascii="Cambria Math"/>
                <w:w w:val="110"/>
                <w:position w:val="-4"/>
                <w:sz w:val="16"/>
              </w:rPr>
              <w:t>h</w:t>
            </w:r>
          </w:p>
        </w:tc>
        <w:tc>
          <w:tcPr>
            <w:tcW w:w="1433" w:type="dxa"/>
          </w:tcPr>
          <w:p>
            <w:pPr>
              <w:pStyle w:val="TableParagraph"/>
              <w:spacing w:before="0"/>
              <w:ind w:left="38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58" w:type="dxa"/>
          </w:tcPr>
          <w:p>
            <w:pPr>
              <w:pStyle w:val="TableParagraph"/>
              <w:spacing w:before="0"/>
              <w:ind w:left="47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28" w:type="dxa"/>
          </w:tcPr>
          <w:p>
            <w:pPr>
              <w:pStyle w:val="TableParagraph"/>
              <w:spacing w:before="13"/>
              <w:ind w:right="1"/>
              <w:jc w:val="center"/>
              <w:rPr>
                <w:sz w:val="22"/>
              </w:rPr>
            </w:pPr>
            <w:r>
              <w:rPr>
                <w:w w:val="100"/>
                <w:sz w:val="22"/>
              </w:rPr>
              <w:t>1</w:t>
            </w:r>
          </w:p>
        </w:tc>
        <w:tc>
          <w:tcPr>
            <w:tcW w:w="794" w:type="dxa"/>
          </w:tcPr>
          <w:p>
            <w:pPr>
              <w:pStyle w:val="TableParagraph"/>
              <w:ind w:left="88" w:right="44"/>
              <w:jc w:val="center"/>
              <w:rPr>
                <w:sz w:val="22"/>
              </w:rPr>
            </w:pPr>
            <w:r>
              <w:rPr>
                <w:sz w:val="22"/>
              </w:rPr>
              <w:t>108,60</w:t>
            </w:r>
          </w:p>
        </w:tc>
        <w:tc>
          <w:tcPr>
            <w:tcW w:w="475" w:type="dxa"/>
          </w:tcPr>
          <w:p>
            <w:pPr>
              <w:pStyle w:val="TableParagraph"/>
              <w:rPr>
                <w:sz w:val="22"/>
              </w:rPr>
            </w:pPr>
            <w:r>
              <w:rPr>
                <w:sz w:val="22"/>
              </w:rPr>
              <w:t>108</w:t>
            </w:r>
          </w:p>
        </w:tc>
        <w:tc>
          <w:tcPr>
            <w:tcW w:w="1073" w:type="dxa"/>
          </w:tcPr>
          <w:p>
            <w:pPr>
              <w:pStyle w:val="TableParagraph"/>
              <w:ind w:left="141" w:right="46"/>
              <w:jc w:val="center"/>
              <w:rPr>
                <w:sz w:val="22"/>
              </w:rPr>
            </w:pPr>
            <w:r>
              <w:rPr>
                <w:sz w:val="22"/>
              </w:rPr>
              <w:t>1,746000</w:t>
            </w:r>
          </w:p>
        </w:tc>
        <w:tc>
          <w:tcPr>
            <w:tcW w:w="1486" w:type="dxa"/>
          </w:tcPr>
          <w:p>
            <w:pPr>
              <w:pStyle w:val="TableParagraph"/>
              <w:ind w:right="63"/>
              <w:rPr>
                <w:sz w:val="22"/>
              </w:rPr>
            </w:pPr>
            <w:r>
              <w:rPr>
                <w:sz w:val="22"/>
              </w:rPr>
              <w:t>2,21028</w:t>
            </w:r>
          </w:p>
        </w:tc>
        <w:tc>
          <w:tcPr>
            <w:tcW w:w="1349" w:type="dxa"/>
          </w:tcPr>
          <w:p>
            <w:pPr>
              <w:pStyle w:val="TableParagraph"/>
              <w:rPr>
                <w:sz w:val="22"/>
              </w:rPr>
            </w:pPr>
            <w:r>
              <w:rPr>
                <w:sz w:val="22"/>
              </w:rPr>
              <w:t>189,6156</w:t>
            </w:r>
          </w:p>
        </w:tc>
        <w:tc>
          <w:tcPr>
            <w:tcW w:w="1349" w:type="dxa"/>
          </w:tcPr>
          <w:p>
            <w:pPr>
              <w:pStyle w:val="TableParagraph"/>
              <w:rPr>
                <w:sz w:val="22"/>
              </w:rPr>
            </w:pPr>
            <w:r>
              <w:rPr>
                <w:sz w:val="22"/>
              </w:rPr>
              <w:t>1,48670105</w:t>
            </w:r>
          </w:p>
        </w:tc>
        <w:tc>
          <w:tcPr>
            <w:tcW w:w="1433" w:type="dxa"/>
          </w:tcPr>
          <w:p>
            <w:pPr>
              <w:pStyle w:val="TableParagraph"/>
              <w:ind w:right="63"/>
              <w:rPr>
                <w:sz w:val="22"/>
              </w:rPr>
            </w:pPr>
            <w:r>
              <w:rPr>
                <w:sz w:val="22"/>
              </w:rPr>
              <w:t>-80,6968364</w:t>
            </w:r>
          </w:p>
        </w:tc>
        <w:tc>
          <w:tcPr>
            <w:tcW w:w="1658" w:type="dxa"/>
          </w:tcPr>
          <w:p>
            <w:pPr>
              <w:pStyle w:val="TableParagraph"/>
              <w:rPr>
                <w:sz w:val="22"/>
              </w:rPr>
            </w:pPr>
            <w:r>
              <w:rPr>
                <w:sz w:val="22"/>
              </w:rPr>
              <w:t>-0,000166984</w:t>
            </w:r>
          </w:p>
        </w:tc>
      </w:tr>
      <w:tr>
        <w:trPr>
          <w:trHeight w:val="310" w:hRule="exact"/>
        </w:trPr>
        <w:tc>
          <w:tcPr>
            <w:tcW w:w="828" w:type="dxa"/>
          </w:tcPr>
          <w:p>
            <w:pPr>
              <w:pStyle w:val="TableParagraph"/>
              <w:spacing w:before="13"/>
              <w:ind w:right="1"/>
              <w:jc w:val="center"/>
              <w:rPr>
                <w:sz w:val="22"/>
              </w:rPr>
            </w:pPr>
            <w:r>
              <w:rPr>
                <w:w w:val="100"/>
                <w:sz w:val="22"/>
              </w:rPr>
              <w:t>2</w:t>
            </w:r>
          </w:p>
        </w:tc>
        <w:tc>
          <w:tcPr>
            <w:tcW w:w="794" w:type="dxa"/>
          </w:tcPr>
          <w:p>
            <w:pPr>
              <w:pStyle w:val="TableParagraph"/>
              <w:ind w:left="88" w:right="44"/>
              <w:jc w:val="center"/>
              <w:rPr>
                <w:sz w:val="22"/>
              </w:rPr>
            </w:pPr>
            <w:r>
              <w:rPr>
                <w:sz w:val="22"/>
              </w:rPr>
              <w:t>121,03</w:t>
            </w:r>
          </w:p>
        </w:tc>
        <w:tc>
          <w:tcPr>
            <w:tcW w:w="475" w:type="dxa"/>
          </w:tcPr>
          <w:p>
            <w:pPr>
              <w:pStyle w:val="TableParagraph"/>
              <w:rPr>
                <w:sz w:val="22"/>
              </w:rPr>
            </w:pPr>
            <w:r>
              <w:rPr>
                <w:sz w:val="22"/>
              </w:rPr>
              <w:t>81</w:t>
            </w:r>
          </w:p>
        </w:tc>
        <w:tc>
          <w:tcPr>
            <w:tcW w:w="1073" w:type="dxa"/>
          </w:tcPr>
          <w:p>
            <w:pPr>
              <w:pStyle w:val="TableParagraph"/>
              <w:ind w:left="141" w:right="46"/>
              <w:jc w:val="center"/>
              <w:rPr>
                <w:sz w:val="22"/>
              </w:rPr>
            </w:pPr>
            <w:r>
              <w:rPr>
                <w:sz w:val="22"/>
              </w:rPr>
              <w:t>3,036000</w:t>
            </w:r>
          </w:p>
        </w:tc>
        <w:tc>
          <w:tcPr>
            <w:tcW w:w="1486" w:type="dxa"/>
          </w:tcPr>
          <w:p>
            <w:pPr>
              <w:pStyle w:val="TableParagraph"/>
              <w:ind w:right="63"/>
              <w:rPr>
                <w:sz w:val="22"/>
              </w:rPr>
            </w:pPr>
            <w:r>
              <w:rPr>
                <w:sz w:val="22"/>
              </w:rPr>
              <w:t>2,10713</w:t>
            </w:r>
          </w:p>
        </w:tc>
        <w:tc>
          <w:tcPr>
            <w:tcW w:w="1349" w:type="dxa"/>
          </w:tcPr>
          <w:p>
            <w:pPr>
              <w:pStyle w:val="TableParagraph"/>
              <w:rPr>
                <w:sz w:val="22"/>
              </w:rPr>
            </w:pPr>
            <w:r>
              <w:rPr>
                <w:sz w:val="22"/>
              </w:rPr>
              <w:t>367,44708</w:t>
            </w:r>
          </w:p>
        </w:tc>
        <w:tc>
          <w:tcPr>
            <w:tcW w:w="1349" w:type="dxa"/>
          </w:tcPr>
          <w:p>
            <w:pPr>
              <w:pStyle w:val="TableParagraph"/>
              <w:rPr>
                <w:sz w:val="22"/>
              </w:rPr>
            </w:pPr>
            <w:r>
              <w:rPr>
                <w:sz w:val="22"/>
              </w:rPr>
              <w:t>1,45159567</w:t>
            </w:r>
          </w:p>
        </w:tc>
        <w:tc>
          <w:tcPr>
            <w:tcW w:w="1433" w:type="dxa"/>
          </w:tcPr>
          <w:p>
            <w:pPr>
              <w:pStyle w:val="TableParagraph"/>
              <w:ind w:right="63"/>
              <w:rPr>
                <w:sz w:val="22"/>
              </w:rPr>
            </w:pPr>
            <w:r>
              <w:rPr>
                <w:sz w:val="22"/>
              </w:rPr>
              <w:t>126,221462</w:t>
            </w:r>
          </w:p>
        </w:tc>
        <w:tc>
          <w:tcPr>
            <w:tcW w:w="1658" w:type="dxa"/>
          </w:tcPr>
          <w:p>
            <w:pPr>
              <w:pStyle w:val="TableParagraph"/>
              <w:rPr>
                <w:sz w:val="22"/>
              </w:rPr>
            </w:pPr>
            <w:r>
              <w:rPr>
                <w:sz w:val="22"/>
              </w:rPr>
              <w:t>0,000261187</w:t>
            </w:r>
          </w:p>
        </w:tc>
      </w:tr>
      <w:tr>
        <w:trPr>
          <w:trHeight w:val="312" w:hRule="exact"/>
        </w:trPr>
        <w:tc>
          <w:tcPr>
            <w:tcW w:w="828" w:type="dxa"/>
          </w:tcPr>
          <w:p>
            <w:pPr>
              <w:pStyle w:val="TableParagraph"/>
              <w:spacing w:before="13"/>
              <w:ind w:right="1"/>
              <w:jc w:val="center"/>
              <w:rPr>
                <w:sz w:val="22"/>
              </w:rPr>
            </w:pPr>
            <w:r>
              <w:rPr>
                <w:w w:val="100"/>
                <w:sz w:val="22"/>
              </w:rPr>
              <w:t>3</w:t>
            </w:r>
          </w:p>
        </w:tc>
        <w:tc>
          <w:tcPr>
            <w:tcW w:w="794" w:type="dxa"/>
          </w:tcPr>
          <w:p>
            <w:pPr>
              <w:pStyle w:val="TableParagraph"/>
              <w:spacing w:before="30"/>
              <w:ind w:left="88" w:right="44"/>
              <w:jc w:val="center"/>
              <w:rPr>
                <w:sz w:val="22"/>
              </w:rPr>
            </w:pPr>
            <w:r>
              <w:rPr>
                <w:sz w:val="22"/>
              </w:rPr>
              <w:t>130,21</w:t>
            </w:r>
          </w:p>
        </w:tc>
        <w:tc>
          <w:tcPr>
            <w:tcW w:w="475" w:type="dxa"/>
          </w:tcPr>
          <w:p>
            <w:pPr>
              <w:pStyle w:val="TableParagraph"/>
              <w:spacing w:before="30"/>
              <w:rPr>
                <w:sz w:val="22"/>
              </w:rPr>
            </w:pPr>
            <w:r>
              <w:rPr>
                <w:sz w:val="22"/>
              </w:rPr>
              <w:t>77</w:t>
            </w:r>
          </w:p>
        </w:tc>
        <w:tc>
          <w:tcPr>
            <w:tcW w:w="1073" w:type="dxa"/>
          </w:tcPr>
          <w:p>
            <w:pPr>
              <w:pStyle w:val="TableParagraph"/>
              <w:spacing w:before="30"/>
              <w:ind w:left="141" w:right="46"/>
              <w:jc w:val="center"/>
              <w:rPr>
                <w:sz w:val="22"/>
              </w:rPr>
            </w:pPr>
            <w:r>
              <w:rPr>
                <w:sz w:val="22"/>
              </w:rPr>
              <w:t>1,714000</w:t>
            </w:r>
          </w:p>
        </w:tc>
        <w:tc>
          <w:tcPr>
            <w:tcW w:w="1486" w:type="dxa"/>
          </w:tcPr>
          <w:p>
            <w:pPr>
              <w:pStyle w:val="TableParagraph"/>
              <w:spacing w:before="30"/>
              <w:ind w:right="63"/>
              <w:rPr>
                <w:sz w:val="22"/>
              </w:rPr>
            </w:pPr>
            <w:r>
              <w:rPr>
                <w:sz w:val="22"/>
              </w:rPr>
              <w:t>2,59583</w:t>
            </w:r>
          </w:p>
        </w:tc>
        <w:tc>
          <w:tcPr>
            <w:tcW w:w="1349" w:type="dxa"/>
          </w:tcPr>
          <w:p>
            <w:pPr>
              <w:pStyle w:val="TableParagraph"/>
              <w:spacing w:before="30"/>
              <w:rPr>
                <w:sz w:val="22"/>
              </w:rPr>
            </w:pPr>
            <w:r>
              <w:rPr>
                <w:sz w:val="22"/>
              </w:rPr>
              <w:t>223,17994</w:t>
            </w:r>
          </w:p>
        </w:tc>
        <w:tc>
          <w:tcPr>
            <w:tcW w:w="1349" w:type="dxa"/>
          </w:tcPr>
          <w:p>
            <w:pPr>
              <w:pStyle w:val="TableParagraph"/>
              <w:spacing w:before="30"/>
              <w:rPr>
                <w:sz w:val="22"/>
              </w:rPr>
            </w:pPr>
            <w:r>
              <w:rPr>
                <w:sz w:val="22"/>
              </w:rPr>
              <w:t>1,61115797</w:t>
            </w:r>
          </w:p>
        </w:tc>
        <w:tc>
          <w:tcPr>
            <w:tcW w:w="1433" w:type="dxa"/>
          </w:tcPr>
          <w:p>
            <w:pPr>
              <w:pStyle w:val="TableParagraph"/>
              <w:spacing w:before="30"/>
              <w:ind w:right="63"/>
              <w:rPr>
                <w:sz w:val="22"/>
              </w:rPr>
            </w:pPr>
            <w:r>
              <w:rPr>
                <w:sz w:val="22"/>
              </w:rPr>
              <w:t>237,008392</w:t>
            </w:r>
          </w:p>
        </w:tc>
        <w:tc>
          <w:tcPr>
            <w:tcW w:w="1658" w:type="dxa"/>
          </w:tcPr>
          <w:p>
            <w:pPr>
              <w:pStyle w:val="TableParagraph"/>
              <w:spacing w:before="30"/>
              <w:rPr>
                <w:sz w:val="22"/>
              </w:rPr>
            </w:pPr>
            <w:r>
              <w:rPr>
                <w:sz w:val="22"/>
              </w:rPr>
              <w:t>0,000490435</w:t>
            </w:r>
          </w:p>
        </w:tc>
      </w:tr>
      <w:tr>
        <w:trPr>
          <w:trHeight w:val="310" w:hRule="exact"/>
        </w:trPr>
        <w:tc>
          <w:tcPr>
            <w:tcW w:w="828" w:type="dxa"/>
          </w:tcPr>
          <w:p>
            <w:pPr>
              <w:pStyle w:val="TableParagraph"/>
              <w:spacing w:before="11"/>
              <w:ind w:right="1"/>
              <w:jc w:val="center"/>
              <w:rPr>
                <w:sz w:val="22"/>
              </w:rPr>
            </w:pPr>
            <w:r>
              <w:rPr>
                <w:w w:val="100"/>
                <w:sz w:val="22"/>
              </w:rPr>
              <w:t>4</w:t>
            </w:r>
          </w:p>
        </w:tc>
        <w:tc>
          <w:tcPr>
            <w:tcW w:w="794" w:type="dxa"/>
          </w:tcPr>
          <w:p>
            <w:pPr>
              <w:pStyle w:val="TableParagraph"/>
              <w:ind w:left="88" w:right="44"/>
              <w:jc w:val="center"/>
              <w:rPr>
                <w:sz w:val="22"/>
              </w:rPr>
            </w:pPr>
            <w:r>
              <w:rPr>
                <w:sz w:val="22"/>
              </w:rPr>
              <w:t>155,12</w:t>
            </w:r>
          </w:p>
        </w:tc>
        <w:tc>
          <w:tcPr>
            <w:tcW w:w="475" w:type="dxa"/>
          </w:tcPr>
          <w:p>
            <w:pPr>
              <w:pStyle w:val="TableParagraph"/>
              <w:rPr>
                <w:sz w:val="22"/>
              </w:rPr>
            </w:pPr>
            <w:r>
              <w:rPr>
                <w:sz w:val="22"/>
              </w:rPr>
              <w:t>92</w:t>
            </w:r>
          </w:p>
        </w:tc>
        <w:tc>
          <w:tcPr>
            <w:tcW w:w="1073" w:type="dxa"/>
          </w:tcPr>
          <w:p>
            <w:pPr>
              <w:pStyle w:val="TableParagraph"/>
              <w:ind w:left="141" w:right="46"/>
              <w:jc w:val="center"/>
              <w:rPr>
                <w:sz w:val="22"/>
              </w:rPr>
            </w:pPr>
            <w:r>
              <w:rPr>
                <w:sz w:val="22"/>
              </w:rPr>
              <w:t>2,048000</w:t>
            </w:r>
          </w:p>
        </w:tc>
        <w:tc>
          <w:tcPr>
            <w:tcW w:w="1486" w:type="dxa"/>
          </w:tcPr>
          <w:p>
            <w:pPr>
              <w:pStyle w:val="TableParagraph"/>
              <w:ind w:right="63"/>
              <w:rPr>
                <w:sz w:val="22"/>
              </w:rPr>
            </w:pPr>
            <w:r>
              <w:rPr>
                <w:sz w:val="22"/>
              </w:rPr>
              <w:t>0,98212</w:t>
            </w:r>
          </w:p>
        </w:tc>
        <w:tc>
          <w:tcPr>
            <w:tcW w:w="1349" w:type="dxa"/>
          </w:tcPr>
          <w:p>
            <w:pPr>
              <w:pStyle w:val="TableParagraph"/>
              <w:rPr>
                <w:sz w:val="22"/>
              </w:rPr>
            </w:pPr>
            <w:r>
              <w:rPr>
                <w:sz w:val="22"/>
              </w:rPr>
              <w:t>317,68576</w:t>
            </w:r>
          </w:p>
        </w:tc>
        <w:tc>
          <w:tcPr>
            <w:tcW w:w="1349" w:type="dxa"/>
          </w:tcPr>
          <w:p>
            <w:pPr>
              <w:pStyle w:val="TableParagraph"/>
              <w:rPr>
                <w:sz w:val="22"/>
              </w:rPr>
            </w:pPr>
            <w:r>
              <w:rPr>
                <w:sz w:val="22"/>
              </w:rPr>
              <w:t>0,99101968</w:t>
            </w:r>
          </w:p>
        </w:tc>
        <w:tc>
          <w:tcPr>
            <w:tcW w:w="1433" w:type="dxa"/>
          </w:tcPr>
          <w:p>
            <w:pPr>
              <w:pStyle w:val="TableParagraph"/>
              <w:ind w:right="63"/>
              <w:rPr>
                <w:sz w:val="22"/>
              </w:rPr>
            </w:pPr>
            <w:r>
              <w:rPr>
                <w:sz w:val="22"/>
              </w:rPr>
              <w:t>105,054504</w:t>
            </w:r>
          </w:p>
        </w:tc>
        <w:tc>
          <w:tcPr>
            <w:tcW w:w="1658" w:type="dxa"/>
          </w:tcPr>
          <w:p>
            <w:pPr>
              <w:pStyle w:val="TableParagraph"/>
              <w:rPr>
                <w:sz w:val="22"/>
              </w:rPr>
            </w:pPr>
            <w:r>
              <w:rPr>
                <w:sz w:val="22"/>
              </w:rPr>
              <w:t>0,000217387</w:t>
            </w:r>
          </w:p>
        </w:tc>
      </w:tr>
      <w:tr>
        <w:trPr>
          <w:trHeight w:val="310" w:hRule="exact"/>
        </w:trPr>
        <w:tc>
          <w:tcPr>
            <w:tcW w:w="828" w:type="dxa"/>
          </w:tcPr>
          <w:p>
            <w:pPr>
              <w:pStyle w:val="TableParagraph"/>
              <w:spacing w:before="11"/>
              <w:ind w:right="1"/>
              <w:jc w:val="center"/>
              <w:rPr>
                <w:sz w:val="22"/>
              </w:rPr>
            </w:pPr>
            <w:r>
              <w:rPr>
                <w:w w:val="100"/>
                <w:sz w:val="22"/>
              </w:rPr>
              <w:t>5</w:t>
            </w:r>
          </w:p>
        </w:tc>
        <w:tc>
          <w:tcPr>
            <w:tcW w:w="794" w:type="dxa"/>
          </w:tcPr>
          <w:p>
            <w:pPr>
              <w:pStyle w:val="TableParagraph"/>
              <w:ind w:left="88" w:right="44"/>
              <w:jc w:val="center"/>
              <w:rPr>
                <w:sz w:val="22"/>
              </w:rPr>
            </w:pPr>
            <w:r>
              <w:rPr>
                <w:sz w:val="22"/>
              </w:rPr>
              <w:t>180,21</w:t>
            </w:r>
          </w:p>
        </w:tc>
        <w:tc>
          <w:tcPr>
            <w:tcW w:w="475" w:type="dxa"/>
          </w:tcPr>
          <w:p>
            <w:pPr>
              <w:pStyle w:val="TableParagraph"/>
              <w:rPr>
                <w:sz w:val="22"/>
              </w:rPr>
            </w:pPr>
            <w:r>
              <w:rPr>
                <w:sz w:val="22"/>
              </w:rPr>
              <w:t>132</w:t>
            </w:r>
          </w:p>
        </w:tc>
        <w:tc>
          <w:tcPr>
            <w:tcW w:w="1073" w:type="dxa"/>
          </w:tcPr>
          <w:p>
            <w:pPr>
              <w:pStyle w:val="TableParagraph"/>
              <w:ind w:left="141" w:right="46"/>
              <w:jc w:val="center"/>
              <w:rPr>
                <w:sz w:val="22"/>
              </w:rPr>
            </w:pPr>
            <w:r>
              <w:rPr>
                <w:sz w:val="22"/>
              </w:rPr>
              <w:t>2,253333</w:t>
            </w:r>
          </w:p>
        </w:tc>
        <w:tc>
          <w:tcPr>
            <w:tcW w:w="1486" w:type="dxa"/>
          </w:tcPr>
          <w:p>
            <w:pPr>
              <w:pStyle w:val="TableParagraph"/>
              <w:ind w:right="63"/>
              <w:rPr>
                <w:sz w:val="22"/>
              </w:rPr>
            </w:pPr>
            <w:r>
              <w:rPr>
                <w:sz w:val="22"/>
              </w:rPr>
              <w:t>0,285026667</w:t>
            </w:r>
          </w:p>
        </w:tc>
        <w:tc>
          <w:tcPr>
            <w:tcW w:w="1349" w:type="dxa"/>
          </w:tcPr>
          <w:p>
            <w:pPr>
              <w:pStyle w:val="TableParagraph"/>
              <w:rPr>
                <w:sz w:val="22"/>
              </w:rPr>
            </w:pPr>
            <w:r>
              <w:rPr>
                <w:sz w:val="22"/>
              </w:rPr>
              <w:t>406,0732</w:t>
            </w:r>
          </w:p>
        </w:tc>
        <w:tc>
          <w:tcPr>
            <w:tcW w:w="1349" w:type="dxa"/>
          </w:tcPr>
          <w:p>
            <w:pPr>
              <w:pStyle w:val="TableParagraph"/>
              <w:rPr>
                <w:sz w:val="22"/>
              </w:rPr>
            </w:pPr>
            <w:r>
              <w:rPr>
                <w:sz w:val="22"/>
              </w:rPr>
              <w:t>0,53387889</w:t>
            </w:r>
          </w:p>
        </w:tc>
        <w:tc>
          <w:tcPr>
            <w:tcW w:w="1433" w:type="dxa"/>
          </w:tcPr>
          <w:p>
            <w:pPr>
              <w:pStyle w:val="TableParagraph"/>
              <w:ind w:right="63"/>
              <w:rPr>
                <w:sz w:val="22"/>
              </w:rPr>
            </w:pPr>
            <w:r>
              <w:rPr>
                <w:sz w:val="22"/>
              </w:rPr>
              <w:t>18,7385297</w:t>
            </w:r>
          </w:p>
        </w:tc>
        <w:tc>
          <w:tcPr>
            <w:tcW w:w="1658" w:type="dxa"/>
          </w:tcPr>
          <w:p>
            <w:pPr>
              <w:pStyle w:val="TableParagraph"/>
              <w:rPr>
                <w:sz w:val="22"/>
              </w:rPr>
            </w:pPr>
            <w:r>
              <w:rPr>
                <w:sz w:val="22"/>
              </w:rPr>
              <w:t>3,87751E-05</w:t>
            </w:r>
          </w:p>
        </w:tc>
      </w:tr>
      <w:tr>
        <w:trPr>
          <w:trHeight w:val="310" w:hRule="exact"/>
        </w:trPr>
        <w:tc>
          <w:tcPr>
            <w:tcW w:w="828" w:type="dxa"/>
          </w:tcPr>
          <w:p>
            <w:pPr>
              <w:pStyle w:val="TableParagraph"/>
              <w:spacing w:before="13"/>
              <w:ind w:right="0"/>
              <w:jc w:val="center"/>
              <w:rPr>
                <w:sz w:val="22"/>
              </w:rPr>
            </w:pPr>
            <w:r>
              <w:rPr>
                <w:w w:val="100"/>
                <w:sz w:val="22"/>
              </w:rPr>
              <w:t>N</w:t>
            </w:r>
          </w:p>
        </w:tc>
        <w:tc>
          <w:tcPr>
            <w:tcW w:w="794" w:type="dxa"/>
          </w:tcPr>
          <w:p>
            <w:pPr>
              <w:pStyle w:val="TableParagraph"/>
              <w:ind w:left="88" w:right="44"/>
              <w:jc w:val="center"/>
              <w:rPr>
                <w:sz w:val="22"/>
              </w:rPr>
            </w:pPr>
            <w:r>
              <w:rPr>
                <w:sz w:val="22"/>
              </w:rPr>
              <w:t>695,17</w:t>
            </w:r>
          </w:p>
        </w:tc>
        <w:tc>
          <w:tcPr>
            <w:tcW w:w="475" w:type="dxa"/>
          </w:tcPr>
          <w:p>
            <w:pPr/>
          </w:p>
        </w:tc>
        <w:tc>
          <w:tcPr>
            <w:tcW w:w="1073" w:type="dxa"/>
          </w:tcPr>
          <w:p>
            <w:pPr/>
          </w:p>
        </w:tc>
        <w:tc>
          <w:tcPr>
            <w:tcW w:w="1486" w:type="dxa"/>
          </w:tcPr>
          <w:p>
            <w:pPr>
              <w:pStyle w:val="TableParagraph"/>
              <w:spacing w:before="18"/>
              <w:ind w:left="544" w:right="560"/>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9" w:type="dxa"/>
          </w:tcPr>
          <w:p>
            <w:pPr>
              <w:pStyle w:val="TableParagraph"/>
              <w:rPr>
                <w:sz w:val="22"/>
              </w:rPr>
            </w:pPr>
            <w:r>
              <w:rPr>
                <w:sz w:val="22"/>
              </w:rPr>
              <w:t>1504,00158</w:t>
            </w:r>
          </w:p>
        </w:tc>
        <w:tc>
          <w:tcPr>
            <w:tcW w:w="1349" w:type="dxa"/>
          </w:tcPr>
          <w:p>
            <w:pPr/>
          </w:p>
        </w:tc>
        <w:tc>
          <w:tcPr>
            <w:tcW w:w="1433" w:type="dxa"/>
          </w:tcPr>
          <w:p>
            <w:pPr>
              <w:pStyle w:val="TableParagraph"/>
              <w:ind w:right="63"/>
              <w:rPr>
                <w:sz w:val="22"/>
              </w:rPr>
            </w:pPr>
            <w:r>
              <w:rPr>
                <w:sz w:val="22"/>
              </w:rPr>
              <w:t>406,326051</w:t>
            </w:r>
          </w:p>
        </w:tc>
        <w:tc>
          <w:tcPr>
            <w:tcW w:w="1658" w:type="dxa"/>
          </w:tcPr>
          <w:p>
            <w:pPr>
              <w:pStyle w:val="TableParagraph"/>
              <w:rPr>
                <w:sz w:val="22"/>
              </w:rPr>
            </w:pPr>
            <w:r>
              <w:rPr>
                <w:sz w:val="22"/>
              </w:rPr>
              <w:t>0,0008408</w:t>
            </w:r>
          </w:p>
        </w:tc>
      </w:tr>
      <w:tr>
        <w:trPr>
          <w:trHeight w:val="310" w:hRule="exact"/>
        </w:trPr>
        <w:tc>
          <w:tcPr>
            <w:tcW w:w="6005" w:type="dxa"/>
            <w:gridSpan w:val="6"/>
            <w:vMerge w:val="restart"/>
            <w:tcBorders>
              <w:left w:val="nil"/>
            </w:tcBorders>
          </w:tcPr>
          <w:p>
            <w:pPr/>
          </w:p>
        </w:tc>
        <w:tc>
          <w:tcPr>
            <w:tcW w:w="278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58" w:type="dxa"/>
          </w:tcPr>
          <w:p>
            <w:pPr>
              <w:pStyle w:val="TableParagraph"/>
              <w:rPr>
                <w:b/>
                <w:sz w:val="22"/>
              </w:rPr>
            </w:pPr>
            <w:r>
              <w:rPr>
                <w:b/>
                <w:sz w:val="22"/>
              </w:rPr>
              <w:t>2,164</w:t>
            </w:r>
          </w:p>
        </w:tc>
      </w:tr>
      <w:tr>
        <w:trPr>
          <w:trHeight w:val="310" w:hRule="exact"/>
        </w:trPr>
        <w:tc>
          <w:tcPr>
            <w:tcW w:w="6005" w:type="dxa"/>
            <w:gridSpan w:val="6"/>
            <w:vMerge/>
            <w:tcBorders>
              <w:left w:val="nil"/>
            </w:tcBorders>
          </w:tcPr>
          <w:p>
            <w:pPr/>
          </w:p>
        </w:tc>
        <w:tc>
          <w:tcPr>
            <w:tcW w:w="2782" w:type="dxa"/>
            <w:gridSpan w:val="2"/>
          </w:tcPr>
          <w:p>
            <w:pPr>
              <w:pStyle w:val="TableParagraph"/>
              <w:spacing w:before="13"/>
              <w:ind w:left="64" w:right="0"/>
              <w:jc w:val="left"/>
              <w:rPr>
                <w:sz w:val="22"/>
              </w:rPr>
            </w:pPr>
            <w:r>
              <w:rPr>
                <w:sz w:val="22"/>
              </w:rPr>
              <w:t>Desviación estándar</w:t>
            </w:r>
          </w:p>
        </w:tc>
        <w:tc>
          <w:tcPr>
            <w:tcW w:w="1658" w:type="dxa"/>
          </w:tcPr>
          <w:p>
            <w:pPr>
              <w:pStyle w:val="TableParagraph"/>
              <w:rPr>
                <w:b/>
                <w:sz w:val="22"/>
              </w:rPr>
            </w:pPr>
            <w:r>
              <w:rPr>
                <w:b/>
                <w:sz w:val="22"/>
              </w:rPr>
              <w:t>0,0290</w:t>
            </w:r>
          </w:p>
        </w:tc>
      </w:tr>
      <w:tr>
        <w:trPr>
          <w:trHeight w:val="312" w:hRule="exact"/>
        </w:trPr>
        <w:tc>
          <w:tcPr>
            <w:tcW w:w="6005" w:type="dxa"/>
            <w:gridSpan w:val="6"/>
            <w:vMerge/>
            <w:tcBorders>
              <w:left w:val="nil"/>
            </w:tcBorders>
          </w:tcPr>
          <w:p>
            <w:pPr/>
          </w:p>
        </w:tc>
        <w:tc>
          <w:tcPr>
            <w:tcW w:w="2782" w:type="dxa"/>
            <w:gridSpan w:val="2"/>
            <w:vMerge w:val="restart"/>
          </w:tcPr>
          <w:p>
            <w:pPr>
              <w:pStyle w:val="TableParagraph"/>
              <w:spacing w:before="35"/>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658" w:type="dxa"/>
          </w:tcPr>
          <w:p>
            <w:pPr>
              <w:pStyle w:val="TableParagraph"/>
              <w:spacing w:before="30"/>
              <w:rPr>
                <w:sz w:val="22"/>
              </w:rPr>
            </w:pPr>
            <w:r>
              <w:rPr>
                <w:sz w:val="22"/>
              </w:rPr>
              <w:t>2,11</w:t>
            </w:r>
          </w:p>
        </w:tc>
      </w:tr>
      <w:tr>
        <w:trPr>
          <w:trHeight w:val="310" w:hRule="exact"/>
        </w:trPr>
        <w:tc>
          <w:tcPr>
            <w:tcW w:w="6005" w:type="dxa"/>
            <w:gridSpan w:val="6"/>
            <w:vMerge/>
            <w:tcBorders>
              <w:left w:val="nil"/>
              <w:bottom w:val="nil"/>
            </w:tcBorders>
          </w:tcPr>
          <w:p>
            <w:pPr/>
          </w:p>
        </w:tc>
        <w:tc>
          <w:tcPr>
            <w:tcW w:w="2782" w:type="dxa"/>
            <w:gridSpan w:val="2"/>
            <w:vMerge/>
          </w:tcPr>
          <w:p>
            <w:pPr/>
          </w:p>
        </w:tc>
        <w:tc>
          <w:tcPr>
            <w:tcW w:w="1658" w:type="dxa"/>
          </w:tcPr>
          <w:p>
            <w:pPr>
              <w:pStyle w:val="TableParagraph"/>
              <w:rPr>
                <w:sz w:val="22"/>
              </w:rPr>
            </w:pPr>
            <w:r>
              <w:rPr>
                <w:sz w:val="22"/>
              </w:rPr>
              <w:t>2,22</w:t>
            </w:r>
          </w:p>
        </w:tc>
      </w:tr>
    </w:tbl>
    <w:p>
      <w:pPr>
        <w:spacing w:after="0"/>
        <w:rPr>
          <w:sz w:val="22"/>
        </w:rPr>
        <w:sectPr>
          <w:pgSz w:w="12240" w:h="15840"/>
          <w:pgMar w:header="725" w:footer="1084" w:top="1340" w:bottom="1280" w:left="920" w:right="54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1"/>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5"/>
        <w:gridCol w:w="756"/>
        <w:gridCol w:w="475"/>
        <w:gridCol w:w="1150"/>
        <w:gridCol w:w="1279"/>
        <w:gridCol w:w="1361"/>
        <w:gridCol w:w="1282"/>
        <w:gridCol w:w="1279"/>
        <w:gridCol w:w="1402"/>
      </w:tblGrid>
      <w:tr>
        <w:trPr>
          <w:trHeight w:val="310" w:hRule="exact"/>
        </w:trPr>
        <w:tc>
          <w:tcPr>
            <w:tcW w:w="9768" w:type="dxa"/>
            <w:gridSpan w:val="9"/>
          </w:tcPr>
          <w:p>
            <w:pPr>
              <w:pStyle w:val="TableParagraph"/>
              <w:ind w:left="3925" w:right="3925"/>
              <w:jc w:val="center"/>
              <w:rPr>
                <w:sz w:val="22"/>
              </w:rPr>
            </w:pPr>
            <w:r>
              <w:rPr>
                <w:sz w:val="22"/>
              </w:rPr>
              <w:t>Eficiencia general</w:t>
            </w:r>
          </w:p>
        </w:tc>
      </w:tr>
      <w:tr>
        <w:trPr>
          <w:trHeight w:val="312" w:hRule="exact"/>
        </w:trPr>
        <w:tc>
          <w:tcPr>
            <w:tcW w:w="785" w:type="dxa"/>
          </w:tcPr>
          <w:p>
            <w:pPr>
              <w:pStyle w:val="TableParagraph"/>
              <w:spacing w:before="13"/>
              <w:ind w:left="46" w:right="49"/>
              <w:jc w:val="center"/>
              <w:rPr>
                <w:sz w:val="22"/>
              </w:rPr>
            </w:pPr>
            <w:r>
              <w:rPr>
                <w:sz w:val="22"/>
              </w:rPr>
              <w:t>Estrato</w:t>
            </w:r>
          </w:p>
        </w:tc>
        <w:tc>
          <w:tcPr>
            <w:tcW w:w="756" w:type="dxa"/>
          </w:tcPr>
          <w:p>
            <w:pPr>
              <w:pStyle w:val="TableParagraph"/>
              <w:spacing w:before="43"/>
              <w:ind w:left="33" w:right="46"/>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112" w:right="0"/>
              <w:jc w:val="left"/>
              <w:rPr>
                <w:rFonts w:ascii="Cambria Math"/>
                <w:sz w:val="16"/>
              </w:rPr>
            </w:pPr>
            <w:r>
              <w:rPr>
                <w:rFonts w:ascii="Cambria Math"/>
                <w:w w:val="110"/>
                <w:sz w:val="22"/>
              </w:rPr>
              <w:t>n</w:t>
            </w:r>
            <w:r>
              <w:rPr>
                <w:rFonts w:ascii="Cambria Math"/>
                <w:w w:val="110"/>
                <w:position w:val="-4"/>
                <w:sz w:val="16"/>
              </w:rPr>
              <w:t>h</w:t>
            </w:r>
          </w:p>
        </w:tc>
        <w:tc>
          <w:tcPr>
            <w:tcW w:w="1150" w:type="dxa"/>
          </w:tcPr>
          <w:p>
            <w:pPr>
              <w:pStyle w:val="TableParagraph"/>
              <w:spacing w:before="43"/>
              <w:ind w:left="375" w:right="390"/>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79" w:type="dxa"/>
          </w:tcPr>
          <w:p>
            <w:pPr>
              <w:pStyle w:val="TableParagraph"/>
              <w:spacing w:line="214" w:lineRule="exact" w:before="6"/>
              <w:ind w:left="34"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61" w:type="dxa"/>
          </w:tcPr>
          <w:p>
            <w:pPr>
              <w:pStyle w:val="TableParagraph"/>
              <w:spacing w:before="19"/>
              <w:ind w:left="556" w:right="56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282" w:type="dxa"/>
          </w:tcPr>
          <w:p>
            <w:pPr>
              <w:pStyle w:val="TableParagraph"/>
              <w:spacing w:before="43"/>
              <w:ind w:left="35" w:right="46"/>
              <w:jc w:val="center"/>
              <w:rPr>
                <w:rFonts w:ascii="Cambria Math"/>
                <w:sz w:val="16"/>
              </w:rPr>
            </w:pPr>
            <w:r>
              <w:rPr>
                <w:rFonts w:ascii="Cambria Math"/>
                <w:w w:val="110"/>
                <w:sz w:val="22"/>
              </w:rPr>
              <w:t>s</w:t>
            </w:r>
            <w:r>
              <w:rPr>
                <w:rFonts w:ascii="Cambria Math"/>
                <w:w w:val="110"/>
                <w:position w:val="-4"/>
                <w:sz w:val="16"/>
              </w:rPr>
              <w:t>h</w:t>
            </w:r>
          </w:p>
        </w:tc>
        <w:tc>
          <w:tcPr>
            <w:tcW w:w="1279" w:type="dxa"/>
          </w:tcPr>
          <w:p>
            <w:pPr>
              <w:pStyle w:val="TableParagraph"/>
              <w:spacing w:before="3"/>
              <w:ind w:left="30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02" w:type="dxa"/>
          </w:tcPr>
          <w:p>
            <w:pPr>
              <w:pStyle w:val="TableParagraph"/>
              <w:spacing w:before="3"/>
              <w:ind w:left="34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85" w:type="dxa"/>
          </w:tcPr>
          <w:p>
            <w:pPr>
              <w:pStyle w:val="TableParagraph"/>
              <w:ind w:right="1"/>
              <w:jc w:val="center"/>
              <w:rPr>
                <w:sz w:val="22"/>
              </w:rPr>
            </w:pPr>
            <w:r>
              <w:rPr>
                <w:w w:val="100"/>
                <w:sz w:val="22"/>
              </w:rPr>
              <w:t>1</w:t>
            </w:r>
          </w:p>
        </w:tc>
        <w:tc>
          <w:tcPr>
            <w:tcW w:w="756" w:type="dxa"/>
          </w:tcPr>
          <w:p>
            <w:pPr>
              <w:pStyle w:val="TableParagraph"/>
              <w:ind w:left="47" w:right="46"/>
              <w:jc w:val="center"/>
              <w:rPr>
                <w:sz w:val="22"/>
              </w:rPr>
            </w:pPr>
            <w:r>
              <w:rPr>
                <w:sz w:val="22"/>
              </w:rPr>
              <w:t>108,60</w:t>
            </w:r>
          </w:p>
        </w:tc>
        <w:tc>
          <w:tcPr>
            <w:tcW w:w="475" w:type="dxa"/>
          </w:tcPr>
          <w:p>
            <w:pPr>
              <w:pStyle w:val="TableParagraph"/>
              <w:rPr>
                <w:sz w:val="22"/>
              </w:rPr>
            </w:pPr>
            <w:r>
              <w:rPr>
                <w:sz w:val="22"/>
              </w:rPr>
              <w:t>108</w:t>
            </w:r>
          </w:p>
        </w:tc>
        <w:tc>
          <w:tcPr>
            <w:tcW w:w="1150" w:type="dxa"/>
          </w:tcPr>
          <w:p>
            <w:pPr>
              <w:pStyle w:val="TableParagraph"/>
              <w:ind w:right="63"/>
              <w:rPr>
                <w:sz w:val="22"/>
              </w:rPr>
            </w:pPr>
            <w:r>
              <w:rPr>
                <w:sz w:val="22"/>
              </w:rPr>
              <w:t>79,4949</w:t>
            </w:r>
          </w:p>
        </w:tc>
        <w:tc>
          <w:tcPr>
            <w:tcW w:w="1279" w:type="dxa"/>
          </w:tcPr>
          <w:p>
            <w:pPr>
              <w:pStyle w:val="TableParagraph"/>
              <w:ind w:right="63"/>
              <w:rPr>
                <w:sz w:val="22"/>
              </w:rPr>
            </w:pPr>
            <w:r>
              <w:rPr>
                <w:sz w:val="22"/>
              </w:rPr>
              <w:t>524,0027</w:t>
            </w:r>
          </w:p>
        </w:tc>
        <w:tc>
          <w:tcPr>
            <w:tcW w:w="1361" w:type="dxa"/>
          </w:tcPr>
          <w:p>
            <w:pPr>
              <w:pStyle w:val="TableParagraph"/>
              <w:ind w:right="63"/>
              <w:rPr>
                <w:sz w:val="22"/>
              </w:rPr>
            </w:pPr>
            <w:r>
              <w:rPr>
                <w:sz w:val="22"/>
              </w:rPr>
              <w:t>8633,1515</w:t>
            </w:r>
          </w:p>
        </w:tc>
        <w:tc>
          <w:tcPr>
            <w:tcW w:w="1282" w:type="dxa"/>
          </w:tcPr>
          <w:p>
            <w:pPr>
              <w:pStyle w:val="TableParagraph"/>
              <w:ind w:right="63"/>
              <w:rPr>
                <w:sz w:val="22"/>
              </w:rPr>
            </w:pPr>
            <w:r>
              <w:rPr>
                <w:sz w:val="22"/>
              </w:rPr>
              <w:t>22,8911</w:t>
            </w:r>
          </w:p>
        </w:tc>
        <w:tc>
          <w:tcPr>
            <w:tcW w:w="1279" w:type="dxa"/>
          </w:tcPr>
          <w:p>
            <w:pPr>
              <w:pStyle w:val="TableParagraph"/>
              <w:rPr>
                <w:sz w:val="22"/>
              </w:rPr>
            </w:pPr>
            <w:r>
              <w:rPr>
                <w:sz w:val="22"/>
              </w:rPr>
              <w:t>-19131,222</w:t>
            </w:r>
          </w:p>
        </w:tc>
        <w:tc>
          <w:tcPr>
            <w:tcW w:w="1402" w:type="dxa"/>
          </w:tcPr>
          <w:p>
            <w:pPr>
              <w:pStyle w:val="TableParagraph"/>
              <w:ind w:right="63"/>
              <w:rPr>
                <w:sz w:val="22"/>
              </w:rPr>
            </w:pPr>
            <w:r>
              <w:rPr>
                <w:sz w:val="22"/>
              </w:rPr>
              <w:t>-0,03958774</w:t>
            </w:r>
          </w:p>
        </w:tc>
      </w:tr>
      <w:tr>
        <w:trPr>
          <w:trHeight w:val="310" w:hRule="exact"/>
        </w:trPr>
        <w:tc>
          <w:tcPr>
            <w:tcW w:w="785" w:type="dxa"/>
          </w:tcPr>
          <w:p>
            <w:pPr>
              <w:pStyle w:val="TableParagraph"/>
              <w:ind w:right="1"/>
              <w:jc w:val="center"/>
              <w:rPr>
                <w:sz w:val="22"/>
              </w:rPr>
            </w:pPr>
            <w:r>
              <w:rPr>
                <w:w w:val="100"/>
                <w:sz w:val="22"/>
              </w:rPr>
              <w:t>2</w:t>
            </w:r>
          </w:p>
        </w:tc>
        <w:tc>
          <w:tcPr>
            <w:tcW w:w="756" w:type="dxa"/>
          </w:tcPr>
          <w:p>
            <w:pPr>
              <w:pStyle w:val="TableParagraph"/>
              <w:ind w:left="47" w:right="46"/>
              <w:jc w:val="center"/>
              <w:rPr>
                <w:sz w:val="22"/>
              </w:rPr>
            </w:pPr>
            <w:r>
              <w:rPr>
                <w:sz w:val="22"/>
              </w:rPr>
              <w:t>121,03</w:t>
            </w:r>
          </w:p>
        </w:tc>
        <w:tc>
          <w:tcPr>
            <w:tcW w:w="475" w:type="dxa"/>
          </w:tcPr>
          <w:p>
            <w:pPr>
              <w:pStyle w:val="TableParagraph"/>
              <w:rPr>
                <w:sz w:val="22"/>
              </w:rPr>
            </w:pPr>
            <w:r>
              <w:rPr>
                <w:sz w:val="22"/>
              </w:rPr>
              <w:t>81</w:t>
            </w:r>
          </w:p>
        </w:tc>
        <w:tc>
          <w:tcPr>
            <w:tcW w:w="1150" w:type="dxa"/>
          </w:tcPr>
          <w:p>
            <w:pPr>
              <w:pStyle w:val="TableParagraph"/>
              <w:ind w:right="63"/>
              <w:rPr>
                <w:sz w:val="22"/>
              </w:rPr>
            </w:pPr>
            <w:r>
              <w:rPr>
                <w:sz w:val="22"/>
              </w:rPr>
              <w:t>49,8530</w:t>
            </w:r>
          </w:p>
        </w:tc>
        <w:tc>
          <w:tcPr>
            <w:tcW w:w="1279" w:type="dxa"/>
          </w:tcPr>
          <w:p>
            <w:pPr>
              <w:pStyle w:val="TableParagraph"/>
              <w:ind w:right="63"/>
              <w:rPr>
                <w:sz w:val="22"/>
              </w:rPr>
            </w:pPr>
            <w:r>
              <w:rPr>
                <w:sz w:val="22"/>
              </w:rPr>
              <w:t>1570,8898</w:t>
            </w:r>
          </w:p>
        </w:tc>
        <w:tc>
          <w:tcPr>
            <w:tcW w:w="1361" w:type="dxa"/>
          </w:tcPr>
          <w:p>
            <w:pPr>
              <w:pStyle w:val="TableParagraph"/>
              <w:ind w:right="63"/>
              <w:rPr>
                <w:sz w:val="22"/>
              </w:rPr>
            </w:pPr>
            <w:r>
              <w:rPr>
                <w:sz w:val="22"/>
              </w:rPr>
              <w:t>6033,7100</w:t>
            </w:r>
          </w:p>
        </w:tc>
        <w:tc>
          <w:tcPr>
            <w:tcW w:w="1282" w:type="dxa"/>
          </w:tcPr>
          <w:p>
            <w:pPr>
              <w:pStyle w:val="TableParagraph"/>
              <w:ind w:right="63"/>
              <w:rPr>
                <w:sz w:val="22"/>
              </w:rPr>
            </w:pPr>
            <w:r>
              <w:rPr>
                <w:sz w:val="22"/>
              </w:rPr>
              <w:t>39,6345</w:t>
            </w:r>
          </w:p>
        </w:tc>
        <w:tc>
          <w:tcPr>
            <w:tcW w:w="1279" w:type="dxa"/>
          </w:tcPr>
          <w:p>
            <w:pPr>
              <w:pStyle w:val="TableParagraph"/>
              <w:rPr>
                <w:sz w:val="22"/>
              </w:rPr>
            </w:pPr>
            <w:r>
              <w:rPr>
                <w:sz w:val="22"/>
              </w:rPr>
              <w:t>94099,558</w:t>
            </w:r>
          </w:p>
        </w:tc>
        <w:tc>
          <w:tcPr>
            <w:tcW w:w="1402" w:type="dxa"/>
          </w:tcPr>
          <w:p>
            <w:pPr>
              <w:pStyle w:val="TableParagraph"/>
              <w:ind w:right="63"/>
              <w:rPr>
                <w:sz w:val="22"/>
              </w:rPr>
            </w:pPr>
            <w:r>
              <w:rPr>
                <w:sz w:val="22"/>
              </w:rPr>
              <w:t>0,19471775</w:t>
            </w:r>
          </w:p>
        </w:tc>
      </w:tr>
      <w:tr>
        <w:trPr>
          <w:trHeight w:val="310" w:hRule="exact"/>
        </w:trPr>
        <w:tc>
          <w:tcPr>
            <w:tcW w:w="785" w:type="dxa"/>
          </w:tcPr>
          <w:p>
            <w:pPr>
              <w:pStyle w:val="TableParagraph"/>
              <w:ind w:right="1"/>
              <w:jc w:val="center"/>
              <w:rPr>
                <w:sz w:val="22"/>
              </w:rPr>
            </w:pPr>
            <w:r>
              <w:rPr>
                <w:w w:val="100"/>
                <w:sz w:val="22"/>
              </w:rPr>
              <w:t>3</w:t>
            </w:r>
          </w:p>
        </w:tc>
        <w:tc>
          <w:tcPr>
            <w:tcW w:w="756" w:type="dxa"/>
          </w:tcPr>
          <w:p>
            <w:pPr>
              <w:pStyle w:val="TableParagraph"/>
              <w:ind w:left="47" w:right="46"/>
              <w:jc w:val="center"/>
              <w:rPr>
                <w:sz w:val="22"/>
              </w:rPr>
            </w:pPr>
            <w:r>
              <w:rPr>
                <w:sz w:val="22"/>
              </w:rPr>
              <w:t>130,21</w:t>
            </w:r>
          </w:p>
        </w:tc>
        <w:tc>
          <w:tcPr>
            <w:tcW w:w="475" w:type="dxa"/>
          </w:tcPr>
          <w:p>
            <w:pPr>
              <w:pStyle w:val="TableParagraph"/>
              <w:rPr>
                <w:sz w:val="22"/>
              </w:rPr>
            </w:pPr>
            <w:r>
              <w:rPr>
                <w:sz w:val="22"/>
              </w:rPr>
              <w:t>77</w:t>
            </w:r>
          </w:p>
        </w:tc>
        <w:tc>
          <w:tcPr>
            <w:tcW w:w="1150" w:type="dxa"/>
          </w:tcPr>
          <w:p>
            <w:pPr>
              <w:pStyle w:val="TableParagraph"/>
              <w:ind w:right="63"/>
              <w:rPr>
                <w:sz w:val="22"/>
              </w:rPr>
            </w:pPr>
            <w:r>
              <w:rPr>
                <w:sz w:val="22"/>
              </w:rPr>
              <w:t>89,0167</w:t>
            </w:r>
          </w:p>
        </w:tc>
        <w:tc>
          <w:tcPr>
            <w:tcW w:w="1279" w:type="dxa"/>
          </w:tcPr>
          <w:p>
            <w:pPr>
              <w:pStyle w:val="TableParagraph"/>
              <w:ind w:right="63"/>
              <w:rPr>
                <w:sz w:val="22"/>
              </w:rPr>
            </w:pPr>
            <w:r>
              <w:rPr>
                <w:sz w:val="22"/>
              </w:rPr>
              <w:t>82,6047</w:t>
            </w:r>
          </w:p>
        </w:tc>
        <w:tc>
          <w:tcPr>
            <w:tcW w:w="1361" w:type="dxa"/>
          </w:tcPr>
          <w:p>
            <w:pPr>
              <w:pStyle w:val="TableParagraph"/>
              <w:ind w:right="63"/>
              <w:rPr>
                <w:sz w:val="22"/>
              </w:rPr>
            </w:pPr>
            <w:r>
              <w:rPr>
                <w:sz w:val="22"/>
              </w:rPr>
              <w:t>11590,8590</w:t>
            </w:r>
          </w:p>
        </w:tc>
        <w:tc>
          <w:tcPr>
            <w:tcW w:w="1282" w:type="dxa"/>
          </w:tcPr>
          <w:p>
            <w:pPr>
              <w:pStyle w:val="TableParagraph"/>
              <w:ind w:right="63"/>
              <w:rPr>
                <w:sz w:val="22"/>
              </w:rPr>
            </w:pPr>
            <w:r>
              <w:rPr>
                <w:sz w:val="22"/>
              </w:rPr>
              <w:t>9,0887</w:t>
            </w:r>
          </w:p>
        </w:tc>
        <w:tc>
          <w:tcPr>
            <w:tcW w:w="1279" w:type="dxa"/>
          </w:tcPr>
          <w:p>
            <w:pPr>
              <w:pStyle w:val="TableParagraph"/>
              <w:rPr>
                <w:sz w:val="22"/>
              </w:rPr>
            </w:pPr>
            <w:r>
              <w:rPr>
                <w:sz w:val="22"/>
              </w:rPr>
              <w:t>7542,103</w:t>
            </w:r>
          </w:p>
        </w:tc>
        <w:tc>
          <w:tcPr>
            <w:tcW w:w="1402" w:type="dxa"/>
          </w:tcPr>
          <w:p>
            <w:pPr>
              <w:pStyle w:val="TableParagraph"/>
              <w:ind w:right="63"/>
              <w:rPr>
                <w:sz w:val="22"/>
              </w:rPr>
            </w:pPr>
            <w:r>
              <w:rPr>
                <w:sz w:val="22"/>
              </w:rPr>
              <w:t>0,01560668</w:t>
            </w:r>
          </w:p>
        </w:tc>
      </w:tr>
      <w:tr>
        <w:trPr>
          <w:trHeight w:val="310" w:hRule="exact"/>
        </w:trPr>
        <w:tc>
          <w:tcPr>
            <w:tcW w:w="785" w:type="dxa"/>
          </w:tcPr>
          <w:p>
            <w:pPr>
              <w:pStyle w:val="TableParagraph"/>
              <w:ind w:right="1"/>
              <w:jc w:val="center"/>
              <w:rPr>
                <w:sz w:val="22"/>
              </w:rPr>
            </w:pPr>
            <w:r>
              <w:rPr>
                <w:w w:val="100"/>
                <w:sz w:val="22"/>
              </w:rPr>
              <w:t>4</w:t>
            </w:r>
          </w:p>
        </w:tc>
        <w:tc>
          <w:tcPr>
            <w:tcW w:w="756" w:type="dxa"/>
          </w:tcPr>
          <w:p>
            <w:pPr>
              <w:pStyle w:val="TableParagraph"/>
              <w:ind w:left="47" w:right="46"/>
              <w:jc w:val="center"/>
              <w:rPr>
                <w:sz w:val="22"/>
              </w:rPr>
            </w:pPr>
            <w:r>
              <w:rPr>
                <w:sz w:val="22"/>
              </w:rPr>
              <w:t>155,12</w:t>
            </w:r>
          </w:p>
        </w:tc>
        <w:tc>
          <w:tcPr>
            <w:tcW w:w="475" w:type="dxa"/>
          </w:tcPr>
          <w:p>
            <w:pPr>
              <w:pStyle w:val="TableParagraph"/>
              <w:rPr>
                <w:sz w:val="22"/>
              </w:rPr>
            </w:pPr>
            <w:r>
              <w:rPr>
                <w:sz w:val="22"/>
              </w:rPr>
              <w:t>92</w:t>
            </w:r>
          </w:p>
        </w:tc>
        <w:tc>
          <w:tcPr>
            <w:tcW w:w="1150" w:type="dxa"/>
          </w:tcPr>
          <w:p>
            <w:pPr>
              <w:pStyle w:val="TableParagraph"/>
              <w:ind w:right="63"/>
              <w:rPr>
                <w:sz w:val="22"/>
              </w:rPr>
            </w:pPr>
            <w:r>
              <w:rPr>
                <w:sz w:val="22"/>
              </w:rPr>
              <w:t>84,5134</w:t>
            </w:r>
          </w:p>
        </w:tc>
        <w:tc>
          <w:tcPr>
            <w:tcW w:w="1279" w:type="dxa"/>
          </w:tcPr>
          <w:p>
            <w:pPr>
              <w:pStyle w:val="TableParagraph"/>
              <w:ind w:right="63"/>
              <w:rPr>
                <w:sz w:val="22"/>
              </w:rPr>
            </w:pPr>
            <w:r>
              <w:rPr>
                <w:sz w:val="22"/>
              </w:rPr>
              <w:t>48,6219</w:t>
            </w:r>
          </w:p>
        </w:tc>
        <w:tc>
          <w:tcPr>
            <w:tcW w:w="1361" w:type="dxa"/>
          </w:tcPr>
          <w:p>
            <w:pPr>
              <w:pStyle w:val="TableParagraph"/>
              <w:ind w:right="63"/>
              <w:rPr>
                <w:sz w:val="22"/>
              </w:rPr>
            </w:pPr>
            <w:r>
              <w:rPr>
                <w:sz w:val="22"/>
              </w:rPr>
              <w:t>13109,7184</w:t>
            </w:r>
          </w:p>
        </w:tc>
        <w:tc>
          <w:tcPr>
            <w:tcW w:w="1282" w:type="dxa"/>
          </w:tcPr>
          <w:p>
            <w:pPr>
              <w:pStyle w:val="TableParagraph"/>
              <w:ind w:right="63"/>
              <w:rPr>
                <w:sz w:val="22"/>
              </w:rPr>
            </w:pPr>
            <w:r>
              <w:rPr>
                <w:sz w:val="22"/>
              </w:rPr>
              <w:t>6,9729</w:t>
            </w:r>
          </w:p>
        </w:tc>
        <w:tc>
          <w:tcPr>
            <w:tcW w:w="1279" w:type="dxa"/>
          </w:tcPr>
          <w:p>
            <w:pPr>
              <w:pStyle w:val="TableParagraph"/>
              <w:rPr>
                <w:sz w:val="22"/>
              </w:rPr>
            </w:pPr>
            <w:r>
              <w:rPr>
                <w:sz w:val="22"/>
              </w:rPr>
              <w:t>5200,945</w:t>
            </w:r>
          </w:p>
        </w:tc>
        <w:tc>
          <w:tcPr>
            <w:tcW w:w="1402" w:type="dxa"/>
          </w:tcPr>
          <w:p>
            <w:pPr>
              <w:pStyle w:val="TableParagraph"/>
              <w:ind w:right="63"/>
              <w:rPr>
                <w:sz w:val="22"/>
              </w:rPr>
            </w:pPr>
            <w:r>
              <w:rPr>
                <w:sz w:val="22"/>
              </w:rPr>
              <w:t>0,01076218</w:t>
            </w:r>
          </w:p>
        </w:tc>
      </w:tr>
      <w:tr>
        <w:trPr>
          <w:trHeight w:val="310" w:hRule="exact"/>
        </w:trPr>
        <w:tc>
          <w:tcPr>
            <w:tcW w:w="785" w:type="dxa"/>
          </w:tcPr>
          <w:p>
            <w:pPr>
              <w:pStyle w:val="TableParagraph"/>
              <w:ind w:right="1"/>
              <w:jc w:val="center"/>
              <w:rPr>
                <w:sz w:val="22"/>
              </w:rPr>
            </w:pPr>
            <w:r>
              <w:rPr>
                <w:w w:val="100"/>
                <w:sz w:val="22"/>
              </w:rPr>
              <w:t>5</w:t>
            </w:r>
          </w:p>
        </w:tc>
        <w:tc>
          <w:tcPr>
            <w:tcW w:w="756" w:type="dxa"/>
          </w:tcPr>
          <w:p>
            <w:pPr>
              <w:pStyle w:val="TableParagraph"/>
              <w:ind w:left="47" w:right="46"/>
              <w:jc w:val="center"/>
              <w:rPr>
                <w:sz w:val="22"/>
              </w:rPr>
            </w:pPr>
            <w:r>
              <w:rPr>
                <w:sz w:val="22"/>
              </w:rPr>
              <w:t>180,21</w:t>
            </w:r>
          </w:p>
        </w:tc>
        <w:tc>
          <w:tcPr>
            <w:tcW w:w="475" w:type="dxa"/>
          </w:tcPr>
          <w:p>
            <w:pPr>
              <w:pStyle w:val="TableParagraph"/>
              <w:rPr>
                <w:sz w:val="22"/>
              </w:rPr>
            </w:pPr>
            <w:r>
              <w:rPr>
                <w:sz w:val="22"/>
              </w:rPr>
              <w:t>132</w:t>
            </w:r>
          </w:p>
        </w:tc>
        <w:tc>
          <w:tcPr>
            <w:tcW w:w="1150" w:type="dxa"/>
          </w:tcPr>
          <w:p>
            <w:pPr>
              <w:pStyle w:val="TableParagraph"/>
              <w:ind w:right="63"/>
              <w:rPr>
                <w:sz w:val="22"/>
              </w:rPr>
            </w:pPr>
            <w:r>
              <w:rPr>
                <w:sz w:val="22"/>
              </w:rPr>
              <w:t>86,2670</w:t>
            </w:r>
          </w:p>
        </w:tc>
        <w:tc>
          <w:tcPr>
            <w:tcW w:w="1279" w:type="dxa"/>
          </w:tcPr>
          <w:p>
            <w:pPr>
              <w:pStyle w:val="TableParagraph"/>
              <w:ind w:right="63"/>
              <w:rPr>
                <w:sz w:val="22"/>
              </w:rPr>
            </w:pPr>
            <w:r>
              <w:rPr>
                <w:sz w:val="22"/>
              </w:rPr>
              <w:t>59,7222</w:t>
            </w:r>
          </w:p>
        </w:tc>
        <w:tc>
          <w:tcPr>
            <w:tcW w:w="1361" w:type="dxa"/>
          </w:tcPr>
          <w:p>
            <w:pPr>
              <w:pStyle w:val="TableParagraph"/>
              <w:ind w:right="63"/>
              <w:rPr>
                <w:sz w:val="22"/>
              </w:rPr>
            </w:pPr>
            <w:r>
              <w:rPr>
                <w:sz w:val="22"/>
              </w:rPr>
              <w:t>15546,1781</w:t>
            </w:r>
          </w:p>
        </w:tc>
        <w:tc>
          <w:tcPr>
            <w:tcW w:w="1282" w:type="dxa"/>
          </w:tcPr>
          <w:p>
            <w:pPr>
              <w:pStyle w:val="TableParagraph"/>
              <w:ind w:right="63"/>
              <w:rPr>
                <w:sz w:val="22"/>
              </w:rPr>
            </w:pPr>
            <w:r>
              <w:rPr>
                <w:sz w:val="22"/>
              </w:rPr>
              <w:t>7,7280</w:t>
            </w:r>
          </w:p>
        </w:tc>
        <w:tc>
          <w:tcPr>
            <w:tcW w:w="1279" w:type="dxa"/>
          </w:tcPr>
          <w:p>
            <w:pPr>
              <w:pStyle w:val="TableParagraph"/>
              <w:rPr>
                <w:sz w:val="22"/>
              </w:rPr>
            </w:pPr>
            <w:r>
              <w:rPr>
                <w:sz w:val="22"/>
              </w:rPr>
              <w:t>3926,322</w:t>
            </w:r>
          </w:p>
        </w:tc>
        <w:tc>
          <w:tcPr>
            <w:tcW w:w="1402" w:type="dxa"/>
          </w:tcPr>
          <w:p>
            <w:pPr>
              <w:pStyle w:val="TableParagraph"/>
              <w:ind w:right="63"/>
              <w:rPr>
                <w:sz w:val="22"/>
              </w:rPr>
            </w:pPr>
            <w:r>
              <w:rPr>
                <w:sz w:val="22"/>
              </w:rPr>
              <w:t>0,00812463</w:t>
            </w:r>
          </w:p>
        </w:tc>
      </w:tr>
      <w:tr>
        <w:trPr>
          <w:trHeight w:val="312" w:hRule="exact"/>
        </w:trPr>
        <w:tc>
          <w:tcPr>
            <w:tcW w:w="785" w:type="dxa"/>
          </w:tcPr>
          <w:p>
            <w:pPr>
              <w:pStyle w:val="TableParagraph"/>
              <w:spacing w:before="30"/>
              <w:ind w:right="0"/>
              <w:jc w:val="center"/>
              <w:rPr>
                <w:sz w:val="22"/>
              </w:rPr>
            </w:pPr>
            <w:r>
              <w:rPr>
                <w:w w:val="100"/>
                <w:sz w:val="22"/>
              </w:rPr>
              <w:t>N</w:t>
            </w:r>
          </w:p>
        </w:tc>
        <w:tc>
          <w:tcPr>
            <w:tcW w:w="756" w:type="dxa"/>
          </w:tcPr>
          <w:p>
            <w:pPr>
              <w:pStyle w:val="TableParagraph"/>
              <w:spacing w:before="30"/>
              <w:ind w:left="47" w:right="46"/>
              <w:jc w:val="center"/>
              <w:rPr>
                <w:sz w:val="22"/>
              </w:rPr>
            </w:pPr>
            <w:r>
              <w:rPr>
                <w:sz w:val="22"/>
              </w:rPr>
              <w:t>695,17</w:t>
            </w:r>
          </w:p>
        </w:tc>
        <w:tc>
          <w:tcPr>
            <w:tcW w:w="475" w:type="dxa"/>
          </w:tcPr>
          <w:p>
            <w:pPr/>
          </w:p>
        </w:tc>
        <w:tc>
          <w:tcPr>
            <w:tcW w:w="1150" w:type="dxa"/>
          </w:tcPr>
          <w:p>
            <w:pPr/>
          </w:p>
        </w:tc>
        <w:tc>
          <w:tcPr>
            <w:tcW w:w="1279" w:type="dxa"/>
          </w:tcPr>
          <w:p>
            <w:pPr>
              <w:pStyle w:val="TableParagraph"/>
              <w:spacing w:before="18"/>
              <w:ind w:left="31" w:right="4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61" w:type="dxa"/>
          </w:tcPr>
          <w:p>
            <w:pPr>
              <w:pStyle w:val="TableParagraph"/>
              <w:spacing w:before="30"/>
              <w:ind w:right="63"/>
              <w:rPr>
                <w:sz w:val="22"/>
              </w:rPr>
            </w:pPr>
            <w:r>
              <w:rPr>
                <w:sz w:val="22"/>
              </w:rPr>
              <w:t>54913,6171</w:t>
            </w:r>
          </w:p>
        </w:tc>
        <w:tc>
          <w:tcPr>
            <w:tcW w:w="1282" w:type="dxa"/>
          </w:tcPr>
          <w:p>
            <w:pPr/>
          </w:p>
        </w:tc>
        <w:tc>
          <w:tcPr>
            <w:tcW w:w="1279" w:type="dxa"/>
          </w:tcPr>
          <w:p>
            <w:pPr>
              <w:pStyle w:val="TableParagraph"/>
              <w:spacing w:before="30"/>
              <w:rPr>
                <w:sz w:val="22"/>
              </w:rPr>
            </w:pPr>
            <w:r>
              <w:rPr>
                <w:sz w:val="22"/>
              </w:rPr>
              <w:t>91637,707</w:t>
            </w:r>
          </w:p>
        </w:tc>
        <w:tc>
          <w:tcPr>
            <w:tcW w:w="1402" w:type="dxa"/>
          </w:tcPr>
          <w:p>
            <w:pPr>
              <w:pStyle w:val="TableParagraph"/>
              <w:spacing w:before="30"/>
              <w:ind w:right="63"/>
              <w:rPr>
                <w:sz w:val="22"/>
              </w:rPr>
            </w:pPr>
            <w:r>
              <w:rPr>
                <w:sz w:val="22"/>
              </w:rPr>
              <w:t>0,18962351</w:t>
            </w:r>
          </w:p>
        </w:tc>
      </w:tr>
      <w:tr>
        <w:trPr>
          <w:trHeight w:val="310" w:hRule="exact"/>
        </w:trPr>
        <w:tc>
          <w:tcPr>
            <w:tcW w:w="5806" w:type="dxa"/>
            <w:gridSpan w:val="6"/>
            <w:vMerge w:val="restart"/>
            <w:tcBorders>
              <w:left w:val="nil"/>
            </w:tcBorders>
          </w:tcPr>
          <w:p>
            <w:pPr/>
          </w:p>
        </w:tc>
        <w:tc>
          <w:tcPr>
            <w:tcW w:w="2561" w:type="dxa"/>
            <w:gridSpan w:val="2"/>
          </w:tcPr>
          <w:p>
            <w:pPr>
              <w:pStyle w:val="TableParagraph"/>
              <w:spacing w:before="11"/>
              <w:ind w:left="64" w:right="279"/>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02" w:type="dxa"/>
          </w:tcPr>
          <w:p>
            <w:pPr>
              <w:pStyle w:val="TableParagraph"/>
              <w:ind w:right="63"/>
              <w:rPr>
                <w:b/>
                <w:sz w:val="22"/>
              </w:rPr>
            </w:pPr>
            <w:r>
              <w:rPr>
                <w:b/>
                <w:sz w:val="22"/>
              </w:rPr>
              <w:t>78,993</w:t>
            </w:r>
          </w:p>
        </w:tc>
      </w:tr>
      <w:tr>
        <w:trPr>
          <w:trHeight w:val="310" w:hRule="exact"/>
        </w:trPr>
        <w:tc>
          <w:tcPr>
            <w:tcW w:w="5806" w:type="dxa"/>
            <w:gridSpan w:val="6"/>
            <w:vMerge/>
            <w:tcBorders>
              <w:left w:val="nil"/>
            </w:tcBorders>
          </w:tcPr>
          <w:p>
            <w:pPr/>
          </w:p>
        </w:tc>
        <w:tc>
          <w:tcPr>
            <w:tcW w:w="2561" w:type="dxa"/>
            <w:gridSpan w:val="2"/>
          </w:tcPr>
          <w:p>
            <w:pPr>
              <w:pStyle w:val="TableParagraph"/>
              <w:spacing w:before="11"/>
              <w:ind w:left="64" w:right="279"/>
              <w:jc w:val="left"/>
              <w:rPr>
                <w:sz w:val="22"/>
              </w:rPr>
            </w:pPr>
            <w:r>
              <w:rPr>
                <w:sz w:val="22"/>
              </w:rPr>
              <w:t>Desviación estándar</w:t>
            </w:r>
          </w:p>
        </w:tc>
        <w:tc>
          <w:tcPr>
            <w:tcW w:w="1402" w:type="dxa"/>
          </w:tcPr>
          <w:p>
            <w:pPr>
              <w:pStyle w:val="TableParagraph"/>
              <w:ind w:right="63"/>
              <w:rPr>
                <w:b/>
                <w:sz w:val="22"/>
              </w:rPr>
            </w:pPr>
            <w:r>
              <w:rPr>
                <w:b/>
                <w:sz w:val="22"/>
              </w:rPr>
              <w:t>0,435</w:t>
            </w:r>
          </w:p>
        </w:tc>
      </w:tr>
      <w:tr>
        <w:trPr>
          <w:trHeight w:val="310" w:hRule="exact"/>
        </w:trPr>
        <w:tc>
          <w:tcPr>
            <w:tcW w:w="5806" w:type="dxa"/>
            <w:gridSpan w:val="6"/>
            <w:vMerge/>
            <w:tcBorders>
              <w:left w:val="nil"/>
            </w:tcBorders>
          </w:tcPr>
          <w:p>
            <w:pPr/>
          </w:p>
        </w:tc>
        <w:tc>
          <w:tcPr>
            <w:tcW w:w="2561" w:type="dxa"/>
            <w:gridSpan w:val="2"/>
            <w:vMerge w:val="restart"/>
          </w:tcPr>
          <w:p>
            <w:pPr>
              <w:pStyle w:val="TableParagraph"/>
              <w:spacing w:before="33"/>
              <w:ind w:left="64" w:right="279"/>
              <w:jc w:val="left"/>
              <w:rPr>
                <w:sz w:val="22"/>
              </w:rPr>
            </w:pPr>
            <w:r>
              <w:rPr>
                <w:sz w:val="22"/>
              </w:rPr>
              <w:t>Intervalo de confianza al 95 %</w:t>
            </w:r>
          </w:p>
        </w:tc>
        <w:tc>
          <w:tcPr>
            <w:tcW w:w="1402" w:type="dxa"/>
          </w:tcPr>
          <w:p>
            <w:pPr>
              <w:pStyle w:val="TableParagraph"/>
              <w:ind w:right="63"/>
              <w:rPr>
                <w:sz w:val="22"/>
              </w:rPr>
            </w:pPr>
            <w:r>
              <w:rPr>
                <w:sz w:val="22"/>
              </w:rPr>
              <w:t>78,14</w:t>
            </w:r>
          </w:p>
        </w:tc>
      </w:tr>
      <w:tr>
        <w:trPr>
          <w:trHeight w:val="310" w:hRule="exact"/>
        </w:trPr>
        <w:tc>
          <w:tcPr>
            <w:tcW w:w="5806" w:type="dxa"/>
            <w:gridSpan w:val="6"/>
            <w:vMerge/>
            <w:tcBorders>
              <w:left w:val="nil"/>
              <w:bottom w:val="nil"/>
            </w:tcBorders>
          </w:tcPr>
          <w:p>
            <w:pPr/>
          </w:p>
        </w:tc>
        <w:tc>
          <w:tcPr>
            <w:tcW w:w="2561" w:type="dxa"/>
            <w:gridSpan w:val="2"/>
            <w:vMerge/>
          </w:tcPr>
          <w:p>
            <w:pPr/>
          </w:p>
        </w:tc>
        <w:tc>
          <w:tcPr>
            <w:tcW w:w="1402" w:type="dxa"/>
          </w:tcPr>
          <w:p>
            <w:pPr>
              <w:pStyle w:val="TableParagraph"/>
              <w:ind w:right="63"/>
              <w:rPr>
                <w:sz w:val="22"/>
              </w:rPr>
            </w:pPr>
            <w:r>
              <w:rPr>
                <w:sz w:val="22"/>
              </w:rPr>
              <w:t>79,85</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5"/>
        <w:gridCol w:w="756"/>
        <w:gridCol w:w="475"/>
        <w:gridCol w:w="1150"/>
        <w:gridCol w:w="1279"/>
        <w:gridCol w:w="1361"/>
        <w:gridCol w:w="1282"/>
        <w:gridCol w:w="1279"/>
        <w:gridCol w:w="1402"/>
      </w:tblGrid>
      <w:tr>
        <w:trPr>
          <w:trHeight w:val="312" w:hRule="exact"/>
        </w:trPr>
        <w:tc>
          <w:tcPr>
            <w:tcW w:w="9768" w:type="dxa"/>
            <w:gridSpan w:val="9"/>
          </w:tcPr>
          <w:p>
            <w:pPr>
              <w:pStyle w:val="TableParagraph"/>
              <w:spacing w:before="30"/>
              <w:ind w:left="3926" w:right="3925"/>
              <w:jc w:val="center"/>
              <w:rPr>
                <w:sz w:val="22"/>
              </w:rPr>
            </w:pPr>
            <w:r>
              <w:rPr>
                <w:sz w:val="22"/>
              </w:rPr>
              <w:t>Eficiencia percolador</w:t>
            </w:r>
          </w:p>
        </w:tc>
      </w:tr>
      <w:tr>
        <w:trPr>
          <w:trHeight w:val="310" w:hRule="exact"/>
        </w:trPr>
        <w:tc>
          <w:tcPr>
            <w:tcW w:w="785" w:type="dxa"/>
          </w:tcPr>
          <w:p>
            <w:pPr>
              <w:pStyle w:val="TableParagraph"/>
              <w:spacing w:before="11"/>
              <w:ind w:left="46" w:right="49"/>
              <w:jc w:val="center"/>
              <w:rPr>
                <w:sz w:val="22"/>
              </w:rPr>
            </w:pPr>
            <w:r>
              <w:rPr>
                <w:sz w:val="22"/>
              </w:rPr>
              <w:t>Estrato</w:t>
            </w:r>
          </w:p>
        </w:tc>
        <w:tc>
          <w:tcPr>
            <w:tcW w:w="756" w:type="dxa"/>
          </w:tcPr>
          <w:p>
            <w:pPr>
              <w:pStyle w:val="TableParagraph"/>
              <w:spacing w:before="40"/>
              <w:ind w:left="33" w:right="46"/>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left="112" w:right="0"/>
              <w:jc w:val="left"/>
              <w:rPr>
                <w:rFonts w:ascii="Cambria Math"/>
                <w:sz w:val="16"/>
              </w:rPr>
            </w:pPr>
            <w:r>
              <w:rPr>
                <w:rFonts w:ascii="Cambria Math"/>
                <w:w w:val="110"/>
                <w:sz w:val="22"/>
              </w:rPr>
              <w:t>n</w:t>
            </w:r>
            <w:r>
              <w:rPr>
                <w:rFonts w:ascii="Cambria Math"/>
                <w:w w:val="110"/>
                <w:position w:val="-4"/>
                <w:sz w:val="16"/>
              </w:rPr>
              <w:t>h</w:t>
            </w:r>
          </w:p>
        </w:tc>
        <w:tc>
          <w:tcPr>
            <w:tcW w:w="1150" w:type="dxa"/>
          </w:tcPr>
          <w:p>
            <w:pPr>
              <w:pStyle w:val="TableParagraph"/>
              <w:spacing w:before="40"/>
              <w:ind w:left="375" w:right="390"/>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79" w:type="dxa"/>
          </w:tcPr>
          <w:p>
            <w:pPr>
              <w:pStyle w:val="TableParagraph"/>
              <w:spacing w:line="214" w:lineRule="exact" w:before="6"/>
              <w:ind w:left="34"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61" w:type="dxa"/>
          </w:tcPr>
          <w:p>
            <w:pPr>
              <w:pStyle w:val="TableParagraph"/>
              <w:spacing w:before="16"/>
              <w:ind w:left="556" w:right="56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282" w:type="dxa"/>
          </w:tcPr>
          <w:p>
            <w:pPr>
              <w:pStyle w:val="TableParagraph"/>
              <w:spacing w:before="40"/>
              <w:ind w:left="35" w:right="46"/>
              <w:jc w:val="center"/>
              <w:rPr>
                <w:rFonts w:ascii="Cambria Math"/>
                <w:sz w:val="16"/>
              </w:rPr>
            </w:pPr>
            <w:r>
              <w:rPr>
                <w:rFonts w:ascii="Cambria Math"/>
                <w:w w:val="110"/>
                <w:sz w:val="22"/>
              </w:rPr>
              <w:t>s</w:t>
            </w:r>
            <w:r>
              <w:rPr>
                <w:rFonts w:ascii="Cambria Math"/>
                <w:w w:val="110"/>
                <w:position w:val="-4"/>
                <w:sz w:val="16"/>
              </w:rPr>
              <w:t>h</w:t>
            </w:r>
          </w:p>
        </w:tc>
        <w:tc>
          <w:tcPr>
            <w:tcW w:w="1279" w:type="dxa"/>
          </w:tcPr>
          <w:p>
            <w:pPr>
              <w:pStyle w:val="TableParagraph"/>
              <w:spacing w:before="0"/>
              <w:ind w:left="46" w:right="44"/>
              <w:jc w:val="center"/>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02" w:type="dxa"/>
          </w:tcPr>
          <w:p>
            <w:pPr>
              <w:pStyle w:val="TableParagraph"/>
              <w:spacing w:before="0"/>
              <w:ind w:left="34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85" w:type="dxa"/>
          </w:tcPr>
          <w:p>
            <w:pPr>
              <w:pStyle w:val="TableParagraph"/>
              <w:ind w:right="1"/>
              <w:jc w:val="center"/>
              <w:rPr>
                <w:sz w:val="22"/>
              </w:rPr>
            </w:pPr>
            <w:r>
              <w:rPr>
                <w:w w:val="100"/>
                <w:sz w:val="22"/>
              </w:rPr>
              <w:t>1</w:t>
            </w:r>
          </w:p>
        </w:tc>
        <w:tc>
          <w:tcPr>
            <w:tcW w:w="756" w:type="dxa"/>
          </w:tcPr>
          <w:p>
            <w:pPr>
              <w:pStyle w:val="TableParagraph"/>
              <w:ind w:left="47" w:right="46"/>
              <w:jc w:val="center"/>
              <w:rPr>
                <w:sz w:val="22"/>
              </w:rPr>
            </w:pPr>
            <w:r>
              <w:rPr>
                <w:sz w:val="22"/>
              </w:rPr>
              <w:t>108,60</w:t>
            </w:r>
          </w:p>
        </w:tc>
        <w:tc>
          <w:tcPr>
            <w:tcW w:w="475" w:type="dxa"/>
          </w:tcPr>
          <w:p>
            <w:pPr>
              <w:pStyle w:val="TableParagraph"/>
              <w:rPr>
                <w:sz w:val="22"/>
              </w:rPr>
            </w:pPr>
            <w:r>
              <w:rPr>
                <w:sz w:val="22"/>
              </w:rPr>
              <w:t>108</w:t>
            </w:r>
          </w:p>
        </w:tc>
        <w:tc>
          <w:tcPr>
            <w:tcW w:w="1150" w:type="dxa"/>
          </w:tcPr>
          <w:p>
            <w:pPr>
              <w:pStyle w:val="TableParagraph"/>
              <w:ind w:right="63"/>
              <w:rPr>
                <w:sz w:val="22"/>
              </w:rPr>
            </w:pPr>
            <w:r>
              <w:rPr>
                <w:sz w:val="22"/>
              </w:rPr>
              <w:t>24,634921</w:t>
            </w:r>
          </w:p>
        </w:tc>
        <w:tc>
          <w:tcPr>
            <w:tcW w:w="1279" w:type="dxa"/>
          </w:tcPr>
          <w:p>
            <w:pPr>
              <w:pStyle w:val="TableParagraph"/>
              <w:ind w:right="63"/>
              <w:rPr>
                <w:sz w:val="22"/>
              </w:rPr>
            </w:pPr>
            <w:r>
              <w:rPr>
                <w:sz w:val="22"/>
              </w:rPr>
              <w:t>71,4336105</w:t>
            </w:r>
          </w:p>
        </w:tc>
        <w:tc>
          <w:tcPr>
            <w:tcW w:w="1361" w:type="dxa"/>
          </w:tcPr>
          <w:p>
            <w:pPr>
              <w:pStyle w:val="TableParagraph"/>
              <w:ind w:right="63"/>
              <w:rPr>
                <w:sz w:val="22"/>
              </w:rPr>
            </w:pPr>
            <w:r>
              <w:rPr>
                <w:sz w:val="22"/>
              </w:rPr>
              <w:t>2675,35238</w:t>
            </w:r>
          </w:p>
        </w:tc>
        <w:tc>
          <w:tcPr>
            <w:tcW w:w="1282" w:type="dxa"/>
          </w:tcPr>
          <w:p>
            <w:pPr>
              <w:pStyle w:val="TableParagraph"/>
              <w:ind w:left="126" w:right="46"/>
              <w:jc w:val="center"/>
              <w:rPr>
                <w:sz w:val="22"/>
              </w:rPr>
            </w:pPr>
            <w:r>
              <w:rPr>
                <w:sz w:val="22"/>
              </w:rPr>
              <w:t>8,45184066</w:t>
            </w:r>
          </w:p>
        </w:tc>
        <w:tc>
          <w:tcPr>
            <w:tcW w:w="1279" w:type="dxa"/>
          </w:tcPr>
          <w:p>
            <w:pPr>
              <w:pStyle w:val="TableParagraph"/>
              <w:ind w:left="127" w:right="1"/>
              <w:jc w:val="center"/>
              <w:rPr>
                <w:sz w:val="22"/>
              </w:rPr>
            </w:pPr>
            <w:r>
              <w:rPr>
                <w:sz w:val="22"/>
              </w:rPr>
              <w:t>-2608,0254</w:t>
            </w:r>
          </w:p>
        </w:tc>
        <w:tc>
          <w:tcPr>
            <w:tcW w:w="1402" w:type="dxa"/>
          </w:tcPr>
          <w:p>
            <w:pPr>
              <w:pStyle w:val="TableParagraph"/>
              <w:ind w:right="63"/>
              <w:rPr>
                <w:sz w:val="22"/>
              </w:rPr>
            </w:pPr>
            <w:r>
              <w:rPr>
                <w:sz w:val="22"/>
              </w:rPr>
              <w:t>-0,00539672</w:t>
            </w:r>
          </w:p>
        </w:tc>
      </w:tr>
      <w:tr>
        <w:trPr>
          <w:trHeight w:val="310" w:hRule="exact"/>
        </w:trPr>
        <w:tc>
          <w:tcPr>
            <w:tcW w:w="785" w:type="dxa"/>
          </w:tcPr>
          <w:p>
            <w:pPr>
              <w:pStyle w:val="TableParagraph"/>
              <w:ind w:right="1"/>
              <w:jc w:val="center"/>
              <w:rPr>
                <w:sz w:val="22"/>
              </w:rPr>
            </w:pPr>
            <w:r>
              <w:rPr>
                <w:w w:val="100"/>
                <w:sz w:val="22"/>
              </w:rPr>
              <w:t>2</w:t>
            </w:r>
          </w:p>
        </w:tc>
        <w:tc>
          <w:tcPr>
            <w:tcW w:w="756" w:type="dxa"/>
          </w:tcPr>
          <w:p>
            <w:pPr>
              <w:pStyle w:val="TableParagraph"/>
              <w:ind w:left="47" w:right="46"/>
              <w:jc w:val="center"/>
              <w:rPr>
                <w:sz w:val="22"/>
              </w:rPr>
            </w:pPr>
            <w:r>
              <w:rPr>
                <w:sz w:val="22"/>
              </w:rPr>
              <w:t>121,03</w:t>
            </w:r>
          </w:p>
        </w:tc>
        <w:tc>
          <w:tcPr>
            <w:tcW w:w="475" w:type="dxa"/>
          </w:tcPr>
          <w:p>
            <w:pPr>
              <w:pStyle w:val="TableParagraph"/>
              <w:rPr>
                <w:sz w:val="22"/>
              </w:rPr>
            </w:pPr>
            <w:r>
              <w:rPr>
                <w:sz w:val="22"/>
              </w:rPr>
              <w:t>81</w:t>
            </w:r>
          </w:p>
        </w:tc>
        <w:tc>
          <w:tcPr>
            <w:tcW w:w="1150" w:type="dxa"/>
          </w:tcPr>
          <w:p>
            <w:pPr>
              <w:pStyle w:val="TableParagraph"/>
              <w:ind w:right="63"/>
              <w:rPr>
                <w:sz w:val="22"/>
              </w:rPr>
            </w:pPr>
            <w:r>
              <w:rPr>
                <w:sz w:val="22"/>
              </w:rPr>
              <w:t>-0,587335</w:t>
            </w:r>
          </w:p>
        </w:tc>
        <w:tc>
          <w:tcPr>
            <w:tcW w:w="1279" w:type="dxa"/>
          </w:tcPr>
          <w:p>
            <w:pPr>
              <w:pStyle w:val="TableParagraph"/>
              <w:ind w:right="63"/>
              <w:rPr>
                <w:sz w:val="22"/>
              </w:rPr>
            </w:pPr>
            <w:r>
              <w:rPr>
                <w:sz w:val="22"/>
              </w:rPr>
              <w:t>130,039929</w:t>
            </w:r>
          </w:p>
        </w:tc>
        <w:tc>
          <w:tcPr>
            <w:tcW w:w="1361" w:type="dxa"/>
          </w:tcPr>
          <w:p>
            <w:pPr>
              <w:pStyle w:val="TableParagraph"/>
              <w:ind w:right="63"/>
              <w:rPr>
                <w:sz w:val="22"/>
              </w:rPr>
            </w:pPr>
            <w:r>
              <w:rPr>
                <w:sz w:val="22"/>
              </w:rPr>
              <w:t>-71,0852051</w:t>
            </w:r>
          </w:p>
        </w:tc>
        <w:tc>
          <w:tcPr>
            <w:tcW w:w="1282" w:type="dxa"/>
          </w:tcPr>
          <w:p>
            <w:pPr>
              <w:pStyle w:val="TableParagraph"/>
              <w:ind w:left="126" w:right="46"/>
              <w:jc w:val="center"/>
              <w:rPr>
                <w:sz w:val="22"/>
              </w:rPr>
            </w:pPr>
            <w:r>
              <w:rPr>
                <w:sz w:val="22"/>
              </w:rPr>
              <w:t>11,4035051</w:t>
            </w:r>
          </w:p>
        </w:tc>
        <w:tc>
          <w:tcPr>
            <w:tcW w:w="1279" w:type="dxa"/>
          </w:tcPr>
          <w:p>
            <w:pPr>
              <w:pStyle w:val="TableParagraph"/>
              <w:ind w:left="127" w:right="44"/>
              <w:jc w:val="center"/>
              <w:rPr>
                <w:sz w:val="22"/>
              </w:rPr>
            </w:pPr>
            <w:r>
              <w:rPr>
                <w:sz w:val="22"/>
              </w:rPr>
              <w:t>7789,66175</w:t>
            </w:r>
          </w:p>
        </w:tc>
        <w:tc>
          <w:tcPr>
            <w:tcW w:w="1402" w:type="dxa"/>
          </w:tcPr>
          <w:p>
            <w:pPr>
              <w:pStyle w:val="TableParagraph"/>
              <w:ind w:right="63"/>
              <w:rPr>
                <w:sz w:val="22"/>
              </w:rPr>
            </w:pPr>
            <w:r>
              <w:rPr>
                <w:sz w:val="22"/>
              </w:rPr>
              <w:t>0,01611894</w:t>
            </w:r>
          </w:p>
        </w:tc>
      </w:tr>
      <w:tr>
        <w:trPr>
          <w:trHeight w:val="310" w:hRule="exact"/>
        </w:trPr>
        <w:tc>
          <w:tcPr>
            <w:tcW w:w="785" w:type="dxa"/>
          </w:tcPr>
          <w:p>
            <w:pPr>
              <w:pStyle w:val="TableParagraph"/>
              <w:ind w:right="1"/>
              <w:jc w:val="center"/>
              <w:rPr>
                <w:sz w:val="22"/>
              </w:rPr>
            </w:pPr>
            <w:r>
              <w:rPr>
                <w:w w:val="100"/>
                <w:sz w:val="22"/>
              </w:rPr>
              <w:t>3</w:t>
            </w:r>
          </w:p>
        </w:tc>
        <w:tc>
          <w:tcPr>
            <w:tcW w:w="756" w:type="dxa"/>
          </w:tcPr>
          <w:p>
            <w:pPr>
              <w:pStyle w:val="TableParagraph"/>
              <w:ind w:left="47" w:right="46"/>
              <w:jc w:val="center"/>
              <w:rPr>
                <w:sz w:val="22"/>
              </w:rPr>
            </w:pPr>
            <w:r>
              <w:rPr>
                <w:sz w:val="22"/>
              </w:rPr>
              <w:t>130,21</w:t>
            </w:r>
          </w:p>
        </w:tc>
        <w:tc>
          <w:tcPr>
            <w:tcW w:w="475" w:type="dxa"/>
          </w:tcPr>
          <w:p>
            <w:pPr>
              <w:pStyle w:val="TableParagraph"/>
              <w:rPr>
                <w:sz w:val="22"/>
              </w:rPr>
            </w:pPr>
            <w:r>
              <w:rPr>
                <w:sz w:val="22"/>
              </w:rPr>
              <w:t>77</w:t>
            </w:r>
          </w:p>
        </w:tc>
        <w:tc>
          <w:tcPr>
            <w:tcW w:w="1150" w:type="dxa"/>
          </w:tcPr>
          <w:p>
            <w:pPr>
              <w:pStyle w:val="TableParagraph"/>
              <w:ind w:right="63"/>
              <w:rPr>
                <w:sz w:val="22"/>
              </w:rPr>
            </w:pPr>
            <w:r>
              <w:rPr>
                <w:sz w:val="22"/>
              </w:rPr>
              <w:t>17,04</w:t>
            </w:r>
          </w:p>
        </w:tc>
        <w:tc>
          <w:tcPr>
            <w:tcW w:w="1279" w:type="dxa"/>
          </w:tcPr>
          <w:p>
            <w:pPr>
              <w:pStyle w:val="TableParagraph"/>
              <w:ind w:right="63"/>
              <w:rPr>
                <w:sz w:val="22"/>
              </w:rPr>
            </w:pPr>
            <w:r>
              <w:rPr>
                <w:sz w:val="22"/>
              </w:rPr>
              <w:t>78,468151</w:t>
            </w:r>
          </w:p>
        </w:tc>
        <w:tc>
          <w:tcPr>
            <w:tcW w:w="1361" w:type="dxa"/>
          </w:tcPr>
          <w:p>
            <w:pPr>
              <w:pStyle w:val="TableParagraph"/>
              <w:ind w:right="63"/>
              <w:rPr>
                <w:sz w:val="22"/>
              </w:rPr>
            </w:pPr>
            <w:r>
              <w:rPr>
                <w:sz w:val="22"/>
              </w:rPr>
              <w:t>2219,29279</w:t>
            </w:r>
          </w:p>
        </w:tc>
        <w:tc>
          <w:tcPr>
            <w:tcW w:w="1282" w:type="dxa"/>
          </w:tcPr>
          <w:p>
            <w:pPr>
              <w:pStyle w:val="TableParagraph"/>
              <w:ind w:left="126" w:right="46"/>
              <w:jc w:val="center"/>
              <w:rPr>
                <w:sz w:val="22"/>
              </w:rPr>
            </w:pPr>
            <w:r>
              <w:rPr>
                <w:sz w:val="22"/>
              </w:rPr>
              <w:t>8,85822505</w:t>
            </w:r>
          </w:p>
        </w:tc>
        <w:tc>
          <w:tcPr>
            <w:tcW w:w="1279" w:type="dxa"/>
          </w:tcPr>
          <w:p>
            <w:pPr>
              <w:pStyle w:val="TableParagraph"/>
              <w:ind w:left="127" w:right="44"/>
              <w:jc w:val="center"/>
              <w:rPr>
                <w:sz w:val="22"/>
              </w:rPr>
            </w:pPr>
            <w:r>
              <w:rPr>
                <w:sz w:val="22"/>
              </w:rPr>
              <w:t>7164,41765</w:t>
            </w:r>
          </w:p>
        </w:tc>
        <w:tc>
          <w:tcPr>
            <w:tcW w:w="1402" w:type="dxa"/>
          </w:tcPr>
          <w:p>
            <w:pPr>
              <w:pStyle w:val="TableParagraph"/>
              <w:ind w:right="63"/>
              <w:rPr>
                <w:sz w:val="22"/>
              </w:rPr>
            </w:pPr>
            <w:r>
              <w:rPr>
                <w:sz w:val="22"/>
              </w:rPr>
              <w:t>0,01482514</w:t>
            </w:r>
          </w:p>
        </w:tc>
      </w:tr>
      <w:tr>
        <w:trPr>
          <w:trHeight w:val="310" w:hRule="exact"/>
        </w:trPr>
        <w:tc>
          <w:tcPr>
            <w:tcW w:w="785" w:type="dxa"/>
          </w:tcPr>
          <w:p>
            <w:pPr>
              <w:pStyle w:val="TableParagraph"/>
              <w:ind w:right="1"/>
              <w:jc w:val="center"/>
              <w:rPr>
                <w:sz w:val="22"/>
              </w:rPr>
            </w:pPr>
            <w:r>
              <w:rPr>
                <w:w w:val="100"/>
                <w:sz w:val="22"/>
              </w:rPr>
              <w:t>4</w:t>
            </w:r>
          </w:p>
        </w:tc>
        <w:tc>
          <w:tcPr>
            <w:tcW w:w="756" w:type="dxa"/>
          </w:tcPr>
          <w:p>
            <w:pPr>
              <w:pStyle w:val="TableParagraph"/>
              <w:ind w:left="47" w:right="46"/>
              <w:jc w:val="center"/>
              <w:rPr>
                <w:sz w:val="22"/>
              </w:rPr>
            </w:pPr>
            <w:r>
              <w:rPr>
                <w:sz w:val="22"/>
              </w:rPr>
              <w:t>155,12</w:t>
            </w:r>
          </w:p>
        </w:tc>
        <w:tc>
          <w:tcPr>
            <w:tcW w:w="475" w:type="dxa"/>
          </w:tcPr>
          <w:p>
            <w:pPr>
              <w:pStyle w:val="TableParagraph"/>
              <w:rPr>
                <w:sz w:val="22"/>
              </w:rPr>
            </w:pPr>
            <w:r>
              <w:rPr>
                <w:sz w:val="22"/>
              </w:rPr>
              <w:t>92</w:t>
            </w:r>
          </w:p>
        </w:tc>
        <w:tc>
          <w:tcPr>
            <w:tcW w:w="1150" w:type="dxa"/>
          </w:tcPr>
          <w:p>
            <w:pPr>
              <w:pStyle w:val="TableParagraph"/>
              <w:ind w:right="63"/>
              <w:rPr>
                <w:sz w:val="22"/>
              </w:rPr>
            </w:pPr>
            <w:r>
              <w:rPr>
                <w:sz w:val="22"/>
              </w:rPr>
              <w:t>21,60</w:t>
            </w:r>
          </w:p>
        </w:tc>
        <w:tc>
          <w:tcPr>
            <w:tcW w:w="1279" w:type="dxa"/>
          </w:tcPr>
          <w:p>
            <w:pPr>
              <w:pStyle w:val="TableParagraph"/>
              <w:ind w:right="63"/>
              <w:rPr>
                <w:sz w:val="22"/>
              </w:rPr>
            </w:pPr>
            <w:r>
              <w:rPr>
                <w:sz w:val="22"/>
              </w:rPr>
              <w:t>180,259315</w:t>
            </w:r>
          </w:p>
        </w:tc>
        <w:tc>
          <w:tcPr>
            <w:tcW w:w="1361" w:type="dxa"/>
          </w:tcPr>
          <w:p>
            <w:pPr>
              <w:pStyle w:val="TableParagraph"/>
              <w:ind w:right="63"/>
              <w:rPr>
                <w:sz w:val="22"/>
              </w:rPr>
            </w:pPr>
            <w:r>
              <w:rPr>
                <w:sz w:val="22"/>
              </w:rPr>
              <w:t>3350,06338</w:t>
            </w:r>
          </w:p>
        </w:tc>
        <w:tc>
          <w:tcPr>
            <w:tcW w:w="1282" w:type="dxa"/>
          </w:tcPr>
          <w:p>
            <w:pPr>
              <w:pStyle w:val="TableParagraph"/>
              <w:ind w:left="126" w:right="46"/>
              <w:jc w:val="center"/>
              <w:rPr>
                <w:sz w:val="22"/>
              </w:rPr>
            </w:pPr>
            <w:r>
              <w:rPr>
                <w:sz w:val="22"/>
              </w:rPr>
              <w:t>13,4260685</w:t>
            </w:r>
          </w:p>
        </w:tc>
        <w:tc>
          <w:tcPr>
            <w:tcW w:w="1279" w:type="dxa"/>
          </w:tcPr>
          <w:p>
            <w:pPr>
              <w:pStyle w:val="TableParagraph"/>
              <w:ind w:left="127" w:right="44"/>
              <w:jc w:val="center"/>
              <w:rPr>
                <w:sz w:val="22"/>
              </w:rPr>
            </w:pPr>
            <w:r>
              <w:rPr>
                <w:sz w:val="22"/>
              </w:rPr>
              <w:t>19281,8118</w:t>
            </w:r>
          </w:p>
        </w:tc>
        <w:tc>
          <w:tcPr>
            <w:tcW w:w="1402" w:type="dxa"/>
          </w:tcPr>
          <w:p>
            <w:pPr>
              <w:pStyle w:val="TableParagraph"/>
              <w:ind w:right="63"/>
              <w:rPr>
                <w:sz w:val="22"/>
              </w:rPr>
            </w:pPr>
            <w:r>
              <w:rPr>
                <w:sz w:val="22"/>
              </w:rPr>
              <w:t>0,03989935</w:t>
            </w:r>
          </w:p>
        </w:tc>
      </w:tr>
      <w:tr>
        <w:trPr>
          <w:trHeight w:val="312" w:hRule="exact"/>
        </w:trPr>
        <w:tc>
          <w:tcPr>
            <w:tcW w:w="785" w:type="dxa"/>
          </w:tcPr>
          <w:p>
            <w:pPr>
              <w:pStyle w:val="TableParagraph"/>
              <w:spacing w:before="30"/>
              <w:ind w:right="1"/>
              <w:jc w:val="center"/>
              <w:rPr>
                <w:sz w:val="22"/>
              </w:rPr>
            </w:pPr>
            <w:r>
              <w:rPr>
                <w:w w:val="100"/>
                <w:sz w:val="22"/>
              </w:rPr>
              <w:t>5</w:t>
            </w:r>
          </w:p>
        </w:tc>
        <w:tc>
          <w:tcPr>
            <w:tcW w:w="756" w:type="dxa"/>
          </w:tcPr>
          <w:p>
            <w:pPr>
              <w:pStyle w:val="TableParagraph"/>
              <w:spacing w:before="30"/>
              <w:ind w:left="47" w:right="46"/>
              <w:jc w:val="center"/>
              <w:rPr>
                <w:sz w:val="22"/>
              </w:rPr>
            </w:pPr>
            <w:r>
              <w:rPr>
                <w:sz w:val="22"/>
              </w:rPr>
              <w:t>180,21</w:t>
            </w:r>
          </w:p>
        </w:tc>
        <w:tc>
          <w:tcPr>
            <w:tcW w:w="475" w:type="dxa"/>
          </w:tcPr>
          <w:p>
            <w:pPr>
              <w:pStyle w:val="TableParagraph"/>
              <w:spacing w:before="30"/>
              <w:rPr>
                <w:sz w:val="22"/>
              </w:rPr>
            </w:pPr>
            <w:r>
              <w:rPr>
                <w:sz w:val="22"/>
              </w:rPr>
              <w:t>132</w:t>
            </w:r>
          </w:p>
        </w:tc>
        <w:tc>
          <w:tcPr>
            <w:tcW w:w="1150" w:type="dxa"/>
          </w:tcPr>
          <w:p>
            <w:pPr>
              <w:pStyle w:val="TableParagraph"/>
              <w:spacing w:before="30"/>
              <w:ind w:right="63"/>
              <w:rPr>
                <w:sz w:val="22"/>
              </w:rPr>
            </w:pPr>
            <w:r>
              <w:rPr>
                <w:sz w:val="22"/>
              </w:rPr>
              <w:t>32,13</w:t>
            </w:r>
          </w:p>
        </w:tc>
        <w:tc>
          <w:tcPr>
            <w:tcW w:w="1279" w:type="dxa"/>
          </w:tcPr>
          <w:p>
            <w:pPr>
              <w:pStyle w:val="TableParagraph"/>
              <w:spacing w:before="30"/>
              <w:ind w:right="63"/>
              <w:rPr>
                <w:sz w:val="22"/>
              </w:rPr>
            </w:pPr>
            <w:r>
              <w:rPr>
                <w:sz w:val="22"/>
              </w:rPr>
              <w:t>128,879595</w:t>
            </w:r>
          </w:p>
        </w:tc>
        <w:tc>
          <w:tcPr>
            <w:tcW w:w="1361" w:type="dxa"/>
          </w:tcPr>
          <w:p>
            <w:pPr>
              <w:pStyle w:val="TableParagraph"/>
              <w:spacing w:before="30"/>
              <w:ind w:right="63"/>
              <w:rPr>
                <w:sz w:val="22"/>
              </w:rPr>
            </w:pPr>
            <w:r>
              <w:rPr>
                <w:sz w:val="22"/>
              </w:rPr>
              <w:t>5790,20282</w:t>
            </w:r>
          </w:p>
        </w:tc>
        <w:tc>
          <w:tcPr>
            <w:tcW w:w="1282" w:type="dxa"/>
          </w:tcPr>
          <w:p>
            <w:pPr>
              <w:pStyle w:val="TableParagraph"/>
              <w:spacing w:before="30"/>
              <w:ind w:left="126" w:right="46"/>
              <w:jc w:val="center"/>
              <w:rPr>
                <w:sz w:val="22"/>
              </w:rPr>
            </w:pPr>
            <w:r>
              <w:rPr>
                <w:sz w:val="22"/>
              </w:rPr>
              <w:t>11,3525149</w:t>
            </w:r>
          </w:p>
        </w:tc>
        <w:tc>
          <w:tcPr>
            <w:tcW w:w="1279" w:type="dxa"/>
          </w:tcPr>
          <w:p>
            <w:pPr>
              <w:pStyle w:val="TableParagraph"/>
              <w:spacing w:before="30"/>
              <w:ind w:left="127" w:right="44"/>
              <w:jc w:val="center"/>
              <w:rPr>
                <w:sz w:val="22"/>
              </w:rPr>
            </w:pPr>
            <w:r>
              <w:rPr>
                <w:sz w:val="22"/>
              </w:rPr>
              <w:t>8472,94093</w:t>
            </w:r>
          </w:p>
        </w:tc>
        <w:tc>
          <w:tcPr>
            <w:tcW w:w="1402" w:type="dxa"/>
          </w:tcPr>
          <w:p>
            <w:pPr>
              <w:pStyle w:val="TableParagraph"/>
              <w:spacing w:before="30"/>
              <w:ind w:right="63"/>
              <w:rPr>
                <w:sz w:val="22"/>
              </w:rPr>
            </w:pPr>
            <w:r>
              <w:rPr>
                <w:sz w:val="22"/>
              </w:rPr>
              <w:t>0,01753283</w:t>
            </w:r>
          </w:p>
        </w:tc>
      </w:tr>
      <w:tr>
        <w:trPr>
          <w:trHeight w:val="310" w:hRule="exact"/>
        </w:trPr>
        <w:tc>
          <w:tcPr>
            <w:tcW w:w="785" w:type="dxa"/>
          </w:tcPr>
          <w:p>
            <w:pPr>
              <w:pStyle w:val="TableParagraph"/>
              <w:ind w:right="0"/>
              <w:jc w:val="center"/>
              <w:rPr>
                <w:sz w:val="22"/>
              </w:rPr>
            </w:pPr>
            <w:r>
              <w:rPr>
                <w:w w:val="100"/>
                <w:sz w:val="22"/>
              </w:rPr>
              <w:t>N</w:t>
            </w:r>
          </w:p>
        </w:tc>
        <w:tc>
          <w:tcPr>
            <w:tcW w:w="756" w:type="dxa"/>
          </w:tcPr>
          <w:p>
            <w:pPr>
              <w:pStyle w:val="TableParagraph"/>
              <w:ind w:left="47" w:right="46"/>
              <w:jc w:val="center"/>
              <w:rPr>
                <w:sz w:val="22"/>
              </w:rPr>
            </w:pPr>
            <w:r>
              <w:rPr>
                <w:sz w:val="22"/>
              </w:rPr>
              <w:t>695,17</w:t>
            </w:r>
          </w:p>
        </w:tc>
        <w:tc>
          <w:tcPr>
            <w:tcW w:w="475" w:type="dxa"/>
          </w:tcPr>
          <w:p>
            <w:pPr/>
          </w:p>
        </w:tc>
        <w:tc>
          <w:tcPr>
            <w:tcW w:w="1150" w:type="dxa"/>
          </w:tcPr>
          <w:p>
            <w:pPr/>
          </w:p>
        </w:tc>
        <w:tc>
          <w:tcPr>
            <w:tcW w:w="1279" w:type="dxa"/>
          </w:tcPr>
          <w:p>
            <w:pPr>
              <w:pStyle w:val="TableParagraph"/>
              <w:spacing w:line="312" w:lineRule="exact" w:before="0"/>
              <w:ind w:left="31" w:right="4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61" w:type="dxa"/>
          </w:tcPr>
          <w:p>
            <w:pPr>
              <w:pStyle w:val="TableParagraph"/>
              <w:ind w:right="63"/>
              <w:rPr>
                <w:sz w:val="22"/>
              </w:rPr>
            </w:pPr>
            <w:r>
              <w:rPr>
                <w:sz w:val="22"/>
              </w:rPr>
              <w:t>13963,8262</w:t>
            </w:r>
          </w:p>
        </w:tc>
        <w:tc>
          <w:tcPr>
            <w:tcW w:w="1282" w:type="dxa"/>
          </w:tcPr>
          <w:p>
            <w:pPr/>
          </w:p>
        </w:tc>
        <w:tc>
          <w:tcPr>
            <w:tcW w:w="1279" w:type="dxa"/>
          </w:tcPr>
          <w:p>
            <w:pPr>
              <w:pStyle w:val="TableParagraph"/>
              <w:ind w:left="127" w:right="44"/>
              <w:jc w:val="center"/>
              <w:rPr>
                <w:sz w:val="22"/>
              </w:rPr>
            </w:pPr>
            <w:r>
              <w:rPr>
                <w:sz w:val="22"/>
              </w:rPr>
              <w:t>40100,8067</w:t>
            </w:r>
          </w:p>
        </w:tc>
        <w:tc>
          <w:tcPr>
            <w:tcW w:w="1402" w:type="dxa"/>
          </w:tcPr>
          <w:p>
            <w:pPr>
              <w:pStyle w:val="TableParagraph"/>
              <w:ind w:right="63"/>
              <w:rPr>
                <w:sz w:val="22"/>
              </w:rPr>
            </w:pPr>
            <w:r>
              <w:rPr>
                <w:sz w:val="22"/>
              </w:rPr>
              <w:t>0,08297955</w:t>
            </w:r>
          </w:p>
        </w:tc>
      </w:tr>
      <w:tr>
        <w:trPr>
          <w:trHeight w:val="310" w:hRule="exact"/>
        </w:trPr>
        <w:tc>
          <w:tcPr>
            <w:tcW w:w="5806" w:type="dxa"/>
            <w:gridSpan w:val="6"/>
            <w:vMerge w:val="restart"/>
            <w:tcBorders>
              <w:left w:val="nil"/>
            </w:tcBorders>
          </w:tcPr>
          <w:p>
            <w:pPr/>
          </w:p>
        </w:tc>
        <w:tc>
          <w:tcPr>
            <w:tcW w:w="2561" w:type="dxa"/>
            <w:gridSpan w:val="2"/>
          </w:tcPr>
          <w:p>
            <w:pPr>
              <w:pStyle w:val="TableParagraph"/>
              <w:spacing w:before="11"/>
              <w:ind w:left="64" w:right="279"/>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02" w:type="dxa"/>
          </w:tcPr>
          <w:p>
            <w:pPr>
              <w:pStyle w:val="TableParagraph"/>
              <w:ind w:right="63"/>
              <w:rPr>
                <w:b/>
                <w:sz w:val="22"/>
              </w:rPr>
            </w:pPr>
            <w:r>
              <w:rPr>
                <w:b/>
                <w:sz w:val="22"/>
              </w:rPr>
              <w:t>20,087</w:t>
            </w:r>
          </w:p>
        </w:tc>
      </w:tr>
      <w:tr>
        <w:trPr>
          <w:trHeight w:val="310" w:hRule="exact"/>
        </w:trPr>
        <w:tc>
          <w:tcPr>
            <w:tcW w:w="5806" w:type="dxa"/>
            <w:gridSpan w:val="6"/>
            <w:vMerge/>
            <w:tcBorders>
              <w:left w:val="nil"/>
            </w:tcBorders>
          </w:tcPr>
          <w:p>
            <w:pPr/>
          </w:p>
        </w:tc>
        <w:tc>
          <w:tcPr>
            <w:tcW w:w="2561" w:type="dxa"/>
            <w:gridSpan w:val="2"/>
          </w:tcPr>
          <w:p>
            <w:pPr>
              <w:pStyle w:val="TableParagraph"/>
              <w:spacing w:before="13"/>
              <w:ind w:left="64" w:right="279"/>
              <w:jc w:val="left"/>
              <w:rPr>
                <w:sz w:val="22"/>
              </w:rPr>
            </w:pPr>
            <w:r>
              <w:rPr>
                <w:sz w:val="22"/>
              </w:rPr>
              <w:t>Desviación estándar</w:t>
            </w:r>
          </w:p>
        </w:tc>
        <w:tc>
          <w:tcPr>
            <w:tcW w:w="1402" w:type="dxa"/>
          </w:tcPr>
          <w:p>
            <w:pPr>
              <w:pStyle w:val="TableParagraph"/>
              <w:ind w:right="63"/>
              <w:rPr>
                <w:b/>
                <w:sz w:val="22"/>
              </w:rPr>
            </w:pPr>
            <w:r>
              <w:rPr>
                <w:b/>
                <w:sz w:val="22"/>
              </w:rPr>
              <w:t>0,288</w:t>
            </w:r>
          </w:p>
        </w:tc>
      </w:tr>
      <w:tr>
        <w:trPr>
          <w:trHeight w:val="310" w:hRule="exact"/>
        </w:trPr>
        <w:tc>
          <w:tcPr>
            <w:tcW w:w="5806" w:type="dxa"/>
            <w:gridSpan w:val="6"/>
            <w:vMerge/>
            <w:tcBorders>
              <w:left w:val="nil"/>
            </w:tcBorders>
          </w:tcPr>
          <w:p>
            <w:pPr/>
          </w:p>
        </w:tc>
        <w:tc>
          <w:tcPr>
            <w:tcW w:w="2561" w:type="dxa"/>
            <w:gridSpan w:val="2"/>
            <w:vMerge w:val="restart"/>
          </w:tcPr>
          <w:p>
            <w:pPr>
              <w:pStyle w:val="TableParagraph"/>
              <w:spacing w:before="33"/>
              <w:ind w:left="64" w:right="279"/>
              <w:jc w:val="left"/>
              <w:rPr>
                <w:sz w:val="22"/>
              </w:rPr>
            </w:pPr>
            <w:r>
              <w:rPr>
                <w:sz w:val="22"/>
              </w:rPr>
              <w:t>Intervalo de confianza al 95 %</w:t>
            </w:r>
          </w:p>
        </w:tc>
        <w:tc>
          <w:tcPr>
            <w:tcW w:w="1402" w:type="dxa"/>
          </w:tcPr>
          <w:p>
            <w:pPr>
              <w:pStyle w:val="TableParagraph"/>
              <w:ind w:right="63"/>
              <w:rPr>
                <w:sz w:val="22"/>
              </w:rPr>
            </w:pPr>
            <w:r>
              <w:rPr>
                <w:sz w:val="22"/>
              </w:rPr>
              <w:t>19,52</w:t>
            </w:r>
          </w:p>
        </w:tc>
      </w:tr>
      <w:tr>
        <w:trPr>
          <w:trHeight w:val="312" w:hRule="exact"/>
        </w:trPr>
        <w:tc>
          <w:tcPr>
            <w:tcW w:w="5806" w:type="dxa"/>
            <w:gridSpan w:val="6"/>
            <w:vMerge/>
            <w:tcBorders>
              <w:left w:val="nil"/>
              <w:bottom w:val="nil"/>
            </w:tcBorders>
          </w:tcPr>
          <w:p>
            <w:pPr/>
          </w:p>
        </w:tc>
        <w:tc>
          <w:tcPr>
            <w:tcW w:w="2561" w:type="dxa"/>
            <w:gridSpan w:val="2"/>
            <w:vMerge/>
          </w:tcPr>
          <w:p>
            <w:pPr/>
          </w:p>
        </w:tc>
        <w:tc>
          <w:tcPr>
            <w:tcW w:w="1402" w:type="dxa"/>
          </w:tcPr>
          <w:p>
            <w:pPr>
              <w:pStyle w:val="TableParagraph"/>
              <w:ind w:right="63"/>
              <w:rPr>
                <w:sz w:val="22"/>
              </w:rPr>
            </w:pPr>
            <w:r>
              <w:rPr>
                <w:sz w:val="22"/>
              </w:rPr>
              <w:t>20,65</w:t>
            </w:r>
          </w:p>
        </w:tc>
      </w:tr>
    </w:tbl>
    <w:p>
      <w:pPr>
        <w:spacing w:after="0"/>
        <w:rPr>
          <w:sz w:val="22"/>
        </w:rPr>
        <w:sectPr>
          <w:pgSz w:w="12240" w:h="15840"/>
          <w:pgMar w:header="725" w:footer="1084" w:top="1340" w:bottom="1280" w:left="920" w:right="1200"/>
        </w:sectPr>
      </w:pPr>
    </w:p>
    <w:p>
      <w:pPr>
        <w:pStyle w:val="BodyText"/>
        <w:rPr>
          <w:rFonts w:ascii="Times New Roman"/>
          <w:sz w:val="20"/>
        </w:rPr>
      </w:pPr>
    </w:p>
    <w:p>
      <w:pPr>
        <w:pStyle w:val="BodyText"/>
        <w:spacing w:before="3"/>
        <w:rPr>
          <w:rFonts w:ascii="Times New Roman"/>
          <w:sz w:val="17"/>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250"/>
        <w:gridCol w:w="1418"/>
        <w:gridCol w:w="1418"/>
        <w:gridCol w:w="1174"/>
        <w:gridCol w:w="1658"/>
        <w:gridCol w:w="1421"/>
      </w:tblGrid>
      <w:tr>
        <w:trPr>
          <w:trHeight w:val="312" w:hRule="exact"/>
        </w:trPr>
        <w:tc>
          <w:tcPr>
            <w:tcW w:w="10490" w:type="dxa"/>
            <w:gridSpan w:val="9"/>
          </w:tcPr>
          <w:p>
            <w:pPr>
              <w:pStyle w:val="TableParagraph"/>
              <w:spacing w:before="30"/>
              <w:ind w:left="3708" w:right="3708"/>
              <w:jc w:val="center"/>
              <w:rPr>
                <w:sz w:val="22"/>
              </w:rPr>
            </w:pPr>
            <w:r>
              <w:rPr>
                <w:sz w:val="22"/>
              </w:rPr>
              <w:t>Eficiencia filtro de arena</w:t>
            </w:r>
          </w:p>
        </w:tc>
      </w:tr>
      <w:tr>
        <w:trPr>
          <w:trHeight w:val="310" w:hRule="exact"/>
        </w:trPr>
        <w:tc>
          <w:tcPr>
            <w:tcW w:w="838" w:type="dxa"/>
          </w:tcPr>
          <w:p>
            <w:pPr>
              <w:pStyle w:val="TableParagraph"/>
              <w:spacing w:before="11"/>
              <w:ind w:left="19" w:right="75"/>
              <w:jc w:val="center"/>
              <w:rPr>
                <w:sz w:val="22"/>
              </w:rPr>
            </w:pPr>
            <w:r>
              <w:rPr>
                <w:sz w:val="22"/>
              </w:rPr>
              <w:t>Estrato</w:t>
            </w:r>
          </w:p>
        </w:tc>
        <w:tc>
          <w:tcPr>
            <w:tcW w:w="809" w:type="dxa"/>
          </w:tcPr>
          <w:p>
            <w:pPr>
              <w:pStyle w:val="TableParagraph"/>
              <w:spacing w:before="40"/>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0"/>
              <w:ind w:left="32" w:right="43"/>
              <w:jc w:val="center"/>
              <w:rPr>
                <w:rFonts w:ascii="Cambria Math"/>
                <w:sz w:val="16"/>
              </w:rPr>
            </w:pPr>
            <w:r>
              <w:rPr>
                <w:rFonts w:ascii="Cambria Math"/>
                <w:w w:val="110"/>
                <w:sz w:val="22"/>
              </w:rPr>
              <w:t>n</w:t>
            </w:r>
            <w:r>
              <w:rPr>
                <w:rFonts w:ascii="Cambria Math"/>
                <w:w w:val="110"/>
                <w:position w:val="-4"/>
                <w:sz w:val="16"/>
              </w:rPr>
              <w:t>h</w:t>
            </w:r>
          </w:p>
        </w:tc>
        <w:tc>
          <w:tcPr>
            <w:tcW w:w="1250" w:type="dxa"/>
          </w:tcPr>
          <w:p>
            <w:pPr>
              <w:pStyle w:val="TableParagraph"/>
              <w:spacing w:before="40"/>
              <w:ind w:left="487" w:right="49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18" w:type="dxa"/>
          </w:tcPr>
          <w:p>
            <w:pPr>
              <w:pStyle w:val="TableParagraph"/>
              <w:spacing w:line="214" w:lineRule="exact" w:before="6"/>
              <w:ind w:left="107" w:right="112"/>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418" w:type="dxa"/>
          </w:tcPr>
          <w:p>
            <w:pPr>
              <w:pStyle w:val="TableParagraph"/>
              <w:spacing w:before="16"/>
              <w:ind w:left="101" w:right="11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174" w:type="dxa"/>
          </w:tcPr>
          <w:p>
            <w:pPr>
              <w:pStyle w:val="TableParagraph"/>
              <w:spacing w:before="40"/>
              <w:ind w:left="454" w:right="467"/>
              <w:jc w:val="center"/>
              <w:rPr>
                <w:rFonts w:ascii="Cambria Math"/>
                <w:sz w:val="16"/>
              </w:rPr>
            </w:pPr>
            <w:r>
              <w:rPr>
                <w:rFonts w:ascii="Cambria Math"/>
                <w:w w:val="110"/>
                <w:sz w:val="22"/>
              </w:rPr>
              <w:t>s</w:t>
            </w:r>
            <w:r>
              <w:rPr>
                <w:rFonts w:ascii="Cambria Math"/>
                <w:w w:val="110"/>
                <w:position w:val="-4"/>
                <w:sz w:val="16"/>
              </w:rPr>
              <w:t>h</w:t>
            </w:r>
          </w:p>
        </w:tc>
        <w:tc>
          <w:tcPr>
            <w:tcW w:w="1658" w:type="dxa"/>
          </w:tcPr>
          <w:p>
            <w:pPr>
              <w:pStyle w:val="TableParagraph"/>
              <w:spacing w:before="0"/>
              <w:ind w:left="49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21" w:type="dxa"/>
          </w:tcPr>
          <w:p>
            <w:pPr>
              <w:pStyle w:val="TableParagraph"/>
              <w:spacing w:before="0"/>
              <w:ind w:left="35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11"/>
              <w:ind w:right="1"/>
              <w:jc w:val="center"/>
              <w:rPr>
                <w:sz w:val="22"/>
              </w:rPr>
            </w:pPr>
            <w:r>
              <w:rPr>
                <w:w w:val="100"/>
                <w:sz w:val="22"/>
              </w:rPr>
              <w:t>1</w:t>
            </w:r>
          </w:p>
        </w:tc>
        <w:tc>
          <w:tcPr>
            <w:tcW w:w="809" w:type="dxa"/>
          </w:tcPr>
          <w:p>
            <w:pPr>
              <w:pStyle w:val="TableParagraph"/>
              <w:ind w:left="59" w:right="0"/>
              <w:jc w:val="center"/>
              <w:rPr>
                <w:sz w:val="22"/>
              </w:rPr>
            </w:pPr>
            <w:r>
              <w:rPr>
                <w:sz w:val="22"/>
              </w:rPr>
              <w:t>108,60</w:t>
            </w:r>
          </w:p>
        </w:tc>
        <w:tc>
          <w:tcPr>
            <w:tcW w:w="504" w:type="dxa"/>
          </w:tcPr>
          <w:p>
            <w:pPr>
              <w:pStyle w:val="TableParagraph"/>
              <w:ind w:left="73" w:right="41"/>
              <w:jc w:val="center"/>
              <w:rPr>
                <w:sz w:val="22"/>
              </w:rPr>
            </w:pPr>
            <w:r>
              <w:rPr>
                <w:sz w:val="22"/>
              </w:rPr>
              <w:t>108</w:t>
            </w:r>
          </w:p>
        </w:tc>
        <w:tc>
          <w:tcPr>
            <w:tcW w:w="1250" w:type="dxa"/>
          </w:tcPr>
          <w:p>
            <w:pPr>
              <w:pStyle w:val="TableParagraph"/>
              <w:rPr>
                <w:sz w:val="22"/>
              </w:rPr>
            </w:pPr>
            <w:r>
              <w:rPr>
                <w:sz w:val="22"/>
              </w:rPr>
              <w:t>76,250000</w:t>
            </w:r>
          </w:p>
        </w:tc>
        <w:tc>
          <w:tcPr>
            <w:tcW w:w="1418" w:type="dxa"/>
          </w:tcPr>
          <w:p>
            <w:pPr>
              <w:pStyle w:val="TableParagraph"/>
              <w:ind w:right="63"/>
              <w:rPr>
                <w:sz w:val="22"/>
              </w:rPr>
            </w:pPr>
            <w:r>
              <w:rPr>
                <w:sz w:val="22"/>
              </w:rPr>
              <w:t>632,8125</w:t>
            </w:r>
          </w:p>
        </w:tc>
        <w:tc>
          <w:tcPr>
            <w:tcW w:w="1418" w:type="dxa"/>
          </w:tcPr>
          <w:p>
            <w:pPr>
              <w:pStyle w:val="TableParagraph"/>
              <w:ind w:right="63"/>
              <w:rPr>
                <w:sz w:val="22"/>
              </w:rPr>
            </w:pPr>
            <w:r>
              <w:rPr>
                <w:sz w:val="22"/>
              </w:rPr>
              <w:t>8280,75</w:t>
            </w:r>
          </w:p>
        </w:tc>
        <w:tc>
          <w:tcPr>
            <w:tcW w:w="1174" w:type="dxa"/>
          </w:tcPr>
          <w:p>
            <w:pPr>
              <w:pStyle w:val="TableParagraph"/>
              <w:ind w:right="63"/>
              <w:rPr>
                <w:sz w:val="22"/>
              </w:rPr>
            </w:pPr>
            <w:r>
              <w:rPr>
                <w:sz w:val="22"/>
              </w:rPr>
              <w:t>25,1558</w:t>
            </w:r>
          </w:p>
        </w:tc>
        <w:tc>
          <w:tcPr>
            <w:tcW w:w="1658" w:type="dxa"/>
          </w:tcPr>
          <w:p>
            <w:pPr>
              <w:pStyle w:val="TableParagraph"/>
              <w:rPr>
                <w:sz w:val="22"/>
              </w:rPr>
            </w:pPr>
            <w:r>
              <w:rPr>
                <w:sz w:val="22"/>
              </w:rPr>
              <w:t>-23103,845</w:t>
            </w:r>
          </w:p>
        </w:tc>
        <w:tc>
          <w:tcPr>
            <w:tcW w:w="1421" w:type="dxa"/>
          </w:tcPr>
          <w:p>
            <w:pPr>
              <w:pStyle w:val="TableParagraph"/>
              <w:ind w:right="63"/>
              <w:rPr>
                <w:sz w:val="22"/>
              </w:rPr>
            </w:pPr>
            <w:r>
              <w:rPr>
                <w:sz w:val="22"/>
              </w:rPr>
              <w:t>-0,04780818</w:t>
            </w:r>
          </w:p>
        </w:tc>
      </w:tr>
      <w:tr>
        <w:trPr>
          <w:trHeight w:val="310" w:hRule="exact"/>
        </w:trPr>
        <w:tc>
          <w:tcPr>
            <w:tcW w:w="838" w:type="dxa"/>
          </w:tcPr>
          <w:p>
            <w:pPr>
              <w:pStyle w:val="TableParagraph"/>
              <w:spacing w:before="13"/>
              <w:ind w:right="1"/>
              <w:jc w:val="center"/>
              <w:rPr>
                <w:sz w:val="22"/>
              </w:rPr>
            </w:pPr>
            <w:r>
              <w:rPr>
                <w:w w:val="100"/>
                <w:sz w:val="22"/>
              </w:rPr>
              <w:t>2</w:t>
            </w:r>
          </w:p>
        </w:tc>
        <w:tc>
          <w:tcPr>
            <w:tcW w:w="809" w:type="dxa"/>
          </w:tcPr>
          <w:p>
            <w:pPr>
              <w:pStyle w:val="TableParagraph"/>
              <w:ind w:left="59" w:right="0"/>
              <w:jc w:val="center"/>
              <w:rPr>
                <w:sz w:val="22"/>
              </w:rPr>
            </w:pPr>
            <w:r>
              <w:rPr>
                <w:sz w:val="22"/>
              </w:rPr>
              <w:t>121,03</w:t>
            </w:r>
          </w:p>
        </w:tc>
        <w:tc>
          <w:tcPr>
            <w:tcW w:w="504" w:type="dxa"/>
          </w:tcPr>
          <w:p>
            <w:pPr>
              <w:pStyle w:val="TableParagraph"/>
              <w:ind w:left="184" w:right="42"/>
              <w:jc w:val="center"/>
              <w:rPr>
                <w:sz w:val="22"/>
              </w:rPr>
            </w:pPr>
            <w:r>
              <w:rPr>
                <w:sz w:val="22"/>
              </w:rPr>
              <w:t>81</w:t>
            </w:r>
          </w:p>
        </w:tc>
        <w:tc>
          <w:tcPr>
            <w:tcW w:w="1250" w:type="dxa"/>
          </w:tcPr>
          <w:p>
            <w:pPr>
              <w:pStyle w:val="TableParagraph"/>
              <w:rPr>
                <w:sz w:val="22"/>
              </w:rPr>
            </w:pPr>
            <w:r>
              <w:rPr>
                <w:sz w:val="22"/>
              </w:rPr>
              <w:t>46,900682</w:t>
            </w:r>
          </w:p>
        </w:tc>
        <w:tc>
          <w:tcPr>
            <w:tcW w:w="1418" w:type="dxa"/>
          </w:tcPr>
          <w:p>
            <w:pPr>
              <w:pStyle w:val="TableParagraph"/>
              <w:ind w:right="63"/>
              <w:rPr>
                <w:sz w:val="22"/>
              </w:rPr>
            </w:pPr>
            <w:r>
              <w:rPr>
                <w:sz w:val="22"/>
              </w:rPr>
              <w:t>1747,16778</w:t>
            </w:r>
          </w:p>
        </w:tc>
        <w:tc>
          <w:tcPr>
            <w:tcW w:w="1418" w:type="dxa"/>
          </w:tcPr>
          <w:p>
            <w:pPr>
              <w:pStyle w:val="TableParagraph"/>
              <w:ind w:right="63"/>
              <w:rPr>
                <w:sz w:val="22"/>
              </w:rPr>
            </w:pPr>
            <w:r>
              <w:rPr>
                <w:sz w:val="22"/>
              </w:rPr>
              <w:t>5676,38958</w:t>
            </w:r>
          </w:p>
        </w:tc>
        <w:tc>
          <w:tcPr>
            <w:tcW w:w="1174" w:type="dxa"/>
          </w:tcPr>
          <w:p>
            <w:pPr>
              <w:pStyle w:val="TableParagraph"/>
              <w:ind w:right="63"/>
              <w:rPr>
                <w:sz w:val="22"/>
              </w:rPr>
            </w:pPr>
            <w:r>
              <w:rPr>
                <w:sz w:val="22"/>
              </w:rPr>
              <w:t>41,7991</w:t>
            </w:r>
          </w:p>
        </w:tc>
        <w:tc>
          <w:tcPr>
            <w:tcW w:w="1658" w:type="dxa"/>
          </w:tcPr>
          <w:p>
            <w:pPr>
              <w:pStyle w:val="TableParagraph"/>
              <w:rPr>
                <w:sz w:val="22"/>
              </w:rPr>
            </w:pPr>
            <w:r>
              <w:rPr>
                <w:sz w:val="22"/>
              </w:rPr>
              <w:t>104658,977</w:t>
            </w:r>
          </w:p>
        </w:tc>
        <w:tc>
          <w:tcPr>
            <w:tcW w:w="1421" w:type="dxa"/>
          </w:tcPr>
          <w:p>
            <w:pPr>
              <w:pStyle w:val="TableParagraph"/>
              <w:ind w:right="63"/>
              <w:rPr>
                <w:sz w:val="22"/>
              </w:rPr>
            </w:pPr>
            <w:r>
              <w:rPr>
                <w:sz w:val="22"/>
              </w:rPr>
              <w:t>0,21656808</w:t>
            </w:r>
          </w:p>
        </w:tc>
      </w:tr>
      <w:tr>
        <w:trPr>
          <w:trHeight w:val="310" w:hRule="exact"/>
        </w:trPr>
        <w:tc>
          <w:tcPr>
            <w:tcW w:w="838" w:type="dxa"/>
          </w:tcPr>
          <w:p>
            <w:pPr>
              <w:pStyle w:val="TableParagraph"/>
              <w:spacing w:before="13"/>
              <w:ind w:right="1"/>
              <w:jc w:val="center"/>
              <w:rPr>
                <w:sz w:val="22"/>
              </w:rPr>
            </w:pPr>
            <w:r>
              <w:rPr>
                <w:w w:val="100"/>
                <w:sz w:val="22"/>
              </w:rPr>
              <w:t>3</w:t>
            </w:r>
          </w:p>
        </w:tc>
        <w:tc>
          <w:tcPr>
            <w:tcW w:w="809" w:type="dxa"/>
          </w:tcPr>
          <w:p>
            <w:pPr>
              <w:pStyle w:val="TableParagraph"/>
              <w:ind w:left="59" w:right="0"/>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250" w:type="dxa"/>
          </w:tcPr>
          <w:p>
            <w:pPr>
              <w:pStyle w:val="TableParagraph"/>
              <w:rPr>
                <w:sz w:val="22"/>
              </w:rPr>
            </w:pPr>
            <w:r>
              <w:rPr>
                <w:sz w:val="22"/>
              </w:rPr>
              <w:t>85,82</w:t>
            </w:r>
          </w:p>
        </w:tc>
        <w:tc>
          <w:tcPr>
            <w:tcW w:w="1418" w:type="dxa"/>
          </w:tcPr>
          <w:p>
            <w:pPr>
              <w:pStyle w:val="TableParagraph"/>
              <w:ind w:right="63"/>
              <w:rPr>
                <w:sz w:val="22"/>
              </w:rPr>
            </w:pPr>
            <w:r>
              <w:rPr>
                <w:sz w:val="22"/>
              </w:rPr>
              <w:t>144,187627</w:t>
            </w:r>
          </w:p>
        </w:tc>
        <w:tc>
          <w:tcPr>
            <w:tcW w:w="1418" w:type="dxa"/>
          </w:tcPr>
          <w:p>
            <w:pPr>
              <w:pStyle w:val="TableParagraph"/>
              <w:ind w:right="63"/>
              <w:rPr>
                <w:sz w:val="22"/>
              </w:rPr>
            </w:pPr>
            <w:r>
              <w:rPr>
                <w:sz w:val="22"/>
              </w:rPr>
              <w:t>11175,1923</w:t>
            </w:r>
          </w:p>
        </w:tc>
        <w:tc>
          <w:tcPr>
            <w:tcW w:w="1174" w:type="dxa"/>
          </w:tcPr>
          <w:p>
            <w:pPr>
              <w:pStyle w:val="TableParagraph"/>
              <w:ind w:right="63"/>
              <w:rPr>
                <w:sz w:val="22"/>
              </w:rPr>
            </w:pPr>
            <w:r>
              <w:rPr>
                <w:sz w:val="22"/>
              </w:rPr>
              <w:t>12,0078</w:t>
            </w:r>
          </w:p>
        </w:tc>
        <w:tc>
          <w:tcPr>
            <w:tcW w:w="1658" w:type="dxa"/>
          </w:tcPr>
          <w:p>
            <w:pPr>
              <w:pStyle w:val="TableParagraph"/>
              <w:rPr>
                <w:sz w:val="22"/>
              </w:rPr>
            </w:pPr>
            <w:r>
              <w:rPr>
                <w:sz w:val="22"/>
              </w:rPr>
              <w:t>13164,837</w:t>
            </w:r>
          </w:p>
        </w:tc>
        <w:tc>
          <w:tcPr>
            <w:tcW w:w="1421" w:type="dxa"/>
          </w:tcPr>
          <w:p>
            <w:pPr>
              <w:pStyle w:val="TableParagraph"/>
              <w:ind w:right="63"/>
              <w:rPr>
                <w:sz w:val="22"/>
              </w:rPr>
            </w:pPr>
            <w:r>
              <w:rPr>
                <w:sz w:val="22"/>
              </w:rPr>
              <w:t>0,02724165</w:t>
            </w:r>
          </w:p>
        </w:tc>
      </w:tr>
      <w:tr>
        <w:trPr>
          <w:trHeight w:val="310" w:hRule="exact"/>
        </w:trPr>
        <w:tc>
          <w:tcPr>
            <w:tcW w:w="838" w:type="dxa"/>
          </w:tcPr>
          <w:p>
            <w:pPr>
              <w:pStyle w:val="TableParagraph"/>
              <w:spacing w:before="13"/>
              <w:ind w:right="1"/>
              <w:jc w:val="center"/>
              <w:rPr>
                <w:sz w:val="22"/>
              </w:rPr>
            </w:pPr>
            <w:r>
              <w:rPr>
                <w:w w:val="100"/>
                <w:sz w:val="22"/>
              </w:rPr>
              <w:t>4</w:t>
            </w:r>
          </w:p>
        </w:tc>
        <w:tc>
          <w:tcPr>
            <w:tcW w:w="809" w:type="dxa"/>
          </w:tcPr>
          <w:p>
            <w:pPr>
              <w:pStyle w:val="TableParagraph"/>
              <w:ind w:left="59" w:right="0"/>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250" w:type="dxa"/>
          </w:tcPr>
          <w:p>
            <w:pPr>
              <w:pStyle w:val="TableParagraph"/>
              <w:rPr>
                <w:sz w:val="22"/>
              </w:rPr>
            </w:pPr>
            <w:r>
              <w:rPr>
                <w:sz w:val="22"/>
              </w:rPr>
              <w:t>76,25</w:t>
            </w:r>
          </w:p>
        </w:tc>
        <w:tc>
          <w:tcPr>
            <w:tcW w:w="1418" w:type="dxa"/>
          </w:tcPr>
          <w:p>
            <w:pPr>
              <w:pStyle w:val="TableParagraph"/>
              <w:ind w:right="63"/>
              <w:rPr>
                <w:sz w:val="22"/>
              </w:rPr>
            </w:pPr>
            <w:r>
              <w:rPr>
                <w:sz w:val="22"/>
              </w:rPr>
              <w:t>192,025112</w:t>
            </w:r>
          </w:p>
        </w:tc>
        <w:tc>
          <w:tcPr>
            <w:tcW w:w="1418" w:type="dxa"/>
          </w:tcPr>
          <w:p>
            <w:pPr>
              <w:pStyle w:val="TableParagraph"/>
              <w:ind w:right="63"/>
              <w:rPr>
                <w:sz w:val="22"/>
              </w:rPr>
            </w:pPr>
            <w:r>
              <w:rPr>
                <w:sz w:val="22"/>
              </w:rPr>
              <w:t>11827,1534</w:t>
            </w:r>
          </w:p>
        </w:tc>
        <w:tc>
          <w:tcPr>
            <w:tcW w:w="1174" w:type="dxa"/>
          </w:tcPr>
          <w:p>
            <w:pPr>
              <w:pStyle w:val="TableParagraph"/>
              <w:ind w:right="63"/>
              <w:rPr>
                <w:sz w:val="22"/>
              </w:rPr>
            </w:pPr>
            <w:r>
              <w:rPr>
                <w:sz w:val="22"/>
              </w:rPr>
              <w:t>13,8573</w:t>
            </w:r>
          </w:p>
        </w:tc>
        <w:tc>
          <w:tcPr>
            <w:tcW w:w="1658" w:type="dxa"/>
          </w:tcPr>
          <w:p>
            <w:pPr>
              <w:pStyle w:val="TableParagraph"/>
              <w:rPr>
                <w:sz w:val="22"/>
              </w:rPr>
            </w:pPr>
            <w:r>
              <w:rPr>
                <w:sz w:val="22"/>
              </w:rPr>
              <w:t>20540,365</w:t>
            </w:r>
          </w:p>
        </w:tc>
        <w:tc>
          <w:tcPr>
            <w:tcW w:w="1421" w:type="dxa"/>
          </w:tcPr>
          <w:p>
            <w:pPr>
              <w:pStyle w:val="TableParagraph"/>
              <w:ind w:right="63"/>
              <w:rPr>
                <w:sz w:val="22"/>
              </w:rPr>
            </w:pPr>
            <w:r>
              <w:rPr>
                <w:sz w:val="22"/>
              </w:rPr>
              <w:t>0,04250364</w:t>
            </w:r>
          </w:p>
        </w:tc>
      </w:tr>
      <w:tr>
        <w:trPr>
          <w:trHeight w:val="312" w:hRule="exact"/>
        </w:trPr>
        <w:tc>
          <w:tcPr>
            <w:tcW w:w="838" w:type="dxa"/>
          </w:tcPr>
          <w:p>
            <w:pPr>
              <w:pStyle w:val="TableParagraph"/>
              <w:spacing w:before="13"/>
              <w:ind w:right="1"/>
              <w:jc w:val="center"/>
              <w:rPr>
                <w:sz w:val="22"/>
              </w:rPr>
            </w:pPr>
            <w:r>
              <w:rPr>
                <w:w w:val="100"/>
                <w:sz w:val="22"/>
              </w:rPr>
              <w:t>5</w:t>
            </w:r>
          </w:p>
        </w:tc>
        <w:tc>
          <w:tcPr>
            <w:tcW w:w="809" w:type="dxa"/>
          </w:tcPr>
          <w:p>
            <w:pPr>
              <w:pStyle w:val="TableParagraph"/>
              <w:spacing w:before="30"/>
              <w:ind w:left="59" w:right="0"/>
              <w:jc w:val="center"/>
              <w:rPr>
                <w:sz w:val="22"/>
              </w:rPr>
            </w:pPr>
            <w:r>
              <w:rPr>
                <w:sz w:val="22"/>
              </w:rPr>
              <w:t>180,21</w:t>
            </w:r>
          </w:p>
        </w:tc>
        <w:tc>
          <w:tcPr>
            <w:tcW w:w="504" w:type="dxa"/>
          </w:tcPr>
          <w:p>
            <w:pPr>
              <w:pStyle w:val="TableParagraph"/>
              <w:spacing w:before="30"/>
              <w:ind w:left="73" w:right="41"/>
              <w:jc w:val="center"/>
              <w:rPr>
                <w:sz w:val="22"/>
              </w:rPr>
            </w:pPr>
            <w:r>
              <w:rPr>
                <w:sz w:val="22"/>
              </w:rPr>
              <w:t>132</w:t>
            </w:r>
          </w:p>
        </w:tc>
        <w:tc>
          <w:tcPr>
            <w:tcW w:w="1250" w:type="dxa"/>
          </w:tcPr>
          <w:p>
            <w:pPr>
              <w:pStyle w:val="TableParagraph"/>
              <w:spacing w:before="30"/>
              <w:rPr>
                <w:sz w:val="22"/>
              </w:rPr>
            </w:pPr>
            <w:r>
              <w:rPr>
                <w:sz w:val="22"/>
              </w:rPr>
              <w:t>80,95</w:t>
            </w:r>
          </w:p>
        </w:tc>
        <w:tc>
          <w:tcPr>
            <w:tcW w:w="1418" w:type="dxa"/>
          </w:tcPr>
          <w:p>
            <w:pPr>
              <w:pStyle w:val="TableParagraph"/>
              <w:spacing w:before="30"/>
              <w:ind w:right="63"/>
              <w:rPr>
                <w:sz w:val="22"/>
              </w:rPr>
            </w:pPr>
            <w:r>
              <w:rPr>
                <w:sz w:val="22"/>
              </w:rPr>
              <w:t>86,3072471</w:t>
            </w:r>
          </w:p>
        </w:tc>
        <w:tc>
          <w:tcPr>
            <w:tcW w:w="1418" w:type="dxa"/>
          </w:tcPr>
          <w:p>
            <w:pPr>
              <w:pStyle w:val="TableParagraph"/>
              <w:spacing w:before="30"/>
              <w:ind w:right="63"/>
              <w:rPr>
                <w:sz w:val="22"/>
              </w:rPr>
            </w:pPr>
            <w:r>
              <w:rPr>
                <w:sz w:val="22"/>
              </w:rPr>
              <w:t>14588,2409</w:t>
            </w:r>
          </w:p>
        </w:tc>
        <w:tc>
          <w:tcPr>
            <w:tcW w:w="1174" w:type="dxa"/>
          </w:tcPr>
          <w:p>
            <w:pPr>
              <w:pStyle w:val="TableParagraph"/>
              <w:spacing w:before="30"/>
              <w:ind w:right="63"/>
              <w:rPr>
                <w:sz w:val="22"/>
              </w:rPr>
            </w:pPr>
            <w:r>
              <w:rPr>
                <w:sz w:val="22"/>
              </w:rPr>
              <w:t>9,2902</w:t>
            </w:r>
          </w:p>
        </w:tc>
        <w:tc>
          <w:tcPr>
            <w:tcW w:w="1658" w:type="dxa"/>
          </w:tcPr>
          <w:p>
            <w:pPr>
              <w:pStyle w:val="TableParagraph"/>
              <w:spacing w:before="30"/>
              <w:rPr>
                <w:sz w:val="22"/>
              </w:rPr>
            </w:pPr>
            <w:r>
              <w:rPr>
                <w:sz w:val="22"/>
              </w:rPr>
              <w:t>5674,104</w:t>
            </w:r>
          </w:p>
        </w:tc>
        <w:tc>
          <w:tcPr>
            <w:tcW w:w="1421" w:type="dxa"/>
          </w:tcPr>
          <w:p>
            <w:pPr>
              <w:pStyle w:val="TableParagraph"/>
              <w:spacing w:before="30"/>
              <w:ind w:right="63"/>
              <w:rPr>
                <w:sz w:val="22"/>
              </w:rPr>
            </w:pPr>
            <w:r>
              <w:rPr>
                <w:sz w:val="22"/>
              </w:rPr>
              <w:t>0,01174127</w:t>
            </w:r>
          </w:p>
        </w:tc>
      </w:tr>
      <w:tr>
        <w:trPr>
          <w:trHeight w:val="310" w:hRule="exact"/>
        </w:trPr>
        <w:tc>
          <w:tcPr>
            <w:tcW w:w="838" w:type="dxa"/>
          </w:tcPr>
          <w:p>
            <w:pPr>
              <w:pStyle w:val="TableParagraph"/>
              <w:spacing w:before="11"/>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1250" w:type="dxa"/>
          </w:tcPr>
          <w:p>
            <w:pPr/>
          </w:p>
        </w:tc>
        <w:tc>
          <w:tcPr>
            <w:tcW w:w="1418" w:type="dxa"/>
          </w:tcPr>
          <w:p>
            <w:pPr>
              <w:pStyle w:val="TableParagraph"/>
              <w:spacing w:line="312" w:lineRule="exact" w:before="0"/>
              <w:ind w:left="99" w:right="112"/>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418" w:type="dxa"/>
          </w:tcPr>
          <w:p>
            <w:pPr>
              <w:pStyle w:val="TableParagraph"/>
              <w:ind w:right="63"/>
              <w:rPr>
                <w:sz w:val="22"/>
              </w:rPr>
            </w:pPr>
            <w:r>
              <w:rPr>
                <w:sz w:val="22"/>
              </w:rPr>
              <w:t>51547,7261</w:t>
            </w:r>
          </w:p>
        </w:tc>
        <w:tc>
          <w:tcPr>
            <w:tcW w:w="1174" w:type="dxa"/>
          </w:tcPr>
          <w:p>
            <w:pPr/>
          </w:p>
        </w:tc>
        <w:tc>
          <w:tcPr>
            <w:tcW w:w="1658" w:type="dxa"/>
          </w:tcPr>
          <w:p>
            <w:pPr>
              <w:pStyle w:val="TableParagraph"/>
              <w:rPr>
                <w:sz w:val="22"/>
              </w:rPr>
            </w:pPr>
            <w:r>
              <w:rPr>
                <w:sz w:val="22"/>
              </w:rPr>
              <w:t>120934,437</w:t>
            </w:r>
          </w:p>
        </w:tc>
        <w:tc>
          <w:tcPr>
            <w:tcW w:w="1421" w:type="dxa"/>
          </w:tcPr>
          <w:p>
            <w:pPr>
              <w:pStyle w:val="TableParagraph"/>
              <w:ind w:right="63"/>
              <w:rPr>
                <w:sz w:val="22"/>
              </w:rPr>
            </w:pPr>
            <w:r>
              <w:rPr>
                <w:sz w:val="22"/>
              </w:rPr>
              <w:t>0,25024646</w:t>
            </w:r>
          </w:p>
        </w:tc>
      </w:tr>
      <w:tr>
        <w:trPr>
          <w:trHeight w:val="310" w:hRule="exact"/>
        </w:trPr>
        <w:tc>
          <w:tcPr>
            <w:tcW w:w="6238" w:type="dxa"/>
            <w:gridSpan w:val="6"/>
            <w:vMerge w:val="restart"/>
            <w:tcBorders>
              <w:left w:val="nil"/>
            </w:tcBorders>
          </w:tcPr>
          <w:p>
            <w:pPr/>
          </w:p>
        </w:tc>
        <w:tc>
          <w:tcPr>
            <w:tcW w:w="2832" w:type="dxa"/>
            <w:gridSpan w:val="2"/>
          </w:tcPr>
          <w:p>
            <w:pPr>
              <w:pStyle w:val="TableParagraph"/>
              <w:spacing w:before="11"/>
              <w:ind w:left="62"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21" w:type="dxa"/>
          </w:tcPr>
          <w:p>
            <w:pPr>
              <w:pStyle w:val="TableParagraph"/>
              <w:ind w:right="63"/>
              <w:rPr>
                <w:b/>
                <w:sz w:val="22"/>
              </w:rPr>
            </w:pPr>
            <w:r>
              <w:rPr>
                <w:b/>
                <w:sz w:val="22"/>
              </w:rPr>
              <w:t>74,151</w:t>
            </w:r>
          </w:p>
        </w:tc>
      </w:tr>
      <w:tr>
        <w:trPr>
          <w:trHeight w:val="310" w:hRule="exact"/>
        </w:trPr>
        <w:tc>
          <w:tcPr>
            <w:tcW w:w="6238" w:type="dxa"/>
            <w:gridSpan w:val="6"/>
            <w:vMerge/>
            <w:tcBorders>
              <w:left w:val="nil"/>
            </w:tcBorders>
          </w:tcPr>
          <w:p>
            <w:pPr/>
          </w:p>
        </w:tc>
        <w:tc>
          <w:tcPr>
            <w:tcW w:w="2832" w:type="dxa"/>
            <w:gridSpan w:val="2"/>
          </w:tcPr>
          <w:p>
            <w:pPr>
              <w:pStyle w:val="TableParagraph"/>
              <w:spacing w:before="13"/>
              <w:ind w:left="62" w:right="0"/>
              <w:jc w:val="left"/>
              <w:rPr>
                <w:sz w:val="22"/>
              </w:rPr>
            </w:pPr>
            <w:r>
              <w:rPr>
                <w:sz w:val="22"/>
              </w:rPr>
              <w:t>Desviación estándar</w:t>
            </w:r>
          </w:p>
        </w:tc>
        <w:tc>
          <w:tcPr>
            <w:tcW w:w="1421" w:type="dxa"/>
          </w:tcPr>
          <w:p>
            <w:pPr>
              <w:pStyle w:val="TableParagraph"/>
              <w:ind w:right="63"/>
              <w:rPr>
                <w:b/>
                <w:sz w:val="22"/>
              </w:rPr>
            </w:pPr>
            <w:r>
              <w:rPr>
                <w:b/>
                <w:sz w:val="22"/>
              </w:rPr>
              <w:t>0,500</w:t>
            </w:r>
          </w:p>
        </w:tc>
      </w:tr>
      <w:tr>
        <w:trPr>
          <w:trHeight w:val="310" w:hRule="exact"/>
        </w:trPr>
        <w:tc>
          <w:tcPr>
            <w:tcW w:w="6238" w:type="dxa"/>
            <w:gridSpan w:val="6"/>
            <w:vMerge/>
            <w:tcBorders>
              <w:left w:val="nil"/>
            </w:tcBorders>
          </w:tcPr>
          <w:p>
            <w:pPr/>
          </w:p>
        </w:tc>
        <w:tc>
          <w:tcPr>
            <w:tcW w:w="2832" w:type="dxa"/>
            <w:gridSpan w:val="2"/>
            <w:vMerge w:val="restart"/>
          </w:tcPr>
          <w:p>
            <w:pPr>
              <w:pStyle w:val="TableParagraph"/>
              <w:spacing w:before="167"/>
              <w:ind w:left="62" w:right="0"/>
              <w:jc w:val="left"/>
              <w:rPr>
                <w:sz w:val="22"/>
              </w:rPr>
            </w:pPr>
            <w:r>
              <w:rPr>
                <w:sz w:val="22"/>
              </w:rPr>
              <w:t>Intervalo de confianza al 95 %</w:t>
            </w:r>
          </w:p>
        </w:tc>
        <w:tc>
          <w:tcPr>
            <w:tcW w:w="1421" w:type="dxa"/>
          </w:tcPr>
          <w:p>
            <w:pPr>
              <w:pStyle w:val="TableParagraph"/>
              <w:ind w:right="63"/>
              <w:rPr>
                <w:sz w:val="22"/>
              </w:rPr>
            </w:pPr>
            <w:r>
              <w:rPr>
                <w:sz w:val="22"/>
              </w:rPr>
              <w:t>73,17</w:t>
            </w:r>
          </w:p>
        </w:tc>
      </w:tr>
      <w:tr>
        <w:trPr>
          <w:trHeight w:val="310" w:hRule="exact"/>
        </w:trPr>
        <w:tc>
          <w:tcPr>
            <w:tcW w:w="6238" w:type="dxa"/>
            <w:gridSpan w:val="6"/>
            <w:vMerge/>
            <w:tcBorders>
              <w:left w:val="nil"/>
              <w:bottom w:val="nil"/>
            </w:tcBorders>
          </w:tcPr>
          <w:p>
            <w:pPr/>
          </w:p>
        </w:tc>
        <w:tc>
          <w:tcPr>
            <w:tcW w:w="2832" w:type="dxa"/>
            <w:gridSpan w:val="2"/>
            <w:vMerge/>
          </w:tcPr>
          <w:p>
            <w:pPr/>
          </w:p>
        </w:tc>
        <w:tc>
          <w:tcPr>
            <w:tcW w:w="1421" w:type="dxa"/>
          </w:tcPr>
          <w:p>
            <w:pPr>
              <w:pStyle w:val="TableParagraph"/>
              <w:ind w:right="63"/>
              <w:rPr>
                <w:sz w:val="22"/>
              </w:rPr>
            </w:pPr>
            <w:r>
              <w:rPr>
                <w:sz w:val="22"/>
              </w:rPr>
              <w:t>75,13</w:t>
            </w:r>
          </w:p>
        </w:tc>
      </w:tr>
    </w:tbl>
    <w:p>
      <w:pPr>
        <w:pStyle w:val="BodyText"/>
        <w:spacing w:before="3"/>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250"/>
        <w:gridCol w:w="1418"/>
        <w:gridCol w:w="1418"/>
        <w:gridCol w:w="1174"/>
        <w:gridCol w:w="1658"/>
        <w:gridCol w:w="1421"/>
      </w:tblGrid>
      <w:tr>
        <w:trPr>
          <w:trHeight w:val="310" w:hRule="exact"/>
        </w:trPr>
        <w:tc>
          <w:tcPr>
            <w:tcW w:w="10490" w:type="dxa"/>
            <w:gridSpan w:val="9"/>
          </w:tcPr>
          <w:p>
            <w:pPr>
              <w:pStyle w:val="TableParagraph"/>
              <w:ind w:left="3709" w:right="3708"/>
              <w:jc w:val="center"/>
              <w:rPr>
                <w:sz w:val="22"/>
              </w:rPr>
            </w:pPr>
            <w:r>
              <w:rPr>
                <w:sz w:val="22"/>
              </w:rPr>
              <w:t>Eficiencia estanque sedimentador</w:t>
            </w:r>
          </w:p>
        </w:tc>
      </w:tr>
      <w:tr>
        <w:trPr>
          <w:trHeight w:val="310" w:hRule="exact"/>
        </w:trPr>
        <w:tc>
          <w:tcPr>
            <w:tcW w:w="838" w:type="dxa"/>
          </w:tcPr>
          <w:p>
            <w:pPr>
              <w:pStyle w:val="TableParagraph"/>
              <w:spacing w:before="11"/>
              <w:ind w:left="19" w:right="75"/>
              <w:jc w:val="center"/>
              <w:rPr>
                <w:sz w:val="22"/>
              </w:rPr>
            </w:pPr>
            <w:r>
              <w:rPr>
                <w:sz w:val="22"/>
              </w:rPr>
              <w:t>Estrato</w:t>
            </w:r>
          </w:p>
        </w:tc>
        <w:tc>
          <w:tcPr>
            <w:tcW w:w="809" w:type="dxa"/>
          </w:tcPr>
          <w:p>
            <w:pPr>
              <w:pStyle w:val="TableParagraph"/>
              <w:spacing w:before="40"/>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0"/>
              <w:ind w:left="32" w:right="43"/>
              <w:jc w:val="center"/>
              <w:rPr>
                <w:rFonts w:ascii="Cambria Math"/>
                <w:sz w:val="16"/>
              </w:rPr>
            </w:pPr>
            <w:r>
              <w:rPr>
                <w:rFonts w:ascii="Cambria Math"/>
                <w:w w:val="110"/>
                <w:sz w:val="22"/>
              </w:rPr>
              <w:t>n</w:t>
            </w:r>
            <w:r>
              <w:rPr>
                <w:rFonts w:ascii="Cambria Math"/>
                <w:w w:val="110"/>
                <w:position w:val="-4"/>
                <w:sz w:val="16"/>
              </w:rPr>
              <w:t>h</w:t>
            </w:r>
          </w:p>
        </w:tc>
        <w:tc>
          <w:tcPr>
            <w:tcW w:w="1250" w:type="dxa"/>
          </w:tcPr>
          <w:p>
            <w:pPr>
              <w:pStyle w:val="TableParagraph"/>
              <w:spacing w:before="40"/>
              <w:ind w:left="487" w:right="49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18" w:type="dxa"/>
          </w:tcPr>
          <w:p>
            <w:pPr>
              <w:pStyle w:val="TableParagraph"/>
              <w:spacing w:line="214" w:lineRule="exact" w:before="6"/>
              <w:ind w:left="107" w:right="112"/>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418" w:type="dxa"/>
          </w:tcPr>
          <w:p>
            <w:pPr>
              <w:pStyle w:val="TableParagraph"/>
              <w:spacing w:before="16"/>
              <w:ind w:left="101" w:right="11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174" w:type="dxa"/>
          </w:tcPr>
          <w:p>
            <w:pPr>
              <w:pStyle w:val="TableParagraph"/>
              <w:spacing w:before="40"/>
              <w:ind w:left="454" w:right="467"/>
              <w:jc w:val="center"/>
              <w:rPr>
                <w:rFonts w:ascii="Cambria Math"/>
                <w:sz w:val="16"/>
              </w:rPr>
            </w:pPr>
            <w:r>
              <w:rPr>
                <w:rFonts w:ascii="Cambria Math"/>
                <w:w w:val="110"/>
                <w:sz w:val="22"/>
              </w:rPr>
              <w:t>s</w:t>
            </w:r>
            <w:r>
              <w:rPr>
                <w:rFonts w:ascii="Cambria Math"/>
                <w:w w:val="110"/>
                <w:position w:val="-4"/>
                <w:sz w:val="16"/>
              </w:rPr>
              <w:t>h</w:t>
            </w:r>
          </w:p>
        </w:tc>
        <w:tc>
          <w:tcPr>
            <w:tcW w:w="1658" w:type="dxa"/>
          </w:tcPr>
          <w:p>
            <w:pPr>
              <w:pStyle w:val="TableParagraph"/>
              <w:spacing w:before="0"/>
              <w:ind w:left="49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21" w:type="dxa"/>
          </w:tcPr>
          <w:p>
            <w:pPr>
              <w:pStyle w:val="TableParagraph"/>
              <w:spacing w:before="0"/>
              <w:ind w:left="35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13"/>
              <w:ind w:right="1"/>
              <w:jc w:val="center"/>
              <w:rPr>
                <w:sz w:val="22"/>
              </w:rPr>
            </w:pPr>
            <w:r>
              <w:rPr>
                <w:w w:val="100"/>
                <w:sz w:val="22"/>
              </w:rPr>
              <w:t>1</w:t>
            </w:r>
          </w:p>
        </w:tc>
        <w:tc>
          <w:tcPr>
            <w:tcW w:w="809" w:type="dxa"/>
          </w:tcPr>
          <w:p>
            <w:pPr>
              <w:pStyle w:val="TableParagraph"/>
              <w:ind w:left="59" w:right="0"/>
              <w:jc w:val="center"/>
              <w:rPr>
                <w:sz w:val="22"/>
              </w:rPr>
            </w:pPr>
            <w:r>
              <w:rPr>
                <w:sz w:val="22"/>
              </w:rPr>
              <w:t>108,60</w:t>
            </w:r>
          </w:p>
        </w:tc>
        <w:tc>
          <w:tcPr>
            <w:tcW w:w="504" w:type="dxa"/>
          </w:tcPr>
          <w:p>
            <w:pPr>
              <w:pStyle w:val="TableParagraph"/>
              <w:ind w:left="73" w:right="41"/>
              <w:jc w:val="center"/>
              <w:rPr>
                <w:sz w:val="22"/>
              </w:rPr>
            </w:pPr>
            <w:r>
              <w:rPr>
                <w:sz w:val="22"/>
              </w:rPr>
              <w:t>108</w:t>
            </w:r>
          </w:p>
        </w:tc>
        <w:tc>
          <w:tcPr>
            <w:tcW w:w="1250" w:type="dxa"/>
          </w:tcPr>
          <w:p>
            <w:pPr>
              <w:pStyle w:val="TableParagraph"/>
              <w:rPr>
                <w:sz w:val="22"/>
              </w:rPr>
            </w:pPr>
            <w:r>
              <w:rPr>
                <w:sz w:val="22"/>
              </w:rPr>
              <w:t>-158,0952</w:t>
            </w:r>
          </w:p>
        </w:tc>
        <w:tc>
          <w:tcPr>
            <w:tcW w:w="1418" w:type="dxa"/>
          </w:tcPr>
          <w:p>
            <w:pPr>
              <w:pStyle w:val="TableParagraph"/>
              <w:ind w:right="63"/>
              <w:rPr>
                <w:sz w:val="22"/>
              </w:rPr>
            </w:pPr>
            <w:r>
              <w:rPr>
                <w:sz w:val="22"/>
              </w:rPr>
              <w:t>75208,617</w:t>
            </w:r>
          </w:p>
        </w:tc>
        <w:tc>
          <w:tcPr>
            <w:tcW w:w="1418" w:type="dxa"/>
          </w:tcPr>
          <w:p>
            <w:pPr>
              <w:pStyle w:val="TableParagraph"/>
              <w:ind w:right="63"/>
              <w:rPr>
                <w:sz w:val="22"/>
              </w:rPr>
            </w:pPr>
            <w:r>
              <w:rPr>
                <w:sz w:val="22"/>
              </w:rPr>
              <w:t>-17169,1429</w:t>
            </w:r>
          </w:p>
        </w:tc>
        <w:tc>
          <w:tcPr>
            <w:tcW w:w="1174" w:type="dxa"/>
          </w:tcPr>
          <w:p>
            <w:pPr>
              <w:pStyle w:val="TableParagraph"/>
              <w:ind w:right="63"/>
              <w:rPr>
                <w:sz w:val="22"/>
              </w:rPr>
            </w:pPr>
            <w:r>
              <w:rPr>
                <w:sz w:val="22"/>
              </w:rPr>
              <w:t>274,2419</w:t>
            </w:r>
          </w:p>
        </w:tc>
        <w:tc>
          <w:tcPr>
            <w:tcW w:w="1658" w:type="dxa"/>
          </w:tcPr>
          <w:p>
            <w:pPr>
              <w:pStyle w:val="TableParagraph"/>
              <w:rPr>
                <w:sz w:val="22"/>
              </w:rPr>
            </w:pPr>
            <w:r>
              <w:rPr>
                <w:sz w:val="22"/>
              </w:rPr>
              <w:t>-2745850,05</w:t>
            </w:r>
          </w:p>
        </w:tc>
        <w:tc>
          <w:tcPr>
            <w:tcW w:w="1421" w:type="dxa"/>
          </w:tcPr>
          <w:p>
            <w:pPr>
              <w:pStyle w:val="TableParagraph"/>
              <w:ind w:right="63"/>
              <w:rPr>
                <w:sz w:val="22"/>
              </w:rPr>
            </w:pPr>
            <w:r>
              <w:rPr>
                <w:sz w:val="22"/>
              </w:rPr>
              <w:t>-5,68191553</w:t>
            </w:r>
          </w:p>
        </w:tc>
      </w:tr>
      <w:tr>
        <w:trPr>
          <w:trHeight w:val="310" w:hRule="exact"/>
        </w:trPr>
        <w:tc>
          <w:tcPr>
            <w:tcW w:w="838" w:type="dxa"/>
          </w:tcPr>
          <w:p>
            <w:pPr>
              <w:pStyle w:val="TableParagraph"/>
              <w:spacing w:before="13"/>
              <w:ind w:right="1"/>
              <w:jc w:val="center"/>
              <w:rPr>
                <w:sz w:val="22"/>
              </w:rPr>
            </w:pPr>
            <w:r>
              <w:rPr>
                <w:w w:val="100"/>
                <w:sz w:val="22"/>
              </w:rPr>
              <w:t>2</w:t>
            </w:r>
          </w:p>
        </w:tc>
        <w:tc>
          <w:tcPr>
            <w:tcW w:w="809" w:type="dxa"/>
          </w:tcPr>
          <w:p>
            <w:pPr>
              <w:pStyle w:val="TableParagraph"/>
              <w:ind w:left="59" w:right="0"/>
              <w:jc w:val="center"/>
              <w:rPr>
                <w:sz w:val="22"/>
              </w:rPr>
            </w:pPr>
            <w:r>
              <w:rPr>
                <w:sz w:val="22"/>
              </w:rPr>
              <w:t>121,03</w:t>
            </w:r>
          </w:p>
        </w:tc>
        <w:tc>
          <w:tcPr>
            <w:tcW w:w="504" w:type="dxa"/>
          </w:tcPr>
          <w:p>
            <w:pPr>
              <w:pStyle w:val="TableParagraph"/>
              <w:ind w:left="184" w:right="42"/>
              <w:jc w:val="center"/>
              <w:rPr>
                <w:sz w:val="22"/>
              </w:rPr>
            </w:pPr>
            <w:r>
              <w:rPr>
                <w:sz w:val="22"/>
              </w:rPr>
              <w:t>81</w:t>
            </w:r>
          </w:p>
        </w:tc>
        <w:tc>
          <w:tcPr>
            <w:tcW w:w="1250" w:type="dxa"/>
          </w:tcPr>
          <w:p>
            <w:pPr>
              <w:pStyle w:val="TableParagraph"/>
              <w:rPr>
                <w:sz w:val="22"/>
              </w:rPr>
            </w:pPr>
            <w:r>
              <w:rPr>
                <w:sz w:val="22"/>
              </w:rPr>
              <w:t>-949,3733</w:t>
            </w:r>
          </w:p>
        </w:tc>
        <w:tc>
          <w:tcPr>
            <w:tcW w:w="1418" w:type="dxa"/>
          </w:tcPr>
          <w:p>
            <w:pPr>
              <w:pStyle w:val="TableParagraph"/>
              <w:ind w:right="63"/>
              <w:rPr>
                <w:sz w:val="22"/>
              </w:rPr>
            </w:pPr>
            <w:r>
              <w:rPr>
                <w:sz w:val="22"/>
              </w:rPr>
              <w:t>2991280,432</w:t>
            </w:r>
          </w:p>
        </w:tc>
        <w:tc>
          <w:tcPr>
            <w:tcW w:w="1418" w:type="dxa"/>
          </w:tcPr>
          <w:p>
            <w:pPr>
              <w:pStyle w:val="TableParagraph"/>
              <w:ind w:right="63"/>
              <w:rPr>
                <w:sz w:val="22"/>
              </w:rPr>
            </w:pPr>
            <w:r>
              <w:rPr>
                <w:sz w:val="22"/>
              </w:rPr>
              <w:t>-114902,652</w:t>
            </w:r>
          </w:p>
        </w:tc>
        <w:tc>
          <w:tcPr>
            <w:tcW w:w="1174" w:type="dxa"/>
          </w:tcPr>
          <w:p>
            <w:pPr>
              <w:pStyle w:val="TableParagraph"/>
              <w:ind w:right="63"/>
              <w:rPr>
                <w:sz w:val="22"/>
              </w:rPr>
            </w:pPr>
            <w:r>
              <w:rPr>
                <w:sz w:val="22"/>
              </w:rPr>
              <w:t>1729,5319</w:t>
            </w:r>
          </w:p>
        </w:tc>
        <w:tc>
          <w:tcPr>
            <w:tcW w:w="1658" w:type="dxa"/>
          </w:tcPr>
          <w:p>
            <w:pPr>
              <w:pStyle w:val="TableParagraph"/>
              <w:rPr>
                <w:sz w:val="22"/>
              </w:rPr>
            </w:pPr>
            <w:r>
              <w:rPr>
                <w:sz w:val="22"/>
              </w:rPr>
              <w:t>179183908,78</w:t>
            </w:r>
          </w:p>
        </w:tc>
        <w:tc>
          <w:tcPr>
            <w:tcW w:w="1421" w:type="dxa"/>
          </w:tcPr>
          <w:p>
            <w:pPr>
              <w:pStyle w:val="TableParagraph"/>
              <w:ind w:right="63"/>
              <w:rPr>
                <w:sz w:val="22"/>
              </w:rPr>
            </w:pPr>
            <w:r>
              <w:rPr>
                <w:sz w:val="22"/>
              </w:rPr>
              <w:t>370,780565</w:t>
            </w:r>
          </w:p>
        </w:tc>
      </w:tr>
      <w:tr>
        <w:trPr>
          <w:trHeight w:val="310" w:hRule="exact"/>
        </w:trPr>
        <w:tc>
          <w:tcPr>
            <w:tcW w:w="838" w:type="dxa"/>
          </w:tcPr>
          <w:p>
            <w:pPr>
              <w:pStyle w:val="TableParagraph"/>
              <w:spacing w:before="13"/>
              <w:ind w:right="1"/>
              <w:jc w:val="center"/>
              <w:rPr>
                <w:sz w:val="22"/>
              </w:rPr>
            </w:pPr>
            <w:r>
              <w:rPr>
                <w:w w:val="100"/>
                <w:sz w:val="22"/>
              </w:rPr>
              <w:t>3</w:t>
            </w:r>
          </w:p>
        </w:tc>
        <w:tc>
          <w:tcPr>
            <w:tcW w:w="809" w:type="dxa"/>
          </w:tcPr>
          <w:p>
            <w:pPr>
              <w:pStyle w:val="TableParagraph"/>
              <w:ind w:left="59" w:right="0"/>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250" w:type="dxa"/>
          </w:tcPr>
          <w:p>
            <w:pPr>
              <w:pStyle w:val="TableParagraph"/>
              <w:rPr>
                <w:sz w:val="22"/>
              </w:rPr>
            </w:pPr>
            <w:r>
              <w:rPr>
                <w:sz w:val="22"/>
              </w:rPr>
              <w:t>-1548,0000</w:t>
            </w:r>
          </w:p>
        </w:tc>
        <w:tc>
          <w:tcPr>
            <w:tcW w:w="1418" w:type="dxa"/>
          </w:tcPr>
          <w:p>
            <w:pPr>
              <w:pStyle w:val="TableParagraph"/>
              <w:ind w:right="63"/>
              <w:rPr>
                <w:sz w:val="22"/>
              </w:rPr>
            </w:pPr>
            <w:r>
              <w:rPr>
                <w:sz w:val="22"/>
              </w:rPr>
              <w:t>1856214,444</w:t>
            </w:r>
          </w:p>
        </w:tc>
        <w:tc>
          <w:tcPr>
            <w:tcW w:w="1418" w:type="dxa"/>
          </w:tcPr>
          <w:p>
            <w:pPr>
              <w:pStyle w:val="TableParagraph"/>
              <w:ind w:right="63"/>
              <w:rPr>
                <w:sz w:val="22"/>
              </w:rPr>
            </w:pPr>
            <w:r>
              <w:rPr>
                <w:sz w:val="22"/>
              </w:rPr>
              <w:t>-201565,08</w:t>
            </w:r>
          </w:p>
        </w:tc>
        <w:tc>
          <w:tcPr>
            <w:tcW w:w="1174" w:type="dxa"/>
          </w:tcPr>
          <w:p>
            <w:pPr>
              <w:pStyle w:val="TableParagraph"/>
              <w:ind w:right="63"/>
              <w:rPr>
                <w:sz w:val="22"/>
              </w:rPr>
            </w:pPr>
            <w:r>
              <w:rPr>
                <w:sz w:val="22"/>
              </w:rPr>
              <w:t>1362,4296</w:t>
            </w:r>
          </w:p>
        </w:tc>
        <w:tc>
          <w:tcPr>
            <w:tcW w:w="1658" w:type="dxa"/>
          </w:tcPr>
          <w:p>
            <w:pPr>
              <w:pStyle w:val="TableParagraph"/>
              <w:rPr>
                <w:sz w:val="22"/>
              </w:rPr>
            </w:pPr>
            <w:r>
              <w:rPr>
                <w:sz w:val="22"/>
              </w:rPr>
              <w:t>169478895,17</w:t>
            </w:r>
          </w:p>
        </w:tc>
        <w:tc>
          <w:tcPr>
            <w:tcW w:w="1421" w:type="dxa"/>
          </w:tcPr>
          <w:p>
            <w:pPr>
              <w:pStyle w:val="TableParagraph"/>
              <w:ind w:right="63"/>
              <w:rPr>
                <w:sz w:val="22"/>
              </w:rPr>
            </w:pPr>
            <w:r>
              <w:rPr>
                <w:sz w:val="22"/>
              </w:rPr>
              <w:t>350,698235</w:t>
            </w:r>
          </w:p>
        </w:tc>
      </w:tr>
      <w:tr>
        <w:trPr>
          <w:trHeight w:val="312" w:hRule="exact"/>
        </w:trPr>
        <w:tc>
          <w:tcPr>
            <w:tcW w:w="838" w:type="dxa"/>
          </w:tcPr>
          <w:p>
            <w:pPr>
              <w:pStyle w:val="TableParagraph"/>
              <w:spacing w:before="13"/>
              <w:ind w:right="1"/>
              <w:jc w:val="center"/>
              <w:rPr>
                <w:sz w:val="22"/>
              </w:rPr>
            </w:pPr>
            <w:r>
              <w:rPr>
                <w:w w:val="100"/>
                <w:sz w:val="22"/>
              </w:rPr>
              <w:t>4</w:t>
            </w:r>
          </w:p>
        </w:tc>
        <w:tc>
          <w:tcPr>
            <w:tcW w:w="809" w:type="dxa"/>
          </w:tcPr>
          <w:p>
            <w:pPr>
              <w:pStyle w:val="TableParagraph"/>
              <w:spacing w:before="30"/>
              <w:ind w:left="59" w:right="0"/>
              <w:jc w:val="center"/>
              <w:rPr>
                <w:sz w:val="22"/>
              </w:rPr>
            </w:pPr>
            <w:r>
              <w:rPr>
                <w:sz w:val="22"/>
              </w:rPr>
              <w:t>155,12</w:t>
            </w:r>
          </w:p>
        </w:tc>
        <w:tc>
          <w:tcPr>
            <w:tcW w:w="504" w:type="dxa"/>
          </w:tcPr>
          <w:p>
            <w:pPr>
              <w:pStyle w:val="TableParagraph"/>
              <w:spacing w:before="30"/>
              <w:ind w:left="184" w:right="42"/>
              <w:jc w:val="center"/>
              <w:rPr>
                <w:sz w:val="22"/>
              </w:rPr>
            </w:pPr>
            <w:r>
              <w:rPr>
                <w:sz w:val="22"/>
              </w:rPr>
              <w:t>92</w:t>
            </w:r>
          </w:p>
        </w:tc>
        <w:tc>
          <w:tcPr>
            <w:tcW w:w="1250" w:type="dxa"/>
          </w:tcPr>
          <w:p>
            <w:pPr>
              <w:pStyle w:val="TableParagraph"/>
              <w:spacing w:before="30"/>
              <w:rPr>
                <w:sz w:val="22"/>
              </w:rPr>
            </w:pPr>
            <w:r>
              <w:rPr>
                <w:sz w:val="22"/>
              </w:rPr>
              <w:t>-727,2727</w:t>
            </w:r>
          </w:p>
        </w:tc>
        <w:tc>
          <w:tcPr>
            <w:tcW w:w="1418" w:type="dxa"/>
          </w:tcPr>
          <w:p>
            <w:pPr>
              <w:pStyle w:val="TableParagraph"/>
              <w:spacing w:before="30"/>
              <w:ind w:right="63"/>
              <w:rPr>
                <w:sz w:val="22"/>
              </w:rPr>
            </w:pPr>
            <w:r>
              <w:rPr>
                <w:sz w:val="22"/>
              </w:rPr>
              <w:t>378378,099</w:t>
            </w:r>
          </w:p>
        </w:tc>
        <w:tc>
          <w:tcPr>
            <w:tcW w:w="1418" w:type="dxa"/>
          </w:tcPr>
          <w:p>
            <w:pPr>
              <w:pStyle w:val="TableParagraph"/>
              <w:spacing w:before="30"/>
              <w:ind w:right="63"/>
              <w:rPr>
                <w:sz w:val="22"/>
              </w:rPr>
            </w:pPr>
            <w:r>
              <w:rPr>
                <w:sz w:val="22"/>
              </w:rPr>
              <w:t>-112814,545</w:t>
            </w:r>
          </w:p>
        </w:tc>
        <w:tc>
          <w:tcPr>
            <w:tcW w:w="1174" w:type="dxa"/>
          </w:tcPr>
          <w:p>
            <w:pPr>
              <w:pStyle w:val="TableParagraph"/>
              <w:spacing w:before="30"/>
              <w:ind w:right="63"/>
              <w:rPr>
                <w:sz w:val="22"/>
              </w:rPr>
            </w:pPr>
            <w:r>
              <w:rPr>
                <w:sz w:val="22"/>
              </w:rPr>
              <w:t>615,1245</w:t>
            </w:r>
          </w:p>
        </w:tc>
        <w:tc>
          <w:tcPr>
            <w:tcW w:w="1658" w:type="dxa"/>
          </w:tcPr>
          <w:p>
            <w:pPr>
              <w:pStyle w:val="TableParagraph"/>
              <w:spacing w:before="30"/>
              <w:rPr>
                <w:sz w:val="22"/>
              </w:rPr>
            </w:pPr>
            <w:r>
              <w:rPr>
                <w:sz w:val="22"/>
              </w:rPr>
              <w:t>40473998,70</w:t>
            </w:r>
          </w:p>
        </w:tc>
        <w:tc>
          <w:tcPr>
            <w:tcW w:w="1421" w:type="dxa"/>
          </w:tcPr>
          <w:p>
            <w:pPr>
              <w:pStyle w:val="TableParagraph"/>
              <w:spacing w:before="30"/>
              <w:ind w:right="63"/>
              <w:rPr>
                <w:sz w:val="22"/>
              </w:rPr>
            </w:pPr>
            <w:r>
              <w:rPr>
                <w:sz w:val="22"/>
              </w:rPr>
              <w:t>83,7517845</w:t>
            </w:r>
          </w:p>
        </w:tc>
      </w:tr>
      <w:tr>
        <w:trPr>
          <w:trHeight w:val="310" w:hRule="exact"/>
        </w:trPr>
        <w:tc>
          <w:tcPr>
            <w:tcW w:w="838" w:type="dxa"/>
          </w:tcPr>
          <w:p>
            <w:pPr>
              <w:pStyle w:val="TableParagraph"/>
              <w:spacing w:before="11"/>
              <w:ind w:right="1"/>
              <w:jc w:val="center"/>
              <w:rPr>
                <w:sz w:val="22"/>
              </w:rPr>
            </w:pPr>
            <w:r>
              <w:rPr>
                <w:w w:val="100"/>
                <w:sz w:val="22"/>
              </w:rPr>
              <w:t>5</w:t>
            </w:r>
          </w:p>
        </w:tc>
        <w:tc>
          <w:tcPr>
            <w:tcW w:w="809" w:type="dxa"/>
          </w:tcPr>
          <w:p>
            <w:pPr>
              <w:pStyle w:val="TableParagraph"/>
              <w:ind w:left="59" w:right="0"/>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250" w:type="dxa"/>
          </w:tcPr>
          <w:p>
            <w:pPr>
              <w:pStyle w:val="TableParagraph"/>
              <w:rPr>
                <w:sz w:val="22"/>
              </w:rPr>
            </w:pPr>
            <w:r>
              <w:rPr>
                <w:sz w:val="22"/>
              </w:rPr>
              <w:t>-1805,1231</w:t>
            </w:r>
          </w:p>
        </w:tc>
        <w:tc>
          <w:tcPr>
            <w:tcW w:w="1418" w:type="dxa"/>
          </w:tcPr>
          <w:p>
            <w:pPr>
              <w:pStyle w:val="TableParagraph"/>
              <w:ind w:right="63"/>
              <w:rPr>
                <w:sz w:val="22"/>
              </w:rPr>
            </w:pPr>
            <w:r>
              <w:rPr>
                <w:sz w:val="22"/>
              </w:rPr>
              <w:t>9830169,892</w:t>
            </w:r>
          </w:p>
        </w:tc>
        <w:tc>
          <w:tcPr>
            <w:tcW w:w="1418" w:type="dxa"/>
          </w:tcPr>
          <w:p>
            <w:pPr>
              <w:pStyle w:val="TableParagraph"/>
              <w:ind w:right="63"/>
              <w:rPr>
                <w:sz w:val="22"/>
              </w:rPr>
            </w:pPr>
            <w:r>
              <w:rPr>
                <w:sz w:val="22"/>
              </w:rPr>
              <w:t>-325301,237</w:t>
            </w:r>
          </w:p>
        </w:tc>
        <w:tc>
          <w:tcPr>
            <w:tcW w:w="1174" w:type="dxa"/>
          </w:tcPr>
          <w:p>
            <w:pPr>
              <w:pStyle w:val="TableParagraph"/>
              <w:ind w:right="63"/>
              <w:rPr>
                <w:sz w:val="22"/>
              </w:rPr>
            </w:pPr>
            <w:r>
              <w:rPr>
                <w:sz w:val="22"/>
              </w:rPr>
              <w:t>3135,3102</w:t>
            </w:r>
          </w:p>
        </w:tc>
        <w:tc>
          <w:tcPr>
            <w:tcW w:w="1658" w:type="dxa"/>
          </w:tcPr>
          <w:p>
            <w:pPr>
              <w:pStyle w:val="TableParagraph"/>
              <w:rPr>
                <w:sz w:val="22"/>
              </w:rPr>
            </w:pPr>
            <w:r>
              <w:rPr>
                <w:sz w:val="22"/>
              </w:rPr>
              <w:t>646265602,17</w:t>
            </w:r>
          </w:p>
        </w:tc>
        <w:tc>
          <w:tcPr>
            <w:tcW w:w="1421" w:type="dxa"/>
          </w:tcPr>
          <w:p>
            <w:pPr>
              <w:pStyle w:val="TableParagraph"/>
              <w:ind w:right="63"/>
              <w:rPr>
                <w:sz w:val="22"/>
              </w:rPr>
            </w:pPr>
            <w:r>
              <w:rPr>
                <w:sz w:val="22"/>
              </w:rPr>
              <w:t>1337,30047</w:t>
            </w:r>
          </w:p>
        </w:tc>
      </w:tr>
      <w:tr>
        <w:trPr>
          <w:trHeight w:val="310" w:hRule="exact"/>
        </w:trPr>
        <w:tc>
          <w:tcPr>
            <w:tcW w:w="838" w:type="dxa"/>
          </w:tcPr>
          <w:p>
            <w:pPr>
              <w:pStyle w:val="TableParagraph"/>
              <w:spacing w:before="11"/>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1250" w:type="dxa"/>
          </w:tcPr>
          <w:p>
            <w:pPr/>
          </w:p>
        </w:tc>
        <w:tc>
          <w:tcPr>
            <w:tcW w:w="1418" w:type="dxa"/>
          </w:tcPr>
          <w:p>
            <w:pPr>
              <w:pStyle w:val="TableParagraph"/>
              <w:spacing w:line="312" w:lineRule="exact" w:before="0"/>
              <w:ind w:left="99" w:right="112"/>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418" w:type="dxa"/>
          </w:tcPr>
          <w:p>
            <w:pPr>
              <w:pStyle w:val="TableParagraph"/>
              <w:ind w:right="63"/>
              <w:rPr>
                <w:sz w:val="22"/>
              </w:rPr>
            </w:pPr>
            <w:r>
              <w:rPr>
                <w:sz w:val="22"/>
              </w:rPr>
              <w:t>-771752,657</w:t>
            </w:r>
          </w:p>
        </w:tc>
        <w:tc>
          <w:tcPr>
            <w:tcW w:w="1174" w:type="dxa"/>
          </w:tcPr>
          <w:p>
            <w:pPr/>
          </w:p>
        </w:tc>
        <w:tc>
          <w:tcPr>
            <w:tcW w:w="1658" w:type="dxa"/>
          </w:tcPr>
          <w:p>
            <w:pPr>
              <w:pStyle w:val="TableParagraph"/>
              <w:rPr>
                <w:sz w:val="22"/>
              </w:rPr>
            </w:pPr>
            <w:r>
              <w:rPr>
                <w:sz w:val="22"/>
              </w:rPr>
              <w:t>1032656554,77</w:t>
            </w:r>
          </w:p>
        </w:tc>
        <w:tc>
          <w:tcPr>
            <w:tcW w:w="1421" w:type="dxa"/>
          </w:tcPr>
          <w:p>
            <w:pPr>
              <w:pStyle w:val="TableParagraph"/>
              <w:ind w:right="63"/>
              <w:rPr>
                <w:sz w:val="22"/>
              </w:rPr>
            </w:pPr>
            <w:r>
              <w:rPr>
                <w:sz w:val="22"/>
              </w:rPr>
              <w:t>2136,84914</w:t>
            </w:r>
          </w:p>
        </w:tc>
      </w:tr>
      <w:tr>
        <w:trPr>
          <w:trHeight w:val="310" w:hRule="exact"/>
        </w:trPr>
        <w:tc>
          <w:tcPr>
            <w:tcW w:w="6238" w:type="dxa"/>
            <w:gridSpan w:val="6"/>
            <w:vMerge w:val="restart"/>
            <w:tcBorders>
              <w:left w:val="nil"/>
            </w:tcBorders>
          </w:tcPr>
          <w:p>
            <w:pPr/>
          </w:p>
        </w:tc>
        <w:tc>
          <w:tcPr>
            <w:tcW w:w="2832" w:type="dxa"/>
            <w:gridSpan w:val="2"/>
          </w:tcPr>
          <w:p>
            <w:pPr>
              <w:pStyle w:val="TableParagraph"/>
              <w:spacing w:before="13"/>
              <w:ind w:left="62"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21" w:type="dxa"/>
          </w:tcPr>
          <w:p>
            <w:pPr>
              <w:pStyle w:val="TableParagraph"/>
              <w:ind w:right="63"/>
              <w:rPr>
                <w:b/>
                <w:sz w:val="22"/>
              </w:rPr>
            </w:pPr>
            <w:r>
              <w:rPr>
                <w:b/>
                <w:sz w:val="22"/>
              </w:rPr>
              <w:t>-1110,164</w:t>
            </w:r>
          </w:p>
        </w:tc>
      </w:tr>
      <w:tr>
        <w:trPr>
          <w:trHeight w:val="310" w:hRule="exact"/>
        </w:trPr>
        <w:tc>
          <w:tcPr>
            <w:tcW w:w="6238" w:type="dxa"/>
            <w:gridSpan w:val="6"/>
            <w:vMerge/>
            <w:tcBorders>
              <w:left w:val="nil"/>
            </w:tcBorders>
          </w:tcPr>
          <w:p>
            <w:pPr/>
          </w:p>
        </w:tc>
        <w:tc>
          <w:tcPr>
            <w:tcW w:w="2832" w:type="dxa"/>
            <w:gridSpan w:val="2"/>
          </w:tcPr>
          <w:p>
            <w:pPr>
              <w:pStyle w:val="TableParagraph"/>
              <w:spacing w:before="13"/>
              <w:ind w:left="62" w:right="0"/>
              <w:jc w:val="left"/>
              <w:rPr>
                <w:sz w:val="22"/>
              </w:rPr>
            </w:pPr>
            <w:r>
              <w:rPr>
                <w:sz w:val="22"/>
              </w:rPr>
              <w:t>Desviación estándar</w:t>
            </w:r>
          </w:p>
        </w:tc>
        <w:tc>
          <w:tcPr>
            <w:tcW w:w="1421" w:type="dxa"/>
          </w:tcPr>
          <w:p>
            <w:pPr>
              <w:pStyle w:val="TableParagraph"/>
              <w:ind w:right="63"/>
              <w:rPr>
                <w:b/>
                <w:sz w:val="22"/>
              </w:rPr>
            </w:pPr>
            <w:r>
              <w:rPr>
                <w:b/>
                <w:sz w:val="22"/>
              </w:rPr>
              <w:t>46,226</w:t>
            </w:r>
          </w:p>
        </w:tc>
      </w:tr>
      <w:tr>
        <w:trPr>
          <w:trHeight w:val="310" w:hRule="exact"/>
        </w:trPr>
        <w:tc>
          <w:tcPr>
            <w:tcW w:w="6238" w:type="dxa"/>
            <w:gridSpan w:val="6"/>
            <w:vMerge/>
            <w:tcBorders>
              <w:left w:val="nil"/>
            </w:tcBorders>
          </w:tcPr>
          <w:p>
            <w:pPr/>
          </w:p>
        </w:tc>
        <w:tc>
          <w:tcPr>
            <w:tcW w:w="2832" w:type="dxa"/>
            <w:gridSpan w:val="2"/>
            <w:vMerge w:val="restart"/>
          </w:tcPr>
          <w:p>
            <w:pPr>
              <w:pStyle w:val="TableParagraph"/>
              <w:spacing w:before="169"/>
              <w:ind w:left="62" w:right="0"/>
              <w:jc w:val="left"/>
              <w:rPr>
                <w:sz w:val="22"/>
              </w:rPr>
            </w:pPr>
            <w:r>
              <w:rPr>
                <w:sz w:val="22"/>
              </w:rPr>
              <w:t>Intervalo de confianza al 95 %</w:t>
            </w:r>
          </w:p>
        </w:tc>
        <w:tc>
          <w:tcPr>
            <w:tcW w:w="1421" w:type="dxa"/>
          </w:tcPr>
          <w:p>
            <w:pPr>
              <w:pStyle w:val="TableParagraph"/>
              <w:ind w:right="63"/>
              <w:rPr>
                <w:sz w:val="22"/>
              </w:rPr>
            </w:pPr>
            <w:r>
              <w:rPr>
                <w:sz w:val="22"/>
              </w:rPr>
              <w:t>-1200,77</w:t>
            </w:r>
          </w:p>
        </w:tc>
      </w:tr>
      <w:tr>
        <w:trPr>
          <w:trHeight w:val="312" w:hRule="exact"/>
        </w:trPr>
        <w:tc>
          <w:tcPr>
            <w:tcW w:w="6238" w:type="dxa"/>
            <w:gridSpan w:val="6"/>
            <w:vMerge/>
            <w:tcBorders>
              <w:left w:val="nil"/>
              <w:bottom w:val="nil"/>
            </w:tcBorders>
          </w:tcPr>
          <w:p>
            <w:pPr/>
          </w:p>
        </w:tc>
        <w:tc>
          <w:tcPr>
            <w:tcW w:w="2832" w:type="dxa"/>
            <w:gridSpan w:val="2"/>
            <w:vMerge/>
          </w:tcPr>
          <w:p>
            <w:pPr/>
          </w:p>
        </w:tc>
        <w:tc>
          <w:tcPr>
            <w:tcW w:w="1421" w:type="dxa"/>
          </w:tcPr>
          <w:p>
            <w:pPr>
              <w:pStyle w:val="TableParagraph"/>
              <w:spacing w:before="30"/>
              <w:ind w:right="63"/>
              <w:rPr>
                <w:sz w:val="22"/>
              </w:rPr>
            </w:pPr>
            <w:r>
              <w:rPr>
                <w:sz w:val="22"/>
              </w:rPr>
              <w:t>-1019,56</w:t>
            </w:r>
          </w:p>
        </w:tc>
      </w:tr>
    </w:tbl>
    <w:p>
      <w:pPr>
        <w:spacing w:after="0"/>
        <w:rPr>
          <w:sz w:val="22"/>
        </w:rPr>
        <w:sectPr>
          <w:pgSz w:w="12240" w:h="15840"/>
          <w:pgMar w:header="725" w:footer="1084" w:top="1340" w:bottom="1280" w:left="920" w:right="500"/>
        </w:sectPr>
      </w:pPr>
    </w:p>
    <w:p>
      <w:pPr>
        <w:spacing w:before="147"/>
        <w:ind w:left="3693" w:right="3894" w:firstLine="0"/>
        <w:jc w:val="center"/>
        <w:rPr>
          <w:b/>
          <w:sz w:val="22"/>
        </w:rPr>
      </w:pPr>
      <w:r>
        <w:rPr>
          <w:b/>
          <w:sz w:val="22"/>
        </w:rPr>
        <w:t>N – Nitritos (mg de N-NO</w:t>
      </w:r>
      <w:r>
        <w:rPr>
          <w:b/>
          <w:position w:val="-2"/>
          <w:sz w:val="14"/>
        </w:rPr>
        <w:t>2</w:t>
      </w:r>
      <w:r>
        <w:rPr>
          <w:b/>
          <w:position w:val="10"/>
          <w:sz w:val="14"/>
        </w:rPr>
        <w:t>-</w:t>
      </w:r>
      <w:r>
        <w:rPr>
          <w:b/>
          <w:sz w:val="22"/>
        </w:rPr>
        <w:t>/L)</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475"/>
        <w:gridCol w:w="1085"/>
        <w:gridCol w:w="1368"/>
        <w:gridCol w:w="1368"/>
        <w:gridCol w:w="1368"/>
        <w:gridCol w:w="1452"/>
        <w:gridCol w:w="1495"/>
      </w:tblGrid>
      <w:tr>
        <w:trPr>
          <w:trHeight w:val="312" w:hRule="exact"/>
        </w:trPr>
        <w:tc>
          <w:tcPr>
            <w:tcW w:w="10258" w:type="dxa"/>
            <w:gridSpan w:val="9"/>
          </w:tcPr>
          <w:p>
            <w:pPr>
              <w:pStyle w:val="TableParagraph"/>
              <w:spacing w:before="21"/>
              <w:ind w:left="4149" w:right="4147"/>
              <w:jc w:val="center"/>
              <w:rPr>
                <w:sz w:val="22"/>
              </w:rPr>
            </w:pPr>
            <w:r>
              <w:rPr>
                <w:sz w:val="22"/>
              </w:rPr>
              <w:t>Punto de Muestreo A</w:t>
            </w:r>
          </w:p>
        </w:tc>
      </w:tr>
      <w:tr>
        <w:trPr>
          <w:trHeight w:val="310" w:hRule="exact"/>
        </w:trPr>
        <w:tc>
          <w:tcPr>
            <w:tcW w:w="838" w:type="dxa"/>
          </w:tcPr>
          <w:p>
            <w:pPr>
              <w:pStyle w:val="TableParagraph"/>
              <w:spacing w:before="2"/>
              <w:ind w:left="19" w:right="75"/>
              <w:jc w:val="center"/>
              <w:rPr>
                <w:sz w:val="22"/>
              </w:rPr>
            </w:pPr>
            <w:r>
              <w:rPr>
                <w:sz w:val="22"/>
              </w:rPr>
              <w:t>Estrato</w:t>
            </w:r>
          </w:p>
        </w:tc>
        <w:tc>
          <w:tcPr>
            <w:tcW w:w="809" w:type="dxa"/>
          </w:tcPr>
          <w:p>
            <w:pPr>
              <w:pStyle w:val="TableParagraph"/>
              <w:spacing w:before="31"/>
              <w:ind w:left="30"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31"/>
              <w:ind w:right="123"/>
              <w:rPr>
                <w:rFonts w:ascii="Cambria Math"/>
                <w:sz w:val="16"/>
              </w:rPr>
            </w:pPr>
            <w:r>
              <w:rPr>
                <w:rFonts w:ascii="Cambria Math"/>
                <w:w w:val="105"/>
                <w:sz w:val="22"/>
              </w:rPr>
              <w:t>n</w:t>
            </w:r>
            <w:r>
              <w:rPr>
                <w:rFonts w:ascii="Cambria Math"/>
                <w:w w:val="105"/>
                <w:position w:val="-4"/>
                <w:sz w:val="16"/>
              </w:rPr>
              <w:t>h</w:t>
            </w:r>
          </w:p>
        </w:tc>
        <w:tc>
          <w:tcPr>
            <w:tcW w:w="1085" w:type="dxa"/>
          </w:tcPr>
          <w:p>
            <w:pPr>
              <w:pStyle w:val="TableParagraph"/>
              <w:spacing w:before="31"/>
              <w:ind w:left="403" w:right="416"/>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368" w:type="dxa"/>
          </w:tcPr>
          <w:p>
            <w:pPr>
              <w:pStyle w:val="TableParagraph"/>
              <w:spacing w:line="211" w:lineRule="exact" w:before="0"/>
              <w:ind w:left="488" w:right="49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68" w:type="dxa"/>
          </w:tcPr>
          <w:p>
            <w:pPr>
              <w:pStyle w:val="TableParagraph"/>
              <w:spacing w:before="7"/>
              <w:ind w:left="488" w:right="49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68" w:type="dxa"/>
          </w:tcPr>
          <w:p>
            <w:pPr>
              <w:pStyle w:val="TableParagraph"/>
              <w:spacing w:before="31"/>
              <w:ind w:left="488" w:right="499"/>
              <w:jc w:val="center"/>
              <w:rPr>
                <w:rFonts w:ascii="Cambria Math"/>
                <w:sz w:val="16"/>
              </w:rPr>
            </w:pPr>
            <w:r>
              <w:rPr>
                <w:rFonts w:ascii="Cambria Math"/>
                <w:w w:val="110"/>
                <w:sz w:val="22"/>
              </w:rPr>
              <w:t>s</w:t>
            </w:r>
            <w:r>
              <w:rPr>
                <w:rFonts w:ascii="Cambria Math"/>
                <w:w w:val="110"/>
                <w:position w:val="-4"/>
                <w:sz w:val="16"/>
              </w:rPr>
              <w:t>h</w:t>
            </w:r>
          </w:p>
        </w:tc>
        <w:tc>
          <w:tcPr>
            <w:tcW w:w="1452" w:type="dxa"/>
          </w:tcPr>
          <w:p>
            <w:pPr>
              <w:pStyle w:val="TableParagraph"/>
              <w:spacing w:line="326" w:lineRule="exact" w:before="0"/>
              <w:ind w:left="39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95" w:type="dxa"/>
          </w:tcPr>
          <w:p>
            <w:pPr>
              <w:pStyle w:val="TableParagraph"/>
              <w:spacing w:line="326" w:lineRule="exact" w:before="0"/>
              <w:ind w:left="39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2"/>
              <w:ind w:right="1"/>
              <w:jc w:val="center"/>
              <w:rPr>
                <w:sz w:val="22"/>
              </w:rPr>
            </w:pPr>
            <w:r>
              <w:rPr>
                <w:w w:val="100"/>
                <w:sz w:val="22"/>
              </w:rPr>
              <w:t>1</w:t>
            </w:r>
          </w:p>
        </w:tc>
        <w:tc>
          <w:tcPr>
            <w:tcW w:w="809" w:type="dxa"/>
          </w:tcPr>
          <w:p>
            <w:pPr>
              <w:pStyle w:val="TableParagraph"/>
              <w:spacing w:before="19"/>
              <w:ind w:left="59" w:right="5"/>
              <w:jc w:val="center"/>
              <w:rPr>
                <w:sz w:val="22"/>
              </w:rPr>
            </w:pPr>
            <w:r>
              <w:rPr>
                <w:sz w:val="22"/>
              </w:rPr>
              <w:t>108,60</w:t>
            </w:r>
          </w:p>
        </w:tc>
        <w:tc>
          <w:tcPr>
            <w:tcW w:w="475" w:type="dxa"/>
          </w:tcPr>
          <w:p>
            <w:pPr>
              <w:pStyle w:val="TableParagraph"/>
              <w:spacing w:before="19"/>
              <w:rPr>
                <w:sz w:val="22"/>
              </w:rPr>
            </w:pPr>
            <w:r>
              <w:rPr>
                <w:sz w:val="22"/>
              </w:rPr>
              <w:t>108</w:t>
            </w:r>
          </w:p>
        </w:tc>
        <w:tc>
          <w:tcPr>
            <w:tcW w:w="1085" w:type="dxa"/>
          </w:tcPr>
          <w:p>
            <w:pPr>
              <w:pStyle w:val="TableParagraph"/>
              <w:spacing w:before="19"/>
              <w:rPr>
                <w:sz w:val="22"/>
              </w:rPr>
            </w:pPr>
            <w:r>
              <w:rPr>
                <w:sz w:val="22"/>
              </w:rPr>
              <w:t>0,122800</w:t>
            </w:r>
          </w:p>
        </w:tc>
        <w:tc>
          <w:tcPr>
            <w:tcW w:w="1368" w:type="dxa"/>
          </w:tcPr>
          <w:p>
            <w:pPr>
              <w:pStyle w:val="TableParagraph"/>
              <w:spacing w:before="19"/>
              <w:rPr>
                <w:sz w:val="22"/>
              </w:rPr>
            </w:pPr>
            <w:r>
              <w:rPr>
                <w:sz w:val="22"/>
              </w:rPr>
              <w:t>0,0002347</w:t>
            </w:r>
          </w:p>
        </w:tc>
        <w:tc>
          <w:tcPr>
            <w:tcW w:w="1368" w:type="dxa"/>
          </w:tcPr>
          <w:p>
            <w:pPr>
              <w:pStyle w:val="TableParagraph"/>
              <w:spacing w:before="19"/>
              <w:rPr>
                <w:sz w:val="22"/>
              </w:rPr>
            </w:pPr>
            <w:r>
              <w:rPr>
                <w:sz w:val="22"/>
              </w:rPr>
              <w:t>13,33608</w:t>
            </w:r>
          </w:p>
        </w:tc>
        <w:tc>
          <w:tcPr>
            <w:tcW w:w="1368" w:type="dxa"/>
          </w:tcPr>
          <w:p>
            <w:pPr>
              <w:pStyle w:val="TableParagraph"/>
              <w:spacing w:before="19"/>
              <w:rPr>
                <w:sz w:val="22"/>
              </w:rPr>
            </w:pPr>
            <w:r>
              <w:rPr>
                <w:sz w:val="22"/>
              </w:rPr>
              <w:t>0,01531992</w:t>
            </w:r>
          </w:p>
        </w:tc>
        <w:tc>
          <w:tcPr>
            <w:tcW w:w="1452" w:type="dxa"/>
          </w:tcPr>
          <w:p>
            <w:pPr>
              <w:pStyle w:val="TableParagraph"/>
              <w:spacing w:before="19"/>
              <w:rPr>
                <w:sz w:val="22"/>
              </w:rPr>
            </w:pPr>
            <w:r>
              <w:rPr>
                <w:sz w:val="22"/>
              </w:rPr>
              <w:t>-0,00856885</w:t>
            </w:r>
          </w:p>
        </w:tc>
        <w:tc>
          <w:tcPr>
            <w:tcW w:w="1495" w:type="dxa"/>
          </w:tcPr>
          <w:p>
            <w:pPr>
              <w:pStyle w:val="TableParagraph"/>
              <w:spacing w:before="19"/>
              <w:rPr>
                <w:sz w:val="22"/>
              </w:rPr>
            </w:pPr>
            <w:r>
              <w:rPr>
                <w:sz w:val="22"/>
              </w:rPr>
              <w:t>-1,7731E-08</w:t>
            </w:r>
          </w:p>
        </w:tc>
      </w:tr>
      <w:tr>
        <w:trPr>
          <w:trHeight w:val="310" w:hRule="exact"/>
        </w:trPr>
        <w:tc>
          <w:tcPr>
            <w:tcW w:w="838" w:type="dxa"/>
          </w:tcPr>
          <w:p>
            <w:pPr>
              <w:pStyle w:val="TableParagraph"/>
              <w:spacing w:before="4"/>
              <w:ind w:right="1"/>
              <w:jc w:val="center"/>
              <w:rPr>
                <w:sz w:val="22"/>
              </w:rPr>
            </w:pPr>
            <w:r>
              <w:rPr>
                <w:w w:val="100"/>
                <w:sz w:val="22"/>
              </w:rPr>
              <w:t>2</w:t>
            </w:r>
          </w:p>
        </w:tc>
        <w:tc>
          <w:tcPr>
            <w:tcW w:w="809" w:type="dxa"/>
          </w:tcPr>
          <w:p>
            <w:pPr>
              <w:pStyle w:val="TableParagraph"/>
              <w:spacing w:before="19"/>
              <w:ind w:left="59" w:right="5"/>
              <w:jc w:val="center"/>
              <w:rPr>
                <w:sz w:val="22"/>
              </w:rPr>
            </w:pPr>
            <w:r>
              <w:rPr>
                <w:sz w:val="22"/>
              </w:rPr>
              <w:t>121,03</w:t>
            </w:r>
          </w:p>
        </w:tc>
        <w:tc>
          <w:tcPr>
            <w:tcW w:w="475" w:type="dxa"/>
          </w:tcPr>
          <w:p>
            <w:pPr>
              <w:pStyle w:val="TableParagraph"/>
              <w:spacing w:before="19"/>
              <w:rPr>
                <w:sz w:val="22"/>
              </w:rPr>
            </w:pPr>
            <w:r>
              <w:rPr>
                <w:sz w:val="22"/>
              </w:rPr>
              <w:t>81</w:t>
            </w:r>
          </w:p>
        </w:tc>
        <w:tc>
          <w:tcPr>
            <w:tcW w:w="1085" w:type="dxa"/>
          </w:tcPr>
          <w:p>
            <w:pPr>
              <w:pStyle w:val="TableParagraph"/>
              <w:spacing w:before="19"/>
              <w:rPr>
                <w:sz w:val="22"/>
              </w:rPr>
            </w:pPr>
            <w:r>
              <w:rPr>
                <w:sz w:val="22"/>
              </w:rPr>
              <w:t>0,156200</w:t>
            </w:r>
          </w:p>
        </w:tc>
        <w:tc>
          <w:tcPr>
            <w:tcW w:w="1368" w:type="dxa"/>
          </w:tcPr>
          <w:p>
            <w:pPr>
              <w:pStyle w:val="TableParagraph"/>
              <w:spacing w:before="19"/>
              <w:rPr>
                <w:sz w:val="22"/>
              </w:rPr>
            </w:pPr>
            <w:r>
              <w:rPr>
                <w:sz w:val="22"/>
              </w:rPr>
              <w:t>0,0066097</w:t>
            </w:r>
          </w:p>
        </w:tc>
        <w:tc>
          <w:tcPr>
            <w:tcW w:w="1368" w:type="dxa"/>
          </w:tcPr>
          <w:p>
            <w:pPr>
              <w:pStyle w:val="TableParagraph"/>
              <w:spacing w:before="19"/>
              <w:rPr>
                <w:sz w:val="22"/>
              </w:rPr>
            </w:pPr>
            <w:r>
              <w:rPr>
                <w:sz w:val="22"/>
              </w:rPr>
              <w:t>18,904886</w:t>
            </w:r>
          </w:p>
        </w:tc>
        <w:tc>
          <w:tcPr>
            <w:tcW w:w="1368" w:type="dxa"/>
          </w:tcPr>
          <w:p>
            <w:pPr>
              <w:pStyle w:val="TableParagraph"/>
              <w:spacing w:before="19"/>
              <w:rPr>
                <w:sz w:val="22"/>
              </w:rPr>
            </w:pPr>
            <w:r>
              <w:rPr>
                <w:sz w:val="22"/>
              </w:rPr>
              <w:t>0,08130006</w:t>
            </w:r>
          </w:p>
        </w:tc>
        <w:tc>
          <w:tcPr>
            <w:tcW w:w="1452" w:type="dxa"/>
          </w:tcPr>
          <w:p>
            <w:pPr>
              <w:pStyle w:val="TableParagraph"/>
              <w:spacing w:before="19"/>
              <w:rPr>
                <w:sz w:val="22"/>
              </w:rPr>
            </w:pPr>
            <w:r>
              <w:rPr>
                <w:sz w:val="22"/>
              </w:rPr>
              <w:t>0,39593475</w:t>
            </w:r>
          </w:p>
        </w:tc>
        <w:tc>
          <w:tcPr>
            <w:tcW w:w="1495" w:type="dxa"/>
          </w:tcPr>
          <w:p>
            <w:pPr>
              <w:pStyle w:val="TableParagraph"/>
              <w:spacing w:before="19"/>
              <w:rPr>
                <w:sz w:val="22"/>
              </w:rPr>
            </w:pPr>
            <w:r>
              <w:rPr>
                <w:sz w:val="22"/>
              </w:rPr>
              <w:t>8,193E-07</w:t>
            </w:r>
          </w:p>
        </w:tc>
      </w:tr>
      <w:tr>
        <w:trPr>
          <w:trHeight w:val="310" w:hRule="exact"/>
        </w:trPr>
        <w:tc>
          <w:tcPr>
            <w:tcW w:w="838" w:type="dxa"/>
          </w:tcPr>
          <w:p>
            <w:pPr>
              <w:pStyle w:val="TableParagraph"/>
              <w:spacing w:before="4"/>
              <w:ind w:right="1"/>
              <w:jc w:val="center"/>
              <w:rPr>
                <w:sz w:val="22"/>
              </w:rPr>
            </w:pPr>
            <w:r>
              <w:rPr>
                <w:w w:val="100"/>
                <w:sz w:val="22"/>
              </w:rPr>
              <w:t>3</w:t>
            </w:r>
          </w:p>
        </w:tc>
        <w:tc>
          <w:tcPr>
            <w:tcW w:w="809" w:type="dxa"/>
          </w:tcPr>
          <w:p>
            <w:pPr>
              <w:pStyle w:val="TableParagraph"/>
              <w:spacing w:before="19"/>
              <w:ind w:left="59" w:right="5"/>
              <w:jc w:val="center"/>
              <w:rPr>
                <w:sz w:val="22"/>
              </w:rPr>
            </w:pPr>
            <w:r>
              <w:rPr>
                <w:sz w:val="22"/>
              </w:rPr>
              <w:t>130,21</w:t>
            </w:r>
          </w:p>
        </w:tc>
        <w:tc>
          <w:tcPr>
            <w:tcW w:w="475" w:type="dxa"/>
          </w:tcPr>
          <w:p>
            <w:pPr>
              <w:pStyle w:val="TableParagraph"/>
              <w:spacing w:before="19"/>
              <w:rPr>
                <w:sz w:val="22"/>
              </w:rPr>
            </w:pPr>
            <w:r>
              <w:rPr>
                <w:sz w:val="22"/>
              </w:rPr>
              <w:t>77</w:t>
            </w:r>
          </w:p>
        </w:tc>
        <w:tc>
          <w:tcPr>
            <w:tcW w:w="1085" w:type="dxa"/>
          </w:tcPr>
          <w:p>
            <w:pPr>
              <w:pStyle w:val="TableParagraph"/>
              <w:spacing w:before="19"/>
              <w:rPr>
                <w:sz w:val="22"/>
              </w:rPr>
            </w:pPr>
            <w:r>
              <w:rPr>
                <w:sz w:val="22"/>
              </w:rPr>
              <w:t>0,317200</w:t>
            </w:r>
          </w:p>
        </w:tc>
        <w:tc>
          <w:tcPr>
            <w:tcW w:w="1368" w:type="dxa"/>
          </w:tcPr>
          <w:p>
            <w:pPr>
              <w:pStyle w:val="TableParagraph"/>
              <w:spacing w:before="19"/>
              <w:rPr>
                <w:sz w:val="22"/>
              </w:rPr>
            </w:pPr>
            <w:r>
              <w:rPr>
                <w:sz w:val="22"/>
              </w:rPr>
              <w:t>0,0905487</w:t>
            </w:r>
          </w:p>
        </w:tc>
        <w:tc>
          <w:tcPr>
            <w:tcW w:w="1368" w:type="dxa"/>
          </w:tcPr>
          <w:p>
            <w:pPr>
              <w:pStyle w:val="TableParagraph"/>
              <w:spacing w:before="19"/>
              <w:rPr>
                <w:sz w:val="22"/>
              </w:rPr>
            </w:pPr>
            <w:r>
              <w:rPr>
                <w:sz w:val="22"/>
              </w:rPr>
              <w:t>41,302612</w:t>
            </w:r>
          </w:p>
        </w:tc>
        <w:tc>
          <w:tcPr>
            <w:tcW w:w="1368" w:type="dxa"/>
          </w:tcPr>
          <w:p>
            <w:pPr>
              <w:pStyle w:val="TableParagraph"/>
              <w:spacing w:before="19"/>
              <w:rPr>
                <w:sz w:val="22"/>
              </w:rPr>
            </w:pPr>
            <w:r>
              <w:rPr>
                <w:sz w:val="22"/>
              </w:rPr>
              <w:t>0,30091311</w:t>
            </w:r>
          </w:p>
        </w:tc>
        <w:tc>
          <w:tcPr>
            <w:tcW w:w="1452" w:type="dxa"/>
          </w:tcPr>
          <w:p>
            <w:pPr>
              <w:pStyle w:val="TableParagraph"/>
              <w:spacing w:before="19"/>
              <w:rPr>
                <w:sz w:val="22"/>
              </w:rPr>
            </w:pPr>
            <w:r>
              <w:rPr>
                <w:sz w:val="22"/>
              </w:rPr>
              <w:t>8,26741419</w:t>
            </w:r>
          </w:p>
        </w:tc>
        <w:tc>
          <w:tcPr>
            <w:tcW w:w="1495" w:type="dxa"/>
          </w:tcPr>
          <w:p>
            <w:pPr>
              <w:pStyle w:val="TableParagraph"/>
              <w:spacing w:before="19"/>
              <w:rPr>
                <w:sz w:val="22"/>
              </w:rPr>
            </w:pPr>
            <w:r>
              <w:rPr>
                <w:sz w:val="22"/>
              </w:rPr>
              <w:t>1,7108E-05</w:t>
            </w:r>
          </w:p>
        </w:tc>
      </w:tr>
      <w:tr>
        <w:trPr>
          <w:trHeight w:val="310" w:hRule="exact"/>
        </w:trPr>
        <w:tc>
          <w:tcPr>
            <w:tcW w:w="838" w:type="dxa"/>
          </w:tcPr>
          <w:p>
            <w:pPr>
              <w:pStyle w:val="TableParagraph"/>
              <w:spacing w:before="4"/>
              <w:ind w:right="1"/>
              <w:jc w:val="center"/>
              <w:rPr>
                <w:sz w:val="22"/>
              </w:rPr>
            </w:pPr>
            <w:r>
              <w:rPr>
                <w:w w:val="100"/>
                <w:sz w:val="22"/>
              </w:rPr>
              <w:t>4</w:t>
            </w:r>
          </w:p>
        </w:tc>
        <w:tc>
          <w:tcPr>
            <w:tcW w:w="809" w:type="dxa"/>
          </w:tcPr>
          <w:p>
            <w:pPr>
              <w:pStyle w:val="TableParagraph"/>
              <w:spacing w:before="19"/>
              <w:ind w:left="59" w:right="5"/>
              <w:jc w:val="center"/>
              <w:rPr>
                <w:sz w:val="22"/>
              </w:rPr>
            </w:pPr>
            <w:r>
              <w:rPr>
                <w:sz w:val="22"/>
              </w:rPr>
              <w:t>155,12</w:t>
            </w:r>
          </w:p>
        </w:tc>
        <w:tc>
          <w:tcPr>
            <w:tcW w:w="475" w:type="dxa"/>
          </w:tcPr>
          <w:p>
            <w:pPr>
              <w:pStyle w:val="TableParagraph"/>
              <w:spacing w:before="19"/>
              <w:rPr>
                <w:sz w:val="22"/>
              </w:rPr>
            </w:pPr>
            <w:r>
              <w:rPr>
                <w:sz w:val="22"/>
              </w:rPr>
              <w:t>92</w:t>
            </w:r>
          </w:p>
        </w:tc>
        <w:tc>
          <w:tcPr>
            <w:tcW w:w="1085" w:type="dxa"/>
          </w:tcPr>
          <w:p>
            <w:pPr>
              <w:pStyle w:val="TableParagraph"/>
              <w:spacing w:before="19"/>
              <w:rPr>
                <w:sz w:val="22"/>
              </w:rPr>
            </w:pPr>
            <w:r>
              <w:rPr>
                <w:sz w:val="22"/>
              </w:rPr>
              <w:t>0,137000</w:t>
            </w:r>
          </w:p>
        </w:tc>
        <w:tc>
          <w:tcPr>
            <w:tcW w:w="1368" w:type="dxa"/>
          </w:tcPr>
          <w:p>
            <w:pPr>
              <w:pStyle w:val="TableParagraph"/>
              <w:spacing w:before="19"/>
              <w:rPr>
                <w:sz w:val="22"/>
              </w:rPr>
            </w:pPr>
            <w:r>
              <w:rPr>
                <w:sz w:val="22"/>
              </w:rPr>
              <w:t>0,0008845</w:t>
            </w:r>
          </w:p>
        </w:tc>
        <w:tc>
          <w:tcPr>
            <w:tcW w:w="1368" w:type="dxa"/>
          </w:tcPr>
          <w:p>
            <w:pPr>
              <w:pStyle w:val="TableParagraph"/>
              <w:spacing w:before="19"/>
              <w:rPr>
                <w:sz w:val="22"/>
              </w:rPr>
            </w:pPr>
            <w:r>
              <w:rPr>
                <w:sz w:val="22"/>
              </w:rPr>
              <w:t>21,25144</w:t>
            </w:r>
          </w:p>
        </w:tc>
        <w:tc>
          <w:tcPr>
            <w:tcW w:w="1368" w:type="dxa"/>
          </w:tcPr>
          <w:p>
            <w:pPr>
              <w:pStyle w:val="TableParagraph"/>
              <w:spacing w:before="19"/>
              <w:rPr>
                <w:sz w:val="22"/>
              </w:rPr>
            </w:pPr>
            <w:r>
              <w:rPr>
                <w:sz w:val="22"/>
              </w:rPr>
              <w:t>0,02974054</w:t>
            </w:r>
          </w:p>
        </w:tc>
        <w:tc>
          <w:tcPr>
            <w:tcW w:w="1452" w:type="dxa"/>
          </w:tcPr>
          <w:p>
            <w:pPr>
              <w:pStyle w:val="TableParagraph"/>
              <w:spacing w:before="19"/>
              <w:rPr>
                <w:sz w:val="22"/>
              </w:rPr>
            </w:pPr>
            <w:r>
              <w:rPr>
                <w:sz w:val="22"/>
              </w:rPr>
              <w:t>0,09461238</w:t>
            </w:r>
          </w:p>
        </w:tc>
        <w:tc>
          <w:tcPr>
            <w:tcW w:w="1495" w:type="dxa"/>
          </w:tcPr>
          <w:p>
            <w:pPr>
              <w:pStyle w:val="TableParagraph"/>
              <w:spacing w:before="19"/>
              <w:rPr>
                <w:sz w:val="22"/>
              </w:rPr>
            </w:pPr>
            <w:r>
              <w:rPr>
                <w:sz w:val="22"/>
              </w:rPr>
              <w:t>1,9578E-07</w:t>
            </w:r>
          </w:p>
        </w:tc>
      </w:tr>
      <w:tr>
        <w:trPr>
          <w:trHeight w:val="312" w:hRule="exact"/>
        </w:trPr>
        <w:tc>
          <w:tcPr>
            <w:tcW w:w="838" w:type="dxa"/>
          </w:tcPr>
          <w:p>
            <w:pPr>
              <w:pStyle w:val="TableParagraph"/>
              <w:spacing w:before="4"/>
              <w:ind w:right="1"/>
              <w:jc w:val="center"/>
              <w:rPr>
                <w:sz w:val="22"/>
              </w:rPr>
            </w:pPr>
            <w:r>
              <w:rPr>
                <w:w w:val="100"/>
                <w:sz w:val="22"/>
              </w:rPr>
              <w:t>5</w:t>
            </w:r>
          </w:p>
        </w:tc>
        <w:tc>
          <w:tcPr>
            <w:tcW w:w="809" w:type="dxa"/>
          </w:tcPr>
          <w:p>
            <w:pPr>
              <w:pStyle w:val="TableParagraph"/>
              <w:spacing w:before="21"/>
              <w:ind w:left="59" w:right="5"/>
              <w:jc w:val="center"/>
              <w:rPr>
                <w:sz w:val="22"/>
              </w:rPr>
            </w:pPr>
            <w:r>
              <w:rPr>
                <w:sz w:val="22"/>
              </w:rPr>
              <w:t>180,21</w:t>
            </w:r>
          </w:p>
        </w:tc>
        <w:tc>
          <w:tcPr>
            <w:tcW w:w="475" w:type="dxa"/>
          </w:tcPr>
          <w:p>
            <w:pPr>
              <w:pStyle w:val="TableParagraph"/>
              <w:spacing w:before="21"/>
              <w:rPr>
                <w:sz w:val="22"/>
              </w:rPr>
            </w:pPr>
            <w:r>
              <w:rPr>
                <w:sz w:val="22"/>
              </w:rPr>
              <w:t>132</w:t>
            </w:r>
          </w:p>
        </w:tc>
        <w:tc>
          <w:tcPr>
            <w:tcW w:w="1085" w:type="dxa"/>
          </w:tcPr>
          <w:p>
            <w:pPr>
              <w:pStyle w:val="TableParagraph"/>
              <w:spacing w:before="21"/>
              <w:rPr>
                <w:sz w:val="22"/>
              </w:rPr>
            </w:pPr>
            <w:r>
              <w:rPr>
                <w:sz w:val="22"/>
              </w:rPr>
              <w:t>0,492833</w:t>
            </w:r>
          </w:p>
        </w:tc>
        <w:tc>
          <w:tcPr>
            <w:tcW w:w="1368" w:type="dxa"/>
          </w:tcPr>
          <w:p>
            <w:pPr>
              <w:pStyle w:val="TableParagraph"/>
              <w:spacing w:before="21"/>
              <w:rPr>
                <w:sz w:val="22"/>
              </w:rPr>
            </w:pPr>
            <w:r>
              <w:rPr>
                <w:sz w:val="22"/>
              </w:rPr>
              <w:t>0,10291177</w:t>
            </w:r>
          </w:p>
        </w:tc>
        <w:tc>
          <w:tcPr>
            <w:tcW w:w="1368" w:type="dxa"/>
          </w:tcPr>
          <w:p>
            <w:pPr>
              <w:pStyle w:val="TableParagraph"/>
              <w:spacing w:before="21"/>
              <w:rPr>
                <w:sz w:val="22"/>
              </w:rPr>
            </w:pPr>
            <w:r>
              <w:rPr>
                <w:sz w:val="22"/>
              </w:rPr>
              <w:t>88,813495</w:t>
            </w:r>
          </w:p>
        </w:tc>
        <w:tc>
          <w:tcPr>
            <w:tcW w:w="1368" w:type="dxa"/>
          </w:tcPr>
          <w:p>
            <w:pPr>
              <w:pStyle w:val="TableParagraph"/>
              <w:spacing w:before="21"/>
              <w:rPr>
                <w:sz w:val="22"/>
              </w:rPr>
            </w:pPr>
            <w:r>
              <w:rPr>
                <w:sz w:val="22"/>
              </w:rPr>
              <w:t>0,32079864</w:t>
            </w:r>
          </w:p>
        </w:tc>
        <w:tc>
          <w:tcPr>
            <w:tcW w:w="1452" w:type="dxa"/>
          </w:tcPr>
          <w:p>
            <w:pPr>
              <w:pStyle w:val="TableParagraph"/>
              <w:spacing w:before="21"/>
              <w:rPr>
                <w:sz w:val="22"/>
              </w:rPr>
            </w:pPr>
            <w:r>
              <w:rPr>
                <w:sz w:val="22"/>
              </w:rPr>
              <w:t>6,76573605</w:t>
            </w:r>
          </w:p>
        </w:tc>
        <w:tc>
          <w:tcPr>
            <w:tcW w:w="1495" w:type="dxa"/>
          </w:tcPr>
          <w:p>
            <w:pPr>
              <w:pStyle w:val="TableParagraph"/>
              <w:spacing w:before="21"/>
              <w:rPr>
                <w:sz w:val="22"/>
              </w:rPr>
            </w:pPr>
            <w:r>
              <w:rPr>
                <w:sz w:val="22"/>
              </w:rPr>
              <w:t>1,4E-05</w:t>
            </w:r>
          </w:p>
        </w:tc>
      </w:tr>
      <w:tr>
        <w:trPr>
          <w:trHeight w:val="310" w:hRule="exact"/>
        </w:trPr>
        <w:tc>
          <w:tcPr>
            <w:tcW w:w="838" w:type="dxa"/>
          </w:tcPr>
          <w:p>
            <w:pPr>
              <w:pStyle w:val="TableParagraph"/>
              <w:spacing w:before="2"/>
              <w:ind w:right="0"/>
              <w:jc w:val="center"/>
              <w:rPr>
                <w:sz w:val="22"/>
              </w:rPr>
            </w:pPr>
            <w:r>
              <w:rPr>
                <w:w w:val="100"/>
                <w:sz w:val="22"/>
              </w:rPr>
              <w:t>N</w:t>
            </w:r>
          </w:p>
        </w:tc>
        <w:tc>
          <w:tcPr>
            <w:tcW w:w="809" w:type="dxa"/>
          </w:tcPr>
          <w:p>
            <w:pPr>
              <w:pStyle w:val="TableParagraph"/>
              <w:spacing w:before="19"/>
              <w:ind w:left="59" w:right="5"/>
              <w:jc w:val="center"/>
              <w:rPr>
                <w:sz w:val="22"/>
              </w:rPr>
            </w:pPr>
            <w:r>
              <w:rPr>
                <w:sz w:val="22"/>
              </w:rPr>
              <w:t>695,17</w:t>
            </w:r>
          </w:p>
        </w:tc>
        <w:tc>
          <w:tcPr>
            <w:tcW w:w="475" w:type="dxa"/>
          </w:tcPr>
          <w:p>
            <w:pPr/>
          </w:p>
        </w:tc>
        <w:tc>
          <w:tcPr>
            <w:tcW w:w="1085" w:type="dxa"/>
          </w:tcPr>
          <w:p>
            <w:pPr/>
          </w:p>
        </w:tc>
        <w:tc>
          <w:tcPr>
            <w:tcW w:w="1368" w:type="dxa"/>
          </w:tcPr>
          <w:p>
            <w:pPr>
              <w:pStyle w:val="TableParagraph"/>
              <w:spacing w:line="302" w:lineRule="exact" w:before="0"/>
              <w:ind w:left="488" w:right="49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68" w:type="dxa"/>
          </w:tcPr>
          <w:p>
            <w:pPr>
              <w:pStyle w:val="TableParagraph"/>
              <w:spacing w:before="19"/>
              <w:rPr>
                <w:sz w:val="22"/>
              </w:rPr>
            </w:pPr>
            <w:r>
              <w:rPr>
                <w:sz w:val="22"/>
              </w:rPr>
              <w:t>183,608513</w:t>
            </w:r>
          </w:p>
        </w:tc>
        <w:tc>
          <w:tcPr>
            <w:tcW w:w="1368" w:type="dxa"/>
          </w:tcPr>
          <w:p>
            <w:pPr/>
          </w:p>
        </w:tc>
        <w:tc>
          <w:tcPr>
            <w:tcW w:w="1452" w:type="dxa"/>
          </w:tcPr>
          <w:p>
            <w:pPr>
              <w:pStyle w:val="TableParagraph"/>
              <w:spacing w:before="19"/>
              <w:rPr>
                <w:sz w:val="22"/>
              </w:rPr>
            </w:pPr>
            <w:r>
              <w:rPr>
                <w:sz w:val="22"/>
              </w:rPr>
              <w:t>15,5151285</w:t>
            </w:r>
          </w:p>
        </w:tc>
        <w:tc>
          <w:tcPr>
            <w:tcW w:w="1495" w:type="dxa"/>
          </w:tcPr>
          <w:p>
            <w:pPr>
              <w:pStyle w:val="TableParagraph"/>
              <w:spacing w:before="19"/>
              <w:rPr>
                <w:sz w:val="22"/>
              </w:rPr>
            </w:pPr>
            <w:r>
              <w:rPr>
                <w:sz w:val="22"/>
              </w:rPr>
              <w:t>3,2105E-05</w:t>
            </w:r>
          </w:p>
        </w:tc>
      </w:tr>
      <w:tr>
        <w:trPr>
          <w:trHeight w:val="310" w:hRule="exact"/>
        </w:trPr>
        <w:tc>
          <w:tcPr>
            <w:tcW w:w="5942" w:type="dxa"/>
            <w:gridSpan w:val="6"/>
            <w:vMerge w:val="restart"/>
            <w:tcBorders>
              <w:left w:val="nil"/>
            </w:tcBorders>
          </w:tcPr>
          <w:p>
            <w:pPr/>
          </w:p>
        </w:tc>
        <w:tc>
          <w:tcPr>
            <w:tcW w:w="2820" w:type="dxa"/>
            <w:gridSpan w:val="2"/>
          </w:tcPr>
          <w:p>
            <w:pPr>
              <w:pStyle w:val="TableParagraph"/>
              <w:spacing w:before="2"/>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95" w:type="dxa"/>
          </w:tcPr>
          <w:p>
            <w:pPr>
              <w:pStyle w:val="TableParagraph"/>
              <w:spacing w:before="19"/>
              <w:rPr>
                <w:b/>
                <w:sz w:val="22"/>
              </w:rPr>
            </w:pPr>
            <w:r>
              <w:rPr>
                <w:b/>
                <w:sz w:val="22"/>
              </w:rPr>
              <w:t>0,264</w:t>
            </w:r>
          </w:p>
        </w:tc>
      </w:tr>
      <w:tr>
        <w:trPr>
          <w:trHeight w:val="310" w:hRule="exact"/>
        </w:trPr>
        <w:tc>
          <w:tcPr>
            <w:tcW w:w="5942" w:type="dxa"/>
            <w:gridSpan w:val="6"/>
            <w:vMerge/>
            <w:tcBorders>
              <w:left w:val="nil"/>
            </w:tcBorders>
          </w:tcPr>
          <w:p>
            <w:pPr/>
          </w:p>
        </w:tc>
        <w:tc>
          <w:tcPr>
            <w:tcW w:w="2820" w:type="dxa"/>
            <w:gridSpan w:val="2"/>
          </w:tcPr>
          <w:p>
            <w:pPr>
              <w:pStyle w:val="TableParagraph"/>
              <w:spacing w:before="4"/>
              <w:ind w:left="64" w:right="0"/>
              <w:jc w:val="left"/>
              <w:rPr>
                <w:sz w:val="22"/>
              </w:rPr>
            </w:pPr>
            <w:r>
              <w:rPr>
                <w:sz w:val="22"/>
              </w:rPr>
              <w:t>Desviación estándar</w:t>
            </w:r>
          </w:p>
        </w:tc>
        <w:tc>
          <w:tcPr>
            <w:tcW w:w="1495" w:type="dxa"/>
          </w:tcPr>
          <w:p>
            <w:pPr>
              <w:pStyle w:val="TableParagraph"/>
              <w:spacing w:before="19"/>
              <w:rPr>
                <w:b/>
                <w:sz w:val="22"/>
              </w:rPr>
            </w:pPr>
            <w:r>
              <w:rPr>
                <w:b/>
                <w:sz w:val="22"/>
              </w:rPr>
              <w:t>0,0057</w:t>
            </w:r>
          </w:p>
        </w:tc>
      </w:tr>
      <w:tr>
        <w:trPr>
          <w:trHeight w:val="310" w:hRule="exact"/>
        </w:trPr>
        <w:tc>
          <w:tcPr>
            <w:tcW w:w="5942" w:type="dxa"/>
            <w:gridSpan w:val="6"/>
            <w:vMerge/>
            <w:tcBorders>
              <w:left w:val="nil"/>
            </w:tcBorders>
          </w:tcPr>
          <w:p>
            <w:pPr/>
          </w:p>
        </w:tc>
        <w:tc>
          <w:tcPr>
            <w:tcW w:w="2820" w:type="dxa"/>
            <w:gridSpan w:val="2"/>
            <w:vMerge w:val="restart"/>
          </w:tcPr>
          <w:p>
            <w:pPr>
              <w:pStyle w:val="TableParagraph"/>
              <w:spacing w:before="158"/>
              <w:ind w:left="64" w:right="0"/>
              <w:jc w:val="left"/>
              <w:rPr>
                <w:sz w:val="22"/>
              </w:rPr>
            </w:pPr>
            <w:r>
              <w:rPr>
                <w:sz w:val="22"/>
              </w:rPr>
              <w:t>Intervalo de confianza al 95 %</w:t>
            </w:r>
          </w:p>
        </w:tc>
        <w:tc>
          <w:tcPr>
            <w:tcW w:w="1495" w:type="dxa"/>
          </w:tcPr>
          <w:p>
            <w:pPr>
              <w:pStyle w:val="TableParagraph"/>
              <w:spacing w:before="19"/>
              <w:rPr>
                <w:sz w:val="22"/>
              </w:rPr>
            </w:pPr>
            <w:r>
              <w:rPr>
                <w:sz w:val="22"/>
              </w:rPr>
              <w:t>0,25</w:t>
            </w:r>
          </w:p>
        </w:tc>
      </w:tr>
      <w:tr>
        <w:trPr>
          <w:trHeight w:val="310" w:hRule="exact"/>
        </w:trPr>
        <w:tc>
          <w:tcPr>
            <w:tcW w:w="5942" w:type="dxa"/>
            <w:gridSpan w:val="6"/>
            <w:vMerge/>
            <w:tcBorders>
              <w:left w:val="nil"/>
              <w:bottom w:val="nil"/>
            </w:tcBorders>
          </w:tcPr>
          <w:p>
            <w:pPr/>
          </w:p>
        </w:tc>
        <w:tc>
          <w:tcPr>
            <w:tcW w:w="2820" w:type="dxa"/>
            <w:gridSpan w:val="2"/>
            <w:vMerge/>
          </w:tcPr>
          <w:p>
            <w:pPr/>
          </w:p>
        </w:tc>
        <w:tc>
          <w:tcPr>
            <w:tcW w:w="1495" w:type="dxa"/>
          </w:tcPr>
          <w:p>
            <w:pPr>
              <w:pStyle w:val="TableParagraph"/>
              <w:spacing w:before="19"/>
              <w:rPr>
                <w:sz w:val="22"/>
              </w:rPr>
            </w:pPr>
            <w:r>
              <w:rPr>
                <w:sz w:val="22"/>
              </w:rPr>
              <w:t>0,28</w:t>
            </w:r>
          </w:p>
        </w:tc>
      </w:tr>
    </w:tbl>
    <w:p>
      <w:pPr>
        <w:pStyle w:val="BodyText"/>
        <w:spacing w:before="5"/>
        <w:rPr>
          <w:b/>
          <w:sz w:val="2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475"/>
        <w:gridCol w:w="1085"/>
        <w:gridCol w:w="1368"/>
        <w:gridCol w:w="1368"/>
        <w:gridCol w:w="1368"/>
        <w:gridCol w:w="1452"/>
        <w:gridCol w:w="1495"/>
      </w:tblGrid>
      <w:tr>
        <w:trPr>
          <w:trHeight w:val="310" w:hRule="exact"/>
        </w:trPr>
        <w:tc>
          <w:tcPr>
            <w:tcW w:w="10258" w:type="dxa"/>
            <w:gridSpan w:val="9"/>
          </w:tcPr>
          <w:p>
            <w:pPr>
              <w:pStyle w:val="TableParagraph"/>
              <w:ind w:left="4147" w:right="4147"/>
              <w:jc w:val="center"/>
              <w:rPr>
                <w:sz w:val="22"/>
              </w:rPr>
            </w:pPr>
            <w:r>
              <w:rPr>
                <w:sz w:val="22"/>
              </w:rPr>
              <w:t>Punto de Muestreo B</w:t>
            </w:r>
          </w:p>
        </w:tc>
      </w:tr>
      <w:tr>
        <w:trPr>
          <w:trHeight w:val="310" w:hRule="exact"/>
        </w:trPr>
        <w:tc>
          <w:tcPr>
            <w:tcW w:w="838" w:type="dxa"/>
          </w:tcPr>
          <w:p>
            <w:pPr>
              <w:pStyle w:val="TableParagraph"/>
              <w:spacing w:before="11"/>
              <w:ind w:left="19" w:right="75"/>
              <w:jc w:val="center"/>
              <w:rPr>
                <w:sz w:val="22"/>
              </w:rPr>
            </w:pPr>
            <w:r>
              <w:rPr>
                <w:sz w:val="22"/>
              </w:rPr>
              <w:t>Estrato</w:t>
            </w:r>
          </w:p>
        </w:tc>
        <w:tc>
          <w:tcPr>
            <w:tcW w:w="809" w:type="dxa"/>
          </w:tcPr>
          <w:p>
            <w:pPr>
              <w:pStyle w:val="TableParagraph"/>
              <w:spacing w:before="40"/>
              <w:ind w:left="30"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right="123"/>
              <w:rPr>
                <w:rFonts w:ascii="Cambria Math"/>
                <w:sz w:val="16"/>
              </w:rPr>
            </w:pPr>
            <w:r>
              <w:rPr>
                <w:rFonts w:ascii="Cambria Math"/>
                <w:w w:val="105"/>
                <w:sz w:val="22"/>
              </w:rPr>
              <w:t>n</w:t>
            </w:r>
            <w:r>
              <w:rPr>
                <w:rFonts w:ascii="Cambria Math"/>
                <w:w w:val="105"/>
                <w:position w:val="-4"/>
                <w:sz w:val="16"/>
              </w:rPr>
              <w:t>h</w:t>
            </w:r>
          </w:p>
        </w:tc>
        <w:tc>
          <w:tcPr>
            <w:tcW w:w="1085" w:type="dxa"/>
          </w:tcPr>
          <w:p>
            <w:pPr>
              <w:pStyle w:val="TableParagraph"/>
              <w:spacing w:before="40"/>
              <w:ind w:left="403" w:right="416"/>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368" w:type="dxa"/>
          </w:tcPr>
          <w:p>
            <w:pPr>
              <w:pStyle w:val="TableParagraph"/>
              <w:spacing w:line="214" w:lineRule="exact" w:before="6"/>
              <w:ind w:left="488" w:right="49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68" w:type="dxa"/>
          </w:tcPr>
          <w:p>
            <w:pPr>
              <w:pStyle w:val="TableParagraph"/>
              <w:spacing w:before="16"/>
              <w:ind w:left="488" w:right="49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68" w:type="dxa"/>
          </w:tcPr>
          <w:p>
            <w:pPr>
              <w:pStyle w:val="TableParagraph"/>
              <w:spacing w:before="40"/>
              <w:ind w:left="488" w:right="499"/>
              <w:jc w:val="center"/>
              <w:rPr>
                <w:rFonts w:ascii="Cambria Math"/>
                <w:sz w:val="16"/>
              </w:rPr>
            </w:pPr>
            <w:r>
              <w:rPr>
                <w:rFonts w:ascii="Cambria Math"/>
                <w:w w:val="110"/>
                <w:sz w:val="22"/>
              </w:rPr>
              <w:t>s</w:t>
            </w:r>
            <w:r>
              <w:rPr>
                <w:rFonts w:ascii="Cambria Math"/>
                <w:w w:val="110"/>
                <w:position w:val="-4"/>
                <w:sz w:val="16"/>
              </w:rPr>
              <w:t>h</w:t>
            </w:r>
          </w:p>
        </w:tc>
        <w:tc>
          <w:tcPr>
            <w:tcW w:w="1452" w:type="dxa"/>
          </w:tcPr>
          <w:p>
            <w:pPr>
              <w:pStyle w:val="TableParagraph"/>
              <w:spacing w:before="0"/>
              <w:ind w:left="39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95" w:type="dxa"/>
          </w:tcPr>
          <w:p>
            <w:pPr>
              <w:pStyle w:val="TableParagraph"/>
              <w:spacing w:before="0"/>
              <w:ind w:left="39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13"/>
              <w:ind w:right="1"/>
              <w:jc w:val="center"/>
              <w:rPr>
                <w:sz w:val="22"/>
              </w:rPr>
            </w:pPr>
            <w:r>
              <w:rPr>
                <w:w w:val="100"/>
                <w:sz w:val="22"/>
              </w:rPr>
              <w:t>1</w:t>
            </w:r>
          </w:p>
        </w:tc>
        <w:tc>
          <w:tcPr>
            <w:tcW w:w="809" w:type="dxa"/>
          </w:tcPr>
          <w:p>
            <w:pPr>
              <w:pStyle w:val="TableParagraph"/>
              <w:ind w:left="59" w:right="5"/>
              <w:jc w:val="center"/>
              <w:rPr>
                <w:sz w:val="22"/>
              </w:rPr>
            </w:pPr>
            <w:r>
              <w:rPr>
                <w:sz w:val="22"/>
              </w:rPr>
              <w:t>108,60</w:t>
            </w:r>
          </w:p>
        </w:tc>
        <w:tc>
          <w:tcPr>
            <w:tcW w:w="475" w:type="dxa"/>
          </w:tcPr>
          <w:p>
            <w:pPr>
              <w:pStyle w:val="TableParagraph"/>
              <w:rPr>
                <w:sz w:val="22"/>
              </w:rPr>
            </w:pPr>
            <w:r>
              <w:rPr>
                <w:sz w:val="22"/>
              </w:rPr>
              <w:t>108</w:t>
            </w:r>
          </w:p>
        </w:tc>
        <w:tc>
          <w:tcPr>
            <w:tcW w:w="1085" w:type="dxa"/>
          </w:tcPr>
          <w:p>
            <w:pPr>
              <w:pStyle w:val="TableParagraph"/>
              <w:rPr>
                <w:sz w:val="22"/>
              </w:rPr>
            </w:pPr>
            <w:r>
              <w:rPr>
                <w:sz w:val="22"/>
              </w:rPr>
              <w:t>0,114000</w:t>
            </w:r>
          </w:p>
        </w:tc>
        <w:tc>
          <w:tcPr>
            <w:tcW w:w="1368" w:type="dxa"/>
          </w:tcPr>
          <w:p>
            <w:pPr>
              <w:pStyle w:val="TableParagraph"/>
              <w:rPr>
                <w:sz w:val="22"/>
              </w:rPr>
            </w:pPr>
            <w:r>
              <w:rPr>
                <w:sz w:val="22"/>
              </w:rPr>
              <w:t>0,00019</w:t>
            </w:r>
          </w:p>
        </w:tc>
        <w:tc>
          <w:tcPr>
            <w:tcW w:w="1368" w:type="dxa"/>
          </w:tcPr>
          <w:p>
            <w:pPr>
              <w:pStyle w:val="TableParagraph"/>
              <w:rPr>
                <w:sz w:val="22"/>
              </w:rPr>
            </w:pPr>
            <w:r>
              <w:rPr>
                <w:sz w:val="22"/>
              </w:rPr>
              <w:t>12,3804</w:t>
            </w:r>
          </w:p>
        </w:tc>
        <w:tc>
          <w:tcPr>
            <w:tcW w:w="1368" w:type="dxa"/>
          </w:tcPr>
          <w:p>
            <w:pPr>
              <w:pStyle w:val="TableParagraph"/>
              <w:rPr>
                <w:sz w:val="22"/>
              </w:rPr>
            </w:pPr>
            <w:r>
              <w:rPr>
                <w:sz w:val="22"/>
              </w:rPr>
              <w:t>0,01378405</w:t>
            </w:r>
          </w:p>
        </w:tc>
        <w:tc>
          <w:tcPr>
            <w:tcW w:w="1452" w:type="dxa"/>
          </w:tcPr>
          <w:p>
            <w:pPr>
              <w:pStyle w:val="TableParagraph"/>
              <w:rPr>
                <w:sz w:val="22"/>
              </w:rPr>
            </w:pPr>
            <w:r>
              <w:rPr>
                <w:sz w:val="22"/>
              </w:rPr>
              <w:t>-0,00693686</w:t>
            </w:r>
          </w:p>
        </w:tc>
        <w:tc>
          <w:tcPr>
            <w:tcW w:w="1495" w:type="dxa"/>
          </w:tcPr>
          <w:p>
            <w:pPr>
              <w:pStyle w:val="TableParagraph"/>
              <w:rPr>
                <w:sz w:val="22"/>
              </w:rPr>
            </w:pPr>
            <w:r>
              <w:rPr>
                <w:sz w:val="22"/>
              </w:rPr>
              <w:t>-1,4354E-08</w:t>
            </w:r>
          </w:p>
        </w:tc>
      </w:tr>
      <w:tr>
        <w:trPr>
          <w:trHeight w:val="310" w:hRule="exact"/>
        </w:trPr>
        <w:tc>
          <w:tcPr>
            <w:tcW w:w="838" w:type="dxa"/>
          </w:tcPr>
          <w:p>
            <w:pPr>
              <w:pStyle w:val="TableParagraph"/>
              <w:spacing w:before="13"/>
              <w:ind w:right="1"/>
              <w:jc w:val="center"/>
              <w:rPr>
                <w:sz w:val="22"/>
              </w:rPr>
            </w:pPr>
            <w:r>
              <w:rPr>
                <w:w w:val="100"/>
                <w:sz w:val="22"/>
              </w:rPr>
              <w:t>2</w:t>
            </w:r>
          </w:p>
        </w:tc>
        <w:tc>
          <w:tcPr>
            <w:tcW w:w="809" w:type="dxa"/>
          </w:tcPr>
          <w:p>
            <w:pPr>
              <w:pStyle w:val="TableParagraph"/>
              <w:ind w:left="59" w:right="5"/>
              <w:jc w:val="center"/>
              <w:rPr>
                <w:sz w:val="22"/>
              </w:rPr>
            </w:pPr>
            <w:r>
              <w:rPr>
                <w:sz w:val="22"/>
              </w:rPr>
              <w:t>121,03</w:t>
            </w:r>
          </w:p>
        </w:tc>
        <w:tc>
          <w:tcPr>
            <w:tcW w:w="475" w:type="dxa"/>
          </w:tcPr>
          <w:p>
            <w:pPr>
              <w:pStyle w:val="TableParagraph"/>
              <w:rPr>
                <w:sz w:val="22"/>
              </w:rPr>
            </w:pPr>
            <w:r>
              <w:rPr>
                <w:sz w:val="22"/>
              </w:rPr>
              <w:t>81</w:t>
            </w:r>
          </w:p>
        </w:tc>
        <w:tc>
          <w:tcPr>
            <w:tcW w:w="1085" w:type="dxa"/>
          </w:tcPr>
          <w:p>
            <w:pPr>
              <w:pStyle w:val="TableParagraph"/>
              <w:rPr>
                <w:sz w:val="22"/>
              </w:rPr>
            </w:pPr>
            <w:r>
              <w:rPr>
                <w:sz w:val="22"/>
              </w:rPr>
              <w:t>0,168000</w:t>
            </w:r>
          </w:p>
        </w:tc>
        <w:tc>
          <w:tcPr>
            <w:tcW w:w="1368" w:type="dxa"/>
          </w:tcPr>
          <w:p>
            <w:pPr>
              <w:pStyle w:val="TableParagraph"/>
              <w:rPr>
                <w:sz w:val="22"/>
              </w:rPr>
            </w:pPr>
            <w:r>
              <w:rPr>
                <w:sz w:val="22"/>
              </w:rPr>
              <w:t>0,0045155</w:t>
            </w:r>
          </w:p>
        </w:tc>
        <w:tc>
          <w:tcPr>
            <w:tcW w:w="1368" w:type="dxa"/>
          </w:tcPr>
          <w:p>
            <w:pPr>
              <w:pStyle w:val="TableParagraph"/>
              <w:rPr>
                <w:sz w:val="22"/>
              </w:rPr>
            </w:pPr>
            <w:r>
              <w:rPr>
                <w:sz w:val="22"/>
              </w:rPr>
              <w:t>20,33304</w:t>
            </w:r>
          </w:p>
        </w:tc>
        <w:tc>
          <w:tcPr>
            <w:tcW w:w="1368" w:type="dxa"/>
          </w:tcPr>
          <w:p>
            <w:pPr>
              <w:pStyle w:val="TableParagraph"/>
              <w:rPr>
                <w:sz w:val="22"/>
              </w:rPr>
            </w:pPr>
            <w:r>
              <w:rPr>
                <w:sz w:val="22"/>
              </w:rPr>
              <w:t>0,06719747</w:t>
            </w:r>
          </w:p>
        </w:tc>
        <w:tc>
          <w:tcPr>
            <w:tcW w:w="1452" w:type="dxa"/>
          </w:tcPr>
          <w:p>
            <w:pPr>
              <w:pStyle w:val="TableParagraph"/>
              <w:rPr>
                <w:sz w:val="22"/>
              </w:rPr>
            </w:pPr>
            <w:r>
              <w:rPr>
                <w:sz w:val="22"/>
              </w:rPr>
              <w:t>0,27048783</w:t>
            </w:r>
          </w:p>
        </w:tc>
        <w:tc>
          <w:tcPr>
            <w:tcW w:w="1495" w:type="dxa"/>
          </w:tcPr>
          <w:p>
            <w:pPr>
              <w:pStyle w:val="TableParagraph"/>
              <w:rPr>
                <w:sz w:val="22"/>
              </w:rPr>
            </w:pPr>
            <w:r>
              <w:rPr>
                <w:sz w:val="22"/>
              </w:rPr>
              <w:t>5,5971E-07</w:t>
            </w:r>
          </w:p>
        </w:tc>
      </w:tr>
      <w:tr>
        <w:trPr>
          <w:trHeight w:val="310" w:hRule="exact"/>
        </w:trPr>
        <w:tc>
          <w:tcPr>
            <w:tcW w:w="838" w:type="dxa"/>
          </w:tcPr>
          <w:p>
            <w:pPr>
              <w:pStyle w:val="TableParagraph"/>
              <w:spacing w:before="13"/>
              <w:ind w:right="1"/>
              <w:jc w:val="center"/>
              <w:rPr>
                <w:sz w:val="22"/>
              </w:rPr>
            </w:pPr>
            <w:r>
              <w:rPr>
                <w:w w:val="100"/>
                <w:sz w:val="22"/>
              </w:rPr>
              <w:t>3</w:t>
            </w:r>
          </w:p>
        </w:tc>
        <w:tc>
          <w:tcPr>
            <w:tcW w:w="809" w:type="dxa"/>
          </w:tcPr>
          <w:p>
            <w:pPr>
              <w:pStyle w:val="TableParagraph"/>
              <w:ind w:left="59" w:right="5"/>
              <w:jc w:val="center"/>
              <w:rPr>
                <w:sz w:val="22"/>
              </w:rPr>
            </w:pPr>
            <w:r>
              <w:rPr>
                <w:sz w:val="22"/>
              </w:rPr>
              <w:t>130,21</w:t>
            </w:r>
          </w:p>
        </w:tc>
        <w:tc>
          <w:tcPr>
            <w:tcW w:w="475" w:type="dxa"/>
          </w:tcPr>
          <w:p>
            <w:pPr>
              <w:pStyle w:val="TableParagraph"/>
              <w:rPr>
                <w:sz w:val="22"/>
              </w:rPr>
            </w:pPr>
            <w:r>
              <w:rPr>
                <w:sz w:val="22"/>
              </w:rPr>
              <w:t>77</w:t>
            </w:r>
          </w:p>
        </w:tc>
        <w:tc>
          <w:tcPr>
            <w:tcW w:w="1085" w:type="dxa"/>
          </w:tcPr>
          <w:p>
            <w:pPr>
              <w:pStyle w:val="TableParagraph"/>
              <w:rPr>
                <w:sz w:val="22"/>
              </w:rPr>
            </w:pPr>
            <w:r>
              <w:rPr>
                <w:sz w:val="22"/>
              </w:rPr>
              <w:t>0,383800</w:t>
            </w:r>
          </w:p>
        </w:tc>
        <w:tc>
          <w:tcPr>
            <w:tcW w:w="1368" w:type="dxa"/>
          </w:tcPr>
          <w:p>
            <w:pPr>
              <w:pStyle w:val="TableParagraph"/>
              <w:rPr>
                <w:sz w:val="22"/>
              </w:rPr>
            </w:pPr>
            <w:r>
              <w:rPr>
                <w:sz w:val="22"/>
              </w:rPr>
              <w:t>0,1008257</w:t>
            </w:r>
          </w:p>
        </w:tc>
        <w:tc>
          <w:tcPr>
            <w:tcW w:w="1368" w:type="dxa"/>
          </w:tcPr>
          <w:p>
            <w:pPr>
              <w:pStyle w:val="TableParagraph"/>
              <w:rPr>
                <w:sz w:val="22"/>
              </w:rPr>
            </w:pPr>
            <w:r>
              <w:rPr>
                <w:sz w:val="22"/>
              </w:rPr>
              <w:t>49,974598</w:t>
            </w:r>
          </w:p>
        </w:tc>
        <w:tc>
          <w:tcPr>
            <w:tcW w:w="1368" w:type="dxa"/>
          </w:tcPr>
          <w:p>
            <w:pPr>
              <w:pStyle w:val="TableParagraph"/>
              <w:rPr>
                <w:sz w:val="22"/>
              </w:rPr>
            </w:pPr>
            <w:r>
              <w:rPr>
                <w:sz w:val="22"/>
              </w:rPr>
              <w:t>0,31753063</w:t>
            </w:r>
          </w:p>
        </w:tc>
        <w:tc>
          <w:tcPr>
            <w:tcW w:w="1452" w:type="dxa"/>
          </w:tcPr>
          <w:p>
            <w:pPr>
              <w:pStyle w:val="TableParagraph"/>
              <w:rPr>
                <w:sz w:val="22"/>
              </w:rPr>
            </w:pPr>
            <w:r>
              <w:rPr>
                <w:sz w:val="22"/>
              </w:rPr>
              <w:t>9,20574037</w:t>
            </w:r>
          </w:p>
        </w:tc>
        <w:tc>
          <w:tcPr>
            <w:tcW w:w="1495" w:type="dxa"/>
          </w:tcPr>
          <w:p>
            <w:pPr>
              <w:pStyle w:val="TableParagraph"/>
              <w:rPr>
                <w:sz w:val="22"/>
              </w:rPr>
            </w:pPr>
            <w:r>
              <w:rPr>
                <w:sz w:val="22"/>
              </w:rPr>
              <w:t>1,9049E-05</w:t>
            </w:r>
          </w:p>
        </w:tc>
      </w:tr>
      <w:tr>
        <w:trPr>
          <w:trHeight w:val="312" w:hRule="exact"/>
        </w:trPr>
        <w:tc>
          <w:tcPr>
            <w:tcW w:w="838" w:type="dxa"/>
          </w:tcPr>
          <w:p>
            <w:pPr>
              <w:pStyle w:val="TableParagraph"/>
              <w:spacing w:before="13"/>
              <w:ind w:right="1"/>
              <w:jc w:val="center"/>
              <w:rPr>
                <w:sz w:val="22"/>
              </w:rPr>
            </w:pPr>
            <w:r>
              <w:rPr>
                <w:w w:val="100"/>
                <w:sz w:val="22"/>
              </w:rPr>
              <w:t>4</w:t>
            </w:r>
          </w:p>
        </w:tc>
        <w:tc>
          <w:tcPr>
            <w:tcW w:w="809" w:type="dxa"/>
          </w:tcPr>
          <w:p>
            <w:pPr>
              <w:pStyle w:val="TableParagraph"/>
              <w:spacing w:before="30"/>
              <w:ind w:left="59" w:right="5"/>
              <w:jc w:val="center"/>
              <w:rPr>
                <w:sz w:val="22"/>
              </w:rPr>
            </w:pPr>
            <w:r>
              <w:rPr>
                <w:sz w:val="22"/>
              </w:rPr>
              <w:t>155,12</w:t>
            </w:r>
          </w:p>
        </w:tc>
        <w:tc>
          <w:tcPr>
            <w:tcW w:w="475" w:type="dxa"/>
          </w:tcPr>
          <w:p>
            <w:pPr>
              <w:pStyle w:val="TableParagraph"/>
              <w:spacing w:before="30"/>
              <w:rPr>
                <w:sz w:val="22"/>
              </w:rPr>
            </w:pPr>
            <w:r>
              <w:rPr>
                <w:sz w:val="22"/>
              </w:rPr>
              <w:t>92</w:t>
            </w:r>
          </w:p>
        </w:tc>
        <w:tc>
          <w:tcPr>
            <w:tcW w:w="1085" w:type="dxa"/>
          </w:tcPr>
          <w:p>
            <w:pPr>
              <w:pStyle w:val="TableParagraph"/>
              <w:spacing w:before="30"/>
              <w:rPr>
                <w:sz w:val="22"/>
              </w:rPr>
            </w:pPr>
            <w:r>
              <w:rPr>
                <w:sz w:val="22"/>
              </w:rPr>
              <w:t>0,177000</w:t>
            </w:r>
          </w:p>
        </w:tc>
        <w:tc>
          <w:tcPr>
            <w:tcW w:w="1368" w:type="dxa"/>
          </w:tcPr>
          <w:p>
            <w:pPr>
              <w:pStyle w:val="TableParagraph"/>
              <w:spacing w:before="30"/>
              <w:rPr>
                <w:sz w:val="22"/>
              </w:rPr>
            </w:pPr>
            <w:r>
              <w:rPr>
                <w:sz w:val="22"/>
              </w:rPr>
              <w:t>0,0004665</w:t>
            </w:r>
          </w:p>
        </w:tc>
        <w:tc>
          <w:tcPr>
            <w:tcW w:w="1368" w:type="dxa"/>
          </w:tcPr>
          <w:p>
            <w:pPr>
              <w:pStyle w:val="TableParagraph"/>
              <w:spacing w:before="30"/>
              <w:rPr>
                <w:sz w:val="22"/>
              </w:rPr>
            </w:pPr>
            <w:r>
              <w:rPr>
                <w:sz w:val="22"/>
              </w:rPr>
              <w:t>27,45624</w:t>
            </w:r>
          </w:p>
        </w:tc>
        <w:tc>
          <w:tcPr>
            <w:tcW w:w="1368" w:type="dxa"/>
          </w:tcPr>
          <w:p>
            <w:pPr>
              <w:pStyle w:val="TableParagraph"/>
              <w:spacing w:before="30"/>
              <w:rPr>
                <w:sz w:val="22"/>
              </w:rPr>
            </w:pPr>
            <w:r>
              <w:rPr>
                <w:sz w:val="22"/>
              </w:rPr>
              <w:t>0,02159861</w:t>
            </w:r>
          </w:p>
        </w:tc>
        <w:tc>
          <w:tcPr>
            <w:tcW w:w="1452" w:type="dxa"/>
          </w:tcPr>
          <w:p>
            <w:pPr>
              <w:pStyle w:val="TableParagraph"/>
              <w:spacing w:before="30"/>
              <w:rPr>
                <w:sz w:val="22"/>
              </w:rPr>
            </w:pPr>
            <w:r>
              <w:rPr>
                <w:sz w:val="22"/>
              </w:rPr>
              <w:t>0,04990014</w:t>
            </w:r>
          </w:p>
        </w:tc>
        <w:tc>
          <w:tcPr>
            <w:tcW w:w="1495" w:type="dxa"/>
          </w:tcPr>
          <w:p>
            <w:pPr>
              <w:pStyle w:val="TableParagraph"/>
              <w:spacing w:before="30"/>
              <w:rPr>
                <w:sz w:val="22"/>
              </w:rPr>
            </w:pPr>
            <w:r>
              <w:rPr>
                <w:sz w:val="22"/>
              </w:rPr>
              <w:t>1,0326E-07</w:t>
            </w:r>
          </w:p>
        </w:tc>
      </w:tr>
      <w:tr>
        <w:trPr>
          <w:trHeight w:val="310" w:hRule="exact"/>
        </w:trPr>
        <w:tc>
          <w:tcPr>
            <w:tcW w:w="838" w:type="dxa"/>
          </w:tcPr>
          <w:p>
            <w:pPr>
              <w:pStyle w:val="TableParagraph"/>
              <w:spacing w:before="11"/>
              <w:ind w:right="1"/>
              <w:jc w:val="center"/>
              <w:rPr>
                <w:sz w:val="22"/>
              </w:rPr>
            </w:pPr>
            <w:r>
              <w:rPr>
                <w:w w:val="100"/>
                <w:sz w:val="22"/>
              </w:rPr>
              <w:t>5</w:t>
            </w:r>
          </w:p>
        </w:tc>
        <w:tc>
          <w:tcPr>
            <w:tcW w:w="809" w:type="dxa"/>
          </w:tcPr>
          <w:p>
            <w:pPr>
              <w:pStyle w:val="TableParagraph"/>
              <w:ind w:left="59" w:right="5"/>
              <w:jc w:val="center"/>
              <w:rPr>
                <w:sz w:val="22"/>
              </w:rPr>
            </w:pPr>
            <w:r>
              <w:rPr>
                <w:sz w:val="22"/>
              </w:rPr>
              <w:t>180,21</w:t>
            </w:r>
          </w:p>
        </w:tc>
        <w:tc>
          <w:tcPr>
            <w:tcW w:w="475" w:type="dxa"/>
          </w:tcPr>
          <w:p>
            <w:pPr>
              <w:pStyle w:val="TableParagraph"/>
              <w:rPr>
                <w:sz w:val="22"/>
              </w:rPr>
            </w:pPr>
            <w:r>
              <w:rPr>
                <w:sz w:val="22"/>
              </w:rPr>
              <w:t>132</w:t>
            </w:r>
          </w:p>
        </w:tc>
        <w:tc>
          <w:tcPr>
            <w:tcW w:w="1085" w:type="dxa"/>
          </w:tcPr>
          <w:p>
            <w:pPr>
              <w:pStyle w:val="TableParagraph"/>
              <w:rPr>
                <w:sz w:val="22"/>
              </w:rPr>
            </w:pPr>
            <w:r>
              <w:rPr>
                <w:sz w:val="22"/>
              </w:rPr>
              <w:t>0,590500</w:t>
            </w:r>
          </w:p>
        </w:tc>
        <w:tc>
          <w:tcPr>
            <w:tcW w:w="1368" w:type="dxa"/>
          </w:tcPr>
          <w:p>
            <w:pPr>
              <w:pStyle w:val="TableParagraph"/>
              <w:rPr>
                <w:sz w:val="22"/>
              </w:rPr>
            </w:pPr>
            <w:r>
              <w:rPr>
                <w:sz w:val="22"/>
              </w:rPr>
              <w:t>0,0891403</w:t>
            </w:r>
          </w:p>
        </w:tc>
        <w:tc>
          <w:tcPr>
            <w:tcW w:w="1368" w:type="dxa"/>
          </w:tcPr>
          <w:p>
            <w:pPr>
              <w:pStyle w:val="TableParagraph"/>
              <w:rPr>
                <w:sz w:val="22"/>
              </w:rPr>
            </w:pPr>
            <w:r>
              <w:rPr>
                <w:sz w:val="22"/>
              </w:rPr>
              <w:t>106,414005</w:t>
            </w:r>
          </w:p>
        </w:tc>
        <w:tc>
          <w:tcPr>
            <w:tcW w:w="1368" w:type="dxa"/>
          </w:tcPr>
          <w:p>
            <w:pPr>
              <w:pStyle w:val="TableParagraph"/>
              <w:rPr>
                <w:sz w:val="22"/>
              </w:rPr>
            </w:pPr>
            <w:r>
              <w:rPr>
                <w:sz w:val="22"/>
              </w:rPr>
              <w:t>0,29856373</w:t>
            </w:r>
          </w:p>
        </w:tc>
        <w:tc>
          <w:tcPr>
            <w:tcW w:w="1452" w:type="dxa"/>
          </w:tcPr>
          <w:p>
            <w:pPr>
              <w:pStyle w:val="TableParagraph"/>
              <w:rPr>
                <w:sz w:val="22"/>
              </w:rPr>
            </w:pPr>
            <w:r>
              <w:rPr>
                <w:sz w:val="22"/>
              </w:rPr>
              <w:t>5,86035748</w:t>
            </w:r>
          </w:p>
        </w:tc>
        <w:tc>
          <w:tcPr>
            <w:tcW w:w="1495" w:type="dxa"/>
          </w:tcPr>
          <w:p>
            <w:pPr>
              <w:pStyle w:val="TableParagraph"/>
              <w:rPr>
                <w:sz w:val="22"/>
              </w:rPr>
            </w:pPr>
            <w:r>
              <w:rPr>
                <w:sz w:val="22"/>
              </w:rPr>
              <w:t>1,2127E-05</w:t>
            </w:r>
          </w:p>
        </w:tc>
      </w:tr>
      <w:tr>
        <w:trPr>
          <w:trHeight w:val="310" w:hRule="exact"/>
        </w:trPr>
        <w:tc>
          <w:tcPr>
            <w:tcW w:w="838" w:type="dxa"/>
          </w:tcPr>
          <w:p>
            <w:pPr>
              <w:pStyle w:val="TableParagraph"/>
              <w:spacing w:before="11"/>
              <w:ind w:right="0"/>
              <w:jc w:val="center"/>
              <w:rPr>
                <w:sz w:val="22"/>
              </w:rPr>
            </w:pPr>
            <w:r>
              <w:rPr>
                <w:w w:val="100"/>
                <w:sz w:val="22"/>
              </w:rPr>
              <w:t>N</w:t>
            </w:r>
          </w:p>
        </w:tc>
        <w:tc>
          <w:tcPr>
            <w:tcW w:w="809" w:type="dxa"/>
          </w:tcPr>
          <w:p>
            <w:pPr>
              <w:pStyle w:val="TableParagraph"/>
              <w:ind w:left="59" w:right="5"/>
              <w:jc w:val="center"/>
              <w:rPr>
                <w:sz w:val="22"/>
              </w:rPr>
            </w:pPr>
            <w:r>
              <w:rPr>
                <w:sz w:val="22"/>
              </w:rPr>
              <w:t>695,17</w:t>
            </w:r>
          </w:p>
        </w:tc>
        <w:tc>
          <w:tcPr>
            <w:tcW w:w="475" w:type="dxa"/>
          </w:tcPr>
          <w:p>
            <w:pPr/>
          </w:p>
        </w:tc>
        <w:tc>
          <w:tcPr>
            <w:tcW w:w="1085" w:type="dxa"/>
          </w:tcPr>
          <w:p>
            <w:pPr/>
          </w:p>
        </w:tc>
        <w:tc>
          <w:tcPr>
            <w:tcW w:w="1368" w:type="dxa"/>
          </w:tcPr>
          <w:p>
            <w:pPr>
              <w:pStyle w:val="TableParagraph"/>
              <w:spacing w:line="312" w:lineRule="exact" w:before="0"/>
              <w:ind w:left="488" w:right="49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68" w:type="dxa"/>
          </w:tcPr>
          <w:p>
            <w:pPr>
              <w:pStyle w:val="TableParagraph"/>
              <w:rPr>
                <w:sz w:val="22"/>
              </w:rPr>
            </w:pPr>
            <w:r>
              <w:rPr>
                <w:sz w:val="22"/>
              </w:rPr>
              <w:t>216,558283</w:t>
            </w:r>
          </w:p>
        </w:tc>
        <w:tc>
          <w:tcPr>
            <w:tcW w:w="1368" w:type="dxa"/>
          </w:tcPr>
          <w:p>
            <w:pPr/>
          </w:p>
        </w:tc>
        <w:tc>
          <w:tcPr>
            <w:tcW w:w="1452" w:type="dxa"/>
          </w:tcPr>
          <w:p>
            <w:pPr>
              <w:pStyle w:val="TableParagraph"/>
              <w:rPr>
                <w:sz w:val="22"/>
              </w:rPr>
            </w:pPr>
            <w:r>
              <w:rPr>
                <w:sz w:val="22"/>
              </w:rPr>
              <w:t>15,379549</w:t>
            </w:r>
          </w:p>
        </w:tc>
        <w:tc>
          <w:tcPr>
            <w:tcW w:w="1495" w:type="dxa"/>
          </w:tcPr>
          <w:p>
            <w:pPr>
              <w:pStyle w:val="TableParagraph"/>
              <w:rPr>
                <w:sz w:val="22"/>
              </w:rPr>
            </w:pPr>
            <w:r>
              <w:rPr>
                <w:sz w:val="22"/>
              </w:rPr>
              <w:t>3,1824E-05</w:t>
            </w:r>
          </w:p>
        </w:tc>
      </w:tr>
      <w:tr>
        <w:trPr>
          <w:trHeight w:val="310" w:hRule="exact"/>
        </w:trPr>
        <w:tc>
          <w:tcPr>
            <w:tcW w:w="5942" w:type="dxa"/>
            <w:gridSpan w:val="6"/>
            <w:vMerge w:val="restart"/>
            <w:tcBorders>
              <w:left w:val="nil"/>
            </w:tcBorders>
          </w:tcPr>
          <w:p>
            <w:pPr/>
          </w:p>
        </w:tc>
        <w:tc>
          <w:tcPr>
            <w:tcW w:w="2820"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95" w:type="dxa"/>
          </w:tcPr>
          <w:p>
            <w:pPr>
              <w:pStyle w:val="TableParagraph"/>
              <w:rPr>
                <w:b/>
                <w:sz w:val="22"/>
              </w:rPr>
            </w:pPr>
            <w:r>
              <w:rPr>
                <w:b/>
                <w:sz w:val="22"/>
              </w:rPr>
              <w:t>0,312</w:t>
            </w:r>
          </w:p>
        </w:tc>
      </w:tr>
      <w:tr>
        <w:trPr>
          <w:trHeight w:val="310" w:hRule="exact"/>
        </w:trPr>
        <w:tc>
          <w:tcPr>
            <w:tcW w:w="5942" w:type="dxa"/>
            <w:gridSpan w:val="6"/>
            <w:vMerge/>
            <w:tcBorders>
              <w:left w:val="nil"/>
            </w:tcBorders>
          </w:tcPr>
          <w:p>
            <w:pPr/>
          </w:p>
        </w:tc>
        <w:tc>
          <w:tcPr>
            <w:tcW w:w="2820" w:type="dxa"/>
            <w:gridSpan w:val="2"/>
          </w:tcPr>
          <w:p>
            <w:pPr>
              <w:pStyle w:val="TableParagraph"/>
              <w:spacing w:before="13"/>
              <w:ind w:left="64" w:right="0"/>
              <w:jc w:val="left"/>
              <w:rPr>
                <w:sz w:val="22"/>
              </w:rPr>
            </w:pPr>
            <w:r>
              <w:rPr>
                <w:sz w:val="22"/>
              </w:rPr>
              <w:t>Desviación estándar</w:t>
            </w:r>
          </w:p>
        </w:tc>
        <w:tc>
          <w:tcPr>
            <w:tcW w:w="1495" w:type="dxa"/>
          </w:tcPr>
          <w:p>
            <w:pPr>
              <w:pStyle w:val="TableParagraph"/>
              <w:rPr>
                <w:b/>
                <w:sz w:val="22"/>
              </w:rPr>
            </w:pPr>
            <w:r>
              <w:rPr>
                <w:b/>
                <w:sz w:val="22"/>
              </w:rPr>
              <w:t>0,0056</w:t>
            </w:r>
          </w:p>
        </w:tc>
      </w:tr>
      <w:tr>
        <w:trPr>
          <w:trHeight w:val="310" w:hRule="exact"/>
        </w:trPr>
        <w:tc>
          <w:tcPr>
            <w:tcW w:w="5942" w:type="dxa"/>
            <w:gridSpan w:val="6"/>
            <w:vMerge/>
            <w:tcBorders>
              <w:left w:val="nil"/>
            </w:tcBorders>
          </w:tcPr>
          <w:p>
            <w:pPr/>
          </w:p>
        </w:tc>
        <w:tc>
          <w:tcPr>
            <w:tcW w:w="2820" w:type="dxa"/>
            <w:gridSpan w:val="2"/>
            <w:vMerge w:val="restart"/>
          </w:tcPr>
          <w:p>
            <w:pPr>
              <w:pStyle w:val="TableParagraph"/>
              <w:spacing w:before="169"/>
              <w:ind w:left="64" w:right="0"/>
              <w:jc w:val="left"/>
              <w:rPr>
                <w:sz w:val="22"/>
              </w:rPr>
            </w:pPr>
            <w:r>
              <w:rPr>
                <w:sz w:val="22"/>
              </w:rPr>
              <w:t>Intervalo de confianza al 95 %</w:t>
            </w:r>
          </w:p>
        </w:tc>
        <w:tc>
          <w:tcPr>
            <w:tcW w:w="1495" w:type="dxa"/>
          </w:tcPr>
          <w:p>
            <w:pPr>
              <w:pStyle w:val="TableParagraph"/>
              <w:rPr>
                <w:sz w:val="22"/>
              </w:rPr>
            </w:pPr>
            <w:r>
              <w:rPr>
                <w:sz w:val="22"/>
              </w:rPr>
              <w:t>0,30</w:t>
            </w:r>
          </w:p>
        </w:tc>
      </w:tr>
      <w:tr>
        <w:trPr>
          <w:trHeight w:val="312" w:hRule="exact"/>
        </w:trPr>
        <w:tc>
          <w:tcPr>
            <w:tcW w:w="5942" w:type="dxa"/>
            <w:gridSpan w:val="6"/>
            <w:vMerge/>
            <w:tcBorders>
              <w:left w:val="nil"/>
              <w:bottom w:val="nil"/>
            </w:tcBorders>
          </w:tcPr>
          <w:p>
            <w:pPr/>
          </w:p>
        </w:tc>
        <w:tc>
          <w:tcPr>
            <w:tcW w:w="2820" w:type="dxa"/>
            <w:gridSpan w:val="2"/>
            <w:vMerge/>
          </w:tcPr>
          <w:p>
            <w:pPr/>
          </w:p>
        </w:tc>
        <w:tc>
          <w:tcPr>
            <w:tcW w:w="1495" w:type="dxa"/>
          </w:tcPr>
          <w:p>
            <w:pPr>
              <w:pStyle w:val="TableParagraph"/>
              <w:spacing w:before="30"/>
              <w:rPr>
                <w:sz w:val="22"/>
              </w:rPr>
            </w:pPr>
            <w:r>
              <w:rPr>
                <w:sz w:val="22"/>
              </w:rPr>
              <w:t>0,32</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475"/>
        <w:gridCol w:w="1085"/>
        <w:gridCol w:w="1368"/>
        <w:gridCol w:w="1368"/>
        <w:gridCol w:w="1368"/>
        <w:gridCol w:w="1452"/>
        <w:gridCol w:w="1495"/>
      </w:tblGrid>
      <w:tr>
        <w:trPr>
          <w:trHeight w:val="310" w:hRule="exact"/>
        </w:trPr>
        <w:tc>
          <w:tcPr>
            <w:tcW w:w="10258" w:type="dxa"/>
            <w:gridSpan w:val="9"/>
          </w:tcPr>
          <w:p>
            <w:pPr>
              <w:pStyle w:val="TableParagraph"/>
              <w:ind w:left="4148" w:right="4147"/>
              <w:jc w:val="center"/>
              <w:rPr>
                <w:sz w:val="22"/>
              </w:rPr>
            </w:pPr>
            <w:r>
              <w:rPr>
                <w:sz w:val="22"/>
              </w:rPr>
              <w:t>Punto de Muestreo C</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1085" w:type="dxa"/>
          </w:tcPr>
          <w:p>
            <w:pPr>
              <w:pStyle w:val="TableParagraph"/>
              <w:spacing w:before="43"/>
              <w:ind w:left="403" w:right="416"/>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368" w:type="dxa"/>
          </w:tcPr>
          <w:p>
            <w:pPr>
              <w:pStyle w:val="TableParagraph"/>
              <w:spacing w:line="214" w:lineRule="exact" w:before="6"/>
              <w:ind w:left="488" w:right="49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68" w:type="dxa"/>
          </w:tcPr>
          <w:p>
            <w:pPr>
              <w:pStyle w:val="TableParagraph"/>
              <w:spacing w:before="19"/>
              <w:ind w:left="488" w:right="49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68" w:type="dxa"/>
          </w:tcPr>
          <w:p>
            <w:pPr>
              <w:pStyle w:val="TableParagraph"/>
              <w:spacing w:before="43"/>
              <w:ind w:left="488" w:right="499"/>
              <w:jc w:val="center"/>
              <w:rPr>
                <w:rFonts w:ascii="Cambria Math"/>
                <w:sz w:val="16"/>
              </w:rPr>
            </w:pPr>
            <w:r>
              <w:rPr>
                <w:rFonts w:ascii="Cambria Math"/>
                <w:w w:val="110"/>
                <w:sz w:val="22"/>
              </w:rPr>
              <w:t>s</w:t>
            </w:r>
            <w:r>
              <w:rPr>
                <w:rFonts w:ascii="Cambria Math"/>
                <w:w w:val="110"/>
                <w:position w:val="-4"/>
                <w:sz w:val="16"/>
              </w:rPr>
              <w:t>h</w:t>
            </w:r>
          </w:p>
        </w:tc>
        <w:tc>
          <w:tcPr>
            <w:tcW w:w="1452" w:type="dxa"/>
          </w:tcPr>
          <w:p>
            <w:pPr>
              <w:pStyle w:val="TableParagraph"/>
              <w:spacing w:before="0"/>
              <w:ind w:left="39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95" w:type="dxa"/>
          </w:tcPr>
          <w:p>
            <w:pPr>
              <w:pStyle w:val="TableParagraph"/>
              <w:spacing w:before="0"/>
              <w:ind w:left="39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13"/>
              <w:ind w:right="1"/>
              <w:jc w:val="center"/>
              <w:rPr>
                <w:sz w:val="22"/>
              </w:rPr>
            </w:pPr>
            <w:r>
              <w:rPr>
                <w:w w:val="100"/>
                <w:sz w:val="22"/>
              </w:rPr>
              <w:t>1</w:t>
            </w:r>
          </w:p>
        </w:tc>
        <w:tc>
          <w:tcPr>
            <w:tcW w:w="809" w:type="dxa"/>
          </w:tcPr>
          <w:p>
            <w:pPr>
              <w:pStyle w:val="TableParagraph"/>
              <w:ind w:left="59" w:right="5"/>
              <w:jc w:val="center"/>
              <w:rPr>
                <w:sz w:val="22"/>
              </w:rPr>
            </w:pPr>
            <w:r>
              <w:rPr>
                <w:sz w:val="22"/>
              </w:rPr>
              <w:t>108,60</w:t>
            </w:r>
          </w:p>
        </w:tc>
        <w:tc>
          <w:tcPr>
            <w:tcW w:w="475" w:type="dxa"/>
          </w:tcPr>
          <w:p>
            <w:pPr>
              <w:pStyle w:val="TableParagraph"/>
              <w:rPr>
                <w:sz w:val="22"/>
              </w:rPr>
            </w:pPr>
            <w:r>
              <w:rPr>
                <w:sz w:val="22"/>
              </w:rPr>
              <w:t>108</w:t>
            </w:r>
          </w:p>
        </w:tc>
        <w:tc>
          <w:tcPr>
            <w:tcW w:w="1085" w:type="dxa"/>
          </w:tcPr>
          <w:p>
            <w:pPr>
              <w:pStyle w:val="TableParagraph"/>
              <w:rPr>
                <w:sz w:val="22"/>
              </w:rPr>
            </w:pPr>
            <w:r>
              <w:rPr>
                <w:sz w:val="22"/>
              </w:rPr>
              <w:t>0,117000</w:t>
            </w:r>
          </w:p>
        </w:tc>
        <w:tc>
          <w:tcPr>
            <w:tcW w:w="1368" w:type="dxa"/>
          </w:tcPr>
          <w:p>
            <w:pPr>
              <w:pStyle w:val="TableParagraph"/>
              <w:rPr>
                <w:sz w:val="22"/>
              </w:rPr>
            </w:pPr>
            <w:r>
              <w:rPr>
                <w:sz w:val="22"/>
              </w:rPr>
              <w:t>0,0000815</w:t>
            </w:r>
          </w:p>
        </w:tc>
        <w:tc>
          <w:tcPr>
            <w:tcW w:w="1368" w:type="dxa"/>
          </w:tcPr>
          <w:p>
            <w:pPr>
              <w:pStyle w:val="TableParagraph"/>
              <w:rPr>
                <w:sz w:val="22"/>
              </w:rPr>
            </w:pPr>
            <w:r>
              <w:rPr>
                <w:sz w:val="22"/>
              </w:rPr>
              <w:t>12,7062</w:t>
            </w:r>
          </w:p>
        </w:tc>
        <w:tc>
          <w:tcPr>
            <w:tcW w:w="1368" w:type="dxa"/>
          </w:tcPr>
          <w:p>
            <w:pPr>
              <w:pStyle w:val="TableParagraph"/>
              <w:rPr>
                <w:sz w:val="22"/>
              </w:rPr>
            </w:pPr>
            <w:r>
              <w:rPr>
                <w:sz w:val="22"/>
              </w:rPr>
              <w:t>0,00902774</w:t>
            </w:r>
          </w:p>
        </w:tc>
        <w:tc>
          <w:tcPr>
            <w:tcW w:w="1452" w:type="dxa"/>
          </w:tcPr>
          <w:p>
            <w:pPr>
              <w:pStyle w:val="TableParagraph"/>
              <w:rPr>
                <w:sz w:val="22"/>
              </w:rPr>
            </w:pPr>
            <w:r>
              <w:rPr>
                <w:sz w:val="22"/>
              </w:rPr>
              <w:t>-0,00297555</w:t>
            </w:r>
          </w:p>
        </w:tc>
        <w:tc>
          <w:tcPr>
            <w:tcW w:w="1495" w:type="dxa"/>
          </w:tcPr>
          <w:p>
            <w:pPr>
              <w:pStyle w:val="TableParagraph"/>
              <w:rPr>
                <w:sz w:val="22"/>
              </w:rPr>
            </w:pPr>
            <w:r>
              <w:rPr>
                <w:sz w:val="22"/>
              </w:rPr>
              <w:t>-6,1572E-09</w:t>
            </w:r>
          </w:p>
        </w:tc>
      </w:tr>
      <w:tr>
        <w:trPr>
          <w:trHeight w:val="310" w:hRule="exact"/>
        </w:trPr>
        <w:tc>
          <w:tcPr>
            <w:tcW w:w="838" w:type="dxa"/>
          </w:tcPr>
          <w:p>
            <w:pPr>
              <w:pStyle w:val="TableParagraph"/>
              <w:spacing w:before="13"/>
              <w:ind w:right="1"/>
              <w:jc w:val="center"/>
              <w:rPr>
                <w:sz w:val="22"/>
              </w:rPr>
            </w:pPr>
            <w:r>
              <w:rPr>
                <w:w w:val="100"/>
                <w:sz w:val="22"/>
              </w:rPr>
              <w:t>2</w:t>
            </w:r>
          </w:p>
        </w:tc>
        <w:tc>
          <w:tcPr>
            <w:tcW w:w="809" w:type="dxa"/>
          </w:tcPr>
          <w:p>
            <w:pPr>
              <w:pStyle w:val="TableParagraph"/>
              <w:ind w:left="59" w:right="5"/>
              <w:jc w:val="center"/>
              <w:rPr>
                <w:sz w:val="22"/>
              </w:rPr>
            </w:pPr>
            <w:r>
              <w:rPr>
                <w:sz w:val="22"/>
              </w:rPr>
              <w:t>121,03</w:t>
            </w:r>
          </w:p>
        </w:tc>
        <w:tc>
          <w:tcPr>
            <w:tcW w:w="475" w:type="dxa"/>
          </w:tcPr>
          <w:p>
            <w:pPr>
              <w:pStyle w:val="TableParagraph"/>
              <w:rPr>
                <w:sz w:val="22"/>
              </w:rPr>
            </w:pPr>
            <w:r>
              <w:rPr>
                <w:sz w:val="22"/>
              </w:rPr>
              <w:t>81</w:t>
            </w:r>
          </w:p>
        </w:tc>
        <w:tc>
          <w:tcPr>
            <w:tcW w:w="1085" w:type="dxa"/>
          </w:tcPr>
          <w:p>
            <w:pPr>
              <w:pStyle w:val="TableParagraph"/>
              <w:rPr>
                <w:sz w:val="22"/>
              </w:rPr>
            </w:pPr>
            <w:r>
              <w:rPr>
                <w:sz w:val="22"/>
              </w:rPr>
              <w:t>0,145800</w:t>
            </w:r>
          </w:p>
        </w:tc>
        <w:tc>
          <w:tcPr>
            <w:tcW w:w="1368" w:type="dxa"/>
          </w:tcPr>
          <w:p>
            <w:pPr>
              <w:pStyle w:val="TableParagraph"/>
              <w:rPr>
                <w:sz w:val="22"/>
              </w:rPr>
            </w:pPr>
            <w:r>
              <w:rPr>
                <w:sz w:val="22"/>
              </w:rPr>
              <w:t>0,0060717</w:t>
            </w:r>
          </w:p>
        </w:tc>
        <w:tc>
          <w:tcPr>
            <w:tcW w:w="1368" w:type="dxa"/>
          </w:tcPr>
          <w:p>
            <w:pPr>
              <w:pStyle w:val="TableParagraph"/>
              <w:rPr>
                <w:sz w:val="22"/>
              </w:rPr>
            </w:pPr>
            <w:r>
              <w:rPr>
                <w:sz w:val="22"/>
              </w:rPr>
              <w:t>17,646174</w:t>
            </w:r>
          </w:p>
        </w:tc>
        <w:tc>
          <w:tcPr>
            <w:tcW w:w="1368" w:type="dxa"/>
          </w:tcPr>
          <w:p>
            <w:pPr>
              <w:pStyle w:val="TableParagraph"/>
              <w:rPr>
                <w:sz w:val="22"/>
              </w:rPr>
            </w:pPr>
            <w:r>
              <w:rPr>
                <w:sz w:val="22"/>
              </w:rPr>
              <w:t>0,07792111</w:t>
            </w:r>
          </w:p>
        </w:tc>
        <w:tc>
          <w:tcPr>
            <w:tcW w:w="1452" w:type="dxa"/>
          </w:tcPr>
          <w:p>
            <w:pPr>
              <w:pStyle w:val="TableParagraph"/>
              <w:rPr>
                <w:sz w:val="22"/>
              </w:rPr>
            </w:pPr>
            <w:r>
              <w:rPr>
                <w:sz w:val="22"/>
              </w:rPr>
              <w:t>0,36370744</w:t>
            </w:r>
          </w:p>
        </w:tc>
        <w:tc>
          <w:tcPr>
            <w:tcW w:w="1495" w:type="dxa"/>
          </w:tcPr>
          <w:p>
            <w:pPr>
              <w:pStyle w:val="TableParagraph"/>
              <w:rPr>
                <w:sz w:val="22"/>
              </w:rPr>
            </w:pPr>
            <w:r>
              <w:rPr>
                <w:sz w:val="22"/>
              </w:rPr>
              <w:t>7,5261E-07</w:t>
            </w:r>
          </w:p>
        </w:tc>
      </w:tr>
      <w:tr>
        <w:trPr>
          <w:trHeight w:val="312" w:hRule="exact"/>
        </w:trPr>
        <w:tc>
          <w:tcPr>
            <w:tcW w:w="838" w:type="dxa"/>
          </w:tcPr>
          <w:p>
            <w:pPr>
              <w:pStyle w:val="TableParagraph"/>
              <w:spacing w:before="13"/>
              <w:ind w:right="1"/>
              <w:jc w:val="center"/>
              <w:rPr>
                <w:sz w:val="22"/>
              </w:rPr>
            </w:pPr>
            <w:r>
              <w:rPr>
                <w:w w:val="100"/>
                <w:sz w:val="22"/>
              </w:rPr>
              <w:t>3</w:t>
            </w:r>
          </w:p>
        </w:tc>
        <w:tc>
          <w:tcPr>
            <w:tcW w:w="809" w:type="dxa"/>
          </w:tcPr>
          <w:p>
            <w:pPr>
              <w:pStyle w:val="TableParagraph"/>
              <w:spacing w:before="30"/>
              <w:ind w:left="59" w:right="5"/>
              <w:jc w:val="center"/>
              <w:rPr>
                <w:sz w:val="22"/>
              </w:rPr>
            </w:pPr>
            <w:r>
              <w:rPr>
                <w:sz w:val="22"/>
              </w:rPr>
              <w:t>130,21</w:t>
            </w:r>
          </w:p>
        </w:tc>
        <w:tc>
          <w:tcPr>
            <w:tcW w:w="475" w:type="dxa"/>
          </w:tcPr>
          <w:p>
            <w:pPr>
              <w:pStyle w:val="TableParagraph"/>
              <w:spacing w:before="30"/>
              <w:rPr>
                <w:sz w:val="22"/>
              </w:rPr>
            </w:pPr>
            <w:r>
              <w:rPr>
                <w:sz w:val="22"/>
              </w:rPr>
              <w:t>77</w:t>
            </w:r>
          </w:p>
        </w:tc>
        <w:tc>
          <w:tcPr>
            <w:tcW w:w="1085" w:type="dxa"/>
          </w:tcPr>
          <w:p>
            <w:pPr>
              <w:pStyle w:val="TableParagraph"/>
              <w:spacing w:before="30"/>
              <w:rPr>
                <w:sz w:val="22"/>
              </w:rPr>
            </w:pPr>
            <w:r>
              <w:rPr>
                <w:sz w:val="22"/>
              </w:rPr>
              <w:t>0,265400</w:t>
            </w:r>
          </w:p>
        </w:tc>
        <w:tc>
          <w:tcPr>
            <w:tcW w:w="1368" w:type="dxa"/>
          </w:tcPr>
          <w:p>
            <w:pPr>
              <w:pStyle w:val="TableParagraph"/>
              <w:spacing w:before="30"/>
              <w:rPr>
                <w:sz w:val="22"/>
              </w:rPr>
            </w:pPr>
            <w:r>
              <w:rPr>
                <w:sz w:val="22"/>
              </w:rPr>
              <w:t>0,1329563</w:t>
            </w:r>
          </w:p>
        </w:tc>
        <w:tc>
          <w:tcPr>
            <w:tcW w:w="1368" w:type="dxa"/>
          </w:tcPr>
          <w:p>
            <w:pPr>
              <w:pStyle w:val="TableParagraph"/>
              <w:spacing w:before="30"/>
              <w:rPr>
                <w:sz w:val="22"/>
              </w:rPr>
            </w:pPr>
            <w:r>
              <w:rPr>
                <w:sz w:val="22"/>
              </w:rPr>
              <w:t>34,557734</w:t>
            </w:r>
          </w:p>
        </w:tc>
        <w:tc>
          <w:tcPr>
            <w:tcW w:w="1368" w:type="dxa"/>
          </w:tcPr>
          <w:p>
            <w:pPr>
              <w:pStyle w:val="TableParagraph"/>
              <w:spacing w:before="30"/>
              <w:rPr>
                <w:sz w:val="22"/>
              </w:rPr>
            </w:pPr>
            <w:r>
              <w:rPr>
                <w:sz w:val="22"/>
              </w:rPr>
              <w:t>0,36463173</w:t>
            </w:r>
          </w:p>
        </w:tc>
        <w:tc>
          <w:tcPr>
            <w:tcW w:w="1452" w:type="dxa"/>
          </w:tcPr>
          <w:p>
            <w:pPr>
              <w:pStyle w:val="TableParagraph"/>
              <w:spacing w:before="30"/>
              <w:rPr>
                <w:sz w:val="22"/>
              </w:rPr>
            </w:pPr>
            <w:r>
              <w:rPr>
                <w:sz w:val="22"/>
              </w:rPr>
              <w:t>12,1393769</w:t>
            </w:r>
          </w:p>
        </w:tc>
        <w:tc>
          <w:tcPr>
            <w:tcW w:w="1495" w:type="dxa"/>
          </w:tcPr>
          <w:p>
            <w:pPr>
              <w:pStyle w:val="TableParagraph"/>
              <w:spacing w:before="30"/>
              <w:rPr>
                <w:sz w:val="22"/>
              </w:rPr>
            </w:pPr>
            <w:r>
              <w:rPr>
                <w:sz w:val="22"/>
              </w:rPr>
              <w:t>2,512E-05</w:t>
            </w:r>
          </w:p>
        </w:tc>
      </w:tr>
      <w:tr>
        <w:trPr>
          <w:trHeight w:val="310" w:hRule="exact"/>
        </w:trPr>
        <w:tc>
          <w:tcPr>
            <w:tcW w:w="838" w:type="dxa"/>
          </w:tcPr>
          <w:p>
            <w:pPr>
              <w:pStyle w:val="TableParagraph"/>
              <w:spacing w:before="11"/>
              <w:ind w:right="1"/>
              <w:jc w:val="center"/>
              <w:rPr>
                <w:sz w:val="22"/>
              </w:rPr>
            </w:pPr>
            <w:r>
              <w:rPr>
                <w:w w:val="100"/>
                <w:sz w:val="22"/>
              </w:rPr>
              <w:t>4</w:t>
            </w:r>
          </w:p>
        </w:tc>
        <w:tc>
          <w:tcPr>
            <w:tcW w:w="809" w:type="dxa"/>
          </w:tcPr>
          <w:p>
            <w:pPr>
              <w:pStyle w:val="TableParagraph"/>
              <w:ind w:left="59" w:right="5"/>
              <w:jc w:val="center"/>
              <w:rPr>
                <w:sz w:val="22"/>
              </w:rPr>
            </w:pPr>
            <w:r>
              <w:rPr>
                <w:sz w:val="22"/>
              </w:rPr>
              <w:t>155,12</w:t>
            </w:r>
          </w:p>
        </w:tc>
        <w:tc>
          <w:tcPr>
            <w:tcW w:w="475" w:type="dxa"/>
          </w:tcPr>
          <w:p>
            <w:pPr>
              <w:pStyle w:val="TableParagraph"/>
              <w:rPr>
                <w:sz w:val="22"/>
              </w:rPr>
            </w:pPr>
            <w:r>
              <w:rPr>
                <w:sz w:val="22"/>
              </w:rPr>
              <w:t>92</w:t>
            </w:r>
          </w:p>
        </w:tc>
        <w:tc>
          <w:tcPr>
            <w:tcW w:w="1085" w:type="dxa"/>
          </w:tcPr>
          <w:p>
            <w:pPr>
              <w:pStyle w:val="TableParagraph"/>
              <w:rPr>
                <w:sz w:val="22"/>
              </w:rPr>
            </w:pPr>
            <w:r>
              <w:rPr>
                <w:sz w:val="22"/>
              </w:rPr>
              <w:t>0,072000</w:t>
            </w:r>
          </w:p>
        </w:tc>
        <w:tc>
          <w:tcPr>
            <w:tcW w:w="1368" w:type="dxa"/>
          </w:tcPr>
          <w:p>
            <w:pPr>
              <w:pStyle w:val="TableParagraph"/>
              <w:rPr>
                <w:sz w:val="22"/>
              </w:rPr>
            </w:pPr>
            <w:r>
              <w:rPr>
                <w:sz w:val="22"/>
              </w:rPr>
              <w:t>0,0010545</w:t>
            </w:r>
          </w:p>
        </w:tc>
        <w:tc>
          <w:tcPr>
            <w:tcW w:w="1368" w:type="dxa"/>
          </w:tcPr>
          <w:p>
            <w:pPr>
              <w:pStyle w:val="TableParagraph"/>
              <w:rPr>
                <w:sz w:val="22"/>
              </w:rPr>
            </w:pPr>
            <w:r>
              <w:rPr>
                <w:sz w:val="22"/>
              </w:rPr>
              <w:t>11,16864</w:t>
            </w:r>
          </w:p>
        </w:tc>
        <w:tc>
          <w:tcPr>
            <w:tcW w:w="1368" w:type="dxa"/>
          </w:tcPr>
          <w:p>
            <w:pPr>
              <w:pStyle w:val="TableParagraph"/>
              <w:rPr>
                <w:sz w:val="22"/>
              </w:rPr>
            </w:pPr>
            <w:r>
              <w:rPr>
                <w:sz w:val="22"/>
              </w:rPr>
              <w:t>0,03247307</w:t>
            </w:r>
          </w:p>
        </w:tc>
        <w:tc>
          <w:tcPr>
            <w:tcW w:w="1452" w:type="dxa"/>
          </w:tcPr>
          <w:p>
            <w:pPr>
              <w:pStyle w:val="TableParagraph"/>
              <w:rPr>
                <w:sz w:val="22"/>
              </w:rPr>
            </w:pPr>
            <w:r>
              <w:rPr>
                <w:sz w:val="22"/>
              </w:rPr>
              <w:t>0,11279678</w:t>
            </w:r>
          </w:p>
        </w:tc>
        <w:tc>
          <w:tcPr>
            <w:tcW w:w="1495" w:type="dxa"/>
          </w:tcPr>
          <w:p>
            <w:pPr>
              <w:pStyle w:val="TableParagraph"/>
              <w:rPr>
                <w:sz w:val="22"/>
              </w:rPr>
            </w:pPr>
            <w:r>
              <w:rPr>
                <w:sz w:val="22"/>
              </w:rPr>
              <w:t>2,3341E-07</w:t>
            </w:r>
          </w:p>
        </w:tc>
      </w:tr>
      <w:tr>
        <w:trPr>
          <w:trHeight w:val="310" w:hRule="exact"/>
        </w:trPr>
        <w:tc>
          <w:tcPr>
            <w:tcW w:w="838" w:type="dxa"/>
          </w:tcPr>
          <w:p>
            <w:pPr>
              <w:pStyle w:val="TableParagraph"/>
              <w:spacing w:before="11"/>
              <w:ind w:right="1"/>
              <w:jc w:val="center"/>
              <w:rPr>
                <w:sz w:val="22"/>
              </w:rPr>
            </w:pPr>
            <w:r>
              <w:rPr>
                <w:w w:val="100"/>
                <w:sz w:val="22"/>
              </w:rPr>
              <w:t>5</w:t>
            </w:r>
          </w:p>
        </w:tc>
        <w:tc>
          <w:tcPr>
            <w:tcW w:w="809" w:type="dxa"/>
          </w:tcPr>
          <w:p>
            <w:pPr>
              <w:pStyle w:val="TableParagraph"/>
              <w:ind w:left="59" w:right="5"/>
              <w:jc w:val="center"/>
              <w:rPr>
                <w:sz w:val="22"/>
              </w:rPr>
            </w:pPr>
            <w:r>
              <w:rPr>
                <w:sz w:val="22"/>
              </w:rPr>
              <w:t>180,21</w:t>
            </w:r>
          </w:p>
        </w:tc>
        <w:tc>
          <w:tcPr>
            <w:tcW w:w="475" w:type="dxa"/>
          </w:tcPr>
          <w:p>
            <w:pPr>
              <w:pStyle w:val="TableParagraph"/>
              <w:rPr>
                <w:sz w:val="22"/>
              </w:rPr>
            </w:pPr>
            <w:r>
              <w:rPr>
                <w:sz w:val="22"/>
              </w:rPr>
              <w:t>132</w:t>
            </w:r>
          </w:p>
        </w:tc>
        <w:tc>
          <w:tcPr>
            <w:tcW w:w="1085" w:type="dxa"/>
          </w:tcPr>
          <w:p>
            <w:pPr>
              <w:pStyle w:val="TableParagraph"/>
              <w:rPr>
                <w:sz w:val="22"/>
              </w:rPr>
            </w:pPr>
            <w:r>
              <w:rPr>
                <w:sz w:val="22"/>
              </w:rPr>
              <w:t>0,352667</w:t>
            </w:r>
          </w:p>
        </w:tc>
        <w:tc>
          <w:tcPr>
            <w:tcW w:w="1368" w:type="dxa"/>
          </w:tcPr>
          <w:p>
            <w:pPr>
              <w:pStyle w:val="TableParagraph"/>
              <w:rPr>
                <w:sz w:val="22"/>
              </w:rPr>
            </w:pPr>
            <w:r>
              <w:rPr>
                <w:sz w:val="22"/>
              </w:rPr>
              <w:t>0,07077347</w:t>
            </w:r>
          </w:p>
        </w:tc>
        <w:tc>
          <w:tcPr>
            <w:tcW w:w="1368" w:type="dxa"/>
          </w:tcPr>
          <w:p>
            <w:pPr>
              <w:pStyle w:val="TableParagraph"/>
              <w:rPr>
                <w:sz w:val="22"/>
              </w:rPr>
            </w:pPr>
            <w:r>
              <w:rPr>
                <w:sz w:val="22"/>
              </w:rPr>
              <w:t>63,55406</w:t>
            </w:r>
          </w:p>
        </w:tc>
        <w:tc>
          <w:tcPr>
            <w:tcW w:w="1368" w:type="dxa"/>
          </w:tcPr>
          <w:p>
            <w:pPr>
              <w:pStyle w:val="TableParagraph"/>
              <w:rPr>
                <w:sz w:val="22"/>
              </w:rPr>
            </w:pPr>
            <w:r>
              <w:rPr>
                <w:sz w:val="22"/>
              </w:rPr>
              <w:t>0,26603283</w:t>
            </w:r>
          </w:p>
        </w:tc>
        <w:tc>
          <w:tcPr>
            <w:tcW w:w="1452" w:type="dxa"/>
          </w:tcPr>
          <w:p>
            <w:pPr>
              <w:pStyle w:val="TableParagraph"/>
              <w:rPr>
                <w:sz w:val="22"/>
              </w:rPr>
            </w:pPr>
            <w:r>
              <w:rPr>
                <w:sz w:val="22"/>
              </w:rPr>
              <w:t>4,65286537</w:t>
            </w:r>
          </w:p>
        </w:tc>
        <w:tc>
          <w:tcPr>
            <w:tcW w:w="1495" w:type="dxa"/>
          </w:tcPr>
          <w:p>
            <w:pPr>
              <w:pStyle w:val="TableParagraph"/>
              <w:rPr>
                <w:sz w:val="22"/>
              </w:rPr>
            </w:pPr>
            <w:r>
              <w:rPr>
                <w:sz w:val="22"/>
              </w:rPr>
              <w:t>9,6281E-06</w:t>
            </w:r>
          </w:p>
        </w:tc>
      </w:tr>
      <w:tr>
        <w:trPr>
          <w:trHeight w:val="310" w:hRule="exact"/>
        </w:trPr>
        <w:tc>
          <w:tcPr>
            <w:tcW w:w="838" w:type="dxa"/>
          </w:tcPr>
          <w:p>
            <w:pPr>
              <w:pStyle w:val="TableParagraph"/>
              <w:spacing w:before="13"/>
              <w:ind w:right="0"/>
              <w:jc w:val="center"/>
              <w:rPr>
                <w:sz w:val="22"/>
              </w:rPr>
            </w:pPr>
            <w:r>
              <w:rPr>
                <w:w w:val="100"/>
                <w:sz w:val="22"/>
              </w:rPr>
              <w:t>N</w:t>
            </w:r>
          </w:p>
        </w:tc>
        <w:tc>
          <w:tcPr>
            <w:tcW w:w="809" w:type="dxa"/>
          </w:tcPr>
          <w:p>
            <w:pPr>
              <w:pStyle w:val="TableParagraph"/>
              <w:ind w:left="59" w:right="5"/>
              <w:jc w:val="center"/>
              <w:rPr>
                <w:sz w:val="22"/>
              </w:rPr>
            </w:pPr>
            <w:r>
              <w:rPr>
                <w:sz w:val="22"/>
              </w:rPr>
              <w:t>695,17</w:t>
            </w:r>
          </w:p>
        </w:tc>
        <w:tc>
          <w:tcPr>
            <w:tcW w:w="475" w:type="dxa"/>
          </w:tcPr>
          <w:p>
            <w:pPr/>
          </w:p>
        </w:tc>
        <w:tc>
          <w:tcPr>
            <w:tcW w:w="1085" w:type="dxa"/>
          </w:tcPr>
          <w:p>
            <w:pPr/>
          </w:p>
        </w:tc>
        <w:tc>
          <w:tcPr>
            <w:tcW w:w="1368" w:type="dxa"/>
          </w:tcPr>
          <w:p>
            <w:pPr>
              <w:pStyle w:val="TableParagraph"/>
              <w:spacing w:before="18"/>
              <w:ind w:left="488" w:right="49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68" w:type="dxa"/>
          </w:tcPr>
          <w:p>
            <w:pPr>
              <w:pStyle w:val="TableParagraph"/>
              <w:rPr>
                <w:sz w:val="22"/>
              </w:rPr>
            </w:pPr>
            <w:r>
              <w:rPr>
                <w:sz w:val="22"/>
              </w:rPr>
              <w:t>139,632808</w:t>
            </w:r>
          </w:p>
        </w:tc>
        <w:tc>
          <w:tcPr>
            <w:tcW w:w="1368" w:type="dxa"/>
          </w:tcPr>
          <w:p>
            <w:pPr/>
          </w:p>
        </w:tc>
        <w:tc>
          <w:tcPr>
            <w:tcW w:w="1452" w:type="dxa"/>
          </w:tcPr>
          <w:p>
            <w:pPr>
              <w:pStyle w:val="TableParagraph"/>
              <w:rPr>
                <w:sz w:val="22"/>
              </w:rPr>
            </w:pPr>
            <w:r>
              <w:rPr>
                <w:sz w:val="22"/>
              </w:rPr>
              <w:t>17,265771</w:t>
            </w:r>
          </w:p>
        </w:tc>
        <w:tc>
          <w:tcPr>
            <w:tcW w:w="1495" w:type="dxa"/>
          </w:tcPr>
          <w:p>
            <w:pPr>
              <w:pStyle w:val="TableParagraph"/>
              <w:rPr>
                <w:sz w:val="22"/>
              </w:rPr>
            </w:pPr>
            <w:r>
              <w:rPr>
                <w:sz w:val="22"/>
              </w:rPr>
              <w:t>3,5728E-05</w:t>
            </w:r>
          </w:p>
        </w:tc>
      </w:tr>
      <w:tr>
        <w:trPr>
          <w:trHeight w:val="310" w:hRule="exact"/>
        </w:trPr>
        <w:tc>
          <w:tcPr>
            <w:tcW w:w="5942" w:type="dxa"/>
            <w:gridSpan w:val="6"/>
            <w:vMerge w:val="restart"/>
            <w:tcBorders>
              <w:left w:val="nil"/>
            </w:tcBorders>
          </w:tcPr>
          <w:p>
            <w:pPr/>
          </w:p>
        </w:tc>
        <w:tc>
          <w:tcPr>
            <w:tcW w:w="2820"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95" w:type="dxa"/>
          </w:tcPr>
          <w:p>
            <w:pPr>
              <w:pStyle w:val="TableParagraph"/>
              <w:rPr>
                <w:b/>
                <w:sz w:val="22"/>
              </w:rPr>
            </w:pPr>
            <w:r>
              <w:rPr>
                <w:b/>
                <w:sz w:val="22"/>
              </w:rPr>
              <w:t>0,201</w:t>
            </w:r>
          </w:p>
        </w:tc>
      </w:tr>
      <w:tr>
        <w:trPr>
          <w:trHeight w:val="310" w:hRule="exact"/>
        </w:trPr>
        <w:tc>
          <w:tcPr>
            <w:tcW w:w="5942" w:type="dxa"/>
            <w:gridSpan w:val="6"/>
            <w:vMerge/>
            <w:tcBorders>
              <w:left w:val="nil"/>
            </w:tcBorders>
          </w:tcPr>
          <w:p>
            <w:pPr/>
          </w:p>
        </w:tc>
        <w:tc>
          <w:tcPr>
            <w:tcW w:w="2820" w:type="dxa"/>
            <w:gridSpan w:val="2"/>
          </w:tcPr>
          <w:p>
            <w:pPr>
              <w:pStyle w:val="TableParagraph"/>
              <w:spacing w:before="13"/>
              <w:ind w:left="64" w:right="0"/>
              <w:jc w:val="left"/>
              <w:rPr>
                <w:sz w:val="22"/>
              </w:rPr>
            </w:pPr>
            <w:r>
              <w:rPr>
                <w:sz w:val="22"/>
              </w:rPr>
              <w:t>Desviación estándar</w:t>
            </w:r>
          </w:p>
        </w:tc>
        <w:tc>
          <w:tcPr>
            <w:tcW w:w="1495" w:type="dxa"/>
          </w:tcPr>
          <w:p>
            <w:pPr>
              <w:pStyle w:val="TableParagraph"/>
              <w:rPr>
                <w:b/>
                <w:sz w:val="22"/>
              </w:rPr>
            </w:pPr>
            <w:r>
              <w:rPr>
                <w:b/>
                <w:sz w:val="22"/>
              </w:rPr>
              <w:t>0,0060</w:t>
            </w:r>
          </w:p>
        </w:tc>
      </w:tr>
      <w:tr>
        <w:trPr>
          <w:trHeight w:val="312" w:hRule="exact"/>
        </w:trPr>
        <w:tc>
          <w:tcPr>
            <w:tcW w:w="5942" w:type="dxa"/>
            <w:gridSpan w:val="6"/>
            <w:vMerge/>
            <w:tcBorders>
              <w:left w:val="nil"/>
            </w:tcBorders>
          </w:tcPr>
          <w:p>
            <w:pPr/>
          </w:p>
        </w:tc>
        <w:tc>
          <w:tcPr>
            <w:tcW w:w="2820" w:type="dxa"/>
            <w:gridSpan w:val="2"/>
            <w:vMerge w:val="restart"/>
          </w:tcPr>
          <w:p>
            <w:pPr>
              <w:pStyle w:val="TableParagraph"/>
              <w:spacing w:before="169"/>
              <w:ind w:left="64" w:right="0"/>
              <w:jc w:val="left"/>
              <w:rPr>
                <w:sz w:val="22"/>
              </w:rPr>
            </w:pPr>
            <w:r>
              <w:rPr>
                <w:sz w:val="22"/>
              </w:rPr>
              <w:t>Intervalo de confianza al 95 %</w:t>
            </w:r>
          </w:p>
        </w:tc>
        <w:tc>
          <w:tcPr>
            <w:tcW w:w="1495" w:type="dxa"/>
          </w:tcPr>
          <w:p>
            <w:pPr>
              <w:pStyle w:val="TableParagraph"/>
              <w:spacing w:before="30"/>
              <w:rPr>
                <w:sz w:val="22"/>
              </w:rPr>
            </w:pPr>
            <w:r>
              <w:rPr>
                <w:sz w:val="22"/>
              </w:rPr>
              <w:t>0,19</w:t>
            </w:r>
          </w:p>
        </w:tc>
      </w:tr>
      <w:tr>
        <w:trPr>
          <w:trHeight w:val="310" w:hRule="exact"/>
        </w:trPr>
        <w:tc>
          <w:tcPr>
            <w:tcW w:w="5942" w:type="dxa"/>
            <w:gridSpan w:val="6"/>
            <w:vMerge/>
            <w:tcBorders>
              <w:left w:val="nil"/>
              <w:bottom w:val="nil"/>
            </w:tcBorders>
          </w:tcPr>
          <w:p>
            <w:pPr/>
          </w:p>
        </w:tc>
        <w:tc>
          <w:tcPr>
            <w:tcW w:w="2820" w:type="dxa"/>
            <w:gridSpan w:val="2"/>
            <w:vMerge/>
          </w:tcPr>
          <w:p>
            <w:pPr/>
          </w:p>
        </w:tc>
        <w:tc>
          <w:tcPr>
            <w:tcW w:w="1495" w:type="dxa"/>
          </w:tcPr>
          <w:p>
            <w:pPr>
              <w:pStyle w:val="TableParagraph"/>
              <w:rPr>
                <w:sz w:val="22"/>
              </w:rPr>
            </w:pPr>
            <w:r>
              <w:rPr>
                <w:sz w:val="22"/>
              </w:rPr>
              <w:t>0,21</w:t>
            </w:r>
          </w:p>
        </w:tc>
      </w:tr>
    </w:tbl>
    <w:p>
      <w:pPr>
        <w:spacing w:after="0"/>
        <w:rPr>
          <w:sz w:val="22"/>
        </w:rPr>
        <w:sectPr>
          <w:pgSz w:w="12240" w:h="15840"/>
          <w:pgMar w:header="725" w:footer="1084" w:top="1340" w:bottom="1280" w:left="920" w:right="72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3"/>
        <w:gridCol w:w="790"/>
        <w:gridCol w:w="475"/>
        <w:gridCol w:w="1066"/>
        <w:gridCol w:w="1478"/>
        <w:gridCol w:w="1342"/>
        <w:gridCol w:w="1342"/>
        <w:gridCol w:w="1423"/>
        <w:gridCol w:w="1649"/>
      </w:tblGrid>
      <w:tr>
        <w:trPr>
          <w:trHeight w:val="310" w:hRule="exact"/>
        </w:trPr>
        <w:tc>
          <w:tcPr>
            <w:tcW w:w="10387" w:type="dxa"/>
            <w:gridSpan w:val="9"/>
          </w:tcPr>
          <w:p>
            <w:pPr>
              <w:pStyle w:val="TableParagraph"/>
              <w:ind w:left="4207" w:right="4207"/>
              <w:jc w:val="center"/>
              <w:rPr>
                <w:sz w:val="22"/>
              </w:rPr>
            </w:pPr>
            <w:r>
              <w:rPr>
                <w:sz w:val="22"/>
              </w:rPr>
              <w:t>Punto de Muestreo D</w:t>
            </w:r>
          </w:p>
        </w:tc>
      </w:tr>
      <w:tr>
        <w:trPr>
          <w:trHeight w:val="310" w:hRule="exact"/>
        </w:trPr>
        <w:tc>
          <w:tcPr>
            <w:tcW w:w="823" w:type="dxa"/>
          </w:tcPr>
          <w:p>
            <w:pPr>
              <w:pStyle w:val="TableParagraph"/>
              <w:spacing w:before="13"/>
              <w:ind w:left="2" w:right="44"/>
              <w:jc w:val="center"/>
              <w:rPr>
                <w:sz w:val="22"/>
              </w:rPr>
            </w:pPr>
            <w:r>
              <w:rPr>
                <w:sz w:val="22"/>
              </w:rPr>
              <w:t>Estrato</w:t>
            </w:r>
          </w:p>
        </w:tc>
        <w:tc>
          <w:tcPr>
            <w:tcW w:w="790"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1066" w:type="dxa"/>
          </w:tcPr>
          <w:p>
            <w:pPr>
              <w:pStyle w:val="TableParagraph"/>
              <w:spacing w:before="43"/>
              <w:ind w:left="335" w:right="34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78" w:type="dxa"/>
          </w:tcPr>
          <w:p>
            <w:pPr>
              <w:pStyle w:val="TableParagraph"/>
              <w:spacing w:line="214" w:lineRule="exact" w:before="6"/>
              <w:ind w:left="543" w:right="55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42" w:type="dxa"/>
          </w:tcPr>
          <w:p>
            <w:pPr>
              <w:pStyle w:val="TableParagraph"/>
              <w:spacing w:before="19"/>
              <w:ind w:left="538" w:right="54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42" w:type="dxa"/>
          </w:tcPr>
          <w:p>
            <w:pPr>
              <w:pStyle w:val="TableParagraph"/>
              <w:spacing w:before="43"/>
              <w:ind w:left="541" w:right="549"/>
              <w:jc w:val="center"/>
              <w:rPr>
                <w:rFonts w:ascii="Cambria Math"/>
                <w:sz w:val="16"/>
              </w:rPr>
            </w:pPr>
            <w:r>
              <w:rPr>
                <w:rFonts w:ascii="Cambria Math"/>
                <w:w w:val="110"/>
                <w:sz w:val="22"/>
              </w:rPr>
              <w:t>s</w:t>
            </w:r>
            <w:r>
              <w:rPr>
                <w:rFonts w:ascii="Cambria Math"/>
                <w:w w:val="110"/>
                <w:position w:val="-4"/>
                <w:sz w:val="16"/>
              </w:rPr>
              <w:t>h</w:t>
            </w:r>
          </w:p>
        </w:tc>
        <w:tc>
          <w:tcPr>
            <w:tcW w:w="1423" w:type="dxa"/>
          </w:tcPr>
          <w:p>
            <w:pPr>
              <w:pStyle w:val="TableParagraph"/>
              <w:spacing w:before="0"/>
              <w:ind w:left="37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49" w:type="dxa"/>
          </w:tcPr>
          <w:p>
            <w:pPr>
              <w:pStyle w:val="TableParagraph"/>
              <w:spacing w:before="0"/>
              <w:ind w:left="47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23" w:type="dxa"/>
          </w:tcPr>
          <w:p>
            <w:pPr>
              <w:pStyle w:val="TableParagraph"/>
              <w:spacing w:before="13"/>
              <w:ind w:right="1"/>
              <w:jc w:val="center"/>
              <w:rPr>
                <w:sz w:val="22"/>
              </w:rPr>
            </w:pPr>
            <w:r>
              <w:rPr>
                <w:w w:val="100"/>
                <w:sz w:val="22"/>
              </w:rPr>
              <w:t>1</w:t>
            </w:r>
          </w:p>
        </w:tc>
        <w:tc>
          <w:tcPr>
            <w:tcW w:w="790" w:type="dxa"/>
          </w:tcPr>
          <w:p>
            <w:pPr>
              <w:pStyle w:val="TableParagraph"/>
              <w:spacing w:before="30"/>
              <w:ind w:left="81" w:right="42"/>
              <w:jc w:val="center"/>
              <w:rPr>
                <w:sz w:val="22"/>
              </w:rPr>
            </w:pPr>
            <w:r>
              <w:rPr>
                <w:sz w:val="22"/>
              </w:rPr>
              <w:t>108,60</w:t>
            </w:r>
          </w:p>
        </w:tc>
        <w:tc>
          <w:tcPr>
            <w:tcW w:w="475" w:type="dxa"/>
          </w:tcPr>
          <w:p>
            <w:pPr>
              <w:pStyle w:val="TableParagraph"/>
              <w:spacing w:before="30"/>
              <w:rPr>
                <w:sz w:val="22"/>
              </w:rPr>
            </w:pPr>
            <w:r>
              <w:rPr>
                <w:sz w:val="22"/>
              </w:rPr>
              <w:t>108</w:t>
            </w:r>
          </w:p>
        </w:tc>
        <w:tc>
          <w:tcPr>
            <w:tcW w:w="1066" w:type="dxa"/>
          </w:tcPr>
          <w:p>
            <w:pPr>
              <w:pStyle w:val="TableParagraph"/>
              <w:spacing w:before="30"/>
              <w:rPr>
                <w:sz w:val="22"/>
              </w:rPr>
            </w:pPr>
            <w:r>
              <w:rPr>
                <w:sz w:val="22"/>
              </w:rPr>
              <w:t>0,112400</w:t>
            </w:r>
          </w:p>
        </w:tc>
        <w:tc>
          <w:tcPr>
            <w:tcW w:w="1478" w:type="dxa"/>
          </w:tcPr>
          <w:p>
            <w:pPr>
              <w:pStyle w:val="TableParagraph"/>
              <w:spacing w:before="30"/>
              <w:ind w:right="63"/>
              <w:rPr>
                <w:sz w:val="22"/>
              </w:rPr>
            </w:pPr>
            <w:r>
              <w:rPr>
                <w:sz w:val="22"/>
              </w:rPr>
              <w:t>0,0001053</w:t>
            </w:r>
          </w:p>
        </w:tc>
        <w:tc>
          <w:tcPr>
            <w:tcW w:w="1342" w:type="dxa"/>
          </w:tcPr>
          <w:p>
            <w:pPr>
              <w:pStyle w:val="TableParagraph"/>
              <w:spacing w:before="30"/>
              <w:ind w:right="63"/>
              <w:rPr>
                <w:sz w:val="22"/>
              </w:rPr>
            </w:pPr>
            <w:r>
              <w:rPr>
                <w:sz w:val="22"/>
              </w:rPr>
              <w:t>12,20664</w:t>
            </w:r>
          </w:p>
        </w:tc>
        <w:tc>
          <w:tcPr>
            <w:tcW w:w="1342" w:type="dxa"/>
          </w:tcPr>
          <w:p>
            <w:pPr>
              <w:pStyle w:val="TableParagraph"/>
              <w:spacing w:before="30"/>
              <w:ind w:right="63"/>
              <w:rPr>
                <w:sz w:val="22"/>
              </w:rPr>
            </w:pPr>
            <w:r>
              <w:rPr>
                <w:sz w:val="22"/>
              </w:rPr>
              <w:t>0,01026158</w:t>
            </w:r>
          </w:p>
        </w:tc>
        <w:tc>
          <w:tcPr>
            <w:tcW w:w="1423" w:type="dxa"/>
          </w:tcPr>
          <w:p>
            <w:pPr>
              <w:pStyle w:val="TableParagraph"/>
              <w:spacing w:before="30"/>
              <w:rPr>
                <w:sz w:val="22"/>
              </w:rPr>
            </w:pPr>
            <w:r>
              <w:rPr>
                <w:sz w:val="22"/>
              </w:rPr>
              <w:t>-0,00384448</w:t>
            </w:r>
          </w:p>
        </w:tc>
        <w:tc>
          <w:tcPr>
            <w:tcW w:w="1649" w:type="dxa"/>
          </w:tcPr>
          <w:p>
            <w:pPr>
              <w:pStyle w:val="TableParagraph"/>
              <w:spacing w:before="30"/>
              <w:rPr>
                <w:sz w:val="22"/>
              </w:rPr>
            </w:pPr>
            <w:r>
              <w:rPr>
                <w:sz w:val="22"/>
              </w:rPr>
              <w:t>-7,95528E-09</w:t>
            </w:r>
          </w:p>
        </w:tc>
      </w:tr>
      <w:tr>
        <w:trPr>
          <w:trHeight w:val="312" w:hRule="exact"/>
        </w:trPr>
        <w:tc>
          <w:tcPr>
            <w:tcW w:w="823" w:type="dxa"/>
          </w:tcPr>
          <w:p>
            <w:pPr>
              <w:pStyle w:val="TableParagraph"/>
              <w:spacing w:before="13"/>
              <w:ind w:right="1"/>
              <w:jc w:val="center"/>
              <w:rPr>
                <w:sz w:val="22"/>
              </w:rPr>
            </w:pPr>
            <w:r>
              <w:rPr>
                <w:w w:val="100"/>
                <w:sz w:val="22"/>
              </w:rPr>
              <w:t>2</w:t>
            </w:r>
          </w:p>
        </w:tc>
        <w:tc>
          <w:tcPr>
            <w:tcW w:w="790" w:type="dxa"/>
          </w:tcPr>
          <w:p>
            <w:pPr>
              <w:pStyle w:val="TableParagraph"/>
              <w:spacing w:before="30"/>
              <w:ind w:left="81" w:right="42"/>
              <w:jc w:val="center"/>
              <w:rPr>
                <w:sz w:val="22"/>
              </w:rPr>
            </w:pPr>
            <w:r>
              <w:rPr>
                <w:sz w:val="22"/>
              </w:rPr>
              <w:t>121,03</w:t>
            </w:r>
          </w:p>
        </w:tc>
        <w:tc>
          <w:tcPr>
            <w:tcW w:w="475" w:type="dxa"/>
          </w:tcPr>
          <w:p>
            <w:pPr>
              <w:pStyle w:val="TableParagraph"/>
              <w:spacing w:before="30"/>
              <w:rPr>
                <w:sz w:val="22"/>
              </w:rPr>
            </w:pPr>
            <w:r>
              <w:rPr>
                <w:sz w:val="22"/>
              </w:rPr>
              <w:t>81</w:t>
            </w:r>
          </w:p>
        </w:tc>
        <w:tc>
          <w:tcPr>
            <w:tcW w:w="1066" w:type="dxa"/>
          </w:tcPr>
          <w:p>
            <w:pPr>
              <w:pStyle w:val="TableParagraph"/>
              <w:spacing w:before="30"/>
              <w:rPr>
                <w:sz w:val="22"/>
              </w:rPr>
            </w:pPr>
            <w:r>
              <w:rPr>
                <w:sz w:val="22"/>
              </w:rPr>
              <w:t>0,174600</w:t>
            </w:r>
          </w:p>
        </w:tc>
        <w:tc>
          <w:tcPr>
            <w:tcW w:w="1478" w:type="dxa"/>
          </w:tcPr>
          <w:p>
            <w:pPr>
              <w:pStyle w:val="TableParagraph"/>
              <w:spacing w:before="30"/>
              <w:ind w:right="63"/>
              <w:rPr>
                <w:sz w:val="22"/>
              </w:rPr>
            </w:pPr>
            <w:r>
              <w:rPr>
                <w:sz w:val="22"/>
              </w:rPr>
              <w:t>0,0133363</w:t>
            </w:r>
          </w:p>
        </w:tc>
        <w:tc>
          <w:tcPr>
            <w:tcW w:w="1342" w:type="dxa"/>
          </w:tcPr>
          <w:p>
            <w:pPr>
              <w:pStyle w:val="TableParagraph"/>
              <w:spacing w:before="30"/>
              <w:ind w:right="63"/>
              <w:rPr>
                <w:sz w:val="22"/>
              </w:rPr>
            </w:pPr>
            <w:r>
              <w:rPr>
                <w:sz w:val="22"/>
              </w:rPr>
              <w:t>21,131838</w:t>
            </w:r>
          </w:p>
        </w:tc>
        <w:tc>
          <w:tcPr>
            <w:tcW w:w="1342" w:type="dxa"/>
          </w:tcPr>
          <w:p>
            <w:pPr>
              <w:pStyle w:val="TableParagraph"/>
              <w:spacing w:before="30"/>
              <w:ind w:right="63"/>
              <w:rPr>
                <w:sz w:val="22"/>
              </w:rPr>
            </w:pPr>
            <w:r>
              <w:rPr>
                <w:sz w:val="22"/>
              </w:rPr>
              <w:t>0,1154829</w:t>
            </w:r>
          </w:p>
        </w:tc>
        <w:tc>
          <w:tcPr>
            <w:tcW w:w="1423" w:type="dxa"/>
          </w:tcPr>
          <w:p>
            <w:pPr>
              <w:pStyle w:val="TableParagraph"/>
              <w:spacing w:before="30"/>
              <w:rPr>
                <w:sz w:val="22"/>
              </w:rPr>
            </w:pPr>
            <w:r>
              <w:rPr>
                <w:sz w:val="22"/>
              </w:rPr>
              <w:t>0,79887206</w:t>
            </w:r>
          </w:p>
        </w:tc>
        <w:tc>
          <w:tcPr>
            <w:tcW w:w="1649" w:type="dxa"/>
          </w:tcPr>
          <w:p>
            <w:pPr>
              <w:pStyle w:val="TableParagraph"/>
              <w:spacing w:before="30"/>
              <w:rPr>
                <w:sz w:val="22"/>
              </w:rPr>
            </w:pPr>
            <w:r>
              <w:rPr>
                <w:sz w:val="22"/>
              </w:rPr>
              <w:t>1,65309E-06</w:t>
            </w:r>
          </w:p>
        </w:tc>
      </w:tr>
      <w:tr>
        <w:trPr>
          <w:trHeight w:val="310" w:hRule="exact"/>
        </w:trPr>
        <w:tc>
          <w:tcPr>
            <w:tcW w:w="823" w:type="dxa"/>
          </w:tcPr>
          <w:p>
            <w:pPr>
              <w:pStyle w:val="TableParagraph"/>
              <w:spacing w:before="11"/>
              <w:ind w:right="1"/>
              <w:jc w:val="center"/>
              <w:rPr>
                <w:sz w:val="22"/>
              </w:rPr>
            </w:pPr>
            <w:r>
              <w:rPr>
                <w:w w:val="100"/>
                <w:sz w:val="22"/>
              </w:rPr>
              <w:t>3</w:t>
            </w:r>
          </w:p>
        </w:tc>
        <w:tc>
          <w:tcPr>
            <w:tcW w:w="790" w:type="dxa"/>
          </w:tcPr>
          <w:p>
            <w:pPr>
              <w:pStyle w:val="TableParagraph"/>
              <w:ind w:left="81" w:right="42"/>
              <w:jc w:val="center"/>
              <w:rPr>
                <w:sz w:val="22"/>
              </w:rPr>
            </w:pPr>
            <w:r>
              <w:rPr>
                <w:sz w:val="22"/>
              </w:rPr>
              <w:t>130,21</w:t>
            </w:r>
          </w:p>
        </w:tc>
        <w:tc>
          <w:tcPr>
            <w:tcW w:w="475" w:type="dxa"/>
          </w:tcPr>
          <w:p>
            <w:pPr>
              <w:pStyle w:val="TableParagraph"/>
              <w:rPr>
                <w:sz w:val="22"/>
              </w:rPr>
            </w:pPr>
            <w:r>
              <w:rPr>
                <w:sz w:val="22"/>
              </w:rPr>
              <w:t>77</w:t>
            </w:r>
          </w:p>
        </w:tc>
        <w:tc>
          <w:tcPr>
            <w:tcW w:w="1066" w:type="dxa"/>
          </w:tcPr>
          <w:p>
            <w:pPr>
              <w:pStyle w:val="TableParagraph"/>
              <w:rPr>
                <w:sz w:val="22"/>
              </w:rPr>
            </w:pPr>
            <w:r>
              <w:rPr>
                <w:sz w:val="22"/>
              </w:rPr>
              <w:t>0,304200</w:t>
            </w:r>
          </w:p>
        </w:tc>
        <w:tc>
          <w:tcPr>
            <w:tcW w:w="1478" w:type="dxa"/>
          </w:tcPr>
          <w:p>
            <w:pPr>
              <w:pStyle w:val="TableParagraph"/>
              <w:ind w:right="63"/>
              <w:rPr>
                <w:sz w:val="22"/>
              </w:rPr>
            </w:pPr>
            <w:r>
              <w:rPr>
                <w:sz w:val="22"/>
              </w:rPr>
              <w:t>0,1068137</w:t>
            </w:r>
          </w:p>
        </w:tc>
        <w:tc>
          <w:tcPr>
            <w:tcW w:w="1342" w:type="dxa"/>
          </w:tcPr>
          <w:p>
            <w:pPr>
              <w:pStyle w:val="TableParagraph"/>
              <w:ind w:right="63"/>
              <w:rPr>
                <w:sz w:val="22"/>
              </w:rPr>
            </w:pPr>
            <w:r>
              <w:rPr>
                <w:sz w:val="22"/>
              </w:rPr>
              <w:t>39,609882</w:t>
            </w:r>
          </w:p>
        </w:tc>
        <w:tc>
          <w:tcPr>
            <w:tcW w:w="1342" w:type="dxa"/>
          </w:tcPr>
          <w:p>
            <w:pPr>
              <w:pStyle w:val="TableParagraph"/>
              <w:ind w:right="63"/>
              <w:rPr>
                <w:sz w:val="22"/>
              </w:rPr>
            </w:pPr>
            <w:r>
              <w:rPr>
                <w:sz w:val="22"/>
              </w:rPr>
              <w:t>0,32682365</w:t>
            </w:r>
          </w:p>
        </w:tc>
        <w:tc>
          <w:tcPr>
            <w:tcW w:w="1423" w:type="dxa"/>
          </w:tcPr>
          <w:p>
            <w:pPr>
              <w:pStyle w:val="TableParagraph"/>
              <w:rPr>
                <w:sz w:val="22"/>
              </w:rPr>
            </w:pPr>
            <w:r>
              <w:rPr>
                <w:sz w:val="22"/>
              </w:rPr>
              <w:t>9,75246579</w:t>
            </w:r>
          </w:p>
        </w:tc>
        <w:tc>
          <w:tcPr>
            <w:tcW w:w="1649" w:type="dxa"/>
          </w:tcPr>
          <w:p>
            <w:pPr>
              <w:pStyle w:val="TableParagraph"/>
              <w:rPr>
                <w:sz w:val="22"/>
              </w:rPr>
            </w:pPr>
            <w:r>
              <w:rPr>
                <w:sz w:val="22"/>
              </w:rPr>
              <w:t>2,01805E-05</w:t>
            </w:r>
          </w:p>
        </w:tc>
      </w:tr>
      <w:tr>
        <w:trPr>
          <w:trHeight w:val="310" w:hRule="exact"/>
        </w:trPr>
        <w:tc>
          <w:tcPr>
            <w:tcW w:w="823" w:type="dxa"/>
          </w:tcPr>
          <w:p>
            <w:pPr>
              <w:pStyle w:val="TableParagraph"/>
              <w:spacing w:before="13"/>
              <w:ind w:right="1"/>
              <w:jc w:val="center"/>
              <w:rPr>
                <w:sz w:val="22"/>
              </w:rPr>
            </w:pPr>
            <w:r>
              <w:rPr>
                <w:w w:val="100"/>
                <w:sz w:val="22"/>
              </w:rPr>
              <w:t>4</w:t>
            </w:r>
          </w:p>
        </w:tc>
        <w:tc>
          <w:tcPr>
            <w:tcW w:w="790" w:type="dxa"/>
          </w:tcPr>
          <w:p>
            <w:pPr>
              <w:pStyle w:val="TableParagraph"/>
              <w:ind w:left="81" w:right="42"/>
              <w:jc w:val="center"/>
              <w:rPr>
                <w:sz w:val="22"/>
              </w:rPr>
            </w:pPr>
            <w:r>
              <w:rPr>
                <w:sz w:val="22"/>
              </w:rPr>
              <w:t>155,12</w:t>
            </w:r>
          </w:p>
        </w:tc>
        <w:tc>
          <w:tcPr>
            <w:tcW w:w="475" w:type="dxa"/>
          </w:tcPr>
          <w:p>
            <w:pPr>
              <w:pStyle w:val="TableParagraph"/>
              <w:rPr>
                <w:sz w:val="22"/>
              </w:rPr>
            </w:pPr>
            <w:r>
              <w:rPr>
                <w:sz w:val="22"/>
              </w:rPr>
              <w:t>92</w:t>
            </w:r>
          </w:p>
        </w:tc>
        <w:tc>
          <w:tcPr>
            <w:tcW w:w="1066" w:type="dxa"/>
          </w:tcPr>
          <w:p>
            <w:pPr>
              <w:pStyle w:val="TableParagraph"/>
              <w:rPr>
                <w:sz w:val="22"/>
              </w:rPr>
            </w:pPr>
            <w:r>
              <w:rPr>
                <w:sz w:val="22"/>
              </w:rPr>
              <w:t>0,110400</w:t>
            </w:r>
          </w:p>
        </w:tc>
        <w:tc>
          <w:tcPr>
            <w:tcW w:w="1478" w:type="dxa"/>
          </w:tcPr>
          <w:p>
            <w:pPr>
              <w:pStyle w:val="TableParagraph"/>
              <w:ind w:right="63"/>
              <w:rPr>
                <w:sz w:val="22"/>
              </w:rPr>
            </w:pPr>
            <w:r>
              <w:rPr>
                <w:sz w:val="22"/>
              </w:rPr>
              <w:t>0,0008328</w:t>
            </w:r>
          </w:p>
        </w:tc>
        <w:tc>
          <w:tcPr>
            <w:tcW w:w="1342" w:type="dxa"/>
          </w:tcPr>
          <w:p>
            <w:pPr>
              <w:pStyle w:val="TableParagraph"/>
              <w:ind w:right="63"/>
              <w:rPr>
                <w:sz w:val="22"/>
              </w:rPr>
            </w:pPr>
            <w:r>
              <w:rPr>
                <w:sz w:val="22"/>
              </w:rPr>
              <w:t>17,125248</w:t>
            </w:r>
          </w:p>
        </w:tc>
        <w:tc>
          <w:tcPr>
            <w:tcW w:w="1342" w:type="dxa"/>
          </w:tcPr>
          <w:p>
            <w:pPr>
              <w:pStyle w:val="TableParagraph"/>
              <w:ind w:right="63"/>
              <w:rPr>
                <w:sz w:val="22"/>
              </w:rPr>
            </w:pPr>
            <w:r>
              <w:rPr>
                <w:sz w:val="22"/>
              </w:rPr>
              <w:t>0,02885827</w:t>
            </w:r>
          </w:p>
        </w:tc>
        <w:tc>
          <w:tcPr>
            <w:tcW w:w="1423" w:type="dxa"/>
          </w:tcPr>
          <w:p>
            <w:pPr>
              <w:pStyle w:val="TableParagraph"/>
              <w:rPr>
                <w:sz w:val="22"/>
              </w:rPr>
            </w:pPr>
            <w:r>
              <w:rPr>
                <w:sz w:val="22"/>
              </w:rPr>
              <w:t>0,08908218</w:t>
            </w:r>
          </w:p>
        </w:tc>
        <w:tc>
          <w:tcPr>
            <w:tcW w:w="1649" w:type="dxa"/>
          </w:tcPr>
          <w:p>
            <w:pPr>
              <w:pStyle w:val="TableParagraph"/>
              <w:rPr>
                <w:sz w:val="22"/>
              </w:rPr>
            </w:pPr>
            <w:r>
              <w:rPr>
                <w:sz w:val="22"/>
              </w:rPr>
              <w:t>1,84335E-07</w:t>
            </w:r>
          </w:p>
        </w:tc>
      </w:tr>
      <w:tr>
        <w:trPr>
          <w:trHeight w:val="310" w:hRule="exact"/>
        </w:trPr>
        <w:tc>
          <w:tcPr>
            <w:tcW w:w="823" w:type="dxa"/>
          </w:tcPr>
          <w:p>
            <w:pPr>
              <w:pStyle w:val="TableParagraph"/>
              <w:spacing w:before="13"/>
              <w:ind w:right="1"/>
              <w:jc w:val="center"/>
              <w:rPr>
                <w:sz w:val="22"/>
              </w:rPr>
            </w:pPr>
            <w:r>
              <w:rPr>
                <w:w w:val="100"/>
                <w:sz w:val="22"/>
              </w:rPr>
              <w:t>5</w:t>
            </w:r>
          </w:p>
        </w:tc>
        <w:tc>
          <w:tcPr>
            <w:tcW w:w="790" w:type="dxa"/>
          </w:tcPr>
          <w:p>
            <w:pPr>
              <w:pStyle w:val="TableParagraph"/>
              <w:ind w:left="81" w:right="42"/>
              <w:jc w:val="center"/>
              <w:rPr>
                <w:sz w:val="22"/>
              </w:rPr>
            </w:pPr>
            <w:r>
              <w:rPr>
                <w:sz w:val="22"/>
              </w:rPr>
              <w:t>180,21</w:t>
            </w:r>
          </w:p>
        </w:tc>
        <w:tc>
          <w:tcPr>
            <w:tcW w:w="475" w:type="dxa"/>
          </w:tcPr>
          <w:p>
            <w:pPr>
              <w:pStyle w:val="TableParagraph"/>
              <w:rPr>
                <w:sz w:val="22"/>
              </w:rPr>
            </w:pPr>
            <w:r>
              <w:rPr>
                <w:sz w:val="22"/>
              </w:rPr>
              <w:t>132</w:t>
            </w:r>
          </w:p>
        </w:tc>
        <w:tc>
          <w:tcPr>
            <w:tcW w:w="1066" w:type="dxa"/>
          </w:tcPr>
          <w:p>
            <w:pPr>
              <w:pStyle w:val="TableParagraph"/>
              <w:rPr>
                <w:sz w:val="22"/>
              </w:rPr>
            </w:pPr>
            <w:r>
              <w:rPr>
                <w:sz w:val="22"/>
              </w:rPr>
              <w:t>0,465833</w:t>
            </w:r>
          </w:p>
        </w:tc>
        <w:tc>
          <w:tcPr>
            <w:tcW w:w="1478" w:type="dxa"/>
          </w:tcPr>
          <w:p>
            <w:pPr>
              <w:pStyle w:val="TableParagraph"/>
              <w:ind w:right="63"/>
              <w:rPr>
                <w:sz w:val="22"/>
              </w:rPr>
            </w:pPr>
            <w:r>
              <w:rPr>
                <w:sz w:val="22"/>
              </w:rPr>
              <w:t>0,089312567</w:t>
            </w:r>
          </w:p>
        </w:tc>
        <w:tc>
          <w:tcPr>
            <w:tcW w:w="1342" w:type="dxa"/>
          </w:tcPr>
          <w:p>
            <w:pPr>
              <w:pStyle w:val="TableParagraph"/>
              <w:ind w:right="63"/>
              <w:rPr>
                <w:sz w:val="22"/>
              </w:rPr>
            </w:pPr>
            <w:r>
              <w:rPr>
                <w:sz w:val="22"/>
              </w:rPr>
              <w:t>83,947825</w:t>
            </w:r>
          </w:p>
        </w:tc>
        <w:tc>
          <w:tcPr>
            <w:tcW w:w="1342" w:type="dxa"/>
          </w:tcPr>
          <w:p>
            <w:pPr>
              <w:pStyle w:val="TableParagraph"/>
              <w:ind w:right="63"/>
              <w:rPr>
                <w:sz w:val="22"/>
              </w:rPr>
            </w:pPr>
            <w:r>
              <w:rPr>
                <w:sz w:val="22"/>
              </w:rPr>
              <w:t>0,29885208</w:t>
            </w:r>
          </w:p>
        </w:tc>
        <w:tc>
          <w:tcPr>
            <w:tcW w:w="1423" w:type="dxa"/>
          </w:tcPr>
          <w:p>
            <w:pPr>
              <w:pStyle w:val="TableParagraph"/>
              <w:rPr>
                <w:sz w:val="22"/>
              </w:rPr>
            </w:pPr>
            <w:r>
              <w:rPr>
                <w:sz w:val="22"/>
              </w:rPr>
              <w:t>5,87168282</w:t>
            </w:r>
          </w:p>
        </w:tc>
        <w:tc>
          <w:tcPr>
            <w:tcW w:w="1649" w:type="dxa"/>
          </w:tcPr>
          <w:p>
            <w:pPr>
              <w:pStyle w:val="TableParagraph"/>
              <w:rPr>
                <w:sz w:val="22"/>
              </w:rPr>
            </w:pPr>
            <w:r>
              <w:rPr>
                <w:sz w:val="22"/>
              </w:rPr>
              <w:t>1,21501E-05</w:t>
            </w:r>
          </w:p>
        </w:tc>
      </w:tr>
      <w:tr>
        <w:trPr>
          <w:trHeight w:val="310" w:hRule="exact"/>
        </w:trPr>
        <w:tc>
          <w:tcPr>
            <w:tcW w:w="823" w:type="dxa"/>
          </w:tcPr>
          <w:p>
            <w:pPr>
              <w:pStyle w:val="TableParagraph"/>
              <w:spacing w:before="13"/>
              <w:ind w:right="0"/>
              <w:jc w:val="center"/>
              <w:rPr>
                <w:sz w:val="22"/>
              </w:rPr>
            </w:pPr>
            <w:r>
              <w:rPr>
                <w:w w:val="100"/>
                <w:sz w:val="22"/>
              </w:rPr>
              <w:t>N</w:t>
            </w:r>
          </w:p>
        </w:tc>
        <w:tc>
          <w:tcPr>
            <w:tcW w:w="790" w:type="dxa"/>
          </w:tcPr>
          <w:p>
            <w:pPr>
              <w:pStyle w:val="TableParagraph"/>
              <w:ind w:left="81" w:right="42"/>
              <w:jc w:val="center"/>
              <w:rPr>
                <w:sz w:val="22"/>
              </w:rPr>
            </w:pPr>
            <w:r>
              <w:rPr>
                <w:sz w:val="22"/>
              </w:rPr>
              <w:t>695,17</w:t>
            </w:r>
          </w:p>
        </w:tc>
        <w:tc>
          <w:tcPr>
            <w:tcW w:w="475" w:type="dxa"/>
          </w:tcPr>
          <w:p>
            <w:pPr/>
          </w:p>
        </w:tc>
        <w:tc>
          <w:tcPr>
            <w:tcW w:w="1066" w:type="dxa"/>
          </w:tcPr>
          <w:p>
            <w:pPr/>
          </w:p>
        </w:tc>
        <w:tc>
          <w:tcPr>
            <w:tcW w:w="1478" w:type="dxa"/>
          </w:tcPr>
          <w:p>
            <w:pPr>
              <w:pStyle w:val="TableParagraph"/>
              <w:spacing w:line="314" w:lineRule="exact" w:before="0"/>
              <w:ind w:left="543" w:right="55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2" w:type="dxa"/>
          </w:tcPr>
          <w:p>
            <w:pPr>
              <w:pStyle w:val="TableParagraph"/>
              <w:ind w:right="63"/>
              <w:rPr>
                <w:sz w:val="22"/>
              </w:rPr>
            </w:pPr>
            <w:r>
              <w:rPr>
                <w:sz w:val="22"/>
              </w:rPr>
              <w:t>174,021433</w:t>
            </w:r>
          </w:p>
        </w:tc>
        <w:tc>
          <w:tcPr>
            <w:tcW w:w="1342" w:type="dxa"/>
          </w:tcPr>
          <w:p>
            <w:pPr/>
          </w:p>
        </w:tc>
        <w:tc>
          <w:tcPr>
            <w:tcW w:w="1423" w:type="dxa"/>
          </w:tcPr>
          <w:p>
            <w:pPr>
              <w:pStyle w:val="TableParagraph"/>
              <w:rPr>
                <w:sz w:val="22"/>
              </w:rPr>
            </w:pPr>
            <w:r>
              <w:rPr>
                <w:sz w:val="22"/>
              </w:rPr>
              <w:t>16,5082584</w:t>
            </w:r>
          </w:p>
        </w:tc>
        <w:tc>
          <w:tcPr>
            <w:tcW w:w="1649" w:type="dxa"/>
          </w:tcPr>
          <w:p>
            <w:pPr>
              <w:pStyle w:val="TableParagraph"/>
              <w:rPr>
                <w:sz w:val="22"/>
              </w:rPr>
            </w:pPr>
            <w:r>
              <w:rPr>
                <w:sz w:val="22"/>
              </w:rPr>
              <w:t>3,41601E-05</w:t>
            </w:r>
          </w:p>
        </w:tc>
      </w:tr>
      <w:tr>
        <w:trPr>
          <w:trHeight w:val="310" w:hRule="exact"/>
        </w:trPr>
        <w:tc>
          <w:tcPr>
            <w:tcW w:w="5974" w:type="dxa"/>
            <w:gridSpan w:val="6"/>
            <w:vMerge w:val="restart"/>
            <w:tcBorders>
              <w:left w:val="nil"/>
            </w:tcBorders>
          </w:tcPr>
          <w:p>
            <w:pPr/>
          </w:p>
        </w:tc>
        <w:tc>
          <w:tcPr>
            <w:tcW w:w="2765"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49" w:type="dxa"/>
          </w:tcPr>
          <w:p>
            <w:pPr>
              <w:pStyle w:val="TableParagraph"/>
              <w:spacing w:before="30"/>
              <w:rPr>
                <w:b/>
                <w:sz w:val="22"/>
              </w:rPr>
            </w:pPr>
            <w:r>
              <w:rPr>
                <w:b/>
                <w:sz w:val="22"/>
              </w:rPr>
              <w:t>0,250</w:t>
            </w:r>
          </w:p>
        </w:tc>
      </w:tr>
      <w:tr>
        <w:trPr>
          <w:trHeight w:val="312" w:hRule="exact"/>
        </w:trPr>
        <w:tc>
          <w:tcPr>
            <w:tcW w:w="5974" w:type="dxa"/>
            <w:gridSpan w:val="6"/>
            <w:vMerge/>
            <w:tcBorders>
              <w:left w:val="nil"/>
            </w:tcBorders>
          </w:tcPr>
          <w:p>
            <w:pPr/>
          </w:p>
        </w:tc>
        <w:tc>
          <w:tcPr>
            <w:tcW w:w="2765" w:type="dxa"/>
            <w:gridSpan w:val="2"/>
          </w:tcPr>
          <w:p>
            <w:pPr>
              <w:pStyle w:val="TableParagraph"/>
              <w:spacing w:before="13"/>
              <w:ind w:left="64" w:right="0"/>
              <w:jc w:val="left"/>
              <w:rPr>
                <w:sz w:val="22"/>
              </w:rPr>
            </w:pPr>
            <w:r>
              <w:rPr>
                <w:sz w:val="22"/>
              </w:rPr>
              <w:t>Desviación estándar</w:t>
            </w:r>
          </w:p>
        </w:tc>
        <w:tc>
          <w:tcPr>
            <w:tcW w:w="1649" w:type="dxa"/>
          </w:tcPr>
          <w:p>
            <w:pPr>
              <w:pStyle w:val="TableParagraph"/>
              <w:spacing w:before="30"/>
              <w:rPr>
                <w:b/>
                <w:sz w:val="22"/>
              </w:rPr>
            </w:pPr>
            <w:r>
              <w:rPr>
                <w:b/>
                <w:sz w:val="22"/>
              </w:rPr>
              <w:t>0,0058</w:t>
            </w:r>
          </w:p>
        </w:tc>
      </w:tr>
      <w:tr>
        <w:trPr>
          <w:trHeight w:val="310" w:hRule="exact"/>
        </w:trPr>
        <w:tc>
          <w:tcPr>
            <w:tcW w:w="5974" w:type="dxa"/>
            <w:gridSpan w:val="6"/>
            <w:vMerge/>
            <w:tcBorders>
              <w:left w:val="nil"/>
            </w:tcBorders>
          </w:tcPr>
          <w:p>
            <w:pPr/>
          </w:p>
        </w:tc>
        <w:tc>
          <w:tcPr>
            <w:tcW w:w="2765" w:type="dxa"/>
            <w:gridSpan w:val="2"/>
            <w:vMerge w:val="restart"/>
          </w:tcPr>
          <w:p>
            <w:pPr>
              <w:pStyle w:val="TableParagraph"/>
              <w:spacing w:before="33"/>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649" w:type="dxa"/>
          </w:tcPr>
          <w:p>
            <w:pPr>
              <w:pStyle w:val="TableParagraph"/>
              <w:rPr>
                <w:sz w:val="22"/>
              </w:rPr>
            </w:pPr>
            <w:r>
              <w:rPr>
                <w:sz w:val="22"/>
              </w:rPr>
              <w:t>0,24</w:t>
            </w:r>
          </w:p>
        </w:tc>
      </w:tr>
      <w:tr>
        <w:trPr>
          <w:trHeight w:val="310" w:hRule="exact"/>
        </w:trPr>
        <w:tc>
          <w:tcPr>
            <w:tcW w:w="5974" w:type="dxa"/>
            <w:gridSpan w:val="6"/>
            <w:vMerge/>
            <w:tcBorders>
              <w:left w:val="nil"/>
              <w:bottom w:val="nil"/>
            </w:tcBorders>
          </w:tcPr>
          <w:p>
            <w:pPr/>
          </w:p>
        </w:tc>
        <w:tc>
          <w:tcPr>
            <w:tcW w:w="2765" w:type="dxa"/>
            <w:gridSpan w:val="2"/>
            <w:vMerge/>
          </w:tcPr>
          <w:p>
            <w:pPr/>
          </w:p>
        </w:tc>
        <w:tc>
          <w:tcPr>
            <w:tcW w:w="1649" w:type="dxa"/>
          </w:tcPr>
          <w:p>
            <w:pPr>
              <w:pStyle w:val="TableParagraph"/>
              <w:rPr>
                <w:sz w:val="22"/>
              </w:rPr>
            </w:pPr>
            <w:r>
              <w:rPr>
                <w:sz w:val="22"/>
              </w:rPr>
              <w:t>0,26</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3"/>
        <w:gridCol w:w="790"/>
        <w:gridCol w:w="475"/>
        <w:gridCol w:w="1066"/>
        <w:gridCol w:w="1478"/>
        <w:gridCol w:w="1342"/>
        <w:gridCol w:w="1342"/>
        <w:gridCol w:w="1423"/>
        <w:gridCol w:w="1649"/>
      </w:tblGrid>
      <w:tr>
        <w:trPr>
          <w:trHeight w:val="310" w:hRule="exact"/>
        </w:trPr>
        <w:tc>
          <w:tcPr>
            <w:tcW w:w="10387" w:type="dxa"/>
            <w:gridSpan w:val="9"/>
          </w:tcPr>
          <w:p>
            <w:pPr>
              <w:pStyle w:val="TableParagraph"/>
              <w:ind w:left="4207" w:right="4206"/>
              <w:jc w:val="center"/>
              <w:rPr>
                <w:sz w:val="22"/>
              </w:rPr>
            </w:pPr>
            <w:r>
              <w:rPr>
                <w:sz w:val="22"/>
              </w:rPr>
              <w:t>Punto de Muestreo E</w:t>
            </w:r>
          </w:p>
        </w:tc>
      </w:tr>
      <w:tr>
        <w:trPr>
          <w:trHeight w:val="310" w:hRule="exact"/>
        </w:trPr>
        <w:tc>
          <w:tcPr>
            <w:tcW w:w="823" w:type="dxa"/>
          </w:tcPr>
          <w:p>
            <w:pPr>
              <w:pStyle w:val="TableParagraph"/>
              <w:spacing w:before="13"/>
              <w:ind w:left="64" w:right="0"/>
              <w:jc w:val="left"/>
              <w:rPr>
                <w:sz w:val="22"/>
              </w:rPr>
            </w:pPr>
            <w:r>
              <w:rPr>
                <w:sz w:val="22"/>
              </w:rPr>
              <w:t>Estrato</w:t>
            </w:r>
          </w:p>
        </w:tc>
        <w:tc>
          <w:tcPr>
            <w:tcW w:w="790"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1066" w:type="dxa"/>
          </w:tcPr>
          <w:p>
            <w:pPr>
              <w:pStyle w:val="TableParagraph"/>
              <w:spacing w:before="43"/>
              <w:ind w:left="335" w:right="34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78" w:type="dxa"/>
          </w:tcPr>
          <w:p>
            <w:pPr>
              <w:pStyle w:val="TableParagraph"/>
              <w:spacing w:line="214" w:lineRule="exact" w:before="6"/>
              <w:ind w:left="543" w:right="55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42" w:type="dxa"/>
          </w:tcPr>
          <w:p>
            <w:pPr>
              <w:pStyle w:val="TableParagraph"/>
              <w:spacing w:before="19"/>
              <w:ind w:left="538" w:right="54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42" w:type="dxa"/>
          </w:tcPr>
          <w:p>
            <w:pPr>
              <w:pStyle w:val="TableParagraph"/>
              <w:spacing w:before="43"/>
              <w:ind w:left="541" w:right="549"/>
              <w:jc w:val="center"/>
              <w:rPr>
                <w:rFonts w:ascii="Cambria Math"/>
                <w:sz w:val="16"/>
              </w:rPr>
            </w:pPr>
            <w:r>
              <w:rPr>
                <w:rFonts w:ascii="Cambria Math"/>
                <w:w w:val="110"/>
                <w:sz w:val="22"/>
              </w:rPr>
              <w:t>s</w:t>
            </w:r>
            <w:r>
              <w:rPr>
                <w:rFonts w:ascii="Cambria Math"/>
                <w:w w:val="110"/>
                <w:position w:val="-4"/>
                <w:sz w:val="16"/>
              </w:rPr>
              <w:t>h</w:t>
            </w:r>
          </w:p>
        </w:tc>
        <w:tc>
          <w:tcPr>
            <w:tcW w:w="1423" w:type="dxa"/>
          </w:tcPr>
          <w:p>
            <w:pPr>
              <w:pStyle w:val="TableParagraph"/>
              <w:spacing w:before="0"/>
              <w:ind w:left="37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49" w:type="dxa"/>
          </w:tcPr>
          <w:p>
            <w:pPr>
              <w:pStyle w:val="TableParagraph"/>
              <w:spacing w:before="0"/>
              <w:ind w:left="47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23" w:type="dxa"/>
          </w:tcPr>
          <w:p>
            <w:pPr>
              <w:pStyle w:val="TableParagraph"/>
              <w:spacing w:before="30"/>
              <w:rPr>
                <w:sz w:val="22"/>
              </w:rPr>
            </w:pPr>
            <w:r>
              <w:rPr>
                <w:w w:val="100"/>
                <w:sz w:val="22"/>
              </w:rPr>
              <w:t>1</w:t>
            </w:r>
          </w:p>
        </w:tc>
        <w:tc>
          <w:tcPr>
            <w:tcW w:w="790" w:type="dxa"/>
          </w:tcPr>
          <w:p>
            <w:pPr>
              <w:pStyle w:val="TableParagraph"/>
              <w:spacing w:before="30"/>
              <w:ind w:left="81" w:right="42"/>
              <w:jc w:val="center"/>
              <w:rPr>
                <w:sz w:val="22"/>
              </w:rPr>
            </w:pPr>
            <w:r>
              <w:rPr>
                <w:sz w:val="22"/>
              </w:rPr>
              <w:t>108,60</w:t>
            </w:r>
          </w:p>
        </w:tc>
        <w:tc>
          <w:tcPr>
            <w:tcW w:w="475" w:type="dxa"/>
          </w:tcPr>
          <w:p>
            <w:pPr>
              <w:pStyle w:val="TableParagraph"/>
              <w:spacing w:before="30"/>
              <w:rPr>
                <w:sz w:val="22"/>
              </w:rPr>
            </w:pPr>
            <w:r>
              <w:rPr>
                <w:sz w:val="22"/>
              </w:rPr>
              <w:t>108</w:t>
            </w:r>
          </w:p>
        </w:tc>
        <w:tc>
          <w:tcPr>
            <w:tcW w:w="1066" w:type="dxa"/>
          </w:tcPr>
          <w:p>
            <w:pPr>
              <w:pStyle w:val="TableParagraph"/>
              <w:spacing w:before="30"/>
              <w:rPr>
                <w:sz w:val="22"/>
              </w:rPr>
            </w:pPr>
            <w:r>
              <w:rPr>
                <w:sz w:val="22"/>
              </w:rPr>
              <w:t>0,112600</w:t>
            </w:r>
          </w:p>
        </w:tc>
        <w:tc>
          <w:tcPr>
            <w:tcW w:w="1478" w:type="dxa"/>
          </w:tcPr>
          <w:p>
            <w:pPr>
              <w:pStyle w:val="TableParagraph"/>
              <w:spacing w:before="30"/>
              <w:ind w:right="63"/>
              <w:rPr>
                <w:sz w:val="22"/>
              </w:rPr>
            </w:pPr>
            <w:r>
              <w:rPr>
                <w:sz w:val="22"/>
              </w:rPr>
              <w:t>9,93E-05</w:t>
            </w:r>
          </w:p>
        </w:tc>
        <w:tc>
          <w:tcPr>
            <w:tcW w:w="1342" w:type="dxa"/>
          </w:tcPr>
          <w:p>
            <w:pPr>
              <w:pStyle w:val="TableParagraph"/>
              <w:spacing w:before="30"/>
              <w:ind w:right="63"/>
              <w:rPr>
                <w:sz w:val="22"/>
              </w:rPr>
            </w:pPr>
            <w:r>
              <w:rPr>
                <w:sz w:val="22"/>
              </w:rPr>
              <w:t>12,22836</w:t>
            </w:r>
          </w:p>
        </w:tc>
        <w:tc>
          <w:tcPr>
            <w:tcW w:w="1342" w:type="dxa"/>
          </w:tcPr>
          <w:p>
            <w:pPr>
              <w:pStyle w:val="TableParagraph"/>
              <w:spacing w:before="30"/>
              <w:ind w:right="63"/>
              <w:rPr>
                <w:sz w:val="22"/>
              </w:rPr>
            </w:pPr>
            <w:r>
              <w:rPr>
                <w:sz w:val="22"/>
              </w:rPr>
              <w:t>0,00996494</w:t>
            </w:r>
          </w:p>
        </w:tc>
        <w:tc>
          <w:tcPr>
            <w:tcW w:w="1423" w:type="dxa"/>
          </w:tcPr>
          <w:p>
            <w:pPr>
              <w:pStyle w:val="TableParagraph"/>
              <w:spacing w:before="30"/>
              <w:rPr>
                <w:sz w:val="22"/>
              </w:rPr>
            </w:pPr>
            <w:r>
              <w:rPr>
                <w:sz w:val="22"/>
              </w:rPr>
              <w:t>-0,00362542</w:t>
            </w:r>
          </w:p>
        </w:tc>
        <w:tc>
          <w:tcPr>
            <w:tcW w:w="1649" w:type="dxa"/>
          </w:tcPr>
          <w:p>
            <w:pPr>
              <w:pStyle w:val="TableParagraph"/>
              <w:spacing w:before="30"/>
              <w:rPr>
                <w:sz w:val="22"/>
              </w:rPr>
            </w:pPr>
            <w:r>
              <w:rPr>
                <w:sz w:val="22"/>
              </w:rPr>
              <w:t>-7,50199E-09</w:t>
            </w:r>
          </w:p>
        </w:tc>
      </w:tr>
      <w:tr>
        <w:trPr>
          <w:trHeight w:val="310" w:hRule="exact"/>
        </w:trPr>
        <w:tc>
          <w:tcPr>
            <w:tcW w:w="823" w:type="dxa"/>
          </w:tcPr>
          <w:p>
            <w:pPr>
              <w:pStyle w:val="TableParagraph"/>
              <w:rPr>
                <w:sz w:val="22"/>
              </w:rPr>
            </w:pPr>
            <w:r>
              <w:rPr>
                <w:w w:val="100"/>
                <w:sz w:val="22"/>
              </w:rPr>
              <w:t>2</w:t>
            </w:r>
          </w:p>
        </w:tc>
        <w:tc>
          <w:tcPr>
            <w:tcW w:w="790" w:type="dxa"/>
          </w:tcPr>
          <w:p>
            <w:pPr>
              <w:pStyle w:val="TableParagraph"/>
              <w:ind w:left="81" w:right="42"/>
              <w:jc w:val="center"/>
              <w:rPr>
                <w:sz w:val="22"/>
              </w:rPr>
            </w:pPr>
            <w:r>
              <w:rPr>
                <w:sz w:val="22"/>
              </w:rPr>
              <w:t>121,03</w:t>
            </w:r>
          </w:p>
        </w:tc>
        <w:tc>
          <w:tcPr>
            <w:tcW w:w="475" w:type="dxa"/>
          </w:tcPr>
          <w:p>
            <w:pPr>
              <w:pStyle w:val="TableParagraph"/>
              <w:rPr>
                <w:sz w:val="22"/>
              </w:rPr>
            </w:pPr>
            <w:r>
              <w:rPr>
                <w:sz w:val="22"/>
              </w:rPr>
              <w:t>81</w:t>
            </w:r>
          </w:p>
        </w:tc>
        <w:tc>
          <w:tcPr>
            <w:tcW w:w="1066" w:type="dxa"/>
          </w:tcPr>
          <w:p>
            <w:pPr>
              <w:pStyle w:val="TableParagraph"/>
              <w:rPr>
                <w:sz w:val="22"/>
              </w:rPr>
            </w:pPr>
            <w:r>
              <w:rPr>
                <w:sz w:val="22"/>
              </w:rPr>
              <w:t>0,171400</w:t>
            </w:r>
          </w:p>
        </w:tc>
        <w:tc>
          <w:tcPr>
            <w:tcW w:w="1478" w:type="dxa"/>
          </w:tcPr>
          <w:p>
            <w:pPr>
              <w:pStyle w:val="TableParagraph"/>
              <w:ind w:right="63"/>
              <w:rPr>
                <w:sz w:val="22"/>
              </w:rPr>
            </w:pPr>
            <w:r>
              <w:rPr>
                <w:sz w:val="22"/>
              </w:rPr>
              <w:t>0,0151288</w:t>
            </w:r>
          </w:p>
        </w:tc>
        <w:tc>
          <w:tcPr>
            <w:tcW w:w="1342" w:type="dxa"/>
          </w:tcPr>
          <w:p>
            <w:pPr>
              <w:pStyle w:val="TableParagraph"/>
              <w:ind w:right="63"/>
              <w:rPr>
                <w:sz w:val="22"/>
              </w:rPr>
            </w:pPr>
            <w:r>
              <w:rPr>
                <w:sz w:val="22"/>
              </w:rPr>
              <w:t>20,744542</w:t>
            </w:r>
          </w:p>
        </w:tc>
        <w:tc>
          <w:tcPr>
            <w:tcW w:w="1342" w:type="dxa"/>
          </w:tcPr>
          <w:p>
            <w:pPr>
              <w:pStyle w:val="TableParagraph"/>
              <w:ind w:right="63"/>
              <w:rPr>
                <w:sz w:val="22"/>
              </w:rPr>
            </w:pPr>
            <w:r>
              <w:rPr>
                <w:sz w:val="22"/>
              </w:rPr>
              <w:t>0,12299919</w:t>
            </w:r>
          </w:p>
        </w:tc>
        <w:tc>
          <w:tcPr>
            <w:tcW w:w="1423" w:type="dxa"/>
          </w:tcPr>
          <w:p>
            <w:pPr>
              <w:pStyle w:val="TableParagraph"/>
              <w:rPr>
                <w:sz w:val="22"/>
              </w:rPr>
            </w:pPr>
            <w:r>
              <w:rPr>
                <w:sz w:val="22"/>
              </w:rPr>
              <w:t>0,90624653</w:t>
            </w:r>
          </w:p>
        </w:tc>
        <w:tc>
          <w:tcPr>
            <w:tcW w:w="1649" w:type="dxa"/>
          </w:tcPr>
          <w:p>
            <w:pPr>
              <w:pStyle w:val="TableParagraph"/>
              <w:rPr>
                <w:sz w:val="22"/>
              </w:rPr>
            </w:pPr>
            <w:r>
              <w:rPr>
                <w:sz w:val="22"/>
              </w:rPr>
              <w:t>1,87527E-06</w:t>
            </w:r>
          </w:p>
        </w:tc>
      </w:tr>
      <w:tr>
        <w:trPr>
          <w:trHeight w:val="310" w:hRule="exact"/>
        </w:trPr>
        <w:tc>
          <w:tcPr>
            <w:tcW w:w="823" w:type="dxa"/>
          </w:tcPr>
          <w:p>
            <w:pPr>
              <w:pStyle w:val="TableParagraph"/>
              <w:rPr>
                <w:sz w:val="22"/>
              </w:rPr>
            </w:pPr>
            <w:r>
              <w:rPr>
                <w:w w:val="100"/>
                <w:sz w:val="22"/>
              </w:rPr>
              <w:t>3</w:t>
            </w:r>
          </w:p>
        </w:tc>
        <w:tc>
          <w:tcPr>
            <w:tcW w:w="790" w:type="dxa"/>
          </w:tcPr>
          <w:p>
            <w:pPr>
              <w:pStyle w:val="TableParagraph"/>
              <w:ind w:left="81" w:right="42"/>
              <w:jc w:val="center"/>
              <w:rPr>
                <w:sz w:val="22"/>
              </w:rPr>
            </w:pPr>
            <w:r>
              <w:rPr>
                <w:sz w:val="22"/>
              </w:rPr>
              <w:t>130,21</w:t>
            </w:r>
          </w:p>
        </w:tc>
        <w:tc>
          <w:tcPr>
            <w:tcW w:w="475" w:type="dxa"/>
          </w:tcPr>
          <w:p>
            <w:pPr>
              <w:pStyle w:val="TableParagraph"/>
              <w:rPr>
                <w:sz w:val="22"/>
              </w:rPr>
            </w:pPr>
            <w:r>
              <w:rPr>
                <w:sz w:val="22"/>
              </w:rPr>
              <w:t>77</w:t>
            </w:r>
          </w:p>
        </w:tc>
        <w:tc>
          <w:tcPr>
            <w:tcW w:w="1066" w:type="dxa"/>
          </w:tcPr>
          <w:p>
            <w:pPr>
              <w:pStyle w:val="TableParagraph"/>
              <w:rPr>
                <w:sz w:val="22"/>
              </w:rPr>
            </w:pPr>
            <w:r>
              <w:rPr>
                <w:sz w:val="22"/>
              </w:rPr>
              <w:t>0,350600</w:t>
            </w:r>
          </w:p>
        </w:tc>
        <w:tc>
          <w:tcPr>
            <w:tcW w:w="1478" w:type="dxa"/>
          </w:tcPr>
          <w:p>
            <w:pPr>
              <w:pStyle w:val="TableParagraph"/>
              <w:ind w:right="63"/>
              <w:rPr>
                <w:sz w:val="22"/>
              </w:rPr>
            </w:pPr>
            <w:r>
              <w:rPr>
                <w:sz w:val="22"/>
              </w:rPr>
              <w:t>0,0922583</w:t>
            </w:r>
          </w:p>
        </w:tc>
        <w:tc>
          <w:tcPr>
            <w:tcW w:w="1342" w:type="dxa"/>
          </w:tcPr>
          <w:p>
            <w:pPr>
              <w:pStyle w:val="TableParagraph"/>
              <w:ind w:right="63"/>
              <w:rPr>
                <w:sz w:val="22"/>
              </w:rPr>
            </w:pPr>
            <w:r>
              <w:rPr>
                <w:sz w:val="22"/>
              </w:rPr>
              <w:t>45,651626</w:t>
            </w:r>
          </w:p>
        </w:tc>
        <w:tc>
          <w:tcPr>
            <w:tcW w:w="1342" w:type="dxa"/>
          </w:tcPr>
          <w:p>
            <w:pPr>
              <w:pStyle w:val="TableParagraph"/>
              <w:ind w:right="63"/>
              <w:rPr>
                <w:sz w:val="22"/>
              </w:rPr>
            </w:pPr>
            <w:r>
              <w:rPr>
                <w:sz w:val="22"/>
              </w:rPr>
              <w:t>0,30374051</w:t>
            </w:r>
          </w:p>
        </w:tc>
        <w:tc>
          <w:tcPr>
            <w:tcW w:w="1423" w:type="dxa"/>
          </w:tcPr>
          <w:p>
            <w:pPr>
              <w:pStyle w:val="TableParagraph"/>
              <w:rPr>
                <w:sz w:val="22"/>
              </w:rPr>
            </w:pPr>
            <w:r>
              <w:rPr>
                <w:sz w:val="22"/>
              </w:rPr>
              <w:t>8,42350667</w:t>
            </w:r>
          </w:p>
        </w:tc>
        <w:tc>
          <w:tcPr>
            <w:tcW w:w="1649" w:type="dxa"/>
          </w:tcPr>
          <w:p>
            <w:pPr>
              <w:pStyle w:val="TableParagraph"/>
              <w:rPr>
                <w:sz w:val="22"/>
              </w:rPr>
            </w:pPr>
            <w:r>
              <w:rPr>
                <w:sz w:val="22"/>
              </w:rPr>
              <w:t>1,74305E-05</w:t>
            </w:r>
          </w:p>
        </w:tc>
      </w:tr>
      <w:tr>
        <w:trPr>
          <w:trHeight w:val="310" w:hRule="exact"/>
        </w:trPr>
        <w:tc>
          <w:tcPr>
            <w:tcW w:w="823" w:type="dxa"/>
          </w:tcPr>
          <w:p>
            <w:pPr>
              <w:pStyle w:val="TableParagraph"/>
              <w:rPr>
                <w:sz w:val="22"/>
              </w:rPr>
            </w:pPr>
            <w:r>
              <w:rPr>
                <w:w w:val="100"/>
                <w:sz w:val="22"/>
              </w:rPr>
              <w:t>4</w:t>
            </w:r>
          </w:p>
        </w:tc>
        <w:tc>
          <w:tcPr>
            <w:tcW w:w="790" w:type="dxa"/>
          </w:tcPr>
          <w:p>
            <w:pPr>
              <w:pStyle w:val="TableParagraph"/>
              <w:ind w:left="81" w:right="42"/>
              <w:jc w:val="center"/>
              <w:rPr>
                <w:sz w:val="22"/>
              </w:rPr>
            </w:pPr>
            <w:r>
              <w:rPr>
                <w:sz w:val="22"/>
              </w:rPr>
              <w:t>155,12</w:t>
            </w:r>
          </w:p>
        </w:tc>
        <w:tc>
          <w:tcPr>
            <w:tcW w:w="475" w:type="dxa"/>
          </w:tcPr>
          <w:p>
            <w:pPr>
              <w:pStyle w:val="TableParagraph"/>
              <w:rPr>
                <w:sz w:val="22"/>
              </w:rPr>
            </w:pPr>
            <w:r>
              <w:rPr>
                <w:sz w:val="22"/>
              </w:rPr>
              <w:t>92</w:t>
            </w:r>
          </w:p>
        </w:tc>
        <w:tc>
          <w:tcPr>
            <w:tcW w:w="1066" w:type="dxa"/>
          </w:tcPr>
          <w:p>
            <w:pPr>
              <w:pStyle w:val="TableParagraph"/>
              <w:rPr>
                <w:sz w:val="22"/>
              </w:rPr>
            </w:pPr>
            <w:r>
              <w:rPr>
                <w:sz w:val="22"/>
              </w:rPr>
              <w:t>0,156800</w:t>
            </w:r>
          </w:p>
        </w:tc>
        <w:tc>
          <w:tcPr>
            <w:tcW w:w="1478" w:type="dxa"/>
          </w:tcPr>
          <w:p>
            <w:pPr>
              <w:pStyle w:val="TableParagraph"/>
              <w:ind w:right="63"/>
              <w:rPr>
                <w:sz w:val="22"/>
              </w:rPr>
            </w:pPr>
            <w:r>
              <w:rPr>
                <w:sz w:val="22"/>
              </w:rPr>
              <w:t>0,0055757</w:t>
            </w:r>
          </w:p>
        </w:tc>
        <w:tc>
          <w:tcPr>
            <w:tcW w:w="1342" w:type="dxa"/>
          </w:tcPr>
          <w:p>
            <w:pPr>
              <w:pStyle w:val="TableParagraph"/>
              <w:ind w:right="63"/>
              <w:rPr>
                <w:sz w:val="22"/>
              </w:rPr>
            </w:pPr>
            <w:r>
              <w:rPr>
                <w:sz w:val="22"/>
              </w:rPr>
              <w:t>24,322816</w:t>
            </w:r>
          </w:p>
        </w:tc>
        <w:tc>
          <w:tcPr>
            <w:tcW w:w="1342" w:type="dxa"/>
          </w:tcPr>
          <w:p>
            <w:pPr>
              <w:pStyle w:val="TableParagraph"/>
              <w:ind w:right="63"/>
              <w:rPr>
                <w:sz w:val="22"/>
              </w:rPr>
            </w:pPr>
            <w:r>
              <w:rPr>
                <w:sz w:val="22"/>
              </w:rPr>
              <w:t>0,07467061</w:t>
            </w:r>
          </w:p>
        </w:tc>
        <w:tc>
          <w:tcPr>
            <w:tcW w:w="1423" w:type="dxa"/>
          </w:tcPr>
          <w:p>
            <w:pPr>
              <w:pStyle w:val="TableParagraph"/>
              <w:rPr>
                <w:sz w:val="22"/>
              </w:rPr>
            </w:pPr>
            <w:r>
              <w:rPr>
                <w:sz w:val="22"/>
              </w:rPr>
              <w:t>0,59641632</w:t>
            </w:r>
          </w:p>
        </w:tc>
        <w:tc>
          <w:tcPr>
            <w:tcW w:w="1649" w:type="dxa"/>
          </w:tcPr>
          <w:p>
            <w:pPr>
              <w:pStyle w:val="TableParagraph"/>
              <w:rPr>
                <w:sz w:val="22"/>
              </w:rPr>
            </w:pPr>
            <w:r>
              <w:rPr>
                <w:sz w:val="22"/>
              </w:rPr>
              <w:t>1,23415E-06</w:t>
            </w:r>
          </w:p>
        </w:tc>
      </w:tr>
      <w:tr>
        <w:trPr>
          <w:trHeight w:val="310" w:hRule="exact"/>
        </w:trPr>
        <w:tc>
          <w:tcPr>
            <w:tcW w:w="823" w:type="dxa"/>
          </w:tcPr>
          <w:p>
            <w:pPr>
              <w:pStyle w:val="TableParagraph"/>
              <w:rPr>
                <w:sz w:val="22"/>
              </w:rPr>
            </w:pPr>
            <w:r>
              <w:rPr>
                <w:w w:val="100"/>
                <w:sz w:val="22"/>
              </w:rPr>
              <w:t>5</w:t>
            </w:r>
          </w:p>
        </w:tc>
        <w:tc>
          <w:tcPr>
            <w:tcW w:w="790" w:type="dxa"/>
          </w:tcPr>
          <w:p>
            <w:pPr>
              <w:pStyle w:val="TableParagraph"/>
              <w:ind w:left="81" w:right="42"/>
              <w:jc w:val="center"/>
              <w:rPr>
                <w:sz w:val="22"/>
              </w:rPr>
            </w:pPr>
            <w:r>
              <w:rPr>
                <w:sz w:val="22"/>
              </w:rPr>
              <w:t>180,21</w:t>
            </w:r>
          </w:p>
        </w:tc>
        <w:tc>
          <w:tcPr>
            <w:tcW w:w="475" w:type="dxa"/>
          </w:tcPr>
          <w:p>
            <w:pPr>
              <w:pStyle w:val="TableParagraph"/>
              <w:rPr>
                <w:sz w:val="22"/>
              </w:rPr>
            </w:pPr>
            <w:r>
              <w:rPr>
                <w:sz w:val="22"/>
              </w:rPr>
              <w:t>132</w:t>
            </w:r>
          </w:p>
        </w:tc>
        <w:tc>
          <w:tcPr>
            <w:tcW w:w="1066" w:type="dxa"/>
          </w:tcPr>
          <w:p>
            <w:pPr>
              <w:pStyle w:val="TableParagraph"/>
              <w:rPr>
                <w:sz w:val="22"/>
              </w:rPr>
            </w:pPr>
            <w:r>
              <w:rPr>
                <w:sz w:val="22"/>
              </w:rPr>
              <w:t>0,485833</w:t>
            </w:r>
          </w:p>
        </w:tc>
        <w:tc>
          <w:tcPr>
            <w:tcW w:w="1478" w:type="dxa"/>
          </w:tcPr>
          <w:p>
            <w:pPr>
              <w:pStyle w:val="TableParagraph"/>
              <w:ind w:right="63"/>
              <w:rPr>
                <w:sz w:val="22"/>
              </w:rPr>
            </w:pPr>
            <w:r>
              <w:rPr>
                <w:sz w:val="22"/>
              </w:rPr>
              <w:t>0,089173367</w:t>
            </w:r>
          </w:p>
        </w:tc>
        <w:tc>
          <w:tcPr>
            <w:tcW w:w="1342" w:type="dxa"/>
          </w:tcPr>
          <w:p>
            <w:pPr>
              <w:pStyle w:val="TableParagraph"/>
              <w:ind w:right="63"/>
              <w:rPr>
                <w:sz w:val="22"/>
              </w:rPr>
            </w:pPr>
            <w:r>
              <w:rPr>
                <w:sz w:val="22"/>
              </w:rPr>
              <w:t>87,552025</w:t>
            </w:r>
          </w:p>
        </w:tc>
        <w:tc>
          <w:tcPr>
            <w:tcW w:w="1342" w:type="dxa"/>
          </w:tcPr>
          <w:p>
            <w:pPr>
              <w:pStyle w:val="TableParagraph"/>
              <w:ind w:right="63"/>
              <w:rPr>
                <w:sz w:val="22"/>
              </w:rPr>
            </w:pPr>
            <w:r>
              <w:rPr>
                <w:sz w:val="22"/>
              </w:rPr>
              <w:t>0,2986191</w:t>
            </w:r>
          </w:p>
        </w:tc>
        <w:tc>
          <w:tcPr>
            <w:tcW w:w="1423" w:type="dxa"/>
          </w:tcPr>
          <w:p>
            <w:pPr>
              <w:pStyle w:val="TableParagraph"/>
              <w:rPr>
                <w:sz w:val="22"/>
              </w:rPr>
            </w:pPr>
            <w:r>
              <w:rPr>
                <w:sz w:val="22"/>
              </w:rPr>
              <w:t>5,86253138</w:t>
            </w:r>
          </w:p>
        </w:tc>
        <w:tc>
          <w:tcPr>
            <w:tcW w:w="1649" w:type="dxa"/>
          </w:tcPr>
          <w:p>
            <w:pPr>
              <w:pStyle w:val="TableParagraph"/>
              <w:rPr>
                <w:sz w:val="22"/>
              </w:rPr>
            </w:pPr>
            <w:r>
              <w:rPr>
                <w:sz w:val="22"/>
              </w:rPr>
              <w:t>1,21312E-05</w:t>
            </w:r>
          </w:p>
        </w:tc>
      </w:tr>
      <w:tr>
        <w:trPr>
          <w:trHeight w:val="310" w:hRule="exact"/>
        </w:trPr>
        <w:tc>
          <w:tcPr>
            <w:tcW w:w="823" w:type="dxa"/>
          </w:tcPr>
          <w:p>
            <w:pPr>
              <w:pStyle w:val="TableParagraph"/>
              <w:spacing w:before="30"/>
              <w:ind w:left="115" w:right="0"/>
              <w:jc w:val="left"/>
              <w:rPr>
                <w:sz w:val="22"/>
              </w:rPr>
            </w:pPr>
            <w:r>
              <w:rPr>
                <w:w w:val="100"/>
                <w:sz w:val="22"/>
              </w:rPr>
              <w:t>N</w:t>
            </w:r>
          </w:p>
        </w:tc>
        <w:tc>
          <w:tcPr>
            <w:tcW w:w="790" w:type="dxa"/>
          </w:tcPr>
          <w:p>
            <w:pPr>
              <w:pStyle w:val="TableParagraph"/>
              <w:spacing w:before="30"/>
              <w:ind w:left="81" w:right="41"/>
              <w:jc w:val="center"/>
              <w:rPr>
                <w:sz w:val="22"/>
              </w:rPr>
            </w:pPr>
            <w:r>
              <w:rPr>
                <w:sz w:val="22"/>
              </w:rPr>
              <w:t>695,17</w:t>
            </w:r>
          </w:p>
        </w:tc>
        <w:tc>
          <w:tcPr>
            <w:tcW w:w="475" w:type="dxa"/>
          </w:tcPr>
          <w:p>
            <w:pPr/>
          </w:p>
        </w:tc>
        <w:tc>
          <w:tcPr>
            <w:tcW w:w="1066" w:type="dxa"/>
          </w:tcPr>
          <w:p>
            <w:pPr/>
          </w:p>
        </w:tc>
        <w:tc>
          <w:tcPr>
            <w:tcW w:w="1478" w:type="dxa"/>
          </w:tcPr>
          <w:p>
            <w:pPr>
              <w:pStyle w:val="TableParagraph"/>
              <w:spacing w:line="314" w:lineRule="exact" w:before="0"/>
              <w:ind w:left="543" w:right="55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2" w:type="dxa"/>
          </w:tcPr>
          <w:p>
            <w:pPr>
              <w:pStyle w:val="TableParagraph"/>
              <w:spacing w:before="30"/>
              <w:ind w:right="63"/>
              <w:rPr>
                <w:sz w:val="22"/>
              </w:rPr>
            </w:pPr>
            <w:r>
              <w:rPr>
                <w:sz w:val="22"/>
              </w:rPr>
              <w:t>190,499369</w:t>
            </w:r>
          </w:p>
        </w:tc>
        <w:tc>
          <w:tcPr>
            <w:tcW w:w="1342" w:type="dxa"/>
          </w:tcPr>
          <w:p>
            <w:pPr/>
          </w:p>
        </w:tc>
        <w:tc>
          <w:tcPr>
            <w:tcW w:w="1423" w:type="dxa"/>
          </w:tcPr>
          <w:p>
            <w:pPr>
              <w:pStyle w:val="TableParagraph"/>
              <w:spacing w:before="30"/>
              <w:rPr>
                <w:sz w:val="22"/>
              </w:rPr>
            </w:pPr>
            <w:r>
              <w:rPr>
                <w:sz w:val="22"/>
              </w:rPr>
              <w:t>15,7850755</w:t>
            </w:r>
          </w:p>
        </w:tc>
        <w:tc>
          <w:tcPr>
            <w:tcW w:w="1649" w:type="dxa"/>
          </w:tcPr>
          <w:p>
            <w:pPr>
              <w:pStyle w:val="TableParagraph"/>
              <w:spacing w:before="30"/>
              <w:rPr>
                <w:sz w:val="22"/>
              </w:rPr>
            </w:pPr>
            <w:r>
              <w:rPr>
                <w:sz w:val="22"/>
              </w:rPr>
              <w:t>3,26636E-05</w:t>
            </w:r>
          </w:p>
        </w:tc>
      </w:tr>
      <w:tr>
        <w:trPr>
          <w:trHeight w:val="312" w:hRule="exact"/>
        </w:trPr>
        <w:tc>
          <w:tcPr>
            <w:tcW w:w="5974" w:type="dxa"/>
            <w:gridSpan w:val="6"/>
            <w:vMerge w:val="restart"/>
            <w:tcBorders>
              <w:left w:val="nil"/>
            </w:tcBorders>
          </w:tcPr>
          <w:p>
            <w:pPr/>
          </w:p>
        </w:tc>
        <w:tc>
          <w:tcPr>
            <w:tcW w:w="2765"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49" w:type="dxa"/>
          </w:tcPr>
          <w:p>
            <w:pPr>
              <w:pStyle w:val="TableParagraph"/>
              <w:spacing w:before="30"/>
              <w:rPr>
                <w:b/>
                <w:sz w:val="22"/>
              </w:rPr>
            </w:pPr>
            <w:r>
              <w:rPr>
                <w:b/>
                <w:sz w:val="22"/>
              </w:rPr>
              <w:t>0,274</w:t>
            </w:r>
          </w:p>
        </w:tc>
      </w:tr>
      <w:tr>
        <w:trPr>
          <w:trHeight w:val="310" w:hRule="exact"/>
        </w:trPr>
        <w:tc>
          <w:tcPr>
            <w:tcW w:w="5974" w:type="dxa"/>
            <w:gridSpan w:val="6"/>
            <w:vMerge/>
            <w:tcBorders>
              <w:left w:val="nil"/>
            </w:tcBorders>
          </w:tcPr>
          <w:p>
            <w:pPr/>
          </w:p>
        </w:tc>
        <w:tc>
          <w:tcPr>
            <w:tcW w:w="2765" w:type="dxa"/>
            <w:gridSpan w:val="2"/>
          </w:tcPr>
          <w:p>
            <w:pPr>
              <w:pStyle w:val="TableParagraph"/>
              <w:spacing w:before="11"/>
              <w:ind w:left="64" w:right="0"/>
              <w:jc w:val="left"/>
              <w:rPr>
                <w:sz w:val="22"/>
              </w:rPr>
            </w:pPr>
            <w:r>
              <w:rPr>
                <w:sz w:val="22"/>
              </w:rPr>
              <w:t>Desviación estándar</w:t>
            </w:r>
          </w:p>
        </w:tc>
        <w:tc>
          <w:tcPr>
            <w:tcW w:w="1649" w:type="dxa"/>
          </w:tcPr>
          <w:p>
            <w:pPr>
              <w:pStyle w:val="TableParagraph"/>
              <w:rPr>
                <w:b/>
                <w:sz w:val="22"/>
              </w:rPr>
            </w:pPr>
            <w:r>
              <w:rPr>
                <w:b/>
                <w:sz w:val="22"/>
              </w:rPr>
              <w:t>0,0057</w:t>
            </w:r>
          </w:p>
        </w:tc>
      </w:tr>
      <w:tr>
        <w:trPr>
          <w:trHeight w:val="310" w:hRule="exact"/>
        </w:trPr>
        <w:tc>
          <w:tcPr>
            <w:tcW w:w="5974" w:type="dxa"/>
            <w:gridSpan w:val="6"/>
            <w:vMerge/>
            <w:tcBorders>
              <w:left w:val="nil"/>
            </w:tcBorders>
          </w:tcPr>
          <w:p>
            <w:pPr/>
          </w:p>
        </w:tc>
        <w:tc>
          <w:tcPr>
            <w:tcW w:w="2765" w:type="dxa"/>
            <w:gridSpan w:val="2"/>
            <w:vMerge w:val="restart"/>
          </w:tcPr>
          <w:p>
            <w:pPr>
              <w:pStyle w:val="TableParagraph"/>
              <w:spacing w:before="33"/>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649" w:type="dxa"/>
          </w:tcPr>
          <w:p>
            <w:pPr>
              <w:pStyle w:val="TableParagraph"/>
              <w:rPr>
                <w:sz w:val="22"/>
              </w:rPr>
            </w:pPr>
            <w:r>
              <w:rPr>
                <w:sz w:val="22"/>
              </w:rPr>
              <w:t>0,26</w:t>
            </w:r>
          </w:p>
        </w:tc>
      </w:tr>
      <w:tr>
        <w:trPr>
          <w:trHeight w:val="310" w:hRule="exact"/>
        </w:trPr>
        <w:tc>
          <w:tcPr>
            <w:tcW w:w="5974" w:type="dxa"/>
            <w:gridSpan w:val="6"/>
            <w:vMerge/>
            <w:tcBorders>
              <w:left w:val="nil"/>
              <w:bottom w:val="nil"/>
            </w:tcBorders>
          </w:tcPr>
          <w:p>
            <w:pPr/>
          </w:p>
        </w:tc>
        <w:tc>
          <w:tcPr>
            <w:tcW w:w="2765" w:type="dxa"/>
            <w:gridSpan w:val="2"/>
            <w:vMerge/>
          </w:tcPr>
          <w:p>
            <w:pPr/>
          </w:p>
        </w:tc>
        <w:tc>
          <w:tcPr>
            <w:tcW w:w="1649" w:type="dxa"/>
          </w:tcPr>
          <w:p>
            <w:pPr>
              <w:pStyle w:val="TableParagraph"/>
              <w:rPr>
                <w:sz w:val="22"/>
              </w:rPr>
            </w:pPr>
            <w:r>
              <w:rPr>
                <w:sz w:val="22"/>
              </w:rPr>
              <w:t>0,29</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3"/>
        <w:gridCol w:w="790"/>
        <w:gridCol w:w="475"/>
        <w:gridCol w:w="1066"/>
        <w:gridCol w:w="1478"/>
        <w:gridCol w:w="1342"/>
        <w:gridCol w:w="1342"/>
        <w:gridCol w:w="1423"/>
        <w:gridCol w:w="1649"/>
      </w:tblGrid>
      <w:tr>
        <w:trPr>
          <w:trHeight w:val="310" w:hRule="exact"/>
        </w:trPr>
        <w:tc>
          <w:tcPr>
            <w:tcW w:w="10387" w:type="dxa"/>
            <w:gridSpan w:val="9"/>
          </w:tcPr>
          <w:p>
            <w:pPr>
              <w:pStyle w:val="TableParagraph"/>
              <w:spacing w:before="30"/>
              <w:ind w:left="4207" w:right="4207"/>
              <w:jc w:val="center"/>
              <w:rPr>
                <w:sz w:val="22"/>
              </w:rPr>
            </w:pPr>
            <w:r>
              <w:rPr>
                <w:sz w:val="22"/>
              </w:rPr>
              <w:t>Punto de Muestreo G</w:t>
            </w:r>
          </w:p>
        </w:tc>
      </w:tr>
      <w:tr>
        <w:trPr>
          <w:trHeight w:val="312" w:hRule="exact"/>
        </w:trPr>
        <w:tc>
          <w:tcPr>
            <w:tcW w:w="823" w:type="dxa"/>
          </w:tcPr>
          <w:p>
            <w:pPr>
              <w:pStyle w:val="TableParagraph"/>
              <w:spacing w:before="13"/>
              <w:ind w:left="2" w:right="44"/>
              <w:jc w:val="center"/>
              <w:rPr>
                <w:sz w:val="22"/>
              </w:rPr>
            </w:pPr>
            <w:r>
              <w:rPr>
                <w:sz w:val="22"/>
              </w:rPr>
              <w:t>Estrato</w:t>
            </w:r>
          </w:p>
        </w:tc>
        <w:tc>
          <w:tcPr>
            <w:tcW w:w="790"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1066" w:type="dxa"/>
          </w:tcPr>
          <w:p>
            <w:pPr>
              <w:pStyle w:val="TableParagraph"/>
              <w:spacing w:before="43"/>
              <w:ind w:left="335" w:right="34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478" w:type="dxa"/>
          </w:tcPr>
          <w:p>
            <w:pPr>
              <w:pStyle w:val="TableParagraph"/>
              <w:spacing w:line="214" w:lineRule="exact" w:before="8"/>
              <w:ind w:left="543" w:right="55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42" w:type="dxa"/>
          </w:tcPr>
          <w:p>
            <w:pPr>
              <w:pStyle w:val="TableParagraph"/>
              <w:spacing w:before="19"/>
              <w:ind w:left="538" w:right="54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342" w:type="dxa"/>
          </w:tcPr>
          <w:p>
            <w:pPr>
              <w:pStyle w:val="TableParagraph"/>
              <w:spacing w:before="43"/>
              <w:ind w:left="541" w:right="549"/>
              <w:jc w:val="center"/>
              <w:rPr>
                <w:rFonts w:ascii="Cambria Math"/>
                <w:sz w:val="16"/>
              </w:rPr>
            </w:pPr>
            <w:r>
              <w:rPr>
                <w:rFonts w:ascii="Cambria Math"/>
                <w:w w:val="110"/>
                <w:sz w:val="22"/>
              </w:rPr>
              <w:t>s</w:t>
            </w:r>
            <w:r>
              <w:rPr>
                <w:rFonts w:ascii="Cambria Math"/>
                <w:w w:val="110"/>
                <w:position w:val="-4"/>
                <w:sz w:val="16"/>
              </w:rPr>
              <w:t>h</w:t>
            </w:r>
          </w:p>
        </w:tc>
        <w:tc>
          <w:tcPr>
            <w:tcW w:w="1423" w:type="dxa"/>
          </w:tcPr>
          <w:p>
            <w:pPr>
              <w:pStyle w:val="TableParagraph"/>
              <w:spacing w:before="3"/>
              <w:ind w:left="37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49" w:type="dxa"/>
          </w:tcPr>
          <w:p>
            <w:pPr>
              <w:pStyle w:val="TableParagraph"/>
              <w:spacing w:before="3"/>
              <w:ind w:left="47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23" w:type="dxa"/>
          </w:tcPr>
          <w:p>
            <w:pPr>
              <w:pStyle w:val="TableParagraph"/>
              <w:spacing w:before="11"/>
              <w:ind w:right="1"/>
              <w:jc w:val="center"/>
              <w:rPr>
                <w:sz w:val="22"/>
              </w:rPr>
            </w:pPr>
            <w:r>
              <w:rPr>
                <w:w w:val="100"/>
                <w:sz w:val="22"/>
              </w:rPr>
              <w:t>1</w:t>
            </w:r>
          </w:p>
        </w:tc>
        <w:tc>
          <w:tcPr>
            <w:tcW w:w="790" w:type="dxa"/>
          </w:tcPr>
          <w:p>
            <w:pPr>
              <w:pStyle w:val="TableParagraph"/>
              <w:ind w:left="81" w:right="42"/>
              <w:jc w:val="center"/>
              <w:rPr>
                <w:sz w:val="22"/>
              </w:rPr>
            </w:pPr>
            <w:r>
              <w:rPr>
                <w:sz w:val="22"/>
              </w:rPr>
              <w:t>108,60</w:t>
            </w:r>
          </w:p>
        </w:tc>
        <w:tc>
          <w:tcPr>
            <w:tcW w:w="475" w:type="dxa"/>
          </w:tcPr>
          <w:p>
            <w:pPr>
              <w:pStyle w:val="TableParagraph"/>
              <w:rPr>
                <w:sz w:val="22"/>
              </w:rPr>
            </w:pPr>
            <w:r>
              <w:rPr>
                <w:sz w:val="22"/>
              </w:rPr>
              <w:t>108</w:t>
            </w:r>
          </w:p>
        </w:tc>
        <w:tc>
          <w:tcPr>
            <w:tcW w:w="1066" w:type="dxa"/>
          </w:tcPr>
          <w:p>
            <w:pPr>
              <w:pStyle w:val="TableParagraph"/>
              <w:rPr>
                <w:sz w:val="22"/>
              </w:rPr>
            </w:pPr>
            <w:r>
              <w:rPr>
                <w:sz w:val="22"/>
              </w:rPr>
              <w:t>0,290200</w:t>
            </w:r>
          </w:p>
        </w:tc>
        <w:tc>
          <w:tcPr>
            <w:tcW w:w="1478" w:type="dxa"/>
          </w:tcPr>
          <w:p>
            <w:pPr>
              <w:pStyle w:val="TableParagraph"/>
              <w:ind w:right="63"/>
              <w:rPr>
                <w:sz w:val="22"/>
              </w:rPr>
            </w:pPr>
            <w:r>
              <w:rPr>
                <w:sz w:val="22"/>
              </w:rPr>
              <w:t>0,0031837</w:t>
            </w:r>
          </w:p>
        </w:tc>
        <w:tc>
          <w:tcPr>
            <w:tcW w:w="1342" w:type="dxa"/>
          </w:tcPr>
          <w:p>
            <w:pPr>
              <w:pStyle w:val="TableParagraph"/>
              <w:ind w:right="63"/>
              <w:rPr>
                <w:sz w:val="22"/>
              </w:rPr>
            </w:pPr>
            <w:r>
              <w:rPr>
                <w:sz w:val="22"/>
              </w:rPr>
              <w:t>31,51572</w:t>
            </w:r>
          </w:p>
        </w:tc>
        <w:tc>
          <w:tcPr>
            <w:tcW w:w="1342" w:type="dxa"/>
          </w:tcPr>
          <w:p>
            <w:pPr>
              <w:pStyle w:val="TableParagraph"/>
              <w:ind w:right="63"/>
              <w:rPr>
                <w:sz w:val="22"/>
              </w:rPr>
            </w:pPr>
            <w:r>
              <w:rPr>
                <w:sz w:val="22"/>
              </w:rPr>
              <w:t>0,05642429</w:t>
            </w:r>
          </w:p>
        </w:tc>
        <w:tc>
          <w:tcPr>
            <w:tcW w:w="1423" w:type="dxa"/>
          </w:tcPr>
          <w:p>
            <w:pPr>
              <w:pStyle w:val="TableParagraph"/>
              <w:rPr>
                <w:sz w:val="22"/>
              </w:rPr>
            </w:pPr>
            <w:r>
              <w:rPr>
                <w:sz w:val="22"/>
              </w:rPr>
              <w:t>-0,11623619</w:t>
            </w:r>
          </w:p>
        </w:tc>
        <w:tc>
          <w:tcPr>
            <w:tcW w:w="1649" w:type="dxa"/>
          </w:tcPr>
          <w:p>
            <w:pPr>
              <w:pStyle w:val="TableParagraph"/>
              <w:rPr>
                <w:sz w:val="22"/>
              </w:rPr>
            </w:pPr>
            <w:r>
              <w:rPr>
                <w:sz w:val="22"/>
              </w:rPr>
              <w:t>-2,40524E-07</w:t>
            </w:r>
          </w:p>
        </w:tc>
      </w:tr>
      <w:tr>
        <w:trPr>
          <w:trHeight w:val="310" w:hRule="exact"/>
        </w:trPr>
        <w:tc>
          <w:tcPr>
            <w:tcW w:w="823" w:type="dxa"/>
          </w:tcPr>
          <w:p>
            <w:pPr>
              <w:pStyle w:val="TableParagraph"/>
              <w:spacing w:before="13"/>
              <w:ind w:right="1"/>
              <w:jc w:val="center"/>
              <w:rPr>
                <w:sz w:val="22"/>
              </w:rPr>
            </w:pPr>
            <w:r>
              <w:rPr>
                <w:w w:val="100"/>
                <w:sz w:val="22"/>
              </w:rPr>
              <w:t>2</w:t>
            </w:r>
          </w:p>
        </w:tc>
        <w:tc>
          <w:tcPr>
            <w:tcW w:w="790" w:type="dxa"/>
          </w:tcPr>
          <w:p>
            <w:pPr>
              <w:pStyle w:val="TableParagraph"/>
              <w:ind w:left="81" w:right="42"/>
              <w:jc w:val="center"/>
              <w:rPr>
                <w:sz w:val="22"/>
              </w:rPr>
            </w:pPr>
            <w:r>
              <w:rPr>
                <w:sz w:val="22"/>
              </w:rPr>
              <w:t>121,03</w:t>
            </w:r>
          </w:p>
        </w:tc>
        <w:tc>
          <w:tcPr>
            <w:tcW w:w="475" w:type="dxa"/>
          </w:tcPr>
          <w:p>
            <w:pPr>
              <w:pStyle w:val="TableParagraph"/>
              <w:rPr>
                <w:sz w:val="22"/>
              </w:rPr>
            </w:pPr>
            <w:r>
              <w:rPr>
                <w:sz w:val="22"/>
              </w:rPr>
              <w:t>81</w:t>
            </w:r>
          </w:p>
        </w:tc>
        <w:tc>
          <w:tcPr>
            <w:tcW w:w="1066" w:type="dxa"/>
          </w:tcPr>
          <w:p>
            <w:pPr>
              <w:pStyle w:val="TableParagraph"/>
              <w:rPr>
                <w:sz w:val="22"/>
              </w:rPr>
            </w:pPr>
            <w:r>
              <w:rPr>
                <w:sz w:val="22"/>
              </w:rPr>
              <w:t>0,366400</w:t>
            </w:r>
          </w:p>
        </w:tc>
        <w:tc>
          <w:tcPr>
            <w:tcW w:w="1478" w:type="dxa"/>
          </w:tcPr>
          <w:p>
            <w:pPr>
              <w:pStyle w:val="TableParagraph"/>
              <w:ind w:right="63"/>
              <w:rPr>
                <w:sz w:val="22"/>
              </w:rPr>
            </w:pPr>
            <w:r>
              <w:rPr>
                <w:sz w:val="22"/>
              </w:rPr>
              <w:t>0,0234273</w:t>
            </w:r>
          </w:p>
        </w:tc>
        <w:tc>
          <w:tcPr>
            <w:tcW w:w="1342" w:type="dxa"/>
          </w:tcPr>
          <w:p>
            <w:pPr>
              <w:pStyle w:val="TableParagraph"/>
              <w:ind w:right="63"/>
              <w:rPr>
                <w:sz w:val="22"/>
              </w:rPr>
            </w:pPr>
            <w:r>
              <w:rPr>
                <w:sz w:val="22"/>
              </w:rPr>
              <w:t>44,345392</w:t>
            </w:r>
          </w:p>
        </w:tc>
        <w:tc>
          <w:tcPr>
            <w:tcW w:w="1342" w:type="dxa"/>
          </w:tcPr>
          <w:p>
            <w:pPr>
              <w:pStyle w:val="TableParagraph"/>
              <w:ind w:right="63"/>
              <w:rPr>
                <w:sz w:val="22"/>
              </w:rPr>
            </w:pPr>
            <w:r>
              <w:rPr>
                <w:sz w:val="22"/>
              </w:rPr>
              <w:t>0,15305979</w:t>
            </w:r>
          </w:p>
        </w:tc>
        <w:tc>
          <w:tcPr>
            <w:tcW w:w="1423" w:type="dxa"/>
          </w:tcPr>
          <w:p>
            <w:pPr>
              <w:pStyle w:val="TableParagraph"/>
              <w:rPr>
                <w:sz w:val="22"/>
              </w:rPr>
            </w:pPr>
            <w:r>
              <w:rPr>
                <w:sz w:val="22"/>
              </w:rPr>
              <w:t>1,40334391</w:t>
            </w:r>
          </w:p>
        </w:tc>
        <w:tc>
          <w:tcPr>
            <w:tcW w:w="1649" w:type="dxa"/>
          </w:tcPr>
          <w:p>
            <w:pPr>
              <w:pStyle w:val="TableParagraph"/>
              <w:rPr>
                <w:sz w:val="22"/>
              </w:rPr>
            </w:pPr>
            <w:r>
              <w:rPr>
                <w:sz w:val="22"/>
              </w:rPr>
              <w:t>2,9039E-06</w:t>
            </w:r>
          </w:p>
        </w:tc>
      </w:tr>
      <w:tr>
        <w:trPr>
          <w:trHeight w:val="310" w:hRule="exact"/>
        </w:trPr>
        <w:tc>
          <w:tcPr>
            <w:tcW w:w="823" w:type="dxa"/>
          </w:tcPr>
          <w:p>
            <w:pPr>
              <w:pStyle w:val="TableParagraph"/>
              <w:spacing w:before="13"/>
              <w:ind w:right="1"/>
              <w:jc w:val="center"/>
              <w:rPr>
                <w:sz w:val="22"/>
              </w:rPr>
            </w:pPr>
            <w:r>
              <w:rPr>
                <w:w w:val="100"/>
                <w:sz w:val="22"/>
              </w:rPr>
              <w:t>3</w:t>
            </w:r>
          </w:p>
        </w:tc>
        <w:tc>
          <w:tcPr>
            <w:tcW w:w="790" w:type="dxa"/>
          </w:tcPr>
          <w:p>
            <w:pPr>
              <w:pStyle w:val="TableParagraph"/>
              <w:ind w:left="81" w:right="42"/>
              <w:jc w:val="center"/>
              <w:rPr>
                <w:sz w:val="22"/>
              </w:rPr>
            </w:pPr>
            <w:r>
              <w:rPr>
                <w:sz w:val="22"/>
              </w:rPr>
              <w:t>130,21</w:t>
            </w:r>
          </w:p>
        </w:tc>
        <w:tc>
          <w:tcPr>
            <w:tcW w:w="475" w:type="dxa"/>
          </w:tcPr>
          <w:p>
            <w:pPr>
              <w:pStyle w:val="TableParagraph"/>
              <w:rPr>
                <w:sz w:val="22"/>
              </w:rPr>
            </w:pPr>
            <w:r>
              <w:rPr>
                <w:sz w:val="22"/>
              </w:rPr>
              <w:t>77</w:t>
            </w:r>
          </w:p>
        </w:tc>
        <w:tc>
          <w:tcPr>
            <w:tcW w:w="1066" w:type="dxa"/>
          </w:tcPr>
          <w:p>
            <w:pPr>
              <w:pStyle w:val="TableParagraph"/>
              <w:rPr>
                <w:sz w:val="22"/>
              </w:rPr>
            </w:pPr>
            <w:r>
              <w:rPr>
                <w:sz w:val="22"/>
              </w:rPr>
              <w:t>0,386200</w:t>
            </w:r>
          </w:p>
        </w:tc>
        <w:tc>
          <w:tcPr>
            <w:tcW w:w="1478" w:type="dxa"/>
          </w:tcPr>
          <w:p>
            <w:pPr>
              <w:pStyle w:val="TableParagraph"/>
              <w:ind w:right="63"/>
              <w:rPr>
                <w:sz w:val="22"/>
              </w:rPr>
            </w:pPr>
            <w:r>
              <w:rPr>
                <w:sz w:val="22"/>
              </w:rPr>
              <w:t>0,0772167</w:t>
            </w:r>
          </w:p>
        </w:tc>
        <w:tc>
          <w:tcPr>
            <w:tcW w:w="1342" w:type="dxa"/>
          </w:tcPr>
          <w:p>
            <w:pPr>
              <w:pStyle w:val="TableParagraph"/>
              <w:ind w:right="63"/>
              <w:rPr>
                <w:sz w:val="22"/>
              </w:rPr>
            </w:pPr>
            <w:r>
              <w:rPr>
                <w:sz w:val="22"/>
              </w:rPr>
              <w:t>50,287102</w:t>
            </w:r>
          </w:p>
        </w:tc>
        <w:tc>
          <w:tcPr>
            <w:tcW w:w="1342" w:type="dxa"/>
          </w:tcPr>
          <w:p>
            <w:pPr>
              <w:pStyle w:val="TableParagraph"/>
              <w:ind w:right="63"/>
              <w:rPr>
                <w:sz w:val="22"/>
              </w:rPr>
            </w:pPr>
            <w:r>
              <w:rPr>
                <w:sz w:val="22"/>
              </w:rPr>
              <w:t>0,27787893</w:t>
            </w:r>
          </w:p>
        </w:tc>
        <w:tc>
          <w:tcPr>
            <w:tcW w:w="1423" w:type="dxa"/>
          </w:tcPr>
          <w:p>
            <w:pPr>
              <w:pStyle w:val="TableParagraph"/>
              <w:rPr>
                <w:sz w:val="22"/>
              </w:rPr>
            </w:pPr>
            <w:r>
              <w:rPr>
                <w:sz w:val="22"/>
              </w:rPr>
              <w:t>7,05015579</w:t>
            </w:r>
          </w:p>
        </w:tc>
        <w:tc>
          <w:tcPr>
            <w:tcW w:w="1649" w:type="dxa"/>
          </w:tcPr>
          <w:p>
            <w:pPr>
              <w:pStyle w:val="TableParagraph"/>
              <w:rPr>
                <w:sz w:val="22"/>
              </w:rPr>
            </w:pPr>
            <w:r>
              <w:rPr>
                <w:sz w:val="22"/>
              </w:rPr>
              <w:t>1,45887E-05</w:t>
            </w:r>
          </w:p>
        </w:tc>
      </w:tr>
      <w:tr>
        <w:trPr>
          <w:trHeight w:val="310" w:hRule="exact"/>
        </w:trPr>
        <w:tc>
          <w:tcPr>
            <w:tcW w:w="823" w:type="dxa"/>
          </w:tcPr>
          <w:p>
            <w:pPr>
              <w:pStyle w:val="TableParagraph"/>
              <w:spacing w:before="13"/>
              <w:ind w:right="1"/>
              <w:jc w:val="center"/>
              <w:rPr>
                <w:sz w:val="22"/>
              </w:rPr>
            </w:pPr>
            <w:r>
              <w:rPr>
                <w:w w:val="100"/>
                <w:sz w:val="22"/>
              </w:rPr>
              <w:t>4</w:t>
            </w:r>
          </w:p>
        </w:tc>
        <w:tc>
          <w:tcPr>
            <w:tcW w:w="790" w:type="dxa"/>
          </w:tcPr>
          <w:p>
            <w:pPr>
              <w:pStyle w:val="TableParagraph"/>
              <w:ind w:left="81" w:right="42"/>
              <w:jc w:val="center"/>
              <w:rPr>
                <w:sz w:val="22"/>
              </w:rPr>
            </w:pPr>
            <w:r>
              <w:rPr>
                <w:sz w:val="22"/>
              </w:rPr>
              <w:t>155,12</w:t>
            </w:r>
          </w:p>
        </w:tc>
        <w:tc>
          <w:tcPr>
            <w:tcW w:w="475" w:type="dxa"/>
          </w:tcPr>
          <w:p>
            <w:pPr>
              <w:pStyle w:val="TableParagraph"/>
              <w:rPr>
                <w:sz w:val="22"/>
              </w:rPr>
            </w:pPr>
            <w:r>
              <w:rPr>
                <w:sz w:val="22"/>
              </w:rPr>
              <w:t>92</w:t>
            </w:r>
          </w:p>
        </w:tc>
        <w:tc>
          <w:tcPr>
            <w:tcW w:w="1066" w:type="dxa"/>
          </w:tcPr>
          <w:p>
            <w:pPr>
              <w:pStyle w:val="TableParagraph"/>
              <w:rPr>
                <w:sz w:val="22"/>
              </w:rPr>
            </w:pPr>
            <w:r>
              <w:rPr>
                <w:sz w:val="22"/>
              </w:rPr>
              <w:t>0,637800</w:t>
            </w:r>
          </w:p>
        </w:tc>
        <w:tc>
          <w:tcPr>
            <w:tcW w:w="1478" w:type="dxa"/>
          </w:tcPr>
          <w:p>
            <w:pPr>
              <w:pStyle w:val="TableParagraph"/>
              <w:ind w:right="63"/>
              <w:rPr>
                <w:sz w:val="22"/>
              </w:rPr>
            </w:pPr>
            <w:r>
              <w:rPr>
                <w:sz w:val="22"/>
              </w:rPr>
              <w:t>0,0508187</w:t>
            </w:r>
          </w:p>
        </w:tc>
        <w:tc>
          <w:tcPr>
            <w:tcW w:w="1342" w:type="dxa"/>
          </w:tcPr>
          <w:p>
            <w:pPr>
              <w:pStyle w:val="TableParagraph"/>
              <w:ind w:right="63"/>
              <w:rPr>
                <w:sz w:val="22"/>
              </w:rPr>
            </w:pPr>
            <w:r>
              <w:rPr>
                <w:sz w:val="22"/>
              </w:rPr>
              <w:t>98,935536</w:t>
            </w:r>
          </w:p>
        </w:tc>
        <w:tc>
          <w:tcPr>
            <w:tcW w:w="1342" w:type="dxa"/>
          </w:tcPr>
          <w:p>
            <w:pPr>
              <w:pStyle w:val="TableParagraph"/>
              <w:ind w:right="63"/>
              <w:rPr>
                <w:sz w:val="22"/>
              </w:rPr>
            </w:pPr>
            <w:r>
              <w:rPr>
                <w:sz w:val="22"/>
              </w:rPr>
              <w:t>0,22543003</w:t>
            </w:r>
          </w:p>
        </w:tc>
        <w:tc>
          <w:tcPr>
            <w:tcW w:w="1423" w:type="dxa"/>
          </w:tcPr>
          <w:p>
            <w:pPr>
              <w:pStyle w:val="TableParagraph"/>
              <w:rPr>
                <w:sz w:val="22"/>
              </w:rPr>
            </w:pPr>
            <w:r>
              <w:rPr>
                <w:sz w:val="22"/>
              </w:rPr>
              <w:t>5,43592772</w:t>
            </w:r>
          </w:p>
        </w:tc>
        <w:tc>
          <w:tcPr>
            <w:tcW w:w="1649" w:type="dxa"/>
          </w:tcPr>
          <w:p>
            <w:pPr>
              <w:pStyle w:val="TableParagraph"/>
              <w:rPr>
                <w:sz w:val="22"/>
              </w:rPr>
            </w:pPr>
            <w:r>
              <w:rPr>
                <w:sz w:val="22"/>
              </w:rPr>
              <w:t>1,12484E-05</w:t>
            </w:r>
          </w:p>
        </w:tc>
      </w:tr>
      <w:tr>
        <w:trPr>
          <w:trHeight w:val="310" w:hRule="exact"/>
        </w:trPr>
        <w:tc>
          <w:tcPr>
            <w:tcW w:w="823" w:type="dxa"/>
          </w:tcPr>
          <w:p>
            <w:pPr>
              <w:pStyle w:val="TableParagraph"/>
              <w:spacing w:before="13"/>
              <w:ind w:right="1"/>
              <w:jc w:val="center"/>
              <w:rPr>
                <w:sz w:val="22"/>
              </w:rPr>
            </w:pPr>
            <w:r>
              <w:rPr>
                <w:w w:val="100"/>
                <w:sz w:val="22"/>
              </w:rPr>
              <w:t>5</w:t>
            </w:r>
          </w:p>
        </w:tc>
        <w:tc>
          <w:tcPr>
            <w:tcW w:w="790" w:type="dxa"/>
          </w:tcPr>
          <w:p>
            <w:pPr>
              <w:pStyle w:val="TableParagraph"/>
              <w:spacing w:before="30"/>
              <w:ind w:left="81" w:right="42"/>
              <w:jc w:val="center"/>
              <w:rPr>
                <w:sz w:val="22"/>
              </w:rPr>
            </w:pPr>
            <w:r>
              <w:rPr>
                <w:sz w:val="22"/>
              </w:rPr>
              <w:t>180,21</w:t>
            </w:r>
          </w:p>
        </w:tc>
        <w:tc>
          <w:tcPr>
            <w:tcW w:w="475" w:type="dxa"/>
          </w:tcPr>
          <w:p>
            <w:pPr>
              <w:pStyle w:val="TableParagraph"/>
              <w:spacing w:before="30"/>
              <w:rPr>
                <w:sz w:val="22"/>
              </w:rPr>
            </w:pPr>
            <w:r>
              <w:rPr>
                <w:sz w:val="22"/>
              </w:rPr>
              <w:t>132</w:t>
            </w:r>
          </w:p>
        </w:tc>
        <w:tc>
          <w:tcPr>
            <w:tcW w:w="1066" w:type="dxa"/>
          </w:tcPr>
          <w:p>
            <w:pPr>
              <w:pStyle w:val="TableParagraph"/>
              <w:spacing w:before="30"/>
              <w:rPr>
                <w:sz w:val="22"/>
              </w:rPr>
            </w:pPr>
            <w:r>
              <w:rPr>
                <w:sz w:val="22"/>
              </w:rPr>
              <w:t>0,709333</w:t>
            </w:r>
          </w:p>
        </w:tc>
        <w:tc>
          <w:tcPr>
            <w:tcW w:w="1478" w:type="dxa"/>
          </w:tcPr>
          <w:p>
            <w:pPr>
              <w:pStyle w:val="TableParagraph"/>
              <w:spacing w:before="30"/>
              <w:ind w:right="63"/>
              <w:rPr>
                <w:sz w:val="22"/>
              </w:rPr>
            </w:pPr>
            <w:r>
              <w:rPr>
                <w:sz w:val="22"/>
              </w:rPr>
              <w:t>0,149271467</w:t>
            </w:r>
          </w:p>
        </w:tc>
        <w:tc>
          <w:tcPr>
            <w:tcW w:w="1342" w:type="dxa"/>
          </w:tcPr>
          <w:p>
            <w:pPr>
              <w:pStyle w:val="TableParagraph"/>
              <w:spacing w:before="30"/>
              <w:ind w:right="63"/>
              <w:rPr>
                <w:sz w:val="22"/>
              </w:rPr>
            </w:pPr>
            <w:r>
              <w:rPr>
                <w:sz w:val="22"/>
              </w:rPr>
              <w:t>127,82896</w:t>
            </w:r>
          </w:p>
        </w:tc>
        <w:tc>
          <w:tcPr>
            <w:tcW w:w="1342" w:type="dxa"/>
          </w:tcPr>
          <w:p>
            <w:pPr>
              <w:pStyle w:val="TableParagraph"/>
              <w:spacing w:before="30"/>
              <w:ind w:right="63"/>
              <w:rPr>
                <w:sz w:val="22"/>
              </w:rPr>
            </w:pPr>
            <w:r>
              <w:rPr>
                <w:sz w:val="22"/>
              </w:rPr>
              <w:t>0,38635666</w:t>
            </w:r>
          </w:p>
        </w:tc>
        <w:tc>
          <w:tcPr>
            <w:tcW w:w="1423" w:type="dxa"/>
          </w:tcPr>
          <w:p>
            <w:pPr>
              <w:pStyle w:val="TableParagraph"/>
              <w:spacing w:before="30"/>
              <w:rPr>
                <w:sz w:val="22"/>
              </w:rPr>
            </w:pPr>
            <w:r>
              <w:rPr>
                <w:sz w:val="22"/>
              </w:rPr>
              <w:t>9,81356532</w:t>
            </w:r>
          </w:p>
        </w:tc>
        <w:tc>
          <w:tcPr>
            <w:tcW w:w="1649" w:type="dxa"/>
          </w:tcPr>
          <w:p>
            <w:pPr>
              <w:pStyle w:val="TableParagraph"/>
              <w:spacing w:before="30"/>
              <w:rPr>
                <w:sz w:val="22"/>
              </w:rPr>
            </w:pPr>
            <w:r>
              <w:rPr>
                <w:sz w:val="22"/>
              </w:rPr>
              <w:t>2,0307E-05</w:t>
            </w:r>
          </w:p>
        </w:tc>
      </w:tr>
      <w:tr>
        <w:trPr>
          <w:trHeight w:val="312" w:hRule="exact"/>
        </w:trPr>
        <w:tc>
          <w:tcPr>
            <w:tcW w:w="823" w:type="dxa"/>
          </w:tcPr>
          <w:p>
            <w:pPr>
              <w:pStyle w:val="TableParagraph"/>
              <w:spacing w:before="13"/>
              <w:ind w:right="0"/>
              <w:jc w:val="center"/>
              <w:rPr>
                <w:sz w:val="22"/>
              </w:rPr>
            </w:pPr>
            <w:r>
              <w:rPr>
                <w:w w:val="100"/>
                <w:sz w:val="22"/>
              </w:rPr>
              <w:t>N</w:t>
            </w:r>
          </w:p>
        </w:tc>
        <w:tc>
          <w:tcPr>
            <w:tcW w:w="790" w:type="dxa"/>
          </w:tcPr>
          <w:p>
            <w:pPr>
              <w:pStyle w:val="TableParagraph"/>
              <w:spacing w:before="30"/>
              <w:ind w:left="81" w:right="42"/>
              <w:jc w:val="center"/>
              <w:rPr>
                <w:sz w:val="22"/>
              </w:rPr>
            </w:pPr>
            <w:r>
              <w:rPr>
                <w:sz w:val="22"/>
              </w:rPr>
              <w:t>695,17</w:t>
            </w:r>
          </w:p>
        </w:tc>
        <w:tc>
          <w:tcPr>
            <w:tcW w:w="475" w:type="dxa"/>
          </w:tcPr>
          <w:p>
            <w:pPr/>
          </w:p>
        </w:tc>
        <w:tc>
          <w:tcPr>
            <w:tcW w:w="1066" w:type="dxa"/>
          </w:tcPr>
          <w:p>
            <w:pPr/>
          </w:p>
        </w:tc>
        <w:tc>
          <w:tcPr>
            <w:tcW w:w="1478" w:type="dxa"/>
          </w:tcPr>
          <w:p>
            <w:pPr>
              <w:pStyle w:val="TableParagraph"/>
              <w:spacing w:line="314" w:lineRule="exact" w:before="0"/>
              <w:ind w:left="543" w:right="55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2" w:type="dxa"/>
          </w:tcPr>
          <w:p>
            <w:pPr>
              <w:pStyle w:val="TableParagraph"/>
              <w:spacing w:before="30"/>
              <w:ind w:right="63"/>
              <w:rPr>
                <w:sz w:val="22"/>
              </w:rPr>
            </w:pPr>
            <w:r>
              <w:rPr>
                <w:sz w:val="22"/>
              </w:rPr>
              <w:t>352,91271</w:t>
            </w:r>
          </w:p>
        </w:tc>
        <w:tc>
          <w:tcPr>
            <w:tcW w:w="1342" w:type="dxa"/>
          </w:tcPr>
          <w:p>
            <w:pPr/>
          </w:p>
        </w:tc>
        <w:tc>
          <w:tcPr>
            <w:tcW w:w="1423" w:type="dxa"/>
          </w:tcPr>
          <w:p>
            <w:pPr>
              <w:pStyle w:val="TableParagraph"/>
              <w:spacing w:before="30"/>
              <w:rPr>
                <w:sz w:val="22"/>
              </w:rPr>
            </w:pPr>
            <w:r>
              <w:rPr>
                <w:sz w:val="22"/>
              </w:rPr>
              <w:t>23,5867565</w:t>
            </w:r>
          </w:p>
        </w:tc>
        <w:tc>
          <w:tcPr>
            <w:tcW w:w="1649" w:type="dxa"/>
          </w:tcPr>
          <w:p>
            <w:pPr>
              <w:pStyle w:val="TableParagraph"/>
              <w:spacing w:before="30"/>
              <w:rPr>
                <w:sz w:val="22"/>
              </w:rPr>
            </w:pPr>
            <w:r>
              <w:rPr>
                <w:sz w:val="22"/>
              </w:rPr>
              <w:t>4,88075E-05</w:t>
            </w:r>
          </w:p>
        </w:tc>
      </w:tr>
      <w:tr>
        <w:trPr>
          <w:trHeight w:val="310" w:hRule="exact"/>
        </w:trPr>
        <w:tc>
          <w:tcPr>
            <w:tcW w:w="5974" w:type="dxa"/>
            <w:gridSpan w:val="6"/>
            <w:vMerge w:val="restart"/>
            <w:tcBorders>
              <w:left w:val="nil"/>
            </w:tcBorders>
          </w:tcPr>
          <w:p>
            <w:pPr/>
          </w:p>
        </w:tc>
        <w:tc>
          <w:tcPr>
            <w:tcW w:w="2765"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49" w:type="dxa"/>
          </w:tcPr>
          <w:p>
            <w:pPr>
              <w:pStyle w:val="TableParagraph"/>
              <w:rPr>
                <w:b/>
                <w:sz w:val="22"/>
              </w:rPr>
            </w:pPr>
            <w:r>
              <w:rPr>
                <w:b/>
                <w:sz w:val="22"/>
              </w:rPr>
              <w:t>0,508</w:t>
            </w:r>
          </w:p>
        </w:tc>
      </w:tr>
      <w:tr>
        <w:trPr>
          <w:trHeight w:val="310" w:hRule="exact"/>
        </w:trPr>
        <w:tc>
          <w:tcPr>
            <w:tcW w:w="5974" w:type="dxa"/>
            <w:gridSpan w:val="6"/>
            <w:vMerge/>
            <w:tcBorders>
              <w:left w:val="nil"/>
            </w:tcBorders>
          </w:tcPr>
          <w:p>
            <w:pPr/>
          </w:p>
        </w:tc>
        <w:tc>
          <w:tcPr>
            <w:tcW w:w="2765" w:type="dxa"/>
            <w:gridSpan w:val="2"/>
          </w:tcPr>
          <w:p>
            <w:pPr>
              <w:pStyle w:val="TableParagraph"/>
              <w:spacing w:before="13"/>
              <w:ind w:left="64" w:right="0"/>
              <w:jc w:val="left"/>
              <w:rPr>
                <w:sz w:val="22"/>
              </w:rPr>
            </w:pPr>
            <w:r>
              <w:rPr>
                <w:sz w:val="22"/>
              </w:rPr>
              <w:t>Desviación estándar</w:t>
            </w:r>
          </w:p>
        </w:tc>
        <w:tc>
          <w:tcPr>
            <w:tcW w:w="1649" w:type="dxa"/>
          </w:tcPr>
          <w:p>
            <w:pPr>
              <w:pStyle w:val="TableParagraph"/>
              <w:rPr>
                <w:b/>
                <w:sz w:val="22"/>
              </w:rPr>
            </w:pPr>
            <w:r>
              <w:rPr>
                <w:b/>
                <w:sz w:val="22"/>
              </w:rPr>
              <w:t>0,0070</w:t>
            </w:r>
          </w:p>
        </w:tc>
      </w:tr>
      <w:tr>
        <w:trPr>
          <w:trHeight w:val="310" w:hRule="exact"/>
        </w:trPr>
        <w:tc>
          <w:tcPr>
            <w:tcW w:w="5974" w:type="dxa"/>
            <w:gridSpan w:val="6"/>
            <w:vMerge/>
            <w:tcBorders>
              <w:left w:val="nil"/>
            </w:tcBorders>
          </w:tcPr>
          <w:p>
            <w:pPr/>
          </w:p>
        </w:tc>
        <w:tc>
          <w:tcPr>
            <w:tcW w:w="2765" w:type="dxa"/>
            <w:gridSpan w:val="2"/>
            <w:vMerge w:val="restart"/>
          </w:tcPr>
          <w:p>
            <w:pPr>
              <w:pStyle w:val="TableParagraph"/>
              <w:spacing w:before="33"/>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649" w:type="dxa"/>
          </w:tcPr>
          <w:p>
            <w:pPr>
              <w:pStyle w:val="TableParagraph"/>
              <w:rPr>
                <w:sz w:val="22"/>
              </w:rPr>
            </w:pPr>
            <w:r>
              <w:rPr>
                <w:sz w:val="22"/>
              </w:rPr>
              <w:t>0,49</w:t>
            </w:r>
          </w:p>
        </w:tc>
      </w:tr>
      <w:tr>
        <w:trPr>
          <w:trHeight w:val="310" w:hRule="exact"/>
        </w:trPr>
        <w:tc>
          <w:tcPr>
            <w:tcW w:w="5974" w:type="dxa"/>
            <w:gridSpan w:val="6"/>
            <w:vMerge/>
            <w:tcBorders>
              <w:left w:val="nil"/>
              <w:bottom w:val="nil"/>
            </w:tcBorders>
          </w:tcPr>
          <w:p>
            <w:pPr/>
          </w:p>
        </w:tc>
        <w:tc>
          <w:tcPr>
            <w:tcW w:w="2765" w:type="dxa"/>
            <w:gridSpan w:val="2"/>
            <w:vMerge/>
          </w:tcPr>
          <w:p>
            <w:pPr/>
          </w:p>
        </w:tc>
        <w:tc>
          <w:tcPr>
            <w:tcW w:w="1649" w:type="dxa"/>
          </w:tcPr>
          <w:p>
            <w:pPr>
              <w:pStyle w:val="TableParagraph"/>
              <w:rPr>
                <w:sz w:val="22"/>
              </w:rPr>
            </w:pPr>
            <w:r>
              <w:rPr>
                <w:sz w:val="22"/>
              </w:rPr>
              <w:t>0,52</w:t>
            </w:r>
          </w:p>
        </w:tc>
      </w:tr>
    </w:tbl>
    <w:p>
      <w:pPr>
        <w:spacing w:after="0"/>
        <w:rPr>
          <w:sz w:val="22"/>
        </w:rPr>
        <w:sectPr>
          <w:pgSz w:w="12240" w:h="15840"/>
          <w:pgMar w:header="725" w:footer="1084" w:top="1340" w:bottom="1280" w:left="920" w:right="6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176"/>
        <w:gridCol w:w="1294"/>
        <w:gridCol w:w="1354"/>
        <w:gridCol w:w="1296"/>
        <w:gridCol w:w="1416"/>
        <w:gridCol w:w="1392"/>
      </w:tblGrid>
      <w:tr>
        <w:trPr>
          <w:trHeight w:val="310" w:hRule="exact"/>
        </w:trPr>
        <w:tc>
          <w:tcPr>
            <w:tcW w:w="10078" w:type="dxa"/>
            <w:gridSpan w:val="9"/>
          </w:tcPr>
          <w:p>
            <w:pPr>
              <w:pStyle w:val="TableParagraph"/>
              <w:ind w:left="3497" w:right="3495"/>
              <w:jc w:val="center"/>
              <w:rPr>
                <w:sz w:val="22"/>
              </w:rPr>
            </w:pPr>
            <w:r>
              <w:rPr>
                <w:sz w:val="22"/>
              </w:rPr>
              <w:t>Eficiencia general</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76" w:type="dxa"/>
          </w:tcPr>
          <w:p>
            <w:pPr>
              <w:pStyle w:val="TableParagraph"/>
              <w:spacing w:before="43"/>
              <w:ind w:left="449" w:right="46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94" w:type="dxa"/>
          </w:tcPr>
          <w:p>
            <w:pPr>
              <w:pStyle w:val="TableParagraph"/>
              <w:spacing w:line="214" w:lineRule="exact" w:before="6"/>
              <w:ind w:left="141" w:right="14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354" w:type="dxa"/>
          </w:tcPr>
          <w:p>
            <w:pPr>
              <w:pStyle w:val="TableParagraph"/>
              <w:spacing w:before="19"/>
              <w:ind w:left="552" w:right="56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296" w:type="dxa"/>
          </w:tcPr>
          <w:p>
            <w:pPr>
              <w:pStyle w:val="TableParagraph"/>
              <w:spacing w:before="43"/>
              <w:ind w:left="537" w:right="109"/>
              <w:jc w:val="left"/>
              <w:rPr>
                <w:rFonts w:ascii="Cambria Math"/>
                <w:sz w:val="16"/>
              </w:rPr>
            </w:pPr>
            <w:r>
              <w:rPr>
                <w:rFonts w:ascii="Cambria Math"/>
                <w:w w:val="110"/>
                <w:sz w:val="22"/>
              </w:rPr>
              <w:t>s</w:t>
            </w:r>
            <w:r>
              <w:rPr>
                <w:rFonts w:ascii="Cambria Math"/>
                <w:w w:val="110"/>
                <w:position w:val="-4"/>
                <w:sz w:val="16"/>
              </w:rPr>
              <w:t>h</w:t>
            </w:r>
          </w:p>
        </w:tc>
        <w:tc>
          <w:tcPr>
            <w:tcW w:w="1416" w:type="dxa"/>
          </w:tcPr>
          <w:p>
            <w:pPr>
              <w:pStyle w:val="TableParagraph"/>
              <w:spacing w:before="0"/>
              <w:ind w:left="371" w:right="169"/>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392" w:type="dxa"/>
          </w:tcPr>
          <w:p>
            <w:pPr>
              <w:pStyle w:val="TableParagraph"/>
              <w:spacing w:before="0"/>
              <w:ind w:left="34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30"/>
              <w:ind w:right="1"/>
              <w:jc w:val="center"/>
              <w:rPr>
                <w:sz w:val="22"/>
              </w:rPr>
            </w:pPr>
            <w:r>
              <w:rPr>
                <w:w w:val="100"/>
                <w:sz w:val="22"/>
              </w:rPr>
              <w:t>1</w:t>
            </w:r>
          </w:p>
        </w:tc>
        <w:tc>
          <w:tcPr>
            <w:tcW w:w="809" w:type="dxa"/>
          </w:tcPr>
          <w:p>
            <w:pPr>
              <w:pStyle w:val="TableParagraph"/>
              <w:spacing w:before="30"/>
              <w:ind w:left="59" w:right="1"/>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1176" w:type="dxa"/>
          </w:tcPr>
          <w:p>
            <w:pPr>
              <w:pStyle w:val="TableParagraph"/>
              <w:spacing w:before="30"/>
              <w:ind w:right="63"/>
              <w:rPr>
                <w:sz w:val="22"/>
              </w:rPr>
            </w:pPr>
            <w:r>
              <w:rPr>
                <w:sz w:val="22"/>
              </w:rPr>
              <w:t>-4,3506</w:t>
            </w:r>
          </w:p>
        </w:tc>
        <w:tc>
          <w:tcPr>
            <w:tcW w:w="1294" w:type="dxa"/>
          </w:tcPr>
          <w:p>
            <w:pPr>
              <w:pStyle w:val="TableParagraph"/>
              <w:spacing w:before="30"/>
              <w:rPr>
                <w:sz w:val="22"/>
              </w:rPr>
            </w:pPr>
            <w:r>
              <w:rPr>
                <w:sz w:val="22"/>
              </w:rPr>
              <w:t>101,1445</w:t>
            </w:r>
          </w:p>
        </w:tc>
        <w:tc>
          <w:tcPr>
            <w:tcW w:w="1354" w:type="dxa"/>
          </w:tcPr>
          <w:p>
            <w:pPr>
              <w:pStyle w:val="TableParagraph"/>
              <w:spacing w:before="30"/>
              <w:ind w:right="63"/>
              <w:rPr>
                <w:sz w:val="22"/>
              </w:rPr>
            </w:pPr>
            <w:r>
              <w:rPr>
                <w:sz w:val="22"/>
              </w:rPr>
              <w:t>-472,4760</w:t>
            </w:r>
          </w:p>
        </w:tc>
        <w:tc>
          <w:tcPr>
            <w:tcW w:w="1296" w:type="dxa"/>
          </w:tcPr>
          <w:p>
            <w:pPr>
              <w:pStyle w:val="TableParagraph"/>
              <w:spacing w:before="30"/>
              <w:ind w:left="494" w:right="0"/>
              <w:jc w:val="left"/>
              <w:rPr>
                <w:sz w:val="22"/>
              </w:rPr>
            </w:pPr>
            <w:r>
              <w:rPr>
                <w:sz w:val="22"/>
              </w:rPr>
              <w:t>10,0571</w:t>
            </w:r>
          </w:p>
        </w:tc>
        <w:tc>
          <w:tcPr>
            <w:tcW w:w="1416" w:type="dxa"/>
          </w:tcPr>
          <w:p>
            <w:pPr>
              <w:pStyle w:val="TableParagraph"/>
              <w:spacing w:before="30"/>
              <w:ind w:right="63"/>
              <w:rPr>
                <w:sz w:val="22"/>
              </w:rPr>
            </w:pPr>
            <w:r>
              <w:rPr>
                <w:sz w:val="22"/>
              </w:rPr>
              <w:t>-3692,76505</w:t>
            </w:r>
          </w:p>
        </w:tc>
        <w:tc>
          <w:tcPr>
            <w:tcW w:w="1392" w:type="dxa"/>
          </w:tcPr>
          <w:p>
            <w:pPr>
              <w:pStyle w:val="TableParagraph"/>
              <w:spacing w:before="30"/>
              <w:rPr>
                <w:sz w:val="22"/>
              </w:rPr>
            </w:pPr>
            <w:r>
              <w:rPr>
                <w:sz w:val="22"/>
              </w:rPr>
              <w:t>-0,00764134</w:t>
            </w:r>
          </w:p>
        </w:tc>
      </w:tr>
      <w:tr>
        <w:trPr>
          <w:trHeight w:val="312" w:hRule="exact"/>
        </w:trPr>
        <w:tc>
          <w:tcPr>
            <w:tcW w:w="838" w:type="dxa"/>
          </w:tcPr>
          <w:p>
            <w:pPr>
              <w:pStyle w:val="TableParagraph"/>
              <w:spacing w:before="30"/>
              <w:ind w:right="1"/>
              <w:jc w:val="center"/>
              <w:rPr>
                <w:sz w:val="22"/>
              </w:rPr>
            </w:pPr>
            <w:r>
              <w:rPr>
                <w:w w:val="100"/>
                <w:sz w:val="22"/>
              </w:rPr>
              <w:t>2</w:t>
            </w:r>
          </w:p>
        </w:tc>
        <w:tc>
          <w:tcPr>
            <w:tcW w:w="809" w:type="dxa"/>
          </w:tcPr>
          <w:p>
            <w:pPr>
              <w:pStyle w:val="TableParagraph"/>
              <w:spacing w:before="30"/>
              <w:ind w:left="59" w:right="1"/>
              <w:jc w:val="center"/>
              <w:rPr>
                <w:sz w:val="22"/>
              </w:rPr>
            </w:pPr>
            <w:r>
              <w:rPr>
                <w:sz w:val="22"/>
              </w:rPr>
              <w:t>121,03</w:t>
            </w:r>
          </w:p>
        </w:tc>
        <w:tc>
          <w:tcPr>
            <w:tcW w:w="504" w:type="dxa"/>
          </w:tcPr>
          <w:p>
            <w:pPr>
              <w:pStyle w:val="TableParagraph"/>
              <w:spacing w:before="30"/>
              <w:ind w:left="184" w:right="42"/>
              <w:jc w:val="center"/>
              <w:rPr>
                <w:sz w:val="22"/>
              </w:rPr>
            </w:pPr>
            <w:r>
              <w:rPr>
                <w:sz w:val="22"/>
              </w:rPr>
              <w:t>81</w:t>
            </w:r>
          </w:p>
        </w:tc>
        <w:tc>
          <w:tcPr>
            <w:tcW w:w="1176" w:type="dxa"/>
          </w:tcPr>
          <w:p>
            <w:pPr>
              <w:pStyle w:val="TableParagraph"/>
              <w:spacing w:before="30"/>
              <w:ind w:right="63"/>
              <w:rPr>
                <w:sz w:val="22"/>
              </w:rPr>
            </w:pPr>
            <w:r>
              <w:rPr>
                <w:sz w:val="22"/>
              </w:rPr>
              <w:t>9,0167</w:t>
            </w:r>
          </w:p>
        </w:tc>
        <w:tc>
          <w:tcPr>
            <w:tcW w:w="1294" w:type="dxa"/>
          </w:tcPr>
          <w:p>
            <w:pPr>
              <w:pStyle w:val="TableParagraph"/>
              <w:spacing w:before="30"/>
              <w:rPr>
                <w:sz w:val="22"/>
              </w:rPr>
            </w:pPr>
            <w:r>
              <w:rPr>
                <w:sz w:val="22"/>
              </w:rPr>
              <w:t>557,7442</w:t>
            </w:r>
          </w:p>
        </w:tc>
        <w:tc>
          <w:tcPr>
            <w:tcW w:w="1354" w:type="dxa"/>
          </w:tcPr>
          <w:p>
            <w:pPr>
              <w:pStyle w:val="TableParagraph"/>
              <w:spacing w:before="30"/>
              <w:ind w:right="63"/>
              <w:rPr>
                <w:sz w:val="22"/>
              </w:rPr>
            </w:pPr>
            <w:r>
              <w:rPr>
                <w:sz w:val="22"/>
              </w:rPr>
              <w:t>1091,2915</w:t>
            </w:r>
          </w:p>
        </w:tc>
        <w:tc>
          <w:tcPr>
            <w:tcW w:w="1296" w:type="dxa"/>
          </w:tcPr>
          <w:p>
            <w:pPr>
              <w:pStyle w:val="TableParagraph"/>
              <w:spacing w:before="30"/>
              <w:ind w:left="494" w:right="0"/>
              <w:jc w:val="left"/>
              <w:rPr>
                <w:sz w:val="22"/>
              </w:rPr>
            </w:pPr>
            <w:r>
              <w:rPr>
                <w:sz w:val="22"/>
              </w:rPr>
              <w:t>23,6166</w:t>
            </w:r>
          </w:p>
        </w:tc>
        <w:tc>
          <w:tcPr>
            <w:tcW w:w="1416" w:type="dxa"/>
          </w:tcPr>
          <w:p>
            <w:pPr>
              <w:pStyle w:val="TableParagraph"/>
              <w:spacing w:before="30"/>
              <w:ind w:right="63"/>
              <w:rPr>
                <w:sz w:val="22"/>
              </w:rPr>
            </w:pPr>
            <w:r>
              <w:rPr>
                <w:sz w:val="22"/>
              </w:rPr>
              <w:t>33410,03411</w:t>
            </w:r>
          </w:p>
        </w:tc>
        <w:tc>
          <w:tcPr>
            <w:tcW w:w="1392" w:type="dxa"/>
          </w:tcPr>
          <w:p>
            <w:pPr>
              <w:pStyle w:val="TableParagraph"/>
              <w:spacing w:before="30"/>
              <w:rPr>
                <w:sz w:val="22"/>
              </w:rPr>
            </w:pPr>
            <w:r>
              <w:rPr>
                <w:sz w:val="22"/>
              </w:rPr>
              <w:t>0,06913451</w:t>
            </w:r>
          </w:p>
        </w:tc>
      </w:tr>
      <w:tr>
        <w:trPr>
          <w:trHeight w:val="310" w:hRule="exact"/>
        </w:trPr>
        <w:tc>
          <w:tcPr>
            <w:tcW w:w="838" w:type="dxa"/>
          </w:tcPr>
          <w:p>
            <w:pPr>
              <w:pStyle w:val="TableParagraph"/>
              <w:ind w:right="1"/>
              <w:jc w:val="center"/>
              <w:rPr>
                <w:sz w:val="22"/>
              </w:rPr>
            </w:pPr>
            <w:r>
              <w:rPr>
                <w:w w:val="100"/>
                <w:sz w:val="22"/>
              </w:rPr>
              <w:t>3</w:t>
            </w:r>
          </w:p>
        </w:tc>
        <w:tc>
          <w:tcPr>
            <w:tcW w:w="809" w:type="dxa"/>
          </w:tcPr>
          <w:p>
            <w:pPr>
              <w:pStyle w:val="TableParagraph"/>
              <w:ind w:left="59" w:right="1"/>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176" w:type="dxa"/>
          </w:tcPr>
          <w:p>
            <w:pPr>
              <w:pStyle w:val="TableParagraph"/>
              <w:ind w:right="63"/>
              <w:rPr>
                <w:sz w:val="22"/>
              </w:rPr>
            </w:pPr>
            <w:r>
              <w:rPr>
                <w:sz w:val="22"/>
              </w:rPr>
              <w:t>43,1264</w:t>
            </w:r>
          </w:p>
        </w:tc>
        <w:tc>
          <w:tcPr>
            <w:tcW w:w="1294" w:type="dxa"/>
          </w:tcPr>
          <w:p>
            <w:pPr>
              <w:pStyle w:val="TableParagraph"/>
              <w:rPr>
                <w:sz w:val="22"/>
              </w:rPr>
            </w:pPr>
            <w:r>
              <w:rPr>
                <w:sz w:val="22"/>
              </w:rPr>
              <w:t>1230,9370</w:t>
            </w:r>
          </w:p>
        </w:tc>
        <w:tc>
          <w:tcPr>
            <w:tcW w:w="1354" w:type="dxa"/>
          </w:tcPr>
          <w:p>
            <w:pPr>
              <w:pStyle w:val="TableParagraph"/>
              <w:ind w:right="63"/>
              <w:rPr>
                <w:sz w:val="22"/>
              </w:rPr>
            </w:pPr>
            <w:r>
              <w:rPr>
                <w:sz w:val="22"/>
              </w:rPr>
              <w:t>5615,4883</w:t>
            </w:r>
          </w:p>
        </w:tc>
        <w:tc>
          <w:tcPr>
            <w:tcW w:w="1296" w:type="dxa"/>
          </w:tcPr>
          <w:p>
            <w:pPr>
              <w:pStyle w:val="TableParagraph"/>
              <w:ind w:left="494" w:right="0"/>
              <w:jc w:val="left"/>
              <w:rPr>
                <w:sz w:val="22"/>
              </w:rPr>
            </w:pPr>
            <w:r>
              <w:rPr>
                <w:sz w:val="22"/>
              </w:rPr>
              <w:t>35,0847</w:t>
            </w:r>
          </w:p>
        </w:tc>
        <w:tc>
          <w:tcPr>
            <w:tcW w:w="1416" w:type="dxa"/>
          </w:tcPr>
          <w:p>
            <w:pPr>
              <w:pStyle w:val="TableParagraph"/>
              <w:ind w:right="63"/>
              <w:rPr>
                <w:sz w:val="22"/>
              </w:rPr>
            </w:pPr>
            <w:r>
              <w:rPr>
                <w:sz w:val="22"/>
              </w:rPr>
              <w:t>112388,8672</w:t>
            </w:r>
          </w:p>
        </w:tc>
        <w:tc>
          <w:tcPr>
            <w:tcW w:w="1392" w:type="dxa"/>
          </w:tcPr>
          <w:p>
            <w:pPr>
              <w:pStyle w:val="TableParagraph"/>
              <w:rPr>
                <w:sz w:val="22"/>
              </w:rPr>
            </w:pPr>
            <w:r>
              <w:rPr>
                <w:sz w:val="22"/>
              </w:rPr>
              <w:t>0,23256334</w:t>
            </w:r>
          </w:p>
        </w:tc>
      </w:tr>
      <w:tr>
        <w:trPr>
          <w:trHeight w:val="310" w:hRule="exact"/>
        </w:trPr>
        <w:tc>
          <w:tcPr>
            <w:tcW w:w="838" w:type="dxa"/>
          </w:tcPr>
          <w:p>
            <w:pPr>
              <w:pStyle w:val="TableParagraph"/>
              <w:ind w:right="1"/>
              <w:jc w:val="center"/>
              <w:rPr>
                <w:sz w:val="22"/>
              </w:rPr>
            </w:pPr>
            <w:r>
              <w:rPr>
                <w:w w:val="100"/>
                <w:sz w:val="22"/>
              </w:rPr>
              <w:t>4</w:t>
            </w:r>
          </w:p>
        </w:tc>
        <w:tc>
          <w:tcPr>
            <w:tcW w:w="809" w:type="dxa"/>
          </w:tcPr>
          <w:p>
            <w:pPr>
              <w:pStyle w:val="TableParagraph"/>
              <w:ind w:left="59" w:right="1"/>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176" w:type="dxa"/>
          </w:tcPr>
          <w:p>
            <w:pPr>
              <w:pStyle w:val="TableParagraph"/>
              <w:ind w:right="63"/>
              <w:rPr>
                <w:sz w:val="22"/>
              </w:rPr>
            </w:pPr>
            <w:r>
              <w:rPr>
                <w:sz w:val="22"/>
              </w:rPr>
              <w:t>53,0868</w:t>
            </w:r>
          </w:p>
        </w:tc>
        <w:tc>
          <w:tcPr>
            <w:tcW w:w="1294" w:type="dxa"/>
          </w:tcPr>
          <w:p>
            <w:pPr>
              <w:pStyle w:val="TableParagraph"/>
              <w:rPr>
                <w:sz w:val="22"/>
              </w:rPr>
            </w:pPr>
            <w:r>
              <w:rPr>
                <w:sz w:val="22"/>
              </w:rPr>
              <w:t>261,1511</w:t>
            </w:r>
          </w:p>
        </w:tc>
        <w:tc>
          <w:tcPr>
            <w:tcW w:w="1354" w:type="dxa"/>
          </w:tcPr>
          <w:p>
            <w:pPr>
              <w:pStyle w:val="TableParagraph"/>
              <w:ind w:right="63"/>
              <w:rPr>
                <w:sz w:val="22"/>
              </w:rPr>
            </w:pPr>
            <w:r>
              <w:rPr>
                <w:sz w:val="22"/>
              </w:rPr>
              <w:t>8234,8230</w:t>
            </w:r>
          </w:p>
        </w:tc>
        <w:tc>
          <w:tcPr>
            <w:tcW w:w="1296" w:type="dxa"/>
          </w:tcPr>
          <w:p>
            <w:pPr>
              <w:pStyle w:val="TableParagraph"/>
              <w:ind w:left="494" w:right="0"/>
              <w:jc w:val="left"/>
              <w:rPr>
                <w:sz w:val="22"/>
              </w:rPr>
            </w:pPr>
            <w:r>
              <w:rPr>
                <w:sz w:val="22"/>
              </w:rPr>
              <w:t>16,1602</w:t>
            </w:r>
          </w:p>
        </w:tc>
        <w:tc>
          <w:tcPr>
            <w:tcW w:w="1416" w:type="dxa"/>
          </w:tcPr>
          <w:p>
            <w:pPr>
              <w:pStyle w:val="TableParagraph"/>
              <w:ind w:right="63"/>
              <w:rPr>
                <w:sz w:val="22"/>
              </w:rPr>
            </w:pPr>
            <w:r>
              <w:rPr>
                <w:sz w:val="22"/>
              </w:rPr>
              <w:t>27934,56977</w:t>
            </w:r>
          </w:p>
        </w:tc>
        <w:tc>
          <w:tcPr>
            <w:tcW w:w="1392" w:type="dxa"/>
          </w:tcPr>
          <w:p>
            <w:pPr>
              <w:pStyle w:val="TableParagraph"/>
              <w:rPr>
                <w:sz w:val="22"/>
              </w:rPr>
            </w:pPr>
            <w:r>
              <w:rPr>
                <w:sz w:val="22"/>
              </w:rPr>
              <w:t>0,05780427</w:t>
            </w:r>
          </w:p>
        </w:tc>
      </w:tr>
      <w:tr>
        <w:trPr>
          <w:trHeight w:val="310" w:hRule="exact"/>
        </w:trPr>
        <w:tc>
          <w:tcPr>
            <w:tcW w:w="838" w:type="dxa"/>
          </w:tcPr>
          <w:p>
            <w:pPr>
              <w:pStyle w:val="TableParagraph"/>
              <w:ind w:right="1"/>
              <w:jc w:val="center"/>
              <w:rPr>
                <w:sz w:val="22"/>
              </w:rPr>
            </w:pPr>
            <w:r>
              <w:rPr>
                <w:w w:val="100"/>
                <w:sz w:val="22"/>
              </w:rPr>
              <w:t>5</w:t>
            </w:r>
          </w:p>
        </w:tc>
        <w:tc>
          <w:tcPr>
            <w:tcW w:w="809" w:type="dxa"/>
          </w:tcPr>
          <w:p>
            <w:pPr>
              <w:pStyle w:val="TableParagraph"/>
              <w:ind w:left="59" w:right="1"/>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176" w:type="dxa"/>
          </w:tcPr>
          <w:p>
            <w:pPr>
              <w:pStyle w:val="TableParagraph"/>
              <w:ind w:right="63"/>
              <w:rPr>
                <w:sz w:val="22"/>
              </w:rPr>
            </w:pPr>
            <w:r>
              <w:rPr>
                <w:sz w:val="22"/>
              </w:rPr>
              <w:t>32,9490</w:t>
            </w:r>
          </w:p>
        </w:tc>
        <w:tc>
          <w:tcPr>
            <w:tcW w:w="1294" w:type="dxa"/>
          </w:tcPr>
          <w:p>
            <w:pPr>
              <w:pStyle w:val="TableParagraph"/>
              <w:rPr>
                <w:sz w:val="22"/>
              </w:rPr>
            </w:pPr>
            <w:r>
              <w:rPr>
                <w:sz w:val="22"/>
              </w:rPr>
              <w:t>314,6432</w:t>
            </w:r>
          </w:p>
        </w:tc>
        <w:tc>
          <w:tcPr>
            <w:tcW w:w="1354" w:type="dxa"/>
          </w:tcPr>
          <w:p>
            <w:pPr>
              <w:pStyle w:val="TableParagraph"/>
              <w:ind w:right="63"/>
              <w:rPr>
                <w:sz w:val="22"/>
              </w:rPr>
            </w:pPr>
            <w:r>
              <w:rPr>
                <w:sz w:val="22"/>
              </w:rPr>
              <w:t>5937,7456</w:t>
            </w:r>
          </w:p>
        </w:tc>
        <w:tc>
          <w:tcPr>
            <w:tcW w:w="1296" w:type="dxa"/>
          </w:tcPr>
          <w:p>
            <w:pPr>
              <w:pStyle w:val="TableParagraph"/>
              <w:ind w:left="494" w:right="0"/>
              <w:jc w:val="left"/>
              <w:rPr>
                <w:sz w:val="22"/>
              </w:rPr>
            </w:pPr>
            <w:r>
              <w:rPr>
                <w:sz w:val="22"/>
              </w:rPr>
              <w:t>17,7382</w:t>
            </w:r>
          </w:p>
        </w:tc>
        <w:tc>
          <w:tcPr>
            <w:tcW w:w="1416" w:type="dxa"/>
          </w:tcPr>
          <w:p>
            <w:pPr>
              <w:pStyle w:val="TableParagraph"/>
              <w:ind w:right="63"/>
              <w:rPr>
                <w:sz w:val="22"/>
              </w:rPr>
            </w:pPr>
            <w:r>
              <w:rPr>
                <w:sz w:val="22"/>
              </w:rPr>
              <w:t>20685,61199</w:t>
            </w:r>
          </w:p>
        </w:tc>
        <w:tc>
          <w:tcPr>
            <w:tcW w:w="1392" w:type="dxa"/>
          </w:tcPr>
          <w:p>
            <w:pPr>
              <w:pStyle w:val="TableParagraph"/>
              <w:rPr>
                <w:sz w:val="22"/>
              </w:rPr>
            </w:pPr>
            <w:r>
              <w:rPr>
                <w:sz w:val="22"/>
              </w:rPr>
              <w:t>0,04280419</w:t>
            </w:r>
          </w:p>
        </w:tc>
      </w:tr>
      <w:tr>
        <w:trPr>
          <w:trHeight w:val="310" w:hRule="exact"/>
        </w:trPr>
        <w:tc>
          <w:tcPr>
            <w:tcW w:w="838" w:type="dxa"/>
          </w:tcPr>
          <w:p>
            <w:pPr>
              <w:pStyle w:val="TableParagraph"/>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1176" w:type="dxa"/>
          </w:tcPr>
          <w:p>
            <w:pPr/>
          </w:p>
        </w:tc>
        <w:tc>
          <w:tcPr>
            <w:tcW w:w="1294" w:type="dxa"/>
          </w:tcPr>
          <w:p>
            <w:pPr>
              <w:pStyle w:val="TableParagraph"/>
              <w:spacing w:line="314" w:lineRule="exact" w:before="0"/>
              <w:ind w:left="141" w:right="14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54" w:type="dxa"/>
          </w:tcPr>
          <w:p>
            <w:pPr>
              <w:pStyle w:val="TableParagraph"/>
              <w:ind w:right="63"/>
              <w:rPr>
                <w:sz w:val="22"/>
              </w:rPr>
            </w:pPr>
            <w:r>
              <w:rPr>
                <w:sz w:val="22"/>
              </w:rPr>
              <w:t>20406,8725</w:t>
            </w:r>
          </w:p>
        </w:tc>
        <w:tc>
          <w:tcPr>
            <w:tcW w:w="1296" w:type="dxa"/>
          </w:tcPr>
          <w:p>
            <w:pPr/>
          </w:p>
        </w:tc>
        <w:tc>
          <w:tcPr>
            <w:tcW w:w="1416" w:type="dxa"/>
          </w:tcPr>
          <w:p>
            <w:pPr>
              <w:pStyle w:val="TableParagraph"/>
              <w:ind w:right="63"/>
              <w:rPr>
                <w:sz w:val="22"/>
              </w:rPr>
            </w:pPr>
            <w:r>
              <w:rPr>
                <w:sz w:val="22"/>
              </w:rPr>
              <w:t>190726,318</w:t>
            </w:r>
          </w:p>
        </w:tc>
        <w:tc>
          <w:tcPr>
            <w:tcW w:w="1392" w:type="dxa"/>
          </w:tcPr>
          <w:p>
            <w:pPr>
              <w:pStyle w:val="TableParagraph"/>
              <w:rPr>
                <w:sz w:val="22"/>
              </w:rPr>
            </w:pPr>
            <w:r>
              <w:rPr>
                <w:sz w:val="22"/>
              </w:rPr>
              <w:t>0,39466497</w:t>
            </w:r>
          </w:p>
        </w:tc>
      </w:tr>
      <w:tr>
        <w:trPr>
          <w:trHeight w:val="310" w:hRule="exact"/>
        </w:trPr>
        <w:tc>
          <w:tcPr>
            <w:tcW w:w="5974" w:type="dxa"/>
            <w:gridSpan w:val="6"/>
            <w:vMerge w:val="restart"/>
            <w:tcBorders>
              <w:left w:val="nil"/>
            </w:tcBorders>
          </w:tcPr>
          <w:p>
            <w:pPr/>
          </w:p>
        </w:tc>
        <w:tc>
          <w:tcPr>
            <w:tcW w:w="271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92" w:type="dxa"/>
          </w:tcPr>
          <w:p>
            <w:pPr>
              <w:pStyle w:val="TableParagraph"/>
              <w:spacing w:before="30"/>
              <w:rPr>
                <w:b/>
                <w:sz w:val="22"/>
              </w:rPr>
            </w:pPr>
            <w:r>
              <w:rPr>
                <w:b/>
                <w:sz w:val="22"/>
              </w:rPr>
              <w:t>29,355</w:t>
            </w:r>
          </w:p>
        </w:tc>
      </w:tr>
      <w:tr>
        <w:trPr>
          <w:trHeight w:val="312" w:hRule="exact"/>
        </w:trPr>
        <w:tc>
          <w:tcPr>
            <w:tcW w:w="5974" w:type="dxa"/>
            <w:gridSpan w:val="6"/>
            <w:vMerge/>
            <w:tcBorders>
              <w:left w:val="nil"/>
            </w:tcBorders>
          </w:tcPr>
          <w:p>
            <w:pPr/>
          </w:p>
        </w:tc>
        <w:tc>
          <w:tcPr>
            <w:tcW w:w="2712" w:type="dxa"/>
            <w:gridSpan w:val="2"/>
          </w:tcPr>
          <w:p>
            <w:pPr>
              <w:pStyle w:val="TableParagraph"/>
              <w:spacing w:before="13"/>
              <w:ind w:left="64" w:right="0"/>
              <w:jc w:val="left"/>
              <w:rPr>
                <w:sz w:val="22"/>
              </w:rPr>
            </w:pPr>
            <w:r>
              <w:rPr>
                <w:sz w:val="22"/>
              </w:rPr>
              <w:t>Desviación estándar</w:t>
            </w:r>
          </w:p>
        </w:tc>
        <w:tc>
          <w:tcPr>
            <w:tcW w:w="1392" w:type="dxa"/>
          </w:tcPr>
          <w:p>
            <w:pPr>
              <w:pStyle w:val="TableParagraph"/>
              <w:spacing w:before="30"/>
              <w:rPr>
                <w:b/>
                <w:sz w:val="22"/>
              </w:rPr>
            </w:pPr>
            <w:r>
              <w:rPr>
                <w:b/>
                <w:sz w:val="22"/>
              </w:rPr>
              <w:t>0,628</w:t>
            </w:r>
          </w:p>
        </w:tc>
      </w:tr>
      <w:tr>
        <w:trPr>
          <w:trHeight w:val="310" w:hRule="exact"/>
        </w:trPr>
        <w:tc>
          <w:tcPr>
            <w:tcW w:w="5974" w:type="dxa"/>
            <w:gridSpan w:val="6"/>
            <w:vMerge/>
            <w:tcBorders>
              <w:left w:val="nil"/>
            </w:tcBorders>
          </w:tcPr>
          <w:p>
            <w:pPr/>
          </w:p>
        </w:tc>
        <w:tc>
          <w:tcPr>
            <w:tcW w:w="2712" w:type="dxa"/>
            <w:gridSpan w:val="2"/>
            <w:vMerge w:val="restart"/>
          </w:tcPr>
          <w:p>
            <w:pPr>
              <w:pStyle w:val="TableParagraph"/>
              <w:spacing w:before="33"/>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392" w:type="dxa"/>
          </w:tcPr>
          <w:p>
            <w:pPr>
              <w:pStyle w:val="TableParagraph"/>
              <w:rPr>
                <w:sz w:val="22"/>
              </w:rPr>
            </w:pPr>
            <w:r>
              <w:rPr>
                <w:sz w:val="22"/>
              </w:rPr>
              <w:t>28,12</w:t>
            </w:r>
          </w:p>
        </w:tc>
      </w:tr>
      <w:tr>
        <w:trPr>
          <w:trHeight w:val="310" w:hRule="exact"/>
        </w:trPr>
        <w:tc>
          <w:tcPr>
            <w:tcW w:w="5974" w:type="dxa"/>
            <w:gridSpan w:val="6"/>
            <w:vMerge/>
            <w:tcBorders>
              <w:left w:val="nil"/>
              <w:bottom w:val="nil"/>
            </w:tcBorders>
          </w:tcPr>
          <w:p>
            <w:pPr/>
          </w:p>
        </w:tc>
        <w:tc>
          <w:tcPr>
            <w:tcW w:w="2712" w:type="dxa"/>
            <w:gridSpan w:val="2"/>
            <w:vMerge/>
          </w:tcPr>
          <w:p>
            <w:pPr/>
          </w:p>
        </w:tc>
        <w:tc>
          <w:tcPr>
            <w:tcW w:w="1392" w:type="dxa"/>
          </w:tcPr>
          <w:p>
            <w:pPr>
              <w:pStyle w:val="TableParagraph"/>
              <w:rPr>
                <w:sz w:val="22"/>
              </w:rPr>
            </w:pPr>
            <w:r>
              <w:rPr>
                <w:sz w:val="22"/>
              </w:rPr>
              <w:t>30,59</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176"/>
        <w:gridCol w:w="1294"/>
        <w:gridCol w:w="1354"/>
        <w:gridCol w:w="1296"/>
        <w:gridCol w:w="1416"/>
        <w:gridCol w:w="1392"/>
      </w:tblGrid>
      <w:tr>
        <w:trPr>
          <w:trHeight w:val="310" w:hRule="exact"/>
        </w:trPr>
        <w:tc>
          <w:tcPr>
            <w:tcW w:w="10078" w:type="dxa"/>
            <w:gridSpan w:val="9"/>
          </w:tcPr>
          <w:p>
            <w:pPr>
              <w:pStyle w:val="TableParagraph"/>
              <w:ind w:left="3496" w:right="3495"/>
              <w:jc w:val="center"/>
              <w:rPr>
                <w:sz w:val="22"/>
              </w:rPr>
            </w:pPr>
            <w:r>
              <w:rPr>
                <w:sz w:val="22"/>
              </w:rPr>
              <w:t>Eficiencia Percolador</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76" w:type="dxa"/>
          </w:tcPr>
          <w:p>
            <w:pPr>
              <w:pStyle w:val="TableParagraph"/>
              <w:spacing w:before="43"/>
              <w:ind w:left="449" w:right="46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94" w:type="dxa"/>
          </w:tcPr>
          <w:p>
            <w:pPr>
              <w:pStyle w:val="TableParagraph"/>
              <w:spacing w:line="214" w:lineRule="exact" w:before="6"/>
              <w:ind w:left="141" w:right="14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354" w:type="dxa"/>
          </w:tcPr>
          <w:p>
            <w:pPr>
              <w:pStyle w:val="TableParagraph"/>
              <w:spacing w:before="19"/>
              <w:ind w:left="552" w:right="56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296" w:type="dxa"/>
          </w:tcPr>
          <w:p>
            <w:pPr>
              <w:pStyle w:val="TableParagraph"/>
              <w:spacing w:before="43"/>
              <w:ind w:left="327" w:right="338"/>
              <w:jc w:val="center"/>
              <w:rPr>
                <w:rFonts w:ascii="Cambria Math"/>
                <w:sz w:val="16"/>
              </w:rPr>
            </w:pPr>
            <w:r>
              <w:rPr>
                <w:rFonts w:ascii="Cambria Math"/>
                <w:w w:val="110"/>
                <w:sz w:val="22"/>
              </w:rPr>
              <w:t>s</w:t>
            </w:r>
            <w:r>
              <w:rPr>
                <w:rFonts w:ascii="Cambria Math"/>
                <w:w w:val="110"/>
                <w:position w:val="-4"/>
                <w:sz w:val="16"/>
              </w:rPr>
              <w:t>h</w:t>
            </w:r>
          </w:p>
        </w:tc>
        <w:tc>
          <w:tcPr>
            <w:tcW w:w="1416" w:type="dxa"/>
          </w:tcPr>
          <w:p>
            <w:pPr>
              <w:pStyle w:val="TableParagraph"/>
              <w:spacing w:before="0"/>
              <w:ind w:left="371" w:right="169"/>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392" w:type="dxa"/>
          </w:tcPr>
          <w:p>
            <w:pPr>
              <w:pStyle w:val="TableParagraph"/>
              <w:spacing w:before="0"/>
              <w:ind w:left="34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38" w:type="dxa"/>
          </w:tcPr>
          <w:p>
            <w:pPr>
              <w:pStyle w:val="TableParagraph"/>
              <w:spacing w:before="30"/>
              <w:ind w:right="1"/>
              <w:jc w:val="center"/>
              <w:rPr>
                <w:sz w:val="22"/>
              </w:rPr>
            </w:pPr>
            <w:r>
              <w:rPr>
                <w:w w:val="100"/>
                <w:sz w:val="22"/>
              </w:rPr>
              <w:t>1</w:t>
            </w:r>
          </w:p>
        </w:tc>
        <w:tc>
          <w:tcPr>
            <w:tcW w:w="809" w:type="dxa"/>
          </w:tcPr>
          <w:p>
            <w:pPr>
              <w:pStyle w:val="TableParagraph"/>
              <w:spacing w:before="30"/>
              <w:ind w:left="59" w:right="1"/>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1176" w:type="dxa"/>
          </w:tcPr>
          <w:p>
            <w:pPr>
              <w:pStyle w:val="TableParagraph"/>
              <w:spacing w:before="30"/>
              <w:ind w:right="63"/>
              <w:rPr>
                <w:sz w:val="22"/>
              </w:rPr>
            </w:pPr>
            <w:r>
              <w:rPr>
                <w:sz w:val="22"/>
              </w:rPr>
              <w:t>6,583</w:t>
            </w:r>
          </w:p>
        </w:tc>
        <w:tc>
          <w:tcPr>
            <w:tcW w:w="1294" w:type="dxa"/>
          </w:tcPr>
          <w:p>
            <w:pPr>
              <w:pStyle w:val="TableParagraph"/>
              <w:spacing w:before="30"/>
              <w:ind w:left="494" w:right="0"/>
              <w:jc w:val="left"/>
              <w:rPr>
                <w:sz w:val="22"/>
              </w:rPr>
            </w:pPr>
            <w:r>
              <w:rPr>
                <w:sz w:val="22"/>
              </w:rPr>
              <w:t>138,636</w:t>
            </w:r>
          </w:p>
        </w:tc>
        <w:tc>
          <w:tcPr>
            <w:tcW w:w="1354" w:type="dxa"/>
          </w:tcPr>
          <w:p>
            <w:pPr>
              <w:pStyle w:val="TableParagraph"/>
              <w:spacing w:before="30"/>
              <w:ind w:right="63"/>
              <w:rPr>
                <w:sz w:val="22"/>
              </w:rPr>
            </w:pPr>
            <w:r>
              <w:rPr>
                <w:sz w:val="22"/>
              </w:rPr>
              <w:t>714,868</w:t>
            </w:r>
          </w:p>
        </w:tc>
        <w:tc>
          <w:tcPr>
            <w:tcW w:w="1296" w:type="dxa"/>
          </w:tcPr>
          <w:p>
            <w:pPr>
              <w:pStyle w:val="TableParagraph"/>
              <w:spacing w:before="30"/>
              <w:ind w:right="63"/>
              <w:rPr>
                <w:sz w:val="22"/>
              </w:rPr>
            </w:pPr>
            <w:r>
              <w:rPr>
                <w:sz w:val="22"/>
              </w:rPr>
              <w:t>11,774</w:t>
            </w:r>
          </w:p>
        </w:tc>
        <w:tc>
          <w:tcPr>
            <w:tcW w:w="1416" w:type="dxa"/>
          </w:tcPr>
          <w:p>
            <w:pPr>
              <w:pStyle w:val="TableParagraph"/>
              <w:spacing w:before="30"/>
              <w:ind w:right="63"/>
              <w:rPr>
                <w:sz w:val="22"/>
              </w:rPr>
            </w:pPr>
            <w:r>
              <w:rPr>
                <w:sz w:val="22"/>
              </w:rPr>
              <w:t>-5061,566</w:t>
            </w:r>
          </w:p>
        </w:tc>
        <w:tc>
          <w:tcPr>
            <w:tcW w:w="1392" w:type="dxa"/>
          </w:tcPr>
          <w:p>
            <w:pPr>
              <w:pStyle w:val="TableParagraph"/>
              <w:spacing w:before="30"/>
              <w:rPr>
                <w:sz w:val="22"/>
              </w:rPr>
            </w:pPr>
            <w:r>
              <w:rPr>
                <w:sz w:val="22"/>
              </w:rPr>
              <w:t>-0,01047376</w:t>
            </w:r>
          </w:p>
        </w:tc>
      </w:tr>
      <w:tr>
        <w:trPr>
          <w:trHeight w:val="310" w:hRule="exact"/>
        </w:trPr>
        <w:tc>
          <w:tcPr>
            <w:tcW w:w="838" w:type="dxa"/>
          </w:tcPr>
          <w:p>
            <w:pPr>
              <w:pStyle w:val="TableParagraph"/>
              <w:ind w:right="1"/>
              <w:jc w:val="center"/>
              <w:rPr>
                <w:sz w:val="22"/>
              </w:rPr>
            </w:pPr>
            <w:r>
              <w:rPr>
                <w:w w:val="100"/>
                <w:sz w:val="22"/>
              </w:rPr>
              <w:t>2</w:t>
            </w:r>
          </w:p>
        </w:tc>
        <w:tc>
          <w:tcPr>
            <w:tcW w:w="809" w:type="dxa"/>
          </w:tcPr>
          <w:p>
            <w:pPr>
              <w:pStyle w:val="TableParagraph"/>
              <w:ind w:left="59" w:right="1"/>
              <w:jc w:val="center"/>
              <w:rPr>
                <w:sz w:val="22"/>
              </w:rPr>
            </w:pPr>
            <w:r>
              <w:rPr>
                <w:sz w:val="22"/>
              </w:rPr>
              <w:t>121,03</w:t>
            </w:r>
          </w:p>
        </w:tc>
        <w:tc>
          <w:tcPr>
            <w:tcW w:w="504" w:type="dxa"/>
          </w:tcPr>
          <w:p>
            <w:pPr>
              <w:pStyle w:val="TableParagraph"/>
              <w:ind w:left="184" w:right="42"/>
              <w:jc w:val="center"/>
              <w:rPr>
                <w:sz w:val="22"/>
              </w:rPr>
            </w:pPr>
            <w:r>
              <w:rPr>
                <w:sz w:val="22"/>
              </w:rPr>
              <w:t>81</w:t>
            </w:r>
          </w:p>
        </w:tc>
        <w:tc>
          <w:tcPr>
            <w:tcW w:w="1176" w:type="dxa"/>
          </w:tcPr>
          <w:p>
            <w:pPr>
              <w:pStyle w:val="TableParagraph"/>
              <w:ind w:right="63"/>
              <w:rPr>
                <w:sz w:val="22"/>
              </w:rPr>
            </w:pPr>
            <w:r>
              <w:rPr>
                <w:sz w:val="22"/>
              </w:rPr>
              <w:t>-14,007</w:t>
            </w:r>
          </w:p>
        </w:tc>
        <w:tc>
          <w:tcPr>
            <w:tcW w:w="1294" w:type="dxa"/>
          </w:tcPr>
          <w:p>
            <w:pPr>
              <w:pStyle w:val="TableParagraph"/>
              <w:ind w:left="494" w:right="0"/>
              <w:jc w:val="left"/>
              <w:rPr>
                <w:sz w:val="22"/>
              </w:rPr>
            </w:pPr>
            <w:r>
              <w:rPr>
                <w:sz w:val="22"/>
              </w:rPr>
              <w:t>710,571</w:t>
            </w:r>
          </w:p>
        </w:tc>
        <w:tc>
          <w:tcPr>
            <w:tcW w:w="1354" w:type="dxa"/>
          </w:tcPr>
          <w:p>
            <w:pPr>
              <w:pStyle w:val="TableParagraph"/>
              <w:ind w:right="63"/>
              <w:rPr>
                <w:sz w:val="22"/>
              </w:rPr>
            </w:pPr>
            <w:r>
              <w:rPr>
                <w:sz w:val="22"/>
              </w:rPr>
              <w:t>-1695,240</w:t>
            </w:r>
          </w:p>
        </w:tc>
        <w:tc>
          <w:tcPr>
            <w:tcW w:w="1296" w:type="dxa"/>
          </w:tcPr>
          <w:p>
            <w:pPr>
              <w:pStyle w:val="TableParagraph"/>
              <w:ind w:right="63"/>
              <w:rPr>
                <w:sz w:val="22"/>
              </w:rPr>
            </w:pPr>
            <w:r>
              <w:rPr>
                <w:sz w:val="22"/>
              </w:rPr>
              <w:t>26,657</w:t>
            </w:r>
          </w:p>
        </w:tc>
        <w:tc>
          <w:tcPr>
            <w:tcW w:w="1416" w:type="dxa"/>
          </w:tcPr>
          <w:p>
            <w:pPr>
              <w:pStyle w:val="TableParagraph"/>
              <w:ind w:right="63"/>
              <w:rPr>
                <w:sz w:val="22"/>
              </w:rPr>
            </w:pPr>
            <w:r>
              <w:rPr>
                <w:sz w:val="22"/>
              </w:rPr>
              <w:t>42564,671</w:t>
            </w:r>
          </w:p>
        </w:tc>
        <w:tc>
          <w:tcPr>
            <w:tcW w:w="1392" w:type="dxa"/>
          </w:tcPr>
          <w:p>
            <w:pPr>
              <w:pStyle w:val="TableParagraph"/>
              <w:rPr>
                <w:sz w:val="22"/>
              </w:rPr>
            </w:pPr>
            <w:r>
              <w:rPr>
                <w:sz w:val="22"/>
              </w:rPr>
              <w:t>0,08807796</w:t>
            </w:r>
          </w:p>
        </w:tc>
      </w:tr>
      <w:tr>
        <w:trPr>
          <w:trHeight w:val="310" w:hRule="exact"/>
        </w:trPr>
        <w:tc>
          <w:tcPr>
            <w:tcW w:w="838" w:type="dxa"/>
          </w:tcPr>
          <w:p>
            <w:pPr>
              <w:pStyle w:val="TableParagraph"/>
              <w:ind w:right="1"/>
              <w:jc w:val="center"/>
              <w:rPr>
                <w:sz w:val="22"/>
              </w:rPr>
            </w:pPr>
            <w:r>
              <w:rPr>
                <w:w w:val="100"/>
                <w:sz w:val="22"/>
              </w:rPr>
              <w:t>3</w:t>
            </w:r>
          </w:p>
        </w:tc>
        <w:tc>
          <w:tcPr>
            <w:tcW w:w="809" w:type="dxa"/>
          </w:tcPr>
          <w:p>
            <w:pPr>
              <w:pStyle w:val="TableParagraph"/>
              <w:ind w:left="59" w:right="1"/>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176" w:type="dxa"/>
          </w:tcPr>
          <w:p>
            <w:pPr>
              <w:pStyle w:val="TableParagraph"/>
              <w:ind w:right="63"/>
              <w:rPr>
                <w:sz w:val="22"/>
              </w:rPr>
            </w:pPr>
            <w:r>
              <w:rPr>
                <w:sz w:val="22"/>
              </w:rPr>
              <w:t>-32,545</w:t>
            </w:r>
          </w:p>
        </w:tc>
        <w:tc>
          <w:tcPr>
            <w:tcW w:w="1294" w:type="dxa"/>
          </w:tcPr>
          <w:p>
            <w:pPr>
              <w:pStyle w:val="TableParagraph"/>
              <w:ind w:left="494" w:right="0"/>
              <w:jc w:val="left"/>
              <w:rPr>
                <w:sz w:val="22"/>
              </w:rPr>
            </w:pPr>
            <w:r>
              <w:rPr>
                <w:sz w:val="22"/>
              </w:rPr>
              <w:t>699,776</w:t>
            </w:r>
          </w:p>
        </w:tc>
        <w:tc>
          <w:tcPr>
            <w:tcW w:w="1354" w:type="dxa"/>
          </w:tcPr>
          <w:p>
            <w:pPr>
              <w:pStyle w:val="TableParagraph"/>
              <w:ind w:right="63"/>
              <w:rPr>
                <w:sz w:val="22"/>
              </w:rPr>
            </w:pPr>
            <w:r>
              <w:rPr>
                <w:sz w:val="22"/>
              </w:rPr>
              <w:t>-4237,702</w:t>
            </w:r>
          </w:p>
        </w:tc>
        <w:tc>
          <w:tcPr>
            <w:tcW w:w="1296" w:type="dxa"/>
          </w:tcPr>
          <w:p>
            <w:pPr>
              <w:pStyle w:val="TableParagraph"/>
              <w:ind w:right="63"/>
              <w:rPr>
                <w:sz w:val="22"/>
              </w:rPr>
            </w:pPr>
            <w:r>
              <w:rPr>
                <w:sz w:val="22"/>
              </w:rPr>
              <w:t>26,453</w:t>
            </w:r>
          </w:p>
        </w:tc>
        <w:tc>
          <w:tcPr>
            <w:tcW w:w="1416" w:type="dxa"/>
          </w:tcPr>
          <w:p>
            <w:pPr>
              <w:pStyle w:val="TableParagraph"/>
              <w:ind w:right="63"/>
              <w:rPr>
                <w:sz w:val="22"/>
              </w:rPr>
            </w:pPr>
            <w:r>
              <w:rPr>
                <w:sz w:val="22"/>
              </w:rPr>
              <w:t>63891,999</w:t>
            </w:r>
          </w:p>
        </w:tc>
        <w:tc>
          <w:tcPr>
            <w:tcW w:w="1392" w:type="dxa"/>
          </w:tcPr>
          <w:p>
            <w:pPr>
              <w:pStyle w:val="TableParagraph"/>
              <w:rPr>
                <w:sz w:val="22"/>
              </w:rPr>
            </w:pPr>
            <w:r>
              <w:rPr>
                <w:sz w:val="22"/>
              </w:rPr>
              <w:t>0,13221004</w:t>
            </w:r>
          </w:p>
        </w:tc>
      </w:tr>
      <w:tr>
        <w:trPr>
          <w:trHeight w:val="310" w:hRule="exact"/>
        </w:trPr>
        <w:tc>
          <w:tcPr>
            <w:tcW w:w="838" w:type="dxa"/>
          </w:tcPr>
          <w:p>
            <w:pPr>
              <w:pStyle w:val="TableParagraph"/>
              <w:ind w:right="1"/>
              <w:jc w:val="center"/>
              <w:rPr>
                <w:sz w:val="22"/>
              </w:rPr>
            </w:pPr>
            <w:r>
              <w:rPr>
                <w:w w:val="100"/>
                <w:sz w:val="22"/>
              </w:rPr>
              <w:t>4</w:t>
            </w:r>
          </w:p>
        </w:tc>
        <w:tc>
          <w:tcPr>
            <w:tcW w:w="809" w:type="dxa"/>
          </w:tcPr>
          <w:p>
            <w:pPr>
              <w:pStyle w:val="TableParagraph"/>
              <w:ind w:left="59" w:right="1"/>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176" w:type="dxa"/>
          </w:tcPr>
          <w:p>
            <w:pPr>
              <w:pStyle w:val="TableParagraph"/>
              <w:ind w:right="63"/>
              <w:rPr>
                <w:sz w:val="22"/>
              </w:rPr>
            </w:pPr>
            <w:r>
              <w:rPr>
                <w:sz w:val="22"/>
              </w:rPr>
              <w:t>-31,207</w:t>
            </w:r>
          </w:p>
        </w:tc>
        <w:tc>
          <w:tcPr>
            <w:tcW w:w="1294" w:type="dxa"/>
          </w:tcPr>
          <w:p>
            <w:pPr>
              <w:pStyle w:val="TableParagraph"/>
              <w:ind w:left="494" w:right="0"/>
              <w:jc w:val="left"/>
              <w:rPr>
                <w:sz w:val="22"/>
              </w:rPr>
            </w:pPr>
            <w:r>
              <w:rPr>
                <w:sz w:val="22"/>
              </w:rPr>
              <w:t>165,906</w:t>
            </w:r>
          </w:p>
        </w:tc>
        <w:tc>
          <w:tcPr>
            <w:tcW w:w="1354" w:type="dxa"/>
          </w:tcPr>
          <w:p>
            <w:pPr>
              <w:pStyle w:val="TableParagraph"/>
              <w:ind w:right="63"/>
              <w:rPr>
                <w:sz w:val="22"/>
              </w:rPr>
            </w:pPr>
            <w:r>
              <w:rPr>
                <w:sz w:val="22"/>
              </w:rPr>
              <w:t>-4840,823</w:t>
            </w:r>
          </w:p>
        </w:tc>
        <w:tc>
          <w:tcPr>
            <w:tcW w:w="1296" w:type="dxa"/>
          </w:tcPr>
          <w:p>
            <w:pPr>
              <w:pStyle w:val="TableParagraph"/>
              <w:ind w:right="63"/>
              <w:rPr>
                <w:sz w:val="22"/>
              </w:rPr>
            </w:pPr>
            <w:r>
              <w:rPr>
                <w:sz w:val="22"/>
              </w:rPr>
              <w:t>12,880</w:t>
            </w:r>
          </w:p>
        </w:tc>
        <w:tc>
          <w:tcPr>
            <w:tcW w:w="1416" w:type="dxa"/>
          </w:tcPr>
          <w:p>
            <w:pPr>
              <w:pStyle w:val="TableParagraph"/>
              <w:ind w:right="63"/>
              <w:rPr>
                <w:sz w:val="22"/>
              </w:rPr>
            </w:pPr>
            <w:r>
              <w:rPr>
                <w:sz w:val="22"/>
              </w:rPr>
              <w:t>17746,482</w:t>
            </w:r>
          </w:p>
        </w:tc>
        <w:tc>
          <w:tcPr>
            <w:tcW w:w="1392" w:type="dxa"/>
          </w:tcPr>
          <w:p>
            <w:pPr>
              <w:pStyle w:val="TableParagraph"/>
              <w:rPr>
                <w:sz w:val="22"/>
              </w:rPr>
            </w:pPr>
            <w:r>
              <w:rPr>
                <w:sz w:val="22"/>
              </w:rPr>
              <w:t>0,03672233</w:t>
            </w:r>
          </w:p>
        </w:tc>
      </w:tr>
      <w:tr>
        <w:trPr>
          <w:trHeight w:val="310" w:hRule="exact"/>
        </w:trPr>
        <w:tc>
          <w:tcPr>
            <w:tcW w:w="838" w:type="dxa"/>
          </w:tcPr>
          <w:p>
            <w:pPr>
              <w:pStyle w:val="TableParagraph"/>
              <w:ind w:right="1"/>
              <w:jc w:val="center"/>
              <w:rPr>
                <w:sz w:val="22"/>
              </w:rPr>
            </w:pPr>
            <w:r>
              <w:rPr>
                <w:w w:val="100"/>
                <w:sz w:val="22"/>
              </w:rPr>
              <w:t>5</w:t>
            </w:r>
          </w:p>
        </w:tc>
        <w:tc>
          <w:tcPr>
            <w:tcW w:w="809" w:type="dxa"/>
          </w:tcPr>
          <w:p>
            <w:pPr>
              <w:pStyle w:val="TableParagraph"/>
              <w:ind w:left="59" w:right="1"/>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176" w:type="dxa"/>
          </w:tcPr>
          <w:p>
            <w:pPr>
              <w:pStyle w:val="TableParagraph"/>
              <w:ind w:right="63"/>
              <w:rPr>
                <w:sz w:val="22"/>
              </w:rPr>
            </w:pPr>
            <w:r>
              <w:rPr>
                <w:sz w:val="22"/>
              </w:rPr>
              <w:t>-29,852</w:t>
            </w:r>
          </w:p>
        </w:tc>
        <w:tc>
          <w:tcPr>
            <w:tcW w:w="1294" w:type="dxa"/>
          </w:tcPr>
          <w:p>
            <w:pPr>
              <w:pStyle w:val="TableParagraph"/>
              <w:ind w:left="494" w:right="0"/>
              <w:jc w:val="left"/>
              <w:rPr>
                <w:sz w:val="22"/>
              </w:rPr>
            </w:pPr>
            <w:r>
              <w:rPr>
                <w:sz w:val="22"/>
              </w:rPr>
              <w:t>400,096</w:t>
            </w:r>
          </w:p>
        </w:tc>
        <w:tc>
          <w:tcPr>
            <w:tcW w:w="1354" w:type="dxa"/>
          </w:tcPr>
          <w:p>
            <w:pPr>
              <w:pStyle w:val="TableParagraph"/>
              <w:ind w:right="63"/>
              <w:rPr>
                <w:sz w:val="22"/>
              </w:rPr>
            </w:pPr>
            <w:r>
              <w:rPr>
                <w:sz w:val="22"/>
              </w:rPr>
              <w:t>-5379,574</w:t>
            </w:r>
          </w:p>
        </w:tc>
        <w:tc>
          <w:tcPr>
            <w:tcW w:w="1296" w:type="dxa"/>
          </w:tcPr>
          <w:p>
            <w:pPr>
              <w:pStyle w:val="TableParagraph"/>
              <w:ind w:right="63"/>
              <w:rPr>
                <w:sz w:val="22"/>
              </w:rPr>
            </w:pPr>
            <w:r>
              <w:rPr>
                <w:sz w:val="22"/>
              </w:rPr>
              <w:t>20,002</w:t>
            </w:r>
          </w:p>
        </w:tc>
        <w:tc>
          <w:tcPr>
            <w:tcW w:w="1416" w:type="dxa"/>
          </w:tcPr>
          <w:p>
            <w:pPr>
              <w:pStyle w:val="TableParagraph"/>
              <w:ind w:right="63"/>
              <w:rPr>
                <w:sz w:val="22"/>
              </w:rPr>
            </w:pPr>
            <w:r>
              <w:rPr>
                <w:sz w:val="22"/>
              </w:rPr>
              <w:t>26303,558</w:t>
            </w:r>
          </w:p>
        </w:tc>
        <w:tc>
          <w:tcPr>
            <w:tcW w:w="1392" w:type="dxa"/>
          </w:tcPr>
          <w:p>
            <w:pPr>
              <w:pStyle w:val="TableParagraph"/>
              <w:rPr>
                <w:sz w:val="22"/>
              </w:rPr>
            </w:pPr>
            <w:r>
              <w:rPr>
                <w:sz w:val="22"/>
              </w:rPr>
              <w:t>0,05442926</w:t>
            </w:r>
          </w:p>
        </w:tc>
      </w:tr>
      <w:tr>
        <w:trPr>
          <w:trHeight w:val="370" w:hRule="exact"/>
        </w:trPr>
        <w:tc>
          <w:tcPr>
            <w:tcW w:w="838" w:type="dxa"/>
          </w:tcPr>
          <w:p>
            <w:pPr>
              <w:pStyle w:val="TableParagraph"/>
              <w:spacing w:before="88"/>
              <w:ind w:right="0"/>
              <w:jc w:val="center"/>
              <w:rPr>
                <w:sz w:val="22"/>
              </w:rPr>
            </w:pPr>
            <w:r>
              <w:rPr>
                <w:w w:val="100"/>
                <w:sz w:val="22"/>
              </w:rPr>
              <w:t>N</w:t>
            </w:r>
          </w:p>
        </w:tc>
        <w:tc>
          <w:tcPr>
            <w:tcW w:w="809" w:type="dxa"/>
          </w:tcPr>
          <w:p>
            <w:pPr>
              <w:pStyle w:val="TableParagraph"/>
              <w:spacing w:before="88"/>
              <w:ind w:left="59" w:right="0"/>
              <w:jc w:val="center"/>
              <w:rPr>
                <w:sz w:val="22"/>
              </w:rPr>
            </w:pPr>
            <w:r>
              <w:rPr>
                <w:sz w:val="22"/>
              </w:rPr>
              <w:t>695,17</w:t>
            </w:r>
          </w:p>
        </w:tc>
        <w:tc>
          <w:tcPr>
            <w:tcW w:w="504" w:type="dxa"/>
          </w:tcPr>
          <w:p>
            <w:pPr/>
          </w:p>
        </w:tc>
        <w:tc>
          <w:tcPr>
            <w:tcW w:w="1176" w:type="dxa"/>
          </w:tcPr>
          <w:p>
            <w:pPr/>
          </w:p>
        </w:tc>
        <w:tc>
          <w:tcPr>
            <w:tcW w:w="1294" w:type="dxa"/>
          </w:tcPr>
          <w:p>
            <w:pPr>
              <w:pStyle w:val="TableParagraph"/>
              <w:spacing w:before="78"/>
              <w:ind w:left="477"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54" w:type="dxa"/>
          </w:tcPr>
          <w:p>
            <w:pPr>
              <w:pStyle w:val="TableParagraph"/>
              <w:spacing w:before="88"/>
              <w:ind w:right="63"/>
              <w:rPr>
                <w:sz w:val="22"/>
              </w:rPr>
            </w:pPr>
            <w:r>
              <w:rPr>
                <w:sz w:val="22"/>
              </w:rPr>
              <w:t>-15438,4704</w:t>
            </w:r>
          </w:p>
        </w:tc>
        <w:tc>
          <w:tcPr>
            <w:tcW w:w="1296" w:type="dxa"/>
          </w:tcPr>
          <w:p>
            <w:pPr/>
          </w:p>
        </w:tc>
        <w:tc>
          <w:tcPr>
            <w:tcW w:w="1416" w:type="dxa"/>
          </w:tcPr>
          <w:p>
            <w:pPr>
              <w:pStyle w:val="TableParagraph"/>
              <w:spacing w:before="88"/>
              <w:ind w:right="63"/>
              <w:rPr>
                <w:sz w:val="22"/>
              </w:rPr>
            </w:pPr>
            <w:r>
              <w:rPr>
                <w:sz w:val="22"/>
              </w:rPr>
              <w:t>145445,145</w:t>
            </w:r>
          </w:p>
        </w:tc>
        <w:tc>
          <w:tcPr>
            <w:tcW w:w="1392" w:type="dxa"/>
          </w:tcPr>
          <w:p>
            <w:pPr>
              <w:pStyle w:val="TableParagraph"/>
              <w:spacing w:before="88"/>
              <w:rPr>
                <w:sz w:val="22"/>
              </w:rPr>
            </w:pPr>
            <w:r>
              <w:rPr>
                <w:sz w:val="22"/>
              </w:rPr>
              <w:t>0,30096583</w:t>
            </w:r>
          </w:p>
        </w:tc>
      </w:tr>
      <w:tr>
        <w:trPr>
          <w:trHeight w:val="310" w:hRule="exact"/>
        </w:trPr>
        <w:tc>
          <w:tcPr>
            <w:tcW w:w="5974" w:type="dxa"/>
            <w:gridSpan w:val="6"/>
            <w:vMerge w:val="restart"/>
            <w:tcBorders>
              <w:left w:val="nil"/>
            </w:tcBorders>
          </w:tcPr>
          <w:p>
            <w:pPr/>
          </w:p>
        </w:tc>
        <w:tc>
          <w:tcPr>
            <w:tcW w:w="271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92" w:type="dxa"/>
          </w:tcPr>
          <w:p>
            <w:pPr>
              <w:pStyle w:val="TableParagraph"/>
              <w:rPr>
                <w:b/>
                <w:sz w:val="22"/>
              </w:rPr>
            </w:pPr>
            <w:r>
              <w:rPr>
                <w:b/>
                <w:sz w:val="22"/>
              </w:rPr>
              <w:t>-22,208</w:t>
            </w:r>
          </w:p>
        </w:tc>
      </w:tr>
      <w:tr>
        <w:trPr>
          <w:trHeight w:val="310" w:hRule="exact"/>
        </w:trPr>
        <w:tc>
          <w:tcPr>
            <w:tcW w:w="5974" w:type="dxa"/>
            <w:gridSpan w:val="6"/>
            <w:vMerge/>
            <w:tcBorders>
              <w:left w:val="nil"/>
            </w:tcBorders>
          </w:tcPr>
          <w:p>
            <w:pPr/>
          </w:p>
        </w:tc>
        <w:tc>
          <w:tcPr>
            <w:tcW w:w="2712" w:type="dxa"/>
            <w:gridSpan w:val="2"/>
          </w:tcPr>
          <w:p>
            <w:pPr>
              <w:pStyle w:val="TableParagraph"/>
              <w:spacing w:before="13"/>
              <w:ind w:left="64" w:right="0"/>
              <w:jc w:val="left"/>
              <w:rPr>
                <w:sz w:val="22"/>
              </w:rPr>
            </w:pPr>
            <w:r>
              <w:rPr>
                <w:sz w:val="22"/>
              </w:rPr>
              <w:t>Desviación estándar</w:t>
            </w:r>
          </w:p>
        </w:tc>
        <w:tc>
          <w:tcPr>
            <w:tcW w:w="1392" w:type="dxa"/>
          </w:tcPr>
          <w:p>
            <w:pPr>
              <w:pStyle w:val="TableParagraph"/>
              <w:rPr>
                <w:b/>
                <w:sz w:val="22"/>
              </w:rPr>
            </w:pPr>
            <w:r>
              <w:rPr>
                <w:b/>
                <w:sz w:val="22"/>
              </w:rPr>
              <w:t>0,549</w:t>
            </w:r>
          </w:p>
        </w:tc>
      </w:tr>
      <w:tr>
        <w:trPr>
          <w:trHeight w:val="312" w:hRule="exact"/>
        </w:trPr>
        <w:tc>
          <w:tcPr>
            <w:tcW w:w="5974" w:type="dxa"/>
            <w:gridSpan w:val="6"/>
            <w:vMerge/>
            <w:tcBorders>
              <w:left w:val="nil"/>
            </w:tcBorders>
          </w:tcPr>
          <w:p>
            <w:pPr/>
          </w:p>
        </w:tc>
        <w:tc>
          <w:tcPr>
            <w:tcW w:w="2712" w:type="dxa"/>
            <w:gridSpan w:val="2"/>
            <w:vMerge w:val="restart"/>
          </w:tcPr>
          <w:p>
            <w:pPr>
              <w:pStyle w:val="TableParagraph"/>
              <w:spacing w:before="35"/>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392" w:type="dxa"/>
          </w:tcPr>
          <w:p>
            <w:pPr>
              <w:pStyle w:val="TableParagraph"/>
              <w:spacing w:before="30"/>
              <w:rPr>
                <w:sz w:val="22"/>
              </w:rPr>
            </w:pPr>
            <w:r>
              <w:rPr>
                <w:sz w:val="22"/>
              </w:rPr>
              <w:t>-23,28</w:t>
            </w:r>
          </w:p>
        </w:tc>
      </w:tr>
      <w:tr>
        <w:trPr>
          <w:trHeight w:val="310" w:hRule="exact"/>
        </w:trPr>
        <w:tc>
          <w:tcPr>
            <w:tcW w:w="5974" w:type="dxa"/>
            <w:gridSpan w:val="6"/>
            <w:vMerge/>
            <w:tcBorders>
              <w:left w:val="nil"/>
              <w:bottom w:val="nil"/>
            </w:tcBorders>
          </w:tcPr>
          <w:p>
            <w:pPr/>
          </w:p>
        </w:tc>
        <w:tc>
          <w:tcPr>
            <w:tcW w:w="2712" w:type="dxa"/>
            <w:gridSpan w:val="2"/>
            <w:vMerge/>
          </w:tcPr>
          <w:p>
            <w:pPr/>
          </w:p>
        </w:tc>
        <w:tc>
          <w:tcPr>
            <w:tcW w:w="1392" w:type="dxa"/>
          </w:tcPr>
          <w:p>
            <w:pPr>
              <w:pStyle w:val="TableParagraph"/>
              <w:rPr>
                <w:sz w:val="22"/>
              </w:rPr>
            </w:pPr>
            <w:r>
              <w:rPr>
                <w:sz w:val="22"/>
              </w:rPr>
              <w:t>-21,13</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195"/>
        <w:gridCol w:w="1294"/>
        <w:gridCol w:w="1349"/>
        <w:gridCol w:w="1295"/>
        <w:gridCol w:w="1417"/>
        <w:gridCol w:w="1378"/>
      </w:tblGrid>
      <w:tr>
        <w:trPr>
          <w:trHeight w:val="310" w:hRule="exact"/>
        </w:trPr>
        <w:tc>
          <w:tcPr>
            <w:tcW w:w="10078" w:type="dxa"/>
            <w:gridSpan w:val="9"/>
          </w:tcPr>
          <w:p>
            <w:pPr>
              <w:pStyle w:val="TableParagraph"/>
              <w:ind w:left="3495" w:right="3495"/>
              <w:jc w:val="center"/>
              <w:rPr>
                <w:sz w:val="22"/>
              </w:rPr>
            </w:pPr>
            <w:r>
              <w:rPr>
                <w:sz w:val="22"/>
              </w:rPr>
              <w:t>Eficiencia filtro de arena</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95" w:type="dxa"/>
          </w:tcPr>
          <w:p>
            <w:pPr>
              <w:pStyle w:val="TableParagraph"/>
              <w:spacing w:before="43"/>
              <w:ind w:left="30" w:right="6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94" w:type="dxa"/>
          </w:tcPr>
          <w:p>
            <w:pPr>
              <w:pStyle w:val="TableParagraph"/>
              <w:spacing w:line="214" w:lineRule="exact" w:before="6"/>
              <w:ind w:left="141" w:right="185"/>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44" w:right="0"/>
              <w:jc w:val="center"/>
              <w:rPr>
                <w:rFonts w:ascii="Cambria Math"/>
                <w:sz w:val="16"/>
              </w:rPr>
            </w:pPr>
            <w:r>
              <w:rPr>
                <w:rFonts w:ascii="Cambria Math"/>
                <w:w w:val="113"/>
                <w:sz w:val="16"/>
              </w:rPr>
              <w:t>h</w:t>
            </w:r>
          </w:p>
        </w:tc>
        <w:tc>
          <w:tcPr>
            <w:tcW w:w="1349" w:type="dxa"/>
          </w:tcPr>
          <w:p>
            <w:pPr>
              <w:pStyle w:val="TableParagraph"/>
              <w:spacing w:before="19"/>
              <w:ind w:left="502" w:right="546"/>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295" w:type="dxa"/>
          </w:tcPr>
          <w:p>
            <w:pPr>
              <w:pStyle w:val="TableParagraph"/>
              <w:spacing w:before="43"/>
              <w:ind w:left="476" w:right="514"/>
              <w:jc w:val="center"/>
              <w:rPr>
                <w:rFonts w:ascii="Cambria Math"/>
                <w:sz w:val="16"/>
              </w:rPr>
            </w:pPr>
            <w:r>
              <w:rPr>
                <w:rFonts w:ascii="Cambria Math"/>
                <w:w w:val="110"/>
                <w:sz w:val="22"/>
              </w:rPr>
              <w:t>s</w:t>
            </w:r>
            <w:r>
              <w:rPr>
                <w:rFonts w:ascii="Cambria Math"/>
                <w:w w:val="110"/>
                <w:position w:val="-4"/>
                <w:sz w:val="16"/>
              </w:rPr>
              <w:t>h</w:t>
            </w:r>
          </w:p>
        </w:tc>
        <w:tc>
          <w:tcPr>
            <w:tcW w:w="1417" w:type="dxa"/>
          </w:tcPr>
          <w:p>
            <w:pPr>
              <w:pStyle w:val="TableParagraph"/>
              <w:spacing w:before="0"/>
              <w:ind w:left="3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378" w:type="dxa"/>
          </w:tcPr>
          <w:p>
            <w:pPr>
              <w:pStyle w:val="TableParagraph"/>
              <w:spacing w:before="0"/>
              <w:ind w:left="33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ind w:right="1"/>
              <w:jc w:val="center"/>
              <w:rPr>
                <w:sz w:val="22"/>
              </w:rPr>
            </w:pPr>
            <w:r>
              <w:rPr>
                <w:w w:val="100"/>
                <w:sz w:val="22"/>
              </w:rPr>
              <w:t>1</w:t>
            </w:r>
          </w:p>
        </w:tc>
        <w:tc>
          <w:tcPr>
            <w:tcW w:w="809" w:type="dxa"/>
          </w:tcPr>
          <w:p>
            <w:pPr>
              <w:pStyle w:val="TableParagraph"/>
              <w:ind w:left="59" w:right="1"/>
              <w:jc w:val="center"/>
              <w:rPr>
                <w:sz w:val="22"/>
              </w:rPr>
            </w:pPr>
            <w:r>
              <w:rPr>
                <w:sz w:val="22"/>
              </w:rPr>
              <w:t>108,60</w:t>
            </w:r>
          </w:p>
        </w:tc>
        <w:tc>
          <w:tcPr>
            <w:tcW w:w="504" w:type="dxa"/>
          </w:tcPr>
          <w:p>
            <w:pPr>
              <w:pStyle w:val="TableParagraph"/>
              <w:ind w:left="73" w:right="41"/>
              <w:jc w:val="center"/>
              <w:rPr>
                <w:sz w:val="22"/>
              </w:rPr>
            </w:pPr>
            <w:r>
              <w:rPr>
                <w:sz w:val="22"/>
              </w:rPr>
              <w:t>108</w:t>
            </w:r>
          </w:p>
        </w:tc>
        <w:tc>
          <w:tcPr>
            <w:tcW w:w="1195" w:type="dxa"/>
          </w:tcPr>
          <w:p>
            <w:pPr>
              <w:pStyle w:val="TableParagraph"/>
              <w:ind w:right="82"/>
              <w:rPr>
                <w:sz w:val="22"/>
              </w:rPr>
            </w:pPr>
            <w:r>
              <w:rPr>
                <w:sz w:val="22"/>
              </w:rPr>
              <w:t>-3,228621</w:t>
            </w:r>
          </w:p>
        </w:tc>
        <w:tc>
          <w:tcPr>
            <w:tcW w:w="1294" w:type="dxa"/>
          </w:tcPr>
          <w:p>
            <w:pPr>
              <w:pStyle w:val="TableParagraph"/>
              <w:ind w:right="80"/>
              <w:rPr>
                <w:sz w:val="22"/>
              </w:rPr>
            </w:pPr>
            <w:r>
              <w:rPr>
                <w:sz w:val="22"/>
              </w:rPr>
              <w:t>61,1463453</w:t>
            </w:r>
          </w:p>
        </w:tc>
        <w:tc>
          <w:tcPr>
            <w:tcW w:w="1349" w:type="dxa"/>
          </w:tcPr>
          <w:p>
            <w:pPr>
              <w:pStyle w:val="TableParagraph"/>
              <w:ind w:right="79"/>
              <w:rPr>
                <w:sz w:val="22"/>
              </w:rPr>
            </w:pPr>
            <w:r>
              <w:rPr>
                <w:sz w:val="22"/>
              </w:rPr>
              <w:t>-350,628188</w:t>
            </w:r>
          </w:p>
        </w:tc>
        <w:tc>
          <w:tcPr>
            <w:tcW w:w="1295" w:type="dxa"/>
          </w:tcPr>
          <w:p>
            <w:pPr>
              <w:pStyle w:val="TableParagraph"/>
              <w:ind w:right="76"/>
              <w:rPr>
                <w:sz w:val="22"/>
              </w:rPr>
            </w:pPr>
            <w:r>
              <w:rPr>
                <w:sz w:val="22"/>
              </w:rPr>
              <w:t>7,81961286</w:t>
            </w:r>
          </w:p>
        </w:tc>
        <w:tc>
          <w:tcPr>
            <w:tcW w:w="1417" w:type="dxa"/>
          </w:tcPr>
          <w:p>
            <w:pPr>
              <w:pStyle w:val="TableParagraph"/>
              <w:ind w:right="79"/>
              <w:rPr>
                <w:sz w:val="22"/>
              </w:rPr>
            </w:pPr>
            <w:r>
              <w:rPr>
                <w:sz w:val="22"/>
              </w:rPr>
              <w:t>-2232,43961</w:t>
            </w:r>
          </w:p>
        </w:tc>
        <w:tc>
          <w:tcPr>
            <w:tcW w:w="1378" w:type="dxa"/>
          </w:tcPr>
          <w:p>
            <w:pPr>
              <w:pStyle w:val="TableParagraph"/>
              <w:rPr>
                <w:sz w:val="22"/>
              </w:rPr>
            </w:pPr>
            <w:r>
              <w:rPr>
                <w:sz w:val="22"/>
              </w:rPr>
              <w:t>-0,00461953</w:t>
            </w:r>
          </w:p>
        </w:tc>
      </w:tr>
      <w:tr>
        <w:trPr>
          <w:trHeight w:val="312" w:hRule="exact"/>
        </w:trPr>
        <w:tc>
          <w:tcPr>
            <w:tcW w:w="838" w:type="dxa"/>
          </w:tcPr>
          <w:p>
            <w:pPr>
              <w:pStyle w:val="TableParagraph"/>
              <w:spacing w:before="30"/>
              <w:ind w:right="1"/>
              <w:jc w:val="center"/>
              <w:rPr>
                <w:sz w:val="22"/>
              </w:rPr>
            </w:pPr>
            <w:r>
              <w:rPr>
                <w:w w:val="100"/>
                <w:sz w:val="22"/>
              </w:rPr>
              <w:t>2</w:t>
            </w:r>
          </w:p>
        </w:tc>
        <w:tc>
          <w:tcPr>
            <w:tcW w:w="809" w:type="dxa"/>
          </w:tcPr>
          <w:p>
            <w:pPr>
              <w:pStyle w:val="TableParagraph"/>
              <w:spacing w:before="30"/>
              <w:ind w:left="59" w:right="1"/>
              <w:jc w:val="center"/>
              <w:rPr>
                <w:sz w:val="22"/>
              </w:rPr>
            </w:pPr>
            <w:r>
              <w:rPr>
                <w:sz w:val="22"/>
              </w:rPr>
              <w:t>121,03</w:t>
            </w:r>
          </w:p>
        </w:tc>
        <w:tc>
          <w:tcPr>
            <w:tcW w:w="504" w:type="dxa"/>
          </w:tcPr>
          <w:p>
            <w:pPr>
              <w:pStyle w:val="TableParagraph"/>
              <w:spacing w:before="30"/>
              <w:ind w:left="184" w:right="42"/>
              <w:jc w:val="center"/>
              <w:rPr>
                <w:sz w:val="22"/>
              </w:rPr>
            </w:pPr>
            <w:r>
              <w:rPr>
                <w:sz w:val="22"/>
              </w:rPr>
              <w:t>81</w:t>
            </w:r>
          </w:p>
        </w:tc>
        <w:tc>
          <w:tcPr>
            <w:tcW w:w="1195" w:type="dxa"/>
          </w:tcPr>
          <w:p>
            <w:pPr>
              <w:pStyle w:val="TableParagraph"/>
              <w:spacing w:before="30"/>
              <w:ind w:right="82"/>
              <w:rPr>
                <w:sz w:val="22"/>
              </w:rPr>
            </w:pPr>
            <w:r>
              <w:rPr>
                <w:sz w:val="22"/>
              </w:rPr>
              <w:t>15,907245</w:t>
            </w:r>
          </w:p>
        </w:tc>
        <w:tc>
          <w:tcPr>
            <w:tcW w:w="1294" w:type="dxa"/>
          </w:tcPr>
          <w:p>
            <w:pPr>
              <w:pStyle w:val="TableParagraph"/>
              <w:spacing w:before="30"/>
              <w:ind w:right="80"/>
              <w:rPr>
                <w:sz w:val="22"/>
              </w:rPr>
            </w:pPr>
            <w:r>
              <w:rPr>
                <w:sz w:val="22"/>
              </w:rPr>
              <w:t>384,451695</w:t>
            </w:r>
          </w:p>
        </w:tc>
        <w:tc>
          <w:tcPr>
            <w:tcW w:w="1349" w:type="dxa"/>
          </w:tcPr>
          <w:p>
            <w:pPr>
              <w:pStyle w:val="TableParagraph"/>
              <w:spacing w:before="30"/>
              <w:ind w:right="78"/>
              <w:rPr>
                <w:sz w:val="22"/>
              </w:rPr>
            </w:pPr>
            <w:r>
              <w:rPr>
                <w:sz w:val="22"/>
              </w:rPr>
              <w:t>1925,2539</w:t>
            </w:r>
          </w:p>
        </w:tc>
        <w:tc>
          <w:tcPr>
            <w:tcW w:w="1295" w:type="dxa"/>
          </w:tcPr>
          <w:p>
            <w:pPr>
              <w:pStyle w:val="TableParagraph"/>
              <w:spacing w:before="30"/>
              <w:ind w:right="76"/>
              <w:rPr>
                <w:sz w:val="22"/>
              </w:rPr>
            </w:pPr>
            <w:r>
              <w:rPr>
                <w:sz w:val="22"/>
              </w:rPr>
              <w:t>19,6074398</w:t>
            </w:r>
          </w:p>
        </w:tc>
        <w:tc>
          <w:tcPr>
            <w:tcW w:w="1417" w:type="dxa"/>
          </w:tcPr>
          <w:p>
            <w:pPr>
              <w:pStyle w:val="TableParagraph"/>
              <w:spacing w:before="30"/>
              <w:ind w:right="77"/>
              <w:rPr>
                <w:sz w:val="22"/>
              </w:rPr>
            </w:pPr>
            <w:r>
              <w:rPr>
                <w:sz w:val="22"/>
              </w:rPr>
              <w:t>23029,45477</w:t>
            </w:r>
          </w:p>
        </w:tc>
        <w:tc>
          <w:tcPr>
            <w:tcW w:w="1378" w:type="dxa"/>
          </w:tcPr>
          <w:p>
            <w:pPr>
              <w:pStyle w:val="TableParagraph"/>
              <w:spacing w:before="30"/>
              <w:rPr>
                <w:sz w:val="22"/>
              </w:rPr>
            </w:pPr>
            <w:r>
              <w:rPr>
                <w:sz w:val="22"/>
              </w:rPr>
              <w:t>0,04765425</w:t>
            </w:r>
          </w:p>
        </w:tc>
      </w:tr>
      <w:tr>
        <w:trPr>
          <w:trHeight w:val="310" w:hRule="exact"/>
        </w:trPr>
        <w:tc>
          <w:tcPr>
            <w:tcW w:w="838" w:type="dxa"/>
          </w:tcPr>
          <w:p>
            <w:pPr>
              <w:pStyle w:val="TableParagraph"/>
              <w:ind w:right="1"/>
              <w:jc w:val="center"/>
              <w:rPr>
                <w:sz w:val="22"/>
              </w:rPr>
            </w:pPr>
            <w:r>
              <w:rPr>
                <w:w w:val="100"/>
                <w:sz w:val="22"/>
              </w:rPr>
              <w:t>3</w:t>
            </w:r>
          </w:p>
        </w:tc>
        <w:tc>
          <w:tcPr>
            <w:tcW w:w="809" w:type="dxa"/>
          </w:tcPr>
          <w:p>
            <w:pPr>
              <w:pStyle w:val="TableParagraph"/>
              <w:ind w:left="59" w:right="1"/>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195" w:type="dxa"/>
          </w:tcPr>
          <w:p>
            <w:pPr>
              <w:pStyle w:val="TableParagraph"/>
              <w:ind w:right="82"/>
              <w:rPr>
                <w:sz w:val="22"/>
              </w:rPr>
            </w:pPr>
            <w:r>
              <w:rPr>
                <w:sz w:val="22"/>
              </w:rPr>
              <w:t>50,15</w:t>
            </w:r>
          </w:p>
        </w:tc>
        <w:tc>
          <w:tcPr>
            <w:tcW w:w="1294" w:type="dxa"/>
          </w:tcPr>
          <w:p>
            <w:pPr>
              <w:pStyle w:val="TableParagraph"/>
              <w:ind w:right="80"/>
              <w:rPr>
                <w:sz w:val="22"/>
              </w:rPr>
            </w:pPr>
            <w:r>
              <w:rPr>
                <w:sz w:val="22"/>
              </w:rPr>
              <w:t>972,210753</w:t>
            </w:r>
          </w:p>
        </w:tc>
        <w:tc>
          <w:tcPr>
            <w:tcW w:w="1349" w:type="dxa"/>
          </w:tcPr>
          <w:p>
            <w:pPr>
              <w:pStyle w:val="TableParagraph"/>
              <w:ind w:right="78"/>
              <w:rPr>
                <w:sz w:val="22"/>
              </w:rPr>
            </w:pPr>
            <w:r>
              <w:rPr>
                <w:sz w:val="22"/>
              </w:rPr>
              <w:t>6530,44025</w:t>
            </w:r>
          </w:p>
        </w:tc>
        <w:tc>
          <w:tcPr>
            <w:tcW w:w="1295" w:type="dxa"/>
          </w:tcPr>
          <w:p>
            <w:pPr>
              <w:pStyle w:val="TableParagraph"/>
              <w:ind w:right="76"/>
              <w:rPr>
                <w:sz w:val="22"/>
              </w:rPr>
            </w:pPr>
            <w:r>
              <w:rPr>
                <w:sz w:val="22"/>
              </w:rPr>
              <w:t>31,1802943</w:t>
            </w:r>
          </w:p>
        </w:tc>
        <w:tc>
          <w:tcPr>
            <w:tcW w:w="1417" w:type="dxa"/>
          </w:tcPr>
          <w:p>
            <w:pPr>
              <w:pStyle w:val="TableParagraph"/>
              <w:ind w:right="77"/>
              <w:rPr>
                <w:sz w:val="22"/>
              </w:rPr>
            </w:pPr>
            <w:r>
              <w:rPr>
                <w:sz w:val="22"/>
              </w:rPr>
              <w:t>88766,25478</w:t>
            </w:r>
          </w:p>
        </w:tc>
        <w:tc>
          <w:tcPr>
            <w:tcW w:w="1378" w:type="dxa"/>
          </w:tcPr>
          <w:p>
            <w:pPr>
              <w:pStyle w:val="TableParagraph"/>
              <w:rPr>
                <w:sz w:val="22"/>
              </w:rPr>
            </w:pPr>
            <w:r>
              <w:rPr>
                <w:sz w:val="22"/>
              </w:rPr>
              <w:t>0,18368168</w:t>
            </w:r>
          </w:p>
        </w:tc>
      </w:tr>
      <w:tr>
        <w:trPr>
          <w:trHeight w:val="310" w:hRule="exact"/>
        </w:trPr>
        <w:tc>
          <w:tcPr>
            <w:tcW w:w="838" w:type="dxa"/>
          </w:tcPr>
          <w:p>
            <w:pPr>
              <w:pStyle w:val="TableParagraph"/>
              <w:ind w:right="1"/>
              <w:jc w:val="center"/>
              <w:rPr>
                <w:sz w:val="22"/>
              </w:rPr>
            </w:pPr>
            <w:r>
              <w:rPr>
                <w:w w:val="100"/>
                <w:sz w:val="22"/>
              </w:rPr>
              <w:t>4</w:t>
            </w:r>
          </w:p>
        </w:tc>
        <w:tc>
          <w:tcPr>
            <w:tcW w:w="809" w:type="dxa"/>
          </w:tcPr>
          <w:p>
            <w:pPr>
              <w:pStyle w:val="TableParagraph"/>
              <w:ind w:left="59" w:right="1"/>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195" w:type="dxa"/>
          </w:tcPr>
          <w:p>
            <w:pPr>
              <w:pStyle w:val="TableParagraph"/>
              <w:ind w:right="82"/>
              <w:rPr>
                <w:sz w:val="22"/>
              </w:rPr>
            </w:pPr>
            <w:r>
              <w:rPr>
                <w:sz w:val="22"/>
              </w:rPr>
              <w:t>59,74</w:t>
            </w:r>
          </w:p>
        </w:tc>
        <w:tc>
          <w:tcPr>
            <w:tcW w:w="1294" w:type="dxa"/>
          </w:tcPr>
          <w:p>
            <w:pPr>
              <w:pStyle w:val="TableParagraph"/>
              <w:ind w:right="80"/>
              <w:rPr>
                <w:sz w:val="22"/>
              </w:rPr>
            </w:pPr>
            <w:r>
              <w:rPr>
                <w:sz w:val="22"/>
              </w:rPr>
              <w:t>290,3855</w:t>
            </w:r>
          </w:p>
        </w:tc>
        <w:tc>
          <w:tcPr>
            <w:tcW w:w="1349" w:type="dxa"/>
          </w:tcPr>
          <w:p>
            <w:pPr>
              <w:pStyle w:val="TableParagraph"/>
              <w:ind w:right="78"/>
              <w:rPr>
                <w:sz w:val="22"/>
              </w:rPr>
            </w:pPr>
            <w:r>
              <w:rPr>
                <w:sz w:val="22"/>
              </w:rPr>
              <w:t>9266,80608</w:t>
            </w:r>
          </w:p>
        </w:tc>
        <w:tc>
          <w:tcPr>
            <w:tcW w:w="1295" w:type="dxa"/>
          </w:tcPr>
          <w:p>
            <w:pPr>
              <w:pStyle w:val="TableParagraph"/>
              <w:ind w:right="76"/>
              <w:rPr>
                <w:sz w:val="22"/>
              </w:rPr>
            </w:pPr>
            <w:r>
              <w:rPr>
                <w:sz w:val="22"/>
              </w:rPr>
              <w:t>17,0407013</w:t>
            </w:r>
          </w:p>
        </w:tc>
        <w:tc>
          <w:tcPr>
            <w:tcW w:w="1417" w:type="dxa"/>
          </w:tcPr>
          <w:p>
            <w:pPr>
              <w:pStyle w:val="TableParagraph"/>
              <w:ind w:right="77"/>
              <w:rPr>
                <w:sz w:val="22"/>
              </w:rPr>
            </w:pPr>
            <w:r>
              <w:rPr>
                <w:sz w:val="22"/>
              </w:rPr>
              <w:t>31061,68765</w:t>
            </w:r>
          </w:p>
        </w:tc>
        <w:tc>
          <w:tcPr>
            <w:tcW w:w="1378" w:type="dxa"/>
          </w:tcPr>
          <w:p>
            <w:pPr>
              <w:pStyle w:val="TableParagraph"/>
              <w:rPr>
                <w:sz w:val="22"/>
              </w:rPr>
            </w:pPr>
            <w:r>
              <w:rPr>
                <w:sz w:val="22"/>
              </w:rPr>
              <w:t>0,06427514</w:t>
            </w:r>
          </w:p>
        </w:tc>
      </w:tr>
      <w:tr>
        <w:trPr>
          <w:trHeight w:val="310" w:hRule="exact"/>
        </w:trPr>
        <w:tc>
          <w:tcPr>
            <w:tcW w:w="838" w:type="dxa"/>
          </w:tcPr>
          <w:p>
            <w:pPr>
              <w:pStyle w:val="TableParagraph"/>
              <w:ind w:right="1"/>
              <w:jc w:val="center"/>
              <w:rPr>
                <w:sz w:val="22"/>
              </w:rPr>
            </w:pPr>
            <w:r>
              <w:rPr>
                <w:w w:val="100"/>
                <w:sz w:val="22"/>
              </w:rPr>
              <w:t>5</w:t>
            </w:r>
          </w:p>
        </w:tc>
        <w:tc>
          <w:tcPr>
            <w:tcW w:w="809" w:type="dxa"/>
          </w:tcPr>
          <w:p>
            <w:pPr>
              <w:pStyle w:val="TableParagraph"/>
              <w:ind w:left="59" w:right="1"/>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195" w:type="dxa"/>
          </w:tcPr>
          <w:p>
            <w:pPr>
              <w:pStyle w:val="TableParagraph"/>
              <w:ind w:right="82"/>
              <w:rPr>
                <w:sz w:val="22"/>
              </w:rPr>
            </w:pPr>
            <w:r>
              <w:rPr>
                <w:sz w:val="22"/>
              </w:rPr>
              <w:t>45,80</w:t>
            </w:r>
          </w:p>
        </w:tc>
        <w:tc>
          <w:tcPr>
            <w:tcW w:w="1294" w:type="dxa"/>
          </w:tcPr>
          <w:p>
            <w:pPr>
              <w:pStyle w:val="TableParagraph"/>
              <w:ind w:right="80"/>
              <w:rPr>
                <w:sz w:val="22"/>
              </w:rPr>
            </w:pPr>
            <w:r>
              <w:rPr>
                <w:sz w:val="22"/>
              </w:rPr>
              <w:t>370,664433</w:t>
            </w:r>
          </w:p>
        </w:tc>
        <w:tc>
          <w:tcPr>
            <w:tcW w:w="1349" w:type="dxa"/>
          </w:tcPr>
          <w:p>
            <w:pPr>
              <w:pStyle w:val="TableParagraph"/>
              <w:ind w:right="78"/>
              <w:rPr>
                <w:sz w:val="22"/>
              </w:rPr>
            </w:pPr>
            <w:r>
              <w:rPr>
                <w:sz w:val="22"/>
              </w:rPr>
              <w:t>8254,42873</w:t>
            </w:r>
          </w:p>
        </w:tc>
        <w:tc>
          <w:tcPr>
            <w:tcW w:w="1295" w:type="dxa"/>
          </w:tcPr>
          <w:p>
            <w:pPr>
              <w:pStyle w:val="TableParagraph"/>
              <w:ind w:right="76"/>
              <w:rPr>
                <w:sz w:val="22"/>
              </w:rPr>
            </w:pPr>
            <w:r>
              <w:rPr>
                <w:sz w:val="22"/>
              </w:rPr>
              <w:t>19,2526474</w:t>
            </w:r>
          </w:p>
        </w:tc>
        <w:tc>
          <w:tcPr>
            <w:tcW w:w="1417" w:type="dxa"/>
          </w:tcPr>
          <w:p>
            <w:pPr>
              <w:pStyle w:val="TableParagraph"/>
              <w:ind w:right="77"/>
              <w:rPr>
                <w:sz w:val="22"/>
              </w:rPr>
            </w:pPr>
            <w:r>
              <w:rPr>
                <w:sz w:val="22"/>
              </w:rPr>
              <w:t>24368,61982</w:t>
            </w:r>
          </w:p>
        </w:tc>
        <w:tc>
          <w:tcPr>
            <w:tcW w:w="1378" w:type="dxa"/>
          </w:tcPr>
          <w:p>
            <w:pPr>
              <w:pStyle w:val="TableParagraph"/>
              <w:rPr>
                <w:sz w:val="22"/>
              </w:rPr>
            </w:pPr>
            <w:r>
              <w:rPr>
                <w:sz w:val="22"/>
              </w:rPr>
              <w:t>0,05042535</w:t>
            </w:r>
          </w:p>
        </w:tc>
      </w:tr>
      <w:tr>
        <w:trPr>
          <w:trHeight w:val="310" w:hRule="exact"/>
        </w:trPr>
        <w:tc>
          <w:tcPr>
            <w:tcW w:w="838" w:type="dxa"/>
          </w:tcPr>
          <w:p>
            <w:pPr>
              <w:pStyle w:val="TableParagraph"/>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1195" w:type="dxa"/>
          </w:tcPr>
          <w:p>
            <w:pPr/>
          </w:p>
        </w:tc>
        <w:tc>
          <w:tcPr>
            <w:tcW w:w="1294" w:type="dxa"/>
          </w:tcPr>
          <w:p>
            <w:pPr>
              <w:pStyle w:val="TableParagraph"/>
              <w:spacing w:before="18"/>
              <w:ind w:left="141" w:right="188"/>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9" w:type="dxa"/>
          </w:tcPr>
          <w:p>
            <w:pPr>
              <w:pStyle w:val="TableParagraph"/>
              <w:ind w:right="78"/>
              <w:rPr>
                <w:sz w:val="22"/>
              </w:rPr>
            </w:pPr>
            <w:r>
              <w:rPr>
                <w:sz w:val="22"/>
              </w:rPr>
              <w:t>25626,3008</w:t>
            </w:r>
          </w:p>
        </w:tc>
        <w:tc>
          <w:tcPr>
            <w:tcW w:w="1295" w:type="dxa"/>
          </w:tcPr>
          <w:p>
            <w:pPr/>
          </w:p>
        </w:tc>
        <w:tc>
          <w:tcPr>
            <w:tcW w:w="1417" w:type="dxa"/>
          </w:tcPr>
          <w:p>
            <w:pPr>
              <w:pStyle w:val="TableParagraph"/>
              <w:ind w:right="79"/>
              <w:rPr>
                <w:sz w:val="22"/>
              </w:rPr>
            </w:pPr>
            <w:r>
              <w:rPr>
                <w:sz w:val="22"/>
              </w:rPr>
              <w:t>164993,5774</w:t>
            </w:r>
          </w:p>
        </w:tc>
        <w:tc>
          <w:tcPr>
            <w:tcW w:w="1378" w:type="dxa"/>
          </w:tcPr>
          <w:p>
            <w:pPr>
              <w:pStyle w:val="TableParagraph"/>
              <w:rPr>
                <w:sz w:val="22"/>
              </w:rPr>
            </w:pPr>
            <w:r>
              <w:rPr>
                <w:sz w:val="22"/>
              </w:rPr>
              <w:t>0,34141688</w:t>
            </w:r>
          </w:p>
        </w:tc>
      </w:tr>
      <w:tr>
        <w:trPr>
          <w:trHeight w:val="310" w:hRule="exact"/>
        </w:trPr>
        <w:tc>
          <w:tcPr>
            <w:tcW w:w="5988" w:type="dxa"/>
            <w:gridSpan w:val="6"/>
            <w:vMerge w:val="restart"/>
            <w:tcBorders>
              <w:left w:val="nil"/>
            </w:tcBorders>
          </w:tcPr>
          <w:p>
            <w:pPr/>
          </w:p>
        </w:tc>
        <w:tc>
          <w:tcPr>
            <w:tcW w:w="2712" w:type="dxa"/>
            <w:gridSpan w:val="2"/>
          </w:tcPr>
          <w:p>
            <w:pPr>
              <w:pStyle w:val="TableParagraph"/>
              <w:spacing w:before="13"/>
              <w:ind w:left="50"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78" w:type="dxa"/>
          </w:tcPr>
          <w:p>
            <w:pPr>
              <w:pStyle w:val="TableParagraph"/>
              <w:rPr>
                <w:b/>
                <w:sz w:val="22"/>
              </w:rPr>
            </w:pPr>
            <w:r>
              <w:rPr>
                <w:b/>
                <w:sz w:val="22"/>
              </w:rPr>
              <w:t>36,863</w:t>
            </w:r>
          </w:p>
        </w:tc>
      </w:tr>
      <w:tr>
        <w:trPr>
          <w:trHeight w:val="312" w:hRule="exact"/>
        </w:trPr>
        <w:tc>
          <w:tcPr>
            <w:tcW w:w="5988" w:type="dxa"/>
            <w:gridSpan w:val="6"/>
            <w:vMerge/>
            <w:tcBorders>
              <w:left w:val="nil"/>
            </w:tcBorders>
          </w:tcPr>
          <w:p>
            <w:pPr/>
          </w:p>
        </w:tc>
        <w:tc>
          <w:tcPr>
            <w:tcW w:w="2712" w:type="dxa"/>
            <w:gridSpan w:val="2"/>
          </w:tcPr>
          <w:p>
            <w:pPr>
              <w:pStyle w:val="TableParagraph"/>
              <w:spacing w:before="13"/>
              <w:ind w:left="50" w:right="0"/>
              <w:jc w:val="left"/>
              <w:rPr>
                <w:sz w:val="22"/>
              </w:rPr>
            </w:pPr>
            <w:r>
              <w:rPr>
                <w:sz w:val="22"/>
              </w:rPr>
              <w:t>Desviación estándar</w:t>
            </w:r>
          </w:p>
        </w:tc>
        <w:tc>
          <w:tcPr>
            <w:tcW w:w="1378" w:type="dxa"/>
          </w:tcPr>
          <w:p>
            <w:pPr>
              <w:pStyle w:val="TableParagraph"/>
              <w:spacing w:before="30"/>
              <w:rPr>
                <w:b/>
                <w:sz w:val="22"/>
              </w:rPr>
            </w:pPr>
            <w:r>
              <w:rPr>
                <w:b/>
                <w:sz w:val="22"/>
              </w:rPr>
              <w:t>0,584</w:t>
            </w:r>
          </w:p>
        </w:tc>
      </w:tr>
      <w:tr>
        <w:trPr>
          <w:trHeight w:val="310" w:hRule="exact"/>
        </w:trPr>
        <w:tc>
          <w:tcPr>
            <w:tcW w:w="5988" w:type="dxa"/>
            <w:gridSpan w:val="6"/>
            <w:vMerge/>
            <w:tcBorders>
              <w:left w:val="nil"/>
            </w:tcBorders>
          </w:tcPr>
          <w:p>
            <w:pPr/>
          </w:p>
        </w:tc>
        <w:tc>
          <w:tcPr>
            <w:tcW w:w="2712" w:type="dxa"/>
            <w:gridSpan w:val="2"/>
            <w:vMerge w:val="restart"/>
          </w:tcPr>
          <w:p>
            <w:pPr>
              <w:pStyle w:val="TableParagraph"/>
              <w:spacing w:before="33"/>
              <w:ind w:left="50" w:right="0"/>
              <w:jc w:val="left"/>
              <w:rPr>
                <w:sz w:val="22"/>
              </w:rPr>
            </w:pPr>
            <w:r>
              <w:rPr>
                <w:sz w:val="22"/>
              </w:rPr>
              <w:t>Intervalo de confianza al 95</w:t>
            </w:r>
          </w:p>
          <w:p>
            <w:pPr>
              <w:pStyle w:val="TableParagraph"/>
              <w:spacing w:before="0"/>
              <w:ind w:left="50" w:right="0"/>
              <w:jc w:val="left"/>
              <w:rPr>
                <w:sz w:val="22"/>
              </w:rPr>
            </w:pPr>
            <w:r>
              <w:rPr>
                <w:w w:val="100"/>
                <w:sz w:val="22"/>
              </w:rPr>
              <w:t>%</w:t>
            </w:r>
          </w:p>
        </w:tc>
        <w:tc>
          <w:tcPr>
            <w:tcW w:w="1378" w:type="dxa"/>
          </w:tcPr>
          <w:p>
            <w:pPr>
              <w:pStyle w:val="TableParagraph"/>
              <w:rPr>
                <w:sz w:val="22"/>
              </w:rPr>
            </w:pPr>
            <w:r>
              <w:rPr>
                <w:sz w:val="22"/>
              </w:rPr>
              <w:t>35,72</w:t>
            </w:r>
          </w:p>
        </w:tc>
      </w:tr>
      <w:tr>
        <w:trPr>
          <w:trHeight w:val="310" w:hRule="exact"/>
        </w:trPr>
        <w:tc>
          <w:tcPr>
            <w:tcW w:w="5988" w:type="dxa"/>
            <w:gridSpan w:val="6"/>
            <w:vMerge/>
            <w:tcBorders>
              <w:left w:val="nil"/>
            </w:tcBorders>
          </w:tcPr>
          <w:p>
            <w:pPr/>
          </w:p>
        </w:tc>
        <w:tc>
          <w:tcPr>
            <w:tcW w:w="2712" w:type="dxa"/>
            <w:gridSpan w:val="2"/>
            <w:vMerge/>
          </w:tcPr>
          <w:p>
            <w:pPr/>
          </w:p>
        </w:tc>
        <w:tc>
          <w:tcPr>
            <w:tcW w:w="1378" w:type="dxa"/>
          </w:tcPr>
          <w:p>
            <w:pPr>
              <w:pStyle w:val="TableParagraph"/>
              <w:rPr>
                <w:sz w:val="22"/>
              </w:rPr>
            </w:pPr>
            <w:r>
              <w:rPr>
                <w:sz w:val="22"/>
              </w:rPr>
              <w:t>38,01</w:t>
            </w:r>
          </w:p>
        </w:tc>
      </w:tr>
      <w:tr>
        <w:trPr>
          <w:trHeight w:val="310" w:hRule="exact"/>
        </w:trPr>
        <w:tc>
          <w:tcPr>
            <w:tcW w:w="10078" w:type="dxa"/>
            <w:gridSpan w:val="9"/>
          </w:tcPr>
          <w:p>
            <w:pPr>
              <w:pStyle w:val="TableParagraph"/>
              <w:ind w:left="3510" w:right="3495"/>
              <w:jc w:val="center"/>
              <w:rPr>
                <w:sz w:val="22"/>
              </w:rPr>
            </w:pPr>
            <w:r>
              <w:rPr>
                <w:sz w:val="22"/>
              </w:rPr>
              <w:t>Eficiencia estanque sedimentador</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95" w:type="dxa"/>
          </w:tcPr>
          <w:p>
            <w:pPr>
              <w:pStyle w:val="TableParagraph"/>
              <w:spacing w:before="43"/>
              <w:ind w:left="61" w:right="5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94" w:type="dxa"/>
          </w:tcPr>
          <w:p>
            <w:pPr>
              <w:pStyle w:val="TableParagraph"/>
              <w:spacing w:line="214" w:lineRule="exact" w:before="6"/>
              <w:ind w:left="141" w:right="11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121" w:right="0"/>
              <w:jc w:val="center"/>
              <w:rPr>
                <w:rFonts w:ascii="Cambria Math"/>
                <w:sz w:val="16"/>
              </w:rPr>
            </w:pPr>
            <w:r>
              <w:rPr>
                <w:rFonts w:ascii="Cambria Math"/>
                <w:w w:val="113"/>
                <w:sz w:val="16"/>
              </w:rPr>
              <w:t>h</w:t>
            </w:r>
          </w:p>
        </w:tc>
        <w:tc>
          <w:tcPr>
            <w:tcW w:w="1349" w:type="dxa"/>
          </w:tcPr>
          <w:p>
            <w:pPr>
              <w:pStyle w:val="TableParagraph"/>
              <w:spacing w:before="19"/>
              <w:ind w:left="534" w:right="51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295" w:type="dxa"/>
          </w:tcPr>
          <w:p>
            <w:pPr>
              <w:pStyle w:val="TableParagraph"/>
              <w:spacing w:before="43"/>
              <w:ind w:left="503" w:right="487"/>
              <w:jc w:val="center"/>
              <w:rPr>
                <w:rFonts w:ascii="Cambria Math"/>
                <w:sz w:val="16"/>
              </w:rPr>
            </w:pPr>
            <w:r>
              <w:rPr>
                <w:rFonts w:ascii="Cambria Math"/>
                <w:w w:val="110"/>
                <w:sz w:val="22"/>
              </w:rPr>
              <w:t>s</w:t>
            </w:r>
            <w:r>
              <w:rPr>
                <w:rFonts w:ascii="Cambria Math"/>
                <w:w w:val="110"/>
                <w:position w:val="-4"/>
                <w:sz w:val="16"/>
              </w:rPr>
              <w:t>h</w:t>
            </w:r>
          </w:p>
        </w:tc>
        <w:tc>
          <w:tcPr>
            <w:tcW w:w="1417" w:type="dxa"/>
          </w:tcPr>
          <w:p>
            <w:pPr>
              <w:pStyle w:val="TableParagraph"/>
              <w:spacing w:before="0"/>
              <w:ind w:left="38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378" w:type="dxa"/>
          </w:tcPr>
          <w:p>
            <w:pPr>
              <w:pStyle w:val="TableParagraph"/>
              <w:spacing w:before="0"/>
              <w:ind w:left="35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38" w:type="dxa"/>
          </w:tcPr>
          <w:p>
            <w:pPr>
              <w:pStyle w:val="TableParagraph"/>
              <w:ind w:right="1"/>
              <w:jc w:val="center"/>
              <w:rPr>
                <w:sz w:val="22"/>
              </w:rPr>
            </w:pPr>
            <w:r>
              <w:rPr>
                <w:w w:val="100"/>
                <w:sz w:val="22"/>
              </w:rPr>
              <w:t>1</w:t>
            </w:r>
          </w:p>
        </w:tc>
        <w:tc>
          <w:tcPr>
            <w:tcW w:w="809" w:type="dxa"/>
          </w:tcPr>
          <w:p>
            <w:pPr>
              <w:pStyle w:val="TableParagraph"/>
              <w:ind w:left="59" w:right="1"/>
              <w:jc w:val="center"/>
              <w:rPr>
                <w:sz w:val="22"/>
              </w:rPr>
            </w:pPr>
            <w:r>
              <w:rPr>
                <w:sz w:val="22"/>
              </w:rPr>
              <w:t>108,60</w:t>
            </w:r>
          </w:p>
        </w:tc>
        <w:tc>
          <w:tcPr>
            <w:tcW w:w="504" w:type="dxa"/>
          </w:tcPr>
          <w:p>
            <w:pPr>
              <w:pStyle w:val="TableParagraph"/>
              <w:ind w:left="73" w:right="41"/>
              <w:jc w:val="center"/>
              <w:rPr>
                <w:sz w:val="22"/>
              </w:rPr>
            </w:pPr>
            <w:r>
              <w:rPr>
                <w:sz w:val="22"/>
              </w:rPr>
              <w:t>108</w:t>
            </w:r>
          </w:p>
        </w:tc>
        <w:tc>
          <w:tcPr>
            <w:tcW w:w="1195" w:type="dxa"/>
          </w:tcPr>
          <w:p>
            <w:pPr>
              <w:pStyle w:val="TableParagraph"/>
              <w:ind w:right="44"/>
              <w:rPr>
                <w:sz w:val="22"/>
              </w:rPr>
            </w:pPr>
            <w:r>
              <w:rPr>
                <w:sz w:val="22"/>
              </w:rPr>
              <w:t>3,733511</w:t>
            </w:r>
          </w:p>
        </w:tc>
        <w:tc>
          <w:tcPr>
            <w:tcW w:w="1294" w:type="dxa"/>
          </w:tcPr>
          <w:p>
            <w:pPr>
              <w:pStyle w:val="TableParagraph"/>
              <w:ind w:right="42"/>
              <w:rPr>
                <w:sz w:val="22"/>
              </w:rPr>
            </w:pPr>
            <w:r>
              <w:rPr>
                <w:sz w:val="22"/>
              </w:rPr>
              <w:t>66,2138203</w:t>
            </w:r>
          </w:p>
        </w:tc>
        <w:tc>
          <w:tcPr>
            <w:tcW w:w="1349" w:type="dxa"/>
          </w:tcPr>
          <w:p>
            <w:pPr>
              <w:pStyle w:val="TableParagraph"/>
              <w:ind w:right="49"/>
              <w:rPr>
                <w:sz w:val="22"/>
              </w:rPr>
            </w:pPr>
            <w:r>
              <w:rPr>
                <w:sz w:val="22"/>
              </w:rPr>
              <w:t>405,459278</w:t>
            </w:r>
          </w:p>
        </w:tc>
        <w:tc>
          <w:tcPr>
            <w:tcW w:w="1295" w:type="dxa"/>
          </w:tcPr>
          <w:p>
            <w:pPr>
              <w:pStyle w:val="TableParagraph"/>
              <w:ind w:right="48"/>
              <w:rPr>
                <w:sz w:val="22"/>
              </w:rPr>
            </w:pPr>
            <w:r>
              <w:rPr>
                <w:sz w:val="22"/>
              </w:rPr>
              <w:t>8,1371875</w:t>
            </w:r>
          </w:p>
        </w:tc>
        <w:tc>
          <w:tcPr>
            <w:tcW w:w="1417" w:type="dxa"/>
          </w:tcPr>
          <w:p>
            <w:pPr>
              <w:pStyle w:val="TableParagraph"/>
              <w:ind w:right="49"/>
              <w:rPr>
                <w:sz w:val="22"/>
              </w:rPr>
            </w:pPr>
            <w:r>
              <w:rPr>
                <w:sz w:val="22"/>
              </w:rPr>
              <w:t>-2417,45201</w:t>
            </w:r>
          </w:p>
        </w:tc>
        <w:tc>
          <w:tcPr>
            <w:tcW w:w="1378" w:type="dxa"/>
          </w:tcPr>
          <w:p>
            <w:pPr>
              <w:pStyle w:val="TableParagraph"/>
              <w:ind w:right="44"/>
              <w:rPr>
                <w:sz w:val="22"/>
              </w:rPr>
            </w:pPr>
            <w:r>
              <w:rPr>
                <w:sz w:val="22"/>
              </w:rPr>
              <w:t>-0,00500237</w:t>
            </w:r>
          </w:p>
        </w:tc>
      </w:tr>
    </w:tbl>
    <w:p>
      <w:pPr>
        <w:spacing w:after="0"/>
        <w:rPr>
          <w:sz w:val="22"/>
        </w:rPr>
        <w:sectPr>
          <w:pgSz w:w="12240" w:h="15840"/>
          <w:pgMar w:header="725" w:footer="1084" w:top="1340" w:bottom="1280" w:left="920" w:right="900"/>
        </w:sectPr>
      </w:pPr>
    </w:p>
    <w:p>
      <w:pPr>
        <w:pStyle w:val="BodyText"/>
        <w:spacing w:before="11"/>
        <w:rPr>
          <w:rFonts w:ascii="Times New Roman"/>
          <w:sz w:val="14"/>
        </w:rPr>
      </w:pPr>
    </w:p>
    <w:tbl>
      <w:tblPr>
        <w:tblW w:w="0" w:type="auto"/>
        <w:jc w:val="left"/>
        <w:tblInd w:w="2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8"/>
        <w:gridCol w:w="809"/>
        <w:gridCol w:w="504"/>
        <w:gridCol w:w="1214"/>
        <w:gridCol w:w="1294"/>
        <w:gridCol w:w="1344"/>
        <w:gridCol w:w="1294"/>
        <w:gridCol w:w="1418"/>
        <w:gridCol w:w="1380"/>
      </w:tblGrid>
      <w:tr>
        <w:trPr>
          <w:trHeight w:val="305" w:hRule="exact"/>
        </w:trPr>
        <w:tc>
          <w:tcPr>
            <w:tcW w:w="838" w:type="dxa"/>
            <w:tcBorders>
              <w:left w:val="single" w:sz="4" w:space="0" w:color="000000"/>
              <w:bottom w:val="single" w:sz="4" w:space="0" w:color="000000"/>
              <w:right w:val="single" w:sz="4" w:space="0" w:color="000000"/>
            </w:tcBorders>
          </w:tcPr>
          <w:p>
            <w:pPr>
              <w:pStyle w:val="TableParagraph"/>
              <w:ind w:right="1"/>
              <w:jc w:val="center"/>
              <w:rPr>
                <w:sz w:val="22"/>
              </w:rPr>
            </w:pPr>
            <w:r>
              <w:rPr>
                <w:w w:val="100"/>
                <w:sz w:val="22"/>
              </w:rPr>
              <w:t>2</w:t>
            </w:r>
          </w:p>
        </w:tc>
        <w:tc>
          <w:tcPr>
            <w:tcW w:w="809" w:type="dxa"/>
            <w:tcBorders>
              <w:left w:val="single" w:sz="4" w:space="0" w:color="000000"/>
              <w:bottom w:val="single" w:sz="4" w:space="0" w:color="000000"/>
              <w:right w:val="single" w:sz="4" w:space="0" w:color="000000"/>
            </w:tcBorders>
          </w:tcPr>
          <w:p>
            <w:pPr>
              <w:pStyle w:val="TableParagraph"/>
              <w:ind w:left="59" w:right="1"/>
              <w:jc w:val="center"/>
              <w:rPr>
                <w:sz w:val="22"/>
              </w:rPr>
            </w:pPr>
            <w:r>
              <w:rPr>
                <w:sz w:val="22"/>
              </w:rPr>
              <w:t>121,03</w:t>
            </w:r>
          </w:p>
        </w:tc>
        <w:tc>
          <w:tcPr>
            <w:tcW w:w="504" w:type="dxa"/>
            <w:tcBorders>
              <w:left w:val="single" w:sz="4" w:space="0" w:color="000000"/>
              <w:bottom w:val="single" w:sz="4" w:space="0" w:color="000000"/>
              <w:right w:val="single" w:sz="4" w:space="0" w:color="000000"/>
            </w:tcBorders>
          </w:tcPr>
          <w:p>
            <w:pPr>
              <w:pStyle w:val="TableParagraph"/>
              <w:ind w:left="184" w:right="42"/>
              <w:jc w:val="center"/>
              <w:rPr>
                <w:sz w:val="22"/>
              </w:rPr>
            </w:pPr>
            <w:r>
              <w:rPr>
                <w:sz w:val="22"/>
              </w:rPr>
              <w:t>81</w:t>
            </w:r>
          </w:p>
        </w:tc>
        <w:tc>
          <w:tcPr>
            <w:tcW w:w="1214" w:type="dxa"/>
            <w:tcBorders>
              <w:left w:val="single" w:sz="4" w:space="0" w:color="000000"/>
              <w:bottom w:val="single" w:sz="4" w:space="0" w:color="000000"/>
              <w:right w:val="single" w:sz="4" w:space="0" w:color="000000"/>
            </w:tcBorders>
          </w:tcPr>
          <w:p>
            <w:pPr>
              <w:pStyle w:val="TableParagraph"/>
              <w:ind w:right="63"/>
              <w:rPr>
                <w:sz w:val="22"/>
              </w:rPr>
            </w:pPr>
            <w:r>
              <w:rPr>
                <w:sz w:val="22"/>
              </w:rPr>
              <w:t>-20,449080</w:t>
            </w:r>
          </w:p>
        </w:tc>
        <w:tc>
          <w:tcPr>
            <w:tcW w:w="1294" w:type="dxa"/>
            <w:tcBorders>
              <w:left w:val="single" w:sz="4" w:space="0" w:color="000000"/>
              <w:bottom w:val="single" w:sz="4" w:space="0" w:color="000000"/>
              <w:right w:val="single" w:sz="4" w:space="0" w:color="000000"/>
            </w:tcBorders>
          </w:tcPr>
          <w:p>
            <w:pPr>
              <w:pStyle w:val="TableParagraph"/>
              <w:ind w:left="141" w:right="44"/>
              <w:jc w:val="center"/>
              <w:rPr>
                <w:sz w:val="22"/>
              </w:rPr>
            </w:pPr>
            <w:r>
              <w:rPr>
                <w:sz w:val="22"/>
              </w:rPr>
              <w:t>1350,94399</w:t>
            </w:r>
          </w:p>
        </w:tc>
        <w:tc>
          <w:tcPr>
            <w:tcW w:w="1344" w:type="dxa"/>
            <w:tcBorders>
              <w:left w:val="single" w:sz="4" w:space="0" w:color="000000"/>
              <w:bottom w:val="single" w:sz="4" w:space="0" w:color="000000"/>
              <w:right w:val="single" w:sz="4" w:space="0" w:color="000000"/>
            </w:tcBorders>
          </w:tcPr>
          <w:p>
            <w:pPr>
              <w:pStyle w:val="TableParagraph"/>
              <w:ind w:right="63"/>
              <w:rPr>
                <w:sz w:val="22"/>
              </w:rPr>
            </w:pPr>
            <w:r>
              <w:rPr>
                <w:sz w:val="22"/>
              </w:rPr>
              <w:t>-2474,95212</w:t>
            </w:r>
          </w:p>
        </w:tc>
        <w:tc>
          <w:tcPr>
            <w:tcW w:w="1294" w:type="dxa"/>
            <w:tcBorders>
              <w:left w:val="single" w:sz="4" w:space="0" w:color="000000"/>
              <w:bottom w:val="single" w:sz="4" w:space="0" w:color="000000"/>
              <w:right w:val="single" w:sz="4" w:space="0" w:color="000000"/>
            </w:tcBorders>
          </w:tcPr>
          <w:p>
            <w:pPr>
              <w:pStyle w:val="TableParagraph"/>
              <w:rPr>
                <w:sz w:val="22"/>
              </w:rPr>
            </w:pPr>
            <w:r>
              <w:rPr>
                <w:sz w:val="22"/>
              </w:rPr>
              <w:t>36,7551899</w:t>
            </w:r>
          </w:p>
        </w:tc>
        <w:tc>
          <w:tcPr>
            <w:tcW w:w="1418" w:type="dxa"/>
            <w:tcBorders>
              <w:left w:val="single" w:sz="4" w:space="0" w:color="000000"/>
              <w:bottom w:val="single" w:sz="4" w:space="0" w:color="000000"/>
              <w:right w:val="single" w:sz="4" w:space="0" w:color="000000"/>
            </w:tcBorders>
          </w:tcPr>
          <w:p>
            <w:pPr>
              <w:pStyle w:val="TableParagraph"/>
              <w:ind w:right="63"/>
              <w:rPr>
                <w:sz w:val="22"/>
              </w:rPr>
            </w:pPr>
            <w:r>
              <w:rPr>
                <w:sz w:val="22"/>
              </w:rPr>
              <w:t>80924,34973</w:t>
            </w:r>
          </w:p>
        </w:tc>
        <w:tc>
          <w:tcPr>
            <w:tcW w:w="1380" w:type="dxa"/>
            <w:tcBorders>
              <w:left w:val="single" w:sz="4" w:space="0" w:color="000000"/>
              <w:bottom w:val="single" w:sz="4" w:space="0" w:color="000000"/>
              <w:right w:val="single" w:sz="4" w:space="0" w:color="000000"/>
            </w:tcBorders>
          </w:tcPr>
          <w:p>
            <w:pPr>
              <w:pStyle w:val="TableParagraph"/>
              <w:rPr>
                <w:sz w:val="22"/>
              </w:rPr>
            </w:pPr>
            <w:r>
              <w:rPr>
                <w:sz w:val="22"/>
              </w:rPr>
              <w:t>0,16745464</w:t>
            </w:r>
          </w:p>
        </w:tc>
      </w:tr>
      <w:tr>
        <w:trPr>
          <w:trHeight w:val="310" w:hRule="exact"/>
        </w:trPr>
        <w:tc>
          <w:tcPr>
            <w:tcW w:w="838" w:type="dxa"/>
            <w:tcBorders>
              <w:top w:val="single" w:sz="4" w:space="0" w:color="000000"/>
              <w:left w:val="single" w:sz="4" w:space="0" w:color="000000"/>
              <w:bottom w:val="single" w:sz="4" w:space="0" w:color="000000"/>
              <w:right w:val="single" w:sz="4" w:space="0" w:color="000000"/>
            </w:tcBorders>
          </w:tcPr>
          <w:p>
            <w:pPr>
              <w:pStyle w:val="TableParagraph"/>
              <w:ind w:right="1"/>
              <w:jc w:val="center"/>
              <w:rPr>
                <w:sz w:val="22"/>
              </w:rPr>
            </w:pPr>
            <w:r>
              <w:rPr>
                <w:w w:val="100"/>
                <w:sz w:val="22"/>
              </w:rPr>
              <w:t>3</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59" w:right="1"/>
              <w:jc w:val="center"/>
              <w:rPr>
                <w:sz w:val="22"/>
              </w:rPr>
            </w:pPr>
            <w:r>
              <w:rPr>
                <w:sz w:val="22"/>
              </w:rPr>
              <w:t>130,21</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ind w:left="184" w:right="42"/>
              <w:jc w:val="center"/>
              <w:rPr>
                <w:sz w:val="22"/>
              </w:rPr>
            </w:pPr>
            <w:r>
              <w:rPr>
                <w:sz w:val="22"/>
              </w:rPr>
              <w:t>77</w:t>
            </w:r>
          </w:p>
        </w:tc>
        <w:tc>
          <w:tcPr>
            <w:tcW w:w="1214"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sz w:val="22"/>
              </w:rPr>
              <w:t>-82,91</w:t>
            </w:r>
          </w:p>
        </w:tc>
        <w:tc>
          <w:tcPr>
            <w:tcW w:w="1294" w:type="dxa"/>
            <w:tcBorders>
              <w:top w:val="single" w:sz="4" w:space="0" w:color="000000"/>
              <w:left w:val="single" w:sz="4" w:space="0" w:color="000000"/>
              <w:bottom w:val="single" w:sz="4" w:space="0" w:color="000000"/>
              <w:right w:val="single" w:sz="4" w:space="0" w:color="000000"/>
            </w:tcBorders>
          </w:tcPr>
          <w:p>
            <w:pPr>
              <w:pStyle w:val="TableParagraph"/>
              <w:ind w:left="141" w:right="44"/>
              <w:jc w:val="center"/>
              <w:rPr>
                <w:sz w:val="22"/>
              </w:rPr>
            </w:pPr>
            <w:r>
              <w:rPr>
                <w:sz w:val="22"/>
              </w:rPr>
              <w:t>11608,0239</w:t>
            </w:r>
          </w:p>
        </w:tc>
        <w:tc>
          <w:tcPr>
            <w:tcW w:w="1344"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sz w:val="22"/>
              </w:rPr>
              <w:t>-10796,3199</w:t>
            </w:r>
          </w:p>
        </w:tc>
        <w:tc>
          <w:tcPr>
            <w:tcW w:w="1294"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sz w:val="22"/>
              </w:rPr>
              <w:t>107,74054</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sz w:val="22"/>
              </w:rPr>
              <w:t>1059853,333</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sz w:val="22"/>
              </w:rPr>
              <w:t>2,19312672</w:t>
            </w:r>
          </w:p>
        </w:tc>
      </w:tr>
      <w:tr>
        <w:trPr>
          <w:trHeight w:val="310" w:hRule="exact"/>
        </w:trPr>
        <w:tc>
          <w:tcPr>
            <w:tcW w:w="838" w:type="dxa"/>
            <w:tcBorders>
              <w:top w:val="single" w:sz="4" w:space="0" w:color="000000"/>
              <w:left w:val="single" w:sz="4" w:space="0" w:color="000000"/>
              <w:bottom w:val="single" w:sz="4" w:space="0" w:color="000000"/>
              <w:right w:val="single" w:sz="4" w:space="0" w:color="000000"/>
            </w:tcBorders>
          </w:tcPr>
          <w:p>
            <w:pPr>
              <w:pStyle w:val="TableParagraph"/>
              <w:ind w:right="1"/>
              <w:jc w:val="center"/>
              <w:rPr>
                <w:sz w:val="22"/>
              </w:rPr>
            </w:pPr>
            <w:r>
              <w:rPr>
                <w:w w:val="100"/>
                <w:sz w:val="22"/>
              </w:rPr>
              <w:t>4</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ind w:left="59" w:right="1"/>
              <w:jc w:val="center"/>
              <w:rPr>
                <w:sz w:val="22"/>
              </w:rPr>
            </w:pPr>
            <w:r>
              <w:rPr>
                <w:sz w:val="22"/>
              </w:rPr>
              <w:t>155,12</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ind w:left="184" w:right="42"/>
              <w:jc w:val="center"/>
              <w:rPr>
                <w:sz w:val="22"/>
              </w:rPr>
            </w:pPr>
            <w:r>
              <w:rPr>
                <w:sz w:val="22"/>
              </w:rPr>
              <w:t>92</w:t>
            </w:r>
          </w:p>
        </w:tc>
        <w:tc>
          <w:tcPr>
            <w:tcW w:w="1214"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sz w:val="22"/>
              </w:rPr>
              <w:t>-78,25</w:t>
            </w:r>
          </w:p>
        </w:tc>
        <w:tc>
          <w:tcPr>
            <w:tcW w:w="1294" w:type="dxa"/>
            <w:tcBorders>
              <w:top w:val="single" w:sz="4" w:space="0" w:color="000000"/>
              <w:left w:val="single" w:sz="4" w:space="0" w:color="000000"/>
              <w:bottom w:val="single" w:sz="4" w:space="0" w:color="000000"/>
              <w:right w:val="single" w:sz="4" w:space="0" w:color="000000"/>
            </w:tcBorders>
          </w:tcPr>
          <w:p>
            <w:pPr>
              <w:pStyle w:val="TableParagraph"/>
              <w:ind w:left="141" w:right="44"/>
              <w:jc w:val="center"/>
              <w:rPr>
                <w:sz w:val="22"/>
              </w:rPr>
            </w:pPr>
            <w:r>
              <w:rPr>
                <w:sz w:val="22"/>
              </w:rPr>
              <w:t>6126,77057</w:t>
            </w:r>
          </w:p>
        </w:tc>
        <w:tc>
          <w:tcPr>
            <w:tcW w:w="1344"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sz w:val="22"/>
              </w:rPr>
              <w:t>-12137,7968</w:t>
            </w:r>
          </w:p>
        </w:tc>
        <w:tc>
          <w:tcPr>
            <w:tcW w:w="1294"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sz w:val="22"/>
              </w:rPr>
              <w:t>78,2736901</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ind w:right="63"/>
              <w:rPr>
                <w:sz w:val="22"/>
              </w:rPr>
            </w:pPr>
            <w:r>
              <w:rPr>
                <w:sz w:val="22"/>
              </w:rPr>
              <w:t>655362,7295</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sz w:val="22"/>
              </w:rPr>
              <w:t>1,35612492</w:t>
            </w:r>
          </w:p>
        </w:tc>
      </w:tr>
      <w:tr>
        <w:trPr>
          <w:trHeight w:val="310" w:hRule="exact"/>
        </w:trPr>
        <w:tc>
          <w:tcPr>
            <w:tcW w:w="838" w:type="dxa"/>
            <w:tcBorders>
              <w:top w:val="single" w:sz="4" w:space="0" w:color="000000"/>
              <w:left w:val="single" w:sz="4" w:space="0" w:color="000000"/>
              <w:bottom w:val="single" w:sz="4" w:space="0" w:color="000000"/>
              <w:right w:val="single" w:sz="4" w:space="0" w:color="000000"/>
            </w:tcBorders>
          </w:tcPr>
          <w:p>
            <w:pPr>
              <w:pStyle w:val="TableParagraph"/>
              <w:spacing w:before="30"/>
              <w:ind w:right="1"/>
              <w:jc w:val="center"/>
              <w:rPr>
                <w:sz w:val="22"/>
              </w:rPr>
            </w:pPr>
            <w:r>
              <w:rPr>
                <w:w w:val="100"/>
                <w:sz w:val="22"/>
              </w:rPr>
              <w:t>5</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before="30"/>
              <w:ind w:left="59" w:right="1"/>
              <w:jc w:val="center"/>
              <w:rPr>
                <w:sz w:val="22"/>
              </w:rPr>
            </w:pPr>
            <w:r>
              <w:rPr>
                <w:sz w:val="22"/>
              </w:rPr>
              <w:t>180,21</w:t>
            </w:r>
          </w:p>
        </w:tc>
        <w:tc>
          <w:tcPr>
            <w:tcW w:w="504" w:type="dxa"/>
            <w:tcBorders>
              <w:top w:val="single" w:sz="4" w:space="0" w:color="000000"/>
              <w:left w:val="single" w:sz="4" w:space="0" w:color="000000"/>
              <w:bottom w:val="single" w:sz="4" w:space="0" w:color="000000"/>
              <w:right w:val="single" w:sz="4" w:space="0" w:color="000000"/>
            </w:tcBorders>
          </w:tcPr>
          <w:p>
            <w:pPr>
              <w:pStyle w:val="TableParagraph"/>
              <w:spacing w:before="30"/>
              <w:ind w:left="73" w:right="41"/>
              <w:jc w:val="center"/>
              <w:rPr>
                <w:sz w:val="22"/>
              </w:rPr>
            </w:pPr>
            <w:r>
              <w:rPr>
                <w:sz w:val="22"/>
              </w:rPr>
              <w:t>132</w:t>
            </w:r>
          </w:p>
        </w:tc>
        <w:tc>
          <w:tcPr>
            <w:tcW w:w="1214"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sz w:val="22"/>
              </w:rPr>
              <w:t>-48,30</w:t>
            </w:r>
          </w:p>
        </w:tc>
        <w:tc>
          <w:tcPr>
            <w:tcW w:w="1294" w:type="dxa"/>
            <w:tcBorders>
              <w:top w:val="single" w:sz="4" w:space="0" w:color="000000"/>
              <w:left w:val="single" w:sz="4" w:space="0" w:color="000000"/>
              <w:bottom w:val="single" w:sz="4" w:space="0" w:color="000000"/>
              <w:right w:val="single" w:sz="4" w:space="0" w:color="000000"/>
            </w:tcBorders>
          </w:tcPr>
          <w:p>
            <w:pPr>
              <w:pStyle w:val="TableParagraph"/>
              <w:spacing w:before="30"/>
              <w:ind w:left="141" w:right="44"/>
              <w:jc w:val="center"/>
              <w:rPr>
                <w:sz w:val="22"/>
              </w:rPr>
            </w:pPr>
            <w:r>
              <w:rPr>
                <w:sz w:val="22"/>
              </w:rPr>
              <w:t>1182,47533</w:t>
            </w:r>
          </w:p>
        </w:tc>
        <w:tc>
          <w:tcPr>
            <w:tcW w:w="1344"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sz w:val="22"/>
              </w:rPr>
              <w:t>-8704,57942</w:t>
            </w:r>
          </w:p>
        </w:tc>
        <w:tc>
          <w:tcPr>
            <w:tcW w:w="1294" w:type="dxa"/>
            <w:tcBorders>
              <w:top w:val="single" w:sz="4" w:space="0" w:color="000000"/>
              <w:left w:val="single" w:sz="4" w:space="0" w:color="000000"/>
              <w:bottom w:val="single" w:sz="4" w:space="0" w:color="000000"/>
              <w:right w:val="single" w:sz="4" w:space="0" w:color="000000"/>
            </w:tcBorders>
          </w:tcPr>
          <w:p>
            <w:pPr>
              <w:pStyle w:val="TableParagraph"/>
              <w:spacing w:before="30"/>
              <w:rPr>
                <w:sz w:val="22"/>
              </w:rPr>
            </w:pPr>
            <w:r>
              <w:rPr>
                <w:sz w:val="22"/>
              </w:rPr>
              <w:t>34,3871391</w:t>
            </w: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sz w:val="22"/>
              </w:rPr>
              <w:t>77739,56515</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30"/>
              <w:rPr>
                <w:sz w:val="22"/>
              </w:rPr>
            </w:pPr>
            <w:r>
              <w:rPr>
                <w:sz w:val="22"/>
              </w:rPr>
              <w:t>0,16086444</w:t>
            </w:r>
          </w:p>
        </w:tc>
      </w:tr>
      <w:tr>
        <w:trPr>
          <w:trHeight w:val="312" w:hRule="exact"/>
        </w:trPr>
        <w:tc>
          <w:tcPr>
            <w:tcW w:w="838" w:type="dxa"/>
            <w:tcBorders>
              <w:top w:val="single" w:sz="4" w:space="0" w:color="000000"/>
              <w:left w:val="single" w:sz="4" w:space="0" w:color="000000"/>
              <w:bottom w:val="single" w:sz="4" w:space="0" w:color="000000"/>
              <w:right w:val="single" w:sz="4" w:space="0" w:color="000000"/>
            </w:tcBorders>
          </w:tcPr>
          <w:p>
            <w:pPr>
              <w:pStyle w:val="TableParagraph"/>
              <w:spacing w:before="30"/>
              <w:ind w:right="0"/>
              <w:jc w:val="center"/>
              <w:rPr>
                <w:sz w:val="22"/>
              </w:rPr>
            </w:pPr>
            <w:r>
              <w:rPr>
                <w:w w:val="100"/>
                <w:sz w:val="22"/>
              </w:rPr>
              <w:t>N</w:t>
            </w:r>
          </w:p>
        </w:tc>
        <w:tc>
          <w:tcPr>
            <w:tcW w:w="809" w:type="dxa"/>
            <w:tcBorders>
              <w:top w:val="single" w:sz="4" w:space="0" w:color="000000"/>
              <w:left w:val="single" w:sz="4" w:space="0" w:color="000000"/>
              <w:bottom w:val="single" w:sz="4" w:space="0" w:color="000000"/>
              <w:right w:val="single" w:sz="4" w:space="0" w:color="000000"/>
            </w:tcBorders>
          </w:tcPr>
          <w:p>
            <w:pPr>
              <w:pStyle w:val="TableParagraph"/>
              <w:spacing w:before="30"/>
              <w:ind w:left="59" w:right="0"/>
              <w:jc w:val="center"/>
              <w:rPr>
                <w:sz w:val="22"/>
              </w:rPr>
            </w:pPr>
            <w:r>
              <w:rPr>
                <w:sz w:val="22"/>
              </w:rPr>
              <w:t>695,17</w:t>
            </w:r>
          </w:p>
        </w:tc>
        <w:tc>
          <w:tcPr>
            <w:tcW w:w="504" w:type="dxa"/>
            <w:tcBorders>
              <w:top w:val="single" w:sz="4" w:space="0" w:color="000000"/>
              <w:left w:val="single" w:sz="4" w:space="0" w:color="000000"/>
              <w:bottom w:val="single" w:sz="4" w:space="0" w:color="000000"/>
              <w:right w:val="single" w:sz="4" w:space="0" w:color="000000"/>
            </w:tcBorders>
          </w:tcPr>
          <w:p>
            <w:pPr/>
          </w:p>
        </w:tc>
        <w:tc>
          <w:tcPr>
            <w:tcW w:w="1214" w:type="dxa"/>
            <w:tcBorders>
              <w:top w:val="single" w:sz="4" w:space="0" w:color="000000"/>
              <w:left w:val="single" w:sz="4" w:space="0" w:color="000000"/>
              <w:bottom w:val="single" w:sz="4" w:space="0" w:color="000000"/>
              <w:right w:val="single" w:sz="4" w:space="0" w:color="000000"/>
            </w:tcBorders>
          </w:tcPr>
          <w:p>
            <w:pPr/>
          </w:p>
        </w:tc>
        <w:tc>
          <w:tcPr>
            <w:tcW w:w="1294" w:type="dxa"/>
            <w:tcBorders>
              <w:top w:val="single" w:sz="4" w:space="0" w:color="000000"/>
              <w:left w:val="single" w:sz="4" w:space="0" w:color="000000"/>
              <w:bottom w:val="single" w:sz="4" w:space="0" w:color="000000"/>
              <w:right w:val="single" w:sz="4" w:space="0" w:color="000000"/>
            </w:tcBorders>
          </w:tcPr>
          <w:p>
            <w:pPr>
              <w:pStyle w:val="TableParagraph"/>
              <w:spacing w:before="18"/>
              <w:ind w:left="141" w:right="14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4"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sz w:val="22"/>
              </w:rPr>
              <w:t>-33708,189</w:t>
            </w:r>
          </w:p>
        </w:tc>
        <w:tc>
          <w:tcPr>
            <w:tcW w:w="1294" w:type="dxa"/>
            <w:tcBorders>
              <w:top w:val="single" w:sz="4" w:space="0" w:color="000000"/>
              <w:left w:val="single" w:sz="4" w:space="0" w:color="000000"/>
              <w:bottom w:val="single" w:sz="4" w:space="0" w:color="000000"/>
              <w:right w:val="single" w:sz="4" w:space="0" w:color="000000"/>
            </w:tcBorders>
          </w:tcPr>
          <w:p>
            <w:pPr/>
          </w:p>
        </w:tc>
        <w:tc>
          <w:tcPr>
            <w:tcW w:w="1418" w:type="dxa"/>
            <w:tcBorders>
              <w:top w:val="single" w:sz="4" w:space="0" w:color="000000"/>
              <w:left w:val="single" w:sz="4" w:space="0" w:color="000000"/>
              <w:bottom w:val="single" w:sz="4" w:space="0" w:color="000000"/>
              <w:right w:val="single" w:sz="4" w:space="0" w:color="000000"/>
            </w:tcBorders>
          </w:tcPr>
          <w:p>
            <w:pPr>
              <w:pStyle w:val="TableParagraph"/>
              <w:spacing w:before="30"/>
              <w:ind w:right="63"/>
              <w:rPr>
                <w:sz w:val="22"/>
              </w:rPr>
            </w:pPr>
            <w:r>
              <w:rPr>
                <w:sz w:val="22"/>
              </w:rPr>
              <w:t>1871462,525</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spacing w:before="30"/>
              <w:rPr>
                <w:sz w:val="22"/>
              </w:rPr>
            </w:pPr>
            <w:r>
              <w:rPr>
                <w:sz w:val="22"/>
              </w:rPr>
              <w:t>3,87256835</w:t>
            </w:r>
          </w:p>
        </w:tc>
      </w:tr>
      <w:tr>
        <w:trPr>
          <w:trHeight w:val="310" w:hRule="exact"/>
        </w:trPr>
        <w:tc>
          <w:tcPr>
            <w:tcW w:w="6002" w:type="dxa"/>
            <w:gridSpan w:val="6"/>
            <w:vMerge w:val="restart"/>
            <w:tcBorders>
              <w:top w:val="single" w:sz="4" w:space="0" w:color="000000"/>
              <w:right w:val="single" w:sz="4" w:space="0" w:color="000000"/>
            </w:tcBorders>
          </w:tcPr>
          <w:p>
            <w:pPr/>
          </w:p>
        </w:tc>
        <w:tc>
          <w:tcPr>
            <w:tcW w:w="271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rPr>
                <w:b/>
                <w:sz w:val="22"/>
              </w:rPr>
            </w:pPr>
            <w:r>
              <w:rPr>
                <w:b/>
                <w:sz w:val="22"/>
              </w:rPr>
              <w:t>-48,489</w:t>
            </w:r>
          </w:p>
        </w:tc>
      </w:tr>
      <w:tr>
        <w:trPr>
          <w:trHeight w:val="310" w:hRule="exact"/>
        </w:trPr>
        <w:tc>
          <w:tcPr>
            <w:tcW w:w="6002" w:type="dxa"/>
            <w:gridSpan w:val="6"/>
            <w:vMerge/>
            <w:tcBorders>
              <w:right w:val="single" w:sz="4" w:space="0" w:color="000000"/>
            </w:tcBorders>
          </w:tcPr>
          <w:p>
            <w:pPr/>
          </w:p>
        </w:tc>
        <w:tc>
          <w:tcPr>
            <w:tcW w:w="2712" w:type="dxa"/>
            <w:gridSpan w:val="2"/>
            <w:tcBorders>
              <w:top w:val="single" w:sz="4" w:space="0" w:color="000000"/>
              <w:left w:val="single" w:sz="4" w:space="0" w:color="000000"/>
              <w:bottom w:val="single" w:sz="4" w:space="0" w:color="000000"/>
              <w:right w:val="single" w:sz="4" w:space="0" w:color="000000"/>
            </w:tcBorders>
          </w:tcPr>
          <w:p>
            <w:pPr>
              <w:pStyle w:val="TableParagraph"/>
              <w:spacing w:before="13"/>
              <w:ind w:left="64" w:right="0"/>
              <w:jc w:val="left"/>
              <w:rPr>
                <w:sz w:val="22"/>
              </w:rPr>
            </w:pPr>
            <w:r>
              <w:rPr>
                <w:sz w:val="22"/>
              </w:rPr>
              <w:t>Desviación estándar</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rPr>
                <w:b/>
                <w:sz w:val="22"/>
              </w:rPr>
            </w:pPr>
            <w:r>
              <w:rPr>
                <w:b/>
                <w:sz w:val="22"/>
              </w:rPr>
              <w:t>1,968</w:t>
            </w:r>
          </w:p>
        </w:tc>
      </w:tr>
      <w:tr>
        <w:trPr>
          <w:trHeight w:val="310" w:hRule="exact"/>
        </w:trPr>
        <w:tc>
          <w:tcPr>
            <w:tcW w:w="6002" w:type="dxa"/>
            <w:gridSpan w:val="6"/>
            <w:vMerge/>
            <w:tcBorders>
              <w:right w:val="single" w:sz="4" w:space="0" w:color="000000"/>
            </w:tcBorders>
          </w:tcPr>
          <w:p>
            <w:pPr/>
          </w:p>
        </w:tc>
        <w:tc>
          <w:tcPr>
            <w:tcW w:w="2712" w:type="dxa"/>
            <w:gridSpan w:val="2"/>
            <w:vMerge w:val="restart"/>
            <w:tcBorders>
              <w:top w:val="single" w:sz="4" w:space="0" w:color="000000"/>
              <w:left w:val="single" w:sz="4" w:space="0" w:color="000000"/>
              <w:right w:val="single" w:sz="4" w:space="0" w:color="000000"/>
            </w:tcBorders>
          </w:tcPr>
          <w:p>
            <w:pPr>
              <w:pStyle w:val="TableParagraph"/>
              <w:spacing w:before="33"/>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380"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sz w:val="22"/>
              </w:rPr>
              <w:t>-52,35</w:t>
            </w:r>
          </w:p>
        </w:tc>
      </w:tr>
      <w:tr>
        <w:trPr>
          <w:trHeight w:val="310" w:hRule="exact"/>
        </w:trPr>
        <w:tc>
          <w:tcPr>
            <w:tcW w:w="6002" w:type="dxa"/>
            <w:gridSpan w:val="6"/>
            <w:vMerge/>
            <w:tcBorders>
              <w:right w:val="single" w:sz="4" w:space="0" w:color="000000"/>
            </w:tcBorders>
          </w:tcPr>
          <w:p>
            <w:pPr/>
          </w:p>
        </w:tc>
        <w:tc>
          <w:tcPr>
            <w:tcW w:w="2712" w:type="dxa"/>
            <w:gridSpan w:val="2"/>
            <w:vMerge/>
            <w:tcBorders>
              <w:left w:val="single" w:sz="4" w:space="0" w:color="000000"/>
              <w:bottom w:val="single" w:sz="4" w:space="0" w:color="000000"/>
              <w:right w:val="single" w:sz="4" w:space="0" w:color="000000"/>
            </w:tcBorders>
          </w:tcPr>
          <w:p>
            <w:pPr/>
          </w:p>
        </w:tc>
        <w:tc>
          <w:tcPr>
            <w:tcW w:w="1380" w:type="dxa"/>
            <w:tcBorders>
              <w:top w:val="single" w:sz="4" w:space="0" w:color="000000"/>
              <w:left w:val="single" w:sz="4" w:space="0" w:color="000000"/>
              <w:bottom w:val="single" w:sz="4" w:space="0" w:color="000000"/>
              <w:right w:val="single" w:sz="4" w:space="0" w:color="000000"/>
            </w:tcBorders>
          </w:tcPr>
          <w:p>
            <w:pPr>
              <w:pStyle w:val="TableParagraph"/>
              <w:rPr>
                <w:sz w:val="22"/>
              </w:rPr>
            </w:pPr>
            <w:r>
              <w:rPr>
                <w:sz w:val="22"/>
              </w:rPr>
              <w:t>-44,63</w:t>
            </w:r>
          </w:p>
        </w:tc>
      </w:tr>
    </w:tbl>
    <w:p>
      <w:pPr>
        <w:spacing w:after="0"/>
        <w:rPr>
          <w:sz w:val="22"/>
        </w:rPr>
        <w:sectPr>
          <w:pgSz w:w="12240" w:h="15840"/>
          <w:pgMar w:header="725" w:footer="1084" w:top="1340" w:bottom="1280" w:left="920" w:right="900"/>
        </w:sectPr>
      </w:pPr>
    </w:p>
    <w:p>
      <w:pPr>
        <w:pStyle w:val="Heading5"/>
        <w:spacing w:before="147"/>
        <w:ind w:left="868" w:right="587"/>
        <w:jc w:val="center"/>
      </w:pPr>
      <w:r>
        <w:rPr/>
        <w:t>N – Nitratos (mg de N-NO</w:t>
      </w:r>
      <w:r>
        <w:rPr>
          <w:position w:val="-2"/>
          <w:sz w:val="14"/>
        </w:rPr>
        <w:t>3</w:t>
      </w:r>
      <w:r>
        <w:rPr>
          <w:position w:val="10"/>
          <w:sz w:val="14"/>
        </w:rPr>
        <w:t>-</w:t>
      </w:r>
      <w:r>
        <w:rPr/>
        <w:t>/L)</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874"/>
        <w:gridCol w:w="1006"/>
        <w:gridCol w:w="1262"/>
        <w:gridCol w:w="874"/>
        <w:gridCol w:w="1262"/>
        <w:gridCol w:w="1380"/>
      </w:tblGrid>
      <w:tr>
        <w:trPr>
          <w:trHeight w:val="312" w:hRule="exact"/>
        </w:trPr>
        <w:tc>
          <w:tcPr>
            <w:tcW w:w="8664" w:type="dxa"/>
            <w:gridSpan w:val="9"/>
          </w:tcPr>
          <w:p>
            <w:pPr>
              <w:pStyle w:val="TableParagraph"/>
              <w:spacing w:before="21"/>
              <w:ind w:left="3357" w:right="3357"/>
              <w:jc w:val="center"/>
              <w:rPr>
                <w:sz w:val="22"/>
              </w:rPr>
            </w:pPr>
            <w:r>
              <w:rPr>
                <w:sz w:val="22"/>
              </w:rPr>
              <w:t>Punto de muestreo A</w:t>
            </w:r>
          </w:p>
        </w:tc>
      </w:tr>
      <w:tr>
        <w:trPr>
          <w:trHeight w:val="310" w:hRule="exact"/>
        </w:trPr>
        <w:tc>
          <w:tcPr>
            <w:tcW w:w="778" w:type="dxa"/>
          </w:tcPr>
          <w:p>
            <w:pPr>
              <w:pStyle w:val="TableParagraph"/>
              <w:spacing w:before="2"/>
              <w:ind w:left="44" w:right="43"/>
              <w:jc w:val="center"/>
              <w:rPr>
                <w:sz w:val="22"/>
              </w:rPr>
            </w:pPr>
            <w:r>
              <w:rPr>
                <w:sz w:val="22"/>
              </w:rPr>
              <w:t>Estrato</w:t>
            </w:r>
          </w:p>
        </w:tc>
        <w:tc>
          <w:tcPr>
            <w:tcW w:w="754" w:type="dxa"/>
          </w:tcPr>
          <w:p>
            <w:pPr>
              <w:pStyle w:val="TableParagraph"/>
              <w:spacing w:before="31"/>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31"/>
              <w:ind w:right="123"/>
              <w:rPr>
                <w:rFonts w:ascii="Cambria Math"/>
                <w:sz w:val="16"/>
              </w:rPr>
            </w:pPr>
            <w:r>
              <w:rPr>
                <w:rFonts w:ascii="Cambria Math"/>
                <w:w w:val="105"/>
                <w:sz w:val="22"/>
              </w:rPr>
              <w:t>n</w:t>
            </w:r>
            <w:r>
              <w:rPr>
                <w:rFonts w:ascii="Cambria Math"/>
                <w:w w:val="105"/>
                <w:position w:val="-4"/>
                <w:sz w:val="16"/>
              </w:rPr>
              <w:t>h</w:t>
            </w:r>
          </w:p>
        </w:tc>
        <w:tc>
          <w:tcPr>
            <w:tcW w:w="874" w:type="dxa"/>
          </w:tcPr>
          <w:p>
            <w:pPr>
              <w:pStyle w:val="TableParagraph"/>
              <w:spacing w:before="31"/>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06" w:type="dxa"/>
          </w:tcPr>
          <w:p>
            <w:pPr>
              <w:pStyle w:val="TableParagraph"/>
              <w:spacing w:line="211" w:lineRule="exact" w:before="0"/>
              <w:ind w:left="376" w:right="38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262" w:type="dxa"/>
          </w:tcPr>
          <w:p>
            <w:pPr>
              <w:pStyle w:val="TableParagraph"/>
              <w:spacing w:before="7"/>
              <w:ind w:left="29"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74" w:type="dxa"/>
          </w:tcPr>
          <w:p>
            <w:pPr>
              <w:pStyle w:val="TableParagraph"/>
              <w:spacing w:before="31"/>
              <w:ind w:left="33" w:right="44"/>
              <w:jc w:val="center"/>
              <w:rPr>
                <w:rFonts w:ascii="Cambria Math"/>
                <w:sz w:val="16"/>
              </w:rPr>
            </w:pPr>
            <w:r>
              <w:rPr>
                <w:rFonts w:ascii="Cambria Math"/>
                <w:w w:val="110"/>
                <w:sz w:val="22"/>
              </w:rPr>
              <w:t>s</w:t>
            </w:r>
            <w:r>
              <w:rPr>
                <w:rFonts w:ascii="Cambria Math"/>
                <w:w w:val="110"/>
                <w:position w:val="-4"/>
                <w:sz w:val="16"/>
              </w:rPr>
              <w:t>h</w:t>
            </w:r>
          </w:p>
        </w:tc>
        <w:tc>
          <w:tcPr>
            <w:tcW w:w="1262" w:type="dxa"/>
          </w:tcPr>
          <w:p>
            <w:pPr>
              <w:pStyle w:val="TableParagraph"/>
              <w:spacing w:line="326" w:lineRule="exact" w:before="0"/>
              <w:ind w:left="29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380" w:type="dxa"/>
          </w:tcPr>
          <w:p>
            <w:pPr>
              <w:pStyle w:val="TableParagraph"/>
              <w:spacing w:line="326" w:lineRule="exact" w:before="0"/>
              <w:ind w:left="33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spacing w:before="2"/>
              <w:ind w:left="1" w:right="0"/>
              <w:jc w:val="center"/>
              <w:rPr>
                <w:sz w:val="22"/>
              </w:rPr>
            </w:pPr>
            <w:r>
              <w:rPr>
                <w:w w:val="100"/>
                <w:sz w:val="22"/>
              </w:rPr>
              <w:t>1</w:t>
            </w:r>
          </w:p>
        </w:tc>
        <w:tc>
          <w:tcPr>
            <w:tcW w:w="754" w:type="dxa"/>
          </w:tcPr>
          <w:p>
            <w:pPr>
              <w:pStyle w:val="TableParagraph"/>
              <w:spacing w:before="19"/>
              <w:ind w:left="45" w:right="45"/>
              <w:jc w:val="center"/>
              <w:rPr>
                <w:sz w:val="22"/>
              </w:rPr>
            </w:pPr>
            <w:r>
              <w:rPr>
                <w:sz w:val="22"/>
              </w:rPr>
              <w:t>108,60</w:t>
            </w:r>
          </w:p>
        </w:tc>
        <w:tc>
          <w:tcPr>
            <w:tcW w:w="475" w:type="dxa"/>
          </w:tcPr>
          <w:p>
            <w:pPr>
              <w:pStyle w:val="TableParagraph"/>
              <w:spacing w:before="19"/>
              <w:rPr>
                <w:sz w:val="22"/>
              </w:rPr>
            </w:pPr>
            <w:r>
              <w:rPr>
                <w:sz w:val="22"/>
              </w:rPr>
              <w:t>108</w:t>
            </w:r>
          </w:p>
        </w:tc>
        <w:tc>
          <w:tcPr>
            <w:tcW w:w="874" w:type="dxa"/>
          </w:tcPr>
          <w:p>
            <w:pPr>
              <w:pStyle w:val="TableParagraph"/>
              <w:spacing w:before="19"/>
              <w:ind w:left="55" w:right="44"/>
              <w:jc w:val="center"/>
              <w:rPr>
                <w:sz w:val="22"/>
              </w:rPr>
            </w:pPr>
            <w:r>
              <w:rPr>
                <w:sz w:val="22"/>
              </w:rPr>
              <w:t>46,1600</w:t>
            </w:r>
          </w:p>
        </w:tc>
        <w:tc>
          <w:tcPr>
            <w:tcW w:w="1006" w:type="dxa"/>
          </w:tcPr>
          <w:p>
            <w:pPr>
              <w:pStyle w:val="TableParagraph"/>
              <w:spacing w:before="19"/>
              <w:ind w:right="63"/>
              <w:rPr>
                <w:sz w:val="22"/>
              </w:rPr>
            </w:pPr>
            <w:r>
              <w:rPr>
                <w:sz w:val="22"/>
              </w:rPr>
              <w:t>227,9880</w:t>
            </w:r>
          </w:p>
        </w:tc>
        <w:tc>
          <w:tcPr>
            <w:tcW w:w="1262" w:type="dxa"/>
          </w:tcPr>
          <w:p>
            <w:pPr>
              <w:pStyle w:val="TableParagraph"/>
              <w:spacing w:before="19"/>
              <w:ind w:left="215" w:right="44"/>
              <w:jc w:val="center"/>
              <w:rPr>
                <w:sz w:val="22"/>
              </w:rPr>
            </w:pPr>
            <w:r>
              <w:rPr>
                <w:sz w:val="22"/>
              </w:rPr>
              <w:t>5012,9760</w:t>
            </w:r>
          </w:p>
        </w:tc>
        <w:tc>
          <w:tcPr>
            <w:tcW w:w="874" w:type="dxa"/>
          </w:tcPr>
          <w:p>
            <w:pPr>
              <w:pStyle w:val="TableParagraph"/>
              <w:spacing w:before="19"/>
              <w:rPr>
                <w:sz w:val="22"/>
              </w:rPr>
            </w:pPr>
            <w:r>
              <w:rPr>
                <w:sz w:val="22"/>
              </w:rPr>
              <w:t>15,0993</w:t>
            </w:r>
          </w:p>
        </w:tc>
        <w:tc>
          <w:tcPr>
            <w:tcW w:w="1262" w:type="dxa"/>
          </w:tcPr>
          <w:p>
            <w:pPr>
              <w:pStyle w:val="TableParagraph"/>
              <w:spacing w:before="19"/>
              <w:rPr>
                <w:sz w:val="22"/>
              </w:rPr>
            </w:pPr>
            <w:r>
              <w:rPr>
                <w:sz w:val="22"/>
              </w:rPr>
              <w:t>-8323,7917</w:t>
            </w:r>
          </w:p>
        </w:tc>
        <w:tc>
          <w:tcPr>
            <w:tcW w:w="1380" w:type="dxa"/>
          </w:tcPr>
          <w:p>
            <w:pPr>
              <w:pStyle w:val="TableParagraph"/>
              <w:spacing w:before="19"/>
              <w:rPr>
                <w:sz w:val="22"/>
              </w:rPr>
            </w:pPr>
            <w:r>
              <w:rPr>
                <w:sz w:val="22"/>
              </w:rPr>
              <w:t>-0,0172242</w:t>
            </w:r>
          </w:p>
        </w:tc>
      </w:tr>
      <w:tr>
        <w:trPr>
          <w:trHeight w:val="310" w:hRule="exact"/>
        </w:trPr>
        <w:tc>
          <w:tcPr>
            <w:tcW w:w="778" w:type="dxa"/>
          </w:tcPr>
          <w:p>
            <w:pPr>
              <w:pStyle w:val="TableParagraph"/>
              <w:spacing w:before="4"/>
              <w:ind w:left="1" w:right="0"/>
              <w:jc w:val="center"/>
              <w:rPr>
                <w:sz w:val="22"/>
              </w:rPr>
            </w:pPr>
            <w:r>
              <w:rPr>
                <w:w w:val="100"/>
                <w:sz w:val="22"/>
              </w:rPr>
              <w:t>2</w:t>
            </w:r>
          </w:p>
        </w:tc>
        <w:tc>
          <w:tcPr>
            <w:tcW w:w="754" w:type="dxa"/>
          </w:tcPr>
          <w:p>
            <w:pPr>
              <w:pStyle w:val="TableParagraph"/>
              <w:spacing w:before="19"/>
              <w:ind w:left="45" w:right="45"/>
              <w:jc w:val="center"/>
              <w:rPr>
                <w:sz w:val="22"/>
              </w:rPr>
            </w:pPr>
            <w:r>
              <w:rPr>
                <w:sz w:val="22"/>
              </w:rPr>
              <w:t>121,03</w:t>
            </w:r>
          </w:p>
        </w:tc>
        <w:tc>
          <w:tcPr>
            <w:tcW w:w="475" w:type="dxa"/>
          </w:tcPr>
          <w:p>
            <w:pPr>
              <w:pStyle w:val="TableParagraph"/>
              <w:spacing w:before="19"/>
              <w:rPr>
                <w:sz w:val="22"/>
              </w:rPr>
            </w:pPr>
            <w:r>
              <w:rPr>
                <w:sz w:val="22"/>
              </w:rPr>
              <w:t>81</w:t>
            </w:r>
          </w:p>
        </w:tc>
        <w:tc>
          <w:tcPr>
            <w:tcW w:w="874" w:type="dxa"/>
          </w:tcPr>
          <w:p>
            <w:pPr>
              <w:pStyle w:val="TableParagraph"/>
              <w:spacing w:before="19"/>
              <w:ind w:left="55" w:right="44"/>
              <w:jc w:val="center"/>
              <w:rPr>
                <w:sz w:val="22"/>
              </w:rPr>
            </w:pPr>
            <w:r>
              <w:rPr>
                <w:sz w:val="22"/>
              </w:rPr>
              <w:t>37,1800</w:t>
            </w:r>
          </w:p>
        </w:tc>
        <w:tc>
          <w:tcPr>
            <w:tcW w:w="1006" w:type="dxa"/>
          </w:tcPr>
          <w:p>
            <w:pPr>
              <w:pStyle w:val="TableParagraph"/>
              <w:spacing w:before="19"/>
              <w:ind w:right="63"/>
              <w:rPr>
                <w:sz w:val="22"/>
              </w:rPr>
            </w:pPr>
            <w:r>
              <w:rPr>
                <w:sz w:val="22"/>
              </w:rPr>
              <w:t>60,5470</w:t>
            </w:r>
          </w:p>
        </w:tc>
        <w:tc>
          <w:tcPr>
            <w:tcW w:w="1262" w:type="dxa"/>
          </w:tcPr>
          <w:p>
            <w:pPr>
              <w:pStyle w:val="TableParagraph"/>
              <w:spacing w:before="19"/>
              <w:ind w:left="215" w:right="44"/>
              <w:jc w:val="center"/>
              <w:rPr>
                <w:sz w:val="22"/>
              </w:rPr>
            </w:pPr>
            <w:r>
              <w:rPr>
                <w:sz w:val="22"/>
              </w:rPr>
              <w:t>4499,8954</w:t>
            </w:r>
          </w:p>
        </w:tc>
        <w:tc>
          <w:tcPr>
            <w:tcW w:w="874" w:type="dxa"/>
          </w:tcPr>
          <w:p>
            <w:pPr>
              <w:pStyle w:val="TableParagraph"/>
              <w:spacing w:before="19"/>
              <w:rPr>
                <w:sz w:val="22"/>
              </w:rPr>
            </w:pPr>
            <w:r>
              <w:rPr>
                <w:sz w:val="22"/>
              </w:rPr>
              <w:t>7,7812</w:t>
            </w:r>
          </w:p>
        </w:tc>
        <w:tc>
          <w:tcPr>
            <w:tcW w:w="1262" w:type="dxa"/>
          </w:tcPr>
          <w:p>
            <w:pPr>
              <w:pStyle w:val="TableParagraph"/>
              <w:spacing w:before="19"/>
              <w:rPr>
                <w:sz w:val="22"/>
              </w:rPr>
            </w:pPr>
            <w:r>
              <w:rPr>
                <w:sz w:val="22"/>
              </w:rPr>
              <w:t>3626,8910</w:t>
            </w:r>
          </w:p>
        </w:tc>
        <w:tc>
          <w:tcPr>
            <w:tcW w:w="1380" w:type="dxa"/>
          </w:tcPr>
          <w:p>
            <w:pPr>
              <w:pStyle w:val="TableParagraph"/>
              <w:spacing w:before="19"/>
              <w:rPr>
                <w:sz w:val="22"/>
              </w:rPr>
            </w:pPr>
            <w:r>
              <w:rPr>
                <w:sz w:val="22"/>
              </w:rPr>
              <w:t>0,00750503</w:t>
            </w:r>
          </w:p>
        </w:tc>
      </w:tr>
      <w:tr>
        <w:trPr>
          <w:trHeight w:val="310" w:hRule="exact"/>
        </w:trPr>
        <w:tc>
          <w:tcPr>
            <w:tcW w:w="778" w:type="dxa"/>
          </w:tcPr>
          <w:p>
            <w:pPr>
              <w:pStyle w:val="TableParagraph"/>
              <w:spacing w:before="4"/>
              <w:ind w:left="1" w:right="0"/>
              <w:jc w:val="center"/>
              <w:rPr>
                <w:sz w:val="22"/>
              </w:rPr>
            </w:pPr>
            <w:r>
              <w:rPr>
                <w:w w:val="100"/>
                <w:sz w:val="22"/>
              </w:rPr>
              <w:t>3</w:t>
            </w:r>
          </w:p>
        </w:tc>
        <w:tc>
          <w:tcPr>
            <w:tcW w:w="754" w:type="dxa"/>
          </w:tcPr>
          <w:p>
            <w:pPr>
              <w:pStyle w:val="TableParagraph"/>
              <w:spacing w:before="19"/>
              <w:ind w:left="45" w:right="45"/>
              <w:jc w:val="center"/>
              <w:rPr>
                <w:sz w:val="22"/>
              </w:rPr>
            </w:pPr>
            <w:r>
              <w:rPr>
                <w:sz w:val="22"/>
              </w:rPr>
              <w:t>130,21</w:t>
            </w:r>
          </w:p>
        </w:tc>
        <w:tc>
          <w:tcPr>
            <w:tcW w:w="475" w:type="dxa"/>
          </w:tcPr>
          <w:p>
            <w:pPr>
              <w:pStyle w:val="TableParagraph"/>
              <w:spacing w:before="19"/>
              <w:rPr>
                <w:sz w:val="22"/>
              </w:rPr>
            </w:pPr>
            <w:r>
              <w:rPr>
                <w:sz w:val="22"/>
              </w:rPr>
              <w:t>77</w:t>
            </w:r>
          </w:p>
        </w:tc>
        <w:tc>
          <w:tcPr>
            <w:tcW w:w="874" w:type="dxa"/>
          </w:tcPr>
          <w:p>
            <w:pPr>
              <w:pStyle w:val="TableParagraph"/>
              <w:spacing w:before="19"/>
              <w:ind w:left="55" w:right="44"/>
              <w:jc w:val="center"/>
              <w:rPr>
                <w:sz w:val="22"/>
              </w:rPr>
            </w:pPr>
            <w:r>
              <w:rPr>
                <w:sz w:val="22"/>
              </w:rPr>
              <w:t>52,9600</w:t>
            </w:r>
          </w:p>
        </w:tc>
        <w:tc>
          <w:tcPr>
            <w:tcW w:w="1006" w:type="dxa"/>
          </w:tcPr>
          <w:p>
            <w:pPr>
              <w:pStyle w:val="TableParagraph"/>
              <w:spacing w:before="19"/>
              <w:ind w:right="63"/>
              <w:rPr>
                <w:sz w:val="22"/>
              </w:rPr>
            </w:pPr>
            <w:r>
              <w:rPr>
                <w:sz w:val="22"/>
              </w:rPr>
              <w:t>55,3230</w:t>
            </w:r>
          </w:p>
        </w:tc>
        <w:tc>
          <w:tcPr>
            <w:tcW w:w="1262" w:type="dxa"/>
          </w:tcPr>
          <w:p>
            <w:pPr>
              <w:pStyle w:val="TableParagraph"/>
              <w:spacing w:before="19"/>
              <w:ind w:left="215" w:right="44"/>
              <w:jc w:val="center"/>
              <w:rPr>
                <w:sz w:val="22"/>
              </w:rPr>
            </w:pPr>
            <w:r>
              <w:rPr>
                <w:sz w:val="22"/>
              </w:rPr>
              <w:t>6895,9216</w:t>
            </w:r>
          </w:p>
        </w:tc>
        <w:tc>
          <w:tcPr>
            <w:tcW w:w="874" w:type="dxa"/>
          </w:tcPr>
          <w:p>
            <w:pPr>
              <w:pStyle w:val="TableParagraph"/>
              <w:spacing w:before="19"/>
              <w:rPr>
                <w:sz w:val="22"/>
              </w:rPr>
            </w:pPr>
            <w:r>
              <w:rPr>
                <w:sz w:val="22"/>
              </w:rPr>
              <w:t>7,4379</w:t>
            </w:r>
          </w:p>
        </w:tc>
        <w:tc>
          <w:tcPr>
            <w:tcW w:w="1262" w:type="dxa"/>
          </w:tcPr>
          <w:p>
            <w:pPr>
              <w:pStyle w:val="TableParagraph"/>
              <w:spacing w:before="19"/>
              <w:rPr>
                <w:sz w:val="22"/>
              </w:rPr>
            </w:pPr>
            <w:r>
              <w:rPr>
                <w:sz w:val="22"/>
              </w:rPr>
              <w:t>5051,1841</w:t>
            </w:r>
          </w:p>
        </w:tc>
        <w:tc>
          <w:tcPr>
            <w:tcW w:w="1380" w:type="dxa"/>
          </w:tcPr>
          <w:p>
            <w:pPr>
              <w:pStyle w:val="TableParagraph"/>
              <w:spacing w:before="19"/>
              <w:rPr>
                <w:sz w:val="22"/>
              </w:rPr>
            </w:pPr>
            <w:r>
              <w:rPr>
                <w:sz w:val="22"/>
              </w:rPr>
              <w:t>0,01045228</w:t>
            </w:r>
          </w:p>
        </w:tc>
      </w:tr>
      <w:tr>
        <w:trPr>
          <w:trHeight w:val="310" w:hRule="exact"/>
        </w:trPr>
        <w:tc>
          <w:tcPr>
            <w:tcW w:w="778" w:type="dxa"/>
          </w:tcPr>
          <w:p>
            <w:pPr>
              <w:pStyle w:val="TableParagraph"/>
              <w:spacing w:before="4"/>
              <w:ind w:left="1" w:right="0"/>
              <w:jc w:val="center"/>
              <w:rPr>
                <w:sz w:val="22"/>
              </w:rPr>
            </w:pPr>
            <w:r>
              <w:rPr>
                <w:w w:val="100"/>
                <w:sz w:val="22"/>
              </w:rPr>
              <w:t>4</w:t>
            </w:r>
          </w:p>
        </w:tc>
        <w:tc>
          <w:tcPr>
            <w:tcW w:w="754" w:type="dxa"/>
          </w:tcPr>
          <w:p>
            <w:pPr>
              <w:pStyle w:val="TableParagraph"/>
              <w:spacing w:before="19"/>
              <w:ind w:left="45" w:right="45"/>
              <w:jc w:val="center"/>
              <w:rPr>
                <w:sz w:val="22"/>
              </w:rPr>
            </w:pPr>
            <w:r>
              <w:rPr>
                <w:sz w:val="22"/>
              </w:rPr>
              <w:t>155,12</w:t>
            </w:r>
          </w:p>
        </w:tc>
        <w:tc>
          <w:tcPr>
            <w:tcW w:w="475" w:type="dxa"/>
          </w:tcPr>
          <w:p>
            <w:pPr>
              <w:pStyle w:val="TableParagraph"/>
              <w:spacing w:before="19"/>
              <w:rPr>
                <w:sz w:val="22"/>
              </w:rPr>
            </w:pPr>
            <w:r>
              <w:rPr>
                <w:sz w:val="22"/>
              </w:rPr>
              <w:t>92</w:t>
            </w:r>
          </w:p>
        </w:tc>
        <w:tc>
          <w:tcPr>
            <w:tcW w:w="874" w:type="dxa"/>
          </w:tcPr>
          <w:p>
            <w:pPr>
              <w:pStyle w:val="TableParagraph"/>
              <w:spacing w:before="19"/>
              <w:ind w:left="55" w:right="44"/>
              <w:jc w:val="center"/>
              <w:rPr>
                <w:sz w:val="22"/>
              </w:rPr>
            </w:pPr>
            <w:r>
              <w:rPr>
                <w:sz w:val="22"/>
              </w:rPr>
              <w:t>72,4200</w:t>
            </w:r>
          </w:p>
        </w:tc>
        <w:tc>
          <w:tcPr>
            <w:tcW w:w="1006" w:type="dxa"/>
          </w:tcPr>
          <w:p>
            <w:pPr>
              <w:pStyle w:val="TableParagraph"/>
              <w:spacing w:before="19"/>
              <w:ind w:right="63"/>
              <w:rPr>
                <w:sz w:val="22"/>
              </w:rPr>
            </w:pPr>
            <w:r>
              <w:rPr>
                <w:sz w:val="22"/>
              </w:rPr>
              <w:t>67,4470</w:t>
            </w:r>
          </w:p>
        </w:tc>
        <w:tc>
          <w:tcPr>
            <w:tcW w:w="1262" w:type="dxa"/>
          </w:tcPr>
          <w:p>
            <w:pPr>
              <w:pStyle w:val="TableParagraph"/>
              <w:spacing w:before="19"/>
              <w:ind w:left="105" w:right="44"/>
              <w:jc w:val="center"/>
              <w:rPr>
                <w:sz w:val="22"/>
              </w:rPr>
            </w:pPr>
            <w:r>
              <w:rPr>
                <w:sz w:val="22"/>
              </w:rPr>
              <w:t>11233,7904</w:t>
            </w:r>
          </w:p>
        </w:tc>
        <w:tc>
          <w:tcPr>
            <w:tcW w:w="874" w:type="dxa"/>
          </w:tcPr>
          <w:p>
            <w:pPr>
              <w:pStyle w:val="TableParagraph"/>
              <w:spacing w:before="19"/>
              <w:rPr>
                <w:sz w:val="22"/>
              </w:rPr>
            </w:pPr>
            <w:r>
              <w:rPr>
                <w:sz w:val="22"/>
              </w:rPr>
              <w:t>8,2126</w:t>
            </w:r>
          </w:p>
        </w:tc>
        <w:tc>
          <w:tcPr>
            <w:tcW w:w="1262" w:type="dxa"/>
          </w:tcPr>
          <w:p>
            <w:pPr>
              <w:pStyle w:val="TableParagraph"/>
              <w:spacing w:before="19"/>
              <w:rPr>
                <w:sz w:val="22"/>
              </w:rPr>
            </w:pPr>
            <w:r>
              <w:rPr>
                <w:sz w:val="22"/>
              </w:rPr>
              <w:t>7214,6083</w:t>
            </w:r>
          </w:p>
        </w:tc>
        <w:tc>
          <w:tcPr>
            <w:tcW w:w="1380" w:type="dxa"/>
          </w:tcPr>
          <w:p>
            <w:pPr>
              <w:pStyle w:val="TableParagraph"/>
              <w:spacing w:before="19"/>
              <w:rPr>
                <w:sz w:val="22"/>
              </w:rPr>
            </w:pPr>
            <w:r>
              <w:rPr>
                <w:sz w:val="22"/>
              </w:rPr>
              <w:t>0,014929</w:t>
            </w:r>
          </w:p>
        </w:tc>
      </w:tr>
      <w:tr>
        <w:trPr>
          <w:trHeight w:val="312" w:hRule="exact"/>
        </w:trPr>
        <w:tc>
          <w:tcPr>
            <w:tcW w:w="778" w:type="dxa"/>
          </w:tcPr>
          <w:p>
            <w:pPr>
              <w:pStyle w:val="TableParagraph"/>
              <w:spacing w:before="4"/>
              <w:ind w:left="1" w:right="0"/>
              <w:jc w:val="center"/>
              <w:rPr>
                <w:sz w:val="22"/>
              </w:rPr>
            </w:pPr>
            <w:r>
              <w:rPr>
                <w:w w:val="100"/>
                <w:sz w:val="22"/>
              </w:rPr>
              <w:t>5</w:t>
            </w:r>
          </w:p>
        </w:tc>
        <w:tc>
          <w:tcPr>
            <w:tcW w:w="754" w:type="dxa"/>
          </w:tcPr>
          <w:p>
            <w:pPr>
              <w:pStyle w:val="TableParagraph"/>
              <w:spacing w:before="21"/>
              <w:ind w:left="45" w:right="45"/>
              <w:jc w:val="center"/>
              <w:rPr>
                <w:sz w:val="22"/>
              </w:rPr>
            </w:pPr>
            <w:r>
              <w:rPr>
                <w:sz w:val="22"/>
              </w:rPr>
              <w:t>180,21</w:t>
            </w:r>
          </w:p>
        </w:tc>
        <w:tc>
          <w:tcPr>
            <w:tcW w:w="475" w:type="dxa"/>
          </w:tcPr>
          <w:p>
            <w:pPr>
              <w:pStyle w:val="TableParagraph"/>
              <w:spacing w:before="21"/>
              <w:rPr>
                <w:sz w:val="22"/>
              </w:rPr>
            </w:pPr>
            <w:r>
              <w:rPr>
                <w:sz w:val="22"/>
              </w:rPr>
              <w:t>132</w:t>
            </w:r>
          </w:p>
        </w:tc>
        <w:tc>
          <w:tcPr>
            <w:tcW w:w="874" w:type="dxa"/>
          </w:tcPr>
          <w:p>
            <w:pPr>
              <w:pStyle w:val="TableParagraph"/>
              <w:spacing w:before="21"/>
              <w:ind w:left="55" w:right="44"/>
              <w:jc w:val="center"/>
              <w:rPr>
                <w:sz w:val="22"/>
              </w:rPr>
            </w:pPr>
            <w:r>
              <w:rPr>
                <w:sz w:val="22"/>
              </w:rPr>
              <w:t>74,7000</w:t>
            </w:r>
          </w:p>
        </w:tc>
        <w:tc>
          <w:tcPr>
            <w:tcW w:w="1006" w:type="dxa"/>
          </w:tcPr>
          <w:p>
            <w:pPr>
              <w:pStyle w:val="TableParagraph"/>
              <w:spacing w:before="21"/>
              <w:ind w:right="63"/>
              <w:rPr>
                <w:sz w:val="22"/>
              </w:rPr>
            </w:pPr>
            <w:r>
              <w:rPr>
                <w:sz w:val="22"/>
              </w:rPr>
              <w:t>95,6520</w:t>
            </w:r>
          </w:p>
        </w:tc>
        <w:tc>
          <w:tcPr>
            <w:tcW w:w="1262" w:type="dxa"/>
          </w:tcPr>
          <w:p>
            <w:pPr>
              <w:pStyle w:val="TableParagraph"/>
              <w:spacing w:before="21"/>
              <w:ind w:left="105" w:right="44"/>
              <w:jc w:val="center"/>
              <w:rPr>
                <w:sz w:val="22"/>
              </w:rPr>
            </w:pPr>
            <w:r>
              <w:rPr>
                <w:sz w:val="22"/>
              </w:rPr>
              <w:t>13461,6870</w:t>
            </w:r>
          </w:p>
        </w:tc>
        <w:tc>
          <w:tcPr>
            <w:tcW w:w="874" w:type="dxa"/>
          </w:tcPr>
          <w:p>
            <w:pPr>
              <w:pStyle w:val="TableParagraph"/>
              <w:spacing w:before="21"/>
              <w:rPr>
                <w:sz w:val="22"/>
              </w:rPr>
            </w:pPr>
            <w:r>
              <w:rPr>
                <w:sz w:val="22"/>
              </w:rPr>
              <w:t>9,7802</w:t>
            </w:r>
          </w:p>
        </w:tc>
        <w:tc>
          <w:tcPr>
            <w:tcW w:w="1262" w:type="dxa"/>
          </w:tcPr>
          <w:p>
            <w:pPr>
              <w:pStyle w:val="TableParagraph"/>
              <w:spacing w:before="21"/>
              <w:rPr>
                <w:sz w:val="22"/>
              </w:rPr>
            </w:pPr>
            <w:r>
              <w:rPr>
                <w:sz w:val="22"/>
              </w:rPr>
              <w:t>6288,4567</w:t>
            </w:r>
          </w:p>
        </w:tc>
        <w:tc>
          <w:tcPr>
            <w:tcW w:w="1380" w:type="dxa"/>
          </w:tcPr>
          <w:p>
            <w:pPr>
              <w:pStyle w:val="TableParagraph"/>
              <w:spacing w:before="21"/>
              <w:rPr>
                <w:sz w:val="22"/>
              </w:rPr>
            </w:pPr>
            <w:r>
              <w:rPr>
                <w:sz w:val="22"/>
              </w:rPr>
              <w:t>0,01301254</w:t>
            </w:r>
          </w:p>
        </w:tc>
      </w:tr>
      <w:tr>
        <w:trPr>
          <w:trHeight w:val="310" w:hRule="exact"/>
        </w:trPr>
        <w:tc>
          <w:tcPr>
            <w:tcW w:w="778" w:type="dxa"/>
          </w:tcPr>
          <w:p>
            <w:pPr>
              <w:pStyle w:val="TableParagraph"/>
              <w:spacing w:before="2"/>
              <w:ind w:right="1"/>
              <w:jc w:val="center"/>
              <w:rPr>
                <w:sz w:val="22"/>
              </w:rPr>
            </w:pPr>
            <w:r>
              <w:rPr>
                <w:w w:val="100"/>
                <w:sz w:val="22"/>
              </w:rPr>
              <w:t>N</w:t>
            </w:r>
          </w:p>
        </w:tc>
        <w:tc>
          <w:tcPr>
            <w:tcW w:w="754" w:type="dxa"/>
          </w:tcPr>
          <w:p>
            <w:pPr>
              <w:pStyle w:val="TableParagraph"/>
              <w:spacing w:before="19"/>
              <w:ind w:left="45" w:right="45"/>
              <w:jc w:val="center"/>
              <w:rPr>
                <w:sz w:val="22"/>
              </w:rPr>
            </w:pPr>
            <w:r>
              <w:rPr>
                <w:sz w:val="22"/>
              </w:rPr>
              <w:t>695,17</w:t>
            </w:r>
          </w:p>
        </w:tc>
        <w:tc>
          <w:tcPr>
            <w:tcW w:w="475" w:type="dxa"/>
          </w:tcPr>
          <w:p>
            <w:pPr/>
          </w:p>
        </w:tc>
        <w:tc>
          <w:tcPr>
            <w:tcW w:w="874" w:type="dxa"/>
          </w:tcPr>
          <w:p>
            <w:pPr/>
          </w:p>
        </w:tc>
        <w:tc>
          <w:tcPr>
            <w:tcW w:w="1006" w:type="dxa"/>
          </w:tcPr>
          <w:p>
            <w:pPr>
              <w:pStyle w:val="TableParagraph"/>
              <w:spacing w:line="302" w:lineRule="exact" w:before="0"/>
              <w:ind w:left="331"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62" w:type="dxa"/>
          </w:tcPr>
          <w:p>
            <w:pPr>
              <w:pStyle w:val="TableParagraph"/>
              <w:spacing w:before="19"/>
              <w:ind w:left="216" w:right="44"/>
              <w:jc w:val="center"/>
              <w:rPr>
                <w:sz w:val="22"/>
              </w:rPr>
            </w:pPr>
            <w:r>
              <w:rPr>
                <w:sz w:val="22"/>
              </w:rPr>
              <w:t>41104,270</w:t>
            </w:r>
          </w:p>
        </w:tc>
        <w:tc>
          <w:tcPr>
            <w:tcW w:w="874" w:type="dxa"/>
          </w:tcPr>
          <w:p>
            <w:pPr/>
          </w:p>
        </w:tc>
        <w:tc>
          <w:tcPr>
            <w:tcW w:w="1262" w:type="dxa"/>
          </w:tcPr>
          <w:p>
            <w:pPr>
              <w:pStyle w:val="TableParagraph"/>
              <w:spacing w:before="19"/>
              <w:rPr>
                <w:sz w:val="22"/>
              </w:rPr>
            </w:pPr>
            <w:r>
              <w:rPr>
                <w:sz w:val="22"/>
              </w:rPr>
              <w:t>13857,348</w:t>
            </w:r>
          </w:p>
        </w:tc>
        <w:tc>
          <w:tcPr>
            <w:tcW w:w="1380" w:type="dxa"/>
          </w:tcPr>
          <w:p>
            <w:pPr>
              <w:pStyle w:val="TableParagraph"/>
              <w:spacing w:before="19"/>
              <w:rPr>
                <w:sz w:val="22"/>
              </w:rPr>
            </w:pPr>
            <w:r>
              <w:rPr>
                <w:sz w:val="22"/>
              </w:rPr>
              <w:t>0,02867465</w:t>
            </w:r>
          </w:p>
        </w:tc>
      </w:tr>
      <w:tr>
        <w:trPr>
          <w:trHeight w:val="310" w:hRule="exact"/>
        </w:trPr>
        <w:tc>
          <w:tcPr>
            <w:tcW w:w="5148" w:type="dxa"/>
            <w:gridSpan w:val="6"/>
            <w:vMerge w:val="restart"/>
            <w:tcBorders>
              <w:left w:val="nil"/>
            </w:tcBorders>
          </w:tcPr>
          <w:p>
            <w:pPr/>
          </w:p>
        </w:tc>
        <w:tc>
          <w:tcPr>
            <w:tcW w:w="2136" w:type="dxa"/>
            <w:gridSpan w:val="2"/>
          </w:tcPr>
          <w:p>
            <w:pPr>
              <w:pStyle w:val="TableParagraph"/>
              <w:spacing w:before="2"/>
              <w:ind w:left="64" w:right="127"/>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80" w:type="dxa"/>
          </w:tcPr>
          <w:p>
            <w:pPr>
              <w:pStyle w:val="TableParagraph"/>
              <w:spacing w:before="19"/>
              <w:rPr>
                <w:b/>
                <w:sz w:val="22"/>
              </w:rPr>
            </w:pPr>
            <w:r>
              <w:rPr>
                <w:b/>
                <w:sz w:val="22"/>
              </w:rPr>
              <w:t>59,128</w:t>
            </w:r>
          </w:p>
        </w:tc>
      </w:tr>
      <w:tr>
        <w:trPr>
          <w:trHeight w:val="310" w:hRule="exact"/>
        </w:trPr>
        <w:tc>
          <w:tcPr>
            <w:tcW w:w="5148" w:type="dxa"/>
            <w:gridSpan w:val="6"/>
            <w:vMerge/>
            <w:tcBorders>
              <w:left w:val="nil"/>
            </w:tcBorders>
          </w:tcPr>
          <w:p>
            <w:pPr/>
          </w:p>
        </w:tc>
        <w:tc>
          <w:tcPr>
            <w:tcW w:w="2136" w:type="dxa"/>
            <w:gridSpan w:val="2"/>
          </w:tcPr>
          <w:p>
            <w:pPr>
              <w:pStyle w:val="TableParagraph"/>
              <w:spacing w:before="4"/>
              <w:ind w:left="64" w:right="127"/>
              <w:jc w:val="left"/>
              <w:rPr>
                <w:sz w:val="22"/>
              </w:rPr>
            </w:pPr>
            <w:r>
              <w:rPr>
                <w:sz w:val="22"/>
              </w:rPr>
              <w:t>Desviación estándar</w:t>
            </w:r>
          </w:p>
        </w:tc>
        <w:tc>
          <w:tcPr>
            <w:tcW w:w="1380" w:type="dxa"/>
          </w:tcPr>
          <w:p>
            <w:pPr>
              <w:pStyle w:val="TableParagraph"/>
              <w:spacing w:before="19"/>
              <w:rPr>
                <w:b/>
                <w:sz w:val="22"/>
              </w:rPr>
            </w:pPr>
            <w:r>
              <w:rPr>
                <w:b/>
                <w:sz w:val="22"/>
              </w:rPr>
              <w:t>0,169</w:t>
            </w:r>
          </w:p>
        </w:tc>
      </w:tr>
      <w:tr>
        <w:trPr>
          <w:trHeight w:val="310" w:hRule="exact"/>
        </w:trPr>
        <w:tc>
          <w:tcPr>
            <w:tcW w:w="5148" w:type="dxa"/>
            <w:gridSpan w:val="6"/>
            <w:vMerge/>
            <w:tcBorders>
              <w:left w:val="nil"/>
            </w:tcBorders>
          </w:tcPr>
          <w:p>
            <w:pPr/>
          </w:p>
        </w:tc>
        <w:tc>
          <w:tcPr>
            <w:tcW w:w="2136" w:type="dxa"/>
            <w:gridSpan w:val="2"/>
            <w:vMerge w:val="restart"/>
          </w:tcPr>
          <w:p>
            <w:pPr>
              <w:pStyle w:val="TableParagraph"/>
              <w:spacing w:before="23"/>
              <w:ind w:left="64" w:right="60"/>
              <w:jc w:val="left"/>
              <w:rPr>
                <w:sz w:val="22"/>
              </w:rPr>
            </w:pPr>
            <w:r>
              <w:rPr>
                <w:sz w:val="22"/>
              </w:rPr>
              <w:t>Intervalo de confianza al 95 %</w:t>
            </w:r>
          </w:p>
        </w:tc>
        <w:tc>
          <w:tcPr>
            <w:tcW w:w="1380" w:type="dxa"/>
          </w:tcPr>
          <w:p>
            <w:pPr>
              <w:pStyle w:val="TableParagraph"/>
              <w:spacing w:before="19"/>
              <w:rPr>
                <w:sz w:val="22"/>
              </w:rPr>
            </w:pPr>
            <w:r>
              <w:rPr>
                <w:sz w:val="22"/>
              </w:rPr>
              <w:t>58,80</w:t>
            </w:r>
          </w:p>
        </w:tc>
      </w:tr>
      <w:tr>
        <w:trPr>
          <w:trHeight w:val="310" w:hRule="exact"/>
        </w:trPr>
        <w:tc>
          <w:tcPr>
            <w:tcW w:w="5148" w:type="dxa"/>
            <w:gridSpan w:val="6"/>
            <w:vMerge/>
            <w:tcBorders>
              <w:left w:val="nil"/>
              <w:bottom w:val="nil"/>
            </w:tcBorders>
          </w:tcPr>
          <w:p>
            <w:pPr/>
          </w:p>
        </w:tc>
        <w:tc>
          <w:tcPr>
            <w:tcW w:w="2136" w:type="dxa"/>
            <w:gridSpan w:val="2"/>
            <w:vMerge/>
          </w:tcPr>
          <w:p>
            <w:pPr/>
          </w:p>
        </w:tc>
        <w:tc>
          <w:tcPr>
            <w:tcW w:w="1380" w:type="dxa"/>
          </w:tcPr>
          <w:p>
            <w:pPr>
              <w:pStyle w:val="TableParagraph"/>
              <w:spacing w:before="19"/>
              <w:rPr>
                <w:sz w:val="22"/>
              </w:rPr>
            </w:pPr>
            <w:r>
              <w:rPr>
                <w:sz w:val="22"/>
              </w:rPr>
              <w:t>59,46</w:t>
            </w:r>
          </w:p>
        </w:tc>
      </w:tr>
    </w:tbl>
    <w:p>
      <w:pPr>
        <w:pStyle w:val="BodyText"/>
        <w:spacing w:before="5"/>
        <w:rPr>
          <w:b/>
          <w:sz w:val="2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874"/>
        <w:gridCol w:w="1006"/>
        <w:gridCol w:w="1262"/>
        <w:gridCol w:w="874"/>
        <w:gridCol w:w="1262"/>
        <w:gridCol w:w="1380"/>
      </w:tblGrid>
      <w:tr>
        <w:trPr>
          <w:trHeight w:val="310" w:hRule="exact"/>
        </w:trPr>
        <w:tc>
          <w:tcPr>
            <w:tcW w:w="8664" w:type="dxa"/>
            <w:gridSpan w:val="9"/>
          </w:tcPr>
          <w:p>
            <w:pPr>
              <w:pStyle w:val="TableParagraph"/>
              <w:ind w:left="3357" w:right="3355"/>
              <w:jc w:val="center"/>
              <w:rPr>
                <w:sz w:val="22"/>
              </w:rPr>
            </w:pPr>
            <w:r>
              <w:rPr>
                <w:sz w:val="22"/>
              </w:rPr>
              <w:t>Punto de muestreo B</w:t>
            </w:r>
          </w:p>
        </w:tc>
      </w:tr>
      <w:tr>
        <w:trPr>
          <w:trHeight w:val="310" w:hRule="exact"/>
        </w:trPr>
        <w:tc>
          <w:tcPr>
            <w:tcW w:w="778" w:type="dxa"/>
          </w:tcPr>
          <w:p>
            <w:pPr>
              <w:pStyle w:val="TableParagraph"/>
              <w:spacing w:before="11"/>
              <w:ind w:left="44" w:right="43"/>
              <w:jc w:val="center"/>
              <w:rPr>
                <w:sz w:val="22"/>
              </w:rPr>
            </w:pPr>
            <w:r>
              <w:rPr>
                <w:sz w:val="22"/>
              </w:rPr>
              <w:t>Estrato</w:t>
            </w:r>
          </w:p>
        </w:tc>
        <w:tc>
          <w:tcPr>
            <w:tcW w:w="754" w:type="dxa"/>
          </w:tcPr>
          <w:p>
            <w:pPr>
              <w:pStyle w:val="TableParagraph"/>
              <w:spacing w:before="40"/>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right="123"/>
              <w:rPr>
                <w:rFonts w:ascii="Cambria Math"/>
                <w:sz w:val="16"/>
              </w:rPr>
            </w:pPr>
            <w:r>
              <w:rPr>
                <w:rFonts w:ascii="Cambria Math"/>
                <w:w w:val="105"/>
                <w:sz w:val="22"/>
              </w:rPr>
              <w:t>n</w:t>
            </w:r>
            <w:r>
              <w:rPr>
                <w:rFonts w:ascii="Cambria Math"/>
                <w:w w:val="105"/>
                <w:position w:val="-4"/>
                <w:sz w:val="16"/>
              </w:rPr>
              <w:t>h</w:t>
            </w:r>
          </w:p>
        </w:tc>
        <w:tc>
          <w:tcPr>
            <w:tcW w:w="874" w:type="dxa"/>
          </w:tcPr>
          <w:p>
            <w:pPr>
              <w:pStyle w:val="TableParagraph"/>
              <w:spacing w:before="40"/>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06" w:type="dxa"/>
          </w:tcPr>
          <w:p>
            <w:pPr>
              <w:pStyle w:val="TableParagraph"/>
              <w:spacing w:line="214" w:lineRule="exact" w:before="6"/>
              <w:ind w:left="376" w:right="38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262" w:type="dxa"/>
          </w:tcPr>
          <w:p>
            <w:pPr>
              <w:pStyle w:val="TableParagraph"/>
              <w:spacing w:before="16"/>
              <w:ind w:left="29"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74" w:type="dxa"/>
          </w:tcPr>
          <w:p>
            <w:pPr>
              <w:pStyle w:val="TableParagraph"/>
              <w:spacing w:before="40"/>
              <w:ind w:left="33" w:right="44"/>
              <w:jc w:val="center"/>
              <w:rPr>
                <w:rFonts w:ascii="Cambria Math"/>
                <w:sz w:val="16"/>
              </w:rPr>
            </w:pPr>
            <w:r>
              <w:rPr>
                <w:rFonts w:ascii="Cambria Math"/>
                <w:w w:val="110"/>
                <w:sz w:val="22"/>
              </w:rPr>
              <w:t>s</w:t>
            </w:r>
            <w:r>
              <w:rPr>
                <w:rFonts w:ascii="Cambria Math"/>
                <w:w w:val="110"/>
                <w:position w:val="-4"/>
                <w:sz w:val="16"/>
              </w:rPr>
              <w:t>h</w:t>
            </w:r>
          </w:p>
        </w:tc>
        <w:tc>
          <w:tcPr>
            <w:tcW w:w="1262" w:type="dxa"/>
          </w:tcPr>
          <w:p>
            <w:pPr>
              <w:pStyle w:val="TableParagraph"/>
              <w:spacing w:before="0"/>
              <w:ind w:left="29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380" w:type="dxa"/>
          </w:tcPr>
          <w:p>
            <w:pPr>
              <w:pStyle w:val="TableParagraph"/>
              <w:spacing w:before="0"/>
              <w:ind w:left="33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spacing w:before="13"/>
              <w:ind w:left="1" w:right="0"/>
              <w:jc w:val="center"/>
              <w:rPr>
                <w:sz w:val="22"/>
              </w:rPr>
            </w:pPr>
            <w:r>
              <w:rPr>
                <w:w w:val="100"/>
                <w:sz w:val="22"/>
              </w:rPr>
              <w:t>1</w:t>
            </w:r>
          </w:p>
        </w:tc>
        <w:tc>
          <w:tcPr>
            <w:tcW w:w="754" w:type="dxa"/>
          </w:tcPr>
          <w:p>
            <w:pPr>
              <w:pStyle w:val="TableParagraph"/>
              <w:ind w:left="45" w:right="45"/>
              <w:jc w:val="center"/>
              <w:rPr>
                <w:sz w:val="22"/>
              </w:rPr>
            </w:pPr>
            <w:r>
              <w:rPr>
                <w:sz w:val="22"/>
              </w:rPr>
              <w:t>108,60</w:t>
            </w:r>
          </w:p>
        </w:tc>
        <w:tc>
          <w:tcPr>
            <w:tcW w:w="475" w:type="dxa"/>
          </w:tcPr>
          <w:p>
            <w:pPr>
              <w:pStyle w:val="TableParagraph"/>
              <w:rPr>
                <w:sz w:val="22"/>
              </w:rPr>
            </w:pPr>
            <w:r>
              <w:rPr>
                <w:sz w:val="22"/>
              </w:rPr>
              <w:t>108</w:t>
            </w:r>
          </w:p>
        </w:tc>
        <w:tc>
          <w:tcPr>
            <w:tcW w:w="874" w:type="dxa"/>
          </w:tcPr>
          <w:p>
            <w:pPr>
              <w:pStyle w:val="TableParagraph"/>
              <w:ind w:left="55" w:right="44"/>
              <w:jc w:val="center"/>
              <w:rPr>
                <w:sz w:val="22"/>
              </w:rPr>
            </w:pPr>
            <w:r>
              <w:rPr>
                <w:sz w:val="22"/>
              </w:rPr>
              <w:t>46,3600</w:t>
            </w:r>
          </w:p>
        </w:tc>
        <w:tc>
          <w:tcPr>
            <w:tcW w:w="1006" w:type="dxa"/>
          </w:tcPr>
          <w:p>
            <w:pPr>
              <w:pStyle w:val="TableParagraph"/>
              <w:ind w:right="63"/>
              <w:rPr>
                <w:sz w:val="22"/>
              </w:rPr>
            </w:pPr>
            <w:r>
              <w:rPr>
                <w:sz w:val="22"/>
              </w:rPr>
              <w:t>170,0330</w:t>
            </w:r>
          </w:p>
        </w:tc>
        <w:tc>
          <w:tcPr>
            <w:tcW w:w="1262" w:type="dxa"/>
          </w:tcPr>
          <w:p>
            <w:pPr>
              <w:pStyle w:val="TableParagraph"/>
              <w:ind w:left="215" w:right="44"/>
              <w:jc w:val="center"/>
              <w:rPr>
                <w:sz w:val="22"/>
              </w:rPr>
            </w:pPr>
            <w:r>
              <w:rPr>
                <w:sz w:val="22"/>
              </w:rPr>
              <w:t>5034,6960</w:t>
            </w:r>
          </w:p>
        </w:tc>
        <w:tc>
          <w:tcPr>
            <w:tcW w:w="874" w:type="dxa"/>
          </w:tcPr>
          <w:p>
            <w:pPr>
              <w:pStyle w:val="TableParagraph"/>
              <w:rPr>
                <w:sz w:val="22"/>
              </w:rPr>
            </w:pPr>
            <w:r>
              <w:rPr>
                <w:sz w:val="22"/>
              </w:rPr>
              <w:t>13,0397</w:t>
            </w:r>
          </w:p>
        </w:tc>
        <w:tc>
          <w:tcPr>
            <w:tcW w:w="1262" w:type="dxa"/>
          </w:tcPr>
          <w:p>
            <w:pPr>
              <w:pStyle w:val="TableParagraph"/>
              <w:rPr>
                <w:sz w:val="22"/>
              </w:rPr>
            </w:pPr>
            <w:r>
              <w:rPr>
                <w:sz w:val="22"/>
              </w:rPr>
              <w:t>-6207,8674</w:t>
            </w:r>
          </w:p>
        </w:tc>
        <w:tc>
          <w:tcPr>
            <w:tcW w:w="1380" w:type="dxa"/>
          </w:tcPr>
          <w:p>
            <w:pPr>
              <w:pStyle w:val="TableParagraph"/>
              <w:rPr>
                <w:sz w:val="22"/>
              </w:rPr>
            </w:pPr>
            <w:r>
              <w:rPr>
                <w:sz w:val="22"/>
              </w:rPr>
              <w:t>-0,01284578</w:t>
            </w:r>
          </w:p>
        </w:tc>
      </w:tr>
      <w:tr>
        <w:trPr>
          <w:trHeight w:val="310" w:hRule="exact"/>
        </w:trPr>
        <w:tc>
          <w:tcPr>
            <w:tcW w:w="778" w:type="dxa"/>
          </w:tcPr>
          <w:p>
            <w:pPr>
              <w:pStyle w:val="TableParagraph"/>
              <w:spacing w:before="13"/>
              <w:ind w:left="1" w:right="0"/>
              <w:jc w:val="center"/>
              <w:rPr>
                <w:sz w:val="22"/>
              </w:rPr>
            </w:pPr>
            <w:r>
              <w:rPr>
                <w:w w:val="100"/>
                <w:sz w:val="22"/>
              </w:rPr>
              <w:t>2</w:t>
            </w:r>
          </w:p>
        </w:tc>
        <w:tc>
          <w:tcPr>
            <w:tcW w:w="754" w:type="dxa"/>
          </w:tcPr>
          <w:p>
            <w:pPr>
              <w:pStyle w:val="TableParagraph"/>
              <w:ind w:left="45" w:right="45"/>
              <w:jc w:val="center"/>
              <w:rPr>
                <w:sz w:val="22"/>
              </w:rPr>
            </w:pPr>
            <w:r>
              <w:rPr>
                <w:sz w:val="22"/>
              </w:rPr>
              <w:t>121,03</w:t>
            </w:r>
          </w:p>
        </w:tc>
        <w:tc>
          <w:tcPr>
            <w:tcW w:w="475" w:type="dxa"/>
          </w:tcPr>
          <w:p>
            <w:pPr>
              <w:pStyle w:val="TableParagraph"/>
              <w:rPr>
                <w:sz w:val="22"/>
              </w:rPr>
            </w:pPr>
            <w:r>
              <w:rPr>
                <w:sz w:val="22"/>
              </w:rPr>
              <w:t>81</w:t>
            </w:r>
          </w:p>
        </w:tc>
        <w:tc>
          <w:tcPr>
            <w:tcW w:w="874" w:type="dxa"/>
          </w:tcPr>
          <w:p>
            <w:pPr>
              <w:pStyle w:val="TableParagraph"/>
              <w:ind w:left="55" w:right="44"/>
              <w:jc w:val="center"/>
              <w:rPr>
                <w:sz w:val="22"/>
              </w:rPr>
            </w:pPr>
            <w:r>
              <w:rPr>
                <w:sz w:val="22"/>
              </w:rPr>
              <w:t>37,6800</w:t>
            </w:r>
          </w:p>
        </w:tc>
        <w:tc>
          <w:tcPr>
            <w:tcW w:w="1006" w:type="dxa"/>
          </w:tcPr>
          <w:p>
            <w:pPr>
              <w:pStyle w:val="TableParagraph"/>
              <w:ind w:right="63"/>
              <w:rPr>
                <w:sz w:val="22"/>
              </w:rPr>
            </w:pPr>
            <w:r>
              <w:rPr>
                <w:sz w:val="22"/>
              </w:rPr>
              <w:t>43,9970</w:t>
            </w:r>
          </w:p>
        </w:tc>
        <w:tc>
          <w:tcPr>
            <w:tcW w:w="1262" w:type="dxa"/>
          </w:tcPr>
          <w:p>
            <w:pPr>
              <w:pStyle w:val="TableParagraph"/>
              <w:ind w:left="215" w:right="44"/>
              <w:jc w:val="center"/>
              <w:rPr>
                <w:sz w:val="22"/>
              </w:rPr>
            </w:pPr>
            <w:r>
              <w:rPr>
                <w:sz w:val="22"/>
              </w:rPr>
              <w:t>4560,4104</w:t>
            </w:r>
          </w:p>
        </w:tc>
        <w:tc>
          <w:tcPr>
            <w:tcW w:w="874" w:type="dxa"/>
          </w:tcPr>
          <w:p>
            <w:pPr>
              <w:pStyle w:val="TableParagraph"/>
              <w:rPr>
                <w:sz w:val="22"/>
              </w:rPr>
            </w:pPr>
            <w:r>
              <w:rPr>
                <w:sz w:val="22"/>
              </w:rPr>
              <w:t>6,6330</w:t>
            </w:r>
          </w:p>
        </w:tc>
        <w:tc>
          <w:tcPr>
            <w:tcW w:w="1262" w:type="dxa"/>
          </w:tcPr>
          <w:p>
            <w:pPr>
              <w:pStyle w:val="TableParagraph"/>
              <w:rPr>
                <w:sz w:val="22"/>
              </w:rPr>
            </w:pPr>
            <w:r>
              <w:rPr>
                <w:sz w:val="22"/>
              </w:rPr>
              <w:t>2635,5117</w:t>
            </w:r>
          </w:p>
        </w:tc>
        <w:tc>
          <w:tcPr>
            <w:tcW w:w="1380" w:type="dxa"/>
          </w:tcPr>
          <w:p>
            <w:pPr>
              <w:pStyle w:val="TableParagraph"/>
              <w:rPr>
                <w:sz w:val="22"/>
              </w:rPr>
            </w:pPr>
            <w:r>
              <w:rPr>
                <w:sz w:val="22"/>
              </w:rPr>
              <w:t>0,0054536</w:t>
            </w:r>
          </w:p>
        </w:tc>
      </w:tr>
      <w:tr>
        <w:trPr>
          <w:trHeight w:val="310" w:hRule="exact"/>
        </w:trPr>
        <w:tc>
          <w:tcPr>
            <w:tcW w:w="778" w:type="dxa"/>
          </w:tcPr>
          <w:p>
            <w:pPr>
              <w:pStyle w:val="TableParagraph"/>
              <w:spacing w:before="13"/>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874" w:type="dxa"/>
          </w:tcPr>
          <w:p>
            <w:pPr>
              <w:pStyle w:val="TableParagraph"/>
              <w:ind w:left="55" w:right="44"/>
              <w:jc w:val="center"/>
              <w:rPr>
                <w:sz w:val="22"/>
              </w:rPr>
            </w:pPr>
            <w:r>
              <w:rPr>
                <w:sz w:val="22"/>
              </w:rPr>
              <w:t>51,1600</w:t>
            </w:r>
          </w:p>
        </w:tc>
        <w:tc>
          <w:tcPr>
            <w:tcW w:w="1006" w:type="dxa"/>
          </w:tcPr>
          <w:p>
            <w:pPr>
              <w:pStyle w:val="TableParagraph"/>
              <w:ind w:right="63"/>
              <w:rPr>
                <w:sz w:val="22"/>
              </w:rPr>
            </w:pPr>
            <w:r>
              <w:rPr>
                <w:sz w:val="22"/>
              </w:rPr>
              <w:t>71,6680</w:t>
            </w:r>
          </w:p>
        </w:tc>
        <w:tc>
          <w:tcPr>
            <w:tcW w:w="1262" w:type="dxa"/>
          </w:tcPr>
          <w:p>
            <w:pPr>
              <w:pStyle w:val="TableParagraph"/>
              <w:ind w:left="215" w:right="44"/>
              <w:jc w:val="center"/>
              <w:rPr>
                <w:sz w:val="22"/>
              </w:rPr>
            </w:pPr>
            <w:r>
              <w:rPr>
                <w:sz w:val="22"/>
              </w:rPr>
              <w:t>6661,5436</w:t>
            </w:r>
          </w:p>
        </w:tc>
        <w:tc>
          <w:tcPr>
            <w:tcW w:w="874" w:type="dxa"/>
          </w:tcPr>
          <w:p>
            <w:pPr>
              <w:pStyle w:val="TableParagraph"/>
              <w:rPr>
                <w:sz w:val="22"/>
              </w:rPr>
            </w:pPr>
            <w:r>
              <w:rPr>
                <w:sz w:val="22"/>
              </w:rPr>
              <w:t>8,4657</w:t>
            </w:r>
          </w:p>
        </w:tc>
        <w:tc>
          <w:tcPr>
            <w:tcW w:w="1262" w:type="dxa"/>
          </w:tcPr>
          <w:p>
            <w:pPr>
              <w:pStyle w:val="TableParagraph"/>
              <w:rPr>
                <w:sz w:val="22"/>
              </w:rPr>
            </w:pPr>
            <w:r>
              <w:rPr>
                <w:sz w:val="22"/>
              </w:rPr>
              <w:t>6543,5400</w:t>
            </w:r>
          </w:p>
        </w:tc>
        <w:tc>
          <w:tcPr>
            <w:tcW w:w="1380" w:type="dxa"/>
          </w:tcPr>
          <w:p>
            <w:pPr>
              <w:pStyle w:val="TableParagraph"/>
              <w:rPr>
                <w:sz w:val="22"/>
              </w:rPr>
            </w:pPr>
            <w:r>
              <w:rPr>
                <w:sz w:val="22"/>
              </w:rPr>
              <w:t>0,01354038</w:t>
            </w:r>
          </w:p>
        </w:tc>
      </w:tr>
      <w:tr>
        <w:trPr>
          <w:trHeight w:val="312" w:hRule="exact"/>
        </w:trPr>
        <w:tc>
          <w:tcPr>
            <w:tcW w:w="778" w:type="dxa"/>
          </w:tcPr>
          <w:p>
            <w:pPr>
              <w:pStyle w:val="TableParagraph"/>
              <w:spacing w:before="13"/>
              <w:ind w:left="1" w:right="0"/>
              <w:jc w:val="center"/>
              <w:rPr>
                <w:sz w:val="22"/>
              </w:rPr>
            </w:pPr>
            <w:r>
              <w:rPr>
                <w:w w:val="100"/>
                <w:sz w:val="22"/>
              </w:rPr>
              <w:t>4</w:t>
            </w:r>
          </w:p>
        </w:tc>
        <w:tc>
          <w:tcPr>
            <w:tcW w:w="754" w:type="dxa"/>
          </w:tcPr>
          <w:p>
            <w:pPr>
              <w:pStyle w:val="TableParagraph"/>
              <w:spacing w:before="30"/>
              <w:ind w:left="45" w:right="45"/>
              <w:jc w:val="center"/>
              <w:rPr>
                <w:sz w:val="22"/>
              </w:rPr>
            </w:pPr>
            <w:r>
              <w:rPr>
                <w:sz w:val="22"/>
              </w:rPr>
              <w:t>155,12</w:t>
            </w:r>
          </w:p>
        </w:tc>
        <w:tc>
          <w:tcPr>
            <w:tcW w:w="475" w:type="dxa"/>
          </w:tcPr>
          <w:p>
            <w:pPr>
              <w:pStyle w:val="TableParagraph"/>
              <w:spacing w:before="30"/>
              <w:rPr>
                <w:sz w:val="22"/>
              </w:rPr>
            </w:pPr>
            <w:r>
              <w:rPr>
                <w:sz w:val="22"/>
              </w:rPr>
              <w:t>92</w:t>
            </w:r>
          </w:p>
        </w:tc>
        <w:tc>
          <w:tcPr>
            <w:tcW w:w="874" w:type="dxa"/>
          </w:tcPr>
          <w:p>
            <w:pPr>
              <w:pStyle w:val="TableParagraph"/>
              <w:spacing w:before="30"/>
              <w:ind w:left="55" w:right="44"/>
              <w:jc w:val="center"/>
              <w:rPr>
                <w:sz w:val="22"/>
              </w:rPr>
            </w:pPr>
            <w:r>
              <w:rPr>
                <w:sz w:val="22"/>
              </w:rPr>
              <w:t>72,3600</w:t>
            </w:r>
          </w:p>
        </w:tc>
        <w:tc>
          <w:tcPr>
            <w:tcW w:w="1006" w:type="dxa"/>
          </w:tcPr>
          <w:p>
            <w:pPr>
              <w:pStyle w:val="TableParagraph"/>
              <w:spacing w:before="30"/>
              <w:ind w:right="63"/>
              <w:rPr>
                <w:sz w:val="22"/>
              </w:rPr>
            </w:pPr>
            <w:r>
              <w:rPr>
                <w:sz w:val="22"/>
              </w:rPr>
              <w:t>81,1630</w:t>
            </w:r>
          </w:p>
        </w:tc>
        <w:tc>
          <w:tcPr>
            <w:tcW w:w="1262" w:type="dxa"/>
          </w:tcPr>
          <w:p>
            <w:pPr>
              <w:pStyle w:val="TableParagraph"/>
              <w:spacing w:before="30"/>
              <w:ind w:left="105" w:right="44"/>
              <w:jc w:val="center"/>
              <w:rPr>
                <w:sz w:val="22"/>
              </w:rPr>
            </w:pPr>
            <w:r>
              <w:rPr>
                <w:sz w:val="22"/>
              </w:rPr>
              <w:t>11224,4832</w:t>
            </w:r>
          </w:p>
        </w:tc>
        <w:tc>
          <w:tcPr>
            <w:tcW w:w="874" w:type="dxa"/>
          </w:tcPr>
          <w:p>
            <w:pPr>
              <w:pStyle w:val="TableParagraph"/>
              <w:spacing w:before="30"/>
              <w:rPr>
                <w:sz w:val="22"/>
              </w:rPr>
            </w:pPr>
            <w:r>
              <w:rPr>
                <w:sz w:val="22"/>
              </w:rPr>
              <w:t>9,0091</w:t>
            </w:r>
          </w:p>
        </w:tc>
        <w:tc>
          <w:tcPr>
            <w:tcW w:w="1262" w:type="dxa"/>
          </w:tcPr>
          <w:p>
            <w:pPr>
              <w:pStyle w:val="TableParagraph"/>
              <w:spacing w:before="30"/>
              <w:rPr>
                <w:sz w:val="22"/>
              </w:rPr>
            </w:pPr>
            <w:r>
              <w:rPr>
                <w:sz w:val="22"/>
              </w:rPr>
              <w:t>8681,7687</w:t>
            </w:r>
          </w:p>
        </w:tc>
        <w:tc>
          <w:tcPr>
            <w:tcW w:w="1380" w:type="dxa"/>
          </w:tcPr>
          <w:p>
            <w:pPr>
              <w:pStyle w:val="TableParagraph"/>
              <w:spacing w:before="30"/>
              <w:rPr>
                <w:sz w:val="22"/>
              </w:rPr>
            </w:pPr>
            <w:r>
              <w:rPr>
                <w:sz w:val="22"/>
              </w:rPr>
              <w:t>0,01796496</w:t>
            </w:r>
          </w:p>
        </w:tc>
      </w:tr>
      <w:tr>
        <w:trPr>
          <w:trHeight w:val="310" w:hRule="exact"/>
        </w:trPr>
        <w:tc>
          <w:tcPr>
            <w:tcW w:w="778" w:type="dxa"/>
          </w:tcPr>
          <w:p>
            <w:pPr>
              <w:pStyle w:val="TableParagraph"/>
              <w:spacing w:before="11"/>
              <w:ind w:left="1" w:right="0"/>
              <w:jc w:val="center"/>
              <w:rPr>
                <w:sz w:val="22"/>
              </w:rPr>
            </w:pPr>
            <w:r>
              <w:rPr>
                <w:w w:val="100"/>
                <w:sz w:val="22"/>
              </w:rPr>
              <w:t>5</w:t>
            </w:r>
          </w:p>
        </w:tc>
        <w:tc>
          <w:tcPr>
            <w:tcW w:w="754" w:type="dxa"/>
          </w:tcPr>
          <w:p>
            <w:pPr>
              <w:pStyle w:val="TableParagraph"/>
              <w:ind w:left="45" w:right="45"/>
              <w:jc w:val="center"/>
              <w:rPr>
                <w:sz w:val="22"/>
              </w:rPr>
            </w:pPr>
            <w:r>
              <w:rPr>
                <w:sz w:val="22"/>
              </w:rPr>
              <w:t>180,21</w:t>
            </w:r>
          </w:p>
        </w:tc>
        <w:tc>
          <w:tcPr>
            <w:tcW w:w="475" w:type="dxa"/>
          </w:tcPr>
          <w:p>
            <w:pPr>
              <w:pStyle w:val="TableParagraph"/>
              <w:rPr>
                <w:sz w:val="22"/>
              </w:rPr>
            </w:pPr>
            <w:r>
              <w:rPr>
                <w:sz w:val="22"/>
              </w:rPr>
              <w:t>132</w:t>
            </w:r>
          </w:p>
        </w:tc>
        <w:tc>
          <w:tcPr>
            <w:tcW w:w="874" w:type="dxa"/>
          </w:tcPr>
          <w:p>
            <w:pPr>
              <w:pStyle w:val="TableParagraph"/>
              <w:ind w:left="55" w:right="44"/>
              <w:jc w:val="center"/>
              <w:rPr>
                <w:sz w:val="22"/>
              </w:rPr>
            </w:pPr>
            <w:r>
              <w:rPr>
                <w:sz w:val="22"/>
              </w:rPr>
              <w:t>71,7500</w:t>
            </w:r>
          </w:p>
        </w:tc>
        <w:tc>
          <w:tcPr>
            <w:tcW w:w="1006" w:type="dxa"/>
          </w:tcPr>
          <w:p>
            <w:pPr>
              <w:pStyle w:val="TableParagraph"/>
              <w:ind w:right="63"/>
              <w:rPr>
                <w:sz w:val="22"/>
              </w:rPr>
            </w:pPr>
            <w:r>
              <w:rPr>
                <w:sz w:val="22"/>
              </w:rPr>
              <w:t>80,8470</w:t>
            </w:r>
          </w:p>
        </w:tc>
        <w:tc>
          <w:tcPr>
            <w:tcW w:w="1262" w:type="dxa"/>
          </w:tcPr>
          <w:p>
            <w:pPr>
              <w:pStyle w:val="TableParagraph"/>
              <w:ind w:left="105" w:right="44"/>
              <w:jc w:val="center"/>
              <w:rPr>
                <w:sz w:val="22"/>
              </w:rPr>
            </w:pPr>
            <w:r>
              <w:rPr>
                <w:sz w:val="22"/>
              </w:rPr>
              <w:t>12930,0675</w:t>
            </w:r>
          </w:p>
        </w:tc>
        <w:tc>
          <w:tcPr>
            <w:tcW w:w="874" w:type="dxa"/>
          </w:tcPr>
          <w:p>
            <w:pPr>
              <w:pStyle w:val="TableParagraph"/>
              <w:rPr>
                <w:sz w:val="22"/>
              </w:rPr>
            </w:pPr>
            <w:r>
              <w:rPr>
                <w:sz w:val="22"/>
              </w:rPr>
              <w:t>8,9915</w:t>
            </w:r>
          </w:p>
        </w:tc>
        <w:tc>
          <w:tcPr>
            <w:tcW w:w="1262" w:type="dxa"/>
          </w:tcPr>
          <w:p>
            <w:pPr>
              <w:pStyle w:val="TableParagraph"/>
              <w:rPr>
                <w:sz w:val="22"/>
              </w:rPr>
            </w:pPr>
            <w:r>
              <w:rPr>
                <w:sz w:val="22"/>
              </w:rPr>
              <w:t>5315,1304</w:t>
            </w:r>
          </w:p>
        </w:tc>
        <w:tc>
          <w:tcPr>
            <w:tcW w:w="1380" w:type="dxa"/>
          </w:tcPr>
          <w:p>
            <w:pPr>
              <w:pStyle w:val="TableParagraph"/>
              <w:rPr>
                <w:sz w:val="22"/>
              </w:rPr>
            </w:pPr>
            <w:r>
              <w:rPr>
                <w:sz w:val="22"/>
              </w:rPr>
              <w:t>0,01099846</w:t>
            </w:r>
          </w:p>
        </w:tc>
      </w:tr>
      <w:tr>
        <w:trPr>
          <w:trHeight w:val="310" w:hRule="exact"/>
        </w:trPr>
        <w:tc>
          <w:tcPr>
            <w:tcW w:w="778" w:type="dxa"/>
          </w:tcPr>
          <w:p>
            <w:pPr>
              <w:pStyle w:val="TableParagraph"/>
              <w:spacing w:before="11"/>
              <w:ind w:right="1"/>
              <w:jc w:val="center"/>
              <w:rPr>
                <w:sz w:val="22"/>
              </w:rPr>
            </w:pPr>
            <w:r>
              <w:rPr>
                <w:w w:val="100"/>
                <w:sz w:val="22"/>
              </w:rPr>
              <w:t>N</w:t>
            </w:r>
          </w:p>
        </w:tc>
        <w:tc>
          <w:tcPr>
            <w:tcW w:w="754" w:type="dxa"/>
          </w:tcPr>
          <w:p>
            <w:pPr>
              <w:pStyle w:val="TableParagraph"/>
              <w:ind w:left="45" w:right="45"/>
              <w:jc w:val="center"/>
              <w:rPr>
                <w:sz w:val="22"/>
              </w:rPr>
            </w:pPr>
            <w:r>
              <w:rPr>
                <w:sz w:val="22"/>
              </w:rPr>
              <w:t>695,17</w:t>
            </w:r>
          </w:p>
        </w:tc>
        <w:tc>
          <w:tcPr>
            <w:tcW w:w="475" w:type="dxa"/>
          </w:tcPr>
          <w:p>
            <w:pPr/>
          </w:p>
        </w:tc>
        <w:tc>
          <w:tcPr>
            <w:tcW w:w="874" w:type="dxa"/>
          </w:tcPr>
          <w:p>
            <w:pPr/>
          </w:p>
        </w:tc>
        <w:tc>
          <w:tcPr>
            <w:tcW w:w="1006" w:type="dxa"/>
          </w:tcPr>
          <w:p>
            <w:pPr>
              <w:pStyle w:val="TableParagraph"/>
              <w:spacing w:line="312" w:lineRule="exact" w:before="0"/>
              <w:ind w:left="331"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62" w:type="dxa"/>
          </w:tcPr>
          <w:p>
            <w:pPr>
              <w:pStyle w:val="TableParagraph"/>
              <w:ind w:left="105" w:right="44"/>
              <w:jc w:val="center"/>
              <w:rPr>
                <w:sz w:val="22"/>
              </w:rPr>
            </w:pPr>
            <w:r>
              <w:rPr>
                <w:sz w:val="22"/>
              </w:rPr>
              <w:t>40411,2007</w:t>
            </w:r>
          </w:p>
        </w:tc>
        <w:tc>
          <w:tcPr>
            <w:tcW w:w="874" w:type="dxa"/>
          </w:tcPr>
          <w:p>
            <w:pPr/>
          </w:p>
        </w:tc>
        <w:tc>
          <w:tcPr>
            <w:tcW w:w="1262" w:type="dxa"/>
          </w:tcPr>
          <w:p>
            <w:pPr>
              <w:pStyle w:val="TableParagraph"/>
              <w:rPr>
                <w:sz w:val="22"/>
              </w:rPr>
            </w:pPr>
            <w:r>
              <w:rPr>
                <w:sz w:val="22"/>
              </w:rPr>
              <w:t>16968,0834</w:t>
            </w:r>
          </w:p>
        </w:tc>
        <w:tc>
          <w:tcPr>
            <w:tcW w:w="1380" w:type="dxa"/>
          </w:tcPr>
          <w:p>
            <w:pPr>
              <w:pStyle w:val="TableParagraph"/>
              <w:rPr>
                <w:sz w:val="22"/>
              </w:rPr>
            </w:pPr>
            <w:r>
              <w:rPr>
                <w:sz w:val="22"/>
              </w:rPr>
              <w:t>0,03511161</w:t>
            </w:r>
          </w:p>
        </w:tc>
      </w:tr>
      <w:tr>
        <w:trPr>
          <w:trHeight w:val="310" w:hRule="exact"/>
        </w:trPr>
        <w:tc>
          <w:tcPr>
            <w:tcW w:w="5148" w:type="dxa"/>
            <w:gridSpan w:val="6"/>
            <w:vMerge w:val="restart"/>
            <w:tcBorders>
              <w:left w:val="nil"/>
            </w:tcBorders>
          </w:tcPr>
          <w:p>
            <w:pPr/>
          </w:p>
        </w:tc>
        <w:tc>
          <w:tcPr>
            <w:tcW w:w="2136" w:type="dxa"/>
            <w:gridSpan w:val="2"/>
          </w:tcPr>
          <w:p>
            <w:pPr>
              <w:pStyle w:val="TableParagraph"/>
              <w:spacing w:before="13"/>
              <w:ind w:left="64" w:right="127"/>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80" w:type="dxa"/>
          </w:tcPr>
          <w:p>
            <w:pPr>
              <w:pStyle w:val="TableParagraph"/>
              <w:rPr>
                <w:b/>
                <w:sz w:val="22"/>
              </w:rPr>
            </w:pPr>
            <w:r>
              <w:rPr>
                <w:b/>
                <w:sz w:val="22"/>
              </w:rPr>
              <w:t>58,131</w:t>
            </w:r>
          </w:p>
        </w:tc>
      </w:tr>
      <w:tr>
        <w:trPr>
          <w:trHeight w:val="310" w:hRule="exact"/>
        </w:trPr>
        <w:tc>
          <w:tcPr>
            <w:tcW w:w="5148" w:type="dxa"/>
            <w:gridSpan w:val="6"/>
            <w:vMerge/>
            <w:tcBorders>
              <w:left w:val="nil"/>
            </w:tcBorders>
          </w:tcPr>
          <w:p>
            <w:pPr/>
          </w:p>
        </w:tc>
        <w:tc>
          <w:tcPr>
            <w:tcW w:w="2136" w:type="dxa"/>
            <w:gridSpan w:val="2"/>
          </w:tcPr>
          <w:p>
            <w:pPr>
              <w:pStyle w:val="TableParagraph"/>
              <w:spacing w:before="13"/>
              <w:ind w:left="64" w:right="127"/>
              <w:jc w:val="left"/>
              <w:rPr>
                <w:sz w:val="22"/>
              </w:rPr>
            </w:pPr>
            <w:r>
              <w:rPr>
                <w:sz w:val="22"/>
              </w:rPr>
              <w:t>Desviación estándar</w:t>
            </w:r>
          </w:p>
        </w:tc>
        <w:tc>
          <w:tcPr>
            <w:tcW w:w="1380" w:type="dxa"/>
          </w:tcPr>
          <w:p>
            <w:pPr>
              <w:pStyle w:val="TableParagraph"/>
              <w:rPr>
                <w:b/>
                <w:sz w:val="22"/>
              </w:rPr>
            </w:pPr>
            <w:r>
              <w:rPr>
                <w:b/>
                <w:sz w:val="22"/>
              </w:rPr>
              <w:t>0,187</w:t>
            </w:r>
          </w:p>
        </w:tc>
      </w:tr>
      <w:tr>
        <w:trPr>
          <w:trHeight w:val="310" w:hRule="exact"/>
        </w:trPr>
        <w:tc>
          <w:tcPr>
            <w:tcW w:w="5148" w:type="dxa"/>
            <w:gridSpan w:val="6"/>
            <w:vMerge/>
            <w:tcBorders>
              <w:left w:val="nil"/>
            </w:tcBorders>
          </w:tcPr>
          <w:p>
            <w:pPr/>
          </w:p>
        </w:tc>
        <w:tc>
          <w:tcPr>
            <w:tcW w:w="2136" w:type="dxa"/>
            <w:gridSpan w:val="2"/>
            <w:vMerge w:val="restart"/>
          </w:tcPr>
          <w:p>
            <w:pPr>
              <w:pStyle w:val="TableParagraph"/>
              <w:spacing w:line="266" w:lineRule="exact" w:before="32"/>
              <w:ind w:left="64" w:right="60"/>
              <w:jc w:val="left"/>
              <w:rPr>
                <w:sz w:val="22"/>
              </w:rPr>
            </w:pPr>
            <w:r>
              <w:rPr>
                <w:sz w:val="22"/>
              </w:rPr>
              <w:t>Intervalo de confianza al 95 %</w:t>
            </w:r>
          </w:p>
        </w:tc>
        <w:tc>
          <w:tcPr>
            <w:tcW w:w="1380" w:type="dxa"/>
          </w:tcPr>
          <w:p>
            <w:pPr>
              <w:pStyle w:val="TableParagraph"/>
              <w:rPr>
                <w:sz w:val="22"/>
              </w:rPr>
            </w:pPr>
            <w:r>
              <w:rPr>
                <w:sz w:val="22"/>
              </w:rPr>
              <w:t>57,76</w:t>
            </w:r>
          </w:p>
        </w:tc>
      </w:tr>
      <w:tr>
        <w:trPr>
          <w:trHeight w:val="312" w:hRule="exact"/>
        </w:trPr>
        <w:tc>
          <w:tcPr>
            <w:tcW w:w="5148" w:type="dxa"/>
            <w:gridSpan w:val="6"/>
            <w:vMerge/>
            <w:tcBorders>
              <w:left w:val="nil"/>
              <w:bottom w:val="nil"/>
            </w:tcBorders>
          </w:tcPr>
          <w:p>
            <w:pPr/>
          </w:p>
        </w:tc>
        <w:tc>
          <w:tcPr>
            <w:tcW w:w="2136" w:type="dxa"/>
            <w:gridSpan w:val="2"/>
            <w:vMerge/>
          </w:tcPr>
          <w:p>
            <w:pPr/>
          </w:p>
        </w:tc>
        <w:tc>
          <w:tcPr>
            <w:tcW w:w="1380" w:type="dxa"/>
          </w:tcPr>
          <w:p>
            <w:pPr>
              <w:pStyle w:val="TableParagraph"/>
              <w:spacing w:before="30"/>
              <w:rPr>
                <w:sz w:val="22"/>
              </w:rPr>
            </w:pPr>
            <w:r>
              <w:rPr>
                <w:sz w:val="22"/>
              </w:rPr>
              <w:t>58,50</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874"/>
        <w:gridCol w:w="1006"/>
        <w:gridCol w:w="1262"/>
        <w:gridCol w:w="874"/>
        <w:gridCol w:w="1262"/>
        <w:gridCol w:w="1380"/>
      </w:tblGrid>
      <w:tr>
        <w:trPr>
          <w:trHeight w:val="310" w:hRule="exact"/>
        </w:trPr>
        <w:tc>
          <w:tcPr>
            <w:tcW w:w="8664" w:type="dxa"/>
            <w:gridSpan w:val="9"/>
          </w:tcPr>
          <w:p>
            <w:pPr>
              <w:pStyle w:val="TableParagraph"/>
              <w:ind w:left="3357" w:right="3357"/>
              <w:jc w:val="center"/>
              <w:rPr>
                <w:sz w:val="22"/>
              </w:rPr>
            </w:pPr>
            <w:r>
              <w:rPr>
                <w:sz w:val="22"/>
              </w:rPr>
              <w:t>Punto de muestreo C</w:t>
            </w:r>
          </w:p>
        </w:tc>
      </w:tr>
      <w:tr>
        <w:trPr>
          <w:trHeight w:val="310"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874" w:type="dxa"/>
          </w:tcPr>
          <w:p>
            <w:pPr>
              <w:pStyle w:val="TableParagraph"/>
              <w:spacing w:before="43"/>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06" w:type="dxa"/>
          </w:tcPr>
          <w:p>
            <w:pPr>
              <w:pStyle w:val="TableParagraph"/>
              <w:spacing w:line="214" w:lineRule="exact" w:before="6"/>
              <w:ind w:left="376" w:right="386"/>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262" w:type="dxa"/>
          </w:tcPr>
          <w:p>
            <w:pPr>
              <w:pStyle w:val="TableParagraph"/>
              <w:spacing w:before="19"/>
              <w:ind w:left="29"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74" w:type="dxa"/>
          </w:tcPr>
          <w:p>
            <w:pPr>
              <w:pStyle w:val="TableParagraph"/>
              <w:spacing w:before="43"/>
              <w:ind w:left="33" w:right="44"/>
              <w:jc w:val="center"/>
              <w:rPr>
                <w:rFonts w:ascii="Cambria Math"/>
                <w:sz w:val="16"/>
              </w:rPr>
            </w:pPr>
            <w:r>
              <w:rPr>
                <w:rFonts w:ascii="Cambria Math"/>
                <w:w w:val="110"/>
                <w:sz w:val="22"/>
              </w:rPr>
              <w:t>s</w:t>
            </w:r>
            <w:r>
              <w:rPr>
                <w:rFonts w:ascii="Cambria Math"/>
                <w:w w:val="110"/>
                <w:position w:val="-4"/>
                <w:sz w:val="16"/>
              </w:rPr>
              <w:t>h</w:t>
            </w:r>
          </w:p>
        </w:tc>
        <w:tc>
          <w:tcPr>
            <w:tcW w:w="1262" w:type="dxa"/>
          </w:tcPr>
          <w:p>
            <w:pPr>
              <w:pStyle w:val="TableParagraph"/>
              <w:spacing w:before="0"/>
              <w:ind w:left="29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380" w:type="dxa"/>
          </w:tcPr>
          <w:p>
            <w:pPr>
              <w:pStyle w:val="TableParagraph"/>
              <w:spacing w:before="0"/>
              <w:ind w:left="33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spacing w:before="13"/>
              <w:ind w:left="1" w:right="0"/>
              <w:jc w:val="center"/>
              <w:rPr>
                <w:sz w:val="22"/>
              </w:rPr>
            </w:pPr>
            <w:r>
              <w:rPr>
                <w:w w:val="100"/>
                <w:sz w:val="22"/>
              </w:rPr>
              <w:t>1</w:t>
            </w:r>
          </w:p>
        </w:tc>
        <w:tc>
          <w:tcPr>
            <w:tcW w:w="754" w:type="dxa"/>
          </w:tcPr>
          <w:p>
            <w:pPr>
              <w:pStyle w:val="TableParagraph"/>
              <w:ind w:left="45" w:right="45"/>
              <w:jc w:val="center"/>
              <w:rPr>
                <w:sz w:val="22"/>
              </w:rPr>
            </w:pPr>
            <w:r>
              <w:rPr>
                <w:sz w:val="22"/>
              </w:rPr>
              <w:t>108,60</w:t>
            </w:r>
          </w:p>
        </w:tc>
        <w:tc>
          <w:tcPr>
            <w:tcW w:w="475" w:type="dxa"/>
          </w:tcPr>
          <w:p>
            <w:pPr>
              <w:pStyle w:val="TableParagraph"/>
              <w:rPr>
                <w:sz w:val="22"/>
              </w:rPr>
            </w:pPr>
            <w:r>
              <w:rPr>
                <w:sz w:val="22"/>
              </w:rPr>
              <w:t>108</w:t>
            </w:r>
          </w:p>
        </w:tc>
        <w:tc>
          <w:tcPr>
            <w:tcW w:w="874" w:type="dxa"/>
          </w:tcPr>
          <w:p>
            <w:pPr>
              <w:pStyle w:val="TableParagraph"/>
              <w:ind w:left="55" w:right="44"/>
              <w:jc w:val="center"/>
              <w:rPr>
                <w:sz w:val="22"/>
              </w:rPr>
            </w:pPr>
            <w:r>
              <w:rPr>
                <w:sz w:val="22"/>
              </w:rPr>
              <w:t>47,2000</w:t>
            </w:r>
          </w:p>
        </w:tc>
        <w:tc>
          <w:tcPr>
            <w:tcW w:w="1006" w:type="dxa"/>
          </w:tcPr>
          <w:p>
            <w:pPr>
              <w:pStyle w:val="TableParagraph"/>
              <w:ind w:right="63"/>
              <w:rPr>
                <w:sz w:val="22"/>
              </w:rPr>
            </w:pPr>
            <w:r>
              <w:rPr>
                <w:sz w:val="22"/>
              </w:rPr>
              <w:t>234,1600</w:t>
            </w:r>
          </w:p>
        </w:tc>
        <w:tc>
          <w:tcPr>
            <w:tcW w:w="1262" w:type="dxa"/>
          </w:tcPr>
          <w:p>
            <w:pPr>
              <w:pStyle w:val="TableParagraph"/>
              <w:ind w:left="215" w:right="44"/>
              <w:jc w:val="center"/>
              <w:rPr>
                <w:sz w:val="22"/>
              </w:rPr>
            </w:pPr>
            <w:r>
              <w:rPr>
                <w:sz w:val="22"/>
              </w:rPr>
              <w:t>5125,9200</w:t>
            </w:r>
          </w:p>
        </w:tc>
        <w:tc>
          <w:tcPr>
            <w:tcW w:w="874" w:type="dxa"/>
          </w:tcPr>
          <w:p>
            <w:pPr>
              <w:pStyle w:val="TableParagraph"/>
              <w:rPr>
                <w:sz w:val="22"/>
              </w:rPr>
            </w:pPr>
            <w:r>
              <w:rPr>
                <w:sz w:val="22"/>
              </w:rPr>
              <w:t>15,3023</w:t>
            </w:r>
          </w:p>
        </w:tc>
        <w:tc>
          <w:tcPr>
            <w:tcW w:w="1262" w:type="dxa"/>
          </w:tcPr>
          <w:p>
            <w:pPr>
              <w:pStyle w:val="TableParagraph"/>
              <w:rPr>
                <w:sz w:val="22"/>
              </w:rPr>
            </w:pPr>
            <w:r>
              <w:rPr>
                <w:sz w:val="22"/>
              </w:rPr>
              <w:t>-8549,1301</w:t>
            </w:r>
          </w:p>
        </w:tc>
        <w:tc>
          <w:tcPr>
            <w:tcW w:w="1380" w:type="dxa"/>
          </w:tcPr>
          <w:p>
            <w:pPr>
              <w:pStyle w:val="TableParagraph"/>
              <w:rPr>
                <w:sz w:val="22"/>
              </w:rPr>
            </w:pPr>
            <w:r>
              <w:rPr>
                <w:sz w:val="22"/>
              </w:rPr>
              <w:t>-0,01769049</w:t>
            </w:r>
          </w:p>
        </w:tc>
      </w:tr>
      <w:tr>
        <w:trPr>
          <w:trHeight w:val="310" w:hRule="exact"/>
        </w:trPr>
        <w:tc>
          <w:tcPr>
            <w:tcW w:w="778" w:type="dxa"/>
          </w:tcPr>
          <w:p>
            <w:pPr>
              <w:pStyle w:val="TableParagraph"/>
              <w:spacing w:before="13"/>
              <w:ind w:left="1" w:right="0"/>
              <w:jc w:val="center"/>
              <w:rPr>
                <w:sz w:val="22"/>
              </w:rPr>
            </w:pPr>
            <w:r>
              <w:rPr>
                <w:w w:val="100"/>
                <w:sz w:val="22"/>
              </w:rPr>
              <w:t>2</w:t>
            </w:r>
          </w:p>
        </w:tc>
        <w:tc>
          <w:tcPr>
            <w:tcW w:w="754" w:type="dxa"/>
          </w:tcPr>
          <w:p>
            <w:pPr>
              <w:pStyle w:val="TableParagraph"/>
              <w:ind w:left="45" w:right="45"/>
              <w:jc w:val="center"/>
              <w:rPr>
                <w:sz w:val="22"/>
              </w:rPr>
            </w:pPr>
            <w:r>
              <w:rPr>
                <w:sz w:val="22"/>
              </w:rPr>
              <w:t>121,03</w:t>
            </w:r>
          </w:p>
        </w:tc>
        <w:tc>
          <w:tcPr>
            <w:tcW w:w="475" w:type="dxa"/>
          </w:tcPr>
          <w:p>
            <w:pPr>
              <w:pStyle w:val="TableParagraph"/>
              <w:rPr>
                <w:sz w:val="22"/>
              </w:rPr>
            </w:pPr>
            <w:r>
              <w:rPr>
                <w:sz w:val="22"/>
              </w:rPr>
              <w:t>81</w:t>
            </w:r>
          </w:p>
        </w:tc>
        <w:tc>
          <w:tcPr>
            <w:tcW w:w="874" w:type="dxa"/>
          </w:tcPr>
          <w:p>
            <w:pPr>
              <w:pStyle w:val="TableParagraph"/>
              <w:ind w:left="55" w:right="44"/>
              <w:jc w:val="center"/>
              <w:rPr>
                <w:sz w:val="22"/>
              </w:rPr>
            </w:pPr>
            <w:r>
              <w:rPr>
                <w:sz w:val="22"/>
              </w:rPr>
              <w:t>40,0200</w:t>
            </w:r>
          </w:p>
        </w:tc>
        <w:tc>
          <w:tcPr>
            <w:tcW w:w="1006" w:type="dxa"/>
          </w:tcPr>
          <w:p>
            <w:pPr>
              <w:pStyle w:val="TableParagraph"/>
              <w:ind w:right="63"/>
              <w:rPr>
                <w:sz w:val="22"/>
              </w:rPr>
            </w:pPr>
            <w:r>
              <w:rPr>
                <w:sz w:val="22"/>
              </w:rPr>
              <w:t>57,4120</w:t>
            </w:r>
          </w:p>
        </w:tc>
        <w:tc>
          <w:tcPr>
            <w:tcW w:w="1262" w:type="dxa"/>
          </w:tcPr>
          <w:p>
            <w:pPr>
              <w:pStyle w:val="TableParagraph"/>
              <w:ind w:left="215" w:right="44"/>
              <w:jc w:val="center"/>
              <w:rPr>
                <w:sz w:val="22"/>
              </w:rPr>
            </w:pPr>
            <w:r>
              <w:rPr>
                <w:sz w:val="22"/>
              </w:rPr>
              <w:t>4843,6206</w:t>
            </w:r>
          </w:p>
        </w:tc>
        <w:tc>
          <w:tcPr>
            <w:tcW w:w="874" w:type="dxa"/>
          </w:tcPr>
          <w:p>
            <w:pPr>
              <w:pStyle w:val="TableParagraph"/>
              <w:rPr>
                <w:sz w:val="22"/>
              </w:rPr>
            </w:pPr>
            <w:r>
              <w:rPr>
                <w:sz w:val="22"/>
              </w:rPr>
              <w:t>7,5771</w:t>
            </w:r>
          </w:p>
        </w:tc>
        <w:tc>
          <w:tcPr>
            <w:tcW w:w="1262" w:type="dxa"/>
          </w:tcPr>
          <w:p>
            <w:pPr>
              <w:pStyle w:val="TableParagraph"/>
              <w:rPr>
                <w:sz w:val="22"/>
              </w:rPr>
            </w:pPr>
            <w:r>
              <w:rPr>
                <w:sz w:val="22"/>
              </w:rPr>
              <w:t>3439,0980</w:t>
            </w:r>
          </w:p>
        </w:tc>
        <w:tc>
          <w:tcPr>
            <w:tcW w:w="1380" w:type="dxa"/>
          </w:tcPr>
          <w:p>
            <w:pPr>
              <w:pStyle w:val="TableParagraph"/>
              <w:rPr>
                <w:sz w:val="22"/>
              </w:rPr>
            </w:pPr>
            <w:r>
              <w:rPr>
                <w:sz w:val="22"/>
              </w:rPr>
              <w:t>0,00711644</w:t>
            </w:r>
          </w:p>
        </w:tc>
      </w:tr>
      <w:tr>
        <w:trPr>
          <w:trHeight w:val="312" w:hRule="exact"/>
        </w:trPr>
        <w:tc>
          <w:tcPr>
            <w:tcW w:w="778" w:type="dxa"/>
          </w:tcPr>
          <w:p>
            <w:pPr>
              <w:pStyle w:val="TableParagraph"/>
              <w:spacing w:before="13"/>
              <w:ind w:left="1" w:right="0"/>
              <w:jc w:val="center"/>
              <w:rPr>
                <w:sz w:val="22"/>
              </w:rPr>
            </w:pPr>
            <w:r>
              <w:rPr>
                <w:w w:val="100"/>
                <w:sz w:val="22"/>
              </w:rPr>
              <w:t>3</w:t>
            </w:r>
          </w:p>
        </w:tc>
        <w:tc>
          <w:tcPr>
            <w:tcW w:w="754" w:type="dxa"/>
          </w:tcPr>
          <w:p>
            <w:pPr>
              <w:pStyle w:val="TableParagraph"/>
              <w:spacing w:before="30"/>
              <w:ind w:left="45" w:right="45"/>
              <w:jc w:val="center"/>
              <w:rPr>
                <w:sz w:val="22"/>
              </w:rPr>
            </w:pPr>
            <w:r>
              <w:rPr>
                <w:sz w:val="22"/>
              </w:rPr>
              <w:t>130,21</w:t>
            </w:r>
          </w:p>
        </w:tc>
        <w:tc>
          <w:tcPr>
            <w:tcW w:w="475" w:type="dxa"/>
          </w:tcPr>
          <w:p>
            <w:pPr>
              <w:pStyle w:val="TableParagraph"/>
              <w:spacing w:before="30"/>
              <w:rPr>
                <w:sz w:val="22"/>
              </w:rPr>
            </w:pPr>
            <w:r>
              <w:rPr>
                <w:sz w:val="22"/>
              </w:rPr>
              <w:t>77</w:t>
            </w:r>
          </w:p>
        </w:tc>
        <w:tc>
          <w:tcPr>
            <w:tcW w:w="874" w:type="dxa"/>
          </w:tcPr>
          <w:p>
            <w:pPr>
              <w:pStyle w:val="TableParagraph"/>
              <w:spacing w:before="30"/>
              <w:ind w:left="55" w:right="44"/>
              <w:jc w:val="center"/>
              <w:rPr>
                <w:sz w:val="22"/>
              </w:rPr>
            </w:pPr>
            <w:r>
              <w:rPr>
                <w:sz w:val="22"/>
              </w:rPr>
              <w:t>52,9400</w:t>
            </w:r>
          </w:p>
        </w:tc>
        <w:tc>
          <w:tcPr>
            <w:tcW w:w="1006" w:type="dxa"/>
          </w:tcPr>
          <w:p>
            <w:pPr>
              <w:pStyle w:val="TableParagraph"/>
              <w:spacing w:before="30"/>
              <w:ind w:right="63"/>
              <w:rPr>
                <w:sz w:val="22"/>
              </w:rPr>
            </w:pPr>
            <w:r>
              <w:rPr>
                <w:sz w:val="22"/>
              </w:rPr>
              <w:t>67,6430</w:t>
            </w:r>
          </w:p>
        </w:tc>
        <w:tc>
          <w:tcPr>
            <w:tcW w:w="1262" w:type="dxa"/>
          </w:tcPr>
          <w:p>
            <w:pPr>
              <w:pStyle w:val="TableParagraph"/>
              <w:spacing w:before="30"/>
              <w:ind w:left="215" w:right="44"/>
              <w:jc w:val="center"/>
              <w:rPr>
                <w:sz w:val="22"/>
              </w:rPr>
            </w:pPr>
            <w:r>
              <w:rPr>
                <w:sz w:val="22"/>
              </w:rPr>
              <w:t>6893,3174</w:t>
            </w:r>
          </w:p>
        </w:tc>
        <w:tc>
          <w:tcPr>
            <w:tcW w:w="874" w:type="dxa"/>
          </w:tcPr>
          <w:p>
            <w:pPr>
              <w:pStyle w:val="TableParagraph"/>
              <w:spacing w:before="30"/>
              <w:rPr>
                <w:sz w:val="22"/>
              </w:rPr>
            </w:pPr>
            <w:r>
              <w:rPr>
                <w:sz w:val="22"/>
              </w:rPr>
              <w:t>8,2245</w:t>
            </w:r>
          </w:p>
        </w:tc>
        <w:tc>
          <w:tcPr>
            <w:tcW w:w="1262" w:type="dxa"/>
          </w:tcPr>
          <w:p>
            <w:pPr>
              <w:pStyle w:val="TableParagraph"/>
              <w:spacing w:before="30"/>
              <w:rPr>
                <w:sz w:val="22"/>
              </w:rPr>
            </w:pPr>
            <w:r>
              <w:rPr>
                <w:sz w:val="22"/>
              </w:rPr>
              <w:t>6176,0434</w:t>
            </w:r>
          </w:p>
        </w:tc>
        <w:tc>
          <w:tcPr>
            <w:tcW w:w="1380" w:type="dxa"/>
          </w:tcPr>
          <w:p>
            <w:pPr>
              <w:pStyle w:val="TableParagraph"/>
              <w:spacing w:before="30"/>
              <w:rPr>
                <w:sz w:val="22"/>
              </w:rPr>
            </w:pPr>
            <w:r>
              <w:rPr>
                <w:sz w:val="22"/>
              </w:rPr>
              <w:t>0,01277992</w:t>
            </w:r>
          </w:p>
        </w:tc>
      </w:tr>
      <w:tr>
        <w:trPr>
          <w:trHeight w:val="310" w:hRule="exact"/>
        </w:trPr>
        <w:tc>
          <w:tcPr>
            <w:tcW w:w="778" w:type="dxa"/>
          </w:tcPr>
          <w:p>
            <w:pPr>
              <w:pStyle w:val="TableParagraph"/>
              <w:spacing w:before="11"/>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874" w:type="dxa"/>
          </w:tcPr>
          <w:p>
            <w:pPr>
              <w:pStyle w:val="TableParagraph"/>
              <w:ind w:left="55" w:right="44"/>
              <w:jc w:val="center"/>
              <w:rPr>
                <w:sz w:val="22"/>
              </w:rPr>
            </w:pPr>
            <w:r>
              <w:rPr>
                <w:sz w:val="22"/>
              </w:rPr>
              <w:t>71,0800</w:t>
            </w:r>
          </w:p>
        </w:tc>
        <w:tc>
          <w:tcPr>
            <w:tcW w:w="1006" w:type="dxa"/>
          </w:tcPr>
          <w:p>
            <w:pPr>
              <w:pStyle w:val="TableParagraph"/>
              <w:ind w:right="63"/>
              <w:rPr>
                <w:sz w:val="22"/>
              </w:rPr>
            </w:pPr>
            <w:r>
              <w:rPr>
                <w:sz w:val="22"/>
              </w:rPr>
              <w:t>98,7270</w:t>
            </w:r>
          </w:p>
        </w:tc>
        <w:tc>
          <w:tcPr>
            <w:tcW w:w="1262" w:type="dxa"/>
          </w:tcPr>
          <w:p>
            <w:pPr>
              <w:pStyle w:val="TableParagraph"/>
              <w:ind w:left="105" w:right="44"/>
              <w:jc w:val="center"/>
              <w:rPr>
                <w:sz w:val="22"/>
              </w:rPr>
            </w:pPr>
            <w:r>
              <w:rPr>
                <w:sz w:val="22"/>
              </w:rPr>
              <w:t>11025,9296</w:t>
            </w:r>
          </w:p>
        </w:tc>
        <w:tc>
          <w:tcPr>
            <w:tcW w:w="874" w:type="dxa"/>
          </w:tcPr>
          <w:p>
            <w:pPr>
              <w:pStyle w:val="TableParagraph"/>
              <w:rPr>
                <w:sz w:val="22"/>
              </w:rPr>
            </w:pPr>
            <w:r>
              <w:rPr>
                <w:sz w:val="22"/>
              </w:rPr>
              <w:t>9,9361</w:t>
            </w:r>
          </w:p>
        </w:tc>
        <w:tc>
          <w:tcPr>
            <w:tcW w:w="1262" w:type="dxa"/>
          </w:tcPr>
          <w:p>
            <w:pPr>
              <w:pStyle w:val="TableParagraph"/>
              <w:rPr>
                <w:sz w:val="22"/>
              </w:rPr>
            </w:pPr>
            <w:r>
              <w:rPr>
                <w:sz w:val="22"/>
              </w:rPr>
              <w:t>10560,5385</w:t>
            </w:r>
          </w:p>
        </w:tc>
        <w:tc>
          <w:tcPr>
            <w:tcW w:w="1380" w:type="dxa"/>
          </w:tcPr>
          <w:p>
            <w:pPr>
              <w:pStyle w:val="TableParagraph"/>
              <w:rPr>
                <w:sz w:val="22"/>
              </w:rPr>
            </w:pPr>
            <w:r>
              <w:rPr>
                <w:sz w:val="22"/>
              </w:rPr>
              <w:t>0,02185265</w:t>
            </w:r>
          </w:p>
        </w:tc>
      </w:tr>
      <w:tr>
        <w:trPr>
          <w:trHeight w:val="310" w:hRule="exact"/>
        </w:trPr>
        <w:tc>
          <w:tcPr>
            <w:tcW w:w="778" w:type="dxa"/>
          </w:tcPr>
          <w:p>
            <w:pPr>
              <w:pStyle w:val="TableParagraph"/>
              <w:spacing w:before="11"/>
              <w:ind w:left="1" w:right="0"/>
              <w:jc w:val="center"/>
              <w:rPr>
                <w:sz w:val="22"/>
              </w:rPr>
            </w:pPr>
            <w:r>
              <w:rPr>
                <w:w w:val="100"/>
                <w:sz w:val="22"/>
              </w:rPr>
              <w:t>5</w:t>
            </w:r>
          </w:p>
        </w:tc>
        <w:tc>
          <w:tcPr>
            <w:tcW w:w="754" w:type="dxa"/>
          </w:tcPr>
          <w:p>
            <w:pPr>
              <w:pStyle w:val="TableParagraph"/>
              <w:ind w:left="45" w:right="45"/>
              <w:jc w:val="center"/>
              <w:rPr>
                <w:sz w:val="22"/>
              </w:rPr>
            </w:pPr>
            <w:r>
              <w:rPr>
                <w:sz w:val="22"/>
              </w:rPr>
              <w:t>180,21</w:t>
            </w:r>
          </w:p>
        </w:tc>
        <w:tc>
          <w:tcPr>
            <w:tcW w:w="475" w:type="dxa"/>
          </w:tcPr>
          <w:p>
            <w:pPr>
              <w:pStyle w:val="TableParagraph"/>
              <w:rPr>
                <w:sz w:val="22"/>
              </w:rPr>
            </w:pPr>
            <w:r>
              <w:rPr>
                <w:sz w:val="22"/>
              </w:rPr>
              <w:t>132</w:t>
            </w:r>
          </w:p>
        </w:tc>
        <w:tc>
          <w:tcPr>
            <w:tcW w:w="874" w:type="dxa"/>
          </w:tcPr>
          <w:p>
            <w:pPr>
              <w:pStyle w:val="TableParagraph"/>
              <w:ind w:left="55" w:right="44"/>
              <w:jc w:val="center"/>
              <w:rPr>
                <w:sz w:val="22"/>
              </w:rPr>
            </w:pPr>
            <w:r>
              <w:rPr>
                <w:sz w:val="22"/>
              </w:rPr>
              <w:t>73,3833</w:t>
            </w:r>
          </w:p>
        </w:tc>
        <w:tc>
          <w:tcPr>
            <w:tcW w:w="1006" w:type="dxa"/>
          </w:tcPr>
          <w:p>
            <w:pPr>
              <w:pStyle w:val="TableParagraph"/>
              <w:ind w:right="63"/>
              <w:rPr>
                <w:sz w:val="22"/>
              </w:rPr>
            </w:pPr>
            <w:r>
              <w:rPr>
                <w:sz w:val="22"/>
              </w:rPr>
              <w:t>135,0017</w:t>
            </w:r>
          </w:p>
        </w:tc>
        <w:tc>
          <w:tcPr>
            <w:tcW w:w="1262" w:type="dxa"/>
          </w:tcPr>
          <w:p>
            <w:pPr>
              <w:pStyle w:val="TableParagraph"/>
              <w:ind w:left="105" w:right="44"/>
              <w:jc w:val="center"/>
              <w:rPr>
                <w:sz w:val="22"/>
              </w:rPr>
            </w:pPr>
            <w:r>
              <w:rPr>
                <w:sz w:val="22"/>
              </w:rPr>
              <w:t>13224,4105</w:t>
            </w:r>
          </w:p>
        </w:tc>
        <w:tc>
          <w:tcPr>
            <w:tcW w:w="874" w:type="dxa"/>
          </w:tcPr>
          <w:p>
            <w:pPr>
              <w:pStyle w:val="TableParagraph"/>
              <w:rPr>
                <w:sz w:val="22"/>
              </w:rPr>
            </w:pPr>
            <w:r>
              <w:rPr>
                <w:sz w:val="22"/>
              </w:rPr>
              <w:t>11,6190</w:t>
            </w:r>
          </w:p>
        </w:tc>
        <w:tc>
          <w:tcPr>
            <w:tcW w:w="1262" w:type="dxa"/>
          </w:tcPr>
          <w:p>
            <w:pPr>
              <w:pStyle w:val="TableParagraph"/>
              <w:rPr>
                <w:sz w:val="22"/>
              </w:rPr>
            </w:pPr>
            <w:r>
              <w:rPr>
                <w:sz w:val="22"/>
              </w:rPr>
              <w:t>8875,4248</w:t>
            </w:r>
          </w:p>
        </w:tc>
        <w:tc>
          <w:tcPr>
            <w:tcW w:w="1380" w:type="dxa"/>
          </w:tcPr>
          <w:p>
            <w:pPr>
              <w:pStyle w:val="TableParagraph"/>
              <w:rPr>
                <w:sz w:val="22"/>
              </w:rPr>
            </w:pPr>
            <w:r>
              <w:rPr>
                <w:sz w:val="22"/>
              </w:rPr>
              <w:t>0,01836568</w:t>
            </w:r>
          </w:p>
        </w:tc>
      </w:tr>
      <w:tr>
        <w:trPr>
          <w:trHeight w:val="310" w:hRule="exact"/>
        </w:trPr>
        <w:tc>
          <w:tcPr>
            <w:tcW w:w="778" w:type="dxa"/>
          </w:tcPr>
          <w:p>
            <w:pPr>
              <w:pStyle w:val="TableParagraph"/>
              <w:spacing w:before="13"/>
              <w:ind w:right="1"/>
              <w:jc w:val="center"/>
              <w:rPr>
                <w:sz w:val="22"/>
              </w:rPr>
            </w:pPr>
            <w:r>
              <w:rPr>
                <w:w w:val="100"/>
                <w:sz w:val="22"/>
              </w:rPr>
              <w:t>N</w:t>
            </w:r>
          </w:p>
        </w:tc>
        <w:tc>
          <w:tcPr>
            <w:tcW w:w="754" w:type="dxa"/>
          </w:tcPr>
          <w:p>
            <w:pPr>
              <w:pStyle w:val="TableParagraph"/>
              <w:ind w:left="45" w:right="45"/>
              <w:jc w:val="center"/>
              <w:rPr>
                <w:sz w:val="22"/>
              </w:rPr>
            </w:pPr>
            <w:r>
              <w:rPr>
                <w:sz w:val="22"/>
              </w:rPr>
              <w:t>695,17</w:t>
            </w:r>
          </w:p>
        </w:tc>
        <w:tc>
          <w:tcPr>
            <w:tcW w:w="475" w:type="dxa"/>
          </w:tcPr>
          <w:p>
            <w:pPr/>
          </w:p>
        </w:tc>
        <w:tc>
          <w:tcPr>
            <w:tcW w:w="874" w:type="dxa"/>
          </w:tcPr>
          <w:p>
            <w:pPr/>
          </w:p>
        </w:tc>
        <w:tc>
          <w:tcPr>
            <w:tcW w:w="1006" w:type="dxa"/>
          </w:tcPr>
          <w:p>
            <w:pPr>
              <w:pStyle w:val="TableParagraph"/>
              <w:spacing w:line="312" w:lineRule="exact" w:before="0"/>
              <w:ind w:left="331"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62" w:type="dxa"/>
          </w:tcPr>
          <w:p>
            <w:pPr>
              <w:pStyle w:val="TableParagraph"/>
              <w:ind w:left="105" w:right="44"/>
              <w:jc w:val="center"/>
              <w:rPr>
                <w:sz w:val="22"/>
              </w:rPr>
            </w:pPr>
            <w:r>
              <w:rPr>
                <w:sz w:val="22"/>
              </w:rPr>
              <w:t>41113,1981</w:t>
            </w:r>
          </w:p>
        </w:tc>
        <w:tc>
          <w:tcPr>
            <w:tcW w:w="874" w:type="dxa"/>
          </w:tcPr>
          <w:p>
            <w:pPr/>
          </w:p>
        </w:tc>
        <w:tc>
          <w:tcPr>
            <w:tcW w:w="1262" w:type="dxa"/>
          </w:tcPr>
          <w:p>
            <w:pPr>
              <w:pStyle w:val="TableParagraph"/>
              <w:rPr>
                <w:sz w:val="22"/>
              </w:rPr>
            </w:pPr>
            <w:r>
              <w:rPr>
                <w:sz w:val="22"/>
              </w:rPr>
              <w:t>20501,9745</w:t>
            </w:r>
          </w:p>
        </w:tc>
        <w:tc>
          <w:tcPr>
            <w:tcW w:w="1380" w:type="dxa"/>
          </w:tcPr>
          <w:p>
            <w:pPr>
              <w:pStyle w:val="TableParagraph"/>
              <w:rPr>
                <w:sz w:val="22"/>
              </w:rPr>
            </w:pPr>
            <w:r>
              <w:rPr>
                <w:sz w:val="22"/>
              </w:rPr>
              <w:t>0,0424242</w:t>
            </w:r>
          </w:p>
        </w:tc>
      </w:tr>
      <w:tr>
        <w:trPr>
          <w:trHeight w:val="310" w:hRule="exact"/>
        </w:trPr>
        <w:tc>
          <w:tcPr>
            <w:tcW w:w="5148" w:type="dxa"/>
            <w:gridSpan w:val="6"/>
            <w:vMerge w:val="restart"/>
            <w:tcBorders>
              <w:left w:val="nil"/>
            </w:tcBorders>
          </w:tcPr>
          <w:p>
            <w:pPr/>
          </w:p>
        </w:tc>
        <w:tc>
          <w:tcPr>
            <w:tcW w:w="2136" w:type="dxa"/>
            <w:gridSpan w:val="2"/>
          </w:tcPr>
          <w:p>
            <w:pPr>
              <w:pStyle w:val="TableParagraph"/>
              <w:spacing w:before="13"/>
              <w:ind w:left="64" w:right="127"/>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80" w:type="dxa"/>
          </w:tcPr>
          <w:p>
            <w:pPr>
              <w:pStyle w:val="TableParagraph"/>
              <w:rPr>
                <w:b/>
                <w:sz w:val="22"/>
              </w:rPr>
            </w:pPr>
            <w:r>
              <w:rPr>
                <w:b/>
                <w:sz w:val="22"/>
              </w:rPr>
              <w:t>59,141</w:t>
            </w:r>
          </w:p>
        </w:tc>
      </w:tr>
      <w:tr>
        <w:trPr>
          <w:trHeight w:val="310" w:hRule="exact"/>
        </w:trPr>
        <w:tc>
          <w:tcPr>
            <w:tcW w:w="5148" w:type="dxa"/>
            <w:gridSpan w:val="6"/>
            <w:vMerge/>
            <w:tcBorders>
              <w:left w:val="nil"/>
            </w:tcBorders>
          </w:tcPr>
          <w:p>
            <w:pPr/>
          </w:p>
        </w:tc>
        <w:tc>
          <w:tcPr>
            <w:tcW w:w="2136" w:type="dxa"/>
            <w:gridSpan w:val="2"/>
          </w:tcPr>
          <w:p>
            <w:pPr>
              <w:pStyle w:val="TableParagraph"/>
              <w:spacing w:before="13"/>
              <w:ind w:left="64" w:right="127"/>
              <w:jc w:val="left"/>
              <w:rPr>
                <w:sz w:val="22"/>
              </w:rPr>
            </w:pPr>
            <w:r>
              <w:rPr>
                <w:sz w:val="22"/>
              </w:rPr>
              <w:t>Desviación estándar</w:t>
            </w:r>
          </w:p>
        </w:tc>
        <w:tc>
          <w:tcPr>
            <w:tcW w:w="1380" w:type="dxa"/>
          </w:tcPr>
          <w:p>
            <w:pPr>
              <w:pStyle w:val="TableParagraph"/>
              <w:rPr>
                <w:b/>
                <w:sz w:val="22"/>
              </w:rPr>
            </w:pPr>
            <w:r>
              <w:rPr>
                <w:b/>
                <w:sz w:val="22"/>
              </w:rPr>
              <w:t>0,206</w:t>
            </w:r>
          </w:p>
        </w:tc>
      </w:tr>
      <w:tr>
        <w:trPr>
          <w:trHeight w:val="312" w:hRule="exact"/>
        </w:trPr>
        <w:tc>
          <w:tcPr>
            <w:tcW w:w="5148" w:type="dxa"/>
            <w:gridSpan w:val="6"/>
            <w:vMerge/>
            <w:tcBorders>
              <w:left w:val="nil"/>
            </w:tcBorders>
          </w:tcPr>
          <w:p>
            <w:pPr/>
          </w:p>
        </w:tc>
        <w:tc>
          <w:tcPr>
            <w:tcW w:w="2136" w:type="dxa"/>
            <w:gridSpan w:val="2"/>
            <w:vMerge w:val="restart"/>
          </w:tcPr>
          <w:p>
            <w:pPr>
              <w:pStyle w:val="TableParagraph"/>
              <w:spacing w:before="35"/>
              <w:ind w:left="64" w:right="60"/>
              <w:jc w:val="left"/>
              <w:rPr>
                <w:sz w:val="22"/>
              </w:rPr>
            </w:pPr>
            <w:r>
              <w:rPr>
                <w:sz w:val="22"/>
              </w:rPr>
              <w:t>Intervalo de confianza al 95 %</w:t>
            </w:r>
          </w:p>
        </w:tc>
        <w:tc>
          <w:tcPr>
            <w:tcW w:w="1380" w:type="dxa"/>
          </w:tcPr>
          <w:p>
            <w:pPr>
              <w:pStyle w:val="TableParagraph"/>
              <w:spacing w:before="30"/>
              <w:rPr>
                <w:sz w:val="22"/>
              </w:rPr>
            </w:pPr>
            <w:r>
              <w:rPr>
                <w:sz w:val="22"/>
              </w:rPr>
              <w:t>58,74</w:t>
            </w:r>
          </w:p>
        </w:tc>
      </w:tr>
      <w:tr>
        <w:trPr>
          <w:trHeight w:val="310" w:hRule="exact"/>
        </w:trPr>
        <w:tc>
          <w:tcPr>
            <w:tcW w:w="5148" w:type="dxa"/>
            <w:gridSpan w:val="6"/>
            <w:vMerge/>
            <w:tcBorders>
              <w:left w:val="nil"/>
              <w:bottom w:val="nil"/>
            </w:tcBorders>
          </w:tcPr>
          <w:p>
            <w:pPr/>
          </w:p>
        </w:tc>
        <w:tc>
          <w:tcPr>
            <w:tcW w:w="2136" w:type="dxa"/>
            <w:gridSpan w:val="2"/>
            <w:vMerge/>
          </w:tcPr>
          <w:p>
            <w:pPr/>
          </w:p>
        </w:tc>
        <w:tc>
          <w:tcPr>
            <w:tcW w:w="1380" w:type="dxa"/>
          </w:tcPr>
          <w:p>
            <w:pPr>
              <w:pStyle w:val="TableParagraph"/>
              <w:rPr>
                <w:sz w:val="22"/>
              </w:rPr>
            </w:pPr>
            <w:r>
              <w:rPr>
                <w:sz w:val="22"/>
              </w:rPr>
              <w:t>59,54</w:t>
            </w:r>
          </w:p>
        </w:tc>
      </w:tr>
    </w:tbl>
    <w:p>
      <w:pPr>
        <w:spacing w:after="0"/>
        <w:rPr>
          <w:sz w:val="22"/>
        </w:rPr>
        <w:sectPr>
          <w:footerReference w:type="default" r:id="rId130"/>
          <w:pgSz w:w="12240" w:h="15840"/>
          <w:pgMar w:footer="1084" w:header="725"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3"/>
        <w:gridCol w:w="792"/>
        <w:gridCol w:w="475"/>
        <w:gridCol w:w="1205"/>
        <w:gridCol w:w="1066"/>
        <w:gridCol w:w="1481"/>
        <w:gridCol w:w="1068"/>
        <w:gridCol w:w="1426"/>
        <w:gridCol w:w="1651"/>
      </w:tblGrid>
      <w:tr>
        <w:trPr>
          <w:trHeight w:val="310" w:hRule="exact"/>
        </w:trPr>
        <w:tc>
          <w:tcPr>
            <w:tcW w:w="9986" w:type="dxa"/>
            <w:gridSpan w:val="9"/>
          </w:tcPr>
          <w:p>
            <w:pPr>
              <w:pStyle w:val="TableParagraph"/>
              <w:ind w:left="4013" w:right="4013"/>
              <w:jc w:val="center"/>
              <w:rPr>
                <w:sz w:val="22"/>
              </w:rPr>
            </w:pPr>
            <w:r>
              <w:rPr>
                <w:sz w:val="22"/>
              </w:rPr>
              <w:t>Punto de muestreo D</w:t>
            </w:r>
          </w:p>
        </w:tc>
      </w:tr>
      <w:tr>
        <w:trPr>
          <w:trHeight w:val="310" w:hRule="exact"/>
        </w:trPr>
        <w:tc>
          <w:tcPr>
            <w:tcW w:w="823" w:type="dxa"/>
          </w:tcPr>
          <w:p>
            <w:pPr>
              <w:pStyle w:val="TableParagraph"/>
              <w:spacing w:before="13"/>
              <w:ind w:left="2" w:right="44"/>
              <w:jc w:val="center"/>
              <w:rPr>
                <w:sz w:val="22"/>
              </w:rPr>
            </w:pPr>
            <w:r>
              <w:rPr>
                <w:sz w:val="22"/>
              </w:rPr>
              <w:t>Estrato</w:t>
            </w:r>
          </w:p>
        </w:tc>
        <w:tc>
          <w:tcPr>
            <w:tcW w:w="792"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1205" w:type="dxa"/>
          </w:tcPr>
          <w:p>
            <w:pPr>
              <w:pStyle w:val="TableParagraph"/>
              <w:spacing w:before="43"/>
              <w:ind w:left="463" w:right="476"/>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66" w:type="dxa"/>
          </w:tcPr>
          <w:p>
            <w:pPr>
              <w:pStyle w:val="TableParagraph"/>
              <w:spacing w:line="214" w:lineRule="exact" w:before="6"/>
              <w:ind w:left="337" w:right="34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5" w:right="0"/>
              <w:jc w:val="center"/>
              <w:rPr>
                <w:rFonts w:ascii="Cambria Math"/>
                <w:sz w:val="16"/>
              </w:rPr>
            </w:pPr>
            <w:r>
              <w:rPr>
                <w:rFonts w:ascii="Cambria Math"/>
                <w:w w:val="113"/>
                <w:sz w:val="16"/>
              </w:rPr>
              <w:t>h</w:t>
            </w:r>
          </w:p>
        </w:tc>
        <w:tc>
          <w:tcPr>
            <w:tcW w:w="1481" w:type="dxa"/>
          </w:tcPr>
          <w:p>
            <w:pPr>
              <w:pStyle w:val="TableParagraph"/>
              <w:spacing w:before="19"/>
              <w:ind w:left="616" w:right="62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068" w:type="dxa"/>
          </w:tcPr>
          <w:p>
            <w:pPr>
              <w:pStyle w:val="TableParagraph"/>
              <w:spacing w:before="43"/>
              <w:ind w:left="404" w:right="412"/>
              <w:jc w:val="center"/>
              <w:rPr>
                <w:rFonts w:ascii="Cambria Math"/>
                <w:sz w:val="16"/>
              </w:rPr>
            </w:pPr>
            <w:r>
              <w:rPr>
                <w:rFonts w:ascii="Cambria Math"/>
                <w:w w:val="110"/>
                <w:sz w:val="22"/>
              </w:rPr>
              <w:t>s</w:t>
            </w:r>
            <w:r>
              <w:rPr>
                <w:rFonts w:ascii="Cambria Math"/>
                <w:w w:val="110"/>
                <w:position w:val="-4"/>
                <w:sz w:val="16"/>
              </w:rPr>
              <w:t>h</w:t>
            </w:r>
          </w:p>
        </w:tc>
        <w:tc>
          <w:tcPr>
            <w:tcW w:w="1426" w:type="dxa"/>
          </w:tcPr>
          <w:p>
            <w:pPr>
              <w:pStyle w:val="TableParagraph"/>
              <w:spacing w:before="0"/>
              <w:ind w:left="37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51" w:type="dxa"/>
          </w:tcPr>
          <w:p>
            <w:pPr>
              <w:pStyle w:val="TableParagraph"/>
              <w:spacing w:before="0"/>
              <w:ind w:left="47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23" w:type="dxa"/>
          </w:tcPr>
          <w:p>
            <w:pPr>
              <w:pStyle w:val="TableParagraph"/>
              <w:spacing w:before="13"/>
              <w:ind w:right="1"/>
              <w:jc w:val="center"/>
              <w:rPr>
                <w:sz w:val="22"/>
              </w:rPr>
            </w:pPr>
            <w:r>
              <w:rPr>
                <w:w w:val="100"/>
                <w:sz w:val="22"/>
              </w:rPr>
              <w:t>1</w:t>
            </w:r>
          </w:p>
        </w:tc>
        <w:tc>
          <w:tcPr>
            <w:tcW w:w="792" w:type="dxa"/>
          </w:tcPr>
          <w:p>
            <w:pPr>
              <w:pStyle w:val="TableParagraph"/>
              <w:spacing w:before="30"/>
              <w:ind w:left="86" w:right="44"/>
              <w:jc w:val="center"/>
              <w:rPr>
                <w:sz w:val="22"/>
              </w:rPr>
            </w:pPr>
            <w:r>
              <w:rPr>
                <w:sz w:val="22"/>
              </w:rPr>
              <w:t>108,60</w:t>
            </w:r>
          </w:p>
        </w:tc>
        <w:tc>
          <w:tcPr>
            <w:tcW w:w="475" w:type="dxa"/>
          </w:tcPr>
          <w:p>
            <w:pPr>
              <w:pStyle w:val="TableParagraph"/>
              <w:spacing w:before="30"/>
              <w:rPr>
                <w:sz w:val="22"/>
              </w:rPr>
            </w:pPr>
            <w:r>
              <w:rPr>
                <w:sz w:val="22"/>
              </w:rPr>
              <w:t>108</w:t>
            </w:r>
          </w:p>
        </w:tc>
        <w:tc>
          <w:tcPr>
            <w:tcW w:w="1205" w:type="dxa"/>
          </w:tcPr>
          <w:p>
            <w:pPr>
              <w:pStyle w:val="TableParagraph"/>
              <w:spacing w:before="30"/>
              <w:ind w:right="63"/>
              <w:rPr>
                <w:sz w:val="22"/>
              </w:rPr>
            </w:pPr>
            <w:r>
              <w:rPr>
                <w:sz w:val="22"/>
              </w:rPr>
              <w:t>45,580000</w:t>
            </w:r>
          </w:p>
        </w:tc>
        <w:tc>
          <w:tcPr>
            <w:tcW w:w="1066" w:type="dxa"/>
          </w:tcPr>
          <w:p>
            <w:pPr>
              <w:pStyle w:val="TableParagraph"/>
              <w:spacing w:before="30"/>
              <w:rPr>
                <w:sz w:val="22"/>
              </w:rPr>
            </w:pPr>
            <w:r>
              <w:rPr>
                <w:sz w:val="22"/>
              </w:rPr>
              <w:t>206,217</w:t>
            </w:r>
          </w:p>
        </w:tc>
        <w:tc>
          <w:tcPr>
            <w:tcW w:w="1481" w:type="dxa"/>
          </w:tcPr>
          <w:p>
            <w:pPr>
              <w:pStyle w:val="TableParagraph"/>
              <w:spacing w:before="30"/>
              <w:ind w:right="63"/>
              <w:rPr>
                <w:sz w:val="22"/>
              </w:rPr>
            </w:pPr>
            <w:r>
              <w:rPr>
                <w:sz w:val="22"/>
              </w:rPr>
              <w:t>4949,988</w:t>
            </w:r>
          </w:p>
        </w:tc>
        <w:tc>
          <w:tcPr>
            <w:tcW w:w="1068" w:type="dxa"/>
          </w:tcPr>
          <w:p>
            <w:pPr>
              <w:pStyle w:val="TableParagraph"/>
              <w:spacing w:before="30"/>
              <w:ind w:right="63"/>
              <w:rPr>
                <w:sz w:val="22"/>
              </w:rPr>
            </w:pPr>
            <w:r>
              <w:rPr>
                <w:sz w:val="22"/>
              </w:rPr>
              <w:t>14,36026</w:t>
            </w:r>
          </w:p>
        </w:tc>
        <w:tc>
          <w:tcPr>
            <w:tcW w:w="1426" w:type="dxa"/>
          </w:tcPr>
          <w:p>
            <w:pPr>
              <w:pStyle w:val="TableParagraph"/>
              <w:spacing w:before="30"/>
              <w:ind w:right="63"/>
              <w:rPr>
                <w:sz w:val="22"/>
              </w:rPr>
            </w:pPr>
            <w:r>
              <w:rPr>
                <w:sz w:val="22"/>
              </w:rPr>
              <w:t>-7528,93729</w:t>
            </w:r>
          </w:p>
        </w:tc>
        <w:tc>
          <w:tcPr>
            <w:tcW w:w="1651" w:type="dxa"/>
          </w:tcPr>
          <w:p>
            <w:pPr>
              <w:pStyle w:val="TableParagraph"/>
              <w:spacing w:before="30"/>
              <w:rPr>
                <w:sz w:val="22"/>
              </w:rPr>
            </w:pPr>
            <w:r>
              <w:rPr>
                <w:sz w:val="22"/>
              </w:rPr>
              <w:t>-0,015579433</w:t>
            </w:r>
          </w:p>
        </w:tc>
      </w:tr>
      <w:tr>
        <w:trPr>
          <w:trHeight w:val="312" w:hRule="exact"/>
        </w:trPr>
        <w:tc>
          <w:tcPr>
            <w:tcW w:w="823" w:type="dxa"/>
          </w:tcPr>
          <w:p>
            <w:pPr>
              <w:pStyle w:val="TableParagraph"/>
              <w:spacing w:before="13"/>
              <w:ind w:right="1"/>
              <w:jc w:val="center"/>
              <w:rPr>
                <w:sz w:val="22"/>
              </w:rPr>
            </w:pPr>
            <w:r>
              <w:rPr>
                <w:w w:val="100"/>
                <w:sz w:val="22"/>
              </w:rPr>
              <w:t>2</w:t>
            </w:r>
          </w:p>
        </w:tc>
        <w:tc>
          <w:tcPr>
            <w:tcW w:w="792" w:type="dxa"/>
          </w:tcPr>
          <w:p>
            <w:pPr>
              <w:pStyle w:val="TableParagraph"/>
              <w:spacing w:before="30"/>
              <w:ind w:left="86" w:right="44"/>
              <w:jc w:val="center"/>
              <w:rPr>
                <w:sz w:val="22"/>
              </w:rPr>
            </w:pPr>
            <w:r>
              <w:rPr>
                <w:sz w:val="22"/>
              </w:rPr>
              <w:t>121,03</w:t>
            </w:r>
          </w:p>
        </w:tc>
        <w:tc>
          <w:tcPr>
            <w:tcW w:w="475" w:type="dxa"/>
          </w:tcPr>
          <w:p>
            <w:pPr>
              <w:pStyle w:val="TableParagraph"/>
              <w:spacing w:before="30"/>
              <w:rPr>
                <w:sz w:val="22"/>
              </w:rPr>
            </w:pPr>
            <w:r>
              <w:rPr>
                <w:sz w:val="22"/>
              </w:rPr>
              <w:t>81</w:t>
            </w:r>
          </w:p>
        </w:tc>
        <w:tc>
          <w:tcPr>
            <w:tcW w:w="1205" w:type="dxa"/>
          </w:tcPr>
          <w:p>
            <w:pPr>
              <w:pStyle w:val="TableParagraph"/>
              <w:spacing w:before="30"/>
              <w:ind w:right="63"/>
              <w:rPr>
                <w:sz w:val="22"/>
              </w:rPr>
            </w:pPr>
            <w:r>
              <w:rPr>
                <w:sz w:val="22"/>
              </w:rPr>
              <w:t>38,620000</w:t>
            </w:r>
          </w:p>
        </w:tc>
        <w:tc>
          <w:tcPr>
            <w:tcW w:w="1066" w:type="dxa"/>
          </w:tcPr>
          <w:p>
            <w:pPr>
              <w:pStyle w:val="TableParagraph"/>
              <w:spacing w:before="30"/>
              <w:rPr>
                <w:sz w:val="22"/>
              </w:rPr>
            </w:pPr>
            <w:r>
              <w:rPr>
                <w:sz w:val="22"/>
              </w:rPr>
              <w:t>72,212</w:t>
            </w:r>
          </w:p>
        </w:tc>
        <w:tc>
          <w:tcPr>
            <w:tcW w:w="1481" w:type="dxa"/>
          </w:tcPr>
          <w:p>
            <w:pPr>
              <w:pStyle w:val="TableParagraph"/>
              <w:spacing w:before="30"/>
              <w:ind w:right="63"/>
              <w:rPr>
                <w:sz w:val="22"/>
              </w:rPr>
            </w:pPr>
            <w:r>
              <w:rPr>
                <w:sz w:val="22"/>
              </w:rPr>
              <w:t>4674,1786</w:t>
            </w:r>
          </w:p>
        </w:tc>
        <w:tc>
          <w:tcPr>
            <w:tcW w:w="1068" w:type="dxa"/>
          </w:tcPr>
          <w:p>
            <w:pPr>
              <w:pStyle w:val="TableParagraph"/>
              <w:spacing w:before="30"/>
              <w:ind w:right="63"/>
              <w:rPr>
                <w:sz w:val="22"/>
              </w:rPr>
            </w:pPr>
            <w:r>
              <w:rPr>
                <w:sz w:val="22"/>
              </w:rPr>
              <w:t>8,497764</w:t>
            </w:r>
          </w:p>
        </w:tc>
        <w:tc>
          <w:tcPr>
            <w:tcW w:w="1426" w:type="dxa"/>
          </w:tcPr>
          <w:p>
            <w:pPr>
              <w:pStyle w:val="TableParagraph"/>
              <w:spacing w:before="30"/>
              <w:ind w:right="63"/>
              <w:rPr>
                <w:sz w:val="22"/>
              </w:rPr>
            </w:pPr>
            <w:r>
              <w:rPr>
                <w:sz w:val="22"/>
              </w:rPr>
              <w:t>4325,64874</w:t>
            </w:r>
          </w:p>
        </w:tc>
        <w:tc>
          <w:tcPr>
            <w:tcW w:w="1651" w:type="dxa"/>
          </w:tcPr>
          <w:p>
            <w:pPr>
              <w:pStyle w:val="TableParagraph"/>
              <w:spacing w:before="30"/>
              <w:rPr>
                <w:sz w:val="22"/>
              </w:rPr>
            </w:pPr>
            <w:r>
              <w:rPr>
                <w:sz w:val="22"/>
              </w:rPr>
              <w:t>0,008950952</w:t>
            </w:r>
          </w:p>
        </w:tc>
      </w:tr>
      <w:tr>
        <w:trPr>
          <w:trHeight w:val="310" w:hRule="exact"/>
        </w:trPr>
        <w:tc>
          <w:tcPr>
            <w:tcW w:w="823" w:type="dxa"/>
          </w:tcPr>
          <w:p>
            <w:pPr>
              <w:pStyle w:val="TableParagraph"/>
              <w:spacing w:before="11"/>
              <w:ind w:right="1"/>
              <w:jc w:val="center"/>
              <w:rPr>
                <w:sz w:val="22"/>
              </w:rPr>
            </w:pPr>
            <w:r>
              <w:rPr>
                <w:w w:val="100"/>
                <w:sz w:val="22"/>
              </w:rPr>
              <w:t>3</w:t>
            </w:r>
          </w:p>
        </w:tc>
        <w:tc>
          <w:tcPr>
            <w:tcW w:w="792" w:type="dxa"/>
          </w:tcPr>
          <w:p>
            <w:pPr>
              <w:pStyle w:val="TableParagraph"/>
              <w:ind w:left="86" w:right="44"/>
              <w:jc w:val="center"/>
              <w:rPr>
                <w:sz w:val="22"/>
              </w:rPr>
            </w:pPr>
            <w:r>
              <w:rPr>
                <w:sz w:val="22"/>
              </w:rPr>
              <w:t>130,21</w:t>
            </w:r>
          </w:p>
        </w:tc>
        <w:tc>
          <w:tcPr>
            <w:tcW w:w="475" w:type="dxa"/>
          </w:tcPr>
          <w:p>
            <w:pPr>
              <w:pStyle w:val="TableParagraph"/>
              <w:rPr>
                <w:sz w:val="22"/>
              </w:rPr>
            </w:pPr>
            <w:r>
              <w:rPr>
                <w:sz w:val="22"/>
              </w:rPr>
              <w:t>77</w:t>
            </w:r>
          </w:p>
        </w:tc>
        <w:tc>
          <w:tcPr>
            <w:tcW w:w="1205" w:type="dxa"/>
          </w:tcPr>
          <w:p>
            <w:pPr>
              <w:pStyle w:val="TableParagraph"/>
              <w:ind w:right="63"/>
              <w:rPr>
                <w:sz w:val="22"/>
              </w:rPr>
            </w:pPr>
            <w:r>
              <w:rPr>
                <w:sz w:val="22"/>
              </w:rPr>
              <w:t>50,440000</w:t>
            </w:r>
          </w:p>
        </w:tc>
        <w:tc>
          <w:tcPr>
            <w:tcW w:w="1066" w:type="dxa"/>
          </w:tcPr>
          <w:p>
            <w:pPr>
              <w:pStyle w:val="TableParagraph"/>
              <w:rPr>
                <w:sz w:val="22"/>
              </w:rPr>
            </w:pPr>
            <w:r>
              <w:rPr>
                <w:sz w:val="22"/>
              </w:rPr>
              <w:t>50,088</w:t>
            </w:r>
          </w:p>
        </w:tc>
        <w:tc>
          <w:tcPr>
            <w:tcW w:w="1481" w:type="dxa"/>
          </w:tcPr>
          <w:p>
            <w:pPr>
              <w:pStyle w:val="TableParagraph"/>
              <w:ind w:right="63"/>
              <w:rPr>
                <w:sz w:val="22"/>
              </w:rPr>
            </w:pPr>
            <w:r>
              <w:rPr>
                <w:sz w:val="22"/>
              </w:rPr>
              <w:t>6567,7924</w:t>
            </w:r>
          </w:p>
        </w:tc>
        <w:tc>
          <w:tcPr>
            <w:tcW w:w="1068" w:type="dxa"/>
          </w:tcPr>
          <w:p>
            <w:pPr>
              <w:pStyle w:val="TableParagraph"/>
              <w:ind w:right="63"/>
              <w:rPr>
                <w:sz w:val="22"/>
              </w:rPr>
            </w:pPr>
            <w:r>
              <w:rPr>
                <w:sz w:val="22"/>
              </w:rPr>
              <w:t>7,077288</w:t>
            </w:r>
          </w:p>
        </w:tc>
        <w:tc>
          <w:tcPr>
            <w:tcW w:w="1426" w:type="dxa"/>
          </w:tcPr>
          <w:p>
            <w:pPr>
              <w:pStyle w:val="TableParagraph"/>
              <w:ind w:right="63"/>
              <w:rPr>
                <w:sz w:val="22"/>
              </w:rPr>
            </w:pPr>
            <w:r>
              <w:rPr>
                <w:sz w:val="22"/>
              </w:rPr>
              <w:t>4573,21024</w:t>
            </w:r>
          </w:p>
        </w:tc>
        <w:tc>
          <w:tcPr>
            <w:tcW w:w="1651" w:type="dxa"/>
          </w:tcPr>
          <w:p>
            <w:pPr>
              <w:pStyle w:val="TableParagraph"/>
              <w:rPr>
                <w:sz w:val="22"/>
              </w:rPr>
            </w:pPr>
            <w:r>
              <w:rPr>
                <w:sz w:val="22"/>
              </w:rPr>
              <w:t>0,009463224</w:t>
            </w:r>
          </w:p>
        </w:tc>
      </w:tr>
      <w:tr>
        <w:trPr>
          <w:trHeight w:val="310" w:hRule="exact"/>
        </w:trPr>
        <w:tc>
          <w:tcPr>
            <w:tcW w:w="823" w:type="dxa"/>
          </w:tcPr>
          <w:p>
            <w:pPr>
              <w:pStyle w:val="TableParagraph"/>
              <w:spacing w:before="13"/>
              <w:ind w:right="1"/>
              <w:jc w:val="center"/>
              <w:rPr>
                <w:sz w:val="22"/>
              </w:rPr>
            </w:pPr>
            <w:r>
              <w:rPr>
                <w:w w:val="100"/>
                <w:sz w:val="22"/>
              </w:rPr>
              <w:t>4</w:t>
            </w:r>
          </w:p>
        </w:tc>
        <w:tc>
          <w:tcPr>
            <w:tcW w:w="792" w:type="dxa"/>
          </w:tcPr>
          <w:p>
            <w:pPr>
              <w:pStyle w:val="TableParagraph"/>
              <w:ind w:left="86" w:right="44"/>
              <w:jc w:val="center"/>
              <w:rPr>
                <w:sz w:val="22"/>
              </w:rPr>
            </w:pPr>
            <w:r>
              <w:rPr>
                <w:sz w:val="22"/>
              </w:rPr>
              <w:t>155,12</w:t>
            </w:r>
          </w:p>
        </w:tc>
        <w:tc>
          <w:tcPr>
            <w:tcW w:w="475" w:type="dxa"/>
          </w:tcPr>
          <w:p>
            <w:pPr>
              <w:pStyle w:val="TableParagraph"/>
              <w:rPr>
                <w:sz w:val="22"/>
              </w:rPr>
            </w:pPr>
            <w:r>
              <w:rPr>
                <w:sz w:val="22"/>
              </w:rPr>
              <w:t>92</w:t>
            </w:r>
          </w:p>
        </w:tc>
        <w:tc>
          <w:tcPr>
            <w:tcW w:w="1205" w:type="dxa"/>
          </w:tcPr>
          <w:p>
            <w:pPr>
              <w:pStyle w:val="TableParagraph"/>
              <w:ind w:right="63"/>
              <w:rPr>
                <w:sz w:val="22"/>
              </w:rPr>
            </w:pPr>
            <w:r>
              <w:rPr>
                <w:sz w:val="22"/>
              </w:rPr>
              <w:t>72,740000</w:t>
            </w:r>
          </w:p>
        </w:tc>
        <w:tc>
          <w:tcPr>
            <w:tcW w:w="1066" w:type="dxa"/>
          </w:tcPr>
          <w:p>
            <w:pPr>
              <w:pStyle w:val="TableParagraph"/>
              <w:rPr>
                <w:sz w:val="22"/>
              </w:rPr>
            </w:pPr>
            <w:r>
              <w:rPr>
                <w:sz w:val="22"/>
              </w:rPr>
              <w:t>74,663</w:t>
            </w:r>
          </w:p>
        </w:tc>
        <w:tc>
          <w:tcPr>
            <w:tcW w:w="1481" w:type="dxa"/>
          </w:tcPr>
          <w:p>
            <w:pPr>
              <w:pStyle w:val="TableParagraph"/>
              <w:ind w:right="63"/>
              <w:rPr>
                <w:sz w:val="22"/>
              </w:rPr>
            </w:pPr>
            <w:r>
              <w:rPr>
                <w:sz w:val="22"/>
              </w:rPr>
              <w:t>11283,4288</w:t>
            </w:r>
          </w:p>
        </w:tc>
        <w:tc>
          <w:tcPr>
            <w:tcW w:w="1068" w:type="dxa"/>
          </w:tcPr>
          <w:p>
            <w:pPr>
              <w:pStyle w:val="TableParagraph"/>
              <w:ind w:right="63"/>
              <w:rPr>
                <w:sz w:val="22"/>
              </w:rPr>
            </w:pPr>
            <w:r>
              <w:rPr>
                <w:sz w:val="22"/>
              </w:rPr>
              <w:t>8,640775</w:t>
            </w:r>
          </w:p>
        </w:tc>
        <w:tc>
          <w:tcPr>
            <w:tcW w:w="1426" w:type="dxa"/>
          </w:tcPr>
          <w:p>
            <w:pPr>
              <w:pStyle w:val="TableParagraph"/>
              <w:ind w:right="63"/>
              <w:rPr>
                <w:sz w:val="22"/>
              </w:rPr>
            </w:pPr>
            <w:r>
              <w:rPr>
                <w:sz w:val="22"/>
              </w:rPr>
              <w:t>7986,48276</w:t>
            </w:r>
          </w:p>
        </w:tc>
        <w:tc>
          <w:tcPr>
            <w:tcW w:w="1651" w:type="dxa"/>
          </w:tcPr>
          <w:p>
            <w:pPr>
              <w:pStyle w:val="TableParagraph"/>
              <w:rPr>
                <w:sz w:val="22"/>
              </w:rPr>
            </w:pPr>
            <w:r>
              <w:rPr>
                <w:sz w:val="22"/>
              </w:rPr>
              <w:t>0,016526219</w:t>
            </w:r>
          </w:p>
        </w:tc>
      </w:tr>
      <w:tr>
        <w:trPr>
          <w:trHeight w:val="310" w:hRule="exact"/>
        </w:trPr>
        <w:tc>
          <w:tcPr>
            <w:tcW w:w="823" w:type="dxa"/>
          </w:tcPr>
          <w:p>
            <w:pPr>
              <w:pStyle w:val="TableParagraph"/>
              <w:spacing w:before="13"/>
              <w:ind w:right="1"/>
              <w:jc w:val="center"/>
              <w:rPr>
                <w:sz w:val="22"/>
              </w:rPr>
            </w:pPr>
            <w:r>
              <w:rPr>
                <w:w w:val="100"/>
                <w:sz w:val="22"/>
              </w:rPr>
              <w:t>5</w:t>
            </w:r>
          </w:p>
        </w:tc>
        <w:tc>
          <w:tcPr>
            <w:tcW w:w="792" w:type="dxa"/>
          </w:tcPr>
          <w:p>
            <w:pPr>
              <w:pStyle w:val="TableParagraph"/>
              <w:ind w:left="86" w:right="44"/>
              <w:jc w:val="center"/>
              <w:rPr>
                <w:sz w:val="22"/>
              </w:rPr>
            </w:pPr>
            <w:r>
              <w:rPr>
                <w:sz w:val="22"/>
              </w:rPr>
              <w:t>180,21</w:t>
            </w:r>
          </w:p>
        </w:tc>
        <w:tc>
          <w:tcPr>
            <w:tcW w:w="475" w:type="dxa"/>
          </w:tcPr>
          <w:p>
            <w:pPr>
              <w:pStyle w:val="TableParagraph"/>
              <w:rPr>
                <w:sz w:val="22"/>
              </w:rPr>
            </w:pPr>
            <w:r>
              <w:rPr>
                <w:sz w:val="22"/>
              </w:rPr>
              <w:t>132</w:t>
            </w:r>
          </w:p>
        </w:tc>
        <w:tc>
          <w:tcPr>
            <w:tcW w:w="1205" w:type="dxa"/>
          </w:tcPr>
          <w:p>
            <w:pPr>
              <w:pStyle w:val="TableParagraph"/>
              <w:ind w:right="63"/>
              <w:rPr>
                <w:sz w:val="22"/>
              </w:rPr>
            </w:pPr>
            <w:r>
              <w:rPr>
                <w:sz w:val="22"/>
              </w:rPr>
              <w:t>74,251667</w:t>
            </w:r>
          </w:p>
        </w:tc>
        <w:tc>
          <w:tcPr>
            <w:tcW w:w="1066" w:type="dxa"/>
          </w:tcPr>
          <w:p>
            <w:pPr>
              <w:pStyle w:val="TableParagraph"/>
              <w:rPr>
                <w:sz w:val="22"/>
              </w:rPr>
            </w:pPr>
            <w:r>
              <w:rPr>
                <w:sz w:val="22"/>
              </w:rPr>
              <w:t>102,9068</w:t>
            </w:r>
          </w:p>
        </w:tc>
        <w:tc>
          <w:tcPr>
            <w:tcW w:w="1481" w:type="dxa"/>
          </w:tcPr>
          <w:p>
            <w:pPr>
              <w:pStyle w:val="TableParagraph"/>
              <w:ind w:right="63"/>
              <w:rPr>
                <w:sz w:val="22"/>
              </w:rPr>
            </w:pPr>
            <w:r>
              <w:rPr>
                <w:sz w:val="22"/>
              </w:rPr>
              <w:t>13380,89285</w:t>
            </w:r>
          </w:p>
        </w:tc>
        <w:tc>
          <w:tcPr>
            <w:tcW w:w="1068" w:type="dxa"/>
          </w:tcPr>
          <w:p>
            <w:pPr>
              <w:pStyle w:val="TableParagraph"/>
              <w:ind w:right="63"/>
              <w:rPr>
                <w:sz w:val="22"/>
              </w:rPr>
            </w:pPr>
            <w:r>
              <w:rPr>
                <w:sz w:val="22"/>
              </w:rPr>
              <w:t>10,1443</w:t>
            </w:r>
          </w:p>
        </w:tc>
        <w:tc>
          <w:tcPr>
            <w:tcW w:w="1426" w:type="dxa"/>
          </w:tcPr>
          <w:p>
            <w:pPr>
              <w:pStyle w:val="TableParagraph"/>
              <w:ind w:right="63"/>
              <w:rPr>
                <w:sz w:val="22"/>
              </w:rPr>
            </w:pPr>
            <w:r>
              <w:rPr>
                <w:sz w:val="22"/>
              </w:rPr>
              <w:t>6765,41063</w:t>
            </w:r>
          </w:p>
        </w:tc>
        <w:tc>
          <w:tcPr>
            <w:tcW w:w="1651" w:type="dxa"/>
          </w:tcPr>
          <w:p>
            <w:pPr>
              <w:pStyle w:val="TableParagraph"/>
              <w:rPr>
                <w:sz w:val="22"/>
              </w:rPr>
            </w:pPr>
            <w:r>
              <w:rPr>
                <w:sz w:val="22"/>
              </w:rPr>
              <w:t>0,013999487</w:t>
            </w:r>
          </w:p>
        </w:tc>
      </w:tr>
      <w:tr>
        <w:trPr>
          <w:trHeight w:val="310" w:hRule="exact"/>
        </w:trPr>
        <w:tc>
          <w:tcPr>
            <w:tcW w:w="823" w:type="dxa"/>
          </w:tcPr>
          <w:p>
            <w:pPr>
              <w:pStyle w:val="TableParagraph"/>
              <w:spacing w:before="13"/>
              <w:ind w:right="0"/>
              <w:jc w:val="center"/>
              <w:rPr>
                <w:sz w:val="22"/>
              </w:rPr>
            </w:pPr>
            <w:r>
              <w:rPr>
                <w:w w:val="100"/>
                <w:sz w:val="22"/>
              </w:rPr>
              <w:t>N</w:t>
            </w:r>
          </w:p>
        </w:tc>
        <w:tc>
          <w:tcPr>
            <w:tcW w:w="792" w:type="dxa"/>
          </w:tcPr>
          <w:p>
            <w:pPr>
              <w:pStyle w:val="TableParagraph"/>
              <w:ind w:left="86" w:right="44"/>
              <w:jc w:val="center"/>
              <w:rPr>
                <w:sz w:val="22"/>
              </w:rPr>
            </w:pPr>
            <w:r>
              <w:rPr>
                <w:sz w:val="22"/>
              </w:rPr>
              <w:t>695,17</w:t>
            </w:r>
          </w:p>
        </w:tc>
        <w:tc>
          <w:tcPr>
            <w:tcW w:w="475" w:type="dxa"/>
          </w:tcPr>
          <w:p>
            <w:pPr/>
          </w:p>
        </w:tc>
        <w:tc>
          <w:tcPr>
            <w:tcW w:w="1205" w:type="dxa"/>
          </w:tcPr>
          <w:p>
            <w:pPr/>
          </w:p>
        </w:tc>
        <w:tc>
          <w:tcPr>
            <w:tcW w:w="1066" w:type="dxa"/>
          </w:tcPr>
          <w:p>
            <w:pPr>
              <w:pStyle w:val="TableParagraph"/>
              <w:spacing w:line="314" w:lineRule="exact" w:before="0"/>
              <w:ind w:left="337" w:right="348"/>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481" w:type="dxa"/>
          </w:tcPr>
          <w:p>
            <w:pPr>
              <w:pStyle w:val="TableParagraph"/>
              <w:ind w:right="63"/>
              <w:rPr>
                <w:sz w:val="22"/>
              </w:rPr>
            </w:pPr>
            <w:r>
              <w:rPr>
                <w:sz w:val="22"/>
              </w:rPr>
              <w:t>40856,28065</w:t>
            </w:r>
          </w:p>
        </w:tc>
        <w:tc>
          <w:tcPr>
            <w:tcW w:w="1068" w:type="dxa"/>
          </w:tcPr>
          <w:p>
            <w:pPr/>
          </w:p>
        </w:tc>
        <w:tc>
          <w:tcPr>
            <w:tcW w:w="1426" w:type="dxa"/>
          </w:tcPr>
          <w:p>
            <w:pPr>
              <w:pStyle w:val="TableParagraph"/>
              <w:ind w:right="63"/>
              <w:rPr>
                <w:sz w:val="22"/>
              </w:rPr>
            </w:pPr>
            <w:r>
              <w:rPr>
                <w:sz w:val="22"/>
              </w:rPr>
              <w:t>16121,8151</w:t>
            </w:r>
          </w:p>
        </w:tc>
        <w:tc>
          <w:tcPr>
            <w:tcW w:w="1651" w:type="dxa"/>
          </w:tcPr>
          <w:p>
            <w:pPr>
              <w:pStyle w:val="TableParagraph"/>
              <w:rPr>
                <w:sz w:val="22"/>
              </w:rPr>
            </w:pPr>
            <w:r>
              <w:rPr>
                <w:sz w:val="22"/>
              </w:rPr>
              <w:t>0,033360449</w:t>
            </w:r>
          </w:p>
        </w:tc>
      </w:tr>
      <w:tr>
        <w:trPr>
          <w:trHeight w:val="310" w:hRule="exact"/>
        </w:trPr>
        <w:tc>
          <w:tcPr>
            <w:tcW w:w="5842" w:type="dxa"/>
            <w:gridSpan w:val="6"/>
            <w:vMerge w:val="restart"/>
            <w:tcBorders>
              <w:left w:val="nil"/>
            </w:tcBorders>
          </w:tcPr>
          <w:p>
            <w:pPr/>
          </w:p>
        </w:tc>
        <w:tc>
          <w:tcPr>
            <w:tcW w:w="2494" w:type="dxa"/>
            <w:gridSpan w:val="2"/>
          </w:tcPr>
          <w:p>
            <w:pPr>
              <w:pStyle w:val="TableParagraph"/>
              <w:spacing w:before="13"/>
              <w:ind w:left="64" w:right="212"/>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51" w:type="dxa"/>
          </w:tcPr>
          <w:p>
            <w:pPr>
              <w:pStyle w:val="TableParagraph"/>
              <w:spacing w:before="30"/>
              <w:rPr>
                <w:b/>
                <w:sz w:val="22"/>
              </w:rPr>
            </w:pPr>
            <w:r>
              <w:rPr>
                <w:b/>
                <w:sz w:val="22"/>
              </w:rPr>
              <w:t>58,772</w:t>
            </w:r>
          </w:p>
        </w:tc>
      </w:tr>
      <w:tr>
        <w:trPr>
          <w:trHeight w:val="312" w:hRule="exact"/>
        </w:trPr>
        <w:tc>
          <w:tcPr>
            <w:tcW w:w="5842" w:type="dxa"/>
            <w:gridSpan w:val="6"/>
            <w:vMerge/>
            <w:tcBorders>
              <w:left w:val="nil"/>
            </w:tcBorders>
          </w:tcPr>
          <w:p>
            <w:pPr/>
          </w:p>
        </w:tc>
        <w:tc>
          <w:tcPr>
            <w:tcW w:w="2494" w:type="dxa"/>
            <w:gridSpan w:val="2"/>
          </w:tcPr>
          <w:p>
            <w:pPr>
              <w:pStyle w:val="TableParagraph"/>
              <w:spacing w:before="13"/>
              <w:ind w:left="64" w:right="212"/>
              <w:jc w:val="left"/>
              <w:rPr>
                <w:sz w:val="22"/>
              </w:rPr>
            </w:pPr>
            <w:r>
              <w:rPr>
                <w:sz w:val="22"/>
              </w:rPr>
              <w:t>Desviación estándar</w:t>
            </w:r>
          </w:p>
        </w:tc>
        <w:tc>
          <w:tcPr>
            <w:tcW w:w="1651" w:type="dxa"/>
          </w:tcPr>
          <w:p>
            <w:pPr>
              <w:pStyle w:val="TableParagraph"/>
              <w:spacing w:before="30"/>
              <w:rPr>
                <w:b/>
                <w:sz w:val="22"/>
              </w:rPr>
            </w:pPr>
            <w:r>
              <w:rPr>
                <w:b/>
                <w:sz w:val="22"/>
              </w:rPr>
              <w:t>0,183</w:t>
            </w:r>
          </w:p>
        </w:tc>
      </w:tr>
      <w:tr>
        <w:trPr>
          <w:trHeight w:val="310" w:hRule="exact"/>
        </w:trPr>
        <w:tc>
          <w:tcPr>
            <w:tcW w:w="5842" w:type="dxa"/>
            <w:gridSpan w:val="6"/>
            <w:vMerge/>
            <w:tcBorders>
              <w:left w:val="nil"/>
            </w:tcBorders>
          </w:tcPr>
          <w:p>
            <w:pPr/>
          </w:p>
        </w:tc>
        <w:tc>
          <w:tcPr>
            <w:tcW w:w="2494" w:type="dxa"/>
            <w:gridSpan w:val="2"/>
            <w:vMerge w:val="restart"/>
          </w:tcPr>
          <w:p>
            <w:pPr>
              <w:pStyle w:val="TableParagraph"/>
              <w:spacing w:before="33"/>
              <w:ind w:left="64" w:right="212"/>
              <w:jc w:val="left"/>
              <w:rPr>
                <w:sz w:val="22"/>
              </w:rPr>
            </w:pPr>
            <w:r>
              <w:rPr>
                <w:sz w:val="22"/>
              </w:rPr>
              <w:t>Intervalo de confianza al 95 %</w:t>
            </w:r>
          </w:p>
        </w:tc>
        <w:tc>
          <w:tcPr>
            <w:tcW w:w="1651" w:type="dxa"/>
          </w:tcPr>
          <w:p>
            <w:pPr>
              <w:pStyle w:val="TableParagraph"/>
              <w:rPr>
                <w:sz w:val="22"/>
              </w:rPr>
            </w:pPr>
            <w:r>
              <w:rPr>
                <w:sz w:val="22"/>
              </w:rPr>
              <w:t>58,41</w:t>
            </w:r>
          </w:p>
        </w:tc>
      </w:tr>
      <w:tr>
        <w:trPr>
          <w:trHeight w:val="310" w:hRule="exact"/>
        </w:trPr>
        <w:tc>
          <w:tcPr>
            <w:tcW w:w="5842" w:type="dxa"/>
            <w:gridSpan w:val="6"/>
            <w:vMerge/>
            <w:tcBorders>
              <w:left w:val="nil"/>
              <w:bottom w:val="nil"/>
            </w:tcBorders>
          </w:tcPr>
          <w:p>
            <w:pPr/>
          </w:p>
        </w:tc>
        <w:tc>
          <w:tcPr>
            <w:tcW w:w="2494" w:type="dxa"/>
            <w:gridSpan w:val="2"/>
            <w:vMerge/>
          </w:tcPr>
          <w:p>
            <w:pPr/>
          </w:p>
        </w:tc>
        <w:tc>
          <w:tcPr>
            <w:tcW w:w="1651" w:type="dxa"/>
          </w:tcPr>
          <w:p>
            <w:pPr>
              <w:pStyle w:val="TableParagraph"/>
              <w:rPr>
                <w:sz w:val="22"/>
              </w:rPr>
            </w:pPr>
            <w:r>
              <w:rPr>
                <w:sz w:val="22"/>
              </w:rPr>
              <w:t>59,13</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3"/>
        <w:gridCol w:w="792"/>
        <w:gridCol w:w="475"/>
        <w:gridCol w:w="1205"/>
        <w:gridCol w:w="1066"/>
        <w:gridCol w:w="1481"/>
        <w:gridCol w:w="1068"/>
        <w:gridCol w:w="1426"/>
        <w:gridCol w:w="1651"/>
      </w:tblGrid>
      <w:tr>
        <w:trPr>
          <w:trHeight w:val="310" w:hRule="exact"/>
        </w:trPr>
        <w:tc>
          <w:tcPr>
            <w:tcW w:w="9986" w:type="dxa"/>
            <w:gridSpan w:val="9"/>
          </w:tcPr>
          <w:p>
            <w:pPr>
              <w:pStyle w:val="TableParagraph"/>
              <w:ind w:left="4013" w:right="4012"/>
              <w:jc w:val="center"/>
              <w:rPr>
                <w:sz w:val="22"/>
              </w:rPr>
            </w:pPr>
            <w:r>
              <w:rPr>
                <w:sz w:val="22"/>
              </w:rPr>
              <w:t>Punto de muestreo E</w:t>
            </w:r>
          </w:p>
        </w:tc>
      </w:tr>
      <w:tr>
        <w:trPr>
          <w:trHeight w:val="310" w:hRule="exact"/>
        </w:trPr>
        <w:tc>
          <w:tcPr>
            <w:tcW w:w="823" w:type="dxa"/>
          </w:tcPr>
          <w:p>
            <w:pPr>
              <w:pStyle w:val="TableParagraph"/>
              <w:spacing w:before="13"/>
              <w:ind w:left="2" w:right="44"/>
              <w:jc w:val="center"/>
              <w:rPr>
                <w:sz w:val="22"/>
              </w:rPr>
            </w:pPr>
            <w:r>
              <w:rPr>
                <w:sz w:val="22"/>
              </w:rPr>
              <w:t>Estrato</w:t>
            </w:r>
          </w:p>
        </w:tc>
        <w:tc>
          <w:tcPr>
            <w:tcW w:w="792"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1205" w:type="dxa"/>
          </w:tcPr>
          <w:p>
            <w:pPr>
              <w:pStyle w:val="TableParagraph"/>
              <w:spacing w:before="43"/>
              <w:ind w:left="463" w:right="476"/>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66" w:type="dxa"/>
          </w:tcPr>
          <w:p>
            <w:pPr>
              <w:pStyle w:val="TableParagraph"/>
              <w:spacing w:line="214" w:lineRule="exact" w:before="6"/>
              <w:ind w:left="337" w:right="34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5" w:right="0"/>
              <w:jc w:val="center"/>
              <w:rPr>
                <w:rFonts w:ascii="Cambria Math"/>
                <w:sz w:val="16"/>
              </w:rPr>
            </w:pPr>
            <w:r>
              <w:rPr>
                <w:rFonts w:ascii="Cambria Math"/>
                <w:w w:val="113"/>
                <w:sz w:val="16"/>
              </w:rPr>
              <w:t>h</w:t>
            </w:r>
          </w:p>
        </w:tc>
        <w:tc>
          <w:tcPr>
            <w:tcW w:w="1481" w:type="dxa"/>
          </w:tcPr>
          <w:p>
            <w:pPr>
              <w:pStyle w:val="TableParagraph"/>
              <w:spacing w:before="19"/>
              <w:ind w:left="616" w:right="62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068" w:type="dxa"/>
          </w:tcPr>
          <w:p>
            <w:pPr>
              <w:pStyle w:val="TableParagraph"/>
              <w:spacing w:before="43"/>
              <w:ind w:left="404" w:right="412"/>
              <w:jc w:val="center"/>
              <w:rPr>
                <w:rFonts w:ascii="Cambria Math"/>
                <w:sz w:val="16"/>
              </w:rPr>
            </w:pPr>
            <w:r>
              <w:rPr>
                <w:rFonts w:ascii="Cambria Math"/>
                <w:w w:val="110"/>
                <w:sz w:val="22"/>
              </w:rPr>
              <w:t>s</w:t>
            </w:r>
            <w:r>
              <w:rPr>
                <w:rFonts w:ascii="Cambria Math"/>
                <w:w w:val="110"/>
                <w:position w:val="-4"/>
                <w:sz w:val="16"/>
              </w:rPr>
              <w:t>h</w:t>
            </w:r>
          </w:p>
        </w:tc>
        <w:tc>
          <w:tcPr>
            <w:tcW w:w="1426" w:type="dxa"/>
          </w:tcPr>
          <w:p>
            <w:pPr>
              <w:pStyle w:val="TableParagraph"/>
              <w:spacing w:before="0"/>
              <w:ind w:left="37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51" w:type="dxa"/>
          </w:tcPr>
          <w:p>
            <w:pPr>
              <w:pStyle w:val="TableParagraph"/>
              <w:spacing w:before="0"/>
              <w:ind w:left="47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23" w:type="dxa"/>
          </w:tcPr>
          <w:p>
            <w:pPr>
              <w:pStyle w:val="TableParagraph"/>
              <w:spacing w:before="13"/>
              <w:ind w:right="1"/>
              <w:jc w:val="center"/>
              <w:rPr>
                <w:sz w:val="22"/>
              </w:rPr>
            </w:pPr>
            <w:r>
              <w:rPr>
                <w:w w:val="100"/>
                <w:sz w:val="22"/>
              </w:rPr>
              <w:t>1</w:t>
            </w:r>
          </w:p>
        </w:tc>
        <w:tc>
          <w:tcPr>
            <w:tcW w:w="792" w:type="dxa"/>
          </w:tcPr>
          <w:p>
            <w:pPr>
              <w:pStyle w:val="TableParagraph"/>
              <w:spacing w:before="30"/>
              <w:ind w:left="86" w:right="44"/>
              <w:jc w:val="center"/>
              <w:rPr>
                <w:sz w:val="22"/>
              </w:rPr>
            </w:pPr>
            <w:r>
              <w:rPr>
                <w:sz w:val="22"/>
              </w:rPr>
              <w:t>108,60</w:t>
            </w:r>
          </w:p>
        </w:tc>
        <w:tc>
          <w:tcPr>
            <w:tcW w:w="475" w:type="dxa"/>
          </w:tcPr>
          <w:p>
            <w:pPr>
              <w:pStyle w:val="TableParagraph"/>
              <w:spacing w:before="30"/>
              <w:rPr>
                <w:sz w:val="22"/>
              </w:rPr>
            </w:pPr>
            <w:r>
              <w:rPr>
                <w:sz w:val="22"/>
              </w:rPr>
              <w:t>108</w:t>
            </w:r>
          </w:p>
        </w:tc>
        <w:tc>
          <w:tcPr>
            <w:tcW w:w="1205" w:type="dxa"/>
          </w:tcPr>
          <w:p>
            <w:pPr>
              <w:pStyle w:val="TableParagraph"/>
              <w:spacing w:before="30"/>
              <w:ind w:right="63"/>
              <w:rPr>
                <w:sz w:val="22"/>
              </w:rPr>
            </w:pPr>
            <w:r>
              <w:rPr>
                <w:sz w:val="22"/>
              </w:rPr>
              <w:t>46,0600</w:t>
            </w:r>
          </w:p>
        </w:tc>
        <w:tc>
          <w:tcPr>
            <w:tcW w:w="1066" w:type="dxa"/>
          </w:tcPr>
          <w:p>
            <w:pPr>
              <w:pStyle w:val="TableParagraph"/>
              <w:spacing w:before="30"/>
              <w:rPr>
                <w:sz w:val="22"/>
              </w:rPr>
            </w:pPr>
            <w:r>
              <w:rPr>
                <w:sz w:val="22"/>
              </w:rPr>
              <w:t>225,8030</w:t>
            </w:r>
          </w:p>
        </w:tc>
        <w:tc>
          <w:tcPr>
            <w:tcW w:w="1481" w:type="dxa"/>
          </w:tcPr>
          <w:p>
            <w:pPr>
              <w:pStyle w:val="TableParagraph"/>
              <w:spacing w:before="30"/>
              <w:ind w:right="63"/>
              <w:rPr>
                <w:sz w:val="22"/>
              </w:rPr>
            </w:pPr>
            <w:r>
              <w:rPr>
                <w:sz w:val="22"/>
              </w:rPr>
              <w:t>5002,1160</w:t>
            </w:r>
          </w:p>
        </w:tc>
        <w:tc>
          <w:tcPr>
            <w:tcW w:w="1068" w:type="dxa"/>
          </w:tcPr>
          <w:p>
            <w:pPr>
              <w:pStyle w:val="TableParagraph"/>
              <w:spacing w:before="30"/>
              <w:ind w:right="63"/>
              <w:rPr>
                <w:sz w:val="22"/>
              </w:rPr>
            </w:pPr>
            <w:r>
              <w:rPr>
                <w:sz w:val="22"/>
              </w:rPr>
              <w:t>15,0267</w:t>
            </w:r>
          </w:p>
        </w:tc>
        <w:tc>
          <w:tcPr>
            <w:tcW w:w="1426" w:type="dxa"/>
          </w:tcPr>
          <w:p>
            <w:pPr>
              <w:pStyle w:val="TableParagraph"/>
              <w:spacing w:before="30"/>
              <w:ind w:right="63"/>
              <w:rPr>
                <w:sz w:val="22"/>
              </w:rPr>
            </w:pPr>
            <w:r>
              <w:rPr>
                <w:sz w:val="22"/>
              </w:rPr>
              <w:t>-8244,0178</w:t>
            </w:r>
          </w:p>
        </w:tc>
        <w:tc>
          <w:tcPr>
            <w:tcW w:w="1651" w:type="dxa"/>
          </w:tcPr>
          <w:p>
            <w:pPr>
              <w:pStyle w:val="TableParagraph"/>
              <w:spacing w:before="30"/>
              <w:rPr>
                <w:sz w:val="22"/>
              </w:rPr>
            </w:pPr>
            <w:r>
              <w:rPr>
                <w:sz w:val="22"/>
              </w:rPr>
              <w:t>-0,01705913</w:t>
            </w:r>
          </w:p>
        </w:tc>
      </w:tr>
      <w:tr>
        <w:trPr>
          <w:trHeight w:val="310" w:hRule="exact"/>
        </w:trPr>
        <w:tc>
          <w:tcPr>
            <w:tcW w:w="823" w:type="dxa"/>
          </w:tcPr>
          <w:p>
            <w:pPr>
              <w:pStyle w:val="TableParagraph"/>
              <w:spacing w:before="11"/>
              <w:ind w:right="1"/>
              <w:jc w:val="center"/>
              <w:rPr>
                <w:sz w:val="22"/>
              </w:rPr>
            </w:pPr>
            <w:r>
              <w:rPr>
                <w:w w:val="100"/>
                <w:sz w:val="22"/>
              </w:rPr>
              <w:t>2</w:t>
            </w:r>
          </w:p>
        </w:tc>
        <w:tc>
          <w:tcPr>
            <w:tcW w:w="792" w:type="dxa"/>
          </w:tcPr>
          <w:p>
            <w:pPr>
              <w:pStyle w:val="TableParagraph"/>
              <w:ind w:left="86" w:right="44"/>
              <w:jc w:val="center"/>
              <w:rPr>
                <w:sz w:val="22"/>
              </w:rPr>
            </w:pPr>
            <w:r>
              <w:rPr>
                <w:sz w:val="22"/>
              </w:rPr>
              <w:t>121,03</w:t>
            </w:r>
          </w:p>
        </w:tc>
        <w:tc>
          <w:tcPr>
            <w:tcW w:w="475" w:type="dxa"/>
          </w:tcPr>
          <w:p>
            <w:pPr>
              <w:pStyle w:val="TableParagraph"/>
              <w:rPr>
                <w:sz w:val="22"/>
              </w:rPr>
            </w:pPr>
            <w:r>
              <w:rPr>
                <w:sz w:val="22"/>
              </w:rPr>
              <w:t>81</w:t>
            </w:r>
          </w:p>
        </w:tc>
        <w:tc>
          <w:tcPr>
            <w:tcW w:w="1205" w:type="dxa"/>
          </w:tcPr>
          <w:p>
            <w:pPr>
              <w:pStyle w:val="TableParagraph"/>
              <w:ind w:right="63"/>
              <w:rPr>
                <w:sz w:val="22"/>
              </w:rPr>
            </w:pPr>
            <w:r>
              <w:rPr>
                <w:sz w:val="22"/>
              </w:rPr>
              <w:t>37,2000</w:t>
            </w:r>
          </w:p>
        </w:tc>
        <w:tc>
          <w:tcPr>
            <w:tcW w:w="1066" w:type="dxa"/>
          </w:tcPr>
          <w:p>
            <w:pPr>
              <w:pStyle w:val="TableParagraph"/>
              <w:rPr>
                <w:sz w:val="22"/>
              </w:rPr>
            </w:pPr>
            <w:r>
              <w:rPr>
                <w:sz w:val="22"/>
              </w:rPr>
              <w:t>69,4600</w:t>
            </w:r>
          </w:p>
        </w:tc>
        <w:tc>
          <w:tcPr>
            <w:tcW w:w="1481" w:type="dxa"/>
          </w:tcPr>
          <w:p>
            <w:pPr>
              <w:pStyle w:val="TableParagraph"/>
              <w:ind w:right="63"/>
              <w:rPr>
                <w:sz w:val="22"/>
              </w:rPr>
            </w:pPr>
            <w:r>
              <w:rPr>
                <w:sz w:val="22"/>
              </w:rPr>
              <w:t>4502,3160</w:t>
            </w:r>
          </w:p>
        </w:tc>
        <w:tc>
          <w:tcPr>
            <w:tcW w:w="1068" w:type="dxa"/>
          </w:tcPr>
          <w:p>
            <w:pPr>
              <w:pStyle w:val="TableParagraph"/>
              <w:ind w:right="63"/>
              <w:rPr>
                <w:sz w:val="22"/>
              </w:rPr>
            </w:pPr>
            <w:r>
              <w:rPr>
                <w:sz w:val="22"/>
              </w:rPr>
              <w:t>8,3343</w:t>
            </w:r>
          </w:p>
        </w:tc>
        <w:tc>
          <w:tcPr>
            <w:tcW w:w="1426" w:type="dxa"/>
          </w:tcPr>
          <w:p>
            <w:pPr>
              <w:pStyle w:val="TableParagraph"/>
              <w:ind w:right="63"/>
              <w:rPr>
                <w:sz w:val="22"/>
              </w:rPr>
            </w:pPr>
            <w:r>
              <w:rPr>
                <w:sz w:val="22"/>
              </w:rPr>
              <w:t>4160,7982</w:t>
            </w:r>
          </w:p>
        </w:tc>
        <w:tc>
          <w:tcPr>
            <w:tcW w:w="1651" w:type="dxa"/>
          </w:tcPr>
          <w:p>
            <w:pPr>
              <w:pStyle w:val="TableParagraph"/>
              <w:rPr>
                <w:sz w:val="22"/>
              </w:rPr>
            </w:pPr>
            <w:r>
              <w:rPr>
                <w:sz w:val="22"/>
              </w:rPr>
              <w:t>0,008609831</w:t>
            </w:r>
          </w:p>
        </w:tc>
      </w:tr>
      <w:tr>
        <w:trPr>
          <w:trHeight w:val="310" w:hRule="exact"/>
        </w:trPr>
        <w:tc>
          <w:tcPr>
            <w:tcW w:w="823" w:type="dxa"/>
          </w:tcPr>
          <w:p>
            <w:pPr>
              <w:pStyle w:val="TableParagraph"/>
              <w:spacing w:before="13"/>
              <w:ind w:right="1"/>
              <w:jc w:val="center"/>
              <w:rPr>
                <w:sz w:val="22"/>
              </w:rPr>
            </w:pPr>
            <w:r>
              <w:rPr>
                <w:w w:val="100"/>
                <w:sz w:val="22"/>
              </w:rPr>
              <w:t>3</w:t>
            </w:r>
          </w:p>
        </w:tc>
        <w:tc>
          <w:tcPr>
            <w:tcW w:w="792" w:type="dxa"/>
          </w:tcPr>
          <w:p>
            <w:pPr>
              <w:pStyle w:val="TableParagraph"/>
              <w:ind w:left="86" w:right="44"/>
              <w:jc w:val="center"/>
              <w:rPr>
                <w:sz w:val="22"/>
              </w:rPr>
            </w:pPr>
            <w:r>
              <w:rPr>
                <w:sz w:val="22"/>
              </w:rPr>
              <w:t>130,21</w:t>
            </w:r>
          </w:p>
        </w:tc>
        <w:tc>
          <w:tcPr>
            <w:tcW w:w="475" w:type="dxa"/>
          </w:tcPr>
          <w:p>
            <w:pPr>
              <w:pStyle w:val="TableParagraph"/>
              <w:rPr>
                <w:sz w:val="22"/>
              </w:rPr>
            </w:pPr>
            <w:r>
              <w:rPr>
                <w:sz w:val="22"/>
              </w:rPr>
              <w:t>77</w:t>
            </w:r>
          </w:p>
        </w:tc>
        <w:tc>
          <w:tcPr>
            <w:tcW w:w="1205" w:type="dxa"/>
          </w:tcPr>
          <w:p>
            <w:pPr>
              <w:pStyle w:val="TableParagraph"/>
              <w:ind w:right="63"/>
              <w:rPr>
                <w:sz w:val="22"/>
              </w:rPr>
            </w:pPr>
            <w:r>
              <w:rPr>
                <w:sz w:val="22"/>
              </w:rPr>
              <w:t>47,6000</w:t>
            </w:r>
          </w:p>
        </w:tc>
        <w:tc>
          <w:tcPr>
            <w:tcW w:w="1066" w:type="dxa"/>
          </w:tcPr>
          <w:p>
            <w:pPr>
              <w:pStyle w:val="TableParagraph"/>
              <w:rPr>
                <w:sz w:val="22"/>
              </w:rPr>
            </w:pPr>
            <w:r>
              <w:rPr>
                <w:sz w:val="22"/>
              </w:rPr>
              <w:t>23,9600</w:t>
            </w:r>
          </w:p>
        </w:tc>
        <w:tc>
          <w:tcPr>
            <w:tcW w:w="1481" w:type="dxa"/>
          </w:tcPr>
          <w:p>
            <w:pPr>
              <w:pStyle w:val="TableParagraph"/>
              <w:ind w:right="63"/>
              <w:rPr>
                <w:sz w:val="22"/>
              </w:rPr>
            </w:pPr>
            <w:r>
              <w:rPr>
                <w:sz w:val="22"/>
              </w:rPr>
              <w:t>6197,9960</w:t>
            </w:r>
          </w:p>
        </w:tc>
        <w:tc>
          <w:tcPr>
            <w:tcW w:w="1068" w:type="dxa"/>
          </w:tcPr>
          <w:p>
            <w:pPr>
              <w:pStyle w:val="TableParagraph"/>
              <w:ind w:right="63"/>
              <w:rPr>
                <w:sz w:val="22"/>
              </w:rPr>
            </w:pPr>
            <w:r>
              <w:rPr>
                <w:sz w:val="22"/>
              </w:rPr>
              <w:t>4,8949</w:t>
            </w:r>
          </w:p>
        </w:tc>
        <w:tc>
          <w:tcPr>
            <w:tcW w:w="1426" w:type="dxa"/>
          </w:tcPr>
          <w:p>
            <w:pPr>
              <w:pStyle w:val="TableParagraph"/>
              <w:ind w:right="63"/>
              <w:rPr>
                <w:sz w:val="22"/>
              </w:rPr>
            </w:pPr>
            <w:r>
              <w:rPr>
                <w:sz w:val="22"/>
              </w:rPr>
              <w:t>2187,6321</w:t>
            </w:r>
          </w:p>
        </w:tc>
        <w:tc>
          <w:tcPr>
            <w:tcW w:w="1651" w:type="dxa"/>
          </w:tcPr>
          <w:p>
            <w:pPr>
              <w:pStyle w:val="TableParagraph"/>
              <w:rPr>
                <w:sz w:val="22"/>
              </w:rPr>
            </w:pPr>
            <w:r>
              <w:rPr>
                <w:sz w:val="22"/>
              </w:rPr>
              <w:t>0,00452681</w:t>
            </w:r>
          </w:p>
        </w:tc>
      </w:tr>
      <w:tr>
        <w:trPr>
          <w:trHeight w:val="310" w:hRule="exact"/>
        </w:trPr>
        <w:tc>
          <w:tcPr>
            <w:tcW w:w="823" w:type="dxa"/>
          </w:tcPr>
          <w:p>
            <w:pPr>
              <w:pStyle w:val="TableParagraph"/>
              <w:spacing w:before="13"/>
              <w:ind w:right="1"/>
              <w:jc w:val="center"/>
              <w:rPr>
                <w:sz w:val="22"/>
              </w:rPr>
            </w:pPr>
            <w:r>
              <w:rPr>
                <w:w w:val="100"/>
                <w:sz w:val="22"/>
              </w:rPr>
              <w:t>4</w:t>
            </w:r>
          </w:p>
        </w:tc>
        <w:tc>
          <w:tcPr>
            <w:tcW w:w="792" w:type="dxa"/>
          </w:tcPr>
          <w:p>
            <w:pPr>
              <w:pStyle w:val="TableParagraph"/>
              <w:ind w:left="86" w:right="44"/>
              <w:jc w:val="center"/>
              <w:rPr>
                <w:sz w:val="22"/>
              </w:rPr>
            </w:pPr>
            <w:r>
              <w:rPr>
                <w:sz w:val="22"/>
              </w:rPr>
              <w:t>155,12</w:t>
            </w:r>
          </w:p>
        </w:tc>
        <w:tc>
          <w:tcPr>
            <w:tcW w:w="475" w:type="dxa"/>
          </w:tcPr>
          <w:p>
            <w:pPr>
              <w:pStyle w:val="TableParagraph"/>
              <w:rPr>
                <w:sz w:val="22"/>
              </w:rPr>
            </w:pPr>
            <w:r>
              <w:rPr>
                <w:sz w:val="22"/>
              </w:rPr>
              <w:t>92</w:t>
            </w:r>
          </w:p>
        </w:tc>
        <w:tc>
          <w:tcPr>
            <w:tcW w:w="1205" w:type="dxa"/>
          </w:tcPr>
          <w:p>
            <w:pPr>
              <w:pStyle w:val="TableParagraph"/>
              <w:ind w:right="63"/>
              <w:rPr>
                <w:sz w:val="22"/>
              </w:rPr>
            </w:pPr>
            <w:r>
              <w:rPr>
                <w:sz w:val="22"/>
              </w:rPr>
              <w:t>70,7000</w:t>
            </w:r>
          </w:p>
        </w:tc>
        <w:tc>
          <w:tcPr>
            <w:tcW w:w="1066" w:type="dxa"/>
          </w:tcPr>
          <w:p>
            <w:pPr>
              <w:pStyle w:val="TableParagraph"/>
              <w:rPr>
                <w:sz w:val="22"/>
              </w:rPr>
            </w:pPr>
            <w:r>
              <w:rPr>
                <w:sz w:val="22"/>
              </w:rPr>
              <w:t>123,3950</w:t>
            </w:r>
          </w:p>
        </w:tc>
        <w:tc>
          <w:tcPr>
            <w:tcW w:w="1481" w:type="dxa"/>
          </w:tcPr>
          <w:p>
            <w:pPr>
              <w:pStyle w:val="TableParagraph"/>
              <w:ind w:right="63"/>
              <w:rPr>
                <w:sz w:val="22"/>
              </w:rPr>
            </w:pPr>
            <w:r>
              <w:rPr>
                <w:sz w:val="22"/>
              </w:rPr>
              <w:t>10966,9840</w:t>
            </w:r>
          </w:p>
        </w:tc>
        <w:tc>
          <w:tcPr>
            <w:tcW w:w="1068" w:type="dxa"/>
          </w:tcPr>
          <w:p>
            <w:pPr>
              <w:pStyle w:val="TableParagraph"/>
              <w:ind w:right="63"/>
              <w:rPr>
                <w:sz w:val="22"/>
              </w:rPr>
            </w:pPr>
            <w:r>
              <w:rPr>
                <w:sz w:val="22"/>
              </w:rPr>
              <w:t>11,1083</w:t>
            </w:r>
          </w:p>
        </w:tc>
        <w:tc>
          <w:tcPr>
            <w:tcW w:w="1426" w:type="dxa"/>
          </w:tcPr>
          <w:p>
            <w:pPr>
              <w:pStyle w:val="TableParagraph"/>
              <w:ind w:right="63"/>
              <w:rPr>
                <w:sz w:val="22"/>
              </w:rPr>
            </w:pPr>
            <w:r>
              <w:rPr>
                <w:sz w:val="22"/>
              </w:rPr>
              <w:t>13199,2023</w:t>
            </w:r>
          </w:p>
        </w:tc>
        <w:tc>
          <w:tcPr>
            <w:tcW w:w="1651" w:type="dxa"/>
          </w:tcPr>
          <w:p>
            <w:pPr>
              <w:pStyle w:val="TableParagraph"/>
              <w:rPr>
                <w:sz w:val="22"/>
              </w:rPr>
            </w:pPr>
            <w:r>
              <w:rPr>
                <w:sz w:val="22"/>
              </w:rPr>
              <w:t>0,027312763</w:t>
            </w:r>
          </w:p>
        </w:tc>
      </w:tr>
      <w:tr>
        <w:trPr>
          <w:trHeight w:val="310" w:hRule="exact"/>
        </w:trPr>
        <w:tc>
          <w:tcPr>
            <w:tcW w:w="823" w:type="dxa"/>
          </w:tcPr>
          <w:p>
            <w:pPr>
              <w:pStyle w:val="TableParagraph"/>
              <w:spacing w:before="13"/>
              <w:ind w:right="1"/>
              <w:jc w:val="center"/>
              <w:rPr>
                <w:sz w:val="22"/>
              </w:rPr>
            </w:pPr>
            <w:r>
              <w:rPr>
                <w:w w:val="100"/>
                <w:sz w:val="22"/>
              </w:rPr>
              <w:t>5</w:t>
            </w:r>
          </w:p>
        </w:tc>
        <w:tc>
          <w:tcPr>
            <w:tcW w:w="792" w:type="dxa"/>
          </w:tcPr>
          <w:p>
            <w:pPr>
              <w:pStyle w:val="TableParagraph"/>
              <w:ind w:left="86" w:right="44"/>
              <w:jc w:val="center"/>
              <w:rPr>
                <w:sz w:val="22"/>
              </w:rPr>
            </w:pPr>
            <w:r>
              <w:rPr>
                <w:sz w:val="22"/>
              </w:rPr>
              <w:t>180,21</w:t>
            </w:r>
          </w:p>
        </w:tc>
        <w:tc>
          <w:tcPr>
            <w:tcW w:w="475" w:type="dxa"/>
          </w:tcPr>
          <w:p>
            <w:pPr>
              <w:pStyle w:val="TableParagraph"/>
              <w:rPr>
                <w:sz w:val="22"/>
              </w:rPr>
            </w:pPr>
            <w:r>
              <w:rPr>
                <w:sz w:val="22"/>
              </w:rPr>
              <w:t>132</w:t>
            </w:r>
          </w:p>
        </w:tc>
        <w:tc>
          <w:tcPr>
            <w:tcW w:w="1205" w:type="dxa"/>
          </w:tcPr>
          <w:p>
            <w:pPr>
              <w:pStyle w:val="TableParagraph"/>
              <w:ind w:right="63"/>
              <w:rPr>
                <w:sz w:val="22"/>
              </w:rPr>
            </w:pPr>
            <w:r>
              <w:rPr>
                <w:sz w:val="22"/>
              </w:rPr>
              <w:t>72,8333</w:t>
            </w:r>
          </w:p>
        </w:tc>
        <w:tc>
          <w:tcPr>
            <w:tcW w:w="1066" w:type="dxa"/>
          </w:tcPr>
          <w:p>
            <w:pPr>
              <w:pStyle w:val="TableParagraph"/>
              <w:rPr>
                <w:sz w:val="22"/>
              </w:rPr>
            </w:pPr>
            <w:r>
              <w:rPr>
                <w:sz w:val="22"/>
              </w:rPr>
              <w:t>99,5947</w:t>
            </w:r>
          </w:p>
        </w:tc>
        <w:tc>
          <w:tcPr>
            <w:tcW w:w="1481" w:type="dxa"/>
          </w:tcPr>
          <w:p>
            <w:pPr>
              <w:pStyle w:val="TableParagraph"/>
              <w:ind w:right="63"/>
              <w:rPr>
                <w:sz w:val="22"/>
              </w:rPr>
            </w:pPr>
            <w:r>
              <w:rPr>
                <w:sz w:val="22"/>
              </w:rPr>
              <w:t>13125,2950</w:t>
            </w:r>
          </w:p>
        </w:tc>
        <w:tc>
          <w:tcPr>
            <w:tcW w:w="1068" w:type="dxa"/>
          </w:tcPr>
          <w:p>
            <w:pPr>
              <w:pStyle w:val="TableParagraph"/>
              <w:ind w:right="63"/>
              <w:rPr>
                <w:sz w:val="22"/>
              </w:rPr>
            </w:pPr>
            <w:r>
              <w:rPr>
                <w:sz w:val="22"/>
              </w:rPr>
              <w:t>9,9797</w:t>
            </w:r>
          </w:p>
        </w:tc>
        <w:tc>
          <w:tcPr>
            <w:tcW w:w="1426" w:type="dxa"/>
          </w:tcPr>
          <w:p>
            <w:pPr>
              <w:pStyle w:val="TableParagraph"/>
              <w:ind w:right="63"/>
              <w:rPr>
                <w:sz w:val="22"/>
              </w:rPr>
            </w:pPr>
            <w:r>
              <w:rPr>
                <w:sz w:val="22"/>
              </w:rPr>
              <w:t>6547,6597</w:t>
            </w:r>
          </w:p>
        </w:tc>
        <w:tc>
          <w:tcPr>
            <w:tcW w:w="1651" w:type="dxa"/>
          </w:tcPr>
          <w:p>
            <w:pPr>
              <w:pStyle w:val="TableParagraph"/>
              <w:rPr>
                <w:sz w:val="22"/>
              </w:rPr>
            </w:pPr>
            <w:r>
              <w:rPr>
                <w:sz w:val="22"/>
              </w:rPr>
              <w:t>0,013548901</w:t>
            </w:r>
          </w:p>
        </w:tc>
      </w:tr>
      <w:tr>
        <w:trPr>
          <w:trHeight w:val="310" w:hRule="exact"/>
        </w:trPr>
        <w:tc>
          <w:tcPr>
            <w:tcW w:w="823" w:type="dxa"/>
          </w:tcPr>
          <w:p>
            <w:pPr>
              <w:pStyle w:val="TableParagraph"/>
              <w:spacing w:before="13"/>
              <w:ind w:right="0"/>
              <w:jc w:val="center"/>
              <w:rPr>
                <w:sz w:val="22"/>
              </w:rPr>
            </w:pPr>
            <w:r>
              <w:rPr>
                <w:w w:val="100"/>
                <w:sz w:val="22"/>
              </w:rPr>
              <w:t>N</w:t>
            </w:r>
          </w:p>
        </w:tc>
        <w:tc>
          <w:tcPr>
            <w:tcW w:w="792" w:type="dxa"/>
          </w:tcPr>
          <w:p>
            <w:pPr>
              <w:pStyle w:val="TableParagraph"/>
              <w:spacing w:before="30"/>
              <w:ind w:left="86" w:right="44"/>
              <w:jc w:val="center"/>
              <w:rPr>
                <w:sz w:val="22"/>
              </w:rPr>
            </w:pPr>
            <w:r>
              <w:rPr>
                <w:sz w:val="22"/>
              </w:rPr>
              <w:t>695,17</w:t>
            </w:r>
          </w:p>
        </w:tc>
        <w:tc>
          <w:tcPr>
            <w:tcW w:w="475" w:type="dxa"/>
          </w:tcPr>
          <w:p>
            <w:pPr/>
          </w:p>
        </w:tc>
        <w:tc>
          <w:tcPr>
            <w:tcW w:w="1205" w:type="dxa"/>
          </w:tcPr>
          <w:p>
            <w:pPr/>
          </w:p>
        </w:tc>
        <w:tc>
          <w:tcPr>
            <w:tcW w:w="1066" w:type="dxa"/>
          </w:tcPr>
          <w:p>
            <w:pPr>
              <w:pStyle w:val="TableParagraph"/>
              <w:spacing w:line="314" w:lineRule="exact" w:before="0"/>
              <w:ind w:left="337" w:right="348"/>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481" w:type="dxa"/>
          </w:tcPr>
          <w:p>
            <w:pPr>
              <w:pStyle w:val="TableParagraph"/>
              <w:spacing w:before="30"/>
              <w:ind w:right="63"/>
              <w:rPr>
                <w:sz w:val="22"/>
              </w:rPr>
            </w:pPr>
            <w:r>
              <w:rPr>
                <w:sz w:val="22"/>
              </w:rPr>
              <w:t>39794,7070</w:t>
            </w:r>
          </w:p>
        </w:tc>
        <w:tc>
          <w:tcPr>
            <w:tcW w:w="1068" w:type="dxa"/>
          </w:tcPr>
          <w:p>
            <w:pPr/>
          </w:p>
        </w:tc>
        <w:tc>
          <w:tcPr>
            <w:tcW w:w="1426" w:type="dxa"/>
          </w:tcPr>
          <w:p>
            <w:pPr>
              <w:pStyle w:val="TableParagraph"/>
              <w:spacing w:before="30"/>
              <w:ind w:right="63"/>
              <w:rPr>
                <w:sz w:val="22"/>
              </w:rPr>
            </w:pPr>
            <w:r>
              <w:rPr>
                <w:sz w:val="22"/>
              </w:rPr>
              <w:t>17851,2745</w:t>
            </w:r>
          </w:p>
        </w:tc>
        <w:tc>
          <w:tcPr>
            <w:tcW w:w="1651" w:type="dxa"/>
          </w:tcPr>
          <w:p>
            <w:pPr>
              <w:pStyle w:val="TableParagraph"/>
              <w:spacing w:before="30"/>
              <w:rPr>
                <w:sz w:val="22"/>
              </w:rPr>
            </w:pPr>
            <w:r>
              <w:rPr>
                <w:sz w:val="22"/>
              </w:rPr>
              <w:t>0,036939174</w:t>
            </w:r>
          </w:p>
        </w:tc>
      </w:tr>
      <w:tr>
        <w:trPr>
          <w:trHeight w:val="312" w:hRule="exact"/>
        </w:trPr>
        <w:tc>
          <w:tcPr>
            <w:tcW w:w="5842" w:type="dxa"/>
            <w:gridSpan w:val="6"/>
            <w:vMerge w:val="restart"/>
            <w:tcBorders>
              <w:left w:val="nil"/>
            </w:tcBorders>
          </w:tcPr>
          <w:p>
            <w:pPr/>
          </w:p>
        </w:tc>
        <w:tc>
          <w:tcPr>
            <w:tcW w:w="2494" w:type="dxa"/>
            <w:gridSpan w:val="2"/>
          </w:tcPr>
          <w:p>
            <w:pPr>
              <w:pStyle w:val="TableParagraph"/>
              <w:spacing w:before="13"/>
              <w:ind w:left="64" w:right="212"/>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51" w:type="dxa"/>
          </w:tcPr>
          <w:p>
            <w:pPr>
              <w:pStyle w:val="TableParagraph"/>
              <w:spacing w:before="30"/>
              <w:rPr>
                <w:b/>
                <w:sz w:val="22"/>
              </w:rPr>
            </w:pPr>
            <w:r>
              <w:rPr>
                <w:b/>
                <w:sz w:val="22"/>
              </w:rPr>
              <w:t>57,245</w:t>
            </w:r>
          </w:p>
        </w:tc>
      </w:tr>
      <w:tr>
        <w:trPr>
          <w:trHeight w:val="310" w:hRule="exact"/>
        </w:trPr>
        <w:tc>
          <w:tcPr>
            <w:tcW w:w="5842" w:type="dxa"/>
            <w:gridSpan w:val="6"/>
            <w:vMerge/>
            <w:tcBorders>
              <w:left w:val="nil"/>
            </w:tcBorders>
          </w:tcPr>
          <w:p>
            <w:pPr/>
          </w:p>
        </w:tc>
        <w:tc>
          <w:tcPr>
            <w:tcW w:w="2494" w:type="dxa"/>
            <w:gridSpan w:val="2"/>
          </w:tcPr>
          <w:p>
            <w:pPr>
              <w:pStyle w:val="TableParagraph"/>
              <w:spacing w:before="11"/>
              <w:ind w:left="64" w:right="212"/>
              <w:jc w:val="left"/>
              <w:rPr>
                <w:sz w:val="22"/>
              </w:rPr>
            </w:pPr>
            <w:r>
              <w:rPr>
                <w:sz w:val="22"/>
              </w:rPr>
              <w:t>Desviación estándar</w:t>
            </w:r>
          </w:p>
        </w:tc>
        <w:tc>
          <w:tcPr>
            <w:tcW w:w="1651" w:type="dxa"/>
          </w:tcPr>
          <w:p>
            <w:pPr>
              <w:pStyle w:val="TableParagraph"/>
              <w:rPr>
                <w:b/>
                <w:sz w:val="22"/>
              </w:rPr>
            </w:pPr>
            <w:r>
              <w:rPr>
                <w:b/>
                <w:sz w:val="22"/>
              </w:rPr>
              <w:t>0,192</w:t>
            </w:r>
          </w:p>
        </w:tc>
      </w:tr>
      <w:tr>
        <w:trPr>
          <w:trHeight w:val="310" w:hRule="exact"/>
        </w:trPr>
        <w:tc>
          <w:tcPr>
            <w:tcW w:w="5842" w:type="dxa"/>
            <w:gridSpan w:val="6"/>
            <w:vMerge/>
            <w:tcBorders>
              <w:left w:val="nil"/>
            </w:tcBorders>
          </w:tcPr>
          <w:p>
            <w:pPr/>
          </w:p>
        </w:tc>
        <w:tc>
          <w:tcPr>
            <w:tcW w:w="2494" w:type="dxa"/>
            <w:gridSpan w:val="2"/>
            <w:vMerge w:val="restart"/>
          </w:tcPr>
          <w:p>
            <w:pPr>
              <w:pStyle w:val="TableParagraph"/>
              <w:spacing w:before="33"/>
              <w:ind w:left="64" w:right="212"/>
              <w:jc w:val="left"/>
              <w:rPr>
                <w:sz w:val="22"/>
              </w:rPr>
            </w:pPr>
            <w:r>
              <w:rPr>
                <w:sz w:val="22"/>
              </w:rPr>
              <w:t>Intervalo de confianza al 95 %</w:t>
            </w:r>
          </w:p>
        </w:tc>
        <w:tc>
          <w:tcPr>
            <w:tcW w:w="1651" w:type="dxa"/>
          </w:tcPr>
          <w:p>
            <w:pPr>
              <w:pStyle w:val="TableParagraph"/>
              <w:rPr>
                <w:sz w:val="22"/>
              </w:rPr>
            </w:pPr>
            <w:r>
              <w:rPr>
                <w:sz w:val="22"/>
              </w:rPr>
              <w:t>56,87</w:t>
            </w:r>
          </w:p>
        </w:tc>
      </w:tr>
      <w:tr>
        <w:trPr>
          <w:trHeight w:val="310" w:hRule="exact"/>
        </w:trPr>
        <w:tc>
          <w:tcPr>
            <w:tcW w:w="5842" w:type="dxa"/>
            <w:gridSpan w:val="6"/>
            <w:vMerge/>
            <w:tcBorders>
              <w:left w:val="nil"/>
              <w:bottom w:val="nil"/>
            </w:tcBorders>
          </w:tcPr>
          <w:p>
            <w:pPr/>
          </w:p>
        </w:tc>
        <w:tc>
          <w:tcPr>
            <w:tcW w:w="2494" w:type="dxa"/>
            <w:gridSpan w:val="2"/>
            <w:vMerge/>
          </w:tcPr>
          <w:p>
            <w:pPr/>
          </w:p>
        </w:tc>
        <w:tc>
          <w:tcPr>
            <w:tcW w:w="1651" w:type="dxa"/>
          </w:tcPr>
          <w:p>
            <w:pPr>
              <w:pStyle w:val="TableParagraph"/>
              <w:rPr>
                <w:sz w:val="22"/>
              </w:rPr>
            </w:pPr>
            <w:r>
              <w:rPr>
                <w:sz w:val="22"/>
              </w:rPr>
              <w:t>57,62</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3"/>
        <w:gridCol w:w="792"/>
        <w:gridCol w:w="475"/>
        <w:gridCol w:w="1205"/>
        <w:gridCol w:w="1066"/>
        <w:gridCol w:w="1481"/>
        <w:gridCol w:w="1068"/>
        <w:gridCol w:w="1426"/>
        <w:gridCol w:w="1651"/>
      </w:tblGrid>
      <w:tr>
        <w:trPr>
          <w:trHeight w:val="310" w:hRule="exact"/>
        </w:trPr>
        <w:tc>
          <w:tcPr>
            <w:tcW w:w="9986" w:type="dxa"/>
            <w:gridSpan w:val="9"/>
          </w:tcPr>
          <w:p>
            <w:pPr>
              <w:pStyle w:val="TableParagraph"/>
              <w:spacing w:before="30"/>
              <w:ind w:left="4013" w:right="4013"/>
              <w:jc w:val="center"/>
              <w:rPr>
                <w:sz w:val="22"/>
              </w:rPr>
            </w:pPr>
            <w:r>
              <w:rPr>
                <w:sz w:val="22"/>
              </w:rPr>
              <w:t>Punto de muestreo G</w:t>
            </w:r>
          </w:p>
        </w:tc>
      </w:tr>
      <w:tr>
        <w:trPr>
          <w:trHeight w:val="312" w:hRule="exact"/>
        </w:trPr>
        <w:tc>
          <w:tcPr>
            <w:tcW w:w="823" w:type="dxa"/>
          </w:tcPr>
          <w:p>
            <w:pPr>
              <w:pStyle w:val="TableParagraph"/>
              <w:spacing w:before="13"/>
              <w:ind w:left="2" w:right="44"/>
              <w:jc w:val="center"/>
              <w:rPr>
                <w:sz w:val="22"/>
              </w:rPr>
            </w:pPr>
            <w:r>
              <w:rPr>
                <w:sz w:val="22"/>
              </w:rPr>
              <w:t>Estrato</w:t>
            </w:r>
          </w:p>
        </w:tc>
        <w:tc>
          <w:tcPr>
            <w:tcW w:w="792"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1205" w:type="dxa"/>
          </w:tcPr>
          <w:p>
            <w:pPr>
              <w:pStyle w:val="TableParagraph"/>
              <w:spacing w:before="43"/>
              <w:ind w:left="463" w:right="476"/>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66" w:type="dxa"/>
          </w:tcPr>
          <w:p>
            <w:pPr>
              <w:pStyle w:val="TableParagraph"/>
              <w:spacing w:line="214" w:lineRule="exact" w:before="8"/>
              <w:ind w:left="337" w:right="34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5" w:right="0"/>
              <w:jc w:val="center"/>
              <w:rPr>
                <w:rFonts w:ascii="Cambria Math"/>
                <w:sz w:val="16"/>
              </w:rPr>
            </w:pPr>
            <w:r>
              <w:rPr>
                <w:rFonts w:ascii="Cambria Math"/>
                <w:w w:val="113"/>
                <w:sz w:val="16"/>
              </w:rPr>
              <w:t>h</w:t>
            </w:r>
          </w:p>
        </w:tc>
        <w:tc>
          <w:tcPr>
            <w:tcW w:w="1481" w:type="dxa"/>
          </w:tcPr>
          <w:p>
            <w:pPr>
              <w:pStyle w:val="TableParagraph"/>
              <w:spacing w:before="19"/>
              <w:ind w:left="616" w:right="62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068" w:type="dxa"/>
          </w:tcPr>
          <w:p>
            <w:pPr>
              <w:pStyle w:val="TableParagraph"/>
              <w:spacing w:before="43"/>
              <w:ind w:left="404" w:right="412"/>
              <w:jc w:val="center"/>
              <w:rPr>
                <w:rFonts w:ascii="Cambria Math"/>
                <w:sz w:val="16"/>
              </w:rPr>
            </w:pPr>
            <w:r>
              <w:rPr>
                <w:rFonts w:ascii="Cambria Math"/>
                <w:w w:val="110"/>
                <w:sz w:val="22"/>
              </w:rPr>
              <w:t>s</w:t>
            </w:r>
            <w:r>
              <w:rPr>
                <w:rFonts w:ascii="Cambria Math"/>
                <w:w w:val="110"/>
                <w:position w:val="-4"/>
                <w:sz w:val="16"/>
              </w:rPr>
              <w:t>h</w:t>
            </w:r>
          </w:p>
        </w:tc>
        <w:tc>
          <w:tcPr>
            <w:tcW w:w="1426" w:type="dxa"/>
          </w:tcPr>
          <w:p>
            <w:pPr>
              <w:pStyle w:val="TableParagraph"/>
              <w:spacing w:before="3"/>
              <w:ind w:left="37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51" w:type="dxa"/>
          </w:tcPr>
          <w:p>
            <w:pPr>
              <w:pStyle w:val="TableParagraph"/>
              <w:spacing w:before="3"/>
              <w:ind w:left="47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23" w:type="dxa"/>
          </w:tcPr>
          <w:p>
            <w:pPr>
              <w:pStyle w:val="TableParagraph"/>
              <w:spacing w:before="11"/>
              <w:ind w:right="1"/>
              <w:jc w:val="center"/>
              <w:rPr>
                <w:sz w:val="22"/>
              </w:rPr>
            </w:pPr>
            <w:r>
              <w:rPr>
                <w:w w:val="100"/>
                <w:sz w:val="22"/>
              </w:rPr>
              <w:t>1</w:t>
            </w:r>
          </w:p>
        </w:tc>
        <w:tc>
          <w:tcPr>
            <w:tcW w:w="792" w:type="dxa"/>
          </w:tcPr>
          <w:p>
            <w:pPr>
              <w:pStyle w:val="TableParagraph"/>
              <w:ind w:left="86" w:right="44"/>
              <w:jc w:val="center"/>
              <w:rPr>
                <w:sz w:val="22"/>
              </w:rPr>
            </w:pPr>
            <w:r>
              <w:rPr>
                <w:sz w:val="22"/>
              </w:rPr>
              <w:t>108,60</w:t>
            </w:r>
          </w:p>
        </w:tc>
        <w:tc>
          <w:tcPr>
            <w:tcW w:w="475" w:type="dxa"/>
          </w:tcPr>
          <w:p>
            <w:pPr>
              <w:pStyle w:val="TableParagraph"/>
              <w:rPr>
                <w:sz w:val="22"/>
              </w:rPr>
            </w:pPr>
            <w:r>
              <w:rPr>
                <w:sz w:val="22"/>
              </w:rPr>
              <w:t>108</w:t>
            </w:r>
          </w:p>
        </w:tc>
        <w:tc>
          <w:tcPr>
            <w:tcW w:w="1205" w:type="dxa"/>
          </w:tcPr>
          <w:p>
            <w:pPr>
              <w:pStyle w:val="TableParagraph"/>
              <w:ind w:right="63"/>
              <w:rPr>
                <w:sz w:val="22"/>
              </w:rPr>
            </w:pPr>
            <w:r>
              <w:rPr>
                <w:sz w:val="22"/>
              </w:rPr>
              <w:t>41,4600</w:t>
            </w:r>
          </w:p>
        </w:tc>
        <w:tc>
          <w:tcPr>
            <w:tcW w:w="1066" w:type="dxa"/>
          </w:tcPr>
          <w:p>
            <w:pPr>
              <w:pStyle w:val="TableParagraph"/>
              <w:rPr>
                <w:sz w:val="22"/>
              </w:rPr>
            </w:pPr>
            <w:r>
              <w:rPr>
                <w:sz w:val="22"/>
              </w:rPr>
              <w:t>153,4630</w:t>
            </w:r>
          </w:p>
        </w:tc>
        <w:tc>
          <w:tcPr>
            <w:tcW w:w="1481" w:type="dxa"/>
          </w:tcPr>
          <w:p>
            <w:pPr>
              <w:pStyle w:val="TableParagraph"/>
              <w:ind w:right="63"/>
              <w:rPr>
                <w:sz w:val="22"/>
              </w:rPr>
            </w:pPr>
            <w:r>
              <w:rPr>
                <w:sz w:val="22"/>
              </w:rPr>
              <w:t>4502,5560</w:t>
            </w:r>
          </w:p>
        </w:tc>
        <w:tc>
          <w:tcPr>
            <w:tcW w:w="1068" w:type="dxa"/>
          </w:tcPr>
          <w:p>
            <w:pPr>
              <w:pStyle w:val="TableParagraph"/>
              <w:ind w:right="63"/>
              <w:rPr>
                <w:sz w:val="22"/>
              </w:rPr>
            </w:pPr>
            <w:r>
              <w:rPr>
                <w:sz w:val="22"/>
              </w:rPr>
              <w:t>12,3880</w:t>
            </w:r>
          </w:p>
        </w:tc>
        <w:tc>
          <w:tcPr>
            <w:tcW w:w="1426" w:type="dxa"/>
          </w:tcPr>
          <w:p>
            <w:pPr>
              <w:pStyle w:val="TableParagraph"/>
              <w:ind w:right="63"/>
              <w:rPr>
                <w:sz w:val="22"/>
              </w:rPr>
            </w:pPr>
            <w:r>
              <w:rPr>
                <w:sz w:val="22"/>
              </w:rPr>
              <w:t>-5602,9004</w:t>
            </w:r>
          </w:p>
        </w:tc>
        <w:tc>
          <w:tcPr>
            <w:tcW w:w="1651" w:type="dxa"/>
          </w:tcPr>
          <w:p>
            <w:pPr>
              <w:pStyle w:val="TableParagraph"/>
              <w:rPr>
                <w:sz w:val="22"/>
              </w:rPr>
            </w:pPr>
            <w:r>
              <w:rPr>
                <w:sz w:val="22"/>
              </w:rPr>
              <w:t>-0,011593935</w:t>
            </w:r>
          </w:p>
        </w:tc>
      </w:tr>
      <w:tr>
        <w:trPr>
          <w:trHeight w:val="310" w:hRule="exact"/>
        </w:trPr>
        <w:tc>
          <w:tcPr>
            <w:tcW w:w="823" w:type="dxa"/>
          </w:tcPr>
          <w:p>
            <w:pPr>
              <w:pStyle w:val="TableParagraph"/>
              <w:spacing w:before="13"/>
              <w:ind w:right="1"/>
              <w:jc w:val="center"/>
              <w:rPr>
                <w:sz w:val="22"/>
              </w:rPr>
            </w:pPr>
            <w:r>
              <w:rPr>
                <w:w w:val="100"/>
                <w:sz w:val="22"/>
              </w:rPr>
              <w:t>2</w:t>
            </w:r>
          </w:p>
        </w:tc>
        <w:tc>
          <w:tcPr>
            <w:tcW w:w="792" w:type="dxa"/>
          </w:tcPr>
          <w:p>
            <w:pPr>
              <w:pStyle w:val="TableParagraph"/>
              <w:ind w:left="86" w:right="44"/>
              <w:jc w:val="center"/>
              <w:rPr>
                <w:sz w:val="22"/>
              </w:rPr>
            </w:pPr>
            <w:r>
              <w:rPr>
                <w:sz w:val="22"/>
              </w:rPr>
              <w:t>121,03</w:t>
            </w:r>
          </w:p>
        </w:tc>
        <w:tc>
          <w:tcPr>
            <w:tcW w:w="475" w:type="dxa"/>
          </w:tcPr>
          <w:p>
            <w:pPr>
              <w:pStyle w:val="TableParagraph"/>
              <w:rPr>
                <w:sz w:val="22"/>
              </w:rPr>
            </w:pPr>
            <w:r>
              <w:rPr>
                <w:sz w:val="22"/>
              </w:rPr>
              <w:t>81</w:t>
            </w:r>
          </w:p>
        </w:tc>
        <w:tc>
          <w:tcPr>
            <w:tcW w:w="1205" w:type="dxa"/>
          </w:tcPr>
          <w:p>
            <w:pPr>
              <w:pStyle w:val="TableParagraph"/>
              <w:ind w:right="63"/>
              <w:rPr>
                <w:sz w:val="22"/>
              </w:rPr>
            </w:pPr>
            <w:r>
              <w:rPr>
                <w:sz w:val="22"/>
              </w:rPr>
              <w:t>21,0600</w:t>
            </w:r>
          </w:p>
        </w:tc>
        <w:tc>
          <w:tcPr>
            <w:tcW w:w="1066" w:type="dxa"/>
          </w:tcPr>
          <w:p>
            <w:pPr>
              <w:pStyle w:val="TableParagraph"/>
              <w:rPr>
                <w:sz w:val="22"/>
              </w:rPr>
            </w:pPr>
            <w:r>
              <w:rPr>
                <w:sz w:val="22"/>
              </w:rPr>
              <w:t>44,2730</w:t>
            </w:r>
          </w:p>
        </w:tc>
        <w:tc>
          <w:tcPr>
            <w:tcW w:w="1481" w:type="dxa"/>
          </w:tcPr>
          <w:p>
            <w:pPr>
              <w:pStyle w:val="TableParagraph"/>
              <w:ind w:right="63"/>
              <w:rPr>
                <w:sz w:val="22"/>
              </w:rPr>
            </w:pPr>
            <w:r>
              <w:rPr>
                <w:sz w:val="22"/>
              </w:rPr>
              <w:t>2548,8918</w:t>
            </w:r>
          </w:p>
        </w:tc>
        <w:tc>
          <w:tcPr>
            <w:tcW w:w="1068" w:type="dxa"/>
          </w:tcPr>
          <w:p>
            <w:pPr>
              <w:pStyle w:val="TableParagraph"/>
              <w:ind w:right="63"/>
              <w:rPr>
                <w:sz w:val="22"/>
              </w:rPr>
            </w:pPr>
            <w:r>
              <w:rPr>
                <w:sz w:val="22"/>
              </w:rPr>
              <w:t>6,6538</w:t>
            </w:r>
          </w:p>
        </w:tc>
        <w:tc>
          <w:tcPr>
            <w:tcW w:w="1426" w:type="dxa"/>
          </w:tcPr>
          <w:p>
            <w:pPr>
              <w:pStyle w:val="TableParagraph"/>
              <w:ind w:right="63"/>
              <w:rPr>
                <w:sz w:val="22"/>
              </w:rPr>
            </w:pPr>
            <w:r>
              <w:rPr>
                <w:sz w:val="22"/>
              </w:rPr>
              <w:t>2652,0446</w:t>
            </w:r>
          </w:p>
        </w:tc>
        <w:tc>
          <w:tcPr>
            <w:tcW w:w="1651" w:type="dxa"/>
          </w:tcPr>
          <w:p>
            <w:pPr>
              <w:pStyle w:val="TableParagraph"/>
              <w:rPr>
                <w:sz w:val="22"/>
              </w:rPr>
            </w:pPr>
            <w:r>
              <w:rPr>
                <w:sz w:val="22"/>
              </w:rPr>
              <w:t>0,005487806</w:t>
            </w:r>
          </w:p>
        </w:tc>
      </w:tr>
      <w:tr>
        <w:trPr>
          <w:trHeight w:val="310" w:hRule="exact"/>
        </w:trPr>
        <w:tc>
          <w:tcPr>
            <w:tcW w:w="823" w:type="dxa"/>
          </w:tcPr>
          <w:p>
            <w:pPr>
              <w:pStyle w:val="TableParagraph"/>
              <w:spacing w:before="13"/>
              <w:ind w:right="1"/>
              <w:jc w:val="center"/>
              <w:rPr>
                <w:sz w:val="22"/>
              </w:rPr>
            </w:pPr>
            <w:r>
              <w:rPr>
                <w:w w:val="100"/>
                <w:sz w:val="22"/>
              </w:rPr>
              <w:t>3</w:t>
            </w:r>
          </w:p>
        </w:tc>
        <w:tc>
          <w:tcPr>
            <w:tcW w:w="792" w:type="dxa"/>
          </w:tcPr>
          <w:p>
            <w:pPr>
              <w:pStyle w:val="TableParagraph"/>
              <w:ind w:left="86" w:right="44"/>
              <w:jc w:val="center"/>
              <w:rPr>
                <w:sz w:val="22"/>
              </w:rPr>
            </w:pPr>
            <w:r>
              <w:rPr>
                <w:sz w:val="22"/>
              </w:rPr>
              <w:t>130,21</w:t>
            </w:r>
          </w:p>
        </w:tc>
        <w:tc>
          <w:tcPr>
            <w:tcW w:w="475" w:type="dxa"/>
          </w:tcPr>
          <w:p>
            <w:pPr>
              <w:pStyle w:val="TableParagraph"/>
              <w:rPr>
                <w:sz w:val="22"/>
              </w:rPr>
            </w:pPr>
            <w:r>
              <w:rPr>
                <w:sz w:val="22"/>
              </w:rPr>
              <w:t>77</w:t>
            </w:r>
          </w:p>
        </w:tc>
        <w:tc>
          <w:tcPr>
            <w:tcW w:w="1205" w:type="dxa"/>
          </w:tcPr>
          <w:p>
            <w:pPr>
              <w:pStyle w:val="TableParagraph"/>
              <w:ind w:right="63"/>
              <w:rPr>
                <w:sz w:val="22"/>
              </w:rPr>
            </w:pPr>
            <w:r>
              <w:rPr>
                <w:sz w:val="22"/>
              </w:rPr>
              <w:t>35,3000</w:t>
            </w:r>
          </w:p>
        </w:tc>
        <w:tc>
          <w:tcPr>
            <w:tcW w:w="1066" w:type="dxa"/>
          </w:tcPr>
          <w:p>
            <w:pPr>
              <w:pStyle w:val="TableParagraph"/>
              <w:rPr>
                <w:sz w:val="22"/>
              </w:rPr>
            </w:pPr>
            <w:r>
              <w:rPr>
                <w:sz w:val="22"/>
              </w:rPr>
              <w:t>379,9400</w:t>
            </w:r>
          </w:p>
        </w:tc>
        <w:tc>
          <w:tcPr>
            <w:tcW w:w="1481" w:type="dxa"/>
          </w:tcPr>
          <w:p>
            <w:pPr>
              <w:pStyle w:val="TableParagraph"/>
              <w:ind w:right="63"/>
              <w:rPr>
                <w:sz w:val="22"/>
              </w:rPr>
            </w:pPr>
            <w:r>
              <w:rPr>
                <w:sz w:val="22"/>
              </w:rPr>
              <w:t>4596,4130</w:t>
            </w:r>
          </w:p>
        </w:tc>
        <w:tc>
          <w:tcPr>
            <w:tcW w:w="1068" w:type="dxa"/>
          </w:tcPr>
          <w:p>
            <w:pPr>
              <w:pStyle w:val="TableParagraph"/>
              <w:ind w:right="63"/>
              <w:rPr>
                <w:sz w:val="22"/>
              </w:rPr>
            </w:pPr>
            <w:r>
              <w:rPr>
                <w:sz w:val="22"/>
              </w:rPr>
              <w:t>19,4920</w:t>
            </w:r>
          </w:p>
        </w:tc>
        <w:tc>
          <w:tcPr>
            <w:tcW w:w="1426" w:type="dxa"/>
          </w:tcPr>
          <w:p>
            <w:pPr>
              <w:pStyle w:val="TableParagraph"/>
              <w:ind w:right="63"/>
              <w:rPr>
                <w:sz w:val="22"/>
              </w:rPr>
            </w:pPr>
            <w:r>
              <w:rPr>
                <w:sz w:val="22"/>
              </w:rPr>
              <w:t>34689,8558</w:t>
            </w:r>
          </w:p>
        </w:tc>
        <w:tc>
          <w:tcPr>
            <w:tcW w:w="1651" w:type="dxa"/>
          </w:tcPr>
          <w:p>
            <w:pPr>
              <w:pStyle w:val="TableParagraph"/>
              <w:rPr>
                <w:sz w:val="22"/>
              </w:rPr>
            </w:pPr>
            <w:r>
              <w:rPr>
                <w:sz w:val="22"/>
              </w:rPr>
              <w:t>0,071782809</w:t>
            </w:r>
          </w:p>
        </w:tc>
      </w:tr>
      <w:tr>
        <w:trPr>
          <w:trHeight w:val="310" w:hRule="exact"/>
        </w:trPr>
        <w:tc>
          <w:tcPr>
            <w:tcW w:w="823" w:type="dxa"/>
          </w:tcPr>
          <w:p>
            <w:pPr>
              <w:pStyle w:val="TableParagraph"/>
              <w:spacing w:before="13"/>
              <w:ind w:right="1"/>
              <w:jc w:val="center"/>
              <w:rPr>
                <w:sz w:val="22"/>
              </w:rPr>
            </w:pPr>
            <w:r>
              <w:rPr>
                <w:w w:val="100"/>
                <w:sz w:val="22"/>
              </w:rPr>
              <w:t>4</w:t>
            </w:r>
          </w:p>
        </w:tc>
        <w:tc>
          <w:tcPr>
            <w:tcW w:w="792" w:type="dxa"/>
          </w:tcPr>
          <w:p>
            <w:pPr>
              <w:pStyle w:val="TableParagraph"/>
              <w:ind w:left="86" w:right="44"/>
              <w:jc w:val="center"/>
              <w:rPr>
                <w:sz w:val="22"/>
              </w:rPr>
            </w:pPr>
            <w:r>
              <w:rPr>
                <w:sz w:val="22"/>
              </w:rPr>
              <w:t>155,12</w:t>
            </w:r>
          </w:p>
        </w:tc>
        <w:tc>
          <w:tcPr>
            <w:tcW w:w="475" w:type="dxa"/>
          </w:tcPr>
          <w:p>
            <w:pPr>
              <w:pStyle w:val="TableParagraph"/>
              <w:rPr>
                <w:sz w:val="22"/>
              </w:rPr>
            </w:pPr>
            <w:r>
              <w:rPr>
                <w:sz w:val="22"/>
              </w:rPr>
              <w:t>92</w:t>
            </w:r>
          </w:p>
        </w:tc>
        <w:tc>
          <w:tcPr>
            <w:tcW w:w="1205" w:type="dxa"/>
          </w:tcPr>
          <w:p>
            <w:pPr>
              <w:pStyle w:val="TableParagraph"/>
              <w:ind w:right="63"/>
              <w:rPr>
                <w:sz w:val="22"/>
              </w:rPr>
            </w:pPr>
            <w:r>
              <w:rPr>
                <w:sz w:val="22"/>
              </w:rPr>
              <w:t>49,4600</w:t>
            </w:r>
          </w:p>
        </w:tc>
        <w:tc>
          <w:tcPr>
            <w:tcW w:w="1066" w:type="dxa"/>
          </w:tcPr>
          <w:p>
            <w:pPr>
              <w:pStyle w:val="TableParagraph"/>
              <w:rPr>
                <w:sz w:val="22"/>
              </w:rPr>
            </w:pPr>
            <w:r>
              <w:rPr>
                <w:sz w:val="22"/>
              </w:rPr>
              <w:t>37,9480</w:t>
            </w:r>
          </w:p>
        </w:tc>
        <w:tc>
          <w:tcPr>
            <w:tcW w:w="1481" w:type="dxa"/>
          </w:tcPr>
          <w:p>
            <w:pPr>
              <w:pStyle w:val="TableParagraph"/>
              <w:ind w:right="63"/>
              <w:rPr>
                <w:sz w:val="22"/>
              </w:rPr>
            </w:pPr>
            <w:r>
              <w:rPr>
                <w:sz w:val="22"/>
              </w:rPr>
              <w:t>7672,2352</w:t>
            </w:r>
          </w:p>
        </w:tc>
        <w:tc>
          <w:tcPr>
            <w:tcW w:w="1068" w:type="dxa"/>
          </w:tcPr>
          <w:p>
            <w:pPr>
              <w:pStyle w:val="TableParagraph"/>
              <w:ind w:right="63"/>
              <w:rPr>
                <w:sz w:val="22"/>
              </w:rPr>
            </w:pPr>
            <w:r>
              <w:rPr>
                <w:sz w:val="22"/>
              </w:rPr>
              <w:t>6,1602</w:t>
            </w:r>
          </w:p>
        </w:tc>
        <w:tc>
          <w:tcPr>
            <w:tcW w:w="1426" w:type="dxa"/>
          </w:tcPr>
          <w:p>
            <w:pPr>
              <w:pStyle w:val="TableParagraph"/>
              <w:ind w:right="63"/>
              <w:rPr>
                <w:sz w:val="22"/>
              </w:rPr>
            </w:pPr>
            <w:r>
              <w:rPr>
                <w:sz w:val="22"/>
              </w:rPr>
              <w:t>4059,1866</w:t>
            </w:r>
          </w:p>
        </w:tc>
        <w:tc>
          <w:tcPr>
            <w:tcW w:w="1651" w:type="dxa"/>
          </w:tcPr>
          <w:p>
            <w:pPr>
              <w:pStyle w:val="TableParagraph"/>
              <w:rPr>
                <w:sz w:val="22"/>
              </w:rPr>
            </w:pPr>
            <w:r>
              <w:rPr>
                <w:sz w:val="22"/>
              </w:rPr>
              <w:t>0,008399568</w:t>
            </w:r>
          </w:p>
        </w:tc>
      </w:tr>
      <w:tr>
        <w:trPr>
          <w:trHeight w:val="310" w:hRule="exact"/>
        </w:trPr>
        <w:tc>
          <w:tcPr>
            <w:tcW w:w="823" w:type="dxa"/>
          </w:tcPr>
          <w:p>
            <w:pPr>
              <w:pStyle w:val="TableParagraph"/>
              <w:spacing w:before="13"/>
              <w:ind w:right="1"/>
              <w:jc w:val="center"/>
              <w:rPr>
                <w:sz w:val="22"/>
              </w:rPr>
            </w:pPr>
            <w:r>
              <w:rPr>
                <w:w w:val="100"/>
                <w:sz w:val="22"/>
              </w:rPr>
              <w:t>5</w:t>
            </w:r>
          </w:p>
        </w:tc>
        <w:tc>
          <w:tcPr>
            <w:tcW w:w="792" w:type="dxa"/>
          </w:tcPr>
          <w:p>
            <w:pPr>
              <w:pStyle w:val="TableParagraph"/>
              <w:spacing w:before="30"/>
              <w:ind w:left="86" w:right="44"/>
              <w:jc w:val="center"/>
              <w:rPr>
                <w:sz w:val="22"/>
              </w:rPr>
            </w:pPr>
            <w:r>
              <w:rPr>
                <w:sz w:val="22"/>
              </w:rPr>
              <w:t>180,21</w:t>
            </w:r>
          </w:p>
        </w:tc>
        <w:tc>
          <w:tcPr>
            <w:tcW w:w="475" w:type="dxa"/>
          </w:tcPr>
          <w:p>
            <w:pPr>
              <w:pStyle w:val="TableParagraph"/>
              <w:spacing w:before="30"/>
              <w:rPr>
                <w:sz w:val="22"/>
              </w:rPr>
            </w:pPr>
            <w:r>
              <w:rPr>
                <w:sz w:val="22"/>
              </w:rPr>
              <w:t>132</w:t>
            </w:r>
          </w:p>
        </w:tc>
        <w:tc>
          <w:tcPr>
            <w:tcW w:w="1205" w:type="dxa"/>
          </w:tcPr>
          <w:p>
            <w:pPr>
              <w:pStyle w:val="TableParagraph"/>
              <w:spacing w:before="30"/>
              <w:ind w:right="63"/>
              <w:rPr>
                <w:sz w:val="22"/>
              </w:rPr>
            </w:pPr>
            <w:r>
              <w:rPr>
                <w:sz w:val="22"/>
              </w:rPr>
              <w:t>48,7500</w:t>
            </w:r>
          </w:p>
        </w:tc>
        <w:tc>
          <w:tcPr>
            <w:tcW w:w="1066" w:type="dxa"/>
          </w:tcPr>
          <w:p>
            <w:pPr>
              <w:pStyle w:val="TableParagraph"/>
              <w:spacing w:before="30"/>
              <w:rPr>
                <w:sz w:val="22"/>
              </w:rPr>
            </w:pPr>
            <w:r>
              <w:rPr>
                <w:sz w:val="22"/>
              </w:rPr>
              <w:t>155,8510</w:t>
            </w:r>
          </w:p>
        </w:tc>
        <w:tc>
          <w:tcPr>
            <w:tcW w:w="1481" w:type="dxa"/>
          </w:tcPr>
          <w:p>
            <w:pPr>
              <w:pStyle w:val="TableParagraph"/>
              <w:spacing w:before="30"/>
              <w:ind w:right="63"/>
              <w:rPr>
                <w:sz w:val="22"/>
              </w:rPr>
            </w:pPr>
            <w:r>
              <w:rPr>
                <w:sz w:val="22"/>
              </w:rPr>
              <w:t>8785,2375</w:t>
            </w:r>
          </w:p>
        </w:tc>
        <w:tc>
          <w:tcPr>
            <w:tcW w:w="1068" w:type="dxa"/>
          </w:tcPr>
          <w:p>
            <w:pPr>
              <w:pStyle w:val="TableParagraph"/>
              <w:spacing w:before="30"/>
              <w:ind w:right="63"/>
              <w:rPr>
                <w:sz w:val="22"/>
              </w:rPr>
            </w:pPr>
            <w:r>
              <w:rPr>
                <w:sz w:val="22"/>
              </w:rPr>
              <w:t>12,4840</w:t>
            </w:r>
          </w:p>
        </w:tc>
        <w:tc>
          <w:tcPr>
            <w:tcW w:w="1426" w:type="dxa"/>
          </w:tcPr>
          <w:p>
            <w:pPr>
              <w:pStyle w:val="TableParagraph"/>
              <w:spacing w:before="30"/>
              <w:ind w:right="63"/>
              <w:rPr>
                <w:sz w:val="22"/>
              </w:rPr>
            </w:pPr>
            <w:r>
              <w:rPr>
                <w:sz w:val="22"/>
              </w:rPr>
              <w:t>10246,1241</w:t>
            </w:r>
          </w:p>
        </w:tc>
        <w:tc>
          <w:tcPr>
            <w:tcW w:w="1651" w:type="dxa"/>
          </w:tcPr>
          <w:p>
            <w:pPr>
              <w:pStyle w:val="TableParagraph"/>
              <w:spacing w:before="30"/>
              <w:rPr>
                <w:sz w:val="22"/>
              </w:rPr>
            </w:pPr>
            <w:r>
              <w:rPr>
                <w:sz w:val="22"/>
              </w:rPr>
              <w:t>0,021202036</w:t>
            </w:r>
          </w:p>
        </w:tc>
      </w:tr>
      <w:tr>
        <w:trPr>
          <w:trHeight w:val="312" w:hRule="exact"/>
        </w:trPr>
        <w:tc>
          <w:tcPr>
            <w:tcW w:w="823" w:type="dxa"/>
          </w:tcPr>
          <w:p>
            <w:pPr>
              <w:pStyle w:val="TableParagraph"/>
              <w:spacing w:before="13"/>
              <w:ind w:right="0"/>
              <w:jc w:val="center"/>
              <w:rPr>
                <w:sz w:val="22"/>
              </w:rPr>
            </w:pPr>
            <w:r>
              <w:rPr>
                <w:w w:val="100"/>
                <w:sz w:val="22"/>
              </w:rPr>
              <w:t>N</w:t>
            </w:r>
          </w:p>
        </w:tc>
        <w:tc>
          <w:tcPr>
            <w:tcW w:w="792" w:type="dxa"/>
          </w:tcPr>
          <w:p>
            <w:pPr>
              <w:pStyle w:val="TableParagraph"/>
              <w:spacing w:before="30"/>
              <w:ind w:left="86" w:right="44"/>
              <w:jc w:val="center"/>
              <w:rPr>
                <w:sz w:val="22"/>
              </w:rPr>
            </w:pPr>
            <w:r>
              <w:rPr>
                <w:sz w:val="22"/>
              </w:rPr>
              <w:t>695,17</w:t>
            </w:r>
          </w:p>
        </w:tc>
        <w:tc>
          <w:tcPr>
            <w:tcW w:w="475" w:type="dxa"/>
          </w:tcPr>
          <w:p>
            <w:pPr/>
          </w:p>
        </w:tc>
        <w:tc>
          <w:tcPr>
            <w:tcW w:w="1205" w:type="dxa"/>
          </w:tcPr>
          <w:p>
            <w:pPr/>
          </w:p>
        </w:tc>
        <w:tc>
          <w:tcPr>
            <w:tcW w:w="1066" w:type="dxa"/>
          </w:tcPr>
          <w:p>
            <w:pPr>
              <w:pStyle w:val="TableParagraph"/>
              <w:spacing w:line="314" w:lineRule="exact" w:before="0"/>
              <w:ind w:left="337" w:right="348"/>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481" w:type="dxa"/>
          </w:tcPr>
          <w:p>
            <w:pPr>
              <w:pStyle w:val="TableParagraph"/>
              <w:spacing w:before="30"/>
              <w:ind w:right="63"/>
              <w:rPr>
                <w:sz w:val="22"/>
              </w:rPr>
            </w:pPr>
            <w:r>
              <w:rPr>
                <w:sz w:val="22"/>
              </w:rPr>
              <w:t>28105,3335</w:t>
            </w:r>
          </w:p>
        </w:tc>
        <w:tc>
          <w:tcPr>
            <w:tcW w:w="1068" w:type="dxa"/>
          </w:tcPr>
          <w:p>
            <w:pPr/>
          </w:p>
        </w:tc>
        <w:tc>
          <w:tcPr>
            <w:tcW w:w="1426" w:type="dxa"/>
          </w:tcPr>
          <w:p>
            <w:pPr>
              <w:pStyle w:val="TableParagraph"/>
              <w:spacing w:before="30"/>
              <w:ind w:right="63"/>
              <w:rPr>
                <w:sz w:val="22"/>
              </w:rPr>
            </w:pPr>
            <w:r>
              <w:rPr>
                <w:sz w:val="22"/>
              </w:rPr>
              <w:t>46044,3107</w:t>
            </w:r>
          </w:p>
        </w:tc>
        <w:tc>
          <w:tcPr>
            <w:tcW w:w="1651" w:type="dxa"/>
          </w:tcPr>
          <w:p>
            <w:pPr>
              <w:pStyle w:val="TableParagraph"/>
              <w:spacing w:before="30"/>
              <w:rPr>
                <w:sz w:val="22"/>
              </w:rPr>
            </w:pPr>
            <w:r>
              <w:rPr>
                <w:sz w:val="22"/>
              </w:rPr>
              <w:t>0,095278285</w:t>
            </w:r>
          </w:p>
        </w:tc>
      </w:tr>
      <w:tr>
        <w:trPr>
          <w:trHeight w:val="310" w:hRule="exact"/>
        </w:trPr>
        <w:tc>
          <w:tcPr>
            <w:tcW w:w="5842" w:type="dxa"/>
            <w:gridSpan w:val="6"/>
            <w:vMerge w:val="restart"/>
            <w:tcBorders>
              <w:left w:val="nil"/>
            </w:tcBorders>
          </w:tcPr>
          <w:p>
            <w:pPr/>
          </w:p>
        </w:tc>
        <w:tc>
          <w:tcPr>
            <w:tcW w:w="2494" w:type="dxa"/>
            <w:gridSpan w:val="2"/>
          </w:tcPr>
          <w:p>
            <w:pPr>
              <w:pStyle w:val="TableParagraph"/>
              <w:spacing w:before="11"/>
              <w:ind w:left="64" w:right="212"/>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51" w:type="dxa"/>
          </w:tcPr>
          <w:p>
            <w:pPr>
              <w:pStyle w:val="TableParagraph"/>
              <w:rPr>
                <w:b/>
                <w:sz w:val="22"/>
              </w:rPr>
            </w:pPr>
            <w:r>
              <w:rPr>
                <w:b/>
                <w:sz w:val="22"/>
              </w:rPr>
              <w:t>40,429</w:t>
            </w:r>
          </w:p>
        </w:tc>
      </w:tr>
      <w:tr>
        <w:trPr>
          <w:trHeight w:val="310" w:hRule="exact"/>
        </w:trPr>
        <w:tc>
          <w:tcPr>
            <w:tcW w:w="5842" w:type="dxa"/>
            <w:gridSpan w:val="6"/>
            <w:vMerge/>
            <w:tcBorders>
              <w:left w:val="nil"/>
            </w:tcBorders>
          </w:tcPr>
          <w:p>
            <w:pPr/>
          </w:p>
        </w:tc>
        <w:tc>
          <w:tcPr>
            <w:tcW w:w="2494" w:type="dxa"/>
            <w:gridSpan w:val="2"/>
          </w:tcPr>
          <w:p>
            <w:pPr>
              <w:pStyle w:val="TableParagraph"/>
              <w:spacing w:before="13"/>
              <w:ind w:left="64" w:right="212"/>
              <w:jc w:val="left"/>
              <w:rPr>
                <w:sz w:val="22"/>
              </w:rPr>
            </w:pPr>
            <w:r>
              <w:rPr>
                <w:sz w:val="22"/>
              </w:rPr>
              <w:t>Desviación estándar</w:t>
            </w:r>
          </w:p>
        </w:tc>
        <w:tc>
          <w:tcPr>
            <w:tcW w:w="1651" w:type="dxa"/>
          </w:tcPr>
          <w:p>
            <w:pPr>
              <w:pStyle w:val="TableParagraph"/>
              <w:rPr>
                <w:b/>
                <w:sz w:val="22"/>
              </w:rPr>
            </w:pPr>
            <w:r>
              <w:rPr>
                <w:b/>
                <w:sz w:val="22"/>
              </w:rPr>
              <w:t>0,309</w:t>
            </w:r>
          </w:p>
        </w:tc>
      </w:tr>
      <w:tr>
        <w:trPr>
          <w:trHeight w:val="310" w:hRule="exact"/>
        </w:trPr>
        <w:tc>
          <w:tcPr>
            <w:tcW w:w="5842" w:type="dxa"/>
            <w:gridSpan w:val="6"/>
            <w:vMerge/>
            <w:tcBorders>
              <w:left w:val="nil"/>
            </w:tcBorders>
          </w:tcPr>
          <w:p>
            <w:pPr/>
          </w:p>
        </w:tc>
        <w:tc>
          <w:tcPr>
            <w:tcW w:w="2494" w:type="dxa"/>
            <w:gridSpan w:val="2"/>
            <w:vMerge w:val="restart"/>
          </w:tcPr>
          <w:p>
            <w:pPr>
              <w:pStyle w:val="TableParagraph"/>
              <w:spacing w:before="33"/>
              <w:ind w:left="64" w:right="212"/>
              <w:jc w:val="left"/>
              <w:rPr>
                <w:sz w:val="22"/>
              </w:rPr>
            </w:pPr>
            <w:r>
              <w:rPr>
                <w:sz w:val="22"/>
              </w:rPr>
              <w:t>Intervalo de confianza al 95 %</w:t>
            </w:r>
          </w:p>
        </w:tc>
        <w:tc>
          <w:tcPr>
            <w:tcW w:w="1651" w:type="dxa"/>
          </w:tcPr>
          <w:p>
            <w:pPr>
              <w:pStyle w:val="TableParagraph"/>
              <w:rPr>
                <w:sz w:val="22"/>
              </w:rPr>
            </w:pPr>
            <w:r>
              <w:rPr>
                <w:sz w:val="22"/>
              </w:rPr>
              <w:t>39,82</w:t>
            </w:r>
          </w:p>
        </w:tc>
      </w:tr>
      <w:tr>
        <w:trPr>
          <w:trHeight w:val="310" w:hRule="exact"/>
        </w:trPr>
        <w:tc>
          <w:tcPr>
            <w:tcW w:w="5842" w:type="dxa"/>
            <w:gridSpan w:val="6"/>
            <w:vMerge/>
            <w:tcBorders>
              <w:left w:val="nil"/>
              <w:bottom w:val="nil"/>
            </w:tcBorders>
          </w:tcPr>
          <w:p>
            <w:pPr/>
          </w:p>
        </w:tc>
        <w:tc>
          <w:tcPr>
            <w:tcW w:w="2494" w:type="dxa"/>
            <w:gridSpan w:val="2"/>
            <w:vMerge/>
          </w:tcPr>
          <w:p>
            <w:pPr/>
          </w:p>
        </w:tc>
        <w:tc>
          <w:tcPr>
            <w:tcW w:w="1651" w:type="dxa"/>
          </w:tcPr>
          <w:p>
            <w:pPr>
              <w:pStyle w:val="TableParagraph"/>
              <w:rPr>
                <w:sz w:val="22"/>
              </w:rPr>
            </w:pPr>
            <w:r>
              <w:rPr>
                <w:sz w:val="22"/>
              </w:rPr>
              <w:t>41,03</w:t>
            </w:r>
          </w:p>
        </w:tc>
      </w:tr>
    </w:tbl>
    <w:p>
      <w:pPr>
        <w:spacing w:after="0"/>
        <w:rPr>
          <w:sz w:val="22"/>
        </w:rPr>
        <w:sectPr>
          <w:footerReference w:type="default" r:id="rId131"/>
          <w:pgSz w:w="12240" w:h="15840"/>
          <w:pgMar w:footer="1084" w:header="725" w:top="1340" w:bottom="1280" w:left="920" w:right="1000"/>
          <w:pgNumType w:start="201"/>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250"/>
        <w:gridCol w:w="1054"/>
        <w:gridCol w:w="1356"/>
        <w:gridCol w:w="931"/>
        <w:gridCol w:w="1296"/>
        <w:gridCol w:w="1565"/>
      </w:tblGrid>
      <w:tr>
        <w:trPr>
          <w:trHeight w:val="310" w:hRule="exact"/>
        </w:trPr>
        <w:tc>
          <w:tcPr>
            <w:tcW w:w="9602" w:type="dxa"/>
            <w:gridSpan w:val="9"/>
          </w:tcPr>
          <w:p>
            <w:pPr>
              <w:pStyle w:val="TableParagraph"/>
              <w:ind w:left="3694" w:right="3692"/>
              <w:jc w:val="center"/>
              <w:rPr>
                <w:sz w:val="22"/>
              </w:rPr>
            </w:pPr>
            <w:r>
              <w:rPr>
                <w:sz w:val="22"/>
              </w:rPr>
              <w:t>Eficiencia general</w:t>
            </w:r>
          </w:p>
        </w:tc>
      </w:tr>
      <w:tr>
        <w:trPr>
          <w:trHeight w:val="310" w:hRule="exact"/>
        </w:trPr>
        <w:tc>
          <w:tcPr>
            <w:tcW w:w="838" w:type="dxa"/>
          </w:tcPr>
          <w:p>
            <w:pPr>
              <w:pStyle w:val="TableParagraph"/>
              <w:spacing w:before="13"/>
              <w:ind w:left="46" w:right="47"/>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250" w:type="dxa"/>
          </w:tcPr>
          <w:p>
            <w:pPr>
              <w:pStyle w:val="TableParagraph"/>
              <w:spacing w:before="43"/>
              <w:ind w:left="487" w:right="49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54" w:type="dxa"/>
          </w:tcPr>
          <w:p>
            <w:pPr>
              <w:pStyle w:val="TableParagraph"/>
              <w:spacing w:line="214" w:lineRule="exact" w:before="6"/>
              <w:ind w:left="330" w:right="34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56" w:type="dxa"/>
          </w:tcPr>
          <w:p>
            <w:pPr>
              <w:pStyle w:val="TableParagraph"/>
              <w:spacing w:before="19"/>
              <w:ind w:left="555" w:right="56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31"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296" w:type="dxa"/>
          </w:tcPr>
          <w:p>
            <w:pPr>
              <w:pStyle w:val="TableParagraph"/>
              <w:spacing w:before="0"/>
              <w:ind w:left="311" w:right="109"/>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65" w:type="dxa"/>
          </w:tcPr>
          <w:p>
            <w:pPr>
              <w:pStyle w:val="TableParagraph"/>
              <w:spacing w:before="0"/>
              <w:ind w:left="42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13"/>
              <w:ind w:right="1"/>
              <w:jc w:val="center"/>
              <w:rPr>
                <w:sz w:val="22"/>
              </w:rPr>
            </w:pPr>
            <w:r>
              <w:rPr>
                <w:w w:val="100"/>
                <w:sz w:val="22"/>
              </w:rPr>
              <w:t>1</w:t>
            </w:r>
          </w:p>
        </w:tc>
        <w:tc>
          <w:tcPr>
            <w:tcW w:w="809" w:type="dxa"/>
          </w:tcPr>
          <w:p>
            <w:pPr>
              <w:pStyle w:val="TableParagraph"/>
              <w:spacing w:before="30"/>
              <w:ind w:left="59" w:right="0"/>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1250" w:type="dxa"/>
          </w:tcPr>
          <w:p>
            <w:pPr>
              <w:pStyle w:val="TableParagraph"/>
              <w:spacing w:before="30"/>
              <w:rPr>
                <w:sz w:val="22"/>
              </w:rPr>
            </w:pPr>
            <w:r>
              <w:rPr>
                <w:sz w:val="22"/>
              </w:rPr>
              <w:t>-2,5706</w:t>
            </w:r>
          </w:p>
        </w:tc>
        <w:tc>
          <w:tcPr>
            <w:tcW w:w="1054" w:type="dxa"/>
          </w:tcPr>
          <w:p>
            <w:pPr>
              <w:pStyle w:val="TableParagraph"/>
              <w:spacing w:before="30"/>
              <w:ind w:right="63"/>
              <w:rPr>
                <w:sz w:val="22"/>
              </w:rPr>
            </w:pPr>
            <w:r>
              <w:rPr>
                <w:sz w:val="22"/>
              </w:rPr>
              <w:t>27,6756</w:t>
            </w:r>
          </w:p>
        </w:tc>
        <w:tc>
          <w:tcPr>
            <w:tcW w:w="1356" w:type="dxa"/>
          </w:tcPr>
          <w:p>
            <w:pPr>
              <w:pStyle w:val="TableParagraph"/>
              <w:spacing w:before="30"/>
              <w:rPr>
                <w:sz w:val="22"/>
              </w:rPr>
            </w:pPr>
            <w:r>
              <w:rPr>
                <w:sz w:val="22"/>
              </w:rPr>
              <w:t>-279,1689</w:t>
            </w:r>
          </w:p>
        </w:tc>
        <w:tc>
          <w:tcPr>
            <w:tcW w:w="931" w:type="dxa"/>
          </w:tcPr>
          <w:p>
            <w:pPr>
              <w:pStyle w:val="TableParagraph"/>
              <w:spacing w:before="30"/>
              <w:ind w:right="63"/>
              <w:rPr>
                <w:sz w:val="22"/>
              </w:rPr>
            </w:pPr>
            <w:r>
              <w:rPr>
                <w:sz w:val="22"/>
              </w:rPr>
              <w:t>5,2608</w:t>
            </w:r>
          </w:p>
        </w:tc>
        <w:tc>
          <w:tcPr>
            <w:tcW w:w="1296" w:type="dxa"/>
          </w:tcPr>
          <w:p>
            <w:pPr>
              <w:pStyle w:val="TableParagraph"/>
              <w:spacing w:before="30"/>
              <w:ind w:right="63"/>
              <w:rPr>
                <w:sz w:val="22"/>
              </w:rPr>
            </w:pPr>
            <w:r>
              <w:rPr>
                <w:sz w:val="22"/>
              </w:rPr>
              <w:t>-1010,4316</w:t>
            </w:r>
          </w:p>
        </w:tc>
        <w:tc>
          <w:tcPr>
            <w:tcW w:w="1565" w:type="dxa"/>
          </w:tcPr>
          <w:p>
            <w:pPr>
              <w:pStyle w:val="TableParagraph"/>
              <w:spacing w:before="30"/>
              <w:rPr>
                <w:sz w:val="22"/>
              </w:rPr>
            </w:pPr>
            <w:r>
              <w:rPr>
                <w:sz w:val="22"/>
              </w:rPr>
              <w:t>-0,00209086</w:t>
            </w:r>
          </w:p>
        </w:tc>
      </w:tr>
      <w:tr>
        <w:trPr>
          <w:trHeight w:val="312" w:hRule="exact"/>
        </w:trPr>
        <w:tc>
          <w:tcPr>
            <w:tcW w:w="838" w:type="dxa"/>
          </w:tcPr>
          <w:p>
            <w:pPr>
              <w:pStyle w:val="TableParagraph"/>
              <w:spacing w:before="13"/>
              <w:ind w:right="1"/>
              <w:jc w:val="center"/>
              <w:rPr>
                <w:sz w:val="22"/>
              </w:rPr>
            </w:pPr>
            <w:r>
              <w:rPr>
                <w:w w:val="100"/>
                <w:sz w:val="22"/>
              </w:rPr>
              <w:t>2</w:t>
            </w:r>
          </w:p>
        </w:tc>
        <w:tc>
          <w:tcPr>
            <w:tcW w:w="809" w:type="dxa"/>
          </w:tcPr>
          <w:p>
            <w:pPr>
              <w:pStyle w:val="TableParagraph"/>
              <w:spacing w:before="30"/>
              <w:ind w:left="59" w:right="0"/>
              <w:jc w:val="center"/>
              <w:rPr>
                <w:sz w:val="22"/>
              </w:rPr>
            </w:pPr>
            <w:r>
              <w:rPr>
                <w:sz w:val="22"/>
              </w:rPr>
              <w:t>121,03</w:t>
            </w:r>
          </w:p>
        </w:tc>
        <w:tc>
          <w:tcPr>
            <w:tcW w:w="504" w:type="dxa"/>
          </w:tcPr>
          <w:p>
            <w:pPr>
              <w:pStyle w:val="TableParagraph"/>
              <w:spacing w:before="30"/>
              <w:ind w:left="184" w:right="42"/>
              <w:jc w:val="center"/>
              <w:rPr>
                <w:sz w:val="22"/>
              </w:rPr>
            </w:pPr>
            <w:r>
              <w:rPr>
                <w:sz w:val="22"/>
              </w:rPr>
              <w:t>81</w:t>
            </w:r>
          </w:p>
        </w:tc>
        <w:tc>
          <w:tcPr>
            <w:tcW w:w="1250" w:type="dxa"/>
          </w:tcPr>
          <w:p>
            <w:pPr>
              <w:pStyle w:val="TableParagraph"/>
              <w:spacing w:before="30"/>
              <w:rPr>
                <w:sz w:val="22"/>
              </w:rPr>
            </w:pPr>
            <w:r>
              <w:rPr>
                <w:sz w:val="22"/>
              </w:rPr>
              <w:t>-8,2559</w:t>
            </w:r>
          </w:p>
        </w:tc>
        <w:tc>
          <w:tcPr>
            <w:tcW w:w="1054" w:type="dxa"/>
          </w:tcPr>
          <w:p>
            <w:pPr>
              <w:pStyle w:val="TableParagraph"/>
              <w:spacing w:before="30"/>
              <w:ind w:right="63"/>
              <w:rPr>
                <w:sz w:val="22"/>
              </w:rPr>
            </w:pPr>
            <w:r>
              <w:rPr>
                <w:sz w:val="22"/>
              </w:rPr>
              <w:t>55,6991</w:t>
            </w:r>
          </w:p>
        </w:tc>
        <w:tc>
          <w:tcPr>
            <w:tcW w:w="1356" w:type="dxa"/>
          </w:tcPr>
          <w:p>
            <w:pPr>
              <w:pStyle w:val="TableParagraph"/>
              <w:spacing w:before="30"/>
              <w:rPr>
                <w:sz w:val="22"/>
              </w:rPr>
            </w:pPr>
            <w:r>
              <w:rPr>
                <w:sz w:val="22"/>
              </w:rPr>
              <w:t>-999,2117</w:t>
            </w:r>
          </w:p>
        </w:tc>
        <w:tc>
          <w:tcPr>
            <w:tcW w:w="931" w:type="dxa"/>
          </w:tcPr>
          <w:p>
            <w:pPr>
              <w:pStyle w:val="TableParagraph"/>
              <w:spacing w:before="30"/>
              <w:ind w:right="63"/>
              <w:rPr>
                <w:sz w:val="22"/>
              </w:rPr>
            </w:pPr>
            <w:r>
              <w:rPr>
                <w:sz w:val="22"/>
              </w:rPr>
              <w:t>7,4632</w:t>
            </w:r>
          </w:p>
        </w:tc>
        <w:tc>
          <w:tcPr>
            <w:tcW w:w="1296" w:type="dxa"/>
          </w:tcPr>
          <w:p>
            <w:pPr>
              <w:pStyle w:val="TableParagraph"/>
              <w:spacing w:before="30"/>
              <w:ind w:right="63"/>
              <w:rPr>
                <w:sz w:val="22"/>
              </w:rPr>
            </w:pPr>
            <w:r>
              <w:rPr>
                <w:sz w:val="22"/>
              </w:rPr>
              <w:t>3336,4896</w:t>
            </w:r>
          </w:p>
        </w:tc>
        <w:tc>
          <w:tcPr>
            <w:tcW w:w="1565" w:type="dxa"/>
          </w:tcPr>
          <w:p>
            <w:pPr>
              <w:pStyle w:val="TableParagraph"/>
              <w:spacing w:before="30"/>
              <w:rPr>
                <w:sz w:val="22"/>
              </w:rPr>
            </w:pPr>
            <w:r>
              <w:rPr>
                <w:sz w:val="22"/>
              </w:rPr>
              <w:t>0,006904111</w:t>
            </w:r>
          </w:p>
        </w:tc>
      </w:tr>
      <w:tr>
        <w:trPr>
          <w:trHeight w:val="310" w:hRule="exact"/>
        </w:trPr>
        <w:tc>
          <w:tcPr>
            <w:tcW w:w="838" w:type="dxa"/>
          </w:tcPr>
          <w:p>
            <w:pPr>
              <w:pStyle w:val="TableParagraph"/>
              <w:spacing w:before="11"/>
              <w:ind w:right="1"/>
              <w:jc w:val="center"/>
              <w:rPr>
                <w:sz w:val="22"/>
              </w:rPr>
            </w:pPr>
            <w:r>
              <w:rPr>
                <w:w w:val="100"/>
                <w:sz w:val="22"/>
              </w:rPr>
              <w:t>3</w:t>
            </w:r>
          </w:p>
        </w:tc>
        <w:tc>
          <w:tcPr>
            <w:tcW w:w="809" w:type="dxa"/>
          </w:tcPr>
          <w:p>
            <w:pPr>
              <w:pStyle w:val="TableParagraph"/>
              <w:ind w:left="59" w:right="0"/>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250" w:type="dxa"/>
          </w:tcPr>
          <w:p>
            <w:pPr>
              <w:pStyle w:val="TableParagraph"/>
              <w:rPr>
                <w:sz w:val="22"/>
              </w:rPr>
            </w:pPr>
            <w:r>
              <w:rPr>
                <w:sz w:val="22"/>
              </w:rPr>
              <w:t>-11,0722</w:t>
            </w:r>
          </w:p>
        </w:tc>
        <w:tc>
          <w:tcPr>
            <w:tcW w:w="1054" w:type="dxa"/>
          </w:tcPr>
          <w:p>
            <w:pPr>
              <w:pStyle w:val="TableParagraph"/>
              <w:ind w:right="63"/>
              <w:rPr>
                <w:sz w:val="22"/>
              </w:rPr>
            </w:pPr>
            <w:r>
              <w:rPr>
                <w:sz w:val="22"/>
              </w:rPr>
              <w:t>159,4564</w:t>
            </w:r>
          </w:p>
        </w:tc>
        <w:tc>
          <w:tcPr>
            <w:tcW w:w="1356" w:type="dxa"/>
          </w:tcPr>
          <w:p>
            <w:pPr>
              <w:pStyle w:val="TableParagraph"/>
              <w:rPr>
                <w:sz w:val="22"/>
              </w:rPr>
            </w:pPr>
            <w:r>
              <w:rPr>
                <w:sz w:val="22"/>
              </w:rPr>
              <w:t>-1441,7147</w:t>
            </w:r>
          </w:p>
        </w:tc>
        <w:tc>
          <w:tcPr>
            <w:tcW w:w="931" w:type="dxa"/>
          </w:tcPr>
          <w:p>
            <w:pPr>
              <w:pStyle w:val="TableParagraph"/>
              <w:ind w:right="63"/>
              <w:rPr>
                <w:sz w:val="22"/>
              </w:rPr>
            </w:pPr>
            <w:r>
              <w:rPr>
                <w:sz w:val="22"/>
              </w:rPr>
              <w:t>12,6276</w:t>
            </w:r>
          </w:p>
        </w:tc>
        <w:tc>
          <w:tcPr>
            <w:tcW w:w="1296" w:type="dxa"/>
          </w:tcPr>
          <w:p>
            <w:pPr>
              <w:pStyle w:val="TableParagraph"/>
              <w:ind w:right="63"/>
              <w:rPr>
                <w:sz w:val="22"/>
              </w:rPr>
            </w:pPr>
            <w:r>
              <w:rPr>
                <w:sz w:val="22"/>
              </w:rPr>
              <w:t>14558,9327</w:t>
            </w:r>
          </w:p>
        </w:tc>
        <w:tc>
          <w:tcPr>
            <w:tcW w:w="1565" w:type="dxa"/>
          </w:tcPr>
          <w:p>
            <w:pPr>
              <w:pStyle w:val="TableParagraph"/>
              <w:rPr>
                <w:sz w:val="22"/>
              </w:rPr>
            </w:pPr>
            <w:r>
              <w:rPr>
                <w:sz w:val="22"/>
              </w:rPr>
              <w:t>0,030126418</w:t>
            </w:r>
          </w:p>
        </w:tc>
      </w:tr>
      <w:tr>
        <w:trPr>
          <w:trHeight w:val="310" w:hRule="exact"/>
        </w:trPr>
        <w:tc>
          <w:tcPr>
            <w:tcW w:w="838" w:type="dxa"/>
          </w:tcPr>
          <w:p>
            <w:pPr>
              <w:pStyle w:val="TableParagraph"/>
              <w:spacing w:before="13"/>
              <w:ind w:right="1"/>
              <w:jc w:val="center"/>
              <w:rPr>
                <w:sz w:val="22"/>
              </w:rPr>
            </w:pPr>
            <w:r>
              <w:rPr>
                <w:w w:val="100"/>
                <w:sz w:val="22"/>
              </w:rPr>
              <w:t>4</w:t>
            </w:r>
          </w:p>
        </w:tc>
        <w:tc>
          <w:tcPr>
            <w:tcW w:w="809" w:type="dxa"/>
          </w:tcPr>
          <w:p>
            <w:pPr>
              <w:pStyle w:val="TableParagraph"/>
              <w:ind w:left="59" w:right="0"/>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250" w:type="dxa"/>
          </w:tcPr>
          <w:p>
            <w:pPr>
              <w:pStyle w:val="TableParagraph"/>
              <w:rPr>
                <w:sz w:val="22"/>
              </w:rPr>
            </w:pPr>
            <w:r>
              <w:rPr>
                <w:sz w:val="22"/>
              </w:rPr>
              <w:t>-0,7804</w:t>
            </w:r>
          </w:p>
        </w:tc>
        <w:tc>
          <w:tcPr>
            <w:tcW w:w="1054" w:type="dxa"/>
          </w:tcPr>
          <w:p>
            <w:pPr>
              <w:pStyle w:val="TableParagraph"/>
              <w:ind w:right="63"/>
              <w:rPr>
                <w:sz w:val="22"/>
              </w:rPr>
            </w:pPr>
            <w:r>
              <w:rPr>
                <w:sz w:val="22"/>
              </w:rPr>
              <w:t>4,7934</w:t>
            </w:r>
          </w:p>
        </w:tc>
        <w:tc>
          <w:tcPr>
            <w:tcW w:w="1356" w:type="dxa"/>
          </w:tcPr>
          <w:p>
            <w:pPr>
              <w:pStyle w:val="TableParagraph"/>
              <w:rPr>
                <w:sz w:val="22"/>
              </w:rPr>
            </w:pPr>
            <w:r>
              <w:rPr>
                <w:sz w:val="22"/>
              </w:rPr>
              <w:t>-121,0512</w:t>
            </w:r>
          </w:p>
        </w:tc>
        <w:tc>
          <w:tcPr>
            <w:tcW w:w="931" w:type="dxa"/>
          </w:tcPr>
          <w:p>
            <w:pPr>
              <w:pStyle w:val="TableParagraph"/>
              <w:ind w:right="63"/>
              <w:rPr>
                <w:sz w:val="22"/>
              </w:rPr>
            </w:pPr>
            <w:r>
              <w:rPr>
                <w:sz w:val="22"/>
              </w:rPr>
              <w:t>2,1894</w:t>
            </w:r>
          </w:p>
        </w:tc>
        <w:tc>
          <w:tcPr>
            <w:tcW w:w="1296" w:type="dxa"/>
          </w:tcPr>
          <w:p>
            <w:pPr>
              <w:pStyle w:val="TableParagraph"/>
              <w:ind w:right="63"/>
              <w:rPr>
                <w:sz w:val="22"/>
              </w:rPr>
            </w:pPr>
            <w:r>
              <w:rPr>
                <w:sz w:val="22"/>
              </w:rPr>
              <w:t>512,7361</w:t>
            </w:r>
          </w:p>
        </w:tc>
        <w:tc>
          <w:tcPr>
            <w:tcW w:w="1565" w:type="dxa"/>
          </w:tcPr>
          <w:p>
            <w:pPr>
              <w:pStyle w:val="TableParagraph"/>
              <w:rPr>
                <w:sz w:val="22"/>
              </w:rPr>
            </w:pPr>
            <w:r>
              <w:rPr>
                <w:sz w:val="22"/>
              </w:rPr>
              <w:t>0,001060991</w:t>
            </w:r>
          </w:p>
        </w:tc>
      </w:tr>
      <w:tr>
        <w:trPr>
          <w:trHeight w:val="310" w:hRule="exact"/>
        </w:trPr>
        <w:tc>
          <w:tcPr>
            <w:tcW w:w="838" w:type="dxa"/>
          </w:tcPr>
          <w:p>
            <w:pPr>
              <w:pStyle w:val="TableParagraph"/>
              <w:spacing w:before="13"/>
              <w:ind w:right="1"/>
              <w:jc w:val="center"/>
              <w:rPr>
                <w:sz w:val="22"/>
              </w:rPr>
            </w:pPr>
            <w:r>
              <w:rPr>
                <w:w w:val="100"/>
                <w:sz w:val="22"/>
              </w:rPr>
              <w:t>5</w:t>
            </w:r>
          </w:p>
        </w:tc>
        <w:tc>
          <w:tcPr>
            <w:tcW w:w="809" w:type="dxa"/>
          </w:tcPr>
          <w:p>
            <w:pPr>
              <w:pStyle w:val="TableParagraph"/>
              <w:ind w:left="59" w:right="0"/>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250" w:type="dxa"/>
          </w:tcPr>
          <w:p>
            <w:pPr>
              <w:pStyle w:val="TableParagraph"/>
              <w:rPr>
                <w:sz w:val="22"/>
              </w:rPr>
            </w:pPr>
            <w:r>
              <w:rPr>
                <w:sz w:val="22"/>
              </w:rPr>
              <w:t>-0,5598</w:t>
            </w:r>
          </w:p>
        </w:tc>
        <w:tc>
          <w:tcPr>
            <w:tcW w:w="1054" w:type="dxa"/>
          </w:tcPr>
          <w:p>
            <w:pPr>
              <w:pStyle w:val="TableParagraph"/>
              <w:ind w:right="63"/>
              <w:rPr>
                <w:sz w:val="22"/>
              </w:rPr>
            </w:pPr>
            <w:r>
              <w:rPr>
                <w:sz w:val="22"/>
              </w:rPr>
              <w:t>46,0141</w:t>
            </w:r>
          </w:p>
        </w:tc>
        <w:tc>
          <w:tcPr>
            <w:tcW w:w="1356" w:type="dxa"/>
          </w:tcPr>
          <w:p>
            <w:pPr>
              <w:pStyle w:val="TableParagraph"/>
              <w:rPr>
                <w:sz w:val="22"/>
              </w:rPr>
            </w:pPr>
            <w:r>
              <w:rPr>
                <w:sz w:val="22"/>
              </w:rPr>
              <w:t>-100,8768</w:t>
            </w:r>
          </w:p>
        </w:tc>
        <w:tc>
          <w:tcPr>
            <w:tcW w:w="931" w:type="dxa"/>
          </w:tcPr>
          <w:p>
            <w:pPr>
              <w:pStyle w:val="TableParagraph"/>
              <w:ind w:right="63"/>
              <w:rPr>
                <w:sz w:val="22"/>
              </w:rPr>
            </w:pPr>
            <w:r>
              <w:rPr>
                <w:sz w:val="22"/>
              </w:rPr>
              <w:t>6,7834</w:t>
            </w:r>
          </w:p>
        </w:tc>
        <w:tc>
          <w:tcPr>
            <w:tcW w:w="1296" w:type="dxa"/>
          </w:tcPr>
          <w:p>
            <w:pPr>
              <w:pStyle w:val="TableParagraph"/>
              <w:ind w:right="63"/>
              <w:rPr>
                <w:sz w:val="22"/>
              </w:rPr>
            </w:pPr>
            <w:r>
              <w:rPr>
                <w:sz w:val="22"/>
              </w:rPr>
              <w:t>3025,1074</w:t>
            </w:r>
          </w:p>
        </w:tc>
        <w:tc>
          <w:tcPr>
            <w:tcW w:w="1565" w:type="dxa"/>
          </w:tcPr>
          <w:p>
            <w:pPr>
              <w:pStyle w:val="TableParagraph"/>
              <w:rPr>
                <w:sz w:val="22"/>
              </w:rPr>
            </w:pPr>
            <w:r>
              <w:rPr>
                <w:sz w:val="22"/>
              </w:rPr>
              <w:t>0,006259775</w:t>
            </w:r>
          </w:p>
        </w:tc>
      </w:tr>
      <w:tr>
        <w:trPr>
          <w:trHeight w:val="310" w:hRule="exact"/>
        </w:trPr>
        <w:tc>
          <w:tcPr>
            <w:tcW w:w="838" w:type="dxa"/>
          </w:tcPr>
          <w:p>
            <w:pPr>
              <w:pStyle w:val="TableParagraph"/>
              <w:spacing w:before="13"/>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1250" w:type="dxa"/>
          </w:tcPr>
          <w:p>
            <w:pPr/>
          </w:p>
        </w:tc>
        <w:tc>
          <w:tcPr>
            <w:tcW w:w="1054" w:type="dxa"/>
          </w:tcPr>
          <w:p>
            <w:pPr>
              <w:pStyle w:val="TableParagraph"/>
              <w:spacing w:before="18"/>
              <w:ind w:left="330" w:right="343"/>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56" w:type="dxa"/>
          </w:tcPr>
          <w:p>
            <w:pPr>
              <w:pStyle w:val="TableParagraph"/>
              <w:rPr>
                <w:sz w:val="22"/>
              </w:rPr>
            </w:pPr>
            <w:r>
              <w:rPr>
                <w:sz w:val="22"/>
              </w:rPr>
              <w:t>-2942,0233</w:t>
            </w:r>
          </w:p>
        </w:tc>
        <w:tc>
          <w:tcPr>
            <w:tcW w:w="931" w:type="dxa"/>
          </w:tcPr>
          <w:p>
            <w:pPr/>
          </w:p>
        </w:tc>
        <w:tc>
          <w:tcPr>
            <w:tcW w:w="1296" w:type="dxa"/>
          </w:tcPr>
          <w:p>
            <w:pPr>
              <w:pStyle w:val="TableParagraph"/>
              <w:ind w:right="63"/>
              <w:rPr>
                <w:sz w:val="22"/>
              </w:rPr>
            </w:pPr>
            <w:r>
              <w:rPr>
                <w:sz w:val="22"/>
              </w:rPr>
              <w:t>20422,8344</w:t>
            </w:r>
          </w:p>
        </w:tc>
        <w:tc>
          <w:tcPr>
            <w:tcW w:w="1565" w:type="dxa"/>
          </w:tcPr>
          <w:p>
            <w:pPr>
              <w:pStyle w:val="TableParagraph"/>
              <w:rPr>
                <w:sz w:val="22"/>
              </w:rPr>
            </w:pPr>
            <w:r>
              <w:rPr>
                <w:sz w:val="22"/>
              </w:rPr>
              <w:t>0,042260436</w:t>
            </w:r>
          </w:p>
        </w:tc>
      </w:tr>
      <w:tr>
        <w:trPr>
          <w:trHeight w:val="310" w:hRule="exact"/>
        </w:trPr>
        <w:tc>
          <w:tcPr>
            <w:tcW w:w="5810" w:type="dxa"/>
            <w:gridSpan w:val="6"/>
            <w:vMerge w:val="restart"/>
            <w:tcBorders>
              <w:left w:val="nil"/>
            </w:tcBorders>
          </w:tcPr>
          <w:p>
            <w:pPr/>
          </w:p>
        </w:tc>
        <w:tc>
          <w:tcPr>
            <w:tcW w:w="2227" w:type="dxa"/>
            <w:gridSpan w:val="2"/>
          </w:tcPr>
          <w:p>
            <w:pPr>
              <w:pStyle w:val="TableParagraph"/>
              <w:spacing w:before="13"/>
              <w:ind w:left="64" w:right="151"/>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65" w:type="dxa"/>
          </w:tcPr>
          <w:p>
            <w:pPr>
              <w:pStyle w:val="TableParagraph"/>
              <w:spacing w:before="30"/>
              <w:rPr>
                <w:b/>
                <w:sz w:val="22"/>
              </w:rPr>
            </w:pPr>
            <w:r>
              <w:rPr>
                <w:b/>
                <w:sz w:val="22"/>
              </w:rPr>
              <w:t>-4,232</w:t>
            </w:r>
          </w:p>
        </w:tc>
      </w:tr>
      <w:tr>
        <w:trPr>
          <w:trHeight w:val="312" w:hRule="exact"/>
        </w:trPr>
        <w:tc>
          <w:tcPr>
            <w:tcW w:w="5810" w:type="dxa"/>
            <w:gridSpan w:val="6"/>
            <w:vMerge/>
            <w:tcBorders>
              <w:left w:val="nil"/>
            </w:tcBorders>
          </w:tcPr>
          <w:p>
            <w:pPr/>
          </w:p>
        </w:tc>
        <w:tc>
          <w:tcPr>
            <w:tcW w:w="2227" w:type="dxa"/>
            <w:gridSpan w:val="2"/>
          </w:tcPr>
          <w:p>
            <w:pPr>
              <w:pStyle w:val="TableParagraph"/>
              <w:spacing w:before="13"/>
              <w:ind w:left="64" w:right="151"/>
              <w:jc w:val="left"/>
              <w:rPr>
                <w:sz w:val="22"/>
              </w:rPr>
            </w:pPr>
            <w:r>
              <w:rPr>
                <w:sz w:val="22"/>
              </w:rPr>
              <w:t>Desviación estándar</w:t>
            </w:r>
          </w:p>
        </w:tc>
        <w:tc>
          <w:tcPr>
            <w:tcW w:w="1565" w:type="dxa"/>
          </w:tcPr>
          <w:p>
            <w:pPr>
              <w:pStyle w:val="TableParagraph"/>
              <w:spacing w:before="30"/>
              <w:rPr>
                <w:b/>
                <w:sz w:val="22"/>
              </w:rPr>
            </w:pPr>
            <w:r>
              <w:rPr>
                <w:b/>
                <w:sz w:val="22"/>
              </w:rPr>
              <w:t>0,206</w:t>
            </w:r>
          </w:p>
        </w:tc>
      </w:tr>
      <w:tr>
        <w:trPr>
          <w:trHeight w:val="310" w:hRule="exact"/>
        </w:trPr>
        <w:tc>
          <w:tcPr>
            <w:tcW w:w="5810" w:type="dxa"/>
            <w:gridSpan w:val="6"/>
            <w:vMerge/>
            <w:tcBorders>
              <w:left w:val="nil"/>
            </w:tcBorders>
          </w:tcPr>
          <w:p>
            <w:pPr/>
          </w:p>
        </w:tc>
        <w:tc>
          <w:tcPr>
            <w:tcW w:w="2227" w:type="dxa"/>
            <w:gridSpan w:val="2"/>
            <w:vMerge w:val="restart"/>
          </w:tcPr>
          <w:p>
            <w:pPr>
              <w:pStyle w:val="TableParagraph"/>
              <w:spacing w:before="33"/>
              <w:ind w:left="64" w:right="151"/>
              <w:jc w:val="left"/>
              <w:rPr>
                <w:sz w:val="22"/>
              </w:rPr>
            </w:pPr>
            <w:r>
              <w:rPr>
                <w:sz w:val="22"/>
              </w:rPr>
              <w:t>Intervalo de confianza al 95 %</w:t>
            </w:r>
          </w:p>
        </w:tc>
        <w:tc>
          <w:tcPr>
            <w:tcW w:w="1565" w:type="dxa"/>
          </w:tcPr>
          <w:p>
            <w:pPr>
              <w:pStyle w:val="TableParagraph"/>
              <w:rPr>
                <w:sz w:val="22"/>
              </w:rPr>
            </w:pPr>
            <w:r>
              <w:rPr>
                <w:sz w:val="22"/>
              </w:rPr>
              <w:t>-4,64</w:t>
            </w:r>
          </w:p>
        </w:tc>
      </w:tr>
      <w:tr>
        <w:trPr>
          <w:trHeight w:val="310" w:hRule="exact"/>
        </w:trPr>
        <w:tc>
          <w:tcPr>
            <w:tcW w:w="5810" w:type="dxa"/>
            <w:gridSpan w:val="6"/>
            <w:vMerge/>
            <w:tcBorders>
              <w:left w:val="nil"/>
              <w:bottom w:val="nil"/>
            </w:tcBorders>
          </w:tcPr>
          <w:p>
            <w:pPr/>
          </w:p>
        </w:tc>
        <w:tc>
          <w:tcPr>
            <w:tcW w:w="2227" w:type="dxa"/>
            <w:gridSpan w:val="2"/>
            <w:vMerge/>
          </w:tcPr>
          <w:p>
            <w:pPr/>
          </w:p>
        </w:tc>
        <w:tc>
          <w:tcPr>
            <w:tcW w:w="1565" w:type="dxa"/>
          </w:tcPr>
          <w:p>
            <w:pPr>
              <w:pStyle w:val="TableParagraph"/>
              <w:rPr>
                <w:sz w:val="22"/>
              </w:rPr>
            </w:pPr>
            <w:r>
              <w:rPr>
                <w:sz w:val="22"/>
              </w:rPr>
              <w:t>-3,83</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250"/>
        <w:gridCol w:w="1054"/>
        <w:gridCol w:w="1356"/>
        <w:gridCol w:w="931"/>
        <w:gridCol w:w="1296"/>
        <w:gridCol w:w="1565"/>
      </w:tblGrid>
      <w:tr>
        <w:trPr>
          <w:trHeight w:val="310" w:hRule="exact"/>
        </w:trPr>
        <w:tc>
          <w:tcPr>
            <w:tcW w:w="9602" w:type="dxa"/>
            <w:gridSpan w:val="9"/>
          </w:tcPr>
          <w:p>
            <w:pPr>
              <w:pStyle w:val="TableParagraph"/>
              <w:ind w:left="3694" w:right="3693"/>
              <w:jc w:val="center"/>
              <w:rPr>
                <w:sz w:val="22"/>
              </w:rPr>
            </w:pPr>
            <w:r>
              <w:rPr>
                <w:sz w:val="22"/>
              </w:rPr>
              <w:t>Eficiencia Percolador</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250" w:type="dxa"/>
          </w:tcPr>
          <w:p>
            <w:pPr>
              <w:pStyle w:val="TableParagraph"/>
              <w:spacing w:before="43"/>
              <w:ind w:left="487" w:right="49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54" w:type="dxa"/>
          </w:tcPr>
          <w:p>
            <w:pPr>
              <w:pStyle w:val="TableParagraph"/>
              <w:spacing w:line="214" w:lineRule="exact" w:before="6"/>
              <w:ind w:left="330" w:right="34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56" w:type="dxa"/>
          </w:tcPr>
          <w:p>
            <w:pPr>
              <w:pStyle w:val="TableParagraph"/>
              <w:spacing w:before="19"/>
              <w:ind w:left="555" w:right="56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31"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296" w:type="dxa"/>
          </w:tcPr>
          <w:p>
            <w:pPr>
              <w:pStyle w:val="TableParagraph"/>
              <w:spacing w:before="0"/>
              <w:ind w:left="311" w:right="109"/>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65" w:type="dxa"/>
          </w:tcPr>
          <w:p>
            <w:pPr>
              <w:pStyle w:val="TableParagraph"/>
              <w:spacing w:before="0"/>
              <w:ind w:left="42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38" w:type="dxa"/>
          </w:tcPr>
          <w:p>
            <w:pPr>
              <w:pStyle w:val="TableParagraph"/>
              <w:spacing w:before="13"/>
              <w:ind w:right="1"/>
              <w:jc w:val="center"/>
              <w:rPr>
                <w:sz w:val="22"/>
              </w:rPr>
            </w:pPr>
            <w:r>
              <w:rPr>
                <w:w w:val="100"/>
                <w:sz w:val="22"/>
              </w:rPr>
              <w:t>1</w:t>
            </w:r>
          </w:p>
        </w:tc>
        <w:tc>
          <w:tcPr>
            <w:tcW w:w="809" w:type="dxa"/>
          </w:tcPr>
          <w:p>
            <w:pPr>
              <w:pStyle w:val="TableParagraph"/>
              <w:spacing w:before="30"/>
              <w:ind w:left="59" w:right="0"/>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1250" w:type="dxa"/>
          </w:tcPr>
          <w:p>
            <w:pPr>
              <w:pStyle w:val="TableParagraph"/>
              <w:spacing w:before="30"/>
              <w:rPr>
                <w:sz w:val="22"/>
              </w:rPr>
            </w:pPr>
            <w:r>
              <w:rPr>
                <w:sz w:val="22"/>
              </w:rPr>
              <w:t>-1,3256</w:t>
            </w:r>
          </w:p>
        </w:tc>
        <w:tc>
          <w:tcPr>
            <w:tcW w:w="1054" w:type="dxa"/>
          </w:tcPr>
          <w:p>
            <w:pPr>
              <w:pStyle w:val="TableParagraph"/>
              <w:spacing w:before="30"/>
              <w:ind w:right="63"/>
              <w:rPr>
                <w:sz w:val="22"/>
              </w:rPr>
            </w:pPr>
            <w:r>
              <w:rPr>
                <w:sz w:val="22"/>
              </w:rPr>
              <w:t>20,6068</w:t>
            </w:r>
          </w:p>
        </w:tc>
        <w:tc>
          <w:tcPr>
            <w:tcW w:w="1356" w:type="dxa"/>
          </w:tcPr>
          <w:p>
            <w:pPr>
              <w:pStyle w:val="TableParagraph"/>
              <w:spacing w:before="30"/>
              <w:rPr>
                <w:sz w:val="22"/>
              </w:rPr>
            </w:pPr>
            <w:r>
              <w:rPr>
                <w:sz w:val="22"/>
              </w:rPr>
              <w:t>-143,9627</w:t>
            </w:r>
          </w:p>
        </w:tc>
        <w:tc>
          <w:tcPr>
            <w:tcW w:w="931" w:type="dxa"/>
          </w:tcPr>
          <w:p>
            <w:pPr>
              <w:pStyle w:val="TableParagraph"/>
              <w:spacing w:before="30"/>
              <w:ind w:right="63"/>
              <w:rPr>
                <w:sz w:val="22"/>
              </w:rPr>
            </w:pPr>
            <w:r>
              <w:rPr>
                <w:sz w:val="22"/>
              </w:rPr>
              <w:t>4,5395</w:t>
            </w:r>
          </w:p>
        </w:tc>
        <w:tc>
          <w:tcPr>
            <w:tcW w:w="1296" w:type="dxa"/>
          </w:tcPr>
          <w:p>
            <w:pPr>
              <w:pStyle w:val="TableParagraph"/>
              <w:spacing w:before="30"/>
              <w:ind w:right="63"/>
              <w:rPr>
                <w:sz w:val="22"/>
              </w:rPr>
            </w:pPr>
            <w:r>
              <w:rPr>
                <w:sz w:val="22"/>
              </w:rPr>
              <w:t>-752,3510</w:t>
            </w:r>
          </w:p>
        </w:tc>
        <w:tc>
          <w:tcPr>
            <w:tcW w:w="1565" w:type="dxa"/>
          </w:tcPr>
          <w:p>
            <w:pPr>
              <w:pStyle w:val="TableParagraph"/>
              <w:spacing w:before="30"/>
              <w:rPr>
                <w:sz w:val="22"/>
              </w:rPr>
            </w:pPr>
            <w:r>
              <w:rPr>
                <w:sz w:val="22"/>
              </w:rPr>
              <w:t>-0,00155682</w:t>
            </w:r>
          </w:p>
        </w:tc>
      </w:tr>
      <w:tr>
        <w:trPr>
          <w:trHeight w:val="310" w:hRule="exact"/>
        </w:trPr>
        <w:tc>
          <w:tcPr>
            <w:tcW w:w="838" w:type="dxa"/>
          </w:tcPr>
          <w:p>
            <w:pPr>
              <w:pStyle w:val="TableParagraph"/>
              <w:spacing w:before="11"/>
              <w:ind w:right="1"/>
              <w:jc w:val="center"/>
              <w:rPr>
                <w:sz w:val="22"/>
              </w:rPr>
            </w:pPr>
            <w:r>
              <w:rPr>
                <w:w w:val="100"/>
                <w:sz w:val="22"/>
              </w:rPr>
              <w:t>2</w:t>
            </w:r>
          </w:p>
        </w:tc>
        <w:tc>
          <w:tcPr>
            <w:tcW w:w="809" w:type="dxa"/>
          </w:tcPr>
          <w:p>
            <w:pPr>
              <w:pStyle w:val="TableParagraph"/>
              <w:ind w:left="59" w:right="0"/>
              <w:jc w:val="center"/>
              <w:rPr>
                <w:sz w:val="22"/>
              </w:rPr>
            </w:pPr>
            <w:r>
              <w:rPr>
                <w:sz w:val="22"/>
              </w:rPr>
              <w:t>121,03</w:t>
            </w:r>
          </w:p>
        </w:tc>
        <w:tc>
          <w:tcPr>
            <w:tcW w:w="504" w:type="dxa"/>
          </w:tcPr>
          <w:p>
            <w:pPr>
              <w:pStyle w:val="TableParagraph"/>
              <w:ind w:left="184" w:right="42"/>
              <w:jc w:val="center"/>
              <w:rPr>
                <w:sz w:val="22"/>
              </w:rPr>
            </w:pPr>
            <w:r>
              <w:rPr>
                <w:sz w:val="22"/>
              </w:rPr>
              <w:t>81</w:t>
            </w:r>
          </w:p>
        </w:tc>
        <w:tc>
          <w:tcPr>
            <w:tcW w:w="1250" w:type="dxa"/>
          </w:tcPr>
          <w:p>
            <w:pPr>
              <w:pStyle w:val="TableParagraph"/>
              <w:rPr>
                <w:sz w:val="22"/>
              </w:rPr>
            </w:pPr>
            <w:r>
              <w:rPr>
                <w:sz w:val="22"/>
              </w:rPr>
              <w:t>-1,8384</w:t>
            </w:r>
          </w:p>
        </w:tc>
        <w:tc>
          <w:tcPr>
            <w:tcW w:w="1054" w:type="dxa"/>
          </w:tcPr>
          <w:p>
            <w:pPr>
              <w:pStyle w:val="TableParagraph"/>
              <w:ind w:right="63"/>
              <w:rPr>
                <w:sz w:val="22"/>
              </w:rPr>
            </w:pPr>
            <w:r>
              <w:rPr>
                <w:sz w:val="22"/>
              </w:rPr>
              <w:t>14,7726</w:t>
            </w:r>
          </w:p>
        </w:tc>
        <w:tc>
          <w:tcPr>
            <w:tcW w:w="1356" w:type="dxa"/>
          </w:tcPr>
          <w:p>
            <w:pPr>
              <w:pStyle w:val="TableParagraph"/>
              <w:rPr>
                <w:sz w:val="22"/>
              </w:rPr>
            </w:pPr>
            <w:r>
              <w:rPr>
                <w:sz w:val="22"/>
              </w:rPr>
              <w:t>-222,5052</w:t>
            </w:r>
          </w:p>
        </w:tc>
        <w:tc>
          <w:tcPr>
            <w:tcW w:w="931" w:type="dxa"/>
          </w:tcPr>
          <w:p>
            <w:pPr>
              <w:pStyle w:val="TableParagraph"/>
              <w:ind w:right="63"/>
              <w:rPr>
                <w:sz w:val="22"/>
              </w:rPr>
            </w:pPr>
            <w:r>
              <w:rPr>
                <w:sz w:val="22"/>
              </w:rPr>
              <w:t>3,8435</w:t>
            </w:r>
          </w:p>
        </w:tc>
        <w:tc>
          <w:tcPr>
            <w:tcW w:w="1296" w:type="dxa"/>
          </w:tcPr>
          <w:p>
            <w:pPr>
              <w:pStyle w:val="TableParagraph"/>
              <w:ind w:right="63"/>
              <w:rPr>
                <w:sz w:val="22"/>
              </w:rPr>
            </w:pPr>
            <w:r>
              <w:rPr>
                <w:sz w:val="22"/>
              </w:rPr>
              <w:t>884,9071</w:t>
            </w:r>
          </w:p>
        </w:tc>
        <w:tc>
          <w:tcPr>
            <w:tcW w:w="1565" w:type="dxa"/>
          </w:tcPr>
          <w:p>
            <w:pPr>
              <w:pStyle w:val="TableParagraph"/>
              <w:rPr>
                <w:sz w:val="22"/>
              </w:rPr>
            </w:pPr>
            <w:r>
              <w:rPr>
                <w:sz w:val="22"/>
              </w:rPr>
              <w:t>0,001831115</w:t>
            </w:r>
          </w:p>
        </w:tc>
      </w:tr>
      <w:tr>
        <w:trPr>
          <w:trHeight w:val="310" w:hRule="exact"/>
        </w:trPr>
        <w:tc>
          <w:tcPr>
            <w:tcW w:w="838" w:type="dxa"/>
          </w:tcPr>
          <w:p>
            <w:pPr>
              <w:pStyle w:val="TableParagraph"/>
              <w:spacing w:before="13"/>
              <w:ind w:right="1"/>
              <w:jc w:val="center"/>
              <w:rPr>
                <w:sz w:val="22"/>
              </w:rPr>
            </w:pPr>
            <w:r>
              <w:rPr>
                <w:w w:val="100"/>
                <w:sz w:val="22"/>
              </w:rPr>
              <w:t>3</w:t>
            </w:r>
          </w:p>
        </w:tc>
        <w:tc>
          <w:tcPr>
            <w:tcW w:w="809" w:type="dxa"/>
          </w:tcPr>
          <w:p>
            <w:pPr>
              <w:pStyle w:val="TableParagraph"/>
              <w:ind w:left="59" w:right="0"/>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250" w:type="dxa"/>
          </w:tcPr>
          <w:p>
            <w:pPr>
              <w:pStyle w:val="TableParagraph"/>
              <w:rPr>
                <w:sz w:val="22"/>
              </w:rPr>
            </w:pPr>
            <w:r>
              <w:rPr>
                <w:sz w:val="22"/>
              </w:rPr>
              <w:t>3,6379</w:t>
            </w:r>
          </w:p>
        </w:tc>
        <w:tc>
          <w:tcPr>
            <w:tcW w:w="1054" w:type="dxa"/>
          </w:tcPr>
          <w:p>
            <w:pPr>
              <w:pStyle w:val="TableParagraph"/>
              <w:ind w:right="63"/>
              <w:rPr>
                <w:sz w:val="22"/>
              </w:rPr>
            </w:pPr>
            <w:r>
              <w:rPr>
                <w:sz w:val="22"/>
              </w:rPr>
              <w:t>15,8903</w:t>
            </w:r>
          </w:p>
        </w:tc>
        <w:tc>
          <w:tcPr>
            <w:tcW w:w="1356" w:type="dxa"/>
          </w:tcPr>
          <w:p>
            <w:pPr>
              <w:pStyle w:val="TableParagraph"/>
              <w:rPr>
                <w:sz w:val="22"/>
              </w:rPr>
            </w:pPr>
            <w:r>
              <w:rPr>
                <w:sz w:val="22"/>
              </w:rPr>
              <w:t>473,6866</w:t>
            </w:r>
          </w:p>
        </w:tc>
        <w:tc>
          <w:tcPr>
            <w:tcW w:w="931" w:type="dxa"/>
          </w:tcPr>
          <w:p>
            <w:pPr>
              <w:pStyle w:val="TableParagraph"/>
              <w:ind w:right="63"/>
              <w:rPr>
                <w:sz w:val="22"/>
              </w:rPr>
            </w:pPr>
            <w:r>
              <w:rPr>
                <w:sz w:val="22"/>
              </w:rPr>
              <w:t>3,9863</w:t>
            </w:r>
          </w:p>
        </w:tc>
        <w:tc>
          <w:tcPr>
            <w:tcW w:w="1296" w:type="dxa"/>
          </w:tcPr>
          <w:p>
            <w:pPr>
              <w:pStyle w:val="TableParagraph"/>
              <w:ind w:right="63"/>
              <w:rPr>
                <w:sz w:val="22"/>
              </w:rPr>
            </w:pPr>
            <w:r>
              <w:rPr>
                <w:sz w:val="22"/>
              </w:rPr>
              <w:t>1450,8446</w:t>
            </w:r>
          </w:p>
        </w:tc>
        <w:tc>
          <w:tcPr>
            <w:tcW w:w="1565" w:type="dxa"/>
          </w:tcPr>
          <w:p>
            <w:pPr>
              <w:pStyle w:val="TableParagraph"/>
              <w:rPr>
                <w:sz w:val="22"/>
              </w:rPr>
            </w:pPr>
            <w:r>
              <w:rPr>
                <w:sz w:val="22"/>
              </w:rPr>
              <w:t>0,003002195</w:t>
            </w:r>
          </w:p>
        </w:tc>
      </w:tr>
      <w:tr>
        <w:trPr>
          <w:trHeight w:val="310" w:hRule="exact"/>
        </w:trPr>
        <w:tc>
          <w:tcPr>
            <w:tcW w:w="838" w:type="dxa"/>
          </w:tcPr>
          <w:p>
            <w:pPr>
              <w:pStyle w:val="TableParagraph"/>
              <w:spacing w:before="13"/>
              <w:ind w:right="1"/>
              <w:jc w:val="center"/>
              <w:rPr>
                <w:sz w:val="22"/>
              </w:rPr>
            </w:pPr>
            <w:r>
              <w:rPr>
                <w:w w:val="100"/>
                <w:sz w:val="22"/>
              </w:rPr>
              <w:t>4</w:t>
            </w:r>
          </w:p>
        </w:tc>
        <w:tc>
          <w:tcPr>
            <w:tcW w:w="809" w:type="dxa"/>
          </w:tcPr>
          <w:p>
            <w:pPr>
              <w:pStyle w:val="TableParagraph"/>
              <w:ind w:left="59" w:right="0"/>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250" w:type="dxa"/>
          </w:tcPr>
          <w:p>
            <w:pPr>
              <w:pStyle w:val="TableParagraph"/>
              <w:rPr>
                <w:sz w:val="22"/>
              </w:rPr>
            </w:pPr>
            <w:r>
              <w:rPr>
                <w:sz w:val="22"/>
              </w:rPr>
              <w:t>0,1843</w:t>
            </w:r>
          </w:p>
        </w:tc>
        <w:tc>
          <w:tcPr>
            <w:tcW w:w="1054" w:type="dxa"/>
          </w:tcPr>
          <w:p>
            <w:pPr>
              <w:pStyle w:val="TableParagraph"/>
              <w:ind w:right="63"/>
              <w:rPr>
                <w:sz w:val="22"/>
              </w:rPr>
            </w:pPr>
            <w:r>
              <w:rPr>
                <w:sz w:val="22"/>
              </w:rPr>
              <w:t>1,5984</w:t>
            </w:r>
          </w:p>
        </w:tc>
        <w:tc>
          <w:tcPr>
            <w:tcW w:w="1356" w:type="dxa"/>
          </w:tcPr>
          <w:p>
            <w:pPr>
              <w:pStyle w:val="TableParagraph"/>
              <w:rPr>
                <w:sz w:val="22"/>
              </w:rPr>
            </w:pPr>
            <w:r>
              <w:rPr>
                <w:sz w:val="22"/>
              </w:rPr>
              <w:t>28,5858</w:t>
            </w:r>
          </w:p>
        </w:tc>
        <w:tc>
          <w:tcPr>
            <w:tcW w:w="931" w:type="dxa"/>
          </w:tcPr>
          <w:p>
            <w:pPr>
              <w:pStyle w:val="TableParagraph"/>
              <w:ind w:right="63"/>
              <w:rPr>
                <w:sz w:val="22"/>
              </w:rPr>
            </w:pPr>
            <w:r>
              <w:rPr>
                <w:sz w:val="22"/>
              </w:rPr>
              <w:t>1,2643</w:t>
            </w:r>
          </w:p>
        </w:tc>
        <w:tc>
          <w:tcPr>
            <w:tcW w:w="1296" w:type="dxa"/>
          </w:tcPr>
          <w:p>
            <w:pPr>
              <w:pStyle w:val="TableParagraph"/>
              <w:ind w:right="63"/>
              <w:rPr>
                <w:sz w:val="22"/>
              </w:rPr>
            </w:pPr>
            <w:r>
              <w:rPr>
                <w:sz w:val="22"/>
              </w:rPr>
              <w:t>170,9711</w:t>
            </w:r>
          </w:p>
        </w:tc>
        <w:tc>
          <w:tcPr>
            <w:tcW w:w="1565" w:type="dxa"/>
          </w:tcPr>
          <w:p>
            <w:pPr>
              <w:pStyle w:val="TableParagraph"/>
              <w:rPr>
                <w:sz w:val="22"/>
              </w:rPr>
            </w:pPr>
            <w:r>
              <w:rPr>
                <w:sz w:val="22"/>
              </w:rPr>
              <w:t>0,000353786</w:t>
            </w:r>
          </w:p>
        </w:tc>
      </w:tr>
      <w:tr>
        <w:trPr>
          <w:trHeight w:val="310" w:hRule="exact"/>
        </w:trPr>
        <w:tc>
          <w:tcPr>
            <w:tcW w:w="838" w:type="dxa"/>
          </w:tcPr>
          <w:p>
            <w:pPr>
              <w:pStyle w:val="TableParagraph"/>
              <w:spacing w:before="13"/>
              <w:ind w:right="1"/>
              <w:jc w:val="center"/>
              <w:rPr>
                <w:sz w:val="22"/>
              </w:rPr>
            </w:pPr>
            <w:r>
              <w:rPr>
                <w:w w:val="100"/>
                <w:sz w:val="22"/>
              </w:rPr>
              <w:t>5</w:t>
            </w:r>
          </w:p>
        </w:tc>
        <w:tc>
          <w:tcPr>
            <w:tcW w:w="809" w:type="dxa"/>
          </w:tcPr>
          <w:p>
            <w:pPr>
              <w:pStyle w:val="TableParagraph"/>
              <w:ind w:left="59" w:right="0"/>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250" w:type="dxa"/>
          </w:tcPr>
          <w:p>
            <w:pPr>
              <w:pStyle w:val="TableParagraph"/>
              <w:rPr>
                <w:sz w:val="22"/>
              </w:rPr>
            </w:pPr>
            <w:r>
              <w:rPr>
                <w:sz w:val="22"/>
              </w:rPr>
              <w:t>3,7350</w:t>
            </w:r>
          </w:p>
        </w:tc>
        <w:tc>
          <w:tcPr>
            <w:tcW w:w="1054" w:type="dxa"/>
          </w:tcPr>
          <w:p>
            <w:pPr>
              <w:pStyle w:val="TableParagraph"/>
              <w:ind w:right="63"/>
              <w:rPr>
                <w:sz w:val="22"/>
              </w:rPr>
            </w:pPr>
            <w:r>
              <w:rPr>
                <w:sz w:val="22"/>
              </w:rPr>
              <w:t>28,4529</w:t>
            </w:r>
          </w:p>
        </w:tc>
        <w:tc>
          <w:tcPr>
            <w:tcW w:w="1356" w:type="dxa"/>
          </w:tcPr>
          <w:p>
            <w:pPr>
              <w:pStyle w:val="TableParagraph"/>
              <w:rPr>
                <w:sz w:val="22"/>
              </w:rPr>
            </w:pPr>
            <w:r>
              <w:rPr>
                <w:sz w:val="22"/>
              </w:rPr>
              <w:t>673,0794</w:t>
            </w:r>
          </w:p>
        </w:tc>
        <w:tc>
          <w:tcPr>
            <w:tcW w:w="931" w:type="dxa"/>
          </w:tcPr>
          <w:p>
            <w:pPr>
              <w:pStyle w:val="TableParagraph"/>
              <w:ind w:right="63"/>
              <w:rPr>
                <w:sz w:val="22"/>
              </w:rPr>
            </w:pPr>
            <w:r>
              <w:rPr>
                <w:sz w:val="22"/>
              </w:rPr>
              <w:t>5,3341</w:t>
            </w:r>
          </w:p>
        </w:tc>
        <w:tc>
          <w:tcPr>
            <w:tcW w:w="1296" w:type="dxa"/>
          </w:tcPr>
          <w:p>
            <w:pPr>
              <w:pStyle w:val="TableParagraph"/>
              <w:ind w:right="63"/>
              <w:rPr>
                <w:sz w:val="22"/>
              </w:rPr>
            </w:pPr>
            <w:r>
              <w:rPr>
                <w:sz w:val="22"/>
              </w:rPr>
              <w:t>1870,5791</w:t>
            </w:r>
          </w:p>
        </w:tc>
        <w:tc>
          <w:tcPr>
            <w:tcW w:w="1565" w:type="dxa"/>
          </w:tcPr>
          <w:p>
            <w:pPr>
              <w:pStyle w:val="TableParagraph"/>
              <w:rPr>
                <w:sz w:val="22"/>
              </w:rPr>
            </w:pPr>
            <w:r>
              <w:rPr>
                <w:sz w:val="22"/>
              </w:rPr>
              <w:t>0,00387074</w:t>
            </w:r>
          </w:p>
        </w:tc>
      </w:tr>
      <w:tr>
        <w:trPr>
          <w:trHeight w:val="310" w:hRule="exact"/>
        </w:trPr>
        <w:tc>
          <w:tcPr>
            <w:tcW w:w="838" w:type="dxa"/>
          </w:tcPr>
          <w:p>
            <w:pPr>
              <w:pStyle w:val="TableParagraph"/>
              <w:spacing w:before="13"/>
              <w:ind w:right="0"/>
              <w:jc w:val="center"/>
              <w:rPr>
                <w:sz w:val="22"/>
              </w:rPr>
            </w:pPr>
            <w:r>
              <w:rPr>
                <w:w w:val="100"/>
                <w:sz w:val="22"/>
              </w:rPr>
              <w:t>N</w:t>
            </w:r>
          </w:p>
        </w:tc>
        <w:tc>
          <w:tcPr>
            <w:tcW w:w="809" w:type="dxa"/>
          </w:tcPr>
          <w:p>
            <w:pPr>
              <w:pStyle w:val="TableParagraph"/>
              <w:spacing w:before="30"/>
              <w:ind w:left="59" w:right="0"/>
              <w:jc w:val="center"/>
              <w:rPr>
                <w:sz w:val="22"/>
              </w:rPr>
            </w:pPr>
            <w:r>
              <w:rPr>
                <w:sz w:val="22"/>
              </w:rPr>
              <w:t>695,17</w:t>
            </w:r>
          </w:p>
        </w:tc>
        <w:tc>
          <w:tcPr>
            <w:tcW w:w="504" w:type="dxa"/>
          </w:tcPr>
          <w:p>
            <w:pPr/>
          </w:p>
        </w:tc>
        <w:tc>
          <w:tcPr>
            <w:tcW w:w="1250" w:type="dxa"/>
          </w:tcPr>
          <w:p>
            <w:pPr/>
          </w:p>
        </w:tc>
        <w:tc>
          <w:tcPr>
            <w:tcW w:w="1054" w:type="dxa"/>
          </w:tcPr>
          <w:p>
            <w:pPr>
              <w:pStyle w:val="TableParagraph"/>
              <w:spacing w:before="18"/>
              <w:ind w:left="330" w:right="343"/>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56" w:type="dxa"/>
          </w:tcPr>
          <w:p>
            <w:pPr>
              <w:pStyle w:val="TableParagraph"/>
              <w:spacing w:before="30"/>
              <w:rPr>
                <w:sz w:val="22"/>
              </w:rPr>
            </w:pPr>
            <w:r>
              <w:rPr>
                <w:sz w:val="22"/>
              </w:rPr>
              <w:t>808,8840</w:t>
            </w:r>
          </w:p>
        </w:tc>
        <w:tc>
          <w:tcPr>
            <w:tcW w:w="931" w:type="dxa"/>
          </w:tcPr>
          <w:p>
            <w:pPr/>
          </w:p>
        </w:tc>
        <w:tc>
          <w:tcPr>
            <w:tcW w:w="1296" w:type="dxa"/>
          </w:tcPr>
          <w:p>
            <w:pPr>
              <w:pStyle w:val="TableParagraph"/>
              <w:spacing w:before="30"/>
              <w:ind w:right="63"/>
              <w:rPr>
                <w:sz w:val="22"/>
              </w:rPr>
            </w:pPr>
            <w:r>
              <w:rPr>
                <w:sz w:val="22"/>
              </w:rPr>
              <w:t>3624,9510</w:t>
            </w:r>
          </w:p>
        </w:tc>
        <w:tc>
          <w:tcPr>
            <w:tcW w:w="1565" w:type="dxa"/>
          </w:tcPr>
          <w:p>
            <w:pPr>
              <w:pStyle w:val="TableParagraph"/>
              <w:spacing w:before="30"/>
              <w:rPr>
                <w:sz w:val="22"/>
              </w:rPr>
            </w:pPr>
            <w:r>
              <w:rPr>
                <w:sz w:val="22"/>
              </w:rPr>
              <w:t>0,007501016</w:t>
            </w:r>
          </w:p>
        </w:tc>
      </w:tr>
      <w:tr>
        <w:trPr>
          <w:trHeight w:val="312" w:hRule="exact"/>
        </w:trPr>
        <w:tc>
          <w:tcPr>
            <w:tcW w:w="5810" w:type="dxa"/>
            <w:gridSpan w:val="6"/>
            <w:vMerge w:val="restart"/>
            <w:tcBorders>
              <w:left w:val="nil"/>
            </w:tcBorders>
          </w:tcPr>
          <w:p>
            <w:pPr/>
          </w:p>
        </w:tc>
        <w:tc>
          <w:tcPr>
            <w:tcW w:w="2227" w:type="dxa"/>
            <w:gridSpan w:val="2"/>
          </w:tcPr>
          <w:p>
            <w:pPr>
              <w:pStyle w:val="TableParagraph"/>
              <w:spacing w:before="13"/>
              <w:ind w:left="64" w:right="151"/>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65" w:type="dxa"/>
          </w:tcPr>
          <w:p>
            <w:pPr>
              <w:pStyle w:val="TableParagraph"/>
              <w:spacing w:before="30"/>
              <w:rPr>
                <w:b/>
                <w:sz w:val="22"/>
              </w:rPr>
            </w:pPr>
            <w:r>
              <w:rPr>
                <w:b/>
                <w:sz w:val="22"/>
              </w:rPr>
              <w:t>1,164</w:t>
            </w:r>
          </w:p>
        </w:tc>
      </w:tr>
      <w:tr>
        <w:trPr>
          <w:trHeight w:val="310" w:hRule="exact"/>
        </w:trPr>
        <w:tc>
          <w:tcPr>
            <w:tcW w:w="5810" w:type="dxa"/>
            <w:gridSpan w:val="6"/>
            <w:vMerge/>
            <w:tcBorders>
              <w:left w:val="nil"/>
            </w:tcBorders>
          </w:tcPr>
          <w:p>
            <w:pPr/>
          </w:p>
        </w:tc>
        <w:tc>
          <w:tcPr>
            <w:tcW w:w="2227" w:type="dxa"/>
            <w:gridSpan w:val="2"/>
          </w:tcPr>
          <w:p>
            <w:pPr>
              <w:pStyle w:val="TableParagraph"/>
              <w:spacing w:before="11"/>
              <w:ind w:left="64" w:right="151"/>
              <w:jc w:val="left"/>
              <w:rPr>
                <w:sz w:val="22"/>
              </w:rPr>
            </w:pPr>
            <w:r>
              <w:rPr>
                <w:sz w:val="22"/>
              </w:rPr>
              <w:t>Desviación estándar</w:t>
            </w:r>
          </w:p>
        </w:tc>
        <w:tc>
          <w:tcPr>
            <w:tcW w:w="1565" w:type="dxa"/>
          </w:tcPr>
          <w:p>
            <w:pPr>
              <w:pStyle w:val="TableParagraph"/>
              <w:rPr>
                <w:b/>
                <w:sz w:val="22"/>
              </w:rPr>
            </w:pPr>
            <w:r>
              <w:rPr>
                <w:b/>
                <w:sz w:val="22"/>
              </w:rPr>
              <w:t>0,087</w:t>
            </w:r>
          </w:p>
        </w:tc>
      </w:tr>
      <w:tr>
        <w:trPr>
          <w:trHeight w:val="310" w:hRule="exact"/>
        </w:trPr>
        <w:tc>
          <w:tcPr>
            <w:tcW w:w="5810" w:type="dxa"/>
            <w:gridSpan w:val="6"/>
            <w:vMerge/>
            <w:tcBorders>
              <w:left w:val="nil"/>
            </w:tcBorders>
          </w:tcPr>
          <w:p>
            <w:pPr/>
          </w:p>
        </w:tc>
        <w:tc>
          <w:tcPr>
            <w:tcW w:w="2227" w:type="dxa"/>
            <w:gridSpan w:val="2"/>
            <w:vMerge w:val="restart"/>
          </w:tcPr>
          <w:p>
            <w:pPr>
              <w:pStyle w:val="TableParagraph"/>
              <w:spacing w:before="33"/>
              <w:ind w:left="64" w:right="151"/>
              <w:jc w:val="left"/>
              <w:rPr>
                <w:sz w:val="22"/>
              </w:rPr>
            </w:pPr>
            <w:r>
              <w:rPr>
                <w:sz w:val="22"/>
              </w:rPr>
              <w:t>Intervalo de confianza al 95 %</w:t>
            </w:r>
          </w:p>
        </w:tc>
        <w:tc>
          <w:tcPr>
            <w:tcW w:w="1565" w:type="dxa"/>
          </w:tcPr>
          <w:p>
            <w:pPr>
              <w:pStyle w:val="TableParagraph"/>
              <w:rPr>
                <w:sz w:val="22"/>
              </w:rPr>
            </w:pPr>
            <w:r>
              <w:rPr>
                <w:sz w:val="22"/>
              </w:rPr>
              <w:t>0,99</w:t>
            </w:r>
          </w:p>
        </w:tc>
      </w:tr>
      <w:tr>
        <w:trPr>
          <w:trHeight w:val="310" w:hRule="exact"/>
        </w:trPr>
        <w:tc>
          <w:tcPr>
            <w:tcW w:w="5810" w:type="dxa"/>
            <w:gridSpan w:val="6"/>
            <w:vMerge/>
            <w:tcBorders>
              <w:left w:val="nil"/>
              <w:bottom w:val="nil"/>
            </w:tcBorders>
          </w:tcPr>
          <w:p>
            <w:pPr/>
          </w:p>
        </w:tc>
        <w:tc>
          <w:tcPr>
            <w:tcW w:w="2227" w:type="dxa"/>
            <w:gridSpan w:val="2"/>
            <w:vMerge/>
          </w:tcPr>
          <w:p>
            <w:pPr/>
          </w:p>
        </w:tc>
        <w:tc>
          <w:tcPr>
            <w:tcW w:w="1565" w:type="dxa"/>
          </w:tcPr>
          <w:p>
            <w:pPr>
              <w:pStyle w:val="TableParagraph"/>
              <w:rPr>
                <w:sz w:val="22"/>
              </w:rPr>
            </w:pPr>
            <w:r>
              <w:rPr>
                <w:sz w:val="22"/>
              </w:rPr>
              <w:t>1,33</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250"/>
        <w:gridCol w:w="1054"/>
        <w:gridCol w:w="1356"/>
        <w:gridCol w:w="931"/>
        <w:gridCol w:w="1296"/>
        <w:gridCol w:w="1565"/>
      </w:tblGrid>
      <w:tr>
        <w:trPr>
          <w:trHeight w:val="310" w:hRule="exact"/>
        </w:trPr>
        <w:tc>
          <w:tcPr>
            <w:tcW w:w="9602" w:type="dxa"/>
            <w:gridSpan w:val="9"/>
          </w:tcPr>
          <w:p>
            <w:pPr>
              <w:pStyle w:val="TableParagraph"/>
              <w:spacing w:before="30"/>
              <w:ind w:left="3694" w:right="3694"/>
              <w:jc w:val="center"/>
              <w:rPr>
                <w:sz w:val="22"/>
              </w:rPr>
            </w:pPr>
            <w:r>
              <w:rPr>
                <w:sz w:val="22"/>
              </w:rPr>
              <w:t>Eficiencia filtro de arena</w:t>
            </w:r>
          </w:p>
        </w:tc>
      </w:tr>
      <w:tr>
        <w:trPr>
          <w:trHeight w:val="312"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250" w:type="dxa"/>
          </w:tcPr>
          <w:p>
            <w:pPr>
              <w:pStyle w:val="TableParagraph"/>
              <w:spacing w:before="43"/>
              <w:ind w:left="487" w:right="49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54" w:type="dxa"/>
          </w:tcPr>
          <w:p>
            <w:pPr>
              <w:pStyle w:val="TableParagraph"/>
              <w:spacing w:line="214" w:lineRule="exact" w:before="8"/>
              <w:ind w:left="330" w:right="34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56" w:type="dxa"/>
          </w:tcPr>
          <w:p>
            <w:pPr>
              <w:pStyle w:val="TableParagraph"/>
              <w:spacing w:before="19"/>
              <w:ind w:left="555" w:right="56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31"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296" w:type="dxa"/>
          </w:tcPr>
          <w:p>
            <w:pPr>
              <w:pStyle w:val="TableParagraph"/>
              <w:spacing w:before="3"/>
              <w:ind w:left="311" w:right="109"/>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65" w:type="dxa"/>
          </w:tcPr>
          <w:p>
            <w:pPr>
              <w:pStyle w:val="TableParagraph"/>
              <w:spacing w:before="3"/>
              <w:ind w:left="42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11"/>
              <w:ind w:right="1"/>
              <w:jc w:val="center"/>
              <w:rPr>
                <w:sz w:val="22"/>
              </w:rPr>
            </w:pPr>
            <w:r>
              <w:rPr>
                <w:w w:val="100"/>
                <w:sz w:val="22"/>
              </w:rPr>
              <w:t>1</w:t>
            </w:r>
          </w:p>
        </w:tc>
        <w:tc>
          <w:tcPr>
            <w:tcW w:w="809" w:type="dxa"/>
          </w:tcPr>
          <w:p>
            <w:pPr>
              <w:pStyle w:val="TableParagraph"/>
              <w:ind w:left="59" w:right="0"/>
              <w:jc w:val="center"/>
              <w:rPr>
                <w:sz w:val="22"/>
              </w:rPr>
            </w:pPr>
            <w:r>
              <w:rPr>
                <w:sz w:val="22"/>
              </w:rPr>
              <w:t>108,60</w:t>
            </w:r>
          </w:p>
        </w:tc>
        <w:tc>
          <w:tcPr>
            <w:tcW w:w="504" w:type="dxa"/>
          </w:tcPr>
          <w:p>
            <w:pPr>
              <w:pStyle w:val="TableParagraph"/>
              <w:ind w:left="73" w:right="41"/>
              <w:jc w:val="center"/>
              <w:rPr>
                <w:sz w:val="22"/>
              </w:rPr>
            </w:pPr>
            <w:r>
              <w:rPr>
                <w:sz w:val="22"/>
              </w:rPr>
              <w:t>108</w:t>
            </w:r>
          </w:p>
        </w:tc>
        <w:tc>
          <w:tcPr>
            <w:tcW w:w="1250" w:type="dxa"/>
          </w:tcPr>
          <w:p>
            <w:pPr>
              <w:pStyle w:val="TableParagraph"/>
              <w:rPr>
                <w:sz w:val="22"/>
              </w:rPr>
            </w:pPr>
            <w:r>
              <w:rPr>
                <w:sz w:val="22"/>
              </w:rPr>
              <w:t>-1,137933</w:t>
            </w:r>
          </w:p>
        </w:tc>
        <w:tc>
          <w:tcPr>
            <w:tcW w:w="1054" w:type="dxa"/>
          </w:tcPr>
          <w:p>
            <w:pPr>
              <w:pStyle w:val="TableParagraph"/>
              <w:ind w:right="63"/>
              <w:rPr>
                <w:sz w:val="22"/>
              </w:rPr>
            </w:pPr>
            <w:r>
              <w:rPr>
                <w:sz w:val="22"/>
              </w:rPr>
              <w:t>40,2574</w:t>
            </w:r>
          </w:p>
        </w:tc>
        <w:tc>
          <w:tcPr>
            <w:tcW w:w="1356" w:type="dxa"/>
          </w:tcPr>
          <w:p>
            <w:pPr>
              <w:pStyle w:val="TableParagraph"/>
              <w:rPr>
                <w:sz w:val="22"/>
              </w:rPr>
            </w:pPr>
            <w:r>
              <w:rPr>
                <w:sz w:val="22"/>
              </w:rPr>
              <w:t>-123,5795</w:t>
            </w:r>
          </w:p>
        </w:tc>
        <w:tc>
          <w:tcPr>
            <w:tcW w:w="931" w:type="dxa"/>
          </w:tcPr>
          <w:p>
            <w:pPr>
              <w:pStyle w:val="TableParagraph"/>
              <w:ind w:right="63"/>
              <w:rPr>
                <w:sz w:val="22"/>
              </w:rPr>
            </w:pPr>
            <w:r>
              <w:rPr>
                <w:sz w:val="22"/>
              </w:rPr>
              <w:t>6,3449</w:t>
            </w:r>
          </w:p>
        </w:tc>
        <w:tc>
          <w:tcPr>
            <w:tcW w:w="1296" w:type="dxa"/>
          </w:tcPr>
          <w:p>
            <w:pPr>
              <w:pStyle w:val="TableParagraph"/>
              <w:ind w:right="63"/>
              <w:rPr>
                <w:sz w:val="22"/>
              </w:rPr>
            </w:pPr>
            <w:r>
              <w:rPr>
                <w:sz w:val="22"/>
              </w:rPr>
              <w:t>-1469,7878</w:t>
            </w:r>
          </w:p>
        </w:tc>
        <w:tc>
          <w:tcPr>
            <w:tcW w:w="1565" w:type="dxa"/>
          </w:tcPr>
          <w:p>
            <w:pPr>
              <w:pStyle w:val="TableParagraph"/>
              <w:rPr>
                <w:sz w:val="22"/>
              </w:rPr>
            </w:pPr>
            <w:r>
              <w:rPr>
                <w:sz w:val="22"/>
              </w:rPr>
              <w:t>-0,003041393</w:t>
            </w:r>
          </w:p>
        </w:tc>
      </w:tr>
      <w:tr>
        <w:trPr>
          <w:trHeight w:val="310" w:hRule="exact"/>
        </w:trPr>
        <w:tc>
          <w:tcPr>
            <w:tcW w:w="838" w:type="dxa"/>
          </w:tcPr>
          <w:p>
            <w:pPr>
              <w:pStyle w:val="TableParagraph"/>
              <w:spacing w:before="13"/>
              <w:ind w:right="1"/>
              <w:jc w:val="center"/>
              <w:rPr>
                <w:sz w:val="22"/>
              </w:rPr>
            </w:pPr>
            <w:r>
              <w:rPr>
                <w:w w:val="100"/>
                <w:sz w:val="22"/>
              </w:rPr>
              <w:t>2</w:t>
            </w:r>
          </w:p>
        </w:tc>
        <w:tc>
          <w:tcPr>
            <w:tcW w:w="809" w:type="dxa"/>
          </w:tcPr>
          <w:p>
            <w:pPr>
              <w:pStyle w:val="TableParagraph"/>
              <w:ind w:left="59" w:right="0"/>
              <w:jc w:val="center"/>
              <w:rPr>
                <w:sz w:val="22"/>
              </w:rPr>
            </w:pPr>
            <w:r>
              <w:rPr>
                <w:sz w:val="22"/>
              </w:rPr>
              <w:t>121,03</w:t>
            </w:r>
          </w:p>
        </w:tc>
        <w:tc>
          <w:tcPr>
            <w:tcW w:w="504" w:type="dxa"/>
          </w:tcPr>
          <w:p>
            <w:pPr>
              <w:pStyle w:val="TableParagraph"/>
              <w:ind w:left="184" w:right="42"/>
              <w:jc w:val="center"/>
              <w:rPr>
                <w:sz w:val="22"/>
              </w:rPr>
            </w:pPr>
            <w:r>
              <w:rPr>
                <w:sz w:val="22"/>
              </w:rPr>
              <w:t>81</w:t>
            </w:r>
          </w:p>
        </w:tc>
        <w:tc>
          <w:tcPr>
            <w:tcW w:w="1250" w:type="dxa"/>
          </w:tcPr>
          <w:p>
            <w:pPr>
              <w:pStyle w:val="TableParagraph"/>
              <w:rPr>
                <w:sz w:val="22"/>
              </w:rPr>
            </w:pPr>
            <w:r>
              <w:rPr>
                <w:sz w:val="22"/>
              </w:rPr>
              <w:t>-6,088447</w:t>
            </w:r>
          </w:p>
        </w:tc>
        <w:tc>
          <w:tcPr>
            <w:tcW w:w="1054" w:type="dxa"/>
          </w:tcPr>
          <w:p>
            <w:pPr>
              <w:pStyle w:val="TableParagraph"/>
              <w:ind w:right="63"/>
              <w:rPr>
                <w:sz w:val="22"/>
              </w:rPr>
            </w:pPr>
            <w:r>
              <w:rPr>
                <w:sz w:val="22"/>
              </w:rPr>
              <w:t>31,7317</w:t>
            </w:r>
          </w:p>
        </w:tc>
        <w:tc>
          <w:tcPr>
            <w:tcW w:w="1356" w:type="dxa"/>
          </w:tcPr>
          <w:p>
            <w:pPr>
              <w:pStyle w:val="TableParagraph"/>
              <w:rPr>
                <w:sz w:val="22"/>
              </w:rPr>
            </w:pPr>
            <w:r>
              <w:rPr>
                <w:sz w:val="22"/>
              </w:rPr>
              <w:t>-736,8848</w:t>
            </w:r>
          </w:p>
        </w:tc>
        <w:tc>
          <w:tcPr>
            <w:tcW w:w="931" w:type="dxa"/>
          </w:tcPr>
          <w:p>
            <w:pPr>
              <w:pStyle w:val="TableParagraph"/>
              <w:ind w:right="63"/>
              <w:rPr>
                <w:sz w:val="22"/>
              </w:rPr>
            </w:pPr>
            <w:r>
              <w:rPr>
                <w:sz w:val="22"/>
              </w:rPr>
              <w:t>5,6331</w:t>
            </w:r>
          </w:p>
        </w:tc>
        <w:tc>
          <w:tcPr>
            <w:tcW w:w="1296" w:type="dxa"/>
          </w:tcPr>
          <w:p>
            <w:pPr>
              <w:pStyle w:val="TableParagraph"/>
              <w:ind w:right="63"/>
              <w:rPr>
                <w:sz w:val="22"/>
              </w:rPr>
            </w:pPr>
            <w:r>
              <w:rPr>
                <w:sz w:val="22"/>
              </w:rPr>
              <w:t>1900,7919</w:t>
            </w:r>
          </w:p>
        </w:tc>
        <w:tc>
          <w:tcPr>
            <w:tcW w:w="1565" w:type="dxa"/>
          </w:tcPr>
          <w:p>
            <w:pPr>
              <w:pStyle w:val="TableParagraph"/>
              <w:rPr>
                <w:sz w:val="22"/>
              </w:rPr>
            </w:pPr>
            <w:r>
              <w:rPr>
                <w:sz w:val="22"/>
              </w:rPr>
              <w:t>0,003933259</w:t>
            </w:r>
          </w:p>
        </w:tc>
      </w:tr>
      <w:tr>
        <w:trPr>
          <w:trHeight w:val="310" w:hRule="exact"/>
        </w:trPr>
        <w:tc>
          <w:tcPr>
            <w:tcW w:w="838" w:type="dxa"/>
          </w:tcPr>
          <w:p>
            <w:pPr>
              <w:pStyle w:val="TableParagraph"/>
              <w:spacing w:before="13"/>
              <w:ind w:right="1"/>
              <w:jc w:val="center"/>
              <w:rPr>
                <w:sz w:val="22"/>
              </w:rPr>
            </w:pPr>
            <w:r>
              <w:rPr>
                <w:w w:val="100"/>
                <w:sz w:val="22"/>
              </w:rPr>
              <w:t>3</w:t>
            </w:r>
          </w:p>
        </w:tc>
        <w:tc>
          <w:tcPr>
            <w:tcW w:w="809" w:type="dxa"/>
          </w:tcPr>
          <w:p>
            <w:pPr>
              <w:pStyle w:val="TableParagraph"/>
              <w:ind w:left="59" w:right="0"/>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250" w:type="dxa"/>
          </w:tcPr>
          <w:p>
            <w:pPr>
              <w:pStyle w:val="TableParagraph"/>
              <w:rPr>
                <w:sz w:val="22"/>
              </w:rPr>
            </w:pPr>
            <w:r>
              <w:rPr>
                <w:sz w:val="22"/>
              </w:rPr>
              <w:t>-4,10</w:t>
            </w:r>
          </w:p>
        </w:tc>
        <w:tc>
          <w:tcPr>
            <w:tcW w:w="1054" w:type="dxa"/>
          </w:tcPr>
          <w:p>
            <w:pPr>
              <w:pStyle w:val="TableParagraph"/>
              <w:ind w:right="63"/>
              <w:rPr>
                <w:sz w:val="22"/>
              </w:rPr>
            </w:pPr>
            <w:r>
              <w:rPr>
                <w:sz w:val="22"/>
              </w:rPr>
              <w:t>169,4634</w:t>
            </w:r>
          </w:p>
        </w:tc>
        <w:tc>
          <w:tcPr>
            <w:tcW w:w="1356" w:type="dxa"/>
          </w:tcPr>
          <w:p>
            <w:pPr>
              <w:pStyle w:val="TableParagraph"/>
              <w:rPr>
                <w:sz w:val="22"/>
              </w:rPr>
            </w:pPr>
            <w:r>
              <w:rPr>
                <w:sz w:val="22"/>
              </w:rPr>
              <w:t>-533,2287</w:t>
            </w:r>
          </w:p>
        </w:tc>
        <w:tc>
          <w:tcPr>
            <w:tcW w:w="931" w:type="dxa"/>
          </w:tcPr>
          <w:p>
            <w:pPr>
              <w:pStyle w:val="TableParagraph"/>
              <w:ind w:right="63"/>
              <w:rPr>
                <w:sz w:val="22"/>
              </w:rPr>
            </w:pPr>
            <w:r>
              <w:rPr>
                <w:sz w:val="22"/>
              </w:rPr>
              <w:t>13,0178</w:t>
            </w:r>
          </w:p>
        </w:tc>
        <w:tc>
          <w:tcPr>
            <w:tcW w:w="1296" w:type="dxa"/>
          </w:tcPr>
          <w:p>
            <w:pPr>
              <w:pStyle w:val="TableParagraph"/>
              <w:ind w:right="63"/>
              <w:rPr>
                <w:sz w:val="22"/>
              </w:rPr>
            </w:pPr>
            <w:r>
              <w:rPr>
                <w:sz w:val="22"/>
              </w:rPr>
              <w:t>15472,6027</w:t>
            </w:r>
          </w:p>
        </w:tc>
        <w:tc>
          <w:tcPr>
            <w:tcW w:w="1565" w:type="dxa"/>
          </w:tcPr>
          <w:p>
            <w:pPr>
              <w:pStyle w:val="TableParagraph"/>
              <w:rPr>
                <w:sz w:val="22"/>
              </w:rPr>
            </w:pPr>
            <w:r>
              <w:rPr>
                <w:sz w:val="22"/>
              </w:rPr>
              <w:t>0,032017051</w:t>
            </w:r>
          </w:p>
        </w:tc>
      </w:tr>
      <w:tr>
        <w:trPr>
          <w:trHeight w:val="310" w:hRule="exact"/>
        </w:trPr>
        <w:tc>
          <w:tcPr>
            <w:tcW w:w="838" w:type="dxa"/>
          </w:tcPr>
          <w:p>
            <w:pPr>
              <w:pStyle w:val="TableParagraph"/>
              <w:spacing w:before="13"/>
              <w:ind w:right="1"/>
              <w:jc w:val="center"/>
              <w:rPr>
                <w:sz w:val="22"/>
              </w:rPr>
            </w:pPr>
            <w:r>
              <w:rPr>
                <w:w w:val="100"/>
                <w:sz w:val="22"/>
              </w:rPr>
              <w:t>4</w:t>
            </w:r>
          </w:p>
        </w:tc>
        <w:tc>
          <w:tcPr>
            <w:tcW w:w="809" w:type="dxa"/>
          </w:tcPr>
          <w:p>
            <w:pPr>
              <w:pStyle w:val="TableParagraph"/>
              <w:ind w:left="59" w:right="0"/>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250" w:type="dxa"/>
          </w:tcPr>
          <w:p>
            <w:pPr>
              <w:pStyle w:val="TableParagraph"/>
              <w:rPr>
                <w:sz w:val="22"/>
              </w:rPr>
            </w:pPr>
            <w:r>
              <w:rPr>
                <w:sz w:val="22"/>
              </w:rPr>
              <w:t>1,92</w:t>
            </w:r>
          </w:p>
        </w:tc>
        <w:tc>
          <w:tcPr>
            <w:tcW w:w="1054" w:type="dxa"/>
          </w:tcPr>
          <w:p>
            <w:pPr>
              <w:pStyle w:val="TableParagraph"/>
              <w:ind w:right="63"/>
              <w:rPr>
                <w:sz w:val="22"/>
              </w:rPr>
            </w:pPr>
            <w:r>
              <w:rPr>
                <w:sz w:val="22"/>
              </w:rPr>
              <w:t>5,7833</w:t>
            </w:r>
          </w:p>
        </w:tc>
        <w:tc>
          <w:tcPr>
            <w:tcW w:w="1356" w:type="dxa"/>
          </w:tcPr>
          <w:p>
            <w:pPr>
              <w:pStyle w:val="TableParagraph"/>
              <w:rPr>
                <w:sz w:val="22"/>
              </w:rPr>
            </w:pPr>
            <w:r>
              <w:rPr>
                <w:sz w:val="22"/>
              </w:rPr>
              <w:t>297,3302</w:t>
            </w:r>
          </w:p>
        </w:tc>
        <w:tc>
          <w:tcPr>
            <w:tcW w:w="931" w:type="dxa"/>
          </w:tcPr>
          <w:p>
            <w:pPr>
              <w:pStyle w:val="TableParagraph"/>
              <w:ind w:right="63"/>
              <w:rPr>
                <w:sz w:val="22"/>
              </w:rPr>
            </w:pPr>
            <w:r>
              <w:rPr>
                <w:sz w:val="22"/>
              </w:rPr>
              <w:t>2,4049</w:t>
            </w:r>
          </w:p>
        </w:tc>
        <w:tc>
          <w:tcPr>
            <w:tcW w:w="1296" w:type="dxa"/>
          </w:tcPr>
          <w:p>
            <w:pPr>
              <w:pStyle w:val="TableParagraph"/>
              <w:ind w:right="63"/>
              <w:rPr>
                <w:sz w:val="22"/>
              </w:rPr>
            </w:pPr>
            <w:r>
              <w:rPr>
                <w:sz w:val="22"/>
              </w:rPr>
              <w:t>618,6255</w:t>
            </w:r>
          </w:p>
        </w:tc>
        <w:tc>
          <w:tcPr>
            <w:tcW w:w="1565" w:type="dxa"/>
          </w:tcPr>
          <w:p>
            <w:pPr>
              <w:pStyle w:val="TableParagraph"/>
              <w:rPr>
                <w:sz w:val="22"/>
              </w:rPr>
            </w:pPr>
            <w:r>
              <w:rPr>
                <w:sz w:val="22"/>
              </w:rPr>
              <w:t>0,001280105</w:t>
            </w:r>
          </w:p>
        </w:tc>
      </w:tr>
      <w:tr>
        <w:trPr>
          <w:trHeight w:val="310" w:hRule="exact"/>
        </w:trPr>
        <w:tc>
          <w:tcPr>
            <w:tcW w:w="838" w:type="dxa"/>
          </w:tcPr>
          <w:p>
            <w:pPr>
              <w:pStyle w:val="TableParagraph"/>
              <w:spacing w:before="13"/>
              <w:ind w:right="1"/>
              <w:jc w:val="center"/>
              <w:rPr>
                <w:sz w:val="22"/>
              </w:rPr>
            </w:pPr>
            <w:r>
              <w:rPr>
                <w:w w:val="100"/>
                <w:sz w:val="22"/>
              </w:rPr>
              <w:t>5</w:t>
            </w:r>
          </w:p>
        </w:tc>
        <w:tc>
          <w:tcPr>
            <w:tcW w:w="809" w:type="dxa"/>
          </w:tcPr>
          <w:p>
            <w:pPr>
              <w:pStyle w:val="TableParagraph"/>
              <w:spacing w:before="30"/>
              <w:ind w:left="59" w:right="0"/>
              <w:jc w:val="center"/>
              <w:rPr>
                <w:sz w:val="22"/>
              </w:rPr>
            </w:pPr>
            <w:r>
              <w:rPr>
                <w:sz w:val="22"/>
              </w:rPr>
              <w:t>180,21</w:t>
            </w:r>
          </w:p>
        </w:tc>
        <w:tc>
          <w:tcPr>
            <w:tcW w:w="504" w:type="dxa"/>
          </w:tcPr>
          <w:p>
            <w:pPr>
              <w:pStyle w:val="TableParagraph"/>
              <w:spacing w:before="30"/>
              <w:ind w:left="73" w:right="41"/>
              <w:jc w:val="center"/>
              <w:rPr>
                <w:sz w:val="22"/>
              </w:rPr>
            </w:pPr>
            <w:r>
              <w:rPr>
                <w:sz w:val="22"/>
              </w:rPr>
              <w:t>132</w:t>
            </w:r>
          </w:p>
        </w:tc>
        <w:tc>
          <w:tcPr>
            <w:tcW w:w="1250" w:type="dxa"/>
          </w:tcPr>
          <w:p>
            <w:pPr>
              <w:pStyle w:val="TableParagraph"/>
              <w:spacing w:before="30"/>
              <w:rPr>
                <w:sz w:val="22"/>
              </w:rPr>
            </w:pPr>
            <w:r>
              <w:rPr>
                <w:sz w:val="22"/>
              </w:rPr>
              <w:t>-1,97</w:t>
            </w:r>
          </w:p>
        </w:tc>
        <w:tc>
          <w:tcPr>
            <w:tcW w:w="1054" w:type="dxa"/>
          </w:tcPr>
          <w:p>
            <w:pPr>
              <w:pStyle w:val="TableParagraph"/>
              <w:spacing w:before="30"/>
              <w:ind w:right="63"/>
              <w:rPr>
                <w:sz w:val="22"/>
              </w:rPr>
            </w:pPr>
            <w:r>
              <w:rPr>
                <w:sz w:val="22"/>
              </w:rPr>
              <w:t>55,5313</w:t>
            </w:r>
          </w:p>
        </w:tc>
        <w:tc>
          <w:tcPr>
            <w:tcW w:w="1356" w:type="dxa"/>
          </w:tcPr>
          <w:p>
            <w:pPr>
              <w:pStyle w:val="TableParagraph"/>
              <w:spacing w:before="30"/>
              <w:rPr>
                <w:sz w:val="22"/>
              </w:rPr>
            </w:pPr>
            <w:r>
              <w:rPr>
                <w:sz w:val="22"/>
              </w:rPr>
              <w:t>-354,6583</w:t>
            </w:r>
          </w:p>
        </w:tc>
        <w:tc>
          <w:tcPr>
            <w:tcW w:w="931" w:type="dxa"/>
          </w:tcPr>
          <w:p>
            <w:pPr>
              <w:pStyle w:val="TableParagraph"/>
              <w:spacing w:before="30"/>
              <w:ind w:right="63"/>
              <w:rPr>
                <w:sz w:val="22"/>
              </w:rPr>
            </w:pPr>
            <w:r>
              <w:rPr>
                <w:sz w:val="22"/>
              </w:rPr>
              <w:t>7,4519</w:t>
            </w:r>
          </w:p>
        </w:tc>
        <w:tc>
          <w:tcPr>
            <w:tcW w:w="1296" w:type="dxa"/>
          </w:tcPr>
          <w:p>
            <w:pPr>
              <w:pStyle w:val="TableParagraph"/>
              <w:spacing w:before="30"/>
              <w:ind w:right="63"/>
              <w:rPr>
                <w:sz w:val="22"/>
              </w:rPr>
            </w:pPr>
            <w:r>
              <w:rPr>
                <w:sz w:val="22"/>
              </w:rPr>
              <w:t>3650,7996</w:t>
            </w:r>
          </w:p>
        </w:tc>
        <w:tc>
          <w:tcPr>
            <w:tcW w:w="1565" w:type="dxa"/>
          </w:tcPr>
          <w:p>
            <w:pPr>
              <w:pStyle w:val="TableParagraph"/>
              <w:spacing w:before="30"/>
              <w:rPr>
                <w:sz w:val="22"/>
              </w:rPr>
            </w:pPr>
            <w:r>
              <w:rPr>
                <w:sz w:val="22"/>
              </w:rPr>
              <w:t>0,007554504</w:t>
            </w:r>
          </w:p>
        </w:tc>
      </w:tr>
      <w:tr>
        <w:trPr>
          <w:trHeight w:val="312" w:hRule="exact"/>
        </w:trPr>
        <w:tc>
          <w:tcPr>
            <w:tcW w:w="838" w:type="dxa"/>
          </w:tcPr>
          <w:p>
            <w:pPr>
              <w:pStyle w:val="TableParagraph"/>
              <w:spacing w:before="13"/>
              <w:ind w:right="0"/>
              <w:jc w:val="center"/>
              <w:rPr>
                <w:sz w:val="22"/>
              </w:rPr>
            </w:pPr>
            <w:r>
              <w:rPr>
                <w:w w:val="100"/>
                <w:sz w:val="22"/>
              </w:rPr>
              <w:t>N</w:t>
            </w:r>
          </w:p>
        </w:tc>
        <w:tc>
          <w:tcPr>
            <w:tcW w:w="809" w:type="dxa"/>
          </w:tcPr>
          <w:p>
            <w:pPr>
              <w:pStyle w:val="TableParagraph"/>
              <w:spacing w:before="30"/>
              <w:ind w:left="59" w:right="0"/>
              <w:jc w:val="center"/>
              <w:rPr>
                <w:sz w:val="22"/>
              </w:rPr>
            </w:pPr>
            <w:r>
              <w:rPr>
                <w:sz w:val="22"/>
              </w:rPr>
              <w:t>695,17</w:t>
            </w:r>
          </w:p>
        </w:tc>
        <w:tc>
          <w:tcPr>
            <w:tcW w:w="504" w:type="dxa"/>
          </w:tcPr>
          <w:p>
            <w:pPr/>
          </w:p>
        </w:tc>
        <w:tc>
          <w:tcPr>
            <w:tcW w:w="1250" w:type="dxa"/>
          </w:tcPr>
          <w:p>
            <w:pPr/>
          </w:p>
        </w:tc>
        <w:tc>
          <w:tcPr>
            <w:tcW w:w="1054" w:type="dxa"/>
          </w:tcPr>
          <w:p>
            <w:pPr>
              <w:pStyle w:val="TableParagraph"/>
              <w:spacing w:before="18"/>
              <w:ind w:left="330" w:right="343"/>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56" w:type="dxa"/>
          </w:tcPr>
          <w:p>
            <w:pPr>
              <w:pStyle w:val="TableParagraph"/>
              <w:spacing w:before="30"/>
              <w:rPr>
                <w:sz w:val="22"/>
              </w:rPr>
            </w:pPr>
            <w:r>
              <w:rPr>
                <w:sz w:val="22"/>
              </w:rPr>
              <w:t>-1451,0211</w:t>
            </w:r>
          </w:p>
        </w:tc>
        <w:tc>
          <w:tcPr>
            <w:tcW w:w="931" w:type="dxa"/>
          </w:tcPr>
          <w:p>
            <w:pPr/>
          </w:p>
        </w:tc>
        <w:tc>
          <w:tcPr>
            <w:tcW w:w="1296" w:type="dxa"/>
          </w:tcPr>
          <w:p>
            <w:pPr>
              <w:pStyle w:val="TableParagraph"/>
              <w:spacing w:before="30"/>
              <w:ind w:right="63"/>
              <w:rPr>
                <w:sz w:val="22"/>
              </w:rPr>
            </w:pPr>
            <w:r>
              <w:rPr>
                <w:sz w:val="22"/>
              </w:rPr>
              <w:t>20173,0319</w:t>
            </w:r>
          </w:p>
        </w:tc>
        <w:tc>
          <w:tcPr>
            <w:tcW w:w="1565" w:type="dxa"/>
          </w:tcPr>
          <w:p>
            <w:pPr>
              <w:pStyle w:val="TableParagraph"/>
              <w:spacing w:before="30"/>
              <w:rPr>
                <w:sz w:val="22"/>
              </w:rPr>
            </w:pPr>
            <w:r>
              <w:rPr>
                <w:sz w:val="22"/>
              </w:rPr>
              <w:t>0,041743526</w:t>
            </w:r>
          </w:p>
        </w:tc>
      </w:tr>
      <w:tr>
        <w:trPr>
          <w:trHeight w:val="310" w:hRule="exact"/>
        </w:trPr>
        <w:tc>
          <w:tcPr>
            <w:tcW w:w="5810" w:type="dxa"/>
            <w:gridSpan w:val="6"/>
            <w:vMerge w:val="restart"/>
            <w:tcBorders>
              <w:left w:val="nil"/>
            </w:tcBorders>
          </w:tcPr>
          <w:p>
            <w:pPr/>
          </w:p>
        </w:tc>
        <w:tc>
          <w:tcPr>
            <w:tcW w:w="2227" w:type="dxa"/>
            <w:gridSpan w:val="2"/>
          </w:tcPr>
          <w:p>
            <w:pPr>
              <w:pStyle w:val="TableParagraph"/>
              <w:spacing w:before="11"/>
              <w:ind w:left="64" w:right="151"/>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65" w:type="dxa"/>
          </w:tcPr>
          <w:p>
            <w:pPr>
              <w:pStyle w:val="TableParagraph"/>
              <w:rPr>
                <w:b/>
                <w:sz w:val="22"/>
              </w:rPr>
            </w:pPr>
            <w:r>
              <w:rPr>
                <w:b/>
                <w:sz w:val="22"/>
              </w:rPr>
              <w:t>-2,087</w:t>
            </w:r>
          </w:p>
        </w:tc>
      </w:tr>
      <w:tr>
        <w:trPr>
          <w:trHeight w:val="310" w:hRule="exact"/>
        </w:trPr>
        <w:tc>
          <w:tcPr>
            <w:tcW w:w="5810" w:type="dxa"/>
            <w:gridSpan w:val="6"/>
            <w:vMerge/>
            <w:tcBorders>
              <w:left w:val="nil"/>
            </w:tcBorders>
          </w:tcPr>
          <w:p>
            <w:pPr/>
          </w:p>
        </w:tc>
        <w:tc>
          <w:tcPr>
            <w:tcW w:w="2227" w:type="dxa"/>
            <w:gridSpan w:val="2"/>
          </w:tcPr>
          <w:p>
            <w:pPr>
              <w:pStyle w:val="TableParagraph"/>
              <w:spacing w:before="13"/>
              <w:ind w:left="64" w:right="151"/>
              <w:jc w:val="left"/>
              <w:rPr>
                <w:sz w:val="22"/>
              </w:rPr>
            </w:pPr>
            <w:r>
              <w:rPr>
                <w:sz w:val="22"/>
              </w:rPr>
              <w:t>Desviación estándar</w:t>
            </w:r>
          </w:p>
        </w:tc>
        <w:tc>
          <w:tcPr>
            <w:tcW w:w="1565" w:type="dxa"/>
          </w:tcPr>
          <w:p>
            <w:pPr>
              <w:pStyle w:val="TableParagraph"/>
              <w:rPr>
                <w:b/>
                <w:sz w:val="22"/>
              </w:rPr>
            </w:pPr>
            <w:r>
              <w:rPr>
                <w:b/>
                <w:sz w:val="22"/>
              </w:rPr>
              <w:t>0,204</w:t>
            </w:r>
          </w:p>
        </w:tc>
      </w:tr>
      <w:tr>
        <w:trPr>
          <w:trHeight w:val="310" w:hRule="exact"/>
        </w:trPr>
        <w:tc>
          <w:tcPr>
            <w:tcW w:w="5810" w:type="dxa"/>
            <w:gridSpan w:val="6"/>
            <w:vMerge/>
            <w:tcBorders>
              <w:left w:val="nil"/>
            </w:tcBorders>
          </w:tcPr>
          <w:p>
            <w:pPr/>
          </w:p>
        </w:tc>
        <w:tc>
          <w:tcPr>
            <w:tcW w:w="2227" w:type="dxa"/>
            <w:gridSpan w:val="2"/>
            <w:vMerge w:val="restart"/>
          </w:tcPr>
          <w:p>
            <w:pPr>
              <w:pStyle w:val="TableParagraph"/>
              <w:spacing w:before="33"/>
              <w:ind w:left="64" w:right="151"/>
              <w:jc w:val="left"/>
              <w:rPr>
                <w:sz w:val="22"/>
              </w:rPr>
            </w:pPr>
            <w:r>
              <w:rPr>
                <w:sz w:val="22"/>
              </w:rPr>
              <w:t>Intervalo de confianza al 95 %</w:t>
            </w:r>
          </w:p>
        </w:tc>
        <w:tc>
          <w:tcPr>
            <w:tcW w:w="1565" w:type="dxa"/>
          </w:tcPr>
          <w:p>
            <w:pPr>
              <w:pStyle w:val="TableParagraph"/>
              <w:rPr>
                <w:sz w:val="22"/>
              </w:rPr>
            </w:pPr>
            <w:r>
              <w:rPr>
                <w:sz w:val="22"/>
              </w:rPr>
              <w:t>-2,49</w:t>
            </w:r>
          </w:p>
        </w:tc>
      </w:tr>
      <w:tr>
        <w:trPr>
          <w:trHeight w:val="310" w:hRule="exact"/>
        </w:trPr>
        <w:tc>
          <w:tcPr>
            <w:tcW w:w="5810" w:type="dxa"/>
            <w:gridSpan w:val="6"/>
            <w:vMerge/>
            <w:tcBorders>
              <w:left w:val="nil"/>
              <w:bottom w:val="nil"/>
            </w:tcBorders>
          </w:tcPr>
          <w:p>
            <w:pPr/>
          </w:p>
        </w:tc>
        <w:tc>
          <w:tcPr>
            <w:tcW w:w="2227" w:type="dxa"/>
            <w:gridSpan w:val="2"/>
            <w:vMerge/>
          </w:tcPr>
          <w:p>
            <w:pPr/>
          </w:p>
        </w:tc>
        <w:tc>
          <w:tcPr>
            <w:tcW w:w="1565" w:type="dxa"/>
          </w:tcPr>
          <w:p>
            <w:pPr>
              <w:pStyle w:val="TableParagraph"/>
              <w:rPr>
                <w:sz w:val="22"/>
              </w:rPr>
            </w:pPr>
            <w:r>
              <w:rPr>
                <w:sz w:val="22"/>
              </w:rPr>
              <w:t>-1,69</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6"/>
        <w:gridCol w:w="775"/>
        <w:gridCol w:w="475"/>
        <w:gridCol w:w="1046"/>
        <w:gridCol w:w="910"/>
        <w:gridCol w:w="1128"/>
        <w:gridCol w:w="775"/>
        <w:gridCol w:w="1181"/>
        <w:gridCol w:w="1678"/>
      </w:tblGrid>
      <w:tr>
        <w:trPr>
          <w:trHeight w:val="310" w:hRule="exact"/>
        </w:trPr>
        <w:tc>
          <w:tcPr>
            <w:tcW w:w="8774" w:type="dxa"/>
            <w:gridSpan w:val="9"/>
          </w:tcPr>
          <w:p>
            <w:pPr>
              <w:pStyle w:val="TableParagraph"/>
              <w:ind w:left="2870" w:right="0"/>
              <w:jc w:val="left"/>
              <w:rPr>
                <w:sz w:val="22"/>
              </w:rPr>
            </w:pPr>
            <w:r>
              <w:rPr>
                <w:sz w:val="22"/>
              </w:rPr>
              <w:t>Eficiencia estanque sedimentador</w:t>
            </w:r>
          </w:p>
        </w:tc>
      </w:tr>
      <w:tr>
        <w:trPr>
          <w:trHeight w:val="310" w:hRule="exact"/>
        </w:trPr>
        <w:tc>
          <w:tcPr>
            <w:tcW w:w="806" w:type="dxa"/>
          </w:tcPr>
          <w:p>
            <w:pPr>
              <w:pStyle w:val="TableParagraph"/>
              <w:spacing w:before="13"/>
              <w:ind w:left="46" w:right="71"/>
              <w:jc w:val="center"/>
              <w:rPr>
                <w:sz w:val="22"/>
              </w:rPr>
            </w:pPr>
            <w:r>
              <w:rPr>
                <w:sz w:val="22"/>
              </w:rPr>
              <w:t>Estrato</w:t>
            </w:r>
          </w:p>
        </w:tc>
        <w:tc>
          <w:tcPr>
            <w:tcW w:w="775" w:type="dxa"/>
          </w:tcPr>
          <w:p>
            <w:pPr>
              <w:pStyle w:val="TableParagraph"/>
              <w:spacing w:before="43"/>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112" w:right="0"/>
              <w:jc w:val="left"/>
              <w:rPr>
                <w:rFonts w:ascii="Cambria Math"/>
                <w:sz w:val="16"/>
              </w:rPr>
            </w:pPr>
            <w:r>
              <w:rPr>
                <w:rFonts w:ascii="Cambria Math"/>
                <w:w w:val="110"/>
                <w:sz w:val="22"/>
              </w:rPr>
              <w:t>n</w:t>
            </w:r>
            <w:r>
              <w:rPr>
                <w:rFonts w:ascii="Cambria Math"/>
                <w:w w:val="110"/>
                <w:position w:val="-4"/>
                <w:sz w:val="16"/>
              </w:rPr>
              <w:t>h</w:t>
            </w:r>
          </w:p>
        </w:tc>
        <w:tc>
          <w:tcPr>
            <w:tcW w:w="1046" w:type="dxa"/>
          </w:tcPr>
          <w:p>
            <w:pPr>
              <w:pStyle w:val="TableParagraph"/>
              <w:spacing w:before="43"/>
              <w:ind w:left="384" w:right="39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10" w:type="dxa"/>
          </w:tcPr>
          <w:p>
            <w:pPr>
              <w:pStyle w:val="TableParagraph"/>
              <w:spacing w:line="214" w:lineRule="exact" w:before="6"/>
              <w:ind w:left="106" w:right="11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28" w:type="dxa"/>
          </w:tcPr>
          <w:p>
            <w:pPr>
              <w:pStyle w:val="TableParagraph"/>
              <w:spacing w:before="19"/>
              <w:ind w:left="440" w:right="451"/>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75" w:type="dxa"/>
          </w:tcPr>
          <w:p>
            <w:pPr>
              <w:pStyle w:val="TableParagraph"/>
              <w:spacing w:before="43"/>
              <w:ind w:left="36" w:right="44"/>
              <w:jc w:val="center"/>
              <w:rPr>
                <w:rFonts w:ascii="Cambria Math"/>
                <w:sz w:val="16"/>
              </w:rPr>
            </w:pPr>
            <w:r>
              <w:rPr>
                <w:rFonts w:ascii="Cambria Math"/>
                <w:w w:val="110"/>
                <w:sz w:val="22"/>
              </w:rPr>
              <w:t>s</w:t>
            </w:r>
            <w:r>
              <w:rPr>
                <w:rFonts w:ascii="Cambria Math"/>
                <w:w w:val="110"/>
                <w:position w:val="-4"/>
                <w:sz w:val="16"/>
              </w:rPr>
              <w:t>h</w:t>
            </w:r>
          </w:p>
        </w:tc>
        <w:tc>
          <w:tcPr>
            <w:tcW w:w="1181" w:type="dxa"/>
          </w:tcPr>
          <w:p>
            <w:pPr>
              <w:pStyle w:val="TableParagraph"/>
              <w:spacing w:before="0"/>
              <w:ind w:left="25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78" w:type="dxa"/>
          </w:tcPr>
          <w:p>
            <w:pPr>
              <w:pStyle w:val="TableParagraph"/>
              <w:spacing w:before="0"/>
              <w:ind w:left="48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06" w:type="dxa"/>
          </w:tcPr>
          <w:p>
            <w:pPr>
              <w:pStyle w:val="TableParagraph"/>
              <w:spacing w:before="13"/>
              <w:ind w:left="1" w:right="0"/>
              <w:jc w:val="center"/>
              <w:rPr>
                <w:sz w:val="22"/>
              </w:rPr>
            </w:pPr>
            <w:r>
              <w:rPr>
                <w:w w:val="100"/>
                <w:sz w:val="22"/>
              </w:rPr>
              <w:t>1</w:t>
            </w:r>
          </w:p>
        </w:tc>
        <w:tc>
          <w:tcPr>
            <w:tcW w:w="775" w:type="dxa"/>
          </w:tcPr>
          <w:p>
            <w:pPr>
              <w:pStyle w:val="TableParagraph"/>
              <w:spacing w:before="30"/>
              <w:ind w:left="69" w:right="44"/>
              <w:jc w:val="center"/>
              <w:rPr>
                <w:sz w:val="22"/>
              </w:rPr>
            </w:pPr>
            <w:r>
              <w:rPr>
                <w:sz w:val="22"/>
              </w:rPr>
              <w:t>108,60</w:t>
            </w:r>
          </w:p>
        </w:tc>
        <w:tc>
          <w:tcPr>
            <w:tcW w:w="475" w:type="dxa"/>
          </w:tcPr>
          <w:p>
            <w:pPr>
              <w:pStyle w:val="TableParagraph"/>
              <w:spacing w:before="30"/>
              <w:ind w:left="67" w:right="0"/>
              <w:jc w:val="left"/>
              <w:rPr>
                <w:sz w:val="22"/>
              </w:rPr>
            </w:pPr>
            <w:r>
              <w:rPr>
                <w:sz w:val="22"/>
              </w:rPr>
              <w:t>108</w:t>
            </w:r>
          </w:p>
        </w:tc>
        <w:tc>
          <w:tcPr>
            <w:tcW w:w="1046" w:type="dxa"/>
          </w:tcPr>
          <w:p>
            <w:pPr>
              <w:pStyle w:val="TableParagraph"/>
              <w:spacing w:before="30"/>
              <w:rPr>
                <w:sz w:val="22"/>
              </w:rPr>
            </w:pPr>
            <w:r>
              <w:rPr>
                <w:sz w:val="22"/>
              </w:rPr>
              <w:t>3,289665</w:t>
            </w:r>
          </w:p>
        </w:tc>
        <w:tc>
          <w:tcPr>
            <w:tcW w:w="910" w:type="dxa"/>
          </w:tcPr>
          <w:p>
            <w:pPr>
              <w:pStyle w:val="TableParagraph"/>
              <w:spacing w:before="30"/>
              <w:rPr>
                <w:sz w:val="22"/>
              </w:rPr>
            </w:pPr>
            <w:r>
              <w:rPr>
                <w:sz w:val="22"/>
              </w:rPr>
              <w:t>11,0568</w:t>
            </w:r>
          </w:p>
        </w:tc>
        <w:tc>
          <w:tcPr>
            <w:tcW w:w="1128" w:type="dxa"/>
          </w:tcPr>
          <w:p>
            <w:pPr>
              <w:pStyle w:val="TableParagraph"/>
              <w:spacing w:before="30"/>
              <w:ind w:right="63"/>
              <w:rPr>
                <w:sz w:val="22"/>
              </w:rPr>
            </w:pPr>
            <w:r>
              <w:rPr>
                <w:sz w:val="22"/>
              </w:rPr>
              <w:t>357,2576</w:t>
            </w:r>
          </w:p>
        </w:tc>
        <w:tc>
          <w:tcPr>
            <w:tcW w:w="775" w:type="dxa"/>
          </w:tcPr>
          <w:p>
            <w:pPr>
              <w:pStyle w:val="TableParagraph"/>
              <w:spacing w:before="30"/>
              <w:ind w:left="69" w:right="44"/>
              <w:jc w:val="center"/>
              <w:rPr>
                <w:sz w:val="22"/>
              </w:rPr>
            </w:pPr>
            <w:r>
              <w:rPr>
                <w:sz w:val="22"/>
              </w:rPr>
              <w:t>3,3252</w:t>
            </w:r>
          </w:p>
        </w:tc>
        <w:tc>
          <w:tcPr>
            <w:tcW w:w="1181" w:type="dxa"/>
          </w:tcPr>
          <w:p>
            <w:pPr>
              <w:pStyle w:val="TableParagraph"/>
              <w:spacing w:before="30"/>
              <w:ind w:right="63"/>
              <w:rPr>
                <w:sz w:val="22"/>
              </w:rPr>
            </w:pPr>
            <w:r>
              <w:rPr>
                <w:sz w:val="22"/>
              </w:rPr>
              <w:t>-403,6795</w:t>
            </w:r>
          </w:p>
        </w:tc>
        <w:tc>
          <w:tcPr>
            <w:tcW w:w="1678" w:type="dxa"/>
          </w:tcPr>
          <w:p>
            <w:pPr>
              <w:pStyle w:val="TableParagraph"/>
              <w:spacing w:before="30"/>
              <w:rPr>
                <w:sz w:val="22"/>
              </w:rPr>
            </w:pPr>
            <w:r>
              <w:rPr>
                <w:sz w:val="22"/>
              </w:rPr>
              <w:t>-0,000835323</w:t>
            </w:r>
          </w:p>
        </w:tc>
      </w:tr>
      <w:tr>
        <w:trPr>
          <w:trHeight w:val="312" w:hRule="exact"/>
        </w:trPr>
        <w:tc>
          <w:tcPr>
            <w:tcW w:w="806" w:type="dxa"/>
          </w:tcPr>
          <w:p>
            <w:pPr>
              <w:pStyle w:val="TableParagraph"/>
              <w:spacing w:before="13"/>
              <w:ind w:left="1" w:right="0"/>
              <w:jc w:val="center"/>
              <w:rPr>
                <w:sz w:val="22"/>
              </w:rPr>
            </w:pPr>
            <w:r>
              <w:rPr>
                <w:w w:val="100"/>
                <w:sz w:val="22"/>
              </w:rPr>
              <w:t>2</w:t>
            </w:r>
          </w:p>
        </w:tc>
        <w:tc>
          <w:tcPr>
            <w:tcW w:w="775" w:type="dxa"/>
          </w:tcPr>
          <w:p>
            <w:pPr>
              <w:pStyle w:val="TableParagraph"/>
              <w:spacing w:before="30"/>
              <w:ind w:left="69" w:right="44"/>
              <w:jc w:val="center"/>
              <w:rPr>
                <w:sz w:val="22"/>
              </w:rPr>
            </w:pPr>
            <w:r>
              <w:rPr>
                <w:sz w:val="22"/>
              </w:rPr>
              <w:t>121,03</w:t>
            </w:r>
          </w:p>
        </w:tc>
        <w:tc>
          <w:tcPr>
            <w:tcW w:w="475" w:type="dxa"/>
          </w:tcPr>
          <w:p>
            <w:pPr>
              <w:pStyle w:val="TableParagraph"/>
              <w:spacing w:before="30"/>
              <w:rPr>
                <w:sz w:val="22"/>
              </w:rPr>
            </w:pPr>
            <w:r>
              <w:rPr>
                <w:sz w:val="22"/>
              </w:rPr>
              <w:t>81</w:t>
            </w:r>
          </w:p>
        </w:tc>
        <w:tc>
          <w:tcPr>
            <w:tcW w:w="1046" w:type="dxa"/>
          </w:tcPr>
          <w:p>
            <w:pPr>
              <w:pStyle w:val="TableParagraph"/>
              <w:spacing w:before="30"/>
              <w:rPr>
                <w:sz w:val="22"/>
              </w:rPr>
            </w:pPr>
            <w:r>
              <w:rPr>
                <w:sz w:val="22"/>
              </w:rPr>
              <w:t>3,716044</w:t>
            </w:r>
          </w:p>
        </w:tc>
        <w:tc>
          <w:tcPr>
            <w:tcW w:w="910" w:type="dxa"/>
          </w:tcPr>
          <w:p>
            <w:pPr>
              <w:pStyle w:val="TableParagraph"/>
              <w:spacing w:before="30"/>
              <w:rPr>
                <w:sz w:val="22"/>
              </w:rPr>
            </w:pPr>
            <w:r>
              <w:rPr>
                <w:sz w:val="22"/>
              </w:rPr>
              <w:t>33,9772</w:t>
            </w:r>
          </w:p>
        </w:tc>
        <w:tc>
          <w:tcPr>
            <w:tcW w:w="1128" w:type="dxa"/>
          </w:tcPr>
          <w:p>
            <w:pPr>
              <w:pStyle w:val="TableParagraph"/>
              <w:spacing w:before="30"/>
              <w:ind w:right="63"/>
              <w:rPr>
                <w:sz w:val="22"/>
              </w:rPr>
            </w:pPr>
            <w:r>
              <w:rPr>
                <w:sz w:val="22"/>
              </w:rPr>
              <w:t>449,7528</w:t>
            </w:r>
          </w:p>
        </w:tc>
        <w:tc>
          <w:tcPr>
            <w:tcW w:w="775" w:type="dxa"/>
          </w:tcPr>
          <w:p>
            <w:pPr>
              <w:pStyle w:val="TableParagraph"/>
              <w:spacing w:before="30"/>
              <w:ind w:left="69" w:right="44"/>
              <w:jc w:val="center"/>
              <w:rPr>
                <w:sz w:val="22"/>
              </w:rPr>
            </w:pPr>
            <w:r>
              <w:rPr>
                <w:sz w:val="22"/>
              </w:rPr>
              <w:t>5,8290</w:t>
            </w:r>
          </w:p>
        </w:tc>
        <w:tc>
          <w:tcPr>
            <w:tcW w:w="1181" w:type="dxa"/>
          </w:tcPr>
          <w:p>
            <w:pPr>
              <w:pStyle w:val="TableParagraph"/>
              <w:spacing w:before="30"/>
              <w:ind w:right="63"/>
              <w:rPr>
                <w:sz w:val="22"/>
              </w:rPr>
            </w:pPr>
            <w:r>
              <w:rPr>
                <w:sz w:val="22"/>
              </w:rPr>
              <w:t>2035,3059</w:t>
            </w:r>
          </w:p>
        </w:tc>
        <w:tc>
          <w:tcPr>
            <w:tcW w:w="1678" w:type="dxa"/>
          </w:tcPr>
          <w:p>
            <w:pPr>
              <w:pStyle w:val="TableParagraph"/>
              <w:spacing w:before="30"/>
              <w:rPr>
                <w:sz w:val="22"/>
              </w:rPr>
            </w:pPr>
            <w:r>
              <w:rPr>
                <w:sz w:val="22"/>
              </w:rPr>
              <w:t>0,004211605</w:t>
            </w:r>
          </w:p>
        </w:tc>
      </w:tr>
      <w:tr>
        <w:trPr>
          <w:trHeight w:val="310" w:hRule="exact"/>
        </w:trPr>
        <w:tc>
          <w:tcPr>
            <w:tcW w:w="806" w:type="dxa"/>
          </w:tcPr>
          <w:p>
            <w:pPr>
              <w:pStyle w:val="TableParagraph"/>
              <w:spacing w:before="11"/>
              <w:ind w:left="1" w:right="0"/>
              <w:jc w:val="center"/>
              <w:rPr>
                <w:sz w:val="22"/>
              </w:rPr>
            </w:pPr>
            <w:r>
              <w:rPr>
                <w:w w:val="100"/>
                <w:sz w:val="22"/>
              </w:rPr>
              <w:t>3</w:t>
            </w:r>
          </w:p>
        </w:tc>
        <w:tc>
          <w:tcPr>
            <w:tcW w:w="775" w:type="dxa"/>
          </w:tcPr>
          <w:p>
            <w:pPr>
              <w:pStyle w:val="TableParagraph"/>
              <w:ind w:left="69" w:right="44"/>
              <w:jc w:val="center"/>
              <w:rPr>
                <w:sz w:val="22"/>
              </w:rPr>
            </w:pPr>
            <w:r>
              <w:rPr>
                <w:sz w:val="22"/>
              </w:rPr>
              <w:t>130,21</w:t>
            </w:r>
          </w:p>
        </w:tc>
        <w:tc>
          <w:tcPr>
            <w:tcW w:w="475" w:type="dxa"/>
          </w:tcPr>
          <w:p>
            <w:pPr>
              <w:pStyle w:val="TableParagraph"/>
              <w:rPr>
                <w:sz w:val="22"/>
              </w:rPr>
            </w:pPr>
            <w:r>
              <w:rPr>
                <w:sz w:val="22"/>
              </w:rPr>
              <w:t>77</w:t>
            </w:r>
          </w:p>
        </w:tc>
        <w:tc>
          <w:tcPr>
            <w:tcW w:w="1046" w:type="dxa"/>
          </w:tcPr>
          <w:p>
            <w:pPr>
              <w:pStyle w:val="TableParagraph"/>
              <w:rPr>
                <w:sz w:val="22"/>
              </w:rPr>
            </w:pPr>
            <w:r>
              <w:rPr>
                <w:sz w:val="22"/>
              </w:rPr>
              <w:t>4,31</w:t>
            </w:r>
          </w:p>
        </w:tc>
        <w:tc>
          <w:tcPr>
            <w:tcW w:w="910" w:type="dxa"/>
          </w:tcPr>
          <w:p>
            <w:pPr>
              <w:pStyle w:val="TableParagraph"/>
              <w:rPr>
                <w:sz w:val="22"/>
              </w:rPr>
            </w:pPr>
            <w:r>
              <w:rPr>
                <w:sz w:val="22"/>
              </w:rPr>
              <w:t>32,7918</w:t>
            </w:r>
          </w:p>
        </w:tc>
        <w:tc>
          <w:tcPr>
            <w:tcW w:w="1128" w:type="dxa"/>
          </w:tcPr>
          <w:p>
            <w:pPr>
              <w:pStyle w:val="TableParagraph"/>
              <w:ind w:right="63"/>
              <w:rPr>
                <w:sz w:val="22"/>
              </w:rPr>
            </w:pPr>
            <w:r>
              <w:rPr>
                <w:sz w:val="22"/>
              </w:rPr>
              <w:t>561,5981</w:t>
            </w:r>
          </w:p>
        </w:tc>
        <w:tc>
          <w:tcPr>
            <w:tcW w:w="775" w:type="dxa"/>
          </w:tcPr>
          <w:p>
            <w:pPr>
              <w:pStyle w:val="TableParagraph"/>
              <w:ind w:left="69" w:right="44"/>
              <w:jc w:val="center"/>
              <w:rPr>
                <w:sz w:val="22"/>
              </w:rPr>
            </w:pPr>
            <w:r>
              <w:rPr>
                <w:sz w:val="22"/>
              </w:rPr>
              <w:t>5,7264</w:t>
            </w:r>
          </w:p>
        </w:tc>
        <w:tc>
          <w:tcPr>
            <w:tcW w:w="1181" w:type="dxa"/>
          </w:tcPr>
          <w:p>
            <w:pPr>
              <w:pStyle w:val="TableParagraph"/>
              <w:ind w:right="63"/>
              <w:rPr>
                <w:sz w:val="22"/>
              </w:rPr>
            </w:pPr>
            <w:r>
              <w:rPr>
                <w:sz w:val="22"/>
              </w:rPr>
              <w:t>2994,0085</w:t>
            </w:r>
          </w:p>
        </w:tc>
        <w:tc>
          <w:tcPr>
            <w:tcW w:w="1678" w:type="dxa"/>
          </w:tcPr>
          <w:p>
            <w:pPr>
              <w:pStyle w:val="TableParagraph"/>
              <w:rPr>
                <w:sz w:val="22"/>
              </w:rPr>
            </w:pPr>
            <w:r>
              <w:rPr>
                <w:sz w:val="22"/>
              </w:rPr>
              <w:t>0,006195423</w:t>
            </w:r>
          </w:p>
        </w:tc>
      </w:tr>
      <w:tr>
        <w:trPr>
          <w:trHeight w:val="310" w:hRule="exact"/>
        </w:trPr>
        <w:tc>
          <w:tcPr>
            <w:tcW w:w="806" w:type="dxa"/>
          </w:tcPr>
          <w:p>
            <w:pPr>
              <w:pStyle w:val="TableParagraph"/>
              <w:spacing w:before="13"/>
              <w:ind w:left="1" w:right="0"/>
              <w:jc w:val="center"/>
              <w:rPr>
                <w:sz w:val="22"/>
              </w:rPr>
            </w:pPr>
            <w:r>
              <w:rPr>
                <w:w w:val="100"/>
                <w:sz w:val="22"/>
              </w:rPr>
              <w:t>4</w:t>
            </w:r>
          </w:p>
        </w:tc>
        <w:tc>
          <w:tcPr>
            <w:tcW w:w="775" w:type="dxa"/>
          </w:tcPr>
          <w:p>
            <w:pPr>
              <w:pStyle w:val="TableParagraph"/>
              <w:ind w:left="69" w:right="44"/>
              <w:jc w:val="center"/>
              <w:rPr>
                <w:sz w:val="22"/>
              </w:rPr>
            </w:pPr>
            <w:r>
              <w:rPr>
                <w:sz w:val="22"/>
              </w:rPr>
              <w:t>155,12</w:t>
            </w:r>
          </w:p>
        </w:tc>
        <w:tc>
          <w:tcPr>
            <w:tcW w:w="475" w:type="dxa"/>
          </w:tcPr>
          <w:p>
            <w:pPr>
              <w:pStyle w:val="TableParagraph"/>
              <w:rPr>
                <w:sz w:val="22"/>
              </w:rPr>
            </w:pPr>
            <w:r>
              <w:rPr>
                <w:sz w:val="22"/>
              </w:rPr>
              <w:t>92</w:t>
            </w:r>
          </w:p>
        </w:tc>
        <w:tc>
          <w:tcPr>
            <w:tcW w:w="1046" w:type="dxa"/>
          </w:tcPr>
          <w:p>
            <w:pPr>
              <w:pStyle w:val="TableParagraph"/>
              <w:rPr>
                <w:sz w:val="22"/>
              </w:rPr>
            </w:pPr>
            <w:r>
              <w:rPr>
                <w:sz w:val="22"/>
              </w:rPr>
              <w:t>-2,60</w:t>
            </w:r>
          </w:p>
        </w:tc>
        <w:tc>
          <w:tcPr>
            <w:tcW w:w="910" w:type="dxa"/>
          </w:tcPr>
          <w:p>
            <w:pPr>
              <w:pStyle w:val="TableParagraph"/>
              <w:rPr>
                <w:sz w:val="22"/>
              </w:rPr>
            </w:pPr>
            <w:r>
              <w:rPr>
                <w:sz w:val="22"/>
              </w:rPr>
              <w:t>7,4839</w:t>
            </w:r>
          </w:p>
        </w:tc>
        <w:tc>
          <w:tcPr>
            <w:tcW w:w="1128" w:type="dxa"/>
          </w:tcPr>
          <w:p>
            <w:pPr>
              <w:pStyle w:val="TableParagraph"/>
              <w:ind w:right="63"/>
              <w:rPr>
                <w:sz w:val="22"/>
              </w:rPr>
            </w:pPr>
            <w:r>
              <w:rPr>
                <w:sz w:val="22"/>
              </w:rPr>
              <w:t>-403,7218</w:t>
            </w:r>
          </w:p>
        </w:tc>
        <w:tc>
          <w:tcPr>
            <w:tcW w:w="775" w:type="dxa"/>
          </w:tcPr>
          <w:p>
            <w:pPr>
              <w:pStyle w:val="TableParagraph"/>
              <w:ind w:left="69" w:right="44"/>
              <w:jc w:val="center"/>
              <w:rPr>
                <w:sz w:val="22"/>
              </w:rPr>
            </w:pPr>
            <w:r>
              <w:rPr>
                <w:sz w:val="22"/>
              </w:rPr>
              <w:t>2,7357</w:t>
            </w:r>
          </w:p>
        </w:tc>
        <w:tc>
          <w:tcPr>
            <w:tcW w:w="1181" w:type="dxa"/>
          </w:tcPr>
          <w:p>
            <w:pPr>
              <w:pStyle w:val="TableParagraph"/>
              <w:ind w:right="63"/>
              <w:rPr>
                <w:sz w:val="22"/>
              </w:rPr>
            </w:pPr>
            <w:r>
              <w:rPr>
                <w:sz w:val="22"/>
              </w:rPr>
              <w:t>800,5290</w:t>
            </w:r>
          </w:p>
        </w:tc>
        <w:tc>
          <w:tcPr>
            <w:tcW w:w="1678" w:type="dxa"/>
          </w:tcPr>
          <w:p>
            <w:pPr>
              <w:pStyle w:val="TableParagraph"/>
              <w:rPr>
                <w:sz w:val="22"/>
              </w:rPr>
            </w:pPr>
            <w:r>
              <w:rPr>
                <w:sz w:val="22"/>
              </w:rPr>
              <w:t>0,001656514</w:t>
            </w:r>
          </w:p>
        </w:tc>
      </w:tr>
      <w:tr>
        <w:trPr>
          <w:trHeight w:val="310" w:hRule="exact"/>
        </w:trPr>
        <w:tc>
          <w:tcPr>
            <w:tcW w:w="806" w:type="dxa"/>
          </w:tcPr>
          <w:p>
            <w:pPr>
              <w:pStyle w:val="TableParagraph"/>
              <w:spacing w:before="13"/>
              <w:ind w:left="1" w:right="0"/>
              <w:jc w:val="center"/>
              <w:rPr>
                <w:sz w:val="22"/>
              </w:rPr>
            </w:pPr>
            <w:r>
              <w:rPr>
                <w:w w:val="100"/>
                <w:sz w:val="22"/>
              </w:rPr>
              <w:t>5</w:t>
            </w:r>
          </w:p>
        </w:tc>
        <w:tc>
          <w:tcPr>
            <w:tcW w:w="775" w:type="dxa"/>
          </w:tcPr>
          <w:p>
            <w:pPr>
              <w:pStyle w:val="TableParagraph"/>
              <w:ind w:left="69" w:right="44"/>
              <w:jc w:val="center"/>
              <w:rPr>
                <w:sz w:val="22"/>
              </w:rPr>
            </w:pPr>
            <w:r>
              <w:rPr>
                <w:sz w:val="22"/>
              </w:rPr>
              <w:t>180,21</w:t>
            </w:r>
          </w:p>
        </w:tc>
        <w:tc>
          <w:tcPr>
            <w:tcW w:w="475" w:type="dxa"/>
          </w:tcPr>
          <w:p>
            <w:pPr>
              <w:pStyle w:val="TableParagraph"/>
              <w:ind w:left="67" w:right="0"/>
              <w:jc w:val="left"/>
              <w:rPr>
                <w:sz w:val="22"/>
              </w:rPr>
            </w:pPr>
            <w:r>
              <w:rPr>
                <w:sz w:val="22"/>
              </w:rPr>
              <w:t>132</w:t>
            </w:r>
          </w:p>
        </w:tc>
        <w:tc>
          <w:tcPr>
            <w:tcW w:w="1046" w:type="dxa"/>
          </w:tcPr>
          <w:p>
            <w:pPr>
              <w:pStyle w:val="TableParagraph"/>
              <w:rPr>
                <w:sz w:val="22"/>
              </w:rPr>
            </w:pPr>
            <w:r>
              <w:rPr>
                <w:sz w:val="22"/>
              </w:rPr>
              <w:t>-1,58</w:t>
            </w:r>
          </w:p>
        </w:tc>
        <w:tc>
          <w:tcPr>
            <w:tcW w:w="910" w:type="dxa"/>
          </w:tcPr>
          <w:p>
            <w:pPr>
              <w:pStyle w:val="TableParagraph"/>
              <w:rPr>
                <w:sz w:val="22"/>
              </w:rPr>
            </w:pPr>
            <w:r>
              <w:rPr>
                <w:sz w:val="22"/>
              </w:rPr>
              <w:t>15,1506</w:t>
            </w:r>
          </w:p>
        </w:tc>
        <w:tc>
          <w:tcPr>
            <w:tcW w:w="1128" w:type="dxa"/>
          </w:tcPr>
          <w:p>
            <w:pPr>
              <w:pStyle w:val="TableParagraph"/>
              <w:ind w:right="63"/>
              <w:rPr>
                <w:sz w:val="22"/>
              </w:rPr>
            </w:pPr>
            <w:r>
              <w:rPr>
                <w:sz w:val="22"/>
              </w:rPr>
              <w:t>-285,2243</w:t>
            </w:r>
          </w:p>
        </w:tc>
        <w:tc>
          <w:tcPr>
            <w:tcW w:w="775" w:type="dxa"/>
          </w:tcPr>
          <w:p>
            <w:pPr>
              <w:pStyle w:val="TableParagraph"/>
              <w:ind w:left="69" w:right="44"/>
              <w:jc w:val="center"/>
              <w:rPr>
                <w:sz w:val="22"/>
              </w:rPr>
            </w:pPr>
            <w:r>
              <w:rPr>
                <w:sz w:val="22"/>
              </w:rPr>
              <w:t>3,8924</w:t>
            </w:r>
          </w:p>
        </w:tc>
        <w:tc>
          <w:tcPr>
            <w:tcW w:w="1181" w:type="dxa"/>
          </w:tcPr>
          <w:p>
            <w:pPr>
              <w:pStyle w:val="TableParagraph"/>
              <w:ind w:right="63"/>
              <w:rPr>
                <w:sz w:val="22"/>
              </w:rPr>
            </w:pPr>
            <w:r>
              <w:rPr>
                <w:sz w:val="22"/>
              </w:rPr>
              <w:t>996,0452</w:t>
            </w:r>
          </w:p>
        </w:tc>
        <w:tc>
          <w:tcPr>
            <w:tcW w:w="1678" w:type="dxa"/>
          </w:tcPr>
          <w:p>
            <w:pPr>
              <w:pStyle w:val="TableParagraph"/>
              <w:rPr>
                <w:sz w:val="22"/>
              </w:rPr>
            </w:pPr>
            <w:r>
              <w:rPr>
                <w:sz w:val="22"/>
              </w:rPr>
              <w:t>0,00206109</w:t>
            </w:r>
          </w:p>
        </w:tc>
      </w:tr>
      <w:tr>
        <w:trPr>
          <w:trHeight w:val="310" w:hRule="exact"/>
        </w:trPr>
        <w:tc>
          <w:tcPr>
            <w:tcW w:w="806" w:type="dxa"/>
          </w:tcPr>
          <w:p>
            <w:pPr>
              <w:pStyle w:val="TableParagraph"/>
              <w:spacing w:before="13"/>
              <w:ind w:right="1"/>
              <w:jc w:val="center"/>
              <w:rPr>
                <w:sz w:val="22"/>
              </w:rPr>
            </w:pPr>
            <w:r>
              <w:rPr>
                <w:w w:val="100"/>
                <w:sz w:val="22"/>
              </w:rPr>
              <w:t>N</w:t>
            </w:r>
          </w:p>
        </w:tc>
        <w:tc>
          <w:tcPr>
            <w:tcW w:w="775" w:type="dxa"/>
          </w:tcPr>
          <w:p>
            <w:pPr>
              <w:pStyle w:val="TableParagraph"/>
              <w:ind w:left="69" w:right="44"/>
              <w:jc w:val="center"/>
              <w:rPr>
                <w:sz w:val="22"/>
              </w:rPr>
            </w:pPr>
            <w:r>
              <w:rPr>
                <w:sz w:val="22"/>
              </w:rPr>
              <w:t>695,17</w:t>
            </w:r>
          </w:p>
        </w:tc>
        <w:tc>
          <w:tcPr>
            <w:tcW w:w="475" w:type="dxa"/>
          </w:tcPr>
          <w:p>
            <w:pPr/>
          </w:p>
        </w:tc>
        <w:tc>
          <w:tcPr>
            <w:tcW w:w="1046" w:type="dxa"/>
          </w:tcPr>
          <w:p>
            <w:pPr/>
          </w:p>
        </w:tc>
        <w:tc>
          <w:tcPr>
            <w:tcW w:w="910" w:type="dxa"/>
          </w:tcPr>
          <w:p>
            <w:pPr>
              <w:pStyle w:val="TableParagraph"/>
              <w:spacing w:before="18"/>
              <w:ind w:left="283"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28" w:type="dxa"/>
          </w:tcPr>
          <w:p>
            <w:pPr>
              <w:pStyle w:val="TableParagraph"/>
              <w:ind w:right="63"/>
              <w:rPr>
                <w:sz w:val="22"/>
              </w:rPr>
            </w:pPr>
            <w:r>
              <w:rPr>
                <w:sz w:val="22"/>
              </w:rPr>
              <w:t>679,6623</w:t>
            </w:r>
          </w:p>
        </w:tc>
        <w:tc>
          <w:tcPr>
            <w:tcW w:w="775" w:type="dxa"/>
          </w:tcPr>
          <w:p>
            <w:pPr/>
          </w:p>
        </w:tc>
        <w:tc>
          <w:tcPr>
            <w:tcW w:w="1181" w:type="dxa"/>
          </w:tcPr>
          <w:p>
            <w:pPr>
              <w:pStyle w:val="TableParagraph"/>
              <w:ind w:right="63"/>
              <w:rPr>
                <w:sz w:val="22"/>
              </w:rPr>
            </w:pPr>
            <w:r>
              <w:rPr>
                <w:sz w:val="22"/>
              </w:rPr>
              <w:t>6422,2091</w:t>
            </w:r>
          </w:p>
        </w:tc>
        <w:tc>
          <w:tcPr>
            <w:tcW w:w="1678" w:type="dxa"/>
          </w:tcPr>
          <w:p>
            <w:pPr>
              <w:pStyle w:val="TableParagraph"/>
              <w:rPr>
                <w:sz w:val="22"/>
              </w:rPr>
            </w:pPr>
            <w:r>
              <w:rPr>
                <w:sz w:val="22"/>
              </w:rPr>
              <w:t>0,013289309</w:t>
            </w:r>
          </w:p>
        </w:tc>
      </w:tr>
      <w:tr>
        <w:trPr>
          <w:trHeight w:val="310" w:hRule="exact"/>
        </w:trPr>
        <w:tc>
          <w:tcPr>
            <w:tcW w:w="5141" w:type="dxa"/>
            <w:gridSpan w:val="6"/>
            <w:vMerge w:val="restart"/>
            <w:tcBorders>
              <w:left w:val="nil"/>
            </w:tcBorders>
          </w:tcPr>
          <w:p>
            <w:pPr/>
          </w:p>
        </w:tc>
        <w:tc>
          <w:tcPr>
            <w:tcW w:w="1956"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78" w:type="dxa"/>
          </w:tcPr>
          <w:p>
            <w:pPr>
              <w:pStyle w:val="TableParagraph"/>
              <w:spacing w:before="30"/>
              <w:rPr>
                <w:b/>
                <w:sz w:val="22"/>
              </w:rPr>
            </w:pPr>
            <w:r>
              <w:rPr>
                <w:b/>
                <w:sz w:val="22"/>
              </w:rPr>
              <w:t>0,978</w:t>
            </w:r>
          </w:p>
        </w:tc>
      </w:tr>
      <w:tr>
        <w:trPr>
          <w:trHeight w:val="312" w:hRule="exact"/>
        </w:trPr>
        <w:tc>
          <w:tcPr>
            <w:tcW w:w="5141" w:type="dxa"/>
            <w:gridSpan w:val="6"/>
            <w:vMerge/>
            <w:tcBorders>
              <w:left w:val="nil"/>
            </w:tcBorders>
          </w:tcPr>
          <w:p>
            <w:pPr/>
          </w:p>
        </w:tc>
        <w:tc>
          <w:tcPr>
            <w:tcW w:w="1956" w:type="dxa"/>
            <w:gridSpan w:val="2"/>
          </w:tcPr>
          <w:p>
            <w:pPr>
              <w:pStyle w:val="TableParagraph"/>
              <w:spacing w:before="13"/>
              <w:ind w:left="64" w:right="0"/>
              <w:jc w:val="left"/>
              <w:rPr>
                <w:sz w:val="22"/>
              </w:rPr>
            </w:pPr>
            <w:r>
              <w:rPr>
                <w:sz w:val="22"/>
              </w:rPr>
              <w:t>Desviación estándar</w:t>
            </w:r>
          </w:p>
        </w:tc>
        <w:tc>
          <w:tcPr>
            <w:tcW w:w="1678" w:type="dxa"/>
          </w:tcPr>
          <w:p>
            <w:pPr>
              <w:pStyle w:val="TableParagraph"/>
              <w:spacing w:before="30"/>
              <w:rPr>
                <w:b/>
                <w:sz w:val="22"/>
              </w:rPr>
            </w:pPr>
            <w:r>
              <w:rPr>
                <w:b/>
                <w:sz w:val="22"/>
              </w:rPr>
              <w:t>0,115</w:t>
            </w:r>
          </w:p>
        </w:tc>
      </w:tr>
      <w:tr>
        <w:trPr>
          <w:trHeight w:val="310" w:hRule="exact"/>
        </w:trPr>
        <w:tc>
          <w:tcPr>
            <w:tcW w:w="5141" w:type="dxa"/>
            <w:gridSpan w:val="6"/>
            <w:vMerge/>
            <w:tcBorders>
              <w:left w:val="nil"/>
            </w:tcBorders>
          </w:tcPr>
          <w:p>
            <w:pPr/>
          </w:p>
        </w:tc>
        <w:tc>
          <w:tcPr>
            <w:tcW w:w="1956" w:type="dxa"/>
            <w:gridSpan w:val="2"/>
            <w:vMerge w:val="restart"/>
          </w:tcPr>
          <w:p>
            <w:pPr>
              <w:pStyle w:val="TableParagraph"/>
              <w:spacing w:before="33"/>
              <w:ind w:left="64" w:right="321"/>
              <w:jc w:val="left"/>
              <w:rPr>
                <w:sz w:val="22"/>
              </w:rPr>
            </w:pPr>
            <w:r>
              <w:rPr>
                <w:sz w:val="22"/>
              </w:rPr>
              <w:t>Intervalo de confianza al 95 %</w:t>
            </w:r>
          </w:p>
        </w:tc>
        <w:tc>
          <w:tcPr>
            <w:tcW w:w="1678" w:type="dxa"/>
          </w:tcPr>
          <w:p>
            <w:pPr>
              <w:pStyle w:val="TableParagraph"/>
              <w:rPr>
                <w:sz w:val="22"/>
              </w:rPr>
            </w:pPr>
            <w:r>
              <w:rPr>
                <w:sz w:val="22"/>
              </w:rPr>
              <w:t>0,75</w:t>
            </w:r>
          </w:p>
        </w:tc>
      </w:tr>
      <w:tr>
        <w:trPr>
          <w:trHeight w:val="310" w:hRule="exact"/>
        </w:trPr>
        <w:tc>
          <w:tcPr>
            <w:tcW w:w="5141" w:type="dxa"/>
            <w:gridSpan w:val="6"/>
            <w:vMerge/>
            <w:tcBorders>
              <w:left w:val="nil"/>
              <w:bottom w:val="nil"/>
            </w:tcBorders>
          </w:tcPr>
          <w:p>
            <w:pPr/>
          </w:p>
        </w:tc>
        <w:tc>
          <w:tcPr>
            <w:tcW w:w="1956" w:type="dxa"/>
            <w:gridSpan w:val="2"/>
            <w:vMerge/>
          </w:tcPr>
          <w:p>
            <w:pPr/>
          </w:p>
        </w:tc>
        <w:tc>
          <w:tcPr>
            <w:tcW w:w="1678" w:type="dxa"/>
          </w:tcPr>
          <w:p>
            <w:pPr>
              <w:pStyle w:val="TableParagraph"/>
              <w:rPr>
                <w:sz w:val="22"/>
              </w:rPr>
            </w:pPr>
            <w:r>
              <w:rPr>
                <w:sz w:val="22"/>
              </w:rPr>
              <w:t>1,20</w:t>
            </w:r>
          </w:p>
        </w:tc>
      </w:tr>
    </w:tbl>
    <w:p>
      <w:pPr>
        <w:spacing w:after="0"/>
        <w:rPr>
          <w:sz w:val="22"/>
        </w:rPr>
        <w:sectPr>
          <w:pgSz w:w="12240" w:h="15840"/>
          <w:pgMar w:header="725" w:footer="1084" w:top="1340" w:bottom="1280" w:left="920" w:right="1200"/>
        </w:sectPr>
      </w:pPr>
    </w:p>
    <w:p>
      <w:pPr>
        <w:pStyle w:val="Heading5"/>
        <w:spacing w:before="172" w:after="4"/>
        <w:ind w:left="2802" w:right="2426"/>
        <w:jc w:val="left"/>
      </w:pPr>
      <w:r>
        <w:rPr/>
        <w:t>Demanda Química de Oxígeno (mg de DQO/L)</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2"/>
        <w:gridCol w:w="751"/>
        <w:gridCol w:w="475"/>
        <w:gridCol w:w="883"/>
        <w:gridCol w:w="1013"/>
        <w:gridCol w:w="1274"/>
        <w:gridCol w:w="883"/>
        <w:gridCol w:w="1274"/>
        <w:gridCol w:w="1392"/>
      </w:tblGrid>
      <w:tr>
        <w:trPr>
          <w:trHeight w:val="312" w:hRule="exact"/>
        </w:trPr>
        <w:tc>
          <w:tcPr>
            <w:tcW w:w="8729" w:type="dxa"/>
            <w:gridSpan w:val="9"/>
          </w:tcPr>
          <w:p>
            <w:pPr>
              <w:pStyle w:val="TableParagraph"/>
              <w:spacing w:before="30"/>
              <w:ind w:left="3391" w:right="3389"/>
              <w:jc w:val="center"/>
              <w:rPr>
                <w:sz w:val="22"/>
              </w:rPr>
            </w:pPr>
            <w:r>
              <w:rPr>
                <w:sz w:val="22"/>
              </w:rPr>
              <w:t>Punto de muestreo A</w:t>
            </w:r>
          </w:p>
        </w:tc>
      </w:tr>
      <w:tr>
        <w:trPr>
          <w:trHeight w:val="310" w:hRule="exact"/>
        </w:trPr>
        <w:tc>
          <w:tcPr>
            <w:tcW w:w="782" w:type="dxa"/>
          </w:tcPr>
          <w:p>
            <w:pPr>
              <w:pStyle w:val="TableParagraph"/>
              <w:spacing w:before="11"/>
              <w:ind w:left="46" w:right="47"/>
              <w:jc w:val="center"/>
              <w:rPr>
                <w:sz w:val="22"/>
              </w:rPr>
            </w:pPr>
            <w:r>
              <w:rPr>
                <w:sz w:val="22"/>
              </w:rPr>
              <w:t>Estrato</w:t>
            </w:r>
          </w:p>
        </w:tc>
        <w:tc>
          <w:tcPr>
            <w:tcW w:w="751" w:type="dxa"/>
          </w:tcPr>
          <w:p>
            <w:pPr>
              <w:pStyle w:val="TableParagraph"/>
              <w:spacing w:before="40"/>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right="123"/>
              <w:rPr>
                <w:rFonts w:ascii="Cambria Math"/>
                <w:sz w:val="16"/>
              </w:rPr>
            </w:pPr>
            <w:r>
              <w:rPr>
                <w:rFonts w:ascii="Cambria Math"/>
                <w:w w:val="105"/>
                <w:sz w:val="22"/>
              </w:rPr>
              <w:t>n</w:t>
            </w:r>
            <w:r>
              <w:rPr>
                <w:rFonts w:ascii="Cambria Math"/>
                <w:w w:val="105"/>
                <w:position w:val="-4"/>
                <w:sz w:val="16"/>
              </w:rPr>
              <w:t>h</w:t>
            </w:r>
          </w:p>
        </w:tc>
        <w:tc>
          <w:tcPr>
            <w:tcW w:w="883" w:type="dxa"/>
          </w:tcPr>
          <w:p>
            <w:pPr>
              <w:pStyle w:val="TableParagraph"/>
              <w:spacing w:before="40"/>
              <w:ind w:left="34"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13" w:type="dxa"/>
          </w:tcPr>
          <w:p>
            <w:pPr>
              <w:pStyle w:val="TableParagraph"/>
              <w:spacing w:line="214" w:lineRule="exact" w:before="6"/>
              <w:ind w:left="310" w:right="318"/>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274" w:type="dxa"/>
          </w:tcPr>
          <w:p>
            <w:pPr>
              <w:pStyle w:val="TableParagraph"/>
              <w:spacing w:before="16"/>
              <w:ind w:left="514" w:right="52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83" w:type="dxa"/>
          </w:tcPr>
          <w:p>
            <w:pPr>
              <w:pStyle w:val="TableParagraph"/>
              <w:spacing w:before="40"/>
              <w:ind w:left="36" w:right="47"/>
              <w:jc w:val="center"/>
              <w:rPr>
                <w:rFonts w:ascii="Cambria Math"/>
                <w:sz w:val="16"/>
              </w:rPr>
            </w:pPr>
            <w:r>
              <w:rPr>
                <w:rFonts w:ascii="Cambria Math"/>
                <w:w w:val="110"/>
                <w:sz w:val="22"/>
              </w:rPr>
              <w:t>s</w:t>
            </w:r>
            <w:r>
              <w:rPr>
                <w:rFonts w:ascii="Cambria Math"/>
                <w:w w:val="110"/>
                <w:position w:val="-4"/>
                <w:sz w:val="16"/>
              </w:rPr>
              <w:t>h</w:t>
            </w:r>
          </w:p>
        </w:tc>
        <w:tc>
          <w:tcPr>
            <w:tcW w:w="1274" w:type="dxa"/>
          </w:tcPr>
          <w:p>
            <w:pPr>
              <w:pStyle w:val="TableParagraph"/>
              <w:spacing w:before="0"/>
              <w:ind w:left="30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392" w:type="dxa"/>
          </w:tcPr>
          <w:p>
            <w:pPr>
              <w:pStyle w:val="TableParagraph"/>
              <w:spacing w:before="0"/>
              <w:ind w:left="34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82" w:type="dxa"/>
          </w:tcPr>
          <w:p>
            <w:pPr>
              <w:pStyle w:val="TableParagraph"/>
              <w:ind w:left="1" w:right="0"/>
              <w:jc w:val="center"/>
              <w:rPr>
                <w:sz w:val="22"/>
              </w:rPr>
            </w:pPr>
            <w:r>
              <w:rPr>
                <w:w w:val="100"/>
                <w:sz w:val="22"/>
              </w:rPr>
              <w:t>1</w:t>
            </w:r>
          </w:p>
        </w:tc>
        <w:tc>
          <w:tcPr>
            <w:tcW w:w="751" w:type="dxa"/>
          </w:tcPr>
          <w:p>
            <w:pPr>
              <w:pStyle w:val="TableParagraph"/>
              <w:ind w:left="45" w:right="44"/>
              <w:jc w:val="center"/>
              <w:rPr>
                <w:sz w:val="22"/>
              </w:rPr>
            </w:pPr>
            <w:r>
              <w:rPr>
                <w:sz w:val="22"/>
              </w:rPr>
              <w:t>108,60</w:t>
            </w:r>
          </w:p>
        </w:tc>
        <w:tc>
          <w:tcPr>
            <w:tcW w:w="475" w:type="dxa"/>
          </w:tcPr>
          <w:p>
            <w:pPr>
              <w:pStyle w:val="TableParagraph"/>
              <w:rPr>
                <w:sz w:val="22"/>
              </w:rPr>
            </w:pPr>
            <w:r>
              <w:rPr>
                <w:sz w:val="22"/>
              </w:rPr>
              <w:t>108</w:t>
            </w:r>
          </w:p>
        </w:tc>
        <w:tc>
          <w:tcPr>
            <w:tcW w:w="883" w:type="dxa"/>
          </w:tcPr>
          <w:p>
            <w:pPr>
              <w:pStyle w:val="TableParagraph"/>
              <w:ind w:left="62" w:right="47"/>
              <w:jc w:val="center"/>
              <w:rPr>
                <w:sz w:val="22"/>
              </w:rPr>
            </w:pPr>
            <w:r>
              <w:rPr>
                <w:sz w:val="22"/>
              </w:rPr>
              <w:t>42,0000</w:t>
            </w:r>
          </w:p>
        </w:tc>
        <w:tc>
          <w:tcPr>
            <w:tcW w:w="1013" w:type="dxa"/>
          </w:tcPr>
          <w:p>
            <w:pPr>
              <w:pStyle w:val="TableParagraph"/>
              <w:rPr>
                <w:sz w:val="22"/>
              </w:rPr>
            </w:pPr>
            <w:r>
              <w:rPr>
                <w:sz w:val="22"/>
              </w:rPr>
              <w:t>203,5000</w:t>
            </w:r>
          </w:p>
        </w:tc>
        <w:tc>
          <w:tcPr>
            <w:tcW w:w="1274" w:type="dxa"/>
          </w:tcPr>
          <w:p>
            <w:pPr>
              <w:pStyle w:val="TableParagraph"/>
              <w:rPr>
                <w:sz w:val="22"/>
              </w:rPr>
            </w:pPr>
            <w:r>
              <w:rPr>
                <w:sz w:val="22"/>
              </w:rPr>
              <w:t>4561,2000</w:t>
            </w:r>
          </w:p>
        </w:tc>
        <w:tc>
          <w:tcPr>
            <w:tcW w:w="883" w:type="dxa"/>
          </w:tcPr>
          <w:p>
            <w:pPr>
              <w:pStyle w:val="TableParagraph"/>
              <w:ind w:right="63"/>
              <w:rPr>
                <w:sz w:val="22"/>
              </w:rPr>
            </w:pPr>
            <w:r>
              <w:rPr>
                <w:sz w:val="22"/>
              </w:rPr>
              <w:t>14,2653</w:t>
            </w:r>
          </w:p>
        </w:tc>
        <w:tc>
          <w:tcPr>
            <w:tcW w:w="1274" w:type="dxa"/>
          </w:tcPr>
          <w:p>
            <w:pPr>
              <w:pStyle w:val="TableParagraph"/>
              <w:rPr>
                <w:sz w:val="22"/>
              </w:rPr>
            </w:pPr>
            <w:r>
              <w:rPr>
                <w:sz w:val="22"/>
              </w:rPr>
              <w:t>-7429,7402</w:t>
            </w:r>
          </w:p>
        </w:tc>
        <w:tc>
          <w:tcPr>
            <w:tcW w:w="1392" w:type="dxa"/>
          </w:tcPr>
          <w:p>
            <w:pPr>
              <w:pStyle w:val="TableParagraph"/>
              <w:rPr>
                <w:sz w:val="22"/>
              </w:rPr>
            </w:pPr>
            <w:r>
              <w:rPr>
                <w:sz w:val="22"/>
              </w:rPr>
              <w:t>-0,01537417</w:t>
            </w:r>
          </w:p>
        </w:tc>
      </w:tr>
      <w:tr>
        <w:trPr>
          <w:trHeight w:val="310" w:hRule="exact"/>
        </w:trPr>
        <w:tc>
          <w:tcPr>
            <w:tcW w:w="782" w:type="dxa"/>
          </w:tcPr>
          <w:p>
            <w:pPr>
              <w:pStyle w:val="TableParagraph"/>
              <w:ind w:left="1" w:right="0"/>
              <w:jc w:val="center"/>
              <w:rPr>
                <w:sz w:val="22"/>
              </w:rPr>
            </w:pPr>
            <w:r>
              <w:rPr>
                <w:w w:val="100"/>
                <w:sz w:val="22"/>
              </w:rPr>
              <w:t>2</w:t>
            </w:r>
          </w:p>
        </w:tc>
        <w:tc>
          <w:tcPr>
            <w:tcW w:w="751" w:type="dxa"/>
          </w:tcPr>
          <w:p>
            <w:pPr>
              <w:pStyle w:val="TableParagraph"/>
              <w:ind w:left="45" w:right="44"/>
              <w:jc w:val="center"/>
              <w:rPr>
                <w:sz w:val="22"/>
              </w:rPr>
            </w:pPr>
            <w:r>
              <w:rPr>
                <w:sz w:val="22"/>
              </w:rPr>
              <w:t>121,03</w:t>
            </w:r>
          </w:p>
        </w:tc>
        <w:tc>
          <w:tcPr>
            <w:tcW w:w="475" w:type="dxa"/>
          </w:tcPr>
          <w:p>
            <w:pPr>
              <w:pStyle w:val="TableParagraph"/>
              <w:rPr>
                <w:sz w:val="22"/>
              </w:rPr>
            </w:pPr>
            <w:r>
              <w:rPr>
                <w:sz w:val="22"/>
              </w:rPr>
              <w:t>81</w:t>
            </w:r>
          </w:p>
        </w:tc>
        <w:tc>
          <w:tcPr>
            <w:tcW w:w="883" w:type="dxa"/>
          </w:tcPr>
          <w:p>
            <w:pPr>
              <w:pStyle w:val="TableParagraph"/>
              <w:ind w:left="62" w:right="47"/>
              <w:jc w:val="center"/>
              <w:rPr>
                <w:sz w:val="22"/>
              </w:rPr>
            </w:pPr>
            <w:r>
              <w:rPr>
                <w:sz w:val="22"/>
              </w:rPr>
              <w:t>24,8000</w:t>
            </w:r>
          </w:p>
        </w:tc>
        <w:tc>
          <w:tcPr>
            <w:tcW w:w="1013" w:type="dxa"/>
          </w:tcPr>
          <w:p>
            <w:pPr>
              <w:pStyle w:val="TableParagraph"/>
              <w:rPr>
                <w:sz w:val="22"/>
              </w:rPr>
            </w:pPr>
            <w:r>
              <w:rPr>
                <w:sz w:val="22"/>
              </w:rPr>
              <w:t>60,7000</w:t>
            </w:r>
          </w:p>
        </w:tc>
        <w:tc>
          <w:tcPr>
            <w:tcW w:w="1274" w:type="dxa"/>
          </w:tcPr>
          <w:p>
            <w:pPr>
              <w:pStyle w:val="TableParagraph"/>
              <w:rPr>
                <w:sz w:val="22"/>
              </w:rPr>
            </w:pPr>
            <w:r>
              <w:rPr>
                <w:sz w:val="22"/>
              </w:rPr>
              <w:t>3001,5440</w:t>
            </w:r>
          </w:p>
        </w:tc>
        <w:tc>
          <w:tcPr>
            <w:tcW w:w="883" w:type="dxa"/>
          </w:tcPr>
          <w:p>
            <w:pPr>
              <w:pStyle w:val="TableParagraph"/>
              <w:ind w:right="63"/>
              <w:rPr>
                <w:sz w:val="22"/>
              </w:rPr>
            </w:pPr>
            <w:r>
              <w:rPr>
                <w:sz w:val="22"/>
              </w:rPr>
              <w:t>7,7910</w:t>
            </w:r>
          </w:p>
        </w:tc>
        <w:tc>
          <w:tcPr>
            <w:tcW w:w="1274" w:type="dxa"/>
          </w:tcPr>
          <w:p>
            <w:pPr>
              <w:pStyle w:val="TableParagraph"/>
              <w:rPr>
                <w:sz w:val="22"/>
              </w:rPr>
            </w:pPr>
            <w:r>
              <w:rPr>
                <w:sz w:val="22"/>
              </w:rPr>
              <w:t>3636,0560</w:t>
            </w:r>
          </w:p>
        </w:tc>
        <w:tc>
          <w:tcPr>
            <w:tcW w:w="1392" w:type="dxa"/>
          </w:tcPr>
          <w:p>
            <w:pPr>
              <w:pStyle w:val="TableParagraph"/>
              <w:rPr>
                <w:sz w:val="22"/>
              </w:rPr>
            </w:pPr>
            <w:r>
              <w:rPr>
                <w:sz w:val="22"/>
              </w:rPr>
              <w:t>0,007524</w:t>
            </w:r>
          </w:p>
        </w:tc>
      </w:tr>
      <w:tr>
        <w:trPr>
          <w:trHeight w:val="310" w:hRule="exact"/>
        </w:trPr>
        <w:tc>
          <w:tcPr>
            <w:tcW w:w="782" w:type="dxa"/>
          </w:tcPr>
          <w:p>
            <w:pPr>
              <w:pStyle w:val="TableParagraph"/>
              <w:ind w:left="1" w:right="0"/>
              <w:jc w:val="center"/>
              <w:rPr>
                <w:sz w:val="22"/>
              </w:rPr>
            </w:pPr>
            <w:r>
              <w:rPr>
                <w:w w:val="100"/>
                <w:sz w:val="22"/>
              </w:rPr>
              <w:t>3</w:t>
            </w:r>
          </w:p>
        </w:tc>
        <w:tc>
          <w:tcPr>
            <w:tcW w:w="751" w:type="dxa"/>
          </w:tcPr>
          <w:p>
            <w:pPr>
              <w:pStyle w:val="TableParagraph"/>
              <w:ind w:left="45" w:right="44"/>
              <w:jc w:val="center"/>
              <w:rPr>
                <w:sz w:val="22"/>
              </w:rPr>
            </w:pPr>
            <w:r>
              <w:rPr>
                <w:sz w:val="22"/>
              </w:rPr>
              <w:t>130,21</w:t>
            </w:r>
          </w:p>
        </w:tc>
        <w:tc>
          <w:tcPr>
            <w:tcW w:w="475" w:type="dxa"/>
          </w:tcPr>
          <w:p>
            <w:pPr>
              <w:pStyle w:val="TableParagraph"/>
              <w:rPr>
                <w:sz w:val="22"/>
              </w:rPr>
            </w:pPr>
            <w:r>
              <w:rPr>
                <w:sz w:val="22"/>
              </w:rPr>
              <w:t>77</w:t>
            </w:r>
          </w:p>
        </w:tc>
        <w:tc>
          <w:tcPr>
            <w:tcW w:w="883" w:type="dxa"/>
          </w:tcPr>
          <w:p>
            <w:pPr>
              <w:pStyle w:val="TableParagraph"/>
              <w:ind w:left="62" w:right="47"/>
              <w:jc w:val="center"/>
              <w:rPr>
                <w:sz w:val="22"/>
              </w:rPr>
            </w:pPr>
            <w:r>
              <w:rPr>
                <w:sz w:val="22"/>
              </w:rPr>
              <w:t>37,8000</w:t>
            </w:r>
          </w:p>
        </w:tc>
        <w:tc>
          <w:tcPr>
            <w:tcW w:w="1013" w:type="dxa"/>
          </w:tcPr>
          <w:p>
            <w:pPr>
              <w:pStyle w:val="TableParagraph"/>
              <w:rPr>
                <w:sz w:val="22"/>
              </w:rPr>
            </w:pPr>
            <w:r>
              <w:rPr>
                <w:sz w:val="22"/>
              </w:rPr>
              <w:t>156,7000</w:t>
            </w:r>
          </w:p>
        </w:tc>
        <w:tc>
          <w:tcPr>
            <w:tcW w:w="1274" w:type="dxa"/>
          </w:tcPr>
          <w:p>
            <w:pPr>
              <w:pStyle w:val="TableParagraph"/>
              <w:rPr>
                <w:sz w:val="22"/>
              </w:rPr>
            </w:pPr>
            <w:r>
              <w:rPr>
                <w:sz w:val="22"/>
              </w:rPr>
              <w:t>4921,9380</w:t>
            </w:r>
          </w:p>
        </w:tc>
        <w:tc>
          <w:tcPr>
            <w:tcW w:w="883" w:type="dxa"/>
          </w:tcPr>
          <w:p>
            <w:pPr>
              <w:pStyle w:val="TableParagraph"/>
              <w:ind w:right="63"/>
              <w:rPr>
                <w:sz w:val="22"/>
              </w:rPr>
            </w:pPr>
            <w:r>
              <w:rPr>
                <w:sz w:val="22"/>
              </w:rPr>
              <w:t>12,5180</w:t>
            </w:r>
          </w:p>
        </w:tc>
        <w:tc>
          <w:tcPr>
            <w:tcW w:w="1274" w:type="dxa"/>
          </w:tcPr>
          <w:p>
            <w:pPr>
              <w:pStyle w:val="TableParagraph"/>
              <w:rPr>
                <w:sz w:val="22"/>
              </w:rPr>
            </w:pPr>
            <w:r>
              <w:rPr>
                <w:sz w:val="22"/>
              </w:rPr>
              <w:t>14307,2601</w:t>
            </w:r>
          </w:p>
        </w:tc>
        <w:tc>
          <w:tcPr>
            <w:tcW w:w="1392" w:type="dxa"/>
          </w:tcPr>
          <w:p>
            <w:pPr>
              <w:pStyle w:val="TableParagraph"/>
              <w:rPr>
                <w:sz w:val="22"/>
              </w:rPr>
            </w:pPr>
            <w:r>
              <w:rPr>
                <w:sz w:val="22"/>
              </w:rPr>
              <w:t>0,02960564</w:t>
            </w:r>
          </w:p>
        </w:tc>
      </w:tr>
      <w:tr>
        <w:trPr>
          <w:trHeight w:val="310" w:hRule="exact"/>
        </w:trPr>
        <w:tc>
          <w:tcPr>
            <w:tcW w:w="782" w:type="dxa"/>
          </w:tcPr>
          <w:p>
            <w:pPr>
              <w:pStyle w:val="TableParagraph"/>
              <w:ind w:left="1" w:right="0"/>
              <w:jc w:val="center"/>
              <w:rPr>
                <w:sz w:val="22"/>
              </w:rPr>
            </w:pPr>
            <w:r>
              <w:rPr>
                <w:w w:val="100"/>
                <w:sz w:val="22"/>
              </w:rPr>
              <w:t>4</w:t>
            </w:r>
          </w:p>
        </w:tc>
        <w:tc>
          <w:tcPr>
            <w:tcW w:w="751" w:type="dxa"/>
          </w:tcPr>
          <w:p>
            <w:pPr>
              <w:pStyle w:val="TableParagraph"/>
              <w:ind w:left="45" w:right="44"/>
              <w:jc w:val="center"/>
              <w:rPr>
                <w:sz w:val="22"/>
              </w:rPr>
            </w:pPr>
            <w:r>
              <w:rPr>
                <w:sz w:val="22"/>
              </w:rPr>
              <w:t>155,12</w:t>
            </w:r>
          </w:p>
        </w:tc>
        <w:tc>
          <w:tcPr>
            <w:tcW w:w="475" w:type="dxa"/>
          </w:tcPr>
          <w:p>
            <w:pPr>
              <w:pStyle w:val="TableParagraph"/>
              <w:rPr>
                <w:sz w:val="22"/>
              </w:rPr>
            </w:pPr>
            <w:r>
              <w:rPr>
                <w:sz w:val="22"/>
              </w:rPr>
              <w:t>92</w:t>
            </w:r>
          </w:p>
        </w:tc>
        <w:tc>
          <w:tcPr>
            <w:tcW w:w="883" w:type="dxa"/>
          </w:tcPr>
          <w:p>
            <w:pPr>
              <w:pStyle w:val="TableParagraph"/>
              <w:ind w:left="62" w:right="47"/>
              <w:jc w:val="center"/>
              <w:rPr>
                <w:sz w:val="22"/>
              </w:rPr>
            </w:pPr>
            <w:r>
              <w:rPr>
                <w:sz w:val="22"/>
              </w:rPr>
              <w:t>64,6000</w:t>
            </w:r>
          </w:p>
        </w:tc>
        <w:tc>
          <w:tcPr>
            <w:tcW w:w="1013" w:type="dxa"/>
          </w:tcPr>
          <w:p>
            <w:pPr>
              <w:pStyle w:val="TableParagraph"/>
              <w:rPr>
                <w:sz w:val="22"/>
              </w:rPr>
            </w:pPr>
            <w:r>
              <w:rPr>
                <w:sz w:val="22"/>
              </w:rPr>
              <w:t>306,8000</w:t>
            </w:r>
          </w:p>
        </w:tc>
        <w:tc>
          <w:tcPr>
            <w:tcW w:w="1274" w:type="dxa"/>
          </w:tcPr>
          <w:p>
            <w:pPr>
              <w:pStyle w:val="TableParagraph"/>
              <w:rPr>
                <w:sz w:val="22"/>
              </w:rPr>
            </w:pPr>
            <w:r>
              <w:rPr>
                <w:sz w:val="22"/>
              </w:rPr>
              <w:t>10020,7520</w:t>
            </w:r>
          </w:p>
        </w:tc>
        <w:tc>
          <w:tcPr>
            <w:tcW w:w="883" w:type="dxa"/>
          </w:tcPr>
          <w:p>
            <w:pPr>
              <w:pStyle w:val="TableParagraph"/>
              <w:ind w:right="63"/>
              <w:rPr>
                <w:sz w:val="22"/>
              </w:rPr>
            </w:pPr>
            <w:r>
              <w:rPr>
                <w:sz w:val="22"/>
              </w:rPr>
              <w:t>17,5157</w:t>
            </w:r>
          </w:p>
        </w:tc>
        <w:tc>
          <w:tcPr>
            <w:tcW w:w="1274" w:type="dxa"/>
          </w:tcPr>
          <w:p>
            <w:pPr>
              <w:pStyle w:val="TableParagraph"/>
              <w:rPr>
                <w:sz w:val="22"/>
              </w:rPr>
            </w:pPr>
            <w:r>
              <w:rPr>
                <w:sz w:val="22"/>
              </w:rPr>
              <w:t>32817,4988</w:t>
            </w:r>
          </w:p>
        </w:tc>
        <w:tc>
          <w:tcPr>
            <w:tcW w:w="1392" w:type="dxa"/>
          </w:tcPr>
          <w:p>
            <w:pPr>
              <w:pStyle w:val="TableParagraph"/>
              <w:rPr>
                <w:sz w:val="22"/>
              </w:rPr>
            </w:pPr>
            <w:r>
              <w:rPr>
                <w:sz w:val="22"/>
              </w:rPr>
              <w:t>0,06790839</w:t>
            </w:r>
          </w:p>
        </w:tc>
      </w:tr>
      <w:tr>
        <w:trPr>
          <w:trHeight w:val="312" w:hRule="exact"/>
        </w:trPr>
        <w:tc>
          <w:tcPr>
            <w:tcW w:w="782" w:type="dxa"/>
          </w:tcPr>
          <w:p>
            <w:pPr>
              <w:pStyle w:val="TableParagraph"/>
              <w:spacing w:before="30"/>
              <w:ind w:left="1" w:right="0"/>
              <w:jc w:val="center"/>
              <w:rPr>
                <w:sz w:val="22"/>
              </w:rPr>
            </w:pPr>
            <w:r>
              <w:rPr>
                <w:w w:val="100"/>
                <w:sz w:val="22"/>
              </w:rPr>
              <w:t>5</w:t>
            </w:r>
          </w:p>
        </w:tc>
        <w:tc>
          <w:tcPr>
            <w:tcW w:w="751" w:type="dxa"/>
          </w:tcPr>
          <w:p>
            <w:pPr>
              <w:pStyle w:val="TableParagraph"/>
              <w:spacing w:before="30"/>
              <w:ind w:left="45" w:right="44"/>
              <w:jc w:val="center"/>
              <w:rPr>
                <w:sz w:val="22"/>
              </w:rPr>
            </w:pPr>
            <w:r>
              <w:rPr>
                <w:sz w:val="22"/>
              </w:rPr>
              <w:t>180,21</w:t>
            </w:r>
          </w:p>
        </w:tc>
        <w:tc>
          <w:tcPr>
            <w:tcW w:w="475" w:type="dxa"/>
          </w:tcPr>
          <w:p>
            <w:pPr>
              <w:pStyle w:val="TableParagraph"/>
              <w:spacing w:before="30"/>
              <w:rPr>
                <w:sz w:val="22"/>
              </w:rPr>
            </w:pPr>
            <w:r>
              <w:rPr>
                <w:sz w:val="22"/>
              </w:rPr>
              <w:t>132</w:t>
            </w:r>
          </w:p>
        </w:tc>
        <w:tc>
          <w:tcPr>
            <w:tcW w:w="883" w:type="dxa"/>
          </w:tcPr>
          <w:p>
            <w:pPr>
              <w:pStyle w:val="TableParagraph"/>
              <w:spacing w:before="30"/>
              <w:ind w:left="62" w:right="47"/>
              <w:jc w:val="center"/>
              <w:rPr>
                <w:sz w:val="22"/>
              </w:rPr>
            </w:pPr>
            <w:r>
              <w:rPr>
                <w:sz w:val="22"/>
              </w:rPr>
              <w:t>65,1667</w:t>
            </w:r>
          </w:p>
        </w:tc>
        <w:tc>
          <w:tcPr>
            <w:tcW w:w="1013" w:type="dxa"/>
          </w:tcPr>
          <w:p>
            <w:pPr>
              <w:pStyle w:val="TableParagraph"/>
              <w:spacing w:before="30"/>
              <w:rPr>
                <w:sz w:val="22"/>
              </w:rPr>
            </w:pPr>
            <w:r>
              <w:rPr>
                <w:sz w:val="22"/>
              </w:rPr>
              <w:t>155,3667</w:t>
            </w:r>
          </w:p>
        </w:tc>
        <w:tc>
          <w:tcPr>
            <w:tcW w:w="1274" w:type="dxa"/>
          </w:tcPr>
          <w:p>
            <w:pPr>
              <w:pStyle w:val="TableParagraph"/>
              <w:spacing w:before="30"/>
              <w:rPr>
                <w:sz w:val="22"/>
              </w:rPr>
            </w:pPr>
            <w:r>
              <w:rPr>
                <w:sz w:val="22"/>
              </w:rPr>
              <w:t>11743,6850</w:t>
            </w:r>
          </w:p>
        </w:tc>
        <w:tc>
          <w:tcPr>
            <w:tcW w:w="883" w:type="dxa"/>
          </w:tcPr>
          <w:p>
            <w:pPr>
              <w:pStyle w:val="TableParagraph"/>
              <w:spacing w:before="30"/>
              <w:ind w:right="63"/>
              <w:rPr>
                <w:sz w:val="22"/>
              </w:rPr>
            </w:pPr>
            <w:r>
              <w:rPr>
                <w:sz w:val="22"/>
              </w:rPr>
              <w:t>12,4646</w:t>
            </w:r>
          </w:p>
        </w:tc>
        <w:tc>
          <w:tcPr>
            <w:tcW w:w="1274" w:type="dxa"/>
          </w:tcPr>
          <w:p>
            <w:pPr>
              <w:pStyle w:val="TableParagraph"/>
              <w:spacing w:before="30"/>
              <w:rPr>
                <w:sz w:val="22"/>
              </w:rPr>
            </w:pPr>
            <w:r>
              <w:rPr>
                <w:sz w:val="22"/>
              </w:rPr>
              <w:t>10214,2825</w:t>
            </w:r>
          </w:p>
        </w:tc>
        <w:tc>
          <w:tcPr>
            <w:tcW w:w="1392" w:type="dxa"/>
          </w:tcPr>
          <w:p>
            <w:pPr>
              <w:pStyle w:val="TableParagraph"/>
              <w:spacing w:before="30"/>
              <w:rPr>
                <w:sz w:val="22"/>
              </w:rPr>
            </w:pPr>
            <w:r>
              <w:rPr>
                <w:sz w:val="22"/>
              </w:rPr>
              <w:t>0,02113615</w:t>
            </w:r>
          </w:p>
        </w:tc>
      </w:tr>
      <w:tr>
        <w:trPr>
          <w:trHeight w:val="310" w:hRule="exact"/>
        </w:trPr>
        <w:tc>
          <w:tcPr>
            <w:tcW w:w="782" w:type="dxa"/>
          </w:tcPr>
          <w:p>
            <w:pPr>
              <w:pStyle w:val="TableParagraph"/>
              <w:ind w:right="1"/>
              <w:jc w:val="center"/>
              <w:rPr>
                <w:sz w:val="22"/>
              </w:rPr>
            </w:pPr>
            <w:r>
              <w:rPr>
                <w:w w:val="100"/>
                <w:sz w:val="22"/>
              </w:rPr>
              <w:t>N</w:t>
            </w:r>
          </w:p>
        </w:tc>
        <w:tc>
          <w:tcPr>
            <w:tcW w:w="751" w:type="dxa"/>
          </w:tcPr>
          <w:p>
            <w:pPr>
              <w:pStyle w:val="TableParagraph"/>
              <w:ind w:left="45" w:right="44"/>
              <w:jc w:val="center"/>
              <w:rPr>
                <w:sz w:val="22"/>
              </w:rPr>
            </w:pPr>
            <w:r>
              <w:rPr>
                <w:sz w:val="22"/>
              </w:rPr>
              <w:t>695,17</w:t>
            </w:r>
          </w:p>
        </w:tc>
        <w:tc>
          <w:tcPr>
            <w:tcW w:w="475" w:type="dxa"/>
          </w:tcPr>
          <w:p>
            <w:pPr/>
          </w:p>
        </w:tc>
        <w:tc>
          <w:tcPr>
            <w:tcW w:w="883" w:type="dxa"/>
          </w:tcPr>
          <w:p>
            <w:pPr/>
          </w:p>
        </w:tc>
        <w:tc>
          <w:tcPr>
            <w:tcW w:w="1013" w:type="dxa"/>
          </w:tcPr>
          <w:p>
            <w:pPr>
              <w:pStyle w:val="TableParagraph"/>
              <w:spacing w:before="16"/>
              <w:ind w:left="310" w:right="321"/>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74" w:type="dxa"/>
          </w:tcPr>
          <w:p>
            <w:pPr>
              <w:pStyle w:val="TableParagraph"/>
              <w:rPr>
                <w:sz w:val="22"/>
              </w:rPr>
            </w:pPr>
            <w:r>
              <w:rPr>
                <w:sz w:val="22"/>
              </w:rPr>
              <w:t>34249,1190</w:t>
            </w:r>
          </w:p>
        </w:tc>
        <w:tc>
          <w:tcPr>
            <w:tcW w:w="883" w:type="dxa"/>
          </w:tcPr>
          <w:p>
            <w:pPr/>
          </w:p>
        </w:tc>
        <w:tc>
          <w:tcPr>
            <w:tcW w:w="1274" w:type="dxa"/>
          </w:tcPr>
          <w:p>
            <w:pPr>
              <w:pStyle w:val="TableParagraph"/>
              <w:rPr>
                <w:sz w:val="22"/>
              </w:rPr>
            </w:pPr>
            <w:r>
              <w:rPr>
                <w:sz w:val="22"/>
              </w:rPr>
              <w:t>53545,3572</w:t>
            </w:r>
          </w:p>
        </w:tc>
        <w:tc>
          <w:tcPr>
            <w:tcW w:w="1392" w:type="dxa"/>
          </w:tcPr>
          <w:p>
            <w:pPr>
              <w:pStyle w:val="TableParagraph"/>
              <w:rPr>
                <w:sz w:val="22"/>
              </w:rPr>
            </w:pPr>
            <w:r>
              <w:rPr>
                <w:sz w:val="22"/>
              </w:rPr>
              <w:t>0,1108</w:t>
            </w:r>
          </w:p>
        </w:tc>
      </w:tr>
      <w:tr>
        <w:trPr>
          <w:trHeight w:val="310" w:hRule="exact"/>
        </w:trPr>
        <w:tc>
          <w:tcPr>
            <w:tcW w:w="5179" w:type="dxa"/>
            <w:gridSpan w:val="6"/>
            <w:vMerge w:val="restart"/>
            <w:tcBorders>
              <w:left w:val="nil"/>
            </w:tcBorders>
          </w:tcPr>
          <w:p>
            <w:pPr/>
          </w:p>
        </w:tc>
        <w:tc>
          <w:tcPr>
            <w:tcW w:w="2158" w:type="dxa"/>
            <w:gridSpan w:val="2"/>
          </w:tcPr>
          <w:p>
            <w:pPr>
              <w:pStyle w:val="TableParagraph"/>
              <w:spacing w:before="11"/>
              <w:ind w:left="64" w:right="-8"/>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92" w:type="dxa"/>
          </w:tcPr>
          <w:p>
            <w:pPr>
              <w:pStyle w:val="TableParagraph"/>
              <w:rPr>
                <w:b/>
                <w:sz w:val="22"/>
              </w:rPr>
            </w:pPr>
            <w:r>
              <w:rPr>
                <w:b/>
                <w:sz w:val="22"/>
              </w:rPr>
              <w:t>49,267</w:t>
            </w:r>
          </w:p>
        </w:tc>
      </w:tr>
      <w:tr>
        <w:trPr>
          <w:trHeight w:val="310" w:hRule="exact"/>
        </w:trPr>
        <w:tc>
          <w:tcPr>
            <w:tcW w:w="5179" w:type="dxa"/>
            <w:gridSpan w:val="6"/>
            <w:vMerge/>
            <w:tcBorders>
              <w:left w:val="nil"/>
            </w:tcBorders>
          </w:tcPr>
          <w:p>
            <w:pPr/>
          </w:p>
        </w:tc>
        <w:tc>
          <w:tcPr>
            <w:tcW w:w="2158" w:type="dxa"/>
            <w:gridSpan w:val="2"/>
          </w:tcPr>
          <w:p>
            <w:pPr>
              <w:pStyle w:val="TableParagraph"/>
              <w:spacing w:before="13"/>
              <w:ind w:left="64" w:right="-8"/>
              <w:jc w:val="left"/>
              <w:rPr>
                <w:sz w:val="22"/>
              </w:rPr>
            </w:pPr>
            <w:r>
              <w:rPr>
                <w:sz w:val="22"/>
              </w:rPr>
              <w:t>Desviación estándar</w:t>
            </w:r>
          </w:p>
        </w:tc>
        <w:tc>
          <w:tcPr>
            <w:tcW w:w="1392" w:type="dxa"/>
          </w:tcPr>
          <w:p>
            <w:pPr>
              <w:pStyle w:val="TableParagraph"/>
              <w:rPr>
                <w:b/>
                <w:sz w:val="22"/>
              </w:rPr>
            </w:pPr>
            <w:r>
              <w:rPr>
                <w:b/>
                <w:sz w:val="22"/>
              </w:rPr>
              <w:t>0,333</w:t>
            </w:r>
          </w:p>
        </w:tc>
      </w:tr>
      <w:tr>
        <w:trPr>
          <w:trHeight w:val="310" w:hRule="exact"/>
        </w:trPr>
        <w:tc>
          <w:tcPr>
            <w:tcW w:w="5179" w:type="dxa"/>
            <w:gridSpan w:val="6"/>
            <w:vMerge/>
            <w:tcBorders>
              <w:left w:val="nil"/>
            </w:tcBorders>
          </w:tcPr>
          <w:p>
            <w:pPr/>
          </w:p>
        </w:tc>
        <w:tc>
          <w:tcPr>
            <w:tcW w:w="2158" w:type="dxa"/>
            <w:gridSpan w:val="2"/>
            <w:vMerge w:val="restart"/>
          </w:tcPr>
          <w:p>
            <w:pPr>
              <w:pStyle w:val="TableParagraph"/>
              <w:spacing w:before="33"/>
              <w:ind w:left="64" w:right="81"/>
              <w:jc w:val="left"/>
              <w:rPr>
                <w:sz w:val="22"/>
              </w:rPr>
            </w:pPr>
            <w:r>
              <w:rPr>
                <w:sz w:val="22"/>
              </w:rPr>
              <w:t>Intervalo de confianza al 95 %</w:t>
            </w:r>
          </w:p>
        </w:tc>
        <w:tc>
          <w:tcPr>
            <w:tcW w:w="1392" w:type="dxa"/>
          </w:tcPr>
          <w:p>
            <w:pPr>
              <w:pStyle w:val="TableParagraph"/>
              <w:rPr>
                <w:sz w:val="22"/>
              </w:rPr>
            </w:pPr>
            <w:r>
              <w:rPr>
                <w:sz w:val="22"/>
              </w:rPr>
              <w:t>48,61</w:t>
            </w:r>
          </w:p>
        </w:tc>
      </w:tr>
      <w:tr>
        <w:trPr>
          <w:trHeight w:val="310" w:hRule="exact"/>
        </w:trPr>
        <w:tc>
          <w:tcPr>
            <w:tcW w:w="5179" w:type="dxa"/>
            <w:gridSpan w:val="6"/>
            <w:vMerge/>
            <w:tcBorders>
              <w:left w:val="nil"/>
              <w:bottom w:val="nil"/>
            </w:tcBorders>
          </w:tcPr>
          <w:p>
            <w:pPr/>
          </w:p>
        </w:tc>
        <w:tc>
          <w:tcPr>
            <w:tcW w:w="2158" w:type="dxa"/>
            <w:gridSpan w:val="2"/>
            <w:vMerge/>
          </w:tcPr>
          <w:p>
            <w:pPr/>
          </w:p>
        </w:tc>
        <w:tc>
          <w:tcPr>
            <w:tcW w:w="1392" w:type="dxa"/>
          </w:tcPr>
          <w:p>
            <w:pPr>
              <w:pStyle w:val="TableParagraph"/>
              <w:rPr>
                <w:sz w:val="22"/>
              </w:rPr>
            </w:pPr>
            <w:r>
              <w:rPr>
                <w:sz w:val="22"/>
              </w:rPr>
              <w:t>49,92</w:t>
            </w:r>
          </w:p>
        </w:tc>
      </w:tr>
    </w:tbl>
    <w:p>
      <w:pPr>
        <w:pStyle w:val="BodyText"/>
        <w:spacing w:before="3"/>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2"/>
        <w:gridCol w:w="751"/>
        <w:gridCol w:w="475"/>
        <w:gridCol w:w="883"/>
        <w:gridCol w:w="1013"/>
        <w:gridCol w:w="1274"/>
        <w:gridCol w:w="883"/>
        <w:gridCol w:w="1274"/>
        <w:gridCol w:w="1392"/>
      </w:tblGrid>
      <w:tr>
        <w:trPr>
          <w:trHeight w:val="310" w:hRule="exact"/>
        </w:trPr>
        <w:tc>
          <w:tcPr>
            <w:tcW w:w="8729" w:type="dxa"/>
            <w:gridSpan w:val="9"/>
          </w:tcPr>
          <w:p>
            <w:pPr>
              <w:pStyle w:val="TableParagraph"/>
              <w:ind w:left="3389" w:right="3389"/>
              <w:jc w:val="center"/>
              <w:rPr>
                <w:sz w:val="22"/>
              </w:rPr>
            </w:pPr>
            <w:r>
              <w:rPr>
                <w:sz w:val="22"/>
              </w:rPr>
              <w:t>Punto de muestreo B</w:t>
            </w:r>
          </w:p>
        </w:tc>
      </w:tr>
      <w:tr>
        <w:trPr>
          <w:trHeight w:val="310" w:hRule="exact"/>
        </w:trPr>
        <w:tc>
          <w:tcPr>
            <w:tcW w:w="782" w:type="dxa"/>
          </w:tcPr>
          <w:p>
            <w:pPr>
              <w:pStyle w:val="TableParagraph"/>
              <w:spacing w:before="11"/>
              <w:ind w:left="46" w:right="47"/>
              <w:jc w:val="center"/>
              <w:rPr>
                <w:sz w:val="22"/>
              </w:rPr>
            </w:pPr>
            <w:r>
              <w:rPr>
                <w:sz w:val="22"/>
              </w:rPr>
              <w:t>Estrato</w:t>
            </w:r>
          </w:p>
        </w:tc>
        <w:tc>
          <w:tcPr>
            <w:tcW w:w="751" w:type="dxa"/>
          </w:tcPr>
          <w:p>
            <w:pPr>
              <w:pStyle w:val="TableParagraph"/>
              <w:spacing w:before="40"/>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right="123"/>
              <w:rPr>
                <w:rFonts w:ascii="Cambria Math"/>
                <w:sz w:val="16"/>
              </w:rPr>
            </w:pPr>
            <w:r>
              <w:rPr>
                <w:rFonts w:ascii="Cambria Math"/>
                <w:w w:val="105"/>
                <w:sz w:val="22"/>
              </w:rPr>
              <w:t>n</w:t>
            </w:r>
            <w:r>
              <w:rPr>
                <w:rFonts w:ascii="Cambria Math"/>
                <w:w w:val="105"/>
                <w:position w:val="-4"/>
                <w:sz w:val="16"/>
              </w:rPr>
              <w:t>h</w:t>
            </w:r>
          </w:p>
        </w:tc>
        <w:tc>
          <w:tcPr>
            <w:tcW w:w="883" w:type="dxa"/>
          </w:tcPr>
          <w:p>
            <w:pPr>
              <w:pStyle w:val="TableParagraph"/>
              <w:spacing w:before="40"/>
              <w:ind w:left="34"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13" w:type="dxa"/>
          </w:tcPr>
          <w:p>
            <w:pPr>
              <w:pStyle w:val="TableParagraph"/>
              <w:spacing w:line="214" w:lineRule="exact" w:before="6"/>
              <w:ind w:left="310" w:right="318"/>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274" w:type="dxa"/>
          </w:tcPr>
          <w:p>
            <w:pPr>
              <w:pStyle w:val="TableParagraph"/>
              <w:spacing w:before="16"/>
              <w:ind w:left="514" w:right="52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83" w:type="dxa"/>
          </w:tcPr>
          <w:p>
            <w:pPr>
              <w:pStyle w:val="TableParagraph"/>
              <w:spacing w:before="40"/>
              <w:ind w:left="36" w:right="47"/>
              <w:jc w:val="center"/>
              <w:rPr>
                <w:rFonts w:ascii="Cambria Math"/>
                <w:sz w:val="16"/>
              </w:rPr>
            </w:pPr>
            <w:r>
              <w:rPr>
                <w:rFonts w:ascii="Cambria Math"/>
                <w:w w:val="110"/>
                <w:sz w:val="22"/>
              </w:rPr>
              <w:t>s</w:t>
            </w:r>
            <w:r>
              <w:rPr>
                <w:rFonts w:ascii="Cambria Math"/>
                <w:w w:val="110"/>
                <w:position w:val="-4"/>
                <w:sz w:val="16"/>
              </w:rPr>
              <w:t>h</w:t>
            </w:r>
          </w:p>
        </w:tc>
        <w:tc>
          <w:tcPr>
            <w:tcW w:w="1274" w:type="dxa"/>
          </w:tcPr>
          <w:p>
            <w:pPr>
              <w:pStyle w:val="TableParagraph"/>
              <w:spacing w:before="0"/>
              <w:ind w:left="30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392" w:type="dxa"/>
          </w:tcPr>
          <w:p>
            <w:pPr>
              <w:pStyle w:val="TableParagraph"/>
              <w:spacing w:before="0"/>
              <w:ind w:left="34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82" w:type="dxa"/>
          </w:tcPr>
          <w:p>
            <w:pPr>
              <w:pStyle w:val="TableParagraph"/>
              <w:ind w:left="1" w:right="0"/>
              <w:jc w:val="center"/>
              <w:rPr>
                <w:sz w:val="22"/>
              </w:rPr>
            </w:pPr>
            <w:r>
              <w:rPr>
                <w:w w:val="100"/>
                <w:sz w:val="22"/>
              </w:rPr>
              <w:t>1</w:t>
            </w:r>
          </w:p>
        </w:tc>
        <w:tc>
          <w:tcPr>
            <w:tcW w:w="751" w:type="dxa"/>
          </w:tcPr>
          <w:p>
            <w:pPr>
              <w:pStyle w:val="TableParagraph"/>
              <w:ind w:left="45" w:right="44"/>
              <w:jc w:val="center"/>
              <w:rPr>
                <w:sz w:val="22"/>
              </w:rPr>
            </w:pPr>
            <w:r>
              <w:rPr>
                <w:sz w:val="22"/>
              </w:rPr>
              <w:t>108,60</w:t>
            </w:r>
          </w:p>
        </w:tc>
        <w:tc>
          <w:tcPr>
            <w:tcW w:w="475" w:type="dxa"/>
          </w:tcPr>
          <w:p>
            <w:pPr>
              <w:pStyle w:val="TableParagraph"/>
              <w:rPr>
                <w:sz w:val="22"/>
              </w:rPr>
            </w:pPr>
            <w:r>
              <w:rPr>
                <w:sz w:val="22"/>
              </w:rPr>
              <w:t>108</w:t>
            </w:r>
          </w:p>
        </w:tc>
        <w:tc>
          <w:tcPr>
            <w:tcW w:w="883" w:type="dxa"/>
          </w:tcPr>
          <w:p>
            <w:pPr>
              <w:pStyle w:val="TableParagraph"/>
              <w:ind w:right="63"/>
              <w:rPr>
                <w:sz w:val="22"/>
              </w:rPr>
            </w:pPr>
            <w:r>
              <w:rPr>
                <w:sz w:val="22"/>
              </w:rPr>
              <w:t>30,000</w:t>
            </w:r>
          </w:p>
        </w:tc>
        <w:tc>
          <w:tcPr>
            <w:tcW w:w="1013" w:type="dxa"/>
          </w:tcPr>
          <w:p>
            <w:pPr>
              <w:pStyle w:val="TableParagraph"/>
              <w:rPr>
                <w:sz w:val="22"/>
              </w:rPr>
            </w:pPr>
            <w:r>
              <w:rPr>
                <w:sz w:val="22"/>
              </w:rPr>
              <w:t>202,500</w:t>
            </w:r>
          </w:p>
        </w:tc>
        <w:tc>
          <w:tcPr>
            <w:tcW w:w="1274" w:type="dxa"/>
          </w:tcPr>
          <w:p>
            <w:pPr>
              <w:pStyle w:val="TableParagraph"/>
              <w:rPr>
                <w:sz w:val="22"/>
              </w:rPr>
            </w:pPr>
            <w:r>
              <w:rPr>
                <w:sz w:val="22"/>
              </w:rPr>
              <w:t>3258,000</w:t>
            </w:r>
          </w:p>
        </w:tc>
        <w:tc>
          <w:tcPr>
            <w:tcW w:w="883" w:type="dxa"/>
          </w:tcPr>
          <w:p>
            <w:pPr>
              <w:pStyle w:val="TableParagraph"/>
              <w:ind w:right="63"/>
              <w:rPr>
                <w:sz w:val="22"/>
              </w:rPr>
            </w:pPr>
            <w:r>
              <w:rPr>
                <w:sz w:val="22"/>
              </w:rPr>
              <w:t>14,230</w:t>
            </w:r>
          </w:p>
        </w:tc>
        <w:tc>
          <w:tcPr>
            <w:tcW w:w="1274" w:type="dxa"/>
          </w:tcPr>
          <w:p>
            <w:pPr>
              <w:pStyle w:val="TableParagraph"/>
              <w:rPr>
                <w:sz w:val="22"/>
              </w:rPr>
            </w:pPr>
            <w:r>
              <w:rPr>
                <w:sz w:val="22"/>
              </w:rPr>
              <w:t>-7393,230</w:t>
            </w:r>
          </w:p>
        </w:tc>
        <w:tc>
          <w:tcPr>
            <w:tcW w:w="1392" w:type="dxa"/>
          </w:tcPr>
          <w:p>
            <w:pPr>
              <w:pStyle w:val="TableParagraph"/>
              <w:rPr>
                <w:sz w:val="22"/>
              </w:rPr>
            </w:pPr>
            <w:r>
              <w:rPr>
                <w:sz w:val="22"/>
              </w:rPr>
              <w:t>-0,01529862</w:t>
            </w:r>
          </w:p>
        </w:tc>
      </w:tr>
      <w:tr>
        <w:trPr>
          <w:trHeight w:val="310" w:hRule="exact"/>
        </w:trPr>
        <w:tc>
          <w:tcPr>
            <w:tcW w:w="782" w:type="dxa"/>
          </w:tcPr>
          <w:p>
            <w:pPr>
              <w:pStyle w:val="TableParagraph"/>
              <w:ind w:left="1" w:right="0"/>
              <w:jc w:val="center"/>
              <w:rPr>
                <w:sz w:val="22"/>
              </w:rPr>
            </w:pPr>
            <w:r>
              <w:rPr>
                <w:w w:val="100"/>
                <w:sz w:val="22"/>
              </w:rPr>
              <w:t>2</w:t>
            </w:r>
          </w:p>
        </w:tc>
        <w:tc>
          <w:tcPr>
            <w:tcW w:w="751" w:type="dxa"/>
          </w:tcPr>
          <w:p>
            <w:pPr>
              <w:pStyle w:val="TableParagraph"/>
              <w:ind w:left="45" w:right="44"/>
              <w:jc w:val="center"/>
              <w:rPr>
                <w:sz w:val="22"/>
              </w:rPr>
            </w:pPr>
            <w:r>
              <w:rPr>
                <w:sz w:val="22"/>
              </w:rPr>
              <w:t>121,03</w:t>
            </w:r>
          </w:p>
        </w:tc>
        <w:tc>
          <w:tcPr>
            <w:tcW w:w="475" w:type="dxa"/>
          </w:tcPr>
          <w:p>
            <w:pPr>
              <w:pStyle w:val="TableParagraph"/>
              <w:rPr>
                <w:sz w:val="22"/>
              </w:rPr>
            </w:pPr>
            <w:r>
              <w:rPr>
                <w:sz w:val="22"/>
              </w:rPr>
              <w:t>81</w:t>
            </w:r>
          </w:p>
        </w:tc>
        <w:tc>
          <w:tcPr>
            <w:tcW w:w="883" w:type="dxa"/>
          </w:tcPr>
          <w:p>
            <w:pPr>
              <w:pStyle w:val="TableParagraph"/>
              <w:ind w:right="63"/>
              <w:rPr>
                <w:sz w:val="22"/>
              </w:rPr>
            </w:pPr>
            <w:r>
              <w:rPr>
                <w:sz w:val="22"/>
              </w:rPr>
              <w:t>29,600</w:t>
            </w:r>
          </w:p>
        </w:tc>
        <w:tc>
          <w:tcPr>
            <w:tcW w:w="1013" w:type="dxa"/>
          </w:tcPr>
          <w:p>
            <w:pPr>
              <w:pStyle w:val="TableParagraph"/>
              <w:rPr>
                <w:sz w:val="22"/>
              </w:rPr>
            </w:pPr>
            <w:r>
              <w:rPr>
                <w:sz w:val="22"/>
              </w:rPr>
              <w:t>93,300</w:t>
            </w:r>
          </w:p>
        </w:tc>
        <w:tc>
          <w:tcPr>
            <w:tcW w:w="1274" w:type="dxa"/>
          </w:tcPr>
          <w:p>
            <w:pPr>
              <w:pStyle w:val="TableParagraph"/>
              <w:rPr>
                <w:sz w:val="22"/>
              </w:rPr>
            </w:pPr>
            <w:r>
              <w:rPr>
                <w:sz w:val="22"/>
              </w:rPr>
              <w:t>3582,488</w:t>
            </w:r>
          </w:p>
        </w:tc>
        <w:tc>
          <w:tcPr>
            <w:tcW w:w="883" w:type="dxa"/>
          </w:tcPr>
          <w:p>
            <w:pPr>
              <w:pStyle w:val="TableParagraph"/>
              <w:ind w:right="63"/>
              <w:rPr>
                <w:sz w:val="22"/>
              </w:rPr>
            </w:pPr>
            <w:r>
              <w:rPr>
                <w:sz w:val="22"/>
              </w:rPr>
              <w:t>9,659</w:t>
            </w:r>
          </w:p>
        </w:tc>
        <w:tc>
          <w:tcPr>
            <w:tcW w:w="1274" w:type="dxa"/>
          </w:tcPr>
          <w:p>
            <w:pPr>
              <w:pStyle w:val="TableParagraph"/>
              <w:rPr>
                <w:sz w:val="22"/>
              </w:rPr>
            </w:pPr>
            <w:r>
              <w:rPr>
                <w:sz w:val="22"/>
              </w:rPr>
              <w:t>5588,864</w:t>
            </w:r>
          </w:p>
        </w:tc>
        <w:tc>
          <w:tcPr>
            <w:tcW w:w="1392" w:type="dxa"/>
          </w:tcPr>
          <w:p>
            <w:pPr>
              <w:pStyle w:val="TableParagraph"/>
              <w:rPr>
                <w:sz w:val="22"/>
              </w:rPr>
            </w:pPr>
            <w:r>
              <w:rPr>
                <w:sz w:val="22"/>
              </w:rPr>
              <w:t>0,01156489</w:t>
            </w:r>
          </w:p>
        </w:tc>
      </w:tr>
      <w:tr>
        <w:trPr>
          <w:trHeight w:val="310" w:hRule="exact"/>
        </w:trPr>
        <w:tc>
          <w:tcPr>
            <w:tcW w:w="782" w:type="dxa"/>
          </w:tcPr>
          <w:p>
            <w:pPr>
              <w:pStyle w:val="TableParagraph"/>
              <w:ind w:left="1" w:right="0"/>
              <w:jc w:val="center"/>
              <w:rPr>
                <w:sz w:val="22"/>
              </w:rPr>
            </w:pPr>
            <w:r>
              <w:rPr>
                <w:w w:val="100"/>
                <w:sz w:val="22"/>
              </w:rPr>
              <w:t>3</w:t>
            </w:r>
          </w:p>
        </w:tc>
        <w:tc>
          <w:tcPr>
            <w:tcW w:w="751" w:type="dxa"/>
          </w:tcPr>
          <w:p>
            <w:pPr>
              <w:pStyle w:val="TableParagraph"/>
              <w:ind w:left="45" w:right="44"/>
              <w:jc w:val="center"/>
              <w:rPr>
                <w:sz w:val="22"/>
              </w:rPr>
            </w:pPr>
            <w:r>
              <w:rPr>
                <w:sz w:val="22"/>
              </w:rPr>
              <w:t>130,21</w:t>
            </w:r>
          </w:p>
        </w:tc>
        <w:tc>
          <w:tcPr>
            <w:tcW w:w="475" w:type="dxa"/>
          </w:tcPr>
          <w:p>
            <w:pPr>
              <w:pStyle w:val="TableParagraph"/>
              <w:rPr>
                <w:sz w:val="22"/>
              </w:rPr>
            </w:pPr>
            <w:r>
              <w:rPr>
                <w:sz w:val="22"/>
              </w:rPr>
              <w:t>77</w:t>
            </w:r>
          </w:p>
        </w:tc>
        <w:tc>
          <w:tcPr>
            <w:tcW w:w="883" w:type="dxa"/>
          </w:tcPr>
          <w:p>
            <w:pPr>
              <w:pStyle w:val="TableParagraph"/>
              <w:ind w:right="63"/>
              <w:rPr>
                <w:sz w:val="22"/>
              </w:rPr>
            </w:pPr>
            <w:r>
              <w:rPr>
                <w:sz w:val="22"/>
              </w:rPr>
              <w:t>41,600</w:t>
            </w:r>
          </w:p>
        </w:tc>
        <w:tc>
          <w:tcPr>
            <w:tcW w:w="1013" w:type="dxa"/>
          </w:tcPr>
          <w:p>
            <w:pPr>
              <w:pStyle w:val="TableParagraph"/>
              <w:rPr>
                <w:sz w:val="22"/>
              </w:rPr>
            </w:pPr>
            <w:r>
              <w:rPr>
                <w:sz w:val="22"/>
              </w:rPr>
              <w:t>309,300</w:t>
            </w:r>
          </w:p>
        </w:tc>
        <w:tc>
          <w:tcPr>
            <w:tcW w:w="1274" w:type="dxa"/>
          </w:tcPr>
          <w:p>
            <w:pPr>
              <w:pStyle w:val="TableParagraph"/>
              <w:rPr>
                <w:sz w:val="22"/>
              </w:rPr>
            </w:pPr>
            <w:r>
              <w:rPr>
                <w:sz w:val="22"/>
              </w:rPr>
              <w:t>5416,736</w:t>
            </w:r>
          </w:p>
        </w:tc>
        <w:tc>
          <w:tcPr>
            <w:tcW w:w="883" w:type="dxa"/>
          </w:tcPr>
          <w:p>
            <w:pPr>
              <w:pStyle w:val="TableParagraph"/>
              <w:ind w:right="63"/>
              <w:rPr>
                <w:sz w:val="22"/>
              </w:rPr>
            </w:pPr>
            <w:r>
              <w:rPr>
                <w:sz w:val="22"/>
              </w:rPr>
              <w:t>17,587</w:t>
            </w:r>
          </w:p>
        </w:tc>
        <w:tc>
          <w:tcPr>
            <w:tcW w:w="1274" w:type="dxa"/>
          </w:tcPr>
          <w:p>
            <w:pPr>
              <w:pStyle w:val="TableParagraph"/>
              <w:rPr>
                <w:sz w:val="22"/>
              </w:rPr>
            </w:pPr>
            <w:r>
              <w:rPr>
                <w:sz w:val="22"/>
              </w:rPr>
              <w:t>28240,176</w:t>
            </w:r>
          </w:p>
        </w:tc>
        <w:tc>
          <w:tcPr>
            <w:tcW w:w="1392" w:type="dxa"/>
          </w:tcPr>
          <w:p>
            <w:pPr>
              <w:pStyle w:val="TableParagraph"/>
              <w:rPr>
                <w:sz w:val="22"/>
              </w:rPr>
            </w:pPr>
            <w:r>
              <w:rPr>
                <w:sz w:val="22"/>
              </w:rPr>
              <w:t>0,05843666</w:t>
            </w:r>
          </w:p>
        </w:tc>
      </w:tr>
      <w:tr>
        <w:trPr>
          <w:trHeight w:val="312" w:hRule="exact"/>
        </w:trPr>
        <w:tc>
          <w:tcPr>
            <w:tcW w:w="782" w:type="dxa"/>
          </w:tcPr>
          <w:p>
            <w:pPr>
              <w:pStyle w:val="TableParagraph"/>
              <w:spacing w:before="30"/>
              <w:ind w:left="1" w:right="0"/>
              <w:jc w:val="center"/>
              <w:rPr>
                <w:sz w:val="22"/>
              </w:rPr>
            </w:pPr>
            <w:r>
              <w:rPr>
                <w:w w:val="100"/>
                <w:sz w:val="22"/>
              </w:rPr>
              <w:t>4</w:t>
            </w:r>
          </w:p>
        </w:tc>
        <w:tc>
          <w:tcPr>
            <w:tcW w:w="751" w:type="dxa"/>
          </w:tcPr>
          <w:p>
            <w:pPr>
              <w:pStyle w:val="TableParagraph"/>
              <w:spacing w:before="30"/>
              <w:ind w:left="45" w:right="44"/>
              <w:jc w:val="center"/>
              <w:rPr>
                <w:sz w:val="22"/>
              </w:rPr>
            </w:pPr>
            <w:r>
              <w:rPr>
                <w:sz w:val="22"/>
              </w:rPr>
              <w:t>155,12</w:t>
            </w:r>
          </w:p>
        </w:tc>
        <w:tc>
          <w:tcPr>
            <w:tcW w:w="475" w:type="dxa"/>
          </w:tcPr>
          <w:p>
            <w:pPr>
              <w:pStyle w:val="TableParagraph"/>
              <w:spacing w:before="30"/>
              <w:rPr>
                <w:sz w:val="22"/>
              </w:rPr>
            </w:pPr>
            <w:r>
              <w:rPr>
                <w:sz w:val="22"/>
              </w:rPr>
              <w:t>92</w:t>
            </w:r>
          </w:p>
        </w:tc>
        <w:tc>
          <w:tcPr>
            <w:tcW w:w="883" w:type="dxa"/>
          </w:tcPr>
          <w:p>
            <w:pPr>
              <w:pStyle w:val="TableParagraph"/>
              <w:spacing w:before="30"/>
              <w:ind w:right="63"/>
              <w:rPr>
                <w:sz w:val="22"/>
              </w:rPr>
            </w:pPr>
            <w:r>
              <w:rPr>
                <w:sz w:val="22"/>
              </w:rPr>
              <w:t>57,000</w:t>
            </w:r>
          </w:p>
        </w:tc>
        <w:tc>
          <w:tcPr>
            <w:tcW w:w="1013" w:type="dxa"/>
          </w:tcPr>
          <w:p>
            <w:pPr>
              <w:pStyle w:val="TableParagraph"/>
              <w:spacing w:before="30"/>
              <w:rPr>
                <w:sz w:val="22"/>
              </w:rPr>
            </w:pPr>
            <w:r>
              <w:rPr>
                <w:sz w:val="22"/>
              </w:rPr>
              <w:t>420,500</w:t>
            </w:r>
          </w:p>
        </w:tc>
        <w:tc>
          <w:tcPr>
            <w:tcW w:w="1274" w:type="dxa"/>
          </w:tcPr>
          <w:p>
            <w:pPr>
              <w:pStyle w:val="TableParagraph"/>
              <w:spacing w:before="30"/>
              <w:rPr>
                <w:sz w:val="22"/>
              </w:rPr>
            </w:pPr>
            <w:r>
              <w:rPr>
                <w:sz w:val="22"/>
              </w:rPr>
              <w:t>8841,840</w:t>
            </w:r>
          </w:p>
        </w:tc>
        <w:tc>
          <w:tcPr>
            <w:tcW w:w="883" w:type="dxa"/>
          </w:tcPr>
          <w:p>
            <w:pPr>
              <w:pStyle w:val="TableParagraph"/>
              <w:spacing w:before="30"/>
              <w:ind w:right="63"/>
              <w:rPr>
                <w:sz w:val="22"/>
              </w:rPr>
            </w:pPr>
            <w:r>
              <w:rPr>
                <w:sz w:val="22"/>
              </w:rPr>
              <w:t>20,506</w:t>
            </w:r>
          </w:p>
        </w:tc>
        <w:tc>
          <w:tcPr>
            <w:tcW w:w="1274" w:type="dxa"/>
          </w:tcPr>
          <w:p>
            <w:pPr>
              <w:pStyle w:val="TableParagraph"/>
              <w:spacing w:before="30"/>
              <w:rPr>
                <w:sz w:val="22"/>
              </w:rPr>
            </w:pPr>
            <w:r>
              <w:rPr>
                <w:sz w:val="22"/>
              </w:rPr>
              <w:t>44979,655</w:t>
            </w:r>
          </w:p>
        </w:tc>
        <w:tc>
          <w:tcPr>
            <w:tcW w:w="1392" w:type="dxa"/>
          </w:tcPr>
          <w:p>
            <w:pPr>
              <w:pStyle w:val="TableParagraph"/>
              <w:spacing w:before="30"/>
              <w:rPr>
                <w:sz w:val="22"/>
              </w:rPr>
            </w:pPr>
            <w:r>
              <w:rPr>
                <w:sz w:val="22"/>
              </w:rPr>
              <w:t>0,09307522</w:t>
            </w:r>
          </w:p>
        </w:tc>
      </w:tr>
      <w:tr>
        <w:trPr>
          <w:trHeight w:val="310" w:hRule="exact"/>
        </w:trPr>
        <w:tc>
          <w:tcPr>
            <w:tcW w:w="782" w:type="dxa"/>
          </w:tcPr>
          <w:p>
            <w:pPr>
              <w:pStyle w:val="TableParagraph"/>
              <w:ind w:left="1" w:right="0"/>
              <w:jc w:val="center"/>
              <w:rPr>
                <w:sz w:val="22"/>
              </w:rPr>
            </w:pPr>
            <w:r>
              <w:rPr>
                <w:w w:val="100"/>
                <w:sz w:val="22"/>
              </w:rPr>
              <w:t>5</w:t>
            </w:r>
          </w:p>
        </w:tc>
        <w:tc>
          <w:tcPr>
            <w:tcW w:w="751" w:type="dxa"/>
          </w:tcPr>
          <w:p>
            <w:pPr>
              <w:pStyle w:val="TableParagraph"/>
              <w:ind w:left="45" w:right="44"/>
              <w:jc w:val="center"/>
              <w:rPr>
                <w:sz w:val="22"/>
              </w:rPr>
            </w:pPr>
            <w:r>
              <w:rPr>
                <w:sz w:val="22"/>
              </w:rPr>
              <w:t>180,21</w:t>
            </w:r>
          </w:p>
        </w:tc>
        <w:tc>
          <w:tcPr>
            <w:tcW w:w="475" w:type="dxa"/>
          </w:tcPr>
          <w:p>
            <w:pPr>
              <w:pStyle w:val="TableParagraph"/>
              <w:rPr>
                <w:sz w:val="22"/>
              </w:rPr>
            </w:pPr>
            <w:r>
              <w:rPr>
                <w:sz w:val="22"/>
              </w:rPr>
              <w:t>132</w:t>
            </w:r>
          </w:p>
        </w:tc>
        <w:tc>
          <w:tcPr>
            <w:tcW w:w="883" w:type="dxa"/>
          </w:tcPr>
          <w:p>
            <w:pPr>
              <w:pStyle w:val="TableParagraph"/>
              <w:ind w:right="63"/>
              <w:rPr>
                <w:sz w:val="22"/>
              </w:rPr>
            </w:pPr>
            <w:r>
              <w:rPr>
                <w:sz w:val="22"/>
              </w:rPr>
              <w:t>62,667</w:t>
            </w:r>
          </w:p>
        </w:tc>
        <w:tc>
          <w:tcPr>
            <w:tcW w:w="1013" w:type="dxa"/>
          </w:tcPr>
          <w:p>
            <w:pPr>
              <w:pStyle w:val="TableParagraph"/>
              <w:rPr>
                <w:sz w:val="22"/>
              </w:rPr>
            </w:pPr>
            <w:r>
              <w:rPr>
                <w:sz w:val="22"/>
              </w:rPr>
              <w:t>320,267</w:t>
            </w:r>
          </w:p>
        </w:tc>
        <w:tc>
          <w:tcPr>
            <w:tcW w:w="1274" w:type="dxa"/>
          </w:tcPr>
          <w:p>
            <w:pPr>
              <w:pStyle w:val="TableParagraph"/>
              <w:rPr>
                <w:sz w:val="22"/>
              </w:rPr>
            </w:pPr>
            <w:r>
              <w:rPr>
                <w:sz w:val="22"/>
              </w:rPr>
              <w:t>11293,160</w:t>
            </w:r>
          </w:p>
        </w:tc>
        <w:tc>
          <w:tcPr>
            <w:tcW w:w="883" w:type="dxa"/>
          </w:tcPr>
          <w:p>
            <w:pPr>
              <w:pStyle w:val="TableParagraph"/>
              <w:ind w:right="63"/>
              <w:rPr>
                <w:sz w:val="22"/>
              </w:rPr>
            </w:pPr>
            <w:r>
              <w:rPr>
                <w:sz w:val="22"/>
              </w:rPr>
              <w:t>17,896</w:t>
            </w:r>
          </w:p>
        </w:tc>
        <w:tc>
          <w:tcPr>
            <w:tcW w:w="1274" w:type="dxa"/>
          </w:tcPr>
          <w:p>
            <w:pPr>
              <w:pStyle w:val="TableParagraph"/>
              <w:rPr>
                <w:sz w:val="22"/>
              </w:rPr>
            </w:pPr>
            <w:r>
              <w:rPr>
                <w:sz w:val="22"/>
              </w:rPr>
              <w:t>21055,316</w:t>
            </w:r>
          </w:p>
        </w:tc>
        <w:tc>
          <w:tcPr>
            <w:tcW w:w="1392" w:type="dxa"/>
          </w:tcPr>
          <w:p>
            <w:pPr>
              <w:pStyle w:val="TableParagraph"/>
              <w:rPr>
                <w:sz w:val="22"/>
              </w:rPr>
            </w:pPr>
            <w:r>
              <w:rPr>
                <w:sz w:val="22"/>
              </w:rPr>
              <w:t>0,04356921</w:t>
            </w:r>
          </w:p>
        </w:tc>
      </w:tr>
      <w:tr>
        <w:trPr>
          <w:trHeight w:val="310" w:hRule="exact"/>
        </w:trPr>
        <w:tc>
          <w:tcPr>
            <w:tcW w:w="782" w:type="dxa"/>
          </w:tcPr>
          <w:p>
            <w:pPr>
              <w:pStyle w:val="TableParagraph"/>
              <w:ind w:right="1"/>
              <w:jc w:val="center"/>
              <w:rPr>
                <w:sz w:val="22"/>
              </w:rPr>
            </w:pPr>
            <w:r>
              <w:rPr>
                <w:w w:val="100"/>
                <w:sz w:val="22"/>
              </w:rPr>
              <w:t>N</w:t>
            </w:r>
          </w:p>
        </w:tc>
        <w:tc>
          <w:tcPr>
            <w:tcW w:w="751" w:type="dxa"/>
          </w:tcPr>
          <w:p>
            <w:pPr>
              <w:pStyle w:val="TableParagraph"/>
              <w:ind w:left="45" w:right="44"/>
              <w:jc w:val="center"/>
              <w:rPr>
                <w:sz w:val="22"/>
              </w:rPr>
            </w:pPr>
            <w:r>
              <w:rPr>
                <w:sz w:val="22"/>
              </w:rPr>
              <w:t>695,17</w:t>
            </w:r>
          </w:p>
        </w:tc>
        <w:tc>
          <w:tcPr>
            <w:tcW w:w="475" w:type="dxa"/>
          </w:tcPr>
          <w:p>
            <w:pPr/>
          </w:p>
        </w:tc>
        <w:tc>
          <w:tcPr>
            <w:tcW w:w="883" w:type="dxa"/>
          </w:tcPr>
          <w:p>
            <w:pPr/>
          </w:p>
        </w:tc>
        <w:tc>
          <w:tcPr>
            <w:tcW w:w="1013" w:type="dxa"/>
          </w:tcPr>
          <w:p>
            <w:pPr>
              <w:pStyle w:val="TableParagraph"/>
              <w:spacing w:before="16"/>
              <w:ind w:left="310" w:right="321"/>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74" w:type="dxa"/>
          </w:tcPr>
          <w:p>
            <w:pPr>
              <w:pStyle w:val="TableParagraph"/>
              <w:rPr>
                <w:sz w:val="22"/>
              </w:rPr>
            </w:pPr>
            <w:r>
              <w:rPr>
                <w:sz w:val="22"/>
              </w:rPr>
              <w:t>32392,224</w:t>
            </w:r>
          </w:p>
        </w:tc>
        <w:tc>
          <w:tcPr>
            <w:tcW w:w="883" w:type="dxa"/>
          </w:tcPr>
          <w:p>
            <w:pPr/>
          </w:p>
        </w:tc>
        <w:tc>
          <w:tcPr>
            <w:tcW w:w="1274" w:type="dxa"/>
          </w:tcPr>
          <w:p>
            <w:pPr>
              <w:pStyle w:val="TableParagraph"/>
              <w:rPr>
                <w:sz w:val="22"/>
              </w:rPr>
            </w:pPr>
            <w:r>
              <w:rPr>
                <w:sz w:val="22"/>
              </w:rPr>
              <w:t>92470,780</w:t>
            </w:r>
          </w:p>
        </w:tc>
        <w:tc>
          <w:tcPr>
            <w:tcW w:w="1392" w:type="dxa"/>
          </w:tcPr>
          <w:p>
            <w:pPr>
              <w:pStyle w:val="TableParagraph"/>
              <w:rPr>
                <w:sz w:val="22"/>
              </w:rPr>
            </w:pPr>
            <w:r>
              <w:rPr>
                <w:sz w:val="22"/>
              </w:rPr>
              <w:t>0,19134736</w:t>
            </w:r>
          </w:p>
        </w:tc>
      </w:tr>
      <w:tr>
        <w:trPr>
          <w:trHeight w:val="310" w:hRule="exact"/>
        </w:trPr>
        <w:tc>
          <w:tcPr>
            <w:tcW w:w="5179" w:type="dxa"/>
            <w:gridSpan w:val="6"/>
            <w:vMerge w:val="restart"/>
            <w:tcBorders>
              <w:left w:val="nil"/>
            </w:tcBorders>
          </w:tcPr>
          <w:p>
            <w:pPr/>
          </w:p>
        </w:tc>
        <w:tc>
          <w:tcPr>
            <w:tcW w:w="2158" w:type="dxa"/>
            <w:gridSpan w:val="2"/>
          </w:tcPr>
          <w:p>
            <w:pPr>
              <w:pStyle w:val="TableParagraph"/>
              <w:spacing w:before="13"/>
              <w:ind w:left="64" w:right="-8"/>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92" w:type="dxa"/>
          </w:tcPr>
          <w:p>
            <w:pPr>
              <w:pStyle w:val="TableParagraph"/>
              <w:rPr>
                <w:b/>
                <w:sz w:val="22"/>
              </w:rPr>
            </w:pPr>
            <w:r>
              <w:rPr>
                <w:b/>
                <w:sz w:val="22"/>
              </w:rPr>
              <w:t>46,596</w:t>
            </w:r>
          </w:p>
        </w:tc>
      </w:tr>
      <w:tr>
        <w:trPr>
          <w:trHeight w:val="310" w:hRule="exact"/>
        </w:trPr>
        <w:tc>
          <w:tcPr>
            <w:tcW w:w="5179" w:type="dxa"/>
            <w:gridSpan w:val="6"/>
            <w:vMerge/>
            <w:tcBorders>
              <w:left w:val="nil"/>
            </w:tcBorders>
          </w:tcPr>
          <w:p>
            <w:pPr/>
          </w:p>
        </w:tc>
        <w:tc>
          <w:tcPr>
            <w:tcW w:w="2158" w:type="dxa"/>
            <w:gridSpan w:val="2"/>
          </w:tcPr>
          <w:p>
            <w:pPr>
              <w:pStyle w:val="TableParagraph"/>
              <w:spacing w:before="13"/>
              <w:ind w:left="64" w:right="-8"/>
              <w:jc w:val="left"/>
              <w:rPr>
                <w:sz w:val="22"/>
              </w:rPr>
            </w:pPr>
            <w:r>
              <w:rPr>
                <w:sz w:val="22"/>
              </w:rPr>
              <w:t>Desviación estándar</w:t>
            </w:r>
          </w:p>
        </w:tc>
        <w:tc>
          <w:tcPr>
            <w:tcW w:w="1392" w:type="dxa"/>
          </w:tcPr>
          <w:p>
            <w:pPr>
              <w:pStyle w:val="TableParagraph"/>
              <w:rPr>
                <w:b/>
                <w:sz w:val="22"/>
              </w:rPr>
            </w:pPr>
            <w:r>
              <w:rPr>
                <w:b/>
                <w:sz w:val="22"/>
              </w:rPr>
              <w:t>0,437</w:t>
            </w:r>
          </w:p>
        </w:tc>
      </w:tr>
      <w:tr>
        <w:trPr>
          <w:trHeight w:val="310" w:hRule="exact"/>
        </w:trPr>
        <w:tc>
          <w:tcPr>
            <w:tcW w:w="5179" w:type="dxa"/>
            <w:gridSpan w:val="6"/>
            <w:vMerge/>
            <w:tcBorders>
              <w:left w:val="nil"/>
            </w:tcBorders>
          </w:tcPr>
          <w:p>
            <w:pPr/>
          </w:p>
        </w:tc>
        <w:tc>
          <w:tcPr>
            <w:tcW w:w="2158" w:type="dxa"/>
            <w:gridSpan w:val="2"/>
            <w:vMerge w:val="restart"/>
          </w:tcPr>
          <w:p>
            <w:pPr>
              <w:pStyle w:val="TableParagraph"/>
              <w:spacing w:line="266" w:lineRule="exact" w:before="32"/>
              <w:ind w:left="64" w:right="81"/>
              <w:jc w:val="left"/>
              <w:rPr>
                <w:sz w:val="22"/>
              </w:rPr>
            </w:pPr>
            <w:r>
              <w:rPr>
                <w:sz w:val="22"/>
              </w:rPr>
              <w:t>Intervalo de confianza al 95 %</w:t>
            </w:r>
          </w:p>
        </w:tc>
        <w:tc>
          <w:tcPr>
            <w:tcW w:w="1392" w:type="dxa"/>
          </w:tcPr>
          <w:p>
            <w:pPr>
              <w:pStyle w:val="TableParagraph"/>
              <w:rPr>
                <w:sz w:val="22"/>
              </w:rPr>
            </w:pPr>
            <w:r>
              <w:rPr>
                <w:sz w:val="22"/>
              </w:rPr>
              <w:t>45,74</w:t>
            </w:r>
          </w:p>
        </w:tc>
      </w:tr>
      <w:tr>
        <w:trPr>
          <w:trHeight w:val="312" w:hRule="exact"/>
        </w:trPr>
        <w:tc>
          <w:tcPr>
            <w:tcW w:w="5179" w:type="dxa"/>
            <w:gridSpan w:val="6"/>
            <w:vMerge/>
            <w:tcBorders>
              <w:left w:val="nil"/>
              <w:bottom w:val="nil"/>
            </w:tcBorders>
          </w:tcPr>
          <w:p>
            <w:pPr/>
          </w:p>
        </w:tc>
        <w:tc>
          <w:tcPr>
            <w:tcW w:w="2158" w:type="dxa"/>
            <w:gridSpan w:val="2"/>
            <w:vMerge/>
          </w:tcPr>
          <w:p>
            <w:pPr/>
          </w:p>
        </w:tc>
        <w:tc>
          <w:tcPr>
            <w:tcW w:w="1392" w:type="dxa"/>
          </w:tcPr>
          <w:p>
            <w:pPr>
              <w:pStyle w:val="TableParagraph"/>
              <w:spacing w:before="30"/>
              <w:rPr>
                <w:sz w:val="22"/>
              </w:rPr>
            </w:pPr>
            <w:r>
              <w:rPr>
                <w:sz w:val="22"/>
              </w:rPr>
              <w:t>47,45</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2"/>
        <w:gridCol w:w="751"/>
        <w:gridCol w:w="475"/>
        <w:gridCol w:w="883"/>
        <w:gridCol w:w="1013"/>
        <w:gridCol w:w="1274"/>
        <w:gridCol w:w="883"/>
        <w:gridCol w:w="1274"/>
        <w:gridCol w:w="1392"/>
      </w:tblGrid>
      <w:tr>
        <w:trPr>
          <w:trHeight w:val="310" w:hRule="exact"/>
        </w:trPr>
        <w:tc>
          <w:tcPr>
            <w:tcW w:w="8729" w:type="dxa"/>
            <w:gridSpan w:val="9"/>
          </w:tcPr>
          <w:p>
            <w:pPr>
              <w:pStyle w:val="TableParagraph"/>
              <w:ind w:left="3391" w:right="3389"/>
              <w:jc w:val="center"/>
              <w:rPr>
                <w:sz w:val="22"/>
              </w:rPr>
            </w:pPr>
            <w:r>
              <w:rPr>
                <w:sz w:val="22"/>
              </w:rPr>
              <w:t>Punto de muestreo C</w:t>
            </w:r>
          </w:p>
        </w:tc>
      </w:tr>
      <w:tr>
        <w:trPr>
          <w:trHeight w:val="310" w:hRule="exact"/>
        </w:trPr>
        <w:tc>
          <w:tcPr>
            <w:tcW w:w="782" w:type="dxa"/>
          </w:tcPr>
          <w:p>
            <w:pPr>
              <w:pStyle w:val="TableParagraph"/>
              <w:spacing w:before="13"/>
              <w:ind w:left="46" w:right="47"/>
              <w:jc w:val="center"/>
              <w:rPr>
                <w:sz w:val="22"/>
              </w:rPr>
            </w:pPr>
            <w:r>
              <w:rPr>
                <w:sz w:val="22"/>
              </w:rPr>
              <w:t>Estrato</w:t>
            </w:r>
          </w:p>
        </w:tc>
        <w:tc>
          <w:tcPr>
            <w:tcW w:w="751" w:type="dxa"/>
          </w:tcPr>
          <w:p>
            <w:pPr>
              <w:pStyle w:val="TableParagraph"/>
              <w:spacing w:before="43"/>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883" w:type="dxa"/>
          </w:tcPr>
          <w:p>
            <w:pPr>
              <w:pStyle w:val="TableParagraph"/>
              <w:spacing w:before="43"/>
              <w:ind w:left="34"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13" w:type="dxa"/>
          </w:tcPr>
          <w:p>
            <w:pPr>
              <w:pStyle w:val="TableParagraph"/>
              <w:spacing w:line="214" w:lineRule="exact" w:before="6"/>
              <w:ind w:left="310" w:right="318"/>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274" w:type="dxa"/>
          </w:tcPr>
          <w:p>
            <w:pPr>
              <w:pStyle w:val="TableParagraph"/>
              <w:spacing w:before="19"/>
              <w:ind w:left="514" w:right="52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83"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274" w:type="dxa"/>
          </w:tcPr>
          <w:p>
            <w:pPr>
              <w:pStyle w:val="TableParagraph"/>
              <w:spacing w:before="0"/>
              <w:ind w:left="30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392" w:type="dxa"/>
          </w:tcPr>
          <w:p>
            <w:pPr>
              <w:pStyle w:val="TableParagraph"/>
              <w:spacing w:before="0"/>
              <w:ind w:left="34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82" w:type="dxa"/>
          </w:tcPr>
          <w:p>
            <w:pPr>
              <w:pStyle w:val="TableParagraph"/>
              <w:ind w:left="1" w:right="0"/>
              <w:jc w:val="center"/>
              <w:rPr>
                <w:sz w:val="22"/>
              </w:rPr>
            </w:pPr>
            <w:r>
              <w:rPr>
                <w:w w:val="100"/>
                <w:sz w:val="22"/>
              </w:rPr>
              <w:t>1</w:t>
            </w:r>
          </w:p>
        </w:tc>
        <w:tc>
          <w:tcPr>
            <w:tcW w:w="751" w:type="dxa"/>
          </w:tcPr>
          <w:p>
            <w:pPr>
              <w:pStyle w:val="TableParagraph"/>
              <w:ind w:left="45" w:right="44"/>
              <w:jc w:val="center"/>
              <w:rPr>
                <w:sz w:val="22"/>
              </w:rPr>
            </w:pPr>
            <w:r>
              <w:rPr>
                <w:sz w:val="22"/>
              </w:rPr>
              <w:t>108,60</w:t>
            </w:r>
          </w:p>
        </w:tc>
        <w:tc>
          <w:tcPr>
            <w:tcW w:w="475" w:type="dxa"/>
          </w:tcPr>
          <w:p>
            <w:pPr>
              <w:pStyle w:val="TableParagraph"/>
              <w:rPr>
                <w:sz w:val="22"/>
              </w:rPr>
            </w:pPr>
            <w:r>
              <w:rPr>
                <w:sz w:val="22"/>
              </w:rPr>
              <w:t>108</w:t>
            </w:r>
          </w:p>
        </w:tc>
        <w:tc>
          <w:tcPr>
            <w:tcW w:w="883" w:type="dxa"/>
          </w:tcPr>
          <w:p>
            <w:pPr>
              <w:pStyle w:val="TableParagraph"/>
              <w:ind w:right="63"/>
              <w:rPr>
                <w:sz w:val="22"/>
              </w:rPr>
            </w:pPr>
            <w:r>
              <w:rPr>
                <w:sz w:val="22"/>
              </w:rPr>
              <w:t>29,400</w:t>
            </w:r>
          </w:p>
        </w:tc>
        <w:tc>
          <w:tcPr>
            <w:tcW w:w="1013" w:type="dxa"/>
          </w:tcPr>
          <w:p>
            <w:pPr>
              <w:pStyle w:val="TableParagraph"/>
              <w:rPr>
                <w:sz w:val="22"/>
              </w:rPr>
            </w:pPr>
            <w:r>
              <w:rPr>
                <w:sz w:val="22"/>
              </w:rPr>
              <w:t>277,300</w:t>
            </w:r>
          </w:p>
        </w:tc>
        <w:tc>
          <w:tcPr>
            <w:tcW w:w="1274" w:type="dxa"/>
          </w:tcPr>
          <w:p>
            <w:pPr>
              <w:pStyle w:val="TableParagraph"/>
              <w:rPr>
                <w:sz w:val="22"/>
              </w:rPr>
            </w:pPr>
            <w:r>
              <w:rPr>
                <w:sz w:val="22"/>
              </w:rPr>
              <w:t>3192,840</w:t>
            </w:r>
          </w:p>
        </w:tc>
        <w:tc>
          <w:tcPr>
            <w:tcW w:w="883" w:type="dxa"/>
          </w:tcPr>
          <w:p>
            <w:pPr>
              <w:pStyle w:val="TableParagraph"/>
              <w:ind w:right="63"/>
              <w:rPr>
                <w:sz w:val="22"/>
              </w:rPr>
            </w:pPr>
            <w:r>
              <w:rPr>
                <w:sz w:val="22"/>
              </w:rPr>
              <w:t>16,652</w:t>
            </w:r>
          </w:p>
        </w:tc>
        <w:tc>
          <w:tcPr>
            <w:tcW w:w="1274" w:type="dxa"/>
          </w:tcPr>
          <w:p>
            <w:pPr>
              <w:pStyle w:val="TableParagraph"/>
              <w:rPr>
                <w:sz w:val="22"/>
              </w:rPr>
            </w:pPr>
            <w:r>
              <w:rPr>
                <w:sz w:val="22"/>
              </w:rPr>
              <w:t>-10124,162</w:t>
            </w:r>
          </w:p>
        </w:tc>
        <w:tc>
          <w:tcPr>
            <w:tcW w:w="1392" w:type="dxa"/>
          </w:tcPr>
          <w:p>
            <w:pPr>
              <w:pStyle w:val="TableParagraph"/>
              <w:rPr>
                <w:sz w:val="22"/>
              </w:rPr>
            </w:pPr>
            <w:r>
              <w:rPr>
                <w:sz w:val="22"/>
              </w:rPr>
              <w:t>-0,02094966</w:t>
            </w:r>
          </w:p>
        </w:tc>
      </w:tr>
      <w:tr>
        <w:trPr>
          <w:trHeight w:val="310" w:hRule="exact"/>
        </w:trPr>
        <w:tc>
          <w:tcPr>
            <w:tcW w:w="782" w:type="dxa"/>
          </w:tcPr>
          <w:p>
            <w:pPr>
              <w:pStyle w:val="TableParagraph"/>
              <w:ind w:left="1" w:right="0"/>
              <w:jc w:val="center"/>
              <w:rPr>
                <w:sz w:val="22"/>
              </w:rPr>
            </w:pPr>
            <w:r>
              <w:rPr>
                <w:w w:val="100"/>
                <w:sz w:val="22"/>
              </w:rPr>
              <w:t>2</w:t>
            </w:r>
          </w:p>
        </w:tc>
        <w:tc>
          <w:tcPr>
            <w:tcW w:w="751" w:type="dxa"/>
          </w:tcPr>
          <w:p>
            <w:pPr>
              <w:pStyle w:val="TableParagraph"/>
              <w:ind w:left="45" w:right="44"/>
              <w:jc w:val="center"/>
              <w:rPr>
                <w:sz w:val="22"/>
              </w:rPr>
            </w:pPr>
            <w:r>
              <w:rPr>
                <w:sz w:val="22"/>
              </w:rPr>
              <w:t>121,03</w:t>
            </w:r>
          </w:p>
        </w:tc>
        <w:tc>
          <w:tcPr>
            <w:tcW w:w="475" w:type="dxa"/>
          </w:tcPr>
          <w:p>
            <w:pPr>
              <w:pStyle w:val="TableParagraph"/>
              <w:rPr>
                <w:sz w:val="22"/>
              </w:rPr>
            </w:pPr>
            <w:r>
              <w:rPr>
                <w:sz w:val="22"/>
              </w:rPr>
              <w:t>81</w:t>
            </w:r>
          </w:p>
        </w:tc>
        <w:tc>
          <w:tcPr>
            <w:tcW w:w="883" w:type="dxa"/>
          </w:tcPr>
          <w:p>
            <w:pPr>
              <w:pStyle w:val="TableParagraph"/>
              <w:ind w:right="63"/>
              <w:rPr>
                <w:sz w:val="22"/>
              </w:rPr>
            </w:pPr>
            <w:r>
              <w:rPr>
                <w:sz w:val="22"/>
              </w:rPr>
              <w:t>30,400</w:t>
            </w:r>
          </w:p>
        </w:tc>
        <w:tc>
          <w:tcPr>
            <w:tcW w:w="1013" w:type="dxa"/>
          </w:tcPr>
          <w:p>
            <w:pPr>
              <w:pStyle w:val="TableParagraph"/>
              <w:rPr>
                <w:sz w:val="22"/>
              </w:rPr>
            </w:pPr>
            <w:r>
              <w:rPr>
                <w:sz w:val="22"/>
              </w:rPr>
              <w:t>278,800</w:t>
            </w:r>
          </w:p>
        </w:tc>
        <w:tc>
          <w:tcPr>
            <w:tcW w:w="1274" w:type="dxa"/>
          </w:tcPr>
          <w:p>
            <w:pPr>
              <w:pStyle w:val="TableParagraph"/>
              <w:rPr>
                <w:sz w:val="22"/>
              </w:rPr>
            </w:pPr>
            <w:r>
              <w:rPr>
                <w:sz w:val="22"/>
              </w:rPr>
              <w:t>3679,312</w:t>
            </w:r>
          </w:p>
        </w:tc>
        <w:tc>
          <w:tcPr>
            <w:tcW w:w="883" w:type="dxa"/>
          </w:tcPr>
          <w:p>
            <w:pPr>
              <w:pStyle w:val="TableParagraph"/>
              <w:ind w:right="63"/>
              <w:rPr>
                <w:sz w:val="22"/>
              </w:rPr>
            </w:pPr>
            <w:r>
              <w:rPr>
                <w:sz w:val="22"/>
              </w:rPr>
              <w:t>16,697</w:t>
            </w:r>
          </w:p>
        </w:tc>
        <w:tc>
          <w:tcPr>
            <w:tcW w:w="1274" w:type="dxa"/>
          </w:tcPr>
          <w:p>
            <w:pPr>
              <w:pStyle w:val="TableParagraph"/>
              <w:rPr>
                <w:sz w:val="22"/>
              </w:rPr>
            </w:pPr>
            <w:r>
              <w:rPr>
                <w:sz w:val="22"/>
              </w:rPr>
              <w:t>16700,699</w:t>
            </w:r>
          </w:p>
        </w:tc>
        <w:tc>
          <w:tcPr>
            <w:tcW w:w="1392" w:type="dxa"/>
          </w:tcPr>
          <w:p>
            <w:pPr>
              <w:pStyle w:val="TableParagraph"/>
              <w:rPr>
                <w:sz w:val="22"/>
              </w:rPr>
            </w:pPr>
            <w:r>
              <w:rPr>
                <w:sz w:val="22"/>
              </w:rPr>
              <w:t>0,03455832</w:t>
            </w:r>
          </w:p>
        </w:tc>
      </w:tr>
      <w:tr>
        <w:trPr>
          <w:trHeight w:val="312" w:hRule="exact"/>
        </w:trPr>
        <w:tc>
          <w:tcPr>
            <w:tcW w:w="782" w:type="dxa"/>
          </w:tcPr>
          <w:p>
            <w:pPr>
              <w:pStyle w:val="TableParagraph"/>
              <w:spacing w:before="30"/>
              <w:ind w:left="1" w:right="0"/>
              <w:jc w:val="center"/>
              <w:rPr>
                <w:sz w:val="22"/>
              </w:rPr>
            </w:pPr>
            <w:r>
              <w:rPr>
                <w:w w:val="100"/>
                <w:sz w:val="22"/>
              </w:rPr>
              <w:t>3</w:t>
            </w:r>
          </w:p>
        </w:tc>
        <w:tc>
          <w:tcPr>
            <w:tcW w:w="751" w:type="dxa"/>
          </w:tcPr>
          <w:p>
            <w:pPr>
              <w:pStyle w:val="TableParagraph"/>
              <w:spacing w:before="30"/>
              <w:ind w:left="45" w:right="44"/>
              <w:jc w:val="center"/>
              <w:rPr>
                <w:sz w:val="22"/>
              </w:rPr>
            </w:pPr>
            <w:r>
              <w:rPr>
                <w:sz w:val="22"/>
              </w:rPr>
              <w:t>130,21</w:t>
            </w:r>
          </w:p>
        </w:tc>
        <w:tc>
          <w:tcPr>
            <w:tcW w:w="475" w:type="dxa"/>
          </w:tcPr>
          <w:p>
            <w:pPr>
              <w:pStyle w:val="TableParagraph"/>
              <w:spacing w:before="30"/>
              <w:rPr>
                <w:sz w:val="22"/>
              </w:rPr>
            </w:pPr>
            <w:r>
              <w:rPr>
                <w:sz w:val="22"/>
              </w:rPr>
              <w:t>77</w:t>
            </w:r>
          </w:p>
        </w:tc>
        <w:tc>
          <w:tcPr>
            <w:tcW w:w="883" w:type="dxa"/>
          </w:tcPr>
          <w:p>
            <w:pPr>
              <w:pStyle w:val="TableParagraph"/>
              <w:spacing w:before="30"/>
              <w:ind w:right="63"/>
              <w:rPr>
                <w:sz w:val="22"/>
              </w:rPr>
            </w:pPr>
            <w:r>
              <w:rPr>
                <w:sz w:val="22"/>
              </w:rPr>
              <w:t>30,800</w:t>
            </w:r>
          </w:p>
        </w:tc>
        <w:tc>
          <w:tcPr>
            <w:tcW w:w="1013" w:type="dxa"/>
          </w:tcPr>
          <w:p>
            <w:pPr>
              <w:pStyle w:val="TableParagraph"/>
              <w:spacing w:before="30"/>
              <w:rPr>
                <w:sz w:val="22"/>
              </w:rPr>
            </w:pPr>
            <w:r>
              <w:rPr>
                <w:sz w:val="22"/>
              </w:rPr>
              <w:t>159,200</w:t>
            </w:r>
          </w:p>
        </w:tc>
        <w:tc>
          <w:tcPr>
            <w:tcW w:w="1274" w:type="dxa"/>
          </w:tcPr>
          <w:p>
            <w:pPr>
              <w:pStyle w:val="TableParagraph"/>
              <w:spacing w:before="30"/>
              <w:rPr>
                <w:sz w:val="22"/>
              </w:rPr>
            </w:pPr>
            <w:r>
              <w:rPr>
                <w:sz w:val="22"/>
              </w:rPr>
              <w:t>4010,468</w:t>
            </w:r>
          </w:p>
        </w:tc>
        <w:tc>
          <w:tcPr>
            <w:tcW w:w="883" w:type="dxa"/>
          </w:tcPr>
          <w:p>
            <w:pPr>
              <w:pStyle w:val="TableParagraph"/>
              <w:spacing w:before="30"/>
              <w:ind w:right="63"/>
              <w:rPr>
                <w:sz w:val="22"/>
              </w:rPr>
            </w:pPr>
            <w:r>
              <w:rPr>
                <w:sz w:val="22"/>
              </w:rPr>
              <w:t>12,617</w:t>
            </w:r>
          </w:p>
        </w:tc>
        <w:tc>
          <w:tcPr>
            <w:tcW w:w="1274" w:type="dxa"/>
          </w:tcPr>
          <w:p>
            <w:pPr>
              <w:pStyle w:val="TableParagraph"/>
              <w:spacing w:before="30"/>
              <w:rPr>
                <w:sz w:val="22"/>
              </w:rPr>
            </w:pPr>
            <w:r>
              <w:rPr>
                <w:sz w:val="22"/>
              </w:rPr>
              <w:t>14535,519</w:t>
            </w:r>
          </w:p>
        </w:tc>
        <w:tc>
          <w:tcPr>
            <w:tcW w:w="1392" w:type="dxa"/>
          </w:tcPr>
          <w:p>
            <w:pPr>
              <w:pStyle w:val="TableParagraph"/>
              <w:spacing w:before="30"/>
              <w:rPr>
                <w:sz w:val="22"/>
              </w:rPr>
            </w:pPr>
            <w:r>
              <w:rPr>
                <w:sz w:val="22"/>
              </w:rPr>
              <w:t>0,03007797</w:t>
            </w:r>
          </w:p>
        </w:tc>
      </w:tr>
      <w:tr>
        <w:trPr>
          <w:trHeight w:val="310" w:hRule="exact"/>
        </w:trPr>
        <w:tc>
          <w:tcPr>
            <w:tcW w:w="782" w:type="dxa"/>
          </w:tcPr>
          <w:p>
            <w:pPr>
              <w:pStyle w:val="TableParagraph"/>
              <w:ind w:left="1" w:right="0"/>
              <w:jc w:val="center"/>
              <w:rPr>
                <w:sz w:val="22"/>
              </w:rPr>
            </w:pPr>
            <w:r>
              <w:rPr>
                <w:w w:val="100"/>
                <w:sz w:val="22"/>
              </w:rPr>
              <w:t>4</w:t>
            </w:r>
          </w:p>
        </w:tc>
        <w:tc>
          <w:tcPr>
            <w:tcW w:w="751" w:type="dxa"/>
          </w:tcPr>
          <w:p>
            <w:pPr>
              <w:pStyle w:val="TableParagraph"/>
              <w:ind w:left="45" w:right="44"/>
              <w:jc w:val="center"/>
              <w:rPr>
                <w:sz w:val="22"/>
              </w:rPr>
            </w:pPr>
            <w:r>
              <w:rPr>
                <w:sz w:val="22"/>
              </w:rPr>
              <w:t>155,12</w:t>
            </w:r>
          </w:p>
        </w:tc>
        <w:tc>
          <w:tcPr>
            <w:tcW w:w="475" w:type="dxa"/>
          </w:tcPr>
          <w:p>
            <w:pPr>
              <w:pStyle w:val="TableParagraph"/>
              <w:rPr>
                <w:sz w:val="22"/>
              </w:rPr>
            </w:pPr>
            <w:r>
              <w:rPr>
                <w:sz w:val="22"/>
              </w:rPr>
              <w:t>92</w:t>
            </w:r>
          </w:p>
        </w:tc>
        <w:tc>
          <w:tcPr>
            <w:tcW w:w="883" w:type="dxa"/>
          </w:tcPr>
          <w:p>
            <w:pPr>
              <w:pStyle w:val="TableParagraph"/>
              <w:ind w:right="63"/>
              <w:rPr>
                <w:sz w:val="22"/>
              </w:rPr>
            </w:pPr>
            <w:r>
              <w:rPr>
                <w:sz w:val="22"/>
              </w:rPr>
              <w:t>58,200</w:t>
            </w:r>
          </w:p>
        </w:tc>
        <w:tc>
          <w:tcPr>
            <w:tcW w:w="1013" w:type="dxa"/>
          </w:tcPr>
          <w:p>
            <w:pPr>
              <w:pStyle w:val="TableParagraph"/>
              <w:rPr>
                <w:sz w:val="22"/>
              </w:rPr>
            </w:pPr>
            <w:r>
              <w:rPr>
                <w:sz w:val="22"/>
              </w:rPr>
              <w:t>231,200</w:t>
            </w:r>
          </w:p>
        </w:tc>
        <w:tc>
          <w:tcPr>
            <w:tcW w:w="1274" w:type="dxa"/>
          </w:tcPr>
          <w:p>
            <w:pPr>
              <w:pStyle w:val="TableParagraph"/>
              <w:rPr>
                <w:sz w:val="22"/>
              </w:rPr>
            </w:pPr>
            <w:r>
              <w:rPr>
                <w:sz w:val="22"/>
              </w:rPr>
              <w:t>9027,984</w:t>
            </w:r>
          </w:p>
        </w:tc>
        <w:tc>
          <w:tcPr>
            <w:tcW w:w="883" w:type="dxa"/>
          </w:tcPr>
          <w:p>
            <w:pPr>
              <w:pStyle w:val="TableParagraph"/>
              <w:ind w:right="63"/>
              <w:rPr>
                <w:sz w:val="22"/>
              </w:rPr>
            </w:pPr>
            <w:r>
              <w:rPr>
                <w:sz w:val="22"/>
              </w:rPr>
              <w:t>15,205</w:t>
            </w:r>
          </w:p>
        </w:tc>
        <w:tc>
          <w:tcPr>
            <w:tcW w:w="1274" w:type="dxa"/>
          </w:tcPr>
          <w:p>
            <w:pPr>
              <w:pStyle w:val="TableParagraph"/>
              <w:rPr>
                <w:sz w:val="22"/>
              </w:rPr>
            </w:pPr>
            <w:r>
              <w:rPr>
                <w:sz w:val="22"/>
              </w:rPr>
              <w:t>24730,788</w:t>
            </w:r>
          </w:p>
        </w:tc>
        <w:tc>
          <w:tcPr>
            <w:tcW w:w="1392" w:type="dxa"/>
          </w:tcPr>
          <w:p>
            <w:pPr>
              <w:pStyle w:val="TableParagraph"/>
              <w:rPr>
                <w:sz w:val="22"/>
              </w:rPr>
            </w:pPr>
            <w:r>
              <w:rPr>
                <w:sz w:val="22"/>
              </w:rPr>
              <w:t>0,05117477</w:t>
            </w:r>
          </w:p>
        </w:tc>
      </w:tr>
      <w:tr>
        <w:trPr>
          <w:trHeight w:val="310" w:hRule="exact"/>
        </w:trPr>
        <w:tc>
          <w:tcPr>
            <w:tcW w:w="782" w:type="dxa"/>
          </w:tcPr>
          <w:p>
            <w:pPr>
              <w:pStyle w:val="TableParagraph"/>
              <w:ind w:left="1" w:right="0"/>
              <w:jc w:val="center"/>
              <w:rPr>
                <w:sz w:val="22"/>
              </w:rPr>
            </w:pPr>
            <w:r>
              <w:rPr>
                <w:w w:val="100"/>
                <w:sz w:val="22"/>
              </w:rPr>
              <w:t>5</w:t>
            </w:r>
          </w:p>
        </w:tc>
        <w:tc>
          <w:tcPr>
            <w:tcW w:w="751" w:type="dxa"/>
          </w:tcPr>
          <w:p>
            <w:pPr>
              <w:pStyle w:val="TableParagraph"/>
              <w:ind w:left="45" w:right="44"/>
              <w:jc w:val="center"/>
              <w:rPr>
                <w:sz w:val="22"/>
              </w:rPr>
            </w:pPr>
            <w:r>
              <w:rPr>
                <w:sz w:val="22"/>
              </w:rPr>
              <w:t>180,21</w:t>
            </w:r>
          </w:p>
        </w:tc>
        <w:tc>
          <w:tcPr>
            <w:tcW w:w="475" w:type="dxa"/>
          </w:tcPr>
          <w:p>
            <w:pPr>
              <w:pStyle w:val="TableParagraph"/>
              <w:rPr>
                <w:sz w:val="22"/>
              </w:rPr>
            </w:pPr>
            <w:r>
              <w:rPr>
                <w:sz w:val="22"/>
              </w:rPr>
              <w:t>132</w:t>
            </w:r>
          </w:p>
        </w:tc>
        <w:tc>
          <w:tcPr>
            <w:tcW w:w="883" w:type="dxa"/>
          </w:tcPr>
          <w:p>
            <w:pPr>
              <w:pStyle w:val="TableParagraph"/>
              <w:ind w:right="63"/>
              <w:rPr>
                <w:sz w:val="22"/>
              </w:rPr>
            </w:pPr>
            <w:r>
              <w:rPr>
                <w:sz w:val="22"/>
              </w:rPr>
              <w:t>58,500</w:t>
            </w:r>
          </w:p>
        </w:tc>
        <w:tc>
          <w:tcPr>
            <w:tcW w:w="1013" w:type="dxa"/>
          </w:tcPr>
          <w:p>
            <w:pPr>
              <w:pStyle w:val="TableParagraph"/>
              <w:rPr>
                <w:sz w:val="22"/>
              </w:rPr>
            </w:pPr>
            <w:r>
              <w:rPr>
                <w:sz w:val="22"/>
              </w:rPr>
              <w:t>296,300</w:t>
            </w:r>
          </w:p>
        </w:tc>
        <w:tc>
          <w:tcPr>
            <w:tcW w:w="1274" w:type="dxa"/>
          </w:tcPr>
          <w:p>
            <w:pPr>
              <w:pStyle w:val="TableParagraph"/>
              <w:rPr>
                <w:sz w:val="22"/>
              </w:rPr>
            </w:pPr>
            <w:r>
              <w:rPr>
                <w:sz w:val="22"/>
              </w:rPr>
              <w:t>10542,285</w:t>
            </w:r>
          </w:p>
        </w:tc>
        <w:tc>
          <w:tcPr>
            <w:tcW w:w="883" w:type="dxa"/>
          </w:tcPr>
          <w:p>
            <w:pPr>
              <w:pStyle w:val="TableParagraph"/>
              <w:ind w:right="63"/>
              <w:rPr>
                <w:sz w:val="22"/>
              </w:rPr>
            </w:pPr>
            <w:r>
              <w:rPr>
                <w:sz w:val="22"/>
              </w:rPr>
              <w:t>17,213</w:t>
            </w:r>
          </w:p>
        </w:tc>
        <w:tc>
          <w:tcPr>
            <w:tcW w:w="1274" w:type="dxa"/>
          </w:tcPr>
          <w:p>
            <w:pPr>
              <w:pStyle w:val="TableParagraph"/>
              <w:rPr>
                <w:sz w:val="22"/>
              </w:rPr>
            </w:pPr>
            <w:r>
              <w:rPr>
                <w:sz w:val="22"/>
              </w:rPr>
              <w:t>19479,673</w:t>
            </w:r>
          </w:p>
        </w:tc>
        <w:tc>
          <w:tcPr>
            <w:tcW w:w="1392" w:type="dxa"/>
          </w:tcPr>
          <w:p>
            <w:pPr>
              <w:pStyle w:val="TableParagraph"/>
              <w:rPr>
                <w:sz w:val="22"/>
              </w:rPr>
            </w:pPr>
            <w:r>
              <w:rPr>
                <w:sz w:val="22"/>
              </w:rPr>
              <w:t>0,04030878</w:t>
            </w:r>
          </w:p>
        </w:tc>
      </w:tr>
      <w:tr>
        <w:trPr>
          <w:trHeight w:val="310" w:hRule="exact"/>
        </w:trPr>
        <w:tc>
          <w:tcPr>
            <w:tcW w:w="782" w:type="dxa"/>
          </w:tcPr>
          <w:p>
            <w:pPr>
              <w:pStyle w:val="TableParagraph"/>
              <w:ind w:right="1"/>
              <w:jc w:val="center"/>
              <w:rPr>
                <w:sz w:val="22"/>
              </w:rPr>
            </w:pPr>
            <w:r>
              <w:rPr>
                <w:w w:val="100"/>
                <w:sz w:val="22"/>
              </w:rPr>
              <w:t>N</w:t>
            </w:r>
          </w:p>
        </w:tc>
        <w:tc>
          <w:tcPr>
            <w:tcW w:w="751" w:type="dxa"/>
          </w:tcPr>
          <w:p>
            <w:pPr>
              <w:pStyle w:val="TableParagraph"/>
              <w:ind w:left="45" w:right="44"/>
              <w:jc w:val="center"/>
              <w:rPr>
                <w:sz w:val="22"/>
              </w:rPr>
            </w:pPr>
            <w:r>
              <w:rPr>
                <w:sz w:val="22"/>
              </w:rPr>
              <w:t>695,17</w:t>
            </w:r>
          </w:p>
        </w:tc>
        <w:tc>
          <w:tcPr>
            <w:tcW w:w="475" w:type="dxa"/>
          </w:tcPr>
          <w:p>
            <w:pPr/>
          </w:p>
        </w:tc>
        <w:tc>
          <w:tcPr>
            <w:tcW w:w="883" w:type="dxa"/>
          </w:tcPr>
          <w:p>
            <w:pPr/>
          </w:p>
        </w:tc>
        <w:tc>
          <w:tcPr>
            <w:tcW w:w="1013" w:type="dxa"/>
          </w:tcPr>
          <w:p>
            <w:pPr>
              <w:pStyle w:val="TableParagraph"/>
              <w:spacing w:before="18"/>
              <w:ind w:left="310" w:right="321"/>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74" w:type="dxa"/>
          </w:tcPr>
          <w:p>
            <w:pPr>
              <w:pStyle w:val="TableParagraph"/>
              <w:rPr>
                <w:sz w:val="22"/>
              </w:rPr>
            </w:pPr>
            <w:r>
              <w:rPr>
                <w:sz w:val="22"/>
              </w:rPr>
              <w:t>30452,889</w:t>
            </w:r>
          </w:p>
        </w:tc>
        <w:tc>
          <w:tcPr>
            <w:tcW w:w="883" w:type="dxa"/>
          </w:tcPr>
          <w:p>
            <w:pPr/>
          </w:p>
        </w:tc>
        <w:tc>
          <w:tcPr>
            <w:tcW w:w="1274" w:type="dxa"/>
          </w:tcPr>
          <w:p>
            <w:pPr>
              <w:pStyle w:val="TableParagraph"/>
              <w:rPr>
                <w:sz w:val="22"/>
              </w:rPr>
            </w:pPr>
            <w:r>
              <w:rPr>
                <w:sz w:val="22"/>
              </w:rPr>
              <w:t>65322,517</w:t>
            </w:r>
          </w:p>
        </w:tc>
        <w:tc>
          <w:tcPr>
            <w:tcW w:w="1392" w:type="dxa"/>
          </w:tcPr>
          <w:p>
            <w:pPr>
              <w:pStyle w:val="TableParagraph"/>
              <w:rPr>
                <w:sz w:val="22"/>
              </w:rPr>
            </w:pPr>
            <w:r>
              <w:rPr>
                <w:sz w:val="22"/>
              </w:rPr>
              <w:t>0,13517017</w:t>
            </w:r>
          </w:p>
        </w:tc>
      </w:tr>
      <w:tr>
        <w:trPr>
          <w:trHeight w:val="310" w:hRule="exact"/>
        </w:trPr>
        <w:tc>
          <w:tcPr>
            <w:tcW w:w="5179" w:type="dxa"/>
            <w:gridSpan w:val="6"/>
            <w:vMerge w:val="restart"/>
            <w:tcBorders>
              <w:left w:val="nil"/>
            </w:tcBorders>
          </w:tcPr>
          <w:p>
            <w:pPr/>
          </w:p>
        </w:tc>
        <w:tc>
          <w:tcPr>
            <w:tcW w:w="2158" w:type="dxa"/>
            <w:gridSpan w:val="2"/>
          </w:tcPr>
          <w:p>
            <w:pPr>
              <w:pStyle w:val="TableParagraph"/>
              <w:spacing w:before="13"/>
              <w:ind w:left="64" w:right="-8"/>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92" w:type="dxa"/>
          </w:tcPr>
          <w:p>
            <w:pPr>
              <w:pStyle w:val="TableParagraph"/>
              <w:rPr>
                <w:b/>
                <w:sz w:val="22"/>
              </w:rPr>
            </w:pPr>
            <w:r>
              <w:rPr>
                <w:b/>
                <w:sz w:val="22"/>
              </w:rPr>
              <w:t>43,806</w:t>
            </w:r>
          </w:p>
        </w:tc>
      </w:tr>
      <w:tr>
        <w:trPr>
          <w:trHeight w:val="310" w:hRule="exact"/>
        </w:trPr>
        <w:tc>
          <w:tcPr>
            <w:tcW w:w="5179" w:type="dxa"/>
            <w:gridSpan w:val="6"/>
            <w:vMerge/>
            <w:tcBorders>
              <w:left w:val="nil"/>
            </w:tcBorders>
          </w:tcPr>
          <w:p>
            <w:pPr/>
          </w:p>
        </w:tc>
        <w:tc>
          <w:tcPr>
            <w:tcW w:w="2158" w:type="dxa"/>
            <w:gridSpan w:val="2"/>
          </w:tcPr>
          <w:p>
            <w:pPr>
              <w:pStyle w:val="TableParagraph"/>
              <w:spacing w:before="13"/>
              <w:ind w:left="64" w:right="-8"/>
              <w:jc w:val="left"/>
              <w:rPr>
                <w:sz w:val="22"/>
              </w:rPr>
            </w:pPr>
            <w:r>
              <w:rPr>
                <w:sz w:val="22"/>
              </w:rPr>
              <w:t>Desviación estándar</w:t>
            </w:r>
          </w:p>
        </w:tc>
        <w:tc>
          <w:tcPr>
            <w:tcW w:w="1392" w:type="dxa"/>
          </w:tcPr>
          <w:p>
            <w:pPr>
              <w:pStyle w:val="TableParagraph"/>
              <w:rPr>
                <w:b/>
                <w:sz w:val="22"/>
              </w:rPr>
            </w:pPr>
            <w:r>
              <w:rPr>
                <w:b/>
                <w:sz w:val="22"/>
              </w:rPr>
              <w:t>0,368</w:t>
            </w:r>
          </w:p>
        </w:tc>
      </w:tr>
      <w:tr>
        <w:trPr>
          <w:trHeight w:val="312" w:hRule="exact"/>
        </w:trPr>
        <w:tc>
          <w:tcPr>
            <w:tcW w:w="5179" w:type="dxa"/>
            <w:gridSpan w:val="6"/>
            <w:vMerge/>
            <w:tcBorders>
              <w:left w:val="nil"/>
            </w:tcBorders>
          </w:tcPr>
          <w:p>
            <w:pPr/>
          </w:p>
        </w:tc>
        <w:tc>
          <w:tcPr>
            <w:tcW w:w="2158" w:type="dxa"/>
            <w:gridSpan w:val="2"/>
            <w:vMerge w:val="restart"/>
          </w:tcPr>
          <w:p>
            <w:pPr>
              <w:pStyle w:val="TableParagraph"/>
              <w:spacing w:before="35"/>
              <w:ind w:left="64" w:right="81"/>
              <w:jc w:val="left"/>
              <w:rPr>
                <w:sz w:val="22"/>
              </w:rPr>
            </w:pPr>
            <w:r>
              <w:rPr>
                <w:sz w:val="22"/>
              </w:rPr>
              <w:t>Intervalo de confianza al 95 %</w:t>
            </w:r>
          </w:p>
        </w:tc>
        <w:tc>
          <w:tcPr>
            <w:tcW w:w="1392" w:type="dxa"/>
          </w:tcPr>
          <w:p>
            <w:pPr>
              <w:pStyle w:val="TableParagraph"/>
              <w:spacing w:before="30"/>
              <w:rPr>
                <w:sz w:val="22"/>
              </w:rPr>
            </w:pPr>
            <w:r>
              <w:rPr>
                <w:sz w:val="22"/>
              </w:rPr>
              <w:t>43,09</w:t>
            </w:r>
          </w:p>
        </w:tc>
      </w:tr>
      <w:tr>
        <w:trPr>
          <w:trHeight w:val="310" w:hRule="exact"/>
        </w:trPr>
        <w:tc>
          <w:tcPr>
            <w:tcW w:w="5179" w:type="dxa"/>
            <w:gridSpan w:val="6"/>
            <w:vMerge/>
            <w:tcBorders>
              <w:left w:val="nil"/>
              <w:bottom w:val="nil"/>
            </w:tcBorders>
          </w:tcPr>
          <w:p>
            <w:pPr/>
          </w:p>
        </w:tc>
        <w:tc>
          <w:tcPr>
            <w:tcW w:w="2158" w:type="dxa"/>
            <w:gridSpan w:val="2"/>
            <w:vMerge/>
          </w:tcPr>
          <w:p>
            <w:pPr/>
          </w:p>
        </w:tc>
        <w:tc>
          <w:tcPr>
            <w:tcW w:w="1392" w:type="dxa"/>
          </w:tcPr>
          <w:p>
            <w:pPr>
              <w:pStyle w:val="TableParagraph"/>
              <w:rPr>
                <w:sz w:val="22"/>
              </w:rPr>
            </w:pPr>
            <w:r>
              <w:rPr>
                <w:sz w:val="22"/>
              </w:rPr>
              <w:t>44,53</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790"/>
        <w:gridCol w:w="494"/>
        <w:gridCol w:w="907"/>
        <w:gridCol w:w="1262"/>
        <w:gridCol w:w="1262"/>
        <w:gridCol w:w="905"/>
        <w:gridCol w:w="1500"/>
        <w:gridCol w:w="1536"/>
      </w:tblGrid>
      <w:tr>
        <w:trPr>
          <w:trHeight w:val="310" w:hRule="exact"/>
        </w:trPr>
        <w:tc>
          <w:tcPr>
            <w:tcW w:w="9650" w:type="dxa"/>
            <w:gridSpan w:val="9"/>
          </w:tcPr>
          <w:p>
            <w:pPr>
              <w:pStyle w:val="TableParagraph"/>
              <w:ind w:left="3845" w:right="3845"/>
              <w:jc w:val="center"/>
              <w:rPr>
                <w:sz w:val="22"/>
              </w:rPr>
            </w:pPr>
            <w:r>
              <w:rPr>
                <w:sz w:val="22"/>
              </w:rPr>
              <w:t>Punto de muestreo D</w:t>
            </w:r>
          </w:p>
        </w:tc>
      </w:tr>
      <w:tr>
        <w:trPr>
          <w:trHeight w:val="310" w:hRule="exact"/>
        </w:trPr>
        <w:tc>
          <w:tcPr>
            <w:tcW w:w="994" w:type="dxa"/>
          </w:tcPr>
          <w:p>
            <w:pPr>
              <w:pStyle w:val="TableParagraph"/>
              <w:spacing w:before="13"/>
              <w:ind w:left="64" w:right="0"/>
              <w:jc w:val="left"/>
              <w:rPr>
                <w:sz w:val="22"/>
              </w:rPr>
            </w:pPr>
            <w:r>
              <w:rPr>
                <w:sz w:val="22"/>
              </w:rPr>
              <w:t>Estrato</w:t>
            </w:r>
          </w:p>
        </w:tc>
        <w:tc>
          <w:tcPr>
            <w:tcW w:w="790" w:type="dxa"/>
          </w:tcPr>
          <w:p>
            <w:pPr>
              <w:pStyle w:val="TableParagraph"/>
              <w:spacing w:before="43"/>
              <w:ind w:left="25" w:right="43"/>
              <w:jc w:val="center"/>
              <w:rPr>
                <w:rFonts w:ascii="Cambria Math"/>
                <w:sz w:val="16"/>
              </w:rPr>
            </w:pPr>
            <w:r>
              <w:rPr>
                <w:rFonts w:ascii="Cambria Math"/>
                <w:w w:val="110"/>
                <w:sz w:val="22"/>
              </w:rPr>
              <w:t>N</w:t>
            </w:r>
            <w:r>
              <w:rPr>
                <w:rFonts w:ascii="Cambria Math"/>
                <w:w w:val="110"/>
                <w:position w:val="-4"/>
                <w:sz w:val="16"/>
              </w:rPr>
              <w:t>h</w:t>
            </w:r>
          </w:p>
        </w:tc>
        <w:tc>
          <w:tcPr>
            <w:tcW w:w="494" w:type="dxa"/>
          </w:tcPr>
          <w:p>
            <w:pPr>
              <w:pStyle w:val="TableParagraph"/>
              <w:spacing w:before="43"/>
              <w:ind w:left="122" w:right="0"/>
              <w:jc w:val="left"/>
              <w:rPr>
                <w:rFonts w:ascii="Cambria Math"/>
                <w:sz w:val="16"/>
              </w:rPr>
            </w:pPr>
            <w:r>
              <w:rPr>
                <w:rFonts w:ascii="Cambria Math"/>
                <w:w w:val="110"/>
                <w:sz w:val="22"/>
              </w:rPr>
              <w:t>n</w:t>
            </w:r>
            <w:r>
              <w:rPr>
                <w:rFonts w:ascii="Cambria Math"/>
                <w:w w:val="110"/>
                <w:position w:val="-4"/>
                <w:sz w:val="16"/>
              </w:rPr>
              <w:t>h</w:t>
            </w:r>
          </w:p>
        </w:tc>
        <w:tc>
          <w:tcPr>
            <w:tcW w:w="907" w:type="dxa"/>
          </w:tcPr>
          <w:p>
            <w:pPr>
              <w:pStyle w:val="TableParagraph"/>
              <w:spacing w:before="43"/>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62" w:type="dxa"/>
          </w:tcPr>
          <w:p>
            <w:pPr>
              <w:pStyle w:val="TableParagraph"/>
              <w:spacing w:line="214" w:lineRule="exact" w:before="6"/>
              <w:ind w:left="36"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262" w:type="dxa"/>
          </w:tcPr>
          <w:p>
            <w:pPr>
              <w:pStyle w:val="TableParagraph"/>
              <w:spacing w:before="19"/>
              <w:ind w:left="33"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05" w:type="dxa"/>
          </w:tcPr>
          <w:p>
            <w:pPr>
              <w:pStyle w:val="TableParagraph"/>
              <w:spacing w:before="43"/>
              <w:ind w:left="290" w:right="303"/>
              <w:jc w:val="center"/>
              <w:rPr>
                <w:rFonts w:ascii="Cambria Math"/>
                <w:sz w:val="16"/>
              </w:rPr>
            </w:pPr>
            <w:r>
              <w:rPr>
                <w:rFonts w:ascii="Cambria Math"/>
                <w:w w:val="110"/>
                <w:sz w:val="22"/>
              </w:rPr>
              <w:t>s</w:t>
            </w:r>
            <w:r>
              <w:rPr>
                <w:rFonts w:ascii="Cambria Math"/>
                <w:w w:val="110"/>
                <w:position w:val="-4"/>
                <w:sz w:val="16"/>
              </w:rPr>
              <w:t>h</w:t>
            </w:r>
          </w:p>
        </w:tc>
        <w:tc>
          <w:tcPr>
            <w:tcW w:w="1500" w:type="dxa"/>
          </w:tcPr>
          <w:p>
            <w:pPr>
              <w:pStyle w:val="TableParagraph"/>
              <w:spacing w:before="0"/>
              <w:ind w:left="41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536" w:type="dxa"/>
          </w:tcPr>
          <w:p>
            <w:pPr>
              <w:pStyle w:val="TableParagraph"/>
              <w:spacing w:before="0"/>
              <w:ind w:left="41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94" w:type="dxa"/>
          </w:tcPr>
          <w:p>
            <w:pPr>
              <w:pStyle w:val="TableParagraph"/>
              <w:spacing w:before="30"/>
              <w:ind w:right="1"/>
              <w:jc w:val="center"/>
              <w:rPr>
                <w:sz w:val="22"/>
              </w:rPr>
            </w:pPr>
            <w:r>
              <w:rPr>
                <w:w w:val="100"/>
                <w:sz w:val="22"/>
              </w:rPr>
              <w:t>1</w:t>
            </w:r>
          </w:p>
        </w:tc>
        <w:tc>
          <w:tcPr>
            <w:tcW w:w="790" w:type="dxa"/>
          </w:tcPr>
          <w:p>
            <w:pPr>
              <w:pStyle w:val="TableParagraph"/>
              <w:spacing w:before="30"/>
              <w:ind w:left="78" w:right="43"/>
              <w:jc w:val="center"/>
              <w:rPr>
                <w:sz w:val="22"/>
              </w:rPr>
            </w:pPr>
            <w:r>
              <w:rPr>
                <w:sz w:val="22"/>
              </w:rPr>
              <w:t>108,60</w:t>
            </w:r>
          </w:p>
        </w:tc>
        <w:tc>
          <w:tcPr>
            <w:tcW w:w="494" w:type="dxa"/>
          </w:tcPr>
          <w:p>
            <w:pPr>
              <w:pStyle w:val="TableParagraph"/>
              <w:spacing w:before="30"/>
              <w:ind w:left="86" w:right="0"/>
              <w:jc w:val="left"/>
              <w:rPr>
                <w:sz w:val="22"/>
              </w:rPr>
            </w:pPr>
            <w:r>
              <w:rPr>
                <w:sz w:val="22"/>
              </w:rPr>
              <w:t>108</w:t>
            </w:r>
          </w:p>
        </w:tc>
        <w:tc>
          <w:tcPr>
            <w:tcW w:w="907" w:type="dxa"/>
          </w:tcPr>
          <w:p>
            <w:pPr>
              <w:pStyle w:val="TableParagraph"/>
              <w:spacing w:before="30"/>
              <w:rPr>
                <w:sz w:val="22"/>
              </w:rPr>
            </w:pPr>
            <w:r>
              <w:rPr>
                <w:sz w:val="22"/>
              </w:rPr>
              <w:t>33,800</w:t>
            </w:r>
          </w:p>
        </w:tc>
        <w:tc>
          <w:tcPr>
            <w:tcW w:w="1262" w:type="dxa"/>
          </w:tcPr>
          <w:p>
            <w:pPr>
              <w:pStyle w:val="TableParagraph"/>
              <w:spacing w:before="30"/>
              <w:ind w:left="463" w:right="0"/>
              <w:jc w:val="left"/>
              <w:rPr>
                <w:sz w:val="22"/>
              </w:rPr>
            </w:pPr>
            <w:r>
              <w:rPr>
                <w:sz w:val="22"/>
              </w:rPr>
              <w:t>167,200</w:t>
            </w:r>
          </w:p>
        </w:tc>
        <w:tc>
          <w:tcPr>
            <w:tcW w:w="1262" w:type="dxa"/>
          </w:tcPr>
          <w:p>
            <w:pPr>
              <w:pStyle w:val="TableParagraph"/>
              <w:spacing w:before="30"/>
              <w:rPr>
                <w:sz w:val="22"/>
              </w:rPr>
            </w:pPr>
            <w:r>
              <w:rPr>
                <w:sz w:val="22"/>
              </w:rPr>
              <w:t>3670,680</w:t>
            </w:r>
          </w:p>
        </w:tc>
        <w:tc>
          <w:tcPr>
            <w:tcW w:w="905" w:type="dxa"/>
          </w:tcPr>
          <w:p>
            <w:pPr>
              <w:pStyle w:val="TableParagraph"/>
              <w:spacing w:before="30"/>
              <w:rPr>
                <w:sz w:val="22"/>
              </w:rPr>
            </w:pPr>
            <w:r>
              <w:rPr>
                <w:sz w:val="22"/>
              </w:rPr>
              <w:t>12,931</w:t>
            </w:r>
          </w:p>
        </w:tc>
        <w:tc>
          <w:tcPr>
            <w:tcW w:w="1500" w:type="dxa"/>
          </w:tcPr>
          <w:p>
            <w:pPr>
              <w:pStyle w:val="TableParagraph"/>
              <w:spacing w:before="30"/>
              <w:ind w:right="63"/>
              <w:rPr>
                <w:sz w:val="22"/>
              </w:rPr>
            </w:pPr>
            <w:r>
              <w:rPr>
                <w:sz w:val="22"/>
              </w:rPr>
              <w:t>-6104,435</w:t>
            </w:r>
          </w:p>
        </w:tc>
        <w:tc>
          <w:tcPr>
            <w:tcW w:w="1536" w:type="dxa"/>
          </w:tcPr>
          <w:p>
            <w:pPr>
              <w:pStyle w:val="TableParagraph"/>
              <w:spacing w:before="30"/>
              <w:rPr>
                <w:sz w:val="22"/>
              </w:rPr>
            </w:pPr>
            <w:r>
              <w:rPr>
                <w:sz w:val="22"/>
              </w:rPr>
              <w:t>-0,012631748</w:t>
            </w:r>
          </w:p>
        </w:tc>
      </w:tr>
      <w:tr>
        <w:trPr>
          <w:trHeight w:val="312" w:hRule="exact"/>
        </w:trPr>
        <w:tc>
          <w:tcPr>
            <w:tcW w:w="994" w:type="dxa"/>
          </w:tcPr>
          <w:p>
            <w:pPr>
              <w:pStyle w:val="TableParagraph"/>
              <w:spacing w:before="30"/>
              <w:ind w:right="1"/>
              <w:jc w:val="center"/>
              <w:rPr>
                <w:sz w:val="22"/>
              </w:rPr>
            </w:pPr>
            <w:r>
              <w:rPr>
                <w:w w:val="100"/>
                <w:sz w:val="22"/>
              </w:rPr>
              <w:t>2</w:t>
            </w:r>
          </w:p>
        </w:tc>
        <w:tc>
          <w:tcPr>
            <w:tcW w:w="790" w:type="dxa"/>
          </w:tcPr>
          <w:p>
            <w:pPr>
              <w:pStyle w:val="TableParagraph"/>
              <w:spacing w:before="30"/>
              <w:ind w:left="78" w:right="43"/>
              <w:jc w:val="center"/>
              <w:rPr>
                <w:sz w:val="22"/>
              </w:rPr>
            </w:pPr>
            <w:r>
              <w:rPr>
                <w:sz w:val="22"/>
              </w:rPr>
              <w:t>121,03</w:t>
            </w:r>
          </w:p>
        </w:tc>
        <w:tc>
          <w:tcPr>
            <w:tcW w:w="494" w:type="dxa"/>
          </w:tcPr>
          <w:p>
            <w:pPr>
              <w:pStyle w:val="TableParagraph"/>
              <w:spacing w:before="30"/>
              <w:ind w:left="196" w:right="0"/>
              <w:jc w:val="left"/>
              <w:rPr>
                <w:sz w:val="22"/>
              </w:rPr>
            </w:pPr>
            <w:r>
              <w:rPr>
                <w:sz w:val="22"/>
              </w:rPr>
              <w:t>81</w:t>
            </w:r>
          </w:p>
        </w:tc>
        <w:tc>
          <w:tcPr>
            <w:tcW w:w="907" w:type="dxa"/>
          </w:tcPr>
          <w:p>
            <w:pPr>
              <w:pStyle w:val="TableParagraph"/>
              <w:spacing w:before="30"/>
              <w:rPr>
                <w:sz w:val="22"/>
              </w:rPr>
            </w:pPr>
            <w:r>
              <w:rPr>
                <w:sz w:val="22"/>
              </w:rPr>
              <w:t>34,800</w:t>
            </w:r>
          </w:p>
        </w:tc>
        <w:tc>
          <w:tcPr>
            <w:tcW w:w="1262" w:type="dxa"/>
          </w:tcPr>
          <w:p>
            <w:pPr>
              <w:pStyle w:val="TableParagraph"/>
              <w:spacing w:before="30"/>
              <w:ind w:left="463" w:right="0"/>
              <w:jc w:val="left"/>
              <w:rPr>
                <w:sz w:val="22"/>
              </w:rPr>
            </w:pPr>
            <w:r>
              <w:rPr>
                <w:sz w:val="22"/>
              </w:rPr>
              <w:t>255,200</w:t>
            </w:r>
          </w:p>
        </w:tc>
        <w:tc>
          <w:tcPr>
            <w:tcW w:w="1262" w:type="dxa"/>
          </w:tcPr>
          <w:p>
            <w:pPr>
              <w:pStyle w:val="TableParagraph"/>
              <w:spacing w:before="30"/>
              <w:rPr>
                <w:sz w:val="22"/>
              </w:rPr>
            </w:pPr>
            <w:r>
              <w:rPr>
                <w:sz w:val="22"/>
              </w:rPr>
              <w:t>4211,844</w:t>
            </w:r>
          </w:p>
        </w:tc>
        <w:tc>
          <w:tcPr>
            <w:tcW w:w="905" w:type="dxa"/>
          </w:tcPr>
          <w:p>
            <w:pPr>
              <w:pStyle w:val="TableParagraph"/>
              <w:spacing w:before="30"/>
              <w:rPr>
                <w:sz w:val="22"/>
              </w:rPr>
            </w:pPr>
            <w:r>
              <w:rPr>
                <w:sz w:val="22"/>
              </w:rPr>
              <w:t>15,975</w:t>
            </w:r>
          </w:p>
        </w:tc>
        <w:tc>
          <w:tcPr>
            <w:tcW w:w="1500" w:type="dxa"/>
          </w:tcPr>
          <w:p>
            <w:pPr>
              <w:pStyle w:val="TableParagraph"/>
              <w:spacing w:before="30"/>
              <w:ind w:right="63"/>
              <w:rPr>
                <w:sz w:val="22"/>
              </w:rPr>
            </w:pPr>
            <w:r>
              <w:rPr>
                <w:sz w:val="22"/>
              </w:rPr>
              <w:t>15287,010</w:t>
            </w:r>
          </w:p>
        </w:tc>
        <w:tc>
          <w:tcPr>
            <w:tcW w:w="1536" w:type="dxa"/>
          </w:tcPr>
          <w:p>
            <w:pPr>
              <w:pStyle w:val="TableParagraph"/>
              <w:spacing w:before="30"/>
              <w:rPr>
                <w:sz w:val="22"/>
              </w:rPr>
            </w:pPr>
            <w:r>
              <w:rPr>
                <w:sz w:val="22"/>
              </w:rPr>
              <w:t>0,031633009</w:t>
            </w:r>
          </w:p>
        </w:tc>
      </w:tr>
      <w:tr>
        <w:trPr>
          <w:trHeight w:val="310" w:hRule="exact"/>
        </w:trPr>
        <w:tc>
          <w:tcPr>
            <w:tcW w:w="994" w:type="dxa"/>
          </w:tcPr>
          <w:p>
            <w:pPr>
              <w:pStyle w:val="TableParagraph"/>
              <w:ind w:right="1"/>
              <w:jc w:val="center"/>
              <w:rPr>
                <w:sz w:val="22"/>
              </w:rPr>
            </w:pPr>
            <w:r>
              <w:rPr>
                <w:w w:val="100"/>
                <w:sz w:val="22"/>
              </w:rPr>
              <w:t>3</w:t>
            </w:r>
          </w:p>
        </w:tc>
        <w:tc>
          <w:tcPr>
            <w:tcW w:w="790" w:type="dxa"/>
          </w:tcPr>
          <w:p>
            <w:pPr>
              <w:pStyle w:val="TableParagraph"/>
              <w:ind w:left="78" w:right="43"/>
              <w:jc w:val="center"/>
              <w:rPr>
                <w:sz w:val="22"/>
              </w:rPr>
            </w:pPr>
            <w:r>
              <w:rPr>
                <w:sz w:val="22"/>
              </w:rPr>
              <w:t>130,21</w:t>
            </w:r>
          </w:p>
        </w:tc>
        <w:tc>
          <w:tcPr>
            <w:tcW w:w="494" w:type="dxa"/>
          </w:tcPr>
          <w:p>
            <w:pPr>
              <w:pStyle w:val="TableParagraph"/>
              <w:ind w:left="196" w:right="0"/>
              <w:jc w:val="left"/>
              <w:rPr>
                <w:sz w:val="22"/>
              </w:rPr>
            </w:pPr>
            <w:r>
              <w:rPr>
                <w:sz w:val="22"/>
              </w:rPr>
              <w:t>77</w:t>
            </w:r>
          </w:p>
        </w:tc>
        <w:tc>
          <w:tcPr>
            <w:tcW w:w="907" w:type="dxa"/>
          </w:tcPr>
          <w:p>
            <w:pPr>
              <w:pStyle w:val="TableParagraph"/>
              <w:rPr>
                <w:sz w:val="22"/>
              </w:rPr>
            </w:pPr>
            <w:r>
              <w:rPr>
                <w:sz w:val="22"/>
              </w:rPr>
              <w:t>41,600</w:t>
            </w:r>
          </w:p>
        </w:tc>
        <w:tc>
          <w:tcPr>
            <w:tcW w:w="1262" w:type="dxa"/>
          </w:tcPr>
          <w:p>
            <w:pPr>
              <w:pStyle w:val="TableParagraph"/>
              <w:ind w:left="463" w:right="0"/>
              <w:jc w:val="left"/>
              <w:rPr>
                <w:sz w:val="22"/>
              </w:rPr>
            </w:pPr>
            <w:r>
              <w:rPr>
                <w:sz w:val="22"/>
              </w:rPr>
              <w:t>121,300</w:t>
            </w:r>
          </w:p>
        </w:tc>
        <w:tc>
          <w:tcPr>
            <w:tcW w:w="1262" w:type="dxa"/>
          </w:tcPr>
          <w:p>
            <w:pPr>
              <w:pStyle w:val="TableParagraph"/>
              <w:rPr>
                <w:sz w:val="22"/>
              </w:rPr>
            </w:pPr>
            <w:r>
              <w:rPr>
                <w:sz w:val="22"/>
              </w:rPr>
              <w:t>5416,736</w:t>
            </w:r>
          </w:p>
        </w:tc>
        <w:tc>
          <w:tcPr>
            <w:tcW w:w="905" w:type="dxa"/>
          </w:tcPr>
          <w:p>
            <w:pPr>
              <w:pStyle w:val="TableParagraph"/>
              <w:rPr>
                <w:sz w:val="22"/>
              </w:rPr>
            </w:pPr>
            <w:r>
              <w:rPr>
                <w:sz w:val="22"/>
              </w:rPr>
              <w:t>11,014</w:t>
            </w:r>
          </w:p>
        </w:tc>
        <w:tc>
          <w:tcPr>
            <w:tcW w:w="1500" w:type="dxa"/>
          </w:tcPr>
          <w:p>
            <w:pPr>
              <w:pStyle w:val="TableParagraph"/>
              <w:ind w:right="63"/>
              <w:rPr>
                <w:sz w:val="22"/>
              </w:rPr>
            </w:pPr>
            <w:r>
              <w:rPr>
                <w:sz w:val="22"/>
              </w:rPr>
              <w:t>11075,116</w:t>
            </w:r>
          </w:p>
        </w:tc>
        <w:tc>
          <w:tcPr>
            <w:tcW w:w="1536" w:type="dxa"/>
          </w:tcPr>
          <w:p>
            <w:pPr>
              <w:pStyle w:val="TableParagraph"/>
              <w:rPr>
                <w:sz w:val="22"/>
              </w:rPr>
            </w:pPr>
            <w:r>
              <w:rPr>
                <w:sz w:val="22"/>
              </w:rPr>
              <w:t>0,022917447</w:t>
            </w:r>
          </w:p>
        </w:tc>
      </w:tr>
      <w:tr>
        <w:trPr>
          <w:trHeight w:val="310" w:hRule="exact"/>
        </w:trPr>
        <w:tc>
          <w:tcPr>
            <w:tcW w:w="994" w:type="dxa"/>
          </w:tcPr>
          <w:p>
            <w:pPr>
              <w:pStyle w:val="TableParagraph"/>
              <w:ind w:right="1"/>
              <w:jc w:val="center"/>
              <w:rPr>
                <w:sz w:val="22"/>
              </w:rPr>
            </w:pPr>
            <w:r>
              <w:rPr>
                <w:w w:val="100"/>
                <w:sz w:val="22"/>
              </w:rPr>
              <w:t>4</w:t>
            </w:r>
          </w:p>
        </w:tc>
        <w:tc>
          <w:tcPr>
            <w:tcW w:w="790" w:type="dxa"/>
          </w:tcPr>
          <w:p>
            <w:pPr>
              <w:pStyle w:val="TableParagraph"/>
              <w:ind w:left="78" w:right="43"/>
              <w:jc w:val="center"/>
              <w:rPr>
                <w:sz w:val="22"/>
              </w:rPr>
            </w:pPr>
            <w:r>
              <w:rPr>
                <w:sz w:val="22"/>
              </w:rPr>
              <w:t>155,12</w:t>
            </w:r>
          </w:p>
        </w:tc>
        <w:tc>
          <w:tcPr>
            <w:tcW w:w="494" w:type="dxa"/>
          </w:tcPr>
          <w:p>
            <w:pPr>
              <w:pStyle w:val="TableParagraph"/>
              <w:ind w:left="196" w:right="0"/>
              <w:jc w:val="left"/>
              <w:rPr>
                <w:sz w:val="22"/>
              </w:rPr>
            </w:pPr>
            <w:r>
              <w:rPr>
                <w:sz w:val="22"/>
              </w:rPr>
              <w:t>92</w:t>
            </w:r>
          </w:p>
        </w:tc>
        <w:tc>
          <w:tcPr>
            <w:tcW w:w="907" w:type="dxa"/>
          </w:tcPr>
          <w:p>
            <w:pPr>
              <w:pStyle w:val="TableParagraph"/>
              <w:rPr>
                <w:sz w:val="22"/>
              </w:rPr>
            </w:pPr>
            <w:r>
              <w:rPr>
                <w:sz w:val="22"/>
              </w:rPr>
              <w:t>67,000</w:t>
            </w:r>
          </w:p>
        </w:tc>
        <w:tc>
          <w:tcPr>
            <w:tcW w:w="1262" w:type="dxa"/>
          </w:tcPr>
          <w:p>
            <w:pPr>
              <w:pStyle w:val="TableParagraph"/>
              <w:ind w:left="463" w:right="0"/>
              <w:jc w:val="left"/>
              <w:rPr>
                <w:sz w:val="22"/>
              </w:rPr>
            </w:pPr>
            <w:r>
              <w:rPr>
                <w:sz w:val="22"/>
              </w:rPr>
              <w:t>297,500</w:t>
            </w:r>
          </w:p>
        </w:tc>
        <w:tc>
          <w:tcPr>
            <w:tcW w:w="1262" w:type="dxa"/>
          </w:tcPr>
          <w:p>
            <w:pPr>
              <w:pStyle w:val="TableParagraph"/>
              <w:rPr>
                <w:sz w:val="22"/>
              </w:rPr>
            </w:pPr>
            <w:r>
              <w:rPr>
                <w:sz w:val="22"/>
              </w:rPr>
              <w:t>10393,040</w:t>
            </w:r>
          </w:p>
        </w:tc>
        <w:tc>
          <w:tcPr>
            <w:tcW w:w="905" w:type="dxa"/>
          </w:tcPr>
          <w:p>
            <w:pPr>
              <w:pStyle w:val="TableParagraph"/>
              <w:rPr>
                <w:sz w:val="22"/>
              </w:rPr>
            </w:pPr>
            <w:r>
              <w:rPr>
                <w:sz w:val="22"/>
              </w:rPr>
              <w:t>17,248</w:t>
            </w:r>
          </w:p>
        </w:tc>
        <w:tc>
          <w:tcPr>
            <w:tcW w:w="1500" w:type="dxa"/>
          </w:tcPr>
          <w:p>
            <w:pPr>
              <w:pStyle w:val="TableParagraph"/>
              <w:ind w:right="63"/>
              <w:rPr>
                <w:sz w:val="22"/>
              </w:rPr>
            </w:pPr>
            <w:r>
              <w:rPr>
                <w:sz w:val="22"/>
              </w:rPr>
              <w:t>31822,705</w:t>
            </w:r>
          </w:p>
        </w:tc>
        <w:tc>
          <w:tcPr>
            <w:tcW w:w="1536" w:type="dxa"/>
          </w:tcPr>
          <w:p>
            <w:pPr>
              <w:pStyle w:val="TableParagraph"/>
              <w:rPr>
                <w:sz w:val="22"/>
              </w:rPr>
            </w:pPr>
            <w:r>
              <w:rPr>
                <w:sz w:val="22"/>
              </w:rPr>
              <w:t>0,065849889</w:t>
            </w:r>
          </w:p>
        </w:tc>
      </w:tr>
      <w:tr>
        <w:trPr>
          <w:trHeight w:val="310" w:hRule="exact"/>
        </w:trPr>
        <w:tc>
          <w:tcPr>
            <w:tcW w:w="994" w:type="dxa"/>
          </w:tcPr>
          <w:p>
            <w:pPr>
              <w:pStyle w:val="TableParagraph"/>
              <w:ind w:right="1"/>
              <w:jc w:val="center"/>
              <w:rPr>
                <w:sz w:val="22"/>
              </w:rPr>
            </w:pPr>
            <w:r>
              <w:rPr>
                <w:w w:val="100"/>
                <w:sz w:val="22"/>
              </w:rPr>
              <w:t>5</w:t>
            </w:r>
          </w:p>
        </w:tc>
        <w:tc>
          <w:tcPr>
            <w:tcW w:w="790" w:type="dxa"/>
          </w:tcPr>
          <w:p>
            <w:pPr>
              <w:pStyle w:val="TableParagraph"/>
              <w:ind w:left="78" w:right="43"/>
              <w:jc w:val="center"/>
              <w:rPr>
                <w:sz w:val="22"/>
              </w:rPr>
            </w:pPr>
            <w:r>
              <w:rPr>
                <w:sz w:val="22"/>
              </w:rPr>
              <w:t>180,21</w:t>
            </w:r>
          </w:p>
        </w:tc>
        <w:tc>
          <w:tcPr>
            <w:tcW w:w="494" w:type="dxa"/>
          </w:tcPr>
          <w:p>
            <w:pPr>
              <w:pStyle w:val="TableParagraph"/>
              <w:ind w:left="86" w:right="0"/>
              <w:jc w:val="left"/>
              <w:rPr>
                <w:sz w:val="22"/>
              </w:rPr>
            </w:pPr>
            <w:r>
              <w:rPr>
                <w:sz w:val="22"/>
              </w:rPr>
              <w:t>132</w:t>
            </w:r>
          </w:p>
        </w:tc>
        <w:tc>
          <w:tcPr>
            <w:tcW w:w="907" w:type="dxa"/>
          </w:tcPr>
          <w:p>
            <w:pPr>
              <w:pStyle w:val="TableParagraph"/>
              <w:rPr>
                <w:sz w:val="22"/>
              </w:rPr>
            </w:pPr>
            <w:r>
              <w:rPr>
                <w:sz w:val="22"/>
              </w:rPr>
              <w:t>67,500</w:t>
            </w:r>
          </w:p>
        </w:tc>
        <w:tc>
          <w:tcPr>
            <w:tcW w:w="1262" w:type="dxa"/>
          </w:tcPr>
          <w:p>
            <w:pPr>
              <w:pStyle w:val="TableParagraph"/>
              <w:ind w:left="463" w:right="0"/>
              <w:jc w:val="left"/>
              <w:rPr>
                <w:sz w:val="22"/>
              </w:rPr>
            </w:pPr>
            <w:r>
              <w:rPr>
                <w:sz w:val="22"/>
              </w:rPr>
              <w:t>414,700</w:t>
            </w:r>
          </w:p>
        </w:tc>
        <w:tc>
          <w:tcPr>
            <w:tcW w:w="1262" w:type="dxa"/>
          </w:tcPr>
          <w:p>
            <w:pPr>
              <w:pStyle w:val="TableParagraph"/>
              <w:rPr>
                <w:sz w:val="22"/>
              </w:rPr>
            </w:pPr>
            <w:r>
              <w:rPr>
                <w:sz w:val="22"/>
              </w:rPr>
              <w:t>12164,175</w:t>
            </w:r>
          </w:p>
        </w:tc>
        <w:tc>
          <w:tcPr>
            <w:tcW w:w="905" w:type="dxa"/>
          </w:tcPr>
          <w:p>
            <w:pPr>
              <w:pStyle w:val="TableParagraph"/>
              <w:rPr>
                <w:sz w:val="22"/>
              </w:rPr>
            </w:pPr>
            <w:r>
              <w:rPr>
                <w:sz w:val="22"/>
              </w:rPr>
              <w:t>20,364</w:t>
            </w:r>
          </w:p>
        </w:tc>
        <w:tc>
          <w:tcPr>
            <w:tcW w:w="1500" w:type="dxa"/>
          </w:tcPr>
          <w:p>
            <w:pPr>
              <w:pStyle w:val="TableParagraph"/>
              <w:ind w:right="63"/>
              <w:rPr>
                <w:sz w:val="22"/>
              </w:rPr>
            </w:pPr>
            <w:r>
              <w:rPr>
                <w:sz w:val="22"/>
              </w:rPr>
              <w:t>27263,653</w:t>
            </w:r>
          </w:p>
        </w:tc>
        <w:tc>
          <w:tcPr>
            <w:tcW w:w="1536" w:type="dxa"/>
          </w:tcPr>
          <w:p>
            <w:pPr>
              <w:pStyle w:val="TableParagraph"/>
              <w:rPr>
                <w:sz w:val="22"/>
              </w:rPr>
            </w:pPr>
            <w:r>
              <w:rPr>
                <w:sz w:val="22"/>
              </w:rPr>
              <w:t>0,056415963</w:t>
            </w:r>
          </w:p>
        </w:tc>
      </w:tr>
      <w:tr>
        <w:trPr>
          <w:trHeight w:val="310" w:hRule="exact"/>
        </w:trPr>
        <w:tc>
          <w:tcPr>
            <w:tcW w:w="994" w:type="dxa"/>
          </w:tcPr>
          <w:p>
            <w:pPr>
              <w:pStyle w:val="TableParagraph"/>
              <w:ind w:right="1"/>
              <w:jc w:val="center"/>
              <w:rPr>
                <w:sz w:val="22"/>
              </w:rPr>
            </w:pPr>
            <w:r>
              <w:rPr>
                <w:w w:val="100"/>
                <w:sz w:val="22"/>
              </w:rPr>
              <w:t>N</w:t>
            </w:r>
          </w:p>
        </w:tc>
        <w:tc>
          <w:tcPr>
            <w:tcW w:w="790" w:type="dxa"/>
          </w:tcPr>
          <w:p>
            <w:pPr>
              <w:pStyle w:val="TableParagraph"/>
              <w:ind w:left="78" w:right="43"/>
              <w:jc w:val="center"/>
              <w:rPr>
                <w:sz w:val="22"/>
              </w:rPr>
            </w:pPr>
            <w:r>
              <w:rPr>
                <w:sz w:val="22"/>
              </w:rPr>
              <w:t>695,17</w:t>
            </w:r>
          </w:p>
        </w:tc>
        <w:tc>
          <w:tcPr>
            <w:tcW w:w="494" w:type="dxa"/>
          </w:tcPr>
          <w:p>
            <w:pPr/>
          </w:p>
        </w:tc>
        <w:tc>
          <w:tcPr>
            <w:tcW w:w="907" w:type="dxa"/>
          </w:tcPr>
          <w:p>
            <w:pPr/>
          </w:p>
        </w:tc>
        <w:tc>
          <w:tcPr>
            <w:tcW w:w="1262" w:type="dxa"/>
          </w:tcPr>
          <w:p>
            <w:pPr>
              <w:pStyle w:val="TableParagraph"/>
              <w:spacing w:before="18"/>
              <w:ind w:left="460"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62" w:type="dxa"/>
          </w:tcPr>
          <w:p>
            <w:pPr>
              <w:pStyle w:val="TableParagraph"/>
              <w:rPr>
                <w:sz w:val="22"/>
              </w:rPr>
            </w:pPr>
            <w:r>
              <w:rPr>
                <w:sz w:val="22"/>
              </w:rPr>
              <w:t>35856,475</w:t>
            </w:r>
          </w:p>
        </w:tc>
        <w:tc>
          <w:tcPr>
            <w:tcW w:w="905" w:type="dxa"/>
          </w:tcPr>
          <w:p>
            <w:pPr/>
          </w:p>
        </w:tc>
        <w:tc>
          <w:tcPr>
            <w:tcW w:w="1500" w:type="dxa"/>
          </w:tcPr>
          <w:p>
            <w:pPr>
              <w:pStyle w:val="TableParagraph"/>
              <w:ind w:right="63"/>
              <w:rPr>
                <w:sz w:val="22"/>
              </w:rPr>
            </w:pPr>
            <w:r>
              <w:rPr>
                <w:sz w:val="22"/>
              </w:rPr>
              <w:t>79344,049</w:t>
            </w:r>
          </w:p>
        </w:tc>
        <w:tc>
          <w:tcPr>
            <w:tcW w:w="1536" w:type="dxa"/>
          </w:tcPr>
          <w:p>
            <w:pPr>
              <w:pStyle w:val="TableParagraph"/>
              <w:rPr>
                <w:sz w:val="22"/>
              </w:rPr>
            </w:pPr>
            <w:r>
              <w:rPr>
                <w:sz w:val="22"/>
              </w:rPr>
              <w:t>0,164184561</w:t>
            </w:r>
          </w:p>
        </w:tc>
      </w:tr>
      <w:tr>
        <w:trPr>
          <w:trHeight w:val="310" w:hRule="exact"/>
        </w:trPr>
        <w:tc>
          <w:tcPr>
            <w:tcW w:w="5710" w:type="dxa"/>
            <w:gridSpan w:val="6"/>
            <w:vMerge w:val="restart"/>
            <w:tcBorders>
              <w:left w:val="nil"/>
            </w:tcBorders>
          </w:tcPr>
          <w:p>
            <w:pPr/>
          </w:p>
        </w:tc>
        <w:tc>
          <w:tcPr>
            <w:tcW w:w="2405" w:type="dxa"/>
            <w:gridSpan w:val="2"/>
          </w:tcPr>
          <w:p>
            <w:pPr>
              <w:pStyle w:val="TableParagraph"/>
              <w:spacing w:before="13"/>
              <w:ind w:left="62" w:right="125"/>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36" w:type="dxa"/>
          </w:tcPr>
          <w:p>
            <w:pPr>
              <w:pStyle w:val="TableParagraph"/>
              <w:spacing w:before="30"/>
              <w:rPr>
                <w:b/>
                <w:sz w:val="22"/>
              </w:rPr>
            </w:pPr>
            <w:r>
              <w:rPr>
                <w:b/>
                <w:sz w:val="22"/>
              </w:rPr>
              <w:t>51,579</w:t>
            </w:r>
          </w:p>
        </w:tc>
      </w:tr>
      <w:tr>
        <w:trPr>
          <w:trHeight w:val="312" w:hRule="exact"/>
        </w:trPr>
        <w:tc>
          <w:tcPr>
            <w:tcW w:w="5710" w:type="dxa"/>
            <w:gridSpan w:val="6"/>
            <w:vMerge/>
            <w:tcBorders>
              <w:left w:val="nil"/>
            </w:tcBorders>
          </w:tcPr>
          <w:p>
            <w:pPr/>
          </w:p>
        </w:tc>
        <w:tc>
          <w:tcPr>
            <w:tcW w:w="2405" w:type="dxa"/>
            <w:gridSpan w:val="2"/>
          </w:tcPr>
          <w:p>
            <w:pPr>
              <w:pStyle w:val="TableParagraph"/>
              <w:spacing w:before="13"/>
              <w:ind w:left="62" w:right="125"/>
              <w:jc w:val="left"/>
              <w:rPr>
                <w:sz w:val="22"/>
              </w:rPr>
            </w:pPr>
            <w:r>
              <w:rPr>
                <w:sz w:val="22"/>
              </w:rPr>
              <w:t>Desviación estándar</w:t>
            </w:r>
          </w:p>
        </w:tc>
        <w:tc>
          <w:tcPr>
            <w:tcW w:w="1536" w:type="dxa"/>
          </w:tcPr>
          <w:p>
            <w:pPr>
              <w:pStyle w:val="TableParagraph"/>
              <w:spacing w:before="30"/>
              <w:rPr>
                <w:b/>
                <w:sz w:val="22"/>
              </w:rPr>
            </w:pPr>
            <w:r>
              <w:rPr>
                <w:b/>
                <w:sz w:val="22"/>
              </w:rPr>
              <w:t>0,405</w:t>
            </w:r>
          </w:p>
        </w:tc>
      </w:tr>
      <w:tr>
        <w:trPr>
          <w:trHeight w:val="310" w:hRule="exact"/>
        </w:trPr>
        <w:tc>
          <w:tcPr>
            <w:tcW w:w="5710" w:type="dxa"/>
            <w:gridSpan w:val="6"/>
            <w:vMerge/>
            <w:tcBorders>
              <w:left w:val="nil"/>
            </w:tcBorders>
          </w:tcPr>
          <w:p>
            <w:pPr/>
          </w:p>
        </w:tc>
        <w:tc>
          <w:tcPr>
            <w:tcW w:w="2405" w:type="dxa"/>
            <w:gridSpan w:val="2"/>
            <w:vMerge w:val="restart"/>
          </w:tcPr>
          <w:p>
            <w:pPr>
              <w:pStyle w:val="TableParagraph"/>
              <w:spacing w:before="33"/>
              <w:ind w:left="62" w:right="125"/>
              <w:jc w:val="left"/>
              <w:rPr>
                <w:sz w:val="22"/>
              </w:rPr>
            </w:pPr>
            <w:r>
              <w:rPr>
                <w:sz w:val="22"/>
              </w:rPr>
              <w:t>Intervalo de confianza al 95 %</w:t>
            </w:r>
          </w:p>
        </w:tc>
        <w:tc>
          <w:tcPr>
            <w:tcW w:w="1536" w:type="dxa"/>
          </w:tcPr>
          <w:p>
            <w:pPr>
              <w:pStyle w:val="TableParagraph"/>
              <w:rPr>
                <w:sz w:val="22"/>
              </w:rPr>
            </w:pPr>
            <w:r>
              <w:rPr>
                <w:sz w:val="22"/>
              </w:rPr>
              <w:t>50,79</w:t>
            </w:r>
          </w:p>
        </w:tc>
      </w:tr>
      <w:tr>
        <w:trPr>
          <w:trHeight w:val="310" w:hRule="exact"/>
        </w:trPr>
        <w:tc>
          <w:tcPr>
            <w:tcW w:w="5710" w:type="dxa"/>
            <w:gridSpan w:val="6"/>
            <w:vMerge/>
            <w:tcBorders>
              <w:left w:val="nil"/>
              <w:bottom w:val="nil"/>
            </w:tcBorders>
          </w:tcPr>
          <w:p>
            <w:pPr/>
          </w:p>
        </w:tc>
        <w:tc>
          <w:tcPr>
            <w:tcW w:w="2405" w:type="dxa"/>
            <w:gridSpan w:val="2"/>
            <w:vMerge/>
          </w:tcPr>
          <w:p>
            <w:pPr/>
          </w:p>
        </w:tc>
        <w:tc>
          <w:tcPr>
            <w:tcW w:w="1536" w:type="dxa"/>
          </w:tcPr>
          <w:p>
            <w:pPr>
              <w:pStyle w:val="TableParagraph"/>
              <w:rPr>
                <w:sz w:val="22"/>
              </w:rPr>
            </w:pPr>
            <w:r>
              <w:rPr>
                <w:sz w:val="22"/>
              </w:rPr>
              <w:t>52,37</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790"/>
        <w:gridCol w:w="494"/>
        <w:gridCol w:w="907"/>
        <w:gridCol w:w="1262"/>
        <w:gridCol w:w="1262"/>
        <w:gridCol w:w="905"/>
        <w:gridCol w:w="1500"/>
        <w:gridCol w:w="1536"/>
      </w:tblGrid>
      <w:tr>
        <w:trPr>
          <w:trHeight w:val="310" w:hRule="exact"/>
        </w:trPr>
        <w:tc>
          <w:tcPr>
            <w:tcW w:w="9650" w:type="dxa"/>
            <w:gridSpan w:val="9"/>
          </w:tcPr>
          <w:p>
            <w:pPr>
              <w:pStyle w:val="TableParagraph"/>
              <w:ind w:left="3845" w:right="3844"/>
              <w:jc w:val="center"/>
              <w:rPr>
                <w:sz w:val="22"/>
              </w:rPr>
            </w:pPr>
            <w:r>
              <w:rPr>
                <w:sz w:val="22"/>
              </w:rPr>
              <w:t>Punto de muestreo E</w:t>
            </w:r>
          </w:p>
        </w:tc>
      </w:tr>
      <w:tr>
        <w:trPr>
          <w:trHeight w:val="310" w:hRule="exact"/>
        </w:trPr>
        <w:tc>
          <w:tcPr>
            <w:tcW w:w="994" w:type="dxa"/>
          </w:tcPr>
          <w:p>
            <w:pPr>
              <w:pStyle w:val="TableParagraph"/>
              <w:spacing w:before="13"/>
              <w:ind w:left="64" w:right="0"/>
              <w:jc w:val="left"/>
              <w:rPr>
                <w:sz w:val="22"/>
              </w:rPr>
            </w:pPr>
            <w:r>
              <w:rPr>
                <w:sz w:val="22"/>
              </w:rPr>
              <w:t>Estrato</w:t>
            </w:r>
          </w:p>
        </w:tc>
        <w:tc>
          <w:tcPr>
            <w:tcW w:w="790" w:type="dxa"/>
          </w:tcPr>
          <w:p>
            <w:pPr>
              <w:pStyle w:val="TableParagraph"/>
              <w:spacing w:before="43"/>
              <w:ind w:left="25" w:right="43"/>
              <w:jc w:val="center"/>
              <w:rPr>
                <w:rFonts w:ascii="Cambria Math"/>
                <w:sz w:val="16"/>
              </w:rPr>
            </w:pPr>
            <w:r>
              <w:rPr>
                <w:rFonts w:ascii="Cambria Math"/>
                <w:w w:val="110"/>
                <w:sz w:val="22"/>
              </w:rPr>
              <w:t>N</w:t>
            </w:r>
            <w:r>
              <w:rPr>
                <w:rFonts w:ascii="Cambria Math"/>
                <w:w w:val="110"/>
                <w:position w:val="-4"/>
                <w:sz w:val="16"/>
              </w:rPr>
              <w:t>h</w:t>
            </w:r>
          </w:p>
        </w:tc>
        <w:tc>
          <w:tcPr>
            <w:tcW w:w="494" w:type="dxa"/>
          </w:tcPr>
          <w:p>
            <w:pPr>
              <w:pStyle w:val="TableParagraph"/>
              <w:spacing w:before="43"/>
              <w:ind w:left="122" w:right="0"/>
              <w:jc w:val="left"/>
              <w:rPr>
                <w:rFonts w:ascii="Cambria Math"/>
                <w:sz w:val="16"/>
              </w:rPr>
            </w:pPr>
            <w:r>
              <w:rPr>
                <w:rFonts w:ascii="Cambria Math"/>
                <w:w w:val="110"/>
                <w:sz w:val="22"/>
              </w:rPr>
              <w:t>n</w:t>
            </w:r>
            <w:r>
              <w:rPr>
                <w:rFonts w:ascii="Cambria Math"/>
                <w:w w:val="110"/>
                <w:position w:val="-4"/>
                <w:sz w:val="16"/>
              </w:rPr>
              <w:t>h</w:t>
            </w:r>
          </w:p>
        </w:tc>
        <w:tc>
          <w:tcPr>
            <w:tcW w:w="907" w:type="dxa"/>
          </w:tcPr>
          <w:p>
            <w:pPr>
              <w:pStyle w:val="TableParagraph"/>
              <w:spacing w:before="43"/>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62" w:type="dxa"/>
          </w:tcPr>
          <w:p>
            <w:pPr>
              <w:pStyle w:val="TableParagraph"/>
              <w:spacing w:line="214" w:lineRule="exact" w:before="6"/>
              <w:ind w:left="36"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262" w:type="dxa"/>
          </w:tcPr>
          <w:p>
            <w:pPr>
              <w:pStyle w:val="TableParagraph"/>
              <w:spacing w:before="19"/>
              <w:ind w:left="33"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05" w:type="dxa"/>
          </w:tcPr>
          <w:p>
            <w:pPr>
              <w:pStyle w:val="TableParagraph"/>
              <w:spacing w:before="43"/>
              <w:ind w:left="290" w:right="303"/>
              <w:jc w:val="center"/>
              <w:rPr>
                <w:rFonts w:ascii="Cambria Math"/>
                <w:sz w:val="16"/>
              </w:rPr>
            </w:pPr>
            <w:r>
              <w:rPr>
                <w:rFonts w:ascii="Cambria Math"/>
                <w:w w:val="110"/>
                <w:sz w:val="22"/>
              </w:rPr>
              <w:t>s</w:t>
            </w:r>
            <w:r>
              <w:rPr>
                <w:rFonts w:ascii="Cambria Math"/>
                <w:w w:val="110"/>
                <w:position w:val="-4"/>
                <w:sz w:val="16"/>
              </w:rPr>
              <w:t>h</w:t>
            </w:r>
          </w:p>
        </w:tc>
        <w:tc>
          <w:tcPr>
            <w:tcW w:w="1500" w:type="dxa"/>
          </w:tcPr>
          <w:p>
            <w:pPr>
              <w:pStyle w:val="TableParagraph"/>
              <w:spacing w:before="0"/>
              <w:ind w:left="41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536" w:type="dxa"/>
          </w:tcPr>
          <w:p>
            <w:pPr>
              <w:pStyle w:val="TableParagraph"/>
              <w:spacing w:before="0"/>
              <w:ind w:left="41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994" w:type="dxa"/>
          </w:tcPr>
          <w:p>
            <w:pPr>
              <w:pStyle w:val="TableParagraph"/>
              <w:spacing w:before="30"/>
              <w:ind w:right="1"/>
              <w:jc w:val="center"/>
              <w:rPr>
                <w:sz w:val="22"/>
              </w:rPr>
            </w:pPr>
            <w:r>
              <w:rPr>
                <w:w w:val="100"/>
                <w:sz w:val="22"/>
              </w:rPr>
              <w:t>1</w:t>
            </w:r>
          </w:p>
        </w:tc>
        <w:tc>
          <w:tcPr>
            <w:tcW w:w="790" w:type="dxa"/>
          </w:tcPr>
          <w:p>
            <w:pPr>
              <w:pStyle w:val="TableParagraph"/>
              <w:spacing w:before="30"/>
              <w:ind w:left="78" w:right="43"/>
              <w:jc w:val="center"/>
              <w:rPr>
                <w:sz w:val="22"/>
              </w:rPr>
            </w:pPr>
            <w:r>
              <w:rPr>
                <w:sz w:val="22"/>
              </w:rPr>
              <w:t>108,60</w:t>
            </w:r>
          </w:p>
        </w:tc>
        <w:tc>
          <w:tcPr>
            <w:tcW w:w="494" w:type="dxa"/>
          </w:tcPr>
          <w:p>
            <w:pPr>
              <w:pStyle w:val="TableParagraph"/>
              <w:spacing w:before="30"/>
              <w:ind w:left="86" w:right="0"/>
              <w:jc w:val="left"/>
              <w:rPr>
                <w:sz w:val="22"/>
              </w:rPr>
            </w:pPr>
            <w:r>
              <w:rPr>
                <w:sz w:val="22"/>
              </w:rPr>
              <w:t>108</w:t>
            </w:r>
          </w:p>
        </w:tc>
        <w:tc>
          <w:tcPr>
            <w:tcW w:w="907" w:type="dxa"/>
          </w:tcPr>
          <w:p>
            <w:pPr>
              <w:pStyle w:val="TableParagraph"/>
              <w:spacing w:before="30"/>
              <w:rPr>
                <w:sz w:val="22"/>
              </w:rPr>
            </w:pPr>
            <w:r>
              <w:rPr>
                <w:sz w:val="22"/>
              </w:rPr>
              <w:t>44,800</w:t>
            </w:r>
          </w:p>
        </w:tc>
        <w:tc>
          <w:tcPr>
            <w:tcW w:w="1262" w:type="dxa"/>
          </w:tcPr>
          <w:p>
            <w:pPr>
              <w:pStyle w:val="TableParagraph"/>
              <w:spacing w:before="30"/>
              <w:rPr>
                <w:sz w:val="22"/>
              </w:rPr>
            </w:pPr>
            <w:r>
              <w:rPr>
                <w:sz w:val="22"/>
              </w:rPr>
              <w:t>1042,700</w:t>
            </w:r>
          </w:p>
        </w:tc>
        <w:tc>
          <w:tcPr>
            <w:tcW w:w="1262" w:type="dxa"/>
          </w:tcPr>
          <w:p>
            <w:pPr>
              <w:pStyle w:val="TableParagraph"/>
              <w:spacing w:before="30"/>
              <w:rPr>
                <w:sz w:val="22"/>
              </w:rPr>
            </w:pPr>
            <w:r>
              <w:rPr>
                <w:sz w:val="22"/>
              </w:rPr>
              <w:t>4865,280</w:t>
            </w:r>
          </w:p>
        </w:tc>
        <w:tc>
          <w:tcPr>
            <w:tcW w:w="905" w:type="dxa"/>
          </w:tcPr>
          <w:p>
            <w:pPr>
              <w:pStyle w:val="TableParagraph"/>
              <w:spacing w:before="30"/>
              <w:rPr>
                <w:sz w:val="22"/>
              </w:rPr>
            </w:pPr>
            <w:r>
              <w:rPr>
                <w:sz w:val="22"/>
              </w:rPr>
              <w:t>32,291</w:t>
            </w:r>
          </w:p>
        </w:tc>
        <w:tc>
          <w:tcPr>
            <w:tcW w:w="1500" w:type="dxa"/>
          </w:tcPr>
          <w:p>
            <w:pPr>
              <w:pStyle w:val="TableParagraph"/>
              <w:spacing w:before="30"/>
              <w:ind w:right="63"/>
              <w:rPr>
                <w:sz w:val="22"/>
              </w:rPr>
            </w:pPr>
            <w:r>
              <w:rPr>
                <w:sz w:val="22"/>
              </w:rPr>
              <w:t>-38068,748</w:t>
            </w:r>
          </w:p>
        </w:tc>
        <w:tc>
          <w:tcPr>
            <w:tcW w:w="1536" w:type="dxa"/>
          </w:tcPr>
          <w:p>
            <w:pPr>
              <w:pStyle w:val="TableParagraph"/>
              <w:spacing w:before="30"/>
              <w:rPr>
                <w:sz w:val="22"/>
              </w:rPr>
            </w:pPr>
            <w:r>
              <w:rPr>
                <w:sz w:val="22"/>
              </w:rPr>
              <w:t>-0,078774661</w:t>
            </w:r>
          </w:p>
        </w:tc>
      </w:tr>
      <w:tr>
        <w:trPr>
          <w:trHeight w:val="310" w:hRule="exact"/>
        </w:trPr>
        <w:tc>
          <w:tcPr>
            <w:tcW w:w="994" w:type="dxa"/>
          </w:tcPr>
          <w:p>
            <w:pPr>
              <w:pStyle w:val="TableParagraph"/>
              <w:ind w:right="1"/>
              <w:jc w:val="center"/>
              <w:rPr>
                <w:sz w:val="22"/>
              </w:rPr>
            </w:pPr>
            <w:r>
              <w:rPr>
                <w:w w:val="100"/>
                <w:sz w:val="22"/>
              </w:rPr>
              <w:t>2</w:t>
            </w:r>
          </w:p>
        </w:tc>
        <w:tc>
          <w:tcPr>
            <w:tcW w:w="790" w:type="dxa"/>
          </w:tcPr>
          <w:p>
            <w:pPr>
              <w:pStyle w:val="TableParagraph"/>
              <w:ind w:left="78" w:right="43"/>
              <w:jc w:val="center"/>
              <w:rPr>
                <w:sz w:val="22"/>
              </w:rPr>
            </w:pPr>
            <w:r>
              <w:rPr>
                <w:sz w:val="22"/>
              </w:rPr>
              <w:t>121,03</w:t>
            </w:r>
          </w:p>
        </w:tc>
        <w:tc>
          <w:tcPr>
            <w:tcW w:w="494" w:type="dxa"/>
          </w:tcPr>
          <w:p>
            <w:pPr>
              <w:pStyle w:val="TableParagraph"/>
              <w:ind w:left="196" w:right="0"/>
              <w:jc w:val="left"/>
              <w:rPr>
                <w:sz w:val="22"/>
              </w:rPr>
            </w:pPr>
            <w:r>
              <w:rPr>
                <w:sz w:val="22"/>
              </w:rPr>
              <w:t>81</w:t>
            </w:r>
          </w:p>
        </w:tc>
        <w:tc>
          <w:tcPr>
            <w:tcW w:w="907" w:type="dxa"/>
          </w:tcPr>
          <w:p>
            <w:pPr>
              <w:pStyle w:val="TableParagraph"/>
              <w:rPr>
                <w:sz w:val="22"/>
              </w:rPr>
            </w:pPr>
            <w:r>
              <w:rPr>
                <w:sz w:val="22"/>
              </w:rPr>
              <w:t>57,800</w:t>
            </w:r>
          </w:p>
        </w:tc>
        <w:tc>
          <w:tcPr>
            <w:tcW w:w="1262" w:type="dxa"/>
          </w:tcPr>
          <w:p>
            <w:pPr>
              <w:pStyle w:val="TableParagraph"/>
              <w:rPr>
                <w:sz w:val="22"/>
              </w:rPr>
            </w:pPr>
            <w:r>
              <w:rPr>
                <w:sz w:val="22"/>
              </w:rPr>
              <w:t>1037,700</w:t>
            </w:r>
          </w:p>
        </w:tc>
        <w:tc>
          <w:tcPr>
            <w:tcW w:w="1262" w:type="dxa"/>
          </w:tcPr>
          <w:p>
            <w:pPr>
              <w:pStyle w:val="TableParagraph"/>
              <w:rPr>
                <w:sz w:val="22"/>
              </w:rPr>
            </w:pPr>
            <w:r>
              <w:rPr>
                <w:sz w:val="22"/>
              </w:rPr>
              <w:t>6995,534</w:t>
            </w:r>
          </w:p>
        </w:tc>
        <w:tc>
          <w:tcPr>
            <w:tcW w:w="905" w:type="dxa"/>
          </w:tcPr>
          <w:p>
            <w:pPr>
              <w:pStyle w:val="TableParagraph"/>
              <w:rPr>
                <w:sz w:val="22"/>
              </w:rPr>
            </w:pPr>
            <w:r>
              <w:rPr>
                <w:sz w:val="22"/>
              </w:rPr>
              <w:t>32,213</w:t>
            </w:r>
          </w:p>
        </w:tc>
        <w:tc>
          <w:tcPr>
            <w:tcW w:w="1500" w:type="dxa"/>
          </w:tcPr>
          <w:p>
            <w:pPr>
              <w:pStyle w:val="TableParagraph"/>
              <w:ind w:right="63"/>
              <w:rPr>
                <w:sz w:val="22"/>
              </w:rPr>
            </w:pPr>
            <w:r>
              <w:rPr>
                <w:sz w:val="22"/>
              </w:rPr>
              <w:t>62160,385</w:t>
            </w:r>
          </w:p>
        </w:tc>
        <w:tc>
          <w:tcPr>
            <w:tcW w:w="1536" w:type="dxa"/>
          </w:tcPr>
          <w:p>
            <w:pPr>
              <w:pStyle w:val="TableParagraph"/>
              <w:rPr>
                <w:sz w:val="22"/>
              </w:rPr>
            </w:pPr>
            <w:r>
              <w:rPr>
                <w:sz w:val="22"/>
              </w:rPr>
              <w:t>0,128626854</w:t>
            </w:r>
          </w:p>
        </w:tc>
      </w:tr>
      <w:tr>
        <w:trPr>
          <w:trHeight w:val="310" w:hRule="exact"/>
        </w:trPr>
        <w:tc>
          <w:tcPr>
            <w:tcW w:w="994" w:type="dxa"/>
          </w:tcPr>
          <w:p>
            <w:pPr>
              <w:pStyle w:val="TableParagraph"/>
              <w:ind w:right="1"/>
              <w:jc w:val="center"/>
              <w:rPr>
                <w:sz w:val="22"/>
              </w:rPr>
            </w:pPr>
            <w:r>
              <w:rPr>
                <w:w w:val="100"/>
                <w:sz w:val="22"/>
              </w:rPr>
              <w:t>3</w:t>
            </w:r>
          </w:p>
        </w:tc>
        <w:tc>
          <w:tcPr>
            <w:tcW w:w="790" w:type="dxa"/>
          </w:tcPr>
          <w:p>
            <w:pPr>
              <w:pStyle w:val="TableParagraph"/>
              <w:ind w:left="78" w:right="43"/>
              <w:jc w:val="center"/>
              <w:rPr>
                <w:sz w:val="22"/>
              </w:rPr>
            </w:pPr>
            <w:r>
              <w:rPr>
                <w:sz w:val="22"/>
              </w:rPr>
              <w:t>130,21</w:t>
            </w:r>
          </w:p>
        </w:tc>
        <w:tc>
          <w:tcPr>
            <w:tcW w:w="494" w:type="dxa"/>
          </w:tcPr>
          <w:p>
            <w:pPr>
              <w:pStyle w:val="TableParagraph"/>
              <w:ind w:left="196" w:right="0"/>
              <w:jc w:val="left"/>
              <w:rPr>
                <w:sz w:val="22"/>
              </w:rPr>
            </w:pPr>
            <w:r>
              <w:rPr>
                <w:sz w:val="22"/>
              </w:rPr>
              <w:t>77</w:t>
            </w:r>
          </w:p>
        </w:tc>
        <w:tc>
          <w:tcPr>
            <w:tcW w:w="907" w:type="dxa"/>
          </w:tcPr>
          <w:p>
            <w:pPr>
              <w:pStyle w:val="TableParagraph"/>
              <w:rPr>
                <w:sz w:val="22"/>
              </w:rPr>
            </w:pPr>
            <w:r>
              <w:rPr>
                <w:sz w:val="22"/>
              </w:rPr>
              <w:t>42,000</w:t>
            </w:r>
          </w:p>
        </w:tc>
        <w:tc>
          <w:tcPr>
            <w:tcW w:w="1262" w:type="dxa"/>
          </w:tcPr>
          <w:p>
            <w:pPr>
              <w:pStyle w:val="TableParagraph"/>
              <w:rPr>
                <w:sz w:val="22"/>
              </w:rPr>
            </w:pPr>
            <w:r>
              <w:rPr>
                <w:sz w:val="22"/>
              </w:rPr>
              <w:t>264,500</w:t>
            </w:r>
          </w:p>
        </w:tc>
        <w:tc>
          <w:tcPr>
            <w:tcW w:w="1262" w:type="dxa"/>
          </w:tcPr>
          <w:p>
            <w:pPr>
              <w:pStyle w:val="TableParagraph"/>
              <w:rPr>
                <w:sz w:val="22"/>
              </w:rPr>
            </w:pPr>
            <w:r>
              <w:rPr>
                <w:sz w:val="22"/>
              </w:rPr>
              <w:t>5468,820</w:t>
            </w:r>
          </w:p>
        </w:tc>
        <w:tc>
          <w:tcPr>
            <w:tcW w:w="905" w:type="dxa"/>
          </w:tcPr>
          <w:p>
            <w:pPr>
              <w:pStyle w:val="TableParagraph"/>
              <w:rPr>
                <w:sz w:val="22"/>
              </w:rPr>
            </w:pPr>
            <w:r>
              <w:rPr>
                <w:sz w:val="22"/>
              </w:rPr>
              <w:t>16,263</w:t>
            </w:r>
          </w:p>
        </w:tc>
        <w:tc>
          <w:tcPr>
            <w:tcW w:w="1500" w:type="dxa"/>
          </w:tcPr>
          <w:p>
            <w:pPr>
              <w:pStyle w:val="TableParagraph"/>
              <w:ind w:right="63"/>
              <w:rPr>
                <w:sz w:val="22"/>
              </w:rPr>
            </w:pPr>
            <w:r>
              <w:rPr>
                <w:sz w:val="22"/>
              </w:rPr>
              <w:t>24149,779</w:t>
            </w:r>
          </w:p>
        </w:tc>
        <w:tc>
          <w:tcPr>
            <w:tcW w:w="1536" w:type="dxa"/>
          </w:tcPr>
          <w:p>
            <w:pPr>
              <w:pStyle w:val="TableParagraph"/>
              <w:rPr>
                <w:sz w:val="22"/>
              </w:rPr>
            </w:pPr>
            <w:r>
              <w:rPr>
                <w:sz w:val="22"/>
              </w:rPr>
              <w:t>0,049972504</w:t>
            </w:r>
          </w:p>
        </w:tc>
      </w:tr>
      <w:tr>
        <w:trPr>
          <w:trHeight w:val="310" w:hRule="exact"/>
        </w:trPr>
        <w:tc>
          <w:tcPr>
            <w:tcW w:w="994" w:type="dxa"/>
          </w:tcPr>
          <w:p>
            <w:pPr>
              <w:pStyle w:val="TableParagraph"/>
              <w:ind w:right="1"/>
              <w:jc w:val="center"/>
              <w:rPr>
                <w:sz w:val="22"/>
              </w:rPr>
            </w:pPr>
            <w:r>
              <w:rPr>
                <w:w w:val="100"/>
                <w:sz w:val="22"/>
              </w:rPr>
              <w:t>4</w:t>
            </w:r>
          </w:p>
        </w:tc>
        <w:tc>
          <w:tcPr>
            <w:tcW w:w="790" w:type="dxa"/>
          </w:tcPr>
          <w:p>
            <w:pPr>
              <w:pStyle w:val="TableParagraph"/>
              <w:ind w:left="78" w:right="43"/>
              <w:jc w:val="center"/>
              <w:rPr>
                <w:sz w:val="22"/>
              </w:rPr>
            </w:pPr>
            <w:r>
              <w:rPr>
                <w:sz w:val="22"/>
              </w:rPr>
              <w:t>155,12</w:t>
            </w:r>
          </w:p>
        </w:tc>
        <w:tc>
          <w:tcPr>
            <w:tcW w:w="494" w:type="dxa"/>
          </w:tcPr>
          <w:p>
            <w:pPr>
              <w:pStyle w:val="TableParagraph"/>
              <w:ind w:left="196" w:right="0"/>
              <w:jc w:val="left"/>
              <w:rPr>
                <w:sz w:val="22"/>
              </w:rPr>
            </w:pPr>
            <w:r>
              <w:rPr>
                <w:sz w:val="22"/>
              </w:rPr>
              <w:t>92</w:t>
            </w:r>
          </w:p>
        </w:tc>
        <w:tc>
          <w:tcPr>
            <w:tcW w:w="907" w:type="dxa"/>
          </w:tcPr>
          <w:p>
            <w:pPr>
              <w:pStyle w:val="TableParagraph"/>
              <w:rPr>
                <w:sz w:val="22"/>
              </w:rPr>
            </w:pPr>
            <w:r>
              <w:rPr>
                <w:sz w:val="22"/>
              </w:rPr>
              <w:t>84,400</w:t>
            </w:r>
          </w:p>
        </w:tc>
        <w:tc>
          <w:tcPr>
            <w:tcW w:w="1262" w:type="dxa"/>
          </w:tcPr>
          <w:p>
            <w:pPr>
              <w:pStyle w:val="TableParagraph"/>
              <w:rPr>
                <w:sz w:val="22"/>
              </w:rPr>
            </w:pPr>
            <w:r>
              <w:rPr>
                <w:sz w:val="22"/>
              </w:rPr>
              <w:t>1386,800</w:t>
            </w:r>
          </w:p>
        </w:tc>
        <w:tc>
          <w:tcPr>
            <w:tcW w:w="1262" w:type="dxa"/>
          </w:tcPr>
          <w:p>
            <w:pPr>
              <w:pStyle w:val="TableParagraph"/>
              <w:rPr>
                <w:sz w:val="22"/>
              </w:rPr>
            </w:pPr>
            <w:r>
              <w:rPr>
                <w:sz w:val="22"/>
              </w:rPr>
              <w:t>13092,128</w:t>
            </w:r>
          </w:p>
        </w:tc>
        <w:tc>
          <w:tcPr>
            <w:tcW w:w="905" w:type="dxa"/>
          </w:tcPr>
          <w:p>
            <w:pPr>
              <w:pStyle w:val="TableParagraph"/>
              <w:rPr>
                <w:sz w:val="22"/>
              </w:rPr>
            </w:pPr>
            <w:r>
              <w:rPr>
                <w:sz w:val="22"/>
              </w:rPr>
              <w:t>37,240</w:t>
            </w:r>
          </w:p>
        </w:tc>
        <w:tc>
          <w:tcPr>
            <w:tcW w:w="1500" w:type="dxa"/>
          </w:tcPr>
          <w:p>
            <w:pPr>
              <w:pStyle w:val="TableParagraph"/>
              <w:ind w:right="63"/>
              <w:rPr>
                <w:sz w:val="22"/>
              </w:rPr>
            </w:pPr>
            <w:r>
              <w:rPr>
                <w:sz w:val="22"/>
              </w:rPr>
              <w:t>148341,940</w:t>
            </w:r>
          </w:p>
        </w:tc>
        <w:tc>
          <w:tcPr>
            <w:tcW w:w="1536" w:type="dxa"/>
          </w:tcPr>
          <w:p>
            <w:pPr>
              <w:pStyle w:val="TableParagraph"/>
              <w:rPr>
                <w:sz w:val="22"/>
              </w:rPr>
            </w:pPr>
            <w:r>
              <w:rPr>
                <w:sz w:val="22"/>
              </w:rPr>
              <w:t>0,306960088</w:t>
            </w:r>
          </w:p>
        </w:tc>
      </w:tr>
      <w:tr>
        <w:trPr>
          <w:trHeight w:val="310" w:hRule="exact"/>
        </w:trPr>
        <w:tc>
          <w:tcPr>
            <w:tcW w:w="994" w:type="dxa"/>
          </w:tcPr>
          <w:p>
            <w:pPr>
              <w:pStyle w:val="TableParagraph"/>
              <w:ind w:right="1"/>
              <w:jc w:val="center"/>
              <w:rPr>
                <w:sz w:val="22"/>
              </w:rPr>
            </w:pPr>
            <w:r>
              <w:rPr>
                <w:w w:val="100"/>
                <w:sz w:val="22"/>
              </w:rPr>
              <w:t>5</w:t>
            </w:r>
          </w:p>
        </w:tc>
        <w:tc>
          <w:tcPr>
            <w:tcW w:w="790" w:type="dxa"/>
          </w:tcPr>
          <w:p>
            <w:pPr>
              <w:pStyle w:val="TableParagraph"/>
              <w:ind w:left="78" w:right="43"/>
              <w:jc w:val="center"/>
              <w:rPr>
                <w:sz w:val="22"/>
              </w:rPr>
            </w:pPr>
            <w:r>
              <w:rPr>
                <w:sz w:val="22"/>
              </w:rPr>
              <w:t>180,21</w:t>
            </w:r>
          </w:p>
        </w:tc>
        <w:tc>
          <w:tcPr>
            <w:tcW w:w="494" w:type="dxa"/>
          </w:tcPr>
          <w:p>
            <w:pPr>
              <w:pStyle w:val="TableParagraph"/>
              <w:ind w:left="86" w:right="0"/>
              <w:jc w:val="left"/>
              <w:rPr>
                <w:sz w:val="22"/>
              </w:rPr>
            </w:pPr>
            <w:r>
              <w:rPr>
                <w:sz w:val="22"/>
              </w:rPr>
              <w:t>132</w:t>
            </w:r>
          </w:p>
        </w:tc>
        <w:tc>
          <w:tcPr>
            <w:tcW w:w="907" w:type="dxa"/>
          </w:tcPr>
          <w:p>
            <w:pPr>
              <w:pStyle w:val="TableParagraph"/>
              <w:rPr>
                <w:sz w:val="22"/>
              </w:rPr>
            </w:pPr>
            <w:r>
              <w:rPr>
                <w:sz w:val="22"/>
              </w:rPr>
              <w:t>65,167</w:t>
            </w:r>
          </w:p>
        </w:tc>
        <w:tc>
          <w:tcPr>
            <w:tcW w:w="1262" w:type="dxa"/>
          </w:tcPr>
          <w:p>
            <w:pPr>
              <w:pStyle w:val="TableParagraph"/>
              <w:rPr>
                <w:sz w:val="22"/>
              </w:rPr>
            </w:pPr>
            <w:r>
              <w:rPr>
                <w:sz w:val="22"/>
              </w:rPr>
              <w:t>62,967</w:t>
            </w:r>
          </w:p>
        </w:tc>
        <w:tc>
          <w:tcPr>
            <w:tcW w:w="1262" w:type="dxa"/>
          </w:tcPr>
          <w:p>
            <w:pPr>
              <w:pStyle w:val="TableParagraph"/>
              <w:rPr>
                <w:sz w:val="22"/>
              </w:rPr>
            </w:pPr>
            <w:r>
              <w:rPr>
                <w:sz w:val="22"/>
              </w:rPr>
              <w:t>11743,685</w:t>
            </w:r>
          </w:p>
        </w:tc>
        <w:tc>
          <w:tcPr>
            <w:tcW w:w="905" w:type="dxa"/>
          </w:tcPr>
          <w:p>
            <w:pPr>
              <w:pStyle w:val="TableParagraph"/>
              <w:rPr>
                <w:sz w:val="22"/>
              </w:rPr>
            </w:pPr>
            <w:r>
              <w:rPr>
                <w:sz w:val="22"/>
              </w:rPr>
              <w:t>7,935</w:t>
            </w:r>
          </w:p>
        </w:tc>
        <w:tc>
          <w:tcPr>
            <w:tcW w:w="1500" w:type="dxa"/>
          </w:tcPr>
          <w:p>
            <w:pPr>
              <w:pStyle w:val="TableParagraph"/>
              <w:ind w:right="63"/>
              <w:rPr>
                <w:sz w:val="22"/>
              </w:rPr>
            </w:pPr>
            <w:r>
              <w:rPr>
                <w:sz w:val="22"/>
              </w:rPr>
              <w:t>4139,622</w:t>
            </w:r>
          </w:p>
        </w:tc>
        <w:tc>
          <w:tcPr>
            <w:tcW w:w="1536" w:type="dxa"/>
          </w:tcPr>
          <w:p>
            <w:pPr>
              <w:pStyle w:val="TableParagraph"/>
              <w:rPr>
                <w:sz w:val="22"/>
              </w:rPr>
            </w:pPr>
            <w:r>
              <w:rPr>
                <w:sz w:val="22"/>
              </w:rPr>
              <w:t>0,008566012</w:t>
            </w:r>
          </w:p>
        </w:tc>
      </w:tr>
      <w:tr>
        <w:trPr>
          <w:trHeight w:val="310" w:hRule="exact"/>
        </w:trPr>
        <w:tc>
          <w:tcPr>
            <w:tcW w:w="994" w:type="dxa"/>
          </w:tcPr>
          <w:p>
            <w:pPr>
              <w:pStyle w:val="TableParagraph"/>
              <w:spacing w:before="30"/>
              <w:ind w:right="1"/>
              <w:jc w:val="center"/>
              <w:rPr>
                <w:sz w:val="22"/>
              </w:rPr>
            </w:pPr>
            <w:r>
              <w:rPr>
                <w:w w:val="100"/>
                <w:sz w:val="22"/>
              </w:rPr>
              <w:t>N</w:t>
            </w:r>
          </w:p>
        </w:tc>
        <w:tc>
          <w:tcPr>
            <w:tcW w:w="790" w:type="dxa"/>
          </w:tcPr>
          <w:p>
            <w:pPr>
              <w:pStyle w:val="TableParagraph"/>
              <w:spacing w:before="30"/>
              <w:ind w:left="78" w:right="43"/>
              <w:jc w:val="center"/>
              <w:rPr>
                <w:sz w:val="22"/>
              </w:rPr>
            </w:pPr>
            <w:r>
              <w:rPr>
                <w:sz w:val="22"/>
              </w:rPr>
              <w:t>695,17</w:t>
            </w:r>
          </w:p>
        </w:tc>
        <w:tc>
          <w:tcPr>
            <w:tcW w:w="494" w:type="dxa"/>
          </w:tcPr>
          <w:p>
            <w:pPr/>
          </w:p>
        </w:tc>
        <w:tc>
          <w:tcPr>
            <w:tcW w:w="907" w:type="dxa"/>
          </w:tcPr>
          <w:p>
            <w:pPr/>
          </w:p>
        </w:tc>
        <w:tc>
          <w:tcPr>
            <w:tcW w:w="1262" w:type="dxa"/>
          </w:tcPr>
          <w:p>
            <w:pPr>
              <w:pStyle w:val="TableParagraph"/>
              <w:spacing w:before="18"/>
              <w:ind w:left="33" w:right="4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62" w:type="dxa"/>
          </w:tcPr>
          <w:p>
            <w:pPr>
              <w:pStyle w:val="TableParagraph"/>
              <w:spacing w:before="30"/>
              <w:rPr>
                <w:sz w:val="22"/>
              </w:rPr>
            </w:pPr>
            <w:r>
              <w:rPr>
                <w:sz w:val="22"/>
              </w:rPr>
              <w:t>42165,447</w:t>
            </w:r>
          </w:p>
        </w:tc>
        <w:tc>
          <w:tcPr>
            <w:tcW w:w="905" w:type="dxa"/>
          </w:tcPr>
          <w:p>
            <w:pPr/>
          </w:p>
        </w:tc>
        <w:tc>
          <w:tcPr>
            <w:tcW w:w="1500" w:type="dxa"/>
          </w:tcPr>
          <w:p>
            <w:pPr>
              <w:pStyle w:val="TableParagraph"/>
              <w:spacing w:before="30"/>
              <w:ind w:right="63"/>
              <w:rPr>
                <w:sz w:val="22"/>
              </w:rPr>
            </w:pPr>
            <w:r>
              <w:rPr>
                <w:sz w:val="22"/>
              </w:rPr>
              <w:t>200722,978</w:t>
            </w:r>
          </w:p>
        </w:tc>
        <w:tc>
          <w:tcPr>
            <w:tcW w:w="1536" w:type="dxa"/>
          </w:tcPr>
          <w:p>
            <w:pPr>
              <w:pStyle w:val="TableParagraph"/>
              <w:spacing w:before="30"/>
              <w:rPr>
                <w:sz w:val="22"/>
              </w:rPr>
            </w:pPr>
            <w:r>
              <w:rPr>
                <w:sz w:val="22"/>
              </w:rPr>
              <w:t>0,415350797</w:t>
            </w:r>
          </w:p>
        </w:tc>
      </w:tr>
      <w:tr>
        <w:trPr>
          <w:trHeight w:val="312" w:hRule="exact"/>
        </w:trPr>
        <w:tc>
          <w:tcPr>
            <w:tcW w:w="5710" w:type="dxa"/>
            <w:gridSpan w:val="6"/>
            <w:vMerge w:val="restart"/>
            <w:tcBorders>
              <w:left w:val="nil"/>
            </w:tcBorders>
          </w:tcPr>
          <w:p>
            <w:pPr/>
          </w:p>
        </w:tc>
        <w:tc>
          <w:tcPr>
            <w:tcW w:w="2405" w:type="dxa"/>
            <w:gridSpan w:val="2"/>
          </w:tcPr>
          <w:p>
            <w:pPr>
              <w:pStyle w:val="TableParagraph"/>
              <w:spacing w:before="13"/>
              <w:ind w:left="62" w:right="125"/>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36" w:type="dxa"/>
          </w:tcPr>
          <w:p>
            <w:pPr>
              <w:pStyle w:val="TableParagraph"/>
              <w:spacing w:before="30"/>
              <w:rPr>
                <w:b/>
                <w:sz w:val="22"/>
              </w:rPr>
            </w:pPr>
            <w:r>
              <w:rPr>
                <w:b/>
                <w:sz w:val="22"/>
              </w:rPr>
              <w:t>60,655</w:t>
            </w:r>
          </w:p>
        </w:tc>
      </w:tr>
      <w:tr>
        <w:trPr>
          <w:trHeight w:val="310" w:hRule="exact"/>
        </w:trPr>
        <w:tc>
          <w:tcPr>
            <w:tcW w:w="5710" w:type="dxa"/>
            <w:gridSpan w:val="6"/>
            <w:vMerge/>
            <w:tcBorders>
              <w:left w:val="nil"/>
            </w:tcBorders>
          </w:tcPr>
          <w:p>
            <w:pPr/>
          </w:p>
        </w:tc>
        <w:tc>
          <w:tcPr>
            <w:tcW w:w="2405" w:type="dxa"/>
            <w:gridSpan w:val="2"/>
          </w:tcPr>
          <w:p>
            <w:pPr>
              <w:pStyle w:val="TableParagraph"/>
              <w:spacing w:before="11"/>
              <w:ind w:left="62" w:right="125"/>
              <w:jc w:val="left"/>
              <w:rPr>
                <w:sz w:val="22"/>
              </w:rPr>
            </w:pPr>
            <w:r>
              <w:rPr>
                <w:sz w:val="22"/>
              </w:rPr>
              <w:t>Desviación estándar</w:t>
            </w:r>
          </w:p>
        </w:tc>
        <w:tc>
          <w:tcPr>
            <w:tcW w:w="1536" w:type="dxa"/>
          </w:tcPr>
          <w:p>
            <w:pPr>
              <w:pStyle w:val="TableParagraph"/>
              <w:rPr>
                <w:b/>
                <w:sz w:val="22"/>
              </w:rPr>
            </w:pPr>
            <w:r>
              <w:rPr>
                <w:b/>
                <w:sz w:val="22"/>
              </w:rPr>
              <w:t>0,644</w:t>
            </w:r>
          </w:p>
        </w:tc>
      </w:tr>
      <w:tr>
        <w:trPr>
          <w:trHeight w:val="310" w:hRule="exact"/>
        </w:trPr>
        <w:tc>
          <w:tcPr>
            <w:tcW w:w="5710" w:type="dxa"/>
            <w:gridSpan w:val="6"/>
            <w:vMerge/>
            <w:tcBorders>
              <w:left w:val="nil"/>
            </w:tcBorders>
          </w:tcPr>
          <w:p>
            <w:pPr/>
          </w:p>
        </w:tc>
        <w:tc>
          <w:tcPr>
            <w:tcW w:w="2405" w:type="dxa"/>
            <w:gridSpan w:val="2"/>
            <w:vMerge w:val="restart"/>
          </w:tcPr>
          <w:p>
            <w:pPr>
              <w:pStyle w:val="TableParagraph"/>
              <w:spacing w:before="33"/>
              <w:ind w:left="62" w:right="125"/>
              <w:jc w:val="left"/>
              <w:rPr>
                <w:sz w:val="22"/>
              </w:rPr>
            </w:pPr>
            <w:r>
              <w:rPr>
                <w:sz w:val="22"/>
              </w:rPr>
              <w:t>Intervalo de confianza al 95 %</w:t>
            </w:r>
          </w:p>
        </w:tc>
        <w:tc>
          <w:tcPr>
            <w:tcW w:w="1536" w:type="dxa"/>
          </w:tcPr>
          <w:p>
            <w:pPr>
              <w:pStyle w:val="TableParagraph"/>
              <w:rPr>
                <w:sz w:val="22"/>
              </w:rPr>
            </w:pPr>
            <w:r>
              <w:rPr>
                <w:sz w:val="22"/>
              </w:rPr>
              <w:t>59,39</w:t>
            </w:r>
          </w:p>
        </w:tc>
      </w:tr>
      <w:tr>
        <w:trPr>
          <w:trHeight w:val="310" w:hRule="exact"/>
        </w:trPr>
        <w:tc>
          <w:tcPr>
            <w:tcW w:w="5710" w:type="dxa"/>
            <w:gridSpan w:val="6"/>
            <w:vMerge/>
            <w:tcBorders>
              <w:left w:val="nil"/>
              <w:bottom w:val="nil"/>
            </w:tcBorders>
          </w:tcPr>
          <w:p>
            <w:pPr/>
          </w:p>
        </w:tc>
        <w:tc>
          <w:tcPr>
            <w:tcW w:w="2405" w:type="dxa"/>
            <w:gridSpan w:val="2"/>
            <w:vMerge/>
          </w:tcPr>
          <w:p>
            <w:pPr/>
          </w:p>
        </w:tc>
        <w:tc>
          <w:tcPr>
            <w:tcW w:w="1536" w:type="dxa"/>
          </w:tcPr>
          <w:p>
            <w:pPr>
              <w:pStyle w:val="TableParagraph"/>
              <w:rPr>
                <w:sz w:val="22"/>
              </w:rPr>
            </w:pPr>
            <w:r>
              <w:rPr>
                <w:sz w:val="22"/>
              </w:rPr>
              <w:t>61,92</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4"/>
        <w:gridCol w:w="790"/>
        <w:gridCol w:w="494"/>
        <w:gridCol w:w="907"/>
        <w:gridCol w:w="1262"/>
        <w:gridCol w:w="1262"/>
        <w:gridCol w:w="905"/>
        <w:gridCol w:w="1500"/>
        <w:gridCol w:w="1536"/>
      </w:tblGrid>
      <w:tr>
        <w:trPr>
          <w:trHeight w:val="310" w:hRule="exact"/>
        </w:trPr>
        <w:tc>
          <w:tcPr>
            <w:tcW w:w="9650" w:type="dxa"/>
            <w:gridSpan w:val="9"/>
          </w:tcPr>
          <w:p>
            <w:pPr>
              <w:pStyle w:val="TableParagraph"/>
              <w:spacing w:before="30"/>
              <w:ind w:left="3845" w:right="3845"/>
              <w:jc w:val="center"/>
              <w:rPr>
                <w:sz w:val="22"/>
              </w:rPr>
            </w:pPr>
            <w:r>
              <w:rPr>
                <w:sz w:val="22"/>
              </w:rPr>
              <w:t>Punto de muestreo G</w:t>
            </w:r>
          </w:p>
        </w:tc>
      </w:tr>
      <w:tr>
        <w:trPr>
          <w:trHeight w:val="312" w:hRule="exact"/>
        </w:trPr>
        <w:tc>
          <w:tcPr>
            <w:tcW w:w="994" w:type="dxa"/>
          </w:tcPr>
          <w:p>
            <w:pPr>
              <w:pStyle w:val="TableParagraph"/>
              <w:spacing w:before="13"/>
              <w:ind w:left="64" w:right="0"/>
              <w:jc w:val="left"/>
              <w:rPr>
                <w:sz w:val="22"/>
              </w:rPr>
            </w:pPr>
            <w:r>
              <w:rPr>
                <w:sz w:val="22"/>
              </w:rPr>
              <w:t>Estrato</w:t>
            </w:r>
          </w:p>
        </w:tc>
        <w:tc>
          <w:tcPr>
            <w:tcW w:w="790" w:type="dxa"/>
          </w:tcPr>
          <w:p>
            <w:pPr>
              <w:pStyle w:val="TableParagraph"/>
              <w:spacing w:before="43"/>
              <w:ind w:left="25" w:right="43"/>
              <w:jc w:val="center"/>
              <w:rPr>
                <w:rFonts w:ascii="Cambria Math"/>
                <w:sz w:val="16"/>
              </w:rPr>
            </w:pPr>
            <w:r>
              <w:rPr>
                <w:rFonts w:ascii="Cambria Math"/>
                <w:w w:val="110"/>
                <w:sz w:val="22"/>
              </w:rPr>
              <w:t>N</w:t>
            </w:r>
            <w:r>
              <w:rPr>
                <w:rFonts w:ascii="Cambria Math"/>
                <w:w w:val="110"/>
                <w:position w:val="-4"/>
                <w:sz w:val="16"/>
              </w:rPr>
              <w:t>h</w:t>
            </w:r>
          </w:p>
        </w:tc>
        <w:tc>
          <w:tcPr>
            <w:tcW w:w="494" w:type="dxa"/>
          </w:tcPr>
          <w:p>
            <w:pPr>
              <w:pStyle w:val="TableParagraph"/>
              <w:spacing w:before="43"/>
              <w:ind w:left="122" w:right="0"/>
              <w:jc w:val="left"/>
              <w:rPr>
                <w:rFonts w:ascii="Cambria Math"/>
                <w:sz w:val="16"/>
              </w:rPr>
            </w:pPr>
            <w:r>
              <w:rPr>
                <w:rFonts w:ascii="Cambria Math"/>
                <w:w w:val="110"/>
                <w:sz w:val="22"/>
              </w:rPr>
              <w:t>n</w:t>
            </w:r>
            <w:r>
              <w:rPr>
                <w:rFonts w:ascii="Cambria Math"/>
                <w:w w:val="110"/>
                <w:position w:val="-4"/>
                <w:sz w:val="16"/>
              </w:rPr>
              <w:t>h</w:t>
            </w:r>
          </w:p>
        </w:tc>
        <w:tc>
          <w:tcPr>
            <w:tcW w:w="907" w:type="dxa"/>
          </w:tcPr>
          <w:p>
            <w:pPr>
              <w:pStyle w:val="TableParagraph"/>
              <w:spacing w:before="43"/>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62" w:type="dxa"/>
          </w:tcPr>
          <w:p>
            <w:pPr>
              <w:pStyle w:val="TableParagraph"/>
              <w:spacing w:line="214" w:lineRule="exact" w:before="8"/>
              <w:ind w:left="36"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262" w:type="dxa"/>
          </w:tcPr>
          <w:p>
            <w:pPr>
              <w:pStyle w:val="TableParagraph"/>
              <w:spacing w:before="19"/>
              <w:ind w:left="33"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05" w:type="dxa"/>
          </w:tcPr>
          <w:p>
            <w:pPr>
              <w:pStyle w:val="TableParagraph"/>
              <w:spacing w:before="43"/>
              <w:ind w:left="290" w:right="303"/>
              <w:jc w:val="center"/>
              <w:rPr>
                <w:rFonts w:ascii="Cambria Math"/>
                <w:sz w:val="16"/>
              </w:rPr>
            </w:pPr>
            <w:r>
              <w:rPr>
                <w:rFonts w:ascii="Cambria Math"/>
                <w:w w:val="110"/>
                <w:sz w:val="22"/>
              </w:rPr>
              <w:t>s</w:t>
            </w:r>
            <w:r>
              <w:rPr>
                <w:rFonts w:ascii="Cambria Math"/>
                <w:w w:val="110"/>
                <w:position w:val="-4"/>
                <w:sz w:val="16"/>
              </w:rPr>
              <w:t>h</w:t>
            </w:r>
          </w:p>
        </w:tc>
        <w:tc>
          <w:tcPr>
            <w:tcW w:w="1500" w:type="dxa"/>
          </w:tcPr>
          <w:p>
            <w:pPr>
              <w:pStyle w:val="TableParagraph"/>
              <w:spacing w:before="3"/>
              <w:ind w:left="41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536" w:type="dxa"/>
          </w:tcPr>
          <w:p>
            <w:pPr>
              <w:pStyle w:val="TableParagraph"/>
              <w:spacing w:before="3"/>
              <w:ind w:left="41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94" w:type="dxa"/>
          </w:tcPr>
          <w:p>
            <w:pPr>
              <w:pStyle w:val="TableParagraph"/>
              <w:ind w:right="1"/>
              <w:jc w:val="center"/>
              <w:rPr>
                <w:sz w:val="22"/>
              </w:rPr>
            </w:pPr>
            <w:r>
              <w:rPr>
                <w:w w:val="100"/>
                <w:sz w:val="22"/>
              </w:rPr>
              <w:t>1</w:t>
            </w:r>
          </w:p>
        </w:tc>
        <w:tc>
          <w:tcPr>
            <w:tcW w:w="790" w:type="dxa"/>
          </w:tcPr>
          <w:p>
            <w:pPr>
              <w:pStyle w:val="TableParagraph"/>
              <w:ind w:left="78" w:right="43"/>
              <w:jc w:val="center"/>
              <w:rPr>
                <w:sz w:val="22"/>
              </w:rPr>
            </w:pPr>
            <w:r>
              <w:rPr>
                <w:sz w:val="22"/>
              </w:rPr>
              <w:t>108,60</w:t>
            </w:r>
          </w:p>
        </w:tc>
        <w:tc>
          <w:tcPr>
            <w:tcW w:w="494" w:type="dxa"/>
          </w:tcPr>
          <w:p>
            <w:pPr>
              <w:pStyle w:val="TableParagraph"/>
              <w:ind w:left="86" w:right="0"/>
              <w:jc w:val="left"/>
              <w:rPr>
                <w:sz w:val="22"/>
              </w:rPr>
            </w:pPr>
            <w:r>
              <w:rPr>
                <w:sz w:val="22"/>
              </w:rPr>
              <w:t>108</w:t>
            </w:r>
          </w:p>
        </w:tc>
        <w:tc>
          <w:tcPr>
            <w:tcW w:w="907" w:type="dxa"/>
          </w:tcPr>
          <w:p>
            <w:pPr>
              <w:pStyle w:val="TableParagraph"/>
              <w:ind w:left="88" w:right="44"/>
              <w:jc w:val="center"/>
              <w:rPr>
                <w:sz w:val="22"/>
              </w:rPr>
            </w:pPr>
            <w:r>
              <w:rPr>
                <w:sz w:val="22"/>
              </w:rPr>
              <w:t>172,200</w:t>
            </w:r>
          </w:p>
        </w:tc>
        <w:tc>
          <w:tcPr>
            <w:tcW w:w="1262" w:type="dxa"/>
          </w:tcPr>
          <w:p>
            <w:pPr>
              <w:pStyle w:val="TableParagraph"/>
              <w:rPr>
                <w:sz w:val="22"/>
              </w:rPr>
            </w:pPr>
            <w:r>
              <w:rPr>
                <w:sz w:val="22"/>
              </w:rPr>
              <w:t>2491,700</w:t>
            </w:r>
          </w:p>
        </w:tc>
        <w:tc>
          <w:tcPr>
            <w:tcW w:w="1262" w:type="dxa"/>
          </w:tcPr>
          <w:p>
            <w:pPr>
              <w:pStyle w:val="TableParagraph"/>
              <w:ind w:left="218" w:right="42"/>
              <w:jc w:val="center"/>
              <w:rPr>
                <w:sz w:val="22"/>
              </w:rPr>
            </w:pPr>
            <w:r>
              <w:rPr>
                <w:sz w:val="22"/>
              </w:rPr>
              <w:t>18700,920</w:t>
            </w:r>
          </w:p>
        </w:tc>
        <w:tc>
          <w:tcPr>
            <w:tcW w:w="905" w:type="dxa"/>
          </w:tcPr>
          <w:p>
            <w:pPr>
              <w:pStyle w:val="TableParagraph"/>
              <w:rPr>
                <w:sz w:val="22"/>
              </w:rPr>
            </w:pPr>
            <w:r>
              <w:rPr>
                <w:sz w:val="22"/>
              </w:rPr>
              <w:t>49,917</w:t>
            </w:r>
          </w:p>
        </w:tc>
        <w:tc>
          <w:tcPr>
            <w:tcW w:w="1500" w:type="dxa"/>
          </w:tcPr>
          <w:p>
            <w:pPr>
              <w:pStyle w:val="TableParagraph"/>
              <w:ind w:right="63"/>
              <w:rPr>
                <w:sz w:val="22"/>
              </w:rPr>
            </w:pPr>
            <w:r>
              <w:rPr>
                <w:sz w:val="22"/>
              </w:rPr>
              <w:t>-90971,419</w:t>
            </w:r>
          </w:p>
        </w:tc>
        <w:tc>
          <w:tcPr>
            <w:tcW w:w="1536" w:type="dxa"/>
          </w:tcPr>
          <w:p>
            <w:pPr>
              <w:pStyle w:val="TableParagraph"/>
              <w:rPr>
                <w:sz w:val="22"/>
              </w:rPr>
            </w:pPr>
            <w:r>
              <w:rPr>
                <w:sz w:val="22"/>
              </w:rPr>
              <w:t>-0,188244772</w:t>
            </w:r>
          </w:p>
        </w:tc>
      </w:tr>
      <w:tr>
        <w:trPr>
          <w:trHeight w:val="310" w:hRule="exact"/>
        </w:trPr>
        <w:tc>
          <w:tcPr>
            <w:tcW w:w="994" w:type="dxa"/>
          </w:tcPr>
          <w:p>
            <w:pPr>
              <w:pStyle w:val="TableParagraph"/>
              <w:ind w:right="1"/>
              <w:jc w:val="center"/>
              <w:rPr>
                <w:sz w:val="22"/>
              </w:rPr>
            </w:pPr>
            <w:r>
              <w:rPr>
                <w:w w:val="100"/>
                <w:sz w:val="22"/>
              </w:rPr>
              <w:t>2</w:t>
            </w:r>
          </w:p>
        </w:tc>
        <w:tc>
          <w:tcPr>
            <w:tcW w:w="790" w:type="dxa"/>
          </w:tcPr>
          <w:p>
            <w:pPr>
              <w:pStyle w:val="TableParagraph"/>
              <w:ind w:left="78" w:right="43"/>
              <w:jc w:val="center"/>
              <w:rPr>
                <w:sz w:val="22"/>
              </w:rPr>
            </w:pPr>
            <w:r>
              <w:rPr>
                <w:sz w:val="22"/>
              </w:rPr>
              <w:t>121,03</w:t>
            </w:r>
          </w:p>
        </w:tc>
        <w:tc>
          <w:tcPr>
            <w:tcW w:w="494" w:type="dxa"/>
          </w:tcPr>
          <w:p>
            <w:pPr>
              <w:pStyle w:val="TableParagraph"/>
              <w:ind w:left="196" w:right="0"/>
              <w:jc w:val="left"/>
              <w:rPr>
                <w:sz w:val="22"/>
              </w:rPr>
            </w:pPr>
            <w:r>
              <w:rPr>
                <w:sz w:val="22"/>
              </w:rPr>
              <w:t>81</w:t>
            </w:r>
          </w:p>
        </w:tc>
        <w:tc>
          <w:tcPr>
            <w:tcW w:w="907" w:type="dxa"/>
          </w:tcPr>
          <w:p>
            <w:pPr>
              <w:pStyle w:val="TableParagraph"/>
              <w:ind w:left="88" w:right="44"/>
              <w:jc w:val="center"/>
              <w:rPr>
                <w:sz w:val="22"/>
              </w:rPr>
            </w:pPr>
            <w:r>
              <w:rPr>
                <w:sz w:val="22"/>
              </w:rPr>
              <w:t>152,400</w:t>
            </w:r>
          </w:p>
        </w:tc>
        <w:tc>
          <w:tcPr>
            <w:tcW w:w="1262" w:type="dxa"/>
          </w:tcPr>
          <w:p>
            <w:pPr>
              <w:pStyle w:val="TableParagraph"/>
              <w:rPr>
                <w:sz w:val="22"/>
              </w:rPr>
            </w:pPr>
            <w:r>
              <w:rPr>
                <w:sz w:val="22"/>
              </w:rPr>
              <w:t>2223,300</w:t>
            </w:r>
          </w:p>
        </w:tc>
        <w:tc>
          <w:tcPr>
            <w:tcW w:w="1262" w:type="dxa"/>
          </w:tcPr>
          <w:p>
            <w:pPr>
              <w:pStyle w:val="TableParagraph"/>
              <w:ind w:left="218" w:right="42"/>
              <w:jc w:val="center"/>
              <w:rPr>
                <w:sz w:val="22"/>
              </w:rPr>
            </w:pPr>
            <w:r>
              <w:rPr>
                <w:sz w:val="22"/>
              </w:rPr>
              <w:t>18444,972</w:t>
            </w:r>
          </w:p>
        </w:tc>
        <w:tc>
          <w:tcPr>
            <w:tcW w:w="905" w:type="dxa"/>
          </w:tcPr>
          <w:p>
            <w:pPr>
              <w:pStyle w:val="TableParagraph"/>
              <w:rPr>
                <w:sz w:val="22"/>
              </w:rPr>
            </w:pPr>
            <w:r>
              <w:rPr>
                <w:sz w:val="22"/>
              </w:rPr>
              <w:t>47,152</w:t>
            </w:r>
          </w:p>
        </w:tc>
        <w:tc>
          <w:tcPr>
            <w:tcW w:w="1500" w:type="dxa"/>
          </w:tcPr>
          <w:p>
            <w:pPr>
              <w:pStyle w:val="TableParagraph"/>
              <w:ind w:right="63"/>
              <w:rPr>
                <w:sz w:val="22"/>
              </w:rPr>
            </w:pPr>
            <w:r>
              <w:rPr>
                <w:sz w:val="22"/>
              </w:rPr>
              <w:t>133180,286</w:t>
            </w:r>
          </w:p>
        </w:tc>
        <w:tc>
          <w:tcPr>
            <w:tcW w:w="1536" w:type="dxa"/>
          </w:tcPr>
          <w:p>
            <w:pPr>
              <w:pStyle w:val="TableParagraph"/>
              <w:rPr>
                <w:sz w:val="22"/>
              </w:rPr>
            </w:pPr>
            <w:r>
              <w:rPr>
                <w:sz w:val="22"/>
              </w:rPr>
              <w:t>0,275586475</w:t>
            </w:r>
          </w:p>
        </w:tc>
      </w:tr>
      <w:tr>
        <w:trPr>
          <w:trHeight w:val="310" w:hRule="exact"/>
        </w:trPr>
        <w:tc>
          <w:tcPr>
            <w:tcW w:w="994" w:type="dxa"/>
          </w:tcPr>
          <w:p>
            <w:pPr>
              <w:pStyle w:val="TableParagraph"/>
              <w:ind w:right="1"/>
              <w:jc w:val="center"/>
              <w:rPr>
                <w:sz w:val="22"/>
              </w:rPr>
            </w:pPr>
            <w:r>
              <w:rPr>
                <w:w w:val="100"/>
                <w:sz w:val="22"/>
              </w:rPr>
              <w:t>3</w:t>
            </w:r>
          </w:p>
        </w:tc>
        <w:tc>
          <w:tcPr>
            <w:tcW w:w="790" w:type="dxa"/>
          </w:tcPr>
          <w:p>
            <w:pPr>
              <w:pStyle w:val="TableParagraph"/>
              <w:ind w:left="78" w:right="43"/>
              <w:jc w:val="center"/>
              <w:rPr>
                <w:sz w:val="22"/>
              </w:rPr>
            </w:pPr>
            <w:r>
              <w:rPr>
                <w:sz w:val="22"/>
              </w:rPr>
              <w:t>130,21</w:t>
            </w:r>
          </w:p>
        </w:tc>
        <w:tc>
          <w:tcPr>
            <w:tcW w:w="494" w:type="dxa"/>
          </w:tcPr>
          <w:p>
            <w:pPr>
              <w:pStyle w:val="TableParagraph"/>
              <w:ind w:left="196" w:right="0"/>
              <w:jc w:val="left"/>
              <w:rPr>
                <w:sz w:val="22"/>
              </w:rPr>
            </w:pPr>
            <w:r>
              <w:rPr>
                <w:sz w:val="22"/>
              </w:rPr>
              <w:t>77</w:t>
            </w:r>
          </w:p>
        </w:tc>
        <w:tc>
          <w:tcPr>
            <w:tcW w:w="907" w:type="dxa"/>
          </w:tcPr>
          <w:p>
            <w:pPr>
              <w:pStyle w:val="TableParagraph"/>
              <w:ind w:left="88" w:right="44"/>
              <w:jc w:val="center"/>
              <w:rPr>
                <w:sz w:val="22"/>
              </w:rPr>
            </w:pPr>
            <w:r>
              <w:rPr>
                <w:sz w:val="22"/>
              </w:rPr>
              <w:t>174,200</w:t>
            </w:r>
          </w:p>
        </w:tc>
        <w:tc>
          <w:tcPr>
            <w:tcW w:w="1262" w:type="dxa"/>
          </w:tcPr>
          <w:p>
            <w:pPr>
              <w:pStyle w:val="TableParagraph"/>
              <w:rPr>
                <w:sz w:val="22"/>
              </w:rPr>
            </w:pPr>
            <w:r>
              <w:rPr>
                <w:sz w:val="22"/>
              </w:rPr>
              <w:t>2666,200</w:t>
            </w:r>
          </w:p>
        </w:tc>
        <w:tc>
          <w:tcPr>
            <w:tcW w:w="1262" w:type="dxa"/>
          </w:tcPr>
          <w:p>
            <w:pPr>
              <w:pStyle w:val="TableParagraph"/>
              <w:ind w:left="218" w:right="42"/>
              <w:jc w:val="center"/>
              <w:rPr>
                <w:sz w:val="22"/>
              </w:rPr>
            </w:pPr>
            <w:r>
              <w:rPr>
                <w:sz w:val="22"/>
              </w:rPr>
              <w:t>22682,582</w:t>
            </w:r>
          </w:p>
        </w:tc>
        <w:tc>
          <w:tcPr>
            <w:tcW w:w="905" w:type="dxa"/>
          </w:tcPr>
          <w:p>
            <w:pPr>
              <w:pStyle w:val="TableParagraph"/>
              <w:rPr>
                <w:sz w:val="22"/>
              </w:rPr>
            </w:pPr>
            <w:r>
              <w:rPr>
                <w:sz w:val="22"/>
              </w:rPr>
              <w:t>51,635</w:t>
            </w:r>
          </w:p>
        </w:tc>
        <w:tc>
          <w:tcPr>
            <w:tcW w:w="1500" w:type="dxa"/>
          </w:tcPr>
          <w:p>
            <w:pPr>
              <w:pStyle w:val="TableParagraph"/>
              <w:ind w:right="63"/>
              <w:rPr>
                <w:sz w:val="22"/>
              </w:rPr>
            </w:pPr>
            <w:r>
              <w:rPr>
                <w:sz w:val="22"/>
              </w:rPr>
              <w:t>243433,420</w:t>
            </w:r>
          </w:p>
        </w:tc>
        <w:tc>
          <w:tcPr>
            <w:tcW w:w="1536" w:type="dxa"/>
          </w:tcPr>
          <w:p>
            <w:pPr>
              <w:pStyle w:val="TableParagraph"/>
              <w:rPr>
                <w:sz w:val="22"/>
              </w:rPr>
            </w:pPr>
            <w:r>
              <w:rPr>
                <w:sz w:val="22"/>
              </w:rPr>
              <w:t>0,503730395</w:t>
            </w:r>
          </w:p>
        </w:tc>
      </w:tr>
      <w:tr>
        <w:trPr>
          <w:trHeight w:val="310" w:hRule="exact"/>
        </w:trPr>
        <w:tc>
          <w:tcPr>
            <w:tcW w:w="994" w:type="dxa"/>
          </w:tcPr>
          <w:p>
            <w:pPr>
              <w:pStyle w:val="TableParagraph"/>
              <w:ind w:right="1"/>
              <w:jc w:val="center"/>
              <w:rPr>
                <w:sz w:val="22"/>
              </w:rPr>
            </w:pPr>
            <w:r>
              <w:rPr>
                <w:w w:val="100"/>
                <w:sz w:val="22"/>
              </w:rPr>
              <w:t>4</w:t>
            </w:r>
          </w:p>
        </w:tc>
        <w:tc>
          <w:tcPr>
            <w:tcW w:w="790" w:type="dxa"/>
          </w:tcPr>
          <w:p>
            <w:pPr>
              <w:pStyle w:val="TableParagraph"/>
              <w:ind w:left="78" w:right="43"/>
              <w:jc w:val="center"/>
              <w:rPr>
                <w:sz w:val="22"/>
              </w:rPr>
            </w:pPr>
            <w:r>
              <w:rPr>
                <w:sz w:val="22"/>
              </w:rPr>
              <w:t>155,12</w:t>
            </w:r>
          </w:p>
        </w:tc>
        <w:tc>
          <w:tcPr>
            <w:tcW w:w="494" w:type="dxa"/>
          </w:tcPr>
          <w:p>
            <w:pPr>
              <w:pStyle w:val="TableParagraph"/>
              <w:ind w:left="196" w:right="0"/>
              <w:jc w:val="left"/>
              <w:rPr>
                <w:sz w:val="22"/>
              </w:rPr>
            </w:pPr>
            <w:r>
              <w:rPr>
                <w:sz w:val="22"/>
              </w:rPr>
              <w:t>92</w:t>
            </w:r>
          </w:p>
        </w:tc>
        <w:tc>
          <w:tcPr>
            <w:tcW w:w="907" w:type="dxa"/>
          </w:tcPr>
          <w:p>
            <w:pPr>
              <w:pStyle w:val="TableParagraph"/>
              <w:ind w:left="88" w:right="44"/>
              <w:jc w:val="center"/>
              <w:rPr>
                <w:sz w:val="22"/>
              </w:rPr>
            </w:pPr>
            <w:r>
              <w:rPr>
                <w:sz w:val="22"/>
              </w:rPr>
              <w:t>720,000</w:t>
            </w:r>
          </w:p>
        </w:tc>
        <w:tc>
          <w:tcPr>
            <w:tcW w:w="1262" w:type="dxa"/>
          </w:tcPr>
          <w:p>
            <w:pPr>
              <w:pStyle w:val="TableParagraph"/>
              <w:rPr>
                <w:sz w:val="22"/>
              </w:rPr>
            </w:pPr>
            <w:r>
              <w:rPr>
                <w:sz w:val="22"/>
              </w:rPr>
              <w:t>531694,000</w:t>
            </w:r>
          </w:p>
        </w:tc>
        <w:tc>
          <w:tcPr>
            <w:tcW w:w="1262" w:type="dxa"/>
          </w:tcPr>
          <w:p>
            <w:pPr>
              <w:pStyle w:val="TableParagraph"/>
              <w:ind w:left="107" w:right="41"/>
              <w:jc w:val="center"/>
              <w:rPr>
                <w:sz w:val="22"/>
              </w:rPr>
            </w:pPr>
            <w:r>
              <w:rPr>
                <w:sz w:val="22"/>
              </w:rPr>
              <w:t>111686,400</w:t>
            </w:r>
          </w:p>
        </w:tc>
        <w:tc>
          <w:tcPr>
            <w:tcW w:w="905" w:type="dxa"/>
          </w:tcPr>
          <w:p>
            <w:pPr>
              <w:pStyle w:val="TableParagraph"/>
              <w:rPr>
                <w:sz w:val="22"/>
              </w:rPr>
            </w:pPr>
            <w:r>
              <w:rPr>
                <w:sz w:val="22"/>
              </w:rPr>
              <w:t>729,174</w:t>
            </w:r>
          </w:p>
        </w:tc>
        <w:tc>
          <w:tcPr>
            <w:tcW w:w="1500" w:type="dxa"/>
          </w:tcPr>
          <w:p>
            <w:pPr>
              <w:pStyle w:val="TableParagraph"/>
              <w:ind w:right="63"/>
              <w:rPr>
                <w:sz w:val="22"/>
              </w:rPr>
            </w:pPr>
            <w:r>
              <w:rPr>
                <w:sz w:val="22"/>
              </w:rPr>
              <w:t>56873752,231</w:t>
            </w:r>
          </w:p>
        </w:tc>
        <w:tc>
          <w:tcPr>
            <w:tcW w:w="1536" w:type="dxa"/>
          </w:tcPr>
          <w:p>
            <w:pPr>
              <w:pStyle w:val="TableParagraph"/>
              <w:rPr>
                <w:sz w:val="22"/>
              </w:rPr>
            </w:pPr>
            <w:r>
              <w:rPr>
                <w:sz w:val="22"/>
              </w:rPr>
              <w:t>117,6873646</w:t>
            </w:r>
          </w:p>
        </w:tc>
      </w:tr>
      <w:tr>
        <w:trPr>
          <w:trHeight w:val="310" w:hRule="exact"/>
        </w:trPr>
        <w:tc>
          <w:tcPr>
            <w:tcW w:w="994" w:type="dxa"/>
          </w:tcPr>
          <w:p>
            <w:pPr>
              <w:pStyle w:val="TableParagraph"/>
              <w:spacing w:before="30"/>
              <w:ind w:right="1"/>
              <w:jc w:val="center"/>
              <w:rPr>
                <w:sz w:val="22"/>
              </w:rPr>
            </w:pPr>
            <w:r>
              <w:rPr>
                <w:w w:val="100"/>
                <w:sz w:val="22"/>
              </w:rPr>
              <w:t>5</w:t>
            </w:r>
          </w:p>
        </w:tc>
        <w:tc>
          <w:tcPr>
            <w:tcW w:w="790" w:type="dxa"/>
          </w:tcPr>
          <w:p>
            <w:pPr>
              <w:pStyle w:val="TableParagraph"/>
              <w:spacing w:before="30"/>
              <w:ind w:left="78" w:right="43"/>
              <w:jc w:val="center"/>
              <w:rPr>
                <w:sz w:val="22"/>
              </w:rPr>
            </w:pPr>
            <w:r>
              <w:rPr>
                <w:sz w:val="22"/>
              </w:rPr>
              <w:t>180,21</w:t>
            </w:r>
          </w:p>
        </w:tc>
        <w:tc>
          <w:tcPr>
            <w:tcW w:w="494" w:type="dxa"/>
          </w:tcPr>
          <w:p>
            <w:pPr>
              <w:pStyle w:val="TableParagraph"/>
              <w:spacing w:before="30"/>
              <w:ind w:left="86" w:right="0"/>
              <w:jc w:val="left"/>
              <w:rPr>
                <w:sz w:val="22"/>
              </w:rPr>
            </w:pPr>
            <w:r>
              <w:rPr>
                <w:sz w:val="22"/>
              </w:rPr>
              <w:t>132</w:t>
            </w:r>
          </w:p>
        </w:tc>
        <w:tc>
          <w:tcPr>
            <w:tcW w:w="907" w:type="dxa"/>
          </w:tcPr>
          <w:p>
            <w:pPr>
              <w:pStyle w:val="TableParagraph"/>
              <w:spacing w:before="30"/>
              <w:ind w:left="88" w:right="44"/>
              <w:jc w:val="center"/>
              <w:rPr>
                <w:sz w:val="22"/>
              </w:rPr>
            </w:pPr>
            <w:r>
              <w:rPr>
                <w:sz w:val="22"/>
              </w:rPr>
              <w:t>362,500</w:t>
            </w:r>
          </w:p>
        </w:tc>
        <w:tc>
          <w:tcPr>
            <w:tcW w:w="1262" w:type="dxa"/>
          </w:tcPr>
          <w:p>
            <w:pPr>
              <w:pStyle w:val="TableParagraph"/>
              <w:spacing w:before="30"/>
              <w:rPr>
                <w:sz w:val="22"/>
              </w:rPr>
            </w:pPr>
            <w:r>
              <w:rPr>
                <w:sz w:val="22"/>
              </w:rPr>
              <w:t>10924,700</w:t>
            </w:r>
          </w:p>
        </w:tc>
        <w:tc>
          <w:tcPr>
            <w:tcW w:w="1262" w:type="dxa"/>
          </w:tcPr>
          <w:p>
            <w:pPr>
              <w:pStyle w:val="TableParagraph"/>
              <w:spacing w:before="30"/>
              <w:ind w:left="218" w:right="42"/>
              <w:jc w:val="center"/>
              <w:rPr>
                <w:sz w:val="22"/>
              </w:rPr>
            </w:pPr>
            <w:r>
              <w:rPr>
                <w:sz w:val="22"/>
              </w:rPr>
              <w:t>65326,125</w:t>
            </w:r>
          </w:p>
        </w:tc>
        <w:tc>
          <w:tcPr>
            <w:tcW w:w="905" w:type="dxa"/>
          </w:tcPr>
          <w:p>
            <w:pPr>
              <w:pStyle w:val="TableParagraph"/>
              <w:spacing w:before="30"/>
              <w:rPr>
                <w:sz w:val="22"/>
              </w:rPr>
            </w:pPr>
            <w:r>
              <w:rPr>
                <w:sz w:val="22"/>
              </w:rPr>
              <w:t>104,521</w:t>
            </w:r>
          </w:p>
        </w:tc>
        <w:tc>
          <w:tcPr>
            <w:tcW w:w="1500" w:type="dxa"/>
          </w:tcPr>
          <w:p>
            <w:pPr>
              <w:pStyle w:val="TableParagraph"/>
              <w:spacing w:before="30"/>
              <w:ind w:right="63"/>
              <w:rPr>
                <w:sz w:val="22"/>
              </w:rPr>
            </w:pPr>
            <w:r>
              <w:rPr>
                <w:sz w:val="22"/>
              </w:rPr>
              <w:t>718223,378</w:t>
            </w:r>
          </w:p>
        </w:tc>
        <w:tc>
          <w:tcPr>
            <w:tcW w:w="1536" w:type="dxa"/>
          </w:tcPr>
          <w:p>
            <w:pPr>
              <w:pStyle w:val="TableParagraph"/>
              <w:spacing w:before="30"/>
              <w:rPr>
                <w:sz w:val="22"/>
              </w:rPr>
            </w:pPr>
            <w:r>
              <w:rPr>
                <w:sz w:val="22"/>
              </w:rPr>
              <w:t>1,486200809</w:t>
            </w:r>
          </w:p>
        </w:tc>
      </w:tr>
      <w:tr>
        <w:trPr>
          <w:trHeight w:val="312" w:hRule="exact"/>
        </w:trPr>
        <w:tc>
          <w:tcPr>
            <w:tcW w:w="994" w:type="dxa"/>
          </w:tcPr>
          <w:p>
            <w:pPr>
              <w:pStyle w:val="TableParagraph"/>
              <w:spacing w:before="30"/>
              <w:ind w:right="1"/>
              <w:jc w:val="center"/>
              <w:rPr>
                <w:sz w:val="22"/>
              </w:rPr>
            </w:pPr>
            <w:r>
              <w:rPr>
                <w:w w:val="100"/>
                <w:sz w:val="22"/>
              </w:rPr>
              <w:t>N</w:t>
            </w:r>
          </w:p>
        </w:tc>
        <w:tc>
          <w:tcPr>
            <w:tcW w:w="790" w:type="dxa"/>
          </w:tcPr>
          <w:p>
            <w:pPr>
              <w:pStyle w:val="TableParagraph"/>
              <w:spacing w:before="30"/>
              <w:ind w:left="78" w:right="43"/>
              <w:jc w:val="center"/>
              <w:rPr>
                <w:sz w:val="22"/>
              </w:rPr>
            </w:pPr>
            <w:r>
              <w:rPr>
                <w:sz w:val="22"/>
              </w:rPr>
              <w:t>695,17</w:t>
            </w:r>
          </w:p>
        </w:tc>
        <w:tc>
          <w:tcPr>
            <w:tcW w:w="494" w:type="dxa"/>
          </w:tcPr>
          <w:p>
            <w:pPr/>
          </w:p>
        </w:tc>
        <w:tc>
          <w:tcPr>
            <w:tcW w:w="907" w:type="dxa"/>
          </w:tcPr>
          <w:p>
            <w:pPr/>
          </w:p>
        </w:tc>
        <w:tc>
          <w:tcPr>
            <w:tcW w:w="1262" w:type="dxa"/>
          </w:tcPr>
          <w:p>
            <w:pPr>
              <w:pStyle w:val="TableParagraph"/>
              <w:spacing w:before="18"/>
              <w:ind w:left="33" w:right="4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62" w:type="dxa"/>
          </w:tcPr>
          <w:p>
            <w:pPr>
              <w:pStyle w:val="TableParagraph"/>
              <w:spacing w:before="30"/>
              <w:ind w:left="107" w:right="41"/>
              <w:jc w:val="center"/>
              <w:rPr>
                <w:sz w:val="22"/>
              </w:rPr>
            </w:pPr>
            <w:r>
              <w:rPr>
                <w:sz w:val="22"/>
              </w:rPr>
              <w:t>236840,999</w:t>
            </w:r>
          </w:p>
        </w:tc>
        <w:tc>
          <w:tcPr>
            <w:tcW w:w="905" w:type="dxa"/>
          </w:tcPr>
          <w:p>
            <w:pPr/>
          </w:p>
        </w:tc>
        <w:tc>
          <w:tcPr>
            <w:tcW w:w="1500" w:type="dxa"/>
          </w:tcPr>
          <w:p>
            <w:pPr>
              <w:pStyle w:val="TableParagraph"/>
              <w:spacing w:before="30"/>
              <w:ind w:right="63"/>
              <w:rPr>
                <w:sz w:val="22"/>
              </w:rPr>
            </w:pPr>
            <w:r>
              <w:rPr>
                <w:sz w:val="22"/>
              </w:rPr>
              <w:t>57877617,897</w:t>
            </w:r>
          </w:p>
        </w:tc>
        <w:tc>
          <w:tcPr>
            <w:tcW w:w="1536" w:type="dxa"/>
          </w:tcPr>
          <w:p>
            <w:pPr>
              <w:pStyle w:val="TableParagraph"/>
              <w:spacing w:before="30"/>
              <w:rPr>
                <w:sz w:val="22"/>
              </w:rPr>
            </w:pPr>
            <w:r>
              <w:rPr>
                <w:sz w:val="22"/>
              </w:rPr>
              <w:t>119,7646375</w:t>
            </w:r>
          </w:p>
        </w:tc>
      </w:tr>
      <w:tr>
        <w:trPr>
          <w:trHeight w:val="310" w:hRule="exact"/>
        </w:trPr>
        <w:tc>
          <w:tcPr>
            <w:tcW w:w="5710" w:type="dxa"/>
            <w:gridSpan w:val="6"/>
            <w:vMerge w:val="restart"/>
            <w:tcBorders>
              <w:left w:val="nil"/>
            </w:tcBorders>
          </w:tcPr>
          <w:p>
            <w:pPr/>
          </w:p>
        </w:tc>
        <w:tc>
          <w:tcPr>
            <w:tcW w:w="2405" w:type="dxa"/>
            <w:gridSpan w:val="2"/>
          </w:tcPr>
          <w:p>
            <w:pPr>
              <w:pStyle w:val="TableParagraph"/>
              <w:spacing w:before="11"/>
              <w:ind w:left="62" w:right="125"/>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36" w:type="dxa"/>
          </w:tcPr>
          <w:p>
            <w:pPr>
              <w:pStyle w:val="TableParagraph"/>
              <w:rPr>
                <w:b/>
                <w:sz w:val="22"/>
              </w:rPr>
            </w:pPr>
            <w:r>
              <w:rPr>
                <w:b/>
                <w:sz w:val="22"/>
              </w:rPr>
              <w:t>340,695</w:t>
            </w:r>
          </w:p>
        </w:tc>
      </w:tr>
      <w:tr>
        <w:trPr>
          <w:trHeight w:val="310" w:hRule="exact"/>
        </w:trPr>
        <w:tc>
          <w:tcPr>
            <w:tcW w:w="5710" w:type="dxa"/>
            <w:gridSpan w:val="6"/>
            <w:vMerge/>
            <w:tcBorders>
              <w:left w:val="nil"/>
            </w:tcBorders>
          </w:tcPr>
          <w:p>
            <w:pPr/>
          </w:p>
        </w:tc>
        <w:tc>
          <w:tcPr>
            <w:tcW w:w="2405" w:type="dxa"/>
            <w:gridSpan w:val="2"/>
          </w:tcPr>
          <w:p>
            <w:pPr>
              <w:pStyle w:val="TableParagraph"/>
              <w:spacing w:before="13"/>
              <w:ind w:left="62" w:right="125"/>
              <w:jc w:val="left"/>
              <w:rPr>
                <w:sz w:val="22"/>
              </w:rPr>
            </w:pPr>
            <w:r>
              <w:rPr>
                <w:sz w:val="22"/>
              </w:rPr>
              <w:t>Desviación estándar</w:t>
            </w:r>
          </w:p>
        </w:tc>
        <w:tc>
          <w:tcPr>
            <w:tcW w:w="1536" w:type="dxa"/>
          </w:tcPr>
          <w:p>
            <w:pPr>
              <w:pStyle w:val="TableParagraph"/>
              <w:rPr>
                <w:b/>
                <w:sz w:val="22"/>
              </w:rPr>
            </w:pPr>
            <w:r>
              <w:rPr>
                <w:b/>
                <w:sz w:val="22"/>
              </w:rPr>
              <w:t>10,944</w:t>
            </w:r>
          </w:p>
        </w:tc>
      </w:tr>
      <w:tr>
        <w:trPr>
          <w:trHeight w:val="310" w:hRule="exact"/>
        </w:trPr>
        <w:tc>
          <w:tcPr>
            <w:tcW w:w="5710" w:type="dxa"/>
            <w:gridSpan w:val="6"/>
            <w:vMerge/>
            <w:tcBorders>
              <w:left w:val="nil"/>
            </w:tcBorders>
          </w:tcPr>
          <w:p>
            <w:pPr/>
          </w:p>
        </w:tc>
        <w:tc>
          <w:tcPr>
            <w:tcW w:w="2405" w:type="dxa"/>
            <w:gridSpan w:val="2"/>
            <w:vMerge w:val="restart"/>
          </w:tcPr>
          <w:p>
            <w:pPr>
              <w:pStyle w:val="TableParagraph"/>
              <w:spacing w:before="33"/>
              <w:ind w:left="62" w:right="125"/>
              <w:jc w:val="left"/>
              <w:rPr>
                <w:sz w:val="22"/>
              </w:rPr>
            </w:pPr>
            <w:r>
              <w:rPr>
                <w:sz w:val="22"/>
              </w:rPr>
              <w:t>Intervalo de confianza al 95 %</w:t>
            </w:r>
          </w:p>
        </w:tc>
        <w:tc>
          <w:tcPr>
            <w:tcW w:w="1536" w:type="dxa"/>
          </w:tcPr>
          <w:p>
            <w:pPr>
              <w:pStyle w:val="TableParagraph"/>
              <w:rPr>
                <w:sz w:val="22"/>
              </w:rPr>
            </w:pPr>
            <w:r>
              <w:rPr>
                <w:sz w:val="22"/>
              </w:rPr>
              <w:t>319,25</w:t>
            </w:r>
          </w:p>
        </w:tc>
      </w:tr>
      <w:tr>
        <w:trPr>
          <w:trHeight w:val="310" w:hRule="exact"/>
        </w:trPr>
        <w:tc>
          <w:tcPr>
            <w:tcW w:w="5710" w:type="dxa"/>
            <w:gridSpan w:val="6"/>
            <w:vMerge/>
            <w:tcBorders>
              <w:left w:val="nil"/>
              <w:bottom w:val="nil"/>
            </w:tcBorders>
          </w:tcPr>
          <w:p>
            <w:pPr/>
          </w:p>
        </w:tc>
        <w:tc>
          <w:tcPr>
            <w:tcW w:w="2405" w:type="dxa"/>
            <w:gridSpan w:val="2"/>
            <w:vMerge/>
          </w:tcPr>
          <w:p>
            <w:pPr/>
          </w:p>
        </w:tc>
        <w:tc>
          <w:tcPr>
            <w:tcW w:w="1536" w:type="dxa"/>
          </w:tcPr>
          <w:p>
            <w:pPr>
              <w:pStyle w:val="TableParagraph"/>
              <w:rPr>
                <w:sz w:val="22"/>
              </w:rPr>
            </w:pPr>
            <w:r>
              <w:rPr>
                <w:sz w:val="22"/>
              </w:rPr>
              <w:t>362,14</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111"/>
        <w:gridCol w:w="1188"/>
        <w:gridCol w:w="1325"/>
        <w:gridCol w:w="931"/>
        <w:gridCol w:w="1543"/>
        <w:gridCol w:w="1447"/>
      </w:tblGrid>
      <w:tr>
        <w:trPr>
          <w:trHeight w:val="310" w:hRule="exact"/>
        </w:trPr>
        <w:tc>
          <w:tcPr>
            <w:tcW w:w="9696" w:type="dxa"/>
            <w:gridSpan w:val="9"/>
          </w:tcPr>
          <w:p>
            <w:pPr>
              <w:pStyle w:val="TableParagraph"/>
              <w:ind w:left="3740" w:right="3740"/>
              <w:jc w:val="center"/>
              <w:rPr>
                <w:sz w:val="22"/>
              </w:rPr>
            </w:pPr>
            <w:r>
              <w:rPr>
                <w:sz w:val="22"/>
              </w:rPr>
              <w:t>Eficiencia general</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11" w:type="dxa"/>
          </w:tcPr>
          <w:p>
            <w:pPr>
              <w:pStyle w:val="TableParagraph"/>
              <w:spacing w:before="43"/>
              <w:ind w:left="357" w:right="37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88" w:type="dxa"/>
          </w:tcPr>
          <w:p>
            <w:pPr>
              <w:pStyle w:val="TableParagraph"/>
              <w:spacing w:line="214" w:lineRule="exact" w:before="6"/>
              <w:ind w:left="49" w:right="59"/>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25" w:type="dxa"/>
          </w:tcPr>
          <w:p>
            <w:pPr>
              <w:pStyle w:val="TableParagraph"/>
              <w:spacing w:before="19"/>
              <w:ind w:left="538" w:right="54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31"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543" w:type="dxa"/>
          </w:tcPr>
          <w:p>
            <w:pPr>
              <w:pStyle w:val="TableParagraph"/>
              <w:spacing w:before="0"/>
              <w:ind w:left="43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47" w:type="dxa"/>
          </w:tcPr>
          <w:p>
            <w:pPr>
              <w:pStyle w:val="TableParagraph"/>
              <w:spacing w:before="0"/>
              <w:ind w:left="37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30"/>
              <w:ind w:right="1"/>
              <w:jc w:val="center"/>
              <w:rPr>
                <w:sz w:val="22"/>
              </w:rPr>
            </w:pPr>
            <w:r>
              <w:rPr>
                <w:w w:val="100"/>
                <w:sz w:val="22"/>
              </w:rPr>
              <w:t>1</w:t>
            </w:r>
          </w:p>
        </w:tc>
        <w:tc>
          <w:tcPr>
            <w:tcW w:w="809" w:type="dxa"/>
          </w:tcPr>
          <w:p>
            <w:pPr>
              <w:pStyle w:val="TableParagraph"/>
              <w:spacing w:before="30"/>
              <w:ind w:left="59" w:right="1"/>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1111" w:type="dxa"/>
          </w:tcPr>
          <w:p>
            <w:pPr>
              <w:pStyle w:val="TableParagraph"/>
              <w:spacing w:before="30"/>
              <w:ind w:right="63"/>
              <w:rPr>
                <w:sz w:val="22"/>
              </w:rPr>
            </w:pPr>
            <w:r>
              <w:rPr>
                <w:sz w:val="22"/>
              </w:rPr>
              <w:t>21,5506</w:t>
            </w:r>
          </w:p>
        </w:tc>
        <w:tc>
          <w:tcPr>
            <w:tcW w:w="1188" w:type="dxa"/>
          </w:tcPr>
          <w:p>
            <w:pPr>
              <w:pStyle w:val="TableParagraph"/>
              <w:spacing w:before="30"/>
              <w:ind w:right="63"/>
              <w:rPr>
                <w:sz w:val="22"/>
              </w:rPr>
            </w:pPr>
            <w:r>
              <w:rPr>
                <w:sz w:val="22"/>
              </w:rPr>
              <w:t>2850,1219</w:t>
            </w:r>
          </w:p>
        </w:tc>
        <w:tc>
          <w:tcPr>
            <w:tcW w:w="1325" w:type="dxa"/>
          </w:tcPr>
          <w:p>
            <w:pPr>
              <w:pStyle w:val="TableParagraph"/>
              <w:spacing w:before="30"/>
              <w:rPr>
                <w:sz w:val="22"/>
              </w:rPr>
            </w:pPr>
            <w:r>
              <w:rPr>
                <w:sz w:val="22"/>
              </w:rPr>
              <w:t>2340,3920</w:t>
            </w:r>
          </w:p>
        </w:tc>
        <w:tc>
          <w:tcPr>
            <w:tcW w:w="931" w:type="dxa"/>
          </w:tcPr>
          <w:p>
            <w:pPr>
              <w:pStyle w:val="TableParagraph"/>
              <w:spacing w:before="30"/>
              <w:ind w:left="110" w:right="47"/>
              <w:jc w:val="center"/>
              <w:rPr>
                <w:sz w:val="22"/>
              </w:rPr>
            </w:pPr>
            <w:r>
              <w:rPr>
                <w:sz w:val="22"/>
              </w:rPr>
              <w:t>53,3865</w:t>
            </w:r>
          </w:p>
        </w:tc>
        <w:tc>
          <w:tcPr>
            <w:tcW w:w="1543" w:type="dxa"/>
          </w:tcPr>
          <w:p>
            <w:pPr>
              <w:pStyle w:val="TableParagraph"/>
              <w:spacing w:before="30"/>
              <w:ind w:right="63"/>
              <w:rPr>
                <w:sz w:val="22"/>
              </w:rPr>
            </w:pPr>
            <w:r>
              <w:rPr>
                <w:sz w:val="22"/>
              </w:rPr>
              <w:t>-104057,3241</w:t>
            </w:r>
          </w:p>
        </w:tc>
        <w:tc>
          <w:tcPr>
            <w:tcW w:w="1447" w:type="dxa"/>
          </w:tcPr>
          <w:p>
            <w:pPr>
              <w:pStyle w:val="TableParagraph"/>
              <w:spacing w:before="30"/>
              <w:rPr>
                <w:sz w:val="22"/>
              </w:rPr>
            </w:pPr>
            <w:r>
              <w:rPr>
                <w:sz w:val="22"/>
              </w:rPr>
              <w:t>-0,21532309</w:t>
            </w:r>
          </w:p>
        </w:tc>
      </w:tr>
      <w:tr>
        <w:trPr>
          <w:trHeight w:val="312" w:hRule="exact"/>
        </w:trPr>
        <w:tc>
          <w:tcPr>
            <w:tcW w:w="838" w:type="dxa"/>
          </w:tcPr>
          <w:p>
            <w:pPr>
              <w:pStyle w:val="TableParagraph"/>
              <w:spacing w:before="30"/>
              <w:ind w:right="1"/>
              <w:jc w:val="center"/>
              <w:rPr>
                <w:sz w:val="22"/>
              </w:rPr>
            </w:pPr>
            <w:r>
              <w:rPr>
                <w:w w:val="100"/>
                <w:sz w:val="22"/>
              </w:rPr>
              <w:t>2</w:t>
            </w:r>
          </w:p>
        </w:tc>
        <w:tc>
          <w:tcPr>
            <w:tcW w:w="809" w:type="dxa"/>
          </w:tcPr>
          <w:p>
            <w:pPr>
              <w:pStyle w:val="TableParagraph"/>
              <w:spacing w:before="30"/>
              <w:ind w:left="59" w:right="1"/>
              <w:jc w:val="center"/>
              <w:rPr>
                <w:sz w:val="22"/>
              </w:rPr>
            </w:pPr>
            <w:r>
              <w:rPr>
                <w:sz w:val="22"/>
              </w:rPr>
              <w:t>121,03</w:t>
            </w:r>
          </w:p>
        </w:tc>
        <w:tc>
          <w:tcPr>
            <w:tcW w:w="504" w:type="dxa"/>
          </w:tcPr>
          <w:p>
            <w:pPr>
              <w:pStyle w:val="TableParagraph"/>
              <w:spacing w:before="30"/>
              <w:ind w:left="184" w:right="42"/>
              <w:jc w:val="center"/>
              <w:rPr>
                <w:sz w:val="22"/>
              </w:rPr>
            </w:pPr>
            <w:r>
              <w:rPr>
                <w:sz w:val="22"/>
              </w:rPr>
              <w:t>81</w:t>
            </w:r>
          </w:p>
        </w:tc>
        <w:tc>
          <w:tcPr>
            <w:tcW w:w="1111" w:type="dxa"/>
          </w:tcPr>
          <w:p>
            <w:pPr>
              <w:pStyle w:val="TableParagraph"/>
              <w:spacing w:before="30"/>
              <w:ind w:right="63"/>
              <w:rPr>
                <w:sz w:val="22"/>
              </w:rPr>
            </w:pPr>
            <w:r>
              <w:rPr>
                <w:sz w:val="22"/>
              </w:rPr>
              <w:t>35,9346</w:t>
            </w:r>
          </w:p>
        </w:tc>
        <w:tc>
          <w:tcPr>
            <w:tcW w:w="1188" w:type="dxa"/>
          </w:tcPr>
          <w:p>
            <w:pPr>
              <w:pStyle w:val="TableParagraph"/>
              <w:spacing w:before="30"/>
              <w:ind w:right="63"/>
              <w:rPr>
                <w:sz w:val="22"/>
              </w:rPr>
            </w:pPr>
            <w:r>
              <w:rPr>
                <w:sz w:val="22"/>
              </w:rPr>
              <w:t>1760,3466</w:t>
            </w:r>
          </w:p>
        </w:tc>
        <w:tc>
          <w:tcPr>
            <w:tcW w:w="1325" w:type="dxa"/>
          </w:tcPr>
          <w:p>
            <w:pPr>
              <w:pStyle w:val="TableParagraph"/>
              <w:spacing w:before="30"/>
              <w:rPr>
                <w:sz w:val="22"/>
              </w:rPr>
            </w:pPr>
            <w:r>
              <w:rPr>
                <w:sz w:val="22"/>
              </w:rPr>
              <w:t>4349,1598</w:t>
            </w:r>
          </w:p>
        </w:tc>
        <w:tc>
          <w:tcPr>
            <w:tcW w:w="931" w:type="dxa"/>
          </w:tcPr>
          <w:p>
            <w:pPr>
              <w:pStyle w:val="TableParagraph"/>
              <w:spacing w:before="30"/>
              <w:ind w:left="110" w:right="47"/>
              <w:jc w:val="center"/>
              <w:rPr>
                <w:sz w:val="22"/>
              </w:rPr>
            </w:pPr>
            <w:r>
              <w:rPr>
                <w:sz w:val="22"/>
              </w:rPr>
              <w:t>41,9565</w:t>
            </w:r>
          </w:p>
        </w:tc>
        <w:tc>
          <w:tcPr>
            <w:tcW w:w="1543" w:type="dxa"/>
          </w:tcPr>
          <w:p>
            <w:pPr>
              <w:pStyle w:val="TableParagraph"/>
              <w:spacing w:before="30"/>
              <w:ind w:right="63"/>
              <w:rPr>
                <w:sz w:val="22"/>
              </w:rPr>
            </w:pPr>
            <w:r>
              <w:rPr>
                <w:sz w:val="22"/>
              </w:rPr>
              <w:t>105448,4172</w:t>
            </w:r>
          </w:p>
        </w:tc>
        <w:tc>
          <w:tcPr>
            <w:tcW w:w="1447" w:type="dxa"/>
          </w:tcPr>
          <w:p>
            <w:pPr>
              <w:pStyle w:val="TableParagraph"/>
              <w:spacing w:before="30"/>
              <w:rPr>
                <w:sz w:val="22"/>
              </w:rPr>
            </w:pPr>
            <w:r>
              <w:rPr>
                <w:sz w:val="22"/>
              </w:rPr>
              <w:t>0,21820165</w:t>
            </w:r>
          </w:p>
        </w:tc>
      </w:tr>
      <w:tr>
        <w:trPr>
          <w:trHeight w:val="310" w:hRule="exact"/>
        </w:trPr>
        <w:tc>
          <w:tcPr>
            <w:tcW w:w="838" w:type="dxa"/>
          </w:tcPr>
          <w:p>
            <w:pPr>
              <w:pStyle w:val="TableParagraph"/>
              <w:ind w:right="1"/>
              <w:jc w:val="center"/>
              <w:rPr>
                <w:sz w:val="22"/>
              </w:rPr>
            </w:pPr>
            <w:r>
              <w:rPr>
                <w:w w:val="100"/>
                <w:sz w:val="22"/>
              </w:rPr>
              <w:t>3</w:t>
            </w:r>
          </w:p>
        </w:tc>
        <w:tc>
          <w:tcPr>
            <w:tcW w:w="809" w:type="dxa"/>
          </w:tcPr>
          <w:p>
            <w:pPr>
              <w:pStyle w:val="TableParagraph"/>
              <w:ind w:left="59" w:right="1"/>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111" w:type="dxa"/>
          </w:tcPr>
          <w:p>
            <w:pPr>
              <w:pStyle w:val="TableParagraph"/>
              <w:ind w:right="63"/>
              <w:rPr>
                <w:sz w:val="22"/>
              </w:rPr>
            </w:pPr>
            <w:r>
              <w:rPr>
                <w:sz w:val="22"/>
              </w:rPr>
              <w:t>23,7602</w:t>
            </w:r>
          </w:p>
        </w:tc>
        <w:tc>
          <w:tcPr>
            <w:tcW w:w="1188" w:type="dxa"/>
          </w:tcPr>
          <w:p>
            <w:pPr>
              <w:pStyle w:val="TableParagraph"/>
              <w:ind w:right="63"/>
              <w:rPr>
                <w:sz w:val="22"/>
              </w:rPr>
            </w:pPr>
            <w:r>
              <w:rPr>
                <w:sz w:val="22"/>
              </w:rPr>
              <w:t>607,0625</w:t>
            </w:r>
          </w:p>
        </w:tc>
        <w:tc>
          <w:tcPr>
            <w:tcW w:w="1325" w:type="dxa"/>
          </w:tcPr>
          <w:p>
            <w:pPr>
              <w:pStyle w:val="TableParagraph"/>
              <w:rPr>
                <w:sz w:val="22"/>
              </w:rPr>
            </w:pPr>
            <w:r>
              <w:rPr>
                <w:sz w:val="22"/>
              </w:rPr>
              <w:t>3093,8122</w:t>
            </w:r>
          </w:p>
        </w:tc>
        <w:tc>
          <w:tcPr>
            <w:tcW w:w="931" w:type="dxa"/>
          </w:tcPr>
          <w:p>
            <w:pPr>
              <w:pStyle w:val="TableParagraph"/>
              <w:ind w:left="110" w:right="47"/>
              <w:jc w:val="center"/>
              <w:rPr>
                <w:sz w:val="22"/>
              </w:rPr>
            </w:pPr>
            <w:r>
              <w:rPr>
                <w:sz w:val="22"/>
              </w:rPr>
              <w:t>24,6386</w:t>
            </w:r>
          </w:p>
        </w:tc>
        <w:tc>
          <w:tcPr>
            <w:tcW w:w="1543" w:type="dxa"/>
          </w:tcPr>
          <w:p>
            <w:pPr>
              <w:pStyle w:val="TableParagraph"/>
              <w:ind w:right="63"/>
              <w:rPr>
                <w:sz w:val="22"/>
              </w:rPr>
            </w:pPr>
            <w:r>
              <w:rPr>
                <w:sz w:val="22"/>
              </w:rPr>
              <w:t>55426,9381</w:t>
            </w:r>
          </w:p>
        </w:tc>
        <w:tc>
          <w:tcPr>
            <w:tcW w:w="1447" w:type="dxa"/>
          </w:tcPr>
          <w:p>
            <w:pPr>
              <w:pStyle w:val="TableParagraph"/>
              <w:rPr>
                <w:sz w:val="22"/>
              </w:rPr>
            </w:pPr>
            <w:r>
              <w:rPr>
                <w:sz w:val="22"/>
              </w:rPr>
              <w:t>0,11469351</w:t>
            </w:r>
          </w:p>
        </w:tc>
      </w:tr>
      <w:tr>
        <w:trPr>
          <w:trHeight w:val="310" w:hRule="exact"/>
        </w:trPr>
        <w:tc>
          <w:tcPr>
            <w:tcW w:w="838" w:type="dxa"/>
          </w:tcPr>
          <w:p>
            <w:pPr>
              <w:pStyle w:val="TableParagraph"/>
              <w:ind w:right="1"/>
              <w:jc w:val="center"/>
              <w:rPr>
                <w:sz w:val="22"/>
              </w:rPr>
            </w:pPr>
            <w:r>
              <w:rPr>
                <w:w w:val="100"/>
                <w:sz w:val="22"/>
              </w:rPr>
              <w:t>4</w:t>
            </w:r>
          </w:p>
        </w:tc>
        <w:tc>
          <w:tcPr>
            <w:tcW w:w="809" w:type="dxa"/>
          </w:tcPr>
          <w:p>
            <w:pPr>
              <w:pStyle w:val="TableParagraph"/>
              <w:ind w:left="59" w:right="1"/>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111" w:type="dxa"/>
          </w:tcPr>
          <w:p>
            <w:pPr>
              <w:pStyle w:val="TableParagraph"/>
              <w:ind w:right="63"/>
              <w:rPr>
                <w:sz w:val="22"/>
              </w:rPr>
            </w:pPr>
            <w:r>
              <w:rPr>
                <w:sz w:val="22"/>
              </w:rPr>
              <w:t>27,3080</w:t>
            </w:r>
          </w:p>
        </w:tc>
        <w:tc>
          <w:tcPr>
            <w:tcW w:w="1188" w:type="dxa"/>
          </w:tcPr>
          <w:p>
            <w:pPr>
              <w:pStyle w:val="TableParagraph"/>
              <w:ind w:right="63"/>
              <w:rPr>
                <w:sz w:val="22"/>
              </w:rPr>
            </w:pPr>
            <w:r>
              <w:rPr>
                <w:sz w:val="22"/>
              </w:rPr>
              <w:t>124,9136</w:t>
            </w:r>
          </w:p>
        </w:tc>
        <w:tc>
          <w:tcPr>
            <w:tcW w:w="1325" w:type="dxa"/>
          </w:tcPr>
          <w:p>
            <w:pPr>
              <w:pStyle w:val="TableParagraph"/>
              <w:rPr>
                <w:sz w:val="22"/>
              </w:rPr>
            </w:pPr>
            <w:r>
              <w:rPr>
                <w:sz w:val="22"/>
              </w:rPr>
              <w:t>4236,0241</w:t>
            </w:r>
          </w:p>
        </w:tc>
        <w:tc>
          <w:tcPr>
            <w:tcW w:w="931" w:type="dxa"/>
          </w:tcPr>
          <w:p>
            <w:pPr>
              <w:pStyle w:val="TableParagraph"/>
              <w:ind w:left="110" w:right="47"/>
              <w:jc w:val="center"/>
              <w:rPr>
                <w:sz w:val="22"/>
              </w:rPr>
            </w:pPr>
            <w:r>
              <w:rPr>
                <w:sz w:val="22"/>
              </w:rPr>
              <w:t>11,1765</w:t>
            </w:r>
          </w:p>
        </w:tc>
        <w:tc>
          <w:tcPr>
            <w:tcW w:w="1543" w:type="dxa"/>
          </w:tcPr>
          <w:p>
            <w:pPr>
              <w:pStyle w:val="TableParagraph"/>
              <w:ind w:right="63"/>
              <w:rPr>
                <w:sz w:val="22"/>
              </w:rPr>
            </w:pPr>
            <w:r>
              <w:rPr>
                <w:sz w:val="22"/>
              </w:rPr>
              <w:t>13361,6444</w:t>
            </w:r>
          </w:p>
        </w:tc>
        <w:tc>
          <w:tcPr>
            <w:tcW w:w="1447" w:type="dxa"/>
          </w:tcPr>
          <w:p>
            <w:pPr>
              <w:pStyle w:val="TableParagraph"/>
              <w:rPr>
                <w:sz w:val="22"/>
              </w:rPr>
            </w:pPr>
            <w:r>
              <w:rPr>
                <w:sz w:val="22"/>
              </w:rPr>
              <w:t>0,0276489</w:t>
            </w:r>
          </w:p>
        </w:tc>
      </w:tr>
      <w:tr>
        <w:trPr>
          <w:trHeight w:val="310" w:hRule="exact"/>
        </w:trPr>
        <w:tc>
          <w:tcPr>
            <w:tcW w:w="838" w:type="dxa"/>
          </w:tcPr>
          <w:p>
            <w:pPr>
              <w:pStyle w:val="TableParagraph"/>
              <w:ind w:right="1"/>
              <w:jc w:val="center"/>
              <w:rPr>
                <w:sz w:val="22"/>
              </w:rPr>
            </w:pPr>
            <w:r>
              <w:rPr>
                <w:w w:val="100"/>
                <w:sz w:val="22"/>
              </w:rPr>
              <w:t>5</w:t>
            </w:r>
          </w:p>
        </w:tc>
        <w:tc>
          <w:tcPr>
            <w:tcW w:w="809" w:type="dxa"/>
          </w:tcPr>
          <w:p>
            <w:pPr>
              <w:pStyle w:val="TableParagraph"/>
              <w:ind w:left="59" w:right="1"/>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111" w:type="dxa"/>
          </w:tcPr>
          <w:p>
            <w:pPr>
              <w:pStyle w:val="TableParagraph"/>
              <w:ind w:right="63"/>
              <w:rPr>
                <w:sz w:val="22"/>
              </w:rPr>
            </w:pPr>
            <w:r>
              <w:rPr>
                <w:sz w:val="22"/>
              </w:rPr>
              <w:t>11,5033</w:t>
            </w:r>
          </w:p>
        </w:tc>
        <w:tc>
          <w:tcPr>
            <w:tcW w:w="1188" w:type="dxa"/>
          </w:tcPr>
          <w:p>
            <w:pPr>
              <w:pStyle w:val="TableParagraph"/>
              <w:ind w:right="63"/>
              <w:rPr>
                <w:sz w:val="22"/>
              </w:rPr>
            </w:pPr>
            <w:r>
              <w:rPr>
                <w:sz w:val="22"/>
              </w:rPr>
              <w:t>280,7515</w:t>
            </w:r>
          </w:p>
        </w:tc>
        <w:tc>
          <w:tcPr>
            <w:tcW w:w="1325" w:type="dxa"/>
          </w:tcPr>
          <w:p>
            <w:pPr>
              <w:pStyle w:val="TableParagraph"/>
              <w:rPr>
                <w:sz w:val="22"/>
              </w:rPr>
            </w:pPr>
            <w:r>
              <w:rPr>
                <w:sz w:val="22"/>
              </w:rPr>
              <w:t>2073,0030</w:t>
            </w:r>
          </w:p>
        </w:tc>
        <w:tc>
          <w:tcPr>
            <w:tcW w:w="931" w:type="dxa"/>
          </w:tcPr>
          <w:p>
            <w:pPr>
              <w:pStyle w:val="TableParagraph"/>
              <w:ind w:left="110" w:right="47"/>
              <w:jc w:val="center"/>
              <w:rPr>
                <w:sz w:val="22"/>
              </w:rPr>
            </w:pPr>
            <w:r>
              <w:rPr>
                <w:sz w:val="22"/>
              </w:rPr>
              <w:t>16,7556</w:t>
            </w:r>
          </w:p>
        </w:tc>
        <w:tc>
          <w:tcPr>
            <w:tcW w:w="1543" w:type="dxa"/>
          </w:tcPr>
          <w:p>
            <w:pPr>
              <w:pStyle w:val="TableParagraph"/>
              <w:ind w:right="63"/>
              <w:rPr>
                <w:sz w:val="22"/>
              </w:rPr>
            </w:pPr>
            <w:r>
              <w:rPr>
                <w:sz w:val="22"/>
              </w:rPr>
              <w:t>18457,4703</w:t>
            </w:r>
          </w:p>
        </w:tc>
        <w:tc>
          <w:tcPr>
            <w:tcW w:w="1447" w:type="dxa"/>
          </w:tcPr>
          <w:p>
            <w:pPr>
              <w:pStyle w:val="TableParagraph"/>
              <w:rPr>
                <w:sz w:val="22"/>
              </w:rPr>
            </w:pPr>
            <w:r>
              <w:rPr>
                <w:sz w:val="22"/>
              </w:rPr>
              <w:t>0,03819356</w:t>
            </w:r>
          </w:p>
        </w:tc>
      </w:tr>
      <w:tr>
        <w:trPr>
          <w:trHeight w:val="310" w:hRule="exact"/>
        </w:trPr>
        <w:tc>
          <w:tcPr>
            <w:tcW w:w="838" w:type="dxa"/>
          </w:tcPr>
          <w:p>
            <w:pPr>
              <w:pStyle w:val="TableParagraph"/>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1111" w:type="dxa"/>
          </w:tcPr>
          <w:p>
            <w:pPr/>
          </w:p>
        </w:tc>
        <w:tc>
          <w:tcPr>
            <w:tcW w:w="1188" w:type="dxa"/>
          </w:tcPr>
          <w:p>
            <w:pPr>
              <w:pStyle w:val="TableParagraph"/>
              <w:spacing w:before="18"/>
              <w:ind w:left="43" w:right="5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25" w:type="dxa"/>
          </w:tcPr>
          <w:p>
            <w:pPr>
              <w:pStyle w:val="TableParagraph"/>
              <w:rPr>
                <w:sz w:val="22"/>
              </w:rPr>
            </w:pPr>
            <w:r>
              <w:rPr>
                <w:sz w:val="22"/>
              </w:rPr>
              <w:t>16092,3910</w:t>
            </w:r>
          </w:p>
        </w:tc>
        <w:tc>
          <w:tcPr>
            <w:tcW w:w="931" w:type="dxa"/>
          </w:tcPr>
          <w:p>
            <w:pPr/>
          </w:p>
        </w:tc>
        <w:tc>
          <w:tcPr>
            <w:tcW w:w="1543" w:type="dxa"/>
          </w:tcPr>
          <w:p>
            <w:pPr>
              <w:pStyle w:val="TableParagraph"/>
              <w:ind w:right="63"/>
              <w:rPr>
                <w:sz w:val="22"/>
              </w:rPr>
            </w:pPr>
            <w:r>
              <w:rPr>
                <w:sz w:val="22"/>
              </w:rPr>
              <w:t>88637,1459</w:t>
            </w:r>
          </w:p>
        </w:tc>
        <w:tc>
          <w:tcPr>
            <w:tcW w:w="1447" w:type="dxa"/>
          </w:tcPr>
          <w:p>
            <w:pPr>
              <w:pStyle w:val="TableParagraph"/>
              <w:rPr>
                <w:sz w:val="22"/>
              </w:rPr>
            </w:pPr>
            <w:r>
              <w:rPr>
                <w:sz w:val="22"/>
              </w:rPr>
              <w:t>0,18341452</w:t>
            </w:r>
          </w:p>
        </w:tc>
      </w:tr>
      <w:tr>
        <w:trPr>
          <w:trHeight w:val="310" w:hRule="exact"/>
        </w:trPr>
        <w:tc>
          <w:tcPr>
            <w:tcW w:w="5774" w:type="dxa"/>
            <w:gridSpan w:val="6"/>
            <w:vMerge w:val="restart"/>
            <w:tcBorders>
              <w:left w:val="nil"/>
            </w:tcBorders>
          </w:tcPr>
          <w:p>
            <w:pPr/>
          </w:p>
        </w:tc>
        <w:tc>
          <w:tcPr>
            <w:tcW w:w="2474" w:type="dxa"/>
            <w:gridSpan w:val="2"/>
          </w:tcPr>
          <w:p>
            <w:pPr>
              <w:pStyle w:val="TableParagraph"/>
              <w:spacing w:before="13"/>
              <w:ind w:left="64" w:right="19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47" w:type="dxa"/>
          </w:tcPr>
          <w:p>
            <w:pPr>
              <w:pStyle w:val="TableParagraph"/>
              <w:spacing w:before="30"/>
              <w:rPr>
                <w:b/>
                <w:sz w:val="22"/>
              </w:rPr>
            </w:pPr>
            <w:r>
              <w:rPr>
                <w:b/>
                <w:sz w:val="22"/>
              </w:rPr>
              <w:t>23,149</w:t>
            </w:r>
          </w:p>
        </w:tc>
      </w:tr>
      <w:tr>
        <w:trPr>
          <w:trHeight w:val="312" w:hRule="exact"/>
        </w:trPr>
        <w:tc>
          <w:tcPr>
            <w:tcW w:w="5774" w:type="dxa"/>
            <w:gridSpan w:val="6"/>
            <w:vMerge/>
            <w:tcBorders>
              <w:left w:val="nil"/>
            </w:tcBorders>
          </w:tcPr>
          <w:p>
            <w:pPr/>
          </w:p>
        </w:tc>
        <w:tc>
          <w:tcPr>
            <w:tcW w:w="2474" w:type="dxa"/>
            <w:gridSpan w:val="2"/>
          </w:tcPr>
          <w:p>
            <w:pPr>
              <w:pStyle w:val="TableParagraph"/>
              <w:spacing w:before="13"/>
              <w:ind w:left="64" w:right="193"/>
              <w:jc w:val="left"/>
              <w:rPr>
                <w:sz w:val="22"/>
              </w:rPr>
            </w:pPr>
            <w:r>
              <w:rPr>
                <w:sz w:val="22"/>
              </w:rPr>
              <w:t>Desviación estándar</w:t>
            </w:r>
          </w:p>
        </w:tc>
        <w:tc>
          <w:tcPr>
            <w:tcW w:w="1447" w:type="dxa"/>
          </w:tcPr>
          <w:p>
            <w:pPr>
              <w:pStyle w:val="TableParagraph"/>
              <w:spacing w:before="30"/>
              <w:rPr>
                <w:b/>
                <w:sz w:val="22"/>
              </w:rPr>
            </w:pPr>
            <w:r>
              <w:rPr>
                <w:b/>
                <w:sz w:val="22"/>
              </w:rPr>
              <w:t>0,428</w:t>
            </w:r>
          </w:p>
        </w:tc>
      </w:tr>
      <w:tr>
        <w:trPr>
          <w:trHeight w:val="310" w:hRule="exact"/>
        </w:trPr>
        <w:tc>
          <w:tcPr>
            <w:tcW w:w="5774" w:type="dxa"/>
            <w:gridSpan w:val="6"/>
            <w:vMerge/>
            <w:tcBorders>
              <w:left w:val="nil"/>
            </w:tcBorders>
          </w:tcPr>
          <w:p>
            <w:pPr/>
          </w:p>
        </w:tc>
        <w:tc>
          <w:tcPr>
            <w:tcW w:w="2474" w:type="dxa"/>
            <w:gridSpan w:val="2"/>
            <w:vMerge w:val="restart"/>
          </w:tcPr>
          <w:p>
            <w:pPr>
              <w:pStyle w:val="TableParagraph"/>
              <w:spacing w:before="33"/>
              <w:ind w:left="64" w:right="193"/>
              <w:jc w:val="left"/>
              <w:rPr>
                <w:sz w:val="22"/>
              </w:rPr>
            </w:pPr>
            <w:r>
              <w:rPr>
                <w:sz w:val="22"/>
              </w:rPr>
              <w:t>Intervalo de confianza al 95 %</w:t>
            </w:r>
          </w:p>
        </w:tc>
        <w:tc>
          <w:tcPr>
            <w:tcW w:w="1447" w:type="dxa"/>
          </w:tcPr>
          <w:p>
            <w:pPr>
              <w:pStyle w:val="TableParagraph"/>
              <w:rPr>
                <w:sz w:val="22"/>
              </w:rPr>
            </w:pPr>
            <w:r>
              <w:rPr>
                <w:sz w:val="22"/>
              </w:rPr>
              <w:t>22,31</w:t>
            </w:r>
          </w:p>
        </w:tc>
      </w:tr>
      <w:tr>
        <w:trPr>
          <w:trHeight w:val="310" w:hRule="exact"/>
        </w:trPr>
        <w:tc>
          <w:tcPr>
            <w:tcW w:w="5774" w:type="dxa"/>
            <w:gridSpan w:val="6"/>
            <w:vMerge/>
            <w:tcBorders>
              <w:left w:val="nil"/>
              <w:bottom w:val="nil"/>
            </w:tcBorders>
          </w:tcPr>
          <w:p>
            <w:pPr/>
          </w:p>
        </w:tc>
        <w:tc>
          <w:tcPr>
            <w:tcW w:w="2474" w:type="dxa"/>
            <w:gridSpan w:val="2"/>
            <w:vMerge/>
          </w:tcPr>
          <w:p>
            <w:pPr/>
          </w:p>
        </w:tc>
        <w:tc>
          <w:tcPr>
            <w:tcW w:w="1447" w:type="dxa"/>
          </w:tcPr>
          <w:p>
            <w:pPr>
              <w:pStyle w:val="TableParagraph"/>
              <w:rPr>
                <w:sz w:val="22"/>
              </w:rPr>
            </w:pPr>
            <w:r>
              <w:rPr>
                <w:sz w:val="22"/>
              </w:rPr>
              <w:t>23,99</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111"/>
        <w:gridCol w:w="1188"/>
        <w:gridCol w:w="1325"/>
        <w:gridCol w:w="931"/>
        <w:gridCol w:w="1543"/>
        <w:gridCol w:w="1447"/>
      </w:tblGrid>
      <w:tr>
        <w:trPr>
          <w:trHeight w:val="310" w:hRule="exact"/>
        </w:trPr>
        <w:tc>
          <w:tcPr>
            <w:tcW w:w="9696" w:type="dxa"/>
            <w:gridSpan w:val="9"/>
          </w:tcPr>
          <w:p>
            <w:pPr>
              <w:pStyle w:val="TableParagraph"/>
              <w:ind w:left="3740" w:right="3740"/>
              <w:jc w:val="center"/>
              <w:rPr>
                <w:sz w:val="22"/>
              </w:rPr>
            </w:pPr>
            <w:r>
              <w:rPr>
                <w:sz w:val="22"/>
              </w:rPr>
              <w:t>Eficiencia Percolador</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11" w:type="dxa"/>
          </w:tcPr>
          <w:p>
            <w:pPr>
              <w:pStyle w:val="TableParagraph"/>
              <w:spacing w:before="43"/>
              <w:ind w:left="357" w:right="37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88" w:type="dxa"/>
          </w:tcPr>
          <w:p>
            <w:pPr>
              <w:pStyle w:val="TableParagraph"/>
              <w:spacing w:line="214" w:lineRule="exact" w:before="6"/>
              <w:ind w:left="49" w:right="59"/>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25" w:type="dxa"/>
          </w:tcPr>
          <w:p>
            <w:pPr>
              <w:pStyle w:val="TableParagraph"/>
              <w:spacing w:before="19"/>
              <w:ind w:left="538" w:right="54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31"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543" w:type="dxa"/>
          </w:tcPr>
          <w:p>
            <w:pPr>
              <w:pStyle w:val="TableParagraph"/>
              <w:spacing w:before="0"/>
              <w:ind w:left="43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47" w:type="dxa"/>
          </w:tcPr>
          <w:p>
            <w:pPr>
              <w:pStyle w:val="TableParagraph"/>
              <w:spacing w:before="0"/>
              <w:ind w:left="37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38" w:type="dxa"/>
          </w:tcPr>
          <w:p>
            <w:pPr>
              <w:pStyle w:val="TableParagraph"/>
              <w:spacing w:before="30"/>
              <w:ind w:right="1"/>
              <w:jc w:val="center"/>
              <w:rPr>
                <w:sz w:val="22"/>
              </w:rPr>
            </w:pPr>
            <w:r>
              <w:rPr>
                <w:w w:val="100"/>
                <w:sz w:val="22"/>
              </w:rPr>
              <w:t>1</w:t>
            </w:r>
          </w:p>
        </w:tc>
        <w:tc>
          <w:tcPr>
            <w:tcW w:w="809" w:type="dxa"/>
          </w:tcPr>
          <w:p>
            <w:pPr>
              <w:pStyle w:val="TableParagraph"/>
              <w:spacing w:before="30"/>
              <w:ind w:left="59" w:right="1"/>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1111" w:type="dxa"/>
          </w:tcPr>
          <w:p>
            <w:pPr>
              <w:pStyle w:val="TableParagraph"/>
              <w:spacing w:before="30"/>
              <w:ind w:right="63"/>
              <w:rPr>
                <w:sz w:val="22"/>
              </w:rPr>
            </w:pPr>
            <w:r>
              <w:rPr>
                <w:sz w:val="22"/>
              </w:rPr>
              <w:t>30,2562</w:t>
            </w:r>
          </w:p>
        </w:tc>
        <w:tc>
          <w:tcPr>
            <w:tcW w:w="1188" w:type="dxa"/>
          </w:tcPr>
          <w:p>
            <w:pPr>
              <w:pStyle w:val="TableParagraph"/>
              <w:spacing w:before="30"/>
              <w:ind w:right="63"/>
              <w:rPr>
                <w:sz w:val="22"/>
              </w:rPr>
            </w:pPr>
            <w:r>
              <w:rPr>
                <w:sz w:val="22"/>
              </w:rPr>
              <w:t>333,3388</w:t>
            </w:r>
          </w:p>
        </w:tc>
        <w:tc>
          <w:tcPr>
            <w:tcW w:w="1325" w:type="dxa"/>
          </w:tcPr>
          <w:p>
            <w:pPr>
              <w:pStyle w:val="TableParagraph"/>
              <w:spacing w:before="30"/>
              <w:rPr>
                <w:sz w:val="22"/>
              </w:rPr>
            </w:pPr>
            <w:r>
              <w:rPr>
                <w:sz w:val="22"/>
              </w:rPr>
              <w:t>3285,8243</w:t>
            </w:r>
          </w:p>
        </w:tc>
        <w:tc>
          <w:tcPr>
            <w:tcW w:w="931" w:type="dxa"/>
          </w:tcPr>
          <w:p>
            <w:pPr>
              <w:pStyle w:val="TableParagraph"/>
              <w:spacing w:before="30"/>
              <w:ind w:left="110" w:right="47"/>
              <w:jc w:val="center"/>
              <w:rPr>
                <w:sz w:val="22"/>
              </w:rPr>
            </w:pPr>
            <w:r>
              <w:rPr>
                <w:sz w:val="22"/>
              </w:rPr>
              <w:t>18,2576</w:t>
            </w:r>
          </w:p>
        </w:tc>
        <w:tc>
          <w:tcPr>
            <w:tcW w:w="1543" w:type="dxa"/>
          </w:tcPr>
          <w:p>
            <w:pPr>
              <w:pStyle w:val="TableParagraph"/>
              <w:spacing w:before="30"/>
              <w:ind w:right="63"/>
              <w:rPr>
                <w:sz w:val="22"/>
              </w:rPr>
            </w:pPr>
            <w:r>
              <w:rPr>
                <w:sz w:val="22"/>
              </w:rPr>
              <w:t>-12170,1245</w:t>
            </w:r>
          </w:p>
        </w:tc>
        <w:tc>
          <w:tcPr>
            <w:tcW w:w="1447" w:type="dxa"/>
          </w:tcPr>
          <w:p>
            <w:pPr>
              <w:pStyle w:val="TableParagraph"/>
              <w:spacing w:before="30"/>
              <w:rPr>
                <w:sz w:val="22"/>
              </w:rPr>
            </w:pPr>
            <w:r>
              <w:rPr>
                <w:sz w:val="22"/>
              </w:rPr>
              <w:t>-0,02518332</w:t>
            </w:r>
          </w:p>
        </w:tc>
      </w:tr>
      <w:tr>
        <w:trPr>
          <w:trHeight w:val="310" w:hRule="exact"/>
        </w:trPr>
        <w:tc>
          <w:tcPr>
            <w:tcW w:w="838" w:type="dxa"/>
          </w:tcPr>
          <w:p>
            <w:pPr>
              <w:pStyle w:val="TableParagraph"/>
              <w:ind w:right="1"/>
              <w:jc w:val="center"/>
              <w:rPr>
                <w:sz w:val="22"/>
              </w:rPr>
            </w:pPr>
            <w:r>
              <w:rPr>
                <w:w w:val="100"/>
                <w:sz w:val="22"/>
              </w:rPr>
              <w:t>2</w:t>
            </w:r>
          </w:p>
        </w:tc>
        <w:tc>
          <w:tcPr>
            <w:tcW w:w="809" w:type="dxa"/>
          </w:tcPr>
          <w:p>
            <w:pPr>
              <w:pStyle w:val="TableParagraph"/>
              <w:ind w:left="59" w:right="1"/>
              <w:jc w:val="center"/>
              <w:rPr>
                <w:sz w:val="22"/>
              </w:rPr>
            </w:pPr>
            <w:r>
              <w:rPr>
                <w:sz w:val="22"/>
              </w:rPr>
              <w:t>121,03</w:t>
            </w:r>
          </w:p>
        </w:tc>
        <w:tc>
          <w:tcPr>
            <w:tcW w:w="504" w:type="dxa"/>
          </w:tcPr>
          <w:p>
            <w:pPr>
              <w:pStyle w:val="TableParagraph"/>
              <w:ind w:left="184" w:right="42"/>
              <w:jc w:val="center"/>
              <w:rPr>
                <w:sz w:val="22"/>
              </w:rPr>
            </w:pPr>
            <w:r>
              <w:rPr>
                <w:sz w:val="22"/>
              </w:rPr>
              <w:t>81</w:t>
            </w:r>
          </w:p>
        </w:tc>
        <w:tc>
          <w:tcPr>
            <w:tcW w:w="1111" w:type="dxa"/>
          </w:tcPr>
          <w:p>
            <w:pPr>
              <w:pStyle w:val="TableParagraph"/>
              <w:ind w:right="63"/>
              <w:rPr>
                <w:sz w:val="22"/>
              </w:rPr>
            </w:pPr>
            <w:r>
              <w:rPr>
                <w:sz w:val="22"/>
              </w:rPr>
              <w:t>-19,7728</w:t>
            </w:r>
          </w:p>
        </w:tc>
        <w:tc>
          <w:tcPr>
            <w:tcW w:w="1188" w:type="dxa"/>
          </w:tcPr>
          <w:p>
            <w:pPr>
              <w:pStyle w:val="TableParagraph"/>
              <w:ind w:right="63"/>
              <w:rPr>
                <w:sz w:val="22"/>
              </w:rPr>
            </w:pPr>
            <w:r>
              <w:rPr>
                <w:sz w:val="22"/>
              </w:rPr>
              <w:t>444,3155</w:t>
            </w:r>
          </w:p>
        </w:tc>
        <w:tc>
          <w:tcPr>
            <w:tcW w:w="1325" w:type="dxa"/>
          </w:tcPr>
          <w:p>
            <w:pPr>
              <w:pStyle w:val="TableParagraph"/>
              <w:rPr>
                <w:sz w:val="22"/>
              </w:rPr>
            </w:pPr>
            <w:r>
              <w:rPr>
                <w:sz w:val="22"/>
              </w:rPr>
              <w:t>-2393,1006</w:t>
            </w:r>
          </w:p>
        </w:tc>
        <w:tc>
          <w:tcPr>
            <w:tcW w:w="931" w:type="dxa"/>
          </w:tcPr>
          <w:p>
            <w:pPr>
              <w:pStyle w:val="TableParagraph"/>
              <w:ind w:left="110" w:right="47"/>
              <w:jc w:val="center"/>
              <w:rPr>
                <w:sz w:val="22"/>
              </w:rPr>
            </w:pPr>
            <w:r>
              <w:rPr>
                <w:sz w:val="22"/>
              </w:rPr>
              <w:t>21,0788</w:t>
            </w:r>
          </w:p>
        </w:tc>
        <w:tc>
          <w:tcPr>
            <w:tcW w:w="1543" w:type="dxa"/>
          </w:tcPr>
          <w:p>
            <w:pPr>
              <w:pStyle w:val="TableParagraph"/>
              <w:ind w:right="63"/>
              <w:rPr>
                <w:sz w:val="22"/>
              </w:rPr>
            </w:pPr>
            <w:r>
              <w:rPr>
                <w:sz w:val="22"/>
              </w:rPr>
              <w:t>26615,4220</w:t>
            </w:r>
          </w:p>
        </w:tc>
        <w:tc>
          <w:tcPr>
            <w:tcW w:w="1447" w:type="dxa"/>
          </w:tcPr>
          <w:p>
            <w:pPr>
              <w:pStyle w:val="TableParagraph"/>
              <w:rPr>
                <w:sz w:val="22"/>
              </w:rPr>
            </w:pPr>
            <w:r>
              <w:rPr>
                <w:sz w:val="22"/>
              </w:rPr>
              <w:t>0,0550746</w:t>
            </w:r>
          </w:p>
        </w:tc>
      </w:tr>
      <w:tr>
        <w:trPr>
          <w:trHeight w:val="310" w:hRule="exact"/>
        </w:trPr>
        <w:tc>
          <w:tcPr>
            <w:tcW w:w="838" w:type="dxa"/>
          </w:tcPr>
          <w:p>
            <w:pPr>
              <w:pStyle w:val="TableParagraph"/>
              <w:ind w:right="1"/>
              <w:jc w:val="center"/>
              <w:rPr>
                <w:sz w:val="22"/>
              </w:rPr>
            </w:pPr>
            <w:r>
              <w:rPr>
                <w:w w:val="100"/>
                <w:sz w:val="22"/>
              </w:rPr>
              <w:t>3</w:t>
            </w:r>
          </w:p>
        </w:tc>
        <w:tc>
          <w:tcPr>
            <w:tcW w:w="809" w:type="dxa"/>
          </w:tcPr>
          <w:p>
            <w:pPr>
              <w:pStyle w:val="TableParagraph"/>
              <w:ind w:left="59" w:right="1"/>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111" w:type="dxa"/>
          </w:tcPr>
          <w:p>
            <w:pPr>
              <w:pStyle w:val="TableParagraph"/>
              <w:ind w:right="63"/>
              <w:rPr>
                <w:sz w:val="22"/>
              </w:rPr>
            </w:pPr>
            <w:r>
              <w:rPr>
                <w:sz w:val="22"/>
              </w:rPr>
              <w:t>-9,2309</w:t>
            </w:r>
          </w:p>
        </w:tc>
        <w:tc>
          <w:tcPr>
            <w:tcW w:w="1188" w:type="dxa"/>
          </w:tcPr>
          <w:p>
            <w:pPr>
              <w:pStyle w:val="TableParagraph"/>
              <w:ind w:right="63"/>
              <w:rPr>
                <w:sz w:val="22"/>
              </w:rPr>
            </w:pPr>
            <w:r>
              <w:rPr>
                <w:sz w:val="22"/>
              </w:rPr>
              <w:t>426,9199</w:t>
            </w:r>
          </w:p>
        </w:tc>
        <w:tc>
          <w:tcPr>
            <w:tcW w:w="1325" w:type="dxa"/>
          </w:tcPr>
          <w:p>
            <w:pPr>
              <w:pStyle w:val="TableParagraph"/>
              <w:rPr>
                <w:sz w:val="22"/>
              </w:rPr>
            </w:pPr>
            <w:r>
              <w:rPr>
                <w:sz w:val="22"/>
              </w:rPr>
              <w:t>-1201,9608</w:t>
            </w:r>
          </w:p>
        </w:tc>
        <w:tc>
          <w:tcPr>
            <w:tcW w:w="931" w:type="dxa"/>
          </w:tcPr>
          <w:p>
            <w:pPr>
              <w:pStyle w:val="TableParagraph"/>
              <w:ind w:left="110" w:right="47"/>
              <w:jc w:val="center"/>
              <w:rPr>
                <w:sz w:val="22"/>
              </w:rPr>
            </w:pPr>
            <w:r>
              <w:rPr>
                <w:sz w:val="22"/>
              </w:rPr>
              <w:t>20,6620</w:t>
            </w:r>
          </w:p>
        </w:tc>
        <w:tc>
          <w:tcPr>
            <w:tcW w:w="1543" w:type="dxa"/>
          </w:tcPr>
          <w:p>
            <w:pPr>
              <w:pStyle w:val="TableParagraph"/>
              <w:ind w:right="63"/>
              <w:rPr>
                <w:sz w:val="22"/>
              </w:rPr>
            </w:pPr>
            <w:r>
              <w:rPr>
                <w:sz w:val="22"/>
              </w:rPr>
              <w:t>38979,2893</w:t>
            </w:r>
          </w:p>
        </w:tc>
        <w:tc>
          <w:tcPr>
            <w:tcW w:w="1447" w:type="dxa"/>
          </w:tcPr>
          <w:p>
            <w:pPr>
              <w:pStyle w:val="TableParagraph"/>
              <w:rPr>
                <w:sz w:val="22"/>
              </w:rPr>
            </w:pPr>
            <w:r>
              <w:rPr>
                <w:sz w:val="22"/>
              </w:rPr>
              <w:t>0,08065882</w:t>
            </w:r>
          </w:p>
        </w:tc>
      </w:tr>
      <w:tr>
        <w:trPr>
          <w:trHeight w:val="310" w:hRule="exact"/>
        </w:trPr>
        <w:tc>
          <w:tcPr>
            <w:tcW w:w="838" w:type="dxa"/>
          </w:tcPr>
          <w:p>
            <w:pPr>
              <w:pStyle w:val="TableParagraph"/>
              <w:ind w:right="1"/>
              <w:jc w:val="center"/>
              <w:rPr>
                <w:sz w:val="22"/>
              </w:rPr>
            </w:pPr>
            <w:r>
              <w:rPr>
                <w:w w:val="100"/>
                <w:sz w:val="22"/>
              </w:rPr>
              <w:t>4</w:t>
            </w:r>
          </w:p>
        </w:tc>
        <w:tc>
          <w:tcPr>
            <w:tcW w:w="809" w:type="dxa"/>
          </w:tcPr>
          <w:p>
            <w:pPr>
              <w:pStyle w:val="TableParagraph"/>
              <w:ind w:left="59" w:right="1"/>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111" w:type="dxa"/>
          </w:tcPr>
          <w:p>
            <w:pPr>
              <w:pStyle w:val="TableParagraph"/>
              <w:ind w:right="63"/>
              <w:rPr>
                <w:sz w:val="22"/>
              </w:rPr>
            </w:pPr>
            <w:r>
              <w:rPr>
                <w:sz w:val="22"/>
              </w:rPr>
              <w:t>12,7723</w:t>
            </w:r>
          </w:p>
        </w:tc>
        <w:tc>
          <w:tcPr>
            <w:tcW w:w="1188" w:type="dxa"/>
          </w:tcPr>
          <w:p>
            <w:pPr>
              <w:pStyle w:val="TableParagraph"/>
              <w:ind w:right="63"/>
              <w:rPr>
                <w:sz w:val="22"/>
              </w:rPr>
            </w:pPr>
            <w:r>
              <w:rPr>
                <w:sz w:val="22"/>
              </w:rPr>
              <w:t>249,4613</w:t>
            </w:r>
          </w:p>
        </w:tc>
        <w:tc>
          <w:tcPr>
            <w:tcW w:w="1325" w:type="dxa"/>
          </w:tcPr>
          <w:p>
            <w:pPr>
              <w:pStyle w:val="TableParagraph"/>
              <w:rPr>
                <w:sz w:val="22"/>
              </w:rPr>
            </w:pPr>
            <w:r>
              <w:rPr>
                <w:sz w:val="22"/>
              </w:rPr>
              <w:t>1981,2370</w:t>
            </w:r>
          </w:p>
        </w:tc>
        <w:tc>
          <w:tcPr>
            <w:tcW w:w="931" w:type="dxa"/>
          </w:tcPr>
          <w:p>
            <w:pPr>
              <w:pStyle w:val="TableParagraph"/>
              <w:ind w:left="110" w:right="47"/>
              <w:jc w:val="center"/>
              <w:rPr>
                <w:sz w:val="22"/>
              </w:rPr>
            </w:pPr>
            <w:r>
              <w:rPr>
                <w:sz w:val="22"/>
              </w:rPr>
              <w:t>15,7943</w:t>
            </w:r>
          </w:p>
        </w:tc>
        <w:tc>
          <w:tcPr>
            <w:tcW w:w="1543" w:type="dxa"/>
          </w:tcPr>
          <w:p>
            <w:pPr>
              <w:pStyle w:val="TableParagraph"/>
              <w:ind w:right="63"/>
              <w:rPr>
                <w:sz w:val="22"/>
              </w:rPr>
            </w:pPr>
            <w:r>
              <w:rPr>
                <w:sz w:val="22"/>
              </w:rPr>
              <w:t>26684,1447</w:t>
            </w:r>
          </w:p>
        </w:tc>
        <w:tc>
          <w:tcPr>
            <w:tcW w:w="1447" w:type="dxa"/>
          </w:tcPr>
          <w:p>
            <w:pPr>
              <w:pStyle w:val="TableParagraph"/>
              <w:rPr>
                <w:sz w:val="22"/>
              </w:rPr>
            </w:pPr>
            <w:r>
              <w:rPr>
                <w:sz w:val="22"/>
              </w:rPr>
              <w:t>0,0552168</w:t>
            </w:r>
          </w:p>
        </w:tc>
      </w:tr>
      <w:tr>
        <w:trPr>
          <w:trHeight w:val="310" w:hRule="exact"/>
        </w:trPr>
        <w:tc>
          <w:tcPr>
            <w:tcW w:w="838" w:type="dxa"/>
          </w:tcPr>
          <w:p>
            <w:pPr>
              <w:pStyle w:val="TableParagraph"/>
              <w:ind w:right="1"/>
              <w:jc w:val="center"/>
              <w:rPr>
                <w:sz w:val="22"/>
              </w:rPr>
            </w:pPr>
            <w:r>
              <w:rPr>
                <w:w w:val="100"/>
                <w:sz w:val="22"/>
              </w:rPr>
              <w:t>5</w:t>
            </w:r>
          </w:p>
        </w:tc>
        <w:tc>
          <w:tcPr>
            <w:tcW w:w="809" w:type="dxa"/>
          </w:tcPr>
          <w:p>
            <w:pPr>
              <w:pStyle w:val="TableParagraph"/>
              <w:ind w:left="59" w:right="1"/>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111" w:type="dxa"/>
          </w:tcPr>
          <w:p>
            <w:pPr>
              <w:pStyle w:val="TableParagraph"/>
              <w:ind w:right="63"/>
              <w:rPr>
                <w:sz w:val="22"/>
              </w:rPr>
            </w:pPr>
            <w:r>
              <w:rPr>
                <w:sz w:val="22"/>
              </w:rPr>
              <w:t>5,0110</w:t>
            </w:r>
          </w:p>
        </w:tc>
        <w:tc>
          <w:tcPr>
            <w:tcW w:w="1188" w:type="dxa"/>
          </w:tcPr>
          <w:p>
            <w:pPr>
              <w:pStyle w:val="TableParagraph"/>
              <w:ind w:right="63"/>
              <w:rPr>
                <w:sz w:val="22"/>
              </w:rPr>
            </w:pPr>
            <w:r>
              <w:rPr>
                <w:sz w:val="22"/>
              </w:rPr>
              <w:t>192,2794</w:t>
            </w:r>
          </w:p>
        </w:tc>
        <w:tc>
          <w:tcPr>
            <w:tcW w:w="1325" w:type="dxa"/>
          </w:tcPr>
          <w:p>
            <w:pPr>
              <w:pStyle w:val="TableParagraph"/>
              <w:rPr>
                <w:sz w:val="22"/>
              </w:rPr>
            </w:pPr>
            <w:r>
              <w:rPr>
                <w:sz w:val="22"/>
              </w:rPr>
              <w:t>903,0257</w:t>
            </w:r>
          </w:p>
        </w:tc>
        <w:tc>
          <w:tcPr>
            <w:tcW w:w="931" w:type="dxa"/>
          </w:tcPr>
          <w:p>
            <w:pPr>
              <w:pStyle w:val="TableParagraph"/>
              <w:ind w:left="110" w:right="47"/>
              <w:jc w:val="center"/>
              <w:rPr>
                <w:sz w:val="22"/>
              </w:rPr>
            </w:pPr>
            <w:r>
              <w:rPr>
                <w:sz w:val="22"/>
              </w:rPr>
              <w:t>13,8665</w:t>
            </w:r>
          </w:p>
        </w:tc>
        <w:tc>
          <w:tcPr>
            <w:tcW w:w="1543" w:type="dxa"/>
          </w:tcPr>
          <w:p>
            <w:pPr>
              <w:pStyle w:val="TableParagraph"/>
              <w:ind w:right="63"/>
              <w:rPr>
                <w:sz w:val="22"/>
              </w:rPr>
            </w:pPr>
            <w:r>
              <w:rPr>
                <w:sz w:val="22"/>
              </w:rPr>
              <w:t>12641,0359</w:t>
            </w:r>
          </w:p>
        </w:tc>
        <w:tc>
          <w:tcPr>
            <w:tcW w:w="1447" w:type="dxa"/>
          </w:tcPr>
          <w:p>
            <w:pPr>
              <w:pStyle w:val="TableParagraph"/>
              <w:rPr>
                <w:sz w:val="22"/>
              </w:rPr>
            </w:pPr>
            <w:r>
              <w:rPr>
                <w:sz w:val="22"/>
              </w:rPr>
              <w:t>0,02615776</w:t>
            </w:r>
          </w:p>
        </w:tc>
      </w:tr>
      <w:tr>
        <w:trPr>
          <w:trHeight w:val="310" w:hRule="exact"/>
        </w:trPr>
        <w:tc>
          <w:tcPr>
            <w:tcW w:w="838" w:type="dxa"/>
          </w:tcPr>
          <w:p>
            <w:pPr>
              <w:pStyle w:val="TableParagraph"/>
              <w:spacing w:before="30"/>
              <w:ind w:right="0"/>
              <w:jc w:val="center"/>
              <w:rPr>
                <w:sz w:val="22"/>
              </w:rPr>
            </w:pPr>
            <w:r>
              <w:rPr>
                <w:w w:val="100"/>
                <w:sz w:val="22"/>
              </w:rPr>
              <w:t>N</w:t>
            </w:r>
          </w:p>
        </w:tc>
        <w:tc>
          <w:tcPr>
            <w:tcW w:w="809" w:type="dxa"/>
          </w:tcPr>
          <w:p>
            <w:pPr>
              <w:pStyle w:val="TableParagraph"/>
              <w:spacing w:before="30"/>
              <w:ind w:left="59" w:right="0"/>
              <w:jc w:val="center"/>
              <w:rPr>
                <w:sz w:val="22"/>
              </w:rPr>
            </w:pPr>
            <w:r>
              <w:rPr>
                <w:sz w:val="22"/>
              </w:rPr>
              <w:t>695,17</w:t>
            </w:r>
          </w:p>
        </w:tc>
        <w:tc>
          <w:tcPr>
            <w:tcW w:w="504" w:type="dxa"/>
          </w:tcPr>
          <w:p>
            <w:pPr/>
          </w:p>
        </w:tc>
        <w:tc>
          <w:tcPr>
            <w:tcW w:w="1111" w:type="dxa"/>
          </w:tcPr>
          <w:p>
            <w:pPr/>
          </w:p>
        </w:tc>
        <w:tc>
          <w:tcPr>
            <w:tcW w:w="1188" w:type="dxa"/>
          </w:tcPr>
          <w:p>
            <w:pPr>
              <w:pStyle w:val="TableParagraph"/>
              <w:spacing w:before="18"/>
              <w:ind w:left="43" w:right="5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25" w:type="dxa"/>
          </w:tcPr>
          <w:p>
            <w:pPr>
              <w:pStyle w:val="TableParagraph"/>
              <w:spacing w:before="30"/>
              <w:rPr>
                <w:sz w:val="22"/>
              </w:rPr>
            </w:pPr>
            <w:r>
              <w:rPr>
                <w:sz w:val="22"/>
              </w:rPr>
              <w:t>2575,026</w:t>
            </w:r>
          </w:p>
        </w:tc>
        <w:tc>
          <w:tcPr>
            <w:tcW w:w="931" w:type="dxa"/>
          </w:tcPr>
          <w:p>
            <w:pPr/>
          </w:p>
        </w:tc>
        <w:tc>
          <w:tcPr>
            <w:tcW w:w="1543" w:type="dxa"/>
          </w:tcPr>
          <w:p>
            <w:pPr>
              <w:pStyle w:val="TableParagraph"/>
              <w:spacing w:before="30"/>
              <w:ind w:right="63"/>
              <w:rPr>
                <w:sz w:val="22"/>
              </w:rPr>
            </w:pPr>
            <w:r>
              <w:rPr>
                <w:sz w:val="22"/>
              </w:rPr>
              <w:t>92749,767</w:t>
            </w:r>
          </w:p>
        </w:tc>
        <w:tc>
          <w:tcPr>
            <w:tcW w:w="1447" w:type="dxa"/>
          </w:tcPr>
          <w:p>
            <w:pPr>
              <w:pStyle w:val="TableParagraph"/>
              <w:spacing w:before="30"/>
              <w:rPr>
                <w:sz w:val="22"/>
              </w:rPr>
            </w:pPr>
            <w:r>
              <w:rPr>
                <w:sz w:val="22"/>
              </w:rPr>
              <w:t>0,19192466</w:t>
            </w:r>
          </w:p>
        </w:tc>
      </w:tr>
      <w:tr>
        <w:trPr>
          <w:trHeight w:val="312" w:hRule="exact"/>
        </w:trPr>
        <w:tc>
          <w:tcPr>
            <w:tcW w:w="5774" w:type="dxa"/>
            <w:gridSpan w:val="6"/>
            <w:vMerge w:val="restart"/>
            <w:tcBorders>
              <w:left w:val="nil"/>
            </w:tcBorders>
          </w:tcPr>
          <w:p>
            <w:pPr/>
          </w:p>
        </w:tc>
        <w:tc>
          <w:tcPr>
            <w:tcW w:w="2474" w:type="dxa"/>
            <w:gridSpan w:val="2"/>
          </w:tcPr>
          <w:p>
            <w:pPr>
              <w:pStyle w:val="TableParagraph"/>
              <w:spacing w:before="13"/>
              <w:ind w:left="64" w:right="19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47" w:type="dxa"/>
          </w:tcPr>
          <w:p>
            <w:pPr>
              <w:pStyle w:val="TableParagraph"/>
              <w:spacing w:before="30"/>
              <w:rPr>
                <w:b/>
                <w:sz w:val="22"/>
              </w:rPr>
            </w:pPr>
            <w:r>
              <w:rPr>
                <w:b/>
                <w:sz w:val="22"/>
              </w:rPr>
              <w:t>3,704</w:t>
            </w:r>
          </w:p>
        </w:tc>
      </w:tr>
      <w:tr>
        <w:trPr>
          <w:trHeight w:val="310" w:hRule="exact"/>
        </w:trPr>
        <w:tc>
          <w:tcPr>
            <w:tcW w:w="5774" w:type="dxa"/>
            <w:gridSpan w:val="6"/>
            <w:vMerge/>
            <w:tcBorders>
              <w:left w:val="nil"/>
            </w:tcBorders>
          </w:tcPr>
          <w:p>
            <w:pPr/>
          </w:p>
        </w:tc>
        <w:tc>
          <w:tcPr>
            <w:tcW w:w="2474" w:type="dxa"/>
            <w:gridSpan w:val="2"/>
          </w:tcPr>
          <w:p>
            <w:pPr>
              <w:pStyle w:val="TableParagraph"/>
              <w:spacing w:before="11"/>
              <w:ind w:left="64" w:right="193"/>
              <w:jc w:val="left"/>
              <w:rPr>
                <w:sz w:val="22"/>
              </w:rPr>
            </w:pPr>
            <w:r>
              <w:rPr>
                <w:sz w:val="22"/>
              </w:rPr>
              <w:t>Desviación estándar</w:t>
            </w:r>
          </w:p>
        </w:tc>
        <w:tc>
          <w:tcPr>
            <w:tcW w:w="1447" w:type="dxa"/>
          </w:tcPr>
          <w:p>
            <w:pPr>
              <w:pStyle w:val="TableParagraph"/>
              <w:rPr>
                <w:b/>
                <w:sz w:val="22"/>
              </w:rPr>
            </w:pPr>
            <w:r>
              <w:rPr>
                <w:b/>
                <w:sz w:val="22"/>
              </w:rPr>
              <w:t>0,438</w:t>
            </w:r>
          </w:p>
        </w:tc>
      </w:tr>
      <w:tr>
        <w:trPr>
          <w:trHeight w:val="310" w:hRule="exact"/>
        </w:trPr>
        <w:tc>
          <w:tcPr>
            <w:tcW w:w="5774" w:type="dxa"/>
            <w:gridSpan w:val="6"/>
            <w:vMerge/>
            <w:tcBorders>
              <w:left w:val="nil"/>
            </w:tcBorders>
          </w:tcPr>
          <w:p>
            <w:pPr/>
          </w:p>
        </w:tc>
        <w:tc>
          <w:tcPr>
            <w:tcW w:w="2474" w:type="dxa"/>
            <w:gridSpan w:val="2"/>
            <w:vMerge w:val="restart"/>
          </w:tcPr>
          <w:p>
            <w:pPr>
              <w:pStyle w:val="TableParagraph"/>
              <w:spacing w:before="33"/>
              <w:ind w:left="64" w:right="193"/>
              <w:jc w:val="left"/>
              <w:rPr>
                <w:sz w:val="22"/>
              </w:rPr>
            </w:pPr>
            <w:r>
              <w:rPr>
                <w:sz w:val="22"/>
              </w:rPr>
              <w:t>Intervalo de confianza al 95 %</w:t>
            </w:r>
          </w:p>
        </w:tc>
        <w:tc>
          <w:tcPr>
            <w:tcW w:w="1447" w:type="dxa"/>
          </w:tcPr>
          <w:p>
            <w:pPr>
              <w:pStyle w:val="TableParagraph"/>
              <w:rPr>
                <w:sz w:val="22"/>
              </w:rPr>
            </w:pPr>
            <w:r>
              <w:rPr>
                <w:sz w:val="22"/>
              </w:rPr>
              <w:t>2,85</w:t>
            </w:r>
          </w:p>
        </w:tc>
      </w:tr>
      <w:tr>
        <w:trPr>
          <w:trHeight w:val="310" w:hRule="exact"/>
        </w:trPr>
        <w:tc>
          <w:tcPr>
            <w:tcW w:w="5774" w:type="dxa"/>
            <w:gridSpan w:val="6"/>
            <w:vMerge/>
            <w:tcBorders>
              <w:left w:val="nil"/>
              <w:bottom w:val="nil"/>
            </w:tcBorders>
          </w:tcPr>
          <w:p>
            <w:pPr/>
          </w:p>
        </w:tc>
        <w:tc>
          <w:tcPr>
            <w:tcW w:w="2474" w:type="dxa"/>
            <w:gridSpan w:val="2"/>
            <w:vMerge/>
          </w:tcPr>
          <w:p>
            <w:pPr/>
          </w:p>
        </w:tc>
        <w:tc>
          <w:tcPr>
            <w:tcW w:w="1447" w:type="dxa"/>
          </w:tcPr>
          <w:p>
            <w:pPr>
              <w:pStyle w:val="TableParagraph"/>
              <w:rPr>
                <w:sz w:val="22"/>
              </w:rPr>
            </w:pPr>
            <w:r>
              <w:rPr>
                <w:sz w:val="22"/>
              </w:rPr>
              <w:t>4,56</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111"/>
        <w:gridCol w:w="1188"/>
        <w:gridCol w:w="1325"/>
        <w:gridCol w:w="931"/>
        <w:gridCol w:w="1543"/>
        <w:gridCol w:w="1447"/>
      </w:tblGrid>
      <w:tr>
        <w:trPr>
          <w:trHeight w:val="310" w:hRule="exact"/>
        </w:trPr>
        <w:tc>
          <w:tcPr>
            <w:tcW w:w="9696" w:type="dxa"/>
            <w:gridSpan w:val="9"/>
          </w:tcPr>
          <w:p>
            <w:pPr>
              <w:pStyle w:val="TableParagraph"/>
              <w:spacing w:before="30"/>
              <w:ind w:left="3741" w:right="3740"/>
              <w:jc w:val="center"/>
              <w:rPr>
                <w:sz w:val="22"/>
              </w:rPr>
            </w:pPr>
            <w:r>
              <w:rPr>
                <w:sz w:val="22"/>
              </w:rPr>
              <w:t>Eficiencia filtro de arena</w:t>
            </w:r>
          </w:p>
        </w:tc>
      </w:tr>
      <w:tr>
        <w:trPr>
          <w:trHeight w:val="312"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11" w:type="dxa"/>
          </w:tcPr>
          <w:p>
            <w:pPr>
              <w:pStyle w:val="TableParagraph"/>
              <w:spacing w:before="43"/>
              <w:ind w:left="357" w:right="37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88" w:type="dxa"/>
          </w:tcPr>
          <w:p>
            <w:pPr>
              <w:pStyle w:val="TableParagraph"/>
              <w:spacing w:line="214" w:lineRule="exact" w:before="8"/>
              <w:ind w:left="49" w:right="59"/>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325" w:type="dxa"/>
          </w:tcPr>
          <w:p>
            <w:pPr>
              <w:pStyle w:val="TableParagraph"/>
              <w:spacing w:before="19"/>
              <w:ind w:left="538" w:right="549"/>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31"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543" w:type="dxa"/>
          </w:tcPr>
          <w:p>
            <w:pPr>
              <w:pStyle w:val="TableParagraph"/>
              <w:spacing w:before="3"/>
              <w:ind w:left="43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47" w:type="dxa"/>
          </w:tcPr>
          <w:p>
            <w:pPr>
              <w:pStyle w:val="TableParagraph"/>
              <w:spacing w:before="3"/>
              <w:ind w:left="37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ind w:right="1"/>
              <w:jc w:val="center"/>
              <w:rPr>
                <w:sz w:val="22"/>
              </w:rPr>
            </w:pPr>
            <w:r>
              <w:rPr>
                <w:w w:val="100"/>
                <w:sz w:val="22"/>
              </w:rPr>
              <w:t>1</w:t>
            </w:r>
          </w:p>
        </w:tc>
        <w:tc>
          <w:tcPr>
            <w:tcW w:w="809" w:type="dxa"/>
          </w:tcPr>
          <w:p>
            <w:pPr>
              <w:pStyle w:val="TableParagraph"/>
              <w:ind w:left="59" w:right="1"/>
              <w:jc w:val="center"/>
              <w:rPr>
                <w:sz w:val="22"/>
              </w:rPr>
            </w:pPr>
            <w:r>
              <w:rPr>
                <w:sz w:val="22"/>
              </w:rPr>
              <w:t>108,60</w:t>
            </w:r>
          </w:p>
        </w:tc>
        <w:tc>
          <w:tcPr>
            <w:tcW w:w="504" w:type="dxa"/>
          </w:tcPr>
          <w:p>
            <w:pPr>
              <w:pStyle w:val="TableParagraph"/>
              <w:ind w:left="73" w:right="41"/>
              <w:jc w:val="center"/>
              <w:rPr>
                <w:sz w:val="22"/>
              </w:rPr>
            </w:pPr>
            <w:r>
              <w:rPr>
                <w:sz w:val="22"/>
              </w:rPr>
              <w:t>108</w:t>
            </w:r>
          </w:p>
        </w:tc>
        <w:tc>
          <w:tcPr>
            <w:tcW w:w="1111" w:type="dxa"/>
          </w:tcPr>
          <w:p>
            <w:pPr>
              <w:pStyle w:val="TableParagraph"/>
              <w:ind w:right="63"/>
              <w:rPr>
                <w:sz w:val="22"/>
              </w:rPr>
            </w:pPr>
            <w:r>
              <w:rPr>
                <w:sz w:val="22"/>
              </w:rPr>
              <w:t>5,3163</w:t>
            </w:r>
          </w:p>
        </w:tc>
        <w:tc>
          <w:tcPr>
            <w:tcW w:w="1188" w:type="dxa"/>
          </w:tcPr>
          <w:p>
            <w:pPr>
              <w:pStyle w:val="TableParagraph"/>
              <w:ind w:right="63"/>
              <w:rPr>
                <w:sz w:val="22"/>
              </w:rPr>
            </w:pPr>
            <w:r>
              <w:rPr>
                <w:sz w:val="22"/>
              </w:rPr>
              <w:t>1785,5989</w:t>
            </w:r>
          </w:p>
        </w:tc>
        <w:tc>
          <w:tcPr>
            <w:tcW w:w="1325" w:type="dxa"/>
          </w:tcPr>
          <w:p>
            <w:pPr>
              <w:pStyle w:val="TableParagraph"/>
              <w:rPr>
                <w:sz w:val="22"/>
              </w:rPr>
            </w:pPr>
            <w:r>
              <w:rPr>
                <w:sz w:val="22"/>
              </w:rPr>
              <w:t>577,3531</w:t>
            </w:r>
          </w:p>
        </w:tc>
        <w:tc>
          <w:tcPr>
            <w:tcW w:w="931" w:type="dxa"/>
          </w:tcPr>
          <w:p>
            <w:pPr>
              <w:pStyle w:val="TableParagraph"/>
              <w:ind w:right="63"/>
              <w:rPr>
                <w:sz w:val="22"/>
              </w:rPr>
            </w:pPr>
            <w:r>
              <w:rPr>
                <w:sz w:val="22"/>
              </w:rPr>
              <w:t>42,2563</w:t>
            </w:r>
          </w:p>
        </w:tc>
        <w:tc>
          <w:tcPr>
            <w:tcW w:w="1543" w:type="dxa"/>
          </w:tcPr>
          <w:p>
            <w:pPr>
              <w:pStyle w:val="TableParagraph"/>
              <w:ind w:right="63"/>
              <w:rPr>
                <w:sz w:val="22"/>
              </w:rPr>
            </w:pPr>
            <w:r>
              <w:rPr>
                <w:sz w:val="22"/>
              </w:rPr>
              <w:t>-65191,8225</w:t>
            </w:r>
          </w:p>
        </w:tc>
        <w:tc>
          <w:tcPr>
            <w:tcW w:w="1447" w:type="dxa"/>
          </w:tcPr>
          <w:p>
            <w:pPr>
              <w:pStyle w:val="TableParagraph"/>
              <w:rPr>
                <w:sz w:val="22"/>
              </w:rPr>
            </w:pPr>
            <w:r>
              <w:rPr>
                <w:sz w:val="22"/>
              </w:rPr>
              <w:t>-0,13489973</w:t>
            </w:r>
          </w:p>
        </w:tc>
      </w:tr>
      <w:tr>
        <w:trPr>
          <w:trHeight w:val="310" w:hRule="exact"/>
        </w:trPr>
        <w:tc>
          <w:tcPr>
            <w:tcW w:w="838" w:type="dxa"/>
          </w:tcPr>
          <w:p>
            <w:pPr>
              <w:pStyle w:val="TableParagraph"/>
              <w:ind w:right="1"/>
              <w:jc w:val="center"/>
              <w:rPr>
                <w:sz w:val="22"/>
              </w:rPr>
            </w:pPr>
            <w:r>
              <w:rPr>
                <w:w w:val="100"/>
                <w:sz w:val="22"/>
              </w:rPr>
              <w:t>2</w:t>
            </w:r>
          </w:p>
        </w:tc>
        <w:tc>
          <w:tcPr>
            <w:tcW w:w="809" w:type="dxa"/>
          </w:tcPr>
          <w:p>
            <w:pPr>
              <w:pStyle w:val="TableParagraph"/>
              <w:ind w:left="59" w:right="1"/>
              <w:jc w:val="center"/>
              <w:rPr>
                <w:sz w:val="22"/>
              </w:rPr>
            </w:pPr>
            <w:r>
              <w:rPr>
                <w:sz w:val="22"/>
              </w:rPr>
              <w:t>121,03</w:t>
            </w:r>
          </w:p>
        </w:tc>
        <w:tc>
          <w:tcPr>
            <w:tcW w:w="504" w:type="dxa"/>
          </w:tcPr>
          <w:p>
            <w:pPr>
              <w:pStyle w:val="TableParagraph"/>
              <w:ind w:left="184" w:right="42"/>
              <w:jc w:val="center"/>
              <w:rPr>
                <w:sz w:val="22"/>
              </w:rPr>
            </w:pPr>
            <w:r>
              <w:rPr>
                <w:sz w:val="22"/>
              </w:rPr>
              <w:t>81</w:t>
            </w:r>
          </w:p>
        </w:tc>
        <w:tc>
          <w:tcPr>
            <w:tcW w:w="1111" w:type="dxa"/>
          </w:tcPr>
          <w:p>
            <w:pPr>
              <w:pStyle w:val="TableParagraph"/>
              <w:ind w:right="63"/>
              <w:rPr>
                <w:sz w:val="22"/>
              </w:rPr>
            </w:pPr>
            <w:r>
              <w:rPr>
                <w:sz w:val="22"/>
              </w:rPr>
              <w:t>4,0991</w:t>
            </w:r>
          </w:p>
        </w:tc>
        <w:tc>
          <w:tcPr>
            <w:tcW w:w="1188" w:type="dxa"/>
          </w:tcPr>
          <w:p>
            <w:pPr>
              <w:pStyle w:val="TableParagraph"/>
              <w:ind w:right="63"/>
              <w:rPr>
                <w:sz w:val="22"/>
              </w:rPr>
            </w:pPr>
            <w:r>
              <w:rPr>
                <w:sz w:val="22"/>
              </w:rPr>
              <w:t>1302,7097</w:t>
            </w:r>
          </w:p>
        </w:tc>
        <w:tc>
          <w:tcPr>
            <w:tcW w:w="1325" w:type="dxa"/>
          </w:tcPr>
          <w:p>
            <w:pPr>
              <w:pStyle w:val="TableParagraph"/>
              <w:rPr>
                <w:sz w:val="22"/>
              </w:rPr>
            </w:pPr>
            <w:r>
              <w:rPr>
                <w:sz w:val="22"/>
              </w:rPr>
              <w:t>496,1132</w:t>
            </w:r>
          </w:p>
        </w:tc>
        <w:tc>
          <w:tcPr>
            <w:tcW w:w="931" w:type="dxa"/>
          </w:tcPr>
          <w:p>
            <w:pPr>
              <w:pStyle w:val="TableParagraph"/>
              <w:ind w:right="63"/>
              <w:rPr>
                <w:sz w:val="22"/>
              </w:rPr>
            </w:pPr>
            <w:r>
              <w:rPr>
                <w:sz w:val="22"/>
              </w:rPr>
              <w:t>36,0931</w:t>
            </w:r>
          </w:p>
        </w:tc>
        <w:tc>
          <w:tcPr>
            <w:tcW w:w="1543" w:type="dxa"/>
          </w:tcPr>
          <w:p>
            <w:pPr>
              <w:pStyle w:val="TableParagraph"/>
              <w:ind w:right="63"/>
              <w:rPr>
                <w:sz w:val="22"/>
              </w:rPr>
            </w:pPr>
            <w:r>
              <w:rPr>
                <w:sz w:val="22"/>
              </w:rPr>
              <w:t>78035,0148</w:t>
            </w:r>
          </w:p>
        </w:tc>
        <w:tc>
          <w:tcPr>
            <w:tcW w:w="1447" w:type="dxa"/>
          </w:tcPr>
          <w:p>
            <w:pPr>
              <w:pStyle w:val="TableParagraph"/>
              <w:rPr>
                <w:sz w:val="22"/>
              </w:rPr>
            </w:pPr>
            <w:r>
              <w:rPr>
                <w:sz w:val="22"/>
              </w:rPr>
              <w:t>0,16147581</w:t>
            </w:r>
          </w:p>
        </w:tc>
      </w:tr>
      <w:tr>
        <w:trPr>
          <w:trHeight w:val="310" w:hRule="exact"/>
        </w:trPr>
        <w:tc>
          <w:tcPr>
            <w:tcW w:w="838" w:type="dxa"/>
          </w:tcPr>
          <w:p>
            <w:pPr>
              <w:pStyle w:val="TableParagraph"/>
              <w:ind w:right="1"/>
              <w:jc w:val="center"/>
              <w:rPr>
                <w:sz w:val="22"/>
              </w:rPr>
            </w:pPr>
            <w:r>
              <w:rPr>
                <w:w w:val="100"/>
                <w:sz w:val="22"/>
              </w:rPr>
              <w:t>3</w:t>
            </w:r>
          </w:p>
        </w:tc>
        <w:tc>
          <w:tcPr>
            <w:tcW w:w="809" w:type="dxa"/>
          </w:tcPr>
          <w:p>
            <w:pPr>
              <w:pStyle w:val="TableParagraph"/>
              <w:ind w:left="59" w:right="1"/>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111" w:type="dxa"/>
          </w:tcPr>
          <w:p>
            <w:pPr>
              <w:pStyle w:val="TableParagraph"/>
              <w:ind w:right="63"/>
              <w:rPr>
                <w:sz w:val="22"/>
              </w:rPr>
            </w:pPr>
            <w:r>
              <w:rPr>
                <w:sz w:val="22"/>
              </w:rPr>
              <w:t>22,4745</w:t>
            </w:r>
          </w:p>
        </w:tc>
        <w:tc>
          <w:tcPr>
            <w:tcW w:w="1188" w:type="dxa"/>
          </w:tcPr>
          <w:p>
            <w:pPr>
              <w:pStyle w:val="TableParagraph"/>
              <w:ind w:right="63"/>
              <w:rPr>
                <w:sz w:val="22"/>
              </w:rPr>
            </w:pPr>
            <w:r>
              <w:rPr>
                <w:sz w:val="22"/>
              </w:rPr>
              <w:t>915,6086</w:t>
            </w:r>
          </w:p>
        </w:tc>
        <w:tc>
          <w:tcPr>
            <w:tcW w:w="1325" w:type="dxa"/>
          </w:tcPr>
          <w:p>
            <w:pPr>
              <w:pStyle w:val="TableParagraph"/>
              <w:rPr>
                <w:sz w:val="22"/>
              </w:rPr>
            </w:pPr>
            <w:r>
              <w:rPr>
                <w:sz w:val="22"/>
              </w:rPr>
              <w:t>2926,4085</w:t>
            </w:r>
          </w:p>
        </w:tc>
        <w:tc>
          <w:tcPr>
            <w:tcW w:w="931" w:type="dxa"/>
          </w:tcPr>
          <w:p>
            <w:pPr>
              <w:pStyle w:val="TableParagraph"/>
              <w:ind w:right="63"/>
              <w:rPr>
                <w:sz w:val="22"/>
              </w:rPr>
            </w:pPr>
            <w:r>
              <w:rPr>
                <w:sz w:val="22"/>
              </w:rPr>
              <w:t>30,2590</w:t>
            </w:r>
          </w:p>
        </w:tc>
        <w:tc>
          <w:tcPr>
            <w:tcW w:w="1543" w:type="dxa"/>
          </w:tcPr>
          <w:p>
            <w:pPr>
              <w:pStyle w:val="TableParagraph"/>
              <w:ind w:right="63"/>
              <w:rPr>
                <w:sz w:val="22"/>
              </w:rPr>
            </w:pPr>
            <w:r>
              <w:rPr>
                <w:sz w:val="22"/>
              </w:rPr>
              <w:t>83598,2806</w:t>
            </w:r>
          </w:p>
        </w:tc>
        <w:tc>
          <w:tcPr>
            <w:tcW w:w="1447" w:type="dxa"/>
          </w:tcPr>
          <w:p>
            <w:pPr>
              <w:pStyle w:val="TableParagraph"/>
              <w:rPr>
                <w:sz w:val="22"/>
              </w:rPr>
            </w:pPr>
            <w:r>
              <w:rPr>
                <w:sz w:val="22"/>
              </w:rPr>
              <w:t>0,17298773</w:t>
            </w:r>
          </w:p>
        </w:tc>
      </w:tr>
      <w:tr>
        <w:trPr>
          <w:trHeight w:val="310" w:hRule="exact"/>
        </w:trPr>
        <w:tc>
          <w:tcPr>
            <w:tcW w:w="838" w:type="dxa"/>
          </w:tcPr>
          <w:p>
            <w:pPr>
              <w:pStyle w:val="TableParagraph"/>
              <w:ind w:right="1"/>
              <w:jc w:val="center"/>
              <w:rPr>
                <w:sz w:val="22"/>
              </w:rPr>
            </w:pPr>
            <w:r>
              <w:rPr>
                <w:w w:val="100"/>
                <w:sz w:val="22"/>
              </w:rPr>
              <w:t>4</w:t>
            </w:r>
          </w:p>
        </w:tc>
        <w:tc>
          <w:tcPr>
            <w:tcW w:w="809" w:type="dxa"/>
          </w:tcPr>
          <w:p>
            <w:pPr>
              <w:pStyle w:val="TableParagraph"/>
              <w:ind w:left="59" w:right="1"/>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111" w:type="dxa"/>
          </w:tcPr>
          <w:p>
            <w:pPr>
              <w:pStyle w:val="TableParagraph"/>
              <w:ind w:right="63"/>
              <w:rPr>
                <w:sz w:val="22"/>
              </w:rPr>
            </w:pPr>
            <w:r>
              <w:rPr>
                <w:sz w:val="22"/>
              </w:rPr>
              <w:t>-8,1897</w:t>
            </w:r>
          </w:p>
        </w:tc>
        <w:tc>
          <w:tcPr>
            <w:tcW w:w="1188" w:type="dxa"/>
          </w:tcPr>
          <w:p>
            <w:pPr>
              <w:pStyle w:val="TableParagraph"/>
              <w:ind w:right="63"/>
              <w:rPr>
                <w:sz w:val="22"/>
              </w:rPr>
            </w:pPr>
            <w:r>
              <w:rPr>
                <w:sz w:val="22"/>
              </w:rPr>
              <w:t>1084,0775</w:t>
            </w:r>
          </w:p>
        </w:tc>
        <w:tc>
          <w:tcPr>
            <w:tcW w:w="1325" w:type="dxa"/>
          </w:tcPr>
          <w:p>
            <w:pPr>
              <w:pStyle w:val="TableParagraph"/>
              <w:rPr>
                <w:sz w:val="22"/>
              </w:rPr>
            </w:pPr>
            <w:r>
              <w:rPr>
                <w:sz w:val="22"/>
              </w:rPr>
              <w:t>-1270,3803</w:t>
            </w:r>
          </w:p>
        </w:tc>
        <w:tc>
          <w:tcPr>
            <w:tcW w:w="931" w:type="dxa"/>
          </w:tcPr>
          <w:p>
            <w:pPr>
              <w:pStyle w:val="TableParagraph"/>
              <w:ind w:right="63"/>
              <w:rPr>
                <w:sz w:val="22"/>
              </w:rPr>
            </w:pPr>
            <w:r>
              <w:rPr>
                <w:sz w:val="22"/>
              </w:rPr>
              <w:t>32,9253</w:t>
            </w:r>
          </w:p>
        </w:tc>
        <w:tc>
          <w:tcPr>
            <w:tcW w:w="1543" w:type="dxa"/>
          </w:tcPr>
          <w:p>
            <w:pPr>
              <w:pStyle w:val="TableParagraph"/>
              <w:ind w:right="63"/>
              <w:rPr>
                <w:sz w:val="22"/>
              </w:rPr>
            </w:pPr>
            <w:r>
              <w:rPr>
                <w:sz w:val="22"/>
              </w:rPr>
              <w:t>115960,5994</w:t>
            </w:r>
          </w:p>
        </w:tc>
        <w:tc>
          <w:tcPr>
            <w:tcW w:w="1447" w:type="dxa"/>
          </w:tcPr>
          <w:p>
            <w:pPr>
              <w:pStyle w:val="TableParagraph"/>
              <w:rPr>
                <w:sz w:val="22"/>
              </w:rPr>
            </w:pPr>
            <w:r>
              <w:rPr>
                <w:sz w:val="22"/>
              </w:rPr>
              <w:t>0,23995423</w:t>
            </w:r>
          </w:p>
        </w:tc>
      </w:tr>
      <w:tr>
        <w:trPr>
          <w:trHeight w:val="310" w:hRule="exact"/>
        </w:trPr>
        <w:tc>
          <w:tcPr>
            <w:tcW w:w="838" w:type="dxa"/>
          </w:tcPr>
          <w:p>
            <w:pPr>
              <w:pStyle w:val="TableParagraph"/>
              <w:spacing w:before="30"/>
              <w:ind w:right="1"/>
              <w:jc w:val="center"/>
              <w:rPr>
                <w:sz w:val="22"/>
              </w:rPr>
            </w:pPr>
            <w:r>
              <w:rPr>
                <w:w w:val="100"/>
                <w:sz w:val="22"/>
              </w:rPr>
              <w:t>5</w:t>
            </w:r>
          </w:p>
        </w:tc>
        <w:tc>
          <w:tcPr>
            <w:tcW w:w="809" w:type="dxa"/>
          </w:tcPr>
          <w:p>
            <w:pPr>
              <w:pStyle w:val="TableParagraph"/>
              <w:spacing w:before="30"/>
              <w:ind w:left="59" w:right="1"/>
              <w:jc w:val="center"/>
              <w:rPr>
                <w:sz w:val="22"/>
              </w:rPr>
            </w:pPr>
            <w:r>
              <w:rPr>
                <w:sz w:val="22"/>
              </w:rPr>
              <w:t>180,21</w:t>
            </w:r>
          </w:p>
        </w:tc>
        <w:tc>
          <w:tcPr>
            <w:tcW w:w="504" w:type="dxa"/>
          </w:tcPr>
          <w:p>
            <w:pPr>
              <w:pStyle w:val="TableParagraph"/>
              <w:spacing w:before="30"/>
              <w:ind w:left="73" w:right="41"/>
              <w:jc w:val="center"/>
              <w:rPr>
                <w:sz w:val="22"/>
              </w:rPr>
            </w:pPr>
            <w:r>
              <w:rPr>
                <w:sz w:val="22"/>
              </w:rPr>
              <w:t>132</w:t>
            </w:r>
          </w:p>
        </w:tc>
        <w:tc>
          <w:tcPr>
            <w:tcW w:w="1111" w:type="dxa"/>
          </w:tcPr>
          <w:p>
            <w:pPr>
              <w:pStyle w:val="TableParagraph"/>
              <w:spacing w:before="30"/>
              <w:ind w:right="63"/>
              <w:rPr>
                <w:sz w:val="22"/>
              </w:rPr>
            </w:pPr>
            <w:r>
              <w:rPr>
                <w:sz w:val="22"/>
              </w:rPr>
              <w:t>6,4006</w:t>
            </w:r>
          </w:p>
        </w:tc>
        <w:tc>
          <w:tcPr>
            <w:tcW w:w="1188" w:type="dxa"/>
          </w:tcPr>
          <w:p>
            <w:pPr>
              <w:pStyle w:val="TableParagraph"/>
              <w:spacing w:before="30"/>
              <w:ind w:right="63"/>
              <w:rPr>
                <w:sz w:val="22"/>
              </w:rPr>
            </w:pPr>
            <w:r>
              <w:rPr>
                <w:sz w:val="22"/>
              </w:rPr>
              <w:t>56,1734</w:t>
            </w:r>
          </w:p>
        </w:tc>
        <w:tc>
          <w:tcPr>
            <w:tcW w:w="1325" w:type="dxa"/>
          </w:tcPr>
          <w:p>
            <w:pPr>
              <w:pStyle w:val="TableParagraph"/>
              <w:spacing w:before="30"/>
              <w:rPr>
                <w:sz w:val="22"/>
              </w:rPr>
            </w:pPr>
            <w:r>
              <w:rPr>
                <w:sz w:val="22"/>
              </w:rPr>
              <w:t>1153,4512</w:t>
            </w:r>
          </w:p>
        </w:tc>
        <w:tc>
          <w:tcPr>
            <w:tcW w:w="931" w:type="dxa"/>
          </w:tcPr>
          <w:p>
            <w:pPr>
              <w:pStyle w:val="TableParagraph"/>
              <w:spacing w:before="30"/>
              <w:ind w:right="63"/>
              <w:rPr>
                <w:sz w:val="22"/>
              </w:rPr>
            </w:pPr>
            <w:r>
              <w:rPr>
                <w:sz w:val="22"/>
              </w:rPr>
              <w:t>7,4949</w:t>
            </w:r>
          </w:p>
        </w:tc>
        <w:tc>
          <w:tcPr>
            <w:tcW w:w="1543" w:type="dxa"/>
          </w:tcPr>
          <w:p>
            <w:pPr>
              <w:pStyle w:val="TableParagraph"/>
              <w:spacing w:before="30"/>
              <w:ind w:right="63"/>
              <w:rPr>
                <w:sz w:val="22"/>
              </w:rPr>
            </w:pPr>
            <w:r>
              <w:rPr>
                <w:sz w:val="22"/>
              </w:rPr>
              <w:t>3693,0114</w:t>
            </w:r>
          </w:p>
        </w:tc>
        <w:tc>
          <w:tcPr>
            <w:tcW w:w="1447" w:type="dxa"/>
          </w:tcPr>
          <w:p>
            <w:pPr>
              <w:pStyle w:val="TableParagraph"/>
              <w:spacing w:before="30"/>
              <w:rPr>
                <w:sz w:val="22"/>
              </w:rPr>
            </w:pPr>
            <w:r>
              <w:rPr>
                <w:sz w:val="22"/>
              </w:rPr>
              <w:t>0,00764185</w:t>
            </w:r>
          </w:p>
        </w:tc>
      </w:tr>
      <w:tr>
        <w:trPr>
          <w:trHeight w:val="312" w:hRule="exact"/>
        </w:trPr>
        <w:tc>
          <w:tcPr>
            <w:tcW w:w="838" w:type="dxa"/>
          </w:tcPr>
          <w:p>
            <w:pPr>
              <w:pStyle w:val="TableParagraph"/>
              <w:spacing w:before="30"/>
              <w:ind w:right="0"/>
              <w:jc w:val="center"/>
              <w:rPr>
                <w:sz w:val="22"/>
              </w:rPr>
            </w:pPr>
            <w:r>
              <w:rPr>
                <w:w w:val="100"/>
                <w:sz w:val="22"/>
              </w:rPr>
              <w:t>N</w:t>
            </w:r>
          </w:p>
        </w:tc>
        <w:tc>
          <w:tcPr>
            <w:tcW w:w="809" w:type="dxa"/>
          </w:tcPr>
          <w:p>
            <w:pPr>
              <w:pStyle w:val="TableParagraph"/>
              <w:spacing w:before="30"/>
              <w:ind w:left="59" w:right="0"/>
              <w:jc w:val="center"/>
              <w:rPr>
                <w:sz w:val="22"/>
              </w:rPr>
            </w:pPr>
            <w:r>
              <w:rPr>
                <w:sz w:val="22"/>
              </w:rPr>
              <w:t>695,17</w:t>
            </w:r>
          </w:p>
        </w:tc>
        <w:tc>
          <w:tcPr>
            <w:tcW w:w="504" w:type="dxa"/>
          </w:tcPr>
          <w:p>
            <w:pPr/>
          </w:p>
        </w:tc>
        <w:tc>
          <w:tcPr>
            <w:tcW w:w="1111" w:type="dxa"/>
          </w:tcPr>
          <w:p>
            <w:pPr/>
          </w:p>
        </w:tc>
        <w:tc>
          <w:tcPr>
            <w:tcW w:w="1188" w:type="dxa"/>
          </w:tcPr>
          <w:p>
            <w:pPr>
              <w:pStyle w:val="TableParagraph"/>
              <w:spacing w:before="18"/>
              <w:ind w:left="43" w:right="5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25" w:type="dxa"/>
          </w:tcPr>
          <w:p>
            <w:pPr>
              <w:pStyle w:val="TableParagraph"/>
              <w:spacing w:before="30"/>
              <w:rPr>
                <w:sz w:val="22"/>
              </w:rPr>
            </w:pPr>
            <w:r>
              <w:rPr>
                <w:sz w:val="22"/>
              </w:rPr>
              <w:t>3882,9456</w:t>
            </w:r>
          </w:p>
        </w:tc>
        <w:tc>
          <w:tcPr>
            <w:tcW w:w="931" w:type="dxa"/>
          </w:tcPr>
          <w:p>
            <w:pPr/>
          </w:p>
        </w:tc>
        <w:tc>
          <w:tcPr>
            <w:tcW w:w="1543" w:type="dxa"/>
          </w:tcPr>
          <w:p>
            <w:pPr>
              <w:pStyle w:val="TableParagraph"/>
              <w:spacing w:before="30"/>
              <w:ind w:right="63"/>
              <w:rPr>
                <w:sz w:val="22"/>
              </w:rPr>
            </w:pPr>
            <w:r>
              <w:rPr>
                <w:sz w:val="22"/>
              </w:rPr>
              <w:t>216095,0838</w:t>
            </w:r>
          </w:p>
        </w:tc>
        <w:tc>
          <w:tcPr>
            <w:tcW w:w="1447" w:type="dxa"/>
          </w:tcPr>
          <w:p>
            <w:pPr>
              <w:pStyle w:val="TableParagraph"/>
              <w:spacing w:before="30"/>
              <w:rPr>
                <w:sz w:val="22"/>
              </w:rPr>
            </w:pPr>
            <w:r>
              <w:rPr>
                <w:sz w:val="22"/>
              </w:rPr>
              <w:t>0,44715989</w:t>
            </w:r>
          </w:p>
        </w:tc>
      </w:tr>
      <w:tr>
        <w:trPr>
          <w:trHeight w:val="310" w:hRule="exact"/>
        </w:trPr>
        <w:tc>
          <w:tcPr>
            <w:tcW w:w="5774" w:type="dxa"/>
            <w:gridSpan w:val="6"/>
            <w:vMerge w:val="restart"/>
            <w:tcBorders>
              <w:left w:val="nil"/>
            </w:tcBorders>
          </w:tcPr>
          <w:p>
            <w:pPr/>
          </w:p>
        </w:tc>
        <w:tc>
          <w:tcPr>
            <w:tcW w:w="2474" w:type="dxa"/>
            <w:gridSpan w:val="2"/>
          </w:tcPr>
          <w:p>
            <w:pPr>
              <w:pStyle w:val="TableParagraph"/>
              <w:spacing w:before="11"/>
              <w:ind w:left="64" w:right="19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47" w:type="dxa"/>
          </w:tcPr>
          <w:p>
            <w:pPr>
              <w:pStyle w:val="TableParagraph"/>
              <w:rPr>
                <w:b/>
                <w:sz w:val="22"/>
              </w:rPr>
            </w:pPr>
            <w:r>
              <w:rPr>
                <w:b/>
                <w:sz w:val="22"/>
              </w:rPr>
              <w:t>5,586</w:t>
            </w:r>
          </w:p>
        </w:tc>
      </w:tr>
      <w:tr>
        <w:trPr>
          <w:trHeight w:val="310" w:hRule="exact"/>
        </w:trPr>
        <w:tc>
          <w:tcPr>
            <w:tcW w:w="5774" w:type="dxa"/>
            <w:gridSpan w:val="6"/>
            <w:vMerge/>
            <w:tcBorders>
              <w:left w:val="nil"/>
            </w:tcBorders>
          </w:tcPr>
          <w:p>
            <w:pPr/>
          </w:p>
        </w:tc>
        <w:tc>
          <w:tcPr>
            <w:tcW w:w="2474" w:type="dxa"/>
            <w:gridSpan w:val="2"/>
          </w:tcPr>
          <w:p>
            <w:pPr>
              <w:pStyle w:val="TableParagraph"/>
              <w:spacing w:before="13"/>
              <w:ind w:left="64" w:right="193"/>
              <w:jc w:val="left"/>
              <w:rPr>
                <w:sz w:val="22"/>
              </w:rPr>
            </w:pPr>
            <w:r>
              <w:rPr>
                <w:sz w:val="22"/>
              </w:rPr>
              <w:t>Desviación estándar</w:t>
            </w:r>
          </w:p>
        </w:tc>
        <w:tc>
          <w:tcPr>
            <w:tcW w:w="1447" w:type="dxa"/>
          </w:tcPr>
          <w:p>
            <w:pPr>
              <w:pStyle w:val="TableParagraph"/>
              <w:rPr>
                <w:b/>
                <w:sz w:val="22"/>
              </w:rPr>
            </w:pPr>
            <w:r>
              <w:rPr>
                <w:b/>
                <w:sz w:val="22"/>
              </w:rPr>
              <w:t>0,669</w:t>
            </w:r>
          </w:p>
        </w:tc>
      </w:tr>
      <w:tr>
        <w:trPr>
          <w:trHeight w:val="310" w:hRule="exact"/>
        </w:trPr>
        <w:tc>
          <w:tcPr>
            <w:tcW w:w="5774" w:type="dxa"/>
            <w:gridSpan w:val="6"/>
            <w:vMerge/>
            <w:tcBorders>
              <w:left w:val="nil"/>
            </w:tcBorders>
          </w:tcPr>
          <w:p>
            <w:pPr/>
          </w:p>
        </w:tc>
        <w:tc>
          <w:tcPr>
            <w:tcW w:w="2474" w:type="dxa"/>
            <w:gridSpan w:val="2"/>
            <w:vMerge w:val="restart"/>
          </w:tcPr>
          <w:p>
            <w:pPr>
              <w:pStyle w:val="TableParagraph"/>
              <w:spacing w:before="33"/>
              <w:ind w:left="64" w:right="193"/>
              <w:jc w:val="left"/>
              <w:rPr>
                <w:sz w:val="22"/>
              </w:rPr>
            </w:pPr>
            <w:r>
              <w:rPr>
                <w:sz w:val="22"/>
              </w:rPr>
              <w:t>Intervalo de confianza al 95 %</w:t>
            </w:r>
          </w:p>
        </w:tc>
        <w:tc>
          <w:tcPr>
            <w:tcW w:w="1447" w:type="dxa"/>
          </w:tcPr>
          <w:p>
            <w:pPr>
              <w:pStyle w:val="TableParagraph"/>
              <w:rPr>
                <w:sz w:val="22"/>
              </w:rPr>
            </w:pPr>
            <w:r>
              <w:rPr>
                <w:sz w:val="22"/>
              </w:rPr>
              <w:t>4,27</w:t>
            </w:r>
          </w:p>
        </w:tc>
      </w:tr>
      <w:tr>
        <w:trPr>
          <w:trHeight w:val="310" w:hRule="exact"/>
        </w:trPr>
        <w:tc>
          <w:tcPr>
            <w:tcW w:w="5774" w:type="dxa"/>
            <w:gridSpan w:val="6"/>
            <w:vMerge/>
            <w:tcBorders>
              <w:left w:val="nil"/>
              <w:bottom w:val="nil"/>
            </w:tcBorders>
          </w:tcPr>
          <w:p>
            <w:pPr/>
          </w:p>
        </w:tc>
        <w:tc>
          <w:tcPr>
            <w:tcW w:w="2474" w:type="dxa"/>
            <w:gridSpan w:val="2"/>
            <w:vMerge/>
          </w:tcPr>
          <w:p>
            <w:pPr/>
          </w:p>
        </w:tc>
        <w:tc>
          <w:tcPr>
            <w:tcW w:w="1447" w:type="dxa"/>
          </w:tcPr>
          <w:p>
            <w:pPr>
              <w:pStyle w:val="TableParagraph"/>
              <w:rPr>
                <w:sz w:val="22"/>
              </w:rPr>
            </w:pPr>
            <w:r>
              <w:rPr>
                <w:sz w:val="22"/>
              </w:rPr>
              <w:t>6,90</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1111"/>
        <w:gridCol w:w="1294"/>
        <w:gridCol w:w="1541"/>
        <w:gridCol w:w="1051"/>
        <w:gridCol w:w="1682"/>
        <w:gridCol w:w="1397"/>
      </w:tblGrid>
      <w:tr>
        <w:trPr>
          <w:trHeight w:val="310" w:hRule="exact"/>
        </w:trPr>
        <w:tc>
          <w:tcPr>
            <w:tcW w:w="10226" w:type="dxa"/>
            <w:gridSpan w:val="9"/>
          </w:tcPr>
          <w:p>
            <w:pPr>
              <w:pStyle w:val="TableParagraph"/>
              <w:ind w:left="3577" w:right="3576"/>
              <w:jc w:val="center"/>
              <w:rPr>
                <w:sz w:val="22"/>
              </w:rPr>
            </w:pPr>
            <w:r>
              <w:rPr>
                <w:sz w:val="22"/>
              </w:rPr>
              <w:t>Eficiencia estanque sedimentador</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1111" w:type="dxa"/>
          </w:tcPr>
          <w:p>
            <w:pPr>
              <w:pStyle w:val="TableParagraph"/>
              <w:spacing w:before="43"/>
              <w:ind w:left="357" w:right="37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94" w:type="dxa"/>
          </w:tcPr>
          <w:p>
            <w:pPr>
              <w:pStyle w:val="TableParagraph"/>
              <w:spacing w:line="214" w:lineRule="exact" w:before="6"/>
              <w:ind w:left="141" w:right="15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541" w:type="dxa"/>
          </w:tcPr>
          <w:p>
            <w:pPr>
              <w:pStyle w:val="TableParagraph"/>
              <w:spacing w:before="19"/>
              <w:ind w:left="646" w:right="65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1051" w:type="dxa"/>
          </w:tcPr>
          <w:p>
            <w:pPr>
              <w:pStyle w:val="TableParagraph"/>
              <w:spacing w:before="43"/>
              <w:ind w:left="394" w:right="405"/>
              <w:jc w:val="center"/>
              <w:rPr>
                <w:rFonts w:ascii="Cambria Math"/>
                <w:sz w:val="16"/>
              </w:rPr>
            </w:pPr>
            <w:r>
              <w:rPr>
                <w:rFonts w:ascii="Cambria Math"/>
                <w:w w:val="110"/>
                <w:sz w:val="22"/>
              </w:rPr>
              <w:t>s</w:t>
            </w:r>
            <w:r>
              <w:rPr>
                <w:rFonts w:ascii="Cambria Math"/>
                <w:w w:val="110"/>
                <w:position w:val="-4"/>
                <w:sz w:val="16"/>
              </w:rPr>
              <w:t>h</w:t>
            </w:r>
          </w:p>
        </w:tc>
        <w:tc>
          <w:tcPr>
            <w:tcW w:w="1682" w:type="dxa"/>
          </w:tcPr>
          <w:p>
            <w:pPr>
              <w:pStyle w:val="TableParagraph"/>
              <w:spacing w:before="0"/>
              <w:ind w:left="50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397" w:type="dxa"/>
          </w:tcPr>
          <w:p>
            <w:pPr>
              <w:pStyle w:val="TableParagraph"/>
              <w:spacing w:before="0"/>
              <w:ind w:left="34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30"/>
              <w:ind w:right="1"/>
              <w:jc w:val="center"/>
              <w:rPr>
                <w:sz w:val="22"/>
              </w:rPr>
            </w:pPr>
            <w:r>
              <w:rPr>
                <w:w w:val="100"/>
                <w:sz w:val="22"/>
              </w:rPr>
              <w:t>1</w:t>
            </w:r>
          </w:p>
        </w:tc>
        <w:tc>
          <w:tcPr>
            <w:tcW w:w="809" w:type="dxa"/>
          </w:tcPr>
          <w:p>
            <w:pPr>
              <w:pStyle w:val="TableParagraph"/>
              <w:spacing w:before="30"/>
              <w:ind w:left="59" w:right="1"/>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1111" w:type="dxa"/>
          </w:tcPr>
          <w:p>
            <w:pPr>
              <w:pStyle w:val="TableParagraph"/>
              <w:spacing w:before="30"/>
              <w:ind w:right="63"/>
              <w:rPr>
                <w:sz w:val="22"/>
              </w:rPr>
            </w:pPr>
            <w:r>
              <w:rPr>
                <w:sz w:val="22"/>
              </w:rPr>
              <w:t>-67,9442</w:t>
            </w:r>
          </w:p>
        </w:tc>
        <w:tc>
          <w:tcPr>
            <w:tcW w:w="1294" w:type="dxa"/>
          </w:tcPr>
          <w:p>
            <w:pPr>
              <w:pStyle w:val="TableParagraph"/>
              <w:spacing w:before="30"/>
              <w:ind w:right="63"/>
              <w:rPr>
                <w:sz w:val="22"/>
              </w:rPr>
            </w:pPr>
            <w:r>
              <w:rPr>
                <w:sz w:val="22"/>
              </w:rPr>
              <w:t>17363,9263</w:t>
            </w:r>
          </w:p>
        </w:tc>
        <w:tc>
          <w:tcPr>
            <w:tcW w:w="1541" w:type="dxa"/>
          </w:tcPr>
          <w:p>
            <w:pPr>
              <w:pStyle w:val="TableParagraph"/>
              <w:spacing w:before="30"/>
              <w:ind w:right="63"/>
              <w:rPr>
                <w:sz w:val="22"/>
              </w:rPr>
            </w:pPr>
            <w:r>
              <w:rPr>
                <w:sz w:val="22"/>
              </w:rPr>
              <w:t>-7378,7435</w:t>
            </w:r>
          </w:p>
        </w:tc>
        <w:tc>
          <w:tcPr>
            <w:tcW w:w="1051" w:type="dxa"/>
          </w:tcPr>
          <w:p>
            <w:pPr>
              <w:pStyle w:val="TableParagraph"/>
              <w:spacing w:before="30"/>
              <w:rPr>
                <w:sz w:val="22"/>
              </w:rPr>
            </w:pPr>
            <w:r>
              <w:rPr>
                <w:sz w:val="22"/>
              </w:rPr>
              <w:t>131,7723</w:t>
            </w:r>
          </w:p>
        </w:tc>
        <w:tc>
          <w:tcPr>
            <w:tcW w:w="1682" w:type="dxa"/>
          </w:tcPr>
          <w:p>
            <w:pPr>
              <w:pStyle w:val="TableParagraph"/>
              <w:spacing w:before="30"/>
              <w:rPr>
                <w:sz w:val="22"/>
              </w:rPr>
            </w:pPr>
            <w:r>
              <w:rPr>
                <w:sz w:val="22"/>
              </w:rPr>
              <w:t>-633953,1280</w:t>
            </w:r>
          </w:p>
        </w:tc>
        <w:tc>
          <w:tcPr>
            <w:tcW w:w="1397" w:type="dxa"/>
          </w:tcPr>
          <w:p>
            <w:pPr>
              <w:pStyle w:val="TableParagraph"/>
              <w:spacing w:before="30"/>
              <w:ind w:right="63"/>
              <w:rPr>
                <w:sz w:val="22"/>
              </w:rPr>
            </w:pPr>
            <w:r>
              <w:rPr>
                <w:sz w:val="22"/>
              </w:rPr>
              <w:t>-1,31182259</w:t>
            </w:r>
          </w:p>
        </w:tc>
      </w:tr>
      <w:tr>
        <w:trPr>
          <w:trHeight w:val="312" w:hRule="exact"/>
        </w:trPr>
        <w:tc>
          <w:tcPr>
            <w:tcW w:w="838" w:type="dxa"/>
          </w:tcPr>
          <w:p>
            <w:pPr>
              <w:pStyle w:val="TableParagraph"/>
              <w:spacing w:before="30"/>
              <w:ind w:right="1"/>
              <w:jc w:val="center"/>
              <w:rPr>
                <w:sz w:val="22"/>
              </w:rPr>
            </w:pPr>
            <w:r>
              <w:rPr>
                <w:w w:val="100"/>
                <w:sz w:val="22"/>
              </w:rPr>
              <w:t>2</w:t>
            </w:r>
          </w:p>
        </w:tc>
        <w:tc>
          <w:tcPr>
            <w:tcW w:w="809" w:type="dxa"/>
          </w:tcPr>
          <w:p>
            <w:pPr>
              <w:pStyle w:val="TableParagraph"/>
              <w:spacing w:before="30"/>
              <w:ind w:left="59" w:right="1"/>
              <w:jc w:val="center"/>
              <w:rPr>
                <w:sz w:val="22"/>
              </w:rPr>
            </w:pPr>
            <w:r>
              <w:rPr>
                <w:sz w:val="22"/>
              </w:rPr>
              <w:t>121,03</w:t>
            </w:r>
          </w:p>
        </w:tc>
        <w:tc>
          <w:tcPr>
            <w:tcW w:w="504" w:type="dxa"/>
          </w:tcPr>
          <w:p>
            <w:pPr>
              <w:pStyle w:val="TableParagraph"/>
              <w:spacing w:before="30"/>
              <w:ind w:left="184" w:right="42"/>
              <w:jc w:val="center"/>
              <w:rPr>
                <w:sz w:val="22"/>
              </w:rPr>
            </w:pPr>
            <w:r>
              <w:rPr>
                <w:sz w:val="22"/>
              </w:rPr>
              <w:t>81</w:t>
            </w:r>
          </w:p>
        </w:tc>
        <w:tc>
          <w:tcPr>
            <w:tcW w:w="1111" w:type="dxa"/>
          </w:tcPr>
          <w:p>
            <w:pPr>
              <w:pStyle w:val="TableParagraph"/>
              <w:spacing w:before="30"/>
              <w:ind w:right="63"/>
              <w:rPr>
                <w:sz w:val="22"/>
              </w:rPr>
            </w:pPr>
            <w:r>
              <w:rPr>
                <w:sz w:val="22"/>
              </w:rPr>
              <w:t>-41,7993</w:t>
            </w:r>
          </w:p>
        </w:tc>
        <w:tc>
          <w:tcPr>
            <w:tcW w:w="1294" w:type="dxa"/>
          </w:tcPr>
          <w:p>
            <w:pPr>
              <w:pStyle w:val="TableParagraph"/>
              <w:spacing w:before="30"/>
              <w:ind w:right="63"/>
              <w:rPr>
                <w:sz w:val="22"/>
              </w:rPr>
            </w:pPr>
            <w:r>
              <w:rPr>
                <w:sz w:val="22"/>
              </w:rPr>
              <w:t>6411,1405</w:t>
            </w:r>
          </w:p>
        </w:tc>
        <w:tc>
          <w:tcPr>
            <w:tcW w:w="1541" w:type="dxa"/>
          </w:tcPr>
          <w:p>
            <w:pPr>
              <w:pStyle w:val="TableParagraph"/>
              <w:spacing w:before="30"/>
              <w:ind w:right="63"/>
              <w:rPr>
                <w:sz w:val="22"/>
              </w:rPr>
            </w:pPr>
            <w:r>
              <w:rPr>
                <w:sz w:val="22"/>
              </w:rPr>
              <w:t>-5058,9723</w:t>
            </w:r>
          </w:p>
        </w:tc>
        <w:tc>
          <w:tcPr>
            <w:tcW w:w="1051" w:type="dxa"/>
          </w:tcPr>
          <w:p>
            <w:pPr>
              <w:pStyle w:val="TableParagraph"/>
              <w:spacing w:before="30"/>
              <w:rPr>
                <w:sz w:val="22"/>
              </w:rPr>
            </w:pPr>
            <w:r>
              <w:rPr>
                <w:sz w:val="22"/>
              </w:rPr>
              <w:t>80,0696</w:t>
            </w:r>
          </w:p>
        </w:tc>
        <w:tc>
          <w:tcPr>
            <w:tcW w:w="1682" w:type="dxa"/>
          </w:tcPr>
          <w:p>
            <w:pPr>
              <w:pStyle w:val="TableParagraph"/>
              <w:spacing w:before="30"/>
              <w:rPr>
                <w:sz w:val="22"/>
              </w:rPr>
            </w:pPr>
            <w:r>
              <w:rPr>
                <w:sz w:val="22"/>
              </w:rPr>
              <w:t>384040,6264</w:t>
            </w:r>
          </w:p>
        </w:tc>
        <w:tc>
          <w:tcPr>
            <w:tcW w:w="1397" w:type="dxa"/>
          </w:tcPr>
          <w:p>
            <w:pPr>
              <w:pStyle w:val="TableParagraph"/>
              <w:spacing w:before="30"/>
              <w:ind w:right="63"/>
              <w:rPr>
                <w:sz w:val="22"/>
              </w:rPr>
            </w:pPr>
            <w:r>
              <w:rPr>
                <w:sz w:val="22"/>
              </w:rPr>
              <w:t>0,7946852</w:t>
            </w:r>
          </w:p>
        </w:tc>
      </w:tr>
      <w:tr>
        <w:trPr>
          <w:trHeight w:val="310" w:hRule="exact"/>
        </w:trPr>
        <w:tc>
          <w:tcPr>
            <w:tcW w:w="838" w:type="dxa"/>
          </w:tcPr>
          <w:p>
            <w:pPr>
              <w:pStyle w:val="TableParagraph"/>
              <w:ind w:right="1"/>
              <w:jc w:val="center"/>
              <w:rPr>
                <w:sz w:val="22"/>
              </w:rPr>
            </w:pPr>
            <w:r>
              <w:rPr>
                <w:w w:val="100"/>
                <w:sz w:val="22"/>
              </w:rPr>
              <w:t>3</w:t>
            </w:r>
          </w:p>
        </w:tc>
        <w:tc>
          <w:tcPr>
            <w:tcW w:w="809" w:type="dxa"/>
          </w:tcPr>
          <w:p>
            <w:pPr>
              <w:pStyle w:val="TableParagraph"/>
              <w:ind w:left="59" w:right="1"/>
              <w:jc w:val="center"/>
              <w:rPr>
                <w:sz w:val="22"/>
              </w:rPr>
            </w:pPr>
            <w:r>
              <w:rPr>
                <w:sz w:val="22"/>
              </w:rPr>
              <w:t>130,21</w:t>
            </w:r>
          </w:p>
        </w:tc>
        <w:tc>
          <w:tcPr>
            <w:tcW w:w="504" w:type="dxa"/>
          </w:tcPr>
          <w:p>
            <w:pPr>
              <w:pStyle w:val="TableParagraph"/>
              <w:ind w:left="184" w:right="42"/>
              <w:jc w:val="center"/>
              <w:rPr>
                <w:sz w:val="22"/>
              </w:rPr>
            </w:pPr>
            <w:r>
              <w:rPr>
                <w:sz w:val="22"/>
              </w:rPr>
              <w:t>77</w:t>
            </w:r>
          </w:p>
        </w:tc>
        <w:tc>
          <w:tcPr>
            <w:tcW w:w="1111" w:type="dxa"/>
          </w:tcPr>
          <w:p>
            <w:pPr>
              <w:pStyle w:val="TableParagraph"/>
              <w:ind w:right="63"/>
              <w:rPr>
                <w:sz w:val="22"/>
              </w:rPr>
            </w:pPr>
            <w:r>
              <w:rPr>
                <w:sz w:val="22"/>
              </w:rPr>
              <w:t>-46,6008</w:t>
            </w:r>
          </w:p>
        </w:tc>
        <w:tc>
          <w:tcPr>
            <w:tcW w:w="1294" w:type="dxa"/>
          </w:tcPr>
          <w:p>
            <w:pPr>
              <w:pStyle w:val="TableParagraph"/>
              <w:ind w:right="63"/>
              <w:rPr>
                <w:sz w:val="22"/>
              </w:rPr>
            </w:pPr>
            <w:r>
              <w:rPr>
                <w:sz w:val="22"/>
              </w:rPr>
              <w:t>1872,6007</w:t>
            </w:r>
          </w:p>
        </w:tc>
        <w:tc>
          <w:tcPr>
            <w:tcW w:w="1541" w:type="dxa"/>
          </w:tcPr>
          <w:p>
            <w:pPr>
              <w:pStyle w:val="TableParagraph"/>
              <w:ind w:right="63"/>
              <w:rPr>
                <w:sz w:val="22"/>
              </w:rPr>
            </w:pPr>
            <w:r>
              <w:rPr>
                <w:sz w:val="22"/>
              </w:rPr>
              <w:t>-6067,8918</w:t>
            </w:r>
          </w:p>
        </w:tc>
        <w:tc>
          <w:tcPr>
            <w:tcW w:w="1051" w:type="dxa"/>
          </w:tcPr>
          <w:p>
            <w:pPr>
              <w:pStyle w:val="TableParagraph"/>
              <w:rPr>
                <w:sz w:val="22"/>
              </w:rPr>
            </w:pPr>
            <w:r>
              <w:rPr>
                <w:sz w:val="22"/>
              </w:rPr>
              <w:t>43,2736</w:t>
            </w:r>
          </w:p>
        </w:tc>
        <w:tc>
          <w:tcPr>
            <w:tcW w:w="1682" w:type="dxa"/>
          </w:tcPr>
          <w:p>
            <w:pPr>
              <w:pStyle w:val="TableParagraph"/>
              <w:rPr>
                <w:sz w:val="22"/>
              </w:rPr>
            </w:pPr>
            <w:r>
              <w:rPr>
                <w:sz w:val="22"/>
              </w:rPr>
              <w:t>170975,0173</w:t>
            </w:r>
          </w:p>
        </w:tc>
        <w:tc>
          <w:tcPr>
            <w:tcW w:w="1397" w:type="dxa"/>
          </w:tcPr>
          <w:p>
            <w:pPr>
              <w:pStyle w:val="TableParagraph"/>
              <w:ind w:right="63"/>
              <w:rPr>
                <w:sz w:val="22"/>
              </w:rPr>
            </w:pPr>
            <w:r>
              <w:rPr>
                <w:sz w:val="22"/>
              </w:rPr>
              <w:t>0,35379412</w:t>
            </w:r>
          </w:p>
        </w:tc>
      </w:tr>
      <w:tr>
        <w:trPr>
          <w:trHeight w:val="310" w:hRule="exact"/>
        </w:trPr>
        <w:tc>
          <w:tcPr>
            <w:tcW w:w="838" w:type="dxa"/>
          </w:tcPr>
          <w:p>
            <w:pPr>
              <w:pStyle w:val="TableParagraph"/>
              <w:ind w:right="1"/>
              <w:jc w:val="center"/>
              <w:rPr>
                <w:sz w:val="22"/>
              </w:rPr>
            </w:pPr>
            <w:r>
              <w:rPr>
                <w:w w:val="100"/>
                <w:sz w:val="22"/>
              </w:rPr>
              <w:t>4</w:t>
            </w:r>
          </w:p>
        </w:tc>
        <w:tc>
          <w:tcPr>
            <w:tcW w:w="809" w:type="dxa"/>
          </w:tcPr>
          <w:p>
            <w:pPr>
              <w:pStyle w:val="TableParagraph"/>
              <w:ind w:left="59" w:right="1"/>
              <w:jc w:val="center"/>
              <w:rPr>
                <w:sz w:val="22"/>
              </w:rPr>
            </w:pPr>
            <w:r>
              <w:rPr>
                <w:sz w:val="22"/>
              </w:rPr>
              <w:t>155,12</w:t>
            </w:r>
          </w:p>
        </w:tc>
        <w:tc>
          <w:tcPr>
            <w:tcW w:w="504" w:type="dxa"/>
          </w:tcPr>
          <w:p>
            <w:pPr>
              <w:pStyle w:val="TableParagraph"/>
              <w:ind w:left="184" w:right="42"/>
              <w:jc w:val="center"/>
              <w:rPr>
                <w:sz w:val="22"/>
              </w:rPr>
            </w:pPr>
            <w:r>
              <w:rPr>
                <w:sz w:val="22"/>
              </w:rPr>
              <w:t>92</w:t>
            </w:r>
          </w:p>
        </w:tc>
        <w:tc>
          <w:tcPr>
            <w:tcW w:w="1111" w:type="dxa"/>
          </w:tcPr>
          <w:p>
            <w:pPr>
              <w:pStyle w:val="TableParagraph"/>
              <w:ind w:right="63"/>
              <w:rPr>
                <w:sz w:val="22"/>
              </w:rPr>
            </w:pPr>
            <w:r>
              <w:rPr>
                <w:sz w:val="22"/>
              </w:rPr>
              <w:t>-15,6673</w:t>
            </w:r>
          </w:p>
        </w:tc>
        <w:tc>
          <w:tcPr>
            <w:tcW w:w="1294" w:type="dxa"/>
          </w:tcPr>
          <w:p>
            <w:pPr>
              <w:pStyle w:val="TableParagraph"/>
              <w:ind w:right="63"/>
              <w:rPr>
                <w:sz w:val="22"/>
              </w:rPr>
            </w:pPr>
            <w:r>
              <w:rPr>
                <w:sz w:val="22"/>
              </w:rPr>
              <w:t>103,8700</w:t>
            </w:r>
          </w:p>
        </w:tc>
        <w:tc>
          <w:tcPr>
            <w:tcW w:w="1541" w:type="dxa"/>
          </w:tcPr>
          <w:p>
            <w:pPr>
              <w:pStyle w:val="TableParagraph"/>
              <w:ind w:right="63"/>
              <w:rPr>
                <w:sz w:val="22"/>
              </w:rPr>
            </w:pPr>
            <w:r>
              <w:rPr>
                <w:sz w:val="22"/>
              </w:rPr>
              <w:t>-2430,3122</w:t>
            </w:r>
          </w:p>
        </w:tc>
        <w:tc>
          <w:tcPr>
            <w:tcW w:w="1051" w:type="dxa"/>
          </w:tcPr>
          <w:p>
            <w:pPr>
              <w:pStyle w:val="TableParagraph"/>
              <w:rPr>
                <w:sz w:val="22"/>
              </w:rPr>
            </w:pPr>
            <w:r>
              <w:rPr>
                <w:sz w:val="22"/>
              </w:rPr>
              <w:t>10,1917</w:t>
            </w:r>
          </w:p>
        </w:tc>
        <w:tc>
          <w:tcPr>
            <w:tcW w:w="1682" w:type="dxa"/>
          </w:tcPr>
          <w:p>
            <w:pPr>
              <w:pStyle w:val="TableParagraph"/>
              <w:rPr>
                <w:sz w:val="22"/>
              </w:rPr>
            </w:pPr>
            <w:r>
              <w:rPr>
                <w:sz w:val="22"/>
              </w:rPr>
              <w:t>11110,6746</w:t>
            </w:r>
          </w:p>
        </w:tc>
        <w:tc>
          <w:tcPr>
            <w:tcW w:w="1397" w:type="dxa"/>
          </w:tcPr>
          <w:p>
            <w:pPr>
              <w:pStyle w:val="TableParagraph"/>
              <w:ind w:right="63"/>
              <w:rPr>
                <w:sz w:val="22"/>
              </w:rPr>
            </w:pPr>
            <w:r>
              <w:rPr>
                <w:sz w:val="22"/>
              </w:rPr>
              <w:t>0,02299103</w:t>
            </w:r>
          </w:p>
        </w:tc>
      </w:tr>
      <w:tr>
        <w:trPr>
          <w:trHeight w:val="310" w:hRule="exact"/>
        </w:trPr>
        <w:tc>
          <w:tcPr>
            <w:tcW w:w="838" w:type="dxa"/>
          </w:tcPr>
          <w:p>
            <w:pPr>
              <w:pStyle w:val="TableParagraph"/>
              <w:ind w:right="1"/>
              <w:jc w:val="center"/>
              <w:rPr>
                <w:sz w:val="22"/>
              </w:rPr>
            </w:pPr>
            <w:r>
              <w:rPr>
                <w:w w:val="100"/>
                <w:sz w:val="22"/>
              </w:rPr>
              <w:t>5</w:t>
            </w:r>
          </w:p>
        </w:tc>
        <w:tc>
          <w:tcPr>
            <w:tcW w:w="809" w:type="dxa"/>
          </w:tcPr>
          <w:p>
            <w:pPr>
              <w:pStyle w:val="TableParagraph"/>
              <w:ind w:left="59" w:right="1"/>
              <w:jc w:val="center"/>
              <w:rPr>
                <w:sz w:val="22"/>
              </w:rPr>
            </w:pPr>
            <w:r>
              <w:rPr>
                <w:sz w:val="22"/>
              </w:rPr>
              <w:t>180,21</w:t>
            </w:r>
          </w:p>
        </w:tc>
        <w:tc>
          <w:tcPr>
            <w:tcW w:w="504" w:type="dxa"/>
          </w:tcPr>
          <w:p>
            <w:pPr>
              <w:pStyle w:val="TableParagraph"/>
              <w:ind w:left="73" w:right="41"/>
              <w:jc w:val="center"/>
              <w:rPr>
                <w:sz w:val="22"/>
              </w:rPr>
            </w:pPr>
            <w:r>
              <w:rPr>
                <w:sz w:val="22"/>
              </w:rPr>
              <w:t>132</w:t>
            </w:r>
          </w:p>
        </w:tc>
        <w:tc>
          <w:tcPr>
            <w:tcW w:w="1111" w:type="dxa"/>
          </w:tcPr>
          <w:p>
            <w:pPr>
              <w:pStyle w:val="TableParagraph"/>
              <w:ind w:right="63"/>
              <w:rPr>
                <w:sz w:val="22"/>
              </w:rPr>
            </w:pPr>
            <w:r>
              <w:rPr>
                <w:sz w:val="22"/>
              </w:rPr>
              <w:t>-15,6580</w:t>
            </w:r>
          </w:p>
        </w:tc>
        <w:tc>
          <w:tcPr>
            <w:tcW w:w="1294" w:type="dxa"/>
          </w:tcPr>
          <w:p>
            <w:pPr>
              <w:pStyle w:val="TableParagraph"/>
              <w:ind w:right="63"/>
              <w:rPr>
                <w:sz w:val="22"/>
              </w:rPr>
            </w:pPr>
            <w:r>
              <w:rPr>
                <w:sz w:val="22"/>
              </w:rPr>
              <w:t>115,3165</w:t>
            </w:r>
          </w:p>
        </w:tc>
        <w:tc>
          <w:tcPr>
            <w:tcW w:w="1541" w:type="dxa"/>
          </w:tcPr>
          <w:p>
            <w:pPr>
              <w:pStyle w:val="TableParagraph"/>
              <w:ind w:right="63"/>
              <w:rPr>
                <w:sz w:val="22"/>
              </w:rPr>
            </w:pPr>
            <w:r>
              <w:rPr>
                <w:sz w:val="22"/>
              </w:rPr>
              <w:t>-2821,7356</w:t>
            </w:r>
          </w:p>
        </w:tc>
        <w:tc>
          <w:tcPr>
            <w:tcW w:w="1051" w:type="dxa"/>
          </w:tcPr>
          <w:p>
            <w:pPr>
              <w:pStyle w:val="TableParagraph"/>
              <w:rPr>
                <w:sz w:val="22"/>
              </w:rPr>
            </w:pPr>
            <w:r>
              <w:rPr>
                <w:sz w:val="22"/>
              </w:rPr>
              <w:t>10,7386</w:t>
            </w:r>
          </w:p>
        </w:tc>
        <w:tc>
          <w:tcPr>
            <w:tcW w:w="1682" w:type="dxa"/>
          </w:tcPr>
          <w:p>
            <w:pPr>
              <w:pStyle w:val="TableParagraph"/>
              <w:rPr>
                <w:sz w:val="22"/>
              </w:rPr>
            </w:pPr>
            <w:r>
              <w:rPr>
                <w:sz w:val="22"/>
              </w:rPr>
              <w:t>7581,2608</w:t>
            </w:r>
          </w:p>
        </w:tc>
        <w:tc>
          <w:tcPr>
            <w:tcW w:w="1397" w:type="dxa"/>
          </w:tcPr>
          <w:p>
            <w:pPr>
              <w:pStyle w:val="TableParagraph"/>
              <w:ind w:right="63"/>
              <w:rPr>
                <w:sz w:val="22"/>
              </w:rPr>
            </w:pPr>
            <w:r>
              <w:rPr>
                <w:sz w:val="22"/>
              </w:rPr>
              <w:t>0,0156877</w:t>
            </w:r>
          </w:p>
        </w:tc>
      </w:tr>
      <w:tr>
        <w:trPr>
          <w:trHeight w:val="310" w:hRule="exact"/>
        </w:trPr>
        <w:tc>
          <w:tcPr>
            <w:tcW w:w="838" w:type="dxa"/>
          </w:tcPr>
          <w:p>
            <w:pPr>
              <w:pStyle w:val="TableParagraph"/>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1111" w:type="dxa"/>
          </w:tcPr>
          <w:p>
            <w:pPr/>
          </w:p>
        </w:tc>
        <w:tc>
          <w:tcPr>
            <w:tcW w:w="1294" w:type="dxa"/>
          </w:tcPr>
          <w:p>
            <w:pPr>
              <w:pStyle w:val="TableParagraph"/>
              <w:spacing w:before="18"/>
              <w:ind w:left="141" w:right="15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541" w:type="dxa"/>
          </w:tcPr>
          <w:p>
            <w:pPr>
              <w:pStyle w:val="TableParagraph"/>
              <w:ind w:right="63"/>
              <w:rPr>
                <w:sz w:val="22"/>
              </w:rPr>
            </w:pPr>
            <w:r>
              <w:rPr>
                <w:sz w:val="22"/>
              </w:rPr>
              <w:t>-23757,6554</w:t>
            </w:r>
          </w:p>
        </w:tc>
        <w:tc>
          <w:tcPr>
            <w:tcW w:w="1051" w:type="dxa"/>
          </w:tcPr>
          <w:p>
            <w:pPr/>
          </w:p>
        </w:tc>
        <w:tc>
          <w:tcPr>
            <w:tcW w:w="1682" w:type="dxa"/>
          </w:tcPr>
          <w:p>
            <w:pPr>
              <w:pStyle w:val="TableParagraph"/>
              <w:rPr>
                <w:sz w:val="22"/>
              </w:rPr>
            </w:pPr>
            <w:r>
              <w:rPr>
                <w:sz w:val="22"/>
              </w:rPr>
              <w:t>60245,5489</w:t>
            </w:r>
          </w:p>
        </w:tc>
        <w:tc>
          <w:tcPr>
            <w:tcW w:w="1397" w:type="dxa"/>
          </w:tcPr>
          <w:p>
            <w:pPr>
              <w:pStyle w:val="TableParagraph"/>
              <w:ind w:right="63"/>
              <w:rPr>
                <w:sz w:val="22"/>
              </w:rPr>
            </w:pPr>
            <w:r>
              <w:rPr>
                <w:sz w:val="22"/>
              </w:rPr>
              <w:t>0,12466454</w:t>
            </w:r>
          </w:p>
        </w:tc>
      </w:tr>
      <w:tr>
        <w:trPr>
          <w:trHeight w:val="310" w:hRule="exact"/>
        </w:trPr>
        <w:tc>
          <w:tcPr>
            <w:tcW w:w="6096" w:type="dxa"/>
            <w:gridSpan w:val="6"/>
            <w:vMerge w:val="restart"/>
            <w:tcBorders>
              <w:left w:val="nil"/>
            </w:tcBorders>
          </w:tcPr>
          <w:p>
            <w:pPr/>
          </w:p>
        </w:tc>
        <w:tc>
          <w:tcPr>
            <w:tcW w:w="2734"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397" w:type="dxa"/>
          </w:tcPr>
          <w:p>
            <w:pPr>
              <w:pStyle w:val="TableParagraph"/>
              <w:spacing w:before="30"/>
              <w:ind w:right="63"/>
              <w:rPr>
                <w:b/>
                <w:sz w:val="22"/>
              </w:rPr>
            </w:pPr>
            <w:r>
              <w:rPr>
                <w:b/>
                <w:sz w:val="22"/>
              </w:rPr>
              <w:t>-34,175</w:t>
            </w:r>
          </w:p>
        </w:tc>
      </w:tr>
      <w:tr>
        <w:trPr>
          <w:trHeight w:val="312" w:hRule="exact"/>
        </w:trPr>
        <w:tc>
          <w:tcPr>
            <w:tcW w:w="6096" w:type="dxa"/>
            <w:gridSpan w:val="6"/>
            <w:vMerge/>
            <w:tcBorders>
              <w:left w:val="nil"/>
            </w:tcBorders>
          </w:tcPr>
          <w:p>
            <w:pPr/>
          </w:p>
        </w:tc>
        <w:tc>
          <w:tcPr>
            <w:tcW w:w="2734" w:type="dxa"/>
            <w:gridSpan w:val="2"/>
          </w:tcPr>
          <w:p>
            <w:pPr>
              <w:pStyle w:val="TableParagraph"/>
              <w:spacing w:before="13"/>
              <w:ind w:left="64" w:right="0"/>
              <w:jc w:val="left"/>
              <w:rPr>
                <w:sz w:val="22"/>
              </w:rPr>
            </w:pPr>
            <w:r>
              <w:rPr>
                <w:sz w:val="22"/>
              </w:rPr>
              <w:t>Desviación estándar</w:t>
            </w:r>
          </w:p>
        </w:tc>
        <w:tc>
          <w:tcPr>
            <w:tcW w:w="1397" w:type="dxa"/>
          </w:tcPr>
          <w:p>
            <w:pPr>
              <w:pStyle w:val="TableParagraph"/>
              <w:spacing w:before="30"/>
              <w:ind w:right="63"/>
              <w:rPr>
                <w:b/>
                <w:sz w:val="22"/>
              </w:rPr>
            </w:pPr>
            <w:r>
              <w:rPr>
                <w:b/>
                <w:sz w:val="22"/>
              </w:rPr>
              <w:t>0,353</w:t>
            </w:r>
          </w:p>
        </w:tc>
      </w:tr>
      <w:tr>
        <w:trPr>
          <w:trHeight w:val="310" w:hRule="exact"/>
        </w:trPr>
        <w:tc>
          <w:tcPr>
            <w:tcW w:w="6096" w:type="dxa"/>
            <w:gridSpan w:val="6"/>
            <w:vMerge/>
            <w:tcBorders>
              <w:left w:val="nil"/>
            </w:tcBorders>
          </w:tcPr>
          <w:p>
            <w:pPr/>
          </w:p>
        </w:tc>
        <w:tc>
          <w:tcPr>
            <w:tcW w:w="2734" w:type="dxa"/>
            <w:gridSpan w:val="2"/>
            <w:vMerge w:val="restart"/>
          </w:tcPr>
          <w:p>
            <w:pPr>
              <w:pStyle w:val="TableParagraph"/>
              <w:spacing w:before="33"/>
              <w:ind w:left="64" w:right="0"/>
              <w:jc w:val="left"/>
              <w:rPr>
                <w:sz w:val="22"/>
              </w:rPr>
            </w:pPr>
            <w:r>
              <w:rPr>
                <w:sz w:val="22"/>
              </w:rPr>
              <w:t>Intervalo de confianza al 95</w:t>
            </w:r>
          </w:p>
          <w:p>
            <w:pPr>
              <w:pStyle w:val="TableParagraph"/>
              <w:spacing w:before="0"/>
              <w:ind w:left="64" w:right="0"/>
              <w:jc w:val="left"/>
              <w:rPr>
                <w:sz w:val="22"/>
              </w:rPr>
            </w:pPr>
            <w:r>
              <w:rPr>
                <w:w w:val="100"/>
                <w:sz w:val="22"/>
              </w:rPr>
              <w:t>%</w:t>
            </w:r>
          </w:p>
        </w:tc>
        <w:tc>
          <w:tcPr>
            <w:tcW w:w="1397" w:type="dxa"/>
          </w:tcPr>
          <w:p>
            <w:pPr>
              <w:pStyle w:val="TableParagraph"/>
              <w:ind w:right="63"/>
              <w:rPr>
                <w:sz w:val="22"/>
              </w:rPr>
            </w:pPr>
            <w:r>
              <w:rPr>
                <w:sz w:val="22"/>
              </w:rPr>
              <w:t>-34,87</w:t>
            </w:r>
          </w:p>
        </w:tc>
      </w:tr>
      <w:tr>
        <w:trPr>
          <w:trHeight w:val="310" w:hRule="exact"/>
        </w:trPr>
        <w:tc>
          <w:tcPr>
            <w:tcW w:w="6096" w:type="dxa"/>
            <w:gridSpan w:val="6"/>
            <w:vMerge/>
            <w:tcBorders>
              <w:left w:val="nil"/>
              <w:bottom w:val="nil"/>
            </w:tcBorders>
          </w:tcPr>
          <w:p>
            <w:pPr/>
          </w:p>
        </w:tc>
        <w:tc>
          <w:tcPr>
            <w:tcW w:w="2734" w:type="dxa"/>
            <w:gridSpan w:val="2"/>
            <w:vMerge/>
          </w:tcPr>
          <w:p>
            <w:pPr/>
          </w:p>
        </w:tc>
        <w:tc>
          <w:tcPr>
            <w:tcW w:w="1397" w:type="dxa"/>
          </w:tcPr>
          <w:p>
            <w:pPr>
              <w:pStyle w:val="TableParagraph"/>
              <w:ind w:right="63"/>
              <w:rPr>
                <w:sz w:val="22"/>
              </w:rPr>
            </w:pPr>
            <w:r>
              <w:rPr>
                <w:sz w:val="22"/>
              </w:rPr>
              <w:t>-33,48</w:t>
            </w:r>
          </w:p>
        </w:tc>
      </w:tr>
    </w:tbl>
    <w:p>
      <w:pPr>
        <w:spacing w:after="0"/>
        <w:rPr>
          <w:sz w:val="22"/>
        </w:rPr>
        <w:sectPr>
          <w:pgSz w:w="12240" w:h="15840"/>
          <w:pgMar w:header="725" w:footer="1084" w:top="1340" w:bottom="1280" w:left="920" w:right="760"/>
        </w:sectPr>
      </w:pPr>
    </w:p>
    <w:p>
      <w:pPr>
        <w:spacing w:before="172" w:after="4"/>
        <w:ind w:left="2893" w:right="2426" w:firstLine="0"/>
        <w:jc w:val="left"/>
        <w:rPr>
          <w:b/>
          <w:sz w:val="22"/>
        </w:rPr>
      </w:pPr>
      <w:r>
        <w:rPr>
          <w:b/>
          <w:sz w:val="22"/>
        </w:rPr>
        <w:t>Sólidos Suspendidos Totales (mg de SST/L)</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5"/>
        <w:gridCol w:w="814"/>
        <w:gridCol w:w="504"/>
        <w:gridCol w:w="689"/>
        <w:gridCol w:w="686"/>
        <w:gridCol w:w="1094"/>
        <w:gridCol w:w="898"/>
        <w:gridCol w:w="1342"/>
        <w:gridCol w:w="1505"/>
      </w:tblGrid>
      <w:tr>
        <w:trPr>
          <w:trHeight w:val="312" w:hRule="exact"/>
        </w:trPr>
        <w:tc>
          <w:tcPr>
            <w:tcW w:w="8376" w:type="dxa"/>
            <w:gridSpan w:val="9"/>
          </w:tcPr>
          <w:p>
            <w:pPr>
              <w:pStyle w:val="TableParagraph"/>
              <w:spacing w:before="30"/>
              <w:ind w:left="3216" w:right="3216"/>
              <w:jc w:val="center"/>
              <w:rPr>
                <w:sz w:val="22"/>
              </w:rPr>
            </w:pPr>
            <w:r>
              <w:rPr>
                <w:sz w:val="22"/>
              </w:rPr>
              <w:t>Punto de mestreo A</w:t>
            </w:r>
          </w:p>
        </w:tc>
      </w:tr>
      <w:tr>
        <w:trPr>
          <w:trHeight w:val="310" w:hRule="exact"/>
        </w:trPr>
        <w:tc>
          <w:tcPr>
            <w:tcW w:w="845" w:type="dxa"/>
          </w:tcPr>
          <w:p>
            <w:pPr>
              <w:pStyle w:val="TableParagraph"/>
              <w:spacing w:before="11"/>
              <w:ind w:left="78" w:right="77"/>
              <w:jc w:val="center"/>
              <w:rPr>
                <w:sz w:val="22"/>
              </w:rPr>
            </w:pPr>
            <w:r>
              <w:rPr>
                <w:sz w:val="22"/>
              </w:rPr>
              <w:t>Estrato</w:t>
            </w:r>
          </w:p>
        </w:tc>
        <w:tc>
          <w:tcPr>
            <w:tcW w:w="814" w:type="dxa"/>
          </w:tcPr>
          <w:p>
            <w:pPr>
              <w:pStyle w:val="TableParagraph"/>
              <w:spacing w:before="40"/>
              <w:ind w:left="33" w:right="46"/>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0"/>
              <w:ind w:left="32" w:right="43"/>
              <w:jc w:val="center"/>
              <w:rPr>
                <w:rFonts w:ascii="Cambria Math"/>
                <w:sz w:val="16"/>
              </w:rPr>
            </w:pPr>
            <w:r>
              <w:rPr>
                <w:rFonts w:ascii="Cambria Math"/>
                <w:w w:val="110"/>
                <w:sz w:val="22"/>
              </w:rPr>
              <w:t>n</w:t>
            </w:r>
            <w:r>
              <w:rPr>
                <w:rFonts w:ascii="Cambria Math"/>
                <w:w w:val="110"/>
                <w:position w:val="-4"/>
                <w:sz w:val="16"/>
              </w:rPr>
              <w:t>h</w:t>
            </w:r>
          </w:p>
        </w:tc>
        <w:tc>
          <w:tcPr>
            <w:tcW w:w="689" w:type="dxa"/>
          </w:tcPr>
          <w:p>
            <w:pPr>
              <w:pStyle w:val="TableParagraph"/>
              <w:spacing w:before="40"/>
              <w:ind w:left="32"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686" w:type="dxa"/>
          </w:tcPr>
          <w:p>
            <w:pPr>
              <w:pStyle w:val="TableParagraph"/>
              <w:spacing w:line="214" w:lineRule="exact" w:before="6"/>
              <w:ind w:left="36"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094" w:type="dxa"/>
          </w:tcPr>
          <w:p>
            <w:pPr>
              <w:pStyle w:val="TableParagraph"/>
              <w:spacing w:before="16"/>
              <w:ind w:left="423" w:right="43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98" w:type="dxa"/>
          </w:tcPr>
          <w:p>
            <w:pPr>
              <w:pStyle w:val="TableParagraph"/>
              <w:spacing w:before="40"/>
              <w:ind w:left="338" w:right="0"/>
              <w:jc w:val="left"/>
              <w:rPr>
                <w:rFonts w:ascii="Cambria Math"/>
                <w:sz w:val="16"/>
              </w:rPr>
            </w:pPr>
            <w:r>
              <w:rPr>
                <w:rFonts w:ascii="Cambria Math"/>
                <w:w w:val="110"/>
                <w:sz w:val="22"/>
              </w:rPr>
              <w:t>s</w:t>
            </w:r>
            <w:r>
              <w:rPr>
                <w:rFonts w:ascii="Cambria Math"/>
                <w:w w:val="110"/>
                <w:position w:val="-4"/>
                <w:sz w:val="16"/>
              </w:rPr>
              <w:t>h</w:t>
            </w:r>
          </w:p>
        </w:tc>
        <w:tc>
          <w:tcPr>
            <w:tcW w:w="1342" w:type="dxa"/>
          </w:tcPr>
          <w:p>
            <w:pPr>
              <w:pStyle w:val="TableParagraph"/>
              <w:spacing w:before="0"/>
              <w:ind w:left="333"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05" w:type="dxa"/>
          </w:tcPr>
          <w:p>
            <w:pPr>
              <w:pStyle w:val="TableParagraph"/>
              <w:spacing w:before="0"/>
              <w:ind w:left="400"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45" w:type="dxa"/>
          </w:tcPr>
          <w:p>
            <w:pPr>
              <w:pStyle w:val="TableParagraph"/>
              <w:ind w:left="1" w:right="0"/>
              <w:jc w:val="center"/>
              <w:rPr>
                <w:sz w:val="22"/>
              </w:rPr>
            </w:pPr>
            <w:r>
              <w:rPr>
                <w:w w:val="100"/>
                <w:sz w:val="22"/>
              </w:rPr>
              <w:t>1</w:t>
            </w:r>
          </w:p>
        </w:tc>
        <w:tc>
          <w:tcPr>
            <w:tcW w:w="814" w:type="dxa"/>
          </w:tcPr>
          <w:p>
            <w:pPr>
              <w:pStyle w:val="TableParagraph"/>
              <w:ind w:left="104" w:right="46"/>
              <w:jc w:val="center"/>
              <w:rPr>
                <w:sz w:val="22"/>
              </w:rPr>
            </w:pPr>
            <w:r>
              <w:rPr>
                <w:sz w:val="22"/>
              </w:rPr>
              <w:t>108,60</w:t>
            </w:r>
          </w:p>
        </w:tc>
        <w:tc>
          <w:tcPr>
            <w:tcW w:w="504" w:type="dxa"/>
          </w:tcPr>
          <w:p>
            <w:pPr>
              <w:pStyle w:val="TableParagraph"/>
              <w:ind w:left="73" w:right="41"/>
              <w:jc w:val="center"/>
              <w:rPr>
                <w:sz w:val="22"/>
              </w:rPr>
            </w:pPr>
            <w:r>
              <w:rPr>
                <w:sz w:val="22"/>
              </w:rPr>
              <w:t>108</w:t>
            </w:r>
          </w:p>
        </w:tc>
        <w:tc>
          <w:tcPr>
            <w:tcW w:w="689" w:type="dxa"/>
          </w:tcPr>
          <w:p>
            <w:pPr>
              <w:pStyle w:val="TableParagraph"/>
              <w:ind w:left="91" w:right="47"/>
              <w:jc w:val="center"/>
              <w:rPr>
                <w:sz w:val="22"/>
              </w:rPr>
            </w:pPr>
            <w:r>
              <w:rPr>
                <w:sz w:val="22"/>
              </w:rPr>
              <w:t>2,000</w:t>
            </w:r>
          </w:p>
        </w:tc>
        <w:tc>
          <w:tcPr>
            <w:tcW w:w="686" w:type="dxa"/>
          </w:tcPr>
          <w:p>
            <w:pPr>
              <w:pStyle w:val="TableParagraph"/>
              <w:ind w:left="91" w:right="44"/>
              <w:jc w:val="center"/>
              <w:rPr>
                <w:sz w:val="22"/>
              </w:rPr>
            </w:pPr>
            <w:r>
              <w:rPr>
                <w:sz w:val="22"/>
              </w:rPr>
              <w:t>0,500</w:t>
            </w:r>
          </w:p>
        </w:tc>
        <w:tc>
          <w:tcPr>
            <w:tcW w:w="1094" w:type="dxa"/>
          </w:tcPr>
          <w:p>
            <w:pPr>
              <w:pStyle w:val="TableParagraph"/>
              <w:rPr>
                <w:sz w:val="22"/>
              </w:rPr>
            </w:pPr>
            <w:r>
              <w:rPr>
                <w:sz w:val="22"/>
              </w:rPr>
              <w:t>217,200</w:t>
            </w:r>
          </w:p>
        </w:tc>
        <w:tc>
          <w:tcPr>
            <w:tcW w:w="898" w:type="dxa"/>
          </w:tcPr>
          <w:p>
            <w:pPr>
              <w:pStyle w:val="TableParagraph"/>
              <w:ind w:left="319" w:right="0"/>
              <w:jc w:val="left"/>
              <w:rPr>
                <w:sz w:val="22"/>
              </w:rPr>
            </w:pPr>
            <w:r>
              <w:rPr>
                <w:sz w:val="22"/>
              </w:rPr>
              <w:t>0,707</w:t>
            </w:r>
          </w:p>
        </w:tc>
        <w:tc>
          <w:tcPr>
            <w:tcW w:w="1342" w:type="dxa"/>
          </w:tcPr>
          <w:p>
            <w:pPr>
              <w:pStyle w:val="TableParagraph"/>
              <w:ind w:right="63"/>
              <w:rPr>
                <w:sz w:val="22"/>
              </w:rPr>
            </w:pPr>
            <w:r>
              <w:rPr>
                <w:sz w:val="22"/>
              </w:rPr>
              <w:t>-18,255</w:t>
            </w:r>
          </w:p>
        </w:tc>
        <w:tc>
          <w:tcPr>
            <w:tcW w:w="1505" w:type="dxa"/>
          </w:tcPr>
          <w:p>
            <w:pPr>
              <w:pStyle w:val="TableParagraph"/>
              <w:rPr>
                <w:sz w:val="22"/>
              </w:rPr>
            </w:pPr>
            <w:r>
              <w:rPr>
                <w:sz w:val="22"/>
              </w:rPr>
              <w:t>-3,7774E-05</w:t>
            </w:r>
          </w:p>
        </w:tc>
      </w:tr>
      <w:tr>
        <w:trPr>
          <w:trHeight w:val="310" w:hRule="exact"/>
        </w:trPr>
        <w:tc>
          <w:tcPr>
            <w:tcW w:w="845" w:type="dxa"/>
          </w:tcPr>
          <w:p>
            <w:pPr>
              <w:pStyle w:val="TableParagraph"/>
              <w:ind w:left="1" w:right="0"/>
              <w:jc w:val="center"/>
              <w:rPr>
                <w:sz w:val="22"/>
              </w:rPr>
            </w:pPr>
            <w:r>
              <w:rPr>
                <w:w w:val="100"/>
                <w:sz w:val="22"/>
              </w:rPr>
              <w:t>2</w:t>
            </w:r>
          </w:p>
        </w:tc>
        <w:tc>
          <w:tcPr>
            <w:tcW w:w="814" w:type="dxa"/>
          </w:tcPr>
          <w:p>
            <w:pPr>
              <w:pStyle w:val="TableParagraph"/>
              <w:ind w:left="104" w:right="46"/>
              <w:jc w:val="center"/>
              <w:rPr>
                <w:sz w:val="22"/>
              </w:rPr>
            </w:pPr>
            <w:r>
              <w:rPr>
                <w:sz w:val="22"/>
              </w:rPr>
              <w:t>121,03</w:t>
            </w:r>
          </w:p>
        </w:tc>
        <w:tc>
          <w:tcPr>
            <w:tcW w:w="504" w:type="dxa"/>
          </w:tcPr>
          <w:p>
            <w:pPr>
              <w:pStyle w:val="TableParagraph"/>
              <w:ind w:left="184" w:right="42"/>
              <w:jc w:val="center"/>
              <w:rPr>
                <w:sz w:val="22"/>
              </w:rPr>
            </w:pPr>
            <w:r>
              <w:rPr>
                <w:sz w:val="22"/>
              </w:rPr>
              <w:t>81</w:t>
            </w:r>
          </w:p>
        </w:tc>
        <w:tc>
          <w:tcPr>
            <w:tcW w:w="689" w:type="dxa"/>
          </w:tcPr>
          <w:p>
            <w:pPr>
              <w:pStyle w:val="TableParagraph"/>
              <w:ind w:left="91" w:right="47"/>
              <w:jc w:val="center"/>
              <w:rPr>
                <w:sz w:val="22"/>
              </w:rPr>
            </w:pPr>
            <w:r>
              <w:rPr>
                <w:sz w:val="22"/>
              </w:rPr>
              <w:t>1,800</w:t>
            </w:r>
          </w:p>
        </w:tc>
        <w:tc>
          <w:tcPr>
            <w:tcW w:w="686" w:type="dxa"/>
          </w:tcPr>
          <w:p>
            <w:pPr>
              <w:pStyle w:val="TableParagraph"/>
              <w:ind w:left="91" w:right="44"/>
              <w:jc w:val="center"/>
              <w:rPr>
                <w:sz w:val="22"/>
              </w:rPr>
            </w:pPr>
            <w:r>
              <w:rPr>
                <w:sz w:val="22"/>
              </w:rPr>
              <w:t>0,700</w:t>
            </w:r>
          </w:p>
        </w:tc>
        <w:tc>
          <w:tcPr>
            <w:tcW w:w="1094" w:type="dxa"/>
          </w:tcPr>
          <w:p>
            <w:pPr>
              <w:pStyle w:val="TableParagraph"/>
              <w:rPr>
                <w:sz w:val="22"/>
              </w:rPr>
            </w:pPr>
            <w:r>
              <w:rPr>
                <w:sz w:val="22"/>
              </w:rPr>
              <w:t>217,854</w:t>
            </w:r>
          </w:p>
        </w:tc>
        <w:tc>
          <w:tcPr>
            <w:tcW w:w="898" w:type="dxa"/>
          </w:tcPr>
          <w:p>
            <w:pPr>
              <w:pStyle w:val="TableParagraph"/>
              <w:ind w:left="319" w:right="0"/>
              <w:jc w:val="left"/>
              <w:rPr>
                <w:sz w:val="22"/>
              </w:rPr>
            </w:pPr>
            <w:r>
              <w:rPr>
                <w:sz w:val="22"/>
              </w:rPr>
              <w:t>0,837</w:t>
            </w:r>
          </w:p>
        </w:tc>
        <w:tc>
          <w:tcPr>
            <w:tcW w:w="1342" w:type="dxa"/>
          </w:tcPr>
          <w:p>
            <w:pPr>
              <w:pStyle w:val="TableParagraph"/>
              <w:ind w:right="63"/>
              <w:rPr>
                <w:sz w:val="22"/>
              </w:rPr>
            </w:pPr>
            <w:r>
              <w:rPr>
                <w:sz w:val="22"/>
              </w:rPr>
              <w:t>41,931</w:t>
            </w:r>
          </w:p>
        </w:tc>
        <w:tc>
          <w:tcPr>
            <w:tcW w:w="1505" w:type="dxa"/>
          </w:tcPr>
          <w:p>
            <w:pPr>
              <w:pStyle w:val="TableParagraph"/>
              <w:rPr>
                <w:sz w:val="22"/>
              </w:rPr>
            </w:pPr>
            <w:r>
              <w:rPr>
                <w:sz w:val="22"/>
              </w:rPr>
              <w:t>8,6768E-05</w:t>
            </w:r>
          </w:p>
        </w:tc>
      </w:tr>
      <w:tr>
        <w:trPr>
          <w:trHeight w:val="310" w:hRule="exact"/>
        </w:trPr>
        <w:tc>
          <w:tcPr>
            <w:tcW w:w="845" w:type="dxa"/>
          </w:tcPr>
          <w:p>
            <w:pPr>
              <w:pStyle w:val="TableParagraph"/>
              <w:ind w:left="1" w:right="0"/>
              <w:jc w:val="center"/>
              <w:rPr>
                <w:sz w:val="22"/>
              </w:rPr>
            </w:pPr>
            <w:r>
              <w:rPr>
                <w:w w:val="100"/>
                <w:sz w:val="22"/>
              </w:rPr>
              <w:t>3</w:t>
            </w:r>
          </w:p>
        </w:tc>
        <w:tc>
          <w:tcPr>
            <w:tcW w:w="814" w:type="dxa"/>
          </w:tcPr>
          <w:p>
            <w:pPr>
              <w:pStyle w:val="TableParagraph"/>
              <w:ind w:left="104" w:right="46"/>
              <w:jc w:val="center"/>
              <w:rPr>
                <w:sz w:val="22"/>
              </w:rPr>
            </w:pPr>
            <w:r>
              <w:rPr>
                <w:sz w:val="22"/>
              </w:rPr>
              <w:t>130,21</w:t>
            </w:r>
          </w:p>
        </w:tc>
        <w:tc>
          <w:tcPr>
            <w:tcW w:w="504" w:type="dxa"/>
          </w:tcPr>
          <w:p>
            <w:pPr>
              <w:pStyle w:val="TableParagraph"/>
              <w:ind w:left="184" w:right="42"/>
              <w:jc w:val="center"/>
              <w:rPr>
                <w:sz w:val="22"/>
              </w:rPr>
            </w:pPr>
            <w:r>
              <w:rPr>
                <w:sz w:val="22"/>
              </w:rPr>
              <w:t>77</w:t>
            </w:r>
          </w:p>
        </w:tc>
        <w:tc>
          <w:tcPr>
            <w:tcW w:w="689" w:type="dxa"/>
          </w:tcPr>
          <w:p>
            <w:pPr>
              <w:pStyle w:val="TableParagraph"/>
              <w:ind w:left="91" w:right="47"/>
              <w:jc w:val="center"/>
              <w:rPr>
                <w:sz w:val="22"/>
              </w:rPr>
            </w:pPr>
            <w:r>
              <w:rPr>
                <w:sz w:val="22"/>
              </w:rPr>
              <w:t>1,800</w:t>
            </w:r>
          </w:p>
        </w:tc>
        <w:tc>
          <w:tcPr>
            <w:tcW w:w="686" w:type="dxa"/>
          </w:tcPr>
          <w:p>
            <w:pPr>
              <w:pStyle w:val="TableParagraph"/>
              <w:ind w:left="91" w:right="44"/>
              <w:jc w:val="center"/>
              <w:rPr>
                <w:sz w:val="22"/>
              </w:rPr>
            </w:pPr>
            <w:r>
              <w:rPr>
                <w:sz w:val="22"/>
              </w:rPr>
              <w:t>1,200</w:t>
            </w:r>
          </w:p>
        </w:tc>
        <w:tc>
          <w:tcPr>
            <w:tcW w:w="1094" w:type="dxa"/>
          </w:tcPr>
          <w:p>
            <w:pPr>
              <w:pStyle w:val="TableParagraph"/>
              <w:rPr>
                <w:sz w:val="22"/>
              </w:rPr>
            </w:pPr>
            <w:r>
              <w:rPr>
                <w:sz w:val="22"/>
              </w:rPr>
              <w:t>234,378</w:t>
            </w:r>
          </w:p>
        </w:tc>
        <w:tc>
          <w:tcPr>
            <w:tcW w:w="898" w:type="dxa"/>
          </w:tcPr>
          <w:p>
            <w:pPr>
              <w:pStyle w:val="TableParagraph"/>
              <w:ind w:left="319" w:right="0"/>
              <w:jc w:val="left"/>
              <w:rPr>
                <w:sz w:val="22"/>
              </w:rPr>
            </w:pPr>
            <w:r>
              <w:rPr>
                <w:sz w:val="22"/>
              </w:rPr>
              <w:t>1,095</w:t>
            </w:r>
          </w:p>
        </w:tc>
        <w:tc>
          <w:tcPr>
            <w:tcW w:w="1342" w:type="dxa"/>
          </w:tcPr>
          <w:p>
            <w:pPr>
              <w:pStyle w:val="TableParagraph"/>
              <w:ind w:right="63"/>
              <w:rPr>
                <w:sz w:val="22"/>
              </w:rPr>
            </w:pPr>
            <w:r>
              <w:rPr>
                <w:sz w:val="22"/>
              </w:rPr>
              <w:t>109,564</w:t>
            </w:r>
          </w:p>
        </w:tc>
        <w:tc>
          <w:tcPr>
            <w:tcW w:w="1505" w:type="dxa"/>
          </w:tcPr>
          <w:p>
            <w:pPr>
              <w:pStyle w:val="TableParagraph"/>
              <w:rPr>
                <w:sz w:val="22"/>
              </w:rPr>
            </w:pPr>
            <w:r>
              <w:rPr>
                <w:sz w:val="22"/>
              </w:rPr>
              <w:t>0,00022672</w:t>
            </w:r>
          </w:p>
        </w:tc>
      </w:tr>
      <w:tr>
        <w:trPr>
          <w:trHeight w:val="310" w:hRule="exact"/>
        </w:trPr>
        <w:tc>
          <w:tcPr>
            <w:tcW w:w="845" w:type="dxa"/>
          </w:tcPr>
          <w:p>
            <w:pPr>
              <w:pStyle w:val="TableParagraph"/>
              <w:ind w:left="1" w:right="0"/>
              <w:jc w:val="center"/>
              <w:rPr>
                <w:sz w:val="22"/>
              </w:rPr>
            </w:pPr>
            <w:r>
              <w:rPr>
                <w:w w:val="100"/>
                <w:sz w:val="22"/>
              </w:rPr>
              <w:t>4</w:t>
            </w:r>
          </w:p>
        </w:tc>
        <w:tc>
          <w:tcPr>
            <w:tcW w:w="814" w:type="dxa"/>
          </w:tcPr>
          <w:p>
            <w:pPr>
              <w:pStyle w:val="TableParagraph"/>
              <w:ind w:left="104" w:right="46"/>
              <w:jc w:val="center"/>
              <w:rPr>
                <w:sz w:val="22"/>
              </w:rPr>
            </w:pPr>
            <w:r>
              <w:rPr>
                <w:sz w:val="22"/>
              </w:rPr>
              <w:t>155,12</w:t>
            </w:r>
          </w:p>
        </w:tc>
        <w:tc>
          <w:tcPr>
            <w:tcW w:w="504" w:type="dxa"/>
          </w:tcPr>
          <w:p>
            <w:pPr>
              <w:pStyle w:val="TableParagraph"/>
              <w:ind w:left="184" w:right="42"/>
              <w:jc w:val="center"/>
              <w:rPr>
                <w:sz w:val="22"/>
              </w:rPr>
            </w:pPr>
            <w:r>
              <w:rPr>
                <w:sz w:val="22"/>
              </w:rPr>
              <w:t>92</w:t>
            </w:r>
          </w:p>
        </w:tc>
        <w:tc>
          <w:tcPr>
            <w:tcW w:w="689" w:type="dxa"/>
          </w:tcPr>
          <w:p>
            <w:pPr>
              <w:pStyle w:val="TableParagraph"/>
              <w:ind w:left="91" w:right="47"/>
              <w:jc w:val="center"/>
              <w:rPr>
                <w:sz w:val="22"/>
              </w:rPr>
            </w:pPr>
            <w:r>
              <w:rPr>
                <w:sz w:val="22"/>
              </w:rPr>
              <w:t>3,600</w:t>
            </w:r>
          </w:p>
        </w:tc>
        <w:tc>
          <w:tcPr>
            <w:tcW w:w="686" w:type="dxa"/>
          </w:tcPr>
          <w:p>
            <w:pPr>
              <w:pStyle w:val="TableParagraph"/>
              <w:ind w:left="91" w:right="44"/>
              <w:jc w:val="center"/>
              <w:rPr>
                <w:sz w:val="22"/>
              </w:rPr>
            </w:pPr>
            <w:r>
              <w:rPr>
                <w:sz w:val="22"/>
              </w:rPr>
              <w:t>3,300</w:t>
            </w:r>
          </w:p>
        </w:tc>
        <w:tc>
          <w:tcPr>
            <w:tcW w:w="1094" w:type="dxa"/>
          </w:tcPr>
          <w:p>
            <w:pPr>
              <w:pStyle w:val="TableParagraph"/>
              <w:rPr>
                <w:sz w:val="22"/>
              </w:rPr>
            </w:pPr>
            <w:r>
              <w:rPr>
                <w:sz w:val="22"/>
              </w:rPr>
              <w:t>558,432</w:t>
            </w:r>
          </w:p>
        </w:tc>
        <w:tc>
          <w:tcPr>
            <w:tcW w:w="898" w:type="dxa"/>
          </w:tcPr>
          <w:p>
            <w:pPr>
              <w:pStyle w:val="TableParagraph"/>
              <w:ind w:left="319" w:right="0"/>
              <w:jc w:val="left"/>
              <w:rPr>
                <w:sz w:val="22"/>
              </w:rPr>
            </w:pPr>
            <w:r>
              <w:rPr>
                <w:sz w:val="22"/>
              </w:rPr>
              <w:t>1,817</w:t>
            </w:r>
          </w:p>
        </w:tc>
        <w:tc>
          <w:tcPr>
            <w:tcW w:w="1342" w:type="dxa"/>
          </w:tcPr>
          <w:p>
            <w:pPr>
              <w:pStyle w:val="TableParagraph"/>
              <w:ind w:right="63"/>
              <w:rPr>
                <w:sz w:val="22"/>
              </w:rPr>
            </w:pPr>
            <w:r>
              <w:rPr>
                <w:sz w:val="22"/>
              </w:rPr>
              <w:t>352,991</w:t>
            </w:r>
          </w:p>
        </w:tc>
        <w:tc>
          <w:tcPr>
            <w:tcW w:w="1505" w:type="dxa"/>
          </w:tcPr>
          <w:p>
            <w:pPr>
              <w:pStyle w:val="TableParagraph"/>
              <w:rPr>
                <w:sz w:val="22"/>
              </w:rPr>
            </w:pPr>
            <w:r>
              <w:rPr>
                <w:sz w:val="22"/>
              </w:rPr>
              <w:t>0,00073044</w:t>
            </w:r>
          </w:p>
        </w:tc>
      </w:tr>
      <w:tr>
        <w:trPr>
          <w:trHeight w:val="312" w:hRule="exact"/>
        </w:trPr>
        <w:tc>
          <w:tcPr>
            <w:tcW w:w="845" w:type="dxa"/>
          </w:tcPr>
          <w:p>
            <w:pPr>
              <w:pStyle w:val="TableParagraph"/>
              <w:spacing w:before="30"/>
              <w:ind w:left="1" w:right="0"/>
              <w:jc w:val="center"/>
              <w:rPr>
                <w:sz w:val="22"/>
              </w:rPr>
            </w:pPr>
            <w:r>
              <w:rPr>
                <w:w w:val="100"/>
                <w:sz w:val="22"/>
              </w:rPr>
              <w:t>5</w:t>
            </w:r>
          </w:p>
        </w:tc>
        <w:tc>
          <w:tcPr>
            <w:tcW w:w="814" w:type="dxa"/>
          </w:tcPr>
          <w:p>
            <w:pPr>
              <w:pStyle w:val="TableParagraph"/>
              <w:spacing w:before="30"/>
              <w:ind w:left="104" w:right="46"/>
              <w:jc w:val="center"/>
              <w:rPr>
                <w:sz w:val="22"/>
              </w:rPr>
            </w:pPr>
            <w:r>
              <w:rPr>
                <w:sz w:val="22"/>
              </w:rPr>
              <w:t>180,21</w:t>
            </w:r>
          </w:p>
        </w:tc>
        <w:tc>
          <w:tcPr>
            <w:tcW w:w="504" w:type="dxa"/>
          </w:tcPr>
          <w:p>
            <w:pPr>
              <w:pStyle w:val="TableParagraph"/>
              <w:spacing w:before="30"/>
              <w:ind w:left="73" w:right="41"/>
              <w:jc w:val="center"/>
              <w:rPr>
                <w:sz w:val="22"/>
              </w:rPr>
            </w:pPr>
            <w:r>
              <w:rPr>
                <w:sz w:val="22"/>
              </w:rPr>
              <w:t>132</w:t>
            </w:r>
          </w:p>
        </w:tc>
        <w:tc>
          <w:tcPr>
            <w:tcW w:w="689" w:type="dxa"/>
          </w:tcPr>
          <w:p>
            <w:pPr>
              <w:pStyle w:val="TableParagraph"/>
              <w:spacing w:before="30"/>
              <w:ind w:left="91" w:right="47"/>
              <w:jc w:val="center"/>
              <w:rPr>
                <w:sz w:val="22"/>
              </w:rPr>
            </w:pPr>
            <w:r>
              <w:rPr>
                <w:sz w:val="22"/>
              </w:rPr>
              <w:t>7,167</w:t>
            </w:r>
          </w:p>
        </w:tc>
        <w:tc>
          <w:tcPr>
            <w:tcW w:w="686" w:type="dxa"/>
          </w:tcPr>
          <w:p>
            <w:pPr>
              <w:pStyle w:val="TableParagraph"/>
              <w:spacing w:before="30"/>
              <w:ind w:left="91" w:right="44"/>
              <w:jc w:val="center"/>
              <w:rPr>
                <w:sz w:val="22"/>
              </w:rPr>
            </w:pPr>
            <w:r>
              <w:rPr>
                <w:sz w:val="22"/>
              </w:rPr>
              <w:t>2,967</w:t>
            </w:r>
          </w:p>
        </w:tc>
        <w:tc>
          <w:tcPr>
            <w:tcW w:w="1094" w:type="dxa"/>
          </w:tcPr>
          <w:p>
            <w:pPr>
              <w:pStyle w:val="TableParagraph"/>
              <w:spacing w:before="30"/>
              <w:rPr>
                <w:sz w:val="22"/>
              </w:rPr>
            </w:pPr>
            <w:r>
              <w:rPr>
                <w:sz w:val="22"/>
              </w:rPr>
              <w:t>1291,505</w:t>
            </w:r>
          </w:p>
        </w:tc>
        <w:tc>
          <w:tcPr>
            <w:tcW w:w="898" w:type="dxa"/>
          </w:tcPr>
          <w:p>
            <w:pPr>
              <w:pStyle w:val="TableParagraph"/>
              <w:spacing w:before="30"/>
              <w:ind w:left="319" w:right="0"/>
              <w:jc w:val="left"/>
              <w:rPr>
                <w:sz w:val="22"/>
              </w:rPr>
            </w:pPr>
            <w:r>
              <w:rPr>
                <w:sz w:val="22"/>
              </w:rPr>
              <w:t>1,722</w:t>
            </w:r>
          </w:p>
        </w:tc>
        <w:tc>
          <w:tcPr>
            <w:tcW w:w="1342" w:type="dxa"/>
          </w:tcPr>
          <w:p>
            <w:pPr>
              <w:pStyle w:val="TableParagraph"/>
              <w:spacing w:before="30"/>
              <w:ind w:right="63"/>
              <w:rPr>
                <w:sz w:val="22"/>
              </w:rPr>
            </w:pPr>
            <w:r>
              <w:rPr>
                <w:sz w:val="22"/>
              </w:rPr>
              <w:t>195,038</w:t>
            </w:r>
          </w:p>
        </w:tc>
        <w:tc>
          <w:tcPr>
            <w:tcW w:w="1505" w:type="dxa"/>
          </w:tcPr>
          <w:p>
            <w:pPr>
              <w:pStyle w:val="TableParagraph"/>
              <w:spacing w:before="30"/>
              <w:rPr>
                <w:sz w:val="22"/>
              </w:rPr>
            </w:pPr>
            <w:r>
              <w:rPr>
                <w:sz w:val="22"/>
              </w:rPr>
              <w:t>0,00040359</w:t>
            </w:r>
          </w:p>
        </w:tc>
      </w:tr>
      <w:tr>
        <w:trPr>
          <w:trHeight w:val="310" w:hRule="exact"/>
        </w:trPr>
        <w:tc>
          <w:tcPr>
            <w:tcW w:w="845" w:type="dxa"/>
          </w:tcPr>
          <w:p>
            <w:pPr>
              <w:pStyle w:val="TableParagraph"/>
              <w:ind w:right="1"/>
              <w:jc w:val="center"/>
              <w:rPr>
                <w:sz w:val="22"/>
              </w:rPr>
            </w:pPr>
            <w:r>
              <w:rPr>
                <w:w w:val="100"/>
                <w:sz w:val="22"/>
              </w:rPr>
              <w:t>N</w:t>
            </w:r>
          </w:p>
        </w:tc>
        <w:tc>
          <w:tcPr>
            <w:tcW w:w="814" w:type="dxa"/>
          </w:tcPr>
          <w:p>
            <w:pPr>
              <w:pStyle w:val="TableParagraph"/>
              <w:ind w:left="104" w:right="45"/>
              <w:jc w:val="center"/>
              <w:rPr>
                <w:sz w:val="22"/>
              </w:rPr>
            </w:pPr>
            <w:r>
              <w:rPr>
                <w:sz w:val="22"/>
              </w:rPr>
              <w:t>695,17</w:t>
            </w:r>
          </w:p>
        </w:tc>
        <w:tc>
          <w:tcPr>
            <w:tcW w:w="504" w:type="dxa"/>
          </w:tcPr>
          <w:p>
            <w:pPr/>
          </w:p>
        </w:tc>
        <w:tc>
          <w:tcPr>
            <w:tcW w:w="689" w:type="dxa"/>
          </w:tcPr>
          <w:p>
            <w:pPr/>
          </w:p>
        </w:tc>
        <w:tc>
          <w:tcPr>
            <w:tcW w:w="686" w:type="dxa"/>
          </w:tcPr>
          <w:p>
            <w:pPr>
              <w:pStyle w:val="TableParagraph"/>
              <w:spacing w:before="16"/>
              <w:ind w:left="33" w:right="4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094" w:type="dxa"/>
          </w:tcPr>
          <w:p>
            <w:pPr>
              <w:pStyle w:val="TableParagraph"/>
              <w:rPr>
                <w:sz w:val="22"/>
              </w:rPr>
            </w:pPr>
            <w:r>
              <w:rPr>
                <w:sz w:val="22"/>
              </w:rPr>
              <w:t>2519,369</w:t>
            </w:r>
          </w:p>
        </w:tc>
        <w:tc>
          <w:tcPr>
            <w:tcW w:w="898" w:type="dxa"/>
          </w:tcPr>
          <w:p>
            <w:pPr/>
          </w:p>
        </w:tc>
        <w:tc>
          <w:tcPr>
            <w:tcW w:w="1342" w:type="dxa"/>
          </w:tcPr>
          <w:p>
            <w:pPr>
              <w:pStyle w:val="TableParagraph"/>
              <w:ind w:right="63"/>
              <w:rPr>
                <w:sz w:val="22"/>
              </w:rPr>
            </w:pPr>
            <w:r>
              <w:rPr>
                <w:sz w:val="22"/>
              </w:rPr>
              <w:t>681,270</w:t>
            </w:r>
          </w:p>
        </w:tc>
        <w:tc>
          <w:tcPr>
            <w:tcW w:w="1505" w:type="dxa"/>
          </w:tcPr>
          <w:p>
            <w:pPr>
              <w:pStyle w:val="TableParagraph"/>
              <w:rPr>
                <w:sz w:val="22"/>
              </w:rPr>
            </w:pPr>
            <w:r>
              <w:rPr>
                <w:sz w:val="22"/>
              </w:rPr>
              <w:t>0,00140973</w:t>
            </w:r>
          </w:p>
        </w:tc>
      </w:tr>
      <w:tr>
        <w:trPr>
          <w:trHeight w:val="310" w:hRule="exact"/>
        </w:trPr>
        <w:tc>
          <w:tcPr>
            <w:tcW w:w="4632" w:type="dxa"/>
            <w:gridSpan w:val="6"/>
            <w:vMerge w:val="restart"/>
            <w:tcBorders>
              <w:left w:val="nil"/>
            </w:tcBorders>
          </w:tcPr>
          <w:p>
            <w:pPr/>
          </w:p>
        </w:tc>
        <w:tc>
          <w:tcPr>
            <w:tcW w:w="2239" w:type="dxa"/>
            <w:gridSpan w:val="2"/>
          </w:tcPr>
          <w:p>
            <w:pPr>
              <w:pStyle w:val="TableParagraph"/>
              <w:spacing w:before="11"/>
              <w:ind w:left="64" w:right="16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05" w:type="dxa"/>
          </w:tcPr>
          <w:p>
            <w:pPr>
              <w:pStyle w:val="TableParagraph"/>
              <w:rPr>
                <w:b/>
                <w:sz w:val="22"/>
              </w:rPr>
            </w:pPr>
            <w:r>
              <w:rPr>
                <w:b/>
                <w:sz w:val="22"/>
              </w:rPr>
              <w:t>3,624</w:t>
            </w:r>
          </w:p>
        </w:tc>
      </w:tr>
      <w:tr>
        <w:trPr>
          <w:trHeight w:val="310" w:hRule="exact"/>
        </w:trPr>
        <w:tc>
          <w:tcPr>
            <w:tcW w:w="4632" w:type="dxa"/>
            <w:gridSpan w:val="6"/>
            <w:vMerge/>
            <w:tcBorders>
              <w:left w:val="nil"/>
            </w:tcBorders>
          </w:tcPr>
          <w:p>
            <w:pPr/>
          </w:p>
        </w:tc>
        <w:tc>
          <w:tcPr>
            <w:tcW w:w="2239" w:type="dxa"/>
            <w:gridSpan w:val="2"/>
          </w:tcPr>
          <w:p>
            <w:pPr>
              <w:pStyle w:val="TableParagraph"/>
              <w:spacing w:before="13"/>
              <w:ind w:left="64" w:right="163"/>
              <w:jc w:val="left"/>
              <w:rPr>
                <w:sz w:val="22"/>
              </w:rPr>
            </w:pPr>
            <w:r>
              <w:rPr>
                <w:sz w:val="22"/>
              </w:rPr>
              <w:t>Desviación estándar</w:t>
            </w:r>
          </w:p>
        </w:tc>
        <w:tc>
          <w:tcPr>
            <w:tcW w:w="1505" w:type="dxa"/>
          </w:tcPr>
          <w:p>
            <w:pPr>
              <w:pStyle w:val="TableParagraph"/>
              <w:rPr>
                <w:b/>
                <w:sz w:val="22"/>
              </w:rPr>
            </w:pPr>
            <w:r>
              <w:rPr>
                <w:b/>
                <w:sz w:val="22"/>
              </w:rPr>
              <w:t>0,038</w:t>
            </w:r>
          </w:p>
        </w:tc>
      </w:tr>
      <w:tr>
        <w:trPr>
          <w:trHeight w:val="310" w:hRule="exact"/>
        </w:trPr>
        <w:tc>
          <w:tcPr>
            <w:tcW w:w="4632" w:type="dxa"/>
            <w:gridSpan w:val="6"/>
            <w:vMerge/>
            <w:tcBorders>
              <w:left w:val="nil"/>
            </w:tcBorders>
          </w:tcPr>
          <w:p>
            <w:pPr/>
          </w:p>
        </w:tc>
        <w:tc>
          <w:tcPr>
            <w:tcW w:w="2239" w:type="dxa"/>
            <w:gridSpan w:val="2"/>
            <w:vMerge w:val="restart"/>
          </w:tcPr>
          <w:p>
            <w:pPr>
              <w:pStyle w:val="TableParagraph"/>
              <w:spacing w:before="33"/>
              <w:ind w:left="64" w:right="163"/>
              <w:jc w:val="left"/>
              <w:rPr>
                <w:sz w:val="22"/>
              </w:rPr>
            </w:pPr>
            <w:r>
              <w:rPr>
                <w:sz w:val="22"/>
              </w:rPr>
              <w:t>Intervalo de confianza al 95 %</w:t>
            </w:r>
          </w:p>
        </w:tc>
        <w:tc>
          <w:tcPr>
            <w:tcW w:w="1505" w:type="dxa"/>
          </w:tcPr>
          <w:p>
            <w:pPr>
              <w:pStyle w:val="TableParagraph"/>
              <w:rPr>
                <w:sz w:val="22"/>
              </w:rPr>
            </w:pPr>
            <w:r>
              <w:rPr>
                <w:sz w:val="22"/>
              </w:rPr>
              <w:t>3,55</w:t>
            </w:r>
          </w:p>
        </w:tc>
      </w:tr>
      <w:tr>
        <w:trPr>
          <w:trHeight w:val="310" w:hRule="exact"/>
        </w:trPr>
        <w:tc>
          <w:tcPr>
            <w:tcW w:w="4632" w:type="dxa"/>
            <w:gridSpan w:val="6"/>
            <w:vMerge/>
            <w:tcBorders>
              <w:left w:val="nil"/>
              <w:bottom w:val="nil"/>
            </w:tcBorders>
          </w:tcPr>
          <w:p>
            <w:pPr/>
          </w:p>
        </w:tc>
        <w:tc>
          <w:tcPr>
            <w:tcW w:w="2239" w:type="dxa"/>
            <w:gridSpan w:val="2"/>
            <w:vMerge/>
          </w:tcPr>
          <w:p>
            <w:pPr/>
          </w:p>
        </w:tc>
        <w:tc>
          <w:tcPr>
            <w:tcW w:w="1505" w:type="dxa"/>
          </w:tcPr>
          <w:p>
            <w:pPr>
              <w:pStyle w:val="TableParagraph"/>
              <w:rPr>
                <w:sz w:val="22"/>
              </w:rPr>
            </w:pPr>
            <w:r>
              <w:rPr>
                <w:sz w:val="22"/>
              </w:rPr>
              <w:t>3,70</w:t>
            </w:r>
          </w:p>
        </w:tc>
      </w:tr>
    </w:tbl>
    <w:p>
      <w:pPr>
        <w:pStyle w:val="BodyText"/>
        <w:spacing w:before="3"/>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5"/>
        <w:gridCol w:w="814"/>
        <w:gridCol w:w="504"/>
        <w:gridCol w:w="689"/>
        <w:gridCol w:w="686"/>
        <w:gridCol w:w="1094"/>
        <w:gridCol w:w="898"/>
        <w:gridCol w:w="1342"/>
        <w:gridCol w:w="1505"/>
      </w:tblGrid>
      <w:tr>
        <w:trPr>
          <w:trHeight w:val="310" w:hRule="exact"/>
        </w:trPr>
        <w:tc>
          <w:tcPr>
            <w:tcW w:w="8376" w:type="dxa"/>
            <w:gridSpan w:val="9"/>
          </w:tcPr>
          <w:p>
            <w:pPr>
              <w:pStyle w:val="TableParagraph"/>
              <w:ind w:left="3218" w:right="3216"/>
              <w:jc w:val="center"/>
              <w:rPr>
                <w:sz w:val="22"/>
              </w:rPr>
            </w:pPr>
            <w:r>
              <w:rPr>
                <w:sz w:val="22"/>
              </w:rPr>
              <w:t>Punto de muestreo B</w:t>
            </w:r>
          </w:p>
        </w:tc>
      </w:tr>
      <w:tr>
        <w:trPr>
          <w:trHeight w:val="310" w:hRule="exact"/>
        </w:trPr>
        <w:tc>
          <w:tcPr>
            <w:tcW w:w="845" w:type="dxa"/>
          </w:tcPr>
          <w:p>
            <w:pPr>
              <w:pStyle w:val="TableParagraph"/>
              <w:spacing w:before="11"/>
              <w:ind w:left="78" w:right="77"/>
              <w:jc w:val="center"/>
              <w:rPr>
                <w:sz w:val="22"/>
              </w:rPr>
            </w:pPr>
            <w:r>
              <w:rPr>
                <w:sz w:val="22"/>
              </w:rPr>
              <w:t>Estrato</w:t>
            </w:r>
          </w:p>
        </w:tc>
        <w:tc>
          <w:tcPr>
            <w:tcW w:w="814" w:type="dxa"/>
          </w:tcPr>
          <w:p>
            <w:pPr>
              <w:pStyle w:val="TableParagraph"/>
              <w:spacing w:before="40"/>
              <w:ind w:left="33" w:right="46"/>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0"/>
              <w:ind w:left="32" w:right="43"/>
              <w:jc w:val="center"/>
              <w:rPr>
                <w:rFonts w:ascii="Cambria Math"/>
                <w:sz w:val="16"/>
              </w:rPr>
            </w:pPr>
            <w:r>
              <w:rPr>
                <w:rFonts w:ascii="Cambria Math"/>
                <w:w w:val="110"/>
                <w:sz w:val="22"/>
              </w:rPr>
              <w:t>n</w:t>
            </w:r>
            <w:r>
              <w:rPr>
                <w:rFonts w:ascii="Cambria Math"/>
                <w:w w:val="110"/>
                <w:position w:val="-4"/>
                <w:sz w:val="16"/>
              </w:rPr>
              <w:t>h</w:t>
            </w:r>
          </w:p>
        </w:tc>
        <w:tc>
          <w:tcPr>
            <w:tcW w:w="689" w:type="dxa"/>
          </w:tcPr>
          <w:p>
            <w:pPr>
              <w:pStyle w:val="TableParagraph"/>
              <w:spacing w:before="40"/>
              <w:ind w:left="32"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686" w:type="dxa"/>
          </w:tcPr>
          <w:p>
            <w:pPr>
              <w:pStyle w:val="TableParagraph"/>
              <w:spacing w:line="214" w:lineRule="exact" w:before="6"/>
              <w:ind w:left="36"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094" w:type="dxa"/>
          </w:tcPr>
          <w:p>
            <w:pPr>
              <w:pStyle w:val="TableParagraph"/>
              <w:spacing w:before="16"/>
              <w:ind w:left="423" w:right="43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98" w:type="dxa"/>
          </w:tcPr>
          <w:p>
            <w:pPr>
              <w:pStyle w:val="TableParagraph"/>
              <w:spacing w:before="40"/>
              <w:ind w:left="338" w:right="0"/>
              <w:jc w:val="left"/>
              <w:rPr>
                <w:rFonts w:ascii="Cambria Math"/>
                <w:sz w:val="16"/>
              </w:rPr>
            </w:pPr>
            <w:r>
              <w:rPr>
                <w:rFonts w:ascii="Cambria Math"/>
                <w:w w:val="110"/>
                <w:sz w:val="22"/>
              </w:rPr>
              <w:t>s</w:t>
            </w:r>
            <w:r>
              <w:rPr>
                <w:rFonts w:ascii="Cambria Math"/>
                <w:w w:val="110"/>
                <w:position w:val="-4"/>
                <w:sz w:val="16"/>
              </w:rPr>
              <w:t>h</w:t>
            </w:r>
          </w:p>
        </w:tc>
        <w:tc>
          <w:tcPr>
            <w:tcW w:w="1342" w:type="dxa"/>
          </w:tcPr>
          <w:p>
            <w:pPr>
              <w:pStyle w:val="TableParagraph"/>
              <w:spacing w:before="0"/>
              <w:ind w:left="333"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05" w:type="dxa"/>
          </w:tcPr>
          <w:p>
            <w:pPr>
              <w:pStyle w:val="TableParagraph"/>
              <w:spacing w:before="0"/>
              <w:ind w:left="400"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45" w:type="dxa"/>
          </w:tcPr>
          <w:p>
            <w:pPr>
              <w:pStyle w:val="TableParagraph"/>
              <w:ind w:left="1" w:right="0"/>
              <w:jc w:val="center"/>
              <w:rPr>
                <w:sz w:val="22"/>
              </w:rPr>
            </w:pPr>
            <w:r>
              <w:rPr>
                <w:w w:val="100"/>
                <w:sz w:val="22"/>
              </w:rPr>
              <w:t>1</w:t>
            </w:r>
          </w:p>
        </w:tc>
        <w:tc>
          <w:tcPr>
            <w:tcW w:w="814" w:type="dxa"/>
          </w:tcPr>
          <w:p>
            <w:pPr>
              <w:pStyle w:val="TableParagraph"/>
              <w:ind w:left="104" w:right="46"/>
              <w:jc w:val="center"/>
              <w:rPr>
                <w:sz w:val="22"/>
              </w:rPr>
            </w:pPr>
            <w:r>
              <w:rPr>
                <w:sz w:val="22"/>
              </w:rPr>
              <w:t>108,60</w:t>
            </w:r>
          </w:p>
        </w:tc>
        <w:tc>
          <w:tcPr>
            <w:tcW w:w="504" w:type="dxa"/>
          </w:tcPr>
          <w:p>
            <w:pPr>
              <w:pStyle w:val="TableParagraph"/>
              <w:ind w:left="73" w:right="41"/>
              <w:jc w:val="center"/>
              <w:rPr>
                <w:sz w:val="22"/>
              </w:rPr>
            </w:pPr>
            <w:r>
              <w:rPr>
                <w:sz w:val="22"/>
              </w:rPr>
              <w:t>108</w:t>
            </w:r>
          </w:p>
        </w:tc>
        <w:tc>
          <w:tcPr>
            <w:tcW w:w="689" w:type="dxa"/>
          </w:tcPr>
          <w:p>
            <w:pPr>
              <w:pStyle w:val="TableParagraph"/>
              <w:ind w:left="91" w:right="47"/>
              <w:jc w:val="center"/>
              <w:rPr>
                <w:sz w:val="22"/>
              </w:rPr>
            </w:pPr>
            <w:r>
              <w:rPr>
                <w:sz w:val="22"/>
              </w:rPr>
              <w:t>2,200</w:t>
            </w:r>
          </w:p>
        </w:tc>
        <w:tc>
          <w:tcPr>
            <w:tcW w:w="686" w:type="dxa"/>
          </w:tcPr>
          <w:p>
            <w:pPr>
              <w:pStyle w:val="TableParagraph"/>
              <w:ind w:left="91" w:right="44"/>
              <w:jc w:val="center"/>
              <w:rPr>
                <w:sz w:val="22"/>
              </w:rPr>
            </w:pPr>
            <w:r>
              <w:rPr>
                <w:sz w:val="22"/>
              </w:rPr>
              <w:t>0,700</w:t>
            </w:r>
          </w:p>
        </w:tc>
        <w:tc>
          <w:tcPr>
            <w:tcW w:w="1094" w:type="dxa"/>
          </w:tcPr>
          <w:p>
            <w:pPr>
              <w:pStyle w:val="TableParagraph"/>
              <w:rPr>
                <w:sz w:val="22"/>
              </w:rPr>
            </w:pPr>
            <w:r>
              <w:rPr>
                <w:sz w:val="22"/>
              </w:rPr>
              <w:t>238,920</w:t>
            </w:r>
          </w:p>
        </w:tc>
        <w:tc>
          <w:tcPr>
            <w:tcW w:w="898" w:type="dxa"/>
          </w:tcPr>
          <w:p>
            <w:pPr>
              <w:pStyle w:val="TableParagraph"/>
              <w:ind w:left="319" w:right="0"/>
              <w:jc w:val="left"/>
              <w:rPr>
                <w:sz w:val="22"/>
              </w:rPr>
            </w:pPr>
            <w:r>
              <w:rPr>
                <w:sz w:val="22"/>
              </w:rPr>
              <w:t>0,837</w:t>
            </w:r>
          </w:p>
        </w:tc>
        <w:tc>
          <w:tcPr>
            <w:tcW w:w="1342" w:type="dxa"/>
          </w:tcPr>
          <w:p>
            <w:pPr>
              <w:pStyle w:val="TableParagraph"/>
              <w:ind w:right="63"/>
              <w:rPr>
                <w:sz w:val="22"/>
              </w:rPr>
            </w:pPr>
            <w:r>
              <w:rPr>
                <w:sz w:val="22"/>
              </w:rPr>
              <w:t>-25,557</w:t>
            </w:r>
          </w:p>
        </w:tc>
        <w:tc>
          <w:tcPr>
            <w:tcW w:w="1505" w:type="dxa"/>
          </w:tcPr>
          <w:p>
            <w:pPr>
              <w:pStyle w:val="TableParagraph"/>
              <w:rPr>
                <w:sz w:val="22"/>
              </w:rPr>
            </w:pPr>
            <w:r>
              <w:rPr>
                <w:sz w:val="22"/>
              </w:rPr>
              <w:t>-5,2884E-05</w:t>
            </w:r>
          </w:p>
        </w:tc>
      </w:tr>
      <w:tr>
        <w:trPr>
          <w:trHeight w:val="310" w:hRule="exact"/>
        </w:trPr>
        <w:tc>
          <w:tcPr>
            <w:tcW w:w="845" w:type="dxa"/>
          </w:tcPr>
          <w:p>
            <w:pPr>
              <w:pStyle w:val="TableParagraph"/>
              <w:ind w:left="1" w:right="0"/>
              <w:jc w:val="center"/>
              <w:rPr>
                <w:sz w:val="22"/>
              </w:rPr>
            </w:pPr>
            <w:r>
              <w:rPr>
                <w:w w:val="100"/>
                <w:sz w:val="22"/>
              </w:rPr>
              <w:t>2</w:t>
            </w:r>
          </w:p>
        </w:tc>
        <w:tc>
          <w:tcPr>
            <w:tcW w:w="814" w:type="dxa"/>
          </w:tcPr>
          <w:p>
            <w:pPr>
              <w:pStyle w:val="TableParagraph"/>
              <w:ind w:left="104" w:right="46"/>
              <w:jc w:val="center"/>
              <w:rPr>
                <w:sz w:val="22"/>
              </w:rPr>
            </w:pPr>
            <w:r>
              <w:rPr>
                <w:sz w:val="22"/>
              </w:rPr>
              <w:t>121,03</w:t>
            </w:r>
          </w:p>
        </w:tc>
        <w:tc>
          <w:tcPr>
            <w:tcW w:w="504" w:type="dxa"/>
          </w:tcPr>
          <w:p>
            <w:pPr>
              <w:pStyle w:val="TableParagraph"/>
              <w:ind w:left="184" w:right="42"/>
              <w:jc w:val="center"/>
              <w:rPr>
                <w:sz w:val="22"/>
              </w:rPr>
            </w:pPr>
            <w:r>
              <w:rPr>
                <w:sz w:val="22"/>
              </w:rPr>
              <w:t>81</w:t>
            </w:r>
          </w:p>
        </w:tc>
        <w:tc>
          <w:tcPr>
            <w:tcW w:w="689" w:type="dxa"/>
          </w:tcPr>
          <w:p>
            <w:pPr>
              <w:pStyle w:val="TableParagraph"/>
              <w:ind w:left="91" w:right="47"/>
              <w:jc w:val="center"/>
              <w:rPr>
                <w:sz w:val="22"/>
              </w:rPr>
            </w:pPr>
            <w:r>
              <w:rPr>
                <w:sz w:val="22"/>
              </w:rPr>
              <w:t>1,800</w:t>
            </w:r>
          </w:p>
        </w:tc>
        <w:tc>
          <w:tcPr>
            <w:tcW w:w="686" w:type="dxa"/>
          </w:tcPr>
          <w:p>
            <w:pPr>
              <w:pStyle w:val="TableParagraph"/>
              <w:ind w:left="91" w:right="44"/>
              <w:jc w:val="center"/>
              <w:rPr>
                <w:sz w:val="22"/>
              </w:rPr>
            </w:pPr>
            <w:r>
              <w:rPr>
                <w:sz w:val="22"/>
              </w:rPr>
              <w:t>0,200</w:t>
            </w:r>
          </w:p>
        </w:tc>
        <w:tc>
          <w:tcPr>
            <w:tcW w:w="1094" w:type="dxa"/>
          </w:tcPr>
          <w:p>
            <w:pPr>
              <w:pStyle w:val="TableParagraph"/>
              <w:rPr>
                <w:sz w:val="22"/>
              </w:rPr>
            </w:pPr>
            <w:r>
              <w:rPr>
                <w:sz w:val="22"/>
              </w:rPr>
              <w:t>217,854</w:t>
            </w:r>
          </w:p>
        </w:tc>
        <w:tc>
          <w:tcPr>
            <w:tcW w:w="898" w:type="dxa"/>
          </w:tcPr>
          <w:p>
            <w:pPr>
              <w:pStyle w:val="TableParagraph"/>
              <w:ind w:left="319" w:right="0"/>
              <w:jc w:val="left"/>
              <w:rPr>
                <w:sz w:val="22"/>
              </w:rPr>
            </w:pPr>
            <w:r>
              <w:rPr>
                <w:sz w:val="22"/>
              </w:rPr>
              <w:t>0,447</w:t>
            </w:r>
          </w:p>
        </w:tc>
        <w:tc>
          <w:tcPr>
            <w:tcW w:w="1342" w:type="dxa"/>
          </w:tcPr>
          <w:p>
            <w:pPr>
              <w:pStyle w:val="TableParagraph"/>
              <w:ind w:right="63"/>
              <w:rPr>
                <w:sz w:val="22"/>
              </w:rPr>
            </w:pPr>
            <w:r>
              <w:rPr>
                <w:sz w:val="22"/>
              </w:rPr>
              <w:t>11,980</w:t>
            </w:r>
          </w:p>
        </w:tc>
        <w:tc>
          <w:tcPr>
            <w:tcW w:w="1505" w:type="dxa"/>
          </w:tcPr>
          <w:p>
            <w:pPr>
              <w:pStyle w:val="TableParagraph"/>
              <w:rPr>
                <w:sz w:val="22"/>
              </w:rPr>
            </w:pPr>
            <w:r>
              <w:rPr>
                <w:sz w:val="22"/>
              </w:rPr>
              <w:t>2,4791E-05</w:t>
            </w:r>
          </w:p>
        </w:tc>
      </w:tr>
      <w:tr>
        <w:trPr>
          <w:trHeight w:val="310" w:hRule="exact"/>
        </w:trPr>
        <w:tc>
          <w:tcPr>
            <w:tcW w:w="845" w:type="dxa"/>
          </w:tcPr>
          <w:p>
            <w:pPr>
              <w:pStyle w:val="TableParagraph"/>
              <w:ind w:left="1" w:right="0"/>
              <w:jc w:val="center"/>
              <w:rPr>
                <w:sz w:val="22"/>
              </w:rPr>
            </w:pPr>
            <w:r>
              <w:rPr>
                <w:w w:val="100"/>
                <w:sz w:val="22"/>
              </w:rPr>
              <w:t>3</w:t>
            </w:r>
          </w:p>
        </w:tc>
        <w:tc>
          <w:tcPr>
            <w:tcW w:w="814" w:type="dxa"/>
          </w:tcPr>
          <w:p>
            <w:pPr>
              <w:pStyle w:val="TableParagraph"/>
              <w:ind w:left="104" w:right="46"/>
              <w:jc w:val="center"/>
              <w:rPr>
                <w:sz w:val="22"/>
              </w:rPr>
            </w:pPr>
            <w:r>
              <w:rPr>
                <w:sz w:val="22"/>
              </w:rPr>
              <w:t>130,21</w:t>
            </w:r>
          </w:p>
        </w:tc>
        <w:tc>
          <w:tcPr>
            <w:tcW w:w="504" w:type="dxa"/>
          </w:tcPr>
          <w:p>
            <w:pPr>
              <w:pStyle w:val="TableParagraph"/>
              <w:ind w:left="184" w:right="42"/>
              <w:jc w:val="center"/>
              <w:rPr>
                <w:sz w:val="22"/>
              </w:rPr>
            </w:pPr>
            <w:r>
              <w:rPr>
                <w:sz w:val="22"/>
              </w:rPr>
              <w:t>77</w:t>
            </w:r>
          </w:p>
        </w:tc>
        <w:tc>
          <w:tcPr>
            <w:tcW w:w="689" w:type="dxa"/>
          </w:tcPr>
          <w:p>
            <w:pPr>
              <w:pStyle w:val="TableParagraph"/>
              <w:ind w:left="91" w:right="47"/>
              <w:jc w:val="center"/>
              <w:rPr>
                <w:sz w:val="22"/>
              </w:rPr>
            </w:pPr>
            <w:r>
              <w:rPr>
                <w:sz w:val="22"/>
              </w:rPr>
              <w:t>2,200</w:t>
            </w:r>
          </w:p>
        </w:tc>
        <w:tc>
          <w:tcPr>
            <w:tcW w:w="686" w:type="dxa"/>
          </w:tcPr>
          <w:p>
            <w:pPr>
              <w:pStyle w:val="TableParagraph"/>
              <w:ind w:left="91" w:right="44"/>
              <w:jc w:val="center"/>
              <w:rPr>
                <w:sz w:val="22"/>
              </w:rPr>
            </w:pPr>
            <w:r>
              <w:rPr>
                <w:sz w:val="22"/>
              </w:rPr>
              <w:t>3,700</w:t>
            </w:r>
          </w:p>
        </w:tc>
        <w:tc>
          <w:tcPr>
            <w:tcW w:w="1094" w:type="dxa"/>
          </w:tcPr>
          <w:p>
            <w:pPr>
              <w:pStyle w:val="TableParagraph"/>
              <w:rPr>
                <w:sz w:val="22"/>
              </w:rPr>
            </w:pPr>
            <w:r>
              <w:rPr>
                <w:sz w:val="22"/>
              </w:rPr>
              <w:t>286,462</w:t>
            </w:r>
          </w:p>
        </w:tc>
        <w:tc>
          <w:tcPr>
            <w:tcW w:w="898" w:type="dxa"/>
          </w:tcPr>
          <w:p>
            <w:pPr>
              <w:pStyle w:val="TableParagraph"/>
              <w:ind w:left="319" w:right="0"/>
              <w:jc w:val="left"/>
              <w:rPr>
                <w:sz w:val="22"/>
              </w:rPr>
            </w:pPr>
            <w:r>
              <w:rPr>
                <w:sz w:val="22"/>
              </w:rPr>
              <w:t>1,924</w:t>
            </w:r>
          </w:p>
        </w:tc>
        <w:tc>
          <w:tcPr>
            <w:tcW w:w="1342" w:type="dxa"/>
          </w:tcPr>
          <w:p>
            <w:pPr>
              <w:pStyle w:val="TableParagraph"/>
              <w:ind w:right="63"/>
              <w:rPr>
                <w:sz w:val="22"/>
              </w:rPr>
            </w:pPr>
            <w:r>
              <w:rPr>
                <w:sz w:val="22"/>
              </w:rPr>
              <w:t>337,823</w:t>
            </w:r>
          </w:p>
        </w:tc>
        <w:tc>
          <w:tcPr>
            <w:tcW w:w="1505" w:type="dxa"/>
          </w:tcPr>
          <w:p>
            <w:pPr>
              <w:pStyle w:val="TableParagraph"/>
              <w:rPr>
                <w:sz w:val="22"/>
              </w:rPr>
            </w:pPr>
            <w:r>
              <w:rPr>
                <w:sz w:val="22"/>
              </w:rPr>
              <w:t>0,00069905</w:t>
            </w:r>
          </w:p>
        </w:tc>
      </w:tr>
      <w:tr>
        <w:trPr>
          <w:trHeight w:val="312" w:hRule="exact"/>
        </w:trPr>
        <w:tc>
          <w:tcPr>
            <w:tcW w:w="845" w:type="dxa"/>
          </w:tcPr>
          <w:p>
            <w:pPr>
              <w:pStyle w:val="TableParagraph"/>
              <w:spacing w:before="30"/>
              <w:ind w:left="1" w:right="0"/>
              <w:jc w:val="center"/>
              <w:rPr>
                <w:sz w:val="22"/>
              </w:rPr>
            </w:pPr>
            <w:r>
              <w:rPr>
                <w:w w:val="100"/>
                <w:sz w:val="22"/>
              </w:rPr>
              <w:t>4</w:t>
            </w:r>
          </w:p>
        </w:tc>
        <w:tc>
          <w:tcPr>
            <w:tcW w:w="814" w:type="dxa"/>
          </w:tcPr>
          <w:p>
            <w:pPr>
              <w:pStyle w:val="TableParagraph"/>
              <w:spacing w:before="30"/>
              <w:ind w:left="104" w:right="46"/>
              <w:jc w:val="center"/>
              <w:rPr>
                <w:sz w:val="22"/>
              </w:rPr>
            </w:pPr>
            <w:r>
              <w:rPr>
                <w:sz w:val="22"/>
              </w:rPr>
              <w:t>155,12</w:t>
            </w:r>
          </w:p>
        </w:tc>
        <w:tc>
          <w:tcPr>
            <w:tcW w:w="504" w:type="dxa"/>
          </w:tcPr>
          <w:p>
            <w:pPr>
              <w:pStyle w:val="TableParagraph"/>
              <w:spacing w:before="30"/>
              <w:ind w:left="184" w:right="42"/>
              <w:jc w:val="center"/>
              <w:rPr>
                <w:sz w:val="22"/>
              </w:rPr>
            </w:pPr>
            <w:r>
              <w:rPr>
                <w:sz w:val="22"/>
              </w:rPr>
              <w:t>92</w:t>
            </w:r>
          </w:p>
        </w:tc>
        <w:tc>
          <w:tcPr>
            <w:tcW w:w="689" w:type="dxa"/>
          </w:tcPr>
          <w:p>
            <w:pPr>
              <w:pStyle w:val="TableParagraph"/>
              <w:spacing w:before="30"/>
              <w:ind w:left="91" w:right="47"/>
              <w:jc w:val="center"/>
              <w:rPr>
                <w:sz w:val="22"/>
              </w:rPr>
            </w:pPr>
            <w:r>
              <w:rPr>
                <w:sz w:val="22"/>
              </w:rPr>
              <w:t>3,000</w:t>
            </w:r>
          </w:p>
        </w:tc>
        <w:tc>
          <w:tcPr>
            <w:tcW w:w="686" w:type="dxa"/>
          </w:tcPr>
          <w:p>
            <w:pPr>
              <w:pStyle w:val="TableParagraph"/>
              <w:spacing w:before="30"/>
              <w:ind w:left="91" w:right="44"/>
              <w:jc w:val="center"/>
              <w:rPr>
                <w:sz w:val="22"/>
              </w:rPr>
            </w:pPr>
            <w:r>
              <w:rPr>
                <w:sz w:val="22"/>
              </w:rPr>
              <w:t>2,500</w:t>
            </w:r>
          </w:p>
        </w:tc>
        <w:tc>
          <w:tcPr>
            <w:tcW w:w="1094" w:type="dxa"/>
          </w:tcPr>
          <w:p>
            <w:pPr>
              <w:pStyle w:val="TableParagraph"/>
              <w:spacing w:before="30"/>
              <w:rPr>
                <w:sz w:val="22"/>
              </w:rPr>
            </w:pPr>
            <w:r>
              <w:rPr>
                <w:sz w:val="22"/>
              </w:rPr>
              <w:t>465,360</w:t>
            </w:r>
          </w:p>
        </w:tc>
        <w:tc>
          <w:tcPr>
            <w:tcW w:w="898" w:type="dxa"/>
          </w:tcPr>
          <w:p>
            <w:pPr>
              <w:pStyle w:val="TableParagraph"/>
              <w:spacing w:before="30"/>
              <w:ind w:left="319" w:right="0"/>
              <w:jc w:val="left"/>
              <w:rPr>
                <w:sz w:val="22"/>
              </w:rPr>
            </w:pPr>
            <w:r>
              <w:rPr>
                <w:sz w:val="22"/>
              </w:rPr>
              <w:t>1,581</w:t>
            </w:r>
          </w:p>
        </w:tc>
        <w:tc>
          <w:tcPr>
            <w:tcW w:w="1342" w:type="dxa"/>
          </w:tcPr>
          <w:p>
            <w:pPr>
              <w:pStyle w:val="TableParagraph"/>
              <w:spacing w:before="30"/>
              <w:ind w:right="63"/>
              <w:rPr>
                <w:sz w:val="22"/>
              </w:rPr>
            </w:pPr>
            <w:r>
              <w:rPr>
                <w:sz w:val="22"/>
              </w:rPr>
              <w:t>267,418</w:t>
            </w:r>
          </w:p>
        </w:tc>
        <w:tc>
          <w:tcPr>
            <w:tcW w:w="1505" w:type="dxa"/>
          </w:tcPr>
          <w:p>
            <w:pPr>
              <w:pStyle w:val="TableParagraph"/>
              <w:spacing w:before="30"/>
              <w:rPr>
                <w:sz w:val="22"/>
              </w:rPr>
            </w:pPr>
            <w:r>
              <w:rPr>
                <w:sz w:val="22"/>
              </w:rPr>
              <w:t>0,00055336</w:t>
            </w:r>
          </w:p>
        </w:tc>
      </w:tr>
      <w:tr>
        <w:trPr>
          <w:trHeight w:val="310" w:hRule="exact"/>
        </w:trPr>
        <w:tc>
          <w:tcPr>
            <w:tcW w:w="845" w:type="dxa"/>
          </w:tcPr>
          <w:p>
            <w:pPr>
              <w:pStyle w:val="TableParagraph"/>
              <w:ind w:left="1" w:right="0"/>
              <w:jc w:val="center"/>
              <w:rPr>
                <w:sz w:val="22"/>
              </w:rPr>
            </w:pPr>
            <w:r>
              <w:rPr>
                <w:w w:val="100"/>
                <w:sz w:val="22"/>
              </w:rPr>
              <w:t>5</w:t>
            </w:r>
          </w:p>
        </w:tc>
        <w:tc>
          <w:tcPr>
            <w:tcW w:w="814" w:type="dxa"/>
          </w:tcPr>
          <w:p>
            <w:pPr>
              <w:pStyle w:val="TableParagraph"/>
              <w:ind w:left="104" w:right="46"/>
              <w:jc w:val="center"/>
              <w:rPr>
                <w:sz w:val="22"/>
              </w:rPr>
            </w:pPr>
            <w:r>
              <w:rPr>
                <w:sz w:val="22"/>
              </w:rPr>
              <w:t>180,21</w:t>
            </w:r>
          </w:p>
        </w:tc>
        <w:tc>
          <w:tcPr>
            <w:tcW w:w="504" w:type="dxa"/>
          </w:tcPr>
          <w:p>
            <w:pPr>
              <w:pStyle w:val="TableParagraph"/>
              <w:ind w:left="73" w:right="41"/>
              <w:jc w:val="center"/>
              <w:rPr>
                <w:sz w:val="22"/>
              </w:rPr>
            </w:pPr>
            <w:r>
              <w:rPr>
                <w:sz w:val="22"/>
              </w:rPr>
              <w:t>132</w:t>
            </w:r>
          </w:p>
        </w:tc>
        <w:tc>
          <w:tcPr>
            <w:tcW w:w="689" w:type="dxa"/>
          </w:tcPr>
          <w:p>
            <w:pPr>
              <w:pStyle w:val="TableParagraph"/>
              <w:ind w:left="91" w:right="47"/>
              <w:jc w:val="center"/>
              <w:rPr>
                <w:sz w:val="22"/>
              </w:rPr>
            </w:pPr>
            <w:r>
              <w:rPr>
                <w:sz w:val="22"/>
              </w:rPr>
              <w:t>7,667</w:t>
            </w:r>
          </w:p>
        </w:tc>
        <w:tc>
          <w:tcPr>
            <w:tcW w:w="686" w:type="dxa"/>
          </w:tcPr>
          <w:p>
            <w:pPr>
              <w:pStyle w:val="TableParagraph"/>
              <w:ind w:left="91" w:right="44"/>
              <w:jc w:val="center"/>
              <w:rPr>
                <w:sz w:val="22"/>
              </w:rPr>
            </w:pPr>
            <w:r>
              <w:rPr>
                <w:sz w:val="22"/>
              </w:rPr>
              <w:t>2,667</w:t>
            </w:r>
          </w:p>
        </w:tc>
        <w:tc>
          <w:tcPr>
            <w:tcW w:w="1094" w:type="dxa"/>
          </w:tcPr>
          <w:p>
            <w:pPr>
              <w:pStyle w:val="TableParagraph"/>
              <w:rPr>
                <w:sz w:val="22"/>
              </w:rPr>
            </w:pPr>
            <w:r>
              <w:rPr>
                <w:sz w:val="22"/>
              </w:rPr>
              <w:t>1381,610</w:t>
            </w:r>
          </w:p>
        </w:tc>
        <w:tc>
          <w:tcPr>
            <w:tcW w:w="898" w:type="dxa"/>
          </w:tcPr>
          <w:p>
            <w:pPr>
              <w:pStyle w:val="TableParagraph"/>
              <w:ind w:left="319" w:right="0"/>
              <w:jc w:val="left"/>
              <w:rPr>
                <w:sz w:val="22"/>
              </w:rPr>
            </w:pPr>
            <w:r>
              <w:rPr>
                <w:sz w:val="22"/>
              </w:rPr>
              <w:t>1,633</w:t>
            </w:r>
          </w:p>
        </w:tc>
        <w:tc>
          <w:tcPr>
            <w:tcW w:w="1342" w:type="dxa"/>
          </w:tcPr>
          <w:p>
            <w:pPr>
              <w:pStyle w:val="TableParagraph"/>
              <w:ind w:right="63"/>
              <w:rPr>
                <w:sz w:val="22"/>
              </w:rPr>
            </w:pPr>
            <w:r>
              <w:rPr>
                <w:sz w:val="22"/>
              </w:rPr>
              <w:t>175,315</w:t>
            </w:r>
          </w:p>
        </w:tc>
        <w:tc>
          <w:tcPr>
            <w:tcW w:w="1505" w:type="dxa"/>
          </w:tcPr>
          <w:p>
            <w:pPr>
              <w:pStyle w:val="TableParagraph"/>
              <w:rPr>
                <w:sz w:val="22"/>
              </w:rPr>
            </w:pPr>
            <w:r>
              <w:rPr>
                <w:sz w:val="22"/>
              </w:rPr>
              <w:t>0,00036277</w:t>
            </w:r>
          </w:p>
        </w:tc>
      </w:tr>
      <w:tr>
        <w:trPr>
          <w:trHeight w:val="310" w:hRule="exact"/>
        </w:trPr>
        <w:tc>
          <w:tcPr>
            <w:tcW w:w="845" w:type="dxa"/>
          </w:tcPr>
          <w:p>
            <w:pPr>
              <w:pStyle w:val="TableParagraph"/>
              <w:ind w:right="1"/>
              <w:jc w:val="center"/>
              <w:rPr>
                <w:sz w:val="22"/>
              </w:rPr>
            </w:pPr>
            <w:r>
              <w:rPr>
                <w:w w:val="100"/>
                <w:sz w:val="22"/>
              </w:rPr>
              <w:t>N</w:t>
            </w:r>
          </w:p>
        </w:tc>
        <w:tc>
          <w:tcPr>
            <w:tcW w:w="814" w:type="dxa"/>
          </w:tcPr>
          <w:p>
            <w:pPr>
              <w:pStyle w:val="TableParagraph"/>
              <w:ind w:left="104" w:right="45"/>
              <w:jc w:val="center"/>
              <w:rPr>
                <w:sz w:val="22"/>
              </w:rPr>
            </w:pPr>
            <w:r>
              <w:rPr>
                <w:sz w:val="22"/>
              </w:rPr>
              <w:t>695,17</w:t>
            </w:r>
          </w:p>
        </w:tc>
        <w:tc>
          <w:tcPr>
            <w:tcW w:w="504" w:type="dxa"/>
          </w:tcPr>
          <w:p>
            <w:pPr/>
          </w:p>
        </w:tc>
        <w:tc>
          <w:tcPr>
            <w:tcW w:w="689" w:type="dxa"/>
          </w:tcPr>
          <w:p>
            <w:pPr/>
          </w:p>
        </w:tc>
        <w:tc>
          <w:tcPr>
            <w:tcW w:w="686" w:type="dxa"/>
          </w:tcPr>
          <w:p>
            <w:pPr>
              <w:pStyle w:val="TableParagraph"/>
              <w:spacing w:before="16"/>
              <w:ind w:left="33" w:right="4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094" w:type="dxa"/>
          </w:tcPr>
          <w:p>
            <w:pPr>
              <w:pStyle w:val="TableParagraph"/>
              <w:rPr>
                <w:sz w:val="22"/>
              </w:rPr>
            </w:pPr>
            <w:r>
              <w:rPr>
                <w:sz w:val="22"/>
              </w:rPr>
              <w:t>2590,206</w:t>
            </w:r>
          </w:p>
        </w:tc>
        <w:tc>
          <w:tcPr>
            <w:tcW w:w="898" w:type="dxa"/>
          </w:tcPr>
          <w:p>
            <w:pPr/>
          </w:p>
        </w:tc>
        <w:tc>
          <w:tcPr>
            <w:tcW w:w="1342" w:type="dxa"/>
          </w:tcPr>
          <w:p>
            <w:pPr>
              <w:pStyle w:val="TableParagraph"/>
              <w:ind w:right="63"/>
              <w:rPr>
                <w:sz w:val="22"/>
              </w:rPr>
            </w:pPr>
            <w:r>
              <w:rPr>
                <w:sz w:val="22"/>
              </w:rPr>
              <w:t>766,979</w:t>
            </w:r>
          </w:p>
        </w:tc>
        <w:tc>
          <w:tcPr>
            <w:tcW w:w="1505" w:type="dxa"/>
          </w:tcPr>
          <w:p>
            <w:pPr>
              <w:pStyle w:val="TableParagraph"/>
              <w:rPr>
                <w:sz w:val="22"/>
              </w:rPr>
            </w:pPr>
            <w:r>
              <w:rPr>
                <w:sz w:val="22"/>
              </w:rPr>
              <w:t>0,00158709</w:t>
            </w:r>
          </w:p>
        </w:tc>
      </w:tr>
      <w:tr>
        <w:trPr>
          <w:trHeight w:val="310" w:hRule="exact"/>
        </w:trPr>
        <w:tc>
          <w:tcPr>
            <w:tcW w:w="4632" w:type="dxa"/>
            <w:gridSpan w:val="6"/>
            <w:vMerge w:val="restart"/>
            <w:tcBorders>
              <w:left w:val="nil"/>
            </w:tcBorders>
          </w:tcPr>
          <w:p>
            <w:pPr/>
          </w:p>
        </w:tc>
        <w:tc>
          <w:tcPr>
            <w:tcW w:w="2239" w:type="dxa"/>
            <w:gridSpan w:val="2"/>
          </w:tcPr>
          <w:p>
            <w:pPr>
              <w:pStyle w:val="TableParagraph"/>
              <w:spacing w:before="13"/>
              <w:ind w:left="64" w:right="16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05" w:type="dxa"/>
          </w:tcPr>
          <w:p>
            <w:pPr>
              <w:pStyle w:val="TableParagraph"/>
              <w:rPr>
                <w:b/>
                <w:sz w:val="22"/>
              </w:rPr>
            </w:pPr>
            <w:r>
              <w:rPr>
                <w:b/>
                <w:sz w:val="22"/>
              </w:rPr>
              <w:t>3,726</w:t>
            </w:r>
          </w:p>
        </w:tc>
      </w:tr>
      <w:tr>
        <w:trPr>
          <w:trHeight w:val="310" w:hRule="exact"/>
        </w:trPr>
        <w:tc>
          <w:tcPr>
            <w:tcW w:w="4632" w:type="dxa"/>
            <w:gridSpan w:val="6"/>
            <w:vMerge/>
            <w:tcBorders>
              <w:left w:val="nil"/>
            </w:tcBorders>
          </w:tcPr>
          <w:p>
            <w:pPr/>
          </w:p>
        </w:tc>
        <w:tc>
          <w:tcPr>
            <w:tcW w:w="2239" w:type="dxa"/>
            <w:gridSpan w:val="2"/>
          </w:tcPr>
          <w:p>
            <w:pPr>
              <w:pStyle w:val="TableParagraph"/>
              <w:spacing w:before="13"/>
              <w:ind w:left="64" w:right="163"/>
              <w:jc w:val="left"/>
              <w:rPr>
                <w:sz w:val="22"/>
              </w:rPr>
            </w:pPr>
            <w:r>
              <w:rPr>
                <w:sz w:val="22"/>
              </w:rPr>
              <w:t>Desviación estándar</w:t>
            </w:r>
          </w:p>
        </w:tc>
        <w:tc>
          <w:tcPr>
            <w:tcW w:w="1505" w:type="dxa"/>
          </w:tcPr>
          <w:p>
            <w:pPr>
              <w:pStyle w:val="TableParagraph"/>
              <w:rPr>
                <w:b/>
                <w:sz w:val="22"/>
              </w:rPr>
            </w:pPr>
            <w:r>
              <w:rPr>
                <w:b/>
                <w:sz w:val="22"/>
              </w:rPr>
              <w:t>0,040</w:t>
            </w:r>
          </w:p>
        </w:tc>
      </w:tr>
      <w:tr>
        <w:trPr>
          <w:trHeight w:val="310" w:hRule="exact"/>
        </w:trPr>
        <w:tc>
          <w:tcPr>
            <w:tcW w:w="4632" w:type="dxa"/>
            <w:gridSpan w:val="6"/>
            <w:vMerge/>
            <w:tcBorders>
              <w:left w:val="nil"/>
            </w:tcBorders>
          </w:tcPr>
          <w:p>
            <w:pPr/>
          </w:p>
        </w:tc>
        <w:tc>
          <w:tcPr>
            <w:tcW w:w="2239" w:type="dxa"/>
            <w:gridSpan w:val="2"/>
            <w:vMerge w:val="restart"/>
          </w:tcPr>
          <w:p>
            <w:pPr>
              <w:pStyle w:val="TableParagraph"/>
              <w:spacing w:line="266" w:lineRule="exact" w:before="32"/>
              <w:ind w:left="64" w:right="163"/>
              <w:jc w:val="left"/>
              <w:rPr>
                <w:sz w:val="22"/>
              </w:rPr>
            </w:pPr>
            <w:r>
              <w:rPr>
                <w:sz w:val="22"/>
              </w:rPr>
              <w:t>Intervalo de confianza al 95 %</w:t>
            </w:r>
          </w:p>
        </w:tc>
        <w:tc>
          <w:tcPr>
            <w:tcW w:w="1505" w:type="dxa"/>
          </w:tcPr>
          <w:p>
            <w:pPr>
              <w:pStyle w:val="TableParagraph"/>
              <w:rPr>
                <w:sz w:val="22"/>
              </w:rPr>
            </w:pPr>
            <w:r>
              <w:rPr>
                <w:sz w:val="22"/>
              </w:rPr>
              <w:t>3,65</w:t>
            </w:r>
          </w:p>
        </w:tc>
      </w:tr>
      <w:tr>
        <w:trPr>
          <w:trHeight w:val="312" w:hRule="exact"/>
        </w:trPr>
        <w:tc>
          <w:tcPr>
            <w:tcW w:w="4632" w:type="dxa"/>
            <w:gridSpan w:val="6"/>
            <w:vMerge/>
            <w:tcBorders>
              <w:left w:val="nil"/>
              <w:bottom w:val="nil"/>
            </w:tcBorders>
          </w:tcPr>
          <w:p>
            <w:pPr/>
          </w:p>
        </w:tc>
        <w:tc>
          <w:tcPr>
            <w:tcW w:w="2239" w:type="dxa"/>
            <w:gridSpan w:val="2"/>
            <w:vMerge/>
          </w:tcPr>
          <w:p>
            <w:pPr/>
          </w:p>
        </w:tc>
        <w:tc>
          <w:tcPr>
            <w:tcW w:w="1505" w:type="dxa"/>
          </w:tcPr>
          <w:p>
            <w:pPr>
              <w:pStyle w:val="TableParagraph"/>
              <w:spacing w:before="30"/>
              <w:rPr>
                <w:sz w:val="22"/>
              </w:rPr>
            </w:pPr>
            <w:r>
              <w:rPr>
                <w:sz w:val="22"/>
              </w:rPr>
              <w:t>3,80</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45"/>
        <w:gridCol w:w="814"/>
        <w:gridCol w:w="504"/>
        <w:gridCol w:w="689"/>
        <w:gridCol w:w="686"/>
        <w:gridCol w:w="1094"/>
        <w:gridCol w:w="898"/>
        <w:gridCol w:w="1342"/>
        <w:gridCol w:w="1505"/>
      </w:tblGrid>
      <w:tr>
        <w:trPr>
          <w:trHeight w:val="310" w:hRule="exact"/>
        </w:trPr>
        <w:tc>
          <w:tcPr>
            <w:tcW w:w="8376" w:type="dxa"/>
            <w:gridSpan w:val="9"/>
          </w:tcPr>
          <w:p>
            <w:pPr>
              <w:pStyle w:val="TableParagraph"/>
              <w:ind w:left="3216" w:right="3216"/>
              <w:jc w:val="center"/>
              <w:rPr>
                <w:sz w:val="22"/>
              </w:rPr>
            </w:pPr>
            <w:r>
              <w:rPr>
                <w:sz w:val="22"/>
              </w:rPr>
              <w:t>Punto de muestreo C</w:t>
            </w:r>
          </w:p>
        </w:tc>
      </w:tr>
      <w:tr>
        <w:trPr>
          <w:trHeight w:val="310" w:hRule="exact"/>
        </w:trPr>
        <w:tc>
          <w:tcPr>
            <w:tcW w:w="845" w:type="dxa"/>
          </w:tcPr>
          <w:p>
            <w:pPr>
              <w:pStyle w:val="TableParagraph"/>
              <w:spacing w:before="13"/>
              <w:ind w:left="78" w:right="77"/>
              <w:jc w:val="center"/>
              <w:rPr>
                <w:sz w:val="22"/>
              </w:rPr>
            </w:pPr>
            <w:r>
              <w:rPr>
                <w:sz w:val="22"/>
              </w:rPr>
              <w:t>Estrato</w:t>
            </w:r>
          </w:p>
        </w:tc>
        <w:tc>
          <w:tcPr>
            <w:tcW w:w="814" w:type="dxa"/>
          </w:tcPr>
          <w:p>
            <w:pPr>
              <w:pStyle w:val="TableParagraph"/>
              <w:spacing w:before="43"/>
              <w:ind w:left="33" w:right="46"/>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689" w:type="dxa"/>
          </w:tcPr>
          <w:p>
            <w:pPr>
              <w:pStyle w:val="TableParagraph"/>
              <w:spacing w:before="43"/>
              <w:ind w:left="32"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686" w:type="dxa"/>
          </w:tcPr>
          <w:p>
            <w:pPr>
              <w:pStyle w:val="TableParagraph"/>
              <w:spacing w:line="214" w:lineRule="exact" w:before="6"/>
              <w:ind w:left="36"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094" w:type="dxa"/>
          </w:tcPr>
          <w:p>
            <w:pPr>
              <w:pStyle w:val="TableParagraph"/>
              <w:spacing w:before="19"/>
              <w:ind w:left="423" w:right="43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98" w:type="dxa"/>
          </w:tcPr>
          <w:p>
            <w:pPr>
              <w:pStyle w:val="TableParagraph"/>
              <w:spacing w:before="43"/>
              <w:ind w:left="338" w:right="0"/>
              <w:jc w:val="left"/>
              <w:rPr>
                <w:rFonts w:ascii="Cambria Math"/>
                <w:sz w:val="16"/>
              </w:rPr>
            </w:pPr>
            <w:r>
              <w:rPr>
                <w:rFonts w:ascii="Cambria Math"/>
                <w:w w:val="110"/>
                <w:sz w:val="22"/>
              </w:rPr>
              <w:t>s</w:t>
            </w:r>
            <w:r>
              <w:rPr>
                <w:rFonts w:ascii="Cambria Math"/>
                <w:w w:val="110"/>
                <w:position w:val="-4"/>
                <w:sz w:val="16"/>
              </w:rPr>
              <w:t>h</w:t>
            </w:r>
          </w:p>
        </w:tc>
        <w:tc>
          <w:tcPr>
            <w:tcW w:w="1342" w:type="dxa"/>
          </w:tcPr>
          <w:p>
            <w:pPr>
              <w:pStyle w:val="TableParagraph"/>
              <w:spacing w:before="0"/>
              <w:ind w:left="333"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505" w:type="dxa"/>
          </w:tcPr>
          <w:p>
            <w:pPr>
              <w:pStyle w:val="TableParagraph"/>
              <w:spacing w:before="0"/>
              <w:ind w:left="400"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45" w:type="dxa"/>
          </w:tcPr>
          <w:p>
            <w:pPr>
              <w:pStyle w:val="TableParagraph"/>
              <w:ind w:left="1" w:right="0"/>
              <w:jc w:val="center"/>
              <w:rPr>
                <w:sz w:val="22"/>
              </w:rPr>
            </w:pPr>
            <w:r>
              <w:rPr>
                <w:w w:val="100"/>
                <w:sz w:val="22"/>
              </w:rPr>
              <w:t>1</w:t>
            </w:r>
          </w:p>
        </w:tc>
        <w:tc>
          <w:tcPr>
            <w:tcW w:w="814" w:type="dxa"/>
          </w:tcPr>
          <w:p>
            <w:pPr>
              <w:pStyle w:val="TableParagraph"/>
              <w:ind w:left="104" w:right="46"/>
              <w:jc w:val="center"/>
              <w:rPr>
                <w:sz w:val="22"/>
              </w:rPr>
            </w:pPr>
            <w:r>
              <w:rPr>
                <w:sz w:val="22"/>
              </w:rPr>
              <w:t>108,60</w:t>
            </w:r>
          </w:p>
        </w:tc>
        <w:tc>
          <w:tcPr>
            <w:tcW w:w="504" w:type="dxa"/>
          </w:tcPr>
          <w:p>
            <w:pPr>
              <w:pStyle w:val="TableParagraph"/>
              <w:ind w:left="73" w:right="41"/>
              <w:jc w:val="center"/>
              <w:rPr>
                <w:sz w:val="22"/>
              </w:rPr>
            </w:pPr>
            <w:r>
              <w:rPr>
                <w:sz w:val="22"/>
              </w:rPr>
              <w:t>108</w:t>
            </w:r>
          </w:p>
        </w:tc>
        <w:tc>
          <w:tcPr>
            <w:tcW w:w="689" w:type="dxa"/>
          </w:tcPr>
          <w:p>
            <w:pPr>
              <w:pStyle w:val="TableParagraph"/>
              <w:ind w:left="91" w:right="47"/>
              <w:jc w:val="center"/>
              <w:rPr>
                <w:sz w:val="22"/>
              </w:rPr>
            </w:pPr>
            <w:r>
              <w:rPr>
                <w:sz w:val="22"/>
              </w:rPr>
              <w:t>1,400</w:t>
            </w:r>
          </w:p>
        </w:tc>
        <w:tc>
          <w:tcPr>
            <w:tcW w:w="686" w:type="dxa"/>
          </w:tcPr>
          <w:p>
            <w:pPr>
              <w:pStyle w:val="TableParagraph"/>
              <w:ind w:left="91" w:right="44"/>
              <w:jc w:val="center"/>
              <w:rPr>
                <w:sz w:val="22"/>
              </w:rPr>
            </w:pPr>
            <w:r>
              <w:rPr>
                <w:sz w:val="22"/>
              </w:rPr>
              <w:t>0,300</w:t>
            </w:r>
          </w:p>
        </w:tc>
        <w:tc>
          <w:tcPr>
            <w:tcW w:w="1094" w:type="dxa"/>
          </w:tcPr>
          <w:p>
            <w:pPr>
              <w:pStyle w:val="TableParagraph"/>
              <w:rPr>
                <w:sz w:val="22"/>
              </w:rPr>
            </w:pPr>
            <w:r>
              <w:rPr>
                <w:sz w:val="22"/>
              </w:rPr>
              <w:t>152,040</w:t>
            </w:r>
          </w:p>
        </w:tc>
        <w:tc>
          <w:tcPr>
            <w:tcW w:w="898" w:type="dxa"/>
          </w:tcPr>
          <w:p>
            <w:pPr>
              <w:pStyle w:val="TableParagraph"/>
              <w:ind w:left="319" w:right="0"/>
              <w:jc w:val="left"/>
              <w:rPr>
                <w:sz w:val="22"/>
              </w:rPr>
            </w:pPr>
            <w:r>
              <w:rPr>
                <w:sz w:val="22"/>
              </w:rPr>
              <w:t>0,548</w:t>
            </w:r>
          </w:p>
        </w:tc>
        <w:tc>
          <w:tcPr>
            <w:tcW w:w="1342" w:type="dxa"/>
          </w:tcPr>
          <w:p>
            <w:pPr>
              <w:pStyle w:val="TableParagraph"/>
              <w:ind w:right="63"/>
              <w:rPr>
                <w:sz w:val="22"/>
              </w:rPr>
            </w:pPr>
            <w:r>
              <w:rPr>
                <w:sz w:val="22"/>
              </w:rPr>
              <w:t>-10,953</w:t>
            </w:r>
          </w:p>
        </w:tc>
        <w:tc>
          <w:tcPr>
            <w:tcW w:w="1505" w:type="dxa"/>
          </w:tcPr>
          <w:p>
            <w:pPr>
              <w:pStyle w:val="TableParagraph"/>
              <w:rPr>
                <w:sz w:val="22"/>
              </w:rPr>
            </w:pPr>
            <w:r>
              <w:rPr>
                <w:sz w:val="22"/>
              </w:rPr>
              <w:t>-2,2665E-05</w:t>
            </w:r>
          </w:p>
        </w:tc>
      </w:tr>
      <w:tr>
        <w:trPr>
          <w:trHeight w:val="310" w:hRule="exact"/>
        </w:trPr>
        <w:tc>
          <w:tcPr>
            <w:tcW w:w="845" w:type="dxa"/>
          </w:tcPr>
          <w:p>
            <w:pPr>
              <w:pStyle w:val="TableParagraph"/>
              <w:ind w:left="1" w:right="0"/>
              <w:jc w:val="center"/>
              <w:rPr>
                <w:sz w:val="22"/>
              </w:rPr>
            </w:pPr>
            <w:r>
              <w:rPr>
                <w:w w:val="100"/>
                <w:sz w:val="22"/>
              </w:rPr>
              <w:t>2</w:t>
            </w:r>
          </w:p>
        </w:tc>
        <w:tc>
          <w:tcPr>
            <w:tcW w:w="814" w:type="dxa"/>
          </w:tcPr>
          <w:p>
            <w:pPr>
              <w:pStyle w:val="TableParagraph"/>
              <w:ind w:left="104" w:right="46"/>
              <w:jc w:val="center"/>
              <w:rPr>
                <w:sz w:val="22"/>
              </w:rPr>
            </w:pPr>
            <w:r>
              <w:rPr>
                <w:sz w:val="22"/>
              </w:rPr>
              <w:t>121,03</w:t>
            </w:r>
          </w:p>
        </w:tc>
        <w:tc>
          <w:tcPr>
            <w:tcW w:w="504" w:type="dxa"/>
          </w:tcPr>
          <w:p>
            <w:pPr>
              <w:pStyle w:val="TableParagraph"/>
              <w:ind w:left="184" w:right="42"/>
              <w:jc w:val="center"/>
              <w:rPr>
                <w:sz w:val="22"/>
              </w:rPr>
            </w:pPr>
            <w:r>
              <w:rPr>
                <w:sz w:val="22"/>
              </w:rPr>
              <w:t>81</w:t>
            </w:r>
          </w:p>
        </w:tc>
        <w:tc>
          <w:tcPr>
            <w:tcW w:w="689" w:type="dxa"/>
          </w:tcPr>
          <w:p>
            <w:pPr>
              <w:pStyle w:val="TableParagraph"/>
              <w:ind w:left="91" w:right="47"/>
              <w:jc w:val="center"/>
              <w:rPr>
                <w:sz w:val="22"/>
              </w:rPr>
            </w:pPr>
            <w:r>
              <w:rPr>
                <w:sz w:val="22"/>
              </w:rPr>
              <w:t>1,200</w:t>
            </w:r>
          </w:p>
        </w:tc>
        <w:tc>
          <w:tcPr>
            <w:tcW w:w="686" w:type="dxa"/>
          </w:tcPr>
          <w:p>
            <w:pPr>
              <w:pStyle w:val="TableParagraph"/>
              <w:ind w:left="91" w:right="44"/>
              <w:jc w:val="center"/>
              <w:rPr>
                <w:sz w:val="22"/>
              </w:rPr>
            </w:pPr>
            <w:r>
              <w:rPr>
                <w:sz w:val="22"/>
              </w:rPr>
              <w:t>0,200</w:t>
            </w:r>
          </w:p>
        </w:tc>
        <w:tc>
          <w:tcPr>
            <w:tcW w:w="1094" w:type="dxa"/>
          </w:tcPr>
          <w:p>
            <w:pPr>
              <w:pStyle w:val="TableParagraph"/>
              <w:rPr>
                <w:sz w:val="22"/>
              </w:rPr>
            </w:pPr>
            <w:r>
              <w:rPr>
                <w:sz w:val="22"/>
              </w:rPr>
              <w:t>145,236</w:t>
            </w:r>
          </w:p>
        </w:tc>
        <w:tc>
          <w:tcPr>
            <w:tcW w:w="898" w:type="dxa"/>
          </w:tcPr>
          <w:p>
            <w:pPr>
              <w:pStyle w:val="TableParagraph"/>
              <w:ind w:left="319" w:right="0"/>
              <w:jc w:val="left"/>
              <w:rPr>
                <w:sz w:val="22"/>
              </w:rPr>
            </w:pPr>
            <w:r>
              <w:rPr>
                <w:sz w:val="22"/>
              </w:rPr>
              <w:t>0,447</w:t>
            </w:r>
          </w:p>
        </w:tc>
        <w:tc>
          <w:tcPr>
            <w:tcW w:w="1342" w:type="dxa"/>
          </w:tcPr>
          <w:p>
            <w:pPr>
              <w:pStyle w:val="TableParagraph"/>
              <w:ind w:right="63"/>
              <w:rPr>
                <w:sz w:val="22"/>
              </w:rPr>
            </w:pPr>
            <w:r>
              <w:rPr>
                <w:sz w:val="22"/>
              </w:rPr>
              <w:t>11,980</w:t>
            </w:r>
          </w:p>
        </w:tc>
        <w:tc>
          <w:tcPr>
            <w:tcW w:w="1505" w:type="dxa"/>
          </w:tcPr>
          <w:p>
            <w:pPr>
              <w:pStyle w:val="TableParagraph"/>
              <w:rPr>
                <w:sz w:val="22"/>
              </w:rPr>
            </w:pPr>
            <w:r>
              <w:rPr>
                <w:sz w:val="22"/>
              </w:rPr>
              <w:t>2,4791E-05</w:t>
            </w:r>
          </w:p>
        </w:tc>
      </w:tr>
      <w:tr>
        <w:trPr>
          <w:trHeight w:val="312" w:hRule="exact"/>
        </w:trPr>
        <w:tc>
          <w:tcPr>
            <w:tcW w:w="845" w:type="dxa"/>
          </w:tcPr>
          <w:p>
            <w:pPr>
              <w:pStyle w:val="TableParagraph"/>
              <w:spacing w:before="30"/>
              <w:ind w:left="1" w:right="0"/>
              <w:jc w:val="center"/>
              <w:rPr>
                <w:sz w:val="22"/>
              </w:rPr>
            </w:pPr>
            <w:r>
              <w:rPr>
                <w:w w:val="100"/>
                <w:sz w:val="22"/>
              </w:rPr>
              <w:t>3</w:t>
            </w:r>
          </w:p>
        </w:tc>
        <w:tc>
          <w:tcPr>
            <w:tcW w:w="814" w:type="dxa"/>
          </w:tcPr>
          <w:p>
            <w:pPr>
              <w:pStyle w:val="TableParagraph"/>
              <w:spacing w:before="30"/>
              <w:ind w:left="104" w:right="46"/>
              <w:jc w:val="center"/>
              <w:rPr>
                <w:sz w:val="22"/>
              </w:rPr>
            </w:pPr>
            <w:r>
              <w:rPr>
                <w:sz w:val="22"/>
              </w:rPr>
              <w:t>130,21</w:t>
            </w:r>
          </w:p>
        </w:tc>
        <w:tc>
          <w:tcPr>
            <w:tcW w:w="504" w:type="dxa"/>
          </w:tcPr>
          <w:p>
            <w:pPr>
              <w:pStyle w:val="TableParagraph"/>
              <w:spacing w:before="30"/>
              <w:ind w:left="184" w:right="42"/>
              <w:jc w:val="center"/>
              <w:rPr>
                <w:sz w:val="22"/>
              </w:rPr>
            </w:pPr>
            <w:r>
              <w:rPr>
                <w:sz w:val="22"/>
              </w:rPr>
              <w:t>77</w:t>
            </w:r>
          </w:p>
        </w:tc>
        <w:tc>
          <w:tcPr>
            <w:tcW w:w="689" w:type="dxa"/>
          </w:tcPr>
          <w:p>
            <w:pPr>
              <w:pStyle w:val="TableParagraph"/>
              <w:spacing w:before="30"/>
              <w:ind w:left="91" w:right="47"/>
              <w:jc w:val="center"/>
              <w:rPr>
                <w:sz w:val="22"/>
              </w:rPr>
            </w:pPr>
            <w:r>
              <w:rPr>
                <w:sz w:val="22"/>
              </w:rPr>
              <w:t>0,800</w:t>
            </w:r>
          </w:p>
        </w:tc>
        <w:tc>
          <w:tcPr>
            <w:tcW w:w="686" w:type="dxa"/>
          </w:tcPr>
          <w:p>
            <w:pPr>
              <w:pStyle w:val="TableParagraph"/>
              <w:spacing w:before="30"/>
              <w:ind w:left="91" w:right="44"/>
              <w:jc w:val="center"/>
              <w:rPr>
                <w:sz w:val="22"/>
              </w:rPr>
            </w:pPr>
            <w:r>
              <w:rPr>
                <w:sz w:val="22"/>
              </w:rPr>
              <w:t>0,200</w:t>
            </w:r>
          </w:p>
        </w:tc>
        <w:tc>
          <w:tcPr>
            <w:tcW w:w="1094" w:type="dxa"/>
          </w:tcPr>
          <w:p>
            <w:pPr>
              <w:pStyle w:val="TableParagraph"/>
              <w:spacing w:before="30"/>
              <w:rPr>
                <w:sz w:val="22"/>
              </w:rPr>
            </w:pPr>
            <w:r>
              <w:rPr>
                <w:sz w:val="22"/>
              </w:rPr>
              <w:t>104,168</w:t>
            </w:r>
          </w:p>
        </w:tc>
        <w:tc>
          <w:tcPr>
            <w:tcW w:w="898" w:type="dxa"/>
          </w:tcPr>
          <w:p>
            <w:pPr>
              <w:pStyle w:val="TableParagraph"/>
              <w:spacing w:before="30"/>
              <w:ind w:left="319" w:right="0"/>
              <w:jc w:val="left"/>
              <w:rPr>
                <w:sz w:val="22"/>
              </w:rPr>
            </w:pPr>
            <w:r>
              <w:rPr>
                <w:sz w:val="22"/>
              </w:rPr>
              <w:t>0,447</w:t>
            </w:r>
          </w:p>
        </w:tc>
        <w:tc>
          <w:tcPr>
            <w:tcW w:w="1342" w:type="dxa"/>
          </w:tcPr>
          <w:p>
            <w:pPr>
              <w:pStyle w:val="TableParagraph"/>
              <w:spacing w:before="30"/>
              <w:ind w:right="63"/>
              <w:rPr>
                <w:sz w:val="22"/>
              </w:rPr>
            </w:pPr>
            <w:r>
              <w:rPr>
                <w:sz w:val="22"/>
              </w:rPr>
              <w:t>18,261</w:t>
            </w:r>
          </w:p>
        </w:tc>
        <w:tc>
          <w:tcPr>
            <w:tcW w:w="1505" w:type="dxa"/>
          </w:tcPr>
          <w:p>
            <w:pPr>
              <w:pStyle w:val="TableParagraph"/>
              <w:spacing w:before="30"/>
              <w:rPr>
                <w:sz w:val="22"/>
              </w:rPr>
            </w:pPr>
            <w:r>
              <w:rPr>
                <w:sz w:val="22"/>
              </w:rPr>
              <w:t>3,7786E-05</w:t>
            </w:r>
          </w:p>
        </w:tc>
      </w:tr>
      <w:tr>
        <w:trPr>
          <w:trHeight w:val="310" w:hRule="exact"/>
        </w:trPr>
        <w:tc>
          <w:tcPr>
            <w:tcW w:w="845" w:type="dxa"/>
          </w:tcPr>
          <w:p>
            <w:pPr>
              <w:pStyle w:val="TableParagraph"/>
              <w:ind w:left="1" w:right="0"/>
              <w:jc w:val="center"/>
              <w:rPr>
                <w:sz w:val="22"/>
              </w:rPr>
            </w:pPr>
            <w:r>
              <w:rPr>
                <w:w w:val="100"/>
                <w:sz w:val="22"/>
              </w:rPr>
              <w:t>4</w:t>
            </w:r>
          </w:p>
        </w:tc>
        <w:tc>
          <w:tcPr>
            <w:tcW w:w="814" w:type="dxa"/>
          </w:tcPr>
          <w:p>
            <w:pPr>
              <w:pStyle w:val="TableParagraph"/>
              <w:ind w:left="104" w:right="46"/>
              <w:jc w:val="center"/>
              <w:rPr>
                <w:sz w:val="22"/>
              </w:rPr>
            </w:pPr>
            <w:r>
              <w:rPr>
                <w:sz w:val="22"/>
              </w:rPr>
              <w:t>155,12</w:t>
            </w:r>
          </w:p>
        </w:tc>
        <w:tc>
          <w:tcPr>
            <w:tcW w:w="504" w:type="dxa"/>
          </w:tcPr>
          <w:p>
            <w:pPr>
              <w:pStyle w:val="TableParagraph"/>
              <w:ind w:left="184" w:right="42"/>
              <w:jc w:val="center"/>
              <w:rPr>
                <w:sz w:val="22"/>
              </w:rPr>
            </w:pPr>
            <w:r>
              <w:rPr>
                <w:sz w:val="22"/>
              </w:rPr>
              <w:t>92</w:t>
            </w:r>
          </w:p>
        </w:tc>
        <w:tc>
          <w:tcPr>
            <w:tcW w:w="689" w:type="dxa"/>
          </w:tcPr>
          <w:p>
            <w:pPr>
              <w:pStyle w:val="TableParagraph"/>
              <w:ind w:left="91" w:right="47"/>
              <w:jc w:val="center"/>
              <w:rPr>
                <w:sz w:val="22"/>
              </w:rPr>
            </w:pPr>
            <w:r>
              <w:rPr>
                <w:sz w:val="22"/>
              </w:rPr>
              <w:t>1,800</w:t>
            </w:r>
          </w:p>
        </w:tc>
        <w:tc>
          <w:tcPr>
            <w:tcW w:w="686" w:type="dxa"/>
          </w:tcPr>
          <w:p>
            <w:pPr>
              <w:pStyle w:val="TableParagraph"/>
              <w:ind w:left="91" w:right="44"/>
              <w:jc w:val="center"/>
              <w:rPr>
                <w:sz w:val="22"/>
              </w:rPr>
            </w:pPr>
            <w:r>
              <w:rPr>
                <w:sz w:val="22"/>
              </w:rPr>
              <w:t>0,700</w:t>
            </w:r>
          </w:p>
        </w:tc>
        <w:tc>
          <w:tcPr>
            <w:tcW w:w="1094" w:type="dxa"/>
          </w:tcPr>
          <w:p>
            <w:pPr>
              <w:pStyle w:val="TableParagraph"/>
              <w:rPr>
                <w:sz w:val="22"/>
              </w:rPr>
            </w:pPr>
            <w:r>
              <w:rPr>
                <w:sz w:val="22"/>
              </w:rPr>
              <w:t>279,216</w:t>
            </w:r>
          </w:p>
        </w:tc>
        <w:tc>
          <w:tcPr>
            <w:tcW w:w="898" w:type="dxa"/>
          </w:tcPr>
          <w:p>
            <w:pPr>
              <w:pStyle w:val="TableParagraph"/>
              <w:ind w:left="319" w:right="0"/>
              <w:jc w:val="left"/>
              <w:rPr>
                <w:sz w:val="22"/>
              </w:rPr>
            </w:pPr>
            <w:r>
              <w:rPr>
                <w:sz w:val="22"/>
              </w:rPr>
              <w:t>0,837</w:t>
            </w:r>
          </w:p>
        </w:tc>
        <w:tc>
          <w:tcPr>
            <w:tcW w:w="1342" w:type="dxa"/>
          </w:tcPr>
          <w:p>
            <w:pPr>
              <w:pStyle w:val="TableParagraph"/>
              <w:ind w:right="63"/>
              <w:rPr>
                <w:sz w:val="22"/>
              </w:rPr>
            </w:pPr>
            <w:r>
              <w:rPr>
                <w:sz w:val="22"/>
              </w:rPr>
              <w:t>74,877</w:t>
            </w:r>
          </w:p>
        </w:tc>
        <w:tc>
          <w:tcPr>
            <w:tcW w:w="1505" w:type="dxa"/>
          </w:tcPr>
          <w:p>
            <w:pPr>
              <w:pStyle w:val="TableParagraph"/>
              <w:rPr>
                <w:sz w:val="22"/>
              </w:rPr>
            </w:pPr>
            <w:r>
              <w:rPr>
                <w:sz w:val="22"/>
              </w:rPr>
              <w:t>0,00015494</w:t>
            </w:r>
          </w:p>
        </w:tc>
      </w:tr>
      <w:tr>
        <w:trPr>
          <w:trHeight w:val="310" w:hRule="exact"/>
        </w:trPr>
        <w:tc>
          <w:tcPr>
            <w:tcW w:w="845" w:type="dxa"/>
          </w:tcPr>
          <w:p>
            <w:pPr>
              <w:pStyle w:val="TableParagraph"/>
              <w:ind w:left="1" w:right="0"/>
              <w:jc w:val="center"/>
              <w:rPr>
                <w:sz w:val="22"/>
              </w:rPr>
            </w:pPr>
            <w:r>
              <w:rPr>
                <w:w w:val="100"/>
                <w:sz w:val="22"/>
              </w:rPr>
              <w:t>5</w:t>
            </w:r>
          </w:p>
        </w:tc>
        <w:tc>
          <w:tcPr>
            <w:tcW w:w="814" w:type="dxa"/>
          </w:tcPr>
          <w:p>
            <w:pPr>
              <w:pStyle w:val="TableParagraph"/>
              <w:ind w:left="104" w:right="46"/>
              <w:jc w:val="center"/>
              <w:rPr>
                <w:sz w:val="22"/>
              </w:rPr>
            </w:pPr>
            <w:r>
              <w:rPr>
                <w:sz w:val="22"/>
              </w:rPr>
              <w:t>180,21</w:t>
            </w:r>
          </w:p>
        </w:tc>
        <w:tc>
          <w:tcPr>
            <w:tcW w:w="504" w:type="dxa"/>
          </w:tcPr>
          <w:p>
            <w:pPr>
              <w:pStyle w:val="TableParagraph"/>
              <w:ind w:left="73" w:right="41"/>
              <w:jc w:val="center"/>
              <w:rPr>
                <w:sz w:val="22"/>
              </w:rPr>
            </w:pPr>
            <w:r>
              <w:rPr>
                <w:sz w:val="22"/>
              </w:rPr>
              <w:t>132</w:t>
            </w:r>
          </w:p>
        </w:tc>
        <w:tc>
          <w:tcPr>
            <w:tcW w:w="689" w:type="dxa"/>
          </w:tcPr>
          <w:p>
            <w:pPr>
              <w:pStyle w:val="TableParagraph"/>
              <w:ind w:left="91" w:right="47"/>
              <w:jc w:val="center"/>
              <w:rPr>
                <w:sz w:val="22"/>
              </w:rPr>
            </w:pPr>
            <w:r>
              <w:rPr>
                <w:sz w:val="22"/>
              </w:rPr>
              <w:t>4,167</w:t>
            </w:r>
          </w:p>
        </w:tc>
        <w:tc>
          <w:tcPr>
            <w:tcW w:w="686" w:type="dxa"/>
          </w:tcPr>
          <w:p>
            <w:pPr>
              <w:pStyle w:val="TableParagraph"/>
              <w:ind w:left="91" w:right="44"/>
              <w:jc w:val="center"/>
              <w:rPr>
                <w:sz w:val="22"/>
              </w:rPr>
            </w:pPr>
            <w:r>
              <w:rPr>
                <w:sz w:val="22"/>
              </w:rPr>
              <w:t>6,567</w:t>
            </w:r>
          </w:p>
        </w:tc>
        <w:tc>
          <w:tcPr>
            <w:tcW w:w="1094" w:type="dxa"/>
          </w:tcPr>
          <w:p>
            <w:pPr>
              <w:pStyle w:val="TableParagraph"/>
              <w:rPr>
                <w:sz w:val="22"/>
              </w:rPr>
            </w:pPr>
            <w:r>
              <w:rPr>
                <w:sz w:val="22"/>
              </w:rPr>
              <w:t>750,875</w:t>
            </w:r>
          </w:p>
        </w:tc>
        <w:tc>
          <w:tcPr>
            <w:tcW w:w="898" w:type="dxa"/>
          </w:tcPr>
          <w:p>
            <w:pPr>
              <w:pStyle w:val="TableParagraph"/>
              <w:ind w:left="319" w:right="0"/>
              <w:jc w:val="left"/>
              <w:rPr>
                <w:sz w:val="22"/>
              </w:rPr>
            </w:pPr>
            <w:r>
              <w:rPr>
                <w:sz w:val="22"/>
              </w:rPr>
              <w:t>2,563</w:t>
            </w:r>
          </w:p>
        </w:tc>
        <w:tc>
          <w:tcPr>
            <w:tcW w:w="1342" w:type="dxa"/>
          </w:tcPr>
          <w:p>
            <w:pPr>
              <w:pStyle w:val="TableParagraph"/>
              <w:ind w:right="63"/>
              <w:rPr>
                <w:sz w:val="22"/>
              </w:rPr>
            </w:pPr>
            <w:r>
              <w:rPr>
                <w:sz w:val="22"/>
              </w:rPr>
              <w:t>431,713</w:t>
            </w:r>
          </w:p>
        </w:tc>
        <w:tc>
          <w:tcPr>
            <w:tcW w:w="1505" w:type="dxa"/>
          </w:tcPr>
          <w:p>
            <w:pPr>
              <w:pStyle w:val="TableParagraph"/>
              <w:rPr>
                <w:sz w:val="22"/>
              </w:rPr>
            </w:pPr>
            <w:r>
              <w:rPr>
                <w:sz w:val="22"/>
              </w:rPr>
              <w:t>0,00089333</w:t>
            </w:r>
          </w:p>
        </w:tc>
      </w:tr>
      <w:tr>
        <w:trPr>
          <w:trHeight w:val="310" w:hRule="exact"/>
        </w:trPr>
        <w:tc>
          <w:tcPr>
            <w:tcW w:w="845" w:type="dxa"/>
          </w:tcPr>
          <w:p>
            <w:pPr>
              <w:pStyle w:val="TableParagraph"/>
              <w:ind w:right="1"/>
              <w:jc w:val="center"/>
              <w:rPr>
                <w:sz w:val="22"/>
              </w:rPr>
            </w:pPr>
            <w:r>
              <w:rPr>
                <w:w w:val="100"/>
                <w:sz w:val="22"/>
              </w:rPr>
              <w:t>N</w:t>
            </w:r>
          </w:p>
        </w:tc>
        <w:tc>
          <w:tcPr>
            <w:tcW w:w="814" w:type="dxa"/>
          </w:tcPr>
          <w:p>
            <w:pPr>
              <w:pStyle w:val="TableParagraph"/>
              <w:ind w:left="104" w:right="45"/>
              <w:jc w:val="center"/>
              <w:rPr>
                <w:sz w:val="22"/>
              </w:rPr>
            </w:pPr>
            <w:r>
              <w:rPr>
                <w:sz w:val="22"/>
              </w:rPr>
              <w:t>695,17</w:t>
            </w:r>
          </w:p>
        </w:tc>
        <w:tc>
          <w:tcPr>
            <w:tcW w:w="504" w:type="dxa"/>
          </w:tcPr>
          <w:p>
            <w:pPr/>
          </w:p>
        </w:tc>
        <w:tc>
          <w:tcPr>
            <w:tcW w:w="689" w:type="dxa"/>
          </w:tcPr>
          <w:p>
            <w:pPr/>
          </w:p>
        </w:tc>
        <w:tc>
          <w:tcPr>
            <w:tcW w:w="686" w:type="dxa"/>
          </w:tcPr>
          <w:p>
            <w:pPr>
              <w:pStyle w:val="TableParagraph"/>
              <w:spacing w:before="18"/>
              <w:ind w:left="33" w:right="44"/>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094" w:type="dxa"/>
          </w:tcPr>
          <w:p>
            <w:pPr>
              <w:pStyle w:val="TableParagraph"/>
              <w:rPr>
                <w:sz w:val="22"/>
              </w:rPr>
            </w:pPr>
            <w:r>
              <w:rPr>
                <w:sz w:val="22"/>
              </w:rPr>
              <w:t>1431,535</w:t>
            </w:r>
          </w:p>
        </w:tc>
        <w:tc>
          <w:tcPr>
            <w:tcW w:w="898" w:type="dxa"/>
          </w:tcPr>
          <w:p>
            <w:pPr/>
          </w:p>
        </w:tc>
        <w:tc>
          <w:tcPr>
            <w:tcW w:w="1342" w:type="dxa"/>
          </w:tcPr>
          <w:p>
            <w:pPr>
              <w:pStyle w:val="TableParagraph"/>
              <w:ind w:right="63"/>
              <w:rPr>
                <w:sz w:val="22"/>
              </w:rPr>
            </w:pPr>
            <w:r>
              <w:rPr>
                <w:sz w:val="22"/>
              </w:rPr>
              <w:t>525,878</w:t>
            </w:r>
          </w:p>
        </w:tc>
        <w:tc>
          <w:tcPr>
            <w:tcW w:w="1505" w:type="dxa"/>
          </w:tcPr>
          <w:p>
            <w:pPr>
              <w:pStyle w:val="TableParagraph"/>
              <w:rPr>
                <w:sz w:val="22"/>
              </w:rPr>
            </w:pPr>
            <w:r>
              <w:rPr>
                <w:sz w:val="22"/>
              </w:rPr>
              <w:t>0,00108819</w:t>
            </w:r>
          </w:p>
        </w:tc>
      </w:tr>
      <w:tr>
        <w:trPr>
          <w:trHeight w:val="310" w:hRule="exact"/>
        </w:trPr>
        <w:tc>
          <w:tcPr>
            <w:tcW w:w="4632" w:type="dxa"/>
            <w:gridSpan w:val="6"/>
            <w:vMerge w:val="restart"/>
            <w:tcBorders>
              <w:left w:val="nil"/>
            </w:tcBorders>
          </w:tcPr>
          <w:p>
            <w:pPr/>
          </w:p>
        </w:tc>
        <w:tc>
          <w:tcPr>
            <w:tcW w:w="2239" w:type="dxa"/>
            <w:gridSpan w:val="2"/>
          </w:tcPr>
          <w:p>
            <w:pPr>
              <w:pStyle w:val="TableParagraph"/>
              <w:spacing w:before="13"/>
              <w:ind w:left="64" w:right="16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05" w:type="dxa"/>
          </w:tcPr>
          <w:p>
            <w:pPr>
              <w:pStyle w:val="TableParagraph"/>
              <w:rPr>
                <w:b/>
                <w:sz w:val="22"/>
              </w:rPr>
            </w:pPr>
            <w:r>
              <w:rPr>
                <w:b/>
                <w:sz w:val="22"/>
              </w:rPr>
              <w:t>2,059</w:t>
            </w:r>
          </w:p>
        </w:tc>
      </w:tr>
      <w:tr>
        <w:trPr>
          <w:trHeight w:val="310" w:hRule="exact"/>
        </w:trPr>
        <w:tc>
          <w:tcPr>
            <w:tcW w:w="4632" w:type="dxa"/>
            <w:gridSpan w:val="6"/>
            <w:vMerge/>
            <w:tcBorders>
              <w:left w:val="nil"/>
            </w:tcBorders>
          </w:tcPr>
          <w:p>
            <w:pPr/>
          </w:p>
        </w:tc>
        <w:tc>
          <w:tcPr>
            <w:tcW w:w="2239" w:type="dxa"/>
            <w:gridSpan w:val="2"/>
          </w:tcPr>
          <w:p>
            <w:pPr>
              <w:pStyle w:val="TableParagraph"/>
              <w:spacing w:before="13"/>
              <w:ind w:left="64" w:right="163"/>
              <w:jc w:val="left"/>
              <w:rPr>
                <w:sz w:val="22"/>
              </w:rPr>
            </w:pPr>
            <w:r>
              <w:rPr>
                <w:sz w:val="22"/>
              </w:rPr>
              <w:t>Desviación estándar</w:t>
            </w:r>
          </w:p>
        </w:tc>
        <w:tc>
          <w:tcPr>
            <w:tcW w:w="1505" w:type="dxa"/>
          </w:tcPr>
          <w:p>
            <w:pPr>
              <w:pStyle w:val="TableParagraph"/>
              <w:rPr>
                <w:b/>
                <w:sz w:val="22"/>
              </w:rPr>
            </w:pPr>
            <w:r>
              <w:rPr>
                <w:b/>
                <w:sz w:val="22"/>
              </w:rPr>
              <w:t>0,033</w:t>
            </w:r>
          </w:p>
        </w:tc>
      </w:tr>
      <w:tr>
        <w:trPr>
          <w:trHeight w:val="312" w:hRule="exact"/>
        </w:trPr>
        <w:tc>
          <w:tcPr>
            <w:tcW w:w="4632" w:type="dxa"/>
            <w:gridSpan w:val="6"/>
            <w:vMerge/>
            <w:tcBorders>
              <w:left w:val="nil"/>
            </w:tcBorders>
          </w:tcPr>
          <w:p>
            <w:pPr/>
          </w:p>
        </w:tc>
        <w:tc>
          <w:tcPr>
            <w:tcW w:w="2239" w:type="dxa"/>
            <w:gridSpan w:val="2"/>
            <w:vMerge w:val="restart"/>
          </w:tcPr>
          <w:p>
            <w:pPr>
              <w:pStyle w:val="TableParagraph"/>
              <w:spacing w:before="35"/>
              <w:ind w:left="64" w:right="163"/>
              <w:jc w:val="left"/>
              <w:rPr>
                <w:sz w:val="22"/>
              </w:rPr>
            </w:pPr>
            <w:r>
              <w:rPr>
                <w:sz w:val="22"/>
              </w:rPr>
              <w:t>Intervalo de confianza al 95 %</w:t>
            </w:r>
          </w:p>
        </w:tc>
        <w:tc>
          <w:tcPr>
            <w:tcW w:w="1505" w:type="dxa"/>
          </w:tcPr>
          <w:p>
            <w:pPr>
              <w:pStyle w:val="TableParagraph"/>
              <w:spacing w:before="30"/>
              <w:rPr>
                <w:sz w:val="22"/>
              </w:rPr>
            </w:pPr>
            <w:r>
              <w:rPr>
                <w:sz w:val="22"/>
              </w:rPr>
              <w:t>1,99</w:t>
            </w:r>
          </w:p>
        </w:tc>
      </w:tr>
      <w:tr>
        <w:trPr>
          <w:trHeight w:val="310" w:hRule="exact"/>
        </w:trPr>
        <w:tc>
          <w:tcPr>
            <w:tcW w:w="4632" w:type="dxa"/>
            <w:gridSpan w:val="6"/>
            <w:vMerge/>
            <w:tcBorders>
              <w:left w:val="nil"/>
              <w:bottom w:val="nil"/>
            </w:tcBorders>
          </w:tcPr>
          <w:p>
            <w:pPr/>
          </w:p>
        </w:tc>
        <w:tc>
          <w:tcPr>
            <w:tcW w:w="2239" w:type="dxa"/>
            <w:gridSpan w:val="2"/>
            <w:vMerge/>
          </w:tcPr>
          <w:p>
            <w:pPr/>
          </w:p>
        </w:tc>
        <w:tc>
          <w:tcPr>
            <w:tcW w:w="1505" w:type="dxa"/>
          </w:tcPr>
          <w:p>
            <w:pPr>
              <w:pStyle w:val="TableParagraph"/>
              <w:rPr>
                <w:sz w:val="22"/>
              </w:rPr>
            </w:pPr>
            <w:r>
              <w:rPr>
                <w:sz w:val="22"/>
              </w:rPr>
              <w:t>2,12</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9"/>
        <w:gridCol w:w="778"/>
        <w:gridCol w:w="475"/>
        <w:gridCol w:w="778"/>
        <w:gridCol w:w="1183"/>
        <w:gridCol w:w="1181"/>
        <w:gridCol w:w="778"/>
        <w:gridCol w:w="1452"/>
        <w:gridCol w:w="1622"/>
      </w:tblGrid>
      <w:tr>
        <w:trPr>
          <w:trHeight w:val="310" w:hRule="exact"/>
        </w:trPr>
        <w:tc>
          <w:tcPr>
            <w:tcW w:w="9055" w:type="dxa"/>
            <w:gridSpan w:val="9"/>
          </w:tcPr>
          <w:p>
            <w:pPr>
              <w:pStyle w:val="TableParagraph"/>
              <w:ind w:left="3547" w:right="3547"/>
              <w:jc w:val="center"/>
              <w:rPr>
                <w:sz w:val="22"/>
              </w:rPr>
            </w:pPr>
            <w:r>
              <w:rPr>
                <w:sz w:val="22"/>
              </w:rPr>
              <w:t>Punto de muestreo D</w:t>
            </w:r>
          </w:p>
        </w:tc>
      </w:tr>
      <w:tr>
        <w:trPr>
          <w:trHeight w:val="310" w:hRule="exact"/>
        </w:trPr>
        <w:tc>
          <w:tcPr>
            <w:tcW w:w="809" w:type="dxa"/>
          </w:tcPr>
          <w:p>
            <w:pPr>
              <w:pStyle w:val="TableParagraph"/>
              <w:spacing w:before="13"/>
              <w:ind w:left="16" w:right="43"/>
              <w:jc w:val="center"/>
              <w:rPr>
                <w:sz w:val="22"/>
              </w:rPr>
            </w:pPr>
            <w:r>
              <w:rPr>
                <w:sz w:val="22"/>
              </w:rPr>
              <w:t>Estrato</w:t>
            </w:r>
          </w:p>
        </w:tc>
        <w:tc>
          <w:tcPr>
            <w:tcW w:w="778"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778" w:type="dxa"/>
          </w:tcPr>
          <w:p>
            <w:pPr>
              <w:pStyle w:val="TableParagraph"/>
              <w:spacing w:before="43"/>
              <w:ind w:left="268"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83" w:type="dxa"/>
          </w:tcPr>
          <w:p>
            <w:pPr>
              <w:pStyle w:val="TableParagraph"/>
              <w:spacing w:line="214" w:lineRule="exact" w:before="6"/>
              <w:ind w:left="395" w:right="40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81" w:type="dxa"/>
          </w:tcPr>
          <w:p>
            <w:pPr>
              <w:pStyle w:val="TableParagraph"/>
              <w:spacing w:before="19"/>
              <w:ind w:left="468" w:right="476"/>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78" w:type="dxa"/>
          </w:tcPr>
          <w:p>
            <w:pPr>
              <w:pStyle w:val="TableParagraph"/>
              <w:spacing w:before="43"/>
              <w:ind w:left="32" w:right="43"/>
              <w:jc w:val="center"/>
              <w:rPr>
                <w:rFonts w:ascii="Cambria Math"/>
                <w:sz w:val="16"/>
              </w:rPr>
            </w:pPr>
            <w:r>
              <w:rPr>
                <w:rFonts w:ascii="Cambria Math"/>
                <w:w w:val="110"/>
                <w:sz w:val="22"/>
              </w:rPr>
              <w:t>s</w:t>
            </w:r>
            <w:r>
              <w:rPr>
                <w:rFonts w:ascii="Cambria Math"/>
                <w:w w:val="110"/>
                <w:position w:val="-4"/>
                <w:sz w:val="16"/>
              </w:rPr>
              <w:t>h</w:t>
            </w:r>
          </w:p>
        </w:tc>
        <w:tc>
          <w:tcPr>
            <w:tcW w:w="1452" w:type="dxa"/>
          </w:tcPr>
          <w:p>
            <w:pPr>
              <w:pStyle w:val="TableParagraph"/>
              <w:spacing w:before="0"/>
              <w:ind w:left="39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22" w:type="dxa"/>
          </w:tcPr>
          <w:p>
            <w:pPr>
              <w:pStyle w:val="TableParagraph"/>
              <w:spacing w:before="0"/>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09" w:type="dxa"/>
          </w:tcPr>
          <w:p>
            <w:pPr>
              <w:pStyle w:val="TableParagraph"/>
              <w:spacing w:before="30"/>
              <w:ind w:right="1"/>
              <w:jc w:val="center"/>
              <w:rPr>
                <w:sz w:val="22"/>
              </w:rPr>
            </w:pPr>
            <w:r>
              <w:rPr>
                <w:w w:val="100"/>
                <w:sz w:val="22"/>
              </w:rPr>
              <w:t>1</w:t>
            </w:r>
          </w:p>
        </w:tc>
        <w:tc>
          <w:tcPr>
            <w:tcW w:w="778" w:type="dxa"/>
          </w:tcPr>
          <w:p>
            <w:pPr>
              <w:pStyle w:val="TableParagraph"/>
              <w:spacing w:before="30"/>
              <w:ind w:left="45" w:right="17"/>
              <w:jc w:val="center"/>
              <w:rPr>
                <w:sz w:val="22"/>
              </w:rPr>
            </w:pPr>
            <w:r>
              <w:rPr>
                <w:sz w:val="22"/>
              </w:rPr>
              <w:t>108,60</w:t>
            </w:r>
          </w:p>
        </w:tc>
        <w:tc>
          <w:tcPr>
            <w:tcW w:w="475" w:type="dxa"/>
          </w:tcPr>
          <w:p>
            <w:pPr>
              <w:pStyle w:val="TableParagraph"/>
              <w:spacing w:before="30"/>
              <w:ind w:left="47" w:right="44"/>
              <w:jc w:val="center"/>
              <w:rPr>
                <w:sz w:val="22"/>
              </w:rPr>
            </w:pPr>
            <w:r>
              <w:rPr>
                <w:sz w:val="22"/>
              </w:rPr>
              <w:t>108</w:t>
            </w:r>
          </w:p>
        </w:tc>
        <w:tc>
          <w:tcPr>
            <w:tcW w:w="778" w:type="dxa"/>
          </w:tcPr>
          <w:p>
            <w:pPr>
              <w:pStyle w:val="TableParagraph"/>
              <w:spacing w:before="30"/>
              <w:ind w:left="199" w:right="0"/>
              <w:jc w:val="left"/>
              <w:rPr>
                <w:sz w:val="22"/>
              </w:rPr>
            </w:pPr>
            <w:r>
              <w:rPr>
                <w:sz w:val="22"/>
              </w:rPr>
              <w:t>1,600</w:t>
            </w:r>
          </w:p>
        </w:tc>
        <w:tc>
          <w:tcPr>
            <w:tcW w:w="1183" w:type="dxa"/>
          </w:tcPr>
          <w:p>
            <w:pPr>
              <w:pStyle w:val="TableParagraph"/>
              <w:spacing w:before="30"/>
              <w:ind w:right="63"/>
              <w:rPr>
                <w:sz w:val="22"/>
              </w:rPr>
            </w:pPr>
            <w:r>
              <w:rPr>
                <w:sz w:val="22"/>
              </w:rPr>
              <w:t>0,800</w:t>
            </w:r>
          </w:p>
        </w:tc>
        <w:tc>
          <w:tcPr>
            <w:tcW w:w="1181" w:type="dxa"/>
          </w:tcPr>
          <w:p>
            <w:pPr>
              <w:pStyle w:val="TableParagraph"/>
              <w:spacing w:before="30"/>
              <w:rPr>
                <w:sz w:val="22"/>
              </w:rPr>
            </w:pPr>
            <w:r>
              <w:rPr>
                <w:sz w:val="22"/>
              </w:rPr>
              <w:t>173,760</w:t>
            </w:r>
          </w:p>
        </w:tc>
        <w:tc>
          <w:tcPr>
            <w:tcW w:w="778" w:type="dxa"/>
          </w:tcPr>
          <w:p>
            <w:pPr>
              <w:pStyle w:val="TableParagraph"/>
              <w:spacing w:before="30"/>
              <w:ind w:left="176" w:right="43"/>
              <w:jc w:val="center"/>
              <w:rPr>
                <w:sz w:val="22"/>
              </w:rPr>
            </w:pPr>
            <w:r>
              <w:rPr>
                <w:sz w:val="22"/>
              </w:rPr>
              <w:t>0,894</w:t>
            </w:r>
          </w:p>
        </w:tc>
        <w:tc>
          <w:tcPr>
            <w:tcW w:w="1452" w:type="dxa"/>
          </w:tcPr>
          <w:p>
            <w:pPr>
              <w:pStyle w:val="TableParagraph"/>
              <w:spacing w:before="30"/>
              <w:rPr>
                <w:sz w:val="22"/>
              </w:rPr>
            </w:pPr>
            <w:r>
              <w:rPr>
                <w:sz w:val="22"/>
              </w:rPr>
              <w:t>-29,208</w:t>
            </w:r>
          </w:p>
        </w:tc>
        <w:tc>
          <w:tcPr>
            <w:tcW w:w="1622" w:type="dxa"/>
          </w:tcPr>
          <w:p>
            <w:pPr>
              <w:pStyle w:val="TableParagraph"/>
              <w:spacing w:before="30"/>
              <w:ind w:right="63"/>
              <w:rPr>
                <w:sz w:val="22"/>
              </w:rPr>
            </w:pPr>
            <w:r>
              <w:rPr>
                <w:sz w:val="22"/>
              </w:rPr>
              <w:t>-6,0439E-05</w:t>
            </w:r>
          </w:p>
        </w:tc>
      </w:tr>
      <w:tr>
        <w:trPr>
          <w:trHeight w:val="312" w:hRule="exact"/>
        </w:trPr>
        <w:tc>
          <w:tcPr>
            <w:tcW w:w="809" w:type="dxa"/>
          </w:tcPr>
          <w:p>
            <w:pPr>
              <w:pStyle w:val="TableParagraph"/>
              <w:spacing w:before="30"/>
              <w:ind w:right="1"/>
              <w:jc w:val="center"/>
              <w:rPr>
                <w:sz w:val="22"/>
              </w:rPr>
            </w:pPr>
            <w:r>
              <w:rPr>
                <w:w w:val="100"/>
                <w:sz w:val="22"/>
              </w:rPr>
              <w:t>2</w:t>
            </w:r>
          </w:p>
        </w:tc>
        <w:tc>
          <w:tcPr>
            <w:tcW w:w="778" w:type="dxa"/>
          </w:tcPr>
          <w:p>
            <w:pPr>
              <w:pStyle w:val="TableParagraph"/>
              <w:spacing w:before="30"/>
              <w:ind w:left="45" w:right="17"/>
              <w:jc w:val="center"/>
              <w:rPr>
                <w:sz w:val="22"/>
              </w:rPr>
            </w:pPr>
            <w:r>
              <w:rPr>
                <w:sz w:val="22"/>
              </w:rPr>
              <w:t>121,03</w:t>
            </w:r>
          </w:p>
        </w:tc>
        <w:tc>
          <w:tcPr>
            <w:tcW w:w="475" w:type="dxa"/>
          </w:tcPr>
          <w:p>
            <w:pPr>
              <w:pStyle w:val="TableParagraph"/>
              <w:spacing w:before="30"/>
              <w:ind w:left="158" w:right="44"/>
              <w:jc w:val="center"/>
              <w:rPr>
                <w:sz w:val="22"/>
              </w:rPr>
            </w:pPr>
            <w:r>
              <w:rPr>
                <w:sz w:val="22"/>
              </w:rPr>
              <w:t>81</w:t>
            </w:r>
          </w:p>
        </w:tc>
        <w:tc>
          <w:tcPr>
            <w:tcW w:w="778" w:type="dxa"/>
          </w:tcPr>
          <w:p>
            <w:pPr>
              <w:pStyle w:val="TableParagraph"/>
              <w:spacing w:before="30"/>
              <w:ind w:left="199" w:right="0"/>
              <w:jc w:val="left"/>
              <w:rPr>
                <w:sz w:val="22"/>
              </w:rPr>
            </w:pPr>
            <w:r>
              <w:rPr>
                <w:sz w:val="22"/>
              </w:rPr>
              <w:t>1,800</w:t>
            </w:r>
          </w:p>
        </w:tc>
        <w:tc>
          <w:tcPr>
            <w:tcW w:w="1183" w:type="dxa"/>
          </w:tcPr>
          <w:p>
            <w:pPr>
              <w:pStyle w:val="TableParagraph"/>
              <w:spacing w:before="30"/>
              <w:ind w:right="63"/>
              <w:rPr>
                <w:sz w:val="22"/>
              </w:rPr>
            </w:pPr>
            <w:r>
              <w:rPr>
                <w:sz w:val="22"/>
              </w:rPr>
              <w:t>0,200</w:t>
            </w:r>
          </w:p>
        </w:tc>
        <w:tc>
          <w:tcPr>
            <w:tcW w:w="1181" w:type="dxa"/>
          </w:tcPr>
          <w:p>
            <w:pPr>
              <w:pStyle w:val="TableParagraph"/>
              <w:spacing w:before="30"/>
              <w:rPr>
                <w:sz w:val="22"/>
              </w:rPr>
            </w:pPr>
            <w:r>
              <w:rPr>
                <w:sz w:val="22"/>
              </w:rPr>
              <w:t>217,854</w:t>
            </w:r>
          </w:p>
        </w:tc>
        <w:tc>
          <w:tcPr>
            <w:tcW w:w="778" w:type="dxa"/>
          </w:tcPr>
          <w:p>
            <w:pPr>
              <w:pStyle w:val="TableParagraph"/>
              <w:spacing w:before="30"/>
              <w:ind w:left="176" w:right="43"/>
              <w:jc w:val="center"/>
              <w:rPr>
                <w:sz w:val="22"/>
              </w:rPr>
            </w:pPr>
            <w:r>
              <w:rPr>
                <w:sz w:val="22"/>
              </w:rPr>
              <w:t>0,447</w:t>
            </w:r>
          </w:p>
        </w:tc>
        <w:tc>
          <w:tcPr>
            <w:tcW w:w="1452" w:type="dxa"/>
          </w:tcPr>
          <w:p>
            <w:pPr>
              <w:pStyle w:val="TableParagraph"/>
              <w:spacing w:before="30"/>
              <w:rPr>
                <w:sz w:val="22"/>
              </w:rPr>
            </w:pPr>
            <w:r>
              <w:rPr>
                <w:sz w:val="22"/>
              </w:rPr>
              <w:t>11,980</w:t>
            </w:r>
          </w:p>
        </w:tc>
        <w:tc>
          <w:tcPr>
            <w:tcW w:w="1622" w:type="dxa"/>
          </w:tcPr>
          <w:p>
            <w:pPr>
              <w:pStyle w:val="TableParagraph"/>
              <w:spacing w:before="30"/>
              <w:ind w:right="63"/>
              <w:rPr>
                <w:sz w:val="22"/>
              </w:rPr>
            </w:pPr>
            <w:r>
              <w:rPr>
                <w:sz w:val="22"/>
              </w:rPr>
              <w:t>2,47908E-05</w:t>
            </w:r>
          </w:p>
        </w:tc>
      </w:tr>
      <w:tr>
        <w:trPr>
          <w:trHeight w:val="310" w:hRule="exact"/>
        </w:trPr>
        <w:tc>
          <w:tcPr>
            <w:tcW w:w="809" w:type="dxa"/>
          </w:tcPr>
          <w:p>
            <w:pPr>
              <w:pStyle w:val="TableParagraph"/>
              <w:ind w:right="1"/>
              <w:jc w:val="center"/>
              <w:rPr>
                <w:sz w:val="22"/>
              </w:rPr>
            </w:pPr>
            <w:r>
              <w:rPr>
                <w:w w:val="100"/>
                <w:sz w:val="22"/>
              </w:rPr>
              <w:t>3</w:t>
            </w:r>
          </w:p>
        </w:tc>
        <w:tc>
          <w:tcPr>
            <w:tcW w:w="778" w:type="dxa"/>
          </w:tcPr>
          <w:p>
            <w:pPr>
              <w:pStyle w:val="TableParagraph"/>
              <w:ind w:left="45" w:right="17"/>
              <w:jc w:val="center"/>
              <w:rPr>
                <w:sz w:val="22"/>
              </w:rPr>
            </w:pPr>
            <w:r>
              <w:rPr>
                <w:sz w:val="22"/>
              </w:rPr>
              <w:t>130,21</w:t>
            </w:r>
          </w:p>
        </w:tc>
        <w:tc>
          <w:tcPr>
            <w:tcW w:w="475" w:type="dxa"/>
          </w:tcPr>
          <w:p>
            <w:pPr>
              <w:pStyle w:val="TableParagraph"/>
              <w:ind w:left="158" w:right="44"/>
              <w:jc w:val="center"/>
              <w:rPr>
                <w:sz w:val="22"/>
              </w:rPr>
            </w:pPr>
            <w:r>
              <w:rPr>
                <w:sz w:val="22"/>
              </w:rPr>
              <w:t>77</w:t>
            </w:r>
          </w:p>
        </w:tc>
        <w:tc>
          <w:tcPr>
            <w:tcW w:w="778" w:type="dxa"/>
          </w:tcPr>
          <w:p>
            <w:pPr>
              <w:pStyle w:val="TableParagraph"/>
              <w:ind w:left="199" w:right="0"/>
              <w:jc w:val="left"/>
              <w:rPr>
                <w:sz w:val="22"/>
              </w:rPr>
            </w:pPr>
            <w:r>
              <w:rPr>
                <w:sz w:val="22"/>
              </w:rPr>
              <w:t>2,200</w:t>
            </w:r>
          </w:p>
        </w:tc>
        <w:tc>
          <w:tcPr>
            <w:tcW w:w="1183" w:type="dxa"/>
          </w:tcPr>
          <w:p>
            <w:pPr>
              <w:pStyle w:val="TableParagraph"/>
              <w:ind w:right="63"/>
              <w:rPr>
                <w:sz w:val="22"/>
              </w:rPr>
            </w:pPr>
            <w:r>
              <w:rPr>
                <w:sz w:val="22"/>
              </w:rPr>
              <w:t>0,700</w:t>
            </w:r>
          </w:p>
        </w:tc>
        <w:tc>
          <w:tcPr>
            <w:tcW w:w="1181" w:type="dxa"/>
          </w:tcPr>
          <w:p>
            <w:pPr>
              <w:pStyle w:val="TableParagraph"/>
              <w:rPr>
                <w:sz w:val="22"/>
              </w:rPr>
            </w:pPr>
            <w:r>
              <w:rPr>
                <w:sz w:val="22"/>
              </w:rPr>
              <w:t>286,462</w:t>
            </w:r>
          </w:p>
        </w:tc>
        <w:tc>
          <w:tcPr>
            <w:tcW w:w="778" w:type="dxa"/>
          </w:tcPr>
          <w:p>
            <w:pPr>
              <w:pStyle w:val="TableParagraph"/>
              <w:ind w:left="176" w:right="43"/>
              <w:jc w:val="center"/>
              <w:rPr>
                <w:sz w:val="22"/>
              </w:rPr>
            </w:pPr>
            <w:r>
              <w:rPr>
                <w:sz w:val="22"/>
              </w:rPr>
              <w:t>0,837</w:t>
            </w:r>
          </w:p>
        </w:tc>
        <w:tc>
          <w:tcPr>
            <w:tcW w:w="1452" w:type="dxa"/>
          </w:tcPr>
          <w:p>
            <w:pPr>
              <w:pStyle w:val="TableParagraph"/>
              <w:rPr>
                <w:sz w:val="22"/>
              </w:rPr>
            </w:pPr>
            <w:r>
              <w:rPr>
                <w:sz w:val="22"/>
              </w:rPr>
              <w:t>63,912</w:t>
            </w:r>
          </w:p>
        </w:tc>
        <w:tc>
          <w:tcPr>
            <w:tcW w:w="1622" w:type="dxa"/>
          </w:tcPr>
          <w:p>
            <w:pPr>
              <w:pStyle w:val="TableParagraph"/>
              <w:ind w:right="63"/>
              <w:rPr>
                <w:sz w:val="22"/>
              </w:rPr>
            </w:pPr>
            <w:r>
              <w:rPr>
                <w:sz w:val="22"/>
              </w:rPr>
              <w:t>0,000132252</w:t>
            </w:r>
          </w:p>
        </w:tc>
      </w:tr>
      <w:tr>
        <w:trPr>
          <w:trHeight w:val="310" w:hRule="exact"/>
        </w:trPr>
        <w:tc>
          <w:tcPr>
            <w:tcW w:w="809" w:type="dxa"/>
          </w:tcPr>
          <w:p>
            <w:pPr>
              <w:pStyle w:val="TableParagraph"/>
              <w:ind w:right="1"/>
              <w:jc w:val="center"/>
              <w:rPr>
                <w:sz w:val="22"/>
              </w:rPr>
            </w:pPr>
            <w:r>
              <w:rPr>
                <w:w w:val="100"/>
                <w:sz w:val="22"/>
              </w:rPr>
              <w:t>4</w:t>
            </w:r>
          </w:p>
        </w:tc>
        <w:tc>
          <w:tcPr>
            <w:tcW w:w="778" w:type="dxa"/>
          </w:tcPr>
          <w:p>
            <w:pPr>
              <w:pStyle w:val="TableParagraph"/>
              <w:ind w:left="45" w:right="17"/>
              <w:jc w:val="center"/>
              <w:rPr>
                <w:sz w:val="22"/>
              </w:rPr>
            </w:pPr>
            <w:r>
              <w:rPr>
                <w:sz w:val="22"/>
              </w:rPr>
              <w:t>155,12</w:t>
            </w:r>
          </w:p>
        </w:tc>
        <w:tc>
          <w:tcPr>
            <w:tcW w:w="475" w:type="dxa"/>
          </w:tcPr>
          <w:p>
            <w:pPr>
              <w:pStyle w:val="TableParagraph"/>
              <w:ind w:left="158" w:right="44"/>
              <w:jc w:val="center"/>
              <w:rPr>
                <w:sz w:val="22"/>
              </w:rPr>
            </w:pPr>
            <w:r>
              <w:rPr>
                <w:sz w:val="22"/>
              </w:rPr>
              <w:t>92</w:t>
            </w:r>
          </w:p>
        </w:tc>
        <w:tc>
          <w:tcPr>
            <w:tcW w:w="778" w:type="dxa"/>
          </w:tcPr>
          <w:p>
            <w:pPr>
              <w:pStyle w:val="TableParagraph"/>
              <w:ind w:left="199" w:right="0"/>
              <w:jc w:val="left"/>
              <w:rPr>
                <w:sz w:val="22"/>
              </w:rPr>
            </w:pPr>
            <w:r>
              <w:rPr>
                <w:sz w:val="22"/>
              </w:rPr>
              <w:t>3,400</w:t>
            </w:r>
          </w:p>
        </w:tc>
        <w:tc>
          <w:tcPr>
            <w:tcW w:w="1183" w:type="dxa"/>
          </w:tcPr>
          <w:p>
            <w:pPr>
              <w:pStyle w:val="TableParagraph"/>
              <w:ind w:right="63"/>
              <w:rPr>
                <w:sz w:val="22"/>
              </w:rPr>
            </w:pPr>
            <w:r>
              <w:rPr>
                <w:sz w:val="22"/>
              </w:rPr>
              <w:t>1,300</w:t>
            </w:r>
          </w:p>
        </w:tc>
        <w:tc>
          <w:tcPr>
            <w:tcW w:w="1181" w:type="dxa"/>
          </w:tcPr>
          <w:p>
            <w:pPr>
              <w:pStyle w:val="TableParagraph"/>
              <w:rPr>
                <w:sz w:val="22"/>
              </w:rPr>
            </w:pPr>
            <w:r>
              <w:rPr>
                <w:sz w:val="22"/>
              </w:rPr>
              <w:t>527,408</w:t>
            </w:r>
          </w:p>
        </w:tc>
        <w:tc>
          <w:tcPr>
            <w:tcW w:w="778" w:type="dxa"/>
          </w:tcPr>
          <w:p>
            <w:pPr>
              <w:pStyle w:val="TableParagraph"/>
              <w:ind w:left="176" w:right="43"/>
              <w:jc w:val="center"/>
              <w:rPr>
                <w:sz w:val="22"/>
              </w:rPr>
            </w:pPr>
            <w:r>
              <w:rPr>
                <w:sz w:val="22"/>
              </w:rPr>
              <w:t>1,140</w:t>
            </w:r>
          </w:p>
        </w:tc>
        <w:tc>
          <w:tcPr>
            <w:tcW w:w="1452" w:type="dxa"/>
          </w:tcPr>
          <w:p>
            <w:pPr>
              <w:pStyle w:val="TableParagraph"/>
              <w:rPr>
                <w:sz w:val="22"/>
              </w:rPr>
            </w:pPr>
            <w:r>
              <w:rPr>
                <w:sz w:val="22"/>
              </w:rPr>
              <w:t>139,057</w:t>
            </w:r>
          </w:p>
        </w:tc>
        <w:tc>
          <w:tcPr>
            <w:tcW w:w="1622" w:type="dxa"/>
          </w:tcPr>
          <w:p>
            <w:pPr>
              <w:pStyle w:val="TableParagraph"/>
              <w:ind w:right="63"/>
              <w:rPr>
                <w:sz w:val="22"/>
              </w:rPr>
            </w:pPr>
            <w:r>
              <w:rPr>
                <w:sz w:val="22"/>
              </w:rPr>
              <w:t>0,000287747</w:t>
            </w:r>
          </w:p>
        </w:tc>
      </w:tr>
      <w:tr>
        <w:trPr>
          <w:trHeight w:val="310" w:hRule="exact"/>
        </w:trPr>
        <w:tc>
          <w:tcPr>
            <w:tcW w:w="809" w:type="dxa"/>
          </w:tcPr>
          <w:p>
            <w:pPr>
              <w:pStyle w:val="TableParagraph"/>
              <w:ind w:right="1"/>
              <w:jc w:val="center"/>
              <w:rPr>
                <w:sz w:val="22"/>
              </w:rPr>
            </w:pPr>
            <w:r>
              <w:rPr>
                <w:w w:val="100"/>
                <w:sz w:val="22"/>
              </w:rPr>
              <w:t>5</w:t>
            </w:r>
          </w:p>
        </w:tc>
        <w:tc>
          <w:tcPr>
            <w:tcW w:w="778" w:type="dxa"/>
          </w:tcPr>
          <w:p>
            <w:pPr>
              <w:pStyle w:val="TableParagraph"/>
              <w:ind w:left="45" w:right="17"/>
              <w:jc w:val="center"/>
              <w:rPr>
                <w:sz w:val="22"/>
              </w:rPr>
            </w:pPr>
            <w:r>
              <w:rPr>
                <w:sz w:val="22"/>
              </w:rPr>
              <w:t>180,21</w:t>
            </w:r>
          </w:p>
        </w:tc>
        <w:tc>
          <w:tcPr>
            <w:tcW w:w="475" w:type="dxa"/>
          </w:tcPr>
          <w:p>
            <w:pPr>
              <w:pStyle w:val="TableParagraph"/>
              <w:ind w:left="47" w:right="44"/>
              <w:jc w:val="center"/>
              <w:rPr>
                <w:sz w:val="22"/>
              </w:rPr>
            </w:pPr>
            <w:r>
              <w:rPr>
                <w:sz w:val="22"/>
              </w:rPr>
              <w:t>132</w:t>
            </w:r>
          </w:p>
        </w:tc>
        <w:tc>
          <w:tcPr>
            <w:tcW w:w="778" w:type="dxa"/>
          </w:tcPr>
          <w:p>
            <w:pPr>
              <w:pStyle w:val="TableParagraph"/>
              <w:ind w:left="199" w:right="0"/>
              <w:jc w:val="left"/>
              <w:rPr>
                <w:sz w:val="22"/>
              </w:rPr>
            </w:pPr>
            <w:r>
              <w:rPr>
                <w:sz w:val="22"/>
              </w:rPr>
              <w:t>7,333</w:t>
            </w:r>
          </w:p>
        </w:tc>
        <w:tc>
          <w:tcPr>
            <w:tcW w:w="1183" w:type="dxa"/>
          </w:tcPr>
          <w:p>
            <w:pPr>
              <w:pStyle w:val="TableParagraph"/>
              <w:ind w:right="63"/>
              <w:rPr>
                <w:sz w:val="22"/>
              </w:rPr>
            </w:pPr>
            <w:r>
              <w:rPr>
                <w:sz w:val="22"/>
              </w:rPr>
              <w:t>1,867</w:t>
            </w:r>
          </w:p>
        </w:tc>
        <w:tc>
          <w:tcPr>
            <w:tcW w:w="1181" w:type="dxa"/>
          </w:tcPr>
          <w:p>
            <w:pPr>
              <w:pStyle w:val="TableParagraph"/>
              <w:rPr>
                <w:sz w:val="22"/>
              </w:rPr>
            </w:pPr>
            <w:r>
              <w:rPr>
                <w:sz w:val="22"/>
              </w:rPr>
              <w:t>1321,540</w:t>
            </w:r>
          </w:p>
        </w:tc>
        <w:tc>
          <w:tcPr>
            <w:tcW w:w="778" w:type="dxa"/>
          </w:tcPr>
          <w:p>
            <w:pPr>
              <w:pStyle w:val="TableParagraph"/>
              <w:ind w:left="176" w:right="43"/>
              <w:jc w:val="center"/>
              <w:rPr>
                <w:sz w:val="22"/>
              </w:rPr>
            </w:pPr>
            <w:r>
              <w:rPr>
                <w:sz w:val="22"/>
              </w:rPr>
              <w:t>1,366</w:t>
            </w:r>
          </w:p>
        </w:tc>
        <w:tc>
          <w:tcPr>
            <w:tcW w:w="1452" w:type="dxa"/>
          </w:tcPr>
          <w:p>
            <w:pPr>
              <w:pStyle w:val="TableParagraph"/>
              <w:rPr>
                <w:sz w:val="22"/>
              </w:rPr>
            </w:pPr>
            <w:r>
              <w:rPr>
                <w:sz w:val="22"/>
              </w:rPr>
              <w:t>122,720</w:t>
            </w:r>
          </w:p>
        </w:tc>
        <w:tc>
          <w:tcPr>
            <w:tcW w:w="1622" w:type="dxa"/>
          </w:tcPr>
          <w:p>
            <w:pPr>
              <w:pStyle w:val="TableParagraph"/>
              <w:ind w:right="63"/>
              <w:rPr>
                <w:sz w:val="22"/>
              </w:rPr>
            </w:pPr>
            <w:r>
              <w:rPr>
                <w:sz w:val="22"/>
              </w:rPr>
              <w:t>0,000253942</w:t>
            </w:r>
          </w:p>
        </w:tc>
      </w:tr>
      <w:tr>
        <w:trPr>
          <w:trHeight w:val="310" w:hRule="exact"/>
        </w:trPr>
        <w:tc>
          <w:tcPr>
            <w:tcW w:w="809" w:type="dxa"/>
          </w:tcPr>
          <w:p>
            <w:pPr>
              <w:pStyle w:val="TableParagraph"/>
              <w:ind w:right="0"/>
              <w:jc w:val="center"/>
              <w:rPr>
                <w:sz w:val="22"/>
              </w:rPr>
            </w:pPr>
            <w:r>
              <w:rPr>
                <w:w w:val="100"/>
                <w:sz w:val="22"/>
              </w:rPr>
              <w:t>N</w:t>
            </w:r>
          </w:p>
        </w:tc>
        <w:tc>
          <w:tcPr>
            <w:tcW w:w="778" w:type="dxa"/>
          </w:tcPr>
          <w:p>
            <w:pPr>
              <w:pStyle w:val="TableParagraph"/>
              <w:ind w:left="45" w:right="18"/>
              <w:jc w:val="center"/>
              <w:rPr>
                <w:sz w:val="22"/>
              </w:rPr>
            </w:pPr>
            <w:r>
              <w:rPr>
                <w:sz w:val="22"/>
              </w:rPr>
              <w:t>695,17</w:t>
            </w:r>
          </w:p>
        </w:tc>
        <w:tc>
          <w:tcPr>
            <w:tcW w:w="475" w:type="dxa"/>
          </w:tcPr>
          <w:p>
            <w:pPr/>
          </w:p>
        </w:tc>
        <w:tc>
          <w:tcPr>
            <w:tcW w:w="778" w:type="dxa"/>
          </w:tcPr>
          <w:p>
            <w:pPr/>
          </w:p>
        </w:tc>
        <w:tc>
          <w:tcPr>
            <w:tcW w:w="1183" w:type="dxa"/>
          </w:tcPr>
          <w:p>
            <w:pPr>
              <w:pStyle w:val="TableParagraph"/>
              <w:spacing w:before="18"/>
              <w:ind w:left="395" w:right="408"/>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81" w:type="dxa"/>
          </w:tcPr>
          <w:p>
            <w:pPr>
              <w:pStyle w:val="TableParagraph"/>
              <w:rPr>
                <w:sz w:val="22"/>
              </w:rPr>
            </w:pPr>
            <w:r>
              <w:rPr>
                <w:sz w:val="22"/>
              </w:rPr>
              <w:t>2527,024</w:t>
            </w:r>
          </w:p>
        </w:tc>
        <w:tc>
          <w:tcPr>
            <w:tcW w:w="778" w:type="dxa"/>
          </w:tcPr>
          <w:p>
            <w:pPr/>
          </w:p>
        </w:tc>
        <w:tc>
          <w:tcPr>
            <w:tcW w:w="1452" w:type="dxa"/>
          </w:tcPr>
          <w:p>
            <w:pPr>
              <w:pStyle w:val="TableParagraph"/>
              <w:rPr>
                <w:sz w:val="22"/>
              </w:rPr>
            </w:pPr>
            <w:r>
              <w:rPr>
                <w:sz w:val="22"/>
              </w:rPr>
              <w:t>308,463</w:t>
            </w:r>
          </w:p>
        </w:tc>
        <w:tc>
          <w:tcPr>
            <w:tcW w:w="1622" w:type="dxa"/>
          </w:tcPr>
          <w:p>
            <w:pPr>
              <w:pStyle w:val="TableParagraph"/>
              <w:ind w:right="63"/>
              <w:rPr>
                <w:sz w:val="22"/>
              </w:rPr>
            </w:pPr>
            <w:r>
              <w:rPr>
                <w:sz w:val="22"/>
              </w:rPr>
              <w:t>0,000638294</w:t>
            </w:r>
          </w:p>
        </w:tc>
      </w:tr>
      <w:tr>
        <w:trPr>
          <w:trHeight w:val="310" w:hRule="exact"/>
        </w:trPr>
        <w:tc>
          <w:tcPr>
            <w:tcW w:w="5203" w:type="dxa"/>
            <w:gridSpan w:val="6"/>
            <w:vMerge w:val="restart"/>
            <w:tcBorders>
              <w:left w:val="nil"/>
            </w:tcBorders>
          </w:tcPr>
          <w:p>
            <w:pPr/>
          </w:p>
        </w:tc>
        <w:tc>
          <w:tcPr>
            <w:tcW w:w="2230" w:type="dxa"/>
            <w:gridSpan w:val="2"/>
          </w:tcPr>
          <w:p>
            <w:pPr>
              <w:pStyle w:val="TableParagraph"/>
              <w:spacing w:before="13"/>
              <w:ind w:left="64" w:right="15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22" w:type="dxa"/>
          </w:tcPr>
          <w:p>
            <w:pPr>
              <w:pStyle w:val="TableParagraph"/>
              <w:spacing w:before="30"/>
              <w:ind w:right="63"/>
              <w:rPr>
                <w:b/>
                <w:sz w:val="22"/>
              </w:rPr>
            </w:pPr>
            <w:r>
              <w:rPr>
                <w:b/>
                <w:sz w:val="22"/>
              </w:rPr>
              <w:t>3,635</w:t>
            </w:r>
          </w:p>
        </w:tc>
      </w:tr>
      <w:tr>
        <w:trPr>
          <w:trHeight w:val="312" w:hRule="exact"/>
        </w:trPr>
        <w:tc>
          <w:tcPr>
            <w:tcW w:w="5203" w:type="dxa"/>
            <w:gridSpan w:val="6"/>
            <w:vMerge/>
            <w:tcBorders>
              <w:left w:val="nil"/>
            </w:tcBorders>
          </w:tcPr>
          <w:p>
            <w:pPr/>
          </w:p>
        </w:tc>
        <w:tc>
          <w:tcPr>
            <w:tcW w:w="2230" w:type="dxa"/>
            <w:gridSpan w:val="2"/>
          </w:tcPr>
          <w:p>
            <w:pPr>
              <w:pStyle w:val="TableParagraph"/>
              <w:spacing w:before="13"/>
              <w:ind w:left="64" w:right="153"/>
              <w:jc w:val="left"/>
              <w:rPr>
                <w:sz w:val="22"/>
              </w:rPr>
            </w:pPr>
            <w:r>
              <w:rPr>
                <w:sz w:val="22"/>
              </w:rPr>
              <w:t>Desviación estándar</w:t>
            </w:r>
          </w:p>
        </w:tc>
        <w:tc>
          <w:tcPr>
            <w:tcW w:w="1622" w:type="dxa"/>
          </w:tcPr>
          <w:p>
            <w:pPr>
              <w:pStyle w:val="TableParagraph"/>
              <w:spacing w:before="30"/>
              <w:ind w:right="63"/>
              <w:rPr>
                <w:b/>
                <w:sz w:val="22"/>
              </w:rPr>
            </w:pPr>
            <w:r>
              <w:rPr>
                <w:b/>
                <w:sz w:val="22"/>
              </w:rPr>
              <w:t>0,025</w:t>
            </w:r>
          </w:p>
        </w:tc>
      </w:tr>
      <w:tr>
        <w:trPr>
          <w:trHeight w:val="310" w:hRule="exact"/>
        </w:trPr>
        <w:tc>
          <w:tcPr>
            <w:tcW w:w="5203" w:type="dxa"/>
            <w:gridSpan w:val="6"/>
            <w:vMerge/>
            <w:tcBorders>
              <w:left w:val="nil"/>
            </w:tcBorders>
          </w:tcPr>
          <w:p>
            <w:pPr/>
          </w:p>
        </w:tc>
        <w:tc>
          <w:tcPr>
            <w:tcW w:w="2230" w:type="dxa"/>
            <w:gridSpan w:val="2"/>
            <w:vMerge w:val="restart"/>
          </w:tcPr>
          <w:p>
            <w:pPr>
              <w:pStyle w:val="TableParagraph"/>
              <w:spacing w:before="33"/>
              <w:ind w:left="64" w:right="153"/>
              <w:jc w:val="left"/>
              <w:rPr>
                <w:sz w:val="22"/>
              </w:rPr>
            </w:pPr>
            <w:r>
              <w:rPr>
                <w:sz w:val="22"/>
              </w:rPr>
              <w:t>Intervalo de confianza al 95 %</w:t>
            </w:r>
          </w:p>
        </w:tc>
        <w:tc>
          <w:tcPr>
            <w:tcW w:w="1622" w:type="dxa"/>
          </w:tcPr>
          <w:p>
            <w:pPr>
              <w:pStyle w:val="TableParagraph"/>
              <w:ind w:right="63"/>
              <w:rPr>
                <w:sz w:val="22"/>
              </w:rPr>
            </w:pPr>
            <w:r>
              <w:rPr>
                <w:sz w:val="22"/>
              </w:rPr>
              <w:t>3,59</w:t>
            </w:r>
          </w:p>
        </w:tc>
      </w:tr>
      <w:tr>
        <w:trPr>
          <w:trHeight w:val="310" w:hRule="exact"/>
        </w:trPr>
        <w:tc>
          <w:tcPr>
            <w:tcW w:w="5203" w:type="dxa"/>
            <w:gridSpan w:val="6"/>
            <w:vMerge/>
            <w:tcBorders>
              <w:left w:val="nil"/>
              <w:bottom w:val="nil"/>
            </w:tcBorders>
          </w:tcPr>
          <w:p>
            <w:pPr/>
          </w:p>
        </w:tc>
        <w:tc>
          <w:tcPr>
            <w:tcW w:w="2230" w:type="dxa"/>
            <w:gridSpan w:val="2"/>
            <w:vMerge/>
          </w:tcPr>
          <w:p>
            <w:pPr/>
          </w:p>
        </w:tc>
        <w:tc>
          <w:tcPr>
            <w:tcW w:w="1622" w:type="dxa"/>
          </w:tcPr>
          <w:p>
            <w:pPr>
              <w:pStyle w:val="TableParagraph"/>
              <w:ind w:right="63"/>
              <w:rPr>
                <w:sz w:val="22"/>
              </w:rPr>
            </w:pPr>
            <w:r>
              <w:rPr>
                <w:sz w:val="22"/>
              </w:rPr>
              <w:t>3,68</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9"/>
        <w:gridCol w:w="778"/>
        <w:gridCol w:w="475"/>
        <w:gridCol w:w="778"/>
        <w:gridCol w:w="1183"/>
        <w:gridCol w:w="1181"/>
        <w:gridCol w:w="778"/>
        <w:gridCol w:w="1452"/>
        <w:gridCol w:w="1622"/>
      </w:tblGrid>
      <w:tr>
        <w:trPr>
          <w:trHeight w:val="310" w:hRule="exact"/>
        </w:trPr>
        <w:tc>
          <w:tcPr>
            <w:tcW w:w="9055" w:type="dxa"/>
            <w:gridSpan w:val="9"/>
          </w:tcPr>
          <w:p>
            <w:pPr>
              <w:pStyle w:val="TableParagraph"/>
              <w:ind w:left="3547" w:right="3547"/>
              <w:jc w:val="center"/>
              <w:rPr>
                <w:sz w:val="22"/>
              </w:rPr>
            </w:pPr>
            <w:r>
              <w:rPr>
                <w:sz w:val="22"/>
              </w:rPr>
              <w:t>Punto de Muestreo E</w:t>
            </w:r>
          </w:p>
        </w:tc>
      </w:tr>
      <w:tr>
        <w:trPr>
          <w:trHeight w:val="310" w:hRule="exact"/>
        </w:trPr>
        <w:tc>
          <w:tcPr>
            <w:tcW w:w="809" w:type="dxa"/>
          </w:tcPr>
          <w:p>
            <w:pPr>
              <w:pStyle w:val="TableParagraph"/>
              <w:spacing w:before="13"/>
              <w:ind w:left="42" w:right="43"/>
              <w:jc w:val="center"/>
              <w:rPr>
                <w:sz w:val="22"/>
              </w:rPr>
            </w:pPr>
            <w:r>
              <w:rPr>
                <w:sz w:val="22"/>
              </w:rPr>
              <w:t>Estrato</w:t>
            </w:r>
          </w:p>
        </w:tc>
        <w:tc>
          <w:tcPr>
            <w:tcW w:w="778"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778" w:type="dxa"/>
          </w:tcPr>
          <w:p>
            <w:pPr>
              <w:pStyle w:val="TableParagraph"/>
              <w:spacing w:before="43"/>
              <w:ind w:left="268"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83" w:type="dxa"/>
          </w:tcPr>
          <w:p>
            <w:pPr>
              <w:pStyle w:val="TableParagraph"/>
              <w:spacing w:line="214" w:lineRule="exact" w:before="6"/>
              <w:ind w:left="395" w:right="40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81" w:type="dxa"/>
          </w:tcPr>
          <w:p>
            <w:pPr>
              <w:pStyle w:val="TableParagraph"/>
              <w:spacing w:before="19"/>
              <w:ind w:left="468" w:right="476"/>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78" w:type="dxa"/>
          </w:tcPr>
          <w:p>
            <w:pPr>
              <w:pStyle w:val="TableParagraph"/>
              <w:spacing w:before="43"/>
              <w:ind w:left="32" w:right="43"/>
              <w:jc w:val="center"/>
              <w:rPr>
                <w:rFonts w:ascii="Cambria Math"/>
                <w:sz w:val="16"/>
              </w:rPr>
            </w:pPr>
            <w:r>
              <w:rPr>
                <w:rFonts w:ascii="Cambria Math"/>
                <w:w w:val="110"/>
                <w:sz w:val="22"/>
              </w:rPr>
              <w:t>s</w:t>
            </w:r>
            <w:r>
              <w:rPr>
                <w:rFonts w:ascii="Cambria Math"/>
                <w:w w:val="110"/>
                <w:position w:val="-4"/>
                <w:sz w:val="16"/>
              </w:rPr>
              <w:t>h</w:t>
            </w:r>
          </w:p>
        </w:tc>
        <w:tc>
          <w:tcPr>
            <w:tcW w:w="1452" w:type="dxa"/>
          </w:tcPr>
          <w:p>
            <w:pPr>
              <w:pStyle w:val="TableParagraph"/>
              <w:spacing w:before="0"/>
              <w:ind w:left="39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22" w:type="dxa"/>
          </w:tcPr>
          <w:p>
            <w:pPr>
              <w:pStyle w:val="TableParagraph"/>
              <w:spacing w:before="0"/>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09" w:type="dxa"/>
          </w:tcPr>
          <w:p>
            <w:pPr>
              <w:pStyle w:val="TableParagraph"/>
              <w:spacing w:before="30"/>
              <w:ind w:right="1"/>
              <w:jc w:val="center"/>
              <w:rPr>
                <w:sz w:val="22"/>
              </w:rPr>
            </w:pPr>
            <w:r>
              <w:rPr>
                <w:w w:val="100"/>
                <w:sz w:val="22"/>
              </w:rPr>
              <w:t>1</w:t>
            </w:r>
          </w:p>
        </w:tc>
        <w:tc>
          <w:tcPr>
            <w:tcW w:w="778" w:type="dxa"/>
          </w:tcPr>
          <w:p>
            <w:pPr>
              <w:pStyle w:val="TableParagraph"/>
              <w:spacing w:before="30"/>
              <w:ind w:left="45" w:right="17"/>
              <w:jc w:val="center"/>
              <w:rPr>
                <w:sz w:val="22"/>
              </w:rPr>
            </w:pPr>
            <w:r>
              <w:rPr>
                <w:sz w:val="22"/>
              </w:rPr>
              <w:t>108,60</w:t>
            </w:r>
          </w:p>
        </w:tc>
        <w:tc>
          <w:tcPr>
            <w:tcW w:w="475" w:type="dxa"/>
          </w:tcPr>
          <w:p>
            <w:pPr>
              <w:pStyle w:val="TableParagraph"/>
              <w:spacing w:before="30"/>
              <w:ind w:left="47" w:right="44"/>
              <w:jc w:val="center"/>
              <w:rPr>
                <w:sz w:val="22"/>
              </w:rPr>
            </w:pPr>
            <w:r>
              <w:rPr>
                <w:sz w:val="22"/>
              </w:rPr>
              <w:t>108</w:t>
            </w:r>
          </w:p>
        </w:tc>
        <w:tc>
          <w:tcPr>
            <w:tcW w:w="778" w:type="dxa"/>
          </w:tcPr>
          <w:p>
            <w:pPr>
              <w:pStyle w:val="TableParagraph"/>
              <w:spacing w:before="30"/>
              <w:ind w:left="199" w:right="0"/>
              <w:jc w:val="left"/>
              <w:rPr>
                <w:sz w:val="22"/>
              </w:rPr>
            </w:pPr>
            <w:r>
              <w:rPr>
                <w:sz w:val="22"/>
              </w:rPr>
              <w:t>2,000</w:t>
            </w:r>
          </w:p>
        </w:tc>
        <w:tc>
          <w:tcPr>
            <w:tcW w:w="1183" w:type="dxa"/>
          </w:tcPr>
          <w:p>
            <w:pPr>
              <w:pStyle w:val="TableParagraph"/>
              <w:spacing w:before="30"/>
              <w:ind w:right="63"/>
              <w:rPr>
                <w:sz w:val="22"/>
              </w:rPr>
            </w:pPr>
            <w:r>
              <w:rPr>
                <w:sz w:val="22"/>
              </w:rPr>
              <w:t>0,500</w:t>
            </w:r>
          </w:p>
        </w:tc>
        <w:tc>
          <w:tcPr>
            <w:tcW w:w="1181" w:type="dxa"/>
          </w:tcPr>
          <w:p>
            <w:pPr>
              <w:pStyle w:val="TableParagraph"/>
              <w:spacing w:before="30"/>
              <w:rPr>
                <w:sz w:val="22"/>
              </w:rPr>
            </w:pPr>
            <w:r>
              <w:rPr>
                <w:sz w:val="22"/>
              </w:rPr>
              <w:t>217,200</w:t>
            </w:r>
          </w:p>
        </w:tc>
        <w:tc>
          <w:tcPr>
            <w:tcW w:w="778" w:type="dxa"/>
          </w:tcPr>
          <w:p>
            <w:pPr>
              <w:pStyle w:val="TableParagraph"/>
              <w:spacing w:before="30"/>
              <w:ind w:left="176" w:right="43"/>
              <w:jc w:val="center"/>
              <w:rPr>
                <w:sz w:val="22"/>
              </w:rPr>
            </w:pPr>
            <w:r>
              <w:rPr>
                <w:sz w:val="22"/>
              </w:rPr>
              <w:t>0,707</w:t>
            </w:r>
          </w:p>
        </w:tc>
        <w:tc>
          <w:tcPr>
            <w:tcW w:w="1452" w:type="dxa"/>
          </w:tcPr>
          <w:p>
            <w:pPr>
              <w:pStyle w:val="TableParagraph"/>
              <w:spacing w:before="30"/>
              <w:rPr>
                <w:sz w:val="22"/>
              </w:rPr>
            </w:pPr>
            <w:r>
              <w:rPr>
                <w:sz w:val="22"/>
              </w:rPr>
              <w:t>-18,255</w:t>
            </w:r>
          </w:p>
        </w:tc>
        <w:tc>
          <w:tcPr>
            <w:tcW w:w="1622" w:type="dxa"/>
          </w:tcPr>
          <w:p>
            <w:pPr>
              <w:pStyle w:val="TableParagraph"/>
              <w:spacing w:before="30"/>
              <w:ind w:right="63"/>
              <w:rPr>
                <w:sz w:val="22"/>
              </w:rPr>
            </w:pPr>
            <w:r>
              <w:rPr>
                <w:sz w:val="22"/>
              </w:rPr>
              <w:t>-3,77744E-05</w:t>
            </w:r>
          </w:p>
        </w:tc>
      </w:tr>
      <w:tr>
        <w:trPr>
          <w:trHeight w:val="310" w:hRule="exact"/>
        </w:trPr>
        <w:tc>
          <w:tcPr>
            <w:tcW w:w="809" w:type="dxa"/>
          </w:tcPr>
          <w:p>
            <w:pPr>
              <w:pStyle w:val="TableParagraph"/>
              <w:ind w:right="1"/>
              <w:jc w:val="center"/>
              <w:rPr>
                <w:sz w:val="22"/>
              </w:rPr>
            </w:pPr>
            <w:r>
              <w:rPr>
                <w:w w:val="100"/>
                <w:sz w:val="22"/>
              </w:rPr>
              <w:t>2</w:t>
            </w:r>
          </w:p>
        </w:tc>
        <w:tc>
          <w:tcPr>
            <w:tcW w:w="778" w:type="dxa"/>
          </w:tcPr>
          <w:p>
            <w:pPr>
              <w:pStyle w:val="TableParagraph"/>
              <w:ind w:left="45" w:right="17"/>
              <w:jc w:val="center"/>
              <w:rPr>
                <w:sz w:val="22"/>
              </w:rPr>
            </w:pPr>
            <w:r>
              <w:rPr>
                <w:sz w:val="22"/>
              </w:rPr>
              <w:t>121,03</w:t>
            </w:r>
          </w:p>
        </w:tc>
        <w:tc>
          <w:tcPr>
            <w:tcW w:w="475" w:type="dxa"/>
          </w:tcPr>
          <w:p>
            <w:pPr>
              <w:pStyle w:val="TableParagraph"/>
              <w:ind w:left="158" w:right="44"/>
              <w:jc w:val="center"/>
              <w:rPr>
                <w:sz w:val="22"/>
              </w:rPr>
            </w:pPr>
            <w:r>
              <w:rPr>
                <w:sz w:val="22"/>
              </w:rPr>
              <w:t>81</w:t>
            </w:r>
          </w:p>
        </w:tc>
        <w:tc>
          <w:tcPr>
            <w:tcW w:w="778" w:type="dxa"/>
          </w:tcPr>
          <w:p>
            <w:pPr>
              <w:pStyle w:val="TableParagraph"/>
              <w:ind w:left="199" w:right="0"/>
              <w:jc w:val="left"/>
              <w:rPr>
                <w:sz w:val="22"/>
              </w:rPr>
            </w:pPr>
            <w:r>
              <w:rPr>
                <w:sz w:val="22"/>
              </w:rPr>
              <w:t>2,600</w:t>
            </w:r>
          </w:p>
        </w:tc>
        <w:tc>
          <w:tcPr>
            <w:tcW w:w="1183" w:type="dxa"/>
          </w:tcPr>
          <w:p>
            <w:pPr>
              <w:pStyle w:val="TableParagraph"/>
              <w:ind w:right="63"/>
              <w:rPr>
                <w:sz w:val="22"/>
              </w:rPr>
            </w:pPr>
            <w:r>
              <w:rPr>
                <w:sz w:val="22"/>
              </w:rPr>
              <w:t>3,300</w:t>
            </w:r>
          </w:p>
        </w:tc>
        <w:tc>
          <w:tcPr>
            <w:tcW w:w="1181" w:type="dxa"/>
          </w:tcPr>
          <w:p>
            <w:pPr>
              <w:pStyle w:val="TableParagraph"/>
              <w:rPr>
                <w:sz w:val="22"/>
              </w:rPr>
            </w:pPr>
            <w:r>
              <w:rPr>
                <w:sz w:val="22"/>
              </w:rPr>
              <w:t>314,678</w:t>
            </w:r>
          </w:p>
        </w:tc>
        <w:tc>
          <w:tcPr>
            <w:tcW w:w="778" w:type="dxa"/>
          </w:tcPr>
          <w:p>
            <w:pPr>
              <w:pStyle w:val="TableParagraph"/>
              <w:ind w:left="176" w:right="43"/>
              <w:jc w:val="center"/>
              <w:rPr>
                <w:sz w:val="22"/>
              </w:rPr>
            </w:pPr>
            <w:r>
              <w:rPr>
                <w:sz w:val="22"/>
              </w:rPr>
              <w:t>1,817</w:t>
            </w:r>
          </w:p>
        </w:tc>
        <w:tc>
          <w:tcPr>
            <w:tcW w:w="1452" w:type="dxa"/>
          </w:tcPr>
          <w:p>
            <w:pPr>
              <w:pStyle w:val="TableParagraph"/>
              <w:rPr>
                <w:sz w:val="22"/>
              </w:rPr>
            </w:pPr>
            <w:r>
              <w:rPr>
                <w:sz w:val="22"/>
              </w:rPr>
              <w:t>197,677</w:t>
            </w:r>
          </w:p>
        </w:tc>
        <w:tc>
          <w:tcPr>
            <w:tcW w:w="1622" w:type="dxa"/>
          </w:tcPr>
          <w:p>
            <w:pPr>
              <w:pStyle w:val="TableParagraph"/>
              <w:ind w:right="63"/>
              <w:rPr>
                <w:sz w:val="22"/>
              </w:rPr>
            </w:pPr>
            <w:r>
              <w:rPr>
                <w:sz w:val="22"/>
              </w:rPr>
              <w:t>0,000409048</w:t>
            </w:r>
          </w:p>
        </w:tc>
      </w:tr>
      <w:tr>
        <w:trPr>
          <w:trHeight w:val="310" w:hRule="exact"/>
        </w:trPr>
        <w:tc>
          <w:tcPr>
            <w:tcW w:w="809" w:type="dxa"/>
          </w:tcPr>
          <w:p>
            <w:pPr>
              <w:pStyle w:val="TableParagraph"/>
              <w:ind w:right="1"/>
              <w:jc w:val="center"/>
              <w:rPr>
                <w:sz w:val="22"/>
              </w:rPr>
            </w:pPr>
            <w:r>
              <w:rPr>
                <w:w w:val="100"/>
                <w:sz w:val="22"/>
              </w:rPr>
              <w:t>3</w:t>
            </w:r>
          </w:p>
        </w:tc>
        <w:tc>
          <w:tcPr>
            <w:tcW w:w="778" w:type="dxa"/>
          </w:tcPr>
          <w:p>
            <w:pPr>
              <w:pStyle w:val="TableParagraph"/>
              <w:ind w:left="45" w:right="17"/>
              <w:jc w:val="center"/>
              <w:rPr>
                <w:sz w:val="22"/>
              </w:rPr>
            </w:pPr>
            <w:r>
              <w:rPr>
                <w:sz w:val="22"/>
              </w:rPr>
              <w:t>130,21</w:t>
            </w:r>
          </w:p>
        </w:tc>
        <w:tc>
          <w:tcPr>
            <w:tcW w:w="475" w:type="dxa"/>
          </w:tcPr>
          <w:p>
            <w:pPr>
              <w:pStyle w:val="TableParagraph"/>
              <w:ind w:left="158" w:right="44"/>
              <w:jc w:val="center"/>
              <w:rPr>
                <w:sz w:val="22"/>
              </w:rPr>
            </w:pPr>
            <w:r>
              <w:rPr>
                <w:sz w:val="22"/>
              </w:rPr>
              <w:t>77</w:t>
            </w:r>
          </w:p>
        </w:tc>
        <w:tc>
          <w:tcPr>
            <w:tcW w:w="778" w:type="dxa"/>
          </w:tcPr>
          <w:p>
            <w:pPr>
              <w:pStyle w:val="TableParagraph"/>
              <w:ind w:left="199" w:right="0"/>
              <w:jc w:val="left"/>
              <w:rPr>
                <w:sz w:val="22"/>
              </w:rPr>
            </w:pPr>
            <w:r>
              <w:rPr>
                <w:sz w:val="22"/>
              </w:rPr>
              <w:t>2,400</w:t>
            </w:r>
          </w:p>
        </w:tc>
        <w:tc>
          <w:tcPr>
            <w:tcW w:w="1183" w:type="dxa"/>
          </w:tcPr>
          <w:p>
            <w:pPr>
              <w:pStyle w:val="TableParagraph"/>
              <w:ind w:right="63"/>
              <w:rPr>
                <w:sz w:val="22"/>
              </w:rPr>
            </w:pPr>
            <w:r>
              <w:rPr>
                <w:sz w:val="22"/>
              </w:rPr>
              <w:t>2,300</w:t>
            </w:r>
          </w:p>
        </w:tc>
        <w:tc>
          <w:tcPr>
            <w:tcW w:w="1181" w:type="dxa"/>
          </w:tcPr>
          <w:p>
            <w:pPr>
              <w:pStyle w:val="TableParagraph"/>
              <w:rPr>
                <w:sz w:val="22"/>
              </w:rPr>
            </w:pPr>
            <w:r>
              <w:rPr>
                <w:sz w:val="22"/>
              </w:rPr>
              <w:t>312,504</w:t>
            </w:r>
          </w:p>
        </w:tc>
        <w:tc>
          <w:tcPr>
            <w:tcW w:w="778" w:type="dxa"/>
          </w:tcPr>
          <w:p>
            <w:pPr>
              <w:pStyle w:val="TableParagraph"/>
              <w:ind w:left="176" w:right="43"/>
              <w:jc w:val="center"/>
              <w:rPr>
                <w:sz w:val="22"/>
              </w:rPr>
            </w:pPr>
            <w:r>
              <w:rPr>
                <w:sz w:val="22"/>
              </w:rPr>
              <w:t>1,517</w:t>
            </w:r>
          </w:p>
        </w:tc>
        <w:tc>
          <w:tcPr>
            <w:tcW w:w="1452" w:type="dxa"/>
          </w:tcPr>
          <w:p>
            <w:pPr>
              <w:pStyle w:val="TableParagraph"/>
              <w:rPr>
                <w:sz w:val="22"/>
              </w:rPr>
            </w:pPr>
            <w:r>
              <w:rPr>
                <w:sz w:val="22"/>
              </w:rPr>
              <w:t>209,998</w:t>
            </w:r>
          </w:p>
        </w:tc>
        <w:tc>
          <w:tcPr>
            <w:tcW w:w="1622" w:type="dxa"/>
          </w:tcPr>
          <w:p>
            <w:pPr>
              <w:pStyle w:val="TableParagraph"/>
              <w:ind w:right="63"/>
              <w:rPr>
                <w:sz w:val="22"/>
              </w:rPr>
            </w:pPr>
            <w:r>
              <w:rPr>
                <w:sz w:val="22"/>
              </w:rPr>
              <w:t>0,000434544</w:t>
            </w:r>
          </w:p>
        </w:tc>
      </w:tr>
      <w:tr>
        <w:trPr>
          <w:trHeight w:val="310" w:hRule="exact"/>
        </w:trPr>
        <w:tc>
          <w:tcPr>
            <w:tcW w:w="809" w:type="dxa"/>
          </w:tcPr>
          <w:p>
            <w:pPr>
              <w:pStyle w:val="TableParagraph"/>
              <w:ind w:right="1"/>
              <w:jc w:val="center"/>
              <w:rPr>
                <w:sz w:val="22"/>
              </w:rPr>
            </w:pPr>
            <w:r>
              <w:rPr>
                <w:w w:val="100"/>
                <w:sz w:val="22"/>
              </w:rPr>
              <w:t>4</w:t>
            </w:r>
          </w:p>
        </w:tc>
        <w:tc>
          <w:tcPr>
            <w:tcW w:w="778" w:type="dxa"/>
          </w:tcPr>
          <w:p>
            <w:pPr>
              <w:pStyle w:val="TableParagraph"/>
              <w:ind w:left="45" w:right="17"/>
              <w:jc w:val="center"/>
              <w:rPr>
                <w:sz w:val="22"/>
              </w:rPr>
            </w:pPr>
            <w:r>
              <w:rPr>
                <w:sz w:val="22"/>
              </w:rPr>
              <w:t>155,12</w:t>
            </w:r>
          </w:p>
        </w:tc>
        <w:tc>
          <w:tcPr>
            <w:tcW w:w="475" w:type="dxa"/>
          </w:tcPr>
          <w:p>
            <w:pPr>
              <w:pStyle w:val="TableParagraph"/>
              <w:ind w:left="158" w:right="44"/>
              <w:jc w:val="center"/>
              <w:rPr>
                <w:sz w:val="22"/>
              </w:rPr>
            </w:pPr>
            <w:r>
              <w:rPr>
                <w:sz w:val="22"/>
              </w:rPr>
              <w:t>92</w:t>
            </w:r>
          </w:p>
        </w:tc>
        <w:tc>
          <w:tcPr>
            <w:tcW w:w="778" w:type="dxa"/>
          </w:tcPr>
          <w:p>
            <w:pPr>
              <w:pStyle w:val="TableParagraph"/>
              <w:ind w:left="199" w:right="0"/>
              <w:jc w:val="left"/>
              <w:rPr>
                <w:sz w:val="22"/>
              </w:rPr>
            </w:pPr>
            <w:r>
              <w:rPr>
                <w:sz w:val="22"/>
              </w:rPr>
              <w:t>3,800</w:t>
            </w:r>
          </w:p>
        </w:tc>
        <w:tc>
          <w:tcPr>
            <w:tcW w:w="1183" w:type="dxa"/>
          </w:tcPr>
          <w:p>
            <w:pPr>
              <w:pStyle w:val="TableParagraph"/>
              <w:ind w:right="63"/>
              <w:rPr>
                <w:sz w:val="22"/>
              </w:rPr>
            </w:pPr>
            <w:r>
              <w:rPr>
                <w:sz w:val="22"/>
              </w:rPr>
              <w:t>2,700</w:t>
            </w:r>
          </w:p>
        </w:tc>
        <w:tc>
          <w:tcPr>
            <w:tcW w:w="1181" w:type="dxa"/>
          </w:tcPr>
          <w:p>
            <w:pPr>
              <w:pStyle w:val="TableParagraph"/>
              <w:rPr>
                <w:sz w:val="22"/>
              </w:rPr>
            </w:pPr>
            <w:r>
              <w:rPr>
                <w:sz w:val="22"/>
              </w:rPr>
              <w:t>589,456</w:t>
            </w:r>
          </w:p>
        </w:tc>
        <w:tc>
          <w:tcPr>
            <w:tcW w:w="778" w:type="dxa"/>
          </w:tcPr>
          <w:p>
            <w:pPr>
              <w:pStyle w:val="TableParagraph"/>
              <w:ind w:left="176" w:right="43"/>
              <w:jc w:val="center"/>
              <w:rPr>
                <w:sz w:val="22"/>
              </w:rPr>
            </w:pPr>
            <w:r>
              <w:rPr>
                <w:sz w:val="22"/>
              </w:rPr>
              <w:t>1,643</w:t>
            </w:r>
          </w:p>
        </w:tc>
        <w:tc>
          <w:tcPr>
            <w:tcW w:w="1452" w:type="dxa"/>
          </w:tcPr>
          <w:p>
            <w:pPr>
              <w:pStyle w:val="TableParagraph"/>
              <w:rPr>
                <w:sz w:val="22"/>
              </w:rPr>
            </w:pPr>
            <w:r>
              <w:rPr>
                <w:sz w:val="22"/>
              </w:rPr>
              <w:t>288,811</w:t>
            </w:r>
          </w:p>
        </w:tc>
        <w:tc>
          <w:tcPr>
            <w:tcW w:w="1622" w:type="dxa"/>
          </w:tcPr>
          <w:p>
            <w:pPr>
              <w:pStyle w:val="TableParagraph"/>
              <w:ind w:right="63"/>
              <w:rPr>
                <w:sz w:val="22"/>
              </w:rPr>
            </w:pPr>
            <w:r>
              <w:rPr>
                <w:sz w:val="22"/>
              </w:rPr>
              <w:t>0,000597629</w:t>
            </w:r>
          </w:p>
        </w:tc>
      </w:tr>
      <w:tr>
        <w:trPr>
          <w:trHeight w:val="310" w:hRule="exact"/>
        </w:trPr>
        <w:tc>
          <w:tcPr>
            <w:tcW w:w="809" w:type="dxa"/>
          </w:tcPr>
          <w:p>
            <w:pPr>
              <w:pStyle w:val="TableParagraph"/>
              <w:ind w:right="1"/>
              <w:jc w:val="center"/>
              <w:rPr>
                <w:sz w:val="22"/>
              </w:rPr>
            </w:pPr>
            <w:r>
              <w:rPr>
                <w:w w:val="100"/>
                <w:sz w:val="22"/>
              </w:rPr>
              <w:t>5</w:t>
            </w:r>
          </w:p>
        </w:tc>
        <w:tc>
          <w:tcPr>
            <w:tcW w:w="778" w:type="dxa"/>
          </w:tcPr>
          <w:p>
            <w:pPr>
              <w:pStyle w:val="TableParagraph"/>
              <w:ind w:left="45" w:right="17"/>
              <w:jc w:val="center"/>
              <w:rPr>
                <w:sz w:val="22"/>
              </w:rPr>
            </w:pPr>
            <w:r>
              <w:rPr>
                <w:sz w:val="22"/>
              </w:rPr>
              <w:t>180,21</w:t>
            </w:r>
          </w:p>
        </w:tc>
        <w:tc>
          <w:tcPr>
            <w:tcW w:w="475" w:type="dxa"/>
          </w:tcPr>
          <w:p>
            <w:pPr>
              <w:pStyle w:val="TableParagraph"/>
              <w:ind w:left="47" w:right="44"/>
              <w:jc w:val="center"/>
              <w:rPr>
                <w:sz w:val="22"/>
              </w:rPr>
            </w:pPr>
            <w:r>
              <w:rPr>
                <w:sz w:val="22"/>
              </w:rPr>
              <w:t>132</w:t>
            </w:r>
          </w:p>
        </w:tc>
        <w:tc>
          <w:tcPr>
            <w:tcW w:w="778" w:type="dxa"/>
          </w:tcPr>
          <w:p>
            <w:pPr>
              <w:pStyle w:val="TableParagraph"/>
              <w:ind w:left="199" w:right="0"/>
              <w:jc w:val="left"/>
              <w:rPr>
                <w:sz w:val="22"/>
              </w:rPr>
            </w:pPr>
            <w:r>
              <w:rPr>
                <w:sz w:val="22"/>
              </w:rPr>
              <w:t>6,833</w:t>
            </w:r>
          </w:p>
        </w:tc>
        <w:tc>
          <w:tcPr>
            <w:tcW w:w="1183" w:type="dxa"/>
          </w:tcPr>
          <w:p>
            <w:pPr>
              <w:pStyle w:val="TableParagraph"/>
              <w:ind w:right="63"/>
              <w:rPr>
                <w:sz w:val="22"/>
              </w:rPr>
            </w:pPr>
            <w:r>
              <w:rPr>
                <w:sz w:val="22"/>
              </w:rPr>
              <w:t>2,167</w:t>
            </w:r>
          </w:p>
        </w:tc>
        <w:tc>
          <w:tcPr>
            <w:tcW w:w="1181" w:type="dxa"/>
          </w:tcPr>
          <w:p>
            <w:pPr>
              <w:pStyle w:val="TableParagraph"/>
              <w:rPr>
                <w:sz w:val="22"/>
              </w:rPr>
            </w:pPr>
            <w:r>
              <w:rPr>
                <w:sz w:val="22"/>
              </w:rPr>
              <w:t>1231,435</w:t>
            </w:r>
          </w:p>
        </w:tc>
        <w:tc>
          <w:tcPr>
            <w:tcW w:w="778" w:type="dxa"/>
          </w:tcPr>
          <w:p>
            <w:pPr>
              <w:pStyle w:val="TableParagraph"/>
              <w:ind w:left="176" w:right="43"/>
              <w:jc w:val="center"/>
              <w:rPr>
                <w:sz w:val="22"/>
              </w:rPr>
            </w:pPr>
            <w:r>
              <w:rPr>
                <w:sz w:val="22"/>
              </w:rPr>
              <w:t>1,472</w:t>
            </w:r>
          </w:p>
        </w:tc>
        <w:tc>
          <w:tcPr>
            <w:tcW w:w="1452" w:type="dxa"/>
          </w:tcPr>
          <w:p>
            <w:pPr>
              <w:pStyle w:val="TableParagraph"/>
              <w:rPr>
                <w:sz w:val="22"/>
              </w:rPr>
            </w:pPr>
            <w:r>
              <w:rPr>
                <w:sz w:val="22"/>
              </w:rPr>
              <w:t>142,443</w:t>
            </w:r>
          </w:p>
        </w:tc>
        <w:tc>
          <w:tcPr>
            <w:tcW w:w="1622" w:type="dxa"/>
          </w:tcPr>
          <w:p>
            <w:pPr>
              <w:pStyle w:val="TableParagraph"/>
              <w:ind w:right="63"/>
              <w:rPr>
                <w:sz w:val="22"/>
              </w:rPr>
            </w:pPr>
            <w:r>
              <w:rPr>
                <w:sz w:val="22"/>
              </w:rPr>
              <w:t>0,000294754</w:t>
            </w:r>
          </w:p>
        </w:tc>
      </w:tr>
      <w:tr>
        <w:trPr>
          <w:trHeight w:val="310" w:hRule="exact"/>
        </w:trPr>
        <w:tc>
          <w:tcPr>
            <w:tcW w:w="809" w:type="dxa"/>
          </w:tcPr>
          <w:p>
            <w:pPr>
              <w:pStyle w:val="TableParagraph"/>
              <w:spacing w:before="30"/>
              <w:ind w:right="0"/>
              <w:jc w:val="center"/>
              <w:rPr>
                <w:sz w:val="22"/>
              </w:rPr>
            </w:pPr>
            <w:r>
              <w:rPr>
                <w:w w:val="100"/>
                <w:sz w:val="22"/>
              </w:rPr>
              <w:t>N</w:t>
            </w:r>
          </w:p>
        </w:tc>
        <w:tc>
          <w:tcPr>
            <w:tcW w:w="778" w:type="dxa"/>
          </w:tcPr>
          <w:p>
            <w:pPr>
              <w:pStyle w:val="TableParagraph"/>
              <w:spacing w:before="30"/>
              <w:ind w:left="45" w:right="18"/>
              <w:jc w:val="center"/>
              <w:rPr>
                <w:sz w:val="22"/>
              </w:rPr>
            </w:pPr>
            <w:r>
              <w:rPr>
                <w:sz w:val="22"/>
              </w:rPr>
              <w:t>695,17</w:t>
            </w:r>
          </w:p>
        </w:tc>
        <w:tc>
          <w:tcPr>
            <w:tcW w:w="475" w:type="dxa"/>
          </w:tcPr>
          <w:p>
            <w:pPr/>
          </w:p>
        </w:tc>
        <w:tc>
          <w:tcPr>
            <w:tcW w:w="778" w:type="dxa"/>
          </w:tcPr>
          <w:p>
            <w:pPr/>
          </w:p>
        </w:tc>
        <w:tc>
          <w:tcPr>
            <w:tcW w:w="1183" w:type="dxa"/>
          </w:tcPr>
          <w:p>
            <w:pPr>
              <w:pStyle w:val="TableParagraph"/>
              <w:spacing w:before="18"/>
              <w:ind w:left="395" w:right="408"/>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81" w:type="dxa"/>
          </w:tcPr>
          <w:p>
            <w:pPr>
              <w:pStyle w:val="TableParagraph"/>
              <w:spacing w:before="30"/>
              <w:rPr>
                <w:sz w:val="22"/>
              </w:rPr>
            </w:pPr>
            <w:r>
              <w:rPr>
                <w:sz w:val="22"/>
              </w:rPr>
              <w:t>2665,273</w:t>
            </w:r>
          </w:p>
        </w:tc>
        <w:tc>
          <w:tcPr>
            <w:tcW w:w="778" w:type="dxa"/>
          </w:tcPr>
          <w:p>
            <w:pPr/>
          </w:p>
        </w:tc>
        <w:tc>
          <w:tcPr>
            <w:tcW w:w="1452" w:type="dxa"/>
          </w:tcPr>
          <w:p>
            <w:pPr>
              <w:pStyle w:val="TableParagraph"/>
              <w:spacing w:before="30"/>
              <w:rPr>
                <w:sz w:val="22"/>
              </w:rPr>
            </w:pPr>
            <w:r>
              <w:rPr>
                <w:sz w:val="22"/>
              </w:rPr>
              <w:t>820,674</w:t>
            </w:r>
          </w:p>
        </w:tc>
        <w:tc>
          <w:tcPr>
            <w:tcW w:w="1622" w:type="dxa"/>
          </w:tcPr>
          <w:p>
            <w:pPr>
              <w:pStyle w:val="TableParagraph"/>
              <w:spacing w:before="30"/>
              <w:ind w:right="63"/>
              <w:rPr>
                <w:sz w:val="22"/>
              </w:rPr>
            </w:pPr>
            <w:r>
              <w:rPr>
                <w:sz w:val="22"/>
              </w:rPr>
              <w:t>0,0016982</w:t>
            </w:r>
          </w:p>
        </w:tc>
      </w:tr>
      <w:tr>
        <w:trPr>
          <w:trHeight w:val="312" w:hRule="exact"/>
        </w:trPr>
        <w:tc>
          <w:tcPr>
            <w:tcW w:w="5203" w:type="dxa"/>
            <w:gridSpan w:val="6"/>
            <w:vMerge w:val="restart"/>
            <w:tcBorders>
              <w:left w:val="nil"/>
            </w:tcBorders>
          </w:tcPr>
          <w:p>
            <w:pPr/>
          </w:p>
        </w:tc>
        <w:tc>
          <w:tcPr>
            <w:tcW w:w="2230" w:type="dxa"/>
            <w:gridSpan w:val="2"/>
          </w:tcPr>
          <w:p>
            <w:pPr>
              <w:pStyle w:val="TableParagraph"/>
              <w:spacing w:before="13"/>
              <w:ind w:left="64" w:right="15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22" w:type="dxa"/>
          </w:tcPr>
          <w:p>
            <w:pPr>
              <w:pStyle w:val="TableParagraph"/>
              <w:spacing w:before="30"/>
              <w:ind w:right="63"/>
              <w:rPr>
                <w:b/>
                <w:sz w:val="22"/>
              </w:rPr>
            </w:pPr>
            <w:r>
              <w:rPr>
                <w:b/>
                <w:sz w:val="22"/>
              </w:rPr>
              <w:t>3,834</w:t>
            </w:r>
          </w:p>
        </w:tc>
      </w:tr>
      <w:tr>
        <w:trPr>
          <w:trHeight w:val="310" w:hRule="exact"/>
        </w:trPr>
        <w:tc>
          <w:tcPr>
            <w:tcW w:w="5203" w:type="dxa"/>
            <w:gridSpan w:val="6"/>
            <w:vMerge/>
            <w:tcBorders>
              <w:left w:val="nil"/>
            </w:tcBorders>
          </w:tcPr>
          <w:p>
            <w:pPr/>
          </w:p>
        </w:tc>
        <w:tc>
          <w:tcPr>
            <w:tcW w:w="2230" w:type="dxa"/>
            <w:gridSpan w:val="2"/>
          </w:tcPr>
          <w:p>
            <w:pPr>
              <w:pStyle w:val="TableParagraph"/>
              <w:spacing w:before="11"/>
              <w:ind w:left="64" w:right="153"/>
              <w:jc w:val="left"/>
              <w:rPr>
                <w:sz w:val="22"/>
              </w:rPr>
            </w:pPr>
            <w:r>
              <w:rPr>
                <w:sz w:val="22"/>
              </w:rPr>
              <w:t>Desviación estándar</w:t>
            </w:r>
          </w:p>
        </w:tc>
        <w:tc>
          <w:tcPr>
            <w:tcW w:w="1622" w:type="dxa"/>
          </w:tcPr>
          <w:p>
            <w:pPr>
              <w:pStyle w:val="TableParagraph"/>
              <w:ind w:right="63"/>
              <w:rPr>
                <w:b/>
                <w:sz w:val="22"/>
              </w:rPr>
            </w:pPr>
            <w:r>
              <w:rPr>
                <w:b/>
                <w:sz w:val="22"/>
              </w:rPr>
              <w:t>0,041</w:t>
            </w:r>
          </w:p>
        </w:tc>
      </w:tr>
      <w:tr>
        <w:trPr>
          <w:trHeight w:val="310" w:hRule="exact"/>
        </w:trPr>
        <w:tc>
          <w:tcPr>
            <w:tcW w:w="5203" w:type="dxa"/>
            <w:gridSpan w:val="6"/>
            <w:vMerge/>
            <w:tcBorders>
              <w:left w:val="nil"/>
            </w:tcBorders>
          </w:tcPr>
          <w:p>
            <w:pPr/>
          </w:p>
        </w:tc>
        <w:tc>
          <w:tcPr>
            <w:tcW w:w="2230" w:type="dxa"/>
            <w:gridSpan w:val="2"/>
            <w:vMerge w:val="restart"/>
          </w:tcPr>
          <w:p>
            <w:pPr>
              <w:pStyle w:val="TableParagraph"/>
              <w:spacing w:before="33"/>
              <w:ind w:left="64" w:right="153"/>
              <w:jc w:val="left"/>
              <w:rPr>
                <w:sz w:val="22"/>
              </w:rPr>
            </w:pPr>
            <w:r>
              <w:rPr>
                <w:sz w:val="22"/>
              </w:rPr>
              <w:t>Intervalo de confianza al 95 %</w:t>
            </w:r>
          </w:p>
        </w:tc>
        <w:tc>
          <w:tcPr>
            <w:tcW w:w="1622" w:type="dxa"/>
          </w:tcPr>
          <w:p>
            <w:pPr>
              <w:pStyle w:val="TableParagraph"/>
              <w:ind w:right="63"/>
              <w:rPr>
                <w:sz w:val="22"/>
              </w:rPr>
            </w:pPr>
            <w:r>
              <w:rPr>
                <w:sz w:val="22"/>
              </w:rPr>
              <w:t>3,75</w:t>
            </w:r>
          </w:p>
        </w:tc>
      </w:tr>
      <w:tr>
        <w:trPr>
          <w:trHeight w:val="310" w:hRule="exact"/>
        </w:trPr>
        <w:tc>
          <w:tcPr>
            <w:tcW w:w="5203" w:type="dxa"/>
            <w:gridSpan w:val="6"/>
            <w:vMerge/>
            <w:tcBorders>
              <w:left w:val="nil"/>
              <w:bottom w:val="nil"/>
            </w:tcBorders>
          </w:tcPr>
          <w:p>
            <w:pPr/>
          </w:p>
        </w:tc>
        <w:tc>
          <w:tcPr>
            <w:tcW w:w="2230" w:type="dxa"/>
            <w:gridSpan w:val="2"/>
            <w:vMerge/>
          </w:tcPr>
          <w:p>
            <w:pPr/>
          </w:p>
        </w:tc>
        <w:tc>
          <w:tcPr>
            <w:tcW w:w="1622" w:type="dxa"/>
          </w:tcPr>
          <w:p>
            <w:pPr>
              <w:pStyle w:val="TableParagraph"/>
              <w:ind w:right="63"/>
              <w:rPr>
                <w:sz w:val="22"/>
              </w:rPr>
            </w:pPr>
            <w:r>
              <w:rPr>
                <w:sz w:val="22"/>
              </w:rPr>
              <w:t>3,91</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9"/>
        <w:gridCol w:w="778"/>
        <w:gridCol w:w="475"/>
        <w:gridCol w:w="778"/>
        <w:gridCol w:w="1183"/>
        <w:gridCol w:w="1181"/>
        <w:gridCol w:w="778"/>
        <w:gridCol w:w="1452"/>
        <w:gridCol w:w="1622"/>
      </w:tblGrid>
      <w:tr>
        <w:trPr>
          <w:trHeight w:val="310" w:hRule="exact"/>
        </w:trPr>
        <w:tc>
          <w:tcPr>
            <w:tcW w:w="9055" w:type="dxa"/>
            <w:gridSpan w:val="9"/>
          </w:tcPr>
          <w:p>
            <w:pPr>
              <w:pStyle w:val="TableParagraph"/>
              <w:spacing w:before="30"/>
              <w:ind w:left="3547" w:right="3547"/>
              <w:jc w:val="center"/>
              <w:rPr>
                <w:sz w:val="22"/>
              </w:rPr>
            </w:pPr>
            <w:r>
              <w:rPr>
                <w:sz w:val="22"/>
              </w:rPr>
              <w:t>Punto de muestreo G</w:t>
            </w:r>
          </w:p>
        </w:tc>
      </w:tr>
      <w:tr>
        <w:trPr>
          <w:trHeight w:val="312" w:hRule="exact"/>
        </w:trPr>
        <w:tc>
          <w:tcPr>
            <w:tcW w:w="809" w:type="dxa"/>
          </w:tcPr>
          <w:p>
            <w:pPr>
              <w:pStyle w:val="TableParagraph"/>
              <w:spacing w:before="13"/>
              <w:ind w:left="42" w:right="43"/>
              <w:jc w:val="center"/>
              <w:rPr>
                <w:sz w:val="22"/>
              </w:rPr>
            </w:pPr>
            <w:r>
              <w:rPr>
                <w:sz w:val="22"/>
              </w:rPr>
              <w:t>Estrato</w:t>
            </w:r>
          </w:p>
        </w:tc>
        <w:tc>
          <w:tcPr>
            <w:tcW w:w="778"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778" w:type="dxa"/>
          </w:tcPr>
          <w:p>
            <w:pPr>
              <w:pStyle w:val="TableParagraph"/>
              <w:spacing w:before="43"/>
              <w:ind w:left="30" w:right="43"/>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83" w:type="dxa"/>
          </w:tcPr>
          <w:p>
            <w:pPr>
              <w:pStyle w:val="TableParagraph"/>
              <w:spacing w:line="214" w:lineRule="exact" w:before="8"/>
              <w:ind w:left="395" w:right="40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81" w:type="dxa"/>
          </w:tcPr>
          <w:p>
            <w:pPr>
              <w:pStyle w:val="TableParagraph"/>
              <w:spacing w:before="19"/>
              <w:ind w:left="468" w:right="476"/>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78" w:type="dxa"/>
          </w:tcPr>
          <w:p>
            <w:pPr>
              <w:pStyle w:val="TableParagraph"/>
              <w:spacing w:before="43"/>
              <w:ind w:left="32" w:right="43"/>
              <w:jc w:val="center"/>
              <w:rPr>
                <w:rFonts w:ascii="Cambria Math"/>
                <w:sz w:val="16"/>
              </w:rPr>
            </w:pPr>
            <w:r>
              <w:rPr>
                <w:rFonts w:ascii="Cambria Math"/>
                <w:w w:val="110"/>
                <w:sz w:val="22"/>
              </w:rPr>
              <w:t>s</w:t>
            </w:r>
            <w:r>
              <w:rPr>
                <w:rFonts w:ascii="Cambria Math"/>
                <w:w w:val="110"/>
                <w:position w:val="-4"/>
                <w:sz w:val="16"/>
              </w:rPr>
              <w:t>h</w:t>
            </w:r>
          </w:p>
        </w:tc>
        <w:tc>
          <w:tcPr>
            <w:tcW w:w="1452" w:type="dxa"/>
          </w:tcPr>
          <w:p>
            <w:pPr>
              <w:pStyle w:val="TableParagraph"/>
              <w:spacing w:before="3"/>
              <w:ind w:left="39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22" w:type="dxa"/>
          </w:tcPr>
          <w:p>
            <w:pPr>
              <w:pStyle w:val="TableParagraph"/>
              <w:spacing w:before="3"/>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09" w:type="dxa"/>
          </w:tcPr>
          <w:p>
            <w:pPr>
              <w:pStyle w:val="TableParagraph"/>
              <w:ind w:right="1"/>
              <w:jc w:val="center"/>
              <w:rPr>
                <w:sz w:val="22"/>
              </w:rPr>
            </w:pPr>
            <w:r>
              <w:rPr>
                <w:w w:val="100"/>
                <w:sz w:val="22"/>
              </w:rPr>
              <w:t>1</w:t>
            </w:r>
          </w:p>
        </w:tc>
        <w:tc>
          <w:tcPr>
            <w:tcW w:w="778" w:type="dxa"/>
          </w:tcPr>
          <w:p>
            <w:pPr>
              <w:pStyle w:val="TableParagraph"/>
              <w:ind w:left="45" w:right="17"/>
              <w:jc w:val="center"/>
              <w:rPr>
                <w:sz w:val="22"/>
              </w:rPr>
            </w:pPr>
            <w:r>
              <w:rPr>
                <w:sz w:val="22"/>
              </w:rPr>
              <w:t>108,60</w:t>
            </w:r>
          </w:p>
        </w:tc>
        <w:tc>
          <w:tcPr>
            <w:tcW w:w="475" w:type="dxa"/>
          </w:tcPr>
          <w:p>
            <w:pPr>
              <w:pStyle w:val="TableParagraph"/>
              <w:ind w:left="47" w:right="44"/>
              <w:jc w:val="center"/>
              <w:rPr>
                <w:sz w:val="22"/>
              </w:rPr>
            </w:pPr>
            <w:r>
              <w:rPr>
                <w:sz w:val="22"/>
              </w:rPr>
              <w:t>108</w:t>
            </w:r>
          </w:p>
        </w:tc>
        <w:tc>
          <w:tcPr>
            <w:tcW w:w="778" w:type="dxa"/>
          </w:tcPr>
          <w:p>
            <w:pPr>
              <w:pStyle w:val="TableParagraph"/>
              <w:ind w:left="45" w:right="22"/>
              <w:jc w:val="center"/>
              <w:rPr>
                <w:sz w:val="22"/>
              </w:rPr>
            </w:pPr>
            <w:r>
              <w:rPr>
                <w:sz w:val="22"/>
              </w:rPr>
              <w:t>151,40</w:t>
            </w:r>
          </w:p>
        </w:tc>
        <w:tc>
          <w:tcPr>
            <w:tcW w:w="1183" w:type="dxa"/>
          </w:tcPr>
          <w:p>
            <w:pPr>
              <w:pStyle w:val="TableParagraph"/>
              <w:ind w:right="63"/>
              <w:rPr>
                <w:sz w:val="22"/>
              </w:rPr>
            </w:pPr>
            <w:r>
              <w:rPr>
                <w:sz w:val="22"/>
              </w:rPr>
              <w:t>18897,30</w:t>
            </w:r>
          </w:p>
        </w:tc>
        <w:tc>
          <w:tcPr>
            <w:tcW w:w="1181" w:type="dxa"/>
          </w:tcPr>
          <w:p>
            <w:pPr>
              <w:pStyle w:val="TableParagraph"/>
              <w:rPr>
                <w:sz w:val="22"/>
              </w:rPr>
            </w:pPr>
            <w:r>
              <w:rPr>
                <w:sz w:val="22"/>
              </w:rPr>
              <w:t>16442,04</w:t>
            </w:r>
          </w:p>
        </w:tc>
        <w:tc>
          <w:tcPr>
            <w:tcW w:w="778" w:type="dxa"/>
          </w:tcPr>
          <w:p>
            <w:pPr>
              <w:pStyle w:val="TableParagraph"/>
              <w:ind w:left="45" w:right="22"/>
              <w:jc w:val="center"/>
              <w:rPr>
                <w:sz w:val="22"/>
              </w:rPr>
            </w:pPr>
            <w:r>
              <w:rPr>
                <w:sz w:val="22"/>
              </w:rPr>
              <w:t>137,47</w:t>
            </w:r>
          </w:p>
        </w:tc>
        <w:tc>
          <w:tcPr>
            <w:tcW w:w="1452" w:type="dxa"/>
          </w:tcPr>
          <w:p>
            <w:pPr>
              <w:pStyle w:val="TableParagraph"/>
              <w:rPr>
                <w:sz w:val="22"/>
              </w:rPr>
            </w:pPr>
            <w:r>
              <w:rPr>
                <w:sz w:val="22"/>
              </w:rPr>
              <w:t>-689936,26</w:t>
            </w:r>
          </w:p>
        </w:tc>
        <w:tc>
          <w:tcPr>
            <w:tcW w:w="1622" w:type="dxa"/>
          </w:tcPr>
          <w:p>
            <w:pPr>
              <w:pStyle w:val="TableParagraph"/>
              <w:ind w:right="63"/>
              <w:rPr>
                <w:sz w:val="22"/>
              </w:rPr>
            </w:pPr>
            <w:r>
              <w:rPr>
                <w:sz w:val="22"/>
              </w:rPr>
              <w:t>-1,427667027</w:t>
            </w:r>
          </w:p>
        </w:tc>
      </w:tr>
      <w:tr>
        <w:trPr>
          <w:trHeight w:val="310" w:hRule="exact"/>
        </w:trPr>
        <w:tc>
          <w:tcPr>
            <w:tcW w:w="809" w:type="dxa"/>
          </w:tcPr>
          <w:p>
            <w:pPr>
              <w:pStyle w:val="TableParagraph"/>
              <w:ind w:right="1"/>
              <w:jc w:val="center"/>
              <w:rPr>
                <w:sz w:val="22"/>
              </w:rPr>
            </w:pPr>
            <w:r>
              <w:rPr>
                <w:w w:val="100"/>
                <w:sz w:val="22"/>
              </w:rPr>
              <w:t>2</w:t>
            </w:r>
          </w:p>
        </w:tc>
        <w:tc>
          <w:tcPr>
            <w:tcW w:w="778" w:type="dxa"/>
          </w:tcPr>
          <w:p>
            <w:pPr>
              <w:pStyle w:val="TableParagraph"/>
              <w:ind w:left="45" w:right="17"/>
              <w:jc w:val="center"/>
              <w:rPr>
                <w:sz w:val="22"/>
              </w:rPr>
            </w:pPr>
            <w:r>
              <w:rPr>
                <w:sz w:val="22"/>
              </w:rPr>
              <w:t>121,03</w:t>
            </w:r>
          </w:p>
        </w:tc>
        <w:tc>
          <w:tcPr>
            <w:tcW w:w="475" w:type="dxa"/>
          </w:tcPr>
          <w:p>
            <w:pPr>
              <w:pStyle w:val="TableParagraph"/>
              <w:ind w:left="158" w:right="44"/>
              <w:jc w:val="center"/>
              <w:rPr>
                <w:sz w:val="22"/>
              </w:rPr>
            </w:pPr>
            <w:r>
              <w:rPr>
                <w:sz w:val="22"/>
              </w:rPr>
              <w:t>81</w:t>
            </w:r>
          </w:p>
        </w:tc>
        <w:tc>
          <w:tcPr>
            <w:tcW w:w="778" w:type="dxa"/>
          </w:tcPr>
          <w:p>
            <w:pPr>
              <w:pStyle w:val="TableParagraph"/>
              <w:ind w:left="45" w:right="22"/>
              <w:jc w:val="center"/>
              <w:rPr>
                <w:sz w:val="22"/>
              </w:rPr>
            </w:pPr>
            <w:r>
              <w:rPr>
                <w:sz w:val="22"/>
              </w:rPr>
              <w:t>295,00</w:t>
            </w:r>
          </w:p>
        </w:tc>
        <w:tc>
          <w:tcPr>
            <w:tcW w:w="1183" w:type="dxa"/>
          </w:tcPr>
          <w:p>
            <w:pPr>
              <w:pStyle w:val="TableParagraph"/>
              <w:ind w:right="63"/>
              <w:rPr>
                <w:sz w:val="22"/>
              </w:rPr>
            </w:pPr>
            <w:r>
              <w:rPr>
                <w:sz w:val="22"/>
              </w:rPr>
              <w:t>17121,00</w:t>
            </w:r>
          </w:p>
        </w:tc>
        <w:tc>
          <w:tcPr>
            <w:tcW w:w="1181" w:type="dxa"/>
          </w:tcPr>
          <w:p>
            <w:pPr>
              <w:pStyle w:val="TableParagraph"/>
              <w:rPr>
                <w:sz w:val="22"/>
              </w:rPr>
            </w:pPr>
            <w:r>
              <w:rPr>
                <w:sz w:val="22"/>
              </w:rPr>
              <w:t>35703,85</w:t>
            </w:r>
          </w:p>
        </w:tc>
        <w:tc>
          <w:tcPr>
            <w:tcW w:w="778" w:type="dxa"/>
          </w:tcPr>
          <w:p>
            <w:pPr>
              <w:pStyle w:val="TableParagraph"/>
              <w:ind w:left="45" w:right="22"/>
              <w:jc w:val="center"/>
              <w:rPr>
                <w:sz w:val="22"/>
              </w:rPr>
            </w:pPr>
            <w:r>
              <w:rPr>
                <w:sz w:val="22"/>
              </w:rPr>
              <w:t>130,85</w:t>
            </w:r>
          </w:p>
        </w:tc>
        <w:tc>
          <w:tcPr>
            <w:tcW w:w="1452" w:type="dxa"/>
          </w:tcPr>
          <w:p>
            <w:pPr>
              <w:pStyle w:val="TableParagraph"/>
              <w:rPr>
                <w:sz w:val="22"/>
              </w:rPr>
            </w:pPr>
            <w:r>
              <w:rPr>
                <w:sz w:val="22"/>
              </w:rPr>
              <w:t>1025583,45</w:t>
            </w:r>
          </w:p>
        </w:tc>
        <w:tc>
          <w:tcPr>
            <w:tcW w:w="1622" w:type="dxa"/>
          </w:tcPr>
          <w:p>
            <w:pPr>
              <w:pStyle w:val="TableParagraph"/>
              <w:ind w:right="63"/>
              <w:rPr>
                <w:sz w:val="22"/>
              </w:rPr>
            </w:pPr>
            <w:r>
              <w:rPr>
                <w:sz w:val="22"/>
              </w:rPr>
              <w:t>2,122212947</w:t>
            </w:r>
          </w:p>
        </w:tc>
      </w:tr>
      <w:tr>
        <w:trPr>
          <w:trHeight w:val="310" w:hRule="exact"/>
        </w:trPr>
        <w:tc>
          <w:tcPr>
            <w:tcW w:w="809" w:type="dxa"/>
          </w:tcPr>
          <w:p>
            <w:pPr>
              <w:pStyle w:val="TableParagraph"/>
              <w:ind w:right="1"/>
              <w:jc w:val="center"/>
              <w:rPr>
                <w:sz w:val="22"/>
              </w:rPr>
            </w:pPr>
            <w:r>
              <w:rPr>
                <w:w w:val="100"/>
                <w:sz w:val="22"/>
              </w:rPr>
              <w:t>3</w:t>
            </w:r>
          </w:p>
        </w:tc>
        <w:tc>
          <w:tcPr>
            <w:tcW w:w="778" w:type="dxa"/>
          </w:tcPr>
          <w:p>
            <w:pPr>
              <w:pStyle w:val="TableParagraph"/>
              <w:ind w:left="45" w:right="17"/>
              <w:jc w:val="center"/>
              <w:rPr>
                <w:sz w:val="22"/>
              </w:rPr>
            </w:pPr>
            <w:r>
              <w:rPr>
                <w:sz w:val="22"/>
              </w:rPr>
              <w:t>130,21</w:t>
            </w:r>
          </w:p>
        </w:tc>
        <w:tc>
          <w:tcPr>
            <w:tcW w:w="475" w:type="dxa"/>
          </w:tcPr>
          <w:p>
            <w:pPr>
              <w:pStyle w:val="TableParagraph"/>
              <w:ind w:left="158" w:right="44"/>
              <w:jc w:val="center"/>
              <w:rPr>
                <w:sz w:val="22"/>
              </w:rPr>
            </w:pPr>
            <w:r>
              <w:rPr>
                <w:sz w:val="22"/>
              </w:rPr>
              <w:t>77</w:t>
            </w:r>
          </w:p>
        </w:tc>
        <w:tc>
          <w:tcPr>
            <w:tcW w:w="778" w:type="dxa"/>
          </w:tcPr>
          <w:p>
            <w:pPr>
              <w:pStyle w:val="TableParagraph"/>
              <w:ind w:left="45" w:right="22"/>
              <w:jc w:val="center"/>
              <w:rPr>
                <w:sz w:val="22"/>
              </w:rPr>
            </w:pPr>
            <w:r>
              <w:rPr>
                <w:sz w:val="22"/>
              </w:rPr>
              <w:t>386,80</w:t>
            </w:r>
          </w:p>
        </w:tc>
        <w:tc>
          <w:tcPr>
            <w:tcW w:w="1183" w:type="dxa"/>
          </w:tcPr>
          <w:p>
            <w:pPr>
              <w:pStyle w:val="TableParagraph"/>
              <w:ind w:right="63"/>
              <w:rPr>
                <w:sz w:val="22"/>
              </w:rPr>
            </w:pPr>
            <w:r>
              <w:rPr>
                <w:sz w:val="22"/>
              </w:rPr>
              <w:t>59776,70</w:t>
            </w:r>
          </w:p>
        </w:tc>
        <w:tc>
          <w:tcPr>
            <w:tcW w:w="1181" w:type="dxa"/>
          </w:tcPr>
          <w:p>
            <w:pPr>
              <w:pStyle w:val="TableParagraph"/>
              <w:rPr>
                <w:sz w:val="22"/>
              </w:rPr>
            </w:pPr>
            <w:r>
              <w:rPr>
                <w:sz w:val="22"/>
              </w:rPr>
              <w:t>50365,23</w:t>
            </w:r>
          </w:p>
        </w:tc>
        <w:tc>
          <w:tcPr>
            <w:tcW w:w="778" w:type="dxa"/>
          </w:tcPr>
          <w:p>
            <w:pPr>
              <w:pStyle w:val="TableParagraph"/>
              <w:ind w:left="45" w:right="22"/>
              <w:jc w:val="center"/>
              <w:rPr>
                <w:sz w:val="22"/>
              </w:rPr>
            </w:pPr>
            <w:r>
              <w:rPr>
                <w:sz w:val="22"/>
              </w:rPr>
              <w:t>244,49</w:t>
            </w:r>
          </w:p>
        </w:tc>
        <w:tc>
          <w:tcPr>
            <w:tcW w:w="1452" w:type="dxa"/>
          </w:tcPr>
          <w:p>
            <w:pPr>
              <w:pStyle w:val="TableParagraph"/>
              <w:rPr>
                <w:sz w:val="22"/>
              </w:rPr>
            </w:pPr>
            <w:r>
              <w:rPr>
                <w:sz w:val="22"/>
              </w:rPr>
              <w:t>5457822,56</w:t>
            </w:r>
          </w:p>
        </w:tc>
        <w:tc>
          <w:tcPr>
            <w:tcW w:w="1622" w:type="dxa"/>
          </w:tcPr>
          <w:p>
            <w:pPr>
              <w:pStyle w:val="TableParagraph"/>
              <w:ind w:right="63"/>
              <w:rPr>
                <w:sz w:val="22"/>
              </w:rPr>
            </w:pPr>
            <w:r>
              <w:rPr>
                <w:sz w:val="22"/>
              </w:rPr>
              <w:t>11,29372916</w:t>
            </w:r>
          </w:p>
        </w:tc>
      </w:tr>
      <w:tr>
        <w:trPr>
          <w:trHeight w:val="310" w:hRule="exact"/>
        </w:trPr>
        <w:tc>
          <w:tcPr>
            <w:tcW w:w="809" w:type="dxa"/>
          </w:tcPr>
          <w:p>
            <w:pPr>
              <w:pStyle w:val="TableParagraph"/>
              <w:ind w:right="1"/>
              <w:jc w:val="center"/>
              <w:rPr>
                <w:sz w:val="22"/>
              </w:rPr>
            </w:pPr>
            <w:r>
              <w:rPr>
                <w:w w:val="100"/>
                <w:sz w:val="22"/>
              </w:rPr>
              <w:t>4</w:t>
            </w:r>
          </w:p>
        </w:tc>
        <w:tc>
          <w:tcPr>
            <w:tcW w:w="778" w:type="dxa"/>
          </w:tcPr>
          <w:p>
            <w:pPr>
              <w:pStyle w:val="TableParagraph"/>
              <w:ind w:left="45" w:right="17"/>
              <w:jc w:val="center"/>
              <w:rPr>
                <w:sz w:val="22"/>
              </w:rPr>
            </w:pPr>
            <w:r>
              <w:rPr>
                <w:sz w:val="22"/>
              </w:rPr>
              <w:t>155,12</w:t>
            </w:r>
          </w:p>
        </w:tc>
        <w:tc>
          <w:tcPr>
            <w:tcW w:w="475" w:type="dxa"/>
          </w:tcPr>
          <w:p>
            <w:pPr>
              <w:pStyle w:val="TableParagraph"/>
              <w:ind w:left="158" w:right="44"/>
              <w:jc w:val="center"/>
              <w:rPr>
                <w:sz w:val="22"/>
              </w:rPr>
            </w:pPr>
            <w:r>
              <w:rPr>
                <w:sz w:val="22"/>
              </w:rPr>
              <w:t>92</w:t>
            </w:r>
          </w:p>
        </w:tc>
        <w:tc>
          <w:tcPr>
            <w:tcW w:w="778" w:type="dxa"/>
          </w:tcPr>
          <w:p>
            <w:pPr>
              <w:pStyle w:val="TableParagraph"/>
              <w:ind w:left="45" w:right="22"/>
              <w:jc w:val="center"/>
              <w:rPr>
                <w:sz w:val="22"/>
              </w:rPr>
            </w:pPr>
            <w:r>
              <w:rPr>
                <w:sz w:val="22"/>
              </w:rPr>
              <w:t>578,00</w:t>
            </w:r>
          </w:p>
        </w:tc>
        <w:tc>
          <w:tcPr>
            <w:tcW w:w="1183" w:type="dxa"/>
          </w:tcPr>
          <w:p>
            <w:pPr>
              <w:pStyle w:val="TableParagraph"/>
              <w:ind w:right="63"/>
              <w:rPr>
                <w:sz w:val="22"/>
              </w:rPr>
            </w:pPr>
            <w:r>
              <w:rPr>
                <w:sz w:val="22"/>
              </w:rPr>
              <w:t>139109,50</w:t>
            </w:r>
          </w:p>
        </w:tc>
        <w:tc>
          <w:tcPr>
            <w:tcW w:w="1181" w:type="dxa"/>
          </w:tcPr>
          <w:p>
            <w:pPr>
              <w:pStyle w:val="TableParagraph"/>
              <w:rPr>
                <w:sz w:val="22"/>
              </w:rPr>
            </w:pPr>
            <w:r>
              <w:rPr>
                <w:sz w:val="22"/>
              </w:rPr>
              <w:t>89659,36</w:t>
            </w:r>
          </w:p>
        </w:tc>
        <w:tc>
          <w:tcPr>
            <w:tcW w:w="778" w:type="dxa"/>
          </w:tcPr>
          <w:p>
            <w:pPr>
              <w:pStyle w:val="TableParagraph"/>
              <w:ind w:left="45" w:right="22"/>
              <w:jc w:val="center"/>
              <w:rPr>
                <w:sz w:val="22"/>
              </w:rPr>
            </w:pPr>
            <w:r>
              <w:rPr>
                <w:sz w:val="22"/>
              </w:rPr>
              <w:t>372,97</w:t>
            </w:r>
          </w:p>
        </w:tc>
        <w:tc>
          <w:tcPr>
            <w:tcW w:w="1452" w:type="dxa"/>
          </w:tcPr>
          <w:p>
            <w:pPr>
              <w:pStyle w:val="TableParagraph"/>
              <w:rPr>
                <w:sz w:val="22"/>
              </w:rPr>
            </w:pPr>
            <w:r>
              <w:rPr>
                <w:sz w:val="22"/>
              </w:rPr>
              <w:t>14880136,39</w:t>
            </w:r>
          </w:p>
        </w:tc>
        <w:tc>
          <w:tcPr>
            <w:tcW w:w="1622" w:type="dxa"/>
          </w:tcPr>
          <w:p>
            <w:pPr>
              <w:pStyle w:val="TableParagraph"/>
              <w:ind w:right="63"/>
              <w:rPr>
                <w:sz w:val="22"/>
              </w:rPr>
            </w:pPr>
            <w:r>
              <w:rPr>
                <w:sz w:val="22"/>
              </w:rPr>
              <w:t>30,79107617</w:t>
            </w:r>
          </w:p>
        </w:tc>
      </w:tr>
      <w:tr>
        <w:trPr>
          <w:trHeight w:val="310" w:hRule="exact"/>
        </w:trPr>
        <w:tc>
          <w:tcPr>
            <w:tcW w:w="809" w:type="dxa"/>
          </w:tcPr>
          <w:p>
            <w:pPr>
              <w:pStyle w:val="TableParagraph"/>
              <w:spacing w:before="30"/>
              <w:ind w:right="1"/>
              <w:jc w:val="center"/>
              <w:rPr>
                <w:sz w:val="22"/>
              </w:rPr>
            </w:pPr>
            <w:r>
              <w:rPr>
                <w:w w:val="100"/>
                <w:sz w:val="22"/>
              </w:rPr>
              <w:t>5</w:t>
            </w:r>
          </w:p>
        </w:tc>
        <w:tc>
          <w:tcPr>
            <w:tcW w:w="778" w:type="dxa"/>
          </w:tcPr>
          <w:p>
            <w:pPr>
              <w:pStyle w:val="TableParagraph"/>
              <w:spacing w:before="30"/>
              <w:ind w:left="45" w:right="17"/>
              <w:jc w:val="center"/>
              <w:rPr>
                <w:sz w:val="22"/>
              </w:rPr>
            </w:pPr>
            <w:r>
              <w:rPr>
                <w:sz w:val="22"/>
              </w:rPr>
              <w:t>180,21</w:t>
            </w:r>
          </w:p>
        </w:tc>
        <w:tc>
          <w:tcPr>
            <w:tcW w:w="475" w:type="dxa"/>
          </w:tcPr>
          <w:p>
            <w:pPr>
              <w:pStyle w:val="TableParagraph"/>
              <w:spacing w:before="30"/>
              <w:ind w:left="47" w:right="44"/>
              <w:jc w:val="center"/>
              <w:rPr>
                <w:sz w:val="22"/>
              </w:rPr>
            </w:pPr>
            <w:r>
              <w:rPr>
                <w:sz w:val="22"/>
              </w:rPr>
              <w:t>132</w:t>
            </w:r>
          </w:p>
        </w:tc>
        <w:tc>
          <w:tcPr>
            <w:tcW w:w="778" w:type="dxa"/>
          </w:tcPr>
          <w:p>
            <w:pPr>
              <w:pStyle w:val="TableParagraph"/>
              <w:spacing w:before="30"/>
              <w:ind w:left="45" w:right="22"/>
              <w:jc w:val="center"/>
              <w:rPr>
                <w:sz w:val="22"/>
              </w:rPr>
            </w:pPr>
            <w:r>
              <w:rPr>
                <w:sz w:val="22"/>
              </w:rPr>
              <w:t>511,33</w:t>
            </w:r>
          </w:p>
        </w:tc>
        <w:tc>
          <w:tcPr>
            <w:tcW w:w="1183" w:type="dxa"/>
          </w:tcPr>
          <w:p>
            <w:pPr>
              <w:pStyle w:val="TableParagraph"/>
              <w:spacing w:before="30"/>
              <w:ind w:right="63"/>
              <w:rPr>
                <w:sz w:val="22"/>
              </w:rPr>
            </w:pPr>
            <w:r>
              <w:rPr>
                <w:sz w:val="22"/>
              </w:rPr>
              <w:t>20735,07</w:t>
            </w:r>
          </w:p>
        </w:tc>
        <w:tc>
          <w:tcPr>
            <w:tcW w:w="1181" w:type="dxa"/>
          </w:tcPr>
          <w:p>
            <w:pPr>
              <w:pStyle w:val="TableParagraph"/>
              <w:spacing w:before="30"/>
              <w:rPr>
                <w:sz w:val="22"/>
              </w:rPr>
            </w:pPr>
            <w:r>
              <w:rPr>
                <w:sz w:val="22"/>
              </w:rPr>
              <w:t>92147,38</w:t>
            </w:r>
          </w:p>
        </w:tc>
        <w:tc>
          <w:tcPr>
            <w:tcW w:w="778" w:type="dxa"/>
          </w:tcPr>
          <w:p>
            <w:pPr>
              <w:pStyle w:val="TableParagraph"/>
              <w:spacing w:before="30"/>
              <w:ind w:left="45" w:right="22"/>
              <w:jc w:val="center"/>
              <w:rPr>
                <w:sz w:val="22"/>
              </w:rPr>
            </w:pPr>
            <w:r>
              <w:rPr>
                <w:sz w:val="22"/>
              </w:rPr>
              <w:t>144,00</w:t>
            </w:r>
          </w:p>
        </w:tc>
        <w:tc>
          <w:tcPr>
            <w:tcW w:w="1452" w:type="dxa"/>
          </w:tcPr>
          <w:p>
            <w:pPr>
              <w:pStyle w:val="TableParagraph"/>
              <w:spacing w:before="30"/>
              <w:rPr>
                <w:sz w:val="22"/>
              </w:rPr>
            </w:pPr>
            <w:r>
              <w:rPr>
                <w:sz w:val="22"/>
              </w:rPr>
              <w:t>1363187,06</w:t>
            </w:r>
          </w:p>
        </w:tc>
        <w:tc>
          <w:tcPr>
            <w:tcW w:w="1622" w:type="dxa"/>
          </w:tcPr>
          <w:p>
            <w:pPr>
              <w:pStyle w:val="TableParagraph"/>
              <w:spacing w:before="30"/>
              <w:ind w:right="63"/>
              <w:rPr>
                <w:sz w:val="22"/>
              </w:rPr>
            </w:pPr>
            <w:r>
              <w:rPr>
                <w:sz w:val="22"/>
              </w:rPr>
              <w:t>2,820807239</w:t>
            </w:r>
          </w:p>
        </w:tc>
      </w:tr>
      <w:tr>
        <w:trPr>
          <w:trHeight w:val="312" w:hRule="exact"/>
        </w:trPr>
        <w:tc>
          <w:tcPr>
            <w:tcW w:w="809" w:type="dxa"/>
          </w:tcPr>
          <w:p>
            <w:pPr>
              <w:pStyle w:val="TableParagraph"/>
              <w:spacing w:before="30"/>
              <w:ind w:right="0"/>
              <w:jc w:val="center"/>
              <w:rPr>
                <w:sz w:val="22"/>
              </w:rPr>
            </w:pPr>
            <w:r>
              <w:rPr>
                <w:w w:val="100"/>
                <w:sz w:val="22"/>
              </w:rPr>
              <w:t>N</w:t>
            </w:r>
          </w:p>
        </w:tc>
        <w:tc>
          <w:tcPr>
            <w:tcW w:w="778" w:type="dxa"/>
          </w:tcPr>
          <w:p>
            <w:pPr>
              <w:pStyle w:val="TableParagraph"/>
              <w:spacing w:before="30"/>
              <w:ind w:left="45" w:right="18"/>
              <w:jc w:val="center"/>
              <w:rPr>
                <w:sz w:val="22"/>
              </w:rPr>
            </w:pPr>
            <w:r>
              <w:rPr>
                <w:sz w:val="22"/>
              </w:rPr>
              <w:t>695,17</w:t>
            </w:r>
          </w:p>
        </w:tc>
        <w:tc>
          <w:tcPr>
            <w:tcW w:w="475" w:type="dxa"/>
          </w:tcPr>
          <w:p>
            <w:pPr/>
          </w:p>
        </w:tc>
        <w:tc>
          <w:tcPr>
            <w:tcW w:w="778" w:type="dxa"/>
          </w:tcPr>
          <w:p>
            <w:pPr/>
          </w:p>
        </w:tc>
        <w:tc>
          <w:tcPr>
            <w:tcW w:w="1183" w:type="dxa"/>
          </w:tcPr>
          <w:p>
            <w:pPr>
              <w:pStyle w:val="TableParagraph"/>
              <w:spacing w:before="18"/>
              <w:ind w:left="395" w:right="408"/>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81" w:type="dxa"/>
          </w:tcPr>
          <w:p>
            <w:pPr>
              <w:pStyle w:val="TableParagraph"/>
              <w:spacing w:before="30"/>
              <w:rPr>
                <w:sz w:val="22"/>
              </w:rPr>
            </w:pPr>
            <w:r>
              <w:rPr>
                <w:sz w:val="22"/>
              </w:rPr>
              <w:t>284317,86</w:t>
            </w:r>
          </w:p>
        </w:tc>
        <w:tc>
          <w:tcPr>
            <w:tcW w:w="778" w:type="dxa"/>
          </w:tcPr>
          <w:p>
            <w:pPr/>
          </w:p>
        </w:tc>
        <w:tc>
          <w:tcPr>
            <w:tcW w:w="1452" w:type="dxa"/>
          </w:tcPr>
          <w:p>
            <w:pPr>
              <w:pStyle w:val="TableParagraph"/>
              <w:spacing w:before="30"/>
              <w:rPr>
                <w:sz w:val="22"/>
              </w:rPr>
            </w:pPr>
            <w:r>
              <w:rPr>
                <w:sz w:val="22"/>
              </w:rPr>
              <w:t>22036793,19</w:t>
            </w:r>
          </w:p>
        </w:tc>
        <w:tc>
          <w:tcPr>
            <w:tcW w:w="1622" w:type="dxa"/>
          </w:tcPr>
          <w:p>
            <w:pPr>
              <w:pStyle w:val="TableParagraph"/>
              <w:spacing w:before="30"/>
              <w:ind w:right="63"/>
              <w:rPr>
                <w:sz w:val="22"/>
              </w:rPr>
            </w:pPr>
            <w:r>
              <w:rPr>
                <w:sz w:val="22"/>
              </w:rPr>
              <w:t>45,60015848</w:t>
            </w:r>
          </w:p>
        </w:tc>
      </w:tr>
      <w:tr>
        <w:trPr>
          <w:trHeight w:val="310" w:hRule="exact"/>
        </w:trPr>
        <w:tc>
          <w:tcPr>
            <w:tcW w:w="5203" w:type="dxa"/>
            <w:gridSpan w:val="6"/>
            <w:vMerge w:val="restart"/>
            <w:tcBorders>
              <w:left w:val="nil"/>
            </w:tcBorders>
          </w:tcPr>
          <w:p>
            <w:pPr/>
          </w:p>
        </w:tc>
        <w:tc>
          <w:tcPr>
            <w:tcW w:w="2230" w:type="dxa"/>
            <w:gridSpan w:val="2"/>
          </w:tcPr>
          <w:p>
            <w:pPr>
              <w:pStyle w:val="TableParagraph"/>
              <w:spacing w:before="11"/>
              <w:ind w:left="64" w:right="153"/>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22" w:type="dxa"/>
          </w:tcPr>
          <w:p>
            <w:pPr>
              <w:pStyle w:val="TableParagraph"/>
              <w:ind w:right="63"/>
              <w:rPr>
                <w:b/>
                <w:sz w:val="22"/>
              </w:rPr>
            </w:pPr>
            <w:r>
              <w:rPr>
                <w:b/>
                <w:sz w:val="22"/>
              </w:rPr>
              <w:t>408,990</w:t>
            </w:r>
          </w:p>
        </w:tc>
      </w:tr>
      <w:tr>
        <w:trPr>
          <w:trHeight w:val="310" w:hRule="exact"/>
        </w:trPr>
        <w:tc>
          <w:tcPr>
            <w:tcW w:w="5203" w:type="dxa"/>
            <w:gridSpan w:val="6"/>
            <w:vMerge/>
            <w:tcBorders>
              <w:left w:val="nil"/>
            </w:tcBorders>
          </w:tcPr>
          <w:p>
            <w:pPr/>
          </w:p>
        </w:tc>
        <w:tc>
          <w:tcPr>
            <w:tcW w:w="2230" w:type="dxa"/>
            <w:gridSpan w:val="2"/>
          </w:tcPr>
          <w:p>
            <w:pPr>
              <w:pStyle w:val="TableParagraph"/>
              <w:spacing w:before="13"/>
              <w:ind w:left="64" w:right="153"/>
              <w:jc w:val="left"/>
              <w:rPr>
                <w:sz w:val="22"/>
              </w:rPr>
            </w:pPr>
            <w:r>
              <w:rPr>
                <w:sz w:val="22"/>
              </w:rPr>
              <w:t>Desviación estándar</w:t>
            </w:r>
          </w:p>
        </w:tc>
        <w:tc>
          <w:tcPr>
            <w:tcW w:w="1622" w:type="dxa"/>
          </w:tcPr>
          <w:p>
            <w:pPr>
              <w:pStyle w:val="TableParagraph"/>
              <w:ind w:right="63"/>
              <w:rPr>
                <w:b/>
                <w:sz w:val="22"/>
              </w:rPr>
            </w:pPr>
            <w:r>
              <w:rPr>
                <w:b/>
                <w:sz w:val="22"/>
              </w:rPr>
              <w:t>6,753</w:t>
            </w:r>
          </w:p>
        </w:tc>
      </w:tr>
      <w:tr>
        <w:trPr>
          <w:trHeight w:val="310" w:hRule="exact"/>
        </w:trPr>
        <w:tc>
          <w:tcPr>
            <w:tcW w:w="5203" w:type="dxa"/>
            <w:gridSpan w:val="6"/>
            <w:vMerge/>
            <w:tcBorders>
              <w:left w:val="nil"/>
            </w:tcBorders>
          </w:tcPr>
          <w:p>
            <w:pPr/>
          </w:p>
        </w:tc>
        <w:tc>
          <w:tcPr>
            <w:tcW w:w="2230" w:type="dxa"/>
            <w:gridSpan w:val="2"/>
            <w:vMerge w:val="restart"/>
          </w:tcPr>
          <w:p>
            <w:pPr>
              <w:pStyle w:val="TableParagraph"/>
              <w:spacing w:before="33"/>
              <w:ind w:left="64" w:right="153"/>
              <w:jc w:val="left"/>
              <w:rPr>
                <w:sz w:val="22"/>
              </w:rPr>
            </w:pPr>
            <w:r>
              <w:rPr>
                <w:sz w:val="22"/>
              </w:rPr>
              <w:t>Intervalo de confianza al 95 %</w:t>
            </w:r>
          </w:p>
        </w:tc>
        <w:tc>
          <w:tcPr>
            <w:tcW w:w="1622" w:type="dxa"/>
          </w:tcPr>
          <w:p>
            <w:pPr>
              <w:pStyle w:val="TableParagraph"/>
              <w:ind w:right="63"/>
              <w:rPr>
                <w:sz w:val="22"/>
              </w:rPr>
            </w:pPr>
            <w:r>
              <w:rPr>
                <w:sz w:val="22"/>
              </w:rPr>
              <w:t>395,75</w:t>
            </w:r>
          </w:p>
        </w:tc>
      </w:tr>
      <w:tr>
        <w:trPr>
          <w:trHeight w:val="310" w:hRule="exact"/>
        </w:trPr>
        <w:tc>
          <w:tcPr>
            <w:tcW w:w="5203" w:type="dxa"/>
            <w:gridSpan w:val="6"/>
            <w:vMerge/>
            <w:tcBorders>
              <w:left w:val="nil"/>
              <w:bottom w:val="nil"/>
            </w:tcBorders>
          </w:tcPr>
          <w:p>
            <w:pPr/>
          </w:p>
        </w:tc>
        <w:tc>
          <w:tcPr>
            <w:tcW w:w="2230" w:type="dxa"/>
            <w:gridSpan w:val="2"/>
            <w:vMerge/>
          </w:tcPr>
          <w:p>
            <w:pPr/>
          </w:p>
        </w:tc>
        <w:tc>
          <w:tcPr>
            <w:tcW w:w="1622" w:type="dxa"/>
          </w:tcPr>
          <w:p>
            <w:pPr>
              <w:pStyle w:val="TableParagraph"/>
              <w:ind w:right="63"/>
              <w:rPr>
                <w:sz w:val="22"/>
              </w:rPr>
            </w:pPr>
            <w:r>
              <w:rPr>
                <w:sz w:val="22"/>
              </w:rPr>
              <w:t>422,23</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970"/>
        <w:gridCol w:w="998"/>
        <w:gridCol w:w="1126"/>
        <w:gridCol w:w="754"/>
        <w:gridCol w:w="1385"/>
        <w:gridCol w:w="1601"/>
      </w:tblGrid>
      <w:tr>
        <w:trPr>
          <w:trHeight w:val="310" w:hRule="exact"/>
        </w:trPr>
        <w:tc>
          <w:tcPr>
            <w:tcW w:w="8839" w:type="dxa"/>
            <w:gridSpan w:val="9"/>
          </w:tcPr>
          <w:p>
            <w:pPr>
              <w:pStyle w:val="TableParagraph"/>
              <w:ind w:left="3312" w:right="3310"/>
              <w:jc w:val="center"/>
              <w:rPr>
                <w:sz w:val="22"/>
              </w:rPr>
            </w:pPr>
            <w:r>
              <w:rPr>
                <w:sz w:val="22"/>
              </w:rPr>
              <w:t>Eficiencia general</w:t>
            </w:r>
          </w:p>
        </w:tc>
      </w:tr>
      <w:tr>
        <w:trPr>
          <w:trHeight w:val="310"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970" w:type="dxa"/>
          </w:tcPr>
          <w:p>
            <w:pPr>
              <w:pStyle w:val="TableParagraph"/>
              <w:spacing w:before="43"/>
              <w:ind w:left="89" w:right="10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98" w:type="dxa"/>
          </w:tcPr>
          <w:p>
            <w:pPr>
              <w:pStyle w:val="TableParagraph"/>
              <w:spacing w:line="214" w:lineRule="exact" w:before="6"/>
              <w:ind w:left="374" w:right="382"/>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126" w:type="dxa"/>
          </w:tcPr>
          <w:p>
            <w:pPr>
              <w:pStyle w:val="TableParagraph"/>
              <w:spacing w:before="19"/>
              <w:ind w:left="36"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54" w:type="dxa"/>
          </w:tcPr>
          <w:p>
            <w:pPr>
              <w:pStyle w:val="TableParagraph"/>
              <w:spacing w:before="43"/>
              <w:ind w:left="34" w:right="45"/>
              <w:jc w:val="center"/>
              <w:rPr>
                <w:rFonts w:ascii="Cambria Math"/>
                <w:sz w:val="16"/>
              </w:rPr>
            </w:pPr>
            <w:r>
              <w:rPr>
                <w:rFonts w:ascii="Cambria Math"/>
                <w:w w:val="110"/>
                <w:sz w:val="22"/>
              </w:rPr>
              <w:t>s</w:t>
            </w:r>
            <w:r>
              <w:rPr>
                <w:rFonts w:ascii="Cambria Math"/>
                <w:w w:val="110"/>
                <w:position w:val="-4"/>
                <w:sz w:val="16"/>
              </w:rPr>
              <w:t>h</w:t>
            </w:r>
          </w:p>
        </w:tc>
        <w:tc>
          <w:tcPr>
            <w:tcW w:w="1385" w:type="dxa"/>
          </w:tcPr>
          <w:p>
            <w:pPr>
              <w:pStyle w:val="TableParagraph"/>
              <w:spacing w:before="0"/>
              <w:ind w:left="357" w:right="152"/>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01" w:type="dxa"/>
          </w:tcPr>
          <w:p>
            <w:pPr>
              <w:pStyle w:val="TableParagraph"/>
              <w:spacing w:before="0"/>
              <w:ind w:left="44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spacing w:before="30"/>
              <w:ind w:left="1" w:right="0"/>
              <w:jc w:val="center"/>
              <w:rPr>
                <w:sz w:val="22"/>
              </w:rPr>
            </w:pPr>
            <w:r>
              <w:rPr>
                <w:w w:val="100"/>
                <w:sz w:val="22"/>
              </w:rPr>
              <w:t>1</w:t>
            </w:r>
          </w:p>
        </w:tc>
        <w:tc>
          <w:tcPr>
            <w:tcW w:w="754" w:type="dxa"/>
          </w:tcPr>
          <w:p>
            <w:pPr>
              <w:pStyle w:val="TableParagraph"/>
              <w:spacing w:before="30"/>
              <w:ind w:left="45" w:right="45"/>
              <w:jc w:val="center"/>
              <w:rPr>
                <w:sz w:val="22"/>
              </w:rPr>
            </w:pPr>
            <w:r>
              <w:rPr>
                <w:sz w:val="22"/>
              </w:rPr>
              <w:t>108,60</w:t>
            </w:r>
          </w:p>
        </w:tc>
        <w:tc>
          <w:tcPr>
            <w:tcW w:w="475" w:type="dxa"/>
          </w:tcPr>
          <w:p>
            <w:pPr>
              <w:pStyle w:val="TableParagraph"/>
              <w:spacing w:before="30"/>
              <w:rPr>
                <w:sz w:val="22"/>
              </w:rPr>
            </w:pPr>
            <w:r>
              <w:rPr>
                <w:sz w:val="22"/>
              </w:rPr>
              <w:t>108</w:t>
            </w:r>
          </w:p>
        </w:tc>
        <w:tc>
          <w:tcPr>
            <w:tcW w:w="970" w:type="dxa"/>
          </w:tcPr>
          <w:p>
            <w:pPr>
              <w:pStyle w:val="TableParagraph"/>
              <w:spacing w:before="30"/>
              <w:rPr>
                <w:sz w:val="22"/>
              </w:rPr>
            </w:pPr>
            <w:r>
              <w:rPr>
                <w:sz w:val="22"/>
              </w:rPr>
              <w:t>26,667</w:t>
            </w:r>
          </w:p>
        </w:tc>
        <w:tc>
          <w:tcPr>
            <w:tcW w:w="998" w:type="dxa"/>
          </w:tcPr>
          <w:p>
            <w:pPr>
              <w:pStyle w:val="TableParagraph"/>
              <w:spacing w:before="30"/>
              <w:ind w:right="63"/>
              <w:rPr>
                <w:sz w:val="22"/>
              </w:rPr>
            </w:pPr>
            <w:r>
              <w:rPr>
                <w:sz w:val="22"/>
              </w:rPr>
              <w:t>638,889</w:t>
            </w:r>
          </w:p>
        </w:tc>
        <w:tc>
          <w:tcPr>
            <w:tcW w:w="1126" w:type="dxa"/>
          </w:tcPr>
          <w:p>
            <w:pPr>
              <w:pStyle w:val="TableParagraph"/>
              <w:spacing w:before="30"/>
              <w:ind w:left="196" w:right="44"/>
              <w:jc w:val="center"/>
              <w:rPr>
                <w:sz w:val="22"/>
              </w:rPr>
            </w:pPr>
            <w:r>
              <w:rPr>
                <w:sz w:val="22"/>
              </w:rPr>
              <w:t>2896,000</w:t>
            </w:r>
          </w:p>
        </w:tc>
        <w:tc>
          <w:tcPr>
            <w:tcW w:w="754" w:type="dxa"/>
          </w:tcPr>
          <w:p>
            <w:pPr>
              <w:pStyle w:val="TableParagraph"/>
              <w:spacing w:before="30"/>
              <w:ind w:left="45" w:right="45"/>
              <w:jc w:val="center"/>
              <w:rPr>
                <w:sz w:val="22"/>
              </w:rPr>
            </w:pPr>
            <w:r>
              <w:rPr>
                <w:sz w:val="22"/>
              </w:rPr>
              <w:t>25,276</w:t>
            </w:r>
          </w:p>
        </w:tc>
        <w:tc>
          <w:tcPr>
            <w:tcW w:w="1385" w:type="dxa"/>
          </w:tcPr>
          <w:p>
            <w:pPr>
              <w:pStyle w:val="TableParagraph"/>
              <w:spacing w:before="30"/>
              <w:ind w:right="63"/>
              <w:rPr>
                <w:sz w:val="22"/>
              </w:rPr>
            </w:pPr>
            <w:r>
              <w:rPr>
                <w:sz w:val="22"/>
              </w:rPr>
              <w:t>-23325,693</w:t>
            </w:r>
          </w:p>
        </w:tc>
        <w:tc>
          <w:tcPr>
            <w:tcW w:w="1601" w:type="dxa"/>
          </w:tcPr>
          <w:p>
            <w:pPr>
              <w:pStyle w:val="TableParagraph"/>
              <w:spacing w:before="30"/>
              <w:rPr>
                <w:sz w:val="22"/>
              </w:rPr>
            </w:pPr>
            <w:r>
              <w:rPr>
                <w:sz w:val="22"/>
              </w:rPr>
              <w:t>-0,048267245</w:t>
            </w:r>
          </w:p>
        </w:tc>
      </w:tr>
      <w:tr>
        <w:trPr>
          <w:trHeight w:val="312" w:hRule="exact"/>
        </w:trPr>
        <w:tc>
          <w:tcPr>
            <w:tcW w:w="778" w:type="dxa"/>
          </w:tcPr>
          <w:p>
            <w:pPr>
              <w:pStyle w:val="TableParagraph"/>
              <w:spacing w:before="30"/>
              <w:ind w:left="1" w:right="0"/>
              <w:jc w:val="center"/>
              <w:rPr>
                <w:sz w:val="22"/>
              </w:rPr>
            </w:pPr>
            <w:r>
              <w:rPr>
                <w:w w:val="100"/>
                <w:sz w:val="22"/>
              </w:rPr>
              <w:t>2</w:t>
            </w:r>
          </w:p>
        </w:tc>
        <w:tc>
          <w:tcPr>
            <w:tcW w:w="754" w:type="dxa"/>
          </w:tcPr>
          <w:p>
            <w:pPr>
              <w:pStyle w:val="TableParagraph"/>
              <w:spacing w:before="30"/>
              <w:ind w:left="45" w:right="45"/>
              <w:jc w:val="center"/>
              <w:rPr>
                <w:sz w:val="22"/>
              </w:rPr>
            </w:pPr>
            <w:r>
              <w:rPr>
                <w:sz w:val="22"/>
              </w:rPr>
              <w:t>121,03</w:t>
            </w:r>
          </w:p>
        </w:tc>
        <w:tc>
          <w:tcPr>
            <w:tcW w:w="475" w:type="dxa"/>
          </w:tcPr>
          <w:p>
            <w:pPr>
              <w:pStyle w:val="TableParagraph"/>
              <w:spacing w:before="30"/>
              <w:rPr>
                <w:sz w:val="22"/>
              </w:rPr>
            </w:pPr>
            <w:r>
              <w:rPr>
                <w:sz w:val="22"/>
              </w:rPr>
              <w:t>81</w:t>
            </w:r>
          </w:p>
        </w:tc>
        <w:tc>
          <w:tcPr>
            <w:tcW w:w="970" w:type="dxa"/>
          </w:tcPr>
          <w:p>
            <w:pPr>
              <w:pStyle w:val="TableParagraph"/>
              <w:spacing w:before="30"/>
              <w:rPr>
                <w:sz w:val="22"/>
              </w:rPr>
            </w:pPr>
            <w:r>
              <w:rPr>
                <w:sz w:val="22"/>
              </w:rPr>
              <w:t>31,000</w:t>
            </w:r>
          </w:p>
        </w:tc>
        <w:tc>
          <w:tcPr>
            <w:tcW w:w="998" w:type="dxa"/>
          </w:tcPr>
          <w:p>
            <w:pPr>
              <w:pStyle w:val="TableParagraph"/>
              <w:spacing w:before="30"/>
              <w:ind w:right="63"/>
              <w:rPr>
                <w:sz w:val="22"/>
              </w:rPr>
            </w:pPr>
            <w:r>
              <w:rPr>
                <w:sz w:val="22"/>
              </w:rPr>
              <w:t>1805,000</w:t>
            </w:r>
          </w:p>
        </w:tc>
        <w:tc>
          <w:tcPr>
            <w:tcW w:w="1126" w:type="dxa"/>
          </w:tcPr>
          <w:p>
            <w:pPr>
              <w:pStyle w:val="TableParagraph"/>
              <w:spacing w:before="30"/>
              <w:ind w:left="196" w:right="44"/>
              <w:jc w:val="center"/>
              <w:rPr>
                <w:sz w:val="22"/>
              </w:rPr>
            </w:pPr>
            <w:r>
              <w:rPr>
                <w:sz w:val="22"/>
              </w:rPr>
              <w:t>3751,930</w:t>
            </w:r>
          </w:p>
        </w:tc>
        <w:tc>
          <w:tcPr>
            <w:tcW w:w="754" w:type="dxa"/>
          </w:tcPr>
          <w:p>
            <w:pPr>
              <w:pStyle w:val="TableParagraph"/>
              <w:spacing w:before="30"/>
              <w:ind w:left="45" w:right="45"/>
              <w:jc w:val="center"/>
              <w:rPr>
                <w:sz w:val="22"/>
              </w:rPr>
            </w:pPr>
            <w:r>
              <w:rPr>
                <w:sz w:val="22"/>
              </w:rPr>
              <w:t>42,485</w:t>
            </w:r>
          </w:p>
        </w:tc>
        <w:tc>
          <w:tcPr>
            <w:tcW w:w="1385" w:type="dxa"/>
          </w:tcPr>
          <w:p>
            <w:pPr>
              <w:pStyle w:val="TableParagraph"/>
              <w:spacing w:before="30"/>
              <w:ind w:right="63"/>
              <w:rPr>
                <w:sz w:val="22"/>
              </w:rPr>
            </w:pPr>
            <w:r>
              <w:rPr>
                <w:sz w:val="22"/>
              </w:rPr>
              <w:t>108123,248</w:t>
            </w:r>
          </w:p>
        </w:tc>
        <w:tc>
          <w:tcPr>
            <w:tcW w:w="1601" w:type="dxa"/>
          </w:tcPr>
          <w:p>
            <w:pPr>
              <w:pStyle w:val="TableParagraph"/>
              <w:spacing w:before="30"/>
              <w:rPr>
                <w:sz w:val="22"/>
              </w:rPr>
            </w:pPr>
            <w:r>
              <w:rPr>
                <w:sz w:val="22"/>
              </w:rPr>
              <w:t>0,223736602</w:t>
            </w:r>
          </w:p>
        </w:tc>
      </w:tr>
      <w:tr>
        <w:trPr>
          <w:trHeight w:val="310" w:hRule="exact"/>
        </w:trPr>
        <w:tc>
          <w:tcPr>
            <w:tcW w:w="778" w:type="dxa"/>
          </w:tcPr>
          <w:p>
            <w:pPr>
              <w:pStyle w:val="TableParagraph"/>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970" w:type="dxa"/>
          </w:tcPr>
          <w:p>
            <w:pPr>
              <w:pStyle w:val="TableParagraph"/>
              <w:rPr>
                <w:sz w:val="22"/>
              </w:rPr>
            </w:pPr>
            <w:r>
              <w:rPr>
                <w:sz w:val="22"/>
              </w:rPr>
              <w:t>71,667</w:t>
            </w:r>
          </w:p>
        </w:tc>
        <w:tc>
          <w:tcPr>
            <w:tcW w:w="998" w:type="dxa"/>
          </w:tcPr>
          <w:p>
            <w:pPr>
              <w:pStyle w:val="TableParagraph"/>
              <w:ind w:right="63"/>
              <w:rPr>
                <w:sz w:val="22"/>
              </w:rPr>
            </w:pPr>
            <w:r>
              <w:rPr>
                <w:sz w:val="22"/>
              </w:rPr>
              <w:t>333,333</w:t>
            </w:r>
          </w:p>
        </w:tc>
        <w:tc>
          <w:tcPr>
            <w:tcW w:w="1126" w:type="dxa"/>
          </w:tcPr>
          <w:p>
            <w:pPr>
              <w:pStyle w:val="TableParagraph"/>
              <w:ind w:left="196" w:right="44"/>
              <w:jc w:val="center"/>
              <w:rPr>
                <w:sz w:val="22"/>
              </w:rPr>
            </w:pPr>
            <w:r>
              <w:rPr>
                <w:sz w:val="22"/>
              </w:rPr>
              <w:t>9331,717</w:t>
            </w:r>
          </w:p>
        </w:tc>
        <w:tc>
          <w:tcPr>
            <w:tcW w:w="754" w:type="dxa"/>
          </w:tcPr>
          <w:p>
            <w:pPr>
              <w:pStyle w:val="TableParagraph"/>
              <w:ind w:left="45" w:right="45"/>
              <w:jc w:val="center"/>
              <w:rPr>
                <w:sz w:val="22"/>
              </w:rPr>
            </w:pPr>
            <w:r>
              <w:rPr>
                <w:sz w:val="22"/>
              </w:rPr>
              <w:t>18,257</w:t>
            </w:r>
          </w:p>
        </w:tc>
        <w:tc>
          <w:tcPr>
            <w:tcW w:w="1385" w:type="dxa"/>
          </w:tcPr>
          <w:p>
            <w:pPr>
              <w:pStyle w:val="TableParagraph"/>
              <w:ind w:right="63"/>
              <w:rPr>
                <w:sz w:val="22"/>
              </w:rPr>
            </w:pPr>
            <w:r>
              <w:rPr>
                <w:sz w:val="22"/>
              </w:rPr>
              <w:t>30434,504</w:t>
            </w:r>
          </w:p>
        </w:tc>
        <w:tc>
          <w:tcPr>
            <w:tcW w:w="1601" w:type="dxa"/>
          </w:tcPr>
          <w:p>
            <w:pPr>
              <w:pStyle w:val="TableParagraph"/>
              <w:rPr>
                <w:sz w:val="22"/>
              </w:rPr>
            </w:pPr>
            <w:r>
              <w:rPr>
                <w:sz w:val="22"/>
              </w:rPr>
              <w:t>0,06297732</w:t>
            </w:r>
          </w:p>
        </w:tc>
      </w:tr>
      <w:tr>
        <w:trPr>
          <w:trHeight w:val="310" w:hRule="exact"/>
        </w:trPr>
        <w:tc>
          <w:tcPr>
            <w:tcW w:w="778" w:type="dxa"/>
          </w:tcPr>
          <w:p>
            <w:pPr>
              <w:pStyle w:val="TableParagraph"/>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970" w:type="dxa"/>
          </w:tcPr>
          <w:p>
            <w:pPr>
              <w:pStyle w:val="TableParagraph"/>
              <w:rPr>
                <w:sz w:val="22"/>
              </w:rPr>
            </w:pPr>
            <w:r>
              <w:rPr>
                <w:sz w:val="22"/>
              </w:rPr>
              <w:t>52,000</w:t>
            </w:r>
          </w:p>
        </w:tc>
        <w:tc>
          <w:tcPr>
            <w:tcW w:w="998" w:type="dxa"/>
          </w:tcPr>
          <w:p>
            <w:pPr>
              <w:pStyle w:val="TableParagraph"/>
              <w:ind w:right="63"/>
              <w:rPr>
                <w:sz w:val="22"/>
              </w:rPr>
            </w:pPr>
            <w:r>
              <w:rPr>
                <w:sz w:val="22"/>
              </w:rPr>
              <w:t>70,000</w:t>
            </w:r>
          </w:p>
        </w:tc>
        <w:tc>
          <w:tcPr>
            <w:tcW w:w="1126" w:type="dxa"/>
          </w:tcPr>
          <w:p>
            <w:pPr>
              <w:pStyle w:val="TableParagraph"/>
              <w:ind w:left="196" w:right="44"/>
              <w:jc w:val="center"/>
              <w:rPr>
                <w:sz w:val="22"/>
              </w:rPr>
            </w:pPr>
            <w:r>
              <w:rPr>
                <w:sz w:val="22"/>
              </w:rPr>
              <w:t>8066,240</w:t>
            </w:r>
          </w:p>
        </w:tc>
        <w:tc>
          <w:tcPr>
            <w:tcW w:w="754" w:type="dxa"/>
          </w:tcPr>
          <w:p>
            <w:pPr>
              <w:pStyle w:val="TableParagraph"/>
              <w:ind w:left="154" w:right="45"/>
              <w:jc w:val="center"/>
              <w:rPr>
                <w:sz w:val="22"/>
              </w:rPr>
            </w:pPr>
            <w:r>
              <w:rPr>
                <w:sz w:val="22"/>
              </w:rPr>
              <w:t>8,367</w:t>
            </w:r>
          </w:p>
        </w:tc>
        <w:tc>
          <w:tcPr>
            <w:tcW w:w="1385" w:type="dxa"/>
          </w:tcPr>
          <w:p>
            <w:pPr>
              <w:pStyle w:val="TableParagraph"/>
              <w:ind w:right="63"/>
              <w:rPr>
                <w:sz w:val="22"/>
              </w:rPr>
            </w:pPr>
            <w:r>
              <w:rPr>
                <w:sz w:val="22"/>
              </w:rPr>
              <w:t>7487,695</w:t>
            </w:r>
          </w:p>
        </w:tc>
        <w:tc>
          <w:tcPr>
            <w:tcW w:w="1601" w:type="dxa"/>
          </w:tcPr>
          <w:p>
            <w:pPr>
              <w:pStyle w:val="TableParagraph"/>
              <w:rPr>
                <w:sz w:val="22"/>
              </w:rPr>
            </w:pPr>
            <w:r>
              <w:rPr>
                <w:sz w:val="22"/>
              </w:rPr>
              <w:t>0,015494092</w:t>
            </w:r>
          </w:p>
        </w:tc>
      </w:tr>
      <w:tr>
        <w:trPr>
          <w:trHeight w:val="310" w:hRule="exact"/>
        </w:trPr>
        <w:tc>
          <w:tcPr>
            <w:tcW w:w="778" w:type="dxa"/>
          </w:tcPr>
          <w:p>
            <w:pPr>
              <w:pStyle w:val="TableParagraph"/>
              <w:ind w:left="1" w:right="0"/>
              <w:jc w:val="center"/>
              <w:rPr>
                <w:sz w:val="22"/>
              </w:rPr>
            </w:pPr>
            <w:r>
              <w:rPr>
                <w:w w:val="100"/>
                <w:sz w:val="22"/>
              </w:rPr>
              <w:t>5</w:t>
            </w:r>
          </w:p>
        </w:tc>
        <w:tc>
          <w:tcPr>
            <w:tcW w:w="754" w:type="dxa"/>
          </w:tcPr>
          <w:p>
            <w:pPr>
              <w:pStyle w:val="TableParagraph"/>
              <w:ind w:left="45" w:right="45"/>
              <w:jc w:val="center"/>
              <w:rPr>
                <w:sz w:val="22"/>
              </w:rPr>
            </w:pPr>
            <w:r>
              <w:rPr>
                <w:sz w:val="22"/>
              </w:rPr>
              <w:t>180,21</w:t>
            </w:r>
          </w:p>
        </w:tc>
        <w:tc>
          <w:tcPr>
            <w:tcW w:w="475" w:type="dxa"/>
          </w:tcPr>
          <w:p>
            <w:pPr>
              <w:pStyle w:val="TableParagraph"/>
              <w:rPr>
                <w:sz w:val="22"/>
              </w:rPr>
            </w:pPr>
            <w:r>
              <w:rPr>
                <w:sz w:val="22"/>
              </w:rPr>
              <w:t>132</w:t>
            </w:r>
          </w:p>
        </w:tc>
        <w:tc>
          <w:tcPr>
            <w:tcW w:w="970" w:type="dxa"/>
          </w:tcPr>
          <w:p>
            <w:pPr>
              <w:pStyle w:val="TableParagraph"/>
              <w:rPr>
                <w:sz w:val="22"/>
              </w:rPr>
            </w:pPr>
            <w:r>
              <w:rPr>
                <w:sz w:val="22"/>
              </w:rPr>
              <w:t>38,393</w:t>
            </w:r>
          </w:p>
        </w:tc>
        <w:tc>
          <w:tcPr>
            <w:tcW w:w="998" w:type="dxa"/>
          </w:tcPr>
          <w:p>
            <w:pPr>
              <w:pStyle w:val="TableParagraph"/>
              <w:ind w:right="63"/>
              <w:rPr>
                <w:sz w:val="22"/>
              </w:rPr>
            </w:pPr>
            <w:r>
              <w:rPr>
                <w:sz w:val="22"/>
              </w:rPr>
              <w:t>981,824</w:t>
            </w:r>
          </w:p>
        </w:tc>
        <w:tc>
          <w:tcPr>
            <w:tcW w:w="1126" w:type="dxa"/>
          </w:tcPr>
          <w:p>
            <w:pPr>
              <w:pStyle w:val="TableParagraph"/>
              <w:ind w:left="196" w:right="44"/>
              <w:jc w:val="center"/>
              <w:rPr>
                <w:sz w:val="22"/>
              </w:rPr>
            </w:pPr>
            <w:r>
              <w:rPr>
                <w:sz w:val="22"/>
              </w:rPr>
              <w:t>6918,777</w:t>
            </w:r>
          </w:p>
        </w:tc>
        <w:tc>
          <w:tcPr>
            <w:tcW w:w="754" w:type="dxa"/>
          </w:tcPr>
          <w:p>
            <w:pPr>
              <w:pStyle w:val="TableParagraph"/>
              <w:ind w:left="45" w:right="45"/>
              <w:jc w:val="center"/>
              <w:rPr>
                <w:sz w:val="22"/>
              </w:rPr>
            </w:pPr>
            <w:r>
              <w:rPr>
                <w:sz w:val="22"/>
              </w:rPr>
              <w:t>31,334</w:t>
            </w:r>
          </w:p>
        </w:tc>
        <w:tc>
          <w:tcPr>
            <w:tcW w:w="1385" w:type="dxa"/>
          </w:tcPr>
          <w:p>
            <w:pPr>
              <w:pStyle w:val="TableParagraph"/>
              <w:ind w:right="63"/>
              <w:rPr>
                <w:sz w:val="22"/>
              </w:rPr>
            </w:pPr>
            <w:r>
              <w:rPr>
                <w:sz w:val="22"/>
              </w:rPr>
              <w:t>64548,128</w:t>
            </w:r>
          </w:p>
        </w:tc>
        <w:tc>
          <w:tcPr>
            <w:tcW w:w="1601" w:type="dxa"/>
          </w:tcPr>
          <w:p>
            <w:pPr>
              <w:pStyle w:val="TableParagraph"/>
              <w:rPr>
                <w:sz w:val="22"/>
              </w:rPr>
            </w:pPr>
            <w:r>
              <w:rPr>
                <w:sz w:val="22"/>
              </w:rPr>
              <w:t>0,133567749</w:t>
            </w:r>
          </w:p>
        </w:tc>
      </w:tr>
      <w:tr>
        <w:trPr>
          <w:trHeight w:val="310" w:hRule="exact"/>
        </w:trPr>
        <w:tc>
          <w:tcPr>
            <w:tcW w:w="778" w:type="dxa"/>
          </w:tcPr>
          <w:p>
            <w:pPr>
              <w:pStyle w:val="TableParagraph"/>
              <w:ind w:right="1"/>
              <w:jc w:val="center"/>
              <w:rPr>
                <w:sz w:val="22"/>
              </w:rPr>
            </w:pPr>
            <w:r>
              <w:rPr>
                <w:w w:val="100"/>
                <w:sz w:val="22"/>
              </w:rPr>
              <w:t>N</w:t>
            </w:r>
          </w:p>
        </w:tc>
        <w:tc>
          <w:tcPr>
            <w:tcW w:w="754" w:type="dxa"/>
          </w:tcPr>
          <w:p>
            <w:pPr>
              <w:pStyle w:val="TableParagraph"/>
              <w:ind w:left="45" w:right="45"/>
              <w:jc w:val="center"/>
              <w:rPr>
                <w:sz w:val="22"/>
              </w:rPr>
            </w:pPr>
            <w:r>
              <w:rPr>
                <w:sz w:val="22"/>
              </w:rPr>
              <w:t>695,17</w:t>
            </w:r>
          </w:p>
        </w:tc>
        <w:tc>
          <w:tcPr>
            <w:tcW w:w="475" w:type="dxa"/>
          </w:tcPr>
          <w:p>
            <w:pPr/>
          </w:p>
        </w:tc>
        <w:tc>
          <w:tcPr>
            <w:tcW w:w="970" w:type="dxa"/>
          </w:tcPr>
          <w:p>
            <w:pPr/>
          </w:p>
        </w:tc>
        <w:tc>
          <w:tcPr>
            <w:tcW w:w="998" w:type="dxa"/>
          </w:tcPr>
          <w:p>
            <w:pPr>
              <w:pStyle w:val="TableParagraph"/>
              <w:spacing w:before="18"/>
              <w:ind w:left="328"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26" w:type="dxa"/>
          </w:tcPr>
          <w:p>
            <w:pPr>
              <w:pStyle w:val="TableParagraph"/>
              <w:ind w:left="83" w:right="44"/>
              <w:jc w:val="center"/>
              <w:rPr>
                <w:sz w:val="22"/>
              </w:rPr>
            </w:pPr>
            <w:r>
              <w:rPr>
                <w:sz w:val="22"/>
              </w:rPr>
              <w:t>30964,663</w:t>
            </w:r>
          </w:p>
        </w:tc>
        <w:tc>
          <w:tcPr>
            <w:tcW w:w="754" w:type="dxa"/>
          </w:tcPr>
          <w:p>
            <w:pPr/>
          </w:p>
        </w:tc>
        <w:tc>
          <w:tcPr>
            <w:tcW w:w="1385" w:type="dxa"/>
          </w:tcPr>
          <w:p>
            <w:pPr>
              <w:pStyle w:val="TableParagraph"/>
              <w:ind w:right="63"/>
              <w:rPr>
                <w:sz w:val="22"/>
              </w:rPr>
            </w:pPr>
            <w:r>
              <w:rPr>
                <w:sz w:val="22"/>
              </w:rPr>
              <w:t>187267,882</w:t>
            </w:r>
          </w:p>
        </w:tc>
        <w:tc>
          <w:tcPr>
            <w:tcW w:w="1601" w:type="dxa"/>
          </w:tcPr>
          <w:p>
            <w:pPr>
              <w:pStyle w:val="TableParagraph"/>
              <w:rPr>
                <w:sz w:val="22"/>
              </w:rPr>
            </w:pPr>
            <w:r>
              <w:rPr>
                <w:sz w:val="22"/>
              </w:rPr>
              <w:t>0,387508519</w:t>
            </w:r>
          </w:p>
        </w:tc>
      </w:tr>
      <w:tr>
        <w:trPr>
          <w:trHeight w:val="310" w:hRule="exact"/>
        </w:trPr>
        <w:tc>
          <w:tcPr>
            <w:tcW w:w="5100" w:type="dxa"/>
            <w:gridSpan w:val="6"/>
            <w:vMerge w:val="restart"/>
            <w:tcBorders>
              <w:left w:val="nil"/>
            </w:tcBorders>
          </w:tcPr>
          <w:p>
            <w:pPr/>
          </w:p>
        </w:tc>
        <w:tc>
          <w:tcPr>
            <w:tcW w:w="2138" w:type="dxa"/>
            <w:gridSpan w:val="2"/>
          </w:tcPr>
          <w:p>
            <w:pPr>
              <w:pStyle w:val="TableParagraph"/>
              <w:spacing w:before="13"/>
              <w:ind w:left="64" w:right="62"/>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01" w:type="dxa"/>
          </w:tcPr>
          <w:p>
            <w:pPr>
              <w:pStyle w:val="TableParagraph"/>
              <w:spacing w:before="30"/>
              <w:rPr>
                <w:b/>
                <w:sz w:val="22"/>
              </w:rPr>
            </w:pPr>
            <w:r>
              <w:rPr>
                <w:b/>
                <w:sz w:val="22"/>
              </w:rPr>
              <w:t>44,543</w:t>
            </w:r>
          </w:p>
        </w:tc>
      </w:tr>
      <w:tr>
        <w:trPr>
          <w:trHeight w:val="312" w:hRule="exact"/>
        </w:trPr>
        <w:tc>
          <w:tcPr>
            <w:tcW w:w="5100" w:type="dxa"/>
            <w:gridSpan w:val="6"/>
            <w:vMerge/>
            <w:tcBorders>
              <w:left w:val="nil"/>
            </w:tcBorders>
          </w:tcPr>
          <w:p>
            <w:pPr/>
          </w:p>
        </w:tc>
        <w:tc>
          <w:tcPr>
            <w:tcW w:w="2138" w:type="dxa"/>
            <w:gridSpan w:val="2"/>
          </w:tcPr>
          <w:p>
            <w:pPr>
              <w:pStyle w:val="TableParagraph"/>
              <w:spacing w:before="13"/>
              <w:ind w:left="64" w:right="62"/>
              <w:jc w:val="left"/>
              <w:rPr>
                <w:sz w:val="22"/>
              </w:rPr>
            </w:pPr>
            <w:r>
              <w:rPr>
                <w:sz w:val="22"/>
              </w:rPr>
              <w:t>Desviación estándar</w:t>
            </w:r>
          </w:p>
        </w:tc>
        <w:tc>
          <w:tcPr>
            <w:tcW w:w="1601" w:type="dxa"/>
          </w:tcPr>
          <w:p>
            <w:pPr>
              <w:pStyle w:val="TableParagraph"/>
              <w:spacing w:before="30"/>
              <w:rPr>
                <w:b/>
                <w:sz w:val="22"/>
              </w:rPr>
            </w:pPr>
            <w:r>
              <w:rPr>
                <w:b/>
                <w:sz w:val="22"/>
              </w:rPr>
              <w:t>0,623</w:t>
            </w:r>
          </w:p>
        </w:tc>
      </w:tr>
      <w:tr>
        <w:trPr>
          <w:trHeight w:val="310" w:hRule="exact"/>
        </w:trPr>
        <w:tc>
          <w:tcPr>
            <w:tcW w:w="5100" w:type="dxa"/>
            <w:gridSpan w:val="6"/>
            <w:vMerge/>
            <w:tcBorders>
              <w:left w:val="nil"/>
            </w:tcBorders>
          </w:tcPr>
          <w:p>
            <w:pPr/>
          </w:p>
        </w:tc>
        <w:tc>
          <w:tcPr>
            <w:tcW w:w="2138" w:type="dxa"/>
            <w:gridSpan w:val="2"/>
            <w:vMerge w:val="restart"/>
          </w:tcPr>
          <w:p>
            <w:pPr>
              <w:pStyle w:val="TableParagraph"/>
              <w:spacing w:before="33"/>
              <w:ind w:left="64" w:right="62"/>
              <w:jc w:val="left"/>
              <w:rPr>
                <w:sz w:val="22"/>
              </w:rPr>
            </w:pPr>
            <w:r>
              <w:rPr>
                <w:sz w:val="22"/>
              </w:rPr>
              <w:t>Intervalo de confianza al 95 %</w:t>
            </w:r>
          </w:p>
        </w:tc>
        <w:tc>
          <w:tcPr>
            <w:tcW w:w="1601" w:type="dxa"/>
          </w:tcPr>
          <w:p>
            <w:pPr>
              <w:pStyle w:val="TableParagraph"/>
              <w:rPr>
                <w:sz w:val="22"/>
              </w:rPr>
            </w:pPr>
            <w:r>
              <w:rPr>
                <w:sz w:val="22"/>
              </w:rPr>
              <w:t>43,32</w:t>
            </w:r>
          </w:p>
        </w:tc>
      </w:tr>
      <w:tr>
        <w:trPr>
          <w:trHeight w:val="310" w:hRule="exact"/>
        </w:trPr>
        <w:tc>
          <w:tcPr>
            <w:tcW w:w="5100" w:type="dxa"/>
            <w:gridSpan w:val="6"/>
            <w:vMerge/>
            <w:tcBorders>
              <w:left w:val="nil"/>
              <w:bottom w:val="nil"/>
            </w:tcBorders>
          </w:tcPr>
          <w:p>
            <w:pPr/>
          </w:p>
        </w:tc>
        <w:tc>
          <w:tcPr>
            <w:tcW w:w="2138" w:type="dxa"/>
            <w:gridSpan w:val="2"/>
            <w:vMerge/>
          </w:tcPr>
          <w:p>
            <w:pPr/>
          </w:p>
        </w:tc>
        <w:tc>
          <w:tcPr>
            <w:tcW w:w="1601" w:type="dxa"/>
          </w:tcPr>
          <w:p>
            <w:pPr>
              <w:pStyle w:val="TableParagraph"/>
              <w:rPr>
                <w:sz w:val="22"/>
              </w:rPr>
            </w:pPr>
            <w:r>
              <w:rPr>
                <w:sz w:val="22"/>
              </w:rPr>
              <w:t>45,76</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970"/>
        <w:gridCol w:w="998"/>
        <w:gridCol w:w="1126"/>
        <w:gridCol w:w="754"/>
        <w:gridCol w:w="1385"/>
        <w:gridCol w:w="1601"/>
      </w:tblGrid>
      <w:tr>
        <w:trPr>
          <w:trHeight w:val="310" w:hRule="exact"/>
        </w:trPr>
        <w:tc>
          <w:tcPr>
            <w:tcW w:w="8839" w:type="dxa"/>
            <w:gridSpan w:val="9"/>
          </w:tcPr>
          <w:p>
            <w:pPr>
              <w:pStyle w:val="TableParagraph"/>
              <w:ind w:left="3312" w:right="3311"/>
              <w:jc w:val="center"/>
              <w:rPr>
                <w:sz w:val="22"/>
              </w:rPr>
            </w:pPr>
            <w:r>
              <w:rPr>
                <w:sz w:val="22"/>
              </w:rPr>
              <w:t>Eficiencia Percolador</w:t>
            </w:r>
          </w:p>
        </w:tc>
      </w:tr>
      <w:tr>
        <w:trPr>
          <w:trHeight w:val="310"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970" w:type="dxa"/>
          </w:tcPr>
          <w:p>
            <w:pPr>
              <w:pStyle w:val="TableParagraph"/>
              <w:spacing w:before="43"/>
              <w:ind w:left="89" w:right="10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98" w:type="dxa"/>
          </w:tcPr>
          <w:p>
            <w:pPr>
              <w:pStyle w:val="TableParagraph"/>
              <w:spacing w:line="214" w:lineRule="exact" w:before="6"/>
              <w:ind w:left="374" w:right="382"/>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126" w:type="dxa"/>
          </w:tcPr>
          <w:p>
            <w:pPr>
              <w:pStyle w:val="TableParagraph"/>
              <w:spacing w:before="19"/>
              <w:ind w:left="36"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54" w:type="dxa"/>
          </w:tcPr>
          <w:p>
            <w:pPr>
              <w:pStyle w:val="TableParagraph"/>
              <w:spacing w:before="43"/>
              <w:ind w:left="34" w:right="45"/>
              <w:jc w:val="center"/>
              <w:rPr>
                <w:rFonts w:ascii="Cambria Math"/>
                <w:sz w:val="16"/>
              </w:rPr>
            </w:pPr>
            <w:r>
              <w:rPr>
                <w:rFonts w:ascii="Cambria Math"/>
                <w:w w:val="110"/>
                <w:sz w:val="22"/>
              </w:rPr>
              <w:t>s</w:t>
            </w:r>
            <w:r>
              <w:rPr>
                <w:rFonts w:ascii="Cambria Math"/>
                <w:w w:val="110"/>
                <w:position w:val="-4"/>
                <w:sz w:val="16"/>
              </w:rPr>
              <w:t>h</w:t>
            </w:r>
          </w:p>
        </w:tc>
        <w:tc>
          <w:tcPr>
            <w:tcW w:w="1385" w:type="dxa"/>
          </w:tcPr>
          <w:p>
            <w:pPr>
              <w:pStyle w:val="TableParagraph"/>
              <w:spacing w:before="0"/>
              <w:ind w:left="357" w:right="152"/>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01" w:type="dxa"/>
          </w:tcPr>
          <w:p>
            <w:pPr>
              <w:pStyle w:val="TableParagraph"/>
              <w:spacing w:before="0"/>
              <w:ind w:left="44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778" w:type="dxa"/>
          </w:tcPr>
          <w:p>
            <w:pPr>
              <w:pStyle w:val="TableParagraph"/>
              <w:spacing w:before="30"/>
              <w:ind w:left="1" w:right="0"/>
              <w:jc w:val="center"/>
              <w:rPr>
                <w:sz w:val="22"/>
              </w:rPr>
            </w:pPr>
            <w:r>
              <w:rPr>
                <w:w w:val="100"/>
                <w:sz w:val="22"/>
              </w:rPr>
              <w:t>1</w:t>
            </w:r>
          </w:p>
        </w:tc>
        <w:tc>
          <w:tcPr>
            <w:tcW w:w="754" w:type="dxa"/>
          </w:tcPr>
          <w:p>
            <w:pPr>
              <w:pStyle w:val="TableParagraph"/>
              <w:spacing w:before="30"/>
              <w:ind w:left="45" w:right="45"/>
              <w:jc w:val="center"/>
              <w:rPr>
                <w:sz w:val="22"/>
              </w:rPr>
            </w:pPr>
            <w:r>
              <w:rPr>
                <w:sz w:val="22"/>
              </w:rPr>
              <w:t>108,60</w:t>
            </w:r>
          </w:p>
        </w:tc>
        <w:tc>
          <w:tcPr>
            <w:tcW w:w="475" w:type="dxa"/>
          </w:tcPr>
          <w:p>
            <w:pPr>
              <w:pStyle w:val="TableParagraph"/>
              <w:spacing w:before="30"/>
              <w:rPr>
                <w:sz w:val="22"/>
              </w:rPr>
            </w:pPr>
            <w:r>
              <w:rPr>
                <w:sz w:val="22"/>
              </w:rPr>
              <w:t>108</w:t>
            </w:r>
          </w:p>
        </w:tc>
        <w:tc>
          <w:tcPr>
            <w:tcW w:w="970" w:type="dxa"/>
          </w:tcPr>
          <w:p>
            <w:pPr>
              <w:pStyle w:val="TableParagraph"/>
              <w:spacing w:before="30"/>
              <w:rPr>
                <w:sz w:val="22"/>
              </w:rPr>
            </w:pPr>
            <w:r>
              <w:rPr>
                <w:sz w:val="22"/>
              </w:rPr>
              <w:t>-20,000</w:t>
            </w:r>
          </w:p>
        </w:tc>
        <w:tc>
          <w:tcPr>
            <w:tcW w:w="998" w:type="dxa"/>
          </w:tcPr>
          <w:p>
            <w:pPr>
              <w:pStyle w:val="TableParagraph"/>
              <w:spacing w:before="30"/>
              <w:ind w:right="63"/>
              <w:rPr>
                <w:sz w:val="22"/>
              </w:rPr>
            </w:pPr>
            <w:r>
              <w:rPr>
                <w:sz w:val="22"/>
              </w:rPr>
              <w:t>3250,000</w:t>
            </w:r>
          </w:p>
        </w:tc>
        <w:tc>
          <w:tcPr>
            <w:tcW w:w="1126" w:type="dxa"/>
          </w:tcPr>
          <w:p>
            <w:pPr>
              <w:pStyle w:val="TableParagraph"/>
              <w:spacing w:before="30"/>
              <w:rPr>
                <w:sz w:val="22"/>
              </w:rPr>
            </w:pPr>
            <w:r>
              <w:rPr>
                <w:sz w:val="22"/>
              </w:rPr>
              <w:t>-2172,000</w:t>
            </w:r>
          </w:p>
        </w:tc>
        <w:tc>
          <w:tcPr>
            <w:tcW w:w="754" w:type="dxa"/>
          </w:tcPr>
          <w:p>
            <w:pPr>
              <w:pStyle w:val="TableParagraph"/>
              <w:spacing w:before="30"/>
              <w:ind w:left="45" w:right="45"/>
              <w:jc w:val="center"/>
              <w:rPr>
                <w:sz w:val="22"/>
              </w:rPr>
            </w:pPr>
            <w:r>
              <w:rPr>
                <w:sz w:val="22"/>
              </w:rPr>
              <w:t>57,009</w:t>
            </w:r>
          </w:p>
        </w:tc>
        <w:tc>
          <w:tcPr>
            <w:tcW w:w="1385" w:type="dxa"/>
          </w:tcPr>
          <w:p>
            <w:pPr>
              <w:pStyle w:val="TableParagraph"/>
              <w:spacing w:before="30"/>
              <w:ind w:right="63"/>
              <w:rPr>
                <w:sz w:val="22"/>
              </w:rPr>
            </w:pPr>
            <w:r>
              <w:rPr>
                <w:sz w:val="22"/>
              </w:rPr>
              <w:t>-118656,785</w:t>
            </w:r>
          </w:p>
        </w:tc>
        <w:tc>
          <w:tcPr>
            <w:tcW w:w="1601" w:type="dxa"/>
          </w:tcPr>
          <w:p>
            <w:pPr>
              <w:pStyle w:val="TableParagraph"/>
              <w:spacing w:before="30"/>
              <w:rPr>
                <w:sz w:val="22"/>
              </w:rPr>
            </w:pPr>
            <w:r>
              <w:rPr>
                <w:sz w:val="22"/>
              </w:rPr>
              <w:t>-0,245533374</w:t>
            </w:r>
          </w:p>
        </w:tc>
      </w:tr>
      <w:tr>
        <w:trPr>
          <w:trHeight w:val="310" w:hRule="exact"/>
        </w:trPr>
        <w:tc>
          <w:tcPr>
            <w:tcW w:w="778" w:type="dxa"/>
          </w:tcPr>
          <w:p>
            <w:pPr>
              <w:pStyle w:val="TableParagraph"/>
              <w:ind w:left="1" w:right="0"/>
              <w:jc w:val="center"/>
              <w:rPr>
                <w:sz w:val="22"/>
              </w:rPr>
            </w:pPr>
            <w:r>
              <w:rPr>
                <w:w w:val="100"/>
                <w:sz w:val="22"/>
              </w:rPr>
              <w:t>2</w:t>
            </w:r>
          </w:p>
        </w:tc>
        <w:tc>
          <w:tcPr>
            <w:tcW w:w="754" w:type="dxa"/>
          </w:tcPr>
          <w:p>
            <w:pPr>
              <w:pStyle w:val="TableParagraph"/>
              <w:ind w:left="45" w:right="45"/>
              <w:jc w:val="center"/>
              <w:rPr>
                <w:sz w:val="22"/>
              </w:rPr>
            </w:pPr>
            <w:r>
              <w:rPr>
                <w:sz w:val="22"/>
              </w:rPr>
              <w:t>121,03</w:t>
            </w:r>
          </w:p>
        </w:tc>
        <w:tc>
          <w:tcPr>
            <w:tcW w:w="475" w:type="dxa"/>
          </w:tcPr>
          <w:p>
            <w:pPr>
              <w:pStyle w:val="TableParagraph"/>
              <w:rPr>
                <w:sz w:val="22"/>
              </w:rPr>
            </w:pPr>
            <w:r>
              <w:rPr>
                <w:sz w:val="22"/>
              </w:rPr>
              <w:t>81</w:t>
            </w:r>
          </w:p>
        </w:tc>
        <w:tc>
          <w:tcPr>
            <w:tcW w:w="970" w:type="dxa"/>
          </w:tcPr>
          <w:p>
            <w:pPr>
              <w:pStyle w:val="TableParagraph"/>
              <w:rPr>
                <w:sz w:val="22"/>
              </w:rPr>
            </w:pPr>
            <w:r>
              <w:rPr>
                <w:sz w:val="22"/>
              </w:rPr>
              <w:t>-23,333</w:t>
            </w:r>
          </w:p>
        </w:tc>
        <w:tc>
          <w:tcPr>
            <w:tcW w:w="998" w:type="dxa"/>
          </w:tcPr>
          <w:p>
            <w:pPr>
              <w:pStyle w:val="TableParagraph"/>
              <w:ind w:right="63"/>
              <w:rPr>
                <w:sz w:val="22"/>
              </w:rPr>
            </w:pPr>
            <w:r>
              <w:rPr>
                <w:sz w:val="22"/>
              </w:rPr>
              <w:t>5222,222</w:t>
            </w:r>
          </w:p>
        </w:tc>
        <w:tc>
          <w:tcPr>
            <w:tcW w:w="1126" w:type="dxa"/>
          </w:tcPr>
          <w:p>
            <w:pPr>
              <w:pStyle w:val="TableParagraph"/>
              <w:rPr>
                <w:sz w:val="22"/>
              </w:rPr>
            </w:pPr>
            <w:r>
              <w:rPr>
                <w:sz w:val="22"/>
              </w:rPr>
              <w:t>-2824,033</w:t>
            </w:r>
          </w:p>
        </w:tc>
        <w:tc>
          <w:tcPr>
            <w:tcW w:w="754" w:type="dxa"/>
          </w:tcPr>
          <w:p>
            <w:pPr>
              <w:pStyle w:val="TableParagraph"/>
              <w:ind w:left="45" w:right="45"/>
              <w:jc w:val="center"/>
              <w:rPr>
                <w:sz w:val="22"/>
              </w:rPr>
            </w:pPr>
            <w:r>
              <w:rPr>
                <w:sz w:val="22"/>
              </w:rPr>
              <w:t>72,265</w:t>
            </w:r>
          </w:p>
        </w:tc>
        <w:tc>
          <w:tcPr>
            <w:tcW w:w="1385" w:type="dxa"/>
          </w:tcPr>
          <w:p>
            <w:pPr>
              <w:pStyle w:val="TableParagraph"/>
              <w:ind w:right="63"/>
              <w:rPr>
                <w:sz w:val="22"/>
              </w:rPr>
            </w:pPr>
            <w:r>
              <w:rPr>
                <w:sz w:val="22"/>
              </w:rPr>
              <w:t>312821,954</w:t>
            </w:r>
          </w:p>
        </w:tc>
        <w:tc>
          <w:tcPr>
            <w:tcW w:w="1601" w:type="dxa"/>
          </w:tcPr>
          <w:p>
            <w:pPr>
              <w:pStyle w:val="TableParagraph"/>
              <w:rPr>
                <w:sz w:val="22"/>
              </w:rPr>
            </w:pPr>
            <w:r>
              <w:rPr>
                <w:sz w:val="22"/>
              </w:rPr>
              <w:t>0,64731427</w:t>
            </w:r>
          </w:p>
        </w:tc>
      </w:tr>
      <w:tr>
        <w:trPr>
          <w:trHeight w:val="310" w:hRule="exact"/>
        </w:trPr>
        <w:tc>
          <w:tcPr>
            <w:tcW w:w="778" w:type="dxa"/>
          </w:tcPr>
          <w:p>
            <w:pPr>
              <w:pStyle w:val="TableParagraph"/>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970" w:type="dxa"/>
          </w:tcPr>
          <w:p>
            <w:pPr>
              <w:pStyle w:val="TableParagraph"/>
              <w:rPr>
                <w:sz w:val="22"/>
              </w:rPr>
            </w:pPr>
            <w:r>
              <w:rPr>
                <w:sz w:val="22"/>
              </w:rPr>
              <w:t>16,667</w:t>
            </w:r>
          </w:p>
        </w:tc>
        <w:tc>
          <w:tcPr>
            <w:tcW w:w="998" w:type="dxa"/>
          </w:tcPr>
          <w:p>
            <w:pPr>
              <w:pStyle w:val="TableParagraph"/>
              <w:ind w:right="63"/>
              <w:rPr>
                <w:sz w:val="22"/>
              </w:rPr>
            </w:pPr>
            <w:r>
              <w:rPr>
                <w:sz w:val="22"/>
              </w:rPr>
              <w:t>3888,889</w:t>
            </w:r>
          </w:p>
        </w:tc>
        <w:tc>
          <w:tcPr>
            <w:tcW w:w="1126" w:type="dxa"/>
          </w:tcPr>
          <w:p>
            <w:pPr>
              <w:pStyle w:val="TableParagraph"/>
              <w:rPr>
                <w:sz w:val="22"/>
              </w:rPr>
            </w:pPr>
            <w:r>
              <w:rPr>
                <w:sz w:val="22"/>
              </w:rPr>
              <w:t>2170,167</w:t>
            </w:r>
          </w:p>
        </w:tc>
        <w:tc>
          <w:tcPr>
            <w:tcW w:w="754" w:type="dxa"/>
          </w:tcPr>
          <w:p>
            <w:pPr>
              <w:pStyle w:val="TableParagraph"/>
              <w:ind w:left="45" w:right="45"/>
              <w:jc w:val="center"/>
              <w:rPr>
                <w:sz w:val="22"/>
              </w:rPr>
            </w:pPr>
            <w:r>
              <w:rPr>
                <w:sz w:val="22"/>
              </w:rPr>
              <w:t>62,361</w:t>
            </w:r>
          </w:p>
        </w:tc>
        <w:tc>
          <w:tcPr>
            <w:tcW w:w="1385" w:type="dxa"/>
          </w:tcPr>
          <w:p>
            <w:pPr>
              <w:pStyle w:val="TableParagraph"/>
              <w:ind w:right="63"/>
              <w:rPr>
                <w:sz w:val="22"/>
              </w:rPr>
            </w:pPr>
            <w:r>
              <w:rPr>
                <w:sz w:val="22"/>
              </w:rPr>
              <w:t>355069,208</w:t>
            </w:r>
          </w:p>
        </w:tc>
        <w:tc>
          <w:tcPr>
            <w:tcW w:w="1601" w:type="dxa"/>
          </w:tcPr>
          <w:p>
            <w:pPr>
              <w:pStyle w:val="TableParagraph"/>
              <w:rPr>
                <w:sz w:val="22"/>
              </w:rPr>
            </w:pPr>
            <w:r>
              <w:rPr>
                <w:sz w:val="22"/>
              </w:rPr>
              <w:t>0,734735404</w:t>
            </w:r>
          </w:p>
        </w:tc>
      </w:tr>
      <w:tr>
        <w:trPr>
          <w:trHeight w:val="310" w:hRule="exact"/>
        </w:trPr>
        <w:tc>
          <w:tcPr>
            <w:tcW w:w="778" w:type="dxa"/>
          </w:tcPr>
          <w:p>
            <w:pPr>
              <w:pStyle w:val="TableParagraph"/>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970" w:type="dxa"/>
          </w:tcPr>
          <w:p>
            <w:pPr>
              <w:pStyle w:val="TableParagraph"/>
              <w:rPr>
                <w:sz w:val="22"/>
              </w:rPr>
            </w:pPr>
            <w:r>
              <w:rPr>
                <w:sz w:val="22"/>
              </w:rPr>
              <w:t>-8,667</w:t>
            </w:r>
          </w:p>
        </w:tc>
        <w:tc>
          <w:tcPr>
            <w:tcW w:w="998" w:type="dxa"/>
          </w:tcPr>
          <w:p>
            <w:pPr>
              <w:pStyle w:val="TableParagraph"/>
              <w:ind w:right="63"/>
              <w:rPr>
                <w:sz w:val="22"/>
              </w:rPr>
            </w:pPr>
            <w:r>
              <w:rPr>
                <w:sz w:val="22"/>
              </w:rPr>
              <w:t>4542,222</w:t>
            </w:r>
          </w:p>
        </w:tc>
        <w:tc>
          <w:tcPr>
            <w:tcW w:w="1126" w:type="dxa"/>
          </w:tcPr>
          <w:p>
            <w:pPr>
              <w:pStyle w:val="TableParagraph"/>
              <w:rPr>
                <w:sz w:val="22"/>
              </w:rPr>
            </w:pPr>
            <w:r>
              <w:rPr>
                <w:sz w:val="22"/>
              </w:rPr>
              <w:t>-1344,373</w:t>
            </w:r>
          </w:p>
        </w:tc>
        <w:tc>
          <w:tcPr>
            <w:tcW w:w="754" w:type="dxa"/>
          </w:tcPr>
          <w:p>
            <w:pPr>
              <w:pStyle w:val="TableParagraph"/>
              <w:ind w:left="45" w:right="45"/>
              <w:jc w:val="center"/>
              <w:rPr>
                <w:sz w:val="22"/>
              </w:rPr>
            </w:pPr>
            <w:r>
              <w:rPr>
                <w:sz w:val="22"/>
              </w:rPr>
              <w:t>67,396</w:t>
            </w:r>
          </w:p>
        </w:tc>
        <w:tc>
          <w:tcPr>
            <w:tcW w:w="1385" w:type="dxa"/>
          </w:tcPr>
          <w:p>
            <w:pPr>
              <w:pStyle w:val="TableParagraph"/>
              <w:ind w:right="63"/>
              <w:rPr>
                <w:sz w:val="22"/>
              </w:rPr>
            </w:pPr>
            <w:r>
              <w:rPr>
                <w:sz w:val="22"/>
              </w:rPr>
              <w:t>485868,227</w:t>
            </w:r>
          </w:p>
        </w:tc>
        <w:tc>
          <w:tcPr>
            <w:tcW w:w="1601" w:type="dxa"/>
          </w:tcPr>
          <w:p>
            <w:pPr>
              <w:pStyle w:val="TableParagraph"/>
              <w:rPr>
                <w:sz w:val="22"/>
              </w:rPr>
            </w:pPr>
            <w:r>
              <w:rPr>
                <w:sz w:val="22"/>
              </w:rPr>
              <w:t>1,005394387</w:t>
            </w:r>
          </w:p>
        </w:tc>
      </w:tr>
      <w:tr>
        <w:trPr>
          <w:trHeight w:val="310" w:hRule="exact"/>
        </w:trPr>
        <w:tc>
          <w:tcPr>
            <w:tcW w:w="778" w:type="dxa"/>
          </w:tcPr>
          <w:p>
            <w:pPr>
              <w:pStyle w:val="TableParagraph"/>
              <w:ind w:left="1" w:right="0"/>
              <w:jc w:val="center"/>
              <w:rPr>
                <w:sz w:val="22"/>
              </w:rPr>
            </w:pPr>
            <w:r>
              <w:rPr>
                <w:w w:val="100"/>
                <w:sz w:val="22"/>
              </w:rPr>
              <w:t>5</w:t>
            </w:r>
          </w:p>
        </w:tc>
        <w:tc>
          <w:tcPr>
            <w:tcW w:w="754" w:type="dxa"/>
          </w:tcPr>
          <w:p>
            <w:pPr>
              <w:pStyle w:val="TableParagraph"/>
              <w:ind w:left="45" w:right="45"/>
              <w:jc w:val="center"/>
              <w:rPr>
                <w:sz w:val="22"/>
              </w:rPr>
            </w:pPr>
            <w:r>
              <w:rPr>
                <w:sz w:val="22"/>
              </w:rPr>
              <w:t>180,21</w:t>
            </w:r>
          </w:p>
        </w:tc>
        <w:tc>
          <w:tcPr>
            <w:tcW w:w="475" w:type="dxa"/>
          </w:tcPr>
          <w:p>
            <w:pPr>
              <w:pStyle w:val="TableParagraph"/>
              <w:rPr>
                <w:sz w:val="22"/>
              </w:rPr>
            </w:pPr>
            <w:r>
              <w:rPr>
                <w:sz w:val="22"/>
              </w:rPr>
              <w:t>132</w:t>
            </w:r>
          </w:p>
        </w:tc>
        <w:tc>
          <w:tcPr>
            <w:tcW w:w="970" w:type="dxa"/>
          </w:tcPr>
          <w:p>
            <w:pPr>
              <w:pStyle w:val="TableParagraph"/>
              <w:rPr>
                <w:sz w:val="22"/>
              </w:rPr>
            </w:pPr>
            <w:r>
              <w:rPr>
                <w:sz w:val="22"/>
              </w:rPr>
              <w:t>-5,972</w:t>
            </w:r>
          </w:p>
        </w:tc>
        <w:tc>
          <w:tcPr>
            <w:tcW w:w="998" w:type="dxa"/>
          </w:tcPr>
          <w:p>
            <w:pPr>
              <w:pStyle w:val="TableParagraph"/>
              <w:ind w:right="63"/>
              <w:rPr>
                <w:sz w:val="22"/>
              </w:rPr>
            </w:pPr>
            <w:r>
              <w:rPr>
                <w:sz w:val="22"/>
              </w:rPr>
              <w:t>329,005</w:t>
            </w:r>
          </w:p>
        </w:tc>
        <w:tc>
          <w:tcPr>
            <w:tcW w:w="1126" w:type="dxa"/>
          </w:tcPr>
          <w:p>
            <w:pPr>
              <w:pStyle w:val="TableParagraph"/>
              <w:rPr>
                <w:sz w:val="22"/>
              </w:rPr>
            </w:pPr>
            <w:r>
              <w:rPr>
                <w:sz w:val="22"/>
              </w:rPr>
              <w:t>-1076,254</w:t>
            </w:r>
          </w:p>
        </w:tc>
        <w:tc>
          <w:tcPr>
            <w:tcW w:w="754" w:type="dxa"/>
          </w:tcPr>
          <w:p>
            <w:pPr>
              <w:pStyle w:val="TableParagraph"/>
              <w:ind w:left="45" w:right="45"/>
              <w:jc w:val="center"/>
              <w:rPr>
                <w:sz w:val="22"/>
              </w:rPr>
            </w:pPr>
            <w:r>
              <w:rPr>
                <w:sz w:val="22"/>
              </w:rPr>
              <w:t>18,138</w:t>
            </w:r>
          </w:p>
        </w:tc>
        <w:tc>
          <w:tcPr>
            <w:tcW w:w="1385" w:type="dxa"/>
          </w:tcPr>
          <w:p>
            <w:pPr>
              <w:pStyle w:val="TableParagraph"/>
              <w:ind w:right="63"/>
              <w:rPr>
                <w:sz w:val="22"/>
              </w:rPr>
            </w:pPr>
            <w:r>
              <w:rPr>
                <w:sz w:val="22"/>
              </w:rPr>
              <w:t>21629,776</w:t>
            </w:r>
          </w:p>
        </w:tc>
        <w:tc>
          <w:tcPr>
            <w:tcW w:w="1601" w:type="dxa"/>
          </w:tcPr>
          <w:p>
            <w:pPr>
              <w:pStyle w:val="TableParagraph"/>
              <w:rPr>
                <w:sz w:val="22"/>
              </w:rPr>
            </w:pPr>
            <w:r>
              <w:rPr>
                <w:sz w:val="22"/>
              </w:rPr>
              <w:t>0,044757929</w:t>
            </w:r>
          </w:p>
        </w:tc>
      </w:tr>
      <w:tr>
        <w:trPr>
          <w:trHeight w:val="310" w:hRule="exact"/>
        </w:trPr>
        <w:tc>
          <w:tcPr>
            <w:tcW w:w="778" w:type="dxa"/>
          </w:tcPr>
          <w:p>
            <w:pPr>
              <w:pStyle w:val="TableParagraph"/>
              <w:spacing w:before="30"/>
              <w:ind w:right="1"/>
              <w:jc w:val="center"/>
              <w:rPr>
                <w:sz w:val="22"/>
              </w:rPr>
            </w:pPr>
            <w:r>
              <w:rPr>
                <w:w w:val="100"/>
                <w:sz w:val="22"/>
              </w:rPr>
              <w:t>N</w:t>
            </w:r>
          </w:p>
        </w:tc>
        <w:tc>
          <w:tcPr>
            <w:tcW w:w="754" w:type="dxa"/>
          </w:tcPr>
          <w:p>
            <w:pPr>
              <w:pStyle w:val="TableParagraph"/>
              <w:spacing w:before="30"/>
              <w:ind w:left="45" w:right="45"/>
              <w:jc w:val="center"/>
              <w:rPr>
                <w:sz w:val="22"/>
              </w:rPr>
            </w:pPr>
            <w:r>
              <w:rPr>
                <w:sz w:val="22"/>
              </w:rPr>
              <w:t>695,17</w:t>
            </w:r>
          </w:p>
        </w:tc>
        <w:tc>
          <w:tcPr>
            <w:tcW w:w="475" w:type="dxa"/>
          </w:tcPr>
          <w:p>
            <w:pPr/>
          </w:p>
        </w:tc>
        <w:tc>
          <w:tcPr>
            <w:tcW w:w="970" w:type="dxa"/>
          </w:tcPr>
          <w:p>
            <w:pPr/>
          </w:p>
        </w:tc>
        <w:tc>
          <w:tcPr>
            <w:tcW w:w="998" w:type="dxa"/>
          </w:tcPr>
          <w:p>
            <w:pPr>
              <w:pStyle w:val="TableParagraph"/>
              <w:spacing w:before="18"/>
              <w:ind w:left="328"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26" w:type="dxa"/>
          </w:tcPr>
          <w:p>
            <w:pPr>
              <w:pStyle w:val="TableParagraph"/>
              <w:spacing w:before="30"/>
              <w:rPr>
                <w:sz w:val="22"/>
              </w:rPr>
            </w:pPr>
            <w:r>
              <w:rPr>
                <w:sz w:val="22"/>
              </w:rPr>
              <w:t>-5246,494</w:t>
            </w:r>
          </w:p>
        </w:tc>
        <w:tc>
          <w:tcPr>
            <w:tcW w:w="754" w:type="dxa"/>
          </w:tcPr>
          <w:p>
            <w:pPr/>
          </w:p>
        </w:tc>
        <w:tc>
          <w:tcPr>
            <w:tcW w:w="1385" w:type="dxa"/>
          </w:tcPr>
          <w:p>
            <w:pPr>
              <w:pStyle w:val="TableParagraph"/>
              <w:spacing w:before="30"/>
              <w:ind w:right="63"/>
              <w:rPr>
                <w:sz w:val="22"/>
              </w:rPr>
            </w:pPr>
            <w:r>
              <w:rPr>
                <w:sz w:val="22"/>
              </w:rPr>
              <w:t>1056732,381</w:t>
            </w:r>
          </w:p>
        </w:tc>
        <w:tc>
          <w:tcPr>
            <w:tcW w:w="1601" w:type="dxa"/>
          </w:tcPr>
          <w:p>
            <w:pPr>
              <w:pStyle w:val="TableParagraph"/>
              <w:spacing w:before="30"/>
              <w:rPr>
                <w:sz w:val="22"/>
              </w:rPr>
            </w:pPr>
            <w:r>
              <w:rPr>
                <w:sz w:val="22"/>
              </w:rPr>
              <w:t>2,186668615</w:t>
            </w:r>
          </w:p>
        </w:tc>
      </w:tr>
      <w:tr>
        <w:trPr>
          <w:trHeight w:val="312" w:hRule="exact"/>
        </w:trPr>
        <w:tc>
          <w:tcPr>
            <w:tcW w:w="5100" w:type="dxa"/>
            <w:gridSpan w:val="6"/>
            <w:vMerge w:val="restart"/>
            <w:tcBorders>
              <w:left w:val="nil"/>
            </w:tcBorders>
          </w:tcPr>
          <w:p>
            <w:pPr/>
          </w:p>
        </w:tc>
        <w:tc>
          <w:tcPr>
            <w:tcW w:w="2138" w:type="dxa"/>
            <w:gridSpan w:val="2"/>
          </w:tcPr>
          <w:p>
            <w:pPr>
              <w:pStyle w:val="TableParagraph"/>
              <w:spacing w:before="13"/>
              <w:ind w:left="64" w:right="62"/>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01" w:type="dxa"/>
          </w:tcPr>
          <w:p>
            <w:pPr>
              <w:pStyle w:val="TableParagraph"/>
              <w:spacing w:before="30"/>
              <w:rPr>
                <w:b/>
                <w:sz w:val="22"/>
              </w:rPr>
            </w:pPr>
            <w:r>
              <w:rPr>
                <w:b/>
                <w:sz w:val="22"/>
              </w:rPr>
              <w:t>-7,547</w:t>
            </w:r>
          </w:p>
        </w:tc>
      </w:tr>
      <w:tr>
        <w:trPr>
          <w:trHeight w:val="310" w:hRule="exact"/>
        </w:trPr>
        <w:tc>
          <w:tcPr>
            <w:tcW w:w="5100" w:type="dxa"/>
            <w:gridSpan w:val="6"/>
            <w:vMerge/>
            <w:tcBorders>
              <w:left w:val="nil"/>
            </w:tcBorders>
          </w:tcPr>
          <w:p>
            <w:pPr/>
          </w:p>
        </w:tc>
        <w:tc>
          <w:tcPr>
            <w:tcW w:w="2138" w:type="dxa"/>
            <w:gridSpan w:val="2"/>
          </w:tcPr>
          <w:p>
            <w:pPr>
              <w:pStyle w:val="TableParagraph"/>
              <w:spacing w:before="11"/>
              <w:ind w:left="64" w:right="62"/>
              <w:jc w:val="left"/>
              <w:rPr>
                <w:sz w:val="22"/>
              </w:rPr>
            </w:pPr>
            <w:r>
              <w:rPr>
                <w:sz w:val="22"/>
              </w:rPr>
              <w:t>Desviación estándar</w:t>
            </w:r>
          </w:p>
        </w:tc>
        <w:tc>
          <w:tcPr>
            <w:tcW w:w="1601" w:type="dxa"/>
          </w:tcPr>
          <w:p>
            <w:pPr>
              <w:pStyle w:val="TableParagraph"/>
              <w:rPr>
                <w:b/>
                <w:sz w:val="22"/>
              </w:rPr>
            </w:pPr>
            <w:r>
              <w:rPr>
                <w:b/>
                <w:sz w:val="22"/>
              </w:rPr>
              <w:t>1,479</w:t>
            </w:r>
          </w:p>
        </w:tc>
      </w:tr>
      <w:tr>
        <w:trPr>
          <w:trHeight w:val="310" w:hRule="exact"/>
        </w:trPr>
        <w:tc>
          <w:tcPr>
            <w:tcW w:w="5100" w:type="dxa"/>
            <w:gridSpan w:val="6"/>
            <w:vMerge/>
            <w:tcBorders>
              <w:left w:val="nil"/>
            </w:tcBorders>
          </w:tcPr>
          <w:p>
            <w:pPr/>
          </w:p>
        </w:tc>
        <w:tc>
          <w:tcPr>
            <w:tcW w:w="2138" w:type="dxa"/>
            <w:gridSpan w:val="2"/>
            <w:vMerge w:val="restart"/>
          </w:tcPr>
          <w:p>
            <w:pPr>
              <w:pStyle w:val="TableParagraph"/>
              <w:spacing w:before="33"/>
              <w:ind w:left="64" w:right="62"/>
              <w:jc w:val="left"/>
              <w:rPr>
                <w:sz w:val="22"/>
              </w:rPr>
            </w:pPr>
            <w:r>
              <w:rPr>
                <w:sz w:val="22"/>
              </w:rPr>
              <w:t>Intervalo de confianza al 95 %</w:t>
            </w:r>
          </w:p>
        </w:tc>
        <w:tc>
          <w:tcPr>
            <w:tcW w:w="1601" w:type="dxa"/>
          </w:tcPr>
          <w:p>
            <w:pPr>
              <w:pStyle w:val="TableParagraph"/>
              <w:rPr>
                <w:sz w:val="22"/>
              </w:rPr>
            </w:pPr>
            <w:r>
              <w:rPr>
                <w:sz w:val="22"/>
              </w:rPr>
              <w:t>-10,45</w:t>
            </w:r>
          </w:p>
        </w:tc>
      </w:tr>
      <w:tr>
        <w:trPr>
          <w:trHeight w:val="310" w:hRule="exact"/>
        </w:trPr>
        <w:tc>
          <w:tcPr>
            <w:tcW w:w="5100" w:type="dxa"/>
            <w:gridSpan w:val="6"/>
            <w:vMerge/>
            <w:tcBorders>
              <w:left w:val="nil"/>
              <w:bottom w:val="nil"/>
            </w:tcBorders>
          </w:tcPr>
          <w:p>
            <w:pPr/>
          </w:p>
        </w:tc>
        <w:tc>
          <w:tcPr>
            <w:tcW w:w="2138" w:type="dxa"/>
            <w:gridSpan w:val="2"/>
            <w:vMerge/>
          </w:tcPr>
          <w:p>
            <w:pPr/>
          </w:p>
        </w:tc>
        <w:tc>
          <w:tcPr>
            <w:tcW w:w="1601" w:type="dxa"/>
          </w:tcPr>
          <w:p>
            <w:pPr>
              <w:pStyle w:val="TableParagraph"/>
              <w:rPr>
                <w:sz w:val="22"/>
              </w:rPr>
            </w:pPr>
            <w:r>
              <w:rPr>
                <w:sz w:val="22"/>
              </w:rPr>
              <w:t>-4,65</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970"/>
        <w:gridCol w:w="998"/>
        <w:gridCol w:w="1126"/>
        <w:gridCol w:w="754"/>
        <w:gridCol w:w="1385"/>
        <w:gridCol w:w="1601"/>
      </w:tblGrid>
      <w:tr>
        <w:trPr>
          <w:trHeight w:val="310" w:hRule="exact"/>
        </w:trPr>
        <w:tc>
          <w:tcPr>
            <w:tcW w:w="8839" w:type="dxa"/>
            <w:gridSpan w:val="9"/>
          </w:tcPr>
          <w:p>
            <w:pPr>
              <w:pStyle w:val="TableParagraph"/>
              <w:spacing w:before="30"/>
              <w:ind w:left="3312" w:right="3312"/>
              <w:jc w:val="center"/>
              <w:rPr>
                <w:sz w:val="22"/>
              </w:rPr>
            </w:pPr>
            <w:r>
              <w:rPr>
                <w:sz w:val="22"/>
              </w:rPr>
              <w:t>Eficiencia filtro de arena</w:t>
            </w:r>
          </w:p>
        </w:tc>
      </w:tr>
      <w:tr>
        <w:trPr>
          <w:trHeight w:val="312"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970" w:type="dxa"/>
          </w:tcPr>
          <w:p>
            <w:pPr>
              <w:pStyle w:val="TableParagraph"/>
              <w:spacing w:before="43"/>
              <w:ind w:left="89" w:right="10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98" w:type="dxa"/>
          </w:tcPr>
          <w:p>
            <w:pPr>
              <w:pStyle w:val="TableParagraph"/>
              <w:spacing w:line="214" w:lineRule="exact" w:before="8"/>
              <w:ind w:left="374" w:right="382"/>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126" w:type="dxa"/>
          </w:tcPr>
          <w:p>
            <w:pPr>
              <w:pStyle w:val="TableParagraph"/>
              <w:spacing w:before="19"/>
              <w:ind w:left="36" w:right="44"/>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54" w:type="dxa"/>
          </w:tcPr>
          <w:p>
            <w:pPr>
              <w:pStyle w:val="TableParagraph"/>
              <w:spacing w:before="43"/>
              <w:ind w:left="34" w:right="45"/>
              <w:jc w:val="center"/>
              <w:rPr>
                <w:rFonts w:ascii="Cambria Math"/>
                <w:sz w:val="16"/>
              </w:rPr>
            </w:pPr>
            <w:r>
              <w:rPr>
                <w:rFonts w:ascii="Cambria Math"/>
                <w:w w:val="110"/>
                <w:sz w:val="22"/>
              </w:rPr>
              <w:t>s</w:t>
            </w:r>
            <w:r>
              <w:rPr>
                <w:rFonts w:ascii="Cambria Math"/>
                <w:w w:val="110"/>
                <w:position w:val="-4"/>
                <w:sz w:val="16"/>
              </w:rPr>
              <w:t>h</w:t>
            </w:r>
          </w:p>
        </w:tc>
        <w:tc>
          <w:tcPr>
            <w:tcW w:w="1385" w:type="dxa"/>
          </w:tcPr>
          <w:p>
            <w:pPr>
              <w:pStyle w:val="TableParagraph"/>
              <w:spacing w:before="3"/>
              <w:ind w:left="357" w:right="152"/>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01" w:type="dxa"/>
          </w:tcPr>
          <w:p>
            <w:pPr>
              <w:pStyle w:val="TableParagraph"/>
              <w:spacing w:before="3"/>
              <w:ind w:left="44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ind w:left="1" w:right="0"/>
              <w:jc w:val="center"/>
              <w:rPr>
                <w:sz w:val="22"/>
              </w:rPr>
            </w:pPr>
            <w:r>
              <w:rPr>
                <w:w w:val="100"/>
                <w:sz w:val="22"/>
              </w:rPr>
              <w:t>1</w:t>
            </w:r>
          </w:p>
        </w:tc>
        <w:tc>
          <w:tcPr>
            <w:tcW w:w="754" w:type="dxa"/>
          </w:tcPr>
          <w:p>
            <w:pPr>
              <w:pStyle w:val="TableParagraph"/>
              <w:ind w:left="45" w:right="45"/>
              <w:jc w:val="center"/>
              <w:rPr>
                <w:sz w:val="22"/>
              </w:rPr>
            </w:pPr>
            <w:r>
              <w:rPr>
                <w:sz w:val="22"/>
              </w:rPr>
              <w:t>108,60</w:t>
            </w:r>
          </w:p>
        </w:tc>
        <w:tc>
          <w:tcPr>
            <w:tcW w:w="475" w:type="dxa"/>
          </w:tcPr>
          <w:p>
            <w:pPr>
              <w:pStyle w:val="TableParagraph"/>
              <w:rPr>
                <w:sz w:val="22"/>
              </w:rPr>
            </w:pPr>
            <w:r>
              <w:rPr>
                <w:sz w:val="22"/>
              </w:rPr>
              <w:t>108</w:t>
            </w:r>
          </w:p>
        </w:tc>
        <w:tc>
          <w:tcPr>
            <w:tcW w:w="970" w:type="dxa"/>
          </w:tcPr>
          <w:p>
            <w:pPr>
              <w:pStyle w:val="TableParagraph"/>
              <w:rPr>
                <w:sz w:val="22"/>
              </w:rPr>
            </w:pPr>
            <w:r>
              <w:rPr>
                <w:sz w:val="22"/>
              </w:rPr>
              <w:t>33,333</w:t>
            </w:r>
          </w:p>
        </w:tc>
        <w:tc>
          <w:tcPr>
            <w:tcW w:w="998" w:type="dxa"/>
          </w:tcPr>
          <w:p>
            <w:pPr>
              <w:pStyle w:val="TableParagraph"/>
              <w:ind w:right="63"/>
              <w:rPr>
                <w:sz w:val="22"/>
              </w:rPr>
            </w:pPr>
            <w:r>
              <w:rPr>
                <w:sz w:val="22"/>
              </w:rPr>
              <w:t>416,667</w:t>
            </w:r>
          </w:p>
        </w:tc>
        <w:tc>
          <w:tcPr>
            <w:tcW w:w="1126" w:type="dxa"/>
          </w:tcPr>
          <w:p>
            <w:pPr>
              <w:pStyle w:val="TableParagraph"/>
              <w:ind w:left="196" w:right="44"/>
              <w:jc w:val="center"/>
              <w:rPr>
                <w:sz w:val="22"/>
              </w:rPr>
            </w:pPr>
            <w:r>
              <w:rPr>
                <w:sz w:val="22"/>
              </w:rPr>
              <w:t>3620,000</w:t>
            </w:r>
          </w:p>
        </w:tc>
        <w:tc>
          <w:tcPr>
            <w:tcW w:w="754" w:type="dxa"/>
          </w:tcPr>
          <w:p>
            <w:pPr>
              <w:pStyle w:val="TableParagraph"/>
              <w:ind w:left="45" w:right="45"/>
              <w:jc w:val="center"/>
              <w:rPr>
                <w:sz w:val="22"/>
              </w:rPr>
            </w:pPr>
            <w:r>
              <w:rPr>
                <w:sz w:val="22"/>
              </w:rPr>
              <w:t>20,412</w:t>
            </w:r>
          </w:p>
        </w:tc>
        <w:tc>
          <w:tcPr>
            <w:tcW w:w="1385" w:type="dxa"/>
          </w:tcPr>
          <w:p>
            <w:pPr>
              <w:pStyle w:val="TableParagraph"/>
              <w:ind w:left="292" w:right="0"/>
              <w:jc w:val="left"/>
              <w:rPr>
                <w:sz w:val="22"/>
              </w:rPr>
            </w:pPr>
            <w:r>
              <w:rPr>
                <w:sz w:val="22"/>
              </w:rPr>
              <w:t>-15212,408</w:t>
            </w:r>
          </w:p>
        </w:tc>
        <w:tc>
          <w:tcPr>
            <w:tcW w:w="1601" w:type="dxa"/>
          </w:tcPr>
          <w:p>
            <w:pPr>
              <w:pStyle w:val="TableParagraph"/>
              <w:rPr>
                <w:sz w:val="22"/>
              </w:rPr>
            </w:pPr>
            <w:r>
              <w:rPr>
                <w:sz w:val="22"/>
              </w:rPr>
              <w:t>-0,031478638</w:t>
            </w:r>
          </w:p>
        </w:tc>
      </w:tr>
      <w:tr>
        <w:trPr>
          <w:trHeight w:val="310" w:hRule="exact"/>
        </w:trPr>
        <w:tc>
          <w:tcPr>
            <w:tcW w:w="778" w:type="dxa"/>
          </w:tcPr>
          <w:p>
            <w:pPr>
              <w:pStyle w:val="TableParagraph"/>
              <w:ind w:left="1" w:right="0"/>
              <w:jc w:val="center"/>
              <w:rPr>
                <w:sz w:val="22"/>
              </w:rPr>
            </w:pPr>
            <w:r>
              <w:rPr>
                <w:w w:val="100"/>
                <w:sz w:val="22"/>
              </w:rPr>
              <w:t>2</w:t>
            </w:r>
          </w:p>
        </w:tc>
        <w:tc>
          <w:tcPr>
            <w:tcW w:w="754" w:type="dxa"/>
          </w:tcPr>
          <w:p>
            <w:pPr>
              <w:pStyle w:val="TableParagraph"/>
              <w:ind w:left="45" w:right="45"/>
              <w:jc w:val="center"/>
              <w:rPr>
                <w:sz w:val="22"/>
              </w:rPr>
            </w:pPr>
            <w:r>
              <w:rPr>
                <w:sz w:val="22"/>
              </w:rPr>
              <w:t>121,03</w:t>
            </w:r>
          </w:p>
        </w:tc>
        <w:tc>
          <w:tcPr>
            <w:tcW w:w="475" w:type="dxa"/>
          </w:tcPr>
          <w:p>
            <w:pPr>
              <w:pStyle w:val="TableParagraph"/>
              <w:rPr>
                <w:sz w:val="22"/>
              </w:rPr>
            </w:pPr>
            <w:r>
              <w:rPr>
                <w:sz w:val="22"/>
              </w:rPr>
              <w:t>81</w:t>
            </w:r>
          </w:p>
        </w:tc>
        <w:tc>
          <w:tcPr>
            <w:tcW w:w="970" w:type="dxa"/>
          </w:tcPr>
          <w:p>
            <w:pPr>
              <w:pStyle w:val="TableParagraph"/>
              <w:rPr>
                <w:sz w:val="22"/>
              </w:rPr>
            </w:pPr>
            <w:r>
              <w:rPr>
                <w:sz w:val="22"/>
              </w:rPr>
              <w:t>30,000</w:t>
            </w:r>
          </w:p>
        </w:tc>
        <w:tc>
          <w:tcPr>
            <w:tcW w:w="998" w:type="dxa"/>
          </w:tcPr>
          <w:p>
            <w:pPr>
              <w:pStyle w:val="TableParagraph"/>
              <w:ind w:right="63"/>
              <w:rPr>
                <w:sz w:val="22"/>
              </w:rPr>
            </w:pPr>
            <w:r>
              <w:rPr>
                <w:sz w:val="22"/>
              </w:rPr>
              <w:t>750,000</w:t>
            </w:r>
          </w:p>
        </w:tc>
        <w:tc>
          <w:tcPr>
            <w:tcW w:w="1126" w:type="dxa"/>
          </w:tcPr>
          <w:p>
            <w:pPr>
              <w:pStyle w:val="TableParagraph"/>
              <w:ind w:left="196" w:right="44"/>
              <w:jc w:val="center"/>
              <w:rPr>
                <w:sz w:val="22"/>
              </w:rPr>
            </w:pPr>
            <w:r>
              <w:rPr>
                <w:sz w:val="22"/>
              </w:rPr>
              <w:t>3630,900</w:t>
            </w:r>
          </w:p>
        </w:tc>
        <w:tc>
          <w:tcPr>
            <w:tcW w:w="754" w:type="dxa"/>
          </w:tcPr>
          <w:p>
            <w:pPr>
              <w:pStyle w:val="TableParagraph"/>
              <w:ind w:left="45" w:right="45"/>
              <w:jc w:val="center"/>
              <w:rPr>
                <w:sz w:val="22"/>
              </w:rPr>
            </w:pPr>
            <w:r>
              <w:rPr>
                <w:sz w:val="22"/>
              </w:rPr>
              <w:t>27,386</w:t>
            </w:r>
          </w:p>
        </w:tc>
        <w:tc>
          <w:tcPr>
            <w:tcW w:w="1385" w:type="dxa"/>
          </w:tcPr>
          <w:p>
            <w:pPr>
              <w:pStyle w:val="TableParagraph"/>
              <w:ind w:left="359" w:right="0"/>
              <w:jc w:val="left"/>
              <w:rPr>
                <w:sz w:val="22"/>
              </w:rPr>
            </w:pPr>
            <w:r>
              <w:rPr>
                <w:sz w:val="22"/>
              </w:rPr>
              <w:t>44926,557</w:t>
            </w:r>
          </w:p>
        </w:tc>
        <w:tc>
          <w:tcPr>
            <w:tcW w:w="1601" w:type="dxa"/>
          </w:tcPr>
          <w:p>
            <w:pPr>
              <w:pStyle w:val="TableParagraph"/>
              <w:rPr>
                <w:sz w:val="22"/>
              </w:rPr>
            </w:pPr>
            <w:r>
              <w:rPr>
                <w:sz w:val="22"/>
              </w:rPr>
              <w:t>0,092965347</w:t>
            </w:r>
          </w:p>
        </w:tc>
      </w:tr>
      <w:tr>
        <w:trPr>
          <w:trHeight w:val="310" w:hRule="exact"/>
        </w:trPr>
        <w:tc>
          <w:tcPr>
            <w:tcW w:w="778" w:type="dxa"/>
          </w:tcPr>
          <w:p>
            <w:pPr>
              <w:pStyle w:val="TableParagraph"/>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970" w:type="dxa"/>
          </w:tcPr>
          <w:p>
            <w:pPr>
              <w:pStyle w:val="TableParagraph"/>
              <w:rPr>
                <w:sz w:val="22"/>
              </w:rPr>
            </w:pPr>
            <w:r>
              <w:rPr>
                <w:sz w:val="22"/>
              </w:rPr>
              <w:t>59,333</w:t>
            </w:r>
          </w:p>
        </w:tc>
        <w:tc>
          <w:tcPr>
            <w:tcW w:w="998" w:type="dxa"/>
          </w:tcPr>
          <w:p>
            <w:pPr>
              <w:pStyle w:val="TableParagraph"/>
              <w:ind w:right="63"/>
              <w:rPr>
                <w:sz w:val="22"/>
              </w:rPr>
            </w:pPr>
            <w:r>
              <w:rPr>
                <w:sz w:val="22"/>
              </w:rPr>
              <w:t>1435,556</w:t>
            </w:r>
          </w:p>
        </w:tc>
        <w:tc>
          <w:tcPr>
            <w:tcW w:w="1126" w:type="dxa"/>
          </w:tcPr>
          <w:p>
            <w:pPr>
              <w:pStyle w:val="TableParagraph"/>
              <w:ind w:left="196" w:right="44"/>
              <w:jc w:val="center"/>
              <w:rPr>
                <w:sz w:val="22"/>
              </w:rPr>
            </w:pPr>
            <w:r>
              <w:rPr>
                <w:sz w:val="22"/>
              </w:rPr>
              <w:t>7725,793</w:t>
            </w:r>
          </w:p>
        </w:tc>
        <w:tc>
          <w:tcPr>
            <w:tcW w:w="754" w:type="dxa"/>
          </w:tcPr>
          <w:p>
            <w:pPr>
              <w:pStyle w:val="TableParagraph"/>
              <w:ind w:left="45" w:right="45"/>
              <w:jc w:val="center"/>
              <w:rPr>
                <w:sz w:val="22"/>
              </w:rPr>
            </w:pPr>
            <w:r>
              <w:rPr>
                <w:sz w:val="22"/>
              </w:rPr>
              <w:t>37,889</w:t>
            </w:r>
          </w:p>
        </w:tc>
        <w:tc>
          <w:tcPr>
            <w:tcW w:w="1385" w:type="dxa"/>
          </w:tcPr>
          <w:p>
            <w:pPr>
              <w:pStyle w:val="TableParagraph"/>
              <w:ind w:left="249" w:right="0"/>
              <w:jc w:val="left"/>
              <w:rPr>
                <w:sz w:val="22"/>
              </w:rPr>
            </w:pPr>
            <w:r>
              <w:rPr>
                <w:sz w:val="22"/>
              </w:rPr>
              <w:t>131071,262</w:t>
            </w:r>
          </w:p>
        </w:tc>
        <w:tc>
          <w:tcPr>
            <w:tcW w:w="1601" w:type="dxa"/>
          </w:tcPr>
          <w:p>
            <w:pPr>
              <w:pStyle w:val="TableParagraph"/>
              <w:rPr>
                <w:sz w:val="22"/>
              </w:rPr>
            </w:pPr>
            <w:r>
              <w:rPr>
                <w:sz w:val="22"/>
              </w:rPr>
              <w:t>0,271222326</w:t>
            </w:r>
          </w:p>
        </w:tc>
      </w:tr>
      <w:tr>
        <w:trPr>
          <w:trHeight w:val="310" w:hRule="exact"/>
        </w:trPr>
        <w:tc>
          <w:tcPr>
            <w:tcW w:w="778" w:type="dxa"/>
          </w:tcPr>
          <w:p>
            <w:pPr>
              <w:pStyle w:val="TableParagraph"/>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970" w:type="dxa"/>
          </w:tcPr>
          <w:p>
            <w:pPr>
              <w:pStyle w:val="TableParagraph"/>
              <w:rPr>
                <w:sz w:val="22"/>
              </w:rPr>
            </w:pPr>
            <w:r>
              <w:rPr>
                <w:sz w:val="22"/>
              </w:rPr>
              <w:t>32,000</w:t>
            </w:r>
          </w:p>
        </w:tc>
        <w:tc>
          <w:tcPr>
            <w:tcW w:w="998" w:type="dxa"/>
          </w:tcPr>
          <w:p>
            <w:pPr>
              <w:pStyle w:val="TableParagraph"/>
              <w:ind w:right="63"/>
              <w:rPr>
                <w:sz w:val="22"/>
              </w:rPr>
            </w:pPr>
            <w:r>
              <w:rPr>
                <w:sz w:val="22"/>
              </w:rPr>
              <w:t>870,000</w:t>
            </w:r>
          </w:p>
        </w:tc>
        <w:tc>
          <w:tcPr>
            <w:tcW w:w="1126" w:type="dxa"/>
          </w:tcPr>
          <w:p>
            <w:pPr>
              <w:pStyle w:val="TableParagraph"/>
              <w:ind w:left="196" w:right="44"/>
              <w:jc w:val="center"/>
              <w:rPr>
                <w:sz w:val="22"/>
              </w:rPr>
            </w:pPr>
            <w:r>
              <w:rPr>
                <w:sz w:val="22"/>
              </w:rPr>
              <w:t>4963,840</w:t>
            </w:r>
          </w:p>
        </w:tc>
        <w:tc>
          <w:tcPr>
            <w:tcW w:w="754" w:type="dxa"/>
          </w:tcPr>
          <w:p>
            <w:pPr>
              <w:pStyle w:val="TableParagraph"/>
              <w:ind w:left="45" w:right="45"/>
              <w:jc w:val="center"/>
              <w:rPr>
                <w:sz w:val="22"/>
              </w:rPr>
            </w:pPr>
            <w:r>
              <w:rPr>
                <w:sz w:val="22"/>
              </w:rPr>
              <w:t>29,496</w:t>
            </w:r>
          </w:p>
        </w:tc>
        <w:tc>
          <w:tcPr>
            <w:tcW w:w="1385" w:type="dxa"/>
          </w:tcPr>
          <w:p>
            <w:pPr>
              <w:pStyle w:val="TableParagraph"/>
              <w:ind w:left="359" w:right="0"/>
              <w:jc w:val="left"/>
              <w:rPr>
                <w:sz w:val="22"/>
              </w:rPr>
            </w:pPr>
            <w:r>
              <w:rPr>
                <w:sz w:val="22"/>
              </w:rPr>
              <w:t>93061,356</w:t>
            </w:r>
          </w:p>
        </w:tc>
        <w:tc>
          <w:tcPr>
            <w:tcW w:w="1601" w:type="dxa"/>
          </w:tcPr>
          <w:p>
            <w:pPr>
              <w:pStyle w:val="TableParagraph"/>
              <w:rPr>
                <w:sz w:val="22"/>
              </w:rPr>
            </w:pPr>
            <w:r>
              <w:rPr>
                <w:sz w:val="22"/>
              </w:rPr>
              <w:t>0,192569424</w:t>
            </w:r>
          </w:p>
        </w:tc>
      </w:tr>
      <w:tr>
        <w:trPr>
          <w:trHeight w:val="310" w:hRule="exact"/>
        </w:trPr>
        <w:tc>
          <w:tcPr>
            <w:tcW w:w="778" w:type="dxa"/>
          </w:tcPr>
          <w:p>
            <w:pPr>
              <w:pStyle w:val="TableParagraph"/>
              <w:spacing w:before="30"/>
              <w:ind w:left="1" w:right="0"/>
              <w:jc w:val="center"/>
              <w:rPr>
                <w:sz w:val="22"/>
              </w:rPr>
            </w:pPr>
            <w:r>
              <w:rPr>
                <w:w w:val="100"/>
                <w:sz w:val="22"/>
              </w:rPr>
              <w:t>5</w:t>
            </w:r>
          </w:p>
        </w:tc>
        <w:tc>
          <w:tcPr>
            <w:tcW w:w="754" w:type="dxa"/>
          </w:tcPr>
          <w:p>
            <w:pPr>
              <w:pStyle w:val="TableParagraph"/>
              <w:spacing w:before="30"/>
              <w:ind w:left="45" w:right="45"/>
              <w:jc w:val="center"/>
              <w:rPr>
                <w:sz w:val="22"/>
              </w:rPr>
            </w:pPr>
            <w:r>
              <w:rPr>
                <w:sz w:val="22"/>
              </w:rPr>
              <w:t>180,21</w:t>
            </w:r>
          </w:p>
        </w:tc>
        <w:tc>
          <w:tcPr>
            <w:tcW w:w="475" w:type="dxa"/>
          </w:tcPr>
          <w:p>
            <w:pPr>
              <w:pStyle w:val="TableParagraph"/>
              <w:spacing w:before="30"/>
              <w:rPr>
                <w:sz w:val="22"/>
              </w:rPr>
            </w:pPr>
            <w:r>
              <w:rPr>
                <w:sz w:val="22"/>
              </w:rPr>
              <w:t>132</w:t>
            </w:r>
          </w:p>
        </w:tc>
        <w:tc>
          <w:tcPr>
            <w:tcW w:w="970" w:type="dxa"/>
          </w:tcPr>
          <w:p>
            <w:pPr>
              <w:pStyle w:val="TableParagraph"/>
              <w:spacing w:before="30"/>
              <w:rPr>
                <w:sz w:val="22"/>
              </w:rPr>
            </w:pPr>
            <w:r>
              <w:rPr>
                <w:sz w:val="22"/>
              </w:rPr>
              <w:t>46,706</w:t>
            </w:r>
          </w:p>
        </w:tc>
        <w:tc>
          <w:tcPr>
            <w:tcW w:w="998" w:type="dxa"/>
          </w:tcPr>
          <w:p>
            <w:pPr>
              <w:pStyle w:val="TableParagraph"/>
              <w:spacing w:before="30"/>
              <w:ind w:right="63"/>
              <w:rPr>
                <w:sz w:val="22"/>
              </w:rPr>
            </w:pPr>
            <w:r>
              <w:rPr>
                <w:sz w:val="22"/>
              </w:rPr>
              <w:t>579,375</w:t>
            </w:r>
          </w:p>
        </w:tc>
        <w:tc>
          <w:tcPr>
            <w:tcW w:w="1126" w:type="dxa"/>
          </w:tcPr>
          <w:p>
            <w:pPr>
              <w:pStyle w:val="TableParagraph"/>
              <w:spacing w:before="30"/>
              <w:ind w:left="196" w:right="44"/>
              <w:jc w:val="center"/>
              <w:rPr>
                <w:sz w:val="22"/>
              </w:rPr>
            </w:pPr>
            <w:r>
              <w:rPr>
                <w:sz w:val="22"/>
              </w:rPr>
              <w:t>8416,951</w:t>
            </w:r>
          </w:p>
        </w:tc>
        <w:tc>
          <w:tcPr>
            <w:tcW w:w="754" w:type="dxa"/>
          </w:tcPr>
          <w:p>
            <w:pPr>
              <w:pStyle w:val="TableParagraph"/>
              <w:spacing w:before="30"/>
              <w:ind w:left="45" w:right="45"/>
              <w:jc w:val="center"/>
              <w:rPr>
                <w:sz w:val="22"/>
              </w:rPr>
            </w:pPr>
            <w:r>
              <w:rPr>
                <w:sz w:val="22"/>
              </w:rPr>
              <w:t>24,070</w:t>
            </w:r>
          </w:p>
        </w:tc>
        <w:tc>
          <w:tcPr>
            <w:tcW w:w="1385" w:type="dxa"/>
          </w:tcPr>
          <w:p>
            <w:pPr>
              <w:pStyle w:val="TableParagraph"/>
              <w:spacing w:before="30"/>
              <w:ind w:left="359" w:right="0"/>
              <w:jc w:val="left"/>
              <w:rPr>
                <w:sz w:val="22"/>
              </w:rPr>
            </w:pPr>
            <w:r>
              <w:rPr>
                <w:sz w:val="22"/>
              </w:rPr>
              <w:t>38089,863</w:t>
            </w:r>
          </w:p>
        </w:tc>
        <w:tc>
          <w:tcPr>
            <w:tcW w:w="1601" w:type="dxa"/>
          </w:tcPr>
          <w:p>
            <w:pPr>
              <w:pStyle w:val="TableParagraph"/>
              <w:spacing w:before="30"/>
              <w:rPr>
                <w:sz w:val="22"/>
              </w:rPr>
            </w:pPr>
            <w:r>
              <w:rPr>
                <w:sz w:val="22"/>
              </w:rPr>
              <w:t>0,078818356</w:t>
            </w:r>
          </w:p>
        </w:tc>
      </w:tr>
      <w:tr>
        <w:trPr>
          <w:trHeight w:val="312" w:hRule="exact"/>
        </w:trPr>
        <w:tc>
          <w:tcPr>
            <w:tcW w:w="778" w:type="dxa"/>
          </w:tcPr>
          <w:p>
            <w:pPr>
              <w:pStyle w:val="TableParagraph"/>
              <w:spacing w:before="30"/>
              <w:ind w:right="1"/>
              <w:jc w:val="center"/>
              <w:rPr>
                <w:sz w:val="22"/>
              </w:rPr>
            </w:pPr>
            <w:r>
              <w:rPr>
                <w:w w:val="100"/>
                <w:sz w:val="22"/>
              </w:rPr>
              <w:t>N</w:t>
            </w:r>
          </w:p>
        </w:tc>
        <w:tc>
          <w:tcPr>
            <w:tcW w:w="754" w:type="dxa"/>
          </w:tcPr>
          <w:p>
            <w:pPr>
              <w:pStyle w:val="TableParagraph"/>
              <w:spacing w:before="30"/>
              <w:ind w:left="45" w:right="45"/>
              <w:jc w:val="center"/>
              <w:rPr>
                <w:sz w:val="22"/>
              </w:rPr>
            </w:pPr>
            <w:r>
              <w:rPr>
                <w:sz w:val="22"/>
              </w:rPr>
              <w:t>695,17</w:t>
            </w:r>
          </w:p>
        </w:tc>
        <w:tc>
          <w:tcPr>
            <w:tcW w:w="475" w:type="dxa"/>
          </w:tcPr>
          <w:p>
            <w:pPr/>
          </w:p>
        </w:tc>
        <w:tc>
          <w:tcPr>
            <w:tcW w:w="970" w:type="dxa"/>
          </w:tcPr>
          <w:p>
            <w:pPr/>
          </w:p>
        </w:tc>
        <w:tc>
          <w:tcPr>
            <w:tcW w:w="998" w:type="dxa"/>
          </w:tcPr>
          <w:p>
            <w:pPr>
              <w:pStyle w:val="TableParagraph"/>
              <w:spacing w:before="18"/>
              <w:ind w:left="328"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26" w:type="dxa"/>
          </w:tcPr>
          <w:p>
            <w:pPr>
              <w:pStyle w:val="TableParagraph"/>
              <w:spacing w:before="30"/>
              <w:ind w:left="83" w:right="44"/>
              <w:jc w:val="center"/>
              <w:rPr>
                <w:sz w:val="22"/>
              </w:rPr>
            </w:pPr>
            <w:r>
              <w:rPr>
                <w:sz w:val="22"/>
              </w:rPr>
              <w:t>28357,485</w:t>
            </w:r>
          </w:p>
        </w:tc>
        <w:tc>
          <w:tcPr>
            <w:tcW w:w="754" w:type="dxa"/>
          </w:tcPr>
          <w:p>
            <w:pPr/>
          </w:p>
        </w:tc>
        <w:tc>
          <w:tcPr>
            <w:tcW w:w="1385" w:type="dxa"/>
          </w:tcPr>
          <w:p>
            <w:pPr>
              <w:pStyle w:val="TableParagraph"/>
              <w:spacing w:before="30"/>
              <w:ind w:left="249" w:right="0"/>
              <w:jc w:val="left"/>
              <w:rPr>
                <w:sz w:val="22"/>
              </w:rPr>
            </w:pPr>
            <w:r>
              <w:rPr>
                <w:sz w:val="22"/>
              </w:rPr>
              <w:t>291936,630</w:t>
            </w:r>
          </w:p>
        </w:tc>
        <w:tc>
          <w:tcPr>
            <w:tcW w:w="1601" w:type="dxa"/>
          </w:tcPr>
          <w:p>
            <w:pPr>
              <w:pStyle w:val="TableParagraph"/>
              <w:spacing w:before="30"/>
              <w:rPr>
                <w:sz w:val="22"/>
              </w:rPr>
            </w:pPr>
            <w:r>
              <w:rPr>
                <w:sz w:val="22"/>
              </w:rPr>
              <w:t>0,604096815</w:t>
            </w:r>
          </w:p>
        </w:tc>
      </w:tr>
      <w:tr>
        <w:trPr>
          <w:trHeight w:val="310" w:hRule="exact"/>
        </w:trPr>
        <w:tc>
          <w:tcPr>
            <w:tcW w:w="5100" w:type="dxa"/>
            <w:gridSpan w:val="6"/>
            <w:vMerge w:val="restart"/>
            <w:tcBorders>
              <w:left w:val="nil"/>
            </w:tcBorders>
          </w:tcPr>
          <w:p>
            <w:pPr/>
          </w:p>
        </w:tc>
        <w:tc>
          <w:tcPr>
            <w:tcW w:w="2138" w:type="dxa"/>
            <w:gridSpan w:val="2"/>
          </w:tcPr>
          <w:p>
            <w:pPr>
              <w:pStyle w:val="TableParagraph"/>
              <w:spacing w:before="11"/>
              <w:ind w:left="64" w:right="62"/>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01" w:type="dxa"/>
          </w:tcPr>
          <w:p>
            <w:pPr>
              <w:pStyle w:val="TableParagraph"/>
              <w:rPr>
                <w:b/>
                <w:sz w:val="22"/>
              </w:rPr>
            </w:pPr>
            <w:r>
              <w:rPr>
                <w:b/>
                <w:sz w:val="22"/>
              </w:rPr>
              <w:t>40,792</w:t>
            </w:r>
          </w:p>
        </w:tc>
      </w:tr>
      <w:tr>
        <w:trPr>
          <w:trHeight w:val="310" w:hRule="exact"/>
        </w:trPr>
        <w:tc>
          <w:tcPr>
            <w:tcW w:w="5100" w:type="dxa"/>
            <w:gridSpan w:val="6"/>
            <w:vMerge/>
            <w:tcBorders>
              <w:left w:val="nil"/>
            </w:tcBorders>
          </w:tcPr>
          <w:p>
            <w:pPr/>
          </w:p>
        </w:tc>
        <w:tc>
          <w:tcPr>
            <w:tcW w:w="2138" w:type="dxa"/>
            <w:gridSpan w:val="2"/>
          </w:tcPr>
          <w:p>
            <w:pPr>
              <w:pStyle w:val="TableParagraph"/>
              <w:spacing w:before="13"/>
              <w:ind w:left="64" w:right="62"/>
              <w:jc w:val="left"/>
              <w:rPr>
                <w:sz w:val="22"/>
              </w:rPr>
            </w:pPr>
            <w:r>
              <w:rPr>
                <w:sz w:val="22"/>
              </w:rPr>
              <w:t>Desviación estándar</w:t>
            </w:r>
          </w:p>
        </w:tc>
        <w:tc>
          <w:tcPr>
            <w:tcW w:w="1601" w:type="dxa"/>
          </w:tcPr>
          <w:p>
            <w:pPr>
              <w:pStyle w:val="TableParagraph"/>
              <w:rPr>
                <w:b/>
                <w:sz w:val="22"/>
              </w:rPr>
            </w:pPr>
            <w:r>
              <w:rPr>
                <w:b/>
                <w:sz w:val="22"/>
              </w:rPr>
              <w:t>0,777</w:t>
            </w:r>
          </w:p>
        </w:tc>
      </w:tr>
      <w:tr>
        <w:trPr>
          <w:trHeight w:val="310" w:hRule="exact"/>
        </w:trPr>
        <w:tc>
          <w:tcPr>
            <w:tcW w:w="5100" w:type="dxa"/>
            <w:gridSpan w:val="6"/>
            <w:vMerge/>
            <w:tcBorders>
              <w:left w:val="nil"/>
            </w:tcBorders>
          </w:tcPr>
          <w:p>
            <w:pPr/>
          </w:p>
        </w:tc>
        <w:tc>
          <w:tcPr>
            <w:tcW w:w="2138" w:type="dxa"/>
            <w:gridSpan w:val="2"/>
            <w:vMerge w:val="restart"/>
          </w:tcPr>
          <w:p>
            <w:pPr>
              <w:pStyle w:val="TableParagraph"/>
              <w:spacing w:before="33"/>
              <w:ind w:left="64" w:right="62"/>
              <w:jc w:val="left"/>
              <w:rPr>
                <w:sz w:val="22"/>
              </w:rPr>
            </w:pPr>
            <w:r>
              <w:rPr>
                <w:sz w:val="22"/>
              </w:rPr>
              <w:t>Intervalo de confianza al 95 %</w:t>
            </w:r>
          </w:p>
        </w:tc>
        <w:tc>
          <w:tcPr>
            <w:tcW w:w="1601" w:type="dxa"/>
          </w:tcPr>
          <w:p>
            <w:pPr>
              <w:pStyle w:val="TableParagraph"/>
              <w:rPr>
                <w:sz w:val="22"/>
              </w:rPr>
            </w:pPr>
            <w:r>
              <w:rPr>
                <w:sz w:val="22"/>
              </w:rPr>
              <w:t>39,27</w:t>
            </w:r>
          </w:p>
        </w:tc>
      </w:tr>
      <w:tr>
        <w:trPr>
          <w:trHeight w:val="310" w:hRule="exact"/>
        </w:trPr>
        <w:tc>
          <w:tcPr>
            <w:tcW w:w="5100" w:type="dxa"/>
            <w:gridSpan w:val="6"/>
            <w:vMerge/>
            <w:tcBorders>
              <w:left w:val="nil"/>
              <w:bottom w:val="nil"/>
            </w:tcBorders>
          </w:tcPr>
          <w:p>
            <w:pPr/>
          </w:p>
        </w:tc>
        <w:tc>
          <w:tcPr>
            <w:tcW w:w="2138" w:type="dxa"/>
            <w:gridSpan w:val="2"/>
            <w:vMerge/>
          </w:tcPr>
          <w:p>
            <w:pPr/>
          </w:p>
        </w:tc>
        <w:tc>
          <w:tcPr>
            <w:tcW w:w="1601" w:type="dxa"/>
          </w:tcPr>
          <w:p>
            <w:pPr>
              <w:pStyle w:val="TableParagraph"/>
              <w:rPr>
                <w:sz w:val="22"/>
              </w:rPr>
            </w:pPr>
            <w:r>
              <w:rPr>
                <w:sz w:val="22"/>
              </w:rPr>
              <w:t>42,32</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970"/>
        <w:gridCol w:w="1200"/>
        <w:gridCol w:w="1210"/>
        <w:gridCol w:w="864"/>
        <w:gridCol w:w="1423"/>
        <w:gridCol w:w="1478"/>
      </w:tblGrid>
      <w:tr>
        <w:trPr>
          <w:trHeight w:val="310" w:hRule="exact"/>
        </w:trPr>
        <w:tc>
          <w:tcPr>
            <w:tcW w:w="9151" w:type="dxa"/>
            <w:gridSpan w:val="9"/>
          </w:tcPr>
          <w:p>
            <w:pPr>
              <w:pStyle w:val="TableParagraph"/>
              <w:ind w:left="3039" w:right="3040"/>
              <w:jc w:val="center"/>
              <w:rPr>
                <w:sz w:val="22"/>
              </w:rPr>
            </w:pPr>
            <w:r>
              <w:rPr>
                <w:sz w:val="22"/>
              </w:rPr>
              <w:t>Eficiencia estanque sedimentador</w:t>
            </w:r>
          </w:p>
        </w:tc>
      </w:tr>
      <w:tr>
        <w:trPr>
          <w:trHeight w:val="310"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970" w:type="dxa"/>
          </w:tcPr>
          <w:p>
            <w:pPr>
              <w:pStyle w:val="TableParagraph"/>
              <w:spacing w:before="43"/>
              <w:ind w:left="89" w:right="10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200" w:type="dxa"/>
          </w:tcPr>
          <w:p>
            <w:pPr>
              <w:pStyle w:val="TableParagraph"/>
              <w:spacing w:line="214" w:lineRule="exact" w:before="6"/>
              <w:ind w:left="34" w:right="42"/>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210" w:type="dxa"/>
          </w:tcPr>
          <w:p>
            <w:pPr>
              <w:pStyle w:val="TableParagraph"/>
              <w:spacing w:before="19"/>
              <w:ind w:left="482" w:right="490"/>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64" w:type="dxa"/>
          </w:tcPr>
          <w:p>
            <w:pPr>
              <w:pStyle w:val="TableParagraph"/>
              <w:spacing w:before="43"/>
              <w:ind w:left="33" w:right="44"/>
              <w:jc w:val="center"/>
              <w:rPr>
                <w:rFonts w:ascii="Cambria Math"/>
                <w:sz w:val="16"/>
              </w:rPr>
            </w:pPr>
            <w:r>
              <w:rPr>
                <w:rFonts w:ascii="Cambria Math"/>
                <w:w w:val="110"/>
                <w:sz w:val="22"/>
              </w:rPr>
              <w:t>s</w:t>
            </w:r>
            <w:r>
              <w:rPr>
                <w:rFonts w:ascii="Cambria Math"/>
                <w:w w:val="110"/>
                <w:position w:val="-4"/>
                <w:sz w:val="16"/>
              </w:rPr>
              <w:t>h</w:t>
            </w:r>
          </w:p>
        </w:tc>
        <w:tc>
          <w:tcPr>
            <w:tcW w:w="1423" w:type="dxa"/>
          </w:tcPr>
          <w:p>
            <w:pPr>
              <w:pStyle w:val="TableParagraph"/>
              <w:spacing w:before="0"/>
              <w:ind w:left="376"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478" w:type="dxa"/>
          </w:tcPr>
          <w:p>
            <w:pPr>
              <w:pStyle w:val="TableParagraph"/>
              <w:spacing w:before="0"/>
              <w:ind w:left="38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spacing w:before="30"/>
              <w:ind w:left="1" w:right="0"/>
              <w:jc w:val="center"/>
              <w:rPr>
                <w:sz w:val="22"/>
              </w:rPr>
            </w:pPr>
            <w:r>
              <w:rPr>
                <w:w w:val="100"/>
                <w:sz w:val="22"/>
              </w:rPr>
              <w:t>1</w:t>
            </w:r>
          </w:p>
        </w:tc>
        <w:tc>
          <w:tcPr>
            <w:tcW w:w="754" w:type="dxa"/>
          </w:tcPr>
          <w:p>
            <w:pPr>
              <w:pStyle w:val="TableParagraph"/>
              <w:spacing w:before="30"/>
              <w:ind w:left="45" w:right="45"/>
              <w:jc w:val="center"/>
              <w:rPr>
                <w:sz w:val="22"/>
              </w:rPr>
            </w:pPr>
            <w:r>
              <w:rPr>
                <w:sz w:val="22"/>
              </w:rPr>
              <w:t>108,60</w:t>
            </w:r>
          </w:p>
        </w:tc>
        <w:tc>
          <w:tcPr>
            <w:tcW w:w="475" w:type="dxa"/>
          </w:tcPr>
          <w:p>
            <w:pPr>
              <w:pStyle w:val="TableParagraph"/>
              <w:spacing w:before="30"/>
              <w:rPr>
                <w:sz w:val="22"/>
              </w:rPr>
            </w:pPr>
            <w:r>
              <w:rPr>
                <w:sz w:val="22"/>
              </w:rPr>
              <w:t>108</w:t>
            </w:r>
          </w:p>
        </w:tc>
        <w:tc>
          <w:tcPr>
            <w:tcW w:w="970" w:type="dxa"/>
          </w:tcPr>
          <w:p>
            <w:pPr>
              <w:pStyle w:val="TableParagraph"/>
              <w:spacing w:before="30"/>
              <w:rPr>
                <w:sz w:val="22"/>
              </w:rPr>
            </w:pPr>
            <w:r>
              <w:rPr>
                <w:sz w:val="22"/>
              </w:rPr>
              <w:t>-20,000</w:t>
            </w:r>
          </w:p>
        </w:tc>
        <w:tc>
          <w:tcPr>
            <w:tcW w:w="1200" w:type="dxa"/>
          </w:tcPr>
          <w:p>
            <w:pPr>
              <w:pStyle w:val="TableParagraph"/>
              <w:spacing w:before="30"/>
              <w:ind w:right="63"/>
              <w:rPr>
                <w:sz w:val="22"/>
              </w:rPr>
            </w:pPr>
            <w:r>
              <w:rPr>
                <w:sz w:val="22"/>
              </w:rPr>
              <w:t>7000,000</w:t>
            </w:r>
          </w:p>
        </w:tc>
        <w:tc>
          <w:tcPr>
            <w:tcW w:w="1210" w:type="dxa"/>
          </w:tcPr>
          <w:p>
            <w:pPr>
              <w:pStyle w:val="TableParagraph"/>
              <w:spacing w:before="30"/>
              <w:rPr>
                <w:sz w:val="22"/>
              </w:rPr>
            </w:pPr>
            <w:r>
              <w:rPr>
                <w:sz w:val="22"/>
              </w:rPr>
              <w:t>-2172,000</w:t>
            </w:r>
          </w:p>
        </w:tc>
        <w:tc>
          <w:tcPr>
            <w:tcW w:w="864" w:type="dxa"/>
          </w:tcPr>
          <w:p>
            <w:pPr>
              <w:pStyle w:val="TableParagraph"/>
              <w:spacing w:before="30"/>
              <w:rPr>
                <w:sz w:val="22"/>
              </w:rPr>
            </w:pPr>
            <w:r>
              <w:rPr>
                <w:sz w:val="22"/>
              </w:rPr>
              <w:t>83,666</w:t>
            </w:r>
          </w:p>
        </w:tc>
        <w:tc>
          <w:tcPr>
            <w:tcW w:w="1423" w:type="dxa"/>
          </w:tcPr>
          <w:p>
            <w:pPr>
              <w:pStyle w:val="TableParagraph"/>
              <w:spacing w:before="30"/>
              <w:ind w:right="63"/>
              <w:rPr>
                <w:sz w:val="22"/>
              </w:rPr>
            </w:pPr>
            <w:r>
              <w:rPr>
                <w:sz w:val="22"/>
              </w:rPr>
              <w:t>-255568,460</w:t>
            </w:r>
          </w:p>
        </w:tc>
        <w:tc>
          <w:tcPr>
            <w:tcW w:w="1478" w:type="dxa"/>
          </w:tcPr>
          <w:p>
            <w:pPr>
              <w:pStyle w:val="TableParagraph"/>
              <w:spacing w:before="30"/>
              <w:ind w:right="63"/>
              <w:rPr>
                <w:sz w:val="22"/>
              </w:rPr>
            </w:pPr>
            <w:r>
              <w:rPr>
                <w:sz w:val="22"/>
              </w:rPr>
              <w:t>-0,528841114</w:t>
            </w:r>
          </w:p>
        </w:tc>
      </w:tr>
      <w:tr>
        <w:trPr>
          <w:trHeight w:val="312" w:hRule="exact"/>
        </w:trPr>
        <w:tc>
          <w:tcPr>
            <w:tcW w:w="778" w:type="dxa"/>
          </w:tcPr>
          <w:p>
            <w:pPr>
              <w:pStyle w:val="TableParagraph"/>
              <w:spacing w:before="30"/>
              <w:ind w:left="1" w:right="0"/>
              <w:jc w:val="center"/>
              <w:rPr>
                <w:sz w:val="22"/>
              </w:rPr>
            </w:pPr>
            <w:r>
              <w:rPr>
                <w:w w:val="100"/>
                <w:sz w:val="22"/>
              </w:rPr>
              <w:t>2</w:t>
            </w:r>
          </w:p>
        </w:tc>
        <w:tc>
          <w:tcPr>
            <w:tcW w:w="754" w:type="dxa"/>
          </w:tcPr>
          <w:p>
            <w:pPr>
              <w:pStyle w:val="TableParagraph"/>
              <w:spacing w:before="30"/>
              <w:ind w:left="45" w:right="45"/>
              <w:jc w:val="center"/>
              <w:rPr>
                <w:sz w:val="22"/>
              </w:rPr>
            </w:pPr>
            <w:r>
              <w:rPr>
                <w:sz w:val="22"/>
              </w:rPr>
              <w:t>121,03</w:t>
            </w:r>
          </w:p>
        </w:tc>
        <w:tc>
          <w:tcPr>
            <w:tcW w:w="475" w:type="dxa"/>
          </w:tcPr>
          <w:p>
            <w:pPr>
              <w:pStyle w:val="TableParagraph"/>
              <w:spacing w:before="30"/>
              <w:rPr>
                <w:sz w:val="22"/>
              </w:rPr>
            </w:pPr>
            <w:r>
              <w:rPr>
                <w:sz w:val="22"/>
              </w:rPr>
              <w:t>81</w:t>
            </w:r>
          </w:p>
        </w:tc>
        <w:tc>
          <w:tcPr>
            <w:tcW w:w="970" w:type="dxa"/>
          </w:tcPr>
          <w:p>
            <w:pPr>
              <w:pStyle w:val="TableParagraph"/>
              <w:spacing w:before="30"/>
              <w:rPr>
                <w:sz w:val="22"/>
              </w:rPr>
            </w:pPr>
            <w:r>
              <w:rPr>
                <w:sz w:val="22"/>
              </w:rPr>
              <w:t>-60,000</w:t>
            </w:r>
          </w:p>
        </w:tc>
        <w:tc>
          <w:tcPr>
            <w:tcW w:w="1200" w:type="dxa"/>
          </w:tcPr>
          <w:p>
            <w:pPr>
              <w:pStyle w:val="TableParagraph"/>
              <w:spacing w:before="30"/>
              <w:ind w:right="63"/>
              <w:rPr>
                <w:sz w:val="22"/>
              </w:rPr>
            </w:pPr>
            <w:r>
              <w:rPr>
                <w:sz w:val="22"/>
              </w:rPr>
              <w:t>3000,000</w:t>
            </w:r>
          </w:p>
        </w:tc>
        <w:tc>
          <w:tcPr>
            <w:tcW w:w="1210" w:type="dxa"/>
          </w:tcPr>
          <w:p>
            <w:pPr>
              <w:pStyle w:val="TableParagraph"/>
              <w:spacing w:before="30"/>
              <w:rPr>
                <w:sz w:val="22"/>
              </w:rPr>
            </w:pPr>
            <w:r>
              <w:rPr>
                <w:sz w:val="22"/>
              </w:rPr>
              <w:t>-7261,800</w:t>
            </w:r>
          </w:p>
        </w:tc>
        <w:tc>
          <w:tcPr>
            <w:tcW w:w="864" w:type="dxa"/>
          </w:tcPr>
          <w:p>
            <w:pPr>
              <w:pStyle w:val="TableParagraph"/>
              <w:spacing w:before="30"/>
              <w:rPr>
                <w:sz w:val="22"/>
              </w:rPr>
            </w:pPr>
            <w:r>
              <w:rPr>
                <w:sz w:val="22"/>
              </w:rPr>
              <w:t>54,772</w:t>
            </w:r>
          </w:p>
        </w:tc>
        <w:tc>
          <w:tcPr>
            <w:tcW w:w="1423" w:type="dxa"/>
          </w:tcPr>
          <w:p>
            <w:pPr>
              <w:pStyle w:val="TableParagraph"/>
              <w:spacing w:before="30"/>
              <w:ind w:right="63"/>
              <w:rPr>
                <w:sz w:val="22"/>
              </w:rPr>
            </w:pPr>
            <w:r>
              <w:rPr>
                <w:sz w:val="22"/>
              </w:rPr>
              <w:t>179706,229</w:t>
            </w:r>
          </w:p>
        </w:tc>
        <w:tc>
          <w:tcPr>
            <w:tcW w:w="1478" w:type="dxa"/>
          </w:tcPr>
          <w:p>
            <w:pPr>
              <w:pStyle w:val="TableParagraph"/>
              <w:spacing w:before="30"/>
              <w:ind w:right="63"/>
              <w:rPr>
                <w:sz w:val="22"/>
              </w:rPr>
            </w:pPr>
            <w:r>
              <w:rPr>
                <w:sz w:val="22"/>
              </w:rPr>
              <w:t>0,371861389</w:t>
            </w:r>
          </w:p>
        </w:tc>
      </w:tr>
      <w:tr>
        <w:trPr>
          <w:trHeight w:val="310" w:hRule="exact"/>
        </w:trPr>
        <w:tc>
          <w:tcPr>
            <w:tcW w:w="778" w:type="dxa"/>
          </w:tcPr>
          <w:p>
            <w:pPr>
              <w:pStyle w:val="TableParagraph"/>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970" w:type="dxa"/>
          </w:tcPr>
          <w:p>
            <w:pPr>
              <w:pStyle w:val="TableParagraph"/>
              <w:rPr>
                <w:sz w:val="22"/>
              </w:rPr>
            </w:pPr>
            <w:r>
              <w:rPr>
                <w:sz w:val="22"/>
              </w:rPr>
              <w:t>-260,000</w:t>
            </w:r>
          </w:p>
        </w:tc>
        <w:tc>
          <w:tcPr>
            <w:tcW w:w="1200" w:type="dxa"/>
          </w:tcPr>
          <w:p>
            <w:pPr>
              <w:pStyle w:val="TableParagraph"/>
              <w:ind w:right="63"/>
              <w:rPr>
                <w:sz w:val="22"/>
              </w:rPr>
            </w:pPr>
            <w:r>
              <w:rPr>
                <w:sz w:val="22"/>
              </w:rPr>
              <w:t>133000,000</w:t>
            </w:r>
          </w:p>
        </w:tc>
        <w:tc>
          <w:tcPr>
            <w:tcW w:w="1210" w:type="dxa"/>
          </w:tcPr>
          <w:p>
            <w:pPr>
              <w:pStyle w:val="TableParagraph"/>
              <w:rPr>
                <w:sz w:val="22"/>
              </w:rPr>
            </w:pPr>
            <w:r>
              <w:rPr>
                <w:sz w:val="22"/>
              </w:rPr>
              <w:t>-33854,600</w:t>
            </w:r>
          </w:p>
        </w:tc>
        <w:tc>
          <w:tcPr>
            <w:tcW w:w="864" w:type="dxa"/>
          </w:tcPr>
          <w:p>
            <w:pPr>
              <w:pStyle w:val="TableParagraph"/>
              <w:rPr>
                <w:sz w:val="22"/>
              </w:rPr>
            </w:pPr>
            <w:r>
              <w:rPr>
                <w:sz w:val="22"/>
              </w:rPr>
              <w:t>364,692</w:t>
            </w:r>
          </w:p>
        </w:tc>
        <w:tc>
          <w:tcPr>
            <w:tcW w:w="1423" w:type="dxa"/>
          </w:tcPr>
          <w:p>
            <w:pPr>
              <w:pStyle w:val="TableParagraph"/>
              <w:ind w:right="63"/>
              <w:rPr>
                <w:sz w:val="22"/>
              </w:rPr>
            </w:pPr>
            <w:r>
              <w:rPr>
                <w:sz w:val="22"/>
              </w:rPr>
              <w:t>12143366,907</w:t>
            </w:r>
          </w:p>
        </w:tc>
        <w:tc>
          <w:tcPr>
            <w:tcW w:w="1478" w:type="dxa"/>
          </w:tcPr>
          <w:p>
            <w:pPr>
              <w:pStyle w:val="TableParagraph"/>
              <w:ind w:right="63"/>
              <w:rPr>
                <w:sz w:val="22"/>
              </w:rPr>
            </w:pPr>
            <w:r>
              <w:rPr>
                <w:sz w:val="22"/>
              </w:rPr>
              <w:t>25,12795082</w:t>
            </w:r>
          </w:p>
        </w:tc>
      </w:tr>
      <w:tr>
        <w:trPr>
          <w:trHeight w:val="310" w:hRule="exact"/>
        </w:trPr>
        <w:tc>
          <w:tcPr>
            <w:tcW w:w="778" w:type="dxa"/>
          </w:tcPr>
          <w:p>
            <w:pPr>
              <w:pStyle w:val="TableParagraph"/>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970" w:type="dxa"/>
          </w:tcPr>
          <w:p>
            <w:pPr>
              <w:pStyle w:val="TableParagraph"/>
              <w:rPr>
                <w:sz w:val="22"/>
              </w:rPr>
            </w:pPr>
            <w:r>
              <w:rPr>
                <w:sz w:val="22"/>
              </w:rPr>
              <w:t>-123,333</w:t>
            </w:r>
          </w:p>
        </w:tc>
        <w:tc>
          <w:tcPr>
            <w:tcW w:w="1200" w:type="dxa"/>
          </w:tcPr>
          <w:p>
            <w:pPr>
              <w:pStyle w:val="TableParagraph"/>
              <w:ind w:right="63"/>
              <w:rPr>
                <w:sz w:val="22"/>
              </w:rPr>
            </w:pPr>
            <w:r>
              <w:rPr>
                <w:sz w:val="22"/>
              </w:rPr>
              <w:t>5222,222</w:t>
            </w:r>
          </w:p>
        </w:tc>
        <w:tc>
          <w:tcPr>
            <w:tcW w:w="1210" w:type="dxa"/>
          </w:tcPr>
          <w:p>
            <w:pPr>
              <w:pStyle w:val="TableParagraph"/>
              <w:rPr>
                <w:sz w:val="22"/>
              </w:rPr>
            </w:pPr>
            <w:r>
              <w:rPr>
                <w:sz w:val="22"/>
              </w:rPr>
              <w:t>-19131,467</w:t>
            </w:r>
          </w:p>
        </w:tc>
        <w:tc>
          <w:tcPr>
            <w:tcW w:w="864" w:type="dxa"/>
          </w:tcPr>
          <w:p>
            <w:pPr>
              <w:pStyle w:val="TableParagraph"/>
              <w:rPr>
                <w:sz w:val="22"/>
              </w:rPr>
            </w:pPr>
            <w:r>
              <w:rPr>
                <w:sz w:val="22"/>
              </w:rPr>
              <w:t>72,265</w:t>
            </w:r>
          </w:p>
        </w:tc>
        <w:tc>
          <w:tcPr>
            <w:tcW w:w="1423" w:type="dxa"/>
          </w:tcPr>
          <w:p>
            <w:pPr>
              <w:pStyle w:val="TableParagraph"/>
              <w:ind w:right="63"/>
              <w:rPr>
                <w:sz w:val="22"/>
              </w:rPr>
            </w:pPr>
            <w:r>
              <w:rPr>
                <w:sz w:val="22"/>
              </w:rPr>
              <w:t>558605,839</w:t>
            </w:r>
          </w:p>
        </w:tc>
        <w:tc>
          <w:tcPr>
            <w:tcW w:w="1478" w:type="dxa"/>
          </w:tcPr>
          <w:p>
            <w:pPr>
              <w:pStyle w:val="TableParagraph"/>
              <w:ind w:right="63"/>
              <w:rPr>
                <w:sz w:val="22"/>
              </w:rPr>
            </w:pPr>
            <w:r>
              <w:rPr>
                <w:sz w:val="22"/>
              </w:rPr>
              <w:t>1,155908419</w:t>
            </w:r>
          </w:p>
        </w:tc>
      </w:tr>
      <w:tr>
        <w:trPr>
          <w:trHeight w:val="310" w:hRule="exact"/>
        </w:trPr>
        <w:tc>
          <w:tcPr>
            <w:tcW w:w="778" w:type="dxa"/>
          </w:tcPr>
          <w:p>
            <w:pPr>
              <w:pStyle w:val="TableParagraph"/>
              <w:ind w:left="1" w:right="0"/>
              <w:jc w:val="center"/>
              <w:rPr>
                <w:sz w:val="22"/>
              </w:rPr>
            </w:pPr>
            <w:r>
              <w:rPr>
                <w:w w:val="100"/>
                <w:sz w:val="22"/>
              </w:rPr>
              <w:t>5</w:t>
            </w:r>
          </w:p>
        </w:tc>
        <w:tc>
          <w:tcPr>
            <w:tcW w:w="754" w:type="dxa"/>
          </w:tcPr>
          <w:p>
            <w:pPr>
              <w:pStyle w:val="TableParagraph"/>
              <w:ind w:left="45" w:right="45"/>
              <w:jc w:val="center"/>
              <w:rPr>
                <w:sz w:val="22"/>
              </w:rPr>
            </w:pPr>
            <w:r>
              <w:rPr>
                <w:sz w:val="22"/>
              </w:rPr>
              <w:t>180,21</w:t>
            </w:r>
          </w:p>
        </w:tc>
        <w:tc>
          <w:tcPr>
            <w:tcW w:w="475" w:type="dxa"/>
          </w:tcPr>
          <w:p>
            <w:pPr>
              <w:pStyle w:val="TableParagraph"/>
              <w:rPr>
                <w:sz w:val="22"/>
              </w:rPr>
            </w:pPr>
            <w:r>
              <w:rPr>
                <w:sz w:val="22"/>
              </w:rPr>
              <w:t>132</w:t>
            </w:r>
          </w:p>
        </w:tc>
        <w:tc>
          <w:tcPr>
            <w:tcW w:w="970" w:type="dxa"/>
          </w:tcPr>
          <w:p>
            <w:pPr>
              <w:pStyle w:val="TableParagraph"/>
              <w:rPr>
                <w:sz w:val="22"/>
              </w:rPr>
            </w:pPr>
            <w:r>
              <w:rPr>
                <w:sz w:val="22"/>
              </w:rPr>
              <w:t>-89,259</w:t>
            </w:r>
          </w:p>
        </w:tc>
        <w:tc>
          <w:tcPr>
            <w:tcW w:w="1200" w:type="dxa"/>
          </w:tcPr>
          <w:p>
            <w:pPr>
              <w:pStyle w:val="TableParagraph"/>
              <w:ind w:right="63"/>
              <w:rPr>
                <w:sz w:val="22"/>
              </w:rPr>
            </w:pPr>
            <w:r>
              <w:rPr>
                <w:sz w:val="22"/>
              </w:rPr>
              <w:t>3744,033</w:t>
            </w:r>
          </w:p>
        </w:tc>
        <w:tc>
          <w:tcPr>
            <w:tcW w:w="1210" w:type="dxa"/>
          </w:tcPr>
          <w:p>
            <w:pPr>
              <w:pStyle w:val="TableParagraph"/>
              <w:rPr>
                <w:sz w:val="22"/>
              </w:rPr>
            </w:pPr>
            <w:r>
              <w:rPr>
                <w:sz w:val="22"/>
              </w:rPr>
              <w:t>-16085,411</w:t>
            </w:r>
          </w:p>
        </w:tc>
        <w:tc>
          <w:tcPr>
            <w:tcW w:w="864" w:type="dxa"/>
          </w:tcPr>
          <w:p>
            <w:pPr>
              <w:pStyle w:val="TableParagraph"/>
              <w:rPr>
                <w:sz w:val="22"/>
              </w:rPr>
            </w:pPr>
            <w:r>
              <w:rPr>
                <w:sz w:val="22"/>
              </w:rPr>
              <w:t>61,189</w:t>
            </w:r>
          </w:p>
        </w:tc>
        <w:tc>
          <w:tcPr>
            <w:tcW w:w="1423" w:type="dxa"/>
          </w:tcPr>
          <w:p>
            <w:pPr>
              <w:pStyle w:val="TableParagraph"/>
              <w:ind w:right="63"/>
              <w:rPr>
                <w:sz w:val="22"/>
              </w:rPr>
            </w:pPr>
            <w:r>
              <w:rPr>
                <w:sz w:val="22"/>
              </w:rPr>
              <w:t>246144,239</w:t>
            </w:r>
          </w:p>
        </w:tc>
        <w:tc>
          <w:tcPr>
            <w:tcW w:w="1478" w:type="dxa"/>
          </w:tcPr>
          <w:p>
            <w:pPr>
              <w:pStyle w:val="TableParagraph"/>
              <w:ind w:right="63"/>
              <w:rPr>
                <w:sz w:val="22"/>
              </w:rPr>
            </w:pPr>
            <w:r>
              <w:rPr>
                <w:sz w:val="22"/>
              </w:rPr>
              <w:t>0,509339822</w:t>
            </w:r>
          </w:p>
        </w:tc>
      </w:tr>
      <w:tr>
        <w:trPr>
          <w:trHeight w:val="310" w:hRule="exact"/>
        </w:trPr>
        <w:tc>
          <w:tcPr>
            <w:tcW w:w="778" w:type="dxa"/>
          </w:tcPr>
          <w:p>
            <w:pPr>
              <w:pStyle w:val="TableParagraph"/>
              <w:ind w:right="1"/>
              <w:jc w:val="center"/>
              <w:rPr>
                <w:sz w:val="22"/>
              </w:rPr>
            </w:pPr>
            <w:r>
              <w:rPr>
                <w:w w:val="100"/>
                <w:sz w:val="22"/>
              </w:rPr>
              <w:t>N</w:t>
            </w:r>
          </w:p>
        </w:tc>
        <w:tc>
          <w:tcPr>
            <w:tcW w:w="754" w:type="dxa"/>
          </w:tcPr>
          <w:p>
            <w:pPr>
              <w:pStyle w:val="TableParagraph"/>
              <w:ind w:left="45" w:right="45"/>
              <w:jc w:val="center"/>
              <w:rPr>
                <w:sz w:val="22"/>
              </w:rPr>
            </w:pPr>
            <w:r>
              <w:rPr>
                <w:sz w:val="22"/>
              </w:rPr>
              <w:t>695,17</w:t>
            </w:r>
          </w:p>
        </w:tc>
        <w:tc>
          <w:tcPr>
            <w:tcW w:w="475" w:type="dxa"/>
          </w:tcPr>
          <w:p>
            <w:pPr/>
          </w:p>
        </w:tc>
        <w:tc>
          <w:tcPr>
            <w:tcW w:w="970" w:type="dxa"/>
          </w:tcPr>
          <w:p>
            <w:pPr/>
          </w:p>
        </w:tc>
        <w:tc>
          <w:tcPr>
            <w:tcW w:w="1200" w:type="dxa"/>
          </w:tcPr>
          <w:p>
            <w:pPr>
              <w:pStyle w:val="TableParagraph"/>
              <w:spacing w:before="18"/>
              <w:ind w:left="31" w:right="42"/>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10" w:type="dxa"/>
          </w:tcPr>
          <w:p>
            <w:pPr>
              <w:pStyle w:val="TableParagraph"/>
              <w:rPr>
                <w:sz w:val="22"/>
              </w:rPr>
            </w:pPr>
            <w:r>
              <w:rPr>
                <w:sz w:val="22"/>
              </w:rPr>
              <w:t>-78505,278</w:t>
            </w:r>
          </w:p>
        </w:tc>
        <w:tc>
          <w:tcPr>
            <w:tcW w:w="864" w:type="dxa"/>
          </w:tcPr>
          <w:p>
            <w:pPr/>
          </w:p>
        </w:tc>
        <w:tc>
          <w:tcPr>
            <w:tcW w:w="1423" w:type="dxa"/>
          </w:tcPr>
          <w:p>
            <w:pPr>
              <w:pStyle w:val="TableParagraph"/>
              <w:ind w:right="63"/>
              <w:rPr>
                <w:sz w:val="22"/>
              </w:rPr>
            </w:pPr>
            <w:r>
              <w:rPr>
                <w:sz w:val="22"/>
              </w:rPr>
              <w:t>12872254,755</w:t>
            </w:r>
          </w:p>
        </w:tc>
        <w:tc>
          <w:tcPr>
            <w:tcW w:w="1478" w:type="dxa"/>
          </w:tcPr>
          <w:p>
            <w:pPr>
              <w:pStyle w:val="TableParagraph"/>
              <w:ind w:right="63"/>
              <w:rPr>
                <w:sz w:val="22"/>
              </w:rPr>
            </w:pPr>
            <w:r>
              <w:rPr>
                <w:sz w:val="22"/>
              </w:rPr>
              <w:t>26,63621934</w:t>
            </w:r>
          </w:p>
        </w:tc>
      </w:tr>
      <w:tr>
        <w:trPr>
          <w:trHeight w:val="310" w:hRule="exact"/>
        </w:trPr>
        <w:tc>
          <w:tcPr>
            <w:tcW w:w="5386" w:type="dxa"/>
            <w:gridSpan w:val="6"/>
            <w:vMerge w:val="restart"/>
            <w:tcBorders>
              <w:left w:val="nil"/>
            </w:tcBorders>
          </w:tcPr>
          <w:p>
            <w:pPr/>
          </w:p>
        </w:tc>
        <w:tc>
          <w:tcPr>
            <w:tcW w:w="2287" w:type="dxa"/>
            <w:gridSpan w:val="2"/>
          </w:tcPr>
          <w:p>
            <w:pPr>
              <w:pStyle w:val="TableParagraph"/>
              <w:spacing w:before="13"/>
              <w:ind w:left="64" w:right="211"/>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78" w:type="dxa"/>
          </w:tcPr>
          <w:p>
            <w:pPr>
              <w:pStyle w:val="TableParagraph"/>
              <w:spacing w:before="30"/>
              <w:ind w:right="63"/>
              <w:rPr>
                <w:b/>
                <w:sz w:val="22"/>
              </w:rPr>
            </w:pPr>
            <w:r>
              <w:rPr>
                <w:b/>
                <w:sz w:val="22"/>
              </w:rPr>
              <w:t>-112,930</w:t>
            </w:r>
          </w:p>
        </w:tc>
      </w:tr>
      <w:tr>
        <w:trPr>
          <w:trHeight w:val="312" w:hRule="exact"/>
        </w:trPr>
        <w:tc>
          <w:tcPr>
            <w:tcW w:w="5386" w:type="dxa"/>
            <w:gridSpan w:val="6"/>
            <w:vMerge/>
            <w:tcBorders>
              <w:left w:val="nil"/>
            </w:tcBorders>
          </w:tcPr>
          <w:p>
            <w:pPr/>
          </w:p>
        </w:tc>
        <w:tc>
          <w:tcPr>
            <w:tcW w:w="2287" w:type="dxa"/>
            <w:gridSpan w:val="2"/>
          </w:tcPr>
          <w:p>
            <w:pPr>
              <w:pStyle w:val="TableParagraph"/>
              <w:spacing w:before="13"/>
              <w:ind w:left="64" w:right="211"/>
              <w:jc w:val="left"/>
              <w:rPr>
                <w:sz w:val="22"/>
              </w:rPr>
            </w:pPr>
            <w:r>
              <w:rPr>
                <w:sz w:val="22"/>
              </w:rPr>
              <w:t>Desviación estándar</w:t>
            </w:r>
          </w:p>
        </w:tc>
        <w:tc>
          <w:tcPr>
            <w:tcW w:w="1478" w:type="dxa"/>
          </w:tcPr>
          <w:p>
            <w:pPr>
              <w:pStyle w:val="TableParagraph"/>
              <w:spacing w:before="30"/>
              <w:ind w:right="63"/>
              <w:rPr>
                <w:b/>
                <w:sz w:val="22"/>
              </w:rPr>
            </w:pPr>
            <w:r>
              <w:rPr>
                <w:b/>
                <w:sz w:val="22"/>
              </w:rPr>
              <w:t>5,161</w:t>
            </w:r>
          </w:p>
        </w:tc>
      </w:tr>
      <w:tr>
        <w:trPr>
          <w:trHeight w:val="310" w:hRule="exact"/>
        </w:trPr>
        <w:tc>
          <w:tcPr>
            <w:tcW w:w="5386" w:type="dxa"/>
            <w:gridSpan w:val="6"/>
            <w:vMerge/>
            <w:tcBorders>
              <w:left w:val="nil"/>
            </w:tcBorders>
          </w:tcPr>
          <w:p>
            <w:pPr/>
          </w:p>
        </w:tc>
        <w:tc>
          <w:tcPr>
            <w:tcW w:w="2287" w:type="dxa"/>
            <w:gridSpan w:val="2"/>
            <w:vMerge w:val="restart"/>
          </w:tcPr>
          <w:p>
            <w:pPr>
              <w:pStyle w:val="TableParagraph"/>
              <w:spacing w:before="33"/>
              <w:ind w:left="64" w:right="211"/>
              <w:jc w:val="left"/>
              <w:rPr>
                <w:sz w:val="22"/>
              </w:rPr>
            </w:pPr>
            <w:r>
              <w:rPr>
                <w:sz w:val="22"/>
              </w:rPr>
              <w:t>Intervalo de confianza al 95 %</w:t>
            </w:r>
          </w:p>
        </w:tc>
        <w:tc>
          <w:tcPr>
            <w:tcW w:w="1478" w:type="dxa"/>
          </w:tcPr>
          <w:p>
            <w:pPr>
              <w:pStyle w:val="TableParagraph"/>
              <w:ind w:right="63"/>
              <w:rPr>
                <w:sz w:val="22"/>
              </w:rPr>
            </w:pPr>
            <w:r>
              <w:rPr>
                <w:sz w:val="22"/>
              </w:rPr>
              <w:t>-123,05</w:t>
            </w:r>
          </w:p>
        </w:tc>
      </w:tr>
      <w:tr>
        <w:trPr>
          <w:trHeight w:val="310" w:hRule="exact"/>
        </w:trPr>
        <w:tc>
          <w:tcPr>
            <w:tcW w:w="5386" w:type="dxa"/>
            <w:gridSpan w:val="6"/>
            <w:vMerge/>
            <w:tcBorders>
              <w:left w:val="nil"/>
              <w:bottom w:val="nil"/>
            </w:tcBorders>
          </w:tcPr>
          <w:p>
            <w:pPr/>
          </w:p>
        </w:tc>
        <w:tc>
          <w:tcPr>
            <w:tcW w:w="2287" w:type="dxa"/>
            <w:gridSpan w:val="2"/>
            <w:vMerge/>
          </w:tcPr>
          <w:p>
            <w:pPr/>
          </w:p>
        </w:tc>
        <w:tc>
          <w:tcPr>
            <w:tcW w:w="1478" w:type="dxa"/>
          </w:tcPr>
          <w:p>
            <w:pPr>
              <w:pStyle w:val="TableParagraph"/>
              <w:ind w:right="63"/>
              <w:rPr>
                <w:sz w:val="22"/>
              </w:rPr>
            </w:pPr>
            <w:r>
              <w:rPr>
                <w:sz w:val="22"/>
              </w:rPr>
              <w:t>-102,81</w:t>
            </w:r>
          </w:p>
        </w:tc>
      </w:tr>
    </w:tbl>
    <w:p>
      <w:pPr>
        <w:spacing w:after="0"/>
        <w:rPr>
          <w:sz w:val="22"/>
        </w:rPr>
        <w:sectPr>
          <w:pgSz w:w="12240" w:h="15840"/>
          <w:pgMar w:header="725" w:footer="1084" w:top="1340" w:bottom="1280" w:left="920" w:right="1200"/>
        </w:sectPr>
      </w:pPr>
    </w:p>
    <w:p>
      <w:pPr>
        <w:pStyle w:val="BodyText"/>
        <w:spacing w:before="5"/>
        <w:rPr>
          <w:rFonts w:ascii="Times New Roman"/>
          <w:sz w:val="9"/>
        </w:rPr>
      </w:pPr>
    </w:p>
    <w:p>
      <w:pPr>
        <w:spacing w:before="65"/>
        <w:ind w:left="3095" w:right="2707" w:firstLine="0"/>
        <w:jc w:val="left"/>
        <w:rPr>
          <w:b/>
          <w:sz w:val="28"/>
        </w:rPr>
      </w:pPr>
      <w:r>
        <w:rPr>
          <w:b/>
          <w:sz w:val="28"/>
        </w:rPr>
        <w:t>Alcalinidad (mg como CaCO</w:t>
      </w:r>
      <w:r>
        <w:rPr>
          <w:b/>
          <w:position w:val="-3"/>
          <w:sz w:val="18"/>
        </w:rPr>
        <w:t>3</w:t>
      </w:r>
      <w:r>
        <w:rPr>
          <w:b/>
          <w:sz w:val="28"/>
        </w:rPr>
        <w:t>/L)</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7"/>
        <w:gridCol w:w="823"/>
        <w:gridCol w:w="475"/>
        <w:gridCol w:w="823"/>
        <w:gridCol w:w="1111"/>
        <w:gridCol w:w="1253"/>
        <w:gridCol w:w="823"/>
        <w:gridCol w:w="1397"/>
        <w:gridCol w:w="1526"/>
      </w:tblGrid>
      <w:tr>
        <w:trPr>
          <w:trHeight w:val="310" w:hRule="exact"/>
        </w:trPr>
        <w:tc>
          <w:tcPr>
            <w:tcW w:w="9089" w:type="dxa"/>
            <w:gridSpan w:val="9"/>
          </w:tcPr>
          <w:p>
            <w:pPr>
              <w:pStyle w:val="TableParagraph"/>
              <w:spacing w:before="12"/>
              <w:ind w:left="3499" w:right="3497"/>
              <w:jc w:val="center"/>
              <w:rPr>
                <w:sz w:val="22"/>
              </w:rPr>
            </w:pPr>
            <w:r>
              <w:rPr>
                <w:sz w:val="22"/>
              </w:rPr>
              <w:t>Punto de muestreo A</w:t>
            </w:r>
          </w:p>
        </w:tc>
      </w:tr>
      <w:tr>
        <w:trPr>
          <w:trHeight w:val="310" w:hRule="exact"/>
        </w:trPr>
        <w:tc>
          <w:tcPr>
            <w:tcW w:w="857" w:type="dxa"/>
          </w:tcPr>
          <w:p>
            <w:pPr>
              <w:pStyle w:val="TableParagraph"/>
              <w:spacing w:line="267" w:lineRule="exact" w:before="0"/>
              <w:ind w:left="9" w:right="84"/>
              <w:jc w:val="center"/>
              <w:rPr>
                <w:sz w:val="22"/>
              </w:rPr>
            </w:pPr>
            <w:r>
              <w:rPr>
                <w:sz w:val="22"/>
              </w:rPr>
              <w:t>Estrato</w:t>
            </w:r>
          </w:p>
        </w:tc>
        <w:tc>
          <w:tcPr>
            <w:tcW w:w="823" w:type="dxa"/>
          </w:tcPr>
          <w:p>
            <w:pPr>
              <w:pStyle w:val="TableParagraph"/>
              <w:spacing w:before="27"/>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27"/>
              <w:ind w:left="33" w:right="44"/>
              <w:jc w:val="center"/>
              <w:rPr>
                <w:rFonts w:ascii="Cambria Math"/>
                <w:sz w:val="16"/>
              </w:rPr>
            </w:pPr>
            <w:r>
              <w:rPr>
                <w:rFonts w:ascii="Cambria Math"/>
                <w:w w:val="110"/>
                <w:sz w:val="22"/>
              </w:rPr>
              <w:t>n</w:t>
            </w:r>
            <w:r>
              <w:rPr>
                <w:rFonts w:ascii="Cambria Math"/>
                <w:w w:val="110"/>
                <w:position w:val="-4"/>
                <w:sz w:val="16"/>
              </w:rPr>
              <w:t>h</w:t>
            </w:r>
          </w:p>
        </w:tc>
        <w:tc>
          <w:tcPr>
            <w:tcW w:w="823" w:type="dxa"/>
          </w:tcPr>
          <w:p>
            <w:pPr>
              <w:pStyle w:val="TableParagraph"/>
              <w:spacing w:before="27"/>
              <w:ind w:left="33"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11" w:type="dxa"/>
          </w:tcPr>
          <w:p>
            <w:pPr>
              <w:pStyle w:val="TableParagraph"/>
              <w:spacing w:line="204" w:lineRule="exact" w:before="0"/>
              <w:ind w:left="359" w:right="36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53" w:type="dxa"/>
          </w:tcPr>
          <w:p>
            <w:pPr>
              <w:pStyle w:val="TableParagraph"/>
              <w:spacing w:before="3"/>
              <w:ind w:left="502" w:right="51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23" w:type="dxa"/>
          </w:tcPr>
          <w:p>
            <w:pPr>
              <w:pStyle w:val="TableParagraph"/>
              <w:spacing w:before="27"/>
              <w:ind w:left="36" w:right="44"/>
              <w:jc w:val="center"/>
              <w:rPr>
                <w:rFonts w:ascii="Cambria Math"/>
                <w:sz w:val="16"/>
              </w:rPr>
            </w:pPr>
            <w:r>
              <w:rPr>
                <w:rFonts w:ascii="Cambria Math"/>
                <w:w w:val="110"/>
                <w:sz w:val="22"/>
              </w:rPr>
              <w:t>s</w:t>
            </w:r>
            <w:r>
              <w:rPr>
                <w:rFonts w:ascii="Cambria Math"/>
                <w:w w:val="110"/>
                <w:position w:val="-4"/>
                <w:sz w:val="16"/>
              </w:rPr>
              <w:t>h</w:t>
            </w:r>
          </w:p>
        </w:tc>
        <w:tc>
          <w:tcPr>
            <w:tcW w:w="1397" w:type="dxa"/>
          </w:tcPr>
          <w:p>
            <w:pPr>
              <w:pStyle w:val="TableParagraph"/>
              <w:spacing w:line="319" w:lineRule="exact" w:before="0"/>
              <w:ind w:left="36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526" w:type="dxa"/>
          </w:tcPr>
          <w:p>
            <w:pPr>
              <w:pStyle w:val="TableParagraph"/>
              <w:spacing w:line="319" w:lineRule="exact" w:before="0"/>
              <w:ind w:left="41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57" w:type="dxa"/>
          </w:tcPr>
          <w:p>
            <w:pPr>
              <w:pStyle w:val="TableParagraph"/>
              <w:spacing w:before="14"/>
              <w:ind w:right="1"/>
              <w:jc w:val="center"/>
              <w:rPr>
                <w:sz w:val="22"/>
              </w:rPr>
            </w:pPr>
            <w:r>
              <w:rPr>
                <w:w w:val="100"/>
                <w:sz w:val="22"/>
              </w:rPr>
              <w:t>1</w:t>
            </w:r>
          </w:p>
        </w:tc>
        <w:tc>
          <w:tcPr>
            <w:tcW w:w="823" w:type="dxa"/>
          </w:tcPr>
          <w:p>
            <w:pPr>
              <w:pStyle w:val="TableParagraph"/>
              <w:spacing w:before="14"/>
              <w:rPr>
                <w:sz w:val="22"/>
              </w:rPr>
            </w:pPr>
            <w:r>
              <w:rPr>
                <w:sz w:val="22"/>
              </w:rPr>
              <w:t>108,60</w:t>
            </w:r>
          </w:p>
        </w:tc>
        <w:tc>
          <w:tcPr>
            <w:tcW w:w="475" w:type="dxa"/>
          </w:tcPr>
          <w:p>
            <w:pPr>
              <w:pStyle w:val="TableParagraph"/>
              <w:spacing w:before="14"/>
              <w:ind w:left="47" w:right="44"/>
              <w:jc w:val="center"/>
              <w:rPr>
                <w:sz w:val="22"/>
              </w:rPr>
            </w:pPr>
            <w:r>
              <w:rPr>
                <w:sz w:val="22"/>
              </w:rPr>
              <w:t>108</w:t>
            </w:r>
          </w:p>
        </w:tc>
        <w:tc>
          <w:tcPr>
            <w:tcW w:w="823" w:type="dxa"/>
          </w:tcPr>
          <w:p>
            <w:pPr>
              <w:pStyle w:val="TableParagraph"/>
              <w:spacing w:before="14"/>
              <w:ind w:left="117" w:right="44"/>
              <w:jc w:val="center"/>
              <w:rPr>
                <w:sz w:val="22"/>
              </w:rPr>
            </w:pPr>
            <w:r>
              <w:rPr>
                <w:sz w:val="22"/>
              </w:rPr>
              <w:t>59,800</w:t>
            </w:r>
          </w:p>
        </w:tc>
        <w:tc>
          <w:tcPr>
            <w:tcW w:w="1111" w:type="dxa"/>
          </w:tcPr>
          <w:p>
            <w:pPr>
              <w:pStyle w:val="TableParagraph"/>
              <w:spacing w:before="14"/>
              <w:ind w:right="63"/>
              <w:rPr>
                <w:sz w:val="22"/>
              </w:rPr>
            </w:pPr>
            <w:r>
              <w:rPr>
                <w:sz w:val="22"/>
              </w:rPr>
              <w:t>533,200</w:t>
            </w:r>
          </w:p>
        </w:tc>
        <w:tc>
          <w:tcPr>
            <w:tcW w:w="1253" w:type="dxa"/>
          </w:tcPr>
          <w:p>
            <w:pPr>
              <w:pStyle w:val="TableParagraph"/>
              <w:spacing w:before="14"/>
              <w:rPr>
                <w:sz w:val="22"/>
              </w:rPr>
            </w:pPr>
            <w:r>
              <w:rPr>
                <w:sz w:val="22"/>
              </w:rPr>
              <w:t>6494,280</w:t>
            </w:r>
          </w:p>
        </w:tc>
        <w:tc>
          <w:tcPr>
            <w:tcW w:w="823" w:type="dxa"/>
          </w:tcPr>
          <w:p>
            <w:pPr>
              <w:pStyle w:val="TableParagraph"/>
              <w:spacing w:before="14"/>
              <w:ind w:left="117" w:right="44"/>
              <w:jc w:val="center"/>
              <w:rPr>
                <w:sz w:val="22"/>
              </w:rPr>
            </w:pPr>
            <w:r>
              <w:rPr>
                <w:sz w:val="22"/>
              </w:rPr>
              <w:t>23,091</w:t>
            </w:r>
          </w:p>
        </w:tc>
        <w:tc>
          <w:tcPr>
            <w:tcW w:w="1397" w:type="dxa"/>
          </w:tcPr>
          <w:p>
            <w:pPr>
              <w:pStyle w:val="TableParagraph"/>
              <w:spacing w:before="14"/>
              <w:ind w:left="307" w:right="0"/>
              <w:jc w:val="left"/>
              <w:rPr>
                <w:sz w:val="22"/>
              </w:rPr>
            </w:pPr>
            <w:r>
              <w:rPr>
                <w:sz w:val="22"/>
              </w:rPr>
              <w:t>-19467,015</w:t>
            </w:r>
          </w:p>
        </w:tc>
        <w:tc>
          <w:tcPr>
            <w:tcW w:w="1526" w:type="dxa"/>
          </w:tcPr>
          <w:p>
            <w:pPr>
              <w:pStyle w:val="TableParagraph"/>
              <w:spacing w:before="14"/>
              <w:rPr>
                <w:sz w:val="22"/>
              </w:rPr>
            </w:pPr>
            <w:r>
              <w:rPr>
                <w:sz w:val="22"/>
              </w:rPr>
              <w:t>-0,04028258</w:t>
            </w:r>
          </w:p>
        </w:tc>
      </w:tr>
      <w:tr>
        <w:trPr>
          <w:trHeight w:val="310" w:hRule="exact"/>
        </w:trPr>
        <w:tc>
          <w:tcPr>
            <w:tcW w:w="857" w:type="dxa"/>
          </w:tcPr>
          <w:p>
            <w:pPr>
              <w:pStyle w:val="TableParagraph"/>
              <w:spacing w:before="12"/>
              <w:ind w:right="1"/>
              <w:jc w:val="center"/>
              <w:rPr>
                <w:sz w:val="22"/>
              </w:rPr>
            </w:pPr>
            <w:r>
              <w:rPr>
                <w:w w:val="100"/>
                <w:sz w:val="22"/>
              </w:rPr>
              <w:t>2</w:t>
            </w:r>
          </w:p>
        </w:tc>
        <w:tc>
          <w:tcPr>
            <w:tcW w:w="823" w:type="dxa"/>
          </w:tcPr>
          <w:p>
            <w:pPr>
              <w:pStyle w:val="TableParagraph"/>
              <w:spacing w:before="12"/>
              <w:rPr>
                <w:sz w:val="22"/>
              </w:rPr>
            </w:pPr>
            <w:r>
              <w:rPr>
                <w:sz w:val="22"/>
              </w:rPr>
              <w:t>121,03</w:t>
            </w:r>
          </w:p>
        </w:tc>
        <w:tc>
          <w:tcPr>
            <w:tcW w:w="475" w:type="dxa"/>
          </w:tcPr>
          <w:p>
            <w:pPr>
              <w:pStyle w:val="TableParagraph"/>
              <w:spacing w:before="12"/>
              <w:ind w:left="158" w:right="44"/>
              <w:jc w:val="center"/>
              <w:rPr>
                <w:sz w:val="22"/>
              </w:rPr>
            </w:pPr>
            <w:r>
              <w:rPr>
                <w:sz w:val="22"/>
              </w:rPr>
              <w:t>81</w:t>
            </w:r>
          </w:p>
        </w:tc>
        <w:tc>
          <w:tcPr>
            <w:tcW w:w="823" w:type="dxa"/>
          </w:tcPr>
          <w:p>
            <w:pPr>
              <w:pStyle w:val="TableParagraph"/>
              <w:spacing w:before="12"/>
              <w:ind w:left="117" w:right="44"/>
              <w:jc w:val="center"/>
              <w:rPr>
                <w:sz w:val="22"/>
              </w:rPr>
            </w:pPr>
            <w:r>
              <w:rPr>
                <w:sz w:val="22"/>
              </w:rPr>
              <w:t>55,600</w:t>
            </w:r>
          </w:p>
        </w:tc>
        <w:tc>
          <w:tcPr>
            <w:tcW w:w="1111" w:type="dxa"/>
          </w:tcPr>
          <w:p>
            <w:pPr>
              <w:pStyle w:val="TableParagraph"/>
              <w:spacing w:before="12"/>
              <w:ind w:right="63"/>
              <w:rPr>
                <w:sz w:val="22"/>
              </w:rPr>
            </w:pPr>
            <w:r>
              <w:rPr>
                <w:sz w:val="22"/>
              </w:rPr>
              <w:t>458,300</w:t>
            </w:r>
          </w:p>
        </w:tc>
        <w:tc>
          <w:tcPr>
            <w:tcW w:w="1253" w:type="dxa"/>
          </w:tcPr>
          <w:p>
            <w:pPr>
              <w:pStyle w:val="TableParagraph"/>
              <w:spacing w:before="12"/>
              <w:rPr>
                <w:sz w:val="22"/>
              </w:rPr>
            </w:pPr>
            <w:r>
              <w:rPr>
                <w:sz w:val="22"/>
              </w:rPr>
              <w:t>6729,268</w:t>
            </w:r>
          </w:p>
        </w:tc>
        <w:tc>
          <w:tcPr>
            <w:tcW w:w="823" w:type="dxa"/>
          </w:tcPr>
          <w:p>
            <w:pPr>
              <w:pStyle w:val="TableParagraph"/>
              <w:spacing w:before="12"/>
              <w:ind w:left="117" w:right="44"/>
              <w:jc w:val="center"/>
              <w:rPr>
                <w:sz w:val="22"/>
              </w:rPr>
            </w:pPr>
            <w:r>
              <w:rPr>
                <w:sz w:val="22"/>
              </w:rPr>
              <w:t>21,408</w:t>
            </w:r>
          </w:p>
        </w:tc>
        <w:tc>
          <w:tcPr>
            <w:tcW w:w="1397" w:type="dxa"/>
          </w:tcPr>
          <w:p>
            <w:pPr>
              <w:pStyle w:val="TableParagraph"/>
              <w:spacing w:before="12"/>
              <w:ind w:left="374" w:right="0"/>
              <w:jc w:val="left"/>
              <w:rPr>
                <w:sz w:val="22"/>
              </w:rPr>
            </w:pPr>
            <w:r>
              <w:rPr>
                <w:sz w:val="22"/>
              </w:rPr>
              <w:t>27453,122</w:t>
            </w:r>
          </w:p>
        </w:tc>
        <w:tc>
          <w:tcPr>
            <w:tcW w:w="1526" w:type="dxa"/>
          </w:tcPr>
          <w:p>
            <w:pPr>
              <w:pStyle w:val="TableParagraph"/>
              <w:spacing w:before="12"/>
              <w:rPr>
                <w:sz w:val="22"/>
              </w:rPr>
            </w:pPr>
            <w:r>
              <w:rPr>
                <w:sz w:val="22"/>
              </w:rPr>
              <w:t>0,05680802</w:t>
            </w:r>
          </w:p>
        </w:tc>
      </w:tr>
      <w:tr>
        <w:trPr>
          <w:trHeight w:val="310" w:hRule="exact"/>
        </w:trPr>
        <w:tc>
          <w:tcPr>
            <w:tcW w:w="857" w:type="dxa"/>
          </w:tcPr>
          <w:p>
            <w:pPr>
              <w:pStyle w:val="TableParagraph"/>
              <w:spacing w:before="12"/>
              <w:ind w:right="1"/>
              <w:jc w:val="center"/>
              <w:rPr>
                <w:sz w:val="22"/>
              </w:rPr>
            </w:pPr>
            <w:r>
              <w:rPr>
                <w:w w:val="100"/>
                <w:sz w:val="22"/>
              </w:rPr>
              <w:t>3</w:t>
            </w:r>
          </w:p>
        </w:tc>
        <w:tc>
          <w:tcPr>
            <w:tcW w:w="823" w:type="dxa"/>
          </w:tcPr>
          <w:p>
            <w:pPr>
              <w:pStyle w:val="TableParagraph"/>
              <w:spacing w:before="12"/>
              <w:rPr>
                <w:sz w:val="22"/>
              </w:rPr>
            </w:pPr>
            <w:r>
              <w:rPr>
                <w:sz w:val="22"/>
              </w:rPr>
              <w:t>130,21</w:t>
            </w:r>
          </w:p>
        </w:tc>
        <w:tc>
          <w:tcPr>
            <w:tcW w:w="475" w:type="dxa"/>
          </w:tcPr>
          <w:p>
            <w:pPr>
              <w:pStyle w:val="TableParagraph"/>
              <w:spacing w:before="12"/>
              <w:ind w:left="158" w:right="44"/>
              <w:jc w:val="center"/>
              <w:rPr>
                <w:sz w:val="22"/>
              </w:rPr>
            </w:pPr>
            <w:r>
              <w:rPr>
                <w:sz w:val="22"/>
              </w:rPr>
              <w:t>77</w:t>
            </w:r>
          </w:p>
        </w:tc>
        <w:tc>
          <w:tcPr>
            <w:tcW w:w="823" w:type="dxa"/>
          </w:tcPr>
          <w:p>
            <w:pPr>
              <w:pStyle w:val="TableParagraph"/>
              <w:spacing w:before="12"/>
              <w:ind w:left="117" w:right="44"/>
              <w:jc w:val="center"/>
              <w:rPr>
                <w:sz w:val="22"/>
              </w:rPr>
            </w:pPr>
            <w:r>
              <w:rPr>
                <w:sz w:val="22"/>
              </w:rPr>
              <w:t>73,200</w:t>
            </w:r>
          </w:p>
        </w:tc>
        <w:tc>
          <w:tcPr>
            <w:tcW w:w="1111" w:type="dxa"/>
          </w:tcPr>
          <w:p>
            <w:pPr>
              <w:pStyle w:val="TableParagraph"/>
              <w:spacing w:before="12"/>
              <w:ind w:right="63"/>
              <w:rPr>
                <w:sz w:val="22"/>
              </w:rPr>
            </w:pPr>
            <w:r>
              <w:rPr>
                <w:sz w:val="22"/>
              </w:rPr>
              <w:t>1454,700</w:t>
            </w:r>
          </w:p>
        </w:tc>
        <w:tc>
          <w:tcPr>
            <w:tcW w:w="1253" w:type="dxa"/>
          </w:tcPr>
          <w:p>
            <w:pPr>
              <w:pStyle w:val="TableParagraph"/>
              <w:spacing w:before="12"/>
              <w:rPr>
                <w:sz w:val="22"/>
              </w:rPr>
            </w:pPr>
            <w:r>
              <w:rPr>
                <w:sz w:val="22"/>
              </w:rPr>
              <w:t>9531,372</w:t>
            </w:r>
          </w:p>
        </w:tc>
        <w:tc>
          <w:tcPr>
            <w:tcW w:w="823" w:type="dxa"/>
          </w:tcPr>
          <w:p>
            <w:pPr>
              <w:pStyle w:val="TableParagraph"/>
              <w:spacing w:before="12"/>
              <w:ind w:left="117" w:right="44"/>
              <w:jc w:val="center"/>
              <w:rPr>
                <w:sz w:val="22"/>
              </w:rPr>
            </w:pPr>
            <w:r>
              <w:rPr>
                <w:sz w:val="22"/>
              </w:rPr>
              <w:t>38,141</w:t>
            </w:r>
          </w:p>
        </w:tc>
        <w:tc>
          <w:tcPr>
            <w:tcW w:w="1397" w:type="dxa"/>
          </w:tcPr>
          <w:p>
            <w:pPr>
              <w:pStyle w:val="TableParagraph"/>
              <w:spacing w:before="12"/>
              <w:ind w:left="263" w:right="0"/>
              <w:jc w:val="left"/>
              <w:rPr>
                <w:sz w:val="22"/>
              </w:rPr>
            </w:pPr>
            <w:r>
              <w:rPr>
                <w:sz w:val="22"/>
              </w:rPr>
              <w:t>132819,217</w:t>
            </w:r>
          </w:p>
        </w:tc>
        <w:tc>
          <w:tcPr>
            <w:tcW w:w="1526" w:type="dxa"/>
          </w:tcPr>
          <w:p>
            <w:pPr>
              <w:pStyle w:val="TableParagraph"/>
              <w:spacing w:before="12"/>
              <w:rPr>
                <w:sz w:val="22"/>
              </w:rPr>
            </w:pPr>
            <w:r>
              <w:rPr>
                <w:sz w:val="22"/>
              </w:rPr>
              <w:t>0,27483932</w:t>
            </w:r>
          </w:p>
        </w:tc>
      </w:tr>
      <w:tr>
        <w:trPr>
          <w:trHeight w:val="310" w:hRule="exact"/>
        </w:trPr>
        <w:tc>
          <w:tcPr>
            <w:tcW w:w="857" w:type="dxa"/>
          </w:tcPr>
          <w:p>
            <w:pPr>
              <w:pStyle w:val="TableParagraph"/>
              <w:spacing w:before="12"/>
              <w:ind w:right="1"/>
              <w:jc w:val="center"/>
              <w:rPr>
                <w:sz w:val="22"/>
              </w:rPr>
            </w:pPr>
            <w:r>
              <w:rPr>
                <w:w w:val="100"/>
                <w:sz w:val="22"/>
              </w:rPr>
              <w:t>4</w:t>
            </w:r>
          </w:p>
        </w:tc>
        <w:tc>
          <w:tcPr>
            <w:tcW w:w="823" w:type="dxa"/>
          </w:tcPr>
          <w:p>
            <w:pPr>
              <w:pStyle w:val="TableParagraph"/>
              <w:spacing w:before="12"/>
              <w:rPr>
                <w:sz w:val="22"/>
              </w:rPr>
            </w:pPr>
            <w:r>
              <w:rPr>
                <w:sz w:val="22"/>
              </w:rPr>
              <w:t>155,12</w:t>
            </w:r>
          </w:p>
        </w:tc>
        <w:tc>
          <w:tcPr>
            <w:tcW w:w="475" w:type="dxa"/>
          </w:tcPr>
          <w:p>
            <w:pPr>
              <w:pStyle w:val="TableParagraph"/>
              <w:spacing w:before="12"/>
              <w:ind w:left="158" w:right="44"/>
              <w:jc w:val="center"/>
              <w:rPr>
                <w:sz w:val="22"/>
              </w:rPr>
            </w:pPr>
            <w:r>
              <w:rPr>
                <w:sz w:val="22"/>
              </w:rPr>
              <w:t>92</w:t>
            </w:r>
          </w:p>
        </w:tc>
        <w:tc>
          <w:tcPr>
            <w:tcW w:w="823" w:type="dxa"/>
          </w:tcPr>
          <w:p>
            <w:pPr>
              <w:pStyle w:val="TableParagraph"/>
              <w:spacing w:before="12"/>
              <w:ind w:left="117" w:right="44"/>
              <w:jc w:val="center"/>
              <w:rPr>
                <w:sz w:val="22"/>
              </w:rPr>
            </w:pPr>
            <w:r>
              <w:rPr>
                <w:sz w:val="22"/>
              </w:rPr>
              <w:t>55,400</w:t>
            </w:r>
          </w:p>
        </w:tc>
        <w:tc>
          <w:tcPr>
            <w:tcW w:w="1111" w:type="dxa"/>
          </w:tcPr>
          <w:p>
            <w:pPr>
              <w:pStyle w:val="TableParagraph"/>
              <w:spacing w:before="12"/>
              <w:ind w:right="63"/>
              <w:rPr>
                <w:sz w:val="22"/>
              </w:rPr>
            </w:pPr>
            <w:r>
              <w:rPr>
                <w:sz w:val="22"/>
              </w:rPr>
              <w:t>515,800</w:t>
            </w:r>
          </w:p>
        </w:tc>
        <w:tc>
          <w:tcPr>
            <w:tcW w:w="1253" w:type="dxa"/>
          </w:tcPr>
          <w:p>
            <w:pPr>
              <w:pStyle w:val="TableParagraph"/>
              <w:spacing w:before="12"/>
              <w:rPr>
                <w:sz w:val="22"/>
              </w:rPr>
            </w:pPr>
            <w:r>
              <w:rPr>
                <w:sz w:val="22"/>
              </w:rPr>
              <w:t>8593,648</w:t>
            </w:r>
          </w:p>
        </w:tc>
        <w:tc>
          <w:tcPr>
            <w:tcW w:w="823" w:type="dxa"/>
          </w:tcPr>
          <w:p>
            <w:pPr>
              <w:pStyle w:val="TableParagraph"/>
              <w:spacing w:before="12"/>
              <w:ind w:left="117" w:right="44"/>
              <w:jc w:val="center"/>
              <w:rPr>
                <w:sz w:val="22"/>
              </w:rPr>
            </w:pPr>
            <w:r>
              <w:rPr>
                <w:sz w:val="22"/>
              </w:rPr>
              <w:t>22,711</w:t>
            </w:r>
          </w:p>
        </w:tc>
        <w:tc>
          <w:tcPr>
            <w:tcW w:w="1397" w:type="dxa"/>
          </w:tcPr>
          <w:p>
            <w:pPr>
              <w:pStyle w:val="TableParagraph"/>
              <w:spacing w:before="12"/>
              <w:ind w:left="374" w:right="0"/>
              <w:jc w:val="left"/>
              <w:rPr>
                <w:sz w:val="22"/>
              </w:rPr>
            </w:pPr>
            <w:r>
              <w:rPr>
                <w:sz w:val="22"/>
              </w:rPr>
              <w:t>55173,618</w:t>
            </w:r>
          </w:p>
        </w:tc>
        <w:tc>
          <w:tcPr>
            <w:tcW w:w="1526" w:type="dxa"/>
          </w:tcPr>
          <w:p>
            <w:pPr>
              <w:pStyle w:val="TableParagraph"/>
              <w:spacing w:before="12"/>
              <w:rPr>
                <w:sz w:val="22"/>
              </w:rPr>
            </w:pPr>
            <w:r>
              <w:rPr>
                <w:sz w:val="22"/>
              </w:rPr>
              <w:t>0,11416932</w:t>
            </w:r>
          </w:p>
        </w:tc>
      </w:tr>
      <w:tr>
        <w:trPr>
          <w:trHeight w:val="310" w:hRule="exact"/>
        </w:trPr>
        <w:tc>
          <w:tcPr>
            <w:tcW w:w="857" w:type="dxa"/>
          </w:tcPr>
          <w:p>
            <w:pPr>
              <w:pStyle w:val="TableParagraph"/>
              <w:spacing w:before="12"/>
              <w:ind w:right="1"/>
              <w:jc w:val="center"/>
              <w:rPr>
                <w:sz w:val="22"/>
              </w:rPr>
            </w:pPr>
            <w:r>
              <w:rPr>
                <w:w w:val="100"/>
                <w:sz w:val="22"/>
              </w:rPr>
              <w:t>5</w:t>
            </w:r>
          </w:p>
        </w:tc>
        <w:tc>
          <w:tcPr>
            <w:tcW w:w="823" w:type="dxa"/>
          </w:tcPr>
          <w:p>
            <w:pPr>
              <w:pStyle w:val="TableParagraph"/>
              <w:spacing w:before="12"/>
              <w:rPr>
                <w:sz w:val="22"/>
              </w:rPr>
            </w:pPr>
            <w:r>
              <w:rPr>
                <w:sz w:val="22"/>
              </w:rPr>
              <w:t>180,21</w:t>
            </w:r>
          </w:p>
        </w:tc>
        <w:tc>
          <w:tcPr>
            <w:tcW w:w="475" w:type="dxa"/>
          </w:tcPr>
          <w:p>
            <w:pPr>
              <w:pStyle w:val="TableParagraph"/>
              <w:spacing w:before="12"/>
              <w:ind w:left="47" w:right="44"/>
              <w:jc w:val="center"/>
              <w:rPr>
                <w:sz w:val="22"/>
              </w:rPr>
            </w:pPr>
            <w:r>
              <w:rPr>
                <w:sz w:val="22"/>
              </w:rPr>
              <w:t>132</w:t>
            </w:r>
          </w:p>
        </w:tc>
        <w:tc>
          <w:tcPr>
            <w:tcW w:w="823" w:type="dxa"/>
          </w:tcPr>
          <w:p>
            <w:pPr>
              <w:pStyle w:val="TableParagraph"/>
              <w:spacing w:before="12"/>
              <w:ind w:left="117" w:right="44"/>
              <w:jc w:val="center"/>
              <w:rPr>
                <w:sz w:val="22"/>
              </w:rPr>
            </w:pPr>
            <w:r>
              <w:rPr>
                <w:sz w:val="22"/>
              </w:rPr>
              <w:t>77,333</w:t>
            </w:r>
          </w:p>
        </w:tc>
        <w:tc>
          <w:tcPr>
            <w:tcW w:w="1111" w:type="dxa"/>
          </w:tcPr>
          <w:p>
            <w:pPr>
              <w:pStyle w:val="TableParagraph"/>
              <w:spacing w:before="12"/>
              <w:ind w:right="63"/>
              <w:rPr>
                <w:sz w:val="22"/>
              </w:rPr>
            </w:pPr>
            <w:r>
              <w:rPr>
                <w:sz w:val="22"/>
              </w:rPr>
              <w:t>484,267</w:t>
            </w:r>
          </w:p>
        </w:tc>
        <w:tc>
          <w:tcPr>
            <w:tcW w:w="1253" w:type="dxa"/>
          </w:tcPr>
          <w:p>
            <w:pPr>
              <w:pStyle w:val="TableParagraph"/>
              <w:spacing w:before="12"/>
              <w:rPr>
                <w:sz w:val="22"/>
              </w:rPr>
            </w:pPr>
            <w:r>
              <w:rPr>
                <w:sz w:val="22"/>
              </w:rPr>
              <w:t>13936,240</w:t>
            </w:r>
          </w:p>
        </w:tc>
        <w:tc>
          <w:tcPr>
            <w:tcW w:w="823" w:type="dxa"/>
          </w:tcPr>
          <w:p>
            <w:pPr>
              <w:pStyle w:val="TableParagraph"/>
              <w:spacing w:before="12"/>
              <w:ind w:left="117" w:right="44"/>
              <w:jc w:val="center"/>
              <w:rPr>
                <w:sz w:val="22"/>
              </w:rPr>
            </w:pPr>
            <w:r>
              <w:rPr>
                <w:sz w:val="22"/>
              </w:rPr>
              <w:t>22,006</w:t>
            </w:r>
          </w:p>
        </w:tc>
        <w:tc>
          <w:tcPr>
            <w:tcW w:w="1397" w:type="dxa"/>
          </w:tcPr>
          <w:p>
            <w:pPr>
              <w:pStyle w:val="TableParagraph"/>
              <w:spacing w:before="12"/>
              <w:ind w:left="374" w:right="0"/>
              <w:jc w:val="left"/>
              <w:rPr>
                <w:sz w:val="22"/>
              </w:rPr>
            </w:pPr>
            <w:r>
              <w:rPr>
                <w:sz w:val="22"/>
              </w:rPr>
              <w:t>31837,180</w:t>
            </w:r>
          </w:p>
        </w:tc>
        <w:tc>
          <w:tcPr>
            <w:tcW w:w="1526" w:type="dxa"/>
          </w:tcPr>
          <w:p>
            <w:pPr>
              <w:pStyle w:val="TableParagraph"/>
              <w:spacing w:before="12"/>
              <w:rPr>
                <w:sz w:val="22"/>
              </w:rPr>
            </w:pPr>
            <w:r>
              <w:rPr>
                <w:sz w:val="22"/>
              </w:rPr>
              <w:t>0,06587984</w:t>
            </w:r>
          </w:p>
        </w:tc>
      </w:tr>
      <w:tr>
        <w:trPr>
          <w:trHeight w:val="310" w:hRule="exact"/>
        </w:trPr>
        <w:tc>
          <w:tcPr>
            <w:tcW w:w="857" w:type="dxa"/>
          </w:tcPr>
          <w:p>
            <w:pPr>
              <w:pStyle w:val="TableParagraph"/>
              <w:spacing w:before="14"/>
              <w:ind w:right="0"/>
              <w:jc w:val="center"/>
              <w:rPr>
                <w:sz w:val="22"/>
              </w:rPr>
            </w:pPr>
            <w:r>
              <w:rPr>
                <w:w w:val="100"/>
                <w:sz w:val="22"/>
              </w:rPr>
              <w:t>N</w:t>
            </w:r>
          </w:p>
        </w:tc>
        <w:tc>
          <w:tcPr>
            <w:tcW w:w="823" w:type="dxa"/>
          </w:tcPr>
          <w:p>
            <w:pPr>
              <w:pStyle w:val="TableParagraph"/>
              <w:spacing w:before="14"/>
              <w:rPr>
                <w:sz w:val="22"/>
              </w:rPr>
            </w:pPr>
            <w:r>
              <w:rPr>
                <w:sz w:val="22"/>
              </w:rPr>
              <w:t>695,17</w:t>
            </w:r>
          </w:p>
        </w:tc>
        <w:tc>
          <w:tcPr>
            <w:tcW w:w="475" w:type="dxa"/>
          </w:tcPr>
          <w:p>
            <w:pPr/>
          </w:p>
        </w:tc>
        <w:tc>
          <w:tcPr>
            <w:tcW w:w="823" w:type="dxa"/>
          </w:tcPr>
          <w:p>
            <w:pPr/>
          </w:p>
        </w:tc>
        <w:tc>
          <w:tcPr>
            <w:tcW w:w="1111" w:type="dxa"/>
          </w:tcPr>
          <w:p>
            <w:pPr>
              <w:pStyle w:val="TableParagraph"/>
              <w:spacing w:before="3"/>
              <w:ind w:left="359" w:right="372"/>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53" w:type="dxa"/>
          </w:tcPr>
          <w:p>
            <w:pPr>
              <w:pStyle w:val="TableParagraph"/>
              <w:spacing w:before="14"/>
              <w:rPr>
                <w:sz w:val="22"/>
              </w:rPr>
            </w:pPr>
            <w:r>
              <w:rPr>
                <w:sz w:val="22"/>
              </w:rPr>
              <w:t>45284,808</w:t>
            </w:r>
          </w:p>
        </w:tc>
        <w:tc>
          <w:tcPr>
            <w:tcW w:w="823" w:type="dxa"/>
          </w:tcPr>
          <w:p>
            <w:pPr/>
          </w:p>
        </w:tc>
        <w:tc>
          <w:tcPr>
            <w:tcW w:w="1397" w:type="dxa"/>
          </w:tcPr>
          <w:p>
            <w:pPr>
              <w:pStyle w:val="TableParagraph"/>
              <w:spacing w:before="14"/>
              <w:ind w:left="264" w:right="0"/>
              <w:jc w:val="left"/>
              <w:rPr>
                <w:sz w:val="22"/>
              </w:rPr>
            </w:pPr>
            <w:r>
              <w:rPr>
                <w:sz w:val="22"/>
              </w:rPr>
              <w:t>227816,121</w:t>
            </w:r>
          </w:p>
        </w:tc>
        <w:tc>
          <w:tcPr>
            <w:tcW w:w="1526" w:type="dxa"/>
          </w:tcPr>
          <w:p>
            <w:pPr>
              <w:pStyle w:val="TableParagraph"/>
              <w:spacing w:before="14"/>
              <w:rPr>
                <w:sz w:val="22"/>
              </w:rPr>
            </w:pPr>
            <w:r>
              <w:rPr>
                <w:sz w:val="22"/>
              </w:rPr>
              <w:t>0,47141393</w:t>
            </w:r>
          </w:p>
        </w:tc>
      </w:tr>
      <w:tr>
        <w:trPr>
          <w:trHeight w:val="312" w:hRule="exact"/>
        </w:trPr>
        <w:tc>
          <w:tcPr>
            <w:tcW w:w="5342" w:type="dxa"/>
            <w:gridSpan w:val="6"/>
            <w:vMerge w:val="restart"/>
            <w:tcBorders>
              <w:left w:val="nil"/>
            </w:tcBorders>
          </w:tcPr>
          <w:p>
            <w:pPr/>
          </w:p>
        </w:tc>
        <w:tc>
          <w:tcPr>
            <w:tcW w:w="2220" w:type="dxa"/>
            <w:gridSpan w:val="2"/>
          </w:tcPr>
          <w:p>
            <w:pPr>
              <w:pStyle w:val="TableParagraph"/>
              <w:spacing w:line="293" w:lineRule="exact" w:before="0"/>
              <w:ind w:left="64" w:right="144"/>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26" w:type="dxa"/>
          </w:tcPr>
          <w:p>
            <w:pPr>
              <w:pStyle w:val="TableParagraph"/>
              <w:spacing w:before="14"/>
              <w:rPr>
                <w:b/>
                <w:sz w:val="22"/>
              </w:rPr>
            </w:pPr>
            <w:r>
              <w:rPr>
                <w:b/>
                <w:sz w:val="22"/>
              </w:rPr>
              <w:t>65,142</w:t>
            </w:r>
          </w:p>
        </w:tc>
      </w:tr>
      <w:tr>
        <w:trPr>
          <w:trHeight w:val="310" w:hRule="exact"/>
        </w:trPr>
        <w:tc>
          <w:tcPr>
            <w:tcW w:w="5342" w:type="dxa"/>
            <w:gridSpan w:val="6"/>
            <w:vMerge/>
            <w:tcBorders>
              <w:left w:val="nil"/>
            </w:tcBorders>
          </w:tcPr>
          <w:p>
            <w:pPr/>
          </w:p>
        </w:tc>
        <w:tc>
          <w:tcPr>
            <w:tcW w:w="2220" w:type="dxa"/>
            <w:gridSpan w:val="2"/>
          </w:tcPr>
          <w:p>
            <w:pPr>
              <w:pStyle w:val="TableParagraph"/>
              <w:spacing w:line="264" w:lineRule="exact" w:before="0"/>
              <w:ind w:left="64" w:right="144"/>
              <w:jc w:val="left"/>
              <w:rPr>
                <w:sz w:val="22"/>
              </w:rPr>
            </w:pPr>
            <w:r>
              <w:rPr>
                <w:sz w:val="22"/>
              </w:rPr>
              <w:t>Desviación estándar</w:t>
            </w:r>
          </w:p>
        </w:tc>
        <w:tc>
          <w:tcPr>
            <w:tcW w:w="1526" w:type="dxa"/>
          </w:tcPr>
          <w:p>
            <w:pPr>
              <w:pStyle w:val="TableParagraph"/>
              <w:spacing w:before="12"/>
              <w:rPr>
                <w:b/>
                <w:sz w:val="22"/>
              </w:rPr>
            </w:pPr>
            <w:r>
              <w:rPr>
                <w:b/>
                <w:sz w:val="22"/>
              </w:rPr>
              <w:t>0,687</w:t>
            </w:r>
          </w:p>
        </w:tc>
      </w:tr>
      <w:tr>
        <w:trPr>
          <w:trHeight w:val="310" w:hRule="exact"/>
        </w:trPr>
        <w:tc>
          <w:tcPr>
            <w:tcW w:w="5342" w:type="dxa"/>
            <w:gridSpan w:val="6"/>
            <w:vMerge/>
            <w:tcBorders>
              <w:left w:val="nil"/>
            </w:tcBorders>
          </w:tcPr>
          <w:p>
            <w:pPr/>
          </w:p>
        </w:tc>
        <w:tc>
          <w:tcPr>
            <w:tcW w:w="2220" w:type="dxa"/>
            <w:gridSpan w:val="2"/>
            <w:vMerge w:val="restart"/>
          </w:tcPr>
          <w:p>
            <w:pPr>
              <w:pStyle w:val="TableParagraph"/>
              <w:spacing w:before="17"/>
              <w:ind w:left="64" w:right="144"/>
              <w:jc w:val="left"/>
              <w:rPr>
                <w:sz w:val="22"/>
              </w:rPr>
            </w:pPr>
            <w:r>
              <w:rPr>
                <w:sz w:val="22"/>
              </w:rPr>
              <w:t>Intervalo de confianza al 95 %</w:t>
            </w:r>
          </w:p>
        </w:tc>
        <w:tc>
          <w:tcPr>
            <w:tcW w:w="1526" w:type="dxa"/>
          </w:tcPr>
          <w:p>
            <w:pPr>
              <w:pStyle w:val="TableParagraph"/>
              <w:spacing w:before="12"/>
              <w:rPr>
                <w:sz w:val="22"/>
              </w:rPr>
            </w:pPr>
            <w:r>
              <w:rPr>
                <w:sz w:val="22"/>
              </w:rPr>
              <w:t>63,80</w:t>
            </w:r>
          </w:p>
        </w:tc>
      </w:tr>
      <w:tr>
        <w:trPr>
          <w:trHeight w:val="310" w:hRule="exact"/>
        </w:trPr>
        <w:tc>
          <w:tcPr>
            <w:tcW w:w="5342" w:type="dxa"/>
            <w:gridSpan w:val="6"/>
            <w:vMerge/>
            <w:tcBorders>
              <w:left w:val="nil"/>
              <w:bottom w:val="nil"/>
            </w:tcBorders>
          </w:tcPr>
          <w:p>
            <w:pPr/>
          </w:p>
        </w:tc>
        <w:tc>
          <w:tcPr>
            <w:tcW w:w="2220" w:type="dxa"/>
            <w:gridSpan w:val="2"/>
            <w:vMerge/>
          </w:tcPr>
          <w:p>
            <w:pPr/>
          </w:p>
        </w:tc>
        <w:tc>
          <w:tcPr>
            <w:tcW w:w="1526" w:type="dxa"/>
          </w:tcPr>
          <w:p>
            <w:pPr>
              <w:pStyle w:val="TableParagraph"/>
              <w:spacing w:before="12"/>
              <w:rPr>
                <w:sz w:val="22"/>
              </w:rPr>
            </w:pPr>
            <w:r>
              <w:rPr>
                <w:sz w:val="22"/>
              </w:rPr>
              <w:t>66,49</w:t>
            </w:r>
          </w:p>
        </w:tc>
      </w:tr>
    </w:tbl>
    <w:p>
      <w:pPr>
        <w:pStyle w:val="BodyText"/>
        <w:spacing w:before="8"/>
        <w:rPr>
          <w:b/>
          <w:sz w:val="24"/>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7"/>
        <w:gridCol w:w="823"/>
        <w:gridCol w:w="475"/>
        <w:gridCol w:w="823"/>
        <w:gridCol w:w="1111"/>
        <w:gridCol w:w="1253"/>
        <w:gridCol w:w="823"/>
        <w:gridCol w:w="1397"/>
        <w:gridCol w:w="1526"/>
      </w:tblGrid>
      <w:tr>
        <w:trPr>
          <w:trHeight w:val="310" w:hRule="exact"/>
        </w:trPr>
        <w:tc>
          <w:tcPr>
            <w:tcW w:w="9089" w:type="dxa"/>
            <w:gridSpan w:val="9"/>
          </w:tcPr>
          <w:p>
            <w:pPr>
              <w:pStyle w:val="TableParagraph"/>
              <w:spacing w:before="30"/>
              <w:ind w:left="3498" w:right="3498"/>
              <w:jc w:val="center"/>
              <w:rPr>
                <w:sz w:val="22"/>
              </w:rPr>
            </w:pPr>
            <w:r>
              <w:rPr>
                <w:sz w:val="22"/>
              </w:rPr>
              <w:t>Punto de muestero B</w:t>
            </w:r>
          </w:p>
        </w:tc>
      </w:tr>
      <w:tr>
        <w:trPr>
          <w:trHeight w:val="312" w:hRule="exact"/>
        </w:trPr>
        <w:tc>
          <w:tcPr>
            <w:tcW w:w="857" w:type="dxa"/>
          </w:tcPr>
          <w:p>
            <w:pPr>
              <w:pStyle w:val="TableParagraph"/>
              <w:spacing w:before="13"/>
              <w:ind w:left="9" w:right="84"/>
              <w:jc w:val="center"/>
              <w:rPr>
                <w:sz w:val="22"/>
              </w:rPr>
            </w:pPr>
            <w:r>
              <w:rPr>
                <w:sz w:val="22"/>
              </w:rPr>
              <w:t>Estrato</w:t>
            </w:r>
          </w:p>
        </w:tc>
        <w:tc>
          <w:tcPr>
            <w:tcW w:w="823" w:type="dxa"/>
          </w:tcPr>
          <w:p>
            <w:pPr>
              <w:pStyle w:val="TableParagraph"/>
              <w:spacing w:before="43"/>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823" w:type="dxa"/>
          </w:tcPr>
          <w:p>
            <w:pPr>
              <w:pStyle w:val="TableParagraph"/>
              <w:spacing w:before="43"/>
              <w:ind w:left="33"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11" w:type="dxa"/>
          </w:tcPr>
          <w:p>
            <w:pPr>
              <w:pStyle w:val="TableParagraph"/>
              <w:spacing w:line="214" w:lineRule="exact" w:before="8"/>
              <w:ind w:left="359" w:right="36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53" w:type="dxa"/>
          </w:tcPr>
          <w:p>
            <w:pPr>
              <w:pStyle w:val="TableParagraph"/>
              <w:spacing w:before="19"/>
              <w:ind w:left="502" w:right="51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23" w:type="dxa"/>
          </w:tcPr>
          <w:p>
            <w:pPr>
              <w:pStyle w:val="TableParagraph"/>
              <w:spacing w:before="43"/>
              <w:ind w:left="36" w:right="44"/>
              <w:jc w:val="center"/>
              <w:rPr>
                <w:rFonts w:ascii="Cambria Math"/>
                <w:sz w:val="16"/>
              </w:rPr>
            </w:pPr>
            <w:r>
              <w:rPr>
                <w:rFonts w:ascii="Cambria Math"/>
                <w:w w:val="110"/>
                <w:sz w:val="22"/>
              </w:rPr>
              <w:t>s</w:t>
            </w:r>
            <w:r>
              <w:rPr>
                <w:rFonts w:ascii="Cambria Math"/>
                <w:w w:val="110"/>
                <w:position w:val="-4"/>
                <w:sz w:val="16"/>
              </w:rPr>
              <w:t>h</w:t>
            </w:r>
          </w:p>
        </w:tc>
        <w:tc>
          <w:tcPr>
            <w:tcW w:w="1397" w:type="dxa"/>
          </w:tcPr>
          <w:p>
            <w:pPr>
              <w:pStyle w:val="TableParagraph"/>
              <w:spacing w:before="3"/>
              <w:ind w:left="36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526" w:type="dxa"/>
          </w:tcPr>
          <w:p>
            <w:pPr>
              <w:pStyle w:val="TableParagraph"/>
              <w:spacing w:before="3"/>
              <w:ind w:left="41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57" w:type="dxa"/>
          </w:tcPr>
          <w:p>
            <w:pPr>
              <w:pStyle w:val="TableParagraph"/>
              <w:ind w:right="1"/>
              <w:jc w:val="center"/>
              <w:rPr>
                <w:sz w:val="22"/>
              </w:rPr>
            </w:pPr>
            <w:r>
              <w:rPr>
                <w:w w:val="100"/>
                <w:sz w:val="22"/>
              </w:rPr>
              <w:t>1</w:t>
            </w:r>
          </w:p>
        </w:tc>
        <w:tc>
          <w:tcPr>
            <w:tcW w:w="823" w:type="dxa"/>
          </w:tcPr>
          <w:p>
            <w:pPr>
              <w:pStyle w:val="TableParagraph"/>
              <w:rPr>
                <w:sz w:val="22"/>
              </w:rPr>
            </w:pPr>
            <w:r>
              <w:rPr>
                <w:sz w:val="22"/>
              </w:rPr>
              <w:t>108,60</w:t>
            </w:r>
          </w:p>
        </w:tc>
        <w:tc>
          <w:tcPr>
            <w:tcW w:w="475" w:type="dxa"/>
          </w:tcPr>
          <w:p>
            <w:pPr>
              <w:pStyle w:val="TableParagraph"/>
              <w:ind w:left="47" w:right="44"/>
              <w:jc w:val="center"/>
              <w:rPr>
                <w:sz w:val="22"/>
              </w:rPr>
            </w:pPr>
            <w:r>
              <w:rPr>
                <w:sz w:val="22"/>
              </w:rPr>
              <w:t>108</w:t>
            </w:r>
          </w:p>
        </w:tc>
        <w:tc>
          <w:tcPr>
            <w:tcW w:w="823" w:type="dxa"/>
          </w:tcPr>
          <w:p>
            <w:pPr>
              <w:pStyle w:val="TableParagraph"/>
              <w:ind w:left="117" w:right="44"/>
              <w:jc w:val="center"/>
              <w:rPr>
                <w:sz w:val="22"/>
              </w:rPr>
            </w:pPr>
            <w:r>
              <w:rPr>
                <w:sz w:val="22"/>
              </w:rPr>
              <w:t>49,000</w:t>
            </w:r>
          </w:p>
        </w:tc>
        <w:tc>
          <w:tcPr>
            <w:tcW w:w="1111" w:type="dxa"/>
          </w:tcPr>
          <w:p>
            <w:pPr>
              <w:pStyle w:val="TableParagraph"/>
              <w:ind w:right="63"/>
              <w:rPr>
                <w:sz w:val="22"/>
              </w:rPr>
            </w:pPr>
            <w:r>
              <w:rPr>
                <w:sz w:val="22"/>
              </w:rPr>
              <w:t>537,500</w:t>
            </w:r>
          </w:p>
        </w:tc>
        <w:tc>
          <w:tcPr>
            <w:tcW w:w="1253" w:type="dxa"/>
          </w:tcPr>
          <w:p>
            <w:pPr>
              <w:pStyle w:val="TableParagraph"/>
              <w:rPr>
                <w:sz w:val="22"/>
              </w:rPr>
            </w:pPr>
            <w:r>
              <w:rPr>
                <w:sz w:val="22"/>
              </w:rPr>
              <w:t>5321,400</w:t>
            </w:r>
          </w:p>
        </w:tc>
        <w:tc>
          <w:tcPr>
            <w:tcW w:w="823" w:type="dxa"/>
          </w:tcPr>
          <w:p>
            <w:pPr>
              <w:pStyle w:val="TableParagraph"/>
              <w:ind w:left="117" w:right="44"/>
              <w:jc w:val="center"/>
              <w:rPr>
                <w:sz w:val="22"/>
              </w:rPr>
            </w:pPr>
            <w:r>
              <w:rPr>
                <w:sz w:val="22"/>
              </w:rPr>
              <w:t>23,184</w:t>
            </w:r>
          </w:p>
        </w:tc>
        <w:tc>
          <w:tcPr>
            <w:tcW w:w="1397" w:type="dxa"/>
          </w:tcPr>
          <w:p>
            <w:pPr>
              <w:pStyle w:val="TableParagraph"/>
              <w:ind w:left="307" w:right="0"/>
              <w:jc w:val="left"/>
              <w:rPr>
                <w:sz w:val="22"/>
              </w:rPr>
            </w:pPr>
            <w:r>
              <w:rPr>
                <w:sz w:val="22"/>
              </w:rPr>
              <w:t>-19624,007</w:t>
            </w:r>
          </w:p>
        </w:tc>
        <w:tc>
          <w:tcPr>
            <w:tcW w:w="1526" w:type="dxa"/>
          </w:tcPr>
          <w:p>
            <w:pPr>
              <w:pStyle w:val="TableParagraph"/>
              <w:rPr>
                <w:sz w:val="22"/>
              </w:rPr>
            </w:pPr>
            <w:r>
              <w:rPr>
                <w:sz w:val="22"/>
              </w:rPr>
              <w:t>-0,04060744</w:t>
            </w:r>
          </w:p>
        </w:tc>
      </w:tr>
      <w:tr>
        <w:trPr>
          <w:trHeight w:val="310" w:hRule="exact"/>
        </w:trPr>
        <w:tc>
          <w:tcPr>
            <w:tcW w:w="857" w:type="dxa"/>
          </w:tcPr>
          <w:p>
            <w:pPr>
              <w:pStyle w:val="TableParagraph"/>
              <w:ind w:right="1"/>
              <w:jc w:val="center"/>
              <w:rPr>
                <w:sz w:val="22"/>
              </w:rPr>
            </w:pPr>
            <w:r>
              <w:rPr>
                <w:w w:val="100"/>
                <w:sz w:val="22"/>
              </w:rPr>
              <w:t>2</w:t>
            </w:r>
          </w:p>
        </w:tc>
        <w:tc>
          <w:tcPr>
            <w:tcW w:w="823" w:type="dxa"/>
          </w:tcPr>
          <w:p>
            <w:pPr>
              <w:pStyle w:val="TableParagraph"/>
              <w:rPr>
                <w:sz w:val="22"/>
              </w:rPr>
            </w:pPr>
            <w:r>
              <w:rPr>
                <w:sz w:val="22"/>
              </w:rPr>
              <w:t>121,03</w:t>
            </w:r>
          </w:p>
        </w:tc>
        <w:tc>
          <w:tcPr>
            <w:tcW w:w="475" w:type="dxa"/>
          </w:tcPr>
          <w:p>
            <w:pPr>
              <w:pStyle w:val="TableParagraph"/>
              <w:ind w:left="158" w:right="44"/>
              <w:jc w:val="center"/>
              <w:rPr>
                <w:sz w:val="22"/>
              </w:rPr>
            </w:pPr>
            <w:r>
              <w:rPr>
                <w:sz w:val="22"/>
              </w:rPr>
              <w:t>81</w:t>
            </w:r>
          </w:p>
        </w:tc>
        <w:tc>
          <w:tcPr>
            <w:tcW w:w="823" w:type="dxa"/>
          </w:tcPr>
          <w:p>
            <w:pPr>
              <w:pStyle w:val="TableParagraph"/>
              <w:ind w:left="117" w:right="44"/>
              <w:jc w:val="center"/>
              <w:rPr>
                <w:sz w:val="22"/>
              </w:rPr>
            </w:pPr>
            <w:r>
              <w:rPr>
                <w:sz w:val="22"/>
              </w:rPr>
              <w:t>46,000</w:t>
            </w:r>
          </w:p>
        </w:tc>
        <w:tc>
          <w:tcPr>
            <w:tcW w:w="1111" w:type="dxa"/>
          </w:tcPr>
          <w:p>
            <w:pPr>
              <w:pStyle w:val="TableParagraph"/>
              <w:ind w:right="63"/>
              <w:rPr>
                <w:sz w:val="22"/>
              </w:rPr>
            </w:pPr>
            <w:r>
              <w:rPr>
                <w:sz w:val="22"/>
              </w:rPr>
              <w:t>450,500</w:t>
            </w:r>
          </w:p>
        </w:tc>
        <w:tc>
          <w:tcPr>
            <w:tcW w:w="1253" w:type="dxa"/>
          </w:tcPr>
          <w:p>
            <w:pPr>
              <w:pStyle w:val="TableParagraph"/>
              <w:rPr>
                <w:sz w:val="22"/>
              </w:rPr>
            </w:pPr>
            <w:r>
              <w:rPr>
                <w:sz w:val="22"/>
              </w:rPr>
              <w:t>5567,380</w:t>
            </w:r>
          </w:p>
        </w:tc>
        <w:tc>
          <w:tcPr>
            <w:tcW w:w="823" w:type="dxa"/>
          </w:tcPr>
          <w:p>
            <w:pPr>
              <w:pStyle w:val="TableParagraph"/>
              <w:ind w:left="117" w:right="44"/>
              <w:jc w:val="center"/>
              <w:rPr>
                <w:sz w:val="22"/>
              </w:rPr>
            </w:pPr>
            <w:r>
              <w:rPr>
                <w:sz w:val="22"/>
              </w:rPr>
              <w:t>21,225</w:t>
            </w:r>
          </w:p>
        </w:tc>
        <w:tc>
          <w:tcPr>
            <w:tcW w:w="1397" w:type="dxa"/>
          </w:tcPr>
          <w:p>
            <w:pPr>
              <w:pStyle w:val="TableParagraph"/>
              <w:ind w:left="374" w:right="0"/>
              <w:jc w:val="left"/>
              <w:rPr>
                <w:sz w:val="22"/>
              </w:rPr>
            </w:pPr>
            <w:r>
              <w:rPr>
                <w:sz w:val="22"/>
              </w:rPr>
              <w:t>26985,885</w:t>
            </w:r>
          </w:p>
        </w:tc>
        <w:tc>
          <w:tcPr>
            <w:tcW w:w="1526" w:type="dxa"/>
          </w:tcPr>
          <w:p>
            <w:pPr>
              <w:pStyle w:val="TableParagraph"/>
              <w:rPr>
                <w:sz w:val="22"/>
              </w:rPr>
            </w:pPr>
            <w:r>
              <w:rPr>
                <w:sz w:val="22"/>
              </w:rPr>
              <w:t>0,05584119</w:t>
            </w:r>
          </w:p>
        </w:tc>
      </w:tr>
      <w:tr>
        <w:trPr>
          <w:trHeight w:val="310" w:hRule="exact"/>
        </w:trPr>
        <w:tc>
          <w:tcPr>
            <w:tcW w:w="857" w:type="dxa"/>
          </w:tcPr>
          <w:p>
            <w:pPr>
              <w:pStyle w:val="TableParagraph"/>
              <w:ind w:right="1"/>
              <w:jc w:val="center"/>
              <w:rPr>
                <w:sz w:val="22"/>
              </w:rPr>
            </w:pPr>
            <w:r>
              <w:rPr>
                <w:w w:val="100"/>
                <w:sz w:val="22"/>
              </w:rPr>
              <w:t>3</w:t>
            </w:r>
          </w:p>
        </w:tc>
        <w:tc>
          <w:tcPr>
            <w:tcW w:w="823" w:type="dxa"/>
          </w:tcPr>
          <w:p>
            <w:pPr>
              <w:pStyle w:val="TableParagraph"/>
              <w:rPr>
                <w:sz w:val="22"/>
              </w:rPr>
            </w:pPr>
            <w:r>
              <w:rPr>
                <w:sz w:val="22"/>
              </w:rPr>
              <w:t>130,21</w:t>
            </w:r>
          </w:p>
        </w:tc>
        <w:tc>
          <w:tcPr>
            <w:tcW w:w="475" w:type="dxa"/>
          </w:tcPr>
          <w:p>
            <w:pPr>
              <w:pStyle w:val="TableParagraph"/>
              <w:ind w:left="158" w:right="44"/>
              <w:jc w:val="center"/>
              <w:rPr>
                <w:sz w:val="22"/>
              </w:rPr>
            </w:pPr>
            <w:r>
              <w:rPr>
                <w:sz w:val="22"/>
              </w:rPr>
              <w:t>77</w:t>
            </w:r>
          </w:p>
        </w:tc>
        <w:tc>
          <w:tcPr>
            <w:tcW w:w="823" w:type="dxa"/>
          </w:tcPr>
          <w:p>
            <w:pPr>
              <w:pStyle w:val="TableParagraph"/>
              <w:ind w:left="117" w:right="44"/>
              <w:jc w:val="center"/>
              <w:rPr>
                <w:sz w:val="22"/>
              </w:rPr>
            </w:pPr>
            <w:r>
              <w:rPr>
                <w:sz w:val="22"/>
              </w:rPr>
              <w:t>50,200</w:t>
            </w:r>
          </w:p>
        </w:tc>
        <w:tc>
          <w:tcPr>
            <w:tcW w:w="1111" w:type="dxa"/>
          </w:tcPr>
          <w:p>
            <w:pPr>
              <w:pStyle w:val="TableParagraph"/>
              <w:ind w:right="63"/>
              <w:rPr>
                <w:sz w:val="22"/>
              </w:rPr>
            </w:pPr>
            <w:r>
              <w:rPr>
                <w:sz w:val="22"/>
              </w:rPr>
              <w:t>654,700</w:t>
            </w:r>
          </w:p>
        </w:tc>
        <w:tc>
          <w:tcPr>
            <w:tcW w:w="1253" w:type="dxa"/>
          </w:tcPr>
          <w:p>
            <w:pPr>
              <w:pStyle w:val="TableParagraph"/>
              <w:rPr>
                <w:sz w:val="22"/>
              </w:rPr>
            </w:pPr>
            <w:r>
              <w:rPr>
                <w:sz w:val="22"/>
              </w:rPr>
              <w:t>6536,542</w:t>
            </w:r>
          </w:p>
        </w:tc>
        <w:tc>
          <w:tcPr>
            <w:tcW w:w="823" w:type="dxa"/>
          </w:tcPr>
          <w:p>
            <w:pPr>
              <w:pStyle w:val="TableParagraph"/>
              <w:ind w:left="117" w:right="44"/>
              <w:jc w:val="center"/>
              <w:rPr>
                <w:sz w:val="22"/>
              </w:rPr>
            </w:pPr>
            <w:r>
              <w:rPr>
                <w:sz w:val="22"/>
              </w:rPr>
              <w:t>25,587</w:t>
            </w:r>
          </w:p>
        </w:tc>
        <w:tc>
          <w:tcPr>
            <w:tcW w:w="1397" w:type="dxa"/>
          </w:tcPr>
          <w:p>
            <w:pPr>
              <w:pStyle w:val="TableParagraph"/>
              <w:ind w:left="374" w:right="0"/>
              <w:jc w:val="left"/>
              <w:rPr>
                <w:sz w:val="22"/>
              </w:rPr>
            </w:pPr>
            <w:r>
              <w:rPr>
                <w:sz w:val="22"/>
              </w:rPr>
              <w:t>59776,408</w:t>
            </w:r>
          </w:p>
        </w:tc>
        <w:tc>
          <w:tcPr>
            <w:tcW w:w="1526" w:type="dxa"/>
          </w:tcPr>
          <w:p>
            <w:pPr>
              <w:pStyle w:val="TableParagraph"/>
              <w:rPr>
                <w:sz w:val="22"/>
              </w:rPr>
            </w:pPr>
            <w:r>
              <w:rPr>
                <w:sz w:val="22"/>
              </w:rPr>
              <w:t>0,12369375</w:t>
            </w:r>
          </w:p>
        </w:tc>
      </w:tr>
      <w:tr>
        <w:trPr>
          <w:trHeight w:val="310" w:hRule="exact"/>
        </w:trPr>
        <w:tc>
          <w:tcPr>
            <w:tcW w:w="857" w:type="dxa"/>
          </w:tcPr>
          <w:p>
            <w:pPr>
              <w:pStyle w:val="TableParagraph"/>
              <w:ind w:right="1"/>
              <w:jc w:val="center"/>
              <w:rPr>
                <w:sz w:val="22"/>
              </w:rPr>
            </w:pPr>
            <w:r>
              <w:rPr>
                <w:w w:val="100"/>
                <w:sz w:val="22"/>
              </w:rPr>
              <w:t>4</w:t>
            </w:r>
          </w:p>
        </w:tc>
        <w:tc>
          <w:tcPr>
            <w:tcW w:w="823" w:type="dxa"/>
          </w:tcPr>
          <w:p>
            <w:pPr>
              <w:pStyle w:val="TableParagraph"/>
              <w:rPr>
                <w:sz w:val="22"/>
              </w:rPr>
            </w:pPr>
            <w:r>
              <w:rPr>
                <w:sz w:val="22"/>
              </w:rPr>
              <w:t>155,12</w:t>
            </w:r>
          </w:p>
        </w:tc>
        <w:tc>
          <w:tcPr>
            <w:tcW w:w="475" w:type="dxa"/>
          </w:tcPr>
          <w:p>
            <w:pPr>
              <w:pStyle w:val="TableParagraph"/>
              <w:ind w:left="158" w:right="44"/>
              <w:jc w:val="center"/>
              <w:rPr>
                <w:sz w:val="22"/>
              </w:rPr>
            </w:pPr>
            <w:r>
              <w:rPr>
                <w:sz w:val="22"/>
              </w:rPr>
              <w:t>92</w:t>
            </w:r>
          </w:p>
        </w:tc>
        <w:tc>
          <w:tcPr>
            <w:tcW w:w="823" w:type="dxa"/>
          </w:tcPr>
          <w:p>
            <w:pPr>
              <w:pStyle w:val="TableParagraph"/>
              <w:ind w:left="117" w:right="44"/>
              <w:jc w:val="center"/>
              <w:rPr>
                <w:sz w:val="22"/>
              </w:rPr>
            </w:pPr>
            <w:r>
              <w:rPr>
                <w:sz w:val="22"/>
              </w:rPr>
              <w:t>42,600</w:t>
            </w:r>
          </w:p>
        </w:tc>
        <w:tc>
          <w:tcPr>
            <w:tcW w:w="1111" w:type="dxa"/>
          </w:tcPr>
          <w:p>
            <w:pPr>
              <w:pStyle w:val="TableParagraph"/>
              <w:ind w:right="63"/>
              <w:rPr>
                <w:sz w:val="22"/>
              </w:rPr>
            </w:pPr>
            <w:r>
              <w:rPr>
                <w:sz w:val="22"/>
              </w:rPr>
              <w:t>571,300</w:t>
            </w:r>
          </w:p>
        </w:tc>
        <w:tc>
          <w:tcPr>
            <w:tcW w:w="1253" w:type="dxa"/>
          </w:tcPr>
          <w:p>
            <w:pPr>
              <w:pStyle w:val="TableParagraph"/>
              <w:rPr>
                <w:sz w:val="22"/>
              </w:rPr>
            </w:pPr>
            <w:r>
              <w:rPr>
                <w:sz w:val="22"/>
              </w:rPr>
              <w:t>6608,112</w:t>
            </w:r>
          </w:p>
        </w:tc>
        <w:tc>
          <w:tcPr>
            <w:tcW w:w="823" w:type="dxa"/>
          </w:tcPr>
          <w:p>
            <w:pPr>
              <w:pStyle w:val="TableParagraph"/>
              <w:ind w:left="117" w:right="44"/>
              <w:jc w:val="center"/>
              <w:rPr>
                <w:sz w:val="22"/>
              </w:rPr>
            </w:pPr>
            <w:r>
              <w:rPr>
                <w:sz w:val="22"/>
              </w:rPr>
              <w:t>23,902</w:t>
            </w:r>
          </w:p>
        </w:tc>
        <w:tc>
          <w:tcPr>
            <w:tcW w:w="1397" w:type="dxa"/>
          </w:tcPr>
          <w:p>
            <w:pPr>
              <w:pStyle w:val="TableParagraph"/>
              <w:ind w:left="374" w:right="0"/>
              <w:jc w:val="left"/>
              <w:rPr>
                <w:sz w:val="22"/>
              </w:rPr>
            </w:pPr>
            <w:r>
              <w:rPr>
                <w:sz w:val="22"/>
              </w:rPr>
              <w:t>61110,290</w:t>
            </w:r>
          </w:p>
        </w:tc>
        <w:tc>
          <w:tcPr>
            <w:tcW w:w="1526" w:type="dxa"/>
          </w:tcPr>
          <w:p>
            <w:pPr>
              <w:pStyle w:val="TableParagraph"/>
              <w:rPr>
                <w:sz w:val="22"/>
              </w:rPr>
            </w:pPr>
            <w:r>
              <w:rPr>
                <w:sz w:val="22"/>
              </w:rPr>
              <w:t>0,12645392</w:t>
            </w:r>
          </w:p>
        </w:tc>
      </w:tr>
      <w:tr>
        <w:trPr>
          <w:trHeight w:val="310" w:hRule="exact"/>
        </w:trPr>
        <w:tc>
          <w:tcPr>
            <w:tcW w:w="857" w:type="dxa"/>
          </w:tcPr>
          <w:p>
            <w:pPr>
              <w:pStyle w:val="TableParagraph"/>
              <w:spacing w:before="30"/>
              <w:ind w:right="1"/>
              <w:jc w:val="center"/>
              <w:rPr>
                <w:sz w:val="22"/>
              </w:rPr>
            </w:pPr>
            <w:r>
              <w:rPr>
                <w:w w:val="100"/>
                <w:sz w:val="22"/>
              </w:rPr>
              <w:t>5</w:t>
            </w:r>
          </w:p>
        </w:tc>
        <w:tc>
          <w:tcPr>
            <w:tcW w:w="823" w:type="dxa"/>
          </w:tcPr>
          <w:p>
            <w:pPr>
              <w:pStyle w:val="TableParagraph"/>
              <w:spacing w:before="30"/>
              <w:rPr>
                <w:sz w:val="22"/>
              </w:rPr>
            </w:pPr>
            <w:r>
              <w:rPr>
                <w:sz w:val="22"/>
              </w:rPr>
              <w:t>180,21</w:t>
            </w:r>
          </w:p>
        </w:tc>
        <w:tc>
          <w:tcPr>
            <w:tcW w:w="475" w:type="dxa"/>
          </w:tcPr>
          <w:p>
            <w:pPr>
              <w:pStyle w:val="TableParagraph"/>
              <w:spacing w:before="30"/>
              <w:ind w:left="47" w:right="44"/>
              <w:jc w:val="center"/>
              <w:rPr>
                <w:sz w:val="22"/>
              </w:rPr>
            </w:pPr>
            <w:r>
              <w:rPr>
                <w:sz w:val="22"/>
              </w:rPr>
              <w:t>132</w:t>
            </w:r>
          </w:p>
        </w:tc>
        <w:tc>
          <w:tcPr>
            <w:tcW w:w="823" w:type="dxa"/>
          </w:tcPr>
          <w:p>
            <w:pPr>
              <w:pStyle w:val="TableParagraph"/>
              <w:spacing w:before="30"/>
              <w:ind w:left="117" w:right="44"/>
              <w:jc w:val="center"/>
              <w:rPr>
                <w:sz w:val="22"/>
              </w:rPr>
            </w:pPr>
            <w:r>
              <w:rPr>
                <w:sz w:val="22"/>
              </w:rPr>
              <w:t>65,000</w:t>
            </w:r>
          </w:p>
        </w:tc>
        <w:tc>
          <w:tcPr>
            <w:tcW w:w="1111" w:type="dxa"/>
          </w:tcPr>
          <w:p>
            <w:pPr>
              <w:pStyle w:val="TableParagraph"/>
              <w:spacing w:before="30"/>
              <w:ind w:right="63"/>
              <w:rPr>
                <w:sz w:val="22"/>
              </w:rPr>
            </w:pPr>
            <w:r>
              <w:rPr>
                <w:sz w:val="22"/>
              </w:rPr>
              <w:t>370,000</w:t>
            </w:r>
          </w:p>
        </w:tc>
        <w:tc>
          <w:tcPr>
            <w:tcW w:w="1253" w:type="dxa"/>
          </w:tcPr>
          <w:p>
            <w:pPr>
              <w:pStyle w:val="TableParagraph"/>
              <w:spacing w:before="30"/>
              <w:rPr>
                <w:sz w:val="22"/>
              </w:rPr>
            </w:pPr>
            <w:r>
              <w:rPr>
                <w:sz w:val="22"/>
              </w:rPr>
              <w:t>11713,650</w:t>
            </w:r>
          </w:p>
        </w:tc>
        <w:tc>
          <w:tcPr>
            <w:tcW w:w="823" w:type="dxa"/>
          </w:tcPr>
          <w:p>
            <w:pPr>
              <w:pStyle w:val="TableParagraph"/>
              <w:spacing w:before="30"/>
              <w:ind w:left="117" w:right="44"/>
              <w:jc w:val="center"/>
              <w:rPr>
                <w:sz w:val="22"/>
              </w:rPr>
            </w:pPr>
            <w:r>
              <w:rPr>
                <w:sz w:val="22"/>
              </w:rPr>
              <w:t>19,235</w:t>
            </w:r>
          </w:p>
        </w:tc>
        <w:tc>
          <w:tcPr>
            <w:tcW w:w="1397" w:type="dxa"/>
          </w:tcPr>
          <w:p>
            <w:pPr>
              <w:pStyle w:val="TableParagraph"/>
              <w:spacing w:before="30"/>
              <w:ind w:left="374" w:right="0"/>
              <w:jc w:val="left"/>
              <w:rPr>
                <w:sz w:val="22"/>
              </w:rPr>
            </w:pPr>
            <w:r>
              <w:rPr>
                <w:sz w:val="22"/>
              </w:rPr>
              <w:t>24324,938</w:t>
            </w:r>
          </w:p>
        </w:tc>
        <w:tc>
          <w:tcPr>
            <w:tcW w:w="1526" w:type="dxa"/>
          </w:tcPr>
          <w:p>
            <w:pPr>
              <w:pStyle w:val="TableParagraph"/>
              <w:spacing w:before="30"/>
              <w:rPr>
                <w:sz w:val="22"/>
              </w:rPr>
            </w:pPr>
            <w:r>
              <w:rPr>
                <w:sz w:val="22"/>
              </w:rPr>
              <w:t>0,05033496</w:t>
            </w:r>
          </w:p>
        </w:tc>
      </w:tr>
      <w:tr>
        <w:trPr>
          <w:trHeight w:val="312" w:hRule="exact"/>
        </w:trPr>
        <w:tc>
          <w:tcPr>
            <w:tcW w:w="857" w:type="dxa"/>
          </w:tcPr>
          <w:p>
            <w:pPr>
              <w:pStyle w:val="TableParagraph"/>
              <w:spacing w:before="30"/>
              <w:ind w:right="0"/>
              <w:jc w:val="center"/>
              <w:rPr>
                <w:sz w:val="22"/>
              </w:rPr>
            </w:pPr>
            <w:r>
              <w:rPr>
                <w:w w:val="100"/>
                <w:sz w:val="22"/>
              </w:rPr>
              <w:t>N</w:t>
            </w:r>
          </w:p>
        </w:tc>
        <w:tc>
          <w:tcPr>
            <w:tcW w:w="823" w:type="dxa"/>
          </w:tcPr>
          <w:p>
            <w:pPr>
              <w:pStyle w:val="TableParagraph"/>
              <w:spacing w:before="30"/>
              <w:rPr>
                <w:sz w:val="22"/>
              </w:rPr>
            </w:pPr>
            <w:r>
              <w:rPr>
                <w:sz w:val="22"/>
              </w:rPr>
              <w:t>695,17</w:t>
            </w:r>
          </w:p>
        </w:tc>
        <w:tc>
          <w:tcPr>
            <w:tcW w:w="475" w:type="dxa"/>
          </w:tcPr>
          <w:p>
            <w:pPr/>
          </w:p>
        </w:tc>
        <w:tc>
          <w:tcPr>
            <w:tcW w:w="823" w:type="dxa"/>
          </w:tcPr>
          <w:p>
            <w:pPr/>
          </w:p>
        </w:tc>
        <w:tc>
          <w:tcPr>
            <w:tcW w:w="1111" w:type="dxa"/>
          </w:tcPr>
          <w:p>
            <w:pPr>
              <w:pStyle w:val="TableParagraph"/>
              <w:spacing w:before="18"/>
              <w:ind w:left="359" w:right="372"/>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53" w:type="dxa"/>
          </w:tcPr>
          <w:p>
            <w:pPr>
              <w:pStyle w:val="TableParagraph"/>
              <w:spacing w:before="30"/>
              <w:rPr>
                <w:sz w:val="22"/>
              </w:rPr>
            </w:pPr>
            <w:r>
              <w:rPr>
                <w:sz w:val="22"/>
              </w:rPr>
              <w:t>35747,084</w:t>
            </w:r>
          </w:p>
        </w:tc>
        <w:tc>
          <w:tcPr>
            <w:tcW w:w="823" w:type="dxa"/>
          </w:tcPr>
          <w:p>
            <w:pPr/>
          </w:p>
        </w:tc>
        <w:tc>
          <w:tcPr>
            <w:tcW w:w="1397" w:type="dxa"/>
          </w:tcPr>
          <w:p>
            <w:pPr>
              <w:pStyle w:val="TableParagraph"/>
              <w:spacing w:before="30"/>
              <w:ind w:left="264" w:right="0"/>
              <w:jc w:val="left"/>
              <w:rPr>
                <w:sz w:val="22"/>
              </w:rPr>
            </w:pPr>
            <w:r>
              <w:rPr>
                <w:sz w:val="22"/>
              </w:rPr>
              <w:t>152573,515</w:t>
            </w:r>
          </w:p>
        </w:tc>
        <w:tc>
          <w:tcPr>
            <w:tcW w:w="1526" w:type="dxa"/>
          </w:tcPr>
          <w:p>
            <w:pPr>
              <w:pStyle w:val="TableParagraph"/>
              <w:spacing w:before="30"/>
              <w:rPr>
                <w:sz w:val="22"/>
              </w:rPr>
            </w:pPr>
            <w:r>
              <w:rPr>
                <w:sz w:val="22"/>
              </w:rPr>
              <w:t>0,31571638</w:t>
            </w:r>
          </w:p>
        </w:tc>
      </w:tr>
      <w:tr>
        <w:trPr>
          <w:trHeight w:val="310" w:hRule="exact"/>
        </w:trPr>
        <w:tc>
          <w:tcPr>
            <w:tcW w:w="5342" w:type="dxa"/>
            <w:gridSpan w:val="6"/>
            <w:vMerge w:val="restart"/>
            <w:tcBorders>
              <w:left w:val="nil"/>
            </w:tcBorders>
          </w:tcPr>
          <w:p>
            <w:pPr/>
          </w:p>
        </w:tc>
        <w:tc>
          <w:tcPr>
            <w:tcW w:w="2220" w:type="dxa"/>
            <w:gridSpan w:val="2"/>
          </w:tcPr>
          <w:p>
            <w:pPr>
              <w:pStyle w:val="TableParagraph"/>
              <w:spacing w:before="11"/>
              <w:ind w:left="64" w:right="144"/>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26" w:type="dxa"/>
          </w:tcPr>
          <w:p>
            <w:pPr>
              <w:pStyle w:val="TableParagraph"/>
              <w:rPr>
                <w:b/>
                <w:sz w:val="22"/>
              </w:rPr>
            </w:pPr>
            <w:r>
              <w:rPr>
                <w:b/>
                <w:sz w:val="22"/>
              </w:rPr>
              <w:t>51,422</w:t>
            </w:r>
          </w:p>
        </w:tc>
      </w:tr>
      <w:tr>
        <w:trPr>
          <w:trHeight w:val="310" w:hRule="exact"/>
        </w:trPr>
        <w:tc>
          <w:tcPr>
            <w:tcW w:w="5342" w:type="dxa"/>
            <w:gridSpan w:val="6"/>
            <w:vMerge/>
            <w:tcBorders>
              <w:left w:val="nil"/>
            </w:tcBorders>
          </w:tcPr>
          <w:p>
            <w:pPr/>
          </w:p>
        </w:tc>
        <w:tc>
          <w:tcPr>
            <w:tcW w:w="2220" w:type="dxa"/>
            <w:gridSpan w:val="2"/>
          </w:tcPr>
          <w:p>
            <w:pPr>
              <w:pStyle w:val="TableParagraph"/>
              <w:spacing w:before="13"/>
              <w:ind w:left="64" w:right="144"/>
              <w:jc w:val="left"/>
              <w:rPr>
                <w:sz w:val="22"/>
              </w:rPr>
            </w:pPr>
            <w:r>
              <w:rPr>
                <w:sz w:val="22"/>
              </w:rPr>
              <w:t>Desviación estándar</w:t>
            </w:r>
          </w:p>
        </w:tc>
        <w:tc>
          <w:tcPr>
            <w:tcW w:w="1526" w:type="dxa"/>
          </w:tcPr>
          <w:p>
            <w:pPr>
              <w:pStyle w:val="TableParagraph"/>
              <w:rPr>
                <w:b/>
                <w:sz w:val="22"/>
              </w:rPr>
            </w:pPr>
            <w:r>
              <w:rPr>
                <w:b/>
                <w:sz w:val="22"/>
              </w:rPr>
              <w:t>0,562</w:t>
            </w:r>
          </w:p>
        </w:tc>
      </w:tr>
      <w:tr>
        <w:trPr>
          <w:trHeight w:val="310" w:hRule="exact"/>
        </w:trPr>
        <w:tc>
          <w:tcPr>
            <w:tcW w:w="5342" w:type="dxa"/>
            <w:gridSpan w:val="6"/>
            <w:vMerge/>
            <w:tcBorders>
              <w:left w:val="nil"/>
            </w:tcBorders>
          </w:tcPr>
          <w:p>
            <w:pPr/>
          </w:p>
        </w:tc>
        <w:tc>
          <w:tcPr>
            <w:tcW w:w="2220" w:type="dxa"/>
            <w:gridSpan w:val="2"/>
            <w:vMerge w:val="restart"/>
          </w:tcPr>
          <w:p>
            <w:pPr>
              <w:pStyle w:val="TableParagraph"/>
              <w:spacing w:before="33"/>
              <w:ind w:left="64" w:right="144"/>
              <w:jc w:val="left"/>
              <w:rPr>
                <w:sz w:val="22"/>
              </w:rPr>
            </w:pPr>
            <w:r>
              <w:rPr>
                <w:sz w:val="22"/>
              </w:rPr>
              <w:t>Intervalo de confianza al 95 %</w:t>
            </w:r>
          </w:p>
        </w:tc>
        <w:tc>
          <w:tcPr>
            <w:tcW w:w="1526" w:type="dxa"/>
          </w:tcPr>
          <w:p>
            <w:pPr>
              <w:pStyle w:val="TableParagraph"/>
              <w:rPr>
                <w:sz w:val="22"/>
              </w:rPr>
            </w:pPr>
            <w:r>
              <w:rPr>
                <w:sz w:val="22"/>
              </w:rPr>
              <w:t>50,32</w:t>
            </w:r>
          </w:p>
        </w:tc>
      </w:tr>
      <w:tr>
        <w:trPr>
          <w:trHeight w:val="310" w:hRule="exact"/>
        </w:trPr>
        <w:tc>
          <w:tcPr>
            <w:tcW w:w="5342" w:type="dxa"/>
            <w:gridSpan w:val="6"/>
            <w:vMerge/>
            <w:tcBorders>
              <w:left w:val="nil"/>
              <w:bottom w:val="nil"/>
            </w:tcBorders>
          </w:tcPr>
          <w:p>
            <w:pPr/>
          </w:p>
        </w:tc>
        <w:tc>
          <w:tcPr>
            <w:tcW w:w="2220" w:type="dxa"/>
            <w:gridSpan w:val="2"/>
            <w:vMerge/>
          </w:tcPr>
          <w:p>
            <w:pPr/>
          </w:p>
        </w:tc>
        <w:tc>
          <w:tcPr>
            <w:tcW w:w="1526" w:type="dxa"/>
          </w:tcPr>
          <w:p>
            <w:pPr>
              <w:pStyle w:val="TableParagraph"/>
              <w:rPr>
                <w:sz w:val="22"/>
              </w:rPr>
            </w:pPr>
            <w:r>
              <w:rPr>
                <w:sz w:val="22"/>
              </w:rPr>
              <w:t>52,52</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57"/>
        <w:gridCol w:w="823"/>
        <w:gridCol w:w="475"/>
        <w:gridCol w:w="823"/>
        <w:gridCol w:w="1111"/>
        <w:gridCol w:w="1253"/>
        <w:gridCol w:w="823"/>
        <w:gridCol w:w="1397"/>
        <w:gridCol w:w="1526"/>
      </w:tblGrid>
      <w:tr>
        <w:trPr>
          <w:trHeight w:val="312" w:hRule="exact"/>
        </w:trPr>
        <w:tc>
          <w:tcPr>
            <w:tcW w:w="9089" w:type="dxa"/>
            <w:gridSpan w:val="9"/>
          </w:tcPr>
          <w:p>
            <w:pPr>
              <w:pStyle w:val="TableParagraph"/>
              <w:spacing w:before="30"/>
              <w:ind w:left="3499" w:right="3497"/>
              <w:jc w:val="center"/>
              <w:rPr>
                <w:sz w:val="22"/>
              </w:rPr>
            </w:pPr>
            <w:r>
              <w:rPr>
                <w:sz w:val="22"/>
              </w:rPr>
              <w:t>Punto de muestreo C</w:t>
            </w:r>
          </w:p>
        </w:tc>
      </w:tr>
      <w:tr>
        <w:trPr>
          <w:trHeight w:val="310" w:hRule="exact"/>
        </w:trPr>
        <w:tc>
          <w:tcPr>
            <w:tcW w:w="857" w:type="dxa"/>
          </w:tcPr>
          <w:p>
            <w:pPr>
              <w:pStyle w:val="TableParagraph"/>
              <w:spacing w:before="11"/>
              <w:ind w:left="46" w:right="47"/>
              <w:jc w:val="center"/>
              <w:rPr>
                <w:sz w:val="22"/>
              </w:rPr>
            </w:pPr>
            <w:r>
              <w:rPr>
                <w:sz w:val="22"/>
              </w:rPr>
              <w:t>Estrato</w:t>
            </w:r>
          </w:p>
        </w:tc>
        <w:tc>
          <w:tcPr>
            <w:tcW w:w="823" w:type="dxa"/>
          </w:tcPr>
          <w:p>
            <w:pPr>
              <w:pStyle w:val="TableParagraph"/>
              <w:spacing w:before="40"/>
              <w:ind w:left="31" w:right="44"/>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0"/>
              <w:ind w:left="33" w:right="44"/>
              <w:jc w:val="center"/>
              <w:rPr>
                <w:rFonts w:ascii="Cambria Math"/>
                <w:sz w:val="16"/>
              </w:rPr>
            </w:pPr>
            <w:r>
              <w:rPr>
                <w:rFonts w:ascii="Cambria Math"/>
                <w:w w:val="110"/>
                <w:sz w:val="22"/>
              </w:rPr>
              <w:t>n</w:t>
            </w:r>
            <w:r>
              <w:rPr>
                <w:rFonts w:ascii="Cambria Math"/>
                <w:w w:val="110"/>
                <w:position w:val="-4"/>
                <w:sz w:val="16"/>
              </w:rPr>
              <w:t>h</w:t>
            </w:r>
          </w:p>
        </w:tc>
        <w:tc>
          <w:tcPr>
            <w:tcW w:w="823" w:type="dxa"/>
          </w:tcPr>
          <w:p>
            <w:pPr>
              <w:pStyle w:val="TableParagraph"/>
              <w:spacing w:before="40"/>
              <w:ind w:left="33"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111" w:type="dxa"/>
          </w:tcPr>
          <w:p>
            <w:pPr>
              <w:pStyle w:val="TableParagraph"/>
              <w:spacing w:line="214" w:lineRule="exact" w:before="6"/>
              <w:ind w:left="359" w:right="36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53" w:type="dxa"/>
          </w:tcPr>
          <w:p>
            <w:pPr>
              <w:pStyle w:val="TableParagraph"/>
              <w:spacing w:before="16"/>
              <w:ind w:left="502" w:right="51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23" w:type="dxa"/>
          </w:tcPr>
          <w:p>
            <w:pPr>
              <w:pStyle w:val="TableParagraph"/>
              <w:spacing w:before="40"/>
              <w:ind w:left="36" w:right="44"/>
              <w:jc w:val="center"/>
              <w:rPr>
                <w:rFonts w:ascii="Cambria Math"/>
                <w:sz w:val="16"/>
              </w:rPr>
            </w:pPr>
            <w:r>
              <w:rPr>
                <w:rFonts w:ascii="Cambria Math"/>
                <w:w w:val="110"/>
                <w:sz w:val="22"/>
              </w:rPr>
              <w:t>s</w:t>
            </w:r>
            <w:r>
              <w:rPr>
                <w:rFonts w:ascii="Cambria Math"/>
                <w:w w:val="110"/>
                <w:position w:val="-4"/>
                <w:sz w:val="16"/>
              </w:rPr>
              <w:t>h</w:t>
            </w:r>
          </w:p>
        </w:tc>
        <w:tc>
          <w:tcPr>
            <w:tcW w:w="1397" w:type="dxa"/>
          </w:tcPr>
          <w:p>
            <w:pPr>
              <w:pStyle w:val="TableParagraph"/>
              <w:spacing w:before="0"/>
              <w:ind w:left="36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526" w:type="dxa"/>
          </w:tcPr>
          <w:p>
            <w:pPr>
              <w:pStyle w:val="TableParagraph"/>
              <w:spacing w:before="0"/>
              <w:ind w:left="41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57" w:type="dxa"/>
          </w:tcPr>
          <w:p>
            <w:pPr>
              <w:pStyle w:val="TableParagraph"/>
              <w:ind w:right="1"/>
              <w:jc w:val="center"/>
              <w:rPr>
                <w:sz w:val="22"/>
              </w:rPr>
            </w:pPr>
            <w:r>
              <w:rPr>
                <w:w w:val="100"/>
                <w:sz w:val="22"/>
              </w:rPr>
              <w:t>1</w:t>
            </w:r>
          </w:p>
        </w:tc>
        <w:tc>
          <w:tcPr>
            <w:tcW w:w="823" w:type="dxa"/>
          </w:tcPr>
          <w:p>
            <w:pPr>
              <w:pStyle w:val="TableParagraph"/>
              <w:rPr>
                <w:sz w:val="22"/>
              </w:rPr>
            </w:pPr>
            <w:r>
              <w:rPr>
                <w:sz w:val="22"/>
              </w:rPr>
              <w:t>108,60</w:t>
            </w:r>
          </w:p>
        </w:tc>
        <w:tc>
          <w:tcPr>
            <w:tcW w:w="475" w:type="dxa"/>
          </w:tcPr>
          <w:p>
            <w:pPr>
              <w:pStyle w:val="TableParagraph"/>
              <w:ind w:left="47" w:right="44"/>
              <w:jc w:val="center"/>
              <w:rPr>
                <w:sz w:val="22"/>
              </w:rPr>
            </w:pPr>
            <w:r>
              <w:rPr>
                <w:sz w:val="22"/>
              </w:rPr>
              <w:t>108</w:t>
            </w:r>
          </w:p>
        </w:tc>
        <w:tc>
          <w:tcPr>
            <w:tcW w:w="823" w:type="dxa"/>
          </w:tcPr>
          <w:p>
            <w:pPr>
              <w:pStyle w:val="TableParagraph"/>
              <w:ind w:left="117" w:right="44"/>
              <w:jc w:val="center"/>
              <w:rPr>
                <w:sz w:val="22"/>
              </w:rPr>
            </w:pPr>
            <w:r>
              <w:rPr>
                <w:sz w:val="22"/>
              </w:rPr>
              <w:t>48,800</w:t>
            </w:r>
          </w:p>
        </w:tc>
        <w:tc>
          <w:tcPr>
            <w:tcW w:w="1111" w:type="dxa"/>
          </w:tcPr>
          <w:p>
            <w:pPr>
              <w:pStyle w:val="TableParagraph"/>
              <w:ind w:right="63"/>
              <w:rPr>
                <w:sz w:val="22"/>
              </w:rPr>
            </w:pPr>
            <w:r>
              <w:rPr>
                <w:sz w:val="22"/>
              </w:rPr>
              <w:t>467,200</w:t>
            </w:r>
          </w:p>
        </w:tc>
        <w:tc>
          <w:tcPr>
            <w:tcW w:w="1253" w:type="dxa"/>
          </w:tcPr>
          <w:p>
            <w:pPr>
              <w:pStyle w:val="TableParagraph"/>
              <w:rPr>
                <w:sz w:val="22"/>
              </w:rPr>
            </w:pPr>
            <w:r>
              <w:rPr>
                <w:sz w:val="22"/>
              </w:rPr>
              <w:t>5299,680</w:t>
            </w:r>
          </w:p>
        </w:tc>
        <w:tc>
          <w:tcPr>
            <w:tcW w:w="823" w:type="dxa"/>
          </w:tcPr>
          <w:p>
            <w:pPr>
              <w:pStyle w:val="TableParagraph"/>
              <w:ind w:left="117" w:right="44"/>
              <w:jc w:val="center"/>
              <w:rPr>
                <w:sz w:val="22"/>
              </w:rPr>
            </w:pPr>
            <w:r>
              <w:rPr>
                <w:sz w:val="22"/>
              </w:rPr>
              <w:t>21,615</w:t>
            </w:r>
          </w:p>
        </w:tc>
        <w:tc>
          <w:tcPr>
            <w:tcW w:w="1397" w:type="dxa"/>
          </w:tcPr>
          <w:p>
            <w:pPr>
              <w:pStyle w:val="TableParagraph"/>
              <w:ind w:left="307" w:right="0"/>
              <w:jc w:val="left"/>
              <w:rPr>
                <w:sz w:val="22"/>
              </w:rPr>
            </w:pPr>
            <w:r>
              <w:rPr>
                <w:sz w:val="22"/>
              </w:rPr>
              <w:t>-17057,369</w:t>
            </w:r>
          </w:p>
        </w:tc>
        <w:tc>
          <w:tcPr>
            <w:tcW w:w="1526" w:type="dxa"/>
          </w:tcPr>
          <w:p>
            <w:pPr>
              <w:pStyle w:val="TableParagraph"/>
              <w:rPr>
                <w:sz w:val="22"/>
              </w:rPr>
            </w:pPr>
            <w:r>
              <w:rPr>
                <w:sz w:val="22"/>
              </w:rPr>
              <w:t>-0,03529637</w:t>
            </w:r>
          </w:p>
        </w:tc>
      </w:tr>
      <w:tr>
        <w:trPr>
          <w:trHeight w:val="310" w:hRule="exact"/>
        </w:trPr>
        <w:tc>
          <w:tcPr>
            <w:tcW w:w="857" w:type="dxa"/>
          </w:tcPr>
          <w:p>
            <w:pPr>
              <w:pStyle w:val="TableParagraph"/>
              <w:ind w:right="1"/>
              <w:jc w:val="center"/>
              <w:rPr>
                <w:sz w:val="22"/>
              </w:rPr>
            </w:pPr>
            <w:r>
              <w:rPr>
                <w:w w:val="100"/>
                <w:sz w:val="22"/>
              </w:rPr>
              <w:t>2</w:t>
            </w:r>
          </w:p>
        </w:tc>
        <w:tc>
          <w:tcPr>
            <w:tcW w:w="823" w:type="dxa"/>
          </w:tcPr>
          <w:p>
            <w:pPr>
              <w:pStyle w:val="TableParagraph"/>
              <w:rPr>
                <w:sz w:val="22"/>
              </w:rPr>
            </w:pPr>
            <w:r>
              <w:rPr>
                <w:sz w:val="22"/>
              </w:rPr>
              <w:t>121,03</w:t>
            </w:r>
          </w:p>
        </w:tc>
        <w:tc>
          <w:tcPr>
            <w:tcW w:w="475" w:type="dxa"/>
          </w:tcPr>
          <w:p>
            <w:pPr>
              <w:pStyle w:val="TableParagraph"/>
              <w:ind w:left="158" w:right="44"/>
              <w:jc w:val="center"/>
              <w:rPr>
                <w:sz w:val="22"/>
              </w:rPr>
            </w:pPr>
            <w:r>
              <w:rPr>
                <w:sz w:val="22"/>
              </w:rPr>
              <w:t>81</w:t>
            </w:r>
          </w:p>
        </w:tc>
        <w:tc>
          <w:tcPr>
            <w:tcW w:w="823" w:type="dxa"/>
          </w:tcPr>
          <w:p>
            <w:pPr>
              <w:pStyle w:val="TableParagraph"/>
              <w:ind w:left="117" w:right="44"/>
              <w:jc w:val="center"/>
              <w:rPr>
                <w:sz w:val="22"/>
              </w:rPr>
            </w:pPr>
            <w:r>
              <w:rPr>
                <w:sz w:val="22"/>
              </w:rPr>
              <w:t>41,200</w:t>
            </w:r>
          </w:p>
        </w:tc>
        <w:tc>
          <w:tcPr>
            <w:tcW w:w="1111" w:type="dxa"/>
          </w:tcPr>
          <w:p>
            <w:pPr>
              <w:pStyle w:val="TableParagraph"/>
              <w:ind w:right="63"/>
              <w:rPr>
                <w:sz w:val="22"/>
              </w:rPr>
            </w:pPr>
            <w:r>
              <w:rPr>
                <w:sz w:val="22"/>
              </w:rPr>
              <w:t>436,700</w:t>
            </w:r>
          </w:p>
        </w:tc>
        <w:tc>
          <w:tcPr>
            <w:tcW w:w="1253" w:type="dxa"/>
          </w:tcPr>
          <w:p>
            <w:pPr>
              <w:pStyle w:val="TableParagraph"/>
              <w:rPr>
                <w:sz w:val="22"/>
              </w:rPr>
            </w:pPr>
            <w:r>
              <w:rPr>
                <w:sz w:val="22"/>
              </w:rPr>
              <w:t>4986,436</w:t>
            </w:r>
          </w:p>
        </w:tc>
        <w:tc>
          <w:tcPr>
            <w:tcW w:w="823" w:type="dxa"/>
          </w:tcPr>
          <w:p>
            <w:pPr>
              <w:pStyle w:val="TableParagraph"/>
              <w:ind w:left="117" w:right="44"/>
              <w:jc w:val="center"/>
              <w:rPr>
                <w:sz w:val="22"/>
              </w:rPr>
            </w:pPr>
            <w:r>
              <w:rPr>
                <w:sz w:val="22"/>
              </w:rPr>
              <w:t>20,897</w:t>
            </w:r>
          </w:p>
        </w:tc>
        <w:tc>
          <w:tcPr>
            <w:tcW w:w="1397" w:type="dxa"/>
          </w:tcPr>
          <w:p>
            <w:pPr>
              <w:pStyle w:val="TableParagraph"/>
              <w:ind w:left="374" w:right="0"/>
              <w:jc w:val="left"/>
              <w:rPr>
                <w:sz w:val="22"/>
              </w:rPr>
            </w:pPr>
            <w:r>
              <w:rPr>
                <w:sz w:val="22"/>
              </w:rPr>
              <w:t>26159,237</w:t>
            </w:r>
          </w:p>
        </w:tc>
        <w:tc>
          <w:tcPr>
            <w:tcW w:w="1526" w:type="dxa"/>
          </w:tcPr>
          <w:p>
            <w:pPr>
              <w:pStyle w:val="TableParagraph"/>
              <w:rPr>
                <w:sz w:val="22"/>
              </w:rPr>
            </w:pPr>
            <w:r>
              <w:rPr>
                <w:sz w:val="22"/>
              </w:rPr>
              <w:t>0,05413062</w:t>
            </w:r>
          </w:p>
        </w:tc>
      </w:tr>
      <w:tr>
        <w:trPr>
          <w:trHeight w:val="310" w:hRule="exact"/>
        </w:trPr>
        <w:tc>
          <w:tcPr>
            <w:tcW w:w="857" w:type="dxa"/>
          </w:tcPr>
          <w:p>
            <w:pPr>
              <w:pStyle w:val="TableParagraph"/>
              <w:ind w:right="1"/>
              <w:jc w:val="center"/>
              <w:rPr>
                <w:sz w:val="22"/>
              </w:rPr>
            </w:pPr>
            <w:r>
              <w:rPr>
                <w:w w:val="100"/>
                <w:sz w:val="22"/>
              </w:rPr>
              <w:t>3</w:t>
            </w:r>
          </w:p>
        </w:tc>
        <w:tc>
          <w:tcPr>
            <w:tcW w:w="823" w:type="dxa"/>
          </w:tcPr>
          <w:p>
            <w:pPr>
              <w:pStyle w:val="TableParagraph"/>
              <w:rPr>
                <w:sz w:val="22"/>
              </w:rPr>
            </w:pPr>
            <w:r>
              <w:rPr>
                <w:sz w:val="22"/>
              </w:rPr>
              <w:t>130,21</w:t>
            </w:r>
          </w:p>
        </w:tc>
        <w:tc>
          <w:tcPr>
            <w:tcW w:w="475" w:type="dxa"/>
          </w:tcPr>
          <w:p>
            <w:pPr>
              <w:pStyle w:val="TableParagraph"/>
              <w:ind w:left="158" w:right="44"/>
              <w:jc w:val="center"/>
              <w:rPr>
                <w:sz w:val="22"/>
              </w:rPr>
            </w:pPr>
            <w:r>
              <w:rPr>
                <w:sz w:val="22"/>
              </w:rPr>
              <w:t>77</w:t>
            </w:r>
          </w:p>
        </w:tc>
        <w:tc>
          <w:tcPr>
            <w:tcW w:w="823" w:type="dxa"/>
          </w:tcPr>
          <w:p>
            <w:pPr>
              <w:pStyle w:val="TableParagraph"/>
              <w:ind w:left="117" w:right="44"/>
              <w:jc w:val="center"/>
              <w:rPr>
                <w:sz w:val="22"/>
              </w:rPr>
            </w:pPr>
            <w:r>
              <w:rPr>
                <w:sz w:val="22"/>
              </w:rPr>
              <w:t>47,000</w:t>
            </w:r>
          </w:p>
        </w:tc>
        <w:tc>
          <w:tcPr>
            <w:tcW w:w="1111" w:type="dxa"/>
          </w:tcPr>
          <w:p>
            <w:pPr>
              <w:pStyle w:val="TableParagraph"/>
              <w:ind w:right="63"/>
              <w:rPr>
                <w:sz w:val="22"/>
              </w:rPr>
            </w:pPr>
            <w:r>
              <w:rPr>
                <w:sz w:val="22"/>
              </w:rPr>
              <w:t>786,500</w:t>
            </w:r>
          </w:p>
        </w:tc>
        <w:tc>
          <w:tcPr>
            <w:tcW w:w="1253" w:type="dxa"/>
          </w:tcPr>
          <w:p>
            <w:pPr>
              <w:pStyle w:val="TableParagraph"/>
              <w:rPr>
                <w:sz w:val="22"/>
              </w:rPr>
            </w:pPr>
            <w:r>
              <w:rPr>
                <w:sz w:val="22"/>
              </w:rPr>
              <w:t>6119,870</w:t>
            </w:r>
          </w:p>
        </w:tc>
        <w:tc>
          <w:tcPr>
            <w:tcW w:w="823" w:type="dxa"/>
          </w:tcPr>
          <w:p>
            <w:pPr>
              <w:pStyle w:val="TableParagraph"/>
              <w:ind w:left="117" w:right="44"/>
              <w:jc w:val="center"/>
              <w:rPr>
                <w:sz w:val="22"/>
              </w:rPr>
            </w:pPr>
            <w:r>
              <w:rPr>
                <w:sz w:val="22"/>
              </w:rPr>
              <w:t>28,045</w:t>
            </w:r>
          </w:p>
        </w:tc>
        <w:tc>
          <w:tcPr>
            <w:tcW w:w="1397" w:type="dxa"/>
          </w:tcPr>
          <w:p>
            <w:pPr>
              <w:pStyle w:val="TableParagraph"/>
              <w:ind w:left="374" w:right="0"/>
              <w:jc w:val="left"/>
              <w:rPr>
                <w:sz w:val="22"/>
              </w:rPr>
            </w:pPr>
            <w:r>
              <w:rPr>
                <w:sz w:val="22"/>
              </w:rPr>
              <w:t>71810,211</w:t>
            </w:r>
          </w:p>
        </w:tc>
        <w:tc>
          <w:tcPr>
            <w:tcW w:w="1526" w:type="dxa"/>
          </w:tcPr>
          <w:p>
            <w:pPr>
              <w:pStyle w:val="TableParagraph"/>
              <w:rPr>
                <w:sz w:val="22"/>
              </w:rPr>
            </w:pPr>
            <w:r>
              <w:rPr>
                <w:sz w:val="22"/>
              </w:rPr>
              <w:t>0,14859499</w:t>
            </w:r>
          </w:p>
        </w:tc>
      </w:tr>
      <w:tr>
        <w:trPr>
          <w:trHeight w:val="310" w:hRule="exact"/>
        </w:trPr>
        <w:tc>
          <w:tcPr>
            <w:tcW w:w="857" w:type="dxa"/>
          </w:tcPr>
          <w:p>
            <w:pPr>
              <w:pStyle w:val="TableParagraph"/>
              <w:spacing w:before="30"/>
              <w:ind w:right="1"/>
              <w:jc w:val="center"/>
              <w:rPr>
                <w:sz w:val="22"/>
              </w:rPr>
            </w:pPr>
            <w:r>
              <w:rPr>
                <w:w w:val="100"/>
                <w:sz w:val="22"/>
              </w:rPr>
              <w:t>4</w:t>
            </w:r>
          </w:p>
        </w:tc>
        <w:tc>
          <w:tcPr>
            <w:tcW w:w="823" w:type="dxa"/>
          </w:tcPr>
          <w:p>
            <w:pPr>
              <w:pStyle w:val="TableParagraph"/>
              <w:spacing w:before="30"/>
              <w:rPr>
                <w:sz w:val="22"/>
              </w:rPr>
            </w:pPr>
            <w:r>
              <w:rPr>
                <w:sz w:val="22"/>
              </w:rPr>
              <w:t>155,12</w:t>
            </w:r>
          </w:p>
        </w:tc>
        <w:tc>
          <w:tcPr>
            <w:tcW w:w="475" w:type="dxa"/>
          </w:tcPr>
          <w:p>
            <w:pPr>
              <w:pStyle w:val="TableParagraph"/>
              <w:spacing w:before="30"/>
              <w:ind w:left="158" w:right="44"/>
              <w:jc w:val="center"/>
              <w:rPr>
                <w:sz w:val="22"/>
              </w:rPr>
            </w:pPr>
            <w:r>
              <w:rPr>
                <w:sz w:val="22"/>
              </w:rPr>
              <w:t>92</w:t>
            </w:r>
          </w:p>
        </w:tc>
        <w:tc>
          <w:tcPr>
            <w:tcW w:w="823" w:type="dxa"/>
          </w:tcPr>
          <w:p>
            <w:pPr>
              <w:pStyle w:val="TableParagraph"/>
              <w:spacing w:before="30"/>
              <w:ind w:left="117" w:right="44"/>
              <w:jc w:val="center"/>
              <w:rPr>
                <w:sz w:val="22"/>
              </w:rPr>
            </w:pPr>
            <w:r>
              <w:rPr>
                <w:sz w:val="22"/>
              </w:rPr>
              <w:t>36,600</w:t>
            </w:r>
          </w:p>
        </w:tc>
        <w:tc>
          <w:tcPr>
            <w:tcW w:w="1111" w:type="dxa"/>
          </w:tcPr>
          <w:p>
            <w:pPr>
              <w:pStyle w:val="TableParagraph"/>
              <w:spacing w:before="30"/>
              <w:ind w:right="63"/>
              <w:rPr>
                <w:sz w:val="22"/>
              </w:rPr>
            </w:pPr>
            <w:r>
              <w:rPr>
                <w:sz w:val="22"/>
              </w:rPr>
              <w:t>421,300</w:t>
            </w:r>
          </w:p>
        </w:tc>
        <w:tc>
          <w:tcPr>
            <w:tcW w:w="1253" w:type="dxa"/>
          </w:tcPr>
          <w:p>
            <w:pPr>
              <w:pStyle w:val="TableParagraph"/>
              <w:spacing w:before="30"/>
              <w:rPr>
                <w:sz w:val="22"/>
              </w:rPr>
            </w:pPr>
            <w:r>
              <w:rPr>
                <w:sz w:val="22"/>
              </w:rPr>
              <w:t>5677,392</w:t>
            </w:r>
          </w:p>
        </w:tc>
        <w:tc>
          <w:tcPr>
            <w:tcW w:w="823" w:type="dxa"/>
          </w:tcPr>
          <w:p>
            <w:pPr>
              <w:pStyle w:val="TableParagraph"/>
              <w:spacing w:before="30"/>
              <w:ind w:left="117" w:right="44"/>
              <w:jc w:val="center"/>
              <w:rPr>
                <w:sz w:val="22"/>
              </w:rPr>
            </w:pPr>
            <w:r>
              <w:rPr>
                <w:sz w:val="22"/>
              </w:rPr>
              <w:t>20,526</w:t>
            </w:r>
          </w:p>
        </w:tc>
        <w:tc>
          <w:tcPr>
            <w:tcW w:w="1397" w:type="dxa"/>
          </w:tcPr>
          <w:p>
            <w:pPr>
              <w:pStyle w:val="TableParagraph"/>
              <w:spacing w:before="30"/>
              <w:ind w:left="374" w:right="0"/>
              <w:jc w:val="left"/>
              <w:rPr>
                <w:sz w:val="22"/>
              </w:rPr>
            </w:pPr>
            <w:r>
              <w:rPr>
                <w:sz w:val="22"/>
              </w:rPr>
              <w:t>45065,229</w:t>
            </w:r>
          </w:p>
        </w:tc>
        <w:tc>
          <w:tcPr>
            <w:tcW w:w="1526" w:type="dxa"/>
          </w:tcPr>
          <w:p>
            <w:pPr>
              <w:pStyle w:val="TableParagraph"/>
              <w:spacing w:before="30"/>
              <w:rPr>
                <w:sz w:val="22"/>
              </w:rPr>
            </w:pPr>
            <w:r>
              <w:rPr>
                <w:sz w:val="22"/>
              </w:rPr>
              <w:t>0,0932523</w:t>
            </w:r>
          </w:p>
        </w:tc>
      </w:tr>
      <w:tr>
        <w:trPr>
          <w:trHeight w:val="312" w:hRule="exact"/>
        </w:trPr>
        <w:tc>
          <w:tcPr>
            <w:tcW w:w="857" w:type="dxa"/>
          </w:tcPr>
          <w:p>
            <w:pPr>
              <w:pStyle w:val="TableParagraph"/>
              <w:spacing w:before="30"/>
              <w:ind w:right="1"/>
              <w:jc w:val="center"/>
              <w:rPr>
                <w:sz w:val="22"/>
              </w:rPr>
            </w:pPr>
            <w:r>
              <w:rPr>
                <w:w w:val="100"/>
                <w:sz w:val="22"/>
              </w:rPr>
              <w:t>5</w:t>
            </w:r>
          </w:p>
        </w:tc>
        <w:tc>
          <w:tcPr>
            <w:tcW w:w="823" w:type="dxa"/>
          </w:tcPr>
          <w:p>
            <w:pPr>
              <w:pStyle w:val="TableParagraph"/>
              <w:spacing w:before="30"/>
              <w:rPr>
                <w:sz w:val="22"/>
              </w:rPr>
            </w:pPr>
            <w:r>
              <w:rPr>
                <w:sz w:val="22"/>
              </w:rPr>
              <w:t>180,21</w:t>
            </w:r>
          </w:p>
        </w:tc>
        <w:tc>
          <w:tcPr>
            <w:tcW w:w="475" w:type="dxa"/>
          </w:tcPr>
          <w:p>
            <w:pPr>
              <w:pStyle w:val="TableParagraph"/>
              <w:spacing w:before="30"/>
              <w:ind w:left="47" w:right="44"/>
              <w:jc w:val="center"/>
              <w:rPr>
                <w:sz w:val="22"/>
              </w:rPr>
            </w:pPr>
            <w:r>
              <w:rPr>
                <w:sz w:val="22"/>
              </w:rPr>
              <w:t>132</w:t>
            </w:r>
          </w:p>
        </w:tc>
        <w:tc>
          <w:tcPr>
            <w:tcW w:w="823" w:type="dxa"/>
          </w:tcPr>
          <w:p>
            <w:pPr>
              <w:pStyle w:val="TableParagraph"/>
              <w:spacing w:before="30"/>
              <w:ind w:left="117" w:right="44"/>
              <w:jc w:val="center"/>
              <w:rPr>
                <w:sz w:val="22"/>
              </w:rPr>
            </w:pPr>
            <w:r>
              <w:rPr>
                <w:sz w:val="22"/>
              </w:rPr>
              <w:t>55,333</w:t>
            </w:r>
          </w:p>
        </w:tc>
        <w:tc>
          <w:tcPr>
            <w:tcW w:w="1111" w:type="dxa"/>
          </w:tcPr>
          <w:p>
            <w:pPr>
              <w:pStyle w:val="TableParagraph"/>
              <w:spacing w:before="30"/>
              <w:ind w:right="63"/>
              <w:rPr>
                <w:sz w:val="22"/>
              </w:rPr>
            </w:pPr>
            <w:r>
              <w:rPr>
                <w:sz w:val="22"/>
              </w:rPr>
              <w:t>362,267</w:t>
            </w:r>
          </w:p>
        </w:tc>
        <w:tc>
          <w:tcPr>
            <w:tcW w:w="1253" w:type="dxa"/>
          </w:tcPr>
          <w:p>
            <w:pPr>
              <w:pStyle w:val="TableParagraph"/>
              <w:spacing w:before="30"/>
              <w:rPr>
                <w:sz w:val="22"/>
              </w:rPr>
            </w:pPr>
            <w:r>
              <w:rPr>
                <w:sz w:val="22"/>
              </w:rPr>
              <w:t>9971,620</w:t>
            </w:r>
          </w:p>
        </w:tc>
        <w:tc>
          <w:tcPr>
            <w:tcW w:w="823" w:type="dxa"/>
          </w:tcPr>
          <w:p>
            <w:pPr>
              <w:pStyle w:val="TableParagraph"/>
              <w:spacing w:before="30"/>
              <w:ind w:left="117" w:right="44"/>
              <w:jc w:val="center"/>
              <w:rPr>
                <w:sz w:val="22"/>
              </w:rPr>
            </w:pPr>
            <w:r>
              <w:rPr>
                <w:sz w:val="22"/>
              </w:rPr>
              <w:t>19,033</w:t>
            </w:r>
          </w:p>
        </w:tc>
        <w:tc>
          <w:tcPr>
            <w:tcW w:w="1397" w:type="dxa"/>
          </w:tcPr>
          <w:p>
            <w:pPr>
              <w:pStyle w:val="TableParagraph"/>
              <w:spacing w:before="30"/>
              <w:ind w:left="374" w:right="0"/>
              <w:jc w:val="left"/>
              <w:rPr>
                <w:sz w:val="22"/>
              </w:rPr>
            </w:pPr>
            <w:r>
              <w:rPr>
                <w:sz w:val="22"/>
              </w:rPr>
              <w:t>23816,525</w:t>
            </w:r>
          </w:p>
        </w:tc>
        <w:tc>
          <w:tcPr>
            <w:tcW w:w="1526" w:type="dxa"/>
          </w:tcPr>
          <w:p>
            <w:pPr>
              <w:pStyle w:val="TableParagraph"/>
              <w:spacing w:before="30"/>
              <w:rPr>
                <w:sz w:val="22"/>
              </w:rPr>
            </w:pPr>
            <w:r>
              <w:rPr>
                <w:sz w:val="22"/>
              </w:rPr>
              <w:t>0,04928291</w:t>
            </w:r>
          </w:p>
        </w:tc>
      </w:tr>
      <w:tr>
        <w:trPr>
          <w:trHeight w:val="310" w:hRule="exact"/>
        </w:trPr>
        <w:tc>
          <w:tcPr>
            <w:tcW w:w="857" w:type="dxa"/>
          </w:tcPr>
          <w:p>
            <w:pPr>
              <w:pStyle w:val="TableParagraph"/>
              <w:ind w:right="0"/>
              <w:jc w:val="center"/>
              <w:rPr>
                <w:sz w:val="22"/>
              </w:rPr>
            </w:pPr>
            <w:r>
              <w:rPr>
                <w:w w:val="100"/>
                <w:sz w:val="22"/>
              </w:rPr>
              <w:t>N</w:t>
            </w:r>
          </w:p>
        </w:tc>
        <w:tc>
          <w:tcPr>
            <w:tcW w:w="823" w:type="dxa"/>
          </w:tcPr>
          <w:p>
            <w:pPr>
              <w:pStyle w:val="TableParagraph"/>
              <w:rPr>
                <w:sz w:val="22"/>
              </w:rPr>
            </w:pPr>
            <w:r>
              <w:rPr>
                <w:sz w:val="22"/>
              </w:rPr>
              <w:t>695,17</w:t>
            </w:r>
          </w:p>
        </w:tc>
        <w:tc>
          <w:tcPr>
            <w:tcW w:w="475" w:type="dxa"/>
          </w:tcPr>
          <w:p>
            <w:pPr/>
          </w:p>
        </w:tc>
        <w:tc>
          <w:tcPr>
            <w:tcW w:w="823" w:type="dxa"/>
          </w:tcPr>
          <w:p>
            <w:pPr/>
          </w:p>
        </w:tc>
        <w:tc>
          <w:tcPr>
            <w:tcW w:w="1111" w:type="dxa"/>
          </w:tcPr>
          <w:p>
            <w:pPr>
              <w:pStyle w:val="TableParagraph"/>
              <w:spacing w:before="16"/>
              <w:ind w:left="359" w:right="372"/>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53" w:type="dxa"/>
          </w:tcPr>
          <w:p>
            <w:pPr>
              <w:pStyle w:val="TableParagraph"/>
              <w:rPr>
                <w:sz w:val="22"/>
              </w:rPr>
            </w:pPr>
            <w:r>
              <w:rPr>
                <w:sz w:val="22"/>
              </w:rPr>
              <w:t>32054,998</w:t>
            </w:r>
          </w:p>
        </w:tc>
        <w:tc>
          <w:tcPr>
            <w:tcW w:w="823" w:type="dxa"/>
          </w:tcPr>
          <w:p>
            <w:pPr/>
          </w:p>
        </w:tc>
        <w:tc>
          <w:tcPr>
            <w:tcW w:w="1397" w:type="dxa"/>
          </w:tcPr>
          <w:p>
            <w:pPr>
              <w:pStyle w:val="TableParagraph"/>
              <w:ind w:left="264" w:right="0"/>
              <w:jc w:val="left"/>
              <w:rPr>
                <w:sz w:val="22"/>
              </w:rPr>
            </w:pPr>
            <w:r>
              <w:rPr>
                <w:sz w:val="22"/>
              </w:rPr>
              <w:t>149793,832</w:t>
            </w:r>
          </w:p>
        </w:tc>
        <w:tc>
          <w:tcPr>
            <w:tcW w:w="1526" w:type="dxa"/>
          </w:tcPr>
          <w:p>
            <w:pPr>
              <w:pStyle w:val="TableParagraph"/>
              <w:rPr>
                <w:sz w:val="22"/>
              </w:rPr>
            </w:pPr>
            <w:r>
              <w:rPr>
                <w:sz w:val="22"/>
              </w:rPr>
              <w:t>0,30996445</w:t>
            </w:r>
          </w:p>
        </w:tc>
      </w:tr>
      <w:tr>
        <w:trPr>
          <w:trHeight w:val="310" w:hRule="exact"/>
        </w:trPr>
        <w:tc>
          <w:tcPr>
            <w:tcW w:w="5342" w:type="dxa"/>
            <w:gridSpan w:val="6"/>
            <w:vMerge w:val="restart"/>
            <w:tcBorders>
              <w:left w:val="nil"/>
            </w:tcBorders>
          </w:tcPr>
          <w:p>
            <w:pPr/>
          </w:p>
        </w:tc>
        <w:tc>
          <w:tcPr>
            <w:tcW w:w="2220" w:type="dxa"/>
            <w:gridSpan w:val="2"/>
          </w:tcPr>
          <w:p>
            <w:pPr>
              <w:pStyle w:val="TableParagraph"/>
              <w:spacing w:before="13"/>
              <w:ind w:left="64" w:right="144"/>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526" w:type="dxa"/>
          </w:tcPr>
          <w:p>
            <w:pPr>
              <w:pStyle w:val="TableParagraph"/>
              <w:rPr>
                <w:b/>
                <w:sz w:val="22"/>
              </w:rPr>
            </w:pPr>
            <w:r>
              <w:rPr>
                <w:b/>
                <w:sz w:val="22"/>
              </w:rPr>
              <w:t>46,111</w:t>
            </w:r>
          </w:p>
        </w:tc>
      </w:tr>
      <w:tr>
        <w:trPr>
          <w:trHeight w:val="310" w:hRule="exact"/>
        </w:trPr>
        <w:tc>
          <w:tcPr>
            <w:tcW w:w="5342" w:type="dxa"/>
            <w:gridSpan w:val="6"/>
            <w:vMerge/>
            <w:tcBorders>
              <w:left w:val="nil"/>
            </w:tcBorders>
          </w:tcPr>
          <w:p>
            <w:pPr/>
          </w:p>
        </w:tc>
        <w:tc>
          <w:tcPr>
            <w:tcW w:w="2220" w:type="dxa"/>
            <w:gridSpan w:val="2"/>
          </w:tcPr>
          <w:p>
            <w:pPr>
              <w:pStyle w:val="TableParagraph"/>
              <w:spacing w:before="13"/>
              <w:ind w:left="64" w:right="144"/>
              <w:jc w:val="left"/>
              <w:rPr>
                <w:sz w:val="22"/>
              </w:rPr>
            </w:pPr>
            <w:r>
              <w:rPr>
                <w:sz w:val="22"/>
              </w:rPr>
              <w:t>Desviación estándar</w:t>
            </w:r>
          </w:p>
        </w:tc>
        <w:tc>
          <w:tcPr>
            <w:tcW w:w="1526" w:type="dxa"/>
          </w:tcPr>
          <w:p>
            <w:pPr>
              <w:pStyle w:val="TableParagraph"/>
              <w:rPr>
                <w:b/>
                <w:sz w:val="22"/>
              </w:rPr>
            </w:pPr>
            <w:r>
              <w:rPr>
                <w:b/>
                <w:sz w:val="22"/>
              </w:rPr>
              <w:t>0,557</w:t>
            </w:r>
          </w:p>
        </w:tc>
      </w:tr>
      <w:tr>
        <w:trPr>
          <w:trHeight w:val="310" w:hRule="exact"/>
        </w:trPr>
        <w:tc>
          <w:tcPr>
            <w:tcW w:w="5342" w:type="dxa"/>
            <w:gridSpan w:val="6"/>
            <w:vMerge/>
            <w:tcBorders>
              <w:left w:val="nil"/>
            </w:tcBorders>
          </w:tcPr>
          <w:p>
            <w:pPr/>
          </w:p>
        </w:tc>
        <w:tc>
          <w:tcPr>
            <w:tcW w:w="2220" w:type="dxa"/>
            <w:gridSpan w:val="2"/>
            <w:vMerge w:val="restart"/>
          </w:tcPr>
          <w:p>
            <w:pPr>
              <w:pStyle w:val="TableParagraph"/>
              <w:spacing w:before="33"/>
              <w:ind w:left="64" w:right="144"/>
              <w:jc w:val="left"/>
              <w:rPr>
                <w:sz w:val="22"/>
              </w:rPr>
            </w:pPr>
            <w:r>
              <w:rPr>
                <w:sz w:val="22"/>
              </w:rPr>
              <w:t>Intervalo de confianza al 95 %</w:t>
            </w:r>
          </w:p>
        </w:tc>
        <w:tc>
          <w:tcPr>
            <w:tcW w:w="1526" w:type="dxa"/>
          </w:tcPr>
          <w:p>
            <w:pPr>
              <w:pStyle w:val="TableParagraph"/>
              <w:rPr>
                <w:sz w:val="22"/>
              </w:rPr>
            </w:pPr>
            <w:r>
              <w:rPr>
                <w:sz w:val="22"/>
              </w:rPr>
              <w:t>45,02</w:t>
            </w:r>
          </w:p>
        </w:tc>
      </w:tr>
      <w:tr>
        <w:trPr>
          <w:trHeight w:val="312" w:hRule="exact"/>
        </w:trPr>
        <w:tc>
          <w:tcPr>
            <w:tcW w:w="5342" w:type="dxa"/>
            <w:gridSpan w:val="6"/>
            <w:vMerge/>
            <w:tcBorders>
              <w:left w:val="nil"/>
              <w:bottom w:val="nil"/>
            </w:tcBorders>
          </w:tcPr>
          <w:p>
            <w:pPr/>
          </w:p>
        </w:tc>
        <w:tc>
          <w:tcPr>
            <w:tcW w:w="2220" w:type="dxa"/>
            <w:gridSpan w:val="2"/>
            <w:vMerge/>
          </w:tcPr>
          <w:p>
            <w:pPr/>
          </w:p>
        </w:tc>
        <w:tc>
          <w:tcPr>
            <w:tcW w:w="1526" w:type="dxa"/>
          </w:tcPr>
          <w:p>
            <w:pPr>
              <w:pStyle w:val="TableParagraph"/>
              <w:spacing w:before="30"/>
              <w:rPr>
                <w:sz w:val="22"/>
              </w:rPr>
            </w:pPr>
            <w:r>
              <w:rPr>
                <w:sz w:val="22"/>
              </w:rPr>
              <w:t>47,20</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1"/>
        <w:gridCol w:w="778"/>
        <w:gridCol w:w="475"/>
        <w:gridCol w:w="914"/>
        <w:gridCol w:w="1049"/>
        <w:gridCol w:w="1183"/>
        <w:gridCol w:w="780"/>
        <w:gridCol w:w="1320"/>
        <w:gridCol w:w="1622"/>
      </w:tblGrid>
      <w:tr>
        <w:trPr>
          <w:trHeight w:val="310" w:hRule="exact"/>
        </w:trPr>
        <w:tc>
          <w:tcPr>
            <w:tcW w:w="8933" w:type="dxa"/>
            <w:gridSpan w:val="9"/>
          </w:tcPr>
          <w:p>
            <w:pPr>
              <w:pStyle w:val="TableParagraph"/>
              <w:ind w:left="3484" w:right="3485"/>
              <w:jc w:val="center"/>
              <w:rPr>
                <w:sz w:val="22"/>
              </w:rPr>
            </w:pPr>
            <w:r>
              <w:rPr>
                <w:sz w:val="22"/>
              </w:rPr>
              <w:t>Punto de muestreo D</w:t>
            </w:r>
          </w:p>
        </w:tc>
      </w:tr>
      <w:tr>
        <w:trPr>
          <w:trHeight w:val="310" w:hRule="exact"/>
        </w:trPr>
        <w:tc>
          <w:tcPr>
            <w:tcW w:w="811" w:type="dxa"/>
          </w:tcPr>
          <w:p>
            <w:pPr>
              <w:pStyle w:val="TableParagraph"/>
              <w:spacing w:before="13"/>
              <w:ind w:left="30" w:right="60"/>
              <w:jc w:val="center"/>
              <w:rPr>
                <w:sz w:val="22"/>
              </w:rPr>
            </w:pPr>
            <w:r>
              <w:rPr>
                <w:sz w:val="22"/>
              </w:rPr>
              <w:t>Estrato</w:t>
            </w:r>
          </w:p>
        </w:tc>
        <w:tc>
          <w:tcPr>
            <w:tcW w:w="778"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914" w:type="dxa"/>
          </w:tcPr>
          <w:p>
            <w:pPr>
              <w:pStyle w:val="TableParagraph"/>
              <w:spacing w:before="43"/>
              <w:ind w:left="317" w:right="33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49" w:type="dxa"/>
          </w:tcPr>
          <w:p>
            <w:pPr>
              <w:pStyle w:val="TableParagraph"/>
              <w:spacing w:line="214" w:lineRule="exact" w:before="6"/>
              <w:ind w:left="328" w:right="333"/>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83" w:type="dxa"/>
          </w:tcPr>
          <w:p>
            <w:pPr>
              <w:pStyle w:val="TableParagraph"/>
              <w:spacing w:before="19"/>
              <w:ind w:left="395" w:right="40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80" w:type="dxa"/>
          </w:tcPr>
          <w:p>
            <w:pPr>
              <w:pStyle w:val="TableParagraph"/>
              <w:spacing w:before="43"/>
              <w:ind w:left="38" w:right="46"/>
              <w:jc w:val="center"/>
              <w:rPr>
                <w:rFonts w:ascii="Cambria Math"/>
                <w:sz w:val="16"/>
              </w:rPr>
            </w:pPr>
            <w:r>
              <w:rPr>
                <w:rFonts w:ascii="Cambria Math"/>
                <w:w w:val="110"/>
                <w:sz w:val="22"/>
              </w:rPr>
              <w:t>s</w:t>
            </w:r>
            <w:r>
              <w:rPr>
                <w:rFonts w:ascii="Cambria Math"/>
                <w:w w:val="110"/>
                <w:position w:val="-4"/>
                <w:sz w:val="16"/>
              </w:rPr>
              <w:t>h</w:t>
            </w:r>
          </w:p>
        </w:tc>
        <w:tc>
          <w:tcPr>
            <w:tcW w:w="1320" w:type="dxa"/>
          </w:tcPr>
          <w:p>
            <w:pPr>
              <w:pStyle w:val="TableParagraph"/>
              <w:spacing w:before="0"/>
              <w:ind w:left="323" w:right="104"/>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22" w:type="dxa"/>
          </w:tcPr>
          <w:p>
            <w:pPr>
              <w:pStyle w:val="TableParagraph"/>
              <w:spacing w:before="0"/>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11" w:type="dxa"/>
          </w:tcPr>
          <w:p>
            <w:pPr>
              <w:pStyle w:val="TableParagraph"/>
              <w:spacing w:before="30"/>
              <w:ind w:left="1" w:right="0"/>
              <w:jc w:val="center"/>
              <w:rPr>
                <w:sz w:val="22"/>
              </w:rPr>
            </w:pPr>
            <w:r>
              <w:rPr>
                <w:w w:val="100"/>
                <w:sz w:val="22"/>
              </w:rPr>
              <w:t>1</w:t>
            </w:r>
          </w:p>
        </w:tc>
        <w:tc>
          <w:tcPr>
            <w:tcW w:w="778" w:type="dxa"/>
          </w:tcPr>
          <w:p>
            <w:pPr>
              <w:pStyle w:val="TableParagraph"/>
              <w:spacing w:before="30"/>
              <w:ind w:left="45" w:right="17"/>
              <w:jc w:val="center"/>
              <w:rPr>
                <w:sz w:val="22"/>
              </w:rPr>
            </w:pPr>
            <w:r>
              <w:rPr>
                <w:sz w:val="22"/>
              </w:rPr>
              <w:t>108,60</w:t>
            </w:r>
          </w:p>
        </w:tc>
        <w:tc>
          <w:tcPr>
            <w:tcW w:w="475" w:type="dxa"/>
          </w:tcPr>
          <w:p>
            <w:pPr>
              <w:pStyle w:val="TableParagraph"/>
              <w:spacing w:before="30"/>
              <w:ind w:left="47" w:right="44"/>
              <w:jc w:val="center"/>
              <w:rPr>
                <w:sz w:val="22"/>
              </w:rPr>
            </w:pPr>
            <w:r>
              <w:rPr>
                <w:sz w:val="22"/>
              </w:rPr>
              <w:t>108</w:t>
            </w:r>
          </w:p>
        </w:tc>
        <w:tc>
          <w:tcPr>
            <w:tcW w:w="914" w:type="dxa"/>
          </w:tcPr>
          <w:p>
            <w:pPr>
              <w:pStyle w:val="TableParagraph"/>
              <w:spacing w:before="30"/>
              <w:ind w:right="63"/>
              <w:rPr>
                <w:sz w:val="22"/>
              </w:rPr>
            </w:pPr>
            <w:r>
              <w:rPr>
                <w:sz w:val="22"/>
              </w:rPr>
              <w:t>47,800</w:t>
            </w:r>
          </w:p>
        </w:tc>
        <w:tc>
          <w:tcPr>
            <w:tcW w:w="1049" w:type="dxa"/>
          </w:tcPr>
          <w:p>
            <w:pPr>
              <w:pStyle w:val="TableParagraph"/>
              <w:spacing w:before="30"/>
              <w:rPr>
                <w:sz w:val="22"/>
              </w:rPr>
            </w:pPr>
            <w:r>
              <w:rPr>
                <w:sz w:val="22"/>
              </w:rPr>
              <w:t>609,200</w:t>
            </w:r>
          </w:p>
        </w:tc>
        <w:tc>
          <w:tcPr>
            <w:tcW w:w="1183" w:type="dxa"/>
          </w:tcPr>
          <w:p>
            <w:pPr>
              <w:pStyle w:val="TableParagraph"/>
              <w:spacing w:before="30"/>
              <w:rPr>
                <w:sz w:val="22"/>
              </w:rPr>
            </w:pPr>
            <w:r>
              <w:rPr>
                <w:sz w:val="22"/>
              </w:rPr>
              <w:t>5191,080</w:t>
            </w:r>
          </w:p>
        </w:tc>
        <w:tc>
          <w:tcPr>
            <w:tcW w:w="780" w:type="dxa"/>
          </w:tcPr>
          <w:p>
            <w:pPr>
              <w:pStyle w:val="TableParagraph"/>
              <w:spacing w:before="30"/>
              <w:ind w:left="71" w:right="46"/>
              <w:jc w:val="center"/>
              <w:rPr>
                <w:sz w:val="22"/>
              </w:rPr>
            </w:pPr>
            <w:r>
              <w:rPr>
                <w:sz w:val="22"/>
              </w:rPr>
              <w:t>24,682</w:t>
            </w:r>
          </w:p>
        </w:tc>
        <w:tc>
          <w:tcPr>
            <w:tcW w:w="1320" w:type="dxa"/>
          </w:tcPr>
          <w:p>
            <w:pPr>
              <w:pStyle w:val="TableParagraph"/>
              <w:spacing w:before="30"/>
              <w:ind w:right="63"/>
              <w:rPr>
                <w:sz w:val="22"/>
              </w:rPr>
            </w:pPr>
            <w:r>
              <w:rPr>
                <w:sz w:val="22"/>
              </w:rPr>
              <w:t>-22241,758</w:t>
            </w:r>
          </w:p>
        </w:tc>
        <w:tc>
          <w:tcPr>
            <w:tcW w:w="1622" w:type="dxa"/>
          </w:tcPr>
          <w:p>
            <w:pPr>
              <w:pStyle w:val="TableParagraph"/>
              <w:spacing w:before="30"/>
              <w:ind w:right="63"/>
              <w:rPr>
                <w:sz w:val="22"/>
              </w:rPr>
            </w:pPr>
            <w:r>
              <w:rPr>
                <w:sz w:val="22"/>
              </w:rPr>
              <w:t>-0,046024287</w:t>
            </w:r>
          </w:p>
        </w:tc>
      </w:tr>
      <w:tr>
        <w:trPr>
          <w:trHeight w:val="312" w:hRule="exact"/>
        </w:trPr>
        <w:tc>
          <w:tcPr>
            <w:tcW w:w="811" w:type="dxa"/>
          </w:tcPr>
          <w:p>
            <w:pPr>
              <w:pStyle w:val="TableParagraph"/>
              <w:spacing w:before="30"/>
              <w:ind w:left="1" w:right="0"/>
              <w:jc w:val="center"/>
              <w:rPr>
                <w:sz w:val="22"/>
              </w:rPr>
            </w:pPr>
            <w:r>
              <w:rPr>
                <w:w w:val="100"/>
                <w:sz w:val="22"/>
              </w:rPr>
              <w:t>2</w:t>
            </w:r>
          </w:p>
        </w:tc>
        <w:tc>
          <w:tcPr>
            <w:tcW w:w="778" w:type="dxa"/>
          </w:tcPr>
          <w:p>
            <w:pPr>
              <w:pStyle w:val="TableParagraph"/>
              <w:spacing w:before="30"/>
              <w:ind w:left="45" w:right="17"/>
              <w:jc w:val="center"/>
              <w:rPr>
                <w:sz w:val="22"/>
              </w:rPr>
            </w:pPr>
            <w:r>
              <w:rPr>
                <w:sz w:val="22"/>
              </w:rPr>
              <w:t>121,03</w:t>
            </w:r>
          </w:p>
        </w:tc>
        <w:tc>
          <w:tcPr>
            <w:tcW w:w="475" w:type="dxa"/>
          </w:tcPr>
          <w:p>
            <w:pPr>
              <w:pStyle w:val="TableParagraph"/>
              <w:spacing w:before="30"/>
              <w:ind w:left="158" w:right="44"/>
              <w:jc w:val="center"/>
              <w:rPr>
                <w:sz w:val="22"/>
              </w:rPr>
            </w:pPr>
            <w:r>
              <w:rPr>
                <w:sz w:val="22"/>
              </w:rPr>
              <w:t>81</w:t>
            </w:r>
          </w:p>
        </w:tc>
        <w:tc>
          <w:tcPr>
            <w:tcW w:w="914" w:type="dxa"/>
          </w:tcPr>
          <w:p>
            <w:pPr>
              <w:pStyle w:val="TableParagraph"/>
              <w:spacing w:before="30"/>
              <w:ind w:right="63"/>
              <w:rPr>
                <w:sz w:val="22"/>
              </w:rPr>
            </w:pPr>
            <w:r>
              <w:rPr>
                <w:sz w:val="22"/>
              </w:rPr>
              <w:t>45,800</w:t>
            </w:r>
          </w:p>
        </w:tc>
        <w:tc>
          <w:tcPr>
            <w:tcW w:w="1049" w:type="dxa"/>
          </w:tcPr>
          <w:p>
            <w:pPr>
              <w:pStyle w:val="TableParagraph"/>
              <w:spacing w:before="30"/>
              <w:rPr>
                <w:sz w:val="22"/>
              </w:rPr>
            </w:pPr>
            <w:r>
              <w:rPr>
                <w:sz w:val="22"/>
              </w:rPr>
              <w:t>485,200</w:t>
            </w:r>
          </w:p>
        </w:tc>
        <w:tc>
          <w:tcPr>
            <w:tcW w:w="1183" w:type="dxa"/>
          </w:tcPr>
          <w:p>
            <w:pPr>
              <w:pStyle w:val="TableParagraph"/>
              <w:spacing w:before="30"/>
              <w:rPr>
                <w:sz w:val="22"/>
              </w:rPr>
            </w:pPr>
            <w:r>
              <w:rPr>
                <w:sz w:val="22"/>
              </w:rPr>
              <w:t>5543,174</w:t>
            </w:r>
          </w:p>
        </w:tc>
        <w:tc>
          <w:tcPr>
            <w:tcW w:w="780" w:type="dxa"/>
          </w:tcPr>
          <w:p>
            <w:pPr>
              <w:pStyle w:val="TableParagraph"/>
              <w:spacing w:before="30"/>
              <w:ind w:left="71" w:right="46"/>
              <w:jc w:val="center"/>
              <w:rPr>
                <w:sz w:val="22"/>
              </w:rPr>
            </w:pPr>
            <w:r>
              <w:rPr>
                <w:sz w:val="22"/>
              </w:rPr>
              <w:t>22,027</w:t>
            </w:r>
          </w:p>
        </w:tc>
        <w:tc>
          <w:tcPr>
            <w:tcW w:w="1320" w:type="dxa"/>
          </w:tcPr>
          <w:p>
            <w:pPr>
              <w:pStyle w:val="TableParagraph"/>
              <w:spacing w:before="30"/>
              <w:ind w:right="63"/>
              <w:rPr>
                <w:sz w:val="22"/>
              </w:rPr>
            </w:pPr>
            <w:r>
              <w:rPr>
                <w:sz w:val="22"/>
              </w:rPr>
              <w:t>29064,487</w:t>
            </w:r>
          </w:p>
        </w:tc>
        <w:tc>
          <w:tcPr>
            <w:tcW w:w="1622" w:type="dxa"/>
          </w:tcPr>
          <w:p>
            <w:pPr>
              <w:pStyle w:val="TableParagraph"/>
              <w:spacing w:before="30"/>
              <w:ind w:right="63"/>
              <w:rPr>
                <w:sz w:val="22"/>
              </w:rPr>
            </w:pPr>
            <w:r>
              <w:rPr>
                <w:sz w:val="22"/>
              </w:rPr>
              <w:t>0,060142382</w:t>
            </w:r>
          </w:p>
        </w:tc>
      </w:tr>
      <w:tr>
        <w:trPr>
          <w:trHeight w:val="310" w:hRule="exact"/>
        </w:trPr>
        <w:tc>
          <w:tcPr>
            <w:tcW w:w="811" w:type="dxa"/>
          </w:tcPr>
          <w:p>
            <w:pPr>
              <w:pStyle w:val="TableParagraph"/>
              <w:ind w:left="1" w:right="0"/>
              <w:jc w:val="center"/>
              <w:rPr>
                <w:sz w:val="22"/>
              </w:rPr>
            </w:pPr>
            <w:r>
              <w:rPr>
                <w:w w:val="100"/>
                <w:sz w:val="22"/>
              </w:rPr>
              <w:t>3</w:t>
            </w:r>
          </w:p>
        </w:tc>
        <w:tc>
          <w:tcPr>
            <w:tcW w:w="778" w:type="dxa"/>
          </w:tcPr>
          <w:p>
            <w:pPr>
              <w:pStyle w:val="TableParagraph"/>
              <w:ind w:left="45" w:right="17"/>
              <w:jc w:val="center"/>
              <w:rPr>
                <w:sz w:val="22"/>
              </w:rPr>
            </w:pPr>
            <w:r>
              <w:rPr>
                <w:sz w:val="22"/>
              </w:rPr>
              <w:t>130,21</w:t>
            </w:r>
          </w:p>
        </w:tc>
        <w:tc>
          <w:tcPr>
            <w:tcW w:w="475" w:type="dxa"/>
          </w:tcPr>
          <w:p>
            <w:pPr>
              <w:pStyle w:val="TableParagraph"/>
              <w:ind w:left="158" w:right="44"/>
              <w:jc w:val="center"/>
              <w:rPr>
                <w:sz w:val="22"/>
              </w:rPr>
            </w:pPr>
            <w:r>
              <w:rPr>
                <w:sz w:val="22"/>
              </w:rPr>
              <w:t>77</w:t>
            </w:r>
          </w:p>
        </w:tc>
        <w:tc>
          <w:tcPr>
            <w:tcW w:w="914" w:type="dxa"/>
          </w:tcPr>
          <w:p>
            <w:pPr>
              <w:pStyle w:val="TableParagraph"/>
              <w:ind w:right="63"/>
              <w:rPr>
                <w:sz w:val="22"/>
              </w:rPr>
            </w:pPr>
            <w:r>
              <w:rPr>
                <w:sz w:val="22"/>
              </w:rPr>
              <w:t>54,600</w:t>
            </w:r>
          </w:p>
        </w:tc>
        <w:tc>
          <w:tcPr>
            <w:tcW w:w="1049" w:type="dxa"/>
          </w:tcPr>
          <w:p>
            <w:pPr>
              <w:pStyle w:val="TableParagraph"/>
              <w:rPr>
                <w:sz w:val="22"/>
              </w:rPr>
            </w:pPr>
            <w:r>
              <w:rPr>
                <w:sz w:val="22"/>
              </w:rPr>
              <w:t>875,800</w:t>
            </w:r>
          </w:p>
        </w:tc>
        <w:tc>
          <w:tcPr>
            <w:tcW w:w="1183" w:type="dxa"/>
          </w:tcPr>
          <w:p>
            <w:pPr>
              <w:pStyle w:val="TableParagraph"/>
              <w:rPr>
                <w:sz w:val="22"/>
              </w:rPr>
            </w:pPr>
            <w:r>
              <w:rPr>
                <w:sz w:val="22"/>
              </w:rPr>
              <w:t>7109,466</w:t>
            </w:r>
          </w:p>
        </w:tc>
        <w:tc>
          <w:tcPr>
            <w:tcW w:w="780" w:type="dxa"/>
          </w:tcPr>
          <w:p>
            <w:pPr>
              <w:pStyle w:val="TableParagraph"/>
              <w:ind w:left="71" w:right="46"/>
              <w:jc w:val="center"/>
              <w:rPr>
                <w:sz w:val="22"/>
              </w:rPr>
            </w:pPr>
            <w:r>
              <w:rPr>
                <w:sz w:val="22"/>
              </w:rPr>
              <w:t>29,594</w:t>
            </w:r>
          </w:p>
        </w:tc>
        <w:tc>
          <w:tcPr>
            <w:tcW w:w="1320" w:type="dxa"/>
          </w:tcPr>
          <w:p>
            <w:pPr>
              <w:pStyle w:val="TableParagraph"/>
              <w:ind w:right="63"/>
              <w:rPr>
                <w:sz w:val="22"/>
              </w:rPr>
            </w:pPr>
            <w:r>
              <w:rPr>
                <w:sz w:val="22"/>
              </w:rPr>
              <w:t>79963,615</w:t>
            </w:r>
          </w:p>
        </w:tc>
        <w:tc>
          <w:tcPr>
            <w:tcW w:w="1622" w:type="dxa"/>
          </w:tcPr>
          <w:p>
            <w:pPr>
              <w:pStyle w:val="TableParagraph"/>
              <w:ind w:right="63"/>
              <w:rPr>
                <w:sz w:val="22"/>
              </w:rPr>
            </w:pPr>
            <w:r>
              <w:rPr>
                <w:sz w:val="22"/>
              </w:rPr>
              <w:t>0,165466612</w:t>
            </w:r>
          </w:p>
        </w:tc>
      </w:tr>
      <w:tr>
        <w:trPr>
          <w:trHeight w:val="310" w:hRule="exact"/>
        </w:trPr>
        <w:tc>
          <w:tcPr>
            <w:tcW w:w="811" w:type="dxa"/>
          </w:tcPr>
          <w:p>
            <w:pPr>
              <w:pStyle w:val="TableParagraph"/>
              <w:ind w:left="1" w:right="0"/>
              <w:jc w:val="center"/>
              <w:rPr>
                <w:sz w:val="22"/>
              </w:rPr>
            </w:pPr>
            <w:r>
              <w:rPr>
                <w:w w:val="100"/>
                <w:sz w:val="22"/>
              </w:rPr>
              <w:t>4</w:t>
            </w:r>
          </w:p>
        </w:tc>
        <w:tc>
          <w:tcPr>
            <w:tcW w:w="778" w:type="dxa"/>
          </w:tcPr>
          <w:p>
            <w:pPr>
              <w:pStyle w:val="TableParagraph"/>
              <w:ind w:left="45" w:right="17"/>
              <w:jc w:val="center"/>
              <w:rPr>
                <w:sz w:val="22"/>
              </w:rPr>
            </w:pPr>
            <w:r>
              <w:rPr>
                <w:sz w:val="22"/>
              </w:rPr>
              <w:t>155,12</w:t>
            </w:r>
          </w:p>
        </w:tc>
        <w:tc>
          <w:tcPr>
            <w:tcW w:w="475" w:type="dxa"/>
          </w:tcPr>
          <w:p>
            <w:pPr>
              <w:pStyle w:val="TableParagraph"/>
              <w:ind w:left="158" w:right="44"/>
              <w:jc w:val="center"/>
              <w:rPr>
                <w:sz w:val="22"/>
              </w:rPr>
            </w:pPr>
            <w:r>
              <w:rPr>
                <w:sz w:val="22"/>
              </w:rPr>
              <w:t>92</w:t>
            </w:r>
          </w:p>
        </w:tc>
        <w:tc>
          <w:tcPr>
            <w:tcW w:w="914" w:type="dxa"/>
          </w:tcPr>
          <w:p>
            <w:pPr>
              <w:pStyle w:val="TableParagraph"/>
              <w:ind w:right="63"/>
              <w:rPr>
                <w:sz w:val="22"/>
              </w:rPr>
            </w:pPr>
            <w:r>
              <w:rPr>
                <w:sz w:val="22"/>
              </w:rPr>
              <w:t>45,000</w:t>
            </w:r>
          </w:p>
        </w:tc>
        <w:tc>
          <w:tcPr>
            <w:tcW w:w="1049" w:type="dxa"/>
          </w:tcPr>
          <w:p>
            <w:pPr>
              <w:pStyle w:val="TableParagraph"/>
              <w:rPr>
                <w:sz w:val="22"/>
              </w:rPr>
            </w:pPr>
            <w:r>
              <w:rPr>
                <w:sz w:val="22"/>
              </w:rPr>
              <w:t>448,500</w:t>
            </w:r>
          </w:p>
        </w:tc>
        <w:tc>
          <w:tcPr>
            <w:tcW w:w="1183" w:type="dxa"/>
          </w:tcPr>
          <w:p>
            <w:pPr>
              <w:pStyle w:val="TableParagraph"/>
              <w:rPr>
                <w:sz w:val="22"/>
              </w:rPr>
            </w:pPr>
            <w:r>
              <w:rPr>
                <w:sz w:val="22"/>
              </w:rPr>
              <w:t>6980,400</w:t>
            </w:r>
          </w:p>
        </w:tc>
        <w:tc>
          <w:tcPr>
            <w:tcW w:w="780" w:type="dxa"/>
          </w:tcPr>
          <w:p>
            <w:pPr>
              <w:pStyle w:val="TableParagraph"/>
              <w:ind w:left="71" w:right="46"/>
              <w:jc w:val="center"/>
              <w:rPr>
                <w:sz w:val="22"/>
              </w:rPr>
            </w:pPr>
            <w:r>
              <w:rPr>
                <w:sz w:val="22"/>
              </w:rPr>
              <w:t>21,178</w:t>
            </w:r>
          </w:p>
        </w:tc>
        <w:tc>
          <w:tcPr>
            <w:tcW w:w="1320" w:type="dxa"/>
          </w:tcPr>
          <w:p>
            <w:pPr>
              <w:pStyle w:val="TableParagraph"/>
              <w:ind w:right="63"/>
              <w:rPr>
                <w:sz w:val="22"/>
              </w:rPr>
            </w:pPr>
            <w:r>
              <w:rPr>
                <w:sz w:val="22"/>
              </w:rPr>
              <w:t>47974,733</w:t>
            </w:r>
          </w:p>
        </w:tc>
        <w:tc>
          <w:tcPr>
            <w:tcW w:w="1622" w:type="dxa"/>
          </w:tcPr>
          <w:p>
            <w:pPr>
              <w:pStyle w:val="TableParagraph"/>
              <w:ind w:right="63"/>
              <w:rPr>
                <w:sz w:val="22"/>
              </w:rPr>
            </w:pPr>
            <w:r>
              <w:rPr>
                <w:sz w:val="22"/>
              </w:rPr>
              <w:t>0,099272858</w:t>
            </w:r>
          </w:p>
        </w:tc>
      </w:tr>
      <w:tr>
        <w:trPr>
          <w:trHeight w:val="310" w:hRule="exact"/>
        </w:trPr>
        <w:tc>
          <w:tcPr>
            <w:tcW w:w="811" w:type="dxa"/>
          </w:tcPr>
          <w:p>
            <w:pPr>
              <w:pStyle w:val="TableParagraph"/>
              <w:ind w:left="1" w:right="0"/>
              <w:jc w:val="center"/>
              <w:rPr>
                <w:sz w:val="22"/>
              </w:rPr>
            </w:pPr>
            <w:r>
              <w:rPr>
                <w:w w:val="100"/>
                <w:sz w:val="22"/>
              </w:rPr>
              <w:t>5</w:t>
            </w:r>
          </w:p>
        </w:tc>
        <w:tc>
          <w:tcPr>
            <w:tcW w:w="778" w:type="dxa"/>
          </w:tcPr>
          <w:p>
            <w:pPr>
              <w:pStyle w:val="TableParagraph"/>
              <w:ind w:left="45" w:right="17"/>
              <w:jc w:val="center"/>
              <w:rPr>
                <w:sz w:val="22"/>
              </w:rPr>
            </w:pPr>
            <w:r>
              <w:rPr>
                <w:sz w:val="22"/>
              </w:rPr>
              <w:t>180,21</w:t>
            </w:r>
          </w:p>
        </w:tc>
        <w:tc>
          <w:tcPr>
            <w:tcW w:w="475" w:type="dxa"/>
          </w:tcPr>
          <w:p>
            <w:pPr>
              <w:pStyle w:val="TableParagraph"/>
              <w:ind w:left="47" w:right="44"/>
              <w:jc w:val="center"/>
              <w:rPr>
                <w:sz w:val="22"/>
              </w:rPr>
            </w:pPr>
            <w:r>
              <w:rPr>
                <w:sz w:val="22"/>
              </w:rPr>
              <w:t>132</w:t>
            </w:r>
          </w:p>
        </w:tc>
        <w:tc>
          <w:tcPr>
            <w:tcW w:w="914" w:type="dxa"/>
          </w:tcPr>
          <w:p>
            <w:pPr>
              <w:pStyle w:val="TableParagraph"/>
              <w:ind w:right="63"/>
              <w:rPr>
                <w:sz w:val="22"/>
              </w:rPr>
            </w:pPr>
            <w:r>
              <w:rPr>
                <w:sz w:val="22"/>
              </w:rPr>
              <w:t>72,333</w:t>
            </w:r>
          </w:p>
        </w:tc>
        <w:tc>
          <w:tcPr>
            <w:tcW w:w="1049" w:type="dxa"/>
          </w:tcPr>
          <w:p>
            <w:pPr>
              <w:pStyle w:val="TableParagraph"/>
              <w:rPr>
                <w:sz w:val="22"/>
              </w:rPr>
            </w:pPr>
            <w:r>
              <w:rPr>
                <w:sz w:val="22"/>
              </w:rPr>
              <w:t>319,467</w:t>
            </w:r>
          </w:p>
        </w:tc>
        <w:tc>
          <w:tcPr>
            <w:tcW w:w="1183" w:type="dxa"/>
          </w:tcPr>
          <w:p>
            <w:pPr>
              <w:pStyle w:val="TableParagraph"/>
              <w:rPr>
                <w:sz w:val="22"/>
              </w:rPr>
            </w:pPr>
            <w:r>
              <w:rPr>
                <w:sz w:val="22"/>
              </w:rPr>
              <w:t>13035,190</w:t>
            </w:r>
          </w:p>
        </w:tc>
        <w:tc>
          <w:tcPr>
            <w:tcW w:w="780" w:type="dxa"/>
          </w:tcPr>
          <w:p>
            <w:pPr>
              <w:pStyle w:val="TableParagraph"/>
              <w:ind w:left="71" w:right="46"/>
              <w:jc w:val="center"/>
              <w:rPr>
                <w:sz w:val="22"/>
              </w:rPr>
            </w:pPr>
            <w:r>
              <w:rPr>
                <w:sz w:val="22"/>
              </w:rPr>
              <w:t>17,874</w:t>
            </w:r>
          </w:p>
        </w:tc>
        <w:tc>
          <w:tcPr>
            <w:tcW w:w="1320" w:type="dxa"/>
          </w:tcPr>
          <w:p>
            <w:pPr>
              <w:pStyle w:val="TableParagraph"/>
              <w:ind w:right="63"/>
              <w:rPr>
                <w:sz w:val="22"/>
              </w:rPr>
            </w:pPr>
            <w:r>
              <w:rPr>
                <w:sz w:val="22"/>
              </w:rPr>
              <w:t>21002,721</w:t>
            </w:r>
          </w:p>
        </w:tc>
        <w:tc>
          <w:tcPr>
            <w:tcW w:w="1622" w:type="dxa"/>
          </w:tcPr>
          <w:p>
            <w:pPr>
              <w:pStyle w:val="TableParagraph"/>
              <w:ind w:right="63"/>
              <w:rPr>
                <w:sz w:val="22"/>
              </w:rPr>
            </w:pPr>
            <w:r>
              <w:rPr>
                <w:sz w:val="22"/>
              </w:rPr>
              <w:t>0,04346038</w:t>
            </w:r>
          </w:p>
        </w:tc>
      </w:tr>
      <w:tr>
        <w:trPr>
          <w:trHeight w:val="310" w:hRule="exact"/>
        </w:trPr>
        <w:tc>
          <w:tcPr>
            <w:tcW w:w="811" w:type="dxa"/>
          </w:tcPr>
          <w:p>
            <w:pPr>
              <w:pStyle w:val="TableParagraph"/>
              <w:ind w:right="1"/>
              <w:jc w:val="center"/>
              <w:rPr>
                <w:sz w:val="22"/>
              </w:rPr>
            </w:pPr>
            <w:r>
              <w:rPr>
                <w:w w:val="100"/>
                <w:sz w:val="22"/>
              </w:rPr>
              <w:t>N</w:t>
            </w:r>
          </w:p>
        </w:tc>
        <w:tc>
          <w:tcPr>
            <w:tcW w:w="778" w:type="dxa"/>
          </w:tcPr>
          <w:p>
            <w:pPr>
              <w:pStyle w:val="TableParagraph"/>
              <w:ind w:left="45" w:right="17"/>
              <w:jc w:val="center"/>
              <w:rPr>
                <w:sz w:val="22"/>
              </w:rPr>
            </w:pPr>
            <w:r>
              <w:rPr>
                <w:sz w:val="22"/>
              </w:rPr>
              <w:t>695,17</w:t>
            </w:r>
          </w:p>
        </w:tc>
        <w:tc>
          <w:tcPr>
            <w:tcW w:w="475" w:type="dxa"/>
          </w:tcPr>
          <w:p>
            <w:pPr/>
          </w:p>
        </w:tc>
        <w:tc>
          <w:tcPr>
            <w:tcW w:w="914" w:type="dxa"/>
          </w:tcPr>
          <w:p>
            <w:pPr/>
          </w:p>
        </w:tc>
        <w:tc>
          <w:tcPr>
            <w:tcW w:w="1049" w:type="dxa"/>
          </w:tcPr>
          <w:p>
            <w:pPr>
              <w:pStyle w:val="TableParagraph"/>
              <w:spacing w:before="18"/>
              <w:ind w:left="328" w:right="33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83" w:type="dxa"/>
          </w:tcPr>
          <w:p>
            <w:pPr>
              <w:pStyle w:val="TableParagraph"/>
              <w:rPr>
                <w:sz w:val="22"/>
              </w:rPr>
            </w:pPr>
            <w:r>
              <w:rPr>
                <w:sz w:val="22"/>
              </w:rPr>
              <w:t>37859,310</w:t>
            </w:r>
          </w:p>
        </w:tc>
        <w:tc>
          <w:tcPr>
            <w:tcW w:w="780" w:type="dxa"/>
          </w:tcPr>
          <w:p>
            <w:pPr/>
          </w:p>
        </w:tc>
        <w:tc>
          <w:tcPr>
            <w:tcW w:w="1320" w:type="dxa"/>
          </w:tcPr>
          <w:p>
            <w:pPr>
              <w:pStyle w:val="TableParagraph"/>
              <w:ind w:right="63"/>
              <w:rPr>
                <w:sz w:val="22"/>
              </w:rPr>
            </w:pPr>
            <w:r>
              <w:rPr>
                <w:sz w:val="22"/>
              </w:rPr>
              <w:t>155763,799</w:t>
            </w:r>
          </w:p>
        </w:tc>
        <w:tc>
          <w:tcPr>
            <w:tcW w:w="1622" w:type="dxa"/>
          </w:tcPr>
          <w:p>
            <w:pPr>
              <w:pStyle w:val="TableParagraph"/>
              <w:ind w:right="63"/>
              <w:rPr>
                <w:sz w:val="22"/>
              </w:rPr>
            </w:pPr>
            <w:r>
              <w:rPr>
                <w:sz w:val="22"/>
              </w:rPr>
              <w:t>0,322317945</w:t>
            </w:r>
          </w:p>
        </w:tc>
      </w:tr>
      <w:tr>
        <w:trPr>
          <w:trHeight w:val="310" w:hRule="exact"/>
        </w:trPr>
        <w:tc>
          <w:tcPr>
            <w:tcW w:w="5210" w:type="dxa"/>
            <w:gridSpan w:val="6"/>
            <w:vMerge w:val="restart"/>
            <w:tcBorders>
              <w:left w:val="nil"/>
            </w:tcBorders>
          </w:tcPr>
          <w:p>
            <w:pPr/>
          </w:p>
        </w:tc>
        <w:tc>
          <w:tcPr>
            <w:tcW w:w="2100"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22" w:type="dxa"/>
          </w:tcPr>
          <w:p>
            <w:pPr>
              <w:pStyle w:val="TableParagraph"/>
              <w:spacing w:before="30"/>
              <w:ind w:right="63"/>
              <w:rPr>
                <w:b/>
                <w:sz w:val="22"/>
              </w:rPr>
            </w:pPr>
            <w:r>
              <w:rPr>
                <w:b/>
                <w:sz w:val="22"/>
              </w:rPr>
              <w:t>54,461</w:t>
            </w:r>
          </w:p>
        </w:tc>
      </w:tr>
      <w:tr>
        <w:trPr>
          <w:trHeight w:val="312" w:hRule="exact"/>
        </w:trPr>
        <w:tc>
          <w:tcPr>
            <w:tcW w:w="5210" w:type="dxa"/>
            <w:gridSpan w:val="6"/>
            <w:vMerge/>
            <w:tcBorders>
              <w:left w:val="nil"/>
            </w:tcBorders>
          </w:tcPr>
          <w:p>
            <w:pPr/>
          </w:p>
        </w:tc>
        <w:tc>
          <w:tcPr>
            <w:tcW w:w="2100" w:type="dxa"/>
            <w:gridSpan w:val="2"/>
          </w:tcPr>
          <w:p>
            <w:pPr>
              <w:pStyle w:val="TableParagraph"/>
              <w:spacing w:before="13"/>
              <w:ind w:left="64" w:right="0"/>
              <w:jc w:val="left"/>
              <w:rPr>
                <w:sz w:val="22"/>
              </w:rPr>
            </w:pPr>
            <w:r>
              <w:rPr>
                <w:sz w:val="22"/>
              </w:rPr>
              <w:t>Desviación estándar</w:t>
            </w:r>
          </w:p>
        </w:tc>
        <w:tc>
          <w:tcPr>
            <w:tcW w:w="1622" w:type="dxa"/>
          </w:tcPr>
          <w:p>
            <w:pPr>
              <w:pStyle w:val="TableParagraph"/>
              <w:spacing w:before="30"/>
              <w:ind w:right="63"/>
              <w:rPr>
                <w:b/>
                <w:sz w:val="22"/>
              </w:rPr>
            </w:pPr>
            <w:r>
              <w:rPr>
                <w:b/>
                <w:sz w:val="22"/>
              </w:rPr>
              <w:t>0,568</w:t>
            </w:r>
          </w:p>
        </w:tc>
      </w:tr>
      <w:tr>
        <w:trPr>
          <w:trHeight w:val="310" w:hRule="exact"/>
        </w:trPr>
        <w:tc>
          <w:tcPr>
            <w:tcW w:w="5210" w:type="dxa"/>
            <w:gridSpan w:val="6"/>
            <w:vMerge/>
            <w:tcBorders>
              <w:left w:val="nil"/>
            </w:tcBorders>
          </w:tcPr>
          <w:p>
            <w:pPr/>
          </w:p>
        </w:tc>
        <w:tc>
          <w:tcPr>
            <w:tcW w:w="2100" w:type="dxa"/>
            <w:gridSpan w:val="2"/>
            <w:vMerge w:val="restart"/>
          </w:tcPr>
          <w:p>
            <w:pPr>
              <w:pStyle w:val="TableParagraph"/>
              <w:spacing w:before="33"/>
              <w:ind w:left="64" w:right="465"/>
              <w:jc w:val="left"/>
              <w:rPr>
                <w:sz w:val="22"/>
              </w:rPr>
            </w:pPr>
            <w:r>
              <w:rPr>
                <w:sz w:val="22"/>
              </w:rPr>
              <w:t>Intervalo de confianza al 95 %</w:t>
            </w:r>
          </w:p>
        </w:tc>
        <w:tc>
          <w:tcPr>
            <w:tcW w:w="1622" w:type="dxa"/>
          </w:tcPr>
          <w:p>
            <w:pPr>
              <w:pStyle w:val="TableParagraph"/>
              <w:ind w:right="63"/>
              <w:rPr>
                <w:sz w:val="22"/>
              </w:rPr>
            </w:pPr>
            <w:r>
              <w:rPr>
                <w:sz w:val="22"/>
              </w:rPr>
              <w:t>53,35</w:t>
            </w:r>
          </w:p>
        </w:tc>
      </w:tr>
      <w:tr>
        <w:trPr>
          <w:trHeight w:val="310" w:hRule="exact"/>
        </w:trPr>
        <w:tc>
          <w:tcPr>
            <w:tcW w:w="5210" w:type="dxa"/>
            <w:gridSpan w:val="6"/>
            <w:vMerge/>
            <w:tcBorders>
              <w:left w:val="nil"/>
              <w:bottom w:val="nil"/>
            </w:tcBorders>
          </w:tcPr>
          <w:p>
            <w:pPr/>
          </w:p>
        </w:tc>
        <w:tc>
          <w:tcPr>
            <w:tcW w:w="2100" w:type="dxa"/>
            <w:gridSpan w:val="2"/>
            <w:vMerge/>
          </w:tcPr>
          <w:p>
            <w:pPr/>
          </w:p>
        </w:tc>
        <w:tc>
          <w:tcPr>
            <w:tcW w:w="1622" w:type="dxa"/>
          </w:tcPr>
          <w:p>
            <w:pPr>
              <w:pStyle w:val="TableParagraph"/>
              <w:ind w:right="63"/>
              <w:rPr>
                <w:sz w:val="22"/>
              </w:rPr>
            </w:pPr>
            <w:r>
              <w:rPr>
                <w:sz w:val="22"/>
              </w:rPr>
              <w:t>55,57</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1"/>
        <w:gridCol w:w="778"/>
        <w:gridCol w:w="475"/>
        <w:gridCol w:w="914"/>
        <w:gridCol w:w="1049"/>
        <w:gridCol w:w="1183"/>
        <w:gridCol w:w="780"/>
        <w:gridCol w:w="1320"/>
        <w:gridCol w:w="1622"/>
      </w:tblGrid>
      <w:tr>
        <w:trPr>
          <w:trHeight w:val="310" w:hRule="exact"/>
        </w:trPr>
        <w:tc>
          <w:tcPr>
            <w:tcW w:w="8933" w:type="dxa"/>
            <w:gridSpan w:val="9"/>
          </w:tcPr>
          <w:p>
            <w:pPr>
              <w:pStyle w:val="TableParagraph"/>
              <w:ind w:left="3485" w:right="3485"/>
              <w:jc w:val="center"/>
              <w:rPr>
                <w:sz w:val="22"/>
              </w:rPr>
            </w:pPr>
            <w:r>
              <w:rPr>
                <w:sz w:val="22"/>
              </w:rPr>
              <w:t>Punto de muestreo E</w:t>
            </w:r>
          </w:p>
        </w:tc>
      </w:tr>
      <w:tr>
        <w:trPr>
          <w:trHeight w:val="310" w:hRule="exact"/>
        </w:trPr>
        <w:tc>
          <w:tcPr>
            <w:tcW w:w="811" w:type="dxa"/>
          </w:tcPr>
          <w:p>
            <w:pPr>
              <w:pStyle w:val="TableParagraph"/>
              <w:spacing w:before="13"/>
              <w:ind w:left="30" w:right="60"/>
              <w:jc w:val="center"/>
              <w:rPr>
                <w:sz w:val="22"/>
              </w:rPr>
            </w:pPr>
            <w:r>
              <w:rPr>
                <w:sz w:val="22"/>
              </w:rPr>
              <w:t>Estrato</w:t>
            </w:r>
          </w:p>
        </w:tc>
        <w:tc>
          <w:tcPr>
            <w:tcW w:w="778"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914" w:type="dxa"/>
          </w:tcPr>
          <w:p>
            <w:pPr>
              <w:pStyle w:val="TableParagraph"/>
              <w:spacing w:before="43"/>
              <w:ind w:left="317" w:right="33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49" w:type="dxa"/>
          </w:tcPr>
          <w:p>
            <w:pPr>
              <w:pStyle w:val="TableParagraph"/>
              <w:spacing w:line="214" w:lineRule="exact" w:before="6"/>
              <w:ind w:left="328" w:right="333"/>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83" w:type="dxa"/>
          </w:tcPr>
          <w:p>
            <w:pPr>
              <w:pStyle w:val="TableParagraph"/>
              <w:spacing w:before="19"/>
              <w:ind w:left="395" w:right="40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80" w:type="dxa"/>
          </w:tcPr>
          <w:p>
            <w:pPr>
              <w:pStyle w:val="TableParagraph"/>
              <w:spacing w:before="43"/>
              <w:ind w:left="38" w:right="46"/>
              <w:jc w:val="center"/>
              <w:rPr>
                <w:rFonts w:ascii="Cambria Math"/>
                <w:sz w:val="16"/>
              </w:rPr>
            </w:pPr>
            <w:r>
              <w:rPr>
                <w:rFonts w:ascii="Cambria Math"/>
                <w:w w:val="110"/>
                <w:sz w:val="22"/>
              </w:rPr>
              <w:t>s</w:t>
            </w:r>
            <w:r>
              <w:rPr>
                <w:rFonts w:ascii="Cambria Math"/>
                <w:w w:val="110"/>
                <w:position w:val="-4"/>
                <w:sz w:val="16"/>
              </w:rPr>
              <w:t>h</w:t>
            </w:r>
          </w:p>
        </w:tc>
        <w:tc>
          <w:tcPr>
            <w:tcW w:w="1320" w:type="dxa"/>
          </w:tcPr>
          <w:p>
            <w:pPr>
              <w:pStyle w:val="TableParagraph"/>
              <w:spacing w:before="0"/>
              <w:ind w:left="323" w:right="104"/>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22" w:type="dxa"/>
          </w:tcPr>
          <w:p>
            <w:pPr>
              <w:pStyle w:val="TableParagraph"/>
              <w:spacing w:before="0"/>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811" w:type="dxa"/>
          </w:tcPr>
          <w:p>
            <w:pPr>
              <w:pStyle w:val="TableParagraph"/>
              <w:spacing w:before="30"/>
              <w:ind w:left="1" w:right="0"/>
              <w:jc w:val="center"/>
              <w:rPr>
                <w:sz w:val="22"/>
              </w:rPr>
            </w:pPr>
            <w:r>
              <w:rPr>
                <w:w w:val="100"/>
                <w:sz w:val="22"/>
              </w:rPr>
              <w:t>1</w:t>
            </w:r>
          </w:p>
        </w:tc>
        <w:tc>
          <w:tcPr>
            <w:tcW w:w="778" w:type="dxa"/>
          </w:tcPr>
          <w:p>
            <w:pPr>
              <w:pStyle w:val="TableParagraph"/>
              <w:spacing w:before="30"/>
              <w:ind w:left="45" w:right="17"/>
              <w:jc w:val="center"/>
              <w:rPr>
                <w:sz w:val="22"/>
              </w:rPr>
            </w:pPr>
            <w:r>
              <w:rPr>
                <w:sz w:val="22"/>
              </w:rPr>
              <w:t>108,60</w:t>
            </w:r>
          </w:p>
        </w:tc>
        <w:tc>
          <w:tcPr>
            <w:tcW w:w="475" w:type="dxa"/>
          </w:tcPr>
          <w:p>
            <w:pPr>
              <w:pStyle w:val="TableParagraph"/>
              <w:spacing w:before="30"/>
              <w:ind w:left="47" w:right="44"/>
              <w:jc w:val="center"/>
              <w:rPr>
                <w:sz w:val="22"/>
              </w:rPr>
            </w:pPr>
            <w:r>
              <w:rPr>
                <w:sz w:val="22"/>
              </w:rPr>
              <w:t>108</w:t>
            </w:r>
          </w:p>
        </w:tc>
        <w:tc>
          <w:tcPr>
            <w:tcW w:w="914" w:type="dxa"/>
          </w:tcPr>
          <w:p>
            <w:pPr>
              <w:pStyle w:val="TableParagraph"/>
              <w:spacing w:before="30"/>
              <w:ind w:right="63"/>
              <w:rPr>
                <w:sz w:val="22"/>
              </w:rPr>
            </w:pPr>
            <w:r>
              <w:rPr>
                <w:sz w:val="22"/>
              </w:rPr>
              <w:t>49,400</w:t>
            </w:r>
          </w:p>
        </w:tc>
        <w:tc>
          <w:tcPr>
            <w:tcW w:w="1049" w:type="dxa"/>
          </w:tcPr>
          <w:p>
            <w:pPr>
              <w:pStyle w:val="TableParagraph"/>
              <w:spacing w:before="30"/>
              <w:rPr>
                <w:sz w:val="22"/>
              </w:rPr>
            </w:pPr>
            <w:r>
              <w:rPr>
                <w:sz w:val="22"/>
              </w:rPr>
              <w:t>664,300</w:t>
            </w:r>
          </w:p>
        </w:tc>
        <w:tc>
          <w:tcPr>
            <w:tcW w:w="1183" w:type="dxa"/>
          </w:tcPr>
          <w:p>
            <w:pPr>
              <w:pStyle w:val="TableParagraph"/>
              <w:spacing w:before="30"/>
              <w:rPr>
                <w:sz w:val="22"/>
              </w:rPr>
            </w:pPr>
            <w:r>
              <w:rPr>
                <w:sz w:val="22"/>
              </w:rPr>
              <w:t>5364,840</w:t>
            </w:r>
          </w:p>
        </w:tc>
        <w:tc>
          <w:tcPr>
            <w:tcW w:w="780" w:type="dxa"/>
          </w:tcPr>
          <w:p>
            <w:pPr>
              <w:pStyle w:val="TableParagraph"/>
              <w:spacing w:before="30"/>
              <w:ind w:left="71" w:right="46"/>
              <w:jc w:val="center"/>
              <w:rPr>
                <w:sz w:val="22"/>
              </w:rPr>
            </w:pPr>
            <w:r>
              <w:rPr>
                <w:sz w:val="22"/>
              </w:rPr>
              <w:t>25,774</w:t>
            </w:r>
          </w:p>
        </w:tc>
        <w:tc>
          <w:tcPr>
            <w:tcW w:w="1320" w:type="dxa"/>
          </w:tcPr>
          <w:p>
            <w:pPr>
              <w:pStyle w:val="TableParagraph"/>
              <w:spacing w:before="30"/>
              <w:ind w:right="63"/>
              <w:rPr>
                <w:sz w:val="22"/>
              </w:rPr>
            </w:pPr>
            <w:r>
              <w:rPr>
                <w:sz w:val="22"/>
              </w:rPr>
              <w:t>-24253,447</w:t>
            </w:r>
          </w:p>
        </w:tc>
        <w:tc>
          <w:tcPr>
            <w:tcW w:w="1622" w:type="dxa"/>
          </w:tcPr>
          <w:p>
            <w:pPr>
              <w:pStyle w:val="TableParagraph"/>
              <w:spacing w:before="30"/>
              <w:ind w:right="63"/>
              <w:rPr>
                <w:sz w:val="22"/>
              </w:rPr>
            </w:pPr>
            <w:r>
              <w:rPr>
                <w:sz w:val="22"/>
              </w:rPr>
              <w:t>-0,050187022</w:t>
            </w:r>
          </w:p>
        </w:tc>
      </w:tr>
      <w:tr>
        <w:trPr>
          <w:trHeight w:val="310" w:hRule="exact"/>
        </w:trPr>
        <w:tc>
          <w:tcPr>
            <w:tcW w:w="811" w:type="dxa"/>
          </w:tcPr>
          <w:p>
            <w:pPr>
              <w:pStyle w:val="TableParagraph"/>
              <w:ind w:left="1" w:right="0"/>
              <w:jc w:val="center"/>
              <w:rPr>
                <w:sz w:val="22"/>
              </w:rPr>
            </w:pPr>
            <w:r>
              <w:rPr>
                <w:w w:val="100"/>
                <w:sz w:val="22"/>
              </w:rPr>
              <w:t>2</w:t>
            </w:r>
          </w:p>
        </w:tc>
        <w:tc>
          <w:tcPr>
            <w:tcW w:w="778" w:type="dxa"/>
          </w:tcPr>
          <w:p>
            <w:pPr>
              <w:pStyle w:val="TableParagraph"/>
              <w:ind w:left="45" w:right="17"/>
              <w:jc w:val="center"/>
              <w:rPr>
                <w:sz w:val="22"/>
              </w:rPr>
            </w:pPr>
            <w:r>
              <w:rPr>
                <w:sz w:val="22"/>
              </w:rPr>
              <w:t>121,03</w:t>
            </w:r>
          </w:p>
        </w:tc>
        <w:tc>
          <w:tcPr>
            <w:tcW w:w="475" w:type="dxa"/>
          </w:tcPr>
          <w:p>
            <w:pPr>
              <w:pStyle w:val="TableParagraph"/>
              <w:ind w:left="158" w:right="44"/>
              <w:jc w:val="center"/>
              <w:rPr>
                <w:sz w:val="22"/>
              </w:rPr>
            </w:pPr>
            <w:r>
              <w:rPr>
                <w:sz w:val="22"/>
              </w:rPr>
              <w:t>81</w:t>
            </w:r>
          </w:p>
        </w:tc>
        <w:tc>
          <w:tcPr>
            <w:tcW w:w="914" w:type="dxa"/>
          </w:tcPr>
          <w:p>
            <w:pPr>
              <w:pStyle w:val="TableParagraph"/>
              <w:ind w:right="63"/>
              <w:rPr>
                <w:sz w:val="22"/>
              </w:rPr>
            </w:pPr>
            <w:r>
              <w:rPr>
                <w:sz w:val="22"/>
              </w:rPr>
              <w:t>47,400</w:t>
            </w:r>
          </w:p>
        </w:tc>
        <w:tc>
          <w:tcPr>
            <w:tcW w:w="1049" w:type="dxa"/>
          </w:tcPr>
          <w:p>
            <w:pPr>
              <w:pStyle w:val="TableParagraph"/>
              <w:rPr>
                <w:sz w:val="22"/>
              </w:rPr>
            </w:pPr>
            <w:r>
              <w:rPr>
                <w:sz w:val="22"/>
              </w:rPr>
              <w:t>544,300</w:t>
            </w:r>
          </w:p>
        </w:tc>
        <w:tc>
          <w:tcPr>
            <w:tcW w:w="1183" w:type="dxa"/>
          </w:tcPr>
          <w:p>
            <w:pPr>
              <w:pStyle w:val="TableParagraph"/>
              <w:rPr>
                <w:sz w:val="22"/>
              </w:rPr>
            </w:pPr>
            <w:r>
              <w:rPr>
                <w:sz w:val="22"/>
              </w:rPr>
              <w:t>5736,822</w:t>
            </w:r>
          </w:p>
        </w:tc>
        <w:tc>
          <w:tcPr>
            <w:tcW w:w="780" w:type="dxa"/>
          </w:tcPr>
          <w:p>
            <w:pPr>
              <w:pStyle w:val="TableParagraph"/>
              <w:ind w:left="71" w:right="46"/>
              <w:jc w:val="center"/>
              <w:rPr>
                <w:sz w:val="22"/>
              </w:rPr>
            </w:pPr>
            <w:r>
              <w:rPr>
                <w:sz w:val="22"/>
              </w:rPr>
              <w:t>23,330</w:t>
            </w:r>
          </w:p>
        </w:tc>
        <w:tc>
          <w:tcPr>
            <w:tcW w:w="1320" w:type="dxa"/>
          </w:tcPr>
          <w:p>
            <w:pPr>
              <w:pStyle w:val="TableParagraph"/>
              <w:ind w:right="63"/>
              <w:rPr>
                <w:sz w:val="22"/>
              </w:rPr>
            </w:pPr>
            <w:r>
              <w:rPr>
                <w:sz w:val="22"/>
              </w:rPr>
              <w:t>32604,700</w:t>
            </w:r>
          </w:p>
        </w:tc>
        <w:tc>
          <w:tcPr>
            <w:tcW w:w="1622" w:type="dxa"/>
          </w:tcPr>
          <w:p>
            <w:pPr>
              <w:pStyle w:val="TableParagraph"/>
              <w:ind w:right="63"/>
              <w:rPr>
                <w:sz w:val="22"/>
              </w:rPr>
            </w:pPr>
            <w:r>
              <w:rPr>
                <w:sz w:val="22"/>
              </w:rPr>
              <w:t>0,067468051</w:t>
            </w:r>
          </w:p>
        </w:tc>
      </w:tr>
      <w:tr>
        <w:trPr>
          <w:trHeight w:val="310" w:hRule="exact"/>
        </w:trPr>
        <w:tc>
          <w:tcPr>
            <w:tcW w:w="811" w:type="dxa"/>
          </w:tcPr>
          <w:p>
            <w:pPr>
              <w:pStyle w:val="TableParagraph"/>
              <w:ind w:left="1" w:right="0"/>
              <w:jc w:val="center"/>
              <w:rPr>
                <w:sz w:val="22"/>
              </w:rPr>
            </w:pPr>
            <w:r>
              <w:rPr>
                <w:w w:val="100"/>
                <w:sz w:val="22"/>
              </w:rPr>
              <w:t>3</w:t>
            </w:r>
          </w:p>
        </w:tc>
        <w:tc>
          <w:tcPr>
            <w:tcW w:w="778" w:type="dxa"/>
          </w:tcPr>
          <w:p>
            <w:pPr>
              <w:pStyle w:val="TableParagraph"/>
              <w:ind w:left="45" w:right="17"/>
              <w:jc w:val="center"/>
              <w:rPr>
                <w:sz w:val="22"/>
              </w:rPr>
            </w:pPr>
            <w:r>
              <w:rPr>
                <w:sz w:val="22"/>
              </w:rPr>
              <w:t>130,21</w:t>
            </w:r>
          </w:p>
        </w:tc>
        <w:tc>
          <w:tcPr>
            <w:tcW w:w="475" w:type="dxa"/>
          </w:tcPr>
          <w:p>
            <w:pPr>
              <w:pStyle w:val="TableParagraph"/>
              <w:ind w:left="158" w:right="44"/>
              <w:jc w:val="center"/>
              <w:rPr>
                <w:sz w:val="22"/>
              </w:rPr>
            </w:pPr>
            <w:r>
              <w:rPr>
                <w:sz w:val="22"/>
              </w:rPr>
              <w:t>77</w:t>
            </w:r>
          </w:p>
        </w:tc>
        <w:tc>
          <w:tcPr>
            <w:tcW w:w="914" w:type="dxa"/>
          </w:tcPr>
          <w:p>
            <w:pPr>
              <w:pStyle w:val="TableParagraph"/>
              <w:ind w:right="63"/>
              <w:rPr>
                <w:sz w:val="22"/>
              </w:rPr>
            </w:pPr>
            <w:r>
              <w:rPr>
                <w:sz w:val="22"/>
              </w:rPr>
              <w:t>49,800</w:t>
            </w:r>
          </w:p>
        </w:tc>
        <w:tc>
          <w:tcPr>
            <w:tcW w:w="1049" w:type="dxa"/>
          </w:tcPr>
          <w:p>
            <w:pPr>
              <w:pStyle w:val="TableParagraph"/>
              <w:rPr>
                <w:sz w:val="22"/>
              </w:rPr>
            </w:pPr>
            <w:r>
              <w:rPr>
                <w:sz w:val="22"/>
              </w:rPr>
              <w:t>769,200</w:t>
            </w:r>
          </w:p>
        </w:tc>
        <w:tc>
          <w:tcPr>
            <w:tcW w:w="1183" w:type="dxa"/>
          </w:tcPr>
          <w:p>
            <w:pPr>
              <w:pStyle w:val="TableParagraph"/>
              <w:rPr>
                <w:sz w:val="22"/>
              </w:rPr>
            </w:pPr>
            <w:r>
              <w:rPr>
                <w:sz w:val="22"/>
              </w:rPr>
              <w:t>6484,458</w:t>
            </w:r>
          </w:p>
        </w:tc>
        <w:tc>
          <w:tcPr>
            <w:tcW w:w="780" w:type="dxa"/>
          </w:tcPr>
          <w:p>
            <w:pPr>
              <w:pStyle w:val="TableParagraph"/>
              <w:ind w:left="71" w:right="46"/>
              <w:jc w:val="center"/>
              <w:rPr>
                <w:sz w:val="22"/>
              </w:rPr>
            </w:pPr>
            <w:r>
              <w:rPr>
                <w:sz w:val="22"/>
              </w:rPr>
              <w:t>27,734</w:t>
            </w:r>
          </w:p>
        </w:tc>
        <w:tc>
          <w:tcPr>
            <w:tcW w:w="1320" w:type="dxa"/>
          </w:tcPr>
          <w:p>
            <w:pPr>
              <w:pStyle w:val="TableParagraph"/>
              <w:ind w:right="63"/>
              <w:rPr>
                <w:sz w:val="22"/>
              </w:rPr>
            </w:pPr>
            <w:r>
              <w:rPr>
                <w:sz w:val="22"/>
              </w:rPr>
              <w:t>70230,660</w:t>
            </w:r>
          </w:p>
        </w:tc>
        <w:tc>
          <w:tcPr>
            <w:tcW w:w="1622" w:type="dxa"/>
          </w:tcPr>
          <w:p>
            <w:pPr>
              <w:pStyle w:val="TableParagraph"/>
              <w:ind w:right="63"/>
              <w:rPr>
                <w:sz w:val="22"/>
              </w:rPr>
            </w:pPr>
            <w:r>
              <w:rPr>
                <w:sz w:val="22"/>
              </w:rPr>
              <w:t>0,145326464</w:t>
            </w:r>
          </w:p>
        </w:tc>
      </w:tr>
      <w:tr>
        <w:trPr>
          <w:trHeight w:val="310" w:hRule="exact"/>
        </w:trPr>
        <w:tc>
          <w:tcPr>
            <w:tcW w:w="811" w:type="dxa"/>
          </w:tcPr>
          <w:p>
            <w:pPr>
              <w:pStyle w:val="TableParagraph"/>
              <w:ind w:left="1" w:right="0"/>
              <w:jc w:val="center"/>
              <w:rPr>
                <w:sz w:val="22"/>
              </w:rPr>
            </w:pPr>
            <w:r>
              <w:rPr>
                <w:w w:val="100"/>
                <w:sz w:val="22"/>
              </w:rPr>
              <w:t>4</w:t>
            </w:r>
          </w:p>
        </w:tc>
        <w:tc>
          <w:tcPr>
            <w:tcW w:w="778" w:type="dxa"/>
          </w:tcPr>
          <w:p>
            <w:pPr>
              <w:pStyle w:val="TableParagraph"/>
              <w:ind w:left="45" w:right="17"/>
              <w:jc w:val="center"/>
              <w:rPr>
                <w:sz w:val="22"/>
              </w:rPr>
            </w:pPr>
            <w:r>
              <w:rPr>
                <w:sz w:val="22"/>
              </w:rPr>
              <w:t>155,12</w:t>
            </w:r>
          </w:p>
        </w:tc>
        <w:tc>
          <w:tcPr>
            <w:tcW w:w="475" w:type="dxa"/>
          </w:tcPr>
          <w:p>
            <w:pPr>
              <w:pStyle w:val="TableParagraph"/>
              <w:ind w:left="158" w:right="44"/>
              <w:jc w:val="center"/>
              <w:rPr>
                <w:sz w:val="22"/>
              </w:rPr>
            </w:pPr>
            <w:r>
              <w:rPr>
                <w:sz w:val="22"/>
              </w:rPr>
              <w:t>92</w:t>
            </w:r>
          </w:p>
        </w:tc>
        <w:tc>
          <w:tcPr>
            <w:tcW w:w="914" w:type="dxa"/>
          </w:tcPr>
          <w:p>
            <w:pPr>
              <w:pStyle w:val="TableParagraph"/>
              <w:ind w:right="63"/>
              <w:rPr>
                <w:sz w:val="22"/>
              </w:rPr>
            </w:pPr>
            <w:r>
              <w:rPr>
                <w:sz w:val="22"/>
              </w:rPr>
              <w:t>45,000</w:t>
            </w:r>
          </w:p>
        </w:tc>
        <w:tc>
          <w:tcPr>
            <w:tcW w:w="1049" w:type="dxa"/>
          </w:tcPr>
          <w:p>
            <w:pPr>
              <w:pStyle w:val="TableParagraph"/>
              <w:rPr>
                <w:sz w:val="22"/>
              </w:rPr>
            </w:pPr>
            <w:r>
              <w:rPr>
                <w:sz w:val="22"/>
              </w:rPr>
              <w:t>328,000</w:t>
            </w:r>
          </w:p>
        </w:tc>
        <w:tc>
          <w:tcPr>
            <w:tcW w:w="1183" w:type="dxa"/>
          </w:tcPr>
          <w:p>
            <w:pPr>
              <w:pStyle w:val="TableParagraph"/>
              <w:rPr>
                <w:sz w:val="22"/>
              </w:rPr>
            </w:pPr>
            <w:r>
              <w:rPr>
                <w:sz w:val="22"/>
              </w:rPr>
              <w:t>6980,400</w:t>
            </w:r>
          </w:p>
        </w:tc>
        <w:tc>
          <w:tcPr>
            <w:tcW w:w="780" w:type="dxa"/>
          </w:tcPr>
          <w:p>
            <w:pPr>
              <w:pStyle w:val="TableParagraph"/>
              <w:ind w:left="71" w:right="46"/>
              <w:jc w:val="center"/>
              <w:rPr>
                <w:sz w:val="22"/>
              </w:rPr>
            </w:pPr>
            <w:r>
              <w:rPr>
                <w:sz w:val="22"/>
              </w:rPr>
              <w:t>18,111</w:t>
            </w:r>
          </w:p>
        </w:tc>
        <w:tc>
          <w:tcPr>
            <w:tcW w:w="1320" w:type="dxa"/>
          </w:tcPr>
          <w:p>
            <w:pPr>
              <w:pStyle w:val="TableParagraph"/>
              <w:ind w:right="63"/>
              <w:rPr>
                <w:sz w:val="22"/>
              </w:rPr>
            </w:pPr>
            <w:r>
              <w:rPr>
                <w:sz w:val="22"/>
              </w:rPr>
              <w:t>35085,201</w:t>
            </w:r>
          </w:p>
        </w:tc>
        <w:tc>
          <w:tcPr>
            <w:tcW w:w="1622" w:type="dxa"/>
          </w:tcPr>
          <w:p>
            <w:pPr>
              <w:pStyle w:val="TableParagraph"/>
              <w:ind w:right="63"/>
              <w:rPr>
                <w:sz w:val="22"/>
              </w:rPr>
            </w:pPr>
            <w:r>
              <w:rPr>
                <w:sz w:val="22"/>
              </w:rPr>
              <w:t>0,072600886</w:t>
            </w:r>
          </w:p>
        </w:tc>
      </w:tr>
      <w:tr>
        <w:trPr>
          <w:trHeight w:val="310" w:hRule="exact"/>
        </w:trPr>
        <w:tc>
          <w:tcPr>
            <w:tcW w:w="811" w:type="dxa"/>
          </w:tcPr>
          <w:p>
            <w:pPr>
              <w:pStyle w:val="TableParagraph"/>
              <w:ind w:left="1" w:right="0"/>
              <w:jc w:val="center"/>
              <w:rPr>
                <w:sz w:val="22"/>
              </w:rPr>
            </w:pPr>
            <w:r>
              <w:rPr>
                <w:w w:val="100"/>
                <w:sz w:val="22"/>
              </w:rPr>
              <w:t>5</w:t>
            </w:r>
          </w:p>
        </w:tc>
        <w:tc>
          <w:tcPr>
            <w:tcW w:w="778" w:type="dxa"/>
          </w:tcPr>
          <w:p>
            <w:pPr>
              <w:pStyle w:val="TableParagraph"/>
              <w:ind w:left="45" w:right="17"/>
              <w:jc w:val="center"/>
              <w:rPr>
                <w:sz w:val="22"/>
              </w:rPr>
            </w:pPr>
            <w:r>
              <w:rPr>
                <w:sz w:val="22"/>
              </w:rPr>
              <w:t>180,21</w:t>
            </w:r>
          </w:p>
        </w:tc>
        <w:tc>
          <w:tcPr>
            <w:tcW w:w="475" w:type="dxa"/>
          </w:tcPr>
          <w:p>
            <w:pPr>
              <w:pStyle w:val="TableParagraph"/>
              <w:ind w:left="47" w:right="44"/>
              <w:jc w:val="center"/>
              <w:rPr>
                <w:sz w:val="22"/>
              </w:rPr>
            </w:pPr>
            <w:r>
              <w:rPr>
                <w:sz w:val="22"/>
              </w:rPr>
              <w:t>132</w:t>
            </w:r>
          </w:p>
        </w:tc>
        <w:tc>
          <w:tcPr>
            <w:tcW w:w="914" w:type="dxa"/>
          </w:tcPr>
          <w:p>
            <w:pPr>
              <w:pStyle w:val="TableParagraph"/>
              <w:ind w:right="63"/>
              <w:rPr>
                <w:sz w:val="22"/>
              </w:rPr>
            </w:pPr>
            <w:r>
              <w:rPr>
                <w:sz w:val="22"/>
              </w:rPr>
              <w:t>78,667</w:t>
            </w:r>
          </w:p>
        </w:tc>
        <w:tc>
          <w:tcPr>
            <w:tcW w:w="1049" w:type="dxa"/>
          </w:tcPr>
          <w:p>
            <w:pPr>
              <w:pStyle w:val="TableParagraph"/>
              <w:rPr>
                <w:sz w:val="22"/>
              </w:rPr>
            </w:pPr>
            <w:r>
              <w:rPr>
                <w:sz w:val="22"/>
              </w:rPr>
              <w:t>289,867</w:t>
            </w:r>
          </w:p>
        </w:tc>
        <w:tc>
          <w:tcPr>
            <w:tcW w:w="1183" w:type="dxa"/>
          </w:tcPr>
          <w:p>
            <w:pPr>
              <w:pStyle w:val="TableParagraph"/>
              <w:rPr>
                <w:sz w:val="22"/>
              </w:rPr>
            </w:pPr>
            <w:r>
              <w:rPr>
                <w:sz w:val="22"/>
              </w:rPr>
              <w:t>14176,520</w:t>
            </w:r>
          </w:p>
        </w:tc>
        <w:tc>
          <w:tcPr>
            <w:tcW w:w="780" w:type="dxa"/>
          </w:tcPr>
          <w:p>
            <w:pPr>
              <w:pStyle w:val="TableParagraph"/>
              <w:ind w:left="71" w:right="46"/>
              <w:jc w:val="center"/>
              <w:rPr>
                <w:sz w:val="22"/>
              </w:rPr>
            </w:pPr>
            <w:r>
              <w:rPr>
                <w:sz w:val="22"/>
              </w:rPr>
              <w:t>17,025</w:t>
            </w:r>
          </w:p>
        </w:tc>
        <w:tc>
          <w:tcPr>
            <w:tcW w:w="1320" w:type="dxa"/>
          </w:tcPr>
          <w:p>
            <w:pPr>
              <w:pStyle w:val="TableParagraph"/>
              <w:ind w:right="63"/>
              <w:rPr>
                <w:sz w:val="22"/>
              </w:rPr>
            </w:pPr>
            <w:r>
              <w:rPr>
                <w:sz w:val="22"/>
              </w:rPr>
              <w:t>19056,726</w:t>
            </w:r>
          </w:p>
        </w:tc>
        <w:tc>
          <w:tcPr>
            <w:tcW w:w="1622" w:type="dxa"/>
          </w:tcPr>
          <w:p>
            <w:pPr>
              <w:pStyle w:val="TableParagraph"/>
              <w:ind w:right="63"/>
              <w:rPr>
                <w:sz w:val="22"/>
              </w:rPr>
            </w:pPr>
            <w:r>
              <w:rPr>
                <w:sz w:val="22"/>
              </w:rPr>
              <w:t>0,039433584</w:t>
            </w:r>
          </w:p>
        </w:tc>
      </w:tr>
      <w:tr>
        <w:trPr>
          <w:trHeight w:val="310" w:hRule="exact"/>
        </w:trPr>
        <w:tc>
          <w:tcPr>
            <w:tcW w:w="811" w:type="dxa"/>
          </w:tcPr>
          <w:p>
            <w:pPr>
              <w:pStyle w:val="TableParagraph"/>
              <w:spacing w:before="30"/>
              <w:ind w:right="1"/>
              <w:jc w:val="center"/>
              <w:rPr>
                <w:sz w:val="22"/>
              </w:rPr>
            </w:pPr>
            <w:r>
              <w:rPr>
                <w:w w:val="100"/>
                <w:sz w:val="22"/>
              </w:rPr>
              <w:t>N</w:t>
            </w:r>
          </w:p>
        </w:tc>
        <w:tc>
          <w:tcPr>
            <w:tcW w:w="778" w:type="dxa"/>
          </w:tcPr>
          <w:p>
            <w:pPr>
              <w:pStyle w:val="TableParagraph"/>
              <w:spacing w:before="30"/>
              <w:ind w:left="45" w:right="17"/>
              <w:jc w:val="center"/>
              <w:rPr>
                <w:sz w:val="22"/>
              </w:rPr>
            </w:pPr>
            <w:r>
              <w:rPr>
                <w:sz w:val="22"/>
              </w:rPr>
              <w:t>695,17</w:t>
            </w:r>
          </w:p>
        </w:tc>
        <w:tc>
          <w:tcPr>
            <w:tcW w:w="475" w:type="dxa"/>
          </w:tcPr>
          <w:p>
            <w:pPr/>
          </w:p>
        </w:tc>
        <w:tc>
          <w:tcPr>
            <w:tcW w:w="914" w:type="dxa"/>
          </w:tcPr>
          <w:p>
            <w:pPr/>
          </w:p>
        </w:tc>
        <w:tc>
          <w:tcPr>
            <w:tcW w:w="1049" w:type="dxa"/>
          </w:tcPr>
          <w:p>
            <w:pPr>
              <w:pStyle w:val="TableParagraph"/>
              <w:spacing w:before="18"/>
              <w:ind w:left="328" w:right="33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83" w:type="dxa"/>
          </w:tcPr>
          <w:p>
            <w:pPr>
              <w:pStyle w:val="TableParagraph"/>
              <w:spacing w:before="30"/>
              <w:rPr>
                <w:sz w:val="22"/>
              </w:rPr>
            </w:pPr>
            <w:r>
              <w:rPr>
                <w:sz w:val="22"/>
              </w:rPr>
              <w:t>38743,040</w:t>
            </w:r>
          </w:p>
        </w:tc>
        <w:tc>
          <w:tcPr>
            <w:tcW w:w="780" w:type="dxa"/>
          </w:tcPr>
          <w:p>
            <w:pPr/>
          </w:p>
        </w:tc>
        <w:tc>
          <w:tcPr>
            <w:tcW w:w="1320" w:type="dxa"/>
          </w:tcPr>
          <w:p>
            <w:pPr>
              <w:pStyle w:val="TableParagraph"/>
              <w:spacing w:before="30"/>
              <w:ind w:right="63"/>
              <w:rPr>
                <w:sz w:val="22"/>
              </w:rPr>
            </w:pPr>
            <w:r>
              <w:rPr>
                <w:sz w:val="22"/>
              </w:rPr>
              <w:t>132723,841</w:t>
            </w:r>
          </w:p>
        </w:tc>
        <w:tc>
          <w:tcPr>
            <w:tcW w:w="1622" w:type="dxa"/>
          </w:tcPr>
          <w:p>
            <w:pPr>
              <w:pStyle w:val="TableParagraph"/>
              <w:spacing w:before="30"/>
              <w:ind w:right="63"/>
              <w:rPr>
                <w:sz w:val="22"/>
              </w:rPr>
            </w:pPr>
            <w:r>
              <w:rPr>
                <w:sz w:val="22"/>
              </w:rPr>
              <w:t>0,274641964</w:t>
            </w:r>
          </w:p>
        </w:tc>
      </w:tr>
      <w:tr>
        <w:trPr>
          <w:trHeight w:val="312" w:hRule="exact"/>
        </w:trPr>
        <w:tc>
          <w:tcPr>
            <w:tcW w:w="5210" w:type="dxa"/>
            <w:gridSpan w:val="6"/>
            <w:vMerge w:val="restart"/>
            <w:tcBorders>
              <w:left w:val="nil"/>
            </w:tcBorders>
          </w:tcPr>
          <w:p>
            <w:pPr/>
          </w:p>
        </w:tc>
        <w:tc>
          <w:tcPr>
            <w:tcW w:w="2100"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22" w:type="dxa"/>
          </w:tcPr>
          <w:p>
            <w:pPr>
              <w:pStyle w:val="TableParagraph"/>
              <w:spacing w:before="30"/>
              <w:ind w:right="63"/>
              <w:rPr>
                <w:b/>
                <w:sz w:val="22"/>
              </w:rPr>
            </w:pPr>
            <w:r>
              <w:rPr>
                <w:b/>
                <w:sz w:val="22"/>
              </w:rPr>
              <w:t>55,732</w:t>
            </w:r>
          </w:p>
        </w:tc>
      </w:tr>
      <w:tr>
        <w:trPr>
          <w:trHeight w:val="310" w:hRule="exact"/>
        </w:trPr>
        <w:tc>
          <w:tcPr>
            <w:tcW w:w="5210" w:type="dxa"/>
            <w:gridSpan w:val="6"/>
            <w:vMerge/>
            <w:tcBorders>
              <w:left w:val="nil"/>
            </w:tcBorders>
          </w:tcPr>
          <w:p>
            <w:pPr/>
          </w:p>
        </w:tc>
        <w:tc>
          <w:tcPr>
            <w:tcW w:w="2100" w:type="dxa"/>
            <w:gridSpan w:val="2"/>
          </w:tcPr>
          <w:p>
            <w:pPr>
              <w:pStyle w:val="TableParagraph"/>
              <w:spacing w:before="11"/>
              <w:ind w:left="64" w:right="0"/>
              <w:jc w:val="left"/>
              <w:rPr>
                <w:sz w:val="22"/>
              </w:rPr>
            </w:pPr>
            <w:r>
              <w:rPr>
                <w:sz w:val="22"/>
              </w:rPr>
              <w:t>Desviación estándar</w:t>
            </w:r>
          </w:p>
        </w:tc>
        <w:tc>
          <w:tcPr>
            <w:tcW w:w="1622" w:type="dxa"/>
          </w:tcPr>
          <w:p>
            <w:pPr>
              <w:pStyle w:val="TableParagraph"/>
              <w:ind w:right="63"/>
              <w:rPr>
                <w:b/>
                <w:sz w:val="22"/>
              </w:rPr>
            </w:pPr>
            <w:r>
              <w:rPr>
                <w:b/>
                <w:sz w:val="22"/>
              </w:rPr>
              <w:t>0,524</w:t>
            </w:r>
          </w:p>
        </w:tc>
      </w:tr>
      <w:tr>
        <w:trPr>
          <w:trHeight w:val="310" w:hRule="exact"/>
        </w:trPr>
        <w:tc>
          <w:tcPr>
            <w:tcW w:w="5210" w:type="dxa"/>
            <w:gridSpan w:val="6"/>
            <w:vMerge/>
            <w:tcBorders>
              <w:left w:val="nil"/>
            </w:tcBorders>
          </w:tcPr>
          <w:p>
            <w:pPr/>
          </w:p>
        </w:tc>
        <w:tc>
          <w:tcPr>
            <w:tcW w:w="2100" w:type="dxa"/>
            <w:gridSpan w:val="2"/>
            <w:vMerge w:val="restart"/>
          </w:tcPr>
          <w:p>
            <w:pPr>
              <w:pStyle w:val="TableParagraph"/>
              <w:spacing w:before="33"/>
              <w:ind w:left="64" w:right="465"/>
              <w:jc w:val="left"/>
              <w:rPr>
                <w:sz w:val="22"/>
              </w:rPr>
            </w:pPr>
            <w:r>
              <w:rPr>
                <w:sz w:val="22"/>
              </w:rPr>
              <w:t>Intervalo de confianza al 95 %</w:t>
            </w:r>
          </w:p>
        </w:tc>
        <w:tc>
          <w:tcPr>
            <w:tcW w:w="1622" w:type="dxa"/>
          </w:tcPr>
          <w:p>
            <w:pPr>
              <w:pStyle w:val="TableParagraph"/>
              <w:ind w:right="63"/>
              <w:rPr>
                <w:sz w:val="22"/>
              </w:rPr>
            </w:pPr>
            <w:r>
              <w:rPr>
                <w:sz w:val="22"/>
              </w:rPr>
              <w:t>54,70</w:t>
            </w:r>
          </w:p>
        </w:tc>
      </w:tr>
      <w:tr>
        <w:trPr>
          <w:trHeight w:val="310" w:hRule="exact"/>
        </w:trPr>
        <w:tc>
          <w:tcPr>
            <w:tcW w:w="5210" w:type="dxa"/>
            <w:gridSpan w:val="6"/>
            <w:vMerge/>
            <w:tcBorders>
              <w:left w:val="nil"/>
              <w:bottom w:val="nil"/>
            </w:tcBorders>
          </w:tcPr>
          <w:p>
            <w:pPr/>
          </w:p>
        </w:tc>
        <w:tc>
          <w:tcPr>
            <w:tcW w:w="2100" w:type="dxa"/>
            <w:gridSpan w:val="2"/>
            <w:vMerge/>
          </w:tcPr>
          <w:p>
            <w:pPr/>
          </w:p>
        </w:tc>
        <w:tc>
          <w:tcPr>
            <w:tcW w:w="1622" w:type="dxa"/>
          </w:tcPr>
          <w:p>
            <w:pPr>
              <w:pStyle w:val="TableParagraph"/>
              <w:ind w:right="63"/>
              <w:rPr>
                <w:sz w:val="22"/>
              </w:rPr>
            </w:pPr>
            <w:r>
              <w:rPr>
                <w:sz w:val="22"/>
              </w:rPr>
              <w:t>56,76</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11"/>
        <w:gridCol w:w="778"/>
        <w:gridCol w:w="475"/>
        <w:gridCol w:w="914"/>
        <w:gridCol w:w="1049"/>
        <w:gridCol w:w="1183"/>
        <w:gridCol w:w="780"/>
        <w:gridCol w:w="1320"/>
        <w:gridCol w:w="1622"/>
      </w:tblGrid>
      <w:tr>
        <w:trPr>
          <w:trHeight w:val="310" w:hRule="exact"/>
        </w:trPr>
        <w:tc>
          <w:tcPr>
            <w:tcW w:w="8933" w:type="dxa"/>
            <w:gridSpan w:val="9"/>
          </w:tcPr>
          <w:p>
            <w:pPr>
              <w:pStyle w:val="TableParagraph"/>
              <w:spacing w:before="30"/>
              <w:ind w:left="3487" w:right="3485"/>
              <w:jc w:val="center"/>
              <w:rPr>
                <w:sz w:val="22"/>
              </w:rPr>
            </w:pPr>
            <w:r>
              <w:rPr>
                <w:sz w:val="22"/>
              </w:rPr>
              <w:t>Punto de muestreo G</w:t>
            </w:r>
          </w:p>
        </w:tc>
      </w:tr>
      <w:tr>
        <w:trPr>
          <w:trHeight w:val="312" w:hRule="exact"/>
        </w:trPr>
        <w:tc>
          <w:tcPr>
            <w:tcW w:w="811" w:type="dxa"/>
          </w:tcPr>
          <w:p>
            <w:pPr>
              <w:pStyle w:val="TableParagraph"/>
              <w:spacing w:before="13"/>
              <w:ind w:left="46" w:right="45"/>
              <w:jc w:val="center"/>
              <w:rPr>
                <w:sz w:val="22"/>
              </w:rPr>
            </w:pPr>
            <w:r>
              <w:rPr>
                <w:sz w:val="22"/>
              </w:rPr>
              <w:t>Estrato</w:t>
            </w:r>
          </w:p>
        </w:tc>
        <w:tc>
          <w:tcPr>
            <w:tcW w:w="778"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914" w:type="dxa"/>
          </w:tcPr>
          <w:p>
            <w:pPr>
              <w:pStyle w:val="TableParagraph"/>
              <w:spacing w:before="43"/>
              <w:ind w:left="317" w:right="33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1049" w:type="dxa"/>
          </w:tcPr>
          <w:p>
            <w:pPr>
              <w:pStyle w:val="TableParagraph"/>
              <w:spacing w:line="214" w:lineRule="exact" w:before="8"/>
              <w:ind w:left="328" w:right="333"/>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183" w:type="dxa"/>
          </w:tcPr>
          <w:p>
            <w:pPr>
              <w:pStyle w:val="TableParagraph"/>
              <w:spacing w:before="19"/>
              <w:ind w:left="395" w:right="403"/>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80" w:type="dxa"/>
          </w:tcPr>
          <w:p>
            <w:pPr>
              <w:pStyle w:val="TableParagraph"/>
              <w:spacing w:before="43"/>
              <w:ind w:left="38" w:right="46"/>
              <w:jc w:val="center"/>
              <w:rPr>
                <w:rFonts w:ascii="Cambria Math"/>
                <w:sz w:val="16"/>
              </w:rPr>
            </w:pPr>
            <w:r>
              <w:rPr>
                <w:rFonts w:ascii="Cambria Math"/>
                <w:w w:val="110"/>
                <w:sz w:val="22"/>
              </w:rPr>
              <w:t>s</w:t>
            </w:r>
            <w:r>
              <w:rPr>
                <w:rFonts w:ascii="Cambria Math"/>
                <w:w w:val="110"/>
                <w:position w:val="-4"/>
                <w:sz w:val="16"/>
              </w:rPr>
              <w:t>h</w:t>
            </w:r>
          </w:p>
        </w:tc>
        <w:tc>
          <w:tcPr>
            <w:tcW w:w="1320" w:type="dxa"/>
          </w:tcPr>
          <w:p>
            <w:pPr>
              <w:pStyle w:val="TableParagraph"/>
              <w:spacing w:before="3"/>
              <w:ind w:left="323" w:right="104"/>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22" w:type="dxa"/>
          </w:tcPr>
          <w:p>
            <w:pPr>
              <w:pStyle w:val="TableParagraph"/>
              <w:spacing w:before="3"/>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11" w:type="dxa"/>
          </w:tcPr>
          <w:p>
            <w:pPr>
              <w:pStyle w:val="TableParagraph"/>
              <w:ind w:left="1" w:right="0"/>
              <w:jc w:val="center"/>
              <w:rPr>
                <w:sz w:val="22"/>
              </w:rPr>
            </w:pPr>
            <w:r>
              <w:rPr>
                <w:w w:val="100"/>
                <w:sz w:val="22"/>
              </w:rPr>
              <w:t>1</w:t>
            </w:r>
          </w:p>
        </w:tc>
        <w:tc>
          <w:tcPr>
            <w:tcW w:w="778" w:type="dxa"/>
          </w:tcPr>
          <w:p>
            <w:pPr>
              <w:pStyle w:val="TableParagraph"/>
              <w:ind w:left="45" w:right="17"/>
              <w:jc w:val="center"/>
              <w:rPr>
                <w:sz w:val="22"/>
              </w:rPr>
            </w:pPr>
            <w:r>
              <w:rPr>
                <w:sz w:val="22"/>
              </w:rPr>
              <w:t>108,60</w:t>
            </w:r>
          </w:p>
        </w:tc>
        <w:tc>
          <w:tcPr>
            <w:tcW w:w="475" w:type="dxa"/>
          </w:tcPr>
          <w:p>
            <w:pPr>
              <w:pStyle w:val="TableParagraph"/>
              <w:ind w:left="47" w:right="44"/>
              <w:jc w:val="center"/>
              <w:rPr>
                <w:sz w:val="22"/>
              </w:rPr>
            </w:pPr>
            <w:r>
              <w:rPr>
                <w:sz w:val="22"/>
              </w:rPr>
              <w:t>108</w:t>
            </w:r>
          </w:p>
        </w:tc>
        <w:tc>
          <w:tcPr>
            <w:tcW w:w="914" w:type="dxa"/>
          </w:tcPr>
          <w:p>
            <w:pPr>
              <w:pStyle w:val="TableParagraph"/>
              <w:ind w:right="63"/>
              <w:rPr>
                <w:sz w:val="22"/>
              </w:rPr>
            </w:pPr>
            <w:r>
              <w:rPr>
                <w:sz w:val="22"/>
              </w:rPr>
              <w:t>108,200</w:t>
            </w:r>
          </w:p>
        </w:tc>
        <w:tc>
          <w:tcPr>
            <w:tcW w:w="1049" w:type="dxa"/>
          </w:tcPr>
          <w:p>
            <w:pPr>
              <w:pStyle w:val="TableParagraph"/>
              <w:rPr>
                <w:sz w:val="22"/>
              </w:rPr>
            </w:pPr>
            <w:r>
              <w:rPr>
                <w:sz w:val="22"/>
              </w:rPr>
              <w:t>989,700</w:t>
            </w:r>
          </w:p>
        </w:tc>
        <w:tc>
          <w:tcPr>
            <w:tcW w:w="1183" w:type="dxa"/>
          </w:tcPr>
          <w:p>
            <w:pPr>
              <w:pStyle w:val="TableParagraph"/>
              <w:rPr>
                <w:sz w:val="22"/>
              </w:rPr>
            </w:pPr>
            <w:r>
              <w:rPr>
                <w:sz w:val="22"/>
              </w:rPr>
              <w:t>11750,520</w:t>
            </w:r>
          </w:p>
        </w:tc>
        <w:tc>
          <w:tcPr>
            <w:tcW w:w="780" w:type="dxa"/>
          </w:tcPr>
          <w:p>
            <w:pPr>
              <w:pStyle w:val="TableParagraph"/>
              <w:ind w:left="71" w:right="46"/>
              <w:jc w:val="center"/>
              <w:rPr>
                <w:sz w:val="22"/>
              </w:rPr>
            </w:pPr>
            <w:r>
              <w:rPr>
                <w:sz w:val="22"/>
              </w:rPr>
              <w:t>31,459</w:t>
            </w:r>
          </w:p>
        </w:tc>
        <w:tc>
          <w:tcPr>
            <w:tcW w:w="1320" w:type="dxa"/>
          </w:tcPr>
          <w:p>
            <w:pPr>
              <w:pStyle w:val="TableParagraph"/>
              <w:ind w:right="63"/>
              <w:rPr>
                <w:sz w:val="22"/>
              </w:rPr>
            </w:pPr>
            <w:r>
              <w:rPr>
                <w:sz w:val="22"/>
              </w:rPr>
              <w:t>-36133,729</w:t>
            </w:r>
          </w:p>
        </w:tc>
        <w:tc>
          <w:tcPr>
            <w:tcW w:w="1622" w:type="dxa"/>
          </w:tcPr>
          <w:p>
            <w:pPr>
              <w:pStyle w:val="TableParagraph"/>
              <w:ind w:right="63"/>
              <w:rPr>
                <w:sz w:val="22"/>
              </w:rPr>
            </w:pPr>
            <w:r>
              <w:rPr>
                <w:sz w:val="22"/>
              </w:rPr>
              <w:t>-0,074770579</w:t>
            </w:r>
          </w:p>
        </w:tc>
      </w:tr>
      <w:tr>
        <w:trPr>
          <w:trHeight w:val="310" w:hRule="exact"/>
        </w:trPr>
        <w:tc>
          <w:tcPr>
            <w:tcW w:w="811" w:type="dxa"/>
          </w:tcPr>
          <w:p>
            <w:pPr>
              <w:pStyle w:val="TableParagraph"/>
              <w:ind w:left="1" w:right="0"/>
              <w:jc w:val="center"/>
              <w:rPr>
                <w:sz w:val="22"/>
              </w:rPr>
            </w:pPr>
            <w:r>
              <w:rPr>
                <w:w w:val="100"/>
                <w:sz w:val="22"/>
              </w:rPr>
              <w:t>2</w:t>
            </w:r>
          </w:p>
        </w:tc>
        <w:tc>
          <w:tcPr>
            <w:tcW w:w="778" w:type="dxa"/>
          </w:tcPr>
          <w:p>
            <w:pPr>
              <w:pStyle w:val="TableParagraph"/>
              <w:ind w:left="45" w:right="17"/>
              <w:jc w:val="center"/>
              <w:rPr>
                <w:sz w:val="22"/>
              </w:rPr>
            </w:pPr>
            <w:r>
              <w:rPr>
                <w:sz w:val="22"/>
              </w:rPr>
              <w:t>121,03</w:t>
            </w:r>
          </w:p>
        </w:tc>
        <w:tc>
          <w:tcPr>
            <w:tcW w:w="475" w:type="dxa"/>
          </w:tcPr>
          <w:p>
            <w:pPr>
              <w:pStyle w:val="TableParagraph"/>
              <w:ind w:left="158" w:right="44"/>
              <w:jc w:val="center"/>
              <w:rPr>
                <w:sz w:val="22"/>
              </w:rPr>
            </w:pPr>
            <w:r>
              <w:rPr>
                <w:sz w:val="22"/>
              </w:rPr>
              <w:t>81</w:t>
            </w:r>
          </w:p>
        </w:tc>
        <w:tc>
          <w:tcPr>
            <w:tcW w:w="914" w:type="dxa"/>
          </w:tcPr>
          <w:p>
            <w:pPr>
              <w:pStyle w:val="TableParagraph"/>
              <w:ind w:right="63"/>
              <w:rPr>
                <w:sz w:val="22"/>
              </w:rPr>
            </w:pPr>
            <w:r>
              <w:rPr>
                <w:sz w:val="22"/>
              </w:rPr>
              <w:t>130,400</w:t>
            </w:r>
          </w:p>
        </w:tc>
        <w:tc>
          <w:tcPr>
            <w:tcW w:w="1049" w:type="dxa"/>
          </w:tcPr>
          <w:p>
            <w:pPr>
              <w:pStyle w:val="TableParagraph"/>
              <w:rPr>
                <w:sz w:val="22"/>
              </w:rPr>
            </w:pPr>
            <w:r>
              <w:rPr>
                <w:sz w:val="22"/>
              </w:rPr>
              <w:t>1527,300</w:t>
            </w:r>
          </w:p>
        </w:tc>
        <w:tc>
          <w:tcPr>
            <w:tcW w:w="1183" w:type="dxa"/>
          </w:tcPr>
          <w:p>
            <w:pPr>
              <w:pStyle w:val="TableParagraph"/>
              <w:rPr>
                <w:sz w:val="22"/>
              </w:rPr>
            </w:pPr>
            <w:r>
              <w:rPr>
                <w:sz w:val="22"/>
              </w:rPr>
              <w:t>15782,312</w:t>
            </w:r>
          </w:p>
        </w:tc>
        <w:tc>
          <w:tcPr>
            <w:tcW w:w="780" w:type="dxa"/>
          </w:tcPr>
          <w:p>
            <w:pPr>
              <w:pStyle w:val="TableParagraph"/>
              <w:ind w:left="71" w:right="46"/>
              <w:jc w:val="center"/>
              <w:rPr>
                <w:sz w:val="22"/>
              </w:rPr>
            </w:pPr>
            <w:r>
              <w:rPr>
                <w:sz w:val="22"/>
              </w:rPr>
              <w:t>39,081</w:t>
            </w:r>
          </w:p>
        </w:tc>
        <w:tc>
          <w:tcPr>
            <w:tcW w:w="1320" w:type="dxa"/>
          </w:tcPr>
          <w:p>
            <w:pPr>
              <w:pStyle w:val="TableParagraph"/>
              <w:ind w:right="63"/>
              <w:rPr>
                <w:sz w:val="22"/>
              </w:rPr>
            </w:pPr>
            <w:r>
              <w:rPr>
                <w:sz w:val="22"/>
              </w:rPr>
              <w:t>91488,441</w:t>
            </w:r>
          </w:p>
        </w:tc>
        <w:tc>
          <w:tcPr>
            <w:tcW w:w="1622" w:type="dxa"/>
          </w:tcPr>
          <w:p>
            <w:pPr>
              <w:pStyle w:val="TableParagraph"/>
              <w:ind w:right="63"/>
              <w:rPr>
                <w:sz w:val="22"/>
              </w:rPr>
            </w:pPr>
            <w:r>
              <w:rPr>
                <w:sz w:val="22"/>
              </w:rPr>
              <w:t>0,189314633</w:t>
            </w:r>
          </w:p>
        </w:tc>
      </w:tr>
      <w:tr>
        <w:trPr>
          <w:trHeight w:val="310" w:hRule="exact"/>
        </w:trPr>
        <w:tc>
          <w:tcPr>
            <w:tcW w:w="811" w:type="dxa"/>
          </w:tcPr>
          <w:p>
            <w:pPr>
              <w:pStyle w:val="TableParagraph"/>
              <w:ind w:left="1" w:right="0"/>
              <w:jc w:val="center"/>
              <w:rPr>
                <w:sz w:val="22"/>
              </w:rPr>
            </w:pPr>
            <w:r>
              <w:rPr>
                <w:w w:val="100"/>
                <w:sz w:val="22"/>
              </w:rPr>
              <w:t>3</w:t>
            </w:r>
          </w:p>
        </w:tc>
        <w:tc>
          <w:tcPr>
            <w:tcW w:w="778" w:type="dxa"/>
          </w:tcPr>
          <w:p>
            <w:pPr>
              <w:pStyle w:val="TableParagraph"/>
              <w:ind w:left="45" w:right="17"/>
              <w:jc w:val="center"/>
              <w:rPr>
                <w:sz w:val="22"/>
              </w:rPr>
            </w:pPr>
            <w:r>
              <w:rPr>
                <w:sz w:val="22"/>
              </w:rPr>
              <w:t>130,21</w:t>
            </w:r>
          </w:p>
        </w:tc>
        <w:tc>
          <w:tcPr>
            <w:tcW w:w="475" w:type="dxa"/>
          </w:tcPr>
          <w:p>
            <w:pPr>
              <w:pStyle w:val="TableParagraph"/>
              <w:ind w:left="158" w:right="44"/>
              <w:jc w:val="center"/>
              <w:rPr>
                <w:sz w:val="22"/>
              </w:rPr>
            </w:pPr>
            <w:r>
              <w:rPr>
                <w:sz w:val="22"/>
              </w:rPr>
              <w:t>77</w:t>
            </w:r>
          </w:p>
        </w:tc>
        <w:tc>
          <w:tcPr>
            <w:tcW w:w="914" w:type="dxa"/>
          </w:tcPr>
          <w:p>
            <w:pPr>
              <w:pStyle w:val="TableParagraph"/>
              <w:ind w:right="63"/>
              <w:rPr>
                <w:sz w:val="22"/>
              </w:rPr>
            </w:pPr>
            <w:r>
              <w:rPr>
                <w:sz w:val="22"/>
              </w:rPr>
              <w:t>97,200</w:t>
            </w:r>
          </w:p>
        </w:tc>
        <w:tc>
          <w:tcPr>
            <w:tcW w:w="1049" w:type="dxa"/>
          </w:tcPr>
          <w:p>
            <w:pPr>
              <w:pStyle w:val="TableParagraph"/>
              <w:rPr>
                <w:sz w:val="22"/>
              </w:rPr>
            </w:pPr>
            <w:r>
              <w:rPr>
                <w:sz w:val="22"/>
              </w:rPr>
              <w:t>2959,200</w:t>
            </w:r>
          </w:p>
        </w:tc>
        <w:tc>
          <w:tcPr>
            <w:tcW w:w="1183" w:type="dxa"/>
          </w:tcPr>
          <w:p>
            <w:pPr>
              <w:pStyle w:val="TableParagraph"/>
              <w:rPr>
                <w:sz w:val="22"/>
              </w:rPr>
            </w:pPr>
            <w:r>
              <w:rPr>
                <w:sz w:val="22"/>
              </w:rPr>
              <w:t>12656,412</w:t>
            </w:r>
          </w:p>
        </w:tc>
        <w:tc>
          <w:tcPr>
            <w:tcW w:w="780" w:type="dxa"/>
          </w:tcPr>
          <w:p>
            <w:pPr>
              <w:pStyle w:val="TableParagraph"/>
              <w:ind w:left="71" w:right="46"/>
              <w:jc w:val="center"/>
              <w:rPr>
                <w:sz w:val="22"/>
              </w:rPr>
            </w:pPr>
            <w:r>
              <w:rPr>
                <w:sz w:val="22"/>
              </w:rPr>
              <w:t>54,399</w:t>
            </w:r>
          </w:p>
        </w:tc>
        <w:tc>
          <w:tcPr>
            <w:tcW w:w="1320" w:type="dxa"/>
          </w:tcPr>
          <w:p>
            <w:pPr>
              <w:pStyle w:val="TableParagraph"/>
              <w:ind w:right="63"/>
              <w:rPr>
                <w:sz w:val="22"/>
              </w:rPr>
            </w:pPr>
            <w:r>
              <w:rPr>
                <w:sz w:val="22"/>
              </w:rPr>
              <w:t>270185,349</w:t>
            </w:r>
          </w:p>
        </w:tc>
        <w:tc>
          <w:tcPr>
            <w:tcW w:w="1622" w:type="dxa"/>
          </w:tcPr>
          <w:p>
            <w:pPr>
              <w:pStyle w:val="TableParagraph"/>
              <w:ind w:right="63"/>
              <w:rPr>
                <w:sz w:val="22"/>
              </w:rPr>
            </w:pPr>
            <w:r>
              <w:rPr>
                <w:sz w:val="22"/>
              </w:rPr>
              <w:t>0,559087459</w:t>
            </w:r>
          </w:p>
        </w:tc>
      </w:tr>
      <w:tr>
        <w:trPr>
          <w:trHeight w:val="310" w:hRule="exact"/>
        </w:trPr>
        <w:tc>
          <w:tcPr>
            <w:tcW w:w="811" w:type="dxa"/>
          </w:tcPr>
          <w:p>
            <w:pPr>
              <w:pStyle w:val="TableParagraph"/>
              <w:ind w:left="1" w:right="0"/>
              <w:jc w:val="center"/>
              <w:rPr>
                <w:sz w:val="22"/>
              </w:rPr>
            </w:pPr>
            <w:r>
              <w:rPr>
                <w:w w:val="100"/>
                <w:sz w:val="22"/>
              </w:rPr>
              <w:t>4</w:t>
            </w:r>
          </w:p>
        </w:tc>
        <w:tc>
          <w:tcPr>
            <w:tcW w:w="778" w:type="dxa"/>
          </w:tcPr>
          <w:p>
            <w:pPr>
              <w:pStyle w:val="TableParagraph"/>
              <w:ind w:left="45" w:right="17"/>
              <w:jc w:val="center"/>
              <w:rPr>
                <w:sz w:val="22"/>
              </w:rPr>
            </w:pPr>
            <w:r>
              <w:rPr>
                <w:sz w:val="22"/>
              </w:rPr>
              <w:t>155,12</w:t>
            </w:r>
          </w:p>
        </w:tc>
        <w:tc>
          <w:tcPr>
            <w:tcW w:w="475" w:type="dxa"/>
          </w:tcPr>
          <w:p>
            <w:pPr>
              <w:pStyle w:val="TableParagraph"/>
              <w:ind w:left="158" w:right="44"/>
              <w:jc w:val="center"/>
              <w:rPr>
                <w:sz w:val="22"/>
              </w:rPr>
            </w:pPr>
            <w:r>
              <w:rPr>
                <w:sz w:val="22"/>
              </w:rPr>
              <w:t>92</w:t>
            </w:r>
          </w:p>
        </w:tc>
        <w:tc>
          <w:tcPr>
            <w:tcW w:w="914" w:type="dxa"/>
          </w:tcPr>
          <w:p>
            <w:pPr>
              <w:pStyle w:val="TableParagraph"/>
              <w:ind w:right="63"/>
              <w:rPr>
                <w:sz w:val="22"/>
              </w:rPr>
            </w:pPr>
            <w:r>
              <w:rPr>
                <w:sz w:val="22"/>
              </w:rPr>
              <w:t>115,400</w:t>
            </w:r>
          </w:p>
        </w:tc>
        <w:tc>
          <w:tcPr>
            <w:tcW w:w="1049" w:type="dxa"/>
          </w:tcPr>
          <w:p>
            <w:pPr>
              <w:pStyle w:val="TableParagraph"/>
              <w:rPr>
                <w:sz w:val="22"/>
              </w:rPr>
            </w:pPr>
            <w:r>
              <w:rPr>
                <w:sz w:val="22"/>
              </w:rPr>
              <w:t>1561,300</w:t>
            </w:r>
          </w:p>
        </w:tc>
        <w:tc>
          <w:tcPr>
            <w:tcW w:w="1183" w:type="dxa"/>
          </w:tcPr>
          <w:p>
            <w:pPr>
              <w:pStyle w:val="TableParagraph"/>
              <w:rPr>
                <w:sz w:val="22"/>
              </w:rPr>
            </w:pPr>
            <w:r>
              <w:rPr>
                <w:sz w:val="22"/>
              </w:rPr>
              <w:t>17900,848</w:t>
            </w:r>
          </w:p>
        </w:tc>
        <w:tc>
          <w:tcPr>
            <w:tcW w:w="780" w:type="dxa"/>
          </w:tcPr>
          <w:p>
            <w:pPr>
              <w:pStyle w:val="TableParagraph"/>
              <w:ind w:left="71" w:right="46"/>
              <w:jc w:val="center"/>
              <w:rPr>
                <w:sz w:val="22"/>
              </w:rPr>
            </w:pPr>
            <w:r>
              <w:rPr>
                <w:sz w:val="22"/>
              </w:rPr>
              <w:t>39,513</w:t>
            </w:r>
          </w:p>
        </w:tc>
        <w:tc>
          <w:tcPr>
            <w:tcW w:w="1320" w:type="dxa"/>
          </w:tcPr>
          <w:p>
            <w:pPr>
              <w:pStyle w:val="TableParagraph"/>
              <w:ind w:right="63"/>
              <w:rPr>
                <w:sz w:val="22"/>
              </w:rPr>
            </w:pPr>
            <w:r>
              <w:rPr>
                <w:sz w:val="22"/>
              </w:rPr>
              <w:t>167007,695</w:t>
            </w:r>
          </w:p>
        </w:tc>
        <w:tc>
          <w:tcPr>
            <w:tcW w:w="1622" w:type="dxa"/>
          </w:tcPr>
          <w:p>
            <w:pPr>
              <w:pStyle w:val="TableParagraph"/>
              <w:ind w:right="63"/>
              <w:rPr>
                <w:sz w:val="22"/>
              </w:rPr>
            </w:pPr>
            <w:r>
              <w:rPr>
                <w:sz w:val="22"/>
              </w:rPr>
              <w:t>0,345584645</w:t>
            </w:r>
          </w:p>
        </w:tc>
      </w:tr>
      <w:tr>
        <w:trPr>
          <w:trHeight w:val="310" w:hRule="exact"/>
        </w:trPr>
        <w:tc>
          <w:tcPr>
            <w:tcW w:w="811" w:type="dxa"/>
          </w:tcPr>
          <w:p>
            <w:pPr>
              <w:pStyle w:val="TableParagraph"/>
              <w:spacing w:before="30"/>
              <w:ind w:left="1" w:right="0"/>
              <w:jc w:val="center"/>
              <w:rPr>
                <w:sz w:val="22"/>
              </w:rPr>
            </w:pPr>
            <w:r>
              <w:rPr>
                <w:w w:val="100"/>
                <w:sz w:val="22"/>
              </w:rPr>
              <w:t>5</w:t>
            </w:r>
          </w:p>
        </w:tc>
        <w:tc>
          <w:tcPr>
            <w:tcW w:w="778" w:type="dxa"/>
          </w:tcPr>
          <w:p>
            <w:pPr>
              <w:pStyle w:val="TableParagraph"/>
              <w:spacing w:before="30"/>
              <w:ind w:left="45" w:right="17"/>
              <w:jc w:val="center"/>
              <w:rPr>
                <w:sz w:val="22"/>
              </w:rPr>
            </w:pPr>
            <w:r>
              <w:rPr>
                <w:sz w:val="22"/>
              </w:rPr>
              <w:t>180,21</w:t>
            </w:r>
          </w:p>
        </w:tc>
        <w:tc>
          <w:tcPr>
            <w:tcW w:w="475" w:type="dxa"/>
          </w:tcPr>
          <w:p>
            <w:pPr>
              <w:pStyle w:val="TableParagraph"/>
              <w:spacing w:before="30"/>
              <w:ind w:left="47" w:right="44"/>
              <w:jc w:val="center"/>
              <w:rPr>
                <w:sz w:val="22"/>
              </w:rPr>
            </w:pPr>
            <w:r>
              <w:rPr>
                <w:sz w:val="22"/>
              </w:rPr>
              <w:t>132</w:t>
            </w:r>
          </w:p>
        </w:tc>
        <w:tc>
          <w:tcPr>
            <w:tcW w:w="914" w:type="dxa"/>
          </w:tcPr>
          <w:p>
            <w:pPr>
              <w:pStyle w:val="TableParagraph"/>
              <w:spacing w:before="30"/>
              <w:ind w:right="63"/>
              <w:rPr>
                <w:sz w:val="22"/>
              </w:rPr>
            </w:pPr>
            <w:r>
              <w:rPr>
                <w:sz w:val="22"/>
              </w:rPr>
              <w:t>138,333</w:t>
            </w:r>
          </w:p>
        </w:tc>
        <w:tc>
          <w:tcPr>
            <w:tcW w:w="1049" w:type="dxa"/>
          </w:tcPr>
          <w:p>
            <w:pPr>
              <w:pStyle w:val="TableParagraph"/>
              <w:spacing w:before="30"/>
              <w:rPr>
                <w:sz w:val="22"/>
              </w:rPr>
            </w:pPr>
            <w:r>
              <w:rPr>
                <w:sz w:val="22"/>
              </w:rPr>
              <w:t>205,867</w:t>
            </w:r>
          </w:p>
        </w:tc>
        <w:tc>
          <w:tcPr>
            <w:tcW w:w="1183" w:type="dxa"/>
          </w:tcPr>
          <w:p>
            <w:pPr>
              <w:pStyle w:val="TableParagraph"/>
              <w:spacing w:before="30"/>
              <w:rPr>
                <w:sz w:val="22"/>
              </w:rPr>
            </w:pPr>
            <w:r>
              <w:rPr>
                <w:sz w:val="22"/>
              </w:rPr>
              <w:t>24929,050</w:t>
            </w:r>
          </w:p>
        </w:tc>
        <w:tc>
          <w:tcPr>
            <w:tcW w:w="780" w:type="dxa"/>
          </w:tcPr>
          <w:p>
            <w:pPr>
              <w:pStyle w:val="TableParagraph"/>
              <w:spacing w:before="30"/>
              <w:ind w:left="71" w:right="46"/>
              <w:jc w:val="center"/>
              <w:rPr>
                <w:sz w:val="22"/>
              </w:rPr>
            </w:pPr>
            <w:r>
              <w:rPr>
                <w:sz w:val="22"/>
              </w:rPr>
              <w:t>14,348</w:t>
            </w:r>
          </w:p>
        </w:tc>
        <w:tc>
          <w:tcPr>
            <w:tcW w:w="1320" w:type="dxa"/>
          </w:tcPr>
          <w:p>
            <w:pPr>
              <w:pStyle w:val="TableParagraph"/>
              <w:spacing w:before="30"/>
              <w:ind w:right="63"/>
              <w:rPr>
                <w:sz w:val="22"/>
              </w:rPr>
            </w:pPr>
            <w:r>
              <w:rPr>
                <w:sz w:val="22"/>
              </w:rPr>
              <w:t>13534,308</w:t>
            </w:r>
          </w:p>
        </w:tc>
        <w:tc>
          <w:tcPr>
            <w:tcW w:w="1622" w:type="dxa"/>
          </w:tcPr>
          <w:p>
            <w:pPr>
              <w:pStyle w:val="TableParagraph"/>
              <w:spacing w:before="30"/>
              <w:ind w:right="63"/>
              <w:rPr>
                <w:sz w:val="22"/>
              </w:rPr>
            </w:pPr>
            <w:r>
              <w:rPr>
                <w:sz w:val="22"/>
              </w:rPr>
              <w:t>0,028006188</w:t>
            </w:r>
          </w:p>
        </w:tc>
      </w:tr>
      <w:tr>
        <w:trPr>
          <w:trHeight w:val="312" w:hRule="exact"/>
        </w:trPr>
        <w:tc>
          <w:tcPr>
            <w:tcW w:w="811" w:type="dxa"/>
          </w:tcPr>
          <w:p>
            <w:pPr>
              <w:pStyle w:val="TableParagraph"/>
              <w:spacing w:before="30"/>
              <w:ind w:right="1"/>
              <w:jc w:val="center"/>
              <w:rPr>
                <w:sz w:val="22"/>
              </w:rPr>
            </w:pPr>
            <w:r>
              <w:rPr>
                <w:w w:val="100"/>
                <w:sz w:val="22"/>
              </w:rPr>
              <w:t>N</w:t>
            </w:r>
          </w:p>
        </w:tc>
        <w:tc>
          <w:tcPr>
            <w:tcW w:w="778" w:type="dxa"/>
          </w:tcPr>
          <w:p>
            <w:pPr>
              <w:pStyle w:val="TableParagraph"/>
              <w:spacing w:before="30"/>
              <w:ind w:left="45" w:right="17"/>
              <w:jc w:val="center"/>
              <w:rPr>
                <w:sz w:val="22"/>
              </w:rPr>
            </w:pPr>
            <w:r>
              <w:rPr>
                <w:sz w:val="22"/>
              </w:rPr>
              <w:t>695,17</w:t>
            </w:r>
          </w:p>
        </w:tc>
        <w:tc>
          <w:tcPr>
            <w:tcW w:w="475" w:type="dxa"/>
          </w:tcPr>
          <w:p>
            <w:pPr/>
          </w:p>
        </w:tc>
        <w:tc>
          <w:tcPr>
            <w:tcW w:w="914" w:type="dxa"/>
          </w:tcPr>
          <w:p>
            <w:pPr/>
          </w:p>
        </w:tc>
        <w:tc>
          <w:tcPr>
            <w:tcW w:w="1049" w:type="dxa"/>
          </w:tcPr>
          <w:p>
            <w:pPr>
              <w:pStyle w:val="TableParagraph"/>
              <w:spacing w:before="18"/>
              <w:ind w:left="328" w:right="339"/>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83" w:type="dxa"/>
          </w:tcPr>
          <w:p>
            <w:pPr>
              <w:pStyle w:val="TableParagraph"/>
              <w:spacing w:before="30"/>
              <w:rPr>
                <w:sz w:val="22"/>
              </w:rPr>
            </w:pPr>
            <w:r>
              <w:rPr>
                <w:sz w:val="22"/>
              </w:rPr>
              <w:t>83019,142</w:t>
            </w:r>
          </w:p>
        </w:tc>
        <w:tc>
          <w:tcPr>
            <w:tcW w:w="780" w:type="dxa"/>
          </w:tcPr>
          <w:p>
            <w:pPr/>
          </w:p>
        </w:tc>
        <w:tc>
          <w:tcPr>
            <w:tcW w:w="1320" w:type="dxa"/>
          </w:tcPr>
          <w:p>
            <w:pPr>
              <w:pStyle w:val="TableParagraph"/>
              <w:spacing w:before="30"/>
              <w:ind w:right="63"/>
              <w:rPr>
                <w:sz w:val="22"/>
              </w:rPr>
            </w:pPr>
            <w:r>
              <w:rPr>
                <w:sz w:val="22"/>
              </w:rPr>
              <w:t>506082,063</w:t>
            </w:r>
          </w:p>
        </w:tc>
        <w:tc>
          <w:tcPr>
            <w:tcW w:w="1622" w:type="dxa"/>
          </w:tcPr>
          <w:p>
            <w:pPr>
              <w:pStyle w:val="TableParagraph"/>
              <w:spacing w:before="30"/>
              <w:ind w:right="63"/>
              <w:rPr>
                <w:sz w:val="22"/>
              </w:rPr>
            </w:pPr>
            <w:r>
              <w:rPr>
                <w:sz w:val="22"/>
              </w:rPr>
              <w:t>1,047222347</w:t>
            </w:r>
          </w:p>
        </w:tc>
      </w:tr>
      <w:tr>
        <w:trPr>
          <w:trHeight w:val="310" w:hRule="exact"/>
        </w:trPr>
        <w:tc>
          <w:tcPr>
            <w:tcW w:w="5210" w:type="dxa"/>
            <w:gridSpan w:val="6"/>
            <w:vMerge w:val="restart"/>
            <w:tcBorders>
              <w:left w:val="nil"/>
            </w:tcBorders>
          </w:tcPr>
          <w:p>
            <w:pPr/>
          </w:p>
        </w:tc>
        <w:tc>
          <w:tcPr>
            <w:tcW w:w="2100"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22" w:type="dxa"/>
          </w:tcPr>
          <w:p>
            <w:pPr>
              <w:pStyle w:val="TableParagraph"/>
              <w:ind w:right="63"/>
              <w:rPr>
                <w:b/>
                <w:sz w:val="22"/>
              </w:rPr>
            </w:pPr>
            <w:r>
              <w:rPr>
                <w:b/>
                <w:sz w:val="22"/>
              </w:rPr>
              <w:t>119,423</w:t>
            </w:r>
          </w:p>
        </w:tc>
      </w:tr>
      <w:tr>
        <w:trPr>
          <w:trHeight w:val="310" w:hRule="exact"/>
        </w:trPr>
        <w:tc>
          <w:tcPr>
            <w:tcW w:w="5210" w:type="dxa"/>
            <w:gridSpan w:val="6"/>
            <w:vMerge/>
            <w:tcBorders>
              <w:left w:val="nil"/>
            </w:tcBorders>
          </w:tcPr>
          <w:p>
            <w:pPr/>
          </w:p>
        </w:tc>
        <w:tc>
          <w:tcPr>
            <w:tcW w:w="2100" w:type="dxa"/>
            <w:gridSpan w:val="2"/>
          </w:tcPr>
          <w:p>
            <w:pPr>
              <w:pStyle w:val="TableParagraph"/>
              <w:spacing w:before="13"/>
              <w:ind w:left="64" w:right="0"/>
              <w:jc w:val="left"/>
              <w:rPr>
                <w:sz w:val="22"/>
              </w:rPr>
            </w:pPr>
            <w:r>
              <w:rPr>
                <w:sz w:val="22"/>
              </w:rPr>
              <w:t>Desviación estándar</w:t>
            </w:r>
          </w:p>
        </w:tc>
        <w:tc>
          <w:tcPr>
            <w:tcW w:w="1622" w:type="dxa"/>
          </w:tcPr>
          <w:p>
            <w:pPr>
              <w:pStyle w:val="TableParagraph"/>
              <w:ind w:right="63"/>
              <w:rPr>
                <w:b/>
                <w:sz w:val="22"/>
              </w:rPr>
            </w:pPr>
            <w:r>
              <w:rPr>
                <w:b/>
                <w:sz w:val="22"/>
              </w:rPr>
              <w:t>1,023</w:t>
            </w:r>
          </w:p>
        </w:tc>
      </w:tr>
      <w:tr>
        <w:trPr>
          <w:trHeight w:val="310" w:hRule="exact"/>
        </w:trPr>
        <w:tc>
          <w:tcPr>
            <w:tcW w:w="5210" w:type="dxa"/>
            <w:gridSpan w:val="6"/>
            <w:vMerge/>
            <w:tcBorders>
              <w:left w:val="nil"/>
            </w:tcBorders>
          </w:tcPr>
          <w:p>
            <w:pPr/>
          </w:p>
        </w:tc>
        <w:tc>
          <w:tcPr>
            <w:tcW w:w="2100" w:type="dxa"/>
            <w:gridSpan w:val="2"/>
            <w:vMerge w:val="restart"/>
          </w:tcPr>
          <w:p>
            <w:pPr>
              <w:pStyle w:val="TableParagraph"/>
              <w:spacing w:before="33"/>
              <w:ind w:left="64" w:right="465"/>
              <w:jc w:val="left"/>
              <w:rPr>
                <w:sz w:val="22"/>
              </w:rPr>
            </w:pPr>
            <w:r>
              <w:rPr>
                <w:sz w:val="22"/>
              </w:rPr>
              <w:t>Intervalo de confianza al 95 %</w:t>
            </w:r>
          </w:p>
        </w:tc>
        <w:tc>
          <w:tcPr>
            <w:tcW w:w="1622" w:type="dxa"/>
          </w:tcPr>
          <w:p>
            <w:pPr>
              <w:pStyle w:val="TableParagraph"/>
              <w:ind w:right="63"/>
              <w:rPr>
                <w:sz w:val="22"/>
              </w:rPr>
            </w:pPr>
            <w:r>
              <w:rPr>
                <w:sz w:val="22"/>
              </w:rPr>
              <w:t>117,42</w:t>
            </w:r>
          </w:p>
        </w:tc>
      </w:tr>
      <w:tr>
        <w:trPr>
          <w:trHeight w:val="310" w:hRule="exact"/>
        </w:trPr>
        <w:tc>
          <w:tcPr>
            <w:tcW w:w="5210" w:type="dxa"/>
            <w:gridSpan w:val="6"/>
            <w:vMerge/>
            <w:tcBorders>
              <w:left w:val="nil"/>
              <w:bottom w:val="nil"/>
            </w:tcBorders>
          </w:tcPr>
          <w:p>
            <w:pPr/>
          </w:p>
        </w:tc>
        <w:tc>
          <w:tcPr>
            <w:tcW w:w="2100" w:type="dxa"/>
            <w:gridSpan w:val="2"/>
            <w:vMerge/>
          </w:tcPr>
          <w:p>
            <w:pPr/>
          </w:p>
        </w:tc>
        <w:tc>
          <w:tcPr>
            <w:tcW w:w="1622" w:type="dxa"/>
          </w:tcPr>
          <w:p>
            <w:pPr>
              <w:pStyle w:val="TableParagraph"/>
              <w:ind w:right="63"/>
              <w:rPr>
                <w:sz w:val="22"/>
              </w:rPr>
            </w:pPr>
            <w:r>
              <w:rPr>
                <w:sz w:val="22"/>
              </w:rPr>
              <w:t>121,43</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970"/>
        <w:gridCol w:w="977"/>
        <w:gridCol w:w="1291"/>
        <w:gridCol w:w="864"/>
        <w:gridCol w:w="1310"/>
        <w:gridCol w:w="1452"/>
      </w:tblGrid>
      <w:tr>
        <w:trPr>
          <w:trHeight w:val="310" w:hRule="exact"/>
        </w:trPr>
        <w:tc>
          <w:tcPr>
            <w:tcW w:w="8870" w:type="dxa"/>
            <w:gridSpan w:val="9"/>
          </w:tcPr>
          <w:p>
            <w:pPr>
              <w:pStyle w:val="TableParagraph"/>
              <w:ind w:left="3328" w:right="3328"/>
              <w:jc w:val="center"/>
              <w:rPr>
                <w:sz w:val="22"/>
              </w:rPr>
            </w:pPr>
            <w:r>
              <w:rPr>
                <w:sz w:val="22"/>
              </w:rPr>
              <w:t>Eficiencia Percolador</w:t>
            </w:r>
          </w:p>
        </w:tc>
      </w:tr>
      <w:tr>
        <w:trPr>
          <w:trHeight w:val="310"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970" w:type="dxa"/>
          </w:tcPr>
          <w:p>
            <w:pPr>
              <w:pStyle w:val="TableParagraph"/>
              <w:spacing w:before="43"/>
              <w:ind w:left="89" w:right="10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77" w:type="dxa"/>
          </w:tcPr>
          <w:p>
            <w:pPr>
              <w:pStyle w:val="TableParagraph"/>
              <w:spacing w:line="214" w:lineRule="exact" w:before="6"/>
              <w:ind w:left="40" w:right="45"/>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91" w:type="dxa"/>
          </w:tcPr>
          <w:p>
            <w:pPr>
              <w:pStyle w:val="TableParagraph"/>
              <w:spacing w:before="19"/>
              <w:ind w:left="523" w:right="531"/>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64" w:type="dxa"/>
          </w:tcPr>
          <w:p>
            <w:pPr>
              <w:pStyle w:val="TableParagraph"/>
              <w:spacing w:before="43"/>
              <w:ind w:left="33" w:right="44"/>
              <w:jc w:val="center"/>
              <w:rPr>
                <w:rFonts w:ascii="Cambria Math"/>
                <w:sz w:val="16"/>
              </w:rPr>
            </w:pPr>
            <w:r>
              <w:rPr>
                <w:rFonts w:ascii="Cambria Math"/>
                <w:w w:val="110"/>
                <w:sz w:val="22"/>
              </w:rPr>
              <w:t>s</w:t>
            </w:r>
            <w:r>
              <w:rPr>
                <w:rFonts w:ascii="Cambria Math"/>
                <w:w w:val="110"/>
                <w:position w:val="-4"/>
                <w:sz w:val="16"/>
              </w:rPr>
              <w:t>h</w:t>
            </w:r>
          </w:p>
        </w:tc>
        <w:tc>
          <w:tcPr>
            <w:tcW w:w="1310" w:type="dxa"/>
          </w:tcPr>
          <w:p>
            <w:pPr>
              <w:pStyle w:val="TableParagraph"/>
              <w:spacing w:before="0"/>
              <w:ind w:left="31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52" w:type="dxa"/>
          </w:tcPr>
          <w:p>
            <w:pPr>
              <w:pStyle w:val="TableParagraph"/>
              <w:spacing w:before="0"/>
              <w:ind w:left="37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spacing w:before="13"/>
              <w:ind w:left="1" w:right="0"/>
              <w:jc w:val="center"/>
              <w:rPr>
                <w:sz w:val="22"/>
              </w:rPr>
            </w:pPr>
            <w:r>
              <w:rPr>
                <w:w w:val="100"/>
                <w:sz w:val="22"/>
              </w:rPr>
              <w:t>1</w:t>
            </w:r>
          </w:p>
        </w:tc>
        <w:tc>
          <w:tcPr>
            <w:tcW w:w="754" w:type="dxa"/>
          </w:tcPr>
          <w:p>
            <w:pPr>
              <w:pStyle w:val="TableParagraph"/>
              <w:spacing w:before="30"/>
              <w:ind w:left="45" w:right="45"/>
              <w:jc w:val="center"/>
              <w:rPr>
                <w:sz w:val="22"/>
              </w:rPr>
            </w:pPr>
            <w:r>
              <w:rPr>
                <w:sz w:val="22"/>
              </w:rPr>
              <w:t>108,60</w:t>
            </w:r>
          </w:p>
        </w:tc>
        <w:tc>
          <w:tcPr>
            <w:tcW w:w="475" w:type="dxa"/>
          </w:tcPr>
          <w:p>
            <w:pPr>
              <w:pStyle w:val="TableParagraph"/>
              <w:spacing w:before="30"/>
              <w:rPr>
                <w:sz w:val="22"/>
              </w:rPr>
            </w:pPr>
            <w:r>
              <w:rPr>
                <w:sz w:val="22"/>
              </w:rPr>
              <w:t>108</w:t>
            </w:r>
          </w:p>
        </w:tc>
        <w:tc>
          <w:tcPr>
            <w:tcW w:w="970" w:type="dxa"/>
          </w:tcPr>
          <w:p>
            <w:pPr>
              <w:pStyle w:val="TableParagraph"/>
              <w:spacing w:before="30"/>
              <w:rPr>
                <w:sz w:val="22"/>
              </w:rPr>
            </w:pPr>
            <w:r>
              <w:rPr>
                <w:sz w:val="22"/>
              </w:rPr>
              <w:t>18,470</w:t>
            </w:r>
          </w:p>
        </w:tc>
        <w:tc>
          <w:tcPr>
            <w:tcW w:w="977" w:type="dxa"/>
          </w:tcPr>
          <w:p>
            <w:pPr>
              <w:pStyle w:val="TableParagraph"/>
              <w:spacing w:before="30"/>
              <w:ind w:right="63"/>
              <w:rPr>
                <w:sz w:val="22"/>
              </w:rPr>
            </w:pPr>
            <w:r>
              <w:rPr>
                <w:sz w:val="22"/>
              </w:rPr>
              <w:t>398,685</w:t>
            </w:r>
          </w:p>
        </w:tc>
        <w:tc>
          <w:tcPr>
            <w:tcW w:w="1291" w:type="dxa"/>
          </w:tcPr>
          <w:p>
            <w:pPr>
              <w:pStyle w:val="TableParagraph"/>
              <w:spacing w:before="30"/>
              <w:rPr>
                <w:sz w:val="22"/>
              </w:rPr>
            </w:pPr>
            <w:r>
              <w:rPr>
                <w:sz w:val="22"/>
              </w:rPr>
              <w:t>2005,790</w:t>
            </w:r>
          </w:p>
        </w:tc>
        <w:tc>
          <w:tcPr>
            <w:tcW w:w="864" w:type="dxa"/>
          </w:tcPr>
          <w:p>
            <w:pPr>
              <w:pStyle w:val="TableParagraph"/>
              <w:spacing w:before="30"/>
              <w:rPr>
                <w:sz w:val="22"/>
              </w:rPr>
            </w:pPr>
            <w:r>
              <w:rPr>
                <w:sz w:val="22"/>
              </w:rPr>
              <w:t>19,967</w:t>
            </w:r>
          </w:p>
        </w:tc>
        <w:tc>
          <w:tcPr>
            <w:tcW w:w="1310" w:type="dxa"/>
          </w:tcPr>
          <w:p>
            <w:pPr>
              <w:pStyle w:val="TableParagraph"/>
              <w:spacing w:before="30"/>
              <w:rPr>
                <w:sz w:val="22"/>
              </w:rPr>
            </w:pPr>
            <w:r>
              <w:rPr>
                <w:sz w:val="22"/>
              </w:rPr>
              <w:t>-14555,919</w:t>
            </w:r>
          </w:p>
        </w:tc>
        <w:tc>
          <w:tcPr>
            <w:tcW w:w="1452" w:type="dxa"/>
          </w:tcPr>
          <w:p>
            <w:pPr>
              <w:pStyle w:val="TableParagraph"/>
              <w:spacing w:before="30"/>
              <w:rPr>
                <w:sz w:val="22"/>
              </w:rPr>
            </w:pPr>
            <w:r>
              <w:rPr>
                <w:sz w:val="22"/>
              </w:rPr>
              <w:t>-0,030120182</w:t>
            </w:r>
          </w:p>
        </w:tc>
      </w:tr>
      <w:tr>
        <w:trPr>
          <w:trHeight w:val="312" w:hRule="exact"/>
        </w:trPr>
        <w:tc>
          <w:tcPr>
            <w:tcW w:w="778" w:type="dxa"/>
          </w:tcPr>
          <w:p>
            <w:pPr>
              <w:pStyle w:val="TableParagraph"/>
              <w:spacing w:before="13"/>
              <w:ind w:left="1" w:right="0"/>
              <w:jc w:val="center"/>
              <w:rPr>
                <w:sz w:val="22"/>
              </w:rPr>
            </w:pPr>
            <w:r>
              <w:rPr>
                <w:w w:val="100"/>
                <w:sz w:val="22"/>
              </w:rPr>
              <w:t>2</w:t>
            </w:r>
          </w:p>
        </w:tc>
        <w:tc>
          <w:tcPr>
            <w:tcW w:w="754" w:type="dxa"/>
          </w:tcPr>
          <w:p>
            <w:pPr>
              <w:pStyle w:val="TableParagraph"/>
              <w:spacing w:before="30"/>
              <w:ind w:left="45" w:right="45"/>
              <w:jc w:val="center"/>
              <w:rPr>
                <w:sz w:val="22"/>
              </w:rPr>
            </w:pPr>
            <w:r>
              <w:rPr>
                <w:sz w:val="22"/>
              </w:rPr>
              <w:t>121,03</w:t>
            </w:r>
          </w:p>
        </w:tc>
        <w:tc>
          <w:tcPr>
            <w:tcW w:w="475" w:type="dxa"/>
          </w:tcPr>
          <w:p>
            <w:pPr>
              <w:pStyle w:val="TableParagraph"/>
              <w:spacing w:before="30"/>
              <w:rPr>
                <w:sz w:val="22"/>
              </w:rPr>
            </w:pPr>
            <w:r>
              <w:rPr>
                <w:sz w:val="22"/>
              </w:rPr>
              <w:t>81</w:t>
            </w:r>
          </w:p>
        </w:tc>
        <w:tc>
          <w:tcPr>
            <w:tcW w:w="970" w:type="dxa"/>
          </w:tcPr>
          <w:p>
            <w:pPr>
              <w:pStyle w:val="TableParagraph"/>
              <w:spacing w:before="30"/>
              <w:rPr>
                <w:sz w:val="22"/>
              </w:rPr>
            </w:pPr>
            <w:r>
              <w:rPr>
                <w:sz w:val="22"/>
              </w:rPr>
              <w:t>17,692</w:t>
            </w:r>
          </w:p>
        </w:tc>
        <w:tc>
          <w:tcPr>
            <w:tcW w:w="977" w:type="dxa"/>
          </w:tcPr>
          <w:p>
            <w:pPr>
              <w:pStyle w:val="TableParagraph"/>
              <w:spacing w:before="30"/>
              <w:ind w:right="63"/>
              <w:rPr>
                <w:sz w:val="22"/>
              </w:rPr>
            </w:pPr>
            <w:r>
              <w:rPr>
                <w:sz w:val="22"/>
              </w:rPr>
              <w:t>338,647</w:t>
            </w:r>
          </w:p>
        </w:tc>
        <w:tc>
          <w:tcPr>
            <w:tcW w:w="1291" w:type="dxa"/>
          </w:tcPr>
          <w:p>
            <w:pPr>
              <w:pStyle w:val="TableParagraph"/>
              <w:spacing w:before="30"/>
              <w:rPr>
                <w:sz w:val="22"/>
              </w:rPr>
            </w:pPr>
            <w:r>
              <w:rPr>
                <w:sz w:val="22"/>
              </w:rPr>
              <w:t>2141,233</w:t>
            </w:r>
          </w:p>
        </w:tc>
        <w:tc>
          <w:tcPr>
            <w:tcW w:w="864" w:type="dxa"/>
          </w:tcPr>
          <w:p>
            <w:pPr>
              <w:pStyle w:val="TableParagraph"/>
              <w:spacing w:before="30"/>
              <w:rPr>
                <w:sz w:val="22"/>
              </w:rPr>
            </w:pPr>
            <w:r>
              <w:rPr>
                <w:sz w:val="22"/>
              </w:rPr>
              <w:t>18,402</w:t>
            </w:r>
          </w:p>
        </w:tc>
        <w:tc>
          <w:tcPr>
            <w:tcW w:w="1310" w:type="dxa"/>
          </w:tcPr>
          <w:p>
            <w:pPr>
              <w:pStyle w:val="TableParagraph"/>
              <w:spacing w:before="30"/>
              <w:rPr>
                <w:sz w:val="22"/>
              </w:rPr>
            </w:pPr>
            <w:r>
              <w:rPr>
                <w:sz w:val="22"/>
              </w:rPr>
              <w:t>20285,665</w:t>
            </w:r>
          </w:p>
        </w:tc>
        <w:tc>
          <w:tcPr>
            <w:tcW w:w="1452" w:type="dxa"/>
          </w:tcPr>
          <w:p>
            <w:pPr>
              <w:pStyle w:val="TableParagraph"/>
              <w:spacing w:before="30"/>
              <w:rPr>
                <w:sz w:val="22"/>
              </w:rPr>
            </w:pPr>
            <w:r>
              <w:rPr>
                <w:sz w:val="22"/>
              </w:rPr>
              <w:t>0,041976595</w:t>
            </w:r>
          </w:p>
        </w:tc>
      </w:tr>
      <w:tr>
        <w:trPr>
          <w:trHeight w:val="310" w:hRule="exact"/>
        </w:trPr>
        <w:tc>
          <w:tcPr>
            <w:tcW w:w="778" w:type="dxa"/>
          </w:tcPr>
          <w:p>
            <w:pPr>
              <w:pStyle w:val="TableParagraph"/>
              <w:spacing w:before="11"/>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970" w:type="dxa"/>
          </w:tcPr>
          <w:p>
            <w:pPr>
              <w:pStyle w:val="TableParagraph"/>
              <w:rPr>
                <w:sz w:val="22"/>
              </w:rPr>
            </w:pPr>
            <w:r>
              <w:rPr>
                <w:sz w:val="22"/>
              </w:rPr>
              <w:t>28,431</w:t>
            </w:r>
          </w:p>
        </w:tc>
        <w:tc>
          <w:tcPr>
            <w:tcW w:w="977" w:type="dxa"/>
          </w:tcPr>
          <w:p>
            <w:pPr>
              <w:pStyle w:val="TableParagraph"/>
              <w:ind w:right="63"/>
              <w:rPr>
                <w:sz w:val="22"/>
              </w:rPr>
            </w:pPr>
            <w:r>
              <w:rPr>
                <w:sz w:val="22"/>
              </w:rPr>
              <w:t>170,585</w:t>
            </w:r>
          </w:p>
        </w:tc>
        <w:tc>
          <w:tcPr>
            <w:tcW w:w="1291" w:type="dxa"/>
          </w:tcPr>
          <w:p>
            <w:pPr>
              <w:pStyle w:val="TableParagraph"/>
              <w:rPr>
                <w:sz w:val="22"/>
              </w:rPr>
            </w:pPr>
            <w:r>
              <w:rPr>
                <w:sz w:val="22"/>
              </w:rPr>
              <w:t>3702,005</w:t>
            </w:r>
          </w:p>
        </w:tc>
        <w:tc>
          <w:tcPr>
            <w:tcW w:w="864" w:type="dxa"/>
          </w:tcPr>
          <w:p>
            <w:pPr>
              <w:pStyle w:val="TableParagraph"/>
              <w:rPr>
                <w:sz w:val="22"/>
              </w:rPr>
            </w:pPr>
            <w:r>
              <w:rPr>
                <w:sz w:val="22"/>
              </w:rPr>
              <w:t>13,061</w:t>
            </w:r>
          </w:p>
        </w:tc>
        <w:tc>
          <w:tcPr>
            <w:tcW w:w="1310" w:type="dxa"/>
          </w:tcPr>
          <w:p>
            <w:pPr>
              <w:pStyle w:val="TableParagraph"/>
              <w:rPr>
                <w:sz w:val="22"/>
              </w:rPr>
            </w:pPr>
            <w:r>
              <w:rPr>
                <w:sz w:val="22"/>
              </w:rPr>
              <w:t>15574,984</w:t>
            </w:r>
          </w:p>
        </w:tc>
        <w:tc>
          <w:tcPr>
            <w:tcW w:w="1452" w:type="dxa"/>
          </w:tcPr>
          <w:p>
            <w:pPr>
              <w:pStyle w:val="TableParagraph"/>
              <w:rPr>
                <w:sz w:val="22"/>
              </w:rPr>
            </w:pPr>
            <w:r>
              <w:rPr>
                <w:sz w:val="22"/>
              </w:rPr>
              <w:t>0,032228907</w:t>
            </w:r>
          </w:p>
        </w:tc>
      </w:tr>
      <w:tr>
        <w:trPr>
          <w:trHeight w:val="310" w:hRule="exact"/>
        </w:trPr>
        <w:tc>
          <w:tcPr>
            <w:tcW w:w="778" w:type="dxa"/>
          </w:tcPr>
          <w:p>
            <w:pPr>
              <w:pStyle w:val="TableParagraph"/>
              <w:spacing w:before="13"/>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970" w:type="dxa"/>
          </w:tcPr>
          <w:p>
            <w:pPr>
              <w:pStyle w:val="TableParagraph"/>
              <w:rPr>
                <w:sz w:val="22"/>
              </w:rPr>
            </w:pPr>
            <w:r>
              <w:rPr>
                <w:sz w:val="22"/>
              </w:rPr>
              <w:t>26,756</w:t>
            </w:r>
          </w:p>
        </w:tc>
        <w:tc>
          <w:tcPr>
            <w:tcW w:w="977" w:type="dxa"/>
          </w:tcPr>
          <w:p>
            <w:pPr>
              <w:pStyle w:val="TableParagraph"/>
              <w:ind w:right="63"/>
              <w:rPr>
                <w:sz w:val="22"/>
              </w:rPr>
            </w:pPr>
            <w:r>
              <w:rPr>
                <w:sz w:val="22"/>
              </w:rPr>
              <w:t>142,518</w:t>
            </w:r>
          </w:p>
        </w:tc>
        <w:tc>
          <w:tcPr>
            <w:tcW w:w="1291" w:type="dxa"/>
          </w:tcPr>
          <w:p>
            <w:pPr>
              <w:pStyle w:val="TableParagraph"/>
              <w:rPr>
                <w:sz w:val="22"/>
              </w:rPr>
            </w:pPr>
            <w:r>
              <w:rPr>
                <w:sz w:val="22"/>
              </w:rPr>
              <w:t>4150,325</w:t>
            </w:r>
          </w:p>
        </w:tc>
        <w:tc>
          <w:tcPr>
            <w:tcW w:w="864" w:type="dxa"/>
          </w:tcPr>
          <w:p>
            <w:pPr>
              <w:pStyle w:val="TableParagraph"/>
              <w:rPr>
                <w:sz w:val="22"/>
              </w:rPr>
            </w:pPr>
            <w:r>
              <w:rPr>
                <w:sz w:val="22"/>
              </w:rPr>
              <w:t>11,938</w:t>
            </w:r>
          </w:p>
        </w:tc>
        <w:tc>
          <w:tcPr>
            <w:tcW w:w="1310" w:type="dxa"/>
          </w:tcPr>
          <w:p>
            <w:pPr>
              <w:pStyle w:val="TableParagraph"/>
              <w:rPr>
                <w:sz w:val="22"/>
              </w:rPr>
            </w:pPr>
            <w:r>
              <w:rPr>
                <w:sz w:val="22"/>
              </w:rPr>
              <w:t>15244,701</w:t>
            </w:r>
          </w:p>
        </w:tc>
        <w:tc>
          <w:tcPr>
            <w:tcW w:w="1452" w:type="dxa"/>
          </w:tcPr>
          <w:p>
            <w:pPr>
              <w:pStyle w:val="TableParagraph"/>
              <w:rPr>
                <w:sz w:val="22"/>
              </w:rPr>
            </w:pPr>
            <w:r>
              <w:rPr>
                <w:sz w:val="22"/>
              </w:rPr>
              <w:t>0,03154546</w:t>
            </w:r>
          </w:p>
        </w:tc>
      </w:tr>
      <w:tr>
        <w:trPr>
          <w:trHeight w:val="310" w:hRule="exact"/>
        </w:trPr>
        <w:tc>
          <w:tcPr>
            <w:tcW w:w="778" w:type="dxa"/>
          </w:tcPr>
          <w:p>
            <w:pPr>
              <w:pStyle w:val="TableParagraph"/>
              <w:spacing w:before="13"/>
              <w:ind w:left="1" w:right="0"/>
              <w:jc w:val="center"/>
              <w:rPr>
                <w:sz w:val="22"/>
              </w:rPr>
            </w:pPr>
            <w:r>
              <w:rPr>
                <w:w w:val="100"/>
                <w:sz w:val="22"/>
              </w:rPr>
              <w:t>5</w:t>
            </w:r>
          </w:p>
        </w:tc>
        <w:tc>
          <w:tcPr>
            <w:tcW w:w="754" w:type="dxa"/>
          </w:tcPr>
          <w:p>
            <w:pPr>
              <w:pStyle w:val="TableParagraph"/>
              <w:ind w:left="45" w:right="45"/>
              <w:jc w:val="center"/>
              <w:rPr>
                <w:sz w:val="22"/>
              </w:rPr>
            </w:pPr>
            <w:r>
              <w:rPr>
                <w:sz w:val="22"/>
              </w:rPr>
              <w:t>180,21</w:t>
            </w:r>
          </w:p>
        </w:tc>
        <w:tc>
          <w:tcPr>
            <w:tcW w:w="475" w:type="dxa"/>
          </w:tcPr>
          <w:p>
            <w:pPr>
              <w:pStyle w:val="TableParagraph"/>
              <w:rPr>
                <w:sz w:val="22"/>
              </w:rPr>
            </w:pPr>
            <w:r>
              <w:rPr>
                <w:sz w:val="22"/>
              </w:rPr>
              <w:t>132</w:t>
            </w:r>
          </w:p>
        </w:tc>
        <w:tc>
          <w:tcPr>
            <w:tcW w:w="970" w:type="dxa"/>
          </w:tcPr>
          <w:p>
            <w:pPr>
              <w:pStyle w:val="TableParagraph"/>
              <w:rPr>
                <w:sz w:val="22"/>
              </w:rPr>
            </w:pPr>
            <w:r>
              <w:rPr>
                <w:sz w:val="22"/>
              </w:rPr>
              <w:t>15,696</w:t>
            </w:r>
          </w:p>
        </w:tc>
        <w:tc>
          <w:tcPr>
            <w:tcW w:w="977" w:type="dxa"/>
          </w:tcPr>
          <w:p>
            <w:pPr>
              <w:pStyle w:val="TableParagraph"/>
              <w:ind w:right="63"/>
              <w:rPr>
                <w:sz w:val="22"/>
              </w:rPr>
            </w:pPr>
            <w:r>
              <w:rPr>
                <w:sz w:val="22"/>
              </w:rPr>
              <w:t>82,329</w:t>
            </w:r>
          </w:p>
        </w:tc>
        <w:tc>
          <w:tcPr>
            <w:tcW w:w="1291" w:type="dxa"/>
          </w:tcPr>
          <w:p>
            <w:pPr>
              <w:pStyle w:val="TableParagraph"/>
              <w:rPr>
                <w:sz w:val="22"/>
              </w:rPr>
            </w:pPr>
            <w:r>
              <w:rPr>
                <w:sz w:val="22"/>
              </w:rPr>
              <w:t>2828,580</w:t>
            </w:r>
          </w:p>
        </w:tc>
        <w:tc>
          <w:tcPr>
            <w:tcW w:w="864" w:type="dxa"/>
          </w:tcPr>
          <w:p>
            <w:pPr>
              <w:pStyle w:val="TableParagraph"/>
              <w:rPr>
                <w:sz w:val="22"/>
              </w:rPr>
            </w:pPr>
            <w:r>
              <w:rPr>
                <w:sz w:val="22"/>
              </w:rPr>
              <w:t>9,074</w:t>
            </w:r>
          </w:p>
        </w:tc>
        <w:tc>
          <w:tcPr>
            <w:tcW w:w="1310" w:type="dxa"/>
          </w:tcPr>
          <w:p>
            <w:pPr>
              <w:pStyle w:val="TableParagraph"/>
              <w:rPr>
                <w:sz w:val="22"/>
              </w:rPr>
            </w:pPr>
            <w:r>
              <w:rPr>
                <w:sz w:val="22"/>
              </w:rPr>
              <w:t>5412,589</w:t>
            </w:r>
          </w:p>
        </w:tc>
        <w:tc>
          <w:tcPr>
            <w:tcW w:w="1452" w:type="dxa"/>
          </w:tcPr>
          <w:p>
            <w:pPr>
              <w:pStyle w:val="TableParagraph"/>
              <w:rPr>
                <w:sz w:val="22"/>
              </w:rPr>
            </w:pPr>
            <w:r>
              <w:rPr>
                <w:sz w:val="22"/>
              </w:rPr>
              <w:t>0,011200128</w:t>
            </w:r>
          </w:p>
        </w:tc>
      </w:tr>
      <w:tr>
        <w:trPr>
          <w:trHeight w:val="310" w:hRule="exact"/>
        </w:trPr>
        <w:tc>
          <w:tcPr>
            <w:tcW w:w="778" w:type="dxa"/>
          </w:tcPr>
          <w:p>
            <w:pPr>
              <w:pStyle w:val="TableParagraph"/>
              <w:spacing w:before="13"/>
              <w:ind w:right="1"/>
              <w:jc w:val="center"/>
              <w:rPr>
                <w:sz w:val="22"/>
              </w:rPr>
            </w:pPr>
            <w:r>
              <w:rPr>
                <w:w w:val="100"/>
                <w:sz w:val="22"/>
              </w:rPr>
              <w:t>N</w:t>
            </w:r>
          </w:p>
        </w:tc>
        <w:tc>
          <w:tcPr>
            <w:tcW w:w="754" w:type="dxa"/>
          </w:tcPr>
          <w:p>
            <w:pPr>
              <w:pStyle w:val="TableParagraph"/>
              <w:ind w:left="45" w:right="45"/>
              <w:jc w:val="center"/>
              <w:rPr>
                <w:sz w:val="22"/>
              </w:rPr>
            </w:pPr>
            <w:r>
              <w:rPr>
                <w:sz w:val="22"/>
              </w:rPr>
              <w:t>695,17</w:t>
            </w:r>
          </w:p>
        </w:tc>
        <w:tc>
          <w:tcPr>
            <w:tcW w:w="475" w:type="dxa"/>
          </w:tcPr>
          <w:p>
            <w:pPr/>
          </w:p>
        </w:tc>
        <w:tc>
          <w:tcPr>
            <w:tcW w:w="970" w:type="dxa"/>
          </w:tcPr>
          <w:p>
            <w:pPr/>
          </w:p>
        </w:tc>
        <w:tc>
          <w:tcPr>
            <w:tcW w:w="977" w:type="dxa"/>
          </w:tcPr>
          <w:p>
            <w:pPr>
              <w:pStyle w:val="TableParagraph"/>
              <w:spacing w:before="18"/>
              <w:ind w:left="316"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91" w:type="dxa"/>
          </w:tcPr>
          <w:p>
            <w:pPr>
              <w:pStyle w:val="TableParagraph"/>
              <w:rPr>
                <w:sz w:val="22"/>
              </w:rPr>
            </w:pPr>
            <w:r>
              <w:rPr>
                <w:sz w:val="22"/>
              </w:rPr>
              <w:t>14827,933</w:t>
            </w:r>
          </w:p>
        </w:tc>
        <w:tc>
          <w:tcPr>
            <w:tcW w:w="864" w:type="dxa"/>
          </w:tcPr>
          <w:p>
            <w:pPr/>
          </w:p>
        </w:tc>
        <w:tc>
          <w:tcPr>
            <w:tcW w:w="1310" w:type="dxa"/>
          </w:tcPr>
          <w:p>
            <w:pPr>
              <w:pStyle w:val="TableParagraph"/>
              <w:rPr>
                <w:sz w:val="22"/>
              </w:rPr>
            </w:pPr>
            <w:r>
              <w:rPr>
                <w:sz w:val="22"/>
              </w:rPr>
              <w:t>41962,020</w:t>
            </w:r>
          </w:p>
        </w:tc>
        <w:tc>
          <w:tcPr>
            <w:tcW w:w="1452" w:type="dxa"/>
          </w:tcPr>
          <w:p>
            <w:pPr>
              <w:pStyle w:val="TableParagraph"/>
              <w:rPr>
                <w:sz w:val="22"/>
              </w:rPr>
            </w:pPr>
            <w:r>
              <w:rPr>
                <w:sz w:val="22"/>
              </w:rPr>
              <w:t>0,086830907</w:t>
            </w:r>
          </w:p>
        </w:tc>
      </w:tr>
      <w:tr>
        <w:trPr>
          <w:trHeight w:val="310" w:hRule="exact"/>
        </w:trPr>
        <w:tc>
          <w:tcPr>
            <w:tcW w:w="5244" w:type="dxa"/>
            <w:gridSpan w:val="6"/>
            <w:vMerge w:val="restart"/>
            <w:tcBorders>
              <w:left w:val="nil"/>
            </w:tcBorders>
          </w:tcPr>
          <w:p>
            <w:pPr/>
          </w:p>
        </w:tc>
        <w:tc>
          <w:tcPr>
            <w:tcW w:w="2174" w:type="dxa"/>
            <w:gridSpan w:val="2"/>
          </w:tcPr>
          <w:p>
            <w:pPr>
              <w:pStyle w:val="TableParagraph"/>
              <w:spacing w:before="13"/>
              <w:ind w:left="64" w:right="98"/>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52" w:type="dxa"/>
          </w:tcPr>
          <w:p>
            <w:pPr>
              <w:pStyle w:val="TableParagraph"/>
              <w:spacing w:before="30"/>
              <w:rPr>
                <w:b/>
                <w:sz w:val="22"/>
              </w:rPr>
            </w:pPr>
            <w:r>
              <w:rPr>
                <w:b/>
                <w:sz w:val="22"/>
              </w:rPr>
              <w:t>21,330</w:t>
            </w:r>
          </w:p>
        </w:tc>
      </w:tr>
      <w:tr>
        <w:trPr>
          <w:trHeight w:val="312" w:hRule="exact"/>
        </w:trPr>
        <w:tc>
          <w:tcPr>
            <w:tcW w:w="5244" w:type="dxa"/>
            <w:gridSpan w:val="6"/>
            <w:vMerge/>
            <w:tcBorders>
              <w:left w:val="nil"/>
            </w:tcBorders>
          </w:tcPr>
          <w:p>
            <w:pPr/>
          </w:p>
        </w:tc>
        <w:tc>
          <w:tcPr>
            <w:tcW w:w="2174" w:type="dxa"/>
            <w:gridSpan w:val="2"/>
          </w:tcPr>
          <w:p>
            <w:pPr>
              <w:pStyle w:val="TableParagraph"/>
              <w:spacing w:before="13"/>
              <w:ind w:left="64" w:right="98"/>
              <w:jc w:val="left"/>
              <w:rPr>
                <w:sz w:val="22"/>
              </w:rPr>
            </w:pPr>
            <w:r>
              <w:rPr>
                <w:sz w:val="22"/>
              </w:rPr>
              <w:t>Desviación estándar</w:t>
            </w:r>
          </w:p>
        </w:tc>
        <w:tc>
          <w:tcPr>
            <w:tcW w:w="1452" w:type="dxa"/>
          </w:tcPr>
          <w:p>
            <w:pPr>
              <w:pStyle w:val="TableParagraph"/>
              <w:spacing w:before="30"/>
              <w:rPr>
                <w:b/>
                <w:sz w:val="22"/>
              </w:rPr>
            </w:pPr>
            <w:r>
              <w:rPr>
                <w:b/>
                <w:sz w:val="22"/>
              </w:rPr>
              <w:t>0,295</w:t>
            </w:r>
          </w:p>
        </w:tc>
      </w:tr>
      <w:tr>
        <w:trPr>
          <w:trHeight w:val="310" w:hRule="exact"/>
        </w:trPr>
        <w:tc>
          <w:tcPr>
            <w:tcW w:w="5244" w:type="dxa"/>
            <w:gridSpan w:val="6"/>
            <w:vMerge/>
            <w:tcBorders>
              <w:left w:val="nil"/>
            </w:tcBorders>
          </w:tcPr>
          <w:p>
            <w:pPr/>
          </w:p>
        </w:tc>
        <w:tc>
          <w:tcPr>
            <w:tcW w:w="2174" w:type="dxa"/>
            <w:gridSpan w:val="2"/>
            <w:vMerge w:val="restart"/>
          </w:tcPr>
          <w:p>
            <w:pPr>
              <w:pStyle w:val="TableParagraph"/>
              <w:spacing w:before="33"/>
              <w:ind w:left="64" w:right="98"/>
              <w:jc w:val="left"/>
              <w:rPr>
                <w:sz w:val="22"/>
              </w:rPr>
            </w:pPr>
            <w:r>
              <w:rPr>
                <w:sz w:val="22"/>
              </w:rPr>
              <w:t>Intervalo de confianza al 95 %</w:t>
            </w:r>
          </w:p>
        </w:tc>
        <w:tc>
          <w:tcPr>
            <w:tcW w:w="1452" w:type="dxa"/>
          </w:tcPr>
          <w:p>
            <w:pPr>
              <w:pStyle w:val="TableParagraph"/>
              <w:rPr>
                <w:sz w:val="22"/>
              </w:rPr>
            </w:pPr>
            <w:r>
              <w:rPr>
                <w:sz w:val="22"/>
              </w:rPr>
              <w:t>20,75</w:t>
            </w:r>
          </w:p>
        </w:tc>
      </w:tr>
      <w:tr>
        <w:trPr>
          <w:trHeight w:val="310" w:hRule="exact"/>
        </w:trPr>
        <w:tc>
          <w:tcPr>
            <w:tcW w:w="5244" w:type="dxa"/>
            <w:gridSpan w:val="6"/>
            <w:vMerge/>
            <w:tcBorders>
              <w:left w:val="nil"/>
              <w:bottom w:val="nil"/>
            </w:tcBorders>
          </w:tcPr>
          <w:p>
            <w:pPr/>
          </w:p>
        </w:tc>
        <w:tc>
          <w:tcPr>
            <w:tcW w:w="2174" w:type="dxa"/>
            <w:gridSpan w:val="2"/>
            <w:vMerge/>
          </w:tcPr>
          <w:p>
            <w:pPr/>
          </w:p>
        </w:tc>
        <w:tc>
          <w:tcPr>
            <w:tcW w:w="1452" w:type="dxa"/>
          </w:tcPr>
          <w:p>
            <w:pPr>
              <w:pStyle w:val="TableParagraph"/>
              <w:rPr>
                <w:sz w:val="22"/>
              </w:rPr>
            </w:pPr>
            <w:r>
              <w:rPr>
                <w:sz w:val="22"/>
              </w:rPr>
              <w:t>21,91</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970"/>
        <w:gridCol w:w="977"/>
        <w:gridCol w:w="1291"/>
        <w:gridCol w:w="864"/>
        <w:gridCol w:w="1310"/>
        <w:gridCol w:w="1452"/>
      </w:tblGrid>
      <w:tr>
        <w:trPr>
          <w:trHeight w:val="310" w:hRule="exact"/>
        </w:trPr>
        <w:tc>
          <w:tcPr>
            <w:tcW w:w="8870" w:type="dxa"/>
            <w:gridSpan w:val="9"/>
          </w:tcPr>
          <w:p>
            <w:pPr>
              <w:pStyle w:val="TableParagraph"/>
              <w:ind w:left="3329" w:right="3328"/>
              <w:jc w:val="center"/>
              <w:rPr>
                <w:sz w:val="22"/>
              </w:rPr>
            </w:pPr>
            <w:r>
              <w:rPr>
                <w:sz w:val="22"/>
              </w:rPr>
              <w:t>Eficiencia filtro de arena</w:t>
            </w:r>
          </w:p>
        </w:tc>
      </w:tr>
      <w:tr>
        <w:trPr>
          <w:trHeight w:val="310"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970" w:type="dxa"/>
          </w:tcPr>
          <w:p>
            <w:pPr>
              <w:pStyle w:val="TableParagraph"/>
              <w:spacing w:before="43"/>
              <w:ind w:left="89" w:right="10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77" w:type="dxa"/>
          </w:tcPr>
          <w:p>
            <w:pPr>
              <w:pStyle w:val="TableParagraph"/>
              <w:spacing w:line="214" w:lineRule="exact" w:before="6"/>
              <w:ind w:left="40" w:right="45"/>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91" w:type="dxa"/>
          </w:tcPr>
          <w:p>
            <w:pPr>
              <w:pStyle w:val="TableParagraph"/>
              <w:spacing w:before="19"/>
              <w:ind w:left="523" w:right="531"/>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64" w:type="dxa"/>
          </w:tcPr>
          <w:p>
            <w:pPr>
              <w:pStyle w:val="TableParagraph"/>
              <w:spacing w:before="43"/>
              <w:ind w:left="33" w:right="44"/>
              <w:jc w:val="center"/>
              <w:rPr>
                <w:rFonts w:ascii="Cambria Math"/>
                <w:sz w:val="16"/>
              </w:rPr>
            </w:pPr>
            <w:r>
              <w:rPr>
                <w:rFonts w:ascii="Cambria Math"/>
                <w:w w:val="110"/>
                <w:sz w:val="22"/>
              </w:rPr>
              <w:t>s</w:t>
            </w:r>
            <w:r>
              <w:rPr>
                <w:rFonts w:ascii="Cambria Math"/>
                <w:w w:val="110"/>
                <w:position w:val="-4"/>
                <w:sz w:val="16"/>
              </w:rPr>
              <w:t>h</w:t>
            </w:r>
          </w:p>
        </w:tc>
        <w:tc>
          <w:tcPr>
            <w:tcW w:w="1310" w:type="dxa"/>
          </w:tcPr>
          <w:p>
            <w:pPr>
              <w:pStyle w:val="TableParagraph"/>
              <w:spacing w:before="0"/>
              <w:ind w:left="31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52" w:type="dxa"/>
          </w:tcPr>
          <w:p>
            <w:pPr>
              <w:pStyle w:val="TableParagraph"/>
              <w:spacing w:before="0"/>
              <w:ind w:left="37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778" w:type="dxa"/>
          </w:tcPr>
          <w:p>
            <w:pPr>
              <w:pStyle w:val="TableParagraph"/>
              <w:spacing w:before="30"/>
              <w:ind w:left="1" w:right="0"/>
              <w:jc w:val="center"/>
              <w:rPr>
                <w:sz w:val="22"/>
              </w:rPr>
            </w:pPr>
            <w:r>
              <w:rPr>
                <w:w w:val="100"/>
                <w:sz w:val="22"/>
              </w:rPr>
              <w:t>1</w:t>
            </w:r>
          </w:p>
        </w:tc>
        <w:tc>
          <w:tcPr>
            <w:tcW w:w="754" w:type="dxa"/>
          </w:tcPr>
          <w:p>
            <w:pPr>
              <w:pStyle w:val="TableParagraph"/>
              <w:spacing w:before="30"/>
              <w:ind w:left="45" w:right="45"/>
              <w:jc w:val="center"/>
              <w:rPr>
                <w:sz w:val="22"/>
              </w:rPr>
            </w:pPr>
            <w:r>
              <w:rPr>
                <w:sz w:val="22"/>
              </w:rPr>
              <w:t>108,60</w:t>
            </w:r>
          </w:p>
        </w:tc>
        <w:tc>
          <w:tcPr>
            <w:tcW w:w="475" w:type="dxa"/>
          </w:tcPr>
          <w:p>
            <w:pPr>
              <w:pStyle w:val="TableParagraph"/>
              <w:spacing w:before="30"/>
              <w:rPr>
                <w:sz w:val="22"/>
              </w:rPr>
            </w:pPr>
            <w:r>
              <w:rPr>
                <w:sz w:val="22"/>
              </w:rPr>
              <w:t>108</w:t>
            </w:r>
          </w:p>
        </w:tc>
        <w:tc>
          <w:tcPr>
            <w:tcW w:w="970" w:type="dxa"/>
          </w:tcPr>
          <w:p>
            <w:pPr>
              <w:pStyle w:val="TableParagraph"/>
              <w:spacing w:before="30"/>
              <w:rPr>
                <w:sz w:val="22"/>
              </w:rPr>
            </w:pPr>
            <w:r>
              <w:rPr>
                <w:sz w:val="22"/>
              </w:rPr>
              <w:t>-2,8059</w:t>
            </w:r>
          </w:p>
        </w:tc>
        <w:tc>
          <w:tcPr>
            <w:tcW w:w="977" w:type="dxa"/>
          </w:tcPr>
          <w:p>
            <w:pPr>
              <w:pStyle w:val="TableParagraph"/>
              <w:spacing w:before="30"/>
              <w:ind w:right="63"/>
              <w:rPr>
                <w:sz w:val="22"/>
              </w:rPr>
            </w:pPr>
            <w:r>
              <w:rPr>
                <w:sz w:val="22"/>
              </w:rPr>
              <w:t>999,6081</w:t>
            </w:r>
          </w:p>
        </w:tc>
        <w:tc>
          <w:tcPr>
            <w:tcW w:w="1291" w:type="dxa"/>
          </w:tcPr>
          <w:p>
            <w:pPr>
              <w:pStyle w:val="TableParagraph"/>
              <w:spacing w:before="30"/>
              <w:rPr>
                <w:sz w:val="22"/>
              </w:rPr>
            </w:pPr>
            <w:r>
              <w:rPr>
                <w:sz w:val="22"/>
              </w:rPr>
              <w:t>-304,7206</w:t>
            </w:r>
          </w:p>
        </w:tc>
        <w:tc>
          <w:tcPr>
            <w:tcW w:w="864" w:type="dxa"/>
          </w:tcPr>
          <w:p>
            <w:pPr>
              <w:pStyle w:val="TableParagraph"/>
              <w:spacing w:before="30"/>
              <w:ind w:left="45" w:right="44"/>
              <w:jc w:val="center"/>
              <w:rPr>
                <w:sz w:val="22"/>
              </w:rPr>
            </w:pPr>
            <w:r>
              <w:rPr>
                <w:sz w:val="22"/>
              </w:rPr>
              <w:t>31,6166</w:t>
            </w:r>
          </w:p>
        </w:tc>
        <w:tc>
          <w:tcPr>
            <w:tcW w:w="1310" w:type="dxa"/>
          </w:tcPr>
          <w:p>
            <w:pPr>
              <w:pStyle w:val="TableParagraph"/>
              <w:spacing w:before="30"/>
              <w:rPr>
                <w:sz w:val="22"/>
              </w:rPr>
            </w:pPr>
            <w:r>
              <w:rPr>
                <w:sz w:val="22"/>
              </w:rPr>
              <w:t>603,0969</w:t>
            </w:r>
          </w:p>
        </w:tc>
        <w:tc>
          <w:tcPr>
            <w:tcW w:w="1452" w:type="dxa"/>
          </w:tcPr>
          <w:p>
            <w:pPr>
              <w:pStyle w:val="TableParagraph"/>
              <w:spacing w:before="30"/>
              <w:rPr>
                <w:sz w:val="22"/>
              </w:rPr>
            </w:pPr>
            <w:r>
              <w:rPr>
                <w:sz w:val="22"/>
              </w:rPr>
              <w:t>0,001247973</w:t>
            </w:r>
          </w:p>
        </w:tc>
      </w:tr>
      <w:tr>
        <w:trPr>
          <w:trHeight w:val="310" w:hRule="exact"/>
        </w:trPr>
        <w:tc>
          <w:tcPr>
            <w:tcW w:w="778" w:type="dxa"/>
          </w:tcPr>
          <w:p>
            <w:pPr>
              <w:pStyle w:val="TableParagraph"/>
              <w:ind w:left="1" w:right="0"/>
              <w:jc w:val="center"/>
              <w:rPr>
                <w:sz w:val="22"/>
              </w:rPr>
            </w:pPr>
            <w:r>
              <w:rPr>
                <w:w w:val="100"/>
                <w:sz w:val="22"/>
              </w:rPr>
              <w:t>2</w:t>
            </w:r>
          </w:p>
        </w:tc>
        <w:tc>
          <w:tcPr>
            <w:tcW w:w="754" w:type="dxa"/>
          </w:tcPr>
          <w:p>
            <w:pPr>
              <w:pStyle w:val="TableParagraph"/>
              <w:ind w:left="45" w:right="45"/>
              <w:jc w:val="center"/>
              <w:rPr>
                <w:sz w:val="22"/>
              </w:rPr>
            </w:pPr>
            <w:r>
              <w:rPr>
                <w:sz w:val="22"/>
              </w:rPr>
              <w:t>121,03</w:t>
            </w:r>
          </w:p>
        </w:tc>
        <w:tc>
          <w:tcPr>
            <w:tcW w:w="475" w:type="dxa"/>
          </w:tcPr>
          <w:p>
            <w:pPr>
              <w:pStyle w:val="TableParagraph"/>
              <w:rPr>
                <w:sz w:val="22"/>
              </w:rPr>
            </w:pPr>
            <w:r>
              <w:rPr>
                <w:sz w:val="22"/>
              </w:rPr>
              <w:t>81</w:t>
            </w:r>
          </w:p>
        </w:tc>
        <w:tc>
          <w:tcPr>
            <w:tcW w:w="970" w:type="dxa"/>
          </w:tcPr>
          <w:p>
            <w:pPr>
              <w:pStyle w:val="TableParagraph"/>
              <w:rPr>
                <w:sz w:val="22"/>
              </w:rPr>
            </w:pPr>
            <w:r>
              <w:rPr>
                <w:sz w:val="22"/>
              </w:rPr>
              <w:t>11,4840</w:t>
            </w:r>
          </w:p>
        </w:tc>
        <w:tc>
          <w:tcPr>
            <w:tcW w:w="977" w:type="dxa"/>
          </w:tcPr>
          <w:p>
            <w:pPr>
              <w:pStyle w:val="TableParagraph"/>
              <w:ind w:right="63"/>
              <w:rPr>
                <w:sz w:val="22"/>
              </w:rPr>
            </w:pPr>
            <w:r>
              <w:rPr>
                <w:sz w:val="22"/>
              </w:rPr>
              <w:t>25,8630</w:t>
            </w:r>
          </w:p>
        </w:tc>
        <w:tc>
          <w:tcPr>
            <w:tcW w:w="1291" w:type="dxa"/>
          </w:tcPr>
          <w:p>
            <w:pPr>
              <w:pStyle w:val="TableParagraph"/>
              <w:rPr>
                <w:sz w:val="22"/>
              </w:rPr>
            </w:pPr>
            <w:r>
              <w:rPr>
                <w:sz w:val="22"/>
              </w:rPr>
              <w:t>1389,9061</w:t>
            </w:r>
          </w:p>
        </w:tc>
        <w:tc>
          <w:tcPr>
            <w:tcW w:w="864" w:type="dxa"/>
          </w:tcPr>
          <w:p>
            <w:pPr>
              <w:pStyle w:val="TableParagraph"/>
              <w:ind w:left="158" w:right="44"/>
              <w:jc w:val="center"/>
              <w:rPr>
                <w:sz w:val="22"/>
              </w:rPr>
            </w:pPr>
            <w:r>
              <w:rPr>
                <w:sz w:val="22"/>
              </w:rPr>
              <w:t>5,0856</w:t>
            </w:r>
          </w:p>
        </w:tc>
        <w:tc>
          <w:tcPr>
            <w:tcW w:w="1310" w:type="dxa"/>
          </w:tcPr>
          <w:p>
            <w:pPr>
              <w:pStyle w:val="TableParagraph"/>
              <w:rPr>
                <w:sz w:val="22"/>
              </w:rPr>
            </w:pPr>
            <w:r>
              <w:rPr>
                <w:sz w:val="22"/>
              </w:rPr>
              <w:t>1549,2502</w:t>
            </w:r>
          </w:p>
        </w:tc>
        <w:tc>
          <w:tcPr>
            <w:tcW w:w="1452" w:type="dxa"/>
          </w:tcPr>
          <w:p>
            <w:pPr>
              <w:pStyle w:val="TableParagraph"/>
              <w:rPr>
                <w:sz w:val="22"/>
              </w:rPr>
            </w:pPr>
            <w:r>
              <w:rPr>
                <w:sz w:val="22"/>
              </w:rPr>
              <w:t>0,003205823</w:t>
            </w:r>
          </w:p>
        </w:tc>
      </w:tr>
      <w:tr>
        <w:trPr>
          <w:trHeight w:val="310" w:hRule="exact"/>
        </w:trPr>
        <w:tc>
          <w:tcPr>
            <w:tcW w:w="778" w:type="dxa"/>
          </w:tcPr>
          <w:p>
            <w:pPr>
              <w:pStyle w:val="TableParagraph"/>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970" w:type="dxa"/>
          </w:tcPr>
          <w:p>
            <w:pPr>
              <w:pStyle w:val="TableParagraph"/>
              <w:rPr>
                <w:sz w:val="22"/>
              </w:rPr>
            </w:pPr>
            <w:r>
              <w:rPr>
                <w:sz w:val="22"/>
              </w:rPr>
              <w:t>11,8512</w:t>
            </w:r>
          </w:p>
        </w:tc>
        <w:tc>
          <w:tcPr>
            <w:tcW w:w="977" w:type="dxa"/>
          </w:tcPr>
          <w:p>
            <w:pPr>
              <w:pStyle w:val="TableParagraph"/>
              <w:ind w:right="63"/>
              <w:rPr>
                <w:sz w:val="22"/>
              </w:rPr>
            </w:pPr>
            <w:r>
              <w:rPr>
                <w:sz w:val="22"/>
              </w:rPr>
              <w:t>188,6987</w:t>
            </w:r>
          </w:p>
        </w:tc>
        <w:tc>
          <w:tcPr>
            <w:tcW w:w="1291" w:type="dxa"/>
          </w:tcPr>
          <w:p>
            <w:pPr>
              <w:pStyle w:val="TableParagraph"/>
              <w:rPr>
                <w:sz w:val="22"/>
              </w:rPr>
            </w:pPr>
            <w:r>
              <w:rPr>
                <w:sz w:val="22"/>
              </w:rPr>
              <w:t>1543,1422</w:t>
            </w:r>
          </w:p>
        </w:tc>
        <w:tc>
          <w:tcPr>
            <w:tcW w:w="864" w:type="dxa"/>
          </w:tcPr>
          <w:p>
            <w:pPr>
              <w:pStyle w:val="TableParagraph"/>
              <w:ind w:left="45" w:right="44"/>
              <w:jc w:val="center"/>
              <w:rPr>
                <w:sz w:val="22"/>
              </w:rPr>
            </w:pPr>
            <w:r>
              <w:rPr>
                <w:sz w:val="22"/>
              </w:rPr>
              <w:t>13,7368</w:t>
            </w:r>
          </w:p>
        </w:tc>
        <w:tc>
          <w:tcPr>
            <w:tcW w:w="1310" w:type="dxa"/>
          </w:tcPr>
          <w:p>
            <w:pPr>
              <w:pStyle w:val="TableParagraph"/>
              <w:rPr>
                <w:sz w:val="22"/>
              </w:rPr>
            </w:pPr>
            <w:r>
              <w:rPr>
                <w:sz w:val="22"/>
              </w:rPr>
              <w:t>17228,8505</w:t>
            </w:r>
          </w:p>
        </w:tc>
        <w:tc>
          <w:tcPr>
            <w:tcW w:w="1452" w:type="dxa"/>
          </w:tcPr>
          <w:p>
            <w:pPr>
              <w:pStyle w:val="TableParagraph"/>
              <w:rPr>
                <w:sz w:val="22"/>
              </w:rPr>
            </w:pPr>
            <w:r>
              <w:rPr>
                <w:sz w:val="22"/>
              </w:rPr>
              <w:t>0,035651209</w:t>
            </w:r>
          </w:p>
        </w:tc>
      </w:tr>
      <w:tr>
        <w:trPr>
          <w:trHeight w:val="310" w:hRule="exact"/>
        </w:trPr>
        <w:tc>
          <w:tcPr>
            <w:tcW w:w="778" w:type="dxa"/>
          </w:tcPr>
          <w:p>
            <w:pPr>
              <w:pStyle w:val="TableParagraph"/>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970" w:type="dxa"/>
          </w:tcPr>
          <w:p>
            <w:pPr>
              <w:pStyle w:val="TableParagraph"/>
              <w:rPr>
                <w:sz w:val="22"/>
              </w:rPr>
            </w:pPr>
            <w:r>
              <w:rPr>
                <w:sz w:val="22"/>
              </w:rPr>
              <w:t>13,5116</w:t>
            </w:r>
          </w:p>
        </w:tc>
        <w:tc>
          <w:tcPr>
            <w:tcW w:w="977" w:type="dxa"/>
          </w:tcPr>
          <w:p>
            <w:pPr>
              <w:pStyle w:val="TableParagraph"/>
              <w:ind w:right="63"/>
              <w:rPr>
                <w:sz w:val="22"/>
              </w:rPr>
            </w:pPr>
            <w:r>
              <w:rPr>
                <w:sz w:val="22"/>
              </w:rPr>
              <w:t>79,0539</w:t>
            </w:r>
          </w:p>
        </w:tc>
        <w:tc>
          <w:tcPr>
            <w:tcW w:w="1291" w:type="dxa"/>
          </w:tcPr>
          <w:p>
            <w:pPr>
              <w:pStyle w:val="TableParagraph"/>
              <w:rPr>
                <w:sz w:val="22"/>
              </w:rPr>
            </w:pPr>
            <w:r>
              <w:rPr>
                <w:sz w:val="22"/>
              </w:rPr>
              <w:t>2095,9255</w:t>
            </w:r>
          </w:p>
        </w:tc>
        <w:tc>
          <w:tcPr>
            <w:tcW w:w="864" w:type="dxa"/>
          </w:tcPr>
          <w:p>
            <w:pPr>
              <w:pStyle w:val="TableParagraph"/>
              <w:ind w:left="158" w:right="44"/>
              <w:jc w:val="center"/>
              <w:rPr>
                <w:sz w:val="22"/>
              </w:rPr>
            </w:pPr>
            <w:r>
              <w:rPr>
                <w:sz w:val="22"/>
              </w:rPr>
              <w:t>8,8912</w:t>
            </w:r>
          </w:p>
        </w:tc>
        <w:tc>
          <w:tcPr>
            <w:tcW w:w="1310" w:type="dxa"/>
          </w:tcPr>
          <w:p>
            <w:pPr>
              <w:pStyle w:val="TableParagraph"/>
              <w:rPr>
                <w:sz w:val="22"/>
              </w:rPr>
            </w:pPr>
            <w:r>
              <w:rPr>
                <w:sz w:val="22"/>
              </w:rPr>
              <w:t>8456,1599</w:t>
            </w:r>
          </w:p>
        </w:tc>
        <w:tc>
          <w:tcPr>
            <w:tcW w:w="1452" w:type="dxa"/>
          </w:tcPr>
          <w:p>
            <w:pPr>
              <w:pStyle w:val="TableParagraph"/>
              <w:rPr>
                <w:sz w:val="22"/>
              </w:rPr>
            </w:pPr>
            <w:r>
              <w:rPr>
                <w:sz w:val="22"/>
              </w:rPr>
              <w:t>0,01749811</w:t>
            </w:r>
          </w:p>
        </w:tc>
      </w:tr>
      <w:tr>
        <w:trPr>
          <w:trHeight w:val="310" w:hRule="exact"/>
        </w:trPr>
        <w:tc>
          <w:tcPr>
            <w:tcW w:w="778" w:type="dxa"/>
          </w:tcPr>
          <w:p>
            <w:pPr>
              <w:pStyle w:val="TableParagraph"/>
              <w:ind w:left="1" w:right="0"/>
              <w:jc w:val="center"/>
              <w:rPr>
                <w:sz w:val="22"/>
              </w:rPr>
            </w:pPr>
            <w:r>
              <w:rPr>
                <w:w w:val="100"/>
                <w:sz w:val="22"/>
              </w:rPr>
              <w:t>5</w:t>
            </w:r>
          </w:p>
        </w:tc>
        <w:tc>
          <w:tcPr>
            <w:tcW w:w="754" w:type="dxa"/>
          </w:tcPr>
          <w:p>
            <w:pPr>
              <w:pStyle w:val="TableParagraph"/>
              <w:ind w:left="45" w:right="45"/>
              <w:jc w:val="center"/>
              <w:rPr>
                <w:sz w:val="22"/>
              </w:rPr>
            </w:pPr>
            <w:r>
              <w:rPr>
                <w:sz w:val="22"/>
              </w:rPr>
              <w:t>180,21</w:t>
            </w:r>
          </w:p>
        </w:tc>
        <w:tc>
          <w:tcPr>
            <w:tcW w:w="475" w:type="dxa"/>
          </w:tcPr>
          <w:p>
            <w:pPr>
              <w:pStyle w:val="TableParagraph"/>
              <w:rPr>
                <w:sz w:val="22"/>
              </w:rPr>
            </w:pPr>
            <w:r>
              <w:rPr>
                <w:sz w:val="22"/>
              </w:rPr>
              <w:t>132</w:t>
            </w:r>
          </w:p>
        </w:tc>
        <w:tc>
          <w:tcPr>
            <w:tcW w:w="970" w:type="dxa"/>
          </w:tcPr>
          <w:p>
            <w:pPr>
              <w:pStyle w:val="TableParagraph"/>
              <w:rPr>
                <w:sz w:val="22"/>
              </w:rPr>
            </w:pPr>
            <w:r>
              <w:rPr>
                <w:sz w:val="22"/>
              </w:rPr>
              <w:t>15,8942</w:t>
            </w:r>
          </w:p>
        </w:tc>
        <w:tc>
          <w:tcPr>
            <w:tcW w:w="977" w:type="dxa"/>
          </w:tcPr>
          <w:p>
            <w:pPr>
              <w:pStyle w:val="TableParagraph"/>
              <w:ind w:right="63"/>
              <w:rPr>
                <w:sz w:val="22"/>
              </w:rPr>
            </w:pPr>
            <w:r>
              <w:rPr>
                <w:sz w:val="22"/>
              </w:rPr>
              <w:t>39,1057</w:t>
            </w:r>
          </w:p>
        </w:tc>
        <w:tc>
          <w:tcPr>
            <w:tcW w:w="1291" w:type="dxa"/>
          </w:tcPr>
          <w:p>
            <w:pPr>
              <w:pStyle w:val="TableParagraph"/>
              <w:rPr>
                <w:sz w:val="22"/>
              </w:rPr>
            </w:pPr>
            <w:r>
              <w:rPr>
                <w:sz w:val="22"/>
              </w:rPr>
              <w:t>2864,3008</w:t>
            </w:r>
          </w:p>
        </w:tc>
        <w:tc>
          <w:tcPr>
            <w:tcW w:w="864" w:type="dxa"/>
          </w:tcPr>
          <w:p>
            <w:pPr>
              <w:pStyle w:val="TableParagraph"/>
              <w:ind w:left="158" w:right="44"/>
              <w:jc w:val="center"/>
              <w:rPr>
                <w:sz w:val="22"/>
              </w:rPr>
            </w:pPr>
            <w:r>
              <w:rPr>
                <w:sz w:val="22"/>
              </w:rPr>
              <w:t>6,2535</w:t>
            </w:r>
          </w:p>
        </w:tc>
        <w:tc>
          <w:tcPr>
            <w:tcW w:w="1310" w:type="dxa"/>
          </w:tcPr>
          <w:p>
            <w:pPr>
              <w:pStyle w:val="TableParagraph"/>
              <w:rPr>
                <w:sz w:val="22"/>
              </w:rPr>
            </w:pPr>
            <w:r>
              <w:rPr>
                <w:sz w:val="22"/>
              </w:rPr>
              <w:t>2570,9283</w:t>
            </w:r>
          </w:p>
        </w:tc>
        <w:tc>
          <w:tcPr>
            <w:tcW w:w="1452" w:type="dxa"/>
          </w:tcPr>
          <w:p>
            <w:pPr>
              <w:pStyle w:val="TableParagraph"/>
              <w:rPr>
                <w:sz w:val="22"/>
              </w:rPr>
            </w:pPr>
            <w:r>
              <w:rPr>
                <w:sz w:val="22"/>
              </w:rPr>
              <w:t>0,005319955</w:t>
            </w:r>
          </w:p>
        </w:tc>
      </w:tr>
      <w:tr>
        <w:trPr>
          <w:trHeight w:val="310" w:hRule="exact"/>
        </w:trPr>
        <w:tc>
          <w:tcPr>
            <w:tcW w:w="778" w:type="dxa"/>
          </w:tcPr>
          <w:p>
            <w:pPr>
              <w:pStyle w:val="TableParagraph"/>
              <w:spacing w:before="30"/>
              <w:ind w:right="1"/>
              <w:jc w:val="center"/>
              <w:rPr>
                <w:sz w:val="22"/>
              </w:rPr>
            </w:pPr>
            <w:r>
              <w:rPr>
                <w:w w:val="100"/>
                <w:sz w:val="22"/>
              </w:rPr>
              <w:t>N</w:t>
            </w:r>
          </w:p>
        </w:tc>
        <w:tc>
          <w:tcPr>
            <w:tcW w:w="754" w:type="dxa"/>
          </w:tcPr>
          <w:p>
            <w:pPr>
              <w:pStyle w:val="TableParagraph"/>
              <w:spacing w:before="30"/>
              <w:ind w:left="45" w:right="45"/>
              <w:jc w:val="center"/>
              <w:rPr>
                <w:sz w:val="22"/>
              </w:rPr>
            </w:pPr>
            <w:r>
              <w:rPr>
                <w:sz w:val="22"/>
              </w:rPr>
              <w:t>695,17</w:t>
            </w:r>
          </w:p>
        </w:tc>
        <w:tc>
          <w:tcPr>
            <w:tcW w:w="475" w:type="dxa"/>
          </w:tcPr>
          <w:p>
            <w:pPr/>
          </w:p>
        </w:tc>
        <w:tc>
          <w:tcPr>
            <w:tcW w:w="970" w:type="dxa"/>
          </w:tcPr>
          <w:p>
            <w:pPr/>
          </w:p>
        </w:tc>
        <w:tc>
          <w:tcPr>
            <w:tcW w:w="977" w:type="dxa"/>
          </w:tcPr>
          <w:p>
            <w:pPr>
              <w:pStyle w:val="TableParagraph"/>
              <w:spacing w:before="18"/>
              <w:ind w:left="316"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91" w:type="dxa"/>
          </w:tcPr>
          <w:p>
            <w:pPr>
              <w:pStyle w:val="TableParagraph"/>
              <w:spacing w:before="30"/>
              <w:rPr>
                <w:sz w:val="22"/>
              </w:rPr>
            </w:pPr>
            <w:r>
              <w:rPr>
                <w:sz w:val="22"/>
              </w:rPr>
              <w:t>7588,5541</w:t>
            </w:r>
          </w:p>
        </w:tc>
        <w:tc>
          <w:tcPr>
            <w:tcW w:w="864" w:type="dxa"/>
          </w:tcPr>
          <w:p>
            <w:pPr/>
          </w:p>
        </w:tc>
        <w:tc>
          <w:tcPr>
            <w:tcW w:w="1310" w:type="dxa"/>
          </w:tcPr>
          <w:p>
            <w:pPr>
              <w:pStyle w:val="TableParagraph"/>
              <w:spacing w:before="30"/>
              <w:rPr>
                <w:sz w:val="22"/>
              </w:rPr>
            </w:pPr>
            <w:r>
              <w:rPr>
                <w:sz w:val="22"/>
              </w:rPr>
              <w:t>30408,2859</w:t>
            </w:r>
          </w:p>
        </w:tc>
        <w:tc>
          <w:tcPr>
            <w:tcW w:w="1452" w:type="dxa"/>
          </w:tcPr>
          <w:p>
            <w:pPr>
              <w:pStyle w:val="TableParagraph"/>
              <w:spacing w:before="30"/>
              <w:rPr>
                <w:sz w:val="22"/>
              </w:rPr>
            </w:pPr>
            <w:r>
              <w:rPr>
                <w:sz w:val="22"/>
              </w:rPr>
              <w:t>0,062923069</w:t>
            </w:r>
          </w:p>
        </w:tc>
      </w:tr>
      <w:tr>
        <w:trPr>
          <w:trHeight w:val="312" w:hRule="exact"/>
        </w:trPr>
        <w:tc>
          <w:tcPr>
            <w:tcW w:w="5244" w:type="dxa"/>
            <w:gridSpan w:val="6"/>
            <w:vMerge w:val="restart"/>
            <w:tcBorders>
              <w:left w:val="nil"/>
            </w:tcBorders>
          </w:tcPr>
          <w:p>
            <w:pPr/>
          </w:p>
        </w:tc>
        <w:tc>
          <w:tcPr>
            <w:tcW w:w="2174" w:type="dxa"/>
            <w:gridSpan w:val="2"/>
          </w:tcPr>
          <w:p>
            <w:pPr>
              <w:pStyle w:val="TableParagraph"/>
              <w:spacing w:before="13"/>
              <w:ind w:left="64" w:right="98"/>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52" w:type="dxa"/>
          </w:tcPr>
          <w:p>
            <w:pPr>
              <w:pStyle w:val="TableParagraph"/>
              <w:spacing w:before="30"/>
              <w:rPr>
                <w:b/>
                <w:sz w:val="22"/>
              </w:rPr>
            </w:pPr>
            <w:r>
              <w:rPr>
                <w:b/>
                <w:sz w:val="22"/>
              </w:rPr>
              <w:t>10,916</w:t>
            </w:r>
          </w:p>
        </w:tc>
      </w:tr>
      <w:tr>
        <w:trPr>
          <w:trHeight w:val="310" w:hRule="exact"/>
        </w:trPr>
        <w:tc>
          <w:tcPr>
            <w:tcW w:w="5244" w:type="dxa"/>
            <w:gridSpan w:val="6"/>
            <w:vMerge/>
            <w:tcBorders>
              <w:left w:val="nil"/>
            </w:tcBorders>
          </w:tcPr>
          <w:p>
            <w:pPr/>
          </w:p>
        </w:tc>
        <w:tc>
          <w:tcPr>
            <w:tcW w:w="2174" w:type="dxa"/>
            <w:gridSpan w:val="2"/>
          </w:tcPr>
          <w:p>
            <w:pPr>
              <w:pStyle w:val="TableParagraph"/>
              <w:spacing w:before="11"/>
              <w:ind w:left="64" w:right="98"/>
              <w:jc w:val="left"/>
              <w:rPr>
                <w:sz w:val="22"/>
              </w:rPr>
            </w:pPr>
            <w:r>
              <w:rPr>
                <w:sz w:val="22"/>
              </w:rPr>
              <w:t>Desviación estándar</w:t>
            </w:r>
          </w:p>
        </w:tc>
        <w:tc>
          <w:tcPr>
            <w:tcW w:w="1452" w:type="dxa"/>
          </w:tcPr>
          <w:p>
            <w:pPr>
              <w:pStyle w:val="TableParagraph"/>
              <w:rPr>
                <w:b/>
                <w:sz w:val="22"/>
              </w:rPr>
            </w:pPr>
            <w:r>
              <w:rPr>
                <w:b/>
                <w:sz w:val="22"/>
              </w:rPr>
              <w:t>0,251</w:t>
            </w:r>
          </w:p>
        </w:tc>
      </w:tr>
      <w:tr>
        <w:trPr>
          <w:trHeight w:val="310" w:hRule="exact"/>
        </w:trPr>
        <w:tc>
          <w:tcPr>
            <w:tcW w:w="5244" w:type="dxa"/>
            <w:gridSpan w:val="6"/>
            <w:vMerge/>
            <w:tcBorders>
              <w:left w:val="nil"/>
            </w:tcBorders>
          </w:tcPr>
          <w:p>
            <w:pPr/>
          </w:p>
        </w:tc>
        <w:tc>
          <w:tcPr>
            <w:tcW w:w="2174" w:type="dxa"/>
            <w:gridSpan w:val="2"/>
            <w:vMerge w:val="restart"/>
          </w:tcPr>
          <w:p>
            <w:pPr>
              <w:pStyle w:val="TableParagraph"/>
              <w:spacing w:before="33"/>
              <w:ind w:left="64" w:right="98"/>
              <w:jc w:val="left"/>
              <w:rPr>
                <w:sz w:val="22"/>
              </w:rPr>
            </w:pPr>
            <w:r>
              <w:rPr>
                <w:sz w:val="22"/>
              </w:rPr>
              <w:t>Intervalo de confianza al 95 %</w:t>
            </w:r>
          </w:p>
        </w:tc>
        <w:tc>
          <w:tcPr>
            <w:tcW w:w="1452" w:type="dxa"/>
          </w:tcPr>
          <w:p>
            <w:pPr>
              <w:pStyle w:val="TableParagraph"/>
              <w:rPr>
                <w:sz w:val="22"/>
              </w:rPr>
            </w:pPr>
            <w:r>
              <w:rPr>
                <w:sz w:val="22"/>
              </w:rPr>
              <w:t>10,42</w:t>
            </w:r>
          </w:p>
        </w:tc>
      </w:tr>
      <w:tr>
        <w:trPr>
          <w:trHeight w:val="310" w:hRule="exact"/>
        </w:trPr>
        <w:tc>
          <w:tcPr>
            <w:tcW w:w="5244" w:type="dxa"/>
            <w:gridSpan w:val="6"/>
            <w:vMerge/>
            <w:tcBorders>
              <w:left w:val="nil"/>
              <w:bottom w:val="nil"/>
            </w:tcBorders>
          </w:tcPr>
          <w:p>
            <w:pPr/>
          </w:p>
        </w:tc>
        <w:tc>
          <w:tcPr>
            <w:tcW w:w="2174" w:type="dxa"/>
            <w:gridSpan w:val="2"/>
            <w:vMerge/>
          </w:tcPr>
          <w:p>
            <w:pPr/>
          </w:p>
        </w:tc>
        <w:tc>
          <w:tcPr>
            <w:tcW w:w="1452" w:type="dxa"/>
          </w:tcPr>
          <w:p>
            <w:pPr>
              <w:pStyle w:val="TableParagraph"/>
              <w:rPr>
                <w:sz w:val="22"/>
              </w:rPr>
            </w:pPr>
            <w:r>
              <w:rPr>
                <w:sz w:val="22"/>
              </w:rPr>
              <w:t>11,41</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8"/>
        <w:gridCol w:w="754"/>
        <w:gridCol w:w="475"/>
        <w:gridCol w:w="970"/>
        <w:gridCol w:w="977"/>
        <w:gridCol w:w="1291"/>
        <w:gridCol w:w="864"/>
        <w:gridCol w:w="1310"/>
        <w:gridCol w:w="1452"/>
      </w:tblGrid>
      <w:tr>
        <w:trPr>
          <w:trHeight w:val="310" w:hRule="exact"/>
        </w:trPr>
        <w:tc>
          <w:tcPr>
            <w:tcW w:w="8870" w:type="dxa"/>
            <w:gridSpan w:val="9"/>
          </w:tcPr>
          <w:p>
            <w:pPr>
              <w:pStyle w:val="TableParagraph"/>
              <w:spacing w:before="30"/>
              <w:ind w:left="2918" w:right="0"/>
              <w:jc w:val="left"/>
              <w:rPr>
                <w:sz w:val="22"/>
              </w:rPr>
            </w:pPr>
            <w:r>
              <w:rPr>
                <w:sz w:val="22"/>
              </w:rPr>
              <w:t>Eficiencia estanque sedimentador</w:t>
            </w:r>
          </w:p>
        </w:tc>
      </w:tr>
      <w:tr>
        <w:trPr>
          <w:trHeight w:val="312" w:hRule="exact"/>
        </w:trPr>
        <w:tc>
          <w:tcPr>
            <w:tcW w:w="778" w:type="dxa"/>
          </w:tcPr>
          <w:p>
            <w:pPr>
              <w:pStyle w:val="TableParagraph"/>
              <w:spacing w:before="13"/>
              <w:ind w:left="44" w:right="43"/>
              <w:jc w:val="center"/>
              <w:rPr>
                <w:sz w:val="22"/>
              </w:rPr>
            </w:pPr>
            <w:r>
              <w:rPr>
                <w:sz w:val="22"/>
              </w:rPr>
              <w:t>Estrato</w:t>
            </w:r>
          </w:p>
        </w:tc>
        <w:tc>
          <w:tcPr>
            <w:tcW w:w="754" w:type="dxa"/>
          </w:tcPr>
          <w:p>
            <w:pPr>
              <w:pStyle w:val="TableParagraph"/>
              <w:spacing w:before="43"/>
              <w:ind w:left="30" w:right="45"/>
              <w:jc w:val="center"/>
              <w:rPr>
                <w:rFonts w:ascii="Cambria Math"/>
                <w:sz w:val="16"/>
              </w:rPr>
            </w:pPr>
            <w:r>
              <w:rPr>
                <w:rFonts w:ascii="Cambria Math"/>
                <w:w w:val="110"/>
                <w:sz w:val="22"/>
              </w:rPr>
              <w:t>N</w:t>
            </w:r>
            <w:r>
              <w:rPr>
                <w:rFonts w:ascii="Cambria Math"/>
                <w:w w:val="110"/>
                <w:position w:val="-4"/>
                <w:sz w:val="16"/>
              </w:rPr>
              <w:t>h</w:t>
            </w:r>
          </w:p>
        </w:tc>
        <w:tc>
          <w:tcPr>
            <w:tcW w:w="475" w:type="dxa"/>
          </w:tcPr>
          <w:p>
            <w:pPr>
              <w:pStyle w:val="TableParagraph"/>
              <w:spacing w:before="43"/>
              <w:ind w:right="123"/>
              <w:rPr>
                <w:rFonts w:ascii="Cambria Math"/>
                <w:sz w:val="16"/>
              </w:rPr>
            </w:pPr>
            <w:r>
              <w:rPr>
                <w:rFonts w:ascii="Cambria Math"/>
                <w:w w:val="105"/>
                <w:sz w:val="22"/>
              </w:rPr>
              <w:t>n</w:t>
            </w:r>
            <w:r>
              <w:rPr>
                <w:rFonts w:ascii="Cambria Math"/>
                <w:w w:val="105"/>
                <w:position w:val="-4"/>
                <w:sz w:val="16"/>
              </w:rPr>
              <w:t>h</w:t>
            </w:r>
          </w:p>
        </w:tc>
        <w:tc>
          <w:tcPr>
            <w:tcW w:w="970" w:type="dxa"/>
          </w:tcPr>
          <w:p>
            <w:pPr>
              <w:pStyle w:val="TableParagraph"/>
              <w:spacing w:before="43"/>
              <w:ind w:left="89" w:right="102"/>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77" w:type="dxa"/>
          </w:tcPr>
          <w:p>
            <w:pPr>
              <w:pStyle w:val="TableParagraph"/>
              <w:spacing w:line="214" w:lineRule="exact" w:before="8"/>
              <w:ind w:left="40" w:right="45"/>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91" w:type="dxa"/>
          </w:tcPr>
          <w:p>
            <w:pPr>
              <w:pStyle w:val="TableParagraph"/>
              <w:spacing w:before="19"/>
              <w:ind w:left="523" w:right="531"/>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64" w:type="dxa"/>
          </w:tcPr>
          <w:p>
            <w:pPr>
              <w:pStyle w:val="TableParagraph"/>
              <w:spacing w:before="43"/>
              <w:ind w:left="33" w:right="44"/>
              <w:jc w:val="center"/>
              <w:rPr>
                <w:rFonts w:ascii="Cambria Math"/>
                <w:sz w:val="16"/>
              </w:rPr>
            </w:pPr>
            <w:r>
              <w:rPr>
                <w:rFonts w:ascii="Cambria Math"/>
                <w:w w:val="110"/>
                <w:sz w:val="22"/>
              </w:rPr>
              <w:t>s</w:t>
            </w:r>
            <w:r>
              <w:rPr>
                <w:rFonts w:ascii="Cambria Math"/>
                <w:w w:val="110"/>
                <w:position w:val="-4"/>
                <w:sz w:val="16"/>
              </w:rPr>
              <w:t>h</w:t>
            </w:r>
          </w:p>
        </w:tc>
        <w:tc>
          <w:tcPr>
            <w:tcW w:w="1310" w:type="dxa"/>
          </w:tcPr>
          <w:p>
            <w:pPr>
              <w:pStyle w:val="TableParagraph"/>
              <w:spacing w:before="3"/>
              <w:ind w:left="31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452" w:type="dxa"/>
          </w:tcPr>
          <w:p>
            <w:pPr>
              <w:pStyle w:val="TableParagraph"/>
              <w:spacing w:before="3"/>
              <w:ind w:left="374"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778" w:type="dxa"/>
          </w:tcPr>
          <w:p>
            <w:pPr>
              <w:pStyle w:val="TableParagraph"/>
              <w:ind w:left="1" w:right="0"/>
              <w:jc w:val="center"/>
              <w:rPr>
                <w:sz w:val="22"/>
              </w:rPr>
            </w:pPr>
            <w:r>
              <w:rPr>
                <w:w w:val="100"/>
                <w:sz w:val="22"/>
              </w:rPr>
              <w:t>1</w:t>
            </w:r>
          </w:p>
        </w:tc>
        <w:tc>
          <w:tcPr>
            <w:tcW w:w="754" w:type="dxa"/>
          </w:tcPr>
          <w:p>
            <w:pPr>
              <w:pStyle w:val="TableParagraph"/>
              <w:ind w:left="45" w:right="45"/>
              <w:jc w:val="center"/>
              <w:rPr>
                <w:sz w:val="22"/>
              </w:rPr>
            </w:pPr>
            <w:r>
              <w:rPr>
                <w:sz w:val="22"/>
              </w:rPr>
              <w:t>108,60</w:t>
            </w:r>
          </w:p>
        </w:tc>
        <w:tc>
          <w:tcPr>
            <w:tcW w:w="475" w:type="dxa"/>
          </w:tcPr>
          <w:p>
            <w:pPr>
              <w:pStyle w:val="TableParagraph"/>
              <w:rPr>
                <w:sz w:val="22"/>
              </w:rPr>
            </w:pPr>
            <w:r>
              <w:rPr>
                <w:sz w:val="22"/>
              </w:rPr>
              <w:t>108</w:t>
            </w:r>
          </w:p>
        </w:tc>
        <w:tc>
          <w:tcPr>
            <w:tcW w:w="970" w:type="dxa"/>
          </w:tcPr>
          <w:p>
            <w:pPr>
              <w:pStyle w:val="TableParagraph"/>
              <w:rPr>
                <w:sz w:val="22"/>
              </w:rPr>
            </w:pPr>
            <w:r>
              <w:rPr>
                <w:sz w:val="22"/>
              </w:rPr>
              <w:t>1,4019</w:t>
            </w:r>
          </w:p>
        </w:tc>
        <w:tc>
          <w:tcPr>
            <w:tcW w:w="977" w:type="dxa"/>
          </w:tcPr>
          <w:p>
            <w:pPr>
              <w:pStyle w:val="TableParagraph"/>
              <w:ind w:left="45" w:right="45"/>
              <w:jc w:val="center"/>
              <w:rPr>
                <w:sz w:val="22"/>
              </w:rPr>
            </w:pPr>
            <w:r>
              <w:rPr>
                <w:sz w:val="22"/>
              </w:rPr>
              <w:t>561,5796</w:t>
            </w:r>
          </w:p>
        </w:tc>
        <w:tc>
          <w:tcPr>
            <w:tcW w:w="1291" w:type="dxa"/>
          </w:tcPr>
          <w:p>
            <w:pPr>
              <w:pStyle w:val="TableParagraph"/>
              <w:rPr>
                <w:sz w:val="22"/>
              </w:rPr>
            </w:pPr>
            <w:r>
              <w:rPr>
                <w:sz w:val="22"/>
              </w:rPr>
              <w:t>152,2452</w:t>
            </w:r>
          </w:p>
        </w:tc>
        <w:tc>
          <w:tcPr>
            <w:tcW w:w="864" w:type="dxa"/>
          </w:tcPr>
          <w:p>
            <w:pPr>
              <w:pStyle w:val="TableParagraph"/>
              <w:ind w:left="45" w:right="44"/>
              <w:jc w:val="center"/>
              <w:rPr>
                <w:sz w:val="22"/>
              </w:rPr>
            </w:pPr>
            <w:r>
              <w:rPr>
                <w:sz w:val="22"/>
              </w:rPr>
              <w:t>23,6977</w:t>
            </w:r>
          </w:p>
        </w:tc>
        <w:tc>
          <w:tcPr>
            <w:tcW w:w="1310" w:type="dxa"/>
          </w:tcPr>
          <w:p>
            <w:pPr>
              <w:pStyle w:val="TableParagraph"/>
              <w:rPr>
                <w:sz w:val="22"/>
              </w:rPr>
            </w:pPr>
            <w:r>
              <w:rPr>
                <w:sz w:val="22"/>
              </w:rPr>
              <w:t>-20503,1458</w:t>
            </w:r>
          </w:p>
        </w:tc>
        <w:tc>
          <w:tcPr>
            <w:tcW w:w="1452" w:type="dxa"/>
          </w:tcPr>
          <w:p>
            <w:pPr>
              <w:pStyle w:val="TableParagraph"/>
              <w:rPr>
                <w:sz w:val="22"/>
              </w:rPr>
            </w:pPr>
            <w:r>
              <w:rPr>
                <w:sz w:val="22"/>
              </w:rPr>
              <w:t>-0,042426622</w:t>
            </w:r>
          </w:p>
        </w:tc>
      </w:tr>
      <w:tr>
        <w:trPr>
          <w:trHeight w:val="310" w:hRule="exact"/>
        </w:trPr>
        <w:tc>
          <w:tcPr>
            <w:tcW w:w="778" w:type="dxa"/>
          </w:tcPr>
          <w:p>
            <w:pPr>
              <w:pStyle w:val="TableParagraph"/>
              <w:ind w:left="1" w:right="0"/>
              <w:jc w:val="center"/>
              <w:rPr>
                <w:sz w:val="22"/>
              </w:rPr>
            </w:pPr>
            <w:r>
              <w:rPr>
                <w:w w:val="100"/>
                <w:sz w:val="22"/>
              </w:rPr>
              <w:t>2</w:t>
            </w:r>
          </w:p>
        </w:tc>
        <w:tc>
          <w:tcPr>
            <w:tcW w:w="754" w:type="dxa"/>
          </w:tcPr>
          <w:p>
            <w:pPr>
              <w:pStyle w:val="TableParagraph"/>
              <w:ind w:left="45" w:right="45"/>
              <w:jc w:val="center"/>
              <w:rPr>
                <w:sz w:val="22"/>
              </w:rPr>
            </w:pPr>
            <w:r>
              <w:rPr>
                <w:sz w:val="22"/>
              </w:rPr>
              <w:t>121,03</w:t>
            </w:r>
          </w:p>
        </w:tc>
        <w:tc>
          <w:tcPr>
            <w:tcW w:w="475" w:type="dxa"/>
          </w:tcPr>
          <w:p>
            <w:pPr>
              <w:pStyle w:val="TableParagraph"/>
              <w:rPr>
                <w:sz w:val="22"/>
              </w:rPr>
            </w:pPr>
            <w:r>
              <w:rPr>
                <w:sz w:val="22"/>
              </w:rPr>
              <w:t>81</w:t>
            </w:r>
          </w:p>
        </w:tc>
        <w:tc>
          <w:tcPr>
            <w:tcW w:w="970" w:type="dxa"/>
          </w:tcPr>
          <w:p>
            <w:pPr>
              <w:pStyle w:val="TableParagraph"/>
              <w:rPr>
                <w:sz w:val="22"/>
              </w:rPr>
            </w:pPr>
            <w:r>
              <w:rPr>
                <w:sz w:val="22"/>
              </w:rPr>
              <w:t>-12,0693</w:t>
            </w:r>
          </w:p>
        </w:tc>
        <w:tc>
          <w:tcPr>
            <w:tcW w:w="977" w:type="dxa"/>
          </w:tcPr>
          <w:p>
            <w:pPr>
              <w:pStyle w:val="TableParagraph"/>
              <w:ind w:left="45" w:right="45"/>
              <w:jc w:val="center"/>
              <w:rPr>
                <w:sz w:val="22"/>
              </w:rPr>
            </w:pPr>
            <w:r>
              <w:rPr>
                <w:sz w:val="22"/>
              </w:rPr>
              <w:t>203,3339</w:t>
            </w:r>
          </w:p>
        </w:tc>
        <w:tc>
          <w:tcPr>
            <w:tcW w:w="1291" w:type="dxa"/>
          </w:tcPr>
          <w:p>
            <w:pPr>
              <w:pStyle w:val="TableParagraph"/>
              <w:rPr>
                <w:sz w:val="22"/>
              </w:rPr>
            </w:pPr>
            <w:r>
              <w:rPr>
                <w:sz w:val="22"/>
              </w:rPr>
              <w:t>-1460,7521</w:t>
            </w:r>
          </w:p>
        </w:tc>
        <w:tc>
          <w:tcPr>
            <w:tcW w:w="864" w:type="dxa"/>
          </w:tcPr>
          <w:p>
            <w:pPr>
              <w:pStyle w:val="TableParagraph"/>
              <w:ind w:left="45" w:right="44"/>
              <w:jc w:val="center"/>
              <w:rPr>
                <w:sz w:val="22"/>
              </w:rPr>
            </w:pPr>
            <w:r>
              <w:rPr>
                <w:sz w:val="22"/>
              </w:rPr>
              <w:t>14,2595</w:t>
            </w:r>
          </w:p>
        </w:tc>
        <w:tc>
          <w:tcPr>
            <w:tcW w:w="1310" w:type="dxa"/>
          </w:tcPr>
          <w:p>
            <w:pPr>
              <w:pStyle w:val="TableParagraph"/>
              <w:rPr>
                <w:sz w:val="22"/>
              </w:rPr>
            </w:pPr>
            <w:r>
              <w:rPr>
                <w:sz w:val="22"/>
              </w:rPr>
              <w:t>12180,1212</w:t>
            </w:r>
          </w:p>
        </w:tc>
        <w:tc>
          <w:tcPr>
            <w:tcW w:w="1452" w:type="dxa"/>
          </w:tcPr>
          <w:p>
            <w:pPr>
              <w:pStyle w:val="TableParagraph"/>
              <w:rPr>
                <w:sz w:val="22"/>
              </w:rPr>
            </w:pPr>
            <w:r>
              <w:rPr>
                <w:sz w:val="22"/>
              </w:rPr>
              <w:t>0,025204005</w:t>
            </w:r>
          </w:p>
        </w:tc>
      </w:tr>
      <w:tr>
        <w:trPr>
          <w:trHeight w:val="310" w:hRule="exact"/>
        </w:trPr>
        <w:tc>
          <w:tcPr>
            <w:tcW w:w="778" w:type="dxa"/>
          </w:tcPr>
          <w:p>
            <w:pPr>
              <w:pStyle w:val="TableParagraph"/>
              <w:ind w:left="1" w:right="0"/>
              <w:jc w:val="center"/>
              <w:rPr>
                <w:sz w:val="22"/>
              </w:rPr>
            </w:pPr>
            <w:r>
              <w:rPr>
                <w:w w:val="100"/>
                <w:sz w:val="22"/>
              </w:rPr>
              <w:t>3</w:t>
            </w:r>
          </w:p>
        </w:tc>
        <w:tc>
          <w:tcPr>
            <w:tcW w:w="754" w:type="dxa"/>
          </w:tcPr>
          <w:p>
            <w:pPr>
              <w:pStyle w:val="TableParagraph"/>
              <w:ind w:left="45" w:right="45"/>
              <w:jc w:val="center"/>
              <w:rPr>
                <w:sz w:val="22"/>
              </w:rPr>
            </w:pPr>
            <w:r>
              <w:rPr>
                <w:sz w:val="22"/>
              </w:rPr>
              <w:t>130,21</w:t>
            </w:r>
          </w:p>
        </w:tc>
        <w:tc>
          <w:tcPr>
            <w:tcW w:w="475" w:type="dxa"/>
          </w:tcPr>
          <w:p>
            <w:pPr>
              <w:pStyle w:val="TableParagraph"/>
              <w:rPr>
                <w:sz w:val="22"/>
              </w:rPr>
            </w:pPr>
            <w:r>
              <w:rPr>
                <w:sz w:val="22"/>
              </w:rPr>
              <w:t>77</w:t>
            </w:r>
          </w:p>
        </w:tc>
        <w:tc>
          <w:tcPr>
            <w:tcW w:w="970" w:type="dxa"/>
          </w:tcPr>
          <w:p>
            <w:pPr>
              <w:pStyle w:val="TableParagraph"/>
              <w:rPr>
                <w:sz w:val="22"/>
              </w:rPr>
            </w:pPr>
            <w:r>
              <w:rPr>
                <w:sz w:val="22"/>
              </w:rPr>
              <w:t>-26,5525</w:t>
            </w:r>
          </w:p>
        </w:tc>
        <w:tc>
          <w:tcPr>
            <w:tcW w:w="977" w:type="dxa"/>
          </w:tcPr>
          <w:p>
            <w:pPr>
              <w:pStyle w:val="TableParagraph"/>
              <w:ind w:left="45" w:right="45"/>
              <w:jc w:val="center"/>
              <w:rPr>
                <w:sz w:val="22"/>
              </w:rPr>
            </w:pPr>
            <w:r>
              <w:rPr>
                <w:sz w:val="22"/>
              </w:rPr>
              <w:t>679,5911</w:t>
            </w:r>
          </w:p>
        </w:tc>
        <w:tc>
          <w:tcPr>
            <w:tcW w:w="1291" w:type="dxa"/>
          </w:tcPr>
          <w:p>
            <w:pPr>
              <w:pStyle w:val="TableParagraph"/>
              <w:rPr>
                <w:sz w:val="22"/>
              </w:rPr>
            </w:pPr>
            <w:r>
              <w:rPr>
                <w:sz w:val="22"/>
              </w:rPr>
              <w:t>-3457,3998</w:t>
            </w:r>
          </w:p>
        </w:tc>
        <w:tc>
          <w:tcPr>
            <w:tcW w:w="864" w:type="dxa"/>
          </w:tcPr>
          <w:p>
            <w:pPr>
              <w:pStyle w:val="TableParagraph"/>
              <w:ind w:left="45" w:right="44"/>
              <w:jc w:val="center"/>
              <w:rPr>
                <w:sz w:val="22"/>
              </w:rPr>
            </w:pPr>
            <w:r>
              <w:rPr>
                <w:sz w:val="22"/>
              </w:rPr>
              <w:t>26,0690</w:t>
            </w:r>
          </w:p>
        </w:tc>
        <w:tc>
          <w:tcPr>
            <w:tcW w:w="1310" w:type="dxa"/>
          </w:tcPr>
          <w:p>
            <w:pPr>
              <w:pStyle w:val="TableParagraph"/>
              <w:rPr>
                <w:sz w:val="22"/>
              </w:rPr>
            </w:pPr>
            <w:r>
              <w:rPr>
                <w:sz w:val="22"/>
              </w:rPr>
              <w:t>62049,0523</w:t>
            </w:r>
          </w:p>
        </w:tc>
        <w:tc>
          <w:tcPr>
            <w:tcW w:w="1452" w:type="dxa"/>
          </w:tcPr>
          <w:p>
            <w:pPr>
              <w:pStyle w:val="TableParagraph"/>
              <w:rPr>
                <w:sz w:val="22"/>
              </w:rPr>
            </w:pPr>
            <w:r>
              <w:rPr>
                <w:sz w:val="22"/>
              </w:rPr>
              <w:t>0,128396477</w:t>
            </w:r>
          </w:p>
        </w:tc>
      </w:tr>
      <w:tr>
        <w:trPr>
          <w:trHeight w:val="310" w:hRule="exact"/>
        </w:trPr>
        <w:tc>
          <w:tcPr>
            <w:tcW w:w="778" w:type="dxa"/>
          </w:tcPr>
          <w:p>
            <w:pPr>
              <w:pStyle w:val="TableParagraph"/>
              <w:ind w:left="1" w:right="0"/>
              <w:jc w:val="center"/>
              <w:rPr>
                <w:sz w:val="22"/>
              </w:rPr>
            </w:pPr>
            <w:r>
              <w:rPr>
                <w:w w:val="100"/>
                <w:sz w:val="22"/>
              </w:rPr>
              <w:t>4</w:t>
            </w:r>
          </w:p>
        </w:tc>
        <w:tc>
          <w:tcPr>
            <w:tcW w:w="754" w:type="dxa"/>
          </w:tcPr>
          <w:p>
            <w:pPr>
              <w:pStyle w:val="TableParagraph"/>
              <w:ind w:left="45" w:right="45"/>
              <w:jc w:val="center"/>
              <w:rPr>
                <w:sz w:val="22"/>
              </w:rPr>
            </w:pPr>
            <w:r>
              <w:rPr>
                <w:sz w:val="22"/>
              </w:rPr>
              <w:t>155,12</w:t>
            </w:r>
          </w:p>
        </w:tc>
        <w:tc>
          <w:tcPr>
            <w:tcW w:w="475" w:type="dxa"/>
          </w:tcPr>
          <w:p>
            <w:pPr>
              <w:pStyle w:val="TableParagraph"/>
              <w:rPr>
                <w:sz w:val="22"/>
              </w:rPr>
            </w:pPr>
            <w:r>
              <w:rPr>
                <w:sz w:val="22"/>
              </w:rPr>
              <w:t>92</w:t>
            </w:r>
          </w:p>
        </w:tc>
        <w:tc>
          <w:tcPr>
            <w:tcW w:w="970" w:type="dxa"/>
          </w:tcPr>
          <w:p>
            <w:pPr>
              <w:pStyle w:val="TableParagraph"/>
              <w:rPr>
                <w:sz w:val="22"/>
              </w:rPr>
            </w:pPr>
            <w:r>
              <w:rPr>
                <w:sz w:val="22"/>
              </w:rPr>
              <w:t>-27,6421</w:t>
            </w:r>
          </w:p>
        </w:tc>
        <w:tc>
          <w:tcPr>
            <w:tcW w:w="977" w:type="dxa"/>
          </w:tcPr>
          <w:p>
            <w:pPr>
              <w:pStyle w:val="TableParagraph"/>
              <w:ind w:left="45" w:right="45"/>
              <w:jc w:val="center"/>
              <w:rPr>
                <w:sz w:val="22"/>
              </w:rPr>
            </w:pPr>
            <w:r>
              <w:rPr>
                <w:sz w:val="22"/>
              </w:rPr>
              <w:t>219,0098</w:t>
            </w:r>
          </w:p>
        </w:tc>
        <w:tc>
          <w:tcPr>
            <w:tcW w:w="1291" w:type="dxa"/>
          </w:tcPr>
          <w:p>
            <w:pPr>
              <w:pStyle w:val="TableParagraph"/>
              <w:rPr>
                <w:sz w:val="22"/>
              </w:rPr>
            </w:pPr>
            <w:r>
              <w:rPr>
                <w:sz w:val="22"/>
              </w:rPr>
              <w:t>-4287,8473</w:t>
            </w:r>
          </w:p>
        </w:tc>
        <w:tc>
          <w:tcPr>
            <w:tcW w:w="864" w:type="dxa"/>
          </w:tcPr>
          <w:p>
            <w:pPr>
              <w:pStyle w:val="TableParagraph"/>
              <w:ind w:left="45" w:right="44"/>
              <w:jc w:val="center"/>
              <w:rPr>
                <w:sz w:val="22"/>
              </w:rPr>
            </w:pPr>
            <w:r>
              <w:rPr>
                <w:sz w:val="22"/>
              </w:rPr>
              <w:t>14,7990</w:t>
            </w:r>
          </w:p>
        </w:tc>
        <w:tc>
          <w:tcPr>
            <w:tcW w:w="1310" w:type="dxa"/>
          </w:tcPr>
          <w:p>
            <w:pPr>
              <w:pStyle w:val="TableParagraph"/>
              <w:rPr>
                <w:sz w:val="22"/>
              </w:rPr>
            </w:pPr>
            <w:r>
              <w:rPr>
                <w:sz w:val="22"/>
              </w:rPr>
              <w:t>23426,8383</w:t>
            </w:r>
          </w:p>
        </w:tc>
        <w:tc>
          <w:tcPr>
            <w:tcW w:w="1452" w:type="dxa"/>
          </w:tcPr>
          <w:p>
            <w:pPr>
              <w:pStyle w:val="TableParagraph"/>
              <w:rPr>
                <w:sz w:val="22"/>
              </w:rPr>
            </w:pPr>
            <w:r>
              <w:rPr>
                <w:sz w:val="22"/>
              </w:rPr>
              <w:t>0,048476542</w:t>
            </w:r>
          </w:p>
        </w:tc>
      </w:tr>
      <w:tr>
        <w:trPr>
          <w:trHeight w:val="310" w:hRule="exact"/>
        </w:trPr>
        <w:tc>
          <w:tcPr>
            <w:tcW w:w="778" w:type="dxa"/>
          </w:tcPr>
          <w:p>
            <w:pPr>
              <w:pStyle w:val="TableParagraph"/>
              <w:spacing w:before="30"/>
              <w:ind w:left="1" w:right="0"/>
              <w:jc w:val="center"/>
              <w:rPr>
                <w:sz w:val="22"/>
              </w:rPr>
            </w:pPr>
            <w:r>
              <w:rPr>
                <w:w w:val="100"/>
                <w:sz w:val="22"/>
              </w:rPr>
              <w:t>5</w:t>
            </w:r>
          </w:p>
        </w:tc>
        <w:tc>
          <w:tcPr>
            <w:tcW w:w="754" w:type="dxa"/>
          </w:tcPr>
          <w:p>
            <w:pPr>
              <w:pStyle w:val="TableParagraph"/>
              <w:spacing w:before="30"/>
              <w:ind w:left="45" w:right="45"/>
              <w:jc w:val="center"/>
              <w:rPr>
                <w:sz w:val="22"/>
              </w:rPr>
            </w:pPr>
            <w:r>
              <w:rPr>
                <w:sz w:val="22"/>
              </w:rPr>
              <w:t>180,21</w:t>
            </w:r>
          </w:p>
        </w:tc>
        <w:tc>
          <w:tcPr>
            <w:tcW w:w="475" w:type="dxa"/>
          </w:tcPr>
          <w:p>
            <w:pPr>
              <w:pStyle w:val="TableParagraph"/>
              <w:spacing w:before="30"/>
              <w:rPr>
                <w:sz w:val="22"/>
              </w:rPr>
            </w:pPr>
            <w:r>
              <w:rPr>
                <w:sz w:val="22"/>
              </w:rPr>
              <w:t>132</w:t>
            </w:r>
          </w:p>
        </w:tc>
        <w:tc>
          <w:tcPr>
            <w:tcW w:w="970" w:type="dxa"/>
          </w:tcPr>
          <w:p>
            <w:pPr>
              <w:pStyle w:val="TableParagraph"/>
              <w:spacing w:before="30"/>
              <w:rPr>
                <w:sz w:val="22"/>
              </w:rPr>
            </w:pPr>
            <w:r>
              <w:rPr>
                <w:sz w:val="22"/>
              </w:rPr>
              <w:t>-35,4995</w:t>
            </w:r>
          </w:p>
        </w:tc>
        <w:tc>
          <w:tcPr>
            <w:tcW w:w="977" w:type="dxa"/>
          </w:tcPr>
          <w:p>
            <w:pPr>
              <w:pStyle w:val="TableParagraph"/>
              <w:spacing w:before="30"/>
              <w:ind w:left="45" w:right="45"/>
              <w:jc w:val="center"/>
              <w:rPr>
                <w:sz w:val="22"/>
              </w:rPr>
            </w:pPr>
            <w:r>
              <w:rPr>
                <w:sz w:val="22"/>
              </w:rPr>
              <w:t>395,4705</w:t>
            </w:r>
          </w:p>
        </w:tc>
        <w:tc>
          <w:tcPr>
            <w:tcW w:w="1291" w:type="dxa"/>
          </w:tcPr>
          <w:p>
            <w:pPr>
              <w:pStyle w:val="TableParagraph"/>
              <w:spacing w:before="30"/>
              <w:rPr>
                <w:sz w:val="22"/>
              </w:rPr>
            </w:pPr>
            <w:r>
              <w:rPr>
                <w:sz w:val="22"/>
              </w:rPr>
              <w:t>-6397,3645</w:t>
            </w:r>
          </w:p>
        </w:tc>
        <w:tc>
          <w:tcPr>
            <w:tcW w:w="864" w:type="dxa"/>
          </w:tcPr>
          <w:p>
            <w:pPr>
              <w:pStyle w:val="TableParagraph"/>
              <w:spacing w:before="30"/>
              <w:ind w:left="45" w:right="44"/>
              <w:jc w:val="center"/>
              <w:rPr>
                <w:sz w:val="22"/>
              </w:rPr>
            </w:pPr>
            <w:r>
              <w:rPr>
                <w:sz w:val="22"/>
              </w:rPr>
              <w:t>19,8864</w:t>
            </w:r>
          </w:p>
        </w:tc>
        <w:tc>
          <w:tcPr>
            <w:tcW w:w="1310" w:type="dxa"/>
          </w:tcPr>
          <w:p>
            <w:pPr>
              <w:pStyle w:val="TableParagraph"/>
              <w:spacing w:before="30"/>
              <w:rPr>
                <w:sz w:val="22"/>
              </w:rPr>
            </w:pPr>
            <w:r>
              <w:rPr>
                <w:sz w:val="22"/>
              </w:rPr>
              <w:t>25999,4440</w:t>
            </w:r>
          </w:p>
        </w:tc>
        <w:tc>
          <w:tcPr>
            <w:tcW w:w="1452" w:type="dxa"/>
          </w:tcPr>
          <w:p>
            <w:pPr>
              <w:pStyle w:val="TableParagraph"/>
              <w:spacing w:before="30"/>
              <w:rPr>
                <w:sz w:val="22"/>
              </w:rPr>
            </w:pPr>
            <w:r>
              <w:rPr>
                <w:sz w:val="22"/>
              </w:rPr>
              <w:t>0,053799968</w:t>
            </w:r>
          </w:p>
        </w:tc>
      </w:tr>
      <w:tr>
        <w:trPr>
          <w:trHeight w:val="312" w:hRule="exact"/>
        </w:trPr>
        <w:tc>
          <w:tcPr>
            <w:tcW w:w="778" w:type="dxa"/>
          </w:tcPr>
          <w:p>
            <w:pPr>
              <w:pStyle w:val="TableParagraph"/>
              <w:spacing w:before="30"/>
              <w:ind w:right="1"/>
              <w:jc w:val="center"/>
              <w:rPr>
                <w:sz w:val="22"/>
              </w:rPr>
            </w:pPr>
            <w:r>
              <w:rPr>
                <w:w w:val="100"/>
                <w:sz w:val="22"/>
              </w:rPr>
              <w:t>N</w:t>
            </w:r>
          </w:p>
        </w:tc>
        <w:tc>
          <w:tcPr>
            <w:tcW w:w="754" w:type="dxa"/>
          </w:tcPr>
          <w:p>
            <w:pPr>
              <w:pStyle w:val="TableParagraph"/>
              <w:spacing w:before="30"/>
              <w:ind w:left="45" w:right="45"/>
              <w:jc w:val="center"/>
              <w:rPr>
                <w:sz w:val="22"/>
              </w:rPr>
            </w:pPr>
            <w:r>
              <w:rPr>
                <w:sz w:val="22"/>
              </w:rPr>
              <w:t>695,17</w:t>
            </w:r>
          </w:p>
        </w:tc>
        <w:tc>
          <w:tcPr>
            <w:tcW w:w="475" w:type="dxa"/>
          </w:tcPr>
          <w:p>
            <w:pPr/>
          </w:p>
        </w:tc>
        <w:tc>
          <w:tcPr>
            <w:tcW w:w="970" w:type="dxa"/>
          </w:tcPr>
          <w:p>
            <w:pPr/>
          </w:p>
        </w:tc>
        <w:tc>
          <w:tcPr>
            <w:tcW w:w="977" w:type="dxa"/>
          </w:tcPr>
          <w:p>
            <w:pPr>
              <w:pStyle w:val="TableParagraph"/>
              <w:spacing w:before="18"/>
              <w:ind w:left="32" w:right="45"/>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91" w:type="dxa"/>
          </w:tcPr>
          <w:p>
            <w:pPr>
              <w:pStyle w:val="TableParagraph"/>
              <w:spacing w:before="30"/>
              <w:rPr>
                <w:sz w:val="22"/>
              </w:rPr>
            </w:pPr>
            <w:r>
              <w:rPr>
                <w:sz w:val="22"/>
              </w:rPr>
              <w:t>-15451,1186</w:t>
            </w:r>
          </w:p>
        </w:tc>
        <w:tc>
          <w:tcPr>
            <w:tcW w:w="864" w:type="dxa"/>
          </w:tcPr>
          <w:p>
            <w:pPr/>
          </w:p>
        </w:tc>
        <w:tc>
          <w:tcPr>
            <w:tcW w:w="1310" w:type="dxa"/>
          </w:tcPr>
          <w:p>
            <w:pPr>
              <w:pStyle w:val="TableParagraph"/>
              <w:spacing w:before="30"/>
              <w:rPr>
                <w:sz w:val="22"/>
              </w:rPr>
            </w:pPr>
            <w:r>
              <w:rPr>
                <w:sz w:val="22"/>
              </w:rPr>
              <w:t>103152,3099</w:t>
            </w:r>
          </w:p>
        </w:tc>
        <w:tc>
          <w:tcPr>
            <w:tcW w:w="1452" w:type="dxa"/>
          </w:tcPr>
          <w:p>
            <w:pPr>
              <w:pStyle w:val="TableParagraph"/>
              <w:spacing w:before="30"/>
              <w:rPr>
                <w:sz w:val="22"/>
              </w:rPr>
            </w:pPr>
            <w:r>
              <w:rPr>
                <w:sz w:val="22"/>
              </w:rPr>
              <w:t>0,213450371</w:t>
            </w:r>
          </w:p>
        </w:tc>
      </w:tr>
      <w:tr>
        <w:trPr>
          <w:trHeight w:val="310" w:hRule="exact"/>
        </w:trPr>
        <w:tc>
          <w:tcPr>
            <w:tcW w:w="5244" w:type="dxa"/>
            <w:gridSpan w:val="6"/>
            <w:vMerge w:val="restart"/>
            <w:tcBorders>
              <w:left w:val="nil"/>
            </w:tcBorders>
          </w:tcPr>
          <w:p>
            <w:pPr/>
          </w:p>
        </w:tc>
        <w:tc>
          <w:tcPr>
            <w:tcW w:w="2174" w:type="dxa"/>
            <w:gridSpan w:val="2"/>
          </w:tcPr>
          <w:p>
            <w:pPr>
              <w:pStyle w:val="TableParagraph"/>
              <w:spacing w:before="11"/>
              <w:ind w:left="64" w:right="98"/>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452" w:type="dxa"/>
          </w:tcPr>
          <w:p>
            <w:pPr>
              <w:pStyle w:val="TableParagraph"/>
              <w:rPr>
                <w:b/>
                <w:sz w:val="22"/>
              </w:rPr>
            </w:pPr>
            <w:r>
              <w:rPr>
                <w:b/>
                <w:sz w:val="22"/>
              </w:rPr>
              <w:t>-22,226</w:t>
            </w:r>
          </w:p>
        </w:tc>
      </w:tr>
      <w:tr>
        <w:trPr>
          <w:trHeight w:val="310" w:hRule="exact"/>
        </w:trPr>
        <w:tc>
          <w:tcPr>
            <w:tcW w:w="5244" w:type="dxa"/>
            <w:gridSpan w:val="6"/>
            <w:vMerge/>
            <w:tcBorders>
              <w:left w:val="nil"/>
            </w:tcBorders>
          </w:tcPr>
          <w:p>
            <w:pPr/>
          </w:p>
        </w:tc>
        <w:tc>
          <w:tcPr>
            <w:tcW w:w="2174" w:type="dxa"/>
            <w:gridSpan w:val="2"/>
          </w:tcPr>
          <w:p>
            <w:pPr>
              <w:pStyle w:val="TableParagraph"/>
              <w:spacing w:before="13"/>
              <w:ind w:left="64" w:right="98"/>
              <w:jc w:val="left"/>
              <w:rPr>
                <w:sz w:val="22"/>
              </w:rPr>
            </w:pPr>
            <w:r>
              <w:rPr>
                <w:sz w:val="22"/>
              </w:rPr>
              <w:t>Desviación estándar</w:t>
            </w:r>
          </w:p>
        </w:tc>
        <w:tc>
          <w:tcPr>
            <w:tcW w:w="1452" w:type="dxa"/>
          </w:tcPr>
          <w:p>
            <w:pPr>
              <w:pStyle w:val="TableParagraph"/>
              <w:rPr>
                <w:b/>
                <w:sz w:val="22"/>
              </w:rPr>
            </w:pPr>
            <w:r>
              <w:rPr>
                <w:b/>
                <w:sz w:val="22"/>
              </w:rPr>
              <w:t>0,462</w:t>
            </w:r>
          </w:p>
        </w:tc>
      </w:tr>
      <w:tr>
        <w:trPr>
          <w:trHeight w:val="310" w:hRule="exact"/>
        </w:trPr>
        <w:tc>
          <w:tcPr>
            <w:tcW w:w="5244" w:type="dxa"/>
            <w:gridSpan w:val="6"/>
            <w:vMerge/>
            <w:tcBorders>
              <w:left w:val="nil"/>
            </w:tcBorders>
          </w:tcPr>
          <w:p>
            <w:pPr/>
          </w:p>
        </w:tc>
        <w:tc>
          <w:tcPr>
            <w:tcW w:w="2174" w:type="dxa"/>
            <w:gridSpan w:val="2"/>
            <w:vMerge w:val="restart"/>
          </w:tcPr>
          <w:p>
            <w:pPr>
              <w:pStyle w:val="TableParagraph"/>
              <w:spacing w:before="33"/>
              <w:ind w:left="64" w:right="98"/>
              <w:jc w:val="left"/>
              <w:rPr>
                <w:sz w:val="22"/>
              </w:rPr>
            </w:pPr>
            <w:r>
              <w:rPr>
                <w:sz w:val="22"/>
              </w:rPr>
              <w:t>Intervalo de confianza al 95 %</w:t>
            </w:r>
          </w:p>
        </w:tc>
        <w:tc>
          <w:tcPr>
            <w:tcW w:w="1452" w:type="dxa"/>
          </w:tcPr>
          <w:p>
            <w:pPr>
              <w:pStyle w:val="TableParagraph"/>
              <w:rPr>
                <w:sz w:val="22"/>
              </w:rPr>
            </w:pPr>
            <w:r>
              <w:rPr>
                <w:sz w:val="22"/>
              </w:rPr>
              <w:t>-23,13</w:t>
            </w:r>
          </w:p>
        </w:tc>
      </w:tr>
      <w:tr>
        <w:trPr>
          <w:trHeight w:val="310" w:hRule="exact"/>
        </w:trPr>
        <w:tc>
          <w:tcPr>
            <w:tcW w:w="5244" w:type="dxa"/>
            <w:gridSpan w:val="6"/>
            <w:vMerge/>
            <w:tcBorders>
              <w:left w:val="nil"/>
              <w:bottom w:val="nil"/>
            </w:tcBorders>
          </w:tcPr>
          <w:p>
            <w:pPr/>
          </w:p>
        </w:tc>
        <w:tc>
          <w:tcPr>
            <w:tcW w:w="2174" w:type="dxa"/>
            <w:gridSpan w:val="2"/>
            <w:vMerge/>
          </w:tcPr>
          <w:p>
            <w:pPr/>
          </w:p>
        </w:tc>
        <w:tc>
          <w:tcPr>
            <w:tcW w:w="1452" w:type="dxa"/>
          </w:tcPr>
          <w:p>
            <w:pPr>
              <w:pStyle w:val="TableParagraph"/>
              <w:rPr>
                <w:sz w:val="22"/>
              </w:rPr>
            </w:pPr>
            <w:r>
              <w:rPr>
                <w:sz w:val="22"/>
              </w:rPr>
              <w:t>-21,32</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38"/>
        <w:gridCol w:w="809"/>
        <w:gridCol w:w="504"/>
        <w:gridCol w:w="811"/>
        <w:gridCol w:w="929"/>
        <w:gridCol w:w="1174"/>
        <w:gridCol w:w="809"/>
        <w:gridCol w:w="1356"/>
        <w:gridCol w:w="1637"/>
      </w:tblGrid>
      <w:tr>
        <w:trPr>
          <w:trHeight w:val="310" w:hRule="exact"/>
        </w:trPr>
        <w:tc>
          <w:tcPr>
            <w:tcW w:w="8866" w:type="dxa"/>
            <w:gridSpan w:val="9"/>
          </w:tcPr>
          <w:p>
            <w:pPr>
              <w:pStyle w:val="TableParagraph"/>
              <w:ind w:left="3626" w:right="3626"/>
              <w:jc w:val="center"/>
              <w:rPr>
                <w:sz w:val="22"/>
              </w:rPr>
            </w:pPr>
            <w:r>
              <w:rPr>
                <w:sz w:val="22"/>
              </w:rPr>
              <w:t>Eficiencia general</w:t>
            </w:r>
          </w:p>
        </w:tc>
      </w:tr>
      <w:tr>
        <w:trPr>
          <w:trHeight w:val="310" w:hRule="exact"/>
        </w:trPr>
        <w:tc>
          <w:tcPr>
            <w:tcW w:w="838" w:type="dxa"/>
          </w:tcPr>
          <w:p>
            <w:pPr>
              <w:pStyle w:val="TableParagraph"/>
              <w:spacing w:before="13"/>
              <w:ind w:left="19" w:right="75"/>
              <w:jc w:val="center"/>
              <w:rPr>
                <w:sz w:val="22"/>
              </w:rPr>
            </w:pPr>
            <w:r>
              <w:rPr>
                <w:sz w:val="22"/>
              </w:rPr>
              <w:t>Estrato</w:t>
            </w:r>
          </w:p>
        </w:tc>
        <w:tc>
          <w:tcPr>
            <w:tcW w:w="809" w:type="dxa"/>
          </w:tcPr>
          <w:p>
            <w:pPr>
              <w:pStyle w:val="TableParagraph"/>
              <w:spacing w:before="43"/>
              <w:ind w:left="30" w:right="4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811" w:type="dxa"/>
          </w:tcPr>
          <w:p>
            <w:pPr>
              <w:pStyle w:val="TableParagraph"/>
              <w:spacing w:before="43"/>
              <w:ind w:left="46" w:right="59"/>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929" w:type="dxa"/>
          </w:tcPr>
          <w:p>
            <w:pPr>
              <w:pStyle w:val="TableParagraph"/>
              <w:spacing w:line="214" w:lineRule="exact" w:before="6"/>
              <w:ind w:left="37" w:right="47"/>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174" w:type="dxa"/>
          </w:tcPr>
          <w:p>
            <w:pPr>
              <w:pStyle w:val="TableParagraph"/>
              <w:spacing w:before="19"/>
              <w:ind w:left="454" w:right="46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809" w:type="dxa"/>
          </w:tcPr>
          <w:p>
            <w:pPr>
              <w:pStyle w:val="TableParagraph"/>
              <w:spacing w:before="43"/>
              <w:ind w:left="35" w:right="43"/>
              <w:jc w:val="center"/>
              <w:rPr>
                <w:rFonts w:ascii="Cambria Math"/>
                <w:sz w:val="16"/>
              </w:rPr>
            </w:pPr>
            <w:r>
              <w:rPr>
                <w:rFonts w:ascii="Cambria Math"/>
                <w:w w:val="110"/>
                <w:sz w:val="22"/>
              </w:rPr>
              <w:t>s</w:t>
            </w:r>
            <w:r>
              <w:rPr>
                <w:rFonts w:ascii="Cambria Math"/>
                <w:w w:val="110"/>
                <w:position w:val="-4"/>
                <w:sz w:val="16"/>
              </w:rPr>
              <w:t>h</w:t>
            </w:r>
          </w:p>
        </w:tc>
        <w:tc>
          <w:tcPr>
            <w:tcW w:w="1356" w:type="dxa"/>
          </w:tcPr>
          <w:p>
            <w:pPr>
              <w:pStyle w:val="TableParagraph"/>
              <w:spacing w:before="0"/>
              <w:ind w:left="343"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37" w:type="dxa"/>
          </w:tcPr>
          <w:p>
            <w:pPr>
              <w:pStyle w:val="TableParagraph"/>
              <w:spacing w:before="0"/>
              <w:ind w:left="46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838" w:type="dxa"/>
          </w:tcPr>
          <w:p>
            <w:pPr>
              <w:pStyle w:val="TableParagraph"/>
              <w:spacing w:before="13"/>
              <w:ind w:right="1"/>
              <w:jc w:val="center"/>
              <w:rPr>
                <w:sz w:val="22"/>
              </w:rPr>
            </w:pPr>
            <w:r>
              <w:rPr>
                <w:w w:val="100"/>
                <w:sz w:val="22"/>
              </w:rPr>
              <w:t>1</w:t>
            </w:r>
          </w:p>
        </w:tc>
        <w:tc>
          <w:tcPr>
            <w:tcW w:w="809" w:type="dxa"/>
          </w:tcPr>
          <w:p>
            <w:pPr>
              <w:pStyle w:val="TableParagraph"/>
              <w:spacing w:before="30"/>
              <w:ind w:left="59" w:right="0"/>
              <w:jc w:val="center"/>
              <w:rPr>
                <w:sz w:val="22"/>
              </w:rPr>
            </w:pPr>
            <w:r>
              <w:rPr>
                <w:sz w:val="22"/>
              </w:rPr>
              <w:t>108,60</w:t>
            </w:r>
          </w:p>
        </w:tc>
        <w:tc>
          <w:tcPr>
            <w:tcW w:w="504" w:type="dxa"/>
          </w:tcPr>
          <w:p>
            <w:pPr>
              <w:pStyle w:val="TableParagraph"/>
              <w:spacing w:before="30"/>
              <w:ind w:left="73" w:right="41"/>
              <w:jc w:val="center"/>
              <w:rPr>
                <w:sz w:val="22"/>
              </w:rPr>
            </w:pPr>
            <w:r>
              <w:rPr>
                <w:sz w:val="22"/>
              </w:rPr>
              <w:t>108</w:t>
            </w:r>
          </w:p>
        </w:tc>
        <w:tc>
          <w:tcPr>
            <w:tcW w:w="811" w:type="dxa"/>
          </w:tcPr>
          <w:p>
            <w:pPr>
              <w:pStyle w:val="TableParagraph"/>
              <w:spacing w:before="30"/>
              <w:ind w:right="63"/>
              <w:rPr>
                <w:sz w:val="22"/>
              </w:rPr>
            </w:pPr>
            <w:r>
              <w:rPr>
                <w:sz w:val="22"/>
              </w:rPr>
              <w:t>-2,759</w:t>
            </w:r>
          </w:p>
        </w:tc>
        <w:tc>
          <w:tcPr>
            <w:tcW w:w="929" w:type="dxa"/>
          </w:tcPr>
          <w:p>
            <w:pPr>
              <w:pStyle w:val="TableParagraph"/>
              <w:spacing w:before="30"/>
              <w:ind w:left="108" w:right="47"/>
              <w:jc w:val="center"/>
              <w:rPr>
                <w:sz w:val="22"/>
              </w:rPr>
            </w:pPr>
            <w:r>
              <w:rPr>
                <w:sz w:val="22"/>
              </w:rPr>
              <w:t>605,299</w:t>
            </w:r>
          </w:p>
        </w:tc>
        <w:tc>
          <w:tcPr>
            <w:tcW w:w="1174" w:type="dxa"/>
          </w:tcPr>
          <w:p>
            <w:pPr>
              <w:pStyle w:val="TableParagraph"/>
              <w:spacing w:before="30"/>
              <w:rPr>
                <w:sz w:val="22"/>
              </w:rPr>
            </w:pPr>
            <w:r>
              <w:rPr>
                <w:sz w:val="22"/>
              </w:rPr>
              <w:t>-299,582</w:t>
            </w:r>
          </w:p>
        </w:tc>
        <w:tc>
          <w:tcPr>
            <w:tcW w:w="809" w:type="dxa"/>
          </w:tcPr>
          <w:p>
            <w:pPr>
              <w:pStyle w:val="TableParagraph"/>
              <w:spacing w:before="30"/>
              <w:ind w:left="59" w:right="0"/>
              <w:jc w:val="center"/>
              <w:rPr>
                <w:sz w:val="22"/>
              </w:rPr>
            </w:pPr>
            <w:r>
              <w:rPr>
                <w:sz w:val="22"/>
              </w:rPr>
              <w:t>24,603</w:t>
            </w:r>
          </w:p>
        </w:tc>
        <w:tc>
          <w:tcPr>
            <w:tcW w:w="1356" w:type="dxa"/>
          </w:tcPr>
          <w:p>
            <w:pPr>
              <w:pStyle w:val="TableParagraph"/>
              <w:spacing w:before="30"/>
              <w:rPr>
                <w:sz w:val="22"/>
              </w:rPr>
            </w:pPr>
            <w:r>
              <w:rPr>
                <w:sz w:val="22"/>
              </w:rPr>
              <w:t>-22099,339</w:t>
            </w:r>
          </w:p>
        </w:tc>
        <w:tc>
          <w:tcPr>
            <w:tcW w:w="1637" w:type="dxa"/>
          </w:tcPr>
          <w:p>
            <w:pPr>
              <w:pStyle w:val="TableParagraph"/>
              <w:spacing w:before="30"/>
              <w:ind w:right="63"/>
              <w:rPr>
                <w:sz w:val="22"/>
              </w:rPr>
            </w:pPr>
            <w:r>
              <w:rPr>
                <w:sz w:val="22"/>
              </w:rPr>
              <w:t>-0,045729583</w:t>
            </w:r>
          </w:p>
        </w:tc>
      </w:tr>
      <w:tr>
        <w:trPr>
          <w:trHeight w:val="312" w:hRule="exact"/>
        </w:trPr>
        <w:tc>
          <w:tcPr>
            <w:tcW w:w="838" w:type="dxa"/>
          </w:tcPr>
          <w:p>
            <w:pPr>
              <w:pStyle w:val="TableParagraph"/>
              <w:spacing w:before="13"/>
              <w:ind w:right="1"/>
              <w:jc w:val="center"/>
              <w:rPr>
                <w:sz w:val="22"/>
              </w:rPr>
            </w:pPr>
            <w:r>
              <w:rPr>
                <w:w w:val="100"/>
                <w:sz w:val="22"/>
              </w:rPr>
              <w:t>2</w:t>
            </w:r>
          </w:p>
        </w:tc>
        <w:tc>
          <w:tcPr>
            <w:tcW w:w="809" w:type="dxa"/>
          </w:tcPr>
          <w:p>
            <w:pPr>
              <w:pStyle w:val="TableParagraph"/>
              <w:spacing w:before="30"/>
              <w:ind w:left="59" w:right="0"/>
              <w:jc w:val="center"/>
              <w:rPr>
                <w:sz w:val="22"/>
              </w:rPr>
            </w:pPr>
            <w:r>
              <w:rPr>
                <w:sz w:val="22"/>
              </w:rPr>
              <w:t>121,03</w:t>
            </w:r>
          </w:p>
        </w:tc>
        <w:tc>
          <w:tcPr>
            <w:tcW w:w="504" w:type="dxa"/>
          </w:tcPr>
          <w:p>
            <w:pPr>
              <w:pStyle w:val="TableParagraph"/>
              <w:spacing w:before="30"/>
              <w:ind w:left="184" w:right="42"/>
              <w:jc w:val="center"/>
              <w:rPr>
                <w:sz w:val="22"/>
              </w:rPr>
            </w:pPr>
            <w:r>
              <w:rPr>
                <w:sz w:val="22"/>
              </w:rPr>
              <w:t>81</w:t>
            </w:r>
          </w:p>
        </w:tc>
        <w:tc>
          <w:tcPr>
            <w:tcW w:w="811" w:type="dxa"/>
          </w:tcPr>
          <w:p>
            <w:pPr>
              <w:pStyle w:val="TableParagraph"/>
              <w:spacing w:before="30"/>
              <w:ind w:right="63"/>
              <w:rPr>
                <w:sz w:val="22"/>
              </w:rPr>
            </w:pPr>
            <w:r>
              <w:rPr>
                <w:sz w:val="22"/>
              </w:rPr>
              <w:t>12,346</w:t>
            </w:r>
          </w:p>
        </w:tc>
        <w:tc>
          <w:tcPr>
            <w:tcW w:w="929" w:type="dxa"/>
          </w:tcPr>
          <w:p>
            <w:pPr>
              <w:pStyle w:val="TableParagraph"/>
              <w:spacing w:before="30"/>
              <w:ind w:left="108" w:right="47"/>
              <w:jc w:val="center"/>
              <w:rPr>
                <w:sz w:val="22"/>
              </w:rPr>
            </w:pPr>
            <w:r>
              <w:rPr>
                <w:sz w:val="22"/>
              </w:rPr>
              <w:t>137,719</w:t>
            </w:r>
          </w:p>
        </w:tc>
        <w:tc>
          <w:tcPr>
            <w:tcW w:w="1174" w:type="dxa"/>
          </w:tcPr>
          <w:p>
            <w:pPr>
              <w:pStyle w:val="TableParagraph"/>
              <w:spacing w:before="30"/>
              <w:rPr>
                <w:sz w:val="22"/>
              </w:rPr>
            </w:pPr>
            <w:r>
              <w:rPr>
                <w:sz w:val="22"/>
              </w:rPr>
              <w:t>1494,198</w:t>
            </w:r>
          </w:p>
        </w:tc>
        <w:tc>
          <w:tcPr>
            <w:tcW w:w="809" w:type="dxa"/>
          </w:tcPr>
          <w:p>
            <w:pPr>
              <w:pStyle w:val="TableParagraph"/>
              <w:spacing w:before="30"/>
              <w:ind w:left="59" w:right="0"/>
              <w:jc w:val="center"/>
              <w:rPr>
                <w:sz w:val="22"/>
              </w:rPr>
            </w:pPr>
            <w:r>
              <w:rPr>
                <w:sz w:val="22"/>
              </w:rPr>
              <w:t>11,735</w:t>
            </w:r>
          </w:p>
        </w:tc>
        <w:tc>
          <w:tcPr>
            <w:tcW w:w="1356" w:type="dxa"/>
          </w:tcPr>
          <w:p>
            <w:pPr>
              <w:pStyle w:val="TableParagraph"/>
              <w:spacing w:before="30"/>
              <w:rPr>
                <w:sz w:val="22"/>
              </w:rPr>
            </w:pPr>
            <w:r>
              <w:rPr>
                <w:sz w:val="22"/>
              </w:rPr>
              <w:t>8249,659</w:t>
            </w:r>
          </w:p>
        </w:tc>
        <w:tc>
          <w:tcPr>
            <w:tcW w:w="1637" w:type="dxa"/>
          </w:tcPr>
          <w:p>
            <w:pPr>
              <w:pStyle w:val="TableParagraph"/>
              <w:spacing w:before="30"/>
              <w:ind w:right="63"/>
              <w:rPr>
                <w:sz w:val="22"/>
              </w:rPr>
            </w:pPr>
            <w:r>
              <w:rPr>
                <w:sz w:val="22"/>
              </w:rPr>
              <w:t>0,017070803</w:t>
            </w:r>
          </w:p>
        </w:tc>
      </w:tr>
      <w:tr>
        <w:trPr>
          <w:trHeight w:val="310" w:hRule="exact"/>
        </w:trPr>
        <w:tc>
          <w:tcPr>
            <w:tcW w:w="838" w:type="dxa"/>
          </w:tcPr>
          <w:p>
            <w:pPr>
              <w:pStyle w:val="TableParagraph"/>
              <w:spacing w:before="11"/>
              <w:ind w:right="1"/>
              <w:jc w:val="center"/>
              <w:rPr>
                <w:sz w:val="22"/>
              </w:rPr>
            </w:pPr>
            <w:r>
              <w:rPr>
                <w:w w:val="100"/>
                <w:sz w:val="22"/>
              </w:rPr>
              <w:t>3</w:t>
            </w:r>
          </w:p>
        </w:tc>
        <w:tc>
          <w:tcPr>
            <w:tcW w:w="809" w:type="dxa"/>
          </w:tcPr>
          <w:p>
            <w:pPr>
              <w:pStyle w:val="TableParagraph"/>
              <w:ind w:left="59" w:right="0"/>
              <w:jc w:val="center"/>
              <w:rPr>
                <w:sz w:val="22"/>
              </w:rPr>
            </w:pPr>
            <w:r>
              <w:rPr>
                <w:sz w:val="22"/>
              </w:rPr>
              <w:t>130,21</w:t>
            </w:r>
          </w:p>
        </w:tc>
        <w:tc>
          <w:tcPr>
            <w:tcW w:w="504" w:type="dxa"/>
          </w:tcPr>
          <w:p>
            <w:pPr>
              <w:pStyle w:val="TableParagraph"/>
              <w:ind w:left="184" w:right="42"/>
              <w:jc w:val="center"/>
              <w:rPr>
                <w:sz w:val="22"/>
              </w:rPr>
            </w:pPr>
            <w:r>
              <w:rPr>
                <w:sz w:val="22"/>
              </w:rPr>
              <w:t>77</w:t>
            </w:r>
          </w:p>
        </w:tc>
        <w:tc>
          <w:tcPr>
            <w:tcW w:w="811" w:type="dxa"/>
          </w:tcPr>
          <w:p>
            <w:pPr>
              <w:pStyle w:val="TableParagraph"/>
              <w:ind w:right="63"/>
              <w:rPr>
                <w:sz w:val="22"/>
              </w:rPr>
            </w:pPr>
            <w:r>
              <w:rPr>
                <w:sz w:val="22"/>
              </w:rPr>
              <w:t>9,502</w:t>
            </w:r>
          </w:p>
        </w:tc>
        <w:tc>
          <w:tcPr>
            <w:tcW w:w="929" w:type="dxa"/>
          </w:tcPr>
          <w:p>
            <w:pPr>
              <w:pStyle w:val="TableParagraph"/>
              <w:ind w:left="108" w:right="47"/>
              <w:jc w:val="center"/>
              <w:rPr>
                <w:sz w:val="22"/>
              </w:rPr>
            </w:pPr>
            <w:r>
              <w:rPr>
                <w:sz w:val="22"/>
              </w:rPr>
              <w:t>120,755</w:t>
            </w:r>
          </w:p>
        </w:tc>
        <w:tc>
          <w:tcPr>
            <w:tcW w:w="1174" w:type="dxa"/>
          </w:tcPr>
          <w:p>
            <w:pPr>
              <w:pStyle w:val="TableParagraph"/>
              <w:rPr>
                <w:sz w:val="22"/>
              </w:rPr>
            </w:pPr>
            <w:r>
              <w:rPr>
                <w:sz w:val="22"/>
              </w:rPr>
              <w:t>1237,224</w:t>
            </w:r>
          </w:p>
        </w:tc>
        <w:tc>
          <w:tcPr>
            <w:tcW w:w="809" w:type="dxa"/>
          </w:tcPr>
          <w:p>
            <w:pPr>
              <w:pStyle w:val="TableParagraph"/>
              <w:ind w:left="59" w:right="0"/>
              <w:jc w:val="center"/>
              <w:rPr>
                <w:sz w:val="22"/>
              </w:rPr>
            </w:pPr>
            <w:r>
              <w:rPr>
                <w:sz w:val="22"/>
              </w:rPr>
              <w:t>10,989</w:t>
            </w:r>
          </w:p>
        </w:tc>
        <w:tc>
          <w:tcPr>
            <w:tcW w:w="1356" w:type="dxa"/>
          </w:tcPr>
          <w:p>
            <w:pPr>
              <w:pStyle w:val="TableParagraph"/>
              <w:rPr>
                <w:sz w:val="22"/>
              </w:rPr>
            </w:pPr>
            <w:r>
              <w:rPr>
                <w:sz w:val="22"/>
              </w:rPr>
              <w:t>11025,382</w:t>
            </w:r>
          </w:p>
        </w:tc>
        <w:tc>
          <w:tcPr>
            <w:tcW w:w="1637" w:type="dxa"/>
          </w:tcPr>
          <w:p>
            <w:pPr>
              <w:pStyle w:val="TableParagraph"/>
              <w:ind w:right="63"/>
              <w:rPr>
                <w:sz w:val="22"/>
              </w:rPr>
            </w:pPr>
            <w:r>
              <w:rPr>
                <w:sz w:val="22"/>
              </w:rPr>
              <w:t>0,022814533</w:t>
            </w:r>
          </w:p>
        </w:tc>
      </w:tr>
      <w:tr>
        <w:trPr>
          <w:trHeight w:val="310" w:hRule="exact"/>
        </w:trPr>
        <w:tc>
          <w:tcPr>
            <w:tcW w:w="838" w:type="dxa"/>
          </w:tcPr>
          <w:p>
            <w:pPr>
              <w:pStyle w:val="TableParagraph"/>
              <w:spacing w:before="13"/>
              <w:ind w:right="1"/>
              <w:jc w:val="center"/>
              <w:rPr>
                <w:sz w:val="22"/>
              </w:rPr>
            </w:pPr>
            <w:r>
              <w:rPr>
                <w:w w:val="100"/>
                <w:sz w:val="22"/>
              </w:rPr>
              <w:t>4</w:t>
            </w:r>
          </w:p>
        </w:tc>
        <w:tc>
          <w:tcPr>
            <w:tcW w:w="809" w:type="dxa"/>
          </w:tcPr>
          <w:p>
            <w:pPr>
              <w:pStyle w:val="TableParagraph"/>
              <w:ind w:left="59" w:right="0"/>
              <w:jc w:val="center"/>
              <w:rPr>
                <w:sz w:val="22"/>
              </w:rPr>
            </w:pPr>
            <w:r>
              <w:rPr>
                <w:sz w:val="22"/>
              </w:rPr>
              <w:t>155,12</w:t>
            </w:r>
          </w:p>
        </w:tc>
        <w:tc>
          <w:tcPr>
            <w:tcW w:w="504" w:type="dxa"/>
          </w:tcPr>
          <w:p>
            <w:pPr>
              <w:pStyle w:val="TableParagraph"/>
              <w:ind w:left="184" w:right="42"/>
              <w:jc w:val="center"/>
              <w:rPr>
                <w:sz w:val="22"/>
              </w:rPr>
            </w:pPr>
            <w:r>
              <w:rPr>
                <w:sz w:val="22"/>
              </w:rPr>
              <w:t>92</w:t>
            </w:r>
          </w:p>
        </w:tc>
        <w:tc>
          <w:tcPr>
            <w:tcW w:w="811" w:type="dxa"/>
          </w:tcPr>
          <w:p>
            <w:pPr>
              <w:pStyle w:val="TableParagraph"/>
              <w:ind w:right="63"/>
              <w:rPr>
                <w:sz w:val="22"/>
              </w:rPr>
            </w:pPr>
            <w:r>
              <w:rPr>
                <w:sz w:val="22"/>
              </w:rPr>
              <w:t>22,449</w:t>
            </w:r>
          </w:p>
        </w:tc>
        <w:tc>
          <w:tcPr>
            <w:tcW w:w="929" w:type="dxa"/>
          </w:tcPr>
          <w:p>
            <w:pPr>
              <w:pStyle w:val="TableParagraph"/>
              <w:ind w:left="108" w:right="47"/>
              <w:jc w:val="center"/>
              <w:rPr>
                <w:sz w:val="22"/>
              </w:rPr>
            </w:pPr>
            <w:r>
              <w:rPr>
                <w:sz w:val="22"/>
              </w:rPr>
              <w:t>206,214</w:t>
            </w:r>
          </w:p>
        </w:tc>
        <w:tc>
          <w:tcPr>
            <w:tcW w:w="1174" w:type="dxa"/>
          </w:tcPr>
          <w:p>
            <w:pPr>
              <w:pStyle w:val="TableParagraph"/>
              <w:rPr>
                <w:sz w:val="22"/>
              </w:rPr>
            </w:pPr>
            <w:r>
              <w:rPr>
                <w:sz w:val="22"/>
              </w:rPr>
              <w:t>3482,220</w:t>
            </w:r>
          </w:p>
        </w:tc>
        <w:tc>
          <w:tcPr>
            <w:tcW w:w="809" w:type="dxa"/>
          </w:tcPr>
          <w:p>
            <w:pPr>
              <w:pStyle w:val="TableParagraph"/>
              <w:ind w:left="59" w:right="0"/>
              <w:jc w:val="center"/>
              <w:rPr>
                <w:sz w:val="22"/>
              </w:rPr>
            </w:pPr>
            <w:r>
              <w:rPr>
                <w:sz w:val="22"/>
              </w:rPr>
              <w:t>14,360</w:t>
            </w:r>
          </w:p>
        </w:tc>
        <w:tc>
          <w:tcPr>
            <w:tcW w:w="1356" w:type="dxa"/>
          </w:tcPr>
          <w:p>
            <w:pPr>
              <w:pStyle w:val="TableParagraph"/>
              <w:rPr>
                <w:sz w:val="22"/>
              </w:rPr>
            </w:pPr>
            <w:r>
              <w:rPr>
                <w:sz w:val="22"/>
              </w:rPr>
              <w:t>22058,101</w:t>
            </w:r>
          </w:p>
        </w:tc>
        <w:tc>
          <w:tcPr>
            <w:tcW w:w="1637" w:type="dxa"/>
          </w:tcPr>
          <w:p>
            <w:pPr>
              <w:pStyle w:val="TableParagraph"/>
              <w:ind w:right="63"/>
              <w:rPr>
                <w:sz w:val="22"/>
              </w:rPr>
            </w:pPr>
            <w:r>
              <w:rPr>
                <w:sz w:val="22"/>
              </w:rPr>
              <w:t>0,045644249</w:t>
            </w:r>
          </w:p>
        </w:tc>
      </w:tr>
      <w:tr>
        <w:trPr>
          <w:trHeight w:val="310" w:hRule="exact"/>
        </w:trPr>
        <w:tc>
          <w:tcPr>
            <w:tcW w:w="838" w:type="dxa"/>
          </w:tcPr>
          <w:p>
            <w:pPr>
              <w:pStyle w:val="TableParagraph"/>
              <w:spacing w:before="13"/>
              <w:ind w:right="1"/>
              <w:jc w:val="center"/>
              <w:rPr>
                <w:sz w:val="22"/>
              </w:rPr>
            </w:pPr>
            <w:r>
              <w:rPr>
                <w:w w:val="100"/>
                <w:sz w:val="22"/>
              </w:rPr>
              <w:t>5</w:t>
            </w:r>
          </w:p>
        </w:tc>
        <w:tc>
          <w:tcPr>
            <w:tcW w:w="809" w:type="dxa"/>
          </w:tcPr>
          <w:p>
            <w:pPr>
              <w:pStyle w:val="TableParagraph"/>
              <w:ind w:left="59" w:right="0"/>
              <w:jc w:val="center"/>
              <w:rPr>
                <w:sz w:val="22"/>
              </w:rPr>
            </w:pPr>
            <w:r>
              <w:rPr>
                <w:sz w:val="22"/>
              </w:rPr>
              <w:t>180,21</w:t>
            </w:r>
          </w:p>
        </w:tc>
        <w:tc>
          <w:tcPr>
            <w:tcW w:w="504" w:type="dxa"/>
          </w:tcPr>
          <w:p>
            <w:pPr>
              <w:pStyle w:val="TableParagraph"/>
              <w:ind w:left="73" w:right="41"/>
              <w:jc w:val="center"/>
              <w:rPr>
                <w:sz w:val="22"/>
              </w:rPr>
            </w:pPr>
            <w:r>
              <w:rPr>
                <w:sz w:val="22"/>
              </w:rPr>
              <w:t>132</w:t>
            </w:r>
          </w:p>
        </w:tc>
        <w:tc>
          <w:tcPr>
            <w:tcW w:w="811" w:type="dxa"/>
          </w:tcPr>
          <w:p>
            <w:pPr>
              <w:pStyle w:val="TableParagraph"/>
              <w:ind w:right="63"/>
              <w:rPr>
                <w:sz w:val="22"/>
              </w:rPr>
            </w:pPr>
            <w:r>
              <w:rPr>
                <w:sz w:val="22"/>
              </w:rPr>
              <w:t>31,239</w:t>
            </w:r>
          </w:p>
        </w:tc>
        <w:tc>
          <w:tcPr>
            <w:tcW w:w="929" w:type="dxa"/>
          </w:tcPr>
          <w:p>
            <w:pPr>
              <w:pStyle w:val="TableParagraph"/>
              <w:ind w:left="108" w:right="47"/>
              <w:jc w:val="center"/>
              <w:rPr>
                <w:sz w:val="22"/>
              </w:rPr>
            </w:pPr>
            <w:r>
              <w:rPr>
                <w:sz w:val="22"/>
              </w:rPr>
              <w:t>135,923</w:t>
            </w:r>
          </w:p>
        </w:tc>
        <w:tc>
          <w:tcPr>
            <w:tcW w:w="1174" w:type="dxa"/>
          </w:tcPr>
          <w:p>
            <w:pPr>
              <w:pStyle w:val="TableParagraph"/>
              <w:rPr>
                <w:sz w:val="22"/>
              </w:rPr>
            </w:pPr>
            <w:r>
              <w:rPr>
                <w:sz w:val="22"/>
              </w:rPr>
              <w:t>5629,594</w:t>
            </w:r>
          </w:p>
        </w:tc>
        <w:tc>
          <w:tcPr>
            <w:tcW w:w="809" w:type="dxa"/>
          </w:tcPr>
          <w:p>
            <w:pPr>
              <w:pStyle w:val="TableParagraph"/>
              <w:ind w:left="59" w:right="0"/>
              <w:jc w:val="center"/>
              <w:rPr>
                <w:sz w:val="22"/>
              </w:rPr>
            </w:pPr>
            <w:r>
              <w:rPr>
                <w:sz w:val="22"/>
              </w:rPr>
              <w:t>11,659</w:t>
            </w:r>
          </w:p>
        </w:tc>
        <w:tc>
          <w:tcPr>
            <w:tcW w:w="1356" w:type="dxa"/>
          </w:tcPr>
          <w:p>
            <w:pPr>
              <w:pStyle w:val="TableParagraph"/>
              <w:rPr>
                <w:sz w:val="22"/>
              </w:rPr>
            </w:pPr>
            <w:r>
              <w:rPr>
                <w:sz w:val="22"/>
              </w:rPr>
              <w:t>8936,026</w:t>
            </w:r>
          </w:p>
        </w:tc>
        <w:tc>
          <w:tcPr>
            <w:tcW w:w="1637" w:type="dxa"/>
          </w:tcPr>
          <w:p>
            <w:pPr>
              <w:pStyle w:val="TableParagraph"/>
              <w:ind w:right="63"/>
              <w:rPr>
                <w:sz w:val="22"/>
              </w:rPr>
            </w:pPr>
            <w:r>
              <w:rPr>
                <w:sz w:val="22"/>
              </w:rPr>
              <w:t>0,018491085</w:t>
            </w:r>
          </w:p>
        </w:tc>
      </w:tr>
      <w:tr>
        <w:trPr>
          <w:trHeight w:val="310" w:hRule="exact"/>
        </w:trPr>
        <w:tc>
          <w:tcPr>
            <w:tcW w:w="838" w:type="dxa"/>
          </w:tcPr>
          <w:p>
            <w:pPr>
              <w:pStyle w:val="TableParagraph"/>
              <w:spacing w:before="13"/>
              <w:ind w:right="0"/>
              <w:jc w:val="center"/>
              <w:rPr>
                <w:sz w:val="22"/>
              </w:rPr>
            </w:pPr>
            <w:r>
              <w:rPr>
                <w:w w:val="100"/>
                <w:sz w:val="22"/>
              </w:rPr>
              <w:t>N</w:t>
            </w:r>
          </w:p>
        </w:tc>
        <w:tc>
          <w:tcPr>
            <w:tcW w:w="809" w:type="dxa"/>
          </w:tcPr>
          <w:p>
            <w:pPr>
              <w:pStyle w:val="TableParagraph"/>
              <w:ind w:left="59" w:right="0"/>
              <w:jc w:val="center"/>
              <w:rPr>
                <w:sz w:val="22"/>
              </w:rPr>
            </w:pPr>
            <w:r>
              <w:rPr>
                <w:sz w:val="22"/>
              </w:rPr>
              <w:t>695,17</w:t>
            </w:r>
          </w:p>
        </w:tc>
        <w:tc>
          <w:tcPr>
            <w:tcW w:w="504" w:type="dxa"/>
          </w:tcPr>
          <w:p>
            <w:pPr/>
          </w:p>
        </w:tc>
        <w:tc>
          <w:tcPr>
            <w:tcW w:w="811" w:type="dxa"/>
          </w:tcPr>
          <w:p>
            <w:pPr/>
          </w:p>
        </w:tc>
        <w:tc>
          <w:tcPr>
            <w:tcW w:w="929" w:type="dxa"/>
          </w:tcPr>
          <w:p>
            <w:pPr>
              <w:pStyle w:val="TableParagraph"/>
              <w:spacing w:before="18"/>
              <w:ind w:left="31" w:right="47"/>
              <w:jc w:val="center"/>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74" w:type="dxa"/>
          </w:tcPr>
          <w:p>
            <w:pPr>
              <w:pStyle w:val="TableParagraph"/>
              <w:rPr>
                <w:sz w:val="22"/>
              </w:rPr>
            </w:pPr>
            <w:r>
              <w:rPr>
                <w:sz w:val="22"/>
              </w:rPr>
              <w:t>11543,655</w:t>
            </w:r>
          </w:p>
        </w:tc>
        <w:tc>
          <w:tcPr>
            <w:tcW w:w="809" w:type="dxa"/>
          </w:tcPr>
          <w:p>
            <w:pPr/>
          </w:p>
        </w:tc>
        <w:tc>
          <w:tcPr>
            <w:tcW w:w="1356" w:type="dxa"/>
          </w:tcPr>
          <w:p>
            <w:pPr>
              <w:pStyle w:val="TableParagraph"/>
              <w:rPr>
                <w:sz w:val="22"/>
              </w:rPr>
            </w:pPr>
            <w:r>
              <w:rPr>
                <w:sz w:val="22"/>
              </w:rPr>
              <w:t>28169,828</w:t>
            </w:r>
          </w:p>
        </w:tc>
        <w:tc>
          <w:tcPr>
            <w:tcW w:w="1637" w:type="dxa"/>
          </w:tcPr>
          <w:p>
            <w:pPr>
              <w:pStyle w:val="TableParagraph"/>
              <w:ind w:right="63"/>
              <w:rPr>
                <w:sz w:val="22"/>
              </w:rPr>
            </w:pPr>
            <w:r>
              <w:rPr>
                <w:sz w:val="22"/>
              </w:rPr>
              <w:t>0,058291087</w:t>
            </w:r>
          </w:p>
        </w:tc>
      </w:tr>
      <w:tr>
        <w:trPr>
          <w:trHeight w:val="310" w:hRule="exact"/>
        </w:trPr>
        <w:tc>
          <w:tcPr>
            <w:tcW w:w="5064" w:type="dxa"/>
            <w:gridSpan w:val="6"/>
            <w:vMerge w:val="restart"/>
            <w:tcBorders>
              <w:left w:val="nil"/>
            </w:tcBorders>
          </w:tcPr>
          <w:p>
            <w:pPr/>
          </w:p>
        </w:tc>
        <w:tc>
          <w:tcPr>
            <w:tcW w:w="2165" w:type="dxa"/>
            <w:gridSpan w:val="2"/>
          </w:tcPr>
          <w:p>
            <w:pPr>
              <w:pStyle w:val="TableParagraph"/>
              <w:spacing w:before="13"/>
              <w:ind w:left="64" w:right="89"/>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37" w:type="dxa"/>
          </w:tcPr>
          <w:p>
            <w:pPr>
              <w:pStyle w:val="TableParagraph"/>
              <w:spacing w:before="30"/>
              <w:ind w:right="63"/>
              <w:rPr>
                <w:b/>
                <w:sz w:val="22"/>
              </w:rPr>
            </w:pPr>
            <w:r>
              <w:rPr>
                <w:b/>
                <w:sz w:val="22"/>
              </w:rPr>
              <w:t>16,606</w:t>
            </w:r>
          </w:p>
        </w:tc>
      </w:tr>
      <w:tr>
        <w:trPr>
          <w:trHeight w:val="312" w:hRule="exact"/>
        </w:trPr>
        <w:tc>
          <w:tcPr>
            <w:tcW w:w="5064" w:type="dxa"/>
            <w:gridSpan w:val="6"/>
            <w:vMerge/>
            <w:tcBorders>
              <w:left w:val="nil"/>
            </w:tcBorders>
          </w:tcPr>
          <w:p>
            <w:pPr/>
          </w:p>
        </w:tc>
        <w:tc>
          <w:tcPr>
            <w:tcW w:w="2165" w:type="dxa"/>
            <w:gridSpan w:val="2"/>
          </w:tcPr>
          <w:p>
            <w:pPr>
              <w:pStyle w:val="TableParagraph"/>
              <w:spacing w:before="13"/>
              <w:ind w:left="64" w:right="89"/>
              <w:jc w:val="left"/>
              <w:rPr>
                <w:sz w:val="22"/>
              </w:rPr>
            </w:pPr>
            <w:r>
              <w:rPr>
                <w:sz w:val="22"/>
              </w:rPr>
              <w:t>Desviación estándar</w:t>
            </w:r>
          </w:p>
        </w:tc>
        <w:tc>
          <w:tcPr>
            <w:tcW w:w="1637" w:type="dxa"/>
          </w:tcPr>
          <w:p>
            <w:pPr>
              <w:pStyle w:val="TableParagraph"/>
              <w:spacing w:before="30"/>
              <w:ind w:right="63"/>
              <w:rPr>
                <w:b/>
                <w:sz w:val="22"/>
              </w:rPr>
            </w:pPr>
            <w:r>
              <w:rPr>
                <w:b/>
                <w:sz w:val="22"/>
              </w:rPr>
              <w:t>0,241</w:t>
            </w:r>
          </w:p>
        </w:tc>
      </w:tr>
      <w:tr>
        <w:trPr>
          <w:trHeight w:val="310" w:hRule="exact"/>
        </w:trPr>
        <w:tc>
          <w:tcPr>
            <w:tcW w:w="5064" w:type="dxa"/>
            <w:gridSpan w:val="6"/>
            <w:vMerge/>
            <w:tcBorders>
              <w:left w:val="nil"/>
            </w:tcBorders>
          </w:tcPr>
          <w:p>
            <w:pPr/>
          </w:p>
        </w:tc>
        <w:tc>
          <w:tcPr>
            <w:tcW w:w="2165" w:type="dxa"/>
            <w:gridSpan w:val="2"/>
            <w:vMerge w:val="restart"/>
          </w:tcPr>
          <w:p>
            <w:pPr>
              <w:pStyle w:val="TableParagraph"/>
              <w:spacing w:before="33"/>
              <w:ind w:left="64" w:right="89"/>
              <w:jc w:val="left"/>
              <w:rPr>
                <w:sz w:val="22"/>
              </w:rPr>
            </w:pPr>
            <w:r>
              <w:rPr>
                <w:sz w:val="22"/>
              </w:rPr>
              <w:t>Intervalo de confianza al 95 %</w:t>
            </w:r>
          </w:p>
        </w:tc>
        <w:tc>
          <w:tcPr>
            <w:tcW w:w="1637" w:type="dxa"/>
          </w:tcPr>
          <w:p>
            <w:pPr>
              <w:pStyle w:val="TableParagraph"/>
              <w:ind w:right="63"/>
              <w:rPr>
                <w:sz w:val="22"/>
              </w:rPr>
            </w:pPr>
            <w:r>
              <w:rPr>
                <w:sz w:val="22"/>
              </w:rPr>
              <w:t>16,13</w:t>
            </w:r>
          </w:p>
        </w:tc>
      </w:tr>
      <w:tr>
        <w:trPr>
          <w:trHeight w:val="310" w:hRule="exact"/>
        </w:trPr>
        <w:tc>
          <w:tcPr>
            <w:tcW w:w="5064" w:type="dxa"/>
            <w:gridSpan w:val="6"/>
            <w:vMerge/>
            <w:tcBorders>
              <w:left w:val="nil"/>
              <w:bottom w:val="nil"/>
            </w:tcBorders>
          </w:tcPr>
          <w:p>
            <w:pPr/>
          </w:p>
        </w:tc>
        <w:tc>
          <w:tcPr>
            <w:tcW w:w="2165" w:type="dxa"/>
            <w:gridSpan w:val="2"/>
            <w:vMerge/>
          </w:tcPr>
          <w:p>
            <w:pPr/>
          </w:p>
        </w:tc>
        <w:tc>
          <w:tcPr>
            <w:tcW w:w="1637" w:type="dxa"/>
          </w:tcPr>
          <w:p>
            <w:pPr>
              <w:pStyle w:val="TableParagraph"/>
              <w:ind w:right="63"/>
              <w:rPr>
                <w:sz w:val="22"/>
              </w:rPr>
            </w:pPr>
            <w:r>
              <w:rPr>
                <w:sz w:val="22"/>
              </w:rPr>
              <w:t>17,08</w:t>
            </w:r>
          </w:p>
        </w:tc>
      </w:tr>
    </w:tbl>
    <w:p>
      <w:pPr>
        <w:spacing w:after="0"/>
        <w:rPr>
          <w:sz w:val="22"/>
        </w:rPr>
        <w:sectPr>
          <w:pgSz w:w="12240" w:h="15840"/>
          <w:pgMar w:header="725" w:footer="1084" w:top="1340" w:bottom="1280" w:left="920" w:right="1200"/>
        </w:sectPr>
      </w:pPr>
    </w:p>
    <w:p>
      <w:pPr>
        <w:spacing w:before="172"/>
        <w:ind w:left="3625" w:right="2707" w:firstLine="0"/>
        <w:jc w:val="left"/>
        <w:rPr>
          <w:b/>
          <w:sz w:val="22"/>
        </w:rPr>
      </w:pPr>
      <w:r>
        <w:rPr>
          <w:b/>
          <w:sz w:val="22"/>
        </w:rPr>
        <w:t>Oxígeno disuelto (mg de O</w:t>
      </w:r>
      <w:r>
        <w:rPr>
          <w:b/>
          <w:position w:val="-2"/>
          <w:sz w:val="14"/>
        </w:rPr>
        <w:t>2</w:t>
      </w:r>
      <w:r>
        <w:rPr>
          <w:b/>
          <w:sz w:val="22"/>
        </w:rPr>
        <w:t>/L)</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8"/>
        <w:gridCol w:w="922"/>
        <w:gridCol w:w="521"/>
        <w:gridCol w:w="758"/>
        <w:gridCol w:w="761"/>
        <w:gridCol w:w="1241"/>
        <w:gridCol w:w="761"/>
        <w:gridCol w:w="1274"/>
        <w:gridCol w:w="1706"/>
      </w:tblGrid>
      <w:tr>
        <w:trPr>
          <w:trHeight w:val="312" w:hRule="exact"/>
        </w:trPr>
        <w:tc>
          <w:tcPr>
            <w:tcW w:w="8902" w:type="dxa"/>
            <w:gridSpan w:val="9"/>
          </w:tcPr>
          <w:p>
            <w:pPr>
              <w:pStyle w:val="TableParagraph"/>
              <w:spacing w:before="21"/>
              <w:ind w:left="3476" w:right="3476"/>
              <w:jc w:val="center"/>
              <w:rPr>
                <w:sz w:val="22"/>
              </w:rPr>
            </w:pPr>
            <w:r>
              <w:rPr>
                <w:sz w:val="22"/>
              </w:rPr>
              <w:t>Punto de muestreo A</w:t>
            </w:r>
          </w:p>
        </w:tc>
      </w:tr>
      <w:tr>
        <w:trPr>
          <w:trHeight w:val="310" w:hRule="exact"/>
        </w:trPr>
        <w:tc>
          <w:tcPr>
            <w:tcW w:w="958" w:type="dxa"/>
          </w:tcPr>
          <w:p>
            <w:pPr>
              <w:pStyle w:val="TableParagraph"/>
              <w:spacing w:before="2"/>
              <w:ind w:left="64" w:right="0"/>
              <w:jc w:val="left"/>
              <w:rPr>
                <w:sz w:val="22"/>
              </w:rPr>
            </w:pPr>
            <w:r>
              <w:rPr>
                <w:sz w:val="22"/>
              </w:rPr>
              <w:t>Estrato</w:t>
            </w:r>
          </w:p>
        </w:tc>
        <w:tc>
          <w:tcPr>
            <w:tcW w:w="922" w:type="dxa"/>
          </w:tcPr>
          <w:p>
            <w:pPr>
              <w:pStyle w:val="TableParagraph"/>
              <w:spacing w:before="31"/>
              <w:ind w:left="297" w:right="312"/>
              <w:jc w:val="center"/>
              <w:rPr>
                <w:rFonts w:ascii="Cambria Math"/>
                <w:sz w:val="16"/>
              </w:rPr>
            </w:pPr>
            <w:r>
              <w:rPr>
                <w:rFonts w:ascii="Cambria Math"/>
                <w:w w:val="110"/>
                <w:sz w:val="22"/>
              </w:rPr>
              <w:t>N</w:t>
            </w:r>
            <w:r>
              <w:rPr>
                <w:rFonts w:ascii="Cambria Math"/>
                <w:w w:val="110"/>
                <w:position w:val="-4"/>
                <w:sz w:val="16"/>
              </w:rPr>
              <w:t>h</w:t>
            </w:r>
          </w:p>
        </w:tc>
        <w:tc>
          <w:tcPr>
            <w:tcW w:w="521" w:type="dxa"/>
          </w:tcPr>
          <w:p>
            <w:pPr>
              <w:pStyle w:val="TableParagraph"/>
              <w:spacing w:before="31"/>
              <w:ind w:left="35" w:right="43"/>
              <w:jc w:val="center"/>
              <w:rPr>
                <w:rFonts w:ascii="Cambria Math"/>
                <w:sz w:val="16"/>
              </w:rPr>
            </w:pPr>
            <w:r>
              <w:rPr>
                <w:rFonts w:ascii="Cambria Math"/>
                <w:w w:val="110"/>
                <w:sz w:val="22"/>
              </w:rPr>
              <w:t>n</w:t>
            </w:r>
            <w:r>
              <w:rPr>
                <w:rFonts w:ascii="Cambria Math"/>
                <w:w w:val="110"/>
                <w:position w:val="-4"/>
                <w:sz w:val="16"/>
              </w:rPr>
              <w:t>h</w:t>
            </w:r>
          </w:p>
        </w:tc>
        <w:tc>
          <w:tcPr>
            <w:tcW w:w="758" w:type="dxa"/>
          </w:tcPr>
          <w:p>
            <w:pPr>
              <w:pStyle w:val="TableParagraph"/>
              <w:spacing w:before="31"/>
              <w:ind w:left="259"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61" w:type="dxa"/>
          </w:tcPr>
          <w:p>
            <w:pPr>
              <w:pStyle w:val="TableParagraph"/>
              <w:spacing w:line="211" w:lineRule="exact" w:before="0"/>
              <w:ind w:left="233" w:right="238"/>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41" w:type="dxa"/>
          </w:tcPr>
          <w:p>
            <w:pPr>
              <w:pStyle w:val="TableParagraph"/>
              <w:spacing w:before="7"/>
              <w:ind w:left="496" w:right="50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61" w:type="dxa"/>
          </w:tcPr>
          <w:p>
            <w:pPr>
              <w:pStyle w:val="TableParagraph"/>
              <w:spacing w:before="31"/>
              <w:ind w:left="233" w:right="241"/>
              <w:jc w:val="center"/>
              <w:rPr>
                <w:rFonts w:ascii="Cambria Math"/>
                <w:sz w:val="16"/>
              </w:rPr>
            </w:pPr>
            <w:r>
              <w:rPr>
                <w:rFonts w:ascii="Cambria Math"/>
                <w:w w:val="110"/>
                <w:sz w:val="22"/>
              </w:rPr>
              <w:t>s</w:t>
            </w:r>
            <w:r>
              <w:rPr>
                <w:rFonts w:ascii="Cambria Math"/>
                <w:w w:val="110"/>
                <w:position w:val="-4"/>
                <w:sz w:val="16"/>
              </w:rPr>
              <w:t>h</w:t>
            </w:r>
          </w:p>
        </w:tc>
        <w:tc>
          <w:tcPr>
            <w:tcW w:w="1274" w:type="dxa"/>
          </w:tcPr>
          <w:p>
            <w:pPr>
              <w:pStyle w:val="TableParagraph"/>
              <w:spacing w:line="326" w:lineRule="exact" w:before="0"/>
              <w:ind w:left="30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706" w:type="dxa"/>
          </w:tcPr>
          <w:p>
            <w:pPr>
              <w:pStyle w:val="TableParagraph"/>
              <w:spacing w:line="326" w:lineRule="exact" w:before="0"/>
              <w:ind w:left="50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58" w:type="dxa"/>
          </w:tcPr>
          <w:p>
            <w:pPr>
              <w:pStyle w:val="TableParagraph"/>
              <w:spacing w:before="19"/>
              <w:ind w:right="1"/>
              <w:jc w:val="center"/>
              <w:rPr>
                <w:sz w:val="22"/>
              </w:rPr>
            </w:pPr>
            <w:r>
              <w:rPr>
                <w:w w:val="100"/>
                <w:sz w:val="22"/>
              </w:rPr>
              <w:t>1</w:t>
            </w:r>
          </w:p>
        </w:tc>
        <w:tc>
          <w:tcPr>
            <w:tcW w:w="922" w:type="dxa"/>
          </w:tcPr>
          <w:p>
            <w:pPr>
              <w:pStyle w:val="TableParagraph"/>
              <w:spacing w:before="19"/>
              <w:ind w:right="63"/>
              <w:rPr>
                <w:sz w:val="22"/>
              </w:rPr>
            </w:pPr>
            <w:r>
              <w:rPr>
                <w:sz w:val="22"/>
              </w:rPr>
              <w:t>108,60</w:t>
            </w:r>
          </w:p>
        </w:tc>
        <w:tc>
          <w:tcPr>
            <w:tcW w:w="521" w:type="dxa"/>
          </w:tcPr>
          <w:p>
            <w:pPr>
              <w:pStyle w:val="TableParagraph"/>
              <w:spacing w:before="19"/>
              <w:ind w:left="92" w:right="43"/>
              <w:jc w:val="center"/>
              <w:rPr>
                <w:sz w:val="22"/>
              </w:rPr>
            </w:pPr>
            <w:r>
              <w:rPr>
                <w:sz w:val="22"/>
              </w:rPr>
              <w:t>108</w:t>
            </w:r>
          </w:p>
        </w:tc>
        <w:tc>
          <w:tcPr>
            <w:tcW w:w="758" w:type="dxa"/>
          </w:tcPr>
          <w:p>
            <w:pPr>
              <w:pStyle w:val="TableParagraph"/>
              <w:spacing w:before="19"/>
              <w:ind w:left="182" w:right="0"/>
              <w:jc w:val="left"/>
              <w:rPr>
                <w:sz w:val="22"/>
              </w:rPr>
            </w:pPr>
            <w:r>
              <w:rPr>
                <w:sz w:val="22"/>
              </w:rPr>
              <w:t>6,629</w:t>
            </w:r>
          </w:p>
        </w:tc>
        <w:tc>
          <w:tcPr>
            <w:tcW w:w="761" w:type="dxa"/>
          </w:tcPr>
          <w:p>
            <w:pPr>
              <w:pStyle w:val="TableParagraph"/>
              <w:spacing w:before="19"/>
              <w:ind w:left="182" w:right="0"/>
              <w:jc w:val="left"/>
              <w:rPr>
                <w:sz w:val="22"/>
              </w:rPr>
            </w:pPr>
            <w:r>
              <w:rPr>
                <w:sz w:val="22"/>
              </w:rPr>
              <w:t>0,039</w:t>
            </w:r>
          </w:p>
        </w:tc>
        <w:tc>
          <w:tcPr>
            <w:tcW w:w="1241" w:type="dxa"/>
          </w:tcPr>
          <w:p>
            <w:pPr>
              <w:pStyle w:val="TableParagraph"/>
              <w:spacing w:before="19"/>
              <w:rPr>
                <w:sz w:val="22"/>
              </w:rPr>
            </w:pPr>
            <w:r>
              <w:rPr>
                <w:sz w:val="22"/>
              </w:rPr>
              <w:t>719,961</w:t>
            </w:r>
          </w:p>
        </w:tc>
        <w:tc>
          <w:tcPr>
            <w:tcW w:w="761" w:type="dxa"/>
          </w:tcPr>
          <w:p>
            <w:pPr>
              <w:pStyle w:val="TableParagraph"/>
              <w:spacing w:before="19"/>
              <w:ind w:right="63"/>
              <w:rPr>
                <w:sz w:val="22"/>
              </w:rPr>
            </w:pPr>
            <w:r>
              <w:rPr>
                <w:sz w:val="22"/>
              </w:rPr>
              <w:t>0,197</w:t>
            </w:r>
          </w:p>
        </w:tc>
        <w:tc>
          <w:tcPr>
            <w:tcW w:w="1274" w:type="dxa"/>
          </w:tcPr>
          <w:p>
            <w:pPr>
              <w:pStyle w:val="TableParagraph"/>
              <w:spacing w:before="19"/>
              <w:ind w:right="63"/>
              <w:rPr>
                <w:sz w:val="22"/>
              </w:rPr>
            </w:pPr>
            <w:r>
              <w:rPr>
                <w:sz w:val="22"/>
              </w:rPr>
              <w:t>-1,419</w:t>
            </w:r>
          </w:p>
        </w:tc>
        <w:tc>
          <w:tcPr>
            <w:tcW w:w="1706" w:type="dxa"/>
          </w:tcPr>
          <w:p>
            <w:pPr>
              <w:pStyle w:val="TableParagraph"/>
              <w:spacing w:before="19"/>
              <w:rPr>
                <w:sz w:val="22"/>
              </w:rPr>
            </w:pPr>
            <w:r>
              <w:rPr>
                <w:sz w:val="22"/>
              </w:rPr>
              <w:t>-0,00013374</w:t>
            </w:r>
          </w:p>
        </w:tc>
      </w:tr>
      <w:tr>
        <w:trPr>
          <w:trHeight w:val="310" w:hRule="exact"/>
        </w:trPr>
        <w:tc>
          <w:tcPr>
            <w:tcW w:w="958" w:type="dxa"/>
          </w:tcPr>
          <w:p>
            <w:pPr>
              <w:pStyle w:val="TableParagraph"/>
              <w:spacing w:before="19"/>
              <w:ind w:right="1"/>
              <w:jc w:val="center"/>
              <w:rPr>
                <w:sz w:val="22"/>
              </w:rPr>
            </w:pPr>
            <w:r>
              <w:rPr>
                <w:w w:val="100"/>
                <w:sz w:val="22"/>
              </w:rPr>
              <w:t>2</w:t>
            </w:r>
          </w:p>
        </w:tc>
        <w:tc>
          <w:tcPr>
            <w:tcW w:w="922" w:type="dxa"/>
          </w:tcPr>
          <w:p>
            <w:pPr>
              <w:pStyle w:val="TableParagraph"/>
              <w:spacing w:before="19"/>
              <w:ind w:right="63"/>
              <w:rPr>
                <w:sz w:val="22"/>
              </w:rPr>
            </w:pPr>
            <w:r>
              <w:rPr>
                <w:sz w:val="22"/>
              </w:rPr>
              <w:t>121,03</w:t>
            </w:r>
          </w:p>
        </w:tc>
        <w:tc>
          <w:tcPr>
            <w:tcW w:w="521" w:type="dxa"/>
          </w:tcPr>
          <w:p>
            <w:pPr>
              <w:pStyle w:val="TableParagraph"/>
              <w:spacing w:before="19"/>
              <w:ind w:left="202" w:right="43"/>
              <w:jc w:val="center"/>
              <w:rPr>
                <w:sz w:val="22"/>
              </w:rPr>
            </w:pPr>
            <w:r>
              <w:rPr>
                <w:sz w:val="22"/>
              </w:rPr>
              <w:t>81</w:t>
            </w:r>
          </w:p>
        </w:tc>
        <w:tc>
          <w:tcPr>
            <w:tcW w:w="758" w:type="dxa"/>
          </w:tcPr>
          <w:p>
            <w:pPr>
              <w:pStyle w:val="TableParagraph"/>
              <w:spacing w:before="19"/>
              <w:ind w:left="182" w:right="0"/>
              <w:jc w:val="left"/>
              <w:rPr>
                <w:sz w:val="22"/>
              </w:rPr>
            </w:pPr>
            <w:r>
              <w:rPr>
                <w:sz w:val="22"/>
              </w:rPr>
              <w:t>6,603</w:t>
            </w:r>
          </w:p>
        </w:tc>
        <w:tc>
          <w:tcPr>
            <w:tcW w:w="761" w:type="dxa"/>
          </w:tcPr>
          <w:p>
            <w:pPr>
              <w:pStyle w:val="TableParagraph"/>
              <w:spacing w:before="19"/>
              <w:ind w:left="182" w:right="0"/>
              <w:jc w:val="left"/>
              <w:rPr>
                <w:sz w:val="22"/>
              </w:rPr>
            </w:pPr>
            <w:r>
              <w:rPr>
                <w:sz w:val="22"/>
              </w:rPr>
              <w:t>0,019</w:t>
            </w:r>
          </w:p>
        </w:tc>
        <w:tc>
          <w:tcPr>
            <w:tcW w:w="1241" w:type="dxa"/>
          </w:tcPr>
          <w:p>
            <w:pPr>
              <w:pStyle w:val="TableParagraph"/>
              <w:spacing w:before="19"/>
              <w:rPr>
                <w:sz w:val="22"/>
              </w:rPr>
            </w:pPr>
            <w:r>
              <w:rPr>
                <w:sz w:val="22"/>
              </w:rPr>
              <w:t>799,101</w:t>
            </w:r>
          </w:p>
        </w:tc>
        <w:tc>
          <w:tcPr>
            <w:tcW w:w="761" w:type="dxa"/>
          </w:tcPr>
          <w:p>
            <w:pPr>
              <w:pStyle w:val="TableParagraph"/>
              <w:spacing w:before="19"/>
              <w:ind w:right="63"/>
              <w:rPr>
                <w:sz w:val="22"/>
              </w:rPr>
            </w:pPr>
            <w:r>
              <w:rPr>
                <w:sz w:val="22"/>
              </w:rPr>
              <w:t>0,139</w:t>
            </w:r>
          </w:p>
        </w:tc>
        <w:tc>
          <w:tcPr>
            <w:tcW w:w="1274" w:type="dxa"/>
          </w:tcPr>
          <w:p>
            <w:pPr>
              <w:pStyle w:val="TableParagraph"/>
              <w:spacing w:before="19"/>
              <w:ind w:right="63"/>
              <w:rPr>
                <w:sz w:val="22"/>
              </w:rPr>
            </w:pPr>
            <w:r>
              <w:rPr>
                <w:sz w:val="22"/>
              </w:rPr>
              <w:t>1,156</w:t>
            </w:r>
          </w:p>
        </w:tc>
        <w:tc>
          <w:tcPr>
            <w:tcW w:w="1706" w:type="dxa"/>
          </w:tcPr>
          <w:p>
            <w:pPr>
              <w:pStyle w:val="TableParagraph"/>
              <w:spacing w:before="19"/>
              <w:rPr>
                <w:sz w:val="22"/>
              </w:rPr>
            </w:pPr>
            <w:r>
              <w:rPr>
                <w:sz w:val="22"/>
              </w:rPr>
              <w:t>0,00010894</w:t>
            </w:r>
          </w:p>
        </w:tc>
      </w:tr>
      <w:tr>
        <w:trPr>
          <w:trHeight w:val="310" w:hRule="exact"/>
        </w:trPr>
        <w:tc>
          <w:tcPr>
            <w:tcW w:w="958" w:type="dxa"/>
          </w:tcPr>
          <w:p>
            <w:pPr>
              <w:pStyle w:val="TableParagraph"/>
              <w:spacing w:before="19"/>
              <w:ind w:right="1"/>
              <w:jc w:val="center"/>
              <w:rPr>
                <w:sz w:val="22"/>
              </w:rPr>
            </w:pPr>
            <w:r>
              <w:rPr>
                <w:w w:val="100"/>
                <w:sz w:val="22"/>
              </w:rPr>
              <w:t>3</w:t>
            </w:r>
          </w:p>
        </w:tc>
        <w:tc>
          <w:tcPr>
            <w:tcW w:w="922" w:type="dxa"/>
          </w:tcPr>
          <w:p>
            <w:pPr>
              <w:pStyle w:val="TableParagraph"/>
              <w:spacing w:before="19"/>
              <w:ind w:right="63"/>
              <w:rPr>
                <w:sz w:val="22"/>
              </w:rPr>
            </w:pPr>
            <w:r>
              <w:rPr>
                <w:sz w:val="22"/>
              </w:rPr>
              <w:t>130,21</w:t>
            </w:r>
          </w:p>
        </w:tc>
        <w:tc>
          <w:tcPr>
            <w:tcW w:w="521" w:type="dxa"/>
          </w:tcPr>
          <w:p>
            <w:pPr>
              <w:pStyle w:val="TableParagraph"/>
              <w:spacing w:before="19"/>
              <w:ind w:left="202" w:right="43"/>
              <w:jc w:val="center"/>
              <w:rPr>
                <w:sz w:val="22"/>
              </w:rPr>
            </w:pPr>
            <w:r>
              <w:rPr>
                <w:sz w:val="22"/>
              </w:rPr>
              <w:t>77</w:t>
            </w:r>
          </w:p>
        </w:tc>
        <w:tc>
          <w:tcPr>
            <w:tcW w:w="758" w:type="dxa"/>
          </w:tcPr>
          <w:p>
            <w:pPr>
              <w:pStyle w:val="TableParagraph"/>
              <w:spacing w:before="19"/>
              <w:ind w:left="182" w:right="0"/>
              <w:jc w:val="left"/>
              <w:rPr>
                <w:sz w:val="22"/>
              </w:rPr>
            </w:pPr>
            <w:r>
              <w:rPr>
                <w:sz w:val="22"/>
              </w:rPr>
              <w:t>6,231</w:t>
            </w:r>
          </w:p>
        </w:tc>
        <w:tc>
          <w:tcPr>
            <w:tcW w:w="761" w:type="dxa"/>
          </w:tcPr>
          <w:p>
            <w:pPr>
              <w:pStyle w:val="TableParagraph"/>
              <w:spacing w:before="19"/>
              <w:ind w:left="182" w:right="0"/>
              <w:jc w:val="left"/>
              <w:rPr>
                <w:sz w:val="22"/>
              </w:rPr>
            </w:pPr>
            <w:r>
              <w:rPr>
                <w:sz w:val="22"/>
              </w:rPr>
              <w:t>0,088</w:t>
            </w:r>
          </w:p>
        </w:tc>
        <w:tc>
          <w:tcPr>
            <w:tcW w:w="1241" w:type="dxa"/>
          </w:tcPr>
          <w:p>
            <w:pPr>
              <w:pStyle w:val="TableParagraph"/>
              <w:spacing w:before="19"/>
              <w:rPr>
                <w:sz w:val="22"/>
              </w:rPr>
            </w:pPr>
            <w:r>
              <w:rPr>
                <w:sz w:val="22"/>
              </w:rPr>
              <w:t>811,345</w:t>
            </w:r>
          </w:p>
        </w:tc>
        <w:tc>
          <w:tcPr>
            <w:tcW w:w="761" w:type="dxa"/>
          </w:tcPr>
          <w:p>
            <w:pPr>
              <w:pStyle w:val="TableParagraph"/>
              <w:spacing w:before="19"/>
              <w:ind w:right="63"/>
              <w:rPr>
                <w:sz w:val="22"/>
              </w:rPr>
            </w:pPr>
            <w:r>
              <w:rPr>
                <w:sz w:val="22"/>
              </w:rPr>
              <w:t>0,297</w:t>
            </w:r>
          </w:p>
        </w:tc>
        <w:tc>
          <w:tcPr>
            <w:tcW w:w="1274" w:type="dxa"/>
          </w:tcPr>
          <w:p>
            <w:pPr>
              <w:pStyle w:val="TableParagraph"/>
              <w:spacing w:before="19"/>
              <w:ind w:right="63"/>
              <w:rPr>
                <w:sz w:val="22"/>
              </w:rPr>
            </w:pPr>
            <w:r>
              <w:rPr>
                <w:sz w:val="22"/>
              </w:rPr>
              <w:t>8,039</w:t>
            </w:r>
          </w:p>
        </w:tc>
        <w:tc>
          <w:tcPr>
            <w:tcW w:w="1706" w:type="dxa"/>
          </w:tcPr>
          <w:p>
            <w:pPr>
              <w:pStyle w:val="TableParagraph"/>
              <w:spacing w:before="19"/>
              <w:rPr>
                <w:sz w:val="22"/>
              </w:rPr>
            </w:pPr>
            <w:r>
              <w:rPr>
                <w:sz w:val="22"/>
              </w:rPr>
              <w:t>0,00075772</w:t>
            </w:r>
          </w:p>
        </w:tc>
      </w:tr>
      <w:tr>
        <w:trPr>
          <w:trHeight w:val="310" w:hRule="exact"/>
        </w:trPr>
        <w:tc>
          <w:tcPr>
            <w:tcW w:w="958" w:type="dxa"/>
          </w:tcPr>
          <w:p>
            <w:pPr>
              <w:pStyle w:val="TableParagraph"/>
              <w:spacing w:before="19"/>
              <w:ind w:right="1"/>
              <w:jc w:val="center"/>
              <w:rPr>
                <w:sz w:val="22"/>
              </w:rPr>
            </w:pPr>
            <w:r>
              <w:rPr>
                <w:w w:val="100"/>
                <w:sz w:val="22"/>
              </w:rPr>
              <w:t>4</w:t>
            </w:r>
          </w:p>
        </w:tc>
        <w:tc>
          <w:tcPr>
            <w:tcW w:w="922" w:type="dxa"/>
          </w:tcPr>
          <w:p>
            <w:pPr>
              <w:pStyle w:val="TableParagraph"/>
              <w:spacing w:before="19"/>
              <w:ind w:right="63"/>
              <w:rPr>
                <w:sz w:val="22"/>
              </w:rPr>
            </w:pPr>
            <w:r>
              <w:rPr>
                <w:sz w:val="22"/>
              </w:rPr>
              <w:t>155,12</w:t>
            </w:r>
          </w:p>
        </w:tc>
        <w:tc>
          <w:tcPr>
            <w:tcW w:w="521" w:type="dxa"/>
          </w:tcPr>
          <w:p>
            <w:pPr>
              <w:pStyle w:val="TableParagraph"/>
              <w:spacing w:before="19"/>
              <w:ind w:left="202" w:right="43"/>
              <w:jc w:val="center"/>
              <w:rPr>
                <w:sz w:val="22"/>
              </w:rPr>
            </w:pPr>
            <w:r>
              <w:rPr>
                <w:sz w:val="22"/>
              </w:rPr>
              <w:t>92</w:t>
            </w:r>
          </w:p>
        </w:tc>
        <w:tc>
          <w:tcPr>
            <w:tcW w:w="758" w:type="dxa"/>
          </w:tcPr>
          <w:p>
            <w:pPr>
              <w:pStyle w:val="TableParagraph"/>
              <w:spacing w:before="19"/>
              <w:ind w:left="182" w:right="0"/>
              <w:jc w:val="left"/>
              <w:rPr>
                <w:sz w:val="22"/>
              </w:rPr>
            </w:pPr>
            <w:r>
              <w:rPr>
                <w:sz w:val="22"/>
              </w:rPr>
              <w:t>6,536</w:t>
            </w:r>
          </w:p>
        </w:tc>
        <w:tc>
          <w:tcPr>
            <w:tcW w:w="761" w:type="dxa"/>
          </w:tcPr>
          <w:p>
            <w:pPr>
              <w:pStyle w:val="TableParagraph"/>
              <w:spacing w:before="19"/>
              <w:ind w:left="182" w:right="0"/>
              <w:jc w:val="left"/>
              <w:rPr>
                <w:sz w:val="22"/>
              </w:rPr>
            </w:pPr>
            <w:r>
              <w:rPr>
                <w:sz w:val="22"/>
              </w:rPr>
              <w:t>0,021</w:t>
            </w:r>
          </w:p>
        </w:tc>
        <w:tc>
          <w:tcPr>
            <w:tcW w:w="1241" w:type="dxa"/>
          </w:tcPr>
          <w:p>
            <w:pPr>
              <w:pStyle w:val="TableParagraph"/>
              <w:spacing w:before="19"/>
              <w:rPr>
                <w:sz w:val="22"/>
              </w:rPr>
            </w:pPr>
            <w:r>
              <w:rPr>
                <w:sz w:val="22"/>
              </w:rPr>
              <w:t>1013,846</w:t>
            </w:r>
          </w:p>
        </w:tc>
        <w:tc>
          <w:tcPr>
            <w:tcW w:w="761" w:type="dxa"/>
          </w:tcPr>
          <w:p>
            <w:pPr>
              <w:pStyle w:val="TableParagraph"/>
              <w:spacing w:before="19"/>
              <w:ind w:right="63"/>
              <w:rPr>
                <w:sz w:val="22"/>
              </w:rPr>
            </w:pPr>
            <w:r>
              <w:rPr>
                <w:sz w:val="22"/>
              </w:rPr>
              <w:t>0,146</w:t>
            </w:r>
          </w:p>
        </w:tc>
        <w:tc>
          <w:tcPr>
            <w:tcW w:w="1274" w:type="dxa"/>
          </w:tcPr>
          <w:p>
            <w:pPr>
              <w:pStyle w:val="TableParagraph"/>
              <w:spacing w:before="19"/>
              <w:ind w:right="63"/>
              <w:rPr>
                <w:sz w:val="22"/>
              </w:rPr>
            </w:pPr>
            <w:r>
              <w:rPr>
                <w:sz w:val="22"/>
              </w:rPr>
              <w:t>2,286</w:t>
            </w:r>
          </w:p>
        </w:tc>
        <w:tc>
          <w:tcPr>
            <w:tcW w:w="1706" w:type="dxa"/>
          </w:tcPr>
          <w:p>
            <w:pPr>
              <w:pStyle w:val="TableParagraph"/>
              <w:spacing w:before="19"/>
              <w:rPr>
                <w:sz w:val="22"/>
              </w:rPr>
            </w:pPr>
            <w:r>
              <w:rPr>
                <w:sz w:val="22"/>
              </w:rPr>
              <w:t>0,00021552</w:t>
            </w:r>
          </w:p>
        </w:tc>
      </w:tr>
      <w:tr>
        <w:trPr>
          <w:trHeight w:val="312" w:hRule="exact"/>
        </w:trPr>
        <w:tc>
          <w:tcPr>
            <w:tcW w:w="958" w:type="dxa"/>
          </w:tcPr>
          <w:p>
            <w:pPr>
              <w:pStyle w:val="TableParagraph"/>
              <w:spacing w:before="21"/>
              <w:ind w:right="1"/>
              <w:jc w:val="center"/>
              <w:rPr>
                <w:sz w:val="22"/>
              </w:rPr>
            </w:pPr>
            <w:r>
              <w:rPr>
                <w:w w:val="100"/>
                <w:sz w:val="22"/>
              </w:rPr>
              <w:t>5</w:t>
            </w:r>
          </w:p>
        </w:tc>
        <w:tc>
          <w:tcPr>
            <w:tcW w:w="922" w:type="dxa"/>
          </w:tcPr>
          <w:p>
            <w:pPr>
              <w:pStyle w:val="TableParagraph"/>
              <w:spacing w:before="21"/>
              <w:ind w:right="63"/>
              <w:rPr>
                <w:sz w:val="22"/>
              </w:rPr>
            </w:pPr>
            <w:r>
              <w:rPr>
                <w:sz w:val="22"/>
              </w:rPr>
              <w:t>180,21</w:t>
            </w:r>
          </w:p>
        </w:tc>
        <w:tc>
          <w:tcPr>
            <w:tcW w:w="521" w:type="dxa"/>
          </w:tcPr>
          <w:p>
            <w:pPr>
              <w:pStyle w:val="TableParagraph"/>
              <w:spacing w:before="21"/>
              <w:ind w:left="92" w:right="43"/>
              <w:jc w:val="center"/>
              <w:rPr>
                <w:sz w:val="22"/>
              </w:rPr>
            </w:pPr>
            <w:r>
              <w:rPr>
                <w:sz w:val="22"/>
              </w:rPr>
              <w:t>132</w:t>
            </w:r>
          </w:p>
        </w:tc>
        <w:tc>
          <w:tcPr>
            <w:tcW w:w="758" w:type="dxa"/>
          </w:tcPr>
          <w:p>
            <w:pPr>
              <w:pStyle w:val="TableParagraph"/>
              <w:spacing w:before="21"/>
              <w:ind w:left="182" w:right="0"/>
              <w:jc w:val="left"/>
              <w:rPr>
                <w:sz w:val="22"/>
              </w:rPr>
            </w:pPr>
            <w:r>
              <w:rPr>
                <w:sz w:val="22"/>
              </w:rPr>
              <w:t>6,663</w:t>
            </w:r>
          </w:p>
        </w:tc>
        <w:tc>
          <w:tcPr>
            <w:tcW w:w="761" w:type="dxa"/>
          </w:tcPr>
          <w:p>
            <w:pPr>
              <w:pStyle w:val="TableParagraph"/>
              <w:spacing w:before="21"/>
              <w:ind w:left="182" w:right="0"/>
              <w:jc w:val="left"/>
              <w:rPr>
                <w:sz w:val="22"/>
              </w:rPr>
            </w:pPr>
            <w:r>
              <w:rPr>
                <w:sz w:val="22"/>
              </w:rPr>
              <w:t>0,062</w:t>
            </w:r>
          </w:p>
        </w:tc>
        <w:tc>
          <w:tcPr>
            <w:tcW w:w="1241" w:type="dxa"/>
          </w:tcPr>
          <w:p>
            <w:pPr>
              <w:pStyle w:val="TableParagraph"/>
              <w:spacing w:before="21"/>
              <w:rPr>
                <w:sz w:val="22"/>
              </w:rPr>
            </w:pPr>
            <w:r>
              <w:rPr>
                <w:sz w:val="22"/>
              </w:rPr>
              <w:t>1200,799</w:t>
            </w:r>
          </w:p>
        </w:tc>
        <w:tc>
          <w:tcPr>
            <w:tcW w:w="761" w:type="dxa"/>
          </w:tcPr>
          <w:p>
            <w:pPr>
              <w:pStyle w:val="TableParagraph"/>
              <w:spacing w:before="21"/>
              <w:ind w:right="63"/>
              <w:rPr>
                <w:sz w:val="22"/>
              </w:rPr>
            </w:pPr>
            <w:r>
              <w:rPr>
                <w:sz w:val="22"/>
              </w:rPr>
              <w:t>0,248</w:t>
            </w:r>
          </w:p>
        </w:tc>
        <w:tc>
          <w:tcPr>
            <w:tcW w:w="1274" w:type="dxa"/>
          </w:tcPr>
          <w:p>
            <w:pPr>
              <w:pStyle w:val="TableParagraph"/>
              <w:spacing w:before="21"/>
              <w:ind w:right="63"/>
              <w:rPr>
                <w:sz w:val="22"/>
              </w:rPr>
            </w:pPr>
            <w:r>
              <w:rPr>
                <w:sz w:val="22"/>
              </w:rPr>
              <w:t>4,053</w:t>
            </w:r>
          </w:p>
        </w:tc>
        <w:tc>
          <w:tcPr>
            <w:tcW w:w="1706" w:type="dxa"/>
          </w:tcPr>
          <w:p>
            <w:pPr>
              <w:pStyle w:val="TableParagraph"/>
              <w:spacing w:before="21"/>
              <w:rPr>
                <w:sz w:val="22"/>
              </w:rPr>
            </w:pPr>
            <w:r>
              <w:rPr>
                <w:sz w:val="22"/>
              </w:rPr>
              <w:t>0,00038202</w:t>
            </w:r>
          </w:p>
        </w:tc>
      </w:tr>
      <w:tr>
        <w:trPr>
          <w:trHeight w:val="310" w:hRule="exact"/>
        </w:trPr>
        <w:tc>
          <w:tcPr>
            <w:tcW w:w="958" w:type="dxa"/>
          </w:tcPr>
          <w:p>
            <w:pPr>
              <w:pStyle w:val="TableParagraph"/>
              <w:spacing w:before="19"/>
              <w:ind w:right="0"/>
              <w:jc w:val="center"/>
              <w:rPr>
                <w:sz w:val="22"/>
              </w:rPr>
            </w:pPr>
            <w:r>
              <w:rPr>
                <w:w w:val="100"/>
                <w:sz w:val="22"/>
              </w:rPr>
              <w:t>N</w:t>
            </w:r>
          </w:p>
        </w:tc>
        <w:tc>
          <w:tcPr>
            <w:tcW w:w="922" w:type="dxa"/>
          </w:tcPr>
          <w:p>
            <w:pPr>
              <w:pStyle w:val="TableParagraph"/>
              <w:spacing w:before="19"/>
              <w:ind w:right="63"/>
              <w:rPr>
                <w:sz w:val="22"/>
              </w:rPr>
            </w:pPr>
            <w:r>
              <w:rPr>
                <w:sz w:val="22"/>
              </w:rPr>
              <w:t>695,17</w:t>
            </w:r>
          </w:p>
        </w:tc>
        <w:tc>
          <w:tcPr>
            <w:tcW w:w="521" w:type="dxa"/>
          </w:tcPr>
          <w:p>
            <w:pPr/>
          </w:p>
        </w:tc>
        <w:tc>
          <w:tcPr>
            <w:tcW w:w="758" w:type="dxa"/>
          </w:tcPr>
          <w:p>
            <w:pPr/>
          </w:p>
        </w:tc>
        <w:tc>
          <w:tcPr>
            <w:tcW w:w="761" w:type="dxa"/>
          </w:tcPr>
          <w:p>
            <w:pPr>
              <w:pStyle w:val="TableParagraph"/>
              <w:spacing w:before="7"/>
              <w:ind w:left="208"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41" w:type="dxa"/>
          </w:tcPr>
          <w:p>
            <w:pPr>
              <w:pStyle w:val="TableParagraph"/>
              <w:spacing w:before="19"/>
              <w:rPr>
                <w:sz w:val="22"/>
              </w:rPr>
            </w:pPr>
            <w:r>
              <w:rPr>
                <w:sz w:val="22"/>
              </w:rPr>
              <w:t>4545,052</w:t>
            </w:r>
          </w:p>
        </w:tc>
        <w:tc>
          <w:tcPr>
            <w:tcW w:w="761" w:type="dxa"/>
          </w:tcPr>
          <w:p>
            <w:pPr/>
          </w:p>
        </w:tc>
        <w:tc>
          <w:tcPr>
            <w:tcW w:w="1274" w:type="dxa"/>
          </w:tcPr>
          <w:p>
            <w:pPr>
              <w:pStyle w:val="TableParagraph"/>
              <w:spacing w:before="19"/>
              <w:ind w:right="63"/>
              <w:rPr>
                <w:sz w:val="22"/>
              </w:rPr>
            </w:pPr>
            <w:r>
              <w:rPr>
                <w:sz w:val="22"/>
              </w:rPr>
              <w:t>14,115</w:t>
            </w:r>
          </w:p>
        </w:tc>
        <w:tc>
          <w:tcPr>
            <w:tcW w:w="1706" w:type="dxa"/>
          </w:tcPr>
          <w:p>
            <w:pPr>
              <w:pStyle w:val="TableParagraph"/>
              <w:spacing w:before="19"/>
              <w:rPr>
                <w:sz w:val="22"/>
              </w:rPr>
            </w:pPr>
            <w:r>
              <w:rPr>
                <w:sz w:val="22"/>
              </w:rPr>
              <w:t>0,00133047</w:t>
            </w:r>
          </w:p>
        </w:tc>
      </w:tr>
      <w:tr>
        <w:trPr>
          <w:trHeight w:val="310" w:hRule="exact"/>
        </w:trPr>
        <w:tc>
          <w:tcPr>
            <w:tcW w:w="5160" w:type="dxa"/>
            <w:gridSpan w:val="6"/>
            <w:vMerge w:val="restart"/>
            <w:tcBorders>
              <w:left w:val="nil"/>
            </w:tcBorders>
          </w:tcPr>
          <w:p>
            <w:pPr/>
          </w:p>
        </w:tc>
        <w:tc>
          <w:tcPr>
            <w:tcW w:w="2035" w:type="dxa"/>
            <w:gridSpan w:val="2"/>
          </w:tcPr>
          <w:p>
            <w:pPr>
              <w:pStyle w:val="TableParagraph"/>
              <w:spacing w:before="2"/>
              <w:ind w:left="64" w:right="111"/>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706" w:type="dxa"/>
          </w:tcPr>
          <w:p>
            <w:pPr>
              <w:pStyle w:val="TableParagraph"/>
              <w:spacing w:before="19"/>
              <w:rPr>
                <w:b/>
                <w:sz w:val="22"/>
              </w:rPr>
            </w:pPr>
            <w:r>
              <w:rPr>
                <w:b/>
                <w:sz w:val="22"/>
              </w:rPr>
              <w:t>6,538</w:t>
            </w:r>
          </w:p>
        </w:tc>
      </w:tr>
      <w:tr>
        <w:trPr>
          <w:trHeight w:val="310" w:hRule="exact"/>
        </w:trPr>
        <w:tc>
          <w:tcPr>
            <w:tcW w:w="5160" w:type="dxa"/>
            <w:gridSpan w:val="6"/>
            <w:vMerge/>
            <w:tcBorders>
              <w:left w:val="nil"/>
            </w:tcBorders>
          </w:tcPr>
          <w:p>
            <w:pPr/>
          </w:p>
        </w:tc>
        <w:tc>
          <w:tcPr>
            <w:tcW w:w="2035" w:type="dxa"/>
            <w:gridSpan w:val="2"/>
          </w:tcPr>
          <w:p>
            <w:pPr>
              <w:pStyle w:val="TableParagraph"/>
              <w:spacing w:before="4"/>
              <w:ind w:left="64" w:right="111"/>
              <w:jc w:val="left"/>
              <w:rPr>
                <w:sz w:val="22"/>
              </w:rPr>
            </w:pPr>
            <w:r>
              <w:rPr>
                <w:sz w:val="22"/>
              </w:rPr>
              <w:t>Desviación estándar</w:t>
            </w:r>
          </w:p>
        </w:tc>
        <w:tc>
          <w:tcPr>
            <w:tcW w:w="1706" w:type="dxa"/>
          </w:tcPr>
          <w:p>
            <w:pPr>
              <w:pStyle w:val="TableParagraph"/>
              <w:spacing w:before="19"/>
              <w:rPr>
                <w:b/>
                <w:sz w:val="22"/>
              </w:rPr>
            </w:pPr>
            <w:r>
              <w:rPr>
                <w:b/>
                <w:sz w:val="22"/>
              </w:rPr>
              <w:t>0,036</w:t>
            </w:r>
          </w:p>
        </w:tc>
      </w:tr>
      <w:tr>
        <w:trPr>
          <w:trHeight w:val="310" w:hRule="exact"/>
        </w:trPr>
        <w:tc>
          <w:tcPr>
            <w:tcW w:w="5160" w:type="dxa"/>
            <w:gridSpan w:val="6"/>
            <w:vMerge/>
            <w:tcBorders>
              <w:left w:val="nil"/>
            </w:tcBorders>
          </w:tcPr>
          <w:p>
            <w:pPr/>
          </w:p>
        </w:tc>
        <w:tc>
          <w:tcPr>
            <w:tcW w:w="2035" w:type="dxa"/>
            <w:gridSpan w:val="2"/>
            <w:vMerge w:val="restart"/>
          </w:tcPr>
          <w:p>
            <w:pPr>
              <w:pStyle w:val="TableParagraph"/>
              <w:spacing w:before="23"/>
              <w:ind w:left="64" w:right="400"/>
              <w:jc w:val="left"/>
              <w:rPr>
                <w:sz w:val="22"/>
              </w:rPr>
            </w:pPr>
            <w:r>
              <w:rPr>
                <w:sz w:val="22"/>
              </w:rPr>
              <w:t>Intervalo de confianza al 95 %</w:t>
            </w:r>
          </w:p>
        </w:tc>
        <w:tc>
          <w:tcPr>
            <w:tcW w:w="1706" w:type="dxa"/>
          </w:tcPr>
          <w:p>
            <w:pPr>
              <w:pStyle w:val="TableParagraph"/>
              <w:spacing w:before="19"/>
              <w:rPr>
                <w:sz w:val="22"/>
              </w:rPr>
            </w:pPr>
            <w:r>
              <w:rPr>
                <w:sz w:val="22"/>
              </w:rPr>
              <w:t>6,47</w:t>
            </w:r>
          </w:p>
        </w:tc>
      </w:tr>
      <w:tr>
        <w:trPr>
          <w:trHeight w:val="310" w:hRule="exact"/>
        </w:trPr>
        <w:tc>
          <w:tcPr>
            <w:tcW w:w="5160" w:type="dxa"/>
            <w:gridSpan w:val="6"/>
            <w:vMerge/>
            <w:tcBorders>
              <w:left w:val="nil"/>
              <w:bottom w:val="nil"/>
            </w:tcBorders>
          </w:tcPr>
          <w:p>
            <w:pPr/>
          </w:p>
        </w:tc>
        <w:tc>
          <w:tcPr>
            <w:tcW w:w="2035" w:type="dxa"/>
            <w:gridSpan w:val="2"/>
            <w:vMerge/>
          </w:tcPr>
          <w:p>
            <w:pPr/>
          </w:p>
        </w:tc>
        <w:tc>
          <w:tcPr>
            <w:tcW w:w="1706" w:type="dxa"/>
          </w:tcPr>
          <w:p>
            <w:pPr>
              <w:pStyle w:val="TableParagraph"/>
              <w:spacing w:before="19"/>
              <w:rPr>
                <w:sz w:val="22"/>
              </w:rPr>
            </w:pPr>
            <w:r>
              <w:rPr>
                <w:sz w:val="22"/>
              </w:rPr>
              <w:t>6,61</w:t>
            </w:r>
          </w:p>
        </w:tc>
      </w:tr>
    </w:tbl>
    <w:p>
      <w:pPr>
        <w:pStyle w:val="BodyText"/>
        <w:spacing w:before="5"/>
        <w:rPr>
          <w:b/>
          <w:sz w:val="2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8"/>
        <w:gridCol w:w="922"/>
        <w:gridCol w:w="521"/>
        <w:gridCol w:w="758"/>
        <w:gridCol w:w="761"/>
        <w:gridCol w:w="1241"/>
        <w:gridCol w:w="761"/>
        <w:gridCol w:w="1274"/>
        <w:gridCol w:w="1706"/>
      </w:tblGrid>
      <w:tr>
        <w:trPr>
          <w:trHeight w:val="310" w:hRule="exact"/>
        </w:trPr>
        <w:tc>
          <w:tcPr>
            <w:tcW w:w="8902" w:type="dxa"/>
            <w:gridSpan w:val="9"/>
          </w:tcPr>
          <w:p>
            <w:pPr>
              <w:pStyle w:val="TableParagraph"/>
              <w:ind w:left="3476" w:right="3476"/>
              <w:jc w:val="center"/>
              <w:rPr>
                <w:sz w:val="22"/>
              </w:rPr>
            </w:pPr>
            <w:r>
              <w:rPr>
                <w:sz w:val="22"/>
              </w:rPr>
              <w:t>Punto de muestreo B</w:t>
            </w:r>
          </w:p>
        </w:tc>
      </w:tr>
      <w:tr>
        <w:trPr>
          <w:trHeight w:val="310" w:hRule="exact"/>
        </w:trPr>
        <w:tc>
          <w:tcPr>
            <w:tcW w:w="958" w:type="dxa"/>
          </w:tcPr>
          <w:p>
            <w:pPr>
              <w:pStyle w:val="TableParagraph"/>
              <w:spacing w:before="11"/>
              <w:ind w:left="134" w:right="135"/>
              <w:jc w:val="center"/>
              <w:rPr>
                <w:sz w:val="22"/>
              </w:rPr>
            </w:pPr>
            <w:r>
              <w:rPr>
                <w:sz w:val="22"/>
              </w:rPr>
              <w:t>Estrato</w:t>
            </w:r>
          </w:p>
        </w:tc>
        <w:tc>
          <w:tcPr>
            <w:tcW w:w="922" w:type="dxa"/>
          </w:tcPr>
          <w:p>
            <w:pPr>
              <w:pStyle w:val="TableParagraph"/>
              <w:spacing w:before="40"/>
              <w:ind w:left="297" w:right="312"/>
              <w:jc w:val="center"/>
              <w:rPr>
                <w:rFonts w:ascii="Cambria Math"/>
                <w:sz w:val="16"/>
              </w:rPr>
            </w:pPr>
            <w:r>
              <w:rPr>
                <w:rFonts w:ascii="Cambria Math"/>
                <w:w w:val="110"/>
                <w:sz w:val="22"/>
              </w:rPr>
              <w:t>N</w:t>
            </w:r>
            <w:r>
              <w:rPr>
                <w:rFonts w:ascii="Cambria Math"/>
                <w:w w:val="110"/>
                <w:position w:val="-4"/>
                <w:sz w:val="16"/>
              </w:rPr>
              <w:t>h</w:t>
            </w:r>
          </w:p>
        </w:tc>
        <w:tc>
          <w:tcPr>
            <w:tcW w:w="521" w:type="dxa"/>
          </w:tcPr>
          <w:p>
            <w:pPr>
              <w:pStyle w:val="TableParagraph"/>
              <w:spacing w:before="40"/>
              <w:ind w:left="35" w:right="43"/>
              <w:jc w:val="center"/>
              <w:rPr>
                <w:rFonts w:ascii="Cambria Math"/>
                <w:sz w:val="16"/>
              </w:rPr>
            </w:pPr>
            <w:r>
              <w:rPr>
                <w:rFonts w:ascii="Cambria Math"/>
                <w:w w:val="110"/>
                <w:sz w:val="22"/>
              </w:rPr>
              <w:t>n</w:t>
            </w:r>
            <w:r>
              <w:rPr>
                <w:rFonts w:ascii="Cambria Math"/>
                <w:w w:val="110"/>
                <w:position w:val="-4"/>
                <w:sz w:val="16"/>
              </w:rPr>
              <w:t>h</w:t>
            </w:r>
          </w:p>
        </w:tc>
        <w:tc>
          <w:tcPr>
            <w:tcW w:w="758" w:type="dxa"/>
          </w:tcPr>
          <w:p>
            <w:pPr>
              <w:pStyle w:val="TableParagraph"/>
              <w:spacing w:before="40"/>
              <w:ind w:left="259"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61" w:type="dxa"/>
          </w:tcPr>
          <w:p>
            <w:pPr>
              <w:pStyle w:val="TableParagraph"/>
              <w:spacing w:line="214" w:lineRule="exact" w:before="6"/>
              <w:ind w:left="233" w:right="238"/>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41" w:type="dxa"/>
          </w:tcPr>
          <w:p>
            <w:pPr>
              <w:pStyle w:val="TableParagraph"/>
              <w:spacing w:before="16"/>
              <w:ind w:left="496" w:right="50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61" w:type="dxa"/>
          </w:tcPr>
          <w:p>
            <w:pPr>
              <w:pStyle w:val="TableParagraph"/>
              <w:spacing w:before="40"/>
              <w:ind w:left="233" w:right="241"/>
              <w:jc w:val="center"/>
              <w:rPr>
                <w:rFonts w:ascii="Cambria Math"/>
                <w:sz w:val="16"/>
              </w:rPr>
            </w:pPr>
            <w:r>
              <w:rPr>
                <w:rFonts w:ascii="Cambria Math"/>
                <w:w w:val="110"/>
                <w:sz w:val="22"/>
              </w:rPr>
              <w:t>s</w:t>
            </w:r>
            <w:r>
              <w:rPr>
                <w:rFonts w:ascii="Cambria Math"/>
                <w:w w:val="110"/>
                <w:position w:val="-4"/>
                <w:sz w:val="16"/>
              </w:rPr>
              <w:t>h</w:t>
            </w:r>
          </w:p>
        </w:tc>
        <w:tc>
          <w:tcPr>
            <w:tcW w:w="1274" w:type="dxa"/>
          </w:tcPr>
          <w:p>
            <w:pPr>
              <w:pStyle w:val="TableParagraph"/>
              <w:spacing w:before="0"/>
              <w:ind w:left="30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706" w:type="dxa"/>
          </w:tcPr>
          <w:p>
            <w:pPr>
              <w:pStyle w:val="TableParagraph"/>
              <w:spacing w:before="0"/>
              <w:ind w:left="50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58" w:type="dxa"/>
          </w:tcPr>
          <w:p>
            <w:pPr>
              <w:pStyle w:val="TableParagraph"/>
              <w:ind w:right="1"/>
              <w:jc w:val="center"/>
              <w:rPr>
                <w:sz w:val="22"/>
              </w:rPr>
            </w:pPr>
            <w:r>
              <w:rPr>
                <w:w w:val="100"/>
                <w:sz w:val="22"/>
              </w:rPr>
              <w:t>1</w:t>
            </w:r>
          </w:p>
        </w:tc>
        <w:tc>
          <w:tcPr>
            <w:tcW w:w="922" w:type="dxa"/>
          </w:tcPr>
          <w:p>
            <w:pPr>
              <w:pStyle w:val="TableParagraph"/>
              <w:ind w:right="63"/>
              <w:rPr>
                <w:sz w:val="22"/>
              </w:rPr>
            </w:pPr>
            <w:r>
              <w:rPr>
                <w:sz w:val="22"/>
              </w:rPr>
              <w:t>108,60</w:t>
            </w:r>
          </w:p>
        </w:tc>
        <w:tc>
          <w:tcPr>
            <w:tcW w:w="521" w:type="dxa"/>
          </w:tcPr>
          <w:p>
            <w:pPr>
              <w:pStyle w:val="TableParagraph"/>
              <w:ind w:left="92" w:right="43"/>
              <w:jc w:val="center"/>
              <w:rPr>
                <w:sz w:val="22"/>
              </w:rPr>
            </w:pPr>
            <w:r>
              <w:rPr>
                <w:sz w:val="22"/>
              </w:rPr>
              <w:t>108</w:t>
            </w:r>
          </w:p>
        </w:tc>
        <w:tc>
          <w:tcPr>
            <w:tcW w:w="758" w:type="dxa"/>
          </w:tcPr>
          <w:p>
            <w:pPr>
              <w:pStyle w:val="TableParagraph"/>
              <w:ind w:left="182" w:right="0"/>
              <w:jc w:val="left"/>
              <w:rPr>
                <w:sz w:val="22"/>
              </w:rPr>
            </w:pPr>
            <w:r>
              <w:rPr>
                <w:sz w:val="22"/>
              </w:rPr>
              <w:t>6,975</w:t>
            </w:r>
          </w:p>
        </w:tc>
        <w:tc>
          <w:tcPr>
            <w:tcW w:w="761" w:type="dxa"/>
          </w:tcPr>
          <w:p>
            <w:pPr>
              <w:pStyle w:val="TableParagraph"/>
              <w:ind w:left="182" w:right="0"/>
              <w:jc w:val="left"/>
              <w:rPr>
                <w:sz w:val="22"/>
              </w:rPr>
            </w:pPr>
            <w:r>
              <w:rPr>
                <w:sz w:val="22"/>
              </w:rPr>
              <w:t>0,019</w:t>
            </w:r>
          </w:p>
        </w:tc>
        <w:tc>
          <w:tcPr>
            <w:tcW w:w="1241" w:type="dxa"/>
          </w:tcPr>
          <w:p>
            <w:pPr>
              <w:pStyle w:val="TableParagraph"/>
              <w:rPr>
                <w:sz w:val="22"/>
              </w:rPr>
            </w:pPr>
            <w:r>
              <w:rPr>
                <w:sz w:val="22"/>
              </w:rPr>
              <w:t>757,456</w:t>
            </w:r>
          </w:p>
        </w:tc>
        <w:tc>
          <w:tcPr>
            <w:tcW w:w="761" w:type="dxa"/>
          </w:tcPr>
          <w:p>
            <w:pPr>
              <w:pStyle w:val="TableParagraph"/>
              <w:ind w:right="63"/>
              <w:rPr>
                <w:sz w:val="22"/>
              </w:rPr>
            </w:pPr>
            <w:r>
              <w:rPr>
                <w:sz w:val="22"/>
              </w:rPr>
              <w:t>0,138</w:t>
            </w:r>
          </w:p>
        </w:tc>
        <w:tc>
          <w:tcPr>
            <w:tcW w:w="1274" w:type="dxa"/>
          </w:tcPr>
          <w:p>
            <w:pPr>
              <w:pStyle w:val="TableParagraph"/>
              <w:ind w:right="63"/>
              <w:rPr>
                <w:sz w:val="22"/>
              </w:rPr>
            </w:pPr>
            <w:r>
              <w:rPr>
                <w:sz w:val="22"/>
              </w:rPr>
              <w:t>-0,698</w:t>
            </w:r>
          </w:p>
        </w:tc>
        <w:tc>
          <w:tcPr>
            <w:tcW w:w="1706" w:type="dxa"/>
          </w:tcPr>
          <w:p>
            <w:pPr>
              <w:pStyle w:val="TableParagraph"/>
              <w:rPr>
                <w:sz w:val="22"/>
              </w:rPr>
            </w:pPr>
            <w:r>
              <w:rPr>
                <w:sz w:val="22"/>
              </w:rPr>
              <w:t>-6,5783E-05</w:t>
            </w:r>
          </w:p>
        </w:tc>
      </w:tr>
      <w:tr>
        <w:trPr>
          <w:trHeight w:val="310" w:hRule="exact"/>
        </w:trPr>
        <w:tc>
          <w:tcPr>
            <w:tcW w:w="958" w:type="dxa"/>
          </w:tcPr>
          <w:p>
            <w:pPr>
              <w:pStyle w:val="TableParagraph"/>
              <w:ind w:right="1"/>
              <w:jc w:val="center"/>
              <w:rPr>
                <w:sz w:val="22"/>
              </w:rPr>
            </w:pPr>
            <w:r>
              <w:rPr>
                <w:w w:val="100"/>
                <w:sz w:val="22"/>
              </w:rPr>
              <w:t>2</w:t>
            </w:r>
          </w:p>
        </w:tc>
        <w:tc>
          <w:tcPr>
            <w:tcW w:w="922" w:type="dxa"/>
          </w:tcPr>
          <w:p>
            <w:pPr>
              <w:pStyle w:val="TableParagraph"/>
              <w:ind w:right="63"/>
              <w:rPr>
                <w:sz w:val="22"/>
              </w:rPr>
            </w:pPr>
            <w:r>
              <w:rPr>
                <w:sz w:val="22"/>
              </w:rPr>
              <w:t>121,03</w:t>
            </w:r>
          </w:p>
        </w:tc>
        <w:tc>
          <w:tcPr>
            <w:tcW w:w="521" w:type="dxa"/>
          </w:tcPr>
          <w:p>
            <w:pPr>
              <w:pStyle w:val="TableParagraph"/>
              <w:ind w:left="202" w:right="43"/>
              <w:jc w:val="center"/>
              <w:rPr>
                <w:sz w:val="22"/>
              </w:rPr>
            </w:pPr>
            <w:r>
              <w:rPr>
                <w:sz w:val="22"/>
              </w:rPr>
              <w:t>81</w:t>
            </w:r>
          </w:p>
        </w:tc>
        <w:tc>
          <w:tcPr>
            <w:tcW w:w="758" w:type="dxa"/>
          </w:tcPr>
          <w:p>
            <w:pPr>
              <w:pStyle w:val="TableParagraph"/>
              <w:ind w:left="182" w:right="0"/>
              <w:jc w:val="left"/>
              <w:rPr>
                <w:sz w:val="22"/>
              </w:rPr>
            </w:pPr>
            <w:r>
              <w:rPr>
                <w:sz w:val="22"/>
              </w:rPr>
              <w:t>6,858</w:t>
            </w:r>
          </w:p>
        </w:tc>
        <w:tc>
          <w:tcPr>
            <w:tcW w:w="761" w:type="dxa"/>
          </w:tcPr>
          <w:p>
            <w:pPr>
              <w:pStyle w:val="TableParagraph"/>
              <w:ind w:left="182" w:right="0"/>
              <w:jc w:val="left"/>
              <w:rPr>
                <w:sz w:val="22"/>
              </w:rPr>
            </w:pPr>
            <w:r>
              <w:rPr>
                <w:sz w:val="22"/>
              </w:rPr>
              <w:t>0,029</w:t>
            </w:r>
          </w:p>
        </w:tc>
        <w:tc>
          <w:tcPr>
            <w:tcW w:w="1241" w:type="dxa"/>
          </w:tcPr>
          <w:p>
            <w:pPr>
              <w:pStyle w:val="TableParagraph"/>
              <w:rPr>
                <w:sz w:val="22"/>
              </w:rPr>
            </w:pPr>
            <w:r>
              <w:rPr>
                <w:sz w:val="22"/>
              </w:rPr>
              <w:t>829,963</w:t>
            </w:r>
          </w:p>
        </w:tc>
        <w:tc>
          <w:tcPr>
            <w:tcW w:w="761" w:type="dxa"/>
          </w:tcPr>
          <w:p>
            <w:pPr>
              <w:pStyle w:val="TableParagraph"/>
              <w:ind w:right="63"/>
              <w:rPr>
                <w:sz w:val="22"/>
              </w:rPr>
            </w:pPr>
            <w:r>
              <w:rPr>
                <w:sz w:val="22"/>
              </w:rPr>
              <w:t>0,170</w:t>
            </w:r>
          </w:p>
        </w:tc>
        <w:tc>
          <w:tcPr>
            <w:tcW w:w="1274" w:type="dxa"/>
          </w:tcPr>
          <w:p>
            <w:pPr>
              <w:pStyle w:val="TableParagraph"/>
              <w:ind w:right="63"/>
              <w:rPr>
                <w:sz w:val="22"/>
              </w:rPr>
            </w:pPr>
            <w:r>
              <w:rPr>
                <w:sz w:val="22"/>
              </w:rPr>
              <w:t>1,732</w:t>
            </w:r>
          </w:p>
        </w:tc>
        <w:tc>
          <w:tcPr>
            <w:tcW w:w="1706" w:type="dxa"/>
          </w:tcPr>
          <w:p>
            <w:pPr>
              <w:pStyle w:val="TableParagraph"/>
              <w:rPr>
                <w:sz w:val="22"/>
              </w:rPr>
            </w:pPr>
            <w:r>
              <w:rPr>
                <w:sz w:val="22"/>
              </w:rPr>
              <w:t>0,00016324</w:t>
            </w:r>
          </w:p>
        </w:tc>
      </w:tr>
      <w:tr>
        <w:trPr>
          <w:trHeight w:val="310" w:hRule="exact"/>
        </w:trPr>
        <w:tc>
          <w:tcPr>
            <w:tcW w:w="958" w:type="dxa"/>
          </w:tcPr>
          <w:p>
            <w:pPr>
              <w:pStyle w:val="TableParagraph"/>
              <w:ind w:right="1"/>
              <w:jc w:val="center"/>
              <w:rPr>
                <w:sz w:val="22"/>
              </w:rPr>
            </w:pPr>
            <w:r>
              <w:rPr>
                <w:w w:val="100"/>
                <w:sz w:val="22"/>
              </w:rPr>
              <w:t>3</w:t>
            </w:r>
          </w:p>
        </w:tc>
        <w:tc>
          <w:tcPr>
            <w:tcW w:w="922" w:type="dxa"/>
          </w:tcPr>
          <w:p>
            <w:pPr>
              <w:pStyle w:val="TableParagraph"/>
              <w:ind w:right="63"/>
              <w:rPr>
                <w:sz w:val="22"/>
              </w:rPr>
            </w:pPr>
            <w:r>
              <w:rPr>
                <w:sz w:val="22"/>
              </w:rPr>
              <w:t>130,21</w:t>
            </w:r>
          </w:p>
        </w:tc>
        <w:tc>
          <w:tcPr>
            <w:tcW w:w="521" w:type="dxa"/>
          </w:tcPr>
          <w:p>
            <w:pPr>
              <w:pStyle w:val="TableParagraph"/>
              <w:ind w:left="202" w:right="43"/>
              <w:jc w:val="center"/>
              <w:rPr>
                <w:sz w:val="22"/>
              </w:rPr>
            </w:pPr>
            <w:r>
              <w:rPr>
                <w:sz w:val="22"/>
              </w:rPr>
              <w:t>77</w:t>
            </w:r>
          </w:p>
        </w:tc>
        <w:tc>
          <w:tcPr>
            <w:tcW w:w="758" w:type="dxa"/>
          </w:tcPr>
          <w:p>
            <w:pPr>
              <w:pStyle w:val="TableParagraph"/>
              <w:ind w:left="182" w:right="0"/>
              <w:jc w:val="left"/>
              <w:rPr>
                <w:sz w:val="22"/>
              </w:rPr>
            </w:pPr>
            <w:r>
              <w:rPr>
                <w:sz w:val="22"/>
              </w:rPr>
              <w:t>6,553</w:t>
            </w:r>
          </w:p>
        </w:tc>
        <w:tc>
          <w:tcPr>
            <w:tcW w:w="761" w:type="dxa"/>
          </w:tcPr>
          <w:p>
            <w:pPr>
              <w:pStyle w:val="TableParagraph"/>
              <w:ind w:left="182" w:right="0"/>
              <w:jc w:val="left"/>
              <w:rPr>
                <w:sz w:val="22"/>
              </w:rPr>
            </w:pPr>
            <w:r>
              <w:rPr>
                <w:sz w:val="22"/>
              </w:rPr>
              <w:t>0,059</w:t>
            </w:r>
          </w:p>
        </w:tc>
        <w:tc>
          <w:tcPr>
            <w:tcW w:w="1241" w:type="dxa"/>
          </w:tcPr>
          <w:p>
            <w:pPr>
              <w:pStyle w:val="TableParagraph"/>
              <w:rPr>
                <w:sz w:val="22"/>
              </w:rPr>
            </w:pPr>
            <w:r>
              <w:rPr>
                <w:sz w:val="22"/>
              </w:rPr>
              <w:t>853,218</w:t>
            </w:r>
          </w:p>
        </w:tc>
        <w:tc>
          <w:tcPr>
            <w:tcW w:w="761" w:type="dxa"/>
          </w:tcPr>
          <w:p>
            <w:pPr>
              <w:pStyle w:val="TableParagraph"/>
              <w:ind w:right="63"/>
              <w:rPr>
                <w:sz w:val="22"/>
              </w:rPr>
            </w:pPr>
            <w:r>
              <w:rPr>
                <w:sz w:val="22"/>
              </w:rPr>
              <w:t>0,243</w:t>
            </w:r>
          </w:p>
        </w:tc>
        <w:tc>
          <w:tcPr>
            <w:tcW w:w="1274" w:type="dxa"/>
          </w:tcPr>
          <w:p>
            <w:pPr>
              <w:pStyle w:val="TableParagraph"/>
              <w:ind w:right="63"/>
              <w:rPr>
                <w:sz w:val="22"/>
              </w:rPr>
            </w:pPr>
            <w:r>
              <w:rPr>
                <w:sz w:val="22"/>
              </w:rPr>
              <w:t>5,397</w:t>
            </w:r>
          </w:p>
        </w:tc>
        <w:tc>
          <w:tcPr>
            <w:tcW w:w="1706" w:type="dxa"/>
          </w:tcPr>
          <w:p>
            <w:pPr>
              <w:pStyle w:val="TableParagraph"/>
              <w:rPr>
                <w:sz w:val="22"/>
              </w:rPr>
            </w:pPr>
            <w:r>
              <w:rPr>
                <w:sz w:val="22"/>
              </w:rPr>
              <w:t>0,00050871</w:t>
            </w:r>
          </w:p>
        </w:tc>
      </w:tr>
      <w:tr>
        <w:trPr>
          <w:trHeight w:val="312" w:hRule="exact"/>
        </w:trPr>
        <w:tc>
          <w:tcPr>
            <w:tcW w:w="958" w:type="dxa"/>
          </w:tcPr>
          <w:p>
            <w:pPr>
              <w:pStyle w:val="TableParagraph"/>
              <w:spacing w:before="30"/>
              <w:ind w:right="1"/>
              <w:jc w:val="center"/>
              <w:rPr>
                <w:sz w:val="22"/>
              </w:rPr>
            </w:pPr>
            <w:r>
              <w:rPr>
                <w:w w:val="100"/>
                <w:sz w:val="22"/>
              </w:rPr>
              <w:t>4</w:t>
            </w:r>
          </w:p>
        </w:tc>
        <w:tc>
          <w:tcPr>
            <w:tcW w:w="922" w:type="dxa"/>
          </w:tcPr>
          <w:p>
            <w:pPr>
              <w:pStyle w:val="TableParagraph"/>
              <w:spacing w:before="30"/>
              <w:ind w:right="63"/>
              <w:rPr>
                <w:sz w:val="22"/>
              </w:rPr>
            </w:pPr>
            <w:r>
              <w:rPr>
                <w:sz w:val="22"/>
              </w:rPr>
              <w:t>155,12</w:t>
            </w:r>
          </w:p>
        </w:tc>
        <w:tc>
          <w:tcPr>
            <w:tcW w:w="521" w:type="dxa"/>
          </w:tcPr>
          <w:p>
            <w:pPr>
              <w:pStyle w:val="TableParagraph"/>
              <w:spacing w:before="30"/>
              <w:ind w:left="202" w:right="43"/>
              <w:jc w:val="center"/>
              <w:rPr>
                <w:sz w:val="22"/>
              </w:rPr>
            </w:pPr>
            <w:r>
              <w:rPr>
                <w:sz w:val="22"/>
              </w:rPr>
              <w:t>92</w:t>
            </w:r>
          </w:p>
        </w:tc>
        <w:tc>
          <w:tcPr>
            <w:tcW w:w="758" w:type="dxa"/>
          </w:tcPr>
          <w:p>
            <w:pPr>
              <w:pStyle w:val="TableParagraph"/>
              <w:spacing w:before="30"/>
              <w:ind w:left="182" w:right="0"/>
              <w:jc w:val="left"/>
              <w:rPr>
                <w:sz w:val="22"/>
              </w:rPr>
            </w:pPr>
            <w:r>
              <w:rPr>
                <w:sz w:val="22"/>
              </w:rPr>
              <w:t>6,768</w:t>
            </w:r>
          </w:p>
        </w:tc>
        <w:tc>
          <w:tcPr>
            <w:tcW w:w="761" w:type="dxa"/>
          </w:tcPr>
          <w:p>
            <w:pPr>
              <w:pStyle w:val="TableParagraph"/>
              <w:spacing w:before="30"/>
              <w:ind w:left="182" w:right="0"/>
              <w:jc w:val="left"/>
              <w:rPr>
                <w:sz w:val="22"/>
              </w:rPr>
            </w:pPr>
            <w:r>
              <w:rPr>
                <w:sz w:val="22"/>
              </w:rPr>
              <w:t>0,021</w:t>
            </w:r>
          </w:p>
        </w:tc>
        <w:tc>
          <w:tcPr>
            <w:tcW w:w="1241" w:type="dxa"/>
          </w:tcPr>
          <w:p>
            <w:pPr>
              <w:pStyle w:val="TableParagraph"/>
              <w:spacing w:before="30"/>
              <w:rPr>
                <w:sz w:val="22"/>
              </w:rPr>
            </w:pPr>
            <w:r>
              <w:rPr>
                <w:sz w:val="22"/>
              </w:rPr>
              <w:t>1049,889</w:t>
            </w:r>
          </w:p>
        </w:tc>
        <w:tc>
          <w:tcPr>
            <w:tcW w:w="761" w:type="dxa"/>
          </w:tcPr>
          <w:p>
            <w:pPr>
              <w:pStyle w:val="TableParagraph"/>
              <w:spacing w:before="30"/>
              <w:ind w:right="63"/>
              <w:rPr>
                <w:sz w:val="22"/>
              </w:rPr>
            </w:pPr>
            <w:r>
              <w:rPr>
                <w:sz w:val="22"/>
              </w:rPr>
              <w:t>0,144</w:t>
            </w:r>
          </w:p>
        </w:tc>
        <w:tc>
          <w:tcPr>
            <w:tcW w:w="1274" w:type="dxa"/>
          </w:tcPr>
          <w:p>
            <w:pPr>
              <w:pStyle w:val="TableParagraph"/>
              <w:spacing w:before="30"/>
              <w:ind w:right="63"/>
              <w:rPr>
                <w:sz w:val="22"/>
              </w:rPr>
            </w:pPr>
            <w:r>
              <w:rPr>
                <w:sz w:val="22"/>
              </w:rPr>
              <w:t>2,211</w:t>
            </w:r>
          </w:p>
        </w:tc>
        <w:tc>
          <w:tcPr>
            <w:tcW w:w="1706" w:type="dxa"/>
          </w:tcPr>
          <w:p>
            <w:pPr>
              <w:pStyle w:val="TableParagraph"/>
              <w:spacing w:before="30"/>
              <w:rPr>
                <w:sz w:val="22"/>
              </w:rPr>
            </w:pPr>
            <w:r>
              <w:rPr>
                <w:sz w:val="22"/>
              </w:rPr>
              <w:t>0,00020836</w:t>
            </w:r>
          </w:p>
        </w:tc>
      </w:tr>
      <w:tr>
        <w:trPr>
          <w:trHeight w:val="310" w:hRule="exact"/>
        </w:trPr>
        <w:tc>
          <w:tcPr>
            <w:tcW w:w="958" w:type="dxa"/>
          </w:tcPr>
          <w:p>
            <w:pPr>
              <w:pStyle w:val="TableParagraph"/>
              <w:ind w:right="1"/>
              <w:jc w:val="center"/>
              <w:rPr>
                <w:sz w:val="22"/>
              </w:rPr>
            </w:pPr>
            <w:r>
              <w:rPr>
                <w:w w:val="100"/>
                <w:sz w:val="22"/>
              </w:rPr>
              <w:t>5</w:t>
            </w:r>
          </w:p>
        </w:tc>
        <w:tc>
          <w:tcPr>
            <w:tcW w:w="922" w:type="dxa"/>
          </w:tcPr>
          <w:p>
            <w:pPr>
              <w:pStyle w:val="TableParagraph"/>
              <w:ind w:right="63"/>
              <w:rPr>
                <w:sz w:val="22"/>
              </w:rPr>
            </w:pPr>
            <w:r>
              <w:rPr>
                <w:sz w:val="22"/>
              </w:rPr>
              <w:t>180,21</w:t>
            </w:r>
          </w:p>
        </w:tc>
        <w:tc>
          <w:tcPr>
            <w:tcW w:w="521" w:type="dxa"/>
          </w:tcPr>
          <w:p>
            <w:pPr>
              <w:pStyle w:val="TableParagraph"/>
              <w:ind w:left="92" w:right="43"/>
              <w:jc w:val="center"/>
              <w:rPr>
                <w:sz w:val="22"/>
              </w:rPr>
            </w:pPr>
            <w:r>
              <w:rPr>
                <w:sz w:val="22"/>
              </w:rPr>
              <w:t>132</w:t>
            </w:r>
          </w:p>
        </w:tc>
        <w:tc>
          <w:tcPr>
            <w:tcW w:w="758" w:type="dxa"/>
          </w:tcPr>
          <w:p>
            <w:pPr>
              <w:pStyle w:val="TableParagraph"/>
              <w:ind w:left="182" w:right="0"/>
              <w:jc w:val="left"/>
              <w:rPr>
                <w:sz w:val="22"/>
              </w:rPr>
            </w:pPr>
            <w:r>
              <w:rPr>
                <w:sz w:val="22"/>
              </w:rPr>
              <w:t>6,847</w:t>
            </w:r>
          </w:p>
        </w:tc>
        <w:tc>
          <w:tcPr>
            <w:tcW w:w="761" w:type="dxa"/>
          </w:tcPr>
          <w:p>
            <w:pPr>
              <w:pStyle w:val="TableParagraph"/>
              <w:ind w:left="182" w:right="0"/>
              <w:jc w:val="left"/>
              <w:rPr>
                <w:sz w:val="22"/>
              </w:rPr>
            </w:pPr>
            <w:r>
              <w:rPr>
                <w:sz w:val="22"/>
              </w:rPr>
              <w:t>0,034</w:t>
            </w:r>
          </w:p>
        </w:tc>
        <w:tc>
          <w:tcPr>
            <w:tcW w:w="1241" w:type="dxa"/>
          </w:tcPr>
          <w:p>
            <w:pPr>
              <w:pStyle w:val="TableParagraph"/>
              <w:rPr>
                <w:sz w:val="22"/>
              </w:rPr>
            </w:pPr>
            <w:r>
              <w:rPr>
                <w:sz w:val="22"/>
              </w:rPr>
              <w:t>1233,938</w:t>
            </w:r>
          </w:p>
        </w:tc>
        <w:tc>
          <w:tcPr>
            <w:tcW w:w="761" w:type="dxa"/>
          </w:tcPr>
          <w:p>
            <w:pPr>
              <w:pStyle w:val="TableParagraph"/>
              <w:ind w:right="63"/>
              <w:rPr>
                <w:sz w:val="22"/>
              </w:rPr>
            </w:pPr>
            <w:r>
              <w:rPr>
                <w:sz w:val="22"/>
              </w:rPr>
              <w:t>0,186</w:t>
            </w:r>
          </w:p>
        </w:tc>
        <w:tc>
          <w:tcPr>
            <w:tcW w:w="1274" w:type="dxa"/>
          </w:tcPr>
          <w:p>
            <w:pPr>
              <w:pStyle w:val="TableParagraph"/>
              <w:ind w:right="63"/>
              <w:rPr>
                <w:sz w:val="22"/>
              </w:rPr>
            </w:pPr>
            <w:r>
              <w:rPr>
                <w:sz w:val="22"/>
              </w:rPr>
              <w:t>2,266</w:t>
            </w:r>
          </w:p>
        </w:tc>
        <w:tc>
          <w:tcPr>
            <w:tcW w:w="1706" w:type="dxa"/>
          </w:tcPr>
          <w:p>
            <w:pPr>
              <w:pStyle w:val="TableParagraph"/>
              <w:rPr>
                <w:sz w:val="22"/>
              </w:rPr>
            </w:pPr>
            <w:r>
              <w:rPr>
                <w:sz w:val="22"/>
              </w:rPr>
              <w:t>0,0002136</w:t>
            </w:r>
          </w:p>
        </w:tc>
      </w:tr>
      <w:tr>
        <w:trPr>
          <w:trHeight w:val="310" w:hRule="exact"/>
        </w:trPr>
        <w:tc>
          <w:tcPr>
            <w:tcW w:w="958" w:type="dxa"/>
          </w:tcPr>
          <w:p>
            <w:pPr>
              <w:pStyle w:val="TableParagraph"/>
              <w:ind w:right="0"/>
              <w:jc w:val="center"/>
              <w:rPr>
                <w:sz w:val="22"/>
              </w:rPr>
            </w:pPr>
            <w:r>
              <w:rPr>
                <w:w w:val="100"/>
                <w:sz w:val="22"/>
              </w:rPr>
              <w:t>N</w:t>
            </w:r>
          </w:p>
        </w:tc>
        <w:tc>
          <w:tcPr>
            <w:tcW w:w="922" w:type="dxa"/>
          </w:tcPr>
          <w:p>
            <w:pPr>
              <w:pStyle w:val="TableParagraph"/>
              <w:ind w:right="63"/>
              <w:rPr>
                <w:sz w:val="22"/>
              </w:rPr>
            </w:pPr>
            <w:r>
              <w:rPr>
                <w:sz w:val="22"/>
              </w:rPr>
              <w:t>695,17</w:t>
            </w:r>
          </w:p>
        </w:tc>
        <w:tc>
          <w:tcPr>
            <w:tcW w:w="521" w:type="dxa"/>
          </w:tcPr>
          <w:p>
            <w:pPr/>
          </w:p>
        </w:tc>
        <w:tc>
          <w:tcPr>
            <w:tcW w:w="758" w:type="dxa"/>
          </w:tcPr>
          <w:p>
            <w:pPr/>
          </w:p>
        </w:tc>
        <w:tc>
          <w:tcPr>
            <w:tcW w:w="761" w:type="dxa"/>
          </w:tcPr>
          <w:p>
            <w:pPr>
              <w:pStyle w:val="TableParagraph"/>
              <w:spacing w:before="16"/>
              <w:ind w:left="208"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41" w:type="dxa"/>
          </w:tcPr>
          <w:p>
            <w:pPr>
              <w:pStyle w:val="TableParagraph"/>
              <w:rPr>
                <w:sz w:val="22"/>
              </w:rPr>
            </w:pPr>
            <w:r>
              <w:rPr>
                <w:sz w:val="22"/>
              </w:rPr>
              <w:t>4724,464</w:t>
            </w:r>
          </w:p>
        </w:tc>
        <w:tc>
          <w:tcPr>
            <w:tcW w:w="761" w:type="dxa"/>
          </w:tcPr>
          <w:p>
            <w:pPr/>
          </w:p>
        </w:tc>
        <w:tc>
          <w:tcPr>
            <w:tcW w:w="1274" w:type="dxa"/>
          </w:tcPr>
          <w:p>
            <w:pPr>
              <w:pStyle w:val="TableParagraph"/>
              <w:ind w:right="63"/>
              <w:rPr>
                <w:sz w:val="22"/>
              </w:rPr>
            </w:pPr>
            <w:r>
              <w:rPr>
                <w:sz w:val="22"/>
              </w:rPr>
              <w:t>10,907</w:t>
            </w:r>
          </w:p>
        </w:tc>
        <w:tc>
          <w:tcPr>
            <w:tcW w:w="1706" w:type="dxa"/>
          </w:tcPr>
          <w:p>
            <w:pPr>
              <w:pStyle w:val="TableParagraph"/>
              <w:rPr>
                <w:sz w:val="22"/>
              </w:rPr>
            </w:pPr>
            <w:r>
              <w:rPr>
                <w:sz w:val="22"/>
              </w:rPr>
              <w:t>0,00102813</w:t>
            </w:r>
          </w:p>
        </w:tc>
      </w:tr>
      <w:tr>
        <w:trPr>
          <w:trHeight w:val="310" w:hRule="exact"/>
        </w:trPr>
        <w:tc>
          <w:tcPr>
            <w:tcW w:w="5160" w:type="dxa"/>
            <w:gridSpan w:val="6"/>
            <w:vMerge w:val="restart"/>
            <w:tcBorders>
              <w:left w:val="nil"/>
            </w:tcBorders>
          </w:tcPr>
          <w:p>
            <w:pPr/>
          </w:p>
        </w:tc>
        <w:tc>
          <w:tcPr>
            <w:tcW w:w="2035" w:type="dxa"/>
            <w:gridSpan w:val="2"/>
          </w:tcPr>
          <w:p>
            <w:pPr>
              <w:pStyle w:val="TableParagraph"/>
              <w:spacing w:before="13"/>
              <w:ind w:left="64" w:right="111"/>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706" w:type="dxa"/>
          </w:tcPr>
          <w:p>
            <w:pPr>
              <w:pStyle w:val="TableParagraph"/>
              <w:rPr>
                <w:b/>
                <w:sz w:val="22"/>
              </w:rPr>
            </w:pPr>
            <w:r>
              <w:rPr>
                <w:b/>
                <w:sz w:val="22"/>
              </w:rPr>
              <w:t>6,796</w:t>
            </w:r>
          </w:p>
        </w:tc>
      </w:tr>
      <w:tr>
        <w:trPr>
          <w:trHeight w:val="310" w:hRule="exact"/>
        </w:trPr>
        <w:tc>
          <w:tcPr>
            <w:tcW w:w="5160" w:type="dxa"/>
            <w:gridSpan w:val="6"/>
            <w:vMerge/>
            <w:tcBorders>
              <w:left w:val="nil"/>
            </w:tcBorders>
          </w:tcPr>
          <w:p>
            <w:pPr/>
          </w:p>
        </w:tc>
        <w:tc>
          <w:tcPr>
            <w:tcW w:w="2035" w:type="dxa"/>
            <w:gridSpan w:val="2"/>
          </w:tcPr>
          <w:p>
            <w:pPr>
              <w:pStyle w:val="TableParagraph"/>
              <w:spacing w:before="13"/>
              <w:ind w:left="64" w:right="111"/>
              <w:jc w:val="left"/>
              <w:rPr>
                <w:sz w:val="22"/>
              </w:rPr>
            </w:pPr>
            <w:r>
              <w:rPr>
                <w:sz w:val="22"/>
              </w:rPr>
              <w:t>Desviación estándar</w:t>
            </w:r>
          </w:p>
        </w:tc>
        <w:tc>
          <w:tcPr>
            <w:tcW w:w="1706" w:type="dxa"/>
          </w:tcPr>
          <w:p>
            <w:pPr>
              <w:pStyle w:val="TableParagraph"/>
              <w:rPr>
                <w:b/>
                <w:sz w:val="22"/>
              </w:rPr>
            </w:pPr>
            <w:r>
              <w:rPr>
                <w:b/>
                <w:sz w:val="22"/>
              </w:rPr>
              <w:t>0,032</w:t>
            </w:r>
          </w:p>
        </w:tc>
      </w:tr>
      <w:tr>
        <w:trPr>
          <w:trHeight w:val="310" w:hRule="exact"/>
        </w:trPr>
        <w:tc>
          <w:tcPr>
            <w:tcW w:w="5160" w:type="dxa"/>
            <w:gridSpan w:val="6"/>
            <w:vMerge/>
            <w:tcBorders>
              <w:left w:val="nil"/>
            </w:tcBorders>
          </w:tcPr>
          <w:p>
            <w:pPr/>
          </w:p>
        </w:tc>
        <w:tc>
          <w:tcPr>
            <w:tcW w:w="2035" w:type="dxa"/>
            <w:gridSpan w:val="2"/>
            <w:vMerge w:val="restart"/>
          </w:tcPr>
          <w:p>
            <w:pPr>
              <w:pStyle w:val="TableParagraph"/>
              <w:spacing w:line="266" w:lineRule="exact" w:before="32"/>
              <w:ind w:left="64" w:right="400"/>
              <w:jc w:val="left"/>
              <w:rPr>
                <w:sz w:val="22"/>
              </w:rPr>
            </w:pPr>
            <w:r>
              <w:rPr>
                <w:sz w:val="22"/>
              </w:rPr>
              <w:t>Intervalo de confianza al 95 %</w:t>
            </w:r>
          </w:p>
        </w:tc>
        <w:tc>
          <w:tcPr>
            <w:tcW w:w="1706" w:type="dxa"/>
          </w:tcPr>
          <w:p>
            <w:pPr>
              <w:pStyle w:val="TableParagraph"/>
              <w:rPr>
                <w:sz w:val="22"/>
              </w:rPr>
            </w:pPr>
            <w:r>
              <w:rPr>
                <w:sz w:val="22"/>
              </w:rPr>
              <w:t>6,73</w:t>
            </w:r>
          </w:p>
        </w:tc>
      </w:tr>
      <w:tr>
        <w:trPr>
          <w:trHeight w:val="312" w:hRule="exact"/>
        </w:trPr>
        <w:tc>
          <w:tcPr>
            <w:tcW w:w="5160" w:type="dxa"/>
            <w:gridSpan w:val="6"/>
            <w:vMerge/>
            <w:tcBorders>
              <w:left w:val="nil"/>
              <w:bottom w:val="nil"/>
            </w:tcBorders>
          </w:tcPr>
          <w:p>
            <w:pPr/>
          </w:p>
        </w:tc>
        <w:tc>
          <w:tcPr>
            <w:tcW w:w="2035" w:type="dxa"/>
            <w:gridSpan w:val="2"/>
            <w:vMerge/>
          </w:tcPr>
          <w:p>
            <w:pPr/>
          </w:p>
        </w:tc>
        <w:tc>
          <w:tcPr>
            <w:tcW w:w="1706" w:type="dxa"/>
          </w:tcPr>
          <w:p>
            <w:pPr>
              <w:pStyle w:val="TableParagraph"/>
              <w:spacing w:before="30"/>
              <w:rPr>
                <w:sz w:val="22"/>
              </w:rPr>
            </w:pPr>
            <w:r>
              <w:rPr>
                <w:sz w:val="22"/>
              </w:rPr>
              <w:t>6,86</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8"/>
        <w:gridCol w:w="922"/>
        <w:gridCol w:w="521"/>
        <w:gridCol w:w="758"/>
        <w:gridCol w:w="761"/>
        <w:gridCol w:w="1241"/>
        <w:gridCol w:w="761"/>
        <w:gridCol w:w="1274"/>
        <w:gridCol w:w="1706"/>
      </w:tblGrid>
      <w:tr>
        <w:trPr>
          <w:trHeight w:val="310" w:hRule="exact"/>
        </w:trPr>
        <w:tc>
          <w:tcPr>
            <w:tcW w:w="8902" w:type="dxa"/>
            <w:gridSpan w:val="9"/>
          </w:tcPr>
          <w:p>
            <w:pPr>
              <w:pStyle w:val="TableParagraph"/>
              <w:ind w:left="3476" w:right="3476"/>
              <w:jc w:val="center"/>
              <w:rPr>
                <w:sz w:val="22"/>
              </w:rPr>
            </w:pPr>
            <w:r>
              <w:rPr>
                <w:sz w:val="22"/>
              </w:rPr>
              <w:t>Punto de muestreo C</w:t>
            </w:r>
          </w:p>
        </w:tc>
      </w:tr>
      <w:tr>
        <w:trPr>
          <w:trHeight w:val="310" w:hRule="exact"/>
        </w:trPr>
        <w:tc>
          <w:tcPr>
            <w:tcW w:w="958" w:type="dxa"/>
          </w:tcPr>
          <w:p>
            <w:pPr>
              <w:pStyle w:val="TableParagraph"/>
              <w:spacing w:before="13"/>
              <w:ind w:left="134" w:right="135"/>
              <w:jc w:val="center"/>
              <w:rPr>
                <w:sz w:val="22"/>
              </w:rPr>
            </w:pPr>
            <w:r>
              <w:rPr>
                <w:sz w:val="22"/>
              </w:rPr>
              <w:t>Estrato</w:t>
            </w:r>
          </w:p>
        </w:tc>
        <w:tc>
          <w:tcPr>
            <w:tcW w:w="922" w:type="dxa"/>
          </w:tcPr>
          <w:p>
            <w:pPr>
              <w:pStyle w:val="TableParagraph"/>
              <w:spacing w:before="43"/>
              <w:ind w:left="297" w:right="312"/>
              <w:jc w:val="center"/>
              <w:rPr>
                <w:rFonts w:ascii="Cambria Math"/>
                <w:sz w:val="16"/>
              </w:rPr>
            </w:pPr>
            <w:r>
              <w:rPr>
                <w:rFonts w:ascii="Cambria Math"/>
                <w:w w:val="110"/>
                <w:sz w:val="22"/>
              </w:rPr>
              <w:t>N</w:t>
            </w:r>
            <w:r>
              <w:rPr>
                <w:rFonts w:ascii="Cambria Math"/>
                <w:w w:val="110"/>
                <w:position w:val="-4"/>
                <w:sz w:val="16"/>
              </w:rPr>
              <w:t>h</w:t>
            </w:r>
          </w:p>
        </w:tc>
        <w:tc>
          <w:tcPr>
            <w:tcW w:w="521" w:type="dxa"/>
          </w:tcPr>
          <w:p>
            <w:pPr>
              <w:pStyle w:val="TableParagraph"/>
              <w:spacing w:before="43"/>
              <w:ind w:left="35" w:right="43"/>
              <w:jc w:val="center"/>
              <w:rPr>
                <w:rFonts w:ascii="Cambria Math"/>
                <w:sz w:val="16"/>
              </w:rPr>
            </w:pPr>
            <w:r>
              <w:rPr>
                <w:rFonts w:ascii="Cambria Math"/>
                <w:w w:val="110"/>
                <w:sz w:val="22"/>
              </w:rPr>
              <w:t>n</w:t>
            </w:r>
            <w:r>
              <w:rPr>
                <w:rFonts w:ascii="Cambria Math"/>
                <w:w w:val="110"/>
                <w:position w:val="-4"/>
                <w:sz w:val="16"/>
              </w:rPr>
              <w:t>h</w:t>
            </w:r>
          </w:p>
        </w:tc>
        <w:tc>
          <w:tcPr>
            <w:tcW w:w="758" w:type="dxa"/>
          </w:tcPr>
          <w:p>
            <w:pPr>
              <w:pStyle w:val="TableParagraph"/>
              <w:spacing w:before="43"/>
              <w:ind w:left="259"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61" w:type="dxa"/>
          </w:tcPr>
          <w:p>
            <w:pPr>
              <w:pStyle w:val="TableParagraph"/>
              <w:spacing w:line="214" w:lineRule="exact" w:before="6"/>
              <w:ind w:left="233" w:right="238"/>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41" w:type="dxa"/>
          </w:tcPr>
          <w:p>
            <w:pPr>
              <w:pStyle w:val="TableParagraph"/>
              <w:spacing w:before="19"/>
              <w:ind w:left="496" w:right="50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61" w:type="dxa"/>
          </w:tcPr>
          <w:p>
            <w:pPr>
              <w:pStyle w:val="TableParagraph"/>
              <w:spacing w:before="43"/>
              <w:ind w:left="233" w:right="241"/>
              <w:jc w:val="center"/>
              <w:rPr>
                <w:rFonts w:ascii="Cambria Math"/>
                <w:sz w:val="16"/>
              </w:rPr>
            </w:pPr>
            <w:r>
              <w:rPr>
                <w:rFonts w:ascii="Cambria Math"/>
                <w:w w:val="110"/>
                <w:sz w:val="22"/>
              </w:rPr>
              <w:t>s</w:t>
            </w:r>
            <w:r>
              <w:rPr>
                <w:rFonts w:ascii="Cambria Math"/>
                <w:w w:val="110"/>
                <w:position w:val="-4"/>
                <w:sz w:val="16"/>
              </w:rPr>
              <w:t>h</w:t>
            </w:r>
          </w:p>
        </w:tc>
        <w:tc>
          <w:tcPr>
            <w:tcW w:w="1274" w:type="dxa"/>
          </w:tcPr>
          <w:p>
            <w:pPr>
              <w:pStyle w:val="TableParagraph"/>
              <w:spacing w:before="0"/>
              <w:ind w:left="30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706" w:type="dxa"/>
          </w:tcPr>
          <w:p>
            <w:pPr>
              <w:pStyle w:val="TableParagraph"/>
              <w:spacing w:before="0"/>
              <w:ind w:left="50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58" w:type="dxa"/>
          </w:tcPr>
          <w:p>
            <w:pPr>
              <w:pStyle w:val="TableParagraph"/>
              <w:ind w:right="1"/>
              <w:jc w:val="center"/>
              <w:rPr>
                <w:sz w:val="22"/>
              </w:rPr>
            </w:pPr>
            <w:r>
              <w:rPr>
                <w:w w:val="100"/>
                <w:sz w:val="22"/>
              </w:rPr>
              <w:t>1</w:t>
            </w:r>
          </w:p>
        </w:tc>
        <w:tc>
          <w:tcPr>
            <w:tcW w:w="922" w:type="dxa"/>
          </w:tcPr>
          <w:p>
            <w:pPr>
              <w:pStyle w:val="TableParagraph"/>
              <w:ind w:right="63"/>
              <w:rPr>
                <w:sz w:val="22"/>
              </w:rPr>
            </w:pPr>
            <w:r>
              <w:rPr>
                <w:sz w:val="22"/>
              </w:rPr>
              <w:t>108,60</w:t>
            </w:r>
          </w:p>
        </w:tc>
        <w:tc>
          <w:tcPr>
            <w:tcW w:w="521" w:type="dxa"/>
          </w:tcPr>
          <w:p>
            <w:pPr>
              <w:pStyle w:val="TableParagraph"/>
              <w:ind w:left="92" w:right="43"/>
              <w:jc w:val="center"/>
              <w:rPr>
                <w:sz w:val="22"/>
              </w:rPr>
            </w:pPr>
            <w:r>
              <w:rPr>
                <w:sz w:val="22"/>
              </w:rPr>
              <w:t>108</w:t>
            </w:r>
          </w:p>
        </w:tc>
        <w:tc>
          <w:tcPr>
            <w:tcW w:w="758" w:type="dxa"/>
          </w:tcPr>
          <w:p>
            <w:pPr>
              <w:pStyle w:val="TableParagraph"/>
              <w:ind w:left="182" w:right="0"/>
              <w:jc w:val="left"/>
              <w:rPr>
                <w:sz w:val="22"/>
              </w:rPr>
            </w:pPr>
            <w:r>
              <w:rPr>
                <w:sz w:val="22"/>
              </w:rPr>
              <w:t>5,665</w:t>
            </w:r>
          </w:p>
        </w:tc>
        <w:tc>
          <w:tcPr>
            <w:tcW w:w="761" w:type="dxa"/>
          </w:tcPr>
          <w:p>
            <w:pPr>
              <w:pStyle w:val="TableParagraph"/>
              <w:ind w:left="182" w:right="0"/>
              <w:jc w:val="left"/>
              <w:rPr>
                <w:sz w:val="22"/>
              </w:rPr>
            </w:pPr>
            <w:r>
              <w:rPr>
                <w:sz w:val="22"/>
              </w:rPr>
              <w:t>0,145</w:t>
            </w:r>
          </w:p>
        </w:tc>
        <w:tc>
          <w:tcPr>
            <w:tcW w:w="1241" w:type="dxa"/>
          </w:tcPr>
          <w:p>
            <w:pPr>
              <w:pStyle w:val="TableParagraph"/>
              <w:rPr>
                <w:sz w:val="22"/>
              </w:rPr>
            </w:pPr>
            <w:r>
              <w:rPr>
                <w:sz w:val="22"/>
              </w:rPr>
              <w:t>615,190</w:t>
            </w:r>
          </w:p>
        </w:tc>
        <w:tc>
          <w:tcPr>
            <w:tcW w:w="761" w:type="dxa"/>
          </w:tcPr>
          <w:p>
            <w:pPr>
              <w:pStyle w:val="TableParagraph"/>
              <w:ind w:right="63"/>
              <w:rPr>
                <w:sz w:val="22"/>
              </w:rPr>
            </w:pPr>
            <w:r>
              <w:rPr>
                <w:sz w:val="22"/>
              </w:rPr>
              <w:t>0,380</w:t>
            </w:r>
          </w:p>
        </w:tc>
        <w:tc>
          <w:tcPr>
            <w:tcW w:w="1274" w:type="dxa"/>
          </w:tcPr>
          <w:p>
            <w:pPr>
              <w:pStyle w:val="TableParagraph"/>
              <w:ind w:right="63"/>
              <w:rPr>
                <w:sz w:val="22"/>
              </w:rPr>
            </w:pPr>
            <w:r>
              <w:rPr>
                <w:sz w:val="22"/>
              </w:rPr>
              <w:t>-5,276</w:t>
            </w:r>
          </w:p>
        </w:tc>
        <w:tc>
          <w:tcPr>
            <w:tcW w:w="1706" w:type="dxa"/>
          </w:tcPr>
          <w:p>
            <w:pPr>
              <w:pStyle w:val="TableParagraph"/>
              <w:rPr>
                <w:sz w:val="22"/>
              </w:rPr>
            </w:pPr>
            <w:r>
              <w:rPr>
                <w:sz w:val="22"/>
              </w:rPr>
              <w:t>-0,00049733</w:t>
            </w:r>
          </w:p>
        </w:tc>
      </w:tr>
      <w:tr>
        <w:trPr>
          <w:trHeight w:val="310" w:hRule="exact"/>
        </w:trPr>
        <w:tc>
          <w:tcPr>
            <w:tcW w:w="958" w:type="dxa"/>
          </w:tcPr>
          <w:p>
            <w:pPr>
              <w:pStyle w:val="TableParagraph"/>
              <w:ind w:right="1"/>
              <w:jc w:val="center"/>
              <w:rPr>
                <w:sz w:val="22"/>
              </w:rPr>
            </w:pPr>
            <w:r>
              <w:rPr>
                <w:w w:val="100"/>
                <w:sz w:val="22"/>
              </w:rPr>
              <w:t>2</w:t>
            </w:r>
          </w:p>
        </w:tc>
        <w:tc>
          <w:tcPr>
            <w:tcW w:w="922" w:type="dxa"/>
          </w:tcPr>
          <w:p>
            <w:pPr>
              <w:pStyle w:val="TableParagraph"/>
              <w:ind w:right="63"/>
              <w:rPr>
                <w:sz w:val="22"/>
              </w:rPr>
            </w:pPr>
            <w:r>
              <w:rPr>
                <w:sz w:val="22"/>
              </w:rPr>
              <w:t>121,03</w:t>
            </w:r>
          </w:p>
        </w:tc>
        <w:tc>
          <w:tcPr>
            <w:tcW w:w="521" w:type="dxa"/>
          </w:tcPr>
          <w:p>
            <w:pPr>
              <w:pStyle w:val="TableParagraph"/>
              <w:ind w:left="202" w:right="43"/>
              <w:jc w:val="center"/>
              <w:rPr>
                <w:sz w:val="22"/>
              </w:rPr>
            </w:pPr>
            <w:r>
              <w:rPr>
                <w:sz w:val="22"/>
              </w:rPr>
              <w:t>81</w:t>
            </w:r>
          </w:p>
        </w:tc>
        <w:tc>
          <w:tcPr>
            <w:tcW w:w="758" w:type="dxa"/>
          </w:tcPr>
          <w:p>
            <w:pPr>
              <w:pStyle w:val="TableParagraph"/>
              <w:ind w:left="182" w:right="0"/>
              <w:jc w:val="left"/>
              <w:rPr>
                <w:sz w:val="22"/>
              </w:rPr>
            </w:pPr>
            <w:r>
              <w:rPr>
                <w:sz w:val="22"/>
              </w:rPr>
              <w:t>5,203</w:t>
            </w:r>
          </w:p>
        </w:tc>
        <w:tc>
          <w:tcPr>
            <w:tcW w:w="761" w:type="dxa"/>
          </w:tcPr>
          <w:p>
            <w:pPr>
              <w:pStyle w:val="TableParagraph"/>
              <w:ind w:left="182" w:right="0"/>
              <w:jc w:val="left"/>
              <w:rPr>
                <w:sz w:val="22"/>
              </w:rPr>
            </w:pPr>
            <w:r>
              <w:rPr>
                <w:sz w:val="22"/>
              </w:rPr>
              <w:t>0,129</w:t>
            </w:r>
          </w:p>
        </w:tc>
        <w:tc>
          <w:tcPr>
            <w:tcW w:w="1241" w:type="dxa"/>
          </w:tcPr>
          <w:p>
            <w:pPr>
              <w:pStyle w:val="TableParagraph"/>
              <w:rPr>
                <w:sz w:val="22"/>
              </w:rPr>
            </w:pPr>
            <w:r>
              <w:rPr>
                <w:sz w:val="22"/>
              </w:rPr>
              <w:t>629,759</w:t>
            </w:r>
          </w:p>
        </w:tc>
        <w:tc>
          <w:tcPr>
            <w:tcW w:w="761" w:type="dxa"/>
          </w:tcPr>
          <w:p>
            <w:pPr>
              <w:pStyle w:val="TableParagraph"/>
              <w:ind w:right="63"/>
              <w:rPr>
                <w:sz w:val="22"/>
              </w:rPr>
            </w:pPr>
            <w:r>
              <w:rPr>
                <w:sz w:val="22"/>
              </w:rPr>
              <w:t>0,359</w:t>
            </w:r>
          </w:p>
        </w:tc>
        <w:tc>
          <w:tcPr>
            <w:tcW w:w="1274" w:type="dxa"/>
          </w:tcPr>
          <w:p>
            <w:pPr>
              <w:pStyle w:val="TableParagraph"/>
              <w:ind w:right="63"/>
              <w:rPr>
                <w:sz w:val="22"/>
              </w:rPr>
            </w:pPr>
            <w:r>
              <w:rPr>
                <w:sz w:val="22"/>
              </w:rPr>
              <w:t>7,731</w:t>
            </w:r>
          </w:p>
        </w:tc>
        <w:tc>
          <w:tcPr>
            <w:tcW w:w="1706" w:type="dxa"/>
          </w:tcPr>
          <w:p>
            <w:pPr>
              <w:pStyle w:val="TableParagraph"/>
              <w:rPr>
                <w:sz w:val="22"/>
              </w:rPr>
            </w:pPr>
            <w:r>
              <w:rPr>
                <w:sz w:val="22"/>
              </w:rPr>
              <w:t>0,00072872</w:t>
            </w:r>
          </w:p>
        </w:tc>
      </w:tr>
      <w:tr>
        <w:trPr>
          <w:trHeight w:val="312" w:hRule="exact"/>
        </w:trPr>
        <w:tc>
          <w:tcPr>
            <w:tcW w:w="958" w:type="dxa"/>
          </w:tcPr>
          <w:p>
            <w:pPr>
              <w:pStyle w:val="TableParagraph"/>
              <w:spacing w:before="30"/>
              <w:ind w:right="1"/>
              <w:jc w:val="center"/>
              <w:rPr>
                <w:sz w:val="22"/>
              </w:rPr>
            </w:pPr>
            <w:r>
              <w:rPr>
                <w:w w:val="100"/>
                <w:sz w:val="22"/>
              </w:rPr>
              <w:t>3</w:t>
            </w:r>
          </w:p>
        </w:tc>
        <w:tc>
          <w:tcPr>
            <w:tcW w:w="922" w:type="dxa"/>
          </w:tcPr>
          <w:p>
            <w:pPr>
              <w:pStyle w:val="TableParagraph"/>
              <w:spacing w:before="30"/>
              <w:ind w:right="63"/>
              <w:rPr>
                <w:sz w:val="22"/>
              </w:rPr>
            </w:pPr>
            <w:r>
              <w:rPr>
                <w:sz w:val="22"/>
              </w:rPr>
              <w:t>130,21</w:t>
            </w:r>
          </w:p>
        </w:tc>
        <w:tc>
          <w:tcPr>
            <w:tcW w:w="521" w:type="dxa"/>
          </w:tcPr>
          <w:p>
            <w:pPr>
              <w:pStyle w:val="TableParagraph"/>
              <w:spacing w:before="30"/>
              <w:ind w:left="202" w:right="43"/>
              <w:jc w:val="center"/>
              <w:rPr>
                <w:sz w:val="22"/>
              </w:rPr>
            </w:pPr>
            <w:r>
              <w:rPr>
                <w:sz w:val="22"/>
              </w:rPr>
              <w:t>77</w:t>
            </w:r>
          </w:p>
        </w:tc>
        <w:tc>
          <w:tcPr>
            <w:tcW w:w="758" w:type="dxa"/>
          </w:tcPr>
          <w:p>
            <w:pPr>
              <w:pStyle w:val="TableParagraph"/>
              <w:spacing w:before="30"/>
              <w:ind w:left="182" w:right="0"/>
              <w:jc w:val="left"/>
              <w:rPr>
                <w:sz w:val="22"/>
              </w:rPr>
            </w:pPr>
            <w:r>
              <w:rPr>
                <w:sz w:val="22"/>
              </w:rPr>
              <w:t>5,191</w:t>
            </w:r>
          </w:p>
        </w:tc>
        <w:tc>
          <w:tcPr>
            <w:tcW w:w="761" w:type="dxa"/>
          </w:tcPr>
          <w:p>
            <w:pPr>
              <w:pStyle w:val="TableParagraph"/>
              <w:spacing w:before="30"/>
              <w:ind w:left="182" w:right="0"/>
              <w:jc w:val="left"/>
              <w:rPr>
                <w:sz w:val="22"/>
              </w:rPr>
            </w:pPr>
            <w:r>
              <w:rPr>
                <w:sz w:val="22"/>
              </w:rPr>
              <w:t>0,335</w:t>
            </w:r>
          </w:p>
        </w:tc>
        <w:tc>
          <w:tcPr>
            <w:tcW w:w="1241" w:type="dxa"/>
          </w:tcPr>
          <w:p>
            <w:pPr>
              <w:pStyle w:val="TableParagraph"/>
              <w:spacing w:before="30"/>
              <w:rPr>
                <w:sz w:val="22"/>
              </w:rPr>
            </w:pPr>
            <w:r>
              <w:rPr>
                <w:sz w:val="22"/>
              </w:rPr>
              <w:t>675,858</w:t>
            </w:r>
          </w:p>
        </w:tc>
        <w:tc>
          <w:tcPr>
            <w:tcW w:w="761" w:type="dxa"/>
          </w:tcPr>
          <w:p>
            <w:pPr>
              <w:pStyle w:val="TableParagraph"/>
              <w:spacing w:before="30"/>
              <w:ind w:right="63"/>
              <w:rPr>
                <w:sz w:val="22"/>
              </w:rPr>
            </w:pPr>
            <w:r>
              <w:rPr>
                <w:sz w:val="22"/>
              </w:rPr>
              <w:t>0,579</w:t>
            </w:r>
          </w:p>
        </w:tc>
        <w:tc>
          <w:tcPr>
            <w:tcW w:w="1274" w:type="dxa"/>
          </w:tcPr>
          <w:p>
            <w:pPr>
              <w:pStyle w:val="TableParagraph"/>
              <w:spacing w:before="30"/>
              <w:ind w:right="63"/>
              <w:rPr>
                <w:sz w:val="22"/>
              </w:rPr>
            </w:pPr>
            <w:r>
              <w:rPr>
                <w:sz w:val="22"/>
              </w:rPr>
              <w:t>30,581</w:t>
            </w:r>
          </w:p>
        </w:tc>
        <w:tc>
          <w:tcPr>
            <w:tcW w:w="1706" w:type="dxa"/>
          </w:tcPr>
          <w:p>
            <w:pPr>
              <w:pStyle w:val="TableParagraph"/>
              <w:spacing w:before="30"/>
              <w:rPr>
                <w:sz w:val="22"/>
              </w:rPr>
            </w:pPr>
            <w:r>
              <w:rPr>
                <w:sz w:val="22"/>
              </w:rPr>
              <w:t>0,00288256</w:t>
            </w:r>
          </w:p>
        </w:tc>
      </w:tr>
      <w:tr>
        <w:trPr>
          <w:trHeight w:val="310" w:hRule="exact"/>
        </w:trPr>
        <w:tc>
          <w:tcPr>
            <w:tcW w:w="958" w:type="dxa"/>
          </w:tcPr>
          <w:p>
            <w:pPr>
              <w:pStyle w:val="TableParagraph"/>
              <w:ind w:right="1"/>
              <w:jc w:val="center"/>
              <w:rPr>
                <w:sz w:val="22"/>
              </w:rPr>
            </w:pPr>
            <w:r>
              <w:rPr>
                <w:w w:val="100"/>
                <w:sz w:val="22"/>
              </w:rPr>
              <w:t>4</w:t>
            </w:r>
          </w:p>
        </w:tc>
        <w:tc>
          <w:tcPr>
            <w:tcW w:w="922" w:type="dxa"/>
          </w:tcPr>
          <w:p>
            <w:pPr>
              <w:pStyle w:val="TableParagraph"/>
              <w:ind w:right="63"/>
              <w:rPr>
                <w:sz w:val="22"/>
              </w:rPr>
            </w:pPr>
            <w:r>
              <w:rPr>
                <w:sz w:val="22"/>
              </w:rPr>
              <w:t>155,12</w:t>
            </w:r>
          </w:p>
        </w:tc>
        <w:tc>
          <w:tcPr>
            <w:tcW w:w="521" w:type="dxa"/>
          </w:tcPr>
          <w:p>
            <w:pPr>
              <w:pStyle w:val="TableParagraph"/>
              <w:ind w:left="202" w:right="43"/>
              <w:jc w:val="center"/>
              <w:rPr>
                <w:sz w:val="22"/>
              </w:rPr>
            </w:pPr>
            <w:r>
              <w:rPr>
                <w:sz w:val="22"/>
              </w:rPr>
              <w:t>92</w:t>
            </w:r>
          </w:p>
        </w:tc>
        <w:tc>
          <w:tcPr>
            <w:tcW w:w="758" w:type="dxa"/>
          </w:tcPr>
          <w:p>
            <w:pPr>
              <w:pStyle w:val="TableParagraph"/>
              <w:ind w:left="182" w:right="0"/>
              <w:jc w:val="left"/>
              <w:rPr>
                <w:sz w:val="22"/>
              </w:rPr>
            </w:pPr>
            <w:r>
              <w:rPr>
                <w:sz w:val="22"/>
              </w:rPr>
              <w:t>5,493</w:t>
            </w:r>
          </w:p>
        </w:tc>
        <w:tc>
          <w:tcPr>
            <w:tcW w:w="761" w:type="dxa"/>
          </w:tcPr>
          <w:p>
            <w:pPr>
              <w:pStyle w:val="TableParagraph"/>
              <w:ind w:left="182" w:right="0"/>
              <w:jc w:val="left"/>
              <w:rPr>
                <w:sz w:val="22"/>
              </w:rPr>
            </w:pPr>
            <w:r>
              <w:rPr>
                <w:sz w:val="22"/>
              </w:rPr>
              <w:t>0,206</w:t>
            </w:r>
          </w:p>
        </w:tc>
        <w:tc>
          <w:tcPr>
            <w:tcW w:w="1241" w:type="dxa"/>
          </w:tcPr>
          <w:p>
            <w:pPr>
              <w:pStyle w:val="TableParagraph"/>
              <w:rPr>
                <w:sz w:val="22"/>
              </w:rPr>
            </w:pPr>
            <w:r>
              <w:rPr>
                <w:sz w:val="22"/>
              </w:rPr>
              <w:t>852,065</w:t>
            </w:r>
          </w:p>
        </w:tc>
        <w:tc>
          <w:tcPr>
            <w:tcW w:w="761" w:type="dxa"/>
          </w:tcPr>
          <w:p>
            <w:pPr>
              <w:pStyle w:val="TableParagraph"/>
              <w:ind w:right="63"/>
              <w:rPr>
                <w:sz w:val="22"/>
              </w:rPr>
            </w:pPr>
            <w:r>
              <w:rPr>
                <w:sz w:val="22"/>
              </w:rPr>
              <w:t>0,454</w:t>
            </w:r>
          </w:p>
        </w:tc>
        <w:tc>
          <w:tcPr>
            <w:tcW w:w="1274" w:type="dxa"/>
          </w:tcPr>
          <w:p>
            <w:pPr>
              <w:pStyle w:val="TableParagraph"/>
              <w:ind w:right="63"/>
              <w:rPr>
                <w:sz w:val="22"/>
              </w:rPr>
            </w:pPr>
            <w:r>
              <w:rPr>
                <w:sz w:val="22"/>
              </w:rPr>
              <w:t>22,015</w:t>
            </w:r>
          </w:p>
        </w:tc>
        <w:tc>
          <w:tcPr>
            <w:tcW w:w="1706" w:type="dxa"/>
          </w:tcPr>
          <w:p>
            <w:pPr>
              <w:pStyle w:val="TableParagraph"/>
              <w:rPr>
                <w:sz w:val="22"/>
              </w:rPr>
            </w:pPr>
            <w:r>
              <w:rPr>
                <w:sz w:val="22"/>
              </w:rPr>
              <w:t>0,00207511</w:t>
            </w:r>
          </w:p>
        </w:tc>
      </w:tr>
      <w:tr>
        <w:trPr>
          <w:trHeight w:val="310" w:hRule="exact"/>
        </w:trPr>
        <w:tc>
          <w:tcPr>
            <w:tcW w:w="958" w:type="dxa"/>
          </w:tcPr>
          <w:p>
            <w:pPr>
              <w:pStyle w:val="TableParagraph"/>
              <w:ind w:right="1"/>
              <w:jc w:val="center"/>
              <w:rPr>
                <w:sz w:val="22"/>
              </w:rPr>
            </w:pPr>
            <w:r>
              <w:rPr>
                <w:w w:val="100"/>
                <w:sz w:val="22"/>
              </w:rPr>
              <w:t>5</w:t>
            </w:r>
          </w:p>
        </w:tc>
        <w:tc>
          <w:tcPr>
            <w:tcW w:w="922" w:type="dxa"/>
          </w:tcPr>
          <w:p>
            <w:pPr>
              <w:pStyle w:val="TableParagraph"/>
              <w:ind w:right="63"/>
              <w:rPr>
                <w:sz w:val="22"/>
              </w:rPr>
            </w:pPr>
            <w:r>
              <w:rPr>
                <w:sz w:val="22"/>
              </w:rPr>
              <w:t>180,21</w:t>
            </w:r>
          </w:p>
        </w:tc>
        <w:tc>
          <w:tcPr>
            <w:tcW w:w="521" w:type="dxa"/>
          </w:tcPr>
          <w:p>
            <w:pPr>
              <w:pStyle w:val="TableParagraph"/>
              <w:ind w:left="92" w:right="43"/>
              <w:jc w:val="center"/>
              <w:rPr>
                <w:sz w:val="22"/>
              </w:rPr>
            </w:pPr>
            <w:r>
              <w:rPr>
                <w:sz w:val="22"/>
              </w:rPr>
              <w:t>132</w:t>
            </w:r>
          </w:p>
        </w:tc>
        <w:tc>
          <w:tcPr>
            <w:tcW w:w="758" w:type="dxa"/>
          </w:tcPr>
          <w:p>
            <w:pPr>
              <w:pStyle w:val="TableParagraph"/>
              <w:ind w:left="182" w:right="0"/>
              <w:jc w:val="left"/>
              <w:rPr>
                <w:sz w:val="22"/>
              </w:rPr>
            </w:pPr>
            <w:r>
              <w:rPr>
                <w:sz w:val="22"/>
              </w:rPr>
              <w:t>5,244</w:t>
            </w:r>
          </w:p>
        </w:tc>
        <w:tc>
          <w:tcPr>
            <w:tcW w:w="761" w:type="dxa"/>
          </w:tcPr>
          <w:p>
            <w:pPr>
              <w:pStyle w:val="TableParagraph"/>
              <w:ind w:left="182" w:right="0"/>
              <w:jc w:val="left"/>
              <w:rPr>
                <w:sz w:val="22"/>
              </w:rPr>
            </w:pPr>
            <w:r>
              <w:rPr>
                <w:sz w:val="22"/>
              </w:rPr>
              <w:t>0,278</w:t>
            </w:r>
          </w:p>
        </w:tc>
        <w:tc>
          <w:tcPr>
            <w:tcW w:w="1241" w:type="dxa"/>
          </w:tcPr>
          <w:p>
            <w:pPr>
              <w:pStyle w:val="TableParagraph"/>
              <w:rPr>
                <w:sz w:val="22"/>
              </w:rPr>
            </w:pPr>
            <w:r>
              <w:rPr>
                <w:sz w:val="22"/>
              </w:rPr>
              <w:t>944,936</w:t>
            </w:r>
          </w:p>
        </w:tc>
        <w:tc>
          <w:tcPr>
            <w:tcW w:w="761" w:type="dxa"/>
          </w:tcPr>
          <w:p>
            <w:pPr>
              <w:pStyle w:val="TableParagraph"/>
              <w:ind w:right="63"/>
              <w:rPr>
                <w:sz w:val="22"/>
              </w:rPr>
            </w:pPr>
            <w:r>
              <w:rPr>
                <w:sz w:val="22"/>
              </w:rPr>
              <w:t>0,527</w:t>
            </w:r>
          </w:p>
        </w:tc>
        <w:tc>
          <w:tcPr>
            <w:tcW w:w="1274" w:type="dxa"/>
          </w:tcPr>
          <w:p>
            <w:pPr>
              <w:pStyle w:val="TableParagraph"/>
              <w:ind w:right="63"/>
              <w:rPr>
                <w:sz w:val="22"/>
              </w:rPr>
            </w:pPr>
            <w:r>
              <w:rPr>
                <w:sz w:val="22"/>
              </w:rPr>
              <w:t>18,273</w:t>
            </w:r>
          </w:p>
        </w:tc>
        <w:tc>
          <w:tcPr>
            <w:tcW w:w="1706" w:type="dxa"/>
          </w:tcPr>
          <w:p>
            <w:pPr>
              <w:pStyle w:val="TableParagraph"/>
              <w:rPr>
                <w:sz w:val="22"/>
              </w:rPr>
            </w:pPr>
            <w:r>
              <w:rPr>
                <w:sz w:val="22"/>
              </w:rPr>
              <w:t>0,00172243</w:t>
            </w:r>
          </w:p>
        </w:tc>
      </w:tr>
      <w:tr>
        <w:trPr>
          <w:trHeight w:val="310" w:hRule="exact"/>
        </w:trPr>
        <w:tc>
          <w:tcPr>
            <w:tcW w:w="958" w:type="dxa"/>
          </w:tcPr>
          <w:p>
            <w:pPr>
              <w:pStyle w:val="TableParagraph"/>
              <w:ind w:right="0"/>
              <w:jc w:val="center"/>
              <w:rPr>
                <w:sz w:val="22"/>
              </w:rPr>
            </w:pPr>
            <w:r>
              <w:rPr>
                <w:w w:val="100"/>
                <w:sz w:val="22"/>
              </w:rPr>
              <w:t>N</w:t>
            </w:r>
          </w:p>
        </w:tc>
        <w:tc>
          <w:tcPr>
            <w:tcW w:w="922" w:type="dxa"/>
          </w:tcPr>
          <w:p>
            <w:pPr>
              <w:pStyle w:val="TableParagraph"/>
              <w:ind w:right="63"/>
              <w:rPr>
                <w:sz w:val="22"/>
              </w:rPr>
            </w:pPr>
            <w:r>
              <w:rPr>
                <w:sz w:val="22"/>
              </w:rPr>
              <w:t>695,17</w:t>
            </w:r>
          </w:p>
        </w:tc>
        <w:tc>
          <w:tcPr>
            <w:tcW w:w="521" w:type="dxa"/>
          </w:tcPr>
          <w:p>
            <w:pPr/>
          </w:p>
        </w:tc>
        <w:tc>
          <w:tcPr>
            <w:tcW w:w="758" w:type="dxa"/>
          </w:tcPr>
          <w:p>
            <w:pPr/>
          </w:p>
        </w:tc>
        <w:tc>
          <w:tcPr>
            <w:tcW w:w="761" w:type="dxa"/>
          </w:tcPr>
          <w:p>
            <w:pPr>
              <w:pStyle w:val="TableParagraph"/>
              <w:spacing w:before="18"/>
              <w:ind w:left="208"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41" w:type="dxa"/>
          </w:tcPr>
          <w:p>
            <w:pPr>
              <w:pStyle w:val="TableParagraph"/>
              <w:rPr>
                <w:sz w:val="22"/>
              </w:rPr>
            </w:pPr>
            <w:r>
              <w:rPr>
                <w:sz w:val="22"/>
              </w:rPr>
              <w:t>3717,810</w:t>
            </w:r>
          </w:p>
        </w:tc>
        <w:tc>
          <w:tcPr>
            <w:tcW w:w="761" w:type="dxa"/>
          </w:tcPr>
          <w:p>
            <w:pPr/>
          </w:p>
        </w:tc>
        <w:tc>
          <w:tcPr>
            <w:tcW w:w="1274" w:type="dxa"/>
          </w:tcPr>
          <w:p>
            <w:pPr>
              <w:pStyle w:val="TableParagraph"/>
              <w:ind w:right="63"/>
              <w:rPr>
                <w:sz w:val="22"/>
              </w:rPr>
            </w:pPr>
            <w:r>
              <w:rPr>
                <w:sz w:val="22"/>
              </w:rPr>
              <w:t>73,324</w:t>
            </w:r>
          </w:p>
        </w:tc>
        <w:tc>
          <w:tcPr>
            <w:tcW w:w="1706" w:type="dxa"/>
          </w:tcPr>
          <w:p>
            <w:pPr>
              <w:pStyle w:val="TableParagraph"/>
              <w:rPr>
                <w:sz w:val="22"/>
              </w:rPr>
            </w:pPr>
            <w:r>
              <w:rPr>
                <w:sz w:val="22"/>
              </w:rPr>
              <w:t>0,00691148</w:t>
            </w:r>
          </w:p>
        </w:tc>
      </w:tr>
      <w:tr>
        <w:trPr>
          <w:trHeight w:val="310" w:hRule="exact"/>
        </w:trPr>
        <w:tc>
          <w:tcPr>
            <w:tcW w:w="5160" w:type="dxa"/>
            <w:gridSpan w:val="6"/>
            <w:vMerge w:val="restart"/>
            <w:tcBorders>
              <w:left w:val="nil"/>
            </w:tcBorders>
          </w:tcPr>
          <w:p>
            <w:pPr/>
          </w:p>
        </w:tc>
        <w:tc>
          <w:tcPr>
            <w:tcW w:w="2035" w:type="dxa"/>
            <w:gridSpan w:val="2"/>
          </w:tcPr>
          <w:p>
            <w:pPr>
              <w:pStyle w:val="TableParagraph"/>
              <w:spacing w:before="13"/>
              <w:ind w:left="64" w:right="111"/>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706" w:type="dxa"/>
          </w:tcPr>
          <w:p>
            <w:pPr>
              <w:pStyle w:val="TableParagraph"/>
              <w:rPr>
                <w:b/>
                <w:sz w:val="22"/>
              </w:rPr>
            </w:pPr>
            <w:r>
              <w:rPr>
                <w:b/>
                <w:sz w:val="22"/>
              </w:rPr>
              <w:t>5,348</w:t>
            </w:r>
          </w:p>
        </w:tc>
      </w:tr>
      <w:tr>
        <w:trPr>
          <w:trHeight w:val="310" w:hRule="exact"/>
        </w:trPr>
        <w:tc>
          <w:tcPr>
            <w:tcW w:w="5160" w:type="dxa"/>
            <w:gridSpan w:val="6"/>
            <w:vMerge/>
            <w:tcBorders>
              <w:left w:val="nil"/>
            </w:tcBorders>
          </w:tcPr>
          <w:p>
            <w:pPr/>
          </w:p>
        </w:tc>
        <w:tc>
          <w:tcPr>
            <w:tcW w:w="2035" w:type="dxa"/>
            <w:gridSpan w:val="2"/>
          </w:tcPr>
          <w:p>
            <w:pPr>
              <w:pStyle w:val="TableParagraph"/>
              <w:spacing w:before="13"/>
              <w:ind w:left="64" w:right="111"/>
              <w:jc w:val="left"/>
              <w:rPr>
                <w:sz w:val="22"/>
              </w:rPr>
            </w:pPr>
            <w:r>
              <w:rPr>
                <w:sz w:val="22"/>
              </w:rPr>
              <w:t>Desviación estándar</w:t>
            </w:r>
          </w:p>
        </w:tc>
        <w:tc>
          <w:tcPr>
            <w:tcW w:w="1706" w:type="dxa"/>
          </w:tcPr>
          <w:p>
            <w:pPr>
              <w:pStyle w:val="TableParagraph"/>
              <w:rPr>
                <w:b/>
                <w:sz w:val="22"/>
              </w:rPr>
            </w:pPr>
            <w:r>
              <w:rPr>
                <w:b/>
                <w:sz w:val="22"/>
              </w:rPr>
              <w:t>0,083</w:t>
            </w:r>
          </w:p>
        </w:tc>
      </w:tr>
      <w:tr>
        <w:trPr>
          <w:trHeight w:val="312" w:hRule="exact"/>
        </w:trPr>
        <w:tc>
          <w:tcPr>
            <w:tcW w:w="5160" w:type="dxa"/>
            <w:gridSpan w:val="6"/>
            <w:vMerge/>
            <w:tcBorders>
              <w:left w:val="nil"/>
            </w:tcBorders>
          </w:tcPr>
          <w:p>
            <w:pPr/>
          </w:p>
        </w:tc>
        <w:tc>
          <w:tcPr>
            <w:tcW w:w="2035" w:type="dxa"/>
            <w:gridSpan w:val="2"/>
            <w:vMerge w:val="restart"/>
          </w:tcPr>
          <w:p>
            <w:pPr>
              <w:pStyle w:val="TableParagraph"/>
              <w:spacing w:before="35"/>
              <w:ind w:left="64" w:right="400"/>
              <w:jc w:val="left"/>
              <w:rPr>
                <w:sz w:val="22"/>
              </w:rPr>
            </w:pPr>
            <w:r>
              <w:rPr>
                <w:sz w:val="22"/>
              </w:rPr>
              <w:t>Intervalo de confianza al 95 %</w:t>
            </w:r>
          </w:p>
        </w:tc>
        <w:tc>
          <w:tcPr>
            <w:tcW w:w="1706" w:type="dxa"/>
          </w:tcPr>
          <w:p>
            <w:pPr>
              <w:pStyle w:val="TableParagraph"/>
              <w:spacing w:before="30"/>
              <w:rPr>
                <w:sz w:val="22"/>
              </w:rPr>
            </w:pPr>
            <w:r>
              <w:rPr>
                <w:sz w:val="22"/>
              </w:rPr>
              <w:t>5,19</w:t>
            </w:r>
          </w:p>
        </w:tc>
      </w:tr>
      <w:tr>
        <w:trPr>
          <w:trHeight w:val="310" w:hRule="exact"/>
        </w:trPr>
        <w:tc>
          <w:tcPr>
            <w:tcW w:w="5160" w:type="dxa"/>
            <w:gridSpan w:val="6"/>
            <w:vMerge/>
            <w:tcBorders>
              <w:left w:val="nil"/>
              <w:bottom w:val="nil"/>
            </w:tcBorders>
          </w:tcPr>
          <w:p>
            <w:pPr/>
          </w:p>
        </w:tc>
        <w:tc>
          <w:tcPr>
            <w:tcW w:w="2035" w:type="dxa"/>
            <w:gridSpan w:val="2"/>
            <w:vMerge/>
          </w:tcPr>
          <w:p>
            <w:pPr/>
          </w:p>
        </w:tc>
        <w:tc>
          <w:tcPr>
            <w:tcW w:w="1706" w:type="dxa"/>
          </w:tcPr>
          <w:p>
            <w:pPr>
              <w:pStyle w:val="TableParagraph"/>
              <w:rPr>
                <w:sz w:val="22"/>
              </w:rPr>
            </w:pPr>
            <w:r>
              <w:rPr>
                <w:sz w:val="22"/>
              </w:rPr>
              <w:t>5,51</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0"/>
        <w:gridCol w:w="934"/>
        <w:gridCol w:w="528"/>
        <w:gridCol w:w="770"/>
        <w:gridCol w:w="770"/>
        <w:gridCol w:w="1258"/>
        <w:gridCol w:w="770"/>
        <w:gridCol w:w="1291"/>
        <w:gridCol w:w="1728"/>
      </w:tblGrid>
      <w:tr>
        <w:trPr>
          <w:trHeight w:val="310" w:hRule="exact"/>
        </w:trPr>
        <w:tc>
          <w:tcPr>
            <w:tcW w:w="9019" w:type="dxa"/>
            <w:gridSpan w:val="9"/>
          </w:tcPr>
          <w:p>
            <w:pPr>
              <w:pStyle w:val="TableParagraph"/>
              <w:ind w:left="3527" w:right="3528"/>
              <w:jc w:val="center"/>
              <w:rPr>
                <w:sz w:val="22"/>
              </w:rPr>
            </w:pPr>
            <w:r>
              <w:rPr>
                <w:sz w:val="22"/>
              </w:rPr>
              <w:t>Punto de muestreo D</w:t>
            </w:r>
          </w:p>
        </w:tc>
      </w:tr>
      <w:tr>
        <w:trPr>
          <w:trHeight w:val="310" w:hRule="exact"/>
        </w:trPr>
        <w:tc>
          <w:tcPr>
            <w:tcW w:w="970" w:type="dxa"/>
          </w:tcPr>
          <w:p>
            <w:pPr>
              <w:pStyle w:val="TableParagraph"/>
              <w:spacing w:before="13"/>
              <w:ind w:left="64" w:right="0"/>
              <w:jc w:val="left"/>
              <w:rPr>
                <w:sz w:val="22"/>
              </w:rPr>
            </w:pPr>
            <w:r>
              <w:rPr>
                <w:sz w:val="22"/>
              </w:rPr>
              <w:t>Estrato</w:t>
            </w:r>
          </w:p>
        </w:tc>
        <w:tc>
          <w:tcPr>
            <w:tcW w:w="934" w:type="dxa"/>
          </w:tcPr>
          <w:p>
            <w:pPr>
              <w:pStyle w:val="TableParagraph"/>
              <w:spacing w:before="43"/>
              <w:ind w:left="61" w:right="74"/>
              <w:jc w:val="center"/>
              <w:rPr>
                <w:rFonts w:ascii="Cambria Math"/>
                <w:sz w:val="16"/>
              </w:rPr>
            </w:pPr>
            <w:r>
              <w:rPr>
                <w:rFonts w:ascii="Cambria Math"/>
                <w:w w:val="110"/>
                <w:sz w:val="22"/>
              </w:rPr>
              <w:t>N</w:t>
            </w:r>
            <w:r>
              <w:rPr>
                <w:rFonts w:ascii="Cambria Math"/>
                <w:w w:val="110"/>
                <w:position w:val="-4"/>
                <w:sz w:val="16"/>
              </w:rPr>
              <w:t>h</w:t>
            </w:r>
          </w:p>
        </w:tc>
        <w:tc>
          <w:tcPr>
            <w:tcW w:w="528" w:type="dxa"/>
          </w:tcPr>
          <w:p>
            <w:pPr>
              <w:pStyle w:val="TableParagraph"/>
              <w:spacing w:before="43"/>
              <w:ind w:left="139" w:right="0"/>
              <w:jc w:val="left"/>
              <w:rPr>
                <w:rFonts w:ascii="Cambria Math"/>
                <w:sz w:val="16"/>
              </w:rPr>
            </w:pPr>
            <w:r>
              <w:rPr>
                <w:rFonts w:ascii="Cambria Math"/>
                <w:w w:val="110"/>
                <w:sz w:val="22"/>
              </w:rPr>
              <w:t>n</w:t>
            </w:r>
            <w:r>
              <w:rPr>
                <w:rFonts w:ascii="Cambria Math"/>
                <w:w w:val="110"/>
                <w:position w:val="-4"/>
                <w:sz w:val="16"/>
              </w:rPr>
              <w:t>h</w:t>
            </w:r>
          </w:p>
        </w:tc>
        <w:tc>
          <w:tcPr>
            <w:tcW w:w="770" w:type="dxa"/>
          </w:tcPr>
          <w:p>
            <w:pPr>
              <w:pStyle w:val="TableParagraph"/>
              <w:spacing w:before="43"/>
              <w:ind w:left="266"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70" w:type="dxa"/>
          </w:tcPr>
          <w:p>
            <w:pPr>
              <w:pStyle w:val="TableParagraph"/>
              <w:spacing w:line="214" w:lineRule="exact" w:before="6"/>
              <w:ind w:left="255" w:right="26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58" w:type="dxa"/>
          </w:tcPr>
          <w:p>
            <w:pPr>
              <w:pStyle w:val="TableParagraph"/>
              <w:spacing w:before="19"/>
              <w:ind w:left="504" w:right="51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70" w:type="dxa"/>
          </w:tcPr>
          <w:p>
            <w:pPr>
              <w:pStyle w:val="TableParagraph"/>
              <w:spacing w:before="43"/>
              <w:ind w:left="255" w:right="263"/>
              <w:jc w:val="center"/>
              <w:rPr>
                <w:rFonts w:ascii="Cambria Math"/>
                <w:sz w:val="16"/>
              </w:rPr>
            </w:pPr>
            <w:r>
              <w:rPr>
                <w:rFonts w:ascii="Cambria Math"/>
                <w:w w:val="110"/>
                <w:sz w:val="22"/>
              </w:rPr>
              <w:t>s</w:t>
            </w:r>
            <w:r>
              <w:rPr>
                <w:rFonts w:ascii="Cambria Math"/>
                <w:w w:val="110"/>
                <w:position w:val="-4"/>
                <w:sz w:val="16"/>
              </w:rPr>
              <w:t>h</w:t>
            </w:r>
          </w:p>
        </w:tc>
        <w:tc>
          <w:tcPr>
            <w:tcW w:w="1291" w:type="dxa"/>
          </w:tcPr>
          <w:p>
            <w:pPr>
              <w:pStyle w:val="TableParagraph"/>
              <w:spacing w:before="0"/>
              <w:ind w:left="31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728" w:type="dxa"/>
          </w:tcPr>
          <w:p>
            <w:pPr>
              <w:pStyle w:val="TableParagraph"/>
              <w:spacing w:before="0"/>
              <w:ind w:left="513"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70" w:type="dxa"/>
          </w:tcPr>
          <w:p>
            <w:pPr>
              <w:pStyle w:val="TableParagraph"/>
              <w:spacing w:before="30"/>
              <w:ind w:left="1" w:right="0"/>
              <w:jc w:val="center"/>
              <w:rPr>
                <w:sz w:val="22"/>
              </w:rPr>
            </w:pPr>
            <w:r>
              <w:rPr>
                <w:w w:val="100"/>
                <w:sz w:val="22"/>
              </w:rPr>
              <w:t>1</w:t>
            </w:r>
          </w:p>
        </w:tc>
        <w:tc>
          <w:tcPr>
            <w:tcW w:w="934" w:type="dxa"/>
          </w:tcPr>
          <w:p>
            <w:pPr>
              <w:pStyle w:val="TableParagraph"/>
              <w:spacing w:before="30"/>
              <w:ind w:right="63"/>
              <w:rPr>
                <w:sz w:val="22"/>
              </w:rPr>
            </w:pPr>
            <w:r>
              <w:rPr>
                <w:sz w:val="22"/>
              </w:rPr>
              <w:t>108,60</w:t>
            </w:r>
          </w:p>
        </w:tc>
        <w:tc>
          <w:tcPr>
            <w:tcW w:w="528" w:type="dxa"/>
          </w:tcPr>
          <w:p>
            <w:pPr>
              <w:pStyle w:val="TableParagraph"/>
              <w:spacing w:before="30"/>
              <w:rPr>
                <w:sz w:val="22"/>
              </w:rPr>
            </w:pPr>
            <w:r>
              <w:rPr>
                <w:sz w:val="22"/>
              </w:rPr>
              <w:t>108</w:t>
            </w:r>
          </w:p>
        </w:tc>
        <w:tc>
          <w:tcPr>
            <w:tcW w:w="770" w:type="dxa"/>
          </w:tcPr>
          <w:p>
            <w:pPr>
              <w:pStyle w:val="TableParagraph"/>
              <w:spacing w:before="30"/>
              <w:ind w:left="194" w:right="0"/>
              <w:jc w:val="left"/>
              <w:rPr>
                <w:sz w:val="22"/>
              </w:rPr>
            </w:pPr>
            <w:r>
              <w:rPr>
                <w:sz w:val="22"/>
              </w:rPr>
              <w:t>4,892</w:t>
            </w:r>
          </w:p>
        </w:tc>
        <w:tc>
          <w:tcPr>
            <w:tcW w:w="770" w:type="dxa"/>
          </w:tcPr>
          <w:p>
            <w:pPr>
              <w:pStyle w:val="TableParagraph"/>
              <w:spacing w:before="30"/>
              <w:ind w:left="194" w:right="0"/>
              <w:jc w:val="left"/>
              <w:rPr>
                <w:sz w:val="22"/>
              </w:rPr>
            </w:pPr>
            <w:r>
              <w:rPr>
                <w:sz w:val="22"/>
              </w:rPr>
              <w:t>0,122</w:t>
            </w:r>
          </w:p>
        </w:tc>
        <w:tc>
          <w:tcPr>
            <w:tcW w:w="1258" w:type="dxa"/>
          </w:tcPr>
          <w:p>
            <w:pPr>
              <w:pStyle w:val="TableParagraph"/>
              <w:spacing w:before="30"/>
              <w:rPr>
                <w:sz w:val="22"/>
              </w:rPr>
            </w:pPr>
            <w:r>
              <w:rPr>
                <w:sz w:val="22"/>
              </w:rPr>
              <w:t>531,283</w:t>
            </w:r>
          </w:p>
        </w:tc>
        <w:tc>
          <w:tcPr>
            <w:tcW w:w="770" w:type="dxa"/>
          </w:tcPr>
          <w:p>
            <w:pPr>
              <w:pStyle w:val="TableParagraph"/>
              <w:spacing w:before="30"/>
              <w:rPr>
                <w:sz w:val="22"/>
              </w:rPr>
            </w:pPr>
            <w:r>
              <w:rPr>
                <w:sz w:val="22"/>
              </w:rPr>
              <w:t>0,349</w:t>
            </w:r>
          </w:p>
        </w:tc>
        <w:tc>
          <w:tcPr>
            <w:tcW w:w="1291" w:type="dxa"/>
          </w:tcPr>
          <w:p>
            <w:pPr>
              <w:pStyle w:val="TableParagraph"/>
              <w:spacing w:before="30"/>
              <w:rPr>
                <w:sz w:val="22"/>
              </w:rPr>
            </w:pPr>
            <w:r>
              <w:rPr>
                <w:sz w:val="22"/>
              </w:rPr>
              <w:t>-4,437</w:t>
            </w:r>
          </w:p>
        </w:tc>
        <w:tc>
          <w:tcPr>
            <w:tcW w:w="1728" w:type="dxa"/>
          </w:tcPr>
          <w:p>
            <w:pPr>
              <w:pStyle w:val="TableParagraph"/>
              <w:spacing w:before="30"/>
              <w:rPr>
                <w:sz w:val="22"/>
              </w:rPr>
            </w:pPr>
            <w:r>
              <w:rPr>
                <w:sz w:val="22"/>
              </w:rPr>
              <w:t>-0,00041827</w:t>
            </w:r>
          </w:p>
        </w:tc>
      </w:tr>
      <w:tr>
        <w:trPr>
          <w:trHeight w:val="312" w:hRule="exact"/>
        </w:trPr>
        <w:tc>
          <w:tcPr>
            <w:tcW w:w="970" w:type="dxa"/>
          </w:tcPr>
          <w:p>
            <w:pPr>
              <w:pStyle w:val="TableParagraph"/>
              <w:spacing w:before="30"/>
              <w:ind w:left="1" w:right="0"/>
              <w:jc w:val="center"/>
              <w:rPr>
                <w:sz w:val="22"/>
              </w:rPr>
            </w:pPr>
            <w:r>
              <w:rPr>
                <w:w w:val="100"/>
                <w:sz w:val="22"/>
              </w:rPr>
              <w:t>2</w:t>
            </w:r>
          </w:p>
        </w:tc>
        <w:tc>
          <w:tcPr>
            <w:tcW w:w="934" w:type="dxa"/>
          </w:tcPr>
          <w:p>
            <w:pPr>
              <w:pStyle w:val="TableParagraph"/>
              <w:spacing w:before="30"/>
              <w:ind w:right="63"/>
              <w:rPr>
                <w:sz w:val="22"/>
              </w:rPr>
            </w:pPr>
            <w:r>
              <w:rPr>
                <w:sz w:val="22"/>
              </w:rPr>
              <w:t>121,03</w:t>
            </w:r>
          </w:p>
        </w:tc>
        <w:tc>
          <w:tcPr>
            <w:tcW w:w="528" w:type="dxa"/>
          </w:tcPr>
          <w:p>
            <w:pPr>
              <w:pStyle w:val="TableParagraph"/>
              <w:spacing w:before="30"/>
              <w:rPr>
                <w:sz w:val="22"/>
              </w:rPr>
            </w:pPr>
            <w:r>
              <w:rPr>
                <w:sz w:val="22"/>
              </w:rPr>
              <w:t>81</w:t>
            </w:r>
          </w:p>
        </w:tc>
        <w:tc>
          <w:tcPr>
            <w:tcW w:w="770" w:type="dxa"/>
          </w:tcPr>
          <w:p>
            <w:pPr>
              <w:pStyle w:val="TableParagraph"/>
              <w:spacing w:before="30"/>
              <w:ind w:left="194" w:right="0"/>
              <w:jc w:val="left"/>
              <w:rPr>
                <w:sz w:val="22"/>
              </w:rPr>
            </w:pPr>
            <w:r>
              <w:rPr>
                <w:sz w:val="22"/>
              </w:rPr>
              <w:t>4,993</w:t>
            </w:r>
          </w:p>
        </w:tc>
        <w:tc>
          <w:tcPr>
            <w:tcW w:w="770" w:type="dxa"/>
          </w:tcPr>
          <w:p>
            <w:pPr>
              <w:pStyle w:val="TableParagraph"/>
              <w:spacing w:before="30"/>
              <w:ind w:left="194" w:right="0"/>
              <w:jc w:val="left"/>
              <w:rPr>
                <w:sz w:val="22"/>
              </w:rPr>
            </w:pPr>
            <w:r>
              <w:rPr>
                <w:sz w:val="22"/>
              </w:rPr>
              <w:t>0,115</w:t>
            </w:r>
          </w:p>
        </w:tc>
        <w:tc>
          <w:tcPr>
            <w:tcW w:w="1258" w:type="dxa"/>
          </w:tcPr>
          <w:p>
            <w:pPr>
              <w:pStyle w:val="TableParagraph"/>
              <w:spacing w:before="30"/>
              <w:rPr>
                <w:sz w:val="22"/>
              </w:rPr>
            </w:pPr>
            <w:r>
              <w:rPr>
                <w:sz w:val="22"/>
              </w:rPr>
              <w:t>604,242</w:t>
            </w:r>
          </w:p>
        </w:tc>
        <w:tc>
          <w:tcPr>
            <w:tcW w:w="770" w:type="dxa"/>
          </w:tcPr>
          <w:p>
            <w:pPr>
              <w:pStyle w:val="TableParagraph"/>
              <w:spacing w:before="30"/>
              <w:rPr>
                <w:sz w:val="22"/>
              </w:rPr>
            </w:pPr>
            <w:r>
              <w:rPr>
                <w:sz w:val="22"/>
              </w:rPr>
              <w:t>0,340</w:t>
            </w:r>
          </w:p>
        </w:tc>
        <w:tc>
          <w:tcPr>
            <w:tcW w:w="1291" w:type="dxa"/>
          </w:tcPr>
          <w:p>
            <w:pPr>
              <w:pStyle w:val="TableParagraph"/>
              <w:spacing w:before="30"/>
              <w:rPr>
                <w:sz w:val="22"/>
              </w:rPr>
            </w:pPr>
            <w:r>
              <w:rPr>
                <w:sz w:val="22"/>
              </w:rPr>
              <w:t>6,913</w:t>
            </w:r>
          </w:p>
        </w:tc>
        <w:tc>
          <w:tcPr>
            <w:tcW w:w="1728" w:type="dxa"/>
          </w:tcPr>
          <w:p>
            <w:pPr>
              <w:pStyle w:val="TableParagraph"/>
              <w:spacing w:before="30"/>
              <w:rPr>
                <w:sz w:val="22"/>
              </w:rPr>
            </w:pPr>
            <w:r>
              <w:rPr>
                <w:sz w:val="22"/>
              </w:rPr>
              <w:t>0,0006516</w:t>
            </w:r>
          </w:p>
        </w:tc>
      </w:tr>
      <w:tr>
        <w:trPr>
          <w:trHeight w:val="310" w:hRule="exact"/>
        </w:trPr>
        <w:tc>
          <w:tcPr>
            <w:tcW w:w="970" w:type="dxa"/>
          </w:tcPr>
          <w:p>
            <w:pPr>
              <w:pStyle w:val="TableParagraph"/>
              <w:ind w:left="1" w:right="0"/>
              <w:jc w:val="center"/>
              <w:rPr>
                <w:sz w:val="22"/>
              </w:rPr>
            </w:pPr>
            <w:r>
              <w:rPr>
                <w:w w:val="100"/>
                <w:sz w:val="22"/>
              </w:rPr>
              <w:t>3</w:t>
            </w:r>
          </w:p>
        </w:tc>
        <w:tc>
          <w:tcPr>
            <w:tcW w:w="934" w:type="dxa"/>
          </w:tcPr>
          <w:p>
            <w:pPr>
              <w:pStyle w:val="TableParagraph"/>
              <w:ind w:right="63"/>
              <w:rPr>
                <w:sz w:val="22"/>
              </w:rPr>
            </w:pPr>
            <w:r>
              <w:rPr>
                <w:sz w:val="22"/>
              </w:rPr>
              <w:t>130,21</w:t>
            </w:r>
          </w:p>
        </w:tc>
        <w:tc>
          <w:tcPr>
            <w:tcW w:w="528" w:type="dxa"/>
          </w:tcPr>
          <w:p>
            <w:pPr>
              <w:pStyle w:val="TableParagraph"/>
              <w:rPr>
                <w:sz w:val="22"/>
              </w:rPr>
            </w:pPr>
            <w:r>
              <w:rPr>
                <w:sz w:val="22"/>
              </w:rPr>
              <w:t>77</w:t>
            </w:r>
          </w:p>
        </w:tc>
        <w:tc>
          <w:tcPr>
            <w:tcW w:w="770" w:type="dxa"/>
          </w:tcPr>
          <w:p>
            <w:pPr>
              <w:pStyle w:val="TableParagraph"/>
              <w:ind w:left="194" w:right="0"/>
              <w:jc w:val="left"/>
              <w:rPr>
                <w:sz w:val="22"/>
              </w:rPr>
            </w:pPr>
            <w:r>
              <w:rPr>
                <w:sz w:val="22"/>
              </w:rPr>
              <w:t>4,703</w:t>
            </w:r>
          </w:p>
        </w:tc>
        <w:tc>
          <w:tcPr>
            <w:tcW w:w="770" w:type="dxa"/>
          </w:tcPr>
          <w:p>
            <w:pPr>
              <w:pStyle w:val="TableParagraph"/>
              <w:ind w:left="194" w:right="0"/>
              <w:jc w:val="left"/>
              <w:rPr>
                <w:sz w:val="22"/>
              </w:rPr>
            </w:pPr>
            <w:r>
              <w:rPr>
                <w:sz w:val="22"/>
              </w:rPr>
              <w:t>0,330</w:t>
            </w:r>
          </w:p>
        </w:tc>
        <w:tc>
          <w:tcPr>
            <w:tcW w:w="1258" w:type="dxa"/>
          </w:tcPr>
          <w:p>
            <w:pPr>
              <w:pStyle w:val="TableParagraph"/>
              <w:rPr>
                <w:sz w:val="22"/>
              </w:rPr>
            </w:pPr>
            <w:r>
              <w:rPr>
                <w:sz w:val="22"/>
              </w:rPr>
              <w:t>612,398</w:t>
            </w:r>
          </w:p>
        </w:tc>
        <w:tc>
          <w:tcPr>
            <w:tcW w:w="770" w:type="dxa"/>
          </w:tcPr>
          <w:p>
            <w:pPr>
              <w:pStyle w:val="TableParagraph"/>
              <w:rPr>
                <w:sz w:val="22"/>
              </w:rPr>
            </w:pPr>
            <w:r>
              <w:rPr>
                <w:sz w:val="22"/>
              </w:rPr>
              <w:t>0,575</w:t>
            </w:r>
          </w:p>
        </w:tc>
        <w:tc>
          <w:tcPr>
            <w:tcW w:w="1291" w:type="dxa"/>
          </w:tcPr>
          <w:p>
            <w:pPr>
              <w:pStyle w:val="TableParagraph"/>
              <w:rPr>
                <w:sz w:val="22"/>
              </w:rPr>
            </w:pPr>
            <w:r>
              <w:rPr>
                <w:sz w:val="22"/>
              </w:rPr>
              <w:t>30,167</w:t>
            </w:r>
          </w:p>
        </w:tc>
        <w:tc>
          <w:tcPr>
            <w:tcW w:w="1728" w:type="dxa"/>
          </w:tcPr>
          <w:p>
            <w:pPr>
              <w:pStyle w:val="TableParagraph"/>
              <w:rPr>
                <w:sz w:val="22"/>
              </w:rPr>
            </w:pPr>
            <w:r>
              <w:rPr>
                <w:sz w:val="22"/>
              </w:rPr>
              <w:t>0,0028435</w:t>
            </w:r>
          </w:p>
        </w:tc>
      </w:tr>
      <w:tr>
        <w:trPr>
          <w:trHeight w:val="310" w:hRule="exact"/>
        </w:trPr>
        <w:tc>
          <w:tcPr>
            <w:tcW w:w="970" w:type="dxa"/>
          </w:tcPr>
          <w:p>
            <w:pPr>
              <w:pStyle w:val="TableParagraph"/>
              <w:ind w:left="1" w:right="0"/>
              <w:jc w:val="center"/>
              <w:rPr>
                <w:sz w:val="22"/>
              </w:rPr>
            </w:pPr>
            <w:r>
              <w:rPr>
                <w:w w:val="100"/>
                <w:sz w:val="22"/>
              </w:rPr>
              <w:t>4</w:t>
            </w:r>
          </w:p>
        </w:tc>
        <w:tc>
          <w:tcPr>
            <w:tcW w:w="934" w:type="dxa"/>
          </w:tcPr>
          <w:p>
            <w:pPr>
              <w:pStyle w:val="TableParagraph"/>
              <w:ind w:right="63"/>
              <w:rPr>
                <w:sz w:val="22"/>
              </w:rPr>
            </w:pPr>
            <w:r>
              <w:rPr>
                <w:sz w:val="22"/>
              </w:rPr>
              <w:t>155,12</w:t>
            </w:r>
          </w:p>
        </w:tc>
        <w:tc>
          <w:tcPr>
            <w:tcW w:w="528" w:type="dxa"/>
          </w:tcPr>
          <w:p>
            <w:pPr>
              <w:pStyle w:val="TableParagraph"/>
              <w:rPr>
                <w:sz w:val="22"/>
              </w:rPr>
            </w:pPr>
            <w:r>
              <w:rPr>
                <w:sz w:val="22"/>
              </w:rPr>
              <w:t>92</w:t>
            </w:r>
          </w:p>
        </w:tc>
        <w:tc>
          <w:tcPr>
            <w:tcW w:w="770" w:type="dxa"/>
          </w:tcPr>
          <w:p>
            <w:pPr>
              <w:pStyle w:val="TableParagraph"/>
              <w:ind w:left="194" w:right="0"/>
              <w:jc w:val="left"/>
              <w:rPr>
                <w:sz w:val="22"/>
              </w:rPr>
            </w:pPr>
            <w:r>
              <w:rPr>
                <w:sz w:val="22"/>
              </w:rPr>
              <w:t>4,853</w:t>
            </w:r>
          </w:p>
        </w:tc>
        <w:tc>
          <w:tcPr>
            <w:tcW w:w="770" w:type="dxa"/>
          </w:tcPr>
          <w:p>
            <w:pPr>
              <w:pStyle w:val="TableParagraph"/>
              <w:ind w:left="194" w:right="0"/>
              <w:jc w:val="left"/>
              <w:rPr>
                <w:sz w:val="22"/>
              </w:rPr>
            </w:pPr>
            <w:r>
              <w:rPr>
                <w:sz w:val="22"/>
              </w:rPr>
              <w:t>0,132</w:t>
            </w:r>
          </w:p>
        </w:tc>
        <w:tc>
          <w:tcPr>
            <w:tcW w:w="1258" w:type="dxa"/>
          </w:tcPr>
          <w:p>
            <w:pPr>
              <w:pStyle w:val="TableParagraph"/>
              <w:rPr>
                <w:sz w:val="22"/>
              </w:rPr>
            </w:pPr>
            <w:r>
              <w:rPr>
                <w:sz w:val="22"/>
              </w:rPr>
              <w:t>752,788</w:t>
            </w:r>
          </w:p>
        </w:tc>
        <w:tc>
          <w:tcPr>
            <w:tcW w:w="770" w:type="dxa"/>
          </w:tcPr>
          <w:p>
            <w:pPr>
              <w:pStyle w:val="TableParagraph"/>
              <w:rPr>
                <w:sz w:val="22"/>
              </w:rPr>
            </w:pPr>
            <w:r>
              <w:rPr>
                <w:sz w:val="22"/>
              </w:rPr>
              <w:t>0,364</w:t>
            </w:r>
          </w:p>
        </w:tc>
        <w:tc>
          <w:tcPr>
            <w:tcW w:w="1291" w:type="dxa"/>
          </w:tcPr>
          <w:p>
            <w:pPr>
              <w:pStyle w:val="TableParagraph"/>
              <w:rPr>
                <w:sz w:val="22"/>
              </w:rPr>
            </w:pPr>
            <w:r>
              <w:rPr>
                <w:sz w:val="22"/>
              </w:rPr>
              <w:t>14,142</w:t>
            </w:r>
          </w:p>
        </w:tc>
        <w:tc>
          <w:tcPr>
            <w:tcW w:w="1728" w:type="dxa"/>
          </w:tcPr>
          <w:p>
            <w:pPr>
              <w:pStyle w:val="TableParagraph"/>
              <w:rPr>
                <w:sz w:val="22"/>
              </w:rPr>
            </w:pPr>
            <w:r>
              <w:rPr>
                <w:sz w:val="22"/>
              </w:rPr>
              <w:t>0,00133303</w:t>
            </w:r>
          </w:p>
        </w:tc>
      </w:tr>
      <w:tr>
        <w:trPr>
          <w:trHeight w:val="310" w:hRule="exact"/>
        </w:trPr>
        <w:tc>
          <w:tcPr>
            <w:tcW w:w="970" w:type="dxa"/>
          </w:tcPr>
          <w:p>
            <w:pPr>
              <w:pStyle w:val="TableParagraph"/>
              <w:ind w:left="1" w:right="0"/>
              <w:jc w:val="center"/>
              <w:rPr>
                <w:sz w:val="22"/>
              </w:rPr>
            </w:pPr>
            <w:r>
              <w:rPr>
                <w:w w:val="100"/>
                <w:sz w:val="22"/>
              </w:rPr>
              <w:t>5</w:t>
            </w:r>
          </w:p>
        </w:tc>
        <w:tc>
          <w:tcPr>
            <w:tcW w:w="934" w:type="dxa"/>
          </w:tcPr>
          <w:p>
            <w:pPr>
              <w:pStyle w:val="TableParagraph"/>
              <w:ind w:right="63"/>
              <w:rPr>
                <w:sz w:val="22"/>
              </w:rPr>
            </w:pPr>
            <w:r>
              <w:rPr>
                <w:sz w:val="22"/>
              </w:rPr>
              <w:t>180,21</w:t>
            </w:r>
          </w:p>
        </w:tc>
        <w:tc>
          <w:tcPr>
            <w:tcW w:w="528" w:type="dxa"/>
          </w:tcPr>
          <w:p>
            <w:pPr>
              <w:pStyle w:val="TableParagraph"/>
              <w:rPr>
                <w:sz w:val="22"/>
              </w:rPr>
            </w:pPr>
            <w:r>
              <w:rPr>
                <w:sz w:val="22"/>
              </w:rPr>
              <w:t>132</w:t>
            </w:r>
          </w:p>
        </w:tc>
        <w:tc>
          <w:tcPr>
            <w:tcW w:w="770" w:type="dxa"/>
          </w:tcPr>
          <w:p>
            <w:pPr>
              <w:pStyle w:val="TableParagraph"/>
              <w:ind w:left="194" w:right="0"/>
              <w:jc w:val="left"/>
              <w:rPr>
                <w:sz w:val="22"/>
              </w:rPr>
            </w:pPr>
            <w:r>
              <w:rPr>
                <w:sz w:val="22"/>
              </w:rPr>
              <w:t>4,890</w:t>
            </w:r>
          </w:p>
        </w:tc>
        <w:tc>
          <w:tcPr>
            <w:tcW w:w="770" w:type="dxa"/>
          </w:tcPr>
          <w:p>
            <w:pPr>
              <w:pStyle w:val="TableParagraph"/>
              <w:ind w:left="194" w:right="0"/>
              <w:jc w:val="left"/>
              <w:rPr>
                <w:sz w:val="22"/>
              </w:rPr>
            </w:pPr>
            <w:r>
              <w:rPr>
                <w:sz w:val="22"/>
              </w:rPr>
              <w:t>0,489</w:t>
            </w:r>
          </w:p>
        </w:tc>
        <w:tc>
          <w:tcPr>
            <w:tcW w:w="1258" w:type="dxa"/>
          </w:tcPr>
          <w:p>
            <w:pPr>
              <w:pStyle w:val="TableParagraph"/>
              <w:rPr>
                <w:sz w:val="22"/>
              </w:rPr>
            </w:pPr>
            <w:r>
              <w:rPr>
                <w:sz w:val="22"/>
              </w:rPr>
              <w:t>881,227</w:t>
            </w:r>
          </w:p>
        </w:tc>
        <w:tc>
          <w:tcPr>
            <w:tcW w:w="770" w:type="dxa"/>
          </w:tcPr>
          <w:p>
            <w:pPr>
              <w:pStyle w:val="TableParagraph"/>
              <w:rPr>
                <w:sz w:val="22"/>
              </w:rPr>
            </w:pPr>
            <w:r>
              <w:rPr>
                <w:sz w:val="22"/>
              </w:rPr>
              <w:t>0,700</w:t>
            </w:r>
          </w:p>
        </w:tc>
        <w:tc>
          <w:tcPr>
            <w:tcW w:w="1291" w:type="dxa"/>
          </w:tcPr>
          <w:p>
            <w:pPr>
              <w:pStyle w:val="TableParagraph"/>
              <w:rPr>
                <w:sz w:val="22"/>
              </w:rPr>
            </w:pPr>
            <w:r>
              <w:rPr>
                <w:sz w:val="22"/>
              </w:rPr>
              <w:t>32,171</w:t>
            </w:r>
          </w:p>
        </w:tc>
        <w:tc>
          <w:tcPr>
            <w:tcW w:w="1728" w:type="dxa"/>
          </w:tcPr>
          <w:p>
            <w:pPr>
              <w:pStyle w:val="TableParagraph"/>
              <w:rPr>
                <w:sz w:val="22"/>
              </w:rPr>
            </w:pPr>
            <w:r>
              <w:rPr>
                <w:sz w:val="22"/>
              </w:rPr>
              <w:t>0,00303241</w:t>
            </w:r>
          </w:p>
        </w:tc>
      </w:tr>
      <w:tr>
        <w:trPr>
          <w:trHeight w:val="310" w:hRule="exact"/>
        </w:trPr>
        <w:tc>
          <w:tcPr>
            <w:tcW w:w="970" w:type="dxa"/>
          </w:tcPr>
          <w:p>
            <w:pPr>
              <w:pStyle w:val="TableParagraph"/>
              <w:ind w:right="1"/>
              <w:jc w:val="center"/>
              <w:rPr>
                <w:sz w:val="22"/>
              </w:rPr>
            </w:pPr>
            <w:r>
              <w:rPr>
                <w:w w:val="100"/>
                <w:sz w:val="22"/>
              </w:rPr>
              <w:t>N</w:t>
            </w:r>
          </w:p>
        </w:tc>
        <w:tc>
          <w:tcPr>
            <w:tcW w:w="934" w:type="dxa"/>
          </w:tcPr>
          <w:p>
            <w:pPr>
              <w:pStyle w:val="TableParagraph"/>
              <w:ind w:right="63"/>
              <w:rPr>
                <w:sz w:val="22"/>
              </w:rPr>
            </w:pPr>
            <w:r>
              <w:rPr>
                <w:sz w:val="22"/>
              </w:rPr>
              <w:t>695,17</w:t>
            </w:r>
          </w:p>
        </w:tc>
        <w:tc>
          <w:tcPr>
            <w:tcW w:w="528" w:type="dxa"/>
          </w:tcPr>
          <w:p>
            <w:pPr/>
          </w:p>
        </w:tc>
        <w:tc>
          <w:tcPr>
            <w:tcW w:w="770" w:type="dxa"/>
          </w:tcPr>
          <w:p>
            <w:pPr/>
          </w:p>
        </w:tc>
        <w:tc>
          <w:tcPr>
            <w:tcW w:w="770" w:type="dxa"/>
          </w:tcPr>
          <w:p>
            <w:pPr>
              <w:pStyle w:val="TableParagraph"/>
              <w:spacing w:before="18"/>
              <w:ind w:left="213"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58" w:type="dxa"/>
          </w:tcPr>
          <w:p>
            <w:pPr>
              <w:pStyle w:val="TableParagraph"/>
              <w:rPr>
                <w:sz w:val="22"/>
              </w:rPr>
            </w:pPr>
            <w:r>
              <w:rPr>
                <w:sz w:val="22"/>
              </w:rPr>
              <w:t>3381,938</w:t>
            </w:r>
          </w:p>
        </w:tc>
        <w:tc>
          <w:tcPr>
            <w:tcW w:w="770" w:type="dxa"/>
          </w:tcPr>
          <w:p>
            <w:pPr/>
          </w:p>
        </w:tc>
        <w:tc>
          <w:tcPr>
            <w:tcW w:w="1291" w:type="dxa"/>
          </w:tcPr>
          <w:p>
            <w:pPr>
              <w:pStyle w:val="TableParagraph"/>
              <w:rPr>
                <w:sz w:val="22"/>
              </w:rPr>
            </w:pPr>
            <w:r>
              <w:rPr>
                <w:sz w:val="22"/>
              </w:rPr>
              <w:t>78,955</w:t>
            </w:r>
          </w:p>
        </w:tc>
        <w:tc>
          <w:tcPr>
            <w:tcW w:w="1728" w:type="dxa"/>
          </w:tcPr>
          <w:p>
            <w:pPr>
              <w:pStyle w:val="TableParagraph"/>
              <w:rPr>
                <w:sz w:val="22"/>
              </w:rPr>
            </w:pPr>
            <w:r>
              <w:rPr>
                <w:sz w:val="22"/>
              </w:rPr>
              <w:t>0,00744227</w:t>
            </w:r>
          </w:p>
        </w:tc>
      </w:tr>
      <w:tr>
        <w:trPr>
          <w:trHeight w:val="310" w:hRule="exact"/>
        </w:trPr>
        <w:tc>
          <w:tcPr>
            <w:tcW w:w="5230" w:type="dxa"/>
            <w:gridSpan w:val="6"/>
            <w:vMerge w:val="restart"/>
            <w:tcBorders>
              <w:left w:val="nil"/>
            </w:tcBorders>
          </w:tcPr>
          <w:p>
            <w:pPr/>
          </w:p>
        </w:tc>
        <w:tc>
          <w:tcPr>
            <w:tcW w:w="206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728" w:type="dxa"/>
          </w:tcPr>
          <w:p>
            <w:pPr>
              <w:pStyle w:val="TableParagraph"/>
              <w:spacing w:before="30"/>
              <w:rPr>
                <w:b/>
                <w:sz w:val="22"/>
              </w:rPr>
            </w:pPr>
            <w:r>
              <w:rPr>
                <w:b/>
                <w:sz w:val="22"/>
              </w:rPr>
              <w:t>4,865</w:t>
            </w:r>
          </w:p>
        </w:tc>
      </w:tr>
      <w:tr>
        <w:trPr>
          <w:trHeight w:val="312" w:hRule="exact"/>
        </w:trPr>
        <w:tc>
          <w:tcPr>
            <w:tcW w:w="5230" w:type="dxa"/>
            <w:gridSpan w:val="6"/>
            <w:vMerge/>
            <w:tcBorders>
              <w:left w:val="nil"/>
            </w:tcBorders>
          </w:tcPr>
          <w:p>
            <w:pPr/>
          </w:p>
        </w:tc>
        <w:tc>
          <w:tcPr>
            <w:tcW w:w="2062" w:type="dxa"/>
            <w:gridSpan w:val="2"/>
          </w:tcPr>
          <w:p>
            <w:pPr>
              <w:pStyle w:val="TableParagraph"/>
              <w:spacing w:before="13"/>
              <w:ind w:left="64" w:right="0"/>
              <w:jc w:val="left"/>
              <w:rPr>
                <w:sz w:val="22"/>
              </w:rPr>
            </w:pPr>
            <w:r>
              <w:rPr>
                <w:sz w:val="22"/>
              </w:rPr>
              <w:t>Desviación estándar</w:t>
            </w:r>
          </w:p>
        </w:tc>
        <w:tc>
          <w:tcPr>
            <w:tcW w:w="1728" w:type="dxa"/>
          </w:tcPr>
          <w:p>
            <w:pPr>
              <w:pStyle w:val="TableParagraph"/>
              <w:spacing w:before="30"/>
              <w:rPr>
                <w:b/>
                <w:sz w:val="22"/>
              </w:rPr>
            </w:pPr>
            <w:r>
              <w:rPr>
                <w:b/>
                <w:sz w:val="22"/>
              </w:rPr>
              <w:t>0,086</w:t>
            </w:r>
          </w:p>
        </w:tc>
      </w:tr>
      <w:tr>
        <w:trPr>
          <w:trHeight w:val="310" w:hRule="exact"/>
        </w:trPr>
        <w:tc>
          <w:tcPr>
            <w:tcW w:w="5230" w:type="dxa"/>
            <w:gridSpan w:val="6"/>
            <w:vMerge/>
            <w:tcBorders>
              <w:left w:val="nil"/>
            </w:tcBorders>
          </w:tcPr>
          <w:p>
            <w:pPr/>
          </w:p>
        </w:tc>
        <w:tc>
          <w:tcPr>
            <w:tcW w:w="2062" w:type="dxa"/>
            <w:gridSpan w:val="2"/>
            <w:vMerge w:val="restart"/>
          </w:tcPr>
          <w:p>
            <w:pPr>
              <w:pStyle w:val="TableParagraph"/>
              <w:spacing w:before="33"/>
              <w:ind w:left="64" w:right="427"/>
              <w:jc w:val="left"/>
              <w:rPr>
                <w:sz w:val="22"/>
              </w:rPr>
            </w:pPr>
            <w:r>
              <w:rPr>
                <w:sz w:val="22"/>
              </w:rPr>
              <w:t>Intervalo de confianza al 95 %</w:t>
            </w:r>
          </w:p>
        </w:tc>
        <w:tc>
          <w:tcPr>
            <w:tcW w:w="1728" w:type="dxa"/>
          </w:tcPr>
          <w:p>
            <w:pPr>
              <w:pStyle w:val="TableParagraph"/>
              <w:rPr>
                <w:sz w:val="22"/>
              </w:rPr>
            </w:pPr>
            <w:r>
              <w:rPr>
                <w:sz w:val="22"/>
              </w:rPr>
              <w:t>4,70</w:t>
            </w:r>
          </w:p>
        </w:tc>
      </w:tr>
      <w:tr>
        <w:trPr>
          <w:trHeight w:val="310" w:hRule="exact"/>
        </w:trPr>
        <w:tc>
          <w:tcPr>
            <w:tcW w:w="5230" w:type="dxa"/>
            <w:gridSpan w:val="6"/>
            <w:vMerge/>
            <w:tcBorders>
              <w:left w:val="nil"/>
              <w:bottom w:val="nil"/>
            </w:tcBorders>
          </w:tcPr>
          <w:p>
            <w:pPr/>
          </w:p>
        </w:tc>
        <w:tc>
          <w:tcPr>
            <w:tcW w:w="2062" w:type="dxa"/>
            <w:gridSpan w:val="2"/>
            <w:vMerge/>
          </w:tcPr>
          <w:p>
            <w:pPr/>
          </w:p>
        </w:tc>
        <w:tc>
          <w:tcPr>
            <w:tcW w:w="1728" w:type="dxa"/>
          </w:tcPr>
          <w:p>
            <w:pPr>
              <w:pStyle w:val="TableParagraph"/>
              <w:rPr>
                <w:sz w:val="22"/>
              </w:rPr>
            </w:pPr>
            <w:r>
              <w:rPr>
                <w:sz w:val="22"/>
              </w:rPr>
              <w:t>5,03</w:t>
            </w:r>
          </w:p>
        </w:tc>
      </w:tr>
    </w:tbl>
    <w:p>
      <w:pPr>
        <w:pStyle w:val="BodyText"/>
        <w:rPr>
          <w:rFonts w:ascii="Times New Roman"/>
          <w:sz w:val="20"/>
        </w:rPr>
      </w:pPr>
    </w:p>
    <w:p>
      <w:pPr>
        <w:pStyle w:val="BodyText"/>
        <w:rPr>
          <w:rFonts w:ascii="Times New Roman"/>
          <w:sz w:val="20"/>
        </w:rPr>
      </w:pPr>
    </w:p>
    <w:p>
      <w:pPr>
        <w:pStyle w:val="BodyText"/>
        <w:spacing w:before="2"/>
        <w:rPr>
          <w:rFonts w:ascii="Times New Roman"/>
          <w:sz w:val="12"/>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0"/>
        <w:gridCol w:w="934"/>
        <w:gridCol w:w="528"/>
        <w:gridCol w:w="770"/>
        <w:gridCol w:w="770"/>
        <w:gridCol w:w="1258"/>
        <w:gridCol w:w="770"/>
        <w:gridCol w:w="1291"/>
        <w:gridCol w:w="1728"/>
      </w:tblGrid>
      <w:tr>
        <w:trPr>
          <w:trHeight w:val="310" w:hRule="exact"/>
        </w:trPr>
        <w:tc>
          <w:tcPr>
            <w:tcW w:w="9019" w:type="dxa"/>
            <w:gridSpan w:val="9"/>
          </w:tcPr>
          <w:p>
            <w:pPr>
              <w:pStyle w:val="TableParagraph"/>
              <w:ind w:left="3528" w:right="3528"/>
              <w:jc w:val="center"/>
              <w:rPr>
                <w:sz w:val="22"/>
              </w:rPr>
            </w:pPr>
            <w:r>
              <w:rPr>
                <w:sz w:val="22"/>
              </w:rPr>
              <w:t>Punto de muestreo E</w:t>
            </w:r>
          </w:p>
        </w:tc>
      </w:tr>
      <w:tr>
        <w:trPr>
          <w:trHeight w:val="310" w:hRule="exact"/>
        </w:trPr>
        <w:tc>
          <w:tcPr>
            <w:tcW w:w="970" w:type="dxa"/>
          </w:tcPr>
          <w:p>
            <w:pPr>
              <w:pStyle w:val="TableParagraph"/>
              <w:spacing w:before="13"/>
              <w:ind w:left="103" w:right="102"/>
              <w:jc w:val="center"/>
              <w:rPr>
                <w:sz w:val="22"/>
              </w:rPr>
            </w:pPr>
            <w:r>
              <w:rPr>
                <w:sz w:val="22"/>
              </w:rPr>
              <w:t>Estrato</w:t>
            </w:r>
          </w:p>
        </w:tc>
        <w:tc>
          <w:tcPr>
            <w:tcW w:w="934" w:type="dxa"/>
          </w:tcPr>
          <w:p>
            <w:pPr>
              <w:pStyle w:val="TableParagraph"/>
              <w:spacing w:before="43"/>
              <w:ind w:left="61" w:right="74"/>
              <w:jc w:val="center"/>
              <w:rPr>
                <w:rFonts w:ascii="Cambria Math"/>
                <w:sz w:val="16"/>
              </w:rPr>
            </w:pPr>
            <w:r>
              <w:rPr>
                <w:rFonts w:ascii="Cambria Math"/>
                <w:w w:val="110"/>
                <w:sz w:val="22"/>
              </w:rPr>
              <w:t>N</w:t>
            </w:r>
            <w:r>
              <w:rPr>
                <w:rFonts w:ascii="Cambria Math"/>
                <w:w w:val="110"/>
                <w:position w:val="-4"/>
                <w:sz w:val="16"/>
              </w:rPr>
              <w:t>h</w:t>
            </w:r>
          </w:p>
        </w:tc>
        <w:tc>
          <w:tcPr>
            <w:tcW w:w="528" w:type="dxa"/>
          </w:tcPr>
          <w:p>
            <w:pPr>
              <w:pStyle w:val="TableParagraph"/>
              <w:spacing w:before="43"/>
              <w:ind w:left="139" w:right="0"/>
              <w:jc w:val="left"/>
              <w:rPr>
                <w:rFonts w:ascii="Cambria Math"/>
                <w:sz w:val="16"/>
              </w:rPr>
            </w:pPr>
            <w:r>
              <w:rPr>
                <w:rFonts w:ascii="Cambria Math"/>
                <w:w w:val="110"/>
                <w:sz w:val="22"/>
              </w:rPr>
              <w:t>n</w:t>
            </w:r>
            <w:r>
              <w:rPr>
                <w:rFonts w:ascii="Cambria Math"/>
                <w:w w:val="110"/>
                <w:position w:val="-4"/>
                <w:sz w:val="16"/>
              </w:rPr>
              <w:t>h</w:t>
            </w:r>
          </w:p>
        </w:tc>
        <w:tc>
          <w:tcPr>
            <w:tcW w:w="770" w:type="dxa"/>
          </w:tcPr>
          <w:p>
            <w:pPr>
              <w:pStyle w:val="TableParagraph"/>
              <w:spacing w:before="43"/>
              <w:ind w:left="266"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70" w:type="dxa"/>
          </w:tcPr>
          <w:p>
            <w:pPr>
              <w:pStyle w:val="TableParagraph"/>
              <w:spacing w:line="214" w:lineRule="exact" w:before="6"/>
              <w:ind w:left="255" w:right="26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58" w:type="dxa"/>
          </w:tcPr>
          <w:p>
            <w:pPr>
              <w:pStyle w:val="TableParagraph"/>
              <w:spacing w:before="19"/>
              <w:ind w:left="504" w:right="51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70" w:type="dxa"/>
          </w:tcPr>
          <w:p>
            <w:pPr>
              <w:pStyle w:val="TableParagraph"/>
              <w:spacing w:before="43"/>
              <w:ind w:left="255" w:right="263"/>
              <w:jc w:val="center"/>
              <w:rPr>
                <w:rFonts w:ascii="Cambria Math"/>
                <w:sz w:val="16"/>
              </w:rPr>
            </w:pPr>
            <w:r>
              <w:rPr>
                <w:rFonts w:ascii="Cambria Math"/>
                <w:w w:val="110"/>
                <w:sz w:val="22"/>
              </w:rPr>
              <w:t>s</w:t>
            </w:r>
            <w:r>
              <w:rPr>
                <w:rFonts w:ascii="Cambria Math"/>
                <w:w w:val="110"/>
                <w:position w:val="-4"/>
                <w:sz w:val="16"/>
              </w:rPr>
              <w:t>h</w:t>
            </w:r>
          </w:p>
        </w:tc>
        <w:tc>
          <w:tcPr>
            <w:tcW w:w="1291" w:type="dxa"/>
          </w:tcPr>
          <w:p>
            <w:pPr>
              <w:pStyle w:val="TableParagraph"/>
              <w:spacing w:before="0"/>
              <w:ind w:left="31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728" w:type="dxa"/>
          </w:tcPr>
          <w:p>
            <w:pPr>
              <w:pStyle w:val="TableParagraph"/>
              <w:spacing w:before="0"/>
              <w:ind w:left="513"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970" w:type="dxa"/>
          </w:tcPr>
          <w:p>
            <w:pPr>
              <w:pStyle w:val="TableParagraph"/>
              <w:spacing w:before="30"/>
              <w:ind w:left="1" w:right="0"/>
              <w:jc w:val="center"/>
              <w:rPr>
                <w:sz w:val="22"/>
              </w:rPr>
            </w:pPr>
            <w:r>
              <w:rPr>
                <w:w w:val="100"/>
                <w:sz w:val="22"/>
              </w:rPr>
              <w:t>1</w:t>
            </w:r>
          </w:p>
        </w:tc>
        <w:tc>
          <w:tcPr>
            <w:tcW w:w="934" w:type="dxa"/>
          </w:tcPr>
          <w:p>
            <w:pPr>
              <w:pStyle w:val="TableParagraph"/>
              <w:spacing w:before="30"/>
              <w:ind w:right="63"/>
              <w:rPr>
                <w:sz w:val="22"/>
              </w:rPr>
            </w:pPr>
            <w:r>
              <w:rPr>
                <w:sz w:val="22"/>
              </w:rPr>
              <w:t>108,60</w:t>
            </w:r>
          </w:p>
        </w:tc>
        <w:tc>
          <w:tcPr>
            <w:tcW w:w="528" w:type="dxa"/>
          </w:tcPr>
          <w:p>
            <w:pPr>
              <w:pStyle w:val="TableParagraph"/>
              <w:spacing w:before="30"/>
              <w:rPr>
                <w:sz w:val="22"/>
              </w:rPr>
            </w:pPr>
            <w:r>
              <w:rPr>
                <w:sz w:val="22"/>
              </w:rPr>
              <w:t>108</w:t>
            </w:r>
          </w:p>
        </w:tc>
        <w:tc>
          <w:tcPr>
            <w:tcW w:w="770" w:type="dxa"/>
          </w:tcPr>
          <w:p>
            <w:pPr>
              <w:pStyle w:val="TableParagraph"/>
              <w:spacing w:before="30"/>
              <w:ind w:left="194" w:right="0"/>
              <w:jc w:val="left"/>
              <w:rPr>
                <w:sz w:val="22"/>
              </w:rPr>
            </w:pPr>
            <w:r>
              <w:rPr>
                <w:sz w:val="22"/>
              </w:rPr>
              <w:t>5,589</w:t>
            </w:r>
          </w:p>
        </w:tc>
        <w:tc>
          <w:tcPr>
            <w:tcW w:w="770" w:type="dxa"/>
          </w:tcPr>
          <w:p>
            <w:pPr>
              <w:pStyle w:val="TableParagraph"/>
              <w:spacing w:before="30"/>
              <w:ind w:left="194" w:right="0"/>
              <w:jc w:val="left"/>
              <w:rPr>
                <w:sz w:val="22"/>
              </w:rPr>
            </w:pPr>
            <w:r>
              <w:rPr>
                <w:sz w:val="22"/>
              </w:rPr>
              <w:t>0,067</w:t>
            </w:r>
          </w:p>
        </w:tc>
        <w:tc>
          <w:tcPr>
            <w:tcW w:w="1258" w:type="dxa"/>
          </w:tcPr>
          <w:p>
            <w:pPr>
              <w:pStyle w:val="TableParagraph"/>
              <w:spacing w:before="30"/>
              <w:rPr>
                <w:sz w:val="22"/>
              </w:rPr>
            </w:pPr>
            <w:r>
              <w:rPr>
                <w:sz w:val="22"/>
              </w:rPr>
              <w:t>606,960</w:t>
            </w:r>
          </w:p>
        </w:tc>
        <w:tc>
          <w:tcPr>
            <w:tcW w:w="770" w:type="dxa"/>
          </w:tcPr>
          <w:p>
            <w:pPr>
              <w:pStyle w:val="TableParagraph"/>
              <w:spacing w:before="30"/>
              <w:rPr>
                <w:sz w:val="22"/>
              </w:rPr>
            </w:pPr>
            <w:r>
              <w:rPr>
                <w:sz w:val="22"/>
              </w:rPr>
              <w:t>0,258</w:t>
            </w:r>
          </w:p>
        </w:tc>
        <w:tc>
          <w:tcPr>
            <w:tcW w:w="1291" w:type="dxa"/>
          </w:tcPr>
          <w:p>
            <w:pPr>
              <w:pStyle w:val="TableParagraph"/>
              <w:spacing w:before="30"/>
              <w:rPr>
                <w:sz w:val="22"/>
              </w:rPr>
            </w:pPr>
            <w:r>
              <w:rPr>
                <w:sz w:val="22"/>
              </w:rPr>
              <w:t>-2,433</w:t>
            </w:r>
          </w:p>
        </w:tc>
        <w:tc>
          <w:tcPr>
            <w:tcW w:w="1728" w:type="dxa"/>
          </w:tcPr>
          <w:p>
            <w:pPr>
              <w:pStyle w:val="TableParagraph"/>
              <w:spacing w:before="30"/>
              <w:rPr>
                <w:sz w:val="22"/>
              </w:rPr>
            </w:pPr>
            <w:r>
              <w:rPr>
                <w:sz w:val="22"/>
              </w:rPr>
              <w:t>-0,00022931</w:t>
            </w:r>
          </w:p>
        </w:tc>
      </w:tr>
      <w:tr>
        <w:trPr>
          <w:trHeight w:val="310" w:hRule="exact"/>
        </w:trPr>
        <w:tc>
          <w:tcPr>
            <w:tcW w:w="970" w:type="dxa"/>
          </w:tcPr>
          <w:p>
            <w:pPr>
              <w:pStyle w:val="TableParagraph"/>
              <w:ind w:left="1" w:right="0"/>
              <w:jc w:val="center"/>
              <w:rPr>
                <w:sz w:val="22"/>
              </w:rPr>
            </w:pPr>
            <w:r>
              <w:rPr>
                <w:w w:val="100"/>
                <w:sz w:val="22"/>
              </w:rPr>
              <w:t>2</w:t>
            </w:r>
          </w:p>
        </w:tc>
        <w:tc>
          <w:tcPr>
            <w:tcW w:w="934" w:type="dxa"/>
          </w:tcPr>
          <w:p>
            <w:pPr>
              <w:pStyle w:val="TableParagraph"/>
              <w:ind w:right="63"/>
              <w:rPr>
                <w:sz w:val="22"/>
              </w:rPr>
            </w:pPr>
            <w:r>
              <w:rPr>
                <w:sz w:val="22"/>
              </w:rPr>
              <w:t>121,03</w:t>
            </w:r>
          </w:p>
        </w:tc>
        <w:tc>
          <w:tcPr>
            <w:tcW w:w="528" w:type="dxa"/>
          </w:tcPr>
          <w:p>
            <w:pPr>
              <w:pStyle w:val="TableParagraph"/>
              <w:rPr>
                <w:sz w:val="22"/>
              </w:rPr>
            </w:pPr>
            <w:r>
              <w:rPr>
                <w:sz w:val="22"/>
              </w:rPr>
              <w:t>81</w:t>
            </w:r>
          </w:p>
        </w:tc>
        <w:tc>
          <w:tcPr>
            <w:tcW w:w="770" w:type="dxa"/>
          </w:tcPr>
          <w:p>
            <w:pPr>
              <w:pStyle w:val="TableParagraph"/>
              <w:ind w:left="194" w:right="0"/>
              <w:jc w:val="left"/>
              <w:rPr>
                <w:sz w:val="22"/>
              </w:rPr>
            </w:pPr>
            <w:r>
              <w:rPr>
                <w:sz w:val="22"/>
              </w:rPr>
              <w:t>5,445</w:t>
            </w:r>
          </w:p>
        </w:tc>
        <w:tc>
          <w:tcPr>
            <w:tcW w:w="770" w:type="dxa"/>
          </w:tcPr>
          <w:p>
            <w:pPr>
              <w:pStyle w:val="TableParagraph"/>
              <w:ind w:left="194" w:right="0"/>
              <w:jc w:val="left"/>
              <w:rPr>
                <w:sz w:val="22"/>
              </w:rPr>
            </w:pPr>
            <w:r>
              <w:rPr>
                <w:sz w:val="22"/>
              </w:rPr>
              <w:t>0,132</w:t>
            </w:r>
          </w:p>
        </w:tc>
        <w:tc>
          <w:tcPr>
            <w:tcW w:w="1258" w:type="dxa"/>
          </w:tcPr>
          <w:p>
            <w:pPr>
              <w:pStyle w:val="TableParagraph"/>
              <w:rPr>
                <w:sz w:val="22"/>
              </w:rPr>
            </w:pPr>
            <w:r>
              <w:rPr>
                <w:sz w:val="22"/>
              </w:rPr>
              <w:t>659,008</w:t>
            </w:r>
          </w:p>
        </w:tc>
        <w:tc>
          <w:tcPr>
            <w:tcW w:w="770" w:type="dxa"/>
          </w:tcPr>
          <w:p>
            <w:pPr>
              <w:pStyle w:val="TableParagraph"/>
              <w:rPr>
                <w:sz w:val="22"/>
              </w:rPr>
            </w:pPr>
            <w:r>
              <w:rPr>
                <w:sz w:val="22"/>
              </w:rPr>
              <w:t>0,364</w:t>
            </w:r>
          </w:p>
        </w:tc>
        <w:tc>
          <w:tcPr>
            <w:tcW w:w="1291" w:type="dxa"/>
          </w:tcPr>
          <w:p>
            <w:pPr>
              <w:pStyle w:val="TableParagraph"/>
              <w:rPr>
                <w:sz w:val="22"/>
              </w:rPr>
            </w:pPr>
            <w:r>
              <w:rPr>
                <w:sz w:val="22"/>
              </w:rPr>
              <w:t>7,934</w:t>
            </w:r>
          </w:p>
        </w:tc>
        <w:tc>
          <w:tcPr>
            <w:tcW w:w="1728" w:type="dxa"/>
          </w:tcPr>
          <w:p>
            <w:pPr>
              <w:pStyle w:val="TableParagraph"/>
              <w:rPr>
                <w:sz w:val="22"/>
              </w:rPr>
            </w:pPr>
            <w:r>
              <w:rPr>
                <w:sz w:val="22"/>
              </w:rPr>
              <w:t>0,00074783</w:t>
            </w:r>
          </w:p>
        </w:tc>
      </w:tr>
      <w:tr>
        <w:trPr>
          <w:trHeight w:val="310" w:hRule="exact"/>
        </w:trPr>
        <w:tc>
          <w:tcPr>
            <w:tcW w:w="970" w:type="dxa"/>
          </w:tcPr>
          <w:p>
            <w:pPr>
              <w:pStyle w:val="TableParagraph"/>
              <w:ind w:left="1" w:right="0"/>
              <w:jc w:val="center"/>
              <w:rPr>
                <w:sz w:val="22"/>
              </w:rPr>
            </w:pPr>
            <w:r>
              <w:rPr>
                <w:w w:val="100"/>
                <w:sz w:val="22"/>
              </w:rPr>
              <w:t>3</w:t>
            </w:r>
          </w:p>
        </w:tc>
        <w:tc>
          <w:tcPr>
            <w:tcW w:w="934" w:type="dxa"/>
          </w:tcPr>
          <w:p>
            <w:pPr>
              <w:pStyle w:val="TableParagraph"/>
              <w:ind w:right="63"/>
              <w:rPr>
                <w:sz w:val="22"/>
              </w:rPr>
            </w:pPr>
            <w:r>
              <w:rPr>
                <w:sz w:val="22"/>
              </w:rPr>
              <w:t>130,21</w:t>
            </w:r>
          </w:p>
        </w:tc>
        <w:tc>
          <w:tcPr>
            <w:tcW w:w="528" w:type="dxa"/>
          </w:tcPr>
          <w:p>
            <w:pPr>
              <w:pStyle w:val="TableParagraph"/>
              <w:rPr>
                <w:sz w:val="22"/>
              </w:rPr>
            </w:pPr>
            <w:r>
              <w:rPr>
                <w:sz w:val="22"/>
              </w:rPr>
              <w:t>77</w:t>
            </w:r>
          </w:p>
        </w:tc>
        <w:tc>
          <w:tcPr>
            <w:tcW w:w="770" w:type="dxa"/>
          </w:tcPr>
          <w:p>
            <w:pPr>
              <w:pStyle w:val="TableParagraph"/>
              <w:ind w:left="194" w:right="0"/>
              <w:jc w:val="left"/>
              <w:rPr>
                <w:sz w:val="22"/>
              </w:rPr>
            </w:pPr>
            <w:r>
              <w:rPr>
                <w:sz w:val="22"/>
              </w:rPr>
              <w:t>4,614</w:t>
            </w:r>
          </w:p>
        </w:tc>
        <w:tc>
          <w:tcPr>
            <w:tcW w:w="770" w:type="dxa"/>
          </w:tcPr>
          <w:p>
            <w:pPr>
              <w:pStyle w:val="TableParagraph"/>
              <w:ind w:left="194" w:right="0"/>
              <w:jc w:val="left"/>
              <w:rPr>
                <w:sz w:val="22"/>
              </w:rPr>
            </w:pPr>
            <w:r>
              <w:rPr>
                <w:sz w:val="22"/>
              </w:rPr>
              <w:t>0,412</w:t>
            </w:r>
          </w:p>
        </w:tc>
        <w:tc>
          <w:tcPr>
            <w:tcW w:w="1258" w:type="dxa"/>
          </w:tcPr>
          <w:p>
            <w:pPr>
              <w:pStyle w:val="TableParagraph"/>
              <w:rPr>
                <w:sz w:val="22"/>
              </w:rPr>
            </w:pPr>
            <w:r>
              <w:rPr>
                <w:sz w:val="22"/>
              </w:rPr>
              <w:t>600,816</w:t>
            </w:r>
          </w:p>
        </w:tc>
        <w:tc>
          <w:tcPr>
            <w:tcW w:w="770" w:type="dxa"/>
          </w:tcPr>
          <w:p>
            <w:pPr>
              <w:pStyle w:val="TableParagraph"/>
              <w:rPr>
                <w:sz w:val="22"/>
              </w:rPr>
            </w:pPr>
            <w:r>
              <w:rPr>
                <w:sz w:val="22"/>
              </w:rPr>
              <w:t>0,642</w:t>
            </w:r>
          </w:p>
        </w:tc>
        <w:tc>
          <w:tcPr>
            <w:tcW w:w="1291" w:type="dxa"/>
          </w:tcPr>
          <w:p>
            <w:pPr>
              <w:pStyle w:val="TableParagraph"/>
              <w:rPr>
                <w:sz w:val="22"/>
              </w:rPr>
            </w:pPr>
            <w:r>
              <w:rPr>
                <w:sz w:val="22"/>
              </w:rPr>
              <w:t>37,593</w:t>
            </w:r>
          </w:p>
        </w:tc>
        <w:tc>
          <w:tcPr>
            <w:tcW w:w="1728" w:type="dxa"/>
          </w:tcPr>
          <w:p>
            <w:pPr>
              <w:pStyle w:val="TableParagraph"/>
              <w:rPr>
                <w:sz w:val="22"/>
              </w:rPr>
            </w:pPr>
            <w:r>
              <w:rPr>
                <w:sz w:val="22"/>
              </w:rPr>
              <w:t>0,0035435</w:t>
            </w:r>
          </w:p>
        </w:tc>
      </w:tr>
      <w:tr>
        <w:trPr>
          <w:trHeight w:val="310" w:hRule="exact"/>
        </w:trPr>
        <w:tc>
          <w:tcPr>
            <w:tcW w:w="970" w:type="dxa"/>
          </w:tcPr>
          <w:p>
            <w:pPr>
              <w:pStyle w:val="TableParagraph"/>
              <w:ind w:left="1" w:right="0"/>
              <w:jc w:val="center"/>
              <w:rPr>
                <w:sz w:val="22"/>
              </w:rPr>
            </w:pPr>
            <w:r>
              <w:rPr>
                <w:w w:val="100"/>
                <w:sz w:val="22"/>
              </w:rPr>
              <w:t>4</w:t>
            </w:r>
          </w:p>
        </w:tc>
        <w:tc>
          <w:tcPr>
            <w:tcW w:w="934" w:type="dxa"/>
          </w:tcPr>
          <w:p>
            <w:pPr>
              <w:pStyle w:val="TableParagraph"/>
              <w:ind w:right="63"/>
              <w:rPr>
                <w:sz w:val="22"/>
              </w:rPr>
            </w:pPr>
            <w:r>
              <w:rPr>
                <w:sz w:val="22"/>
              </w:rPr>
              <w:t>155,12</w:t>
            </w:r>
          </w:p>
        </w:tc>
        <w:tc>
          <w:tcPr>
            <w:tcW w:w="528" w:type="dxa"/>
          </w:tcPr>
          <w:p>
            <w:pPr>
              <w:pStyle w:val="TableParagraph"/>
              <w:rPr>
                <w:sz w:val="22"/>
              </w:rPr>
            </w:pPr>
            <w:r>
              <w:rPr>
                <w:sz w:val="22"/>
              </w:rPr>
              <w:t>92</w:t>
            </w:r>
          </w:p>
        </w:tc>
        <w:tc>
          <w:tcPr>
            <w:tcW w:w="770" w:type="dxa"/>
          </w:tcPr>
          <w:p>
            <w:pPr>
              <w:pStyle w:val="TableParagraph"/>
              <w:ind w:left="194" w:right="0"/>
              <w:jc w:val="left"/>
              <w:rPr>
                <w:sz w:val="22"/>
              </w:rPr>
            </w:pPr>
            <w:r>
              <w:rPr>
                <w:sz w:val="22"/>
              </w:rPr>
              <w:t>5,428</w:t>
            </w:r>
          </w:p>
        </w:tc>
        <w:tc>
          <w:tcPr>
            <w:tcW w:w="770" w:type="dxa"/>
          </w:tcPr>
          <w:p>
            <w:pPr>
              <w:pStyle w:val="TableParagraph"/>
              <w:ind w:left="194" w:right="0"/>
              <w:jc w:val="left"/>
              <w:rPr>
                <w:sz w:val="22"/>
              </w:rPr>
            </w:pPr>
            <w:r>
              <w:rPr>
                <w:sz w:val="22"/>
              </w:rPr>
              <w:t>0,190</w:t>
            </w:r>
          </w:p>
        </w:tc>
        <w:tc>
          <w:tcPr>
            <w:tcW w:w="1258" w:type="dxa"/>
          </w:tcPr>
          <w:p>
            <w:pPr>
              <w:pStyle w:val="TableParagraph"/>
              <w:rPr>
                <w:sz w:val="22"/>
              </w:rPr>
            </w:pPr>
            <w:r>
              <w:rPr>
                <w:sz w:val="22"/>
              </w:rPr>
              <w:t>841,937</w:t>
            </w:r>
          </w:p>
        </w:tc>
        <w:tc>
          <w:tcPr>
            <w:tcW w:w="770" w:type="dxa"/>
          </w:tcPr>
          <w:p>
            <w:pPr>
              <w:pStyle w:val="TableParagraph"/>
              <w:rPr>
                <w:sz w:val="22"/>
              </w:rPr>
            </w:pPr>
            <w:r>
              <w:rPr>
                <w:sz w:val="22"/>
              </w:rPr>
              <w:t>0,436</w:t>
            </w:r>
          </w:p>
        </w:tc>
        <w:tc>
          <w:tcPr>
            <w:tcW w:w="1291" w:type="dxa"/>
          </w:tcPr>
          <w:p>
            <w:pPr>
              <w:pStyle w:val="TableParagraph"/>
              <w:rPr>
                <w:sz w:val="22"/>
              </w:rPr>
            </w:pPr>
            <w:r>
              <w:rPr>
                <w:sz w:val="22"/>
              </w:rPr>
              <w:t>20,312</w:t>
            </w:r>
          </w:p>
        </w:tc>
        <w:tc>
          <w:tcPr>
            <w:tcW w:w="1728" w:type="dxa"/>
          </w:tcPr>
          <w:p>
            <w:pPr>
              <w:pStyle w:val="TableParagraph"/>
              <w:rPr>
                <w:sz w:val="22"/>
              </w:rPr>
            </w:pPr>
            <w:r>
              <w:rPr>
                <w:sz w:val="22"/>
              </w:rPr>
              <w:t>0,00191464</w:t>
            </w:r>
          </w:p>
        </w:tc>
      </w:tr>
      <w:tr>
        <w:trPr>
          <w:trHeight w:val="310" w:hRule="exact"/>
        </w:trPr>
        <w:tc>
          <w:tcPr>
            <w:tcW w:w="970" w:type="dxa"/>
          </w:tcPr>
          <w:p>
            <w:pPr>
              <w:pStyle w:val="TableParagraph"/>
              <w:ind w:left="1" w:right="0"/>
              <w:jc w:val="center"/>
              <w:rPr>
                <w:sz w:val="22"/>
              </w:rPr>
            </w:pPr>
            <w:r>
              <w:rPr>
                <w:w w:val="100"/>
                <w:sz w:val="22"/>
              </w:rPr>
              <w:t>5</w:t>
            </w:r>
          </w:p>
        </w:tc>
        <w:tc>
          <w:tcPr>
            <w:tcW w:w="934" w:type="dxa"/>
          </w:tcPr>
          <w:p>
            <w:pPr>
              <w:pStyle w:val="TableParagraph"/>
              <w:ind w:right="63"/>
              <w:rPr>
                <w:sz w:val="22"/>
              </w:rPr>
            </w:pPr>
            <w:r>
              <w:rPr>
                <w:sz w:val="22"/>
              </w:rPr>
              <w:t>180,21</w:t>
            </w:r>
          </w:p>
        </w:tc>
        <w:tc>
          <w:tcPr>
            <w:tcW w:w="528" w:type="dxa"/>
          </w:tcPr>
          <w:p>
            <w:pPr>
              <w:pStyle w:val="TableParagraph"/>
              <w:rPr>
                <w:sz w:val="22"/>
              </w:rPr>
            </w:pPr>
            <w:r>
              <w:rPr>
                <w:sz w:val="22"/>
              </w:rPr>
              <w:t>132</w:t>
            </w:r>
          </w:p>
        </w:tc>
        <w:tc>
          <w:tcPr>
            <w:tcW w:w="770" w:type="dxa"/>
          </w:tcPr>
          <w:p>
            <w:pPr>
              <w:pStyle w:val="TableParagraph"/>
              <w:ind w:left="194" w:right="0"/>
              <w:jc w:val="left"/>
              <w:rPr>
                <w:sz w:val="22"/>
              </w:rPr>
            </w:pPr>
            <w:r>
              <w:rPr>
                <w:sz w:val="22"/>
              </w:rPr>
              <w:t>5,079</w:t>
            </w:r>
          </w:p>
        </w:tc>
        <w:tc>
          <w:tcPr>
            <w:tcW w:w="770" w:type="dxa"/>
          </w:tcPr>
          <w:p>
            <w:pPr>
              <w:pStyle w:val="TableParagraph"/>
              <w:ind w:left="194" w:right="0"/>
              <w:jc w:val="left"/>
              <w:rPr>
                <w:sz w:val="22"/>
              </w:rPr>
            </w:pPr>
            <w:r>
              <w:rPr>
                <w:sz w:val="22"/>
              </w:rPr>
              <w:t>0,442</w:t>
            </w:r>
          </w:p>
        </w:tc>
        <w:tc>
          <w:tcPr>
            <w:tcW w:w="1258" w:type="dxa"/>
          </w:tcPr>
          <w:p>
            <w:pPr>
              <w:pStyle w:val="TableParagraph"/>
              <w:rPr>
                <w:sz w:val="22"/>
              </w:rPr>
            </w:pPr>
            <w:r>
              <w:rPr>
                <w:sz w:val="22"/>
              </w:rPr>
              <w:t>915,267</w:t>
            </w:r>
          </w:p>
        </w:tc>
        <w:tc>
          <w:tcPr>
            <w:tcW w:w="770" w:type="dxa"/>
          </w:tcPr>
          <w:p>
            <w:pPr>
              <w:pStyle w:val="TableParagraph"/>
              <w:rPr>
                <w:sz w:val="22"/>
              </w:rPr>
            </w:pPr>
            <w:r>
              <w:rPr>
                <w:sz w:val="22"/>
              </w:rPr>
              <w:t>0,665</w:t>
            </w:r>
          </w:p>
        </w:tc>
        <w:tc>
          <w:tcPr>
            <w:tcW w:w="1291" w:type="dxa"/>
          </w:tcPr>
          <w:p>
            <w:pPr>
              <w:pStyle w:val="TableParagraph"/>
              <w:rPr>
                <w:sz w:val="22"/>
              </w:rPr>
            </w:pPr>
            <w:r>
              <w:rPr>
                <w:sz w:val="22"/>
              </w:rPr>
              <w:t>29,031</w:t>
            </w:r>
          </w:p>
        </w:tc>
        <w:tc>
          <w:tcPr>
            <w:tcW w:w="1728" w:type="dxa"/>
          </w:tcPr>
          <w:p>
            <w:pPr>
              <w:pStyle w:val="TableParagraph"/>
              <w:rPr>
                <w:sz w:val="22"/>
              </w:rPr>
            </w:pPr>
            <w:r>
              <w:rPr>
                <w:sz w:val="22"/>
              </w:rPr>
              <w:t>0,0027364</w:t>
            </w:r>
          </w:p>
        </w:tc>
      </w:tr>
      <w:tr>
        <w:trPr>
          <w:trHeight w:val="310" w:hRule="exact"/>
        </w:trPr>
        <w:tc>
          <w:tcPr>
            <w:tcW w:w="970" w:type="dxa"/>
          </w:tcPr>
          <w:p>
            <w:pPr>
              <w:pStyle w:val="TableParagraph"/>
              <w:spacing w:before="30"/>
              <w:ind w:right="1"/>
              <w:jc w:val="center"/>
              <w:rPr>
                <w:sz w:val="22"/>
              </w:rPr>
            </w:pPr>
            <w:r>
              <w:rPr>
                <w:w w:val="100"/>
                <w:sz w:val="22"/>
              </w:rPr>
              <w:t>N</w:t>
            </w:r>
          </w:p>
        </w:tc>
        <w:tc>
          <w:tcPr>
            <w:tcW w:w="934" w:type="dxa"/>
          </w:tcPr>
          <w:p>
            <w:pPr>
              <w:pStyle w:val="TableParagraph"/>
              <w:spacing w:before="30"/>
              <w:ind w:right="63"/>
              <w:rPr>
                <w:sz w:val="22"/>
              </w:rPr>
            </w:pPr>
            <w:r>
              <w:rPr>
                <w:sz w:val="22"/>
              </w:rPr>
              <w:t>695,17</w:t>
            </w:r>
          </w:p>
        </w:tc>
        <w:tc>
          <w:tcPr>
            <w:tcW w:w="528" w:type="dxa"/>
          </w:tcPr>
          <w:p>
            <w:pPr/>
          </w:p>
        </w:tc>
        <w:tc>
          <w:tcPr>
            <w:tcW w:w="770" w:type="dxa"/>
          </w:tcPr>
          <w:p>
            <w:pPr/>
          </w:p>
        </w:tc>
        <w:tc>
          <w:tcPr>
            <w:tcW w:w="770" w:type="dxa"/>
          </w:tcPr>
          <w:p>
            <w:pPr>
              <w:pStyle w:val="TableParagraph"/>
              <w:spacing w:before="18"/>
              <w:ind w:left="213"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58" w:type="dxa"/>
          </w:tcPr>
          <w:p>
            <w:pPr>
              <w:pStyle w:val="TableParagraph"/>
              <w:spacing w:before="30"/>
              <w:rPr>
                <w:sz w:val="22"/>
              </w:rPr>
            </w:pPr>
            <w:r>
              <w:rPr>
                <w:sz w:val="22"/>
              </w:rPr>
              <w:t>3623,988</w:t>
            </w:r>
          </w:p>
        </w:tc>
        <w:tc>
          <w:tcPr>
            <w:tcW w:w="770" w:type="dxa"/>
          </w:tcPr>
          <w:p>
            <w:pPr/>
          </w:p>
        </w:tc>
        <w:tc>
          <w:tcPr>
            <w:tcW w:w="1291" w:type="dxa"/>
          </w:tcPr>
          <w:p>
            <w:pPr>
              <w:pStyle w:val="TableParagraph"/>
              <w:spacing w:before="30"/>
              <w:rPr>
                <w:sz w:val="22"/>
              </w:rPr>
            </w:pPr>
            <w:r>
              <w:rPr>
                <w:sz w:val="22"/>
              </w:rPr>
              <w:t>92,437</w:t>
            </w:r>
          </w:p>
        </w:tc>
        <w:tc>
          <w:tcPr>
            <w:tcW w:w="1728" w:type="dxa"/>
          </w:tcPr>
          <w:p>
            <w:pPr>
              <w:pStyle w:val="TableParagraph"/>
              <w:spacing w:before="30"/>
              <w:rPr>
                <w:sz w:val="22"/>
              </w:rPr>
            </w:pPr>
            <w:r>
              <w:rPr>
                <w:sz w:val="22"/>
              </w:rPr>
              <w:t>0,00871307</w:t>
            </w:r>
          </w:p>
        </w:tc>
      </w:tr>
      <w:tr>
        <w:trPr>
          <w:trHeight w:val="312" w:hRule="exact"/>
        </w:trPr>
        <w:tc>
          <w:tcPr>
            <w:tcW w:w="5230" w:type="dxa"/>
            <w:gridSpan w:val="6"/>
            <w:vMerge w:val="restart"/>
            <w:tcBorders>
              <w:left w:val="nil"/>
            </w:tcBorders>
          </w:tcPr>
          <w:p>
            <w:pPr/>
          </w:p>
        </w:tc>
        <w:tc>
          <w:tcPr>
            <w:tcW w:w="206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728" w:type="dxa"/>
          </w:tcPr>
          <w:p>
            <w:pPr>
              <w:pStyle w:val="TableParagraph"/>
              <w:spacing w:before="30"/>
              <w:rPr>
                <w:b/>
                <w:sz w:val="22"/>
              </w:rPr>
            </w:pPr>
            <w:r>
              <w:rPr>
                <w:b/>
                <w:sz w:val="22"/>
              </w:rPr>
              <w:t>5,213</w:t>
            </w:r>
          </w:p>
        </w:tc>
      </w:tr>
      <w:tr>
        <w:trPr>
          <w:trHeight w:val="310" w:hRule="exact"/>
        </w:trPr>
        <w:tc>
          <w:tcPr>
            <w:tcW w:w="5230" w:type="dxa"/>
            <w:gridSpan w:val="6"/>
            <w:vMerge/>
            <w:tcBorders>
              <w:left w:val="nil"/>
            </w:tcBorders>
          </w:tcPr>
          <w:p>
            <w:pPr/>
          </w:p>
        </w:tc>
        <w:tc>
          <w:tcPr>
            <w:tcW w:w="2062" w:type="dxa"/>
            <w:gridSpan w:val="2"/>
          </w:tcPr>
          <w:p>
            <w:pPr>
              <w:pStyle w:val="TableParagraph"/>
              <w:spacing w:before="11"/>
              <w:ind w:left="64" w:right="0"/>
              <w:jc w:val="left"/>
              <w:rPr>
                <w:sz w:val="22"/>
              </w:rPr>
            </w:pPr>
            <w:r>
              <w:rPr>
                <w:sz w:val="22"/>
              </w:rPr>
              <w:t>Desviación estándar</w:t>
            </w:r>
          </w:p>
        </w:tc>
        <w:tc>
          <w:tcPr>
            <w:tcW w:w="1728" w:type="dxa"/>
          </w:tcPr>
          <w:p>
            <w:pPr>
              <w:pStyle w:val="TableParagraph"/>
              <w:rPr>
                <w:b/>
                <w:sz w:val="22"/>
              </w:rPr>
            </w:pPr>
            <w:r>
              <w:rPr>
                <w:b/>
                <w:sz w:val="22"/>
              </w:rPr>
              <w:t>0,093</w:t>
            </w:r>
          </w:p>
        </w:tc>
      </w:tr>
      <w:tr>
        <w:trPr>
          <w:trHeight w:val="310" w:hRule="exact"/>
        </w:trPr>
        <w:tc>
          <w:tcPr>
            <w:tcW w:w="5230" w:type="dxa"/>
            <w:gridSpan w:val="6"/>
            <w:vMerge/>
            <w:tcBorders>
              <w:left w:val="nil"/>
            </w:tcBorders>
          </w:tcPr>
          <w:p>
            <w:pPr/>
          </w:p>
        </w:tc>
        <w:tc>
          <w:tcPr>
            <w:tcW w:w="2062" w:type="dxa"/>
            <w:gridSpan w:val="2"/>
            <w:vMerge w:val="restart"/>
          </w:tcPr>
          <w:p>
            <w:pPr>
              <w:pStyle w:val="TableParagraph"/>
              <w:spacing w:before="33"/>
              <w:ind w:left="64" w:right="427"/>
              <w:jc w:val="left"/>
              <w:rPr>
                <w:sz w:val="22"/>
              </w:rPr>
            </w:pPr>
            <w:r>
              <w:rPr>
                <w:sz w:val="22"/>
              </w:rPr>
              <w:t>Intervalo de confianza al 95 %</w:t>
            </w:r>
          </w:p>
        </w:tc>
        <w:tc>
          <w:tcPr>
            <w:tcW w:w="1728" w:type="dxa"/>
          </w:tcPr>
          <w:p>
            <w:pPr>
              <w:pStyle w:val="TableParagraph"/>
              <w:rPr>
                <w:sz w:val="22"/>
              </w:rPr>
            </w:pPr>
            <w:r>
              <w:rPr>
                <w:sz w:val="22"/>
              </w:rPr>
              <w:t>5,03</w:t>
            </w:r>
          </w:p>
        </w:tc>
      </w:tr>
      <w:tr>
        <w:trPr>
          <w:trHeight w:val="310" w:hRule="exact"/>
        </w:trPr>
        <w:tc>
          <w:tcPr>
            <w:tcW w:w="5230" w:type="dxa"/>
            <w:gridSpan w:val="6"/>
            <w:vMerge/>
            <w:tcBorders>
              <w:left w:val="nil"/>
              <w:bottom w:val="nil"/>
            </w:tcBorders>
          </w:tcPr>
          <w:p>
            <w:pPr/>
          </w:p>
        </w:tc>
        <w:tc>
          <w:tcPr>
            <w:tcW w:w="2062" w:type="dxa"/>
            <w:gridSpan w:val="2"/>
            <w:vMerge/>
          </w:tcPr>
          <w:p>
            <w:pPr/>
          </w:p>
        </w:tc>
        <w:tc>
          <w:tcPr>
            <w:tcW w:w="1728" w:type="dxa"/>
          </w:tcPr>
          <w:p>
            <w:pPr>
              <w:pStyle w:val="TableParagraph"/>
              <w:rPr>
                <w:sz w:val="22"/>
              </w:rPr>
            </w:pPr>
            <w:r>
              <w:rPr>
                <w:sz w:val="22"/>
              </w:rPr>
              <w:t>5,40</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0"/>
        <w:gridCol w:w="934"/>
        <w:gridCol w:w="528"/>
        <w:gridCol w:w="770"/>
        <w:gridCol w:w="770"/>
        <w:gridCol w:w="1258"/>
        <w:gridCol w:w="770"/>
        <w:gridCol w:w="1291"/>
        <w:gridCol w:w="1728"/>
      </w:tblGrid>
      <w:tr>
        <w:trPr>
          <w:trHeight w:val="310" w:hRule="exact"/>
        </w:trPr>
        <w:tc>
          <w:tcPr>
            <w:tcW w:w="9019" w:type="dxa"/>
            <w:gridSpan w:val="9"/>
          </w:tcPr>
          <w:p>
            <w:pPr>
              <w:pStyle w:val="TableParagraph"/>
              <w:spacing w:before="30"/>
              <w:ind w:left="3530" w:right="3528"/>
              <w:jc w:val="center"/>
              <w:rPr>
                <w:sz w:val="22"/>
              </w:rPr>
            </w:pPr>
            <w:r>
              <w:rPr>
                <w:sz w:val="22"/>
              </w:rPr>
              <w:t>Punto de muestreo G</w:t>
            </w:r>
          </w:p>
        </w:tc>
      </w:tr>
      <w:tr>
        <w:trPr>
          <w:trHeight w:val="312" w:hRule="exact"/>
        </w:trPr>
        <w:tc>
          <w:tcPr>
            <w:tcW w:w="970" w:type="dxa"/>
          </w:tcPr>
          <w:p>
            <w:pPr>
              <w:pStyle w:val="TableParagraph"/>
              <w:spacing w:before="13"/>
              <w:ind w:left="64" w:right="0"/>
              <w:jc w:val="left"/>
              <w:rPr>
                <w:sz w:val="22"/>
              </w:rPr>
            </w:pPr>
            <w:r>
              <w:rPr>
                <w:sz w:val="22"/>
              </w:rPr>
              <w:t>Estrato</w:t>
            </w:r>
          </w:p>
        </w:tc>
        <w:tc>
          <w:tcPr>
            <w:tcW w:w="934" w:type="dxa"/>
          </w:tcPr>
          <w:p>
            <w:pPr>
              <w:pStyle w:val="TableParagraph"/>
              <w:spacing w:before="43"/>
              <w:ind w:left="61" w:right="74"/>
              <w:jc w:val="center"/>
              <w:rPr>
                <w:rFonts w:ascii="Cambria Math"/>
                <w:sz w:val="16"/>
              </w:rPr>
            </w:pPr>
            <w:r>
              <w:rPr>
                <w:rFonts w:ascii="Cambria Math"/>
                <w:w w:val="110"/>
                <w:sz w:val="22"/>
              </w:rPr>
              <w:t>N</w:t>
            </w:r>
            <w:r>
              <w:rPr>
                <w:rFonts w:ascii="Cambria Math"/>
                <w:w w:val="110"/>
                <w:position w:val="-4"/>
                <w:sz w:val="16"/>
              </w:rPr>
              <w:t>h</w:t>
            </w:r>
          </w:p>
        </w:tc>
        <w:tc>
          <w:tcPr>
            <w:tcW w:w="528" w:type="dxa"/>
          </w:tcPr>
          <w:p>
            <w:pPr>
              <w:pStyle w:val="TableParagraph"/>
              <w:spacing w:before="43"/>
              <w:ind w:left="139" w:right="0"/>
              <w:jc w:val="left"/>
              <w:rPr>
                <w:rFonts w:ascii="Cambria Math"/>
                <w:sz w:val="16"/>
              </w:rPr>
            </w:pPr>
            <w:r>
              <w:rPr>
                <w:rFonts w:ascii="Cambria Math"/>
                <w:w w:val="110"/>
                <w:sz w:val="22"/>
              </w:rPr>
              <w:t>n</w:t>
            </w:r>
            <w:r>
              <w:rPr>
                <w:rFonts w:ascii="Cambria Math"/>
                <w:w w:val="110"/>
                <w:position w:val="-4"/>
                <w:sz w:val="16"/>
              </w:rPr>
              <w:t>h</w:t>
            </w:r>
          </w:p>
        </w:tc>
        <w:tc>
          <w:tcPr>
            <w:tcW w:w="770" w:type="dxa"/>
          </w:tcPr>
          <w:p>
            <w:pPr>
              <w:pStyle w:val="TableParagraph"/>
              <w:spacing w:before="43"/>
              <w:ind w:left="266" w:right="0"/>
              <w:jc w:val="left"/>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70" w:type="dxa"/>
          </w:tcPr>
          <w:p>
            <w:pPr>
              <w:pStyle w:val="TableParagraph"/>
              <w:spacing w:line="214" w:lineRule="exact" w:before="8"/>
              <w:ind w:left="255" w:right="260"/>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258" w:type="dxa"/>
          </w:tcPr>
          <w:p>
            <w:pPr>
              <w:pStyle w:val="TableParagraph"/>
              <w:spacing w:before="19"/>
              <w:ind w:left="525" w:right="0"/>
              <w:jc w:val="left"/>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70" w:type="dxa"/>
          </w:tcPr>
          <w:p>
            <w:pPr>
              <w:pStyle w:val="TableParagraph"/>
              <w:spacing w:before="43"/>
              <w:ind w:left="255" w:right="263"/>
              <w:jc w:val="center"/>
              <w:rPr>
                <w:rFonts w:ascii="Cambria Math"/>
                <w:sz w:val="16"/>
              </w:rPr>
            </w:pPr>
            <w:r>
              <w:rPr>
                <w:rFonts w:ascii="Cambria Math"/>
                <w:w w:val="110"/>
                <w:sz w:val="22"/>
              </w:rPr>
              <w:t>s</w:t>
            </w:r>
            <w:r>
              <w:rPr>
                <w:rFonts w:ascii="Cambria Math"/>
                <w:w w:val="110"/>
                <w:position w:val="-4"/>
                <w:sz w:val="16"/>
              </w:rPr>
              <w:t>h</w:t>
            </w:r>
          </w:p>
        </w:tc>
        <w:tc>
          <w:tcPr>
            <w:tcW w:w="1291" w:type="dxa"/>
          </w:tcPr>
          <w:p>
            <w:pPr>
              <w:pStyle w:val="TableParagraph"/>
              <w:spacing w:before="3"/>
              <w:ind w:left="311"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728" w:type="dxa"/>
          </w:tcPr>
          <w:p>
            <w:pPr>
              <w:pStyle w:val="TableParagraph"/>
              <w:spacing w:before="3"/>
              <w:ind w:left="513"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70" w:type="dxa"/>
          </w:tcPr>
          <w:p>
            <w:pPr>
              <w:pStyle w:val="TableParagraph"/>
              <w:ind w:left="1" w:right="0"/>
              <w:jc w:val="center"/>
              <w:rPr>
                <w:sz w:val="22"/>
              </w:rPr>
            </w:pPr>
            <w:r>
              <w:rPr>
                <w:w w:val="100"/>
                <w:sz w:val="22"/>
              </w:rPr>
              <w:t>1</w:t>
            </w:r>
          </w:p>
        </w:tc>
        <w:tc>
          <w:tcPr>
            <w:tcW w:w="934" w:type="dxa"/>
          </w:tcPr>
          <w:p>
            <w:pPr>
              <w:pStyle w:val="TableParagraph"/>
              <w:ind w:right="63"/>
              <w:rPr>
                <w:sz w:val="22"/>
              </w:rPr>
            </w:pPr>
            <w:r>
              <w:rPr>
                <w:sz w:val="22"/>
              </w:rPr>
              <w:t>108,60</w:t>
            </w:r>
          </w:p>
        </w:tc>
        <w:tc>
          <w:tcPr>
            <w:tcW w:w="528" w:type="dxa"/>
          </w:tcPr>
          <w:p>
            <w:pPr>
              <w:pStyle w:val="TableParagraph"/>
              <w:rPr>
                <w:sz w:val="22"/>
              </w:rPr>
            </w:pPr>
            <w:r>
              <w:rPr>
                <w:sz w:val="22"/>
              </w:rPr>
              <w:t>108</w:t>
            </w:r>
          </w:p>
        </w:tc>
        <w:tc>
          <w:tcPr>
            <w:tcW w:w="770" w:type="dxa"/>
          </w:tcPr>
          <w:p>
            <w:pPr>
              <w:pStyle w:val="TableParagraph"/>
              <w:ind w:left="194" w:right="0"/>
              <w:jc w:val="left"/>
              <w:rPr>
                <w:sz w:val="22"/>
              </w:rPr>
            </w:pPr>
            <w:r>
              <w:rPr>
                <w:sz w:val="22"/>
              </w:rPr>
              <w:t>2,655</w:t>
            </w:r>
          </w:p>
        </w:tc>
        <w:tc>
          <w:tcPr>
            <w:tcW w:w="770" w:type="dxa"/>
          </w:tcPr>
          <w:p>
            <w:pPr>
              <w:pStyle w:val="TableParagraph"/>
              <w:ind w:left="194" w:right="0"/>
              <w:jc w:val="left"/>
              <w:rPr>
                <w:sz w:val="22"/>
              </w:rPr>
            </w:pPr>
            <w:r>
              <w:rPr>
                <w:sz w:val="22"/>
              </w:rPr>
              <w:t>2,690</w:t>
            </w:r>
          </w:p>
        </w:tc>
        <w:tc>
          <w:tcPr>
            <w:tcW w:w="1258" w:type="dxa"/>
          </w:tcPr>
          <w:p>
            <w:pPr>
              <w:pStyle w:val="TableParagraph"/>
              <w:ind w:left="458" w:right="0"/>
              <w:jc w:val="left"/>
              <w:rPr>
                <w:sz w:val="22"/>
              </w:rPr>
            </w:pPr>
            <w:r>
              <w:rPr>
                <w:sz w:val="22"/>
              </w:rPr>
              <w:t>288,304</w:t>
            </w:r>
          </w:p>
        </w:tc>
        <w:tc>
          <w:tcPr>
            <w:tcW w:w="770" w:type="dxa"/>
          </w:tcPr>
          <w:p>
            <w:pPr>
              <w:pStyle w:val="TableParagraph"/>
              <w:rPr>
                <w:sz w:val="22"/>
              </w:rPr>
            </w:pPr>
            <w:r>
              <w:rPr>
                <w:sz w:val="22"/>
              </w:rPr>
              <w:t>1,640</w:t>
            </w:r>
          </w:p>
        </w:tc>
        <w:tc>
          <w:tcPr>
            <w:tcW w:w="1291" w:type="dxa"/>
          </w:tcPr>
          <w:p>
            <w:pPr>
              <w:pStyle w:val="TableParagraph"/>
              <w:rPr>
                <w:sz w:val="22"/>
              </w:rPr>
            </w:pPr>
            <w:r>
              <w:rPr>
                <w:sz w:val="22"/>
              </w:rPr>
              <w:t>-98,218</w:t>
            </w:r>
          </w:p>
        </w:tc>
        <w:tc>
          <w:tcPr>
            <w:tcW w:w="1728" w:type="dxa"/>
          </w:tcPr>
          <w:p>
            <w:pPr>
              <w:pStyle w:val="TableParagraph"/>
              <w:rPr>
                <w:sz w:val="22"/>
              </w:rPr>
            </w:pPr>
            <w:r>
              <w:rPr>
                <w:sz w:val="22"/>
              </w:rPr>
              <w:t>-0,00925802</w:t>
            </w:r>
          </w:p>
        </w:tc>
      </w:tr>
      <w:tr>
        <w:trPr>
          <w:trHeight w:val="310" w:hRule="exact"/>
        </w:trPr>
        <w:tc>
          <w:tcPr>
            <w:tcW w:w="970" w:type="dxa"/>
          </w:tcPr>
          <w:p>
            <w:pPr>
              <w:pStyle w:val="TableParagraph"/>
              <w:ind w:left="1" w:right="0"/>
              <w:jc w:val="center"/>
              <w:rPr>
                <w:sz w:val="22"/>
              </w:rPr>
            </w:pPr>
            <w:r>
              <w:rPr>
                <w:w w:val="100"/>
                <w:sz w:val="22"/>
              </w:rPr>
              <w:t>2</w:t>
            </w:r>
          </w:p>
        </w:tc>
        <w:tc>
          <w:tcPr>
            <w:tcW w:w="934" w:type="dxa"/>
          </w:tcPr>
          <w:p>
            <w:pPr>
              <w:pStyle w:val="TableParagraph"/>
              <w:ind w:right="63"/>
              <w:rPr>
                <w:sz w:val="22"/>
              </w:rPr>
            </w:pPr>
            <w:r>
              <w:rPr>
                <w:sz w:val="22"/>
              </w:rPr>
              <w:t>121,03</w:t>
            </w:r>
          </w:p>
        </w:tc>
        <w:tc>
          <w:tcPr>
            <w:tcW w:w="528" w:type="dxa"/>
          </w:tcPr>
          <w:p>
            <w:pPr>
              <w:pStyle w:val="TableParagraph"/>
              <w:rPr>
                <w:sz w:val="22"/>
              </w:rPr>
            </w:pPr>
            <w:r>
              <w:rPr>
                <w:sz w:val="22"/>
              </w:rPr>
              <w:t>81</w:t>
            </w:r>
          </w:p>
        </w:tc>
        <w:tc>
          <w:tcPr>
            <w:tcW w:w="770" w:type="dxa"/>
          </w:tcPr>
          <w:p>
            <w:pPr>
              <w:pStyle w:val="TableParagraph"/>
              <w:ind w:left="194" w:right="0"/>
              <w:jc w:val="left"/>
              <w:rPr>
                <w:sz w:val="22"/>
              </w:rPr>
            </w:pPr>
            <w:r>
              <w:rPr>
                <w:sz w:val="22"/>
              </w:rPr>
              <w:t>1,653</w:t>
            </w:r>
          </w:p>
        </w:tc>
        <w:tc>
          <w:tcPr>
            <w:tcW w:w="770" w:type="dxa"/>
          </w:tcPr>
          <w:p>
            <w:pPr>
              <w:pStyle w:val="TableParagraph"/>
              <w:ind w:left="194" w:right="0"/>
              <w:jc w:val="left"/>
              <w:rPr>
                <w:sz w:val="22"/>
              </w:rPr>
            </w:pPr>
            <w:r>
              <w:rPr>
                <w:sz w:val="22"/>
              </w:rPr>
              <w:t>1,791</w:t>
            </w:r>
          </w:p>
        </w:tc>
        <w:tc>
          <w:tcPr>
            <w:tcW w:w="1258" w:type="dxa"/>
          </w:tcPr>
          <w:p>
            <w:pPr>
              <w:pStyle w:val="TableParagraph"/>
              <w:ind w:left="458" w:right="0"/>
              <w:jc w:val="left"/>
              <w:rPr>
                <w:sz w:val="22"/>
              </w:rPr>
            </w:pPr>
            <w:r>
              <w:rPr>
                <w:sz w:val="22"/>
              </w:rPr>
              <w:t>200,103</w:t>
            </w:r>
          </w:p>
        </w:tc>
        <w:tc>
          <w:tcPr>
            <w:tcW w:w="770" w:type="dxa"/>
          </w:tcPr>
          <w:p>
            <w:pPr>
              <w:pStyle w:val="TableParagraph"/>
              <w:rPr>
                <w:sz w:val="22"/>
              </w:rPr>
            </w:pPr>
            <w:r>
              <w:rPr>
                <w:sz w:val="22"/>
              </w:rPr>
              <w:t>1,338</w:t>
            </w:r>
          </w:p>
        </w:tc>
        <w:tc>
          <w:tcPr>
            <w:tcW w:w="1291" w:type="dxa"/>
          </w:tcPr>
          <w:p>
            <w:pPr>
              <w:pStyle w:val="TableParagraph"/>
              <w:rPr>
                <w:sz w:val="22"/>
              </w:rPr>
            </w:pPr>
            <w:r>
              <w:rPr>
                <w:sz w:val="22"/>
              </w:rPr>
              <w:t>107,277</w:t>
            </w:r>
          </w:p>
        </w:tc>
        <w:tc>
          <w:tcPr>
            <w:tcW w:w="1728" w:type="dxa"/>
          </w:tcPr>
          <w:p>
            <w:pPr>
              <w:pStyle w:val="TableParagraph"/>
              <w:rPr>
                <w:sz w:val="22"/>
              </w:rPr>
            </w:pPr>
            <w:r>
              <w:rPr>
                <w:sz w:val="22"/>
              </w:rPr>
              <w:t>0,01011192</w:t>
            </w:r>
          </w:p>
        </w:tc>
      </w:tr>
      <w:tr>
        <w:trPr>
          <w:trHeight w:val="310" w:hRule="exact"/>
        </w:trPr>
        <w:tc>
          <w:tcPr>
            <w:tcW w:w="970" w:type="dxa"/>
          </w:tcPr>
          <w:p>
            <w:pPr>
              <w:pStyle w:val="TableParagraph"/>
              <w:ind w:left="1" w:right="0"/>
              <w:jc w:val="center"/>
              <w:rPr>
                <w:sz w:val="22"/>
              </w:rPr>
            </w:pPr>
            <w:r>
              <w:rPr>
                <w:w w:val="100"/>
                <w:sz w:val="22"/>
              </w:rPr>
              <w:t>3</w:t>
            </w:r>
          </w:p>
        </w:tc>
        <w:tc>
          <w:tcPr>
            <w:tcW w:w="934" w:type="dxa"/>
          </w:tcPr>
          <w:p>
            <w:pPr>
              <w:pStyle w:val="TableParagraph"/>
              <w:ind w:right="63"/>
              <w:rPr>
                <w:sz w:val="22"/>
              </w:rPr>
            </w:pPr>
            <w:r>
              <w:rPr>
                <w:sz w:val="22"/>
              </w:rPr>
              <w:t>130,21</w:t>
            </w:r>
          </w:p>
        </w:tc>
        <w:tc>
          <w:tcPr>
            <w:tcW w:w="528" w:type="dxa"/>
          </w:tcPr>
          <w:p>
            <w:pPr>
              <w:pStyle w:val="TableParagraph"/>
              <w:rPr>
                <w:sz w:val="22"/>
              </w:rPr>
            </w:pPr>
            <w:r>
              <w:rPr>
                <w:sz w:val="22"/>
              </w:rPr>
              <w:t>77</w:t>
            </w:r>
          </w:p>
        </w:tc>
        <w:tc>
          <w:tcPr>
            <w:tcW w:w="770" w:type="dxa"/>
          </w:tcPr>
          <w:p>
            <w:pPr>
              <w:pStyle w:val="TableParagraph"/>
              <w:ind w:left="194" w:right="0"/>
              <w:jc w:val="left"/>
              <w:rPr>
                <w:sz w:val="22"/>
              </w:rPr>
            </w:pPr>
            <w:r>
              <w:rPr>
                <w:sz w:val="22"/>
              </w:rPr>
              <w:t>0,948</w:t>
            </w:r>
          </w:p>
        </w:tc>
        <w:tc>
          <w:tcPr>
            <w:tcW w:w="770" w:type="dxa"/>
          </w:tcPr>
          <w:p>
            <w:pPr>
              <w:pStyle w:val="TableParagraph"/>
              <w:ind w:left="194" w:right="0"/>
              <w:jc w:val="left"/>
              <w:rPr>
                <w:sz w:val="22"/>
              </w:rPr>
            </w:pPr>
            <w:r>
              <w:rPr>
                <w:sz w:val="22"/>
              </w:rPr>
              <w:t>0,278</w:t>
            </w:r>
          </w:p>
        </w:tc>
        <w:tc>
          <w:tcPr>
            <w:tcW w:w="1258" w:type="dxa"/>
          </w:tcPr>
          <w:p>
            <w:pPr>
              <w:pStyle w:val="TableParagraph"/>
              <w:ind w:left="458" w:right="0"/>
              <w:jc w:val="left"/>
              <w:rPr>
                <w:sz w:val="22"/>
              </w:rPr>
            </w:pPr>
            <w:r>
              <w:rPr>
                <w:sz w:val="22"/>
              </w:rPr>
              <w:t>123,425</w:t>
            </w:r>
          </w:p>
        </w:tc>
        <w:tc>
          <w:tcPr>
            <w:tcW w:w="770" w:type="dxa"/>
          </w:tcPr>
          <w:p>
            <w:pPr>
              <w:pStyle w:val="TableParagraph"/>
              <w:rPr>
                <w:sz w:val="22"/>
              </w:rPr>
            </w:pPr>
            <w:r>
              <w:rPr>
                <w:sz w:val="22"/>
              </w:rPr>
              <w:t>0,527</w:t>
            </w:r>
          </w:p>
        </w:tc>
        <w:tc>
          <w:tcPr>
            <w:tcW w:w="1291" w:type="dxa"/>
          </w:tcPr>
          <w:p>
            <w:pPr>
              <w:pStyle w:val="TableParagraph"/>
              <w:rPr>
                <w:sz w:val="22"/>
              </w:rPr>
            </w:pPr>
            <w:r>
              <w:rPr>
                <w:sz w:val="22"/>
              </w:rPr>
              <w:t>25,376</w:t>
            </w:r>
          </w:p>
        </w:tc>
        <w:tc>
          <w:tcPr>
            <w:tcW w:w="1728" w:type="dxa"/>
          </w:tcPr>
          <w:p>
            <w:pPr>
              <w:pStyle w:val="TableParagraph"/>
              <w:rPr>
                <w:sz w:val="22"/>
              </w:rPr>
            </w:pPr>
            <w:r>
              <w:rPr>
                <w:sz w:val="22"/>
              </w:rPr>
              <w:t>0,00239192</w:t>
            </w:r>
          </w:p>
        </w:tc>
      </w:tr>
      <w:tr>
        <w:trPr>
          <w:trHeight w:val="310" w:hRule="exact"/>
        </w:trPr>
        <w:tc>
          <w:tcPr>
            <w:tcW w:w="970" w:type="dxa"/>
          </w:tcPr>
          <w:p>
            <w:pPr>
              <w:pStyle w:val="TableParagraph"/>
              <w:ind w:left="1" w:right="0"/>
              <w:jc w:val="center"/>
              <w:rPr>
                <w:sz w:val="22"/>
              </w:rPr>
            </w:pPr>
            <w:r>
              <w:rPr>
                <w:w w:val="100"/>
                <w:sz w:val="22"/>
              </w:rPr>
              <w:t>4</w:t>
            </w:r>
          </w:p>
        </w:tc>
        <w:tc>
          <w:tcPr>
            <w:tcW w:w="934" w:type="dxa"/>
          </w:tcPr>
          <w:p>
            <w:pPr>
              <w:pStyle w:val="TableParagraph"/>
              <w:ind w:right="63"/>
              <w:rPr>
                <w:sz w:val="22"/>
              </w:rPr>
            </w:pPr>
            <w:r>
              <w:rPr>
                <w:sz w:val="22"/>
              </w:rPr>
              <w:t>155,12</w:t>
            </w:r>
          </w:p>
        </w:tc>
        <w:tc>
          <w:tcPr>
            <w:tcW w:w="528" w:type="dxa"/>
          </w:tcPr>
          <w:p>
            <w:pPr>
              <w:pStyle w:val="TableParagraph"/>
              <w:rPr>
                <w:sz w:val="22"/>
              </w:rPr>
            </w:pPr>
            <w:r>
              <w:rPr>
                <w:sz w:val="22"/>
              </w:rPr>
              <w:t>92</w:t>
            </w:r>
          </w:p>
        </w:tc>
        <w:tc>
          <w:tcPr>
            <w:tcW w:w="770" w:type="dxa"/>
          </w:tcPr>
          <w:p>
            <w:pPr>
              <w:pStyle w:val="TableParagraph"/>
              <w:ind w:left="194" w:right="0"/>
              <w:jc w:val="left"/>
              <w:rPr>
                <w:sz w:val="22"/>
              </w:rPr>
            </w:pPr>
            <w:r>
              <w:rPr>
                <w:sz w:val="22"/>
              </w:rPr>
              <w:t>0,668</w:t>
            </w:r>
          </w:p>
        </w:tc>
        <w:tc>
          <w:tcPr>
            <w:tcW w:w="770" w:type="dxa"/>
          </w:tcPr>
          <w:p>
            <w:pPr>
              <w:pStyle w:val="TableParagraph"/>
              <w:ind w:left="194" w:right="0"/>
              <w:jc w:val="left"/>
              <w:rPr>
                <w:sz w:val="22"/>
              </w:rPr>
            </w:pPr>
            <w:r>
              <w:rPr>
                <w:sz w:val="22"/>
              </w:rPr>
              <w:t>0,086</w:t>
            </w:r>
          </w:p>
        </w:tc>
        <w:tc>
          <w:tcPr>
            <w:tcW w:w="1258" w:type="dxa"/>
          </w:tcPr>
          <w:p>
            <w:pPr>
              <w:pStyle w:val="TableParagraph"/>
              <w:ind w:left="458" w:right="0"/>
              <w:jc w:val="left"/>
              <w:rPr>
                <w:sz w:val="22"/>
              </w:rPr>
            </w:pPr>
            <w:r>
              <w:rPr>
                <w:sz w:val="22"/>
              </w:rPr>
              <w:t>103,565</w:t>
            </w:r>
          </w:p>
        </w:tc>
        <w:tc>
          <w:tcPr>
            <w:tcW w:w="770" w:type="dxa"/>
          </w:tcPr>
          <w:p>
            <w:pPr>
              <w:pStyle w:val="TableParagraph"/>
              <w:rPr>
                <w:sz w:val="22"/>
              </w:rPr>
            </w:pPr>
            <w:r>
              <w:rPr>
                <w:sz w:val="22"/>
              </w:rPr>
              <w:t>0,294</w:t>
            </w:r>
          </w:p>
        </w:tc>
        <w:tc>
          <w:tcPr>
            <w:tcW w:w="1291" w:type="dxa"/>
          </w:tcPr>
          <w:p>
            <w:pPr>
              <w:pStyle w:val="TableParagraph"/>
              <w:rPr>
                <w:sz w:val="22"/>
              </w:rPr>
            </w:pPr>
            <w:r>
              <w:rPr>
                <w:sz w:val="22"/>
              </w:rPr>
              <w:t>9,225</w:t>
            </w:r>
          </w:p>
        </w:tc>
        <w:tc>
          <w:tcPr>
            <w:tcW w:w="1728" w:type="dxa"/>
          </w:tcPr>
          <w:p>
            <w:pPr>
              <w:pStyle w:val="TableParagraph"/>
              <w:rPr>
                <w:sz w:val="22"/>
              </w:rPr>
            </w:pPr>
            <w:r>
              <w:rPr>
                <w:sz w:val="22"/>
              </w:rPr>
              <w:t>0,00086957</w:t>
            </w:r>
          </w:p>
        </w:tc>
      </w:tr>
      <w:tr>
        <w:trPr>
          <w:trHeight w:val="310" w:hRule="exact"/>
        </w:trPr>
        <w:tc>
          <w:tcPr>
            <w:tcW w:w="970" w:type="dxa"/>
          </w:tcPr>
          <w:p>
            <w:pPr>
              <w:pStyle w:val="TableParagraph"/>
              <w:spacing w:before="30"/>
              <w:ind w:left="1" w:right="0"/>
              <w:jc w:val="center"/>
              <w:rPr>
                <w:sz w:val="22"/>
              </w:rPr>
            </w:pPr>
            <w:r>
              <w:rPr>
                <w:w w:val="100"/>
                <w:sz w:val="22"/>
              </w:rPr>
              <w:t>5</w:t>
            </w:r>
          </w:p>
        </w:tc>
        <w:tc>
          <w:tcPr>
            <w:tcW w:w="934" w:type="dxa"/>
          </w:tcPr>
          <w:p>
            <w:pPr>
              <w:pStyle w:val="TableParagraph"/>
              <w:spacing w:before="30"/>
              <w:ind w:right="63"/>
              <w:rPr>
                <w:sz w:val="22"/>
              </w:rPr>
            </w:pPr>
            <w:r>
              <w:rPr>
                <w:sz w:val="22"/>
              </w:rPr>
              <w:t>180,21</w:t>
            </w:r>
          </w:p>
        </w:tc>
        <w:tc>
          <w:tcPr>
            <w:tcW w:w="528" w:type="dxa"/>
          </w:tcPr>
          <w:p>
            <w:pPr>
              <w:pStyle w:val="TableParagraph"/>
              <w:spacing w:before="30"/>
              <w:rPr>
                <w:sz w:val="22"/>
              </w:rPr>
            </w:pPr>
            <w:r>
              <w:rPr>
                <w:sz w:val="22"/>
              </w:rPr>
              <w:t>132</w:t>
            </w:r>
          </w:p>
        </w:tc>
        <w:tc>
          <w:tcPr>
            <w:tcW w:w="770" w:type="dxa"/>
          </w:tcPr>
          <w:p>
            <w:pPr>
              <w:pStyle w:val="TableParagraph"/>
              <w:spacing w:before="30"/>
              <w:ind w:left="194" w:right="0"/>
              <w:jc w:val="left"/>
              <w:rPr>
                <w:sz w:val="22"/>
              </w:rPr>
            </w:pPr>
            <w:r>
              <w:rPr>
                <w:sz w:val="22"/>
              </w:rPr>
              <w:t>1,407</w:t>
            </w:r>
          </w:p>
        </w:tc>
        <w:tc>
          <w:tcPr>
            <w:tcW w:w="770" w:type="dxa"/>
          </w:tcPr>
          <w:p>
            <w:pPr>
              <w:pStyle w:val="TableParagraph"/>
              <w:spacing w:before="30"/>
              <w:ind w:left="194" w:right="0"/>
              <w:jc w:val="left"/>
              <w:rPr>
                <w:sz w:val="22"/>
              </w:rPr>
            </w:pPr>
            <w:r>
              <w:rPr>
                <w:sz w:val="22"/>
              </w:rPr>
              <w:t>1,670</w:t>
            </w:r>
          </w:p>
        </w:tc>
        <w:tc>
          <w:tcPr>
            <w:tcW w:w="1258" w:type="dxa"/>
          </w:tcPr>
          <w:p>
            <w:pPr>
              <w:pStyle w:val="TableParagraph"/>
              <w:spacing w:before="30"/>
              <w:ind w:left="458" w:right="0"/>
              <w:jc w:val="left"/>
              <w:rPr>
                <w:sz w:val="22"/>
              </w:rPr>
            </w:pPr>
            <w:r>
              <w:rPr>
                <w:sz w:val="22"/>
              </w:rPr>
              <w:t>253,596</w:t>
            </w:r>
          </w:p>
        </w:tc>
        <w:tc>
          <w:tcPr>
            <w:tcW w:w="770" w:type="dxa"/>
          </w:tcPr>
          <w:p>
            <w:pPr>
              <w:pStyle w:val="TableParagraph"/>
              <w:spacing w:before="30"/>
              <w:rPr>
                <w:sz w:val="22"/>
              </w:rPr>
            </w:pPr>
            <w:r>
              <w:rPr>
                <w:sz w:val="22"/>
              </w:rPr>
              <w:t>1,292</w:t>
            </w:r>
          </w:p>
        </w:tc>
        <w:tc>
          <w:tcPr>
            <w:tcW w:w="1291" w:type="dxa"/>
          </w:tcPr>
          <w:p>
            <w:pPr>
              <w:pStyle w:val="TableParagraph"/>
              <w:spacing w:before="30"/>
              <w:rPr>
                <w:sz w:val="22"/>
              </w:rPr>
            </w:pPr>
            <w:r>
              <w:rPr>
                <w:sz w:val="22"/>
              </w:rPr>
              <w:t>109,809</w:t>
            </w:r>
          </w:p>
        </w:tc>
        <w:tc>
          <w:tcPr>
            <w:tcW w:w="1728" w:type="dxa"/>
          </w:tcPr>
          <w:p>
            <w:pPr>
              <w:pStyle w:val="TableParagraph"/>
              <w:spacing w:before="30"/>
              <w:rPr>
                <w:sz w:val="22"/>
              </w:rPr>
            </w:pPr>
            <w:r>
              <w:rPr>
                <w:sz w:val="22"/>
              </w:rPr>
              <w:t>0,01035058</w:t>
            </w:r>
          </w:p>
        </w:tc>
      </w:tr>
      <w:tr>
        <w:trPr>
          <w:trHeight w:val="312" w:hRule="exact"/>
        </w:trPr>
        <w:tc>
          <w:tcPr>
            <w:tcW w:w="970" w:type="dxa"/>
          </w:tcPr>
          <w:p>
            <w:pPr>
              <w:pStyle w:val="TableParagraph"/>
              <w:spacing w:before="30"/>
              <w:ind w:right="1"/>
              <w:jc w:val="center"/>
              <w:rPr>
                <w:sz w:val="22"/>
              </w:rPr>
            </w:pPr>
            <w:r>
              <w:rPr>
                <w:w w:val="100"/>
                <w:sz w:val="22"/>
              </w:rPr>
              <w:t>N</w:t>
            </w:r>
          </w:p>
        </w:tc>
        <w:tc>
          <w:tcPr>
            <w:tcW w:w="934" w:type="dxa"/>
          </w:tcPr>
          <w:p>
            <w:pPr>
              <w:pStyle w:val="TableParagraph"/>
              <w:spacing w:before="30"/>
              <w:ind w:right="63"/>
              <w:rPr>
                <w:sz w:val="22"/>
              </w:rPr>
            </w:pPr>
            <w:r>
              <w:rPr>
                <w:sz w:val="22"/>
              </w:rPr>
              <w:t>695,17</w:t>
            </w:r>
          </w:p>
        </w:tc>
        <w:tc>
          <w:tcPr>
            <w:tcW w:w="528" w:type="dxa"/>
          </w:tcPr>
          <w:p>
            <w:pPr/>
          </w:p>
        </w:tc>
        <w:tc>
          <w:tcPr>
            <w:tcW w:w="770" w:type="dxa"/>
          </w:tcPr>
          <w:p>
            <w:pPr/>
          </w:p>
        </w:tc>
        <w:tc>
          <w:tcPr>
            <w:tcW w:w="770" w:type="dxa"/>
          </w:tcPr>
          <w:p>
            <w:pPr>
              <w:pStyle w:val="TableParagraph"/>
              <w:spacing w:before="18"/>
              <w:ind w:left="213"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58" w:type="dxa"/>
          </w:tcPr>
          <w:p>
            <w:pPr>
              <w:pStyle w:val="TableParagraph"/>
              <w:spacing w:before="30"/>
              <w:ind w:left="458" w:right="0"/>
              <w:jc w:val="left"/>
              <w:rPr>
                <w:sz w:val="22"/>
              </w:rPr>
            </w:pPr>
            <w:r>
              <w:rPr>
                <w:sz w:val="22"/>
              </w:rPr>
              <w:t>968,994</w:t>
            </w:r>
          </w:p>
        </w:tc>
        <w:tc>
          <w:tcPr>
            <w:tcW w:w="770" w:type="dxa"/>
          </w:tcPr>
          <w:p>
            <w:pPr/>
          </w:p>
        </w:tc>
        <w:tc>
          <w:tcPr>
            <w:tcW w:w="1291" w:type="dxa"/>
          </w:tcPr>
          <w:p>
            <w:pPr>
              <w:pStyle w:val="TableParagraph"/>
              <w:spacing w:before="30"/>
              <w:rPr>
                <w:sz w:val="22"/>
              </w:rPr>
            </w:pPr>
            <w:r>
              <w:rPr>
                <w:sz w:val="22"/>
              </w:rPr>
              <w:t>153,469</w:t>
            </w:r>
          </w:p>
        </w:tc>
        <w:tc>
          <w:tcPr>
            <w:tcW w:w="1728" w:type="dxa"/>
          </w:tcPr>
          <w:p>
            <w:pPr>
              <w:pStyle w:val="TableParagraph"/>
              <w:spacing w:before="30"/>
              <w:rPr>
                <w:sz w:val="22"/>
              </w:rPr>
            </w:pPr>
            <w:r>
              <w:rPr>
                <w:sz w:val="22"/>
              </w:rPr>
              <w:t>0,01446597</w:t>
            </w:r>
          </w:p>
        </w:tc>
      </w:tr>
      <w:tr>
        <w:trPr>
          <w:trHeight w:val="310" w:hRule="exact"/>
        </w:trPr>
        <w:tc>
          <w:tcPr>
            <w:tcW w:w="5230" w:type="dxa"/>
            <w:gridSpan w:val="6"/>
            <w:vMerge w:val="restart"/>
            <w:tcBorders>
              <w:left w:val="nil"/>
            </w:tcBorders>
          </w:tcPr>
          <w:p>
            <w:pPr/>
          </w:p>
        </w:tc>
        <w:tc>
          <w:tcPr>
            <w:tcW w:w="2062"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728" w:type="dxa"/>
          </w:tcPr>
          <w:p>
            <w:pPr>
              <w:pStyle w:val="TableParagraph"/>
              <w:rPr>
                <w:b/>
                <w:sz w:val="22"/>
              </w:rPr>
            </w:pPr>
            <w:r>
              <w:rPr>
                <w:b/>
                <w:sz w:val="22"/>
              </w:rPr>
              <w:t>1,394</w:t>
            </w:r>
          </w:p>
        </w:tc>
      </w:tr>
      <w:tr>
        <w:trPr>
          <w:trHeight w:val="310" w:hRule="exact"/>
        </w:trPr>
        <w:tc>
          <w:tcPr>
            <w:tcW w:w="5230" w:type="dxa"/>
            <w:gridSpan w:val="6"/>
            <w:vMerge/>
            <w:tcBorders>
              <w:left w:val="nil"/>
            </w:tcBorders>
          </w:tcPr>
          <w:p>
            <w:pPr/>
          </w:p>
        </w:tc>
        <w:tc>
          <w:tcPr>
            <w:tcW w:w="2062" w:type="dxa"/>
            <w:gridSpan w:val="2"/>
          </w:tcPr>
          <w:p>
            <w:pPr>
              <w:pStyle w:val="TableParagraph"/>
              <w:spacing w:before="13"/>
              <w:ind w:left="64" w:right="0"/>
              <w:jc w:val="left"/>
              <w:rPr>
                <w:sz w:val="22"/>
              </w:rPr>
            </w:pPr>
            <w:r>
              <w:rPr>
                <w:sz w:val="22"/>
              </w:rPr>
              <w:t>Desviación estándar</w:t>
            </w:r>
          </w:p>
        </w:tc>
        <w:tc>
          <w:tcPr>
            <w:tcW w:w="1728" w:type="dxa"/>
          </w:tcPr>
          <w:p>
            <w:pPr>
              <w:pStyle w:val="TableParagraph"/>
              <w:rPr>
                <w:b/>
                <w:sz w:val="22"/>
              </w:rPr>
            </w:pPr>
            <w:r>
              <w:rPr>
                <w:b/>
                <w:sz w:val="22"/>
              </w:rPr>
              <w:t>0,120</w:t>
            </w:r>
          </w:p>
        </w:tc>
      </w:tr>
      <w:tr>
        <w:trPr>
          <w:trHeight w:val="310" w:hRule="exact"/>
        </w:trPr>
        <w:tc>
          <w:tcPr>
            <w:tcW w:w="5230" w:type="dxa"/>
            <w:gridSpan w:val="6"/>
            <w:vMerge/>
            <w:tcBorders>
              <w:left w:val="nil"/>
            </w:tcBorders>
          </w:tcPr>
          <w:p>
            <w:pPr/>
          </w:p>
        </w:tc>
        <w:tc>
          <w:tcPr>
            <w:tcW w:w="2062" w:type="dxa"/>
            <w:gridSpan w:val="2"/>
            <w:vMerge w:val="restart"/>
          </w:tcPr>
          <w:p>
            <w:pPr>
              <w:pStyle w:val="TableParagraph"/>
              <w:spacing w:before="33"/>
              <w:ind w:left="64" w:right="427"/>
              <w:jc w:val="left"/>
              <w:rPr>
                <w:sz w:val="22"/>
              </w:rPr>
            </w:pPr>
            <w:r>
              <w:rPr>
                <w:sz w:val="22"/>
              </w:rPr>
              <w:t>Intervalo de confianza al 95 %</w:t>
            </w:r>
          </w:p>
        </w:tc>
        <w:tc>
          <w:tcPr>
            <w:tcW w:w="1728" w:type="dxa"/>
          </w:tcPr>
          <w:p>
            <w:pPr>
              <w:pStyle w:val="TableParagraph"/>
              <w:rPr>
                <w:sz w:val="22"/>
              </w:rPr>
            </w:pPr>
            <w:r>
              <w:rPr>
                <w:sz w:val="22"/>
              </w:rPr>
              <w:t>1,16</w:t>
            </w:r>
          </w:p>
        </w:tc>
      </w:tr>
      <w:tr>
        <w:trPr>
          <w:trHeight w:val="310" w:hRule="exact"/>
        </w:trPr>
        <w:tc>
          <w:tcPr>
            <w:tcW w:w="5230" w:type="dxa"/>
            <w:gridSpan w:val="6"/>
            <w:vMerge/>
            <w:tcBorders>
              <w:left w:val="nil"/>
              <w:bottom w:val="nil"/>
            </w:tcBorders>
          </w:tcPr>
          <w:p>
            <w:pPr/>
          </w:p>
        </w:tc>
        <w:tc>
          <w:tcPr>
            <w:tcW w:w="2062" w:type="dxa"/>
            <w:gridSpan w:val="2"/>
            <w:vMerge/>
          </w:tcPr>
          <w:p>
            <w:pPr/>
          </w:p>
        </w:tc>
        <w:tc>
          <w:tcPr>
            <w:tcW w:w="1728" w:type="dxa"/>
          </w:tcPr>
          <w:p>
            <w:pPr>
              <w:pStyle w:val="TableParagraph"/>
              <w:rPr>
                <w:sz w:val="22"/>
              </w:rPr>
            </w:pPr>
            <w:r>
              <w:rPr>
                <w:sz w:val="22"/>
              </w:rPr>
              <w:t>1,63</w:t>
            </w:r>
          </w:p>
        </w:tc>
      </w:tr>
    </w:tbl>
    <w:p>
      <w:pPr>
        <w:spacing w:after="0"/>
        <w:rPr>
          <w:sz w:val="22"/>
        </w:rPr>
        <w:sectPr>
          <w:pgSz w:w="12240" w:h="15840"/>
          <w:pgMar w:header="725" w:footer="1084" w:top="1340" w:bottom="1280" w:left="920" w:right="1200"/>
        </w:sectPr>
      </w:pPr>
    </w:p>
    <w:p>
      <w:pPr>
        <w:pStyle w:val="BodyText"/>
        <w:spacing w:before="5"/>
        <w:rPr>
          <w:rFonts w:ascii="Times New Roman"/>
          <w:sz w:val="9"/>
        </w:rPr>
      </w:pPr>
    </w:p>
    <w:p>
      <w:pPr>
        <w:spacing w:before="65" w:after="3"/>
        <w:ind w:left="867" w:right="589" w:firstLine="0"/>
        <w:jc w:val="center"/>
        <w:rPr>
          <w:b/>
          <w:sz w:val="28"/>
        </w:rPr>
      </w:pPr>
      <w:r>
        <w:rPr>
          <w:b/>
          <w:sz w:val="28"/>
        </w:rPr>
        <w:t>pH</w:t>
      </w: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9"/>
        <w:gridCol w:w="883"/>
        <w:gridCol w:w="499"/>
        <w:gridCol w:w="730"/>
        <w:gridCol w:w="730"/>
        <w:gridCol w:w="1190"/>
        <w:gridCol w:w="730"/>
        <w:gridCol w:w="1222"/>
        <w:gridCol w:w="1637"/>
      </w:tblGrid>
      <w:tr>
        <w:trPr>
          <w:trHeight w:val="310" w:hRule="exact"/>
        </w:trPr>
        <w:tc>
          <w:tcPr>
            <w:tcW w:w="8539" w:type="dxa"/>
            <w:gridSpan w:val="9"/>
          </w:tcPr>
          <w:p>
            <w:pPr>
              <w:pStyle w:val="TableParagraph"/>
              <w:ind w:left="3295" w:right="3295"/>
              <w:jc w:val="center"/>
              <w:rPr>
                <w:sz w:val="22"/>
              </w:rPr>
            </w:pPr>
            <w:r>
              <w:rPr>
                <w:sz w:val="22"/>
              </w:rPr>
              <w:t>Punto de muestreo A</w:t>
            </w:r>
          </w:p>
        </w:tc>
      </w:tr>
      <w:tr>
        <w:trPr>
          <w:trHeight w:val="310" w:hRule="exact"/>
        </w:trPr>
        <w:tc>
          <w:tcPr>
            <w:tcW w:w="919" w:type="dxa"/>
          </w:tcPr>
          <w:p>
            <w:pPr>
              <w:pStyle w:val="TableParagraph"/>
              <w:spacing w:before="13"/>
              <w:ind w:left="114" w:right="115"/>
              <w:jc w:val="center"/>
              <w:rPr>
                <w:sz w:val="22"/>
              </w:rPr>
            </w:pPr>
            <w:r>
              <w:rPr>
                <w:sz w:val="22"/>
              </w:rPr>
              <w:t>Estrato</w:t>
            </w:r>
          </w:p>
        </w:tc>
        <w:tc>
          <w:tcPr>
            <w:tcW w:w="883" w:type="dxa"/>
          </w:tcPr>
          <w:p>
            <w:pPr>
              <w:pStyle w:val="TableParagraph"/>
              <w:spacing w:before="43"/>
              <w:ind w:left="36" w:right="47"/>
              <w:jc w:val="center"/>
              <w:rPr>
                <w:rFonts w:ascii="Cambria Math"/>
                <w:sz w:val="16"/>
              </w:rPr>
            </w:pPr>
            <w:r>
              <w:rPr>
                <w:rFonts w:ascii="Cambria Math"/>
                <w:w w:val="110"/>
                <w:sz w:val="22"/>
              </w:rPr>
              <w:t>N</w:t>
            </w:r>
            <w:r>
              <w:rPr>
                <w:rFonts w:ascii="Cambria Math"/>
                <w:w w:val="110"/>
                <w:position w:val="-4"/>
                <w:sz w:val="16"/>
              </w:rPr>
              <w:t>h</w:t>
            </w:r>
          </w:p>
        </w:tc>
        <w:tc>
          <w:tcPr>
            <w:tcW w:w="499"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730" w:type="dxa"/>
          </w:tcPr>
          <w:p>
            <w:pPr>
              <w:pStyle w:val="TableParagraph"/>
              <w:spacing w:before="43"/>
              <w:ind w:left="34"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30" w:type="dxa"/>
          </w:tcPr>
          <w:p>
            <w:pPr>
              <w:pStyle w:val="TableParagraph"/>
              <w:spacing w:line="214" w:lineRule="exact" w:before="6"/>
              <w:ind w:left="39" w:right="47"/>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190" w:type="dxa"/>
          </w:tcPr>
          <w:p>
            <w:pPr>
              <w:pStyle w:val="TableParagraph"/>
              <w:spacing w:before="19"/>
              <w:ind w:left="471" w:right="48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30"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222" w:type="dxa"/>
          </w:tcPr>
          <w:p>
            <w:pPr>
              <w:pStyle w:val="TableParagraph"/>
              <w:spacing w:before="0"/>
              <w:ind w:left="27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37" w:type="dxa"/>
          </w:tcPr>
          <w:p>
            <w:pPr>
              <w:pStyle w:val="TableParagraph"/>
              <w:spacing w:before="0"/>
              <w:ind w:left="46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919" w:type="dxa"/>
          </w:tcPr>
          <w:p>
            <w:pPr>
              <w:pStyle w:val="TableParagraph"/>
              <w:spacing w:before="30"/>
              <w:ind w:right="1"/>
              <w:jc w:val="center"/>
              <w:rPr>
                <w:sz w:val="22"/>
              </w:rPr>
            </w:pPr>
            <w:r>
              <w:rPr>
                <w:w w:val="100"/>
                <w:sz w:val="22"/>
              </w:rPr>
              <w:t>1</w:t>
            </w:r>
          </w:p>
        </w:tc>
        <w:tc>
          <w:tcPr>
            <w:tcW w:w="883" w:type="dxa"/>
          </w:tcPr>
          <w:p>
            <w:pPr>
              <w:pStyle w:val="TableParagraph"/>
              <w:spacing w:before="30"/>
              <w:rPr>
                <w:sz w:val="22"/>
              </w:rPr>
            </w:pPr>
            <w:r>
              <w:rPr>
                <w:sz w:val="22"/>
              </w:rPr>
              <w:t>108,60</w:t>
            </w:r>
          </w:p>
        </w:tc>
        <w:tc>
          <w:tcPr>
            <w:tcW w:w="499" w:type="dxa"/>
          </w:tcPr>
          <w:p>
            <w:pPr>
              <w:pStyle w:val="TableParagraph"/>
              <w:spacing w:before="30"/>
              <w:ind w:left="71" w:right="44"/>
              <w:jc w:val="center"/>
              <w:rPr>
                <w:sz w:val="22"/>
              </w:rPr>
            </w:pPr>
            <w:r>
              <w:rPr>
                <w:sz w:val="22"/>
              </w:rPr>
              <w:t>108</w:t>
            </w:r>
          </w:p>
        </w:tc>
        <w:tc>
          <w:tcPr>
            <w:tcW w:w="730" w:type="dxa"/>
          </w:tcPr>
          <w:p>
            <w:pPr>
              <w:pStyle w:val="TableParagraph"/>
              <w:spacing w:before="30"/>
              <w:ind w:right="63"/>
              <w:rPr>
                <w:sz w:val="22"/>
              </w:rPr>
            </w:pPr>
            <w:r>
              <w:rPr>
                <w:sz w:val="22"/>
              </w:rPr>
              <w:t>6,813</w:t>
            </w:r>
          </w:p>
        </w:tc>
        <w:tc>
          <w:tcPr>
            <w:tcW w:w="730" w:type="dxa"/>
          </w:tcPr>
          <w:p>
            <w:pPr>
              <w:pStyle w:val="TableParagraph"/>
              <w:spacing w:before="30"/>
              <w:ind w:left="151" w:right="0"/>
              <w:jc w:val="left"/>
              <w:rPr>
                <w:sz w:val="22"/>
              </w:rPr>
            </w:pPr>
            <w:r>
              <w:rPr>
                <w:sz w:val="22"/>
              </w:rPr>
              <w:t>0,192</w:t>
            </w:r>
          </w:p>
        </w:tc>
        <w:tc>
          <w:tcPr>
            <w:tcW w:w="1190" w:type="dxa"/>
          </w:tcPr>
          <w:p>
            <w:pPr>
              <w:pStyle w:val="TableParagraph"/>
              <w:spacing w:before="30"/>
              <w:rPr>
                <w:sz w:val="22"/>
              </w:rPr>
            </w:pPr>
            <w:r>
              <w:rPr>
                <w:sz w:val="22"/>
              </w:rPr>
              <w:t>739,844</w:t>
            </w:r>
          </w:p>
        </w:tc>
        <w:tc>
          <w:tcPr>
            <w:tcW w:w="730" w:type="dxa"/>
          </w:tcPr>
          <w:p>
            <w:pPr>
              <w:pStyle w:val="TableParagraph"/>
              <w:spacing w:before="30"/>
              <w:ind w:left="132" w:right="47"/>
              <w:jc w:val="center"/>
              <w:rPr>
                <w:sz w:val="22"/>
              </w:rPr>
            </w:pPr>
            <w:r>
              <w:rPr>
                <w:sz w:val="22"/>
              </w:rPr>
              <w:t>0,438</w:t>
            </w:r>
          </w:p>
        </w:tc>
        <w:tc>
          <w:tcPr>
            <w:tcW w:w="1222" w:type="dxa"/>
          </w:tcPr>
          <w:p>
            <w:pPr>
              <w:pStyle w:val="TableParagraph"/>
              <w:spacing w:before="30"/>
              <w:rPr>
                <w:sz w:val="22"/>
              </w:rPr>
            </w:pPr>
            <w:r>
              <w:rPr>
                <w:sz w:val="22"/>
              </w:rPr>
              <w:t>-7,016</w:t>
            </w:r>
          </w:p>
        </w:tc>
        <w:tc>
          <w:tcPr>
            <w:tcW w:w="1637" w:type="dxa"/>
          </w:tcPr>
          <w:p>
            <w:pPr>
              <w:pStyle w:val="TableParagraph"/>
              <w:spacing w:before="30"/>
              <w:rPr>
                <w:sz w:val="22"/>
              </w:rPr>
            </w:pPr>
            <w:r>
              <w:rPr>
                <w:sz w:val="22"/>
              </w:rPr>
              <w:t>-0,00066128</w:t>
            </w:r>
          </w:p>
        </w:tc>
      </w:tr>
      <w:tr>
        <w:trPr>
          <w:trHeight w:val="310" w:hRule="exact"/>
        </w:trPr>
        <w:tc>
          <w:tcPr>
            <w:tcW w:w="919" w:type="dxa"/>
          </w:tcPr>
          <w:p>
            <w:pPr>
              <w:pStyle w:val="TableParagraph"/>
              <w:ind w:right="1"/>
              <w:jc w:val="center"/>
              <w:rPr>
                <w:sz w:val="22"/>
              </w:rPr>
            </w:pPr>
            <w:r>
              <w:rPr>
                <w:w w:val="100"/>
                <w:sz w:val="22"/>
              </w:rPr>
              <w:t>2</w:t>
            </w:r>
          </w:p>
        </w:tc>
        <w:tc>
          <w:tcPr>
            <w:tcW w:w="883" w:type="dxa"/>
          </w:tcPr>
          <w:p>
            <w:pPr>
              <w:pStyle w:val="TableParagraph"/>
              <w:rPr>
                <w:sz w:val="22"/>
              </w:rPr>
            </w:pPr>
            <w:r>
              <w:rPr>
                <w:sz w:val="22"/>
              </w:rPr>
              <w:t>121,03</w:t>
            </w:r>
          </w:p>
        </w:tc>
        <w:tc>
          <w:tcPr>
            <w:tcW w:w="499" w:type="dxa"/>
          </w:tcPr>
          <w:p>
            <w:pPr>
              <w:pStyle w:val="TableParagraph"/>
              <w:ind w:left="182" w:right="44"/>
              <w:jc w:val="center"/>
              <w:rPr>
                <w:sz w:val="22"/>
              </w:rPr>
            </w:pPr>
            <w:r>
              <w:rPr>
                <w:sz w:val="22"/>
              </w:rPr>
              <w:t>81</w:t>
            </w:r>
          </w:p>
        </w:tc>
        <w:tc>
          <w:tcPr>
            <w:tcW w:w="730" w:type="dxa"/>
          </w:tcPr>
          <w:p>
            <w:pPr>
              <w:pStyle w:val="TableParagraph"/>
              <w:ind w:right="63"/>
              <w:rPr>
                <w:sz w:val="22"/>
              </w:rPr>
            </w:pPr>
            <w:r>
              <w:rPr>
                <w:sz w:val="22"/>
              </w:rPr>
              <w:t>6,975</w:t>
            </w:r>
          </w:p>
        </w:tc>
        <w:tc>
          <w:tcPr>
            <w:tcW w:w="730" w:type="dxa"/>
          </w:tcPr>
          <w:p>
            <w:pPr>
              <w:pStyle w:val="TableParagraph"/>
              <w:ind w:left="151" w:right="0"/>
              <w:jc w:val="left"/>
              <w:rPr>
                <w:sz w:val="22"/>
              </w:rPr>
            </w:pPr>
            <w:r>
              <w:rPr>
                <w:sz w:val="22"/>
              </w:rPr>
              <w:t>0,223</w:t>
            </w:r>
          </w:p>
        </w:tc>
        <w:tc>
          <w:tcPr>
            <w:tcW w:w="1190" w:type="dxa"/>
          </w:tcPr>
          <w:p>
            <w:pPr>
              <w:pStyle w:val="TableParagraph"/>
              <w:rPr>
                <w:sz w:val="22"/>
              </w:rPr>
            </w:pPr>
            <w:r>
              <w:rPr>
                <w:sz w:val="22"/>
              </w:rPr>
              <w:t>844,184</w:t>
            </w:r>
          </w:p>
        </w:tc>
        <w:tc>
          <w:tcPr>
            <w:tcW w:w="730" w:type="dxa"/>
          </w:tcPr>
          <w:p>
            <w:pPr>
              <w:pStyle w:val="TableParagraph"/>
              <w:ind w:left="132" w:right="47"/>
              <w:jc w:val="center"/>
              <w:rPr>
                <w:sz w:val="22"/>
              </w:rPr>
            </w:pPr>
            <w:r>
              <w:rPr>
                <w:sz w:val="22"/>
              </w:rPr>
              <w:t>0,472</w:t>
            </w:r>
          </w:p>
        </w:tc>
        <w:tc>
          <w:tcPr>
            <w:tcW w:w="1222" w:type="dxa"/>
          </w:tcPr>
          <w:p>
            <w:pPr>
              <w:pStyle w:val="TableParagraph"/>
              <w:rPr>
                <w:sz w:val="22"/>
              </w:rPr>
            </w:pPr>
            <w:r>
              <w:rPr>
                <w:sz w:val="22"/>
              </w:rPr>
              <w:t>13,349</w:t>
            </w:r>
          </w:p>
        </w:tc>
        <w:tc>
          <w:tcPr>
            <w:tcW w:w="1637" w:type="dxa"/>
          </w:tcPr>
          <w:p>
            <w:pPr>
              <w:pStyle w:val="TableParagraph"/>
              <w:rPr>
                <w:sz w:val="22"/>
              </w:rPr>
            </w:pPr>
            <w:r>
              <w:rPr>
                <w:sz w:val="22"/>
              </w:rPr>
              <w:t>0,00125826</w:t>
            </w:r>
          </w:p>
        </w:tc>
      </w:tr>
      <w:tr>
        <w:trPr>
          <w:trHeight w:val="310" w:hRule="exact"/>
        </w:trPr>
        <w:tc>
          <w:tcPr>
            <w:tcW w:w="919" w:type="dxa"/>
          </w:tcPr>
          <w:p>
            <w:pPr>
              <w:pStyle w:val="TableParagraph"/>
              <w:ind w:right="1"/>
              <w:jc w:val="center"/>
              <w:rPr>
                <w:sz w:val="22"/>
              </w:rPr>
            </w:pPr>
            <w:r>
              <w:rPr>
                <w:w w:val="100"/>
                <w:sz w:val="22"/>
              </w:rPr>
              <w:t>3</w:t>
            </w:r>
          </w:p>
        </w:tc>
        <w:tc>
          <w:tcPr>
            <w:tcW w:w="883" w:type="dxa"/>
          </w:tcPr>
          <w:p>
            <w:pPr>
              <w:pStyle w:val="TableParagraph"/>
              <w:rPr>
                <w:sz w:val="22"/>
              </w:rPr>
            </w:pPr>
            <w:r>
              <w:rPr>
                <w:sz w:val="22"/>
              </w:rPr>
              <w:t>130,21</w:t>
            </w:r>
          </w:p>
        </w:tc>
        <w:tc>
          <w:tcPr>
            <w:tcW w:w="499" w:type="dxa"/>
          </w:tcPr>
          <w:p>
            <w:pPr>
              <w:pStyle w:val="TableParagraph"/>
              <w:ind w:left="182" w:right="44"/>
              <w:jc w:val="center"/>
              <w:rPr>
                <w:sz w:val="22"/>
              </w:rPr>
            </w:pPr>
            <w:r>
              <w:rPr>
                <w:sz w:val="22"/>
              </w:rPr>
              <w:t>77</w:t>
            </w:r>
          </w:p>
        </w:tc>
        <w:tc>
          <w:tcPr>
            <w:tcW w:w="730" w:type="dxa"/>
          </w:tcPr>
          <w:p>
            <w:pPr>
              <w:pStyle w:val="TableParagraph"/>
              <w:ind w:right="63"/>
              <w:rPr>
                <w:sz w:val="22"/>
              </w:rPr>
            </w:pPr>
            <w:r>
              <w:rPr>
                <w:sz w:val="22"/>
              </w:rPr>
              <w:t>6,956</w:t>
            </w:r>
          </w:p>
        </w:tc>
        <w:tc>
          <w:tcPr>
            <w:tcW w:w="730" w:type="dxa"/>
          </w:tcPr>
          <w:p>
            <w:pPr>
              <w:pStyle w:val="TableParagraph"/>
              <w:ind w:left="151" w:right="0"/>
              <w:jc w:val="left"/>
              <w:rPr>
                <w:sz w:val="22"/>
              </w:rPr>
            </w:pPr>
            <w:r>
              <w:rPr>
                <w:sz w:val="22"/>
              </w:rPr>
              <w:t>0,180</w:t>
            </w:r>
          </w:p>
        </w:tc>
        <w:tc>
          <w:tcPr>
            <w:tcW w:w="1190" w:type="dxa"/>
          </w:tcPr>
          <w:p>
            <w:pPr>
              <w:pStyle w:val="TableParagraph"/>
              <w:rPr>
                <w:sz w:val="22"/>
              </w:rPr>
            </w:pPr>
            <w:r>
              <w:rPr>
                <w:sz w:val="22"/>
              </w:rPr>
              <w:t>905,713</w:t>
            </w:r>
          </w:p>
        </w:tc>
        <w:tc>
          <w:tcPr>
            <w:tcW w:w="730" w:type="dxa"/>
          </w:tcPr>
          <w:p>
            <w:pPr>
              <w:pStyle w:val="TableParagraph"/>
              <w:ind w:left="132" w:right="47"/>
              <w:jc w:val="center"/>
              <w:rPr>
                <w:sz w:val="22"/>
              </w:rPr>
            </w:pPr>
            <w:r>
              <w:rPr>
                <w:sz w:val="22"/>
              </w:rPr>
              <w:t>0,424</w:t>
            </w:r>
          </w:p>
        </w:tc>
        <w:tc>
          <w:tcPr>
            <w:tcW w:w="1222" w:type="dxa"/>
          </w:tcPr>
          <w:p>
            <w:pPr>
              <w:pStyle w:val="TableParagraph"/>
              <w:rPr>
                <w:sz w:val="22"/>
              </w:rPr>
            </w:pPr>
            <w:r>
              <w:rPr>
                <w:sz w:val="22"/>
              </w:rPr>
              <w:t>16,411</w:t>
            </w:r>
          </w:p>
        </w:tc>
        <w:tc>
          <w:tcPr>
            <w:tcW w:w="1637" w:type="dxa"/>
          </w:tcPr>
          <w:p>
            <w:pPr>
              <w:pStyle w:val="TableParagraph"/>
              <w:rPr>
                <w:sz w:val="22"/>
              </w:rPr>
            </w:pPr>
            <w:r>
              <w:rPr>
                <w:sz w:val="22"/>
              </w:rPr>
              <w:t>0,00154686</w:t>
            </w:r>
          </w:p>
        </w:tc>
      </w:tr>
      <w:tr>
        <w:trPr>
          <w:trHeight w:val="310" w:hRule="exact"/>
        </w:trPr>
        <w:tc>
          <w:tcPr>
            <w:tcW w:w="919" w:type="dxa"/>
          </w:tcPr>
          <w:p>
            <w:pPr>
              <w:pStyle w:val="TableParagraph"/>
              <w:ind w:right="1"/>
              <w:jc w:val="center"/>
              <w:rPr>
                <w:sz w:val="22"/>
              </w:rPr>
            </w:pPr>
            <w:r>
              <w:rPr>
                <w:w w:val="100"/>
                <w:sz w:val="22"/>
              </w:rPr>
              <w:t>4</w:t>
            </w:r>
          </w:p>
        </w:tc>
        <w:tc>
          <w:tcPr>
            <w:tcW w:w="883" w:type="dxa"/>
          </w:tcPr>
          <w:p>
            <w:pPr>
              <w:pStyle w:val="TableParagraph"/>
              <w:rPr>
                <w:sz w:val="22"/>
              </w:rPr>
            </w:pPr>
            <w:r>
              <w:rPr>
                <w:sz w:val="22"/>
              </w:rPr>
              <w:t>155,12</w:t>
            </w:r>
          </w:p>
        </w:tc>
        <w:tc>
          <w:tcPr>
            <w:tcW w:w="499" w:type="dxa"/>
          </w:tcPr>
          <w:p>
            <w:pPr>
              <w:pStyle w:val="TableParagraph"/>
              <w:ind w:left="182" w:right="44"/>
              <w:jc w:val="center"/>
              <w:rPr>
                <w:sz w:val="22"/>
              </w:rPr>
            </w:pPr>
            <w:r>
              <w:rPr>
                <w:sz w:val="22"/>
              </w:rPr>
              <w:t>92</w:t>
            </w:r>
          </w:p>
        </w:tc>
        <w:tc>
          <w:tcPr>
            <w:tcW w:w="730" w:type="dxa"/>
          </w:tcPr>
          <w:p>
            <w:pPr>
              <w:pStyle w:val="TableParagraph"/>
              <w:ind w:right="63"/>
              <w:rPr>
                <w:sz w:val="22"/>
              </w:rPr>
            </w:pPr>
            <w:r>
              <w:rPr>
                <w:sz w:val="22"/>
              </w:rPr>
              <w:t>6,935</w:t>
            </w:r>
          </w:p>
        </w:tc>
        <w:tc>
          <w:tcPr>
            <w:tcW w:w="730" w:type="dxa"/>
          </w:tcPr>
          <w:p>
            <w:pPr>
              <w:pStyle w:val="TableParagraph"/>
              <w:ind w:left="151" w:right="0"/>
              <w:jc w:val="left"/>
              <w:rPr>
                <w:sz w:val="22"/>
              </w:rPr>
            </w:pPr>
            <w:r>
              <w:rPr>
                <w:sz w:val="22"/>
              </w:rPr>
              <w:t>0,287</w:t>
            </w:r>
          </w:p>
        </w:tc>
        <w:tc>
          <w:tcPr>
            <w:tcW w:w="1190" w:type="dxa"/>
          </w:tcPr>
          <w:p>
            <w:pPr>
              <w:pStyle w:val="TableParagraph"/>
              <w:rPr>
                <w:sz w:val="22"/>
              </w:rPr>
            </w:pPr>
            <w:r>
              <w:rPr>
                <w:sz w:val="22"/>
              </w:rPr>
              <w:t>1075,791</w:t>
            </w:r>
          </w:p>
        </w:tc>
        <w:tc>
          <w:tcPr>
            <w:tcW w:w="730" w:type="dxa"/>
          </w:tcPr>
          <w:p>
            <w:pPr>
              <w:pStyle w:val="TableParagraph"/>
              <w:ind w:left="132" w:right="47"/>
              <w:jc w:val="center"/>
              <w:rPr>
                <w:sz w:val="22"/>
              </w:rPr>
            </w:pPr>
            <w:r>
              <w:rPr>
                <w:sz w:val="22"/>
              </w:rPr>
              <w:t>0,535</w:t>
            </w:r>
          </w:p>
        </w:tc>
        <w:tc>
          <w:tcPr>
            <w:tcW w:w="1222" w:type="dxa"/>
          </w:tcPr>
          <w:p>
            <w:pPr>
              <w:pStyle w:val="TableParagraph"/>
              <w:rPr>
                <w:sz w:val="22"/>
              </w:rPr>
            </w:pPr>
            <w:r>
              <w:rPr>
                <w:sz w:val="22"/>
              </w:rPr>
              <w:t>30,667</w:t>
            </w:r>
          </w:p>
        </w:tc>
        <w:tc>
          <w:tcPr>
            <w:tcW w:w="1637" w:type="dxa"/>
          </w:tcPr>
          <w:p>
            <w:pPr>
              <w:pStyle w:val="TableParagraph"/>
              <w:rPr>
                <w:sz w:val="22"/>
              </w:rPr>
            </w:pPr>
            <w:r>
              <w:rPr>
                <w:sz w:val="22"/>
              </w:rPr>
              <w:t>0,00289068</w:t>
            </w:r>
          </w:p>
        </w:tc>
      </w:tr>
      <w:tr>
        <w:trPr>
          <w:trHeight w:val="310" w:hRule="exact"/>
        </w:trPr>
        <w:tc>
          <w:tcPr>
            <w:tcW w:w="919" w:type="dxa"/>
          </w:tcPr>
          <w:p>
            <w:pPr>
              <w:pStyle w:val="TableParagraph"/>
              <w:ind w:right="1"/>
              <w:jc w:val="center"/>
              <w:rPr>
                <w:sz w:val="22"/>
              </w:rPr>
            </w:pPr>
            <w:r>
              <w:rPr>
                <w:w w:val="100"/>
                <w:sz w:val="22"/>
              </w:rPr>
              <w:t>5</w:t>
            </w:r>
          </w:p>
        </w:tc>
        <w:tc>
          <w:tcPr>
            <w:tcW w:w="883" w:type="dxa"/>
          </w:tcPr>
          <w:p>
            <w:pPr>
              <w:pStyle w:val="TableParagraph"/>
              <w:rPr>
                <w:sz w:val="22"/>
              </w:rPr>
            </w:pPr>
            <w:r>
              <w:rPr>
                <w:sz w:val="22"/>
              </w:rPr>
              <w:t>180,21</w:t>
            </w:r>
          </w:p>
        </w:tc>
        <w:tc>
          <w:tcPr>
            <w:tcW w:w="499" w:type="dxa"/>
          </w:tcPr>
          <w:p>
            <w:pPr>
              <w:pStyle w:val="TableParagraph"/>
              <w:ind w:left="71" w:right="44"/>
              <w:jc w:val="center"/>
              <w:rPr>
                <w:sz w:val="22"/>
              </w:rPr>
            </w:pPr>
            <w:r>
              <w:rPr>
                <w:sz w:val="22"/>
              </w:rPr>
              <w:t>132</w:t>
            </w:r>
          </w:p>
        </w:tc>
        <w:tc>
          <w:tcPr>
            <w:tcW w:w="730" w:type="dxa"/>
          </w:tcPr>
          <w:p>
            <w:pPr>
              <w:pStyle w:val="TableParagraph"/>
              <w:ind w:right="63"/>
              <w:rPr>
                <w:sz w:val="22"/>
              </w:rPr>
            </w:pPr>
            <w:r>
              <w:rPr>
                <w:sz w:val="22"/>
              </w:rPr>
              <w:t>7,129</w:t>
            </w:r>
          </w:p>
        </w:tc>
        <w:tc>
          <w:tcPr>
            <w:tcW w:w="730" w:type="dxa"/>
          </w:tcPr>
          <w:p>
            <w:pPr>
              <w:pStyle w:val="TableParagraph"/>
              <w:ind w:left="151" w:right="0"/>
              <w:jc w:val="left"/>
              <w:rPr>
                <w:sz w:val="22"/>
              </w:rPr>
            </w:pPr>
            <w:r>
              <w:rPr>
                <w:sz w:val="22"/>
              </w:rPr>
              <w:t>0,102</w:t>
            </w:r>
          </w:p>
        </w:tc>
        <w:tc>
          <w:tcPr>
            <w:tcW w:w="1190" w:type="dxa"/>
          </w:tcPr>
          <w:p>
            <w:pPr>
              <w:pStyle w:val="TableParagraph"/>
              <w:rPr>
                <w:sz w:val="22"/>
              </w:rPr>
            </w:pPr>
            <w:r>
              <w:rPr>
                <w:sz w:val="22"/>
              </w:rPr>
              <w:t>1284,697</w:t>
            </w:r>
          </w:p>
        </w:tc>
        <w:tc>
          <w:tcPr>
            <w:tcW w:w="730" w:type="dxa"/>
          </w:tcPr>
          <w:p>
            <w:pPr>
              <w:pStyle w:val="TableParagraph"/>
              <w:ind w:left="132" w:right="47"/>
              <w:jc w:val="center"/>
              <w:rPr>
                <w:sz w:val="22"/>
              </w:rPr>
            </w:pPr>
            <w:r>
              <w:rPr>
                <w:sz w:val="22"/>
              </w:rPr>
              <w:t>0,319</w:t>
            </w:r>
          </w:p>
        </w:tc>
        <w:tc>
          <w:tcPr>
            <w:tcW w:w="1222" w:type="dxa"/>
          </w:tcPr>
          <w:p>
            <w:pPr>
              <w:pStyle w:val="TableParagraph"/>
              <w:rPr>
                <w:sz w:val="22"/>
              </w:rPr>
            </w:pPr>
            <w:r>
              <w:rPr>
                <w:sz w:val="22"/>
              </w:rPr>
              <w:t>6,700</w:t>
            </w:r>
          </w:p>
        </w:tc>
        <w:tc>
          <w:tcPr>
            <w:tcW w:w="1637" w:type="dxa"/>
          </w:tcPr>
          <w:p>
            <w:pPr>
              <w:pStyle w:val="TableParagraph"/>
              <w:rPr>
                <w:sz w:val="22"/>
              </w:rPr>
            </w:pPr>
            <w:r>
              <w:rPr>
                <w:sz w:val="22"/>
              </w:rPr>
              <w:t>0,00063157</w:t>
            </w:r>
          </w:p>
        </w:tc>
      </w:tr>
      <w:tr>
        <w:trPr>
          <w:trHeight w:val="310" w:hRule="exact"/>
        </w:trPr>
        <w:tc>
          <w:tcPr>
            <w:tcW w:w="919" w:type="dxa"/>
          </w:tcPr>
          <w:p>
            <w:pPr>
              <w:pStyle w:val="TableParagraph"/>
              <w:spacing w:before="30"/>
              <w:ind w:right="0"/>
              <w:jc w:val="center"/>
              <w:rPr>
                <w:sz w:val="22"/>
              </w:rPr>
            </w:pPr>
            <w:r>
              <w:rPr>
                <w:w w:val="100"/>
                <w:sz w:val="22"/>
              </w:rPr>
              <w:t>N</w:t>
            </w:r>
          </w:p>
        </w:tc>
        <w:tc>
          <w:tcPr>
            <w:tcW w:w="883" w:type="dxa"/>
          </w:tcPr>
          <w:p>
            <w:pPr>
              <w:pStyle w:val="TableParagraph"/>
              <w:spacing w:before="30"/>
              <w:rPr>
                <w:sz w:val="22"/>
              </w:rPr>
            </w:pPr>
            <w:r>
              <w:rPr>
                <w:sz w:val="22"/>
              </w:rPr>
              <w:t>695,17</w:t>
            </w:r>
          </w:p>
        </w:tc>
        <w:tc>
          <w:tcPr>
            <w:tcW w:w="499" w:type="dxa"/>
          </w:tcPr>
          <w:p>
            <w:pPr/>
          </w:p>
        </w:tc>
        <w:tc>
          <w:tcPr>
            <w:tcW w:w="730" w:type="dxa"/>
          </w:tcPr>
          <w:p>
            <w:pPr/>
          </w:p>
        </w:tc>
        <w:tc>
          <w:tcPr>
            <w:tcW w:w="730" w:type="dxa"/>
          </w:tcPr>
          <w:p>
            <w:pPr>
              <w:pStyle w:val="TableParagraph"/>
              <w:spacing w:before="18"/>
              <w:ind w:left="194"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90" w:type="dxa"/>
          </w:tcPr>
          <w:p>
            <w:pPr>
              <w:pStyle w:val="TableParagraph"/>
              <w:spacing w:before="30"/>
              <w:rPr>
                <w:sz w:val="22"/>
              </w:rPr>
            </w:pPr>
            <w:r>
              <w:rPr>
                <w:sz w:val="22"/>
              </w:rPr>
              <w:t>4850,230</w:t>
            </w:r>
          </w:p>
        </w:tc>
        <w:tc>
          <w:tcPr>
            <w:tcW w:w="730" w:type="dxa"/>
          </w:tcPr>
          <w:p>
            <w:pPr/>
          </w:p>
        </w:tc>
        <w:tc>
          <w:tcPr>
            <w:tcW w:w="1222" w:type="dxa"/>
          </w:tcPr>
          <w:p>
            <w:pPr>
              <w:pStyle w:val="TableParagraph"/>
              <w:spacing w:before="30"/>
              <w:rPr>
                <w:sz w:val="22"/>
              </w:rPr>
            </w:pPr>
            <w:r>
              <w:rPr>
                <w:sz w:val="22"/>
              </w:rPr>
              <w:t>60,112</w:t>
            </w:r>
          </w:p>
        </w:tc>
        <w:tc>
          <w:tcPr>
            <w:tcW w:w="1637" w:type="dxa"/>
          </w:tcPr>
          <w:p>
            <w:pPr>
              <w:pStyle w:val="TableParagraph"/>
              <w:spacing w:before="30"/>
              <w:rPr>
                <w:sz w:val="22"/>
              </w:rPr>
            </w:pPr>
            <w:r>
              <w:rPr>
                <w:sz w:val="22"/>
              </w:rPr>
              <w:t>0,00566609</w:t>
            </w:r>
          </w:p>
        </w:tc>
      </w:tr>
      <w:tr>
        <w:trPr>
          <w:trHeight w:val="312" w:hRule="exact"/>
        </w:trPr>
        <w:tc>
          <w:tcPr>
            <w:tcW w:w="4951" w:type="dxa"/>
            <w:gridSpan w:val="6"/>
            <w:vMerge w:val="restart"/>
            <w:tcBorders>
              <w:left w:val="nil"/>
            </w:tcBorders>
          </w:tcPr>
          <w:p>
            <w:pPr/>
          </w:p>
        </w:tc>
        <w:tc>
          <w:tcPr>
            <w:tcW w:w="1951"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37" w:type="dxa"/>
          </w:tcPr>
          <w:p>
            <w:pPr>
              <w:pStyle w:val="TableParagraph"/>
              <w:spacing w:before="30"/>
              <w:rPr>
                <w:b/>
                <w:sz w:val="22"/>
              </w:rPr>
            </w:pPr>
            <w:r>
              <w:rPr>
                <w:b/>
                <w:sz w:val="22"/>
              </w:rPr>
              <w:t>6,977</w:t>
            </w:r>
          </w:p>
        </w:tc>
      </w:tr>
      <w:tr>
        <w:trPr>
          <w:trHeight w:val="310" w:hRule="exact"/>
        </w:trPr>
        <w:tc>
          <w:tcPr>
            <w:tcW w:w="4951" w:type="dxa"/>
            <w:gridSpan w:val="6"/>
            <w:vMerge/>
            <w:tcBorders>
              <w:left w:val="nil"/>
            </w:tcBorders>
          </w:tcPr>
          <w:p>
            <w:pPr/>
          </w:p>
        </w:tc>
        <w:tc>
          <w:tcPr>
            <w:tcW w:w="1951" w:type="dxa"/>
            <w:gridSpan w:val="2"/>
          </w:tcPr>
          <w:p>
            <w:pPr>
              <w:pStyle w:val="TableParagraph"/>
              <w:spacing w:before="11"/>
              <w:ind w:left="64" w:right="0"/>
              <w:jc w:val="left"/>
              <w:rPr>
                <w:sz w:val="22"/>
              </w:rPr>
            </w:pPr>
            <w:r>
              <w:rPr>
                <w:sz w:val="22"/>
              </w:rPr>
              <w:t>Desviación estándar</w:t>
            </w:r>
          </w:p>
        </w:tc>
        <w:tc>
          <w:tcPr>
            <w:tcW w:w="1637" w:type="dxa"/>
          </w:tcPr>
          <w:p>
            <w:pPr>
              <w:pStyle w:val="TableParagraph"/>
              <w:rPr>
                <w:b/>
                <w:sz w:val="22"/>
              </w:rPr>
            </w:pPr>
            <w:r>
              <w:rPr>
                <w:b/>
                <w:sz w:val="22"/>
              </w:rPr>
              <w:t>0,075</w:t>
            </w:r>
          </w:p>
        </w:tc>
      </w:tr>
      <w:tr>
        <w:trPr>
          <w:trHeight w:val="310" w:hRule="exact"/>
        </w:trPr>
        <w:tc>
          <w:tcPr>
            <w:tcW w:w="4951" w:type="dxa"/>
            <w:gridSpan w:val="6"/>
            <w:vMerge/>
            <w:tcBorders>
              <w:left w:val="nil"/>
            </w:tcBorders>
          </w:tcPr>
          <w:p>
            <w:pPr/>
          </w:p>
        </w:tc>
        <w:tc>
          <w:tcPr>
            <w:tcW w:w="1951" w:type="dxa"/>
            <w:gridSpan w:val="2"/>
            <w:vMerge w:val="restart"/>
          </w:tcPr>
          <w:p>
            <w:pPr>
              <w:pStyle w:val="TableParagraph"/>
              <w:spacing w:before="33"/>
              <w:ind w:left="64" w:right="316"/>
              <w:jc w:val="left"/>
              <w:rPr>
                <w:sz w:val="22"/>
              </w:rPr>
            </w:pPr>
            <w:r>
              <w:rPr>
                <w:sz w:val="22"/>
              </w:rPr>
              <w:t>Intervalo de confianza al 95 %</w:t>
            </w:r>
          </w:p>
        </w:tc>
        <w:tc>
          <w:tcPr>
            <w:tcW w:w="1637" w:type="dxa"/>
          </w:tcPr>
          <w:p>
            <w:pPr>
              <w:pStyle w:val="TableParagraph"/>
              <w:rPr>
                <w:sz w:val="22"/>
              </w:rPr>
            </w:pPr>
            <w:r>
              <w:rPr>
                <w:sz w:val="22"/>
              </w:rPr>
              <w:t>6,83</w:t>
            </w:r>
          </w:p>
        </w:tc>
      </w:tr>
      <w:tr>
        <w:trPr>
          <w:trHeight w:val="310" w:hRule="exact"/>
        </w:trPr>
        <w:tc>
          <w:tcPr>
            <w:tcW w:w="4951" w:type="dxa"/>
            <w:gridSpan w:val="6"/>
            <w:vMerge/>
            <w:tcBorders>
              <w:left w:val="nil"/>
              <w:bottom w:val="nil"/>
            </w:tcBorders>
          </w:tcPr>
          <w:p>
            <w:pPr/>
          </w:p>
        </w:tc>
        <w:tc>
          <w:tcPr>
            <w:tcW w:w="1951" w:type="dxa"/>
            <w:gridSpan w:val="2"/>
            <w:vMerge/>
          </w:tcPr>
          <w:p>
            <w:pPr/>
          </w:p>
        </w:tc>
        <w:tc>
          <w:tcPr>
            <w:tcW w:w="1637" w:type="dxa"/>
          </w:tcPr>
          <w:p>
            <w:pPr>
              <w:pStyle w:val="TableParagraph"/>
              <w:rPr>
                <w:sz w:val="22"/>
              </w:rPr>
            </w:pPr>
            <w:r>
              <w:rPr>
                <w:sz w:val="22"/>
              </w:rPr>
              <w:t>7,12</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9"/>
        <w:gridCol w:w="883"/>
        <w:gridCol w:w="499"/>
        <w:gridCol w:w="730"/>
        <w:gridCol w:w="730"/>
        <w:gridCol w:w="1190"/>
        <w:gridCol w:w="730"/>
        <w:gridCol w:w="1222"/>
        <w:gridCol w:w="1637"/>
      </w:tblGrid>
      <w:tr>
        <w:trPr>
          <w:trHeight w:val="310" w:hRule="exact"/>
        </w:trPr>
        <w:tc>
          <w:tcPr>
            <w:tcW w:w="8539" w:type="dxa"/>
            <w:gridSpan w:val="9"/>
          </w:tcPr>
          <w:p>
            <w:pPr>
              <w:pStyle w:val="TableParagraph"/>
              <w:spacing w:before="30"/>
              <w:ind w:left="3295" w:right="3293"/>
              <w:jc w:val="center"/>
              <w:rPr>
                <w:sz w:val="22"/>
              </w:rPr>
            </w:pPr>
            <w:r>
              <w:rPr>
                <w:sz w:val="22"/>
              </w:rPr>
              <w:t>Punto de muestreo B</w:t>
            </w:r>
          </w:p>
        </w:tc>
      </w:tr>
      <w:tr>
        <w:trPr>
          <w:trHeight w:val="312" w:hRule="exact"/>
        </w:trPr>
        <w:tc>
          <w:tcPr>
            <w:tcW w:w="919" w:type="dxa"/>
          </w:tcPr>
          <w:p>
            <w:pPr>
              <w:pStyle w:val="TableParagraph"/>
              <w:spacing w:before="13"/>
              <w:ind w:left="114" w:right="115"/>
              <w:jc w:val="center"/>
              <w:rPr>
                <w:sz w:val="22"/>
              </w:rPr>
            </w:pPr>
            <w:r>
              <w:rPr>
                <w:sz w:val="22"/>
              </w:rPr>
              <w:t>Estrato</w:t>
            </w:r>
          </w:p>
        </w:tc>
        <w:tc>
          <w:tcPr>
            <w:tcW w:w="883" w:type="dxa"/>
          </w:tcPr>
          <w:p>
            <w:pPr>
              <w:pStyle w:val="TableParagraph"/>
              <w:spacing w:before="43"/>
              <w:ind w:left="36" w:right="47"/>
              <w:jc w:val="center"/>
              <w:rPr>
                <w:rFonts w:ascii="Cambria Math"/>
                <w:sz w:val="16"/>
              </w:rPr>
            </w:pPr>
            <w:r>
              <w:rPr>
                <w:rFonts w:ascii="Cambria Math"/>
                <w:w w:val="110"/>
                <w:sz w:val="22"/>
              </w:rPr>
              <w:t>N</w:t>
            </w:r>
            <w:r>
              <w:rPr>
                <w:rFonts w:ascii="Cambria Math"/>
                <w:w w:val="110"/>
                <w:position w:val="-4"/>
                <w:sz w:val="16"/>
              </w:rPr>
              <w:t>h</w:t>
            </w:r>
          </w:p>
        </w:tc>
        <w:tc>
          <w:tcPr>
            <w:tcW w:w="499" w:type="dxa"/>
          </w:tcPr>
          <w:p>
            <w:pPr>
              <w:pStyle w:val="TableParagraph"/>
              <w:spacing w:before="43"/>
              <w:ind w:left="33" w:right="44"/>
              <w:jc w:val="center"/>
              <w:rPr>
                <w:rFonts w:ascii="Cambria Math"/>
                <w:sz w:val="16"/>
              </w:rPr>
            </w:pPr>
            <w:r>
              <w:rPr>
                <w:rFonts w:ascii="Cambria Math"/>
                <w:w w:val="110"/>
                <w:sz w:val="22"/>
              </w:rPr>
              <w:t>n</w:t>
            </w:r>
            <w:r>
              <w:rPr>
                <w:rFonts w:ascii="Cambria Math"/>
                <w:w w:val="110"/>
                <w:position w:val="-4"/>
                <w:sz w:val="16"/>
              </w:rPr>
              <w:t>h</w:t>
            </w:r>
          </w:p>
        </w:tc>
        <w:tc>
          <w:tcPr>
            <w:tcW w:w="730" w:type="dxa"/>
          </w:tcPr>
          <w:p>
            <w:pPr>
              <w:pStyle w:val="TableParagraph"/>
              <w:spacing w:before="43"/>
              <w:ind w:left="34"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30" w:type="dxa"/>
          </w:tcPr>
          <w:p>
            <w:pPr>
              <w:pStyle w:val="TableParagraph"/>
              <w:spacing w:line="214" w:lineRule="exact" w:before="8"/>
              <w:ind w:left="39" w:right="47"/>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190" w:type="dxa"/>
          </w:tcPr>
          <w:p>
            <w:pPr>
              <w:pStyle w:val="TableParagraph"/>
              <w:spacing w:before="19"/>
              <w:ind w:left="471" w:right="48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30" w:type="dxa"/>
          </w:tcPr>
          <w:p>
            <w:pPr>
              <w:pStyle w:val="TableParagraph"/>
              <w:spacing w:before="43"/>
              <w:ind w:left="36" w:right="47"/>
              <w:jc w:val="center"/>
              <w:rPr>
                <w:rFonts w:ascii="Cambria Math"/>
                <w:sz w:val="16"/>
              </w:rPr>
            </w:pPr>
            <w:r>
              <w:rPr>
                <w:rFonts w:ascii="Cambria Math"/>
                <w:w w:val="110"/>
                <w:sz w:val="22"/>
              </w:rPr>
              <w:t>s</w:t>
            </w:r>
            <w:r>
              <w:rPr>
                <w:rFonts w:ascii="Cambria Math"/>
                <w:w w:val="110"/>
                <w:position w:val="-4"/>
                <w:sz w:val="16"/>
              </w:rPr>
              <w:t>h</w:t>
            </w:r>
          </w:p>
        </w:tc>
        <w:tc>
          <w:tcPr>
            <w:tcW w:w="1222" w:type="dxa"/>
          </w:tcPr>
          <w:p>
            <w:pPr>
              <w:pStyle w:val="TableParagraph"/>
              <w:spacing w:before="3"/>
              <w:ind w:left="27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37" w:type="dxa"/>
          </w:tcPr>
          <w:p>
            <w:pPr>
              <w:pStyle w:val="TableParagraph"/>
              <w:spacing w:before="3"/>
              <w:ind w:left="46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19" w:type="dxa"/>
          </w:tcPr>
          <w:p>
            <w:pPr>
              <w:pStyle w:val="TableParagraph"/>
              <w:ind w:right="1"/>
              <w:jc w:val="center"/>
              <w:rPr>
                <w:sz w:val="22"/>
              </w:rPr>
            </w:pPr>
            <w:r>
              <w:rPr>
                <w:w w:val="100"/>
                <w:sz w:val="22"/>
              </w:rPr>
              <w:t>1</w:t>
            </w:r>
          </w:p>
        </w:tc>
        <w:tc>
          <w:tcPr>
            <w:tcW w:w="883" w:type="dxa"/>
          </w:tcPr>
          <w:p>
            <w:pPr>
              <w:pStyle w:val="TableParagraph"/>
              <w:rPr>
                <w:sz w:val="22"/>
              </w:rPr>
            </w:pPr>
            <w:r>
              <w:rPr>
                <w:sz w:val="22"/>
              </w:rPr>
              <w:t>108,60</w:t>
            </w:r>
          </w:p>
        </w:tc>
        <w:tc>
          <w:tcPr>
            <w:tcW w:w="499" w:type="dxa"/>
          </w:tcPr>
          <w:p>
            <w:pPr>
              <w:pStyle w:val="TableParagraph"/>
              <w:ind w:left="71" w:right="44"/>
              <w:jc w:val="center"/>
              <w:rPr>
                <w:sz w:val="22"/>
              </w:rPr>
            </w:pPr>
            <w:r>
              <w:rPr>
                <w:sz w:val="22"/>
              </w:rPr>
              <w:t>108</w:t>
            </w:r>
          </w:p>
        </w:tc>
        <w:tc>
          <w:tcPr>
            <w:tcW w:w="730" w:type="dxa"/>
          </w:tcPr>
          <w:p>
            <w:pPr>
              <w:pStyle w:val="TableParagraph"/>
              <w:ind w:right="63"/>
              <w:rPr>
                <w:sz w:val="22"/>
              </w:rPr>
            </w:pPr>
            <w:r>
              <w:rPr>
                <w:sz w:val="22"/>
              </w:rPr>
              <w:t>6,825</w:t>
            </w:r>
          </w:p>
        </w:tc>
        <w:tc>
          <w:tcPr>
            <w:tcW w:w="730" w:type="dxa"/>
          </w:tcPr>
          <w:p>
            <w:pPr>
              <w:pStyle w:val="TableParagraph"/>
              <w:ind w:left="151" w:right="0"/>
              <w:jc w:val="left"/>
              <w:rPr>
                <w:sz w:val="22"/>
              </w:rPr>
            </w:pPr>
            <w:r>
              <w:rPr>
                <w:sz w:val="22"/>
              </w:rPr>
              <w:t>0,159</w:t>
            </w:r>
          </w:p>
        </w:tc>
        <w:tc>
          <w:tcPr>
            <w:tcW w:w="1190" w:type="dxa"/>
          </w:tcPr>
          <w:p>
            <w:pPr>
              <w:pStyle w:val="TableParagraph"/>
              <w:rPr>
                <w:sz w:val="22"/>
              </w:rPr>
            </w:pPr>
            <w:r>
              <w:rPr>
                <w:sz w:val="22"/>
              </w:rPr>
              <w:t>741,156</w:t>
            </w:r>
          </w:p>
        </w:tc>
        <w:tc>
          <w:tcPr>
            <w:tcW w:w="730" w:type="dxa"/>
          </w:tcPr>
          <w:p>
            <w:pPr>
              <w:pStyle w:val="TableParagraph"/>
              <w:ind w:left="132" w:right="47"/>
              <w:jc w:val="center"/>
              <w:rPr>
                <w:sz w:val="22"/>
              </w:rPr>
            </w:pPr>
            <w:r>
              <w:rPr>
                <w:sz w:val="22"/>
              </w:rPr>
              <w:t>0,398</w:t>
            </w:r>
          </w:p>
        </w:tc>
        <w:tc>
          <w:tcPr>
            <w:tcW w:w="1222" w:type="dxa"/>
          </w:tcPr>
          <w:p>
            <w:pPr>
              <w:pStyle w:val="TableParagraph"/>
              <w:rPr>
                <w:sz w:val="22"/>
              </w:rPr>
            </w:pPr>
            <w:r>
              <w:rPr>
                <w:sz w:val="22"/>
              </w:rPr>
              <w:t>-5,789</w:t>
            </w:r>
          </w:p>
        </w:tc>
        <w:tc>
          <w:tcPr>
            <w:tcW w:w="1637" w:type="dxa"/>
          </w:tcPr>
          <w:p>
            <w:pPr>
              <w:pStyle w:val="TableParagraph"/>
              <w:rPr>
                <w:sz w:val="22"/>
              </w:rPr>
            </w:pPr>
            <w:r>
              <w:rPr>
                <w:sz w:val="22"/>
              </w:rPr>
              <w:t>-0,00054564</w:t>
            </w:r>
          </w:p>
        </w:tc>
      </w:tr>
      <w:tr>
        <w:trPr>
          <w:trHeight w:val="310" w:hRule="exact"/>
        </w:trPr>
        <w:tc>
          <w:tcPr>
            <w:tcW w:w="919" w:type="dxa"/>
          </w:tcPr>
          <w:p>
            <w:pPr>
              <w:pStyle w:val="TableParagraph"/>
              <w:ind w:right="1"/>
              <w:jc w:val="center"/>
              <w:rPr>
                <w:sz w:val="22"/>
              </w:rPr>
            </w:pPr>
            <w:r>
              <w:rPr>
                <w:w w:val="100"/>
                <w:sz w:val="22"/>
              </w:rPr>
              <w:t>2</w:t>
            </w:r>
          </w:p>
        </w:tc>
        <w:tc>
          <w:tcPr>
            <w:tcW w:w="883" w:type="dxa"/>
          </w:tcPr>
          <w:p>
            <w:pPr>
              <w:pStyle w:val="TableParagraph"/>
              <w:rPr>
                <w:sz w:val="22"/>
              </w:rPr>
            </w:pPr>
            <w:r>
              <w:rPr>
                <w:sz w:val="22"/>
              </w:rPr>
              <w:t>121,03</w:t>
            </w:r>
          </w:p>
        </w:tc>
        <w:tc>
          <w:tcPr>
            <w:tcW w:w="499" w:type="dxa"/>
          </w:tcPr>
          <w:p>
            <w:pPr>
              <w:pStyle w:val="TableParagraph"/>
              <w:ind w:left="182" w:right="44"/>
              <w:jc w:val="center"/>
              <w:rPr>
                <w:sz w:val="22"/>
              </w:rPr>
            </w:pPr>
            <w:r>
              <w:rPr>
                <w:sz w:val="22"/>
              </w:rPr>
              <w:t>81</w:t>
            </w:r>
          </w:p>
        </w:tc>
        <w:tc>
          <w:tcPr>
            <w:tcW w:w="730" w:type="dxa"/>
          </w:tcPr>
          <w:p>
            <w:pPr>
              <w:pStyle w:val="TableParagraph"/>
              <w:ind w:right="63"/>
              <w:rPr>
                <w:sz w:val="22"/>
              </w:rPr>
            </w:pPr>
            <w:r>
              <w:rPr>
                <w:sz w:val="22"/>
              </w:rPr>
              <w:t>7,163</w:t>
            </w:r>
          </w:p>
        </w:tc>
        <w:tc>
          <w:tcPr>
            <w:tcW w:w="730" w:type="dxa"/>
          </w:tcPr>
          <w:p>
            <w:pPr>
              <w:pStyle w:val="TableParagraph"/>
              <w:ind w:left="151" w:right="0"/>
              <w:jc w:val="left"/>
              <w:rPr>
                <w:sz w:val="22"/>
              </w:rPr>
            </w:pPr>
            <w:r>
              <w:rPr>
                <w:sz w:val="22"/>
              </w:rPr>
              <w:t>0,263</w:t>
            </w:r>
          </w:p>
        </w:tc>
        <w:tc>
          <w:tcPr>
            <w:tcW w:w="1190" w:type="dxa"/>
          </w:tcPr>
          <w:p>
            <w:pPr>
              <w:pStyle w:val="TableParagraph"/>
              <w:rPr>
                <w:sz w:val="22"/>
              </w:rPr>
            </w:pPr>
            <w:r>
              <w:rPr>
                <w:sz w:val="22"/>
              </w:rPr>
              <w:t>866,978</w:t>
            </w:r>
          </w:p>
        </w:tc>
        <w:tc>
          <w:tcPr>
            <w:tcW w:w="730" w:type="dxa"/>
          </w:tcPr>
          <w:p>
            <w:pPr>
              <w:pStyle w:val="TableParagraph"/>
              <w:ind w:left="132" w:right="47"/>
              <w:jc w:val="center"/>
              <w:rPr>
                <w:sz w:val="22"/>
              </w:rPr>
            </w:pPr>
            <w:r>
              <w:rPr>
                <w:sz w:val="22"/>
              </w:rPr>
              <w:t>0,513</w:t>
            </w:r>
          </w:p>
        </w:tc>
        <w:tc>
          <w:tcPr>
            <w:tcW w:w="1222" w:type="dxa"/>
          </w:tcPr>
          <w:p>
            <w:pPr>
              <w:pStyle w:val="TableParagraph"/>
              <w:rPr>
                <w:sz w:val="22"/>
              </w:rPr>
            </w:pPr>
            <w:r>
              <w:rPr>
                <w:sz w:val="22"/>
              </w:rPr>
              <w:t>15,745</w:t>
            </w:r>
          </w:p>
        </w:tc>
        <w:tc>
          <w:tcPr>
            <w:tcW w:w="1637" w:type="dxa"/>
          </w:tcPr>
          <w:p>
            <w:pPr>
              <w:pStyle w:val="TableParagraph"/>
              <w:rPr>
                <w:sz w:val="22"/>
              </w:rPr>
            </w:pPr>
            <w:r>
              <w:rPr>
                <w:sz w:val="22"/>
              </w:rPr>
              <w:t>0,0014841</w:t>
            </w:r>
          </w:p>
        </w:tc>
      </w:tr>
      <w:tr>
        <w:trPr>
          <w:trHeight w:val="310" w:hRule="exact"/>
        </w:trPr>
        <w:tc>
          <w:tcPr>
            <w:tcW w:w="919" w:type="dxa"/>
          </w:tcPr>
          <w:p>
            <w:pPr>
              <w:pStyle w:val="TableParagraph"/>
              <w:ind w:right="1"/>
              <w:jc w:val="center"/>
              <w:rPr>
                <w:sz w:val="22"/>
              </w:rPr>
            </w:pPr>
            <w:r>
              <w:rPr>
                <w:w w:val="100"/>
                <w:sz w:val="22"/>
              </w:rPr>
              <w:t>3</w:t>
            </w:r>
          </w:p>
        </w:tc>
        <w:tc>
          <w:tcPr>
            <w:tcW w:w="883" w:type="dxa"/>
          </w:tcPr>
          <w:p>
            <w:pPr>
              <w:pStyle w:val="TableParagraph"/>
              <w:rPr>
                <w:sz w:val="22"/>
              </w:rPr>
            </w:pPr>
            <w:r>
              <w:rPr>
                <w:sz w:val="22"/>
              </w:rPr>
              <w:t>130,21</w:t>
            </w:r>
          </w:p>
        </w:tc>
        <w:tc>
          <w:tcPr>
            <w:tcW w:w="499" w:type="dxa"/>
          </w:tcPr>
          <w:p>
            <w:pPr>
              <w:pStyle w:val="TableParagraph"/>
              <w:ind w:left="182" w:right="44"/>
              <w:jc w:val="center"/>
              <w:rPr>
                <w:sz w:val="22"/>
              </w:rPr>
            </w:pPr>
            <w:r>
              <w:rPr>
                <w:sz w:val="22"/>
              </w:rPr>
              <w:t>77</w:t>
            </w:r>
          </w:p>
        </w:tc>
        <w:tc>
          <w:tcPr>
            <w:tcW w:w="730" w:type="dxa"/>
          </w:tcPr>
          <w:p>
            <w:pPr>
              <w:pStyle w:val="TableParagraph"/>
              <w:ind w:right="63"/>
              <w:rPr>
                <w:sz w:val="22"/>
              </w:rPr>
            </w:pPr>
            <w:r>
              <w:rPr>
                <w:sz w:val="22"/>
              </w:rPr>
              <w:t>7,149</w:t>
            </w:r>
          </w:p>
        </w:tc>
        <w:tc>
          <w:tcPr>
            <w:tcW w:w="730" w:type="dxa"/>
          </w:tcPr>
          <w:p>
            <w:pPr>
              <w:pStyle w:val="TableParagraph"/>
              <w:ind w:left="151" w:right="0"/>
              <w:jc w:val="left"/>
              <w:rPr>
                <w:sz w:val="22"/>
              </w:rPr>
            </w:pPr>
            <w:r>
              <w:rPr>
                <w:sz w:val="22"/>
              </w:rPr>
              <w:t>0,142</w:t>
            </w:r>
          </w:p>
        </w:tc>
        <w:tc>
          <w:tcPr>
            <w:tcW w:w="1190" w:type="dxa"/>
          </w:tcPr>
          <w:p>
            <w:pPr>
              <w:pStyle w:val="TableParagraph"/>
              <w:rPr>
                <w:sz w:val="22"/>
              </w:rPr>
            </w:pPr>
            <w:r>
              <w:rPr>
                <w:sz w:val="22"/>
              </w:rPr>
              <w:t>930,864</w:t>
            </w:r>
          </w:p>
        </w:tc>
        <w:tc>
          <w:tcPr>
            <w:tcW w:w="730" w:type="dxa"/>
          </w:tcPr>
          <w:p>
            <w:pPr>
              <w:pStyle w:val="TableParagraph"/>
              <w:ind w:left="132" w:right="47"/>
              <w:jc w:val="center"/>
              <w:rPr>
                <w:sz w:val="22"/>
              </w:rPr>
            </w:pPr>
            <w:r>
              <w:rPr>
                <w:sz w:val="22"/>
              </w:rPr>
              <w:t>0,377</w:t>
            </w:r>
          </w:p>
        </w:tc>
        <w:tc>
          <w:tcPr>
            <w:tcW w:w="1222" w:type="dxa"/>
          </w:tcPr>
          <w:p>
            <w:pPr>
              <w:pStyle w:val="TableParagraph"/>
              <w:rPr>
                <w:sz w:val="22"/>
              </w:rPr>
            </w:pPr>
            <w:r>
              <w:rPr>
                <w:sz w:val="22"/>
              </w:rPr>
              <w:t>12,992</w:t>
            </w:r>
          </w:p>
        </w:tc>
        <w:tc>
          <w:tcPr>
            <w:tcW w:w="1637" w:type="dxa"/>
          </w:tcPr>
          <w:p>
            <w:pPr>
              <w:pStyle w:val="TableParagraph"/>
              <w:rPr>
                <w:sz w:val="22"/>
              </w:rPr>
            </w:pPr>
            <w:r>
              <w:rPr>
                <w:sz w:val="22"/>
              </w:rPr>
              <w:t>0,00122466</w:t>
            </w:r>
          </w:p>
        </w:tc>
      </w:tr>
      <w:tr>
        <w:trPr>
          <w:trHeight w:val="310" w:hRule="exact"/>
        </w:trPr>
        <w:tc>
          <w:tcPr>
            <w:tcW w:w="919" w:type="dxa"/>
          </w:tcPr>
          <w:p>
            <w:pPr>
              <w:pStyle w:val="TableParagraph"/>
              <w:ind w:right="1"/>
              <w:jc w:val="center"/>
              <w:rPr>
                <w:sz w:val="22"/>
              </w:rPr>
            </w:pPr>
            <w:r>
              <w:rPr>
                <w:w w:val="100"/>
                <w:sz w:val="22"/>
              </w:rPr>
              <w:t>4</w:t>
            </w:r>
          </w:p>
        </w:tc>
        <w:tc>
          <w:tcPr>
            <w:tcW w:w="883" w:type="dxa"/>
          </w:tcPr>
          <w:p>
            <w:pPr>
              <w:pStyle w:val="TableParagraph"/>
              <w:rPr>
                <w:sz w:val="22"/>
              </w:rPr>
            </w:pPr>
            <w:r>
              <w:rPr>
                <w:sz w:val="22"/>
              </w:rPr>
              <w:t>155,12</w:t>
            </w:r>
          </w:p>
        </w:tc>
        <w:tc>
          <w:tcPr>
            <w:tcW w:w="499" w:type="dxa"/>
          </w:tcPr>
          <w:p>
            <w:pPr>
              <w:pStyle w:val="TableParagraph"/>
              <w:ind w:left="182" w:right="44"/>
              <w:jc w:val="center"/>
              <w:rPr>
                <w:sz w:val="22"/>
              </w:rPr>
            </w:pPr>
            <w:r>
              <w:rPr>
                <w:sz w:val="22"/>
              </w:rPr>
              <w:t>92</w:t>
            </w:r>
          </w:p>
        </w:tc>
        <w:tc>
          <w:tcPr>
            <w:tcW w:w="730" w:type="dxa"/>
          </w:tcPr>
          <w:p>
            <w:pPr>
              <w:pStyle w:val="TableParagraph"/>
              <w:ind w:right="63"/>
              <w:rPr>
                <w:sz w:val="22"/>
              </w:rPr>
            </w:pPr>
            <w:r>
              <w:rPr>
                <w:sz w:val="22"/>
              </w:rPr>
              <w:t>7,043</w:t>
            </w:r>
          </w:p>
        </w:tc>
        <w:tc>
          <w:tcPr>
            <w:tcW w:w="730" w:type="dxa"/>
          </w:tcPr>
          <w:p>
            <w:pPr>
              <w:pStyle w:val="TableParagraph"/>
              <w:ind w:left="151" w:right="0"/>
              <w:jc w:val="left"/>
              <w:rPr>
                <w:sz w:val="22"/>
              </w:rPr>
            </w:pPr>
            <w:r>
              <w:rPr>
                <w:sz w:val="22"/>
              </w:rPr>
              <w:t>0,295</w:t>
            </w:r>
          </w:p>
        </w:tc>
        <w:tc>
          <w:tcPr>
            <w:tcW w:w="1190" w:type="dxa"/>
          </w:tcPr>
          <w:p>
            <w:pPr>
              <w:pStyle w:val="TableParagraph"/>
              <w:rPr>
                <w:sz w:val="22"/>
              </w:rPr>
            </w:pPr>
            <w:r>
              <w:rPr>
                <w:sz w:val="22"/>
              </w:rPr>
              <w:t>1092,485</w:t>
            </w:r>
          </w:p>
        </w:tc>
        <w:tc>
          <w:tcPr>
            <w:tcW w:w="730" w:type="dxa"/>
          </w:tcPr>
          <w:p>
            <w:pPr>
              <w:pStyle w:val="TableParagraph"/>
              <w:ind w:left="132" w:right="47"/>
              <w:jc w:val="center"/>
              <w:rPr>
                <w:sz w:val="22"/>
              </w:rPr>
            </w:pPr>
            <w:r>
              <w:rPr>
                <w:sz w:val="22"/>
              </w:rPr>
              <w:t>0,543</w:t>
            </w:r>
          </w:p>
        </w:tc>
        <w:tc>
          <w:tcPr>
            <w:tcW w:w="1222" w:type="dxa"/>
          </w:tcPr>
          <w:p>
            <w:pPr>
              <w:pStyle w:val="TableParagraph"/>
              <w:rPr>
                <w:sz w:val="22"/>
              </w:rPr>
            </w:pPr>
            <w:r>
              <w:rPr>
                <w:sz w:val="22"/>
              </w:rPr>
              <w:t>31,595</w:t>
            </w:r>
          </w:p>
        </w:tc>
        <w:tc>
          <w:tcPr>
            <w:tcW w:w="1637" w:type="dxa"/>
          </w:tcPr>
          <w:p>
            <w:pPr>
              <w:pStyle w:val="TableParagraph"/>
              <w:rPr>
                <w:sz w:val="22"/>
              </w:rPr>
            </w:pPr>
            <w:r>
              <w:rPr>
                <w:sz w:val="22"/>
              </w:rPr>
              <w:t>0,00297816</w:t>
            </w:r>
          </w:p>
        </w:tc>
      </w:tr>
      <w:tr>
        <w:trPr>
          <w:trHeight w:val="310" w:hRule="exact"/>
        </w:trPr>
        <w:tc>
          <w:tcPr>
            <w:tcW w:w="919" w:type="dxa"/>
          </w:tcPr>
          <w:p>
            <w:pPr>
              <w:pStyle w:val="TableParagraph"/>
              <w:spacing w:before="30"/>
              <w:ind w:right="1"/>
              <w:jc w:val="center"/>
              <w:rPr>
                <w:sz w:val="22"/>
              </w:rPr>
            </w:pPr>
            <w:r>
              <w:rPr>
                <w:w w:val="100"/>
                <w:sz w:val="22"/>
              </w:rPr>
              <w:t>5</w:t>
            </w:r>
          </w:p>
        </w:tc>
        <w:tc>
          <w:tcPr>
            <w:tcW w:w="883" w:type="dxa"/>
          </w:tcPr>
          <w:p>
            <w:pPr>
              <w:pStyle w:val="TableParagraph"/>
              <w:spacing w:before="30"/>
              <w:rPr>
                <w:sz w:val="22"/>
              </w:rPr>
            </w:pPr>
            <w:r>
              <w:rPr>
                <w:sz w:val="22"/>
              </w:rPr>
              <w:t>180,21</w:t>
            </w:r>
          </w:p>
        </w:tc>
        <w:tc>
          <w:tcPr>
            <w:tcW w:w="499" w:type="dxa"/>
          </w:tcPr>
          <w:p>
            <w:pPr>
              <w:pStyle w:val="TableParagraph"/>
              <w:spacing w:before="30"/>
              <w:ind w:left="71" w:right="44"/>
              <w:jc w:val="center"/>
              <w:rPr>
                <w:sz w:val="22"/>
              </w:rPr>
            </w:pPr>
            <w:r>
              <w:rPr>
                <w:sz w:val="22"/>
              </w:rPr>
              <w:t>132</w:t>
            </w:r>
          </w:p>
        </w:tc>
        <w:tc>
          <w:tcPr>
            <w:tcW w:w="730" w:type="dxa"/>
          </w:tcPr>
          <w:p>
            <w:pPr>
              <w:pStyle w:val="TableParagraph"/>
              <w:spacing w:before="30"/>
              <w:ind w:right="63"/>
              <w:rPr>
                <w:sz w:val="22"/>
              </w:rPr>
            </w:pPr>
            <w:r>
              <w:rPr>
                <w:sz w:val="22"/>
              </w:rPr>
              <w:t>7,338</w:t>
            </w:r>
          </w:p>
        </w:tc>
        <w:tc>
          <w:tcPr>
            <w:tcW w:w="730" w:type="dxa"/>
          </w:tcPr>
          <w:p>
            <w:pPr>
              <w:pStyle w:val="TableParagraph"/>
              <w:spacing w:before="30"/>
              <w:ind w:left="151" w:right="0"/>
              <w:jc w:val="left"/>
              <w:rPr>
                <w:sz w:val="22"/>
              </w:rPr>
            </w:pPr>
            <w:r>
              <w:rPr>
                <w:sz w:val="22"/>
              </w:rPr>
              <w:t>0,030</w:t>
            </w:r>
          </w:p>
        </w:tc>
        <w:tc>
          <w:tcPr>
            <w:tcW w:w="1190" w:type="dxa"/>
          </w:tcPr>
          <w:p>
            <w:pPr>
              <w:pStyle w:val="TableParagraph"/>
              <w:spacing w:before="30"/>
              <w:rPr>
                <w:sz w:val="22"/>
              </w:rPr>
            </w:pPr>
            <w:r>
              <w:rPr>
                <w:sz w:val="22"/>
              </w:rPr>
              <w:t>1322,341</w:t>
            </w:r>
          </w:p>
        </w:tc>
        <w:tc>
          <w:tcPr>
            <w:tcW w:w="730" w:type="dxa"/>
          </w:tcPr>
          <w:p>
            <w:pPr>
              <w:pStyle w:val="TableParagraph"/>
              <w:spacing w:before="30"/>
              <w:ind w:left="132" w:right="47"/>
              <w:jc w:val="center"/>
              <w:rPr>
                <w:sz w:val="22"/>
              </w:rPr>
            </w:pPr>
            <w:r>
              <w:rPr>
                <w:sz w:val="22"/>
              </w:rPr>
              <w:t>0,174</w:t>
            </w:r>
          </w:p>
        </w:tc>
        <w:tc>
          <w:tcPr>
            <w:tcW w:w="1222" w:type="dxa"/>
          </w:tcPr>
          <w:p>
            <w:pPr>
              <w:pStyle w:val="TableParagraph"/>
              <w:spacing w:before="30"/>
              <w:rPr>
                <w:sz w:val="22"/>
              </w:rPr>
            </w:pPr>
            <w:r>
              <w:rPr>
                <w:sz w:val="22"/>
              </w:rPr>
              <w:t>1,995</w:t>
            </w:r>
          </w:p>
        </w:tc>
        <w:tc>
          <w:tcPr>
            <w:tcW w:w="1637" w:type="dxa"/>
          </w:tcPr>
          <w:p>
            <w:pPr>
              <w:pStyle w:val="TableParagraph"/>
              <w:spacing w:before="30"/>
              <w:rPr>
                <w:sz w:val="22"/>
              </w:rPr>
            </w:pPr>
            <w:r>
              <w:rPr>
                <w:sz w:val="22"/>
              </w:rPr>
              <w:t>0,00018806</w:t>
            </w:r>
          </w:p>
        </w:tc>
      </w:tr>
      <w:tr>
        <w:trPr>
          <w:trHeight w:val="312" w:hRule="exact"/>
        </w:trPr>
        <w:tc>
          <w:tcPr>
            <w:tcW w:w="919" w:type="dxa"/>
          </w:tcPr>
          <w:p>
            <w:pPr>
              <w:pStyle w:val="TableParagraph"/>
              <w:spacing w:before="30"/>
              <w:ind w:right="0"/>
              <w:jc w:val="center"/>
              <w:rPr>
                <w:sz w:val="22"/>
              </w:rPr>
            </w:pPr>
            <w:r>
              <w:rPr>
                <w:w w:val="100"/>
                <w:sz w:val="22"/>
              </w:rPr>
              <w:t>N</w:t>
            </w:r>
          </w:p>
        </w:tc>
        <w:tc>
          <w:tcPr>
            <w:tcW w:w="883" w:type="dxa"/>
          </w:tcPr>
          <w:p>
            <w:pPr>
              <w:pStyle w:val="TableParagraph"/>
              <w:spacing w:before="30"/>
              <w:rPr>
                <w:sz w:val="22"/>
              </w:rPr>
            </w:pPr>
            <w:r>
              <w:rPr>
                <w:sz w:val="22"/>
              </w:rPr>
              <w:t>695,17</w:t>
            </w:r>
          </w:p>
        </w:tc>
        <w:tc>
          <w:tcPr>
            <w:tcW w:w="499" w:type="dxa"/>
          </w:tcPr>
          <w:p>
            <w:pPr/>
          </w:p>
        </w:tc>
        <w:tc>
          <w:tcPr>
            <w:tcW w:w="730" w:type="dxa"/>
          </w:tcPr>
          <w:p>
            <w:pPr/>
          </w:p>
        </w:tc>
        <w:tc>
          <w:tcPr>
            <w:tcW w:w="730" w:type="dxa"/>
          </w:tcPr>
          <w:p>
            <w:pPr>
              <w:pStyle w:val="TableParagraph"/>
              <w:spacing w:before="18"/>
              <w:ind w:left="194"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90" w:type="dxa"/>
          </w:tcPr>
          <w:p>
            <w:pPr>
              <w:pStyle w:val="TableParagraph"/>
              <w:spacing w:before="30"/>
              <w:rPr>
                <w:sz w:val="22"/>
              </w:rPr>
            </w:pPr>
            <w:r>
              <w:rPr>
                <w:sz w:val="22"/>
              </w:rPr>
              <w:t>4953,824</w:t>
            </w:r>
          </w:p>
        </w:tc>
        <w:tc>
          <w:tcPr>
            <w:tcW w:w="730" w:type="dxa"/>
          </w:tcPr>
          <w:p>
            <w:pPr/>
          </w:p>
        </w:tc>
        <w:tc>
          <w:tcPr>
            <w:tcW w:w="1222" w:type="dxa"/>
          </w:tcPr>
          <w:p>
            <w:pPr>
              <w:pStyle w:val="TableParagraph"/>
              <w:spacing w:before="30"/>
              <w:rPr>
                <w:sz w:val="22"/>
              </w:rPr>
            </w:pPr>
            <w:r>
              <w:rPr>
                <w:sz w:val="22"/>
              </w:rPr>
              <w:t>56,539</w:t>
            </w:r>
          </w:p>
        </w:tc>
        <w:tc>
          <w:tcPr>
            <w:tcW w:w="1637" w:type="dxa"/>
          </w:tcPr>
          <w:p>
            <w:pPr>
              <w:pStyle w:val="TableParagraph"/>
              <w:spacing w:before="30"/>
              <w:rPr>
                <w:sz w:val="22"/>
              </w:rPr>
            </w:pPr>
            <w:r>
              <w:rPr>
                <w:sz w:val="22"/>
              </w:rPr>
              <w:t>0,00532934</w:t>
            </w:r>
          </w:p>
        </w:tc>
      </w:tr>
      <w:tr>
        <w:trPr>
          <w:trHeight w:val="310" w:hRule="exact"/>
        </w:trPr>
        <w:tc>
          <w:tcPr>
            <w:tcW w:w="4951" w:type="dxa"/>
            <w:gridSpan w:val="6"/>
            <w:vMerge w:val="restart"/>
            <w:tcBorders>
              <w:left w:val="nil"/>
            </w:tcBorders>
          </w:tcPr>
          <w:p>
            <w:pPr/>
          </w:p>
        </w:tc>
        <w:tc>
          <w:tcPr>
            <w:tcW w:w="1951"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37" w:type="dxa"/>
          </w:tcPr>
          <w:p>
            <w:pPr>
              <w:pStyle w:val="TableParagraph"/>
              <w:rPr>
                <w:b/>
                <w:sz w:val="22"/>
              </w:rPr>
            </w:pPr>
            <w:r>
              <w:rPr>
                <w:b/>
                <w:sz w:val="22"/>
              </w:rPr>
              <w:t>7,126</w:t>
            </w:r>
          </w:p>
        </w:tc>
      </w:tr>
      <w:tr>
        <w:trPr>
          <w:trHeight w:val="310" w:hRule="exact"/>
        </w:trPr>
        <w:tc>
          <w:tcPr>
            <w:tcW w:w="4951" w:type="dxa"/>
            <w:gridSpan w:val="6"/>
            <w:vMerge/>
            <w:tcBorders>
              <w:left w:val="nil"/>
            </w:tcBorders>
          </w:tcPr>
          <w:p>
            <w:pPr/>
          </w:p>
        </w:tc>
        <w:tc>
          <w:tcPr>
            <w:tcW w:w="1951" w:type="dxa"/>
            <w:gridSpan w:val="2"/>
          </w:tcPr>
          <w:p>
            <w:pPr>
              <w:pStyle w:val="TableParagraph"/>
              <w:spacing w:before="13"/>
              <w:ind w:left="64" w:right="0"/>
              <w:jc w:val="left"/>
              <w:rPr>
                <w:sz w:val="22"/>
              </w:rPr>
            </w:pPr>
            <w:r>
              <w:rPr>
                <w:sz w:val="22"/>
              </w:rPr>
              <w:t>Desviación estándar</w:t>
            </w:r>
          </w:p>
        </w:tc>
        <w:tc>
          <w:tcPr>
            <w:tcW w:w="1637" w:type="dxa"/>
          </w:tcPr>
          <w:p>
            <w:pPr>
              <w:pStyle w:val="TableParagraph"/>
              <w:rPr>
                <w:b/>
                <w:sz w:val="22"/>
              </w:rPr>
            </w:pPr>
            <w:r>
              <w:rPr>
                <w:b/>
                <w:sz w:val="22"/>
              </w:rPr>
              <w:t>0,073</w:t>
            </w:r>
          </w:p>
        </w:tc>
      </w:tr>
      <w:tr>
        <w:trPr>
          <w:trHeight w:val="310" w:hRule="exact"/>
        </w:trPr>
        <w:tc>
          <w:tcPr>
            <w:tcW w:w="4951" w:type="dxa"/>
            <w:gridSpan w:val="6"/>
            <w:vMerge/>
            <w:tcBorders>
              <w:left w:val="nil"/>
            </w:tcBorders>
          </w:tcPr>
          <w:p>
            <w:pPr/>
          </w:p>
        </w:tc>
        <w:tc>
          <w:tcPr>
            <w:tcW w:w="1951" w:type="dxa"/>
            <w:gridSpan w:val="2"/>
            <w:vMerge w:val="restart"/>
          </w:tcPr>
          <w:p>
            <w:pPr>
              <w:pStyle w:val="TableParagraph"/>
              <w:spacing w:before="33"/>
              <w:ind w:left="64" w:right="316"/>
              <w:jc w:val="left"/>
              <w:rPr>
                <w:sz w:val="22"/>
              </w:rPr>
            </w:pPr>
            <w:r>
              <w:rPr>
                <w:sz w:val="22"/>
              </w:rPr>
              <w:t>Intervalo de confianza al 95 %</w:t>
            </w:r>
          </w:p>
        </w:tc>
        <w:tc>
          <w:tcPr>
            <w:tcW w:w="1637" w:type="dxa"/>
          </w:tcPr>
          <w:p>
            <w:pPr>
              <w:pStyle w:val="TableParagraph"/>
              <w:rPr>
                <w:sz w:val="22"/>
              </w:rPr>
            </w:pPr>
            <w:r>
              <w:rPr>
                <w:sz w:val="22"/>
              </w:rPr>
              <w:t>6,98</w:t>
            </w:r>
          </w:p>
        </w:tc>
      </w:tr>
      <w:tr>
        <w:trPr>
          <w:trHeight w:val="310" w:hRule="exact"/>
        </w:trPr>
        <w:tc>
          <w:tcPr>
            <w:tcW w:w="4951" w:type="dxa"/>
            <w:gridSpan w:val="6"/>
            <w:vMerge/>
            <w:tcBorders>
              <w:left w:val="nil"/>
              <w:bottom w:val="nil"/>
            </w:tcBorders>
          </w:tcPr>
          <w:p>
            <w:pPr/>
          </w:p>
        </w:tc>
        <w:tc>
          <w:tcPr>
            <w:tcW w:w="1951" w:type="dxa"/>
            <w:gridSpan w:val="2"/>
            <w:vMerge/>
          </w:tcPr>
          <w:p>
            <w:pPr/>
          </w:p>
        </w:tc>
        <w:tc>
          <w:tcPr>
            <w:tcW w:w="1637" w:type="dxa"/>
          </w:tcPr>
          <w:p>
            <w:pPr>
              <w:pStyle w:val="TableParagraph"/>
              <w:rPr>
                <w:sz w:val="22"/>
              </w:rPr>
            </w:pPr>
            <w:r>
              <w:rPr>
                <w:sz w:val="22"/>
              </w:rPr>
              <w:t>7,27</w:t>
            </w:r>
          </w:p>
        </w:tc>
      </w:tr>
    </w:tbl>
    <w:p>
      <w:pPr>
        <w:pStyle w:val="BodyText"/>
        <w:spacing w:before="1"/>
        <w:rPr>
          <w:b/>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9"/>
        <w:gridCol w:w="883"/>
        <w:gridCol w:w="499"/>
        <w:gridCol w:w="730"/>
        <w:gridCol w:w="730"/>
        <w:gridCol w:w="1190"/>
        <w:gridCol w:w="730"/>
        <w:gridCol w:w="1222"/>
        <w:gridCol w:w="1637"/>
      </w:tblGrid>
      <w:tr>
        <w:trPr>
          <w:trHeight w:val="312" w:hRule="exact"/>
        </w:trPr>
        <w:tc>
          <w:tcPr>
            <w:tcW w:w="8539" w:type="dxa"/>
            <w:gridSpan w:val="9"/>
          </w:tcPr>
          <w:p>
            <w:pPr>
              <w:pStyle w:val="TableParagraph"/>
              <w:spacing w:before="30"/>
              <w:ind w:left="3295" w:right="3295"/>
              <w:jc w:val="center"/>
              <w:rPr>
                <w:sz w:val="22"/>
              </w:rPr>
            </w:pPr>
            <w:r>
              <w:rPr>
                <w:sz w:val="22"/>
              </w:rPr>
              <w:t>Punto de muestreo C</w:t>
            </w:r>
          </w:p>
        </w:tc>
      </w:tr>
      <w:tr>
        <w:trPr>
          <w:trHeight w:val="310" w:hRule="exact"/>
        </w:trPr>
        <w:tc>
          <w:tcPr>
            <w:tcW w:w="919" w:type="dxa"/>
          </w:tcPr>
          <w:p>
            <w:pPr>
              <w:pStyle w:val="TableParagraph"/>
              <w:spacing w:before="11"/>
              <w:ind w:left="114" w:right="115"/>
              <w:jc w:val="center"/>
              <w:rPr>
                <w:sz w:val="22"/>
              </w:rPr>
            </w:pPr>
            <w:r>
              <w:rPr>
                <w:sz w:val="22"/>
              </w:rPr>
              <w:t>Estrato</w:t>
            </w:r>
          </w:p>
        </w:tc>
        <w:tc>
          <w:tcPr>
            <w:tcW w:w="883" w:type="dxa"/>
          </w:tcPr>
          <w:p>
            <w:pPr>
              <w:pStyle w:val="TableParagraph"/>
              <w:spacing w:before="40"/>
              <w:ind w:left="36" w:right="47"/>
              <w:jc w:val="center"/>
              <w:rPr>
                <w:rFonts w:ascii="Cambria Math"/>
                <w:sz w:val="16"/>
              </w:rPr>
            </w:pPr>
            <w:r>
              <w:rPr>
                <w:rFonts w:ascii="Cambria Math"/>
                <w:w w:val="110"/>
                <w:sz w:val="22"/>
              </w:rPr>
              <w:t>N</w:t>
            </w:r>
            <w:r>
              <w:rPr>
                <w:rFonts w:ascii="Cambria Math"/>
                <w:w w:val="110"/>
                <w:position w:val="-4"/>
                <w:sz w:val="16"/>
              </w:rPr>
              <w:t>h</w:t>
            </w:r>
          </w:p>
        </w:tc>
        <w:tc>
          <w:tcPr>
            <w:tcW w:w="499" w:type="dxa"/>
          </w:tcPr>
          <w:p>
            <w:pPr>
              <w:pStyle w:val="TableParagraph"/>
              <w:spacing w:before="40"/>
              <w:ind w:left="33" w:right="44"/>
              <w:jc w:val="center"/>
              <w:rPr>
                <w:rFonts w:ascii="Cambria Math"/>
                <w:sz w:val="16"/>
              </w:rPr>
            </w:pPr>
            <w:r>
              <w:rPr>
                <w:rFonts w:ascii="Cambria Math"/>
                <w:w w:val="110"/>
                <w:sz w:val="22"/>
              </w:rPr>
              <w:t>n</w:t>
            </w:r>
            <w:r>
              <w:rPr>
                <w:rFonts w:ascii="Cambria Math"/>
                <w:w w:val="110"/>
                <w:position w:val="-4"/>
                <w:sz w:val="16"/>
              </w:rPr>
              <w:t>h</w:t>
            </w:r>
          </w:p>
        </w:tc>
        <w:tc>
          <w:tcPr>
            <w:tcW w:w="730" w:type="dxa"/>
          </w:tcPr>
          <w:p>
            <w:pPr>
              <w:pStyle w:val="TableParagraph"/>
              <w:spacing w:before="40"/>
              <w:ind w:left="34" w:right="47"/>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30" w:type="dxa"/>
          </w:tcPr>
          <w:p>
            <w:pPr>
              <w:pStyle w:val="TableParagraph"/>
              <w:spacing w:line="214" w:lineRule="exact" w:before="6"/>
              <w:ind w:left="39" w:right="47"/>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190" w:type="dxa"/>
          </w:tcPr>
          <w:p>
            <w:pPr>
              <w:pStyle w:val="TableParagraph"/>
              <w:spacing w:before="16"/>
              <w:ind w:left="471" w:right="482"/>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30" w:type="dxa"/>
          </w:tcPr>
          <w:p>
            <w:pPr>
              <w:pStyle w:val="TableParagraph"/>
              <w:spacing w:before="40"/>
              <w:ind w:left="36" w:right="47"/>
              <w:jc w:val="center"/>
              <w:rPr>
                <w:rFonts w:ascii="Cambria Math"/>
                <w:sz w:val="16"/>
              </w:rPr>
            </w:pPr>
            <w:r>
              <w:rPr>
                <w:rFonts w:ascii="Cambria Math"/>
                <w:w w:val="110"/>
                <w:sz w:val="22"/>
              </w:rPr>
              <w:t>s</w:t>
            </w:r>
            <w:r>
              <w:rPr>
                <w:rFonts w:ascii="Cambria Math"/>
                <w:w w:val="110"/>
                <w:position w:val="-4"/>
                <w:sz w:val="16"/>
              </w:rPr>
              <w:t>h</w:t>
            </w:r>
          </w:p>
        </w:tc>
        <w:tc>
          <w:tcPr>
            <w:tcW w:w="1222" w:type="dxa"/>
          </w:tcPr>
          <w:p>
            <w:pPr>
              <w:pStyle w:val="TableParagraph"/>
              <w:spacing w:before="0"/>
              <w:ind w:left="275"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37" w:type="dxa"/>
          </w:tcPr>
          <w:p>
            <w:pPr>
              <w:pStyle w:val="TableParagraph"/>
              <w:spacing w:before="0"/>
              <w:ind w:left="467"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19" w:type="dxa"/>
          </w:tcPr>
          <w:p>
            <w:pPr>
              <w:pStyle w:val="TableParagraph"/>
              <w:ind w:right="1"/>
              <w:jc w:val="center"/>
              <w:rPr>
                <w:sz w:val="22"/>
              </w:rPr>
            </w:pPr>
            <w:r>
              <w:rPr>
                <w:w w:val="100"/>
                <w:sz w:val="22"/>
              </w:rPr>
              <w:t>1</w:t>
            </w:r>
          </w:p>
        </w:tc>
        <w:tc>
          <w:tcPr>
            <w:tcW w:w="883" w:type="dxa"/>
          </w:tcPr>
          <w:p>
            <w:pPr>
              <w:pStyle w:val="TableParagraph"/>
              <w:rPr>
                <w:sz w:val="22"/>
              </w:rPr>
            </w:pPr>
            <w:r>
              <w:rPr>
                <w:sz w:val="22"/>
              </w:rPr>
              <w:t>108,60</w:t>
            </w:r>
          </w:p>
        </w:tc>
        <w:tc>
          <w:tcPr>
            <w:tcW w:w="499" w:type="dxa"/>
          </w:tcPr>
          <w:p>
            <w:pPr>
              <w:pStyle w:val="TableParagraph"/>
              <w:ind w:left="71" w:right="44"/>
              <w:jc w:val="center"/>
              <w:rPr>
                <w:sz w:val="22"/>
              </w:rPr>
            </w:pPr>
            <w:r>
              <w:rPr>
                <w:sz w:val="22"/>
              </w:rPr>
              <w:t>108</w:t>
            </w:r>
          </w:p>
        </w:tc>
        <w:tc>
          <w:tcPr>
            <w:tcW w:w="730" w:type="dxa"/>
          </w:tcPr>
          <w:p>
            <w:pPr>
              <w:pStyle w:val="TableParagraph"/>
              <w:ind w:right="63"/>
              <w:rPr>
                <w:sz w:val="22"/>
              </w:rPr>
            </w:pPr>
            <w:r>
              <w:rPr>
                <w:sz w:val="22"/>
              </w:rPr>
              <w:t>6,758</w:t>
            </w:r>
          </w:p>
        </w:tc>
        <w:tc>
          <w:tcPr>
            <w:tcW w:w="730" w:type="dxa"/>
          </w:tcPr>
          <w:p>
            <w:pPr>
              <w:pStyle w:val="TableParagraph"/>
              <w:ind w:left="151" w:right="0"/>
              <w:jc w:val="left"/>
              <w:rPr>
                <w:sz w:val="22"/>
              </w:rPr>
            </w:pPr>
            <w:r>
              <w:rPr>
                <w:sz w:val="22"/>
              </w:rPr>
              <w:t>0,179</w:t>
            </w:r>
          </w:p>
        </w:tc>
        <w:tc>
          <w:tcPr>
            <w:tcW w:w="1190" w:type="dxa"/>
          </w:tcPr>
          <w:p>
            <w:pPr>
              <w:pStyle w:val="TableParagraph"/>
              <w:rPr>
                <w:sz w:val="22"/>
              </w:rPr>
            </w:pPr>
            <w:r>
              <w:rPr>
                <w:sz w:val="22"/>
              </w:rPr>
              <w:t>733,876</w:t>
            </w:r>
          </w:p>
        </w:tc>
        <w:tc>
          <w:tcPr>
            <w:tcW w:w="730" w:type="dxa"/>
          </w:tcPr>
          <w:p>
            <w:pPr>
              <w:pStyle w:val="TableParagraph"/>
              <w:ind w:left="132" w:right="47"/>
              <w:jc w:val="center"/>
              <w:rPr>
                <w:sz w:val="22"/>
              </w:rPr>
            </w:pPr>
            <w:r>
              <w:rPr>
                <w:sz w:val="22"/>
              </w:rPr>
              <w:t>0,423</w:t>
            </w:r>
          </w:p>
        </w:tc>
        <w:tc>
          <w:tcPr>
            <w:tcW w:w="1222" w:type="dxa"/>
          </w:tcPr>
          <w:p>
            <w:pPr>
              <w:pStyle w:val="TableParagraph"/>
              <w:rPr>
                <w:sz w:val="22"/>
              </w:rPr>
            </w:pPr>
            <w:r>
              <w:rPr>
                <w:sz w:val="22"/>
              </w:rPr>
              <w:t>-6,546</w:t>
            </w:r>
          </w:p>
        </w:tc>
        <w:tc>
          <w:tcPr>
            <w:tcW w:w="1637" w:type="dxa"/>
          </w:tcPr>
          <w:p>
            <w:pPr>
              <w:pStyle w:val="TableParagraph"/>
              <w:rPr>
                <w:sz w:val="22"/>
              </w:rPr>
            </w:pPr>
            <w:r>
              <w:rPr>
                <w:sz w:val="22"/>
              </w:rPr>
              <w:t>-0,00061705</w:t>
            </w:r>
          </w:p>
        </w:tc>
      </w:tr>
      <w:tr>
        <w:trPr>
          <w:trHeight w:val="310" w:hRule="exact"/>
        </w:trPr>
        <w:tc>
          <w:tcPr>
            <w:tcW w:w="919" w:type="dxa"/>
          </w:tcPr>
          <w:p>
            <w:pPr>
              <w:pStyle w:val="TableParagraph"/>
              <w:ind w:right="1"/>
              <w:jc w:val="center"/>
              <w:rPr>
                <w:sz w:val="22"/>
              </w:rPr>
            </w:pPr>
            <w:r>
              <w:rPr>
                <w:w w:val="100"/>
                <w:sz w:val="22"/>
              </w:rPr>
              <w:t>2</w:t>
            </w:r>
          </w:p>
        </w:tc>
        <w:tc>
          <w:tcPr>
            <w:tcW w:w="883" w:type="dxa"/>
          </w:tcPr>
          <w:p>
            <w:pPr>
              <w:pStyle w:val="TableParagraph"/>
              <w:rPr>
                <w:sz w:val="22"/>
              </w:rPr>
            </w:pPr>
            <w:r>
              <w:rPr>
                <w:sz w:val="22"/>
              </w:rPr>
              <w:t>121,03</w:t>
            </w:r>
          </w:p>
        </w:tc>
        <w:tc>
          <w:tcPr>
            <w:tcW w:w="499" w:type="dxa"/>
          </w:tcPr>
          <w:p>
            <w:pPr>
              <w:pStyle w:val="TableParagraph"/>
              <w:ind w:left="182" w:right="44"/>
              <w:jc w:val="center"/>
              <w:rPr>
                <w:sz w:val="22"/>
              </w:rPr>
            </w:pPr>
            <w:r>
              <w:rPr>
                <w:sz w:val="22"/>
              </w:rPr>
              <w:t>81</w:t>
            </w:r>
          </w:p>
        </w:tc>
        <w:tc>
          <w:tcPr>
            <w:tcW w:w="730" w:type="dxa"/>
          </w:tcPr>
          <w:p>
            <w:pPr>
              <w:pStyle w:val="TableParagraph"/>
              <w:ind w:right="63"/>
              <w:rPr>
                <w:sz w:val="22"/>
              </w:rPr>
            </w:pPr>
            <w:r>
              <w:rPr>
                <w:sz w:val="22"/>
              </w:rPr>
              <w:t>6,935</w:t>
            </w:r>
          </w:p>
        </w:tc>
        <w:tc>
          <w:tcPr>
            <w:tcW w:w="730" w:type="dxa"/>
          </w:tcPr>
          <w:p>
            <w:pPr>
              <w:pStyle w:val="TableParagraph"/>
              <w:ind w:left="151" w:right="0"/>
              <w:jc w:val="left"/>
              <w:rPr>
                <w:sz w:val="22"/>
              </w:rPr>
            </w:pPr>
            <w:r>
              <w:rPr>
                <w:sz w:val="22"/>
              </w:rPr>
              <w:t>0,205</w:t>
            </w:r>
          </w:p>
        </w:tc>
        <w:tc>
          <w:tcPr>
            <w:tcW w:w="1190" w:type="dxa"/>
          </w:tcPr>
          <w:p>
            <w:pPr>
              <w:pStyle w:val="TableParagraph"/>
              <w:rPr>
                <w:sz w:val="22"/>
              </w:rPr>
            </w:pPr>
            <w:r>
              <w:rPr>
                <w:sz w:val="22"/>
              </w:rPr>
              <w:t>839,343</w:t>
            </w:r>
          </w:p>
        </w:tc>
        <w:tc>
          <w:tcPr>
            <w:tcW w:w="730" w:type="dxa"/>
          </w:tcPr>
          <w:p>
            <w:pPr>
              <w:pStyle w:val="TableParagraph"/>
              <w:ind w:left="132" w:right="47"/>
              <w:jc w:val="center"/>
              <w:rPr>
                <w:sz w:val="22"/>
              </w:rPr>
            </w:pPr>
            <w:r>
              <w:rPr>
                <w:sz w:val="22"/>
              </w:rPr>
              <w:t>0,453</w:t>
            </w:r>
          </w:p>
        </w:tc>
        <w:tc>
          <w:tcPr>
            <w:tcW w:w="1222" w:type="dxa"/>
          </w:tcPr>
          <w:p>
            <w:pPr>
              <w:pStyle w:val="TableParagraph"/>
              <w:rPr>
                <w:sz w:val="22"/>
              </w:rPr>
            </w:pPr>
            <w:r>
              <w:rPr>
                <w:sz w:val="22"/>
              </w:rPr>
              <w:t>12,306</w:t>
            </w:r>
          </w:p>
        </w:tc>
        <w:tc>
          <w:tcPr>
            <w:tcW w:w="1637" w:type="dxa"/>
          </w:tcPr>
          <w:p>
            <w:pPr>
              <w:pStyle w:val="TableParagraph"/>
              <w:rPr>
                <w:sz w:val="22"/>
              </w:rPr>
            </w:pPr>
            <w:r>
              <w:rPr>
                <w:sz w:val="22"/>
              </w:rPr>
              <w:t>0,00115991</w:t>
            </w:r>
          </w:p>
        </w:tc>
      </w:tr>
      <w:tr>
        <w:trPr>
          <w:trHeight w:val="310" w:hRule="exact"/>
        </w:trPr>
        <w:tc>
          <w:tcPr>
            <w:tcW w:w="919" w:type="dxa"/>
          </w:tcPr>
          <w:p>
            <w:pPr>
              <w:pStyle w:val="TableParagraph"/>
              <w:ind w:right="1"/>
              <w:jc w:val="center"/>
              <w:rPr>
                <w:sz w:val="22"/>
              </w:rPr>
            </w:pPr>
            <w:r>
              <w:rPr>
                <w:w w:val="100"/>
                <w:sz w:val="22"/>
              </w:rPr>
              <w:t>3</w:t>
            </w:r>
          </w:p>
        </w:tc>
        <w:tc>
          <w:tcPr>
            <w:tcW w:w="883" w:type="dxa"/>
          </w:tcPr>
          <w:p>
            <w:pPr>
              <w:pStyle w:val="TableParagraph"/>
              <w:rPr>
                <w:sz w:val="22"/>
              </w:rPr>
            </w:pPr>
            <w:r>
              <w:rPr>
                <w:sz w:val="22"/>
              </w:rPr>
              <w:t>130,21</w:t>
            </w:r>
          </w:p>
        </w:tc>
        <w:tc>
          <w:tcPr>
            <w:tcW w:w="499" w:type="dxa"/>
          </w:tcPr>
          <w:p>
            <w:pPr>
              <w:pStyle w:val="TableParagraph"/>
              <w:ind w:left="182" w:right="44"/>
              <w:jc w:val="center"/>
              <w:rPr>
                <w:sz w:val="22"/>
              </w:rPr>
            </w:pPr>
            <w:r>
              <w:rPr>
                <w:sz w:val="22"/>
              </w:rPr>
              <w:t>77</w:t>
            </w:r>
          </w:p>
        </w:tc>
        <w:tc>
          <w:tcPr>
            <w:tcW w:w="730" w:type="dxa"/>
          </w:tcPr>
          <w:p>
            <w:pPr>
              <w:pStyle w:val="TableParagraph"/>
              <w:ind w:right="63"/>
              <w:rPr>
                <w:sz w:val="22"/>
              </w:rPr>
            </w:pPr>
            <w:r>
              <w:rPr>
                <w:sz w:val="22"/>
              </w:rPr>
              <w:t>7,067</w:t>
            </w:r>
          </w:p>
        </w:tc>
        <w:tc>
          <w:tcPr>
            <w:tcW w:w="730" w:type="dxa"/>
          </w:tcPr>
          <w:p>
            <w:pPr>
              <w:pStyle w:val="TableParagraph"/>
              <w:ind w:left="151" w:right="0"/>
              <w:jc w:val="left"/>
              <w:rPr>
                <w:sz w:val="22"/>
              </w:rPr>
            </w:pPr>
            <w:r>
              <w:rPr>
                <w:sz w:val="22"/>
              </w:rPr>
              <w:t>0,115</w:t>
            </w:r>
          </w:p>
        </w:tc>
        <w:tc>
          <w:tcPr>
            <w:tcW w:w="1190" w:type="dxa"/>
          </w:tcPr>
          <w:p>
            <w:pPr>
              <w:pStyle w:val="TableParagraph"/>
              <w:rPr>
                <w:sz w:val="22"/>
              </w:rPr>
            </w:pPr>
            <w:r>
              <w:rPr>
                <w:sz w:val="22"/>
              </w:rPr>
              <w:t>920,242</w:t>
            </w:r>
          </w:p>
        </w:tc>
        <w:tc>
          <w:tcPr>
            <w:tcW w:w="730" w:type="dxa"/>
          </w:tcPr>
          <w:p>
            <w:pPr>
              <w:pStyle w:val="TableParagraph"/>
              <w:ind w:left="132" w:right="47"/>
              <w:jc w:val="center"/>
              <w:rPr>
                <w:sz w:val="22"/>
              </w:rPr>
            </w:pPr>
            <w:r>
              <w:rPr>
                <w:sz w:val="22"/>
              </w:rPr>
              <w:t>0,339</w:t>
            </w:r>
          </w:p>
        </w:tc>
        <w:tc>
          <w:tcPr>
            <w:tcW w:w="1222" w:type="dxa"/>
          </w:tcPr>
          <w:p>
            <w:pPr>
              <w:pStyle w:val="TableParagraph"/>
              <w:rPr>
                <w:sz w:val="22"/>
              </w:rPr>
            </w:pPr>
            <w:r>
              <w:rPr>
                <w:sz w:val="22"/>
              </w:rPr>
              <w:t>10,485</w:t>
            </w:r>
          </w:p>
        </w:tc>
        <w:tc>
          <w:tcPr>
            <w:tcW w:w="1637" w:type="dxa"/>
          </w:tcPr>
          <w:p>
            <w:pPr>
              <w:pStyle w:val="TableParagraph"/>
              <w:rPr>
                <w:sz w:val="22"/>
              </w:rPr>
            </w:pPr>
            <w:r>
              <w:rPr>
                <w:sz w:val="22"/>
              </w:rPr>
              <w:t>0,00098827</w:t>
            </w:r>
          </w:p>
        </w:tc>
      </w:tr>
      <w:tr>
        <w:trPr>
          <w:trHeight w:val="310" w:hRule="exact"/>
        </w:trPr>
        <w:tc>
          <w:tcPr>
            <w:tcW w:w="919" w:type="dxa"/>
          </w:tcPr>
          <w:p>
            <w:pPr>
              <w:pStyle w:val="TableParagraph"/>
              <w:spacing w:before="30"/>
              <w:ind w:right="1"/>
              <w:jc w:val="center"/>
              <w:rPr>
                <w:sz w:val="22"/>
              </w:rPr>
            </w:pPr>
            <w:r>
              <w:rPr>
                <w:w w:val="100"/>
                <w:sz w:val="22"/>
              </w:rPr>
              <w:t>4</w:t>
            </w:r>
          </w:p>
        </w:tc>
        <w:tc>
          <w:tcPr>
            <w:tcW w:w="883" w:type="dxa"/>
          </w:tcPr>
          <w:p>
            <w:pPr>
              <w:pStyle w:val="TableParagraph"/>
              <w:spacing w:before="30"/>
              <w:rPr>
                <w:sz w:val="22"/>
              </w:rPr>
            </w:pPr>
            <w:r>
              <w:rPr>
                <w:sz w:val="22"/>
              </w:rPr>
              <w:t>155,12</w:t>
            </w:r>
          </w:p>
        </w:tc>
        <w:tc>
          <w:tcPr>
            <w:tcW w:w="499" w:type="dxa"/>
          </w:tcPr>
          <w:p>
            <w:pPr>
              <w:pStyle w:val="TableParagraph"/>
              <w:spacing w:before="30"/>
              <w:ind w:left="182" w:right="44"/>
              <w:jc w:val="center"/>
              <w:rPr>
                <w:sz w:val="22"/>
              </w:rPr>
            </w:pPr>
            <w:r>
              <w:rPr>
                <w:sz w:val="22"/>
              </w:rPr>
              <w:t>92</w:t>
            </w:r>
          </w:p>
        </w:tc>
        <w:tc>
          <w:tcPr>
            <w:tcW w:w="730" w:type="dxa"/>
          </w:tcPr>
          <w:p>
            <w:pPr>
              <w:pStyle w:val="TableParagraph"/>
              <w:spacing w:before="30"/>
              <w:ind w:right="63"/>
              <w:rPr>
                <w:sz w:val="22"/>
              </w:rPr>
            </w:pPr>
            <w:r>
              <w:rPr>
                <w:sz w:val="22"/>
              </w:rPr>
              <w:t>6,894</w:t>
            </w:r>
          </w:p>
        </w:tc>
        <w:tc>
          <w:tcPr>
            <w:tcW w:w="730" w:type="dxa"/>
          </w:tcPr>
          <w:p>
            <w:pPr>
              <w:pStyle w:val="TableParagraph"/>
              <w:spacing w:before="30"/>
              <w:ind w:left="151" w:right="0"/>
              <w:jc w:val="left"/>
              <w:rPr>
                <w:sz w:val="22"/>
              </w:rPr>
            </w:pPr>
            <w:r>
              <w:rPr>
                <w:sz w:val="22"/>
              </w:rPr>
              <w:t>0,303</w:t>
            </w:r>
          </w:p>
        </w:tc>
        <w:tc>
          <w:tcPr>
            <w:tcW w:w="1190" w:type="dxa"/>
          </w:tcPr>
          <w:p>
            <w:pPr>
              <w:pStyle w:val="TableParagraph"/>
              <w:spacing w:before="30"/>
              <w:rPr>
                <w:sz w:val="22"/>
              </w:rPr>
            </w:pPr>
            <w:r>
              <w:rPr>
                <w:sz w:val="22"/>
              </w:rPr>
              <w:t>1069,365</w:t>
            </w:r>
          </w:p>
        </w:tc>
        <w:tc>
          <w:tcPr>
            <w:tcW w:w="730" w:type="dxa"/>
          </w:tcPr>
          <w:p>
            <w:pPr>
              <w:pStyle w:val="TableParagraph"/>
              <w:spacing w:before="30"/>
              <w:ind w:left="132" w:right="47"/>
              <w:jc w:val="center"/>
              <w:rPr>
                <w:sz w:val="22"/>
              </w:rPr>
            </w:pPr>
            <w:r>
              <w:rPr>
                <w:sz w:val="22"/>
              </w:rPr>
              <w:t>0,550</w:t>
            </w:r>
          </w:p>
        </w:tc>
        <w:tc>
          <w:tcPr>
            <w:tcW w:w="1222" w:type="dxa"/>
          </w:tcPr>
          <w:p>
            <w:pPr>
              <w:pStyle w:val="TableParagraph"/>
              <w:spacing w:before="30"/>
              <w:rPr>
                <w:sz w:val="22"/>
              </w:rPr>
            </w:pPr>
            <w:r>
              <w:rPr>
                <w:sz w:val="22"/>
              </w:rPr>
              <w:t>32,399</w:t>
            </w:r>
          </w:p>
        </w:tc>
        <w:tc>
          <w:tcPr>
            <w:tcW w:w="1637" w:type="dxa"/>
          </w:tcPr>
          <w:p>
            <w:pPr>
              <w:pStyle w:val="TableParagraph"/>
              <w:spacing w:before="30"/>
              <w:rPr>
                <w:sz w:val="22"/>
              </w:rPr>
            </w:pPr>
            <w:r>
              <w:rPr>
                <w:sz w:val="22"/>
              </w:rPr>
              <w:t>0,00305392</w:t>
            </w:r>
          </w:p>
        </w:tc>
      </w:tr>
      <w:tr>
        <w:trPr>
          <w:trHeight w:val="312" w:hRule="exact"/>
        </w:trPr>
        <w:tc>
          <w:tcPr>
            <w:tcW w:w="919" w:type="dxa"/>
          </w:tcPr>
          <w:p>
            <w:pPr>
              <w:pStyle w:val="TableParagraph"/>
              <w:spacing w:before="30"/>
              <w:ind w:right="1"/>
              <w:jc w:val="center"/>
              <w:rPr>
                <w:sz w:val="22"/>
              </w:rPr>
            </w:pPr>
            <w:r>
              <w:rPr>
                <w:w w:val="100"/>
                <w:sz w:val="22"/>
              </w:rPr>
              <w:t>5</w:t>
            </w:r>
          </w:p>
        </w:tc>
        <w:tc>
          <w:tcPr>
            <w:tcW w:w="883" w:type="dxa"/>
          </w:tcPr>
          <w:p>
            <w:pPr>
              <w:pStyle w:val="TableParagraph"/>
              <w:spacing w:before="30"/>
              <w:rPr>
                <w:sz w:val="22"/>
              </w:rPr>
            </w:pPr>
            <w:r>
              <w:rPr>
                <w:sz w:val="22"/>
              </w:rPr>
              <w:t>180,21</w:t>
            </w:r>
          </w:p>
        </w:tc>
        <w:tc>
          <w:tcPr>
            <w:tcW w:w="499" w:type="dxa"/>
          </w:tcPr>
          <w:p>
            <w:pPr>
              <w:pStyle w:val="TableParagraph"/>
              <w:spacing w:before="30"/>
              <w:ind w:left="71" w:right="44"/>
              <w:jc w:val="center"/>
              <w:rPr>
                <w:sz w:val="22"/>
              </w:rPr>
            </w:pPr>
            <w:r>
              <w:rPr>
                <w:sz w:val="22"/>
              </w:rPr>
              <w:t>132</w:t>
            </w:r>
          </w:p>
        </w:tc>
        <w:tc>
          <w:tcPr>
            <w:tcW w:w="730" w:type="dxa"/>
          </w:tcPr>
          <w:p>
            <w:pPr>
              <w:pStyle w:val="TableParagraph"/>
              <w:spacing w:before="30"/>
              <w:ind w:right="63"/>
              <w:rPr>
                <w:sz w:val="22"/>
              </w:rPr>
            </w:pPr>
            <w:r>
              <w:rPr>
                <w:sz w:val="22"/>
              </w:rPr>
              <w:t>7,178</w:t>
            </w:r>
          </w:p>
        </w:tc>
        <w:tc>
          <w:tcPr>
            <w:tcW w:w="730" w:type="dxa"/>
          </w:tcPr>
          <w:p>
            <w:pPr>
              <w:pStyle w:val="TableParagraph"/>
              <w:spacing w:before="30"/>
              <w:ind w:left="151" w:right="0"/>
              <w:jc w:val="left"/>
              <w:rPr>
                <w:sz w:val="22"/>
              </w:rPr>
            </w:pPr>
            <w:r>
              <w:rPr>
                <w:sz w:val="22"/>
              </w:rPr>
              <w:t>0,028</w:t>
            </w:r>
          </w:p>
        </w:tc>
        <w:tc>
          <w:tcPr>
            <w:tcW w:w="1190" w:type="dxa"/>
          </w:tcPr>
          <w:p>
            <w:pPr>
              <w:pStyle w:val="TableParagraph"/>
              <w:spacing w:before="30"/>
              <w:rPr>
                <w:sz w:val="22"/>
              </w:rPr>
            </w:pPr>
            <w:r>
              <w:rPr>
                <w:sz w:val="22"/>
              </w:rPr>
              <w:t>1293,607</w:t>
            </w:r>
          </w:p>
        </w:tc>
        <w:tc>
          <w:tcPr>
            <w:tcW w:w="730" w:type="dxa"/>
          </w:tcPr>
          <w:p>
            <w:pPr>
              <w:pStyle w:val="TableParagraph"/>
              <w:spacing w:before="30"/>
              <w:ind w:left="132" w:right="47"/>
              <w:jc w:val="center"/>
              <w:rPr>
                <w:sz w:val="22"/>
              </w:rPr>
            </w:pPr>
            <w:r>
              <w:rPr>
                <w:sz w:val="22"/>
              </w:rPr>
              <w:t>0,168</w:t>
            </w:r>
          </w:p>
        </w:tc>
        <w:tc>
          <w:tcPr>
            <w:tcW w:w="1222" w:type="dxa"/>
          </w:tcPr>
          <w:p>
            <w:pPr>
              <w:pStyle w:val="TableParagraph"/>
              <w:spacing w:before="30"/>
              <w:rPr>
                <w:sz w:val="22"/>
              </w:rPr>
            </w:pPr>
            <w:r>
              <w:rPr>
                <w:sz w:val="22"/>
              </w:rPr>
              <w:t>1,867</w:t>
            </w:r>
          </w:p>
        </w:tc>
        <w:tc>
          <w:tcPr>
            <w:tcW w:w="1637" w:type="dxa"/>
          </w:tcPr>
          <w:p>
            <w:pPr>
              <w:pStyle w:val="TableParagraph"/>
              <w:spacing w:before="30"/>
              <w:rPr>
                <w:sz w:val="22"/>
              </w:rPr>
            </w:pPr>
            <w:r>
              <w:rPr>
                <w:sz w:val="22"/>
              </w:rPr>
              <w:t>0,00017594</w:t>
            </w:r>
          </w:p>
        </w:tc>
      </w:tr>
      <w:tr>
        <w:trPr>
          <w:trHeight w:val="310" w:hRule="exact"/>
        </w:trPr>
        <w:tc>
          <w:tcPr>
            <w:tcW w:w="919" w:type="dxa"/>
          </w:tcPr>
          <w:p>
            <w:pPr>
              <w:pStyle w:val="TableParagraph"/>
              <w:ind w:right="0"/>
              <w:jc w:val="center"/>
              <w:rPr>
                <w:sz w:val="22"/>
              </w:rPr>
            </w:pPr>
            <w:r>
              <w:rPr>
                <w:w w:val="100"/>
                <w:sz w:val="22"/>
              </w:rPr>
              <w:t>N</w:t>
            </w:r>
          </w:p>
        </w:tc>
        <w:tc>
          <w:tcPr>
            <w:tcW w:w="883" w:type="dxa"/>
          </w:tcPr>
          <w:p>
            <w:pPr>
              <w:pStyle w:val="TableParagraph"/>
              <w:rPr>
                <w:sz w:val="22"/>
              </w:rPr>
            </w:pPr>
            <w:r>
              <w:rPr>
                <w:sz w:val="22"/>
              </w:rPr>
              <w:t>695,17</w:t>
            </w:r>
          </w:p>
        </w:tc>
        <w:tc>
          <w:tcPr>
            <w:tcW w:w="499" w:type="dxa"/>
          </w:tcPr>
          <w:p>
            <w:pPr/>
          </w:p>
        </w:tc>
        <w:tc>
          <w:tcPr>
            <w:tcW w:w="730" w:type="dxa"/>
          </w:tcPr>
          <w:p>
            <w:pPr/>
          </w:p>
        </w:tc>
        <w:tc>
          <w:tcPr>
            <w:tcW w:w="730" w:type="dxa"/>
          </w:tcPr>
          <w:p>
            <w:pPr>
              <w:pStyle w:val="TableParagraph"/>
              <w:spacing w:before="16"/>
              <w:ind w:left="194"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190" w:type="dxa"/>
          </w:tcPr>
          <w:p>
            <w:pPr>
              <w:pStyle w:val="TableParagraph"/>
              <w:rPr>
                <w:sz w:val="22"/>
              </w:rPr>
            </w:pPr>
            <w:r>
              <w:rPr>
                <w:sz w:val="22"/>
              </w:rPr>
              <w:t>4856,434</w:t>
            </w:r>
          </w:p>
        </w:tc>
        <w:tc>
          <w:tcPr>
            <w:tcW w:w="730" w:type="dxa"/>
          </w:tcPr>
          <w:p>
            <w:pPr/>
          </w:p>
        </w:tc>
        <w:tc>
          <w:tcPr>
            <w:tcW w:w="1222" w:type="dxa"/>
          </w:tcPr>
          <w:p>
            <w:pPr>
              <w:pStyle w:val="TableParagraph"/>
              <w:rPr>
                <w:sz w:val="22"/>
              </w:rPr>
            </w:pPr>
            <w:r>
              <w:rPr>
                <w:sz w:val="22"/>
              </w:rPr>
              <w:t>50,509</w:t>
            </w:r>
          </w:p>
        </w:tc>
        <w:tc>
          <w:tcPr>
            <w:tcW w:w="1637" w:type="dxa"/>
          </w:tcPr>
          <w:p>
            <w:pPr>
              <w:pStyle w:val="TableParagraph"/>
              <w:rPr>
                <w:sz w:val="22"/>
              </w:rPr>
            </w:pPr>
            <w:r>
              <w:rPr>
                <w:sz w:val="22"/>
              </w:rPr>
              <w:t>0,004761</w:t>
            </w:r>
          </w:p>
        </w:tc>
      </w:tr>
      <w:tr>
        <w:trPr>
          <w:trHeight w:val="310" w:hRule="exact"/>
        </w:trPr>
        <w:tc>
          <w:tcPr>
            <w:tcW w:w="4951" w:type="dxa"/>
            <w:gridSpan w:val="6"/>
            <w:vMerge w:val="restart"/>
            <w:tcBorders>
              <w:left w:val="nil"/>
            </w:tcBorders>
          </w:tcPr>
          <w:p>
            <w:pPr/>
          </w:p>
        </w:tc>
        <w:tc>
          <w:tcPr>
            <w:tcW w:w="1951"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37" w:type="dxa"/>
          </w:tcPr>
          <w:p>
            <w:pPr>
              <w:pStyle w:val="TableParagraph"/>
              <w:rPr>
                <w:b/>
                <w:sz w:val="22"/>
              </w:rPr>
            </w:pPr>
            <w:r>
              <w:rPr>
                <w:b/>
                <w:sz w:val="22"/>
              </w:rPr>
              <w:t>6,986</w:t>
            </w:r>
          </w:p>
        </w:tc>
      </w:tr>
      <w:tr>
        <w:trPr>
          <w:trHeight w:val="310" w:hRule="exact"/>
        </w:trPr>
        <w:tc>
          <w:tcPr>
            <w:tcW w:w="4951" w:type="dxa"/>
            <w:gridSpan w:val="6"/>
            <w:vMerge/>
            <w:tcBorders>
              <w:left w:val="nil"/>
            </w:tcBorders>
          </w:tcPr>
          <w:p>
            <w:pPr/>
          </w:p>
        </w:tc>
        <w:tc>
          <w:tcPr>
            <w:tcW w:w="1951" w:type="dxa"/>
            <w:gridSpan w:val="2"/>
          </w:tcPr>
          <w:p>
            <w:pPr>
              <w:pStyle w:val="TableParagraph"/>
              <w:spacing w:before="13"/>
              <w:ind w:left="64" w:right="0"/>
              <w:jc w:val="left"/>
              <w:rPr>
                <w:sz w:val="22"/>
              </w:rPr>
            </w:pPr>
            <w:r>
              <w:rPr>
                <w:sz w:val="22"/>
              </w:rPr>
              <w:t>Desviación estándar</w:t>
            </w:r>
          </w:p>
        </w:tc>
        <w:tc>
          <w:tcPr>
            <w:tcW w:w="1637" w:type="dxa"/>
          </w:tcPr>
          <w:p>
            <w:pPr>
              <w:pStyle w:val="TableParagraph"/>
              <w:rPr>
                <w:b/>
                <w:sz w:val="22"/>
              </w:rPr>
            </w:pPr>
            <w:r>
              <w:rPr>
                <w:b/>
                <w:sz w:val="22"/>
              </w:rPr>
              <w:t>0,069</w:t>
            </w:r>
          </w:p>
        </w:tc>
      </w:tr>
      <w:tr>
        <w:trPr>
          <w:trHeight w:val="310" w:hRule="exact"/>
        </w:trPr>
        <w:tc>
          <w:tcPr>
            <w:tcW w:w="4951" w:type="dxa"/>
            <w:gridSpan w:val="6"/>
            <w:vMerge/>
            <w:tcBorders>
              <w:left w:val="nil"/>
            </w:tcBorders>
          </w:tcPr>
          <w:p>
            <w:pPr/>
          </w:p>
        </w:tc>
        <w:tc>
          <w:tcPr>
            <w:tcW w:w="1951" w:type="dxa"/>
            <w:gridSpan w:val="2"/>
            <w:vMerge w:val="restart"/>
          </w:tcPr>
          <w:p>
            <w:pPr>
              <w:pStyle w:val="TableParagraph"/>
              <w:spacing w:before="33"/>
              <w:ind w:left="64" w:right="316"/>
              <w:jc w:val="left"/>
              <w:rPr>
                <w:sz w:val="22"/>
              </w:rPr>
            </w:pPr>
            <w:r>
              <w:rPr>
                <w:sz w:val="22"/>
              </w:rPr>
              <w:t>Intervalo de confianza al 95 %</w:t>
            </w:r>
          </w:p>
        </w:tc>
        <w:tc>
          <w:tcPr>
            <w:tcW w:w="1637" w:type="dxa"/>
          </w:tcPr>
          <w:p>
            <w:pPr>
              <w:pStyle w:val="TableParagraph"/>
              <w:rPr>
                <w:sz w:val="22"/>
              </w:rPr>
            </w:pPr>
            <w:r>
              <w:rPr>
                <w:sz w:val="22"/>
              </w:rPr>
              <w:t>6,85</w:t>
            </w:r>
          </w:p>
        </w:tc>
      </w:tr>
      <w:tr>
        <w:trPr>
          <w:trHeight w:val="312" w:hRule="exact"/>
        </w:trPr>
        <w:tc>
          <w:tcPr>
            <w:tcW w:w="4951" w:type="dxa"/>
            <w:gridSpan w:val="6"/>
            <w:vMerge/>
            <w:tcBorders>
              <w:left w:val="nil"/>
              <w:bottom w:val="nil"/>
            </w:tcBorders>
          </w:tcPr>
          <w:p>
            <w:pPr/>
          </w:p>
        </w:tc>
        <w:tc>
          <w:tcPr>
            <w:tcW w:w="1951" w:type="dxa"/>
            <w:gridSpan w:val="2"/>
            <w:vMerge/>
          </w:tcPr>
          <w:p>
            <w:pPr/>
          </w:p>
        </w:tc>
        <w:tc>
          <w:tcPr>
            <w:tcW w:w="1637" w:type="dxa"/>
          </w:tcPr>
          <w:p>
            <w:pPr>
              <w:pStyle w:val="TableParagraph"/>
              <w:spacing w:before="30"/>
              <w:rPr>
                <w:sz w:val="22"/>
              </w:rPr>
            </w:pPr>
            <w:r>
              <w:rPr>
                <w:sz w:val="22"/>
              </w:rPr>
              <w:t>7,12</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3"/>
        <w:gridCol w:w="905"/>
        <w:gridCol w:w="514"/>
        <w:gridCol w:w="749"/>
        <w:gridCol w:w="746"/>
        <w:gridCol w:w="1222"/>
        <w:gridCol w:w="749"/>
        <w:gridCol w:w="1253"/>
        <w:gridCol w:w="1680"/>
      </w:tblGrid>
      <w:tr>
        <w:trPr>
          <w:trHeight w:val="310" w:hRule="exact"/>
        </w:trPr>
        <w:tc>
          <w:tcPr>
            <w:tcW w:w="8760" w:type="dxa"/>
            <w:gridSpan w:val="9"/>
          </w:tcPr>
          <w:p>
            <w:pPr>
              <w:pStyle w:val="TableParagraph"/>
              <w:ind w:left="3398" w:right="3399"/>
              <w:jc w:val="center"/>
              <w:rPr>
                <w:sz w:val="22"/>
              </w:rPr>
            </w:pPr>
            <w:r>
              <w:rPr>
                <w:sz w:val="22"/>
              </w:rPr>
              <w:t>Punto de muestreo D</w:t>
            </w:r>
          </w:p>
        </w:tc>
      </w:tr>
      <w:tr>
        <w:trPr>
          <w:trHeight w:val="310" w:hRule="exact"/>
        </w:trPr>
        <w:tc>
          <w:tcPr>
            <w:tcW w:w="943" w:type="dxa"/>
          </w:tcPr>
          <w:p>
            <w:pPr>
              <w:pStyle w:val="TableParagraph"/>
              <w:spacing w:before="13"/>
              <w:ind w:left="126" w:right="127"/>
              <w:jc w:val="center"/>
              <w:rPr>
                <w:sz w:val="22"/>
              </w:rPr>
            </w:pPr>
            <w:r>
              <w:rPr>
                <w:sz w:val="22"/>
              </w:rPr>
              <w:t>Estrato</w:t>
            </w:r>
          </w:p>
        </w:tc>
        <w:tc>
          <w:tcPr>
            <w:tcW w:w="905" w:type="dxa"/>
          </w:tcPr>
          <w:p>
            <w:pPr>
              <w:pStyle w:val="TableParagraph"/>
              <w:spacing w:before="43"/>
              <w:ind w:left="290" w:right="303"/>
              <w:jc w:val="center"/>
              <w:rPr>
                <w:rFonts w:ascii="Cambria Math"/>
                <w:sz w:val="16"/>
              </w:rPr>
            </w:pPr>
            <w:r>
              <w:rPr>
                <w:rFonts w:ascii="Cambria Math"/>
                <w:w w:val="110"/>
                <w:sz w:val="22"/>
              </w:rPr>
              <w:t>N</w:t>
            </w:r>
            <w:r>
              <w:rPr>
                <w:rFonts w:ascii="Cambria Math"/>
                <w:w w:val="110"/>
                <w:position w:val="-4"/>
                <w:sz w:val="16"/>
              </w:rPr>
              <w:t>h</w:t>
            </w:r>
          </w:p>
        </w:tc>
        <w:tc>
          <w:tcPr>
            <w:tcW w:w="514" w:type="dxa"/>
          </w:tcPr>
          <w:p>
            <w:pPr>
              <w:pStyle w:val="TableParagraph"/>
              <w:spacing w:before="43"/>
              <w:ind w:left="131" w:right="0"/>
              <w:jc w:val="left"/>
              <w:rPr>
                <w:rFonts w:ascii="Cambria Math"/>
                <w:sz w:val="16"/>
              </w:rPr>
            </w:pPr>
            <w:r>
              <w:rPr>
                <w:rFonts w:ascii="Cambria Math"/>
                <w:w w:val="110"/>
                <w:sz w:val="22"/>
              </w:rPr>
              <w:t>n</w:t>
            </w:r>
            <w:r>
              <w:rPr>
                <w:rFonts w:ascii="Cambria Math"/>
                <w:w w:val="110"/>
                <w:position w:val="-4"/>
                <w:sz w:val="16"/>
              </w:rPr>
              <w:t>h</w:t>
            </w:r>
          </w:p>
        </w:tc>
        <w:tc>
          <w:tcPr>
            <w:tcW w:w="749" w:type="dxa"/>
          </w:tcPr>
          <w:p>
            <w:pPr>
              <w:pStyle w:val="TableParagraph"/>
              <w:spacing w:before="43"/>
              <w:ind w:left="235" w:right="24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46" w:type="dxa"/>
          </w:tcPr>
          <w:p>
            <w:pPr>
              <w:pStyle w:val="TableParagraph"/>
              <w:spacing w:line="214" w:lineRule="exact" w:before="6"/>
              <w:ind w:left="247" w:right="257"/>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222" w:type="dxa"/>
          </w:tcPr>
          <w:p>
            <w:pPr>
              <w:pStyle w:val="TableParagraph"/>
              <w:spacing w:before="19"/>
              <w:ind w:left="486" w:right="49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49" w:type="dxa"/>
          </w:tcPr>
          <w:p>
            <w:pPr>
              <w:pStyle w:val="TableParagraph"/>
              <w:spacing w:before="43"/>
              <w:ind w:left="235" w:right="246"/>
              <w:jc w:val="center"/>
              <w:rPr>
                <w:rFonts w:ascii="Cambria Math"/>
                <w:sz w:val="16"/>
              </w:rPr>
            </w:pPr>
            <w:r>
              <w:rPr>
                <w:rFonts w:ascii="Cambria Math"/>
                <w:w w:val="110"/>
                <w:sz w:val="22"/>
              </w:rPr>
              <w:t>s</w:t>
            </w:r>
            <w:r>
              <w:rPr>
                <w:rFonts w:ascii="Cambria Math"/>
                <w:w w:val="110"/>
                <w:position w:val="-4"/>
                <w:sz w:val="16"/>
              </w:rPr>
              <w:t>h</w:t>
            </w:r>
          </w:p>
        </w:tc>
        <w:tc>
          <w:tcPr>
            <w:tcW w:w="1253" w:type="dxa"/>
          </w:tcPr>
          <w:p>
            <w:pPr>
              <w:pStyle w:val="TableParagraph"/>
              <w:spacing w:before="0"/>
              <w:ind w:left="29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80" w:type="dxa"/>
          </w:tcPr>
          <w:p>
            <w:pPr>
              <w:pStyle w:val="TableParagraph"/>
              <w:spacing w:before="0"/>
              <w:ind w:left="48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43" w:type="dxa"/>
          </w:tcPr>
          <w:p>
            <w:pPr>
              <w:pStyle w:val="TableParagraph"/>
              <w:spacing w:before="30"/>
              <w:ind w:right="1"/>
              <w:jc w:val="center"/>
              <w:rPr>
                <w:sz w:val="22"/>
              </w:rPr>
            </w:pPr>
            <w:r>
              <w:rPr>
                <w:w w:val="100"/>
                <w:sz w:val="22"/>
              </w:rPr>
              <w:t>1</w:t>
            </w:r>
          </w:p>
        </w:tc>
        <w:tc>
          <w:tcPr>
            <w:tcW w:w="905" w:type="dxa"/>
          </w:tcPr>
          <w:p>
            <w:pPr>
              <w:pStyle w:val="TableParagraph"/>
              <w:spacing w:before="30"/>
              <w:rPr>
                <w:sz w:val="22"/>
              </w:rPr>
            </w:pPr>
            <w:r>
              <w:rPr>
                <w:sz w:val="22"/>
              </w:rPr>
              <w:t>108,60</w:t>
            </w:r>
          </w:p>
        </w:tc>
        <w:tc>
          <w:tcPr>
            <w:tcW w:w="514" w:type="dxa"/>
          </w:tcPr>
          <w:p>
            <w:pPr>
              <w:pStyle w:val="TableParagraph"/>
              <w:spacing w:before="30"/>
              <w:ind w:right="63"/>
              <w:rPr>
                <w:sz w:val="22"/>
              </w:rPr>
            </w:pPr>
            <w:r>
              <w:rPr>
                <w:sz w:val="22"/>
              </w:rPr>
              <w:t>108</w:t>
            </w:r>
          </w:p>
        </w:tc>
        <w:tc>
          <w:tcPr>
            <w:tcW w:w="749" w:type="dxa"/>
          </w:tcPr>
          <w:p>
            <w:pPr>
              <w:pStyle w:val="TableParagraph"/>
              <w:spacing w:before="30"/>
              <w:ind w:right="63"/>
              <w:rPr>
                <w:sz w:val="22"/>
              </w:rPr>
            </w:pPr>
            <w:r>
              <w:rPr>
                <w:sz w:val="22"/>
              </w:rPr>
              <w:t>6,709</w:t>
            </w:r>
          </w:p>
        </w:tc>
        <w:tc>
          <w:tcPr>
            <w:tcW w:w="746" w:type="dxa"/>
          </w:tcPr>
          <w:p>
            <w:pPr>
              <w:pStyle w:val="TableParagraph"/>
              <w:spacing w:before="30"/>
              <w:ind w:left="167" w:right="0"/>
              <w:jc w:val="left"/>
              <w:rPr>
                <w:sz w:val="22"/>
              </w:rPr>
            </w:pPr>
            <w:r>
              <w:rPr>
                <w:sz w:val="22"/>
              </w:rPr>
              <w:t>0,144</w:t>
            </w:r>
          </w:p>
        </w:tc>
        <w:tc>
          <w:tcPr>
            <w:tcW w:w="1222" w:type="dxa"/>
          </w:tcPr>
          <w:p>
            <w:pPr>
              <w:pStyle w:val="TableParagraph"/>
              <w:spacing w:before="30"/>
              <w:ind w:right="63"/>
              <w:rPr>
                <w:sz w:val="22"/>
              </w:rPr>
            </w:pPr>
            <w:r>
              <w:rPr>
                <w:sz w:val="22"/>
              </w:rPr>
              <w:t>728,600</w:t>
            </w:r>
          </w:p>
        </w:tc>
        <w:tc>
          <w:tcPr>
            <w:tcW w:w="749" w:type="dxa"/>
          </w:tcPr>
          <w:p>
            <w:pPr>
              <w:pStyle w:val="TableParagraph"/>
              <w:spacing w:before="30"/>
              <w:ind w:right="63"/>
              <w:rPr>
                <w:sz w:val="22"/>
              </w:rPr>
            </w:pPr>
            <w:r>
              <w:rPr>
                <w:sz w:val="22"/>
              </w:rPr>
              <w:t>0,380</w:t>
            </w:r>
          </w:p>
        </w:tc>
        <w:tc>
          <w:tcPr>
            <w:tcW w:w="1253" w:type="dxa"/>
          </w:tcPr>
          <w:p>
            <w:pPr>
              <w:pStyle w:val="TableParagraph"/>
              <w:spacing w:before="30"/>
              <w:rPr>
                <w:sz w:val="22"/>
              </w:rPr>
            </w:pPr>
            <w:r>
              <w:rPr>
                <w:sz w:val="22"/>
              </w:rPr>
              <w:t>-5,269</w:t>
            </w:r>
          </w:p>
        </w:tc>
        <w:tc>
          <w:tcPr>
            <w:tcW w:w="1680" w:type="dxa"/>
          </w:tcPr>
          <w:p>
            <w:pPr>
              <w:pStyle w:val="TableParagraph"/>
              <w:spacing w:before="30"/>
              <w:ind w:right="63"/>
              <w:rPr>
                <w:sz w:val="22"/>
              </w:rPr>
            </w:pPr>
            <w:r>
              <w:rPr>
                <w:sz w:val="22"/>
              </w:rPr>
              <w:t>-0,00049663</w:t>
            </w:r>
          </w:p>
        </w:tc>
      </w:tr>
      <w:tr>
        <w:trPr>
          <w:trHeight w:val="312" w:hRule="exact"/>
        </w:trPr>
        <w:tc>
          <w:tcPr>
            <w:tcW w:w="943" w:type="dxa"/>
          </w:tcPr>
          <w:p>
            <w:pPr>
              <w:pStyle w:val="TableParagraph"/>
              <w:spacing w:before="30"/>
              <w:ind w:right="1"/>
              <w:jc w:val="center"/>
              <w:rPr>
                <w:sz w:val="22"/>
              </w:rPr>
            </w:pPr>
            <w:r>
              <w:rPr>
                <w:w w:val="100"/>
                <w:sz w:val="22"/>
              </w:rPr>
              <w:t>2</w:t>
            </w:r>
          </w:p>
        </w:tc>
        <w:tc>
          <w:tcPr>
            <w:tcW w:w="905" w:type="dxa"/>
          </w:tcPr>
          <w:p>
            <w:pPr>
              <w:pStyle w:val="TableParagraph"/>
              <w:spacing w:before="30"/>
              <w:rPr>
                <w:sz w:val="22"/>
              </w:rPr>
            </w:pPr>
            <w:r>
              <w:rPr>
                <w:sz w:val="22"/>
              </w:rPr>
              <w:t>121,03</w:t>
            </w:r>
          </w:p>
        </w:tc>
        <w:tc>
          <w:tcPr>
            <w:tcW w:w="514" w:type="dxa"/>
          </w:tcPr>
          <w:p>
            <w:pPr>
              <w:pStyle w:val="TableParagraph"/>
              <w:spacing w:before="30"/>
              <w:ind w:right="63"/>
              <w:rPr>
                <w:sz w:val="22"/>
              </w:rPr>
            </w:pPr>
            <w:r>
              <w:rPr>
                <w:sz w:val="22"/>
              </w:rPr>
              <w:t>81</w:t>
            </w:r>
          </w:p>
        </w:tc>
        <w:tc>
          <w:tcPr>
            <w:tcW w:w="749" w:type="dxa"/>
          </w:tcPr>
          <w:p>
            <w:pPr>
              <w:pStyle w:val="TableParagraph"/>
              <w:spacing w:before="30"/>
              <w:ind w:right="63"/>
              <w:rPr>
                <w:sz w:val="22"/>
              </w:rPr>
            </w:pPr>
            <w:r>
              <w:rPr>
                <w:sz w:val="22"/>
              </w:rPr>
              <w:t>6,933</w:t>
            </w:r>
          </w:p>
        </w:tc>
        <w:tc>
          <w:tcPr>
            <w:tcW w:w="746" w:type="dxa"/>
          </w:tcPr>
          <w:p>
            <w:pPr>
              <w:pStyle w:val="TableParagraph"/>
              <w:spacing w:before="30"/>
              <w:ind w:left="167" w:right="0"/>
              <w:jc w:val="left"/>
              <w:rPr>
                <w:sz w:val="22"/>
              </w:rPr>
            </w:pPr>
            <w:r>
              <w:rPr>
                <w:sz w:val="22"/>
              </w:rPr>
              <w:t>0,228</w:t>
            </w:r>
          </w:p>
        </w:tc>
        <w:tc>
          <w:tcPr>
            <w:tcW w:w="1222" w:type="dxa"/>
          </w:tcPr>
          <w:p>
            <w:pPr>
              <w:pStyle w:val="TableParagraph"/>
              <w:spacing w:before="30"/>
              <w:ind w:right="63"/>
              <w:rPr>
                <w:sz w:val="22"/>
              </w:rPr>
            </w:pPr>
            <w:r>
              <w:rPr>
                <w:sz w:val="22"/>
              </w:rPr>
              <w:t>839,141</w:t>
            </w:r>
          </w:p>
        </w:tc>
        <w:tc>
          <w:tcPr>
            <w:tcW w:w="749" w:type="dxa"/>
          </w:tcPr>
          <w:p>
            <w:pPr>
              <w:pStyle w:val="TableParagraph"/>
              <w:spacing w:before="30"/>
              <w:ind w:right="63"/>
              <w:rPr>
                <w:sz w:val="22"/>
              </w:rPr>
            </w:pPr>
            <w:r>
              <w:rPr>
                <w:sz w:val="22"/>
              </w:rPr>
              <w:t>0,478</w:t>
            </w:r>
          </w:p>
        </w:tc>
        <w:tc>
          <w:tcPr>
            <w:tcW w:w="1253" w:type="dxa"/>
          </w:tcPr>
          <w:p>
            <w:pPr>
              <w:pStyle w:val="TableParagraph"/>
              <w:spacing w:before="30"/>
              <w:rPr>
                <w:sz w:val="22"/>
              </w:rPr>
            </w:pPr>
            <w:r>
              <w:rPr>
                <w:sz w:val="22"/>
              </w:rPr>
              <w:t>13,675</w:t>
            </w:r>
          </w:p>
        </w:tc>
        <w:tc>
          <w:tcPr>
            <w:tcW w:w="1680" w:type="dxa"/>
          </w:tcPr>
          <w:p>
            <w:pPr>
              <w:pStyle w:val="TableParagraph"/>
              <w:spacing w:before="30"/>
              <w:ind w:right="63"/>
              <w:rPr>
                <w:sz w:val="22"/>
              </w:rPr>
            </w:pPr>
            <w:r>
              <w:rPr>
                <w:sz w:val="22"/>
              </w:rPr>
              <w:t>0,00128904</w:t>
            </w:r>
          </w:p>
        </w:tc>
      </w:tr>
      <w:tr>
        <w:trPr>
          <w:trHeight w:val="310" w:hRule="exact"/>
        </w:trPr>
        <w:tc>
          <w:tcPr>
            <w:tcW w:w="943" w:type="dxa"/>
          </w:tcPr>
          <w:p>
            <w:pPr>
              <w:pStyle w:val="TableParagraph"/>
              <w:ind w:right="1"/>
              <w:jc w:val="center"/>
              <w:rPr>
                <w:sz w:val="22"/>
              </w:rPr>
            </w:pPr>
            <w:r>
              <w:rPr>
                <w:w w:val="100"/>
                <w:sz w:val="22"/>
              </w:rPr>
              <w:t>3</w:t>
            </w:r>
          </w:p>
        </w:tc>
        <w:tc>
          <w:tcPr>
            <w:tcW w:w="905" w:type="dxa"/>
          </w:tcPr>
          <w:p>
            <w:pPr>
              <w:pStyle w:val="TableParagraph"/>
              <w:rPr>
                <w:sz w:val="22"/>
              </w:rPr>
            </w:pPr>
            <w:r>
              <w:rPr>
                <w:sz w:val="22"/>
              </w:rPr>
              <w:t>130,21</w:t>
            </w:r>
          </w:p>
        </w:tc>
        <w:tc>
          <w:tcPr>
            <w:tcW w:w="514" w:type="dxa"/>
          </w:tcPr>
          <w:p>
            <w:pPr>
              <w:pStyle w:val="TableParagraph"/>
              <w:ind w:right="63"/>
              <w:rPr>
                <w:sz w:val="22"/>
              </w:rPr>
            </w:pPr>
            <w:r>
              <w:rPr>
                <w:sz w:val="22"/>
              </w:rPr>
              <w:t>77</w:t>
            </w:r>
          </w:p>
        </w:tc>
        <w:tc>
          <w:tcPr>
            <w:tcW w:w="749" w:type="dxa"/>
          </w:tcPr>
          <w:p>
            <w:pPr>
              <w:pStyle w:val="TableParagraph"/>
              <w:ind w:right="63"/>
              <w:rPr>
                <w:sz w:val="22"/>
              </w:rPr>
            </w:pPr>
            <w:r>
              <w:rPr>
                <w:sz w:val="22"/>
              </w:rPr>
              <w:t>6,987</w:t>
            </w:r>
          </w:p>
        </w:tc>
        <w:tc>
          <w:tcPr>
            <w:tcW w:w="746" w:type="dxa"/>
          </w:tcPr>
          <w:p>
            <w:pPr>
              <w:pStyle w:val="TableParagraph"/>
              <w:ind w:left="167" w:right="0"/>
              <w:jc w:val="left"/>
              <w:rPr>
                <w:sz w:val="22"/>
              </w:rPr>
            </w:pPr>
            <w:r>
              <w:rPr>
                <w:sz w:val="22"/>
              </w:rPr>
              <w:t>0,139</w:t>
            </w:r>
          </w:p>
        </w:tc>
        <w:tc>
          <w:tcPr>
            <w:tcW w:w="1222" w:type="dxa"/>
          </w:tcPr>
          <w:p>
            <w:pPr>
              <w:pStyle w:val="TableParagraph"/>
              <w:ind w:right="63"/>
              <w:rPr>
                <w:sz w:val="22"/>
              </w:rPr>
            </w:pPr>
            <w:r>
              <w:rPr>
                <w:sz w:val="22"/>
              </w:rPr>
              <w:t>909,825</w:t>
            </w:r>
          </w:p>
        </w:tc>
        <w:tc>
          <w:tcPr>
            <w:tcW w:w="749" w:type="dxa"/>
          </w:tcPr>
          <w:p>
            <w:pPr>
              <w:pStyle w:val="TableParagraph"/>
              <w:ind w:right="63"/>
              <w:rPr>
                <w:sz w:val="22"/>
              </w:rPr>
            </w:pPr>
            <w:r>
              <w:rPr>
                <w:sz w:val="22"/>
              </w:rPr>
              <w:t>0,373</w:t>
            </w:r>
          </w:p>
        </w:tc>
        <w:tc>
          <w:tcPr>
            <w:tcW w:w="1253" w:type="dxa"/>
          </w:tcPr>
          <w:p>
            <w:pPr>
              <w:pStyle w:val="TableParagraph"/>
              <w:rPr>
                <w:sz w:val="22"/>
              </w:rPr>
            </w:pPr>
            <w:r>
              <w:rPr>
                <w:sz w:val="22"/>
              </w:rPr>
              <w:t>12,684</w:t>
            </w:r>
          </w:p>
        </w:tc>
        <w:tc>
          <w:tcPr>
            <w:tcW w:w="1680" w:type="dxa"/>
          </w:tcPr>
          <w:p>
            <w:pPr>
              <w:pStyle w:val="TableParagraph"/>
              <w:ind w:right="63"/>
              <w:rPr>
                <w:sz w:val="22"/>
              </w:rPr>
            </w:pPr>
            <w:r>
              <w:rPr>
                <w:sz w:val="22"/>
              </w:rPr>
              <w:t>0,00119558</w:t>
            </w:r>
          </w:p>
        </w:tc>
      </w:tr>
      <w:tr>
        <w:trPr>
          <w:trHeight w:val="310" w:hRule="exact"/>
        </w:trPr>
        <w:tc>
          <w:tcPr>
            <w:tcW w:w="943" w:type="dxa"/>
          </w:tcPr>
          <w:p>
            <w:pPr>
              <w:pStyle w:val="TableParagraph"/>
              <w:ind w:right="1"/>
              <w:jc w:val="center"/>
              <w:rPr>
                <w:sz w:val="22"/>
              </w:rPr>
            </w:pPr>
            <w:r>
              <w:rPr>
                <w:w w:val="100"/>
                <w:sz w:val="22"/>
              </w:rPr>
              <w:t>4</w:t>
            </w:r>
          </w:p>
        </w:tc>
        <w:tc>
          <w:tcPr>
            <w:tcW w:w="905" w:type="dxa"/>
          </w:tcPr>
          <w:p>
            <w:pPr>
              <w:pStyle w:val="TableParagraph"/>
              <w:rPr>
                <w:sz w:val="22"/>
              </w:rPr>
            </w:pPr>
            <w:r>
              <w:rPr>
                <w:sz w:val="22"/>
              </w:rPr>
              <w:t>155,12</w:t>
            </w:r>
          </w:p>
        </w:tc>
        <w:tc>
          <w:tcPr>
            <w:tcW w:w="514" w:type="dxa"/>
          </w:tcPr>
          <w:p>
            <w:pPr>
              <w:pStyle w:val="TableParagraph"/>
              <w:ind w:right="63"/>
              <w:rPr>
                <w:sz w:val="22"/>
              </w:rPr>
            </w:pPr>
            <w:r>
              <w:rPr>
                <w:sz w:val="22"/>
              </w:rPr>
              <w:t>92</w:t>
            </w:r>
          </w:p>
        </w:tc>
        <w:tc>
          <w:tcPr>
            <w:tcW w:w="749" w:type="dxa"/>
          </w:tcPr>
          <w:p>
            <w:pPr>
              <w:pStyle w:val="TableParagraph"/>
              <w:ind w:right="63"/>
              <w:rPr>
                <w:sz w:val="22"/>
              </w:rPr>
            </w:pPr>
            <w:r>
              <w:rPr>
                <w:sz w:val="22"/>
              </w:rPr>
              <w:t>6,874</w:t>
            </w:r>
          </w:p>
        </w:tc>
        <w:tc>
          <w:tcPr>
            <w:tcW w:w="746" w:type="dxa"/>
          </w:tcPr>
          <w:p>
            <w:pPr>
              <w:pStyle w:val="TableParagraph"/>
              <w:ind w:left="167" w:right="0"/>
              <w:jc w:val="left"/>
              <w:rPr>
                <w:sz w:val="22"/>
              </w:rPr>
            </w:pPr>
            <w:r>
              <w:rPr>
                <w:sz w:val="22"/>
              </w:rPr>
              <w:t>0,276</w:t>
            </w:r>
          </w:p>
        </w:tc>
        <w:tc>
          <w:tcPr>
            <w:tcW w:w="1222" w:type="dxa"/>
          </w:tcPr>
          <w:p>
            <w:pPr>
              <w:pStyle w:val="TableParagraph"/>
              <w:ind w:right="63"/>
              <w:rPr>
                <w:sz w:val="22"/>
              </w:rPr>
            </w:pPr>
            <w:r>
              <w:rPr>
                <w:sz w:val="22"/>
              </w:rPr>
              <w:t>1066,326</w:t>
            </w:r>
          </w:p>
        </w:tc>
        <w:tc>
          <w:tcPr>
            <w:tcW w:w="749" w:type="dxa"/>
          </w:tcPr>
          <w:p>
            <w:pPr>
              <w:pStyle w:val="TableParagraph"/>
              <w:ind w:right="63"/>
              <w:rPr>
                <w:sz w:val="22"/>
              </w:rPr>
            </w:pPr>
            <w:r>
              <w:rPr>
                <w:sz w:val="22"/>
              </w:rPr>
              <w:t>0,526</w:t>
            </w:r>
          </w:p>
        </w:tc>
        <w:tc>
          <w:tcPr>
            <w:tcW w:w="1253" w:type="dxa"/>
          </w:tcPr>
          <w:p>
            <w:pPr>
              <w:pStyle w:val="TableParagraph"/>
              <w:rPr>
                <w:sz w:val="22"/>
              </w:rPr>
            </w:pPr>
            <w:r>
              <w:rPr>
                <w:sz w:val="22"/>
              </w:rPr>
              <w:t>29,555</w:t>
            </w:r>
          </w:p>
        </w:tc>
        <w:tc>
          <w:tcPr>
            <w:tcW w:w="1680" w:type="dxa"/>
          </w:tcPr>
          <w:p>
            <w:pPr>
              <w:pStyle w:val="TableParagraph"/>
              <w:ind w:right="63"/>
              <w:rPr>
                <w:sz w:val="22"/>
              </w:rPr>
            </w:pPr>
            <w:r>
              <w:rPr>
                <w:sz w:val="22"/>
              </w:rPr>
              <w:t>0,00278582</w:t>
            </w:r>
          </w:p>
        </w:tc>
      </w:tr>
      <w:tr>
        <w:trPr>
          <w:trHeight w:val="310" w:hRule="exact"/>
        </w:trPr>
        <w:tc>
          <w:tcPr>
            <w:tcW w:w="943" w:type="dxa"/>
          </w:tcPr>
          <w:p>
            <w:pPr>
              <w:pStyle w:val="TableParagraph"/>
              <w:ind w:right="1"/>
              <w:jc w:val="center"/>
              <w:rPr>
                <w:sz w:val="22"/>
              </w:rPr>
            </w:pPr>
            <w:r>
              <w:rPr>
                <w:w w:val="100"/>
                <w:sz w:val="22"/>
              </w:rPr>
              <w:t>5</w:t>
            </w:r>
          </w:p>
        </w:tc>
        <w:tc>
          <w:tcPr>
            <w:tcW w:w="905" w:type="dxa"/>
          </w:tcPr>
          <w:p>
            <w:pPr>
              <w:pStyle w:val="TableParagraph"/>
              <w:rPr>
                <w:sz w:val="22"/>
              </w:rPr>
            </w:pPr>
            <w:r>
              <w:rPr>
                <w:sz w:val="22"/>
              </w:rPr>
              <w:t>180,21</w:t>
            </w:r>
          </w:p>
        </w:tc>
        <w:tc>
          <w:tcPr>
            <w:tcW w:w="514" w:type="dxa"/>
          </w:tcPr>
          <w:p>
            <w:pPr>
              <w:pStyle w:val="TableParagraph"/>
              <w:ind w:right="63"/>
              <w:rPr>
                <w:sz w:val="22"/>
              </w:rPr>
            </w:pPr>
            <w:r>
              <w:rPr>
                <w:sz w:val="22"/>
              </w:rPr>
              <w:t>132</w:t>
            </w:r>
          </w:p>
        </w:tc>
        <w:tc>
          <w:tcPr>
            <w:tcW w:w="749" w:type="dxa"/>
          </w:tcPr>
          <w:p>
            <w:pPr>
              <w:pStyle w:val="TableParagraph"/>
              <w:ind w:right="63"/>
              <w:rPr>
                <w:sz w:val="22"/>
              </w:rPr>
            </w:pPr>
            <w:r>
              <w:rPr>
                <w:sz w:val="22"/>
              </w:rPr>
              <w:t>7,137</w:t>
            </w:r>
          </w:p>
        </w:tc>
        <w:tc>
          <w:tcPr>
            <w:tcW w:w="746" w:type="dxa"/>
          </w:tcPr>
          <w:p>
            <w:pPr>
              <w:pStyle w:val="TableParagraph"/>
              <w:ind w:left="167" w:right="0"/>
              <w:jc w:val="left"/>
              <w:rPr>
                <w:sz w:val="22"/>
              </w:rPr>
            </w:pPr>
            <w:r>
              <w:rPr>
                <w:sz w:val="22"/>
              </w:rPr>
              <w:t>0,025</w:t>
            </w:r>
          </w:p>
        </w:tc>
        <w:tc>
          <w:tcPr>
            <w:tcW w:w="1222" w:type="dxa"/>
          </w:tcPr>
          <w:p>
            <w:pPr>
              <w:pStyle w:val="TableParagraph"/>
              <w:ind w:right="63"/>
              <w:rPr>
                <w:sz w:val="22"/>
              </w:rPr>
            </w:pPr>
            <w:r>
              <w:rPr>
                <w:sz w:val="22"/>
              </w:rPr>
              <w:t>1286,199</w:t>
            </w:r>
          </w:p>
        </w:tc>
        <w:tc>
          <w:tcPr>
            <w:tcW w:w="749" w:type="dxa"/>
          </w:tcPr>
          <w:p>
            <w:pPr>
              <w:pStyle w:val="TableParagraph"/>
              <w:ind w:right="63"/>
              <w:rPr>
                <w:sz w:val="22"/>
              </w:rPr>
            </w:pPr>
            <w:r>
              <w:rPr>
                <w:sz w:val="22"/>
              </w:rPr>
              <w:t>0,158</w:t>
            </w:r>
          </w:p>
        </w:tc>
        <w:tc>
          <w:tcPr>
            <w:tcW w:w="1253" w:type="dxa"/>
          </w:tcPr>
          <w:p>
            <w:pPr>
              <w:pStyle w:val="TableParagraph"/>
              <w:rPr>
                <w:sz w:val="22"/>
              </w:rPr>
            </w:pPr>
            <w:r>
              <w:rPr>
                <w:sz w:val="22"/>
              </w:rPr>
              <w:t>1,647</w:t>
            </w:r>
          </w:p>
        </w:tc>
        <w:tc>
          <w:tcPr>
            <w:tcW w:w="1680" w:type="dxa"/>
          </w:tcPr>
          <w:p>
            <w:pPr>
              <w:pStyle w:val="TableParagraph"/>
              <w:ind w:right="63"/>
              <w:rPr>
                <w:sz w:val="22"/>
              </w:rPr>
            </w:pPr>
            <w:r>
              <w:rPr>
                <w:sz w:val="22"/>
              </w:rPr>
              <w:t>0,0001552</w:t>
            </w:r>
          </w:p>
        </w:tc>
      </w:tr>
      <w:tr>
        <w:trPr>
          <w:trHeight w:val="310" w:hRule="exact"/>
        </w:trPr>
        <w:tc>
          <w:tcPr>
            <w:tcW w:w="943" w:type="dxa"/>
          </w:tcPr>
          <w:p>
            <w:pPr>
              <w:pStyle w:val="TableParagraph"/>
              <w:ind w:right="0"/>
              <w:jc w:val="center"/>
              <w:rPr>
                <w:sz w:val="22"/>
              </w:rPr>
            </w:pPr>
            <w:r>
              <w:rPr>
                <w:w w:val="100"/>
                <w:sz w:val="22"/>
              </w:rPr>
              <w:t>N</w:t>
            </w:r>
          </w:p>
        </w:tc>
        <w:tc>
          <w:tcPr>
            <w:tcW w:w="905" w:type="dxa"/>
          </w:tcPr>
          <w:p>
            <w:pPr>
              <w:pStyle w:val="TableParagraph"/>
              <w:rPr>
                <w:sz w:val="22"/>
              </w:rPr>
            </w:pPr>
            <w:r>
              <w:rPr>
                <w:sz w:val="22"/>
              </w:rPr>
              <w:t>695,17</w:t>
            </w:r>
          </w:p>
        </w:tc>
        <w:tc>
          <w:tcPr>
            <w:tcW w:w="514" w:type="dxa"/>
          </w:tcPr>
          <w:p>
            <w:pPr/>
          </w:p>
        </w:tc>
        <w:tc>
          <w:tcPr>
            <w:tcW w:w="749" w:type="dxa"/>
          </w:tcPr>
          <w:p>
            <w:pPr/>
          </w:p>
        </w:tc>
        <w:tc>
          <w:tcPr>
            <w:tcW w:w="746" w:type="dxa"/>
          </w:tcPr>
          <w:p>
            <w:pPr>
              <w:pStyle w:val="TableParagraph"/>
              <w:spacing w:before="18"/>
              <w:ind w:left="201"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22" w:type="dxa"/>
          </w:tcPr>
          <w:p>
            <w:pPr>
              <w:pStyle w:val="TableParagraph"/>
              <w:ind w:right="63"/>
              <w:rPr>
                <w:sz w:val="22"/>
              </w:rPr>
            </w:pPr>
            <w:r>
              <w:rPr>
                <w:sz w:val="22"/>
              </w:rPr>
              <w:t>4830,091</w:t>
            </w:r>
          </w:p>
        </w:tc>
        <w:tc>
          <w:tcPr>
            <w:tcW w:w="749" w:type="dxa"/>
          </w:tcPr>
          <w:p>
            <w:pPr/>
          </w:p>
        </w:tc>
        <w:tc>
          <w:tcPr>
            <w:tcW w:w="1253" w:type="dxa"/>
          </w:tcPr>
          <w:p>
            <w:pPr>
              <w:pStyle w:val="TableParagraph"/>
              <w:rPr>
                <w:sz w:val="22"/>
              </w:rPr>
            </w:pPr>
            <w:r>
              <w:rPr>
                <w:sz w:val="22"/>
              </w:rPr>
              <w:t>52,292</w:t>
            </w:r>
          </w:p>
        </w:tc>
        <w:tc>
          <w:tcPr>
            <w:tcW w:w="1680" w:type="dxa"/>
          </w:tcPr>
          <w:p>
            <w:pPr>
              <w:pStyle w:val="TableParagraph"/>
              <w:ind w:right="63"/>
              <w:rPr>
                <w:sz w:val="22"/>
              </w:rPr>
            </w:pPr>
            <w:r>
              <w:rPr>
                <w:sz w:val="22"/>
              </w:rPr>
              <w:t>0,00492901</w:t>
            </w:r>
          </w:p>
        </w:tc>
      </w:tr>
      <w:tr>
        <w:trPr>
          <w:trHeight w:val="310" w:hRule="exact"/>
        </w:trPr>
        <w:tc>
          <w:tcPr>
            <w:tcW w:w="5078" w:type="dxa"/>
            <w:gridSpan w:val="6"/>
            <w:vMerge w:val="restart"/>
            <w:tcBorders>
              <w:left w:val="nil"/>
            </w:tcBorders>
          </w:tcPr>
          <w:p>
            <w:pPr/>
          </w:p>
        </w:tc>
        <w:tc>
          <w:tcPr>
            <w:tcW w:w="200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80" w:type="dxa"/>
          </w:tcPr>
          <w:p>
            <w:pPr>
              <w:pStyle w:val="TableParagraph"/>
              <w:spacing w:before="30"/>
              <w:ind w:right="63"/>
              <w:rPr>
                <w:b/>
                <w:sz w:val="22"/>
              </w:rPr>
            </w:pPr>
            <w:r>
              <w:rPr>
                <w:b/>
                <w:sz w:val="22"/>
              </w:rPr>
              <w:t>6,948</w:t>
            </w:r>
          </w:p>
        </w:tc>
      </w:tr>
      <w:tr>
        <w:trPr>
          <w:trHeight w:val="312" w:hRule="exact"/>
        </w:trPr>
        <w:tc>
          <w:tcPr>
            <w:tcW w:w="5078" w:type="dxa"/>
            <w:gridSpan w:val="6"/>
            <w:vMerge/>
            <w:tcBorders>
              <w:left w:val="nil"/>
            </w:tcBorders>
          </w:tcPr>
          <w:p>
            <w:pPr/>
          </w:p>
        </w:tc>
        <w:tc>
          <w:tcPr>
            <w:tcW w:w="2002" w:type="dxa"/>
            <w:gridSpan w:val="2"/>
          </w:tcPr>
          <w:p>
            <w:pPr>
              <w:pStyle w:val="TableParagraph"/>
              <w:spacing w:before="13"/>
              <w:ind w:left="64" w:right="0"/>
              <w:jc w:val="left"/>
              <w:rPr>
                <w:sz w:val="22"/>
              </w:rPr>
            </w:pPr>
            <w:r>
              <w:rPr>
                <w:sz w:val="22"/>
              </w:rPr>
              <w:t>Desviación estándar</w:t>
            </w:r>
          </w:p>
        </w:tc>
        <w:tc>
          <w:tcPr>
            <w:tcW w:w="1680" w:type="dxa"/>
          </w:tcPr>
          <w:p>
            <w:pPr>
              <w:pStyle w:val="TableParagraph"/>
              <w:spacing w:before="30"/>
              <w:ind w:right="63"/>
              <w:rPr>
                <w:b/>
                <w:sz w:val="22"/>
              </w:rPr>
            </w:pPr>
            <w:r>
              <w:rPr>
                <w:b/>
                <w:sz w:val="22"/>
              </w:rPr>
              <w:t>0,070</w:t>
            </w:r>
          </w:p>
        </w:tc>
      </w:tr>
      <w:tr>
        <w:trPr>
          <w:trHeight w:val="310" w:hRule="exact"/>
        </w:trPr>
        <w:tc>
          <w:tcPr>
            <w:tcW w:w="5078" w:type="dxa"/>
            <w:gridSpan w:val="6"/>
            <w:vMerge/>
            <w:tcBorders>
              <w:left w:val="nil"/>
            </w:tcBorders>
          </w:tcPr>
          <w:p>
            <w:pPr/>
          </w:p>
        </w:tc>
        <w:tc>
          <w:tcPr>
            <w:tcW w:w="2002" w:type="dxa"/>
            <w:gridSpan w:val="2"/>
            <w:vMerge w:val="restart"/>
          </w:tcPr>
          <w:p>
            <w:pPr>
              <w:pStyle w:val="TableParagraph"/>
              <w:spacing w:before="33"/>
              <w:ind w:left="64" w:right="367"/>
              <w:jc w:val="left"/>
              <w:rPr>
                <w:sz w:val="22"/>
              </w:rPr>
            </w:pPr>
            <w:r>
              <w:rPr>
                <w:sz w:val="22"/>
              </w:rPr>
              <w:t>Intervalo de confianza al 95 %</w:t>
            </w:r>
          </w:p>
        </w:tc>
        <w:tc>
          <w:tcPr>
            <w:tcW w:w="1680" w:type="dxa"/>
          </w:tcPr>
          <w:p>
            <w:pPr>
              <w:pStyle w:val="TableParagraph"/>
              <w:ind w:right="63"/>
              <w:rPr>
                <w:sz w:val="22"/>
              </w:rPr>
            </w:pPr>
            <w:r>
              <w:rPr>
                <w:sz w:val="22"/>
              </w:rPr>
              <w:t>6,81</w:t>
            </w:r>
          </w:p>
        </w:tc>
      </w:tr>
      <w:tr>
        <w:trPr>
          <w:trHeight w:val="310" w:hRule="exact"/>
        </w:trPr>
        <w:tc>
          <w:tcPr>
            <w:tcW w:w="5078" w:type="dxa"/>
            <w:gridSpan w:val="6"/>
            <w:vMerge/>
            <w:tcBorders>
              <w:left w:val="nil"/>
              <w:bottom w:val="nil"/>
            </w:tcBorders>
          </w:tcPr>
          <w:p>
            <w:pPr/>
          </w:p>
        </w:tc>
        <w:tc>
          <w:tcPr>
            <w:tcW w:w="2002" w:type="dxa"/>
            <w:gridSpan w:val="2"/>
            <w:vMerge/>
          </w:tcPr>
          <w:p>
            <w:pPr/>
          </w:p>
        </w:tc>
        <w:tc>
          <w:tcPr>
            <w:tcW w:w="1680" w:type="dxa"/>
          </w:tcPr>
          <w:p>
            <w:pPr>
              <w:pStyle w:val="TableParagraph"/>
              <w:ind w:right="63"/>
              <w:rPr>
                <w:sz w:val="22"/>
              </w:rPr>
            </w:pPr>
            <w:r>
              <w:rPr>
                <w:sz w:val="22"/>
              </w:rPr>
              <w:t>7,09</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3"/>
        <w:gridCol w:w="905"/>
        <w:gridCol w:w="514"/>
        <w:gridCol w:w="749"/>
        <w:gridCol w:w="746"/>
        <w:gridCol w:w="1222"/>
        <w:gridCol w:w="749"/>
        <w:gridCol w:w="1253"/>
        <w:gridCol w:w="1680"/>
      </w:tblGrid>
      <w:tr>
        <w:trPr>
          <w:trHeight w:val="310" w:hRule="exact"/>
        </w:trPr>
        <w:tc>
          <w:tcPr>
            <w:tcW w:w="8760" w:type="dxa"/>
            <w:gridSpan w:val="9"/>
          </w:tcPr>
          <w:p>
            <w:pPr>
              <w:pStyle w:val="TableParagraph"/>
              <w:ind w:left="3399" w:right="3399"/>
              <w:jc w:val="center"/>
              <w:rPr>
                <w:sz w:val="22"/>
              </w:rPr>
            </w:pPr>
            <w:r>
              <w:rPr>
                <w:sz w:val="22"/>
              </w:rPr>
              <w:t>Punto de muestreo E</w:t>
            </w:r>
          </w:p>
        </w:tc>
      </w:tr>
      <w:tr>
        <w:trPr>
          <w:trHeight w:val="310" w:hRule="exact"/>
        </w:trPr>
        <w:tc>
          <w:tcPr>
            <w:tcW w:w="943" w:type="dxa"/>
          </w:tcPr>
          <w:p>
            <w:pPr>
              <w:pStyle w:val="TableParagraph"/>
              <w:spacing w:before="13"/>
              <w:ind w:left="126" w:right="127"/>
              <w:jc w:val="center"/>
              <w:rPr>
                <w:sz w:val="22"/>
              </w:rPr>
            </w:pPr>
            <w:r>
              <w:rPr>
                <w:sz w:val="22"/>
              </w:rPr>
              <w:t>Estrato</w:t>
            </w:r>
          </w:p>
        </w:tc>
        <w:tc>
          <w:tcPr>
            <w:tcW w:w="905" w:type="dxa"/>
          </w:tcPr>
          <w:p>
            <w:pPr>
              <w:pStyle w:val="TableParagraph"/>
              <w:spacing w:before="43"/>
              <w:ind w:left="290" w:right="303"/>
              <w:jc w:val="center"/>
              <w:rPr>
                <w:rFonts w:ascii="Cambria Math"/>
                <w:sz w:val="16"/>
              </w:rPr>
            </w:pPr>
            <w:r>
              <w:rPr>
                <w:rFonts w:ascii="Cambria Math"/>
                <w:w w:val="110"/>
                <w:sz w:val="22"/>
              </w:rPr>
              <w:t>N</w:t>
            </w:r>
            <w:r>
              <w:rPr>
                <w:rFonts w:ascii="Cambria Math"/>
                <w:w w:val="110"/>
                <w:position w:val="-4"/>
                <w:sz w:val="16"/>
              </w:rPr>
              <w:t>h</w:t>
            </w:r>
          </w:p>
        </w:tc>
        <w:tc>
          <w:tcPr>
            <w:tcW w:w="514" w:type="dxa"/>
          </w:tcPr>
          <w:p>
            <w:pPr>
              <w:pStyle w:val="TableParagraph"/>
              <w:spacing w:before="43"/>
              <w:ind w:left="131" w:right="0"/>
              <w:jc w:val="left"/>
              <w:rPr>
                <w:rFonts w:ascii="Cambria Math"/>
                <w:sz w:val="16"/>
              </w:rPr>
            </w:pPr>
            <w:r>
              <w:rPr>
                <w:rFonts w:ascii="Cambria Math"/>
                <w:w w:val="110"/>
                <w:sz w:val="22"/>
              </w:rPr>
              <w:t>n</w:t>
            </w:r>
            <w:r>
              <w:rPr>
                <w:rFonts w:ascii="Cambria Math"/>
                <w:w w:val="110"/>
                <w:position w:val="-4"/>
                <w:sz w:val="16"/>
              </w:rPr>
              <w:t>h</w:t>
            </w:r>
          </w:p>
        </w:tc>
        <w:tc>
          <w:tcPr>
            <w:tcW w:w="749" w:type="dxa"/>
          </w:tcPr>
          <w:p>
            <w:pPr>
              <w:pStyle w:val="TableParagraph"/>
              <w:spacing w:before="43"/>
              <w:ind w:left="235" w:right="24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46" w:type="dxa"/>
          </w:tcPr>
          <w:p>
            <w:pPr>
              <w:pStyle w:val="TableParagraph"/>
              <w:spacing w:line="214" w:lineRule="exact" w:before="6"/>
              <w:ind w:left="247" w:right="257"/>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222" w:type="dxa"/>
          </w:tcPr>
          <w:p>
            <w:pPr>
              <w:pStyle w:val="TableParagraph"/>
              <w:spacing w:before="19"/>
              <w:ind w:left="486" w:right="49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49" w:type="dxa"/>
          </w:tcPr>
          <w:p>
            <w:pPr>
              <w:pStyle w:val="TableParagraph"/>
              <w:spacing w:before="43"/>
              <w:ind w:left="235" w:right="246"/>
              <w:jc w:val="center"/>
              <w:rPr>
                <w:rFonts w:ascii="Cambria Math"/>
                <w:sz w:val="16"/>
              </w:rPr>
            </w:pPr>
            <w:r>
              <w:rPr>
                <w:rFonts w:ascii="Cambria Math"/>
                <w:w w:val="110"/>
                <w:sz w:val="22"/>
              </w:rPr>
              <w:t>s</w:t>
            </w:r>
            <w:r>
              <w:rPr>
                <w:rFonts w:ascii="Cambria Math"/>
                <w:w w:val="110"/>
                <w:position w:val="-4"/>
                <w:sz w:val="16"/>
              </w:rPr>
              <w:t>h</w:t>
            </w:r>
          </w:p>
        </w:tc>
        <w:tc>
          <w:tcPr>
            <w:tcW w:w="1253" w:type="dxa"/>
          </w:tcPr>
          <w:p>
            <w:pPr>
              <w:pStyle w:val="TableParagraph"/>
              <w:spacing w:before="0"/>
              <w:ind w:left="29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80" w:type="dxa"/>
          </w:tcPr>
          <w:p>
            <w:pPr>
              <w:pStyle w:val="TableParagraph"/>
              <w:spacing w:before="0"/>
              <w:ind w:left="48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943" w:type="dxa"/>
          </w:tcPr>
          <w:p>
            <w:pPr>
              <w:pStyle w:val="TableParagraph"/>
              <w:spacing w:before="30"/>
              <w:ind w:right="1"/>
              <w:jc w:val="center"/>
              <w:rPr>
                <w:sz w:val="22"/>
              </w:rPr>
            </w:pPr>
            <w:r>
              <w:rPr>
                <w:w w:val="100"/>
                <w:sz w:val="22"/>
              </w:rPr>
              <w:t>1</w:t>
            </w:r>
          </w:p>
        </w:tc>
        <w:tc>
          <w:tcPr>
            <w:tcW w:w="905" w:type="dxa"/>
          </w:tcPr>
          <w:p>
            <w:pPr>
              <w:pStyle w:val="TableParagraph"/>
              <w:spacing w:before="30"/>
              <w:rPr>
                <w:sz w:val="22"/>
              </w:rPr>
            </w:pPr>
            <w:r>
              <w:rPr>
                <w:sz w:val="22"/>
              </w:rPr>
              <w:t>108,60</w:t>
            </w:r>
          </w:p>
        </w:tc>
        <w:tc>
          <w:tcPr>
            <w:tcW w:w="514" w:type="dxa"/>
          </w:tcPr>
          <w:p>
            <w:pPr>
              <w:pStyle w:val="TableParagraph"/>
              <w:spacing w:before="30"/>
              <w:ind w:right="63"/>
              <w:rPr>
                <w:sz w:val="22"/>
              </w:rPr>
            </w:pPr>
            <w:r>
              <w:rPr>
                <w:sz w:val="22"/>
              </w:rPr>
              <w:t>108</w:t>
            </w:r>
          </w:p>
        </w:tc>
        <w:tc>
          <w:tcPr>
            <w:tcW w:w="749" w:type="dxa"/>
          </w:tcPr>
          <w:p>
            <w:pPr>
              <w:pStyle w:val="TableParagraph"/>
              <w:spacing w:before="30"/>
              <w:ind w:right="63"/>
              <w:rPr>
                <w:sz w:val="22"/>
              </w:rPr>
            </w:pPr>
            <w:r>
              <w:rPr>
                <w:sz w:val="22"/>
              </w:rPr>
              <w:t>6,718</w:t>
            </w:r>
          </w:p>
        </w:tc>
        <w:tc>
          <w:tcPr>
            <w:tcW w:w="746" w:type="dxa"/>
          </w:tcPr>
          <w:p>
            <w:pPr>
              <w:pStyle w:val="TableParagraph"/>
              <w:spacing w:before="30"/>
              <w:ind w:left="167" w:right="0"/>
              <w:jc w:val="left"/>
              <w:rPr>
                <w:sz w:val="22"/>
              </w:rPr>
            </w:pPr>
            <w:r>
              <w:rPr>
                <w:sz w:val="22"/>
              </w:rPr>
              <w:t>0,123</w:t>
            </w:r>
          </w:p>
        </w:tc>
        <w:tc>
          <w:tcPr>
            <w:tcW w:w="1222" w:type="dxa"/>
          </w:tcPr>
          <w:p>
            <w:pPr>
              <w:pStyle w:val="TableParagraph"/>
              <w:spacing w:before="30"/>
              <w:ind w:right="63"/>
              <w:rPr>
                <w:sz w:val="22"/>
              </w:rPr>
            </w:pPr>
            <w:r>
              <w:rPr>
                <w:sz w:val="22"/>
              </w:rPr>
              <w:t>729,623</w:t>
            </w:r>
          </w:p>
        </w:tc>
        <w:tc>
          <w:tcPr>
            <w:tcW w:w="749" w:type="dxa"/>
          </w:tcPr>
          <w:p>
            <w:pPr>
              <w:pStyle w:val="TableParagraph"/>
              <w:spacing w:before="30"/>
              <w:ind w:right="63"/>
              <w:rPr>
                <w:sz w:val="22"/>
              </w:rPr>
            </w:pPr>
            <w:r>
              <w:rPr>
                <w:sz w:val="22"/>
              </w:rPr>
              <w:t>0,351</w:t>
            </w:r>
          </w:p>
        </w:tc>
        <w:tc>
          <w:tcPr>
            <w:tcW w:w="1253" w:type="dxa"/>
          </w:tcPr>
          <w:p>
            <w:pPr>
              <w:pStyle w:val="TableParagraph"/>
              <w:spacing w:before="30"/>
              <w:rPr>
                <w:sz w:val="22"/>
              </w:rPr>
            </w:pPr>
            <w:r>
              <w:rPr>
                <w:sz w:val="22"/>
              </w:rPr>
              <w:t>-4,497</w:t>
            </w:r>
          </w:p>
        </w:tc>
        <w:tc>
          <w:tcPr>
            <w:tcW w:w="1680" w:type="dxa"/>
          </w:tcPr>
          <w:p>
            <w:pPr>
              <w:pStyle w:val="TableParagraph"/>
              <w:spacing w:before="30"/>
              <w:ind w:right="63"/>
              <w:rPr>
                <w:sz w:val="22"/>
              </w:rPr>
            </w:pPr>
            <w:r>
              <w:rPr>
                <w:sz w:val="22"/>
              </w:rPr>
              <w:t>-0,00042389</w:t>
            </w:r>
          </w:p>
        </w:tc>
      </w:tr>
      <w:tr>
        <w:trPr>
          <w:trHeight w:val="310" w:hRule="exact"/>
        </w:trPr>
        <w:tc>
          <w:tcPr>
            <w:tcW w:w="943" w:type="dxa"/>
          </w:tcPr>
          <w:p>
            <w:pPr>
              <w:pStyle w:val="TableParagraph"/>
              <w:ind w:right="1"/>
              <w:jc w:val="center"/>
              <w:rPr>
                <w:sz w:val="22"/>
              </w:rPr>
            </w:pPr>
            <w:r>
              <w:rPr>
                <w:w w:val="100"/>
                <w:sz w:val="22"/>
              </w:rPr>
              <w:t>2</w:t>
            </w:r>
          </w:p>
        </w:tc>
        <w:tc>
          <w:tcPr>
            <w:tcW w:w="905" w:type="dxa"/>
          </w:tcPr>
          <w:p>
            <w:pPr>
              <w:pStyle w:val="TableParagraph"/>
              <w:rPr>
                <w:sz w:val="22"/>
              </w:rPr>
            </w:pPr>
            <w:r>
              <w:rPr>
                <w:sz w:val="22"/>
              </w:rPr>
              <w:t>121,03</w:t>
            </w:r>
          </w:p>
        </w:tc>
        <w:tc>
          <w:tcPr>
            <w:tcW w:w="514" w:type="dxa"/>
          </w:tcPr>
          <w:p>
            <w:pPr>
              <w:pStyle w:val="TableParagraph"/>
              <w:ind w:right="63"/>
              <w:rPr>
                <w:sz w:val="22"/>
              </w:rPr>
            </w:pPr>
            <w:r>
              <w:rPr>
                <w:sz w:val="22"/>
              </w:rPr>
              <w:t>81</w:t>
            </w:r>
          </w:p>
        </w:tc>
        <w:tc>
          <w:tcPr>
            <w:tcW w:w="749" w:type="dxa"/>
          </w:tcPr>
          <w:p>
            <w:pPr>
              <w:pStyle w:val="TableParagraph"/>
              <w:ind w:right="63"/>
              <w:rPr>
                <w:sz w:val="22"/>
              </w:rPr>
            </w:pPr>
            <w:r>
              <w:rPr>
                <w:sz w:val="22"/>
              </w:rPr>
              <w:t>6,974</w:t>
            </w:r>
          </w:p>
        </w:tc>
        <w:tc>
          <w:tcPr>
            <w:tcW w:w="746" w:type="dxa"/>
          </w:tcPr>
          <w:p>
            <w:pPr>
              <w:pStyle w:val="TableParagraph"/>
              <w:ind w:left="167" w:right="0"/>
              <w:jc w:val="left"/>
              <w:rPr>
                <w:sz w:val="22"/>
              </w:rPr>
            </w:pPr>
            <w:r>
              <w:rPr>
                <w:sz w:val="22"/>
              </w:rPr>
              <w:t>0,222</w:t>
            </w:r>
          </w:p>
        </w:tc>
        <w:tc>
          <w:tcPr>
            <w:tcW w:w="1222" w:type="dxa"/>
          </w:tcPr>
          <w:p>
            <w:pPr>
              <w:pStyle w:val="TableParagraph"/>
              <w:ind w:right="63"/>
              <w:rPr>
                <w:sz w:val="22"/>
              </w:rPr>
            </w:pPr>
            <w:r>
              <w:rPr>
                <w:sz w:val="22"/>
              </w:rPr>
              <w:t>844,083</w:t>
            </w:r>
          </w:p>
        </w:tc>
        <w:tc>
          <w:tcPr>
            <w:tcW w:w="749" w:type="dxa"/>
          </w:tcPr>
          <w:p>
            <w:pPr>
              <w:pStyle w:val="TableParagraph"/>
              <w:ind w:right="63"/>
              <w:rPr>
                <w:sz w:val="22"/>
              </w:rPr>
            </w:pPr>
            <w:r>
              <w:rPr>
                <w:sz w:val="22"/>
              </w:rPr>
              <w:t>0,471</w:t>
            </w:r>
          </w:p>
        </w:tc>
        <w:tc>
          <w:tcPr>
            <w:tcW w:w="1253" w:type="dxa"/>
          </w:tcPr>
          <w:p>
            <w:pPr>
              <w:pStyle w:val="TableParagraph"/>
              <w:rPr>
                <w:sz w:val="22"/>
              </w:rPr>
            </w:pPr>
            <w:r>
              <w:rPr>
                <w:sz w:val="22"/>
              </w:rPr>
              <w:t>13,269</w:t>
            </w:r>
          </w:p>
        </w:tc>
        <w:tc>
          <w:tcPr>
            <w:tcW w:w="1680" w:type="dxa"/>
          </w:tcPr>
          <w:p>
            <w:pPr>
              <w:pStyle w:val="TableParagraph"/>
              <w:ind w:right="63"/>
              <w:rPr>
                <w:sz w:val="22"/>
              </w:rPr>
            </w:pPr>
            <w:r>
              <w:rPr>
                <w:sz w:val="22"/>
              </w:rPr>
              <w:t>0,00125076</w:t>
            </w:r>
          </w:p>
        </w:tc>
      </w:tr>
      <w:tr>
        <w:trPr>
          <w:trHeight w:val="310" w:hRule="exact"/>
        </w:trPr>
        <w:tc>
          <w:tcPr>
            <w:tcW w:w="943" w:type="dxa"/>
          </w:tcPr>
          <w:p>
            <w:pPr>
              <w:pStyle w:val="TableParagraph"/>
              <w:ind w:right="1"/>
              <w:jc w:val="center"/>
              <w:rPr>
                <w:sz w:val="22"/>
              </w:rPr>
            </w:pPr>
            <w:r>
              <w:rPr>
                <w:w w:val="100"/>
                <w:sz w:val="22"/>
              </w:rPr>
              <w:t>3</w:t>
            </w:r>
          </w:p>
        </w:tc>
        <w:tc>
          <w:tcPr>
            <w:tcW w:w="905" w:type="dxa"/>
          </w:tcPr>
          <w:p>
            <w:pPr>
              <w:pStyle w:val="TableParagraph"/>
              <w:rPr>
                <w:sz w:val="22"/>
              </w:rPr>
            </w:pPr>
            <w:r>
              <w:rPr>
                <w:sz w:val="22"/>
              </w:rPr>
              <w:t>130,21</w:t>
            </w:r>
          </w:p>
        </w:tc>
        <w:tc>
          <w:tcPr>
            <w:tcW w:w="514" w:type="dxa"/>
          </w:tcPr>
          <w:p>
            <w:pPr>
              <w:pStyle w:val="TableParagraph"/>
              <w:ind w:right="63"/>
              <w:rPr>
                <w:sz w:val="22"/>
              </w:rPr>
            </w:pPr>
            <w:r>
              <w:rPr>
                <w:sz w:val="22"/>
              </w:rPr>
              <w:t>77</w:t>
            </w:r>
          </w:p>
        </w:tc>
        <w:tc>
          <w:tcPr>
            <w:tcW w:w="749" w:type="dxa"/>
          </w:tcPr>
          <w:p>
            <w:pPr>
              <w:pStyle w:val="TableParagraph"/>
              <w:ind w:right="63"/>
              <w:rPr>
                <w:sz w:val="22"/>
              </w:rPr>
            </w:pPr>
            <w:r>
              <w:rPr>
                <w:sz w:val="22"/>
              </w:rPr>
              <w:t>7,033</w:t>
            </w:r>
          </w:p>
        </w:tc>
        <w:tc>
          <w:tcPr>
            <w:tcW w:w="746" w:type="dxa"/>
          </w:tcPr>
          <w:p>
            <w:pPr>
              <w:pStyle w:val="TableParagraph"/>
              <w:ind w:left="167" w:right="0"/>
              <w:jc w:val="left"/>
              <w:rPr>
                <w:sz w:val="22"/>
              </w:rPr>
            </w:pPr>
            <w:r>
              <w:rPr>
                <w:sz w:val="22"/>
              </w:rPr>
              <w:t>0,140</w:t>
            </w:r>
          </w:p>
        </w:tc>
        <w:tc>
          <w:tcPr>
            <w:tcW w:w="1222" w:type="dxa"/>
          </w:tcPr>
          <w:p>
            <w:pPr>
              <w:pStyle w:val="TableParagraph"/>
              <w:ind w:right="63"/>
              <w:rPr>
                <w:sz w:val="22"/>
              </w:rPr>
            </w:pPr>
            <w:r>
              <w:rPr>
                <w:sz w:val="22"/>
              </w:rPr>
              <w:t>915,719</w:t>
            </w:r>
          </w:p>
        </w:tc>
        <w:tc>
          <w:tcPr>
            <w:tcW w:w="749" w:type="dxa"/>
          </w:tcPr>
          <w:p>
            <w:pPr>
              <w:pStyle w:val="TableParagraph"/>
              <w:ind w:right="63"/>
              <w:rPr>
                <w:sz w:val="22"/>
              </w:rPr>
            </w:pPr>
            <w:r>
              <w:rPr>
                <w:sz w:val="22"/>
              </w:rPr>
              <w:t>0,374</w:t>
            </w:r>
          </w:p>
        </w:tc>
        <w:tc>
          <w:tcPr>
            <w:tcW w:w="1253" w:type="dxa"/>
          </w:tcPr>
          <w:p>
            <w:pPr>
              <w:pStyle w:val="TableParagraph"/>
              <w:rPr>
                <w:sz w:val="22"/>
              </w:rPr>
            </w:pPr>
            <w:r>
              <w:rPr>
                <w:sz w:val="22"/>
              </w:rPr>
              <w:t>12,742</w:t>
            </w:r>
          </w:p>
        </w:tc>
        <w:tc>
          <w:tcPr>
            <w:tcW w:w="1680" w:type="dxa"/>
          </w:tcPr>
          <w:p>
            <w:pPr>
              <w:pStyle w:val="TableParagraph"/>
              <w:ind w:right="63"/>
              <w:rPr>
                <w:sz w:val="22"/>
              </w:rPr>
            </w:pPr>
            <w:r>
              <w:rPr>
                <w:sz w:val="22"/>
              </w:rPr>
              <w:t>0,00120103</w:t>
            </w:r>
          </w:p>
        </w:tc>
      </w:tr>
      <w:tr>
        <w:trPr>
          <w:trHeight w:val="310" w:hRule="exact"/>
        </w:trPr>
        <w:tc>
          <w:tcPr>
            <w:tcW w:w="943" w:type="dxa"/>
          </w:tcPr>
          <w:p>
            <w:pPr>
              <w:pStyle w:val="TableParagraph"/>
              <w:ind w:right="1"/>
              <w:jc w:val="center"/>
              <w:rPr>
                <w:sz w:val="22"/>
              </w:rPr>
            </w:pPr>
            <w:r>
              <w:rPr>
                <w:w w:val="100"/>
                <w:sz w:val="22"/>
              </w:rPr>
              <w:t>4</w:t>
            </w:r>
          </w:p>
        </w:tc>
        <w:tc>
          <w:tcPr>
            <w:tcW w:w="905" w:type="dxa"/>
          </w:tcPr>
          <w:p>
            <w:pPr>
              <w:pStyle w:val="TableParagraph"/>
              <w:rPr>
                <w:sz w:val="22"/>
              </w:rPr>
            </w:pPr>
            <w:r>
              <w:rPr>
                <w:sz w:val="22"/>
              </w:rPr>
              <w:t>155,12</w:t>
            </w:r>
          </w:p>
        </w:tc>
        <w:tc>
          <w:tcPr>
            <w:tcW w:w="514" w:type="dxa"/>
          </w:tcPr>
          <w:p>
            <w:pPr>
              <w:pStyle w:val="TableParagraph"/>
              <w:ind w:right="63"/>
              <w:rPr>
                <w:sz w:val="22"/>
              </w:rPr>
            </w:pPr>
            <w:r>
              <w:rPr>
                <w:sz w:val="22"/>
              </w:rPr>
              <w:t>92</w:t>
            </w:r>
          </w:p>
        </w:tc>
        <w:tc>
          <w:tcPr>
            <w:tcW w:w="749" w:type="dxa"/>
          </w:tcPr>
          <w:p>
            <w:pPr>
              <w:pStyle w:val="TableParagraph"/>
              <w:ind w:right="63"/>
              <w:rPr>
                <w:sz w:val="22"/>
              </w:rPr>
            </w:pPr>
            <w:r>
              <w:rPr>
                <w:sz w:val="22"/>
              </w:rPr>
              <w:t>6,885</w:t>
            </w:r>
          </w:p>
        </w:tc>
        <w:tc>
          <w:tcPr>
            <w:tcW w:w="746" w:type="dxa"/>
          </w:tcPr>
          <w:p>
            <w:pPr>
              <w:pStyle w:val="TableParagraph"/>
              <w:ind w:left="167" w:right="0"/>
              <w:jc w:val="left"/>
              <w:rPr>
                <w:sz w:val="22"/>
              </w:rPr>
            </w:pPr>
            <w:r>
              <w:rPr>
                <w:sz w:val="22"/>
              </w:rPr>
              <w:t>0,241</w:t>
            </w:r>
          </w:p>
        </w:tc>
        <w:tc>
          <w:tcPr>
            <w:tcW w:w="1222" w:type="dxa"/>
          </w:tcPr>
          <w:p>
            <w:pPr>
              <w:pStyle w:val="TableParagraph"/>
              <w:ind w:right="63"/>
              <w:rPr>
                <w:sz w:val="22"/>
              </w:rPr>
            </w:pPr>
            <w:r>
              <w:rPr>
                <w:sz w:val="22"/>
              </w:rPr>
              <w:t>1067,959</w:t>
            </w:r>
          </w:p>
        </w:tc>
        <w:tc>
          <w:tcPr>
            <w:tcW w:w="749" w:type="dxa"/>
          </w:tcPr>
          <w:p>
            <w:pPr>
              <w:pStyle w:val="TableParagraph"/>
              <w:ind w:right="63"/>
              <w:rPr>
                <w:sz w:val="22"/>
              </w:rPr>
            </w:pPr>
            <w:r>
              <w:rPr>
                <w:sz w:val="22"/>
              </w:rPr>
              <w:t>0,491</w:t>
            </w:r>
          </w:p>
        </w:tc>
        <w:tc>
          <w:tcPr>
            <w:tcW w:w="1253" w:type="dxa"/>
          </w:tcPr>
          <w:p>
            <w:pPr>
              <w:pStyle w:val="TableParagraph"/>
              <w:rPr>
                <w:sz w:val="22"/>
              </w:rPr>
            </w:pPr>
            <w:r>
              <w:rPr>
                <w:sz w:val="22"/>
              </w:rPr>
              <w:t>25,772</w:t>
            </w:r>
          </w:p>
        </w:tc>
        <w:tc>
          <w:tcPr>
            <w:tcW w:w="1680" w:type="dxa"/>
          </w:tcPr>
          <w:p>
            <w:pPr>
              <w:pStyle w:val="TableParagraph"/>
              <w:ind w:right="63"/>
              <w:rPr>
                <w:sz w:val="22"/>
              </w:rPr>
            </w:pPr>
            <w:r>
              <w:rPr>
                <w:sz w:val="22"/>
              </w:rPr>
              <w:t>0,00242927</w:t>
            </w:r>
          </w:p>
        </w:tc>
      </w:tr>
      <w:tr>
        <w:trPr>
          <w:trHeight w:val="310" w:hRule="exact"/>
        </w:trPr>
        <w:tc>
          <w:tcPr>
            <w:tcW w:w="943" w:type="dxa"/>
          </w:tcPr>
          <w:p>
            <w:pPr>
              <w:pStyle w:val="TableParagraph"/>
              <w:ind w:right="1"/>
              <w:jc w:val="center"/>
              <w:rPr>
                <w:sz w:val="22"/>
              </w:rPr>
            </w:pPr>
            <w:r>
              <w:rPr>
                <w:w w:val="100"/>
                <w:sz w:val="22"/>
              </w:rPr>
              <w:t>5</w:t>
            </w:r>
          </w:p>
        </w:tc>
        <w:tc>
          <w:tcPr>
            <w:tcW w:w="905" w:type="dxa"/>
          </w:tcPr>
          <w:p>
            <w:pPr>
              <w:pStyle w:val="TableParagraph"/>
              <w:rPr>
                <w:sz w:val="22"/>
              </w:rPr>
            </w:pPr>
            <w:r>
              <w:rPr>
                <w:sz w:val="22"/>
              </w:rPr>
              <w:t>180,21</w:t>
            </w:r>
          </w:p>
        </w:tc>
        <w:tc>
          <w:tcPr>
            <w:tcW w:w="514" w:type="dxa"/>
          </w:tcPr>
          <w:p>
            <w:pPr>
              <w:pStyle w:val="TableParagraph"/>
              <w:ind w:right="63"/>
              <w:rPr>
                <w:sz w:val="22"/>
              </w:rPr>
            </w:pPr>
            <w:r>
              <w:rPr>
                <w:sz w:val="22"/>
              </w:rPr>
              <w:t>132</w:t>
            </w:r>
          </w:p>
        </w:tc>
        <w:tc>
          <w:tcPr>
            <w:tcW w:w="749" w:type="dxa"/>
          </w:tcPr>
          <w:p>
            <w:pPr>
              <w:pStyle w:val="TableParagraph"/>
              <w:ind w:right="63"/>
              <w:rPr>
                <w:sz w:val="22"/>
              </w:rPr>
            </w:pPr>
            <w:r>
              <w:rPr>
                <w:sz w:val="22"/>
              </w:rPr>
              <w:t>7,176</w:t>
            </w:r>
          </w:p>
        </w:tc>
        <w:tc>
          <w:tcPr>
            <w:tcW w:w="746" w:type="dxa"/>
          </w:tcPr>
          <w:p>
            <w:pPr>
              <w:pStyle w:val="TableParagraph"/>
              <w:ind w:left="167" w:right="0"/>
              <w:jc w:val="left"/>
              <w:rPr>
                <w:sz w:val="22"/>
              </w:rPr>
            </w:pPr>
            <w:r>
              <w:rPr>
                <w:sz w:val="22"/>
              </w:rPr>
              <w:t>0,025</w:t>
            </w:r>
          </w:p>
        </w:tc>
        <w:tc>
          <w:tcPr>
            <w:tcW w:w="1222" w:type="dxa"/>
          </w:tcPr>
          <w:p>
            <w:pPr>
              <w:pStyle w:val="TableParagraph"/>
              <w:ind w:right="63"/>
              <w:rPr>
                <w:sz w:val="22"/>
              </w:rPr>
            </w:pPr>
            <w:r>
              <w:rPr>
                <w:sz w:val="22"/>
              </w:rPr>
              <w:t>1293,207</w:t>
            </w:r>
          </w:p>
        </w:tc>
        <w:tc>
          <w:tcPr>
            <w:tcW w:w="749" w:type="dxa"/>
          </w:tcPr>
          <w:p>
            <w:pPr>
              <w:pStyle w:val="TableParagraph"/>
              <w:ind w:right="63"/>
              <w:rPr>
                <w:sz w:val="22"/>
              </w:rPr>
            </w:pPr>
            <w:r>
              <w:rPr>
                <w:sz w:val="22"/>
              </w:rPr>
              <w:t>0,160</w:t>
            </w:r>
          </w:p>
        </w:tc>
        <w:tc>
          <w:tcPr>
            <w:tcW w:w="1253" w:type="dxa"/>
          </w:tcPr>
          <w:p>
            <w:pPr>
              <w:pStyle w:val="TableParagraph"/>
              <w:rPr>
                <w:sz w:val="22"/>
              </w:rPr>
            </w:pPr>
            <w:r>
              <w:rPr>
                <w:sz w:val="22"/>
              </w:rPr>
              <w:t>1,675</w:t>
            </w:r>
          </w:p>
        </w:tc>
        <w:tc>
          <w:tcPr>
            <w:tcW w:w="1680" w:type="dxa"/>
          </w:tcPr>
          <w:p>
            <w:pPr>
              <w:pStyle w:val="TableParagraph"/>
              <w:ind w:right="63"/>
              <w:rPr>
                <w:sz w:val="22"/>
              </w:rPr>
            </w:pPr>
            <w:r>
              <w:rPr>
                <w:sz w:val="22"/>
              </w:rPr>
              <w:t>0,00015785</w:t>
            </w:r>
          </w:p>
        </w:tc>
      </w:tr>
      <w:tr>
        <w:trPr>
          <w:trHeight w:val="310" w:hRule="exact"/>
        </w:trPr>
        <w:tc>
          <w:tcPr>
            <w:tcW w:w="943" w:type="dxa"/>
          </w:tcPr>
          <w:p>
            <w:pPr>
              <w:pStyle w:val="TableParagraph"/>
              <w:spacing w:before="30"/>
              <w:ind w:right="0"/>
              <w:jc w:val="center"/>
              <w:rPr>
                <w:sz w:val="22"/>
              </w:rPr>
            </w:pPr>
            <w:r>
              <w:rPr>
                <w:w w:val="100"/>
                <w:sz w:val="22"/>
              </w:rPr>
              <w:t>N</w:t>
            </w:r>
          </w:p>
        </w:tc>
        <w:tc>
          <w:tcPr>
            <w:tcW w:w="905" w:type="dxa"/>
          </w:tcPr>
          <w:p>
            <w:pPr>
              <w:pStyle w:val="TableParagraph"/>
              <w:spacing w:before="30"/>
              <w:rPr>
                <w:sz w:val="22"/>
              </w:rPr>
            </w:pPr>
            <w:r>
              <w:rPr>
                <w:sz w:val="22"/>
              </w:rPr>
              <w:t>695,17</w:t>
            </w:r>
          </w:p>
        </w:tc>
        <w:tc>
          <w:tcPr>
            <w:tcW w:w="514" w:type="dxa"/>
          </w:tcPr>
          <w:p>
            <w:pPr/>
          </w:p>
        </w:tc>
        <w:tc>
          <w:tcPr>
            <w:tcW w:w="749" w:type="dxa"/>
          </w:tcPr>
          <w:p>
            <w:pPr/>
          </w:p>
        </w:tc>
        <w:tc>
          <w:tcPr>
            <w:tcW w:w="746" w:type="dxa"/>
          </w:tcPr>
          <w:p>
            <w:pPr>
              <w:pStyle w:val="TableParagraph"/>
              <w:spacing w:before="18"/>
              <w:ind w:left="201"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22" w:type="dxa"/>
          </w:tcPr>
          <w:p>
            <w:pPr>
              <w:pStyle w:val="TableParagraph"/>
              <w:spacing w:before="30"/>
              <w:ind w:right="63"/>
              <w:rPr>
                <w:sz w:val="22"/>
              </w:rPr>
            </w:pPr>
            <w:r>
              <w:rPr>
                <w:sz w:val="22"/>
              </w:rPr>
              <w:t>4850,591</w:t>
            </w:r>
          </w:p>
        </w:tc>
        <w:tc>
          <w:tcPr>
            <w:tcW w:w="749" w:type="dxa"/>
          </w:tcPr>
          <w:p>
            <w:pPr/>
          </w:p>
        </w:tc>
        <w:tc>
          <w:tcPr>
            <w:tcW w:w="1253" w:type="dxa"/>
          </w:tcPr>
          <w:p>
            <w:pPr>
              <w:pStyle w:val="TableParagraph"/>
              <w:spacing w:before="30"/>
              <w:rPr>
                <w:sz w:val="22"/>
              </w:rPr>
            </w:pPr>
            <w:r>
              <w:rPr>
                <w:sz w:val="22"/>
              </w:rPr>
              <w:t>48,961</w:t>
            </w:r>
          </w:p>
        </w:tc>
        <w:tc>
          <w:tcPr>
            <w:tcW w:w="1680" w:type="dxa"/>
          </w:tcPr>
          <w:p>
            <w:pPr>
              <w:pStyle w:val="TableParagraph"/>
              <w:spacing w:before="30"/>
              <w:ind w:right="63"/>
              <w:rPr>
                <w:sz w:val="22"/>
              </w:rPr>
            </w:pPr>
            <w:r>
              <w:rPr>
                <w:sz w:val="22"/>
              </w:rPr>
              <w:t>0,00461502</w:t>
            </w:r>
          </w:p>
        </w:tc>
      </w:tr>
      <w:tr>
        <w:trPr>
          <w:trHeight w:val="312" w:hRule="exact"/>
        </w:trPr>
        <w:tc>
          <w:tcPr>
            <w:tcW w:w="5078" w:type="dxa"/>
            <w:gridSpan w:val="6"/>
            <w:vMerge w:val="restart"/>
            <w:tcBorders>
              <w:left w:val="nil"/>
            </w:tcBorders>
          </w:tcPr>
          <w:p>
            <w:pPr/>
          </w:p>
        </w:tc>
        <w:tc>
          <w:tcPr>
            <w:tcW w:w="2002"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80" w:type="dxa"/>
          </w:tcPr>
          <w:p>
            <w:pPr>
              <w:pStyle w:val="TableParagraph"/>
              <w:spacing w:before="30"/>
              <w:ind w:right="63"/>
              <w:rPr>
                <w:b/>
                <w:sz w:val="22"/>
              </w:rPr>
            </w:pPr>
            <w:r>
              <w:rPr>
                <w:b/>
                <w:sz w:val="22"/>
              </w:rPr>
              <w:t>6,978</w:t>
            </w:r>
          </w:p>
        </w:tc>
      </w:tr>
      <w:tr>
        <w:trPr>
          <w:trHeight w:val="310" w:hRule="exact"/>
        </w:trPr>
        <w:tc>
          <w:tcPr>
            <w:tcW w:w="5078" w:type="dxa"/>
            <w:gridSpan w:val="6"/>
            <w:vMerge/>
            <w:tcBorders>
              <w:left w:val="nil"/>
            </w:tcBorders>
          </w:tcPr>
          <w:p>
            <w:pPr/>
          </w:p>
        </w:tc>
        <w:tc>
          <w:tcPr>
            <w:tcW w:w="2002" w:type="dxa"/>
            <w:gridSpan w:val="2"/>
          </w:tcPr>
          <w:p>
            <w:pPr>
              <w:pStyle w:val="TableParagraph"/>
              <w:spacing w:before="11"/>
              <w:ind w:left="64" w:right="0"/>
              <w:jc w:val="left"/>
              <w:rPr>
                <w:sz w:val="22"/>
              </w:rPr>
            </w:pPr>
            <w:r>
              <w:rPr>
                <w:sz w:val="22"/>
              </w:rPr>
              <w:t>Desviación estándar</w:t>
            </w:r>
          </w:p>
        </w:tc>
        <w:tc>
          <w:tcPr>
            <w:tcW w:w="1680" w:type="dxa"/>
          </w:tcPr>
          <w:p>
            <w:pPr>
              <w:pStyle w:val="TableParagraph"/>
              <w:ind w:right="63"/>
              <w:rPr>
                <w:b/>
                <w:sz w:val="22"/>
              </w:rPr>
            </w:pPr>
            <w:r>
              <w:rPr>
                <w:b/>
                <w:sz w:val="22"/>
              </w:rPr>
              <w:t>0,068</w:t>
            </w:r>
          </w:p>
        </w:tc>
      </w:tr>
      <w:tr>
        <w:trPr>
          <w:trHeight w:val="310" w:hRule="exact"/>
        </w:trPr>
        <w:tc>
          <w:tcPr>
            <w:tcW w:w="5078" w:type="dxa"/>
            <w:gridSpan w:val="6"/>
            <w:vMerge/>
            <w:tcBorders>
              <w:left w:val="nil"/>
            </w:tcBorders>
          </w:tcPr>
          <w:p>
            <w:pPr/>
          </w:p>
        </w:tc>
        <w:tc>
          <w:tcPr>
            <w:tcW w:w="2002" w:type="dxa"/>
            <w:gridSpan w:val="2"/>
            <w:vMerge w:val="restart"/>
          </w:tcPr>
          <w:p>
            <w:pPr>
              <w:pStyle w:val="TableParagraph"/>
              <w:spacing w:before="33"/>
              <w:ind w:left="64" w:right="367"/>
              <w:jc w:val="left"/>
              <w:rPr>
                <w:sz w:val="22"/>
              </w:rPr>
            </w:pPr>
            <w:r>
              <w:rPr>
                <w:sz w:val="22"/>
              </w:rPr>
              <w:t>Intervalo de confianza al 95 %</w:t>
            </w:r>
          </w:p>
        </w:tc>
        <w:tc>
          <w:tcPr>
            <w:tcW w:w="1680" w:type="dxa"/>
          </w:tcPr>
          <w:p>
            <w:pPr>
              <w:pStyle w:val="TableParagraph"/>
              <w:ind w:right="63"/>
              <w:rPr>
                <w:sz w:val="22"/>
              </w:rPr>
            </w:pPr>
            <w:r>
              <w:rPr>
                <w:sz w:val="22"/>
              </w:rPr>
              <w:t>6,84</w:t>
            </w:r>
          </w:p>
        </w:tc>
      </w:tr>
      <w:tr>
        <w:trPr>
          <w:trHeight w:val="310" w:hRule="exact"/>
        </w:trPr>
        <w:tc>
          <w:tcPr>
            <w:tcW w:w="5078" w:type="dxa"/>
            <w:gridSpan w:val="6"/>
            <w:vMerge/>
            <w:tcBorders>
              <w:left w:val="nil"/>
              <w:bottom w:val="nil"/>
            </w:tcBorders>
          </w:tcPr>
          <w:p>
            <w:pPr/>
          </w:p>
        </w:tc>
        <w:tc>
          <w:tcPr>
            <w:tcW w:w="2002" w:type="dxa"/>
            <w:gridSpan w:val="2"/>
            <w:vMerge/>
          </w:tcPr>
          <w:p>
            <w:pPr/>
          </w:p>
        </w:tc>
        <w:tc>
          <w:tcPr>
            <w:tcW w:w="1680" w:type="dxa"/>
          </w:tcPr>
          <w:p>
            <w:pPr>
              <w:pStyle w:val="TableParagraph"/>
              <w:ind w:right="63"/>
              <w:rPr>
                <w:sz w:val="22"/>
              </w:rPr>
            </w:pPr>
            <w:r>
              <w:rPr>
                <w:sz w:val="22"/>
              </w:rPr>
              <w:t>7,11</w:t>
            </w:r>
          </w:p>
        </w:tc>
      </w:tr>
    </w:tbl>
    <w:p>
      <w:pPr>
        <w:pStyle w:val="BodyText"/>
        <w:spacing w:before="1"/>
        <w:rPr>
          <w:rFonts w:ascii="Times New Roman"/>
          <w:sz w:val="26"/>
        </w:rPr>
      </w:pPr>
    </w:p>
    <w:tbl>
      <w:tblPr>
        <w:tblW w:w="0" w:type="auto"/>
        <w:jc w:val="left"/>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43"/>
        <w:gridCol w:w="905"/>
        <w:gridCol w:w="514"/>
        <w:gridCol w:w="749"/>
        <w:gridCol w:w="746"/>
        <w:gridCol w:w="1222"/>
        <w:gridCol w:w="749"/>
        <w:gridCol w:w="1253"/>
        <w:gridCol w:w="1680"/>
      </w:tblGrid>
      <w:tr>
        <w:trPr>
          <w:trHeight w:val="310" w:hRule="exact"/>
        </w:trPr>
        <w:tc>
          <w:tcPr>
            <w:tcW w:w="8760" w:type="dxa"/>
            <w:gridSpan w:val="9"/>
          </w:tcPr>
          <w:p>
            <w:pPr>
              <w:pStyle w:val="TableParagraph"/>
              <w:spacing w:before="30"/>
              <w:ind w:left="3401" w:right="3399"/>
              <w:jc w:val="center"/>
              <w:rPr>
                <w:sz w:val="22"/>
              </w:rPr>
            </w:pPr>
            <w:r>
              <w:rPr>
                <w:sz w:val="22"/>
              </w:rPr>
              <w:t>Punto de muestreo G</w:t>
            </w:r>
          </w:p>
        </w:tc>
      </w:tr>
      <w:tr>
        <w:trPr>
          <w:trHeight w:val="312" w:hRule="exact"/>
        </w:trPr>
        <w:tc>
          <w:tcPr>
            <w:tcW w:w="943" w:type="dxa"/>
          </w:tcPr>
          <w:p>
            <w:pPr>
              <w:pStyle w:val="TableParagraph"/>
              <w:spacing w:before="13"/>
              <w:ind w:left="126" w:right="127"/>
              <w:jc w:val="center"/>
              <w:rPr>
                <w:sz w:val="22"/>
              </w:rPr>
            </w:pPr>
            <w:r>
              <w:rPr>
                <w:sz w:val="22"/>
              </w:rPr>
              <w:t>Estrato</w:t>
            </w:r>
          </w:p>
        </w:tc>
        <w:tc>
          <w:tcPr>
            <w:tcW w:w="905" w:type="dxa"/>
          </w:tcPr>
          <w:p>
            <w:pPr>
              <w:pStyle w:val="TableParagraph"/>
              <w:spacing w:before="43"/>
              <w:ind w:left="290" w:right="303"/>
              <w:jc w:val="center"/>
              <w:rPr>
                <w:rFonts w:ascii="Cambria Math"/>
                <w:sz w:val="16"/>
              </w:rPr>
            </w:pPr>
            <w:r>
              <w:rPr>
                <w:rFonts w:ascii="Cambria Math"/>
                <w:w w:val="110"/>
                <w:sz w:val="22"/>
              </w:rPr>
              <w:t>N</w:t>
            </w:r>
            <w:r>
              <w:rPr>
                <w:rFonts w:ascii="Cambria Math"/>
                <w:w w:val="110"/>
                <w:position w:val="-4"/>
                <w:sz w:val="16"/>
              </w:rPr>
              <w:t>h</w:t>
            </w:r>
          </w:p>
        </w:tc>
        <w:tc>
          <w:tcPr>
            <w:tcW w:w="514" w:type="dxa"/>
          </w:tcPr>
          <w:p>
            <w:pPr>
              <w:pStyle w:val="TableParagraph"/>
              <w:spacing w:before="43"/>
              <w:ind w:left="131" w:right="0"/>
              <w:jc w:val="left"/>
              <w:rPr>
                <w:rFonts w:ascii="Cambria Math"/>
                <w:sz w:val="16"/>
              </w:rPr>
            </w:pPr>
            <w:r>
              <w:rPr>
                <w:rFonts w:ascii="Cambria Math"/>
                <w:w w:val="110"/>
                <w:sz w:val="22"/>
              </w:rPr>
              <w:t>n</w:t>
            </w:r>
            <w:r>
              <w:rPr>
                <w:rFonts w:ascii="Cambria Math"/>
                <w:w w:val="110"/>
                <w:position w:val="-4"/>
                <w:sz w:val="16"/>
              </w:rPr>
              <w:t>h</w:t>
            </w:r>
          </w:p>
        </w:tc>
        <w:tc>
          <w:tcPr>
            <w:tcW w:w="749" w:type="dxa"/>
          </w:tcPr>
          <w:p>
            <w:pPr>
              <w:pStyle w:val="TableParagraph"/>
              <w:spacing w:before="43"/>
              <w:ind w:left="235" w:right="248"/>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46" w:type="dxa"/>
          </w:tcPr>
          <w:p>
            <w:pPr>
              <w:pStyle w:val="TableParagraph"/>
              <w:spacing w:line="214" w:lineRule="exact" w:before="8"/>
              <w:ind w:left="247" w:right="257"/>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78" w:right="0"/>
              <w:jc w:val="center"/>
              <w:rPr>
                <w:rFonts w:ascii="Cambria Math"/>
                <w:sz w:val="16"/>
              </w:rPr>
            </w:pPr>
            <w:r>
              <w:rPr>
                <w:rFonts w:ascii="Cambria Math"/>
                <w:w w:val="113"/>
                <w:sz w:val="16"/>
              </w:rPr>
              <w:t>h</w:t>
            </w:r>
          </w:p>
        </w:tc>
        <w:tc>
          <w:tcPr>
            <w:tcW w:w="1222" w:type="dxa"/>
          </w:tcPr>
          <w:p>
            <w:pPr>
              <w:pStyle w:val="TableParagraph"/>
              <w:spacing w:before="19"/>
              <w:ind w:left="486" w:right="497"/>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49" w:type="dxa"/>
          </w:tcPr>
          <w:p>
            <w:pPr>
              <w:pStyle w:val="TableParagraph"/>
              <w:spacing w:before="43"/>
              <w:ind w:left="235" w:right="246"/>
              <w:jc w:val="center"/>
              <w:rPr>
                <w:rFonts w:ascii="Cambria Math"/>
                <w:sz w:val="16"/>
              </w:rPr>
            </w:pPr>
            <w:r>
              <w:rPr>
                <w:rFonts w:ascii="Cambria Math"/>
                <w:w w:val="110"/>
                <w:sz w:val="22"/>
              </w:rPr>
              <w:t>s</w:t>
            </w:r>
            <w:r>
              <w:rPr>
                <w:rFonts w:ascii="Cambria Math"/>
                <w:w w:val="110"/>
                <w:position w:val="-4"/>
                <w:sz w:val="16"/>
              </w:rPr>
              <w:t>h</w:t>
            </w:r>
          </w:p>
        </w:tc>
        <w:tc>
          <w:tcPr>
            <w:tcW w:w="1253" w:type="dxa"/>
          </w:tcPr>
          <w:p>
            <w:pPr>
              <w:pStyle w:val="TableParagraph"/>
              <w:spacing w:before="3"/>
              <w:ind w:left="292"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3"/>
                <w:w w:val="130"/>
                <w:position w:val="-4"/>
                <w:sz w:val="16"/>
              </w:rPr>
              <w:t>t</w:t>
            </w:r>
            <w:r>
              <w:rPr>
                <w:rFonts w:ascii="Cambria Math" w:hAnsi="Cambria Math"/>
                <w:w w:val="100"/>
                <w:position w:val="1"/>
                <w:sz w:val="22"/>
              </w:rPr>
              <w:t>)</w:t>
            </w:r>
          </w:p>
        </w:tc>
        <w:tc>
          <w:tcPr>
            <w:tcW w:w="1680" w:type="dxa"/>
          </w:tcPr>
          <w:p>
            <w:pPr>
              <w:pStyle w:val="TableParagraph"/>
              <w:spacing w:before="3"/>
              <w:ind w:left="489"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43" w:type="dxa"/>
          </w:tcPr>
          <w:p>
            <w:pPr>
              <w:pStyle w:val="TableParagraph"/>
              <w:ind w:right="1"/>
              <w:jc w:val="center"/>
              <w:rPr>
                <w:sz w:val="22"/>
              </w:rPr>
            </w:pPr>
            <w:r>
              <w:rPr>
                <w:w w:val="100"/>
                <w:sz w:val="22"/>
              </w:rPr>
              <w:t>1</w:t>
            </w:r>
          </w:p>
        </w:tc>
        <w:tc>
          <w:tcPr>
            <w:tcW w:w="905" w:type="dxa"/>
          </w:tcPr>
          <w:p>
            <w:pPr>
              <w:pStyle w:val="TableParagraph"/>
              <w:rPr>
                <w:sz w:val="22"/>
              </w:rPr>
            </w:pPr>
            <w:r>
              <w:rPr>
                <w:sz w:val="22"/>
              </w:rPr>
              <w:t>108,60</w:t>
            </w:r>
          </w:p>
        </w:tc>
        <w:tc>
          <w:tcPr>
            <w:tcW w:w="514" w:type="dxa"/>
          </w:tcPr>
          <w:p>
            <w:pPr>
              <w:pStyle w:val="TableParagraph"/>
              <w:ind w:right="63"/>
              <w:rPr>
                <w:sz w:val="22"/>
              </w:rPr>
            </w:pPr>
            <w:r>
              <w:rPr>
                <w:sz w:val="22"/>
              </w:rPr>
              <w:t>108</w:t>
            </w:r>
          </w:p>
        </w:tc>
        <w:tc>
          <w:tcPr>
            <w:tcW w:w="749" w:type="dxa"/>
          </w:tcPr>
          <w:p>
            <w:pPr>
              <w:pStyle w:val="TableParagraph"/>
              <w:ind w:right="63"/>
              <w:rPr>
                <w:sz w:val="22"/>
              </w:rPr>
            </w:pPr>
            <w:r>
              <w:rPr>
                <w:sz w:val="22"/>
              </w:rPr>
              <w:t>6,926</w:t>
            </w:r>
          </w:p>
        </w:tc>
        <w:tc>
          <w:tcPr>
            <w:tcW w:w="746" w:type="dxa"/>
          </w:tcPr>
          <w:p>
            <w:pPr>
              <w:pStyle w:val="TableParagraph"/>
              <w:ind w:left="167" w:right="0"/>
              <w:jc w:val="left"/>
              <w:rPr>
                <w:sz w:val="22"/>
              </w:rPr>
            </w:pPr>
            <w:r>
              <w:rPr>
                <w:sz w:val="22"/>
              </w:rPr>
              <w:t>0,067</w:t>
            </w:r>
          </w:p>
        </w:tc>
        <w:tc>
          <w:tcPr>
            <w:tcW w:w="1222" w:type="dxa"/>
          </w:tcPr>
          <w:p>
            <w:pPr>
              <w:pStyle w:val="TableParagraph"/>
              <w:ind w:right="63"/>
              <w:rPr>
                <w:sz w:val="22"/>
              </w:rPr>
            </w:pPr>
            <w:r>
              <w:rPr>
                <w:sz w:val="22"/>
              </w:rPr>
              <w:t>752,188</w:t>
            </w:r>
          </w:p>
        </w:tc>
        <w:tc>
          <w:tcPr>
            <w:tcW w:w="749" w:type="dxa"/>
          </w:tcPr>
          <w:p>
            <w:pPr>
              <w:pStyle w:val="TableParagraph"/>
              <w:ind w:right="63"/>
              <w:rPr>
                <w:sz w:val="22"/>
              </w:rPr>
            </w:pPr>
            <w:r>
              <w:rPr>
                <w:sz w:val="22"/>
              </w:rPr>
              <w:t>0,259</w:t>
            </w:r>
          </w:p>
        </w:tc>
        <w:tc>
          <w:tcPr>
            <w:tcW w:w="1253" w:type="dxa"/>
          </w:tcPr>
          <w:p>
            <w:pPr>
              <w:pStyle w:val="TableParagraph"/>
              <w:rPr>
                <w:sz w:val="22"/>
              </w:rPr>
            </w:pPr>
            <w:r>
              <w:rPr>
                <w:sz w:val="22"/>
              </w:rPr>
              <w:t>-2,444</w:t>
            </w:r>
          </w:p>
        </w:tc>
        <w:tc>
          <w:tcPr>
            <w:tcW w:w="1680" w:type="dxa"/>
          </w:tcPr>
          <w:p>
            <w:pPr>
              <w:pStyle w:val="TableParagraph"/>
              <w:ind w:right="63"/>
              <w:rPr>
                <w:sz w:val="22"/>
              </w:rPr>
            </w:pPr>
            <w:r>
              <w:rPr>
                <w:sz w:val="22"/>
              </w:rPr>
              <w:t>-0,0002304</w:t>
            </w:r>
          </w:p>
        </w:tc>
      </w:tr>
      <w:tr>
        <w:trPr>
          <w:trHeight w:val="310" w:hRule="exact"/>
        </w:trPr>
        <w:tc>
          <w:tcPr>
            <w:tcW w:w="943" w:type="dxa"/>
          </w:tcPr>
          <w:p>
            <w:pPr>
              <w:pStyle w:val="TableParagraph"/>
              <w:ind w:right="1"/>
              <w:jc w:val="center"/>
              <w:rPr>
                <w:sz w:val="22"/>
              </w:rPr>
            </w:pPr>
            <w:r>
              <w:rPr>
                <w:w w:val="100"/>
                <w:sz w:val="22"/>
              </w:rPr>
              <w:t>2</w:t>
            </w:r>
          </w:p>
        </w:tc>
        <w:tc>
          <w:tcPr>
            <w:tcW w:w="905" w:type="dxa"/>
          </w:tcPr>
          <w:p>
            <w:pPr>
              <w:pStyle w:val="TableParagraph"/>
              <w:rPr>
                <w:sz w:val="22"/>
              </w:rPr>
            </w:pPr>
            <w:r>
              <w:rPr>
                <w:sz w:val="22"/>
              </w:rPr>
              <w:t>121,03</w:t>
            </w:r>
          </w:p>
        </w:tc>
        <w:tc>
          <w:tcPr>
            <w:tcW w:w="514" w:type="dxa"/>
          </w:tcPr>
          <w:p>
            <w:pPr>
              <w:pStyle w:val="TableParagraph"/>
              <w:ind w:right="63"/>
              <w:rPr>
                <w:sz w:val="22"/>
              </w:rPr>
            </w:pPr>
            <w:r>
              <w:rPr>
                <w:sz w:val="22"/>
              </w:rPr>
              <w:t>81</w:t>
            </w:r>
          </w:p>
        </w:tc>
        <w:tc>
          <w:tcPr>
            <w:tcW w:w="749" w:type="dxa"/>
          </w:tcPr>
          <w:p>
            <w:pPr>
              <w:pStyle w:val="TableParagraph"/>
              <w:ind w:right="63"/>
              <w:rPr>
                <w:sz w:val="22"/>
              </w:rPr>
            </w:pPr>
            <w:r>
              <w:rPr>
                <w:sz w:val="22"/>
              </w:rPr>
              <w:t>6,807</w:t>
            </w:r>
          </w:p>
        </w:tc>
        <w:tc>
          <w:tcPr>
            <w:tcW w:w="746" w:type="dxa"/>
          </w:tcPr>
          <w:p>
            <w:pPr>
              <w:pStyle w:val="TableParagraph"/>
              <w:ind w:left="167" w:right="0"/>
              <w:jc w:val="left"/>
              <w:rPr>
                <w:sz w:val="22"/>
              </w:rPr>
            </w:pPr>
            <w:r>
              <w:rPr>
                <w:sz w:val="22"/>
              </w:rPr>
              <w:t>0,047</w:t>
            </w:r>
          </w:p>
        </w:tc>
        <w:tc>
          <w:tcPr>
            <w:tcW w:w="1222" w:type="dxa"/>
          </w:tcPr>
          <w:p>
            <w:pPr>
              <w:pStyle w:val="TableParagraph"/>
              <w:ind w:right="63"/>
              <w:rPr>
                <w:sz w:val="22"/>
              </w:rPr>
            </w:pPr>
            <w:r>
              <w:rPr>
                <w:sz w:val="22"/>
              </w:rPr>
              <w:t>823,811</w:t>
            </w:r>
          </w:p>
        </w:tc>
        <w:tc>
          <w:tcPr>
            <w:tcW w:w="749" w:type="dxa"/>
          </w:tcPr>
          <w:p>
            <w:pPr>
              <w:pStyle w:val="TableParagraph"/>
              <w:ind w:right="63"/>
              <w:rPr>
                <w:sz w:val="22"/>
              </w:rPr>
            </w:pPr>
            <w:r>
              <w:rPr>
                <w:sz w:val="22"/>
              </w:rPr>
              <w:t>0,216</w:t>
            </w:r>
          </w:p>
        </w:tc>
        <w:tc>
          <w:tcPr>
            <w:tcW w:w="1253" w:type="dxa"/>
          </w:tcPr>
          <w:p>
            <w:pPr>
              <w:pStyle w:val="TableParagraph"/>
              <w:rPr>
                <w:sz w:val="22"/>
              </w:rPr>
            </w:pPr>
            <w:r>
              <w:rPr>
                <w:sz w:val="22"/>
              </w:rPr>
              <w:t>2,797</w:t>
            </w:r>
          </w:p>
        </w:tc>
        <w:tc>
          <w:tcPr>
            <w:tcW w:w="1680" w:type="dxa"/>
          </w:tcPr>
          <w:p>
            <w:pPr>
              <w:pStyle w:val="TableParagraph"/>
              <w:ind w:right="63"/>
              <w:rPr>
                <w:sz w:val="22"/>
              </w:rPr>
            </w:pPr>
            <w:r>
              <w:rPr>
                <w:sz w:val="22"/>
              </w:rPr>
              <w:t>0,00026367</w:t>
            </w:r>
          </w:p>
        </w:tc>
      </w:tr>
      <w:tr>
        <w:trPr>
          <w:trHeight w:val="310" w:hRule="exact"/>
        </w:trPr>
        <w:tc>
          <w:tcPr>
            <w:tcW w:w="943" w:type="dxa"/>
          </w:tcPr>
          <w:p>
            <w:pPr>
              <w:pStyle w:val="TableParagraph"/>
              <w:ind w:right="1"/>
              <w:jc w:val="center"/>
              <w:rPr>
                <w:sz w:val="22"/>
              </w:rPr>
            </w:pPr>
            <w:r>
              <w:rPr>
                <w:w w:val="100"/>
                <w:sz w:val="22"/>
              </w:rPr>
              <w:t>3</w:t>
            </w:r>
          </w:p>
        </w:tc>
        <w:tc>
          <w:tcPr>
            <w:tcW w:w="905" w:type="dxa"/>
          </w:tcPr>
          <w:p>
            <w:pPr>
              <w:pStyle w:val="TableParagraph"/>
              <w:rPr>
                <w:sz w:val="22"/>
              </w:rPr>
            </w:pPr>
            <w:r>
              <w:rPr>
                <w:sz w:val="22"/>
              </w:rPr>
              <w:t>130,21</w:t>
            </w:r>
          </w:p>
        </w:tc>
        <w:tc>
          <w:tcPr>
            <w:tcW w:w="514" w:type="dxa"/>
          </w:tcPr>
          <w:p>
            <w:pPr>
              <w:pStyle w:val="TableParagraph"/>
              <w:ind w:right="63"/>
              <w:rPr>
                <w:sz w:val="22"/>
              </w:rPr>
            </w:pPr>
            <w:r>
              <w:rPr>
                <w:sz w:val="22"/>
              </w:rPr>
              <w:t>77</w:t>
            </w:r>
          </w:p>
        </w:tc>
        <w:tc>
          <w:tcPr>
            <w:tcW w:w="749" w:type="dxa"/>
          </w:tcPr>
          <w:p>
            <w:pPr>
              <w:pStyle w:val="TableParagraph"/>
              <w:ind w:right="63"/>
              <w:rPr>
                <w:sz w:val="22"/>
              </w:rPr>
            </w:pPr>
            <w:r>
              <w:rPr>
                <w:sz w:val="22"/>
              </w:rPr>
              <w:t>6,684</w:t>
            </w:r>
          </w:p>
        </w:tc>
        <w:tc>
          <w:tcPr>
            <w:tcW w:w="746" w:type="dxa"/>
          </w:tcPr>
          <w:p>
            <w:pPr>
              <w:pStyle w:val="TableParagraph"/>
              <w:ind w:left="167" w:right="0"/>
              <w:jc w:val="left"/>
              <w:rPr>
                <w:sz w:val="22"/>
              </w:rPr>
            </w:pPr>
            <w:r>
              <w:rPr>
                <w:sz w:val="22"/>
              </w:rPr>
              <w:t>0,094</w:t>
            </w:r>
          </w:p>
        </w:tc>
        <w:tc>
          <w:tcPr>
            <w:tcW w:w="1222" w:type="dxa"/>
          </w:tcPr>
          <w:p>
            <w:pPr>
              <w:pStyle w:val="TableParagraph"/>
              <w:ind w:right="63"/>
              <w:rPr>
                <w:sz w:val="22"/>
              </w:rPr>
            </w:pPr>
            <w:r>
              <w:rPr>
                <w:sz w:val="22"/>
              </w:rPr>
              <w:t>870,283</w:t>
            </w:r>
          </w:p>
        </w:tc>
        <w:tc>
          <w:tcPr>
            <w:tcW w:w="749" w:type="dxa"/>
          </w:tcPr>
          <w:p>
            <w:pPr>
              <w:pStyle w:val="TableParagraph"/>
              <w:ind w:right="63"/>
              <w:rPr>
                <w:sz w:val="22"/>
              </w:rPr>
            </w:pPr>
            <w:r>
              <w:rPr>
                <w:sz w:val="22"/>
              </w:rPr>
              <w:t>0,306</w:t>
            </w:r>
          </w:p>
        </w:tc>
        <w:tc>
          <w:tcPr>
            <w:tcW w:w="1253" w:type="dxa"/>
          </w:tcPr>
          <w:p>
            <w:pPr>
              <w:pStyle w:val="TableParagraph"/>
              <w:rPr>
                <w:sz w:val="22"/>
              </w:rPr>
            </w:pPr>
            <w:r>
              <w:rPr>
                <w:sz w:val="22"/>
              </w:rPr>
              <w:t>8,572</w:t>
            </w:r>
          </w:p>
        </w:tc>
        <w:tc>
          <w:tcPr>
            <w:tcW w:w="1680" w:type="dxa"/>
          </w:tcPr>
          <w:p>
            <w:pPr>
              <w:pStyle w:val="TableParagraph"/>
              <w:ind w:right="63"/>
              <w:rPr>
                <w:sz w:val="22"/>
              </w:rPr>
            </w:pPr>
            <w:r>
              <w:rPr>
                <w:sz w:val="22"/>
              </w:rPr>
              <w:t>0,00080795</w:t>
            </w:r>
          </w:p>
        </w:tc>
      </w:tr>
      <w:tr>
        <w:trPr>
          <w:trHeight w:val="310" w:hRule="exact"/>
        </w:trPr>
        <w:tc>
          <w:tcPr>
            <w:tcW w:w="943" w:type="dxa"/>
          </w:tcPr>
          <w:p>
            <w:pPr>
              <w:pStyle w:val="TableParagraph"/>
              <w:ind w:right="1"/>
              <w:jc w:val="center"/>
              <w:rPr>
                <w:sz w:val="22"/>
              </w:rPr>
            </w:pPr>
            <w:r>
              <w:rPr>
                <w:w w:val="100"/>
                <w:sz w:val="22"/>
              </w:rPr>
              <w:t>4</w:t>
            </w:r>
          </w:p>
        </w:tc>
        <w:tc>
          <w:tcPr>
            <w:tcW w:w="905" w:type="dxa"/>
          </w:tcPr>
          <w:p>
            <w:pPr>
              <w:pStyle w:val="TableParagraph"/>
              <w:rPr>
                <w:sz w:val="22"/>
              </w:rPr>
            </w:pPr>
            <w:r>
              <w:rPr>
                <w:sz w:val="22"/>
              </w:rPr>
              <w:t>155,12</w:t>
            </w:r>
          </w:p>
        </w:tc>
        <w:tc>
          <w:tcPr>
            <w:tcW w:w="514" w:type="dxa"/>
          </w:tcPr>
          <w:p>
            <w:pPr>
              <w:pStyle w:val="TableParagraph"/>
              <w:ind w:right="63"/>
              <w:rPr>
                <w:sz w:val="22"/>
              </w:rPr>
            </w:pPr>
            <w:r>
              <w:rPr>
                <w:sz w:val="22"/>
              </w:rPr>
              <w:t>92</w:t>
            </w:r>
          </w:p>
        </w:tc>
        <w:tc>
          <w:tcPr>
            <w:tcW w:w="749" w:type="dxa"/>
          </w:tcPr>
          <w:p>
            <w:pPr>
              <w:pStyle w:val="TableParagraph"/>
              <w:ind w:right="63"/>
              <w:rPr>
                <w:sz w:val="22"/>
              </w:rPr>
            </w:pPr>
            <w:r>
              <w:rPr>
                <w:sz w:val="22"/>
              </w:rPr>
              <w:t>7,022</w:t>
            </w:r>
          </w:p>
        </w:tc>
        <w:tc>
          <w:tcPr>
            <w:tcW w:w="746" w:type="dxa"/>
          </w:tcPr>
          <w:p>
            <w:pPr>
              <w:pStyle w:val="TableParagraph"/>
              <w:ind w:left="167" w:right="0"/>
              <w:jc w:val="left"/>
              <w:rPr>
                <w:sz w:val="22"/>
              </w:rPr>
            </w:pPr>
            <w:r>
              <w:rPr>
                <w:sz w:val="22"/>
              </w:rPr>
              <w:t>0,081</w:t>
            </w:r>
          </w:p>
        </w:tc>
        <w:tc>
          <w:tcPr>
            <w:tcW w:w="1222" w:type="dxa"/>
          </w:tcPr>
          <w:p>
            <w:pPr>
              <w:pStyle w:val="TableParagraph"/>
              <w:ind w:right="63"/>
              <w:rPr>
                <w:sz w:val="22"/>
              </w:rPr>
            </w:pPr>
            <w:r>
              <w:rPr>
                <w:sz w:val="22"/>
              </w:rPr>
              <w:t>1089,201</w:t>
            </w:r>
          </w:p>
        </w:tc>
        <w:tc>
          <w:tcPr>
            <w:tcW w:w="749" w:type="dxa"/>
          </w:tcPr>
          <w:p>
            <w:pPr>
              <w:pStyle w:val="TableParagraph"/>
              <w:ind w:right="63"/>
              <w:rPr>
                <w:sz w:val="22"/>
              </w:rPr>
            </w:pPr>
            <w:r>
              <w:rPr>
                <w:sz w:val="22"/>
              </w:rPr>
              <w:t>0,284</w:t>
            </w:r>
          </w:p>
        </w:tc>
        <w:tc>
          <w:tcPr>
            <w:tcW w:w="1253" w:type="dxa"/>
          </w:tcPr>
          <w:p>
            <w:pPr>
              <w:pStyle w:val="TableParagraph"/>
              <w:rPr>
                <w:sz w:val="22"/>
              </w:rPr>
            </w:pPr>
            <w:r>
              <w:rPr>
                <w:sz w:val="22"/>
              </w:rPr>
              <w:t>8,632</w:t>
            </w:r>
          </w:p>
        </w:tc>
        <w:tc>
          <w:tcPr>
            <w:tcW w:w="1680" w:type="dxa"/>
          </w:tcPr>
          <w:p>
            <w:pPr>
              <w:pStyle w:val="TableParagraph"/>
              <w:ind w:right="63"/>
              <w:rPr>
                <w:sz w:val="22"/>
              </w:rPr>
            </w:pPr>
            <w:r>
              <w:rPr>
                <w:sz w:val="22"/>
              </w:rPr>
              <w:t>0,00081368</w:t>
            </w:r>
          </w:p>
        </w:tc>
      </w:tr>
      <w:tr>
        <w:trPr>
          <w:trHeight w:val="310" w:hRule="exact"/>
        </w:trPr>
        <w:tc>
          <w:tcPr>
            <w:tcW w:w="943" w:type="dxa"/>
          </w:tcPr>
          <w:p>
            <w:pPr>
              <w:pStyle w:val="TableParagraph"/>
              <w:spacing w:before="30"/>
              <w:ind w:right="1"/>
              <w:jc w:val="center"/>
              <w:rPr>
                <w:sz w:val="22"/>
              </w:rPr>
            </w:pPr>
            <w:r>
              <w:rPr>
                <w:w w:val="100"/>
                <w:sz w:val="22"/>
              </w:rPr>
              <w:t>5</w:t>
            </w:r>
          </w:p>
        </w:tc>
        <w:tc>
          <w:tcPr>
            <w:tcW w:w="905" w:type="dxa"/>
          </w:tcPr>
          <w:p>
            <w:pPr>
              <w:pStyle w:val="TableParagraph"/>
              <w:spacing w:before="30"/>
              <w:rPr>
                <w:sz w:val="22"/>
              </w:rPr>
            </w:pPr>
            <w:r>
              <w:rPr>
                <w:sz w:val="22"/>
              </w:rPr>
              <w:t>180,21</w:t>
            </w:r>
          </w:p>
        </w:tc>
        <w:tc>
          <w:tcPr>
            <w:tcW w:w="514" w:type="dxa"/>
          </w:tcPr>
          <w:p>
            <w:pPr>
              <w:pStyle w:val="TableParagraph"/>
              <w:spacing w:before="30"/>
              <w:ind w:right="63"/>
              <w:rPr>
                <w:sz w:val="22"/>
              </w:rPr>
            </w:pPr>
            <w:r>
              <w:rPr>
                <w:sz w:val="22"/>
              </w:rPr>
              <w:t>132</w:t>
            </w:r>
          </w:p>
        </w:tc>
        <w:tc>
          <w:tcPr>
            <w:tcW w:w="749" w:type="dxa"/>
          </w:tcPr>
          <w:p>
            <w:pPr>
              <w:pStyle w:val="TableParagraph"/>
              <w:spacing w:before="30"/>
              <w:ind w:right="63"/>
              <w:rPr>
                <w:sz w:val="22"/>
              </w:rPr>
            </w:pPr>
            <w:r>
              <w:rPr>
                <w:sz w:val="22"/>
              </w:rPr>
              <w:t>6,917</w:t>
            </w:r>
          </w:p>
        </w:tc>
        <w:tc>
          <w:tcPr>
            <w:tcW w:w="746" w:type="dxa"/>
          </w:tcPr>
          <w:p>
            <w:pPr>
              <w:pStyle w:val="TableParagraph"/>
              <w:spacing w:before="30"/>
              <w:ind w:left="167" w:right="0"/>
              <w:jc w:val="left"/>
              <w:rPr>
                <w:sz w:val="22"/>
              </w:rPr>
            </w:pPr>
            <w:r>
              <w:rPr>
                <w:sz w:val="22"/>
              </w:rPr>
              <w:t>0,105</w:t>
            </w:r>
          </w:p>
        </w:tc>
        <w:tc>
          <w:tcPr>
            <w:tcW w:w="1222" w:type="dxa"/>
          </w:tcPr>
          <w:p>
            <w:pPr>
              <w:pStyle w:val="TableParagraph"/>
              <w:spacing w:before="30"/>
              <w:ind w:right="63"/>
              <w:rPr>
                <w:sz w:val="22"/>
              </w:rPr>
            </w:pPr>
            <w:r>
              <w:rPr>
                <w:sz w:val="22"/>
              </w:rPr>
              <w:t>1246,453</w:t>
            </w:r>
          </w:p>
        </w:tc>
        <w:tc>
          <w:tcPr>
            <w:tcW w:w="749" w:type="dxa"/>
          </w:tcPr>
          <w:p>
            <w:pPr>
              <w:pStyle w:val="TableParagraph"/>
              <w:spacing w:before="30"/>
              <w:ind w:right="63"/>
              <w:rPr>
                <w:sz w:val="22"/>
              </w:rPr>
            </w:pPr>
            <w:r>
              <w:rPr>
                <w:sz w:val="22"/>
              </w:rPr>
              <w:t>0,324</w:t>
            </w:r>
          </w:p>
        </w:tc>
        <w:tc>
          <w:tcPr>
            <w:tcW w:w="1253" w:type="dxa"/>
          </w:tcPr>
          <w:p>
            <w:pPr>
              <w:pStyle w:val="TableParagraph"/>
              <w:spacing w:before="30"/>
              <w:rPr>
                <w:sz w:val="22"/>
              </w:rPr>
            </w:pPr>
            <w:r>
              <w:rPr>
                <w:sz w:val="22"/>
              </w:rPr>
              <w:t>6,908</w:t>
            </w:r>
          </w:p>
        </w:tc>
        <w:tc>
          <w:tcPr>
            <w:tcW w:w="1680" w:type="dxa"/>
          </w:tcPr>
          <w:p>
            <w:pPr>
              <w:pStyle w:val="TableParagraph"/>
              <w:spacing w:before="30"/>
              <w:ind w:right="63"/>
              <w:rPr>
                <w:sz w:val="22"/>
              </w:rPr>
            </w:pPr>
            <w:r>
              <w:rPr>
                <w:sz w:val="22"/>
              </w:rPr>
              <w:t>0,00065119</w:t>
            </w:r>
          </w:p>
        </w:tc>
      </w:tr>
      <w:tr>
        <w:trPr>
          <w:trHeight w:val="312" w:hRule="exact"/>
        </w:trPr>
        <w:tc>
          <w:tcPr>
            <w:tcW w:w="943" w:type="dxa"/>
          </w:tcPr>
          <w:p>
            <w:pPr>
              <w:pStyle w:val="TableParagraph"/>
              <w:spacing w:before="30"/>
              <w:ind w:right="0"/>
              <w:jc w:val="center"/>
              <w:rPr>
                <w:sz w:val="22"/>
              </w:rPr>
            </w:pPr>
            <w:r>
              <w:rPr>
                <w:w w:val="100"/>
                <w:sz w:val="22"/>
              </w:rPr>
              <w:t>N</w:t>
            </w:r>
          </w:p>
        </w:tc>
        <w:tc>
          <w:tcPr>
            <w:tcW w:w="905" w:type="dxa"/>
          </w:tcPr>
          <w:p>
            <w:pPr>
              <w:pStyle w:val="TableParagraph"/>
              <w:spacing w:before="30"/>
              <w:rPr>
                <w:sz w:val="22"/>
              </w:rPr>
            </w:pPr>
            <w:r>
              <w:rPr>
                <w:sz w:val="22"/>
              </w:rPr>
              <w:t>695,17</w:t>
            </w:r>
          </w:p>
        </w:tc>
        <w:tc>
          <w:tcPr>
            <w:tcW w:w="514" w:type="dxa"/>
          </w:tcPr>
          <w:p>
            <w:pPr/>
          </w:p>
        </w:tc>
        <w:tc>
          <w:tcPr>
            <w:tcW w:w="749" w:type="dxa"/>
          </w:tcPr>
          <w:p>
            <w:pPr/>
          </w:p>
        </w:tc>
        <w:tc>
          <w:tcPr>
            <w:tcW w:w="746" w:type="dxa"/>
          </w:tcPr>
          <w:p>
            <w:pPr>
              <w:pStyle w:val="TableParagraph"/>
              <w:spacing w:before="18"/>
              <w:ind w:left="201"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222" w:type="dxa"/>
          </w:tcPr>
          <w:p>
            <w:pPr>
              <w:pStyle w:val="TableParagraph"/>
              <w:spacing w:before="30"/>
              <w:ind w:right="63"/>
              <w:rPr>
                <w:sz w:val="22"/>
              </w:rPr>
            </w:pPr>
            <w:r>
              <w:rPr>
                <w:sz w:val="22"/>
              </w:rPr>
              <w:t>4781,935</w:t>
            </w:r>
          </w:p>
        </w:tc>
        <w:tc>
          <w:tcPr>
            <w:tcW w:w="749" w:type="dxa"/>
          </w:tcPr>
          <w:p>
            <w:pPr/>
          </w:p>
        </w:tc>
        <w:tc>
          <w:tcPr>
            <w:tcW w:w="1253" w:type="dxa"/>
          </w:tcPr>
          <w:p>
            <w:pPr>
              <w:pStyle w:val="TableParagraph"/>
              <w:spacing w:before="30"/>
              <w:rPr>
                <w:sz w:val="22"/>
              </w:rPr>
            </w:pPr>
            <w:r>
              <w:rPr>
                <w:sz w:val="22"/>
              </w:rPr>
              <w:t>24,465</w:t>
            </w:r>
          </w:p>
        </w:tc>
        <w:tc>
          <w:tcPr>
            <w:tcW w:w="1680" w:type="dxa"/>
          </w:tcPr>
          <w:p>
            <w:pPr>
              <w:pStyle w:val="TableParagraph"/>
              <w:spacing w:before="30"/>
              <w:ind w:right="63"/>
              <w:rPr>
                <w:sz w:val="22"/>
              </w:rPr>
            </w:pPr>
            <w:r>
              <w:rPr>
                <w:sz w:val="22"/>
              </w:rPr>
              <w:t>0,00230609</w:t>
            </w:r>
          </w:p>
        </w:tc>
      </w:tr>
      <w:tr>
        <w:trPr>
          <w:trHeight w:val="310" w:hRule="exact"/>
        </w:trPr>
        <w:tc>
          <w:tcPr>
            <w:tcW w:w="5078" w:type="dxa"/>
            <w:gridSpan w:val="6"/>
            <w:vMerge w:val="restart"/>
            <w:tcBorders>
              <w:left w:val="nil"/>
            </w:tcBorders>
          </w:tcPr>
          <w:p>
            <w:pPr/>
          </w:p>
        </w:tc>
        <w:tc>
          <w:tcPr>
            <w:tcW w:w="2002"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80" w:type="dxa"/>
          </w:tcPr>
          <w:p>
            <w:pPr>
              <w:pStyle w:val="TableParagraph"/>
              <w:ind w:right="63"/>
              <w:rPr>
                <w:b/>
                <w:sz w:val="22"/>
              </w:rPr>
            </w:pPr>
            <w:r>
              <w:rPr>
                <w:b/>
                <w:sz w:val="22"/>
              </w:rPr>
              <w:t>6,879</w:t>
            </w:r>
          </w:p>
        </w:tc>
      </w:tr>
      <w:tr>
        <w:trPr>
          <w:trHeight w:val="310" w:hRule="exact"/>
        </w:trPr>
        <w:tc>
          <w:tcPr>
            <w:tcW w:w="5078" w:type="dxa"/>
            <w:gridSpan w:val="6"/>
            <w:vMerge/>
            <w:tcBorders>
              <w:left w:val="nil"/>
            </w:tcBorders>
          </w:tcPr>
          <w:p>
            <w:pPr/>
          </w:p>
        </w:tc>
        <w:tc>
          <w:tcPr>
            <w:tcW w:w="2002" w:type="dxa"/>
            <w:gridSpan w:val="2"/>
          </w:tcPr>
          <w:p>
            <w:pPr>
              <w:pStyle w:val="TableParagraph"/>
              <w:spacing w:before="13"/>
              <w:ind w:left="64" w:right="0"/>
              <w:jc w:val="left"/>
              <w:rPr>
                <w:sz w:val="22"/>
              </w:rPr>
            </w:pPr>
            <w:r>
              <w:rPr>
                <w:sz w:val="22"/>
              </w:rPr>
              <w:t>Desviación estándar</w:t>
            </w:r>
          </w:p>
        </w:tc>
        <w:tc>
          <w:tcPr>
            <w:tcW w:w="1680" w:type="dxa"/>
          </w:tcPr>
          <w:p>
            <w:pPr>
              <w:pStyle w:val="TableParagraph"/>
              <w:ind w:right="63"/>
              <w:rPr>
                <w:b/>
                <w:sz w:val="22"/>
              </w:rPr>
            </w:pPr>
            <w:r>
              <w:rPr>
                <w:b/>
                <w:sz w:val="22"/>
              </w:rPr>
              <w:t>0,048</w:t>
            </w:r>
          </w:p>
        </w:tc>
      </w:tr>
      <w:tr>
        <w:trPr>
          <w:trHeight w:val="310" w:hRule="exact"/>
        </w:trPr>
        <w:tc>
          <w:tcPr>
            <w:tcW w:w="5078" w:type="dxa"/>
            <w:gridSpan w:val="6"/>
            <w:vMerge/>
            <w:tcBorders>
              <w:left w:val="nil"/>
            </w:tcBorders>
          </w:tcPr>
          <w:p>
            <w:pPr/>
          </w:p>
        </w:tc>
        <w:tc>
          <w:tcPr>
            <w:tcW w:w="2002" w:type="dxa"/>
            <w:gridSpan w:val="2"/>
            <w:vMerge w:val="restart"/>
          </w:tcPr>
          <w:p>
            <w:pPr>
              <w:pStyle w:val="TableParagraph"/>
              <w:spacing w:before="33"/>
              <w:ind w:left="64" w:right="367"/>
              <w:jc w:val="left"/>
              <w:rPr>
                <w:sz w:val="22"/>
              </w:rPr>
            </w:pPr>
            <w:r>
              <w:rPr>
                <w:sz w:val="22"/>
              </w:rPr>
              <w:t>Intervalo de confianza al 95 %</w:t>
            </w:r>
          </w:p>
        </w:tc>
        <w:tc>
          <w:tcPr>
            <w:tcW w:w="1680" w:type="dxa"/>
          </w:tcPr>
          <w:p>
            <w:pPr>
              <w:pStyle w:val="TableParagraph"/>
              <w:ind w:right="63"/>
              <w:rPr>
                <w:sz w:val="22"/>
              </w:rPr>
            </w:pPr>
            <w:r>
              <w:rPr>
                <w:sz w:val="22"/>
              </w:rPr>
              <w:t>6,78</w:t>
            </w:r>
          </w:p>
        </w:tc>
      </w:tr>
      <w:tr>
        <w:trPr>
          <w:trHeight w:val="310" w:hRule="exact"/>
        </w:trPr>
        <w:tc>
          <w:tcPr>
            <w:tcW w:w="5078" w:type="dxa"/>
            <w:gridSpan w:val="6"/>
            <w:vMerge/>
            <w:tcBorders>
              <w:left w:val="nil"/>
              <w:bottom w:val="nil"/>
            </w:tcBorders>
          </w:tcPr>
          <w:p>
            <w:pPr/>
          </w:p>
        </w:tc>
        <w:tc>
          <w:tcPr>
            <w:tcW w:w="2002" w:type="dxa"/>
            <w:gridSpan w:val="2"/>
            <w:vMerge/>
          </w:tcPr>
          <w:p>
            <w:pPr/>
          </w:p>
        </w:tc>
        <w:tc>
          <w:tcPr>
            <w:tcW w:w="1680" w:type="dxa"/>
          </w:tcPr>
          <w:p>
            <w:pPr>
              <w:pStyle w:val="TableParagraph"/>
              <w:spacing w:before="6"/>
              <w:ind w:right="63"/>
              <w:rPr>
                <w:sz w:val="24"/>
              </w:rPr>
            </w:pPr>
            <w:r>
              <w:rPr>
                <w:sz w:val="24"/>
              </w:rPr>
              <w:t>6,97</w:t>
            </w:r>
          </w:p>
        </w:tc>
      </w:tr>
    </w:tbl>
    <w:p>
      <w:pPr>
        <w:spacing w:after="0"/>
        <w:rPr>
          <w:sz w:val="24"/>
        </w:rPr>
        <w:sectPr>
          <w:pgSz w:w="12240" w:h="15840"/>
          <w:pgMar w:header="725" w:footer="1084" w:top="1340" w:bottom="1280" w:left="920" w:right="1200"/>
        </w:sectPr>
      </w:pPr>
    </w:p>
    <w:p>
      <w:pPr>
        <w:spacing w:before="172" w:after="4"/>
        <w:ind w:left="868" w:right="587" w:firstLine="0"/>
        <w:jc w:val="center"/>
        <w:rPr>
          <w:b/>
          <w:sz w:val="22"/>
        </w:rPr>
      </w:pPr>
      <w:r>
        <w:rPr>
          <w:b/>
          <w:sz w:val="22"/>
        </w:rPr>
        <w:t>Temperatura (ºC)</w:t>
      </w: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0"/>
        <w:gridCol w:w="871"/>
        <w:gridCol w:w="494"/>
        <w:gridCol w:w="874"/>
        <w:gridCol w:w="720"/>
        <w:gridCol w:w="1327"/>
        <w:gridCol w:w="914"/>
        <w:gridCol w:w="1207"/>
        <w:gridCol w:w="1618"/>
      </w:tblGrid>
      <w:tr>
        <w:trPr>
          <w:trHeight w:val="312" w:hRule="exact"/>
        </w:trPr>
        <w:tc>
          <w:tcPr>
            <w:tcW w:w="8935" w:type="dxa"/>
            <w:gridSpan w:val="9"/>
          </w:tcPr>
          <w:p>
            <w:pPr>
              <w:pStyle w:val="TableParagraph"/>
              <w:spacing w:before="30"/>
              <w:ind w:left="3494" w:right="3492"/>
              <w:jc w:val="center"/>
              <w:rPr>
                <w:sz w:val="22"/>
              </w:rPr>
            </w:pPr>
            <w:r>
              <w:rPr>
                <w:sz w:val="22"/>
              </w:rPr>
              <w:t>Punto de muestreo A</w:t>
            </w:r>
          </w:p>
        </w:tc>
      </w:tr>
      <w:tr>
        <w:trPr>
          <w:trHeight w:val="310" w:hRule="exact"/>
        </w:trPr>
        <w:tc>
          <w:tcPr>
            <w:tcW w:w="910" w:type="dxa"/>
          </w:tcPr>
          <w:p>
            <w:pPr>
              <w:pStyle w:val="TableParagraph"/>
              <w:spacing w:before="11"/>
              <w:ind w:left="110" w:right="111"/>
              <w:jc w:val="center"/>
              <w:rPr>
                <w:sz w:val="22"/>
              </w:rPr>
            </w:pPr>
            <w:r>
              <w:rPr>
                <w:sz w:val="22"/>
              </w:rPr>
              <w:t>Estrato</w:t>
            </w:r>
          </w:p>
        </w:tc>
        <w:tc>
          <w:tcPr>
            <w:tcW w:w="871" w:type="dxa"/>
          </w:tcPr>
          <w:p>
            <w:pPr>
              <w:pStyle w:val="TableParagraph"/>
              <w:spacing w:before="40"/>
              <w:ind w:left="270" w:right="288"/>
              <w:jc w:val="center"/>
              <w:rPr>
                <w:rFonts w:ascii="Cambria Math"/>
                <w:sz w:val="16"/>
              </w:rPr>
            </w:pPr>
            <w:r>
              <w:rPr>
                <w:rFonts w:ascii="Cambria Math"/>
                <w:w w:val="110"/>
                <w:sz w:val="22"/>
              </w:rPr>
              <w:t>N</w:t>
            </w:r>
            <w:r>
              <w:rPr>
                <w:rFonts w:ascii="Cambria Math"/>
                <w:w w:val="110"/>
                <w:position w:val="-4"/>
                <w:sz w:val="16"/>
              </w:rPr>
              <w:t>h</w:t>
            </w:r>
          </w:p>
        </w:tc>
        <w:tc>
          <w:tcPr>
            <w:tcW w:w="494" w:type="dxa"/>
          </w:tcPr>
          <w:p>
            <w:pPr>
              <w:pStyle w:val="TableParagraph"/>
              <w:spacing w:before="40"/>
              <w:ind w:left="122" w:right="0"/>
              <w:jc w:val="left"/>
              <w:rPr>
                <w:rFonts w:ascii="Cambria Math"/>
                <w:sz w:val="16"/>
              </w:rPr>
            </w:pPr>
            <w:r>
              <w:rPr>
                <w:rFonts w:ascii="Cambria Math"/>
                <w:w w:val="110"/>
                <w:sz w:val="22"/>
              </w:rPr>
              <w:t>n</w:t>
            </w:r>
            <w:r>
              <w:rPr>
                <w:rFonts w:ascii="Cambria Math"/>
                <w:w w:val="110"/>
                <w:position w:val="-4"/>
                <w:sz w:val="16"/>
              </w:rPr>
              <w:t>h</w:t>
            </w:r>
          </w:p>
        </w:tc>
        <w:tc>
          <w:tcPr>
            <w:tcW w:w="874" w:type="dxa"/>
          </w:tcPr>
          <w:p>
            <w:pPr>
              <w:pStyle w:val="TableParagraph"/>
              <w:spacing w:before="40"/>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20" w:type="dxa"/>
          </w:tcPr>
          <w:p>
            <w:pPr>
              <w:pStyle w:val="TableParagraph"/>
              <w:spacing w:line="214" w:lineRule="exact" w:before="6"/>
              <w:ind w:left="83" w:right="9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27" w:type="dxa"/>
          </w:tcPr>
          <w:p>
            <w:pPr>
              <w:pStyle w:val="TableParagraph"/>
              <w:spacing w:before="16"/>
              <w:ind w:left="539" w:right="550"/>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14" w:type="dxa"/>
          </w:tcPr>
          <w:p>
            <w:pPr>
              <w:pStyle w:val="TableParagraph"/>
              <w:spacing w:before="40"/>
              <w:ind w:left="347" w:right="0"/>
              <w:jc w:val="left"/>
              <w:rPr>
                <w:rFonts w:ascii="Cambria Math"/>
                <w:sz w:val="16"/>
              </w:rPr>
            </w:pPr>
            <w:r>
              <w:rPr>
                <w:rFonts w:ascii="Cambria Math"/>
                <w:w w:val="110"/>
                <w:sz w:val="22"/>
              </w:rPr>
              <w:t>s</w:t>
            </w:r>
            <w:r>
              <w:rPr>
                <w:rFonts w:ascii="Cambria Math"/>
                <w:w w:val="110"/>
                <w:position w:val="-4"/>
                <w:sz w:val="16"/>
              </w:rPr>
              <w:t>h</w:t>
            </w:r>
          </w:p>
        </w:tc>
        <w:tc>
          <w:tcPr>
            <w:tcW w:w="1207" w:type="dxa"/>
          </w:tcPr>
          <w:p>
            <w:pPr>
              <w:pStyle w:val="TableParagraph"/>
              <w:spacing w:before="0"/>
              <w:ind w:left="26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18" w:type="dxa"/>
          </w:tcPr>
          <w:p>
            <w:pPr>
              <w:pStyle w:val="TableParagraph"/>
              <w:spacing w:before="0"/>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10" w:type="dxa"/>
          </w:tcPr>
          <w:p>
            <w:pPr>
              <w:pStyle w:val="TableParagraph"/>
              <w:ind w:right="1"/>
              <w:jc w:val="center"/>
              <w:rPr>
                <w:sz w:val="22"/>
              </w:rPr>
            </w:pPr>
            <w:r>
              <w:rPr>
                <w:w w:val="100"/>
                <w:sz w:val="22"/>
              </w:rPr>
              <w:t>1</w:t>
            </w:r>
          </w:p>
        </w:tc>
        <w:tc>
          <w:tcPr>
            <w:tcW w:w="871" w:type="dxa"/>
          </w:tcPr>
          <w:p>
            <w:pPr>
              <w:pStyle w:val="TableParagraph"/>
              <w:ind w:right="63"/>
              <w:rPr>
                <w:sz w:val="22"/>
              </w:rPr>
            </w:pPr>
            <w:r>
              <w:rPr>
                <w:sz w:val="22"/>
              </w:rPr>
              <w:t>108,60</w:t>
            </w:r>
          </w:p>
        </w:tc>
        <w:tc>
          <w:tcPr>
            <w:tcW w:w="494" w:type="dxa"/>
          </w:tcPr>
          <w:p>
            <w:pPr>
              <w:pStyle w:val="TableParagraph"/>
              <w:ind w:left="83" w:right="0"/>
              <w:jc w:val="left"/>
              <w:rPr>
                <w:sz w:val="22"/>
              </w:rPr>
            </w:pPr>
            <w:r>
              <w:rPr>
                <w:sz w:val="22"/>
              </w:rPr>
              <w:t>108</w:t>
            </w:r>
          </w:p>
        </w:tc>
        <w:tc>
          <w:tcPr>
            <w:tcW w:w="874" w:type="dxa"/>
          </w:tcPr>
          <w:p>
            <w:pPr>
              <w:pStyle w:val="TableParagraph"/>
              <w:ind w:right="63"/>
              <w:rPr>
                <w:sz w:val="22"/>
              </w:rPr>
            </w:pPr>
            <w:r>
              <w:rPr>
                <w:sz w:val="22"/>
              </w:rPr>
              <w:t>17,900</w:t>
            </w:r>
          </w:p>
        </w:tc>
        <w:tc>
          <w:tcPr>
            <w:tcW w:w="720" w:type="dxa"/>
          </w:tcPr>
          <w:p>
            <w:pPr>
              <w:pStyle w:val="TableParagraph"/>
              <w:ind w:left="143" w:right="0"/>
              <w:jc w:val="left"/>
              <w:rPr>
                <w:sz w:val="22"/>
              </w:rPr>
            </w:pPr>
            <w:r>
              <w:rPr>
                <w:sz w:val="22"/>
              </w:rPr>
              <w:t>0,349</w:t>
            </w:r>
          </w:p>
        </w:tc>
        <w:tc>
          <w:tcPr>
            <w:tcW w:w="1327" w:type="dxa"/>
          </w:tcPr>
          <w:p>
            <w:pPr>
              <w:pStyle w:val="TableParagraph"/>
              <w:rPr>
                <w:sz w:val="22"/>
              </w:rPr>
            </w:pPr>
            <w:r>
              <w:rPr>
                <w:sz w:val="22"/>
              </w:rPr>
              <w:t>1943,940</w:t>
            </w:r>
          </w:p>
        </w:tc>
        <w:tc>
          <w:tcPr>
            <w:tcW w:w="914" w:type="dxa"/>
          </w:tcPr>
          <w:p>
            <w:pPr>
              <w:pStyle w:val="TableParagraph"/>
              <w:ind w:left="338" w:right="0"/>
              <w:jc w:val="left"/>
              <w:rPr>
                <w:sz w:val="22"/>
              </w:rPr>
            </w:pPr>
            <w:r>
              <w:rPr>
                <w:sz w:val="22"/>
              </w:rPr>
              <w:t>0,591</w:t>
            </w:r>
          </w:p>
        </w:tc>
        <w:tc>
          <w:tcPr>
            <w:tcW w:w="1207" w:type="dxa"/>
          </w:tcPr>
          <w:p>
            <w:pPr>
              <w:pStyle w:val="TableParagraph"/>
              <w:rPr>
                <w:sz w:val="22"/>
              </w:rPr>
            </w:pPr>
            <w:r>
              <w:rPr>
                <w:sz w:val="22"/>
              </w:rPr>
              <w:t>-12,738</w:t>
            </w:r>
          </w:p>
        </w:tc>
        <w:tc>
          <w:tcPr>
            <w:tcW w:w="1618" w:type="dxa"/>
          </w:tcPr>
          <w:p>
            <w:pPr>
              <w:pStyle w:val="TableParagraph"/>
              <w:ind w:right="63"/>
              <w:rPr>
                <w:sz w:val="22"/>
              </w:rPr>
            </w:pPr>
            <w:r>
              <w:rPr>
                <w:sz w:val="22"/>
              </w:rPr>
              <w:t>-0,00120067</w:t>
            </w:r>
          </w:p>
        </w:tc>
      </w:tr>
      <w:tr>
        <w:trPr>
          <w:trHeight w:val="310" w:hRule="exact"/>
        </w:trPr>
        <w:tc>
          <w:tcPr>
            <w:tcW w:w="910" w:type="dxa"/>
          </w:tcPr>
          <w:p>
            <w:pPr>
              <w:pStyle w:val="TableParagraph"/>
              <w:ind w:right="1"/>
              <w:jc w:val="center"/>
              <w:rPr>
                <w:sz w:val="22"/>
              </w:rPr>
            </w:pPr>
            <w:r>
              <w:rPr>
                <w:w w:val="100"/>
                <w:sz w:val="22"/>
              </w:rPr>
              <w:t>2</w:t>
            </w:r>
          </w:p>
        </w:tc>
        <w:tc>
          <w:tcPr>
            <w:tcW w:w="871" w:type="dxa"/>
          </w:tcPr>
          <w:p>
            <w:pPr>
              <w:pStyle w:val="TableParagraph"/>
              <w:ind w:right="63"/>
              <w:rPr>
                <w:sz w:val="22"/>
              </w:rPr>
            </w:pPr>
            <w:r>
              <w:rPr>
                <w:sz w:val="22"/>
              </w:rPr>
              <w:t>121,03</w:t>
            </w:r>
          </w:p>
        </w:tc>
        <w:tc>
          <w:tcPr>
            <w:tcW w:w="494" w:type="dxa"/>
          </w:tcPr>
          <w:p>
            <w:pPr>
              <w:pStyle w:val="TableParagraph"/>
              <w:ind w:right="63"/>
              <w:rPr>
                <w:sz w:val="22"/>
              </w:rPr>
            </w:pPr>
            <w:r>
              <w:rPr>
                <w:sz w:val="22"/>
              </w:rPr>
              <w:t>81</w:t>
            </w:r>
          </w:p>
        </w:tc>
        <w:tc>
          <w:tcPr>
            <w:tcW w:w="874" w:type="dxa"/>
          </w:tcPr>
          <w:p>
            <w:pPr>
              <w:pStyle w:val="TableParagraph"/>
              <w:ind w:right="63"/>
              <w:rPr>
                <w:sz w:val="22"/>
              </w:rPr>
            </w:pPr>
            <w:r>
              <w:rPr>
                <w:sz w:val="22"/>
              </w:rPr>
              <w:t>17,717</w:t>
            </w:r>
          </w:p>
        </w:tc>
        <w:tc>
          <w:tcPr>
            <w:tcW w:w="720" w:type="dxa"/>
          </w:tcPr>
          <w:p>
            <w:pPr>
              <w:pStyle w:val="TableParagraph"/>
              <w:ind w:left="143" w:right="0"/>
              <w:jc w:val="left"/>
              <w:rPr>
                <w:sz w:val="22"/>
              </w:rPr>
            </w:pPr>
            <w:r>
              <w:rPr>
                <w:sz w:val="22"/>
              </w:rPr>
              <w:t>0,169</w:t>
            </w:r>
          </w:p>
        </w:tc>
        <w:tc>
          <w:tcPr>
            <w:tcW w:w="1327" w:type="dxa"/>
          </w:tcPr>
          <w:p>
            <w:pPr>
              <w:pStyle w:val="TableParagraph"/>
              <w:rPr>
                <w:sz w:val="22"/>
              </w:rPr>
            </w:pPr>
            <w:r>
              <w:rPr>
                <w:sz w:val="22"/>
              </w:rPr>
              <w:t>2144,248</w:t>
            </w:r>
          </w:p>
        </w:tc>
        <w:tc>
          <w:tcPr>
            <w:tcW w:w="914" w:type="dxa"/>
          </w:tcPr>
          <w:p>
            <w:pPr>
              <w:pStyle w:val="TableParagraph"/>
              <w:ind w:left="338" w:right="0"/>
              <w:jc w:val="left"/>
              <w:rPr>
                <w:sz w:val="22"/>
              </w:rPr>
            </w:pPr>
            <w:r>
              <w:rPr>
                <w:sz w:val="22"/>
              </w:rPr>
              <w:t>0,411</w:t>
            </w:r>
          </w:p>
        </w:tc>
        <w:tc>
          <w:tcPr>
            <w:tcW w:w="1207" w:type="dxa"/>
          </w:tcPr>
          <w:p>
            <w:pPr>
              <w:pStyle w:val="TableParagraph"/>
              <w:rPr>
                <w:sz w:val="22"/>
              </w:rPr>
            </w:pPr>
            <w:r>
              <w:rPr>
                <w:sz w:val="22"/>
              </w:rPr>
              <w:t>10,111</w:t>
            </w:r>
          </w:p>
        </w:tc>
        <w:tc>
          <w:tcPr>
            <w:tcW w:w="1618" w:type="dxa"/>
          </w:tcPr>
          <w:p>
            <w:pPr>
              <w:pStyle w:val="TableParagraph"/>
              <w:ind w:right="63"/>
              <w:rPr>
                <w:sz w:val="22"/>
              </w:rPr>
            </w:pPr>
            <w:r>
              <w:rPr>
                <w:sz w:val="22"/>
              </w:rPr>
              <w:t>0,00095303</w:t>
            </w:r>
          </w:p>
        </w:tc>
      </w:tr>
      <w:tr>
        <w:trPr>
          <w:trHeight w:val="310" w:hRule="exact"/>
        </w:trPr>
        <w:tc>
          <w:tcPr>
            <w:tcW w:w="910" w:type="dxa"/>
          </w:tcPr>
          <w:p>
            <w:pPr>
              <w:pStyle w:val="TableParagraph"/>
              <w:ind w:right="1"/>
              <w:jc w:val="center"/>
              <w:rPr>
                <w:sz w:val="22"/>
              </w:rPr>
            </w:pPr>
            <w:r>
              <w:rPr>
                <w:w w:val="100"/>
                <w:sz w:val="22"/>
              </w:rPr>
              <w:t>3</w:t>
            </w:r>
          </w:p>
        </w:tc>
        <w:tc>
          <w:tcPr>
            <w:tcW w:w="871" w:type="dxa"/>
          </w:tcPr>
          <w:p>
            <w:pPr>
              <w:pStyle w:val="TableParagraph"/>
              <w:ind w:right="63"/>
              <w:rPr>
                <w:sz w:val="22"/>
              </w:rPr>
            </w:pPr>
            <w:r>
              <w:rPr>
                <w:sz w:val="22"/>
              </w:rPr>
              <w:t>130,21</w:t>
            </w:r>
          </w:p>
        </w:tc>
        <w:tc>
          <w:tcPr>
            <w:tcW w:w="494" w:type="dxa"/>
          </w:tcPr>
          <w:p>
            <w:pPr>
              <w:pStyle w:val="TableParagraph"/>
              <w:ind w:right="63"/>
              <w:rPr>
                <w:sz w:val="22"/>
              </w:rPr>
            </w:pPr>
            <w:r>
              <w:rPr>
                <w:sz w:val="22"/>
              </w:rPr>
              <w:t>77</w:t>
            </w:r>
          </w:p>
        </w:tc>
        <w:tc>
          <w:tcPr>
            <w:tcW w:w="874" w:type="dxa"/>
          </w:tcPr>
          <w:p>
            <w:pPr>
              <w:pStyle w:val="TableParagraph"/>
              <w:ind w:right="63"/>
              <w:rPr>
                <w:sz w:val="22"/>
              </w:rPr>
            </w:pPr>
            <w:r>
              <w:rPr>
                <w:sz w:val="22"/>
              </w:rPr>
              <w:t>18,342</w:t>
            </w:r>
          </w:p>
        </w:tc>
        <w:tc>
          <w:tcPr>
            <w:tcW w:w="720" w:type="dxa"/>
          </w:tcPr>
          <w:p>
            <w:pPr>
              <w:pStyle w:val="TableParagraph"/>
              <w:ind w:left="143" w:right="0"/>
              <w:jc w:val="left"/>
              <w:rPr>
                <w:sz w:val="22"/>
              </w:rPr>
            </w:pPr>
            <w:r>
              <w:rPr>
                <w:sz w:val="22"/>
              </w:rPr>
              <w:t>0,411</w:t>
            </w:r>
          </w:p>
        </w:tc>
        <w:tc>
          <w:tcPr>
            <w:tcW w:w="1327" w:type="dxa"/>
          </w:tcPr>
          <w:p>
            <w:pPr>
              <w:pStyle w:val="TableParagraph"/>
              <w:rPr>
                <w:sz w:val="22"/>
              </w:rPr>
            </w:pPr>
            <w:r>
              <w:rPr>
                <w:sz w:val="22"/>
              </w:rPr>
              <w:t>2388,326</w:t>
            </w:r>
          </w:p>
        </w:tc>
        <w:tc>
          <w:tcPr>
            <w:tcW w:w="914" w:type="dxa"/>
          </w:tcPr>
          <w:p>
            <w:pPr>
              <w:pStyle w:val="TableParagraph"/>
              <w:ind w:left="338" w:right="0"/>
              <w:jc w:val="left"/>
              <w:rPr>
                <w:sz w:val="22"/>
              </w:rPr>
            </w:pPr>
            <w:r>
              <w:rPr>
                <w:sz w:val="22"/>
              </w:rPr>
              <w:t>0,641</w:t>
            </w:r>
          </w:p>
        </w:tc>
        <w:tc>
          <w:tcPr>
            <w:tcW w:w="1207" w:type="dxa"/>
          </w:tcPr>
          <w:p>
            <w:pPr>
              <w:pStyle w:val="TableParagraph"/>
              <w:rPr>
                <w:sz w:val="22"/>
              </w:rPr>
            </w:pPr>
            <w:r>
              <w:rPr>
                <w:sz w:val="22"/>
              </w:rPr>
              <w:t>37,568</w:t>
            </w:r>
          </w:p>
        </w:tc>
        <w:tc>
          <w:tcPr>
            <w:tcW w:w="1618" w:type="dxa"/>
          </w:tcPr>
          <w:p>
            <w:pPr>
              <w:pStyle w:val="TableParagraph"/>
              <w:ind w:right="63"/>
              <w:rPr>
                <w:sz w:val="22"/>
              </w:rPr>
            </w:pPr>
            <w:r>
              <w:rPr>
                <w:sz w:val="22"/>
              </w:rPr>
              <w:t>0,00354114</w:t>
            </w:r>
          </w:p>
        </w:tc>
      </w:tr>
      <w:tr>
        <w:trPr>
          <w:trHeight w:val="310" w:hRule="exact"/>
        </w:trPr>
        <w:tc>
          <w:tcPr>
            <w:tcW w:w="910" w:type="dxa"/>
          </w:tcPr>
          <w:p>
            <w:pPr>
              <w:pStyle w:val="TableParagraph"/>
              <w:ind w:right="1"/>
              <w:jc w:val="center"/>
              <w:rPr>
                <w:sz w:val="22"/>
              </w:rPr>
            </w:pPr>
            <w:r>
              <w:rPr>
                <w:w w:val="100"/>
                <w:sz w:val="22"/>
              </w:rPr>
              <w:t>4</w:t>
            </w:r>
          </w:p>
        </w:tc>
        <w:tc>
          <w:tcPr>
            <w:tcW w:w="871" w:type="dxa"/>
          </w:tcPr>
          <w:p>
            <w:pPr>
              <w:pStyle w:val="TableParagraph"/>
              <w:ind w:right="63"/>
              <w:rPr>
                <w:sz w:val="22"/>
              </w:rPr>
            </w:pPr>
            <w:r>
              <w:rPr>
                <w:sz w:val="22"/>
              </w:rPr>
              <w:t>155,12</w:t>
            </w:r>
          </w:p>
        </w:tc>
        <w:tc>
          <w:tcPr>
            <w:tcW w:w="494" w:type="dxa"/>
          </w:tcPr>
          <w:p>
            <w:pPr>
              <w:pStyle w:val="TableParagraph"/>
              <w:ind w:right="63"/>
              <w:rPr>
                <w:sz w:val="22"/>
              </w:rPr>
            </w:pPr>
            <w:r>
              <w:rPr>
                <w:sz w:val="22"/>
              </w:rPr>
              <w:t>92</w:t>
            </w:r>
          </w:p>
        </w:tc>
        <w:tc>
          <w:tcPr>
            <w:tcW w:w="874" w:type="dxa"/>
          </w:tcPr>
          <w:p>
            <w:pPr>
              <w:pStyle w:val="TableParagraph"/>
              <w:ind w:right="63"/>
              <w:rPr>
                <w:sz w:val="22"/>
              </w:rPr>
            </w:pPr>
            <w:r>
              <w:rPr>
                <w:sz w:val="22"/>
              </w:rPr>
              <w:t>16,871</w:t>
            </w:r>
          </w:p>
        </w:tc>
        <w:tc>
          <w:tcPr>
            <w:tcW w:w="720" w:type="dxa"/>
          </w:tcPr>
          <w:p>
            <w:pPr>
              <w:pStyle w:val="TableParagraph"/>
              <w:ind w:left="143" w:right="0"/>
              <w:jc w:val="left"/>
              <w:rPr>
                <w:sz w:val="22"/>
              </w:rPr>
            </w:pPr>
            <w:r>
              <w:rPr>
                <w:sz w:val="22"/>
              </w:rPr>
              <w:t>0,518</w:t>
            </w:r>
          </w:p>
        </w:tc>
        <w:tc>
          <w:tcPr>
            <w:tcW w:w="1327" w:type="dxa"/>
          </w:tcPr>
          <w:p>
            <w:pPr>
              <w:pStyle w:val="TableParagraph"/>
              <w:rPr>
                <w:sz w:val="22"/>
              </w:rPr>
            </w:pPr>
            <w:r>
              <w:rPr>
                <w:sz w:val="22"/>
              </w:rPr>
              <w:t>2616,966</w:t>
            </w:r>
          </w:p>
        </w:tc>
        <w:tc>
          <w:tcPr>
            <w:tcW w:w="914" w:type="dxa"/>
          </w:tcPr>
          <w:p>
            <w:pPr>
              <w:pStyle w:val="TableParagraph"/>
              <w:ind w:left="338" w:right="0"/>
              <w:jc w:val="left"/>
              <w:rPr>
                <w:sz w:val="22"/>
              </w:rPr>
            </w:pPr>
            <w:r>
              <w:rPr>
                <w:sz w:val="22"/>
              </w:rPr>
              <w:t>0,720</w:t>
            </w:r>
          </w:p>
        </w:tc>
        <w:tc>
          <w:tcPr>
            <w:tcW w:w="1207" w:type="dxa"/>
          </w:tcPr>
          <w:p>
            <w:pPr>
              <w:pStyle w:val="TableParagraph"/>
              <w:rPr>
                <w:sz w:val="22"/>
              </w:rPr>
            </w:pPr>
            <w:r>
              <w:rPr>
                <w:sz w:val="22"/>
              </w:rPr>
              <w:t>55,458</w:t>
            </w:r>
          </w:p>
        </w:tc>
        <w:tc>
          <w:tcPr>
            <w:tcW w:w="1618" w:type="dxa"/>
          </w:tcPr>
          <w:p>
            <w:pPr>
              <w:pStyle w:val="TableParagraph"/>
              <w:ind w:right="63"/>
              <w:rPr>
                <w:sz w:val="22"/>
              </w:rPr>
            </w:pPr>
            <w:r>
              <w:rPr>
                <w:sz w:val="22"/>
              </w:rPr>
              <w:t>0,00522742</w:t>
            </w:r>
          </w:p>
        </w:tc>
      </w:tr>
      <w:tr>
        <w:trPr>
          <w:trHeight w:val="312" w:hRule="exact"/>
        </w:trPr>
        <w:tc>
          <w:tcPr>
            <w:tcW w:w="910" w:type="dxa"/>
          </w:tcPr>
          <w:p>
            <w:pPr>
              <w:pStyle w:val="TableParagraph"/>
              <w:spacing w:before="30"/>
              <w:ind w:right="1"/>
              <w:jc w:val="center"/>
              <w:rPr>
                <w:sz w:val="22"/>
              </w:rPr>
            </w:pPr>
            <w:r>
              <w:rPr>
                <w:w w:val="100"/>
                <w:sz w:val="22"/>
              </w:rPr>
              <w:t>5</w:t>
            </w:r>
          </w:p>
        </w:tc>
        <w:tc>
          <w:tcPr>
            <w:tcW w:w="871" w:type="dxa"/>
          </w:tcPr>
          <w:p>
            <w:pPr>
              <w:pStyle w:val="TableParagraph"/>
              <w:spacing w:before="30"/>
              <w:ind w:right="63"/>
              <w:rPr>
                <w:sz w:val="22"/>
              </w:rPr>
            </w:pPr>
            <w:r>
              <w:rPr>
                <w:sz w:val="22"/>
              </w:rPr>
              <w:t>180,21</w:t>
            </w:r>
          </w:p>
        </w:tc>
        <w:tc>
          <w:tcPr>
            <w:tcW w:w="494" w:type="dxa"/>
          </w:tcPr>
          <w:p>
            <w:pPr>
              <w:pStyle w:val="TableParagraph"/>
              <w:spacing w:before="30"/>
              <w:ind w:left="83" w:right="0"/>
              <w:jc w:val="left"/>
              <w:rPr>
                <w:sz w:val="22"/>
              </w:rPr>
            </w:pPr>
            <w:r>
              <w:rPr>
                <w:sz w:val="22"/>
              </w:rPr>
              <w:t>132</w:t>
            </w:r>
          </w:p>
        </w:tc>
        <w:tc>
          <w:tcPr>
            <w:tcW w:w="874" w:type="dxa"/>
          </w:tcPr>
          <w:p>
            <w:pPr>
              <w:pStyle w:val="TableParagraph"/>
              <w:spacing w:before="30"/>
              <w:ind w:right="63"/>
              <w:rPr>
                <w:sz w:val="22"/>
              </w:rPr>
            </w:pPr>
            <w:r>
              <w:rPr>
                <w:sz w:val="22"/>
              </w:rPr>
              <w:t>14,772</w:t>
            </w:r>
          </w:p>
        </w:tc>
        <w:tc>
          <w:tcPr>
            <w:tcW w:w="720" w:type="dxa"/>
          </w:tcPr>
          <w:p>
            <w:pPr>
              <w:pStyle w:val="TableParagraph"/>
              <w:spacing w:before="30"/>
              <w:ind w:left="143" w:right="0"/>
              <w:jc w:val="left"/>
              <w:rPr>
                <w:sz w:val="22"/>
              </w:rPr>
            </w:pPr>
            <w:r>
              <w:rPr>
                <w:sz w:val="22"/>
              </w:rPr>
              <w:t>0,840</w:t>
            </w:r>
          </w:p>
        </w:tc>
        <w:tc>
          <w:tcPr>
            <w:tcW w:w="1327" w:type="dxa"/>
          </w:tcPr>
          <w:p>
            <w:pPr>
              <w:pStyle w:val="TableParagraph"/>
              <w:spacing w:before="30"/>
              <w:rPr>
                <w:sz w:val="22"/>
              </w:rPr>
            </w:pPr>
            <w:r>
              <w:rPr>
                <w:sz w:val="22"/>
              </w:rPr>
              <w:t>2662,102</w:t>
            </w:r>
          </w:p>
        </w:tc>
        <w:tc>
          <w:tcPr>
            <w:tcW w:w="914" w:type="dxa"/>
          </w:tcPr>
          <w:p>
            <w:pPr>
              <w:pStyle w:val="TableParagraph"/>
              <w:spacing w:before="30"/>
              <w:ind w:left="338" w:right="0"/>
              <w:jc w:val="left"/>
              <w:rPr>
                <w:sz w:val="22"/>
              </w:rPr>
            </w:pPr>
            <w:r>
              <w:rPr>
                <w:sz w:val="22"/>
              </w:rPr>
              <w:t>0,916</w:t>
            </w:r>
          </w:p>
        </w:tc>
        <w:tc>
          <w:tcPr>
            <w:tcW w:w="1207" w:type="dxa"/>
          </w:tcPr>
          <w:p>
            <w:pPr>
              <w:pStyle w:val="TableParagraph"/>
              <w:spacing w:before="30"/>
              <w:rPr>
                <w:sz w:val="22"/>
              </w:rPr>
            </w:pPr>
            <w:r>
              <w:rPr>
                <w:sz w:val="22"/>
              </w:rPr>
              <w:t>55,209</w:t>
            </w:r>
          </w:p>
        </w:tc>
        <w:tc>
          <w:tcPr>
            <w:tcW w:w="1618" w:type="dxa"/>
          </w:tcPr>
          <w:p>
            <w:pPr>
              <w:pStyle w:val="TableParagraph"/>
              <w:spacing w:before="30"/>
              <w:ind w:right="63"/>
              <w:rPr>
                <w:sz w:val="22"/>
              </w:rPr>
            </w:pPr>
            <w:r>
              <w:rPr>
                <w:sz w:val="22"/>
              </w:rPr>
              <w:t>0,00520399</w:t>
            </w:r>
          </w:p>
        </w:tc>
      </w:tr>
      <w:tr>
        <w:trPr>
          <w:trHeight w:val="310" w:hRule="exact"/>
        </w:trPr>
        <w:tc>
          <w:tcPr>
            <w:tcW w:w="910" w:type="dxa"/>
          </w:tcPr>
          <w:p>
            <w:pPr>
              <w:pStyle w:val="TableParagraph"/>
              <w:ind w:right="2"/>
              <w:jc w:val="center"/>
              <w:rPr>
                <w:sz w:val="22"/>
              </w:rPr>
            </w:pPr>
            <w:r>
              <w:rPr>
                <w:w w:val="100"/>
                <w:sz w:val="22"/>
              </w:rPr>
              <w:t>N</w:t>
            </w:r>
          </w:p>
        </w:tc>
        <w:tc>
          <w:tcPr>
            <w:tcW w:w="871" w:type="dxa"/>
          </w:tcPr>
          <w:p>
            <w:pPr>
              <w:pStyle w:val="TableParagraph"/>
              <w:ind w:right="63"/>
              <w:rPr>
                <w:sz w:val="22"/>
              </w:rPr>
            </w:pPr>
            <w:r>
              <w:rPr>
                <w:sz w:val="22"/>
              </w:rPr>
              <w:t>695,17</w:t>
            </w:r>
          </w:p>
        </w:tc>
        <w:tc>
          <w:tcPr>
            <w:tcW w:w="494" w:type="dxa"/>
          </w:tcPr>
          <w:p>
            <w:pPr/>
          </w:p>
        </w:tc>
        <w:tc>
          <w:tcPr>
            <w:tcW w:w="874" w:type="dxa"/>
          </w:tcPr>
          <w:p>
            <w:pPr/>
          </w:p>
        </w:tc>
        <w:tc>
          <w:tcPr>
            <w:tcW w:w="720" w:type="dxa"/>
          </w:tcPr>
          <w:p>
            <w:pPr>
              <w:pStyle w:val="TableParagraph"/>
              <w:spacing w:before="16"/>
              <w:ind w:left="189"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27" w:type="dxa"/>
          </w:tcPr>
          <w:p>
            <w:pPr>
              <w:pStyle w:val="TableParagraph"/>
              <w:rPr>
                <w:sz w:val="22"/>
              </w:rPr>
            </w:pPr>
            <w:r>
              <w:rPr>
                <w:sz w:val="22"/>
              </w:rPr>
              <w:t>11755,582</w:t>
            </w:r>
          </w:p>
        </w:tc>
        <w:tc>
          <w:tcPr>
            <w:tcW w:w="914" w:type="dxa"/>
          </w:tcPr>
          <w:p>
            <w:pPr/>
          </w:p>
        </w:tc>
        <w:tc>
          <w:tcPr>
            <w:tcW w:w="1207" w:type="dxa"/>
          </w:tcPr>
          <w:p>
            <w:pPr>
              <w:pStyle w:val="TableParagraph"/>
              <w:rPr>
                <w:sz w:val="22"/>
              </w:rPr>
            </w:pPr>
            <w:r>
              <w:rPr>
                <w:sz w:val="22"/>
              </w:rPr>
              <w:t>145,608</w:t>
            </w:r>
          </w:p>
        </w:tc>
        <w:tc>
          <w:tcPr>
            <w:tcW w:w="1618" w:type="dxa"/>
          </w:tcPr>
          <w:p>
            <w:pPr>
              <w:pStyle w:val="TableParagraph"/>
              <w:ind w:right="63"/>
              <w:rPr>
                <w:sz w:val="22"/>
              </w:rPr>
            </w:pPr>
            <w:r>
              <w:rPr>
                <w:sz w:val="22"/>
              </w:rPr>
              <w:t>0,01372492</w:t>
            </w:r>
          </w:p>
        </w:tc>
      </w:tr>
      <w:tr>
        <w:trPr>
          <w:trHeight w:val="310" w:hRule="exact"/>
        </w:trPr>
        <w:tc>
          <w:tcPr>
            <w:tcW w:w="5196" w:type="dxa"/>
            <w:gridSpan w:val="6"/>
            <w:vMerge w:val="restart"/>
            <w:tcBorders>
              <w:left w:val="nil"/>
            </w:tcBorders>
          </w:tcPr>
          <w:p>
            <w:pPr/>
          </w:p>
        </w:tc>
        <w:tc>
          <w:tcPr>
            <w:tcW w:w="2122" w:type="dxa"/>
            <w:gridSpan w:val="2"/>
          </w:tcPr>
          <w:p>
            <w:pPr>
              <w:pStyle w:val="TableParagraph"/>
              <w:spacing w:before="11"/>
              <w:ind w:left="64" w:right="45"/>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18" w:type="dxa"/>
          </w:tcPr>
          <w:p>
            <w:pPr>
              <w:pStyle w:val="TableParagraph"/>
              <w:ind w:right="63"/>
              <w:rPr>
                <w:b/>
                <w:sz w:val="22"/>
              </w:rPr>
            </w:pPr>
            <w:r>
              <w:rPr>
                <w:b/>
                <w:sz w:val="22"/>
              </w:rPr>
              <w:t>16,910</w:t>
            </w:r>
          </w:p>
        </w:tc>
      </w:tr>
      <w:tr>
        <w:trPr>
          <w:trHeight w:val="310" w:hRule="exact"/>
        </w:trPr>
        <w:tc>
          <w:tcPr>
            <w:tcW w:w="5196" w:type="dxa"/>
            <w:gridSpan w:val="6"/>
            <w:vMerge/>
            <w:tcBorders>
              <w:left w:val="nil"/>
            </w:tcBorders>
          </w:tcPr>
          <w:p>
            <w:pPr/>
          </w:p>
        </w:tc>
        <w:tc>
          <w:tcPr>
            <w:tcW w:w="2122" w:type="dxa"/>
            <w:gridSpan w:val="2"/>
          </w:tcPr>
          <w:p>
            <w:pPr>
              <w:pStyle w:val="TableParagraph"/>
              <w:spacing w:before="13"/>
              <w:ind w:left="64" w:right="45"/>
              <w:jc w:val="left"/>
              <w:rPr>
                <w:sz w:val="22"/>
              </w:rPr>
            </w:pPr>
            <w:r>
              <w:rPr>
                <w:sz w:val="22"/>
              </w:rPr>
              <w:t>Desviación estándar</w:t>
            </w:r>
          </w:p>
        </w:tc>
        <w:tc>
          <w:tcPr>
            <w:tcW w:w="1618" w:type="dxa"/>
          </w:tcPr>
          <w:p>
            <w:pPr>
              <w:pStyle w:val="TableParagraph"/>
              <w:ind w:right="63"/>
              <w:rPr>
                <w:b/>
                <w:sz w:val="22"/>
              </w:rPr>
            </w:pPr>
            <w:r>
              <w:rPr>
                <w:b/>
                <w:sz w:val="22"/>
              </w:rPr>
              <w:t>0,117</w:t>
            </w:r>
          </w:p>
        </w:tc>
      </w:tr>
      <w:tr>
        <w:trPr>
          <w:trHeight w:val="310" w:hRule="exact"/>
        </w:trPr>
        <w:tc>
          <w:tcPr>
            <w:tcW w:w="5196" w:type="dxa"/>
            <w:gridSpan w:val="6"/>
            <w:vMerge/>
            <w:tcBorders>
              <w:left w:val="nil"/>
            </w:tcBorders>
          </w:tcPr>
          <w:p>
            <w:pPr/>
          </w:p>
        </w:tc>
        <w:tc>
          <w:tcPr>
            <w:tcW w:w="2122" w:type="dxa"/>
            <w:gridSpan w:val="2"/>
            <w:vMerge w:val="restart"/>
          </w:tcPr>
          <w:p>
            <w:pPr>
              <w:pStyle w:val="TableParagraph"/>
              <w:spacing w:before="33"/>
              <w:ind w:left="64" w:right="45"/>
              <w:jc w:val="left"/>
              <w:rPr>
                <w:sz w:val="22"/>
              </w:rPr>
            </w:pPr>
            <w:r>
              <w:rPr>
                <w:sz w:val="22"/>
              </w:rPr>
              <w:t>Intervalo de confianza al 95 %</w:t>
            </w:r>
          </w:p>
        </w:tc>
        <w:tc>
          <w:tcPr>
            <w:tcW w:w="1618" w:type="dxa"/>
          </w:tcPr>
          <w:p>
            <w:pPr>
              <w:pStyle w:val="TableParagraph"/>
              <w:ind w:right="63"/>
              <w:rPr>
                <w:sz w:val="22"/>
              </w:rPr>
            </w:pPr>
            <w:r>
              <w:rPr>
                <w:sz w:val="22"/>
              </w:rPr>
              <w:t>16,68</w:t>
            </w:r>
          </w:p>
        </w:tc>
      </w:tr>
      <w:tr>
        <w:trPr>
          <w:trHeight w:val="310" w:hRule="exact"/>
        </w:trPr>
        <w:tc>
          <w:tcPr>
            <w:tcW w:w="5196" w:type="dxa"/>
            <w:gridSpan w:val="6"/>
            <w:vMerge/>
            <w:tcBorders>
              <w:left w:val="nil"/>
              <w:bottom w:val="nil"/>
            </w:tcBorders>
          </w:tcPr>
          <w:p>
            <w:pPr/>
          </w:p>
        </w:tc>
        <w:tc>
          <w:tcPr>
            <w:tcW w:w="2122" w:type="dxa"/>
            <w:gridSpan w:val="2"/>
            <w:vMerge/>
          </w:tcPr>
          <w:p>
            <w:pPr/>
          </w:p>
        </w:tc>
        <w:tc>
          <w:tcPr>
            <w:tcW w:w="1618" w:type="dxa"/>
          </w:tcPr>
          <w:p>
            <w:pPr>
              <w:pStyle w:val="TableParagraph"/>
              <w:ind w:right="63"/>
              <w:rPr>
                <w:sz w:val="22"/>
              </w:rPr>
            </w:pPr>
            <w:r>
              <w:rPr>
                <w:sz w:val="22"/>
              </w:rPr>
              <w:t>17,14</w:t>
            </w:r>
          </w:p>
        </w:tc>
      </w:tr>
    </w:tbl>
    <w:p>
      <w:pPr>
        <w:pStyle w:val="BodyText"/>
        <w:spacing w:before="3"/>
        <w:rPr>
          <w:b/>
          <w:sz w:val="26"/>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0"/>
        <w:gridCol w:w="871"/>
        <w:gridCol w:w="494"/>
        <w:gridCol w:w="874"/>
        <w:gridCol w:w="720"/>
        <w:gridCol w:w="1327"/>
        <w:gridCol w:w="914"/>
        <w:gridCol w:w="1207"/>
        <w:gridCol w:w="1618"/>
      </w:tblGrid>
      <w:tr>
        <w:trPr>
          <w:trHeight w:val="310" w:hRule="exact"/>
        </w:trPr>
        <w:tc>
          <w:tcPr>
            <w:tcW w:w="8935" w:type="dxa"/>
            <w:gridSpan w:val="9"/>
          </w:tcPr>
          <w:p>
            <w:pPr>
              <w:pStyle w:val="TableParagraph"/>
              <w:ind w:left="3492" w:right="3492"/>
              <w:jc w:val="center"/>
              <w:rPr>
                <w:sz w:val="22"/>
              </w:rPr>
            </w:pPr>
            <w:r>
              <w:rPr>
                <w:sz w:val="22"/>
              </w:rPr>
              <w:t>Punto de muestreo B</w:t>
            </w:r>
          </w:p>
        </w:tc>
      </w:tr>
      <w:tr>
        <w:trPr>
          <w:trHeight w:val="310" w:hRule="exact"/>
        </w:trPr>
        <w:tc>
          <w:tcPr>
            <w:tcW w:w="910" w:type="dxa"/>
          </w:tcPr>
          <w:p>
            <w:pPr>
              <w:pStyle w:val="TableParagraph"/>
              <w:spacing w:before="11"/>
              <w:ind w:left="110" w:right="111"/>
              <w:jc w:val="center"/>
              <w:rPr>
                <w:sz w:val="22"/>
              </w:rPr>
            </w:pPr>
            <w:r>
              <w:rPr>
                <w:sz w:val="22"/>
              </w:rPr>
              <w:t>Estrato</w:t>
            </w:r>
          </w:p>
        </w:tc>
        <w:tc>
          <w:tcPr>
            <w:tcW w:w="871" w:type="dxa"/>
          </w:tcPr>
          <w:p>
            <w:pPr>
              <w:pStyle w:val="TableParagraph"/>
              <w:spacing w:before="40"/>
              <w:ind w:left="270" w:right="288"/>
              <w:jc w:val="center"/>
              <w:rPr>
                <w:rFonts w:ascii="Cambria Math"/>
                <w:sz w:val="16"/>
              </w:rPr>
            </w:pPr>
            <w:r>
              <w:rPr>
                <w:rFonts w:ascii="Cambria Math"/>
                <w:w w:val="110"/>
                <w:sz w:val="22"/>
              </w:rPr>
              <w:t>N</w:t>
            </w:r>
            <w:r>
              <w:rPr>
                <w:rFonts w:ascii="Cambria Math"/>
                <w:w w:val="110"/>
                <w:position w:val="-4"/>
                <w:sz w:val="16"/>
              </w:rPr>
              <w:t>h</w:t>
            </w:r>
          </w:p>
        </w:tc>
        <w:tc>
          <w:tcPr>
            <w:tcW w:w="494" w:type="dxa"/>
          </w:tcPr>
          <w:p>
            <w:pPr>
              <w:pStyle w:val="TableParagraph"/>
              <w:spacing w:before="40"/>
              <w:ind w:left="122" w:right="0"/>
              <w:jc w:val="left"/>
              <w:rPr>
                <w:rFonts w:ascii="Cambria Math"/>
                <w:sz w:val="16"/>
              </w:rPr>
            </w:pPr>
            <w:r>
              <w:rPr>
                <w:rFonts w:ascii="Cambria Math"/>
                <w:w w:val="110"/>
                <w:sz w:val="22"/>
              </w:rPr>
              <w:t>n</w:t>
            </w:r>
            <w:r>
              <w:rPr>
                <w:rFonts w:ascii="Cambria Math"/>
                <w:w w:val="110"/>
                <w:position w:val="-4"/>
                <w:sz w:val="16"/>
              </w:rPr>
              <w:t>h</w:t>
            </w:r>
          </w:p>
        </w:tc>
        <w:tc>
          <w:tcPr>
            <w:tcW w:w="874" w:type="dxa"/>
          </w:tcPr>
          <w:p>
            <w:pPr>
              <w:pStyle w:val="TableParagraph"/>
              <w:spacing w:before="40"/>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20" w:type="dxa"/>
          </w:tcPr>
          <w:p>
            <w:pPr>
              <w:pStyle w:val="TableParagraph"/>
              <w:spacing w:line="214" w:lineRule="exact" w:before="6"/>
              <w:ind w:left="83" w:right="9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27" w:type="dxa"/>
          </w:tcPr>
          <w:p>
            <w:pPr>
              <w:pStyle w:val="TableParagraph"/>
              <w:spacing w:before="16"/>
              <w:ind w:left="539" w:right="550"/>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14" w:type="dxa"/>
          </w:tcPr>
          <w:p>
            <w:pPr>
              <w:pStyle w:val="TableParagraph"/>
              <w:spacing w:before="40"/>
              <w:ind w:left="347" w:right="0"/>
              <w:jc w:val="left"/>
              <w:rPr>
                <w:rFonts w:ascii="Cambria Math"/>
                <w:sz w:val="16"/>
              </w:rPr>
            </w:pPr>
            <w:r>
              <w:rPr>
                <w:rFonts w:ascii="Cambria Math"/>
                <w:w w:val="110"/>
                <w:sz w:val="22"/>
              </w:rPr>
              <w:t>s</w:t>
            </w:r>
            <w:r>
              <w:rPr>
                <w:rFonts w:ascii="Cambria Math"/>
                <w:w w:val="110"/>
                <w:position w:val="-4"/>
                <w:sz w:val="16"/>
              </w:rPr>
              <w:t>h</w:t>
            </w:r>
          </w:p>
        </w:tc>
        <w:tc>
          <w:tcPr>
            <w:tcW w:w="1207" w:type="dxa"/>
          </w:tcPr>
          <w:p>
            <w:pPr>
              <w:pStyle w:val="TableParagraph"/>
              <w:spacing w:before="0"/>
              <w:ind w:left="26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18" w:type="dxa"/>
          </w:tcPr>
          <w:p>
            <w:pPr>
              <w:pStyle w:val="TableParagraph"/>
              <w:spacing w:before="0"/>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10" w:type="dxa"/>
          </w:tcPr>
          <w:p>
            <w:pPr>
              <w:pStyle w:val="TableParagraph"/>
              <w:ind w:right="1"/>
              <w:jc w:val="center"/>
              <w:rPr>
                <w:sz w:val="22"/>
              </w:rPr>
            </w:pPr>
            <w:r>
              <w:rPr>
                <w:w w:val="100"/>
                <w:sz w:val="22"/>
              </w:rPr>
              <w:t>1</w:t>
            </w:r>
          </w:p>
        </w:tc>
        <w:tc>
          <w:tcPr>
            <w:tcW w:w="871" w:type="dxa"/>
          </w:tcPr>
          <w:p>
            <w:pPr>
              <w:pStyle w:val="TableParagraph"/>
              <w:ind w:right="63"/>
              <w:rPr>
                <w:sz w:val="22"/>
              </w:rPr>
            </w:pPr>
            <w:r>
              <w:rPr>
                <w:sz w:val="22"/>
              </w:rPr>
              <w:t>108,60</w:t>
            </w:r>
          </w:p>
        </w:tc>
        <w:tc>
          <w:tcPr>
            <w:tcW w:w="494" w:type="dxa"/>
          </w:tcPr>
          <w:p>
            <w:pPr>
              <w:pStyle w:val="TableParagraph"/>
              <w:ind w:left="83" w:right="0"/>
              <w:jc w:val="left"/>
              <w:rPr>
                <w:sz w:val="22"/>
              </w:rPr>
            </w:pPr>
            <w:r>
              <w:rPr>
                <w:sz w:val="22"/>
              </w:rPr>
              <w:t>108</w:t>
            </w:r>
          </w:p>
        </w:tc>
        <w:tc>
          <w:tcPr>
            <w:tcW w:w="874" w:type="dxa"/>
          </w:tcPr>
          <w:p>
            <w:pPr>
              <w:pStyle w:val="TableParagraph"/>
              <w:ind w:right="63"/>
              <w:rPr>
                <w:sz w:val="22"/>
              </w:rPr>
            </w:pPr>
            <w:r>
              <w:rPr>
                <w:sz w:val="22"/>
              </w:rPr>
              <w:t>17,663</w:t>
            </w:r>
          </w:p>
        </w:tc>
        <w:tc>
          <w:tcPr>
            <w:tcW w:w="720" w:type="dxa"/>
          </w:tcPr>
          <w:p>
            <w:pPr>
              <w:pStyle w:val="TableParagraph"/>
              <w:ind w:left="143" w:right="0"/>
              <w:jc w:val="left"/>
              <w:rPr>
                <w:sz w:val="22"/>
              </w:rPr>
            </w:pPr>
            <w:r>
              <w:rPr>
                <w:sz w:val="22"/>
              </w:rPr>
              <w:t>0,490</w:t>
            </w:r>
          </w:p>
        </w:tc>
        <w:tc>
          <w:tcPr>
            <w:tcW w:w="1327" w:type="dxa"/>
          </w:tcPr>
          <w:p>
            <w:pPr>
              <w:pStyle w:val="TableParagraph"/>
              <w:rPr>
                <w:sz w:val="22"/>
              </w:rPr>
            </w:pPr>
            <w:r>
              <w:rPr>
                <w:sz w:val="22"/>
              </w:rPr>
              <w:t>1918,219</w:t>
            </w:r>
          </w:p>
        </w:tc>
        <w:tc>
          <w:tcPr>
            <w:tcW w:w="914" w:type="dxa"/>
          </w:tcPr>
          <w:p>
            <w:pPr>
              <w:pStyle w:val="TableParagraph"/>
              <w:ind w:left="338" w:right="0"/>
              <w:jc w:val="left"/>
              <w:rPr>
                <w:sz w:val="22"/>
              </w:rPr>
            </w:pPr>
            <w:r>
              <w:rPr>
                <w:sz w:val="22"/>
              </w:rPr>
              <w:t>0,700</w:t>
            </w:r>
          </w:p>
        </w:tc>
        <w:tc>
          <w:tcPr>
            <w:tcW w:w="1207" w:type="dxa"/>
          </w:tcPr>
          <w:p>
            <w:pPr>
              <w:pStyle w:val="TableParagraph"/>
              <w:rPr>
                <w:sz w:val="22"/>
              </w:rPr>
            </w:pPr>
            <w:r>
              <w:rPr>
                <w:sz w:val="22"/>
              </w:rPr>
              <w:t>-17,898</w:t>
            </w:r>
          </w:p>
        </w:tc>
        <w:tc>
          <w:tcPr>
            <w:tcW w:w="1618" w:type="dxa"/>
          </w:tcPr>
          <w:p>
            <w:pPr>
              <w:pStyle w:val="TableParagraph"/>
              <w:ind w:right="63"/>
              <w:rPr>
                <w:sz w:val="22"/>
              </w:rPr>
            </w:pPr>
            <w:r>
              <w:rPr>
                <w:sz w:val="22"/>
              </w:rPr>
              <w:t>-0,00168709</w:t>
            </w:r>
          </w:p>
        </w:tc>
      </w:tr>
      <w:tr>
        <w:trPr>
          <w:trHeight w:val="310" w:hRule="exact"/>
        </w:trPr>
        <w:tc>
          <w:tcPr>
            <w:tcW w:w="910" w:type="dxa"/>
          </w:tcPr>
          <w:p>
            <w:pPr>
              <w:pStyle w:val="TableParagraph"/>
              <w:ind w:right="1"/>
              <w:jc w:val="center"/>
              <w:rPr>
                <w:sz w:val="22"/>
              </w:rPr>
            </w:pPr>
            <w:r>
              <w:rPr>
                <w:w w:val="100"/>
                <w:sz w:val="22"/>
              </w:rPr>
              <w:t>2</w:t>
            </w:r>
          </w:p>
        </w:tc>
        <w:tc>
          <w:tcPr>
            <w:tcW w:w="871" w:type="dxa"/>
          </w:tcPr>
          <w:p>
            <w:pPr>
              <w:pStyle w:val="TableParagraph"/>
              <w:ind w:right="63"/>
              <w:rPr>
                <w:sz w:val="22"/>
              </w:rPr>
            </w:pPr>
            <w:r>
              <w:rPr>
                <w:sz w:val="22"/>
              </w:rPr>
              <w:t>121,03</w:t>
            </w:r>
          </w:p>
        </w:tc>
        <w:tc>
          <w:tcPr>
            <w:tcW w:w="494" w:type="dxa"/>
          </w:tcPr>
          <w:p>
            <w:pPr>
              <w:pStyle w:val="TableParagraph"/>
              <w:ind w:right="63"/>
              <w:rPr>
                <w:sz w:val="22"/>
              </w:rPr>
            </w:pPr>
            <w:r>
              <w:rPr>
                <w:sz w:val="22"/>
              </w:rPr>
              <w:t>81</w:t>
            </w:r>
          </w:p>
        </w:tc>
        <w:tc>
          <w:tcPr>
            <w:tcW w:w="874" w:type="dxa"/>
          </w:tcPr>
          <w:p>
            <w:pPr>
              <w:pStyle w:val="TableParagraph"/>
              <w:ind w:right="63"/>
              <w:rPr>
                <w:sz w:val="22"/>
              </w:rPr>
            </w:pPr>
            <w:r>
              <w:rPr>
                <w:sz w:val="22"/>
              </w:rPr>
              <w:t>17,683</w:t>
            </w:r>
          </w:p>
        </w:tc>
        <w:tc>
          <w:tcPr>
            <w:tcW w:w="720" w:type="dxa"/>
          </w:tcPr>
          <w:p>
            <w:pPr>
              <w:pStyle w:val="TableParagraph"/>
              <w:ind w:left="143" w:right="0"/>
              <w:jc w:val="left"/>
              <w:rPr>
                <w:sz w:val="22"/>
              </w:rPr>
            </w:pPr>
            <w:r>
              <w:rPr>
                <w:sz w:val="22"/>
              </w:rPr>
              <w:t>0,118</w:t>
            </w:r>
          </w:p>
        </w:tc>
        <w:tc>
          <w:tcPr>
            <w:tcW w:w="1327" w:type="dxa"/>
          </w:tcPr>
          <w:p>
            <w:pPr>
              <w:pStyle w:val="TableParagraph"/>
              <w:rPr>
                <w:sz w:val="22"/>
              </w:rPr>
            </w:pPr>
            <w:r>
              <w:rPr>
                <w:sz w:val="22"/>
              </w:rPr>
              <w:t>2140,214</w:t>
            </w:r>
          </w:p>
        </w:tc>
        <w:tc>
          <w:tcPr>
            <w:tcW w:w="914" w:type="dxa"/>
          </w:tcPr>
          <w:p>
            <w:pPr>
              <w:pStyle w:val="TableParagraph"/>
              <w:ind w:left="338" w:right="0"/>
              <w:jc w:val="left"/>
              <w:rPr>
                <w:sz w:val="22"/>
              </w:rPr>
            </w:pPr>
            <w:r>
              <w:rPr>
                <w:sz w:val="22"/>
              </w:rPr>
              <w:t>0,343</w:t>
            </w:r>
          </w:p>
        </w:tc>
        <w:tc>
          <w:tcPr>
            <w:tcW w:w="1207" w:type="dxa"/>
          </w:tcPr>
          <w:p>
            <w:pPr>
              <w:pStyle w:val="TableParagraph"/>
              <w:rPr>
                <w:sz w:val="22"/>
              </w:rPr>
            </w:pPr>
            <w:r>
              <w:rPr>
                <w:sz w:val="22"/>
              </w:rPr>
              <w:t>7,061</w:t>
            </w:r>
          </w:p>
        </w:tc>
        <w:tc>
          <w:tcPr>
            <w:tcW w:w="1618" w:type="dxa"/>
          </w:tcPr>
          <w:p>
            <w:pPr>
              <w:pStyle w:val="TableParagraph"/>
              <w:ind w:right="63"/>
              <w:rPr>
                <w:sz w:val="22"/>
              </w:rPr>
            </w:pPr>
            <w:r>
              <w:rPr>
                <w:sz w:val="22"/>
              </w:rPr>
              <w:t>0,00066558</w:t>
            </w:r>
          </w:p>
        </w:tc>
      </w:tr>
      <w:tr>
        <w:trPr>
          <w:trHeight w:val="310" w:hRule="exact"/>
        </w:trPr>
        <w:tc>
          <w:tcPr>
            <w:tcW w:w="910" w:type="dxa"/>
          </w:tcPr>
          <w:p>
            <w:pPr>
              <w:pStyle w:val="TableParagraph"/>
              <w:ind w:right="1"/>
              <w:jc w:val="center"/>
              <w:rPr>
                <w:sz w:val="22"/>
              </w:rPr>
            </w:pPr>
            <w:r>
              <w:rPr>
                <w:w w:val="100"/>
                <w:sz w:val="22"/>
              </w:rPr>
              <w:t>3</w:t>
            </w:r>
          </w:p>
        </w:tc>
        <w:tc>
          <w:tcPr>
            <w:tcW w:w="871" w:type="dxa"/>
          </w:tcPr>
          <w:p>
            <w:pPr>
              <w:pStyle w:val="TableParagraph"/>
              <w:ind w:right="63"/>
              <w:rPr>
                <w:sz w:val="22"/>
              </w:rPr>
            </w:pPr>
            <w:r>
              <w:rPr>
                <w:sz w:val="22"/>
              </w:rPr>
              <w:t>130,21</w:t>
            </w:r>
          </w:p>
        </w:tc>
        <w:tc>
          <w:tcPr>
            <w:tcW w:w="494" w:type="dxa"/>
          </w:tcPr>
          <w:p>
            <w:pPr>
              <w:pStyle w:val="TableParagraph"/>
              <w:ind w:right="63"/>
              <w:rPr>
                <w:sz w:val="22"/>
              </w:rPr>
            </w:pPr>
            <w:r>
              <w:rPr>
                <w:sz w:val="22"/>
              </w:rPr>
              <w:t>77</w:t>
            </w:r>
          </w:p>
        </w:tc>
        <w:tc>
          <w:tcPr>
            <w:tcW w:w="874" w:type="dxa"/>
          </w:tcPr>
          <w:p>
            <w:pPr>
              <w:pStyle w:val="TableParagraph"/>
              <w:ind w:right="63"/>
              <w:rPr>
                <w:sz w:val="22"/>
              </w:rPr>
            </w:pPr>
            <w:r>
              <w:rPr>
                <w:sz w:val="22"/>
              </w:rPr>
              <w:t>18,284</w:t>
            </w:r>
          </w:p>
        </w:tc>
        <w:tc>
          <w:tcPr>
            <w:tcW w:w="720" w:type="dxa"/>
          </w:tcPr>
          <w:p>
            <w:pPr>
              <w:pStyle w:val="TableParagraph"/>
              <w:ind w:left="143" w:right="0"/>
              <w:jc w:val="left"/>
              <w:rPr>
                <w:sz w:val="22"/>
              </w:rPr>
            </w:pPr>
            <w:r>
              <w:rPr>
                <w:sz w:val="22"/>
              </w:rPr>
              <w:t>0,485</w:t>
            </w:r>
          </w:p>
        </w:tc>
        <w:tc>
          <w:tcPr>
            <w:tcW w:w="1327" w:type="dxa"/>
          </w:tcPr>
          <w:p>
            <w:pPr>
              <w:pStyle w:val="TableParagraph"/>
              <w:rPr>
                <w:sz w:val="22"/>
              </w:rPr>
            </w:pPr>
            <w:r>
              <w:rPr>
                <w:sz w:val="22"/>
              </w:rPr>
              <w:t>2380,787</w:t>
            </w:r>
          </w:p>
        </w:tc>
        <w:tc>
          <w:tcPr>
            <w:tcW w:w="914" w:type="dxa"/>
          </w:tcPr>
          <w:p>
            <w:pPr>
              <w:pStyle w:val="TableParagraph"/>
              <w:ind w:left="338" w:right="0"/>
              <w:jc w:val="left"/>
              <w:rPr>
                <w:sz w:val="22"/>
              </w:rPr>
            </w:pPr>
            <w:r>
              <w:rPr>
                <w:sz w:val="22"/>
              </w:rPr>
              <w:t>0,696</w:t>
            </w:r>
          </w:p>
        </w:tc>
        <w:tc>
          <w:tcPr>
            <w:tcW w:w="1207" w:type="dxa"/>
          </w:tcPr>
          <w:p>
            <w:pPr>
              <w:pStyle w:val="TableParagraph"/>
              <w:rPr>
                <w:sz w:val="22"/>
              </w:rPr>
            </w:pPr>
            <w:r>
              <w:rPr>
                <w:sz w:val="22"/>
              </w:rPr>
              <w:t>44,258</w:t>
            </w:r>
          </w:p>
        </w:tc>
        <w:tc>
          <w:tcPr>
            <w:tcW w:w="1618" w:type="dxa"/>
          </w:tcPr>
          <w:p>
            <w:pPr>
              <w:pStyle w:val="TableParagraph"/>
              <w:ind w:right="63"/>
              <w:rPr>
                <w:sz w:val="22"/>
              </w:rPr>
            </w:pPr>
            <w:r>
              <w:rPr>
                <w:sz w:val="22"/>
              </w:rPr>
              <w:t>0,00417176</w:t>
            </w:r>
          </w:p>
        </w:tc>
      </w:tr>
      <w:tr>
        <w:trPr>
          <w:trHeight w:val="312" w:hRule="exact"/>
        </w:trPr>
        <w:tc>
          <w:tcPr>
            <w:tcW w:w="910" w:type="dxa"/>
          </w:tcPr>
          <w:p>
            <w:pPr>
              <w:pStyle w:val="TableParagraph"/>
              <w:spacing w:before="30"/>
              <w:ind w:right="1"/>
              <w:jc w:val="center"/>
              <w:rPr>
                <w:sz w:val="22"/>
              </w:rPr>
            </w:pPr>
            <w:r>
              <w:rPr>
                <w:w w:val="100"/>
                <w:sz w:val="22"/>
              </w:rPr>
              <w:t>4</w:t>
            </w:r>
          </w:p>
        </w:tc>
        <w:tc>
          <w:tcPr>
            <w:tcW w:w="871" w:type="dxa"/>
          </w:tcPr>
          <w:p>
            <w:pPr>
              <w:pStyle w:val="TableParagraph"/>
              <w:spacing w:before="30"/>
              <w:ind w:right="63"/>
              <w:rPr>
                <w:sz w:val="22"/>
              </w:rPr>
            </w:pPr>
            <w:r>
              <w:rPr>
                <w:sz w:val="22"/>
              </w:rPr>
              <w:t>155,12</w:t>
            </w:r>
          </w:p>
        </w:tc>
        <w:tc>
          <w:tcPr>
            <w:tcW w:w="494" w:type="dxa"/>
          </w:tcPr>
          <w:p>
            <w:pPr>
              <w:pStyle w:val="TableParagraph"/>
              <w:spacing w:before="30"/>
              <w:ind w:right="63"/>
              <w:rPr>
                <w:sz w:val="22"/>
              </w:rPr>
            </w:pPr>
            <w:r>
              <w:rPr>
                <w:sz w:val="22"/>
              </w:rPr>
              <w:t>92</w:t>
            </w:r>
          </w:p>
        </w:tc>
        <w:tc>
          <w:tcPr>
            <w:tcW w:w="874" w:type="dxa"/>
          </w:tcPr>
          <w:p>
            <w:pPr>
              <w:pStyle w:val="TableParagraph"/>
              <w:spacing w:before="30"/>
              <w:ind w:right="63"/>
              <w:rPr>
                <w:sz w:val="22"/>
              </w:rPr>
            </w:pPr>
            <w:r>
              <w:rPr>
                <w:sz w:val="22"/>
              </w:rPr>
              <w:t>16,788</w:t>
            </w:r>
          </w:p>
        </w:tc>
        <w:tc>
          <w:tcPr>
            <w:tcW w:w="720" w:type="dxa"/>
          </w:tcPr>
          <w:p>
            <w:pPr>
              <w:pStyle w:val="TableParagraph"/>
              <w:spacing w:before="30"/>
              <w:ind w:left="143" w:right="0"/>
              <w:jc w:val="left"/>
              <w:rPr>
                <w:sz w:val="22"/>
              </w:rPr>
            </w:pPr>
            <w:r>
              <w:rPr>
                <w:sz w:val="22"/>
              </w:rPr>
              <w:t>0,697</w:t>
            </w:r>
          </w:p>
        </w:tc>
        <w:tc>
          <w:tcPr>
            <w:tcW w:w="1327" w:type="dxa"/>
          </w:tcPr>
          <w:p>
            <w:pPr>
              <w:pStyle w:val="TableParagraph"/>
              <w:spacing w:before="30"/>
              <w:rPr>
                <w:sz w:val="22"/>
              </w:rPr>
            </w:pPr>
            <w:r>
              <w:rPr>
                <w:sz w:val="22"/>
              </w:rPr>
              <w:t>2604,191</w:t>
            </w:r>
          </w:p>
        </w:tc>
        <w:tc>
          <w:tcPr>
            <w:tcW w:w="914" w:type="dxa"/>
          </w:tcPr>
          <w:p>
            <w:pPr>
              <w:pStyle w:val="TableParagraph"/>
              <w:spacing w:before="30"/>
              <w:ind w:left="338" w:right="0"/>
              <w:jc w:val="left"/>
              <w:rPr>
                <w:sz w:val="22"/>
              </w:rPr>
            </w:pPr>
            <w:r>
              <w:rPr>
                <w:sz w:val="22"/>
              </w:rPr>
              <w:t>0,835</w:t>
            </w:r>
          </w:p>
        </w:tc>
        <w:tc>
          <w:tcPr>
            <w:tcW w:w="1207" w:type="dxa"/>
          </w:tcPr>
          <w:p>
            <w:pPr>
              <w:pStyle w:val="TableParagraph"/>
              <w:spacing w:before="30"/>
              <w:rPr>
                <w:sz w:val="22"/>
              </w:rPr>
            </w:pPr>
            <w:r>
              <w:rPr>
                <w:sz w:val="22"/>
              </w:rPr>
              <w:t>74,594</w:t>
            </w:r>
          </w:p>
        </w:tc>
        <w:tc>
          <w:tcPr>
            <w:tcW w:w="1618" w:type="dxa"/>
          </w:tcPr>
          <w:p>
            <w:pPr>
              <w:pStyle w:val="TableParagraph"/>
              <w:spacing w:before="30"/>
              <w:ind w:right="63"/>
              <w:rPr>
                <w:sz w:val="22"/>
              </w:rPr>
            </w:pPr>
            <w:r>
              <w:rPr>
                <w:sz w:val="22"/>
              </w:rPr>
              <w:t>0,00703118</w:t>
            </w:r>
          </w:p>
        </w:tc>
      </w:tr>
      <w:tr>
        <w:trPr>
          <w:trHeight w:val="310" w:hRule="exact"/>
        </w:trPr>
        <w:tc>
          <w:tcPr>
            <w:tcW w:w="910" w:type="dxa"/>
          </w:tcPr>
          <w:p>
            <w:pPr>
              <w:pStyle w:val="TableParagraph"/>
              <w:ind w:right="1"/>
              <w:jc w:val="center"/>
              <w:rPr>
                <w:sz w:val="22"/>
              </w:rPr>
            </w:pPr>
            <w:r>
              <w:rPr>
                <w:w w:val="100"/>
                <w:sz w:val="22"/>
              </w:rPr>
              <w:t>5</w:t>
            </w:r>
          </w:p>
        </w:tc>
        <w:tc>
          <w:tcPr>
            <w:tcW w:w="871" w:type="dxa"/>
          </w:tcPr>
          <w:p>
            <w:pPr>
              <w:pStyle w:val="TableParagraph"/>
              <w:ind w:right="63"/>
              <w:rPr>
                <w:sz w:val="22"/>
              </w:rPr>
            </w:pPr>
            <w:r>
              <w:rPr>
                <w:sz w:val="22"/>
              </w:rPr>
              <w:t>180,21</w:t>
            </w:r>
          </w:p>
        </w:tc>
        <w:tc>
          <w:tcPr>
            <w:tcW w:w="494" w:type="dxa"/>
          </w:tcPr>
          <w:p>
            <w:pPr>
              <w:pStyle w:val="TableParagraph"/>
              <w:ind w:left="83" w:right="0"/>
              <w:jc w:val="left"/>
              <w:rPr>
                <w:sz w:val="22"/>
              </w:rPr>
            </w:pPr>
            <w:r>
              <w:rPr>
                <w:sz w:val="22"/>
              </w:rPr>
              <w:t>132</w:t>
            </w:r>
          </w:p>
        </w:tc>
        <w:tc>
          <w:tcPr>
            <w:tcW w:w="874" w:type="dxa"/>
          </w:tcPr>
          <w:p>
            <w:pPr>
              <w:pStyle w:val="TableParagraph"/>
              <w:ind w:right="63"/>
              <w:rPr>
                <w:sz w:val="22"/>
              </w:rPr>
            </w:pPr>
            <w:r>
              <w:rPr>
                <w:sz w:val="22"/>
              </w:rPr>
              <w:t>14,700</w:t>
            </w:r>
          </w:p>
        </w:tc>
        <w:tc>
          <w:tcPr>
            <w:tcW w:w="720" w:type="dxa"/>
          </w:tcPr>
          <w:p>
            <w:pPr>
              <w:pStyle w:val="TableParagraph"/>
              <w:ind w:left="143" w:right="0"/>
              <w:jc w:val="left"/>
              <w:rPr>
                <w:sz w:val="22"/>
              </w:rPr>
            </w:pPr>
            <w:r>
              <w:rPr>
                <w:sz w:val="22"/>
              </w:rPr>
              <w:t>0,845</w:t>
            </w:r>
          </w:p>
        </w:tc>
        <w:tc>
          <w:tcPr>
            <w:tcW w:w="1327" w:type="dxa"/>
          </w:tcPr>
          <w:p>
            <w:pPr>
              <w:pStyle w:val="TableParagraph"/>
              <w:rPr>
                <w:sz w:val="22"/>
              </w:rPr>
            </w:pPr>
            <w:r>
              <w:rPr>
                <w:sz w:val="22"/>
              </w:rPr>
              <w:t>2649,087</w:t>
            </w:r>
          </w:p>
        </w:tc>
        <w:tc>
          <w:tcPr>
            <w:tcW w:w="914" w:type="dxa"/>
          </w:tcPr>
          <w:p>
            <w:pPr>
              <w:pStyle w:val="TableParagraph"/>
              <w:ind w:left="338" w:right="0"/>
              <w:jc w:val="left"/>
              <w:rPr>
                <w:sz w:val="22"/>
              </w:rPr>
            </w:pPr>
            <w:r>
              <w:rPr>
                <w:sz w:val="22"/>
              </w:rPr>
              <w:t>0,919</w:t>
            </w:r>
          </w:p>
        </w:tc>
        <w:tc>
          <w:tcPr>
            <w:tcW w:w="1207" w:type="dxa"/>
          </w:tcPr>
          <w:p>
            <w:pPr>
              <w:pStyle w:val="TableParagraph"/>
              <w:rPr>
                <w:sz w:val="22"/>
              </w:rPr>
            </w:pPr>
            <w:r>
              <w:rPr>
                <w:sz w:val="22"/>
              </w:rPr>
              <w:t>55,534</w:t>
            </w:r>
          </w:p>
        </w:tc>
        <w:tc>
          <w:tcPr>
            <w:tcW w:w="1618" w:type="dxa"/>
          </w:tcPr>
          <w:p>
            <w:pPr>
              <w:pStyle w:val="TableParagraph"/>
              <w:ind w:right="63"/>
              <w:rPr>
                <w:sz w:val="22"/>
              </w:rPr>
            </w:pPr>
            <w:r>
              <w:rPr>
                <w:sz w:val="22"/>
              </w:rPr>
              <w:t>0,00523457</w:t>
            </w:r>
          </w:p>
        </w:tc>
      </w:tr>
      <w:tr>
        <w:trPr>
          <w:trHeight w:val="310" w:hRule="exact"/>
        </w:trPr>
        <w:tc>
          <w:tcPr>
            <w:tcW w:w="910" w:type="dxa"/>
          </w:tcPr>
          <w:p>
            <w:pPr>
              <w:pStyle w:val="TableParagraph"/>
              <w:ind w:right="2"/>
              <w:jc w:val="center"/>
              <w:rPr>
                <w:sz w:val="22"/>
              </w:rPr>
            </w:pPr>
            <w:r>
              <w:rPr>
                <w:w w:val="100"/>
                <w:sz w:val="22"/>
              </w:rPr>
              <w:t>N</w:t>
            </w:r>
          </w:p>
        </w:tc>
        <w:tc>
          <w:tcPr>
            <w:tcW w:w="871" w:type="dxa"/>
          </w:tcPr>
          <w:p>
            <w:pPr>
              <w:pStyle w:val="TableParagraph"/>
              <w:ind w:right="63"/>
              <w:rPr>
                <w:sz w:val="22"/>
              </w:rPr>
            </w:pPr>
            <w:r>
              <w:rPr>
                <w:sz w:val="22"/>
              </w:rPr>
              <w:t>695,17</w:t>
            </w:r>
          </w:p>
        </w:tc>
        <w:tc>
          <w:tcPr>
            <w:tcW w:w="494" w:type="dxa"/>
          </w:tcPr>
          <w:p>
            <w:pPr/>
          </w:p>
        </w:tc>
        <w:tc>
          <w:tcPr>
            <w:tcW w:w="874" w:type="dxa"/>
          </w:tcPr>
          <w:p>
            <w:pPr/>
          </w:p>
        </w:tc>
        <w:tc>
          <w:tcPr>
            <w:tcW w:w="720" w:type="dxa"/>
          </w:tcPr>
          <w:p>
            <w:pPr>
              <w:pStyle w:val="TableParagraph"/>
              <w:spacing w:before="16"/>
              <w:ind w:left="189"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27" w:type="dxa"/>
          </w:tcPr>
          <w:p>
            <w:pPr>
              <w:pStyle w:val="TableParagraph"/>
              <w:rPr>
                <w:sz w:val="22"/>
              </w:rPr>
            </w:pPr>
            <w:r>
              <w:rPr>
                <w:sz w:val="22"/>
              </w:rPr>
              <w:t>11692,498</w:t>
            </w:r>
          </w:p>
        </w:tc>
        <w:tc>
          <w:tcPr>
            <w:tcW w:w="914" w:type="dxa"/>
          </w:tcPr>
          <w:p>
            <w:pPr/>
          </w:p>
        </w:tc>
        <w:tc>
          <w:tcPr>
            <w:tcW w:w="1207" w:type="dxa"/>
          </w:tcPr>
          <w:p>
            <w:pPr>
              <w:pStyle w:val="TableParagraph"/>
              <w:rPr>
                <w:sz w:val="22"/>
              </w:rPr>
            </w:pPr>
            <w:r>
              <w:rPr>
                <w:sz w:val="22"/>
              </w:rPr>
              <w:t>163,548</w:t>
            </w:r>
          </w:p>
        </w:tc>
        <w:tc>
          <w:tcPr>
            <w:tcW w:w="1618" w:type="dxa"/>
          </w:tcPr>
          <w:p>
            <w:pPr>
              <w:pStyle w:val="TableParagraph"/>
              <w:ind w:right="63"/>
              <w:rPr>
                <w:sz w:val="22"/>
              </w:rPr>
            </w:pPr>
            <w:r>
              <w:rPr>
                <w:sz w:val="22"/>
              </w:rPr>
              <w:t>0,015416</w:t>
            </w:r>
          </w:p>
        </w:tc>
      </w:tr>
      <w:tr>
        <w:trPr>
          <w:trHeight w:val="310" w:hRule="exact"/>
        </w:trPr>
        <w:tc>
          <w:tcPr>
            <w:tcW w:w="5196" w:type="dxa"/>
            <w:gridSpan w:val="6"/>
            <w:vMerge w:val="restart"/>
            <w:tcBorders>
              <w:left w:val="nil"/>
            </w:tcBorders>
          </w:tcPr>
          <w:p>
            <w:pPr/>
          </w:p>
        </w:tc>
        <w:tc>
          <w:tcPr>
            <w:tcW w:w="2122" w:type="dxa"/>
            <w:gridSpan w:val="2"/>
          </w:tcPr>
          <w:p>
            <w:pPr>
              <w:pStyle w:val="TableParagraph"/>
              <w:spacing w:before="13"/>
              <w:ind w:left="64" w:right="45"/>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18" w:type="dxa"/>
          </w:tcPr>
          <w:p>
            <w:pPr>
              <w:pStyle w:val="TableParagraph"/>
              <w:ind w:right="63"/>
              <w:rPr>
                <w:b/>
                <w:sz w:val="22"/>
              </w:rPr>
            </w:pPr>
            <w:r>
              <w:rPr>
                <w:b/>
                <w:sz w:val="22"/>
              </w:rPr>
              <w:t>16,820</w:t>
            </w:r>
          </w:p>
        </w:tc>
      </w:tr>
      <w:tr>
        <w:trPr>
          <w:trHeight w:val="310" w:hRule="exact"/>
        </w:trPr>
        <w:tc>
          <w:tcPr>
            <w:tcW w:w="5196" w:type="dxa"/>
            <w:gridSpan w:val="6"/>
            <w:vMerge/>
            <w:tcBorders>
              <w:left w:val="nil"/>
            </w:tcBorders>
          </w:tcPr>
          <w:p>
            <w:pPr/>
          </w:p>
        </w:tc>
        <w:tc>
          <w:tcPr>
            <w:tcW w:w="2122" w:type="dxa"/>
            <w:gridSpan w:val="2"/>
          </w:tcPr>
          <w:p>
            <w:pPr>
              <w:pStyle w:val="TableParagraph"/>
              <w:spacing w:before="13"/>
              <w:ind w:left="64" w:right="45"/>
              <w:jc w:val="left"/>
              <w:rPr>
                <w:sz w:val="22"/>
              </w:rPr>
            </w:pPr>
            <w:r>
              <w:rPr>
                <w:sz w:val="22"/>
              </w:rPr>
              <w:t>Desviación estándar</w:t>
            </w:r>
          </w:p>
        </w:tc>
        <w:tc>
          <w:tcPr>
            <w:tcW w:w="1618" w:type="dxa"/>
          </w:tcPr>
          <w:p>
            <w:pPr>
              <w:pStyle w:val="TableParagraph"/>
              <w:ind w:right="63"/>
              <w:rPr>
                <w:b/>
                <w:sz w:val="22"/>
              </w:rPr>
            </w:pPr>
            <w:r>
              <w:rPr>
                <w:b/>
                <w:sz w:val="22"/>
              </w:rPr>
              <w:t>0,124</w:t>
            </w:r>
          </w:p>
        </w:tc>
      </w:tr>
      <w:tr>
        <w:trPr>
          <w:trHeight w:val="310" w:hRule="exact"/>
        </w:trPr>
        <w:tc>
          <w:tcPr>
            <w:tcW w:w="5196" w:type="dxa"/>
            <w:gridSpan w:val="6"/>
            <w:vMerge/>
            <w:tcBorders>
              <w:left w:val="nil"/>
            </w:tcBorders>
          </w:tcPr>
          <w:p>
            <w:pPr/>
          </w:p>
        </w:tc>
        <w:tc>
          <w:tcPr>
            <w:tcW w:w="2122" w:type="dxa"/>
            <w:gridSpan w:val="2"/>
            <w:vMerge w:val="restart"/>
          </w:tcPr>
          <w:p>
            <w:pPr>
              <w:pStyle w:val="TableParagraph"/>
              <w:spacing w:line="266" w:lineRule="exact" w:before="32"/>
              <w:ind w:left="64" w:right="45"/>
              <w:jc w:val="left"/>
              <w:rPr>
                <w:sz w:val="22"/>
              </w:rPr>
            </w:pPr>
            <w:r>
              <w:rPr>
                <w:sz w:val="22"/>
              </w:rPr>
              <w:t>Intervalo de confianza al 95 %</w:t>
            </w:r>
          </w:p>
        </w:tc>
        <w:tc>
          <w:tcPr>
            <w:tcW w:w="1618" w:type="dxa"/>
          </w:tcPr>
          <w:p>
            <w:pPr>
              <w:pStyle w:val="TableParagraph"/>
              <w:ind w:right="63"/>
              <w:rPr>
                <w:sz w:val="22"/>
              </w:rPr>
            </w:pPr>
            <w:r>
              <w:rPr>
                <w:sz w:val="22"/>
              </w:rPr>
              <w:t>16,58</w:t>
            </w:r>
          </w:p>
        </w:tc>
      </w:tr>
      <w:tr>
        <w:trPr>
          <w:trHeight w:val="312" w:hRule="exact"/>
        </w:trPr>
        <w:tc>
          <w:tcPr>
            <w:tcW w:w="5196" w:type="dxa"/>
            <w:gridSpan w:val="6"/>
            <w:vMerge/>
            <w:tcBorders>
              <w:left w:val="nil"/>
              <w:bottom w:val="nil"/>
            </w:tcBorders>
          </w:tcPr>
          <w:p>
            <w:pPr/>
          </w:p>
        </w:tc>
        <w:tc>
          <w:tcPr>
            <w:tcW w:w="2122" w:type="dxa"/>
            <w:gridSpan w:val="2"/>
            <w:vMerge/>
          </w:tcPr>
          <w:p>
            <w:pPr/>
          </w:p>
        </w:tc>
        <w:tc>
          <w:tcPr>
            <w:tcW w:w="1618" w:type="dxa"/>
          </w:tcPr>
          <w:p>
            <w:pPr>
              <w:pStyle w:val="TableParagraph"/>
              <w:spacing w:before="30"/>
              <w:ind w:right="63"/>
              <w:rPr>
                <w:sz w:val="22"/>
              </w:rPr>
            </w:pPr>
            <w:r>
              <w:rPr>
                <w:sz w:val="22"/>
              </w:rPr>
              <w:t>17,06</w:t>
            </w:r>
          </w:p>
        </w:tc>
      </w:tr>
    </w:tbl>
    <w:p>
      <w:pPr>
        <w:pStyle w:val="BodyText"/>
        <w:spacing w:before="1"/>
        <w:rPr>
          <w:b/>
          <w:sz w:val="26"/>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0"/>
        <w:gridCol w:w="871"/>
        <w:gridCol w:w="494"/>
        <w:gridCol w:w="874"/>
        <w:gridCol w:w="720"/>
        <w:gridCol w:w="1327"/>
        <w:gridCol w:w="914"/>
        <w:gridCol w:w="1207"/>
        <w:gridCol w:w="1618"/>
      </w:tblGrid>
      <w:tr>
        <w:trPr>
          <w:trHeight w:val="310" w:hRule="exact"/>
        </w:trPr>
        <w:tc>
          <w:tcPr>
            <w:tcW w:w="8935" w:type="dxa"/>
            <w:gridSpan w:val="9"/>
          </w:tcPr>
          <w:p>
            <w:pPr>
              <w:pStyle w:val="TableParagraph"/>
              <w:ind w:left="3494" w:right="3492"/>
              <w:jc w:val="center"/>
              <w:rPr>
                <w:sz w:val="22"/>
              </w:rPr>
            </w:pPr>
            <w:r>
              <w:rPr>
                <w:sz w:val="22"/>
              </w:rPr>
              <w:t>Punto de muestreo C</w:t>
            </w:r>
          </w:p>
        </w:tc>
      </w:tr>
      <w:tr>
        <w:trPr>
          <w:trHeight w:val="310" w:hRule="exact"/>
        </w:trPr>
        <w:tc>
          <w:tcPr>
            <w:tcW w:w="910" w:type="dxa"/>
          </w:tcPr>
          <w:p>
            <w:pPr>
              <w:pStyle w:val="TableParagraph"/>
              <w:spacing w:before="13"/>
              <w:ind w:left="110" w:right="111"/>
              <w:jc w:val="center"/>
              <w:rPr>
                <w:sz w:val="22"/>
              </w:rPr>
            </w:pPr>
            <w:r>
              <w:rPr>
                <w:sz w:val="22"/>
              </w:rPr>
              <w:t>Estrato</w:t>
            </w:r>
          </w:p>
        </w:tc>
        <w:tc>
          <w:tcPr>
            <w:tcW w:w="871" w:type="dxa"/>
          </w:tcPr>
          <w:p>
            <w:pPr>
              <w:pStyle w:val="TableParagraph"/>
              <w:spacing w:before="43"/>
              <w:ind w:left="270" w:right="288"/>
              <w:jc w:val="center"/>
              <w:rPr>
                <w:rFonts w:ascii="Cambria Math"/>
                <w:sz w:val="16"/>
              </w:rPr>
            </w:pPr>
            <w:r>
              <w:rPr>
                <w:rFonts w:ascii="Cambria Math"/>
                <w:w w:val="110"/>
                <w:sz w:val="22"/>
              </w:rPr>
              <w:t>N</w:t>
            </w:r>
            <w:r>
              <w:rPr>
                <w:rFonts w:ascii="Cambria Math"/>
                <w:w w:val="110"/>
                <w:position w:val="-4"/>
                <w:sz w:val="16"/>
              </w:rPr>
              <w:t>h</w:t>
            </w:r>
          </w:p>
        </w:tc>
        <w:tc>
          <w:tcPr>
            <w:tcW w:w="494" w:type="dxa"/>
          </w:tcPr>
          <w:p>
            <w:pPr>
              <w:pStyle w:val="TableParagraph"/>
              <w:spacing w:before="43"/>
              <w:ind w:left="122" w:right="0"/>
              <w:jc w:val="left"/>
              <w:rPr>
                <w:rFonts w:ascii="Cambria Math"/>
                <w:sz w:val="16"/>
              </w:rPr>
            </w:pPr>
            <w:r>
              <w:rPr>
                <w:rFonts w:ascii="Cambria Math"/>
                <w:w w:val="110"/>
                <w:sz w:val="22"/>
              </w:rPr>
              <w:t>n</w:t>
            </w:r>
            <w:r>
              <w:rPr>
                <w:rFonts w:ascii="Cambria Math"/>
                <w:w w:val="110"/>
                <w:position w:val="-4"/>
                <w:sz w:val="16"/>
              </w:rPr>
              <w:t>h</w:t>
            </w:r>
          </w:p>
        </w:tc>
        <w:tc>
          <w:tcPr>
            <w:tcW w:w="874" w:type="dxa"/>
          </w:tcPr>
          <w:p>
            <w:pPr>
              <w:pStyle w:val="TableParagraph"/>
              <w:spacing w:before="43"/>
              <w:ind w:left="31" w:right="44"/>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20" w:type="dxa"/>
          </w:tcPr>
          <w:p>
            <w:pPr>
              <w:pStyle w:val="TableParagraph"/>
              <w:spacing w:line="214" w:lineRule="exact" w:before="6"/>
              <w:ind w:left="83" w:right="91"/>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0" w:right="0"/>
              <w:jc w:val="center"/>
              <w:rPr>
                <w:rFonts w:ascii="Cambria Math"/>
                <w:sz w:val="16"/>
              </w:rPr>
            </w:pPr>
            <w:r>
              <w:rPr>
                <w:rFonts w:ascii="Cambria Math"/>
                <w:w w:val="113"/>
                <w:sz w:val="16"/>
              </w:rPr>
              <w:t>h</w:t>
            </w:r>
          </w:p>
        </w:tc>
        <w:tc>
          <w:tcPr>
            <w:tcW w:w="1327" w:type="dxa"/>
          </w:tcPr>
          <w:p>
            <w:pPr>
              <w:pStyle w:val="TableParagraph"/>
              <w:spacing w:before="19"/>
              <w:ind w:left="539" w:right="550"/>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914" w:type="dxa"/>
          </w:tcPr>
          <w:p>
            <w:pPr>
              <w:pStyle w:val="TableParagraph"/>
              <w:spacing w:before="43"/>
              <w:ind w:left="347" w:right="0"/>
              <w:jc w:val="left"/>
              <w:rPr>
                <w:rFonts w:ascii="Cambria Math"/>
                <w:sz w:val="16"/>
              </w:rPr>
            </w:pPr>
            <w:r>
              <w:rPr>
                <w:rFonts w:ascii="Cambria Math"/>
                <w:w w:val="110"/>
                <w:sz w:val="22"/>
              </w:rPr>
              <w:t>s</w:t>
            </w:r>
            <w:r>
              <w:rPr>
                <w:rFonts w:ascii="Cambria Math"/>
                <w:w w:val="110"/>
                <w:position w:val="-4"/>
                <w:sz w:val="16"/>
              </w:rPr>
              <w:t>h</w:t>
            </w:r>
          </w:p>
        </w:tc>
        <w:tc>
          <w:tcPr>
            <w:tcW w:w="1207" w:type="dxa"/>
          </w:tcPr>
          <w:p>
            <w:pPr>
              <w:pStyle w:val="TableParagraph"/>
              <w:spacing w:before="0"/>
              <w:ind w:left="26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18" w:type="dxa"/>
          </w:tcPr>
          <w:p>
            <w:pPr>
              <w:pStyle w:val="TableParagraph"/>
              <w:spacing w:before="0"/>
              <w:ind w:left="45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10" w:type="dxa"/>
          </w:tcPr>
          <w:p>
            <w:pPr>
              <w:pStyle w:val="TableParagraph"/>
              <w:ind w:right="1"/>
              <w:jc w:val="center"/>
              <w:rPr>
                <w:sz w:val="22"/>
              </w:rPr>
            </w:pPr>
            <w:r>
              <w:rPr>
                <w:w w:val="100"/>
                <w:sz w:val="22"/>
              </w:rPr>
              <w:t>1</w:t>
            </w:r>
          </w:p>
        </w:tc>
        <w:tc>
          <w:tcPr>
            <w:tcW w:w="871" w:type="dxa"/>
          </w:tcPr>
          <w:p>
            <w:pPr>
              <w:pStyle w:val="TableParagraph"/>
              <w:ind w:right="63"/>
              <w:rPr>
                <w:sz w:val="22"/>
              </w:rPr>
            </w:pPr>
            <w:r>
              <w:rPr>
                <w:sz w:val="22"/>
              </w:rPr>
              <w:t>108,60</w:t>
            </w:r>
          </w:p>
        </w:tc>
        <w:tc>
          <w:tcPr>
            <w:tcW w:w="494" w:type="dxa"/>
          </w:tcPr>
          <w:p>
            <w:pPr>
              <w:pStyle w:val="TableParagraph"/>
              <w:ind w:left="83" w:right="0"/>
              <w:jc w:val="left"/>
              <w:rPr>
                <w:sz w:val="22"/>
              </w:rPr>
            </w:pPr>
            <w:r>
              <w:rPr>
                <w:sz w:val="22"/>
              </w:rPr>
              <w:t>108</w:t>
            </w:r>
          </w:p>
        </w:tc>
        <w:tc>
          <w:tcPr>
            <w:tcW w:w="874" w:type="dxa"/>
          </w:tcPr>
          <w:p>
            <w:pPr>
              <w:pStyle w:val="TableParagraph"/>
              <w:ind w:right="63"/>
              <w:rPr>
                <w:sz w:val="22"/>
              </w:rPr>
            </w:pPr>
            <w:r>
              <w:rPr>
                <w:sz w:val="22"/>
              </w:rPr>
              <w:t>17,658</w:t>
            </w:r>
          </w:p>
        </w:tc>
        <w:tc>
          <w:tcPr>
            <w:tcW w:w="720" w:type="dxa"/>
          </w:tcPr>
          <w:p>
            <w:pPr>
              <w:pStyle w:val="TableParagraph"/>
              <w:ind w:left="143" w:right="0"/>
              <w:jc w:val="left"/>
              <w:rPr>
                <w:sz w:val="22"/>
              </w:rPr>
            </w:pPr>
            <w:r>
              <w:rPr>
                <w:sz w:val="22"/>
              </w:rPr>
              <w:t>0,489</w:t>
            </w:r>
          </w:p>
        </w:tc>
        <w:tc>
          <w:tcPr>
            <w:tcW w:w="1327" w:type="dxa"/>
          </w:tcPr>
          <w:p>
            <w:pPr>
              <w:pStyle w:val="TableParagraph"/>
              <w:rPr>
                <w:sz w:val="22"/>
              </w:rPr>
            </w:pPr>
            <w:r>
              <w:rPr>
                <w:sz w:val="22"/>
              </w:rPr>
              <w:t>1917,647</w:t>
            </w:r>
          </w:p>
        </w:tc>
        <w:tc>
          <w:tcPr>
            <w:tcW w:w="914" w:type="dxa"/>
          </w:tcPr>
          <w:p>
            <w:pPr>
              <w:pStyle w:val="TableParagraph"/>
              <w:ind w:left="338" w:right="0"/>
              <w:jc w:val="left"/>
              <w:rPr>
                <w:sz w:val="22"/>
              </w:rPr>
            </w:pPr>
            <w:r>
              <w:rPr>
                <w:sz w:val="22"/>
              </w:rPr>
              <w:t>0,699</w:t>
            </w:r>
          </w:p>
        </w:tc>
        <w:tc>
          <w:tcPr>
            <w:tcW w:w="1207" w:type="dxa"/>
          </w:tcPr>
          <w:p>
            <w:pPr>
              <w:pStyle w:val="TableParagraph"/>
              <w:rPr>
                <w:sz w:val="22"/>
              </w:rPr>
            </w:pPr>
            <w:r>
              <w:rPr>
                <w:sz w:val="22"/>
              </w:rPr>
              <w:t>-17,862</w:t>
            </w:r>
          </w:p>
        </w:tc>
        <w:tc>
          <w:tcPr>
            <w:tcW w:w="1618" w:type="dxa"/>
          </w:tcPr>
          <w:p>
            <w:pPr>
              <w:pStyle w:val="TableParagraph"/>
              <w:ind w:right="63"/>
              <w:rPr>
                <w:sz w:val="22"/>
              </w:rPr>
            </w:pPr>
            <w:r>
              <w:rPr>
                <w:sz w:val="22"/>
              </w:rPr>
              <w:t>-0,00168367</w:t>
            </w:r>
          </w:p>
        </w:tc>
      </w:tr>
      <w:tr>
        <w:trPr>
          <w:trHeight w:val="310" w:hRule="exact"/>
        </w:trPr>
        <w:tc>
          <w:tcPr>
            <w:tcW w:w="910" w:type="dxa"/>
          </w:tcPr>
          <w:p>
            <w:pPr>
              <w:pStyle w:val="TableParagraph"/>
              <w:ind w:right="1"/>
              <w:jc w:val="center"/>
              <w:rPr>
                <w:sz w:val="22"/>
              </w:rPr>
            </w:pPr>
            <w:r>
              <w:rPr>
                <w:w w:val="100"/>
                <w:sz w:val="22"/>
              </w:rPr>
              <w:t>2</w:t>
            </w:r>
          </w:p>
        </w:tc>
        <w:tc>
          <w:tcPr>
            <w:tcW w:w="871" w:type="dxa"/>
          </w:tcPr>
          <w:p>
            <w:pPr>
              <w:pStyle w:val="TableParagraph"/>
              <w:ind w:right="63"/>
              <w:rPr>
                <w:sz w:val="22"/>
              </w:rPr>
            </w:pPr>
            <w:r>
              <w:rPr>
                <w:sz w:val="22"/>
              </w:rPr>
              <w:t>121,03</w:t>
            </w:r>
          </w:p>
        </w:tc>
        <w:tc>
          <w:tcPr>
            <w:tcW w:w="494" w:type="dxa"/>
          </w:tcPr>
          <w:p>
            <w:pPr>
              <w:pStyle w:val="TableParagraph"/>
              <w:ind w:right="63"/>
              <w:rPr>
                <w:sz w:val="22"/>
              </w:rPr>
            </w:pPr>
            <w:r>
              <w:rPr>
                <w:sz w:val="22"/>
              </w:rPr>
              <w:t>81</w:t>
            </w:r>
          </w:p>
        </w:tc>
        <w:tc>
          <w:tcPr>
            <w:tcW w:w="874" w:type="dxa"/>
          </w:tcPr>
          <w:p>
            <w:pPr>
              <w:pStyle w:val="TableParagraph"/>
              <w:ind w:right="63"/>
              <w:rPr>
                <w:sz w:val="22"/>
              </w:rPr>
            </w:pPr>
            <w:r>
              <w:rPr>
                <w:sz w:val="22"/>
              </w:rPr>
              <w:t>17,592</w:t>
            </w:r>
          </w:p>
        </w:tc>
        <w:tc>
          <w:tcPr>
            <w:tcW w:w="720" w:type="dxa"/>
          </w:tcPr>
          <w:p>
            <w:pPr>
              <w:pStyle w:val="TableParagraph"/>
              <w:ind w:left="143" w:right="0"/>
              <w:jc w:val="left"/>
              <w:rPr>
                <w:sz w:val="22"/>
              </w:rPr>
            </w:pPr>
            <w:r>
              <w:rPr>
                <w:sz w:val="22"/>
              </w:rPr>
              <w:t>0,101</w:t>
            </w:r>
          </w:p>
        </w:tc>
        <w:tc>
          <w:tcPr>
            <w:tcW w:w="1327" w:type="dxa"/>
          </w:tcPr>
          <w:p>
            <w:pPr>
              <w:pStyle w:val="TableParagraph"/>
              <w:rPr>
                <w:sz w:val="22"/>
              </w:rPr>
            </w:pPr>
            <w:r>
              <w:rPr>
                <w:sz w:val="22"/>
              </w:rPr>
              <w:t>2129,119</w:t>
            </w:r>
          </w:p>
        </w:tc>
        <w:tc>
          <w:tcPr>
            <w:tcW w:w="914" w:type="dxa"/>
          </w:tcPr>
          <w:p>
            <w:pPr>
              <w:pStyle w:val="TableParagraph"/>
              <w:ind w:left="338" w:right="0"/>
              <w:jc w:val="left"/>
              <w:rPr>
                <w:sz w:val="22"/>
              </w:rPr>
            </w:pPr>
            <w:r>
              <w:rPr>
                <w:sz w:val="22"/>
              </w:rPr>
              <w:t>0,318</w:t>
            </w:r>
          </w:p>
        </w:tc>
        <w:tc>
          <w:tcPr>
            <w:tcW w:w="1207" w:type="dxa"/>
          </w:tcPr>
          <w:p>
            <w:pPr>
              <w:pStyle w:val="TableParagraph"/>
              <w:rPr>
                <w:sz w:val="22"/>
              </w:rPr>
            </w:pPr>
            <w:r>
              <w:rPr>
                <w:sz w:val="22"/>
              </w:rPr>
              <w:t>6,040</w:t>
            </w:r>
          </w:p>
        </w:tc>
        <w:tc>
          <w:tcPr>
            <w:tcW w:w="1618" w:type="dxa"/>
          </w:tcPr>
          <w:p>
            <w:pPr>
              <w:pStyle w:val="TableParagraph"/>
              <w:ind w:right="63"/>
              <w:rPr>
                <w:sz w:val="22"/>
              </w:rPr>
            </w:pPr>
            <w:r>
              <w:rPr>
                <w:sz w:val="22"/>
              </w:rPr>
              <w:t>0,00056934</w:t>
            </w:r>
          </w:p>
        </w:tc>
      </w:tr>
      <w:tr>
        <w:trPr>
          <w:trHeight w:val="312" w:hRule="exact"/>
        </w:trPr>
        <w:tc>
          <w:tcPr>
            <w:tcW w:w="910" w:type="dxa"/>
          </w:tcPr>
          <w:p>
            <w:pPr>
              <w:pStyle w:val="TableParagraph"/>
              <w:spacing w:before="30"/>
              <w:ind w:right="1"/>
              <w:jc w:val="center"/>
              <w:rPr>
                <w:sz w:val="22"/>
              </w:rPr>
            </w:pPr>
            <w:r>
              <w:rPr>
                <w:w w:val="100"/>
                <w:sz w:val="22"/>
              </w:rPr>
              <w:t>3</w:t>
            </w:r>
          </w:p>
        </w:tc>
        <w:tc>
          <w:tcPr>
            <w:tcW w:w="871" w:type="dxa"/>
          </w:tcPr>
          <w:p>
            <w:pPr>
              <w:pStyle w:val="TableParagraph"/>
              <w:spacing w:before="30"/>
              <w:ind w:right="63"/>
              <w:rPr>
                <w:sz w:val="22"/>
              </w:rPr>
            </w:pPr>
            <w:r>
              <w:rPr>
                <w:sz w:val="22"/>
              </w:rPr>
              <w:t>130,21</w:t>
            </w:r>
          </w:p>
        </w:tc>
        <w:tc>
          <w:tcPr>
            <w:tcW w:w="494" w:type="dxa"/>
          </w:tcPr>
          <w:p>
            <w:pPr>
              <w:pStyle w:val="TableParagraph"/>
              <w:spacing w:before="30"/>
              <w:ind w:right="63"/>
              <w:rPr>
                <w:sz w:val="22"/>
              </w:rPr>
            </w:pPr>
            <w:r>
              <w:rPr>
                <w:sz w:val="22"/>
              </w:rPr>
              <w:t>77</w:t>
            </w:r>
          </w:p>
        </w:tc>
        <w:tc>
          <w:tcPr>
            <w:tcW w:w="874" w:type="dxa"/>
          </w:tcPr>
          <w:p>
            <w:pPr>
              <w:pStyle w:val="TableParagraph"/>
              <w:spacing w:before="30"/>
              <w:ind w:right="63"/>
              <w:rPr>
                <w:sz w:val="22"/>
              </w:rPr>
            </w:pPr>
            <w:r>
              <w:rPr>
                <w:sz w:val="22"/>
              </w:rPr>
              <w:t>18,195</w:t>
            </w:r>
          </w:p>
        </w:tc>
        <w:tc>
          <w:tcPr>
            <w:tcW w:w="720" w:type="dxa"/>
          </w:tcPr>
          <w:p>
            <w:pPr>
              <w:pStyle w:val="TableParagraph"/>
              <w:spacing w:before="30"/>
              <w:ind w:left="143" w:right="0"/>
              <w:jc w:val="left"/>
              <w:rPr>
                <w:sz w:val="22"/>
              </w:rPr>
            </w:pPr>
            <w:r>
              <w:rPr>
                <w:sz w:val="22"/>
              </w:rPr>
              <w:t>0,486</w:t>
            </w:r>
          </w:p>
        </w:tc>
        <w:tc>
          <w:tcPr>
            <w:tcW w:w="1327" w:type="dxa"/>
          </w:tcPr>
          <w:p>
            <w:pPr>
              <w:pStyle w:val="TableParagraph"/>
              <w:spacing w:before="30"/>
              <w:rPr>
                <w:sz w:val="22"/>
              </w:rPr>
            </w:pPr>
            <w:r>
              <w:rPr>
                <w:sz w:val="22"/>
              </w:rPr>
              <w:t>2369,137</w:t>
            </w:r>
          </w:p>
        </w:tc>
        <w:tc>
          <w:tcPr>
            <w:tcW w:w="914" w:type="dxa"/>
          </w:tcPr>
          <w:p>
            <w:pPr>
              <w:pStyle w:val="TableParagraph"/>
              <w:spacing w:before="30"/>
              <w:ind w:left="338" w:right="0"/>
              <w:jc w:val="left"/>
              <w:rPr>
                <w:sz w:val="22"/>
              </w:rPr>
            </w:pPr>
            <w:r>
              <w:rPr>
                <w:sz w:val="22"/>
              </w:rPr>
              <w:t>0,697</w:t>
            </w:r>
          </w:p>
        </w:tc>
        <w:tc>
          <w:tcPr>
            <w:tcW w:w="1207" w:type="dxa"/>
          </w:tcPr>
          <w:p>
            <w:pPr>
              <w:pStyle w:val="TableParagraph"/>
              <w:spacing w:before="30"/>
              <w:rPr>
                <w:sz w:val="22"/>
              </w:rPr>
            </w:pPr>
            <w:r>
              <w:rPr>
                <w:sz w:val="22"/>
              </w:rPr>
              <w:t>44,381</w:t>
            </w:r>
          </w:p>
        </w:tc>
        <w:tc>
          <w:tcPr>
            <w:tcW w:w="1618" w:type="dxa"/>
          </w:tcPr>
          <w:p>
            <w:pPr>
              <w:pStyle w:val="TableParagraph"/>
              <w:spacing w:before="30"/>
              <w:ind w:right="63"/>
              <w:rPr>
                <w:sz w:val="22"/>
              </w:rPr>
            </w:pPr>
            <w:r>
              <w:rPr>
                <w:sz w:val="22"/>
              </w:rPr>
              <w:t>0,00418333</w:t>
            </w:r>
          </w:p>
        </w:tc>
      </w:tr>
      <w:tr>
        <w:trPr>
          <w:trHeight w:val="310" w:hRule="exact"/>
        </w:trPr>
        <w:tc>
          <w:tcPr>
            <w:tcW w:w="910" w:type="dxa"/>
          </w:tcPr>
          <w:p>
            <w:pPr>
              <w:pStyle w:val="TableParagraph"/>
              <w:ind w:right="1"/>
              <w:jc w:val="center"/>
              <w:rPr>
                <w:sz w:val="22"/>
              </w:rPr>
            </w:pPr>
            <w:r>
              <w:rPr>
                <w:w w:val="100"/>
                <w:sz w:val="22"/>
              </w:rPr>
              <w:t>4</w:t>
            </w:r>
          </w:p>
        </w:tc>
        <w:tc>
          <w:tcPr>
            <w:tcW w:w="871" w:type="dxa"/>
          </w:tcPr>
          <w:p>
            <w:pPr>
              <w:pStyle w:val="TableParagraph"/>
              <w:ind w:right="63"/>
              <w:rPr>
                <w:sz w:val="22"/>
              </w:rPr>
            </w:pPr>
            <w:r>
              <w:rPr>
                <w:sz w:val="22"/>
              </w:rPr>
              <w:t>155,12</w:t>
            </w:r>
          </w:p>
        </w:tc>
        <w:tc>
          <w:tcPr>
            <w:tcW w:w="494" w:type="dxa"/>
          </w:tcPr>
          <w:p>
            <w:pPr>
              <w:pStyle w:val="TableParagraph"/>
              <w:ind w:right="63"/>
              <w:rPr>
                <w:sz w:val="22"/>
              </w:rPr>
            </w:pPr>
            <w:r>
              <w:rPr>
                <w:sz w:val="22"/>
              </w:rPr>
              <w:t>92</w:t>
            </w:r>
          </w:p>
        </w:tc>
        <w:tc>
          <w:tcPr>
            <w:tcW w:w="874" w:type="dxa"/>
          </w:tcPr>
          <w:p>
            <w:pPr>
              <w:pStyle w:val="TableParagraph"/>
              <w:ind w:right="63"/>
              <w:rPr>
                <w:sz w:val="22"/>
              </w:rPr>
            </w:pPr>
            <w:r>
              <w:rPr>
                <w:sz w:val="22"/>
              </w:rPr>
              <w:t>16,729</w:t>
            </w:r>
          </w:p>
        </w:tc>
        <w:tc>
          <w:tcPr>
            <w:tcW w:w="720" w:type="dxa"/>
          </w:tcPr>
          <w:p>
            <w:pPr>
              <w:pStyle w:val="TableParagraph"/>
              <w:ind w:left="143" w:right="0"/>
              <w:jc w:val="left"/>
              <w:rPr>
                <w:sz w:val="22"/>
              </w:rPr>
            </w:pPr>
            <w:r>
              <w:rPr>
                <w:sz w:val="22"/>
              </w:rPr>
              <w:t>0,596</w:t>
            </w:r>
          </w:p>
        </w:tc>
        <w:tc>
          <w:tcPr>
            <w:tcW w:w="1327" w:type="dxa"/>
          </w:tcPr>
          <w:p>
            <w:pPr>
              <w:pStyle w:val="TableParagraph"/>
              <w:rPr>
                <w:sz w:val="22"/>
              </w:rPr>
            </w:pPr>
            <w:r>
              <w:rPr>
                <w:sz w:val="22"/>
              </w:rPr>
              <w:t>2595,066</w:t>
            </w:r>
          </w:p>
        </w:tc>
        <w:tc>
          <w:tcPr>
            <w:tcW w:w="914" w:type="dxa"/>
          </w:tcPr>
          <w:p>
            <w:pPr>
              <w:pStyle w:val="TableParagraph"/>
              <w:ind w:left="338" w:right="0"/>
              <w:jc w:val="left"/>
              <w:rPr>
                <w:sz w:val="22"/>
              </w:rPr>
            </w:pPr>
            <w:r>
              <w:rPr>
                <w:sz w:val="22"/>
              </w:rPr>
              <w:t>0,772</w:t>
            </w:r>
          </w:p>
        </w:tc>
        <w:tc>
          <w:tcPr>
            <w:tcW w:w="1207" w:type="dxa"/>
          </w:tcPr>
          <w:p>
            <w:pPr>
              <w:pStyle w:val="TableParagraph"/>
              <w:rPr>
                <w:sz w:val="22"/>
              </w:rPr>
            </w:pPr>
            <w:r>
              <w:rPr>
                <w:sz w:val="22"/>
              </w:rPr>
              <w:t>63,748</w:t>
            </w:r>
          </w:p>
        </w:tc>
        <w:tc>
          <w:tcPr>
            <w:tcW w:w="1618" w:type="dxa"/>
          </w:tcPr>
          <w:p>
            <w:pPr>
              <w:pStyle w:val="TableParagraph"/>
              <w:ind w:right="63"/>
              <w:rPr>
                <w:sz w:val="22"/>
              </w:rPr>
            </w:pPr>
            <w:r>
              <w:rPr>
                <w:sz w:val="22"/>
              </w:rPr>
              <w:t>0,00600883</w:t>
            </w:r>
          </w:p>
        </w:tc>
      </w:tr>
      <w:tr>
        <w:trPr>
          <w:trHeight w:val="310" w:hRule="exact"/>
        </w:trPr>
        <w:tc>
          <w:tcPr>
            <w:tcW w:w="910" w:type="dxa"/>
          </w:tcPr>
          <w:p>
            <w:pPr>
              <w:pStyle w:val="TableParagraph"/>
              <w:ind w:right="1"/>
              <w:jc w:val="center"/>
              <w:rPr>
                <w:sz w:val="22"/>
              </w:rPr>
            </w:pPr>
            <w:r>
              <w:rPr>
                <w:w w:val="100"/>
                <w:sz w:val="22"/>
              </w:rPr>
              <w:t>5</w:t>
            </w:r>
          </w:p>
        </w:tc>
        <w:tc>
          <w:tcPr>
            <w:tcW w:w="871" w:type="dxa"/>
          </w:tcPr>
          <w:p>
            <w:pPr>
              <w:pStyle w:val="TableParagraph"/>
              <w:ind w:right="63"/>
              <w:rPr>
                <w:sz w:val="22"/>
              </w:rPr>
            </w:pPr>
            <w:r>
              <w:rPr>
                <w:sz w:val="22"/>
              </w:rPr>
              <w:t>180,21</w:t>
            </w:r>
          </w:p>
        </w:tc>
        <w:tc>
          <w:tcPr>
            <w:tcW w:w="494" w:type="dxa"/>
          </w:tcPr>
          <w:p>
            <w:pPr>
              <w:pStyle w:val="TableParagraph"/>
              <w:ind w:left="83" w:right="0"/>
              <w:jc w:val="left"/>
              <w:rPr>
                <w:sz w:val="22"/>
              </w:rPr>
            </w:pPr>
            <w:r>
              <w:rPr>
                <w:sz w:val="22"/>
              </w:rPr>
              <w:t>132</w:t>
            </w:r>
          </w:p>
        </w:tc>
        <w:tc>
          <w:tcPr>
            <w:tcW w:w="874" w:type="dxa"/>
          </w:tcPr>
          <w:p>
            <w:pPr>
              <w:pStyle w:val="TableParagraph"/>
              <w:ind w:right="63"/>
              <w:rPr>
                <w:sz w:val="22"/>
              </w:rPr>
            </w:pPr>
            <w:r>
              <w:rPr>
                <w:sz w:val="22"/>
              </w:rPr>
              <w:t>14,678</w:t>
            </w:r>
          </w:p>
        </w:tc>
        <w:tc>
          <w:tcPr>
            <w:tcW w:w="720" w:type="dxa"/>
          </w:tcPr>
          <w:p>
            <w:pPr>
              <w:pStyle w:val="TableParagraph"/>
              <w:ind w:left="143" w:right="0"/>
              <w:jc w:val="left"/>
              <w:rPr>
                <w:sz w:val="22"/>
              </w:rPr>
            </w:pPr>
            <w:r>
              <w:rPr>
                <w:sz w:val="22"/>
              </w:rPr>
              <w:t>0,923</w:t>
            </w:r>
          </w:p>
        </w:tc>
        <w:tc>
          <w:tcPr>
            <w:tcW w:w="1327" w:type="dxa"/>
          </w:tcPr>
          <w:p>
            <w:pPr>
              <w:pStyle w:val="TableParagraph"/>
              <w:rPr>
                <w:sz w:val="22"/>
              </w:rPr>
            </w:pPr>
            <w:r>
              <w:rPr>
                <w:sz w:val="22"/>
              </w:rPr>
              <w:t>2645,082</w:t>
            </w:r>
          </w:p>
        </w:tc>
        <w:tc>
          <w:tcPr>
            <w:tcW w:w="914" w:type="dxa"/>
          </w:tcPr>
          <w:p>
            <w:pPr>
              <w:pStyle w:val="TableParagraph"/>
              <w:ind w:left="338" w:right="0"/>
              <w:jc w:val="left"/>
              <w:rPr>
                <w:sz w:val="22"/>
              </w:rPr>
            </w:pPr>
            <w:r>
              <w:rPr>
                <w:sz w:val="22"/>
              </w:rPr>
              <w:t>0,961</w:t>
            </w:r>
          </w:p>
        </w:tc>
        <w:tc>
          <w:tcPr>
            <w:tcW w:w="1207" w:type="dxa"/>
          </w:tcPr>
          <w:p>
            <w:pPr>
              <w:pStyle w:val="TableParagraph"/>
              <w:rPr>
                <w:sz w:val="22"/>
              </w:rPr>
            </w:pPr>
            <w:r>
              <w:rPr>
                <w:sz w:val="22"/>
              </w:rPr>
              <w:t>60,681</w:t>
            </w:r>
          </w:p>
        </w:tc>
        <w:tc>
          <w:tcPr>
            <w:tcW w:w="1618" w:type="dxa"/>
          </w:tcPr>
          <w:p>
            <w:pPr>
              <w:pStyle w:val="TableParagraph"/>
              <w:ind w:right="63"/>
              <w:rPr>
                <w:sz w:val="22"/>
              </w:rPr>
            </w:pPr>
            <w:r>
              <w:rPr>
                <w:sz w:val="22"/>
              </w:rPr>
              <w:t>0,00571979</w:t>
            </w:r>
          </w:p>
        </w:tc>
      </w:tr>
      <w:tr>
        <w:trPr>
          <w:trHeight w:val="310" w:hRule="exact"/>
        </w:trPr>
        <w:tc>
          <w:tcPr>
            <w:tcW w:w="910" w:type="dxa"/>
          </w:tcPr>
          <w:p>
            <w:pPr>
              <w:pStyle w:val="TableParagraph"/>
              <w:ind w:right="2"/>
              <w:jc w:val="center"/>
              <w:rPr>
                <w:sz w:val="22"/>
              </w:rPr>
            </w:pPr>
            <w:r>
              <w:rPr>
                <w:w w:val="100"/>
                <w:sz w:val="22"/>
              </w:rPr>
              <w:t>N</w:t>
            </w:r>
          </w:p>
        </w:tc>
        <w:tc>
          <w:tcPr>
            <w:tcW w:w="871" w:type="dxa"/>
          </w:tcPr>
          <w:p>
            <w:pPr>
              <w:pStyle w:val="TableParagraph"/>
              <w:ind w:right="63"/>
              <w:rPr>
                <w:sz w:val="22"/>
              </w:rPr>
            </w:pPr>
            <w:r>
              <w:rPr>
                <w:sz w:val="22"/>
              </w:rPr>
              <w:t>695,17</w:t>
            </w:r>
          </w:p>
        </w:tc>
        <w:tc>
          <w:tcPr>
            <w:tcW w:w="494" w:type="dxa"/>
          </w:tcPr>
          <w:p>
            <w:pPr/>
          </w:p>
        </w:tc>
        <w:tc>
          <w:tcPr>
            <w:tcW w:w="874" w:type="dxa"/>
          </w:tcPr>
          <w:p>
            <w:pPr/>
          </w:p>
        </w:tc>
        <w:tc>
          <w:tcPr>
            <w:tcW w:w="720" w:type="dxa"/>
          </w:tcPr>
          <w:p>
            <w:pPr>
              <w:pStyle w:val="TableParagraph"/>
              <w:spacing w:before="18"/>
              <w:ind w:left="189"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27" w:type="dxa"/>
          </w:tcPr>
          <w:p>
            <w:pPr>
              <w:pStyle w:val="TableParagraph"/>
              <w:rPr>
                <w:sz w:val="22"/>
              </w:rPr>
            </w:pPr>
            <w:r>
              <w:rPr>
                <w:sz w:val="22"/>
              </w:rPr>
              <w:t>11656,052</w:t>
            </w:r>
          </w:p>
        </w:tc>
        <w:tc>
          <w:tcPr>
            <w:tcW w:w="914" w:type="dxa"/>
          </w:tcPr>
          <w:p>
            <w:pPr/>
          </w:p>
        </w:tc>
        <w:tc>
          <w:tcPr>
            <w:tcW w:w="1207" w:type="dxa"/>
          </w:tcPr>
          <w:p>
            <w:pPr>
              <w:pStyle w:val="TableParagraph"/>
              <w:rPr>
                <w:sz w:val="22"/>
              </w:rPr>
            </w:pPr>
            <w:r>
              <w:rPr>
                <w:sz w:val="22"/>
              </w:rPr>
              <w:t>156,988</w:t>
            </w:r>
          </w:p>
        </w:tc>
        <w:tc>
          <w:tcPr>
            <w:tcW w:w="1618" w:type="dxa"/>
          </w:tcPr>
          <w:p>
            <w:pPr>
              <w:pStyle w:val="TableParagraph"/>
              <w:ind w:right="63"/>
              <w:rPr>
                <w:sz w:val="22"/>
              </w:rPr>
            </w:pPr>
            <w:r>
              <w:rPr>
                <w:sz w:val="22"/>
              </w:rPr>
              <w:t>0,01479763</w:t>
            </w:r>
          </w:p>
        </w:tc>
      </w:tr>
      <w:tr>
        <w:trPr>
          <w:trHeight w:val="310" w:hRule="exact"/>
        </w:trPr>
        <w:tc>
          <w:tcPr>
            <w:tcW w:w="5196" w:type="dxa"/>
            <w:gridSpan w:val="6"/>
            <w:vMerge w:val="restart"/>
            <w:tcBorders>
              <w:left w:val="nil"/>
            </w:tcBorders>
          </w:tcPr>
          <w:p>
            <w:pPr/>
          </w:p>
        </w:tc>
        <w:tc>
          <w:tcPr>
            <w:tcW w:w="2122" w:type="dxa"/>
            <w:gridSpan w:val="2"/>
          </w:tcPr>
          <w:p>
            <w:pPr>
              <w:pStyle w:val="TableParagraph"/>
              <w:spacing w:before="13"/>
              <w:ind w:left="64" w:right="45"/>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18" w:type="dxa"/>
          </w:tcPr>
          <w:p>
            <w:pPr>
              <w:pStyle w:val="TableParagraph"/>
              <w:ind w:right="63"/>
              <w:rPr>
                <w:b/>
                <w:sz w:val="22"/>
              </w:rPr>
            </w:pPr>
            <w:r>
              <w:rPr>
                <w:b/>
                <w:sz w:val="22"/>
              </w:rPr>
              <w:t>16,767</w:t>
            </w:r>
          </w:p>
        </w:tc>
      </w:tr>
      <w:tr>
        <w:trPr>
          <w:trHeight w:val="310" w:hRule="exact"/>
        </w:trPr>
        <w:tc>
          <w:tcPr>
            <w:tcW w:w="5196" w:type="dxa"/>
            <w:gridSpan w:val="6"/>
            <w:vMerge/>
            <w:tcBorders>
              <w:left w:val="nil"/>
            </w:tcBorders>
          </w:tcPr>
          <w:p>
            <w:pPr/>
          </w:p>
        </w:tc>
        <w:tc>
          <w:tcPr>
            <w:tcW w:w="2122" w:type="dxa"/>
            <w:gridSpan w:val="2"/>
          </w:tcPr>
          <w:p>
            <w:pPr>
              <w:pStyle w:val="TableParagraph"/>
              <w:spacing w:before="13"/>
              <w:ind w:left="64" w:right="45"/>
              <w:jc w:val="left"/>
              <w:rPr>
                <w:sz w:val="22"/>
              </w:rPr>
            </w:pPr>
            <w:r>
              <w:rPr>
                <w:sz w:val="22"/>
              </w:rPr>
              <w:t>Desviación estándar</w:t>
            </w:r>
          </w:p>
        </w:tc>
        <w:tc>
          <w:tcPr>
            <w:tcW w:w="1618" w:type="dxa"/>
          </w:tcPr>
          <w:p>
            <w:pPr>
              <w:pStyle w:val="TableParagraph"/>
              <w:ind w:right="63"/>
              <w:rPr>
                <w:b/>
                <w:sz w:val="22"/>
              </w:rPr>
            </w:pPr>
            <w:r>
              <w:rPr>
                <w:b/>
                <w:sz w:val="22"/>
              </w:rPr>
              <w:t>0,122</w:t>
            </w:r>
          </w:p>
        </w:tc>
      </w:tr>
      <w:tr>
        <w:trPr>
          <w:trHeight w:val="312" w:hRule="exact"/>
        </w:trPr>
        <w:tc>
          <w:tcPr>
            <w:tcW w:w="5196" w:type="dxa"/>
            <w:gridSpan w:val="6"/>
            <w:vMerge/>
            <w:tcBorders>
              <w:left w:val="nil"/>
            </w:tcBorders>
          </w:tcPr>
          <w:p>
            <w:pPr/>
          </w:p>
        </w:tc>
        <w:tc>
          <w:tcPr>
            <w:tcW w:w="2122" w:type="dxa"/>
            <w:gridSpan w:val="2"/>
            <w:vMerge w:val="restart"/>
          </w:tcPr>
          <w:p>
            <w:pPr>
              <w:pStyle w:val="TableParagraph"/>
              <w:spacing w:before="35"/>
              <w:ind w:left="64" w:right="45"/>
              <w:jc w:val="left"/>
              <w:rPr>
                <w:sz w:val="22"/>
              </w:rPr>
            </w:pPr>
            <w:r>
              <w:rPr>
                <w:sz w:val="22"/>
              </w:rPr>
              <w:t>Intervalo de confianza al 95 %</w:t>
            </w:r>
          </w:p>
        </w:tc>
        <w:tc>
          <w:tcPr>
            <w:tcW w:w="1618" w:type="dxa"/>
          </w:tcPr>
          <w:p>
            <w:pPr>
              <w:pStyle w:val="TableParagraph"/>
              <w:spacing w:before="30"/>
              <w:ind w:right="63"/>
              <w:rPr>
                <w:sz w:val="22"/>
              </w:rPr>
            </w:pPr>
            <w:r>
              <w:rPr>
                <w:sz w:val="22"/>
              </w:rPr>
              <w:t>16,53</w:t>
            </w:r>
          </w:p>
        </w:tc>
      </w:tr>
      <w:tr>
        <w:trPr>
          <w:trHeight w:val="310" w:hRule="exact"/>
        </w:trPr>
        <w:tc>
          <w:tcPr>
            <w:tcW w:w="5196" w:type="dxa"/>
            <w:gridSpan w:val="6"/>
            <w:vMerge/>
            <w:tcBorders>
              <w:left w:val="nil"/>
              <w:bottom w:val="nil"/>
            </w:tcBorders>
          </w:tcPr>
          <w:p>
            <w:pPr/>
          </w:p>
        </w:tc>
        <w:tc>
          <w:tcPr>
            <w:tcW w:w="2122" w:type="dxa"/>
            <w:gridSpan w:val="2"/>
            <w:vMerge/>
          </w:tcPr>
          <w:p>
            <w:pPr/>
          </w:p>
        </w:tc>
        <w:tc>
          <w:tcPr>
            <w:tcW w:w="1618" w:type="dxa"/>
          </w:tcPr>
          <w:p>
            <w:pPr>
              <w:pStyle w:val="TableParagraph"/>
              <w:ind w:right="63"/>
              <w:rPr>
                <w:sz w:val="22"/>
              </w:rPr>
            </w:pPr>
            <w:r>
              <w:rPr>
                <w:sz w:val="22"/>
              </w:rPr>
              <w:t>17,01</w:t>
            </w:r>
          </w:p>
        </w:tc>
      </w:tr>
    </w:tbl>
    <w:p>
      <w:pPr>
        <w:spacing w:after="0"/>
        <w:rPr>
          <w:sz w:val="22"/>
        </w:rPr>
        <w:sectPr>
          <w:pgSz w:w="12240" w:h="15840"/>
          <w:pgMar w:header="725" w:footer="1084" w:top="1340" w:bottom="1280" w:left="920" w:right="1200"/>
        </w:sectPr>
      </w:pPr>
    </w:p>
    <w:p>
      <w:pPr>
        <w:pStyle w:val="BodyText"/>
        <w:spacing w:before="4"/>
        <w:rPr>
          <w:rFonts w:ascii="Times New Roman"/>
          <w:sz w:val="15"/>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4"/>
        <w:gridCol w:w="886"/>
        <w:gridCol w:w="504"/>
        <w:gridCol w:w="886"/>
        <w:gridCol w:w="732"/>
        <w:gridCol w:w="1349"/>
        <w:gridCol w:w="732"/>
        <w:gridCol w:w="1226"/>
        <w:gridCol w:w="1644"/>
      </w:tblGrid>
      <w:tr>
        <w:trPr>
          <w:trHeight w:val="310" w:hRule="exact"/>
        </w:trPr>
        <w:tc>
          <w:tcPr>
            <w:tcW w:w="8882" w:type="dxa"/>
            <w:gridSpan w:val="9"/>
          </w:tcPr>
          <w:p>
            <w:pPr>
              <w:pStyle w:val="TableParagraph"/>
              <w:ind w:left="3461" w:right="3461"/>
              <w:jc w:val="center"/>
              <w:rPr>
                <w:sz w:val="22"/>
              </w:rPr>
            </w:pPr>
            <w:r>
              <w:rPr>
                <w:sz w:val="22"/>
              </w:rPr>
              <w:t>Punto de muestreo D</w:t>
            </w:r>
          </w:p>
        </w:tc>
      </w:tr>
      <w:tr>
        <w:trPr>
          <w:trHeight w:val="310" w:hRule="exact"/>
        </w:trPr>
        <w:tc>
          <w:tcPr>
            <w:tcW w:w="924" w:type="dxa"/>
          </w:tcPr>
          <w:p>
            <w:pPr>
              <w:pStyle w:val="TableParagraph"/>
              <w:spacing w:before="13"/>
              <w:ind w:left="117" w:right="118"/>
              <w:jc w:val="center"/>
              <w:rPr>
                <w:sz w:val="22"/>
              </w:rPr>
            </w:pPr>
            <w:r>
              <w:rPr>
                <w:sz w:val="22"/>
              </w:rPr>
              <w:t>Estrato</w:t>
            </w:r>
          </w:p>
        </w:tc>
        <w:tc>
          <w:tcPr>
            <w:tcW w:w="886" w:type="dxa"/>
          </w:tcPr>
          <w:p>
            <w:pPr>
              <w:pStyle w:val="TableParagraph"/>
              <w:spacing w:before="43"/>
              <w:ind w:left="280" w:right="29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886" w:type="dxa"/>
          </w:tcPr>
          <w:p>
            <w:pPr>
              <w:pStyle w:val="TableParagraph"/>
              <w:spacing w:before="43"/>
              <w:ind w:left="278" w:right="293"/>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32" w:type="dxa"/>
          </w:tcPr>
          <w:p>
            <w:pPr>
              <w:pStyle w:val="TableParagraph"/>
              <w:spacing w:line="214" w:lineRule="exact" w:before="6"/>
              <w:ind w:left="39"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349" w:type="dxa"/>
          </w:tcPr>
          <w:p>
            <w:pPr>
              <w:pStyle w:val="TableParagraph"/>
              <w:spacing w:before="19"/>
              <w:ind w:left="534" w:right="54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32" w:type="dxa"/>
          </w:tcPr>
          <w:p>
            <w:pPr>
              <w:pStyle w:val="TableParagraph"/>
              <w:spacing w:before="43"/>
              <w:ind w:left="36" w:right="44"/>
              <w:jc w:val="center"/>
              <w:rPr>
                <w:rFonts w:ascii="Cambria Math"/>
                <w:sz w:val="16"/>
              </w:rPr>
            </w:pPr>
            <w:r>
              <w:rPr>
                <w:rFonts w:ascii="Cambria Math"/>
                <w:w w:val="110"/>
                <w:sz w:val="22"/>
              </w:rPr>
              <w:t>s</w:t>
            </w:r>
            <w:r>
              <w:rPr>
                <w:rFonts w:ascii="Cambria Math"/>
                <w:w w:val="110"/>
                <w:position w:val="-4"/>
                <w:sz w:val="16"/>
              </w:rPr>
              <w:t>h</w:t>
            </w:r>
          </w:p>
        </w:tc>
        <w:tc>
          <w:tcPr>
            <w:tcW w:w="1226" w:type="dxa"/>
          </w:tcPr>
          <w:p>
            <w:pPr>
              <w:pStyle w:val="TableParagraph"/>
              <w:spacing w:before="0"/>
              <w:ind w:left="27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44" w:type="dxa"/>
          </w:tcPr>
          <w:p>
            <w:pPr>
              <w:pStyle w:val="TableParagraph"/>
              <w:spacing w:before="0"/>
              <w:ind w:left="470"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24" w:type="dxa"/>
          </w:tcPr>
          <w:p>
            <w:pPr>
              <w:pStyle w:val="TableParagraph"/>
              <w:spacing w:before="30"/>
              <w:ind w:right="1"/>
              <w:jc w:val="center"/>
              <w:rPr>
                <w:sz w:val="22"/>
              </w:rPr>
            </w:pPr>
            <w:r>
              <w:rPr>
                <w:w w:val="100"/>
                <w:sz w:val="22"/>
              </w:rPr>
              <w:t>1</w:t>
            </w:r>
          </w:p>
        </w:tc>
        <w:tc>
          <w:tcPr>
            <w:tcW w:w="886" w:type="dxa"/>
          </w:tcPr>
          <w:p>
            <w:pPr>
              <w:pStyle w:val="TableParagraph"/>
              <w:spacing w:before="30"/>
              <w:rPr>
                <w:sz w:val="22"/>
              </w:rPr>
            </w:pPr>
            <w:r>
              <w:rPr>
                <w:sz w:val="22"/>
              </w:rPr>
              <w:t>108,60</w:t>
            </w:r>
          </w:p>
        </w:tc>
        <w:tc>
          <w:tcPr>
            <w:tcW w:w="504" w:type="dxa"/>
          </w:tcPr>
          <w:p>
            <w:pPr>
              <w:pStyle w:val="TableParagraph"/>
              <w:spacing w:before="30"/>
              <w:ind w:left="70" w:right="43"/>
              <w:jc w:val="center"/>
              <w:rPr>
                <w:sz w:val="22"/>
              </w:rPr>
            </w:pPr>
            <w:r>
              <w:rPr>
                <w:sz w:val="22"/>
              </w:rPr>
              <w:t>108</w:t>
            </w:r>
          </w:p>
        </w:tc>
        <w:tc>
          <w:tcPr>
            <w:tcW w:w="886" w:type="dxa"/>
          </w:tcPr>
          <w:p>
            <w:pPr>
              <w:pStyle w:val="TableParagraph"/>
              <w:spacing w:before="30"/>
              <w:ind w:right="63"/>
              <w:rPr>
                <w:sz w:val="22"/>
              </w:rPr>
            </w:pPr>
            <w:r>
              <w:rPr>
                <w:sz w:val="22"/>
              </w:rPr>
              <w:t>17,558</w:t>
            </w:r>
          </w:p>
        </w:tc>
        <w:tc>
          <w:tcPr>
            <w:tcW w:w="732" w:type="dxa"/>
          </w:tcPr>
          <w:p>
            <w:pPr>
              <w:pStyle w:val="TableParagraph"/>
              <w:spacing w:before="30"/>
              <w:ind w:left="155" w:right="0"/>
              <w:jc w:val="left"/>
              <w:rPr>
                <w:sz w:val="22"/>
              </w:rPr>
            </w:pPr>
            <w:r>
              <w:rPr>
                <w:sz w:val="22"/>
              </w:rPr>
              <w:t>0,547</w:t>
            </w:r>
          </w:p>
        </w:tc>
        <w:tc>
          <w:tcPr>
            <w:tcW w:w="1349" w:type="dxa"/>
          </w:tcPr>
          <w:p>
            <w:pPr>
              <w:pStyle w:val="TableParagraph"/>
              <w:spacing w:before="30"/>
              <w:rPr>
                <w:sz w:val="22"/>
              </w:rPr>
            </w:pPr>
            <w:r>
              <w:rPr>
                <w:sz w:val="22"/>
              </w:rPr>
              <w:t>1906,787</w:t>
            </w:r>
          </w:p>
        </w:tc>
        <w:tc>
          <w:tcPr>
            <w:tcW w:w="732" w:type="dxa"/>
          </w:tcPr>
          <w:p>
            <w:pPr>
              <w:pStyle w:val="TableParagraph"/>
              <w:spacing w:before="30"/>
              <w:ind w:left="136" w:right="44"/>
              <w:jc w:val="center"/>
              <w:rPr>
                <w:sz w:val="22"/>
              </w:rPr>
            </w:pPr>
            <w:r>
              <w:rPr>
                <w:sz w:val="22"/>
              </w:rPr>
              <w:t>0,740</w:t>
            </w:r>
          </w:p>
        </w:tc>
        <w:tc>
          <w:tcPr>
            <w:tcW w:w="1226" w:type="dxa"/>
          </w:tcPr>
          <w:p>
            <w:pPr>
              <w:pStyle w:val="TableParagraph"/>
              <w:spacing w:before="30"/>
              <w:rPr>
                <w:sz w:val="22"/>
              </w:rPr>
            </w:pPr>
            <w:r>
              <w:rPr>
                <w:sz w:val="22"/>
              </w:rPr>
              <w:t>-19,971</w:t>
            </w:r>
          </w:p>
        </w:tc>
        <w:tc>
          <w:tcPr>
            <w:tcW w:w="1644" w:type="dxa"/>
          </w:tcPr>
          <w:p>
            <w:pPr>
              <w:pStyle w:val="TableParagraph"/>
              <w:spacing w:before="30"/>
              <w:ind w:right="63"/>
              <w:rPr>
                <w:sz w:val="22"/>
              </w:rPr>
            </w:pPr>
            <w:r>
              <w:rPr>
                <w:sz w:val="22"/>
              </w:rPr>
              <w:t>-0,0018825</w:t>
            </w:r>
          </w:p>
        </w:tc>
      </w:tr>
      <w:tr>
        <w:trPr>
          <w:trHeight w:val="312" w:hRule="exact"/>
        </w:trPr>
        <w:tc>
          <w:tcPr>
            <w:tcW w:w="924" w:type="dxa"/>
          </w:tcPr>
          <w:p>
            <w:pPr>
              <w:pStyle w:val="TableParagraph"/>
              <w:spacing w:before="30"/>
              <w:ind w:right="1"/>
              <w:jc w:val="center"/>
              <w:rPr>
                <w:sz w:val="22"/>
              </w:rPr>
            </w:pPr>
            <w:r>
              <w:rPr>
                <w:w w:val="100"/>
                <w:sz w:val="22"/>
              </w:rPr>
              <w:t>2</w:t>
            </w:r>
          </w:p>
        </w:tc>
        <w:tc>
          <w:tcPr>
            <w:tcW w:w="886" w:type="dxa"/>
          </w:tcPr>
          <w:p>
            <w:pPr>
              <w:pStyle w:val="TableParagraph"/>
              <w:spacing w:before="30"/>
              <w:rPr>
                <w:sz w:val="22"/>
              </w:rPr>
            </w:pPr>
            <w:r>
              <w:rPr>
                <w:sz w:val="22"/>
              </w:rPr>
              <w:t>121,03</w:t>
            </w:r>
          </w:p>
        </w:tc>
        <w:tc>
          <w:tcPr>
            <w:tcW w:w="504" w:type="dxa"/>
          </w:tcPr>
          <w:p>
            <w:pPr>
              <w:pStyle w:val="TableParagraph"/>
              <w:spacing w:before="30"/>
              <w:ind w:left="181" w:right="43"/>
              <w:jc w:val="center"/>
              <w:rPr>
                <w:sz w:val="22"/>
              </w:rPr>
            </w:pPr>
            <w:r>
              <w:rPr>
                <w:sz w:val="22"/>
              </w:rPr>
              <w:t>81</w:t>
            </w:r>
          </w:p>
        </w:tc>
        <w:tc>
          <w:tcPr>
            <w:tcW w:w="886" w:type="dxa"/>
          </w:tcPr>
          <w:p>
            <w:pPr>
              <w:pStyle w:val="TableParagraph"/>
              <w:spacing w:before="30"/>
              <w:ind w:right="63"/>
              <w:rPr>
                <w:sz w:val="22"/>
              </w:rPr>
            </w:pPr>
            <w:r>
              <w:rPr>
                <w:sz w:val="22"/>
              </w:rPr>
              <w:t>17,558</w:t>
            </w:r>
          </w:p>
        </w:tc>
        <w:tc>
          <w:tcPr>
            <w:tcW w:w="732" w:type="dxa"/>
          </w:tcPr>
          <w:p>
            <w:pPr>
              <w:pStyle w:val="TableParagraph"/>
              <w:spacing w:before="30"/>
              <w:ind w:left="155" w:right="0"/>
              <w:jc w:val="left"/>
              <w:rPr>
                <w:sz w:val="22"/>
              </w:rPr>
            </w:pPr>
            <w:r>
              <w:rPr>
                <w:sz w:val="22"/>
              </w:rPr>
              <w:t>0,101</w:t>
            </w:r>
          </w:p>
        </w:tc>
        <w:tc>
          <w:tcPr>
            <w:tcW w:w="1349" w:type="dxa"/>
          </w:tcPr>
          <w:p>
            <w:pPr>
              <w:pStyle w:val="TableParagraph"/>
              <w:spacing w:before="30"/>
              <w:rPr>
                <w:sz w:val="22"/>
              </w:rPr>
            </w:pPr>
            <w:r>
              <w:rPr>
                <w:sz w:val="22"/>
              </w:rPr>
              <w:t>2125,085</w:t>
            </w:r>
          </w:p>
        </w:tc>
        <w:tc>
          <w:tcPr>
            <w:tcW w:w="732" w:type="dxa"/>
          </w:tcPr>
          <w:p>
            <w:pPr>
              <w:pStyle w:val="TableParagraph"/>
              <w:spacing w:before="30"/>
              <w:ind w:left="136" w:right="44"/>
              <w:jc w:val="center"/>
              <w:rPr>
                <w:sz w:val="22"/>
              </w:rPr>
            </w:pPr>
            <w:r>
              <w:rPr>
                <w:sz w:val="22"/>
              </w:rPr>
              <w:t>0,318</w:t>
            </w:r>
          </w:p>
        </w:tc>
        <w:tc>
          <w:tcPr>
            <w:tcW w:w="1226" w:type="dxa"/>
          </w:tcPr>
          <w:p>
            <w:pPr>
              <w:pStyle w:val="TableParagraph"/>
              <w:spacing w:before="30"/>
              <w:rPr>
                <w:sz w:val="22"/>
              </w:rPr>
            </w:pPr>
            <w:r>
              <w:rPr>
                <w:sz w:val="22"/>
              </w:rPr>
              <w:t>6,040</w:t>
            </w:r>
          </w:p>
        </w:tc>
        <w:tc>
          <w:tcPr>
            <w:tcW w:w="1644" w:type="dxa"/>
          </w:tcPr>
          <w:p>
            <w:pPr>
              <w:pStyle w:val="TableParagraph"/>
              <w:spacing w:before="30"/>
              <w:ind w:right="63"/>
              <w:rPr>
                <w:sz w:val="22"/>
              </w:rPr>
            </w:pPr>
            <w:r>
              <w:rPr>
                <w:sz w:val="22"/>
              </w:rPr>
              <w:t>0,00056934</w:t>
            </w:r>
          </w:p>
        </w:tc>
      </w:tr>
      <w:tr>
        <w:trPr>
          <w:trHeight w:val="310" w:hRule="exact"/>
        </w:trPr>
        <w:tc>
          <w:tcPr>
            <w:tcW w:w="924" w:type="dxa"/>
          </w:tcPr>
          <w:p>
            <w:pPr>
              <w:pStyle w:val="TableParagraph"/>
              <w:ind w:right="1"/>
              <w:jc w:val="center"/>
              <w:rPr>
                <w:sz w:val="22"/>
              </w:rPr>
            </w:pPr>
            <w:r>
              <w:rPr>
                <w:w w:val="100"/>
                <w:sz w:val="22"/>
              </w:rPr>
              <w:t>3</w:t>
            </w:r>
          </w:p>
        </w:tc>
        <w:tc>
          <w:tcPr>
            <w:tcW w:w="886" w:type="dxa"/>
          </w:tcPr>
          <w:p>
            <w:pPr>
              <w:pStyle w:val="TableParagraph"/>
              <w:rPr>
                <w:sz w:val="22"/>
              </w:rPr>
            </w:pPr>
            <w:r>
              <w:rPr>
                <w:sz w:val="22"/>
              </w:rPr>
              <w:t>130,21</w:t>
            </w:r>
          </w:p>
        </w:tc>
        <w:tc>
          <w:tcPr>
            <w:tcW w:w="504" w:type="dxa"/>
          </w:tcPr>
          <w:p>
            <w:pPr>
              <w:pStyle w:val="TableParagraph"/>
              <w:ind w:left="181" w:right="43"/>
              <w:jc w:val="center"/>
              <w:rPr>
                <w:sz w:val="22"/>
              </w:rPr>
            </w:pPr>
            <w:r>
              <w:rPr>
                <w:sz w:val="22"/>
              </w:rPr>
              <w:t>77</w:t>
            </w:r>
          </w:p>
        </w:tc>
        <w:tc>
          <w:tcPr>
            <w:tcW w:w="886" w:type="dxa"/>
          </w:tcPr>
          <w:p>
            <w:pPr>
              <w:pStyle w:val="TableParagraph"/>
              <w:ind w:right="63"/>
              <w:rPr>
                <w:sz w:val="22"/>
              </w:rPr>
            </w:pPr>
            <w:r>
              <w:rPr>
                <w:sz w:val="22"/>
              </w:rPr>
              <w:t>18,189</w:t>
            </w:r>
          </w:p>
        </w:tc>
        <w:tc>
          <w:tcPr>
            <w:tcW w:w="732" w:type="dxa"/>
          </w:tcPr>
          <w:p>
            <w:pPr>
              <w:pStyle w:val="TableParagraph"/>
              <w:ind w:left="155" w:right="0"/>
              <w:jc w:val="left"/>
              <w:rPr>
                <w:sz w:val="22"/>
              </w:rPr>
            </w:pPr>
            <w:r>
              <w:rPr>
                <w:sz w:val="22"/>
              </w:rPr>
              <w:t>0,635</w:t>
            </w:r>
          </w:p>
        </w:tc>
        <w:tc>
          <w:tcPr>
            <w:tcW w:w="1349" w:type="dxa"/>
          </w:tcPr>
          <w:p>
            <w:pPr>
              <w:pStyle w:val="TableParagraph"/>
              <w:rPr>
                <w:sz w:val="22"/>
              </w:rPr>
            </w:pPr>
            <w:r>
              <w:rPr>
                <w:sz w:val="22"/>
              </w:rPr>
              <w:t>2368,451</w:t>
            </w:r>
          </w:p>
        </w:tc>
        <w:tc>
          <w:tcPr>
            <w:tcW w:w="732" w:type="dxa"/>
          </w:tcPr>
          <w:p>
            <w:pPr>
              <w:pStyle w:val="TableParagraph"/>
              <w:ind w:left="136" w:right="44"/>
              <w:jc w:val="center"/>
              <w:rPr>
                <w:sz w:val="22"/>
              </w:rPr>
            </w:pPr>
            <w:r>
              <w:rPr>
                <w:sz w:val="22"/>
              </w:rPr>
              <w:t>0,797</w:t>
            </w:r>
          </w:p>
        </w:tc>
        <w:tc>
          <w:tcPr>
            <w:tcW w:w="1226" w:type="dxa"/>
          </w:tcPr>
          <w:p>
            <w:pPr>
              <w:pStyle w:val="TableParagraph"/>
              <w:rPr>
                <w:sz w:val="22"/>
              </w:rPr>
            </w:pPr>
            <w:r>
              <w:rPr>
                <w:sz w:val="22"/>
              </w:rPr>
              <w:t>58,018</w:t>
            </w:r>
          </w:p>
        </w:tc>
        <w:tc>
          <w:tcPr>
            <w:tcW w:w="1644" w:type="dxa"/>
          </w:tcPr>
          <w:p>
            <w:pPr>
              <w:pStyle w:val="TableParagraph"/>
              <w:ind w:right="63"/>
              <w:rPr>
                <w:sz w:val="22"/>
              </w:rPr>
            </w:pPr>
            <w:r>
              <w:rPr>
                <w:sz w:val="22"/>
              </w:rPr>
              <w:t>0,00546873</w:t>
            </w:r>
          </w:p>
        </w:tc>
      </w:tr>
      <w:tr>
        <w:trPr>
          <w:trHeight w:val="310" w:hRule="exact"/>
        </w:trPr>
        <w:tc>
          <w:tcPr>
            <w:tcW w:w="924" w:type="dxa"/>
          </w:tcPr>
          <w:p>
            <w:pPr>
              <w:pStyle w:val="TableParagraph"/>
              <w:ind w:right="1"/>
              <w:jc w:val="center"/>
              <w:rPr>
                <w:sz w:val="22"/>
              </w:rPr>
            </w:pPr>
            <w:r>
              <w:rPr>
                <w:w w:val="100"/>
                <w:sz w:val="22"/>
              </w:rPr>
              <w:t>4</w:t>
            </w:r>
          </w:p>
        </w:tc>
        <w:tc>
          <w:tcPr>
            <w:tcW w:w="886" w:type="dxa"/>
          </w:tcPr>
          <w:p>
            <w:pPr>
              <w:pStyle w:val="TableParagraph"/>
              <w:rPr>
                <w:sz w:val="22"/>
              </w:rPr>
            </w:pPr>
            <w:r>
              <w:rPr>
                <w:sz w:val="22"/>
              </w:rPr>
              <w:t>155,12</w:t>
            </w:r>
          </w:p>
        </w:tc>
        <w:tc>
          <w:tcPr>
            <w:tcW w:w="504" w:type="dxa"/>
          </w:tcPr>
          <w:p>
            <w:pPr>
              <w:pStyle w:val="TableParagraph"/>
              <w:ind w:left="181" w:right="43"/>
              <w:jc w:val="center"/>
              <w:rPr>
                <w:sz w:val="22"/>
              </w:rPr>
            </w:pPr>
            <w:r>
              <w:rPr>
                <w:sz w:val="22"/>
              </w:rPr>
              <w:t>92</w:t>
            </w:r>
          </w:p>
        </w:tc>
        <w:tc>
          <w:tcPr>
            <w:tcW w:w="886" w:type="dxa"/>
          </w:tcPr>
          <w:p>
            <w:pPr>
              <w:pStyle w:val="TableParagraph"/>
              <w:ind w:right="63"/>
              <w:rPr>
                <w:sz w:val="22"/>
              </w:rPr>
            </w:pPr>
            <w:r>
              <w:rPr>
                <w:sz w:val="22"/>
              </w:rPr>
              <w:t>16,682</w:t>
            </w:r>
          </w:p>
        </w:tc>
        <w:tc>
          <w:tcPr>
            <w:tcW w:w="732" w:type="dxa"/>
          </w:tcPr>
          <w:p>
            <w:pPr>
              <w:pStyle w:val="TableParagraph"/>
              <w:ind w:left="155" w:right="0"/>
              <w:jc w:val="left"/>
              <w:rPr>
                <w:sz w:val="22"/>
              </w:rPr>
            </w:pPr>
            <w:r>
              <w:rPr>
                <w:sz w:val="22"/>
              </w:rPr>
              <w:t>0,615</w:t>
            </w:r>
          </w:p>
        </w:tc>
        <w:tc>
          <w:tcPr>
            <w:tcW w:w="1349" w:type="dxa"/>
          </w:tcPr>
          <w:p>
            <w:pPr>
              <w:pStyle w:val="TableParagraph"/>
              <w:rPr>
                <w:sz w:val="22"/>
              </w:rPr>
            </w:pPr>
            <w:r>
              <w:rPr>
                <w:sz w:val="22"/>
              </w:rPr>
              <w:t>2587,767</w:t>
            </w:r>
          </w:p>
        </w:tc>
        <w:tc>
          <w:tcPr>
            <w:tcW w:w="732" w:type="dxa"/>
          </w:tcPr>
          <w:p>
            <w:pPr>
              <w:pStyle w:val="TableParagraph"/>
              <w:ind w:left="136" w:right="44"/>
              <w:jc w:val="center"/>
              <w:rPr>
                <w:sz w:val="22"/>
              </w:rPr>
            </w:pPr>
            <w:r>
              <w:rPr>
                <w:sz w:val="22"/>
              </w:rPr>
              <w:t>0,784</w:t>
            </w:r>
          </w:p>
        </w:tc>
        <w:tc>
          <w:tcPr>
            <w:tcW w:w="1226" w:type="dxa"/>
          </w:tcPr>
          <w:p>
            <w:pPr>
              <w:pStyle w:val="TableParagraph"/>
              <w:rPr>
                <w:sz w:val="22"/>
              </w:rPr>
            </w:pPr>
            <w:r>
              <w:rPr>
                <w:sz w:val="22"/>
              </w:rPr>
              <w:t>65,816</w:t>
            </w:r>
          </w:p>
        </w:tc>
        <w:tc>
          <w:tcPr>
            <w:tcW w:w="1644" w:type="dxa"/>
          </w:tcPr>
          <w:p>
            <w:pPr>
              <w:pStyle w:val="TableParagraph"/>
              <w:ind w:right="63"/>
              <w:rPr>
                <w:sz w:val="22"/>
              </w:rPr>
            </w:pPr>
            <w:r>
              <w:rPr>
                <w:sz w:val="22"/>
              </w:rPr>
              <w:t>0,00620381</w:t>
            </w:r>
          </w:p>
        </w:tc>
      </w:tr>
      <w:tr>
        <w:trPr>
          <w:trHeight w:val="310" w:hRule="exact"/>
        </w:trPr>
        <w:tc>
          <w:tcPr>
            <w:tcW w:w="924" w:type="dxa"/>
          </w:tcPr>
          <w:p>
            <w:pPr>
              <w:pStyle w:val="TableParagraph"/>
              <w:ind w:right="1"/>
              <w:jc w:val="center"/>
              <w:rPr>
                <w:sz w:val="22"/>
              </w:rPr>
            </w:pPr>
            <w:r>
              <w:rPr>
                <w:w w:val="100"/>
                <w:sz w:val="22"/>
              </w:rPr>
              <w:t>5</w:t>
            </w:r>
          </w:p>
        </w:tc>
        <w:tc>
          <w:tcPr>
            <w:tcW w:w="886" w:type="dxa"/>
          </w:tcPr>
          <w:p>
            <w:pPr>
              <w:pStyle w:val="TableParagraph"/>
              <w:rPr>
                <w:sz w:val="22"/>
              </w:rPr>
            </w:pPr>
            <w:r>
              <w:rPr>
                <w:sz w:val="22"/>
              </w:rPr>
              <w:t>180,21</w:t>
            </w:r>
          </w:p>
        </w:tc>
        <w:tc>
          <w:tcPr>
            <w:tcW w:w="504" w:type="dxa"/>
          </w:tcPr>
          <w:p>
            <w:pPr>
              <w:pStyle w:val="TableParagraph"/>
              <w:ind w:left="70" w:right="43"/>
              <w:jc w:val="center"/>
              <w:rPr>
                <w:sz w:val="22"/>
              </w:rPr>
            </w:pPr>
            <w:r>
              <w:rPr>
                <w:sz w:val="22"/>
              </w:rPr>
              <w:t>132</w:t>
            </w:r>
          </w:p>
        </w:tc>
        <w:tc>
          <w:tcPr>
            <w:tcW w:w="886" w:type="dxa"/>
          </w:tcPr>
          <w:p>
            <w:pPr>
              <w:pStyle w:val="TableParagraph"/>
              <w:ind w:right="63"/>
              <w:rPr>
                <w:sz w:val="22"/>
              </w:rPr>
            </w:pPr>
            <w:r>
              <w:rPr>
                <w:sz w:val="22"/>
              </w:rPr>
              <w:t>14,767</w:t>
            </w:r>
          </w:p>
        </w:tc>
        <w:tc>
          <w:tcPr>
            <w:tcW w:w="732" w:type="dxa"/>
          </w:tcPr>
          <w:p>
            <w:pPr>
              <w:pStyle w:val="TableParagraph"/>
              <w:ind w:left="155" w:right="0"/>
              <w:jc w:val="left"/>
              <w:rPr>
                <w:sz w:val="22"/>
              </w:rPr>
            </w:pPr>
            <w:r>
              <w:rPr>
                <w:sz w:val="22"/>
              </w:rPr>
              <w:t>0,864</w:t>
            </w:r>
          </w:p>
        </w:tc>
        <w:tc>
          <w:tcPr>
            <w:tcW w:w="1349" w:type="dxa"/>
          </w:tcPr>
          <w:p>
            <w:pPr>
              <w:pStyle w:val="TableParagraph"/>
              <w:rPr>
                <w:sz w:val="22"/>
              </w:rPr>
            </w:pPr>
            <w:r>
              <w:rPr>
                <w:sz w:val="22"/>
              </w:rPr>
              <w:t>2661,101</w:t>
            </w:r>
          </w:p>
        </w:tc>
        <w:tc>
          <w:tcPr>
            <w:tcW w:w="732" w:type="dxa"/>
          </w:tcPr>
          <w:p>
            <w:pPr>
              <w:pStyle w:val="TableParagraph"/>
              <w:ind w:left="136" w:right="44"/>
              <w:jc w:val="center"/>
              <w:rPr>
                <w:sz w:val="22"/>
              </w:rPr>
            </w:pPr>
            <w:r>
              <w:rPr>
                <w:sz w:val="22"/>
              </w:rPr>
              <w:t>0,929</w:t>
            </w:r>
          </w:p>
        </w:tc>
        <w:tc>
          <w:tcPr>
            <w:tcW w:w="1226" w:type="dxa"/>
          </w:tcPr>
          <w:p>
            <w:pPr>
              <w:pStyle w:val="TableParagraph"/>
              <w:rPr>
                <w:sz w:val="22"/>
              </w:rPr>
            </w:pPr>
            <w:r>
              <w:rPr>
                <w:sz w:val="22"/>
              </w:rPr>
              <w:t>56,771</w:t>
            </w:r>
          </w:p>
        </w:tc>
        <w:tc>
          <w:tcPr>
            <w:tcW w:w="1644" w:type="dxa"/>
          </w:tcPr>
          <w:p>
            <w:pPr>
              <w:pStyle w:val="TableParagraph"/>
              <w:ind w:right="63"/>
              <w:rPr>
                <w:sz w:val="22"/>
              </w:rPr>
            </w:pPr>
            <w:r>
              <w:rPr>
                <w:sz w:val="22"/>
              </w:rPr>
              <w:t>0,00535122</w:t>
            </w:r>
          </w:p>
        </w:tc>
      </w:tr>
      <w:tr>
        <w:trPr>
          <w:trHeight w:val="310" w:hRule="exact"/>
        </w:trPr>
        <w:tc>
          <w:tcPr>
            <w:tcW w:w="924" w:type="dxa"/>
          </w:tcPr>
          <w:p>
            <w:pPr>
              <w:pStyle w:val="TableParagraph"/>
              <w:ind w:right="2"/>
              <w:jc w:val="center"/>
              <w:rPr>
                <w:sz w:val="22"/>
              </w:rPr>
            </w:pPr>
            <w:r>
              <w:rPr>
                <w:w w:val="100"/>
                <w:sz w:val="22"/>
              </w:rPr>
              <w:t>N</w:t>
            </w:r>
          </w:p>
        </w:tc>
        <w:tc>
          <w:tcPr>
            <w:tcW w:w="886" w:type="dxa"/>
          </w:tcPr>
          <w:p>
            <w:pPr>
              <w:pStyle w:val="TableParagraph"/>
              <w:rPr>
                <w:sz w:val="22"/>
              </w:rPr>
            </w:pPr>
            <w:r>
              <w:rPr>
                <w:sz w:val="22"/>
              </w:rPr>
              <w:t>695,17</w:t>
            </w:r>
          </w:p>
        </w:tc>
        <w:tc>
          <w:tcPr>
            <w:tcW w:w="504" w:type="dxa"/>
          </w:tcPr>
          <w:p>
            <w:pPr/>
          </w:p>
        </w:tc>
        <w:tc>
          <w:tcPr>
            <w:tcW w:w="886" w:type="dxa"/>
          </w:tcPr>
          <w:p>
            <w:pPr/>
          </w:p>
        </w:tc>
        <w:tc>
          <w:tcPr>
            <w:tcW w:w="732" w:type="dxa"/>
          </w:tcPr>
          <w:p>
            <w:pPr>
              <w:pStyle w:val="TableParagraph"/>
              <w:spacing w:before="18"/>
              <w:ind w:left="194"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9" w:type="dxa"/>
          </w:tcPr>
          <w:p>
            <w:pPr>
              <w:pStyle w:val="TableParagraph"/>
              <w:rPr>
                <w:sz w:val="22"/>
              </w:rPr>
            </w:pPr>
            <w:r>
              <w:rPr>
                <w:sz w:val="22"/>
              </w:rPr>
              <w:t>11649,191</w:t>
            </w:r>
          </w:p>
        </w:tc>
        <w:tc>
          <w:tcPr>
            <w:tcW w:w="732" w:type="dxa"/>
          </w:tcPr>
          <w:p>
            <w:pPr/>
          </w:p>
        </w:tc>
        <w:tc>
          <w:tcPr>
            <w:tcW w:w="1226" w:type="dxa"/>
          </w:tcPr>
          <w:p>
            <w:pPr>
              <w:pStyle w:val="TableParagraph"/>
              <w:rPr>
                <w:sz w:val="22"/>
              </w:rPr>
            </w:pPr>
            <w:r>
              <w:rPr>
                <w:sz w:val="22"/>
              </w:rPr>
              <w:t>166,674</w:t>
            </w:r>
          </w:p>
        </w:tc>
        <w:tc>
          <w:tcPr>
            <w:tcW w:w="1644" w:type="dxa"/>
          </w:tcPr>
          <w:p>
            <w:pPr>
              <w:pStyle w:val="TableParagraph"/>
              <w:ind w:right="63"/>
              <w:rPr>
                <w:sz w:val="22"/>
              </w:rPr>
            </w:pPr>
            <w:r>
              <w:rPr>
                <w:sz w:val="22"/>
              </w:rPr>
              <w:t>0,01571059</w:t>
            </w:r>
          </w:p>
        </w:tc>
      </w:tr>
      <w:tr>
        <w:trPr>
          <w:trHeight w:val="310" w:hRule="exact"/>
        </w:trPr>
        <w:tc>
          <w:tcPr>
            <w:tcW w:w="5280" w:type="dxa"/>
            <w:gridSpan w:val="6"/>
            <w:vMerge w:val="restart"/>
            <w:tcBorders>
              <w:left w:val="nil"/>
            </w:tcBorders>
          </w:tcPr>
          <w:p>
            <w:pPr/>
          </w:p>
        </w:tc>
        <w:tc>
          <w:tcPr>
            <w:tcW w:w="1958"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44" w:type="dxa"/>
          </w:tcPr>
          <w:p>
            <w:pPr>
              <w:pStyle w:val="TableParagraph"/>
              <w:spacing w:before="30"/>
              <w:ind w:right="63"/>
              <w:rPr>
                <w:b/>
                <w:sz w:val="22"/>
              </w:rPr>
            </w:pPr>
            <w:r>
              <w:rPr>
                <w:b/>
                <w:sz w:val="22"/>
              </w:rPr>
              <w:t>16,757</w:t>
            </w:r>
          </w:p>
        </w:tc>
      </w:tr>
      <w:tr>
        <w:trPr>
          <w:trHeight w:val="312" w:hRule="exact"/>
        </w:trPr>
        <w:tc>
          <w:tcPr>
            <w:tcW w:w="5280" w:type="dxa"/>
            <w:gridSpan w:val="6"/>
            <w:vMerge/>
            <w:tcBorders>
              <w:left w:val="nil"/>
            </w:tcBorders>
          </w:tcPr>
          <w:p>
            <w:pPr/>
          </w:p>
        </w:tc>
        <w:tc>
          <w:tcPr>
            <w:tcW w:w="1958" w:type="dxa"/>
            <w:gridSpan w:val="2"/>
          </w:tcPr>
          <w:p>
            <w:pPr>
              <w:pStyle w:val="TableParagraph"/>
              <w:spacing w:before="13"/>
              <w:ind w:left="64" w:right="0"/>
              <w:jc w:val="left"/>
              <w:rPr>
                <w:sz w:val="22"/>
              </w:rPr>
            </w:pPr>
            <w:r>
              <w:rPr>
                <w:sz w:val="22"/>
              </w:rPr>
              <w:t>Desviación estándar</w:t>
            </w:r>
          </w:p>
        </w:tc>
        <w:tc>
          <w:tcPr>
            <w:tcW w:w="1644" w:type="dxa"/>
          </w:tcPr>
          <w:p>
            <w:pPr>
              <w:pStyle w:val="TableParagraph"/>
              <w:spacing w:before="30"/>
              <w:ind w:right="63"/>
              <w:rPr>
                <w:b/>
                <w:sz w:val="22"/>
              </w:rPr>
            </w:pPr>
            <w:r>
              <w:rPr>
                <w:b/>
                <w:sz w:val="22"/>
              </w:rPr>
              <w:t>0,125</w:t>
            </w:r>
          </w:p>
        </w:tc>
      </w:tr>
      <w:tr>
        <w:trPr>
          <w:trHeight w:val="310" w:hRule="exact"/>
        </w:trPr>
        <w:tc>
          <w:tcPr>
            <w:tcW w:w="5280" w:type="dxa"/>
            <w:gridSpan w:val="6"/>
            <w:vMerge/>
            <w:tcBorders>
              <w:left w:val="nil"/>
            </w:tcBorders>
          </w:tcPr>
          <w:p>
            <w:pPr/>
          </w:p>
        </w:tc>
        <w:tc>
          <w:tcPr>
            <w:tcW w:w="1958" w:type="dxa"/>
            <w:gridSpan w:val="2"/>
            <w:vMerge w:val="restart"/>
          </w:tcPr>
          <w:p>
            <w:pPr>
              <w:pStyle w:val="TableParagraph"/>
              <w:spacing w:before="33"/>
              <w:ind w:left="64" w:right="323"/>
              <w:jc w:val="left"/>
              <w:rPr>
                <w:sz w:val="22"/>
              </w:rPr>
            </w:pPr>
            <w:r>
              <w:rPr>
                <w:sz w:val="22"/>
              </w:rPr>
              <w:t>Intervalo de confianza al 95 %</w:t>
            </w:r>
          </w:p>
        </w:tc>
        <w:tc>
          <w:tcPr>
            <w:tcW w:w="1644" w:type="dxa"/>
          </w:tcPr>
          <w:p>
            <w:pPr>
              <w:pStyle w:val="TableParagraph"/>
              <w:ind w:right="63"/>
              <w:rPr>
                <w:sz w:val="22"/>
              </w:rPr>
            </w:pPr>
            <w:r>
              <w:rPr>
                <w:sz w:val="22"/>
              </w:rPr>
              <w:t>16,51</w:t>
            </w:r>
          </w:p>
        </w:tc>
      </w:tr>
      <w:tr>
        <w:trPr>
          <w:trHeight w:val="310" w:hRule="exact"/>
        </w:trPr>
        <w:tc>
          <w:tcPr>
            <w:tcW w:w="5280" w:type="dxa"/>
            <w:gridSpan w:val="6"/>
            <w:vMerge/>
            <w:tcBorders>
              <w:left w:val="nil"/>
              <w:bottom w:val="nil"/>
            </w:tcBorders>
          </w:tcPr>
          <w:p>
            <w:pPr/>
          </w:p>
        </w:tc>
        <w:tc>
          <w:tcPr>
            <w:tcW w:w="1958" w:type="dxa"/>
            <w:gridSpan w:val="2"/>
            <w:vMerge/>
          </w:tcPr>
          <w:p>
            <w:pPr/>
          </w:p>
        </w:tc>
        <w:tc>
          <w:tcPr>
            <w:tcW w:w="1644" w:type="dxa"/>
          </w:tcPr>
          <w:p>
            <w:pPr>
              <w:pStyle w:val="TableParagraph"/>
              <w:ind w:right="63"/>
              <w:rPr>
                <w:sz w:val="22"/>
              </w:rPr>
            </w:pPr>
            <w:r>
              <w:rPr>
                <w:sz w:val="22"/>
              </w:rPr>
              <w:t>17,00</w:t>
            </w:r>
          </w:p>
        </w:tc>
      </w:tr>
    </w:tbl>
    <w:p>
      <w:pPr>
        <w:pStyle w:val="BodyText"/>
        <w:spacing w:before="1"/>
        <w:rPr>
          <w:rFonts w:ascii="Times New Roman"/>
          <w:sz w:val="26"/>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4"/>
        <w:gridCol w:w="886"/>
        <w:gridCol w:w="504"/>
        <w:gridCol w:w="886"/>
        <w:gridCol w:w="732"/>
        <w:gridCol w:w="1349"/>
        <w:gridCol w:w="732"/>
        <w:gridCol w:w="1226"/>
        <w:gridCol w:w="1644"/>
      </w:tblGrid>
      <w:tr>
        <w:trPr>
          <w:trHeight w:val="310" w:hRule="exact"/>
        </w:trPr>
        <w:tc>
          <w:tcPr>
            <w:tcW w:w="8882" w:type="dxa"/>
            <w:gridSpan w:val="9"/>
          </w:tcPr>
          <w:p>
            <w:pPr>
              <w:pStyle w:val="TableParagraph"/>
              <w:ind w:left="3461" w:right="3460"/>
              <w:jc w:val="center"/>
              <w:rPr>
                <w:sz w:val="22"/>
              </w:rPr>
            </w:pPr>
            <w:r>
              <w:rPr>
                <w:sz w:val="22"/>
              </w:rPr>
              <w:t>Punto de muestreo E</w:t>
            </w:r>
          </w:p>
        </w:tc>
      </w:tr>
      <w:tr>
        <w:trPr>
          <w:trHeight w:val="310" w:hRule="exact"/>
        </w:trPr>
        <w:tc>
          <w:tcPr>
            <w:tcW w:w="924" w:type="dxa"/>
          </w:tcPr>
          <w:p>
            <w:pPr>
              <w:pStyle w:val="TableParagraph"/>
              <w:spacing w:before="13"/>
              <w:ind w:left="117" w:right="118"/>
              <w:jc w:val="center"/>
              <w:rPr>
                <w:sz w:val="22"/>
              </w:rPr>
            </w:pPr>
            <w:r>
              <w:rPr>
                <w:sz w:val="22"/>
              </w:rPr>
              <w:t>Estrato</w:t>
            </w:r>
          </w:p>
        </w:tc>
        <w:tc>
          <w:tcPr>
            <w:tcW w:w="886" w:type="dxa"/>
          </w:tcPr>
          <w:p>
            <w:pPr>
              <w:pStyle w:val="TableParagraph"/>
              <w:spacing w:before="43"/>
              <w:ind w:left="280" w:right="29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886" w:type="dxa"/>
          </w:tcPr>
          <w:p>
            <w:pPr>
              <w:pStyle w:val="TableParagraph"/>
              <w:spacing w:before="43"/>
              <w:ind w:left="278" w:right="293"/>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32" w:type="dxa"/>
          </w:tcPr>
          <w:p>
            <w:pPr>
              <w:pStyle w:val="TableParagraph"/>
              <w:spacing w:line="214" w:lineRule="exact" w:before="6"/>
              <w:ind w:left="39"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349" w:type="dxa"/>
          </w:tcPr>
          <w:p>
            <w:pPr>
              <w:pStyle w:val="TableParagraph"/>
              <w:spacing w:before="19"/>
              <w:ind w:left="534" w:right="54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32" w:type="dxa"/>
          </w:tcPr>
          <w:p>
            <w:pPr>
              <w:pStyle w:val="TableParagraph"/>
              <w:spacing w:before="43"/>
              <w:ind w:left="36" w:right="44"/>
              <w:jc w:val="center"/>
              <w:rPr>
                <w:rFonts w:ascii="Cambria Math"/>
                <w:sz w:val="16"/>
              </w:rPr>
            </w:pPr>
            <w:r>
              <w:rPr>
                <w:rFonts w:ascii="Cambria Math"/>
                <w:w w:val="110"/>
                <w:sz w:val="22"/>
              </w:rPr>
              <w:t>s</w:t>
            </w:r>
            <w:r>
              <w:rPr>
                <w:rFonts w:ascii="Cambria Math"/>
                <w:w w:val="110"/>
                <w:position w:val="-4"/>
                <w:sz w:val="16"/>
              </w:rPr>
              <w:t>h</w:t>
            </w:r>
          </w:p>
        </w:tc>
        <w:tc>
          <w:tcPr>
            <w:tcW w:w="1226" w:type="dxa"/>
          </w:tcPr>
          <w:p>
            <w:pPr>
              <w:pStyle w:val="TableParagraph"/>
              <w:spacing w:before="0"/>
              <w:ind w:left="27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44" w:type="dxa"/>
          </w:tcPr>
          <w:p>
            <w:pPr>
              <w:pStyle w:val="TableParagraph"/>
              <w:spacing w:before="0"/>
              <w:ind w:left="470"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2" w:hRule="exact"/>
        </w:trPr>
        <w:tc>
          <w:tcPr>
            <w:tcW w:w="924" w:type="dxa"/>
          </w:tcPr>
          <w:p>
            <w:pPr>
              <w:pStyle w:val="TableParagraph"/>
              <w:spacing w:before="30"/>
              <w:ind w:right="1"/>
              <w:jc w:val="center"/>
              <w:rPr>
                <w:sz w:val="22"/>
              </w:rPr>
            </w:pPr>
            <w:r>
              <w:rPr>
                <w:w w:val="100"/>
                <w:sz w:val="22"/>
              </w:rPr>
              <w:t>1</w:t>
            </w:r>
          </w:p>
        </w:tc>
        <w:tc>
          <w:tcPr>
            <w:tcW w:w="886" w:type="dxa"/>
          </w:tcPr>
          <w:p>
            <w:pPr>
              <w:pStyle w:val="TableParagraph"/>
              <w:spacing w:before="30"/>
              <w:rPr>
                <w:sz w:val="22"/>
              </w:rPr>
            </w:pPr>
            <w:r>
              <w:rPr>
                <w:sz w:val="22"/>
              </w:rPr>
              <w:t>108,60</w:t>
            </w:r>
          </w:p>
        </w:tc>
        <w:tc>
          <w:tcPr>
            <w:tcW w:w="504" w:type="dxa"/>
          </w:tcPr>
          <w:p>
            <w:pPr>
              <w:pStyle w:val="TableParagraph"/>
              <w:spacing w:before="30"/>
              <w:ind w:left="70" w:right="43"/>
              <w:jc w:val="center"/>
              <w:rPr>
                <w:sz w:val="22"/>
              </w:rPr>
            </w:pPr>
            <w:r>
              <w:rPr>
                <w:sz w:val="22"/>
              </w:rPr>
              <w:t>108</w:t>
            </w:r>
          </w:p>
        </w:tc>
        <w:tc>
          <w:tcPr>
            <w:tcW w:w="886" w:type="dxa"/>
          </w:tcPr>
          <w:p>
            <w:pPr>
              <w:pStyle w:val="TableParagraph"/>
              <w:spacing w:before="30"/>
              <w:ind w:right="63"/>
              <w:rPr>
                <w:sz w:val="22"/>
              </w:rPr>
            </w:pPr>
            <w:r>
              <w:rPr>
                <w:sz w:val="22"/>
              </w:rPr>
              <w:t>17,563</w:t>
            </w:r>
          </w:p>
        </w:tc>
        <w:tc>
          <w:tcPr>
            <w:tcW w:w="732" w:type="dxa"/>
          </w:tcPr>
          <w:p>
            <w:pPr>
              <w:pStyle w:val="TableParagraph"/>
              <w:spacing w:before="30"/>
              <w:ind w:left="155" w:right="0"/>
              <w:jc w:val="left"/>
              <w:rPr>
                <w:sz w:val="22"/>
              </w:rPr>
            </w:pPr>
            <w:r>
              <w:rPr>
                <w:sz w:val="22"/>
              </w:rPr>
              <w:t>0,491</w:t>
            </w:r>
          </w:p>
        </w:tc>
        <w:tc>
          <w:tcPr>
            <w:tcW w:w="1349" w:type="dxa"/>
          </w:tcPr>
          <w:p>
            <w:pPr>
              <w:pStyle w:val="TableParagraph"/>
              <w:spacing w:before="30"/>
              <w:rPr>
                <w:sz w:val="22"/>
              </w:rPr>
            </w:pPr>
            <w:r>
              <w:rPr>
                <w:sz w:val="22"/>
              </w:rPr>
              <w:t>1907,359</w:t>
            </w:r>
          </w:p>
        </w:tc>
        <w:tc>
          <w:tcPr>
            <w:tcW w:w="732" w:type="dxa"/>
          </w:tcPr>
          <w:p>
            <w:pPr>
              <w:pStyle w:val="TableParagraph"/>
              <w:spacing w:before="30"/>
              <w:ind w:left="136" w:right="44"/>
              <w:jc w:val="center"/>
              <w:rPr>
                <w:sz w:val="22"/>
              </w:rPr>
            </w:pPr>
            <w:r>
              <w:rPr>
                <w:sz w:val="22"/>
              </w:rPr>
              <w:t>0,701</w:t>
            </w:r>
          </w:p>
        </w:tc>
        <w:tc>
          <w:tcPr>
            <w:tcW w:w="1226" w:type="dxa"/>
          </w:tcPr>
          <w:p>
            <w:pPr>
              <w:pStyle w:val="TableParagraph"/>
              <w:spacing w:before="30"/>
              <w:rPr>
                <w:sz w:val="22"/>
              </w:rPr>
            </w:pPr>
            <w:r>
              <w:rPr>
                <w:sz w:val="22"/>
              </w:rPr>
              <w:t>-17,939</w:t>
            </w:r>
          </w:p>
        </w:tc>
        <w:tc>
          <w:tcPr>
            <w:tcW w:w="1644" w:type="dxa"/>
          </w:tcPr>
          <w:p>
            <w:pPr>
              <w:pStyle w:val="TableParagraph"/>
              <w:spacing w:before="30"/>
              <w:ind w:right="63"/>
              <w:rPr>
                <w:sz w:val="22"/>
              </w:rPr>
            </w:pPr>
            <w:r>
              <w:rPr>
                <w:sz w:val="22"/>
              </w:rPr>
              <w:t>-0,00169091</w:t>
            </w:r>
          </w:p>
        </w:tc>
      </w:tr>
      <w:tr>
        <w:trPr>
          <w:trHeight w:val="310" w:hRule="exact"/>
        </w:trPr>
        <w:tc>
          <w:tcPr>
            <w:tcW w:w="924" w:type="dxa"/>
          </w:tcPr>
          <w:p>
            <w:pPr>
              <w:pStyle w:val="TableParagraph"/>
              <w:ind w:right="1"/>
              <w:jc w:val="center"/>
              <w:rPr>
                <w:sz w:val="22"/>
              </w:rPr>
            </w:pPr>
            <w:r>
              <w:rPr>
                <w:w w:val="100"/>
                <w:sz w:val="22"/>
              </w:rPr>
              <w:t>2</w:t>
            </w:r>
          </w:p>
        </w:tc>
        <w:tc>
          <w:tcPr>
            <w:tcW w:w="886" w:type="dxa"/>
          </w:tcPr>
          <w:p>
            <w:pPr>
              <w:pStyle w:val="TableParagraph"/>
              <w:rPr>
                <w:sz w:val="22"/>
              </w:rPr>
            </w:pPr>
            <w:r>
              <w:rPr>
                <w:sz w:val="22"/>
              </w:rPr>
              <w:t>121,03</w:t>
            </w:r>
          </w:p>
        </w:tc>
        <w:tc>
          <w:tcPr>
            <w:tcW w:w="504" w:type="dxa"/>
          </w:tcPr>
          <w:p>
            <w:pPr>
              <w:pStyle w:val="TableParagraph"/>
              <w:ind w:left="181" w:right="43"/>
              <w:jc w:val="center"/>
              <w:rPr>
                <w:sz w:val="22"/>
              </w:rPr>
            </w:pPr>
            <w:r>
              <w:rPr>
                <w:sz w:val="22"/>
              </w:rPr>
              <w:t>81</w:t>
            </w:r>
          </w:p>
        </w:tc>
        <w:tc>
          <w:tcPr>
            <w:tcW w:w="886" w:type="dxa"/>
          </w:tcPr>
          <w:p>
            <w:pPr>
              <w:pStyle w:val="TableParagraph"/>
              <w:ind w:right="63"/>
              <w:rPr>
                <w:sz w:val="22"/>
              </w:rPr>
            </w:pPr>
            <w:r>
              <w:rPr>
                <w:sz w:val="22"/>
              </w:rPr>
              <w:t>17,500</w:t>
            </w:r>
          </w:p>
        </w:tc>
        <w:tc>
          <w:tcPr>
            <w:tcW w:w="732" w:type="dxa"/>
          </w:tcPr>
          <w:p>
            <w:pPr>
              <w:pStyle w:val="TableParagraph"/>
              <w:ind w:left="155" w:right="0"/>
              <w:jc w:val="left"/>
              <w:rPr>
                <w:sz w:val="22"/>
              </w:rPr>
            </w:pPr>
            <w:r>
              <w:rPr>
                <w:sz w:val="22"/>
              </w:rPr>
              <w:t>0,109</w:t>
            </w:r>
          </w:p>
        </w:tc>
        <w:tc>
          <w:tcPr>
            <w:tcW w:w="1349" w:type="dxa"/>
          </w:tcPr>
          <w:p>
            <w:pPr>
              <w:pStyle w:val="TableParagraph"/>
              <w:rPr>
                <w:sz w:val="22"/>
              </w:rPr>
            </w:pPr>
            <w:r>
              <w:rPr>
                <w:sz w:val="22"/>
              </w:rPr>
              <w:t>2118,025</w:t>
            </w:r>
          </w:p>
        </w:tc>
        <w:tc>
          <w:tcPr>
            <w:tcW w:w="732" w:type="dxa"/>
          </w:tcPr>
          <w:p>
            <w:pPr>
              <w:pStyle w:val="TableParagraph"/>
              <w:ind w:left="136" w:right="44"/>
              <w:jc w:val="center"/>
              <w:rPr>
                <w:sz w:val="22"/>
              </w:rPr>
            </w:pPr>
            <w:r>
              <w:rPr>
                <w:sz w:val="22"/>
              </w:rPr>
              <w:t>0,330</w:t>
            </w:r>
          </w:p>
        </w:tc>
        <w:tc>
          <w:tcPr>
            <w:tcW w:w="1226" w:type="dxa"/>
          </w:tcPr>
          <w:p>
            <w:pPr>
              <w:pStyle w:val="TableParagraph"/>
              <w:rPr>
                <w:sz w:val="22"/>
              </w:rPr>
            </w:pPr>
            <w:r>
              <w:rPr>
                <w:sz w:val="22"/>
              </w:rPr>
              <w:t>6,535</w:t>
            </w:r>
          </w:p>
        </w:tc>
        <w:tc>
          <w:tcPr>
            <w:tcW w:w="1644" w:type="dxa"/>
          </w:tcPr>
          <w:p>
            <w:pPr>
              <w:pStyle w:val="TableParagraph"/>
              <w:ind w:right="63"/>
              <w:rPr>
                <w:sz w:val="22"/>
              </w:rPr>
            </w:pPr>
            <w:r>
              <w:rPr>
                <w:sz w:val="22"/>
              </w:rPr>
              <w:t>0,00061596</w:t>
            </w:r>
          </w:p>
        </w:tc>
      </w:tr>
      <w:tr>
        <w:trPr>
          <w:trHeight w:val="310" w:hRule="exact"/>
        </w:trPr>
        <w:tc>
          <w:tcPr>
            <w:tcW w:w="924" w:type="dxa"/>
          </w:tcPr>
          <w:p>
            <w:pPr>
              <w:pStyle w:val="TableParagraph"/>
              <w:ind w:right="1"/>
              <w:jc w:val="center"/>
              <w:rPr>
                <w:sz w:val="22"/>
              </w:rPr>
            </w:pPr>
            <w:r>
              <w:rPr>
                <w:w w:val="100"/>
                <w:sz w:val="22"/>
              </w:rPr>
              <w:t>3</w:t>
            </w:r>
          </w:p>
        </w:tc>
        <w:tc>
          <w:tcPr>
            <w:tcW w:w="886" w:type="dxa"/>
          </w:tcPr>
          <w:p>
            <w:pPr>
              <w:pStyle w:val="TableParagraph"/>
              <w:rPr>
                <w:sz w:val="22"/>
              </w:rPr>
            </w:pPr>
            <w:r>
              <w:rPr>
                <w:sz w:val="22"/>
              </w:rPr>
              <w:t>130,21</w:t>
            </w:r>
          </w:p>
        </w:tc>
        <w:tc>
          <w:tcPr>
            <w:tcW w:w="504" w:type="dxa"/>
          </w:tcPr>
          <w:p>
            <w:pPr>
              <w:pStyle w:val="TableParagraph"/>
              <w:ind w:left="181" w:right="43"/>
              <w:jc w:val="center"/>
              <w:rPr>
                <w:sz w:val="22"/>
              </w:rPr>
            </w:pPr>
            <w:r>
              <w:rPr>
                <w:sz w:val="22"/>
              </w:rPr>
              <w:t>77</w:t>
            </w:r>
          </w:p>
        </w:tc>
        <w:tc>
          <w:tcPr>
            <w:tcW w:w="886" w:type="dxa"/>
          </w:tcPr>
          <w:p>
            <w:pPr>
              <w:pStyle w:val="TableParagraph"/>
              <w:ind w:right="63"/>
              <w:rPr>
                <w:sz w:val="22"/>
              </w:rPr>
            </w:pPr>
            <w:r>
              <w:rPr>
                <w:sz w:val="22"/>
              </w:rPr>
              <w:t>18,153</w:t>
            </w:r>
          </w:p>
        </w:tc>
        <w:tc>
          <w:tcPr>
            <w:tcW w:w="732" w:type="dxa"/>
          </w:tcPr>
          <w:p>
            <w:pPr>
              <w:pStyle w:val="TableParagraph"/>
              <w:ind w:left="155" w:right="0"/>
              <w:jc w:val="left"/>
              <w:rPr>
                <w:sz w:val="22"/>
              </w:rPr>
            </w:pPr>
            <w:r>
              <w:rPr>
                <w:sz w:val="22"/>
              </w:rPr>
              <w:t>0,567</w:t>
            </w:r>
          </w:p>
        </w:tc>
        <w:tc>
          <w:tcPr>
            <w:tcW w:w="1349" w:type="dxa"/>
          </w:tcPr>
          <w:p>
            <w:pPr>
              <w:pStyle w:val="TableParagraph"/>
              <w:rPr>
                <w:sz w:val="22"/>
              </w:rPr>
            </w:pPr>
            <w:r>
              <w:rPr>
                <w:sz w:val="22"/>
              </w:rPr>
              <w:t>2363,654</w:t>
            </w:r>
          </w:p>
        </w:tc>
        <w:tc>
          <w:tcPr>
            <w:tcW w:w="732" w:type="dxa"/>
          </w:tcPr>
          <w:p>
            <w:pPr>
              <w:pStyle w:val="TableParagraph"/>
              <w:ind w:left="136" w:right="44"/>
              <w:jc w:val="center"/>
              <w:rPr>
                <w:sz w:val="22"/>
              </w:rPr>
            </w:pPr>
            <w:r>
              <w:rPr>
                <w:sz w:val="22"/>
              </w:rPr>
              <w:t>0,753</w:t>
            </w:r>
          </w:p>
        </w:tc>
        <w:tc>
          <w:tcPr>
            <w:tcW w:w="1226" w:type="dxa"/>
          </w:tcPr>
          <w:p>
            <w:pPr>
              <w:pStyle w:val="TableParagraph"/>
              <w:rPr>
                <w:sz w:val="22"/>
              </w:rPr>
            </w:pPr>
            <w:r>
              <w:rPr>
                <w:sz w:val="22"/>
              </w:rPr>
              <w:t>51,776</w:t>
            </w:r>
          </w:p>
        </w:tc>
        <w:tc>
          <w:tcPr>
            <w:tcW w:w="1644" w:type="dxa"/>
          </w:tcPr>
          <w:p>
            <w:pPr>
              <w:pStyle w:val="TableParagraph"/>
              <w:ind w:right="63"/>
              <w:rPr>
                <w:sz w:val="22"/>
              </w:rPr>
            </w:pPr>
            <w:r>
              <w:rPr>
                <w:sz w:val="22"/>
              </w:rPr>
              <w:t>0,00488039</w:t>
            </w:r>
          </w:p>
        </w:tc>
      </w:tr>
      <w:tr>
        <w:trPr>
          <w:trHeight w:val="310" w:hRule="exact"/>
        </w:trPr>
        <w:tc>
          <w:tcPr>
            <w:tcW w:w="924" w:type="dxa"/>
          </w:tcPr>
          <w:p>
            <w:pPr>
              <w:pStyle w:val="TableParagraph"/>
              <w:ind w:right="1"/>
              <w:jc w:val="center"/>
              <w:rPr>
                <w:sz w:val="22"/>
              </w:rPr>
            </w:pPr>
            <w:r>
              <w:rPr>
                <w:w w:val="100"/>
                <w:sz w:val="22"/>
              </w:rPr>
              <w:t>4</w:t>
            </w:r>
          </w:p>
        </w:tc>
        <w:tc>
          <w:tcPr>
            <w:tcW w:w="886" w:type="dxa"/>
          </w:tcPr>
          <w:p>
            <w:pPr>
              <w:pStyle w:val="TableParagraph"/>
              <w:rPr>
                <w:sz w:val="22"/>
              </w:rPr>
            </w:pPr>
            <w:r>
              <w:rPr>
                <w:sz w:val="22"/>
              </w:rPr>
              <w:t>155,12</w:t>
            </w:r>
          </w:p>
        </w:tc>
        <w:tc>
          <w:tcPr>
            <w:tcW w:w="504" w:type="dxa"/>
          </w:tcPr>
          <w:p>
            <w:pPr>
              <w:pStyle w:val="TableParagraph"/>
              <w:ind w:left="181" w:right="43"/>
              <w:jc w:val="center"/>
              <w:rPr>
                <w:sz w:val="22"/>
              </w:rPr>
            </w:pPr>
            <w:r>
              <w:rPr>
                <w:sz w:val="22"/>
              </w:rPr>
              <w:t>92</w:t>
            </w:r>
          </w:p>
        </w:tc>
        <w:tc>
          <w:tcPr>
            <w:tcW w:w="886" w:type="dxa"/>
          </w:tcPr>
          <w:p>
            <w:pPr>
              <w:pStyle w:val="TableParagraph"/>
              <w:ind w:right="63"/>
              <w:rPr>
                <w:sz w:val="22"/>
              </w:rPr>
            </w:pPr>
            <w:r>
              <w:rPr>
                <w:sz w:val="22"/>
              </w:rPr>
              <w:t>16,624</w:t>
            </w:r>
          </w:p>
        </w:tc>
        <w:tc>
          <w:tcPr>
            <w:tcW w:w="732" w:type="dxa"/>
          </w:tcPr>
          <w:p>
            <w:pPr>
              <w:pStyle w:val="TableParagraph"/>
              <w:ind w:left="155" w:right="0"/>
              <w:jc w:val="left"/>
              <w:rPr>
                <w:sz w:val="22"/>
              </w:rPr>
            </w:pPr>
            <w:r>
              <w:rPr>
                <w:sz w:val="22"/>
              </w:rPr>
              <w:t>0,686</w:t>
            </w:r>
          </w:p>
        </w:tc>
        <w:tc>
          <w:tcPr>
            <w:tcW w:w="1349" w:type="dxa"/>
          </w:tcPr>
          <w:p>
            <w:pPr>
              <w:pStyle w:val="TableParagraph"/>
              <w:rPr>
                <w:sz w:val="22"/>
              </w:rPr>
            </w:pPr>
            <w:r>
              <w:rPr>
                <w:sz w:val="22"/>
              </w:rPr>
              <w:t>2578,642</w:t>
            </w:r>
          </w:p>
        </w:tc>
        <w:tc>
          <w:tcPr>
            <w:tcW w:w="732" w:type="dxa"/>
          </w:tcPr>
          <w:p>
            <w:pPr>
              <w:pStyle w:val="TableParagraph"/>
              <w:ind w:left="136" w:right="44"/>
              <w:jc w:val="center"/>
              <w:rPr>
                <w:sz w:val="22"/>
              </w:rPr>
            </w:pPr>
            <w:r>
              <w:rPr>
                <w:sz w:val="22"/>
              </w:rPr>
              <w:t>0,828</w:t>
            </w:r>
          </w:p>
        </w:tc>
        <w:tc>
          <w:tcPr>
            <w:tcW w:w="1226" w:type="dxa"/>
          </w:tcPr>
          <w:p>
            <w:pPr>
              <w:pStyle w:val="TableParagraph"/>
              <w:rPr>
                <w:sz w:val="22"/>
              </w:rPr>
            </w:pPr>
            <w:r>
              <w:rPr>
                <w:sz w:val="22"/>
              </w:rPr>
              <w:t>73,343</w:t>
            </w:r>
          </w:p>
        </w:tc>
        <w:tc>
          <w:tcPr>
            <w:tcW w:w="1644" w:type="dxa"/>
          </w:tcPr>
          <w:p>
            <w:pPr>
              <w:pStyle w:val="TableParagraph"/>
              <w:ind w:right="63"/>
              <w:rPr>
                <w:sz w:val="22"/>
              </w:rPr>
            </w:pPr>
            <w:r>
              <w:rPr>
                <w:sz w:val="22"/>
              </w:rPr>
              <w:t>0,0069133</w:t>
            </w:r>
          </w:p>
        </w:tc>
      </w:tr>
      <w:tr>
        <w:trPr>
          <w:trHeight w:val="310" w:hRule="exact"/>
        </w:trPr>
        <w:tc>
          <w:tcPr>
            <w:tcW w:w="924" w:type="dxa"/>
          </w:tcPr>
          <w:p>
            <w:pPr>
              <w:pStyle w:val="TableParagraph"/>
              <w:ind w:right="1"/>
              <w:jc w:val="center"/>
              <w:rPr>
                <w:sz w:val="22"/>
              </w:rPr>
            </w:pPr>
            <w:r>
              <w:rPr>
                <w:w w:val="100"/>
                <w:sz w:val="22"/>
              </w:rPr>
              <w:t>5</w:t>
            </w:r>
          </w:p>
        </w:tc>
        <w:tc>
          <w:tcPr>
            <w:tcW w:w="886" w:type="dxa"/>
          </w:tcPr>
          <w:p>
            <w:pPr>
              <w:pStyle w:val="TableParagraph"/>
              <w:rPr>
                <w:sz w:val="22"/>
              </w:rPr>
            </w:pPr>
            <w:r>
              <w:rPr>
                <w:sz w:val="22"/>
              </w:rPr>
              <w:t>180,21</w:t>
            </w:r>
          </w:p>
        </w:tc>
        <w:tc>
          <w:tcPr>
            <w:tcW w:w="504" w:type="dxa"/>
          </w:tcPr>
          <w:p>
            <w:pPr>
              <w:pStyle w:val="TableParagraph"/>
              <w:ind w:left="70" w:right="43"/>
              <w:jc w:val="center"/>
              <w:rPr>
                <w:sz w:val="22"/>
              </w:rPr>
            </w:pPr>
            <w:r>
              <w:rPr>
                <w:sz w:val="22"/>
              </w:rPr>
              <w:t>132</w:t>
            </w:r>
          </w:p>
        </w:tc>
        <w:tc>
          <w:tcPr>
            <w:tcW w:w="886" w:type="dxa"/>
          </w:tcPr>
          <w:p>
            <w:pPr>
              <w:pStyle w:val="TableParagraph"/>
              <w:ind w:right="63"/>
              <w:rPr>
                <w:sz w:val="22"/>
              </w:rPr>
            </w:pPr>
            <w:r>
              <w:rPr>
                <w:sz w:val="22"/>
              </w:rPr>
              <w:t>14,628</w:t>
            </w:r>
          </w:p>
        </w:tc>
        <w:tc>
          <w:tcPr>
            <w:tcW w:w="732" w:type="dxa"/>
          </w:tcPr>
          <w:p>
            <w:pPr>
              <w:pStyle w:val="TableParagraph"/>
              <w:ind w:left="155" w:right="0"/>
              <w:jc w:val="left"/>
              <w:rPr>
                <w:sz w:val="22"/>
              </w:rPr>
            </w:pPr>
            <w:r>
              <w:rPr>
                <w:sz w:val="22"/>
              </w:rPr>
              <w:t>0,935</w:t>
            </w:r>
          </w:p>
        </w:tc>
        <w:tc>
          <w:tcPr>
            <w:tcW w:w="1349" w:type="dxa"/>
          </w:tcPr>
          <w:p>
            <w:pPr>
              <w:pStyle w:val="TableParagraph"/>
              <w:rPr>
                <w:sz w:val="22"/>
              </w:rPr>
            </w:pPr>
            <w:r>
              <w:rPr>
                <w:sz w:val="22"/>
              </w:rPr>
              <w:t>2636,072</w:t>
            </w:r>
          </w:p>
        </w:tc>
        <w:tc>
          <w:tcPr>
            <w:tcW w:w="732" w:type="dxa"/>
          </w:tcPr>
          <w:p>
            <w:pPr>
              <w:pStyle w:val="TableParagraph"/>
              <w:ind w:left="136" w:right="44"/>
              <w:jc w:val="center"/>
              <w:rPr>
                <w:sz w:val="22"/>
              </w:rPr>
            </w:pPr>
            <w:r>
              <w:rPr>
                <w:sz w:val="22"/>
              </w:rPr>
              <w:t>0,967</w:t>
            </w:r>
          </w:p>
        </w:tc>
        <w:tc>
          <w:tcPr>
            <w:tcW w:w="1226" w:type="dxa"/>
          </w:tcPr>
          <w:p>
            <w:pPr>
              <w:pStyle w:val="TableParagraph"/>
              <w:rPr>
                <w:sz w:val="22"/>
              </w:rPr>
            </w:pPr>
            <w:r>
              <w:rPr>
                <w:sz w:val="22"/>
              </w:rPr>
              <w:t>61,474</w:t>
            </w:r>
          </w:p>
        </w:tc>
        <w:tc>
          <w:tcPr>
            <w:tcW w:w="1644" w:type="dxa"/>
          </w:tcPr>
          <w:p>
            <w:pPr>
              <w:pStyle w:val="TableParagraph"/>
              <w:ind w:right="63"/>
              <w:rPr>
                <w:sz w:val="22"/>
              </w:rPr>
            </w:pPr>
            <w:r>
              <w:rPr>
                <w:sz w:val="22"/>
              </w:rPr>
              <w:t>0,00579452</w:t>
            </w:r>
          </w:p>
        </w:tc>
      </w:tr>
      <w:tr>
        <w:trPr>
          <w:trHeight w:val="310" w:hRule="exact"/>
        </w:trPr>
        <w:tc>
          <w:tcPr>
            <w:tcW w:w="924" w:type="dxa"/>
          </w:tcPr>
          <w:p>
            <w:pPr>
              <w:pStyle w:val="TableParagraph"/>
              <w:spacing w:before="30"/>
              <w:ind w:right="2"/>
              <w:jc w:val="center"/>
              <w:rPr>
                <w:sz w:val="22"/>
              </w:rPr>
            </w:pPr>
            <w:r>
              <w:rPr>
                <w:w w:val="100"/>
                <w:sz w:val="22"/>
              </w:rPr>
              <w:t>N</w:t>
            </w:r>
          </w:p>
        </w:tc>
        <w:tc>
          <w:tcPr>
            <w:tcW w:w="886" w:type="dxa"/>
          </w:tcPr>
          <w:p>
            <w:pPr>
              <w:pStyle w:val="TableParagraph"/>
              <w:spacing w:before="30"/>
              <w:rPr>
                <w:sz w:val="22"/>
              </w:rPr>
            </w:pPr>
            <w:r>
              <w:rPr>
                <w:sz w:val="22"/>
              </w:rPr>
              <w:t>695,17</w:t>
            </w:r>
          </w:p>
        </w:tc>
        <w:tc>
          <w:tcPr>
            <w:tcW w:w="504" w:type="dxa"/>
          </w:tcPr>
          <w:p>
            <w:pPr/>
          </w:p>
        </w:tc>
        <w:tc>
          <w:tcPr>
            <w:tcW w:w="886" w:type="dxa"/>
          </w:tcPr>
          <w:p>
            <w:pPr/>
          </w:p>
        </w:tc>
        <w:tc>
          <w:tcPr>
            <w:tcW w:w="732" w:type="dxa"/>
          </w:tcPr>
          <w:p>
            <w:pPr>
              <w:pStyle w:val="TableParagraph"/>
              <w:spacing w:before="18"/>
              <w:ind w:left="194"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9" w:type="dxa"/>
          </w:tcPr>
          <w:p>
            <w:pPr>
              <w:pStyle w:val="TableParagraph"/>
              <w:spacing w:before="30"/>
              <w:rPr>
                <w:sz w:val="22"/>
              </w:rPr>
            </w:pPr>
            <w:r>
              <w:rPr>
                <w:sz w:val="22"/>
              </w:rPr>
              <w:t>11603,752</w:t>
            </w:r>
          </w:p>
        </w:tc>
        <w:tc>
          <w:tcPr>
            <w:tcW w:w="732" w:type="dxa"/>
          </w:tcPr>
          <w:p>
            <w:pPr/>
          </w:p>
        </w:tc>
        <w:tc>
          <w:tcPr>
            <w:tcW w:w="1226" w:type="dxa"/>
          </w:tcPr>
          <w:p>
            <w:pPr>
              <w:pStyle w:val="TableParagraph"/>
              <w:spacing w:before="30"/>
              <w:rPr>
                <w:sz w:val="22"/>
              </w:rPr>
            </w:pPr>
            <w:r>
              <w:rPr>
                <w:sz w:val="22"/>
              </w:rPr>
              <w:t>175,189</w:t>
            </w:r>
          </w:p>
        </w:tc>
        <w:tc>
          <w:tcPr>
            <w:tcW w:w="1644" w:type="dxa"/>
          </w:tcPr>
          <w:p>
            <w:pPr>
              <w:pStyle w:val="TableParagraph"/>
              <w:spacing w:before="30"/>
              <w:ind w:right="63"/>
              <w:rPr>
                <w:sz w:val="22"/>
              </w:rPr>
            </w:pPr>
            <w:r>
              <w:rPr>
                <w:sz w:val="22"/>
              </w:rPr>
              <w:t>0,01651326</w:t>
            </w:r>
          </w:p>
        </w:tc>
      </w:tr>
      <w:tr>
        <w:trPr>
          <w:trHeight w:val="312" w:hRule="exact"/>
        </w:trPr>
        <w:tc>
          <w:tcPr>
            <w:tcW w:w="5280" w:type="dxa"/>
            <w:gridSpan w:val="6"/>
            <w:vMerge w:val="restart"/>
            <w:tcBorders>
              <w:left w:val="nil"/>
            </w:tcBorders>
          </w:tcPr>
          <w:p>
            <w:pPr/>
          </w:p>
        </w:tc>
        <w:tc>
          <w:tcPr>
            <w:tcW w:w="1958" w:type="dxa"/>
            <w:gridSpan w:val="2"/>
          </w:tcPr>
          <w:p>
            <w:pPr>
              <w:pStyle w:val="TableParagraph"/>
              <w:spacing w:before="13"/>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44" w:type="dxa"/>
          </w:tcPr>
          <w:p>
            <w:pPr>
              <w:pStyle w:val="TableParagraph"/>
              <w:spacing w:before="30"/>
              <w:ind w:right="63"/>
              <w:rPr>
                <w:b/>
                <w:sz w:val="22"/>
              </w:rPr>
            </w:pPr>
            <w:r>
              <w:rPr>
                <w:b/>
                <w:sz w:val="22"/>
              </w:rPr>
              <w:t>16,692</w:t>
            </w:r>
          </w:p>
        </w:tc>
      </w:tr>
      <w:tr>
        <w:trPr>
          <w:trHeight w:val="310" w:hRule="exact"/>
        </w:trPr>
        <w:tc>
          <w:tcPr>
            <w:tcW w:w="5280" w:type="dxa"/>
            <w:gridSpan w:val="6"/>
            <w:vMerge/>
            <w:tcBorders>
              <w:left w:val="nil"/>
            </w:tcBorders>
          </w:tcPr>
          <w:p>
            <w:pPr/>
          </w:p>
        </w:tc>
        <w:tc>
          <w:tcPr>
            <w:tcW w:w="1958" w:type="dxa"/>
            <w:gridSpan w:val="2"/>
          </w:tcPr>
          <w:p>
            <w:pPr>
              <w:pStyle w:val="TableParagraph"/>
              <w:spacing w:before="11"/>
              <w:ind w:left="64" w:right="0"/>
              <w:jc w:val="left"/>
              <w:rPr>
                <w:sz w:val="22"/>
              </w:rPr>
            </w:pPr>
            <w:r>
              <w:rPr>
                <w:sz w:val="22"/>
              </w:rPr>
              <w:t>Desviación estándar</w:t>
            </w:r>
          </w:p>
        </w:tc>
        <w:tc>
          <w:tcPr>
            <w:tcW w:w="1644" w:type="dxa"/>
          </w:tcPr>
          <w:p>
            <w:pPr>
              <w:pStyle w:val="TableParagraph"/>
              <w:ind w:right="63"/>
              <w:rPr>
                <w:b/>
                <w:sz w:val="22"/>
              </w:rPr>
            </w:pPr>
            <w:r>
              <w:rPr>
                <w:b/>
                <w:sz w:val="22"/>
              </w:rPr>
              <w:t>0,129</w:t>
            </w:r>
          </w:p>
        </w:tc>
      </w:tr>
      <w:tr>
        <w:trPr>
          <w:trHeight w:val="310" w:hRule="exact"/>
        </w:trPr>
        <w:tc>
          <w:tcPr>
            <w:tcW w:w="5280" w:type="dxa"/>
            <w:gridSpan w:val="6"/>
            <w:vMerge/>
            <w:tcBorders>
              <w:left w:val="nil"/>
            </w:tcBorders>
          </w:tcPr>
          <w:p>
            <w:pPr/>
          </w:p>
        </w:tc>
        <w:tc>
          <w:tcPr>
            <w:tcW w:w="1958" w:type="dxa"/>
            <w:gridSpan w:val="2"/>
            <w:vMerge w:val="restart"/>
          </w:tcPr>
          <w:p>
            <w:pPr>
              <w:pStyle w:val="TableParagraph"/>
              <w:spacing w:before="33"/>
              <w:ind w:left="64" w:right="323"/>
              <w:jc w:val="left"/>
              <w:rPr>
                <w:sz w:val="22"/>
              </w:rPr>
            </w:pPr>
            <w:r>
              <w:rPr>
                <w:sz w:val="22"/>
              </w:rPr>
              <w:t>Intervalo de confianza al 95 %</w:t>
            </w:r>
          </w:p>
        </w:tc>
        <w:tc>
          <w:tcPr>
            <w:tcW w:w="1644" w:type="dxa"/>
          </w:tcPr>
          <w:p>
            <w:pPr>
              <w:pStyle w:val="TableParagraph"/>
              <w:ind w:right="63"/>
              <w:rPr>
                <w:sz w:val="22"/>
              </w:rPr>
            </w:pPr>
            <w:r>
              <w:rPr>
                <w:sz w:val="22"/>
              </w:rPr>
              <w:t>16,44</w:t>
            </w:r>
          </w:p>
        </w:tc>
      </w:tr>
      <w:tr>
        <w:trPr>
          <w:trHeight w:val="310" w:hRule="exact"/>
        </w:trPr>
        <w:tc>
          <w:tcPr>
            <w:tcW w:w="5280" w:type="dxa"/>
            <w:gridSpan w:val="6"/>
            <w:vMerge/>
            <w:tcBorders>
              <w:left w:val="nil"/>
              <w:bottom w:val="nil"/>
            </w:tcBorders>
          </w:tcPr>
          <w:p>
            <w:pPr/>
          </w:p>
        </w:tc>
        <w:tc>
          <w:tcPr>
            <w:tcW w:w="1958" w:type="dxa"/>
            <w:gridSpan w:val="2"/>
            <w:vMerge/>
          </w:tcPr>
          <w:p>
            <w:pPr/>
          </w:p>
        </w:tc>
        <w:tc>
          <w:tcPr>
            <w:tcW w:w="1644" w:type="dxa"/>
          </w:tcPr>
          <w:p>
            <w:pPr>
              <w:pStyle w:val="TableParagraph"/>
              <w:ind w:right="63"/>
              <w:rPr>
                <w:sz w:val="22"/>
              </w:rPr>
            </w:pPr>
            <w:r>
              <w:rPr>
                <w:sz w:val="22"/>
              </w:rPr>
              <w:t>16,94</w:t>
            </w:r>
          </w:p>
        </w:tc>
      </w:tr>
    </w:tbl>
    <w:p>
      <w:pPr>
        <w:pStyle w:val="BodyText"/>
        <w:spacing w:before="1"/>
        <w:rPr>
          <w:rFonts w:ascii="Times New Roman"/>
          <w:sz w:val="26"/>
        </w:rPr>
      </w:pPr>
    </w:p>
    <w:tbl>
      <w:tblPr>
        <w:tblW w:w="0" w:type="auto"/>
        <w:jc w:val="left"/>
        <w:tblInd w:w="7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24"/>
        <w:gridCol w:w="886"/>
        <w:gridCol w:w="504"/>
        <w:gridCol w:w="886"/>
        <w:gridCol w:w="732"/>
        <w:gridCol w:w="1349"/>
        <w:gridCol w:w="732"/>
        <w:gridCol w:w="1226"/>
        <w:gridCol w:w="1644"/>
      </w:tblGrid>
      <w:tr>
        <w:trPr>
          <w:trHeight w:val="310" w:hRule="exact"/>
        </w:trPr>
        <w:tc>
          <w:tcPr>
            <w:tcW w:w="8882" w:type="dxa"/>
            <w:gridSpan w:val="9"/>
          </w:tcPr>
          <w:p>
            <w:pPr>
              <w:pStyle w:val="TableParagraph"/>
              <w:spacing w:before="30"/>
              <w:ind w:left="3461" w:right="3461"/>
              <w:jc w:val="center"/>
              <w:rPr>
                <w:sz w:val="22"/>
              </w:rPr>
            </w:pPr>
            <w:r>
              <w:rPr>
                <w:sz w:val="22"/>
              </w:rPr>
              <w:t>Punto de muestreo G</w:t>
            </w:r>
          </w:p>
        </w:tc>
      </w:tr>
      <w:tr>
        <w:trPr>
          <w:trHeight w:val="312" w:hRule="exact"/>
        </w:trPr>
        <w:tc>
          <w:tcPr>
            <w:tcW w:w="924" w:type="dxa"/>
          </w:tcPr>
          <w:p>
            <w:pPr>
              <w:pStyle w:val="TableParagraph"/>
              <w:spacing w:before="13"/>
              <w:ind w:left="117" w:right="118"/>
              <w:jc w:val="center"/>
              <w:rPr>
                <w:sz w:val="22"/>
              </w:rPr>
            </w:pPr>
            <w:r>
              <w:rPr>
                <w:sz w:val="22"/>
              </w:rPr>
              <w:t>Estrato</w:t>
            </w:r>
          </w:p>
        </w:tc>
        <w:tc>
          <w:tcPr>
            <w:tcW w:w="886" w:type="dxa"/>
          </w:tcPr>
          <w:p>
            <w:pPr>
              <w:pStyle w:val="TableParagraph"/>
              <w:spacing w:before="43"/>
              <w:ind w:left="280" w:right="293"/>
              <w:jc w:val="center"/>
              <w:rPr>
                <w:rFonts w:ascii="Cambria Math"/>
                <w:sz w:val="16"/>
              </w:rPr>
            </w:pPr>
            <w:r>
              <w:rPr>
                <w:rFonts w:ascii="Cambria Math"/>
                <w:w w:val="110"/>
                <w:sz w:val="22"/>
              </w:rPr>
              <w:t>N</w:t>
            </w:r>
            <w:r>
              <w:rPr>
                <w:rFonts w:ascii="Cambria Math"/>
                <w:w w:val="110"/>
                <w:position w:val="-4"/>
                <w:sz w:val="16"/>
              </w:rPr>
              <w:t>h</w:t>
            </w:r>
          </w:p>
        </w:tc>
        <w:tc>
          <w:tcPr>
            <w:tcW w:w="504" w:type="dxa"/>
          </w:tcPr>
          <w:p>
            <w:pPr>
              <w:pStyle w:val="TableParagraph"/>
              <w:spacing w:before="43"/>
              <w:ind w:left="32" w:right="43"/>
              <w:jc w:val="center"/>
              <w:rPr>
                <w:rFonts w:ascii="Cambria Math"/>
                <w:sz w:val="16"/>
              </w:rPr>
            </w:pPr>
            <w:r>
              <w:rPr>
                <w:rFonts w:ascii="Cambria Math"/>
                <w:w w:val="110"/>
                <w:sz w:val="22"/>
              </w:rPr>
              <w:t>n</w:t>
            </w:r>
            <w:r>
              <w:rPr>
                <w:rFonts w:ascii="Cambria Math"/>
                <w:w w:val="110"/>
                <w:position w:val="-4"/>
                <w:sz w:val="16"/>
              </w:rPr>
              <w:t>h</w:t>
            </w:r>
          </w:p>
        </w:tc>
        <w:tc>
          <w:tcPr>
            <w:tcW w:w="886" w:type="dxa"/>
          </w:tcPr>
          <w:p>
            <w:pPr>
              <w:pStyle w:val="TableParagraph"/>
              <w:spacing w:before="43"/>
              <w:ind w:left="278" w:right="293"/>
              <w:jc w:val="center"/>
              <w:rPr>
                <w:rFonts w:ascii="Cambria Math" w:hAnsi="Cambria Math"/>
                <w:sz w:val="16"/>
              </w:rPr>
            </w:pPr>
            <w:r>
              <w:rPr>
                <w:rFonts w:ascii="Cambria Math" w:hAnsi="Cambria Math"/>
                <w:spacing w:val="-97"/>
                <w:w w:val="111"/>
                <w:sz w:val="22"/>
              </w:rPr>
              <w:t>y</w:t>
            </w:r>
            <w:r>
              <w:rPr>
                <w:rFonts w:ascii="Cambria Math" w:hAnsi="Cambria Math"/>
                <w:spacing w:val="-6"/>
                <w:w w:val="151"/>
                <w:sz w:val="22"/>
              </w:rPr>
              <w:t>¯</w:t>
            </w:r>
            <w:r>
              <w:rPr>
                <w:rFonts w:ascii="Cambria Math" w:hAnsi="Cambria Math"/>
                <w:w w:val="113"/>
                <w:position w:val="-4"/>
                <w:sz w:val="16"/>
              </w:rPr>
              <w:t>h</w:t>
            </w:r>
          </w:p>
        </w:tc>
        <w:tc>
          <w:tcPr>
            <w:tcW w:w="732" w:type="dxa"/>
          </w:tcPr>
          <w:p>
            <w:pPr>
              <w:pStyle w:val="TableParagraph"/>
              <w:spacing w:line="214" w:lineRule="exact" w:before="8"/>
              <w:ind w:left="39" w:right="44"/>
              <w:jc w:val="center"/>
              <w:rPr>
                <w:rFonts w:ascii="Cambria Math"/>
                <w:sz w:val="16"/>
              </w:rPr>
            </w:pPr>
            <w:r>
              <w:rPr>
                <w:rFonts w:ascii="Cambria Math"/>
                <w:w w:val="105"/>
                <w:position w:val="-8"/>
                <w:sz w:val="22"/>
              </w:rPr>
              <w:t>s</w:t>
            </w:r>
            <w:r>
              <w:rPr>
                <w:rFonts w:ascii="Cambria Math"/>
                <w:w w:val="105"/>
                <w:sz w:val="16"/>
              </w:rPr>
              <w:t>2</w:t>
            </w:r>
          </w:p>
          <w:p>
            <w:pPr>
              <w:pStyle w:val="TableParagraph"/>
              <w:spacing w:line="111" w:lineRule="exact" w:before="0"/>
              <w:ind w:left="82" w:right="0"/>
              <w:jc w:val="center"/>
              <w:rPr>
                <w:rFonts w:ascii="Cambria Math"/>
                <w:sz w:val="16"/>
              </w:rPr>
            </w:pPr>
            <w:r>
              <w:rPr>
                <w:rFonts w:ascii="Cambria Math"/>
                <w:w w:val="113"/>
                <w:sz w:val="16"/>
              </w:rPr>
              <w:t>h</w:t>
            </w:r>
          </w:p>
        </w:tc>
        <w:tc>
          <w:tcPr>
            <w:tcW w:w="1349" w:type="dxa"/>
          </w:tcPr>
          <w:p>
            <w:pPr>
              <w:pStyle w:val="TableParagraph"/>
              <w:spacing w:before="19"/>
              <w:ind w:left="534" w:right="545"/>
              <w:jc w:val="center"/>
              <w:rPr>
                <w:rFonts w:ascii="Cambria Math" w:hAnsi="Cambria Math"/>
                <w:sz w:val="16"/>
              </w:rPr>
            </w:pPr>
            <w:r>
              <w:rPr>
                <w:rFonts w:ascii="Cambria Math" w:hAnsi="Cambria Math"/>
                <w:w w:val="115"/>
                <w:position w:val="-1"/>
                <w:sz w:val="22"/>
              </w:rPr>
              <w:t>t</w:t>
            </w:r>
            <w:r>
              <w:rPr>
                <w:rFonts w:ascii="Cambria Math" w:hAnsi="Cambria Math"/>
                <w:w w:val="115"/>
                <w:sz w:val="22"/>
              </w:rPr>
              <w:t>̂</w:t>
            </w:r>
            <w:r>
              <w:rPr>
                <w:rFonts w:ascii="Cambria Math" w:hAnsi="Cambria Math"/>
                <w:w w:val="115"/>
                <w:position w:val="-6"/>
                <w:sz w:val="16"/>
              </w:rPr>
              <w:t>h</w:t>
            </w:r>
          </w:p>
        </w:tc>
        <w:tc>
          <w:tcPr>
            <w:tcW w:w="732" w:type="dxa"/>
          </w:tcPr>
          <w:p>
            <w:pPr>
              <w:pStyle w:val="TableParagraph"/>
              <w:spacing w:before="43"/>
              <w:ind w:left="36" w:right="44"/>
              <w:jc w:val="center"/>
              <w:rPr>
                <w:rFonts w:ascii="Cambria Math"/>
                <w:sz w:val="16"/>
              </w:rPr>
            </w:pPr>
            <w:r>
              <w:rPr>
                <w:rFonts w:ascii="Cambria Math"/>
                <w:w w:val="110"/>
                <w:sz w:val="22"/>
              </w:rPr>
              <w:t>s</w:t>
            </w:r>
            <w:r>
              <w:rPr>
                <w:rFonts w:ascii="Cambria Math"/>
                <w:w w:val="110"/>
                <w:position w:val="-4"/>
                <w:sz w:val="16"/>
              </w:rPr>
              <w:t>h</w:t>
            </w:r>
          </w:p>
        </w:tc>
        <w:tc>
          <w:tcPr>
            <w:tcW w:w="1226" w:type="dxa"/>
          </w:tcPr>
          <w:p>
            <w:pPr>
              <w:pStyle w:val="TableParagraph"/>
              <w:spacing w:before="3"/>
              <w:ind w:left="278"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3"/>
                <w:w w:val="116"/>
                <w:sz w:val="22"/>
              </w:rPr>
              <w:t>t</w:t>
            </w:r>
            <w:r>
              <w:rPr>
                <w:rFonts w:ascii="Cambria Math" w:hAnsi="Cambria Math"/>
                <w:spacing w:val="-80"/>
                <w:w w:val="111"/>
                <w:position w:val="-4"/>
                <w:sz w:val="16"/>
              </w:rPr>
              <w:t>e</w:t>
            </w:r>
            <w:r>
              <w:rPr>
                <w:rFonts w:ascii="Cambria Math" w:hAnsi="Cambria Math"/>
                <w:w w:val="100"/>
                <w:position w:val="2"/>
                <w:sz w:val="22"/>
              </w:rPr>
              <w:t>̅</w:t>
            </w:r>
            <w:r>
              <w:rPr>
                <w:rFonts w:ascii="Cambria Math" w:hAnsi="Cambria Math"/>
                <w:position w:val="2"/>
                <w:sz w:val="22"/>
              </w:rPr>
              <w:t> </w:t>
            </w:r>
            <w:r>
              <w:rPr>
                <w:rFonts w:ascii="Cambria Math" w:hAnsi="Cambria Math"/>
                <w:spacing w:val="-18"/>
                <w:position w:val="2"/>
                <w:sz w:val="22"/>
              </w:rPr>
              <w:t> </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c>
          <w:tcPr>
            <w:tcW w:w="1644" w:type="dxa"/>
          </w:tcPr>
          <w:p>
            <w:pPr>
              <w:pStyle w:val="TableParagraph"/>
              <w:spacing w:before="3"/>
              <w:ind w:left="470" w:right="0"/>
              <w:jc w:val="left"/>
              <w:rPr>
                <w:rFonts w:ascii="Cambria Math" w:hAnsi="Cambria Math"/>
                <w:sz w:val="22"/>
              </w:rPr>
            </w:pPr>
            <w:r>
              <w:rPr>
                <w:rFonts w:ascii="Cambria Math" w:hAnsi="Cambria Math"/>
                <w:spacing w:val="-105"/>
                <w:w w:val="103"/>
                <w:sz w:val="22"/>
              </w:rPr>
              <w:t>V</w:t>
            </w:r>
            <w:r>
              <w:rPr>
                <w:rFonts w:ascii="Cambria Math" w:hAnsi="Cambria Math"/>
                <w:spacing w:val="23"/>
                <w:w w:val="142"/>
                <w:position w:val="4"/>
                <w:sz w:val="22"/>
              </w:rPr>
              <w:t>ˆ</w:t>
            </w:r>
            <w:r>
              <w:rPr>
                <w:rFonts w:ascii="Cambria Math" w:hAnsi="Cambria Math"/>
                <w:spacing w:val="-1"/>
                <w:w w:val="100"/>
                <w:position w:val="1"/>
                <w:sz w:val="22"/>
              </w:rPr>
              <w:t>(</w:t>
            </w: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spacing w:val="15"/>
                <w:w w:val="130"/>
                <w:position w:val="-4"/>
                <w:sz w:val="16"/>
              </w:rPr>
              <w:t>t</w:t>
            </w:r>
            <w:r>
              <w:rPr>
                <w:rFonts w:ascii="Cambria Math" w:hAnsi="Cambria Math"/>
                <w:w w:val="100"/>
                <w:position w:val="1"/>
                <w:sz w:val="22"/>
              </w:rPr>
              <w:t>)</w:t>
            </w:r>
          </w:p>
        </w:tc>
      </w:tr>
      <w:tr>
        <w:trPr>
          <w:trHeight w:val="310" w:hRule="exact"/>
        </w:trPr>
        <w:tc>
          <w:tcPr>
            <w:tcW w:w="924" w:type="dxa"/>
          </w:tcPr>
          <w:p>
            <w:pPr>
              <w:pStyle w:val="TableParagraph"/>
              <w:ind w:right="1"/>
              <w:jc w:val="center"/>
              <w:rPr>
                <w:sz w:val="22"/>
              </w:rPr>
            </w:pPr>
            <w:r>
              <w:rPr>
                <w:w w:val="100"/>
                <w:sz w:val="22"/>
              </w:rPr>
              <w:t>1</w:t>
            </w:r>
          </w:p>
        </w:tc>
        <w:tc>
          <w:tcPr>
            <w:tcW w:w="886" w:type="dxa"/>
          </w:tcPr>
          <w:p>
            <w:pPr>
              <w:pStyle w:val="TableParagraph"/>
              <w:rPr>
                <w:sz w:val="22"/>
              </w:rPr>
            </w:pPr>
            <w:r>
              <w:rPr>
                <w:sz w:val="22"/>
              </w:rPr>
              <w:t>108,60</w:t>
            </w:r>
          </w:p>
        </w:tc>
        <w:tc>
          <w:tcPr>
            <w:tcW w:w="504" w:type="dxa"/>
          </w:tcPr>
          <w:p>
            <w:pPr>
              <w:pStyle w:val="TableParagraph"/>
              <w:ind w:left="70" w:right="43"/>
              <w:jc w:val="center"/>
              <w:rPr>
                <w:sz w:val="22"/>
              </w:rPr>
            </w:pPr>
            <w:r>
              <w:rPr>
                <w:sz w:val="22"/>
              </w:rPr>
              <w:t>108</w:t>
            </w:r>
          </w:p>
        </w:tc>
        <w:tc>
          <w:tcPr>
            <w:tcW w:w="886" w:type="dxa"/>
          </w:tcPr>
          <w:p>
            <w:pPr>
              <w:pStyle w:val="TableParagraph"/>
              <w:ind w:right="63"/>
              <w:rPr>
                <w:sz w:val="22"/>
              </w:rPr>
            </w:pPr>
            <w:r>
              <w:rPr>
                <w:sz w:val="22"/>
              </w:rPr>
              <w:t>17,189</w:t>
            </w:r>
          </w:p>
        </w:tc>
        <w:tc>
          <w:tcPr>
            <w:tcW w:w="732" w:type="dxa"/>
          </w:tcPr>
          <w:p>
            <w:pPr>
              <w:pStyle w:val="TableParagraph"/>
              <w:ind w:left="155" w:right="0"/>
              <w:jc w:val="left"/>
              <w:rPr>
                <w:sz w:val="22"/>
              </w:rPr>
            </w:pPr>
            <w:r>
              <w:rPr>
                <w:sz w:val="22"/>
              </w:rPr>
              <w:t>0,198</w:t>
            </w:r>
          </w:p>
        </w:tc>
        <w:tc>
          <w:tcPr>
            <w:tcW w:w="1349" w:type="dxa"/>
          </w:tcPr>
          <w:p>
            <w:pPr>
              <w:pStyle w:val="TableParagraph"/>
              <w:rPr>
                <w:sz w:val="22"/>
              </w:rPr>
            </w:pPr>
            <w:r>
              <w:rPr>
                <w:sz w:val="22"/>
              </w:rPr>
              <w:t>1866,777</w:t>
            </w:r>
          </w:p>
        </w:tc>
        <w:tc>
          <w:tcPr>
            <w:tcW w:w="732" w:type="dxa"/>
          </w:tcPr>
          <w:p>
            <w:pPr>
              <w:pStyle w:val="TableParagraph"/>
              <w:ind w:left="136" w:right="44"/>
              <w:jc w:val="center"/>
              <w:rPr>
                <w:sz w:val="22"/>
              </w:rPr>
            </w:pPr>
            <w:r>
              <w:rPr>
                <w:sz w:val="22"/>
              </w:rPr>
              <w:t>0,445</w:t>
            </w:r>
          </w:p>
        </w:tc>
        <w:tc>
          <w:tcPr>
            <w:tcW w:w="1226" w:type="dxa"/>
          </w:tcPr>
          <w:p>
            <w:pPr>
              <w:pStyle w:val="TableParagraph"/>
              <w:rPr>
                <w:sz w:val="22"/>
              </w:rPr>
            </w:pPr>
            <w:r>
              <w:rPr>
                <w:sz w:val="22"/>
              </w:rPr>
              <w:t>-7,217</w:t>
            </w:r>
          </w:p>
        </w:tc>
        <w:tc>
          <w:tcPr>
            <w:tcW w:w="1644" w:type="dxa"/>
          </w:tcPr>
          <w:p>
            <w:pPr>
              <w:pStyle w:val="TableParagraph"/>
              <w:ind w:right="63"/>
              <w:rPr>
                <w:sz w:val="22"/>
              </w:rPr>
            </w:pPr>
            <w:r>
              <w:rPr>
                <w:sz w:val="22"/>
              </w:rPr>
              <w:t>-0,00068023</w:t>
            </w:r>
          </w:p>
        </w:tc>
      </w:tr>
      <w:tr>
        <w:trPr>
          <w:trHeight w:val="310" w:hRule="exact"/>
        </w:trPr>
        <w:tc>
          <w:tcPr>
            <w:tcW w:w="924" w:type="dxa"/>
          </w:tcPr>
          <w:p>
            <w:pPr>
              <w:pStyle w:val="TableParagraph"/>
              <w:ind w:right="1"/>
              <w:jc w:val="center"/>
              <w:rPr>
                <w:sz w:val="22"/>
              </w:rPr>
            </w:pPr>
            <w:r>
              <w:rPr>
                <w:w w:val="100"/>
                <w:sz w:val="22"/>
              </w:rPr>
              <w:t>2</w:t>
            </w:r>
          </w:p>
        </w:tc>
        <w:tc>
          <w:tcPr>
            <w:tcW w:w="886" w:type="dxa"/>
          </w:tcPr>
          <w:p>
            <w:pPr>
              <w:pStyle w:val="TableParagraph"/>
              <w:rPr>
                <w:sz w:val="22"/>
              </w:rPr>
            </w:pPr>
            <w:r>
              <w:rPr>
                <w:sz w:val="22"/>
              </w:rPr>
              <w:t>121,03</w:t>
            </w:r>
          </w:p>
        </w:tc>
        <w:tc>
          <w:tcPr>
            <w:tcW w:w="504" w:type="dxa"/>
          </w:tcPr>
          <w:p>
            <w:pPr>
              <w:pStyle w:val="TableParagraph"/>
              <w:ind w:left="181" w:right="43"/>
              <w:jc w:val="center"/>
              <w:rPr>
                <w:sz w:val="22"/>
              </w:rPr>
            </w:pPr>
            <w:r>
              <w:rPr>
                <w:sz w:val="22"/>
              </w:rPr>
              <w:t>81</w:t>
            </w:r>
          </w:p>
        </w:tc>
        <w:tc>
          <w:tcPr>
            <w:tcW w:w="886" w:type="dxa"/>
          </w:tcPr>
          <w:p>
            <w:pPr>
              <w:pStyle w:val="TableParagraph"/>
              <w:ind w:right="63"/>
              <w:rPr>
                <w:sz w:val="22"/>
              </w:rPr>
            </w:pPr>
            <w:r>
              <w:rPr>
                <w:sz w:val="22"/>
              </w:rPr>
              <w:t>17,300</w:t>
            </w:r>
          </w:p>
        </w:tc>
        <w:tc>
          <w:tcPr>
            <w:tcW w:w="732" w:type="dxa"/>
          </w:tcPr>
          <w:p>
            <w:pPr>
              <w:pStyle w:val="TableParagraph"/>
              <w:ind w:left="155" w:right="0"/>
              <w:jc w:val="left"/>
              <w:rPr>
                <w:sz w:val="22"/>
              </w:rPr>
            </w:pPr>
            <w:r>
              <w:rPr>
                <w:sz w:val="22"/>
              </w:rPr>
              <w:t>0,087</w:t>
            </w:r>
          </w:p>
        </w:tc>
        <w:tc>
          <w:tcPr>
            <w:tcW w:w="1349" w:type="dxa"/>
          </w:tcPr>
          <w:p>
            <w:pPr>
              <w:pStyle w:val="TableParagraph"/>
              <w:rPr>
                <w:sz w:val="22"/>
              </w:rPr>
            </w:pPr>
            <w:r>
              <w:rPr>
                <w:sz w:val="22"/>
              </w:rPr>
              <w:t>2093,819</w:t>
            </w:r>
          </w:p>
        </w:tc>
        <w:tc>
          <w:tcPr>
            <w:tcW w:w="732" w:type="dxa"/>
          </w:tcPr>
          <w:p>
            <w:pPr>
              <w:pStyle w:val="TableParagraph"/>
              <w:ind w:left="136" w:right="44"/>
              <w:jc w:val="center"/>
              <w:rPr>
                <w:sz w:val="22"/>
              </w:rPr>
            </w:pPr>
            <w:r>
              <w:rPr>
                <w:sz w:val="22"/>
              </w:rPr>
              <w:t>0,295</w:t>
            </w:r>
          </w:p>
        </w:tc>
        <w:tc>
          <w:tcPr>
            <w:tcW w:w="1226" w:type="dxa"/>
          </w:tcPr>
          <w:p>
            <w:pPr>
              <w:pStyle w:val="TableParagraph"/>
              <w:rPr>
                <w:sz w:val="22"/>
              </w:rPr>
            </w:pPr>
            <w:r>
              <w:rPr>
                <w:sz w:val="22"/>
              </w:rPr>
              <w:t>5,228</w:t>
            </w:r>
          </w:p>
        </w:tc>
        <w:tc>
          <w:tcPr>
            <w:tcW w:w="1644" w:type="dxa"/>
          </w:tcPr>
          <w:p>
            <w:pPr>
              <w:pStyle w:val="TableParagraph"/>
              <w:ind w:right="63"/>
              <w:rPr>
                <w:sz w:val="22"/>
              </w:rPr>
            </w:pPr>
            <w:r>
              <w:rPr>
                <w:sz w:val="22"/>
              </w:rPr>
              <w:t>0,00049277</w:t>
            </w:r>
          </w:p>
        </w:tc>
      </w:tr>
      <w:tr>
        <w:trPr>
          <w:trHeight w:val="310" w:hRule="exact"/>
        </w:trPr>
        <w:tc>
          <w:tcPr>
            <w:tcW w:w="924" w:type="dxa"/>
          </w:tcPr>
          <w:p>
            <w:pPr>
              <w:pStyle w:val="TableParagraph"/>
              <w:ind w:right="1"/>
              <w:jc w:val="center"/>
              <w:rPr>
                <w:sz w:val="22"/>
              </w:rPr>
            </w:pPr>
            <w:r>
              <w:rPr>
                <w:w w:val="100"/>
                <w:sz w:val="22"/>
              </w:rPr>
              <w:t>3</w:t>
            </w:r>
          </w:p>
        </w:tc>
        <w:tc>
          <w:tcPr>
            <w:tcW w:w="886" w:type="dxa"/>
          </w:tcPr>
          <w:p>
            <w:pPr>
              <w:pStyle w:val="TableParagraph"/>
              <w:rPr>
                <w:sz w:val="22"/>
              </w:rPr>
            </w:pPr>
            <w:r>
              <w:rPr>
                <w:sz w:val="22"/>
              </w:rPr>
              <w:t>130,21</w:t>
            </w:r>
          </w:p>
        </w:tc>
        <w:tc>
          <w:tcPr>
            <w:tcW w:w="504" w:type="dxa"/>
          </w:tcPr>
          <w:p>
            <w:pPr>
              <w:pStyle w:val="TableParagraph"/>
              <w:ind w:left="181" w:right="43"/>
              <w:jc w:val="center"/>
              <w:rPr>
                <w:sz w:val="22"/>
              </w:rPr>
            </w:pPr>
            <w:r>
              <w:rPr>
                <w:sz w:val="22"/>
              </w:rPr>
              <w:t>77</w:t>
            </w:r>
          </w:p>
        </w:tc>
        <w:tc>
          <w:tcPr>
            <w:tcW w:w="886" w:type="dxa"/>
          </w:tcPr>
          <w:p>
            <w:pPr>
              <w:pStyle w:val="TableParagraph"/>
              <w:ind w:right="63"/>
              <w:rPr>
                <w:sz w:val="22"/>
              </w:rPr>
            </w:pPr>
            <w:r>
              <w:rPr>
                <w:sz w:val="22"/>
              </w:rPr>
              <w:t>17,753</w:t>
            </w:r>
          </w:p>
        </w:tc>
        <w:tc>
          <w:tcPr>
            <w:tcW w:w="732" w:type="dxa"/>
          </w:tcPr>
          <w:p>
            <w:pPr>
              <w:pStyle w:val="TableParagraph"/>
              <w:ind w:left="155" w:right="0"/>
              <w:jc w:val="left"/>
              <w:rPr>
                <w:sz w:val="22"/>
              </w:rPr>
            </w:pPr>
            <w:r>
              <w:rPr>
                <w:sz w:val="22"/>
              </w:rPr>
              <w:t>0,455</w:t>
            </w:r>
          </w:p>
        </w:tc>
        <w:tc>
          <w:tcPr>
            <w:tcW w:w="1349" w:type="dxa"/>
          </w:tcPr>
          <w:p>
            <w:pPr>
              <w:pStyle w:val="TableParagraph"/>
              <w:rPr>
                <w:sz w:val="22"/>
              </w:rPr>
            </w:pPr>
            <w:r>
              <w:rPr>
                <w:sz w:val="22"/>
              </w:rPr>
              <w:t>2311,570</w:t>
            </w:r>
          </w:p>
        </w:tc>
        <w:tc>
          <w:tcPr>
            <w:tcW w:w="732" w:type="dxa"/>
          </w:tcPr>
          <w:p>
            <w:pPr>
              <w:pStyle w:val="TableParagraph"/>
              <w:ind w:left="136" w:right="44"/>
              <w:jc w:val="center"/>
              <w:rPr>
                <w:sz w:val="22"/>
              </w:rPr>
            </w:pPr>
            <w:r>
              <w:rPr>
                <w:sz w:val="22"/>
              </w:rPr>
              <w:t>0,674</w:t>
            </w:r>
          </w:p>
        </w:tc>
        <w:tc>
          <w:tcPr>
            <w:tcW w:w="1226" w:type="dxa"/>
          </w:tcPr>
          <w:p>
            <w:pPr>
              <w:pStyle w:val="TableParagraph"/>
              <w:rPr>
                <w:sz w:val="22"/>
              </w:rPr>
            </w:pPr>
            <w:r>
              <w:rPr>
                <w:sz w:val="22"/>
              </w:rPr>
              <w:t>41,530</w:t>
            </w:r>
          </w:p>
        </w:tc>
        <w:tc>
          <w:tcPr>
            <w:tcW w:w="1644" w:type="dxa"/>
          </w:tcPr>
          <w:p>
            <w:pPr>
              <w:pStyle w:val="TableParagraph"/>
              <w:ind w:right="63"/>
              <w:rPr>
                <w:sz w:val="22"/>
              </w:rPr>
            </w:pPr>
            <w:r>
              <w:rPr>
                <w:sz w:val="22"/>
              </w:rPr>
              <w:t>0,00391458</w:t>
            </w:r>
          </w:p>
        </w:tc>
      </w:tr>
      <w:tr>
        <w:trPr>
          <w:trHeight w:val="310" w:hRule="exact"/>
        </w:trPr>
        <w:tc>
          <w:tcPr>
            <w:tcW w:w="924" w:type="dxa"/>
          </w:tcPr>
          <w:p>
            <w:pPr>
              <w:pStyle w:val="TableParagraph"/>
              <w:ind w:right="1"/>
              <w:jc w:val="center"/>
              <w:rPr>
                <w:sz w:val="22"/>
              </w:rPr>
            </w:pPr>
            <w:r>
              <w:rPr>
                <w:w w:val="100"/>
                <w:sz w:val="22"/>
              </w:rPr>
              <w:t>4</w:t>
            </w:r>
          </w:p>
        </w:tc>
        <w:tc>
          <w:tcPr>
            <w:tcW w:w="886" w:type="dxa"/>
          </w:tcPr>
          <w:p>
            <w:pPr>
              <w:pStyle w:val="TableParagraph"/>
              <w:rPr>
                <w:sz w:val="22"/>
              </w:rPr>
            </w:pPr>
            <w:r>
              <w:rPr>
                <w:sz w:val="22"/>
              </w:rPr>
              <w:t>155,12</w:t>
            </w:r>
          </w:p>
        </w:tc>
        <w:tc>
          <w:tcPr>
            <w:tcW w:w="504" w:type="dxa"/>
          </w:tcPr>
          <w:p>
            <w:pPr>
              <w:pStyle w:val="TableParagraph"/>
              <w:ind w:left="181" w:right="43"/>
              <w:jc w:val="center"/>
              <w:rPr>
                <w:sz w:val="22"/>
              </w:rPr>
            </w:pPr>
            <w:r>
              <w:rPr>
                <w:sz w:val="22"/>
              </w:rPr>
              <w:t>92</w:t>
            </w:r>
          </w:p>
        </w:tc>
        <w:tc>
          <w:tcPr>
            <w:tcW w:w="886" w:type="dxa"/>
          </w:tcPr>
          <w:p>
            <w:pPr>
              <w:pStyle w:val="TableParagraph"/>
              <w:ind w:right="63"/>
              <w:rPr>
                <w:sz w:val="22"/>
              </w:rPr>
            </w:pPr>
            <w:r>
              <w:rPr>
                <w:sz w:val="22"/>
              </w:rPr>
              <w:t>16,547</w:t>
            </w:r>
          </w:p>
        </w:tc>
        <w:tc>
          <w:tcPr>
            <w:tcW w:w="732" w:type="dxa"/>
          </w:tcPr>
          <w:p>
            <w:pPr>
              <w:pStyle w:val="TableParagraph"/>
              <w:ind w:left="155" w:right="0"/>
              <w:jc w:val="left"/>
              <w:rPr>
                <w:sz w:val="22"/>
              </w:rPr>
            </w:pPr>
            <w:r>
              <w:rPr>
                <w:sz w:val="22"/>
              </w:rPr>
              <w:t>0,530</w:t>
            </w:r>
          </w:p>
        </w:tc>
        <w:tc>
          <w:tcPr>
            <w:tcW w:w="1349" w:type="dxa"/>
          </w:tcPr>
          <w:p>
            <w:pPr>
              <w:pStyle w:val="TableParagraph"/>
              <w:rPr>
                <w:sz w:val="22"/>
              </w:rPr>
            </w:pPr>
            <w:r>
              <w:rPr>
                <w:sz w:val="22"/>
              </w:rPr>
              <w:t>2566,780</w:t>
            </w:r>
          </w:p>
        </w:tc>
        <w:tc>
          <w:tcPr>
            <w:tcW w:w="732" w:type="dxa"/>
          </w:tcPr>
          <w:p>
            <w:pPr>
              <w:pStyle w:val="TableParagraph"/>
              <w:ind w:left="136" w:right="44"/>
              <w:jc w:val="center"/>
              <w:rPr>
                <w:sz w:val="22"/>
              </w:rPr>
            </w:pPr>
            <w:r>
              <w:rPr>
                <w:sz w:val="22"/>
              </w:rPr>
              <w:t>0,728</w:t>
            </w:r>
          </w:p>
        </w:tc>
        <w:tc>
          <w:tcPr>
            <w:tcW w:w="1226" w:type="dxa"/>
          </w:tcPr>
          <w:p>
            <w:pPr>
              <w:pStyle w:val="TableParagraph"/>
              <w:rPr>
                <w:sz w:val="22"/>
              </w:rPr>
            </w:pPr>
            <w:r>
              <w:rPr>
                <w:sz w:val="22"/>
              </w:rPr>
              <w:t>56,708</w:t>
            </w:r>
          </w:p>
        </w:tc>
        <w:tc>
          <w:tcPr>
            <w:tcW w:w="1644" w:type="dxa"/>
          </w:tcPr>
          <w:p>
            <w:pPr>
              <w:pStyle w:val="TableParagraph"/>
              <w:ind w:right="63"/>
              <w:rPr>
                <w:sz w:val="22"/>
              </w:rPr>
            </w:pPr>
            <w:r>
              <w:rPr>
                <w:sz w:val="22"/>
              </w:rPr>
              <w:t>0,0053453</w:t>
            </w:r>
          </w:p>
        </w:tc>
      </w:tr>
      <w:tr>
        <w:trPr>
          <w:trHeight w:val="310" w:hRule="exact"/>
        </w:trPr>
        <w:tc>
          <w:tcPr>
            <w:tcW w:w="924" w:type="dxa"/>
          </w:tcPr>
          <w:p>
            <w:pPr>
              <w:pStyle w:val="TableParagraph"/>
              <w:spacing w:before="30"/>
              <w:ind w:right="1"/>
              <w:jc w:val="center"/>
              <w:rPr>
                <w:sz w:val="22"/>
              </w:rPr>
            </w:pPr>
            <w:r>
              <w:rPr>
                <w:w w:val="100"/>
                <w:sz w:val="22"/>
              </w:rPr>
              <w:t>5</w:t>
            </w:r>
          </w:p>
        </w:tc>
        <w:tc>
          <w:tcPr>
            <w:tcW w:w="886" w:type="dxa"/>
          </w:tcPr>
          <w:p>
            <w:pPr>
              <w:pStyle w:val="TableParagraph"/>
              <w:spacing w:before="30"/>
              <w:rPr>
                <w:sz w:val="22"/>
              </w:rPr>
            </w:pPr>
            <w:r>
              <w:rPr>
                <w:sz w:val="22"/>
              </w:rPr>
              <w:t>180,21</w:t>
            </w:r>
          </w:p>
        </w:tc>
        <w:tc>
          <w:tcPr>
            <w:tcW w:w="504" w:type="dxa"/>
          </w:tcPr>
          <w:p>
            <w:pPr>
              <w:pStyle w:val="TableParagraph"/>
              <w:spacing w:before="30"/>
              <w:ind w:left="70" w:right="43"/>
              <w:jc w:val="center"/>
              <w:rPr>
                <w:sz w:val="22"/>
              </w:rPr>
            </w:pPr>
            <w:r>
              <w:rPr>
                <w:sz w:val="22"/>
              </w:rPr>
              <w:t>132</w:t>
            </w:r>
          </w:p>
        </w:tc>
        <w:tc>
          <w:tcPr>
            <w:tcW w:w="886" w:type="dxa"/>
          </w:tcPr>
          <w:p>
            <w:pPr>
              <w:pStyle w:val="TableParagraph"/>
              <w:spacing w:before="30"/>
              <w:ind w:right="63"/>
              <w:rPr>
                <w:sz w:val="22"/>
              </w:rPr>
            </w:pPr>
            <w:r>
              <w:rPr>
                <w:sz w:val="22"/>
              </w:rPr>
              <w:t>14,506</w:t>
            </w:r>
          </w:p>
        </w:tc>
        <w:tc>
          <w:tcPr>
            <w:tcW w:w="732" w:type="dxa"/>
          </w:tcPr>
          <w:p>
            <w:pPr>
              <w:pStyle w:val="TableParagraph"/>
              <w:spacing w:before="30"/>
              <w:ind w:left="155" w:right="0"/>
              <w:jc w:val="left"/>
              <w:rPr>
                <w:sz w:val="22"/>
              </w:rPr>
            </w:pPr>
            <w:r>
              <w:rPr>
                <w:sz w:val="22"/>
              </w:rPr>
              <w:t>0,808</w:t>
            </w:r>
          </w:p>
        </w:tc>
        <w:tc>
          <w:tcPr>
            <w:tcW w:w="1349" w:type="dxa"/>
          </w:tcPr>
          <w:p>
            <w:pPr>
              <w:pStyle w:val="TableParagraph"/>
              <w:spacing w:before="30"/>
              <w:rPr>
                <w:sz w:val="22"/>
              </w:rPr>
            </w:pPr>
            <w:r>
              <w:rPr>
                <w:sz w:val="22"/>
              </w:rPr>
              <w:t>2614,046</w:t>
            </w:r>
          </w:p>
        </w:tc>
        <w:tc>
          <w:tcPr>
            <w:tcW w:w="732" w:type="dxa"/>
          </w:tcPr>
          <w:p>
            <w:pPr>
              <w:pStyle w:val="TableParagraph"/>
              <w:spacing w:before="30"/>
              <w:ind w:left="136" w:right="44"/>
              <w:jc w:val="center"/>
              <w:rPr>
                <w:sz w:val="22"/>
              </w:rPr>
            </w:pPr>
            <w:r>
              <w:rPr>
                <w:sz w:val="22"/>
              </w:rPr>
              <w:t>0,899</w:t>
            </w:r>
          </w:p>
        </w:tc>
        <w:tc>
          <w:tcPr>
            <w:tcW w:w="1226" w:type="dxa"/>
          </w:tcPr>
          <w:p>
            <w:pPr>
              <w:pStyle w:val="TableParagraph"/>
              <w:spacing w:before="30"/>
              <w:rPr>
                <w:sz w:val="22"/>
              </w:rPr>
            </w:pPr>
            <w:r>
              <w:rPr>
                <w:sz w:val="22"/>
              </w:rPr>
              <w:t>53,095</w:t>
            </w:r>
          </w:p>
        </w:tc>
        <w:tc>
          <w:tcPr>
            <w:tcW w:w="1644" w:type="dxa"/>
          </w:tcPr>
          <w:p>
            <w:pPr>
              <w:pStyle w:val="TableParagraph"/>
              <w:spacing w:before="30"/>
              <w:ind w:right="63"/>
              <w:rPr>
                <w:sz w:val="22"/>
              </w:rPr>
            </w:pPr>
            <w:r>
              <w:rPr>
                <w:sz w:val="22"/>
              </w:rPr>
              <w:t>0,00500472</w:t>
            </w:r>
          </w:p>
        </w:tc>
      </w:tr>
      <w:tr>
        <w:trPr>
          <w:trHeight w:val="312" w:hRule="exact"/>
        </w:trPr>
        <w:tc>
          <w:tcPr>
            <w:tcW w:w="924" w:type="dxa"/>
          </w:tcPr>
          <w:p>
            <w:pPr>
              <w:pStyle w:val="TableParagraph"/>
              <w:spacing w:before="30"/>
              <w:ind w:right="2"/>
              <w:jc w:val="center"/>
              <w:rPr>
                <w:sz w:val="22"/>
              </w:rPr>
            </w:pPr>
            <w:r>
              <w:rPr>
                <w:w w:val="100"/>
                <w:sz w:val="22"/>
              </w:rPr>
              <w:t>N</w:t>
            </w:r>
          </w:p>
        </w:tc>
        <w:tc>
          <w:tcPr>
            <w:tcW w:w="886" w:type="dxa"/>
          </w:tcPr>
          <w:p>
            <w:pPr>
              <w:pStyle w:val="TableParagraph"/>
              <w:spacing w:before="30"/>
              <w:rPr>
                <w:sz w:val="22"/>
              </w:rPr>
            </w:pPr>
            <w:r>
              <w:rPr>
                <w:sz w:val="22"/>
              </w:rPr>
              <w:t>695,17</w:t>
            </w:r>
          </w:p>
        </w:tc>
        <w:tc>
          <w:tcPr>
            <w:tcW w:w="504" w:type="dxa"/>
          </w:tcPr>
          <w:p>
            <w:pPr/>
          </w:p>
        </w:tc>
        <w:tc>
          <w:tcPr>
            <w:tcW w:w="886" w:type="dxa"/>
          </w:tcPr>
          <w:p>
            <w:pPr/>
          </w:p>
        </w:tc>
        <w:tc>
          <w:tcPr>
            <w:tcW w:w="732" w:type="dxa"/>
          </w:tcPr>
          <w:p>
            <w:pPr>
              <w:pStyle w:val="TableParagraph"/>
              <w:spacing w:before="18"/>
              <w:ind w:left="194" w:right="0"/>
              <w:jc w:val="left"/>
              <w:rPr>
                <w:rFonts w:ascii="Cambria Math" w:hAnsi="Cambria Math"/>
                <w:sz w:val="16"/>
              </w:rPr>
            </w:pPr>
            <w:r>
              <w:rPr>
                <w:rFonts w:ascii="Cambria Math" w:hAnsi="Cambria Math"/>
                <w:w w:val="120"/>
                <w:position w:val="5"/>
                <w:sz w:val="22"/>
              </w:rPr>
              <w:t>t</w:t>
            </w:r>
            <w:r>
              <w:rPr>
                <w:rFonts w:ascii="Cambria Math" w:hAnsi="Cambria Math"/>
                <w:w w:val="120"/>
                <w:position w:val="7"/>
                <w:sz w:val="22"/>
              </w:rPr>
              <w:t>̂</w:t>
            </w:r>
            <w:r>
              <w:rPr>
                <w:rFonts w:ascii="Cambria Math" w:hAnsi="Cambria Math"/>
                <w:w w:val="120"/>
                <w:sz w:val="16"/>
              </w:rPr>
              <w:t>est</w:t>
            </w:r>
          </w:p>
        </w:tc>
        <w:tc>
          <w:tcPr>
            <w:tcW w:w="1349" w:type="dxa"/>
          </w:tcPr>
          <w:p>
            <w:pPr>
              <w:pStyle w:val="TableParagraph"/>
              <w:spacing w:before="30"/>
              <w:rPr>
                <w:sz w:val="22"/>
              </w:rPr>
            </w:pPr>
            <w:r>
              <w:rPr>
                <w:sz w:val="22"/>
              </w:rPr>
              <w:t>11452,992</w:t>
            </w:r>
          </w:p>
        </w:tc>
        <w:tc>
          <w:tcPr>
            <w:tcW w:w="732" w:type="dxa"/>
          </w:tcPr>
          <w:p>
            <w:pPr/>
          </w:p>
        </w:tc>
        <w:tc>
          <w:tcPr>
            <w:tcW w:w="1226" w:type="dxa"/>
          </w:tcPr>
          <w:p>
            <w:pPr>
              <w:pStyle w:val="TableParagraph"/>
              <w:spacing w:before="30"/>
              <w:rPr>
                <w:sz w:val="22"/>
              </w:rPr>
            </w:pPr>
            <w:r>
              <w:rPr>
                <w:sz w:val="22"/>
              </w:rPr>
              <w:t>149,344</w:t>
            </w:r>
          </w:p>
        </w:tc>
        <w:tc>
          <w:tcPr>
            <w:tcW w:w="1644" w:type="dxa"/>
          </w:tcPr>
          <w:p>
            <w:pPr>
              <w:pStyle w:val="TableParagraph"/>
              <w:spacing w:before="30"/>
              <w:ind w:right="63"/>
              <w:rPr>
                <w:sz w:val="22"/>
              </w:rPr>
            </w:pPr>
            <w:r>
              <w:rPr>
                <w:sz w:val="22"/>
              </w:rPr>
              <w:t>0,01407714</w:t>
            </w:r>
          </w:p>
        </w:tc>
      </w:tr>
      <w:tr>
        <w:trPr>
          <w:trHeight w:val="310" w:hRule="exact"/>
        </w:trPr>
        <w:tc>
          <w:tcPr>
            <w:tcW w:w="5280" w:type="dxa"/>
            <w:gridSpan w:val="6"/>
            <w:vMerge w:val="restart"/>
            <w:tcBorders>
              <w:left w:val="nil"/>
            </w:tcBorders>
          </w:tcPr>
          <w:p>
            <w:pPr/>
          </w:p>
        </w:tc>
        <w:tc>
          <w:tcPr>
            <w:tcW w:w="1958" w:type="dxa"/>
            <w:gridSpan w:val="2"/>
          </w:tcPr>
          <w:p>
            <w:pPr>
              <w:pStyle w:val="TableParagraph"/>
              <w:spacing w:before="11"/>
              <w:ind w:left="64" w:right="0"/>
              <w:jc w:val="left"/>
              <w:rPr>
                <w:sz w:val="22"/>
              </w:rPr>
            </w:pPr>
            <w:r>
              <w:rPr>
                <w:rFonts w:ascii="Cambria Math" w:hAnsi="Cambria Math"/>
                <w:spacing w:val="-97"/>
                <w:w w:val="111"/>
                <w:sz w:val="22"/>
              </w:rPr>
              <w:t>y</w:t>
            </w:r>
            <w:r>
              <w:rPr>
                <w:rFonts w:ascii="Cambria Math" w:hAnsi="Cambria Math"/>
                <w:spacing w:val="-6"/>
                <w:w w:val="151"/>
                <w:sz w:val="22"/>
              </w:rPr>
              <w:t>¯</w:t>
            </w:r>
            <w:r>
              <w:rPr>
                <w:rFonts w:ascii="Cambria Math" w:hAnsi="Cambria Math"/>
                <w:spacing w:val="-1"/>
                <w:w w:val="111"/>
                <w:position w:val="-4"/>
                <w:sz w:val="16"/>
              </w:rPr>
              <w:t>e</w:t>
            </w:r>
            <w:r>
              <w:rPr>
                <w:rFonts w:ascii="Cambria Math" w:hAnsi="Cambria Math"/>
                <w:spacing w:val="-1"/>
                <w:w w:val="112"/>
                <w:position w:val="-4"/>
                <w:sz w:val="16"/>
              </w:rPr>
              <w:t>s</w:t>
            </w:r>
            <w:r>
              <w:rPr>
                <w:rFonts w:ascii="Cambria Math" w:hAnsi="Cambria Math"/>
                <w:w w:val="130"/>
                <w:position w:val="-4"/>
                <w:sz w:val="16"/>
              </w:rPr>
              <w:t>t</w:t>
            </w:r>
            <w:r>
              <w:rPr>
                <w:rFonts w:ascii="Cambria Math" w:hAnsi="Cambria Math"/>
                <w:position w:val="-4"/>
                <w:sz w:val="16"/>
              </w:rPr>
              <w:t> </w:t>
            </w:r>
            <w:r>
              <w:rPr>
                <w:rFonts w:ascii="Cambria Math" w:hAnsi="Cambria Math"/>
                <w:spacing w:val="-5"/>
                <w:position w:val="-4"/>
                <w:sz w:val="16"/>
              </w:rPr>
              <w:t> </w:t>
            </w:r>
            <w:r>
              <w:rPr>
                <w:w w:val="100"/>
                <w:sz w:val="22"/>
              </w:rPr>
              <w:t>(</w:t>
            </w:r>
            <w:r>
              <w:rPr>
                <w:spacing w:val="-1"/>
                <w:w w:val="100"/>
                <w:sz w:val="22"/>
              </w:rPr>
              <w:t>p</w:t>
            </w:r>
            <w:r>
              <w:rPr>
                <w:w w:val="100"/>
                <w:sz w:val="22"/>
              </w:rPr>
              <w:t>r</w:t>
            </w:r>
            <w:r>
              <w:rPr>
                <w:spacing w:val="-2"/>
                <w:w w:val="100"/>
                <w:sz w:val="22"/>
              </w:rPr>
              <w:t>o</w:t>
            </w:r>
            <w:r>
              <w:rPr>
                <w:spacing w:val="1"/>
                <w:w w:val="100"/>
                <w:sz w:val="22"/>
              </w:rPr>
              <w:t>m</w:t>
            </w:r>
            <w:r>
              <w:rPr>
                <w:w w:val="100"/>
                <w:sz w:val="22"/>
              </w:rPr>
              <w:t>e</w:t>
            </w:r>
            <w:r>
              <w:rPr>
                <w:spacing w:val="-1"/>
                <w:w w:val="100"/>
                <w:sz w:val="22"/>
              </w:rPr>
              <w:t>d</w:t>
            </w:r>
            <w:r>
              <w:rPr>
                <w:spacing w:val="-3"/>
                <w:w w:val="100"/>
                <w:sz w:val="22"/>
              </w:rPr>
              <w:t>i</w:t>
            </w:r>
            <w:r>
              <w:rPr>
                <w:spacing w:val="1"/>
                <w:w w:val="100"/>
                <w:sz w:val="22"/>
              </w:rPr>
              <w:t>o</w:t>
            </w:r>
            <w:r>
              <w:rPr>
                <w:w w:val="100"/>
                <w:sz w:val="22"/>
              </w:rPr>
              <w:t>)</w:t>
            </w:r>
          </w:p>
        </w:tc>
        <w:tc>
          <w:tcPr>
            <w:tcW w:w="1644" w:type="dxa"/>
          </w:tcPr>
          <w:p>
            <w:pPr>
              <w:pStyle w:val="TableParagraph"/>
              <w:ind w:right="63"/>
              <w:rPr>
                <w:b/>
                <w:sz w:val="22"/>
              </w:rPr>
            </w:pPr>
            <w:r>
              <w:rPr>
                <w:b/>
                <w:sz w:val="22"/>
              </w:rPr>
              <w:t>16,475</w:t>
            </w:r>
          </w:p>
        </w:tc>
      </w:tr>
      <w:tr>
        <w:trPr>
          <w:trHeight w:val="310" w:hRule="exact"/>
        </w:trPr>
        <w:tc>
          <w:tcPr>
            <w:tcW w:w="5280" w:type="dxa"/>
            <w:gridSpan w:val="6"/>
            <w:vMerge/>
            <w:tcBorders>
              <w:left w:val="nil"/>
            </w:tcBorders>
          </w:tcPr>
          <w:p>
            <w:pPr/>
          </w:p>
        </w:tc>
        <w:tc>
          <w:tcPr>
            <w:tcW w:w="1958" w:type="dxa"/>
            <w:gridSpan w:val="2"/>
          </w:tcPr>
          <w:p>
            <w:pPr>
              <w:pStyle w:val="TableParagraph"/>
              <w:spacing w:before="13"/>
              <w:ind w:left="64" w:right="0"/>
              <w:jc w:val="left"/>
              <w:rPr>
                <w:sz w:val="22"/>
              </w:rPr>
            </w:pPr>
            <w:r>
              <w:rPr>
                <w:sz w:val="22"/>
              </w:rPr>
              <w:t>Desviación estándar</w:t>
            </w:r>
          </w:p>
        </w:tc>
        <w:tc>
          <w:tcPr>
            <w:tcW w:w="1644" w:type="dxa"/>
          </w:tcPr>
          <w:p>
            <w:pPr>
              <w:pStyle w:val="TableParagraph"/>
              <w:ind w:right="63"/>
              <w:rPr>
                <w:b/>
                <w:sz w:val="22"/>
              </w:rPr>
            </w:pPr>
            <w:r>
              <w:rPr>
                <w:b/>
                <w:sz w:val="22"/>
              </w:rPr>
              <w:t>0,119</w:t>
            </w:r>
          </w:p>
        </w:tc>
      </w:tr>
      <w:tr>
        <w:trPr>
          <w:trHeight w:val="310" w:hRule="exact"/>
        </w:trPr>
        <w:tc>
          <w:tcPr>
            <w:tcW w:w="5280" w:type="dxa"/>
            <w:gridSpan w:val="6"/>
            <w:vMerge/>
            <w:tcBorders>
              <w:left w:val="nil"/>
            </w:tcBorders>
          </w:tcPr>
          <w:p>
            <w:pPr/>
          </w:p>
        </w:tc>
        <w:tc>
          <w:tcPr>
            <w:tcW w:w="1958" w:type="dxa"/>
            <w:gridSpan w:val="2"/>
            <w:vMerge w:val="restart"/>
          </w:tcPr>
          <w:p>
            <w:pPr>
              <w:pStyle w:val="TableParagraph"/>
              <w:spacing w:before="33"/>
              <w:ind w:left="64" w:right="323"/>
              <w:jc w:val="left"/>
              <w:rPr>
                <w:sz w:val="22"/>
              </w:rPr>
            </w:pPr>
            <w:r>
              <w:rPr>
                <w:sz w:val="22"/>
              </w:rPr>
              <w:t>Intervalo de confianza al 95 %</w:t>
            </w:r>
          </w:p>
        </w:tc>
        <w:tc>
          <w:tcPr>
            <w:tcW w:w="1644" w:type="dxa"/>
          </w:tcPr>
          <w:p>
            <w:pPr>
              <w:pStyle w:val="TableParagraph"/>
              <w:ind w:right="63"/>
              <w:rPr>
                <w:sz w:val="22"/>
              </w:rPr>
            </w:pPr>
            <w:r>
              <w:rPr>
                <w:sz w:val="22"/>
              </w:rPr>
              <w:t>16,24</w:t>
            </w:r>
          </w:p>
        </w:tc>
      </w:tr>
      <w:tr>
        <w:trPr>
          <w:trHeight w:val="310" w:hRule="exact"/>
        </w:trPr>
        <w:tc>
          <w:tcPr>
            <w:tcW w:w="5280" w:type="dxa"/>
            <w:gridSpan w:val="6"/>
            <w:vMerge/>
            <w:tcBorders>
              <w:left w:val="nil"/>
              <w:bottom w:val="nil"/>
            </w:tcBorders>
          </w:tcPr>
          <w:p>
            <w:pPr/>
          </w:p>
        </w:tc>
        <w:tc>
          <w:tcPr>
            <w:tcW w:w="1958" w:type="dxa"/>
            <w:gridSpan w:val="2"/>
            <w:vMerge/>
          </w:tcPr>
          <w:p>
            <w:pPr/>
          </w:p>
        </w:tc>
        <w:tc>
          <w:tcPr>
            <w:tcW w:w="1644" w:type="dxa"/>
          </w:tcPr>
          <w:p>
            <w:pPr>
              <w:pStyle w:val="TableParagraph"/>
              <w:ind w:right="63"/>
              <w:rPr>
                <w:sz w:val="22"/>
              </w:rPr>
            </w:pPr>
            <w:r>
              <w:rPr>
                <w:sz w:val="22"/>
              </w:rPr>
              <w:t>16,71</w:t>
            </w:r>
          </w:p>
        </w:tc>
      </w:tr>
    </w:tbl>
    <w:p>
      <w:pPr>
        <w:spacing w:after="0"/>
        <w:rPr>
          <w:sz w:val="22"/>
        </w:rPr>
        <w:sectPr>
          <w:pgSz w:w="12240" w:h="15840"/>
          <w:pgMar w:header="725" w:footer="1084" w:top="1340" w:bottom="1280" w:left="920" w:right="12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9"/>
        </w:rPr>
      </w:pPr>
    </w:p>
    <w:p>
      <w:pPr>
        <w:pStyle w:val="Heading5"/>
        <w:ind w:left="781" w:right="948"/>
        <w:jc w:val="left"/>
      </w:pPr>
      <w:bookmarkStart w:name="_TOC_250000" w:id="214"/>
      <w:bookmarkStart w:name="Anexo 8. Metodología para el análisis de" w:id="215"/>
      <w:r>
        <w:rPr>
          <w:b w:val="0"/>
        </w:rPr>
      </w:r>
      <w:bookmarkEnd w:id="214"/>
      <w:r>
        <w:rPr/>
        <w:t>ANEXO 8. METODOLOGÍA PARA EL ANÁLISIS DE PARÁMETROS LIMITANTES</w:t>
      </w:r>
    </w:p>
    <w:p>
      <w:pPr>
        <w:spacing w:after="0"/>
        <w:jc w:val="left"/>
        <w:sectPr>
          <w:pgSz w:w="12240" w:h="15840"/>
          <w:pgMar w:header="725" w:footer="1084" w:top="1340" w:bottom="1280" w:left="920" w:right="1200"/>
        </w:sectPr>
      </w:pPr>
    </w:p>
    <w:p>
      <w:pPr>
        <w:pStyle w:val="BodyText"/>
        <w:spacing w:line="60" w:lineRule="exact"/>
        <w:ind w:left="110"/>
        <w:rPr>
          <w:sz w:val="6"/>
        </w:rPr>
      </w:pPr>
      <w:r>
        <w:rPr>
          <w:position w:val="0"/>
          <w:sz w:val="6"/>
        </w:rPr>
        <w:pict>
          <v:group style="width:507pt;height:3pt;mso-position-horizontal-relative:char;mso-position-vertical-relative:line" coordorigin="0,0" coordsize="10140,60">
            <v:line style="position:absolute" from="30,30" to="30,30" stroked="true" strokeweight="3pt" strokecolor="#b3b3b3"/>
            <v:line style="position:absolute" from="30,30" to="10110,30" stroked="true" strokeweight="3pt" strokecolor="#b3b3b3"/>
          </v:group>
        </w:pict>
      </w:r>
      <w:r>
        <w:rPr>
          <w:position w:val="0"/>
          <w:sz w:val="6"/>
        </w:rPr>
      </w:r>
    </w:p>
    <w:p>
      <w:pPr>
        <w:spacing w:before="20"/>
        <w:ind w:left="6367" w:right="0" w:firstLine="0"/>
        <w:jc w:val="left"/>
        <w:rPr>
          <w:b/>
          <w:sz w:val="48"/>
        </w:rPr>
      </w:pPr>
      <w:r>
        <w:rPr/>
        <w:pict>
          <v:line style="position:absolute;mso-position-horizontal-relative:page;mso-position-vertical-relative:paragraph;z-index:9784;mso-wrap-distance-left:0;mso-wrap-distance-right:0" from="54pt,33.5317pt" to="558pt,33.5317pt" stroked="true" strokeweight="3pt" strokecolor="#b3b3b3">
            <w10:wrap type="topAndBottom"/>
          </v:line>
        </w:pict>
      </w:r>
      <w:r>
        <w:rPr>
          <w:b/>
          <w:spacing w:val="-29"/>
          <w:sz w:val="48"/>
        </w:rPr>
        <w:t>Nitrogen, </w:t>
      </w:r>
      <w:r>
        <w:rPr>
          <w:b/>
          <w:spacing w:val="-39"/>
          <w:sz w:val="48"/>
        </w:rPr>
        <w:t>Ammonia</w:t>
      </w:r>
    </w:p>
    <w:p>
      <w:pPr>
        <w:tabs>
          <w:tab w:pos="8144" w:val="left" w:leader="none"/>
        </w:tabs>
        <w:spacing w:before="0"/>
        <w:ind w:left="132" w:right="0" w:firstLine="0"/>
        <w:jc w:val="left"/>
        <w:rPr>
          <w:b/>
          <w:sz w:val="28"/>
        </w:rPr>
      </w:pPr>
      <w:r>
        <w:rPr>
          <w:b/>
          <w:spacing w:val="-10"/>
          <w:sz w:val="26"/>
        </w:rPr>
        <w:t>Method10031</w:t>
        <w:tab/>
      </w:r>
      <w:r>
        <w:rPr>
          <w:b/>
          <w:spacing w:val="-12"/>
          <w:position w:val="1"/>
          <w:sz w:val="28"/>
        </w:rPr>
        <w:t>Salicylate</w:t>
      </w:r>
      <w:r>
        <w:rPr>
          <w:b/>
          <w:spacing w:val="-42"/>
          <w:position w:val="1"/>
          <w:sz w:val="28"/>
        </w:rPr>
        <w:t> </w:t>
      </w:r>
      <w:r>
        <w:rPr>
          <w:b/>
          <w:spacing w:val="-18"/>
          <w:position w:val="1"/>
          <w:sz w:val="28"/>
        </w:rPr>
        <w:t>Method</w:t>
      </w:r>
    </w:p>
    <w:p>
      <w:pPr>
        <w:tabs>
          <w:tab w:pos="6881" w:val="left" w:leader="none"/>
        </w:tabs>
        <w:spacing w:before="91"/>
        <w:ind w:left="125" w:right="0" w:firstLine="0"/>
        <w:jc w:val="left"/>
        <w:rPr>
          <w:b/>
          <w:sz w:val="28"/>
        </w:rPr>
      </w:pPr>
      <w:r>
        <w:rPr>
          <w:b/>
          <w:spacing w:val="-22"/>
          <w:position w:val="1"/>
          <w:sz w:val="26"/>
        </w:rPr>
        <w:t>Test </w:t>
      </w:r>
      <w:r>
        <w:rPr>
          <w:b/>
          <w:spacing w:val="-8"/>
          <w:position w:val="1"/>
          <w:sz w:val="26"/>
        </w:rPr>
        <w:t>‘N</w:t>
      </w:r>
      <w:r>
        <w:rPr>
          <w:b/>
          <w:spacing w:val="-34"/>
          <w:position w:val="1"/>
          <w:sz w:val="26"/>
        </w:rPr>
        <w:t> </w:t>
      </w:r>
      <w:r>
        <w:rPr>
          <w:b/>
          <w:spacing w:val="-23"/>
          <w:position w:val="1"/>
          <w:sz w:val="26"/>
        </w:rPr>
        <w:t>Tube</w:t>
      </w:r>
      <w:r>
        <w:rPr>
          <w:b/>
          <w:spacing w:val="-23"/>
          <w:position w:val="8"/>
          <w:sz w:val="20"/>
        </w:rPr>
        <w:t>™ </w:t>
      </w:r>
      <w:r>
        <w:rPr>
          <w:b/>
          <w:spacing w:val="-10"/>
          <w:position w:val="1"/>
          <w:sz w:val="26"/>
        </w:rPr>
        <w:t>Vials</w:t>
        <w:tab/>
      </w:r>
      <w:r>
        <w:rPr>
          <w:b/>
          <w:spacing w:val="-8"/>
          <w:sz w:val="28"/>
        </w:rPr>
        <w:t>HR</w:t>
      </w:r>
      <w:r>
        <w:rPr>
          <w:b/>
          <w:spacing w:val="-45"/>
          <w:sz w:val="28"/>
        </w:rPr>
        <w:t> </w:t>
      </w:r>
      <w:r>
        <w:rPr>
          <w:b/>
          <w:sz w:val="28"/>
        </w:rPr>
        <w:t>(0.4</w:t>
      </w:r>
      <w:r>
        <w:rPr>
          <w:b/>
          <w:spacing w:val="-30"/>
          <w:sz w:val="28"/>
        </w:rPr>
        <w:t> </w:t>
      </w:r>
      <w:r>
        <w:rPr>
          <w:b/>
          <w:spacing w:val="-12"/>
          <w:sz w:val="28"/>
        </w:rPr>
        <w:t>to</w:t>
      </w:r>
      <w:r>
        <w:rPr>
          <w:b/>
          <w:spacing w:val="-38"/>
          <w:sz w:val="28"/>
        </w:rPr>
        <w:t> </w:t>
      </w:r>
      <w:r>
        <w:rPr>
          <w:b/>
          <w:spacing w:val="-4"/>
          <w:sz w:val="28"/>
        </w:rPr>
        <w:t>50.0</w:t>
      </w:r>
      <w:r>
        <w:rPr>
          <w:b/>
          <w:spacing w:val="-38"/>
          <w:sz w:val="28"/>
        </w:rPr>
        <w:t> </w:t>
      </w:r>
      <w:r>
        <w:rPr>
          <w:b/>
          <w:spacing w:val="-16"/>
          <w:sz w:val="28"/>
        </w:rPr>
        <w:t>mg/L</w:t>
      </w:r>
      <w:r>
        <w:rPr>
          <w:b/>
          <w:spacing w:val="-45"/>
          <w:sz w:val="28"/>
        </w:rPr>
        <w:t> </w:t>
      </w:r>
      <w:r>
        <w:rPr>
          <w:b/>
          <w:spacing w:val="-15"/>
          <w:sz w:val="28"/>
        </w:rPr>
        <w:t>NH</w:t>
      </w:r>
      <w:r>
        <w:rPr>
          <w:b/>
          <w:spacing w:val="-15"/>
          <w:position w:val="-6"/>
          <w:sz w:val="22"/>
        </w:rPr>
        <w:t>3</w:t>
      </w:r>
      <w:r>
        <w:rPr>
          <w:b/>
          <w:spacing w:val="-15"/>
          <w:sz w:val="28"/>
        </w:rPr>
        <w:t>–N)</w:t>
      </w:r>
    </w:p>
    <w:p>
      <w:pPr>
        <w:spacing w:before="102"/>
        <w:ind w:left="128" w:right="0" w:firstLine="0"/>
        <w:jc w:val="left"/>
        <w:rPr>
          <w:sz w:val="20"/>
        </w:rPr>
      </w:pPr>
      <w:r>
        <w:rPr>
          <w:b/>
          <w:sz w:val="20"/>
        </w:rPr>
        <w:t>Scope andApplication:  </w:t>
      </w:r>
      <w:r>
        <w:rPr>
          <w:sz w:val="20"/>
        </w:rPr>
        <w:t>For water, wastewater, and seawater</w:t>
      </w:r>
    </w:p>
    <w:p>
      <w:pPr>
        <w:pStyle w:val="BodyText"/>
        <w:rPr>
          <w:sz w:val="20"/>
        </w:rPr>
      </w:pPr>
    </w:p>
    <w:p>
      <w:pPr>
        <w:pStyle w:val="BodyText"/>
        <w:spacing w:before="5"/>
        <w:rPr>
          <w:sz w:val="20"/>
        </w:rPr>
      </w:pPr>
      <w:r>
        <w:rPr/>
        <w:pict>
          <v:group style="position:absolute;margin-left:54.327pt;margin-top:13.709826pt;width:503.7pt;height:40.85pt;mso-position-horizontal-relative:page;mso-position-vertical-relative:paragraph;z-index:9832;mso-wrap-distance-left:0;mso-wrap-distance-right:0" coordorigin="1087,274" coordsize="10074,817">
            <v:rect style="position:absolute;left:1087;top:407;width:10073;height:385" filled="true" fillcolor="#bcbec0" stroked="false">
              <v:fill type="solid"/>
            </v:rect>
            <v:shape style="position:absolute;left:1442;top:274;width:781;height:817" coordorigin="1442,274" coordsize="781,817" path="m2222,274l1442,274,1442,876,1835,876,2039,1091,2039,878,2221,878,2222,274xe" filled="true" fillcolor="#ffffff" stroked="false">
              <v:path arrowok="t"/>
              <v:fill type="solid"/>
            </v:shape>
            <v:shape style="position:absolute;left:1471;top:323;width:723;height:721" coordorigin="1471,323" coordsize="723,721" path="m2193,323l1471,323,1471,853,1835,853,2025,1043,2025,855,2191,855,2193,323xe" filled="true" fillcolor="#ffffff" stroked="false">
              <v:path arrowok="t"/>
              <v:fill type="solid"/>
            </v:shape>
            <v:shape style="position:absolute;left:1471;top:323;width:723;height:721" coordorigin="1471,323" coordsize="723,721" path="m2193,323l1471,323,1471,853,1835,853,2025,1043,2025,855,2191,855,2193,323xe" filled="false" stroked="true" strokeweight="1.5pt" strokecolor="#231f20">
              <v:path arrowok="t"/>
            </v:shape>
            <v:shape style="position:absolute;left:1782;top:686;width:101;height:101" type="#_x0000_t75" stroked="false">
              <v:imagedata r:id="rId134" o:title=""/>
            </v:shape>
            <v:shape style="position:absolute;left:1776;top:384;width:112;height:268" type="#_x0000_t75" stroked="false">
              <v:imagedata r:id="rId135" o:title=""/>
            </v:shape>
            <v:shape style="position:absolute;left:1087;top:274;width:10074;height:817" type="#_x0000_t202" filled="false" stroked="false">
              <v:textbox inset="0,0,0,0">
                <w:txbxContent>
                  <w:p>
                    <w:pPr>
                      <w:spacing w:before="141"/>
                      <w:ind w:left="1530" w:right="0" w:firstLine="0"/>
                      <w:jc w:val="left"/>
                      <w:rPr>
                        <w:b/>
                        <w:sz w:val="28"/>
                      </w:rPr>
                    </w:pPr>
                    <w:r>
                      <w:rPr>
                        <w:b/>
                        <w:color w:val="FFFFFF"/>
                        <w:sz w:val="28"/>
                      </w:rPr>
                      <w:t>Test Preparation</w:t>
                    </w:r>
                  </w:p>
                </w:txbxContent>
              </v:textbox>
              <w10:wrap type="none"/>
            </v:shape>
            <w10:wrap type="topAndBottom"/>
          </v:group>
        </w:pict>
      </w:r>
    </w:p>
    <w:p>
      <w:pPr>
        <w:pStyle w:val="BodyText"/>
        <w:rPr>
          <w:sz w:val="20"/>
        </w:rPr>
      </w:pPr>
    </w:p>
    <w:p>
      <w:pPr>
        <w:pStyle w:val="BodyText"/>
        <w:spacing w:before="2"/>
        <w:rPr>
          <w:sz w:val="18"/>
        </w:rPr>
      </w:pPr>
    </w:p>
    <w:p>
      <w:pPr>
        <w:spacing w:before="0"/>
        <w:ind w:left="219" w:right="0" w:firstLine="0"/>
        <w:jc w:val="left"/>
        <w:rPr>
          <w:b/>
          <w:sz w:val="18"/>
        </w:rPr>
      </w:pPr>
      <w:r>
        <w:rPr/>
        <w:pict>
          <v:group style="position:absolute;margin-left:53.57pt;margin-top:15.211865pt;width:504.8pt;height:52.55pt;mso-position-horizontal-relative:page;mso-position-vertical-relative:paragraph;z-index:9904;mso-wrap-distance-left:0;mso-wrap-distance-right:0" coordorigin="1071,304" coordsize="10096,1051">
            <v:rect style="position:absolute;left:1080;top:309;width:10080;height:520" filled="true" fillcolor="#e6e6ff" stroked="false">
              <v:fill type="solid"/>
            </v:rect>
            <v:line style="position:absolute" from="1080,314" to="1080,1345" stroked="true" strokeweight=".24pt" strokecolor="#000000"/>
            <v:line style="position:absolute" from="11160,314" to="11160,1345" stroked="true" strokeweight=".24pt" strokecolor="#000000"/>
            <v:line style="position:absolute" from="1076,309" to="11162,309" stroked="true" strokeweight=".48pt" strokecolor="#000000"/>
            <v:line style="position:absolute" from="1076,1350" to="11162,1350" stroked="true" strokeweight=".48pt" strokecolor="#000000"/>
            <v:shape style="position:absolute;left:1080;top:829;width:10080;height:521" type="#_x0000_t202" filled="false" stroked="false">
              <v:textbox inset="0,0,0,0">
                <w:txbxContent>
                  <w:p>
                    <w:pPr>
                      <w:spacing w:line="254" w:lineRule="auto" w:before="31"/>
                      <w:ind w:left="79" w:right="0" w:firstLine="0"/>
                      <w:jc w:val="left"/>
                      <w:rPr>
                        <w:sz w:val="18"/>
                      </w:rPr>
                    </w:pPr>
                    <w:r>
                      <w:rPr>
                        <w:sz w:val="18"/>
                      </w:rPr>
                      <w:t>Good safety habits and laboratory techniques should be used throughout the procedure. Consult the Material Safety Data Sheet (MSDS) for information specific to the reagent used.</w:t>
                    </w:r>
                  </w:p>
                </w:txbxContent>
              </v:textbox>
              <w10:wrap type="none"/>
            </v:shape>
            <v:shape style="position:absolute;left:1072;top:304;width:10096;height:1050" type="#_x0000_t202" filled="false" stroked="false">
              <v:textbox inset="0,0,0,0">
                <w:txbxContent>
                  <w:p>
                    <w:pPr>
                      <w:spacing w:line="254" w:lineRule="auto" w:before="36"/>
                      <w:ind w:left="87" w:right="0" w:hanging="1"/>
                      <w:jc w:val="left"/>
                      <w:rPr>
                        <w:sz w:val="18"/>
                      </w:rPr>
                    </w:pPr>
                    <w:r>
                      <w:rPr>
                        <w:sz w:val="18"/>
                      </w:rPr>
                      <w:t>Small sample sizes (such as 0.1 mL) may not be representative of the entire sample. Mix the sample well before testing or repeat the test, sampling from different portions of the sample.</w:t>
                    </w:r>
                  </w:p>
                </w:txbxContent>
              </v:textbox>
              <w10:wrap type="none"/>
            </v:shape>
            <w10:wrap type="topAndBottom"/>
          </v:group>
        </w:pict>
      </w:r>
      <w:r>
        <w:rPr>
          <w:b/>
          <w:sz w:val="18"/>
        </w:rPr>
        <w:t>Before starting the test:</w:t>
      </w:r>
    </w:p>
    <w:p>
      <w:pPr>
        <w:tabs>
          <w:tab w:pos="9135" w:val="left" w:leader="none"/>
        </w:tabs>
        <w:spacing w:before="37"/>
        <w:ind w:left="219" w:right="0" w:firstLine="0"/>
        <w:jc w:val="left"/>
        <w:rPr>
          <w:b/>
          <w:sz w:val="18"/>
        </w:rPr>
      </w:pPr>
      <w:r>
        <w:rPr>
          <w:b/>
          <w:sz w:val="18"/>
        </w:rPr>
        <w:t>Collect the</w:t>
      </w:r>
      <w:r>
        <w:rPr>
          <w:b/>
          <w:spacing w:val="-6"/>
          <w:sz w:val="18"/>
        </w:rPr>
        <w:t> </w:t>
      </w:r>
      <w:r>
        <w:rPr>
          <w:b/>
          <w:sz w:val="18"/>
        </w:rPr>
        <w:t>following</w:t>
      </w:r>
      <w:r>
        <w:rPr>
          <w:b/>
          <w:spacing w:val="-4"/>
          <w:sz w:val="18"/>
        </w:rPr>
        <w:t> </w:t>
      </w:r>
      <w:r>
        <w:rPr>
          <w:b/>
          <w:sz w:val="18"/>
        </w:rPr>
        <w:t>items:</w:t>
        <w:tab/>
        <w:t>Quantity</w:t>
      </w:r>
    </w:p>
    <w:p>
      <w:pPr>
        <w:pStyle w:val="BodyText"/>
        <w:spacing w:before="4"/>
        <w:rPr>
          <w:b/>
          <w:sz w:val="8"/>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08"/>
        <w:gridCol w:w="2972"/>
      </w:tblGrid>
      <w:tr>
        <w:trPr>
          <w:trHeight w:val="301" w:hRule="exact"/>
        </w:trPr>
        <w:tc>
          <w:tcPr>
            <w:tcW w:w="7108" w:type="dxa"/>
            <w:tcBorders>
              <w:left w:val="single" w:sz="2" w:space="0" w:color="000000"/>
              <w:bottom w:val="nil"/>
              <w:right w:val="nil"/>
            </w:tcBorders>
          </w:tcPr>
          <w:p>
            <w:pPr>
              <w:pStyle w:val="TableParagraph"/>
              <w:spacing w:before="27"/>
              <w:ind w:left="76" w:right="0"/>
              <w:jc w:val="left"/>
              <w:rPr>
                <w:rFonts w:ascii="Arial" w:hAnsi="Arial"/>
                <w:sz w:val="18"/>
              </w:rPr>
            </w:pPr>
            <w:r>
              <w:rPr>
                <w:rFonts w:ascii="Arial" w:hAnsi="Arial"/>
                <w:sz w:val="18"/>
              </w:rPr>
              <w:t>High Range Test ‘N Tube AmVer™ Nitrogen Ammonia Reagent</w:t>
            </w:r>
          </w:p>
        </w:tc>
        <w:tc>
          <w:tcPr>
            <w:tcW w:w="2972" w:type="dxa"/>
            <w:tcBorders>
              <w:left w:val="nil"/>
              <w:bottom w:val="nil"/>
              <w:right w:val="single" w:sz="2" w:space="0" w:color="000000"/>
            </w:tcBorders>
          </w:tcPr>
          <w:p>
            <w:pPr>
              <w:pStyle w:val="TableParagraph"/>
              <w:spacing w:before="27"/>
              <w:ind w:left="1530" w:right="0"/>
              <w:jc w:val="center"/>
              <w:rPr>
                <w:rFonts w:ascii="Arial"/>
                <w:sz w:val="18"/>
              </w:rPr>
            </w:pPr>
            <w:r>
              <w:rPr>
                <w:rFonts w:ascii="Arial"/>
                <w:sz w:val="18"/>
              </w:rPr>
              <w:t>2</w:t>
            </w:r>
          </w:p>
        </w:tc>
      </w:tr>
      <w:tr>
        <w:trPr>
          <w:trHeight w:val="300" w:hRule="exact"/>
        </w:trPr>
        <w:tc>
          <w:tcPr>
            <w:tcW w:w="7108" w:type="dxa"/>
            <w:tcBorders>
              <w:top w:val="nil"/>
              <w:left w:val="single" w:sz="2" w:space="0" w:color="000000"/>
              <w:bottom w:val="nil"/>
              <w:right w:val="nil"/>
            </w:tcBorders>
            <w:shd w:val="clear" w:color="auto" w:fill="E6E6FF"/>
          </w:tcPr>
          <w:p>
            <w:pPr>
              <w:pStyle w:val="TableParagraph"/>
              <w:spacing w:before="30"/>
              <w:ind w:left="76" w:right="0"/>
              <w:jc w:val="left"/>
              <w:rPr>
                <w:rFonts w:ascii="Arial"/>
                <w:sz w:val="18"/>
              </w:rPr>
            </w:pPr>
            <w:r>
              <w:rPr>
                <w:rFonts w:ascii="Arial"/>
                <w:sz w:val="18"/>
              </w:rPr>
              <w:t>Funnel, micro (for adding reagent)</w:t>
            </w:r>
          </w:p>
        </w:tc>
        <w:tc>
          <w:tcPr>
            <w:tcW w:w="2972" w:type="dxa"/>
            <w:tcBorders>
              <w:top w:val="nil"/>
              <w:left w:val="nil"/>
              <w:bottom w:val="nil"/>
              <w:right w:val="single" w:sz="2" w:space="0" w:color="000000"/>
            </w:tcBorders>
            <w:shd w:val="clear" w:color="auto" w:fill="E6E6FF"/>
          </w:tcPr>
          <w:p>
            <w:pPr>
              <w:pStyle w:val="TableParagraph"/>
              <w:spacing w:before="30"/>
              <w:ind w:left="1533" w:right="0"/>
              <w:jc w:val="center"/>
              <w:rPr>
                <w:rFonts w:ascii="Arial"/>
                <w:sz w:val="18"/>
              </w:rPr>
            </w:pPr>
            <w:r>
              <w:rPr>
                <w:rFonts w:ascii="Arial"/>
                <w:sz w:val="18"/>
              </w:rPr>
              <w:t>1</w:t>
            </w:r>
          </w:p>
        </w:tc>
      </w:tr>
      <w:tr>
        <w:trPr>
          <w:trHeight w:val="300" w:hRule="exact"/>
        </w:trPr>
        <w:tc>
          <w:tcPr>
            <w:tcW w:w="7108" w:type="dxa"/>
            <w:tcBorders>
              <w:top w:val="nil"/>
              <w:left w:val="single" w:sz="2" w:space="0" w:color="000000"/>
              <w:bottom w:val="nil"/>
              <w:right w:val="nil"/>
            </w:tcBorders>
          </w:tcPr>
          <w:p>
            <w:pPr>
              <w:pStyle w:val="TableParagraph"/>
              <w:ind w:left="76" w:right="0"/>
              <w:jc w:val="left"/>
              <w:rPr>
                <w:rFonts w:ascii="Arial" w:hAnsi="Arial"/>
                <w:sz w:val="18"/>
              </w:rPr>
            </w:pPr>
            <w:r>
              <w:rPr>
                <w:rFonts w:ascii="Arial" w:hAnsi="Arial"/>
                <w:sz w:val="18"/>
              </w:rPr>
              <w:t>Pipet, TenSette</w:t>
            </w:r>
            <w:r>
              <w:rPr>
                <w:rFonts w:ascii="Arial" w:hAnsi="Arial"/>
                <w:position w:val="4"/>
                <w:sz w:val="14"/>
              </w:rPr>
              <w:t>®</w:t>
            </w:r>
            <w:r>
              <w:rPr>
                <w:rFonts w:ascii="Arial" w:hAnsi="Arial"/>
                <w:sz w:val="18"/>
              </w:rPr>
              <w:t>, 0.1–1.0 mL</w:t>
            </w:r>
          </w:p>
        </w:tc>
        <w:tc>
          <w:tcPr>
            <w:tcW w:w="2972" w:type="dxa"/>
            <w:tcBorders>
              <w:top w:val="nil"/>
              <w:left w:val="nil"/>
              <w:bottom w:val="nil"/>
              <w:right w:val="single" w:sz="2" w:space="0" w:color="000000"/>
            </w:tcBorders>
          </w:tcPr>
          <w:p>
            <w:pPr>
              <w:pStyle w:val="TableParagraph"/>
              <w:spacing w:before="30"/>
              <w:ind w:left="1533" w:right="0"/>
              <w:jc w:val="center"/>
              <w:rPr>
                <w:rFonts w:ascii="Arial"/>
                <w:sz w:val="18"/>
              </w:rPr>
            </w:pPr>
            <w:r>
              <w:rPr>
                <w:rFonts w:ascii="Arial"/>
                <w:sz w:val="18"/>
              </w:rPr>
              <w:t>1</w:t>
            </w:r>
          </w:p>
        </w:tc>
      </w:tr>
      <w:tr>
        <w:trPr>
          <w:trHeight w:val="300" w:hRule="exact"/>
        </w:trPr>
        <w:tc>
          <w:tcPr>
            <w:tcW w:w="7108" w:type="dxa"/>
            <w:tcBorders>
              <w:top w:val="nil"/>
              <w:left w:val="single" w:sz="2" w:space="0" w:color="000000"/>
              <w:right w:val="nil"/>
            </w:tcBorders>
            <w:shd w:val="clear" w:color="auto" w:fill="E6E6FF"/>
          </w:tcPr>
          <w:p>
            <w:pPr>
              <w:pStyle w:val="TableParagraph"/>
              <w:spacing w:before="30"/>
              <w:ind w:left="76" w:right="0"/>
              <w:jc w:val="left"/>
              <w:rPr>
                <w:rFonts w:ascii="Arial"/>
                <w:sz w:val="18"/>
              </w:rPr>
            </w:pPr>
            <w:r>
              <w:rPr>
                <w:rFonts w:ascii="Arial"/>
                <w:sz w:val="18"/>
              </w:rPr>
              <w:t>Pipet Tips, for TenSette Pipet</w:t>
            </w:r>
          </w:p>
        </w:tc>
        <w:tc>
          <w:tcPr>
            <w:tcW w:w="2972" w:type="dxa"/>
            <w:tcBorders>
              <w:top w:val="nil"/>
              <w:left w:val="nil"/>
              <w:right w:val="single" w:sz="2" w:space="0" w:color="000000"/>
            </w:tcBorders>
            <w:shd w:val="clear" w:color="auto" w:fill="E6E6FF"/>
          </w:tcPr>
          <w:p>
            <w:pPr>
              <w:pStyle w:val="TableParagraph"/>
              <w:spacing w:before="30"/>
              <w:ind w:left="1991" w:right="458"/>
              <w:jc w:val="center"/>
              <w:rPr>
                <w:rFonts w:ascii="Arial"/>
                <w:sz w:val="18"/>
              </w:rPr>
            </w:pPr>
            <w:r>
              <w:rPr>
                <w:rFonts w:ascii="Arial"/>
                <w:sz w:val="18"/>
              </w:rPr>
              <w:t>varies</w:t>
            </w:r>
          </w:p>
        </w:tc>
      </w:tr>
    </w:tbl>
    <w:p>
      <w:pPr>
        <w:spacing w:before="26"/>
        <w:ind w:left="219" w:right="0" w:firstLine="0"/>
        <w:jc w:val="left"/>
        <w:rPr>
          <w:i/>
          <w:sz w:val="18"/>
        </w:rPr>
      </w:pPr>
      <w:r>
        <w:rPr>
          <w:b/>
          <w:i/>
          <w:sz w:val="18"/>
        </w:rPr>
        <w:t>Note: </w:t>
      </w:r>
      <w:r>
        <w:rPr>
          <w:i/>
          <w:sz w:val="18"/>
        </w:rPr>
        <w:t>Reorder information for consumables and replacement items is on page </w:t>
      </w:r>
      <w:r>
        <w:rPr>
          <w:i/>
          <w:color w:val="0000FF"/>
          <w:sz w:val="18"/>
        </w:rPr>
        <w:t>5</w:t>
      </w:r>
      <w:r>
        <w:rPr>
          <w:i/>
          <w:sz w:val="18"/>
        </w:rPr>
        <w:t>.</w:t>
      </w:r>
    </w:p>
    <w:p>
      <w:pPr>
        <w:pStyle w:val="BodyText"/>
        <w:rPr>
          <w:i/>
          <w:sz w:val="20"/>
        </w:rPr>
      </w:pPr>
    </w:p>
    <w:p>
      <w:pPr>
        <w:pStyle w:val="BodyText"/>
        <w:rPr>
          <w:i/>
          <w:sz w:val="20"/>
        </w:rPr>
      </w:pPr>
    </w:p>
    <w:p>
      <w:pPr>
        <w:pStyle w:val="BodyText"/>
        <w:rPr>
          <w:i/>
          <w:sz w:val="20"/>
        </w:rPr>
      </w:pPr>
    </w:p>
    <w:p>
      <w:pPr>
        <w:pStyle w:val="BodyText"/>
        <w:rPr>
          <w:i/>
          <w:sz w:val="20"/>
        </w:rPr>
      </w:pPr>
      <w:r>
        <w:rPr/>
        <w:pict>
          <v:shape style="position:absolute;margin-left:54pt;margin-top:12.735694pt;width:504pt;height:19.25pt;mso-position-horizontal-relative:page;mso-position-vertical-relative:paragraph;z-index:9928;mso-wrap-distance-left:0;mso-wrap-distance-right:0" type="#_x0000_t202" filled="true" fillcolor="#bcbec0" stroked="false">
            <v:textbox inset="0,0,0,0">
              <w:txbxContent>
                <w:p>
                  <w:pPr>
                    <w:tabs>
                      <w:tab w:pos="7974" w:val="left" w:leader="none"/>
                    </w:tabs>
                    <w:spacing w:before="0"/>
                    <w:ind w:left="104" w:right="0" w:firstLine="0"/>
                    <w:jc w:val="left"/>
                    <w:rPr>
                      <w:b/>
                      <w:sz w:val="28"/>
                    </w:rPr>
                  </w:pPr>
                  <w:r>
                    <w:rPr>
                      <w:b/>
                      <w:color w:val="FFFFFF"/>
                      <w:spacing w:val="-5"/>
                      <w:sz w:val="28"/>
                    </w:rPr>
                    <w:t>Test</w:t>
                  </w:r>
                  <w:r>
                    <w:rPr>
                      <w:b/>
                      <w:color w:val="FFFFFF"/>
                      <w:spacing w:val="-1"/>
                      <w:sz w:val="28"/>
                    </w:rPr>
                    <w:t> </w:t>
                  </w:r>
                  <w:r>
                    <w:rPr>
                      <w:b/>
                      <w:color w:val="FFFFFF"/>
                      <w:sz w:val="28"/>
                    </w:rPr>
                    <w:t>‘N</w:t>
                  </w:r>
                  <w:r>
                    <w:rPr>
                      <w:b/>
                      <w:color w:val="FFFFFF"/>
                      <w:spacing w:val="-1"/>
                      <w:sz w:val="28"/>
                    </w:rPr>
                    <w:t> </w:t>
                  </w:r>
                  <w:r>
                    <w:rPr>
                      <w:b/>
                      <w:color w:val="FFFFFF"/>
                      <w:spacing w:val="-7"/>
                      <w:sz w:val="28"/>
                    </w:rPr>
                    <w:t>Tube</w:t>
                    <w:tab/>
                  </w:r>
                  <w:r>
                    <w:rPr>
                      <w:b/>
                      <w:color w:val="FFFFFF"/>
                      <w:sz w:val="28"/>
                    </w:rPr>
                    <w:t>Method</w:t>
                  </w:r>
                  <w:r>
                    <w:rPr>
                      <w:b/>
                      <w:color w:val="FFFFFF"/>
                      <w:spacing w:val="-4"/>
                      <w:sz w:val="28"/>
                    </w:rPr>
                    <w:t> </w:t>
                  </w:r>
                  <w:r>
                    <w:rPr>
                      <w:b/>
                      <w:color w:val="FFFFFF"/>
                      <w:sz w:val="28"/>
                    </w:rPr>
                    <w:t>10031</w:t>
                  </w:r>
                </w:p>
              </w:txbxContent>
            </v:textbox>
            <v:fill type="solid"/>
            <w10:wrap type="topAndBottom"/>
          </v:shape>
        </w:pict>
      </w:r>
      <w:r>
        <w:rPr/>
        <w:pict>
          <v:group style="position:absolute;margin-left:54pt;margin-top:48.192696pt;width:122.4pt;height:122.4pt;mso-position-horizontal-relative:page;mso-position-vertical-relative:paragraph;z-index:9952;mso-wrap-distance-left:0;mso-wrap-distance-right:0" coordorigin="1080,964" coordsize="2448,2448">
            <v:rect style="position:absolute;left:1256;top:2126;width:2091;height:216" filled="true" fillcolor="#231f20" stroked="false">
              <v:fill type="solid"/>
            </v:rect>
            <v:shape style="position:absolute;left:1347;top:2180;width:256;height:117" type="#_x0000_t75" stroked="false">
              <v:imagedata r:id="rId136" o:title=""/>
            </v:shape>
            <v:shape style="position:absolute;left:1713;top:2179;width:139;height:142" type="#_x0000_t75" stroked="false">
              <v:imagedata r:id="rId137" o:title=""/>
            </v:shape>
            <v:shape style="position:absolute;left:1904;top:2177;width:721;height:118" type="#_x0000_t75" stroked="false">
              <v:imagedata r:id="rId138" o:title=""/>
            </v:shape>
            <v:shape style="position:absolute;left:2685;top:2179;width:212;height:115" type="#_x0000_t75" stroked="false">
              <v:imagedata r:id="rId139" o:title=""/>
            </v:shape>
            <v:shape style="position:absolute;left:2936;top:2179;width:307;height:115" type="#_x0000_t75" stroked="false">
              <v:imagedata r:id="rId140" o:title=""/>
            </v:shape>
            <v:rect style="position:absolute;left:1200;top:964;width:2328;height:120" filled="true" fillcolor="#b3b3b3" stroked="false">
              <v:fill type="solid"/>
            </v:rect>
            <v:rect style="position:absolute;left:3408;top:1024;width:120;height:2388" filled="true" fillcolor="#b3b3b3" stroked="false">
              <v:fill type="solid"/>
            </v:rect>
            <v:rect style="position:absolute;left:1080;top:3292;width:2388;height:120" filled="true" fillcolor="#b3b3b3" stroked="false">
              <v:fill type="solid"/>
            </v:rect>
            <v:rect style="position:absolute;left:1080;top:964;width:120;height:2388" filled="true" fillcolor="#b3b3b3" stroked="false">
              <v:fill type="solid"/>
            </v:rect>
            <w10:wrap type="topAndBottom"/>
          </v:group>
        </w:pict>
      </w:r>
      <w:r>
        <w:rPr/>
        <w:pict>
          <v:group style="position:absolute;margin-left:182.220001pt;margin-top:48.167702pt;width:122.4pt;height:122.45pt;mso-position-horizontal-relative:page;mso-position-vertical-relative:paragraph;z-index:9976;mso-wrap-distance-left:0;mso-wrap-distance-right:0" coordorigin="3644,963" coordsize="2448,2449">
            <v:shape style="position:absolute;left:4654;top:1999;width:178;height:1225" coordorigin="4654,1999" coordsize="178,1225" path="m4832,3137l4832,2092,4828,2070,4820,2063,4812,2059,4809,2050,4809,1999,4679,1999,4679,2000,4679,2005,4679,2021,4679,2050,4675,2059,4667,2063,4658,2071,4654,2093,4655,3135,4662,3169,4681,3197,4709,3216,4743,3223,4777,3216,4805,3198,4824,3170,4832,3137xe" filled="false" stroked="true" strokeweight=".972pt" strokecolor="#231f20">
              <v:path arrowok="t"/>
            </v:shape>
            <v:shape style="position:absolute;left:4699;top:1182;width:103;height:763" coordorigin="4699,1182" coordsize="103,763" path="m4801,1182l4699,1182,4750,1945,4801,1182xe" filled="true" fillcolor="#231f20" stroked="false">
              <v:path arrowok="t"/>
              <v:fill type="solid"/>
            </v:shape>
            <v:shape style="position:absolute;left:4699;top:1182;width:103;height:763" coordorigin="4699,1182" coordsize="103,763" path="m4750,1945l4801,1182,4699,1182,4750,1945xe" filled="false" stroked="true" strokeweight=".022pt" strokecolor="#231f20">
              <v:path arrowok="t"/>
            </v:shape>
            <v:shape style="position:absolute;left:4712;top:1195;width:77;height:568" coordorigin="4712,1195" coordsize="77,568" path="m4788,1195l4712,1195,4750,1762,4788,1195xe" filled="true" fillcolor="#ffffff" stroked="false">
              <v:path arrowok="t"/>
              <v:fill type="solid"/>
            </v:shape>
            <v:shape style="position:absolute;left:4712;top:1195;width:77;height:568" coordorigin="4712,1195" coordsize="77,568" path="m4712,1195l4750,1762,4788,1195,4712,1195xe" filled="false" stroked="true" strokeweight=".022pt" strokecolor="#231f20">
              <v:path arrowok="t"/>
            </v:shape>
            <v:shape style="position:absolute;left:4704;top:964;width:92;height:289" coordorigin="4704,964" coordsize="92,289" path="m4796,964l4704,964,4704,992,4712,1088,4719,1252,4780,1252,4788,1088,4796,992,4796,964xe" filled="true" fillcolor="#231f20" stroked="false">
              <v:path arrowok="t"/>
              <v:fill type="solid"/>
            </v:shape>
            <v:shape style="position:absolute;left:4704;top:964;width:92;height:289" coordorigin="4704,964" coordsize="92,289" path="m4780,1252l4788,1088,4796,992,4796,964,4704,964,4704,992,4712,1088,4719,1252,4711,1252,4752,1252,4792,1252,4780,1252e" filled="false" stroked="true" strokeweight=".022pt" strokecolor="#231f20">
              <v:path arrowok="t"/>
            </v:shape>
            <v:rect style="position:absolute;left:3764;top:964;width:2328;height:120" filled="true" fillcolor="#b3b3b3" stroked="false">
              <v:fill type="solid"/>
            </v:rect>
            <v:rect style="position:absolute;left:5972;top:1024;width:120;height:2388" filled="true" fillcolor="#b3b3b3" stroked="false">
              <v:fill type="solid"/>
            </v:rect>
            <v:rect style="position:absolute;left:3644;top:3292;width:2388;height:120" filled="true" fillcolor="#b3b3b3" stroked="false">
              <v:fill type="solid"/>
            </v:rect>
            <v:rect style="position:absolute;left:3644;top:964;width:120;height:2388" filled="true" fillcolor="#b3b3b3" stroked="false">
              <v:fill type="solid"/>
            </v:rect>
            <w10:wrap type="topAndBottom"/>
          </v:group>
        </w:pict>
      </w:r>
      <w:r>
        <w:rPr/>
        <w:pict>
          <v:group style="position:absolute;margin-left:310.5pt;margin-top:48.167702pt;width:122.4pt;height:122.45pt;mso-position-horizontal-relative:page;mso-position-vertical-relative:paragraph;z-index:10000;mso-wrap-distance-left:0;mso-wrap-distance-right:0" coordorigin="6210,963" coordsize="2448,2449">
            <v:shape style="position:absolute;left:7219;top:1999;width:178;height:1225" coordorigin="7219,1999" coordsize="178,1225" path="m7397,3137l7397,2092,7394,2070,7385,2063,7377,2059,7374,2050,7374,1999,7244,1999,7244,2000,7244,2005,7244,2021,7244,2050,7240,2059,7232,2063,7223,2071,7219,2093,7220,3135,7227,3169,7246,3197,7274,3216,7308,3223,7342,3216,7370,3198,7390,3170,7397,3137xe" filled="false" stroked="true" strokeweight=".972pt" strokecolor="#231f20">
              <v:path arrowok="t"/>
            </v:shape>
            <v:shape style="position:absolute;left:7264;top:1182;width:103;height:763" coordorigin="7264,1182" coordsize="103,763" path="m7366,1182l7264,1182,7315,1945,7366,1182xe" filled="true" fillcolor="#231f20" stroked="false">
              <v:path arrowok="t"/>
              <v:fill type="solid"/>
            </v:shape>
            <v:shape style="position:absolute;left:7264;top:1182;width:103;height:763" coordorigin="7264,1182" coordsize="103,763" path="m7315,1945l7366,1182,7264,1182,7315,1945xe" filled="false" stroked="true" strokeweight=".022pt" strokecolor="#231f20">
              <v:path arrowok="t"/>
            </v:shape>
            <v:shape style="position:absolute;left:7277;top:1195;width:77;height:568" coordorigin="7277,1195" coordsize="77,568" path="m7353,1195l7277,1195,7315,1762,7353,1195xe" filled="true" fillcolor="#ffffff" stroked="false">
              <v:path arrowok="t"/>
              <v:fill type="solid"/>
            </v:shape>
            <v:shape style="position:absolute;left:7277;top:1195;width:77;height:568" coordorigin="7277,1195" coordsize="77,568" path="m7277,1195l7315,1762,7353,1195,7277,1195xe" filled="false" stroked="true" strokeweight=".022pt" strokecolor="#231f20">
              <v:path arrowok="t"/>
            </v:shape>
            <v:shape style="position:absolute;left:7269;top:964;width:92;height:289" coordorigin="7269,964" coordsize="92,289" path="m7361,964l7269,964,7269,992,7277,1088,7284,1252,7345,1252,7353,1088,7361,992,7361,964xe" filled="true" fillcolor="#231f20" stroked="false">
              <v:path arrowok="t"/>
              <v:fill type="solid"/>
            </v:shape>
            <v:shape style="position:absolute;left:7269;top:964;width:92;height:289" coordorigin="7269,964" coordsize="92,289" path="m7345,1252l7353,1088,7361,992,7361,964,7269,964,7269,992,7277,1088,7284,1252,7276,1252,7317,1252,7357,1252,7345,1252e" filled="false" stroked="true" strokeweight=".022pt" strokecolor="#231f20">
              <v:path arrowok="t"/>
            </v:shape>
            <v:rect style="position:absolute;left:6330;top:964;width:2328;height:120" filled="true" fillcolor="#b3b3b3" stroked="false">
              <v:fill type="solid"/>
            </v:rect>
            <v:rect style="position:absolute;left:8538;top:1024;width:120;height:2388" filled="true" fillcolor="#b3b3b3" stroked="false">
              <v:fill type="solid"/>
            </v:rect>
            <v:rect style="position:absolute;left:6210;top:3292;width:2388;height:120" filled="true" fillcolor="#b3b3b3" stroked="false">
              <v:fill type="solid"/>
            </v:rect>
            <v:rect style="position:absolute;left:6210;top:964;width:120;height:2388" filled="true" fillcolor="#b3b3b3" stroked="false">
              <v:fill type="solid"/>
            </v:rect>
            <w10:wrap type="topAndBottom"/>
          </v:group>
        </w:pict>
      </w:r>
      <w:r>
        <w:rPr/>
        <w:pict>
          <v:group style="position:absolute;margin-left:438.720001pt;margin-top:48.192696pt;width:122.4pt;height:122.4pt;mso-position-horizontal-relative:page;mso-position-vertical-relative:paragraph;z-index:10024;mso-wrap-distance-left:0;mso-wrap-distance-right:0" coordorigin="8774,964" coordsize="2448,2448">
            <v:shape style="position:absolute;left:9355;top:1176;width:514;height:402" coordorigin="9355,1176" coordsize="514,402" path="m9463,1176l9355,1457,9423,1467,9551,1578,9616,1550,9553,1550,9450,1463,9472,1462,9503,1445,9432,1445,9390,1437,9480,1205,9589,1205,9463,1176xm9603,1406l9573,1406,9679,1500,9553,1550,9616,1550,9697,1517,9768,1517,9776,1497,9744,1497,9699,1489,9603,1406xm9768,1517l9697,1517,9763,1531,9768,1517xm9820,1235l9740,1235,9834,1259,9744,1497,9776,1497,9868,1246,9820,1235xm9601,1314l9567,1388,9471,1444,9432,1445,9503,1445,9573,1406,9603,1406,9585,1390,9601,1314xm9589,1205l9480,1205,9638,1238,9740,1235,9820,1235,9740,1215,9634,1215,9589,1205xe" filled="true" fillcolor="#231f20" stroked="false">
              <v:path arrowok="t"/>
              <v:fill type="solid"/>
            </v:shape>
            <v:shape style="position:absolute;left:9467;top:1433;width:174;height:286" type="#_x0000_t75" stroked="false">
              <v:imagedata r:id="rId141" o:title=""/>
            </v:shape>
            <v:rect style="position:absolute;left:9397;top:1662;width:559;height:1560" filled="true" fillcolor="#ffffff" stroked="false">
              <v:fill type="solid"/>
            </v:rect>
            <v:shape style="position:absolute;left:9449;top:1835;width:198;height:1361" coordorigin="9449,1835" coordsize="198,1361" path="m9620,1835l9476,1835,9476,1891,9472,1901,9462,1906,9453,1915,9449,1939,9449,3097,9457,3135,9478,3166,9509,3187,9547,3195,9585,3187,9617,3167,9638,3136,9646,3099,9646,1938,9642,1914,9633,1905,9624,1901,9620,1891,9620,1835xe" filled="true" fillcolor="#ffffff" stroked="false">
              <v:path arrowok="t"/>
              <v:fill type="solid"/>
            </v:shape>
            <v:shape style="position:absolute;left:9449;top:1835;width:198;height:1361" coordorigin="9449,1835" coordsize="198,1361" path="m9646,3099l9646,1938,9642,1914,9633,1905,9624,1901,9620,1891,9620,1835,9476,1835,9476,1836,9476,1842,9476,1859,9476,1891,9472,1901,9462,1906,9453,1915,9449,1939,9449,3097,9457,3135,9478,3166,9509,3187,9547,3195,9585,3187,9617,3167,9638,3136,9646,3099xe" filled="false" stroked="true" strokeweight="1.08pt" strokecolor="#231f20">
              <v:path arrowok="t"/>
            </v:shape>
            <v:rect style="position:absolute;left:9741;top:3040;width:197;height:151" filled="true" fillcolor="#231f20" stroked="false">
              <v:fill type="solid"/>
            </v:rect>
            <v:shape style="position:absolute;left:9405;top:1675;width:284;height:244" type="#_x0000_t75" stroked="false">
              <v:imagedata r:id="rId142" o:title=""/>
            </v:shape>
            <v:shape style="position:absolute;left:10215;top:1199;width:514;height:402" coordorigin="10215,1199" coordsize="514,402" path="m10323,1199l10215,1479,10283,1490,10411,1600,10476,1573,10413,1573,10310,1486,10332,1484,10363,1468,10292,1468,10250,1460,10340,1227,10449,1227,10323,1199xm10463,1429l10433,1429,10539,1522,10413,1573,10476,1573,10557,1539,10628,1539,10636,1520,10604,1520,10559,1512,10463,1429xm10628,1539l10557,1539,10623,1553,10628,1539xm10680,1257l10600,1257,10695,1282,10604,1520,10636,1520,10728,1269,10680,1257xm10461,1336l10427,1410,10331,1466,10292,1468,10363,1468,10433,1429,10463,1429,10445,1413,10461,1336xm10449,1227l10340,1227,10498,1261,10600,1257,10680,1257,10600,1238,10494,1238,10449,1227xe" filled="true" fillcolor="#231f20" stroked="false">
              <v:path arrowok="t"/>
              <v:fill type="solid"/>
            </v:shape>
            <v:shape style="position:absolute;left:10327;top:1455;width:174;height:286" type="#_x0000_t75" stroked="false">
              <v:imagedata r:id="rId143" o:title=""/>
            </v:shape>
            <v:rect style="position:absolute;left:10256;top:1685;width:560;height:1560" filled="true" fillcolor="#ffffff" stroked="false">
              <v:fill type="solid"/>
            </v:rect>
            <v:shape style="position:absolute;left:10309;top:1857;width:198;height:1361" coordorigin="10309,1857" coordsize="198,1361" path="m10480,1857l10336,1857,10336,1914,10332,1924,10322,1928,10313,1937,10309,1962,10309,3119,10317,3157,10338,3189,10369,3210,10407,3218,10445,3210,10477,3189,10498,3158,10506,3121,10506,1960,10502,1937,10493,1928,10484,1924,10480,1914,10480,1857xe" filled="true" fillcolor="#ffffff" stroked="false">
              <v:path arrowok="t"/>
              <v:fill type="solid"/>
            </v:shape>
            <v:shape style="position:absolute;left:10309;top:1857;width:198;height:1361" coordorigin="10309,1857" coordsize="198,1361" path="m10506,3121l10506,1960,10502,1937,10493,1928,10484,1924,10480,1914,10480,1857,10336,1857,10336,1858,10336,1864,10336,1881,10336,1914,10332,1924,10322,1928,10313,1937,10309,1962,10309,3119,10317,3157,10338,3189,10369,3210,10407,3218,10445,3210,10477,3189,10498,3158,10506,3121xe" filled="false" stroked="true" strokeweight="1.08pt" strokecolor="#231f20">
              <v:path arrowok="t"/>
            </v:shape>
            <v:rect style="position:absolute;left:10601;top:3063;width:197;height:151" filled="true" fillcolor="#231f20" stroked="false">
              <v:fill type="solid"/>
            </v:rect>
            <v:shape style="position:absolute;left:10265;top:1698;width:284;height:244" type="#_x0000_t75" stroked="false">
              <v:imagedata r:id="rId142" o:title=""/>
            </v:shape>
            <v:rect style="position:absolute;left:8894;top:964;width:2328;height:120" filled="true" fillcolor="#b3b3b3" stroked="false">
              <v:fill type="solid"/>
            </v:rect>
            <v:rect style="position:absolute;left:11102;top:1024;width:120;height:2388" filled="true" fillcolor="#b3b3b3" stroked="false">
              <v:fill type="solid"/>
            </v:rect>
            <v:rect style="position:absolute;left:8774;top:3292;width:2388;height:120" filled="true" fillcolor="#b3b3b3" stroked="false">
              <v:fill type="solid"/>
            </v:rect>
            <v:rect style="position:absolute;left:8774;top:964;width:120;height:2388" filled="true" fillcolor="#b3b3b3" stroked="false">
              <v:fill type="solid"/>
            </v:rect>
            <w10:wrap type="topAndBottom"/>
          </v:group>
        </w:pict>
      </w:r>
    </w:p>
    <w:p>
      <w:pPr>
        <w:pStyle w:val="BodyText"/>
        <w:spacing w:before="5"/>
        <w:rPr>
          <w:i/>
          <w:sz w:val="23"/>
        </w:rPr>
      </w:pPr>
    </w:p>
    <w:p>
      <w:pPr>
        <w:pStyle w:val="BodyText"/>
        <w:spacing w:before="1"/>
        <w:rPr>
          <w:i/>
          <w:sz w:val="6"/>
        </w:rPr>
      </w:pPr>
    </w:p>
    <w:p>
      <w:pPr>
        <w:spacing w:after="0"/>
        <w:rPr>
          <w:sz w:val="6"/>
        </w:rPr>
        <w:sectPr>
          <w:headerReference w:type="default" r:id="rId132"/>
          <w:footerReference w:type="default" r:id="rId133"/>
          <w:pgSz w:w="11900" w:h="15840"/>
          <w:pgMar w:header="0" w:footer="0" w:top="540" w:bottom="0" w:left="940" w:right="560"/>
        </w:sectPr>
      </w:pPr>
    </w:p>
    <w:p>
      <w:pPr>
        <w:tabs>
          <w:tab w:pos="2704" w:val="left" w:leader="none"/>
        </w:tabs>
        <w:spacing w:before="7"/>
        <w:ind w:left="140" w:right="0" w:firstLine="0"/>
        <w:jc w:val="left"/>
        <w:rPr>
          <w:b/>
          <w:sz w:val="20"/>
        </w:rPr>
      </w:pPr>
      <w:r>
        <w:rPr/>
        <w:drawing>
          <wp:anchor distT="0" distB="0" distL="0" distR="0" allowOverlap="1" layoutInCell="1" locked="0" behindDoc="1" simplePos="0" relativeHeight="266913719">
            <wp:simplePos x="0" y="0"/>
            <wp:positionH relativeFrom="page">
              <wp:posOffset>830580</wp:posOffset>
            </wp:positionH>
            <wp:positionV relativeFrom="paragraph">
              <wp:posOffset>-1353186</wp:posOffset>
            </wp:positionV>
            <wp:extent cx="1256781" cy="308324"/>
            <wp:effectExtent l="0" t="0" r="0" b="0"/>
            <wp:wrapNone/>
            <wp:docPr id="103" name="image130.png" descr=""/>
            <wp:cNvGraphicFramePr>
              <a:graphicFrameLocks noChangeAspect="1"/>
            </wp:cNvGraphicFramePr>
            <a:graphic>
              <a:graphicData uri="http://schemas.openxmlformats.org/drawingml/2006/picture">
                <pic:pic>
                  <pic:nvPicPr>
                    <pic:cNvPr id="104" name="image130.png"/>
                    <pic:cNvPicPr/>
                  </pic:nvPicPr>
                  <pic:blipFill>
                    <a:blip r:embed="rId144" cstate="print"/>
                    <a:stretch>
                      <a:fillRect/>
                    </a:stretch>
                  </pic:blipFill>
                  <pic:spPr>
                    <a:xfrm>
                      <a:off x="0" y="0"/>
                      <a:ext cx="1256781" cy="308324"/>
                    </a:xfrm>
                    <a:prstGeom prst="rect">
                      <a:avLst/>
                    </a:prstGeom>
                  </pic:spPr>
                </pic:pic>
              </a:graphicData>
            </a:graphic>
          </wp:anchor>
        </w:drawing>
      </w:r>
      <w:r>
        <w:rPr/>
        <w:drawing>
          <wp:anchor distT="0" distB="0" distL="0" distR="0" allowOverlap="1" layoutInCell="1" locked="0" behindDoc="1" simplePos="0" relativeHeight="266913743">
            <wp:simplePos x="0" y="0"/>
            <wp:positionH relativeFrom="page">
              <wp:posOffset>1164336</wp:posOffset>
            </wp:positionH>
            <wp:positionV relativeFrom="paragraph">
              <wp:posOffset>-615570</wp:posOffset>
            </wp:positionV>
            <wp:extent cx="593582" cy="276701"/>
            <wp:effectExtent l="0" t="0" r="0" b="0"/>
            <wp:wrapNone/>
            <wp:docPr id="105" name="image131.png" descr=""/>
            <wp:cNvGraphicFramePr>
              <a:graphicFrameLocks noChangeAspect="1"/>
            </wp:cNvGraphicFramePr>
            <a:graphic>
              <a:graphicData uri="http://schemas.openxmlformats.org/drawingml/2006/picture">
                <pic:pic>
                  <pic:nvPicPr>
                    <pic:cNvPr id="106" name="image131.png"/>
                    <pic:cNvPicPr/>
                  </pic:nvPicPr>
                  <pic:blipFill>
                    <a:blip r:embed="rId145" cstate="print"/>
                    <a:stretch>
                      <a:fillRect/>
                    </a:stretch>
                  </pic:blipFill>
                  <pic:spPr>
                    <a:xfrm>
                      <a:off x="0" y="0"/>
                      <a:ext cx="593582" cy="276701"/>
                    </a:xfrm>
                    <a:prstGeom prst="rect">
                      <a:avLst/>
                    </a:prstGeom>
                  </pic:spPr>
                </pic:pic>
              </a:graphicData>
            </a:graphic>
          </wp:anchor>
        </w:drawing>
      </w:r>
      <w:r>
        <w:rPr/>
        <w:pict>
          <v:rect style="position:absolute;margin-left:245.865005pt;margin-top:-21.374117pt;width:8.865pt;height:6.779pt;mso-position-horizontal-relative:page;mso-position-vertical-relative:paragraph;z-index:-1521688" filled="true" fillcolor="#231f20" stroked="false">
            <v:fill type="solid"/>
            <w10:wrap type="none"/>
          </v:rect>
        </w:pict>
      </w:r>
      <w:r>
        <w:rPr/>
        <w:pict>
          <v:rect style="position:absolute;margin-left:374.121002pt;margin-top:-21.374117pt;width:8.864pt;height:6.779pt;mso-position-horizontal-relative:page;mso-position-vertical-relative:paragraph;z-index:-1521664" filled="true" fillcolor="#231f20" stroked="false">
            <v:fill type="solid"/>
            <w10:wrap type="none"/>
          </v:rect>
        </w:pict>
      </w:r>
      <w:r>
        <w:rPr>
          <w:b/>
          <w:sz w:val="20"/>
        </w:rPr>
        <w:t>1.   </w:t>
      </w:r>
      <w:r>
        <w:rPr>
          <w:sz w:val="20"/>
        </w:rPr>
        <w:t>Select</w:t>
      </w:r>
      <w:r>
        <w:rPr>
          <w:spacing w:val="23"/>
          <w:sz w:val="20"/>
        </w:rPr>
        <w:t> </w:t>
      </w:r>
      <w:r>
        <w:rPr>
          <w:sz w:val="20"/>
        </w:rPr>
        <w:t>the</w:t>
      </w:r>
      <w:r>
        <w:rPr>
          <w:spacing w:val="-2"/>
          <w:sz w:val="20"/>
        </w:rPr>
        <w:t> </w:t>
      </w:r>
      <w:r>
        <w:rPr>
          <w:sz w:val="20"/>
        </w:rPr>
        <w:t>test.</w:t>
        <w:tab/>
      </w:r>
      <w:r>
        <w:rPr>
          <w:b/>
          <w:sz w:val="20"/>
        </w:rPr>
        <w:t>2.   Prepared</w:t>
      </w:r>
      <w:r>
        <w:rPr>
          <w:b/>
          <w:spacing w:val="15"/>
          <w:sz w:val="20"/>
        </w:rPr>
        <w:t> </w:t>
      </w:r>
      <w:r>
        <w:rPr>
          <w:b/>
          <w:sz w:val="20"/>
        </w:rPr>
        <w:t>Sample:</w:t>
      </w:r>
    </w:p>
    <w:p>
      <w:pPr>
        <w:spacing w:line="249" w:lineRule="auto" w:before="10"/>
        <w:ind w:left="2704" w:right="-9" w:firstLine="0"/>
        <w:jc w:val="left"/>
        <w:rPr>
          <w:sz w:val="20"/>
        </w:rPr>
      </w:pPr>
      <w:r>
        <w:rPr>
          <w:sz w:val="20"/>
        </w:rPr>
        <w:t>Add 0.1 mL of sample to one </w:t>
      </w:r>
      <w:r>
        <w:rPr>
          <w:spacing w:val="-3"/>
          <w:sz w:val="20"/>
        </w:rPr>
        <w:t>AmVer™ </w:t>
      </w:r>
      <w:r>
        <w:rPr>
          <w:sz w:val="20"/>
        </w:rPr>
        <w:t>Diluent Reagent </w:t>
      </w:r>
      <w:r>
        <w:rPr>
          <w:spacing w:val="-6"/>
          <w:sz w:val="20"/>
        </w:rPr>
        <w:t>Test </w:t>
      </w:r>
      <w:r>
        <w:rPr>
          <w:sz w:val="20"/>
        </w:rPr>
        <w:t>‘N </w:t>
      </w:r>
      <w:r>
        <w:rPr>
          <w:spacing w:val="-7"/>
          <w:sz w:val="20"/>
        </w:rPr>
        <w:t>Tube </w:t>
      </w:r>
      <w:r>
        <w:rPr>
          <w:sz w:val="20"/>
        </w:rPr>
        <w:t>for High Range Ammonia Nitrogen.</w:t>
      </w:r>
    </w:p>
    <w:p>
      <w:pPr>
        <w:pStyle w:val="ListParagraph"/>
        <w:numPr>
          <w:ilvl w:val="0"/>
          <w:numId w:val="18"/>
        </w:numPr>
        <w:tabs>
          <w:tab w:pos="500" w:val="left" w:leader="none"/>
        </w:tabs>
        <w:spacing w:line="240" w:lineRule="auto" w:before="7" w:after="0"/>
        <w:ind w:left="140" w:right="0" w:firstLine="0"/>
        <w:jc w:val="left"/>
        <w:rPr>
          <w:b/>
          <w:sz w:val="20"/>
        </w:rPr>
      </w:pPr>
      <w:r>
        <w:rPr>
          <w:b/>
          <w:w w:val="99"/>
          <w:sz w:val="20"/>
        </w:rPr>
        <w:br w:type="column"/>
      </w:r>
      <w:r>
        <w:rPr>
          <w:b/>
          <w:sz w:val="20"/>
        </w:rPr>
        <w:t>Blank</w:t>
      </w:r>
      <w:r>
        <w:rPr>
          <w:b/>
          <w:spacing w:val="-11"/>
          <w:sz w:val="20"/>
        </w:rPr>
        <w:t> </w:t>
      </w:r>
      <w:r>
        <w:rPr>
          <w:b/>
          <w:sz w:val="20"/>
        </w:rPr>
        <w:t>Preparation:</w:t>
      </w:r>
    </w:p>
    <w:p>
      <w:pPr>
        <w:spacing w:line="249" w:lineRule="auto" w:before="10"/>
        <w:ind w:left="140" w:right="198" w:firstLine="0"/>
        <w:jc w:val="left"/>
        <w:rPr>
          <w:sz w:val="20"/>
        </w:rPr>
      </w:pPr>
      <w:r>
        <w:rPr>
          <w:sz w:val="20"/>
        </w:rPr>
        <w:t>Add 0.1 mL of ammonia-free water to one AmVer™ Diluent Reagent Test ‘N Tube</w:t>
      </w:r>
    </w:p>
    <w:p>
      <w:pPr>
        <w:spacing w:line="249" w:lineRule="auto" w:before="1"/>
        <w:ind w:left="140" w:right="-16" w:firstLine="0"/>
        <w:jc w:val="left"/>
        <w:rPr>
          <w:sz w:val="20"/>
        </w:rPr>
      </w:pPr>
      <w:r>
        <w:rPr>
          <w:spacing w:val="-3"/>
          <w:sz w:val="20"/>
        </w:rPr>
        <w:t>for </w:t>
      </w:r>
      <w:r>
        <w:rPr>
          <w:sz w:val="20"/>
        </w:rPr>
        <w:t>High Range Ammonia Nitrogen.</w:t>
      </w:r>
    </w:p>
    <w:p>
      <w:pPr>
        <w:pStyle w:val="ListParagraph"/>
        <w:numPr>
          <w:ilvl w:val="0"/>
          <w:numId w:val="18"/>
        </w:numPr>
        <w:tabs>
          <w:tab w:pos="500" w:val="left" w:leader="none"/>
        </w:tabs>
        <w:spacing w:line="249" w:lineRule="auto" w:before="8" w:after="0"/>
        <w:ind w:left="140" w:right="249" w:firstLine="0"/>
        <w:jc w:val="left"/>
        <w:rPr>
          <w:sz w:val="20"/>
        </w:rPr>
      </w:pPr>
      <w:r>
        <w:rPr>
          <w:w w:val="99"/>
          <w:sz w:val="20"/>
        </w:rPr>
        <w:br w:type="column"/>
      </w:r>
      <w:r>
        <w:rPr>
          <w:sz w:val="20"/>
        </w:rPr>
        <w:t>Add the contents of one Ammonia Salicylate Reagent </w:t>
      </w:r>
      <w:r>
        <w:rPr>
          <w:spacing w:val="-3"/>
          <w:sz w:val="20"/>
        </w:rPr>
        <w:t>Powder </w:t>
      </w:r>
      <w:r>
        <w:rPr>
          <w:sz w:val="20"/>
        </w:rPr>
        <w:t>Pillow</w:t>
      </w:r>
      <w:r>
        <w:rPr>
          <w:spacing w:val="-18"/>
          <w:sz w:val="20"/>
        </w:rPr>
        <w:t> </w:t>
      </w:r>
      <w:r>
        <w:rPr>
          <w:spacing w:val="-3"/>
          <w:sz w:val="20"/>
        </w:rPr>
        <w:t>for </w:t>
      </w:r>
      <w:r>
        <w:rPr>
          <w:sz w:val="20"/>
        </w:rPr>
        <w:t>5 mL sample to each</w:t>
      </w:r>
      <w:r>
        <w:rPr>
          <w:spacing w:val="-10"/>
          <w:sz w:val="20"/>
        </w:rPr>
        <w:t> </w:t>
      </w:r>
      <w:r>
        <w:rPr>
          <w:sz w:val="20"/>
        </w:rPr>
        <w:t>vial.</w:t>
      </w:r>
    </w:p>
    <w:p>
      <w:pPr>
        <w:spacing w:after="0" w:line="249" w:lineRule="auto"/>
        <w:jc w:val="left"/>
        <w:rPr>
          <w:sz w:val="20"/>
        </w:rPr>
        <w:sectPr>
          <w:type w:val="continuous"/>
          <w:pgSz w:w="11900" w:h="15840"/>
          <w:pgMar w:top="0" w:bottom="0" w:left="940" w:right="560"/>
          <w:cols w:num="3" w:equalWidth="0">
            <w:col w:w="4896" w:space="234"/>
            <w:col w:w="2378" w:space="186"/>
            <w:col w:w="270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7"/>
        </w:rPr>
      </w:pPr>
    </w:p>
    <w:p>
      <w:pPr>
        <w:pStyle w:val="BodyText"/>
        <w:spacing w:line="21" w:lineRule="exact"/>
        <w:ind w:left="129"/>
        <w:rPr>
          <w:sz w:val="2"/>
        </w:rPr>
      </w:pPr>
      <w:r>
        <w:rPr>
          <w:sz w:val="2"/>
        </w:rPr>
        <w:pict>
          <v:group style="width:505.05pt;height:1.05pt;mso-position-horizontal-relative:char;mso-position-vertical-relative:line" coordorigin="0,0" coordsize="10101,21">
            <v:line style="position:absolute" from="10,10" to="10,10" stroked="true" strokeweight="1.02pt" strokecolor="#000000"/>
            <v:line style="position:absolute" from="10,10" to="10090,10" stroked="true" strokeweight="1.02pt" strokecolor="#000000"/>
          </v:group>
        </w:pict>
      </w:r>
      <w:r>
        <w:rPr>
          <w:sz w:val="2"/>
        </w:rPr>
      </w:r>
    </w:p>
    <w:p>
      <w:pPr>
        <w:spacing w:before="6"/>
        <w:ind w:left="0" w:right="203" w:firstLine="0"/>
        <w:jc w:val="right"/>
        <w:rPr>
          <w:b/>
          <w:sz w:val="20"/>
        </w:rPr>
      </w:pPr>
      <w:r>
        <w:rPr>
          <w:b/>
          <w:sz w:val="20"/>
        </w:rPr>
        <w:t>Nitrogen, Ammonia</w:t>
      </w:r>
    </w:p>
    <w:p>
      <w:pPr>
        <w:tabs>
          <w:tab w:pos="9004" w:val="left" w:leader="none"/>
        </w:tabs>
        <w:spacing w:before="10"/>
        <w:ind w:left="0" w:right="203" w:firstLine="0"/>
        <w:jc w:val="right"/>
        <w:rPr>
          <w:b/>
          <w:sz w:val="20"/>
        </w:rPr>
      </w:pPr>
      <w:r>
        <w:rPr>
          <w:sz w:val="14"/>
        </w:rPr>
        <w:t>NitrogenAmm_10031_TNT_HR_SAL.fm</w:t>
        <w:tab/>
      </w:r>
      <w:r>
        <w:rPr>
          <w:b/>
          <w:sz w:val="20"/>
        </w:rPr>
        <w:t>Page 1 of</w:t>
      </w:r>
      <w:r>
        <w:rPr>
          <w:b/>
          <w:spacing w:val="-11"/>
          <w:sz w:val="20"/>
        </w:rPr>
        <w:t> </w:t>
      </w:r>
      <w:r>
        <w:rPr>
          <w:b/>
          <w:sz w:val="20"/>
        </w:rPr>
        <w:t>6</w:t>
      </w:r>
    </w:p>
    <w:p>
      <w:pPr>
        <w:spacing w:after="0"/>
        <w:jc w:val="right"/>
        <w:rPr>
          <w:sz w:val="20"/>
        </w:rPr>
        <w:sectPr>
          <w:type w:val="continuous"/>
          <w:pgSz w:w="11900" w:h="15840"/>
          <w:pgMar w:top="0" w:bottom="0" w:left="940" w:right="560"/>
        </w:sectPr>
      </w:pPr>
    </w:p>
    <w:p>
      <w:pPr>
        <w:pStyle w:val="Heading4"/>
        <w:ind w:right="1109"/>
      </w:pPr>
      <w:r>
        <w:rPr/>
        <w:pict>
          <v:group style="position:absolute;margin-left:35.715pt;margin-top:21.080879pt;width:505.15pt;height:1.05pt;mso-position-horizontal-relative:page;mso-position-vertical-relative:paragraph;z-index:10168;mso-wrap-distance-left:0;mso-wrap-distance-right:0" coordorigin="714,422" coordsize="10103,21">
            <v:line style="position:absolute" from="725,432" to="725,432" stroked="true" strokeweight="1.02pt" strokecolor="#000000"/>
            <v:line style="position:absolute" from="725,432" to="10806,432" stroked="true" strokeweight="1.02pt" strokecolor="#000000"/>
            <w10:wrap type="topAndBottom"/>
          </v:group>
        </w:pict>
      </w:r>
      <w:r>
        <w:rPr/>
        <w:pict>
          <v:group style="position:absolute;margin-left:36.240002pt;margin-top:41.97588pt;width:122.5pt;height:122.4pt;mso-position-horizontal-relative:page;mso-position-vertical-relative:paragraph;z-index:10192;mso-wrap-distance-left:0;mso-wrap-distance-right:0" coordorigin="725,840" coordsize="2450,2448">
            <v:shape style="position:absolute;left:1306;top:1051;width:514;height:402" coordorigin="1306,1051" coordsize="514,402" path="m1414,1051l1306,1332,1373,1342,1502,1453,1567,1426,1503,1426,1401,1338,1423,1337,1453,1320,1382,1320,1341,1312,1430,1080,1539,1080,1414,1051xm1554,1281l1524,1281,1629,1375,1503,1426,1567,1426,1647,1392,1719,1392,1726,1372,1694,1372,1650,1364,1554,1281xm1719,1392l1647,1392,1714,1406,1719,1392xm1771,1110l1690,1110,1785,1134,1694,1372,1726,1372,1819,1121,1771,1110xm1551,1189l1517,1263,1421,1319,1382,1320,1453,1320,1524,1281,1554,1281,1536,1266,1551,1189xm1539,1080l1430,1080,1589,1114,1690,1110,1771,1110,1690,1090,1585,1090,1539,1080xe" filled="true" fillcolor="#231f20" stroked="false">
              <v:path arrowok="t"/>
              <v:fill type="solid"/>
            </v:shape>
            <v:shape style="position:absolute;left:1418;top:1308;width:174;height:286" type="#_x0000_t75" stroked="false">
              <v:imagedata r:id="rId148" o:title=""/>
            </v:shape>
            <v:rect style="position:absolute;left:1348;top:1537;width:559;height:1561" filled="true" fillcolor="#ffffff" stroked="false">
              <v:fill type="solid"/>
            </v:rect>
            <v:shape style="position:absolute;left:1399;top:1710;width:198;height:1361" coordorigin="1399,1710" coordsize="198,1361" path="m1571,1710l1427,1710,1427,1767,1422,1777,1413,1781,1404,1790,1399,1814,1400,2972,1408,3010,1428,3042,1460,3063,1498,3070,1536,3063,1567,3042,1588,3011,1596,2974,1597,1813,1593,1789,1584,1781,1575,1777,1571,1767,1571,1710xe" filled="true" fillcolor="#ffffff" stroked="false">
              <v:path arrowok="t"/>
              <v:fill type="solid"/>
            </v:shape>
            <v:shape style="position:absolute;left:1399;top:1710;width:198;height:1361" coordorigin="1399,1710" coordsize="198,1361" path="m1596,2974l1597,1813,1593,1789,1584,1781,1575,1777,1571,1767,1571,1710,1427,1710,1427,1711,1427,1717,1427,1734,1427,1767,1422,1777,1413,1781,1404,1790,1399,1814,1400,2972,1408,3010,1428,3042,1460,3063,1498,3070,1536,3063,1567,3042,1588,3011,1596,2974xe" filled="false" stroked="true" strokeweight="1.08pt" strokecolor="#231f20">
              <v:path arrowok="t"/>
            </v:shape>
            <v:rect style="position:absolute;left:1692;top:2915;width:197;height:151" filled="true" fillcolor="#231f20" stroked="false">
              <v:fill type="solid"/>
            </v:rect>
            <v:shape style="position:absolute;left:1355;top:1551;width:284;height:244" type="#_x0000_t75" stroked="false">
              <v:imagedata r:id="rId149" o:title=""/>
            </v:shape>
            <v:shape style="position:absolute;left:2166;top:1074;width:514;height:402" coordorigin="2166,1074" coordsize="514,402" path="m2274,1074l2166,1354,2233,1365,2362,1475,2427,1448,2363,1448,2261,1361,2283,1360,2313,1343,2242,1343,2201,1335,2290,1102,2399,1102,2274,1074xm2414,1304l2384,1304,2489,1397,2363,1448,2427,1448,2507,1414,2579,1414,2586,1395,2554,1395,2510,1387,2414,1304xm2579,1414l2507,1414,2574,1429,2579,1414xm2631,1132l2550,1132,2645,1157,2554,1395,2586,1395,2679,1144,2631,1132xm2411,1212l2377,1286,2281,1341,2242,1343,2313,1343,2384,1304,2414,1304,2396,1288,2411,1212xm2399,1102l2290,1102,2449,1136,2550,1132,2631,1132,2550,1113,2445,1113,2399,1102xe" filled="true" fillcolor="#231f20" stroked="false">
              <v:path arrowok="t"/>
              <v:fill type="solid"/>
            </v:shape>
            <v:shape style="position:absolute;left:2278;top:1331;width:174;height:286" type="#_x0000_t75" stroked="false">
              <v:imagedata r:id="rId150" o:title=""/>
            </v:shape>
            <v:rect style="position:absolute;left:2208;top:1560;width:559;height:1560" filled="true" fillcolor="#ffffff" stroked="false">
              <v:fill type="solid"/>
            </v:rect>
            <v:shape style="position:absolute;left:2259;top:1733;width:198;height:1361" coordorigin="2259,1733" coordsize="198,1361" path="m2431,1733l2287,1733,2287,1789,2282,1799,2273,1803,2264,1812,2259,1837,2260,2994,2268,3033,2289,3064,2320,3085,2358,3093,2396,3085,2427,3064,2448,3034,2456,2997,2457,1836,2453,1812,2444,1803,2435,1799,2431,1789,2431,1733xe" filled="true" fillcolor="#ffffff" stroked="false">
              <v:path arrowok="t"/>
              <v:fill type="solid"/>
            </v:shape>
            <v:shape style="position:absolute;left:2259;top:1733;width:198;height:1361" coordorigin="2259,1733" coordsize="198,1361" path="m2456,2997l2457,1836,2453,1812,2444,1803,2435,1799,2431,1789,2431,1733,2287,1733,2287,1734,2287,1740,2287,1756,2287,1789,2282,1799,2273,1803,2264,1812,2259,1837,2260,2994,2268,3033,2289,3064,2320,3085,2358,3093,2396,3085,2427,3064,2448,3034,2456,2997xe" filled="false" stroked="true" strokeweight="1.08pt" strokecolor="#231f20">
              <v:path arrowok="t"/>
            </v:shape>
            <v:rect style="position:absolute;left:2552;top:2938;width:197;height:151" filled="true" fillcolor="#231f20" stroked="false">
              <v:fill type="solid"/>
            </v:rect>
            <v:shape style="position:absolute;left:2215;top:1573;width:284;height:244" type="#_x0000_t75" stroked="false">
              <v:imagedata r:id="rId149" o:title=""/>
            </v:shape>
            <v:rect style="position:absolute;left:845;top:840;width:2329;height:120" filled="true" fillcolor="#b3b3b3" stroked="false">
              <v:fill type="solid"/>
            </v:rect>
            <v:rect style="position:absolute;left:3054;top:900;width:120;height:2388" filled="true" fillcolor="#b3b3b3" stroked="false">
              <v:fill type="solid"/>
            </v:rect>
            <v:rect style="position:absolute;left:725;top:3168;width:2389;height:120" filled="true" fillcolor="#b3b3b3" stroked="false">
              <v:fill type="solid"/>
            </v:rect>
            <v:rect style="position:absolute;left:725;top:840;width:120;height:2388" filled="true" fillcolor="#b3b3b3" stroked="false">
              <v:fill type="solid"/>
            </v:rect>
            <w10:wrap type="topAndBottom"/>
          </v:group>
        </w:pict>
      </w:r>
      <w:r>
        <w:rPr/>
        <w:pict>
          <v:group style="position:absolute;margin-left:164.520004pt;margin-top:41.97588pt;width:122.4pt;height:122.4pt;mso-position-horizontal-relative:page;mso-position-vertical-relative:paragraph;z-index:10216;mso-wrap-distance-left:0;mso-wrap-distance-right:0" coordorigin="3290,840" coordsize="2448,2448">
            <v:rect style="position:absolute;left:3410;top:840;width:2328;height:120" filled="true" fillcolor="#b3b3b3" stroked="false">
              <v:fill type="solid"/>
            </v:rect>
            <v:rect style="position:absolute;left:5618;top:900;width:120;height:2388" filled="true" fillcolor="#b3b3b3" stroked="false">
              <v:fill type="solid"/>
            </v:rect>
            <v:rect style="position:absolute;left:3290;top:3168;width:2388;height:120" filled="true" fillcolor="#b3b3b3" stroked="false">
              <v:fill type="solid"/>
            </v:rect>
            <v:rect style="position:absolute;left:3290;top:840;width:120;height:2388" filled="true" fillcolor="#b3b3b3" stroked="false">
              <v:fill type="solid"/>
            </v:rect>
            <w10:wrap type="topAndBottom"/>
          </v:group>
        </w:pict>
      </w:r>
      <w:r>
        <w:rPr/>
        <w:pict>
          <v:group style="position:absolute;margin-left:292.799988pt;margin-top:41.97588pt;width:122.4pt;height:122.4pt;mso-position-horizontal-relative:page;mso-position-vertical-relative:paragraph;z-index:10240;mso-wrap-distance-left:0;mso-wrap-distance-right:0" coordorigin="5856,840" coordsize="2448,2448">
            <v:rect style="position:absolute;left:5976;top:840;width:2328;height:120" filled="true" fillcolor="#b3b3b3" stroked="false">
              <v:fill type="solid"/>
            </v:rect>
            <v:rect style="position:absolute;left:8184;top:900;width:120;height:2388" filled="true" fillcolor="#b3b3b3" stroked="false">
              <v:fill type="solid"/>
            </v:rect>
            <v:rect style="position:absolute;left:5856;top:3168;width:2388;height:120" filled="true" fillcolor="#b3b3b3" stroked="false">
              <v:fill type="solid"/>
            </v:rect>
            <v:rect style="position:absolute;left:5856;top:840;width:120;height:2388" filled="true" fillcolor="#b3b3b3" stroked="false">
              <v:fill type="solid"/>
            </v:rect>
            <w10:wrap type="topAndBottom"/>
          </v:group>
        </w:pict>
      </w:r>
      <w:r>
        <w:rPr/>
        <w:pict>
          <v:group style="position:absolute;margin-left:421.019989pt;margin-top:41.97588pt;width:122.4pt;height:122.4pt;mso-position-horizontal-relative:page;mso-position-vertical-relative:paragraph;z-index:10264;mso-wrap-distance-left:0;mso-wrap-distance-right:0" coordorigin="8420,840" coordsize="2448,2448">
            <v:shape style="position:absolute;left:9502;top:1918;width:1210;height:1216" coordorigin="9502,1918" coordsize="1210,1216" path="m10712,2753l9502,2753,10107,3133,10712,2753xm10490,1918l9724,1918,9724,2753,10490,2753,10490,1918xe" filled="true" fillcolor="#231f20" stroked="false">
              <v:path arrowok="t"/>
              <v:fill type="solid"/>
            </v:shape>
            <v:shape style="position:absolute;left:10008;top:2050;width:196;height:161" coordorigin="10008,2050" coordsize="196,161" path="m10202,2050l10009,2050,10008,2211,10203,2211,10202,2050xe" filled="true" fillcolor="#ffffff" stroked="false">
              <v:path arrowok="t"/>
              <v:fill type="solid"/>
            </v:shape>
            <v:shape style="position:absolute;left:9999;top:2113;width:217;height:896" coordorigin="9999,2113" coordsize="217,896" path="m10164,2113l10052,2113,10053,2178,10032,2185,10015,2198,10004,2215,10000,2235,9999,2913,10005,2943,10025,2975,10059,2999,10106,3009,10155,3000,10188,2978,10209,2947,10216,2913,10215,2235,10211,2218,10200,2201,10183,2186,10163,2178,10164,2113xe" filled="true" fillcolor="#ffffff" stroked="false">
              <v:path arrowok="t"/>
              <v:fill type="solid"/>
            </v:shape>
            <v:shape style="position:absolute;left:10017;top:2135;width:181;height:853" coordorigin="10017,2135" coordsize="181,853" path="m10154,2135l10062,2135,10062,2196,10045,2203,10031,2216,10021,2232,10018,2250,10017,2896,10022,2925,10039,2955,10067,2978,10106,2988,10147,2979,10175,2958,10192,2929,10198,2896,10197,2250,10194,2234,10184,2218,10171,2204,10154,2196,10154,2135xe" filled="true" fillcolor="#231f20" stroked="false">
              <v:path arrowok="t"/>
              <v:fill type="solid"/>
            </v:shape>
            <v:shape style="position:absolute;left:10037;top:2154;width:141;height:811" coordorigin="10037,2154" coordsize="141,811" path="m10136,2154l10077,2154,10076,2211,10060,2216,10048,2225,10040,2238,10037,2259,10038,2893,10042,2915,10055,2938,10076,2957,10107,2964,10139,2958,10161,2941,10174,2918,10178,2893,10177,2259,10174,2239,10164,2225,10151,2215,10136,2211,10136,2154xe" filled="true" fillcolor="#ffffff" stroked="false">
              <v:path arrowok="t"/>
              <v:fill type="solid"/>
            </v:shape>
            <v:shape style="position:absolute;left:10037;top:2154;width:141;height:811" coordorigin="10037,2154" coordsize="141,811" path="m10076,2211l10060,2216,10048,2225,10040,2238,10037,2259,10038,2893,10042,2915,10055,2938,10076,2957,10107,2964,10139,2958,10161,2941,10174,2918,10178,2893,10177,2259,10174,2239,10164,2225,10151,2215,10136,2211,10136,2154,10077,2154,10076,2211xe" filled="false" stroked="true" strokeweight=".4pt" strokecolor="#231f20">
              <v:path arrowok="t"/>
            </v:shape>
            <v:shape style="position:absolute;left:10024;top:2064;width:163;height:133" type="#_x0000_t75" stroked="false">
              <v:imagedata r:id="rId151" o:title=""/>
            </v:shape>
            <v:shape style="position:absolute;left:8922;top:1370;width:427;height:823" coordorigin="8922,1370" coordsize="427,823" path="m8942,1376l8922,1721,9201,2192,9196,2136,9196,2063,9201,1978,9211,1884,9226,1785,9246,1680,9269,1583,9295,1496,9322,1424,9348,1370,9302,1376,9246,1382,9184,1385,9118,1386,9072,1385,9028,1383,8984,1380,8942,1376xe" filled="false" stroked="true" strokeweight=".792pt" strokecolor="#231f20">
              <v:path arrowok="t"/>
            </v:shape>
            <v:shape style="position:absolute;left:8691;top:1140;width:559;height:1216" coordorigin="8691,1140" coordsize="559,1216" path="m8790,1140l8734,1160,8691,1237,9066,2291,9085,2324,9114,2346,9150,2355,9187,2349,9219,2330,9241,2301,9250,2266,9246,2230,8871,1173,8848,1154,8820,1143,8790,1140xe" filled="true" fillcolor="#ffffff" stroked="false">
              <v:path arrowok="t"/>
              <v:fill type="solid"/>
            </v:shape>
            <v:shape style="position:absolute;left:8691;top:1140;width:559;height:1216" coordorigin="8691,1140" coordsize="559,1216" path="m9246,2230l8871,1173,8848,1154,8820,1143,8790,1140,8761,1145,8734,1160,8713,1181,8698,1207,8691,1237,9066,2291,9085,2324,9114,2346,9150,2355,9187,2349,9219,2330,9241,2301,9250,2266,9246,2230xe" filled="false" stroked="true" strokeweight="1.08pt" strokecolor="#231f20">
              <v:path arrowok="t"/>
            </v:shape>
            <v:shape style="position:absolute;left:8617;top:983;width:250;height:222" type="#_x0000_t75" stroked="false">
              <v:imagedata r:id="rId152" o:title=""/>
            </v:shape>
            <v:shape style="position:absolute;left:8673;top:1363;width:609;height:895" coordorigin="8673,1363" coordsize="609,895" path="m8738,1372l8674,2065,8685,2095,8723,2125,8784,2156,8866,2184,8963,2209,9072,2230,9081,2231,9095,2235,9115,2243,9145,2257,9139,2233,9133,2171,9130,2080,9134,1967,9145,1841,9165,1719,9191,1618,9220,1543,9251,1500,9282,1494,9256,1477,9226,1463,9193,1451,9158,1442,9132,1436,9107,1433,9086,1431,9070,1430,9070,1429,9049,1427,9031,1427,8850,1419,8849,1418,8797,1418,8767,1413,8749,1402,8742,1387,8740,1377,8738,1372xm8673,2063l8674,2065,8674,2064,8673,2063xm8847,1416l8843,1417,8840,1417,8797,1418,8849,1418,8847,1416xm8735,1363l8738,1372,8739,1366,8735,1363xe" filled="true" fillcolor="#ffffff" stroked="false">
              <v:path arrowok="t"/>
              <v:fill type="solid"/>
            </v:shape>
            <v:shape style="position:absolute;left:8673;top:1363;width:609;height:895" coordorigin="8673,1363" coordsize="609,895" path="m8674,2065l8739,1366,8735,1363,8740,1377,8742,1387,8749,1402,8767,1413,8797,1418,8840,1417,8843,1417,8847,1416,8850,1419,8893,1421,8938,1423,8985,1425,9031,1427,9049,1427,9070,1429,9070,1430,9086,1431,9158,1442,9226,1463,9282,1494,9251,1500,9220,1543,9191,1618,9165,1719,9145,1841,9134,1967,9130,2080,9133,2171,9139,2233,9145,2257,9115,2243,9095,2235,9081,2231,9072,2230,8963,2209,8866,2184,8784,2156,8723,2125,8674,2065,8674,2064,8673,2063,8674,2065xe" filled="false" stroked="true" strokeweight=".792pt" strokecolor="#231f20">
              <v:path arrowok="t"/>
            </v:shape>
            <v:rect style="position:absolute;left:8540;top:840;width:2328;height:120" filled="true" fillcolor="#b3b3b3" stroked="false">
              <v:fill type="solid"/>
            </v:rect>
            <v:rect style="position:absolute;left:10748;top:900;width:120;height:2388" filled="true" fillcolor="#b3b3b3" stroked="false">
              <v:fill type="solid"/>
            </v:rect>
            <v:rect style="position:absolute;left:8420;top:3168;width:2388;height:120" filled="true" fillcolor="#b3b3b3" stroked="false">
              <v:fill type="solid"/>
            </v:rect>
            <v:rect style="position:absolute;left:8420;top:840;width:120;height:2388" filled="true" fillcolor="#b3b3b3" stroked="false">
              <v:fill type="solid"/>
            </v:rect>
            <w10:wrap type="topAndBottom"/>
          </v:group>
        </w:pict>
      </w:r>
      <w:r>
        <w:rPr/>
        <w:drawing>
          <wp:anchor distT="0" distB="0" distL="0" distR="0" allowOverlap="1" layoutInCell="1" locked="0" behindDoc="0" simplePos="0" relativeHeight="10576">
            <wp:simplePos x="0" y="0"/>
            <wp:positionH relativeFrom="page">
              <wp:posOffset>4197096</wp:posOffset>
            </wp:positionH>
            <wp:positionV relativeFrom="paragraph">
              <wp:posOffset>1263851</wp:posOffset>
            </wp:positionV>
            <wp:extent cx="593580" cy="276701"/>
            <wp:effectExtent l="0" t="0" r="0" b="0"/>
            <wp:wrapNone/>
            <wp:docPr id="107" name="image137.png" descr=""/>
            <wp:cNvGraphicFramePr>
              <a:graphicFrameLocks noChangeAspect="1"/>
            </wp:cNvGraphicFramePr>
            <a:graphic>
              <a:graphicData uri="http://schemas.openxmlformats.org/drawingml/2006/picture">
                <pic:pic>
                  <pic:nvPicPr>
                    <pic:cNvPr id="108" name="image137.png"/>
                    <pic:cNvPicPr/>
                  </pic:nvPicPr>
                  <pic:blipFill>
                    <a:blip r:embed="rId153" cstate="print"/>
                    <a:stretch>
                      <a:fillRect/>
                    </a:stretch>
                  </pic:blipFill>
                  <pic:spPr>
                    <a:xfrm>
                      <a:off x="0" y="0"/>
                      <a:ext cx="593580" cy="276701"/>
                    </a:xfrm>
                    <a:prstGeom prst="rect">
                      <a:avLst/>
                    </a:prstGeom>
                  </pic:spPr>
                </pic:pic>
              </a:graphicData>
            </a:graphic>
          </wp:anchor>
        </w:drawing>
      </w:r>
      <w:r>
        <w:rPr/>
        <w:drawing>
          <wp:anchor distT="0" distB="0" distL="0" distR="0" allowOverlap="1" layoutInCell="1" locked="0" behindDoc="0" simplePos="0" relativeHeight="10600">
            <wp:simplePos x="0" y="0"/>
            <wp:positionH relativeFrom="page">
              <wp:posOffset>4305299</wp:posOffset>
            </wp:positionH>
            <wp:positionV relativeFrom="paragraph">
              <wp:posOffset>722069</wp:posOffset>
            </wp:positionV>
            <wp:extent cx="381000" cy="457200"/>
            <wp:effectExtent l="0" t="0" r="0" b="0"/>
            <wp:wrapNone/>
            <wp:docPr id="109" name="image138.png" descr=""/>
            <wp:cNvGraphicFramePr>
              <a:graphicFrameLocks noChangeAspect="1"/>
            </wp:cNvGraphicFramePr>
            <a:graphic>
              <a:graphicData uri="http://schemas.openxmlformats.org/drawingml/2006/picture">
                <pic:pic>
                  <pic:nvPicPr>
                    <pic:cNvPr id="110" name="image138.png"/>
                    <pic:cNvPicPr/>
                  </pic:nvPicPr>
                  <pic:blipFill>
                    <a:blip r:embed="rId154" cstate="print"/>
                    <a:stretch>
                      <a:fillRect/>
                    </a:stretch>
                  </pic:blipFill>
                  <pic:spPr>
                    <a:xfrm>
                      <a:off x="0" y="0"/>
                      <a:ext cx="381000" cy="457200"/>
                    </a:xfrm>
                    <a:prstGeom prst="rect">
                      <a:avLst/>
                    </a:prstGeom>
                  </pic:spPr>
                </pic:pic>
              </a:graphicData>
            </a:graphic>
          </wp:anchor>
        </w:drawing>
      </w:r>
      <w:r>
        <w:rPr/>
        <w:t>Nitrogen, Ammonia HR (0.4 to 50.0 mg/L NH</w:t>
      </w:r>
      <w:r>
        <w:rPr>
          <w:position w:val="-5"/>
          <w:sz w:val="19"/>
        </w:rPr>
        <w:t>3</w:t>
      </w:r>
      <w:r>
        <w:rPr/>
        <w:t>–N)</w:t>
      </w:r>
    </w:p>
    <w:p>
      <w:pPr>
        <w:pStyle w:val="BodyText"/>
        <w:spacing w:before="6"/>
        <w:rPr>
          <w:b/>
          <w:sz w:val="28"/>
        </w:rPr>
      </w:pPr>
    </w:p>
    <w:p>
      <w:pPr>
        <w:pStyle w:val="BodyText"/>
        <w:spacing w:before="1"/>
        <w:rPr>
          <w:b/>
          <w:sz w:val="6"/>
        </w:rPr>
      </w:pPr>
    </w:p>
    <w:p>
      <w:pPr>
        <w:spacing w:after="0"/>
        <w:rPr>
          <w:sz w:val="6"/>
        </w:rPr>
        <w:sectPr>
          <w:headerReference w:type="default" r:id="rId146"/>
          <w:footerReference w:type="default" r:id="rId147"/>
          <w:pgSz w:w="11900" w:h="15840"/>
          <w:pgMar w:header="0" w:footer="0" w:top="240" w:bottom="0" w:left="600" w:right="920"/>
        </w:sectPr>
      </w:pPr>
    </w:p>
    <w:p>
      <w:pPr>
        <w:pStyle w:val="ListParagraph"/>
        <w:numPr>
          <w:ilvl w:val="0"/>
          <w:numId w:val="18"/>
        </w:numPr>
        <w:tabs>
          <w:tab w:pos="485" w:val="left" w:leader="none"/>
        </w:tabs>
        <w:spacing w:line="249" w:lineRule="auto" w:before="6" w:after="0"/>
        <w:ind w:left="124" w:right="0" w:firstLine="0"/>
        <w:jc w:val="left"/>
        <w:rPr>
          <w:sz w:val="20"/>
        </w:rPr>
      </w:pPr>
      <w:r>
        <w:rPr/>
        <w:pict>
          <v:group style="position:absolute;margin-left:237.452179pt;margin-top:-103.022003pt;width:12.55pt;height:74.150pt;mso-position-horizontal-relative:page;mso-position-vertical-relative:paragraph;z-index:-1521424" coordorigin="4749,-2060" coordsize="251,1483">
            <v:shape style="position:absolute;left:4762;top:-1951;width:226;height:1361" coordorigin="4762,-1951" coordsize="226,1361" path="m4986,-687l4987,-1848,4982,-1871,4972,-1880,4962,-1884,4957,-1894,4957,-1951,4793,-1951,4793,-1950,4793,-1944,4793,-1927,4793,-1894,4788,-1884,4777,-1880,4766,-1871,4762,-1846,4762,-689,4771,-651,4795,-619,4830,-598,4874,-590,4917,-598,4953,-619,4977,-650,4986,-687xe" filled="false" stroked="true" strokeweight="1.228671pt" strokecolor="#231f20">
              <v:path arrowok="t"/>
            </v:shape>
            <v:rect style="position:absolute;left:4762;top:-2060;width:225;height:151" filled="true" fillcolor="#231f20" stroked="false">
              <v:fill type="solid"/>
            </v:rect>
            <w10:wrap type="none"/>
          </v:group>
        </w:pict>
      </w:r>
      <w:r>
        <w:rPr/>
        <w:pict>
          <v:group style="position:absolute;margin-left:253.660995pt;margin-top:-86.309807pt;width:6.45pt;height:48.65pt;mso-position-horizontal-relative:page;mso-position-vertical-relative:paragraph;z-index:-1521400" coordorigin="5073,-1726" coordsize="129,973">
            <v:shape style="position:absolute;left:5073;top:-886;width:128;height:132" type="#_x0000_t75" stroked="false">
              <v:imagedata r:id="rId155" o:title=""/>
            </v:shape>
            <v:shape style="position:absolute;left:5073;top:-1726;width:128;height:132" type="#_x0000_t75" stroked="false">
              <v:imagedata r:id="rId156" o:title=""/>
            </v:shape>
            <v:line style="position:absolute" from="5132,-1644" to="5132,-858" stroked="true" strokeweight="1.081pt" strokecolor="#231f20"/>
            <w10:wrap type="none"/>
          </v:group>
        </w:pict>
      </w:r>
      <w:r>
        <w:rPr/>
        <w:pict>
          <v:group style="position:absolute;margin-left:201.450256pt;margin-top:-103.597008pt;width:12.55pt;height:74.75pt;mso-position-horizontal-relative:page;mso-position-vertical-relative:paragraph;z-index:-1521376" coordorigin="4029,-2072" coordsize="251,1495">
            <v:shape style="position:absolute;left:4042;top:-1951;width:226;height:1361" coordorigin="4042,-1951" coordsize="226,1361" path="m4266,-687l4267,-1848,4262,-1871,4252,-1880,4242,-1884,4237,-1894,4237,-1951,4073,-1951,4073,-1950,4073,-1944,4073,-1927,4073,-1894,4068,-1884,4057,-1880,4046,-1871,4042,-1846,4042,-689,4051,-651,4075,-619,4110,-598,4154,-590,4197,-598,4233,-619,4257,-650,4266,-687xe" filled="false" stroked="true" strokeweight="1.228671pt" strokecolor="#231f20">
              <v:path arrowok="t"/>
            </v:shape>
            <v:rect style="position:absolute;left:4042;top:-2060;width:225;height:151" filled="true" fillcolor="#231f20" stroked="false">
              <v:fill type="solid"/>
            </v:rect>
            <v:rect style="position:absolute;left:4042;top:-2060;width:225;height:151" filled="false" stroked="true" strokeweight="1.127528pt" strokecolor="#231f20"/>
            <w10:wrap type="none"/>
          </v:group>
        </w:pict>
      </w:r>
      <w:r>
        <w:rPr/>
        <w:pict>
          <v:group style="position:absolute;margin-left:217.658997pt;margin-top:-86.309807pt;width:6.45pt;height:48.65pt;mso-position-horizontal-relative:page;mso-position-vertical-relative:paragraph;z-index:-1521352" coordorigin="4353,-1726" coordsize="129,973">
            <v:shape style="position:absolute;left:4353;top:-886;width:128;height:132" type="#_x0000_t75" stroked="false">
              <v:imagedata r:id="rId155" o:title=""/>
            </v:shape>
            <v:shape style="position:absolute;left:4353;top:-1726;width:128;height:132" type="#_x0000_t75" stroked="false">
              <v:imagedata r:id="rId156" o:title=""/>
            </v:shape>
            <v:line style="position:absolute" from="4412,-1644" to="4412,-858" stroked="true" strokeweight="1.08pt" strokecolor="#231f20"/>
            <w10:wrap type="none"/>
          </v:group>
        </w:pict>
      </w:r>
      <w:r>
        <w:rPr>
          <w:sz w:val="20"/>
        </w:rPr>
        <w:t>Add the contents of one Ammonia Cyanurate Reagent </w:t>
      </w:r>
      <w:r>
        <w:rPr>
          <w:spacing w:val="-3"/>
          <w:sz w:val="20"/>
        </w:rPr>
        <w:t>Powder </w:t>
      </w:r>
      <w:r>
        <w:rPr>
          <w:sz w:val="20"/>
        </w:rPr>
        <w:t>Pillow to each</w:t>
      </w:r>
      <w:r>
        <w:rPr>
          <w:spacing w:val="-4"/>
          <w:sz w:val="20"/>
        </w:rPr>
        <w:t> </w:t>
      </w:r>
      <w:r>
        <w:rPr>
          <w:sz w:val="20"/>
        </w:rPr>
        <w:t>vial.</w:t>
      </w:r>
    </w:p>
    <w:p>
      <w:pPr>
        <w:pStyle w:val="ListParagraph"/>
        <w:numPr>
          <w:ilvl w:val="0"/>
          <w:numId w:val="18"/>
        </w:numPr>
        <w:tabs>
          <w:tab w:pos="485" w:val="left" w:leader="none"/>
        </w:tabs>
        <w:spacing w:line="249" w:lineRule="auto" w:before="6" w:after="0"/>
        <w:ind w:left="124" w:right="0" w:firstLine="0"/>
        <w:jc w:val="both"/>
        <w:rPr>
          <w:sz w:val="20"/>
        </w:rPr>
      </w:pPr>
      <w:r>
        <w:rPr>
          <w:w w:val="99"/>
          <w:sz w:val="20"/>
        </w:rPr>
        <w:br w:type="column"/>
      </w:r>
      <w:r>
        <w:rPr>
          <w:sz w:val="20"/>
        </w:rPr>
        <w:t>Cap the vials tightly and shake thoroughly</w:t>
      </w:r>
      <w:r>
        <w:rPr>
          <w:spacing w:val="-18"/>
          <w:sz w:val="20"/>
        </w:rPr>
        <w:t> </w:t>
      </w:r>
      <w:r>
        <w:rPr>
          <w:sz w:val="20"/>
        </w:rPr>
        <w:t>to dissolve the</w:t>
      </w:r>
      <w:r>
        <w:rPr>
          <w:spacing w:val="-27"/>
          <w:sz w:val="20"/>
        </w:rPr>
        <w:t> </w:t>
      </w:r>
      <w:r>
        <w:rPr>
          <w:sz w:val="20"/>
        </w:rPr>
        <w:t>powder.</w:t>
      </w:r>
    </w:p>
    <w:p>
      <w:pPr>
        <w:pStyle w:val="ListParagraph"/>
        <w:numPr>
          <w:ilvl w:val="0"/>
          <w:numId w:val="18"/>
        </w:numPr>
        <w:tabs>
          <w:tab w:pos="485" w:val="left" w:leader="none"/>
        </w:tabs>
        <w:spacing w:line="249" w:lineRule="auto" w:before="6" w:after="0"/>
        <w:ind w:left="124" w:right="0" w:firstLine="1"/>
        <w:jc w:val="left"/>
        <w:rPr>
          <w:sz w:val="20"/>
        </w:rPr>
      </w:pPr>
      <w:r>
        <w:rPr>
          <w:w w:val="99"/>
          <w:sz w:val="20"/>
        </w:rPr>
        <w:br w:type="column"/>
      </w:r>
      <w:r>
        <w:rPr>
          <w:sz w:val="20"/>
        </w:rPr>
        <w:t>Press </w:t>
      </w:r>
      <w:r>
        <w:rPr>
          <w:b/>
          <w:sz w:val="18"/>
        </w:rPr>
        <w:t>TIMER&gt;OK</w:t>
      </w:r>
      <w:r>
        <w:rPr>
          <w:sz w:val="20"/>
        </w:rPr>
        <w:t>. A 20-minute reaction</w:t>
      </w:r>
      <w:r>
        <w:rPr>
          <w:spacing w:val="-13"/>
          <w:sz w:val="20"/>
        </w:rPr>
        <w:t> </w:t>
      </w:r>
      <w:r>
        <w:rPr>
          <w:sz w:val="20"/>
        </w:rPr>
        <w:t>period will</w:t>
      </w:r>
      <w:r>
        <w:rPr>
          <w:spacing w:val="-4"/>
          <w:sz w:val="20"/>
        </w:rPr>
        <w:t> </w:t>
      </w:r>
      <w:r>
        <w:rPr>
          <w:sz w:val="20"/>
        </w:rPr>
        <w:t>begin.</w:t>
      </w:r>
    </w:p>
    <w:p>
      <w:pPr>
        <w:pStyle w:val="ListParagraph"/>
        <w:numPr>
          <w:ilvl w:val="0"/>
          <w:numId w:val="18"/>
        </w:numPr>
        <w:tabs>
          <w:tab w:pos="485" w:val="left" w:leader="none"/>
        </w:tabs>
        <w:spacing w:line="249" w:lineRule="auto" w:before="6" w:after="0"/>
        <w:ind w:left="124" w:right="243" w:firstLine="0"/>
        <w:jc w:val="left"/>
        <w:rPr>
          <w:sz w:val="20"/>
        </w:rPr>
      </w:pPr>
      <w:r>
        <w:rPr>
          <w:spacing w:val="1"/>
          <w:w w:val="99"/>
          <w:sz w:val="20"/>
        </w:rPr>
        <w:br w:type="column"/>
      </w:r>
      <w:r>
        <w:rPr>
          <w:sz w:val="20"/>
        </w:rPr>
        <w:t>After the waiting period, wipe the blank</w:t>
      </w:r>
      <w:r>
        <w:rPr>
          <w:spacing w:val="-34"/>
          <w:sz w:val="20"/>
        </w:rPr>
        <w:t> </w:t>
      </w:r>
      <w:r>
        <w:rPr>
          <w:sz w:val="20"/>
        </w:rPr>
        <w:t>and insert it into the 16-mm round cell</w:t>
      </w:r>
      <w:r>
        <w:rPr>
          <w:spacing w:val="-22"/>
          <w:sz w:val="20"/>
        </w:rPr>
        <w:t> </w:t>
      </w:r>
      <w:r>
        <w:rPr>
          <w:sz w:val="20"/>
        </w:rPr>
        <w:t>holder.</w:t>
      </w:r>
    </w:p>
    <w:p>
      <w:pPr>
        <w:spacing w:after="0" w:line="249" w:lineRule="auto"/>
        <w:jc w:val="left"/>
        <w:rPr>
          <w:sz w:val="20"/>
        </w:rPr>
        <w:sectPr>
          <w:type w:val="continuous"/>
          <w:pgSz w:w="11900" w:h="15840"/>
          <w:pgMar w:top="0" w:bottom="0" w:left="600" w:right="920"/>
          <w:cols w:num="4" w:equalWidth="0">
            <w:col w:w="2397" w:space="169"/>
            <w:col w:w="2255" w:space="311"/>
            <w:col w:w="2393" w:space="172"/>
            <w:col w:w="268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4"/>
        </w:rPr>
      </w:pPr>
    </w:p>
    <w:p>
      <w:pPr>
        <w:spacing w:line="240" w:lineRule="auto"/>
        <w:ind w:left="124" w:right="0" w:firstLine="0"/>
        <w:rPr>
          <w:sz w:val="20"/>
        </w:rPr>
      </w:pPr>
      <w:r>
        <w:rPr>
          <w:sz w:val="20"/>
        </w:rPr>
        <w:pict>
          <v:group style="width:122.5pt;height:122.4pt;mso-position-horizontal-relative:char;mso-position-vertical-relative:line" coordorigin="0,0" coordsize="2450,2448">
            <v:rect style="position:absolute;left:120;top:0;width:2329;height:120" filled="true" fillcolor="#b3b3b3" stroked="false">
              <v:fill type="solid"/>
            </v:rect>
            <v:rect style="position:absolute;left:2329;top:60;width:120;height:2388" filled="true" fillcolor="#b3b3b3" stroked="false">
              <v:fill type="solid"/>
            </v:rect>
            <v:rect style="position:absolute;left:0;top:2328;width:2389;height:120" filled="true" fillcolor="#b3b3b3" stroked="false">
              <v:fill type="solid"/>
            </v:rect>
            <v:rect style="position:absolute;left:0;top:0;width:120;height:2388" filled="true" fillcolor="#b3b3b3" stroked="false">
              <v:fill type="solid"/>
            </v:rect>
          </v:group>
        </w:pict>
      </w:r>
      <w:r>
        <w:rPr>
          <w:sz w:val="20"/>
        </w:rPr>
      </w:r>
      <w:r>
        <w:rPr>
          <w:rFonts w:ascii="Times New Roman"/>
          <w:spacing w:val="45"/>
          <w:sz w:val="20"/>
        </w:rPr>
        <w:t> </w:t>
      </w:r>
      <w:r>
        <w:rPr>
          <w:spacing w:val="45"/>
          <w:sz w:val="20"/>
        </w:rPr>
        <w:pict>
          <v:group style="width:122.4pt;height:122.4pt;mso-position-horizontal-relative:char;mso-position-vertical-relative:line" coordorigin="0,0" coordsize="2448,2448">
            <v:shape style="position:absolute;left:1082;top:1079;width:1210;height:1216" coordorigin="1082,1079" coordsize="1210,1216" path="m2291,1914l1082,1914,1687,2295,2291,1914xm2070,1079l1304,1079,1304,1914,2070,1914,2070,1079xe" filled="true" fillcolor="#231f20" stroked="false">
              <v:path arrowok="t"/>
              <v:fill type="solid"/>
            </v:shape>
            <v:shape style="position:absolute;left:1587;top:1211;width:196;height:161" coordorigin="1587,1211" coordsize="196,161" path="m1782,1211l1588,1211,1587,1372,1783,1372,1782,1211xe" filled="true" fillcolor="#ffffff" stroked="false">
              <v:path arrowok="t"/>
              <v:fill type="solid"/>
            </v:shape>
            <v:shape style="position:absolute;left:1578;top:1275;width:217;height:896" coordorigin="1578,1275" coordsize="217,896" path="m1743,1275l1632,1275,1633,1339,1612,1346,1595,1359,1583,1376,1579,1396,1578,2074,1585,2104,1605,2136,1638,2160,1686,2170,1734,2162,1768,2139,1788,2108,1795,2074,1794,1396,1790,1379,1779,1362,1763,1347,1742,1339,1743,1275xe" filled="true" fillcolor="#ffffff" stroked="false">
              <v:path arrowok="t"/>
              <v:fill type="solid"/>
            </v:shape>
            <v:shape style="position:absolute;left:1596;top:1296;width:181;height:853" coordorigin="1596,1296" coordsize="181,853" path="m1734,1296l1641,1296,1642,1357,1624,1364,1610,1377,1600,1393,1597,1412,1596,2058,1602,2086,1618,2116,1646,2139,1686,2149,1726,2141,1754,2119,1771,2090,1777,2058,1776,1412,1773,1395,1764,1379,1750,1365,1733,1357,1734,1296xe" filled="true" fillcolor="#231f20" stroked="false">
              <v:path arrowok="t"/>
              <v:fill type="solid"/>
            </v:shape>
            <v:shape style="position:absolute;left:1617;top:1315;width:141;height:811" coordorigin="1617,1315" coordsize="141,811" path="m1715,1315l1656,1315,1656,1373,1640,1377,1628,1386,1620,1400,1617,1420,1617,2054,1621,2076,1634,2099,1656,2118,1687,2125,1718,2119,1740,2102,1753,2080,1758,2054,1757,1420,1753,1400,1744,1386,1730,1376,1715,1372,1715,1315xe" filled="true" fillcolor="#ffffff" stroked="false">
              <v:path arrowok="t"/>
              <v:fill type="solid"/>
            </v:shape>
            <v:shape style="position:absolute;left:1617;top:1315;width:141;height:811" coordorigin="1617,1315" coordsize="141,811" path="m1656,1373l1640,1377,1628,1386,1620,1400,1617,1420,1617,2054,1621,2076,1634,2099,1656,2118,1687,2125,1718,2119,1740,2102,1753,2080,1758,2054,1757,1420,1753,1400,1744,1386,1730,1376,1715,1372,1715,1315,1656,1315,1656,1373xe" filled="false" stroked="true" strokeweight=".4pt" strokecolor="#231f20">
              <v:path arrowok="t"/>
            </v:shape>
            <v:shape style="position:absolute;left:1604;top:1225;width:163;height:133" type="#_x0000_t75" stroked="false">
              <v:imagedata r:id="rId157" o:title=""/>
            </v:shape>
            <v:shape style="position:absolute;left:501;top:531;width:427;height:823" coordorigin="501,531" coordsize="427,823" path="m521,537l501,882,781,1353,775,1297,775,1224,780,1139,790,1045,805,946,825,841,849,744,875,657,901,585,928,531,881,537,825,543,763,546,697,547,652,546,607,544,563,541,521,537xe" filled="false" stroked="true" strokeweight=".792pt" strokecolor="#231f20">
              <v:path arrowok="t"/>
            </v:shape>
            <v:shape style="position:absolute;left:271;top:301;width:559;height:1216" coordorigin="271,301" coordsize="559,1216" path="m370,301l313,321,271,399,645,1453,665,1485,694,1507,729,1516,766,1510,798,1491,820,1462,830,1427,825,1391,451,334,427,315,400,304,370,301xe" filled="true" fillcolor="#ffffff" stroked="false">
              <v:path arrowok="t"/>
              <v:fill type="solid"/>
            </v:shape>
            <v:shape style="position:absolute;left:271;top:301;width:559;height:1216" coordorigin="271,301" coordsize="559,1216" path="m825,1391l451,334,427,315,400,304,370,301,340,306,313,321,292,342,277,369,271,399,645,1453,665,1485,694,1507,729,1516,766,1510,798,1491,820,1462,830,1427,825,1391xe" filled="false" stroked="true" strokeweight="1.08pt" strokecolor="#231f20">
              <v:path arrowok="t"/>
            </v:shape>
            <v:shape style="position:absolute;left:197;top:144;width:250;height:222" type="#_x0000_t75" stroked="false">
              <v:imagedata r:id="rId158" o:title=""/>
            </v:shape>
            <v:shape style="position:absolute;left:252;top:524;width:609;height:895" coordorigin="252,524" coordsize="609,895" path="m318,533l254,1227,264,1256,302,1286,364,1317,445,1345,542,1371,651,1391,661,1392,674,1396,695,1404,724,1418,718,1395,712,1333,710,1241,713,1128,724,1002,744,881,770,779,800,704,831,661,861,655,836,639,806,624,773,612,737,603,711,598,686,594,665,592,650,592,650,590,628,589,611,589,429,580,429,580,376,580,346,574,328,564,321,548,320,538,318,533xm252,1224l254,1227,254,1225,252,1224xm426,577l422,579,419,579,376,580,429,580,426,577xm314,524l318,533,318,527,314,524xe" filled="true" fillcolor="#ffffff" stroked="false">
              <v:path arrowok="t"/>
              <v:fill type="solid"/>
            </v:shape>
            <v:shape style="position:absolute;left:252;top:524;width:609;height:895" coordorigin="252,524" coordsize="609,895" path="m254,1227l318,527,314,524,320,538,321,548,328,564,346,574,376,580,419,579,422,579,426,577,429,580,472,582,518,584,565,586,611,589,628,589,650,590,650,592,665,592,737,603,806,624,861,655,831,661,800,704,770,779,744,881,724,1002,713,1128,710,1241,712,1333,718,1395,724,1418,695,1404,674,1396,661,1392,651,1391,542,1371,445,1345,364,1317,302,1286,254,1227,254,1225,252,1224,254,1227xe" filled="false" stroked="true" strokeweight=".792pt" strokecolor="#231f20">
              <v:path arrowok="t"/>
            </v:shape>
            <v:rect style="position:absolute;left:120;top:0;width:2328;height:120" filled="true" fillcolor="#b3b3b3" stroked="false">
              <v:fill type="solid"/>
            </v:rect>
            <v:rect style="position:absolute;left:2328;top:60;width:120;height:2388" filled="true" fillcolor="#b3b3b3" stroked="false">
              <v:fill type="solid"/>
            </v:rect>
            <v:rect style="position:absolute;left:0;top:2328;width:2388;height:120" filled="true" fillcolor="#b3b3b3" stroked="false">
              <v:fill type="solid"/>
            </v:rect>
            <v:rect style="position:absolute;left:0;top:0;width:120;height:2388" filled="true" fillcolor="#b3b3b3" stroked="false">
              <v:fill type="solid"/>
            </v:rect>
          </v:group>
        </w:pict>
      </w:r>
      <w:r>
        <w:rPr>
          <w:spacing w:val="45"/>
          <w:sz w:val="20"/>
        </w:rPr>
      </w:r>
    </w:p>
    <w:p>
      <w:pPr>
        <w:spacing w:after="0" w:line="240" w:lineRule="auto"/>
        <w:rPr>
          <w:sz w:val="20"/>
        </w:rPr>
        <w:sectPr>
          <w:type w:val="continuous"/>
          <w:pgSz w:w="11900" w:h="15840"/>
          <w:pgMar w:top="0" w:bottom="0" w:left="600" w:right="920"/>
        </w:sectPr>
      </w:pPr>
    </w:p>
    <w:p>
      <w:pPr>
        <w:pStyle w:val="ListParagraph"/>
        <w:numPr>
          <w:ilvl w:val="0"/>
          <w:numId w:val="18"/>
        </w:numPr>
        <w:tabs>
          <w:tab w:pos="485" w:val="left" w:leader="none"/>
        </w:tabs>
        <w:spacing w:line="240" w:lineRule="auto" w:before="69" w:after="0"/>
        <w:ind w:left="484" w:right="0" w:hanging="360"/>
        <w:jc w:val="left"/>
        <w:rPr>
          <w:sz w:val="20"/>
        </w:rPr>
      </w:pPr>
      <w:r>
        <w:rPr/>
        <w:drawing>
          <wp:anchor distT="0" distB="0" distL="0" distR="0" allowOverlap="1" layoutInCell="1" locked="0" behindDoc="0" simplePos="0" relativeHeight="10624">
            <wp:simplePos x="0" y="0"/>
            <wp:positionH relativeFrom="page">
              <wp:posOffset>760476</wp:posOffset>
            </wp:positionH>
            <wp:positionV relativeFrom="paragraph">
              <wp:posOffset>-1039612</wp:posOffset>
            </wp:positionV>
            <wp:extent cx="953260" cy="476250"/>
            <wp:effectExtent l="0" t="0" r="0" b="0"/>
            <wp:wrapNone/>
            <wp:docPr id="111" name="image143.png" descr=""/>
            <wp:cNvGraphicFramePr>
              <a:graphicFrameLocks noChangeAspect="1"/>
            </wp:cNvGraphicFramePr>
            <a:graphic>
              <a:graphicData uri="http://schemas.openxmlformats.org/drawingml/2006/picture">
                <pic:pic>
                  <pic:nvPicPr>
                    <pic:cNvPr id="112" name="image143.png"/>
                    <pic:cNvPicPr/>
                  </pic:nvPicPr>
                  <pic:blipFill>
                    <a:blip r:embed="rId159" cstate="print"/>
                    <a:stretch>
                      <a:fillRect/>
                    </a:stretch>
                  </pic:blipFill>
                  <pic:spPr>
                    <a:xfrm>
                      <a:off x="0" y="0"/>
                      <a:ext cx="953260" cy="476250"/>
                    </a:xfrm>
                    <a:prstGeom prst="rect">
                      <a:avLst/>
                    </a:prstGeom>
                  </pic:spPr>
                </pic:pic>
              </a:graphicData>
            </a:graphic>
          </wp:anchor>
        </w:drawing>
      </w:r>
      <w:r>
        <w:rPr>
          <w:sz w:val="20"/>
        </w:rPr>
        <w:t>Press</w:t>
      </w:r>
      <w:r>
        <w:rPr>
          <w:spacing w:val="-3"/>
          <w:sz w:val="20"/>
        </w:rPr>
        <w:t> </w:t>
      </w:r>
      <w:r>
        <w:rPr>
          <w:b/>
          <w:spacing w:val="-3"/>
          <w:sz w:val="18"/>
        </w:rPr>
        <w:t>ZERO</w:t>
      </w:r>
      <w:r>
        <w:rPr>
          <w:spacing w:val="-3"/>
          <w:sz w:val="20"/>
        </w:rPr>
        <w:t>.</w:t>
      </w:r>
    </w:p>
    <w:p>
      <w:pPr>
        <w:spacing w:before="129"/>
        <w:ind w:left="124" w:right="0" w:firstLine="0"/>
        <w:jc w:val="left"/>
        <w:rPr>
          <w:sz w:val="20"/>
        </w:rPr>
      </w:pPr>
      <w:r>
        <w:rPr>
          <w:sz w:val="20"/>
        </w:rPr>
        <w:t>The display will show:</w:t>
      </w:r>
    </w:p>
    <w:p>
      <w:pPr>
        <w:spacing w:before="10"/>
        <w:ind w:left="124" w:right="0" w:firstLine="0"/>
        <w:jc w:val="left"/>
        <w:rPr>
          <w:sz w:val="20"/>
        </w:rPr>
      </w:pPr>
      <w:r>
        <w:rPr>
          <w:sz w:val="20"/>
        </w:rPr>
        <w:t>0.0 mg/L NH</w:t>
      </w:r>
      <w:r>
        <w:rPr>
          <w:position w:val="-4"/>
          <w:sz w:val="16"/>
        </w:rPr>
        <w:t>3</w:t>
      </w:r>
      <w:r>
        <w:rPr>
          <w:sz w:val="20"/>
        </w:rPr>
        <w:t>–N</w:t>
      </w:r>
    </w:p>
    <w:p>
      <w:pPr>
        <w:pStyle w:val="ListParagraph"/>
        <w:numPr>
          <w:ilvl w:val="0"/>
          <w:numId w:val="18"/>
        </w:numPr>
        <w:tabs>
          <w:tab w:pos="485" w:val="left" w:leader="none"/>
        </w:tabs>
        <w:spacing w:line="249" w:lineRule="auto" w:before="69" w:after="0"/>
        <w:ind w:left="124" w:right="5484" w:firstLine="0"/>
        <w:jc w:val="left"/>
        <w:rPr>
          <w:sz w:val="20"/>
        </w:rPr>
      </w:pPr>
      <w:r>
        <w:rPr>
          <w:w w:val="99"/>
          <w:sz w:val="20"/>
        </w:rPr>
        <w:br w:type="column"/>
      </w:r>
      <w:r>
        <w:rPr>
          <w:sz w:val="20"/>
        </w:rPr>
        <w:t>Wipe the sample</w:t>
      </w:r>
      <w:r>
        <w:rPr>
          <w:spacing w:val="-10"/>
          <w:sz w:val="20"/>
        </w:rPr>
        <w:t> </w:t>
      </w:r>
      <w:r>
        <w:rPr>
          <w:sz w:val="20"/>
        </w:rPr>
        <w:t>vial and insert it into</w:t>
      </w:r>
      <w:r>
        <w:rPr>
          <w:spacing w:val="1"/>
          <w:sz w:val="20"/>
        </w:rPr>
        <w:t> </w:t>
      </w:r>
      <w:r>
        <w:rPr>
          <w:sz w:val="20"/>
        </w:rPr>
        <w:t>the</w:t>
      </w:r>
    </w:p>
    <w:p>
      <w:pPr>
        <w:pStyle w:val="ListParagraph"/>
        <w:numPr>
          <w:ilvl w:val="0"/>
          <w:numId w:val="19"/>
        </w:numPr>
        <w:tabs>
          <w:tab w:pos="416" w:val="left" w:leader="none"/>
        </w:tabs>
        <w:spacing w:line="376" w:lineRule="auto" w:before="1" w:after="0"/>
        <w:ind w:left="124" w:right="5320" w:firstLine="0"/>
        <w:jc w:val="left"/>
        <w:rPr>
          <w:sz w:val="20"/>
        </w:rPr>
      </w:pPr>
      <w:r>
        <w:rPr>
          <w:sz w:val="20"/>
        </w:rPr>
        <w:t>mm round cell holder. Results</w:t>
      </w:r>
      <w:r>
        <w:rPr>
          <w:spacing w:val="-27"/>
          <w:sz w:val="20"/>
        </w:rPr>
        <w:t> </w:t>
      </w:r>
      <w:r>
        <w:rPr>
          <w:sz w:val="20"/>
        </w:rPr>
        <w:t>are</w:t>
      </w:r>
      <w:r>
        <w:rPr>
          <w:spacing w:val="-28"/>
          <w:sz w:val="20"/>
        </w:rPr>
        <w:t> </w:t>
      </w:r>
      <w:r>
        <w:rPr>
          <w:sz w:val="20"/>
        </w:rPr>
        <w:t>in</w:t>
      </w:r>
      <w:r>
        <w:rPr>
          <w:spacing w:val="-28"/>
          <w:sz w:val="20"/>
        </w:rPr>
        <w:t> </w:t>
      </w:r>
      <w:r>
        <w:rPr>
          <w:sz w:val="20"/>
        </w:rPr>
        <w:t>mg/L</w:t>
      </w:r>
      <w:r>
        <w:rPr>
          <w:spacing w:val="-28"/>
          <w:sz w:val="20"/>
        </w:rPr>
        <w:t> </w:t>
      </w:r>
      <w:r>
        <w:rPr>
          <w:sz w:val="20"/>
        </w:rPr>
        <w:t>NH</w:t>
      </w:r>
      <w:r>
        <w:rPr>
          <w:position w:val="-4"/>
          <w:sz w:val="16"/>
        </w:rPr>
        <w:t>3</w:t>
      </w:r>
      <w:r>
        <w:rPr>
          <w:sz w:val="20"/>
        </w:rPr>
        <w:t>–N.</w:t>
      </w:r>
    </w:p>
    <w:p>
      <w:pPr>
        <w:spacing w:after="0" w:line="376" w:lineRule="auto"/>
        <w:jc w:val="left"/>
        <w:rPr>
          <w:sz w:val="20"/>
        </w:rPr>
        <w:sectPr>
          <w:type w:val="continuous"/>
          <w:pgSz w:w="11900" w:h="15840"/>
          <w:pgMar w:top="0" w:bottom="0" w:left="600" w:right="920"/>
          <w:cols w:num="2" w:equalWidth="0">
            <w:col w:w="2102" w:space="464"/>
            <w:col w:w="7814"/>
          </w:cols>
        </w:sectPr>
      </w:pPr>
    </w:p>
    <w:p>
      <w:pPr>
        <w:pStyle w:val="BodyText"/>
        <w:rPr>
          <w:sz w:val="20"/>
        </w:rPr>
      </w:pPr>
      <w:r>
        <w:rPr/>
        <w:drawing>
          <wp:anchor distT="0" distB="0" distL="0" distR="0" allowOverlap="1" layoutInCell="1" locked="0" behindDoc="0" simplePos="0" relativeHeight="10480">
            <wp:simplePos x="0" y="0"/>
            <wp:positionH relativeFrom="page">
              <wp:posOffset>4116387</wp:posOffset>
            </wp:positionH>
            <wp:positionV relativeFrom="page">
              <wp:posOffset>1827415</wp:posOffset>
            </wp:positionV>
            <wp:extent cx="146409" cy="214312"/>
            <wp:effectExtent l="0" t="0" r="0" b="0"/>
            <wp:wrapNone/>
            <wp:docPr id="113" name="image144.png" descr=""/>
            <wp:cNvGraphicFramePr>
              <a:graphicFrameLocks noChangeAspect="1"/>
            </wp:cNvGraphicFramePr>
            <a:graphic>
              <a:graphicData uri="http://schemas.openxmlformats.org/drawingml/2006/picture">
                <pic:pic>
                  <pic:nvPicPr>
                    <pic:cNvPr id="114" name="image144.png"/>
                    <pic:cNvPicPr/>
                  </pic:nvPicPr>
                  <pic:blipFill>
                    <a:blip r:embed="rId160" cstate="print"/>
                    <a:stretch>
                      <a:fillRect/>
                    </a:stretch>
                  </pic:blipFill>
                  <pic:spPr>
                    <a:xfrm>
                      <a:off x="0" y="0"/>
                      <a:ext cx="146409" cy="214312"/>
                    </a:xfrm>
                    <a:prstGeom prst="rect">
                      <a:avLst/>
                    </a:prstGeom>
                  </pic:spPr>
                </pic:pic>
              </a:graphicData>
            </a:graphic>
          </wp:anchor>
        </w:drawing>
      </w:r>
      <w:r>
        <w:rPr/>
        <w:drawing>
          <wp:anchor distT="0" distB="0" distL="0" distR="0" allowOverlap="1" layoutInCell="1" locked="0" behindDoc="0" simplePos="0" relativeHeight="10504">
            <wp:simplePos x="0" y="0"/>
            <wp:positionH relativeFrom="page">
              <wp:posOffset>4287697</wp:posOffset>
            </wp:positionH>
            <wp:positionV relativeFrom="page">
              <wp:posOffset>1827415</wp:posOffset>
            </wp:positionV>
            <wp:extent cx="150775" cy="223456"/>
            <wp:effectExtent l="0" t="0" r="0" b="0"/>
            <wp:wrapNone/>
            <wp:docPr id="115" name="image145.png" descr=""/>
            <wp:cNvGraphicFramePr>
              <a:graphicFrameLocks noChangeAspect="1"/>
            </wp:cNvGraphicFramePr>
            <a:graphic>
              <a:graphicData uri="http://schemas.openxmlformats.org/drawingml/2006/picture">
                <pic:pic>
                  <pic:nvPicPr>
                    <pic:cNvPr id="116" name="image145.png"/>
                    <pic:cNvPicPr/>
                  </pic:nvPicPr>
                  <pic:blipFill>
                    <a:blip r:embed="rId161" cstate="print"/>
                    <a:stretch>
                      <a:fillRect/>
                    </a:stretch>
                  </pic:blipFill>
                  <pic:spPr>
                    <a:xfrm>
                      <a:off x="0" y="0"/>
                      <a:ext cx="150775" cy="223456"/>
                    </a:xfrm>
                    <a:prstGeom prst="rect">
                      <a:avLst/>
                    </a:prstGeom>
                  </pic:spPr>
                </pic:pic>
              </a:graphicData>
            </a:graphic>
          </wp:anchor>
        </w:drawing>
      </w:r>
      <w:r>
        <w:rPr/>
        <w:drawing>
          <wp:anchor distT="0" distB="0" distL="0" distR="0" allowOverlap="1" layoutInCell="1" locked="0" behindDoc="0" simplePos="0" relativeHeight="10528">
            <wp:simplePos x="0" y="0"/>
            <wp:positionH relativeFrom="page">
              <wp:posOffset>4453204</wp:posOffset>
            </wp:positionH>
            <wp:positionV relativeFrom="page">
              <wp:posOffset>1827415</wp:posOffset>
            </wp:positionV>
            <wp:extent cx="256821" cy="223456"/>
            <wp:effectExtent l="0" t="0" r="0" b="0"/>
            <wp:wrapNone/>
            <wp:docPr id="117" name="image146.png" descr=""/>
            <wp:cNvGraphicFramePr>
              <a:graphicFrameLocks noChangeAspect="1"/>
            </wp:cNvGraphicFramePr>
            <a:graphic>
              <a:graphicData uri="http://schemas.openxmlformats.org/drawingml/2006/picture">
                <pic:pic>
                  <pic:nvPicPr>
                    <pic:cNvPr id="118" name="image146.png"/>
                    <pic:cNvPicPr/>
                  </pic:nvPicPr>
                  <pic:blipFill>
                    <a:blip r:embed="rId162" cstate="print"/>
                    <a:stretch>
                      <a:fillRect/>
                    </a:stretch>
                  </pic:blipFill>
                  <pic:spPr>
                    <a:xfrm>
                      <a:off x="0" y="0"/>
                      <a:ext cx="256821" cy="223456"/>
                    </a:xfrm>
                    <a:prstGeom prst="rect">
                      <a:avLst/>
                    </a:prstGeom>
                  </pic:spPr>
                </pic:pic>
              </a:graphicData>
            </a:graphic>
          </wp:anchor>
        </w:drawing>
      </w:r>
      <w:r>
        <w:rPr/>
        <w:drawing>
          <wp:anchor distT="0" distB="0" distL="0" distR="0" allowOverlap="1" layoutInCell="1" locked="0" behindDoc="0" simplePos="0" relativeHeight="10552">
            <wp:simplePos x="0" y="0"/>
            <wp:positionH relativeFrom="page">
              <wp:posOffset>4728146</wp:posOffset>
            </wp:positionH>
            <wp:positionV relativeFrom="page">
              <wp:posOffset>1827415</wp:posOffset>
            </wp:positionV>
            <wp:extent cx="150788" cy="223456"/>
            <wp:effectExtent l="0" t="0" r="0" b="0"/>
            <wp:wrapNone/>
            <wp:docPr id="119" name="image147.png" descr=""/>
            <wp:cNvGraphicFramePr>
              <a:graphicFrameLocks noChangeAspect="1"/>
            </wp:cNvGraphicFramePr>
            <a:graphic>
              <a:graphicData uri="http://schemas.openxmlformats.org/drawingml/2006/picture">
                <pic:pic>
                  <pic:nvPicPr>
                    <pic:cNvPr id="120" name="image147.png"/>
                    <pic:cNvPicPr/>
                  </pic:nvPicPr>
                  <pic:blipFill>
                    <a:blip r:embed="rId163" cstate="print"/>
                    <a:stretch>
                      <a:fillRect/>
                    </a:stretch>
                  </pic:blipFill>
                  <pic:spPr>
                    <a:xfrm>
                      <a:off x="0" y="0"/>
                      <a:ext cx="150788" cy="223456"/>
                    </a:xfrm>
                    <a:prstGeom prst="rect">
                      <a:avLst/>
                    </a:prstGeom>
                  </pic:spPr>
                </pic:pic>
              </a:graphicData>
            </a:graphic>
          </wp:anchor>
        </w:drawing>
      </w:r>
    </w:p>
    <w:p>
      <w:pPr>
        <w:pStyle w:val="BodyText"/>
        <w:rPr>
          <w:sz w:val="20"/>
        </w:rPr>
      </w:pPr>
    </w:p>
    <w:p>
      <w:pPr>
        <w:pStyle w:val="BodyText"/>
        <w:spacing w:before="3"/>
        <w:rPr>
          <w:sz w:val="27"/>
        </w:rPr>
      </w:pPr>
    </w:p>
    <w:p>
      <w:pPr>
        <w:pStyle w:val="BodyText"/>
        <w:spacing w:line="21" w:lineRule="exact"/>
        <w:ind w:left="114"/>
        <w:rPr>
          <w:sz w:val="2"/>
        </w:rPr>
      </w:pPr>
      <w:r>
        <w:rPr>
          <w:sz w:val="2"/>
        </w:rPr>
        <w:pict>
          <v:group style="width:505.15pt;height:1.05pt;mso-position-horizontal-relative:char;mso-position-vertical-relative:line" coordorigin="0,0" coordsize="10103,21">
            <v:line style="position:absolute" from="10,10" to="10,10" stroked="true" strokeweight="1.02pt" strokecolor="#000000"/>
            <v:line style="position:absolute" from="10,10" to="10092,10" stroked="true" strokeweight="1.02pt" strokecolor="#000000"/>
          </v:group>
        </w:pict>
      </w:r>
      <w:r>
        <w:rPr>
          <w:sz w:val="2"/>
        </w:rPr>
      </w:r>
    </w:p>
    <w:p>
      <w:pPr>
        <w:pStyle w:val="Heading3"/>
        <w:spacing w:before="84"/>
        <w:ind w:left="124" w:right="1109"/>
      </w:pPr>
      <w:r>
        <w:rPr/>
        <w:t>Interferences</w:t>
      </w:r>
    </w:p>
    <w:p>
      <w:pPr>
        <w:pStyle w:val="BodyText"/>
        <w:spacing w:before="2"/>
        <w:rPr>
          <w:b/>
          <w:sz w:val="9"/>
        </w:rPr>
      </w:pPr>
    </w:p>
    <w:p>
      <w:pPr>
        <w:spacing w:line="249" w:lineRule="auto" w:before="74"/>
        <w:ind w:left="1926" w:right="125" w:firstLine="0"/>
        <w:jc w:val="left"/>
        <w:rPr>
          <w:sz w:val="20"/>
        </w:rPr>
      </w:pPr>
      <w:r>
        <w:rPr>
          <w:sz w:val="20"/>
        </w:rPr>
        <w:t>In some lab environments, airborne cross contamination of the blank is possible. Complete preparation</w:t>
      </w:r>
      <w:r>
        <w:rPr>
          <w:spacing w:val="-13"/>
          <w:sz w:val="20"/>
        </w:rPr>
        <w:t> </w:t>
      </w:r>
      <w:r>
        <w:rPr>
          <w:sz w:val="20"/>
        </w:rPr>
        <w:t>of</w:t>
      </w:r>
      <w:r>
        <w:rPr>
          <w:spacing w:val="-13"/>
          <w:sz w:val="20"/>
        </w:rPr>
        <w:t> </w:t>
      </w:r>
      <w:r>
        <w:rPr>
          <w:sz w:val="20"/>
        </w:rPr>
        <w:t>the</w:t>
      </w:r>
      <w:r>
        <w:rPr>
          <w:spacing w:val="-13"/>
          <w:sz w:val="20"/>
        </w:rPr>
        <w:t> </w:t>
      </w:r>
      <w:r>
        <w:rPr>
          <w:sz w:val="20"/>
        </w:rPr>
        <w:t>blank</w:t>
      </w:r>
      <w:r>
        <w:rPr>
          <w:spacing w:val="-13"/>
          <w:sz w:val="20"/>
        </w:rPr>
        <w:t> </w:t>
      </w:r>
      <w:r>
        <w:rPr>
          <w:sz w:val="20"/>
        </w:rPr>
        <w:t>before</w:t>
      </w:r>
      <w:r>
        <w:rPr>
          <w:spacing w:val="-13"/>
          <w:sz w:val="20"/>
        </w:rPr>
        <w:t> </w:t>
      </w:r>
      <w:r>
        <w:rPr>
          <w:sz w:val="20"/>
        </w:rPr>
        <w:t>opening</w:t>
      </w:r>
      <w:r>
        <w:rPr>
          <w:spacing w:val="-13"/>
          <w:sz w:val="20"/>
        </w:rPr>
        <w:t> </w:t>
      </w:r>
      <w:r>
        <w:rPr>
          <w:sz w:val="20"/>
        </w:rPr>
        <w:t>or</w:t>
      </w:r>
      <w:r>
        <w:rPr>
          <w:spacing w:val="-14"/>
          <w:sz w:val="20"/>
        </w:rPr>
        <w:t> </w:t>
      </w:r>
      <w:r>
        <w:rPr>
          <w:sz w:val="20"/>
        </w:rPr>
        <w:t>handling</w:t>
      </w:r>
      <w:r>
        <w:rPr>
          <w:spacing w:val="-13"/>
          <w:sz w:val="20"/>
        </w:rPr>
        <w:t> </w:t>
      </w:r>
      <w:r>
        <w:rPr>
          <w:sz w:val="20"/>
        </w:rPr>
        <w:t>any</w:t>
      </w:r>
      <w:r>
        <w:rPr>
          <w:spacing w:val="-12"/>
          <w:sz w:val="20"/>
        </w:rPr>
        <w:t> </w:t>
      </w:r>
      <w:r>
        <w:rPr>
          <w:sz w:val="20"/>
        </w:rPr>
        <w:t>samples</w:t>
      </w:r>
      <w:r>
        <w:rPr>
          <w:spacing w:val="-13"/>
          <w:sz w:val="20"/>
        </w:rPr>
        <w:t> </w:t>
      </w:r>
      <w:r>
        <w:rPr>
          <w:sz w:val="20"/>
        </w:rPr>
        <w:t>or</w:t>
      </w:r>
      <w:r>
        <w:rPr>
          <w:spacing w:val="-14"/>
          <w:sz w:val="20"/>
        </w:rPr>
        <w:t> </w:t>
      </w:r>
      <w:r>
        <w:rPr>
          <w:sz w:val="20"/>
        </w:rPr>
        <w:t>standards</w:t>
      </w:r>
      <w:r>
        <w:rPr>
          <w:spacing w:val="-13"/>
          <w:sz w:val="20"/>
        </w:rPr>
        <w:t> </w:t>
      </w:r>
      <w:r>
        <w:rPr>
          <w:sz w:val="20"/>
        </w:rPr>
        <w:t>to</w:t>
      </w:r>
      <w:r>
        <w:rPr>
          <w:spacing w:val="-13"/>
          <w:sz w:val="20"/>
        </w:rPr>
        <w:t> </w:t>
      </w:r>
      <w:r>
        <w:rPr>
          <w:sz w:val="20"/>
        </w:rPr>
        <w:t>avoid</w:t>
      </w:r>
      <w:r>
        <w:rPr>
          <w:spacing w:val="-13"/>
          <w:sz w:val="20"/>
        </w:rPr>
        <w:t> </w:t>
      </w:r>
      <w:r>
        <w:rPr>
          <w:sz w:val="20"/>
        </w:rPr>
        <w:t>transfer of</w:t>
      </w:r>
      <w:r>
        <w:rPr>
          <w:spacing w:val="-5"/>
          <w:sz w:val="20"/>
        </w:rPr>
        <w:t> </w:t>
      </w:r>
      <w:r>
        <w:rPr>
          <w:sz w:val="20"/>
        </w:rPr>
        <w:t>ammonia.</w:t>
      </w:r>
      <w:r>
        <w:rPr>
          <w:spacing w:val="-5"/>
          <w:sz w:val="20"/>
        </w:rPr>
        <w:t> </w:t>
      </w:r>
      <w:r>
        <w:rPr>
          <w:sz w:val="20"/>
        </w:rPr>
        <w:t>If</w:t>
      </w:r>
      <w:r>
        <w:rPr>
          <w:spacing w:val="-5"/>
          <w:sz w:val="20"/>
        </w:rPr>
        <w:t> </w:t>
      </w:r>
      <w:r>
        <w:rPr>
          <w:sz w:val="20"/>
        </w:rPr>
        <w:t>sample</w:t>
      </w:r>
      <w:r>
        <w:rPr>
          <w:spacing w:val="-5"/>
          <w:sz w:val="20"/>
        </w:rPr>
        <w:t> </w:t>
      </w:r>
      <w:r>
        <w:rPr>
          <w:sz w:val="20"/>
        </w:rPr>
        <w:t>or</w:t>
      </w:r>
      <w:r>
        <w:rPr>
          <w:spacing w:val="-5"/>
          <w:sz w:val="20"/>
        </w:rPr>
        <w:t> </w:t>
      </w:r>
      <w:r>
        <w:rPr>
          <w:sz w:val="20"/>
        </w:rPr>
        <w:t>standard</w:t>
      </w:r>
      <w:r>
        <w:rPr>
          <w:spacing w:val="-4"/>
          <w:sz w:val="20"/>
        </w:rPr>
        <w:t> </w:t>
      </w:r>
      <w:r>
        <w:rPr>
          <w:sz w:val="20"/>
        </w:rPr>
        <w:t>containers</w:t>
      </w:r>
      <w:r>
        <w:rPr>
          <w:spacing w:val="-4"/>
          <w:sz w:val="20"/>
        </w:rPr>
        <w:t> </w:t>
      </w:r>
      <w:r>
        <w:rPr>
          <w:spacing w:val="-3"/>
          <w:sz w:val="20"/>
        </w:rPr>
        <w:t>have</w:t>
      </w:r>
      <w:r>
        <w:rPr>
          <w:spacing w:val="-5"/>
          <w:sz w:val="20"/>
        </w:rPr>
        <w:t> </w:t>
      </w:r>
      <w:r>
        <w:rPr>
          <w:sz w:val="20"/>
        </w:rPr>
        <w:t>already</w:t>
      </w:r>
      <w:r>
        <w:rPr>
          <w:spacing w:val="-4"/>
          <w:sz w:val="20"/>
        </w:rPr>
        <w:t> </w:t>
      </w:r>
      <w:r>
        <w:rPr>
          <w:sz w:val="20"/>
        </w:rPr>
        <w:t>been</w:t>
      </w:r>
      <w:r>
        <w:rPr>
          <w:spacing w:val="-5"/>
          <w:sz w:val="20"/>
        </w:rPr>
        <w:t> </w:t>
      </w:r>
      <w:r>
        <w:rPr>
          <w:sz w:val="20"/>
        </w:rPr>
        <w:t>opened,</w:t>
      </w:r>
      <w:r>
        <w:rPr>
          <w:spacing w:val="-5"/>
          <w:sz w:val="20"/>
        </w:rPr>
        <w:t> </w:t>
      </w:r>
      <w:r>
        <w:rPr>
          <w:sz w:val="20"/>
        </w:rPr>
        <w:t>move</w:t>
      </w:r>
      <w:r>
        <w:rPr>
          <w:spacing w:val="-5"/>
          <w:sz w:val="20"/>
        </w:rPr>
        <w:t> </w:t>
      </w:r>
      <w:r>
        <w:rPr>
          <w:sz w:val="20"/>
        </w:rPr>
        <w:t>to</w:t>
      </w:r>
      <w:r>
        <w:rPr>
          <w:spacing w:val="-4"/>
          <w:sz w:val="20"/>
        </w:rPr>
        <w:t> </w:t>
      </w:r>
      <w:r>
        <w:rPr>
          <w:sz w:val="20"/>
        </w:rPr>
        <w:t>a</w:t>
      </w:r>
      <w:r>
        <w:rPr>
          <w:spacing w:val="-5"/>
          <w:sz w:val="20"/>
        </w:rPr>
        <w:t> </w:t>
      </w:r>
      <w:r>
        <w:rPr>
          <w:sz w:val="20"/>
        </w:rPr>
        <w:t>separate area of the lab to prepare the</w:t>
      </w:r>
      <w:r>
        <w:rPr>
          <w:spacing w:val="-26"/>
          <w:sz w:val="20"/>
        </w:rPr>
        <w:t> </w:t>
      </w:r>
      <w:r>
        <w:rPr>
          <w:sz w:val="20"/>
        </w:rPr>
        <w:t>blank.</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r>
        <w:rPr/>
        <w:pict>
          <v:group style="position:absolute;margin-left:35.715pt;margin-top:14.378469pt;width:505.15pt;height:1.05pt;mso-position-horizontal-relative:page;mso-position-vertical-relative:paragraph;z-index:10360;mso-wrap-distance-left:0;mso-wrap-distance-right:0" coordorigin="714,288" coordsize="10103,21">
            <v:line style="position:absolute" from="725,298" to="725,298" stroked="true" strokeweight="1.02pt" strokecolor="#000000"/>
            <v:line style="position:absolute" from="725,298" to="10806,298" stroked="true" strokeweight="1.02pt" strokecolor="#000000"/>
            <w10:wrap type="topAndBottom"/>
          </v:group>
        </w:pict>
      </w:r>
    </w:p>
    <w:p>
      <w:pPr>
        <w:spacing w:line="207" w:lineRule="exact" w:before="0"/>
        <w:ind w:left="124" w:right="1109" w:firstLine="0"/>
        <w:jc w:val="left"/>
        <w:rPr>
          <w:b/>
          <w:sz w:val="20"/>
        </w:rPr>
      </w:pPr>
      <w:r>
        <w:rPr>
          <w:b/>
          <w:sz w:val="20"/>
        </w:rPr>
        <w:t>Nitrogen, Ammonia</w:t>
      </w:r>
    </w:p>
    <w:p>
      <w:pPr>
        <w:tabs>
          <w:tab w:pos="7694" w:val="left" w:leader="none"/>
        </w:tabs>
        <w:spacing w:before="10"/>
        <w:ind w:left="124" w:right="125" w:firstLine="0"/>
        <w:jc w:val="left"/>
        <w:rPr>
          <w:sz w:val="14"/>
        </w:rPr>
      </w:pPr>
      <w:r>
        <w:rPr>
          <w:b/>
          <w:sz w:val="20"/>
        </w:rPr>
        <w:t>Page 2</w:t>
      </w:r>
      <w:r>
        <w:rPr>
          <w:b/>
          <w:spacing w:val="-5"/>
          <w:sz w:val="20"/>
        </w:rPr>
        <w:t> </w:t>
      </w:r>
      <w:r>
        <w:rPr>
          <w:b/>
          <w:sz w:val="20"/>
        </w:rPr>
        <w:t>of</w:t>
      </w:r>
      <w:r>
        <w:rPr>
          <w:b/>
          <w:spacing w:val="-3"/>
          <w:sz w:val="20"/>
        </w:rPr>
        <w:t> </w:t>
      </w:r>
      <w:r>
        <w:rPr>
          <w:b/>
          <w:sz w:val="20"/>
        </w:rPr>
        <w:t>6</w:t>
        <w:tab/>
      </w:r>
      <w:r>
        <w:rPr>
          <w:sz w:val="14"/>
        </w:rPr>
        <w:t>NitrogenAmm_10031_TNT_HR_SAL.fm</w:t>
      </w:r>
    </w:p>
    <w:p>
      <w:pPr>
        <w:spacing w:after="0"/>
        <w:jc w:val="left"/>
        <w:rPr>
          <w:sz w:val="14"/>
        </w:rPr>
        <w:sectPr>
          <w:type w:val="continuous"/>
          <w:pgSz w:w="11900" w:h="15840"/>
          <w:pgMar w:top="0" w:bottom="0" w:left="600" w:right="920"/>
        </w:sectPr>
      </w:pPr>
    </w:p>
    <w:p>
      <w:pPr>
        <w:pStyle w:val="Heading4"/>
        <w:ind w:left="4705"/>
      </w:pPr>
      <w:r>
        <w:rPr/>
        <w:pict>
          <v:group style="position:absolute;margin-left:53.775002pt;margin-top:21.080879pt;width:505.05pt;height:1.05pt;mso-position-horizontal-relative:page;mso-position-vertical-relative:paragraph;z-index:10648;mso-wrap-distance-left:0;mso-wrap-distance-right:0" coordorigin="1076,422" coordsize="10101,21">
            <v:line style="position:absolute" from="1086,432" to="1086,432" stroked="true" strokeweight="1.02pt" strokecolor="#000000"/>
            <v:line style="position:absolute" from="1086,432" to="11166,432" stroked="true" strokeweight="1.02pt" strokecolor="#000000"/>
            <w10:wrap type="topAndBottom"/>
          </v:group>
        </w:pict>
      </w:r>
      <w:r>
        <w:rPr/>
        <w:t>Nitrogen, Ammonia HR (0.4 to 50.0 mg/L NH</w:t>
      </w:r>
      <w:r>
        <w:rPr>
          <w:position w:val="-5"/>
          <w:sz w:val="19"/>
        </w:rPr>
        <w:t>3</w:t>
      </w:r>
      <w:r>
        <w:rPr/>
        <w:t>–N)</w:t>
      </w:r>
    </w:p>
    <w:p>
      <w:pPr>
        <w:pStyle w:val="BodyText"/>
        <w:spacing w:before="9"/>
        <w:rPr>
          <w:b/>
          <w:sz w:val="20"/>
        </w:rPr>
      </w:pPr>
    </w:p>
    <w:p>
      <w:pPr>
        <w:spacing w:before="74"/>
        <w:ind w:left="3153" w:right="101" w:firstLine="0"/>
        <w:jc w:val="left"/>
        <w:rPr>
          <w:b/>
          <w:sz w:val="20"/>
        </w:rPr>
      </w:pPr>
      <w:r>
        <w:rPr>
          <w:b/>
          <w:sz w:val="20"/>
        </w:rPr>
        <w:t>Table  1 Interfering Substances and Levels</w:t>
      </w:r>
    </w:p>
    <w:p>
      <w:pPr>
        <w:pStyle w:val="BodyText"/>
        <w:spacing w:before="7"/>
        <w:rPr>
          <w:b/>
          <w:sz w:val="8"/>
        </w:rPr>
      </w:pPr>
    </w:p>
    <w:tbl>
      <w:tblPr>
        <w:tblW w:w="0" w:type="auto"/>
        <w:jc w:val="left"/>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83"/>
        <w:gridCol w:w="8004"/>
      </w:tblGrid>
      <w:tr>
        <w:trPr>
          <w:trHeight w:val="380" w:hRule="exact"/>
        </w:trPr>
        <w:tc>
          <w:tcPr>
            <w:tcW w:w="2083" w:type="dxa"/>
          </w:tcPr>
          <w:p>
            <w:pPr>
              <w:pStyle w:val="TableParagraph"/>
              <w:spacing w:before="66"/>
              <w:ind w:left="75" w:right="0"/>
              <w:jc w:val="left"/>
              <w:rPr>
                <w:rFonts w:ascii="Arial"/>
                <w:b/>
                <w:sz w:val="18"/>
              </w:rPr>
            </w:pPr>
            <w:r>
              <w:rPr>
                <w:rFonts w:ascii="Arial"/>
                <w:b/>
                <w:sz w:val="18"/>
              </w:rPr>
              <w:t>Interfering Substance</w:t>
            </w:r>
          </w:p>
        </w:tc>
        <w:tc>
          <w:tcPr>
            <w:tcW w:w="8004" w:type="dxa"/>
          </w:tcPr>
          <w:p>
            <w:pPr>
              <w:pStyle w:val="TableParagraph"/>
              <w:spacing w:before="66"/>
              <w:ind w:left="74" w:right="29"/>
              <w:jc w:val="left"/>
              <w:rPr>
                <w:rFonts w:ascii="Arial"/>
                <w:b/>
                <w:sz w:val="18"/>
              </w:rPr>
            </w:pPr>
            <w:r>
              <w:rPr>
                <w:rFonts w:ascii="Arial"/>
                <w:b/>
                <w:sz w:val="18"/>
              </w:rPr>
              <w:t>Interference Levels and Treatments</w:t>
            </w:r>
          </w:p>
        </w:tc>
      </w:tr>
      <w:tr>
        <w:trPr>
          <w:trHeight w:val="520" w:hRule="exact"/>
        </w:trPr>
        <w:tc>
          <w:tcPr>
            <w:tcW w:w="2083" w:type="dxa"/>
          </w:tcPr>
          <w:p>
            <w:pPr>
              <w:pStyle w:val="TableParagraph"/>
              <w:spacing w:before="136"/>
              <w:ind w:left="75" w:right="0"/>
              <w:jc w:val="left"/>
              <w:rPr>
                <w:rFonts w:ascii="Arial"/>
                <w:sz w:val="18"/>
              </w:rPr>
            </w:pPr>
            <w:r>
              <w:rPr>
                <w:rFonts w:ascii="Arial"/>
                <w:sz w:val="18"/>
              </w:rPr>
              <w:t>Acidic or Basic Samples</w:t>
            </w:r>
          </w:p>
        </w:tc>
        <w:tc>
          <w:tcPr>
            <w:tcW w:w="8004" w:type="dxa"/>
          </w:tcPr>
          <w:p>
            <w:pPr>
              <w:pStyle w:val="TableParagraph"/>
              <w:spacing w:line="256" w:lineRule="auto" w:before="23"/>
              <w:ind w:left="74" w:right="29"/>
              <w:jc w:val="left"/>
              <w:rPr>
                <w:rFonts w:ascii="Arial"/>
                <w:sz w:val="18"/>
              </w:rPr>
            </w:pPr>
            <w:r>
              <w:rPr>
                <w:rFonts w:ascii="Arial"/>
                <w:sz w:val="18"/>
              </w:rPr>
              <w:t>Adjust to approximately pH 7. Use 1 N Sodium Hydroxide Standard Solution</w:t>
            </w:r>
            <w:r>
              <w:rPr>
                <w:rFonts w:ascii="Arial"/>
                <w:position w:val="4"/>
                <w:sz w:val="14"/>
              </w:rPr>
              <w:t>1 </w:t>
            </w:r>
            <w:r>
              <w:rPr>
                <w:rFonts w:ascii="Arial"/>
                <w:sz w:val="18"/>
              </w:rPr>
              <w:t>for acidic samples and 1 N Hydrochloric Acid Standard Solution for basic samples.</w:t>
            </w:r>
          </w:p>
        </w:tc>
      </w:tr>
      <w:tr>
        <w:trPr>
          <w:trHeight w:val="300" w:hRule="exact"/>
        </w:trPr>
        <w:tc>
          <w:tcPr>
            <w:tcW w:w="2083" w:type="dxa"/>
          </w:tcPr>
          <w:p>
            <w:pPr>
              <w:pStyle w:val="TableParagraph"/>
              <w:spacing w:before="27"/>
              <w:ind w:left="75" w:right="0"/>
              <w:jc w:val="left"/>
              <w:rPr>
                <w:rFonts w:ascii="Arial"/>
                <w:sz w:val="18"/>
              </w:rPr>
            </w:pPr>
            <w:r>
              <w:rPr>
                <w:rFonts w:ascii="Arial"/>
                <w:sz w:val="18"/>
              </w:rPr>
              <w:t>Calcium</w:t>
            </w:r>
          </w:p>
        </w:tc>
        <w:tc>
          <w:tcPr>
            <w:tcW w:w="8004" w:type="dxa"/>
          </w:tcPr>
          <w:p>
            <w:pPr>
              <w:pStyle w:val="TableParagraph"/>
              <w:spacing w:before="27"/>
              <w:ind w:left="74" w:right="29"/>
              <w:jc w:val="left"/>
              <w:rPr>
                <w:rFonts w:ascii="Arial"/>
                <w:sz w:val="14"/>
              </w:rPr>
            </w:pPr>
            <w:r>
              <w:rPr>
                <w:rFonts w:ascii="Arial"/>
                <w:sz w:val="18"/>
              </w:rPr>
              <w:t>50,000 mg/L as CaCO</w:t>
            </w:r>
            <w:r>
              <w:rPr>
                <w:rFonts w:ascii="Arial"/>
                <w:position w:val="-3"/>
                <w:sz w:val="14"/>
              </w:rPr>
              <w:t>3</w:t>
            </w:r>
          </w:p>
        </w:tc>
      </w:tr>
      <w:tr>
        <w:trPr>
          <w:trHeight w:val="300" w:hRule="exact"/>
        </w:trPr>
        <w:tc>
          <w:tcPr>
            <w:tcW w:w="2083" w:type="dxa"/>
          </w:tcPr>
          <w:p>
            <w:pPr>
              <w:pStyle w:val="TableParagraph"/>
              <w:spacing w:before="26"/>
              <w:ind w:left="75" w:right="0"/>
              <w:jc w:val="left"/>
              <w:rPr>
                <w:rFonts w:ascii="Arial"/>
                <w:sz w:val="18"/>
              </w:rPr>
            </w:pPr>
            <w:r>
              <w:rPr>
                <w:rFonts w:ascii="Arial"/>
                <w:sz w:val="18"/>
              </w:rPr>
              <w:t>Glycine, hydrazine</w:t>
            </w:r>
          </w:p>
        </w:tc>
        <w:tc>
          <w:tcPr>
            <w:tcW w:w="8004" w:type="dxa"/>
          </w:tcPr>
          <w:p>
            <w:pPr>
              <w:pStyle w:val="TableParagraph"/>
              <w:spacing w:before="26"/>
              <w:ind w:left="74" w:right="29"/>
              <w:jc w:val="left"/>
              <w:rPr>
                <w:rFonts w:ascii="Arial"/>
                <w:sz w:val="18"/>
              </w:rPr>
            </w:pPr>
            <w:r>
              <w:rPr>
                <w:rFonts w:ascii="Arial"/>
                <w:sz w:val="18"/>
              </w:rPr>
              <w:t>Will cause intensified colors in the prepared sample.</w:t>
            </w:r>
          </w:p>
        </w:tc>
      </w:tr>
      <w:tr>
        <w:trPr>
          <w:trHeight w:val="300" w:hRule="exact"/>
        </w:trPr>
        <w:tc>
          <w:tcPr>
            <w:tcW w:w="2083" w:type="dxa"/>
          </w:tcPr>
          <w:p>
            <w:pPr>
              <w:pStyle w:val="TableParagraph"/>
              <w:spacing w:before="27"/>
              <w:ind w:left="75" w:right="0"/>
              <w:jc w:val="left"/>
              <w:rPr>
                <w:rFonts w:ascii="Arial"/>
                <w:sz w:val="18"/>
              </w:rPr>
            </w:pPr>
            <w:r>
              <w:rPr>
                <w:rFonts w:ascii="Arial"/>
                <w:sz w:val="18"/>
              </w:rPr>
              <w:t>Magnesium</w:t>
            </w:r>
          </w:p>
        </w:tc>
        <w:tc>
          <w:tcPr>
            <w:tcW w:w="8004" w:type="dxa"/>
          </w:tcPr>
          <w:p>
            <w:pPr>
              <w:pStyle w:val="TableParagraph"/>
              <w:spacing w:before="27"/>
              <w:ind w:left="73" w:right="29"/>
              <w:jc w:val="left"/>
              <w:rPr>
                <w:rFonts w:ascii="Arial"/>
                <w:sz w:val="12"/>
              </w:rPr>
            </w:pPr>
            <w:r>
              <w:rPr>
                <w:rFonts w:ascii="Arial"/>
                <w:sz w:val="18"/>
              </w:rPr>
              <w:t>300,000 mg/L as CaCO</w:t>
            </w:r>
            <w:r>
              <w:rPr>
                <w:rFonts w:ascii="Arial"/>
                <w:position w:val="-3"/>
                <w:sz w:val="12"/>
              </w:rPr>
              <w:t>3</w:t>
            </w:r>
          </w:p>
        </w:tc>
      </w:tr>
      <w:tr>
        <w:trPr>
          <w:trHeight w:val="740" w:hRule="exact"/>
        </w:trPr>
        <w:tc>
          <w:tcPr>
            <w:tcW w:w="2083" w:type="dxa"/>
          </w:tcPr>
          <w:p>
            <w:pPr>
              <w:pStyle w:val="TableParagraph"/>
              <w:spacing w:before="4"/>
              <w:ind w:right="0"/>
              <w:jc w:val="left"/>
              <w:rPr>
                <w:rFonts w:ascii="Arial"/>
                <w:b/>
                <w:sz w:val="21"/>
              </w:rPr>
            </w:pPr>
          </w:p>
          <w:p>
            <w:pPr>
              <w:pStyle w:val="TableParagraph"/>
              <w:spacing w:before="1"/>
              <w:ind w:left="75" w:right="0"/>
              <w:jc w:val="left"/>
              <w:rPr>
                <w:rFonts w:ascii="Arial"/>
                <w:sz w:val="18"/>
              </w:rPr>
            </w:pPr>
            <w:r>
              <w:rPr>
                <w:rFonts w:ascii="Arial"/>
                <w:sz w:val="18"/>
              </w:rPr>
              <w:t>Monochloramine</w:t>
            </w:r>
          </w:p>
        </w:tc>
        <w:tc>
          <w:tcPr>
            <w:tcW w:w="8004" w:type="dxa"/>
          </w:tcPr>
          <w:p>
            <w:pPr>
              <w:pStyle w:val="TableParagraph"/>
              <w:spacing w:line="254" w:lineRule="auto" w:before="26"/>
              <w:ind w:left="74" w:right="29"/>
              <w:jc w:val="left"/>
              <w:rPr>
                <w:rFonts w:ascii="Arial"/>
                <w:sz w:val="18"/>
              </w:rPr>
            </w:pPr>
            <w:r>
              <w:rPr>
                <w:rFonts w:ascii="Arial"/>
                <w:sz w:val="18"/>
              </w:rPr>
              <w:t>Monochloramine present in chloraminated drinking water interferes directly at all levels giving high results. Use Method 10200, Free Ammonia and Monochloramine, to determine free ammonia in these sample matrices.</w:t>
            </w:r>
          </w:p>
        </w:tc>
      </w:tr>
      <w:tr>
        <w:trPr>
          <w:trHeight w:val="1200" w:hRule="exact"/>
        </w:trPr>
        <w:tc>
          <w:tcPr>
            <w:tcW w:w="2083" w:type="dxa"/>
          </w:tcPr>
          <w:p>
            <w:pPr>
              <w:pStyle w:val="TableParagraph"/>
              <w:spacing w:before="0"/>
              <w:ind w:right="0"/>
              <w:jc w:val="left"/>
              <w:rPr>
                <w:rFonts w:ascii="Arial"/>
                <w:b/>
                <w:sz w:val="18"/>
              </w:rPr>
            </w:pPr>
          </w:p>
          <w:p>
            <w:pPr>
              <w:pStyle w:val="TableParagraph"/>
              <w:spacing w:before="5"/>
              <w:ind w:right="0"/>
              <w:jc w:val="left"/>
              <w:rPr>
                <w:rFonts w:ascii="Arial"/>
                <w:b/>
                <w:sz w:val="23"/>
              </w:rPr>
            </w:pPr>
          </w:p>
          <w:p>
            <w:pPr>
              <w:pStyle w:val="TableParagraph"/>
              <w:spacing w:before="0"/>
              <w:ind w:left="75" w:right="0"/>
              <w:jc w:val="left"/>
              <w:rPr>
                <w:rFonts w:ascii="Arial"/>
                <w:sz w:val="18"/>
              </w:rPr>
            </w:pPr>
            <w:r>
              <w:rPr>
                <w:rFonts w:ascii="Arial"/>
                <w:sz w:val="18"/>
              </w:rPr>
              <w:t>Iron</w:t>
            </w:r>
          </w:p>
        </w:tc>
        <w:tc>
          <w:tcPr>
            <w:tcW w:w="8004" w:type="dxa"/>
          </w:tcPr>
          <w:p>
            <w:pPr>
              <w:pStyle w:val="TableParagraph"/>
              <w:spacing w:before="27"/>
              <w:ind w:left="74" w:right="29"/>
              <w:jc w:val="left"/>
              <w:rPr>
                <w:rFonts w:ascii="Arial"/>
                <w:sz w:val="18"/>
              </w:rPr>
            </w:pPr>
            <w:r>
              <w:rPr>
                <w:rFonts w:ascii="Arial"/>
                <w:sz w:val="18"/>
              </w:rPr>
              <w:t>Eliminate iron interference as follows:</w:t>
            </w:r>
          </w:p>
          <w:p>
            <w:pPr>
              <w:pStyle w:val="TableParagraph"/>
              <w:numPr>
                <w:ilvl w:val="0"/>
                <w:numId w:val="20"/>
              </w:numPr>
              <w:tabs>
                <w:tab w:pos="434" w:val="left" w:leader="none"/>
                <w:tab w:pos="435" w:val="left" w:leader="none"/>
              </w:tabs>
              <w:spacing w:line="240" w:lineRule="auto" w:before="52" w:after="0"/>
              <w:ind w:left="74" w:right="0" w:firstLine="0"/>
              <w:jc w:val="left"/>
              <w:rPr>
                <w:rFonts w:ascii="Arial"/>
                <w:sz w:val="18"/>
              </w:rPr>
            </w:pPr>
            <w:r>
              <w:rPr>
                <w:rFonts w:ascii="Arial"/>
                <w:sz w:val="18"/>
              </w:rPr>
              <w:t>Determine</w:t>
            </w:r>
            <w:r>
              <w:rPr>
                <w:rFonts w:ascii="Arial"/>
                <w:spacing w:val="-4"/>
                <w:sz w:val="18"/>
              </w:rPr>
              <w:t> </w:t>
            </w:r>
            <w:r>
              <w:rPr>
                <w:rFonts w:ascii="Arial"/>
                <w:sz w:val="18"/>
              </w:rPr>
              <w:t>the</w:t>
            </w:r>
            <w:r>
              <w:rPr>
                <w:rFonts w:ascii="Arial"/>
                <w:spacing w:val="-4"/>
                <w:sz w:val="18"/>
              </w:rPr>
              <w:t> </w:t>
            </w:r>
            <w:r>
              <w:rPr>
                <w:rFonts w:ascii="Arial"/>
                <w:sz w:val="18"/>
              </w:rPr>
              <w:t>amount</w:t>
            </w:r>
            <w:r>
              <w:rPr>
                <w:rFonts w:ascii="Arial"/>
                <w:spacing w:val="-3"/>
                <w:sz w:val="18"/>
              </w:rPr>
              <w:t> </w:t>
            </w:r>
            <w:r>
              <w:rPr>
                <w:rFonts w:ascii="Arial"/>
                <w:sz w:val="18"/>
              </w:rPr>
              <w:t>of</w:t>
            </w:r>
            <w:r>
              <w:rPr>
                <w:rFonts w:ascii="Arial"/>
                <w:spacing w:val="-5"/>
                <w:sz w:val="18"/>
              </w:rPr>
              <w:t> </w:t>
            </w:r>
            <w:r>
              <w:rPr>
                <w:rFonts w:ascii="Arial"/>
                <w:sz w:val="18"/>
              </w:rPr>
              <w:t>iron</w:t>
            </w:r>
            <w:r>
              <w:rPr>
                <w:rFonts w:ascii="Arial"/>
                <w:spacing w:val="-4"/>
                <w:sz w:val="18"/>
              </w:rPr>
              <w:t> </w:t>
            </w:r>
            <w:r>
              <w:rPr>
                <w:rFonts w:ascii="Arial"/>
                <w:sz w:val="18"/>
              </w:rPr>
              <w:t>present</w:t>
            </w:r>
            <w:r>
              <w:rPr>
                <w:rFonts w:ascii="Arial"/>
                <w:spacing w:val="-3"/>
                <w:sz w:val="18"/>
              </w:rPr>
              <w:t> </w:t>
            </w:r>
            <w:r>
              <w:rPr>
                <w:rFonts w:ascii="Arial"/>
                <w:sz w:val="18"/>
              </w:rPr>
              <w:t>in</w:t>
            </w:r>
            <w:r>
              <w:rPr>
                <w:rFonts w:ascii="Arial"/>
                <w:spacing w:val="-4"/>
                <w:sz w:val="18"/>
              </w:rPr>
              <w:t> </w:t>
            </w:r>
            <w:r>
              <w:rPr>
                <w:rFonts w:ascii="Arial"/>
                <w:sz w:val="18"/>
              </w:rPr>
              <w:t>the</w:t>
            </w:r>
            <w:r>
              <w:rPr>
                <w:rFonts w:ascii="Arial"/>
                <w:spacing w:val="-4"/>
                <w:sz w:val="18"/>
              </w:rPr>
              <w:t> </w:t>
            </w:r>
            <w:r>
              <w:rPr>
                <w:rFonts w:ascii="Arial"/>
                <w:sz w:val="18"/>
              </w:rPr>
              <w:t>sample</w:t>
            </w:r>
            <w:r>
              <w:rPr>
                <w:rFonts w:ascii="Arial"/>
                <w:spacing w:val="-5"/>
                <w:sz w:val="18"/>
              </w:rPr>
              <w:t> </w:t>
            </w:r>
            <w:r>
              <w:rPr>
                <w:rFonts w:ascii="Arial"/>
                <w:sz w:val="18"/>
              </w:rPr>
              <w:t>using</w:t>
            </w:r>
            <w:r>
              <w:rPr>
                <w:rFonts w:ascii="Arial"/>
                <w:spacing w:val="-3"/>
                <w:sz w:val="18"/>
              </w:rPr>
              <w:t> </w:t>
            </w:r>
            <w:r>
              <w:rPr>
                <w:rFonts w:ascii="Arial"/>
                <w:sz w:val="18"/>
              </w:rPr>
              <w:t>one</w:t>
            </w:r>
            <w:r>
              <w:rPr>
                <w:rFonts w:ascii="Arial"/>
                <w:spacing w:val="-3"/>
                <w:sz w:val="18"/>
              </w:rPr>
              <w:t> </w:t>
            </w:r>
            <w:r>
              <w:rPr>
                <w:rFonts w:ascii="Arial"/>
                <w:sz w:val="18"/>
              </w:rPr>
              <w:t>of</w:t>
            </w:r>
            <w:r>
              <w:rPr>
                <w:rFonts w:ascii="Arial"/>
                <w:spacing w:val="-5"/>
                <w:sz w:val="18"/>
              </w:rPr>
              <w:t> </w:t>
            </w:r>
            <w:r>
              <w:rPr>
                <w:rFonts w:ascii="Arial"/>
                <w:sz w:val="18"/>
              </w:rPr>
              <w:t>the</w:t>
            </w:r>
            <w:r>
              <w:rPr>
                <w:rFonts w:ascii="Arial"/>
                <w:spacing w:val="-4"/>
                <w:sz w:val="18"/>
              </w:rPr>
              <w:t> </w:t>
            </w:r>
            <w:r>
              <w:rPr>
                <w:rFonts w:ascii="Arial"/>
                <w:sz w:val="18"/>
              </w:rPr>
              <w:t>total</w:t>
            </w:r>
            <w:r>
              <w:rPr>
                <w:rFonts w:ascii="Arial"/>
                <w:spacing w:val="-4"/>
                <w:sz w:val="18"/>
              </w:rPr>
              <w:t> </w:t>
            </w:r>
            <w:r>
              <w:rPr>
                <w:rFonts w:ascii="Arial"/>
                <w:sz w:val="18"/>
              </w:rPr>
              <w:t>iron</w:t>
            </w:r>
            <w:r>
              <w:rPr>
                <w:rFonts w:ascii="Arial"/>
                <w:spacing w:val="-4"/>
                <w:sz w:val="18"/>
              </w:rPr>
              <w:t> </w:t>
            </w:r>
            <w:r>
              <w:rPr>
                <w:rFonts w:ascii="Arial"/>
                <w:sz w:val="18"/>
              </w:rPr>
              <w:t>procedures.</w:t>
            </w:r>
          </w:p>
          <w:p>
            <w:pPr>
              <w:pStyle w:val="TableParagraph"/>
              <w:numPr>
                <w:ilvl w:val="0"/>
                <w:numId w:val="20"/>
              </w:numPr>
              <w:tabs>
                <w:tab w:pos="434" w:val="left" w:leader="none"/>
                <w:tab w:pos="435" w:val="left" w:leader="none"/>
              </w:tabs>
              <w:spacing w:line="372" w:lineRule="auto" w:before="113" w:after="0"/>
              <w:ind w:left="74" w:right="2388" w:firstLine="0"/>
              <w:jc w:val="left"/>
              <w:rPr>
                <w:rFonts w:ascii="Arial"/>
                <w:sz w:val="18"/>
              </w:rPr>
            </w:pPr>
            <w:r>
              <w:rPr>
                <w:rFonts w:ascii="Arial"/>
                <w:sz w:val="18"/>
              </w:rPr>
              <w:t>Add</w:t>
            </w:r>
            <w:r>
              <w:rPr>
                <w:rFonts w:ascii="Arial"/>
                <w:spacing w:val="-5"/>
                <w:sz w:val="18"/>
              </w:rPr>
              <w:t> </w:t>
            </w:r>
            <w:r>
              <w:rPr>
                <w:rFonts w:ascii="Arial"/>
                <w:sz w:val="18"/>
              </w:rPr>
              <w:t>the</w:t>
            </w:r>
            <w:r>
              <w:rPr>
                <w:rFonts w:ascii="Arial"/>
                <w:spacing w:val="-5"/>
                <w:sz w:val="18"/>
              </w:rPr>
              <w:t> </w:t>
            </w:r>
            <w:r>
              <w:rPr>
                <w:rFonts w:ascii="Arial"/>
                <w:sz w:val="18"/>
              </w:rPr>
              <w:t>same</w:t>
            </w:r>
            <w:r>
              <w:rPr>
                <w:rFonts w:ascii="Arial"/>
                <w:spacing w:val="-5"/>
                <w:sz w:val="18"/>
              </w:rPr>
              <w:t> </w:t>
            </w:r>
            <w:r>
              <w:rPr>
                <w:rFonts w:ascii="Arial"/>
                <w:sz w:val="18"/>
              </w:rPr>
              <w:t>iron</w:t>
            </w:r>
            <w:r>
              <w:rPr>
                <w:rFonts w:ascii="Arial"/>
                <w:spacing w:val="-5"/>
                <w:sz w:val="18"/>
              </w:rPr>
              <w:t> </w:t>
            </w:r>
            <w:r>
              <w:rPr>
                <w:rFonts w:ascii="Arial"/>
                <w:sz w:val="18"/>
              </w:rPr>
              <w:t>concentration</w:t>
            </w:r>
            <w:r>
              <w:rPr>
                <w:rFonts w:ascii="Arial"/>
                <w:spacing w:val="-5"/>
                <w:sz w:val="18"/>
              </w:rPr>
              <w:t> </w:t>
            </w:r>
            <w:r>
              <w:rPr>
                <w:rFonts w:ascii="Arial"/>
                <w:sz w:val="18"/>
              </w:rPr>
              <w:t>to</w:t>
            </w:r>
            <w:r>
              <w:rPr>
                <w:rFonts w:ascii="Arial"/>
                <w:spacing w:val="-5"/>
                <w:sz w:val="18"/>
              </w:rPr>
              <w:t> </w:t>
            </w:r>
            <w:r>
              <w:rPr>
                <w:rFonts w:ascii="Arial"/>
                <w:sz w:val="18"/>
              </w:rPr>
              <w:t>the</w:t>
            </w:r>
            <w:r>
              <w:rPr>
                <w:rFonts w:ascii="Arial"/>
                <w:spacing w:val="-5"/>
                <w:sz w:val="18"/>
              </w:rPr>
              <w:t> </w:t>
            </w:r>
            <w:r>
              <w:rPr>
                <w:rFonts w:ascii="Arial"/>
                <w:sz w:val="18"/>
              </w:rPr>
              <w:t>deionized</w:t>
            </w:r>
            <w:r>
              <w:rPr>
                <w:rFonts w:ascii="Arial"/>
                <w:spacing w:val="-5"/>
                <w:sz w:val="18"/>
              </w:rPr>
              <w:t> </w:t>
            </w:r>
            <w:r>
              <w:rPr>
                <w:rFonts w:ascii="Arial"/>
                <w:sz w:val="18"/>
              </w:rPr>
              <w:t>water</w:t>
            </w:r>
            <w:r>
              <w:rPr>
                <w:rFonts w:ascii="Arial"/>
                <w:spacing w:val="-4"/>
                <w:sz w:val="18"/>
              </w:rPr>
              <w:t> </w:t>
            </w:r>
            <w:r>
              <w:rPr>
                <w:rFonts w:ascii="Arial"/>
                <w:sz w:val="18"/>
              </w:rPr>
              <w:t>in</w:t>
            </w:r>
            <w:r>
              <w:rPr>
                <w:rFonts w:ascii="Arial"/>
                <w:spacing w:val="-5"/>
                <w:sz w:val="18"/>
              </w:rPr>
              <w:t> </w:t>
            </w:r>
            <w:r>
              <w:rPr>
                <w:rFonts w:ascii="Arial"/>
                <w:sz w:val="18"/>
              </w:rPr>
              <w:t>step</w:t>
            </w:r>
            <w:r>
              <w:rPr>
                <w:rFonts w:ascii="Arial"/>
                <w:spacing w:val="-4"/>
                <w:sz w:val="18"/>
              </w:rPr>
              <w:t> </w:t>
            </w:r>
            <w:r>
              <w:rPr>
                <w:rFonts w:ascii="Arial"/>
                <w:color w:val="0000FF"/>
                <w:sz w:val="18"/>
              </w:rPr>
              <w:t>3</w:t>
            </w:r>
            <w:r>
              <w:rPr>
                <w:rFonts w:ascii="Arial"/>
                <w:sz w:val="18"/>
              </w:rPr>
              <w:t>. The</w:t>
            </w:r>
            <w:r>
              <w:rPr>
                <w:rFonts w:ascii="Arial"/>
                <w:spacing w:val="-8"/>
                <w:sz w:val="18"/>
              </w:rPr>
              <w:t> </w:t>
            </w:r>
            <w:r>
              <w:rPr>
                <w:rFonts w:ascii="Arial"/>
                <w:sz w:val="18"/>
              </w:rPr>
              <w:t>interference</w:t>
            </w:r>
            <w:r>
              <w:rPr>
                <w:rFonts w:ascii="Arial"/>
                <w:spacing w:val="-7"/>
                <w:sz w:val="18"/>
              </w:rPr>
              <w:t> </w:t>
            </w:r>
            <w:r>
              <w:rPr>
                <w:rFonts w:ascii="Arial"/>
                <w:sz w:val="18"/>
              </w:rPr>
              <w:t>will</w:t>
            </w:r>
            <w:r>
              <w:rPr>
                <w:rFonts w:ascii="Arial"/>
                <w:spacing w:val="-7"/>
                <w:sz w:val="18"/>
              </w:rPr>
              <w:t> </w:t>
            </w:r>
            <w:r>
              <w:rPr>
                <w:rFonts w:ascii="Arial"/>
                <w:sz w:val="18"/>
              </w:rPr>
              <w:t>then</w:t>
            </w:r>
            <w:r>
              <w:rPr>
                <w:rFonts w:ascii="Arial"/>
                <w:spacing w:val="-8"/>
                <w:sz w:val="18"/>
              </w:rPr>
              <w:t> </w:t>
            </w:r>
            <w:r>
              <w:rPr>
                <w:rFonts w:ascii="Arial"/>
                <w:sz w:val="18"/>
              </w:rPr>
              <w:t>be</w:t>
            </w:r>
            <w:r>
              <w:rPr>
                <w:rFonts w:ascii="Arial"/>
                <w:spacing w:val="-8"/>
                <w:sz w:val="18"/>
              </w:rPr>
              <w:t> </w:t>
            </w:r>
            <w:r>
              <w:rPr>
                <w:rFonts w:ascii="Arial"/>
                <w:sz w:val="18"/>
              </w:rPr>
              <w:t>successfully</w:t>
            </w:r>
            <w:r>
              <w:rPr>
                <w:rFonts w:ascii="Arial"/>
                <w:spacing w:val="-9"/>
                <w:sz w:val="18"/>
              </w:rPr>
              <w:t> </w:t>
            </w:r>
            <w:r>
              <w:rPr>
                <w:rFonts w:ascii="Arial"/>
                <w:sz w:val="18"/>
              </w:rPr>
              <w:t>blanked</w:t>
            </w:r>
            <w:r>
              <w:rPr>
                <w:rFonts w:ascii="Arial"/>
                <w:spacing w:val="-8"/>
                <w:sz w:val="18"/>
              </w:rPr>
              <w:t> </w:t>
            </w:r>
            <w:r>
              <w:rPr>
                <w:rFonts w:ascii="Arial"/>
                <w:sz w:val="18"/>
              </w:rPr>
              <w:t>out.</w:t>
            </w:r>
          </w:p>
        </w:tc>
      </w:tr>
      <w:tr>
        <w:trPr>
          <w:trHeight w:val="300" w:hRule="exact"/>
        </w:trPr>
        <w:tc>
          <w:tcPr>
            <w:tcW w:w="2083" w:type="dxa"/>
          </w:tcPr>
          <w:p>
            <w:pPr>
              <w:pStyle w:val="TableParagraph"/>
              <w:spacing w:before="27"/>
              <w:ind w:left="75" w:right="0"/>
              <w:jc w:val="left"/>
              <w:rPr>
                <w:rFonts w:ascii="Arial"/>
                <w:sz w:val="18"/>
              </w:rPr>
            </w:pPr>
            <w:r>
              <w:rPr>
                <w:rFonts w:ascii="Arial"/>
                <w:sz w:val="18"/>
              </w:rPr>
              <w:t>Nitrite</w:t>
            </w:r>
          </w:p>
        </w:tc>
        <w:tc>
          <w:tcPr>
            <w:tcW w:w="8004" w:type="dxa"/>
          </w:tcPr>
          <w:p>
            <w:pPr>
              <w:pStyle w:val="TableParagraph"/>
              <w:spacing w:before="27"/>
              <w:ind w:left="74" w:right="29"/>
              <w:jc w:val="left"/>
              <w:rPr>
                <w:rFonts w:ascii="Arial" w:hAnsi="Arial"/>
                <w:sz w:val="18"/>
              </w:rPr>
            </w:pPr>
            <w:r>
              <w:rPr>
                <w:rFonts w:ascii="Arial" w:hAnsi="Arial"/>
                <w:sz w:val="18"/>
              </w:rPr>
              <w:t>600 mg/L as NO</w:t>
            </w:r>
            <w:r>
              <w:rPr>
                <w:rFonts w:ascii="Arial" w:hAnsi="Arial"/>
                <w:position w:val="-3"/>
                <w:sz w:val="14"/>
              </w:rPr>
              <w:t>2</w:t>
            </w:r>
            <w:r>
              <w:rPr>
                <w:rFonts w:ascii="Arial" w:hAnsi="Arial"/>
                <w:position w:val="4"/>
                <w:sz w:val="12"/>
              </w:rPr>
              <w:t>–</w:t>
            </w:r>
            <w:r>
              <w:rPr>
                <w:rFonts w:ascii="Arial" w:hAnsi="Arial"/>
                <w:sz w:val="18"/>
              </w:rPr>
              <w:t>–N</w:t>
            </w:r>
          </w:p>
        </w:tc>
      </w:tr>
      <w:tr>
        <w:trPr>
          <w:trHeight w:val="300" w:hRule="exact"/>
        </w:trPr>
        <w:tc>
          <w:tcPr>
            <w:tcW w:w="2083" w:type="dxa"/>
          </w:tcPr>
          <w:p>
            <w:pPr>
              <w:pStyle w:val="TableParagraph"/>
              <w:spacing w:before="27"/>
              <w:ind w:left="75" w:right="0"/>
              <w:jc w:val="left"/>
              <w:rPr>
                <w:rFonts w:ascii="Arial"/>
                <w:sz w:val="18"/>
              </w:rPr>
            </w:pPr>
            <w:r>
              <w:rPr>
                <w:rFonts w:ascii="Arial"/>
                <w:sz w:val="18"/>
              </w:rPr>
              <w:t>Nitrate</w:t>
            </w:r>
          </w:p>
        </w:tc>
        <w:tc>
          <w:tcPr>
            <w:tcW w:w="8004" w:type="dxa"/>
          </w:tcPr>
          <w:p>
            <w:pPr>
              <w:pStyle w:val="TableParagraph"/>
              <w:spacing w:before="27"/>
              <w:ind w:left="74" w:right="29"/>
              <w:jc w:val="left"/>
              <w:rPr>
                <w:rFonts w:ascii="Arial" w:hAnsi="Arial"/>
                <w:sz w:val="18"/>
              </w:rPr>
            </w:pPr>
            <w:r>
              <w:rPr>
                <w:rFonts w:ascii="Arial" w:hAnsi="Arial"/>
                <w:sz w:val="18"/>
              </w:rPr>
              <w:t>5000 mg/L as NO</w:t>
            </w:r>
            <w:r>
              <w:rPr>
                <w:rFonts w:ascii="Arial" w:hAnsi="Arial"/>
                <w:position w:val="-3"/>
                <w:sz w:val="14"/>
              </w:rPr>
              <w:t>3</w:t>
            </w:r>
            <w:r>
              <w:rPr>
                <w:rFonts w:ascii="Arial" w:hAnsi="Arial"/>
                <w:position w:val="4"/>
                <w:sz w:val="12"/>
              </w:rPr>
              <w:t>–</w:t>
            </w:r>
            <w:r>
              <w:rPr>
                <w:rFonts w:ascii="Arial" w:hAnsi="Arial"/>
                <w:sz w:val="18"/>
              </w:rPr>
              <w:t>–N</w:t>
            </w:r>
          </w:p>
        </w:tc>
      </w:tr>
      <w:tr>
        <w:trPr>
          <w:trHeight w:val="300" w:hRule="exact"/>
        </w:trPr>
        <w:tc>
          <w:tcPr>
            <w:tcW w:w="2083" w:type="dxa"/>
          </w:tcPr>
          <w:p>
            <w:pPr>
              <w:pStyle w:val="TableParagraph"/>
              <w:spacing w:before="27"/>
              <w:ind w:left="75" w:right="0"/>
              <w:jc w:val="left"/>
              <w:rPr>
                <w:rFonts w:ascii="Arial"/>
                <w:sz w:val="18"/>
              </w:rPr>
            </w:pPr>
            <w:r>
              <w:rPr>
                <w:rFonts w:ascii="Arial"/>
                <w:sz w:val="18"/>
              </w:rPr>
              <w:t>Orthophosphate</w:t>
            </w:r>
          </w:p>
        </w:tc>
        <w:tc>
          <w:tcPr>
            <w:tcW w:w="8004" w:type="dxa"/>
          </w:tcPr>
          <w:p>
            <w:pPr>
              <w:pStyle w:val="TableParagraph"/>
              <w:spacing w:before="14"/>
              <w:ind w:left="74" w:right="29"/>
              <w:jc w:val="left"/>
              <w:rPr>
                <w:rFonts w:ascii="Arial" w:hAnsi="Arial"/>
                <w:sz w:val="18"/>
              </w:rPr>
            </w:pPr>
            <w:r>
              <w:rPr>
                <w:rFonts w:ascii="Arial" w:hAnsi="Arial"/>
                <w:sz w:val="18"/>
              </w:rPr>
              <w:t>5000 mg/L as PO</w:t>
            </w:r>
            <w:r>
              <w:rPr>
                <w:rFonts w:ascii="Arial" w:hAnsi="Arial"/>
                <w:position w:val="-3"/>
                <w:sz w:val="14"/>
              </w:rPr>
              <w:t>4</w:t>
            </w:r>
            <w:r>
              <w:rPr>
                <w:rFonts w:ascii="Arial" w:hAnsi="Arial"/>
                <w:position w:val="5"/>
                <w:sz w:val="14"/>
              </w:rPr>
              <w:t>3–</w:t>
            </w:r>
            <w:r>
              <w:rPr>
                <w:rFonts w:ascii="Arial" w:hAnsi="Arial"/>
                <w:sz w:val="18"/>
              </w:rPr>
              <w:t>–P</w:t>
            </w:r>
          </w:p>
        </w:tc>
      </w:tr>
      <w:tr>
        <w:trPr>
          <w:trHeight w:val="300" w:hRule="exact"/>
        </w:trPr>
        <w:tc>
          <w:tcPr>
            <w:tcW w:w="2083" w:type="dxa"/>
          </w:tcPr>
          <w:p>
            <w:pPr>
              <w:pStyle w:val="TableParagraph"/>
              <w:spacing w:before="27"/>
              <w:ind w:left="75" w:right="0"/>
              <w:jc w:val="left"/>
              <w:rPr>
                <w:rFonts w:ascii="Arial"/>
                <w:sz w:val="18"/>
              </w:rPr>
            </w:pPr>
            <w:r>
              <w:rPr>
                <w:rFonts w:ascii="Arial"/>
                <w:sz w:val="18"/>
              </w:rPr>
              <w:t>Sulfate</w:t>
            </w:r>
          </w:p>
        </w:tc>
        <w:tc>
          <w:tcPr>
            <w:tcW w:w="8004" w:type="dxa"/>
          </w:tcPr>
          <w:p>
            <w:pPr>
              <w:pStyle w:val="TableParagraph"/>
              <w:spacing w:before="14"/>
              <w:ind w:left="74" w:right="29"/>
              <w:jc w:val="left"/>
              <w:rPr>
                <w:rFonts w:ascii="Arial" w:hAnsi="Arial"/>
                <w:sz w:val="14"/>
              </w:rPr>
            </w:pPr>
            <w:r>
              <w:rPr>
                <w:rFonts w:ascii="Arial" w:hAnsi="Arial"/>
                <w:sz w:val="18"/>
              </w:rPr>
              <w:t>6000 mg/L as SO</w:t>
            </w:r>
            <w:r>
              <w:rPr>
                <w:rFonts w:ascii="Arial" w:hAnsi="Arial"/>
                <w:position w:val="-3"/>
                <w:sz w:val="14"/>
              </w:rPr>
              <w:t>4</w:t>
            </w:r>
            <w:r>
              <w:rPr>
                <w:rFonts w:ascii="Arial" w:hAnsi="Arial"/>
                <w:position w:val="5"/>
                <w:sz w:val="14"/>
              </w:rPr>
              <w:t>2–</w:t>
            </w:r>
          </w:p>
        </w:tc>
      </w:tr>
      <w:tr>
        <w:trPr>
          <w:trHeight w:val="1200" w:hRule="exact"/>
        </w:trPr>
        <w:tc>
          <w:tcPr>
            <w:tcW w:w="2083" w:type="dxa"/>
          </w:tcPr>
          <w:p>
            <w:pPr>
              <w:pStyle w:val="TableParagraph"/>
              <w:spacing w:before="0"/>
              <w:ind w:right="0"/>
              <w:jc w:val="left"/>
              <w:rPr>
                <w:rFonts w:ascii="Arial"/>
                <w:b/>
                <w:sz w:val="18"/>
              </w:rPr>
            </w:pPr>
          </w:p>
          <w:p>
            <w:pPr>
              <w:pStyle w:val="TableParagraph"/>
              <w:spacing w:before="5"/>
              <w:ind w:right="0"/>
              <w:jc w:val="left"/>
              <w:rPr>
                <w:rFonts w:ascii="Arial"/>
                <w:b/>
                <w:sz w:val="23"/>
              </w:rPr>
            </w:pPr>
          </w:p>
          <w:p>
            <w:pPr>
              <w:pStyle w:val="TableParagraph"/>
              <w:spacing w:before="0"/>
              <w:ind w:left="75" w:right="0"/>
              <w:jc w:val="left"/>
              <w:rPr>
                <w:rFonts w:ascii="Arial"/>
                <w:sz w:val="18"/>
              </w:rPr>
            </w:pPr>
            <w:r>
              <w:rPr>
                <w:rFonts w:ascii="Arial"/>
                <w:sz w:val="18"/>
              </w:rPr>
              <w:t>Sulfide</w:t>
            </w:r>
          </w:p>
        </w:tc>
        <w:tc>
          <w:tcPr>
            <w:tcW w:w="8004" w:type="dxa"/>
          </w:tcPr>
          <w:p>
            <w:pPr>
              <w:pStyle w:val="TableParagraph"/>
              <w:spacing w:before="26"/>
              <w:ind w:left="74" w:right="29"/>
              <w:jc w:val="left"/>
              <w:rPr>
                <w:rFonts w:ascii="Arial"/>
                <w:sz w:val="18"/>
              </w:rPr>
            </w:pPr>
            <w:r>
              <w:rPr>
                <w:rFonts w:ascii="Arial"/>
                <w:sz w:val="18"/>
              </w:rPr>
              <w:t>Sulfide will intensify the color. Eliminate sulfide interference as follows:</w:t>
            </w:r>
          </w:p>
          <w:p>
            <w:pPr>
              <w:pStyle w:val="TableParagraph"/>
              <w:numPr>
                <w:ilvl w:val="0"/>
                <w:numId w:val="21"/>
              </w:numPr>
              <w:tabs>
                <w:tab w:pos="434" w:val="left" w:leader="none"/>
                <w:tab w:pos="435" w:val="left" w:leader="none"/>
              </w:tabs>
              <w:spacing w:line="240" w:lineRule="auto" w:before="52" w:after="0"/>
              <w:ind w:left="434" w:right="0" w:hanging="360"/>
              <w:jc w:val="left"/>
              <w:rPr>
                <w:rFonts w:ascii="Arial"/>
                <w:sz w:val="18"/>
              </w:rPr>
            </w:pPr>
            <w:r>
              <w:rPr>
                <w:rFonts w:ascii="Arial"/>
                <w:sz w:val="18"/>
              </w:rPr>
              <w:t>Measure</w:t>
            </w:r>
            <w:r>
              <w:rPr>
                <w:rFonts w:ascii="Arial"/>
                <w:spacing w:val="-4"/>
                <w:sz w:val="18"/>
              </w:rPr>
              <w:t> </w:t>
            </w:r>
            <w:r>
              <w:rPr>
                <w:rFonts w:ascii="Arial"/>
                <w:sz w:val="18"/>
              </w:rPr>
              <w:t>about</w:t>
            </w:r>
            <w:r>
              <w:rPr>
                <w:rFonts w:ascii="Arial"/>
                <w:spacing w:val="-6"/>
                <w:sz w:val="18"/>
              </w:rPr>
              <w:t> </w:t>
            </w:r>
            <w:r>
              <w:rPr>
                <w:rFonts w:ascii="Arial"/>
                <w:sz w:val="18"/>
              </w:rPr>
              <w:t>350</w:t>
            </w:r>
            <w:r>
              <w:rPr>
                <w:rFonts w:ascii="Arial"/>
                <w:spacing w:val="-4"/>
                <w:sz w:val="18"/>
              </w:rPr>
              <w:t> </w:t>
            </w:r>
            <w:r>
              <w:rPr>
                <w:rFonts w:ascii="Arial"/>
                <w:sz w:val="18"/>
              </w:rPr>
              <w:t>mL</w:t>
            </w:r>
            <w:r>
              <w:rPr>
                <w:rFonts w:ascii="Arial"/>
                <w:spacing w:val="-4"/>
                <w:sz w:val="18"/>
              </w:rPr>
              <w:t> </w:t>
            </w:r>
            <w:r>
              <w:rPr>
                <w:rFonts w:ascii="Arial"/>
                <w:sz w:val="18"/>
              </w:rPr>
              <w:t>of</w:t>
            </w:r>
            <w:r>
              <w:rPr>
                <w:rFonts w:ascii="Arial"/>
                <w:spacing w:val="-4"/>
                <w:sz w:val="18"/>
              </w:rPr>
              <w:t> </w:t>
            </w:r>
            <w:r>
              <w:rPr>
                <w:rFonts w:ascii="Arial"/>
                <w:sz w:val="18"/>
              </w:rPr>
              <w:t>sample</w:t>
            </w:r>
            <w:r>
              <w:rPr>
                <w:rFonts w:ascii="Arial"/>
                <w:spacing w:val="-5"/>
                <w:sz w:val="18"/>
              </w:rPr>
              <w:t> </w:t>
            </w:r>
            <w:r>
              <w:rPr>
                <w:rFonts w:ascii="Arial"/>
                <w:sz w:val="18"/>
              </w:rPr>
              <w:t>in</w:t>
            </w:r>
            <w:r>
              <w:rPr>
                <w:rFonts w:ascii="Arial"/>
                <w:spacing w:val="-4"/>
                <w:sz w:val="18"/>
              </w:rPr>
              <w:t> </w:t>
            </w:r>
            <w:r>
              <w:rPr>
                <w:rFonts w:ascii="Arial"/>
                <w:sz w:val="18"/>
              </w:rPr>
              <w:t>a</w:t>
            </w:r>
            <w:r>
              <w:rPr>
                <w:rFonts w:ascii="Arial"/>
                <w:spacing w:val="-4"/>
                <w:sz w:val="18"/>
              </w:rPr>
              <w:t> </w:t>
            </w:r>
            <w:r>
              <w:rPr>
                <w:rFonts w:ascii="Arial"/>
                <w:sz w:val="18"/>
              </w:rPr>
              <w:t>500-mL</w:t>
            </w:r>
            <w:r>
              <w:rPr>
                <w:rFonts w:ascii="Arial"/>
                <w:spacing w:val="-4"/>
                <w:sz w:val="18"/>
              </w:rPr>
              <w:t> </w:t>
            </w:r>
            <w:r>
              <w:rPr>
                <w:rFonts w:ascii="Arial"/>
                <w:sz w:val="18"/>
              </w:rPr>
              <w:t>Erlenmeyer</w:t>
            </w:r>
            <w:r>
              <w:rPr>
                <w:rFonts w:ascii="Arial"/>
                <w:spacing w:val="-4"/>
                <w:sz w:val="18"/>
              </w:rPr>
              <w:t> </w:t>
            </w:r>
            <w:r>
              <w:rPr>
                <w:rFonts w:ascii="Arial"/>
                <w:sz w:val="18"/>
              </w:rPr>
              <w:t>flask.</w:t>
            </w:r>
          </w:p>
          <w:p>
            <w:pPr>
              <w:pStyle w:val="TableParagraph"/>
              <w:numPr>
                <w:ilvl w:val="0"/>
                <w:numId w:val="21"/>
              </w:numPr>
              <w:tabs>
                <w:tab w:pos="434" w:val="left" w:leader="none"/>
                <w:tab w:pos="435" w:val="left" w:leader="none"/>
              </w:tabs>
              <w:spacing w:line="240" w:lineRule="auto" w:before="101" w:after="0"/>
              <w:ind w:left="434" w:right="0" w:hanging="360"/>
              <w:jc w:val="left"/>
              <w:rPr>
                <w:rFonts w:ascii="Arial"/>
                <w:sz w:val="18"/>
              </w:rPr>
            </w:pPr>
            <w:r>
              <w:rPr>
                <w:rFonts w:ascii="Arial"/>
                <w:sz w:val="18"/>
              </w:rPr>
              <w:t>Add</w:t>
            </w:r>
            <w:r>
              <w:rPr>
                <w:rFonts w:ascii="Arial"/>
                <w:spacing w:val="-3"/>
                <w:sz w:val="18"/>
              </w:rPr>
              <w:t> </w:t>
            </w:r>
            <w:r>
              <w:rPr>
                <w:rFonts w:ascii="Arial"/>
                <w:sz w:val="18"/>
              </w:rPr>
              <w:t>the</w:t>
            </w:r>
            <w:r>
              <w:rPr>
                <w:rFonts w:ascii="Arial"/>
                <w:spacing w:val="-3"/>
                <w:sz w:val="18"/>
              </w:rPr>
              <w:t> </w:t>
            </w:r>
            <w:r>
              <w:rPr>
                <w:rFonts w:ascii="Arial"/>
                <w:sz w:val="18"/>
              </w:rPr>
              <w:t>contents</w:t>
            </w:r>
            <w:r>
              <w:rPr>
                <w:rFonts w:ascii="Arial"/>
                <w:spacing w:val="-4"/>
                <w:sz w:val="18"/>
              </w:rPr>
              <w:t> </w:t>
            </w:r>
            <w:r>
              <w:rPr>
                <w:rFonts w:ascii="Arial"/>
                <w:sz w:val="18"/>
              </w:rPr>
              <w:t>of</w:t>
            </w:r>
            <w:r>
              <w:rPr>
                <w:rFonts w:ascii="Arial"/>
                <w:spacing w:val="-4"/>
                <w:sz w:val="18"/>
              </w:rPr>
              <w:t> </w:t>
            </w:r>
            <w:r>
              <w:rPr>
                <w:rFonts w:ascii="Arial"/>
                <w:sz w:val="18"/>
              </w:rPr>
              <w:t>one</w:t>
            </w:r>
            <w:r>
              <w:rPr>
                <w:rFonts w:ascii="Arial"/>
                <w:spacing w:val="-5"/>
                <w:sz w:val="18"/>
              </w:rPr>
              <w:t> </w:t>
            </w:r>
            <w:r>
              <w:rPr>
                <w:rFonts w:ascii="Arial"/>
                <w:sz w:val="18"/>
              </w:rPr>
              <w:t>Sulfide</w:t>
            </w:r>
            <w:r>
              <w:rPr>
                <w:rFonts w:ascii="Arial"/>
                <w:spacing w:val="-3"/>
                <w:sz w:val="18"/>
              </w:rPr>
              <w:t> </w:t>
            </w:r>
            <w:r>
              <w:rPr>
                <w:rFonts w:ascii="Arial"/>
                <w:sz w:val="18"/>
              </w:rPr>
              <w:t>Inhibitor</w:t>
            </w:r>
            <w:r>
              <w:rPr>
                <w:rFonts w:ascii="Arial"/>
                <w:spacing w:val="-5"/>
                <w:sz w:val="18"/>
              </w:rPr>
              <w:t> </w:t>
            </w:r>
            <w:r>
              <w:rPr>
                <w:rFonts w:ascii="Arial"/>
                <w:sz w:val="18"/>
              </w:rPr>
              <w:t>Reagent</w:t>
            </w:r>
            <w:r>
              <w:rPr>
                <w:rFonts w:ascii="Arial"/>
                <w:spacing w:val="-5"/>
                <w:sz w:val="18"/>
              </w:rPr>
              <w:t> </w:t>
            </w:r>
            <w:r>
              <w:rPr>
                <w:rFonts w:ascii="Arial"/>
                <w:spacing w:val="-3"/>
                <w:sz w:val="18"/>
              </w:rPr>
              <w:t>Powder</w:t>
            </w:r>
            <w:r>
              <w:rPr>
                <w:rFonts w:ascii="Arial"/>
                <w:spacing w:val="-4"/>
                <w:sz w:val="18"/>
              </w:rPr>
              <w:t> </w:t>
            </w:r>
            <w:r>
              <w:rPr>
                <w:rFonts w:ascii="Arial"/>
                <w:sz w:val="18"/>
              </w:rPr>
              <w:t>Pillow</w:t>
            </w:r>
            <w:r>
              <w:rPr>
                <w:rFonts w:ascii="Arial"/>
                <w:color w:val="0000FF"/>
                <w:position w:val="5"/>
                <w:sz w:val="14"/>
              </w:rPr>
              <w:t>1</w:t>
            </w:r>
            <w:r>
              <w:rPr>
                <w:rFonts w:ascii="Arial"/>
                <w:sz w:val="18"/>
              </w:rPr>
              <w:t>.</w:t>
            </w:r>
            <w:r>
              <w:rPr>
                <w:rFonts w:ascii="Arial"/>
                <w:spacing w:val="-3"/>
                <w:sz w:val="18"/>
              </w:rPr>
              <w:t> </w:t>
            </w:r>
            <w:r>
              <w:rPr>
                <w:rFonts w:ascii="Arial"/>
                <w:sz w:val="18"/>
              </w:rPr>
              <w:t>Swirl</w:t>
            </w:r>
            <w:r>
              <w:rPr>
                <w:rFonts w:ascii="Arial"/>
                <w:spacing w:val="-4"/>
                <w:sz w:val="18"/>
              </w:rPr>
              <w:t> </w:t>
            </w:r>
            <w:r>
              <w:rPr>
                <w:rFonts w:ascii="Arial"/>
                <w:sz w:val="18"/>
              </w:rPr>
              <w:t>to</w:t>
            </w:r>
            <w:r>
              <w:rPr>
                <w:rFonts w:ascii="Arial"/>
                <w:spacing w:val="-3"/>
                <w:sz w:val="18"/>
              </w:rPr>
              <w:t> </w:t>
            </w:r>
            <w:r>
              <w:rPr>
                <w:rFonts w:ascii="Arial"/>
                <w:sz w:val="18"/>
              </w:rPr>
              <w:t>mix.</w:t>
            </w:r>
          </w:p>
          <w:p>
            <w:pPr>
              <w:pStyle w:val="TableParagraph"/>
              <w:numPr>
                <w:ilvl w:val="0"/>
                <w:numId w:val="21"/>
              </w:numPr>
              <w:tabs>
                <w:tab w:pos="434" w:val="left" w:leader="none"/>
                <w:tab w:pos="435" w:val="left" w:leader="none"/>
              </w:tabs>
              <w:spacing w:line="240" w:lineRule="auto" w:before="101" w:after="0"/>
              <w:ind w:left="434" w:right="0" w:hanging="360"/>
              <w:jc w:val="left"/>
              <w:rPr>
                <w:rFonts w:ascii="Arial"/>
                <w:sz w:val="18"/>
              </w:rPr>
            </w:pPr>
            <w:r>
              <w:rPr>
                <w:rFonts w:ascii="Arial"/>
                <w:sz w:val="18"/>
              </w:rPr>
              <w:t>Filter</w:t>
            </w:r>
            <w:r>
              <w:rPr>
                <w:rFonts w:ascii="Arial"/>
                <w:spacing w:val="-4"/>
                <w:sz w:val="18"/>
              </w:rPr>
              <w:t> </w:t>
            </w:r>
            <w:r>
              <w:rPr>
                <w:rFonts w:ascii="Arial"/>
                <w:sz w:val="18"/>
              </w:rPr>
              <w:t>the</w:t>
            </w:r>
            <w:r>
              <w:rPr>
                <w:rFonts w:ascii="Arial"/>
                <w:spacing w:val="-5"/>
                <w:sz w:val="18"/>
              </w:rPr>
              <w:t> </w:t>
            </w:r>
            <w:r>
              <w:rPr>
                <w:rFonts w:ascii="Arial"/>
                <w:sz w:val="18"/>
              </w:rPr>
              <w:t>sample</w:t>
            </w:r>
            <w:r>
              <w:rPr>
                <w:rFonts w:ascii="Arial"/>
                <w:spacing w:val="-5"/>
                <w:sz w:val="18"/>
              </w:rPr>
              <w:t> </w:t>
            </w:r>
            <w:r>
              <w:rPr>
                <w:rFonts w:ascii="Arial"/>
                <w:sz w:val="18"/>
              </w:rPr>
              <w:t>through</w:t>
            </w:r>
            <w:r>
              <w:rPr>
                <w:rFonts w:ascii="Arial"/>
                <w:spacing w:val="-4"/>
                <w:sz w:val="18"/>
              </w:rPr>
              <w:t> </w:t>
            </w:r>
            <w:r>
              <w:rPr>
                <w:rFonts w:ascii="Arial"/>
                <w:sz w:val="18"/>
              </w:rPr>
              <w:t>folded</w:t>
            </w:r>
            <w:r>
              <w:rPr>
                <w:rFonts w:ascii="Arial"/>
                <w:spacing w:val="-4"/>
                <w:sz w:val="18"/>
              </w:rPr>
              <w:t> </w:t>
            </w:r>
            <w:r>
              <w:rPr>
                <w:rFonts w:ascii="Arial"/>
                <w:sz w:val="18"/>
              </w:rPr>
              <w:t>filter</w:t>
            </w:r>
            <w:r>
              <w:rPr>
                <w:rFonts w:ascii="Arial"/>
                <w:spacing w:val="-5"/>
                <w:sz w:val="18"/>
              </w:rPr>
              <w:t> </w:t>
            </w:r>
            <w:r>
              <w:rPr>
                <w:rFonts w:ascii="Arial"/>
                <w:sz w:val="18"/>
              </w:rPr>
              <w:t>paper</w:t>
            </w:r>
            <w:r>
              <w:rPr>
                <w:rFonts w:ascii="Arial"/>
                <w:color w:val="0000FF"/>
                <w:position w:val="5"/>
                <w:sz w:val="14"/>
              </w:rPr>
              <w:t>1</w:t>
            </w:r>
            <w:r>
              <w:rPr>
                <w:rFonts w:ascii="Arial"/>
                <w:sz w:val="18"/>
              </w:rPr>
              <w:t>.</w:t>
            </w:r>
            <w:r>
              <w:rPr>
                <w:rFonts w:ascii="Arial"/>
                <w:spacing w:val="-4"/>
                <w:sz w:val="18"/>
              </w:rPr>
              <w:t> </w:t>
            </w:r>
            <w:r>
              <w:rPr>
                <w:rFonts w:ascii="Arial"/>
                <w:sz w:val="18"/>
              </w:rPr>
              <w:t>Use</w:t>
            </w:r>
            <w:r>
              <w:rPr>
                <w:rFonts w:ascii="Arial"/>
                <w:spacing w:val="-4"/>
                <w:sz w:val="18"/>
              </w:rPr>
              <w:t> </w:t>
            </w:r>
            <w:r>
              <w:rPr>
                <w:rFonts w:ascii="Arial"/>
                <w:sz w:val="18"/>
              </w:rPr>
              <w:t>the</w:t>
            </w:r>
            <w:r>
              <w:rPr>
                <w:rFonts w:ascii="Arial"/>
                <w:spacing w:val="-6"/>
                <w:sz w:val="18"/>
              </w:rPr>
              <w:t> </w:t>
            </w:r>
            <w:r>
              <w:rPr>
                <w:rFonts w:ascii="Arial"/>
                <w:sz w:val="18"/>
              </w:rPr>
              <w:t>solution</w:t>
            </w:r>
            <w:r>
              <w:rPr>
                <w:rFonts w:ascii="Arial"/>
                <w:spacing w:val="-4"/>
                <w:sz w:val="18"/>
              </w:rPr>
              <w:t> </w:t>
            </w:r>
            <w:r>
              <w:rPr>
                <w:rFonts w:ascii="Arial"/>
                <w:sz w:val="18"/>
              </w:rPr>
              <w:t>in</w:t>
            </w:r>
            <w:r>
              <w:rPr>
                <w:rFonts w:ascii="Arial"/>
                <w:spacing w:val="-6"/>
                <w:sz w:val="18"/>
              </w:rPr>
              <w:t> </w:t>
            </w:r>
            <w:r>
              <w:rPr>
                <w:rFonts w:ascii="Arial"/>
                <w:sz w:val="18"/>
              </w:rPr>
              <w:t>step</w:t>
            </w:r>
            <w:r>
              <w:rPr>
                <w:rFonts w:ascii="Arial"/>
                <w:spacing w:val="-3"/>
                <w:sz w:val="18"/>
              </w:rPr>
              <w:t> </w:t>
            </w:r>
            <w:r>
              <w:rPr>
                <w:rFonts w:ascii="Arial"/>
                <w:color w:val="0000FF"/>
                <w:sz w:val="18"/>
              </w:rPr>
              <w:t>2</w:t>
            </w:r>
            <w:r>
              <w:rPr>
                <w:rFonts w:ascii="Arial"/>
                <w:sz w:val="18"/>
              </w:rPr>
              <w:t>.</w:t>
            </w:r>
          </w:p>
        </w:tc>
      </w:tr>
      <w:tr>
        <w:trPr>
          <w:trHeight w:val="740" w:hRule="exact"/>
        </w:trPr>
        <w:tc>
          <w:tcPr>
            <w:tcW w:w="2083" w:type="dxa"/>
          </w:tcPr>
          <w:p>
            <w:pPr>
              <w:pStyle w:val="TableParagraph"/>
              <w:spacing w:before="4"/>
              <w:ind w:right="0"/>
              <w:jc w:val="left"/>
              <w:rPr>
                <w:rFonts w:ascii="Arial"/>
                <w:b/>
                <w:sz w:val="21"/>
              </w:rPr>
            </w:pPr>
          </w:p>
          <w:p>
            <w:pPr>
              <w:pStyle w:val="TableParagraph"/>
              <w:spacing w:before="1"/>
              <w:ind w:left="75" w:right="0"/>
              <w:jc w:val="left"/>
              <w:rPr>
                <w:rFonts w:ascii="Arial"/>
                <w:sz w:val="18"/>
              </w:rPr>
            </w:pPr>
            <w:r>
              <w:rPr>
                <w:rFonts w:ascii="Arial"/>
                <w:sz w:val="18"/>
              </w:rPr>
              <w:t>Turbidity and color</w:t>
            </w:r>
          </w:p>
        </w:tc>
        <w:tc>
          <w:tcPr>
            <w:tcW w:w="8004" w:type="dxa"/>
          </w:tcPr>
          <w:p>
            <w:pPr>
              <w:pStyle w:val="TableParagraph"/>
              <w:spacing w:line="254" w:lineRule="auto" w:before="27"/>
              <w:ind w:left="74" w:right="1086"/>
              <w:jc w:val="left"/>
              <w:rPr>
                <w:rFonts w:ascii="Arial"/>
                <w:sz w:val="18"/>
              </w:rPr>
            </w:pPr>
            <w:r>
              <w:rPr>
                <w:rFonts w:ascii="Arial"/>
                <w:sz w:val="18"/>
              </w:rPr>
              <w:t>Give erroneous high values. Samples with severe interferences require distillation. The manufacturer recommends the distillation procedure using the General Purpose Distillation Set.</w:t>
            </w:r>
          </w:p>
        </w:tc>
      </w:tr>
    </w:tbl>
    <w:p>
      <w:pPr>
        <w:pStyle w:val="BodyText"/>
        <w:spacing w:before="10"/>
        <w:rPr>
          <w:b/>
          <w:sz w:val="12"/>
        </w:rPr>
      </w:pPr>
    </w:p>
    <w:p>
      <w:pPr>
        <w:spacing w:before="1"/>
        <w:ind w:left="125" w:right="101" w:firstLine="0"/>
        <w:jc w:val="left"/>
        <w:rPr>
          <w:sz w:val="16"/>
        </w:rPr>
      </w:pPr>
      <w:r>
        <w:rPr>
          <w:position w:val="4"/>
          <w:sz w:val="12"/>
        </w:rPr>
        <w:t>1 </w:t>
      </w:r>
      <w:r>
        <w:rPr>
          <w:sz w:val="16"/>
        </w:rPr>
        <w:t>See </w:t>
      </w:r>
      <w:r>
        <w:rPr>
          <w:color w:val="0000FF"/>
          <w:sz w:val="16"/>
        </w:rPr>
        <w:t>Optional Reagents and Apparatus on page 5</w:t>
      </w:r>
      <w:r>
        <w:rPr>
          <w:sz w:val="16"/>
        </w:rPr>
        <w:t>.</w:t>
      </w:r>
    </w:p>
    <w:p>
      <w:pPr>
        <w:pStyle w:val="BodyText"/>
        <w:spacing w:before="9"/>
        <w:rPr>
          <w:sz w:val="27"/>
        </w:rPr>
      </w:pPr>
    </w:p>
    <w:p>
      <w:pPr>
        <w:pStyle w:val="Heading3"/>
        <w:spacing w:before="64"/>
      </w:pPr>
      <w:r>
        <w:rPr/>
        <w:t>Sample Collection, Storage, and Preservation</w:t>
      </w:r>
    </w:p>
    <w:p>
      <w:pPr>
        <w:spacing w:line="249" w:lineRule="auto" w:before="180"/>
        <w:ind w:left="1926" w:right="101" w:firstLine="0"/>
        <w:jc w:val="left"/>
        <w:rPr>
          <w:sz w:val="20"/>
        </w:rPr>
      </w:pPr>
      <w:r>
        <w:rPr>
          <w:sz w:val="20"/>
        </w:rPr>
        <w:t>Collect samples in clean plastic or glass bottles. Best results are obtained with immediate analysis. Preserve samples by reducing the pH to 2 or less with at least 2 mL of Hydrochloric Acid. Store at 4 °C (39 °F) or less. Preserved samples may be stored up to 28 days. Warm samples to room temperature. Neutralize to a pH of 7.0 with 5.0 N Sodium Hydroxide before analysis. Correct the test result for volume additions.</w:t>
      </w:r>
    </w:p>
    <w:p>
      <w:pPr>
        <w:pStyle w:val="BodyText"/>
        <w:rPr>
          <w:sz w:val="26"/>
        </w:rPr>
      </w:pPr>
    </w:p>
    <w:p>
      <w:pPr>
        <w:pStyle w:val="Heading3"/>
      </w:pPr>
      <w:r>
        <w:rPr/>
        <w:t>Accuracy Check</w:t>
      </w:r>
    </w:p>
    <w:p>
      <w:pPr>
        <w:pStyle w:val="BodyText"/>
        <w:spacing w:before="6"/>
        <w:rPr>
          <w:b/>
        </w:rPr>
      </w:pPr>
    </w:p>
    <w:p>
      <w:pPr>
        <w:spacing w:before="0"/>
        <w:ind w:left="1926" w:right="101" w:firstLine="0"/>
        <w:jc w:val="left"/>
        <w:rPr>
          <w:b/>
          <w:sz w:val="20"/>
        </w:rPr>
      </w:pPr>
      <w:r>
        <w:rPr>
          <w:b/>
          <w:sz w:val="20"/>
        </w:rPr>
        <w:t>Standard Additions Method (Sample Spike)</w:t>
      </w:r>
    </w:p>
    <w:p>
      <w:pPr>
        <w:pStyle w:val="BodyText"/>
        <w:spacing w:before="8"/>
        <w:rPr>
          <w:b/>
          <w:sz w:val="21"/>
        </w:rPr>
      </w:pPr>
    </w:p>
    <w:p>
      <w:pPr>
        <w:pStyle w:val="ListParagraph"/>
        <w:numPr>
          <w:ilvl w:val="1"/>
          <w:numId w:val="19"/>
        </w:numPr>
        <w:tabs>
          <w:tab w:pos="2286" w:val="left" w:leader="none"/>
        </w:tabs>
        <w:spacing w:line="240" w:lineRule="auto" w:before="0" w:after="0"/>
        <w:ind w:left="2286" w:right="0" w:hanging="360"/>
        <w:jc w:val="left"/>
        <w:rPr>
          <w:sz w:val="20"/>
        </w:rPr>
      </w:pPr>
      <w:r>
        <w:rPr>
          <w:sz w:val="20"/>
        </w:rPr>
        <w:t>After</w:t>
      </w:r>
      <w:r>
        <w:rPr>
          <w:spacing w:val="-5"/>
          <w:sz w:val="20"/>
        </w:rPr>
        <w:t> </w:t>
      </w:r>
      <w:r>
        <w:rPr>
          <w:sz w:val="20"/>
        </w:rPr>
        <w:t>reading</w:t>
      </w:r>
      <w:r>
        <w:rPr>
          <w:spacing w:val="-5"/>
          <w:sz w:val="20"/>
        </w:rPr>
        <w:t> </w:t>
      </w:r>
      <w:r>
        <w:rPr>
          <w:sz w:val="20"/>
        </w:rPr>
        <w:t>test</w:t>
      </w:r>
      <w:r>
        <w:rPr>
          <w:spacing w:val="-5"/>
          <w:sz w:val="20"/>
        </w:rPr>
        <w:t> </w:t>
      </w:r>
      <w:r>
        <w:rPr>
          <w:sz w:val="20"/>
        </w:rPr>
        <w:t>results,</w:t>
      </w:r>
      <w:r>
        <w:rPr>
          <w:spacing w:val="-5"/>
          <w:sz w:val="20"/>
        </w:rPr>
        <w:t> </w:t>
      </w:r>
      <w:r>
        <w:rPr>
          <w:sz w:val="20"/>
        </w:rPr>
        <w:t>leave</w:t>
      </w:r>
      <w:r>
        <w:rPr>
          <w:spacing w:val="-5"/>
          <w:sz w:val="20"/>
        </w:rPr>
        <w:t> </w:t>
      </w:r>
      <w:r>
        <w:rPr>
          <w:sz w:val="20"/>
        </w:rPr>
        <w:t>the</w:t>
      </w:r>
      <w:r>
        <w:rPr>
          <w:spacing w:val="-4"/>
          <w:sz w:val="20"/>
        </w:rPr>
        <w:t> </w:t>
      </w:r>
      <w:r>
        <w:rPr>
          <w:sz w:val="20"/>
        </w:rPr>
        <w:t>sample</w:t>
      </w:r>
      <w:r>
        <w:rPr>
          <w:spacing w:val="-5"/>
          <w:sz w:val="20"/>
        </w:rPr>
        <w:t> </w:t>
      </w:r>
      <w:r>
        <w:rPr>
          <w:sz w:val="20"/>
        </w:rPr>
        <w:t>cell</w:t>
      </w:r>
      <w:r>
        <w:rPr>
          <w:spacing w:val="-5"/>
          <w:sz w:val="20"/>
        </w:rPr>
        <w:t> </w:t>
      </w:r>
      <w:r>
        <w:rPr>
          <w:sz w:val="20"/>
        </w:rPr>
        <w:t>(unspiked</w:t>
      </w:r>
      <w:r>
        <w:rPr>
          <w:spacing w:val="-5"/>
          <w:sz w:val="20"/>
        </w:rPr>
        <w:t> </w:t>
      </w:r>
      <w:r>
        <w:rPr>
          <w:sz w:val="20"/>
        </w:rPr>
        <w:t>sample)</w:t>
      </w:r>
      <w:r>
        <w:rPr>
          <w:spacing w:val="-5"/>
          <w:sz w:val="20"/>
        </w:rPr>
        <w:t> </w:t>
      </w:r>
      <w:r>
        <w:rPr>
          <w:sz w:val="20"/>
        </w:rPr>
        <w:t>in</w:t>
      </w:r>
      <w:r>
        <w:rPr>
          <w:spacing w:val="-5"/>
          <w:sz w:val="20"/>
        </w:rPr>
        <w:t> </w:t>
      </w:r>
      <w:r>
        <w:rPr>
          <w:sz w:val="20"/>
        </w:rPr>
        <w:t>the</w:t>
      </w:r>
      <w:r>
        <w:rPr>
          <w:spacing w:val="-4"/>
          <w:sz w:val="20"/>
        </w:rPr>
        <w:t> </w:t>
      </w:r>
      <w:r>
        <w:rPr>
          <w:sz w:val="20"/>
        </w:rPr>
        <w:t>instrument.</w:t>
      </w:r>
    </w:p>
    <w:p>
      <w:pPr>
        <w:pStyle w:val="BodyText"/>
        <w:spacing w:before="8"/>
        <w:rPr>
          <w:sz w:val="21"/>
        </w:rPr>
      </w:pPr>
    </w:p>
    <w:p>
      <w:pPr>
        <w:pStyle w:val="ListParagraph"/>
        <w:numPr>
          <w:ilvl w:val="1"/>
          <w:numId w:val="19"/>
        </w:numPr>
        <w:tabs>
          <w:tab w:pos="2286" w:val="left" w:leader="none"/>
        </w:tabs>
        <w:spacing w:line="249" w:lineRule="auto" w:before="0" w:after="0"/>
        <w:ind w:left="2286" w:right="801" w:hanging="360"/>
        <w:jc w:val="left"/>
        <w:rPr>
          <w:sz w:val="20"/>
        </w:rPr>
      </w:pPr>
      <w:r>
        <w:rPr>
          <w:sz w:val="20"/>
        </w:rPr>
        <w:t>Press</w:t>
      </w:r>
      <w:r>
        <w:rPr>
          <w:spacing w:val="-5"/>
          <w:sz w:val="20"/>
        </w:rPr>
        <w:t> </w:t>
      </w:r>
      <w:r>
        <w:rPr>
          <w:b/>
          <w:sz w:val="18"/>
        </w:rPr>
        <w:t>OPTIONS&gt;MORE</w:t>
      </w:r>
      <w:r>
        <w:rPr>
          <w:sz w:val="20"/>
        </w:rPr>
        <w:t>.</w:t>
      </w:r>
      <w:r>
        <w:rPr>
          <w:spacing w:val="-5"/>
          <w:sz w:val="20"/>
        </w:rPr>
        <w:t> </w:t>
      </w:r>
      <w:r>
        <w:rPr>
          <w:sz w:val="20"/>
        </w:rPr>
        <w:t>Press</w:t>
      </w:r>
      <w:r>
        <w:rPr>
          <w:spacing w:val="-4"/>
          <w:sz w:val="20"/>
        </w:rPr>
        <w:t> </w:t>
      </w:r>
      <w:r>
        <w:rPr>
          <w:b/>
          <w:sz w:val="18"/>
        </w:rPr>
        <w:t>STANDARD</w:t>
      </w:r>
      <w:r>
        <w:rPr>
          <w:b/>
          <w:spacing w:val="-5"/>
          <w:sz w:val="18"/>
        </w:rPr>
        <w:t> </w:t>
      </w:r>
      <w:r>
        <w:rPr>
          <w:b/>
          <w:sz w:val="18"/>
        </w:rPr>
        <w:t>ADDITIONS</w:t>
      </w:r>
      <w:r>
        <w:rPr>
          <w:sz w:val="20"/>
        </w:rPr>
        <w:t>.</w:t>
      </w:r>
      <w:r>
        <w:rPr>
          <w:spacing w:val="-6"/>
          <w:sz w:val="20"/>
        </w:rPr>
        <w:t> </w:t>
      </w:r>
      <w:r>
        <w:rPr>
          <w:sz w:val="20"/>
        </w:rPr>
        <w:t>A</w:t>
      </w:r>
      <w:r>
        <w:rPr>
          <w:spacing w:val="-4"/>
          <w:sz w:val="20"/>
        </w:rPr>
        <w:t> </w:t>
      </w:r>
      <w:r>
        <w:rPr>
          <w:sz w:val="20"/>
        </w:rPr>
        <w:t>summary</w:t>
      </w:r>
      <w:r>
        <w:rPr>
          <w:spacing w:val="-5"/>
          <w:sz w:val="20"/>
        </w:rPr>
        <w:t> </w:t>
      </w:r>
      <w:r>
        <w:rPr>
          <w:sz w:val="20"/>
        </w:rPr>
        <w:t>of</w:t>
      </w:r>
      <w:r>
        <w:rPr>
          <w:spacing w:val="-6"/>
          <w:sz w:val="20"/>
        </w:rPr>
        <w:t> </w:t>
      </w:r>
      <w:r>
        <w:rPr>
          <w:sz w:val="20"/>
        </w:rPr>
        <w:t>the</w:t>
      </w:r>
      <w:r>
        <w:rPr>
          <w:spacing w:val="-5"/>
          <w:sz w:val="20"/>
        </w:rPr>
        <w:t> </w:t>
      </w:r>
      <w:r>
        <w:rPr>
          <w:sz w:val="20"/>
        </w:rPr>
        <w:t>standard additions procedure will</w:t>
      </w:r>
      <w:r>
        <w:rPr>
          <w:spacing w:val="-21"/>
          <w:sz w:val="20"/>
        </w:rPr>
        <w:t> </w:t>
      </w:r>
      <w:r>
        <w:rPr>
          <w:sz w:val="20"/>
        </w:rPr>
        <w:t>appear.</w:t>
      </w:r>
    </w:p>
    <w:p>
      <w:pPr>
        <w:pStyle w:val="BodyText"/>
        <w:spacing w:before="11"/>
        <w:rPr>
          <w:sz w:val="20"/>
        </w:rPr>
      </w:pPr>
    </w:p>
    <w:p>
      <w:pPr>
        <w:pStyle w:val="ListParagraph"/>
        <w:numPr>
          <w:ilvl w:val="1"/>
          <w:numId w:val="19"/>
        </w:numPr>
        <w:tabs>
          <w:tab w:pos="2286" w:val="left" w:leader="none"/>
        </w:tabs>
        <w:spacing w:line="249" w:lineRule="auto" w:before="0" w:after="0"/>
        <w:ind w:left="2285" w:right="476" w:hanging="359"/>
        <w:jc w:val="left"/>
        <w:rPr>
          <w:sz w:val="20"/>
        </w:rPr>
      </w:pPr>
      <w:r>
        <w:rPr>
          <w:sz w:val="20"/>
        </w:rPr>
        <w:t>Press</w:t>
      </w:r>
      <w:r>
        <w:rPr>
          <w:spacing w:val="-6"/>
          <w:sz w:val="20"/>
        </w:rPr>
        <w:t> </w:t>
      </w:r>
      <w:r>
        <w:rPr>
          <w:b/>
          <w:sz w:val="18"/>
        </w:rPr>
        <w:t>OK</w:t>
      </w:r>
      <w:r>
        <w:rPr>
          <w:b/>
          <w:spacing w:val="1"/>
          <w:sz w:val="18"/>
        </w:rPr>
        <w:t> </w:t>
      </w:r>
      <w:r>
        <w:rPr>
          <w:sz w:val="20"/>
        </w:rPr>
        <w:t>to</w:t>
      </w:r>
      <w:r>
        <w:rPr>
          <w:spacing w:val="-6"/>
          <w:sz w:val="20"/>
        </w:rPr>
        <w:t> </w:t>
      </w:r>
      <w:r>
        <w:rPr>
          <w:sz w:val="20"/>
        </w:rPr>
        <w:t>accept</w:t>
      </w:r>
      <w:r>
        <w:rPr>
          <w:spacing w:val="-6"/>
          <w:sz w:val="20"/>
        </w:rPr>
        <w:t> </w:t>
      </w:r>
      <w:r>
        <w:rPr>
          <w:sz w:val="20"/>
        </w:rPr>
        <w:t>the</w:t>
      </w:r>
      <w:r>
        <w:rPr>
          <w:spacing w:val="-6"/>
          <w:sz w:val="20"/>
        </w:rPr>
        <w:t> </w:t>
      </w:r>
      <w:r>
        <w:rPr>
          <w:sz w:val="20"/>
        </w:rPr>
        <w:t>default</w:t>
      </w:r>
      <w:r>
        <w:rPr>
          <w:spacing w:val="-6"/>
          <w:sz w:val="20"/>
        </w:rPr>
        <w:t> </w:t>
      </w:r>
      <w:r>
        <w:rPr>
          <w:sz w:val="20"/>
        </w:rPr>
        <w:t>values</w:t>
      </w:r>
      <w:r>
        <w:rPr>
          <w:spacing w:val="-6"/>
          <w:sz w:val="20"/>
        </w:rPr>
        <w:t> </w:t>
      </w:r>
      <w:r>
        <w:rPr>
          <w:spacing w:val="-3"/>
          <w:sz w:val="20"/>
        </w:rPr>
        <w:t>for</w:t>
      </w:r>
      <w:r>
        <w:rPr>
          <w:spacing w:val="-7"/>
          <w:sz w:val="20"/>
        </w:rPr>
        <w:t> </w:t>
      </w:r>
      <w:r>
        <w:rPr>
          <w:sz w:val="20"/>
        </w:rPr>
        <w:t>standard</w:t>
      </w:r>
      <w:r>
        <w:rPr>
          <w:spacing w:val="-6"/>
          <w:sz w:val="20"/>
        </w:rPr>
        <w:t> </w:t>
      </w:r>
      <w:r>
        <w:rPr>
          <w:sz w:val="20"/>
        </w:rPr>
        <w:t>concentration,</w:t>
      </w:r>
      <w:r>
        <w:rPr>
          <w:spacing w:val="-6"/>
          <w:sz w:val="20"/>
        </w:rPr>
        <w:t> </w:t>
      </w:r>
      <w:r>
        <w:rPr>
          <w:sz w:val="20"/>
        </w:rPr>
        <w:t>sample</w:t>
      </w:r>
      <w:r>
        <w:rPr>
          <w:spacing w:val="-6"/>
          <w:sz w:val="20"/>
        </w:rPr>
        <w:t> </w:t>
      </w:r>
      <w:r>
        <w:rPr>
          <w:sz w:val="20"/>
        </w:rPr>
        <w:t>volume,</w:t>
      </w:r>
      <w:r>
        <w:rPr>
          <w:spacing w:val="-6"/>
          <w:sz w:val="20"/>
        </w:rPr>
        <w:t> </w:t>
      </w:r>
      <w:r>
        <w:rPr>
          <w:sz w:val="20"/>
        </w:rPr>
        <w:t>and spike volumes. Press </w:t>
      </w:r>
      <w:r>
        <w:rPr>
          <w:b/>
          <w:sz w:val="18"/>
        </w:rPr>
        <w:t>EDIT </w:t>
      </w:r>
      <w:r>
        <w:rPr>
          <w:sz w:val="20"/>
        </w:rPr>
        <w:t>to change these values. After values are accepted, the unspiked sample reading will appear in the top </w:t>
      </w:r>
      <w:r>
        <w:rPr>
          <w:spacing w:val="-4"/>
          <w:sz w:val="20"/>
        </w:rPr>
        <w:t>row. </w:t>
      </w:r>
      <w:r>
        <w:rPr>
          <w:sz w:val="20"/>
        </w:rPr>
        <w:t>See the user manual </w:t>
      </w:r>
      <w:r>
        <w:rPr>
          <w:spacing w:val="-3"/>
          <w:sz w:val="20"/>
        </w:rPr>
        <w:t>for </w:t>
      </w:r>
      <w:r>
        <w:rPr>
          <w:sz w:val="20"/>
        </w:rPr>
        <w:t>more information.</w:t>
      </w:r>
    </w:p>
    <w:p>
      <w:pPr>
        <w:pStyle w:val="BodyText"/>
        <w:spacing w:before="10"/>
        <w:rPr>
          <w:sz w:val="19"/>
        </w:rPr>
      </w:pPr>
    </w:p>
    <w:p>
      <w:pPr>
        <w:pStyle w:val="ListParagraph"/>
        <w:numPr>
          <w:ilvl w:val="1"/>
          <w:numId w:val="19"/>
        </w:numPr>
        <w:tabs>
          <w:tab w:pos="2286" w:val="left" w:leader="none"/>
        </w:tabs>
        <w:spacing w:line="240" w:lineRule="auto" w:before="0" w:after="0"/>
        <w:ind w:left="2286" w:right="0" w:hanging="360"/>
        <w:jc w:val="left"/>
        <w:rPr>
          <w:sz w:val="20"/>
        </w:rPr>
      </w:pPr>
      <w:r>
        <w:rPr>
          <w:sz w:val="20"/>
        </w:rPr>
        <w:t>Snap</w:t>
      </w:r>
      <w:r>
        <w:rPr>
          <w:spacing w:val="-6"/>
          <w:sz w:val="20"/>
        </w:rPr>
        <w:t> </w:t>
      </w:r>
      <w:r>
        <w:rPr>
          <w:sz w:val="20"/>
        </w:rPr>
        <w:t>the</w:t>
      </w:r>
      <w:r>
        <w:rPr>
          <w:spacing w:val="-6"/>
          <w:sz w:val="20"/>
        </w:rPr>
        <w:t> </w:t>
      </w:r>
      <w:r>
        <w:rPr>
          <w:sz w:val="20"/>
        </w:rPr>
        <w:t>neck</w:t>
      </w:r>
      <w:r>
        <w:rPr>
          <w:spacing w:val="-7"/>
          <w:sz w:val="20"/>
        </w:rPr>
        <w:t> </w:t>
      </w:r>
      <w:r>
        <w:rPr>
          <w:sz w:val="20"/>
        </w:rPr>
        <w:t>off</w:t>
      </w:r>
      <w:r>
        <w:rPr>
          <w:spacing w:val="-6"/>
          <w:sz w:val="20"/>
        </w:rPr>
        <w:t> </w:t>
      </w:r>
      <w:r>
        <w:rPr>
          <w:sz w:val="20"/>
        </w:rPr>
        <w:t>a</w:t>
      </w:r>
      <w:r>
        <w:rPr>
          <w:spacing w:val="-6"/>
          <w:sz w:val="20"/>
        </w:rPr>
        <w:t> </w:t>
      </w:r>
      <w:r>
        <w:rPr>
          <w:sz w:val="20"/>
        </w:rPr>
        <w:t>Nitrogen,</w:t>
      </w:r>
      <w:r>
        <w:rPr>
          <w:spacing w:val="-6"/>
          <w:sz w:val="20"/>
        </w:rPr>
        <w:t> </w:t>
      </w:r>
      <w:r>
        <w:rPr>
          <w:sz w:val="20"/>
        </w:rPr>
        <w:t>Ammonia</w:t>
      </w:r>
      <w:r>
        <w:rPr>
          <w:spacing w:val="-6"/>
          <w:sz w:val="20"/>
        </w:rPr>
        <w:t> </w:t>
      </w:r>
      <w:r>
        <w:rPr>
          <w:sz w:val="20"/>
        </w:rPr>
        <w:t>PourRite</w:t>
      </w:r>
      <w:r>
        <w:rPr>
          <w:position w:val="5"/>
          <w:sz w:val="16"/>
        </w:rPr>
        <w:t>®</w:t>
      </w:r>
      <w:r>
        <w:rPr>
          <w:spacing w:val="4"/>
          <w:position w:val="5"/>
          <w:sz w:val="16"/>
        </w:rPr>
        <w:t> </w:t>
      </w:r>
      <w:r>
        <w:rPr>
          <w:sz w:val="20"/>
        </w:rPr>
        <w:t>Ampule</w:t>
      </w:r>
      <w:r>
        <w:rPr>
          <w:spacing w:val="-6"/>
          <w:sz w:val="20"/>
        </w:rPr>
        <w:t> </w:t>
      </w:r>
      <w:r>
        <w:rPr>
          <w:sz w:val="20"/>
        </w:rPr>
        <w:t>Standard,</w:t>
      </w:r>
      <w:r>
        <w:rPr>
          <w:spacing w:val="-6"/>
          <w:sz w:val="20"/>
        </w:rPr>
        <w:t> </w:t>
      </w:r>
      <w:r>
        <w:rPr>
          <w:sz w:val="20"/>
        </w:rPr>
        <w:t>150-mg/L</w:t>
      </w:r>
      <w:r>
        <w:rPr>
          <w:spacing w:val="-6"/>
          <w:sz w:val="20"/>
        </w:rPr>
        <w:t> </w:t>
      </w:r>
      <w:r>
        <w:rPr>
          <w:sz w:val="20"/>
        </w:rPr>
        <w:t>NH</w:t>
      </w:r>
      <w:r>
        <w:rPr>
          <w:position w:val="-4"/>
          <w:sz w:val="16"/>
        </w:rPr>
        <w:t>3</w:t>
      </w:r>
      <w:r>
        <w:rPr>
          <w:sz w:val="20"/>
        </w:rPr>
        <w:t>–N.</w:t>
      </w:r>
    </w:p>
    <w:p>
      <w:pPr>
        <w:pStyle w:val="BodyText"/>
        <w:rPr>
          <w:sz w:val="23"/>
        </w:rPr>
      </w:pPr>
      <w:r>
        <w:rPr/>
        <w:pict>
          <v:group style="position:absolute;margin-left:53.474998pt;margin-top:15.222488pt;width:505.05pt;height:1.05pt;mso-position-horizontal-relative:page;mso-position-vertical-relative:paragraph;z-index:10672;mso-wrap-distance-left:0;mso-wrap-distance-right:0" coordorigin="1069,304" coordsize="10101,21">
            <v:line style="position:absolute" from="1080,315" to="1080,315" stroked="true" strokeweight="1.02pt" strokecolor="#000000"/>
            <v:line style="position:absolute" from="1080,315" to="11160,315" stroked="true" strokeweight="1.02pt" strokecolor="#000000"/>
            <w10:wrap type="topAndBottom"/>
          </v:group>
        </w:pict>
      </w:r>
    </w:p>
    <w:p>
      <w:pPr>
        <w:spacing w:line="207" w:lineRule="exact" w:before="0"/>
        <w:ind w:left="0" w:right="163" w:firstLine="0"/>
        <w:jc w:val="right"/>
        <w:rPr>
          <w:b/>
          <w:sz w:val="20"/>
        </w:rPr>
      </w:pPr>
      <w:r>
        <w:rPr>
          <w:b/>
          <w:sz w:val="20"/>
        </w:rPr>
        <w:t>Nitrogen, Ammonia</w:t>
      </w:r>
    </w:p>
    <w:p>
      <w:pPr>
        <w:tabs>
          <w:tab w:pos="9004" w:val="left" w:leader="none"/>
        </w:tabs>
        <w:spacing w:before="10"/>
        <w:ind w:left="0" w:right="163" w:firstLine="0"/>
        <w:jc w:val="right"/>
        <w:rPr>
          <w:b/>
          <w:sz w:val="20"/>
        </w:rPr>
      </w:pPr>
      <w:r>
        <w:rPr>
          <w:sz w:val="14"/>
        </w:rPr>
        <w:t>NitrogenAmm_10031_TNT_HR_SAL.fm</w:t>
        <w:tab/>
      </w:r>
      <w:r>
        <w:rPr>
          <w:b/>
          <w:sz w:val="20"/>
        </w:rPr>
        <w:t>Page 3 of</w:t>
      </w:r>
      <w:r>
        <w:rPr>
          <w:b/>
          <w:spacing w:val="-11"/>
          <w:sz w:val="20"/>
        </w:rPr>
        <w:t> </w:t>
      </w:r>
      <w:r>
        <w:rPr>
          <w:b/>
          <w:sz w:val="20"/>
        </w:rPr>
        <w:t>6</w:t>
      </w:r>
    </w:p>
    <w:p>
      <w:pPr>
        <w:spacing w:after="0"/>
        <w:jc w:val="right"/>
        <w:rPr>
          <w:sz w:val="20"/>
        </w:rPr>
        <w:sectPr>
          <w:headerReference w:type="default" r:id="rId164"/>
          <w:footerReference w:type="default" r:id="rId165"/>
          <w:pgSz w:w="11900" w:h="15840"/>
          <w:pgMar w:header="0" w:footer="0" w:top="240" w:bottom="0" w:left="960" w:right="600"/>
        </w:sectPr>
      </w:pPr>
    </w:p>
    <w:p>
      <w:pPr>
        <w:pStyle w:val="Heading4"/>
        <w:ind w:right="22"/>
      </w:pPr>
      <w:r>
        <w:rPr/>
        <w:pict>
          <v:group style="position:absolute;margin-left:35.715pt;margin-top:21.080879pt;width:505.15pt;height:1.05pt;mso-position-horizontal-relative:page;mso-position-vertical-relative:paragraph;z-index:10696;mso-wrap-distance-left:0;mso-wrap-distance-right:0" coordorigin="714,422" coordsize="10103,21">
            <v:line style="position:absolute" from="725,432" to="725,432" stroked="true" strokeweight="1.02pt" strokecolor="#000000"/>
            <v:line style="position:absolute" from="725,432" to="10806,432" stroked="true" strokeweight="1.02pt" strokecolor="#000000"/>
            <w10:wrap type="topAndBottom"/>
          </v:group>
        </w:pict>
      </w:r>
      <w:r>
        <w:rPr/>
        <w:t>Nitrogen, Ammonia HR (0.4 to 50.0 mg/L NH</w:t>
      </w:r>
      <w:r>
        <w:rPr>
          <w:position w:val="-5"/>
          <w:sz w:val="19"/>
        </w:rPr>
        <w:t>3</w:t>
      </w:r>
      <w:r>
        <w:rPr/>
        <w:t>–N)</w:t>
      </w:r>
    </w:p>
    <w:p>
      <w:pPr>
        <w:pStyle w:val="BodyText"/>
        <w:spacing w:before="3"/>
        <w:rPr>
          <w:b/>
          <w:sz w:val="27"/>
        </w:rPr>
      </w:pPr>
    </w:p>
    <w:p>
      <w:pPr>
        <w:pStyle w:val="ListParagraph"/>
        <w:numPr>
          <w:ilvl w:val="1"/>
          <w:numId w:val="19"/>
        </w:numPr>
        <w:tabs>
          <w:tab w:pos="2286" w:val="left" w:leader="none"/>
        </w:tabs>
        <w:spacing w:line="244" w:lineRule="auto" w:before="0" w:after="0"/>
        <w:ind w:left="2285" w:right="212" w:hanging="359"/>
        <w:jc w:val="left"/>
        <w:rPr>
          <w:sz w:val="20"/>
        </w:rPr>
      </w:pPr>
      <w:r>
        <w:rPr>
          <w:sz w:val="20"/>
        </w:rPr>
        <w:t>Prepare three sample spikes. Fill three mixing cylinders with 25 mL of sample. Use the </w:t>
      </w:r>
      <w:r>
        <w:rPr>
          <w:spacing w:val="-3"/>
          <w:sz w:val="20"/>
        </w:rPr>
        <w:t>TenSette</w:t>
      </w:r>
      <w:r>
        <w:rPr>
          <w:spacing w:val="-3"/>
          <w:position w:val="5"/>
          <w:sz w:val="16"/>
        </w:rPr>
        <w:t>® </w:t>
      </w:r>
      <w:r>
        <w:rPr>
          <w:sz w:val="20"/>
        </w:rPr>
        <w:t>Pipet to add 0.2, 0.4 mL, and 0.6 mL of standard, </w:t>
      </w:r>
      <w:r>
        <w:rPr>
          <w:spacing w:val="-3"/>
          <w:sz w:val="20"/>
        </w:rPr>
        <w:t>respectively, </w:t>
      </w:r>
      <w:r>
        <w:rPr>
          <w:sz w:val="20"/>
        </w:rPr>
        <w:t>to each sample and mix each</w:t>
      </w:r>
      <w:r>
        <w:rPr>
          <w:spacing w:val="-1"/>
          <w:sz w:val="20"/>
        </w:rPr>
        <w:t> </w:t>
      </w:r>
      <w:r>
        <w:rPr>
          <w:spacing w:val="-3"/>
          <w:sz w:val="20"/>
        </w:rPr>
        <w:t>thoroughly.</w:t>
      </w:r>
    </w:p>
    <w:p>
      <w:pPr>
        <w:pStyle w:val="BodyText"/>
        <w:spacing w:before="4"/>
        <w:rPr>
          <w:sz w:val="21"/>
        </w:rPr>
      </w:pPr>
    </w:p>
    <w:p>
      <w:pPr>
        <w:pStyle w:val="ListParagraph"/>
        <w:numPr>
          <w:ilvl w:val="1"/>
          <w:numId w:val="19"/>
        </w:numPr>
        <w:tabs>
          <w:tab w:pos="2287" w:val="left" w:leader="none"/>
        </w:tabs>
        <w:spacing w:line="249" w:lineRule="auto" w:before="0" w:after="0"/>
        <w:ind w:left="2286" w:right="204" w:hanging="360"/>
        <w:jc w:val="left"/>
        <w:rPr>
          <w:sz w:val="20"/>
        </w:rPr>
      </w:pPr>
      <w:r>
        <w:rPr>
          <w:sz w:val="20"/>
        </w:rPr>
        <w:t>Analyze</w:t>
      </w:r>
      <w:r>
        <w:rPr>
          <w:spacing w:val="-5"/>
          <w:sz w:val="20"/>
        </w:rPr>
        <w:t> </w:t>
      </w:r>
      <w:r>
        <w:rPr>
          <w:sz w:val="20"/>
        </w:rPr>
        <w:t>each</w:t>
      </w:r>
      <w:r>
        <w:rPr>
          <w:spacing w:val="-5"/>
          <w:sz w:val="20"/>
        </w:rPr>
        <w:t> </w:t>
      </w:r>
      <w:r>
        <w:rPr>
          <w:sz w:val="20"/>
        </w:rPr>
        <w:t>sample</w:t>
      </w:r>
      <w:r>
        <w:rPr>
          <w:spacing w:val="-5"/>
          <w:sz w:val="20"/>
        </w:rPr>
        <w:t> </w:t>
      </w:r>
      <w:r>
        <w:rPr>
          <w:sz w:val="20"/>
        </w:rPr>
        <w:t>spike</w:t>
      </w:r>
      <w:r>
        <w:rPr>
          <w:spacing w:val="-5"/>
          <w:sz w:val="20"/>
        </w:rPr>
        <w:t> </w:t>
      </w:r>
      <w:r>
        <w:rPr>
          <w:sz w:val="20"/>
        </w:rPr>
        <w:t>as</w:t>
      </w:r>
      <w:r>
        <w:rPr>
          <w:spacing w:val="-5"/>
          <w:sz w:val="20"/>
        </w:rPr>
        <w:t> </w:t>
      </w:r>
      <w:r>
        <w:rPr>
          <w:sz w:val="20"/>
        </w:rPr>
        <w:t>described</w:t>
      </w:r>
      <w:r>
        <w:rPr>
          <w:spacing w:val="-5"/>
          <w:sz w:val="20"/>
        </w:rPr>
        <w:t> </w:t>
      </w:r>
      <w:r>
        <w:rPr>
          <w:sz w:val="20"/>
        </w:rPr>
        <w:t>in</w:t>
      </w:r>
      <w:r>
        <w:rPr>
          <w:spacing w:val="-5"/>
          <w:sz w:val="20"/>
        </w:rPr>
        <w:t> </w:t>
      </w:r>
      <w:r>
        <w:rPr>
          <w:sz w:val="20"/>
        </w:rPr>
        <w:t>the</w:t>
      </w:r>
      <w:r>
        <w:rPr>
          <w:spacing w:val="-5"/>
          <w:sz w:val="20"/>
        </w:rPr>
        <w:t> </w:t>
      </w:r>
      <w:r>
        <w:rPr>
          <w:sz w:val="20"/>
        </w:rPr>
        <w:t>procedure</w:t>
      </w:r>
      <w:r>
        <w:rPr>
          <w:spacing w:val="-5"/>
          <w:sz w:val="20"/>
        </w:rPr>
        <w:t> </w:t>
      </w:r>
      <w:r>
        <w:rPr>
          <w:sz w:val="20"/>
        </w:rPr>
        <w:t>above,</w:t>
      </w:r>
      <w:r>
        <w:rPr>
          <w:spacing w:val="-5"/>
          <w:sz w:val="20"/>
        </w:rPr>
        <w:t> </w:t>
      </w:r>
      <w:r>
        <w:rPr>
          <w:sz w:val="20"/>
        </w:rPr>
        <w:t>starting</w:t>
      </w:r>
      <w:r>
        <w:rPr>
          <w:spacing w:val="-5"/>
          <w:sz w:val="20"/>
        </w:rPr>
        <w:t> </w:t>
      </w:r>
      <w:r>
        <w:rPr>
          <w:sz w:val="20"/>
        </w:rPr>
        <w:t>with</w:t>
      </w:r>
      <w:r>
        <w:rPr>
          <w:spacing w:val="-5"/>
          <w:sz w:val="20"/>
        </w:rPr>
        <w:t> </w:t>
      </w:r>
      <w:r>
        <w:rPr>
          <w:sz w:val="20"/>
        </w:rPr>
        <w:t>the</w:t>
      </w:r>
      <w:r>
        <w:rPr>
          <w:spacing w:val="-5"/>
          <w:sz w:val="20"/>
        </w:rPr>
        <w:t> </w:t>
      </w:r>
      <w:r>
        <w:rPr>
          <w:sz w:val="20"/>
        </w:rPr>
        <w:t>0.2</w:t>
      </w:r>
      <w:r>
        <w:rPr>
          <w:spacing w:val="-5"/>
          <w:sz w:val="20"/>
        </w:rPr>
        <w:t> </w:t>
      </w:r>
      <w:r>
        <w:rPr>
          <w:sz w:val="20"/>
        </w:rPr>
        <w:t>mL sample spike. Accept each standard additions reading by pressing </w:t>
      </w:r>
      <w:r>
        <w:rPr>
          <w:b/>
          <w:sz w:val="18"/>
        </w:rPr>
        <w:t>READ</w:t>
      </w:r>
      <w:r>
        <w:rPr>
          <w:sz w:val="20"/>
        </w:rPr>
        <w:t>. Each addition should reflect approximately 100%</w:t>
      </w:r>
      <w:r>
        <w:rPr>
          <w:spacing w:val="-30"/>
          <w:sz w:val="20"/>
        </w:rPr>
        <w:t> </w:t>
      </w:r>
      <w:r>
        <w:rPr>
          <w:spacing w:val="-3"/>
          <w:sz w:val="20"/>
        </w:rPr>
        <w:t>recovery.</w:t>
      </w:r>
    </w:p>
    <w:p>
      <w:pPr>
        <w:pStyle w:val="BodyText"/>
        <w:spacing w:before="11"/>
        <w:rPr>
          <w:sz w:val="20"/>
        </w:rPr>
      </w:pPr>
    </w:p>
    <w:p>
      <w:pPr>
        <w:pStyle w:val="ListParagraph"/>
        <w:numPr>
          <w:ilvl w:val="1"/>
          <w:numId w:val="19"/>
        </w:numPr>
        <w:tabs>
          <w:tab w:pos="2286" w:val="left" w:leader="none"/>
        </w:tabs>
        <w:spacing w:line="249" w:lineRule="auto" w:before="0" w:after="0"/>
        <w:ind w:left="2285" w:right="204" w:hanging="359"/>
        <w:jc w:val="left"/>
        <w:rPr>
          <w:sz w:val="20"/>
        </w:rPr>
      </w:pPr>
      <w:r>
        <w:rPr>
          <w:sz w:val="20"/>
        </w:rPr>
        <w:t>After</w:t>
      </w:r>
      <w:r>
        <w:rPr>
          <w:spacing w:val="-9"/>
          <w:sz w:val="20"/>
        </w:rPr>
        <w:t> </w:t>
      </w:r>
      <w:r>
        <w:rPr>
          <w:sz w:val="20"/>
        </w:rPr>
        <w:t>completing</w:t>
      </w:r>
      <w:r>
        <w:rPr>
          <w:spacing w:val="-9"/>
          <w:sz w:val="20"/>
        </w:rPr>
        <w:t> </w:t>
      </w:r>
      <w:r>
        <w:rPr>
          <w:sz w:val="20"/>
        </w:rPr>
        <w:t>the</w:t>
      </w:r>
      <w:r>
        <w:rPr>
          <w:spacing w:val="-9"/>
          <w:sz w:val="20"/>
        </w:rPr>
        <w:t> </w:t>
      </w:r>
      <w:r>
        <w:rPr>
          <w:sz w:val="20"/>
        </w:rPr>
        <w:t>sequence,</w:t>
      </w:r>
      <w:r>
        <w:rPr>
          <w:spacing w:val="-9"/>
          <w:sz w:val="20"/>
        </w:rPr>
        <w:t> </w:t>
      </w:r>
      <w:r>
        <w:rPr>
          <w:sz w:val="20"/>
        </w:rPr>
        <w:t>press</w:t>
      </w:r>
      <w:r>
        <w:rPr>
          <w:spacing w:val="-8"/>
          <w:sz w:val="20"/>
        </w:rPr>
        <w:t> </w:t>
      </w:r>
      <w:r>
        <w:rPr>
          <w:b/>
          <w:sz w:val="18"/>
        </w:rPr>
        <w:t>GRAPH</w:t>
      </w:r>
      <w:r>
        <w:rPr>
          <w:b/>
          <w:spacing w:val="-5"/>
          <w:sz w:val="18"/>
        </w:rPr>
        <w:t> </w:t>
      </w:r>
      <w:r>
        <w:rPr>
          <w:sz w:val="20"/>
        </w:rPr>
        <w:t>to</w:t>
      </w:r>
      <w:r>
        <w:rPr>
          <w:spacing w:val="-9"/>
          <w:sz w:val="20"/>
        </w:rPr>
        <w:t> </w:t>
      </w:r>
      <w:r>
        <w:rPr>
          <w:sz w:val="20"/>
        </w:rPr>
        <w:t>view</w:t>
      </w:r>
      <w:r>
        <w:rPr>
          <w:spacing w:val="-9"/>
          <w:sz w:val="20"/>
        </w:rPr>
        <w:t> </w:t>
      </w:r>
      <w:r>
        <w:rPr>
          <w:sz w:val="20"/>
        </w:rPr>
        <w:t>the</w:t>
      </w:r>
      <w:r>
        <w:rPr>
          <w:spacing w:val="-9"/>
          <w:sz w:val="20"/>
        </w:rPr>
        <w:t> </w:t>
      </w:r>
      <w:r>
        <w:rPr>
          <w:sz w:val="20"/>
        </w:rPr>
        <w:t>best-fit</w:t>
      </w:r>
      <w:r>
        <w:rPr>
          <w:spacing w:val="-9"/>
          <w:sz w:val="20"/>
        </w:rPr>
        <w:t> </w:t>
      </w:r>
      <w:r>
        <w:rPr>
          <w:sz w:val="20"/>
        </w:rPr>
        <w:t>line</w:t>
      </w:r>
      <w:r>
        <w:rPr>
          <w:spacing w:val="-9"/>
          <w:sz w:val="20"/>
        </w:rPr>
        <w:t> </w:t>
      </w:r>
      <w:r>
        <w:rPr>
          <w:sz w:val="20"/>
        </w:rPr>
        <w:t>through</w:t>
      </w:r>
      <w:r>
        <w:rPr>
          <w:spacing w:val="-9"/>
          <w:sz w:val="20"/>
        </w:rPr>
        <w:t> </w:t>
      </w:r>
      <w:r>
        <w:rPr>
          <w:sz w:val="20"/>
        </w:rPr>
        <w:t>the</w:t>
      </w:r>
      <w:r>
        <w:rPr>
          <w:spacing w:val="-9"/>
          <w:sz w:val="20"/>
        </w:rPr>
        <w:t> </w:t>
      </w:r>
      <w:r>
        <w:rPr>
          <w:sz w:val="20"/>
        </w:rPr>
        <w:t>standard additions data points, accounting </w:t>
      </w:r>
      <w:r>
        <w:rPr>
          <w:spacing w:val="-3"/>
          <w:sz w:val="20"/>
        </w:rPr>
        <w:t>for </w:t>
      </w:r>
      <w:r>
        <w:rPr>
          <w:sz w:val="20"/>
        </w:rPr>
        <w:t>matrix interferences. Press </w:t>
      </w:r>
      <w:r>
        <w:rPr>
          <w:b/>
          <w:sz w:val="18"/>
        </w:rPr>
        <w:t>IDEAL LINE </w:t>
      </w:r>
      <w:r>
        <w:rPr>
          <w:sz w:val="20"/>
        </w:rPr>
        <w:t>to view relationships</w:t>
      </w:r>
      <w:r>
        <w:rPr>
          <w:spacing w:val="-5"/>
          <w:sz w:val="20"/>
        </w:rPr>
        <w:t> </w:t>
      </w:r>
      <w:r>
        <w:rPr>
          <w:sz w:val="20"/>
        </w:rPr>
        <w:t>between</w:t>
      </w:r>
      <w:r>
        <w:rPr>
          <w:spacing w:val="-5"/>
          <w:sz w:val="20"/>
        </w:rPr>
        <w:t> </w:t>
      </w:r>
      <w:r>
        <w:rPr>
          <w:sz w:val="20"/>
        </w:rPr>
        <w:t>the</w:t>
      </w:r>
      <w:r>
        <w:rPr>
          <w:spacing w:val="-5"/>
          <w:sz w:val="20"/>
        </w:rPr>
        <w:t> </w:t>
      </w:r>
      <w:r>
        <w:rPr>
          <w:sz w:val="20"/>
        </w:rPr>
        <w:t>sample</w:t>
      </w:r>
      <w:r>
        <w:rPr>
          <w:spacing w:val="-5"/>
          <w:sz w:val="20"/>
        </w:rPr>
        <w:t> </w:t>
      </w:r>
      <w:r>
        <w:rPr>
          <w:sz w:val="20"/>
        </w:rPr>
        <w:t>spikes</w:t>
      </w:r>
      <w:r>
        <w:rPr>
          <w:spacing w:val="-4"/>
          <w:sz w:val="20"/>
        </w:rPr>
        <w:t> </w:t>
      </w:r>
      <w:r>
        <w:rPr>
          <w:sz w:val="20"/>
        </w:rPr>
        <w:t>and</w:t>
      </w:r>
      <w:r>
        <w:rPr>
          <w:spacing w:val="-5"/>
          <w:sz w:val="20"/>
        </w:rPr>
        <w:t> </w:t>
      </w:r>
      <w:r>
        <w:rPr>
          <w:sz w:val="20"/>
        </w:rPr>
        <w:t>the</w:t>
      </w:r>
      <w:r>
        <w:rPr>
          <w:spacing w:val="-5"/>
          <w:sz w:val="20"/>
        </w:rPr>
        <w:t> </w:t>
      </w:r>
      <w:r>
        <w:rPr>
          <w:sz w:val="20"/>
        </w:rPr>
        <w:t>“Ideal</w:t>
      </w:r>
      <w:r>
        <w:rPr>
          <w:spacing w:val="-4"/>
          <w:sz w:val="20"/>
        </w:rPr>
        <w:t> </w:t>
      </w:r>
      <w:r>
        <w:rPr>
          <w:sz w:val="20"/>
        </w:rPr>
        <w:t>Line”</w:t>
      </w:r>
      <w:r>
        <w:rPr>
          <w:spacing w:val="-5"/>
          <w:sz w:val="20"/>
        </w:rPr>
        <w:t> </w:t>
      </w:r>
      <w:r>
        <w:rPr>
          <w:sz w:val="20"/>
        </w:rPr>
        <w:t>of</w:t>
      </w:r>
      <w:r>
        <w:rPr>
          <w:spacing w:val="-5"/>
          <w:sz w:val="20"/>
        </w:rPr>
        <w:t> </w:t>
      </w:r>
      <w:r>
        <w:rPr>
          <w:sz w:val="20"/>
        </w:rPr>
        <w:t>100%</w:t>
      </w:r>
      <w:r>
        <w:rPr>
          <w:spacing w:val="-4"/>
          <w:sz w:val="20"/>
        </w:rPr>
        <w:t> </w:t>
      </w:r>
      <w:r>
        <w:rPr>
          <w:spacing w:val="-3"/>
          <w:sz w:val="20"/>
        </w:rPr>
        <w:t>recovery.</w:t>
      </w:r>
    </w:p>
    <w:p>
      <w:pPr>
        <w:pStyle w:val="BodyText"/>
        <w:spacing w:before="11"/>
        <w:rPr>
          <w:sz w:val="20"/>
        </w:rPr>
      </w:pPr>
    </w:p>
    <w:p>
      <w:pPr>
        <w:spacing w:before="0"/>
        <w:ind w:left="1926" w:right="22" w:firstLine="0"/>
        <w:jc w:val="left"/>
        <w:rPr>
          <w:b/>
          <w:sz w:val="20"/>
        </w:rPr>
      </w:pPr>
      <w:r>
        <w:rPr>
          <w:b/>
          <w:sz w:val="20"/>
        </w:rPr>
        <w:t>Standard Solution Method</w:t>
      </w:r>
    </w:p>
    <w:p>
      <w:pPr>
        <w:pStyle w:val="BodyText"/>
        <w:spacing w:before="8"/>
        <w:rPr>
          <w:b/>
          <w:sz w:val="21"/>
        </w:rPr>
      </w:pPr>
    </w:p>
    <w:p>
      <w:pPr>
        <w:pStyle w:val="ListParagraph"/>
        <w:numPr>
          <w:ilvl w:val="0"/>
          <w:numId w:val="22"/>
        </w:numPr>
        <w:tabs>
          <w:tab w:pos="2286" w:val="left" w:leader="none"/>
        </w:tabs>
        <w:spacing w:line="240" w:lineRule="auto" w:before="0" w:after="0"/>
        <w:ind w:left="2285" w:right="0" w:hanging="359"/>
        <w:jc w:val="left"/>
        <w:rPr>
          <w:sz w:val="20"/>
        </w:rPr>
      </w:pPr>
      <w:r>
        <w:rPr>
          <w:spacing w:val="-12"/>
          <w:sz w:val="20"/>
        </w:rPr>
        <w:t>To </w:t>
      </w:r>
      <w:r>
        <w:rPr>
          <w:sz w:val="20"/>
        </w:rPr>
        <w:t>check </w:t>
      </w:r>
      <w:r>
        <w:rPr>
          <w:spacing w:val="-3"/>
          <w:sz w:val="20"/>
        </w:rPr>
        <w:t>accuracy, </w:t>
      </w:r>
      <w:r>
        <w:rPr>
          <w:sz w:val="20"/>
        </w:rPr>
        <w:t>prepare a 40.0-mg/L ammonia nitrogen standard solution by</w:t>
      </w:r>
      <w:r>
        <w:rPr>
          <w:spacing w:val="-38"/>
          <w:sz w:val="20"/>
        </w:rPr>
        <w:t> </w:t>
      </w:r>
      <w:r>
        <w:rPr>
          <w:sz w:val="20"/>
        </w:rPr>
        <w:t>pipetting</w:t>
      </w:r>
    </w:p>
    <w:p>
      <w:pPr>
        <w:spacing w:line="249" w:lineRule="auto" w:before="10"/>
        <w:ind w:left="2285" w:right="22" w:firstLine="0"/>
        <w:jc w:val="left"/>
        <w:rPr>
          <w:sz w:val="20"/>
        </w:rPr>
      </w:pPr>
      <w:r>
        <w:rPr>
          <w:sz w:val="20"/>
        </w:rPr>
        <w:t>20.00</w:t>
      </w:r>
      <w:r>
        <w:rPr>
          <w:spacing w:val="-10"/>
          <w:sz w:val="20"/>
        </w:rPr>
        <w:t> </w:t>
      </w:r>
      <w:r>
        <w:rPr>
          <w:sz w:val="20"/>
        </w:rPr>
        <w:t>mL</w:t>
      </w:r>
      <w:r>
        <w:rPr>
          <w:spacing w:val="-10"/>
          <w:sz w:val="20"/>
        </w:rPr>
        <w:t> </w:t>
      </w:r>
      <w:r>
        <w:rPr>
          <w:sz w:val="20"/>
        </w:rPr>
        <w:t>of</w:t>
      </w:r>
      <w:r>
        <w:rPr>
          <w:spacing w:val="-11"/>
          <w:sz w:val="20"/>
        </w:rPr>
        <w:t> </w:t>
      </w:r>
      <w:r>
        <w:rPr>
          <w:sz w:val="20"/>
        </w:rPr>
        <w:t>100-mg/L</w:t>
      </w:r>
      <w:r>
        <w:rPr>
          <w:spacing w:val="-10"/>
          <w:sz w:val="20"/>
        </w:rPr>
        <w:t> </w:t>
      </w:r>
      <w:r>
        <w:rPr>
          <w:sz w:val="20"/>
        </w:rPr>
        <w:t>Ammonia</w:t>
      </w:r>
      <w:r>
        <w:rPr>
          <w:spacing w:val="-11"/>
          <w:sz w:val="20"/>
        </w:rPr>
        <w:t> </w:t>
      </w:r>
      <w:r>
        <w:rPr>
          <w:sz w:val="20"/>
        </w:rPr>
        <w:t>Nitrogen</w:t>
      </w:r>
      <w:r>
        <w:rPr>
          <w:spacing w:val="-10"/>
          <w:sz w:val="20"/>
        </w:rPr>
        <w:t> </w:t>
      </w:r>
      <w:r>
        <w:rPr>
          <w:sz w:val="20"/>
        </w:rPr>
        <w:t>standard</w:t>
      </w:r>
      <w:r>
        <w:rPr>
          <w:spacing w:val="-11"/>
          <w:sz w:val="20"/>
        </w:rPr>
        <w:t> </w:t>
      </w:r>
      <w:r>
        <w:rPr>
          <w:sz w:val="20"/>
        </w:rPr>
        <w:t>into</w:t>
      </w:r>
      <w:r>
        <w:rPr>
          <w:spacing w:val="-10"/>
          <w:sz w:val="20"/>
        </w:rPr>
        <w:t> </w:t>
      </w:r>
      <w:r>
        <w:rPr>
          <w:sz w:val="20"/>
        </w:rPr>
        <w:t>a</w:t>
      </w:r>
      <w:r>
        <w:rPr>
          <w:spacing w:val="-10"/>
          <w:sz w:val="20"/>
        </w:rPr>
        <w:t> </w:t>
      </w:r>
      <w:r>
        <w:rPr>
          <w:sz w:val="20"/>
        </w:rPr>
        <w:t>50-mL,</w:t>
      </w:r>
      <w:r>
        <w:rPr>
          <w:spacing w:val="-11"/>
          <w:sz w:val="20"/>
        </w:rPr>
        <w:t> </w:t>
      </w:r>
      <w:r>
        <w:rPr>
          <w:sz w:val="20"/>
        </w:rPr>
        <w:t>Class</w:t>
      </w:r>
      <w:r>
        <w:rPr>
          <w:spacing w:val="-10"/>
          <w:sz w:val="20"/>
        </w:rPr>
        <w:t> </w:t>
      </w:r>
      <w:r>
        <w:rPr>
          <w:sz w:val="20"/>
        </w:rPr>
        <w:t>A</w:t>
      </w:r>
      <w:r>
        <w:rPr>
          <w:spacing w:val="-10"/>
          <w:sz w:val="20"/>
        </w:rPr>
        <w:t> </w:t>
      </w:r>
      <w:r>
        <w:rPr>
          <w:sz w:val="20"/>
        </w:rPr>
        <w:t>volumetric</w:t>
      </w:r>
      <w:r>
        <w:rPr>
          <w:spacing w:val="-10"/>
          <w:sz w:val="20"/>
        </w:rPr>
        <w:t> </w:t>
      </w:r>
      <w:r>
        <w:rPr>
          <w:sz w:val="20"/>
        </w:rPr>
        <w:t>flask. Dilute to the mark with deionized</w:t>
      </w:r>
      <w:r>
        <w:rPr>
          <w:spacing w:val="-11"/>
          <w:sz w:val="20"/>
        </w:rPr>
        <w:t> </w:t>
      </w:r>
      <w:r>
        <w:rPr>
          <w:spacing w:val="-3"/>
          <w:sz w:val="20"/>
        </w:rPr>
        <w:t>water.</w:t>
      </w:r>
    </w:p>
    <w:p>
      <w:pPr>
        <w:pStyle w:val="BodyText"/>
        <w:spacing w:before="11"/>
        <w:rPr>
          <w:sz w:val="20"/>
        </w:rPr>
      </w:pPr>
    </w:p>
    <w:p>
      <w:pPr>
        <w:pStyle w:val="ListParagraph"/>
        <w:numPr>
          <w:ilvl w:val="0"/>
          <w:numId w:val="22"/>
        </w:numPr>
        <w:tabs>
          <w:tab w:pos="2286" w:val="left" w:leader="none"/>
        </w:tabs>
        <w:spacing w:line="240" w:lineRule="auto" w:before="0" w:after="0"/>
        <w:ind w:left="2286" w:right="0" w:hanging="360"/>
        <w:jc w:val="left"/>
        <w:rPr>
          <w:sz w:val="20"/>
        </w:rPr>
      </w:pPr>
      <w:r>
        <w:rPr>
          <w:spacing w:val="-12"/>
          <w:sz w:val="20"/>
        </w:rPr>
        <w:t>To </w:t>
      </w:r>
      <w:r>
        <w:rPr>
          <w:sz w:val="20"/>
        </w:rPr>
        <w:t>adjust</w:t>
      </w:r>
      <w:r>
        <w:rPr>
          <w:spacing w:val="-12"/>
          <w:sz w:val="20"/>
        </w:rPr>
        <w:t> </w:t>
      </w:r>
      <w:r>
        <w:rPr>
          <w:sz w:val="20"/>
        </w:rPr>
        <w:t>the</w:t>
      </w:r>
      <w:r>
        <w:rPr>
          <w:spacing w:val="-13"/>
          <w:sz w:val="20"/>
        </w:rPr>
        <w:t> </w:t>
      </w:r>
      <w:r>
        <w:rPr>
          <w:sz w:val="20"/>
        </w:rPr>
        <w:t>calibration</w:t>
      </w:r>
      <w:r>
        <w:rPr>
          <w:spacing w:val="-11"/>
          <w:sz w:val="20"/>
        </w:rPr>
        <w:t> </w:t>
      </w:r>
      <w:r>
        <w:rPr>
          <w:sz w:val="20"/>
        </w:rPr>
        <w:t>curve</w:t>
      </w:r>
      <w:r>
        <w:rPr>
          <w:spacing w:val="-11"/>
          <w:sz w:val="20"/>
        </w:rPr>
        <w:t> </w:t>
      </w:r>
      <w:r>
        <w:rPr>
          <w:sz w:val="20"/>
        </w:rPr>
        <w:t>using</w:t>
      </w:r>
      <w:r>
        <w:rPr>
          <w:spacing w:val="-13"/>
          <w:sz w:val="20"/>
        </w:rPr>
        <w:t> </w:t>
      </w:r>
      <w:r>
        <w:rPr>
          <w:sz w:val="20"/>
        </w:rPr>
        <w:t>the</w:t>
      </w:r>
      <w:r>
        <w:rPr>
          <w:spacing w:val="-11"/>
          <w:sz w:val="20"/>
        </w:rPr>
        <w:t> </w:t>
      </w:r>
      <w:r>
        <w:rPr>
          <w:sz w:val="20"/>
        </w:rPr>
        <w:t>reading</w:t>
      </w:r>
      <w:r>
        <w:rPr>
          <w:spacing w:val="-12"/>
          <w:sz w:val="20"/>
        </w:rPr>
        <w:t> </w:t>
      </w:r>
      <w:r>
        <w:rPr>
          <w:sz w:val="20"/>
        </w:rPr>
        <w:t>obtained</w:t>
      </w:r>
      <w:r>
        <w:rPr>
          <w:spacing w:val="-11"/>
          <w:sz w:val="20"/>
        </w:rPr>
        <w:t> </w:t>
      </w:r>
      <w:r>
        <w:rPr>
          <w:sz w:val="20"/>
        </w:rPr>
        <w:t>with</w:t>
      </w:r>
      <w:r>
        <w:rPr>
          <w:spacing w:val="-11"/>
          <w:sz w:val="20"/>
        </w:rPr>
        <w:t> </w:t>
      </w:r>
      <w:r>
        <w:rPr>
          <w:sz w:val="20"/>
        </w:rPr>
        <w:t>the</w:t>
      </w:r>
      <w:r>
        <w:rPr>
          <w:spacing w:val="-12"/>
          <w:sz w:val="20"/>
        </w:rPr>
        <w:t> </w:t>
      </w:r>
      <w:r>
        <w:rPr>
          <w:sz w:val="20"/>
        </w:rPr>
        <w:t>standard</w:t>
      </w:r>
      <w:r>
        <w:rPr>
          <w:spacing w:val="-12"/>
          <w:sz w:val="20"/>
        </w:rPr>
        <w:t> </w:t>
      </w:r>
      <w:r>
        <w:rPr>
          <w:sz w:val="20"/>
        </w:rPr>
        <w:t>solution,</w:t>
      </w:r>
      <w:r>
        <w:rPr>
          <w:spacing w:val="-12"/>
          <w:sz w:val="20"/>
        </w:rPr>
        <w:t> </w:t>
      </w:r>
      <w:r>
        <w:rPr>
          <w:sz w:val="20"/>
        </w:rPr>
        <w:t>press</w:t>
      </w:r>
    </w:p>
    <w:p>
      <w:pPr>
        <w:spacing w:before="9"/>
        <w:ind w:left="2286" w:right="22" w:firstLine="0"/>
        <w:jc w:val="left"/>
        <w:rPr>
          <w:sz w:val="20"/>
        </w:rPr>
      </w:pPr>
      <w:r>
        <w:rPr>
          <w:b/>
          <w:sz w:val="18"/>
        </w:rPr>
        <w:t>OPTIONS&gt;MORE </w:t>
      </w:r>
      <w:r>
        <w:rPr>
          <w:sz w:val="20"/>
        </w:rPr>
        <w:t>on the current program menu. Press </w:t>
      </w:r>
      <w:r>
        <w:rPr>
          <w:b/>
          <w:sz w:val="18"/>
        </w:rPr>
        <w:t>STANDARD ADJUST</w:t>
      </w:r>
      <w:r>
        <w:rPr>
          <w:sz w:val="20"/>
        </w:rPr>
        <w:t>.</w:t>
      </w:r>
    </w:p>
    <w:p>
      <w:pPr>
        <w:pStyle w:val="BodyText"/>
        <w:spacing w:before="8"/>
        <w:rPr>
          <w:sz w:val="21"/>
        </w:rPr>
      </w:pPr>
    </w:p>
    <w:p>
      <w:pPr>
        <w:pStyle w:val="ListParagraph"/>
        <w:numPr>
          <w:ilvl w:val="0"/>
          <w:numId w:val="22"/>
        </w:numPr>
        <w:tabs>
          <w:tab w:pos="2286" w:val="left" w:leader="none"/>
        </w:tabs>
        <w:spacing w:line="249" w:lineRule="auto" w:before="0" w:after="0"/>
        <w:ind w:left="2285" w:right="208" w:hanging="360"/>
        <w:jc w:val="left"/>
        <w:rPr>
          <w:sz w:val="20"/>
        </w:rPr>
      </w:pPr>
      <w:r>
        <w:rPr>
          <w:sz w:val="20"/>
        </w:rPr>
        <w:t>Press </w:t>
      </w:r>
      <w:r>
        <w:rPr>
          <w:b/>
          <w:sz w:val="18"/>
        </w:rPr>
        <w:t>ON</w:t>
      </w:r>
      <w:r>
        <w:rPr>
          <w:sz w:val="20"/>
        </w:rPr>
        <w:t>. Press </w:t>
      </w:r>
      <w:r>
        <w:rPr>
          <w:b/>
          <w:sz w:val="18"/>
        </w:rPr>
        <w:t>ADJUST </w:t>
      </w:r>
      <w:r>
        <w:rPr>
          <w:sz w:val="20"/>
        </w:rPr>
        <w:t>to accept the displayed concentration. If an alternate concentration</w:t>
      </w:r>
      <w:r>
        <w:rPr>
          <w:spacing w:val="-4"/>
          <w:sz w:val="20"/>
        </w:rPr>
        <w:t> </w:t>
      </w:r>
      <w:r>
        <w:rPr>
          <w:sz w:val="20"/>
        </w:rPr>
        <w:t>is</w:t>
      </w:r>
      <w:r>
        <w:rPr>
          <w:spacing w:val="-5"/>
          <w:sz w:val="20"/>
        </w:rPr>
        <w:t> </w:t>
      </w:r>
      <w:r>
        <w:rPr>
          <w:sz w:val="20"/>
        </w:rPr>
        <w:t>used,</w:t>
      </w:r>
      <w:r>
        <w:rPr>
          <w:spacing w:val="-5"/>
          <w:sz w:val="20"/>
        </w:rPr>
        <w:t> </w:t>
      </w:r>
      <w:r>
        <w:rPr>
          <w:sz w:val="20"/>
        </w:rPr>
        <w:t>press</w:t>
      </w:r>
      <w:r>
        <w:rPr>
          <w:spacing w:val="-5"/>
          <w:sz w:val="20"/>
        </w:rPr>
        <w:t> </w:t>
      </w:r>
      <w:r>
        <w:rPr>
          <w:sz w:val="20"/>
        </w:rPr>
        <w:t>the</w:t>
      </w:r>
      <w:r>
        <w:rPr>
          <w:spacing w:val="-5"/>
          <w:sz w:val="20"/>
        </w:rPr>
        <w:t> </w:t>
      </w:r>
      <w:r>
        <w:rPr>
          <w:sz w:val="20"/>
        </w:rPr>
        <w:t>number</w:t>
      </w:r>
      <w:r>
        <w:rPr>
          <w:spacing w:val="-5"/>
          <w:sz w:val="20"/>
        </w:rPr>
        <w:t> </w:t>
      </w:r>
      <w:r>
        <w:rPr>
          <w:sz w:val="20"/>
        </w:rPr>
        <w:t>in</w:t>
      </w:r>
      <w:r>
        <w:rPr>
          <w:spacing w:val="-4"/>
          <w:sz w:val="20"/>
        </w:rPr>
        <w:t> </w:t>
      </w:r>
      <w:r>
        <w:rPr>
          <w:sz w:val="20"/>
        </w:rPr>
        <w:t>the</w:t>
      </w:r>
      <w:r>
        <w:rPr>
          <w:spacing w:val="-5"/>
          <w:sz w:val="20"/>
        </w:rPr>
        <w:t> </w:t>
      </w:r>
      <w:r>
        <w:rPr>
          <w:spacing w:val="-3"/>
          <w:sz w:val="20"/>
        </w:rPr>
        <w:t>box</w:t>
      </w:r>
      <w:r>
        <w:rPr>
          <w:spacing w:val="-5"/>
          <w:sz w:val="20"/>
        </w:rPr>
        <w:t> </w:t>
      </w:r>
      <w:r>
        <w:rPr>
          <w:sz w:val="20"/>
        </w:rPr>
        <w:t>to</w:t>
      </w:r>
      <w:r>
        <w:rPr>
          <w:spacing w:val="-4"/>
          <w:sz w:val="20"/>
        </w:rPr>
        <w:t> </w:t>
      </w:r>
      <w:r>
        <w:rPr>
          <w:sz w:val="20"/>
        </w:rPr>
        <w:t>enter</w:t>
      </w:r>
      <w:r>
        <w:rPr>
          <w:spacing w:val="-5"/>
          <w:sz w:val="20"/>
        </w:rPr>
        <w:t> </w:t>
      </w:r>
      <w:r>
        <w:rPr>
          <w:sz w:val="20"/>
        </w:rPr>
        <w:t>the</w:t>
      </w:r>
      <w:r>
        <w:rPr>
          <w:spacing w:val="-5"/>
          <w:sz w:val="20"/>
        </w:rPr>
        <w:t> </w:t>
      </w:r>
      <w:r>
        <w:rPr>
          <w:sz w:val="20"/>
        </w:rPr>
        <w:t>actual</w:t>
      </w:r>
      <w:r>
        <w:rPr>
          <w:spacing w:val="-5"/>
          <w:sz w:val="20"/>
        </w:rPr>
        <w:t> </w:t>
      </w:r>
      <w:r>
        <w:rPr>
          <w:sz w:val="20"/>
        </w:rPr>
        <w:t>concentration,</w:t>
      </w:r>
      <w:r>
        <w:rPr>
          <w:spacing w:val="-5"/>
          <w:sz w:val="20"/>
        </w:rPr>
        <w:t> </w:t>
      </w:r>
      <w:r>
        <w:rPr>
          <w:sz w:val="20"/>
        </w:rPr>
        <w:t>then press </w:t>
      </w:r>
      <w:r>
        <w:rPr>
          <w:b/>
          <w:sz w:val="18"/>
        </w:rPr>
        <w:t>OK</w:t>
      </w:r>
      <w:r>
        <w:rPr>
          <w:sz w:val="20"/>
        </w:rPr>
        <w:t>. Press</w:t>
      </w:r>
      <w:r>
        <w:rPr>
          <w:spacing w:val="-15"/>
          <w:sz w:val="20"/>
        </w:rPr>
        <w:t> </w:t>
      </w:r>
      <w:r>
        <w:rPr>
          <w:b/>
          <w:sz w:val="18"/>
        </w:rPr>
        <w:t>ADJUST</w:t>
      </w:r>
      <w:r>
        <w:rPr>
          <w:sz w:val="20"/>
        </w:rPr>
        <w:t>.</w:t>
      </w:r>
    </w:p>
    <w:p>
      <w:pPr>
        <w:pStyle w:val="BodyText"/>
        <w:rPr>
          <w:sz w:val="26"/>
        </w:rPr>
      </w:pPr>
    </w:p>
    <w:p>
      <w:pPr>
        <w:pStyle w:val="Heading3"/>
        <w:ind w:left="124" w:right="22"/>
      </w:pPr>
      <w:r>
        <w:rPr/>
        <w:t>Method Performance</w:t>
      </w:r>
    </w:p>
    <w:p>
      <w:pPr>
        <w:pStyle w:val="BodyText"/>
        <w:spacing w:before="6"/>
        <w:rPr>
          <w:b/>
        </w:rPr>
      </w:pPr>
    </w:p>
    <w:p>
      <w:pPr>
        <w:spacing w:before="0"/>
        <w:ind w:left="1926" w:right="22" w:firstLine="0"/>
        <w:jc w:val="left"/>
        <w:rPr>
          <w:b/>
          <w:sz w:val="20"/>
        </w:rPr>
      </w:pPr>
      <w:r>
        <w:rPr>
          <w:b/>
          <w:sz w:val="20"/>
        </w:rPr>
        <w:t>Precision</w:t>
      </w:r>
    </w:p>
    <w:p>
      <w:pPr>
        <w:spacing w:before="10"/>
        <w:ind w:left="1926" w:right="22" w:firstLine="0"/>
        <w:jc w:val="left"/>
        <w:rPr>
          <w:sz w:val="20"/>
        </w:rPr>
      </w:pPr>
      <w:r>
        <w:rPr>
          <w:sz w:val="20"/>
        </w:rPr>
        <w:t>Standard: 40.00 mg/L NH</w:t>
      </w:r>
      <w:r>
        <w:rPr>
          <w:position w:val="-4"/>
          <w:sz w:val="16"/>
        </w:rPr>
        <w:t>3</w:t>
      </w:r>
      <w:r>
        <w:rPr>
          <w:sz w:val="20"/>
        </w:rPr>
        <w:t>–N</w:t>
      </w:r>
    </w:p>
    <w:p>
      <w:pPr>
        <w:pStyle w:val="BodyText"/>
        <w:spacing w:before="11"/>
        <w:rPr>
          <w:sz w:val="18"/>
        </w:rPr>
      </w:pPr>
    </w:p>
    <w:tbl>
      <w:tblPr>
        <w:tblW w:w="0" w:type="auto"/>
        <w:jc w:val="left"/>
        <w:tblInd w:w="1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6"/>
        <w:gridCol w:w="6600"/>
      </w:tblGrid>
      <w:tr>
        <w:trPr>
          <w:trHeight w:val="380" w:hRule="exact"/>
        </w:trPr>
        <w:tc>
          <w:tcPr>
            <w:tcW w:w="1706" w:type="dxa"/>
          </w:tcPr>
          <w:p>
            <w:pPr>
              <w:pStyle w:val="TableParagraph"/>
              <w:spacing w:before="66"/>
              <w:ind w:left="458" w:right="458"/>
              <w:jc w:val="center"/>
              <w:rPr>
                <w:rFonts w:ascii="Arial"/>
                <w:b/>
                <w:sz w:val="18"/>
              </w:rPr>
            </w:pPr>
            <w:r>
              <w:rPr>
                <w:rFonts w:ascii="Arial"/>
                <w:b/>
                <w:sz w:val="18"/>
              </w:rPr>
              <w:t>Program</w:t>
            </w:r>
          </w:p>
        </w:tc>
        <w:tc>
          <w:tcPr>
            <w:tcW w:w="6600" w:type="dxa"/>
          </w:tcPr>
          <w:p>
            <w:pPr>
              <w:pStyle w:val="TableParagraph"/>
              <w:spacing w:before="66"/>
              <w:ind w:left="1650" w:right="1649"/>
              <w:jc w:val="center"/>
              <w:rPr>
                <w:rFonts w:ascii="Arial"/>
                <w:b/>
                <w:sz w:val="18"/>
              </w:rPr>
            </w:pPr>
            <w:r>
              <w:rPr>
                <w:rFonts w:ascii="Arial"/>
                <w:b/>
                <w:sz w:val="18"/>
              </w:rPr>
              <w:t>95% Confidence Limits of Distribution</w:t>
            </w:r>
          </w:p>
        </w:tc>
      </w:tr>
      <w:tr>
        <w:trPr>
          <w:trHeight w:val="300" w:hRule="exact"/>
        </w:trPr>
        <w:tc>
          <w:tcPr>
            <w:tcW w:w="1706" w:type="dxa"/>
          </w:tcPr>
          <w:p>
            <w:pPr>
              <w:pStyle w:val="TableParagraph"/>
              <w:spacing w:before="25"/>
              <w:ind w:left="458" w:right="458"/>
              <w:jc w:val="center"/>
              <w:rPr>
                <w:rFonts w:ascii="Arial"/>
                <w:sz w:val="18"/>
              </w:rPr>
            </w:pPr>
            <w:r>
              <w:rPr>
                <w:rFonts w:ascii="Arial"/>
                <w:sz w:val="18"/>
              </w:rPr>
              <w:t>343</w:t>
            </w:r>
          </w:p>
        </w:tc>
        <w:tc>
          <w:tcPr>
            <w:tcW w:w="6600" w:type="dxa"/>
          </w:tcPr>
          <w:p>
            <w:pPr>
              <w:pStyle w:val="TableParagraph"/>
              <w:spacing w:before="25"/>
              <w:ind w:left="1650" w:right="1648"/>
              <w:jc w:val="center"/>
              <w:rPr>
                <w:rFonts w:ascii="Arial" w:hAnsi="Arial"/>
                <w:sz w:val="18"/>
              </w:rPr>
            </w:pPr>
            <w:r>
              <w:rPr>
                <w:rFonts w:ascii="Arial" w:hAnsi="Arial"/>
                <w:sz w:val="18"/>
              </w:rPr>
              <w:t>38.1–41.9 mg/L NH</w:t>
            </w:r>
            <w:r>
              <w:rPr>
                <w:rFonts w:ascii="Arial" w:hAnsi="Arial"/>
                <w:position w:val="-4"/>
                <w:sz w:val="14"/>
              </w:rPr>
              <w:t>3</w:t>
            </w:r>
            <w:r>
              <w:rPr>
                <w:rFonts w:ascii="Arial" w:hAnsi="Arial"/>
                <w:sz w:val="18"/>
              </w:rPr>
              <w:t>–N</w:t>
            </w:r>
          </w:p>
        </w:tc>
      </w:tr>
    </w:tbl>
    <w:p>
      <w:pPr>
        <w:pStyle w:val="BodyText"/>
        <w:spacing w:before="1"/>
        <w:rPr>
          <w:sz w:val="19"/>
        </w:rPr>
      </w:pPr>
    </w:p>
    <w:p>
      <w:pPr>
        <w:spacing w:before="1"/>
        <w:ind w:left="1926" w:right="22" w:firstLine="0"/>
        <w:jc w:val="left"/>
        <w:rPr>
          <w:b/>
          <w:sz w:val="20"/>
        </w:rPr>
      </w:pPr>
      <w:r>
        <w:rPr>
          <w:b/>
          <w:sz w:val="20"/>
        </w:rPr>
        <w:t>Sensitivity</w:t>
      </w:r>
    </w:p>
    <w:p>
      <w:pPr>
        <w:pStyle w:val="BodyText"/>
        <w:spacing w:before="7"/>
        <w:rPr>
          <w:b/>
        </w:rPr>
      </w:pPr>
    </w:p>
    <w:tbl>
      <w:tblPr>
        <w:tblW w:w="0" w:type="auto"/>
        <w:jc w:val="left"/>
        <w:tblInd w:w="1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764"/>
        <w:gridCol w:w="2764"/>
        <w:gridCol w:w="2765"/>
      </w:tblGrid>
      <w:tr>
        <w:trPr>
          <w:trHeight w:val="379" w:hRule="exact"/>
        </w:trPr>
        <w:tc>
          <w:tcPr>
            <w:tcW w:w="2764" w:type="dxa"/>
          </w:tcPr>
          <w:p>
            <w:pPr>
              <w:pStyle w:val="TableParagraph"/>
              <w:spacing w:before="66"/>
              <w:ind w:left="652" w:right="652"/>
              <w:jc w:val="center"/>
              <w:rPr>
                <w:rFonts w:ascii="Arial"/>
                <w:b/>
                <w:sz w:val="18"/>
              </w:rPr>
            </w:pPr>
            <w:r>
              <w:rPr>
                <w:rFonts w:ascii="Arial"/>
                <w:b/>
                <w:sz w:val="18"/>
              </w:rPr>
              <w:t>Portion of Curve</w:t>
            </w:r>
          </w:p>
        </w:tc>
        <w:tc>
          <w:tcPr>
            <w:tcW w:w="2764" w:type="dxa"/>
          </w:tcPr>
          <w:p>
            <w:pPr>
              <w:pStyle w:val="TableParagraph"/>
              <w:spacing w:before="63"/>
              <w:ind w:left="652" w:right="652"/>
              <w:jc w:val="center"/>
              <w:rPr>
                <w:rFonts w:ascii="Arial" w:hAnsi="Arial"/>
                <w:b/>
                <w:sz w:val="18"/>
              </w:rPr>
            </w:pPr>
            <w:r>
              <w:rPr>
                <w:w w:val="105"/>
                <w:sz w:val="18"/>
              </w:rPr>
              <w:t>Δ</w:t>
            </w:r>
            <w:r>
              <w:rPr>
                <w:rFonts w:ascii="Arial" w:hAnsi="Arial"/>
                <w:b/>
                <w:w w:val="105"/>
                <w:sz w:val="18"/>
              </w:rPr>
              <w:t>Abs</w:t>
            </w:r>
          </w:p>
        </w:tc>
        <w:tc>
          <w:tcPr>
            <w:tcW w:w="2765" w:type="dxa"/>
          </w:tcPr>
          <w:p>
            <w:pPr>
              <w:pStyle w:val="TableParagraph"/>
              <w:spacing w:before="63"/>
              <w:ind w:left="696" w:right="696"/>
              <w:jc w:val="center"/>
              <w:rPr>
                <w:rFonts w:ascii="Arial" w:hAnsi="Arial"/>
                <w:b/>
                <w:sz w:val="18"/>
              </w:rPr>
            </w:pPr>
            <w:r>
              <w:rPr>
                <w:sz w:val="18"/>
              </w:rPr>
              <w:t>Δ</w:t>
            </w:r>
            <w:r>
              <w:rPr>
                <w:rFonts w:ascii="Arial" w:hAnsi="Arial"/>
                <w:b/>
                <w:sz w:val="18"/>
              </w:rPr>
              <w:t>Concentration</w:t>
            </w:r>
          </w:p>
        </w:tc>
      </w:tr>
      <w:tr>
        <w:trPr>
          <w:trHeight w:val="300" w:hRule="exact"/>
        </w:trPr>
        <w:tc>
          <w:tcPr>
            <w:tcW w:w="2764" w:type="dxa"/>
          </w:tcPr>
          <w:p>
            <w:pPr>
              <w:pStyle w:val="TableParagraph"/>
              <w:spacing w:before="26"/>
              <w:ind w:left="652" w:right="652"/>
              <w:jc w:val="center"/>
              <w:rPr>
                <w:rFonts w:ascii="Arial"/>
                <w:sz w:val="18"/>
              </w:rPr>
            </w:pPr>
            <w:r>
              <w:rPr>
                <w:rFonts w:ascii="Arial"/>
                <w:sz w:val="18"/>
              </w:rPr>
              <w:t>Entire range</w:t>
            </w:r>
          </w:p>
        </w:tc>
        <w:tc>
          <w:tcPr>
            <w:tcW w:w="2764" w:type="dxa"/>
          </w:tcPr>
          <w:p>
            <w:pPr>
              <w:pStyle w:val="TableParagraph"/>
              <w:spacing w:before="26"/>
              <w:ind w:left="652" w:right="652"/>
              <w:jc w:val="center"/>
              <w:rPr>
                <w:rFonts w:ascii="Arial"/>
                <w:sz w:val="18"/>
              </w:rPr>
            </w:pPr>
            <w:r>
              <w:rPr>
                <w:rFonts w:ascii="Arial"/>
                <w:sz w:val="18"/>
              </w:rPr>
              <w:t>0.010</w:t>
            </w:r>
          </w:p>
        </w:tc>
        <w:tc>
          <w:tcPr>
            <w:tcW w:w="2765" w:type="dxa"/>
          </w:tcPr>
          <w:p>
            <w:pPr>
              <w:pStyle w:val="TableParagraph"/>
              <w:spacing w:before="26"/>
              <w:ind w:left="618" w:right="0"/>
              <w:jc w:val="left"/>
              <w:rPr>
                <w:rFonts w:ascii="Arial" w:hAnsi="Arial"/>
                <w:sz w:val="18"/>
              </w:rPr>
            </w:pPr>
            <w:r>
              <w:rPr>
                <w:rFonts w:ascii="Arial" w:hAnsi="Arial"/>
                <w:sz w:val="18"/>
              </w:rPr>
              <w:t>0.312 mg/L NH</w:t>
            </w:r>
            <w:r>
              <w:rPr>
                <w:rFonts w:ascii="Arial" w:hAnsi="Arial"/>
                <w:position w:val="-4"/>
                <w:sz w:val="14"/>
              </w:rPr>
              <w:t>3</w:t>
            </w:r>
            <w:r>
              <w:rPr>
                <w:rFonts w:ascii="Arial" w:hAnsi="Arial"/>
                <w:sz w:val="18"/>
              </w:rPr>
              <w:t>–N</w:t>
            </w:r>
          </w:p>
        </w:tc>
      </w:tr>
    </w:tbl>
    <w:p>
      <w:pPr>
        <w:pStyle w:val="BodyText"/>
        <w:spacing w:before="3"/>
        <w:rPr>
          <w:b/>
          <w:sz w:val="24"/>
        </w:rPr>
      </w:pPr>
    </w:p>
    <w:p>
      <w:pPr>
        <w:pStyle w:val="Heading3"/>
        <w:ind w:left="124" w:right="22"/>
      </w:pPr>
      <w:r>
        <w:rPr/>
        <w:t>Summary of Method</w:t>
      </w:r>
    </w:p>
    <w:p>
      <w:pPr>
        <w:spacing w:line="249" w:lineRule="auto" w:before="180"/>
        <w:ind w:left="1926" w:right="22" w:firstLine="0"/>
        <w:jc w:val="left"/>
        <w:rPr>
          <w:sz w:val="20"/>
        </w:rPr>
      </w:pPr>
      <w:r>
        <w:rPr>
          <w:sz w:val="20"/>
        </w:rPr>
        <w:t>Ammonia</w:t>
      </w:r>
      <w:r>
        <w:rPr>
          <w:spacing w:val="-14"/>
          <w:sz w:val="20"/>
        </w:rPr>
        <w:t> </w:t>
      </w:r>
      <w:r>
        <w:rPr>
          <w:sz w:val="20"/>
        </w:rPr>
        <w:t>compounds</w:t>
      </w:r>
      <w:r>
        <w:rPr>
          <w:spacing w:val="-13"/>
          <w:sz w:val="20"/>
        </w:rPr>
        <w:t> </w:t>
      </w:r>
      <w:r>
        <w:rPr>
          <w:sz w:val="20"/>
        </w:rPr>
        <w:t>combine</w:t>
      </w:r>
      <w:r>
        <w:rPr>
          <w:spacing w:val="-14"/>
          <w:sz w:val="20"/>
        </w:rPr>
        <w:t> </w:t>
      </w:r>
      <w:r>
        <w:rPr>
          <w:sz w:val="20"/>
        </w:rPr>
        <w:t>with</w:t>
      </w:r>
      <w:r>
        <w:rPr>
          <w:spacing w:val="-13"/>
          <w:sz w:val="20"/>
        </w:rPr>
        <w:t> </w:t>
      </w:r>
      <w:r>
        <w:rPr>
          <w:sz w:val="20"/>
        </w:rPr>
        <w:t>chlorine</w:t>
      </w:r>
      <w:r>
        <w:rPr>
          <w:spacing w:val="-14"/>
          <w:sz w:val="20"/>
        </w:rPr>
        <w:t> </w:t>
      </w:r>
      <w:r>
        <w:rPr>
          <w:sz w:val="20"/>
        </w:rPr>
        <w:t>to</w:t>
      </w:r>
      <w:r>
        <w:rPr>
          <w:spacing w:val="-13"/>
          <w:sz w:val="20"/>
        </w:rPr>
        <w:t> </w:t>
      </w:r>
      <w:r>
        <w:rPr>
          <w:sz w:val="20"/>
        </w:rPr>
        <w:t>form</w:t>
      </w:r>
      <w:r>
        <w:rPr>
          <w:spacing w:val="-13"/>
          <w:sz w:val="20"/>
        </w:rPr>
        <w:t> </w:t>
      </w:r>
      <w:r>
        <w:rPr>
          <w:sz w:val="20"/>
        </w:rPr>
        <w:t>monochloramine.</w:t>
      </w:r>
      <w:r>
        <w:rPr>
          <w:spacing w:val="-14"/>
          <w:sz w:val="20"/>
        </w:rPr>
        <w:t> </w:t>
      </w:r>
      <w:r>
        <w:rPr>
          <w:sz w:val="20"/>
        </w:rPr>
        <w:t>Monochloramine</w:t>
      </w:r>
      <w:r>
        <w:rPr>
          <w:spacing w:val="-15"/>
          <w:sz w:val="20"/>
        </w:rPr>
        <w:t> </w:t>
      </w:r>
      <w:r>
        <w:rPr>
          <w:sz w:val="20"/>
        </w:rPr>
        <w:t>reacts with</w:t>
      </w:r>
      <w:r>
        <w:rPr>
          <w:spacing w:val="-14"/>
          <w:sz w:val="20"/>
        </w:rPr>
        <w:t> </w:t>
      </w:r>
      <w:r>
        <w:rPr>
          <w:sz w:val="20"/>
        </w:rPr>
        <w:t>salicylate</w:t>
      </w:r>
      <w:r>
        <w:rPr>
          <w:spacing w:val="-15"/>
          <w:sz w:val="20"/>
        </w:rPr>
        <w:t> </w:t>
      </w:r>
      <w:r>
        <w:rPr>
          <w:sz w:val="20"/>
        </w:rPr>
        <w:t>to</w:t>
      </w:r>
      <w:r>
        <w:rPr>
          <w:spacing w:val="-15"/>
          <w:sz w:val="20"/>
        </w:rPr>
        <w:t> </w:t>
      </w:r>
      <w:r>
        <w:rPr>
          <w:sz w:val="20"/>
        </w:rPr>
        <w:t>form</w:t>
      </w:r>
      <w:r>
        <w:rPr>
          <w:spacing w:val="-15"/>
          <w:sz w:val="20"/>
        </w:rPr>
        <w:t> </w:t>
      </w:r>
      <w:r>
        <w:rPr>
          <w:sz w:val="20"/>
        </w:rPr>
        <w:t>5-aminosalicylate.</w:t>
      </w:r>
      <w:r>
        <w:rPr>
          <w:spacing w:val="-14"/>
          <w:sz w:val="20"/>
        </w:rPr>
        <w:t> </w:t>
      </w:r>
      <w:r>
        <w:rPr>
          <w:sz w:val="20"/>
        </w:rPr>
        <w:t>The</w:t>
      </w:r>
      <w:r>
        <w:rPr>
          <w:spacing w:val="-15"/>
          <w:sz w:val="20"/>
        </w:rPr>
        <w:t> </w:t>
      </w:r>
      <w:r>
        <w:rPr>
          <w:sz w:val="20"/>
        </w:rPr>
        <w:t>5-aminosalicylate</w:t>
      </w:r>
      <w:r>
        <w:rPr>
          <w:spacing w:val="-15"/>
          <w:sz w:val="20"/>
        </w:rPr>
        <w:t> </w:t>
      </w:r>
      <w:r>
        <w:rPr>
          <w:sz w:val="20"/>
        </w:rPr>
        <w:t>is</w:t>
      </w:r>
      <w:r>
        <w:rPr>
          <w:spacing w:val="-15"/>
          <w:sz w:val="20"/>
        </w:rPr>
        <w:t> </w:t>
      </w:r>
      <w:r>
        <w:rPr>
          <w:sz w:val="20"/>
        </w:rPr>
        <w:t>oxidized</w:t>
      </w:r>
      <w:r>
        <w:rPr>
          <w:spacing w:val="-14"/>
          <w:sz w:val="20"/>
        </w:rPr>
        <w:t> </w:t>
      </w:r>
      <w:r>
        <w:rPr>
          <w:sz w:val="20"/>
        </w:rPr>
        <w:t>in</w:t>
      </w:r>
      <w:r>
        <w:rPr>
          <w:spacing w:val="-15"/>
          <w:sz w:val="20"/>
        </w:rPr>
        <w:t> </w:t>
      </w:r>
      <w:r>
        <w:rPr>
          <w:sz w:val="20"/>
        </w:rPr>
        <w:t>the</w:t>
      </w:r>
      <w:r>
        <w:rPr>
          <w:spacing w:val="-15"/>
          <w:sz w:val="20"/>
        </w:rPr>
        <w:t> </w:t>
      </w:r>
      <w:r>
        <w:rPr>
          <w:sz w:val="20"/>
        </w:rPr>
        <w:t>presence</w:t>
      </w:r>
      <w:r>
        <w:rPr>
          <w:spacing w:val="-15"/>
          <w:sz w:val="20"/>
        </w:rPr>
        <w:t> </w:t>
      </w:r>
      <w:r>
        <w:rPr>
          <w:sz w:val="20"/>
        </w:rPr>
        <w:t>of</w:t>
      </w:r>
      <w:r>
        <w:rPr>
          <w:spacing w:val="-14"/>
          <w:sz w:val="20"/>
        </w:rPr>
        <w:t> </w:t>
      </w:r>
      <w:r>
        <w:rPr>
          <w:sz w:val="20"/>
        </w:rPr>
        <w:t>a sodium nitroprusside catalyst to form a blue colored compound. The blue color is masked </w:t>
      </w:r>
      <w:r>
        <w:rPr>
          <w:spacing w:val="-3"/>
          <w:sz w:val="20"/>
        </w:rPr>
        <w:t>by </w:t>
      </w:r>
      <w:r>
        <w:rPr>
          <w:sz w:val="20"/>
        </w:rPr>
        <w:t>the</w:t>
      </w:r>
      <w:r>
        <w:rPr>
          <w:spacing w:val="-7"/>
          <w:sz w:val="20"/>
        </w:rPr>
        <w:t> </w:t>
      </w:r>
      <w:r>
        <w:rPr>
          <w:sz w:val="20"/>
        </w:rPr>
        <w:t>yellow</w:t>
      </w:r>
      <w:r>
        <w:rPr>
          <w:spacing w:val="-7"/>
          <w:sz w:val="20"/>
        </w:rPr>
        <w:t> </w:t>
      </w:r>
      <w:r>
        <w:rPr>
          <w:sz w:val="20"/>
        </w:rPr>
        <w:t>color</w:t>
      </w:r>
      <w:r>
        <w:rPr>
          <w:spacing w:val="-7"/>
          <w:sz w:val="20"/>
        </w:rPr>
        <w:t> </w:t>
      </w:r>
      <w:r>
        <w:rPr>
          <w:sz w:val="20"/>
        </w:rPr>
        <w:t>from</w:t>
      </w:r>
      <w:r>
        <w:rPr>
          <w:spacing w:val="-7"/>
          <w:sz w:val="20"/>
        </w:rPr>
        <w:t> </w:t>
      </w:r>
      <w:r>
        <w:rPr>
          <w:sz w:val="20"/>
        </w:rPr>
        <w:t>the</w:t>
      </w:r>
      <w:r>
        <w:rPr>
          <w:spacing w:val="-7"/>
          <w:sz w:val="20"/>
        </w:rPr>
        <w:t> </w:t>
      </w:r>
      <w:r>
        <w:rPr>
          <w:sz w:val="20"/>
        </w:rPr>
        <w:t>excess</w:t>
      </w:r>
      <w:r>
        <w:rPr>
          <w:spacing w:val="-7"/>
          <w:sz w:val="20"/>
        </w:rPr>
        <w:t> </w:t>
      </w:r>
      <w:r>
        <w:rPr>
          <w:sz w:val="20"/>
        </w:rPr>
        <w:t>reagent</w:t>
      </w:r>
      <w:r>
        <w:rPr>
          <w:spacing w:val="-7"/>
          <w:sz w:val="20"/>
        </w:rPr>
        <w:t> </w:t>
      </w:r>
      <w:r>
        <w:rPr>
          <w:sz w:val="20"/>
        </w:rPr>
        <w:t>present</w:t>
      </w:r>
      <w:r>
        <w:rPr>
          <w:spacing w:val="-7"/>
          <w:sz w:val="20"/>
        </w:rPr>
        <w:t> </w:t>
      </w:r>
      <w:r>
        <w:rPr>
          <w:sz w:val="20"/>
        </w:rPr>
        <w:t>to</w:t>
      </w:r>
      <w:r>
        <w:rPr>
          <w:spacing w:val="-7"/>
          <w:sz w:val="20"/>
        </w:rPr>
        <w:t> </w:t>
      </w:r>
      <w:r>
        <w:rPr>
          <w:sz w:val="20"/>
        </w:rPr>
        <w:t>give</w:t>
      </w:r>
      <w:r>
        <w:rPr>
          <w:spacing w:val="-8"/>
          <w:sz w:val="20"/>
        </w:rPr>
        <w:t> </w:t>
      </w:r>
      <w:r>
        <w:rPr>
          <w:sz w:val="20"/>
        </w:rPr>
        <w:t>a</w:t>
      </w:r>
      <w:r>
        <w:rPr>
          <w:spacing w:val="-7"/>
          <w:sz w:val="20"/>
        </w:rPr>
        <w:t> </w:t>
      </w:r>
      <w:r>
        <w:rPr>
          <w:sz w:val="20"/>
        </w:rPr>
        <w:t>green-colored</w:t>
      </w:r>
      <w:r>
        <w:rPr>
          <w:spacing w:val="-8"/>
          <w:sz w:val="20"/>
        </w:rPr>
        <w:t> </w:t>
      </w:r>
      <w:r>
        <w:rPr>
          <w:sz w:val="20"/>
        </w:rPr>
        <w:t>solution.</w:t>
      </w:r>
      <w:r>
        <w:rPr>
          <w:spacing w:val="-7"/>
          <w:sz w:val="20"/>
        </w:rPr>
        <w:t> </w:t>
      </w:r>
      <w:r>
        <w:rPr>
          <w:spacing w:val="-6"/>
          <w:sz w:val="20"/>
        </w:rPr>
        <w:t>Test</w:t>
      </w:r>
      <w:r>
        <w:rPr>
          <w:spacing w:val="-8"/>
          <w:sz w:val="20"/>
        </w:rPr>
        <w:t> </w:t>
      </w:r>
      <w:r>
        <w:rPr>
          <w:sz w:val="20"/>
        </w:rPr>
        <w:t>results are measured at 655</w:t>
      </w:r>
      <w:r>
        <w:rPr>
          <w:spacing w:val="-14"/>
          <w:sz w:val="20"/>
        </w:rPr>
        <w:t> </w:t>
      </w:r>
      <w:r>
        <w:rPr>
          <w:sz w:val="20"/>
        </w:rPr>
        <w:t>nm.</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r>
        <w:rPr/>
        <w:pict>
          <v:group style="position:absolute;margin-left:35.715pt;margin-top:11.841551pt;width:505.15pt;height:1.05pt;mso-position-horizontal-relative:page;mso-position-vertical-relative:paragraph;z-index:10720;mso-wrap-distance-left:0;mso-wrap-distance-right:0" coordorigin="714,237" coordsize="10103,21">
            <v:line style="position:absolute" from="725,247" to="725,247" stroked="true" strokeweight="1.02pt" strokecolor="#000000"/>
            <v:line style="position:absolute" from="725,247" to="10806,247" stroked="true" strokeweight="1.02pt" strokecolor="#000000"/>
            <w10:wrap type="topAndBottom"/>
          </v:group>
        </w:pict>
      </w:r>
    </w:p>
    <w:p>
      <w:pPr>
        <w:spacing w:line="207" w:lineRule="exact" w:before="0"/>
        <w:ind w:left="124" w:right="22" w:firstLine="0"/>
        <w:jc w:val="left"/>
        <w:rPr>
          <w:b/>
          <w:sz w:val="20"/>
        </w:rPr>
      </w:pPr>
      <w:r>
        <w:rPr>
          <w:b/>
          <w:sz w:val="20"/>
        </w:rPr>
        <w:t>Nitrogen, Ammonia</w:t>
      </w:r>
    </w:p>
    <w:p>
      <w:pPr>
        <w:tabs>
          <w:tab w:pos="7694" w:val="left" w:leader="none"/>
        </w:tabs>
        <w:spacing w:before="10"/>
        <w:ind w:left="124" w:right="22" w:firstLine="0"/>
        <w:jc w:val="left"/>
        <w:rPr>
          <w:sz w:val="14"/>
        </w:rPr>
      </w:pPr>
      <w:r>
        <w:rPr>
          <w:b/>
          <w:sz w:val="20"/>
        </w:rPr>
        <w:t>Page 4</w:t>
      </w:r>
      <w:r>
        <w:rPr>
          <w:b/>
          <w:spacing w:val="-5"/>
          <w:sz w:val="20"/>
        </w:rPr>
        <w:t> </w:t>
      </w:r>
      <w:r>
        <w:rPr>
          <w:b/>
          <w:sz w:val="20"/>
        </w:rPr>
        <w:t>of</w:t>
      </w:r>
      <w:r>
        <w:rPr>
          <w:b/>
          <w:spacing w:val="-3"/>
          <w:sz w:val="20"/>
        </w:rPr>
        <w:t> </w:t>
      </w:r>
      <w:r>
        <w:rPr>
          <w:b/>
          <w:sz w:val="20"/>
        </w:rPr>
        <w:t>6</w:t>
        <w:tab/>
      </w:r>
      <w:r>
        <w:rPr>
          <w:sz w:val="14"/>
        </w:rPr>
        <w:t>NitrogenAmm_10031_TNT_HR_SAL.fm</w:t>
      </w:r>
    </w:p>
    <w:p>
      <w:pPr>
        <w:spacing w:after="0"/>
        <w:jc w:val="left"/>
        <w:rPr>
          <w:sz w:val="14"/>
        </w:rPr>
        <w:sectPr>
          <w:headerReference w:type="default" r:id="rId166"/>
          <w:footerReference w:type="default" r:id="rId167"/>
          <w:pgSz w:w="11900" w:h="15840"/>
          <w:pgMar w:header="0" w:footer="0" w:top="240" w:bottom="0" w:left="600" w:right="940"/>
        </w:sectPr>
      </w:pPr>
    </w:p>
    <w:p>
      <w:pPr>
        <w:pStyle w:val="Heading4"/>
        <w:ind w:left="4705"/>
      </w:pPr>
      <w:r>
        <w:rPr/>
        <w:pict>
          <v:group style="position:absolute;margin-left:53.775002pt;margin-top:21.080879pt;width:505.05pt;height:1.05pt;mso-position-horizontal-relative:page;mso-position-vertical-relative:paragraph;z-index:10744;mso-wrap-distance-left:0;mso-wrap-distance-right:0" coordorigin="1076,422" coordsize="10101,21">
            <v:line style="position:absolute" from="1086,432" to="1086,432" stroked="true" strokeweight="1.02pt" strokecolor="#000000"/>
            <v:line style="position:absolute" from="1086,432" to="11166,432" stroked="true" strokeweight="1.02pt" strokecolor="#000000"/>
            <w10:wrap type="topAndBottom"/>
          </v:group>
        </w:pict>
      </w:r>
      <w:r>
        <w:rPr/>
        <w:t>Nitrogen, Ammonia HR (0.4 to 50.0 mg/L NH</w:t>
      </w:r>
      <w:r>
        <w:rPr>
          <w:position w:val="-5"/>
          <w:sz w:val="19"/>
        </w:rPr>
        <w:t>3</w:t>
      </w:r>
      <w:r>
        <w:rPr/>
        <w:t>–N)</w:t>
      </w:r>
    </w:p>
    <w:p>
      <w:pPr>
        <w:pStyle w:val="BodyText"/>
        <w:spacing w:before="8"/>
        <w:rPr>
          <w:b/>
          <w:sz w:val="19"/>
        </w:rPr>
      </w:pPr>
    </w:p>
    <w:p>
      <w:pPr>
        <w:spacing w:before="64"/>
        <w:ind w:left="125" w:right="101" w:firstLine="0"/>
        <w:jc w:val="left"/>
        <w:rPr>
          <w:b/>
          <w:sz w:val="28"/>
        </w:rPr>
      </w:pPr>
      <w:r>
        <w:rPr>
          <w:b/>
          <w:sz w:val="28"/>
        </w:rPr>
        <w:t>Consumables and Replacement Items</w:t>
      </w:r>
    </w:p>
    <w:p>
      <w:pPr>
        <w:spacing w:before="220"/>
        <w:ind w:left="125" w:right="101" w:firstLine="0"/>
        <w:jc w:val="left"/>
        <w:rPr>
          <w:b/>
          <w:sz w:val="20"/>
        </w:rPr>
      </w:pPr>
      <w:r>
        <w:rPr>
          <w:b/>
          <w:sz w:val="20"/>
        </w:rPr>
        <w:t>Required Reagents</w:t>
      </w:r>
    </w:p>
    <w:p>
      <w:pPr>
        <w:pStyle w:val="BodyText"/>
        <w:spacing w:before="7"/>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701"/>
        <w:gridCol w:w="1985"/>
        <w:gridCol w:w="1419"/>
      </w:tblGrid>
      <w:tr>
        <w:trPr>
          <w:trHeight w:val="380" w:hRule="exact"/>
        </w:trPr>
        <w:tc>
          <w:tcPr>
            <w:tcW w:w="6701"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1985" w:type="dxa"/>
            <w:tcBorders>
              <w:left w:val="nil"/>
              <w:bottom w:val="single" w:sz="2" w:space="0" w:color="000000"/>
              <w:right w:val="nil"/>
            </w:tcBorders>
          </w:tcPr>
          <w:p>
            <w:pPr>
              <w:pStyle w:val="TableParagraph"/>
              <w:spacing w:before="66"/>
              <w:ind w:right="441"/>
              <w:rPr>
                <w:rFonts w:ascii="Arial"/>
                <w:b/>
                <w:sz w:val="18"/>
              </w:rPr>
            </w:pPr>
            <w:r>
              <w:rPr>
                <w:rFonts w:ascii="Arial"/>
                <w:b/>
                <w:sz w:val="18"/>
              </w:rPr>
              <w:t>Unit</w:t>
            </w:r>
          </w:p>
        </w:tc>
        <w:tc>
          <w:tcPr>
            <w:tcW w:w="1419" w:type="dxa"/>
            <w:tcBorders>
              <w:left w:val="nil"/>
              <w:bottom w:val="single" w:sz="2" w:space="0" w:color="000000"/>
              <w:right w:val="single" w:sz="2" w:space="0" w:color="000000"/>
            </w:tcBorders>
          </w:tcPr>
          <w:p>
            <w:pPr>
              <w:pStyle w:val="TableParagraph"/>
              <w:spacing w:before="66"/>
              <w:ind w:left="343" w:right="0"/>
              <w:jc w:val="left"/>
              <w:rPr>
                <w:rFonts w:ascii="Arial"/>
                <w:b/>
                <w:sz w:val="18"/>
              </w:rPr>
            </w:pPr>
            <w:r>
              <w:rPr>
                <w:rFonts w:ascii="Arial"/>
                <w:b/>
                <w:sz w:val="18"/>
              </w:rPr>
              <w:t>Cat. No.</w:t>
            </w:r>
          </w:p>
        </w:tc>
      </w:tr>
      <w:tr>
        <w:trPr>
          <w:trHeight w:val="300" w:hRule="exact"/>
        </w:trPr>
        <w:tc>
          <w:tcPr>
            <w:tcW w:w="6701" w:type="dxa"/>
            <w:tcBorders>
              <w:top w:val="single" w:sz="2" w:space="0" w:color="000000"/>
              <w:left w:val="single" w:sz="2" w:space="0" w:color="000000"/>
              <w:right w:val="nil"/>
            </w:tcBorders>
            <w:shd w:val="clear" w:color="auto" w:fill="E6E6FF"/>
          </w:tcPr>
          <w:p>
            <w:pPr>
              <w:pStyle w:val="TableParagraph"/>
              <w:spacing w:before="29"/>
              <w:ind w:left="77" w:right="0"/>
              <w:jc w:val="left"/>
              <w:rPr>
                <w:rFonts w:ascii="Arial" w:hAnsi="Arial"/>
                <w:sz w:val="18"/>
              </w:rPr>
            </w:pPr>
            <w:r>
              <w:rPr>
                <w:rFonts w:ascii="Arial" w:hAnsi="Arial"/>
                <w:sz w:val="18"/>
              </w:rPr>
              <w:t>Reagent Set, High Range Test ‘N Tube™ AmVer™ Nitrogen Ammonia</w:t>
            </w:r>
          </w:p>
        </w:tc>
        <w:tc>
          <w:tcPr>
            <w:tcW w:w="1985" w:type="dxa"/>
            <w:tcBorders>
              <w:top w:val="single" w:sz="2" w:space="0" w:color="000000"/>
              <w:left w:val="nil"/>
              <w:right w:val="nil"/>
            </w:tcBorders>
            <w:shd w:val="clear" w:color="auto" w:fill="E6E6FF"/>
          </w:tcPr>
          <w:p>
            <w:pPr>
              <w:pStyle w:val="TableParagraph"/>
              <w:spacing w:before="29"/>
              <w:ind w:right="301"/>
              <w:rPr>
                <w:rFonts w:ascii="Arial"/>
                <w:sz w:val="18"/>
              </w:rPr>
            </w:pPr>
            <w:r>
              <w:rPr>
                <w:rFonts w:ascii="Arial"/>
                <w:sz w:val="18"/>
              </w:rPr>
              <w:t>50 tests</w:t>
            </w:r>
          </w:p>
        </w:tc>
        <w:tc>
          <w:tcPr>
            <w:tcW w:w="1419" w:type="dxa"/>
            <w:tcBorders>
              <w:top w:val="single" w:sz="2" w:space="0" w:color="000000"/>
              <w:left w:val="nil"/>
              <w:right w:val="single" w:sz="2" w:space="0" w:color="000000"/>
            </w:tcBorders>
            <w:shd w:val="clear" w:color="auto" w:fill="E6E6FF"/>
          </w:tcPr>
          <w:p>
            <w:pPr>
              <w:pStyle w:val="TableParagraph"/>
              <w:spacing w:before="29"/>
              <w:ind w:left="303" w:right="0"/>
              <w:jc w:val="left"/>
              <w:rPr>
                <w:rFonts w:ascii="Arial"/>
                <w:sz w:val="18"/>
              </w:rPr>
            </w:pPr>
            <w:r>
              <w:rPr>
                <w:rFonts w:ascii="Arial"/>
                <w:sz w:val="18"/>
              </w:rPr>
              <w:t>26069-45</w:t>
            </w:r>
          </w:p>
        </w:tc>
      </w:tr>
    </w:tbl>
    <w:p>
      <w:pPr>
        <w:pStyle w:val="BodyText"/>
        <w:spacing w:before="3"/>
        <w:rPr>
          <w:b/>
          <w:sz w:val="9"/>
        </w:rPr>
      </w:pPr>
    </w:p>
    <w:p>
      <w:pPr>
        <w:spacing w:before="74"/>
        <w:ind w:left="125" w:right="101" w:firstLine="0"/>
        <w:jc w:val="left"/>
        <w:rPr>
          <w:b/>
          <w:sz w:val="20"/>
        </w:rPr>
      </w:pPr>
      <w:r>
        <w:rPr>
          <w:b/>
          <w:sz w:val="20"/>
        </w:rPr>
        <w:t>Required Apparatus</w:t>
      </w:r>
    </w:p>
    <w:p>
      <w:pPr>
        <w:pStyle w:val="BodyText"/>
        <w:spacing w:before="8"/>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51"/>
        <w:gridCol w:w="3096"/>
        <w:gridCol w:w="1433"/>
      </w:tblGrid>
      <w:tr>
        <w:trPr>
          <w:trHeight w:val="379" w:hRule="exact"/>
        </w:trPr>
        <w:tc>
          <w:tcPr>
            <w:tcW w:w="5551"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3096" w:type="dxa"/>
            <w:tcBorders>
              <w:left w:val="nil"/>
              <w:bottom w:val="single" w:sz="2" w:space="0" w:color="000000"/>
              <w:right w:val="nil"/>
            </w:tcBorders>
          </w:tcPr>
          <w:p>
            <w:pPr>
              <w:pStyle w:val="TableParagraph"/>
              <w:spacing w:before="66"/>
              <w:ind w:left="2217" w:right="298"/>
              <w:jc w:val="center"/>
              <w:rPr>
                <w:rFonts w:ascii="Arial"/>
                <w:b/>
                <w:sz w:val="18"/>
              </w:rPr>
            </w:pPr>
            <w:r>
              <w:rPr>
                <w:rFonts w:ascii="Arial"/>
                <w:b/>
                <w:sz w:val="18"/>
              </w:rPr>
              <w:t>Unit</w:t>
            </w:r>
          </w:p>
        </w:tc>
        <w:tc>
          <w:tcPr>
            <w:tcW w:w="1433" w:type="dxa"/>
            <w:tcBorders>
              <w:left w:val="nil"/>
              <w:bottom w:val="single" w:sz="2" w:space="0" w:color="000000"/>
              <w:right w:val="single" w:sz="2" w:space="0" w:color="000000"/>
            </w:tcBorders>
          </w:tcPr>
          <w:p>
            <w:pPr>
              <w:pStyle w:val="TableParagraph"/>
              <w:spacing w:before="66"/>
              <w:ind w:left="359" w:right="0"/>
              <w:jc w:val="left"/>
              <w:rPr>
                <w:rFonts w:ascii="Arial"/>
                <w:b/>
                <w:sz w:val="18"/>
              </w:rPr>
            </w:pPr>
            <w:r>
              <w:rPr>
                <w:rFonts w:ascii="Arial"/>
                <w:b/>
                <w:sz w:val="18"/>
              </w:rPr>
              <w:t>Cat. No.</w:t>
            </w:r>
          </w:p>
        </w:tc>
      </w:tr>
      <w:tr>
        <w:trPr>
          <w:trHeight w:val="300" w:hRule="exact"/>
        </w:trPr>
        <w:tc>
          <w:tcPr>
            <w:tcW w:w="5551"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Funnel, micro (for adding reagent)</w:t>
            </w:r>
          </w:p>
        </w:tc>
        <w:tc>
          <w:tcPr>
            <w:tcW w:w="3096" w:type="dxa"/>
            <w:tcBorders>
              <w:top w:val="single" w:sz="2" w:space="0" w:color="000000"/>
              <w:left w:val="nil"/>
              <w:bottom w:val="nil"/>
              <w:right w:val="nil"/>
            </w:tcBorders>
            <w:shd w:val="clear" w:color="auto" w:fill="E6E6FF"/>
          </w:tcPr>
          <w:p>
            <w:pPr>
              <w:pStyle w:val="TableParagraph"/>
              <w:spacing w:before="29"/>
              <w:ind w:left="2214" w:right="298"/>
              <w:jc w:val="center"/>
              <w:rPr>
                <w:rFonts w:ascii="Arial"/>
                <w:sz w:val="18"/>
              </w:rPr>
            </w:pPr>
            <w:r>
              <w:rPr>
                <w:rFonts w:ascii="Arial"/>
                <w:sz w:val="18"/>
              </w:rPr>
              <w:t>each</w:t>
            </w:r>
          </w:p>
        </w:tc>
        <w:tc>
          <w:tcPr>
            <w:tcW w:w="1433" w:type="dxa"/>
            <w:tcBorders>
              <w:top w:val="single" w:sz="2" w:space="0" w:color="000000"/>
              <w:left w:val="nil"/>
              <w:bottom w:val="nil"/>
              <w:right w:val="single" w:sz="2" w:space="0" w:color="000000"/>
            </w:tcBorders>
            <w:shd w:val="clear" w:color="auto" w:fill="E6E6FF"/>
          </w:tcPr>
          <w:p>
            <w:pPr>
              <w:pStyle w:val="TableParagraph"/>
              <w:spacing w:before="29"/>
              <w:ind w:left="318" w:right="0"/>
              <w:jc w:val="left"/>
              <w:rPr>
                <w:rFonts w:ascii="Arial"/>
                <w:sz w:val="18"/>
              </w:rPr>
            </w:pPr>
            <w:r>
              <w:rPr>
                <w:rFonts w:ascii="Arial"/>
                <w:sz w:val="18"/>
              </w:rPr>
              <w:t>25843-35</w:t>
            </w:r>
          </w:p>
        </w:tc>
      </w:tr>
      <w:tr>
        <w:trPr>
          <w:trHeight w:val="300" w:hRule="exact"/>
        </w:trPr>
        <w:tc>
          <w:tcPr>
            <w:tcW w:w="5551" w:type="dxa"/>
            <w:tcBorders>
              <w:top w:val="nil"/>
              <w:left w:val="single" w:sz="2" w:space="0" w:color="000000"/>
              <w:bottom w:val="nil"/>
              <w:right w:val="nil"/>
            </w:tcBorders>
          </w:tcPr>
          <w:p>
            <w:pPr>
              <w:pStyle w:val="TableParagraph"/>
              <w:spacing w:before="19"/>
              <w:ind w:left="77" w:right="0"/>
              <w:jc w:val="left"/>
              <w:rPr>
                <w:rFonts w:ascii="Arial" w:hAnsi="Arial"/>
                <w:sz w:val="18"/>
              </w:rPr>
            </w:pPr>
            <w:r>
              <w:rPr>
                <w:rFonts w:ascii="Arial" w:hAnsi="Arial"/>
                <w:sz w:val="18"/>
              </w:rPr>
              <w:t>Pipet, TenSette</w:t>
            </w:r>
            <w:r>
              <w:rPr>
                <w:rFonts w:ascii="Arial" w:hAnsi="Arial"/>
                <w:position w:val="5"/>
                <w:sz w:val="14"/>
              </w:rPr>
              <w:t>®</w:t>
            </w:r>
            <w:r>
              <w:rPr>
                <w:rFonts w:ascii="Arial" w:hAnsi="Arial"/>
                <w:sz w:val="18"/>
              </w:rPr>
              <w:t>, 0.1 to 1.0 mL</w:t>
            </w:r>
          </w:p>
        </w:tc>
        <w:tc>
          <w:tcPr>
            <w:tcW w:w="3096" w:type="dxa"/>
            <w:tcBorders>
              <w:top w:val="nil"/>
              <w:left w:val="nil"/>
              <w:bottom w:val="nil"/>
              <w:right w:val="nil"/>
            </w:tcBorders>
          </w:tcPr>
          <w:p>
            <w:pPr>
              <w:pStyle w:val="TableParagraph"/>
              <w:spacing w:before="31"/>
              <w:ind w:left="2213" w:right="298"/>
              <w:jc w:val="center"/>
              <w:rPr>
                <w:rFonts w:ascii="Arial"/>
                <w:sz w:val="18"/>
              </w:rPr>
            </w:pPr>
            <w:r>
              <w:rPr>
                <w:rFonts w:ascii="Arial"/>
                <w:sz w:val="18"/>
              </w:rPr>
              <w:t>each</w:t>
            </w:r>
          </w:p>
        </w:tc>
        <w:tc>
          <w:tcPr>
            <w:tcW w:w="1433" w:type="dxa"/>
            <w:tcBorders>
              <w:top w:val="nil"/>
              <w:left w:val="nil"/>
              <w:bottom w:val="nil"/>
              <w:right w:val="single" w:sz="2" w:space="0" w:color="000000"/>
            </w:tcBorders>
          </w:tcPr>
          <w:p>
            <w:pPr>
              <w:pStyle w:val="TableParagraph"/>
              <w:spacing w:before="31"/>
              <w:ind w:left="318" w:right="0"/>
              <w:jc w:val="left"/>
              <w:rPr>
                <w:rFonts w:ascii="Arial"/>
                <w:sz w:val="18"/>
              </w:rPr>
            </w:pPr>
            <w:r>
              <w:rPr>
                <w:rFonts w:ascii="Arial"/>
                <w:sz w:val="18"/>
              </w:rPr>
              <w:t>19700-01</w:t>
            </w:r>
          </w:p>
        </w:tc>
      </w:tr>
      <w:tr>
        <w:trPr>
          <w:trHeight w:val="300" w:hRule="exact"/>
        </w:trPr>
        <w:tc>
          <w:tcPr>
            <w:tcW w:w="5551" w:type="dxa"/>
            <w:tcBorders>
              <w:top w:val="nil"/>
              <w:left w:val="single" w:sz="2" w:space="0" w:color="000000"/>
              <w:bottom w:val="single" w:sz="2" w:space="0" w:color="000000"/>
              <w:right w:val="nil"/>
            </w:tcBorders>
            <w:shd w:val="clear" w:color="auto" w:fill="E6E6FF"/>
          </w:tcPr>
          <w:p>
            <w:pPr>
              <w:pStyle w:val="TableParagraph"/>
              <w:spacing w:before="19"/>
              <w:ind w:left="77" w:right="0"/>
              <w:jc w:val="left"/>
              <w:rPr>
                <w:rFonts w:ascii="Arial" w:hAnsi="Arial"/>
                <w:sz w:val="18"/>
              </w:rPr>
            </w:pPr>
            <w:r>
              <w:rPr>
                <w:rFonts w:ascii="Arial" w:hAnsi="Arial"/>
                <w:sz w:val="18"/>
              </w:rPr>
              <w:t>Pipet Tips, for TenSette</w:t>
            </w:r>
            <w:r>
              <w:rPr>
                <w:rFonts w:ascii="Arial" w:hAnsi="Arial"/>
                <w:position w:val="5"/>
                <w:sz w:val="14"/>
              </w:rPr>
              <w:t>® </w:t>
            </w:r>
            <w:r>
              <w:rPr>
                <w:rFonts w:ascii="Arial" w:hAnsi="Arial"/>
                <w:sz w:val="18"/>
              </w:rPr>
              <w:t>Pipet 19700-01</w:t>
            </w:r>
          </w:p>
        </w:tc>
        <w:tc>
          <w:tcPr>
            <w:tcW w:w="3096" w:type="dxa"/>
            <w:tcBorders>
              <w:top w:val="nil"/>
              <w:left w:val="nil"/>
              <w:bottom w:val="single" w:sz="2" w:space="0" w:color="000000"/>
              <w:right w:val="nil"/>
            </w:tcBorders>
            <w:shd w:val="clear" w:color="auto" w:fill="E6E6FF"/>
          </w:tcPr>
          <w:p>
            <w:pPr>
              <w:pStyle w:val="TableParagraph"/>
              <w:spacing w:before="31"/>
              <w:ind w:left="2217" w:right="298"/>
              <w:jc w:val="center"/>
              <w:rPr>
                <w:rFonts w:ascii="Arial"/>
                <w:sz w:val="18"/>
              </w:rPr>
            </w:pPr>
            <w:r>
              <w:rPr>
                <w:rFonts w:ascii="Arial"/>
                <w:sz w:val="18"/>
              </w:rPr>
              <w:t>50/pkg</w:t>
            </w:r>
          </w:p>
        </w:tc>
        <w:tc>
          <w:tcPr>
            <w:tcW w:w="1433" w:type="dxa"/>
            <w:tcBorders>
              <w:top w:val="nil"/>
              <w:left w:val="nil"/>
              <w:bottom w:val="single" w:sz="2" w:space="0" w:color="000000"/>
              <w:right w:val="single" w:sz="2" w:space="0" w:color="000000"/>
            </w:tcBorders>
            <w:shd w:val="clear" w:color="auto" w:fill="E6E6FF"/>
          </w:tcPr>
          <w:p>
            <w:pPr>
              <w:pStyle w:val="TableParagraph"/>
              <w:spacing w:before="31"/>
              <w:ind w:left="318" w:right="0"/>
              <w:jc w:val="left"/>
              <w:rPr>
                <w:rFonts w:ascii="Arial"/>
                <w:sz w:val="18"/>
              </w:rPr>
            </w:pPr>
            <w:r>
              <w:rPr>
                <w:rFonts w:ascii="Arial"/>
                <w:sz w:val="18"/>
              </w:rPr>
              <w:t>21856-96</w:t>
            </w:r>
          </w:p>
        </w:tc>
      </w:tr>
    </w:tbl>
    <w:p>
      <w:pPr>
        <w:pStyle w:val="BodyText"/>
        <w:spacing w:before="5"/>
        <w:rPr>
          <w:b/>
          <w:sz w:val="9"/>
        </w:rPr>
      </w:pPr>
    </w:p>
    <w:p>
      <w:pPr>
        <w:spacing w:before="74"/>
        <w:ind w:left="125" w:right="101" w:firstLine="0"/>
        <w:jc w:val="left"/>
        <w:rPr>
          <w:b/>
          <w:sz w:val="20"/>
        </w:rPr>
      </w:pPr>
      <w:r>
        <w:rPr>
          <w:b/>
          <w:sz w:val="20"/>
        </w:rPr>
        <w:t>Recommended Standards and Apparatus</w:t>
      </w:r>
    </w:p>
    <w:p>
      <w:pPr>
        <w:pStyle w:val="BodyText"/>
        <w:spacing w:before="8"/>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247"/>
        <w:gridCol w:w="1442"/>
        <w:gridCol w:w="1391"/>
      </w:tblGrid>
      <w:tr>
        <w:trPr>
          <w:trHeight w:val="379" w:hRule="exact"/>
        </w:trPr>
        <w:tc>
          <w:tcPr>
            <w:tcW w:w="7247"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1442" w:type="dxa"/>
            <w:tcBorders>
              <w:left w:val="nil"/>
              <w:bottom w:val="single" w:sz="2" w:space="0" w:color="000000"/>
              <w:right w:val="nil"/>
            </w:tcBorders>
          </w:tcPr>
          <w:p>
            <w:pPr>
              <w:pStyle w:val="TableParagraph"/>
              <w:spacing w:before="66"/>
              <w:ind w:left="625" w:right="0"/>
              <w:jc w:val="left"/>
              <w:rPr>
                <w:rFonts w:ascii="Arial"/>
                <w:b/>
                <w:sz w:val="18"/>
              </w:rPr>
            </w:pPr>
            <w:r>
              <w:rPr>
                <w:rFonts w:ascii="Arial"/>
                <w:b/>
                <w:sz w:val="18"/>
              </w:rPr>
              <w:t>Unit</w:t>
            </w:r>
          </w:p>
        </w:tc>
        <w:tc>
          <w:tcPr>
            <w:tcW w:w="1391" w:type="dxa"/>
            <w:tcBorders>
              <w:left w:val="nil"/>
              <w:bottom w:val="single" w:sz="2" w:space="0" w:color="000000"/>
              <w:right w:val="single" w:sz="2" w:space="0" w:color="000000"/>
            </w:tcBorders>
          </w:tcPr>
          <w:p>
            <w:pPr>
              <w:pStyle w:val="TableParagraph"/>
              <w:spacing w:before="66"/>
              <w:ind w:left="312" w:right="0"/>
              <w:jc w:val="left"/>
              <w:rPr>
                <w:rFonts w:ascii="Arial"/>
                <w:b/>
                <w:sz w:val="18"/>
              </w:rPr>
            </w:pPr>
            <w:r>
              <w:rPr>
                <w:rFonts w:ascii="Arial"/>
                <w:b/>
                <w:sz w:val="18"/>
              </w:rPr>
              <w:t>Cat. No.</w:t>
            </w:r>
          </w:p>
        </w:tc>
      </w:tr>
      <w:tr>
        <w:trPr>
          <w:trHeight w:val="300" w:hRule="exact"/>
        </w:trPr>
        <w:tc>
          <w:tcPr>
            <w:tcW w:w="7247"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hAnsi="Arial"/>
                <w:sz w:val="18"/>
              </w:rPr>
            </w:pPr>
            <w:r>
              <w:rPr>
                <w:rFonts w:ascii="Arial" w:hAnsi="Arial"/>
                <w:sz w:val="18"/>
              </w:rPr>
              <w:t>Nitrogen Ammonia Standard Solution, 10-mg/L NH</w:t>
            </w:r>
            <w:r>
              <w:rPr>
                <w:rFonts w:ascii="Arial" w:hAnsi="Arial"/>
                <w:position w:val="-3"/>
                <w:sz w:val="14"/>
              </w:rPr>
              <w:t>3</w:t>
            </w:r>
            <w:r>
              <w:rPr>
                <w:rFonts w:ascii="Arial" w:hAnsi="Arial"/>
                <w:sz w:val="18"/>
              </w:rPr>
              <w:t>–N</w:t>
            </w:r>
          </w:p>
        </w:tc>
        <w:tc>
          <w:tcPr>
            <w:tcW w:w="1442" w:type="dxa"/>
            <w:tcBorders>
              <w:top w:val="single" w:sz="2" w:space="0" w:color="000000"/>
              <w:left w:val="nil"/>
              <w:bottom w:val="nil"/>
              <w:right w:val="nil"/>
            </w:tcBorders>
            <w:shd w:val="clear" w:color="auto" w:fill="E6E6FF"/>
          </w:tcPr>
          <w:p>
            <w:pPr>
              <w:pStyle w:val="TableParagraph"/>
              <w:spacing w:before="29"/>
              <w:ind w:left="500" w:right="0"/>
              <w:jc w:val="left"/>
              <w:rPr>
                <w:rFonts w:ascii="Arial"/>
                <w:sz w:val="18"/>
              </w:rPr>
            </w:pPr>
            <w:r>
              <w:rPr>
                <w:rFonts w:ascii="Arial"/>
                <w:sz w:val="18"/>
              </w:rPr>
              <w:t>500 mL</w:t>
            </w:r>
          </w:p>
        </w:tc>
        <w:tc>
          <w:tcPr>
            <w:tcW w:w="1391" w:type="dxa"/>
            <w:tcBorders>
              <w:top w:val="single" w:sz="2" w:space="0" w:color="000000"/>
              <w:left w:val="nil"/>
              <w:bottom w:val="nil"/>
              <w:right w:val="single" w:sz="2" w:space="0" w:color="000000"/>
            </w:tcBorders>
            <w:shd w:val="clear" w:color="auto" w:fill="E6E6FF"/>
          </w:tcPr>
          <w:p>
            <w:pPr>
              <w:pStyle w:val="TableParagraph"/>
              <w:spacing w:before="29"/>
              <w:ind w:left="372" w:right="0"/>
              <w:jc w:val="left"/>
              <w:rPr>
                <w:rFonts w:ascii="Arial"/>
                <w:sz w:val="18"/>
              </w:rPr>
            </w:pPr>
            <w:r>
              <w:rPr>
                <w:rFonts w:ascii="Arial"/>
                <w:sz w:val="18"/>
              </w:rPr>
              <w:t>153-49</w:t>
            </w:r>
          </w:p>
        </w:tc>
      </w:tr>
      <w:tr>
        <w:trPr>
          <w:trHeight w:val="300" w:hRule="exact"/>
        </w:trPr>
        <w:tc>
          <w:tcPr>
            <w:tcW w:w="7247" w:type="dxa"/>
            <w:tcBorders>
              <w:top w:val="nil"/>
              <w:left w:val="single" w:sz="2" w:space="0" w:color="000000"/>
              <w:bottom w:val="nil"/>
              <w:right w:val="nil"/>
            </w:tcBorders>
          </w:tcPr>
          <w:p>
            <w:pPr>
              <w:pStyle w:val="TableParagraph"/>
              <w:spacing w:before="31"/>
              <w:ind w:left="78" w:right="0"/>
              <w:jc w:val="left"/>
              <w:rPr>
                <w:rFonts w:ascii="Arial" w:hAnsi="Arial"/>
                <w:sz w:val="18"/>
              </w:rPr>
            </w:pPr>
            <w:r>
              <w:rPr>
                <w:rFonts w:ascii="Arial" w:hAnsi="Arial"/>
                <w:sz w:val="18"/>
              </w:rPr>
              <w:t>Nitrogen Ammonia Standard Solution, 100-mg/L NH</w:t>
            </w:r>
            <w:r>
              <w:rPr>
                <w:rFonts w:ascii="Arial" w:hAnsi="Arial"/>
                <w:position w:val="-3"/>
                <w:sz w:val="14"/>
              </w:rPr>
              <w:t>3</w:t>
            </w:r>
            <w:r>
              <w:rPr>
                <w:rFonts w:ascii="Arial" w:hAnsi="Arial"/>
                <w:sz w:val="18"/>
              </w:rPr>
              <w:t>–N</w:t>
            </w:r>
          </w:p>
        </w:tc>
        <w:tc>
          <w:tcPr>
            <w:tcW w:w="1442" w:type="dxa"/>
            <w:tcBorders>
              <w:top w:val="nil"/>
              <w:left w:val="nil"/>
              <w:bottom w:val="nil"/>
              <w:right w:val="nil"/>
            </w:tcBorders>
          </w:tcPr>
          <w:p>
            <w:pPr>
              <w:pStyle w:val="TableParagraph"/>
              <w:spacing w:before="31"/>
              <w:ind w:left="500" w:right="0"/>
              <w:jc w:val="left"/>
              <w:rPr>
                <w:rFonts w:ascii="Arial"/>
                <w:sz w:val="18"/>
              </w:rPr>
            </w:pPr>
            <w:r>
              <w:rPr>
                <w:rFonts w:ascii="Arial"/>
                <w:sz w:val="18"/>
              </w:rPr>
              <w:t>500 mL</w:t>
            </w:r>
          </w:p>
        </w:tc>
        <w:tc>
          <w:tcPr>
            <w:tcW w:w="1391" w:type="dxa"/>
            <w:tcBorders>
              <w:top w:val="nil"/>
              <w:left w:val="nil"/>
              <w:bottom w:val="nil"/>
              <w:right w:val="single" w:sz="2" w:space="0" w:color="000000"/>
            </w:tcBorders>
          </w:tcPr>
          <w:p>
            <w:pPr>
              <w:pStyle w:val="TableParagraph"/>
              <w:spacing w:before="31"/>
              <w:ind w:left="272" w:right="0"/>
              <w:jc w:val="left"/>
              <w:rPr>
                <w:rFonts w:ascii="Arial"/>
                <w:sz w:val="18"/>
              </w:rPr>
            </w:pPr>
            <w:r>
              <w:rPr>
                <w:rFonts w:ascii="Arial"/>
                <w:sz w:val="18"/>
              </w:rPr>
              <w:t>24065-49</w:t>
            </w:r>
          </w:p>
        </w:tc>
      </w:tr>
      <w:tr>
        <w:trPr>
          <w:trHeight w:val="300" w:hRule="exact"/>
        </w:trPr>
        <w:tc>
          <w:tcPr>
            <w:tcW w:w="7247" w:type="dxa"/>
            <w:tcBorders>
              <w:top w:val="nil"/>
              <w:left w:val="single" w:sz="2" w:space="0" w:color="000000"/>
              <w:bottom w:val="nil"/>
              <w:right w:val="nil"/>
            </w:tcBorders>
            <w:shd w:val="clear" w:color="auto" w:fill="E6E6FF"/>
          </w:tcPr>
          <w:p>
            <w:pPr>
              <w:pStyle w:val="TableParagraph"/>
              <w:spacing w:before="19"/>
              <w:ind w:left="77" w:right="0"/>
              <w:jc w:val="left"/>
              <w:rPr>
                <w:rFonts w:ascii="Arial" w:hAnsi="Arial"/>
                <w:sz w:val="18"/>
              </w:rPr>
            </w:pPr>
            <w:r>
              <w:rPr>
                <w:rFonts w:ascii="Arial" w:hAnsi="Arial"/>
                <w:sz w:val="18"/>
              </w:rPr>
              <w:t>Nitrogen Ammonia Standard Solution, 150-mg/L NH</w:t>
            </w:r>
            <w:r>
              <w:rPr>
                <w:rFonts w:ascii="Arial" w:hAnsi="Arial"/>
                <w:position w:val="-3"/>
                <w:sz w:val="14"/>
              </w:rPr>
              <w:t>3</w:t>
            </w:r>
            <w:r>
              <w:rPr>
                <w:rFonts w:ascii="Arial" w:hAnsi="Arial"/>
                <w:sz w:val="18"/>
              </w:rPr>
              <w:t>–N, 10-mL PourRite</w:t>
            </w:r>
            <w:r>
              <w:rPr>
                <w:rFonts w:ascii="Arial" w:hAnsi="Arial"/>
                <w:position w:val="5"/>
                <w:sz w:val="14"/>
              </w:rPr>
              <w:t>® </w:t>
            </w:r>
            <w:r>
              <w:rPr>
                <w:rFonts w:ascii="Arial" w:hAnsi="Arial"/>
                <w:sz w:val="18"/>
              </w:rPr>
              <w:t>Ampules</w:t>
            </w:r>
          </w:p>
        </w:tc>
        <w:tc>
          <w:tcPr>
            <w:tcW w:w="1442" w:type="dxa"/>
            <w:tcBorders>
              <w:top w:val="nil"/>
              <w:left w:val="nil"/>
              <w:bottom w:val="nil"/>
              <w:right w:val="nil"/>
            </w:tcBorders>
            <w:shd w:val="clear" w:color="auto" w:fill="E6E6FF"/>
          </w:tcPr>
          <w:p>
            <w:pPr>
              <w:pStyle w:val="TableParagraph"/>
              <w:spacing w:before="31"/>
              <w:ind w:left="530" w:right="0"/>
              <w:jc w:val="left"/>
              <w:rPr>
                <w:rFonts w:ascii="Arial"/>
                <w:sz w:val="18"/>
              </w:rPr>
            </w:pPr>
            <w:r>
              <w:rPr>
                <w:rFonts w:ascii="Arial"/>
                <w:sz w:val="18"/>
              </w:rPr>
              <w:t>16/pkg</w:t>
            </w:r>
          </w:p>
        </w:tc>
        <w:tc>
          <w:tcPr>
            <w:tcW w:w="1391" w:type="dxa"/>
            <w:tcBorders>
              <w:top w:val="nil"/>
              <w:left w:val="nil"/>
              <w:bottom w:val="nil"/>
              <w:right w:val="single" w:sz="2" w:space="0" w:color="000000"/>
            </w:tcBorders>
            <w:shd w:val="clear" w:color="auto" w:fill="E6E6FF"/>
          </w:tcPr>
          <w:p>
            <w:pPr>
              <w:pStyle w:val="TableParagraph"/>
              <w:spacing w:before="31"/>
              <w:ind w:left="272" w:right="0"/>
              <w:jc w:val="left"/>
              <w:rPr>
                <w:rFonts w:ascii="Arial"/>
                <w:sz w:val="18"/>
              </w:rPr>
            </w:pPr>
            <w:r>
              <w:rPr>
                <w:rFonts w:ascii="Arial"/>
                <w:sz w:val="18"/>
              </w:rPr>
              <w:t>21284-10</w:t>
            </w:r>
          </w:p>
        </w:tc>
      </w:tr>
      <w:tr>
        <w:trPr>
          <w:trHeight w:val="300" w:hRule="exact"/>
        </w:trPr>
        <w:tc>
          <w:tcPr>
            <w:tcW w:w="7247" w:type="dxa"/>
            <w:tcBorders>
              <w:top w:val="nil"/>
              <w:left w:val="single" w:sz="2" w:space="0" w:color="000000"/>
              <w:bottom w:val="nil"/>
              <w:right w:val="nil"/>
            </w:tcBorders>
          </w:tcPr>
          <w:p>
            <w:pPr>
              <w:pStyle w:val="TableParagraph"/>
              <w:spacing w:before="19"/>
              <w:ind w:left="77" w:right="0"/>
              <w:jc w:val="left"/>
              <w:rPr>
                <w:rFonts w:ascii="Arial" w:hAnsi="Arial"/>
                <w:sz w:val="18"/>
              </w:rPr>
            </w:pPr>
            <w:r>
              <w:rPr>
                <w:rFonts w:ascii="Arial" w:hAnsi="Arial"/>
                <w:sz w:val="18"/>
              </w:rPr>
              <w:t>Nitrogen Ammonia Standard Solution, 50-mg/L NH</w:t>
            </w:r>
            <w:r>
              <w:rPr>
                <w:rFonts w:ascii="Arial" w:hAnsi="Arial"/>
                <w:position w:val="-3"/>
                <w:sz w:val="14"/>
              </w:rPr>
              <w:t>3</w:t>
            </w:r>
            <w:r>
              <w:rPr>
                <w:rFonts w:ascii="Arial" w:hAnsi="Arial"/>
                <w:sz w:val="18"/>
              </w:rPr>
              <w:t>–N, 10-mL Voluette</w:t>
            </w:r>
            <w:r>
              <w:rPr>
                <w:rFonts w:ascii="Arial" w:hAnsi="Arial"/>
                <w:position w:val="5"/>
                <w:sz w:val="14"/>
              </w:rPr>
              <w:t>® </w:t>
            </w:r>
            <w:r>
              <w:rPr>
                <w:rFonts w:ascii="Arial" w:hAnsi="Arial"/>
                <w:sz w:val="18"/>
              </w:rPr>
              <w:t>Ampules</w:t>
            </w:r>
          </w:p>
        </w:tc>
        <w:tc>
          <w:tcPr>
            <w:tcW w:w="1442" w:type="dxa"/>
            <w:tcBorders>
              <w:top w:val="nil"/>
              <w:left w:val="nil"/>
              <w:bottom w:val="nil"/>
              <w:right w:val="nil"/>
            </w:tcBorders>
          </w:tcPr>
          <w:p>
            <w:pPr>
              <w:pStyle w:val="TableParagraph"/>
              <w:spacing w:before="31"/>
              <w:ind w:left="530" w:right="0"/>
              <w:jc w:val="left"/>
              <w:rPr>
                <w:rFonts w:ascii="Arial"/>
                <w:sz w:val="18"/>
              </w:rPr>
            </w:pPr>
            <w:r>
              <w:rPr>
                <w:rFonts w:ascii="Arial"/>
                <w:sz w:val="18"/>
              </w:rPr>
              <w:t>16/pkg</w:t>
            </w:r>
          </w:p>
        </w:tc>
        <w:tc>
          <w:tcPr>
            <w:tcW w:w="1391" w:type="dxa"/>
            <w:tcBorders>
              <w:top w:val="nil"/>
              <w:left w:val="nil"/>
              <w:bottom w:val="nil"/>
              <w:right w:val="single" w:sz="2" w:space="0" w:color="000000"/>
            </w:tcBorders>
          </w:tcPr>
          <w:p>
            <w:pPr>
              <w:pStyle w:val="TableParagraph"/>
              <w:spacing w:before="31"/>
              <w:ind w:left="271" w:right="0"/>
              <w:jc w:val="left"/>
              <w:rPr>
                <w:rFonts w:ascii="Arial"/>
                <w:sz w:val="18"/>
              </w:rPr>
            </w:pPr>
            <w:r>
              <w:rPr>
                <w:rFonts w:ascii="Arial"/>
                <w:sz w:val="18"/>
              </w:rPr>
              <w:t>14791-10</w:t>
            </w:r>
          </w:p>
        </w:tc>
      </w:tr>
      <w:tr>
        <w:trPr>
          <w:trHeight w:val="300" w:hRule="exact"/>
        </w:trPr>
        <w:tc>
          <w:tcPr>
            <w:tcW w:w="7247"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Pipet Tips, for TenSette Pipet 19700-01</w:t>
            </w:r>
          </w:p>
        </w:tc>
        <w:tc>
          <w:tcPr>
            <w:tcW w:w="1442" w:type="dxa"/>
            <w:tcBorders>
              <w:top w:val="nil"/>
              <w:left w:val="nil"/>
              <w:bottom w:val="nil"/>
              <w:right w:val="nil"/>
            </w:tcBorders>
            <w:shd w:val="clear" w:color="auto" w:fill="E6E6FF"/>
          </w:tcPr>
          <w:p>
            <w:pPr>
              <w:pStyle w:val="TableParagraph"/>
              <w:spacing w:before="31"/>
              <w:ind w:left="430" w:right="0"/>
              <w:jc w:val="left"/>
              <w:rPr>
                <w:rFonts w:ascii="Arial"/>
                <w:sz w:val="18"/>
              </w:rPr>
            </w:pPr>
            <w:r>
              <w:rPr>
                <w:rFonts w:ascii="Arial"/>
                <w:sz w:val="18"/>
              </w:rPr>
              <w:t>1000/pkg</w:t>
            </w:r>
          </w:p>
        </w:tc>
        <w:tc>
          <w:tcPr>
            <w:tcW w:w="1391" w:type="dxa"/>
            <w:tcBorders>
              <w:top w:val="nil"/>
              <w:left w:val="nil"/>
              <w:bottom w:val="nil"/>
              <w:right w:val="single" w:sz="2" w:space="0" w:color="000000"/>
            </w:tcBorders>
            <w:shd w:val="clear" w:color="auto" w:fill="E6E6FF"/>
          </w:tcPr>
          <w:p>
            <w:pPr>
              <w:pStyle w:val="TableParagraph"/>
              <w:spacing w:before="31"/>
              <w:ind w:left="272" w:right="0"/>
              <w:jc w:val="left"/>
              <w:rPr>
                <w:rFonts w:ascii="Arial"/>
                <w:sz w:val="18"/>
              </w:rPr>
            </w:pPr>
            <w:r>
              <w:rPr>
                <w:rFonts w:ascii="Arial"/>
                <w:sz w:val="18"/>
              </w:rPr>
              <w:t>21856-28</w:t>
            </w:r>
          </w:p>
        </w:tc>
      </w:tr>
      <w:tr>
        <w:trPr>
          <w:trHeight w:val="300" w:hRule="exact"/>
        </w:trPr>
        <w:tc>
          <w:tcPr>
            <w:tcW w:w="7247" w:type="dxa"/>
            <w:tcBorders>
              <w:top w:val="nil"/>
              <w:left w:val="single" w:sz="2" w:space="0" w:color="000000"/>
              <w:bottom w:val="nil"/>
              <w:right w:val="nil"/>
            </w:tcBorders>
          </w:tcPr>
          <w:p>
            <w:pPr>
              <w:pStyle w:val="TableParagraph"/>
              <w:spacing w:before="31"/>
              <w:ind w:left="77" w:right="0"/>
              <w:jc w:val="left"/>
              <w:rPr>
                <w:rFonts w:ascii="Arial" w:hAnsi="Arial"/>
                <w:sz w:val="18"/>
              </w:rPr>
            </w:pPr>
            <w:r>
              <w:rPr>
                <w:rFonts w:ascii="Arial" w:hAnsi="Arial"/>
                <w:sz w:val="18"/>
              </w:rPr>
              <w:t>Wastewater, Effluent Inorganics Standard, for NH</w:t>
            </w:r>
            <w:r>
              <w:rPr>
                <w:rFonts w:ascii="Arial" w:hAnsi="Arial"/>
                <w:position w:val="-3"/>
                <w:sz w:val="14"/>
              </w:rPr>
              <w:t>3</w:t>
            </w:r>
            <w:r>
              <w:rPr>
                <w:rFonts w:ascii="Arial" w:hAnsi="Arial"/>
                <w:sz w:val="18"/>
              </w:rPr>
              <w:t>–N, NO</w:t>
            </w:r>
            <w:r>
              <w:rPr>
                <w:rFonts w:ascii="Arial" w:hAnsi="Arial"/>
                <w:position w:val="-3"/>
                <w:sz w:val="14"/>
              </w:rPr>
              <w:t>3</w:t>
            </w:r>
            <w:r>
              <w:rPr>
                <w:rFonts w:ascii="Arial" w:hAnsi="Arial"/>
                <w:sz w:val="18"/>
              </w:rPr>
              <w:t>–N, PO</w:t>
            </w:r>
            <w:r>
              <w:rPr>
                <w:rFonts w:ascii="Arial" w:hAnsi="Arial"/>
                <w:position w:val="-3"/>
                <w:sz w:val="14"/>
              </w:rPr>
              <w:t>4</w:t>
            </w:r>
            <w:r>
              <w:rPr>
                <w:rFonts w:ascii="Arial" w:hAnsi="Arial"/>
                <w:sz w:val="18"/>
              </w:rPr>
              <w:t>, COD, SO</w:t>
            </w:r>
            <w:r>
              <w:rPr>
                <w:rFonts w:ascii="Arial" w:hAnsi="Arial"/>
                <w:position w:val="-3"/>
                <w:sz w:val="14"/>
              </w:rPr>
              <w:t>4</w:t>
            </w:r>
            <w:r>
              <w:rPr>
                <w:rFonts w:ascii="Arial" w:hAnsi="Arial"/>
                <w:sz w:val="18"/>
              </w:rPr>
              <w:t>, TOC</w:t>
            </w:r>
          </w:p>
        </w:tc>
        <w:tc>
          <w:tcPr>
            <w:tcW w:w="1442" w:type="dxa"/>
            <w:tcBorders>
              <w:top w:val="nil"/>
              <w:left w:val="nil"/>
              <w:bottom w:val="nil"/>
              <w:right w:val="nil"/>
            </w:tcBorders>
          </w:tcPr>
          <w:p>
            <w:pPr>
              <w:pStyle w:val="TableParagraph"/>
              <w:spacing w:before="31"/>
              <w:ind w:left="499" w:right="0"/>
              <w:jc w:val="left"/>
              <w:rPr>
                <w:rFonts w:ascii="Arial"/>
                <w:sz w:val="18"/>
              </w:rPr>
            </w:pPr>
            <w:r>
              <w:rPr>
                <w:rFonts w:ascii="Arial"/>
                <w:sz w:val="18"/>
              </w:rPr>
              <w:t>500 mL</w:t>
            </w:r>
          </w:p>
        </w:tc>
        <w:tc>
          <w:tcPr>
            <w:tcW w:w="1391" w:type="dxa"/>
            <w:tcBorders>
              <w:top w:val="nil"/>
              <w:left w:val="nil"/>
              <w:bottom w:val="nil"/>
              <w:right w:val="single" w:sz="2" w:space="0" w:color="000000"/>
            </w:tcBorders>
          </w:tcPr>
          <w:p>
            <w:pPr>
              <w:pStyle w:val="TableParagraph"/>
              <w:spacing w:before="31"/>
              <w:ind w:left="272" w:right="0"/>
              <w:jc w:val="left"/>
              <w:rPr>
                <w:rFonts w:ascii="Arial"/>
                <w:sz w:val="18"/>
              </w:rPr>
            </w:pPr>
            <w:r>
              <w:rPr>
                <w:rFonts w:ascii="Arial"/>
                <w:sz w:val="18"/>
              </w:rPr>
              <w:t>28332-49</w:t>
            </w:r>
          </w:p>
        </w:tc>
      </w:tr>
      <w:tr>
        <w:trPr>
          <w:trHeight w:val="300" w:hRule="exact"/>
        </w:trPr>
        <w:tc>
          <w:tcPr>
            <w:tcW w:w="7247" w:type="dxa"/>
            <w:tcBorders>
              <w:top w:val="nil"/>
              <w:left w:val="single" w:sz="2" w:space="0" w:color="000000"/>
              <w:bottom w:val="single" w:sz="2" w:space="0" w:color="000000"/>
              <w:right w:val="nil"/>
            </w:tcBorders>
            <w:shd w:val="clear" w:color="auto" w:fill="E6E6FF"/>
          </w:tcPr>
          <w:p>
            <w:pPr>
              <w:pStyle w:val="TableParagraph"/>
              <w:spacing w:before="31"/>
              <w:ind w:left="77" w:right="0"/>
              <w:jc w:val="left"/>
              <w:rPr>
                <w:rFonts w:ascii="Arial"/>
                <w:sz w:val="18"/>
              </w:rPr>
            </w:pPr>
            <w:r>
              <w:rPr>
                <w:rFonts w:ascii="Arial"/>
                <w:sz w:val="18"/>
              </w:rPr>
              <w:t>Water, deionized</w:t>
            </w:r>
          </w:p>
        </w:tc>
        <w:tc>
          <w:tcPr>
            <w:tcW w:w="1442" w:type="dxa"/>
            <w:tcBorders>
              <w:top w:val="nil"/>
              <w:left w:val="nil"/>
              <w:bottom w:val="single" w:sz="2" w:space="0" w:color="000000"/>
              <w:right w:val="nil"/>
            </w:tcBorders>
            <w:shd w:val="clear" w:color="auto" w:fill="E6E6FF"/>
          </w:tcPr>
          <w:p>
            <w:pPr>
              <w:pStyle w:val="TableParagraph"/>
              <w:spacing w:before="31"/>
              <w:ind w:left="680" w:right="522"/>
              <w:jc w:val="center"/>
              <w:rPr>
                <w:rFonts w:ascii="Arial"/>
                <w:sz w:val="18"/>
              </w:rPr>
            </w:pPr>
            <w:r>
              <w:rPr>
                <w:rFonts w:ascii="Arial"/>
                <w:sz w:val="18"/>
              </w:rPr>
              <w:t>4L</w:t>
            </w:r>
          </w:p>
        </w:tc>
        <w:tc>
          <w:tcPr>
            <w:tcW w:w="1391" w:type="dxa"/>
            <w:tcBorders>
              <w:top w:val="nil"/>
              <w:left w:val="nil"/>
              <w:bottom w:val="single" w:sz="2" w:space="0" w:color="000000"/>
              <w:right w:val="single" w:sz="2" w:space="0" w:color="000000"/>
            </w:tcBorders>
            <w:shd w:val="clear" w:color="auto" w:fill="E6E6FF"/>
          </w:tcPr>
          <w:p>
            <w:pPr>
              <w:pStyle w:val="TableParagraph"/>
              <w:spacing w:before="31"/>
              <w:ind w:left="372" w:right="0"/>
              <w:jc w:val="left"/>
              <w:rPr>
                <w:rFonts w:ascii="Arial"/>
                <w:sz w:val="18"/>
              </w:rPr>
            </w:pPr>
            <w:r>
              <w:rPr>
                <w:rFonts w:ascii="Arial"/>
                <w:sz w:val="18"/>
              </w:rPr>
              <w:t>272-56</w:t>
            </w:r>
          </w:p>
        </w:tc>
      </w:tr>
    </w:tbl>
    <w:p>
      <w:pPr>
        <w:pStyle w:val="BodyText"/>
        <w:spacing w:before="5"/>
        <w:rPr>
          <w:b/>
          <w:sz w:val="9"/>
        </w:rPr>
      </w:pPr>
    </w:p>
    <w:p>
      <w:pPr>
        <w:spacing w:before="74"/>
        <w:ind w:left="125" w:right="101" w:firstLine="0"/>
        <w:jc w:val="left"/>
        <w:rPr>
          <w:b/>
          <w:sz w:val="20"/>
        </w:rPr>
      </w:pPr>
      <w:r>
        <w:rPr>
          <w:b/>
          <w:sz w:val="20"/>
        </w:rPr>
        <w:t>Optional Reagents and Apparatus</w:t>
      </w:r>
    </w:p>
    <w:p>
      <w:pPr>
        <w:pStyle w:val="BodyText"/>
        <w:spacing w:before="8"/>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81"/>
        <w:gridCol w:w="3899"/>
      </w:tblGrid>
      <w:tr>
        <w:trPr>
          <w:trHeight w:val="379" w:hRule="exact"/>
        </w:trPr>
        <w:tc>
          <w:tcPr>
            <w:tcW w:w="6181"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3899" w:type="dxa"/>
            <w:tcBorders>
              <w:left w:val="nil"/>
              <w:bottom w:val="single" w:sz="2" w:space="0" w:color="000000"/>
              <w:right w:val="single" w:sz="2" w:space="0" w:color="000000"/>
            </w:tcBorders>
          </w:tcPr>
          <w:p>
            <w:pPr>
              <w:pStyle w:val="TableParagraph"/>
              <w:spacing w:before="66"/>
              <w:ind w:right="395"/>
              <w:rPr>
                <w:rFonts w:ascii="Arial"/>
                <w:b/>
                <w:sz w:val="18"/>
              </w:rPr>
            </w:pPr>
            <w:r>
              <w:rPr>
                <w:rFonts w:ascii="Arial"/>
                <w:b/>
                <w:sz w:val="18"/>
              </w:rPr>
              <w:t>Cat. No.</w:t>
            </w:r>
          </w:p>
        </w:tc>
      </w:tr>
      <w:tr>
        <w:trPr>
          <w:trHeight w:val="300" w:hRule="exact"/>
        </w:trPr>
        <w:tc>
          <w:tcPr>
            <w:tcW w:w="6181"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Cylinders, mixing</w:t>
            </w:r>
          </w:p>
        </w:tc>
        <w:tc>
          <w:tcPr>
            <w:tcW w:w="3899" w:type="dxa"/>
            <w:tcBorders>
              <w:top w:val="single" w:sz="2" w:space="0" w:color="000000"/>
              <w:left w:val="nil"/>
              <w:bottom w:val="nil"/>
              <w:right w:val="single" w:sz="2" w:space="0" w:color="000000"/>
            </w:tcBorders>
            <w:shd w:val="clear" w:color="auto" w:fill="E6E6FF"/>
          </w:tcPr>
          <w:p>
            <w:pPr>
              <w:pStyle w:val="TableParagraph"/>
              <w:spacing w:before="29"/>
              <w:ind w:right="354"/>
              <w:rPr>
                <w:rFonts w:ascii="Arial"/>
                <w:sz w:val="18"/>
              </w:rPr>
            </w:pPr>
            <w:r>
              <w:rPr>
                <w:rFonts w:ascii="Arial"/>
                <w:sz w:val="18"/>
              </w:rPr>
              <w:t>20886-40</w:t>
            </w:r>
          </w:p>
        </w:tc>
      </w:tr>
      <w:tr>
        <w:trPr>
          <w:trHeight w:val="300" w:hRule="exact"/>
        </w:trPr>
        <w:tc>
          <w:tcPr>
            <w:tcW w:w="6181" w:type="dxa"/>
            <w:tcBorders>
              <w:top w:val="nil"/>
              <w:left w:val="single" w:sz="2" w:space="0" w:color="000000"/>
              <w:bottom w:val="nil"/>
              <w:right w:val="nil"/>
            </w:tcBorders>
          </w:tcPr>
          <w:p>
            <w:pPr>
              <w:pStyle w:val="TableParagraph"/>
              <w:spacing w:before="31"/>
              <w:ind w:left="77" w:right="0"/>
              <w:jc w:val="left"/>
              <w:rPr>
                <w:rFonts w:ascii="Arial"/>
                <w:sz w:val="18"/>
              </w:rPr>
            </w:pPr>
            <w:r>
              <w:rPr>
                <w:rFonts w:ascii="Arial"/>
                <w:sz w:val="18"/>
              </w:rPr>
              <w:t>Distillation Set, general purpose</w:t>
            </w:r>
          </w:p>
        </w:tc>
        <w:tc>
          <w:tcPr>
            <w:tcW w:w="3899" w:type="dxa"/>
            <w:tcBorders>
              <w:top w:val="nil"/>
              <w:left w:val="nil"/>
              <w:bottom w:val="nil"/>
              <w:right w:val="single" w:sz="2" w:space="0" w:color="000000"/>
            </w:tcBorders>
          </w:tcPr>
          <w:p>
            <w:pPr>
              <w:pStyle w:val="TableParagraph"/>
              <w:spacing w:before="31"/>
              <w:ind w:right="354"/>
              <w:rPr>
                <w:rFonts w:ascii="Arial"/>
                <w:sz w:val="18"/>
              </w:rPr>
            </w:pPr>
            <w:r>
              <w:rPr>
                <w:rFonts w:ascii="Arial"/>
                <w:sz w:val="18"/>
              </w:rPr>
              <w:t>22653-00</w:t>
            </w:r>
          </w:p>
        </w:tc>
      </w:tr>
      <w:tr>
        <w:trPr>
          <w:trHeight w:val="300" w:hRule="exact"/>
        </w:trPr>
        <w:tc>
          <w:tcPr>
            <w:tcW w:w="6181"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Filter Paper</w:t>
            </w:r>
          </w:p>
        </w:tc>
        <w:tc>
          <w:tcPr>
            <w:tcW w:w="3899" w:type="dxa"/>
            <w:tcBorders>
              <w:top w:val="nil"/>
              <w:left w:val="nil"/>
              <w:bottom w:val="nil"/>
              <w:right w:val="single" w:sz="2" w:space="0" w:color="000000"/>
            </w:tcBorders>
            <w:shd w:val="clear" w:color="auto" w:fill="E6E6FF"/>
          </w:tcPr>
          <w:p>
            <w:pPr>
              <w:pStyle w:val="TableParagraph"/>
              <w:spacing w:before="31"/>
              <w:ind w:right="455"/>
              <w:rPr>
                <w:rFonts w:ascii="Arial"/>
                <w:sz w:val="18"/>
              </w:rPr>
            </w:pPr>
            <w:r>
              <w:rPr>
                <w:rFonts w:ascii="Arial"/>
                <w:sz w:val="18"/>
              </w:rPr>
              <w:t>692-57</w:t>
            </w:r>
          </w:p>
        </w:tc>
      </w:tr>
      <w:tr>
        <w:trPr>
          <w:trHeight w:val="300" w:hRule="exact"/>
        </w:trPr>
        <w:tc>
          <w:tcPr>
            <w:tcW w:w="6181" w:type="dxa"/>
            <w:tcBorders>
              <w:top w:val="nil"/>
              <w:left w:val="single" w:sz="2" w:space="0" w:color="000000"/>
              <w:bottom w:val="nil"/>
              <w:right w:val="nil"/>
            </w:tcBorders>
          </w:tcPr>
          <w:p>
            <w:pPr>
              <w:pStyle w:val="TableParagraph"/>
              <w:spacing w:before="31"/>
              <w:ind w:left="78" w:right="0"/>
              <w:jc w:val="left"/>
              <w:rPr>
                <w:rFonts w:ascii="Arial"/>
                <w:sz w:val="18"/>
              </w:rPr>
            </w:pPr>
            <w:r>
              <w:rPr>
                <w:rFonts w:ascii="Arial"/>
                <w:sz w:val="18"/>
              </w:rPr>
              <w:t>Hydrochloric Acid Standard Solution, 1 N</w:t>
            </w:r>
          </w:p>
        </w:tc>
        <w:tc>
          <w:tcPr>
            <w:tcW w:w="3899" w:type="dxa"/>
            <w:tcBorders>
              <w:top w:val="nil"/>
              <w:left w:val="nil"/>
              <w:bottom w:val="nil"/>
              <w:right w:val="single" w:sz="2" w:space="0" w:color="000000"/>
            </w:tcBorders>
          </w:tcPr>
          <w:p>
            <w:pPr>
              <w:pStyle w:val="TableParagraph"/>
              <w:spacing w:before="31"/>
              <w:ind w:right="456"/>
              <w:rPr>
                <w:rFonts w:ascii="Arial"/>
                <w:sz w:val="18"/>
              </w:rPr>
            </w:pPr>
            <w:r>
              <w:rPr>
                <w:rFonts w:ascii="Arial"/>
                <w:sz w:val="18"/>
              </w:rPr>
              <w:t>134-49</w:t>
            </w:r>
          </w:p>
        </w:tc>
      </w:tr>
      <w:tr>
        <w:trPr>
          <w:trHeight w:val="300" w:hRule="exact"/>
        </w:trPr>
        <w:tc>
          <w:tcPr>
            <w:tcW w:w="6181"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Sodium Hydroxide Standard Solution, 1 N</w:t>
            </w:r>
          </w:p>
        </w:tc>
        <w:tc>
          <w:tcPr>
            <w:tcW w:w="3899" w:type="dxa"/>
            <w:tcBorders>
              <w:top w:val="nil"/>
              <w:left w:val="nil"/>
              <w:bottom w:val="nil"/>
              <w:right w:val="single" w:sz="2" w:space="0" w:color="000000"/>
            </w:tcBorders>
            <w:shd w:val="clear" w:color="auto" w:fill="E6E6FF"/>
          </w:tcPr>
          <w:p>
            <w:pPr>
              <w:pStyle w:val="TableParagraph"/>
              <w:spacing w:before="31"/>
              <w:ind w:right="406"/>
              <w:rPr>
                <w:rFonts w:ascii="Arial"/>
                <w:sz w:val="18"/>
              </w:rPr>
            </w:pPr>
            <w:r>
              <w:rPr>
                <w:rFonts w:ascii="Arial"/>
                <w:sz w:val="18"/>
              </w:rPr>
              <w:t>1045-32</w:t>
            </w:r>
          </w:p>
        </w:tc>
      </w:tr>
      <w:tr>
        <w:trPr>
          <w:trHeight w:val="300" w:hRule="exact"/>
        </w:trPr>
        <w:tc>
          <w:tcPr>
            <w:tcW w:w="6181" w:type="dxa"/>
            <w:tcBorders>
              <w:top w:val="nil"/>
              <w:left w:val="single" w:sz="2" w:space="0" w:color="000000"/>
              <w:bottom w:val="single" w:sz="2" w:space="0" w:color="000000"/>
              <w:right w:val="nil"/>
            </w:tcBorders>
          </w:tcPr>
          <w:p>
            <w:pPr>
              <w:pStyle w:val="TableParagraph"/>
              <w:spacing w:before="31"/>
              <w:ind w:left="78" w:right="0"/>
              <w:jc w:val="left"/>
              <w:rPr>
                <w:rFonts w:ascii="Arial"/>
                <w:sz w:val="18"/>
              </w:rPr>
            </w:pPr>
            <w:r>
              <w:rPr>
                <w:rFonts w:ascii="Arial"/>
                <w:sz w:val="18"/>
              </w:rPr>
              <w:t>Sulfide Inhibitor Reagent Powder Pillows</w:t>
            </w:r>
          </w:p>
        </w:tc>
        <w:tc>
          <w:tcPr>
            <w:tcW w:w="3899" w:type="dxa"/>
            <w:tcBorders>
              <w:top w:val="nil"/>
              <w:left w:val="nil"/>
              <w:bottom w:val="single" w:sz="2" w:space="0" w:color="000000"/>
              <w:right w:val="single" w:sz="2" w:space="0" w:color="000000"/>
            </w:tcBorders>
          </w:tcPr>
          <w:p>
            <w:pPr>
              <w:pStyle w:val="TableParagraph"/>
              <w:spacing w:before="31"/>
              <w:ind w:right="407"/>
              <w:rPr>
                <w:rFonts w:ascii="Arial"/>
                <w:sz w:val="18"/>
              </w:rPr>
            </w:pPr>
            <w:r>
              <w:rPr>
                <w:rFonts w:ascii="Arial"/>
                <w:sz w:val="18"/>
              </w:rPr>
              <w:t>2418-99</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26"/>
        </w:rPr>
      </w:pPr>
      <w:r>
        <w:rPr/>
        <w:pict>
          <v:group style="position:absolute;margin-left:53.474998pt;margin-top:17.024530pt;width:505.05pt;height:1.05pt;mso-position-horizontal-relative:page;mso-position-vertical-relative:paragraph;z-index:10768;mso-wrap-distance-left:0;mso-wrap-distance-right:0" coordorigin="1069,340" coordsize="10101,21">
            <v:line style="position:absolute" from="1080,351" to="1080,351" stroked="true" strokeweight="1.02pt" strokecolor="#000000"/>
            <v:line style="position:absolute" from="1080,351" to="11160,351" stroked="true" strokeweight="1.02pt" strokecolor="#000000"/>
            <w10:wrap type="topAndBottom"/>
          </v:group>
        </w:pict>
      </w:r>
    </w:p>
    <w:p>
      <w:pPr>
        <w:spacing w:line="207" w:lineRule="exact" w:before="0"/>
        <w:ind w:left="0" w:right="163" w:firstLine="0"/>
        <w:jc w:val="right"/>
        <w:rPr>
          <w:b/>
          <w:sz w:val="20"/>
        </w:rPr>
      </w:pPr>
      <w:r>
        <w:rPr>
          <w:b/>
          <w:sz w:val="20"/>
        </w:rPr>
        <w:t>Nitrogen, Ammonia</w:t>
      </w:r>
    </w:p>
    <w:p>
      <w:pPr>
        <w:tabs>
          <w:tab w:pos="9004" w:val="left" w:leader="none"/>
        </w:tabs>
        <w:spacing w:before="10"/>
        <w:ind w:left="0" w:right="163" w:firstLine="0"/>
        <w:jc w:val="right"/>
        <w:rPr>
          <w:b/>
          <w:sz w:val="20"/>
        </w:rPr>
      </w:pPr>
      <w:r>
        <w:rPr>
          <w:sz w:val="14"/>
        </w:rPr>
        <w:t>NitrogenAmm_10031_TNT_HR_SAL.fm</w:t>
        <w:tab/>
      </w:r>
      <w:r>
        <w:rPr>
          <w:b/>
          <w:sz w:val="20"/>
        </w:rPr>
        <w:t>Page 5 of</w:t>
      </w:r>
      <w:r>
        <w:rPr>
          <w:b/>
          <w:spacing w:val="-11"/>
          <w:sz w:val="20"/>
        </w:rPr>
        <w:t> </w:t>
      </w:r>
      <w:r>
        <w:rPr>
          <w:b/>
          <w:sz w:val="20"/>
        </w:rPr>
        <w:t>6</w:t>
      </w:r>
    </w:p>
    <w:p>
      <w:pPr>
        <w:spacing w:after="0"/>
        <w:jc w:val="right"/>
        <w:rPr>
          <w:sz w:val="20"/>
        </w:rPr>
        <w:sectPr>
          <w:headerReference w:type="default" r:id="rId168"/>
          <w:footerReference w:type="default" r:id="rId169"/>
          <w:pgSz w:w="11900" w:h="15840"/>
          <w:pgMar w:header="0" w:footer="0" w:top="240" w:bottom="0" w:left="960" w:right="600"/>
        </w:sectPr>
      </w:pPr>
    </w:p>
    <w:p>
      <w:pPr>
        <w:pStyle w:val="BodyText"/>
        <w:spacing w:line="60" w:lineRule="exact"/>
        <w:ind w:left="110"/>
        <w:rPr>
          <w:sz w:val="6"/>
        </w:rPr>
      </w:pPr>
      <w:r>
        <w:rPr>
          <w:position w:val="0"/>
          <w:sz w:val="6"/>
        </w:rPr>
        <w:pict>
          <v:group style="width:507.75pt;height:3pt;mso-position-horizontal-relative:char;mso-position-vertical-relative:line" coordorigin="0,0" coordsize="10155,60">
            <v:line style="position:absolute" from="30,30" to="30,30" stroked="true" strokeweight="3pt" strokecolor="#b3b3b3"/>
            <v:line style="position:absolute" from="30,30" to="10124,30" stroked="true" strokeweight="3pt" strokecolor="#b3b3b3"/>
          </v:group>
        </w:pict>
      </w:r>
      <w:r>
        <w:rPr>
          <w:position w:val="0"/>
          <w:sz w:val="6"/>
        </w:rPr>
      </w:r>
    </w:p>
    <w:p>
      <w:pPr>
        <w:pStyle w:val="Heading1"/>
        <w:ind w:right="150"/>
      </w:pPr>
      <w:r>
        <w:rPr/>
        <w:pict>
          <v:line style="position:absolute;mso-position-horizontal-relative:page;mso-position-vertical-relative:paragraph;z-index:10816;mso-wrap-distance-left:0;mso-wrap-distance-right:0" from="54pt,33.5317pt" to="558.72pt,33.5317pt" stroked="true" strokeweight="3pt" strokecolor="#b3b3b3">
            <w10:wrap type="topAndBottom"/>
          </v:line>
        </w:pict>
      </w:r>
      <w:r>
        <w:rPr/>
        <w:t>Nitrite</w:t>
      </w:r>
    </w:p>
    <w:p>
      <w:pPr>
        <w:tabs>
          <w:tab w:pos="7816" w:val="left" w:leader="none"/>
        </w:tabs>
        <w:spacing w:before="0"/>
        <w:ind w:left="132" w:right="0" w:firstLine="0"/>
        <w:jc w:val="left"/>
        <w:rPr>
          <w:b/>
          <w:sz w:val="28"/>
        </w:rPr>
      </w:pPr>
      <w:r>
        <w:rPr>
          <w:b/>
          <w:spacing w:val="-10"/>
          <w:sz w:val="26"/>
        </w:rPr>
        <w:t>Method10019</w:t>
        <w:tab/>
      </w:r>
      <w:r>
        <w:rPr>
          <w:b/>
          <w:spacing w:val="-16"/>
          <w:position w:val="1"/>
          <w:sz w:val="28"/>
        </w:rPr>
        <w:t>Diazotization</w:t>
      </w:r>
      <w:r>
        <w:rPr>
          <w:b/>
          <w:spacing w:val="-49"/>
          <w:position w:val="1"/>
          <w:sz w:val="28"/>
        </w:rPr>
        <w:t> </w:t>
      </w:r>
      <w:r>
        <w:rPr>
          <w:b/>
          <w:spacing w:val="-18"/>
          <w:position w:val="1"/>
          <w:sz w:val="28"/>
        </w:rPr>
        <w:t>Method</w:t>
      </w:r>
    </w:p>
    <w:p>
      <w:pPr>
        <w:tabs>
          <w:tab w:pos="6396" w:val="left" w:leader="none"/>
        </w:tabs>
        <w:spacing w:before="82"/>
        <w:ind w:left="125" w:right="0" w:firstLine="0"/>
        <w:jc w:val="left"/>
        <w:rPr>
          <w:b/>
          <w:sz w:val="28"/>
        </w:rPr>
      </w:pPr>
      <w:r>
        <w:rPr/>
        <w:pict>
          <v:shape style="position:absolute;margin-left:527.026672pt;margin-top:12.354776pt;width:6.25pt;height:11.2pt;mso-position-horizontal-relative:page;mso-position-vertical-relative:paragraph;z-index:-1520344" type="#_x0000_t202" filled="false" stroked="false">
            <v:textbox inset="0,0,0,0">
              <w:txbxContent>
                <w:p>
                  <w:pPr>
                    <w:spacing w:line="223" w:lineRule="exact" w:before="0"/>
                    <w:ind w:left="0" w:right="0" w:firstLine="0"/>
                    <w:jc w:val="left"/>
                    <w:rPr>
                      <w:b/>
                      <w:sz w:val="22"/>
                    </w:rPr>
                  </w:pPr>
                  <w:r>
                    <w:rPr>
                      <w:b/>
                      <w:w w:val="101"/>
                      <w:sz w:val="22"/>
                    </w:rPr>
                    <w:t>2</w:t>
                  </w:r>
                </w:p>
              </w:txbxContent>
            </v:textbox>
            <w10:wrap type="none"/>
          </v:shape>
        </w:pict>
      </w:r>
      <w:r>
        <w:rPr>
          <w:b/>
          <w:spacing w:val="-22"/>
          <w:position w:val="1"/>
          <w:sz w:val="26"/>
        </w:rPr>
        <w:t>Test </w:t>
      </w:r>
      <w:r>
        <w:rPr>
          <w:b/>
          <w:spacing w:val="-8"/>
          <w:position w:val="1"/>
          <w:sz w:val="26"/>
        </w:rPr>
        <w:t>‘N</w:t>
      </w:r>
      <w:r>
        <w:rPr>
          <w:b/>
          <w:spacing w:val="-37"/>
          <w:position w:val="1"/>
          <w:sz w:val="26"/>
        </w:rPr>
        <w:t> </w:t>
      </w:r>
      <w:r>
        <w:rPr>
          <w:b/>
          <w:spacing w:val="-25"/>
          <w:position w:val="1"/>
          <w:sz w:val="26"/>
        </w:rPr>
        <w:t>Tube™</w:t>
      </w:r>
      <w:r>
        <w:rPr>
          <w:b/>
          <w:spacing w:val="-44"/>
          <w:position w:val="1"/>
          <w:sz w:val="26"/>
        </w:rPr>
        <w:t> </w:t>
      </w:r>
      <w:r>
        <w:rPr>
          <w:b/>
          <w:spacing w:val="-9"/>
          <w:position w:val="1"/>
          <w:sz w:val="26"/>
        </w:rPr>
        <w:t>Vials</w:t>
        <w:tab/>
      </w:r>
      <w:r>
        <w:rPr>
          <w:b/>
          <w:spacing w:val="-8"/>
          <w:sz w:val="28"/>
        </w:rPr>
        <w:t>LR</w:t>
      </w:r>
      <w:r>
        <w:rPr>
          <w:b/>
          <w:spacing w:val="-43"/>
          <w:sz w:val="28"/>
        </w:rPr>
        <w:t> </w:t>
      </w:r>
      <w:r>
        <w:rPr>
          <w:b/>
          <w:spacing w:val="-4"/>
          <w:sz w:val="28"/>
        </w:rPr>
        <w:t>(0.003</w:t>
      </w:r>
      <w:r>
        <w:rPr>
          <w:b/>
          <w:spacing w:val="-43"/>
          <w:sz w:val="28"/>
        </w:rPr>
        <w:t> </w:t>
      </w:r>
      <w:r>
        <w:rPr>
          <w:b/>
          <w:spacing w:val="-12"/>
          <w:sz w:val="28"/>
        </w:rPr>
        <w:t>to</w:t>
      </w:r>
      <w:r>
        <w:rPr>
          <w:b/>
          <w:spacing w:val="-35"/>
          <w:sz w:val="28"/>
        </w:rPr>
        <w:t> </w:t>
      </w:r>
      <w:r>
        <w:rPr>
          <w:b/>
          <w:spacing w:val="-4"/>
          <w:sz w:val="28"/>
        </w:rPr>
        <w:t>0.500</w:t>
      </w:r>
      <w:r>
        <w:rPr>
          <w:b/>
          <w:spacing w:val="-51"/>
          <w:sz w:val="28"/>
        </w:rPr>
        <w:t> </w:t>
      </w:r>
      <w:r>
        <w:rPr>
          <w:b/>
          <w:spacing w:val="-16"/>
          <w:sz w:val="28"/>
        </w:rPr>
        <w:t>mg/L</w:t>
      </w:r>
      <w:r>
        <w:rPr>
          <w:b/>
          <w:spacing w:val="-43"/>
          <w:sz w:val="28"/>
        </w:rPr>
        <w:t> </w:t>
      </w:r>
      <w:r>
        <w:rPr>
          <w:b/>
          <w:spacing w:val="-20"/>
          <w:sz w:val="28"/>
        </w:rPr>
        <w:t>NO</w:t>
      </w:r>
      <w:r>
        <w:rPr>
          <w:b/>
          <w:spacing w:val="25"/>
          <w:sz w:val="28"/>
        </w:rPr>
        <w:t> </w:t>
      </w:r>
      <w:r>
        <w:rPr>
          <w:b/>
          <w:spacing w:val="-14"/>
          <w:position w:val="7"/>
          <w:sz w:val="22"/>
        </w:rPr>
        <w:t>–</w:t>
      </w:r>
      <w:r>
        <w:rPr>
          <w:b/>
          <w:spacing w:val="-14"/>
          <w:sz w:val="28"/>
        </w:rPr>
        <w:t>–N)</w:t>
      </w:r>
    </w:p>
    <w:p>
      <w:pPr>
        <w:spacing w:before="160"/>
        <w:ind w:left="128" w:right="0" w:firstLine="0"/>
        <w:jc w:val="left"/>
        <w:rPr>
          <w:sz w:val="20"/>
        </w:rPr>
      </w:pPr>
      <w:r>
        <w:rPr>
          <w:b/>
          <w:sz w:val="20"/>
        </w:rPr>
        <w:t>Scope andApplication:  </w:t>
      </w:r>
      <w:r>
        <w:rPr>
          <w:sz w:val="20"/>
        </w:rPr>
        <w:t>For water, wastewater, and seawater</w:t>
      </w:r>
    </w:p>
    <w:p>
      <w:pPr>
        <w:pStyle w:val="BodyText"/>
        <w:spacing w:before="3"/>
        <w:rPr>
          <w:sz w:val="21"/>
        </w:rPr>
      </w:pPr>
      <w:r>
        <w:rPr/>
        <w:pict>
          <v:group style="position:absolute;margin-left:54.327pt;margin-top:14.20885pt;width:504.5pt;height:40.85pt;mso-position-horizontal-relative:page;mso-position-vertical-relative:paragraph;z-index:10864;mso-wrap-distance-left:0;mso-wrap-distance-right:0" coordorigin="1087,284" coordsize="10090,817">
            <v:rect style="position:absolute;left:1087;top:417;width:10089;height:385" filled="true" fillcolor="#bcbec0" stroked="false">
              <v:fill type="solid"/>
            </v:rect>
            <v:shape style="position:absolute;left:1442;top:284;width:781;height:817" coordorigin="1442,284" coordsize="781,817" path="m2222,284l1442,284,1442,886,1835,886,2039,1101,2039,888,2221,888,2222,284xe" filled="true" fillcolor="#ffffff" stroked="false">
              <v:path arrowok="t"/>
              <v:fill type="solid"/>
            </v:shape>
            <v:shape style="position:absolute;left:1471;top:333;width:723;height:720" coordorigin="1471,333" coordsize="723,720" path="m2193,333l1471,333,1471,863,1835,863,2025,1053,2025,865,2191,865,2193,333xe" filled="true" fillcolor="#ffffff" stroked="false">
              <v:path arrowok="t"/>
              <v:fill type="solid"/>
            </v:shape>
            <v:shape style="position:absolute;left:1471;top:333;width:723;height:720" coordorigin="1471,333" coordsize="723,720" path="m2193,333l1471,333,1471,863,1835,863,2025,1053,2025,865,2191,865,2193,333xe" filled="false" stroked="true" strokeweight="1.5pt" strokecolor="#231f20">
              <v:path arrowok="t"/>
            </v:shape>
            <v:shape style="position:absolute;left:1782;top:696;width:101;height:101" type="#_x0000_t75" stroked="false">
              <v:imagedata r:id="rId172" o:title=""/>
            </v:shape>
            <v:shape style="position:absolute;left:1776;top:394;width:112;height:268" type="#_x0000_t75" stroked="false">
              <v:imagedata r:id="rId173" o:title=""/>
            </v:shape>
            <v:shape style="position:absolute;left:1087;top:284;width:10090;height:817" type="#_x0000_t202" filled="false" stroked="false">
              <v:textbox inset="0,0,0,0">
                <w:txbxContent>
                  <w:p>
                    <w:pPr>
                      <w:spacing w:before="140"/>
                      <w:ind w:left="1530" w:right="0" w:firstLine="0"/>
                      <w:jc w:val="left"/>
                      <w:rPr>
                        <w:b/>
                        <w:sz w:val="28"/>
                      </w:rPr>
                    </w:pPr>
                    <w:r>
                      <w:rPr>
                        <w:b/>
                        <w:color w:val="FFFFFF"/>
                        <w:sz w:val="28"/>
                      </w:rPr>
                      <w:t>Test Preparation</w:t>
                    </w:r>
                  </w:p>
                </w:txbxContent>
              </v:textbox>
              <w10:wrap type="none"/>
            </v:shape>
            <w10:wrap type="topAndBottom"/>
          </v:group>
        </w:pict>
      </w:r>
    </w:p>
    <w:p>
      <w:pPr>
        <w:spacing w:before="160" w:after="100"/>
        <w:ind w:left="219" w:right="0" w:firstLine="0"/>
        <w:jc w:val="left"/>
        <w:rPr>
          <w:b/>
          <w:sz w:val="18"/>
        </w:rPr>
      </w:pPr>
      <w:r>
        <w:rPr>
          <w:b/>
          <w:sz w:val="18"/>
        </w:rPr>
        <w:t>Before starting the test:</w:t>
      </w:r>
    </w:p>
    <w:p>
      <w:pPr>
        <w:pStyle w:val="BodyText"/>
        <w:ind w:left="131"/>
        <w:rPr>
          <w:sz w:val="20"/>
        </w:rPr>
      </w:pPr>
      <w:r>
        <w:rPr>
          <w:sz w:val="20"/>
        </w:rPr>
        <w:pict>
          <v:group style="width:504.8pt;height:26.4pt;mso-position-horizontal-relative:char;mso-position-vertical-relative:line" coordorigin="0,0" coordsize="10096,528">
            <v:rect style="position:absolute;left:9;top:3;width:10080;height:520" filled="true" fillcolor="#e6e6ff" stroked="false">
              <v:fill type="solid"/>
            </v:rect>
            <v:line style="position:absolute" from="9,5" to="9,517" stroked="true" strokeweight=".24pt" strokecolor="#000000"/>
            <v:line style="position:absolute" from="10089,5" to="10089,517" stroked="true" strokeweight=".24pt" strokecolor="#000000"/>
            <v:line style="position:absolute" from="5,3" to="10091,3" stroked="true" strokeweight=".24pt" strokecolor="#000000"/>
            <v:line style="position:absolute" from="5,522" to="10091,522" stroked="true" strokeweight=".48pt" strokecolor="#000000"/>
            <v:shape style="position:absolute;left:9;top:3;width:10080;height:520" type="#_x0000_t202" filled="false" stroked="false">
              <v:textbox inset="0,0,0,0">
                <w:txbxContent>
                  <w:p>
                    <w:pPr>
                      <w:spacing w:line="256" w:lineRule="auto" w:before="30"/>
                      <w:ind w:left="79" w:right="0" w:firstLine="0"/>
                      <w:jc w:val="left"/>
                      <w:rPr>
                        <w:sz w:val="18"/>
                      </w:rPr>
                    </w:pPr>
                    <w:r>
                      <w:rPr>
                        <w:sz w:val="18"/>
                      </w:rPr>
                      <w:t>For</w:t>
                    </w:r>
                    <w:r>
                      <w:rPr>
                        <w:spacing w:val="-10"/>
                        <w:sz w:val="18"/>
                      </w:rPr>
                      <w:t> </w:t>
                    </w:r>
                    <w:r>
                      <w:rPr>
                        <w:sz w:val="18"/>
                      </w:rPr>
                      <w:t>more</w:t>
                    </w:r>
                    <w:r>
                      <w:rPr>
                        <w:spacing w:val="-8"/>
                        <w:sz w:val="18"/>
                      </w:rPr>
                      <w:t> </w:t>
                    </w:r>
                    <w:r>
                      <w:rPr>
                        <w:sz w:val="18"/>
                      </w:rPr>
                      <w:t>accurate</w:t>
                    </w:r>
                    <w:r>
                      <w:rPr>
                        <w:spacing w:val="-9"/>
                        <w:sz w:val="18"/>
                      </w:rPr>
                      <w:t> </w:t>
                    </w:r>
                    <w:r>
                      <w:rPr>
                        <w:sz w:val="18"/>
                      </w:rPr>
                      <w:t>results,</w:t>
                    </w:r>
                    <w:r>
                      <w:rPr>
                        <w:spacing w:val="-8"/>
                        <w:sz w:val="18"/>
                      </w:rPr>
                      <w:t> </w:t>
                    </w:r>
                    <w:r>
                      <w:rPr>
                        <w:sz w:val="18"/>
                      </w:rPr>
                      <w:t>determine</w:t>
                    </w:r>
                    <w:r>
                      <w:rPr>
                        <w:spacing w:val="-9"/>
                        <w:sz w:val="18"/>
                      </w:rPr>
                      <w:t> </w:t>
                    </w:r>
                    <w:r>
                      <w:rPr>
                        <w:sz w:val="18"/>
                      </w:rPr>
                      <w:t>a</w:t>
                    </w:r>
                    <w:r>
                      <w:rPr>
                        <w:spacing w:val="-9"/>
                        <w:sz w:val="18"/>
                      </w:rPr>
                      <w:t> </w:t>
                    </w:r>
                    <w:r>
                      <w:rPr>
                        <w:sz w:val="18"/>
                      </w:rPr>
                      <w:t>reagent</w:t>
                    </w:r>
                    <w:r>
                      <w:rPr>
                        <w:spacing w:val="-9"/>
                        <w:sz w:val="18"/>
                      </w:rPr>
                      <w:t> </w:t>
                    </w:r>
                    <w:r>
                      <w:rPr>
                        <w:sz w:val="18"/>
                      </w:rPr>
                      <w:t>blank</w:t>
                    </w:r>
                    <w:r>
                      <w:rPr>
                        <w:spacing w:val="-9"/>
                        <w:sz w:val="18"/>
                      </w:rPr>
                      <w:t> </w:t>
                    </w:r>
                    <w:r>
                      <w:rPr>
                        <w:sz w:val="18"/>
                      </w:rPr>
                      <w:t>value</w:t>
                    </w:r>
                    <w:r>
                      <w:rPr>
                        <w:spacing w:val="-9"/>
                        <w:sz w:val="18"/>
                      </w:rPr>
                      <w:t> </w:t>
                    </w:r>
                    <w:r>
                      <w:rPr>
                        <w:sz w:val="18"/>
                      </w:rPr>
                      <w:t>for</w:t>
                    </w:r>
                    <w:r>
                      <w:rPr>
                        <w:spacing w:val="-10"/>
                        <w:sz w:val="18"/>
                      </w:rPr>
                      <w:t> </w:t>
                    </w:r>
                    <w:r>
                      <w:rPr>
                        <w:sz w:val="18"/>
                      </w:rPr>
                      <w:t>each</w:t>
                    </w:r>
                    <w:r>
                      <w:rPr>
                        <w:spacing w:val="-9"/>
                        <w:sz w:val="18"/>
                      </w:rPr>
                      <w:t> </w:t>
                    </w:r>
                    <w:r>
                      <w:rPr>
                        <w:sz w:val="18"/>
                      </w:rPr>
                      <w:t>new</w:t>
                    </w:r>
                    <w:r>
                      <w:rPr>
                        <w:spacing w:val="-9"/>
                        <w:sz w:val="18"/>
                      </w:rPr>
                      <w:t> </w:t>
                    </w:r>
                    <w:r>
                      <w:rPr>
                        <w:sz w:val="18"/>
                      </w:rPr>
                      <w:t>lot</w:t>
                    </w:r>
                    <w:r>
                      <w:rPr>
                        <w:spacing w:val="-9"/>
                        <w:sz w:val="18"/>
                      </w:rPr>
                      <w:t> </w:t>
                    </w:r>
                    <w:r>
                      <w:rPr>
                        <w:sz w:val="18"/>
                      </w:rPr>
                      <w:t>of</w:t>
                    </w:r>
                    <w:r>
                      <w:rPr>
                        <w:spacing w:val="-9"/>
                        <w:sz w:val="18"/>
                      </w:rPr>
                      <w:t> </w:t>
                    </w:r>
                    <w:r>
                      <w:rPr>
                        <w:sz w:val="18"/>
                      </w:rPr>
                      <w:t>reagent.</w:t>
                    </w:r>
                    <w:r>
                      <w:rPr>
                        <w:spacing w:val="-9"/>
                        <w:sz w:val="18"/>
                      </w:rPr>
                      <w:t> </w:t>
                    </w:r>
                    <w:r>
                      <w:rPr>
                        <w:sz w:val="18"/>
                      </w:rPr>
                      <w:t>Follow</w:t>
                    </w:r>
                    <w:r>
                      <w:rPr>
                        <w:spacing w:val="-9"/>
                        <w:sz w:val="18"/>
                      </w:rPr>
                      <w:t> </w:t>
                    </w:r>
                    <w:r>
                      <w:rPr>
                        <w:sz w:val="18"/>
                      </w:rPr>
                      <w:t>the</w:t>
                    </w:r>
                    <w:r>
                      <w:rPr>
                        <w:spacing w:val="-9"/>
                        <w:sz w:val="18"/>
                      </w:rPr>
                      <w:t> </w:t>
                    </w:r>
                    <w:r>
                      <w:rPr>
                        <w:sz w:val="18"/>
                      </w:rPr>
                      <w:t>procedure</w:t>
                    </w:r>
                    <w:r>
                      <w:rPr>
                        <w:spacing w:val="-9"/>
                        <w:sz w:val="18"/>
                      </w:rPr>
                      <w:t> </w:t>
                    </w:r>
                    <w:r>
                      <w:rPr>
                        <w:sz w:val="18"/>
                      </w:rPr>
                      <w:t>using</w:t>
                    </w:r>
                    <w:r>
                      <w:rPr>
                        <w:spacing w:val="-9"/>
                        <w:sz w:val="18"/>
                      </w:rPr>
                      <w:t> </w:t>
                    </w:r>
                    <w:r>
                      <w:rPr>
                        <w:sz w:val="18"/>
                      </w:rPr>
                      <w:t>deionized water</w:t>
                    </w:r>
                    <w:r>
                      <w:rPr>
                        <w:spacing w:val="-4"/>
                        <w:sz w:val="18"/>
                      </w:rPr>
                      <w:t> </w:t>
                    </w:r>
                    <w:r>
                      <w:rPr>
                        <w:sz w:val="18"/>
                      </w:rPr>
                      <w:t>in</w:t>
                    </w:r>
                    <w:r>
                      <w:rPr>
                        <w:spacing w:val="-5"/>
                        <w:sz w:val="18"/>
                      </w:rPr>
                      <w:t> </w:t>
                    </w:r>
                    <w:r>
                      <w:rPr>
                        <w:sz w:val="18"/>
                      </w:rPr>
                      <w:t>place</w:t>
                    </w:r>
                    <w:r>
                      <w:rPr>
                        <w:spacing w:val="-4"/>
                        <w:sz w:val="18"/>
                      </w:rPr>
                      <w:t> </w:t>
                    </w:r>
                    <w:r>
                      <w:rPr>
                        <w:sz w:val="18"/>
                      </w:rPr>
                      <w:t>of</w:t>
                    </w:r>
                    <w:r>
                      <w:rPr>
                        <w:spacing w:val="-4"/>
                        <w:sz w:val="18"/>
                      </w:rPr>
                      <w:t> </w:t>
                    </w:r>
                    <w:r>
                      <w:rPr>
                        <w:sz w:val="18"/>
                      </w:rPr>
                      <w:t>the</w:t>
                    </w:r>
                    <w:r>
                      <w:rPr>
                        <w:spacing w:val="-5"/>
                        <w:sz w:val="18"/>
                      </w:rPr>
                      <w:t> </w:t>
                    </w:r>
                    <w:r>
                      <w:rPr>
                        <w:sz w:val="18"/>
                      </w:rPr>
                      <w:t>sample.</w:t>
                    </w:r>
                    <w:r>
                      <w:rPr>
                        <w:spacing w:val="-6"/>
                        <w:sz w:val="18"/>
                      </w:rPr>
                      <w:t> </w:t>
                    </w:r>
                    <w:r>
                      <w:rPr>
                        <w:sz w:val="18"/>
                      </w:rPr>
                      <w:t>Subtract</w:t>
                    </w:r>
                    <w:r>
                      <w:rPr>
                        <w:spacing w:val="-6"/>
                        <w:sz w:val="18"/>
                      </w:rPr>
                      <w:t> </w:t>
                    </w:r>
                    <w:r>
                      <w:rPr>
                        <w:sz w:val="18"/>
                      </w:rPr>
                      <w:t>the</w:t>
                    </w:r>
                    <w:r>
                      <w:rPr>
                        <w:spacing w:val="-5"/>
                        <w:sz w:val="18"/>
                      </w:rPr>
                      <w:t> </w:t>
                    </w:r>
                    <w:r>
                      <w:rPr>
                        <w:sz w:val="18"/>
                      </w:rPr>
                      <w:t>reagent</w:t>
                    </w:r>
                    <w:r>
                      <w:rPr>
                        <w:spacing w:val="-4"/>
                        <w:sz w:val="18"/>
                      </w:rPr>
                      <w:t> </w:t>
                    </w:r>
                    <w:r>
                      <w:rPr>
                        <w:sz w:val="18"/>
                      </w:rPr>
                      <w:t>blank</w:t>
                    </w:r>
                    <w:r>
                      <w:rPr>
                        <w:spacing w:val="-6"/>
                        <w:sz w:val="18"/>
                      </w:rPr>
                      <w:t> </w:t>
                    </w:r>
                    <w:r>
                      <w:rPr>
                        <w:sz w:val="18"/>
                      </w:rPr>
                      <w:t>value</w:t>
                    </w:r>
                    <w:r>
                      <w:rPr>
                        <w:spacing w:val="-5"/>
                        <w:sz w:val="18"/>
                      </w:rPr>
                      <w:t> </w:t>
                    </w:r>
                    <w:r>
                      <w:rPr>
                        <w:sz w:val="18"/>
                      </w:rPr>
                      <w:t>from</w:t>
                    </w:r>
                    <w:r>
                      <w:rPr>
                        <w:spacing w:val="-6"/>
                        <w:sz w:val="18"/>
                      </w:rPr>
                      <w:t> </w:t>
                    </w:r>
                    <w:r>
                      <w:rPr>
                        <w:sz w:val="18"/>
                      </w:rPr>
                      <w:t>the</w:t>
                    </w:r>
                    <w:r>
                      <w:rPr>
                        <w:spacing w:val="-5"/>
                        <w:sz w:val="18"/>
                      </w:rPr>
                      <w:t> </w:t>
                    </w:r>
                    <w:r>
                      <w:rPr>
                        <w:sz w:val="18"/>
                      </w:rPr>
                      <w:t>final</w:t>
                    </w:r>
                    <w:r>
                      <w:rPr>
                        <w:spacing w:val="-4"/>
                        <w:sz w:val="18"/>
                      </w:rPr>
                      <w:t> </w:t>
                    </w:r>
                    <w:r>
                      <w:rPr>
                        <w:sz w:val="18"/>
                      </w:rPr>
                      <w:t>results</w:t>
                    </w:r>
                    <w:r>
                      <w:rPr>
                        <w:spacing w:val="-4"/>
                        <w:sz w:val="18"/>
                      </w:rPr>
                      <w:t> </w:t>
                    </w:r>
                    <w:r>
                      <w:rPr>
                        <w:sz w:val="18"/>
                      </w:rPr>
                      <w:t>or</w:t>
                    </w:r>
                    <w:r>
                      <w:rPr>
                        <w:spacing w:val="-5"/>
                        <w:sz w:val="18"/>
                      </w:rPr>
                      <w:t> </w:t>
                    </w:r>
                    <w:r>
                      <w:rPr>
                        <w:sz w:val="18"/>
                      </w:rPr>
                      <w:t>perform</w:t>
                    </w:r>
                    <w:r>
                      <w:rPr>
                        <w:spacing w:val="-6"/>
                        <w:sz w:val="18"/>
                      </w:rPr>
                      <w:t> </w:t>
                    </w:r>
                    <w:r>
                      <w:rPr>
                        <w:sz w:val="18"/>
                      </w:rPr>
                      <w:t>a</w:t>
                    </w:r>
                    <w:r>
                      <w:rPr>
                        <w:spacing w:val="-5"/>
                        <w:sz w:val="18"/>
                      </w:rPr>
                      <w:t> </w:t>
                    </w:r>
                    <w:r>
                      <w:rPr>
                        <w:sz w:val="18"/>
                      </w:rPr>
                      <w:t>reagent</w:t>
                    </w:r>
                    <w:r>
                      <w:rPr>
                        <w:spacing w:val="-4"/>
                        <w:sz w:val="18"/>
                      </w:rPr>
                      <w:t> </w:t>
                    </w:r>
                    <w:r>
                      <w:rPr>
                        <w:sz w:val="18"/>
                      </w:rPr>
                      <w:t>blank</w:t>
                    </w:r>
                    <w:r>
                      <w:rPr>
                        <w:spacing w:val="-6"/>
                        <w:sz w:val="18"/>
                      </w:rPr>
                      <w:t> </w:t>
                    </w:r>
                    <w:r>
                      <w:rPr>
                        <w:sz w:val="18"/>
                      </w:rPr>
                      <w:t>adjust.</w:t>
                    </w:r>
                  </w:p>
                </w:txbxContent>
              </v:textbox>
              <w10:wrap type="none"/>
            </v:shape>
          </v:group>
        </w:pict>
      </w:r>
      <w:r>
        <w:rPr>
          <w:sz w:val="20"/>
        </w:rPr>
      </w:r>
    </w:p>
    <w:p>
      <w:pPr>
        <w:tabs>
          <w:tab w:pos="9135" w:val="left" w:leader="none"/>
        </w:tabs>
        <w:spacing w:before="28"/>
        <w:ind w:left="219" w:right="0" w:firstLine="0"/>
        <w:jc w:val="left"/>
        <w:rPr>
          <w:b/>
          <w:sz w:val="18"/>
        </w:rPr>
      </w:pPr>
      <w:r>
        <w:rPr/>
        <w:pict>
          <v:group style="position:absolute;margin-left:53.57pt;margin-top:16.605906pt;width:504.8pt;height:30.4pt;mso-position-horizontal-relative:page;mso-position-vertical-relative:paragraph;z-index:11032;mso-wrap-distance-left:0;mso-wrap-distance-right:0" coordorigin="1071,332" coordsize="10096,608">
            <v:rect style="position:absolute;left:1080;top:337;width:8640;height:300" filled="true" fillcolor="#e6e6ff" stroked="false">
              <v:fill type="solid"/>
            </v:rect>
            <v:rect style="position:absolute;left:9720;top:337;width:1440;height:300" filled="true" fillcolor="#e6e6ff" stroked="false">
              <v:fill type="solid"/>
            </v:rect>
            <v:line style="position:absolute" from="1080,342" to="1080,935" stroked="true" strokeweight=".24pt" strokecolor="#000000"/>
            <v:line style="position:absolute" from="11160,342" to="11160,935" stroked="true" strokeweight=".24pt" strokecolor="#000000"/>
            <v:line style="position:absolute" from="1076,337" to="11162,337" stroked="true" strokeweight=".48pt" strokecolor="#000000"/>
            <v:line style="position:absolute" from="1076,937" to="11162,937" stroked="true" strokeweight=".24pt" strokecolor="#000000"/>
            <v:shape style="position:absolute;left:1159;top:675;width:3333;height:196" type="#_x0000_t202" filled="false" stroked="false">
              <v:textbox inset="0,0,0,0">
                <w:txbxContent>
                  <w:p>
                    <w:pPr>
                      <w:spacing w:line="195" w:lineRule="exact" w:before="0"/>
                      <w:ind w:left="0" w:right="-10" w:firstLine="0"/>
                      <w:jc w:val="left"/>
                      <w:rPr>
                        <w:sz w:val="18"/>
                      </w:rPr>
                    </w:pPr>
                    <w:r>
                      <w:rPr>
                        <w:sz w:val="18"/>
                      </w:rPr>
                      <w:t>Pipet, </w:t>
                    </w:r>
                    <w:r>
                      <w:rPr>
                        <w:spacing w:val="-3"/>
                        <w:sz w:val="18"/>
                      </w:rPr>
                      <w:t>TenSette</w:t>
                    </w:r>
                    <w:r>
                      <w:rPr>
                        <w:spacing w:val="-3"/>
                        <w:position w:val="4"/>
                        <w:sz w:val="14"/>
                      </w:rPr>
                      <w:t>®</w:t>
                    </w:r>
                    <w:r>
                      <w:rPr>
                        <w:spacing w:val="-3"/>
                        <w:sz w:val="18"/>
                      </w:rPr>
                      <w:t>, </w:t>
                    </w:r>
                    <w:r>
                      <w:rPr>
                        <w:sz w:val="18"/>
                      </w:rPr>
                      <w:t>1.0 to 10.0 mL, plus tips</w:t>
                    </w:r>
                  </w:p>
                </w:txbxContent>
              </v:textbox>
              <w10:wrap type="none"/>
            </v:shape>
            <v:shape style="position:absolute;left:10390;top:690;width:101;height:180" type="#_x0000_t202" filled="false" stroked="false">
              <v:textbox inset="0,0,0,0">
                <w:txbxContent>
                  <w:p>
                    <w:pPr>
                      <w:spacing w:line="180" w:lineRule="exact" w:before="0"/>
                      <w:ind w:left="0" w:right="0" w:firstLine="0"/>
                      <w:jc w:val="left"/>
                      <w:rPr>
                        <w:sz w:val="18"/>
                      </w:rPr>
                    </w:pPr>
                    <w:r>
                      <w:rPr>
                        <w:sz w:val="18"/>
                      </w:rPr>
                      <w:t>1</w:t>
                    </w:r>
                  </w:p>
                </w:txbxContent>
              </v:textbox>
              <w10:wrap type="none"/>
            </v:shape>
            <v:shape style="position:absolute;left:1159;top:375;width:3632;height:196" type="#_x0000_t202" filled="false" stroked="false">
              <v:textbox inset="0,0,0,0">
                <w:txbxContent>
                  <w:p>
                    <w:pPr>
                      <w:spacing w:line="195" w:lineRule="exact" w:before="0"/>
                      <w:ind w:left="0" w:right="0" w:firstLine="0"/>
                      <w:jc w:val="left"/>
                      <w:rPr>
                        <w:sz w:val="18"/>
                      </w:rPr>
                    </w:pPr>
                    <w:r>
                      <w:rPr>
                        <w:spacing w:val="-6"/>
                        <w:sz w:val="18"/>
                      </w:rPr>
                      <w:t>Test </w:t>
                    </w:r>
                    <w:r>
                      <w:rPr>
                        <w:sz w:val="18"/>
                      </w:rPr>
                      <w:t>‘N </w:t>
                    </w:r>
                    <w:r>
                      <w:rPr>
                        <w:spacing w:val="-6"/>
                        <w:sz w:val="18"/>
                      </w:rPr>
                      <w:t>Tube™ </w:t>
                    </w:r>
                    <w:r>
                      <w:rPr>
                        <w:sz w:val="18"/>
                      </w:rPr>
                      <w:t>NitriVer</w:t>
                    </w:r>
                    <w:r>
                      <w:rPr>
                        <w:position w:val="4"/>
                        <w:sz w:val="14"/>
                      </w:rPr>
                      <w:t>® </w:t>
                    </w:r>
                    <w:r>
                      <w:rPr>
                        <w:sz w:val="18"/>
                      </w:rPr>
                      <w:t>3 Nitrite Reagent Set</w:t>
                    </w:r>
                  </w:p>
                </w:txbxContent>
              </v:textbox>
              <w10:wrap type="none"/>
            </v:shape>
            <v:shape style="position:absolute;left:10390;top:390;width:101;height:180" type="#_x0000_t202" filled="false" stroked="false">
              <v:textbox inset="0,0,0,0">
                <w:txbxContent>
                  <w:p>
                    <w:pPr>
                      <w:spacing w:line="180" w:lineRule="exact" w:before="0"/>
                      <w:ind w:left="0" w:right="0" w:firstLine="0"/>
                      <w:jc w:val="left"/>
                      <w:rPr>
                        <w:sz w:val="18"/>
                      </w:rPr>
                    </w:pPr>
                    <w:r>
                      <w:rPr>
                        <w:sz w:val="18"/>
                      </w:rPr>
                      <w:t>1</w:t>
                    </w:r>
                  </w:p>
                </w:txbxContent>
              </v:textbox>
              <w10:wrap type="none"/>
            </v:shape>
            <w10:wrap type="topAndBottom"/>
          </v:group>
        </w:pict>
      </w:r>
      <w:r>
        <w:rPr>
          <w:b/>
          <w:sz w:val="18"/>
        </w:rPr>
        <w:t>Collect the</w:t>
      </w:r>
      <w:r>
        <w:rPr>
          <w:b/>
          <w:spacing w:val="-6"/>
          <w:sz w:val="18"/>
        </w:rPr>
        <w:t> </w:t>
      </w:r>
      <w:r>
        <w:rPr>
          <w:b/>
          <w:sz w:val="18"/>
        </w:rPr>
        <w:t>following</w:t>
      </w:r>
      <w:r>
        <w:rPr>
          <w:b/>
          <w:spacing w:val="-4"/>
          <w:sz w:val="18"/>
        </w:rPr>
        <w:t> </w:t>
      </w:r>
      <w:r>
        <w:rPr>
          <w:b/>
          <w:sz w:val="18"/>
        </w:rPr>
        <w:t>items:</w:t>
        <w:tab/>
        <w:t>Quantity</w:t>
      </w:r>
    </w:p>
    <w:p>
      <w:pPr>
        <w:spacing w:line="206" w:lineRule="exact" w:before="0"/>
        <w:ind w:left="219" w:right="0" w:firstLine="0"/>
        <w:jc w:val="left"/>
        <w:rPr>
          <w:i/>
          <w:sz w:val="18"/>
        </w:rPr>
      </w:pPr>
      <w:r>
        <w:rPr>
          <w:b/>
          <w:i/>
          <w:sz w:val="18"/>
        </w:rPr>
        <w:t>Note: </w:t>
      </w:r>
      <w:r>
        <w:rPr>
          <w:i/>
          <w:sz w:val="18"/>
        </w:rPr>
        <w:t>Reorder information for consumables and replacement items is on page </w:t>
      </w:r>
      <w:r>
        <w:rPr>
          <w:i/>
          <w:color w:val="0000FF"/>
          <w:sz w:val="18"/>
        </w:rPr>
        <w:t>3</w:t>
      </w:r>
      <w:r>
        <w:rPr>
          <w:i/>
          <w:sz w:val="18"/>
        </w:rPr>
        <w:t>.</w:t>
      </w:r>
    </w:p>
    <w:p>
      <w:pPr>
        <w:pStyle w:val="BodyText"/>
        <w:rPr>
          <w:i/>
          <w:sz w:val="20"/>
        </w:rPr>
      </w:pPr>
    </w:p>
    <w:p>
      <w:pPr>
        <w:pStyle w:val="BodyText"/>
        <w:rPr>
          <w:i/>
          <w:sz w:val="20"/>
        </w:rPr>
      </w:pPr>
    </w:p>
    <w:p>
      <w:pPr>
        <w:pStyle w:val="BodyText"/>
        <w:spacing w:before="2"/>
        <w:rPr>
          <w:i/>
          <w:sz w:val="19"/>
        </w:rPr>
      </w:pPr>
      <w:r>
        <w:rPr/>
        <w:pict>
          <v:shape style="position:absolute;margin-left:54pt;margin-top:12.242718pt;width:504pt;height:19.25pt;mso-position-horizontal-relative:page;mso-position-vertical-relative:paragraph;z-index:11056;mso-wrap-distance-left:0;mso-wrap-distance-right:0" type="#_x0000_t202" filled="true" fillcolor="#bcbec0" stroked="false">
            <v:textbox inset="0,0,0,0">
              <w:txbxContent>
                <w:p>
                  <w:pPr>
                    <w:tabs>
                      <w:tab w:pos="8061" w:val="left" w:leader="none"/>
                    </w:tabs>
                    <w:spacing w:before="0"/>
                    <w:ind w:left="192" w:right="0" w:firstLine="0"/>
                    <w:jc w:val="left"/>
                    <w:rPr>
                      <w:b/>
                      <w:sz w:val="28"/>
                    </w:rPr>
                  </w:pPr>
                  <w:r>
                    <w:rPr>
                      <w:b/>
                      <w:color w:val="FFFFFF"/>
                      <w:spacing w:val="-5"/>
                      <w:sz w:val="28"/>
                    </w:rPr>
                    <w:t>Test</w:t>
                  </w:r>
                  <w:r>
                    <w:rPr>
                      <w:b/>
                      <w:color w:val="FFFFFF"/>
                      <w:sz w:val="28"/>
                    </w:rPr>
                    <w:t> ‘N </w:t>
                  </w:r>
                  <w:r>
                    <w:rPr>
                      <w:b/>
                      <w:color w:val="FFFFFF"/>
                      <w:spacing w:val="-7"/>
                      <w:sz w:val="28"/>
                    </w:rPr>
                    <w:t>Tube</w:t>
                    <w:tab/>
                  </w:r>
                  <w:r>
                    <w:rPr>
                      <w:b/>
                      <w:color w:val="FFFFFF"/>
                      <w:sz w:val="28"/>
                    </w:rPr>
                    <w:t>Method</w:t>
                  </w:r>
                  <w:r>
                    <w:rPr>
                      <w:b/>
                      <w:color w:val="FFFFFF"/>
                      <w:spacing w:val="-3"/>
                      <w:sz w:val="28"/>
                    </w:rPr>
                    <w:t> </w:t>
                  </w:r>
                  <w:r>
                    <w:rPr>
                      <w:b/>
                      <w:color w:val="FFFFFF"/>
                      <w:sz w:val="28"/>
                    </w:rPr>
                    <w:t>10019</w:t>
                  </w:r>
                </w:p>
              </w:txbxContent>
            </v:textbox>
            <v:fill type="solid"/>
            <w10:wrap type="topAndBottom"/>
          </v:shape>
        </w:pict>
      </w:r>
      <w:r>
        <w:rPr/>
        <w:pict>
          <v:group style="position:absolute;margin-left:54pt;margin-top:47.691719pt;width:122.4pt;height:122.4pt;mso-position-horizontal-relative:page;mso-position-vertical-relative:paragraph;z-index:11080;mso-wrap-distance-left:0;mso-wrap-distance-right:0" coordorigin="1080,954" coordsize="2448,2448">
            <v:rect style="position:absolute;left:1256;top:2055;width:2091;height:216" filled="true" fillcolor="#231f20" stroked="false">
              <v:fill type="solid"/>
            </v:rect>
            <v:shape style="position:absolute;left:1347;top:2109;width:256;height:117" type="#_x0000_t75" stroked="false">
              <v:imagedata r:id="rId174" o:title=""/>
            </v:shape>
            <v:shape style="position:absolute;left:1713;top:2108;width:139;height:142" type="#_x0000_t75" stroked="false">
              <v:imagedata r:id="rId175" o:title=""/>
            </v:shape>
            <v:shape style="position:absolute;left:1912;top:2107;width:447;height:118" type="#_x0000_t75" stroked="false">
              <v:imagedata r:id="rId176" o:title=""/>
            </v:shape>
            <v:shape style="position:absolute;left:2419;top:2108;width:194;height:115" type="#_x0000_t75" stroked="false">
              <v:imagedata r:id="rId177" o:title=""/>
            </v:shape>
            <v:shape style="position:absolute;left:2651;top:2108;width:307;height:115" type="#_x0000_t75" stroked="false">
              <v:imagedata r:id="rId178" o:title=""/>
            </v:shape>
            <v:rect style="position:absolute;left:1200;top:954;width:2328;height:120" filled="true" fillcolor="#b3b3b3" stroked="false">
              <v:fill type="solid"/>
            </v:rect>
            <v:rect style="position:absolute;left:3408;top:1014;width:120;height:2388" filled="true" fillcolor="#b3b3b3" stroked="false">
              <v:fill type="solid"/>
            </v:rect>
            <v:rect style="position:absolute;left:1080;top:3282;width:2388;height:120" filled="true" fillcolor="#b3b3b3" stroked="false">
              <v:fill type="solid"/>
            </v:rect>
            <v:rect style="position:absolute;left:1080;top:954;width:120;height:2388" filled="true" fillcolor="#b3b3b3" stroked="false">
              <v:fill type="solid"/>
            </v:rect>
            <w10:wrap type="topAndBottom"/>
          </v:group>
        </w:pict>
      </w:r>
      <w:r>
        <w:rPr/>
        <w:pict>
          <v:group style="position:absolute;margin-left:182.220001pt;margin-top:47.691719pt;width:122.4pt;height:122.4pt;mso-position-horizontal-relative:page;mso-position-vertical-relative:paragraph;z-index:11104;mso-wrap-distance-left:0;mso-wrap-distance-right:0" coordorigin="3644,954" coordsize="2448,2448">
            <v:rect style="position:absolute;left:4825;top:1074;width:122;height:191" filled="true" fillcolor="#231f20" stroked="false">
              <v:fill type="solid"/>
            </v:rect>
            <v:shape style="position:absolute;left:4800;top:2215;width:162;height:974" coordorigin="4800,2215" coordsize="162,974" path="m4800,2215l4802,3113,4850,3183,4881,3189,4912,3183,4937,3167,4954,3144,4961,3115,4962,2215e" filled="false" stroked="true" strokeweight=".864pt" strokecolor="#231f20">
              <v:path arrowok="t"/>
            </v:shape>
            <v:shape style="position:absolute;left:4792;top:2112;width:176;height:119" type="#_x0000_t75" stroked="false">
              <v:imagedata r:id="rId179" o:title=""/>
            </v:shape>
            <v:shape style="position:absolute;left:4805;top:1127;width:162;height:960" coordorigin="4805,1127" coordsize="162,960" path="m4966,1127l4805,1127,4805,1886,4814,1928,4835,1961,4856,1997,4865,2046,4865,2086,4905,2086,4905,2046,4915,1997,4936,1962,4957,1929,4966,1887,4966,1127xe" filled="true" fillcolor="#231f20" stroked="false">
              <v:path arrowok="t"/>
              <v:fill type="solid"/>
            </v:shape>
            <v:shape style="position:absolute;left:4825;top:1149;width:123;height:917" coordorigin="4825,1149" coordsize="123,917" path="m4947,1149l4825,1149,4825,1887,4833,1926,4853,1956,4874,1988,4885,2034,4885,2066,4889,2066,4889,2034,4898,1994,4918,1962,4938,1930,4947,1888,4947,1149xe" filled="true" fillcolor="#ffffff" stroked="false">
              <v:path arrowok="t"/>
              <v:fill type="solid"/>
            </v:shape>
            <v:rect style="position:absolute;left:3764;top:954;width:2328;height:120" filled="true" fillcolor="#b3b3b3" stroked="false">
              <v:fill type="solid"/>
            </v:rect>
            <v:rect style="position:absolute;left:5972;top:1014;width:120;height:2388" filled="true" fillcolor="#b3b3b3" stroked="false">
              <v:fill type="solid"/>
            </v:rect>
            <v:rect style="position:absolute;left:3644;top:3282;width:2388;height:120" filled="true" fillcolor="#b3b3b3" stroked="false">
              <v:fill type="solid"/>
            </v:rect>
            <v:rect style="position:absolute;left:3644;top:954;width:120;height:2388" filled="true" fillcolor="#b3b3b3" stroked="false">
              <v:fill type="solid"/>
            </v:rect>
            <w10:wrap type="topAndBottom"/>
          </v:group>
        </w:pict>
      </w:r>
      <w:r>
        <w:rPr/>
        <w:pict>
          <v:group style="position:absolute;margin-left:310.5pt;margin-top:47.691719pt;width:122.4pt;height:122.4pt;mso-position-horizontal-relative:page;mso-position-vertical-relative:paragraph;z-index:11128;mso-wrap-distance-left:0;mso-wrap-distance-right:0" coordorigin="6210,954" coordsize="2448,2448">
            <v:rect style="position:absolute;left:6330;top:954;width:2328;height:120" filled="true" fillcolor="#b3b3b3" stroked="false">
              <v:fill type="solid"/>
            </v:rect>
            <v:rect style="position:absolute;left:8538;top:1014;width:120;height:2388" filled="true" fillcolor="#b3b3b3" stroked="false">
              <v:fill type="solid"/>
            </v:rect>
            <v:rect style="position:absolute;left:6210;top:3282;width:2388;height:120" filled="true" fillcolor="#b3b3b3" stroked="false">
              <v:fill type="solid"/>
            </v:rect>
            <v:rect style="position:absolute;left:6210;top:954;width:120;height:2388" filled="true" fillcolor="#b3b3b3" stroked="false">
              <v:fill type="solid"/>
            </v:rect>
            <w10:wrap type="topAndBottom"/>
          </v:group>
        </w:pict>
      </w:r>
      <w:r>
        <w:rPr/>
        <w:pict>
          <v:group style="position:absolute;margin-left:438.720001pt;margin-top:47.691719pt;width:122.4pt;height:122.4pt;mso-position-horizontal-relative:page;mso-position-vertical-relative:paragraph;z-index:11152;mso-wrap-distance-left:0;mso-wrap-distance-right:0" coordorigin="8774,954" coordsize="2448,2448">
            <v:rect style="position:absolute;left:8894;top:954;width:2328;height:120" filled="true" fillcolor="#b3b3b3" stroked="false">
              <v:fill type="solid"/>
            </v:rect>
            <v:rect style="position:absolute;left:11102;top:1014;width:120;height:2388" filled="true" fillcolor="#b3b3b3" stroked="false">
              <v:fill type="solid"/>
            </v:rect>
            <v:rect style="position:absolute;left:8774;top:3282;width:2388;height:120" filled="true" fillcolor="#b3b3b3" stroked="false">
              <v:fill type="solid"/>
            </v:rect>
            <v:rect style="position:absolute;left:8774;top:954;width:120;height:2388" filled="true" fillcolor="#b3b3b3" stroked="false">
              <v:fill type="solid"/>
            </v:rect>
            <w10:wrap type="topAndBottom"/>
          </v:group>
        </w:pict>
      </w:r>
    </w:p>
    <w:p>
      <w:pPr>
        <w:pStyle w:val="BodyText"/>
        <w:spacing w:before="6"/>
        <w:rPr>
          <w:i/>
          <w:sz w:val="23"/>
        </w:rPr>
      </w:pPr>
    </w:p>
    <w:p>
      <w:pPr>
        <w:pStyle w:val="BodyText"/>
        <w:spacing w:before="1"/>
        <w:rPr>
          <w:i/>
          <w:sz w:val="6"/>
        </w:rPr>
      </w:pPr>
    </w:p>
    <w:p>
      <w:pPr>
        <w:spacing w:after="0"/>
        <w:rPr>
          <w:sz w:val="6"/>
        </w:rPr>
        <w:sectPr>
          <w:headerReference w:type="default" r:id="rId170"/>
          <w:footerReference w:type="default" r:id="rId171"/>
          <w:pgSz w:w="11900" w:h="15840"/>
          <w:pgMar w:header="0" w:footer="0" w:top="540" w:bottom="0" w:left="940" w:right="560"/>
        </w:sectPr>
      </w:pPr>
    </w:p>
    <w:p>
      <w:pPr>
        <w:tabs>
          <w:tab w:pos="2704" w:val="left" w:leader="none"/>
        </w:tabs>
        <w:spacing w:line="229" w:lineRule="exact" w:before="7"/>
        <w:ind w:left="140" w:right="0" w:firstLine="0"/>
        <w:jc w:val="left"/>
        <w:rPr>
          <w:sz w:val="20"/>
        </w:rPr>
      </w:pPr>
      <w:r>
        <w:rPr/>
        <w:drawing>
          <wp:anchor distT="0" distB="0" distL="0" distR="0" allowOverlap="1" layoutInCell="1" locked="0" behindDoc="1" simplePos="0" relativeHeight="266914847">
            <wp:simplePos x="0" y="0"/>
            <wp:positionH relativeFrom="page">
              <wp:posOffset>822960</wp:posOffset>
            </wp:positionH>
            <wp:positionV relativeFrom="paragraph">
              <wp:posOffset>-1342517</wp:posOffset>
            </wp:positionV>
            <wp:extent cx="1256780" cy="308324"/>
            <wp:effectExtent l="0" t="0" r="0" b="0"/>
            <wp:wrapNone/>
            <wp:docPr id="121" name="image130.png" descr=""/>
            <wp:cNvGraphicFramePr>
              <a:graphicFrameLocks noChangeAspect="1"/>
            </wp:cNvGraphicFramePr>
            <a:graphic>
              <a:graphicData uri="http://schemas.openxmlformats.org/drawingml/2006/picture">
                <pic:pic>
                  <pic:nvPicPr>
                    <pic:cNvPr id="122" name="image130.png"/>
                    <pic:cNvPicPr/>
                  </pic:nvPicPr>
                  <pic:blipFill>
                    <a:blip r:embed="rId144" cstate="print"/>
                    <a:stretch>
                      <a:fillRect/>
                    </a:stretch>
                  </pic:blipFill>
                  <pic:spPr>
                    <a:xfrm>
                      <a:off x="0" y="0"/>
                      <a:ext cx="1256780" cy="308324"/>
                    </a:xfrm>
                    <a:prstGeom prst="rect">
                      <a:avLst/>
                    </a:prstGeom>
                  </pic:spPr>
                </pic:pic>
              </a:graphicData>
            </a:graphic>
          </wp:anchor>
        </w:drawing>
      </w:r>
      <w:r>
        <w:rPr/>
        <w:drawing>
          <wp:anchor distT="0" distB="0" distL="0" distR="0" allowOverlap="1" layoutInCell="1" locked="0" behindDoc="1" simplePos="0" relativeHeight="266914871">
            <wp:simplePos x="0" y="0"/>
            <wp:positionH relativeFrom="page">
              <wp:posOffset>1148333</wp:posOffset>
            </wp:positionH>
            <wp:positionV relativeFrom="paragraph">
              <wp:posOffset>-655193</wp:posOffset>
            </wp:positionV>
            <wp:extent cx="593582" cy="276701"/>
            <wp:effectExtent l="0" t="0" r="0" b="0"/>
            <wp:wrapNone/>
            <wp:docPr id="123" name="image131.png" descr=""/>
            <wp:cNvGraphicFramePr>
              <a:graphicFrameLocks noChangeAspect="1"/>
            </wp:cNvGraphicFramePr>
            <a:graphic>
              <a:graphicData uri="http://schemas.openxmlformats.org/drawingml/2006/picture">
                <pic:pic>
                  <pic:nvPicPr>
                    <pic:cNvPr id="124" name="image131.png"/>
                    <pic:cNvPicPr/>
                  </pic:nvPicPr>
                  <pic:blipFill>
                    <a:blip r:embed="rId145" cstate="print"/>
                    <a:stretch>
                      <a:fillRect/>
                    </a:stretch>
                  </pic:blipFill>
                  <pic:spPr>
                    <a:xfrm>
                      <a:off x="0" y="0"/>
                      <a:ext cx="593582" cy="276701"/>
                    </a:xfrm>
                    <a:prstGeom prst="rect">
                      <a:avLst/>
                    </a:prstGeom>
                  </pic:spPr>
                </pic:pic>
              </a:graphicData>
            </a:graphic>
          </wp:anchor>
        </w:drawing>
      </w:r>
      <w:r>
        <w:rPr/>
        <w:pict>
          <v:rect style="position:absolute;margin-left:253.557999pt;margin-top:-21.790026pt;width:8.008000pt;height:5.824pt;mso-position-horizontal-relative:page;mso-position-vertical-relative:paragraph;z-index:-1520560" filled="true" fillcolor="#231f20" stroked="false">
            <v:fill type="solid"/>
            <w10:wrap type="none"/>
          </v:rect>
        </w:pict>
      </w:r>
      <w:r>
        <w:rPr/>
        <w:pict>
          <v:group style="position:absolute;margin-left:368.225006pt;margin-top:-103.001022pt;width:11pt;height:74.1pt;mso-position-horizontal-relative:page;mso-position-vertical-relative:paragraph;z-index:-1520536" coordorigin="7365,-2060" coordsize="220,1482">
            <v:shape style="position:absolute;left:7376;top:-1950;width:198;height:1361" coordorigin="7376,-1950" coordsize="198,1361" path="m7573,-686l7573,-1847,7569,-1871,7560,-1880,7551,-1884,7547,-1894,7547,-1950,7403,-1950,7403,-1949,7403,-1943,7403,-1926,7403,-1894,7399,-1884,7389,-1880,7380,-1870,7376,-1846,7376,-688,7384,-650,7405,-619,7436,-598,7474,-590,7512,-598,7543,-619,7565,-649,7573,-686xe" filled="false" stroked="true" strokeweight="1.08pt" strokecolor="#231f20">
              <v:path arrowok="t"/>
            </v:shape>
            <v:rect style="position:absolute;left:7376;top:-2060;width:197;height:151" filled="true" fillcolor="#231f20" stroked="false">
              <v:fill type="solid"/>
            </v:rect>
            <w10:wrap type="none"/>
          </v:group>
        </w:pict>
      </w:r>
      <w:r>
        <w:rPr/>
        <w:pict>
          <v:group style="position:absolute;margin-left:382.432007pt;margin-top:-86.288025pt;width:5.65pt;height:48.65pt;mso-position-horizontal-relative:page;mso-position-vertical-relative:paragraph;z-index:-1520512" coordorigin="7649,-1726" coordsize="113,973">
            <v:shape style="position:absolute;left:7649;top:-885;width:112;height:132" type="#_x0000_t75" stroked="false">
              <v:imagedata r:id="rId180" o:title=""/>
            </v:shape>
            <v:shape style="position:absolute;left:7649;top:-1726;width:112;height:132" type="#_x0000_t75" stroked="false">
              <v:imagedata r:id="rId181" o:title=""/>
            </v:shape>
            <v:line style="position:absolute" from="7700,-1643" to="7700,-858" stroked="true" strokeweight=".947pt" strokecolor="#231f20"/>
            <w10:wrap type="none"/>
          </v:group>
        </w:pict>
      </w:r>
      <w:r>
        <w:rPr/>
        <w:drawing>
          <wp:anchor distT="0" distB="0" distL="0" distR="0" allowOverlap="1" layoutInCell="1" locked="0" behindDoc="0" simplePos="0" relativeHeight="11320">
            <wp:simplePos x="0" y="0"/>
            <wp:positionH relativeFrom="page">
              <wp:posOffset>5970092</wp:posOffset>
            </wp:positionH>
            <wp:positionV relativeFrom="paragraph">
              <wp:posOffset>-475602</wp:posOffset>
            </wp:positionV>
            <wp:extent cx="146656" cy="214693"/>
            <wp:effectExtent l="0" t="0" r="0" b="0"/>
            <wp:wrapNone/>
            <wp:docPr id="125" name="image158.png" descr=""/>
            <wp:cNvGraphicFramePr>
              <a:graphicFrameLocks noChangeAspect="1"/>
            </wp:cNvGraphicFramePr>
            <a:graphic>
              <a:graphicData uri="http://schemas.openxmlformats.org/drawingml/2006/picture">
                <pic:pic>
                  <pic:nvPicPr>
                    <pic:cNvPr id="126" name="image158.png"/>
                    <pic:cNvPicPr/>
                  </pic:nvPicPr>
                  <pic:blipFill>
                    <a:blip r:embed="rId182" cstate="print"/>
                    <a:stretch>
                      <a:fillRect/>
                    </a:stretch>
                  </pic:blipFill>
                  <pic:spPr>
                    <a:xfrm>
                      <a:off x="0" y="0"/>
                      <a:ext cx="146656" cy="214693"/>
                    </a:xfrm>
                    <a:prstGeom prst="rect">
                      <a:avLst/>
                    </a:prstGeom>
                  </pic:spPr>
                </pic:pic>
              </a:graphicData>
            </a:graphic>
          </wp:anchor>
        </w:drawing>
      </w:r>
      <w:r>
        <w:rPr/>
        <w:drawing>
          <wp:anchor distT="0" distB="0" distL="0" distR="0" allowOverlap="1" layoutInCell="1" locked="0" behindDoc="0" simplePos="0" relativeHeight="11344">
            <wp:simplePos x="0" y="0"/>
            <wp:positionH relativeFrom="page">
              <wp:posOffset>6141389</wp:posOffset>
            </wp:positionH>
            <wp:positionV relativeFrom="paragraph">
              <wp:posOffset>-475602</wp:posOffset>
            </wp:positionV>
            <wp:extent cx="151045" cy="223837"/>
            <wp:effectExtent l="0" t="0" r="0" b="0"/>
            <wp:wrapNone/>
            <wp:docPr id="127" name="image159.png" descr=""/>
            <wp:cNvGraphicFramePr>
              <a:graphicFrameLocks noChangeAspect="1"/>
            </wp:cNvGraphicFramePr>
            <a:graphic>
              <a:graphicData uri="http://schemas.openxmlformats.org/drawingml/2006/picture">
                <pic:pic>
                  <pic:nvPicPr>
                    <pic:cNvPr id="128" name="image159.png"/>
                    <pic:cNvPicPr/>
                  </pic:nvPicPr>
                  <pic:blipFill>
                    <a:blip r:embed="rId183" cstate="print"/>
                    <a:stretch>
                      <a:fillRect/>
                    </a:stretch>
                  </pic:blipFill>
                  <pic:spPr>
                    <a:xfrm>
                      <a:off x="0" y="0"/>
                      <a:ext cx="151045" cy="223837"/>
                    </a:xfrm>
                    <a:prstGeom prst="rect">
                      <a:avLst/>
                    </a:prstGeom>
                  </pic:spPr>
                </pic:pic>
              </a:graphicData>
            </a:graphic>
          </wp:anchor>
        </w:drawing>
      </w:r>
      <w:r>
        <w:rPr/>
        <w:drawing>
          <wp:anchor distT="0" distB="0" distL="0" distR="0" allowOverlap="1" layoutInCell="1" locked="0" behindDoc="0" simplePos="0" relativeHeight="11368">
            <wp:simplePos x="0" y="0"/>
            <wp:positionH relativeFrom="page">
              <wp:posOffset>6306908</wp:posOffset>
            </wp:positionH>
            <wp:positionV relativeFrom="paragraph">
              <wp:posOffset>-475602</wp:posOffset>
            </wp:positionV>
            <wp:extent cx="257246" cy="223837"/>
            <wp:effectExtent l="0" t="0" r="0" b="0"/>
            <wp:wrapNone/>
            <wp:docPr id="129" name="image160.png" descr=""/>
            <wp:cNvGraphicFramePr>
              <a:graphicFrameLocks noChangeAspect="1"/>
            </wp:cNvGraphicFramePr>
            <a:graphic>
              <a:graphicData uri="http://schemas.openxmlformats.org/drawingml/2006/picture">
                <pic:pic>
                  <pic:nvPicPr>
                    <pic:cNvPr id="130" name="image160.png"/>
                    <pic:cNvPicPr/>
                  </pic:nvPicPr>
                  <pic:blipFill>
                    <a:blip r:embed="rId184" cstate="print"/>
                    <a:stretch>
                      <a:fillRect/>
                    </a:stretch>
                  </pic:blipFill>
                  <pic:spPr>
                    <a:xfrm>
                      <a:off x="0" y="0"/>
                      <a:ext cx="257246" cy="223837"/>
                    </a:xfrm>
                    <a:prstGeom prst="rect">
                      <a:avLst/>
                    </a:prstGeom>
                  </pic:spPr>
                </pic:pic>
              </a:graphicData>
            </a:graphic>
          </wp:anchor>
        </w:drawing>
      </w:r>
      <w:r>
        <w:rPr/>
        <w:drawing>
          <wp:anchor distT="0" distB="0" distL="0" distR="0" allowOverlap="1" layoutInCell="1" locked="0" behindDoc="0" simplePos="0" relativeHeight="11392">
            <wp:simplePos x="0" y="0"/>
            <wp:positionH relativeFrom="page">
              <wp:posOffset>6581838</wp:posOffset>
            </wp:positionH>
            <wp:positionV relativeFrom="paragraph">
              <wp:posOffset>-475602</wp:posOffset>
            </wp:positionV>
            <wp:extent cx="151045" cy="223837"/>
            <wp:effectExtent l="0" t="0" r="0" b="0"/>
            <wp:wrapNone/>
            <wp:docPr id="131" name="image161.png" descr=""/>
            <wp:cNvGraphicFramePr>
              <a:graphicFrameLocks noChangeAspect="1"/>
            </wp:cNvGraphicFramePr>
            <a:graphic>
              <a:graphicData uri="http://schemas.openxmlformats.org/drawingml/2006/picture">
                <pic:pic>
                  <pic:nvPicPr>
                    <pic:cNvPr id="132" name="image161.png"/>
                    <pic:cNvPicPr/>
                  </pic:nvPicPr>
                  <pic:blipFill>
                    <a:blip r:embed="rId185" cstate="print"/>
                    <a:stretch>
                      <a:fillRect/>
                    </a:stretch>
                  </pic:blipFill>
                  <pic:spPr>
                    <a:xfrm>
                      <a:off x="0" y="0"/>
                      <a:ext cx="151045" cy="223837"/>
                    </a:xfrm>
                    <a:prstGeom prst="rect">
                      <a:avLst/>
                    </a:prstGeom>
                  </pic:spPr>
                </pic:pic>
              </a:graphicData>
            </a:graphic>
          </wp:anchor>
        </w:drawing>
      </w:r>
      <w:r>
        <w:rPr/>
        <w:drawing>
          <wp:anchor distT="0" distB="0" distL="0" distR="0" allowOverlap="1" layoutInCell="1" locked="0" behindDoc="0" simplePos="0" relativeHeight="11416">
            <wp:simplePos x="0" y="0"/>
            <wp:positionH relativeFrom="page">
              <wp:posOffset>6051041</wp:posOffset>
            </wp:positionH>
            <wp:positionV relativeFrom="paragraph">
              <wp:posOffset>-886841</wp:posOffset>
            </wp:positionV>
            <wp:extent cx="599092" cy="280035"/>
            <wp:effectExtent l="0" t="0" r="0" b="0"/>
            <wp:wrapNone/>
            <wp:docPr id="133" name="image137.png" descr=""/>
            <wp:cNvGraphicFramePr>
              <a:graphicFrameLocks noChangeAspect="1"/>
            </wp:cNvGraphicFramePr>
            <a:graphic>
              <a:graphicData uri="http://schemas.openxmlformats.org/drawingml/2006/picture">
                <pic:pic>
                  <pic:nvPicPr>
                    <pic:cNvPr id="134" name="image137.png"/>
                    <pic:cNvPicPr/>
                  </pic:nvPicPr>
                  <pic:blipFill>
                    <a:blip r:embed="rId153" cstate="print"/>
                    <a:stretch>
                      <a:fillRect/>
                    </a:stretch>
                  </pic:blipFill>
                  <pic:spPr>
                    <a:xfrm>
                      <a:off x="0" y="0"/>
                      <a:ext cx="599092" cy="280035"/>
                    </a:xfrm>
                    <a:prstGeom prst="rect">
                      <a:avLst/>
                    </a:prstGeom>
                  </pic:spPr>
                </pic:pic>
              </a:graphicData>
            </a:graphic>
          </wp:anchor>
        </w:drawing>
      </w:r>
      <w:r>
        <w:rPr/>
        <w:drawing>
          <wp:anchor distT="0" distB="0" distL="0" distR="0" allowOverlap="1" layoutInCell="1" locked="0" behindDoc="0" simplePos="0" relativeHeight="11440">
            <wp:simplePos x="0" y="0"/>
            <wp:positionH relativeFrom="page">
              <wp:posOffset>6158484</wp:posOffset>
            </wp:positionH>
            <wp:positionV relativeFrom="paragraph">
              <wp:posOffset>-1427861</wp:posOffset>
            </wp:positionV>
            <wp:extent cx="381000" cy="457200"/>
            <wp:effectExtent l="0" t="0" r="0" b="0"/>
            <wp:wrapNone/>
            <wp:docPr id="135" name="image138.png" descr=""/>
            <wp:cNvGraphicFramePr>
              <a:graphicFrameLocks noChangeAspect="1"/>
            </wp:cNvGraphicFramePr>
            <a:graphic>
              <a:graphicData uri="http://schemas.openxmlformats.org/drawingml/2006/picture">
                <pic:pic>
                  <pic:nvPicPr>
                    <pic:cNvPr id="136" name="image138.png"/>
                    <pic:cNvPicPr/>
                  </pic:nvPicPr>
                  <pic:blipFill>
                    <a:blip r:embed="rId154" cstate="print"/>
                    <a:stretch>
                      <a:fillRect/>
                    </a:stretch>
                  </pic:blipFill>
                  <pic:spPr>
                    <a:xfrm>
                      <a:off x="0" y="0"/>
                      <a:ext cx="381000" cy="457200"/>
                    </a:xfrm>
                    <a:prstGeom prst="rect">
                      <a:avLst/>
                    </a:prstGeom>
                  </pic:spPr>
                </pic:pic>
              </a:graphicData>
            </a:graphic>
          </wp:anchor>
        </w:drawing>
      </w:r>
      <w:r>
        <w:rPr>
          <w:b/>
          <w:sz w:val="20"/>
        </w:rPr>
        <w:t>1.   </w:t>
      </w:r>
      <w:r>
        <w:rPr>
          <w:sz w:val="20"/>
        </w:rPr>
        <w:t>Select</w:t>
      </w:r>
      <w:r>
        <w:rPr>
          <w:spacing w:val="23"/>
          <w:sz w:val="20"/>
        </w:rPr>
        <w:t> </w:t>
      </w:r>
      <w:r>
        <w:rPr>
          <w:sz w:val="20"/>
        </w:rPr>
        <w:t>the</w:t>
      </w:r>
      <w:r>
        <w:rPr>
          <w:spacing w:val="-2"/>
          <w:sz w:val="20"/>
        </w:rPr>
        <w:t> </w:t>
      </w:r>
      <w:r>
        <w:rPr>
          <w:sz w:val="20"/>
        </w:rPr>
        <w:t>test.</w:t>
        <w:tab/>
      </w:r>
      <w:r>
        <w:rPr>
          <w:b/>
          <w:sz w:val="20"/>
        </w:rPr>
        <w:t>2.   </w:t>
      </w:r>
      <w:r>
        <w:rPr>
          <w:sz w:val="20"/>
        </w:rPr>
        <w:t>Fill a </w:t>
      </w:r>
      <w:r>
        <w:rPr>
          <w:spacing w:val="-6"/>
          <w:sz w:val="20"/>
        </w:rPr>
        <w:t>Test </w:t>
      </w:r>
      <w:r>
        <w:rPr>
          <w:sz w:val="20"/>
        </w:rPr>
        <w:t>‘N</w:t>
      </w:r>
      <w:r>
        <w:rPr>
          <w:spacing w:val="23"/>
          <w:sz w:val="20"/>
        </w:rPr>
        <w:t> </w:t>
      </w:r>
      <w:r>
        <w:rPr>
          <w:spacing w:val="-6"/>
          <w:sz w:val="20"/>
        </w:rPr>
        <w:t>Tube</w:t>
      </w:r>
    </w:p>
    <w:p>
      <w:pPr>
        <w:spacing w:line="249" w:lineRule="auto" w:before="0"/>
        <w:ind w:left="2704" w:right="-11" w:firstLine="0"/>
        <w:jc w:val="left"/>
        <w:rPr>
          <w:sz w:val="20"/>
        </w:rPr>
      </w:pPr>
      <w:r>
        <w:rPr>
          <w:sz w:val="20"/>
        </w:rPr>
        <w:t>NitriVer</w:t>
      </w:r>
      <w:r>
        <w:rPr>
          <w:position w:val="5"/>
          <w:sz w:val="16"/>
        </w:rPr>
        <w:t>® </w:t>
      </w:r>
      <w:r>
        <w:rPr>
          <w:sz w:val="20"/>
        </w:rPr>
        <w:t>3 Nitrite vial</w:t>
      </w:r>
      <w:r>
        <w:rPr>
          <w:spacing w:val="-10"/>
          <w:sz w:val="20"/>
        </w:rPr>
        <w:t> </w:t>
      </w:r>
      <w:r>
        <w:rPr>
          <w:sz w:val="20"/>
        </w:rPr>
        <w:t>with 5 mL of</w:t>
      </w:r>
      <w:r>
        <w:rPr>
          <w:spacing w:val="-10"/>
          <w:sz w:val="20"/>
        </w:rPr>
        <w:t> </w:t>
      </w:r>
      <w:r>
        <w:rPr>
          <w:sz w:val="20"/>
        </w:rPr>
        <w:t>sample.</w:t>
      </w:r>
    </w:p>
    <w:p>
      <w:pPr>
        <w:pStyle w:val="ListParagraph"/>
        <w:numPr>
          <w:ilvl w:val="0"/>
          <w:numId w:val="23"/>
        </w:numPr>
        <w:tabs>
          <w:tab w:pos="500" w:val="left" w:leader="none"/>
        </w:tabs>
        <w:spacing w:line="249" w:lineRule="auto" w:before="7" w:after="0"/>
        <w:ind w:left="140" w:right="0" w:firstLine="0"/>
        <w:jc w:val="left"/>
        <w:rPr>
          <w:sz w:val="20"/>
        </w:rPr>
      </w:pPr>
      <w:r>
        <w:rPr>
          <w:b/>
          <w:w w:val="99"/>
          <w:sz w:val="20"/>
        </w:rPr>
        <w:br w:type="column"/>
      </w:r>
      <w:r>
        <w:rPr>
          <w:b/>
          <w:sz w:val="20"/>
        </w:rPr>
        <w:t>Prepared Sample: </w:t>
      </w:r>
      <w:r>
        <w:rPr>
          <w:sz w:val="20"/>
        </w:rPr>
        <w:t>Cap</w:t>
      </w:r>
      <w:r>
        <w:rPr>
          <w:spacing w:val="-11"/>
          <w:sz w:val="20"/>
        </w:rPr>
        <w:t> </w:t>
      </w:r>
      <w:r>
        <w:rPr>
          <w:sz w:val="20"/>
        </w:rPr>
        <w:t>and</w:t>
      </w:r>
      <w:r>
        <w:rPr>
          <w:spacing w:val="-11"/>
          <w:sz w:val="20"/>
        </w:rPr>
        <w:t> </w:t>
      </w:r>
      <w:r>
        <w:rPr>
          <w:sz w:val="20"/>
        </w:rPr>
        <w:t>shake</w:t>
      </w:r>
      <w:r>
        <w:rPr>
          <w:spacing w:val="-11"/>
          <w:sz w:val="20"/>
        </w:rPr>
        <w:t> </w:t>
      </w:r>
      <w:r>
        <w:rPr>
          <w:sz w:val="20"/>
        </w:rPr>
        <w:t>to</w:t>
      </w:r>
      <w:r>
        <w:rPr>
          <w:spacing w:val="-11"/>
          <w:sz w:val="20"/>
        </w:rPr>
        <w:t> </w:t>
      </w:r>
      <w:r>
        <w:rPr>
          <w:sz w:val="20"/>
        </w:rPr>
        <w:t>dissolve the</w:t>
      </w:r>
      <w:r>
        <w:rPr>
          <w:spacing w:val="1"/>
          <w:sz w:val="20"/>
        </w:rPr>
        <w:t> </w:t>
      </w:r>
      <w:r>
        <w:rPr>
          <w:spacing w:val="-3"/>
          <w:sz w:val="20"/>
        </w:rPr>
        <w:t>powder.</w:t>
      </w:r>
    </w:p>
    <w:p>
      <w:pPr>
        <w:spacing w:line="249" w:lineRule="auto" w:before="121"/>
        <w:ind w:left="140" w:right="12" w:firstLine="0"/>
        <w:jc w:val="left"/>
        <w:rPr>
          <w:sz w:val="20"/>
        </w:rPr>
      </w:pPr>
      <w:r>
        <w:rPr>
          <w:sz w:val="20"/>
        </w:rPr>
        <w:t>A pink color will develop if nitrite-nitrogen is present.</w:t>
      </w:r>
    </w:p>
    <w:p>
      <w:pPr>
        <w:pStyle w:val="ListParagraph"/>
        <w:numPr>
          <w:ilvl w:val="0"/>
          <w:numId w:val="23"/>
        </w:numPr>
        <w:tabs>
          <w:tab w:pos="500" w:val="left" w:leader="none"/>
        </w:tabs>
        <w:spacing w:line="240" w:lineRule="auto" w:before="7" w:after="0"/>
        <w:ind w:left="499" w:right="0" w:hanging="359"/>
        <w:jc w:val="left"/>
        <w:rPr>
          <w:sz w:val="20"/>
        </w:rPr>
      </w:pPr>
      <w:r>
        <w:rPr>
          <w:w w:val="99"/>
          <w:sz w:val="20"/>
        </w:rPr>
        <w:br w:type="column"/>
      </w:r>
      <w:r>
        <w:rPr>
          <w:sz w:val="20"/>
        </w:rPr>
        <w:t>Press</w:t>
      </w:r>
      <w:r>
        <w:rPr>
          <w:spacing w:val="-6"/>
          <w:sz w:val="20"/>
        </w:rPr>
        <w:t> </w:t>
      </w:r>
      <w:r>
        <w:rPr>
          <w:b/>
          <w:sz w:val="18"/>
        </w:rPr>
        <w:t>TIMER&gt;OK</w:t>
      </w:r>
      <w:r>
        <w:rPr>
          <w:sz w:val="20"/>
        </w:rPr>
        <w:t>.</w:t>
      </w:r>
    </w:p>
    <w:p>
      <w:pPr>
        <w:spacing w:line="249" w:lineRule="auto" w:before="130"/>
        <w:ind w:left="140" w:right="184" w:firstLine="0"/>
        <w:jc w:val="left"/>
        <w:rPr>
          <w:sz w:val="20"/>
        </w:rPr>
      </w:pPr>
      <w:r>
        <w:rPr>
          <w:sz w:val="20"/>
        </w:rPr>
        <w:t>A 20-minute reaction period will begin.</w:t>
      </w:r>
    </w:p>
    <w:p>
      <w:pPr>
        <w:spacing w:after="0" w:line="249" w:lineRule="auto"/>
        <w:jc w:val="left"/>
        <w:rPr>
          <w:sz w:val="20"/>
        </w:rPr>
        <w:sectPr>
          <w:type w:val="continuous"/>
          <w:pgSz w:w="11900" w:h="15840"/>
          <w:pgMar w:top="0" w:bottom="0" w:left="940" w:right="560"/>
          <w:cols w:num="3" w:equalWidth="0">
            <w:col w:w="4988" w:space="142"/>
            <w:col w:w="2455" w:space="109"/>
            <w:col w:w="270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pStyle w:val="BodyText"/>
        <w:spacing w:line="21" w:lineRule="exact"/>
        <w:ind w:left="129"/>
        <w:rPr>
          <w:sz w:val="2"/>
        </w:rPr>
      </w:pPr>
      <w:r>
        <w:rPr>
          <w:sz w:val="2"/>
        </w:rPr>
        <w:pict>
          <v:group style="width:505.05pt;height:1.05pt;mso-position-horizontal-relative:char;mso-position-vertical-relative:line" coordorigin="0,0" coordsize="10101,21">
            <v:line style="position:absolute" from="10,10" to="10,10" stroked="true" strokeweight="1.02pt" strokecolor="#000000"/>
            <v:line style="position:absolute" from="10,10" to="10090,10" stroked="true" strokeweight="1.02pt" strokecolor="#000000"/>
          </v:group>
        </w:pict>
      </w:r>
      <w:r>
        <w:rPr>
          <w:sz w:val="2"/>
        </w:rPr>
      </w:r>
    </w:p>
    <w:p>
      <w:pPr>
        <w:spacing w:before="6"/>
        <w:ind w:left="0" w:right="204" w:firstLine="0"/>
        <w:jc w:val="right"/>
        <w:rPr>
          <w:b/>
          <w:sz w:val="20"/>
        </w:rPr>
      </w:pPr>
      <w:r>
        <w:rPr>
          <w:b/>
          <w:sz w:val="20"/>
        </w:rPr>
        <w:t>Nitrite</w:t>
      </w:r>
    </w:p>
    <w:p>
      <w:pPr>
        <w:tabs>
          <w:tab w:pos="9004" w:val="left" w:leader="none"/>
        </w:tabs>
        <w:spacing w:before="10"/>
        <w:ind w:left="0" w:right="203" w:firstLine="0"/>
        <w:jc w:val="right"/>
        <w:rPr>
          <w:b/>
          <w:sz w:val="20"/>
        </w:rPr>
      </w:pPr>
      <w:r>
        <w:rPr>
          <w:sz w:val="14"/>
        </w:rPr>
        <w:t>Nitrite_10019_TNT_LR.fm</w:t>
        <w:tab/>
      </w:r>
      <w:r>
        <w:rPr>
          <w:b/>
          <w:sz w:val="20"/>
        </w:rPr>
        <w:t>Page 1 of</w:t>
      </w:r>
      <w:r>
        <w:rPr>
          <w:b/>
          <w:spacing w:val="-11"/>
          <w:sz w:val="20"/>
        </w:rPr>
        <w:t> </w:t>
      </w:r>
      <w:r>
        <w:rPr>
          <w:b/>
          <w:sz w:val="20"/>
        </w:rPr>
        <w:t>4</w:t>
      </w:r>
    </w:p>
    <w:p>
      <w:pPr>
        <w:spacing w:after="0"/>
        <w:jc w:val="right"/>
        <w:rPr>
          <w:sz w:val="20"/>
        </w:rPr>
        <w:sectPr>
          <w:type w:val="continuous"/>
          <w:pgSz w:w="11900" w:h="15840"/>
          <w:pgMar w:top="0" w:bottom="0" w:left="940" w:right="560"/>
        </w:sectPr>
      </w:pPr>
    </w:p>
    <w:p>
      <w:pPr>
        <w:pStyle w:val="Heading4"/>
        <w:spacing w:before="74"/>
        <w:ind w:right="1109"/>
      </w:pPr>
      <w:r>
        <w:rPr/>
        <w:pict>
          <v:group style="position:absolute;margin-left:35.715pt;margin-top:22.080879pt;width:505.15pt;height:1.05pt;mso-position-horizontal-relative:page;mso-position-vertical-relative:paragraph;z-index:11488;mso-wrap-distance-left:0;mso-wrap-distance-right:0" coordorigin="714,442" coordsize="10103,21">
            <v:line style="position:absolute" from="725,452" to="725,452" stroked="true" strokeweight="1.02pt" strokecolor="#000000"/>
            <v:line style="position:absolute" from="725,452" to="10806,452" stroked="true" strokeweight="1.02pt" strokecolor="#000000"/>
            <w10:wrap type="topAndBottom"/>
          </v:group>
        </w:pict>
      </w:r>
      <w:r>
        <w:rPr/>
        <w:pict>
          <v:group style="position:absolute;margin-left:36.240002pt;margin-top:42.97588pt;width:122.5pt;height:122.4pt;mso-position-horizontal-relative:page;mso-position-vertical-relative:paragraph;z-index:11512;mso-wrap-distance-left:0;mso-wrap-distance-right:0" coordorigin="725,860" coordsize="2450,2448">
            <v:rect style="position:absolute;left:1905;top:980;width:122;height:190" filled="true" fillcolor="#231f20" stroked="false">
              <v:fill type="solid"/>
            </v:rect>
            <v:shape style="position:absolute;left:1881;top:2120;width:162;height:974" coordorigin="1881,2120" coordsize="162,974" path="m1881,2120l1882,3018,1931,3088,1962,3094,1993,3088,2018,3072,2035,3049,2041,3020,2043,2120e" filled="false" stroked="true" strokeweight=".864pt" strokecolor="#231f20">
              <v:path arrowok="t"/>
            </v:shape>
            <v:shape style="position:absolute;left:1873;top:2017;width:176;height:119" type="#_x0000_t75" stroked="false">
              <v:imagedata r:id="rId188" o:title=""/>
            </v:shape>
            <v:shape style="position:absolute;left:1886;top:1032;width:162;height:960" coordorigin="1886,1032" coordsize="162,960" path="m2047,1032l1886,1032,1886,1791,1895,1833,1916,1866,1936,1902,1946,1951,1946,1991,1986,1991,1986,1951,1996,1902,2017,1867,2038,1834,2047,1792,2047,1032xe" filled="true" fillcolor="#231f20" stroked="false">
              <v:path arrowok="t"/>
              <v:fill type="solid"/>
            </v:shape>
            <v:shape style="position:absolute;left:1905;top:1054;width:123;height:917" coordorigin="1905,1054" coordsize="123,917" path="m2028,1054l1905,1054,1905,1792,1914,1831,1934,1861,1955,1893,1965,1939,1965,1971,1970,1971,1970,1939,1979,1899,1999,1867,2019,1835,2028,1793,2028,1054xe" filled="true" fillcolor="#ffffff" stroked="false">
              <v:path arrowok="t"/>
              <v:fill type="solid"/>
            </v:shape>
            <v:rect style="position:absolute;left:845;top:860;width:2329;height:120" filled="true" fillcolor="#b3b3b3" stroked="false">
              <v:fill type="solid"/>
            </v:rect>
            <v:rect style="position:absolute;left:3054;top:920;width:120;height:2388" filled="true" fillcolor="#b3b3b3" stroked="false">
              <v:fill type="solid"/>
            </v:rect>
            <v:rect style="position:absolute;left:725;top:3188;width:2389;height:120" filled="true" fillcolor="#b3b3b3" stroked="false">
              <v:fill type="solid"/>
            </v:rect>
            <v:rect style="position:absolute;left:725;top:860;width:120;height:2388" filled="true" fillcolor="#b3b3b3" stroked="false">
              <v:fill type="solid"/>
            </v:rect>
            <w10:wrap type="topAndBottom"/>
          </v:group>
        </w:pict>
      </w:r>
      <w:r>
        <w:rPr/>
        <w:pict>
          <v:group style="position:absolute;margin-left:164.520004pt;margin-top:42.97588pt;width:122.4pt;height:122.4pt;mso-position-horizontal-relative:page;mso-position-vertical-relative:paragraph;z-index:11536;mso-wrap-distance-left:0;mso-wrap-distance-right:0" coordorigin="3290,860" coordsize="2448,2448">
            <v:shape style="position:absolute;left:3760;top:1401;width:427;height:823" coordorigin="3760,1401" coordsize="427,823" path="m3780,1407l3760,1753,4039,2224,4034,2167,4034,2095,4039,2009,4049,1915,4064,1816,4084,1711,4107,1614,4133,1527,4160,1455,4186,1401,4139,1408,4084,1413,4022,1416,3956,1417,3910,1416,3866,1414,3822,1411,3780,1407xe" filled="false" stroked="true" strokeweight=".792pt" strokecolor="#231f20">
              <v:path arrowok="t"/>
            </v:shape>
            <v:shape style="position:absolute;left:3529;top:1171;width:559;height:1216" coordorigin="3529,1171" coordsize="559,1216" path="m3628,1171l3572,1191,3529,1269,3904,2323,3923,2355,3952,2377,3988,2386,4025,2380,4057,2361,4079,2332,4088,2297,4084,2261,3709,1204,3686,1185,3658,1174,3628,1171xe" filled="true" fillcolor="#ffffff" stroked="false">
              <v:path arrowok="t"/>
              <v:fill type="solid"/>
            </v:shape>
            <v:shape style="position:absolute;left:3529;top:1171;width:559;height:1216" coordorigin="3529,1171" coordsize="559,1216" path="m4084,2261l3709,1204,3686,1185,3658,1174,3628,1171,3598,1177,3572,1191,3550,1212,3536,1239,3529,1269,3904,2323,3923,2355,3952,2377,3988,2386,4025,2380,4057,2361,4079,2332,4088,2297,4084,2261xe" filled="false" stroked="true" strokeweight="1.08pt" strokecolor="#231f20">
              <v:path arrowok="t"/>
            </v:shape>
            <v:shape style="position:absolute;left:3455;top:1015;width:250;height:222" type="#_x0000_t75" stroked="false">
              <v:imagedata r:id="rId189" o:title=""/>
            </v:shape>
            <v:shape style="position:absolute;left:3511;top:1394;width:609;height:895" coordorigin="3511,1394" coordsize="609,895" path="m3576,1403l3512,2097,3523,2126,3561,2157,3622,2187,3703,2215,3800,2241,3909,2261,3919,2262,3933,2266,3953,2274,3983,2288,3976,2265,3971,2203,3968,2111,3971,1998,3983,1872,4003,1751,4029,1650,4058,1574,4089,1531,4120,1525,4094,1509,4064,1494,4031,1482,3996,1473,3970,1468,3945,1464,3924,1462,3908,1462,3908,1460,3886,1459,3869,1459,3688,1450,3687,1450,3635,1450,3605,1444,3587,1434,3580,1419,3578,1408,3576,1403xm3511,2094l3512,2097,3512,2095,3511,2094xm3685,1447l3680,1449,3678,1449,3635,1450,3687,1450,3685,1447xm3572,1394l3576,1403,3577,1397,3572,1394xe" filled="true" fillcolor="#ffffff" stroked="false">
              <v:path arrowok="t"/>
              <v:fill type="solid"/>
            </v:shape>
            <v:shape style="position:absolute;left:3511;top:1394;width:609;height:895" coordorigin="3511,1394" coordsize="609,895" path="m3512,2097l3577,1397,3572,1394,3578,1408,3580,1419,3587,1434,3605,1444,3635,1450,3678,1449,3680,1449,3685,1447,3688,1450,3731,1452,3776,1454,3823,1457,3869,1459,3886,1459,3908,1460,3908,1462,3924,1462,3996,1473,4064,1494,4120,1525,4089,1531,4058,1574,4029,1650,4003,1751,3983,1872,3971,1998,3968,2111,3971,2203,3976,2265,3983,2288,3953,2274,3933,2266,3919,2262,3909,2261,3800,2241,3703,2215,3622,2187,3561,2157,3512,2097,3512,2095,3511,2094,3512,2097xe" filled="false" stroked="true" strokeweight=".792pt" strokecolor="#231f20">
              <v:path arrowok="t"/>
            </v:shape>
            <v:rect style="position:absolute;left:3410;top:860;width:2328;height:120" filled="true" fillcolor="#b3b3b3" stroked="false">
              <v:fill type="solid"/>
            </v:rect>
            <v:shape style="position:absolute;left:4340;top:1872;width:1210;height:1216" coordorigin="4340,1872" coordsize="1210,1216" path="m5549,2708l4340,2708,4944,3088,5549,2708xm5327,1872l4561,1872,4561,2708,5327,2708,5327,1872xe" filled="true" fillcolor="#231f20" stroked="false">
              <v:path arrowok="t"/>
              <v:fill type="solid"/>
            </v:shape>
            <v:shape style="position:absolute;left:4845;top:2004;width:196;height:161" coordorigin="4845,2004" coordsize="196,161" path="m5040,2004l4846,2004,4845,2165,5041,2165,5040,2004xe" filled="true" fillcolor="#ffffff" stroked="false">
              <v:path arrowok="t"/>
              <v:fill type="solid"/>
            </v:shape>
            <v:shape style="position:absolute;left:4836;top:2068;width:217;height:896" coordorigin="4836,2068" coordsize="217,896" path="m5001,2068l4890,2068,4891,2132,4869,2140,4852,2153,4841,2170,4837,2189,4836,2868,4843,2898,4863,2929,4896,2953,4943,2963,4992,2955,5026,2932,5046,2902,5053,2868,5052,2189,5048,2172,5037,2155,5021,2141,5000,2132,5001,2068xe" filled="true" fillcolor="#ffffff" stroked="false">
              <v:path arrowok="t"/>
              <v:fill type="solid"/>
            </v:shape>
            <v:shape style="position:absolute;left:4854;top:2089;width:181;height:853" coordorigin="4854,2089" coordsize="181,853" path="m4992,2089l4899,2089,4900,2150,4882,2157,4868,2170,4858,2186,4855,2205,4854,2851,4860,2879,4876,2909,4904,2933,4944,2942,4984,2934,5012,2913,5029,2883,5035,2851,5034,2205,5031,2188,5022,2172,5008,2158,4991,2150,4992,2089xe" filled="true" fillcolor="#231f20" stroked="false">
              <v:path arrowok="t"/>
              <v:fill type="solid"/>
            </v:shape>
            <v:shape style="position:absolute;left:4874;top:2108;width:141;height:811" coordorigin="4874,2108" coordsize="141,811" path="m4973,2108l4914,2108,4913,2166,4897,2170,4885,2179,4877,2193,4874,2213,4875,2847,4879,2869,4892,2892,4914,2911,4944,2918,4976,2912,4998,2895,5011,2873,5015,2847,5014,2213,5011,2193,5001,2179,4988,2170,4973,2165,4973,2108xe" filled="true" fillcolor="#ffffff" stroked="false">
              <v:path arrowok="t"/>
              <v:fill type="solid"/>
            </v:shape>
            <v:shape style="position:absolute;left:4874;top:2108;width:141;height:811" coordorigin="4874,2108" coordsize="141,811" path="m4913,2166l4897,2170,4885,2179,4877,2193,4874,2213,4875,2847,4879,2869,4892,2892,4914,2911,4944,2918,4976,2912,4998,2895,5011,2873,5015,2847,5014,2213,5011,2193,5001,2179,4988,2170,4973,2165,4973,2108,4914,2108,4913,2166xe" filled="false" stroked="true" strokeweight=".4pt" strokecolor="#231f20">
              <v:path arrowok="t"/>
            </v:shape>
            <v:shape style="position:absolute;left:4861;top:2018;width:163;height:133" type="#_x0000_t75" stroked="false">
              <v:imagedata r:id="rId190" o:title=""/>
            </v:shape>
            <v:rect style="position:absolute;left:5618;top:920;width:120;height:2388" filled="true" fillcolor="#b3b3b3" stroked="false">
              <v:fill type="solid"/>
            </v:rect>
            <v:rect style="position:absolute;left:3290;top:3188;width:2388;height:120" filled="true" fillcolor="#b3b3b3" stroked="false">
              <v:fill type="solid"/>
            </v:rect>
            <v:rect style="position:absolute;left:3290;top:860;width:120;height:2388" filled="true" fillcolor="#b3b3b3" stroked="false">
              <v:fill type="solid"/>
            </v:rect>
            <w10:wrap type="topAndBottom"/>
          </v:group>
        </w:pict>
      </w:r>
      <w:r>
        <w:rPr/>
        <w:pict>
          <v:group style="position:absolute;margin-left:292.799988pt;margin-top:42.97588pt;width:122.4pt;height:122.4pt;mso-position-horizontal-relative:page;mso-position-vertical-relative:paragraph;z-index:11560;mso-wrap-distance-left:0;mso-wrap-distance-right:0" coordorigin="5856,860" coordsize="2448,2448">
            <v:rect style="position:absolute;left:5976;top:860;width:2328;height:120" filled="true" fillcolor="#b3b3b3" stroked="false">
              <v:fill type="solid"/>
            </v:rect>
            <v:rect style="position:absolute;left:8184;top:920;width:120;height:2388" filled="true" fillcolor="#b3b3b3" stroked="false">
              <v:fill type="solid"/>
            </v:rect>
            <v:rect style="position:absolute;left:5856;top:3188;width:2388;height:120" filled="true" fillcolor="#b3b3b3" stroked="false">
              <v:fill type="solid"/>
            </v:rect>
            <v:rect style="position:absolute;left:5856;top:860;width:120;height:2388" filled="true" fillcolor="#b3b3b3" stroked="false">
              <v:fill type="solid"/>
            </v:rect>
            <w10:wrap type="topAndBottom"/>
          </v:group>
        </w:pict>
      </w:r>
      <w:r>
        <w:rPr/>
        <w:pict>
          <v:group style="position:absolute;margin-left:421.019989pt;margin-top:42.97588pt;width:122.4pt;height:122.4pt;mso-position-horizontal-relative:page;mso-position-vertical-relative:paragraph;z-index:11584;mso-wrap-distance-left:0;mso-wrap-distance-right:0" coordorigin="8420,860" coordsize="2448,2448">
            <v:shape style="position:absolute;left:8890;top:1401;width:427;height:823" coordorigin="8890,1401" coordsize="427,823" path="m8910,1407l8890,1753,9169,2224,9164,2167,9164,2095,9169,2009,9179,1915,9194,1816,9214,1711,9238,1614,9263,1527,9290,1455,9316,1401,9270,1408,9214,1413,9152,1416,9086,1417,9041,1416,8996,1414,8952,1411,8910,1407xe" filled="false" stroked="true" strokeweight=".792pt" strokecolor="#231f20">
              <v:path arrowok="t"/>
            </v:shape>
            <v:shape style="position:absolute;left:8659;top:1171;width:559;height:1216" coordorigin="8659,1171" coordsize="559,1216" path="m8759,1171l8702,1191,8659,1269,9034,2323,9053,2355,9083,2377,9118,2386,9155,2380,9187,2361,9209,2332,9218,2297,9214,2261,8839,1204,8816,1185,8788,1174,8759,1171xe" filled="true" fillcolor="#ffffff" stroked="false">
              <v:path arrowok="t"/>
              <v:fill type="solid"/>
            </v:shape>
            <v:shape style="position:absolute;left:8659;top:1171;width:559;height:1216" coordorigin="8659,1171" coordsize="559,1216" path="m9214,2261l8839,1204,8816,1185,8788,1174,8759,1171,8729,1177,8702,1191,8681,1212,8666,1239,8659,1269,9034,2323,9053,2355,9083,2377,9118,2386,9155,2380,9187,2361,9209,2332,9218,2297,9214,2261xe" filled="false" stroked="true" strokeweight="1.08pt" strokecolor="#231f20">
              <v:path arrowok="t"/>
            </v:shape>
            <v:shape style="position:absolute;left:8585;top:1015;width:250;height:222" type="#_x0000_t75" stroked="false">
              <v:imagedata r:id="rId191" o:title=""/>
            </v:shape>
            <v:shape style="position:absolute;left:8641;top:1394;width:610;height:895" coordorigin="8641,1394" coordsize="610,895" path="m8706,1403l8642,2097,8653,2126,8691,2157,8752,2187,8834,2215,8931,2241,9040,2261,9049,2262,9063,2266,9083,2274,9113,2288,9107,2265,9101,2203,9098,2111,9102,1998,9113,1872,9133,1751,9159,1650,9189,1574,9220,1531,9250,1525,9224,1509,9195,1494,9161,1482,9126,1473,9100,1468,9075,1464,9054,1462,9038,1462,9038,1460,9017,1459,8999,1459,8818,1450,8817,1450,8765,1450,8735,1444,8717,1434,8710,1419,8708,1408,8706,1403xm8641,2094l8642,2097,8642,2095,8641,2094xm8815,1447l8811,1449,8808,1449,8765,1450,8817,1450,8815,1447xm8703,1394l8706,1403,8707,1397,8703,1394xe" filled="true" fillcolor="#ffffff" stroked="false">
              <v:path arrowok="t"/>
              <v:fill type="solid"/>
            </v:shape>
            <v:shape style="position:absolute;left:8641;top:1394;width:610;height:895" coordorigin="8641,1394" coordsize="610,895" path="m8642,2097l8707,1397,8703,1394,8708,1408,8710,1419,8717,1434,8735,1444,8765,1450,8808,1449,8811,1449,8815,1447,8818,1450,8861,1452,8907,1454,8953,1457,8999,1459,9017,1459,9038,1460,9038,1462,9054,1462,9126,1473,9195,1494,9250,1525,9220,1531,9189,1574,9159,1650,9133,1751,9113,1872,9102,1998,9098,2111,9101,2203,9107,2265,9113,2288,9083,2274,9063,2266,9049,2262,9040,2261,8931,2241,8834,2215,8752,2187,8691,2157,8642,2097,8642,2095,8641,2094,8642,2097xe" filled="false" stroked="true" strokeweight=".792pt" strokecolor="#231f20">
              <v:path arrowok="t"/>
            </v:shape>
            <v:rect style="position:absolute;left:8540;top:860;width:2328;height:120" filled="true" fillcolor="#b3b3b3" stroked="false">
              <v:fill type="solid"/>
            </v:rect>
            <v:shape style="position:absolute;left:9470;top:1872;width:1210;height:1216" coordorigin="9470,1872" coordsize="1210,1216" path="m10679,2708l9470,2708,10075,3088,10679,2708xm10458,1872l9692,1872,9692,2708,10458,2708,10458,1872xe" filled="true" fillcolor="#231f20" stroked="false">
              <v:path arrowok="t"/>
              <v:fill type="solid"/>
            </v:shape>
            <v:shape style="position:absolute;left:9975;top:2004;width:196;height:161" coordorigin="9975,2004" coordsize="196,161" path="m10170,2004l9976,2004,9975,2165,10171,2165,10170,2004xe" filled="true" fillcolor="#ffffff" stroked="false">
              <v:path arrowok="t"/>
              <v:fill type="solid"/>
            </v:shape>
            <v:shape style="position:absolute;left:9966;top:2068;width:217;height:896" coordorigin="9966,2068" coordsize="217,896" path="m10131,2068l10020,2068,10021,2132,10000,2140,9983,2153,9971,2170,9967,2189,9966,2868,9973,2898,9993,2929,10026,2953,10074,2963,10122,2955,10156,2932,10176,2902,10183,2868,10182,2189,10178,2172,10167,2155,10151,2141,10130,2132,10131,2068xe" filled="true" fillcolor="#ffffff" stroked="false">
              <v:path arrowok="t"/>
              <v:fill type="solid"/>
            </v:shape>
            <v:shape style="position:absolute;left:9984;top:2089;width:181;height:853" coordorigin="9984,2089" coordsize="181,853" path="m10122,2089l10029,2089,10030,2150,10012,2157,9998,2170,9988,2186,9985,2205,9984,2851,9990,2879,10006,2909,10034,2933,10074,2942,10114,2934,10142,2913,10159,2883,10165,2851,10164,2205,10161,2188,10152,2172,10138,2158,10121,2150,10122,2089xe" filled="true" fillcolor="#231f20" stroked="false">
              <v:path arrowok="t"/>
              <v:fill type="solid"/>
            </v:shape>
            <v:shape style="position:absolute;left:10005;top:2108;width:141;height:811" coordorigin="10005,2108" coordsize="141,811" path="m10103,2108l10044,2108,10044,2166,10028,2170,10016,2179,10008,2193,10005,2213,10005,2847,10009,2869,10022,2892,10044,2911,10075,2918,10106,2912,10128,2895,10141,2873,10145,2847,10145,2213,10141,2193,10132,2179,10118,2170,10103,2165,10103,2108xe" filled="true" fillcolor="#ffffff" stroked="false">
              <v:path arrowok="t"/>
              <v:fill type="solid"/>
            </v:shape>
            <v:shape style="position:absolute;left:10005;top:2108;width:141;height:811" coordorigin="10005,2108" coordsize="141,811" path="m10044,2166l10028,2170,10016,2179,10008,2193,10005,2213,10005,2847,10009,2869,10022,2892,10044,2911,10075,2918,10106,2912,10128,2895,10141,2873,10145,2847,10145,2213,10141,2193,10132,2179,10118,2170,10103,2165,10103,2108,10044,2108,10044,2166xe" filled="false" stroked="true" strokeweight=".4pt" strokecolor="#231f20">
              <v:path arrowok="t"/>
            </v:shape>
            <v:shape style="position:absolute;left:9991;top:2018;width:163;height:133" type="#_x0000_t75" stroked="false">
              <v:imagedata r:id="rId190" o:title=""/>
            </v:shape>
            <v:rect style="position:absolute;left:10748;top:920;width:120;height:2388" filled="true" fillcolor="#b3b3b3" stroked="false">
              <v:fill type="solid"/>
            </v:rect>
            <v:rect style="position:absolute;left:8420;top:3188;width:2388;height:120" filled="true" fillcolor="#b3b3b3" stroked="false">
              <v:fill type="solid"/>
            </v:rect>
            <v:rect style="position:absolute;left:8420;top:860;width:120;height:2388" filled="true" fillcolor="#b3b3b3" stroked="false">
              <v:fill type="solid"/>
            </v:rect>
            <w10:wrap type="topAndBottom"/>
          </v:group>
        </w:pict>
      </w:r>
      <w:r>
        <w:rPr/>
        <w:drawing>
          <wp:anchor distT="0" distB="0" distL="0" distR="0" allowOverlap="1" layoutInCell="1" locked="0" behindDoc="0" simplePos="0" relativeHeight="11680">
            <wp:simplePos x="0" y="0"/>
            <wp:positionH relativeFrom="page">
              <wp:posOffset>4018788</wp:posOffset>
            </wp:positionH>
            <wp:positionV relativeFrom="paragraph">
              <wp:posOffset>1084527</wp:posOffset>
            </wp:positionV>
            <wp:extent cx="952500" cy="476250"/>
            <wp:effectExtent l="0" t="0" r="0" b="0"/>
            <wp:wrapNone/>
            <wp:docPr id="137" name="image143.png" descr=""/>
            <wp:cNvGraphicFramePr>
              <a:graphicFrameLocks noChangeAspect="1"/>
            </wp:cNvGraphicFramePr>
            <a:graphic>
              <a:graphicData uri="http://schemas.openxmlformats.org/drawingml/2006/picture">
                <pic:pic>
                  <pic:nvPicPr>
                    <pic:cNvPr id="138" name="image143.png"/>
                    <pic:cNvPicPr/>
                  </pic:nvPicPr>
                  <pic:blipFill>
                    <a:blip r:embed="rId159" cstate="print"/>
                    <a:stretch>
                      <a:fillRect/>
                    </a:stretch>
                  </pic:blipFill>
                  <pic:spPr>
                    <a:xfrm>
                      <a:off x="0" y="0"/>
                      <a:ext cx="952500" cy="476250"/>
                    </a:xfrm>
                    <a:prstGeom prst="rect">
                      <a:avLst/>
                    </a:prstGeom>
                  </pic:spPr>
                </pic:pic>
              </a:graphicData>
            </a:graphic>
          </wp:anchor>
        </w:drawing>
      </w:r>
      <w:r>
        <w:rPr/>
        <w:pict>
          <v:shape style="position:absolute;margin-left:234.237595pt;margin-top:4.176857pt;width:5.35pt;height:9.6pt;mso-position-horizontal-relative:page;mso-position-vertical-relative:paragraph;z-index:-1520104" type="#_x0000_t202" filled="false" stroked="false">
            <v:textbox inset="0,0,0,0">
              <w:txbxContent>
                <w:p>
                  <w:pPr>
                    <w:spacing w:line="192" w:lineRule="exact" w:before="0"/>
                    <w:ind w:left="0" w:right="0" w:firstLine="0"/>
                    <w:jc w:val="left"/>
                    <w:rPr>
                      <w:b/>
                      <w:sz w:val="19"/>
                    </w:rPr>
                  </w:pPr>
                  <w:r>
                    <w:rPr>
                      <w:b/>
                      <w:w w:val="101"/>
                      <w:sz w:val="19"/>
                    </w:rPr>
                    <w:t>–</w:t>
                  </w:r>
                </w:p>
              </w:txbxContent>
            </v:textbox>
            <w10:wrap type="none"/>
          </v:shape>
        </w:pict>
      </w:r>
      <w:r>
        <w:rPr/>
        <w:t>Nitrite LR (0.003 to 0.500 mg/L NO</w:t>
      </w:r>
      <w:r>
        <w:rPr>
          <w:position w:val="-5"/>
          <w:sz w:val="19"/>
        </w:rPr>
        <w:t>2 </w:t>
      </w:r>
      <w:r>
        <w:rPr/>
        <w:t>–N)</w:t>
      </w:r>
    </w:p>
    <w:p>
      <w:pPr>
        <w:pStyle w:val="BodyText"/>
        <w:spacing w:before="6"/>
        <w:rPr>
          <w:b/>
          <w:sz w:val="28"/>
        </w:rPr>
      </w:pPr>
    </w:p>
    <w:p>
      <w:pPr>
        <w:pStyle w:val="BodyText"/>
        <w:spacing w:before="1"/>
        <w:rPr>
          <w:b/>
          <w:sz w:val="6"/>
        </w:rPr>
      </w:pPr>
    </w:p>
    <w:p>
      <w:pPr>
        <w:spacing w:after="0"/>
        <w:rPr>
          <w:sz w:val="6"/>
        </w:rPr>
        <w:sectPr>
          <w:headerReference w:type="default" r:id="rId186"/>
          <w:footerReference w:type="default" r:id="rId187"/>
          <w:pgSz w:w="11900" w:h="15840"/>
          <w:pgMar w:header="0" w:footer="0" w:top="220" w:bottom="0" w:left="600" w:right="920"/>
        </w:sectPr>
      </w:pPr>
    </w:p>
    <w:p>
      <w:pPr>
        <w:pStyle w:val="ListParagraph"/>
        <w:numPr>
          <w:ilvl w:val="0"/>
          <w:numId w:val="23"/>
        </w:numPr>
        <w:tabs>
          <w:tab w:pos="485" w:val="left" w:leader="none"/>
        </w:tabs>
        <w:spacing w:line="249" w:lineRule="auto" w:before="6" w:after="0"/>
        <w:ind w:left="124" w:right="0" w:firstLine="0"/>
        <w:jc w:val="left"/>
        <w:rPr>
          <w:sz w:val="20"/>
        </w:rPr>
      </w:pPr>
      <w:r>
        <w:rPr/>
        <w:pict>
          <v:rect style="position:absolute;margin-left:107.598pt;margin-top:-21.81394pt;width:8.008000pt;height:5.824pt;mso-position-horizontal-relative:page;mso-position-vertical-relative:paragraph;z-index:-1520152" filled="true" fillcolor="#231f20" stroked="false">
            <v:fill type="solid"/>
            <w10:wrap type="none"/>
          </v:rect>
        </w:pict>
      </w:r>
      <w:r>
        <w:rPr>
          <w:b/>
          <w:sz w:val="20"/>
        </w:rPr>
        <w:t>Blank Preparation: </w:t>
      </w:r>
      <w:r>
        <w:rPr>
          <w:sz w:val="20"/>
        </w:rPr>
        <w:t>When</w:t>
      </w:r>
      <w:r>
        <w:rPr>
          <w:spacing w:val="-13"/>
          <w:sz w:val="20"/>
        </w:rPr>
        <w:t> </w:t>
      </w:r>
      <w:r>
        <w:rPr>
          <w:sz w:val="20"/>
        </w:rPr>
        <w:t>the</w:t>
      </w:r>
      <w:r>
        <w:rPr>
          <w:spacing w:val="-13"/>
          <w:sz w:val="20"/>
        </w:rPr>
        <w:t> </w:t>
      </w:r>
      <w:r>
        <w:rPr>
          <w:sz w:val="20"/>
        </w:rPr>
        <w:t>timer</w:t>
      </w:r>
      <w:r>
        <w:rPr>
          <w:spacing w:val="-13"/>
          <w:sz w:val="20"/>
        </w:rPr>
        <w:t> </w:t>
      </w:r>
      <w:r>
        <w:rPr>
          <w:sz w:val="20"/>
        </w:rPr>
        <w:t>expires,</w:t>
      </w:r>
      <w:r>
        <w:rPr>
          <w:spacing w:val="-13"/>
          <w:sz w:val="20"/>
        </w:rPr>
        <w:t> </w:t>
      </w:r>
      <w:r>
        <w:rPr>
          <w:sz w:val="20"/>
        </w:rPr>
        <w:t>fill an empty </w:t>
      </w:r>
      <w:r>
        <w:rPr>
          <w:spacing w:val="-6"/>
          <w:sz w:val="20"/>
        </w:rPr>
        <w:t>Test </w:t>
      </w:r>
      <w:r>
        <w:rPr>
          <w:sz w:val="20"/>
        </w:rPr>
        <w:t>‘N </w:t>
      </w:r>
      <w:r>
        <w:rPr>
          <w:spacing w:val="-5"/>
          <w:sz w:val="20"/>
        </w:rPr>
        <w:t>Tube™ </w:t>
      </w:r>
      <w:r>
        <w:rPr>
          <w:sz w:val="20"/>
        </w:rPr>
        <w:t>vial with 5 mL of</w:t>
      </w:r>
      <w:r>
        <w:rPr>
          <w:spacing w:val="-14"/>
          <w:sz w:val="20"/>
        </w:rPr>
        <w:t> </w:t>
      </w:r>
      <w:r>
        <w:rPr>
          <w:sz w:val="20"/>
        </w:rPr>
        <w:t>sample.</w:t>
      </w:r>
    </w:p>
    <w:p>
      <w:pPr>
        <w:pStyle w:val="ListParagraph"/>
        <w:numPr>
          <w:ilvl w:val="0"/>
          <w:numId w:val="23"/>
        </w:numPr>
        <w:tabs>
          <w:tab w:pos="485" w:val="left" w:leader="none"/>
        </w:tabs>
        <w:spacing w:line="249" w:lineRule="auto" w:before="6" w:after="0"/>
        <w:ind w:left="124" w:right="0" w:firstLine="0"/>
        <w:jc w:val="both"/>
        <w:rPr>
          <w:sz w:val="20"/>
        </w:rPr>
      </w:pPr>
      <w:r>
        <w:rPr>
          <w:w w:val="99"/>
          <w:sz w:val="20"/>
        </w:rPr>
        <w:br w:type="column"/>
      </w:r>
      <w:r>
        <w:rPr>
          <w:sz w:val="20"/>
        </w:rPr>
        <w:t>Wipe the blank</w:t>
      </w:r>
      <w:r>
        <w:rPr>
          <w:spacing w:val="-14"/>
          <w:sz w:val="20"/>
        </w:rPr>
        <w:t> </w:t>
      </w:r>
      <w:r>
        <w:rPr>
          <w:sz w:val="20"/>
        </w:rPr>
        <w:t>and insert it into the 16-mm round cell</w:t>
      </w:r>
      <w:r>
        <w:rPr>
          <w:spacing w:val="-16"/>
          <w:sz w:val="20"/>
        </w:rPr>
        <w:t> </w:t>
      </w:r>
      <w:r>
        <w:rPr>
          <w:sz w:val="20"/>
        </w:rPr>
        <w:t>holder.</w:t>
      </w:r>
    </w:p>
    <w:p>
      <w:pPr>
        <w:pStyle w:val="ListParagraph"/>
        <w:numPr>
          <w:ilvl w:val="0"/>
          <w:numId w:val="23"/>
        </w:numPr>
        <w:tabs>
          <w:tab w:pos="485" w:val="left" w:leader="none"/>
        </w:tabs>
        <w:spacing w:line="240" w:lineRule="auto" w:before="6" w:after="0"/>
        <w:ind w:left="484" w:right="0" w:hanging="359"/>
        <w:jc w:val="left"/>
        <w:rPr>
          <w:sz w:val="20"/>
        </w:rPr>
      </w:pPr>
      <w:r>
        <w:rPr>
          <w:w w:val="99"/>
          <w:sz w:val="20"/>
        </w:rPr>
        <w:br w:type="column"/>
      </w:r>
      <w:r>
        <w:rPr>
          <w:sz w:val="20"/>
        </w:rPr>
        <w:t>Press</w:t>
      </w:r>
      <w:r>
        <w:rPr>
          <w:spacing w:val="-4"/>
          <w:sz w:val="20"/>
        </w:rPr>
        <w:t> </w:t>
      </w:r>
      <w:r>
        <w:rPr>
          <w:b/>
          <w:spacing w:val="-3"/>
          <w:sz w:val="18"/>
        </w:rPr>
        <w:t>ZERO</w:t>
      </w:r>
      <w:r>
        <w:rPr>
          <w:spacing w:val="-3"/>
          <w:sz w:val="20"/>
        </w:rPr>
        <w:t>.</w:t>
      </w:r>
    </w:p>
    <w:p>
      <w:pPr>
        <w:spacing w:line="229" w:lineRule="exact" w:before="130"/>
        <w:ind w:left="124" w:right="0" w:firstLine="0"/>
        <w:jc w:val="left"/>
        <w:rPr>
          <w:sz w:val="20"/>
        </w:rPr>
      </w:pPr>
      <w:r>
        <w:rPr>
          <w:sz w:val="20"/>
        </w:rPr>
        <w:t>The display will show:</w:t>
      </w:r>
    </w:p>
    <w:p>
      <w:pPr>
        <w:spacing w:line="241" w:lineRule="exact" w:before="0"/>
        <w:ind w:left="124" w:right="0" w:firstLine="0"/>
        <w:jc w:val="left"/>
        <w:rPr>
          <w:sz w:val="20"/>
        </w:rPr>
      </w:pPr>
      <w:r>
        <w:rPr/>
        <w:pict>
          <v:shape style="position:absolute;margin-left:359.880005pt;margin-top:5.997467pt;width:4.45pt;height:8pt;mso-position-horizontal-relative:page;mso-position-vertical-relative:paragraph;z-index:-1520080" type="#_x0000_t202" filled="false" stroked="false">
            <v:textbox inset="0,0,0,0">
              <w:txbxContent>
                <w:p>
                  <w:pPr>
                    <w:spacing w:line="160" w:lineRule="exact" w:before="0"/>
                    <w:ind w:left="0" w:right="0" w:firstLine="0"/>
                    <w:jc w:val="left"/>
                    <w:rPr>
                      <w:sz w:val="16"/>
                    </w:rPr>
                  </w:pPr>
                  <w:r>
                    <w:rPr>
                      <w:w w:val="99"/>
                      <w:sz w:val="16"/>
                    </w:rPr>
                    <w:t>2</w:t>
                  </w:r>
                </w:p>
              </w:txbxContent>
            </v:textbox>
            <w10:wrap type="none"/>
          </v:shape>
        </w:pict>
      </w:r>
      <w:r>
        <w:rPr>
          <w:sz w:val="20"/>
        </w:rPr>
        <w:t>0.000 mg/L NO </w:t>
      </w:r>
      <w:r>
        <w:rPr>
          <w:position w:val="5"/>
          <w:sz w:val="16"/>
        </w:rPr>
        <w:t>–</w:t>
      </w:r>
      <w:r>
        <w:rPr>
          <w:sz w:val="20"/>
        </w:rPr>
        <w:t>–N</w:t>
      </w:r>
    </w:p>
    <w:p>
      <w:pPr>
        <w:pStyle w:val="ListParagraph"/>
        <w:numPr>
          <w:ilvl w:val="0"/>
          <w:numId w:val="23"/>
        </w:numPr>
        <w:tabs>
          <w:tab w:pos="485" w:val="left" w:leader="none"/>
        </w:tabs>
        <w:spacing w:line="249" w:lineRule="auto" w:before="6" w:after="0"/>
        <w:ind w:left="124" w:right="499" w:firstLine="0"/>
        <w:jc w:val="left"/>
        <w:rPr>
          <w:sz w:val="20"/>
        </w:rPr>
      </w:pPr>
      <w:r>
        <w:rPr>
          <w:w w:val="99"/>
          <w:sz w:val="20"/>
        </w:rPr>
        <w:br w:type="column"/>
      </w:r>
      <w:r>
        <w:rPr>
          <w:sz w:val="20"/>
        </w:rPr>
        <w:t>Insert the prepared sample cell into</w:t>
      </w:r>
      <w:r>
        <w:rPr>
          <w:spacing w:val="-6"/>
          <w:sz w:val="20"/>
        </w:rPr>
        <w:t> </w:t>
      </w:r>
      <w:r>
        <w:rPr>
          <w:sz w:val="20"/>
        </w:rPr>
        <w:t>the</w:t>
      </w:r>
    </w:p>
    <w:p>
      <w:pPr>
        <w:spacing w:before="1"/>
        <w:ind w:left="124" w:right="0" w:firstLine="0"/>
        <w:jc w:val="left"/>
        <w:rPr>
          <w:sz w:val="20"/>
        </w:rPr>
      </w:pPr>
      <w:r>
        <w:rPr>
          <w:sz w:val="20"/>
        </w:rPr>
        <w:t>16-mm round cell holder.</w:t>
      </w:r>
    </w:p>
    <w:p>
      <w:pPr>
        <w:spacing w:line="249" w:lineRule="auto" w:before="130"/>
        <w:ind w:left="124" w:right="470" w:firstLine="0"/>
        <w:jc w:val="left"/>
        <w:rPr>
          <w:sz w:val="20"/>
        </w:rPr>
      </w:pPr>
      <w:r>
        <w:rPr/>
        <w:pict>
          <v:shape style="position:absolute;margin-left:440.336884pt;margin-top:18.952143pt;width:4.45pt;height:8pt;mso-position-horizontal-relative:page;mso-position-vertical-relative:paragraph;z-index:-1520056" type="#_x0000_t202" filled="false" stroked="false">
            <v:textbox inset="0,0,0,0">
              <w:txbxContent>
                <w:p>
                  <w:pPr>
                    <w:spacing w:line="160" w:lineRule="exact" w:before="0"/>
                    <w:ind w:left="0" w:right="0" w:firstLine="0"/>
                    <w:jc w:val="left"/>
                    <w:rPr>
                      <w:sz w:val="16"/>
                    </w:rPr>
                  </w:pPr>
                  <w:r>
                    <w:rPr>
                      <w:w w:val="99"/>
                      <w:sz w:val="16"/>
                    </w:rPr>
                    <w:t>–</w:t>
                  </w:r>
                </w:p>
              </w:txbxContent>
            </v:textbox>
            <w10:wrap type="none"/>
          </v:shape>
        </w:pict>
      </w:r>
      <w:r>
        <w:rPr>
          <w:sz w:val="20"/>
        </w:rPr>
        <w:t>Results are in mg/L NO</w:t>
      </w:r>
      <w:r>
        <w:rPr>
          <w:position w:val="-4"/>
          <w:sz w:val="16"/>
        </w:rPr>
        <w:t>2  </w:t>
      </w:r>
      <w:r>
        <w:rPr>
          <w:sz w:val="20"/>
        </w:rPr>
        <w:t>–N.</w:t>
      </w:r>
    </w:p>
    <w:p>
      <w:pPr>
        <w:spacing w:after="0" w:line="249" w:lineRule="auto"/>
        <w:jc w:val="left"/>
        <w:rPr>
          <w:sz w:val="20"/>
        </w:rPr>
        <w:sectPr>
          <w:type w:val="continuous"/>
          <w:pgSz w:w="11900" w:h="15840"/>
          <w:pgMar w:top="0" w:bottom="0" w:left="600" w:right="920"/>
          <w:cols w:num="4" w:equalWidth="0">
            <w:col w:w="2442" w:space="123"/>
            <w:col w:w="2192" w:space="373"/>
            <w:col w:w="2100" w:space="464"/>
            <w:col w:w="2686"/>
          </w:cols>
        </w:sectPr>
      </w:pPr>
    </w:p>
    <w:p>
      <w:pPr>
        <w:pStyle w:val="BodyText"/>
        <w:spacing w:before="10"/>
        <w:rPr>
          <w:sz w:val="16"/>
        </w:rPr>
      </w:pPr>
    </w:p>
    <w:p>
      <w:pPr>
        <w:pStyle w:val="BodyText"/>
        <w:spacing w:line="21" w:lineRule="exact"/>
        <w:ind w:left="114"/>
        <w:rPr>
          <w:sz w:val="2"/>
        </w:rPr>
      </w:pPr>
      <w:r>
        <w:rPr>
          <w:sz w:val="2"/>
        </w:rPr>
        <w:pict>
          <v:group style="width:505.15pt;height:1.05pt;mso-position-horizontal-relative:char;mso-position-vertical-relative:line" coordorigin="0,0" coordsize="10103,21">
            <v:line style="position:absolute" from="10,10" to="10,10" stroked="true" strokeweight="1.02pt" strokecolor="#000000"/>
            <v:line style="position:absolute" from="10,10" to="10092,10" stroked="true" strokeweight="1.02pt" strokecolor="#000000"/>
          </v:group>
        </w:pict>
      </w:r>
      <w:r>
        <w:rPr>
          <w:sz w:val="2"/>
        </w:rPr>
      </w:r>
    </w:p>
    <w:p>
      <w:pPr>
        <w:pStyle w:val="BodyText"/>
        <w:spacing w:before="8"/>
        <w:rPr>
          <w:sz w:val="29"/>
        </w:rPr>
      </w:pPr>
    </w:p>
    <w:p>
      <w:pPr>
        <w:spacing w:after="0"/>
        <w:rPr>
          <w:sz w:val="29"/>
        </w:rPr>
        <w:sectPr>
          <w:type w:val="continuous"/>
          <w:pgSz w:w="11900" w:h="15840"/>
          <w:pgMar w:top="0" w:bottom="0" w:left="600" w:right="920"/>
        </w:sectPr>
      </w:pPr>
    </w:p>
    <w:p>
      <w:pPr>
        <w:pStyle w:val="Heading3"/>
        <w:spacing w:before="64"/>
        <w:ind w:left="124" w:right="-11"/>
      </w:pPr>
      <w:r>
        <w:rPr>
          <w:spacing w:val="-1"/>
        </w:rPr>
        <w:t>Interferences</w:t>
      </w:r>
    </w:p>
    <w:p>
      <w:pPr>
        <w:pStyle w:val="BodyText"/>
        <w:rPr>
          <w:b/>
          <w:sz w:val="20"/>
        </w:rPr>
      </w:pPr>
      <w:r>
        <w:rPr/>
        <w:br w:type="column"/>
      </w:r>
      <w:r>
        <w:rPr>
          <w:b/>
          <w:sz w:val="20"/>
        </w:rPr>
      </w:r>
    </w:p>
    <w:p>
      <w:pPr>
        <w:pStyle w:val="BodyText"/>
        <w:spacing w:before="7"/>
        <w:rPr>
          <w:b/>
          <w:sz w:val="25"/>
        </w:rPr>
      </w:pPr>
    </w:p>
    <w:p>
      <w:pPr>
        <w:spacing w:before="1"/>
        <w:ind w:left="124" w:right="0" w:firstLine="0"/>
        <w:jc w:val="left"/>
        <w:rPr>
          <w:b/>
          <w:sz w:val="20"/>
        </w:rPr>
      </w:pPr>
      <w:r>
        <w:rPr>
          <w:b/>
          <w:sz w:val="20"/>
        </w:rPr>
        <w:t>Table  1 Interfering Substances and Levels</w:t>
      </w:r>
    </w:p>
    <w:p>
      <w:pPr>
        <w:spacing w:after="0"/>
        <w:jc w:val="left"/>
        <w:rPr>
          <w:sz w:val="20"/>
        </w:rPr>
        <w:sectPr>
          <w:type w:val="continuous"/>
          <w:pgSz w:w="11900" w:h="15840"/>
          <w:pgMar w:top="0" w:bottom="0" w:left="600" w:right="920"/>
          <w:cols w:num="2" w:equalWidth="0">
            <w:col w:w="1879" w:space="1146"/>
            <w:col w:w="7355"/>
          </w:cols>
        </w:sectPr>
      </w:pPr>
    </w:p>
    <w:p>
      <w:pPr>
        <w:pStyle w:val="BodyText"/>
        <w:spacing w:before="7"/>
        <w:rPr>
          <w:b/>
          <w:sz w:val="8"/>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9"/>
        <w:gridCol w:w="7622"/>
      </w:tblGrid>
      <w:tr>
        <w:trPr>
          <w:trHeight w:val="380" w:hRule="exact"/>
        </w:trPr>
        <w:tc>
          <w:tcPr>
            <w:tcW w:w="2459" w:type="dxa"/>
          </w:tcPr>
          <w:p>
            <w:pPr>
              <w:pStyle w:val="TableParagraph"/>
              <w:spacing w:before="66"/>
              <w:ind w:left="75" w:right="0"/>
              <w:jc w:val="left"/>
              <w:rPr>
                <w:rFonts w:ascii="Arial"/>
                <w:b/>
                <w:sz w:val="18"/>
              </w:rPr>
            </w:pPr>
            <w:r>
              <w:rPr>
                <w:rFonts w:ascii="Arial"/>
                <w:b/>
                <w:sz w:val="18"/>
              </w:rPr>
              <w:t>Interfering Substance</w:t>
            </w:r>
          </w:p>
        </w:tc>
        <w:tc>
          <w:tcPr>
            <w:tcW w:w="7622" w:type="dxa"/>
          </w:tcPr>
          <w:p>
            <w:pPr>
              <w:pStyle w:val="TableParagraph"/>
              <w:spacing w:before="66"/>
              <w:ind w:left="76" w:right="0"/>
              <w:jc w:val="left"/>
              <w:rPr>
                <w:rFonts w:ascii="Arial"/>
                <w:b/>
                <w:sz w:val="18"/>
              </w:rPr>
            </w:pPr>
            <w:r>
              <w:rPr>
                <w:rFonts w:ascii="Arial"/>
                <w:b/>
                <w:sz w:val="18"/>
              </w:rPr>
              <w:t>Interference Levels and Treatments</w:t>
            </w:r>
          </w:p>
        </w:tc>
      </w:tr>
      <w:tr>
        <w:trPr>
          <w:trHeight w:val="300" w:hRule="exact"/>
        </w:trPr>
        <w:tc>
          <w:tcPr>
            <w:tcW w:w="2459" w:type="dxa"/>
          </w:tcPr>
          <w:p>
            <w:pPr>
              <w:pStyle w:val="TableParagraph"/>
              <w:spacing w:before="25"/>
              <w:ind w:left="75" w:right="0"/>
              <w:jc w:val="left"/>
              <w:rPr>
                <w:rFonts w:ascii="Arial"/>
                <w:sz w:val="18"/>
              </w:rPr>
            </w:pPr>
            <w:r>
              <w:rPr>
                <w:rFonts w:ascii="Arial"/>
                <w:sz w:val="18"/>
              </w:rPr>
              <w:t>Antiminous ions</w:t>
            </w:r>
          </w:p>
        </w:tc>
        <w:tc>
          <w:tcPr>
            <w:tcW w:w="7622" w:type="dxa"/>
          </w:tcPr>
          <w:p>
            <w:pPr>
              <w:pStyle w:val="TableParagraph"/>
              <w:spacing w:before="25"/>
              <w:ind w:left="77" w:right="0"/>
              <w:jc w:val="left"/>
              <w:rPr>
                <w:rFonts w:ascii="Arial"/>
                <w:sz w:val="18"/>
              </w:rPr>
            </w:pPr>
            <w:r>
              <w:rPr>
                <w:rFonts w:ascii="Arial"/>
                <w:sz w:val="18"/>
              </w:rPr>
              <w:t>Interfere by causing precipitation</w:t>
            </w:r>
          </w:p>
        </w:tc>
      </w:tr>
      <w:tr>
        <w:trPr>
          <w:trHeight w:val="300" w:hRule="exact"/>
        </w:trPr>
        <w:tc>
          <w:tcPr>
            <w:tcW w:w="2459" w:type="dxa"/>
          </w:tcPr>
          <w:p>
            <w:pPr>
              <w:pStyle w:val="TableParagraph"/>
              <w:spacing w:before="25"/>
              <w:ind w:left="75" w:right="0"/>
              <w:jc w:val="left"/>
              <w:rPr>
                <w:rFonts w:ascii="Arial"/>
                <w:sz w:val="18"/>
              </w:rPr>
            </w:pPr>
            <w:r>
              <w:rPr>
                <w:rFonts w:ascii="Arial"/>
                <w:sz w:val="18"/>
              </w:rPr>
              <w:t>Auric ions</w:t>
            </w:r>
          </w:p>
        </w:tc>
        <w:tc>
          <w:tcPr>
            <w:tcW w:w="7622" w:type="dxa"/>
          </w:tcPr>
          <w:p>
            <w:pPr>
              <w:pStyle w:val="TableParagraph"/>
              <w:spacing w:before="25"/>
              <w:ind w:left="75" w:right="0"/>
              <w:jc w:val="left"/>
              <w:rPr>
                <w:rFonts w:ascii="Arial"/>
                <w:sz w:val="18"/>
              </w:rPr>
            </w:pPr>
            <w:r>
              <w:rPr>
                <w:rFonts w:ascii="Arial"/>
                <w:sz w:val="18"/>
              </w:rPr>
              <w:t>Interfere by causing precipitation</w:t>
            </w:r>
          </w:p>
        </w:tc>
      </w:tr>
      <w:tr>
        <w:trPr>
          <w:trHeight w:val="300" w:hRule="exact"/>
        </w:trPr>
        <w:tc>
          <w:tcPr>
            <w:tcW w:w="2459" w:type="dxa"/>
          </w:tcPr>
          <w:p>
            <w:pPr>
              <w:pStyle w:val="TableParagraph"/>
              <w:spacing w:before="25"/>
              <w:ind w:left="75" w:right="0"/>
              <w:jc w:val="left"/>
              <w:rPr>
                <w:rFonts w:ascii="Arial"/>
                <w:sz w:val="18"/>
              </w:rPr>
            </w:pPr>
            <w:r>
              <w:rPr>
                <w:rFonts w:ascii="Arial"/>
                <w:sz w:val="18"/>
              </w:rPr>
              <w:t>Bismuth ions</w:t>
            </w:r>
          </w:p>
        </w:tc>
        <w:tc>
          <w:tcPr>
            <w:tcW w:w="7622" w:type="dxa"/>
          </w:tcPr>
          <w:p>
            <w:pPr>
              <w:pStyle w:val="TableParagraph"/>
              <w:spacing w:before="25"/>
              <w:ind w:left="77" w:right="0"/>
              <w:jc w:val="left"/>
              <w:rPr>
                <w:rFonts w:ascii="Arial"/>
                <w:sz w:val="18"/>
              </w:rPr>
            </w:pPr>
            <w:r>
              <w:rPr>
                <w:rFonts w:ascii="Arial"/>
                <w:sz w:val="18"/>
              </w:rPr>
              <w:t>Interfere by causing precipitation</w:t>
            </w:r>
          </w:p>
        </w:tc>
      </w:tr>
      <w:tr>
        <w:trPr>
          <w:trHeight w:val="300" w:hRule="exact"/>
        </w:trPr>
        <w:tc>
          <w:tcPr>
            <w:tcW w:w="2459" w:type="dxa"/>
          </w:tcPr>
          <w:p>
            <w:pPr>
              <w:pStyle w:val="TableParagraph"/>
              <w:spacing w:before="26"/>
              <w:ind w:left="75" w:right="0"/>
              <w:jc w:val="left"/>
              <w:rPr>
                <w:rFonts w:ascii="Arial"/>
                <w:sz w:val="18"/>
              </w:rPr>
            </w:pPr>
            <w:r>
              <w:rPr>
                <w:rFonts w:ascii="Arial"/>
                <w:sz w:val="18"/>
              </w:rPr>
              <w:t>Chloroplatinate ions</w:t>
            </w:r>
          </w:p>
        </w:tc>
        <w:tc>
          <w:tcPr>
            <w:tcW w:w="7622" w:type="dxa"/>
          </w:tcPr>
          <w:p>
            <w:pPr>
              <w:pStyle w:val="TableParagraph"/>
              <w:spacing w:before="26"/>
              <w:ind w:left="77" w:right="0"/>
              <w:jc w:val="left"/>
              <w:rPr>
                <w:rFonts w:ascii="Arial"/>
                <w:sz w:val="18"/>
              </w:rPr>
            </w:pPr>
            <w:r>
              <w:rPr>
                <w:rFonts w:ascii="Arial"/>
                <w:sz w:val="18"/>
              </w:rPr>
              <w:t>Interfere by causing precipitation</w:t>
            </w:r>
          </w:p>
        </w:tc>
      </w:tr>
      <w:tr>
        <w:trPr>
          <w:trHeight w:val="300" w:hRule="exact"/>
        </w:trPr>
        <w:tc>
          <w:tcPr>
            <w:tcW w:w="2459" w:type="dxa"/>
          </w:tcPr>
          <w:p>
            <w:pPr>
              <w:pStyle w:val="TableParagraph"/>
              <w:spacing w:before="26"/>
              <w:ind w:left="75" w:right="0"/>
              <w:jc w:val="left"/>
              <w:rPr>
                <w:rFonts w:ascii="Arial"/>
                <w:sz w:val="18"/>
              </w:rPr>
            </w:pPr>
            <w:r>
              <w:rPr>
                <w:rFonts w:ascii="Arial"/>
                <w:sz w:val="18"/>
              </w:rPr>
              <w:t>Cupric ions</w:t>
            </w:r>
          </w:p>
        </w:tc>
        <w:tc>
          <w:tcPr>
            <w:tcW w:w="7622" w:type="dxa"/>
          </w:tcPr>
          <w:p>
            <w:pPr>
              <w:pStyle w:val="TableParagraph"/>
              <w:spacing w:before="26"/>
              <w:ind w:left="75" w:right="0"/>
              <w:jc w:val="left"/>
              <w:rPr>
                <w:rFonts w:ascii="Arial"/>
                <w:sz w:val="18"/>
              </w:rPr>
            </w:pPr>
            <w:r>
              <w:rPr>
                <w:rFonts w:ascii="Arial"/>
                <w:sz w:val="18"/>
              </w:rPr>
              <w:t>Cause low results</w:t>
            </w:r>
          </w:p>
        </w:tc>
      </w:tr>
      <w:tr>
        <w:trPr>
          <w:trHeight w:val="300" w:hRule="exact"/>
        </w:trPr>
        <w:tc>
          <w:tcPr>
            <w:tcW w:w="2459" w:type="dxa"/>
          </w:tcPr>
          <w:p>
            <w:pPr>
              <w:pStyle w:val="TableParagraph"/>
              <w:spacing w:before="26"/>
              <w:ind w:left="75" w:right="0"/>
              <w:jc w:val="left"/>
              <w:rPr>
                <w:rFonts w:ascii="Arial"/>
                <w:sz w:val="18"/>
              </w:rPr>
            </w:pPr>
            <w:r>
              <w:rPr>
                <w:rFonts w:ascii="Arial"/>
                <w:sz w:val="18"/>
              </w:rPr>
              <w:t>Ferric ions</w:t>
            </w:r>
          </w:p>
        </w:tc>
        <w:tc>
          <w:tcPr>
            <w:tcW w:w="7622" w:type="dxa"/>
          </w:tcPr>
          <w:p>
            <w:pPr>
              <w:pStyle w:val="TableParagraph"/>
              <w:spacing w:before="26"/>
              <w:ind w:left="76" w:right="0"/>
              <w:jc w:val="left"/>
              <w:rPr>
                <w:rFonts w:ascii="Arial"/>
                <w:sz w:val="18"/>
              </w:rPr>
            </w:pPr>
            <w:r>
              <w:rPr>
                <w:rFonts w:ascii="Arial"/>
                <w:sz w:val="18"/>
              </w:rPr>
              <w:t>Interfere by causing precipitation</w:t>
            </w:r>
          </w:p>
        </w:tc>
      </w:tr>
      <w:tr>
        <w:trPr>
          <w:trHeight w:val="300" w:hRule="exact"/>
        </w:trPr>
        <w:tc>
          <w:tcPr>
            <w:tcW w:w="2459" w:type="dxa"/>
          </w:tcPr>
          <w:p>
            <w:pPr>
              <w:pStyle w:val="TableParagraph"/>
              <w:spacing w:before="26"/>
              <w:ind w:left="75" w:right="0"/>
              <w:jc w:val="left"/>
              <w:rPr>
                <w:rFonts w:ascii="Arial"/>
                <w:sz w:val="18"/>
              </w:rPr>
            </w:pPr>
            <w:r>
              <w:rPr>
                <w:rFonts w:ascii="Arial"/>
                <w:sz w:val="18"/>
              </w:rPr>
              <w:t>Ferrous ions</w:t>
            </w:r>
          </w:p>
        </w:tc>
        <w:tc>
          <w:tcPr>
            <w:tcW w:w="7622" w:type="dxa"/>
          </w:tcPr>
          <w:p>
            <w:pPr>
              <w:pStyle w:val="TableParagraph"/>
              <w:spacing w:before="26"/>
              <w:ind w:left="75" w:right="0"/>
              <w:jc w:val="left"/>
              <w:rPr>
                <w:rFonts w:ascii="Arial"/>
                <w:sz w:val="18"/>
              </w:rPr>
            </w:pPr>
            <w:r>
              <w:rPr>
                <w:rFonts w:ascii="Arial"/>
                <w:sz w:val="18"/>
              </w:rPr>
              <w:t>Cause low results</w:t>
            </w:r>
          </w:p>
        </w:tc>
      </w:tr>
      <w:tr>
        <w:trPr>
          <w:trHeight w:val="300" w:hRule="exact"/>
        </w:trPr>
        <w:tc>
          <w:tcPr>
            <w:tcW w:w="2459" w:type="dxa"/>
          </w:tcPr>
          <w:p>
            <w:pPr>
              <w:pStyle w:val="TableParagraph"/>
              <w:spacing w:before="26"/>
              <w:ind w:left="75" w:right="0"/>
              <w:jc w:val="left"/>
              <w:rPr>
                <w:rFonts w:ascii="Arial"/>
                <w:sz w:val="18"/>
              </w:rPr>
            </w:pPr>
            <w:r>
              <w:rPr>
                <w:rFonts w:ascii="Arial"/>
                <w:sz w:val="18"/>
              </w:rPr>
              <w:t>Lead ions</w:t>
            </w:r>
          </w:p>
        </w:tc>
        <w:tc>
          <w:tcPr>
            <w:tcW w:w="7622" w:type="dxa"/>
          </w:tcPr>
          <w:p>
            <w:pPr>
              <w:pStyle w:val="TableParagraph"/>
              <w:spacing w:before="26"/>
              <w:ind w:left="76" w:right="0"/>
              <w:jc w:val="left"/>
              <w:rPr>
                <w:rFonts w:ascii="Arial"/>
                <w:sz w:val="18"/>
              </w:rPr>
            </w:pPr>
            <w:r>
              <w:rPr>
                <w:rFonts w:ascii="Arial"/>
                <w:sz w:val="18"/>
              </w:rPr>
              <w:t>Interfere by causing precipitation</w:t>
            </w:r>
          </w:p>
        </w:tc>
      </w:tr>
      <w:tr>
        <w:trPr>
          <w:trHeight w:val="300" w:hRule="exact"/>
        </w:trPr>
        <w:tc>
          <w:tcPr>
            <w:tcW w:w="2459" w:type="dxa"/>
          </w:tcPr>
          <w:p>
            <w:pPr>
              <w:pStyle w:val="TableParagraph"/>
              <w:spacing w:before="27"/>
              <w:ind w:left="75" w:right="0"/>
              <w:jc w:val="left"/>
              <w:rPr>
                <w:rFonts w:ascii="Arial"/>
                <w:sz w:val="18"/>
              </w:rPr>
            </w:pPr>
            <w:r>
              <w:rPr>
                <w:rFonts w:ascii="Arial"/>
                <w:sz w:val="18"/>
              </w:rPr>
              <w:t>Mercurous ions</w:t>
            </w:r>
          </w:p>
        </w:tc>
        <w:tc>
          <w:tcPr>
            <w:tcW w:w="7622" w:type="dxa"/>
          </w:tcPr>
          <w:p>
            <w:pPr>
              <w:pStyle w:val="TableParagraph"/>
              <w:spacing w:before="27"/>
              <w:ind w:left="75" w:right="0"/>
              <w:jc w:val="left"/>
              <w:rPr>
                <w:rFonts w:ascii="Arial"/>
                <w:sz w:val="18"/>
              </w:rPr>
            </w:pPr>
            <w:r>
              <w:rPr>
                <w:rFonts w:ascii="Arial"/>
                <w:sz w:val="18"/>
              </w:rPr>
              <w:t>Interfere by causing precipitation</w:t>
            </w:r>
          </w:p>
        </w:tc>
      </w:tr>
      <w:tr>
        <w:trPr>
          <w:trHeight w:val="300" w:hRule="exact"/>
        </w:trPr>
        <w:tc>
          <w:tcPr>
            <w:tcW w:w="2459" w:type="dxa"/>
          </w:tcPr>
          <w:p>
            <w:pPr>
              <w:pStyle w:val="TableParagraph"/>
              <w:spacing w:before="27"/>
              <w:ind w:left="75" w:right="0"/>
              <w:jc w:val="left"/>
              <w:rPr>
                <w:rFonts w:ascii="Arial"/>
                <w:sz w:val="18"/>
              </w:rPr>
            </w:pPr>
            <w:r>
              <w:rPr>
                <w:rFonts w:ascii="Arial"/>
                <w:sz w:val="18"/>
              </w:rPr>
              <w:t>Metavanadate ions</w:t>
            </w:r>
          </w:p>
        </w:tc>
        <w:tc>
          <w:tcPr>
            <w:tcW w:w="7622" w:type="dxa"/>
          </w:tcPr>
          <w:p>
            <w:pPr>
              <w:pStyle w:val="TableParagraph"/>
              <w:spacing w:before="27"/>
              <w:ind w:left="76" w:right="0"/>
              <w:jc w:val="left"/>
              <w:rPr>
                <w:rFonts w:ascii="Arial"/>
                <w:sz w:val="18"/>
              </w:rPr>
            </w:pPr>
            <w:r>
              <w:rPr>
                <w:rFonts w:ascii="Arial"/>
                <w:sz w:val="18"/>
              </w:rPr>
              <w:t>Interfere by causing precipitation</w:t>
            </w:r>
          </w:p>
        </w:tc>
      </w:tr>
      <w:tr>
        <w:trPr>
          <w:trHeight w:val="740" w:hRule="exact"/>
        </w:trPr>
        <w:tc>
          <w:tcPr>
            <w:tcW w:w="2459" w:type="dxa"/>
          </w:tcPr>
          <w:p>
            <w:pPr>
              <w:pStyle w:val="TableParagraph"/>
              <w:spacing w:before="5"/>
              <w:ind w:right="0"/>
              <w:jc w:val="left"/>
              <w:rPr>
                <w:rFonts w:ascii="Arial"/>
                <w:b/>
                <w:sz w:val="21"/>
              </w:rPr>
            </w:pPr>
          </w:p>
          <w:p>
            <w:pPr>
              <w:pStyle w:val="TableParagraph"/>
              <w:spacing w:before="0"/>
              <w:ind w:left="75" w:right="0"/>
              <w:jc w:val="left"/>
              <w:rPr>
                <w:rFonts w:ascii="Arial"/>
                <w:sz w:val="18"/>
              </w:rPr>
            </w:pPr>
            <w:r>
              <w:rPr>
                <w:rFonts w:ascii="Arial"/>
                <w:sz w:val="18"/>
              </w:rPr>
              <w:t>Nitrate</w:t>
            </w:r>
          </w:p>
        </w:tc>
        <w:tc>
          <w:tcPr>
            <w:tcW w:w="7622" w:type="dxa"/>
          </w:tcPr>
          <w:p>
            <w:pPr>
              <w:pStyle w:val="TableParagraph"/>
              <w:spacing w:line="254" w:lineRule="auto" w:before="27"/>
              <w:ind w:left="75" w:right="0"/>
              <w:jc w:val="left"/>
              <w:rPr>
                <w:rFonts w:ascii="Arial"/>
                <w:sz w:val="18"/>
              </w:rPr>
            </w:pPr>
            <w:r>
              <w:rPr>
                <w:rFonts w:ascii="Arial"/>
                <w:sz w:val="18"/>
              </w:rPr>
              <w:t>Very high levels of nitrate (&gt;100 mg/L nitrate as N) appear to undergo a slight amount of reduction to nitrite, either spontaneously or during the course of the test. A small amount of nitrite will be found at these levels.</w:t>
            </w:r>
          </w:p>
        </w:tc>
      </w:tr>
      <w:tr>
        <w:trPr>
          <w:trHeight w:val="300" w:hRule="exact"/>
        </w:trPr>
        <w:tc>
          <w:tcPr>
            <w:tcW w:w="2459" w:type="dxa"/>
          </w:tcPr>
          <w:p>
            <w:pPr>
              <w:pStyle w:val="TableParagraph"/>
              <w:spacing w:before="26"/>
              <w:ind w:left="75" w:right="0"/>
              <w:jc w:val="left"/>
              <w:rPr>
                <w:rFonts w:ascii="Arial"/>
                <w:sz w:val="18"/>
              </w:rPr>
            </w:pPr>
            <w:r>
              <w:rPr>
                <w:rFonts w:ascii="Arial"/>
                <w:sz w:val="18"/>
              </w:rPr>
              <w:t>Silver ions</w:t>
            </w:r>
          </w:p>
        </w:tc>
        <w:tc>
          <w:tcPr>
            <w:tcW w:w="7622" w:type="dxa"/>
          </w:tcPr>
          <w:p>
            <w:pPr>
              <w:pStyle w:val="TableParagraph"/>
              <w:spacing w:before="26"/>
              <w:ind w:left="76" w:right="0"/>
              <w:jc w:val="left"/>
              <w:rPr>
                <w:rFonts w:ascii="Arial"/>
                <w:sz w:val="18"/>
              </w:rPr>
            </w:pPr>
            <w:r>
              <w:rPr>
                <w:rFonts w:ascii="Arial"/>
                <w:sz w:val="18"/>
              </w:rPr>
              <w:t>Interfere by causing precipitation</w:t>
            </w:r>
          </w:p>
        </w:tc>
      </w:tr>
      <w:tr>
        <w:trPr>
          <w:trHeight w:val="520" w:hRule="exact"/>
        </w:trPr>
        <w:tc>
          <w:tcPr>
            <w:tcW w:w="2459" w:type="dxa"/>
          </w:tcPr>
          <w:p>
            <w:pPr>
              <w:pStyle w:val="TableParagraph"/>
              <w:spacing w:line="256" w:lineRule="auto" w:before="26"/>
              <w:ind w:left="75" w:right="703"/>
              <w:jc w:val="left"/>
              <w:rPr>
                <w:rFonts w:ascii="Arial"/>
                <w:sz w:val="18"/>
              </w:rPr>
            </w:pPr>
            <w:r>
              <w:rPr>
                <w:rFonts w:ascii="Arial"/>
                <w:sz w:val="18"/>
              </w:rPr>
              <w:t>Strong oxidizing and reducing substances</w:t>
            </w:r>
          </w:p>
        </w:tc>
        <w:tc>
          <w:tcPr>
            <w:tcW w:w="7622" w:type="dxa"/>
          </w:tcPr>
          <w:p>
            <w:pPr>
              <w:pStyle w:val="TableParagraph"/>
              <w:spacing w:before="136"/>
              <w:ind w:left="75" w:right="0"/>
              <w:jc w:val="left"/>
              <w:rPr>
                <w:rFonts w:ascii="Arial"/>
                <w:sz w:val="18"/>
              </w:rPr>
            </w:pPr>
            <w:r>
              <w:rPr>
                <w:rFonts w:ascii="Arial"/>
                <w:sz w:val="18"/>
              </w:rPr>
              <w:t>Interfere at all levels</w:t>
            </w:r>
          </w:p>
        </w:tc>
      </w:tr>
    </w:tbl>
    <w:p>
      <w:pPr>
        <w:pStyle w:val="BodyText"/>
        <w:spacing w:before="7"/>
        <w:rPr>
          <w:b/>
          <w:sz w:val="25"/>
        </w:rPr>
      </w:pPr>
    </w:p>
    <w:p>
      <w:pPr>
        <w:pStyle w:val="Heading3"/>
        <w:spacing w:before="64"/>
        <w:ind w:left="124" w:right="1109"/>
      </w:pPr>
      <w:r>
        <w:rPr/>
        <w:t>Sample Collection, Storage, and Preservation</w:t>
      </w:r>
    </w:p>
    <w:p>
      <w:pPr>
        <w:spacing w:line="249" w:lineRule="auto" w:before="180"/>
        <w:ind w:left="1926" w:right="125" w:firstLine="0"/>
        <w:jc w:val="left"/>
        <w:rPr>
          <w:sz w:val="20"/>
        </w:rPr>
      </w:pPr>
      <w:r>
        <w:rPr>
          <w:sz w:val="20"/>
        </w:rPr>
        <w:t>Collect samples in clean plastic or glass bottles. Store at 4 °C (30 °F) or lower if the sample is to be analyzed within 24 to 48 hours. Warm to room temperature before running the test.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r>
        <w:rPr/>
        <w:pict>
          <v:group style="position:absolute;margin-left:35.715pt;margin-top:11.765974pt;width:505.15pt;height:1.05pt;mso-position-horizontal-relative:page;mso-position-vertical-relative:paragraph;z-index:11632;mso-wrap-distance-left:0;mso-wrap-distance-right:0" coordorigin="714,235" coordsize="10103,21">
            <v:line style="position:absolute" from="725,246" to="725,246" stroked="true" strokeweight="1.02pt" strokecolor="#000000"/>
            <v:line style="position:absolute" from="725,246" to="10806,246" stroked="true" strokeweight="1.02pt" strokecolor="#000000"/>
            <w10:wrap type="topAndBottom"/>
          </v:group>
        </w:pict>
      </w:r>
    </w:p>
    <w:p>
      <w:pPr>
        <w:spacing w:line="207" w:lineRule="exact" w:before="0"/>
        <w:ind w:left="124" w:right="1109" w:firstLine="0"/>
        <w:jc w:val="left"/>
        <w:rPr>
          <w:b/>
          <w:sz w:val="20"/>
        </w:rPr>
      </w:pPr>
      <w:r>
        <w:rPr>
          <w:b/>
          <w:sz w:val="20"/>
        </w:rPr>
        <w:t>Nitrite</w:t>
      </w:r>
    </w:p>
    <w:p>
      <w:pPr>
        <w:tabs>
          <w:tab w:pos="8546" w:val="left" w:leader="none"/>
        </w:tabs>
        <w:spacing w:before="10"/>
        <w:ind w:left="124" w:right="125" w:firstLine="0"/>
        <w:jc w:val="left"/>
        <w:rPr>
          <w:sz w:val="14"/>
        </w:rPr>
      </w:pPr>
      <w:r>
        <w:rPr>
          <w:b/>
          <w:sz w:val="20"/>
        </w:rPr>
        <w:t>Page 2</w:t>
      </w:r>
      <w:r>
        <w:rPr>
          <w:b/>
          <w:spacing w:val="-5"/>
          <w:sz w:val="20"/>
        </w:rPr>
        <w:t> </w:t>
      </w:r>
      <w:r>
        <w:rPr>
          <w:b/>
          <w:sz w:val="20"/>
        </w:rPr>
        <w:t>of</w:t>
      </w:r>
      <w:r>
        <w:rPr>
          <w:b/>
          <w:spacing w:val="-3"/>
          <w:sz w:val="20"/>
        </w:rPr>
        <w:t> </w:t>
      </w:r>
      <w:r>
        <w:rPr>
          <w:b/>
          <w:sz w:val="20"/>
        </w:rPr>
        <w:t>4</w:t>
        <w:tab/>
      </w:r>
      <w:r>
        <w:rPr>
          <w:sz w:val="14"/>
        </w:rPr>
        <w:t>Nitrite_10019_TNT_LR.fm</w:t>
      </w:r>
    </w:p>
    <w:p>
      <w:pPr>
        <w:spacing w:after="0"/>
        <w:jc w:val="left"/>
        <w:rPr>
          <w:sz w:val="14"/>
        </w:rPr>
        <w:sectPr>
          <w:type w:val="continuous"/>
          <w:pgSz w:w="11900" w:h="15840"/>
          <w:pgMar w:top="0" w:bottom="0" w:left="600" w:right="920"/>
        </w:sectPr>
      </w:pPr>
    </w:p>
    <w:p>
      <w:pPr>
        <w:pStyle w:val="Heading4"/>
        <w:spacing w:before="74"/>
        <w:ind w:left="5728" w:right="22"/>
      </w:pPr>
      <w:r>
        <w:rPr/>
        <w:pict>
          <v:group style="position:absolute;margin-left:53.775002pt;margin-top:22.080879pt;width:505.05pt;height:1.05pt;mso-position-horizontal-relative:page;mso-position-vertical-relative:paragraph;z-index:11776;mso-wrap-distance-left:0;mso-wrap-distance-right:0" coordorigin="1076,442" coordsize="10101,21">
            <v:line style="position:absolute" from="1086,452" to="1086,452" stroked="true" strokeweight="1.02pt" strokecolor="#000000"/>
            <v:line style="position:absolute" from="1086,452" to="11166,452" stroked="true" strokeweight="1.02pt" strokecolor="#000000"/>
            <w10:wrap type="topAndBottom"/>
          </v:group>
        </w:pict>
      </w:r>
      <w:r>
        <w:rPr/>
        <w:pict>
          <v:shape style="position:absolute;margin-left:532.377625pt;margin-top:4.176857pt;width:5.35pt;height:9.6pt;mso-position-horizontal-relative:page;mso-position-vertical-relative:paragraph;z-index:-1519984" type="#_x0000_t202" filled="false" stroked="false">
            <v:textbox inset="0,0,0,0">
              <w:txbxContent>
                <w:p>
                  <w:pPr>
                    <w:spacing w:line="192" w:lineRule="exact" w:before="0"/>
                    <w:ind w:left="0" w:right="0" w:firstLine="0"/>
                    <w:jc w:val="left"/>
                    <w:rPr>
                      <w:b/>
                      <w:sz w:val="19"/>
                    </w:rPr>
                  </w:pPr>
                  <w:r>
                    <w:rPr>
                      <w:b/>
                      <w:w w:val="101"/>
                      <w:sz w:val="19"/>
                    </w:rPr>
                    <w:t>–</w:t>
                  </w:r>
                </w:p>
              </w:txbxContent>
            </v:textbox>
            <w10:wrap type="none"/>
          </v:shape>
        </w:pict>
      </w:r>
      <w:r>
        <w:rPr/>
        <w:t>Nitrite LR (0.003 to 0.500 mg/L NO</w:t>
      </w:r>
      <w:r>
        <w:rPr>
          <w:position w:val="-5"/>
          <w:sz w:val="19"/>
        </w:rPr>
        <w:t>2 </w:t>
      </w:r>
      <w:r>
        <w:rPr/>
        <w:t>–N)</w:t>
      </w:r>
    </w:p>
    <w:p>
      <w:pPr>
        <w:pStyle w:val="BodyText"/>
        <w:spacing w:before="8"/>
        <w:rPr>
          <w:b/>
          <w:sz w:val="19"/>
        </w:rPr>
      </w:pPr>
    </w:p>
    <w:p>
      <w:pPr>
        <w:spacing w:before="64"/>
        <w:ind w:left="125" w:right="22" w:firstLine="0"/>
        <w:jc w:val="left"/>
        <w:rPr>
          <w:b/>
          <w:sz w:val="28"/>
        </w:rPr>
      </w:pPr>
      <w:r>
        <w:rPr>
          <w:b/>
          <w:sz w:val="28"/>
        </w:rPr>
        <w:t>Accuracy Check</w:t>
      </w:r>
    </w:p>
    <w:p>
      <w:pPr>
        <w:pStyle w:val="BodyText"/>
        <w:spacing w:before="7"/>
        <w:rPr>
          <w:b/>
        </w:rPr>
      </w:pPr>
    </w:p>
    <w:p>
      <w:pPr>
        <w:spacing w:before="0"/>
        <w:ind w:left="1926" w:right="22" w:firstLine="0"/>
        <w:jc w:val="left"/>
        <w:rPr>
          <w:b/>
          <w:sz w:val="20"/>
        </w:rPr>
      </w:pPr>
      <w:r>
        <w:rPr>
          <w:b/>
          <w:sz w:val="20"/>
        </w:rPr>
        <w:t>Standard Solution Method</w:t>
      </w:r>
    </w:p>
    <w:p>
      <w:pPr>
        <w:spacing w:line="249" w:lineRule="auto" w:before="10"/>
        <w:ind w:left="1926" w:right="359" w:firstLine="0"/>
        <w:jc w:val="left"/>
        <w:rPr>
          <w:sz w:val="20"/>
        </w:rPr>
      </w:pPr>
      <w:r>
        <w:rPr>
          <w:sz w:val="20"/>
        </w:rPr>
        <w:t>Preparing nitrite standards is difficult. Use the standard preparation instructions in </w:t>
      </w:r>
      <w:r>
        <w:rPr>
          <w:i/>
          <w:sz w:val="20"/>
        </w:rPr>
        <w:t>Standard </w:t>
      </w:r>
      <w:r>
        <w:rPr>
          <w:i/>
          <w:sz w:val="20"/>
        </w:rPr>
        <w:t>Methods for the Examination of Water and Wastewater</w:t>
      </w:r>
      <w:r>
        <w:rPr>
          <w:sz w:val="20"/>
        </w:rPr>
        <w:t>, Method 4500-NO2 B. Prepare a 0.300-mg/L standard. Perform the nitrite test on the standard solution.</w:t>
      </w:r>
    </w:p>
    <w:p>
      <w:pPr>
        <w:pStyle w:val="BodyText"/>
        <w:rPr>
          <w:sz w:val="26"/>
        </w:rPr>
      </w:pPr>
    </w:p>
    <w:p>
      <w:pPr>
        <w:pStyle w:val="Heading3"/>
        <w:ind w:right="22"/>
      </w:pPr>
      <w:r>
        <w:rPr/>
        <w:t>Method Performance</w:t>
      </w:r>
    </w:p>
    <w:p>
      <w:pPr>
        <w:pStyle w:val="BodyText"/>
        <w:spacing w:before="6"/>
        <w:rPr>
          <w:b/>
        </w:rPr>
      </w:pPr>
    </w:p>
    <w:p>
      <w:pPr>
        <w:spacing w:before="0"/>
        <w:ind w:left="1926" w:right="22" w:firstLine="0"/>
        <w:jc w:val="left"/>
        <w:rPr>
          <w:b/>
          <w:sz w:val="20"/>
        </w:rPr>
      </w:pPr>
      <w:r>
        <w:rPr>
          <w:b/>
          <w:sz w:val="20"/>
        </w:rPr>
        <w:t>Precision</w:t>
      </w:r>
    </w:p>
    <w:p>
      <w:pPr>
        <w:spacing w:before="10"/>
        <w:ind w:left="1926" w:right="22" w:firstLine="0"/>
        <w:jc w:val="left"/>
        <w:rPr>
          <w:sz w:val="20"/>
        </w:rPr>
      </w:pPr>
      <w:r>
        <w:rPr/>
        <w:pict>
          <v:shape style="position:absolute;margin-left:262.616882pt;margin-top:.888407pt;width:4.45pt;height:8pt;mso-position-horizontal-relative:page;mso-position-vertical-relative:paragraph;z-index:-1519960" type="#_x0000_t202" filled="false" stroked="false">
            <v:textbox inset="0,0,0,0">
              <w:txbxContent>
                <w:p>
                  <w:pPr>
                    <w:spacing w:line="160" w:lineRule="exact" w:before="0"/>
                    <w:ind w:left="0" w:right="0" w:firstLine="0"/>
                    <w:jc w:val="left"/>
                    <w:rPr>
                      <w:sz w:val="16"/>
                    </w:rPr>
                  </w:pPr>
                  <w:r>
                    <w:rPr>
                      <w:w w:val="99"/>
                      <w:sz w:val="16"/>
                    </w:rPr>
                    <w:t>–</w:t>
                  </w:r>
                </w:p>
              </w:txbxContent>
            </v:textbox>
            <w10:wrap type="none"/>
          </v:shape>
        </w:pict>
      </w:r>
      <w:r>
        <w:rPr>
          <w:sz w:val="20"/>
        </w:rPr>
        <w:t>Standard: 0.300 mg/L NO</w:t>
      </w:r>
      <w:r>
        <w:rPr>
          <w:position w:val="-4"/>
          <w:sz w:val="16"/>
        </w:rPr>
        <w:t>2 </w:t>
      </w:r>
      <w:r>
        <w:rPr>
          <w:sz w:val="20"/>
        </w:rPr>
        <w:t>–N</w:t>
      </w:r>
    </w:p>
    <w:p>
      <w:pPr>
        <w:pStyle w:val="BodyText"/>
        <w:spacing w:before="11"/>
        <w:rPr>
          <w:sz w:val="18"/>
        </w:rPr>
      </w:pPr>
    </w:p>
    <w:tbl>
      <w:tblPr>
        <w:tblW w:w="0" w:type="auto"/>
        <w:jc w:val="left"/>
        <w:tblInd w:w="1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8"/>
        <w:gridCol w:w="6570"/>
      </w:tblGrid>
      <w:tr>
        <w:trPr>
          <w:trHeight w:val="379" w:hRule="exact"/>
        </w:trPr>
        <w:tc>
          <w:tcPr>
            <w:tcW w:w="1738" w:type="dxa"/>
          </w:tcPr>
          <w:p>
            <w:pPr>
              <w:pStyle w:val="TableParagraph"/>
              <w:spacing w:before="66"/>
              <w:ind w:left="474" w:right="472"/>
              <w:jc w:val="center"/>
              <w:rPr>
                <w:rFonts w:ascii="Arial"/>
                <w:b/>
                <w:sz w:val="18"/>
              </w:rPr>
            </w:pPr>
            <w:r>
              <w:rPr>
                <w:rFonts w:ascii="Arial"/>
                <w:b/>
                <w:sz w:val="18"/>
              </w:rPr>
              <w:t>Program</w:t>
            </w:r>
          </w:p>
        </w:tc>
        <w:tc>
          <w:tcPr>
            <w:tcW w:w="6570" w:type="dxa"/>
          </w:tcPr>
          <w:p>
            <w:pPr>
              <w:pStyle w:val="TableParagraph"/>
              <w:spacing w:before="66"/>
              <w:ind w:left="1636" w:right="1634"/>
              <w:jc w:val="center"/>
              <w:rPr>
                <w:rFonts w:ascii="Arial"/>
                <w:b/>
                <w:sz w:val="18"/>
              </w:rPr>
            </w:pPr>
            <w:r>
              <w:rPr>
                <w:rFonts w:ascii="Arial"/>
                <w:b/>
                <w:sz w:val="18"/>
              </w:rPr>
              <w:t>95% Confidence Limits of Distribution</w:t>
            </w:r>
          </w:p>
        </w:tc>
      </w:tr>
      <w:tr>
        <w:trPr>
          <w:trHeight w:val="300" w:hRule="exact"/>
        </w:trPr>
        <w:tc>
          <w:tcPr>
            <w:tcW w:w="1738" w:type="dxa"/>
          </w:tcPr>
          <w:p>
            <w:pPr>
              <w:pStyle w:val="TableParagraph"/>
              <w:spacing w:before="27"/>
              <w:ind w:left="472" w:right="472"/>
              <w:jc w:val="center"/>
              <w:rPr>
                <w:rFonts w:ascii="Arial"/>
                <w:sz w:val="18"/>
              </w:rPr>
            </w:pPr>
            <w:r>
              <w:rPr>
                <w:rFonts w:ascii="Arial"/>
                <w:sz w:val="18"/>
              </w:rPr>
              <w:t>345</w:t>
            </w:r>
          </w:p>
        </w:tc>
        <w:tc>
          <w:tcPr>
            <w:tcW w:w="6570" w:type="dxa"/>
          </w:tcPr>
          <w:p>
            <w:pPr>
              <w:pStyle w:val="TableParagraph"/>
              <w:spacing w:before="14"/>
              <w:ind w:left="1634" w:right="1634"/>
              <w:jc w:val="center"/>
              <w:rPr>
                <w:rFonts w:ascii="Arial" w:hAnsi="Arial"/>
                <w:sz w:val="18"/>
              </w:rPr>
            </w:pPr>
            <w:r>
              <w:rPr>
                <w:rFonts w:ascii="Arial" w:hAnsi="Arial"/>
                <w:sz w:val="18"/>
              </w:rPr>
              <w:t>0.294–0.306 mg/L NO</w:t>
            </w:r>
            <w:r>
              <w:rPr>
                <w:rFonts w:ascii="Arial" w:hAnsi="Arial"/>
                <w:position w:val="-3"/>
                <w:sz w:val="14"/>
              </w:rPr>
              <w:t>2</w:t>
            </w:r>
            <w:r>
              <w:rPr>
                <w:rFonts w:ascii="Arial" w:hAnsi="Arial"/>
                <w:position w:val="5"/>
                <w:sz w:val="14"/>
              </w:rPr>
              <w:t>–</w:t>
            </w:r>
            <w:r>
              <w:rPr>
                <w:rFonts w:ascii="Arial" w:hAnsi="Arial"/>
                <w:sz w:val="18"/>
              </w:rPr>
              <w:t>–N</w:t>
            </w:r>
          </w:p>
        </w:tc>
      </w:tr>
    </w:tbl>
    <w:p>
      <w:pPr>
        <w:pStyle w:val="BodyText"/>
        <w:spacing w:before="3"/>
        <w:rPr>
          <w:sz w:val="19"/>
        </w:rPr>
      </w:pPr>
    </w:p>
    <w:p>
      <w:pPr>
        <w:spacing w:before="0"/>
        <w:ind w:left="1926" w:right="22" w:firstLine="0"/>
        <w:jc w:val="left"/>
        <w:rPr>
          <w:b/>
          <w:sz w:val="20"/>
        </w:rPr>
      </w:pPr>
      <w:r>
        <w:rPr>
          <w:b/>
          <w:sz w:val="20"/>
        </w:rPr>
        <w:t>Sensitivity</w:t>
      </w:r>
    </w:p>
    <w:p>
      <w:pPr>
        <w:pStyle w:val="BodyText"/>
        <w:spacing w:before="5" w:after="1"/>
        <w:rPr>
          <w:b/>
        </w:rPr>
      </w:pPr>
    </w:p>
    <w:tbl>
      <w:tblPr>
        <w:tblW w:w="0" w:type="auto"/>
        <w:jc w:val="left"/>
        <w:tblInd w:w="1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4"/>
        <w:gridCol w:w="3100"/>
        <w:gridCol w:w="2604"/>
      </w:tblGrid>
      <w:tr>
        <w:trPr>
          <w:trHeight w:val="380" w:hRule="exact"/>
        </w:trPr>
        <w:tc>
          <w:tcPr>
            <w:tcW w:w="2604" w:type="dxa"/>
          </w:tcPr>
          <w:p>
            <w:pPr>
              <w:pStyle w:val="TableParagraph"/>
              <w:spacing w:before="66"/>
              <w:ind w:left="572" w:right="572"/>
              <w:jc w:val="center"/>
              <w:rPr>
                <w:rFonts w:ascii="Arial"/>
                <w:b/>
                <w:sz w:val="18"/>
              </w:rPr>
            </w:pPr>
            <w:r>
              <w:rPr>
                <w:rFonts w:ascii="Arial"/>
                <w:b/>
                <w:sz w:val="18"/>
              </w:rPr>
              <w:t>Portion of Curve</w:t>
            </w:r>
          </w:p>
        </w:tc>
        <w:tc>
          <w:tcPr>
            <w:tcW w:w="3100" w:type="dxa"/>
          </w:tcPr>
          <w:p>
            <w:pPr>
              <w:pStyle w:val="TableParagraph"/>
              <w:spacing w:before="64"/>
              <w:ind w:left="1292" w:right="1293"/>
              <w:jc w:val="center"/>
              <w:rPr>
                <w:rFonts w:ascii="Arial" w:hAnsi="Arial"/>
                <w:b/>
                <w:sz w:val="18"/>
              </w:rPr>
            </w:pPr>
            <w:r>
              <w:rPr>
                <w:w w:val="105"/>
                <w:sz w:val="18"/>
              </w:rPr>
              <w:t>Δ</w:t>
            </w:r>
            <w:r>
              <w:rPr>
                <w:rFonts w:ascii="Arial" w:hAnsi="Arial"/>
                <w:b/>
                <w:w w:val="105"/>
                <w:sz w:val="18"/>
              </w:rPr>
              <w:t>Abs</w:t>
            </w:r>
          </w:p>
        </w:tc>
        <w:tc>
          <w:tcPr>
            <w:tcW w:w="2604" w:type="dxa"/>
          </w:tcPr>
          <w:p>
            <w:pPr>
              <w:pStyle w:val="TableParagraph"/>
              <w:spacing w:before="64"/>
              <w:ind w:left="572" w:right="572"/>
              <w:jc w:val="center"/>
              <w:rPr>
                <w:rFonts w:ascii="Arial" w:hAnsi="Arial"/>
                <w:b/>
                <w:sz w:val="18"/>
              </w:rPr>
            </w:pPr>
            <w:r>
              <w:rPr>
                <w:sz w:val="18"/>
              </w:rPr>
              <w:t>Δ</w:t>
            </w:r>
            <w:r>
              <w:rPr>
                <w:rFonts w:ascii="Arial" w:hAnsi="Arial"/>
                <w:b/>
                <w:sz w:val="18"/>
              </w:rPr>
              <w:t>Concentration</w:t>
            </w:r>
          </w:p>
        </w:tc>
      </w:tr>
      <w:tr>
        <w:trPr>
          <w:trHeight w:val="300" w:hRule="exact"/>
        </w:trPr>
        <w:tc>
          <w:tcPr>
            <w:tcW w:w="2604" w:type="dxa"/>
          </w:tcPr>
          <w:p>
            <w:pPr>
              <w:pStyle w:val="TableParagraph"/>
              <w:spacing w:before="26"/>
              <w:ind w:left="572" w:right="571"/>
              <w:jc w:val="center"/>
              <w:rPr>
                <w:rFonts w:ascii="Arial"/>
                <w:sz w:val="18"/>
              </w:rPr>
            </w:pPr>
            <w:r>
              <w:rPr>
                <w:rFonts w:ascii="Arial"/>
                <w:sz w:val="18"/>
              </w:rPr>
              <w:t>Entire range</w:t>
            </w:r>
          </w:p>
        </w:tc>
        <w:tc>
          <w:tcPr>
            <w:tcW w:w="3100" w:type="dxa"/>
          </w:tcPr>
          <w:p>
            <w:pPr>
              <w:pStyle w:val="TableParagraph"/>
              <w:spacing w:before="26"/>
              <w:ind w:left="1292" w:right="1290"/>
              <w:jc w:val="center"/>
              <w:rPr>
                <w:rFonts w:ascii="Arial"/>
                <w:sz w:val="18"/>
              </w:rPr>
            </w:pPr>
            <w:r>
              <w:rPr>
                <w:rFonts w:ascii="Arial"/>
                <w:sz w:val="18"/>
              </w:rPr>
              <w:t>0.010</w:t>
            </w:r>
          </w:p>
        </w:tc>
        <w:tc>
          <w:tcPr>
            <w:tcW w:w="2604" w:type="dxa"/>
          </w:tcPr>
          <w:p>
            <w:pPr>
              <w:pStyle w:val="TableParagraph"/>
              <w:spacing w:before="14"/>
              <w:ind w:left="494" w:right="0"/>
              <w:jc w:val="left"/>
              <w:rPr>
                <w:rFonts w:ascii="Arial" w:hAnsi="Arial"/>
                <w:sz w:val="18"/>
              </w:rPr>
            </w:pPr>
            <w:r>
              <w:rPr>
                <w:rFonts w:ascii="Arial" w:hAnsi="Arial"/>
                <w:sz w:val="18"/>
              </w:rPr>
              <w:t>0.003 mg/L NO</w:t>
            </w:r>
            <w:r>
              <w:rPr>
                <w:rFonts w:ascii="Arial" w:hAnsi="Arial"/>
                <w:position w:val="-3"/>
                <w:sz w:val="14"/>
              </w:rPr>
              <w:t>2</w:t>
            </w:r>
            <w:r>
              <w:rPr>
                <w:rFonts w:ascii="Arial" w:hAnsi="Arial"/>
                <w:position w:val="5"/>
                <w:sz w:val="14"/>
              </w:rPr>
              <w:t>–</w:t>
            </w:r>
            <w:r>
              <w:rPr>
                <w:rFonts w:ascii="Arial" w:hAnsi="Arial"/>
                <w:sz w:val="18"/>
              </w:rPr>
              <w:t>–N</w:t>
            </w:r>
          </w:p>
        </w:tc>
      </w:tr>
    </w:tbl>
    <w:p>
      <w:pPr>
        <w:pStyle w:val="BodyText"/>
        <w:spacing w:before="3"/>
        <w:rPr>
          <w:b/>
          <w:sz w:val="24"/>
        </w:rPr>
      </w:pPr>
    </w:p>
    <w:p>
      <w:pPr>
        <w:pStyle w:val="Heading3"/>
        <w:ind w:right="22"/>
      </w:pPr>
      <w:r>
        <w:rPr/>
        <w:t>Summary of Method</w:t>
      </w:r>
    </w:p>
    <w:p>
      <w:pPr>
        <w:spacing w:line="249" w:lineRule="auto" w:before="179"/>
        <w:ind w:left="1926" w:right="220" w:firstLine="0"/>
        <w:jc w:val="left"/>
        <w:rPr>
          <w:sz w:val="20"/>
        </w:rPr>
      </w:pPr>
      <w:r>
        <w:rPr>
          <w:sz w:val="20"/>
        </w:rPr>
        <w:t>Nitrite in the sample reacts with sulfanilic acid to form an intermediate diazonium salt. This couples with chromotropic acid to produce a pink colored complex directly proportional to the amount of nitrite present. Test results are measured at 507 nm.</w:t>
      </w:r>
    </w:p>
    <w:p>
      <w:pPr>
        <w:pStyle w:val="BodyText"/>
        <w:rPr>
          <w:sz w:val="26"/>
        </w:rPr>
      </w:pPr>
    </w:p>
    <w:p>
      <w:pPr>
        <w:pStyle w:val="Heading3"/>
        <w:ind w:right="22"/>
      </w:pPr>
      <w:r>
        <w:rPr/>
        <w:t>Consumables and Replacement Items</w:t>
      </w:r>
    </w:p>
    <w:p>
      <w:pPr>
        <w:spacing w:before="139"/>
        <w:ind w:left="125" w:right="22" w:firstLine="0"/>
        <w:jc w:val="left"/>
        <w:rPr>
          <w:b/>
          <w:sz w:val="20"/>
        </w:rPr>
      </w:pPr>
      <w:r>
        <w:rPr>
          <w:b/>
          <w:sz w:val="20"/>
        </w:rPr>
        <w:t>Required Reagents</w:t>
      </w:r>
    </w:p>
    <w:p>
      <w:pPr>
        <w:pStyle w:val="BodyText"/>
        <w:spacing w:before="8"/>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47"/>
        <w:gridCol w:w="2605"/>
        <w:gridCol w:w="1084"/>
        <w:gridCol w:w="1433"/>
      </w:tblGrid>
      <w:tr>
        <w:trPr>
          <w:trHeight w:val="379" w:hRule="exact"/>
        </w:trPr>
        <w:tc>
          <w:tcPr>
            <w:tcW w:w="4947" w:type="dxa"/>
            <w:tcBorders>
              <w:left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2605" w:type="dxa"/>
            <w:tcBorders>
              <w:left w:val="nil"/>
              <w:right w:val="nil"/>
            </w:tcBorders>
          </w:tcPr>
          <w:p>
            <w:pPr>
              <w:pStyle w:val="TableParagraph"/>
              <w:spacing w:before="66"/>
              <w:ind w:left="1212" w:right="202"/>
              <w:jc w:val="center"/>
              <w:rPr>
                <w:rFonts w:ascii="Arial"/>
                <w:b/>
                <w:sz w:val="18"/>
              </w:rPr>
            </w:pPr>
            <w:r>
              <w:rPr>
                <w:rFonts w:ascii="Arial"/>
                <w:b/>
                <w:sz w:val="18"/>
              </w:rPr>
              <w:t>Quantity/Test</w:t>
            </w:r>
          </w:p>
        </w:tc>
        <w:tc>
          <w:tcPr>
            <w:tcW w:w="1084" w:type="dxa"/>
            <w:tcBorders>
              <w:left w:val="nil"/>
              <w:right w:val="nil"/>
            </w:tcBorders>
          </w:tcPr>
          <w:p>
            <w:pPr>
              <w:pStyle w:val="TableParagraph"/>
              <w:spacing w:before="66"/>
              <w:ind w:left="208" w:right="294"/>
              <w:jc w:val="center"/>
              <w:rPr>
                <w:rFonts w:ascii="Arial"/>
                <w:b/>
                <w:sz w:val="18"/>
              </w:rPr>
            </w:pPr>
            <w:r>
              <w:rPr>
                <w:rFonts w:ascii="Arial"/>
                <w:b/>
                <w:sz w:val="18"/>
              </w:rPr>
              <w:t>Unit</w:t>
            </w:r>
          </w:p>
        </w:tc>
        <w:tc>
          <w:tcPr>
            <w:tcW w:w="1433" w:type="dxa"/>
            <w:tcBorders>
              <w:left w:val="nil"/>
              <w:right w:val="single" w:sz="2" w:space="0" w:color="000000"/>
            </w:tcBorders>
          </w:tcPr>
          <w:p>
            <w:pPr>
              <w:pStyle w:val="TableParagraph"/>
              <w:spacing w:before="66"/>
              <w:ind w:left="355" w:right="0"/>
              <w:jc w:val="left"/>
              <w:rPr>
                <w:rFonts w:ascii="Arial"/>
                <w:b/>
                <w:sz w:val="18"/>
              </w:rPr>
            </w:pPr>
            <w:r>
              <w:rPr>
                <w:rFonts w:ascii="Arial"/>
                <w:b/>
                <w:sz w:val="18"/>
              </w:rPr>
              <w:t>Cat. No.</w:t>
            </w:r>
          </w:p>
        </w:tc>
      </w:tr>
      <w:tr>
        <w:trPr>
          <w:trHeight w:val="300" w:hRule="exact"/>
        </w:trPr>
        <w:tc>
          <w:tcPr>
            <w:tcW w:w="4947" w:type="dxa"/>
            <w:tcBorders>
              <w:left w:val="single" w:sz="2" w:space="0" w:color="000000"/>
              <w:right w:val="nil"/>
            </w:tcBorders>
            <w:shd w:val="clear" w:color="auto" w:fill="E6E6FF"/>
          </w:tcPr>
          <w:p>
            <w:pPr>
              <w:pStyle w:val="TableParagraph"/>
              <w:spacing w:before="24"/>
              <w:ind w:left="77" w:right="0"/>
              <w:jc w:val="left"/>
              <w:rPr>
                <w:rFonts w:ascii="Arial" w:hAnsi="Arial"/>
                <w:sz w:val="18"/>
              </w:rPr>
            </w:pPr>
            <w:r>
              <w:rPr>
                <w:rFonts w:ascii="Arial" w:hAnsi="Arial"/>
                <w:sz w:val="18"/>
              </w:rPr>
              <w:t>Test ‘N Tube™ NitriVer</w:t>
            </w:r>
            <w:r>
              <w:rPr>
                <w:rFonts w:ascii="Arial" w:hAnsi="Arial"/>
                <w:position w:val="4"/>
                <w:sz w:val="14"/>
              </w:rPr>
              <w:t>® </w:t>
            </w:r>
            <w:r>
              <w:rPr>
                <w:rFonts w:ascii="Arial" w:hAnsi="Arial"/>
                <w:sz w:val="18"/>
              </w:rPr>
              <w:t>3 Nitrite Reagent Set</w:t>
            </w:r>
          </w:p>
        </w:tc>
        <w:tc>
          <w:tcPr>
            <w:tcW w:w="2605" w:type="dxa"/>
            <w:tcBorders>
              <w:left w:val="nil"/>
              <w:right w:val="nil"/>
            </w:tcBorders>
            <w:shd w:val="clear" w:color="auto" w:fill="E6E6FF"/>
          </w:tcPr>
          <w:p>
            <w:pPr>
              <w:pStyle w:val="TableParagraph"/>
              <w:spacing w:before="26"/>
              <w:ind w:left="1009" w:right="0"/>
              <w:jc w:val="center"/>
              <w:rPr>
                <w:rFonts w:ascii="Arial"/>
                <w:sz w:val="18"/>
              </w:rPr>
            </w:pPr>
            <w:r>
              <w:rPr>
                <w:rFonts w:ascii="Arial"/>
                <w:sz w:val="18"/>
              </w:rPr>
              <w:t>1</w:t>
            </w:r>
          </w:p>
        </w:tc>
        <w:tc>
          <w:tcPr>
            <w:tcW w:w="1084" w:type="dxa"/>
            <w:tcBorders>
              <w:left w:val="nil"/>
              <w:right w:val="nil"/>
            </w:tcBorders>
            <w:shd w:val="clear" w:color="auto" w:fill="E6E6FF"/>
          </w:tcPr>
          <w:p>
            <w:pPr>
              <w:pStyle w:val="TableParagraph"/>
              <w:spacing w:before="26"/>
              <w:ind w:left="208" w:right="295"/>
              <w:jc w:val="center"/>
              <w:rPr>
                <w:rFonts w:ascii="Arial"/>
                <w:sz w:val="18"/>
              </w:rPr>
            </w:pPr>
            <w:r>
              <w:rPr>
                <w:rFonts w:ascii="Arial"/>
                <w:sz w:val="18"/>
              </w:rPr>
              <w:t>50/pkg</w:t>
            </w:r>
          </w:p>
        </w:tc>
        <w:tc>
          <w:tcPr>
            <w:tcW w:w="1433" w:type="dxa"/>
            <w:tcBorders>
              <w:left w:val="nil"/>
              <w:right w:val="single" w:sz="2" w:space="0" w:color="000000"/>
            </w:tcBorders>
            <w:shd w:val="clear" w:color="auto" w:fill="E6E6FF"/>
          </w:tcPr>
          <w:p>
            <w:pPr>
              <w:pStyle w:val="TableParagraph"/>
              <w:spacing w:before="26"/>
              <w:ind w:left="316" w:right="0"/>
              <w:jc w:val="left"/>
              <w:rPr>
                <w:rFonts w:ascii="Arial"/>
                <w:sz w:val="18"/>
              </w:rPr>
            </w:pPr>
            <w:r>
              <w:rPr>
                <w:rFonts w:ascii="Arial"/>
                <w:sz w:val="18"/>
              </w:rPr>
              <w:t>26083-45</w:t>
            </w:r>
          </w:p>
        </w:tc>
      </w:tr>
    </w:tbl>
    <w:p>
      <w:pPr>
        <w:spacing w:before="62"/>
        <w:ind w:left="125" w:right="22" w:firstLine="0"/>
        <w:jc w:val="left"/>
        <w:rPr>
          <w:b/>
          <w:sz w:val="20"/>
        </w:rPr>
      </w:pPr>
      <w:r>
        <w:rPr>
          <w:b/>
          <w:sz w:val="20"/>
        </w:rPr>
        <w:t>Required Apparatus</w:t>
      </w:r>
    </w:p>
    <w:p>
      <w:pPr>
        <w:pStyle w:val="BodyText"/>
        <w:spacing w:before="7"/>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90"/>
        <w:gridCol w:w="2852"/>
        <w:gridCol w:w="1093"/>
        <w:gridCol w:w="1443"/>
      </w:tblGrid>
      <w:tr>
        <w:trPr>
          <w:trHeight w:val="379" w:hRule="exact"/>
        </w:trPr>
        <w:tc>
          <w:tcPr>
            <w:tcW w:w="4690"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2852" w:type="dxa"/>
            <w:tcBorders>
              <w:left w:val="nil"/>
              <w:bottom w:val="single" w:sz="2" w:space="0" w:color="000000"/>
              <w:right w:val="nil"/>
            </w:tcBorders>
          </w:tcPr>
          <w:p>
            <w:pPr>
              <w:pStyle w:val="TableParagraph"/>
              <w:spacing w:before="66"/>
              <w:ind w:left="1455" w:right="205"/>
              <w:jc w:val="center"/>
              <w:rPr>
                <w:rFonts w:ascii="Arial"/>
                <w:b/>
                <w:sz w:val="18"/>
              </w:rPr>
            </w:pPr>
            <w:r>
              <w:rPr>
                <w:rFonts w:ascii="Arial"/>
                <w:b/>
                <w:sz w:val="18"/>
              </w:rPr>
              <w:t>Quantity/Test</w:t>
            </w:r>
          </w:p>
        </w:tc>
        <w:tc>
          <w:tcPr>
            <w:tcW w:w="1093" w:type="dxa"/>
            <w:tcBorders>
              <w:left w:val="nil"/>
              <w:bottom w:val="single" w:sz="2" w:space="0" w:color="000000"/>
              <w:right w:val="nil"/>
            </w:tcBorders>
          </w:tcPr>
          <w:p>
            <w:pPr>
              <w:pStyle w:val="TableParagraph"/>
              <w:spacing w:before="66"/>
              <w:ind w:left="326" w:right="0"/>
              <w:jc w:val="left"/>
              <w:rPr>
                <w:rFonts w:ascii="Arial"/>
                <w:b/>
                <w:sz w:val="18"/>
              </w:rPr>
            </w:pPr>
            <w:r>
              <w:rPr>
                <w:rFonts w:ascii="Arial"/>
                <w:b/>
                <w:sz w:val="18"/>
              </w:rPr>
              <w:t>Unit</w:t>
            </w:r>
          </w:p>
        </w:tc>
        <w:tc>
          <w:tcPr>
            <w:tcW w:w="1443" w:type="dxa"/>
            <w:tcBorders>
              <w:left w:val="nil"/>
              <w:bottom w:val="single" w:sz="2" w:space="0" w:color="000000"/>
              <w:right w:val="single" w:sz="2" w:space="0" w:color="000000"/>
            </w:tcBorders>
          </w:tcPr>
          <w:p>
            <w:pPr>
              <w:pStyle w:val="TableParagraph"/>
              <w:spacing w:before="66"/>
              <w:ind w:left="362" w:right="0"/>
              <w:jc w:val="left"/>
              <w:rPr>
                <w:rFonts w:ascii="Arial"/>
                <w:b/>
                <w:sz w:val="18"/>
              </w:rPr>
            </w:pPr>
            <w:r>
              <w:rPr>
                <w:rFonts w:ascii="Arial"/>
                <w:b/>
                <w:sz w:val="18"/>
              </w:rPr>
              <w:t>Cat. No.</w:t>
            </w:r>
          </w:p>
        </w:tc>
      </w:tr>
      <w:tr>
        <w:trPr>
          <w:trHeight w:val="300" w:hRule="exact"/>
        </w:trPr>
        <w:tc>
          <w:tcPr>
            <w:tcW w:w="4690" w:type="dxa"/>
            <w:tcBorders>
              <w:top w:val="single" w:sz="2" w:space="0" w:color="000000"/>
              <w:left w:val="single" w:sz="2" w:space="0" w:color="000000"/>
              <w:bottom w:val="nil"/>
              <w:right w:val="nil"/>
            </w:tcBorders>
            <w:shd w:val="clear" w:color="auto" w:fill="E6E6FF"/>
          </w:tcPr>
          <w:p>
            <w:pPr>
              <w:pStyle w:val="TableParagraph"/>
              <w:spacing w:before="26"/>
              <w:ind w:left="77" w:right="0"/>
              <w:jc w:val="left"/>
              <w:rPr>
                <w:rFonts w:ascii="Arial" w:hAnsi="Arial"/>
                <w:sz w:val="18"/>
              </w:rPr>
            </w:pPr>
            <w:r>
              <w:rPr>
                <w:rFonts w:ascii="Arial" w:hAnsi="Arial"/>
                <w:sz w:val="18"/>
              </w:rPr>
              <w:t>Pipet, TenSette</w:t>
            </w:r>
            <w:r>
              <w:rPr>
                <w:rFonts w:ascii="Arial" w:hAnsi="Arial"/>
                <w:position w:val="4"/>
                <w:sz w:val="14"/>
              </w:rPr>
              <w:t>®</w:t>
            </w:r>
            <w:r>
              <w:rPr>
                <w:rFonts w:ascii="Arial" w:hAnsi="Arial"/>
                <w:sz w:val="18"/>
              </w:rPr>
              <w:t>, 1.0 to 10.0 mL</w:t>
            </w:r>
          </w:p>
        </w:tc>
        <w:tc>
          <w:tcPr>
            <w:tcW w:w="2852" w:type="dxa"/>
            <w:tcBorders>
              <w:top w:val="single" w:sz="2" w:space="0" w:color="000000"/>
              <w:left w:val="nil"/>
              <w:bottom w:val="nil"/>
              <w:right w:val="nil"/>
            </w:tcBorders>
            <w:shd w:val="clear" w:color="auto" w:fill="E6E6FF"/>
          </w:tcPr>
          <w:p>
            <w:pPr>
              <w:pStyle w:val="TableParagraph"/>
              <w:spacing w:before="29"/>
              <w:ind w:left="1251" w:right="0"/>
              <w:jc w:val="center"/>
              <w:rPr>
                <w:rFonts w:ascii="Arial"/>
                <w:sz w:val="18"/>
              </w:rPr>
            </w:pPr>
            <w:r>
              <w:rPr>
                <w:rFonts w:ascii="Arial"/>
                <w:sz w:val="18"/>
              </w:rPr>
              <w:t>1</w:t>
            </w:r>
          </w:p>
        </w:tc>
        <w:tc>
          <w:tcPr>
            <w:tcW w:w="1093" w:type="dxa"/>
            <w:tcBorders>
              <w:top w:val="single" w:sz="2" w:space="0" w:color="000000"/>
              <w:left w:val="nil"/>
              <w:bottom w:val="nil"/>
              <w:right w:val="nil"/>
            </w:tcBorders>
            <w:shd w:val="clear" w:color="auto" w:fill="E6E6FF"/>
          </w:tcPr>
          <w:p>
            <w:pPr>
              <w:pStyle w:val="TableParagraph"/>
              <w:spacing w:before="29"/>
              <w:ind w:right="395"/>
              <w:rPr>
                <w:rFonts w:ascii="Arial"/>
                <w:sz w:val="18"/>
              </w:rPr>
            </w:pPr>
            <w:r>
              <w:rPr>
                <w:rFonts w:ascii="Arial"/>
                <w:sz w:val="18"/>
              </w:rPr>
              <w:t>each</w:t>
            </w:r>
          </w:p>
        </w:tc>
        <w:tc>
          <w:tcPr>
            <w:tcW w:w="1443" w:type="dxa"/>
            <w:tcBorders>
              <w:top w:val="single" w:sz="2" w:space="0" w:color="000000"/>
              <w:left w:val="nil"/>
              <w:bottom w:val="nil"/>
              <w:right w:val="single" w:sz="2" w:space="0" w:color="000000"/>
            </w:tcBorders>
            <w:shd w:val="clear" w:color="auto" w:fill="E6E6FF"/>
          </w:tcPr>
          <w:p>
            <w:pPr>
              <w:pStyle w:val="TableParagraph"/>
              <w:spacing w:before="29"/>
              <w:ind w:left="323" w:right="0"/>
              <w:jc w:val="left"/>
              <w:rPr>
                <w:rFonts w:ascii="Arial"/>
                <w:sz w:val="18"/>
              </w:rPr>
            </w:pPr>
            <w:r>
              <w:rPr>
                <w:rFonts w:ascii="Arial"/>
                <w:sz w:val="18"/>
              </w:rPr>
              <w:t>19700-10</w:t>
            </w:r>
          </w:p>
        </w:tc>
      </w:tr>
      <w:tr>
        <w:trPr>
          <w:trHeight w:val="300" w:hRule="exact"/>
        </w:trPr>
        <w:tc>
          <w:tcPr>
            <w:tcW w:w="4690" w:type="dxa"/>
            <w:tcBorders>
              <w:top w:val="nil"/>
              <w:left w:val="single" w:sz="2" w:space="0" w:color="000000"/>
              <w:bottom w:val="single" w:sz="2" w:space="0" w:color="000000"/>
              <w:right w:val="nil"/>
            </w:tcBorders>
          </w:tcPr>
          <w:p>
            <w:pPr>
              <w:pStyle w:val="TableParagraph"/>
              <w:spacing w:before="31"/>
              <w:ind w:left="77" w:right="0"/>
              <w:jc w:val="left"/>
              <w:rPr>
                <w:rFonts w:ascii="Arial"/>
                <w:sz w:val="18"/>
              </w:rPr>
            </w:pPr>
            <w:r>
              <w:rPr>
                <w:rFonts w:ascii="Arial"/>
                <w:sz w:val="18"/>
              </w:rPr>
              <w:t>Pipet Tips, for TenSette Pipet 19700-10</w:t>
            </w:r>
          </w:p>
        </w:tc>
        <w:tc>
          <w:tcPr>
            <w:tcW w:w="2852" w:type="dxa"/>
            <w:tcBorders>
              <w:top w:val="nil"/>
              <w:left w:val="nil"/>
              <w:bottom w:val="single" w:sz="2" w:space="0" w:color="000000"/>
              <w:right w:val="nil"/>
            </w:tcBorders>
          </w:tcPr>
          <w:p>
            <w:pPr>
              <w:pStyle w:val="TableParagraph"/>
              <w:spacing w:before="31"/>
              <w:ind w:left="1453" w:right="205"/>
              <w:jc w:val="center"/>
              <w:rPr>
                <w:rFonts w:ascii="Arial"/>
                <w:sz w:val="18"/>
              </w:rPr>
            </w:pPr>
            <w:r>
              <w:rPr>
                <w:rFonts w:ascii="Arial"/>
                <w:sz w:val="18"/>
              </w:rPr>
              <w:t>varies</w:t>
            </w:r>
          </w:p>
        </w:tc>
        <w:tc>
          <w:tcPr>
            <w:tcW w:w="1093" w:type="dxa"/>
            <w:tcBorders>
              <w:top w:val="nil"/>
              <w:left w:val="nil"/>
              <w:bottom w:val="single" w:sz="2" w:space="0" w:color="000000"/>
              <w:right w:val="nil"/>
            </w:tcBorders>
          </w:tcPr>
          <w:p>
            <w:pPr>
              <w:pStyle w:val="TableParagraph"/>
              <w:spacing w:before="31"/>
              <w:ind w:right="320"/>
              <w:rPr>
                <w:rFonts w:ascii="Arial"/>
                <w:sz w:val="18"/>
              </w:rPr>
            </w:pPr>
            <w:r>
              <w:rPr>
                <w:rFonts w:ascii="Arial"/>
                <w:sz w:val="18"/>
              </w:rPr>
              <w:t>50/pkg</w:t>
            </w:r>
          </w:p>
        </w:tc>
        <w:tc>
          <w:tcPr>
            <w:tcW w:w="1443" w:type="dxa"/>
            <w:tcBorders>
              <w:top w:val="nil"/>
              <w:left w:val="nil"/>
              <w:bottom w:val="single" w:sz="2" w:space="0" w:color="000000"/>
              <w:right w:val="single" w:sz="2" w:space="0" w:color="000000"/>
            </w:tcBorders>
          </w:tcPr>
          <w:p>
            <w:pPr>
              <w:pStyle w:val="TableParagraph"/>
              <w:spacing w:before="31"/>
              <w:ind w:left="321" w:right="0"/>
              <w:jc w:val="left"/>
              <w:rPr>
                <w:rFonts w:ascii="Arial"/>
                <w:sz w:val="18"/>
              </w:rPr>
            </w:pPr>
            <w:r>
              <w:rPr>
                <w:rFonts w:ascii="Arial"/>
                <w:sz w:val="18"/>
              </w:rPr>
              <w:t>21997-96</w:t>
            </w:r>
          </w:p>
        </w:tc>
      </w:tr>
    </w:tbl>
    <w:p>
      <w:pPr>
        <w:spacing w:before="64"/>
        <w:ind w:left="125" w:right="22" w:firstLine="0"/>
        <w:jc w:val="left"/>
        <w:rPr>
          <w:b/>
          <w:sz w:val="20"/>
        </w:rPr>
      </w:pPr>
      <w:r>
        <w:rPr>
          <w:b/>
          <w:sz w:val="20"/>
        </w:rPr>
        <w:t>Recommended Standards and Apparatus</w:t>
      </w:r>
    </w:p>
    <w:p>
      <w:pPr>
        <w:pStyle w:val="BodyText"/>
        <w:spacing w:before="7"/>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922"/>
        <w:gridCol w:w="1742"/>
        <w:gridCol w:w="1417"/>
      </w:tblGrid>
      <w:tr>
        <w:trPr>
          <w:trHeight w:val="379" w:hRule="exact"/>
        </w:trPr>
        <w:tc>
          <w:tcPr>
            <w:tcW w:w="6922"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1742" w:type="dxa"/>
            <w:tcBorders>
              <w:left w:val="nil"/>
              <w:bottom w:val="single" w:sz="2" w:space="0" w:color="000000"/>
              <w:right w:val="nil"/>
            </w:tcBorders>
          </w:tcPr>
          <w:p>
            <w:pPr>
              <w:pStyle w:val="TableParagraph"/>
              <w:spacing w:before="66"/>
              <w:ind w:left="783" w:right="275"/>
              <w:jc w:val="center"/>
              <w:rPr>
                <w:rFonts w:ascii="Arial"/>
                <w:b/>
                <w:sz w:val="18"/>
              </w:rPr>
            </w:pPr>
            <w:r>
              <w:rPr>
                <w:rFonts w:ascii="Arial"/>
                <w:b/>
                <w:sz w:val="18"/>
              </w:rPr>
              <w:t>Unit</w:t>
            </w:r>
          </w:p>
        </w:tc>
        <w:tc>
          <w:tcPr>
            <w:tcW w:w="1417" w:type="dxa"/>
            <w:tcBorders>
              <w:left w:val="nil"/>
              <w:bottom w:val="single" w:sz="2" w:space="0" w:color="000000"/>
              <w:right w:val="single" w:sz="2" w:space="0" w:color="000000"/>
            </w:tcBorders>
          </w:tcPr>
          <w:p>
            <w:pPr>
              <w:pStyle w:val="TableParagraph"/>
              <w:spacing w:before="66"/>
              <w:ind w:left="338" w:right="0"/>
              <w:jc w:val="left"/>
              <w:rPr>
                <w:rFonts w:ascii="Arial"/>
                <w:b/>
                <w:sz w:val="18"/>
              </w:rPr>
            </w:pPr>
            <w:r>
              <w:rPr>
                <w:rFonts w:ascii="Arial"/>
                <w:b/>
                <w:sz w:val="18"/>
              </w:rPr>
              <w:t>Cat. No.</w:t>
            </w:r>
          </w:p>
        </w:tc>
      </w:tr>
      <w:tr>
        <w:trPr>
          <w:trHeight w:val="300" w:hRule="exact"/>
        </w:trPr>
        <w:tc>
          <w:tcPr>
            <w:tcW w:w="6922"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Handbook, Standard Methods for the Examination of Water and Wastewater</w:t>
            </w:r>
          </w:p>
        </w:tc>
        <w:tc>
          <w:tcPr>
            <w:tcW w:w="1742" w:type="dxa"/>
            <w:tcBorders>
              <w:top w:val="single" w:sz="2" w:space="0" w:color="000000"/>
              <w:left w:val="nil"/>
              <w:bottom w:val="nil"/>
              <w:right w:val="nil"/>
            </w:tcBorders>
            <w:shd w:val="clear" w:color="auto" w:fill="E6E6FF"/>
          </w:tcPr>
          <w:p>
            <w:pPr>
              <w:pStyle w:val="TableParagraph"/>
              <w:spacing w:before="29"/>
              <w:ind w:left="783" w:right="274"/>
              <w:jc w:val="center"/>
              <w:rPr>
                <w:rFonts w:ascii="Arial"/>
                <w:sz w:val="18"/>
              </w:rPr>
            </w:pPr>
            <w:r>
              <w:rPr>
                <w:rFonts w:ascii="Arial"/>
                <w:sz w:val="18"/>
              </w:rPr>
              <w:t>each</w:t>
            </w:r>
          </w:p>
        </w:tc>
        <w:tc>
          <w:tcPr>
            <w:tcW w:w="1417" w:type="dxa"/>
            <w:tcBorders>
              <w:top w:val="single" w:sz="2" w:space="0" w:color="000000"/>
              <w:left w:val="nil"/>
              <w:bottom w:val="nil"/>
              <w:right w:val="single" w:sz="2" w:space="0" w:color="000000"/>
            </w:tcBorders>
            <w:shd w:val="clear" w:color="auto" w:fill="E6E6FF"/>
          </w:tcPr>
          <w:p>
            <w:pPr>
              <w:pStyle w:val="TableParagraph"/>
              <w:spacing w:before="29"/>
              <w:ind w:left="298" w:right="0"/>
              <w:jc w:val="left"/>
              <w:rPr>
                <w:rFonts w:ascii="Arial"/>
                <w:sz w:val="18"/>
              </w:rPr>
            </w:pPr>
            <w:r>
              <w:rPr>
                <w:rFonts w:ascii="Arial"/>
                <w:sz w:val="18"/>
              </w:rPr>
              <w:t>22708-00</w:t>
            </w:r>
          </w:p>
        </w:tc>
      </w:tr>
      <w:tr>
        <w:trPr>
          <w:trHeight w:val="300" w:hRule="exact"/>
        </w:trPr>
        <w:tc>
          <w:tcPr>
            <w:tcW w:w="6922" w:type="dxa"/>
            <w:tcBorders>
              <w:top w:val="nil"/>
              <w:left w:val="single" w:sz="2" w:space="0" w:color="000000"/>
              <w:bottom w:val="nil"/>
              <w:right w:val="nil"/>
            </w:tcBorders>
          </w:tcPr>
          <w:p>
            <w:pPr>
              <w:pStyle w:val="TableParagraph"/>
              <w:spacing w:before="31"/>
              <w:ind w:left="77" w:right="0"/>
              <w:jc w:val="left"/>
              <w:rPr>
                <w:rFonts w:ascii="Arial"/>
                <w:sz w:val="18"/>
              </w:rPr>
            </w:pPr>
            <w:r>
              <w:rPr>
                <w:rFonts w:ascii="Arial"/>
                <w:sz w:val="18"/>
              </w:rPr>
              <w:t>Pipet Tips, for TenSette Pipet 19700-10</w:t>
            </w:r>
          </w:p>
        </w:tc>
        <w:tc>
          <w:tcPr>
            <w:tcW w:w="1742" w:type="dxa"/>
            <w:tcBorders>
              <w:top w:val="nil"/>
              <w:left w:val="nil"/>
              <w:bottom w:val="nil"/>
              <w:right w:val="nil"/>
            </w:tcBorders>
          </w:tcPr>
          <w:p>
            <w:pPr>
              <w:pStyle w:val="TableParagraph"/>
              <w:spacing w:before="31"/>
              <w:ind w:left="783" w:right="277"/>
              <w:jc w:val="center"/>
              <w:rPr>
                <w:rFonts w:ascii="Arial"/>
                <w:sz w:val="18"/>
              </w:rPr>
            </w:pPr>
            <w:r>
              <w:rPr>
                <w:rFonts w:ascii="Arial"/>
                <w:sz w:val="18"/>
              </w:rPr>
              <w:t>250/pkg</w:t>
            </w:r>
          </w:p>
        </w:tc>
        <w:tc>
          <w:tcPr>
            <w:tcW w:w="1417" w:type="dxa"/>
            <w:tcBorders>
              <w:top w:val="nil"/>
              <w:left w:val="nil"/>
              <w:bottom w:val="nil"/>
              <w:right w:val="single" w:sz="2" w:space="0" w:color="000000"/>
            </w:tcBorders>
          </w:tcPr>
          <w:p>
            <w:pPr>
              <w:pStyle w:val="TableParagraph"/>
              <w:spacing w:before="31"/>
              <w:ind w:left="297" w:right="0"/>
              <w:jc w:val="left"/>
              <w:rPr>
                <w:rFonts w:ascii="Arial"/>
                <w:sz w:val="18"/>
              </w:rPr>
            </w:pPr>
            <w:r>
              <w:rPr>
                <w:rFonts w:ascii="Arial"/>
                <w:sz w:val="18"/>
              </w:rPr>
              <w:t>21997-25</w:t>
            </w:r>
          </w:p>
        </w:tc>
      </w:tr>
      <w:tr>
        <w:trPr>
          <w:trHeight w:val="300" w:hRule="exact"/>
        </w:trPr>
        <w:tc>
          <w:tcPr>
            <w:tcW w:w="6922"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Sodium Nitrite, ACS</w:t>
            </w:r>
          </w:p>
        </w:tc>
        <w:tc>
          <w:tcPr>
            <w:tcW w:w="1742" w:type="dxa"/>
            <w:tcBorders>
              <w:top w:val="nil"/>
              <w:left w:val="nil"/>
              <w:bottom w:val="nil"/>
              <w:right w:val="nil"/>
            </w:tcBorders>
            <w:shd w:val="clear" w:color="auto" w:fill="E6E6FF"/>
          </w:tcPr>
          <w:p>
            <w:pPr>
              <w:pStyle w:val="TableParagraph"/>
              <w:spacing w:before="31"/>
              <w:ind w:left="783" w:right="276"/>
              <w:jc w:val="center"/>
              <w:rPr>
                <w:rFonts w:ascii="Arial"/>
                <w:sz w:val="18"/>
              </w:rPr>
            </w:pPr>
            <w:r>
              <w:rPr>
                <w:rFonts w:ascii="Arial"/>
                <w:sz w:val="18"/>
              </w:rPr>
              <w:t>454 g</w:t>
            </w:r>
          </w:p>
        </w:tc>
        <w:tc>
          <w:tcPr>
            <w:tcW w:w="1417" w:type="dxa"/>
            <w:tcBorders>
              <w:top w:val="nil"/>
              <w:left w:val="nil"/>
              <w:bottom w:val="nil"/>
              <w:right w:val="single" w:sz="2" w:space="0" w:color="000000"/>
            </w:tcBorders>
            <w:shd w:val="clear" w:color="auto" w:fill="E6E6FF"/>
          </w:tcPr>
          <w:p>
            <w:pPr>
              <w:pStyle w:val="TableParagraph"/>
              <w:spacing w:before="31"/>
              <w:ind w:left="347" w:right="0"/>
              <w:jc w:val="left"/>
              <w:rPr>
                <w:rFonts w:ascii="Arial"/>
                <w:sz w:val="18"/>
              </w:rPr>
            </w:pPr>
            <w:r>
              <w:rPr>
                <w:rFonts w:ascii="Arial"/>
                <w:sz w:val="18"/>
              </w:rPr>
              <w:t>2452-01</w:t>
            </w:r>
          </w:p>
        </w:tc>
      </w:tr>
      <w:tr>
        <w:trPr>
          <w:trHeight w:val="300" w:hRule="exact"/>
        </w:trPr>
        <w:tc>
          <w:tcPr>
            <w:tcW w:w="6922" w:type="dxa"/>
            <w:tcBorders>
              <w:top w:val="nil"/>
              <w:left w:val="single" w:sz="2" w:space="0" w:color="000000"/>
              <w:bottom w:val="single" w:sz="2" w:space="0" w:color="000000"/>
              <w:right w:val="nil"/>
            </w:tcBorders>
          </w:tcPr>
          <w:p>
            <w:pPr>
              <w:pStyle w:val="TableParagraph"/>
              <w:spacing w:before="31"/>
              <w:ind w:left="78" w:right="0"/>
              <w:jc w:val="left"/>
              <w:rPr>
                <w:rFonts w:ascii="Arial"/>
                <w:sz w:val="18"/>
              </w:rPr>
            </w:pPr>
            <w:r>
              <w:rPr>
                <w:rFonts w:ascii="Arial"/>
                <w:sz w:val="18"/>
              </w:rPr>
              <w:t>Water, deionized</w:t>
            </w:r>
          </w:p>
        </w:tc>
        <w:tc>
          <w:tcPr>
            <w:tcW w:w="1742" w:type="dxa"/>
            <w:tcBorders>
              <w:top w:val="nil"/>
              <w:left w:val="nil"/>
              <w:bottom w:val="single" w:sz="2" w:space="0" w:color="000000"/>
              <w:right w:val="nil"/>
            </w:tcBorders>
          </w:tcPr>
          <w:p>
            <w:pPr>
              <w:pStyle w:val="TableParagraph"/>
              <w:spacing w:before="31"/>
              <w:ind w:left="783" w:right="273"/>
              <w:jc w:val="center"/>
              <w:rPr>
                <w:rFonts w:ascii="Arial"/>
                <w:sz w:val="18"/>
              </w:rPr>
            </w:pPr>
            <w:r>
              <w:rPr>
                <w:rFonts w:ascii="Arial"/>
                <w:sz w:val="18"/>
              </w:rPr>
              <w:t>4 L</w:t>
            </w:r>
          </w:p>
        </w:tc>
        <w:tc>
          <w:tcPr>
            <w:tcW w:w="1417" w:type="dxa"/>
            <w:tcBorders>
              <w:top w:val="nil"/>
              <w:left w:val="nil"/>
              <w:bottom w:val="single" w:sz="2" w:space="0" w:color="000000"/>
              <w:right w:val="single" w:sz="2" w:space="0" w:color="000000"/>
            </w:tcBorders>
          </w:tcPr>
          <w:p>
            <w:pPr>
              <w:pStyle w:val="TableParagraph"/>
              <w:spacing w:before="31"/>
              <w:ind w:left="398" w:right="0"/>
              <w:jc w:val="left"/>
              <w:rPr>
                <w:rFonts w:ascii="Arial"/>
                <w:sz w:val="18"/>
              </w:rPr>
            </w:pPr>
            <w:r>
              <w:rPr>
                <w:rFonts w:ascii="Arial"/>
                <w:sz w:val="18"/>
              </w:rPr>
              <w:t>272-56</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1"/>
        </w:rPr>
      </w:pPr>
      <w:r>
        <w:rPr/>
        <w:pict>
          <v:group style="position:absolute;margin-left:53.474998pt;margin-top:14.024066pt;width:505.05pt;height:1.05pt;mso-position-horizontal-relative:page;mso-position-vertical-relative:paragraph;z-index:11800;mso-wrap-distance-left:0;mso-wrap-distance-right:0" coordorigin="1069,280" coordsize="10101,21">
            <v:line style="position:absolute" from="1080,291" to="1080,291" stroked="true" strokeweight="1.02pt" strokecolor="#000000"/>
            <v:line style="position:absolute" from="1080,291" to="11160,291" stroked="true" strokeweight="1.02pt" strokecolor="#000000"/>
            <w10:wrap type="topAndBottom"/>
          </v:group>
        </w:pict>
      </w:r>
    </w:p>
    <w:p>
      <w:pPr>
        <w:spacing w:line="207" w:lineRule="exact" w:before="0"/>
        <w:ind w:left="0" w:right="184" w:firstLine="0"/>
        <w:jc w:val="right"/>
        <w:rPr>
          <w:b/>
          <w:sz w:val="20"/>
        </w:rPr>
      </w:pPr>
      <w:r>
        <w:rPr>
          <w:b/>
          <w:sz w:val="20"/>
        </w:rPr>
        <w:t>Nitrite</w:t>
      </w:r>
    </w:p>
    <w:p>
      <w:pPr>
        <w:tabs>
          <w:tab w:pos="9004" w:val="left" w:leader="none"/>
        </w:tabs>
        <w:spacing w:before="10"/>
        <w:ind w:left="0" w:right="183" w:firstLine="0"/>
        <w:jc w:val="right"/>
        <w:rPr>
          <w:b/>
          <w:sz w:val="20"/>
        </w:rPr>
      </w:pPr>
      <w:r>
        <w:rPr>
          <w:sz w:val="14"/>
        </w:rPr>
        <w:t>Nitrite_10019_TNT_LR.fm</w:t>
        <w:tab/>
      </w:r>
      <w:r>
        <w:rPr>
          <w:b/>
          <w:sz w:val="20"/>
        </w:rPr>
        <w:t>Page 3 of</w:t>
      </w:r>
      <w:r>
        <w:rPr>
          <w:b/>
          <w:spacing w:val="-11"/>
          <w:sz w:val="20"/>
        </w:rPr>
        <w:t> </w:t>
      </w:r>
      <w:r>
        <w:rPr>
          <w:b/>
          <w:sz w:val="20"/>
        </w:rPr>
        <w:t>4</w:t>
      </w:r>
    </w:p>
    <w:p>
      <w:pPr>
        <w:spacing w:after="0"/>
        <w:jc w:val="right"/>
        <w:rPr>
          <w:sz w:val="20"/>
        </w:rPr>
        <w:sectPr>
          <w:headerReference w:type="default" r:id="rId192"/>
          <w:footerReference w:type="default" r:id="rId193"/>
          <w:pgSz w:w="11900" w:h="15840"/>
          <w:pgMar w:header="0" w:footer="0" w:top="220" w:bottom="0" w:left="960" w:right="580"/>
        </w:sectPr>
      </w:pPr>
    </w:p>
    <w:p>
      <w:pPr>
        <w:pStyle w:val="BodyText"/>
        <w:spacing w:line="60" w:lineRule="exact"/>
        <w:ind w:left="110"/>
        <w:rPr>
          <w:sz w:val="6"/>
        </w:rPr>
      </w:pPr>
      <w:r>
        <w:rPr>
          <w:position w:val="0"/>
          <w:sz w:val="6"/>
        </w:rPr>
        <w:pict>
          <v:group style="width:509.25pt;height:3pt;mso-position-horizontal-relative:char;mso-position-vertical-relative:line" coordorigin="0,0" coordsize="10185,60">
            <v:line style="position:absolute" from="30,30" to="30,30" stroked="true" strokeweight="3pt" strokecolor="#b3b3b3"/>
            <v:line style="position:absolute" from="30,30" to="10154,30" stroked="true" strokeweight="3pt" strokecolor="#b3b3b3"/>
          </v:group>
        </w:pict>
      </w:r>
      <w:r>
        <w:rPr>
          <w:position w:val="0"/>
          <w:sz w:val="6"/>
        </w:rPr>
      </w:r>
    </w:p>
    <w:p>
      <w:pPr>
        <w:pStyle w:val="Heading1"/>
        <w:ind w:right="98"/>
      </w:pPr>
      <w:r>
        <w:rPr/>
        <w:pict>
          <v:line style="position:absolute;mso-position-horizontal-relative:page;mso-position-vertical-relative:paragraph;z-index:11896;mso-wrap-distance-left:0;mso-wrap-distance-right:0" from="54pt,33.5317pt" to="560.22pt,33.5317pt" stroked="true" strokeweight="3pt" strokecolor="#b3b3b3">
            <w10:wrap type="topAndBottom"/>
          </v:line>
        </w:pict>
      </w:r>
      <w:r>
        <w:rPr/>
        <w:t>Nitrate</w:t>
      </w:r>
    </w:p>
    <w:p>
      <w:pPr>
        <w:tabs>
          <w:tab w:pos="7209" w:val="left" w:leader="none"/>
        </w:tabs>
        <w:spacing w:before="0"/>
        <w:ind w:left="132" w:right="0" w:firstLine="0"/>
        <w:jc w:val="left"/>
        <w:rPr>
          <w:b/>
          <w:sz w:val="28"/>
        </w:rPr>
      </w:pPr>
      <w:r>
        <w:rPr>
          <w:b/>
          <w:spacing w:val="-10"/>
          <w:sz w:val="26"/>
        </w:rPr>
        <w:t>Method10020</w:t>
        <w:tab/>
      </w:r>
      <w:r>
        <w:rPr>
          <w:b/>
          <w:spacing w:val="-24"/>
          <w:position w:val="1"/>
          <w:sz w:val="28"/>
        </w:rPr>
        <w:t>Chromotropic </w:t>
      </w:r>
      <w:r>
        <w:rPr>
          <w:b/>
          <w:spacing w:val="-18"/>
          <w:position w:val="1"/>
          <w:sz w:val="28"/>
        </w:rPr>
        <w:t>Acid</w:t>
      </w:r>
      <w:r>
        <w:rPr>
          <w:b/>
          <w:spacing w:val="-51"/>
          <w:position w:val="1"/>
          <w:sz w:val="28"/>
        </w:rPr>
        <w:t> </w:t>
      </w:r>
      <w:r>
        <w:rPr>
          <w:b/>
          <w:spacing w:val="-18"/>
          <w:position w:val="1"/>
          <w:sz w:val="28"/>
        </w:rPr>
        <w:t>Method</w:t>
      </w:r>
    </w:p>
    <w:p>
      <w:pPr>
        <w:tabs>
          <w:tab w:pos="6815" w:val="left" w:leader="none"/>
        </w:tabs>
        <w:spacing w:before="82"/>
        <w:ind w:left="125" w:right="0" w:firstLine="0"/>
        <w:jc w:val="left"/>
        <w:rPr>
          <w:b/>
          <w:sz w:val="28"/>
        </w:rPr>
      </w:pPr>
      <w:r>
        <w:rPr/>
        <w:pict>
          <v:shape style="position:absolute;margin-left:528.526672pt;margin-top:12.354776pt;width:6.25pt;height:11.2pt;mso-position-horizontal-relative:page;mso-position-vertical-relative:paragraph;z-index:-1519504" type="#_x0000_t202" filled="false" stroked="false">
            <v:textbox inset="0,0,0,0">
              <w:txbxContent>
                <w:p>
                  <w:pPr>
                    <w:spacing w:line="223" w:lineRule="exact" w:before="0"/>
                    <w:ind w:left="0" w:right="0" w:firstLine="0"/>
                    <w:jc w:val="left"/>
                    <w:rPr>
                      <w:b/>
                      <w:sz w:val="22"/>
                    </w:rPr>
                  </w:pPr>
                  <w:r>
                    <w:rPr>
                      <w:b/>
                      <w:w w:val="101"/>
                      <w:sz w:val="22"/>
                    </w:rPr>
                    <w:t>3</w:t>
                  </w:r>
                </w:p>
              </w:txbxContent>
            </v:textbox>
            <w10:wrap type="none"/>
          </v:shape>
        </w:pict>
      </w:r>
      <w:r>
        <w:rPr>
          <w:b/>
          <w:spacing w:val="-22"/>
          <w:position w:val="1"/>
          <w:sz w:val="26"/>
        </w:rPr>
        <w:t>Test </w:t>
      </w:r>
      <w:r>
        <w:rPr>
          <w:b/>
          <w:spacing w:val="-8"/>
          <w:position w:val="1"/>
          <w:sz w:val="26"/>
        </w:rPr>
        <w:t>‘N</w:t>
      </w:r>
      <w:r>
        <w:rPr>
          <w:b/>
          <w:spacing w:val="-37"/>
          <w:position w:val="1"/>
          <w:sz w:val="26"/>
        </w:rPr>
        <w:t> </w:t>
      </w:r>
      <w:r>
        <w:rPr>
          <w:b/>
          <w:spacing w:val="-25"/>
          <w:position w:val="1"/>
          <w:sz w:val="26"/>
        </w:rPr>
        <w:t>Tube™</w:t>
      </w:r>
      <w:r>
        <w:rPr>
          <w:b/>
          <w:spacing w:val="-44"/>
          <w:position w:val="1"/>
          <w:sz w:val="26"/>
        </w:rPr>
        <w:t> </w:t>
      </w:r>
      <w:r>
        <w:rPr>
          <w:b/>
          <w:spacing w:val="-9"/>
          <w:position w:val="1"/>
          <w:sz w:val="26"/>
        </w:rPr>
        <w:t>Vials</w:t>
        <w:tab/>
      </w:r>
      <w:r>
        <w:rPr>
          <w:b/>
          <w:spacing w:val="-8"/>
          <w:sz w:val="28"/>
        </w:rPr>
        <w:t>HR</w:t>
      </w:r>
      <w:r>
        <w:rPr>
          <w:b/>
          <w:spacing w:val="-44"/>
          <w:sz w:val="28"/>
        </w:rPr>
        <w:t> </w:t>
      </w:r>
      <w:r>
        <w:rPr>
          <w:b/>
          <w:sz w:val="28"/>
        </w:rPr>
        <w:t>(0.2</w:t>
      </w:r>
      <w:r>
        <w:rPr>
          <w:b/>
          <w:spacing w:val="-28"/>
          <w:sz w:val="28"/>
        </w:rPr>
        <w:t> </w:t>
      </w:r>
      <w:r>
        <w:rPr>
          <w:b/>
          <w:spacing w:val="-12"/>
          <w:sz w:val="28"/>
        </w:rPr>
        <w:t>to</w:t>
      </w:r>
      <w:r>
        <w:rPr>
          <w:b/>
          <w:spacing w:val="-36"/>
          <w:sz w:val="28"/>
        </w:rPr>
        <w:t> </w:t>
      </w:r>
      <w:r>
        <w:rPr>
          <w:b/>
          <w:spacing w:val="-4"/>
          <w:sz w:val="28"/>
        </w:rPr>
        <w:t>30.0</w:t>
      </w:r>
      <w:r>
        <w:rPr>
          <w:b/>
          <w:spacing w:val="-36"/>
          <w:sz w:val="28"/>
        </w:rPr>
        <w:t> </w:t>
      </w:r>
      <w:r>
        <w:rPr>
          <w:b/>
          <w:spacing w:val="-16"/>
          <w:sz w:val="28"/>
        </w:rPr>
        <w:t>mg/L</w:t>
      </w:r>
      <w:r>
        <w:rPr>
          <w:b/>
          <w:spacing w:val="-44"/>
          <w:sz w:val="28"/>
        </w:rPr>
        <w:t> </w:t>
      </w:r>
      <w:r>
        <w:rPr>
          <w:b/>
          <w:spacing w:val="-20"/>
          <w:sz w:val="28"/>
        </w:rPr>
        <w:t>NO</w:t>
      </w:r>
      <w:r>
        <w:rPr>
          <w:b/>
          <w:spacing w:val="20"/>
          <w:sz w:val="28"/>
        </w:rPr>
        <w:t> </w:t>
      </w:r>
      <w:r>
        <w:rPr>
          <w:b/>
          <w:spacing w:val="-14"/>
          <w:position w:val="7"/>
          <w:sz w:val="22"/>
        </w:rPr>
        <w:t>–</w:t>
      </w:r>
      <w:r>
        <w:rPr>
          <w:b/>
          <w:spacing w:val="-14"/>
          <w:sz w:val="28"/>
        </w:rPr>
        <w:t>–N)</w:t>
      </w:r>
    </w:p>
    <w:p>
      <w:pPr>
        <w:spacing w:before="160"/>
        <w:ind w:left="128" w:right="0" w:firstLine="0"/>
        <w:jc w:val="left"/>
        <w:rPr>
          <w:sz w:val="20"/>
        </w:rPr>
      </w:pPr>
      <w:r>
        <w:rPr>
          <w:b/>
          <w:sz w:val="20"/>
        </w:rPr>
        <w:t>Scope andApplication: </w:t>
      </w:r>
      <w:r>
        <w:rPr>
          <w:sz w:val="20"/>
        </w:rPr>
        <w:t>For water and wastewater</w:t>
      </w:r>
    </w:p>
    <w:p>
      <w:pPr>
        <w:pStyle w:val="BodyText"/>
        <w:spacing w:before="3"/>
        <w:rPr>
          <w:sz w:val="21"/>
        </w:rPr>
      </w:pPr>
      <w:r>
        <w:rPr/>
        <w:pict>
          <v:group style="position:absolute;margin-left:54.327pt;margin-top:14.20885pt;width:506pt;height:40.85pt;mso-position-horizontal-relative:page;mso-position-vertical-relative:paragraph;z-index:11944;mso-wrap-distance-left:0;mso-wrap-distance-right:0" coordorigin="1087,284" coordsize="10120,817">
            <v:rect style="position:absolute;left:1087;top:417;width:10119;height:385" filled="true" fillcolor="#bcbec0" stroked="false">
              <v:fill type="solid"/>
            </v:rect>
            <v:shape style="position:absolute;left:1442;top:284;width:781;height:817" coordorigin="1442,284" coordsize="781,817" path="m2222,284l1442,284,1442,886,1835,886,2039,1101,2039,888,2221,888,2222,284xe" filled="true" fillcolor="#ffffff" stroked="false">
              <v:path arrowok="t"/>
              <v:fill type="solid"/>
            </v:shape>
            <v:shape style="position:absolute;left:1471;top:333;width:723;height:720" coordorigin="1471,333" coordsize="723,720" path="m2193,333l1471,333,1471,863,1835,863,2025,1053,2025,865,2191,865,2193,333xe" filled="true" fillcolor="#ffffff" stroked="false">
              <v:path arrowok="t"/>
              <v:fill type="solid"/>
            </v:shape>
            <v:shape style="position:absolute;left:1471;top:333;width:723;height:720" coordorigin="1471,333" coordsize="723,720" path="m2193,333l1471,333,1471,863,1835,863,2025,1053,2025,865,2191,865,2193,333xe" filled="false" stroked="true" strokeweight="1.5pt" strokecolor="#231f20">
              <v:path arrowok="t"/>
            </v:shape>
            <v:shape style="position:absolute;left:1782;top:696;width:101;height:101" type="#_x0000_t75" stroked="false">
              <v:imagedata r:id="rId172" o:title=""/>
            </v:shape>
            <v:shape style="position:absolute;left:1776;top:394;width:112;height:268" type="#_x0000_t75" stroked="false">
              <v:imagedata r:id="rId173" o:title=""/>
            </v:shape>
            <v:shape style="position:absolute;left:1087;top:284;width:10120;height:817" type="#_x0000_t202" filled="false" stroked="false">
              <v:textbox inset="0,0,0,0">
                <w:txbxContent>
                  <w:p>
                    <w:pPr>
                      <w:spacing w:before="140"/>
                      <w:ind w:left="1530" w:right="2707" w:firstLine="0"/>
                      <w:jc w:val="left"/>
                      <w:rPr>
                        <w:b/>
                        <w:sz w:val="28"/>
                      </w:rPr>
                    </w:pPr>
                    <w:r>
                      <w:rPr>
                        <w:b/>
                        <w:color w:val="FFFFFF"/>
                        <w:sz w:val="28"/>
                      </w:rPr>
                      <w:t>Test Preparation</w:t>
                    </w:r>
                  </w:p>
                </w:txbxContent>
              </v:textbox>
              <w10:wrap type="none"/>
            </v:shape>
            <w10:wrap type="topAndBottom"/>
          </v:group>
        </w:pict>
      </w:r>
    </w:p>
    <w:p>
      <w:pPr>
        <w:pStyle w:val="BodyText"/>
        <w:spacing w:before="7"/>
        <w:rPr>
          <w:sz w:val="17"/>
        </w:rPr>
      </w:pPr>
    </w:p>
    <w:p>
      <w:pPr>
        <w:spacing w:before="77"/>
        <w:ind w:left="219" w:right="0" w:firstLine="0"/>
        <w:jc w:val="left"/>
        <w:rPr>
          <w:b/>
          <w:sz w:val="18"/>
        </w:rPr>
      </w:pPr>
      <w:r>
        <w:rPr/>
        <w:pict>
          <v:group style="position:absolute;margin-left:53.57pt;margin-top:19.18701pt;width:504.8pt;height:74.4pt;mso-position-horizontal-relative:page;mso-position-vertical-relative:paragraph;z-index:12016;mso-wrap-distance-left:0;mso-wrap-distance-right:0" coordorigin="1071,384" coordsize="10096,1488">
            <v:rect style="position:absolute;left:1080;top:386;width:10080;height:739" filled="true" fillcolor="#e6e6ff" stroked="false">
              <v:fill type="solid"/>
            </v:rect>
            <v:line style="position:absolute" from="1080,389" to="1080,1861" stroked="true" strokeweight=".24pt" strokecolor="#000000"/>
            <v:line style="position:absolute" from="11160,389" to="11160,1861" stroked="true" strokeweight=".24pt" strokecolor="#000000"/>
            <v:line style="position:absolute" from="1076,386" to="11162,386" stroked="true" strokeweight=".24pt" strokecolor="#000000"/>
            <v:line style="position:absolute" from="1076,1866" to="11162,1866" stroked="true" strokeweight=".48pt" strokecolor="#000000"/>
            <v:shape style="position:absolute;left:1080;top:1125;width:10080;height:741" type="#_x0000_t202" filled="false" stroked="false">
              <v:textbox inset="0,0,0,0">
                <w:txbxContent>
                  <w:p>
                    <w:pPr>
                      <w:spacing w:line="254" w:lineRule="auto" w:before="31"/>
                      <w:ind w:left="79" w:right="126" w:firstLine="0"/>
                      <w:jc w:val="both"/>
                      <w:rPr>
                        <w:sz w:val="18"/>
                      </w:rPr>
                    </w:pPr>
                    <w:r>
                      <w:rPr>
                        <w:sz w:val="18"/>
                      </w:rPr>
                      <w:t>This test is technique-sensitive. Invert the vials as described here to </w:t>
                    </w:r>
                    <w:r>
                      <w:rPr>
                        <w:spacing w:val="-3"/>
                        <w:sz w:val="18"/>
                      </w:rPr>
                      <w:t>avoid </w:t>
                    </w:r>
                    <w:r>
                      <w:rPr>
                        <w:sz w:val="18"/>
                      </w:rPr>
                      <w:t>low results: Hold the vial in a vertical position with the</w:t>
                    </w:r>
                    <w:r>
                      <w:rPr>
                        <w:spacing w:val="-5"/>
                        <w:sz w:val="18"/>
                      </w:rPr>
                      <w:t> </w:t>
                    </w:r>
                    <w:r>
                      <w:rPr>
                        <w:sz w:val="18"/>
                      </w:rPr>
                      <w:t>cap</w:t>
                    </w:r>
                    <w:r>
                      <w:rPr>
                        <w:spacing w:val="-5"/>
                        <w:sz w:val="18"/>
                      </w:rPr>
                      <w:t> </w:t>
                    </w:r>
                    <w:r>
                      <w:rPr>
                        <w:sz w:val="18"/>
                      </w:rPr>
                      <w:t>pointing</w:t>
                    </w:r>
                    <w:r>
                      <w:rPr>
                        <w:spacing w:val="-6"/>
                        <w:sz w:val="18"/>
                      </w:rPr>
                      <w:t> </w:t>
                    </w:r>
                    <w:r>
                      <w:rPr>
                        <w:spacing w:val="-3"/>
                        <w:sz w:val="18"/>
                      </w:rPr>
                      <w:t>up.</w:t>
                    </w:r>
                    <w:r>
                      <w:rPr>
                        <w:spacing w:val="-5"/>
                        <w:sz w:val="18"/>
                      </w:rPr>
                      <w:t> Turn </w:t>
                    </w:r>
                    <w:r>
                      <w:rPr>
                        <w:sz w:val="18"/>
                      </w:rPr>
                      <w:t>the</w:t>
                    </w:r>
                    <w:r>
                      <w:rPr>
                        <w:spacing w:val="-6"/>
                        <w:sz w:val="18"/>
                      </w:rPr>
                      <w:t> </w:t>
                    </w:r>
                    <w:r>
                      <w:rPr>
                        <w:sz w:val="18"/>
                      </w:rPr>
                      <w:t>vial</w:t>
                    </w:r>
                    <w:r>
                      <w:rPr>
                        <w:spacing w:val="-5"/>
                        <w:sz w:val="18"/>
                      </w:rPr>
                      <w:t> </w:t>
                    </w:r>
                    <w:r>
                      <w:rPr>
                        <w:sz w:val="18"/>
                      </w:rPr>
                      <w:t>upside-down.</w:t>
                    </w:r>
                    <w:r>
                      <w:rPr>
                        <w:spacing w:val="-6"/>
                        <w:sz w:val="18"/>
                      </w:rPr>
                      <w:t> </w:t>
                    </w:r>
                    <w:r>
                      <w:rPr>
                        <w:spacing w:val="-3"/>
                        <w:sz w:val="18"/>
                      </w:rPr>
                      <w:t>Wait</w:t>
                    </w:r>
                    <w:r>
                      <w:rPr>
                        <w:spacing w:val="-5"/>
                        <w:sz w:val="18"/>
                      </w:rPr>
                      <w:t> </w:t>
                    </w:r>
                    <w:r>
                      <w:rPr>
                        <w:spacing w:val="-3"/>
                        <w:sz w:val="18"/>
                      </w:rPr>
                      <w:t>for</w:t>
                    </w:r>
                    <w:r>
                      <w:rPr>
                        <w:spacing w:val="-6"/>
                        <w:sz w:val="18"/>
                      </w:rPr>
                      <w:t> </w:t>
                    </w:r>
                    <w:r>
                      <w:rPr>
                        <w:sz w:val="18"/>
                      </w:rPr>
                      <w:t>all</w:t>
                    </w:r>
                    <w:r>
                      <w:rPr>
                        <w:spacing w:val="-6"/>
                        <w:sz w:val="18"/>
                      </w:rPr>
                      <w:t> </w:t>
                    </w:r>
                    <w:r>
                      <w:rPr>
                        <w:sz w:val="18"/>
                      </w:rPr>
                      <w:t>of</w:t>
                    </w:r>
                    <w:r>
                      <w:rPr>
                        <w:spacing w:val="-6"/>
                        <w:sz w:val="18"/>
                      </w:rPr>
                      <w:t> </w:t>
                    </w:r>
                    <w:r>
                      <w:rPr>
                        <w:sz w:val="18"/>
                      </w:rPr>
                      <w:t>the</w:t>
                    </w:r>
                    <w:r>
                      <w:rPr>
                        <w:spacing w:val="-5"/>
                        <w:sz w:val="18"/>
                      </w:rPr>
                      <w:t> </w:t>
                    </w:r>
                    <w:r>
                      <w:rPr>
                        <w:sz w:val="18"/>
                      </w:rPr>
                      <w:t>solution</w:t>
                    </w:r>
                    <w:r>
                      <w:rPr>
                        <w:spacing w:val="-6"/>
                        <w:sz w:val="18"/>
                      </w:rPr>
                      <w:t> </w:t>
                    </w:r>
                    <w:r>
                      <w:rPr>
                        <w:sz w:val="18"/>
                      </w:rPr>
                      <w:t>to</w:t>
                    </w:r>
                    <w:r>
                      <w:rPr>
                        <w:spacing w:val="-6"/>
                        <w:sz w:val="18"/>
                      </w:rPr>
                      <w:t> </w:t>
                    </w:r>
                    <w:r>
                      <w:rPr>
                        <w:sz w:val="18"/>
                      </w:rPr>
                      <w:t>flow</w:t>
                    </w:r>
                    <w:r>
                      <w:rPr>
                        <w:spacing w:val="-5"/>
                        <w:sz w:val="18"/>
                      </w:rPr>
                      <w:t> </w:t>
                    </w:r>
                    <w:r>
                      <w:rPr>
                        <w:sz w:val="18"/>
                      </w:rPr>
                      <w:t>down</w:t>
                    </w:r>
                    <w:r>
                      <w:rPr>
                        <w:spacing w:val="-5"/>
                        <w:sz w:val="18"/>
                      </w:rPr>
                      <w:t> </w:t>
                    </w:r>
                    <w:r>
                      <w:rPr>
                        <w:sz w:val="18"/>
                      </w:rPr>
                      <w:t>to</w:t>
                    </w:r>
                    <w:r>
                      <w:rPr>
                        <w:spacing w:val="-5"/>
                        <w:sz w:val="18"/>
                      </w:rPr>
                      <w:t> </w:t>
                    </w:r>
                    <w:r>
                      <w:rPr>
                        <w:sz w:val="18"/>
                      </w:rPr>
                      <w:t>the</w:t>
                    </w:r>
                    <w:r>
                      <w:rPr>
                        <w:spacing w:val="-6"/>
                        <w:sz w:val="18"/>
                      </w:rPr>
                      <w:t> </w:t>
                    </w:r>
                    <w:r>
                      <w:rPr>
                        <w:spacing w:val="-3"/>
                        <w:sz w:val="18"/>
                      </w:rPr>
                      <w:t>cap.</w:t>
                    </w:r>
                    <w:r>
                      <w:rPr>
                        <w:spacing w:val="-5"/>
                        <w:sz w:val="18"/>
                      </w:rPr>
                      <w:t> </w:t>
                    </w:r>
                    <w:r>
                      <w:rPr>
                        <w:spacing w:val="-3"/>
                        <w:sz w:val="18"/>
                      </w:rPr>
                      <w:t>Pause.</w:t>
                    </w:r>
                    <w:r>
                      <w:rPr>
                        <w:spacing w:val="-5"/>
                        <w:sz w:val="18"/>
                      </w:rPr>
                      <w:t> </w:t>
                    </w:r>
                    <w:r>
                      <w:rPr>
                        <w:sz w:val="18"/>
                      </w:rPr>
                      <w:t>Return</w:t>
                    </w:r>
                    <w:r>
                      <w:rPr>
                        <w:spacing w:val="-6"/>
                        <w:sz w:val="18"/>
                      </w:rPr>
                      <w:t> </w:t>
                    </w:r>
                    <w:r>
                      <w:rPr>
                        <w:sz w:val="18"/>
                      </w:rPr>
                      <w:t>the</w:t>
                    </w:r>
                    <w:r>
                      <w:rPr>
                        <w:spacing w:val="-5"/>
                        <w:sz w:val="18"/>
                      </w:rPr>
                      <w:t> </w:t>
                    </w:r>
                    <w:r>
                      <w:rPr>
                        <w:sz w:val="18"/>
                      </w:rPr>
                      <w:t>vial</w:t>
                    </w:r>
                    <w:r>
                      <w:rPr>
                        <w:spacing w:val="-6"/>
                        <w:sz w:val="18"/>
                      </w:rPr>
                      <w:t> </w:t>
                    </w:r>
                    <w:r>
                      <w:rPr>
                        <w:sz w:val="18"/>
                      </w:rPr>
                      <w:t>to</w:t>
                    </w:r>
                    <w:r>
                      <w:rPr>
                        <w:spacing w:val="-4"/>
                        <w:sz w:val="18"/>
                      </w:rPr>
                      <w:t> </w:t>
                    </w:r>
                    <w:r>
                      <w:rPr>
                        <w:sz w:val="18"/>
                      </w:rPr>
                      <w:t>an upright</w:t>
                    </w:r>
                    <w:r>
                      <w:rPr>
                        <w:spacing w:val="-5"/>
                        <w:sz w:val="18"/>
                      </w:rPr>
                      <w:t> </w:t>
                    </w:r>
                    <w:r>
                      <w:rPr>
                        <w:sz w:val="18"/>
                      </w:rPr>
                      <w:t>position.</w:t>
                    </w:r>
                    <w:r>
                      <w:rPr>
                        <w:spacing w:val="-3"/>
                        <w:sz w:val="18"/>
                      </w:rPr>
                      <w:t> Wait</w:t>
                    </w:r>
                    <w:r>
                      <w:rPr>
                        <w:spacing w:val="-4"/>
                        <w:sz w:val="18"/>
                      </w:rPr>
                      <w:t> </w:t>
                    </w:r>
                    <w:r>
                      <w:rPr>
                        <w:spacing w:val="-3"/>
                        <w:sz w:val="18"/>
                      </w:rPr>
                      <w:t>for </w:t>
                    </w:r>
                    <w:r>
                      <w:rPr>
                        <w:sz w:val="18"/>
                      </w:rPr>
                      <w:t>all</w:t>
                    </w:r>
                    <w:r>
                      <w:rPr>
                        <w:spacing w:val="-5"/>
                        <w:sz w:val="18"/>
                      </w:rPr>
                      <w:t> </w:t>
                    </w:r>
                    <w:r>
                      <w:rPr>
                        <w:sz w:val="18"/>
                      </w:rPr>
                      <w:t>the</w:t>
                    </w:r>
                    <w:r>
                      <w:rPr>
                        <w:spacing w:val="-4"/>
                        <w:sz w:val="18"/>
                      </w:rPr>
                      <w:t> </w:t>
                    </w:r>
                    <w:r>
                      <w:rPr>
                        <w:sz w:val="18"/>
                      </w:rPr>
                      <w:t>solution</w:t>
                    </w:r>
                    <w:r>
                      <w:rPr>
                        <w:spacing w:val="-4"/>
                        <w:sz w:val="18"/>
                      </w:rPr>
                      <w:t> </w:t>
                    </w:r>
                    <w:r>
                      <w:rPr>
                        <w:sz w:val="18"/>
                      </w:rPr>
                      <w:t>to</w:t>
                    </w:r>
                    <w:r>
                      <w:rPr>
                        <w:spacing w:val="-3"/>
                        <w:sz w:val="18"/>
                      </w:rPr>
                      <w:t> </w:t>
                    </w:r>
                    <w:r>
                      <w:rPr>
                        <w:sz w:val="18"/>
                      </w:rPr>
                      <w:t>flow</w:t>
                    </w:r>
                    <w:r>
                      <w:rPr>
                        <w:spacing w:val="-5"/>
                        <w:sz w:val="18"/>
                      </w:rPr>
                      <w:t> </w:t>
                    </w:r>
                    <w:r>
                      <w:rPr>
                        <w:sz w:val="18"/>
                      </w:rPr>
                      <w:t>to</w:t>
                    </w:r>
                    <w:r>
                      <w:rPr>
                        <w:spacing w:val="-3"/>
                        <w:sz w:val="18"/>
                      </w:rPr>
                      <w:t> </w:t>
                    </w:r>
                    <w:r>
                      <w:rPr>
                        <w:sz w:val="18"/>
                      </w:rPr>
                      <w:t>the</w:t>
                    </w:r>
                    <w:r>
                      <w:rPr>
                        <w:spacing w:val="-3"/>
                        <w:sz w:val="18"/>
                      </w:rPr>
                      <w:t> </w:t>
                    </w:r>
                    <w:r>
                      <w:rPr>
                        <w:sz w:val="18"/>
                      </w:rPr>
                      <w:t>bottom</w:t>
                    </w:r>
                    <w:r>
                      <w:rPr>
                        <w:spacing w:val="-4"/>
                        <w:sz w:val="18"/>
                      </w:rPr>
                      <w:t> </w:t>
                    </w:r>
                    <w:r>
                      <w:rPr>
                        <w:sz w:val="18"/>
                      </w:rPr>
                      <w:t>of</w:t>
                    </w:r>
                    <w:r>
                      <w:rPr>
                        <w:spacing w:val="-4"/>
                        <w:sz w:val="18"/>
                      </w:rPr>
                      <w:t> </w:t>
                    </w:r>
                    <w:r>
                      <w:rPr>
                        <w:sz w:val="18"/>
                      </w:rPr>
                      <w:t>the</w:t>
                    </w:r>
                    <w:r>
                      <w:rPr>
                        <w:spacing w:val="-3"/>
                        <w:sz w:val="18"/>
                      </w:rPr>
                      <w:t> </w:t>
                    </w:r>
                    <w:r>
                      <w:rPr>
                        <w:sz w:val="18"/>
                      </w:rPr>
                      <w:t>vial.</w:t>
                    </w:r>
                    <w:r>
                      <w:rPr>
                        <w:spacing w:val="-3"/>
                        <w:sz w:val="18"/>
                      </w:rPr>
                      <w:t> </w:t>
                    </w:r>
                    <w:r>
                      <w:rPr>
                        <w:sz w:val="18"/>
                      </w:rPr>
                      <w:t>This</w:t>
                    </w:r>
                    <w:r>
                      <w:rPr>
                        <w:spacing w:val="-5"/>
                        <w:sz w:val="18"/>
                      </w:rPr>
                      <w:t> </w:t>
                    </w:r>
                    <w:r>
                      <w:rPr>
                        <w:sz w:val="18"/>
                      </w:rPr>
                      <w:t>process</w:t>
                    </w:r>
                    <w:r>
                      <w:rPr>
                        <w:spacing w:val="-3"/>
                        <w:sz w:val="18"/>
                      </w:rPr>
                      <w:t> </w:t>
                    </w:r>
                    <w:r>
                      <w:rPr>
                        <w:sz w:val="18"/>
                      </w:rPr>
                      <w:t>equals</w:t>
                    </w:r>
                    <w:r>
                      <w:rPr>
                        <w:spacing w:val="-5"/>
                        <w:sz w:val="18"/>
                      </w:rPr>
                      <w:t> </w:t>
                    </w:r>
                    <w:r>
                      <w:rPr>
                        <w:sz w:val="18"/>
                      </w:rPr>
                      <w:t>one</w:t>
                    </w:r>
                    <w:r>
                      <w:rPr>
                        <w:spacing w:val="-3"/>
                        <w:sz w:val="18"/>
                      </w:rPr>
                      <w:t> </w:t>
                    </w:r>
                    <w:r>
                      <w:rPr>
                        <w:sz w:val="18"/>
                      </w:rPr>
                      <w:t>inversion.</w:t>
                    </w:r>
                  </w:p>
                </w:txbxContent>
              </v:textbox>
              <w10:wrap type="none"/>
            </v:shape>
            <v:shape style="position:absolute;left:1072;top:384;width:10096;height:1487" type="#_x0000_t202" filled="false" stroked="false">
              <v:textbox inset="0,0,0,0">
                <w:txbxContent>
                  <w:p>
                    <w:pPr>
                      <w:spacing w:line="244" w:lineRule="auto" w:before="32"/>
                      <w:ind w:left="87" w:right="0" w:firstLine="0"/>
                      <w:jc w:val="left"/>
                      <w:rPr>
                        <w:rFonts w:ascii="Times New Roman"/>
                        <w:sz w:val="20"/>
                      </w:rPr>
                    </w:pPr>
                    <w:r>
                      <w:rPr>
                        <w:sz w:val="18"/>
                      </w:rPr>
                      <w:t>For</w:t>
                    </w:r>
                    <w:r>
                      <w:rPr>
                        <w:spacing w:val="-10"/>
                        <w:sz w:val="18"/>
                      </w:rPr>
                      <w:t> </w:t>
                    </w:r>
                    <w:r>
                      <w:rPr>
                        <w:sz w:val="18"/>
                      </w:rPr>
                      <w:t>more</w:t>
                    </w:r>
                    <w:r>
                      <w:rPr>
                        <w:spacing w:val="-8"/>
                        <w:sz w:val="18"/>
                      </w:rPr>
                      <w:t> </w:t>
                    </w:r>
                    <w:r>
                      <w:rPr>
                        <w:sz w:val="18"/>
                      </w:rPr>
                      <w:t>accurate</w:t>
                    </w:r>
                    <w:r>
                      <w:rPr>
                        <w:spacing w:val="-9"/>
                        <w:sz w:val="18"/>
                      </w:rPr>
                      <w:t> </w:t>
                    </w:r>
                    <w:r>
                      <w:rPr>
                        <w:sz w:val="18"/>
                      </w:rPr>
                      <w:t>results,</w:t>
                    </w:r>
                    <w:r>
                      <w:rPr>
                        <w:spacing w:val="-8"/>
                        <w:sz w:val="18"/>
                      </w:rPr>
                      <w:t> </w:t>
                    </w:r>
                    <w:r>
                      <w:rPr>
                        <w:sz w:val="18"/>
                      </w:rPr>
                      <w:t>determine</w:t>
                    </w:r>
                    <w:r>
                      <w:rPr>
                        <w:spacing w:val="-9"/>
                        <w:sz w:val="18"/>
                      </w:rPr>
                      <w:t> </w:t>
                    </w:r>
                    <w:r>
                      <w:rPr>
                        <w:sz w:val="18"/>
                      </w:rPr>
                      <w:t>a</w:t>
                    </w:r>
                    <w:r>
                      <w:rPr>
                        <w:spacing w:val="-9"/>
                        <w:sz w:val="18"/>
                      </w:rPr>
                      <w:t> </w:t>
                    </w:r>
                    <w:r>
                      <w:rPr>
                        <w:sz w:val="18"/>
                      </w:rPr>
                      <w:t>reagent</w:t>
                    </w:r>
                    <w:r>
                      <w:rPr>
                        <w:spacing w:val="-9"/>
                        <w:sz w:val="18"/>
                      </w:rPr>
                      <w:t> </w:t>
                    </w:r>
                    <w:r>
                      <w:rPr>
                        <w:sz w:val="18"/>
                      </w:rPr>
                      <w:t>blank</w:t>
                    </w:r>
                    <w:r>
                      <w:rPr>
                        <w:spacing w:val="-9"/>
                        <w:sz w:val="18"/>
                      </w:rPr>
                      <w:t> </w:t>
                    </w:r>
                    <w:r>
                      <w:rPr>
                        <w:sz w:val="18"/>
                      </w:rPr>
                      <w:t>value</w:t>
                    </w:r>
                    <w:r>
                      <w:rPr>
                        <w:spacing w:val="-9"/>
                        <w:sz w:val="18"/>
                      </w:rPr>
                      <w:t> </w:t>
                    </w:r>
                    <w:r>
                      <w:rPr>
                        <w:sz w:val="18"/>
                      </w:rPr>
                      <w:t>for</w:t>
                    </w:r>
                    <w:r>
                      <w:rPr>
                        <w:spacing w:val="-10"/>
                        <w:sz w:val="18"/>
                      </w:rPr>
                      <w:t> </w:t>
                    </w:r>
                    <w:r>
                      <w:rPr>
                        <w:sz w:val="18"/>
                      </w:rPr>
                      <w:t>each</w:t>
                    </w:r>
                    <w:r>
                      <w:rPr>
                        <w:spacing w:val="-9"/>
                        <w:sz w:val="18"/>
                      </w:rPr>
                      <w:t> </w:t>
                    </w:r>
                    <w:r>
                      <w:rPr>
                        <w:sz w:val="18"/>
                      </w:rPr>
                      <w:t>new</w:t>
                    </w:r>
                    <w:r>
                      <w:rPr>
                        <w:spacing w:val="-9"/>
                        <w:sz w:val="18"/>
                      </w:rPr>
                      <w:t> </w:t>
                    </w:r>
                    <w:r>
                      <w:rPr>
                        <w:sz w:val="18"/>
                      </w:rPr>
                      <w:t>lot</w:t>
                    </w:r>
                    <w:r>
                      <w:rPr>
                        <w:spacing w:val="-9"/>
                        <w:sz w:val="18"/>
                      </w:rPr>
                      <w:t> </w:t>
                    </w:r>
                    <w:r>
                      <w:rPr>
                        <w:sz w:val="18"/>
                      </w:rPr>
                      <w:t>of</w:t>
                    </w:r>
                    <w:r>
                      <w:rPr>
                        <w:spacing w:val="-9"/>
                        <w:sz w:val="18"/>
                      </w:rPr>
                      <w:t> </w:t>
                    </w:r>
                    <w:r>
                      <w:rPr>
                        <w:sz w:val="18"/>
                      </w:rPr>
                      <w:t>reagent.</w:t>
                    </w:r>
                    <w:r>
                      <w:rPr>
                        <w:spacing w:val="-9"/>
                        <w:sz w:val="18"/>
                      </w:rPr>
                      <w:t> </w:t>
                    </w:r>
                    <w:r>
                      <w:rPr>
                        <w:sz w:val="18"/>
                      </w:rPr>
                      <w:t>Follow</w:t>
                    </w:r>
                    <w:r>
                      <w:rPr>
                        <w:spacing w:val="-9"/>
                        <w:sz w:val="18"/>
                      </w:rPr>
                      <w:t> </w:t>
                    </w:r>
                    <w:r>
                      <w:rPr>
                        <w:sz w:val="18"/>
                      </w:rPr>
                      <w:t>the</w:t>
                    </w:r>
                    <w:r>
                      <w:rPr>
                        <w:spacing w:val="-9"/>
                        <w:sz w:val="18"/>
                      </w:rPr>
                      <w:t> </w:t>
                    </w:r>
                    <w:r>
                      <w:rPr>
                        <w:sz w:val="18"/>
                      </w:rPr>
                      <w:t>procedure</w:t>
                    </w:r>
                    <w:r>
                      <w:rPr>
                        <w:spacing w:val="-9"/>
                        <w:sz w:val="18"/>
                      </w:rPr>
                      <w:t> </w:t>
                    </w:r>
                    <w:r>
                      <w:rPr>
                        <w:sz w:val="18"/>
                      </w:rPr>
                      <w:t>using</w:t>
                    </w:r>
                    <w:r>
                      <w:rPr>
                        <w:spacing w:val="-9"/>
                        <w:sz w:val="18"/>
                      </w:rPr>
                      <w:t> </w:t>
                    </w:r>
                    <w:r>
                      <w:rPr>
                        <w:sz w:val="18"/>
                      </w:rPr>
                      <w:t>deionized water (nitrate-free) in place of the sample. Subtract the reagent blank value from the final results or perform a reagent blank adjust</w:t>
                    </w:r>
                    <w:r>
                      <w:rPr>
                        <w:rFonts w:ascii="Times New Roman"/>
                        <w:sz w:val="20"/>
                      </w:rPr>
                      <w:t>.</w:t>
                    </w:r>
                  </w:p>
                </w:txbxContent>
              </v:textbox>
              <w10:wrap type="none"/>
            </v:shape>
            <w10:wrap type="topAndBottom"/>
          </v:group>
        </w:pict>
      </w:r>
      <w:r>
        <w:rPr>
          <w:b/>
          <w:sz w:val="18"/>
        </w:rPr>
        <w:t>Before starting the test:</w:t>
      </w:r>
    </w:p>
    <w:p>
      <w:pPr>
        <w:tabs>
          <w:tab w:pos="9135" w:val="left" w:leader="none"/>
        </w:tabs>
        <w:spacing w:before="37"/>
        <w:ind w:left="219" w:right="0" w:firstLine="0"/>
        <w:jc w:val="left"/>
        <w:rPr>
          <w:b/>
          <w:sz w:val="18"/>
        </w:rPr>
      </w:pPr>
      <w:r>
        <w:rPr>
          <w:b/>
          <w:sz w:val="18"/>
        </w:rPr>
        <w:t>Collect the</w:t>
      </w:r>
      <w:r>
        <w:rPr>
          <w:b/>
          <w:spacing w:val="-6"/>
          <w:sz w:val="18"/>
        </w:rPr>
        <w:t> </w:t>
      </w:r>
      <w:r>
        <w:rPr>
          <w:b/>
          <w:sz w:val="18"/>
        </w:rPr>
        <w:t>following</w:t>
      </w:r>
      <w:r>
        <w:rPr>
          <w:b/>
          <w:spacing w:val="-4"/>
          <w:sz w:val="18"/>
        </w:rPr>
        <w:t> </w:t>
      </w:r>
      <w:r>
        <w:rPr>
          <w:b/>
          <w:sz w:val="18"/>
        </w:rPr>
        <w:t>items:</w:t>
        <w:tab/>
        <w:t>Quantity</w:t>
      </w:r>
    </w:p>
    <w:p>
      <w:pPr>
        <w:pStyle w:val="BodyText"/>
        <w:spacing w:before="5"/>
        <w:rPr>
          <w:b/>
          <w:sz w:val="8"/>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11"/>
        <w:gridCol w:w="3769"/>
      </w:tblGrid>
      <w:tr>
        <w:trPr>
          <w:trHeight w:val="300" w:hRule="exact"/>
        </w:trPr>
        <w:tc>
          <w:tcPr>
            <w:tcW w:w="6311" w:type="dxa"/>
            <w:tcBorders>
              <w:left w:val="single" w:sz="2" w:space="0" w:color="000000"/>
              <w:bottom w:val="nil"/>
              <w:right w:val="nil"/>
            </w:tcBorders>
          </w:tcPr>
          <w:p>
            <w:pPr>
              <w:pStyle w:val="TableParagraph"/>
              <w:spacing w:before="23"/>
              <w:ind w:left="76" w:right="0"/>
              <w:jc w:val="left"/>
              <w:rPr>
                <w:rFonts w:ascii="Arial" w:hAnsi="Arial"/>
                <w:sz w:val="18"/>
              </w:rPr>
            </w:pPr>
            <w:r>
              <w:rPr>
                <w:rFonts w:ascii="Arial" w:hAnsi="Arial"/>
                <w:sz w:val="18"/>
              </w:rPr>
              <w:t>Test ‘N Tube™ NitraVer</w:t>
            </w:r>
            <w:r>
              <w:rPr>
                <w:rFonts w:ascii="Arial" w:hAnsi="Arial"/>
                <w:position w:val="4"/>
                <w:sz w:val="14"/>
              </w:rPr>
              <w:t>® </w:t>
            </w:r>
            <w:r>
              <w:rPr>
                <w:rFonts w:ascii="Arial" w:hAnsi="Arial"/>
                <w:sz w:val="18"/>
              </w:rPr>
              <w:t>X Reagent Set</w:t>
            </w:r>
          </w:p>
        </w:tc>
        <w:tc>
          <w:tcPr>
            <w:tcW w:w="3769" w:type="dxa"/>
            <w:tcBorders>
              <w:left w:val="nil"/>
              <w:bottom w:val="nil"/>
              <w:right w:val="single" w:sz="2" w:space="0" w:color="000000"/>
            </w:tcBorders>
          </w:tcPr>
          <w:p>
            <w:pPr>
              <w:pStyle w:val="TableParagraph"/>
              <w:spacing w:before="25"/>
              <w:ind w:right="665"/>
              <w:rPr>
                <w:rFonts w:ascii="Arial"/>
                <w:sz w:val="18"/>
              </w:rPr>
            </w:pPr>
            <w:r>
              <w:rPr>
                <w:rFonts w:ascii="Arial"/>
                <w:sz w:val="18"/>
              </w:rPr>
              <w:t>1</w:t>
            </w:r>
          </w:p>
        </w:tc>
      </w:tr>
      <w:tr>
        <w:trPr>
          <w:trHeight w:val="300" w:hRule="exact"/>
        </w:trPr>
        <w:tc>
          <w:tcPr>
            <w:tcW w:w="6311" w:type="dxa"/>
            <w:tcBorders>
              <w:top w:val="nil"/>
              <w:left w:val="single" w:sz="2" w:space="0" w:color="000000"/>
              <w:bottom w:val="nil"/>
              <w:right w:val="nil"/>
            </w:tcBorders>
            <w:shd w:val="clear" w:color="auto" w:fill="E6E6FF"/>
          </w:tcPr>
          <w:p>
            <w:pPr>
              <w:pStyle w:val="TableParagraph"/>
              <w:spacing w:before="30"/>
              <w:ind w:left="76" w:right="0"/>
              <w:jc w:val="left"/>
              <w:rPr>
                <w:rFonts w:ascii="Arial"/>
                <w:sz w:val="18"/>
              </w:rPr>
            </w:pPr>
            <w:r>
              <w:rPr>
                <w:rFonts w:ascii="Arial"/>
                <w:sz w:val="18"/>
              </w:rPr>
              <w:t>Funnel, micro, poly</w:t>
            </w:r>
          </w:p>
        </w:tc>
        <w:tc>
          <w:tcPr>
            <w:tcW w:w="3769" w:type="dxa"/>
            <w:tcBorders>
              <w:top w:val="nil"/>
              <w:left w:val="nil"/>
              <w:bottom w:val="nil"/>
              <w:right w:val="single" w:sz="2" w:space="0" w:color="000000"/>
            </w:tcBorders>
            <w:shd w:val="clear" w:color="auto" w:fill="E6E6FF"/>
          </w:tcPr>
          <w:p>
            <w:pPr>
              <w:pStyle w:val="TableParagraph"/>
              <w:spacing w:before="30"/>
              <w:ind w:right="665"/>
              <w:rPr>
                <w:rFonts w:ascii="Arial"/>
                <w:sz w:val="18"/>
              </w:rPr>
            </w:pPr>
            <w:r>
              <w:rPr>
                <w:rFonts w:ascii="Arial"/>
                <w:sz w:val="18"/>
              </w:rPr>
              <w:t>1</w:t>
            </w:r>
          </w:p>
        </w:tc>
      </w:tr>
      <w:tr>
        <w:trPr>
          <w:trHeight w:val="300" w:hRule="exact"/>
        </w:trPr>
        <w:tc>
          <w:tcPr>
            <w:tcW w:w="6311" w:type="dxa"/>
            <w:tcBorders>
              <w:top w:val="nil"/>
              <w:left w:val="single" w:sz="2" w:space="0" w:color="000000"/>
              <w:bottom w:val="nil"/>
              <w:right w:val="nil"/>
            </w:tcBorders>
          </w:tcPr>
          <w:p>
            <w:pPr>
              <w:pStyle w:val="TableParagraph"/>
              <w:ind w:left="76" w:right="0"/>
              <w:jc w:val="left"/>
              <w:rPr>
                <w:rFonts w:ascii="Arial" w:hAnsi="Arial"/>
                <w:sz w:val="18"/>
              </w:rPr>
            </w:pPr>
            <w:r>
              <w:rPr>
                <w:rFonts w:ascii="Arial" w:hAnsi="Arial"/>
                <w:sz w:val="18"/>
              </w:rPr>
              <w:t>Pipet, TenSette</w:t>
            </w:r>
            <w:r>
              <w:rPr>
                <w:rFonts w:ascii="Arial" w:hAnsi="Arial"/>
                <w:position w:val="4"/>
                <w:sz w:val="14"/>
              </w:rPr>
              <w:t>®</w:t>
            </w:r>
            <w:r>
              <w:rPr>
                <w:rFonts w:ascii="Arial" w:hAnsi="Arial"/>
                <w:sz w:val="18"/>
              </w:rPr>
              <w:t>, 0.01 to 1.0 mL, plus tips</w:t>
            </w:r>
          </w:p>
        </w:tc>
        <w:tc>
          <w:tcPr>
            <w:tcW w:w="3769" w:type="dxa"/>
            <w:tcBorders>
              <w:top w:val="nil"/>
              <w:left w:val="nil"/>
              <w:bottom w:val="nil"/>
              <w:right w:val="single" w:sz="2" w:space="0" w:color="000000"/>
            </w:tcBorders>
          </w:tcPr>
          <w:p>
            <w:pPr>
              <w:pStyle w:val="TableParagraph"/>
              <w:spacing w:before="30"/>
              <w:ind w:right="665"/>
              <w:rPr>
                <w:rFonts w:ascii="Arial"/>
                <w:sz w:val="18"/>
              </w:rPr>
            </w:pPr>
            <w:r>
              <w:rPr>
                <w:rFonts w:ascii="Arial"/>
                <w:sz w:val="18"/>
              </w:rPr>
              <w:t>1</w:t>
            </w:r>
          </w:p>
        </w:tc>
      </w:tr>
      <w:tr>
        <w:trPr>
          <w:trHeight w:val="300" w:hRule="exact"/>
        </w:trPr>
        <w:tc>
          <w:tcPr>
            <w:tcW w:w="6311" w:type="dxa"/>
            <w:tcBorders>
              <w:top w:val="nil"/>
              <w:left w:val="single" w:sz="2" w:space="0" w:color="000000"/>
              <w:right w:val="nil"/>
            </w:tcBorders>
            <w:shd w:val="clear" w:color="auto" w:fill="E6E6FF"/>
          </w:tcPr>
          <w:p>
            <w:pPr>
              <w:pStyle w:val="TableParagraph"/>
              <w:spacing w:before="30"/>
              <w:ind w:left="76" w:right="0"/>
              <w:jc w:val="left"/>
              <w:rPr>
                <w:rFonts w:ascii="Arial"/>
                <w:sz w:val="18"/>
              </w:rPr>
            </w:pPr>
            <w:r>
              <w:rPr>
                <w:rFonts w:ascii="Arial"/>
                <w:sz w:val="18"/>
              </w:rPr>
              <w:t>Test Tube Rack</w:t>
            </w:r>
          </w:p>
        </w:tc>
        <w:tc>
          <w:tcPr>
            <w:tcW w:w="3769" w:type="dxa"/>
            <w:tcBorders>
              <w:top w:val="nil"/>
              <w:left w:val="nil"/>
              <w:right w:val="single" w:sz="2" w:space="0" w:color="000000"/>
            </w:tcBorders>
            <w:shd w:val="clear" w:color="auto" w:fill="E6E6FF"/>
          </w:tcPr>
          <w:p>
            <w:pPr>
              <w:pStyle w:val="TableParagraph"/>
              <w:spacing w:before="30"/>
              <w:ind w:right="565"/>
              <w:rPr>
                <w:rFonts w:ascii="Arial" w:hAnsi="Arial"/>
                <w:sz w:val="18"/>
              </w:rPr>
            </w:pPr>
            <w:r>
              <w:rPr>
                <w:rFonts w:ascii="Arial" w:hAnsi="Arial"/>
                <w:sz w:val="18"/>
              </w:rPr>
              <w:t>1–3</w:t>
            </w:r>
          </w:p>
        </w:tc>
      </w:tr>
    </w:tbl>
    <w:p>
      <w:pPr>
        <w:spacing w:before="26"/>
        <w:ind w:left="219" w:right="0" w:firstLine="0"/>
        <w:jc w:val="left"/>
        <w:rPr>
          <w:i/>
          <w:sz w:val="18"/>
        </w:rPr>
      </w:pPr>
      <w:r>
        <w:rPr>
          <w:b/>
          <w:i/>
          <w:sz w:val="18"/>
        </w:rPr>
        <w:t>Note: </w:t>
      </w:r>
      <w:r>
        <w:rPr>
          <w:i/>
          <w:sz w:val="18"/>
        </w:rPr>
        <w:t>Reorder information for consumables and replacement items is on page </w:t>
      </w:r>
      <w:r>
        <w:rPr>
          <w:i/>
          <w:color w:val="0000FF"/>
          <w:sz w:val="18"/>
        </w:rPr>
        <w:t>4</w:t>
      </w:r>
      <w:r>
        <w:rPr>
          <w:i/>
          <w:sz w:val="18"/>
        </w:rPr>
        <w:t>.</w:t>
      </w:r>
    </w:p>
    <w:p>
      <w:pPr>
        <w:pStyle w:val="BodyText"/>
        <w:rPr>
          <w:i/>
          <w:sz w:val="20"/>
        </w:rPr>
      </w:pPr>
    </w:p>
    <w:p>
      <w:pPr>
        <w:pStyle w:val="BodyText"/>
        <w:rPr>
          <w:i/>
          <w:sz w:val="20"/>
        </w:rPr>
      </w:pPr>
    </w:p>
    <w:p>
      <w:pPr>
        <w:pStyle w:val="BodyText"/>
        <w:spacing w:before="5"/>
        <w:rPr>
          <w:i/>
          <w:sz w:val="12"/>
        </w:rPr>
      </w:pPr>
      <w:r>
        <w:rPr/>
        <w:pict>
          <v:shape style="position:absolute;margin-left:54pt;margin-top:8.370718pt;width:504pt;height:19.25pt;mso-position-horizontal-relative:page;mso-position-vertical-relative:paragraph;z-index:12040;mso-wrap-distance-left:0;mso-wrap-distance-right:0" type="#_x0000_t202" filled="true" fillcolor="#bcbec0" stroked="false">
            <v:textbox inset="0,0,0,0">
              <w:txbxContent>
                <w:p>
                  <w:pPr>
                    <w:tabs>
                      <w:tab w:pos="8162" w:val="left" w:leader="none"/>
                    </w:tabs>
                    <w:spacing w:before="0"/>
                    <w:ind w:left="292" w:right="0" w:firstLine="0"/>
                    <w:jc w:val="left"/>
                    <w:rPr>
                      <w:b/>
                      <w:sz w:val="28"/>
                    </w:rPr>
                  </w:pPr>
                  <w:r>
                    <w:rPr>
                      <w:b/>
                      <w:color w:val="FFFFFF"/>
                      <w:spacing w:val="-5"/>
                      <w:sz w:val="28"/>
                    </w:rPr>
                    <w:t>Test</w:t>
                  </w:r>
                  <w:r>
                    <w:rPr>
                      <w:b/>
                      <w:color w:val="FFFFFF"/>
                      <w:sz w:val="28"/>
                    </w:rPr>
                    <w:t> ‘N</w:t>
                  </w:r>
                  <w:r>
                    <w:rPr>
                      <w:b/>
                      <w:color w:val="FFFFFF"/>
                      <w:spacing w:val="1"/>
                      <w:sz w:val="28"/>
                    </w:rPr>
                    <w:t> </w:t>
                  </w:r>
                  <w:r>
                    <w:rPr>
                      <w:b/>
                      <w:color w:val="FFFFFF"/>
                      <w:spacing w:val="-7"/>
                      <w:sz w:val="28"/>
                    </w:rPr>
                    <w:t>Tube</w:t>
                    <w:tab/>
                  </w:r>
                  <w:r>
                    <w:rPr>
                      <w:b/>
                      <w:color w:val="FFFFFF"/>
                      <w:sz w:val="28"/>
                    </w:rPr>
                    <w:t>Method</w:t>
                  </w:r>
                  <w:r>
                    <w:rPr>
                      <w:b/>
                      <w:color w:val="FFFFFF"/>
                      <w:spacing w:val="-3"/>
                      <w:sz w:val="28"/>
                    </w:rPr>
                    <w:t> </w:t>
                  </w:r>
                  <w:r>
                    <w:rPr>
                      <w:b/>
                      <w:color w:val="FFFFFF"/>
                      <w:sz w:val="28"/>
                    </w:rPr>
                    <w:t>10020</w:t>
                  </w:r>
                </w:p>
              </w:txbxContent>
            </v:textbox>
            <v:fill type="solid"/>
            <w10:wrap type="topAndBottom"/>
          </v:shape>
        </w:pict>
      </w:r>
      <w:r>
        <w:rPr/>
        <w:pict>
          <v:group style="position:absolute;margin-left:54pt;margin-top:38.151718pt;width:122.4pt;height:122.4pt;mso-position-horizontal-relative:page;mso-position-vertical-relative:paragraph;z-index:12064;mso-wrap-distance-left:0;mso-wrap-distance-right:0" coordorigin="1080,763" coordsize="2448,2448">
            <v:rect style="position:absolute;left:1256;top:1876;width:2091;height:216" filled="true" fillcolor="#231f20" stroked="false">
              <v:fill type="solid"/>
            </v:rect>
            <v:shape style="position:absolute;left:1347;top:1930;width:258;height:117" type="#_x0000_t75" stroked="false">
              <v:imagedata r:id="rId196" o:title=""/>
            </v:shape>
            <v:shape style="position:absolute;left:1713;top:1929;width:139;height:142" type="#_x0000_t75" stroked="false">
              <v:imagedata r:id="rId197" o:title=""/>
            </v:shape>
            <v:shape style="position:absolute;left:1912;top:1928;width:491;height:118" type="#_x0000_t75" stroked="false">
              <v:imagedata r:id="rId198" o:title=""/>
            </v:shape>
            <v:shape style="position:absolute;left:2463;top:1929;width:212;height:115" type="#_x0000_t75" stroked="false">
              <v:imagedata r:id="rId199" o:title=""/>
            </v:shape>
            <v:shape style="position:absolute;left:2713;top:1929;width:307;height:115" type="#_x0000_t75" stroked="false">
              <v:imagedata r:id="rId200" o:title=""/>
            </v:shape>
            <v:rect style="position:absolute;left:1200;top:763;width:2328;height:120" filled="true" fillcolor="#b3b3b3" stroked="false">
              <v:fill type="solid"/>
            </v:rect>
            <v:rect style="position:absolute;left:3408;top:823;width:120;height:2388" filled="true" fillcolor="#b3b3b3" stroked="false">
              <v:fill type="solid"/>
            </v:rect>
            <v:rect style="position:absolute;left:1080;top:3091;width:2388;height:120" filled="true" fillcolor="#b3b3b3" stroked="false">
              <v:fill type="solid"/>
            </v:rect>
            <v:rect style="position:absolute;left:1080;top:763;width:120;height:2388" filled="true" fillcolor="#b3b3b3" stroked="false">
              <v:fill type="solid"/>
            </v:rect>
            <w10:wrap type="topAndBottom"/>
          </v:group>
        </w:pict>
      </w:r>
      <w:r>
        <w:rPr/>
        <w:pict>
          <v:group style="position:absolute;margin-left:182.220001pt;margin-top:38.126717pt;width:122.4pt;height:122.45pt;mso-position-horizontal-relative:page;mso-position-vertical-relative:paragraph;z-index:12088;mso-wrap-distance-left:0;mso-wrap-distance-right:0" coordorigin="3644,763" coordsize="2448,2449">
            <v:shape style="position:absolute;left:4794;top:1787;width:178;height:1225" coordorigin="4794,1787" coordsize="178,1225" path="m4972,2925l4972,1880,4968,1859,4960,1851,4952,1847,4949,1838,4949,1787,4819,1787,4819,1788,4819,1794,4819,1809,4819,1838,4815,1847,4807,1851,4798,1859,4794,1881,4795,2923,4802,2957,4821,2986,4849,3005,4883,3012,4917,3005,4945,2986,4964,2958,4972,2925xe" filled="false" stroked="true" strokeweight=".972pt" strokecolor="#231f20">
              <v:path arrowok="t"/>
            </v:shape>
            <v:shape style="position:absolute;left:4839;top:971;width:103;height:763" coordorigin="4839,971" coordsize="103,763" path="m4941,971l4839,971,4890,1733,4941,971xe" filled="true" fillcolor="#231f20" stroked="false">
              <v:path arrowok="t"/>
              <v:fill type="solid"/>
            </v:shape>
            <v:shape style="position:absolute;left:4839;top:971;width:103;height:763" coordorigin="4839,971" coordsize="103,763" path="m4890,1733l4941,971,4839,971,4890,1733xe" filled="false" stroked="true" strokeweight=".022pt" strokecolor="#231f20">
              <v:path arrowok="t"/>
            </v:shape>
            <v:shape style="position:absolute;left:4852;top:983;width:77;height:568" coordorigin="4852,983" coordsize="77,568" path="m4928,983l4852,983,4890,1551,4928,983xe" filled="true" fillcolor="#ffffff" stroked="false">
              <v:path arrowok="t"/>
              <v:fill type="solid"/>
            </v:shape>
            <v:shape style="position:absolute;left:4852;top:983;width:77;height:568" coordorigin="4852,983" coordsize="77,568" path="m4852,983l4890,1551,4928,983,4852,983xe" filled="false" stroked="true" strokeweight=".022pt" strokecolor="#231f20">
              <v:path arrowok="t"/>
            </v:shape>
            <v:shape style="position:absolute;left:4844;top:763;width:92;height:278" coordorigin="4844,763" coordsize="92,278" path="m4936,763l4844,763,4844,780,4852,876,4859,1040,4920,1040,4928,876,4936,780,4936,763xe" filled="true" fillcolor="#231f20" stroked="false">
              <v:path arrowok="t"/>
              <v:fill type="solid"/>
            </v:shape>
            <v:shape style="position:absolute;left:4844;top:763;width:92;height:278" coordorigin="4844,763" coordsize="92,278" path="m4920,1040l4928,876,4936,780,4936,763,4844,763,4844,780,4852,876,4859,1040,4851,1040,4892,1040,4932,1040,4920,1040e" filled="false" stroked="true" strokeweight=".022pt" strokecolor="#231f20">
              <v:path arrowok="t"/>
            </v:shape>
            <v:rect style="position:absolute;left:3764;top:763;width:2328;height:120" filled="true" fillcolor="#b3b3b3" stroked="false">
              <v:fill type="solid"/>
            </v:rect>
            <v:rect style="position:absolute;left:5972;top:823;width:120;height:2388" filled="true" fillcolor="#b3b3b3" stroked="false">
              <v:fill type="solid"/>
            </v:rect>
            <v:rect style="position:absolute;left:3644;top:3091;width:2388;height:120" filled="true" fillcolor="#b3b3b3" stroked="false">
              <v:fill type="solid"/>
            </v:rect>
            <v:rect style="position:absolute;left:3644;top:763;width:120;height:2388" filled="true" fillcolor="#b3b3b3" stroked="false">
              <v:fill type="solid"/>
            </v:rect>
            <w10:wrap type="topAndBottom"/>
          </v:group>
        </w:pict>
      </w:r>
      <w:r>
        <w:rPr/>
        <w:pict>
          <v:group style="position:absolute;margin-left:310.5pt;margin-top:38.151718pt;width:122.4pt;height:122.4pt;mso-position-horizontal-relative:page;mso-position-vertical-relative:paragraph;z-index:12112;mso-wrap-distance-left:0;mso-wrap-distance-right:0" coordorigin="6210,763" coordsize="2448,2448">
            <v:rect style="position:absolute;left:6330;top:763;width:2328;height:120" filled="true" fillcolor="#b3b3b3" stroked="false">
              <v:fill type="solid"/>
            </v:rect>
            <v:rect style="position:absolute;left:8538;top:823;width:120;height:2388" filled="true" fillcolor="#b3b3b3" stroked="false">
              <v:fill type="solid"/>
            </v:rect>
            <v:rect style="position:absolute;left:6210;top:3091;width:2388;height:120" filled="true" fillcolor="#b3b3b3" stroked="false">
              <v:fill type="solid"/>
            </v:rect>
            <v:rect style="position:absolute;left:6210;top:763;width:120;height:2388" filled="true" fillcolor="#b3b3b3" stroked="false">
              <v:fill type="solid"/>
            </v:rect>
            <w10:wrap type="topAndBottom"/>
          </v:group>
        </w:pict>
      </w:r>
      <w:r>
        <w:rPr/>
        <w:pict>
          <v:group style="position:absolute;margin-left:438.720001pt;margin-top:38.151718pt;width:122.4pt;height:122.4pt;mso-position-horizontal-relative:page;mso-position-vertical-relative:paragraph;z-index:12136;mso-wrap-distance-left:0;mso-wrap-distance-right:0" coordorigin="8774,763" coordsize="2448,2448">
            <v:shape style="position:absolute;left:9244;top:1305;width:427;height:823" coordorigin="9244,1305" coordsize="427,823" path="m9264,1310l9244,1656,9523,2127,9518,2071,9518,1998,9523,1913,9533,1818,9548,1719,9568,1615,9592,1517,9617,1431,9644,1359,9670,1305,9624,1311,9568,1316,9506,1320,9440,1321,9395,1320,9350,1318,9306,1314,9264,1310xe" filled="false" stroked="true" strokeweight=".792pt" strokecolor="#231f20">
              <v:path arrowok="t"/>
            </v:shape>
            <v:shape style="position:absolute;left:9014;top:1075;width:559;height:1216" coordorigin="9014,1075" coordsize="559,1216" path="m9113,1075l9056,1095,9014,1172,9388,2226,9407,2259,9437,2280,9472,2290,9509,2284,9541,2265,9563,2235,9572,2201,9568,2164,9194,1107,9170,1089,9143,1077,9113,1075xe" filled="true" fillcolor="#ffffff" stroked="false">
              <v:path arrowok="t"/>
              <v:fill type="solid"/>
            </v:shape>
            <v:shape style="position:absolute;left:9014;top:1075;width:559;height:1216" coordorigin="9014,1075" coordsize="559,1216" path="m9568,2164l9194,1107,9170,1089,9143,1077,9113,1075,9083,1080,9056,1095,9035,1116,9020,1142,9014,1172,9388,2226,9407,2259,9437,2280,9472,2290,9509,2284,9541,2265,9563,2235,9572,2201,9568,2164xe" filled="false" stroked="true" strokeweight="1.08pt" strokecolor="#231f20">
              <v:path arrowok="t"/>
            </v:shape>
            <v:shape style="position:absolute;left:8940;top:918;width:250;height:222" type="#_x0000_t75" stroked="false">
              <v:imagedata r:id="rId201" o:title=""/>
            </v:shape>
            <v:shape style="position:absolute;left:8995;top:1297;width:609;height:895" coordorigin="8995,1297" coordsize="609,895" path="m9061,1307l8996,2000,9007,2029,9045,2060,9107,2090,9188,2119,9285,2144,9394,2164,9403,2166,9417,2169,9437,2177,9467,2192,9461,2168,9455,2106,9453,2015,9456,1902,9467,1776,9487,1654,9513,1553,9543,1478,9574,1434,9604,1429,9579,1412,9549,1398,9515,1386,9480,1377,9454,1371,9429,1368,9408,1366,9392,1365,9392,1364,9371,1362,9354,1362,9172,1354,9172,1353,9119,1353,9089,1348,9071,1337,9064,1322,9063,1312,9061,1307xm8995,1997l8996,2000,8996,1999,8995,1997xm9169,1351l9165,1352,9162,1352,9119,1353,9172,1353,9169,1351xm9057,1297l9061,1307,9061,1300,9057,1297xe" filled="true" fillcolor="#ffffff" stroked="false">
              <v:path arrowok="t"/>
              <v:fill type="solid"/>
            </v:shape>
            <v:shape style="position:absolute;left:8995;top:1297;width:609;height:895" coordorigin="8995,1297" coordsize="609,895" path="m8996,2000l9061,1300,9057,1297,9063,1312,9064,1322,9071,1337,9089,1348,9119,1353,9162,1352,9165,1352,9169,1351,9172,1354,9215,1356,9261,1358,9307,1360,9354,1362,9371,1362,9392,1364,9392,1365,9408,1366,9480,1377,9549,1398,9604,1429,9574,1434,9543,1478,9513,1553,9487,1654,9467,1776,9456,1902,9453,2015,9455,2106,9461,2168,9467,2192,9437,2177,9417,2169,9403,2166,9394,2164,9285,2144,9188,2119,9107,2090,9045,2060,8996,2000,8996,1999,8995,1997,8996,2000xe" filled="false" stroked="true" strokeweight=".792pt" strokecolor="#231f20">
              <v:path arrowok="t"/>
            </v:shape>
            <v:rect style="position:absolute;left:8894;top:763;width:2328;height:120" filled="true" fillcolor="#b3b3b3" stroked="false">
              <v:fill type="solid"/>
            </v:rect>
            <v:shape style="position:absolute;left:9824;top:1776;width:1210;height:1216" coordorigin="9824,1776" coordsize="1210,1216" path="m11034,2611l9824,2611,10429,2991,11034,2611xm10812,1776l10046,1776,10046,2611,10812,2611,10812,1776xe" filled="true" fillcolor="#231f20" stroked="false">
              <v:path arrowok="t"/>
              <v:fill type="solid"/>
            </v:shape>
            <v:shape style="position:absolute;left:10329;top:1908;width:196;height:161" coordorigin="10329,1908" coordsize="196,161" path="m10524,1908l10330,1908,10329,2068,10525,2068,10524,1908xe" filled="true" fillcolor="#ffffff" stroked="false">
              <v:path arrowok="t"/>
              <v:fill type="solid"/>
            </v:shape>
            <v:shape style="position:absolute;left:10320;top:1971;width:217;height:896" coordorigin="10320,1971" coordsize="217,896" path="m10485,1971l10374,1971,10375,2035,10354,2043,10337,2056,10325,2073,10321,2093,10320,2771,10327,2801,10347,2832,10380,2857,10428,2867,10476,2858,10510,2836,10530,2805,10537,2771,10536,2093,10532,2075,10521,2058,10505,2044,10484,2035,10485,1971xe" filled="true" fillcolor="#ffffff" stroked="false">
              <v:path arrowok="t"/>
              <v:fill type="solid"/>
            </v:shape>
            <v:shape style="position:absolute;left:10338;top:1993;width:181;height:853" coordorigin="10338,1993" coordsize="181,853" path="m10476,1993l10383,1993,10384,2054,10366,2061,10352,2073,10343,2089,10339,2108,10338,2754,10344,2783,10360,2813,10388,2836,10428,2845,10468,2837,10496,2816,10513,2787,10519,2754,10518,2108,10515,2092,10506,2075,10492,2062,10475,2054,10476,1993xe" filled="true" fillcolor="#231f20" stroked="false">
              <v:path arrowok="t"/>
              <v:fill type="solid"/>
            </v:shape>
            <v:shape style="position:absolute;left:10359;top:2011;width:141;height:811" coordorigin="10359,2011" coordsize="141,811" path="m10457,2011l10399,2011,10398,2069,10382,2074,10370,2082,10362,2096,10359,2116,10359,2751,10363,2773,10376,2796,10398,2814,10429,2822,10460,2815,10482,2799,10495,2776,10500,2751,10499,2116,10495,2097,10486,2082,10472,2073,10457,2068,10457,2011xe" filled="true" fillcolor="#ffffff" stroked="false">
              <v:path arrowok="t"/>
              <v:fill type="solid"/>
            </v:shape>
            <v:shape style="position:absolute;left:10359;top:2011;width:141;height:811" coordorigin="10359,2011" coordsize="141,811" path="m10398,2069l10382,2074,10370,2082,10362,2096,10359,2116,10359,2751,10363,2773,10376,2796,10398,2814,10429,2822,10460,2815,10482,2799,10495,2776,10500,2751,10499,2116,10495,2097,10486,2082,10472,2073,10457,2068,10457,2011,10399,2011,10398,2069xe" filled="false" stroked="true" strokeweight=".4pt" strokecolor="#231f20">
              <v:path arrowok="t"/>
            </v:shape>
            <v:shape style="position:absolute;left:10346;top:1922;width:163;height:133" type="#_x0000_t75" stroked="false">
              <v:imagedata r:id="rId190" o:title=""/>
            </v:shape>
            <v:rect style="position:absolute;left:11102;top:823;width:120;height:2388" filled="true" fillcolor="#b3b3b3" stroked="false">
              <v:fill type="solid"/>
            </v:rect>
            <v:rect style="position:absolute;left:8774;top:3091;width:2388;height:120" filled="true" fillcolor="#b3b3b3" stroked="false">
              <v:fill type="solid"/>
            </v:rect>
            <v:rect style="position:absolute;left:8774;top:763;width:120;height:2388" filled="true" fillcolor="#b3b3b3" stroked="false">
              <v:fill type="solid"/>
            </v:rect>
            <w10:wrap type="topAndBottom"/>
          </v:group>
        </w:pict>
      </w:r>
    </w:p>
    <w:p>
      <w:pPr>
        <w:pStyle w:val="BodyText"/>
        <w:spacing w:before="7"/>
        <w:rPr>
          <w:i/>
          <w:sz w:val="13"/>
        </w:rPr>
      </w:pPr>
    </w:p>
    <w:p>
      <w:pPr>
        <w:pStyle w:val="BodyText"/>
        <w:spacing w:before="1"/>
        <w:rPr>
          <w:i/>
          <w:sz w:val="6"/>
        </w:rPr>
      </w:pPr>
    </w:p>
    <w:p>
      <w:pPr>
        <w:spacing w:after="0"/>
        <w:rPr>
          <w:sz w:val="6"/>
        </w:rPr>
        <w:sectPr>
          <w:headerReference w:type="default" r:id="rId194"/>
          <w:footerReference w:type="default" r:id="rId195"/>
          <w:pgSz w:w="11900" w:h="15840"/>
          <w:pgMar w:header="0" w:footer="0" w:top="540" w:bottom="0" w:left="940" w:right="540"/>
        </w:sectPr>
      </w:pPr>
    </w:p>
    <w:p>
      <w:pPr>
        <w:tabs>
          <w:tab w:pos="2704" w:val="left" w:leader="none"/>
        </w:tabs>
        <w:spacing w:before="6"/>
        <w:ind w:left="140" w:right="0" w:firstLine="0"/>
        <w:jc w:val="left"/>
        <w:rPr>
          <w:b/>
          <w:sz w:val="20"/>
        </w:rPr>
      </w:pPr>
      <w:r>
        <w:rPr/>
        <w:drawing>
          <wp:anchor distT="0" distB="0" distL="0" distR="0" allowOverlap="1" layoutInCell="1" locked="0" behindDoc="1" simplePos="0" relativeHeight="266915831">
            <wp:simplePos x="0" y="0"/>
            <wp:positionH relativeFrom="page">
              <wp:posOffset>822960</wp:posOffset>
            </wp:positionH>
            <wp:positionV relativeFrom="paragraph">
              <wp:posOffset>-1343152</wp:posOffset>
            </wp:positionV>
            <wp:extent cx="1256780" cy="308324"/>
            <wp:effectExtent l="0" t="0" r="0" b="0"/>
            <wp:wrapNone/>
            <wp:docPr id="139" name="image130.png" descr=""/>
            <wp:cNvGraphicFramePr>
              <a:graphicFrameLocks noChangeAspect="1"/>
            </wp:cNvGraphicFramePr>
            <a:graphic>
              <a:graphicData uri="http://schemas.openxmlformats.org/drawingml/2006/picture">
                <pic:pic>
                  <pic:nvPicPr>
                    <pic:cNvPr id="140" name="image130.png"/>
                    <pic:cNvPicPr/>
                  </pic:nvPicPr>
                  <pic:blipFill>
                    <a:blip r:embed="rId144" cstate="print"/>
                    <a:stretch>
                      <a:fillRect/>
                    </a:stretch>
                  </pic:blipFill>
                  <pic:spPr>
                    <a:xfrm>
                      <a:off x="0" y="0"/>
                      <a:ext cx="1256780" cy="308324"/>
                    </a:xfrm>
                    <a:prstGeom prst="rect">
                      <a:avLst/>
                    </a:prstGeom>
                  </pic:spPr>
                </pic:pic>
              </a:graphicData>
            </a:graphic>
          </wp:anchor>
        </w:drawing>
      </w:r>
      <w:r>
        <w:rPr/>
        <w:drawing>
          <wp:anchor distT="0" distB="0" distL="0" distR="0" allowOverlap="1" layoutInCell="1" locked="0" behindDoc="1" simplePos="0" relativeHeight="266915855">
            <wp:simplePos x="0" y="0"/>
            <wp:positionH relativeFrom="page">
              <wp:posOffset>1148333</wp:posOffset>
            </wp:positionH>
            <wp:positionV relativeFrom="paragraph">
              <wp:posOffset>-655828</wp:posOffset>
            </wp:positionV>
            <wp:extent cx="593582" cy="276701"/>
            <wp:effectExtent l="0" t="0" r="0" b="0"/>
            <wp:wrapNone/>
            <wp:docPr id="141" name="image131.png" descr=""/>
            <wp:cNvGraphicFramePr>
              <a:graphicFrameLocks noChangeAspect="1"/>
            </wp:cNvGraphicFramePr>
            <a:graphic>
              <a:graphicData uri="http://schemas.openxmlformats.org/drawingml/2006/picture">
                <pic:pic>
                  <pic:nvPicPr>
                    <pic:cNvPr id="142" name="image131.png"/>
                    <pic:cNvPicPr/>
                  </pic:nvPicPr>
                  <pic:blipFill>
                    <a:blip r:embed="rId145" cstate="print"/>
                    <a:stretch>
                      <a:fillRect/>
                    </a:stretch>
                  </pic:blipFill>
                  <pic:spPr>
                    <a:xfrm>
                      <a:off x="0" y="0"/>
                      <a:ext cx="593582" cy="276701"/>
                    </a:xfrm>
                    <a:prstGeom prst="rect">
                      <a:avLst/>
                    </a:prstGeom>
                  </pic:spPr>
                </pic:pic>
              </a:graphicData>
            </a:graphic>
          </wp:anchor>
        </w:drawing>
      </w:r>
      <w:r>
        <w:rPr/>
        <w:pict>
          <v:rect style="position:absolute;margin-left:252.865005pt;margin-top:-21.913019pt;width:8.865pt;height:6.779pt;mso-position-horizontal-relative:page;mso-position-vertical-relative:paragraph;z-index:-1519576" filled="true" fillcolor="#231f20" stroked="false">
            <v:fill type="solid"/>
            <w10:wrap type="none"/>
          </v:rect>
        </w:pict>
      </w:r>
      <w:r>
        <w:rPr/>
        <w:pict>
          <v:group style="position:absolute;margin-left:380.226013pt;margin-top:-103.024017pt;width:19.850pt;height:74.1pt;mso-position-horizontal-relative:page;mso-position-vertical-relative:paragraph;z-index:-1519552" coordorigin="7605,-2060" coordsize="397,1482">
            <v:shape style="position:absolute;left:7616;top:-1951;width:198;height:1361" coordorigin="7616,-1951" coordsize="198,1361" path="m7813,-687l7813,-1848,7809,-1871,7800,-1880,7791,-1884,7787,-1894,7787,-1951,7643,-1951,7643,-1950,7643,-1944,7643,-1927,7643,-1894,7639,-1884,7629,-1880,7620,-1871,7616,-1846,7616,-689,7624,-651,7645,-619,7676,-598,7714,-590,7752,-598,7783,-619,7805,-650,7813,-687xe" filled="false" stroked="true" strokeweight="1.08pt" strokecolor="#231f20">
              <v:path arrowok="t"/>
            </v:shape>
            <v:shape style="position:absolute;left:7889;top:-886;width:112;height:132" type="#_x0000_t75" stroked="false">
              <v:imagedata r:id="rId180" o:title=""/>
            </v:shape>
            <v:shape style="position:absolute;left:7889;top:-1726;width:112;height:132" type="#_x0000_t75" stroked="false">
              <v:imagedata r:id="rId202" o:title=""/>
            </v:shape>
            <v:line style="position:absolute" from="7940,-1644" to="7940,-858" stroked="true" strokeweight=".947pt" strokecolor="#231f20"/>
            <v:rect style="position:absolute;left:7616;top:-2060;width:197;height:151" filled="true" fillcolor="#231f20" stroked="false">
              <v:fill type="solid"/>
            </v:rect>
            <w10:wrap type="none"/>
          </v:group>
        </w:pict>
      </w:r>
      <w:r>
        <w:rPr/>
        <w:pict>
          <v:group style="position:absolute;margin-left:349.320007pt;margin-top:-103.383018pt;width:19.850pt;height:74.1pt;mso-position-horizontal-relative:page;mso-position-vertical-relative:paragraph;z-index:-1519528" coordorigin="6986,-2068" coordsize="397,1482">
            <v:shape style="position:absolute;left:7174;top:-2057;width:198;height:1361" coordorigin="7174,-2057" coordsize="198,1361" path="m7175,-1960l7174,-799,7178,-776,7187,-767,7196,-763,7200,-753,7200,-696,7344,-696,7344,-697,7344,-703,7344,-720,7344,-753,7349,-763,7358,-767,7368,-776,7372,-801,7371,-1958,7364,-1996,7343,-2028,7312,-2049,7274,-2057,7235,-2049,7204,-2028,7183,-1997,7175,-1960xe" filled="false" stroked="true" strokeweight="1.08pt" strokecolor="#231f20">
              <v:path arrowok="t"/>
            </v:shape>
            <v:shape style="position:absolute;left:6986;top:-1893;width:112;height:132" type="#_x0000_t75" stroked="false">
              <v:imagedata r:id="rId203" o:title=""/>
            </v:shape>
            <v:shape style="position:absolute;left:6986;top:-1053;width:112;height:132" type="#_x0000_t75" stroked="false">
              <v:imagedata r:id="rId204" o:title=""/>
            </v:shape>
            <v:line style="position:absolute" from="7047,-1789" to="7047,-1003" stroked="true" strokeweight=".947pt" strokecolor="#231f20"/>
            <v:rect style="position:absolute;left:7175;top:-737;width:197;height:151" filled="true" fillcolor="#231f20" stroked="false">
              <v:fill type="solid"/>
            </v:rect>
            <w10:wrap type="none"/>
          </v:group>
        </w:pict>
      </w:r>
      <w:r>
        <w:rPr>
          <w:b/>
          <w:sz w:val="20"/>
        </w:rPr>
        <w:t>1.   </w:t>
      </w:r>
      <w:r>
        <w:rPr>
          <w:sz w:val="20"/>
        </w:rPr>
        <w:t>Select</w:t>
      </w:r>
      <w:r>
        <w:rPr>
          <w:spacing w:val="23"/>
          <w:sz w:val="20"/>
        </w:rPr>
        <w:t> </w:t>
      </w:r>
      <w:r>
        <w:rPr>
          <w:sz w:val="20"/>
        </w:rPr>
        <w:t>the</w:t>
      </w:r>
      <w:r>
        <w:rPr>
          <w:spacing w:val="-2"/>
          <w:sz w:val="20"/>
        </w:rPr>
        <w:t> </w:t>
      </w:r>
      <w:r>
        <w:rPr>
          <w:sz w:val="20"/>
        </w:rPr>
        <w:t>test.</w:t>
        <w:tab/>
      </w:r>
      <w:r>
        <w:rPr>
          <w:b/>
          <w:sz w:val="20"/>
        </w:rPr>
        <w:t>2.   Blank</w:t>
      </w:r>
      <w:r>
        <w:rPr>
          <w:b/>
          <w:spacing w:val="13"/>
          <w:sz w:val="20"/>
        </w:rPr>
        <w:t> </w:t>
      </w:r>
      <w:r>
        <w:rPr>
          <w:b/>
          <w:sz w:val="20"/>
        </w:rPr>
        <w:t>Preparation:</w:t>
      </w:r>
    </w:p>
    <w:p>
      <w:pPr>
        <w:spacing w:line="249" w:lineRule="auto" w:before="10"/>
        <w:ind w:left="2704" w:right="-5" w:firstLine="0"/>
        <w:jc w:val="left"/>
        <w:rPr>
          <w:sz w:val="20"/>
        </w:rPr>
      </w:pPr>
      <w:r>
        <w:rPr>
          <w:sz w:val="20"/>
        </w:rPr>
        <w:t>Remove the cap from a </w:t>
      </w:r>
      <w:r>
        <w:rPr>
          <w:spacing w:val="-3"/>
          <w:sz w:val="20"/>
        </w:rPr>
        <w:t>NitraVer </w:t>
      </w:r>
      <w:r>
        <w:rPr>
          <w:sz w:val="20"/>
        </w:rPr>
        <w:t>X Reagent A</w:t>
      </w:r>
      <w:r>
        <w:rPr>
          <w:spacing w:val="-18"/>
          <w:sz w:val="20"/>
        </w:rPr>
        <w:t> </w:t>
      </w:r>
      <w:r>
        <w:rPr>
          <w:spacing w:val="-6"/>
          <w:sz w:val="20"/>
        </w:rPr>
        <w:t>Test </w:t>
      </w:r>
      <w:r>
        <w:rPr>
          <w:sz w:val="20"/>
        </w:rPr>
        <w:t>‘N </w:t>
      </w:r>
      <w:r>
        <w:rPr>
          <w:spacing w:val="-7"/>
          <w:sz w:val="20"/>
        </w:rPr>
        <w:t>Tube </w:t>
      </w:r>
      <w:r>
        <w:rPr>
          <w:sz w:val="20"/>
        </w:rPr>
        <w:t>vial and</w:t>
      </w:r>
      <w:r>
        <w:rPr>
          <w:spacing w:val="1"/>
          <w:sz w:val="20"/>
        </w:rPr>
        <w:t> </w:t>
      </w:r>
      <w:r>
        <w:rPr>
          <w:sz w:val="20"/>
        </w:rPr>
        <w:t>add</w:t>
      </w:r>
    </w:p>
    <w:p>
      <w:pPr>
        <w:spacing w:before="1"/>
        <w:ind w:left="2704" w:right="0" w:firstLine="0"/>
        <w:jc w:val="left"/>
        <w:rPr>
          <w:sz w:val="20"/>
        </w:rPr>
      </w:pPr>
      <w:r>
        <w:rPr>
          <w:sz w:val="20"/>
        </w:rPr>
        <w:t>1.00 mL of sample.</w:t>
      </w:r>
    </w:p>
    <w:p>
      <w:pPr>
        <w:pStyle w:val="ListParagraph"/>
        <w:numPr>
          <w:ilvl w:val="0"/>
          <w:numId w:val="24"/>
        </w:numPr>
        <w:tabs>
          <w:tab w:pos="500" w:val="left" w:leader="none"/>
        </w:tabs>
        <w:spacing w:line="249" w:lineRule="auto" w:before="6" w:after="0"/>
        <w:ind w:left="140" w:right="0" w:firstLine="0"/>
        <w:jc w:val="left"/>
        <w:rPr>
          <w:sz w:val="20"/>
        </w:rPr>
      </w:pPr>
      <w:r>
        <w:rPr>
          <w:spacing w:val="-1"/>
          <w:w w:val="99"/>
          <w:sz w:val="20"/>
        </w:rPr>
        <w:br w:type="column"/>
      </w:r>
      <w:r>
        <w:rPr>
          <w:sz w:val="20"/>
        </w:rPr>
        <w:t>Cap the tube and invert ten times to</w:t>
      </w:r>
      <w:r>
        <w:rPr>
          <w:spacing w:val="-17"/>
          <w:sz w:val="20"/>
        </w:rPr>
        <w:t> </w:t>
      </w:r>
      <w:r>
        <w:rPr>
          <w:sz w:val="20"/>
        </w:rPr>
        <w:t>mix.</w:t>
      </w:r>
    </w:p>
    <w:p>
      <w:pPr>
        <w:pStyle w:val="ListParagraph"/>
        <w:numPr>
          <w:ilvl w:val="0"/>
          <w:numId w:val="24"/>
        </w:numPr>
        <w:tabs>
          <w:tab w:pos="500" w:val="left" w:leader="none"/>
        </w:tabs>
        <w:spacing w:line="249" w:lineRule="auto" w:before="6" w:after="0"/>
        <w:ind w:left="140" w:right="515" w:firstLine="0"/>
        <w:jc w:val="both"/>
        <w:rPr>
          <w:sz w:val="20"/>
        </w:rPr>
      </w:pPr>
      <w:r>
        <w:rPr>
          <w:w w:val="99"/>
          <w:sz w:val="20"/>
        </w:rPr>
        <w:br w:type="column"/>
      </w:r>
      <w:r>
        <w:rPr>
          <w:sz w:val="20"/>
        </w:rPr>
        <w:t>Wipe the blank</w:t>
      </w:r>
      <w:r>
        <w:rPr>
          <w:spacing w:val="-12"/>
          <w:sz w:val="20"/>
        </w:rPr>
        <w:t> </w:t>
      </w:r>
      <w:r>
        <w:rPr>
          <w:sz w:val="20"/>
        </w:rPr>
        <w:t>and insert it into the 16 mm round cell</w:t>
      </w:r>
      <w:r>
        <w:rPr>
          <w:spacing w:val="-23"/>
          <w:sz w:val="20"/>
        </w:rPr>
        <w:t> </w:t>
      </w:r>
      <w:r>
        <w:rPr>
          <w:sz w:val="20"/>
        </w:rPr>
        <w:t>holder.</w:t>
      </w:r>
    </w:p>
    <w:p>
      <w:pPr>
        <w:spacing w:after="0" w:line="249" w:lineRule="auto"/>
        <w:jc w:val="both"/>
        <w:rPr>
          <w:sz w:val="20"/>
        </w:rPr>
        <w:sectPr>
          <w:type w:val="continuous"/>
          <w:pgSz w:w="11900" w:h="15840"/>
          <w:pgMar w:top="0" w:bottom="0" w:left="940" w:right="540"/>
          <w:cols w:num="3" w:equalWidth="0">
            <w:col w:w="5018" w:space="112"/>
            <w:col w:w="2139" w:space="426"/>
            <w:col w:w="272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BodyText"/>
        <w:spacing w:line="21" w:lineRule="exact"/>
        <w:ind w:left="129"/>
        <w:rPr>
          <w:sz w:val="2"/>
        </w:rPr>
      </w:pPr>
      <w:r>
        <w:rPr>
          <w:sz w:val="2"/>
        </w:rPr>
        <w:pict>
          <v:group style="width:505.05pt;height:1.05pt;mso-position-horizontal-relative:char;mso-position-vertical-relative:line" coordorigin="0,0" coordsize="10101,21">
            <v:line style="position:absolute" from="10,10" to="10,10" stroked="true" strokeweight="1.02pt" strokecolor="#000000"/>
            <v:line style="position:absolute" from="10,10" to="10090,10" stroked="true" strokeweight="1.02pt" strokecolor="#000000"/>
          </v:group>
        </w:pict>
      </w:r>
      <w:r>
        <w:rPr>
          <w:sz w:val="2"/>
        </w:rPr>
      </w:r>
    </w:p>
    <w:p>
      <w:pPr>
        <w:spacing w:before="6"/>
        <w:ind w:left="0" w:right="223" w:firstLine="0"/>
        <w:jc w:val="right"/>
        <w:rPr>
          <w:b/>
          <w:sz w:val="20"/>
        </w:rPr>
      </w:pPr>
      <w:r>
        <w:rPr>
          <w:b/>
          <w:w w:val="95"/>
          <w:sz w:val="20"/>
        </w:rPr>
        <w:t>Nitrate</w:t>
      </w:r>
    </w:p>
    <w:p>
      <w:pPr>
        <w:tabs>
          <w:tab w:pos="9004" w:val="left" w:leader="none"/>
        </w:tabs>
        <w:spacing w:before="10"/>
        <w:ind w:left="0" w:right="223" w:firstLine="0"/>
        <w:jc w:val="right"/>
        <w:rPr>
          <w:b/>
          <w:sz w:val="20"/>
        </w:rPr>
      </w:pPr>
      <w:r>
        <w:rPr>
          <w:sz w:val="14"/>
        </w:rPr>
        <w:t>Nitrate_10020_TNT_HR.fm</w:t>
        <w:tab/>
      </w:r>
      <w:r>
        <w:rPr>
          <w:b/>
          <w:sz w:val="20"/>
        </w:rPr>
        <w:t>Page 1 of</w:t>
      </w:r>
      <w:r>
        <w:rPr>
          <w:b/>
          <w:spacing w:val="-11"/>
          <w:sz w:val="20"/>
        </w:rPr>
        <w:t> </w:t>
      </w:r>
      <w:r>
        <w:rPr>
          <w:b/>
          <w:sz w:val="20"/>
        </w:rPr>
        <w:t>4</w:t>
      </w:r>
    </w:p>
    <w:p>
      <w:pPr>
        <w:spacing w:after="0"/>
        <w:jc w:val="right"/>
        <w:rPr>
          <w:sz w:val="20"/>
        </w:rPr>
        <w:sectPr>
          <w:type w:val="continuous"/>
          <w:pgSz w:w="11900" w:h="15840"/>
          <w:pgMar w:top="0" w:bottom="0" w:left="940" w:right="540"/>
        </w:sectPr>
      </w:pPr>
    </w:p>
    <w:p>
      <w:pPr>
        <w:pStyle w:val="Heading4"/>
        <w:spacing w:before="74"/>
        <w:ind w:right="0"/>
      </w:pPr>
      <w:r>
        <w:rPr/>
        <w:pict>
          <v:group style="position:absolute;margin-left:35.715pt;margin-top:22.080879pt;width:505.15pt;height:1.05pt;mso-position-horizontal-relative:page;mso-position-vertical-relative:paragraph;z-index:12328;mso-wrap-distance-left:0;mso-wrap-distance-right:0" coordorigin="714,442" coordsize="10103,21">
            <v:line style="position:absolute" from="725,452" to="725,452" stroked="true" strokeweight="1.02pt" strokecolor="#000000"/>
            <v:line style="position:absolute" from="725,452" to="10806,452" stroked="true" strokeweight="1.02pt" strokecolor="#000000"/>
            <w10:wrap type="topAndBottom"/>
          </v:group>
        </w:pict>
      </w:r>
      <w:r>
        <w:rPr/>
        <w:pict>
          <v:group style="position:absolute;margin-left:36.240002pt;margin-top:42.97588pt;width:122.5pt;height:122.4pt;mso-position-horizontal-relative:page;mso-position-vertical-relative:paragraph;z-index:12352;mso-wrap-distance-left:0;mso-wrap-distance-right:0" coordorigin="725,860" coordsize="2450,2448">
            <v:rect style="position:absolute;left:845;top:860;width:2329;height:120" filled="true" fillcolor="#b3b3b3" stroked="false">
              <v:fill type="solid"/>
            </v:rect>
            <v:rect style="position:absolute;left:3054;top:920;width:120;height:2388" filled="true" fillcolor="#b3b3b3" stroked="false">
              <v:fill type="solid"/>
            </v:rect>
            <v:rect style="position:absolute;left:725;top:3188;width:2389;height:120" filled="true" fillcolor="#b3b3b3" stroked="false">
              <v:fill type="solid"/>
            </v:rect>
            <v:rect style="position:absolute;left:725;top:860;width:120;height:2388" filled="true" fillcolor="#b3b3b3" stroked="false">
              <v:fill type="solid"/>
            </v:rect>
            <w10:wrap type="topAndBottom"/>
          </v:group>
        </w:pict>
      </w:r>
      <w:r>
        <w:rPr/>
        <w:pict>
          <v:group style="position:absolute;margin-left:164.520004pt;margin-top:42.97588pt;width:122.4pt;height:122.4pt;mso-position-horizontal-relative:page;mso-position-vertical-relative:paragraph;z-index:12376;mso-wrap-distance-left:0;mso-wrap-distance-right:0" coordorigin="3290,860" coordsize="2448,2448">
            <v:rect style="position:absolute;left:3410;top:860;width:2328;height:120" filled="true" fillcolor="#b3b3b3" stroked="false">
              <v:fill type="solid"/>
            </v:rect>
            <v:rect style="position:absolute;left:5618;top:920;width:120;height:2388" filled="true" fillcolor="#b3b3b3" stroked="false">
              <v:fill type="solid"/>
            </v:rect>
            <v:rect style="position:absolute;left:3290;top:3188;width:2388;height:120" filled="true" fillcolor="#b3b3b3" stroked="false">
              <v:fill type="solid"/>
            </v:rect>
            <v:rect style="position:absolute;left:3290;top:860;width:120;height:2388" filled="true" fillcolor="#b3b3b3" stroked="false">
              <v:fill type="solid"/>
            </v:rect>
            <w10:wrap type="topAndBottom"/>
          </v:group>
        </w:pict>
      </w:r>
      <w:r>
        <w:rPr/>
        <w:pict>
          <v:group style="position:absolute;margin-left:292.799988pt;margin-top:42.97588pt;width:122.4pt;height:122.4pt;mso-position-horizontal-relative:page;mso-position-vertical-relative:paragraph;z-index:12400;mso-wrap-distance-left:0;mso-wrap-distance-right:0" coordorigin="5856,860" coordsize="2448,2448">
            <v:rect style="position:absolute;left:5976;top:860;width:2328;height:120" filled="true" fillcolor="#b3b3b3" stroked="false">
              <v:fill type="solid"/>
            </v:rect>
            <v:rect style="position:absolute;left:8184;top:920;width:120;height:2388" filled="true" fillcolor="#b3b3b3" stroked="false">
              <v:fill type="solid"/>
            </v:rect>
            <v:rect style="position:absolute;left:5856;top:3188;width:2388;height:120" filled="true" fillcolor="#b3b3b3" stroked="false">
              <v:fill type="solid"/>
            </v:rect>
            <v:rect style="position:absolute;left:5856;top:860;width:120;height:2388" filled="true" fillcolor="#b3b3b3" stroked="false">
              <v:fill type="solid"/>
            </v:rect>
            <w10:wrap type="topAndBottom"/>
          </v:group>
        </w:pict>
      </w:r>
      <w:r>
        <w:rPr/>
        <w:pict>
          <v:group style="position:absolute;margin-left:421.019989pt;margin-top:42.97588pt;width:122.4pt;height:122.4pt;mso-position-horizontal-relative:page;mso-position-vertical-relative:paragraph;z-index:12424;mso-wrap-distance-left:0;mso-wrap-distance-right:0" coordorigin="8420,860" coordsize="2448,2448">
            <v:rect style="position:absolute;left:8540;top:860;width:2328;height:120" filled="true" fillcolor="#b3b3b3" stroked="false">
              <v:fill type="solid"/>
            </v:rect>
            <v:rect style="position:absolute;left:10748;top:920;width:120;height:2388" filled="true" fillcolor="#b3b3b3" stroked="false">
              <v:fill type="solid"/>
            </v:rect>
            <v:rect style="position:absolute;left:8420;top:3188;width:2388;height:120" filled="true" fillcolor="#b3b3b3" stroked="false">
              <v:fill type="solid"/>
            </v:rect>
            <v:rect style="position:absolute;left:8420;top:860;width:120;height:2388" filled="true" fillcolor="#b3b3b3" stroked="false">
              <v:fill type="solid"/>
            </v:rect>
            <w10:wrap type="topAndBottom"/>
          </v:group>
        </w:pict>
      </w:r>
      <w:r>
        <w:rPr/>
        <w:drawing>
          <wp:anchor distT="0" distB="0" distL="0" distR="0" allowOverlap="1" layoutInCell="1" locked="0" behindDoc="0" simplePos="0" relativeHeight="12760">
            <wp:simplePos x="0" y="0"/>
            <wp:positionH relativeFrom="page">
              <wp:posOffset>5933694</wp:posOffset>
            </wp:positionH>
            <wp:positionV relativeFrom="paragraph">
              <wp:posOffset>734769</wp:posOffset>
            </wp:positionV>
            <wp:extent cx="381000" cy="457200"/>
            <wp:effectExtent l="0" t="0" r="0" b="0"/>
            <wp:wrapNone/>
            <wp:docPr id="143" name="image138.png" descr=""/>
            <wp:cNvGraphicFramePr>
              <a:graphicFrameLocks noChangeAspect="1"/>
            </wp:cNvGraphicFramePr>
            <a:graphic>
              <a:graphicData uri="http://schemas.openxmlformats.org/drawingml/2006/picture">
                <pic:pic>
                  <pic:nvPicPr>
                    <pic:cNvPr id="144" name="image138.png"/>
                    <pic:cNvPicPr/>
                  </pic:nvPicPr>
                  <pic:blipFill>
                    <a:blip r:embed="rId154" cstate="print"/>
                    <a:stretch>
                      <a:fillRect/>
                    </a:stretch>
                  </pic:blipFill>
                  <pic:spPr>
                    <a:xfrm>
                      <a:off x="0" y="0"/>
                      <a:ext cx="381000" cy="457200"/>
                    </a:xfrm>
                    <a:prstGeom prst="rect">
                      <a:avLst/>
                    </a:prstGeom>
                  </pic:spPr>
                </pic:pic>
              </a:graphicData>
            </a:graphic>
          </wp:anchor>
        </w:drawing>
      </w:r>
      <w:r>
        <w:rPr/>
        <w:pict>
          <v:shape style="position:absolute;margin-left:218.877594pt;margin-top:4.176857pt;width:5.35pt;height:9.6pt;mso-position-horizontal-relative:page;mso-position-vertical-relative:paragraph;z-index:-1519024" type="#_x0000_t202" filled="false" stroked="false">
            <v:textbox inset="0,0,0,0">
              <w:txbxContent>
                <w:p>
                  <w:pPr>
                    <w:spacing w:line="192" w:lineRule="exact" w:before="0"/>
                    <w:ind w:left="0" w:right="0" w:firstLine="0"/>
                    <w:jc w:val="left"/>
                    <w:rPr>
                      <w:b/>
                      <w:sz w:val="19"/>
                    </w:rPr>
                  </w:pPr>
                  <w:r>
                    <w:rPr>
                      <w:b/>
                      <w:w w:val="101"/>
                      <w:sz w:val="19"/>
                    </w:rPr>
                    <w:t>–</w:t>
                  </w:r>
                </w:p>
              </w:txbxContent>
            </v:textbox>
            <w10:wrap type="none"/>
          </v:shape>
        </w:pict>
      </w:r>
      <w:r>
        <w:rPr/>
        <w:t>Nitrate HR (0.2 to 30.0 mg/L NO</w:t>
      </w:r>
      <w:r>
        <w:rPr>
          <w:position w:val="-5"/>
          <w:sz w:val="19"/>
        </w:rPr>
        <w:t>3 </w:t>
      </w:r>
      <w:r>
        <w:rPr/>
        <w:t>–N)</w:t>
      </w:r>
    </w:p>
    <w:p>
      <w:pPr>
        <w:pStyle w:val="BodyText"/>
        <w:spacing w:before="6"/>
        <w:rPr>
          <w:b/>
          <w:sz w:val="28"/>
        </w:rPr>
      </w:pPr>
    </w:p>
    <w:p>
      <w:pPr>
        <w:pStyle w:val="BodyText"/>
        <w:spacing w:before="1"/>
        <w:rPr>
          <w:b/>
          <w:sz w:val="6"/>
        </w:rPr>
      </w:pPr>
    </w:p>
    <w:p>
      <w:pPr>
        <w:spacing w:after="0"/>
        <w:rPr>
          <w:sz w:val="6"/>
        </w:rPr>
        <w:sectPr>
          <w:headerReference w:type="default" r:id="rId205"/>
          <w:footerReference w:type="default" r:id="rId206"/>
          <w:pgSz w:w="11900" w:h="15840"/>
          <w:pgMar w:header="0" w:footer="0" w:top="220" w:bottom="0" w:left="600" w:right="720"/>
        </w:sectPr>
      </w:pPr>
    </w:p>
    <w:p>
      <w:pPr>
        <w:pStyle w:val="ListParagraph"/>
        <w:numPr>
          <w:ilvl w:val="0"/>
          <w:numId w:val="24"/>
        </w:numPr>
        <w:tabs>
          <w:tab w:pos="485" w:val="left" w:leader="none"/>
        </w:tabs>
        <w:spacing w:line="240" w:lineRule="auto" w:before="6" w:after="0"/>
        <w:ind w:left="484" w:right="0" w:hanging="360"/>
        <w:jc w:val="left"/>
        <w:rPr>
          <w:sz w:val="20"/>
        </w:rPr>
      </w:pPr>
      <w:r>
        <w:rPr/>
        <w:drawing>
          <wp:anchor distT="0" distB="0" distL="0" distR="0" allowOverlap="1" layoutInCell="1" locked="0" behindDoc="1" simplePos="0" relativeHeight="266916167">
            <wp:simplePos x="0" y="0"/>
            <wp:positionH relativeFrom="page">
              <wp:posOffset>760476</wp:posOffset>
            </wp:positionH>
            <wp:positionV relativeFrom="paragraph">
              <wp:posOffset>-1078739</wp:posOffset>
            </wp:positionV>
            <wp:extent cx="953261" cy="476250"/>
            <wp:effectExtent l="0" t="0" r="0" b="0"/>
            <wp:wrapNone/>
            <wp:docPr id="145" name="image143.png" descr=""/>
            <wp:cNvGraphicFramePr>
              <a:graphicFrameLocks noChangeAspect="1"/>
            </wp:cNvGraphicFramePr>
            <a:graphic>
              <a:graphicData uri="http://schemas.openxmlformats.org/drawingml/2006/picture">
                <pic:pic>
                  <pic:nvPicPr>
                    <pic:cNvPr id="146" name="image143.png"/>
                    <pic:cNvPicPr/>
                  </pic:nvPicPr>
                  <pic:blipFill>
                    <a:blip r:embed="rId159" cstate="print"/>
                    <a:stretch>
                      <a:fillRect/>
                    </a:stretch>
                  </pic:blipFill>
                  <pic:spPr>
                    <a:xfrm>
                      <a:off x="0" y="0"/>
                      <a:ext cx="953261" cy="476250"/>
                    </a:xfrm>
                    <a:prstGeom prst="rect">
                      <a:avLst/>
                    </a:prstGeom>
                  </pic:spPr>
                </pic:pic>
              </a:graphicData>
            </a:graphic>
          </wp:anchor>
        </w:drawing>
      </w:r>
      <w:r>
        <w:rPr/>
        <w:pict>
          <v:group style="position:absolute;margin-left:221.639999pt;margin-top:-117.469093pt;width:30.1pt;height:102.35pt;mso-position-horizontal-relative:page;mso-position-vertical-relative:paragraph;z-index:-1519264" coordorigin="4433,-2349" coordsize="602,2047">
            <v:shape style="position:absolute;left:4433;top:-2349;width:514;height:402" coordorigin="4433,-2349" coordsize="514,402" path="m4541,-2349l4433,-2069,4500,-2058,4629,-1948,4694,-1975,4630,-1975,4528,-2062,4550,-2064,4580,-2080,4509,-2080,4468,-2088,4558,-2321,4666,-2321,4541,-2349xm4681,-2119l4651,-2119,4756,-2026,4630,-1975,4694,-1975,4774,-2009,4846,-2009,4853,-2028,4821,-2028,4777,-2036,4681,-2119xm4846,-2009l4774,-2009,4841,-1995,4846,-2009xm4898,-2291l4817,-2291,4912,-2266,4821,-2028,4853,-2028,4946,-2279,4898,-2291xm4678,-2212l4645,-2138,4548,-2082,4509,-2080,4580,-2080,4651,-2119,4681,-2119,4663,-2135,4678,-2212xm4666,-2321l4558,-2321,4716,-2287,4817,-2291,4898,-2291,4817,-2310,4712,-2310,4666,-2321xe" filled="true" fillcolor="#231f20" stroked="false">
              <v:path arrowok="t"/>
              <v:fill type="solid"/>
            </v:shape>
            <v:shape style="position:absolute;left:4545;top:-2093;width:174;height:286" type="#_x0000_t75" stroked="false">
              <v:imagedata r:id="rId207" o:title=""/>
            </v:shape>
            <v:rect style="position:absolute;left:4475;top:-1863;width:559;height:1560" filled="true" fillcolor="#ffffff" stroked="false">
              <v:fill type="solid"/>
            </v:rect>
            <v:shape style="position:absolute;left:4526;top:-1691;width:198;height:1361" coordorigin="4526,-1691" coordsize="198,1361" path="m4723,-427l4724,-1587,4720,-1611,4711,-1620,4702,-1624,4698,-1634,4698,-1691,4554,-1691,4554,-1690,4554,-1684,4554,-1667,4554,-1634,4549,-1624,4540,-1620,4531,-1611,4526,-1586,4527,-429,4535,-390,4556,-359,4587,-338,4625,-330,4663,-338,4694,-359,4715,-390,4723,-427xe" filled="false" stroked="true" strokeweight="1.08pt" strokecolor="#231f20">
              <v:path arrowok="t"/>
            </v:shape>
            <v:rect style="position:absolute;left:4819;top:-485;width:197;height:151" filled="true" fillcolor="#231f20" stroked="false">
              <v:fill type="solid"/>
            </v:rect>
            <v:shape style="position:absolute;left:4482;top:-1850;width:284;height:244" type="#_x0000_t75" stroked="false">
              <v:imagedata r:id="rId208" o:title=""/>
            </v:shape>
            <w10:wrap type="none"/>
          </v:group>
        </w:pict>
      </w:r>
      <w:r>
        <w:rPr/>
        <w:pict>
          <v:group style="position:absolute;margin-left:359.706177pt;margin-top:-103.595299pt;width:12.55pt;height:74.75pt;mso-position-horizontal-relative:page;mso-position-vertical-relative:paragraph;z-index:-1519240" coordorigin="7194,-2072" coordsize="251,1495">
            <v:shape style="position:absolute;left:7207;top:-1951;width:226;height:1361" coordorigin="7207,-1951" coordsize="226,1361" path="m7432,-687l7432,-1847,7428,-1871,7417,-1880,7407,-1884,7402,-1894,7402,-1951,7238,-1951,7238,-1950,7238,-1944,7238,-1927,7238,-1894,7233,-1884,7222,-1880,7212,-1871,7207,-1846,7207,-689,7216,-650,7240,-619,7275,-598,7319,-590,7363,-598,7398,-619,7422,-650,7432,-687xe" filled="false" stroked="true" strokeweight="1.22867pt" strokecolor="#231f20">
              <v:path arrowok="t"/>
            </v:shape>
            <v:rect style="position:absolute;left:7207;top:-2060;width:225;height:151" filled="true" fillcolor="#231f20" stroked="false">
              <v:fill type="solid"/>
            </v:rect>
            <v:rect style="position:absolute;left:7207;top:-2060;width:225;height:151" filled="false" stroked="true" strokeweight="1.127522pt" strokecolor="#231f20"/>
            <w10:wrap type="none"/>
          </v:group>
        </w:pict>
      </w:r>
      <w:r>
        <w:rPr/>
        <w:pict>
          <v:group style="position:absolute;margin-left:375.915985pt;margin-top:-86.308098pt;width:6.45pt;height:48.65pt;mso-position-horizontal-relative:page;mso-position-vertical-relative:paragraph;z-index:-1519216" coordorigin="7518,-1726" coordsize="129,973">
            <v:shape style="position:absolute;left:7518;top:-886;width:128;height:132" type="#_x0000_t75" stroked="false">
              <v:imagedata r:id="rId209" o:title=""/>
            </v:shape>
            <v:shape style="position:absolute;left:7518;top:-1726;width:128;height:132" type="#_x0000_t75" stroked="false">
              <v:imagedata r:id="rId210" o:title=""/>
            </v:shape>
            <v:line style="position:absolute" from="7577,-1644" to="7577,-858" stroked="true" strokeweight="1.081pt" strokecolor="#231f20"/>
            <w10:wrap type="none"/>
          </v:group>
        </w:pict>
      </w:r>
      <w:r>
        <w:rPr/>
        <w:pict>
          <v:group style="position:absolute;margin-left:340.45401pt;margin-top:-103.379097pt;width:11pt;height:74.1pt;mso-position-horizontal-relative:page;mso-position-vertical-relative:paragraph;z-index:-1519192" coordorigin="6809,-2068" coordsize="220,1482">
            <v:shape style="position:absolute;left:6820;top:-2057;width:198;height:1361" coordorigin="6820,-2057" coordsize="198,1361" path="m6821,-1960l6820,-799,6824,-775,6833,-767,6842,-763,6846,-753,6846,-696,6990,-696,6990,-697,6990,-703,6990,-720,6990,-753,6995,-763,7004,-767,7013,-776,7018,-801,7017,-1958,7009,-1996,6988,-2028,6957,-2049,6919,-2057,6881,-2049,6850,-2028,6829,-1997,6821,-1960xe" filled="false" stroked="true" strokeweight="1.08pt" strokecolor="#231f20">
              <v:path arrowok="t"/>
            </v:shape>
            <v:rect style="position:absolute;left:6821;top:-737;width:197;height:151" filled="true" fillcolor="#231f20" stroked="false">
              <v:fill type="solid"/>
            </v:rect>
            <w10:wrap type="none"/>
          </v:group>
        </w:pict>
      </w:r>
      <w:r>
        <w:rPr/>
        <w:pict>
          <v:group style="position:absolute;margin-left:331.614990pt;margin-top:-94.668098pt;width:5.65pt;height:48.65pt;mso-position-horizontal-relative:page;mso-position-vertical-relative:paragraph;z-index:-1519168" coordorigin="6632,-1893" coordsize="113,973">
            <v:shape style="position:absolute;left:6632;top:-1893;width:112;height:132" type="#_x0000_t75" stroked="false">
              <v:imagedata r:id="rId211" o:title=""/>
            </v:shape>
            <v:shape style="position:absolute;left:6632;top:-1053;width:112;height:132" type="#_x0000_t75" stroked="false">
              <v:imagedata r:id="rId212" o:title=""/>
            </v:shape>
            <v:line style="position:absolute" from="6693,-1789" to="6693,-1003" stroked="true" strokeweight=".947pt" strokecolor="#231f20"/>
            <w10:wrap type="none"/>
          </v:group>
        </w:pict>
      </w:r>
      <w:r>
        <w:rPr/>
        <w:drawing>
          <wp:anchor distT="0" distB="0" distL="0" distR="0" allowOverlap="1" layoutInCell="1" locked="0" behindDoc="0" simplePos="0" relativeHeight="12664">
            <wp:simplePos x="0" y="0"/>
            <wp:positionH relativeFrom="page">
              <wp:posOffset>5747067</wp:posOffset>
            </wp:positionH>
            <wp:positionV relativeFrom="paragraph">
              <wp:posOffset>-475857</wp:posOffset>
            </wp:positionV>
            <wp:extent cx="318725" cy="223456"/>
            <wp:effectExtent l="0" t="0" r="0" b="0"/>
            <wp:wrapNone/>
            <wp:docPr id="147" name="image181.png" descr=""/>
            <wp:cNvGraphicFramePr>
              <a:graphicFrameLocks noChangeAspect="1"/>
            </wp:cNvGraphicFramePr>
            <a:graphic>
              <a:graphicData uri="http://schemas.openxmlformats.org/drawingml/2006/picture">
                <pic:pic>
                  <pic:nvPicPr>
                    <pic:cNvPr id="148" name="image181.png"/>
                    <pic:cNvPicPr/>
                  </pic:nvPicPr>
                  <pic:blipFill>
                    <a:blip r:embed="rId213" cstate="print"/>
                    <a:stretch>
                      <a:fillRect/>
                    </a:stretch>
                  </pic:blipFill>
                  <pic:spPr>
                    <a:xfrm>
                      <a:off x="0" y="0"/>
                      <a:ext cx="318725" cy="223456"/>
                    </a:xfrm>
                    <a:prstGeom prst="rect">
                      <a:avLst/>
                    </a:prstGeom>
                  </pic:spPr>
                </pic:pic>
              </a:graphicData>
            </a:graphic>
          </wp:anchor>
        </w:drawing>
      </w:r>
      <w:r>
        <w:rPr/>
        <w:drawing>
          <wp:anchor distT="0" distB="0" distL="0" distR="0" allowOverlap="1" layoutInCell="1" locked="0" behindDoc="0" simplePos="0" relativeHeight="12688">
            <wp:simplePos x="0" y="0"/>
            <wp:positionH relativeFrom="page">
              <wp:posOffset>6082055</wp:posOffset>
            </wp:positionH>
            <wp:positionV relativeFrom="paragraph">
              <wp:posOffset>-475857</wp:posOffset>
            </wp:positionV>
            <wp:extent cx="256808" cy="223456"/>
            <wp:effectExtent l="0" t="0" r="0" b="0"/>
            <wp:wrapNone/>
            <wp:docPr id="149" name="image182.png" descr=""/>
            <wp:cNvGraphicFramePr>
              <a:graphicFrameLocks noChangeAspect="1"/>
            </wp:cNvGraphicFramePr>
            <a:graphic>
              <a:graphicData uri="http://schemas.openxmlformats.org/drawingml/2006/picture">
                <pic:pic>
                  <pic:nvPicPr>
                    <pic:cNvPr id="150" name="image182.png"/>
                    <pic:cNvPicPr/>
                  </pic:nvPicPr>
                  <pic:blipFill>
                    <a:blip r:embed="rId214" cstate="print"/>
                    <a:stretch>
                      <a:fillRect/>
                    </a:stretch>
                  </pic:blipFill>
                  <pic:spPr>
                    <a:xfrm>
                      <a:off x="0" y="0"/>
                      <a:ext cx="256808" cy="223456"/>
                    </a:xfrm>
                    <a:prstGeom prst="rect">
                      <a:avLst/>
                    </a:prstGeom>
                  </pic:spPr>
                </pic:pic>
              </a:graphicData>
            </a:graphic>
          </wp:anchor>
        </w:drawing>
      </w:r>
      <w:r>
        <w:rPr/>
        <w:drawing>
          <wp:anchor distT="0" distB="0" distL="0" distR="0" allowOverlap="1" layoutInCell="1" locked="0" behindDoc="0" simplePos="0" relativeHeight="12712">
            <wp:simplePos x="0" y="0"/>
            <wp:positionH relativeFrom="page">
              <wp:posOffset>6356984</wp:posOffset>
            </wp:positionH>
            <wp:positionV relativeFrom="paragraph">
              <wp:posOffset>-475857</wp:posOffset>
            </wp:positionV>
            <wp:extent cx="150788" cy="223456"/>
            <wp:effectExtent l="0" t="0" r="0" b="0"/>
            <wp:wrapNone/>
            <wp:docPr id="151" name="image183.png" descr=""/>
            <wp:cNvGraphicFramePr>
              <a:graphicFrameLocks noChangeAspect="1"/>
            </wp:cNvGraphicFramePr>
            <a:graphic>
              <a:graphicData uri="http://schemas.openxmlformats.org/drawingml/2006/picture">
                <pic:pic>
                  <pic:nvPicPr>
                    <pic:cNvPr id="152" name="image183.png"/>
                    <pic:cNvPicPr/>
                  </pic:nvPicPr>
                  <pic:blipFill>
                    <a:blip r:embed="rId215" cstate="print"/>
                    <a:stretch>
                      <a:fillRect/>
                    </a:stretch>
                  </pic:blipFill>
                  <pic:spPr>
                    <a:xfrm>
                      <a:off x="0" y="0"/>
                      <a:ext cx="150788" cy="223456"/>
                    </a:xfrm>
                    <a:prstGeom prst="rect">
                      <a:avLst/>
                    </a:prstGeom>
                  </pic:spPr>
                </pic:pic>
              </a:graphicData>
            </a:graphic>
          </wp:anchor>
        </w:drawing>
      </w:r>
      <w:r>
        <w:rPr/>
        <w:drawing>
          <wp:anchor distT="0" distB="0" distL="0" distR="0" allowOverlap="1" layoutInCell="1" locked="0" behindDoc="0" simplePos="0" relativeHeight="12736">
            <wp:simplePos x="0" y="0"/>
            <wp:positionH relativeFrom="page">
              <wp:posOffset>5826252</wp:posOffset>
            </wp:positionH>
            <wp:positionV relativeFrom="paragraph">
              <wp:posOffset>-886715</wp:posOffset>
            </wp:positionV>
            <wp:extent cx="593580" cy="276701"/>
            <wp:effectExtent l="0" t="0" r="0" b="0"/>
            <wp:wrapNone/>
            <wp:docPr id="153" name="image137.png" descr=""/>
            <wp:cNvGraphicFramePr>
              <a:graphicFrameLocks noChangeAspect="1"/>
            </wp:cNvGraphicFramePr>
            <a:graphic>
              <a:graphicData uri="http://schemas.openxmlformats.org/drawingml/2006/picture">
                <pic:pic>
                  <pic:nvPicPr>
                    <pic:cNvPr id="154" name="image137.png"/>
                    <pic:cNvPicPr/>
                  </pic:nvPicPr>
                  <pic:blipFill>
                    <a:blip r:embed="rId153" cstate="print"/>
                    <a:stretch>
                      <a:fillRect/>
                    </a:stretch>
                  </pic:blipFill>
                  <pic:spPr>
                    <a:xfrm>
                      <a:off x="0" y="0"/>
                      <a:ext cx="593580" cy="276701"/>
                    </a:xfrm>
                    <a:prstGeom prst="rect">
                      <a:avLst/>
                    </a:prstGeom>
                  </pic:spPr>
                </pic:pic>
              </a:graphicData>
            </a:graphic>
          </wp:anchor>
        </w:drawing>
      </w:r>
      <w:r>
        <w:rPr>
          <w:sz w:val="20"/>
        </w:rPr>
        <w:t>Press</w:t>
      </w:r>
      <w:r>
        <w:rPr>
          <w:spacing w:val="-3"/>
          <w:sz w:val="20"/>
        </w:rPr>
        <w:t> </w:t>
      </w:r>
      <w:r>
        <w:rPr>
          <w:b/>
          <w:spacing w:val="-3"/>
          <w:sz w:val="18"/>
        </w:rPr>
        <w:t>ZERO</w:t>
      </w:r>
      <w:r>
        <w:rPr>
          <w:spacing w:val="-3"/>
          <w:sz w:val="20"/>
        </w:rPr>
        <w:t>.</w:t>
      </w:r>
    </w:p>
    <w:p>
      <w:pPr>
        <w:spacing w:before="130"/>
        <w:ind w:left="124" w:right="0" w:firstLine="0"/>
        <w:jc w:val="left"/>
        <w:rPr>
          <w:sz w:val="20"/>
        </w:rPr>
      </w:pPr>
      <w:r>
        <w:rPr>
          <w:sz w:val="20"/>
        </w:rPr>
        <w:t>The display will show:</w:t>
      </w:r>
    </w:p>
    <w:p>
      <w:pPr>
        <w:spacing w:before="117"/>
        <w:ind w:left="507" w:right="0" w:firstLine="0"/>
        <w:jc w:val="left"/>
        <w:rPr>
          <w:sz w:val="20"/>
        </w:rPr>
      </w:pPr>
      <w:r>
        <w:rPr/>
        <w:pict>
          <v:shape style="position:absolute;margin-left:111.540001pt;margin-top:11.912133pt;width:4.45pt;height:8pt;mso-position-horizontal-relative:page;mso-position-vertical-relative:paragraph;z-index:-1519000" type="#_x0000_t202" filled="false" stroked="false">
            <v:textbox inset="0,0,0,0">
              <w:txbxContent>
                <w:p>
                  <w:pPr>
                    <w:spacing w:line="160" w:lineRule="exact" w:before="0"/>
                    <w:ind w:left="0" w:right="0" w:firstLine="0"/>
                    <w:jc w:val="left"/>
                    <w:rPr>
                      <w:sz w:val="16"/>
                    </w:rPr>
                  </w:pPr>
                  <w:r>
                    <w:rPr>
                      <w:w w:val="99"/>
                      <w:sz w:val="16"/>
                    </w:rPr>
                    <w:t>3</w:t>
                  </w:r>
                </w:p>
              </w:txbxContent>
            </v:textbox>
            <w10:wrap type="none"/>
          </v:shape>
        </w:pict>
      </w:r>
      <w:r>
        <w:rPr>
          <w:sz w:val="20"/>
        </w:rPr>
        <w:t>0.0 mg/L NO </w:t>
      </w:r>
      <w:r>
        <w:rPr>
          <w:position w:val="5"/>
          <w:sz w:val="16"/>
        </w:rPr>
        <w:t>–</w:t>
      </w:r>
      <w:r>
        <w:rPr>
          <w:sz w:val="20"/>
        </w:rPr>
        <w:t>–N</w:t>
      </w:r>
    </w:p>
    <w:p>
      <w:pPr>
        <w:pStyle w:val="ListParagraph"/>
        <w:numPr>
          <w:ilvl w:val="0"/>
          <w:numId w:val="24"/>
        </w:numPr>
        <w:tabs>
          <w:tab w:pos="485" w:val="left" w:leader="none"/>
        </w:tabs>
        <w:spacing w:line="249" w:lineRule="auto" w:before="6" w:after="0"/>
        <w:ind w:left="124" w:right="0" w:firstLine="0"/>
        <w:jc w:val="left"/>
        <w:rPr>
          <w:sz w:val="20"/>
        </w:rPr>
      </w:pPr>
      <w:r>
        <w:rPr>
          <w:b/>
          <w:w w:val="99"/>
          <w:sz w:val="20"/>
        </w:rPr>
        <w:br w:type="column"/>
      </w:r>
      <w:r>
        <w:rPr>
          <w:b/>
          <w:sz w:val="20"/>
        </w:rPr>
        <w:t>Prepared Sample: </w:t>
      </w:r>
      <w:r>
        <w:rPr>
          <w:sz w:val="20"/>
        </w:rPr>
        <w:t>Remove the vial from the instrument.</w:t>
      </w:r>
      <w:r>
        <w:rPr>
          <w:spacing w:val="-20"/>
          <w:sz w:val="20"/>
        </w:rPr>
        <w:t> </w:t>
      </w:r>
      <w:r>
        <w:rPr>
          <w:sz w:val="20"/>
        </w:rPr>
        <w:t>Using</w:t>
      </w:r>
      <w:r>
        <w:rPr>
          <w:spacing w:val="-20"/>
          <w:sz w:val="20"/>
        </w:rPr>
        <w:t> </w:t>
      </w:r>
      <w:r>
        <w:rPr>
          <w:sz w:val="20"/>
        </w:rPr>
        <w:t>a</w:t>
      </w:r>
      <w:r>
        <w:rPr>
          <w:spacing w:val="-19"/>
          <w:sz w:val="20"/>
        </w:rPr>
        <w:t> </w:t>
      </w:r>
      <w:r>
        <w:rPr>
          <w:sz w:val="20"/>
        </w:rPr>
        <w:t>funnel, add the contents of one </w:t>
      </w:r>
      <w:r>
        <w:rPr>
          <w:spacing w:val="-3"/>
          <w:sz w:val="20"/>
        </w:rPr>
        <w:t>NitraVer </w:t>
      </w:r>
      <w:r>
        <w:rPr>
          <w:sz w:val="20"/>
        </w:rPr>
        <w:t>X Reagent B </w:t>
      </w:r>
      <w:r>
        <w:rPr>
          <w:spacing w:val="-3"/>
          <w:sz w:val="20"/>
        </w:rPr>
        <w:t>Powder </w:t>
      </w:r>
      <w:r>
        <w:rPr>
          <w:sz w:val="20"/>
        </w:rPr>
        <w:t>Pillow to the</w:t>
      </w:r>
      <w:r>
        <w:rPr>
          <w:spacing w:val="-4"/>
          <w:sz w:val="20"/>
        </w:rPr>
        <w:t> </w:t>
      </w:r>
      <w:r>
        <w:rPr>
          <w:sz w:val="20"/>
        </w:rPr>
        <w:t>vial.</w:t>
      </w:r>
    </w:p>
    <w:p>
      <w:pPr>
        <w:pStyle w:val="ListParagraph"/>
        <w:numPr>
          <w:ilvl w:val="0"/>
          <w:numId w:val="24"/>
        </w:numPr>
        <w:tabs>
          <w:tab w:pos="485" w:val="left" w:leader="none"/>
        </w:tabs>
        <w:spacing w:line="249" w:lineRule="auto" w:before="6" w:after="0"/>
        <w:ind w:left="124" w:right="0" w:firstLine="0"/>
        <w:jc w:val="left"/>
        <w:rPr>
          <w:sz w:val="20"/>
        </w:rPr>
      </w:pPr>
      <w:r>
        <w:rPr>
          <w:spacing w:val="-1"/>
          <w:w w:val="99"/>
          <w:sz w:val="20"/>
        </w:rPr>
        <w:br w:type="column"/>
      </w:r>
      <w:r>
        <w:rPr>
          <w:sz w:val="20"/>
        </w:rPr>
        <w:t>Cap and invert</w:t>
      </w:r>
      <w:r>
        <w:rPr>
          <w:spacing w:val="-11"/>
          <w:sz w:val="20"/>
        </w:rPr>
        <w:t> </w:t>
      </w:r>
      <w:r>
        <w:rPr>
          <w:sz w:val="20"/>
        </w:rPr>
        <w:t>ten times to</w:t>
      </w:r>
      <w:r>
        <w:rPr>
          <w:spacing w:val="-11"/>
          <w:sz w:val="20"/>
        </w:rPr>
        <w:t> </w:t>
      </w:r>
      <w:r>
        <w:rPr>
          <w:sz w:val="20"/>
        </w:rPr>
        <w:t>mix.</w:t>
      </w:r>
    </w:p>
    <w:p>
      <w:pPr>
        <w:spacing w:line="249" w:lineRule="auto" w:before="121"/>
        <w:ind w:left="124" w:right="0" w:firstLine="0"/>
        <w:jc w:val="left"/>
        <w:rPr>
          <w:sz w:val="20"/>
        </w:rPr>
      </w:pPr>
      <w:r>
        <w:rPr>
          <w:sz w:val="20"/>
        </w:rPr>
        <w:t>Some solid matter will not dissolve.</w:t>
      </w:r>
    </w:p>
    <w:p>
      <w:pPr>
        <w:pStyle w:val="ListParagraph"/>
        <w:numPr>
          <w:ilvl w:val="0"/>
          <w:numId w:val="24"/>
        </w:numPr>
        <w:tabs>
          <w:tab w:pos="485" w:val="left" w:leader="none"/>
        </w:tabs>
        <w:spacing w:line="240" w:lineRule="auto" w:before="6" w:after="0"/>
        <w:ind w:left="484" w:right="0" w:hanging="359"/>
        <w:jc w:val="left"/>
        <w:rPr>
          <w:sz w:val="20"/>
        </w:rPr>
      </w:pPr>
      <w:r>
        <w:rPr>
          <w:spacing w:val="1"/>
          <w:w w:val="99"/>
          <w:sz w:val="20"/>
        </w:rPr>
        <w:br w:type="column"/>
      </w:r>
      <w:r>
        <w:rPr>
          <w:sz w:val="20"/>
        </w:rPr>
        <w:t>Press</w:t>
      </w:r>
      <w:r>
        <w:rPr>
          <w:spacing w:val="-8"/>
          <w:sz w:val="20"/>
        </w:rPr>
        <w:t> </w:t>
      </w:r>
      <w:r>
        <w:rPr>
          <w:b/>
          <w:sz w:val="18"/>
        </w:rPr>
        <w:t>TIMER&gt;OK</w:t>
      </w:r>
      <w:r>
        <w:rPr>
          <w:sz w:val="20"/>
        </w:rPr>
        <w:t>.</w:t>
      </w:r>
    </w:p>
    <w:p>
      <w:pPr>
        <w:spacing w:line="249" w:lineRule="auto" w:before="130"/>
        <w:ind w:left="124" w:right="418" w:firstLine="0"/>
        <w:jc w:val="left"/>
        <w:rPr>
          <w:sz w:val="20"/>
        </w:rPr>
      </w:pPr>
      <w:r>
        <w:rPr>
          <w:sz w:val="20"/>
        </w:rPr>
        <w:t>A five-minute reaction period will begin. Do not invert the vial again.</w:t>
      </w:r>
    </w:p>
    <w:p>
      <w:pPr>
        <w:spacing w:line="249" w:lineRule="auto" w:before="121"/>
        <w:ind w:left="124" w:right="418" w:firstLine="0"/>
        <w:jc w:val="left"/>
        <w:rPr>
          <w:sz w:val="20"/>
        </w:rPr>
      </w:pPr>
      <w:r>
        <w:rPr>
          <w:sz w:val="20"/>
        </w:rPr>
        <w:t>A</w:t>
      </w:r>
      <w:r>
        <w:rPr>
          <w:spacing w:val="-24"/>
          <w:sz w:val="20"/>
        </w:rPr>
        <w:t> </w:t>
      </w:r>
      <w:r>
        <w:rPr>
          <w:spacing w:val="-2"/>
          <w:sz w:val="20"/>
        </w:rPr>
        <w:t>yellow</w:t>
      </w:r>
      <w:r>
        <w:rPr>
          <w:spacing w:val="-24"/>
          <w:sz w:val="20"/>
        </w:rPr>
        <w:t> </w:t>
      </w:r>
      <w:r>
        <w:rPr>
          <w:sz w:val="20"/>
        </w:rPr>
        <w:t>color</w:t>
      </w:r>
      <w:r>
        <w:rPr>
          <w:spacing w:val="-26"/>
          <w:sz w:val="20"/>
        </w:rPr>
        <w:t> </w:t>
      </w:r>
      <w:r>
        <w:rPr>
          <w:sz w:val="20"/>
        </w:rPr>
        <w:t>will</w:t>
      </w:r>
      <w:r>
        <w:rPr>
          <w:spacing w:val="-25"/>
          <w:sz w:val="20"/>
        </w:rPr>
        <w:t> </w:t>
      </w:r>
      <w:r>
        <w:rPr>
          <w:spacing w:val="-3"/>
          <w:sz w:val="20"/>
        </w:rPr>
        <w:t>develop</w:t>
      </w:r>
      <w:r>
        <w:rPr>
          <w:spacing w:val="-25"/>
          <w:sz w:val="20"/>
        </w:rPr>
        <w:t> </w:t>
      </w:r>
      <w:r>
        <w:rPr>
          <w:sz w:val="20"/>
        </w:rPr>
        <w:t>if nitrate is</w:t>
      </w:r>
      <w:r>
        <w:rPr>
          <w:spacing w:val="-29"/>
          <w:sz w:val="20"/>
        </w:rPr>
        <w:t> </w:t>
      </w:r>
      <w:r>
        <w:rPr>
          <w:sz w:val="20"/>
        </w:rPr>
        <w:t>present.</w:t>
      </w:r>
    </w:p>
    <w:p>
      <w:pPr>
        <w:spacing w:after="0" w:line="249" w:lineRule="auto"/>
        <w:jc w:val="left"/>
        <w:rPr>
          <w:sz w:val="20"/>
        </w:rPr>
        <w:sectPr>
          <w:type w:val="continuous"/>
          <w:pgSz w:w="11900" w:h="15840"/>
          <w:pgMar w:top="0" w:bottom="0" w:left="600" w:right="720"/>
          <w:cols w:num="4" w:equalWidth="0">
            <w:col w:w="2102" w:space="464"/>
            <w:col w:w="2455" w:space="110"/>
            <w:col w:w="2118" w:space="447"/>
            <w:col w:w="2884"/>
          </w:cols>
        </w:sectPr>
      </w:pPr>
    </w:p>
    <w:p>
      <w:pPr>
        <w:pStyle w:val="BodyText"/>
        <w:spacing w:before="8"/>
        <w:rPr>
          <w:sz w:val="25"/>
        </w:rPr>
      </w:pPr>
    </w:p>
    <w:p>
      <w:pPr>
        <w:pStyle w:val="BodyText"/>
        <w:ind w:left="124"/>
        <w:rPr>
          <w:sz w:val="20"/>
        </w:rPr>
      </w:pPr>
      <w:r>
        <w:rPr>
          <w:sz w:val="20"/>
        </w:rPr>
        <w:pict>
          <v:group style="width:122.5pt;height:122.4pt;mso-position-horizontal-relative:char;mso-position-vertical-relative:line" coordorigin="0,0" coordsize="2450,2448">
            <v:shape style="position:absolute;left:470;top:542;width:427;height:823" coordorigin="470,542" coordsize="427,823" path="m490,548l470,894,749,1365,744,1308,744,1236,749,1150,759,1056,774,957,794,852,817,755,843,669,870,596,896,542,850,549,794,554,732,558,666,558,620,557,576,555,532,552,490,548xe" filled="false" stroked="true" strokeweight=".792pt" strokecolor="#231f20">
              <v:path arrowok="t"/>
            </v:shape>
            <v:shape style="position:absolute;left:239;top:312;width:559;height:1216" coordorigin="239,312" coordsize="559,1216" path="m338,312l282,332,239,410,614,1464,633,1496,662,1518,698,1527,735,1521,767,1502,789,1473,798,1438,794,1402,419,345,396,326,368,315,338,312xe" filled="true" fillcolor="#ffffff" stroked="false">
              <v:path arrowok="t"/>
              <v:fill type="solid"/>
            </v:shape>
            <v:shape style="position:absolute;left:239;top:312;width:559;height:1216" coordorigin="239,312" coordsize="559,1216" path="m794,1402l419,345,396,326,368,315,338,312,309,318,282,332,261,353,246,380,239,410,614,1464,633,1496,662,1518,698,1527,735,1521,767,1502,789,1473,798,1438,794,1402xe" filled="false" stroked="true" strokeweight="1.08pt" strokecolor="#231f20">
              <v:path arrowok="t"/>
            </v:shape>
            <v:shape style="position:absolute;left:165;top:156;width:250;height:222" type="#_x0000_t75" stroked="false">
              <v:imagedata r:id="rId216" o:title=""/>
            </v:shape>
            <v:shape style="position:absolute;left:221;top:535;width:609;height:895" coordorigin="221,535" coordsize="609,895" path="m286,544l222,1238,233,1267,271,1298,332,1328,414,1357,511,1382,620,1402,629,1403,643,1407,663,1415,693,1429,687,1406,681,1344,678,1252,682,1139,693,1013,713,892,739,791,768,715,799,672,830,666,804,650,774,635,741,623,706,614,680,609,655,605,634,603,618,603,618,601,597,600,579,600,398,591,397,591,345,591,315,585,297,575,290,560,288,549,286,544xm221,1235l222,1238,222,1236,221,1235xm395,588l391,590,388,590,345,591,397,591,395,588xm283,535l286,544,287,538,283,535xe" filled="true" fillcolor="#ffffff" stroked="false">
              <v:path arrowok="t"/>
              <v:fill type="solid"/>
            </v:shape>
            <v:shape style="position:absolute;left:221;top:535;width:609;height:895" coordorigin="221,535" coordsize="609,895" path="m222,1238l287,538,283,535,288,549,290,560,297,575,315,585,345,591,388,590,391,590,395,588,398,591,441,593,486,596,533,598,579,600,597,600,618,601,618,603,634,603,706,614,774,635,830,666,799,672,768,715,739,791,713,892,693,1013,682,1139,678,1252,681,1344,687,1406,693,1429,663,1415,643,1407,629,1403,620,1402,511,1382,414,1357,332,1328,271,1298,222,1238,222,1236,221,1235,222,1238xe" filled="false" stroked="true" strokeweight=".792pt" strokecolor="#231f20">
              <v:path arrowok="t"/>
            </v:shape>
            <v:rect style="position:absolute;left:120;top:0;width:2329;height:120" filled="true" fillcolor="#b3b3b3" stroked="false">
              <v:fill type="solid"/>
            </v:rect>
            <v:shape style="position:absolute;left:1050;top:1013;width:1210;height:1216" coordorigin="1050,1013" coordsize="1210,1216" path="m2259,1849l1050,1849,1654,2229,2259,1849xm2038,1013l1271,1013,1271,1849,2038,1849,2038,1013xe" filled="true" fillcolor="#231f20" stroked="false">
              <v:path arrowok="t"/>
              <v:fill type="solid"/>
            </v:shape>
            <v:shape style="position:absolute;left:1555;top:1145;width:196;height:161" coordorigin="1555,1145" coordsize="196,161" path="m1750,1145l1556,1145,1555,1306,1751,1306,1750,1145xe" filled="true" fillcolor="#ffffff" stroked="false">
              <v:path arrowok="t"/>
              <v:fill type="solid"/>
            </v:shape>
            <v:shape style="position:absolute;left:1546;top:1209;width:217;height:896" coordorigin="1546,1209" coordsize="217,896" path="m1711,1209l1600,1209,1601,1273,1580,1281,1562,1294,1551,1311,1547,1330,1546,2009,1553,2039,1573,2070,1606,2094,1654,2104,1702,2096,1736,2073,1756,2043,1763,2009,1762,1330,1758,1313,1747,1296,1731,1282,1710,1273,1711,1209xe" filled="true" fillcolor="#ffffff" stroked="false">
              <v:path arrowok="t"/>
              <v:fill type="solid"/>
            </v:shape>
            <v:shape style="position:absolute;left:1564;top:1230;width:181;height:853" coordorigin="1564,1230" coordsize="181,853" path="m1702,1230l1609,1230,1610,1291,1592,1299,1578,1311,1568,1327,1565,1346,1564,1992,1570,2021,1586,2050,1614,2074,1654,2083,1694,2075,1722,2054,1739,2024,1745,1992,1744,1346,1741,1329,1732,1313,1718,1300,1701,1291,1702,1230xe" filled="true" fillcolor="#231f20" stroked="false">
              <v:path arrowok="t"/>
              <v:fill type="solid"/>
            </v:shape>
            <v:shape style="position:absolute;left:1584;top:1249;width:141;height:811" coordorigin="1584,1249" coordsize="141,811" path="m1683,1249l1624,1249,1624,1307,1608,1311,1595,1320,1588,1334,1584,1354,1585,1989,1589,2010,1602,2033,1624,2052,1654,2059,1686,2053,1708,2037,1721,2014,1725,1989,1725,1354,1721,1334,1711,1320,1698,1311,1683,1306,1683,1249xe" filled="true" fillcolor="#ffffff" stroked="false">
              <v:path arrowok="t"/>
              <v:fill type="solid"/>
            </v:shape>
            <v:shape style="position:absolute;left:1584;top:1249;width:141;height:811" coordorigin="1584,1249" coordsize="141,811" path="m1624,1307l1608,1311,1595,1320,1588,1334,1584,1354,1585,1989,1589,2010,1602,2033,1624,2052,1654,2059,1686,2053,1708,2037,1721,2014,1725,1989,1725,1354,1721,1334,1711,1320,1698,1311,1683,1306,1683,1249,1624,1249,1624,1307xe" filled="false" stroked="true" strokeweight=".4pt" strokecolor="#231f20">
              <v:path arrowok="t"/>
            </v:shape>
            <v:shape style="position:absolute;left:1571;top:1159;width:163;height:133" type="#_x0000_t75" stroked="false">
              <v:imagedata r:id="rId190" o:title=""/>
            </v:shape>
            <v:rect style="position:absolute;left:2329;top:60;width:120;height:2388" filled="true" fillcolor="#b3b3b3" stroked="false">
              <v:fill type="solid"/>
            </v:rect>
            <v:rect style="position:absolute;left:0;top:2328;width:2389;height:120" filled="true" fillcolor="#b3b3b3" stroked="false">
              <v:fill type="solid"/>
            </v:rect>
            <v:rect style="position:absolute;left:0;top:0;width:120;height:2388" filled="true" fillcolor="#b3b3b3" stroked="false">
              <v:fill type="solid"/>
            </v:rect>
          </v:group>
        </w:pict>
      </w:r>
      <w:r>
        <w:rPr>
          <w:sz w:val="20"/>
        </w:rPr>
      </w:r>
    </w:p>
    <w:p>
      <w:pPr>
        <w:pStyle w:val="ListParagraph"/>
        <w:numPr>
          <w:ilvl w:val="0"/>
          <w:numId w:val="24"/>
        </w:numPr>
        <w:tabs>
          <w:tab w:pos="486" w:val="left" w:leader="none"/>
        </w:tabs>
        <w:spacing w:line="249" w:lineRule="auto" w:before="79" w:after="0"/>
        <w:ind w:left="124" w:right="8153" w:firstLine="0"/>
        <w:jc w:val="left"/>
        <w:rPr>
          <w:sz w:val="20"/>
        </w:rPr>
      </w:pPr>
      <w:r>
        <w:rPr>
          <w:b/>
          <w:sz w:val="20"/>
        </w:rPr>
        <w:t>Within five minutes </w:t>
      </w:r>
      <w:r>
        <w:rPr>
          <w:sz w:val="20"/>
        </w:rPr>
        <w:t>after the timer expires, wipe the prepared</w:t>
      </w:r>
      <w:r>
        <w:rPr>
          <w:spacing w:val="-14"/>
          <w:sz w:val="20"/>
        </w:rPr>
        <w:t> </w:t>
      </w:r>
      <w:r>
        <w:rPr>
          <w:sz w:val="20"/>
        </w:rPr>
        <w:t>sample and insert it into the cell holder.</w:t>
      </w:r>
    </w:p>
    <w:p>
      <w:pPr>
        <w:spacing w:line="249" w:lineRule="auto" w:before="121"/>
        <w:ind w:left="124" w:right="8364" w:firstLine="0"/>
        <w:jc w:val="left"/>
        <w:rPr>
          <w:sz w:val="20"/>
        </w:rPr>
      </w:pPr>
      <w:r>
        <w:rPr/>
        <w:pict>
          <v:shape style="position:absolute;margin-left:55.616879pt;margin-top:18.434576pt;width:4.45pt;height:8pt;mso-position-horizontal-relative:page;mso-position-vertical-relative:paragraph;z-index:-1518976" type="#_x0000_t202" filled="false" stroked="false">
            <v:textbox inset="0,0,0,0">
              <w:txbxContent>
                <w:p>
                  <w:pPr>
                    <w:spacing w:line="160" w:lineRule="exact" w:before="0"/>
                    <w:ind w:left="0" w:right="0" w:firstLine="0"/>
                    <w:jc w:val="left"/>
                    <w:rPr>
                      <w:sz w:val="16"/>
                    </w:rPr>
                  </w:pPr>
                  <w:r>
                    <w:rPr>
                      <w:w w:val="99"/>
                      <w:sz w:val="16"/>
                    </w:rPr>
                    <w:t>–</w:t>
                  </w:r>
                </w:p>
              </w:txbxContent>
            </v:textbox>
            <w10:wrap type="none"/>
          </v:shape>
        </w:pict>
      </w:r>
      <w:r>
        <w:rPr>
          <w:sz w:val="20"/>
        </w:rPr>
        <w:t>Results are in mg/L NO</w:t>
      </w:r>
      <w:r>
        <w:rPr>
          <w:position w:val="-4"/>
          <w:sz w:val="16"/>
        </w:rPr>
        <w:t>3  </w:t>
      </w:r>
      <w:r>
        <w:rPr>
          <w:sz w:val="20"/>
        </w:rPr>
        <w:t>–N.</w:t>
      </w:r>
    </w:p>
    <w:p>
      <w:pPr>
        <w:pStyle w:val="BodyText"/>
        <w:spacing w:before="5"/>
        <w:rPr>
          <w:sz w:val="13"/>
        </w:rPr>
      </w:pPr>
      <w:r>
        <w:rPr/>
        <w:pict>
          <v:group style="position:absolute;margin-left:35.715pt;margin-top:9.71243pt;width:505.15pt;height:1.05pt;mso-position-horizontal-relative:page;mso-position-vertical-relative:paragraph;z-index:12472;mso-wrap-distance-left:0;mso-wrap-distance-right:0" coordorigin="714,194" coordsize="10103,21">
            <v:line style="position:absolute" from="725,205" to="725,205" stroked="true" strokeweight="1.02pt" strokecolor="#000000"/>
            <v:line style="position:absolute" from="725,205" to="10806,205" stroked="true" strokeweight="1.02pt" strokecolor="#000000"/>
            <w10:wrap type="topAndBottom"/>
          </v:group>
        </w:pict>
      </w:r>
    </w:p>
    <w:p>
      <w:pPr>
        <w:pStyle w:val="BodyText"/>
        <w:rPr>
          <w:sz w:val="27"/>
        </w:rPr>
      </w:pPr>
    </w:p>
    <w:p>
      <w:pPr>
        <w:spacing w:after="0"/>
        <w:rPr>
          <w:sz w:val="27"/>
        </w:rPr>
        <w:sectPr>
          <w:type w:val="continuous"/>
          <w:pgSz w:w="11900" w:h="15840"/>
          <w:pgMar w:top="0" w:bottom="0" w:left="600" w:right="720"/>
        </w:sectPr>
      </w:pPr>
    </w:p>
    <w:p>
      <w:pPr>
        <w:pStyle w:val="Heading3"/>
        <w:spacing w:before="64"/>
        <w:ind w:left="124" w:right="-11"/>
      </w:pPr>
      <w:r>
        <w:rPr>
          <w:spacing w:val="-1"/>
        </w:rPr>
        <w:t>Interferences</w:t>
      </w:r>
    </w:p>
    <w:p>
      <w:pPr>
        <w:pStyle w:val="BodyText"/>
        <w:rPr>
          <w:b/>
          <w:sz w:val="20"/>
        </w:rPr>
      </w:pPr>
      <w:r>
        <w:rPr/>
        <w:br w:type="column"/>
      </w:r>
      <w:r>
        <w:rPr>
          <w:b/>
          <w:sz w:val="20"/>
        </w:rPr>
      </w:r>
    </w:p>
    <w:p>
      <w:pPr>
        <w:pStyle w:val="BodyText"/>
        <w:spacing w:before="8"/>
        <w:rPr>
          <w:b/>
          <w:sz w:val="25"/>
        </w:rPr>
      </w:pPr>
    </w:p>
    <w:p>
      <w:pPr>
        <w:spacing w:before="0"/>
        <w:ind w:left="124" w:right="0" w:firstLine="0"/>
        <w:jc w:val="left"/>
        <w:rPr>
          <w:b/>
          <w:sz w:val="20"/>
        </w:rPr>
      </w:pPr>
      <w:r>
        <w:rPr>
          <w:b/>
          <w:sz w:val="20"/>
        </w:rPr>
        <w:t>Table  1 Interfering Substances and Levels</w:t>
      </w:r>
    </w:p>
    <w:p>
      <w:pPr>
        <w:spacing w:after="0"/>
        <w:jc w:val="left"/>
        <w:rPr>
          <w:sz w:val="20"/>
        </w:rPr>
        <w:sectPr>
          <w:type w:val="continuous"/>
          <w:pgSz w:w="11900" w:h="15840"/>
          <w:pgMar w:top="0" w:bottom="0" w:left="600" w:right="720"/>
          <w:cols w:num="2" w:equalWidth="0">
            <w:col w:w="1879" w:space="1272"/>
            <w:col w:w="7429"/>
          </w:cols>
        </w:sectPr>
      </w:pPr>
    </w:p>
    <w:p>
      <w:pPr>
        <w:pStyle w:val="BodyText"/>
        <w:spacing w:before="8"/>
        <w:rPr>
          <w:b/>
          <w:sz w:val="8"/>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1"/>
        <w:gridCol w:w="7812"/>
      </w:tblGrid>
      <w:tr>
        <w:trPr>
          <w:trHeight w:val="300" w:hRule="exact"/>
        </w:trPr>
        <w:tc>
          <w:tcPr>
            <w:tcW w:w="2521" w:type="dxa"/>
          </w:tcPr>
          <w:p>
            <w:pPr>
              <w:pStyle w:val="TableParagraph"/>
              <w:spacing w:before="25"/>
              <w:ind w:left="75" w:right="474"/>
              <w:jc w:val="left"/>
              <w:rPr>
                <w:rFonts w:ascii="Arial"/>
                <w:sz w:val="18"/>
              </w:rPr>
            </w:pPr>
            <w:r>
              <w:rPr>
                <w:rFonts w:ascii="Arial"/>
                <w:sz w:val="18"/>
              </w:rPr>
              <w:t>Interfering Substance</w:t>
            </w:r>
          </w:p>
        </w:tc>
        <w:tc>
          <w:tcPr>
            <w:tcW w:w="7812" w:type="dxa"/>
          </w:tcPr>
          <w:p>
            <w:pPr>
              <w:pStyle w:val="TableParagraph"/>
              <w:spacing w:before="25"/>
              <w:ind w:left="73" w:right="0"/>
              <w:jc w:val="left"/>
              <w:rPr>
                <w:rFonts w:ascii="Arial"/>
                <w:sz w:val="18"/>
              </w:rPr>
            </w:pPr>
            <w:r>
              <w:rPr>
                <w:rFonts w:ascii="Arial"/>
                <w:sz w:val="18"/>
              </w:rPr>
              <w:t>Interference Levels and Treatments</w:t>
            </w:r>
          </w:p>
        </w:tc>
      </w:tr>
      <w:tr>
        <w:trPr>
          <w:trHeight w:val="300" w:hRule="exact"/>
        </w:trPr>
        <w:tc>
          <w:tcPr>
            <w:tcW w:w="2521" w:type="dxa"/>
          </w:tcPr>
          <w:p>
            <w:pPr>
              <w:pStyle w:val="TableParagraph"/>
              <w:spacing w:before="25"/>
              <w:ind w:left="75" w:right="474"/>
              <w:jc w:val="left"/>
              <w:rPr>
                <w:rFonts w:ascii="Arial"/>
                <w:sz w:val="18"/>
              </w:rPr>
            </w:pPr>
            <w:r>
              <w:rPr>
                <w:rFonts w:ascii="Arial"/>
                <w:sz w:val="18"/>
              </w:rPr>
              <w:t>Barium</w:t>
            </w:r>
          </w:p>
        </w:tc>
        <w:tc>
          <w:tcPr>
            <w:tcW w:w="7812" w:type="dxa"/>
          </w:tcPr>
          <w:p>
            <w:pPr>
              <w:pStyle w:val="TableParagraph"/>
              <w:spacing w:before="25"/>
              <w:ind w:left="74" w:right="0"/>
              <w:jc w:val="left"/>
              <w:rPr>
                <w:rFonts w:ascii="Arial"/>
                <w:sz w:val="18"/>
              </w:rPr>
            </w:pPr>
            <w:r>
              <w:rPr>
                <w:rFonts w:ascii="Arial"/>
                <w:sz w:val="18"/>
              </w:rPr>
              <w:t>A negative interference at concentrations greater than 1 mg/L.</w:t>
            </w:r>
          </w:p>
        </w:tc>
      </w:tr>
      <w:tr>
        <w:trPr>
          <w:trHeight w:val="300" w:hRule="exact"/>
        </w:trPr>
        <w:tc>
          <w:tcPr>
            <w:tcW w:w="2521" w:type="dxa"/>
          </w:tcPr>
          <w:p>
            <w:pPr>
              <w:pStyle w:val="TableParagraph"/>
              <w:spacing w:before="25"/>
              <w:ind w:left="75" w:right="474"/>
              <w:jc w:val="left"/>
              <w:rPr>
                <w:rFonts w:ascii="Arial"/>
                <w:sz w:val="18"/>
              </w:rPr>
            </w:pPr>
            <w:r>
              <w:rPr>
                <w:rFonts w:ascii="Arial"/>
                <w:sz w:val="18"/>
              </w:rPr>
              <w:t>Chloride</w:t>
            </w:r>
          </w:p>
        </w:tc>
        <w:tc>
          <w:tcPr>
            <w:tcW w:w="7812" w:type="dxa"/>
          </w:tcPr>
          <w:p>
            <w:pPr>
              <w:pStyle w:val="TableParagraph"/>
              <w:spacing w:before="25"/>
              <w:ind w:left="74" w:right="0"/>
              <w:jc w:val="left"/>
              <w:rPr>
                <w:rFonts w:ascii="Arial"/>
                <w:sz w:val="18"/>
              </w:rPr>
            </w:pPr>
            <w:r>
              <w:rPr>
                <w:rFonts w:ascii="Arial"/>
                <w:sz w:val="18"/>
              </w:rPr>
              <w:t>Does not interfere below 1000 mg/L.</w:t>
            </w:r>
          </w:p>
        </w:tc>
      </w:tr>
      <w:tr>
        <w:trPr>
          <w:trHeight w:val="739" w:hRule="exact"/>
        </w:trPr>
        <w:tc>
          <w:tcPr>
            <w:tcW w:w="2521" w:type="dxa"/>
          </w:tcPr>
          <w:p>
            <w:pPr>
              <w:pStyle w:val="TableParagraph"/>
              <w:spacing w:before="4"/>
              <w:ind w:right="0"/>
              <w:jc w:val="left"/>
              <w:rPr>
                <w:rFonts w:ascii="Arial"/>
                <w:b/>
                <w:sz w:val="21"/>
              </w:rPr>
            </w:pPr>
          </w:p>
          <w:p>
            <w:pPr>
              <w:pStyle w:val="TableParagraph"/>
              <w:spacing w:before="1"/>
              <w:ind w:left="75" w:right="474"/>
              <w:jc w:val="left"/>
              <w:rPr>
                <w:rFonts w:ascii="Arial"/>
                <w:sz w:val="18"/>
              </w:rPr>
            </w:pPr>
            <w:r>
              <w:rPr>
                <w:rFonts w:ascii="Arial"/>
                <w:sz w:val="18"/>
              </w:rPr>
              <w:t>Nitrite</w:t>
            </w:r>
          </w:p>
        </w:tc>
        <w:tc>
          <w:tcPr>
            <w:tcW w:w="7812" w:type="dxa"/>
          </w:tcPr>
          <w:p>
            <w:pPr>
              <w:pStyle w:val="TableParagraph"/>
              <w:spacing w:line="247" w:lineRule="auto" w:before="25"/>
              <w:ind w:left="74" w:right="122"/>
              <w:jc w:val="both"/>
              <w:rPr>
                <w:rFonts w:ascii="Arial"/>
                <w:sz w:val="18"/>
              </w:rPr>
            </w:pPr>
            <w:r>
              <w:rPr>
                <w:rFonts w:ascii="Arial"/>
                <w:sz w:val="18"/>
              </w:rPr>
              <w:t>A</w:t>
            </w:r>
            <w:r>
              <w:rPr>
                <w:rFonts w:ascii="Arial"/>
                <w:spacing w:val="-6"/>
                <w:sz w:val="18"/>
              </w:rPr>
              <w:t> </w:t>
            </w:r>
            <w:r>
              <w:rPr>
                <w:rFonts w:ascii="Arial"/>
                <w:sz w:val="18"/>
              </w:rPr>
              <w:t>positive</w:t>
            </w:r>
            <w:r>
              <w:rPr>
                <w:rFonts w:ascii="Arial"/>
                <w:spacing w:val="-7"/>
                <w:sz w:val="18"/>
              </w:rPr>
              <w:t> </w:t>
            </w:r>
            <w:r>
              <w:rPr>
                <w:rFonts w:ascii="Arial"/>
                <w:sz w:val="18"/>
              </w:rPr>
              <w:t>interference</w:t>
            </w:r>
            <w:r>
              <w:rPr>
                <w:rFonts w:ascii="Arial"/>
                <w:spacing w:val="-6"/>
                <w:sz w:val="18"/>
              </w:rPr>
              <w:t> </w:t>
            </w:r>
            <w:r>
              <w:rPr>
                <w:rFonts w:ascii="Arial"/>
                <w:sz w:val="18"/>
              </w:rPr>
              <w:t>at</w:t>
            </w:r>
            <w:r>
              <w:rPr>
                <w:rFonts w:ascii="Arial"/>
                <w:spacing w:val="-8"/>
                <w:sz w:val="18"/>
              </w:rPr>
              <w:t> </w:t>
            </w:r>
            <w:r>
              <w:rPr>
                <w:rFonts w:ascii="Arial"/>
                <w:sz w:val="18"/>
              </w:rPr>
              <w:t>concentrations</w:t>
            </w:r>
            <w:r>
              <w:rPr>
                <w:rFonts w:ascii="Arial"/>
                <w:spacing w:val="-6"/>
                <w:sz w:val="18"/>
              </w:rPr>
              <w:t> </w:t>
            </w:r>
            <w:r>
              <w:rPr>
                <w:rFonts w:ascii="Arial"/>
                <w:sz w:val="18"/>
              </w:rPr>
              <w:t>greater</w:t>
            </w:r>
            <w:r>
              <w:rPr>
                <w:rFonts w:ascii="Arial"/>
                <w:spacing w:val="-8"/>
                <w:sz w:val="18"/>
              </w:rPr>
              <w:t> </w:t>
            </w:r>
            <w:r>
              <w:rPr>
                <w:rFonts w:ascii="Arial"/>
                <w:sz w:val="18"/>
              </w:rPr>
              <w:t>than</w:t>
            </w:r>
            <w:r>
              <w:rPr>
                <w:rFonts w:ascii="Arial"/>
                <w:spacing w:val="-8"/>
                <w:sz w:val="18"/>
              </w:rPr>
              <w:t> </w:t>
            </w:r>
            <w:r>
              <w:rPr>
                <w:rFonts w:ascii="Arial"/>
                <w:sz w:val="18"/>
              </w:rPr>
              <w:t>12</w:t>
            </w:r>
            <w:r>
              <w:rPr>
                <w:rFonts w:ascii="Arial"/>
                <w:spacing w:val="-7"/>
                <w:sz w:val="18"/>
              </w:rPr>
              <w:t> </w:t>
            </w:r>
            <w:r>
              <w:rPr>
                <w:rFonts w:ascii="Arial"/>
                <w:sz w:val="18"/>
              </w:rPr>
              <w:t>mg/L.</w:t>
            </w:r>
            <w:r>
              <w:rPr>
                <w:rFonts w:ascii="Arial"/>
                <w:spacing w:val="-6"/>
                <w:sz w:val="18"/>
              </w:rPr>
              <w:t> </w:t>
            </w:r>
            <w:r>
              <w:rPr>
                <w:rFonts w:ascii="Arial"/>
                <w:sz w:val="18"/>
              </w:rPr>
              <w:t>Remove</w:t>
            </w:r>
            <w:r>
              <w:rPr>
                <w:rFonts w:ascii="Arial"/>
                <w:spacing w:val="-7"/>
                <w:sz w:val="18"/>
              </w:rPr>
              <w:t> </w:t>
            </w:r>
            <w:r>
              <w:rPr>
                <w:rFonts w:ascii="Arial"/>
                <w:sz w:val="18"/>
              </w:rPr>
              <w:t>nitrite</w:t>
            </w:r>
            <w:r>
              <w:rPr>
                <w:rFonts w:ascii="Arial"/>
                <w:spacing w:val="-8"/>
                <w:sz w:val="18"/>
              </w:rPr>
              <w:t> </w:t>
            </w:r>
            <w:r>
              <w:rPr>
                <w:rFonts w:ascii="Arial"/>
                <w:sz w:val="18"/>
              </w:rPr>
              <w:t>interference</w:t>
            </w:r>
            <w:r>
              <w:rPr>
                <w:rFonts w:ascii="Arial"/>
                <w:spacing w:val="-6"/>
                <w:sz w:val="18"/>
              </w:rPr>
              <w:t> </w:t>
            </w:r>
            <w:r>
              <w:rPr>
                <w:rFonts w:ascii="Arial"/>
                <w:sz w:val="18"/>
              </w:rPr>
              <w:t>up</w:t>
            </w:r>
            <w:r>
              <w:rPr>
                <w:rFonts w:ascii="Arial"/>
                <w:spacing w:val="-6"/>
                <w:sz w:val="18"/>
              </w:rPr>
              <w:t> </w:t>
            </w:r>
            <w:r>
              <w:rPr>
                <w:rFonts w:ascii="Arial"/>
                <w:sz w:val="18"/>
              </w:rPr>
              <w:t>to 100</w:t>
            </w:r>
            <w:r>
              <w:rPr>
                <w:rFonts w:ascii="Arial"/>
                <w:spacing w:val="-5"/>
                <w:sz w:val="18"/>
              </w:rPr>
              <w:t> </w:t>
            </w:r>
            <w:r>
              <w:rPr>
                <w:rFonts w:ascii="Arial"/>
                <w:sz w:val="18"/>
              </w:rPr>
              <w:t>mg/L</w:t>
            </w:r>
            <w:r>
              <w:rPr>
                <w:rFonts w:ascii="Arial"/>
                <w:spacing w:val="-5"/>
                <w:sz w:val="18"/>
              </w:rPr>
              <w:t> </w:t>
            </w:r>
            <w:r>
              <w:rPr>
                <w:rFonts w:ascii="Arial"/>
                <w:sz w:val="18"/>
              </w:rPr>
              <w:t>by</w:t>
            </w:r>
            <w:r>
              <w:rPr>
                <w:rFonts w:ascii="Arial"/>
                <w:spacing w:val="-6"/>
                <w:sz w:val="18"/>
              </w:rPr>
              <w:t> </w:t>
            </w:r>
            <w:r>
              <w:rPr>
                <w:rFonts w:ascii="Arial"/>
                <w:sz w:val="18"/>
              </w:rPr>
              <w:t>adding</w:t>
            </w:r>
            <w:r>
              <w:rPr>
                <w:rFonts w:ascii="Arial"/>
                <w:spacing w:val="-5"/>
                <w:sz w:val="18"/>
              </w:rPr>
              <w:t> </w:t>
            </w:r>
            <w:r>
              <w:rPr>
                <w:rFonts w:ascii="Arial"/>
                <w:sz w:val="18"/>
              </w:rPr>
              <w:t>400</w:t>
            </w:r>
            <w:r>
              <w:rPr>
                <w:rFonts w:ascii="Arial"/>
                <w:spacing w:val="-5"/>
                <w:sz w:val="18"/>
              </w:rPr>
              <w:t> </w:t>
            </w:r>
            <w:r>
              <w:rPr>
                <w:rFonts w:ascii="Arial"/>
                <w:sz w:val="18"/>
              </w:rPr>
              <w:t>mg</w:t>
            </w:r>
            <w:r>
              <w:rPr>
                <w:rFonts w:ascii="Arial"/>
                <w:spacing w:val="-5"/>
                <w:sz w:val="18"/>
              </w:rPr>
              <w:t> </w:t>
            </w:r>
            <w:r>
              <w:rPr>
                <w:rFonts w:ascii="Arial"/>
                <w:sz w:val="18"/>
              </w:rPr>
              <w:t>(one</w:t>
            </w:r>
            <w:r>
              <w:rPr>
                <w:rFonts w:ascii="Arial"/>
                <w:spacing w:val="-4"/>
                <w:sz w:val="18"/>
              </w:rPr>
              <w:t> </w:t>
            </w:r>
            <w:r>
              <w:rPr>
                <w:rFonts w:ascii="Arial"/>
                <w:sz w:val="18"/>
              </w:rPr>
              <w:t>full</w:t>
            </w:r>
            <w:r>
              <w:rPr>
                <w:rFonts w:ascii="Arial"/>
                <w:spacing w:val="-5"/>
                <w:sz w:val="18"/>
              </w:rPr>
              <w:t> </w:t>
            </w:r>
            <w:r>
              <w:rPr>
                <w:rFonts w:ascii="Arial"/>
                <w:sz w:val="18"/>
              </w:rPr>
              <w:t>0.5</w:t>
            </w:r>
            <w:r>
              <w:rPr>
                <w:rFonts w:ascii="Arial"/>
                <w:spacing w:val="-5"/>
                <w:sz w:val="18"/>
              </w:rPr>
              <w:t> </w:t>
            </w:r>
            <w:r>
              <w:rPr>
                <w:rFonts w:ascii="Arial"/>
                <w:sz w:val="18"/>
              </w:rPr>
              <w:t>g</w:t>
            </w:r>
            <w:r>
              <w:rPr>
                <w:rFonts w:ascii="Arial"/>
                <w:spacing w:val="-4"/>
                <w:sz w:val="18"/>
              </w:rPr>
              <w:t> </w:t>
            </w:r>
            <w:r>
              <w:rPr>
                <w:rFonts w:ascii="Arial"/>
                <w:sz w:val="18"/>
              </w:rPr>
              <w:t>measuring</w:t>
            </w:r>
            <w:r>
              <w:rPr>
                <w:rFonts w:ascii="Arial"/>
                <w:spacing w:val="-5"/>
                <w:sz w:val="18"/>
              </w:rPr>
              <w:t> </w:t>
            </w:r>
            <w:r>
              <w:rPr>
                <w:rFonts w:ascii="Arial"/>
                <w:sz w:val="18"/>
              </w:rPr>
              <w:t>spoon)</w:t>
            </w:r>
            <w:r>
              <w:rPr>
                <w:rFonts w:ascii="Arial"/>
                <w:spacing w:val="-5"/>
                <w:sz w:val="18"/>
              </w:rPr>
              <w:t> </w:t>
            </w:r>
            <w:r>
              <w:rPr>
                <w:rFonts w:ascii="Arial"/>
                <w:sz w:val="18"/>
              </w:rPr>
              <w:t>of</w:t>
            </w:r>
            <w:r>
              <w:rPr>
                <w:rFonts w:ascii="Arial"/>
                <w:spacing w:val="-5"/>
                <w:sz w:val="18"/>
              </w:rPr>
              <w:t> </w:t>
            </w:r>
            <w:r>
              <w:rPr>
                <w:rFonts w:ascii="Arial"/>
                <w:sz w:val="18"/>
              </w:rPr>
              <w:t>Urea</w:t>
            </w:r>
            <w:r>
              <w:rPr>
                <w:rFonts w:ascii="Arial"/>
                <w:position w:val="5"/>
                <w:sz w:val="14"/>
              </w:rPr>
              <w:t>1</w:t>
            </w:r>
            <w:r>
              <w:rPr>
                <w:rFonts w:ascii="Arial"/>
                <w:spacing w:val="7"/>
                <w:position w:val="5"/>
                <w:sz w:val="14"/>
              </w:rPr>
              <w:t> </w:t>
            </w:r>
            <w:r>
              <w:rPr>
                <w:rFonts w:ascii="Arial"/>
                <w:sz w:val="18"/>
              </w:rPr>
              <w:t>to</w:t>
            </w:r>
            <w:r>
              <w:rPr>
                <w:rFonts w:ascii="Arial"/>
                <w:spacing w:val="-5"/>
                <w:sz w:val="18"/>
              </w:rPr>
              <w:t> </w:t>
            </w:r>
            <w:r>
              <w:rPr>
                <w:rFonts w:ascii="Arial"/>
                <w:sz w:val="18"/>
              </w:rPr>
              <w:t>10</w:t>
            </w:r>
            <w:r>
              <w:rPr>
                <w:rFonts w:ascii="Arial"/>
                <w:spacing w:val="-4"/>
                <w:sz w:val="18"/>
              </w:rPr>
              <w:t> </w:t>
            </w:r>
            <w:r>
              <w:rPr>
                <w:rFonts w:ascii="Arial"/>
                <w:sz w:val="18"/>
              </w:rPr>
              <w:t>mL</w:t>
            </w:r>
            <w:r>
              <w:rPr>
                <w:rFonts w:ascii="Arial"/>
                <w:spacing w:val="-4"/>
                <w:sz w:val="18"/>
              </w:rPr>
              <w:t> </w:t>
            </w:r>
            <w:r>
              <w:rPr>
                <w:rFonts w:ascii="Arial"/>
                <w:sz w:val="18"/>
              </w:rPr>
              <w:t>of</w:t>
            </w:r>
            <w:r>
              <w:rPr>
                <w:rFonts w:ascii="Arial"/>
                <w:spacing w:val="-5"/>
                <w:sz w:val="18"/>
              </w:rPr>
              <w:t> </w:t>
            </w:r>
            <w:r>
              <w:rPr>
                <w:rFonts w:ascii="Arial"/>
                <w:sz w:val="18"/>
              </w:rPr>
              <w:t>sample.</w:t>
            </w:r>
            <w:r>
              <w:rPr>
                <w:rFonts w:ascii="Arial"/>
                <w:spacing w:val="-5"/>
                <w:sz w:val="18"/>
              </w:rPr>
              <w:t> </w:t>
            </w:r>
            <w:r>
              <w:rPr>
                <w:rFonts w:ascii="Arial"/>
                <w:sz w:val="18"/>
              </w:rPr>
              <w:t>Swirl to</w:t>
            </w:r>
            <w:r>
              <w:rPr>
                <w:rFonts w:ascii="Arial"/>
                <w:spacing w:val="-5"/>
                <w:sz w:val="18"/>
              </w:rPr>
              <w:t> </w:t>
            </w:r>
            <w:r>
              <w:rPr>
                <w:rFonts w:ascii="Arial"/>
                <w:sz w:val="18"/>
              </w:rPr>
              <w:t>dissolve.</w:t>
            </w:r>
            <w:r>
              <w:rPr>
                <w:rFonts w:ascii="Arial"/>
                <w:spacing w:val="-6"/>
                <w:sz w:val="18"/>
              </w:rPr>
              <w:t> </w:t>
            </w:r>
            <w:r>
              <w:rPr>
                <w:rFonts w:ascii="Arial"/>
                <w:sz w:val="18"/>
              </w:rPr>
              <w:t>Proceed</w:t>
            </w:r>
            <w:r>
              <w:rPr>
                <w:rFonts w:ascii="Arial"/>
                <w:spacing w:val="-5"/>
                <w:sz w:val="18"/>
              </w:rPr>
              <w:t> </w:t>
            </w:r>
            <w:r>
              <w:rPr>
                <w:rFonts w:ascii="Arial"/>
                <w:sz w:val="18"/>
              </w:rPr>
              <w:t>with</w:t>
            </w:r>
            <w:r>
              <w:rPr>
                <w:rFonts w:ascii="Arial"/>
                <w:spacing w:val="-5"/>
                <w:sz w:val="18"/>
              </w:rPr>
              <w:t> </w:t>
            </w:r>
            <w:r>
              <w:rPr>
                <w:rFonts w:ascii="Arial"/>
                <w:sz w:val="18"/>
              </w:rPr>
              <w:t>the</w:t>
            </w:r>
            <w:r>
              <w:rPr>
                <w:rFonts w:ascii="Arial"/>
                <w:spacing w:val="-5"/>
                <w:sz w:val="18"/>
              </w:rPr>
              <w:t> </w:t>
            </w:r>
            <w:r>
              <w:rPr>
                <w:rFonts w:ascii="Arial"/>
                <w:sz w:val="18"/>
              </w:rPr>
              <w:t>nitrate</w:t>
            </w:r>
            <w:r>
              <w:rPr>
                <w:rFonts w:ascii="Arial"/>
                <w:spacing w:val="-6"/>
                <w:sz w:val="18"/>
              </w:rPr>
              <w:t> </w:t>
            </w:r>
            <w:r>
              <w:rPr>
                <w:rFonts w:ascii="Arial"/>
                <w:sz w:val="18"/>
              </w:rPr>
              <w:t>test</w:t>
            </w:r>
            <w:r>
              <w:rPr>
                <w:rFonts w:ascii="Arial"/>
                <w:spacing w:val="-7"/>
                <w:sz w:val="18"/>
              </w:rPr>
              <w:t> </w:t>
            </w:r>
            <w:r>
              <w:rPr>
                <w:rFonts w:ascii="Arial"/>
                <w:sz w:val="18"/>
              </w:rPr>
              <w:t>as</w:t>
            </w:r>
            <w:r>
              <w:rPr>
                <w:rFonts w:ascii="Arial"/>
                <w:spacing w:val="-6"/>
                <w:sz w:val="18"/>
              </w:rPr>
              <w:t> </w:t>
            </w:r>
            <w:r>
              <w:rPr>
                <w:rFonts w:ascii="Arial"/>
                <w:sz w:val="18"/>
              </w:rPr>
              <w:t>usual.</w:t>
            </w:r>
          </w:p>
        </w:tc>
      </w:tr>
      <w:tr>
        <w:trPr>
          <w:trHeight w:val="300" w:hRule="exact"/>
        </w:trPr>
        <w:tc>
          <w:tcPr>
            <w:tcW w:w="2521" w:type="dxa"/>
          </w:tcPr>
          <w:p>
            <w:pPr>
              <w:pStyle w:val="TableParagraph"/>
              <w:spacing w:before="26"/>
              <w:ind w:left="75" w:right="474"/>
              <w:jc w:val="left"/>
              <w:rPr>
                <w:rFonts w:ascii="Arial"/>
                <w:sz w:val="18"/>
              </w:rPr>
            </w:pPr>
            <w:r>
              <w:rPr>
                <w:rFonts w:ascii="Arial"/>
                <w:sz w:val="18"/>
              </w:rPr>
              <w:t>Copper</w:t>
            </w:r>
          </w:p>
        </w:tc>
        <w:tc>
          <w:tcPr>
            <w:tcW w:w="7812" w:type="dxa"/>
          </w:tcPr>
          <w:p>
            <w:pPr>
              <w:pStyle w:val="TableParagraph"/>
              <w:spacing w:before="26"/>
              <w:ind w:left="74" w:right="0"/>
              <w:jc w:val="left"/>
              <w:rPr>
                <w:rFonts w:ascii="Arial"/>
                <w:sz w:val="18"/>
              </w:rPr>
            </w:pPr>
            <w:r>
              <w:rPr>
                <w:rFonts w:ascii="Arial"/>
                <w:sz w:val="18"/>
              </w:rPr>
              <w:t>Positive at all levels.</w:t>
            </w:r>
          </w:p>
        </w:tc>
      </w:tr>
    </w:tbl>
    <w:p>
      <w:pPr>
        <w:pStyle w:val="BodyText"/>
        <w:rPr>
          <w:b/>
          <w:sz w:val="13"/>
        </w:rPr>
      </w:pPr>
    </w:p>
    <w:p>
      <w:pPr>
        <w:spacing w:before="0"/>
        <w:ind w:left="124" w:right="0" w:firstLine="0"/>
        <w:jc w:val="left"/>
        <w:rPr>
          <w:sz w:val="16"/>
        </w:rPr>
      </w:pPr>
      <w:r>
        <w:rPr>
          <w:position w:val="4"/>
          <w:sz w:val="12"/>
        </w:rPr>
        <w:t>1 </w:t>
      </w:r>
      <w:r>
        <w:rPr>
          <w:sz w:val="16"/>
        </w:rPr>
        <w:t>See </w:t>
      </w:r>
      <w:r>
        <w:rPr>
          <w:color w:val="0000FF"/>
          <w:sz w:val="16"/>
        </w:rPr>
        <w:t>Optional Reagents and Apparatus on page 4</w:t>
      </w:r>
      <w:r>
        <w:rPr>
          <w:sz w:val="16"/>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9"/>
        </w:rPr>
      </w:pPr>
      <w:r>
        <w:rPr/>
        <w:pict>
          <v:group style="position:absolute;margin-left:35.715pt;margin-top:19.073597pt;width:505.15pt;height:1.05pt;mso-position-horizontal-relative:page;mso-position-vertical-relative:paragraph;z-index:12496;mso-wrap-distance-left:0;mso-wrap-distance-right:0" coordorigin="714,381" coordsize="10103,21">
            <v:line style="position:absolute" from="725,392" to="725,392" stroked="true" strokeweight="1.02pt" strokecolor="#000000"/>
            <v:line style="position:absolute" from="725,392" to="10806,392" stroked="true" strokeweight="1.02pt" strokecolor="#000000"/>
            <w10:wrap type="topAndBottom"/>
          </v:group>
        </w:pict>
      </w:r>
    </w:p>
    <w:p>
      <w:pPr>
        <w:spacing w:line="207" w:lineRule="exact" w:before="0"/>
        <w:ind w:left="124" w:right="0" w:firstLine="0"/>
        <w:jc w:val="left"/>
        <w:rPr>
          <w:b/>
          <w:sz w:val="20"/>
        </w:rPr>
      </w:pPr>
      <w:r>
        <w:rPr>
          <w:b/>
          <w:sz w:val="20"/>
        </w:rPr>
        <w:t>Nitrate</w:t>
      </w:r>
    </w:p>
    <w:p>
      <w:pPr>
        <w:tabs>
          <w:tab w:pos="8480" w:val="left" w:leader="none"/>
        </w:tabs>
        <w:spacing w:before="10"/>
        <w:ind w:left="124" w:right="0" w:firstLine="0"/>
        <w:jc w:val="left"/>
        <w:rPr>
          <w:sz w:val="14"/>
        </w:rPr>
      </w:pPr>
      <w:r>
        <w:rPr>
          <w:b/>
          <w:sz w:val="20"/>
        </w:rPr>
        <w:t>Page 2</w:t>
      </w:r>
      <w:r>
        <w:rPr>
          <w:b/>
          <w:spacing w:val="-5"/>
          <w:sz w:val="20"/>
        </w:rPr>
        <w:t> </w:t>
      </w:r>
      <w:r>
        <w:rPr>
          <w:b/>
          <w:sz w:val="20"/>
        </w:rPr>
        <w:t>of</w:t>
      </w:r>
      <w:r>
        <w:rPr>
          <w:b/>
          <w:spacing w:val="-3"/>
          <w:sz w:val="20"/>
        </w:rPr>
        <w:t> </w:t>
      </w:r>
      <w:r>
        <w:rPr>
          <w:b/>
          <w:sz w:val="20"/>
        </w:rPr>
        <w:t>4</w:t>
        <w:tab/>
      </w:r>
      <w:r>
        <w:rPr>
          <w:sz w:val="14"/>
        </w:rPr>
        <w:t>Nitrate_10020_TNT_HR.fm</w:t>
      </w:r>
    </w:p>
    <w:p>
      <w:pPr>
        <w:spacing w:after="0"/>
        <w:jc w:val="left"/>
        <w:rPr>
          <w:sz w:val="14"/>
        </w:rPr>
        <w:sectPr>
          <w:type w:val="continuous"/>
          <w:pgSz w:w="11900" w:h="15840"/>
          <w:pgMar w:top="0" w:bottom="0" w:left="600" w:right="720"/>
        </w:sectPr>
      </w:pPr>
    </w:p>
    <w:p>
      <w:pPr>
        <w:pStyle w:val="Heading4"/>
        <w:spacing w:before="74"/>
        <w:ind w:left="6034" w:right="80"/>
      </w:pPr>
      <w:r>
        <w:rPr/>
        <w:pict>
          <v:group style="position:absolute;margin-left:53.775002pt;margin-top:22.080879pt;width:505.05pt;height:1.05pt;mso-position-horizontal-relative:page;mso-position-vertical-relative:paragraph;z-index:12856;mso-wrap-distance-left:0;mso-wrap-distance-right:0" coordorigin="1076,442" coordsize="10101,21">
            <v:line style="position:absolute" from="1086,452" to="1086,452" stroked="true" strokeweight="1.02pt" strokecolor="#000000"/>
            <v:line style="position:absolute" from="1086,452" to="11166,452" stroked="true" strokeweight="1.02pt" strokecolor="#000000"/>
            <w10:wrap type="topAndBottom"/>
          </v:group>
        </w:pict>
      </w:r>
      <w:r>
        <w:rPr/>
        <w:pict>
          <v:shape style="position:absolute;margin-left:532.377625pt;margin-top:4.176857pt;width:5.35pt;height:9.6pt;mso-position-horizontal-relative:page;mso-position-vertical-relative:paragraph;z-index:-1518880" type="#_x0000_t202" filled="false" stroked="false">
            <v:textbox inset="0,0,0,0">
              <w:txbxContent>
                <w:p>
                  <w:pPr>
                    <w:spacing w:line="192" w:lineRule="exact" w:before="0"/>
                    <w:ind w:left="0" w:right="0" w:firstLine="0"/>
                    <w:jc w:val="left"/>
                    <w:rPr>
                      <w:b/>
                      <w:sz w:val="19"/>
                    </w:rPr>
                  </w:pPr>
                  <w:r>
                    <w:rPr>
                      <w:b/>
                      <w:w w:val="101"/>
                      <w:sz w:val="19"/>
                    </w:rPr>
                    <w:t>–</w:t>
                  </w:r>
                </w:p>
              </w:txbxContent>
            </v:textbox>
            <w10:wrap type="none"/>
          </v:shape>
        </w:pict>
      </w:r>
      <w:r>
        <w:rPr/>
        <w:t>Nitrate HR (0.2 to 30.0 mg/L NO</w:t>
      </w:r>
      <w:r>
        <w:rPr>
          <w:position w:val="-5"/>
          <w:sz w:val="19"/>
        </w:rPr>
        <w:t>3 </w:t>
      </w:r>
      <w:r>
        <w:rPr/>
        <w:t>–N)</w:t>
      </w:r>
    </w:p>
    <w:p>
      <w:pPr>
        <w:pStyle w:val="BodyText"/>
        <w:spacing w:before="8"/>
        <w:rPr>
          <w:b/>
          <w:sz w:val="19"/>
        </w:rPr>
      </w:pPr>
    </w:p>
    <w:p>
      <w:pPr>
        <w:spacing w:before="64"/>
        <w:ind w:left="125" w:right="80" w:firstLine="0"/>
        <w:jc w:val="left"/>
        <w:rPr>
          <w:b/>
          <w:sz w:val="28"/>
        </w:rPr>
      </w:pPr>
      <w:r>
        <w:rPr>
          <w:b/>
          <w:sz w:val="28"/>
        </w:rPr>
        <w:t>Sample Collection, Preservation, and Storage</w:t>
      </w:r>
    </w:p>
    <w:p>
      <w:pPr>
        <w:spacing w:line="249" w:lineRule="auto" w:before="180"/>
        <w:ind w:left="1926" w:right="80" w:firstLine="0"/>
        <w:jc w:val="left"/>
        <w:rPr>
          <w:sz w:val="20"/>
        </w:rPr>
      </w:pPr>
      <w:r>
        <w:rPr>
          <w:sz w:val="20"/>
        </w:rPr>
        <w:t>Collect samples in clean plastic or glass bottles. Store at 4 °C (39 °F) or lower if the sample is to be analyzed within 24 to 48 hours. Warm to room temperature before running the test. For longer storage periods (up to 14 days), adjust sample pH to 2 or less with Concentrated Sulfuric Acid, ACS* (about 2 mL per liter). Sample refrigeration is still required.</w:t>
      </w:r>
    </w:p>
    <w:p>
      <w:pPr>
        <w:pStyle w:val="BodyText"/>
        <w:spacing w:before="11"/>
        <w:rPr>
          <w:sz w:val="20"/>
        </w:rPr>
      </w:pPr>
    </w:p>
    <w:p>
      <w:pPr>
        <w:spacing w:line="249" w:lineRule="auto" w:before="0"/>
        <w:ind w:left="1925" w:right="80" w:firstLine="0"/>
        <w:jc w:val="left"/>
        <w:rPr>
          <w:sz w:val="20"/>
        </w:rPr>
      </w:pPr>
      <w:r>
        <w:rPr>
          <w:sz w:val="20"/>
        </w:rPr>
        <w:t>Before</w:t>
      </w:r>
      <w:r>
        <w:rPr>
          <w:spacing w:val="-12"/>
          <w:sz w:val="20"/>
        </w:rPr>
        <w:t> </w:t>
      </w:r>
      <w:r>
        <w:rPr>
          <w:sz w:val="20"/>
        </w:rPr>
        <w:t>testing</w:t>
      </w:r>
      <w:r>
        <w:rPr>
          <w:spacing w:val="-11"/>
          <w:sz w:val="20"/>
        </w:rPr>
        <w:t> </w:t>
      </w:r>
      <w:r>
        <w:rPr>
          <w:sz w:val="20"/>
        </w:rPr>
        <w:t>the</w:t>
      </w:r>
      <w:r>
        <w:rPr>
          <w:spacing w:val="-11"/>
          <w:sz w:val="20"/>
        </w:rPr>
        <w:t> </w:t>
      </w:r>
      <w:r>
        <w:rPr>
          <w:sz w:val="20"/>
        </w:rPr>
        <w:t>stored</w:t>
      </w:r>
      <w:r>
        <w:rPr>
          <w:spacing w:val="-11"/>
          <w:sz w:val="20"/>
        </w:rPr>
        <w:t> </w:t>
      </w:r>
      <w:r>
        <w:rPr>
          <w:sz w:val="20"/>
        </w:rPr>
        <w:t>sample,</w:t>
      </w:r>
      <w:r>
        <w:rPr>
          <w:spacing w:val="-11"/>
          <w:sz w:val="20"/>
        </w:rPr>
        <w:t> </w:t>
      </w:r>
      <w:r>
        <w:rPr>
          <w:sz w:val="20"/>
        </w:rPr>
        <w:t>warm</w:t>
      </w:r>
      <w:r>
        <w:rPr>
          <w:spacing w:val="-12"/>
          <w:sz w:val="20"/>
        </w:rPr>
        <w:t> </w:t>
      </w:r>
      <w:r>
        <w:rPr>
          <w:sz w:val="20"/>
        </w:rPr>
        <w:t>to</w:t>
      </w:r>
      <w:r>
        <w:rPr>
          <w:spacing w:val="-12"/>
          <w:sz w:val="20"/>
        </w:rPr>
        <w:t> </w:t>
      </w:r>
      <w:r>
        <w:rPr>
          <w:sz w:val="20"/>
        </w:rPr>
        <w:t>room</w:t>
      </w:r>
      <w:r>
        <w:rPr>
          <w:spacing w:val="-11"/>
          <w:sz w:val="20"/>
        </w:rPr>
        <w:t> </w:t>
      </w:r>
      <w:r>
        <w:rPr>
          <w:sz w:val="20"/>
        </w:rPr>
        <w:t>temperature</w:t>
      </w:r>
      <w:r>
        <w:rPr>
          <w:spacing w:val="-11"/>
          <w:sz w:val="20"/>
        </w:rPr>
        <w:t> </w:t>
      </w:r>
      <w:r>
        <w:rPr>
          <w:sz w:val="20"/>
        </w:rPr>
        <w:t>and</w:t>
      </w:r>
      <w:r>
        <w:rPr>
          <w:spacing w:val="-11"/>
          <w:sz w:val="20"/>
        </w:rPr>
        <w:t> </w:t>
      </w:r>
      <w:r>
        <w:rPr>
          <w:sz w:val="20"/>
        </w:rPr>
        <w:t>neutralize</w:t>
      </w:r>
      <w:r>
        <w:rPr>
          <w:spacing w:val="-11"/>
          <w:sz w:val="20"/>
        </w:rPr>
        <w:t> </w:t>
      </w:r>
      <w:r>
        <w:rPr>
          <w:sz w:val="20"/>
        </w:rPr>
        <w:t>with</w:t>
      </w:r>
      <w:r>
        <w:rPr>
          <w:spacing w:val="-11"/>
          <w:sz w:val="20"/>
        </w:rPr>
        <w:t> </w:t>
      </w:r>
      <w:r>
        <w:rPr>
          <w:sz w:val="20"/>
        </w:rPr>
        <w:t>5.0</w:t>
      </w:r>
      <w:r>
        <w:rPr>
          <w:spacing w:val="-12"/>
          <w:sz w:val="20"/>
        </w:rPr>
        <w:t> </w:t>
      </w:r>
      <w:r>
        <w:rPr>
          <w:sz w:val="20"/>
        </w:rPr>
        <w:t>N</w:t>
      </w:r>
      <w:r>
        <w:rPr>
          <w:spacing w:val="-10"/>
          <w:sz w:val="20"/>
        </w:rPr>
        <w:t> </w:t>
      </w:r>
      <w:r>
        <w:rPr>
          <w:sz w:val="20"/>
        </w:rPr>
        <w:t>Sodium Hydroxide Standard Solution*. Do not use mercury compounds as preservatives. Correct the test result </w:t>
      </w:r>
      <w:r>
        <w:rPr>
          <w:spacing w:val="-3"/>
          <w:sz w:val="20"/>
        </w:rPr>
        <w:t>for </w:t>
      </w:r>
      <w:r>
        <w:rPr>
          <w:sz w:val="20"/>
        </w:rPr>
        <w:t>volume</w:t>
      </w:r>
      <w:r>
        <w:rPr>
          <w:spacing w:val="-21"/>
          <w:sz w:val="20"/>
        </w:rPr>
        <w:t> </w:t>
      </w:r>
      <w:r>
        <w:rPr>
          <w:sz w:val="20"/>
        </w:rPr>
        <w:t>additions.</w:t>
      </w:r>
    </w:p>
    <w:p>
      <w:pPr>
        <w:pStyle w:val="BodyText"/>
        <w:rPr>
          <w:sz w:val="26"/>
        </w:rPr>
      </w:pPr>
    </w:p>
    <w:p>
      <w:pPr>
        <w:pStyle w:val="Heading3"/>
        <w:ind w:right="80"/>
      </w:pPr>
      <w:r>
        <w:rPr/>
        <w:t>Accuracy Check</w:t>
      </w:r>
    </w:p>
    <w:p>
      <w:pPr>
        <w:spacing w:before="180"/>
        <w:ind w:left="1926" w:right="80" w:firstLine="0"/>
        <w:jc w:val="left"/>
        <w:rPr>
          <w:b/>
          <w:sz w:val="20"/>
        </w:rPr>
      </w:pPr>
      <w:r>
        <w:rPr>
          <w:b/>
          <w:sz w:val="20"/>
        </w:rPr>
        <w:t>Standard Additions Method (Sample Spike)</w:t>
      </w:r>
    </w:p>
    <w:p>
      <w:pPr>
        <w:pStyle w:val="BodyText"/>
        <w:spacing w:before="8"/>
        <w:rPr>
          <w:b/>
          <w:sz w:val="21"/>
        </w:rPr>
      </w:pPr>
    </w:p>
    <w:p>
      <w:pPr>
        <w:pStyle w:val="ListParagraph"/>
        <w:numPr>
          <w:ilvl w:val="1"/>
          <w:numId w:val="24"/>
        </w:numPr>
        <w:tabs>
          <w:tab w:pos="2286" w:val="left" w:leader="none"/>
        </w:tabs>
        <w:spacing w:line="249" w:lineRule="auto" w:before="0" w:after="0"/>
        <w:ind w:left="2285" w:right="158" w:hanging="359"/>
        <w:jc w:val="left"/>
        <w:rPr>
          <w:sz w:val="20"/>
        </w:rPr>
      </w:pPr>
      <w:r>
        <w:rPr>
          <w:sz w:val="20"/>
        </w:rPr>
        <w:t>After</w:t>
      </w:r>
      <w:r>
        <w:rPr>
          <w:spacing w:val="-12"/>
          <w:sz w:val="20"/>
        </w:rPr>
        <w:t> </w:t>
      </w:r>
      <w:r>
        <w:rPr>
          <w:sz w:val="20"/>
        </w:rPr>
        <w:t>reading</w:t>
      </w:r>
      <w:r>
        <w:rPr>
          <w:spacing w:val="-12"/>
          <w:sz w:val="20"/>
        </w:rPr>
        <w:t> </w:t>
      </w:r>
      <w:r>
        <w:rPr>
          <w:sz w:val="20"/>
        </w:rPr>
        <w:t>test</w:t>
      </w:r>
      <w:r>
        <w:rPr>
          <w:spacing w:val="-12"/>
          <w:sz w:val="20"/>
        </w:rPr>
        <w:t> </w:t>
      </w:r>
      <w:r>
        <w:rPr>
          <w:sz w:val="20"/>
        </w:rPr>
        <w:t>results,</w:t>
      </w:r>
      <w:r>
        <w:rPr>
          <w:spacing w:val="-12"/>
          <w:sz w:val="20"/>
        </w:rPr>
        <w:t> </w:t>
      </w:r>
      <w:r>
        <w:rPr>
          <w:sz w:val="20"/>
        </w:rPr>
        <w:t>leave</w:t>
      </w:r>
      <w:r>
        <w:rPr>
          <w:spacing w:val="-12"/>
          <w:sz w:val="20"/>
        </w:rPr>
        <w:t> </w:t>
      </w:r>
      <w:r>
        <w:rPr>
          <w:sz w:val="20"/>
        </w:rPr>
        <w:t>the</w:t>
      </w:r>
      <w:r>
        <w:rPr>
          <w:spacing w:val="-12"/>
          <w:sz w:val="20"/>
        </w:rPr>
        <w:t> </w:t>
      </w:r>
      <w:r>
        <w:rPr>
          <w:sz w:val="20"/>
        </w:rPr>
        <w:t>sample</w:t>
      </w:r>
      <w:r>
        <w:rPr>
          <w:spacing w:val="-12"/>
          <w:sz w:val="20"/>
        </w:rPr>
        <w:t> </w:t>
      </w:r>
      <w:r>
        <w:rPr>
          <w:sz w:val="20"/>
        </w:rPr>
        <w:t>cell</w:t>
      </w:r>
      <w:r>
        <w:rPr>
          <w:spacing w:val="-11"/>
          <w:sz w:val="20"/>
        </w:rPr>
        <w:t> </w:t>
      </w:r>
      <w:r>
        <w:rPr>
          <w:sz w:val="20"/>
        </w:rPr>
        <w:t>(unspiked</w:t>
      </w:r>
      <w:r>
        <w:rPr>
          <w:spacing w:val="-12"/>
          <w:sz w:val="20"/>
        </w:rPr>
        <w:t> </w:t>
      </w:r>
      <w:r>
        <w:rPr>
          <w:sz w:val="20"/>
        </w:rPr>
        <w:t>sample)</w:t>
      </w:r>
      <w:r>
        <w:rPr>
          <w:spacing w:val="-12"/>
          <w:sz w:val="20"/>
        </w:rPr>
        <w:t> </w:t>
      </w:r>
      <w:r>
        <w:rPr>
          <w:sz w:val="20"/>
        </w:rPr>
        <w:t>in</w:t>
      </w:r>
      <w:r>
        <w:rPr>
          <w:spacing w:val="-12"/>
          <w:sz w:val="20"/>
        </w:rPr>
        <w:t> </w:t>
      </w:r>
      <w:r>
        <w:rPr>
          <w:sz w:val="20"/>
        </w:rPr>
        <w:t>the</w:t>
      </w:r>
      <w:r>
        <w:rPr>
          <w:spacing w:val="-12"/>
          <w:sz w:val="20"/>
        </w:rPr>
        <w:t> </w:t>
      </w:r>
      <w:r>
        <w:rPr>
          <w:sz w:val="20"/>
        </w:rPr>
        <w:t>instrument.</w:t>
      </w:r>
      <w:r>
        <w:rPr>
          <w:spacing w:val="-12"/>
          <w:sz w:val="20"/>
        </w:rPr>
        <w:t> </w:t>
      </w:r>
      <w:r>
        <w:rPr>
          <w:spacing w:val="-3"/>
          <w:sz w:val="20"/>
        </w:rPr>
        <w:t>Verify </w:t>
      </w:r>
      <w:r>
        <w:rPr>
          <w:sz w:val="20"/>
        </w:rPr>
        <w:t>the chemical</w:t>
      </w:r>
      <w:r>
        <w:rPr>
          <w:spacing w:val="-12"/>
          <w:sz w:val="20"/>
        </w:rPr>
        <w:t> </w:t>
      </w:r>
      <w:r>
        <w:rPr>
          <w:sz w:val="20"/>
        </w:rPr>
        <w:t>form.</w:t>
      </w:r>
    </w:p>
    <w:p>
      <w:pPr>
        <w:pStyle w:val="BodyText"/>
        <w:spacing w:before="11"/>
        <w:rPr>
          <w:sz w:val="20"/>
        </w:rPr>
      </w:pPr>
    </w:p>
    <w:p>
      <w:pPr>
        <w:pStyle w:val="ListParagraph"/>
        <w:numPr>
          <w:ilvl w:val="1"/>
          <w:numId w:val="24"/>
        </w:numPr>
        <w:tabs>
          <w:tab w:pos="2286" w:val="left" w:leader="none"/>
        </w:tabs>
        <w:spacing w:line="249" w:lineRule="auto" w:before="0" w:after="0"/>
        <w:ind w:left="2286" w:right="781" w:hanging="360"/>
        <w:jc w:val="left"/>
        <w:rPr>
          <w:sz w:val="20"/>
        </w:rPr>
      </w:pPr>
      <w:r>
        <w:rPr>
          <w:sz w:val="20"/>
        </w:rPr>
        <w:t>Press</w:t>
      </w:r>
      <w:r>
        <w:rPr>
          <w:spacing w:val="-5"/>
          <w:sz w:val="20"/>
        </w:rPr>
        <w:t> </w:t>
      </w:r>
      <w:r>
        <w:rPr>
          <w:b/>
          <w:sz w:val="18"/>
        </w:rPr>
        <w:t>OPTIONS&gt;MORE</w:t>
      </w:r>
      <w:r>
        <w:rPr>
          <w:sz w:val="20"/>
        </w:rPr>
        <w:t>.</w:t>
      </w:r>
      <w:r>
        <w:rPr>
          <w:spacing w:val="-5"/>
          <w:sz w:val="20"/>
        </w:rPr>
        <w:t> </w:t>
      </w:r>
      <w:r>
        <w:rPr>
          <w:sz w:val="20"/>
        </w:rPr>
        <w:t>Press</w:t>
      </w:r>
      <w:r>
        <w:rPr>
          <w:spacing w:val="-4"/>
          <w:sz w:val="20"/>
        </w:rPr>
        <w:t> </w:t>
      </w:r>
      <w:r>
        <w:rPr>
          <w:b/>
          <w:sz w:val="18"/>
        </w:rPr>
        <w:t>STANDARD</w:t>
      </w:r>
      <w:r>
        <w:rPr>
          <w:b/>
          <w:spacing w:val="-5"/>
          <w:sz w:val="18"/>
        </w:rPr>
        <w:t> </w:t>
      </w:r>
      <w:r>
        <w:rPr>
          <w:b/>
          <w:sz w:val="18"/>
        </w:rPr>
        <w:t>ADDITIONS</w:t>
      </w:r>
      <w:r>
        <w:rPr>
          <w:sz w:val="20"/>
        </w:rPr>
        <w:t>.</w:t>
      </w:r>
      <w:r>
        <w:rPr>
          <w:spacing w:val="-6"/>
          <w:sz w:val="20"/>
        </w:rPr>
        <w:t> </w:t>
      </w:r>
      <w:r>
        <w:rPr>
          <w:sz w:val="20"/>
        </w:rPr>
        <w:t>A</w:t>
      </w:r>
      <w:r>
        <w:rPr>
          <w:spacing w:val="-4"/>
          <w:sz w:val="20"/>
        </w:rPr>
        <w:t> </w:t>
      </w:r>
      <w:r>
        <w:rPr>
          <w:sz w:val="20"/>
        </w:rPr>
        <w:t>summary</w:t>
      </w:r>
      <w:r>
        <w:rPr>
          <w:spacing w:val="-5"/>
          <w:sz w:val="20"/>
        </w:rPr>
        <w:t> </w:t>
      </w:r>
      <w:r>
        <w:rPr>
          <w:sz w:val="20"/>
        </w:rPr>
        <w:t>of</w:t>
      </w:r>
      <w:r>
        <w:rPr>
          <w:spacing w:val="-6"/>
          <w:sz w:val="20"/>
        </w:rPr>
        <w:t> </w:t>
      </w:r>
      <w:r>
        <w:rPr>
          <w:sz w:val="20"/>
        </w:rPr>
        <w:t>the</w:t>
      </w:r>
      <w:r>
        <w:rPr>
          <w:spacing w:val="-5"/>
          <w:sz w:val="20"/>
        </w:rPr>
        <w:t> </w:t>
      </w:r>
      <w:r>
        <w:rPr>
          <w:sz w:val="20"/>
        </w:rPr>
        <w:t>standard additions procedure will</w:t>
      </w:r>
      <w:r>
        <w:rPr>
          <w:spacing w:val="-21"/>
          <w:sz w:val="20"/>
        </w:rPr>
        <w:t> </w:t>
      </w:r>
      <w:r>
        <w:rPr>
          <w:sz w:val="20"/>
        </w:rPr>
        <w:t>appear.</w:t>
      </w:r>
    </w:p>
    <w:p>
      <w:pPr>
        <w:pStyle w:val="BodyText"/>
        <w:spacing w:before="11"/>
        <w:rPr>
          <w:sz w:val="20"/>
        </w:rPr>
      </w:pPr>
    </w:p>
    <w:p>
      <w:pPr>
        <w:pStyle w:val="ListParagraph"/>
        <w:numPr>
          <w:ilvl w:val="1"/>
          <w:numId w:val="24"/>
        </w:numPr>
        <w:tabs>
          <w:tab w:pos="2286" w:val="left" w:leader="none"/>
        </w:tabs>
        <w:spacing w:line="249" w:lineRule="auto" w:before="0" w:after="0"/>
        <w:ind w:left="2285" w:right="456" w:hanging="359"/>
        <w:jc w:val="left"/>
        <w:rPr>
          <w:sz w:val="20"/>
        </w:rPr>
      </w:pPr>
      <w:r>
        <w:rPr>
          <w:sz w:val="20"/>
        </w:rPr>
        <w:t>Press</w:t>
      </w:r>
      <w:r>
        <w:rPr>
          <w:spacing w:val="-6"/>
          <w:sz w:val="20"/>
        </w:rPr>
        <w:t> </w:t>
      </w:r>
      <w:r>
        <w:rPr>
          <w:b/>
          <w:sz w:val="18"/>
        </w:rPr>
        <w:t>OK</w:t>
      </w:r>
      <w:r>
        <w:rPr>
          <w:b/>
          <w:spacing w:val="1"/>
          <w:sz w:val="18"/>
        </w:rPr>
        <w:t> </w:t>
      </w:r>
      <w:r>
        <w:rPr>
          <w:sz w:val="20"/>
        </w:rPr>
        <w:t>to</w:t>
      </w:r>
      <w:r>
        <w:rPr>
          <w:spacing w:val="-6"/>
          <w:sz w:val="20"/>
        </w:rPr>
        <w:t> </w:t>
      </w:r>
      <w:r>
        <w:rPr>
          <w:sz w:val="20"/>
        </w:rPr>
        <w:t>accept</w:t>
      </w:r>
      <w:r>
        <w:rPr>
          <w:spacing w:val="-6"/>
          <w:sz w:val="20"/>
        </w:rPr>
        <w:t> </w:t>
      </w:r>
      <w:r>
        <w:rPr>
          <w:sz w:val="20"/>
        </w:rPr>
        <w:t>the</w:t>
      </w:r>
      <w:r>
        <w:rPr>
          <w:spacing w:val="-6"/>
          <w:sz w:val="20"/>
        </w:rPr>
        <w:t> </w:t>
      </w:r>
      <w:r>
        <w:rPr>
          <w:sz w:val="20"/>
        </w:rPr>
        <w:t>default</w:t>
      </w:r>
      <w:r>
        <w:rPr>
          <w:spacing w:val="-6"/>
          <w:sz w:val="20"/>
        </w:rPr>
        <w:t> </w:t>
      </w:r>
      <w:r>
        <w:rPr>
          <w:sz w:val="20"/>
        </w:rPr>
        <w:t>values</w:t>
      </w:r>
      <w:r>
        <w:rPr>
          <w:spacing w:val="-6"/>
          <w:sz w:val="20"/>
        </w:rPr>
        <w:t> </w:t>
      </w:r>
      <w:r>
        <w:rPr>
          <w:spacing w:val="-3"/>
          <w:sz w:val="20"/>
        </w:rPr>
        <w:t>for</w:t>
      </w:r>
      <w:r>
        <w:rPr>
          <w:spacing w:val="-7"/>
          <w:sz w:val="20"/>
        </w:rPr>
        <w:t> </w:t>
      </w:r>
      <w:r>
        <w:rPr>
          <w:sz w:val="20"/>
        </w:rPr>
        <w:t>standard</w:t>
      </w:r>
      <w:r>
        <w:rPr>
          <w:spacing w:val="-6"/>
          <w:sz w:val="20"/>
        </w:rPr>
        <w:t> </w:t>
      </w:r>
      <w:r>
        <w:rPr>
          <w:sz w:val="20"/>
        </w:rPr>
        <w:t>concentration,</w:t>
      </w:r>
      <w:r>
        <w:rPr>
          <w:spacing w:val="-6"/>
          <w:sz w:val="20"/>
        </w:rPr>
        <w:t> </w:t>
      </w:r>
      <w:r>
        <w:rPr>
          <w:sz w:val="20"/>
        </w:rPr>
        <w:t>sample</w:t>
      </w:r>
      <w:r>
        <w:rPr>
          <w:spacing w:val="-6"/>
          <w:sz w:val="20"/>
        </w:rPr>
        <w:t> </w:t>
      </w:r>
      <w:r>
        <w:rPr>
          <w:sz w:val="20"/>
        </w:rPr>
        <w:t>volume,</w:t>
      </w:r>
      <w:r>
        <w:rPr>
          <w:spacing w:val="-6"/>
          <w:sz w:val="20"/>
        </w:rPr>
        <w:t> </w:t>
      </w:r>
      <w:r>
        <w:rPr>
          <w:sz w:val="20"/>
        </w:rPr>
        <w:t>and spike volumes. Press </w:t>
      </w:r>
      <w:r>
        <w:rPr>
          <w:b/>
          <w:sz w:val="18"/>
        </w:rPr>
        <w:t>EDIT </w:t>
      </w:r>
      <w:r>
        <w:rPr>
          <w:sz w:val="20"/>
        </w:rPr>
        <w:t>to change these values. After values are accepted, the unspiked sample reading will appear in the top </w:t>
      </w:r>
      <w:r>
        <w:rPr>
          <w:spacing w:val="-4"/>
          <w:sz w:val="20"/>
        </w:rPr>
        <w:t>row. </w:t>
      </w:r>
      <w:r>
        <w:rPr>
          <w:sz w:val="20"/>
        </w:rPr>
        <w:t>See the user manual </w:t>
      </w:r>
      <w:r>
        <w:rPr>
          <w:spacing w:val="-3"/>
          <w:sz w:val="20"/>
        </w:rPr>
        <w:t>for </w:t>
      </w:r>
      <w:r>
        <w:rPr>
          <w:sz w:val="20"/>
        </w:rPr>
        <w:t>more information.</w:t>
      </w:r>
    </w:p>
    <w:p>
      <w:pPr>
        <w:pStyle w:val="BodyText"/>
        <w:spacing w:before="10"/>
        <w:rPr>
          <w:sz w:val="19"/>
        </w:rPr>
      </w:pPr>
    </w:p>
    <w:p>
      <w:pPr>
        <w:pStyle w:val="ListParagraph"/>
        <w:numPr>
          <w:ilvl w:val="1"/>
          <w:numId w:val="24"/>
        </w:numPr>
        <w:tabs>
          <w:tab w:pos="2286" w:val="left" w:leader="none"/>
        </w:tabs>
        <w:spacing w:line="249" w:lineRule="auto" w:before="0" w:after="0"/>
        <w:ind w:left="2286" w:right="314" w:hanging="360"/>
        <w:jc w:val="left"/>
        <w:rPr>
          <w:sz w:val="20"/>
        </w:rPr>
      </w:pPr>
      <w:r>
        <w:rPr/>
        <w:pict>
          <v:shape style="position:absolute;margin-left:181.736877pt;margin-top:13.01088pt;width:4.45pt;height:8pt;mso-position-horizontal-relative:page;mso-position-vertical-relative:paragraph;z-index:-1518856" type="#_x0000_t202" filled="false" stroked="false">
            <v:textbox inset="0,0,0,0">
              <w:txbxContent>
                <w:p>
                  <w:pPr>
                    <w:spacing w:line="160" w:lineRule="exact" w:before="0"/>
                    <w:ind w:left="0" w:right="0" w:firstLine="0"/>
                    <w:jc w:val="left"/>
                    <w:rPr>
                      <w:sz w:val="16"/>
                    </w:rPr>
                  </w:pPr>
                  <w:r>
                    <w:rPr>
                      <w:w w:val="99"/>
                      <w:sz w:val="16"/>
                    </w:rPr>
                    <w:t>–</w:t>
                  </w:r>
                </w:p>
              </w:txbxContent>
            </v:textbox>
            <w10:wrap type="none"/>
          </v:shape>
        </w:pict>
      </w:r>
      <w:r>
        <w:rPr>
          <w:sz w:val="20"/>
        </w:rPr>
        <w:t>Snap the neck off a High Range Nitrate Nitrogen </w:t>
      </w:r>
      <w:r>
        <w:rPr>
          <w:spacing w:val="-3"/>
          <w:sz w:val="20"/>
        </w:rPr>
        <w:t>Voluette</w:t>
      </w:r>
      <w:r>
        <w:rPr>
          <w:spacing w:val="-3"/>
          <w:position w:val="5"/>
          <w:sz w:val="16"/>
        </w:rPr>
        <w:t>® </w:t>
      </w:r>
      <w:r>
        <w:rPr>
          <w:sz w:val="20"/>
        </w:rPr>
        <w:t>Ampule Standard, 500 mg/L NO</w:t>
      </w:r>
      <w:r>
        <w:rPr>
          <w:position w:val="-4"/>
          <w:sz w:val="16"/>
        </w:rPr>
        <w:t>3</w:t>
      </w:r>
      <w:r>
        <w:rPr>
          <w:spacing w:val="40"/>
          <w:position w:val="-4"/>
          <w:sz w:val="16"/>
        </w:rPr>
        <w:t> </w:t>
      </w:r>
      <w:r>
        <w:rPr>
          <w:sz w:val="20"/>
        </w:rPr>
        <w:t>–N.</w:t>
      </w:r>
    </w:p>
    <w:p>
      <w:pPr>
        <w:pStyle w:val="ListParagraph"/>
        <w:numPr>
          <w:ilvl w:val="1"/>
          <w:numId w:val="24"/>
        </w:numPr>
        <w:tabs>
          <w:tab w:pos="2286" w:val="left" w:leader="none"/>
        </w:tabs>
        <w:spacing w:line="244" w:lineRule="auto" w:before="198" w:after="0"/>
        <w:ind w:left="2285" w:right="322" w:hanging="360"/>
        <w:jc w:val="left"/>
        <w:rPr>
          <w:sz w:val="20"/>
        </w:rPr>
      </w:pPr>
      <w:r>
        <w:rPr>
          <w:sz w:val="20"/>
        </w:rPr>
        <w:t>Prepare</w:t>
      </w:r>
      <w:r>
        <w:rPr>
          <w:spacing w:val="-3"/>
          <w:sz w:val="20"/>
        </w:rPr>
        <w:t> </w:t>
      </w:r>
      <w:r>
        <w:rPr>
          <w:sz w:val="20"/>
        </w:rPr>
        <w:t>three</w:t>
      </w:r>
      <w:r>
        <w:rPr>
          <w:spacing w:val="-4"/>
          <w:sz w:val="20"/>
        </w:rPr>
        <w:t> </w:t>
      </w:r>
      <w:r>
        <w:rPr>
          <w:sz w:val="20"/>
        </w:rPr>
        <w:t>sample</w:t>
      </w:r>
      <w:r>
        <w:rPr>
          <w:spacing w:val="-3"/>
          <w:sz w:val="20"/>
        </w:rPr>
        <w:t> </w:t>
      </w:r>
      <w:r>
        <w:rPr>
          <w:sz w:val="20"/>
        </w:rPr>
        <w:t>spikes.</w:t>
      </w:r>
      <w:r>
        <w:rPr>
          <w:spacing w:val="-3"/>
          <w:sz w:val="20"/>
        </w:rPr>
        <w:t> </w:t>
      </w:r>
      <w:r>
        <w:rPr>
          <w:sz w:val="20"/>
        </w:rPr>
        <w:t>Fill</w:t>
      </w:r>
      <w:r>
        <w:rPr>
          <w:spacing w:val="-4"/>
          <w:sz w:val="20"/>
        </w:rPr>
        <w:t> </w:t>
      </w:r>
      <w:r>
        <w:rPr>
          <w:sz w:val="20"/>
        </w:rPr>
        <w:t>three</w:t>
      </w:r>
      <w:r>
        <w:rPr>
          <w:spacing w:val="-4"/>
          <w:sz w:val="20"/>
        </w:rPr>
        <w:t> </w:t>
      </w:r>
      <w:r>
        <w:rPr>
          <w:sz w:val="20"/>
        </w:rPr>
        <w:t>mixing</w:t>
      </w:r>
      <w:r>
        <w:rPr>
          <w:spacing w:val="-4"/>
          <w:sz w:val="20"/>
        </w:rPr>
        <w:t> </w:t>
      </w:r>
      <w:r>
        <w:rPr>
          <w:sz w:val="20"/>
        </w:rPr>
        <w:t>cylinders*</w:t>
      </w:r>
      <w:r>
        <w:rPr>
          <w:spacing w:val="-4"/>
          <w:sz w:val="20"/>
        </w:rPr>
        <w:t> </w:t>
      </w:r>
      <w:r>
        <w:rPr>
          <w:sz w:val="20"/>
        </w:rPr>
        <w:t>with</w:t>
      </w:r>
      <w:r>
        <w:rPr>
          <w:spacing w:val="-2"/>
          <w:sz w:val="20"/>
        </w:rPr>
        <w:t> </w:t>
      </w:r>
      <w:r>
        <w:rPr>
          <w:sz w:val="20"/>
        </w:rPr>
        <w:t>25</w:t>
      </w:r>
      <w:r>
        <w:rPr>
          <w:spacing w:val="-4"/>
          <w:sz w:val="20"/>
        </w:rPr>
        <w:t> </w:t>
      </w:r>
      <w:r>
        <w:rPr>
          <w:sz w:val="20"/>
        </w:rPr>
        <w:t>mL</w:t>
      </w:r>
      <w:r>
        <w:rPr>
          <w:spacing w:val="-4"/>
          <w:sz w:val="20"/>
        </w:rPr>
        <w:t> </w:t>
      </w:r>
      <w:r>
        <w:rPr>
          <w:sz w:val="20"/>
        </w:rPr>
        <w:t>of</w:t>
      </w:r>
      <w:r>
        <w:rPr>
          <w:spacing w:val="-3"/>
          <w:sz w:val="20"/>
        </w:rPr>
        <w:t> </w:t>
      </w:r>
      <w:r>
        <w:rPr>
          <w:sz w:val="20"/>
        </w:rPr>
        <w:t>sample.</w:t>
      </w:r>
      <w:r>
        <w:rPr>
          <w:spacing w:val="-4"/>
          <w:sz w:val="20"/>
        </w:rPr>
        <w:t> </w:t>
      </w:r>
      <w:r>
        <w:rPr>
          <w:sz w:val="20"/>
        </w:rPr>
        <w:t>Use</w:t>
      </w:r>
      <w:r>
        <w:rPr>
          <w:spacing w:val="-2"/>
          <w:sz w:val="20"/>
        </w:rPr>
        <w:t> </w:t>
      </w:r>
      <w:r>
        <w:rPr>
          <w:sz w:val="20"/>
        </w:rPr>
        <w:t>the </w:t>
      </w:r>
      <w:r>
        <w:rPr>
          <w:spacing w:val="-3"/>
          <w:sz w:val="20"/>
        </w:rPr>
        <w:t>TenSette</w:t>
      </w:r>
      <w:r>
        <w:rPr>
          <w:spacing w:val="-3"/>
          <w:position w:val="5"/>
          <w:sz w:val="16"/>
        </w:rPr>
        <w:t>® </w:t>
      </w:r>
      <w:r>
        <w:rPr>
          <w:sz w:val="20"/>
        </w:rPr>
        <w:t>Pipet to add 0.1 mL, 0.2 mL, and 0.3 mL of standard, </w:t>
      </w:r>
      <w:r>
        <w:rPr>
          <w:spacing w:val="-3"/>
          <w:sz w:val="20"/>
        </w:rPr>
        <w:t>respectively, </w:t>
      </w:r>
      <w:r>
        <w:rPr>
          <w:sz w:val="20"/>
        </w:rPr>
        <w:t>to each sample and mix</w:t>
      </w:r>
      <w:r>
        <w:rPr>
          <w:spacing w:val="-3"/>
          <w:sz w:val="20"/>
        </w:rPr>
        <w:t> thoroughly.</w:t>
      </w:r>
    </w:p>
    <w:p>
      <w:pPr>
        <w:pStyle w:val="BodyText"/>
        <w:spacing w:before="4"/>
        <w:rPr>
          <w:sz w:val="21"/>
        </w:rPr>
      </w:pPr>
    </w:p>
    <w:p>
      <w:pPr>
        <w:pStyle w:val="ListParagraph"/>
        <w:numPr>
          <w:ilvl w:val="1"/>
          <w:numId w:val="24"/>
        </w:numPr>
        <w:tabs>
          <w:tab w:pos="2287" w:val="left" w:leader="none"/>
        </w:tabs>
        <w:spacing w:line="249" w:lineRule="auto" w:before="0" w:after="0"/>
        <w:ind w:left="2286" w:right="163" w:hanging="360"/>
        <w:jc w:val="left"/>
        <w:rPr>
          <w:sz w:val="20"/>
        </w:rPr>
      </w:pPr>
      <w:r>
        <w:rPr>
          <w:sz w:val="20"/>
        </w:rPr>
        <w:t>Analyze</w:t>
      </w:r>
      <w:r>
        <w:rPr>
          <w:spacing w:val="-5"/>
          <w:sz w:val="20"/>
        </w:rPr>
        <w:t> </w:t>
      </w:r>
      <w:r>
        <w:rPr>
          <w:sz w:val="20"/>
        </w:rPr>
        <w:t>each</w:t>
      </w:r>
      <w:r>
        <w:rPr>
          <w:spacing w:val="-5"/>
          <w:sz w:val="20"/>
        </w:rPr>
        <w:t> </w:t>
      </w:r>
      <w:r>
        <w:rPr>
          <w:sz w:val="20"/>
        </w:rPr>
        <w:t>sample</w:t>
      </w:r>
      <w:r>
        <w:rPr>
          <w:spacing w:val="-5"/>
          <w:sz w:val="20"/>
        </w:rPr>
        <w:t> </w:t>
      </w:r>
      <w:r>
        <w:rPr>
          <w:sz w:val="20"/>
        </w:rPr>
        <w:t>spike</w:t>
      </w:r>
      <w:r>
        <w:rPr>
          <w:spacing w:val="-5"/>
          <w:sz w:val="20"/>
        </w:rPr>
        <w:t> </w:t>
      </w:r>
      <w:r>
        <w:rPr>
          <w:sz w:val="20"/>
        </w:rPr>
        <w:t>as</w:t>
      </w:r>
      <w:r>
        <w:rPr>
          <w:spacing w:val="-4"/>
          <w:sz w:val="20"/>
        </w:rPr>
        <w:t> </w:t>
      </w:r>
      <w:r>
        <w:rPr>
          <w:sz w:val="20"/>
        </w:rPr>
        <w:t>described</w:t>
      </w:r>
      <w:r>
        <w:rPr>
          <w:spacing w:val="-5"/>
          <w:sz w:val="20"/>
        </w:rPr>
        <w:t> </w:t>
      </w:r>
      <w:r>
        <w:rPr>
          <w:sz w:val="20"/>
        </w:rPr>
        <w:t>in</w:t>
      </w:r>
      <w:r>
        <w:rPr>
          <w:spacing w:val="-5"/>
          <w:sz w:val="20"/>
        </w:rPr>
        <w:t> </w:t>
      </w:r>
      <w:r>
        <w:rPr>
          <w:sz w:val="20"/>
        </w:rPr>
        <w:t>the</w:t>
      </w:r>
      <w:r>
        <w:rPr>
          <w:spacing w:val="-5"/>
          <w:sz w:val="20"/>
        </w:rPr>
        <w:t> </w:t>
      </w:r>
      <w:r>
        <w:rPr>
          <w:sz w:val="20"/>
        </w:rPr>
        <w:t>procedure</w:t>
      </w:r>
      <w:r>
        <w:rPr>
          <w:spacing w:val="-5"/>
          <w:sz w:val="20"/>
        </w:rPr>
        <w:t> </w:t>
      </w:r>
      <w:r>
        <w:rPr>
          <w:sz w:val="20"/>
        </w:rPr>
        <w:t>above,</w:t>
      </w:r>
      <w:r>
        <w:rPr>
          <w:spacing w:val="-6"/>
          <w:sz w:val="20"/>
        </w:rPr>
        <w:t> </w:t>
      </w:r>
      <w:r>
        <w:rPr>
          <w:sz w:val="20"/>
        </w:rPr>
        <w:t>starting</w:t>
      </w:r>
      <w:r>
        <w:rPr>
          <w:spacing w:val="-5"/>
          <w:sz w:val="20"/>
        </w:rPr>
        <w:t> </w:t>
      </w:r>
      <w:r>
        <w:rPr>
          <w:sz w:val="20"/>
        </w:rPr>
        <w:t>with</w:t>
      </w:r>
      <w:r>
        <w:rPr>
          <w:spacing w:val="-5"/>
          <w:sz w:val="20"/>
        </w:rPr>
        <w:t> </w:t>
      </w:r>
      <w:r>
        <w:rPr>
          <w:sz w:val="20"/>
        </w:rPr>
        <w:t>the</w:t>
      </w:r>
      <w:r>
        <w:rPr>
          <w:spacing w:val="-5"/>
          <w:sz w:val="20"/>
        </w:rPr>
        <w:t> </w:t>
      </w:r>
      <w:r>
        <w:rPr>
          <w:sz w:val="20"/>
        </w:rPr>
        <w:t>0.1</w:t>
      </w:r>
      <w:r>
        <w:rPr>
          <w:spacing w:val="-5"/>
          <w:sz w:val="20"/>
        </w:rPr>
        <w:t> </w:t>
      </w:r>
      <w:r>
        <w:rPr>
          <w:sz w:val="20"/>
        </w:rPr>
        <w:t>mL sample spike. Accept each standard additions reading by pressing </w:t>
      </w:r>
      <w:r>
        <w:rPr>
          <w:b/>
          <w:sz w:val="18"/>
        </w:rPr>
        <w:t>READ</w:t>
      </w:r>
      <w:r>
        <w:rPr>
          <w:sz w:val="20"/>
        </w:rPr>
        <w:t>. Each addition should reflect approximately 100%</w:t>
      </w:r>
      <w:r>
        <w:rPr>
          <w:spacing w:val="-29"/>
          <w:sz w:val="20"/>
        </w:rPr>
        <w:t> </w:t>
      </w:r>
      <w:r>
        <w:rPr>
          <w:spacing w:val="-3"/>
          <w:sz w:val="20"/>
        </w:rPr>
        <w:t>recovery.</w:t>
      </w:r>
    </w:p>
    <w:p>
      <w:pPr>
        <w:pStyle w:val="BodyText"/>
        <w:spacing w:before="11"/>
        <w:rPr>
          <w:sz w:val="20"/>
        </w:rPr>
      </w:pPr>
    </w:p>
    <w:p>
      <w:pPr>
        <w:pStyle w:val="ListParagraph"/>
        <w:numPr>
          <w:ilvl w:val="1"/>
          <w:numId w:val="24"/>
        </w:numPr>
        <w:tabs>
          <w:tab w:pos="2286" w:val="left" w:leader="none"/>
        </w:tabs>
        <w:spacing w:line="249" w:lineRule="auto" w:before="0" w:after="0"/>
        <w:ind w:left="2285" w:right="161" w:hanging="359"/>
        <w:jc w:val="left"/>
        <w:rPr>
          <w:sz w:val="20"/>
        </w:rPr>
      </w:pPr>
      <w:r>
        <w:rPr>
          <w:sz w:val="20"/>
        </w:rPr>
        <w:t>After</w:t>
      </w:r>
      <w:r>
        <w:rPr>
          <w:spacing w:val="-9"/>
          <w:sz w:val="20"/>
        </w:rPr>
        <w:t> </w:t>
      </w:r>
      <w:r>
        <w:rPr>
          <w:sz w:val="20"/>
        </w:rPr>
        <w:t>completing</w:t>
      </w:r>
      <w:r>
        <w:rPr>
          <w:spacing w:val="-9"/>
          <w:sz w:val="20"/>
        </w:rPr>
        <w:t> </w:t>
      </w:r>
      <w:r>
        <w:rPr>
          <w:sz w:val="20"/>
        </w:rPr>
        <w:t>the</w:t>
      </w:r>
      <w:r>
        <w:rPr>
          <w:spacing w:val="-9"/>
          <w:sz w:val="20"/>
        </w:rPr>
        <w:t> </w:t>
      </w:r>
      <w:r>
        <w:rPr>
          <w:sz w:val="20"/>
        </w:rPr>
        <w:t>sequence,</w:t>
      </w:r>
      <w:r>
        <w:rPr>
          <w:spacing w:val="-9"/>
          <w:sz w:val="20"/>
        </w:rPr>
        <w:t> </w:t>
      </w:r>
      <w:r>
        <w:rPr>
          <w:sz w:val="20"/>
        </w:rPr>
        <w:t>press</w:t>
      </w:r>
      <w:r>
        <w:rPr>
          <w:spacing w:val="-10"/>
          <w:sz w:val="20"/>
        </w:rPr>
        <w:t> </w:t>
      </w:r>
      <w:r>
        <w:rPr>
          <w:b/>
          <w:sz w:val="18"/>
        </w:rPr>
        <w:t>GRAPH</w:t>
      </w:r>
      <w:r>
        <w:rPr>
          <w:b/>
          <w:spacing w:val="-4"/>
          <w:sz w:val="18"/>
        </w:rPr>
        <w:t> </w:t>
      </w:r>
      <w:r>
        <w:rPr>
          <w:sz w:val="20"/>
        </w:rPr>
        <w:t>to</w:t>
      </w:r>
      <w:r>
        <w:rPr>
          <w:spacing w:val="-9"/>
          <w:sz w:val="20"/>
        </w:rPr>
        <w:t> </w:t>
      </w:r>
      <w:r>
        <w:rPr>
          <w:sz w:val="20"/>
        </w:rPr>
        <w:t>view</w:t>
      </w:r>
      <w:r>
        <w:rPr>
          <w:spacing w:val="-10"/>
          <w:sz w:val="20"/>
        </w:rPr>
        <w:t> </w:t>
      </w:r>
      <w:r>
        <w:rPr>
          <w:sz w:val="20"/>
        </w:rPr>
        <w:t>the</w:t>
      </w:r>
      <w:r>
        <w:rPr>
          <w:spacing w:val="-9"/>
          <w:sz w:val="20"/>
        </w:rPr>
        <w:t> </w:t>
      </w:r>
      <w:r>
        <w:rPr>
          <w:sz w:val="20"/>
        </w:rPr>
        <w:t>best-fit</w:t>
      </w:r>
      <w:r>
        <w:rPr>
          <w:spacing w:val="-10"/>
          <w:sz w:val="20"/>
        </w:rPr>
        <w:t> </w:t>
      </w:r>
      <w:r>
        <w:rPr>
          <w:sz w:val="20"/>
        </w:rPr>
        <w:t>line</w:t>
      </w:r>
      <w:r>
        <w:rPr>
          <w:spacing w:val="-9"/>
          <w:sz w:val="20"/>
        </w:rPr>
        <w:t> </w:t>
      </w:r>
      <w:r>
        <w:rPr>
          <w:sz w:val="20"/>
        </w:rPr>
        <w:t>through</w:t>
      </w:r>
      <w:r>
        <w:rPr>
          <w:spacing w:val="-9"/>
          <w:sz w:val="20"/>
        </w:rPr>
        <w:t> </w:t>
      </w:r>
      <w:r>
        <w:rPr>
          <w:sz w:val="20"/>
        </w:rPr>
        <w:t>the</w:t>
      </w:r>
      <w:r>
        <w:rPr>
          <w:spacing w:val="-9"/>
          <w:sz w:val="20"/>
        </w:rPr>
        <w:t> </w:t>
      </w:r>
      <w:r>
        <w:rPr>
          <w:sz w:val="20"/>
        </w:rPr>
        <w:t>standard additions data points, accounting for the matrix interferences. Press </w:t>
      </w:r>
      <w:r>
        <w:rPr>
          <w:b/>
          <w:sz w:val="18"/>
        </w:rPr>
        <w:t>IDEAL LINE </w:t>
      </w:r>
      <w:r>
        <w:rPr>
          <w:sz w:val="20"/>
        </w:rPr>
        <w:t>to view the</w:t>
      </w:r>
      <w:r>
        <w:rPr>
          <w:spacing w:val="-4"/>
          <w:sz w:val="20"/>
        </w:rPr>
        <w:t> </w:t>
      </w:r>
      <w:r>
        <w:rPr>
          <w:sz w:val="20"/>
        </w:rPr>
        <w:t>relationship</w:t>
      </w:r>
      <w:r>
        <w:rPr>
          <w:spacing w:val="-4"/>
          <w:sz w:val="20"/>
        </w:rPr>
        <w:t> </w:t>
      </w:r>
      <w:r>
        <w:rPr>
          <w:sz w:val="20"/>
        </w:rPr>
        <w:t>between</w:t>
      </w:r>
      <w:r>
        <w:rPr>
          <w:spacing w:val="-4"/>
          <w:sz w:val="20"/>
        </w:rPr>
        <w:t> </w:t>
      </w:r>
      <w:r>
        <w:rPr>
          <w:sz w:val="20"/>
        </w:rPr>
        <w:t>the</w:t>
      </w:r>
      <w:r>
        <w:rPr>
          <w:spacing w:val="-5"/>
          <w:sz w:val="20"/>
        </w:rPr>
        <w:t> </w:t>
      </w:r>
      <w:r>
        <w:rPr>
          <w:sz w:val="20"/>
        </w:rPr>
        <w:t>sample</w:t>
      </w:r>
      <w:r>
        <w:rPr>
          <w:spacing w:val="-4"/>
          <w:sz w:val="20"/>
        </w:rPr>
        <w:t> </w:t>
      </w:r>
      <w:r>
        <w:rPr>
          <w:sz w:val="20"/>
        </w:rPr>
        <w:t>spikes</w:t>
      </w:r>
      <w:r>
        <w:rPr>
          <w:spacing w:val="-4"/>
          <w:sz w:val="20"/>
        </w:rPr>
        <w:t> </w:t>
      </w:r>
      <w:r>
        <w:rPr>
          <w:sz w:val="20"/>
        </w:rPr>
        <w:t>and</w:t>
      </w:r>
      <w:r>
        <w:rPr>
          <w:spacing w:val="-4"/>
          <w:sz w:val="20"/>
        </w:rPr>
        <w:t> </w:t>
      </w:r>
      <w:r>
        <w:rPr>
          <w:sz w:val="20"/>
        </w:rPr>
        <w:t>the</w:t>
      </w:r>
      <w:r>
        <w:rPr>
          <w:spacing w:val="-4"/>
          <w:sz w:val="20"/>
        </w:rPr>
        <w:t> </w:t>
      </w:r>
      <w:r>
        <w:rPr>
          <w:sz w:val="20"/>
        </w:rPr>
        <w:t>“Ideal</w:t>
      </w:r>
      <w:r>
        <w:rPr>
          <w:spacing w:val="-4"/>
          <w:sz w:val="20"/>
        </w:rPr>
        <w:t> </w:t>
      </w:r>
      <w:r>
        <w:rPr>
          <w:sz w:val="20"/>
        </w:rPr>
        <w:t>Line”</w:t>
      </w:r>
      <w:r>
        <w:rPr>
          <w:spacing w:val="-5"/>
          <w:sz w:val="20"/>
        </w:rPr>
        <w:t> </w:t>
      </w:r>
      <w:r>
        <w:rPr>
          <w:sz w:val="20"/>
        </w:rPr>
        <w:t>of</w:t>
      </w:r>
      <w:r>
        <w:rPr>
          <w:spacing w:val="-4"/>
          <w:sz w:val="20"/>
        </w:rPr>
        <w:t> </w:t>
      </w:r>
      <w:r>
        <w:rPr>
          <w:sz w:val="20"/>
        </w:rPr>
        <w:t>100%</w:t>
      </w:r>
      <w:r>
        <w:rPr>
          <w:spacing w:val="-3"/>
          <w:sz w:val="20"/>
        </w:rPr>
        <w:t> recovery.</w:t>
      </w:r>
    </w:p>
    <w:p>
      <w:pPr>
        <w:pStyle w:val="BodyText"/>
        <w:spacing w:before="11"/>
        <w:rPr>
          <w:sz w:val="20"/>
        </w:rPr>
      </w:pPr>
    </w:p>
    <w:p>
      <w:pPr>
        <w:spacing w:before="0"/>
        <w:ind w:left="1925" w:right="80" w:firstLine="0"/>
        <w:jc w:val="left"/>
        <w:rPr>
          <w:b/>
          <w:sz w:val="20"/>
        </w:rPr>
      </w:pPr>
      <w:r>
        <w:rPr>
          <w:b/>
          <w:sz w:val="20"/>
        </w:rPr>
        <w:t>Standard Solution Method</w:t>
      </w:r>
    </w:p>
    <w:p>
      <w:pPr>
        <w:pStyle w:val="BodyText"/>
        <w:spacing w:before="8"/>
        <w:rPr>
          <w:b/>
          <w:sz w:val="21"/>
        </w:rPr>
      </w:pPr>
    </w:p>
    <w:p>
      <w:pPr>
        <w:pStyle w:val="ListParagraph"/>
        <w:numPr>
          <w:ilvl w:val="0"/>
          <w:numId w:val="25"/>
        </w:numPr>
        <w:tabs>
          <w:tab w:pos="2286" w:val="left" w:leader="none"/>
        </w:tabs>
        <w:spacing w:line="249" w:lineRule="auto" w:before="0" w:after="0"/>
        <w:ind w:left="2285" w:right="658" w:hanging="359"/>
        <w:jc w:val="left"/>
        <w:rPr>
          <w:sz w:val="20"/>
        </w:rPr>
      </w:pPr>
      <w:r>
        <w:rPr>
          <w:spacing w:val="-12"/>
          <w:sz w:val="20"/>
        </w:rPr>
        <w:t>To </w:t>
      </w:r>
      <w:r>
        <w:rPr>
          <w:sz w:val="20"/>
        </w:rPr>
        <w:t>test </w:t>
      </w:r>
      <w:r>
        <w:rPr>
          <w:spacing w:val="-3"/>
          <w:sz w:val="20"/>
        </w:rPr>
        <w:t>accuracy, </w:t>
      </w:r>
      <w:r>
        <w:rPr>
          <w:sz w:val="20"/>
        </w:rPr>
        <w:t>use a 10.0-mg/L Nitrate Nitrogen Standard Solution in place of the sample and perform the procedure as described</w:t>
      </w:r>
      <w:r>
        <w:rPr>
          <w:spacing w:val="-37"/>
          <w:sz w:val="20"/>
        </w:rPr>
        <w:t> </w:t>
      </w:r>
      <w:r>
        <w:rPr>
          <w:sz w:val="20"/>
        </w:rPr>
        <w:t>above.</w:t>
      </w:r>
    </w:p>
    <w:p>
      <w:pPr>
        <w:pStyle w:val="BodyText"/>
        <w:spacing w:before="11"/>
        <w:rPr>
          <w:sz w:val="20"/>
        </w:rPr>
      </w:pPr>
    </w:p>
    <w:p>
      <w:pPr>
        <w:pStyle w:val="ListParagraph"/>
        <w:numPr>
          <w:ilvl w:val="0"/>
          <w:numId w:val="25"/>
        </w:numPr>
        <w:tabs>
          <w:tab w:pos="2286" w:val="left" w:leader="none"/>
        </w:tabs>
        <w:spacing w:line="249" w:lineRule="auto" w:before="0" w:after="0"/>
        <w:ind w:left="2285" w:right="262" w:hanging="359"/>
        <w:jc w:val="left"/>
        <w:rPr>
          <w:sz w:val="20"/>
        </w:rPr>
      </w:pPr>
      <w:r>
        <w:rPr>
          <w:spacing w:val="-12"/>
          <w:sz w:val="20"/>
        </w:rPr>
        <w:t>To </w:t>
      </w:r>
      <w:r>
        <w:rPr>
          <w:sz w:val="20"/>
        </w:rPr>
        <w:t>adjust the calibration curve using the reading obtained with the 10.0-mg/L Nitrate Nitrogen</w:t>
      </w:r>
      <w:r>
        <w:rPr>
          <w:spacing w:val="-5"/>
          <w:sz w:val="20"/>
        </w:rPr>
        <w:t> </w:t>
      </w:r>
      <w:r>
        <w:rPr>
          <w:sz w:val="20"/>
        </w:rPr>
        <w:t>Standard</w:t>
      </w:r>
      <w:r>
        <w:rPr>
          <w:spacing w:val="-5"/>
          <w:sz w:val="20"/>
        </w:rPr>
        <w:t> </w:t>
      </w:r>
      <w:r>
        <w:rPr>
          <w:sz w:val="20"/>
        </w:rPr>
        <w:t>Solution,</w:t>
      </w:r>
      <w:r>
        <w:rPr>
          <w:spacing w:val="-5"/>
          <w:sz w:val="20"/>
        </w:rPr>
        <w:t> </w:t>
      </w:r>
      <w:r>
        <w:rPr>
          <w:sz w:val="20"/>
        </w:rPr>
        <w:t>press</w:t>
      </w:r>
      <w:r>
        <w:rPr>
          <w:spacing w:val="-6"/>
          <w:sz w:val="20"/>
        </w:rPr>
        <w:t> </w:t>
      </w:r>
      <w:r>
        <w:rPr>
          <w:b/>
          <w:sz w:val="18"/>
        </w:rPr>
        <w:t>OPTIONS&gt;MORE</w:t>
      </w:r>
      <w:r>
        <w:rPr>
          <w:b/>
          <w:spacing w:val="-1"/>
          <w:sz w:val="18"/>
        </w:rPr>
        <w:t> </w:t>
      </w:r>
      <w:r>
        <w:rPr>
          <w:sz w:val="20"/>
        </w:rPr>
        <w:t>on</w:t>
      </w:r>
      <w:r>
        <w:rPr>
          <w:spacing w:val="-5"/>
          <w:sz w:val="20"/>
        </w:rPr>
        <w:t> </w:t>
      </w:r>
      <w:r>
        <w:rPr>
          <w:sz w:val="20"/>
        </w:rPr>
        <w:t>the</w:t>
      </w:r>
      <w:r>
        <w:rPr>
          <w:spacing w:val="-6"/>
          <w:sz w:val="20"/>
        </w:rPr>
        <w:t> </w:t>
      </w:r>
      <w:r>
        <w:rPr>
          <w:sz w:val="20"/>
        </w:rPr>
        <w:t>current</w:t>
      </w:r>
      <w:r>
        <w:rPr>
          <w:spacing w:val="-6"/>
          <w:sz w:val="20"/>
        </w:rPr>
        <w:t> </w:t>
      </w:r>
      <w:r>
        <w:rPr>
          <w:sz w:val="20"/>
        </w:rPr>
        <w:t>program</w:t>
      </w:r>
      <w:r>
        <w:rPr>
          <w:spacing w:val="-5"/>
          <w:sz w:val="20"/>
        </w:rPr>
        <w:t> </w:t>
      </w:r>
      <w:r>
        <w:rPr>
          <w:sz w:val="20"/>
        </w:rPr>
        <w:t>menu.</w:t>
      </w:r>
      <w:r>
        <w:rPr>
          <w:spacing w:val="-5"/>
          <w:sz w:val="20"/>
        </w:rPr>
        <w:t> </w:t>
      </w:r>
      <w:r>
        <w:rPr>
          <w:sz w:val="20"/>
        </w:rPr>
        <w:t>Press </w:t>
      </w:r>
      <w:r>
        <w:rPr>
          <w:b/>
          <w:sz w:val="18"/>
        </w:rPr>
        <w:t>STANDARD</w:t>
      </w:r>
      <w:r>
        <w:rPr>
          <w:b/>
          <w:spacing w:val="-17"/>
          <w:sz w:val="18"/>
        </w:rPr>
        <w:t> </w:t>
      </w:r>
      <w:r>
        <w:rPr>
          <w:b/>
          <w:sz w:val="18"/>
        </w:rPr>
        <w:t>ADJUST</w:t>
      </w:r>
      <w:r>
        <w:rPr>
          <w:sz w:val="20"/>
        </w:rPr>
        <w:t>.</w:t>
      </w:r>
    </w:p>
    <w:p>
      <w:pPr>
        <w:pStyle w:val="BodyText"/>
        <w:spacing w:before="11"/>
        <w:rPr>
          <w:sz w:val="20"/>
        </w:rPr>
      </w:pPr>
    </w:p>
    <w:p>
      <w:pPr>
        <w:pStyle w:val="ListParagraph"/>
        <w:numPr>
          <w:ilvl w:val="0"/>
          <w:numId w:val="25"/>
        </w:numPr>
        <w:tabs>
          <w:tab w:pos="2286" w:val="left" w:leader="none"/>
        </w:tabs>
        <w:spacing w:line="249" w:lineRule="auto" w:before="0" w:after="0"/>
        <w:ind w:left="2285" w:right="159" w:hanging="360"/>
        <w:jc w:val="both"/>
        <w:rPr>
          <w:sz w:val="20"/>
        </w:rPr>
      </w:pPr>
      <w:r>
        <w:rPr>
          <w:sz w:val="20"/>
        </w:rPr>
        <w:t>Press</w:t>
      </w:r>
      <w:r>
        <w:rPr>
          <w:spacing w:val="-10"/>
          <w:sz w:val="20"/>
        </w:rPr>
        <w:t> </w:t>
      </w:r>
      <w:r>
        <w:rPr>
          <w:b/>
          <w:sz w:val="18"/>
        </w:rPr>
        <w:t>ON</w:t>
      </w:r>
      <w:r>
        <w:rPr>
          <w:sz w:val="20"/>
        </w:rPr>
        <w:t>.</w:t>
      </w:r>
      <w:r>
        <w:rPr>
          <w:spacing w:val="-11"/>
          <w:sz w:val="20"/>
        </w:rPr>
        <w:t> </w:t>
      </w:r>
      <w:r>
        <w:rPr>
          <w:sz w:val="20"/>
        </w:rPr>
        <w:t>Press</w:t>
      </w:r>
      <w:r>
        <w:rPr>
          <w:spacing w:val="-12"/>
          <w:sz w:val="20"/>
        </w:rPr>
        <w:t> </w:t>
      </w:r>
      <w:r>
        <w:rPr>
          <w:b/>
          <w:sz w:val="18"/>
        </w:rPr>
        <w:t>ADJUST</w:t>
      </w:r>
      <w:r>
        <w:rPr>
          <w:b/>
          <w:spacing w:val="-3"/>
          <w:sz w:val="18"/>
        </w:rPr>
        <w:t> </w:t>
      </w:r>
      <w:r>
        <w:rPr>
          <w:sz w:val="20"/>
        </w:rPr>
        <w:t>to</w:t>
      </w:r>
      <w:r>
        <w:rPr>
          <w:spacing w:val="-10"/>
          <w:sz w:val="20"/>
        </w:rPr>
        <w:t> </w:t>
      </w:r>
      <w:r>
        <w:rPr>
          <w:sz w:val="20"/>
        </w:rPr>
        <w:t>accept</w:t>
      </w:r>
      <w:r>
        <w:rPr>
          <w:spacing w:val="-11"/>
          <w:sz w:val="20"/>
        </w:rPr>
        <w:t> </w:t>
      </w:r>
      <w:r>
        <w:rPr>
          <w:sz w:val="20"/>
        </w:rPr>
        <w:t>the</w:t>
      </w:r>
      <w:r>
        <w:rPr>
          <w:spacing w:val="-10"/>
          <w:sz w:val="20"/>
        </w:rPr>
        <w:t> </w:t>
      </w:r>
      <w:r>
        <w:rPr>
          <w:sz w:val="20"/>
        </w:rPr>
        <w:t>displayed</w:t>
      </w:r>
      <w:r>
        <w:rPr>
          <w:spacing w:val="-11"/>
          <w:sz w:val="20"/>
        </w:rPr>
        <w:t> </w:t>
      </w:r>
      <w:r>
        <w:rPr>
          <w:sz w:val="20"/>
        </w:rPr>
        <w:t>concentration</w:t>
      </w:r>
      <w:r>
        <w:rPr>
          <w:spacing w:val="-11"/>
          <w:sz w:val="20"/>
        </w:rPr>
        <w:t> </w:t>
      </w:r>
      <w:r>
        <w:rPr>
          <w:sz w:val="20"/>
        </w:rPr>
        <w:t>(the</w:t>
      </w:r>
      <w:r>
        <w:rPr>
          <w:spacing w:val="-11"/>
          <w:sz w:val="20"/>
        </w:rPr>
        <w:t> </w:t>
      </w:r>
      <w:r>
        <w:rPr>
          <w:sz w:val="20"/>
        </w:rPr>
        <w:t>value</w:t>
      </w:r>
      <w:r>
        <w:rPr>
          <w:spacing w:val="-11"/>
          <w:sz w:val="20"/>
        </w:rPr>
        <w:t> </w:t>
      </w:r>
      <w:r>
        <w:rPr>
          <w:sz w:val="20"/>
        </w:rPr>
        <w:t>depends</w:t>
      </w:r>
      <w:r>
        <w:rPr>
          <w:spacing w:val="-10"/>
          <w:sz w:val="20"/>
        </w:rPr>
        <w:t> </w:t>
      </w:r>
      <w:r>
        <w:rPr>
          <w:sz w:val="20"/>
        </w:rPr>
        <w:t>on</w:t>
      </w:r>
      <w:r>
        <w:rPr>
          <w:spacing w:val="-11"/>
          <w:sz w:val="20"/>
        </w:rPr>
        <w:t> </w:t>
      </w:r>
      <w:r>
        <w:rPr>
          <w:sz w:val="20"/>
        </w:rPr>
        <w:t>the selected</w:t>
      </w:r>
      <w:r>
        <w:rPr>
          <w:spacing w:val="-10"/>
          <w:sz w:val="20"/>
        </w:rPr>
        <w:t> </w:t>
      </w:r>
      <w:r>
        <w:rPr>
          <w:sz w:val="20"/>
        </w:rPr>
        <w:t>chemical</w:t>
      </w:r>
      <w:r>
        <w:rPr>
          <w:spacing w:val="-10"/>
          <w:sz w:val="20"/>
        </w:rPr>
        <w:t> </w:t>
      </w:r>
      <w:r>
        <w:rPr>
          <w:sz w:val="20"/>
        </w:rPr>
        <w:t>form).</w:t>
      </w:r>
      <w:r>
        <w:rPr>
          <w:spacing w:val="-11"/>
          <w:sz w:val="20"/>
        </w:rPr>
        <w:t> </w:t>
      </w:r>
      <w:r>
        <w:rPr>
          <w:sz w:val="20"/>
        </w:rPr>
        <w:t>If</w:t>
      </w:r>
      <w:r>
        <w:rPr>
          <w:spacing w:val="-11"/>
          <w:sz w:val="20"/>
        </w:rPr>
        <w:t> </w:t>
      </w:r>
      <w:r>
        <w:rPr>
          <w:sz w:val="20"/>
        </w:rPr>
        <w:t>an</w:t>
      </w:r>
      <w:r>
        <w:rPr>
          <w:spacing w:val="-10"/>
          <w:sz w:val="20"/>
        </w:rPr>
        <w:t> </w:t>
      </w:r>
      <w:r>
        <w:rPr>
          <w:sz w:val="20"/>
        </w:rPr>
        <w:t>alternate</w:t>
      </w:r>
      <w:r>
        <w:rPr>
          <w:spacing w:val="-10"/>
          <w:sz w:val="20"/>
        </w:rPr>
        <w:t> </w:t>
      </w:r>
      <w:r>
        <w:rPr>
          <w:sz w:val="20"/>
        </w:rPr>
        <w:t>concentration</w:t>
      </w:r>
      <w:r>
        <w:rPr>
          <w:spacing w:val="-10"/>
          <w:sz w:val="20"/>
        </w:rPr>
        <w:t> </w:t>
      </w:r>
      <w:r>
        <w:rPr>
          <w:sz w:val="20"/>
        </w:rPr>
        <w:t>is</w:t>
      </w:r>
      <w:r>
        <w:rPr>
          <w:spacing w:val="-10"/>
          <w:sz w:val="20"/>
        </w:rPr>
        <w:t> </w:t>
      </w:r>
      <w:r>
        <w:rPr>
          <w:sz w:val="20"/>
        </w:rPr>
        <w:t>used,</w:t>
      </w:r>
      <w:r>
        <w:rPr>
          <w:spacing w:val="-10"/>
          <w:sz w:val="20"/>
        </w:rPr>
        <w:t> </w:t>
      </w:r>
      <w:r>
        <w:rPr>
          <w:sz w:val="20"/>
        </w:rPr>
        <w:t>press</w:t>
      </w:r>
      <w:r>
        <w:rPr>
          <w:spacing w:val="-11"/>
          <w:sz w:val="20"/>
        </w:rPr>
        <w:t> </w:t>
      </w:r>
      <w:r>
        <w:rPr>
          <w:sz w:val="20"/>
        </w:rPr>
        <w:t>the</w:t>
      </w:r>
      <w:r>
        <w:rPr>
          <w:spacing w:val="-10"/>
          <w:sz w:val="20"/>
        </w:rPr>
        <w:t> </w:t>
      </w:r>
      <w:r>
        <w:rPr>
          <w:sz w:val="20"/>
        </w:rPr>
        <w:t>number</w:t>
      </w:r>
      <w:r>
        <w:rPr>
          <w:spacing w:val="-10"/>
          <w:sz w:val="20"/>
        </w:rPr>
        <w:t> </w:t>
      </w:r>
      <w:r>
        <w:rPr>
          <w:sz w:val="20"/>
        </w:rPr>
        <w:t>in</w:t>
      </w:r>
      <w:r>
        <w:rPr>
          <w:spacing w:val="-10"/>
          <w:sz w:val="20"/>
        </w:rPr>
        <w:t> </w:t>
      </w:r>
      <w:r>
        <w:rPr>
          <w:sz w:val="20"/>
        </w:rPr>
        <w:t>the</w:t>
      </w:r>
      <w:r>
        <w:rPr>
          <w:spacing w:val="-10"/>
          <w:sz w:val="20"/>
        </w:rPr>
        <w:t> </w:t>
      </w:r>
      <w:r>
        <w:rPr>
          <w:spacing w:val="-3"/>
          <w:sz w:val="20"/>
        </w:rPr>
        <w:t>box </w:t>
      </w:r>
      <w:r>
        <w:rPr>
          <w:sz w:val="20"/>
        </w:rPr>
        <w:t>to enter the actual concentration, then press </w:t>
      </w:r>
      <w:r>
        <w:rPr>
          <w:b/>
          <w:sz w:val="18"/>
        </w:rPr>
        <w:t>OK</w:t>
      </w:r>
      <w:r>
        <w:rPr>
          <w:sz w:val="20"/>
        </w:rPr>
        <w:t>. Press</w:t>
      </w:r>
      <w:r>
        <w:rPr>
          <w:spacing w:val="-37"/>
          <w:sz w:val="20"/>
        </w:rPr>
        <w:t> </w:t>
      </w:r>
      <w:r>
        <w:rPr>
          <w:b/>
          <w:sz w:val="18"/>
        </w:rPr>
        <w:t>ADJUST</w:t>
      </w:r>
      <w:r>
        <w:rPr>
          <w:sz w:val="20"/>
        </w:rPr>
        <w:t>.</w:t>
      </w:r>
    </w:p>
    <w:p>
      <w:pPr>
        <w:pStyle w:val="BodyText"/>
        <w:rPr>
          <w:sz w:val="20"/>
        </w:rPr>
      </w:pPr>
    </w:p>
    <w:p>
      <w:pPr>
        <w:pStyle w:val="BodyText"/>
        <w:rPr>
          <w:sz w:val="20"/>
        </w:rPr>
      </w:pPr>
    </w:p>
    <w:p>
      <w:pPr>
        <w:pStyle w:val="BodyText"/>
        <w:spacing w:before="1"/>
        <w:rPr>
          <w:sz w:val="13"/>
        </w:rPr>
      </w:pPr>
      <w:r>
        <w:rPr/>
        <w:pict>
          <v:group style="position:absolute;margin-left:54.049999pt;margin-top:9.522336pt;width:180.75pt;height:.5pt;mso-position-horizontal-relative:page;mso-position-vertical-relative:paragraph;z-index:12880;mso-wrap-distance-left:0;mso-wrap-distance-right:0" coordorigin="1081,190" coordsize="3615,10">
            <v:line style="position:absolute" from="1086,195" to="1086,195" stroked="true" strokeweight=".48pt" strokecolor="#000000"/>
            <v:line style="position:absolute" from="1086,195" to="4691,195" stroked="true" strokeweight=".48pt" strokecolor="#000000"/>
            <w10:wrap type="topAndBottom"/>
          </v:group>
        </w:pict>
      </w:r>
    </w:p>
    <w:p>
      <w:pPr>
        <w:pStyle w:val="ListParagraph"/>
        <w:numPr>
          <w:ilvl w:val="0"/>
          <w:numId w:val="26"/>
        </w:numPr>
        <w:tabs>
          <w:tab w:pos="233" w:val="left" w:leader="none"/>
        </w:tabs>
        <w:spacing w:line="240" w:lineRule="auto" w:before="2" w:after="0"/>
        <w:ind w:left="232" w:right="0" w:hanging="106"/>
        <w:jc w:val="left"/>
        <w:rPr>
          <w:sz w:val="16"/>
        </w:rPr>
      </w:pPr>
      <w:r>
        <w:rPr>
          <w:sz w:val="16"/>
        </w:rPr>
        <w:t>See </w:t>
      </w:r>
      <w:r>
        <w:rPr>
          <w:color w:val="0000FF"/>
          <w:sz w:val="16"/>
        </w:rPr>
        <w:t>Optional Reagents and Apparatus on page</w:t>
      </w:r>
      <w:r>
        <w:rPr>
          <w:color w:val="0000FF"/>
          <w:spacing w:val="-11"/>
          <w:sz w:val="16"/>
        </w:rPr>
        <w:t> </w:t>
      </w:r>
      <w:r>
        <w:rPr>
          <w:color w:val="0000FF"/>
          <w:sz w:val="16"/>
        </w:rPr>
        <w:t>4</w:t>
      </w:r>
      <w:r>
        <w:rPr>
          <w:sz w:val="16"/>
        </w:rPr>
        <w:t>.</w:t>
      </w:r>
    </w:p>
    <w:p>
      <w:pPr>
        <w:pStyle w:val="BodyText"/>
        <w:spacing w:before="9"/>
      </w:pPr>
      <w:r>
        <w:rPr/>
        <w:pict>
          <v:group style="position:absolute;margin-left:53.474998pt;margin-top:15.089787pt;width:505.05pt;height:1.05pt;mso-position-horizontal-relative:page;mso-position-vertical-relative:paragraph;z-index:12904;mso-wrap-distance-left:0;mso-wrap-distance-right:0" coordorigin="1069,302" coordsize="10101,21">
            <v:line style="position:absolute" from="1080,312" to="1080,312" stroked="true" strokeweight="1.02pt" strokecolor="#000000"/>
            <v:line style="position:absolute" from="1080,312" to="11160,312" stroked="true" strokeweight="1.02pt" strokecolor="#000000"/>
            <w10:wrap type="topAndBottom"/>
          </v:group>
        </w:pict>
      </w:r>
    </w:p>
    <w:p>
      <w:pPr>
        <w:spacing w:line="207" w:lineRule="exact" w:before="0"/>
        <w:ind w:left="0" w:right="143" w:firstLine="0"/>
        <w:jc w:val="right"/>
        <w:rPr>
          <w:b/>
          <w:sz w:val="20"/>
        </w:rPr>
      </w:pPr>
      <w:r>
        <w:rPr>
          <w:b/>
          <w:w w:val="95"/>
          <w:sz w:val="20"/>
        </w:rPr>
        <w:t>Nitrate</w:t>
      </w:r>
    </w:p>
    <w:p>
      <w:pPr>
        <w:tabs>
          <w:tab w:pos="9004" w:val="left" w:leader="none"/>
        </w:tabs>
        <w:spacing w:before="10"/>
        <w:ind w:left="0" w:right="143" w:firstLine="0"/>
        <w:jc w:val="right"/>
        <w:rPr>
          <w:b/>
          <w:sz w:val="20"/>
        </w:rPr>
      </w:pPr>
      <w:r>
        <w:rPr>
          <w:sz w:val="14"/>
        </w:rPr>
        <w:t>Nitrate_10020_TNT_HR.fm</w:t>
        <w:tab/>
      </w:r>
      <w:r>
        <w:rPr>
          <w:b/>
          <w:sz w:val="20"/>
        </w:rPr>
        <w:t>Page 3 of</w:t>
      </w:r>
      <w:r>
        <w:rPr>
          <w:b/>
          <w:spacing w:val="-11"/>
          <w:sz w:val="20"/>
        </w:rPr>
        <w:t> </w:t>
      </w:r>
      <w:r>
        <w:rPr>
          <w:b/>
          <w:sz w:val="20"/>
        </w:rPr>
        <w:t>4</w:t>
      </w:r>
    </w:p>
    <w:p>
      <w:pPr>
        <w:spacing w:after="0"/>
        <w:jc w:val="right"/>
        <w:rPr>
          <w:sz w:val="20"/>
        </w:rPr>
        <w:sectPr>
          <w:headerReference w:type="default" r:id="rId217"/>
          <w:footerReference w:type="default" r:id="rId218"/>
          <w:pgSz w:w="11900" w:h="15840"/>
          <w:pgMar w:header="0" w:footer="0" w:top="220" w:bottom="0" w:left="960" w:right="620"/>
        </w:sectPr>
      </w:pPr>
    </w:p>
    <w:p>
      <w:pPr>
        <w:pStyle w:val="Heading4"/>
        <w:spacing w:before="74"/>
        <w:ind w:left="118"/>
      </w:pPr>
      <w:r>
        <w:rPr/>
        <w:pict>
          <v:group style="position:absolute;margin-left:35.415001pt;margin-top:22.080879pt;width:505.05pt;height:1.05pt;mso-position-horizontal-relative:page;mso-position-vertical-relative:paragraph;z-index:12976;mso-wrap-distance-left:0;mso-wrap-distance-right:0" coordorigin="708,442" coordsize="10101,21">
            <v:line style="position:absolute" from="719,452" to="719,452" stroked="true" strokeweight="1.02pt" strokecolor="#000000"/>
            <v:line style="position:absolute" from="719,452" to="10799,452" stroked="true" strokeweight="1.02pt" strokecolor="#000000"/>
            <w10:wrap type="topAndBottom"/>
          </v:group>
        </w:pict>
      </w:r>
      <w:r>
        <w:rPr/>
        <w:pict>
          <v:shape style="position:absolute;margin-left:218.577606pt;margin-top:4.176857pt;width:5.35pt;height:9.6pt;mso-position-horizontal-relative:page;mso-position-vertical-relative:paragraph;z-index:-1518736" type="#_x0000_t202" filled="false" stroked="false">
            <v:textbox inset="0,0,0,0">
              <w:txbxContent>
                <w:p>
                  <w:pPr>
                    <w:spacing w:line="192" w:lineRule="exact" w:before="0"/>
                    <w:ind w:left="0" w:right="0" w:firstLine="0"/>
                    <w:jc w:val="left"/>
                    <w:rPr>
                      <w:b/>
                      <w:sz w:val="19"/>
                    </w:rPr>
                  </w:pPr>
                  <w:r>
                    <w:rPr>
                      <w:b/>
                      <w:w w:val="101"/>
                      <w:sz w:val="19"/>
                    </w:rPr>
                    <w:t>–</w:t>
                  </w:r>
                </w:p>
              </w:txbxContent>
            </v:textbox>
            <w10:wrap type="none"/>
          </v:shape>
        </w:pict>
      </w:r>
      <w:r>
        <w:rPr/>
        <w:t>Nitrate HR (0.2 to 30.0 mg/L NO</w:t>
      </w:r>
      <w:r>
        <w:rPr>
          <w:position w:val="-5"/>
          <w:sz w:val="19"/>
        </w:rPr>
        <w:t>3 </w:t>
      </w:r>
      <w:r>
        <w:rPr/>
        <w:t>–N)</w:t>
      </w:r>
    </w:p>
    <w:p>
      <w:pPr>
        <w:pStyle w:val="BodyText"/>
        <w:spacing w:before="10"/>
        <w:rPr>
          <w:b/>
          <w:sz w:val="11"/>
        </w:rPr>
      </w:pPr>
    </w:p>
    <w:p>
      <w:pPr>
        <w:spacing w:before="64"/>
        <w:ind w:left="120" w:right="101" w:firstLine="0"/>
        <w:jc w:val="left"/>
        <w:rPr>
          <w:b/>
          <w:sz w:val="28"/>
        </w:rPr>
      </w:pPr>
      <w:r>
        <w:rPr>
          <w:b/>
          <w:sz w:val="28"/>
        </w:rPr>
        <w:t>Method Performance</w:t>
      </w:r>
    </w:p>
    <w:p>
      <w:pPr>
        <w:spacing w:before="180"/>
        <w:ind w:left="1920" w:right="101" w:firstLine="0"/>
        <w:jc w:val="left"/>
        <w:rPr>
          <w:b/>
          <w:sz w:val="20"/>
        </w:rPr>
      </w:pPr>
      <w:r>
        <w:rPr>
          <w:b/>
          <w:sz w:val="20"/>
        </w:rPr>
        <w:t>Precision</w:t>
      </w:r>
    </w:p>
    <w:p>
      <w:pPr>
        <w:spacing w:before="10"/>
        <w:ind w:left="1920" w:right="101" w:firstLine="0"/>
        <w:jc w:val="left"/>
        <w:rPr>
          <w:sz w:val="20"/>
        </w:rPr>
      </w:pPr>
      <w:r>
        <w:rPr/>
        <w:pict>
          <v:shape style="position:absolute;margin-left:238.796875pt;margin-top:.888407pt;width:4.45pt;height:8pt;mso-position-horizontal-relative:page;mso-position-vertical-relative:paragraph;z-index:-1518712" type="#_x0000_t202" filled="false" stroked="false">
            <v:textbox inset="0,0,0,0">
              <w:txbxContent>
                <w:p>
                  <w:pPr>
                    <w:spacing w:line="160" w:lineRule="exact" w:before="0"/>
                    <w:ind w:left="0" w:right="0" w:firstLine="0"/>
                    <w:jc w:val="left"/>
                    <w:rPr>
                      <w:sz w:val="16"/>
                    </w:rPr>
                  </w:pPr>
                  <w:r>
                    <w:rPr>
                      <w:w w:val="99"/>
                      <w:sz w:val="16"/>
                    </w:rPr>
                    <w:t>–</w:t>
                  </w:r>
                </w:p>
              </w:txbxContent>
            </v:textbox>
            <w10:wrap type="none"/>
          </v:shape>
        </w:pict>
      </w:r>
      <w:r>
        <w:rPr>
          <w:sz w:val="20"/>
        </w:rPr>
        <w:t>Standard: 10.0 mg/L NO</w:t>
      </w:r>
      <w:r>
        <w:rPr>
          <w:position w:val="-4"/>
          <w:sz w:val="16"/>
        </w:rPr>
        <w:t>3 </w:t>
      </w:r>
      <w:r>
        <w:rPr>
          <w:sz w:val="20"/>
        </w:rPr>
        <w:t>–N</w:t>
      </w:r>
    </w:p>
    <w:p>
      <w:pPr>
        <w:pStyle w:val="BodyText"/>
        <w:spacing w:before="10"/>
        <w:rPr>
          <w:sz w:val="18"/>
        </w:rPr>
      </w:pPr>
    </w:p>
    <w:tbl>
      <w:tblPr>
        <w:tblW w:w="0" w:type="auto"/>
        <w:jc w:val="left"/>
        <w:tblInd w:w="1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32"/>
        <w:gridCol w:w="6546"/>
      </w:tblGrid>
      <w:tr>
        <w:trPr>
          <w:trHeight w:val="380" w:hRule="exact"/>
        </w:trPr>
        <w:tc>
          <w:tcPr>
            <w:tcW w:w="1732" w:type="dxa"/>
          </w:tcPr>
          <w:p>
            <w:pPr>
              <w:pStyle w:val="TableParagraph"/>
              <w:spacing w:before="66"/>
              <w:ind w:left="470" w:right="470"/>
              <w:jc w:val="center"/>
              <w:rPr>
                <w:rFonts w:ascii="Arial"/>
                <w:b/>
                <w:sz w:val="18"/>
              </w:rPr>
            </w:pPr>
            <w:r>
              <w:rPr>
                <w:rFonts w:ascii="Arial"/>
                <w:b/>
                <w:sz w:val="18"/>
              </w:rPr>
              <w:t>Program</w:t>
            </w:r>
          </w:p>
        </w:tc>
        <w:tc>
          <w:tcPr>
            <w:tcW w:w="6546" w:type="dxa"/>
          </w:tcPr>
          <w:p>
            <w:pPr>
              <w:pStyle w:val="TableParagraph"/>
              <w:spacing w:before="66"/>
              <w:ind w:left="1623" w:right="1623"/>
              <w:jc w:val="center"/>
              <w:rPr>
                <w:rFonts w:ascii="Arial"/>
                <w:b/>
                <w:sz w:val="18"/>
              </w:rPr>
            </w:pPr>
            <w:r>
              <w:rPr>
                <w:rFonts w:ascii="Arial"/>
                <w:b/>
                <w:sz w:val="18"/>
              </w:rPr>
              <w:t>95% Confidence Limits of Distribution</w:t>
            </w:r>
          </w:p>
        </w:tc>
      </w:tr>
      <w:tr>
        <w:trPr>
          <w:trHeight w:val="300" w:hRule="exact"/>
        </w:trPr>
        <w:tc>
          <w:tcPr>
            <w:tcW w:w="1732" w:type="dxa"/>
          </w:tcPr>
          <w:p>
            <w:pPr>
              <w:pStyle w:val="TableParagraph"/>
              <w:spacing w:before="26"/>
              <w:ind w:left="470" w:right="470"/>
              <w:jc w:val="center"/>
              <w:rPr>
                <w:rFonts w:ascii="Arial"/>
                <w:sz w:val="18"/>
              </w:rPr>
            </w:pPr>
            <w:r>
              <w:rPr>
                <w:rFonts w:ascii="Arial"/>
                <w:sz w:val="18"/>
              </w:rPr>
              <w:t>344</w:t>
            </w:r>
          </w:p>
        </w:tc>
        <w:tc>
          <w:tcPr>
            <w:tcW w:w="6546" w:type="dxa"/>
          </w:tcPr>
          <w:p>
            <w:pPr>
              <w:pStyle w:val="TableParagraph"/>
              <w:spacing w:before="14"/>
              <w:ind w:left="1623" w:right="1623"/>
              <w:jc w:val="center"/>
              <w:rPr>
                <w:rFonts w:ascii="Arial" w:hAnsi="Arial"/>
                <w:sz w:val="18"/>
              </w:rPr>
            </w:pPr>
            <w:r>
              <w:rPr>
                <w:rFonts w:ascii="Arial" w:hAnsi="Arial"/>
                <w:sz w:val="18"/>
              </w:rPr>
              <w:t>9.5–10.5 mg/L NO</w:t>
            </w:r>
            <w:r>
              <w:rPr>
                <w:rFonts w:ascii="Arial" w:hAnsi="Arial"/>
                <w:position w:val="-3"/>
                <w:sz w:val="14"/>
              </w:rPr>
              <w:t>3</w:t>
            </w:r>
            <w:r>
              <w:rPr>
                <w:rFonts w:ascii="Arial" w:hAnsi="Arial"/>
                <w:position w:val="5"/>
                <w:sz w:val="14"/>
              </w:rPr>
              <w:t>–</w:t>
            </w:r>
            <w:r>
              <w:rPr>
                <w:rFonts w:ascii="Arial" w:hAnsi="Arial"/>
                <w:sz w:val="18"/>
              </w:rPr>
              <w:t>–N</w:t>
            </w:r>
          </w:p>
        </w:tc>
      </w:tr>
    </w:tbl>
    <w:p>
      <w:pPr>
        <w:pStyle w:val="BodyText"/>
        <w:spacing w:before="3"/>
        <w:rPr>
          <w:sz w:val="19"/>
        </w:rPr>
      </w:pPr>
    </w:p>
    <w:p>
      <w:pPr>
        <w:spacing w:before="0"/>
        <w:ind w:left="1920" w:right="101" w:firstLine="0"/>
        <w:jc w:val="left"/>
        <w:rPr>
          <w:b/>
          <w:sz w:val="20"/>
        </w:rPr>
      </w:pPr>
      <w:r>
        <w:rPr>
          <w:b/>
          <w:sz w:val="20"/>
        </w:rPr>
        <w:t>Sensitivity</w:t>
      </w:r>
    </w:p>
    <w:p>
      <w:pPr>
        <w:pStyle w:val="BodyText"/>
        <w:spacing w:after="1"/>
        <w:rPr>
          <w:b/>
          <w:sz w:val="12"/>
        </w:rPr>
      </w:pPr>
    </w:p>
    <w:tbl>
      <w:tblPr>
        <w:tblW w:w="0" w:type="auto"/>
        <w:jc w:val="left"/>
        <w:tblInd w:w="19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4"/>
        <w:gridCol w:w="3100"/>
        <w:gridCol w:w="2604"/>
      </w:tblGrid>
      <w:tr>
        <w:trPr>
          <w:trHeight w:val="380" w:hRule="exact"/>
        </w:trPr>
        <w:tc>
          <w:tcPr>
            <w:tcW w:w="2604" w:type="dxa"/>
          </w:tcPr>
          <w:p>
            <w:pPr>
              <w:pStyle w:val="TableParagraph"/>
              <w:spacing w:before="66"/>
              <w:ind w:left="572" w:right="572"/>
              <w:jc w:val="center"/>
              <w:rPr>
                <w:rFonts w:ascii="Arial"/>
                <w:b/>
                <w:sz w:val="18"/>
              </w:rPr>
            </w:pPr>
            <w:r>
              <w:rPr>
                <w:rFonts w:ascii="Arial"/>
                <w:b/>
                <w:sz w:val="18"/>
              </w:rPr>
              <w:t>Portion of Curve</w:t>
            </w:r>
          </w:p>
        </w:tc>
        <w:tc>
          <w:tcPr>
            <w:tcW w:w="3100" w:type="dxa"/>
          </w:tcPr>
          <w:p>
            <w:pPr>
              <w:pStyle w:val="TableParagraph"/>
              <w:spacing w:before="64"/>
              <w:ind w:left="1292" w:right="1293"/>
              <w:jc w:val="center"/>
              <w:rPr>
                <w:rFonts w:ascii="Arial" w:hAnsi="Arial"/>
                <w:b/>
                <w:sz w:val="18"/>
              </w:rPr>
            </w:pPr>
            <w:r>
              <w:rPr>
                <w:w w:val="105"/>
                <w:sz w:val="18"/>
              </w:rPr>
              <w:t>Δ</w:t>
            </w:r>
            <w:r>
              <w:rPr>
                <w:rFonts w:ascii="Arial" w:hAnsi="Arial"/>
                <w:b/>
                <w:w w:val="105"/>
                <w:sz w:val="18"/>
              </w:rPr>
              <w:t>Abs</w:t>
            </w:r>
          </w:p>
        </w:tc>
        <w:tc>
          <w:tcPr>
            <w:tcW w:w="2604" w:type="dxa"/>
          </w:tcPr>
          <w:p>
            <w:pPr>
              <w:pStyle w:val="TableParagraph"/>
              <w:spacing w:before="64"/>
              <w:ind w:left="625" w:right="0"/>
              <w:jc w:val="left"/>
              <w:rPr>
                <w:rFonts w:ascii="Arial" w:hAnsi="Arial"/>
                <w:b/>
                <w:sz w:val="18"/>
              </w:rPr>
            </w:pPr>
            <w:r>
              <w:rPr>
                <w:sz w:val="18"/>
              </w:rPr>
              <w:t>Δ</w:t>
            </w:r>
            <w:r>
              <w:rPr>
                <w:rFonts w:ascii="Arial" w:hAnsi="Arial"/>
                <w:b/>
                <w:sz w:val="18"/>
              </w:rPr>
              <w:t>Concentration</w:t>
            </w:r>
          </w:p>
        </w:tc>
      </w:tr>
      <w:tr>
        <w:trPr>
          <w:trHeight w:val="300" w:hRule="exact"/>
        </w:trPr>
        <w:tc>
          <w:tcPr>
            <w:tcW w:w="2604" w:type="dxa"/>
          </w:tcPr>
          <w:p>
            <w:pPr>
              <w:pStyle w:val="TableParagraph"/>
              <w:spacing w:before="26"/>
              <w:ind w:left="572" w:right="570"/>
              <w:jc w:val="center"/>
              <w:rPr>
                <w:rFonts w:ascii="Arial"/>
                <w:sz w:val="18"/>
              </w:rPr>
            </w:pPr>
            <w:r>
              <w:rPr>
                <w:rFonts w:ascii="Arial"/>
                <w:sz w:val="18"/>
              </w:rPr>
              <w:t>Entire range</w:t>
            </w:r>
          </w:p>
        </w:tc>
        <w:tc>
          <w:tcPr>
            <w:tcW w:w="3100" w:type="dxa"/>
          </w:tcPr>
          <w:p>
            <w:pPr>
              <w:pStyle w:val="TableParagraph"/>
              <w:spacing w:before="26"/>
              <w:ind w:left="1292" w:right="1288"/>
              <w:jc w:val="center"/>
              <w:rPr>
                <w:rFonts w:ascii="Arial"/>
                <w:sz w:val="18"/>
              </w:rPr>
            </w:pPr>
            <w:r>
              <w:rPr>
                <w:rFonts w:ascii="Arial"/>
                <w:sz w:val="18"/>
              </w:rPr>
              <w:t>0.010</w:t>
            </w:r>
          </w:p>
        </w:tc>
        <w:tc>
          <w:tcPr>
            <w:tcW w:w="2604" w:type="dxa"/>
          </w:tcPr>
          <w:p>
            <w:pPr>
              <w:pStyle w:val="TableParagraph"/>
              <w:spacing w:before="14"/>
              <w:ind w:left="594" w:right="0"/>
              <w:jc w:val="left"/>
              <w:rPr>
                <w:rFonts w:ascii="Arial" w:hAnsi="Arial"/>
                <w:sz w:val="18"/>
              </w:rPr>
            </w:pPr>
            <w:r>
              <w:rPr>
                <w:rFonts w:ascii="Arial" w:hAnsi="Arial"/>
                <w:sz w:val="18"/>
              </w:rPr>
              <w:t>0.2 mg/L NO</w:t>
            </w:r>
            <w:r>
              <w:rPr>
                <w:rFonts w:ascii="Arial" w:hAnsi="Arial"/>
                <w:position w:val="-3"/>
                <w:sz w:val="14"/>
              </w:rPr>
              <w:t>3</w:t>
            </w:r>
            <w:r>
              <w:rPr>
                <w:rFonts w:ascii="Arial" w:hAnsi="Arial"/>
                <w:position w:val="5"/>
                <w:sz w:val="14"/>
              </w:rPr>
              <w:t>–</w:t>
            </w:r>
            <w:r>
              <w:rPr>
                <w:rFonts w:ascii="Arial" w:hAnsi="Arial"/>
                <w:sz w:val="18"/>
              </w:rPr>
              <w:t>–N</w:t>
            </w:r>
          </w:p>
        </w:tc>
      </w:tr>
    </w:tbl>
    <w:p>
      <w:pPr>
        <w:pStyle w:val="BodyText"/>
        <w:spacing w:before="2"/>
        <w:rPr>
          <w:b/>
          <w:sz w:val="24"/>
        </w:rPr>
      </w:pPr>
    </w:p>
    <w:p>
      <w:pPr>
        <w:pStyle w:val="Heading3"/>
        <w:ind w:left="120"/>
      </w:pPr>
      <w:r>
        <w:rPr/>
        <w:t>Summary of Method</w:t>
      </w:r>
    </w:p>
    <w:p>
      <w:pPr>
        <w:spacing w:line="249" w:lineRule="auto" w:before="180"/>
        <w:ind w:left="1920" w:right="101" w:firstLine="0"/>
        <w:jc w:val="left"/>
        <w:rPr>
          <w:sz w:val="20"/>
        </w:rPr>
      </w:pPr>
      <w:r>
        <w:rPr>
          <w:sz w:val="20"/>
        </w:rPr>
        <w:t>Nitrate in the sample reacts with chromotropic acid under strongly acidic conditions to yield a yellow product with a maximum absorbance at 410 nm.</w:t>
      </w:r>
    </w:p>
    <w:p>
      <w:pPr>
        <w:pStyle w:val="BodyText"/>
        <w:rPr>
          <w:sz w:val="26"/>
        </w:rPr>
      </w:pPr>
    </w:p>
    <w:p>
      <w:pPr>
        <w:pStyle w:val="Heading3"/>
        <w:ind w:left="120"/>
      </w:pPr>
      <w:r>
        <w:rPr/>
        <w:t>Consumables and Replacement Items</w:t>
      </w:r>
    </w:p>
    <w:p>
      <w:pPr>
        <w:spacing w:before="139"/>
        <w:ind w:left="120" w:right="101" w:firstLine="0"/>
        <w:jc w:val="left"/>
        <w:rPr>
          <w:b/>
          <w:sz w:val="20"/>
        </w:rPr>
      </w:pPr>
      <w:r>
        <w:rPr>
          <w:b/>
          <w:sz w:val="20"/>
        </w:rPr>
        <w:t>Required Reagents</w:t>
      </w:r>
    </w:p>
    <w:p>
      <w:pPr>
        <w:pStyle w:val="BodyText"/>
        <w:spacing w:before="8"/>
        <w:rPr>
          <w:b/>
          <w:sz w:val="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98"/>
        <w:gridCol w:w="2525"/>
        <w:gridCol w:w="1105"/>
        <w:gridCol w:w="1451"/>
      </w:tblGrid>
      <w:tr>
        <w:trPr>
          <w:trHeight w:val="379" w:hRule="exact"/>
        </w:trPr>
        <w:tc>
          <w:tcPr>
            <w:tcW w:w="4998" w:type="dxa"/>
            <w:tcBorders>
              <w:left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2525" w:type="dxa"/>
            <w:tcBorders>
              <w:left w:val="nil"/>
              <w:right w:val="nil"/>
            </w:tcBorders>
          </w:tcPr>
          <w:p>
            <w:pPr>
              <w:pStyle w:val="TableParagraph"/>
              <w:spacing w:before="66"/>
              <w:ind w:left="1130" w:right="204"/>
              <w:jc w:val="center"/>
              <w:rPr>
                <w:rFonts w:ascii="Arial"/>
                <w:b/>
                <w:sz w:val="18"/>
              </w:rPr>
            </w:pPr>
            <w:r>
              <w:rPr>
                <w:rFonts w:ascii="Arial"/>
                <w:b/>
                <w:sz w:val="18"/>
              </w:rPr>
              <w:t>Quantity/Test</w:t>
            </w:r>
          </w:p>
        </w:tc>
        <w:tc>
          <w:tcPr>
            <w:tcW w:w="1105" w:type="dxa"/>
            <w:tcBorders>
              <w:left w:val="nil"/>
              <w:right w:val="nil"/>
            </w:tcBorders>
          </w:tcPr>
          <w:p>
            <w:pPr>
              <w:pStyle w:val="TableParagraph"/>
              <w:spacing w:before="66"/>
              <w:ind w:left="210" w:right="311"/>
              <w:jc w:val="center"/>
              <w:rPr>
                <w:rFonts w:ascii="Arial"/>
                <w:b/>
                <w:sz w:val="18"/>
              </w:rPr>
            </w:pPr>
            <w:r>
              <w:rPr>
                <w:rFonts w:ascii="Arial"/>
                <w:b/>
                <w:sz w:val="18"/>
              </w:rPr>
              <w:t>Unit</w:t>
            </w:r>
          </w:p>
        </w:tc>
        <w:tc>
          <w:tcPr>
            <w:tcW w:w="1451" w:type="dxa"/>
            <w:tcBorders>
              <w:left w:val="nil"/>
              <w:right w:val="single" w:sz="2" w:space="0" w:color="000000"/>
            </w:tcBorders>
          </w:tcPr>
          <w:p>
            <w:pPr>
              <w:pStyle w:val="TableParagraph"/>
              <w:spacing w:before="66"/>
              <w:ind w:left="375" w:right="0"/>
              <w:jc w:val="left"/>
              <w:rPr>
                <w:rFonts w:ascii="Arial"/>
                <w:b/>
                <w:sz w:val="18"/>
              </w:rPr>
            </w:pPr>
            <w:r>
              <w:rPr>
                <w:rFonts w:ascii="Arial"/>
                <w:b/>
                <w:sz w:val="18"/>
              </w:rPr>
              <w:t>Cat. No.</w:t>
            </w:r>
          </w:p>
        </w:tc>
      </w:tr>
      <w:tr>
        <w:trPr>
          <w:trHeight w:val="300" w:hRule="exact"/>
        </w:trPr>
        <w:tc>
          <w:tcPr>
            <w:tcW w:w="4998" w:type="dxa"/>
            <w:tcBorders>
              <w:left w:val="single" w:sz="2" w:space="0" w:color="000000"/>
              <w:right w:val="nil"/>
            </w:tcBorders>
            <w:shd w:val="clear" w:color="auto" w:fill="E6E6FF"/>
          </w:tcPr>
          <w:p>
            <w:pPr>
              <w:pStyle w:val="TableParagraph"/>
              <w:spacing w:before="14"/>
              <w:ind w:left="77" w:right="0"/>
              <w:jc w:val="left"/>
              <w:rPr>
                <w:rFonts w:ascii="Arial" w:hAnsi="Arial"/>
                <w:sz w:val="18"/>
              </w:rPr>
            </w:pPr>
            <w:r>
              <w:rPr>
                <w:rFonts w:ascii="Arial" w:hAnsi="Arial"/>
                <w:sz w:val="18"/>
              </w:rPr>
              <w:t>Test ‘N Tube™ NitraVer</w:t>
            </w:r>
            <w:r>
              <w:rPr>
                <w:rFonts w:ascii="Arial" w:hAnsi="Arial"/>
                <w:position w:val="5"/>
                <w:sz w:val="14"/>
              </w:rPr>
              <w:t>® </w:t>
            </w:r>
            <w:r>
              <w:rPr>
                <w:rFonts w:ascii="Arial" w:hAnsi="Arial"/>
                <w:sz w:val="18"/>
              </w:rPr>
              <w:t>X Nitrate Reagent Set</w:t>
            </w:r>
          </w:p>
        </w:tc>
        <w:tc>
          <w:tcPr>
            <w:tcW w:w="2525" w:type="dxa"/>
            <w:tcBorders>
              <w:left w:val="nil"/>
              <w:right w:val="nil"/>
            </w:tcBorders>
            <w:shd w:val="clear" w:color="auto" w:fill="E6E6FF"/>
          </w:tcPr>
          <w:p>
            <w:pPr>
              <w:pStyle w:val="TableParagraph"/>
              <w:spacing w:before="26"/>
              <w:ind w:left="924" w:right="0"/>
              <w:jc w:val="center"/>
              <w:rPr>
                <w:rFonts w:ascii="Arial"/>
                <w:sz w:val="18"/>
              </w:rPr>
            </w:pPr>
            <w:r>
              <w:rPr>
                <w:rFonts w:ascii="Arial"/>
                <w:sz w:val="18"/>
              </w:rPr>
              <w:t>1</w:t>
            </w:r>
          </w:p>
        </w:tc>
        <w:tc>
          <w:tcPr>
            <w:tcW w:w="1105" w:type="dxa"/>
            <w:tcBorders>
              <w:left w:val="nil"/>
              <w:right w:val="nil"/>
            </w:tcBorders>
            <w:shd w:val="clear" w:color="auto" w:fill="E6E6FF"/>
          </w:tcPr>
          <w:p>
            <w:pPr>
              <w:pStyle w:val="TableParagraph"/>
              <w:spacing w:before="26"/>
              <w:ind w:left="210" w:right="313"/>
              <w:jc w:val="center"/>
              <w:rPr>
                <w:rFonts w:ascii="Arial"/>
                <w:sz w:val="18"/>
              </w:rPr>
            </w:pPr>
            <w:r>
              <w:rPr>
                <w:rFonts w:ascii="Arial"/>
                <w:sz w:val="18"/>
              </w:rPr>
              <w:t>50/pkg</w:t>
            </w:r>
          </w:p>
        </w:tc>
        <w:tc>
          <w:tcPr>
            <w:tcW w:w="1451" w:type="dxa"/>
            <w:tcBorders>
              <w:left w:val="nil"/>
              <w:right w:val="single" w:sz="2" w:space="0" w:color="000000"/>
            </w:tcBorders>
            <w:shd w:val="clear" w:color="auto" w:fill="E6E6FF"/>
          </w:tcPr>
          <w:p>
            <w:pPr>
              <w:pStyle w:val="TableParagraph"/>
              <w:spacing w:before="26"/>
              <w:ind w:left="335" w:right="0"/>
              <w:jc w:val="left"/>
              <w:rPr>
                <w:rFonts w:ascii="Arial"/>
                <w:sz w:val="18"/>
              </w:rPr>
            </w:pPr>
            <w:r>
              <w:rPr>
                <w:rFonts w:ascii="Arial"/>
                <w:sz w:val="18"/>
              </w:rPr>
              <w:t>26053-45</w:t>
            </w:r>
          </w:p>
        </w:tc>
      </w:tr>
    </w:tbl>
    <w:p>
      <w:pPr>
        <w:spacing w:before="61"/>
        <w:ind w:left="120" w:right="101" w:firstLine="0"/>
        <w:jc w:val="left"/>
        <w:rPr>
          <w:b/>
          <w:sz w:val="20"/>
        </w:rPr>
      </w:pPr>
      <w:r>
        <w:rPr>
          <w:b/>
          <w:sz w:val="20"/>
        </w:rPr>
        <w:t>Required Apparatus</w:t>
      </w:r>
    </w:p>
    <w:p>
      <w:pPr>
        <w:pStyle w:val="BodyText"/>
        <w:spacing w:before="8"/>
        <w:rPr>
          <w:b/>
          <w:sz w:val="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89"/>
        <w:gridCol w:w="2853"/>
        <w:gridCol w:w="1093"/>
        <w:gridCol w:w="1441"/>
      </w:tblGrid>
      <w:tr>
        <w:trPr>
          <w:trHeight w:val="379" w:hRule="exact"/>
        </w:trPr>
        <w:tc>
          <w:tcPr>
            <w:tcW w:w="4689"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2853" w:type="dxa"/>
            <w:tcBorders>
              <w:left w:val="nil"/>
              <w:bottom w:val="single" w:sz="2" w:space="0" w:color="000000"/>
              <w:right w:val="nil"/>
            </w:tcBorders>
          </w:tcPr>
          <w:p>
            <w:pPr>
              <w:pStyle w:val="TableParagraph"/>
              <w:spacing w:before="66"/>
              <w:ind w:left="1456" w:right="205"/>
              <w:jc w:val="center"/>
              <w:rPr>
                <w:rFonts w:ascii="Arial"/>
                <w:b/>
                <w:sz w:val="18"/>
              </w:rPr>
            </w:pPr>
            <w:r>
              <w:rPr>
                <w:rFonts w:ascii="Arial"/>
                <w:b/>
                <w:sz w:val="18"/>
              </w:rPr>
              <w:t>Quantity/Test</w:t>
            </w:r>
          </w:p>
        </w:tc>
        <w:tc>
          <w:tcPr>
            <w:tcW w:w="1093" w:type="dxa"/>
            <w:tcBorders>
              <w:left w:val="nil"/>
              <w:bottom w:val="single" w:sz="2" w:space="0" w:color="000000"/>
              <w:right w:val="nil"/>
            </w:tcBorders>
          </w:tcPr>
          <w:p>
            <w:pPr>
              <w:pStyle w:val="TableParagraph"/>
              <w:spacing w:before="66"/>
              <w:ind w:left="210" w:right="299"/>
              <w:jc w:val="center"/>
              <w:rPr>
                <w:rFonts w:ascii="Arial"/>
                <w:b/>
                <w:sz w:val="18"/>
              </w:rPr>
            </w:pPr>
            <w:r>
              <w:rPr>
                <w:rFonts w:ascii="Arial"/>
                <w:b/>
                <w:sz w:val="18"/>
              </w:rPr>
              <w:t>Unit</w:t>
            </w:r>
          </w:p>
        </w:tc>
        <w:tc>
          <w:tcPr>
            <w:tcW w:w="1441" w:type="dxa"/>
            <w:tcBorders>
              <w:left w:val="nil"/>
              <w:bottom w:val="single" w:sz="2" w:space="0" w:color="000000"/>
              <w:right w:val="single" w:sz="2" w:space="0" w:color="000000"/>
            </w:tcBorders>
          </w:tcPr>
          <w:p>
            <w:pPr>
              <w:pStyle w:val="TableParagraph"/>
              <w:spacing w:before="66"/>
              <w:ind w:left="362" w:right="0"/>
              <w:jc w:val="left"/>
              <w:rPr>
                <w:rFonts w:ascii="Arial"/>
                <w:b/>
                <w:sz w:val="18"/>
              </w:rPr>
            </w:pPr>
            <w:r>
              <w:rPr>
                <w:rFonts w:ascii="Arial"/>
                <w:b/>
                <w:sz w:val="18"/>
              </w:rPr>
              <w:t>Cat. No.</w:t>
            </w:r>
          </w:p>
        </w:tc>
      </w:tr>
      <w:tr>
        <w:trPr>
          <w:trHeight w:val="300" w:hRule="exact"/>
        </w:trPr>
        <w:tc>
          <w:tcPr>
            <w:tcW w:w="4689"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Funnel, micro, poly</w:t>
            </w:r>
          </w:p>
        </w:tc>
        <w:tc>
          <w:tcPr>
            <w:tcW w:w="2853" w:type="dxa"/>
            <w:tcBorders>
              <w:top w:val="single" w:sz="2" w:space="0" w:color="000000"/>
              <w:left w:val="nil"/>
              <w:bottom w:val="nil"/>
              <w:right w:val="nil"/>
            </w:tcBorders>
            <w:shd w:val="clear" w:color="auto" w:fill="E6E6FF"/>
          </w:tcPr>
          <w:p>
            <w:pPr>
              <w:pStyle w:val="TableParagraph"/>
              <w:spacing w:before="29"/>
              <w:ind w:left="1251" w:right="0"/>
              <w:jc w:val="center"/>
              <w:rPr>
                <w:rFonts w:ascii="Arial"/>
                <w:sz w:val="18"/>
              </w:rPr>
            </w:pPr>
            <w:r>
              <w:rPr>
                <w:rFonts w:ascii="Arial"/>
                <w:sz w:val="18"/>
              </w:rPr>
              <w:t>1</w:t>
            </w:r>
          </w:p>
        </w:tc>
        <w:tc>
          <w:tcPr>
            <w:tcW w:w="1093" w:type="dxa"/>
            <w:tcBorders>
              <w:top w:val="single" w:sz="2" w:space="0" w:color="000000"/>
              <w:left w:val="nil"/>
              <w:bottom w:val="nil"/>
              <w:right w:val="nil"/>
            </w:tcBorders>
            <w:shd w:val="clear" w:color="auto" w:fill="E6E6FF"/>
          </w:tcPr>
          <w:p>
            <w:pPr>
              <w:pStyle w:val="TableParagraph"/>
              <w:spacing w:before="29"/>
              <w:ind w:left="212" w:right="299"/>
              <w:jc w:val="center"/>
              <w:rPr>
                <w:rFonts w:ascii="Arial"/>
                <w:sz w:val="18"/>
              </w:rPr>
            </w:pPr>
            <w:r>
              <w:rPr>
                <w:rFonts w:ascii="Arial"/>
                <w:sz w:val="18"/>
              </w:rPr>
              <w:t>each</w:t>
            </w:r>
          </w:p>
        </w:tc>
        <w:tc>
          <w:tcPr>
            <w:tcW w:w="1441" w:type="dxa"/>
            <w:tcBorders>
              <w:top w:val="single" w:sz="2" w:space="0" w:color="000000"/>
              <w:left w:val="nil"/>
              <w:bottom w:val="nil"/>
              <w:right w:val="single" w:sz="2" w:space="0" w:color="000000"/>
            </w:tcBorders>
            <w:shd w:val="clear" w:color="auto" w:fill="E6E6FF"/>
          </w:tcPr>
          <w:p>
            <w:pPr>
              <w:pStyle w:val="TableParagraph"/>
              <w:spacing w:before="29"/>
              <w:ind w:left="322" w:right="0"/>
              <w:jc w:val="left"/>
              <w:rPr>
                <w:rFonts w:ascii="Arial"/>
                <w:sz w:val="18"/>
              </w:rPr>
            </w:pPr>
            <w:r>
              <w:rPr>
                <w:rFonts w:ascii="Arial"/>
                <w:sz w:val="18"/>
              </w:rPr>
              <w:t>25843-35</w:t>
            </w:r>
          </w:p>
        </w:tc>
      </w:tr>
      <w:tr>
        <w:trPr>
          <w:trHeight w:val="300" w:hRule="exact"/>
        </w:trPr>
        <w:tc>
          <w:tcPr>
            <w:tcW w:w="4689" w:type="dxa"/>
            <w:tcBorders>
              <w:top w:val="nil"/>
              <w:left w:val="single" w:sz="2" w:space="0" w:color="000000"/>
              <w:bottom w:val="nil"/>
              <w:right w:val="nil"/>
            </w:tcBorders>
          </w:tcPr>
          <w:p>
            <w:pPr>
              <w:pStyle w:val="TableParagraph"/>
              <w:spacing w:before="29"/>
              <w:ind w:left="77" w:right="0"/>
              <w:jc w:val="left"/>
              <w:rPr>
                <w:rFonts w:ascii="Arial" w:hAnsi="Arial"/>
                <w:sz w:val="18"/>
              </w:rPr>
            </w:pPr>
            <w:r>
              <w:rPr>
                <w:rFonts w:ascii="Arial" w:hAnsi="Arial"/>
                <w:sz w:val="18"/>
              </w:rPr>
              <w:t>Pipet, TenSette</w:t>
            </w:r>
            <w:r>
              <w:rPr>
                <w:rFonts w:ascii="Arial" w:hAnsi="Arial"/>
                <w:position w:val="4"/>
                <w:sz w:val="14"/>
              </w:rPr>
              <w:t>®</w:t>
            </w:r>
            <w:r>
              <w:rPr>
                <w:rFonts w:ascii="Arial" w:hAnsi="Arial"/>
                <w:sz w:val="18"/>
              </w:rPr>
              <w:t>, 0.1 to 1.0 mL</w:t>
            </w:r>
          </w:p>
        </w:tc>
        <w:tc>
          <w:tcPr>
            <w:tcW w:w="2853" w:type="dxa"/>
            <w:tcBorders>
              <w:top w:val="nil"/>
              <w:left w:val="nil"/>
              <w:bottom w:val="nil"/>
              <w:right w:val="nil"/>
            </w:tcBorders>
          </w:tcPr>
          <w:p>
            <w:pPr>
              <w:pStyle w:val="TableParagraph"/>
              <w:spacing w:before="31"/>
              <w:ind w:left="1248" w:right="0"/>
              <w:jc w:val="center"/>
              <w:rPr>
                <w:rFonts w:ascii="Arial"/>
                <w:sz w:val="18"/>
              </w:rPr>
            </w:pPr>
            <w:r>
              <w:rPr>
                <w:rFonts w:ascii="Arial"/>
                <w:sz w:val="18"/>
              </w:rPr>
              <w:t>1</w:t>
            </w:r>
          </w:p>
        </w:tc>
        <w:tc>
          <w:tcPr>
            <w:tcW w:w="1093" w:type="dxa"/>
            <w:tcBorders>
              <w:top w:val="nil"/>
              <w:left w:val="nil"/>
              <w:bottom w:val="nil"/>
              <w:right w:val="nil"/>
            </w:tcBorders>
          </w:tcPr>
          <w:p>
            <w:pPr>
              <w:pStyle w:val="TableParagraph"/>
              <w:spacing w:before="31"/>
              <w:ind w:left="208" w:right="299"/>
              <w:jc w:val="center"/>
              <w:rPr>
                <w:rFonts w:ascii="Arial"/>
                <w:sz w:val="18"/>
              </w:rPr>
            </w:pPr>
            <w:r>
              <w:rPr>
                <w:rFonts w:ascii="Arial"/>
                <w:sz w:val="18"/>
              </w:rPr>
              <w:t>each</w:t>
            </w:r>
          </w:p>
        </w:tc>
        <w:tc>
          <w:tcPr>
            <w:tcW w:w="1441" w:type="dxa"/>
            <w:tcBorders>
              <w:top w:val="nil"/>
              <w:left w:val="nil"/>
              <w:bottom w:val="nil"/>
              <w:right w:val="single" w:sz="2" w:space="0" w:color="000000"/>
            </w:tcBorders>
          </w:tcPr>
          <w:p>
            <w:pPr>
              <w:pStyle w:val="TableParagraph"/>
              <w:spacing w:before="31"/>
              <w:ind w:left="321" w:right="0"/>
              <w:jc w:val="left"/>
              <w:rPr>
                <w:rFonts w:ascii="Arial"/>
                <w:sz w:val="18"/>
              </w:rPr>
            </w:pPr>
            <w:r>
              <w:rPr>
                <w:rFonts w:ascii="Arial"/>
                <w:sz w:val="18"/>
              </w:rPr>
              <w:t>19700-01</w:t>
            </w:r>
          </w:p>
        </w:tc>
      </w:tr>
      <w:tr>
        <w:trPr>
          <w:trHeight w:val="300" w:hRule="exact"/>
        </w:trPr>
        <w:tc>
          <w:tcPr>
            <w:tcW w:w="4689"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Pipet Tips, for TenSette Pipet 19700-01</w:t>
            </w:r>
          </w:p>
        </w:tc>
        <w:tc>
          <w:tcPr>
            <w:tcW w:w="2853" w:type="dxa"/>
            <w:tcBorders>
              <w:top w:val="nil"/>
              <w:left w:val="nil"/>
              <w:bottom w:val="nil"/>
              <w:right w:val="nil"/>
            </w:tcBorders>
            <w:shd w:val="clear" w:color="auto" w:fill="E6E6FF"/>
          </w:tcPr>
          <w:p>
            <w:pPr>
              <w:pStyle w:val="TableParagraph"/>
              <w:spacing w:before="31"/>
              <w:ind w:left="1456" w:right="205"/>
              <w:jc w:val="center"/>
              <w:rPr>
                <w:rFonts w:ascii="Arial"/>
                <w:sz w:val="18"/>
              </w:rPr>
            </w:pPr>
            <w:r>
              <w:rPr>
                <w:rFonts w:ascii="Arial"/>
                <w:sz w:val="18"/>
              </w:rPr>
              <w:t>varies</w:t>
            </w:r>
          </w:p>
        </w:tc>
        <w:tc>
          <w:tcPr>
            <w:tcW w:w="1093" w:type="dxa"/>
            <w:tcBorders>
              <w:top w:val="nil"/>
              <w:left w:val="nil"/>
              <w:bottom w:val="nil"/>
              <w:right w:val="nil"/>
            </w:tcBorders>
            <w:shd w:val="clear" w:color="auto" w:fill="E6E6FF"/>
          </w:tcPr>
          <w:p>
            <w:pPr>
              <w:pStyle w:val="TableParagraph"/>
              <w:spacing w:before="31"/>
              <w:ind w:left="213" w:right="299"/>
              <w:jc w:val="center"/>
              <w:rPr>
                <w:rFonts w:ascii="Arial"/>
                <w:sz w:val="18"/>
              </w:rPr>
            </w:pPr>
            <w:r>
              <w:rPr>
                <w:rFonts w:ascii="Arial"/>
                <w:sz w:val="18"/>
              </w:rPr>
              <w:t>50/pkg</w:t>
            </w:r>
          </w:p>
        </w:tc>
        <w:tc>
          <w:tcPr>
            <w:tcW w:w="1441" w:type="dxa"/>
            <w:tcBorders>
              <w:top w:val="nil"/>
              <w:left w:val="nil"/>
              <w:bottom w:val="nil"/>
              <w:right w:val="single" w:sz="2" w:space="0" w:color="000000"/>
            </w:tcBorders>
            <w:shd w:val="clear" w:color="auto" w:fill="E6E6FF"/>
          </w:tcPr>
          <w:p>
            <w:pPr>
              <w:pStyle w:val="TableParagraph"/>
              <w:spacing w:before="31"/>
              <w:ind w:left="322" w:right="0"/>
              <w:jc w:val="left"/>
              <w:rPr>
                <w:rFonts w:ascii="Arial"/>
                <w:sz w:val="18"/>
              </w:rPr>
            </w:pPr>
            <w:r>
              <w:rPr>
                <w:rFonts w:ascii="Arial"/>
                <w:sz w:val="18"/>
              </w:rPr>
              <w:t>21856-96</w:t>
            </w:r>
          </w:p>
        </w:tc>
      </w:tr>
      <w:tr>
        <w:trPr>
          <w:trHeight w:val="300" w:hRule="exact"/>
        </w:trPr>
        <w:tc>
          <w:tcPr>
            <w:tcW w:w="4689" w:type="dxa"/>
            <w:tcBorders>
              <w:top w:val="nil"/>
              <w:left w:val="single" w:sz="2" w:space="0" w:color="000000"/>
              <w:bottom w:val="single" w:sz="2" w:space="0" w:color="000000"/>
              <w:right w:val="nil"/>
            </w:tcBorders>
          </w:tcPr>
          <w:p>
            <w:pPr>
              <w:pStyle w:val="TableParagraph"/>
              <w:spacing w:before="31"/>
              <w:ind w:left="77" w:right="0"/>
              <w:jc w:val="left"/>
              <w:rPr>
                <w:rFonts w:ascii="Arial"/>
                <w:sz w:val="18"/>
              </w:rPr>
            </w:pPr>
            <w:r>
              <w:rPr>
                <w:rFonts w:ascii="Arial"/>
                <w:sz w:val="18"/>
              </w:rPr>
              <w:t>Test Tube Rack</w:t>
            </w:r>
          </w:p>
        </w:tc>
        <w:tc>
          <w:tcPr>
            <w:tcW w:w="2853" w:type="dxa"/>
            <w:tcBorders>
              <w:top w:val="nil"/>
              <w:left w:val="nil"/>
              <w:bottom w:val="single" w:sz="2" w:space="0" w:color="000000"/>
              <w:right w:val="nil"/>
            </w:tcBorders>
          </w:tcPr>
          <w:p>
            <w:pPr>
              <w:pStyle w:val="TableParagraph"/>
              <w:spacing w:before="31"/>
              <w:ind w:left="1455" w:right="205"/>
              <w:jc w:val="center"/>
              <w:rPr>
                <w:rFonts w:ascii="Arial" w:hAnsi="Arial"/>
                <w:sz w:val="18"/>
              </w:rPr>
            </w:pPr>
            <w:r>
              <w:rPr>
                <w:rFonts w:ascii="Arial" w:hAnsi="Arial"/>
                <w:sz w:val="18"/>
              </w:rPr>
              <w:t>1–3</w:t>
            </w:r>
          </w:p>
        </w:tc>
        <w:tc>
          <w:tcPr>
            <w:tcW w:w="1093" w:type="dxa"/>
            <w:tcBorders>
              <w:top w:val="nil"/>
              <w:left w:val="nil"/>
              <w:bottom w:val="single" w:sz="2" w:space="0" w:color="000000"/>
              <w:right w:val="nil"/>
            </w:tcBorders>
          </w:tcPr>
          <w:p>
            <w:pPr>
              <w:pStyle w:val="TableParagraph"/>
              <w:spacing w:before="31"/>
              <w:ind w:left="212" w:right="299"/>
              <w:jc w:val="center"/>
              <w:rPr>
                <w:rFonts w:ascii="Arial"/>
                <w:sz w:val="18"/>
              </w:rPr>
            </w:pPr>
            <w:r>
              <w:rPr>
                <w:rFonts w:ascii="Arial"/>
                <w:sz w:val="18"/>
              </w:rPr>
              <w:t>each</w:t>
            </w:r>
          </w:p>
        </w:tc>
        <w:tc>
          <w:tcPr>
            <w:tcW w:w="1441" w:type="dxa"/>
            <w:tcBorders>
              <w:top w:val="nil"/>
              <w:left w:val="nil"/>
              <w:bottom w:val="single" w:sz="2" w:space="0" w:color="000000"/>
              <w:right w:val="single" w:sz="2" w:space="0" w:color="000000"/>
            </w:tcBorders>
          </w:tcPr>
          <w:p>
            <w:pPr>
              <w:pStyle w:val="TableParagraph"/>
              <w:spacing w:before="31"/>
              <w:ind w:left="322" w:right="0"/>
              <w:jc w:val="left"/>
              <w:rPr>
                <w:rFonts w:ascii="Arial"/>
                <w:sz w:val="18"/>
              </w:rPr>
            </w:pPr>
            <w:r>
              <w:rPr>
                <w:rFonts w:ascii="Arial"/>
                <w:sz w:val="18"/>
              </w:rPr>
              <w:t>18641-00</w:t>
            </w:r>
          </w:p>
        </w:tc>
      </w:tr>
    </w:tbl>
    <w:p>
      <w:pPr>
        <w:spacing w:before="63"/>
        <w:ind w:left="120" w:right="101" w:firstLine="0"/>
        <w:jc w:val="left"/>
        <w:rPr>
          <w:b/>
          <w:sz w:val="20"/>
        </w:rPr>
      </w:pPr>
      <w:r>
        <w:rPr>
          <w:b/>
          <w:sz w:val="20"/>
        </w:rPr>
        <w:t>Recommended Standards and Apparatus</w:t>
      </w:r>
    </w:p>
    <w:p>
      <w:pPr>
        <w:pStyle w:val="BodyText"/>
        <w:spacing w:before="8"/>
        <w:rPr>
          <w:b/>
          <w:sz w:val="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91"/>
        <w:gridCol w:w="1498"/>
        <w:gridCol w:w="1391"/>
      </w:tblGrid>
      <w:tr>
        <w:trPr>
          <w:trHeight w:val="379" w:hRule="exact"/>
        </w:trPr>
        <w:tc>
          <w:tcPr>
            <w:tcW w:w="7191"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1498" w:type="dxa"/>
            <w:tcBorders>
              <w:left w:val="nil"/>
              <w:bottom w:val="single" w:sz="2" w:space="0" w:color="000000"/>
              <w:right w:val="nil"/>
            </w:tcBorders>
          </w:tcPr>
          <w:p>
            <w:pPr>
              <w:pStyle w:val="TableParagraph"/>
              <w:spacing w:before="66"/>
              <w:ind w:left="465" w:right="251"/>
              <w:jc w:val="center"/>
              <w:rPr>
                <w:rFonts w:ascii="Arial"/>
                <w:b/>
                <w:sz w:val="18"/>
              </w:rPr>
            </w:pPr>
            <w:r>
              <w:rPr>
                <w:rFonts w:ascii="Arial"/>
                <w:b/>
                <w:sz w:val="18"/>
              </w:rPr>
              <w:t>Unit</w:t>
            </w:r>
          </w:p>
        </w:tc>
        <w:tc>
          <w:tcPr>
            <w:tcW w:w="1391" w:type="dxa"/>
            <w:tcBorders>
              <w:left w:val="nil"/>
              <w:bottom w:val="single" w:sz="2" w:space="0" w:color="000000"/>
              <w:right w:val="single" w:sz="2" w:space="0" w:color="000000"/>
            </w:tcBorders>
          </w:tcPr>
          <w:p>
            <w:pPr>
              <w:pStyle w:val="TableParagraph"/>
              <w:spacing w:before="66"/>
              <w:ind w:left="252" w:right="334"/>
              <w:jc w:val="center"/>
              <w:rPr>
                <w:rFonts w:ascii="Arial"/>
                <w:b/>
                <w:sz w:val="18"/>
              </w:rPr>
            </w:pPr>
            <w:r>
              <w:rPr>
                <w:rFonts w:ascii="Arial"/>
                <w:b/>
                <w:sz w:val="18"/>
              </w:rPr>
              <w:t>Cat. No.</w:t>
            </w:r>
          </w:p>
        </w:tc>
      </w:tr>
      <w:tr>
        <w:trPr>
          <w:trHeight w:val="300" w:hRule="exact"/>
        </w:trPr>
        <w:tc>
          <w:tcPr>
            <w:tcW w:w="7191"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Nitrate Nitrogen Standard Solution, 10-mg/L: N</w:t>
            </w:r>
          </w:p>
        </w:tc>
        <w:tc>
          <w:tcPr>
            <w:tcW w:w="1498" w:type="dxa"/>
            <w:tcBorders>
              <w:top w:val="single" w:sz="2" w:space="0" w:color="000000"/>
              <w:left w:val="nil"/>
              <w:bottom w:val="nil"/>
              <w:right w:val="nil"/>
            </w:tcBorders>
            <w:shd w:val="clear" w:color="auto" w:fill="E6E6FF"/>
          </w:tcPr>
          <w:p>
            <w:pPr>
              <w:pStyle w:val="TableParagraph"/>
              <w:spacing w:before="29"/>
              <w:ind w:left="465" w:right="251"/>
              <w:jc w:val="center"/>
              <w:rPr>
                <w:rFonts w:ascii="Arial"/>
                <w:sz w:val="18"/>
              </w:rPr>
            </w:pPr>
            <w:r>
              <w:rPr>
                <w:rFonts w:ascii="Arial"/>
                <w:sz w:val="18"/>
              </w:rPr>
              <w:t>500 mL</w:t>
            </w:r>
          </w:p>
        </w:tc>
        <w:tc>
          <w:tcPr>
            <w:tcW w:w="1391" w:type="dxa"/>
            <w:tcBorders>
              <w:top w:val="single" w:sz="2" w:space="0" w:color="000000"/>
              <w:left w:val="nil"/>
              <w:bottom w:val="nil"/>
              <w:right w:val="single" w:sz="2" w:space="0" w:color="000000"/>
            </w:tcBorders>
            <w:shd w:val="clear" w:color="auto" w:fill="E6E6FF"/>
          </w:tcPr>
          <w:p>
            <w:pPr>
              <w:pStyle w:val="TableParagraph"/>
              <w:spacing w:before="29"/>
              <w:ind w:left="251" w:right="334"/>
              <w:jc w:val="center"/>
              <w:rPr>
                <w:rFonts w:ascii="Arial"/>
                <w:sz w:val="18"/>
              </w:rPr>
            </w:pPr>
            <w:r>
              <w:rPr>
                <w:rFonts w:ascii="Arial"/>
                <w:sz w:val="18"/>
              </w:rPr>
              <w:t>307-49</w:t>
            </w:r>
          </w:p>
        </w:tc>
      </w:tr>
      <w:tr>
        <w:trPr>
          <w:trHeight w:val="300" w:hRule="exact"/>
        </w:trPr>
        <w:tc>
          <w:tcPr>
            <w:tcW w:w="7191" w:type="dxa"/>
            <w:tcBorders>
              <w:top w:val="nil"/>
              <w:left w:val="single" w:sz="2" w:space="0" w:color="000000"/>
              <w:bottom w:val="nil"/>
              <w:right w:val="nil"/>
            </w:tcBorders>
          </w:tcPr>
          <w:p>
            <w:pPr>
              <w:pStyle w:val="TableParagraph"/>
              <w:spacing w:before="29"/>
              <w:ind w:left="78" w:right="0"/>
              <w:jc w:val="left"/>
              <w:rPr>
                <w:rFonts w:ascii="Arial" w:hAnsi="Arial"/>
                <w:sz w:val="18"/>
              </w:rPr>
            </w:pPr>
            <w:r>
              <w:rPr>
                <w:rFonts w:ascii="Arial" w:hAnsi="Arial"/>
                <w:sz w:val="18"/>
              </w:rPr>
              <w:t>Nitrate Nitrogen Standard Solution, Voluette</w:t>
            </w:r>
            <w:r>
              <w:rPr>
                <w:rFonts w:ascii="Arial" w:hAnsi="Arial"/>
                <w:position w:val="4"/>
                <w:sz w:val="14"/>
              </w:rPr>
              <w:t>® </w:t>
            </w:r>
            <w:r>
              <w:rPr>
                <w:rFonts w:ascii="Arial" w:hAnsi="Arial"/>
                <w:sz w:val="18"/>
              </w:rPr>
              <w:t>Ampule, 500-mg/L N</w:t>
            </w:r>
          </w:p>
        </w:tc>
        <w:tc>
          <w:tcPr>
            <w:tcW w:w="1498" w:type="dxa"/>
            <w:tcBorders>
              <w:top w:val="nil"/>
              <w:left w:val="nil"/>
              <w:bottom w:val="nil"/>
              <w:right w:val="nil"/>
            </w:tcBorders>
          </w:tcPr>
          <w:p>
            <w:pPr>
              <w:pStyle w:val="TableParagraph"/>
              <w:spacing w:before="31"/>
              <w:ind w:left="464" w:right="251"/>
              <w:jc w:val="center"/>
              <w:rPr>
                <w:rFonts w:ascii="Arial"/>
                <w:sz w:val="18"/>
              </w:rPr>
            </w:pPr>
            <w:r>
              <w:rPr>
                <w:rFonts w:ascii="Arial"/>
                <w:sz w:val="18"/>
              </w:rPr>
              <w:t>16/pkg</w:t>
            </w:r>
          </w:p>
        </w:tc>
        <w:tc>
          <w:tcPr>
            <w:tcW w:w="1391" w:type="dxa"/>
            <w:tcBorders>
              <w:top w:val="nil"/>
              <w:left w:val="nil"/>
              <w:bottom w:val="nil"/>
              <w:right w:val="single" w:sz="2" w:space="0" w:color="000000"/>
            </w:tcBorders>
          </w:tcPr>
          <w:p>
            <w:pPr>
              <w:pStyle w:val="TableParagraph"/>
              <w:spacing w:before="31"/>
              <w:ind w:left="252" w:right="334"/>
              <w:jc w:val="center"/>
              <w:rPr>
                <w:rFonts w:ascii="Arial"/>
                <w:sz w:val="18"/>
              </w:rPr>
            </w:pPr>
            <w:r>
              <w:rPr>
                <w:rFonts w:ascii="Arial"/>
                <w:sz w:val="18"/>
              </w:rPr>
              <w:t>14260-10</w:t>
            </w:r>
          </w:p>
        </w:tc>
      </w:tr>
      <w:tr>
        <w:trPr>
          <w:trHeight w:val="300" w:hRule="exact"/>
        </w:trPr>
        <w:tc>
          <w:tcPr>
            <w:tcW w:w="7191"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Pipet Tips, for TenSette Pipet 19700-01</w:t>
            </w:r>
          </w:p>
        </w:tc>
        <w:tc>
          <w:tcPr>
            <w:tcW w:w="1498" w:type="dxa"/>
            <w:tcBorders>
              <w:top w:val="nil"/>
              <w:left w:val="nil"/>
              <w:bottom w:val="nil"/>
              <w:right w:val="nil"/>
            </w:tcBorders>
            <w:shd w:val="clear" w:color="auto" w:fill="E6E6FF"/>
          </w:tcPr>
          <w:p>
            <w:pPr>
              <w:pStyle w:val="TableParagraph"/>
              <w:spacing w:before="31"/>
              <w:ind w:left="465" w:right="251"/>
              <w:jc w:val="center"/>
              <w:rPr>
                <w:rFonts w:ascii="Arial"/>
                <w:sz w:val="18"/>
              </w:rPr>
            </w:pPr>
            <w:r>
              <w:rPr>
                <w:rFonts w:ascii="Arial"/>
                <w:sz w:val="18"/>
              </w:rPr>
              <w:t>1000/pkg</w:t>
            </w:r>
          </w:p>
        </w:tc>
        <w:tc>
          <w:tcPr>
            <w:tcW w:w="1391" w:type="dxa"/>
            <w:tcBorders>
              <w:top w:val="nil"/>
              <w:left w:val="nil"/>
              <w:bottom w:val="nil"/>
              <w:right w:val="single" w:sz="2" w:space="0" w:color="000000"/>
            </w:tcBorders>
            <w:shd w:val="clear" w:color="auto" w:fill="E6E6FF"/>
          </w:tcPr>
          <w:p>
            <w:pPr>
              <w:pStyle w:val="TableParagraph"/>
              <w:spacing w:before="31"/>
              <w:ind w:left="253" w:right="334"/>
              <w:jc w:val="center"/>
              <w:rPr>
                <w:rFonts w:ascii="Arial"/>
                <w:sz w:val="18"/>
              </w:rPr>
            </w:pPr>
            <w:r>
              <w:rPr>
                <w:rFonts w:ascii="Arial"/>
                <w:sz w:val="18"/>
              </w:rPr>
              <w:t>21856-28</w:t>
            </w:r>
          </w:p>
        </w:tc>
      </w:tr>
      <w:tr>
        <w:trPr>
          <w:trHeight w:val="300" w:hRule="exact"/>
        </w:trPr>
        <w:tc>
          <w:tcPr>
            <w:tcW w:w="7191" w:type="dxa"/>
            <w:tcBorders>
              <w:top w:val="nil"/>
              <w:left w:val="single" w:sz="2" w:space="0" w:color="000000"/>
              <w:bottom w:val="nil"/>
              <w:right w:val="nil"/>
            </w:tcBorders>
          </w:tcPr>
          <w:p>
            <w:pPr>
              <w:pStyle w:val="TableParagraph"/>
              <w:spacing w:before="31"/>
              <w:ind w:left="77" w:right="0"/>
              <w:jc w:val="left"/>
              <w:rPr>
                <w:rFonts w:ascii="Arial" w:hAnsi="Arial"/>
                <w:sz w:val="18"/>
              </w:rPr>
            </w:pPr>
            <w:r>
              <w:rPr>
                <w:rFonts w:ascii="Arial" w:hAnsi="Arial"/>
                <w:sz w:val="18"/>
              </w:rPr>
              <w:t>Wastewater Influent Inorganics Standard for NH</w:t>
            </w:r>
            <w:r>
              <w:rPr>
                <w:rFonts w:ascii="Arial" w:hAnsi="Arial"/>
                <w:position w:val="-4"/>
                <w:sz w:val="14"/>
              </w:rPr>
              <w:t>3</w:t>
            </w:r>
            <w:r>
              <w:rPr>
                <w:rFonts w:ascii="Arial" w:hAnsi="Arial"/>
                <w:sz w:val="18"/>
              </w:rPr>
              <w:t>–N, NO</w:t>
            </w:r>
            <w:r>
              <w:rPr>
                <w:rFonts w:ascii="Arial" w:hAnsi="Arial"/>
                <w:position w:val="-4"/>
                <w:sz w:val="14"/>
              </w:rPr>
              <w:t>3</w:t>
            </w:r>
            <w:r>
              <w:rPr>
                <w:rFonts w:ascii="Arial" w:hAnsi="Arial"/>
                <w:sz w:val="18"/>
              </w:rPr>
              <w:t>–N, PO</w:t>
            </w:r>
            <w:r>
              <w:rPr>
                <w:rFonts w:ascii="Arial" w:hAnsi="Arial"/>
                <w:position w:val="-4"/>
                <w:sz w:val="14"/>
              </w:rPr>
              <w:t>4</w:t>
            </w:r>
            <w:r>
              <w:rPr>
                <w:rFonts w:ascii="Arial" w:hAnsi="Arial"/>
                <w:sz w:val="18"/>
              </w:rPr>
              <w:t>, COD, SO</w:t>
            </w:r>
            <w:r>
              <w:rPr>
                <w:rFonts w:ascii="Arial" w:hAnsi="Arial"/>
                <w:position w:val="-4"/>
                <w:sz w:val="14"/>
              </w:rPr>
              <w:t>4</w:t>
            </w:r>
            <w:r>
              <w:rPr>
                <w:rFonts w:ascii="Arial" w:hAnsi="Arial"/>
                <w:sz w:val="18"/>
              </w:rPr>
              <w:t>, TOC</w:t>
            </w:r>
          </w:p>
        </w:tc>
        <w:tc>
          <w:tcPr>
            <w:tcW w:w="1498" w:type="dxa"/>
            <w:tcBorders>
              <w:top w:val="nil"/>
              <w:left w:val="nil"/>
              <w:bottom w:val="nil"/>
              <w:right w:val="nil"/>
            </w:tcBorders>
          </w:tcPr>
          <w:p>
            <w:pPr>
              <w:pStyle w:val="TableParagraph"/>
              <w:spacing w:before="31"/>
              <w:ind w:left="464" w:right="251"/>
              <w:jc w:val="center"/>
              <w:rPr>
                <w:rFonts w:ascii="Arial"/>
                <w:sz w:val="18"/>
              </w:rPr>
            </w:pPr>
            <w:r>
              <w:rPr>
                <w:rFonts w:ascii="Arial"/>
                <w:sz w:val="18"/>
              </w:rPr>
              <w:t>500 mL</w:t>
            </w:r>
          </w:p>
        </w:tc>
        <w:tc>
          <w:tcPr>
            <w:tcW w:w="1391" w:type="dxa"/>
            <w:tcBorders>
              <w:top w:val="nil"/>
              <w:left w:val="nil"/>
              <w:bottom w:val="nil"/>
              <w:right w:val="single" w:sz="2" w:space="0" w:color="000000"/>
            </w:tcBorders>
          </w:tcPr>
          <w:p>
            <w:pPr>
              <w:pStyle w:val="TableParagraph"/>
              <w:spacing w:before="31"/>
              <w:ind w:left="253" w:right="334"/>
              <w:jc w:val="center"/>
              <w:rPr>
                <w:rFonts w:ascii="Arial"/>
                <w:sz w:val="18"/>
              </w:rPr>
            </w:pPr>
            <w:r>
              <w:rPr>
                <w:rFonts w:ascii="Arial"/>
                <w:sz w:val="18"/>
              </w:rPr>
              <w:t>28331-49</w:t>
            </w:r>
          </w:p>
        </w:tc>
      </w:tr>
      <w:tr>
        <w:trPr>
          <w:trHeight w:val="300" w:hRule="exact"/>
        </w:trPr>
        <w:tc>
          <w:tcPr>
            <w:tcW w:w="7191" w:type="dxa"/>
            <w:tcBorders>
              <w:top w:val="nil"/>
              <w:left w:val="single" w:sz="2" w:space="0" w:color="000000"/>
              <w:bottom w:val="single" w:sz="2" w:space="0" w:color="000000"/>
              <w:right w:val="nil"/>
            </w:tcBorders>
            <w:shd w:val="clear" w:color="auto" w:fill="E6E6FF"/>
          </w:tcPr>
          <w:p>
            <w:pPr>
              <w:pStyle w:val="TableParagraph"/>
              <w:spacing w:before="31"/>
              <w:ind w:left="77" w:right="0"/>
              <w:jc w:val="left"/>
              <w:rPr>
                <w:rFonts w:ascii="Arial"/>
                <w:sz w:val="18"/>
              </w:rPr>
            </w:pPr>
            <w:r>
              <w:rPr>
                <w:rFonts w:ascii="Arial"/>
                <w:sz w:val="18"/>
              </w:rPr>
              <w:t>Water, deionized</w:t>
            </w:r>
          </w:p>
        </w:tc>
        <w:tc>
          <w:tcPr>
            <w:tcW w:w="1498" w:type="dxa"/>
            <w:tcBorders>
              <w:top w:val="nil"/>
              <w:left w:val="nil"/>
              <w:bottom w:val="single" w:sz="2" w:space="0" w:color="000000"/>
              <w:right w:val="nil"/>
            </w:tcBorders>
            <w:shd w:val="clear" w:color="auto" w:fill="E6E6FF"/>
          </w:tcPr>
          <w:p>
            <w:pPr>
              <w:pStyle w:val="TableParagraph"/>
              <w:spacing w:before="31"/>
              <w:ind w:left="465" w:right="250"/>
              <w:jc w:val="center"/>
              <w:rPr>
                <w:rFonts w:ascii="Arial"/>
                <w:sz w:val="18"/>
              </w:rPr>
            </w:pPr>
            <w:r>
              <w:rPr>
                <w:rFonts w:ascii="Arial"/>
                <w:sz w:val="18"/>
              </w:rPr>
              <w:t>4 L</w:t>
            </w:r>
          </w:p>
        </w:tc>
        <w:tc>
          <w:tcPr>
            <w:tcW w:w="1391" w:type="dxa"/>
            <w:tcBorders>
              <w:top w:val="nil"/>
              <w:left w:val="nil"/>
              <w:bottom w:val="single" w:sz="2" w:space="0" w:color="000000"/>
              <w:right w:val="single" w:sz="2" w:space="0" w:color="000000"/>
            </w:tcBorders>
            <w:shd w:val="clear" w:color="auto" w:fill="E6E6FF"/>
          </w:tcPr>
          <w:p>
            <w:pPr>
              <w:pStyle w:val="TableParagraph"/>
              <w:spacing w:before="31"/>
              <w:ind w:left="251" w:right="334"/>
              <w:jc w:val="center"/>
              <w:rPr>
                <w:rFonts w:ascii="Arial"/>
                <w:sz w:val="18"/>
              </w:rPr>
            </w:pPr>
            <w:r>
              <w:rPr>
                <w:rFonts w:ascii="Arial"/>
                <w:sz w:val="18"/>
              </w:rPr>
              <w:t>272-56</w:t>
            </w:r>
          </w:p>
        </w:tc>
      </w:tr>
    </w:tbl>
    <w:p>
      <w:pPr>
        <w:spacing w:before="64"/>
        <w:ind w:left="120" w:right="101" w:firstLine="0"/>
        <w:jc w:val="left"/>
        <w:rPr>
          <w:b/>
          <w:sz w:val="20"/>
        </w:rPr>
      </w:pPr>
      <w:r>
        <w:rPr>
          <w:b/>
          <w:sz w:val="20"/>
        </w:rPr>
        <w:t>Optional Reagents and Apparatus</w:t>
      </w:r>
    </w:p>
    <w:p>
      <w:pPr>
        <w:pStyle w:val="BodyText"/>
        <w:spacing w:before="7"/>
        <w:rPr>
          <w:b/>
          <w:sz w:val="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15"/>
        <w:gridCol w:w="4265"/>
      </w:tblGrid>
      <w:tr>
        <w:trPr>
          <w:trHeight w:val="379" w:hRule="exact"/>
        </w:trPr>
        <w:tc>
          <w:tcPr>
            <w:tcW w:w="5815"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4265" w:type="dxa"/>
            <w:tcBorders>
              <w:left w:val="nil"/>
              <w:bottom w:val="single" w:sz="2" w:space="0" w:color="000000"/>
              <w:right w:val="single" w:sz="2" w:space="0" w:color="000000"/>
            </w:tcBorders>
          </w:tcPr>
          <w:p>
            <w:pPr>
              <w:pStyle w:val="TableParagraph"/>
              <w:spacing w:before="66"/>
              <w:ind w:left="3186" w:right="0"/>
              <w:jc w:val="left"/>
              <w:rPr>
                <w:rFonts w:ascii="Arial"/>
                <w:b/>
                <w:sz w:val="18"/>
              </w:rPr>
            </w:pPr>
            <w:r>
              <w:rPr>
                <w:rFonts w:ascii="Arial"/>
                <w:b/>
                <w:sz w:val="18"/>
              </w:rPr>
              <w:t>Cat. No.</w:t>
            </w:r>
          </w:p>
        </w:tc>
      </w:tr>
      <w:tr>
        <w:trPr>
          <w:trHeight w:val="300" w:hRule="exact"/>
        </w:trPr>
        <w:tc>
          <w:tcPr>
            <w:tcW w:w="5815"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Cylinder, mixing, 25 mL</w:t>
            </w:r>
          </w:p>
        </w:tc>
        <w:tc>
          <w:tcPr>
            <w:tcW w:w="4265" w:type="dxa"/>
            <w:tcBorders>
              <w:top w:val="single" w:sz="2" w:space="0" w:color="000000"/>
              <w:left w:val="nil"/>
              <w:bottom w:val="nil"/>
              <w:right w:val="single" w:sz="2" w:space="0" w:color="000000"/>
            </w:tcBorders>
            <w:shd w:val="clear" w:color="auto" w:fill="E6E6FF"/>
          </w:tcPr>
          <w:p>
            <w:pPr>
              <w:pStyle w:val="TableParagraph"/>
              <w:spacing w:before="29"/>
              <w:ind w:left="3146" w:right="0"/>
              <w:jc w:val="left"/>
              <w:rPr>
                <w:rFonts w:ascii="Arial"/>
                <w:sz w:val="18"/>
              </w:rPr>
            </w:pPr>
            <w:r>
              <w:rPr>
                <w:rFonts w:ascii="Arial"/>
                <w:sz w:val="18"/>
              </w:rPr>
              <w:t>20886-40</w:t>
            </w:r>
          </w:p>
        </w:tc>
      </w:tr>
      <w:tr>
        <w:trPr>
          <w:trHeight w:val="300" w:hRule="exact"/>
        </w:trPr>
        <w:tc>
          <w:tcPr>
            <w:tcW w:w="5815" w:type="dxa"/>
            <w:tcBorders>
              <w:top w:val="nil"/>
              <w:left w:val="single" w:sz="2" w:space="0" w:color="000000"/>
              <w:bottom w:val="nil"/>
              <w:right w:val="nil"/>
            </w:tcBorders>
          </w:tcPr>
          <w:p>
            <w:pPr>
              <w:pStyle w:val="TableParagraph"/>
              <w:spacing w:before="31"/>
              <w:ind w:left="77" w:right="0"/>
              <w:jc w:val="left"/>
              <w:rPr>
                <w:rFonts w:ascii="Arial"/>
                <w:sz w:val="18"/>
              </w:rPr>
            </w:pPr>
            <w:r>
              <w:rPr>
                <w:rFonts w:ascii="Arial"/>
                <w:sz w:val="18"/>
              </w:rPr>
              <w:t>Sodium Hydroxide, 5.0 N</w:t>
            </w:r>
          </w:p>
        </w:tc>
        <w:tc>
          <w:tcPr>
            <w:tcW w:w="4265" w:type="dxa"/>
            <w:tcBorders>
              <w:top w:val="nil"/>
              <w:left w:val="nil"/>
              <w:bottom w:val="nil"/>
              <w:right w:val="single" w:sz="2" w:space="0" w:color="000000"/>
            </w:tcBorders>
          </w:tcPr>
          <w:p>
            <w:pPr>
              <w:pStyle w:val="TableParagraph"/>
              <w:spacing w:before="31"/>
              <w:ind w:left="3195" w:right="0"/>
              <w:jc w:val="left"/>
              <w:rPr>
                <w:rFonts w:ascii="Arial"/>
                <w:sz w:val="18"/>
              </w:rPr>
            </w:pPr>
            <w:r>
              <w:rPr>
                <w:rFonts w:ascii="Arial"/>
                <w:sz w:val="18"/>
              </w:rPr>
              <w:t>2450-26</w:t>
            </w:r>
          </w:p>
        </w:tc>
      </w:tr>
      <w:tr>
        <w:trPr>
          <w:trHeight w:val="301" w:hRule="exact"/>
        </w:trPr>
        <w:tc>
          <w:tcPr>
            <w:tcW w:w="5815"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Sulfuric Acid ACS, Concentrated</w:t>
            </w:r>
          </w:p>
        </w:tc>
        <w:tc>
          <w:tcPr>
            <w:tcW w:w="4265" w:type="dxa"/>
            <w:tcBorders>
              <w:top w:val="nil"/>
              <w:left w:val="nil"/>
              <w:bottom w:val="nil"/>
              <w:right w:val="single" w:sz="2" w:space="0" w:color="000000"/>
            </w:tcBorders>
            <w:shd w:val="clear" w:color="auto" w:fill="E6E6FF"/>
          </w:tcPr>
          <w:p>
            <w:pPr>
              <w:pStyle w:val="TableParagraph"/>
              <w:spacing w:before="31"/>
              <w:ind w:right="455"/>
              <w:rPr>
                <w:rFonts w:ascii="Arial"/>
                <w:sz w:val="18"/>
              </w:rPr>
            </w:pPr>
            <w:r>
              <w:rPr>
                <w:rFonts w:ascii="Arial"/>
                <w:sz w:val="18"/>
              </w:rPr>
              <w:t>979-49</w:t>
            </w:r>
          </w:p>
        </w:tc>
      </w:tr>
      <w:tr>
        <w:trPr>
          <w:trHeight w:val="300" w:hRule="exact"/>
        </w:trPr>
        <w:tc>
          <w:tcPr>
            <w:tcW w:w="5815" w:type="dxa"/>
            <w:tcBorders>
              <w:top w:val="nil"/>
              <w:left w:val="single" w:sz="2" w:space="0" w:color="000000"/>
              <w:bottom w:val="single" w:sz="2" w:space="0" w:color="000000"/>
              <w:right w:val="nil"/>
            </w:tcBorders>
          </w:tcPr>
          <w:p>
            <w:pPr>
              <w:pStyle w:val="TableParagraph"/>
              <w:spacing w:before="30"/>
              <w:ind w:left="78" w:right="0"/>
              <w:jc w:val="left"/>
              <w:rPr>
                <w:rFonts w:ascii="Arial"/>
                <w:sz w:val="18"/>
              </w:rPr>
            </w:pPr>
            <w:r>
              <w:rPr>
                <w:rFonts w:ascii="Arial"/>
                <w:sz w:val="18"/>
              </w:rPr>
              <w:t>Urea</w:t>
            </w:r>
          </w:p>
        </w:tc>
        <w:tc>
          <w:tcPr>
            <w:tcW w:w="4265" w:type="dxa"/>
            <w:tcBorders>
              <w:top w:val="nil"/>
              <w:left w:val="nil"/>
              <w:bottom w:val="single" w:sz="2" w:space="0" w:color="000000"/>
              <w:right w:val="single" w:sz="2" w:space="0" w:color="000000"/>
            </w:tcBorders>
          </w:tcPr>
          <w:p>
            <w:pPr>
              <w:pStyle w:val="TableParagraph"/>
              <w:spacing w:before="30"/>
              <w:ind w:left="3146" w:right="0"/>
              <w:jc w:val="left"/>
              <w:rPr>
                <w:rFonts w:ascii="Arial"/>
                <w:sz w:val="18"/>
              </w:rPr>
            </w:pPr>
            <w:r>
              <w:rPr>
                <w:rFonts w:ascii="Arial"/>
                <w:sz w:val="18"/>
              </w:rPr>
              <w:t>11237-26</w:t>
            </w:r>
          </w:p>
        </w:tc>
      </w:tr>
    </w:tbl>
    <w:p>
      <w:pPr>
        <w:pStyle w:val="BodyText"/>
        <w:rPr>
          <w:b/>
          <w:sz w:val="20"/>
        </w:rPr>
      </w:pPr>
    </w:p>
    <w:p>
      <w:pPr>
        <w:pStyle w:val="BodyText"/>
        <w:rPr>
          <w:b/>
          <w:sz w:val="20"/>
        </w:rPr>
      </w:pPr>
    </w:p>
    <w:p>
      <w:pPr>
        <w:pStyle w:val="BodyText"/>
        <w:spacing w:before="2" w:after="1"/>
        <w:rPr>
          <w:b/>
          <w:sz w:val="13"/>
        </w:rPr>
      </w:pPr>
    </w:p>
    <w:p>
      <w:pPr>
        <w:pStyle w:val="BodyText"/>
        <w:spacing w:line="34" w:lineRule="exact"/>
        <w:ind w:left="134"/>
        <w:rPr>
          <w:sz w:val="3"/>
        </w:rPr>
      </w:pPr>
      <w:r>
        <w:rPr>
          <w:position w:val="0"/>
          <w:sz w:val="3"/>
        </w:rPr>
        <w:pict>
          <v:group style="width:502.8pt;height:1.7pt;mso-position-horizontal-relative:char;mso-position-vertical-relative:line" coordorigin="0,0" coordsize="10056,34">
            <v:line style="position:absolute" from="17,17" to="10039,17" stroked="true" strokeweight="1.681pt" strokecolor="#231f20"/>
          </v:group>
        </w:pict>
      </w:r>
      <w:r>
        <w:rPr>
          <w:position w:val="0"/>
          <w:sz w:val="3"/>
        </w:rPr>
      </w:r>
    </w:p>
    <w:p>
      <w:pPr>
        <w:spacing w:after="0" w:line="34" w:lineRule="exact"/>
        <w:rPr>
          <w:sz w:val="3"/>
        </w:rPr>
        <w:sectPr>
          <w:headerReference w:type="default" r:id="rId219"/>
          <w:footerReference w:type="default" r:id="rId220"/>
          <w:pgSz w:w="11900" w:h="15840"/>
          <w:pgMar w:header="0" w:footer="0" w:top="220" w:bottom="280" w:left="600" w:right="960"/>
        </w:sectPr>
      </w:pPr>
    </w:p>
    <w:p>
      <w:pPr>
        <w:spacing w:before="17"/>
        <w:ind w:left="1666" w:right="-2" w:firstLine="0"/>
        <w:jc w:val="left"/>
        <w:rPr>
          <w:b/>
          <w:sz w:val="15"/>
        </w:rPr>
      </w:pPr>
      <w:r>
        <w:rPr/>
        <w:pict>
          <v:group style="position:absolute;margin-left:37.452pt;margin-top:3.907314pt;width:66.45pt;height:31.3pt;mso-position-horizontal-relative:page;mso-position-vertical-relative:paragraph;z-index:13048" coordorigin="749,78" coordsize="1329,626">
            <v:shape style="position:absolute;left:761;top:90;width:1233;height:603" coordorigin="761,90" coordsize="1233,603" path="m1377,90l1277,94,1182,105,1094,123,1013,148,941,178,879,213,829,253,769,342,761,391,769,440,829,530,879,569,941,604,1013,634,1094,659,1182,677,1277,688,1377,692,1477,688,1572,677,1660,659,1741,634,1813,604,1875,569,1925,530,1985,440,1993,391,1985,342,1925,253,1875,213,1813,178,1741,148,1660,123,1572,105,1477,94,1377,90xe" filled="true" fillcolor="#231f20" stroked="false">
              <v:path arrowok="t"/>
              <v:fill type="solid"/>
            </v:shape>
            <v:shape style="position:absolute;left:761;top:90;width:1233;height:603" coordorigin="761,90" coordsize="1233,603" path="m1377,90l1477,94,1572,105,1660,123,1741,148,1813,178,1875,213,1925,253,1985,342,1993,391,1985,440,1925,530,1875,569,1813,604,1741,634,1660,659,1572,677,1477,688,1377,692,1277,688,1182,677,1094,659,1013,634,941,604,879,569,829,530,769,440,761,391,769,342,829,253,879,213,941,178,1013,148,1094,123,1182,105,1277,94,1377,90xe" filled="false" stroked="true" strokeweight="1.108pt" strokecolor="#231f20">
              <v:path arrowok="t"/>
            </v:shape>
            <v:shape style="position:absolute;left:1584;top:296;width:256;height:183" type="#_x0000_t75" stroked="false">
              <v:imagedata r:id="rId221" o:title=""/>
            </v:shape>
            <v:shape style="position:absolute;left:1996;top:213;width:82;height:82" coordorigin="1996,213" coordsize="82,82" path="m2037,213l2020,216,2007,224,1999,237,1996,254,1999,270,2007,283,2020,291,2037,294,2053,291,2057,289,2037,289,2023,286,2012,278,2005,267,2002,254,2005,240,2012,229,2023,221,2037,218,2057,218,2053,216,2037,213xm2057,218l2037,218,2050,221,2061,229,2068,240,2071,254,2068,267,2061,278,2050,286,2037,289,2057,289,2066,283,2074,270,2077,254,2074,237,2066,224,2057,218xm2051,230l2022,230,2022,277,2028,277,2028,256,2043,256,2050,255,2055,251,2055,251,2028,251,2028,235,2055,235,2055,235,2051,230xm2043,256l2037,256,2051,277,2057,277,2043,256xm2055,235l2044,235,2049,236,2049,251,2042,251,2055,251,2055,235xe" filled="true" fillcolor="#231f20" stroked="false">
              <v:path arrowok="t"/>
              <v:fill type="solid"/>
            </v:shape>
            <v:shape style="position:absolute;left:761;top:90;width:1233;height:603" coordorigin="761,90" coordsize="1233,603" path="m1377,90l1277,94,1182,105,1094,123,1013,148,941,178,879,213,829,253,792,296,769,342,761,391,769,440,792,486,829,530,879,569,941,604,1013,634,1094,659,1182,677,1277,688,1377,692,1477,688,1572,677,1626,666,1377,666,1281,661,1190,649,1107,628,1032,601,968,568,915,530,875,487,850,440,842,391,850,342,875,295,915,252,968,214,1032,181,1107,154,1190,133,1281,121,1377,116,1626,116,1572,105,1477,94,1377,90xm1626,116l1377,116,1473,121,1564,133,1647,154,1722,181,1786,214,1839,252,1879,295,1904,342,1912,391,1904,440,1879,487,1839,530,1786,568,1722,601,1647,628,1564,649,1473,661,1377,666,1626,666,1660,659,1741,634,1813,604,1875,569,1925,530,1962,486,1985,440,1993,391,1985,342,1962,296,1925,253,1875,213,1813,178,1741,148,1660,123,1626,116xe" filled="true" fillcolor="#ffffff" stroked="false">
              <v:path arrowok="t"/>
              <v:fill type="solid"/>
            </v:shape>
            <v:shape style="position:absolute;left:913;top:288;width:680;height:194" type="#_x0000_t75" stroked="false">
              <v:imagedata r:id="rId222" o:title=""/>
            </v:shape>
            <w10:wrap type="none"/>
          </v:group>
        </w:pict>
      </w:r>
      <w:r>
        <w:rPr>
          <w:b/>
          <w:color w:val="231F20"/>
          <w:w w:val="85"/>
          <w:sz w:val="15"/>
        </w:rPr>
        <w:t>FOR</w:t>
      </w:r>
      <w:r>
        <w:rPr>
          <w:b/>
          <w:color w:val="231F20"/>
          <w:spacing w:val="-14"/>
          <w:w w:val="85"/>
          <w:sz w:val="15"/>
        </w:rPr>
        <w:t> </w:t>
      </w:r>
      <w:r>
        <w:rPr>
          <w:b/>
          <w:color w:val="231F20"/>
          <w:w w:val="85"/>
          <w:sz w:val="15"/>
        </w:rPr>
        <w:t>TECHNICAL</w:t>
      </w:r>
      <w:r>
        <w:rPr>
          <w:b/>
          <w:color w:val="231F20"/>
          <w:spacing w:val="-3"/>
          <w:w w:val="85"/>
          <w:sz w:val="15"/>
        </w:rPr>
        <w:t> </w:t>
      </w:r>
      <w:r>
        <w:rPr>
          <w:b/>
          <w:color w:val="231F20"/>
          <w:w w:val="85"/>
          <w:sz w:val="15"/>
        </w:rPr>
        <w:t>ASSISTANCE,</w:t>
      </w:r>
      <w:r>
        <w:rPr>
          <w:b/>
          <w:color w:val="231F20"/>
          <w:spacing w:val="-8"/>
          <w:w w:val="85"/>
          <w:sz w:val="15"/>
        </w:rPr>
        <w:t> </w:t>
      </w:r>
      <w:r>
        <w:rPr>
          <w:b/>
          <w:color w:val="231F20"/>
          <w:w w:val="85"/>
          <w:sz w:val="15"/>
        </w:rPr>
        <w:t>PRICE</w:t>
      </w:r>
      <w:r>
        <w:rPr>
          <w:b/>
          <w:color w:val="231F20"/>
          <w:spacing w:val="-3"/>
          <w:w w:val="85"/>
          <w:sz w:val="15"/>
        </w:rPr>
        <w:t> </w:t>
      </w:r>
      <w:r>
        <w:rPr>
          <w:b/>
          <w:color w:val="231F20"/>
          <w:w w:val="85"/>
          <w:sz w:val="15"/>
        </w:rPr>
        <w:t>INFORMATION</w:t>
      </w:r>
      <w:r>
        <w:rPr>
          <w:b/>
          <w:color w:val="231F20"/>
          <w:spacing w:val="-3"/>
          <w:w w:val="85"/>
          <w:sz w:val="15"/>
        </w:rPr>
        <w:t> </w:t>
      </w:r>
      <w:r>
        <w:rPr>
          <w:b/>
          <w:color w:val="231F20"/>
          <w:w w:val="85"/>
          <w:sz w:val="15"/>
        </w:rPr>
        <w:t>AND</w:t>
      </w:r>
      <w:r>
        <w:rPr>
          <w:b/>
          <w:color w:val="231F20"/>
          <w:spacing w:val="-2"/>
          <w:w w:val="85"/>
          <w:sz w:val="15"/>
        </w:rPr>
        <w:t> </w:t>
      </w:r>
      <w:r>
        <w:rPr>
          <w:b/>
          <w:color w:val="231F20"/>
          <w:w w:val="85"/>
          <w:sz w:val="15"/>
        </w:rPr>
        <w:t>ORDERING:</w:t>
      </w:r>
    </w:p>
    <w:p>
      <w:pPr>
        <w:spacing w:before="8"/>
        <w:ind w:left="1666" w:right="-2" w:firstLine="0"/>
        <w:jc w:val="left"/>
        <w:rPr>
          <w:b/>
          <w:sz w:val="15"/>
        </w:rPr>
      </w:pPr>
      <w:r>
        <w:rPr>
          <w:color w:val="231F20"/>
          <w:w w:val="90"/>
          <w:sz w:val="15"/>
        </w:rPr>
        <w:t>In the U.S.A. – </w:t>
      </w:r>
      <w:r>
        <w:rPr>
          <w:b/>
          <w:color w:val="231F20"/>
          <w:w w:val="90"/>
          <w:sz w:val="15"/>
        </w:rPr>
        <w:t>Call toll-free 800-227-4224</w:t>
      </w:r>
    </w:p>
    <w:p>
      <w:pPr>
        <w:spacing w:before="8"/>
        <w:ind w:left="1666" w:right="-2" w:firstLine="0"/>
        <w:jc w:val="left"/>
        <w:rPr>
          <w:b/>
          <w:sz w:val="15"/>
        </w:rPr>
      </w:pPr>
      <w:r>
        <w:rPr>
          <w:color w:val="231F20"/>
          <w:w w:val="90"/>
          <w:sz w:val="15"/>
        </w:rPr>
        <w:t>Outside</w:t>
      </w:r>
      <w:r>
        <w:rPr>
          <w:color w:val="231F20"/>
          <w:spacing w:val="-25"/>
          <w:w w:val="90"/>
          <w:sz w:val="15"/>
        </w:rPr>
        <w:t> </w:t>
      </w:r>
      <w:r>
        <w:rPr>
          <w:color w:val="231F20"/>
          <w:w w:val="90"/>
          <w:sz w:val="15"/>
        </w:rPr>
        <w:t>the</w:t>
      </w:r>
      <w:r>
        <w:rPr>
          <w:color w:val="231F20"/>
          <w:spacing w:val="-25"/>
          <w:w w:val="90"/>
          <w:sz w:val="15"/>
        </w:rPr>
        <w:t> </w:t>
      </w:r>
      <w:r>
        <w:rPr>
          <w:color w:val="231F20"/>
          <w:w w:val="90"/>
          <w:sz w:val="15"/>
        </w:rPr>
        <w:t>U.S.A.</w:t>
      </w:r>
      <w:r>
        <w:rPr>
          <w:color w:val="231F20"/>
          <w:spacing w:val="-28"/>
          <w:w w:val="90"/>
          <w:sz w:val="15"/>
        </w:rPr>
        <w:t> </w:t>
      </w:r>
      <w:r>
        <w:rPr>
          <w:color w:val="231F20"/>
          <w:w w:val="90"/>
          <w:sz w:val="15"/>
        </w:rPr>
        <w:t>–</w:t>
      </w:r>
      <w:r>
        <w:rPr>
          <w:color w:val="231F20"/>
          <w:spacing w:val="-25"/>
          <w:w w:val="90"/>
          <w:sz w:val="15"/>
        </w:rPr>
        <w:t> </w:t>
      </w:r>
      <w:r>
        <w:rPr>
          <w:b/>
          <w:color w:val="231F20"/>
          <w:w w:val="90"/>
          <w:sz w:val="15"/>
        </w:rPr>
        <w:t>Contact</w:t>
      </w:r>
      <w:r>
        <w:rPr>
          <w:b/>
          <w:color w:val="231F20"/>
          <w:spacing w:val="-25"/>
          <w:w w:val="90"/>
          <w:sz w:val="15"/>
        </w:rPr>
        <w:t> </w:t>
      </w:r>
      <w:r>
        <w:rPr>
          <w:b/>
          <w:color w:val="231F20"/>
          <w:w w:val="90"/>
          <w:sz w:val="15"/>
        </w:rPr>
        <w:t>the</w:t>
      </w:r>
      <w:r>
        <w:rPr>
          <w:b/>
          <w:color w:val="231F20"/>
          <w:spacing w:val="-25"/>
          <w:w w:val="90"/>
          <w:sz w:val="15"/>
        </w:rPr>
        <w:t> </w:t>
      </w:r>
      <w:r>
        <w:rPr>
          <w:b/>
          <w:color w:val="231F20"/>
          <w:w w:val="90"/>
          <w:sz w:val="15"/>
        </w:rPr>
        <w:t>HACH</w:t>
      </w:r>
      <w:r>
        <w:rPr>
          <w:b/>
          <w:color w:val="231F20"/>
          <w:spacing w:val="-25"/>
          <w:w w:val="90"/>
          <w:sz w:val="15"/>
        </w:rPr>
        <w:t> </w:t>
      </w:r>
      <w:r>
        <w:rPr>
          <w:b/>
          <w:color w:val="231F20"/>
          <w:w w:val="90"/>
          <w:sz w:val="15"/>
        </w:rPr>
        <w:t>office</w:t>
      </w:r>
      <w:r>
        <w:rPr>
          <w:b/>
          <w:color w:val="231F20"/>
          <w:spacing w:val="-25"/>
          <w:w w:val="90"/>
          <w:sz w:val="15"/>
        </w:rPr>
        <w:t> </w:t>
      </w:r>
      <w:r>
        <w:rPr>
          <w:b/>
          <w:color w:val="231F20"/>
          <w:w w:val="90"/>
          <w:sz w:val="15"/>
        </w:rPr>
        <w:t>or</w:t>
      </w:r>
      <w:r>
        <w:rPr>
          <w:b/>
          <w:color w:val="231F20"/>
          <w:spacing w:val="-25"/>
          <w:w w:val="90"/>
          <w:sz w:val="15"/>
        </w:rPr>
        <w:t> </w:t>
      </w:r>
      <w:r>
        <w:rPr>
          <w:b/>
          <w:color w:val="231F20"/>
          <w:w w:val="90"/>
          <w:sz w:val="15"/>
        </w:rPr>
        <w:t>distributor</w:t>
      </w:r>
      <w:r>
        <w:rPr>
          <w:b/>
          <w:color w:val="231F20"/>
          <w:spacing w:val="-25"/>
          <w:w w:val="90"/>
          <w:sz w:val="15"/>
        </w:rPr>
        <w:t> </w:t>
      </w:r>
      <w:r>
        <w:rPr>
          <w:b/>
          <w:color w:val="231F20"/>
          <w:w w:val="90"/>
          <w:sz w:val="15"/>
        </w:rPr>
        <w:t>serving</w:t>
      </w:r>
      <w:r>
        <w:rPr>
          <w:b/>
          <w:color w:val="231F20"/>
          <w:spacing w:val="-25"/>
          <w:w w:val="90"/>
          <w:sz w:val="15"/>
        </w:rPr>
        <w:t> </w:t>
      </w:r>
      <w:r>
        <w:rPr>
          <w:b/>
          <w:color w:val="231F20"/>
          <w:w w:val="90"/>
          <w:sz w:val="15"/>
        </w:rPr>
        <w:t>you.</w:t>
      </w:r>
    </w:p>
    <w:p>
      <w:pPr>
        <w:spacing w:before="8"/>
        <w:ind w:left="1666" w:right="-2" w:firstLine="0"/>
        <w:jc w:val="left"/>
        <w:rPr>
          <w:b/>
          <w:sz w:val="15"/>
        </w:rPr>
      </w:pPr>
      <w:r>
        <w:rPr>
          <w:color w:val="231F20"/>
          <w:w w:val="85"/>
          <w:sz w:val="15"/>
        </w:rPr>
        <w:t>On the Worldwide Web – </w:t>
      </w:r>
      <w:r>
        <w:rPr>
          <w:b/>
          <w:color w:val="231F20"/>
          <w:w w:val="85"/>
          <w:sz w:val="15"/>
        </w:rPr>
        <w:t>www.hach.com</w:t>
      </w:r>
      <w:r>
        <w:rPr>
          <w:color w:val="231F20"/>
          <w:w w:val="85"/>
          <w:sz w:val="15"/>
        </w:rPr>
        <w:t>; E-mail – </w:t>
      </w:r>
      <w:hyperlink r:id="rId223">
        <w:r>
          <w:rPr>
            <w:b/>
            <w:color w:val="231F20"/>
            <w:w w:val="85"/>
            <w:sz w:val="15"/>
          </w:rPr>
          <w:t>techhelp@hach.com</w:t>
        </w:r>
      </w:hyperlink>
    </w:p>
    <w:p>
      <w:pPr>
        <w:spacing w:before="25"/>
        <w:ind w:left="1666" w:right="0" w:firstLine="0"/>
        <w:jc w:val="left"/>
        <w:rPr>
          <w:sz w:val="15"/>
        </w:rPr>
      </w:pPr>
      <w:r>
        <w:rPr/>
        <w:br w:type="column"/>
      </w:r>
      <w:r>
        <w:rPr>
          <w:b/>
          <w:color w:val="231F20"/>
          <w:w w:val="95"/>
          <w:sz w:val="15"/>
        </w:rPr>
        <w:t>HACH </w:t>
      </w:r>
      <w:r>
        <w:rPr>
          <w:color w:val="231F20"/>
          <w:w w:val="95"/>
          <w:sz w:val="15"/>
        </w:rPr>
        <w:t>COMPANY</w:t>
      </w:r>
    </w:p>
    <w:p>
      <w:pPr>
        <w:spacing w:before="4"/>
        <w:ind w:left="1666" w:right="0" w:firstLine="0"/>
        <w:jc w:val="left"/>
        <w:rPr>
          <w:sz w:val="15"/>
        </w:rPr>
      </w:pPr>
      <w:r>
        <w:rPr>
          <w:color w:val="231F20"/>
          <w:w w:val="95"/>
          <w:sz w:val="15"/>
        </w:rPr>
        <w:t>WORLD HEADQUARTERS</w:t>
      </w:r>
    </w:p>
    <w:p>
      <w:pPr>
        <w:spacing w:before="3"/>
        <w:ind w:left="1666" w:right="0" w:firstLine="0"/>
        <w:jc w:val="left"/>
        <w:rPr>
          <w:sz w:val="15"/>
        </w:rPr>
      </w:pPr>
      <w:r>
        <w:rPr>
          <w:color w:val="231F20"/>
          <w:sz w:val="15"/>
        </w:rPr>
        <w:t>Telephone: (970) 669-3050</w:t>
      </w:r>
    </w:p>
    <w:p>
      <w:pPr>
        <w:spacing w:before="3"/>
        <w:ind w:left="1666" w:right="0" w:firstLine="0"/>
        <w:jc w:val="left"/>
        <w:rPr>
          <w:sz w:val="15"/>
        </w:rPr>
      </w:pPr>
      <w:r>
        <w:rPr>
          <w:color w:val="231F20"/>
          <w:sz w:val="15"/>
        </w:rPr>
        <w:t>FAX: (970) 669-2932</w:t>
      </w:r>
    </w:p>
    <w:p>
      <w:pPr>
        <w:spacing w:after="0"/>
        <w:jc w:val="left"/>
        <w:rPr>
          <w:sz w:val="15"/>
        </w:rPr>
        <w:sectPr>
          <w:type w:val="continuous"/>
          <w:pgSz w:w="11900" w:h="15840"/>
          <w:pgMar w:top="0" w:bottom="0" w:left="600" w:right="960"/>
          <w:cols w:num="2" w:equalWidth="0">
            <w:col w:w="6022" w:space="708"/>
            <w:col w:w="3610"/>
          </w:cols>
        </w:sectPr>
      </w:pPr>
    </w:p>
    <w:p>
      <w:pPr>
        <w:pStyle w:val="BodyText"/>
        <w:spacing w:before="8"/>
        <w:rPr>
          <w:sz w:val="3"/>
        </w:rPr>
      </w:pPr>
    </w:p>
    <w:p>
      <w:pPr>
        <w:pStyle w:val="BodyText"/>
        <w:spacing w:line="34" w:lineRule="exact"/>
        <w:ind w:left="134"/>
        <w:rPr>
          <w:sz w:val="3"/>
        </w:rPr>
      </w:pPr>
      <w:r>
        <w:rPr>
          <w:position w:val="0"/>
          <w:sz w:val="3"/>
        </w:rPr>
        <w:pict>
          <v:group style="width:502.8pt;height:1.7pt;mso-position-horizontal-relative:char;mso-position-vertical-relative:line" coordorigin="0,0" coordsize="10056,34">
            <v:line style="position:absolute" from="17,17" to="10039,17" stroked="true" strokeweight="1.681pt" strokecolor="#231f20"/>
          </v:group>
        </w:pict>
      </w:r>
      <w:r>
        <w:rPr>
          <w:position w:val="0"/>
          <w:sz w:val="3"/>
        </w:rPr>
      </w:r>
    </w:p>
    <w:p>
      <w:pPr>
        <w:pStyle w:val="BodyText"/>
        <w:spacing w:before="6"/>
        <w:rPr>
          <w:sz w:val="12"/>
        </w:rPr>
      </w:pPr>
    </w:p>
    <w:p>
      <w:pPr>
        <w:tabs>
          <w:tab w:pos="7571" w:val="left" w:leader="none"/>
        </w:tabs>
        <w:spacing w:before="78"/>
        <w:ind w:left="120" w:right="101" w:firstLine="0"/>
        <w:jc w:val="left"/>
        <w:rPr>
          <w:sz w:val="18"/>
        </w:rPr>
      </w:pPr>
      <w:r>
        <w:rPr>
          <w:color w:val="0000FF"/>
          <w:sz w:val="18"/>
        </w:rPr>
        <w:t>© Hach Company, 2005. All rights reserved. Printed</w:t>
      </w:r>
      <w:r>
        <w:rPr>
          <w:color w:val="0000FF"/>
          <w:spacing w:val="-31"/>
          <w:sz w:val="18"/>
        </w:rPr>
        <w:t> </w:t>
      </w:r>
      <w:r>
        <w:rPr>
          <w:color w:val="0000FF"/>
          <w:sz w:val="18"/>
        </w:rPr>
        <w:t>in</w:t>
      </w:r>
      <w:r>
        <w:rPr>
          <w:color w:val="0000FF"/>
          <w:spacing w:val="-4"/>
          <w:sz w:val="18"/>
        </w:rPr>
        <w:t> </w:t>
      </w:r>
      <w:r>
        <w:rPr>
          <w:color w:val="0000FF"/>
          <w:sz w:val="18"/>
        </w:rPr>
        <w:t>Germany.</w:t>
        <w:tab/>
      </w:r>
      <w:r>
        <w:rPr>
          <w:sz w:val="18"/>
        </w:rPr>
        <w:t>Updated </w:t>
      </w:r>
      <w:r>
        <w:rPr>
          <w:color w:val="0000FF"/>
          <w:sz w:val="18"/>
        </w:rPr>
        <w:t>November  05 Edition</w:t>
      </w:r>
      <w:r>
        <w:rPr>
          <w:color w:val="0000FF"/>
          <w:spacing w:val="-15"/>
          <w:sz w:val="18"/>
        </w:rPr>
        <w:t> </w:t>
      </w:r>
      <w:r>
        <w:rPr>
          <w:color w:val="0000FF"/>
          <w:sz w:val="18"/>
        </w:rPr>
        <w:t>2</w:t>
      </w:r>
    </w:p>
    <w:p>
      <w:pPr>
        <w:spacing w:after="0"/>
        <w:jc w:val="left"/>
        <w:rPr>
          <w:sz w:val="18"/>
        </w:rPr>
        <w:sectPr>
          <w:type w:val="continuous"/>
          <w:pgSz w:w="11900" w:h="15840"/>
          <w:pgMar w:top="0" w:bottom="0" w:left="600" w:right="960"/>
        </w:sectPr>
      </w:pPr>
    </w:p>
    <w:p>
      <w:pPr>
        <w:pStyle w:val="BodyText"/>
        <w:spacing w:line="60" w:lineRule="exact"/>
        <w:ind w:left="110"/>
        <w:rPr>
          <w:sz w:val="6"/>
        </w:rPr>
      </w:pPr>
      <w:r>
        <w:rPr>
          <w:position w:val="0"/>
          <w:sz w:val="6"/>
        </w:rPr>
        <w:pict>
          <v:group style="width:507pt;height:3pt;mso-position-horizontal-relative:char;mso-position-vertical-relative:line" coordorigin="0,0" coordsize="10140,60">
            <v:line style="position:absolute" from="30,30" to="30,30" stroked="true" strokeweight="3pt" strokecolor="#b3b3b3"/>
            <v:line style="position:absolute" from="30,30" to="10110,30" stroked="true" strokeweight="3pt" strokecolor="#b3b3b3"/>
          </v:group>
        </w:pict>
      </w:r>
      <w:r>
        <w:rPr>
          <w:position w:val="0"/>
          <w:sz w:val="6"/>
        </w:rPr>
      </w:r>
    </w:p>
    <w:p>
      <w:pPr>
        <w:pStyle w:val="Heading1"/>
        <w:ind w:left="4875" w:right="22"/>
        <w:jc w:val="left"/>
      </w:pPr>
      <w:r>
        <w:rPr/>
        <w:pict>
          <v:line style="position:absolute;mso-position-horizontal-relative:page;mso-position-vertical-relative:paragraph;z-index:13144;mso-wrap-distance-left:0;mso-wrap-distance-right:0" from="54pt,33.471745pt" to="558pt,33.471745pt" stroked="true" strokeweight="3pt" strokecolor="#b3b3b3">
            <w10:wrap type="topAndBottom"/>
          </v:line>
        </w:pict>
      </w:r>
      <w:r>
        <w:rPr>
          <w:spacing w:val="-43"/>
        </w:rPr>
        <w:t>Oxygen </w:t>
      </w:r>
      <w:r>
        <w:rPr>
          <w:spacing w:val="-34"/>
        </w:rPr>
        <w:t>Demand, </w:t>
      </w:r>
      <w:r>
        <w:rPr>
          <w:spacing w:val="-33"/>
        </w:rPr>
        <w:t>Chemical</w:t>
      </w:r>
    </w:p>
    <w:p>
      <w:pPr>
        <w:tabs>
          <w:tab w:pos="7122" w:val="left" w:leader="none"/>
        </w:tabs>
        <w:spacing w:before="0"/>
        <w:ind w:left="140" w:right="22" w:firstLine="0"/>
        <w:jc w:val="left"/>
        <w:rPr>
          <w:b/>
          <w:sz w:val="22"/>
        </w:rPr>
      </w:pPr>
      <w:r>
        <w:rPr>
          <w:rFonts w:ascii="Segoe UI Symbol" w:hAnsi="Segoe UI Symbol"/>
          <w:spacing w:val="-10"/>
          <w:sz w:val="28"/>
        </w:rPr>
        <w:t>✭</w:t>
      </w:r>
      <w:r>
        <w:rPr>
          <w:b/>
          <w:spacing w:val="-10"/>
          <w:sz w:val="26"/>
        </w:rPr>
        <w:t>Method8000</w:t>
        <w:tab/>
      </w:r>
      <w:r>
        <w:rPr>
          <w:b/>
          <w:spacing w:val="-20"/>
          <w:position w:val="1"/>
          <w:sz w:val="28"/>
        </w:rPr>
        <w:t>Reactor </w:t>
      </w:r>
      <w:r>
        <w:rPr>
          <w:b/>
          <w:spacing w:val="-16"/>
          <w:position w:val="1"/>
          <w:sz w:val="28"/>
        </w:rPr>
        <w:t>Digestion</w:t>
      </w:r>
      <w:r>
        <w:rPr>
          <w:b/>
          <w:spacing w:val="-65"/>
          <w:position w:val="1"/>
          <w:sz w:val="28"/>
        </w:rPr>
        <w:t> </w:t>
      </w:r>
      <w:r>
        <w:rPr>
          <w:b/>
          <w:spacing w:val="-19"/>
          <w:position w:val="1"/>
          <w:sz w:val="28"/>
        </w:rPr>
        <w:t>Method</w:t>
      </w:r>
      <w:r>
        <w:rPr>
          <w:b/>
          <w:spacing w:val="-19"/>
          <w:position w:val="8"/>
          <w:sz w:val="22"/>
        </w:rPr>
        <w:t>1</w:t>
      </w:r>
    </w:p>
    <w:p>
      <w:pPr>
        <w:pStyle w:val="Heading3"/>
        <w:spacing w:before="81"/>
        <w:ind w:left="4319" w:right="22"/>
      </w:pPr>
      <w:r>
        <w:rPr>
          <w:spacing w:val="-4"/>
        </w:rPr>
        <w:t>(3</w:t>
      </w:r>
      <w:r>
        <w:rPr>
          <w:spacing w:val="-28"/>
        </w:rPr>
        <w:t> </w:t>
      </w:r>
      <w:r>
        <w:rPr>
          <w:spacing w:val="-12"/>
        </w:rPr>
        <w:t>to</w:t>
      </w:r>
      <w:r>
        <w:rPr>
          <w:spacing w:val="-35"/>
        </w:rPr>
        <w:t> </w:t>
      </w:r>
      <w:r>
        <w:rPr>
          <w:spacing w:val="-8"/>
        </w:rPr>
        <w:t>150,</w:t>
      </w:r>
      <w:r>
        <w:rPr>
          <w:spacing w:val="-12"/>
        </w:rPr>
        <w:t> </w:t>
      </w:r>
      <w:r>
        <w:rPr>
          <w:spacing w:val="-4"/>
        </w:rPr>
        <w:t>20</w:t>
      </w:r>
      <w:r>
        <w:rPr>
          <w:spacing w:val="-35"/>
        </w:rPr>
        <w:t> </w:t>
      </w:r>
      <w:r>
        <w:rPr>
          <w:spacing w:val="-12"/>
        </w:rPr>
        <w:t>to</w:t>
      </w:r>
      <w:r>
        <w:rPr>
          <w:spacing w:val="-35"/>
        </w:rPr>
        <w:t> </w:t>
      </w:r>
      <w:r>
        <w:rPr>
          <w:spacing w:val="-10"/>
        </w:rPr>
        <w:t>1500,</w:t>
      </w:r>
      <w:r>
        <w:rPr>
          <w:spacing w:val="-12"/>
        </w:rPr>
        <w:t> </w:t>
      </w:r>
      <w:r>
        <w:rPr>
          <w:spacing w:val="-11"/>
        </w:rPr>
        <w:t>and</w:t>
      </w:r>
      <w:r>
        <w:rPr>
          <w:spacing w:val="-36"/>
        </w:rPr>
        <w:t> </w:t>
      </w:r>
      <w:r>
        <w:rPr>
          <w:spacing w:val="-6"/>
        </w:rPr>
        <w:t>200</w:t>
      </w:r>
      <w:r>
        <w:rPr>
          <w:spacing w:val="-44"/>
        </w:rPr>
        <w:t> </w:t>
      </w:r>
      <w:r>
        <w:rPr>
          <w:spacing w:val="-12"/>
        </w:rPr>
        <w:t>to</w:t>
      </w:r>
      <w:r>
        <w:rPr>
          <w:spacing w:val="-36"/>
        </w:rPr>
        <w:t> </w:t>
      </w:r>
      <w:r>
        <w:rPr>
          <w:spacing w:val="-6"/>
        </w:rPr>
        <w:t>15,000</w:t>
      </w:r>
      <w:r>
        <w:rPr>
          <w:spacing w:val="-52"/>
        </w:rPr>
        <w:t> </w:t>
      </w:r>
      <w:r>
        <w:rPr>
          <w:spacing w:val="-16"/>
        </w:rPr>
        <w:t>mg/L</w:t>
      </w:r>
      <w:r>
        <w:rPr>
          <w:spacing w:val="-51"/>
        </w:rPr>
        <w:t> </w:t>
      </w:r>
      <w:r>
        <w:rPr>
          <w:spacing w:val="-26"/>
        </w:rPr>
        <w:t>COD)</w:t>
      </w:r>
    </w:p>
    <w:p>
      <w:pPr>
        <w:spacing w:line="229" w:lineRule="exact" w:before="158"/>
        <w:ind w:left="128" w:right="22" w:firstLine="0"/>
        <w:jc w:val="left"/>
        <w:rPr>
          <w:sz w:val="20"/>
        </w:rPr>
      </w:pPr>
      <w:r>
        <w:rPr>
          <w:b/>
          <w:sz w:val="20"/>
        </w:rPr>
        <w:t>Scope andApplication: </w:t>
      </w:r>
      <w:r>
        <w:rPr>
          <w:sz w:val="20"/>
        </w:rPr>
        <w:t>For water, wastewater, and seawater; digestion is required;</w:t>
      </w:r>
    </w:p>
    <w:p>
      <w:pPr>
        <w:spacing w:line="249" w:lineRule="auto" w:before="0"/>
        <w:ind w:left="134" w:right="1985" w:hanging="1"/>
        <w:jc w:val="left"/>
        <w:rPr>
          <w:sz w:val="20"/>
        </w:rPr>
      </w:pPr>
      <w:r>
        <w:rPr>
          <w:spacing w:val="-5"/>
          <w:sz w:val="20"/>
        </w:rPr>
        <w:t>3–150</w:t>
      </w:r>
      <w:r>
        <w:rPr>
          <w:spacing w:val="-39"/>
          <w:sz w:val="20"/>
        </w:rPr>
        <w:t> </w:t>
      </w:r>
      <w:r>
        <w:rPr>
          <w:spacing w:val="-6"/>
          <w:sz w:val="20"/>
        </w:rPr>
        <w:t>mg/L</w:t>
      </w:r>
      <w:r>
        <w:rPr>
          <w:spacing w:val="-22"/>
          <w:sz w:val="20"/>
        </w:rPr>
        <w:t> </w:t>
      </w:r>
      <w:r>
        <w:rPr>
          <w:spacing w:val="-8"/>
          <w:sz w:val="20"/>
        </w:rPr>
        <w:t>and</w:t>
      </w:r>
      <w:r>
        <w:rPr>
          <w:spacing w:val="-23"/>
          <w:sz w:val="20"/>
        </w:rPr>
        <w:t> </w:t>
      </w:r>
      <w:r>
        <w:rPr>
          <w:spacing w:val="-4"/>
          <w:sz w:val="20"/>
        </w:rPr>
        <w:t>20–</w:t>
      </w:r>
      <w:r>
        <w:rPr>
          <w:spacing w:val="-28"/>
          <w:sz w:val="20"/>
        </w:rPr>
        <w:t> </w:t>
      </w:r>
      <w:r>
        <w:rPr>
          <w:spacing w:val="-5"/>
          <w:sz w:val="20"/>
        </w:rPr>
        <w:t>1500</w:t>
      </w:r>
      <w:r>
        <w:rPr>
          <w:spacing w:val="-35"/>
          <w:sz w:val="20"/>
        </w:rPr>
        <w:t> </w:t>
      </w:r>
      <w:r>
        <w:rPr>
          <w:spacing w:val="-6"/>
          <w:sz w:val="20"/>
        </w:rPr>
        <w:t>mg/L</w:t>
      </w:r>
      <w:r>
        <w:rPr>
          <w:spacing w:val="-28"/>
          <w:sz w:val="20"/>
        </w:rPr>
        <w:t> </w:t>
      </w:r>
      <w:r>
        <w:rPr>
          <w:spacing w:val="-21"/>
          <w:sz w:val="20"/>
        </w:rPr>
        <w:t>COD</w:t>
      </w:r>
      <w:r>
        <w:rPr>
          <w:spacing w:val="-18"/>
          <w:sz w:val="20"/>
        </w:rPr>
        <w:t> </w:t>
      </w:r>
      <w:r>
        <w:rPr>
          <w:spacing w:val="-13"/>
          <w:sz w:val="20"/>
        </w:rPr>
        <w:t>ranges</w:t>
      </w:r>
      <w:r>
        <w:rPr>
          <w:spacing w:val="-22"/>
          <w:sz w:val="20"/>
        </w:rPr>
        <w:t> </w:t>
      </w:r>
      <w:r>
        <w:rPr>
          <w:sz w:val="20"/>
        </w:rPr>
        <w:t>are</w:t>
      </w:r>
      <w:r>
        <w:rPr>
          <w:spacing w:val="-27"/>
          <w:sz w:val="20"/>
        </w:rPr>
        <w:t> </w:t>
      </w:r>
      <w:r>
        <w:rPr>
          <w:spacing w:val="-22"/>
          <w:sz w:val="20"/>
        </w:rPr>
        <w:t>USEPA</w:t>
      </w:r>
      <w:r>
        <w:rPr>
          <w:spacing w:val="-29"/>
          <w:sz w:val="20"/>
        </w:rPr>
        <w:t> </w:t>
      </w:r>
      <w:r>
        <w:rPr>
          <w:spacing w:val="-11"/>
          <w:sz w:val="20"/>
        </w:rPr>
        <w:t>approved</w:t>
      </w:r>
      <w:r>
        <w:rPr>
          <w:spacing w:val="-13"/>
          <w:sz w:val="20"/>
        </w:rPr>
        <w:t> </w:t>
      </w:r>
      <w:r>
        <w:rPr>
          <w:sz w:val="20"/>
        </w:rPr>
        <w:t>for</w:t>
      </w:r>
      <w:r>
        <w:rPr>
          <w:spacing w:val="-13"/>
          <w:sz w:val="20"/>
        </w:rPr>
        <w:t> </w:t>
      </w:r>
      <w:r>
        <w:rPr>
          <w:spacing w:val="-12"/>
          <w:sz w:val="20"/>
        </w:rPr>
        <w:t>wastewater</w:t>
      </w:r>
      <w:r>
        <w:rPr>
          <w:spacing w:val="-17"/>
          <w:sz w:val="20"/>
        </w:rPr>
        <w:t> </w:t>
      </w:r>
      <w:r>
        <w:rPr>
          <w:spacing w:val="-11"/>
          <w:sz w:val="20"/>
        </w:rPr>
        <w:t>analyses</w:t>
      </w:r>
      <w:r>
        <w:rPr>
          <w:spacing w:val="-11"/>
          <w:position w:val="5"/>
          <w:sz w:val="16"/>
        </w:rPr>
        <w:t>2</w:t>
      </w:r>
      <w:r>
        <w:rPr>
          <w:spacing w:val="-11"/>
          <w:sz w:val="20"/>
        </w:rPr>
        <w:t>; </w:t>
      </w:r>
      <w:r>
        <w:rPr>
          <w:spacing w:val="-10"/>
          <w:sz w:val="20"/>
        </w:rPr>
        <w:t>200–15,000</w:t>
      </w:r>
      <w:r>
        <w:rPr>
          <w:spacing w:val="-20"/>
          <w:sz w:val="20"/>
        </w:rPr>
        <w:t> </w:t>
      </w:r>
      <w:r>
        <w:rPr>
          <w:spacing w:val="-6"/>
          <w:sz w:val="20"/>
        </w:rPr>
        <w:t>mg/L</w:t>
      </w:r>
      <w:r>
        <w:rPr>
          <w:spacing w:val="-30"/>
          <w:sz w:val="20"/>
        </w:rPr>
        <w:t> </w:t>
      </w:r>
      <w:r>
        <w:rPr>
          <w:spacing w:val="-21"/>
          <w:sz w:val="20"/>
        </w:rPr>
        <w:t>COD</w:t>
      </w:r>
      <w:r>
        <w:rPr>
          <w:spacing w:val="-19"/>
          <w:sz w:val="20"/>
        </w:rPr>
        <w:t> </w:t>
      </w:r>
      <w:r>
        <w:rPr>
          <w:spacing w:val="-12"/>
          <w:sz w:val="20"/>
        </w:rPr>
        <w:t>range</w:t>
      </w:r>
      <w:r>
        <w:rPr>
          <w:spacing w:val="-21"/>
          <w:sz w:val="20"/>
        </w:rPr>
        <w:t> </w:t>
      </w:r>
      <w:r>
        <w:rPr>
          <w:spacing w:val="-8"/>
          <w:sz w:val="20"/>
        </w:rPr>
        <w:t>are</w:t>
      </w:r>
      <w:r>
        <w:rPr>
          <w:spacing w:val="-26"/>
          <w:sz w:val="20"/>
        </w:rPr>
        <w:t> </w:t>
      </w:r>
      <w:r>
        <w:rPr>
          <w:spacing w:val="-6"/>
          <w:sz w:val="20"/>
        </w:rPr>
        <w:t>not</w:t>
      </w:r>
      <w:r>
        <w:rPr>
          <w:spacing w:val="-19"/>
          <w:sz w:val="20"/>
        </w:rPr>
        <w:t> </w:t>
      </w:r>
      <w:r>
        <w:rPr>
          <w:spacing w:val="-22"/>
          <w:sz w:val="20"/>
        </w:rPr>
        <w:t>USEPA</w:t>
      </w:r>
      <w:r>
        <w:rPr>
          <w:spacing w:val="-31"/>
          <w:sz w:val="20"/>
        </w:rPr>
        <w:t> </w:t>
      </w:r>
      <w:r>
        <w:rPr>
          <w:spacing w:val="-11"/>
          <w:sz w:val="20"/>
        </w:rPr>
        <w:t>approved.</w:t>
      </w:r>
    </w:p>
    <w:p>
      <w:pPr>
        <w:spacing w:before="9"/>
        <w:ind w:left="140" w:right="22" w:firstLine="0"/>
        <w:jc w:val="left"/>
        <w:rPr>
          <w:sz w:val="16"/>
        </w:rPr>
      </w:pPr>
      <w:r>
        <w:rPr>
          <w:position w:val="4"/>
          <w:sz w:val="12"/>
        </w:rPr>
        <w:t>1 </w:t>
      </w:r>
      <w:r>
        <w:rPr>
          <w:sz w:val="16"/>
        </w:rPr>
        <w:t>Jirka, A.M.; Carter, M.J., </w:t>
      </w:r>
      <w:r>
        <w:rPr>
          <w:i/>
          <w:sz w:val="16"/>
        </w:rPr>
        <w:t>Analytical Chemistry</w:t>
      </w:r>
      <w:r>
        <w:rPr>
          <w:sz w:val="16"/>
        </w:rPr>
        <w:t>, 1975, 47(8), 1397</w:t>
      </w:r>
    </w:p>
    <w:p>
      <w:pPr>
        <w:spacing w:before="14"/>
        <w:ind w:left="140" w:right="22" w:firstLine="0"/>
        <w:jc w:val="left"/>
        <w:rPr>
          <w:sz w:val="16"/>
        </w:rPr>
      </w:pPr>
      <w:r>
        <w:rPr>
          <w:position w:val="4"/>
          <w:sz w:val="12"/>
        </w:rPr>
        <w:t>2 </w:t>
      </w:r>
      <w:r>
        <w:rPr>
          <w:i/>
          <w:sz w:val="16"/>
        </w:rPr>
        <w:t>Federal Register</w:t>
      </w:r>
      <w:r>
        <w:rPr>
          <w:sz w:val="16"/>
        </w:rPr>
        <w:t>, April 21, 1980, 45(78), 26811-26812</w:t>
      </w:r>
    </w:p>
    <w:p>
      <w:pPr>
        <w:pStyle w:val="BodyText"/>
        <w:spacing w:before="10"/>
        <w:rPr>
          <w:sz w:val="20"/>
        </w:rPr>
      </w:pPr>
      <w:r>
        <w:rPr/>
        <w:pict>
          <v:group style="position:absolute;margin-left:54.327pt;margin-top:13.973704pt;width:503.7pt;height:40.85pt;mso-position-horizontal-relative:page;mso-position-vertical-relative:paragraph;z-index:13192;mso-wrap-distance-left:0;mso-wrap-distance-right:0" coordorigin="1087,279" coordsize="10074,817">
            <v:rect style="position:absolute;left:1087;top:412;width:10073;height:385" filled="true" fillcolor="#bcbec0" stroked="false">
              <v:fill type="solid"/>
            </v:rect>
            <v:shape style="position:absolute;left:1442;top:279;width:781;height:817" coordorigin="1442,279" coordsize="781,817" path="m2222,279l1442,279,1442,881,1835,881,2039,1096,2039,883,2221,883,2222,279xe" filled="true" fillcolor="#ffffff" stroked="false">
              <v:path arrowok="t"/>
              <v:fill type="solid"/>
            </v:shape>
            <v:shape style="position:absolute;left:1471;top:328;width:723;height:721" coordorigin="1471,328" coordsize="723,721" path="m2193,328l1471,328,1471,858,1835,858,2025,1048,2025,860,2191,860,2193,328xe" filled="true" fillcolor="#ffffff" stroked="false">
              <v:path arrowok="t"/>
              <v:fill type="solid"/>
            </v:shape>
            <v:shape style="position:absolute;left:1471;top:328;width:723;height:721" coordorigin="1471,328" coordsize="723,721" path="m2193,328l1471,328,1471,858,1835,858,2025,1048,2025,860,2191,860,2193,328xe" filled="false" stroked="true" strokeweight="1.5pt" strokecolor="#231f20">
              <v:path arrowok="t"/>
            </v:shape>
            <v:shape style="position:absolute;left:1782;top:691;width:101;height:101" type="#_x0000_t75" stroked="false">
              <v:imagedata r:id="rId172" o:title=""/>
            </v:shape>
            <v:shape style="position:absolute;left:1776;top:389;width:112;height:268" type="#_x0000_t75" stroked="false">
              <v:imagedata r:id="rId173" o:title=""/>
            </v:shape>
            <v:shape style="position:absolute;left:1087;top:279;width:10074;height:817" type="#_x0000_t202" filled="false" stroked="false">
              <v:textbox inset="0,0,0,0">
                <w:txbxContent>
                  <w:p>
                    <w:pPr>
                      <w:spacing w:before="140"/>
                      <w:ind w:left="1530" w:right="0" w:firstLine="0"/>
                      <w:jc w:val="left"/>
                      <w:rPr>
                        <w:b/>
                        <w:sz w:val="28"/>
                      </w:rPr>
                    </w:pPr>
                    <w:r>
                      <w:rPr>
                        <w:b/>
                        <w:color w:val="FFFFFF"/>
                        <w:sz w:val="28"/>
                      </w:rPr>
                      <w:t>Test Preparation</w:t>
                    </w:r>
                  </w:p>
                </w:txbxContent>
              </v:textbox>
              <w10:wrap type="none"/>
            </v:shape>
            <w10:wrap type="topAndBottom"/>
          </v:group>
        </w:pict>
      </w:r>
    </w:p>
    <w:p>
      <w:pPr>
        <w:pStyle w:val="BodyText"/>
        <w:rPr>
          <w:sz w:val="20"/>
        </w:rPr>
      </w:pPr>
    </w:p>
    <w:p>
      <w:pPr>
        <w:pStyle w:val="BodyText"/>
        <w:spacing w:before="2"/>
        <w:rPr>
          <w:sz w:val="20"/>
        </w:rPr>
      </w:pPr>
    </w:p>
    <w:p>
      <w:pPr>
        <w:spacing w:before="77"/>
        <w:ind w:left="219" w:right="22" w:firstLine="0"/>
        <w:jc w:val="left"/>
        <w:rPr>
          <w:b/>
          <w:sz w:val="18"/>
        </w:rPr>
      </w:pPr>
      <w:r>
        <w:rPr>
          <w:b/>
          <w:sz w:val="18"/>
        </w:rPr>
        <w:t>Before starting the test:</w:t>
      </w:r>
    </w:p>
    <w:p>
      <w:pPr>
        <w:pStyle w:val="BodyText"/>
        <w:spacing w:before="5"/>
        <w:rPr>
          <w:b/>
          <w:sz w:val="8"/>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080"/>
      </w:tblGrid>
      <w:tr>
        <w:trPr>
          <w:trHeight w:val="520" w:hRule="exact"/>
        </w:trPr>
        <w:tc>
          <w:tcPr>
            <w:tcW w:w="10080" w:type="dxa"/>
            <w:tcBorders>
              <w:left w:val="single" w:sz="2" w:space="0" w:color="000000"/>
              <w:bottom w:val="nil"/>
              <w:right w:val="single" w:sz="2" w:space="0" w:color="000000"/>
            </w:tcBorders>
            <w:shd w:val="clear" w:color="auto" w:fill="E6E6FF"/>
          </w:tcPr>
          <w:p>
            <w:pPr>
              <w:pStyle w:val="TableParagraph"/>
              <w:spacing w:line="254" w:lineRule="auto" w:before="26"/>
              <w:ind w:left="76" w:right="64"/>
              <w:jc w:val="left"/>
              <w:rPr>
                <w:rFonts w:ascii="Arial"/>
                <w:sz w:val="18"/>
              </w:rPr>
            </w:pPr>
            <w:r>
              <w:rPr>
                <w:rFonts w:ascii="Arial"/>
                <w:sz w:val="18"/>
              </w:rPr>
              <w:t>Some of the chemicals and apparatus used in this procedure may be hazardous to the health and safety of the user if inappropriately handled or accidentally misused. Please read all warnings and associated MSDS sheets.</w:t>
            </w:r>
          </w:p>
        </w:tc>
      </w:tr>
      <w:tr>
        <w:trPr>
          <w:trHeight w:val="521" w:hRule="exact"/>
        </w:trPr>
        <w:tc>
          <w:tcPr>
            <w:tcW w:w="10080" w:type="dxa"/>
            <w:tcBorders>
              <w:top w:val="nil"/>
              <w:left w:val="single" w:sz="2" w:space="0" w:color="000000"/>
              <w:bottom w:val="nil"/>
              <w:right w:val="single" w:sz="2" w:space="0" w:color="000000"/>
            </w:tcBorders>
          </w:tcPr>
          <w:p>
            <w:pPr>
              <w:pStyle w:val="TableParagraph"/>
              <w:spacing w:line="254" w:lineRule="auto" w:before="31"/>
              <w:ind w:left="76" w:right="64"/>
              <w:jc w:val="left"/>
              <w:rPr>
                <w:rFonts w:ascii="Arial"/>
                <w:sz w:val="18"/>
              </w:rPr>
            </w:pPr>
            <w:r>
              <w:rPr>
                <w:rFonts w:ascii="Arial"/>
                <w:sz w:val="18"/>
              </w:rPr>
              <w:t>Run one blank with each set of samples. Run all tests (the samples and the blank) with the same lot of vials. The lot number appears on the container label. See </w:t>
            </w:r>
            <w:r>
              <w:rPr>
                <w:rFonts w:ascii="Arial"/>
                <w:color w:val="0000FF"/>
                <w:sz w:val="18"/>
              </w:rPr>
              <w:t>Blanks for Colorimetric Determination on page 4</w:t>
            </w:r>
            <w:r>
              <w:rPr>
                <w:rFonts w:ascii="Arial"/>
                <w:sz w:val="18"/>
              </w:rPr>
              <w:t>.</w:t>
            </w:r>
          </w:p>
        </w:tc>
      </w:tr>
      <w:tr>
        <w:trPr>
          <w:trHeight w:val="520" w:hRule="exact"/>
        </w:trPr>
        <w:tc>
          <w:tcPr>
            <w:tcW w:w="10080" w:type="dxa"/>
            <w:tcBorders>
              <w:top w:val="nil"/>
              <w:left w:val="single" w:sz="2" w:space="0" w:color="000000"/>
              <w:bottom w:val="nil"/>
              <w:right w:val="single" w:sz="2" w:space="0" w:color="000000"/>
            </w:tcBorders>
            <w:shd w:val="clear" w:color="auto" w:fill="E6E6FF"/>
          </w:tcPr>
          <w:p>
            <w:pPr>
              <w:pStyle w:val="TableParagraph"/>
              <w:spacing w:line="254" w:lineRule="auto" w:before="31"/>
              <w:ind w:left="76" w:right="64"/>
              <w:jc w:val="left"/>
              <w:rPr>
                <w:rFonts w:ascii="Arial"/>
                <w:sz w:val="18"/>
              </w:rPr>
            </w:pPr>
            <w:r>
              <w:rPr>
                <w:rFonts w:ascii="Arial"/>
                <w:sz w:val="18"/>
              </w:rPr>
              <w:t>Spilled reagent will affect test accuracy and is hazardous to skin and other materials. Be prepared to wash spills with running water</w:t>
            </w:r>
          </w:p>
        </w:tc>
      </w:tr>
      <w:tr>
        <w:trPr>
          <w:trHeight w:val="521" w:hRule="exact"/>
        </w:trPr>
        <w:tc>
          <w:tcPr>
            <w:tcW w:w="10080" w:type="dxa"/>
            <w:tcBorders>
              <w:top w:val="nil"/>
              <w:left w:val="single" w:sz="2" w:space="0" w:color="000000"/>
              <w:right w:val="single" w:sz="2" w:space="0" w:color="000000"/>
            </w:tcBorders>
          </w:tcPr>
          <w:p>
            <w:pPr>
              <w:pStyle w:val="TableParagraph"/>
              <w:spacing w:line="254" w:lineRule="auto" w:before="31"/>
              <w:ind w:left="76" w:right="64"/>
              <w:jc w:val="left"/>
              <w:rPr>
                <w:rFonts w:ascii="Arial"/>
                <w:sz w:val="18"/>
              </w:rPr>
            </w:pPr>
            <w:r>
              <w:rPr>
                <w:rFonts w:ascii="Arial"/>
                <w:sz w:val="18"/>
              </w:rPr>
              <w:t>Wear appropriate eye protection and clothing for adequate user protection. If contact occurs, flush the affected area with running water. Review and follow instructions carefully.</w:t>
            </w:r>
          </w:p>
        </w:tc>
      </w:tr>
    </w:tbl>
    <w:p>
      <w:pPr>
        <w:tabs>
          <w:tab w:pos="9135" w:val="left" w:leader="none"/>
        </w:tabs>
        <w:spacing w:before="67"/>
        <w:ind w:left="219" w:right="22" w:firstLine="0"/>
        <w:jc w:val="left"/>
        <w:rPr>
          <w:b/>
          <w:sz w:val="18"/>
        </w:rPr>
      </w:pPr>
      <w:r>
        <w:rPr>
          <w:b/>
          <w:sz w:val="18"/>
        </w:rPr>
        <w:t>Collect the</w:t>
      </w:r>
      <w:r>
        <w:rPr>
          <w:b/>
          <w:spacing w:val="-6"/>
          <w:sz w:val="18"/>
        </w:rPr>
        <w:t> </w:t>
      </w:r>
      <w:r>
        <w:rPr>
          <w:b/>
          <w:sz w:val="18"/>
        </w:rPr>
        <w:t>following</w:t>
      </w:r>
      <w:r>
        <w:rPr>
          <w:b/>
          <w:spacing w:val="-4"/>
          <w:sz w:val="18"/>
        </w:rPr>
        <w:t> </w:t>
      </w:r>
      <w:r>
        <w:rPr>
          <w:b/>
          <w:sz w:val="18"/>
        </w:rPr>
        <w:t>items:</w:t>
        <w:tab/>
        <w:t>Quantity</w:t>
      </w:r>
    </w:p>
    <w:p>
      <w:pPr>
        <w:pStyle w:val="BodyText"/>
        <w:spacing w:before="4"/>
        <w:rPr>
          <w:b/>
          <w:sz w:val="8"/>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671"/>
        <w:gridCol w:w="2409"/>
      </w:tblGrid>
      <w:tr>
        <w:trPr>
          <w:trHeight w:val="300" w:hRule="exact"/>
        </w:trPr>
        <w:tc>
          <w:tcPr>
            <w:tcW w:w="7671" w:type="dxa"/>
            <w:tcBorders>
              <w:left w:val="single" w:sz="2" w:space="0" w:color="000000"/>
              <w:bottom w:val="nil"/>
              <w:right w:val="nil"/>
            </w:tcBorders>
          </w:tcPr>
          <w:p>
            <w:pPr>
              <w:pStyle w:val="TableParagraph"/>
              <w:spacing w:before="27"/>
              <w:ind w:left="76" w:right="0"/>
              <w:jc w:val="left"/>
              <w:rPr>
                <w:rFonts w:ascii="Arial"/>
                <w:sz w:val="18"/>
              </w:rPr>
            </w:pPr>
            <w:r>
              <w:rPr>
                <w:rFonts w:ascii="Arial"/>
                <w:sz w:val="18"/>
              </w:rPr>
              <w:t>Beaker, 250-mL</w:t>
            </w:r>
          </w:p>
        </w:tc>
        <w:tc>
          <w:tcPr>
            <w:tcW w:w="2409" w:type="dxa"/>
            <w:tcBorders>
              <w:left w:val="nil"/>
              <w:bottom w:val="nil"/>
              <w:right w:val="single" w:sz="2" w:space="0" w:color="000000"/>
            </w:tcBorders>
          </w:tcPr>
          <w:p>
            <w:pPr>
              <w:pStyle w:val="TableParagraph"/>
              <w:spacing w:before="27"/>
              <w:ind w:left="970" w:right="0"/>
              <w:jc w:val="center"/>
              <w:rPr>
                <w:rFonts w:ascii="Arial"/>
                <w:sz w:val="18"/>
              </w:rPr>
            </w:pPr>
            <w:r>
              <w:rPr>
                <w:rFonts w:ascii="Arial"/>
                <w:sz w:val="18"/>
              </w:rPr>
              <w:t>1</w:t>
            </w:r>
          </w:p>
        </w:tc>
      </w:tr>
      <w:tr>
        <w:trPr>
          <w:trHeight w:val="300" w:hRule="exact"/>
        </w:trPr>
        <w:tc>
          <w:tcPr>
            <w:tcW w:w="7671" w:type="dxa"/>
            <w:tcBorders>
              <w:top w:val="nil"/>
              <w:left w:val="single" w:sz="2" w:space="0" w:color="000000"/>
              <w:bottom w:val="nil"/>
              <w:right w:val="nil"/>
            </w:tcBorders>
            <w:shd w:val="clear" w:color="auto" w:fill="E6E6FF"/>
          </w:tcPr>
          <w:p>
            <w:pPr>
              <w:pStyle w:val="TableParagraph"/>
              <w:spacing w:before="31"/>
              <w:ind w:left="76" w:right="0"/>
              <w:jc w:val="left"/>
              <w:rPr>
                <w:rFonts w:ascii="Arial"/>
                <w:sz w:val="18"/>
              </w:rPr>
            </w:pPr>
            <w:r>
              <w:rPr>
                <w:rFonts w:ascii="Arial"/>
                <w:sz w:val="18"/>
              </w:rPr>
              <w:t>Blender</w:t>
            </w:r>
          </w:p>
        </w:tc>
        <w:tc>
          <w:tcPr>
            <w:tcW w:w="2409" w:type="dxa"/>
            <w:tcBorders>
              <w:top w:val="nil"/>
              <w:left w:val="nil"/>
              <w:bottom w:val="nil"/>
              <w:right w:val="single" w:sz="2" w:space="0" w:color="000000"/>
            </w:tcBorders>
            <w:shd w:val="clear" w:color="auto" w:fill="E6E6FF"/>
          </w:tcPr>
          <w:p>
            <w:pPr>
              <w:pStyle w:val="TableParagraph"/>
              <w:spacing w:before="31"/>
              <w:ind w:left="970" w:right="0"/>
              <w:jc w:val="center"/>
              <w:rPr>
                <w:rFonts w:ascii="Arial"/>
                <w:sz w:val="18"/>
              </w:rPr>
            </w:pPr>
            <w:r>
              <w:rPr>
                <w:rFonts w:ascii="Arial"/>
                <w:sz w:val="18"/>
              </w:rPr>
              <w:t>1</w:t>
            </w:r>
          </w:p>
        </w:tc>
      </w:tr>
      <w:tr>
        <w:trPr>
          <w:trHeight w:val="300" w:hRule="exact"/>
        </w:trPr>
        <w:tc>
          <w:tcPr>
            <w:tcW w:w="7671" w:type="dxa"/>
            <w:tcBorders>
              <w:top w:val="nil"/>
              <w:left w:val="single" w:sz="2" w:space="0" w:color="000000"/>
              <w:bottom w:val="nil"/>
              <w:right w:val="nil"/>
            </w:tcBorders>
          </w:tcPr>
          <w:p>
            <w:pPr>
              <w:pStyle w:val="TableParagraph"/>
              <w:spacing w:before="31"/>
              <w:ind w:left="76" w:right="0"/>
              <w:jc w:val="left"/>
              <w:rPr>
                <w:rFonts w:ascii="Arial"/>
                <w:sz w:val="18"/>
              </w:rPr>
            </w:pPr>
            <w:r>
              <w:rPr>
                <w:rFonts w:ascii="Arial"/>
                <w:sz w:val="18"/>
              </w:rPr>
              <w:t>COD Digestion Reagent vials</w:t>
            </w:r>
          </w:p>
        </w:tc>
        <w:tc>
          <w:tcPr>
            <w:tcW w:w="2409" w:type="dxa"/>
            <w:tcBorders>
              <w:top w:val="nil"/>
              <w:left w:val="nil"/>
              <w:bottom w:val="nil"/>
              <w:right w:val="single" w:sz="2" w:space="0" w:color="000000"/>
            </w:tcBorders>
          </w:tcPr>
          <w:p>
            <w:pPr>
              <w:pStyle w:val="TableParagraph"/>
              <w:spacing w:before="31"/>
              <w:ind w:left="1427" w:right="457"/>
              <w:jc w:val="center"/>
              <w:rPr>
                <w:rFonts w:ascii="Arial"/>
                <w:sz w:val="18"/>
              </w:rPr>
            </w:pPr>
            <w:r>
              <w:rPr>
                <w:rFonts w:ascii="Arial"/>
                <w:sz w:val="18"/>
              </w:rPr>
              <w:t>varies</w:t>
            </w:r>
          </w:p>
        </w:tc>
      </w:tr>
      <w:tr>
        <w:trPr>
          <w:trHeight w:val="300" w:hRule="exact"/>
        </w:trPr>
        <w:tc>
          <w:tcPr>
            <w:tcW w:w="7671" w:type="dxa"/>
            <w:tcBorders>
              <w:top w:val="nil"/>
              <w:left w:val="single" w:sz="2" w:space="0" w:color="000000"/>
              <w:bottom w:val="nil"/>
              <w:right w:val="nil"/>
            </w:tcBorders>
            <w:shd w:val="clear" w:color="auto" w:fill="E6E6FF"/>
          </w:tcPr>
          <w:p>
            <w:pPr>
              <w:pStyle w:val="TableParagraph"/>
              <w:spacing w:before="31"/>
              <w:ind w:left="76" w:right="0"/>
              <w:jc w:val="left"/>
              <w:rPr>
                <w:rFonts w:ascii="Arial"/>
                <w:sz w:val="18"/>
              </w:rPr>
            </w:pPr>
            <w:r>
              <w:rPr>
                <w:rFonts w:ascii="Arial"/>
                <w:sz w:val="18"/>
              </w:rPr>
              <w:t>DRB200 Reactor</w:t>
            </w:r>
          </w:p>
        </w:tc>
        <w:tc>
          <w:tcPr>
            <w:tcW w:w="2409" w:type="dxa"/>
            <w:tcBorders>
              <w:top w:val="nil"/>
              <w:left w:val="nil"/>
              <w:bottom w:val="nil"/>
              <w:right w:val="single" w:sz="2" w:space="0" w:color="000000"/>
            </w:tcBorders>
            <w:shd w:val="clear" w:color="auto" w:fill="E6E6FF"/>
          </w:tcPr>
          <w:p>
            <w:pPr>
              <w:pStyle w:val="TableParagraph"/>
              <w:spacing w:before="31"/>
              <w:ind w:left="970" w:right="0"/>
              <w:jc w:val="center"/>
              <w:rPr>
                <w:rFonts w:ascii="Arial"/>
                <w:sz w:val="18"/>
              </w:rPr>
            </w:pPr>
            <w:r>
              <w:rPr>
                <w:rFonts w:ascii="Arial"/>
                <w:sz w:val="18"/>
              </w:rPr>
              <w:t>1</w:t>
            </w:r>
          </w:p>
        </w:tc>
      </w:tr>
      <w:tr>
        <w:trPr>
          <w:trHeight w:val="300" w:hRule="exact"/>
        </w:trPr>
        <w:tc>
          <w:tcPr>
            <w:tcW w:w="7671" w:type="dxa"/>
            <w:tcBorders>
              <w:top w:val="nil"/>
              <w:left w:val="single" w:sz="2" w:space="0" w:color="000000"/>
              <w:bottom w:val="nil"/>
              <w:right w:val="nil"/>
            </w:tcBorders>
          </w:tcPr>
          <w:p>
            <w:pPr>
              <w:pStyle w:val="TableParagraph"/>
              <w:spacing w:before="31"/>
              <w:ind w:left="76" w:right="0"/>
              <w:jc w:val="left"/>
              <w:rPr>
                <w:rFonts w:ascii="Arial"/>
                <w:sz w:val="18"/>
              </w:rPr>
            </w:pPr>
            <w:r>
              <w:rPr>
                <w:rFonts w:ascii="Arial"/>
                <w:sz w:val="18"/>
              </w:rPr>
              <w:t>Magnetic stirrer and stir bar</w:t>
            </w:r>
          </w:p>
        </w:tc>
        <w:tc>
          <w:tcPr>
            <w:tcW w:w="2409" w:type="dxa"/>
            <w:tcBorders>
              <w:top w:val="nil"/>
              <w:left w:val="nil"/>
              <w:bottom w:val="nil"/>
              <w:right w:val="single" w:sz="2" w:space="0" w:color="000000"/>
            </w:tcBorders>
          </w:tcPr>
          <w:p>
            <w:pPr>
              <w:pStyle w:val="TableParagraph"/>
              <w:spacing w:before="31"/>
              <w:ind w:left="970" w:right="0"/>
              <w:jc w:val="center"/>
              <w:rPr>
                <w:rFonts w:ascii="Arial"/>
                <w:sz w:val="18"/>
              </w:rPr>
            </w:pPr>
            <w:r>
              <w:rPr>
                <w:rFonts w:ascii="Arial"/>
                <w:sz w:val="18"/>
              </w:rPr>
              <w:t>1</w:t>
            </w:r>
          </w:p>
        </w:tc>
      </w:tr>
      <w:tr>
        <w:trPr>
          <w:trHeight w:val="300" w:hRule="exact"/>
        </w:trPr>
        <w:tc>
          <w:tcPr>
            <w:tcW w:w="7671" w:type="dxa"/>
            <w:tcBorders>
              <w:top w:val="nil"/>
              <w:left w:val="single" w:sz="2" w:space="0" w:color="000000"/>
              <w:bottom w:val="nil"/>
              <w:right w:val="nil"/>
            </w:tcBorders>
            <w:shd w:val="clear" w:color="auto" w:fill="E6E6FF"/>
          </w:tcPr>
          <w:p>
            <w:pPr>
              <w:pStyle w:val="TableParagraph"/>
              <w:spacing w:before="31"/>
              <w:ind w:left="76" w:right="0"/>
              <w:jc w:val="left"/>
              <w:rPr>
                <w:rFonts w:ascii="Arial"/>
                <w:sz w:val="18"/>
              </w:rPr>
            </w:pPr>
            <w:r>
              <w:rPr>
                <w:rFonts w:ascii="Arial"/>
                <w:sz w:val="18"/>
              </w:rPr>
              <w:t>Opaque shipping container for storage of unused, light-sensitive reagent vials</w:t>
            </w:r>
          </w:p>
        </w:tc>
        <w:tc>
          <w:tcPr>
            <w:tcW w:w="2409" w:type="dxa"/>
            <w:tcBorders>
              <w:top w:val="nil"/>
              <w:left w:val="nil"/>
              <w:bottom w:val="nil"/>
              <w:right w:val="single" w:sz="2" w:space="0" w:color="000000"/>
            </w:tcBorders>
            <w:shd w:val="clear" w:color="auto" w:fill="E6E6FF"/>
          </w:tcPr>
          <w:p>
            <w:pPr>
              <w:pStyle w:val="TableParagraph"/>
              <w:spacing w:before="31"/>
              <w:ind w:left="1428" w:right="457"/>
              <w:jc w:val="center"/>
              <w:rPr>
                <w:rFonts w:ascii="Arial"/>
                <w:sz w:val="18"/>
              </w:rPr>
            </w:pPr>
            <w:r>
              <w:rPr>
                <w:rFonts w:ascii="Arial"/>
                <w:sz w:val="18"/>
              </w:rPr>
              <w:t>varies</w:t>
            </w:r>
          </w:p>
        </w:tc>
      </w:tr>
      <w:tr>
        <w:trPr>
          <w:trHeight w:val="300" w:hRule="exact"/>
        </w:trPr>
        <w:tc>
          <w:tcPr>
            <w:tcW w:w="7671" w:type="dxa"/>
            <w:tcBorders>
              <w:top w:val="nil"/>
              <w:left w:val="single" w:sz="2" w:space="0" w:color="000000"/>
              <w:bottom w:val="nil"/>
              <w:right w:val="nil"/>
            </w:tcBorders>
          </w:tcPr>
          <w:p>
            <w:pPr>
              <w:pStyle w:val="TableParagraph"/>
              <w:spacing w:before="19"/>
              <w:ind w:left="76" w:right="0"/>
              <w:jc w:val="left"/>
              <w:rPr>
                <w:rFonts w:ascii="Arial" w:hAnsi="Arial"/>
                <w:sz w:val="18"/>
              </w:rPr>
            </w:pPr>
            <w:r>
              <w:rPr>
                <w:rFonts w:ascii="Arial" w:hAnsi="Arial"/>
                <w:sz w:val="18"/>
              </w:rPr>
              <w:t>Pipet, TenSette</w:t>
            </w:r>
            <w:r>
              <w:rPr>
                <w:rFonts w:ascii="Arial" w:hAnsi="Arial"/>
                <w:position w:val="5"/>
                <w:sz w:val="14"/>
              </w:rPr>
              <w:t>®</w:t>
            </w:r>
            <w:r>
              <w:rPr>
                <w:rFonts w:ascii="Arial" w:hAnsi="Arial"/>
                <w:sz w:val="18"/>
              </w:rPr>
              <w:t>, 0.1 to 1.0 mL, with tips (for 200–15,000 mg/L range)</w:t>
            </w:r>
          </w:p>
        </w:tc>
        <w:tc>
          <w:tcPr>
            <w:tcW w:w="2409" w:type="dxa"/>
            <w:tcBorders>
              <w:top w:val="nil"/>
              <w:left w:val="nil"/>
              <w:bottom w:val="nil"/>
              <w:right w:val="single" w:sz="2" w:space="0" w:color="000000"/>
            </w:tcBorders>
          </w:tcPr>
          <w:p>
            <w:pPr>
              <w:pStyle w:val="TableParagraph"/>
              <w:spacing w:before="31"/>
              <w:ind w:left="970" w:right="0"/>
              <w:jc w:val="center"/>
              <w:rPr>
                <w:rFonts w:ascii="Arial"/>
                <w:sz w:val="18"/>
              </w:rPr>
            </w:pPr>
            <w:r>
              <w:rPr>
                <w:rFonts w:ascii="Arial"/>
                <w:sz w:val="18"/>
              </w:rPr>
              <w:t>1</w:t>
            </w:r>
          </w:p>
        </w:tc>
      </w:tr>
      <w:tr>
        <w:trPr>
          <w:trHeight w:val="300" w:hRule="exact"/>
        </w:trPr>
        <w:tc>
          <w:tcPr>
            <w:tcW w:w="7671" w:type="dxa"/>
            <w:tcBorders>
              <w:top w:val="nil"/>
              <w:left w:val="single" w:sz="2" w:space="0" w:color="000000"/>
              <w:bottom w:val="nil"/>
              <w:right w:val="nil"/>
            </w:tcBorders>
            <w:shd w:val="clear" w:color="auto" w:fill="E6E6FF"/>
          </w:tcPr>
          <w:p>
            <w:pPr>
              <w:pStyle w:val="TableParagraph"/>
              <w:spacing w:before="31"/>
              <w:ind w:left="76" w:right="0"/>
              <w:jc w:val="left"/>
              <w:rPr>
                <w:rFonts w:ascii="Arial"/>
                <w:sz w:val="18"/>
              </w:rPr>
            </w:pPr>
            <w:r>
              <w:rPr>
                <w:rFonts w:ascii="Arial"/>
                <w:sz w:val="18"/>
              </w:rPr>
              <w:t>Pipet, volumetric, 2.00 mL</w:t>
            </w:r>
          </w:p>
        </w:tc>
        <w:tc>
          <w:tcPr>
            <w:tcW w:w="2409" w:type="dxa"/>
            <w:tcBorders>
              <w:top w:val="nil"/>
              <w:left w:val="nil"/>
              <w:bottom w:val="nil"/>
              <w:right w:val="single" w:sz="2" w:space="0" w:color="000000"/>
            </w:tcBorders>
            <w:shd w:val="clear" w:color="auto" w:fill="E6E6FF"/>
          </w:tcPr>
          <w:p>
            <w:pPr>
              <w:pStyle w:val="TableParagraph"/>
              <w:spacing w:before="31"/>
              <w:ind w:left="970" w:right="0"/>
              <w:jc w:val="center"/>
              <w:rPr>
                <w:rFonts w:ascii="Arial"/>
                <w:sz w:val="18"/>
              </w:rPr>
            </w:pPr>
            <w:r>
              <w:rPr>
                <w:rFonts w:ascii="Arial"/>
                <w:sz w:val="18"/>
              </w:rPr>
              <w:t>2</w:t>
            </w:r>
          </w:p>
        </w:tc>
      </w:tr>
      <w:tr>
        <w:trPr>
          <w:trHeight w:val="300" w:hRule="exact"/>
        </w:trPr>
        <w:tc>
          <w:tcPr>
            <w:tcW w:w="7671" w:type="dxa"/>
            <w:tcBorders>
              <w:top w:val="nil"/>
              <w:left w:val="single" w:sz="2" w:space="0" w:color="000000"/>
              <w:bottom w:val="nil"/>
              <w:right w:val="nil"/>
            </w:tcBorders>
          </w:tcPr>
          <w:p>
            <w:pPr>
              <w:pStyle w:val="TableParagraph"/>
              <w:spacing w:before="31"/>
              <w:ind w:left="76" w:right="0"/>
              <w:jc w:val="left"/>
              <w:rPr>
                <w:rFonts w:ascii="Arial"/>
                <w:sz w:val="18"/>
              </w:rPr>
            </w:pPr>
            <w:r>
              <w:rPr>
                <w:rFonts w:ascii="Arial"/>
                <w:sz w:val="18"/>
              </w:rPr>
              <w:t>Pipet Filler, safety bulb</w:t>
            </w:r>
          </w:p>
        </w:tc>
        <w:tc>
          <w:tcPr>
            <w:tcW w:w="2409" w:type="dxa"/>
            <w:tcBorders>
              <w:top w:val="nil"/>
              <w:left w:val="nil"/>
              <w:bottom w:val="nil"/>
              <w:right w:val="single" w:sz="2" w:space="0" w:color="000000"/>
            </w:tcBorders>
          </w:tcPr>
          <w:p>
            <w:pPr>
              <w:pStyle w:val="TableParagraph"/>
              <w:spacing w:before="31"/>
              <w:ind w:left="970" w:right="0"/>
              <w:jc w:val="center"/>
              <w:rPr>
                <w:rFonts w:ascii="Arial"/>
                <w:sz w:val="18"/>
              </w:rPr>
            </w:pPr>
            <w:r>
              <w:rPr>
                <w:rFonts w:ascii="Arial"/>
                <w:sz w:val="18"/>
              </w:rPr>
              <w:t>1</w:t>
            </w:r>
          </w:p>
        </w:tc>
      </w:tr>
      <w:tr>
        <w:trPr>
          <w:trHeight w:val="300" w:hRule="exact"/>
        </w:trPr>
        <w:tc>
          <w:tcPr>
            <w:tcW w:w="7671" w:type="dxa"/>
            <w:tcBorders>
              <w:top w:val="nil"/>
              <w:left w:val="single" w:sz="2" w:space="0" w:color="000000"/>
              <w:right w:val="nil"/>
            </w:tcBorders>
            <w:shd w:val="clear" w:color="auto" w:fill="E6E6FF"/>
          </w:tcPr>
          <w:p>
            <w:pPr>
              <w:pStyle w:val="TableParagraph"/>
              <w:spacing w:before="31"/>
              <w:ind w:left="76" w:right="0"/>
              <w:jc w:val="left"/>
              <w:rPr>
                <w:rFonts w:ascii="Arial"/>
                <w:sz w:val="18"/>
              </w:rPr>
            </w:pPr>
            <w:r>
              <w:rPr>
                <w:rFonts w:ascii="Arial"/>
                <w:sz w:val="18"/>
              </w:rPr>
              <w:t>Test Tube Rack</w:t>
            </w:r>
          </w:p>
        </w:tc>
        <w:tc>
          <w:tcPr>
            <w:tcW w:w="2409" w:type="dxa"/>
            <w:tcBorders>
              <w:top w:val="nil"/>
              <w:left w:val="nil"/>
              <w:right w:val="single" w:sz="2" w:space="0" w:color="000000"/>
            </w:tcBorders>
            <w:shd w:val="clear" w:color="auto" w:fill="E6E6FF"/>
          </w:tcPr>
          <w:p>
            <w:pPr>
              <w:pStyle w:val="TableParagraph"/>
              <w:spacing w:before="31"/>
              <w:ind w:left="970" w:right="0"/>
              <w:jc w:val="center"/>
              <w:rPr>
                <w:rFonts w:ascii="Arial"/>
                <w:sz w:val="18"/>
              </w:rPr>
            </w:pPr>
            <w:r>
              <w:rPr>
                <w:rFonts w:ascii="Arial"/>
                <w:sz w:val="18"/>
              </w:rPr>
              <w:t>2</w:t>
            </w:r>
          </w:p>
        </w:tc>
      </w:tr>
    </w:tbl>
    <w:p>
      <w:pPr>
        <w:spacing w:before="27"/>
        <w:ind w:left="219" w:right="22" w:firstLine="0"/>
        <w:jc w:val="left"/>
        <w:rPr>
          <w:i/>
          <w:sz w:val="18"/>
        </w:rPr>
      </w:pPr>
      <w:r>
        <w:rPr>
          <w:b/>
          <w:i/>
          <w:sz w:val="18"/>
        </w:rPr>
        <w:t>Note: </w:t>
      </w:r>
      <w:r>
        <w:rPr>
          <w:i/>
          <w:sz w:val="18"/>
        </w:rPr>
        <w:t>Reorder information for consumables and replacement items is on page </w:t>
      </w:r>
      <w:r>
        <w:rPr>
          <w:i/>
          <w:color w:val="0000FF"/>
          <w:sz w:val="18"/>
        </w:rPr>
        <w:t>7</w:t>
      </w:r>
      <w:r>
        <w:rPr>
          <w:i/>
          <w:sz w:val="18"/>
        </w:rPr>
        <w:t>.</w:t>
      </w:r>
    </w:p>
    <w:p>
      <w:pPr>
        <w:spacing w:before="93"/>
        <w:ind w:left="219" w:right="22" w:firstLine="0"/>
        <w:jc w:val="left"/>
        <w:rPr>
          <w:i/>
          <w:sz w:val="18"/>
        </w:rPr>
      </w:pPr>
      <w:r>
        <w:rPr>
          <w:b/>
          <w:i/>
          <w:sz w:val="18"/>
        </w:rPr>
        <w:t>Note: </w:t>
      </w:r>
      <w:r>
        <w:rPr>
          <w:i/>
          <w:sz w:val="18"/>
        </w:rPr>
        <w:t>For greater accuracy, analyze a minimum of three replicates and average the results.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14"/>
        </w:rPr>
      </w:pPr>
      <w:r>
        <w:rPr/>
        <w:pict>
          <v:group style="position:absolute;margin-left:53.474998pt;margin-top:10.386524pt;width:505.05pt;height:1.05pt;mso-position-horizontal-relative:page;mso-position-vertical-relative:paragraph;z-index:13216;mso-wrap-distance-left:0;mso-wrap-distance-right:0" coordorigin="1069,208" coordsize="10101,21">
            <v:line style="position:absolute" from="1080,218" to="1080,218" stroked="true" strokeweight="1.02pt" strokecolor="#000000"/>
            <v:line style="position:absolute" from="1080,218" to="11160,218" stroked="true" strokeweight="1.02pt" strokecolor="#000000"/>
            <w10:wrap type="topAndBottom"/>
          </v:group>
        </w:pict>
      </w:r>
    </w:p>
    <w:p>
      <w:pPr>
        <w:spacing w:line="207" w:lineRule="exact" w:before="0"/>
        <w:ind w:left="0" w:right="163" w:firstLine="0"/>
        <w:jc w:val="right"/>
        <w:rPr>
          <w:b/>
          <w:sz w:val="20"/>
        </w:rPr>
      </w:pPr>
      <w:r>
        <w:rPr>
          <w:b/>
          <w:sz w:val="20"/>
        </w:rPr>
        <w:t>Oxygen Demand, Chemical</w:t>
      </w:r>
    </w:p>
    <w:p>
      <w:pPr>
        <w:tabs>
          <w:tab w:pos="9004" w:val="left" w:leader="none"/>
        </w:tabs>
        <w:spacing w:before="10"/>
        <w:ind w:left="0" w:right="163" w:firstLine="0"/>
        <w:jc w:val="right"/>
        <w:rPr>
          <w:b/>
          <w:sz w:val="20"/>
        </w:rPr>
      </w:pPr>
      <w:r>
        <w:rPr>
          <w:sz w:val="14"/>
        </w:rPr>
        <w:t>OxygenCOD_8000_RCD_MR.fm</w:t>
        <w:tab/>
      </w:r>
      <w:r>
        <w:rPr>
          <w:b/>
          <w:sz w:val="20"/>
        </w:rPr>
        <w:t>Page 1 of</w:t>
      </w:r>
      <w:r>
        <w:rPr>
          <w:b/>
          <w:spacing w:val="-11"/>
          <w:sz w:val="20"/>
        </w:rPr>
        <w:t> </w:t>
      </w:r>
      <w:r>
        <w:rPr>
          <w:b/>
          <w:sz w:val="20"/>
        </w:rPr>
        <w:t>8</w:t>
      </w:r>
    </w:p>
    <w:p>
      <w:pPr>
        <w:spacing w:after="0"/>
        <w:jc w:val="right"/>
        <w:rPr>
          <w:sz w:val="20"/>
        </w:rPr>
        <w:sectPr>
          <w:headerReference w:type="default" r:id="rId224"/>
          <w:footerReference w:type="default" r:id="rId225"/>
          <w:pgSz w:w="11900" w:h="15840"/>
          <w:pgMar w:header="0" w:footer="0" w:top="560" w:bottom="0" w:left="940" w:right="600"/>
        </w:sectPr>
      </w:pPr>
    </w:p>
    <w:p>
      <w:pPr>
        <w:pStyle w:val="Heading4"/>
        <w:ind w:right="1109"/>
      </w:pPr>
      <w:r>
        <w:rPr/>
        <w:pict>
          <v:group style="position:absolute;margin-left:35.715pt;margin-top:21.080879pt;width:505.15pt;height:1.05pt;mso-position-horizontal-relative:page;mso-position-vertical-relative:paragraph;z-index:13240;mso-wrap-distance-left:0;mso-wrap-distance-right:0" coordorigin="714,422" coordsize="10103,21">
            <v:line style="position:absolute" from="725,432" to="725,432" stroked="true" strokeweight="1.02pt" strokecolor="#000000"/>
            <v:line style="position:absolute" from="725,432" to="10806,432" stroked="true" strokeweight="1.02pt" strokecolor="#000000"/>
            <w10:wrap type="topAndBottom"/>
          </v:group>
        </w:pict>
      </w:r>
      <w:r>
        <w:rPr/>
        <w:t>Oxygen Demand, Chemical (3 to 150, 20 to 1500, and 200 to 15,000 mg/L COD)</w:t>
      </w:r>
    </w:p>
    <w:p>
      <w:pPr>
        <w:pStyle w:val="BodyText"/>
        <w:rPr>
          <w:b/>
          <w:sz w:val="20"/>
        </w:rPr>
      </w:pPr>
    </w:p>
    <w:p>
      <w:pPr>
        <w:pStyle w:val="BodyText"/>
        <w:spacing w:before="5"/>
        <w:rPr>
          <w:b/>
          <w:sz w:val="27"/>
        </w:rPr>
      </w:pPr>
      <w:r>
        <w:rPr/>
        <w:pict>
          <v:shape style="position:absolute;margin-left:36.240002pt;margin-top:17.010977pt;width:504.1pt;height:19.25pt;mso-position-horizontal-relative:page;mso-position-vertical-relative:paragraph;z-index:13264;mso-wrap-distance-left:0;mso-wrap-distance-right:0" type="#_x0000_t202" filled="true" fillcolor="#bcbec0" stroked="false">
            <v:textbox inset="0,0,0,0">
              <w:txbxContent>
                <w:p>
                  <w:pPr>
                    <w:tabs>
                      <w:tab w:pos="8255" w:val="left" w:leader="none"/>
                    </w:tabs>
                    <w:spacing w:before="0"/>
                    <w:ind w:left="231" w:right="0" w:firstLine="0"/>
                    <w:jc w:val="left"/>
                    <w:rPr>
                      <w:b/>
                      <w:sz w:val="28"/>
                    </w:rPr>
                  </w:pPr>
                  <w:r>
                    <w:rPr>
                      <w:b/>
                      <w:color w:val="FFFFFF"/>
                      <w:sz w:val="28"/>
                    </w:rPr>
                    <w:t>Digestion</w:t>
                  </w:r>
                  <w:r>
                    <w:rPr>
                      <w:b/>
                      <w:color w:val="FFFFFF"/>
                      <w:spacing w:val="-3"/>
                      <w:sz w:val="28"/>
                    </w:rPr>
                    <w:t> </w:t>
                  </w:r>
                  <w:r>
                    <w:rPr>
                      <w:b/>
                      <w:color w:val="FFFFFF"/>
                      <w:sz w:val="28"/>
                    </w:rPr>
                    <w:t>Procedure</w:t>
                    <w:tab/>
                    <w:t>Method</w:t>
                  </w:r>
                  <w:r>
                    <w:rPr>
                      <w:b/>
                      <w:color w:val="FFFFFF"/>
                      <w:spacing w:val="-4"/>
                      <w:sz w:val="28"/>
                    </w:rPr>
                    <w:t> </w:t>
                  </w:r>
                  <w:r>
                    <w:rPr>
                      <w:b/>
                      <w:color w:val="FFFFFF"/>
                      <w:sz w:val="28"/>
                    </w:rPr>
                    <w:t>8000</w:t>
                  </w:r>
                </w:p>
              </w:txbxContent>
            </v:textbox>
            <v:fill type="solid"/>
            <w10:wrap type="topAndBottom"/>
          </v:shape>
        </w:pict>
      </w:r>
      <w:r>
        <w:rPr/>
        <w:pict>
          <v:group style="position:absolute;margin-left:36.240002pt;margin-top:53.035976pt;width:121.4pt;height:121.35pt;mso-position-horizontal-relative:page;mso-position-vertical-relative:paragraph;z-index:13288;mso-wrap-distance-left:0;mso-wrap-distance-right:0" coordorigin="725,1061" coordsize="2428,2427">
            <v:rect style="position:absolute;left:845;top:1061;width:2308;height:120" filled="true" fillcolor="#b3b3b3" stroked="false">
              <v:fill type="solid"/>
            </v:rect>
            <v:rect style="position:absolute;left:3032;top:1121;width:120;height:2366" filled="true" fillcolor="#b3b3b3" stroked="false">
              <v:fill type="solid"/>
            </v:rect>
            <v:rect style="position:absolute;left:725;top:3367;width:2368;height:120" filled="true" fillcolor="#b3b3b3" stroked="false">
              <v:fill type="solid"/>
            </v:rect>
            <v:rect style="position:absolute;left:725;top:1061;width:120;height:2366" filled="true" fillcolor="#b3b3b3" stroked="false">
              <v:fill type="solid"/>
            </v:rect>
            <w10:wrap type="topAndBottom"/>
          </v:group>
        </w:pict>
      </w:r>
      <w:r>
        <w:rPr/>
        <w:pict>
          <v:group style="position:absolute;margin-left:164.520004pt;margin-top:53.035976pt;width:121.35pt;height:121.35pt;mso-position-horizontal-relative:page;mso-position-vertical-relative:paragraph;z-index:13312;mso-wrap-distance-left:0;mso-wrap-distance-right:0" coordorigin="3290,1061" coordsize="2427,2427">
            <v:rect style="position:absolute;left:3410;top:1061;width:2306;height:120" filled="true" fillcolor="#b3b3b3" stroked="false">
              <v:fill type="solid"/>
            </v:rect>
            <v:rect style="position:absolute;left:5597;top:1121;width:120;height:2366" filled="true" fillcolor="#b3b3b3" stroked="false">
              <v:fill type="solid"/>
            </v:rect>
            <v:rect style="position:absolute;left:3290;top:3367;width:2366;height:120" filled="true" fillcolor="#b3b3b3" stroked="false">
              <v:fill type="solid"/>
            </v:rect>
            <v:rect style="position:absolute;left:3290;top:1061;width:120;height:2366" filled="true" fillcolor="#b3b3b3" stroked="false">
              <v:fill type="solid"/>
            </v:rect>
            <w10:wrap type="topAndBottom"/>
          </v:group>
        </w:pict>
      </w:r>
      <w:r>
        <w:rPr/>
        <w:pict>
          <v:group style="position:absolute;margin-left:292.799988pt;margin-top:53.035976pt;width:121.35pt;height:121.35pt;mso-position-horizontal-relative:page;mso-position-vertical-relative:paragraph;z-index:13336;mso-wrap-distance-left:0;mso-wrap-distance-right:0" coordorigin="5856,1061" coordsize="2427,2427">
            <v:rect style="position:absolute;left:5976;top:1061;width:2306;height:120" filled="true" fillcolor="#b3b3b3" stroked="false">
              <v:fill type="solid"/>
            </v:rect>
            <v:rect style="position:absolute;left:8162;top:1121;width:120;height:2366" filled="true" fillcolor="#b3b3b3" stroked="false">
              <v:fill type="solid"/>
            </v:rect>
            <v:rect style="position:absolute;left:5856;top:3367;width:2366;height:120" filled="true" fillcolor="#b3b3b3" stroked="false">
              <v:fill type="solid"/>
            </v:rect>
            <v:rect style="position:absolute;left:5856;top:1061;width:120;height:2366" filled="true" fillcolor="#b3b3b3" stroked="false">
              <v:fill type="solid"/>
            </v:rect>
            <w10:wrap type="topAndBottom"/>
          </v:group>
        </w:pict>
      </w:r>
      <w:r>
        <w:rPr/>
        <w:pict>
          <v:group style="position:absolute;margin-left:421.019989pt;margin-top:52.495975pt;width:122.4pt;height:122.4pt;mso-position-horizontal-relative:page;mso-position-vertical-relative:paragraph;z-index:13360;mso-wrap-distance-left:0;mso-wrap-distance-right:0" coordorigin="8420,1050" coordsize="2448,2448">
            <v:rect style="position:absolute;left:8540;top:1050;width:2328;height:120" filled="true" fillcolor="#b3b3b3" stroked="false">
              <v:fill type="solid"/>
            </v:rect>
            <v:rect style="position:absolute;left:10748;top:1110;width:120;height:2388" filled="true" fillcolor="#b3b3b3" stroked="false">
              <v:fill type="solid"/>
            </v:rect>
            <v:rect style="position:absolute;left:8420;top:3378;width:2388;height:120" filled="true" fillcolor="#b3b3b3" stroked="false">
              <v:fill type="solid"/>
            </v:rect>
            <v:rect style="position:absolute;left:8420;top:1050;width:120;height:2388" filled="true" fillcolor="#b3b3b3" stroked="false">
              <v:fill type="solid"/>
            </v:rect>
            <w10:wrap type="topAndBottom"/>
          </v:group>
        </w:pict>
      </w:r>
    </w:p>
    <w:p>
      <w:pPr>
        <w:pStyle w:val="BodyText"/>
        <w:spacing w:before="6"/>
        <w:rPr>
          <w:b/>
          <w:sz w:val="23"/>
        </w:rPr>
      </w:pPr>
    </w:p>
    <w:p>
      <w:pPr>
        <w:pStyle w:val="BodyText"/>
        <w:spacing w:before="1"/>
        <w:rPr>
          <w:b/>
          <w:sz w:val="6"/>
        </w:rPr>
      </w:pPr>
    </w:p>
    <w:p>
      <w:pPr>
        <w:spacing w:after="0"/>
        <w:rPr>
          <w:sz w:val="6"/>
        </w:rPr>
        <w:sectPr>
          <w:headerReference w:type="default" r:id="rId226"/>
          <w:footerReference w:type="default" r:id="rId227"/>
          <w:pgSz w:w="11900" w:h="15840"/>
          <w:pgMar w:header="0" w:footer="0" w:top="240" w:bottom="0" w:left="600" w:right="920"/>
        </w:sectPr>
      </w:pPr>
    </w:p>
    <w:p>
      <w:pPr>
        <w:pStyle w:val="ListParagraph"/>
        <w:numPr>
          <w:ilvl w:val="0"/>
          <w:numId w:val="27"/>
        </w:numPr>
        <w:tabs>
          <w:tab w:pos="485" w:val="left" w:leader="none"/>
        </w:tabs>
        <w:spacing w:line="249" w:lineRule="auto" w:before="6" w:after="0"/>
        <w:ind w:left="124" w:right="37" w:firstLine="0"/>
        <w:jc w:val="left"/>
        <w:rPr>
          <w:sz w:val="20"/>
        </w:rPr>
      </w:pPr>
      <w:r>
        <w:rPr/>
        <w:pict>
          <v:group style="position:absolute;margin-left:47.903999pt;margin-top:-115.418129pt;width:98.3pt;height:98.2pt;mso-position-horizontal-relative:page;mso-position-vertical-relative:paragraph;z-index:-1518304" coordorigin="958,-2308" coordsize="1966,1964">
            <v:shape style="position:absolute;left:2052;top:-1000;width:681;height:655" coordorigin="2052,-1000" coordsize="681,655" path="m2198,-1000l2181,-829,2080,-715,2052,-469,2082,-345,2703,-345,2733,-469,2703,-715,2604,-826,2587,-997,2198,-1000xe" filled="true" fillcolor="#231f20" stroked="false">
              <v:path arrowok="t"/>
              <v:fill type="solid"/>
            </v:shape>
            <v:shape style="position:absolute;left:2087;top:-963;width:608;height:579" coordorigin="2087,-963" coordsize="608,579" path="m2551,-963l2230,-963,2217,-815,2113,-702,2087,-475,2104,-385,2679,-385,2694,-475,2669,-700,2566,-813,2551,-963xe" filled="true" fillcolor="#ffffff" stroked="false">
              <v:path arrowok="t"/>
              <v:fill type="solid"/>
            </v:shape>
            <v:shape style="position:absolute;left:2125;top:-706;width:525;height:230" coordorigin="2125,-706" coordsize="525,230" path="m2628,-604l2619,-706,2159,-706,2147,-604,2628,-604m2649,-477l2639,-580,2138,-580,2125,-477,2649,-477e" filled="true" fillcolor="#231f20" stroked="false">
              <v:path arrowok="t"/>
              <v:fill type="solid"/>
            </v:shape>
            <v:shape style="position:absolute;left:2163;top:-530;width:443;height:2" coordorigin="2163,-530" coordsize="443,0" path="m2163,-530l2177,-530m2226,-530l2240,-530m2282,-530l2299,-530m2339,-530l2354,-530m2397,-530l2414,-530m2448,-530l2465,-530m2502,-530l2516,-530m2544,-530l2563,-530m2593,-530l2606,-530e" filled="false" stroked="true" strokeweight="2.241pt" strokecolor="#ffffff">
              <v:path arrowok="t"/>
            </v:shape>
            <v:shape style="position:absolute;left:-755;top:11190;width:839;height:916" coordorigin="-755,11190" coordsize="839,916" path="m2837,-1817l2837,-1821,2837,-1821,2837,-1823,2834,-1837,2826,-1849,2815,-1857,2801,-1860,2677,-1860,2600,-1282,2728,-1404,2837,-1817xm2921,-1860l2793,-1367,2583,-1182,2566,-1063,2581,-1063,2591,-1053,2591,-1038,2591,-1025,2581,-1012,2566,-1012,2208,-1012,2194,-1012,2181,-1023,2181,-1038,2181,-1051,2194,-1063,2207,-1063,2082,-1928,2865,-1928,2886,-1924,2904,-1912,2916,-1894,2921,-1873,2921,-1868,2921,-1864,2921,-1860xm2341,-1842l2344,-1857,2353,-1870,2366,-1878,2382,-1881,2398,-1878,2411,-1870,2419,-1857,2423,-1842,2423,-1840m2341,-1081l2344,-1065,2353,-1053,2366,-1045,2382,-1042,2398,-1045,2411,-1053,2419,-1065,2423,-1081,2423,-1083m2423,-1842l2423,-1076m2341,-1842l2341,-1079m2566,-1063l2416,-1063m2207,-1063l2345,-1063m2192,-1173l2341,-1173m2177,-1301l2341,-1301m2153,-1436l2341,-1436m2134,-1577l2341,-1575m2113,-1710l2341,-1710m2095,-1849l2341,-1849m2423,-1173l2579,-1173m2423,-1301l2593,-1301m2423,-1436l2615,-1436m2423,-1575l2632,-1577m2423,-1710l2653,-1710m2423,-1849l2674,-1849e" filled="false" stroked="true" strokeweight=".259pt" strokecolor="#231f20">
              <v:path arrowok="t"/>
            </v:shape>
            <v:shape style="position:absolute;left:958;top:-2308;width:1281;height:777" coordorigin="958,-2308" coordsize="1281,777" path="m1009,-2129l958,-2111,1156,-1532,1207,-1549,1263,-1780,1843,-1978,1194,-1978,1009,-2129xm2159,-2308l1194,-1978,1843,-1978,2181,-2094,2232,-2094,2159,-2308xm2232,-2094l2181,-2094,2239,-2074,2232,-2094xe" filled="true" fillcolor="#231f20" stroked="false">
              <v:path arrowok="t"/>
              <v:fill type="solid"/>
            </v:shape>
            <v:shape style="position:absolute;left:994;top:-2271;width:1210;height:686" coordorigin="994,-2271" coordsize="1210,686" path="m1025,-2087l994,-2076,1162,-1586,1193,-1597,1239,-1805,1645,-1943,1192,-1943,1025,-2087xm2150,-2271l1192,-1943,1645,-1943,2170,-2123,2200,-2123,2150,-2271xm2200,-2123l2170,-2123,2203,-2115,2200,-2123xe" filled="true" fillcolor="#ffffff" stroked="false">
              <v:path arrowok="t"/>
              <v:fill type="solid"/>
            </v:shape>
            <v:shape style="position:absolute;left:-167;top:10811;width:214;height:490" coordorigin="-167,10811" coordsize="214,490" path="m1193,-1597l1026,-2087m1240,-1804l1192,-1943e" filled="false" stroked="true" strokeweight=".164pt" strokecolor="#231f20">
              <v:path arrowok="t"/>
            </v:shape>
            <v:shape style="position:absolute;left:1335;top:-2189;width:724;height:303" type="#_x0000_t75" stroked="false">
              <v:imagedata r:id="rId228" o:title=""/>
            </v:shape>
            <w10:wrap type="none"/>
          </v:group>
        </w:pict>
      </w:r>
      <w:r>
        <w:rPr/>
        <w:pict>
          <v:group style="position:absolute;margin-left:56.273998pt;margin-top:-23.722132pt;width:34.7pt;height:6.65pt;mso-position-horizontal-relative:page;mso-position-vertical-relative:paragraph;z-index:-1518280" coordorigin="1125,-474" coordsize="694,133">
            <v:line style="position:absolute" from="1152,-371" to="1792,-371" stroked="true" strokeweight="2.669pt" strokecolor="#231f20"/>
            <v:shape style="position:absolute;left:1152;top:-398;width:640;height:54" coordorigin="1152,-398" coordsize="640,54" path="m1186,-345l1758,-345,1771,-347,1782,-352,1790,-359,1792,-368,1792,-375,1790,-384,1782,-391,1771,-396,1758,-398,1186,-398,1174,-396,1163,-391,1155,-384,1152,-375,1152,-368,1155,-359,1163,-352,1174,-347,1186,-345xe" filled="false" stroked="true" strokeweight=".259pt" strokecolor="#231f20">
              <v:path arrowok="t"/>
            </v:shape>
            <v:shape style="position:absolute;left:1396;top:-471;width:153;height:78" coordorigin="1396,-471" coordsize="153,78" path="m1396,-398l1549,-398,1549,-471,1396,-471,1396,-398xm1413,-471l1413,-398m1452,-471l1452,-398m1493,-471l1493,-393m1536,-471l1536,-393e" filled="false" stroked="true" strokeweight=".259pt" strokecolor="#231f20">
              <v:path arrowok="t"/>
            </v:shape>
            <w10:wrap type="none"/>
          </v:group>
        </w:pict>
      </w:r>
      <w:r>
        <w:rPr/>
        <w:pict>
          <v:group style="position:absolute;margin-left:183.770004pt;margin-top:-107.456757pt;width:86.55pt;height:81.3pt;mso-position-horizontal-relative:page;mso-position-vertical-relative:paragraph;z-index:-1518256" coordorigin="3675,-2149" coordsize="1731,1626">
            <v:shape style="position:absolute;left:-429;top:11258;width:449;height:99" coordorigin="-429,11258" coordsize="449,99" path="m4111,-984l4113,-994,4114,-1006,4119,-1018,4131,-1027,4129,-1027m3699,-1003l3724,-990,3737,-976,3742,-956,3742,-928m3780,-1027l3757,-1026,3730,-1024,3703,-1019,3683,-1009,3690,-1007,3696,-1005,3699,-1003e" filled="false" stroked="true" strokeweight=".72pt" strokecolor="#231f20">
              <v:path arrowok="t"/>
            </v:shape>
            <v:line style="position:absolute" from="3780,-1029" to="4133,-1029" stroked="true" strokeweight=".72pt" strokecolor="#231f20"/>
            <v:shape style="position:absolute;left:4056;top:-589;width:60;height:58" coordorigin="4056,-589" coordsize="60,58" path="m4056,-532l4079,-536,4097,-549,4110,-567,4115,-589e" filled="false" stroked="true" strokeweight=".72pt" strokecolor="#231f20">
              <v:path arrowok="t"/>
            </v:shape>
            <v:shape style="position:absolute;left:-2;top:11301;width:88;height:328" coordorigin="-2,11301" coordsize="88,328" path="m3922,-926l4007,-926m3922,-895l4007,-895m3924,-867l4007,-870m3922,-838l4007,-834m3924,-807l4009,-807m3924,-778l4009,-778m3924,-750l4009,-750m3922,-719l4007,-719m3921,-688l4005,-687m3924,-658l4009,-654m3921,-631l4002,-633m3922,-598l4009,-602m3922,-924l3922,-598e" filled="false" stroked="true" strokeweight=".27pt" strokecolor="#231f20">
              <v:path arrowok="t"/>
            </v:shape>
            <v:line style="position:absolute" from="4115,-985" to="4115,-586" stroked="true" strokeweight=".72pt" strokecolor="#231f20"/>
            <v:shape style="position:absolute;left:3739;top:-593;width:62;height:62" coordorigin="3739,-593" coordsize="62,62" path="m3739,-593l3743,-569,3756,-550,3776,-537,3800,-532e" filled="false" stroked="true" strokeweight=".72pt" strokecolor="#231f20">
              <v:path arrowok="t"/>
            </v:shape>
            <v:shape style="position:absolute;left:-36;top:11400;width:314;height:396" coordorigin="-36,11400" coordsize="314,396" path="m4057,-534l3800,-534m3744,-589l3744,-930e" filled="false" stroked="true" strokeweight=".72pt" strokecolor="#231f20">
              <v:path arrowok="t"/>
            </v:shape>
            <v:shape style="position:absolute;left:-430;top:11181;width:1229;height:1176" coordorigin="-430,11181" coordsize="1229,1176" path="m4482,-2017l4484,-2015,4480,-2020,4479,-2020,4460,-2023,4444,-2019,4430,-2008,4421,-1992,4371,-1853,4986,-1531,4905,-1727,4482,-2017xm4470,-2127l4972,-1785,5096,-1473,5220,-1403,5226,-1415,5236,-1422,5248,-1426,5260,-1425,5270,-1418,5277,-1408,5280,-1396,5278,-1383,5134,-984,5127,-971,5117,-963,5106,-960,5092,-962,5082,-969,5075,-978,5073,-989,5074,-1000,4052,-1212,4371,-2094,4385,-2116,4405,-2131,4430,-2136,4455,-2132,4461,-2130,4466,-2128,4470,-2127xe" filled="false" stroked="true" strokeweight="1.26pt" strokecolor="#231f20">
              <v:path arrowok="t"/>
            </v:shape>
            <v:shape style="position:absolute;left:-110;top:10921;width:1079;height:848" coordorigin="-110,10921" coordsize="1079,848" path="m4254,-1470l4237,-1481,4226,-1496,4222,-1514,4225,-1533,4234,-1548,4249,-1558,4267,-1562,4286,-1560m5109,-1162l5127,-1159,5145,-1163,5160,-1174,5170,-1191,5172,-1208,5168,-1226,5157,-1240,5141,-1250,5137,-1252m4284,-1560l5148,-1248m4252,-1471l5110,-1160m5222,-1407l5159,-1236m5074,-1002l5130,-1156m4947,-1029l5008,-1198m4795,-1063l4860,-1250m4632,-1093l4709,-1306m4466,-1129l4552,-1362m4304,-1158l4401,-1417m4144,-1198l4245,-1473m5038,-1286l5103,-1464m4893,-1340l4965,-1534m4741,-1394l4819,-1612m4585,-1452l4668,-1691m4434,-1506l4525,-1767m4277,-1563l4380,-1849e" filled="false" stroked="true" strokeweight=".27pt" strokecolor="#231f20">
              <v:path arrowok="t"/>
            </v:shape>
            <v:shape style="position:absolute;left:5139;top:-1376;width:266;height:434" type="#_x0000_t75" stroked="false">
              <v:imagedata r:id="rId229" o:title=""/>
            </v:shape>
            <w10:wrap type="none"/>
          </v:group>
        </w:pict>
      </w:r>
      <w:r>
        <w:rPr>
          <w:sz w:val="20"/>
        </w:rPr>
        <w:t>Homogenize 100 mL of sample </w:t>
      </w:r>
      <w:r>
        <w:rPr>
          <w:spacing w:val="-3"/>
          <w:sz w:val="20"/>
        </w:rPr>
        <w:t>for </w:t>
      </w:r>
      <w:r>
        <w:rPr>
          <w:sz w:val="20"/>
        </w:rPr>
        <w:t>30 seconds in a blender. </w:t>
      </w:r>
      <w:r>
        <w:rPr>
          <w:spacing w:val="-3"/>
          <w:sz w:val="20"/>
        </w:rPr>
        <w:t>For</w:t>
      </w:r>
      <w:r>
        <w:rPr>
          <w:spacing w:val="-23"/>
          <w:sz w:val="20"/>
        </w:rPr>
        <w:t> </w:t>
      </w:r>
      <w:r>
        <w:rPr>
          <w:sz w:val="20"/>
        </w:rPr>
        <w:t>samples containing large amounts of solids, increase the homogenization</w:t>
      </w:r>
      <w:r>
        <w:rPr>
          <w:spacing w:val="-16"/>
          <w:sz w:val="20"/>
        </w:rPr>
        <w:t> </w:t>
      </w:r>
      <w:r>
        <w:rPr>
          <w:sz w:val="20"/>
        </w:rPr>
        <w:t>time.</w:t>
      </w:r>
    </w:p>
    <w:p>
      <w:pPr>
        <w:spacing w:line="249" w:lineRule="auto" w:before="121"/>
        <w:ind w:left="124" w:right="-12" w:firstLine="0"/>
        <w:jc w:val="left"/>
        <w:rPr>
          <w:sz w:val="20"/>
        </w:rPr>
      </w:pPr>
      <w:r>
        <w:rPr/>
        <w:pict>
          <v:group style="position:absolute;margin-left:487.961578pt;margin-top:99.127937pt;width:12.55pt;height:74.150pt;mso-position-horizontal-relative:page;mso-position-vertical-relative:paragraph;z-index:-1518112" coordorigin="9759,1983" coordsize="251,1483">
            <v:shape style="position:absolute;left:9772;top:2092;width:226;height:1361" coordorigin="9772,2092" coordsize="226,1361" path="m9997,3356l9997,2195,9993,2172,9982,2163,9972,2159,9967,2149,9967,2092,9803,2092,9803,2093,9803,2099,9803,2116,9803,2149,9798,2159,9787,2163,9777,2172,9772,2197,9772,3354,9781,3392,9805,3424,9841,3445,9884,3453,9928,3445,9963,3424,9988,3393,9997,3356xe" filled="false" stroked="true" strokeweight="1.228663pt" strokecolor="#231f20">
              <v:path arrowok="t"/>
            </v:shape>
            <v:rect style="position:absolute;left:9772;top:1983;width:225;height:151" filled="true" fillcolor="#231f20" stroked="false">
              <v:fill type="solid"/>
            </v:rect>
            <w10:wrap type="none"/>
          </v:group>
        </w:pict>
      </w:r>
      <w:r>
        <w:rPr/>
        <w:pict>
          <v:group style="position:absolute;margin-left:504.170013pt;margin-top:115.841156pt;width:6.45pt;height:48.65pt;mso-position-horizontal-relative:page;mso-position-vertical-relative:paragraph;z-index:-1518088" coordorigin="10083,2317" coordsize="129,973">
            <v:shape style="position:absolute;left:10083;top:3157;width:128;height:132" type="#_x0000_t75" stroked="false">
              <v:imagedata r:id="rId230" o:title=""/>
            </v:shape>
            <v:shape style="position:absolute;left:10083;top:2317;width:128;height:132" type="#_x0000_t75" stroked="false">
              <v:imagedata r:id="rId231" o:title=""/>
            </v:shape>
            <v:line style="position:absolute" from="10142,2399" to="10142,3185" stroked="true" strokeweight="1.081pt" strokecolor="#231f20"/>
            <w10:wrap type="none"/>
          </v:group>
        </w:pict>
      </w:r>
      <w:r>
        <w:rPr/>
        <w:pict>
          <v:group style="position:absolute;margin-left:459.869995pt;margin-top:98.769157pt;width:19.850pt;height:74.1pt;mso-position-horizontal-relative:page;mso-position-vertical-relative:paragraph;z-index:-1518064" coordorigin="9197,1975" coordsize="397,1482">
            <v:shape style="position:absolute;left:9385;top:1986;width:198;height:1361" coordorigin="9385,1986" coordsize="198,1361" path="m9386,2083l9385,3244,9389,3267,9398,3276,9407,3280,9411,3290,9411,3347,9555,3347,9555,3346,9555,3340,9555,3323,9555,3290,9560,3280,9569,3276,9579,3267,9583,3242,9582,2085,9575,2047,9554,2015,9523,1994,9485,1986,9446,1994,9415,2015,9394,2046,9386,2083xe" filled="false" stroked="true" strokeweight="1.08pt" strokecolor="#231f20">
              <v:path arrowok="t"/>
            </v:shape>
            <v:shape style="position:absolute;left:9197;top:2150;width:112;height:132" type="#_x0000_t75" stroked="false">
              <v:imagedata r:id="rId232" o:title=""/>
            </v:shape>
            <v:shape style="position:absolute;left:9197;top:2990;width:112;height:132" type="#_x0000_t75" stroked="false">
              <v:imagedata r:id="rId233" o:title=""/>
            </v:shape>
            <v:line style="position:absolute" from="9258,2254" to="9258,3040" stroked="true" strokeweight=".947pt" strokecolor="#231f20"/>
            <v:rect style="position:absolute;left:9386;top:3306;width:197;height:151" filled="true" fillcolor="#231f20" stroked="false">
              <v:fill type="solid"/>
            </v:rect>
            <w10:wrap type="none"/>
          </v:group>
        </w:pict>
      </w:r>
      <w:r>
        <w:rPr>
          <w:sz w:val="20"/>
        </w:rPr>
        <w:t>If the sample does not contain suspended</w:t>
      </w:r>
      <w:r>
        <w:rPr>
          <w:spacing w:val="-35"/>
          <w:sz w:val="20"/>
        </w:rPr>
        <w:t> </w:t>
      </w:r>
      <w:r>
        <w:rPr>
          <w:sz w:val="20"/>
        </w:rPr>
        <w:t>solids, omit steps </w:t>
      </w:r>
      <w:r>
        <w:rPr>
          <w:color w:val="0000FF"/>
          <w:sz w:val="20"/>
        </w:rPr>
        <w:t>1 </w:t>
      </w:r>
      <w:r>
        <w:rPr>
          <w:sz w:val="20"/>
        </w:rPr>
        <w:t>and</w:t>
      </w:r>
      <w:r>
        <w:rPr>
          <w:spacing w:val="-25"/>
          <w:sz w:val="20"/>
        </w:rPr>
        <w:t> </w:t>
      </w:r>
      <w:r>
        <w:rPr>
          <w:color w:val="0000FF"/>
          <w:sz w:val="20"/>
        </w:rPr>
        <w:t>2</w:t>
      </w:r>
      <w:r>
        <w:rPr>
          <w:sz w:val="20"/>
        </w:rPr>
        <w:t>.</w:t>
      </w:r>
    </w:p>
    <w:p>
      <w:pPr>
        <w:pStyle w:val="ListParagraph"/>
        <w:numPr>
          <w:ilvl w:val="0"/>
          <w:numId w:val="27"/>
        </w:numPr>
        <w:tabs>
          <w:tab w:pos="485" w:val="left" w:leader="none"/>
        </w:tabs>
        <w:spacing w:line="240" w:lineRule="auto" w:before="6" w:after="0"/>
        <w:ind w:left="484" w:right="0" w:hanging="360"/>
        <w:jc w:val="left"/>
        <w:rPr>
          <w:sz w:val="20"/>
        </w:rPr>
      </w:pPr>
      <w:r>
        <w:rPr>
          <w:spacing w:val="-6"/>
          <w:w w:val="99"/>
          <w:sz w:val="20"/>
        </w:rPr>
        <w:br w:type="column"/>
      </w:r>
      <w:r>
        <w:rPr>
          <w:sz w:val="20"/>
        </w:rPr>
        <w:t>For</w:t>
      </w:r>
      <w:r>
        <w:rPr>
          <w:spacing w:val="-10"/>
          <w:sz w:val="20"/>
        </w:rPr>
        <w:t> </w:t>
      </w:r>
      <w:r>
        <w:rPr>
          <w:sz w:val="20"/>
        </w:rPr>
        <w:t>the</w:t>
      </w:r>
    </w:p>
    <w:p>
      <w:pPr>
        <w:spacing w:line="249" w:lineRule="auto" w:before="10"/>
        <w:ind w:left="124" w:right="-6" w:firstLine="0"/>
        <w:jc w:val="left"/>
        <w:rPr>
          <w:sz w:val="20"/>
        </w:rPr>
      </w:pPr>
      <w:r>
        <w:rPr/>
        <w:pict>
          <v:group style="position:absolute;margin-left:315.868988pt;margin-top:-118.381851pt;width:75.150pt;height:81.1pt;mso-position-horizontal-relative:page;mso-position-vertical-relative:paragraph;z-index:-1518232" coordorigin="6317,-2368" coordsize="1503,1622">
            <v:shape style="position:absolute;left:6317;top:-2368;width:1502;height:1621" type="#_x0000_t75" stroked="false">
              <v:imagedata r:id="rId234" o:title=""/>
            </v:shape>
            <v:shape style="position:absolute;left:6893;top:-2317;width:494;height:256" type="#_x0000_t75" stroked="false">
              <v:imagedata r:id="rId235" o:title=""/>
            </v:shape>
            <v:shape style="position:absolute;left:502;top:11566;width:117;height:92" coordorigin="502,11566" coordsize="117,92" path="m7398,-1688l7425,-1695,7449,-1703,7474,-1713,7504,-1728m7402,-1671l7430,-1678,7454,-1686,7477,-1696,7505,-1710m7407,-1653l7435,-1660,7458,-1668,7481,-1677,7509,-1691m7412,-1636l7440,-1644,7464,-1651,7487,-1661,7515,-1674e" filled="false" stroked="true" strokeweight=".26pt" strokecolor="#231f20">
              <v:path arrowok="t"/>
            </v:shape>
            <v:shape style="position:absolute;left:6409;top:-2227;width:574;height:351" type="#_x0000_t75" stroked="false">
              <v:imagedata r:id="rId236" o:title=""/>
            </v:shape>
            <v:shape style="position:absolute;left:6873;top:-1580;width:156;height:122" type="#_x0000_t75" stroked="false">
              <v:imagedata r:id="rId237" o:title=""/>
            </v:shape>
            <w10:wrap type="none"/>
          </v:group>
        </w:pict>
      </w:r>
      <w:r>
        <w:rPr>
          <w:sz w:val="20"/>
        </w:rPr>
        <w:t>200–15,000</w:t>
      </w:r>
      <w:r>
        <w:rPr>
          <w:spacing w:val="-7"/>
          <w:sz w:val="20"/>
        </w:rPr>
        <w:t> </w:t>
      </w:r>
      <w:r>
        <w:rPr>
          <w:sz w:val="20"/>
        </w:rPr>
        <w:t>mg/L</w:t>
      </w:r>
      <w:r>
        <w:rPr>
          <w:spacing w:val="-19"/>
          <w:sz w:val="20"/>
        </w:rPr>
        <w:t> </w:t>
      </w:r>
      <w:r>
        <w:rPr>
          <w:sz w:val="20"/>
        </w:rPr>
        <w:t>range</w:t>
      </w:r>
      <w:r>
        <w:rPr>
          <w:spacing w:val="-19"/>
          <w:sz w:val="20"/>
        </w:rPr>
        <w:t> </w:t>
      </w:r>
      <w:r>
        <w:rPr>
          <w:sz w:val="20"/>
        </w:rPr>
        <w:t>or to improve accuracy and reproducibility of the other ranges, pour the homogenized sample into a 250-mL beaker and gently stir with a magnetic stir</w:t>
      </w:r>
      <w:r>
        <w:rPr>
          <w:spacing w:val="-7"/>
          <w:sz w:val="20"/>
        </w:rPr>
        <w:t> </w:t>
      </w:r>
      <w:r>
        <w:rPr>
          <w:sz w:val="20"/>
        </w:rPr>
        <w:t>plate.</w:t>
      </w:r>
    </w:p>
    <w:p>
      <w:pPr>
        <w:pStyle w:val="ListParagraph"/>
        <w:numPr>
          <w:ilvl w:val="0"/>
          <w:numId w:val="27"/>
        </w:numPr>
        <w:tabs>
          <w:tab w:pos="485" w:val="left" w:leader="none"/>
        </w:tabs>
        <w:spacing w:line="249" w:lineRule="auto" w:before="6" w:after="0"/>
        <w:ind w:left="124" w:right="39" w:firstLine="0"/>
        <w:jc w:val="left"/>
        <w:rPr>
          <w:sz w:val="20"/>
        </w:rPr>
      </w:pPr>
      <w:r>
        <w:rPr>
          <w:spacing w:val="-24"/>
          <w:w w:val="99"/>
          <w:sz w:val="20"/>
        </w:rPr>
        <w:br w:type="column"/>
      </w:r>
      <w:r>
        <w:rPr>
          <w:spacing w:val="-5"/>
          <w:sz w:val="20"/>
        </w:rPr>
        <w:t>Turn </w:t>
      </w:r>
      <w:r>
        <w:rPr>
          <w:sz w:val="20"/>
        </w:rPr>
        <w:t>on the DRB200 Reactor. Preheat</w:t>
      </w:r>
      <w:r>
        <w:rPr>
          <w:spacing w:val="-26"/>
          <w:sz w:val="20"/>
        </w:rPr>
        <w:t> </w:t>
      </w:r>
      <w:r>
        <w:rPr>
          <w:sz w:val="20"/>
        </w:rPr>
        <w:t>to</w:t>
      </w:r>
    </w:p>
    <w:p>
      <w:pPr>
        <w:spacing w:before="1"/>
        <w:ind w:left="124" w:right="198" w:firstLine="0"/>
        <w:jc w:val="left"/>
        <w:rPr>
          <w:sz w:val="20"/>
        </w:rPr>
      </w:pPr>
      <w:r>
        <w:rPr/>
        <w:pict>
          <v:shape style="position:absolute;margin-left:449.346985pt;margin-top:-132.773636pt;width:12.4pt;height:85.05pt;mso-position-horizontal-relative:page;mso-position-vertical-relative:paragraph;z-index:-1518208" coordorigin="8987,-2655" coordsize="248,1701" path="m9233,-1075l9234,-2527,9229,-2556,9218,-2567,9206,-2572,9201,-2585,9201,-2655,9021,-2655,9021,-2654,9021,-2647,9021,-2626,9021,-2585,9016,-2572,9004,-2567,8992,-2556,8987,-2525,8988,-1078,8997,-1030,9024,-991,9062,-965,9110,-955,9158,-965,9197,-991,9223,-1029,9233,-1075xe" filled="false" stroked="true" strokeweight="1.35pt" strokecolor="#231f20">
            <v:path arrowok="t"/>
            <w10:wrap type="none"/>
          </v:shape>
        </w:pict>
      </w:r>
      <w:r>
        <w:rPr/>
        <w:pict>
          <v:rect style="position:absolute;margin-left:467.617004pt;margin-top:-57.449631pt;width:12.313pt;height:9.415pt;mso-position-horizontal-relative:page;mso-position-vertical-relative:paragraph;z-index:-1518184" filled="true" fillcolor="#231f20" stroked="false">
            <v:fill type="solid"/>
            <w10:wrap type="none"/>
          </v:rect>
        </w:pict>
      </w:r>
      <w:r>
        <w:rPr/>
        <w:pict>
          <v:shape style="position:absolute;margin-left:497.348999pt;margin-top:-132.773636pt;width:12.4pt;height:85.05pt;mso-position-horizontal-relative:page;mso-position-vertical-relative:paragraph;z-index:-1518160" coordorigin="9947,-2655" coordsize="248,1701" path="m10193,-1075l10194,-2527,10189,-2556,10178,-2567,10166,-2572,10161,-2585,10161,-2655,9981,-2655,9981,-2654,9981,-2647,9981,-2626,9981,-2585,9976,-2572,9964,-2567,9952,-2556,9947,-2525,9948,-1078,9957,-1030,9984,-991,10022,-965,10070,-955,10118,-965,10157,-991,10183,-1029,10193,-1075xe" filled="false" stroked="true" strokeweight="1.35pt" strokecolor="#231f20">
            <v:path arrowok="t"/>
            <w10:wrap type="none"/>
          </v:shape>
        </w:pict>
      </w:r>
      <w:r>
        <w:rPr/>
        <w:pict>
          <v:rect style="position:absolute;margin-left:515.619019pt;margin-top:-57.449631pt;width:12.312pt;height:9.415pt;mso-position-horizontal-relative:page;mso-position-vertical-relative:paragraph;z-index:-1518136" filled="true" fillcolor="#231f20" stroked="false">
            <v:fill type="solid"/>
            <w10:wrap type="none"/>
          </v:rect>
        </w:pict>
      </w:r>
      <w:r>
        <w:rPr>
          <w:sz w:val="20"/>
        </w:rPr>
        <w:t>150 °C.</w:t>
      </w:r>
    </w:p>
    <w:p>
      <w:pPr>
        <w:spacing w:line="249" w:lineRule="auto" w:before="130"/>
        <w:ind w:left="124" w:right="205" w:firstLine="0"/>
        <w:jc w:val="left"/>
        <w:rPr>
          <w:sz w:val="20"/>
        </w:rPr>
      </w:pPr>
      <w:r>
        <w:rPr>
          <w:sz w:val="20"/>
        </w:rPr>
        <w:t>See the DRB200 User Manual for selecting pre-programmed</w:t>
      </w:r>
    </w:p>
    <w:p>
      <w:pPr>
        <w:spacing w:before="1"/>
        <w:ind w:left="124" w:right="0" w:firstLine="0"/>
        <w:jc w:val="left"/>
        <w:rPr>
          <w:sz w:val="20"/>
        </w:rPr>
      </w:pPr>
      <w:r>
        <w:rPr>
          <w:w w:val="95"/>
          <w:sz w:val="20"/>
        </w:rPr>
        <w:t>temperature  applications.</w:t>
      </w:r>
    </w:p>
    <w:p>
      <w:pPr>
        <w:pStyle w:val="ListParagraph"/>
        <w:numPr>
          <w:ilvl w:val="0"/>
          <w:numId w:val="27"/>
        </w:numPr>
        <w:tabs>
          <w:tab w:pos="485" w:val="left" w:leader="none"/>
        </w:tabs>
        <w:spacing w:line="249" w:lineRule="auto" w:before="7" w:after="0"/>
        <w:ind w:left="124" w:right="234" w:firstLine="0"/>
        <w:jc w:val="left"/>
        <w:rPr>
          <w:sz w:val="20"/>
        </w:rPr>
      </w:pPr>
      <w:r>
        <w:rPr>
          <w:w w:val="99"/>
          <w:sz w:val="20"/>
        </w:rPr>
        <w:br w:type="column"/>
      </w:r>
      <w:r>
        <w:rPr>
          <w:sz w:val="20"/>
        </w:rPr>
        <w:t>Remove</w:t>
      </w:r>
      <w:r>
        <w:rPr>
          <w:spacing w:val="-19"/>
          <w:sz w:val="20"/>
        </w:rPr>
        <w:t> </w:t>
      </w:r>
      <w:r>
        <w:rPr>
          <w:sz w:val="20"/>
        </w:rPr>
        <w:t>the</w:t>
      </w:r>
      <w:r>
        <w:rPr>
          <w:spacing w:val="-19"/>
          <w:sz w:val="20"/>
        </w:rPr>
        <w:t> </w:t>
      </w:r>
      <w:r>
        <w:rPr>
          <w:sz w:val="20"/>
        </w:rPr>
        <w:t>caps</w:t>
      </w:r>
      <w:r>
        <w:rPr>
          <w:spacing w:val="-19"/>
          <w:sz w:val="20"/>
        </w:rPr>
        <w:t> </w:t>
      </w:r>
      <w:r>
        <w:rPr>
          <w:sz w:val="20"/>
        </w:rPr>
        <w:t>from two COD Digestion Reagent Vials. (Be sure</w:t>
      </w:r>
      <w:r>
        <w:rPr>
          <w:spacing w:val="-32"/>
          <w:sz w:val="20"/>
        </w:rPr>
        <w:t> </w:t>
      </w:r>
      <w:r>
        <w:rPr>
          <w:sz w:val="20"/>
        </w:rPr>
        <w:t>to use vials </w:t>
      </w:r>
      <w:r>
        <w:rPr>
          <w:spacing w:val="-3"/>
          <w:sz w:val="20"/>
        </w:rPr>
        <w:t>for </w:t>
      </w:r>
      <w:r>
        <w:rPr>
          <w:sz w:val="20"/>
        </w:rPr>
        <w:t>the appropriate</w:t>
      </w:r>
      <w:r>
        <w:rPr>
          <w:spacing w:val="-14"/>
          <w:sz w:val="20"/>
        </w:rPr>
        <w:t> </w:t>
      </w:r>
      <w:r>
        <w:rPr>
          <w:sz w:val="20"/>
        </w:rPr>
        <w:t>range.)</w:t>
      </w:r>
    </w:p>
    <w:p>
      <w:pPr>
        <w:spacing w:after="0" w:line="249" w:lineRule="auto"/>
        <w:jc w:val="left"/>
        <w:rPr>
          <w:sz w:val="20"/>
        </w:rPr>
        <w:sectPr>
          <w:type w:val="continuous"/>
          <w:pgSz w:w="11900" w:h="15840"/>
          <w:pgMar w:top="0" w:bottom="0" w:left="600" w:right="920"/>
          <w:cols w:num="4" w:equalWidth="0">
            <w:col w:w="2399" w:space="167"/>
            <w:col w:w="2451" w:space="115"/>
            <w:col w:w="2340" w:space="224"/>
            <w:col w:w="2684"/>
          </w:cols>
        </w:sectPr>
      </w:pPr>
    </w:p>
    <w:p>
      <w:pPr>
        <w:pStyle w:val="BodyText"/>
        <w:rPr>
          <w:sz w:val="20"/>
        </w:rPr>
      </w:pPr>
    </w:p>
    <w:p>
      <w:pPr>
        <w:pStyle w:val="BodyText"/>
        <w:rPr>
          <w:sz w:val="20"/>
        </w:rPr>
      </w:pPr>
    </w:p>
    <w:p>
      <w:pPr>
        <w:pStyle w:val="BodyText"/>
        <w:spacing w:before="6" w:after="1"/>
        <w:rPr>
          <w:sz w:val="16"/>
        </w:rPr>
      </w:pPr>
    </w:p>
    <w:p>
      <w:pPr>
        <w:spacing w:line="240" w:lineRule="auto"/>
        <w:ind w:left="124" w:right="0" w:firstLine="0"/>
        <w:rPr>
          <w:sz w:val="20"/>
        </w:rPr>
      </w:pPr>
      <w:r>
        <w:rPr>
          <w:sz w:val="20"/>
        </w:rPr>
        <w:pict>
          <v:group style="width:122.5pt;height:122.65pt;mso-position-horizontal-relative:char;mso-position-vertical-relative:line" coordorigin="0,0" coordsize="2450,2453">
            <v:shape style="position:absolute;left:255;top:1047;width:1160;height:1159" coordorigin="255,1047" coordsize="1160,1159" path="m380,2155l1339,1197,1357,1176,1361,1165,1361,1158,1367,1149,1414,1102,1359,1047,1358,1047,1353,1053,1339,1066,1312,1093,1302,1100,307,2078,260,2147,255,2176,263,2197,284,2205,313,2200,347,2183,380,2155e" filled="false" stroked="true" strokeweight=".923365pt" strokecolor="#231f20">
              <v:path arrowok="t"/>
            </v:shape>
            <v:shape style="position:absolute;left:306;top:1841;width:131;height:130" coordorigin="306,1841" coordsize="131,130" path="m392,1841l306,1971,437,1883,399,1878,392,1841xe" filled="true" fillcolor="#231f20" stroked="false">
              <v:path arrowok="t"/>
              <v:fill type="solid"/>
            </v:shape>
            <v:shape style="position:absolute;left:979;top:1168;width:130;height:131" coordorigin="979,1168" coordsize="130,131" path="m1109,1168l979,1255,1016,1261,1021,1299,1109,1168xe" filled="true" fillcolor="#231f20" stroked="false">
              <v:path arrowok="t"/>
              <v:fill type="solid"/>
            </v:shape>
            <v:shape style="position:absolute;left:387;top:1231;width:656;height:656" coordorigin="387,1231" coordsize="656,656" path="m1035,1231l387,1879,394,1887,1043,1238,1035,1231xe" filled="true" fillcolor="#231f20" stroked="false">
              <v:path arrowok="t"/>
              <v:fill type="solid"/>
            </v:shape>
            <v:shape style="position:absolute;left:486;top:2021;width:131;height:130" coordorigin="486,2021" coordsize="131,130" path="m573,2021l486,2151,617,2063,579,2058,573,2021xe" filled="true" fillcolor="#231f20" stroked="false">
              <v:path arrowok="t"/>
              <v:fill type="solid"/>
            </v:shape>
            <v:shape style="position:absolute;left:1160;top:1348;width:130;height:131" coordorigin="1160,1348" coordsize="130,131" path="m1289,1348l1160,1434,1196,1441,1201,1478,1289,1348xe" filled="true" fillcolor="#231f20" stroked="false">
              <v:path arrowok="t"/>
              <v:fill type="solid"/>
            </v:shape>
            <v:shape style="position:absolute;left:567;top:1411;width:656;height:656" coordorigin="567,1411" coordsize="656,656" path="m1216,1411l567,2059,574,2066,1223,1418,1216,1411xe" filled="true" fillcolor="#231f20" stroked="false">
              <v:path arrowok="t"/>
              <v:fill type="solid"/>
            </v:shape>
            <v:shape style="position:absolute;left:1315;top:946;width:200;height:200" coordorigin="1315,946" coordsize="200,200" path="m1315,1070l1390,1145,1515,1021,1439,946,1315,1070xe" filled="true" fillcolor="#231f20" stroked="false">
              <v:path arrowok="t"/>
              <v:fill type="solid"/>
            </v:shape>
            <v:shape style="position:absolute;left:1488;top:4;width:889;height:1091" coordorigin="1488,4" coordsize="889,1091" path="m2377,4l1658,4,1488,972,2185,1095,2377,4xe" filled="true" fillcolor="#ffffff" stroked="false">
              <v:path arrowok="t"/>
              <v:fill type="solid"/>
            </v:shape>
            <v:shape style="position:absolute;left:1517;top:4;width:779;height:946" coordorigin="1517,4" coordsize="779,946" path="m2295,4l2072,282,2071,305,1913,500,1892,507,1575,900,1517,950,1554,884,1871,490,1873,468,2030,272,2052,265,2262,5e" filled="false" stroked="true" strokeweight=".388641pt" strokecolor="#231f20">
              <v:path arrowok="t"/>
            </v:shape>
            <v:rect style="position:absolute;left:120;top:4;width:2329;height:120" filled="true" fillcolor="#b3b3b3" stroked="false">
              <v:fill type="solid"/>
            </v:rect>
            <v:rect style="position:absolute;left:2329;top:64;width:120;height:2388" filled="true" fillcolor="#b3b3b3" stroked="false">
              <v:fill type="solid"/>
            </v:rect>
            <v:rect style="position:absolute;left:0;top:2332;width:2389;height:120" filled="true" fillcolor="#b3b3b3" stroked="false">
              <v:fill type="solid"/>
            </v:rect>
            <v:rect style="position:absolute;left:0;top:4;width:120;height:2388" filled="true" fillcolor="#b3b3b3" stroked="false">
              <v:fill type="solid"/>
            </v:rect>
          </v:group>
        </w:pict>
      </w:r>
      <w:r>
        <w:rPr>
          <w:sz w:val="20"/>
        </w:rPr>
      </w:r>
      <w:r>
        <w:rPr>
          <w:rFonts w:ascii="Times New Roman"/>
          <w:spacing w:val="54"/>
          <w:sz w:val="20"/>
        </w:rPr>
        <w:t> </w:t>
      </w:r>
      <w:r>
        <w:rPr>
          <w:spacing w:val="54"/>
          <w:sz w:val="20"/>
        </w:rPr>
        <w:pict>
          <v:group style="width:122.4pt;height:122.65pt;mso-position-horizontal-relative:char;mso-position-vertical-relative:line" coordorigin="0,0" coordsize="2448,2453">
            <v:shape style="position:absolute;left:254;top:1047;width:1160;height:1159" coordorigin="254,1047" coordsize="1160,1159" path="m379,2155l1338,1197,1356,1176,1360,1165,1360,1158,1367,1149,1413,1102,1358,1047,1357,1047,1352,1053,1338,1066,1311,1093,1302,1100,306,2078,259,2147,254,2176,262,2197,283,2205,312,2200,346,2183,379,2155e" filled="false" stroked="true" strokeweight=".923361pt" strokecolor="#231f20">
              <v:path arrowok="t"/>
            </v:shape>
            <v:shape style="position:absolute;left:305;top:1841;width:131;height:130" coordorigin="305,1841" coordsize="131,130" path="m392,1841l305,1971,436,1883,398,1878,392,1841xe" filled="true" fillcolor="#231f20" stroked="false">
              <v:path arrowok="t"/>
              <v:fill type="solid"/>
            </v:shape>
            <v:shape style="position:absolute;left:979;top:1168;width:130;height:131" coordorigin="979,1168" coordsize="130,131" path="m1108,1168l979,1255,1015,1261,1020,1299,1108,1168xe" filled="true" fillcolor="#231f20" stroked="false">
              <v:path arrowok="t"/>
              <v:fill type="solid"/>
            </v:shape>
            <v:shape style="position:absolute;left:386;top:1231;width:656;height:656" coordorigin="386,1231" coordsize="656,656" path="m1035,1231l386,1879,393,1887,1042,1238,1035,1231xe" filled="true" fillcolor="#231f20" stroked="false">
              <v:path arrowok="t"/>
              <v:fill type="solid"/>
            </v:shape>
            <v:shape style="position:absolute;left:485;top:2021;width:131;height:130" coordorigin="485,2021" coordsize="131,130" path="m572,2021l485,2151,616,2063,578,2058,572,2021xe" filled="true" fillcolor="#231f20" stroked="false">
              <v:path arrowok="t"/>
              <v:fill type="solid"/>
            </v:shape>
            <v:shape style="position:absolute;left:1159;top:1348;width:130;height:131" coordorigin="1159,1348" coordsize="130,131" path="m1288,1348l1159,1434,1196,1441,1201,1478,1288,1348xe" filled="true" fillcolor="#231f20" stroked="false">
              <v:path arrowok="t"/>
              <v:fill type="solid"/>
            </v:shape>
            <v:shape style="position:absolute;left:566;top:1411;width:656;height:656" coordorigin="566,1411" coordsize="656,656" path="m1215,1411l566,2059,574,2066,1222,1418,1215,1411xe" filled="true" fillcolor="#231f20" stroked="false">
              <v:path arrowok="t"/>
              <v:fill type="solid"/>
            </v:shape>
            <v:shape style="position:absolute;left:1314;top:946;width:200;height:200" coordorigin="1314,946" coordsize="200,200" path="m1314,1070l1389,1145,1514,1021,1438,946,1314,1070xe" filled="true" fillcolor="#231f20" stroked="false">
              <v:path arrowok="t"/>
              <v:fill type="solid"/>
            </v:shape>
            <v:shape style="position:absolute;left:1487;top:4;width:890;height:1091" coordorigin="1487,4" coordsize="890,1091" path="m2377,4l1658,4,1487,972,2184,1095,2377,4xe" filled="true" fillcolor="#ffffff" stroked="false">
              <v:path arrowok="t"/>
              <v:fill type="solid"/>
            </v:shape>
            <v:shape style="position:absolute;left:1516;top:4;width:779;height:947" coordorigin="1516,4" coordsize="779,947" path="m2295,4l2072,282,2070,305,1913,501,1891,507,1574,901,1516,951,1553,885,1870,491,1872,468,2029,272,2051,266,2261,5e" filled="false" stroked="true" strokeweight=".388641pt" strokecolor="#231f20">
              <v:path arrowok="t"/>
            </v:shape>
            <v:rect style="position:absolute;left:120;top:4;width:2328;height:120" filled="true" fillcolor="#b3b3b3" stroked="false">
              <v:fill type="solid"/>
            </v:rect>
            <v:rect style="position:absolute;left:2328;top:64;width:120;height:2388" filled="true" fillcolor="#b3b3b3" stroked="false">
              <v:fill type="solid"/>
            </v:rect>
            <v:rect style="position:absolute;left:0;top:2332;width:2388;height:120" filled="true" fillcolor="#b3b3b3" stroked="false">
              <v:fill type="solid"/>
            </v:rect>
            <v:rect style="position:absolute;left:0;top:4;width:120;height:2388" filled="true" fillcolor="#b3b3b3" stroked="false">
              <v:fill type="solid"/>
            </v:rect>
          </v:group>
        </w:pict>
      </w:r>
      <w:r>
        <w:rPr>
          <w:spacing w:val="54"/>
          <w:sz w:val="20"/>
        </w:rPr>
      </w:r>
      <w:r>
        <w:rPr>
          <w:rFonts w:ascii="Times New Roman"/>
          <w:spacing w:val="54"/>
          <w:sz w:val="20"/>
        </w:rPr>
        <w:t> </w:t>
      </w:r>
      <w:r>
        <w:rPr>
          <w:spacing w:val="54"/>
          <w:sz w:val="20"/>
        </w:rPr>
        <w:pict>
          <v:group style="width:122.4pt;height:122.4pt;mso-position-horizontal-relative:char;mso-position-vertical-relative:line" coordorigin="0,0" coordsize="2448,2448">
            <v:shape style="position:absolute;left:1738;top:826;width:534;height:1029" coordorigin="1738,826" coordsize="534,1029" path="m1763,834l1738,1266,2087,1854,2082,1797,2080,1725,2083,1641,2091,1548,2102,1448,2118,1345,2136,1251,2156,1160,2177,1076,2200,999,2224,930,2248,872,2271,826,2213,834,2143,841,2066,845,1983,846,1926,845,1871,843,1816,839,1763,834xe" filled="false" stroked="true" strokeweight=".99pt" strokecolor="#231f20">
              <v:path arrowok="t"/>
            </v:shape>
            <v:shape style="position:absolute;left:1450;top:539;width:699;height:1519" coordorigin="1450,539" coordsize="699,1519" path="m1574,539l1503,564,1458,623,1450,661,1918,1978,1942,2019,1979,2046,2023,2058,2069,2050,2110,2026,2137,1990,2149,1946,2143,1901,1675,580,1646,556,1611,542,1574,539xe" filled="true" fillcolor="#ffffff" stroked="false">
              <v:path arrowok="t"/>
              <v:fill type="solid"/>
            </v:shape>
            <v:shape style="position:absolute;left:1450;top:539;width:699;height:1519" coordorigin="1450,539" coordsize="699,1519" path="m2143,1901l1675,580,1646,556,1611,542,1574,539,1537,545,1503,564,1477,590,1458,623,1450,661,1918,1978,1942,2019,1979,2046,2023,2058,2069,2050,2110,2026,2137,1990,2149,1946,2143,1901xe" filled="false" stroked="true" strokeweight="1.35pt" strokecolor="#231f20">
              <v:path arrowok="t"/>
            </v:shape>
            <v:shape style="position:absolute;left:1358;top:343;width:313;height:277" type="#_x0000_t75" stroked="false">
              <v:imagedata r:id="rId238" o:title=""/>
            </v:shape>
            <v:shape style="position:absolute;left:1427;top:817;width:762;height:1119" coordorigin="1427,817" coordsize="762,1119" path="m1509,829l1429,1696,1438,1727,1473,1760,1530,1792,1607,1824,1701,1854,1808,1880,1925,1901,1938,1903,1954,1907,1980,1917,2017,1935,2011,1919,2006,1878,2001,1814,1999,1732,2000,1636,2006,1529,2017,1415,2034,1304,2055,1206,2080,1121,2106,1054,2134,1007,2161,981,2188,981,2156,961,2119,943,2077,928,2033,916,2001,910,1970,905,1943,903,1924,902,1919,901,1907,899,1892,899,1875,898,1648,888,1648,887,1582,887,1545,880,1522,867,1513,848,1511,835,1509,829xm1427,1692l1429,1696,1429,1694,1427,1692xm1645,884l1639,886,1636,886,1582,887,1648,887,1645,884xm1504,817l1509,829,1510,821,1504,817xe" filled="true" fillcolor="#ffffff" stroked="false">
              <v:path arrowok="t"/>
              <v:fill type="solid"/>
            </v:shape>
            <v:shape style="position:absolute;left:1427;top:817;width:762;height:1119" coordorigin="1427,817" coordsize="762,1119" path="m1429,1696l1510,821,1504,817,1511,835,1513,848,1522,867,1545,880,1582,887,1636,886,1639,886,1645,884,1648,888,1702,890,1759,893,1817,896,1875,898,1892,899,1907,899,1919,901,1924,902,1943,903,2033,916,2119,943,2188,981,2161,981,2134,1007,2080,1121,2055,1206,2034,1304,2017,1415,2006,1529,2000,1636,1999,1732,2001,1814,2006,1878,2011,1919,2017,1935,1980,1917,1954,1907,1938,1903,1925,1901,1808,1880,1701,1854,1607,1824,1530,1792,1473,1760,1429,1696,1429,1694,1427,1692,1429,1696xe" filled="false" stroked="true" strokeweight=".99pt" strokecolor="#231f20">
              <v:path arrowok="t"/>
            </v:shape>
            <v:shape style="position:absolute;left:162;top:1205;width:1042;height:1041" coordorigin="162,1205" coordsize="1042,1041" path="m329,2219l1150,1398,1164,1378,1164,1366,1160,1357,1164,1347,1204,1307,1103,1205,1102,1205,1098,1210,1086,1222,1063,1245,1053,1249,1043,1245,1030,1245,1009,1259,191,2078,170,2111,162,2148,169,2184,191,2217,223,2238,260,2246,297,2239,329,2219e" filled="false" stroked="true" strokeweight="1.08pt" strokecolor="#231f20">
              <v:path arrowok="t"/>
            </v:shape>
            <v:shape style="position:absolute;left:1044;top:1097;width:267;height:267" type="#_x0000_t75" stroked="false">
              <v:imagedata r:id="rId239" o:title=""/>
            </v:shape>
            <v:rect style="position:absolute;left:120;top:0;width:2328;height:120" filled="true" fillcolor="#b3b3b3" stroked="false">
              <v:fill type="solid"/>
            </v:rect>
            <v:rect style="position:absolute;left:2328;top:60;width:120;height:2388" filled="true" fillcolor="#b3b3b3" stroked="false">
              <v:fill type="solid"/>
            </v:rect>
            <v:rect style="position:absolute;left:0;top:2328;width:2388;height:120" filled="true" fillcolor="#b3b3b3" stroked="false">
              <v:fill type="solid"/>
            </v:rect>
            <v:rect style="position:absolute;left:0;top:0;width:120;height:2388" filled="true" fillcolor="#b3b3b3" stroked="false">
              <v:fill type="solid"/>
            </v:rect>
          </v:group>
        </w:pict>
      </w:r>
      <w:r>
        <w:rPr>
          <w:spacing w:val="54"/>
          <w:sz w:val="20"/>
        </w:rPr>
      </w:r>
      <w:r>
        <w:rPr>
          <w:rFonts w:ascii="Times New Roman"/>
          <w:spacing w:val="61"/>
          <w:sz w:val="20"/>
        </w:rPr>
        <w:t> </w:t>
      </w:r>
      <w:r>
        <w:rPr>
          <w:spacing w:val="61"/>
          <w:sz w:val="20"/>
        </w:rPr>
        <w:pict>
          <v:group style="width:122.4pt;height:122.4pt;mso-position-horizontal-relative:char;mso-position-vertical-relative:line" coordorigin="0,0" coordsize="2448,2448">
            <v:rect style="position:absolute;left:120;top:0;width:2328;height:120" filled="true" fillcolor="#b3b3b3" stroked="false">
              <v:fill type="solid"/>
            </v:rect>
            <v:rect style="position:absolute;left:2328;top:60;width:120;height:2388" filled="true" fillcolor="#b3b3b3" stroked="false">
              <v:fill type="solid"/>
            </v:rect>
            <v:rect style="position:absolute;left:0;top:2328;width:2388;height:120" filled="true" fillcolor="#b3b3b3" stroked="false">
              <v:fill type="solid"/>
            </v:rect>
            <v:rect style="position:absolute;left:0;top:0;width:120;height:2388" filled="true" fillcolor="#b3b3b3" stroked="false">
              <v:fill type="solid"/>
            </v:rect>
          </v:group>
        </w:pict>
      </w:r>
      <w:r>
        <w:rPr>
          <w:spacing w:val="61"/>
          <w:sz w:val="20"/>
        </w:rPr>
      </w:r>
    </w:p>
    <w:p>
      <w:pPr>
        <w:pStyle w:val="BodyText"/>
        <w:spacing w:before="1"/>
        <w:rPr>
          <w:sz w:val="6"/>
        </w:rPr>
      </w:pPr>
    </w:p>
    <w:p>
      <w:pPr>
        <w:spacing w:after="0"/>
        <w:rPr>
          <w:sz w:val="6"/>
        </w:rPr>
        <w:sectPr>
          <w:type w:val="continuous"/>
          <w:pgSz w:w="11900" w:h="15840"/>
          <w:pgMar w:top="0" w:bottom="0" w:left="600" w:right="920"/>
        </w:sectPr>
      </w:pPr>
    </w:p>
    <w:p>
      <w:pPr>
        <w:pStyle w:val="ListParagraph"/>
        <w:numPr>
          <w:ilvl w:val="0"/>
          <w:numId w:val="27"/>
        </w:numPr>
        <w:tabs>
          <w:tab w:pos="486" w:val="left" w:leader="none"/>
        </w:tabs>
        <w:spacing w:line="240" w:lineRule="auto" w:before="4" w:after="0"/>
        <w:ind w:left="485" w:right="0" w:hanging="361"/>
        <w:jc w:val="left"/>
        <w:rPr>
          <w:b/>
          <w:sz w:val="20"/>
        </w:rPr>
      </w:pPr>
      <w:r>
        <w:rPr>
          <w:b/>
          <w:sz w:val="20"/>
        </w:rPr>
        <w:t>Prepared</w:t>
      </w:r>
      <w:r>
        <w:rPr>
          <w:b/>
          <w:spacing w:val="-8"/>
          <w:sz w:val="20"/>
        </w:rPr>
        <w:t> </w:t>
      </w:r>
      <w:r>
        <w:rPr>
          <w:b/>
          <w:sz w:val="20"/>
        </w:rPr>
        <w:t>Sample:</w:t>
      </w:r>
    </w:p>
    <w:p>
      <w:pPr>
        <w:spacing w:before="10"/>
        <w:ind w:left="124" w:right="-10" w:firstLine="0"/>
        <w:jc w:val="left"/>
        <w:rPr>
          <w:sz w:val="20"/>
        </w:rPr>
      </w:pPr>
      <w:r>
        <w:rPr>
          <w:sz w:val="20"/>
        </w:rPr>
        <w:t>Hold one vial at a</w:t>
      </w:r>
    </w:p>
    <w:p>
      <w:pPr>
        <w:spacing w:line="249" w:lineRule="auto" w:before="10"/>
        <w:ind w:left="124" w:right="-10" w:firstLine="0"/>
        <w:jc w:val="left"/>
        <w:rPr>
          <w:sz w:val="20"/>
        </w:rPr>
      </w:pPr>
      <w:r>
        <w:rPr>
          <w:sz w:val="20"/>
        </w:rPr>
        <w:t>45-degree angle. Use a clean volumetric pipet to add 2.00 mL of sample</w:t>
      </w:r>
      <w:r>
        <w:rPr>
          <w:spacing w:val="-12"/>
          <w:sz w:val="20"/>
        </w:rPr>
        <w:t> </w:t>
      </w:r>
      <w:r>
        <w:rPr>
          <w:sz w:val="20"/>
        </w:rPr>
        <w:t>to the</w:t>
      </w:r>
      <w:r>
        <w:rPr>
          <w:spacing w:val="-9"/>
          <w:sz w:val="20"/>
        </w:rPr>
        <w:t> </w:t>
      </w:r>
      <w:r>
        <w:rPr>
          <w:sz w:val="20"/>
        </w:rPr>
        <w:t>vial.</w:t>
      </w:r>
    </w:p>
    <w:p>
      <w:pPr>
        <w:spacing w:line="249" w:lineRule="auto" w:before="108"/>
        <w:ind w:left="124" w:right="5" w:hanging="1"/>
        <w:jc w:val="left"/>
        <w:rPr>
          <w:sz w:val="20"/>
        </w:rPr>
      </w:pPr>
      <w:r>
        <w:rPr>
          <w:sz w:val="20"/>
        </w:rPr>
        <w:t>Use a TenSette</w:t>
      </w:r>
      <w:r>
        <w:rPr>
          <w:position w:val="5"/>
          <w:sz w:val="16"/>
        </w:rPr>
        <w:t>® </w:t>
      </w:r>
      <w:r>
        <w:rPr>
          <w:sz w:val="20"/>
        </w:rPr>
        <w:t>Pipet to add 0.20 mL for the 200–15,000 mg/L range.</w:t>
      </w:r>
    </w:p>
    <w:p>
      <w:pPr>
        <w:pStyle w:val="ListParagraph"/>
        <w:numPr>
          <w:ilvl w:val="0"/>
          <w:numId w:val="27"/>
        </w:numPr>
        <w:tabs>
          <w:tab w:pos="485" w:val="left" w:leader="none"/>
        </w:tabs>
        <w:spacing w:line="249" w:lineRule="auto" w:before="4" w:after="0"/>
        <w:ind w:left="124" w:right="93" w:firstLine="0"/>
        <w:jc w:val="left"/>
        <w:rPr>
          <w:sz w:val="20"/>
        </w:rPr>
      </w:pPr>
      <w:r>
        <w:rPr>
          <w:b/>
          <w:w w:val="99"/>
          <w:sz w:val="20"/>
        </w:rPr>
        <w:br w:type="column"/>
      </w:r>
      <w:r>
        <w:rPr>
          <w:b/>
          <w:sz w:val="20"/>
        </w:rPr>
        <w:t>Blank Preparation: </w:t>
      </w:r>
      <w:r>
        <w:rPr>
          <w:sz w:val="20"/>
        </w:rPr>
        <w:t>Hold a second vial at a 45-degree angle. Use a clean volumetric pipet to add 2.00 mL of</w:t>
      </w:r>
      <w:r>
        <w:rPr>
          <w:spacing w:val="-17"/>
          <w:sz w:val="20"/>
        </w:rPr>
        <w:t> </w:t>
      </w:r>
      <w:r>
        <w:rPr>
          <w:sz w:val="20"/>
        </w:rPr>
        <w:t>deionized water to the</w:t>
      </w:r>
      <w:r>
        <w:rPr>
          <w:spacing w:val="-14"/>
          <w:sz w:val="20"/>
        </w:rPr>
        <w:t> </w:t>
      </w:r>
      <w:r>
        <w:rPr>
          <w:sz w:val="20"/>
        </w:rPr>
        <w:t>vial.</w:t>
      </w:r>
    </w:p>
    <w:p>
      <w:pPr>
        <w:spacing w:before="121"/>
        <w:ind w:left="124" w:right="-4" w:firstLine="0"/>
        <w:jc w:val="left"/>
        <w:rPr>
          <w:sz w:val="20"/>
        </w:rPr>
      </w:pPr>
      <w:r>
        <w:rPr>
          <w:sz w:val="20"/>
        </w:rPr>
        <w:t>Use</w:t>
      </w:r>
      <w:r>
        <w:rPr>
          <w:spacing w:val="-31"/>
          <w:sz w:val="20"/>
        </w:rPr>
        <w:t> </w:t>
      </w:r>
      <w:r>
        <w:rPr>
          <w:sz w:val="20"/>
        </w:rPr>
        <w:t>a</w:t>
      </w:r>
      <w:r>
        <w:rPr>
          <w:spacing w:val="-32"/>
          <w:sz w:val="20"/>
        </w:rPr>
        <w:t> </w:t>
      </w:r>
      <w:r>
        <w:rPr>
          <w:spacing w:val="-4"/>
          <w:sz w:val="20"/>
        </w:rPr>
        <w:t>TenSette</w:t>
      </w:r>
      <w:r>
        <w:rPr>
          <w:spacing w:val="-32"/>
          <w:sz w:val="20"/>
        </w:rPr>
        <w:t> </w:t>
      </w:r>
      <w:r>
        <w:rPr>
          <w:sz w:val="20"/>
        </w:rPr>
        <w:t>Pipet</w:t>
      </w:r>
      <w:r>
        <w:rPr>
          <w:spacing w:val="-32"/>
          <w:sz w:val="20"/>
        </w:rPr>
        <w:t> </w:t>
      </w:r>
      <w:r>
        <w:rPr>
          <w:sz w:val="20"/>
        </w:rPr>
        <w:t>to</w:t>
      </w:r>
      <w:r>
        <w:rPr>
          <w:spacing w:val="-32"/>
          <w:sz w:val="20"/>
        </w:rPr>
        <w:t> </w:t>
      </w:r>
      <w:r>
        <w:rPr>
          <w:sz w:val="20"/>
        </w:rPr>
        <w:t>add</w:t>
      </w:r>
    </w:p>
    <w:p>
      <w:pPr>
        <w:spacing w:line="249" w:lineRule="auto" w:before="10"/>
        <w:ind w:left="124" w:right="-4" w:firstLine="0"/>
        <w:jc w:val="left"/>
        <w:rPr>
          <w:sz w:val="20"/>
        </w:rPr>
      </w:pPr>
      <w:r>
        <w:rPr>
          <w:sz w:val="20"/>
        </w:rPr>
        <w:t>0.20 mL for the 200–15,000 mg/L range.</w:t>
      </w:r>
    </w:p>
    <w:p>
      <w:pPr>
        <w:pStyle w:val="ListParagraph"/>
        <w:numPr>
          <w:ilvl w:val="0"/>
          <w:numId w:val="27"/>
        </w:numPr>
        <w:tabs>
          <w:tab w:pos="485" w:val="left" w:leader="none"/>
        </w:tabs>
        <w:spacing w:line="249" w:lineRule="auto" w:before="4" w:after="0"/>
        <w:ind w:left="124" w:right="0" w:firstLine="0"/>
        <w:jc w:val="left"/>
        <w:rPr>
          <w:sz w:val="20"/>
        </w:rPr>
      </w:pPr>
      <w:r>
        <w:rPr>
          <w:spacing w:val="-1"/>
          <w:w w:val="99"/>
          <w:sz w:val="20"/>
        </w:rPr>
        <w:br w:type="column"/>
      </w:r>
      <w:r>
        <w:rPr>
          <w:sz w:val="20"/>
        </w:rPr>
        <w:t>Cap the vials </w:t>
      </w:r>
      <w:r>
        <w:rPr>
          <w:spacing w:val="-4"/>
          <w:sz w:val="20"/>
        </w:rPr>
        <w:t>tightly. </w:t>
      </w:r>
      <w:r>
        <w:rPr>
          <w:sz w:val="20"/>
        </w:rPr>
        <w:t>Rinse</w:t>
      </w:r>
      <w:r>
        <w:rPr>
          <w:spacing w:val="-13"/>
          <w:sz w:val="20"/>
        </w:rPr>
        <w:t> </w:t>
      </w:r>
      <w:r>
        <w:rPr>
          <w:sz w:val="20"/>
        </w:rPr>
        <w:t>them</w:t>
      </w:r>
      <w:r>
        <w:rPr>
          <w:spacing w:val="-13"/>
          <w:sz w:val="20"/>
        </w:rPr>
        <w:t> </w:t>
      </w:r>
      <w:r>
        <w:rPr>
          <w:sz w:val="20"/>
        </w:rPr>
        <w:t>with</w:t>
      </w:r>
      <w:r>
        <w:rPr>
          <w:spacing w:val="-13"/>
          <w:sz w:val="20"/>
        </w:rPr>
        <w:t> </w:t>
      </w:r>
      <w:r>
        <w:rPr>
          <w:sz w:val="20"/>
        </w:rPr>
        <w:t>water</w:t>
      </w:r>
      <w:r>
        <w:rPr>
          <w:spacing w:val="-13"/>
          <w:sz w:val="20"/>
        </w:rPr>
        <w:t> </w:t>
      </w:r>
      <w:r>
        <w:rPr>
          <w:sz w:val="20"/>
        </w:rPr>
        <w:t>and wipe with a clean paper towel.</w:t>
      </w:r>
    </w:p>
    <w:p>
      <w:pPr>
        <w:pStyle w:val="ListParagraph"/>
        <w:numPr>
          <w:ilvl w:val="0"/>
          <w:numId w:val="27"/>
        </w:numPr>
        <w:tabs>
          <w:tab w:pos="485" w:val="left" w:leader="none"/>
        </w:tabs>
        <w:spacing w:line="249" w:lineRule="auto" w:before="4" w:after="0"/>
        <w:ind w:left="124" w:right="293" w:firstLine="0"/>
        <w:jc w:val="left"/>
        <w:rPr>
          <w:sz w:val="20"/>
        </w:rPr>
      </w:pPr>
      <w:r>
        <w:rPr>
          <w:w w:val="99"/>
          <w:sz w:val="20"/>
        </w:rPr>
        <w:br w:type="column"/>
      </w:r>
      <w:r>
        <w:rPr>
          <w:sz w:val="20"/>
        </w:rPr>
        <w:t>Hold the vials by the cap over a sink. Invert gently several times to mix. Insert the vials in the preheated DRB200 Reactor. Close the protective</w:t>
      </w:r>
      <w:r>
        <w:rPr>
          <w:spacing w:val="-13"/>
          <w:sz w:val="20"/>
        </w:rPr>
        <w:t> </w:t>
      </w:r>
      <w:r>
        <w:rPr>
          <w:sz w:val="20"/>
        </w:rPr>
        <w:t>lid.</w:t>
      </w:r>
    </w:p>
    <w:p>
      <w:pPr>
        <w:spacing w:line="249" w:lineRule="auto" w:before="121"/>
        <w:ind w:left="124" w:right="34" w:firstLine="0"/>
        <w:jc w:val="left"/>
        <w:rPr>
          <w:sz w:val="20"/>
        </w:rPr>
      </w:pPr>
      <w:r>
        <w:rPr>
          <w:sz w:val="20"/>
        </w:rPr>
        <w:t>The sample vials will become very hot during mixing.</w:t>
      </w:r>
    </w:p>
    <w:p>
      <w:pPr>
        <w:spacing w:after="0" w:line="249" w:lineRule="auto"/>
        <w:jc w:val="left"/>
        <w:rPr>
          <w:sz w:val="20"/>
        </w:rPr>
        <w:sectPr>
          <w:type w:val="continuous"/>
          <w:pgSz w:w="11900" w:h="15840"/>
          <w:pgMar w:top="0" w:bottom="0" w:left="600" w:right="920"/>
          <w:cols w:num="4" w:equalWidth="0">
            <w:col w:w="2379" w:space="186"/>
            <w:col w:w="2462" w:space="104"/>
            <w:col w:w="2443" w:space="122"/>
            <w:col w:w="2684"/>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after="1"/>
        <w:rPr>
          <w:sz w:val="12"/>
        </w:rPr>
      </w:pPr>
    </w:p>
    <w:p>
      <w:pPr>
        <w:pStyle w:val="BodyText"/>
        <w:spacing w:line="21" w:lineRule="exact"/>
        <w:ind w:left="114"/>
        <w:rPr>
          <w:sz w:val="2"/>
        </w:rPr>
      </w:pPr>
      <w:r>
        <w:rPr>
          <w:sz w:val="2"/>
        </w:rPr>
        <w:pict>
          <v:group style="width:505.15pt;height:1.05pt;mso-position-horizontal-relative:char;mso-position-vertical-relative:line" coordorigin="0,0" coordsize="10103,21">
            <v:line style="position:absolute" from="10,10" to="10,10" stroked="true" strokeweight="1.02pt" strokecolor="#000000"/>
            <v:line style="position:absolute" from="10,10" to="10092,10" stroked="true" strokeweight="1.02pt" strokecolor="#000000"/>
          </v:group>
        </w:pict>
      </w:r>
      <w:r>
        <w:rPr>
          <w:sz w:val="2"/>
        </w:rPr>
      </w:r>
    </w:p>
    <w:p>
      <w:pPr>
        <w:spacing w:before="6"/>
        <w:ind w:left="124" w:right="1109" w:firstLine="0"/>
        <w:jc w:val="left"/>
        <w:rPr>
          <w:b/>
          <w:sz w:val="20"/>
        </w:rPr>
      </w:pPr>
      <w:r>
        <w:rPr>
          <w:b/>
          <w:sz w:val="20"/>
        </w:rPr>
        <w:t>Oxygen Demand, Chemical</w:t>
      </w:r>
    </w:p>
    <w:p>
      <w:pPr>
        <w:tabs>
          <w:tab w:pos="8128" w:val="left" w:leader="none"/>
        </w:tabs>
        <w:spacing w:before="10"/>
        <w:ind w:left="124" w:right="125" w:firstLine="0"/>
        <w:jc w:val="left"/>
        <w:rPr>
          <w:sz w:val="14"/>
        </w:rPr>
      </w:pPr>
      <w:r>
        <w:rPr>
          <w:b/>
          <w:sz w:val="20"/>
        </w:rPr>
        <w:t>Page 2</w:t>
      </w:r>
      <w:r>
        <w:rPr>
          <w:b/>
          <w:spacing w:val="-5"/>
          <w:sz w:val="20"/>
        </w:rPr>
        <w:t> </w:t>
      </w:r>
      <w:r>
        <w:rPr>
          <w:b/>
          <w:sz w:val="20"/>
        </w:rPr>
        <w:t>of</w:t>
      </w:r>
      <w:r>
        <w:rPr>
          <w:b/>
          <w:spacing w:val="-3"/>
          <w:sz w:val="20"/>
        </w:rPr>
        <w:t> </w:t>
      </w:r>
      <w:r>
        <w:rPr>
          <w:b/>
          <w:sz w:val="20"/>
        </w:rPr>
        <w:t>8</w:t>
        <w:tab/>
      </w:r>
      <w:r>
        <w:rPr>
          <w:sz w:val="14"/>
        </w:rPr>
        <w:t>OxygenCOD_8000_RCD_MR.fm</w:t>
      </w:r>
    </w:p>
    <w:p>
      <w:pPr>
        <w:spacing w:after="0"/>
        <w:jc w:val="left"/>
        <w:rPr>
          <w:sz w:val="14"/>
        </w:rPr>
        <w:sectPr>
          <w:type w:val="continuous"/>
          <w:pgSz w:w="11900" w:h="15840"/>
          <w:pgMar w:top="0" w:bottom="0" w:left="600" w:right="920"/>
        </w:sectPr>
      </w:pPr>
    </w:p>
    <w:p>
      <w:pPr>
        <w:pStyle w:val="Heading4"/>
        <w:ind w:left="1312" w:right="125"/>
      </w:pPr>
      <w:r>
        <w:rPr/>
        <w:pict>
          <v:group style="position:absolute;margin-left:53.775002pt;margin-top:21.080879pt;width:505.05pt;height:1.05pt;mso-position-horizontal-relative:page;mso-position-vertical-relative:paragraph;z-index:13768;mso-wrap-distance-left:0;mso-wrap-distance-right:0" coordorigin="1076,422" coordsize="10101,21">
            <v:line style="position:absolute" from="1086,432" to="1086,432" stroked="true" strokeweight="1.02pt" strokecolor="#000000"/>
            <v:line style="position:absolute" from="1086,432" to="11166,432" stroked="true" strokeweight="1.02pt" strokecolor="#000000"/>
            <w10:wrap type="topAndBottom"/>
          </v:group>
        </w:pict>
      </w:r>
      <w:r>
        <w:rPr/>
        <w:t>Oxygen Demand, Chemical (3 to 150, 20 to 1500, and 200 to 15,000 mg/L COD)</w:t>
      </w:r>
    </w:p>
    <w:p>
      <w:pPr>
        <w:pStyle w:val="BodyText"/>
        <w:rPr>
          <w:b/>
          <w:sz w:val="20"/>
        </w:rPr>
      </w:pPr>
    </w:p>
    <w:p>
      <w:pPr>
        <w:pStyle w:val="BodyText"/>
        <w:spacing w:before="11"/>
        <w:rPr>
          <w:b/>
          <w:sz w:val="11"/>
        </w:rPr>
      </w:pPr>
    </w:p>
    <w:tbl>
      <w:tblPr>
        <w:tblW w:w="0" w:type="auto"/>
        <w:jc w:val="left"/>
        <w:tblInd w:w="126" w:type="dxa"/>
        <w:tblBorders>
          <w:top w:val="single" w:sz="48" w:space="0" w:color="B3B3B3"/>
          <w:left w:val="single" w:sz="48" w:space="0" w:color="B3B3B3"/>
          <w:bottom w:val="single" w:sz="48" w:space="0" w:color="B3B3B3"/>
          <w:right w:val="single" w:sz="48" w:space="0" w:color="B3B3B3"/>
          <w:insideH w:val="single" w:sz="48" w:space="0" w:color="B3B3B3"/>
          <w:insideV w:val="single" w:sz="48" w:space="0" w:color="B3B3B3"/>
        </w:tblBorders>
        <w:tblLayout w:type="fixed"/>
        <w:tblCellMar>
          <w:top w:w="0" w:type="dxa"/>
          <w:left w:w="0" w:type="dxa"/>
          <w:bottom w:w="0" w:type="dxa"/>
          <w:right w:w="0" w:type="dxa"/>
        </w:tblCellMar>
        <w:tblLook w:val="01E0"/>
      </w:tblPr>
      <w:tblGrid>
        <w:gridCol w:w="2328"/>
        <w:gridCol w:w="238"/>
        <w:gridCol w:w="2328"/>
        <w:gridCol w:w="236"/>
        <w:gridCol w:w="2328"/>
      </w:tblGrid>
      <w:tr>
        <w:trPr>
          <w:trHeight w:val="2328" w:hRule="exact"/>
        </w:trPr>
        <w:tc>
          <w:tcPr>
            <w:tcW w:w="2328" w:type="dxa"/>
          </w:tcPr>
          <w:p>
            <w:pPr>
              <w:pStyle w:val="TableParagraph"/>
              <w:spacing w:before="9"/>
              <w:ind w:right="0"/>
              <w:jc w:val="left"/>
              <w:rPr>
                <w:rFonts w:ascii="Arial"/>
                <w:b/>
                <w:sz w:val="2"/>
              </w:rPr>
            </w:pPr>
          </w:p>
          <w:p>
            <w:pPr>
              <w:pStyle w:val="TableParagraph"/>
              <w:spacing w:before="0"/>
              <w:ind w:left="252" w:right="0"/>
              <w:jc w:val="left"/>
              <w:rPr>
                <w:rFonts w:ascii="Arial"/>
                <w:sz w:val="20"/>
              </w:rPr>
            </w:pPr>
            <w:r>
              <w:rPr>
                <w:rFonts w:ascii="Arial"/>
                <w:sz w:val="20"/>
              </w:rPr>
              <w:pict>
                <v:group style="width:60.15pt;height:64.9pt;mso-position-horizontal-relative:char;mso-position-vertical-relative:line" coordorigin="0,0" coordsize="1203,1298">
                  <v:shape style="position:absolute;left:32;top:91;width:669;height:678" coordorigin="32,91" coordsize="669,678" path="m387,91l359,98,358,105,69,188,64,182,37,191,32,191,33,197,36,223,39,249,41,276,42,302,73,338,133,413,165,466,194,523,232,607,262,688,276,726,291,765,298,767,306,768,326,769,366,768,409,766,441,762,439,746,434,711,429,675,425,658,432,655,450,750,487,740,522,728,554,716,584,703,572,607,579,606,596,704,647,673,675,654,689,638,700,618,697,587,691,554,686,528,684,517,672,455,664,421,655,403,643,388,620,357,579,301,523,230,458,157,387,91xe" filled="false" stroked="true" strokeweight=".416pt" strokecolor="#231f20">
                    <v:path arrowok="t"/>
                  </v:shape>
                  <v:shape style="position:absolute;left:349;top:582;width:825;height:560" coordorigin="349,582" coordsize="825,560" path="m416,1141l401,1077,385,1014,369,950,353,886,352,878,349,867,355,858,428,830,501,803,574,775,647,748,720,720,793,693,866,665,939,638,1012,610,1085,582,1092,582,1098,582,1103,587,1120,642,1138,698,1156,753,1174,809e" filled="false" stroked="true" strokeweight=".416pt" strokecolor="#231f20">
                    <v:path arrowok="t"/>
                  </v:shape>
                  <v:shape style="position:absolute;left:535;top:694;width:593;height:456" coordorigin="535,694" coordsize="593,456" path="m535,877l662,826,743,794,830,760,916,726,998,694,1036,769,1080,852,1114,920,1056,986,983,1022,908,1056,830,1087,747,1119,658,1149,588,993,551,912,538,882,535,877xe" filled="false" stroked="true" strokeweight=".416pt" strokecolor="#231f20">
                    <v:path arrowok="t"/>
                  </v:shape>
                  <v:shape style="position:absolute;left:714;top:1035;width:70;height:51" coordorigin="714,1035" coordsize="70,51" path="m742,1037l755,1035,768,1036,778,1041,783,1049,784,1059,778,1068,769,1077,756,1083,742,1085,730,1084,720,1079,714,1071,714,1062,719,1052,729,1043,742,1037xe" filled="false" stroked="true" strokeweight=".208pt" strokecolor="#231f20">
                    <v:path arrowok="t"/>
                  </v:shape>
                  <v:shape style="position:absolute;left:714;top:1035;width:70;height:51" coordorigin="714,1035" coordsize="70,51" path="m742,1037l755,1035,768,1036,778,1041,783,1049,784,1059,778,1068,769,1077,756,1083,742,1085,730,1084,720,1079,714,1071,714,1062,719,1052,729,1043,742,1037xe" filled="false" stroked="true" strokeweight=".208pt" strokecolor="#231f20">
                    <v:path arrowok="t"/>
                  </v:shape>
                  <v:shape style="position:absolute;left:845;top:980;width:70;height:51" coordorigin="845,980" coordsize="70,51" path="m872,982l886,980,898,981,908,986,914,994,914,1003,909,1013,900,1022,887,1028,873,1030,860,1029,850,1024,845,1016,845,1006,850,997,859,988,872,982xe" filled="false" stroked="true" strokeweight=".208pt" strokecolor="#231f20">
                    <v:path arrowok="t"/>
                  </v:shape>
                  <v:shape style="position:absolute;left:970;top:926;width:70;height:51" coordorigin="970,926" coordsize="70,51" path="m997,929l1011,926,1024,928,1033,933,1039,940,1039,950,1034,960,1025,968,1012,974,998,977,985,976,976,971,970,963,970,953,975,944,984,935,997,929xe" filled="false" stroked="true" strokeweight=".208pt" strokecolor="#231f20">
                    <v:path arrowok="t"/>
                  </v:shape>
                  <v:shape style="position:absolute;left:693;top:1001;width:91;height:71" coordorigin="693,1001" coordsize="91,71" path="m712,1072l693,1030,763,1001,784,1043e" filled="false" stroked="true" strokeweight=".208pt" strokecolor="#231f20">
                    <v:path arrowok="t"/>
                  </v:shape>
                  <v:shape style="position:absolute;left:693;top:1001;width:91;height:71" coordorigin="693,1001" coordsize="91,71" path="m712,1072l693,1030,763,1001,784,1043e" filled="false" stroked="true" strokeweight=".208pt" strokecolor="#231f20">
                    <v:path arrowok="t"/>
                  </v:shape>
                  <v:shape style="position:absolute;left:824;top:946;width:91;height:71" coordorigin="824,946" coordsize="91,71" path="m842,1017l824,975,894,946,914,988e" filled="false" stroked="true" strokeweight=".208pt" strokecolor="#231f20">
                    <v:path arrowok="t"/>
                  </v:shape>
                  <v:shape style="position:absolute;left:949;top:893;width:91;height:71" coordorigin="949,893" coordsize="91,71" path="m967,963l949,921,1019,893,1039,934e" filled="false" stroked="true" strokeweight=".208pt" strokecolor="#231f20">
                    <v:path arrowok="t"/>
                  </v:shape>
                  <v:line style="position:absolute" from="713,1072" to="714,1071" stroked="true" strokeweight=".208pt" strokecolor="#231f20"/>
                  <v:line style="position:absolute" from="843,1017" to="845,1016" stroked="true" strokeweight=".208pt" strokecolor="#231f20"/>
                  <v:line style="position:absolute" from="968,964" to="970,963" stroked="true" strokeweight=".208pt" strokecolor="#231f20"/>
                  <v:line style="position:absolute" from="784,1043" to="782,1044" stroked="true" strokeweight=".208pt" strokecolor="#231f20"/>
                  <v:line style="position:absolute" from="915,988" to="912,989" stroked="true" strokeweight=".208pt" strokecolor="#231f20"/>
                  <v:line style="position:absolute" from="1040,935" to="1037,936" stroked="true" strokeweight=".208pt" strokecolor="#231f20"/>
                  <v:shape style="position:absolute;left:619;top:776;width:406;height:237" coordorigin="619,776" coordsize="406,237" path="m619,926l984,776,1025,861,657,1012,619,926xe" filled="false" stroked="true" strokeweight=".416pt" strokecolor="#231f20">
                    <v:path arrowok="t"/>
                  </v:shape>
                  <v:shape style="position:absolute;left:359;top:634;width:780;height:553" coordorigin="359,634" coordsize="780,553" path="m359,872l547,1143,579,1173,601,1186,627,1185,666,1172,711,1160,778,1137,861,1106,953,1066,1047,1020,1139,968,1109,884,1060,781,1013,693,992,656,979,634,989,659,994,674,996,682,995,691e" filled="false" stroked="true" strokeweight=".208pt" strokecolor="#231f20">
                    <v:path arrowok="t"/>
                  </v:shape>
                  <v:shape style="position:absolute;left:499;top:826;width:184;height:346" type="#_x0000_t75" stroked="false">
                    <v:imagedata r:id="rId242" o:title=""/>
                  </v:shape>
                  <v:shape style="position:absolute;left:889;top:781;width:16;height:22" coordorigin="889,781" coordsize="16,22" path="m901,781l889,786,892,802,902,798,894,798,892,787,897,785,899,785,903,785,901,781xm903,785l899,785,901,793,900,796,894,798,902,798,904,798,904,792,903,786,903,785xe" filled="true" fillcolor="#231f20" stroked="false">
                    <v:path arrowok="t"/>
                    <v:fill type="solid"/>
                  </v:shape>
                  <v:shape style="position:absolute;left:904;top:774;width:16;height:22" coordorigin="904,774" coordsize="16,22" path="m916,774l904,779,907,796,910,795,909,788,915,786,919,786,919,785,909,785,908,781,914,779,918,779,918,777,916,774xm919,786l915,786,915,787,916,791,916,792,917,792,920,791,920,790,919,790,919,786xm918,779l914,779,915,780,915,782,914,783,909,785,919,785,918,784,918,784,916,784,918,783,918,781,918,779,918,779xe" filled="true" fillcolor="#231f20" stroked="false">
                    <v:path arrowok="t"/>
                    <v:fill type="solid"/>
                  </v:shape>
                  <v:shape style="position:absolute;left:920;top:768;width:16;height:22" coordorigin="920,768" coordsize="16,22" path="m931,768l920,773,923,790,933,786,933,786,925,786,925,781,930,779,935,779,935,778,924,778,924,775,929,773,933,773,933,771,931,768xm935,779l930,779,931,779,932,781,932,782,931,783,925,786,933,786,933,785,935,782,935,781,935,779xm933,773l929,773,930,773,930,775,929,776,924,778,935,778,935,778,934,777,932,777,933,775,933,773xe" filled="true" fillcolor="#231f20" stroked="false">
                    <v:path arrowok="t"/>
                    <v:fill type="solid"/>
                  </v:shape>
                  <v:shape style="position:absolute;left:941;top:762;width:14;height:20" coordorigin="941,762" coordsize="14,20" path="m952,765l948,765,949,766,949,769,948,771,943,777,943,782,954,777,954,777,947,777,947,776,948,775,951,771,952,769,952,765xm953,774l947,777,954,777,953,774xm949,762l944,763,941,765,942,771,945,769,944,766,948,765,952,765,951,763,949,762xe" filled="true" fillcolor="#231f20" stroked="false">
                    <v:path arrowok="t"/>
                    <v:fill type="solid"/>
                  </v:shape>
                  <v:shape style="position:absolute;left:953;top:756;width:13;height:20" coordorigin="953,756" coordsize="13,20" path="m962,756l954,759,953,763,955,774,957,776,965,773,965,773,959,773,958,772,956,763,957,761,960,760,964,760,964,758,962,756xm964,760l960,760,961,761,962,769,962,772,959,773,965,773,966,770,964,760xe" filled="true" fillcolor="#231f20" stroked="false">
                    <v:path arrowok="t"/>
                    <v:fill type="solid"/>
                  </v:shape>
                  <v:shape style="position:absolute;left:965;top:752;width:13;height:20" coordorigin="965,752" coordsize="13,20" path="m974,752l966,754,965,758,967,769,969,772,977,769,977,768,971,768,970,767,968,758,969,756,972,755,976,755,976,754,974,752xm976,755l972,755,973,756,974,764,974,767,971,768,977,768,978,765,976,755xe" filled="true" fillcolor="#231f20" stroked="false">
                    <v:path arrowok="t"/>
                    <v:fill type="solid"/>
                  </v:shape>
                  <v:shape style="position:absolute;left:9;top:9;width:1186;height:1281" coordorigin="9,9" coordsize="1186,1281" path="m702,9l675,15,674,16,674,22,615,38,535,61,460,82,417,94,412,87,361,101,361,102,361,107,303,126,219,150,134,174,71,191,66,185,66,184,34,195,45,287,9,301,19,415,27,484,48,598,64,656,90,726,125,804,166,886,213,967,262,1043,313,1110,364,1164,375,1162,393,1155,410,1149,419,1148,533,1248,555,1276,574,1288,646,1280,787,1226,895,1183,975,1147,1035,1119,1117,1074,1171,1039,1188,987,1193,948,1194,902,1190,856,1180,819,1179,799,1178,704,1168,633,1145,547,1105,449,1043,341,1004,265,961,208,887,137,827,85,767,45,721,18,702,9xe" filled="false" stroked="true" strokeweight=".832pt" strokecolor="#231f20">
                    <v:path arrowok="t"/>
                  </v:shape>
                  <v:shape style="position:absolute;left:388;top:6;width:693;height:616" coordorigin="388,6" coordsize="693,616" path="m700,6l672,13,672,19,415,91,410,84,388,91,460,160,519,224,566,281,604,330,658,423,690,537,704,595,714,612,720,615,727,619,749,621,788,621,829,619,860,615,857,604,851,579,845,554,840,542,848,539,868,607,901,598,925,591,946,582,971,572,961,501,968,496,982,572,1023,544,1047,526,1063,512,1080,493,1065,417,1038,340,1008,274,958,207,914,161,854,107,781,52,700,6xe" filled="false" stroked="true" strokeweight=".416pt" strokecolor="#231f20">
                    <v:path arrowok="t"/>
                  </v:shape>
                  <v:shape style="position:absolute;left:423;top:20;width:474;height:254" type="#_x0000_t75" stroked="false">
                    <v:imagedata r:id="rId243" o:title=""/>
                  </v:shape>
                  <v:shape style="position:absolute;left:865;top:512;width:85;height:32" coordorigin="865,512" coordsize="85,32" path="m865,544l886,538,905,532,925,524,949,512e" filled="false" stroked="true" strokeweight=".208pt" strokecolor="#231f20">
                    <v:path arrowok="t"/>
                  </v:shape>
                  <v:shape style="position:absolute;left:868;top:527;width:83;height:32" coordorigin="868,527" coordsize="83,32" path="m868,558l891,552,909,545,928,538,951,527e" filled="false" stroked="true" strokeweight=".208pt" strokecolor="#231f20">
                    <v:path arrowok="t"/>
                  </v:shape>
                  <v:shape style="position:absolute;left:872;top:542;width:82;height:30" coordorigin="872,542" coordsize="82,30" path="m872,572l894,566,913,560,931,552,954,542e" filled="false" stroked="true" strokeweight=".208pt" strokecolor="#231f20">
                    <v:path arrowok="t"/>
                  </v:shape>
                  <v:shape style="position:absolute;left:875;top:555;width:83;height:31" coordorigin="875,555" coordsize="83,31" path="m875,585l898,579,917,573,936,566,958,555e" filled="false" stroked="true" strokeweight=".208pt" strokecolor="#231f20">
                    <v:path arrowok="t"/>
                  </v:shape>
                  <v:shape style="position:absolute;left:73;top:112;width:459;height:281" type="#_x0000_t75" stroked="false">
                    <v:imagedata r:id="rId244" o:title=""/>
                  </v:shape>
                  <v:shape style="position:absolute;left:447;top:633;width:117;height:45" coordorigin="447,633" coordsize="117,45" path="m447,677l477,668,506,657,535,646,563,633e" filled="false" stroked="true" strokeweight=".208pt" strokecolor="#231f20">
                    <v:path arrowok="t"/>
                  </v:shape>
                  <v:shape style="position:absolute;left:450;top:650;width:115;height:44" coordorigin="450,650" coordsize="115,44" path="m450,693l480,684,508,674,536,663,565,650e" filled="false" stroked="true" strokeweight=".208pt" strokecolor="#231f20">
                    <v:path arrowok="t"/>
                  </v:shape>
                  <v:shape style="position:absolute;left:453;top:667;width:115;height:43" coordorigin="453,667" coordsize="115,43" path="m453,710l483,701,511,691,539,680,568,667e" filled="false" stroked="true" strokeweight=".208pt" strokecolor="#231f20">
                    <v:path arrowok="t"/>
                  </v:shape>
                  <v:shape style="position:absolute;left:456;top:685;width:112;height:42" coordorigin="456,685" coordsize="112,42" path="m456,726l486,718,513,709,540,698,568,685e" filled="false" stroked="true" strokeweight=".208pt" strokecolor="#231f20">
                    <v:path arrowok="t"/>
                  </v:shape>
                </v:group>
              </w:pict>
            </w:r>
            <w:r>
              <w:rPr>
                <w:rFonts w:ascii="Arial"/>
                <w:sz w:val="20"/>
              </w:rPr>
            </w:r>
          </w:p>
          <w:p>
            <w:pPr>
              <w:pStyle w:val="TableParagraph"/>
              <w:spacing w:before="0"/>
              <w:ind w:right="0"/>
              <w:jc w:val="left"/>
              <w:rPr>
                <w:rFonts w:ascii="Arial"/>
                <w:b/>
                <w:sz w:val="8"/>
              </w:rPr>
            </w:pPr>
          </w:p>
          <w:p>
            <w:pPr>
              <w:pStyle w:val="TableParagraph"/>
              <w:spacing w:before="0"/>
              <w:ind w:right="0"/>
              <w:jc w:val="left"/>
              <w:rPr>
                <w:rFonts w:ascii="Arial"/>
                <w:b/>
                <w:sz w:val="8"/>
              </w:rPr>
            </w:pPr>
          </w:p>
          <w:p>
            <w:pPr>
              <w:pStyle w:val="TableParagraph"/>
              <w:spacing w:before="0"/>
              <w:ind w:right="0"/>
              <w:jc w:val="left"/>
              <w:rPr>
                <w:rFonts w:ascii="Arial"/>
                <w:b/>
                <w:sz w:val="8"/>
              </w:rPr>
            </w:pPr>
          </w:p>
          <w:p>
            <w:pPr>
              <w:pStyle w:val="TableParagraph"/>
              <w:spacing w:before="0"/>
              <w:ind w:right="0"/>
              <w:jc w:val="left"/>
              <w:rPr>
                <w:rFonts w:ascii="Arial"/>
                <w:b/>
                <w:sz w:val="8"/>
              </w:rPr>
            </w:pPr>
          </w:p>
          <w:p>
            <w:pPr>
              <w:pStyle w:val="TableParagraph"/>
              <w:spacing w:before="55"/>
              <w:ind w:left="1401" w:right="0"/>
              <w:jc w:val="left"/>
              <w:rPr>
                <w:rFonts w:ascii="Arial"/>
                <w:b/>
                <w:sz w:val="9"/>
              </w:rPr>
            </w:pPr>
            <w:r>
              <w:rPr>
                <w:rFonts w:ascii="Arial"/>
                <w:b/>
                <w:color w:val="FFFFFF"/>
                <w:sz w:val="9"/>
              </w:rPr>
              <w:t>HRS   MIN  SEC</w:t>
            </w:r>
          </w:p>
        </w:tc>
        <w:tc>
          <w:tcPr>
            <w:tcW w:w="238" w:type="dxa"/>
          </w:tcPr>
          <w:p>
            <w:pPr/>
          </w:p>
        </w:tc>
        <w:tc>
          <w:tcPr>
            <w:tcW w:w="2328" w:type="dxa"/>
          </w:tcPr>
          <w:p>
            <w:pPr>
              <w:pStyle w:val="TableParagraph"/>
              <w:spacing w:before="9"/>
              <w:ind w:right="0"/>
              <w:jc w:val="left"/>
              <w:rPr>
                <w:rFonts w:ascii="Arial"/>
                <w:b/>
                <w:sz w:val="2"/>
              </w:rPr>
            </w:pPr>
          </w:p>
          <w:p>
            <w:pPr>
              <w:pStyle w:val="TableParagraph"/>
              <w:spacing w:before="0"/>
              <w:ind w:left="252" w:right="0"/>
              <w:jc w:val="left"/>
              <w:rPr>
                <w:rFonts w:ascii="Arial"/>
                <w:sz w:val="20"/>
              </w:rPr>
            </w:pPr>
            <w:r>
              <w:rPr>
                <w:rFonts w:ascii="Arial"/>
                <w:sz w:val="20"/>
              </w:rPr>
              <w:pict>
                <v:group style="width:60.15pt;height:64.9pt;mso-position-horizontal-relative:char;mso-position-vertical-relative:line" coordorigin="0,0" coordsize="1203,1298">
                  <v:shape style="position:absolute;left:32;top:91;width:669;height:678" coordorigin="32,91" coordsize="669,678" path="m387,91l359,98,358,105,69,188,64,182,36,191,32,191,33,197,36,223,39,249,41,276,42,302,73,338,133,413,165,466,194,523,232,607,262,688,276,726,291,765,298,767,306,768,326,769,366,768,409,766,441,762,439,746,434,711,429,675,425,658,432,655,450,750,487,740,522,728,554,716,584,703,572,607,579,606,596,704,647,673,675,654,689,638,700,618,697,587,691,554,686,528,684,517,672,455,664,421,655,403,643,388,620,357,579,301,523,230,458,157,387,91xe" filled="false" stroked="true" strokeweight=".416pt" strokecolor="#231f20">
                    <v:path arrowok="t"/>
                  </v:shape>
                  <v:shape style="position:absolute;left:349;top:582;width:825;height:560" coordorigin="349,582" coordsize="825,560" path="m416,1141l401,1077,385,1014,369,950,353,886,352,878,349,867,355,858,428,830,501,803,574,775,647,748,720,720,793,693,866,665,939,638,1012,610,1085,582,1092,582,1098,582,1103,587,1120,642,1138,698,1156,753,1174,809e" filled="false" stroked="true" strokeweight=".416pt" strokecolor="#231f20">
                    <v:path arrowok="t"/>
                  </v:shape>
                  <v:shape style="position:absolute;left:535;top:694;width:593;height:456" coordorigin="535,694" coordsize="593,456" path="m535,877l662,826,743,794,830,760,916,726,998,694,1037,769,1080,852,1114,920,1056,986,983,1022,908,1056,830,1087,747,1119,658,1149,588,993,551,912,538,882,535,877xe" filled="false" stroked="true" strokeweight=".416pt" strokecolor="#231f20">
                    <v:path arrowok="t"/>
                  </v:shape>
                  <v:shape style="position:absolute;left:714;top:1035;width:70;height:51" coordorigin="714,1035" coordsize="70,51" path="m741,1037l755,1035,768,1036,778,1041,783,1049,784,1059,778,1068,769,1077,756,1083,742,1085,730,1084,720,1079,714,1071,714,1062,719,1052,729,1043,741,1037xe" filled="false" stroked="true" strokeweight=".208pt" strokecolor="#231f20">
                    <v:path arrowok="t"/>
                  </v:shape>
                  <v:shape style="position:absolute;left:714;top:1035;width:70;height:51" coordorigin="714,1035" coordsize="70,51" path="m741,1037l755,1035,768,1036,778,1041,783,1049,784,1059,778,1068,769,1077,756,1083,742,1085,730,1084,720,1079,714,1071,714,1062,719,1052,729,1043,741,1037xe" filled="false" stroked="true" strokeweight=".208pt" strokecolor="#231f20">
                    <v:path arrowok="t"/>
                  </v:shape>
                  <v:shape style="position:absolute;left:845;top:980;width:70;height:51" coordorigin="845,980" coordsize="70,51" path="m872,982l886,980,898,981,908,986,914,994,914,1003,909,1013,900,1022,887,1028,873,1030,860,1029,850,1024,845,1016,845,1006,850,997,859,988,872,982xe" filled="false" stroked="true" strokeweight=".208pt" strokecolor="#231f20">
                    <v:path arrowok="t"/>
                  </v:shape>
                  <v:shape style="position:absolute;left:970;top:926;width:70;height:51" coordorigin="970,926" coordsize="70,51" path="m997,929l1011,926,1024,928,1033,933,1039,940,1039,950,1034,960,1025,968,1012,974,998,977,985,976,976,971,970,963,970,953,975,944,984,935,997,929xe" filled="false" stroked="true" strokeweight=".208pt" strokecolor="#231f20">
                    <v:path arrowok="t"/>
                  </v:shape>
                  <v:shape style="position:absolute;left:693;top:1001;width:91;height:71" coordorigin="693,1001" coordsize="91,71" path="m712,1072l693,1030,763,1001,784,1043e" filled="false" stroked="true" strokeweight=".208pt" strokecolor="#231f20">
                    <v:path arrowok="t"/>
                  </v:shape>
                  <v:shape style="position:absolute;left:693;top:1001;width:91;height:71" coordorigin="693,1001" coordsize="91,71" path="m712,1072l693,1030,763,1001,784,1043e" filled="false" stroked="true" strokeweight=".208pt" strokecolor="#231f20">
                    <v:path arrowok="t"/>
                  </v:shape>
                  <v:shape style="position:absolute;left:824;top:946;width:91;height:71" coordorigin="824,946" coordsize="91,71" path="m842,1017l824,975,894,946,914,988e" filled="false" stroked="true" strokeweight=".208pt" strokecolor="#231f20">
                    <v:path arrowok="t"/>
                  </v:shape>
                  <v:shape style="position:absolute;left:949;top:893;width:91;height:71" coordorigin="949,893" coordsize="91,71" path="m967,963l949,921,1019,893,1039,934e" filled="false" stroked="true" strokeweight=".208pt" strokecolor="#231f20">
                    <v:path arrowok="t"/>
                  </v:shape>
                  <v:line style="position:absolute" from="713,1072" to="714,1071" stroked="true" strokeweight=".208pt" strokecolor="#231f20"/>
                  <v:line style="position:absolute" from="843,1017" to="845,1016" stroked="true" strokeweight=".208pt" strokecolor="#231f20"/>
                  <v:line style="position:absolute" from="968,964" to="970,963" stroked="true" strokeweight=".208pt" strokecolor="#231f20"/>
                  <v:line style="position:absolute" from="784,1043" to="782,1044" stroked="true" strokeweight=".208pt" strokecolor="#231f20"/>
                  <v:line style="position:absolute" from="915,988" to="912,989" stroked="true" strokeweight=".208pt" strokecolor="#231f20"/>
                  <v:line style="position:absolute" from="1040,935" to="1037,936" stroked="true" strokeweight=".208pt" strokecolor="#231f20"/>
                  <v:shape style="position:absolute;left:619;top:776;width:406;height:237" coordorigin="619,776" coordsize="406,237" path="m619,926l984,776,1025,861,657,1012,619,926xe" filled="false" stroked="true" strokeweight=".416pt" strokecolor="#231f20">
                    <v:path arrowok="t"/>
                  </v:shape>
                  <v:shape style="position:absolute;left:359;top:634;width:780;height:553" coordorigin="359,634" coordsize="780,553" path="m359,872l547,1143,579,1173,601,1186,627,1185,666,1172,711,1160,778,1137,861,1106,953,1066,1047,1020,1139,968,1109,884,1060,781,1013,693,992,656,979,634,989,659,994,674,996,682,995,691e" filled="false" stroked="true" strokeweight=".208pt" strokecolor="#231f20">
                    <v:path arrowok="t"/>
                  </v:shape>
                  <v:shape style="position:absolute;left:499;top:826;width:184;height:346" type="#_x0000_t75" stroked="false">
                    <v:imagedata r:id="rId245" o:title=""/>
                  </v:shape>
                  <v:shape style="position:absolute;left:889;top:781;width:16;height:22" coordorigin="889,781" coordsize="16,22" path="m901,781l889,786,892,802,902,798,894,798,892,787,897,785,899,785,903,785,901,781xm903,785l899,785,901,793,900,796,894,798,902,798,904,798,904,792,903,786,903,785xe" filled="true" fillcolor="#231f20" stroked="false">
                    <v:path arrowok="t"/>
                    <v:fill type="solid"/>
                  </v:shape>
                  <v:shape style="position:absolute;left:904;top:774;width:16;height:22" coordorigin="904,774" coordsize="16,22" path="m916,774l904,779,907,796,910,795,909,788,915,786,919,786,919,785,909,785,908,781,914,779,918,779,918,777,916,774xm919,786l915,786,915,787,916,791,916,792,917,792,920,791,920,790,919,790,919,786xm918,779l914,779,915,780,915,782,914,783,909,785,919,785,918,784,918,784,916,784,918,783,918,781,918,779,918,779xe" filled="true" fillcolor="#231f20" stroked="false">
                    <v:path arrowok="t"/>
                    <v:fill type="solid"/>
                  </v:shape>
                  <v:shape style="position:absolute;left:920;top:768;width:16;height:22" coordorigin="920,768" coordsize="16,22" path="m931,768l920,773,923,790,933,786,933,786,925,786,925,781,930,779,935,779,935,778,924,778,924,775,929,773,933,773,933,771,931,768xm935,779l930,779,931,779,932,781,932,782,931,783,925,786,933,786,933,785,935,782,935,781,935,779xm933,773l929,773,930,773,930,775,929,776,924,778,935,778,935,778,934,777,932,777,933,775,933,773xe" filled="true" fillcolor="#231f20" stroked="false">
                    <v:path arrowok="t"/>
                    <v:fill type="solid"/>
                  </v:shape>
                  <v:shape style="position:absolute;left:941;top:762;width:14;height:20" coordorigin="941,762" coordsize="14,20" path="m952,765l948,765,949,766,949,769,943,777,943,782,954,777,954,777,947,777,947,776,948,775,951,771,952,769,952,765xm953,774l947,777,954,777,953,774xm949,762l944,763,941,765,942,771,945,769,944,766,948,765,952,765,951,763,949,762xe" filled="true" fillcolor="#231f20" stroked="false">
                    <v:path arrowok="t"/>
                    <v:fill type="solid"/>
                  </v:shape>
                  <v:shape style="position:absolute;left:953;top:756;width:13;height:20" coordorigin="953,756" coordsize="13,20" path="m962,756l954,759,953,763,955,774,957,776,965,773,965,773,959,773,958,772,956,763,957,761,960,760,964,760,964,758,962,756xm964,760l960,760,961,761,962,769,962,772,959,773,965,773,966,770,964,760xe" filled="true" fillcolor="#231f20" stroked="false">
                    <v:path arrowok="t"/>
                    <v:fill type="solid"/>
                  </v:shape>
                  <v:shape style="position:absolute;left:965;top:752;width:13;height:20" coordorigin="965,752" coordsize="13,20" path="m974,752l966,754,965,758,967,769,969,772,977,769,977,768,971,768,970,767,969,758,969,756,972,755,976,755,976,754,974,752xm976,755l972,755,973,756,974,764,974,767,971,768,977,768,978,765,976,755xe" filled="true" fillcolor="#231f20" stroked="false">
                    <v:path arrowok="t"/>
                    <v:fill type="solid"/>
                  </v:shape>
                  <v:shape style="position:absolute;left:9;top:9;width:1186;height:1281" coordorigin="9,9" coordsize="1186,1281" path="m702,9l675,15,674,16,674,22,615,38,535,61,460,82,417,94,412,87,361,101,361,102,361,107,303,126,219,150,134,174,71,191,66,185,66,184,34,195,45,287,9,301,19,415,27,484,48,598,64,656,90,726,125,804,166,886,213,967,262,1043,313,1110,364,1164,375,1162,393,1155,410,1149,419,1148,533,1248,555,1276,574,1288,646,1280,787,1226,895,1183,975,1147,1035,1119,1117,1074,1171,1039,1189,987,1193,948,1194,902,1190,856,1180,819,1179,799,1178,704,1168,633,1145,547,1105,449,1043,341,1004,265,961,208,887,137,827,85,767,45,721,18,702,9xe" filled="false" stroked="true" strokeweight=".832pt" strokecolor="#231f20">
                    <v:path arrowok="t"/>
                  </v:shape>
                  <v:shape style="position:absolute;left:388;top:6;width:693;height:616" coordorigin="388,6" coordsize="693,616" path="m700,6l672,13,672,19,415,91,410,84,388,91,460,160,519,224,566,281,604,330,658,423,690,537,704,595,714,612,720,615,727,619,749,621,788,621,829,619,860,615,857,604,851,579,845,554,840,542,848,539,868,607,901,598,925,591,946,582,971,572,961,501,968,496,982,572,1023,544,1047,526,1063,512,1080,493,1065,417,1038,340,1008,274,958,207,914,161,854,107,781,52,700,6xe" filled="false" stroked="true" strokeweight=".416pt" strokecolor="#231f20">
                    <v:path arrowok="t"/>
                  </v:shape>
                  <v:shape style="position:absolute;left:423;top:20;width:474;height:254" type="#_x0000_t75" stroked="false">
                    <v:imagedata r:id="rId246" o:title=""/>
                  </v:shape>
                  <v:shape style="position:absolute;left:865;top:512;width:85;height:32" coordorigin="865,512" coordsize="85,32" path="m865,544l886,538,905,532,925,524,949,512e" filled="false" stroked="true" strokeweight=".208pt" strokecolor="#231f20">
                    <v:path arrowok="t"/>
                  </v:shape>
                  <v:shape style="position:absolute;left:868;top:527;width:83;height:32" coordorigin="868,527" coordsize="83,32" path="m868,558l891,552,909,545,928,538,951,527e" filled="false" stroked="true" strokeweight=".208pt" strokecolor="#231f20">
                    <v:path arrowok="t"/>
                  </v:shape>
                  <v:shape style="position:absolute;left:872;top:542;width:82;height:30" coordorigin="872,542" coordsize="82,30" path="m872,572l894,566,913,560,931,552,954,542e" filled="false" stroked="true" strokeweight=".208pt" strokecolor="#231f20">
                    <v:path arrowok="t"/>
                  </v:shape>
                  <v:shape style="position:absolute;left:875;top:555;width:83;height:31" coordorigin="875,555" coordsize="83,31" path="m875,585l898,579,917,573,936,566,958,555e" filled="false" stroked="true" strokeweight=".208pt" strokecolor="#231f20">
                    <v:path arrowok="t"/>
                  </v:shape>
                  <v:shape style="position:absolute;left:73;top:112;width:459;height:281" type="#_x0000_t75" stroked="false">
                    <v:imagedata r:id="rId247" o:title=""/>
                  </v:shape>
                  <v:shape style="position:absolute;left:447;top:633;width:117;height:45" coordorigin="447,633" coordsize="117,45" path="m447,677l477,668,506,657,535,646,563,633e" filled="false" stroked="true" strokeweight=".208pt" strokecolor="#231f20">
                    <v:path arrowok="t"/>
                  </v:shape>
                  <v:shape style="position:absolute;left:450;top:650;width:115;height:44" coordorigin="450,650" coordsize="115,44" path="m450,693l480,684,508,674,536,663,565,650e" filled="false" stroked="true" strokeweight=".208pt" strokecolor="#231f20">
                    <v:path arrowok="t"/>
                  </v:shape>
                  <v:shape style="position:absolute;left:453;top:667;width:115;height:43" coordorigin="453,667" coordsize="115,43" path="m453,710l483,701,511,691,539,680,568,667e" filled="false" stroked="true" strokeweight=".208pt" strokecolor="#231f20">
                    <v:path arrowok="t"/>
                  </v:shape>
                  <v:shape style="position:absolute;left:456;top:685;width:112;height:42" coordorigin="456,685" coordsize="112,42" path="m456,726l486,718,513,709,540,698,568,685e" filled="false" stroked="true" strokeweight=".208pt" strokecolor="#231f20">
                    <v:path arrowok="t"/>
                  </v:shape>
                </v:group>
              </w:pict>
            </w:r>
            <w:r>
              <w:rPr>
                <w:rFonts w:ascii="Arial"/>
                <w:sz w:val="20"/>
              </w:rPr>
            </w:r>
          </w:p>
          <w:p>
            <w:pPr>
              <w:pStyle w:val="TableParagraph"/>
              <w:spacing w:before="0"/>
              <w:ind w:right="0"/>
              <w:jc w:val="left"/>
              <w:rPr>
                <w:rFonts w:ascii="Arial"/>
                <w:b/>
                <w:sz w:val="8"/>
              </w:rPr>
            </w:pPr>
          </w:p>
          <w:p>
            <w:pPr>
              <w:pStyle w:val="TableParagraph"/>
              <w:spacing w:before="0"/>
              <w:ind w:right="0"/>
              <w:jc w:val="left"/>
              <w:rPr>
                <w:rFonts w:ascii="Arial"/>
                <w:b/>
                <w:sz w:val="8"/>
              </w:rPr>
            </w:pPr>
          </w:p>
          <w:p>
            <w:pPr>
              <w:pStyle w:val="TableParagraph"/>
              <w:spacing w:before="0"/>
              <w:ind w:right="0"/>
              <w:jc w:val="left"/>
              <w:rPr>
                <w:rFonts w:ascii="Arial"/>
                <w:b/>
                <w:sz w:val="8"/>
              </w:rPr>
            </w:pPr>
          </w:p>
          <w:p>
            <w:pPr>
              <w:pStyle w:val="TableParagraph"/>
              <w:spacing w:before="0"/>
              <w:ind w:right="0"/>
              <w:jc w:val="left"/>
              <w:rPr>
                <w:rFonts w:ascii="Arial"/>
                <w:b/>
                <w:sz w:val="8"/>
              </w:rPr>
            </w:pPr>
          </w:p>
          <w:p>
            <w:pPr>
              <w:pStyle w:val="TableParagraph"/>
              <w:spacing w:before="59"/>
              <w:ind w:left="1412" w:right="0"/>
              <w:jc w:val="left"/>
              <w:rPr>
                <w:rFonts w:ascii="Arial"/>
                <w:b/>
                <w:sz w:val="9"/>
              </w:rPr>
            </w:pPr>
            <w:r>
              <w:rPr>
                <w:rFonts w:ascii="Arial"/>
                <w:b/>
                <w:color w:val="FFFFFF"/>
                <w:sz w:val="9"/>
              </w:rPr>
              <w:t>HRS  MIN  SEC</w:t>
            </w:r>
          </w:p>
        </w:tc>
        <w:tc>
          <w:tcPr>
            <w:tcW w:w="236" w:type="dxa"/>
          </w:tcPr>
          <w:p>
            <w:pPr/>
          </w:p>
        </w:tc>
        <w:tc>
          <w:tcPr>
            <w:tcW w:w="2328" w:type="dxa"/>
          </w:tcPr>
          <w:p>
            <w:pPr>
              <w:pStyle w:val="TableParagraph"/>
              <w:spacing w:before="1"/>
              <w:ind w:right="0"/>
              <w:jc w:val="left"/>
              <w:rPr>
                <w:rFonts w:ascii="Arial"/>
                <w:b/>
                <w:sz w:val="11"/>
              </w:rPr>
            </w:pPr>
          </w:p>
          <w:p>
            <w:pPr>
              <w:pStyle w:val="TableParagraph"/>
              <w:spacing w:before="0"/>
              <w:ind w:left="135" w:right="0"/>
              <w:jc w:val="left"/>
              <w:rPr>
                <w:rFonts w:ascii="Arial"/>
                <w:sz w:val="20"/>
              </w:rPr>
            </w:pPr>
            <w:r>
              <w:rPr>
                <w:rFonts w:ascii="Arial"/>
                <w:position w:val="104"/>
                <w:sz w:val="20"/>
              </w:rPr>
              <w:pict>
                <v:group style="width:13.1pt;height:48.9pt;mso-position-horizontal-relative:char;mso-position-vertical-relative:line" coordorigin="0,0" coordsize="262,978">
                  <v:shape style="position:absolute;left:124;top:8;width:131;height:898" coordorigin="124,8" coordsize="131,898" path="m124,71l124,837,127,853,133,859,139,861,141,868,141,905,236,905,236,868,239,861,245,859,252,853,254,836,254,72,249,47,235,27,215,13,190,7,164,13,144,26,130,47,124,71xe" filled="false" stroked="true" strokeweight=".713pt" strokecolor="#231f20">
                    <v:path arrowok="t"/>
                  </v:shape>
                  <v:shape style="position:absolute;left:0;top:115;width:75;height:88" coordorigin="0,115" coordsize="75,88" path="m37,115l0,203,37,189,69,189,37,115xm69,189l37,189,74,202,69,189xe" filled="true" fillcolor="#231f20" stroked="false">
                    <v:path arrowok="t"/>
                    <v:fill type="solid"/>
                  </v:shape>
                  <v:shape style="position:absolute;left:0;top:670;width:75;height:88" coordorigin="0,670" coordsize="75,88" path="m0,670l37,757,69,683,37,683,0,670xm74,671l37,683,69,683,74,671xe" filled="true" fillcolor="#231f20" stroked="false">
                    <v:path arrowok="t"/>
                    <v:fill type="solid"/>
                  </v:shape>
                  <v:line style="position:absolute" from="40,184" to="40,703" stroked="true" strokeweight=".625pt" strokecolor="#231f20"/>
                  <v:rect style="position:absolute;left:124;top:878;width:130;height:99" filled="true" fillcolor="#231f20" stroked="false">
                    <v:fill type="solid"/>
                  </v:rect>
                </v:group>
              </w:pict>
            </w:r>
            <w:r>
              <w:rPr>
                <w:rFonts w:ascii="Arial"/>
                <w:position w:val="104"/>
                <w:sz w:val="20"/>
              </w:rPr>
            </w:r>
            <w:r>
              <w:rPr>
                <w:rFonts w:ascii="Times New Roman"/>
                <w:spacing w:val="39"/>
                <w:position w:val="104"/>
                <w:sz w:val="20"/>
              </w:rPr>
              <w:t> </w:t>
            </w:r>
            <w:r>
              <w:rPr>
                <w:rFonts w:ascii="Arial"/>
                <w:spacing w:val="39"/>
                <w:sz w:val="20"/>
              </w:rPr>
              <w:pict>
                <v:group style="width:82.65pt;height:100.55pt;mso-position-horizontal-relative:char;mso-position-vertical-relative:line" coordorigin="0,0" coordsize="1653,2011">
                  <v:line style="position:absolute" from="951,1663" to="996,1653" stroked="true" strokeweight=".691pt" strokecolor="#231f20"/>
                  <v:shape style="position:absolute;left:760;top:1721;width:199;height:116" type="#_x0000_t75" stroked="false">
                    <v:imagedata r:id="rId248" o:title=""/>
                  </v:shape>
                  <v:shape style="position:absolute;left:1003;top:1694;width:173;height:90" coordorigin="1003,1694" coordsize="173,90" path="m1003,1694l1010,1728,1028,1757,1056,1777,1091,1784,1125,1776,1152,1757,1169,1728,1175,1696e" filled="false" stroked="true" strokeweight="1.296pt" strokecolor="#231f20">
                    <v:path arrowok="t"/>
                  </v:shape>
                  <v:line style="position:absolute" from="773,1426" to="774,1751" stroked="true" strokeweight="1.296pt" strokecolor="#231f20"/>
                  <v:line style="position:absolute" from="1003,1386" to="1004,1711" stroked="true" strokeweight="1.296pt" strokecolor="#231f20"/>
                  <v:line style="position:absolute" from="944,1744" to="944,1345" stroked="true" strokeweight="1.296pt" strokecolor="#231f20"/>
                  <v:line style="position:absolute" from="1168,1606" to="1236,1588" stroked="true" strokeweight=".691pt" strokecolor="#231f20"/>
                  <v:line style="position:absolute" from="1173,1704" to="1173,1305" stroked="true" strokeweight="1.296pt" strokecolor="#231f20"/>
                  <v:shape style="position:absolute;left:773;top:642;width:179;height:550" coordorigin="773,642" coordsize="179,550" path="m951,1184l951,694,948,678,941,664,930,651,916,642,804,642,792,650,782,663,775,678,773,694,774,1191e" filled="false" stroked="true" strokeweight="1.296pt" strokecolor="#231f20">
                    <v:path arrowok="t"/>
                  </v:shape>
                  <v:shape style="position:absolute;left:1003;top:602;width:178;height:550" coordorigin="1003,602" coordsize="178,550" path="m1180,1144l1180,654,1178,638,1171,624,1160,611,1146,602,1034,602,1021,611,1012,623,1005,638,1003,654,1004,1151e" filled="false" stroked="true" strokeweight="1.296pt" strokecolor="#231f20">
                    <v:path arrowok="t"/>
                  </v:shape>
                  <v:shape style="position:absolute;left:764;top:462;width:199;height:200" type="#_x0000_t75" stroked="false">
                    <v:imagedata r:id="rId249" o:title=""/>
                  </v:shape>
                  <v:shape style="position:absolute;left:994;top:422;width:199;height:200" type="#_x0000_t75" stroked="false">
                    <v:imagedata r:id="rId250" o:title=""/>
                  </v:shape>
                  <v:shape style="position:absolute;left:740;top:1158;width:234;height:42" coordorigin="740,1158" coordsize="234,42" path="m771,1158l752,1163,740,1169,740,1174,749,1184,775,1193,812,1198,857,1200,902,1198,939,1193,964,1184,973,1174,973,1169,966,1163,954,1162e" filled="false" stroked="true" strokeweight=".691pt" strokecolor="#231f20">
                    <v:path arrowok="t"/>
                  </v:shape>
                  <v:shape style="position:absolute;left:970;top:1119;width:234;height:42" coordorigin="970,1119" coordsize="234,42" path="m1001,1119l982,1124,970,1129,970,1134,979,1145,1004,1153,1042,1158,1087,1160,1132,1158,1169,1153,1194,1145,1203,1134,1203,1129,1196,1124,1184,1122e" filled="false" stroked="true" strokeweight=".691pt" strokecolor="#231f20">
                    <v:path arrowok="t"/>
                  </v:shape>
                  <v:shape style="position:absolute;left:500;top:1193;width:236;height:50" coordorigin="500,1193" coordsize="236,50" path="m617,1243l662,1241,700,1236,725,1228,735,1217,725,1208,700,1200,662,1195,617,1193,572,1195,534,1200,509,1208,500,1217,509,1228,534,1236,572,1241,617,1243xe" filled="false" stroked="true" strokeweight=".691pt" strokecolor="#231f20">
                    <v:path arrowok="t"/>
                  </v:shape>
                  <v:shape style="position:absolute;left:273;top:1226;width:235;height:51" coordorigin="273,1226" coordsize="235,51" path="m391,1276l436,1274,473,1269,499,1260,508,1250,499,1241,473,1233,436,1228,391,1226,345,1228,308,1233,283,1241,273,1250,283,1260,308,1269,345,1274,391,1276xe" filled="false" stroked="true" strokeweight=".691pt" strokecolor="#231f20">
                    <v:path arrowok="t"/>
                  </v:shape>
                  <v:shape style="position:absolute;left:273;top:1608;width:235;height:50" coordorigin="273,1608" coordsize="235,50" path="m391,1658l436,1656,473,1651,499,1642,508,1632,499,1623,473,1615,436,1610,391,1608,345,1610,308,1615,283,1623,273,1632,283,1642,308,1651,345,1656,391,1658xe" filled="false" stroked="true" strokeweight=".691pt" strokecolor="#231f20">
                    <v:path arrowok="t"/>
                  </v:shape>
                  <v:shape style="position:absolute;left:1217;top:1077;width:215;height:47" coordorigin="1217,1077" coordsize="215,47" path="m1324,1124l1365,1122,1400,1117,1423,1109,1431,1100,1423,1091,1400,1084,1365,1079,1324,1077,1282,1079,1248,1084,1225,1091,1217,1100,1225,1109,1248,1117,1282,1122,1324,1124xe" filled="false" stroked="true" strokeweight=".691pt" strokecolor="#231f20">
                    <v:path arrowok="t"/>
                  </v:shape>
                  <v:line style="position:absolute" from="1227,1042" to="1645,1089" stroked="true" strokeweight=".691pt" strokecolor="#231f20"/>
                  <v:line style="position:absolute" from="463,1319" to="14,1243" stroked="true" strokeweight=".691pt" strokecolor="#231f20"/>
                  <v:shape style="position:absolute;left:7;top:1630;width:460;height:282" coordorigin="7,1630" coordsize="460,282" path="m467,1713l7,1630,7,1912e" filled="false" stroked="true" strokeweight=".691pt" strokecolor="#231f20">
                    <v:path arrowok="t"/>
                  </v:shape>
                  <v:shape style="position:absolute;left:9;top:1587;width:1637;height:417" coordorigin="9,1587" coordsize="1637,417" path="m1232,1587l1645,1653,467,2003,9,1907e" filled="false" stroked="true" strokeweight=".691pt" strokecolor="#231f20">
                    <v:path arrowok="t"/>
                  </v:shape>
                  <v:line style="position:absolute" from="1238,1585" to="1238,1518" stroked="true" strokeweight=".691pt" strokecolor="#231f20"/>
                  <v:line style="position:absolute" from="9,1630" to="469,1549" stroked="true" strokeweight=".691pt" strokecolor="#231f20"/>
                  <v:shape style="position:absolute;left:467;top:1094;width:1179;height:619" coordorigin="467,1094" coordsize="1179,619" path="m1645,1094l467,1319,467,1713,1645,1421,1645,1094xe" filled="true" fillcolor="#ffffff" stroked="false">
                    <v:path arrowok="t"/>
                    <v:fill type="solid"/>
                  </v:shape>
                  <v:shape style="position:absolute;left:467;top:1094;width:1179;height:619" coordorigin="467,1094" coordsize="1179,619" path="m467,1319l467,1713,1645,1421,1645,1094,467,1319xe" filled="false" stroked="true" strokeweight=".691pt" strokecolor="#231f20">
                    <v:path arrowok="t"/>
                  </v:shape>
                  <v:line style="position:absolute" from="7,1907" to="767,1709" stroked="true" strokeweight=".691pt" strokecolor="#231f20"/>
                  <v:line style="position:absolute" from="11,1241" to="769,1119" stroked="true" strokeweight=".691pt" strokecolor="#231f20"/>
                  <v:line style="position:absolute" from="951,1089" to="1001,1081" stroked="true" strokeweight=".691pt" strokecolor="#231f20"/>
                  <v:line style="position:absolute" from="1180,1051" to="1222,1042" stroked="true" strokeweight=".691pt" strokecolor="#231f20"/>
                  <v:shape style="position:absolute;left:14;top:72;width:149;height:898" coordorigin="14,72" coordsize="149,898" path="m163,907l163,141,160,125,153,119,146,116,143,110,143,72,35,72,35,110,32,116,25,119,17,125,14,141,15,905,20,931,36,951,60,965,88,970,117,965,141,951,157,931,163,907xe" filled="false" stroked="true" strokeweight=".81025pt" strokecolor="#231f20">
                    <v:path arrowok="t"/>
                  </v:shape>
                  <v:shape style="position:absolute;left:220;top:775;width:85;height:88" coordorigin="220,775" coordsize="85,88" path="m220,776l262,863,298,788,262,788,220,776xm305,775l262,788,298,788,305,775xe" filled="true" fillcolor="#231f20" stroked="false">
                    <v:path arrowok="t"/>
                    <v:fill type="solid"/>
                  </v:shape>
                  <v:shape style="position:absolute;left:220;top:221;width:85;height:88" coordorigin="220,221" coordsize="85,88" path="m298,295l262,295,305,308,298,295xm262,221l220,307,262,295,298,295,262,221xe" filled="true" fillcolor="#231f20" stroked="false">
                    <v:path arrowok="t"/>
                    <v:fill type="solid"/>
                  </v:shape>
                  <v:line style="position:absolute" from="259,275" to="259,793" stroked="true" strokeweight=".714pt" strokecolor="#231f20"/>
                  <v:rect style="position:absolute;left:14;top:0;width:148;height:99" filled="true" fillcolor="#231f20" stroked="false">
                    <v:fill type="solid"/>
                  </v:rect>
                </v:group>
              </w:pict>
            </w:r>
            <w:r>
              <w:rPr>
                <w:rFonts w:ascii="Arial"/>
                <w:spacing w:val="39"/>
                <w:sz w:val="20"/>
              </w:rPr>
            </w:r>
          </w:p>
        </w:tc>
      </w:tr>
    </w:tbl>
    <w:p>
      <w:pPr>
        <w:pStyle w:val="BodyText"/>
        <w:spacing w:before="1"/>
        <w:rPr>
          <w:b/>
          <w:sz w:val="6"/>
        </w:rPr>
      </w:pPr>
    </w:p>
    <w:p>
      <w:pPr>
        <w:spacing w:after="0"/>
        <w:rPr>
          <w:sz w:val="6"/>
        </w:rPr>
        <w:sectPr>
          <w:headerReference w:type="default" r:id="rId240"/>
          <w:footerReference w:type="default" r:id="rId241"/>
          <w:pgSz w:w="11900" w:h="15840"/>
          <w:pgMar w:header="0" w:footer="0" w:top="240" w:bottom="0" w:left="960" w:right="560"/>
        </w:sectPr>
      </w:pPr>
    </w:p>
    <w:p>
      <w:pPr>
        <w:pStyle w:val="ListParagraph"/>
        <w:numPr>
          <w:ilvl w:val="0"/>
          <w:numId w:val="27"/>
        </w:numPr>
        <w:tabs>
          <w:tab w:pos="486" w:val="left" w:leader="none"/>
        </w:tabs>
        <w:spacing w:line="249" w:lineRule="auto" w:before="35" w:after="0"/>
        <w:ind w:left="125" w:right="0" w:firstLine="0"/>
        <w:jc w:val="left"/>
        <w:rPr>
          <w:sz w:val="20"/>
        </w:rPr>
      </w:pPr>
      <w:r>
        <w:rPr/>
        <w:pict>
          <v:group style="position:absolute;margin-left:127.334999pt;margin-top:-48.191738pt;width:40.4pt;height:35.35pt;mso-position-horizontal-relative:page;mso-position-vertical-relative:paragraph;z-index:-1517800" coordorigin="2547,-964" coordsize="808,707">
            <v:shape style="position:absolute;left:2547;top:-964;width:808;height:707" coordorigin="2547,-964" coordsize="808,707" path="m3301,-964l2601,-964,2580,-958,2563,-942,2551,-918,2547,-889,2547,-333,2551,-304,2563,-280,2580,-264,2601,-258,3301,-258,3322,-264,3339,-280,3350,-304,3355,-333,3355,-889,3350,-918,3339,-942,3322,-958,3301,-964xe" filled="true" fillcolor="#231f20" stroked="false">
              <v:path arrowok="t"/>
              <v:fill type="solid"/>
            </v:shape>
            <v:shape style="position:absolute;left:2592;top:-905;width:708;height:204" coordorigin="2592,-905" coordsize="708,204" path="m3288,-905l2603,-905,2592,-891,2592,-715,2603,-701,3288,-701,3299,-715,3299,-891,3288,-905xe" filled="true" fillcolor="#ffffff" stroked="false">
              <v:path arrowok="t"/>
              <v:fill type="solid"/>
            </v:shape>
            <v:shape style="position:absolute;left:3083;top:-451;width:212;height:113" type="#_x0000_t75" stroked="false">
              <v:imagedata r:id="rId251" o:title=""/>
            </v:shape>
            <v:shape style="position:absolute;left:2598;top:-451;width:454;height:113" type="#_x0000_t75" stroked="false">
              <v:imagedata r:id="rId252" o:title=""/>
            </v:shape>
            <v:shape style="position:absolute;left:2547;top:-964;width:808;height:707" coordorigin="2547,-964" coordsize="808,707" path="m3301,-964l2601,-964,2580,-958,2563,-942,2551,-918,2547,-889,2547,-333,2551,-304,2563,-280,2580,-264,2601,-258,3301,-258,3322,-264,3339,-280,3350,-304,3355,-333,3355,-889,3350,-918,3339,-942,3322,-958,3301,-964xe" filled="true" fillcolor="#231f20" stroked="false">
              <v:path arrowok="t"/>
              <v:fill type="solid"/>
            </v:shape>
            <v:shape style="position:absolute;left:3083;top:-451;width:212;height:113" type="#_x0000_t75" stroked="false">
              <v:imagedata r:id="rId251" o:title=""/>
            </v:shape>
            <v:shape style="position:absolute;left:2598;top:-451;width:454;height:113" type="#_x0000_t75" stroked="false">
              <v:imagedata r:id="rId252" o:title=""/>
            </v:shape>
            <v:shape style="position:absolute;left:2592;top:-905;width:707;height:204" type="#_x0000_t75" stroked="false">
              <v:imagedata r:id="rId253" o:title=""/>
            </v:shape>
            <w10:wrap type="none"/>
          </v:group>
        </w:pict>
      </w:r>
      <w:r>
        <w:rPr/>
        <w:pict>
          <v:group style="position:absolute;margin-left:256.203003pt;margin-top:-47.648739pt;width:39.8pt;height:34.8pt;mso-position-horizontal-relative:page;mso-position-vertical-relative:paragraph;z-index:-1517776" coordorigin="5124,-953" coordsize="796,696">
            <v:shape style="position:absolute;left:5124;top:-953;width:796;height:696" coordorigin="5124,-953" coordsize="796,696" path="m5867,-953l5177,-953,5157,-947,5140,-931,5128,-908,5124,-879,5124,-331,5128,-303,5140,-279,5157,-263,5177,-258,5867,-258,5887,-263,5904,-279,5916,-303,5920,-331,5920,-879,5916,-908,5904,-931,5887,-947,5867,-953xe" filled="true" fillcolor="#231f20" stroked="false">
              <v:path arrowok="t"/>
              <v:fill type="solid"/>
            </v:shape>
            <v:shape style="position:absolute;left:5168;top:-895;width:697;height:201" coordorigin="5168,-895" coordsize="697,201" path="m5855,-895l5179,-895,5168,-881,5168,-708,5179,-694,5855,-694,5865,-708,5865,-881,5855,-895xe" filled="true" fillcolor="#ffffff" stroked="false">
              <v:path arrowok="t"/>
              <v:fill type="solid"/>
            </v:shape>
            <v:shape style="position:absolute;left:5652;top:-448;width:209;height:111" type="#_x0000_t75" stroked="false">
              <v:imagedata r:id="rId254" o:title=""/>
            </v:shape>
            <v:shape style="position:absolute;left:5175;top:-448;width:447;height:111" type="#_x0000_t75" stroked="false">
              <v:imagedata r:id="rId255" o:title=""/>
            </v:shape>
            <v:shape style="position:absolute;left:5124;top:-953;width:796;height:696" coordorigin="5124,-953" coordsize="796,696" path="m5867,-953l5177,-953,5157,-947,5140,-931,5128,-908,5124,-879,5124,-331,5128,-303,5140,-279,5157,-263,5177,-258,5867,-258,5887,-263,5904,-279,5916,-303,5920,-331,5920,-879,5916,-908,5904,-931,5887,-947,5867,-953xe" filled="true" fillcolor="#231f20" stroked="false">
              <v:path arrowok="t"/>
              <v:fill type="solid"/>
            </v:shape>
            <v:shape style="position:absolute;left:5652;top:-448;width:209;height:111" type="#_x0000_t75" stroked="false">
              <v:imagedata r:id="rId254" o:title=""/>
            </v:shape>
            <v:shape style="position:absolute;left:5175;top:-448;width:447;height:111" type="#_x0000_t75" stroked="false">
              <v:imagedata r:id="rId255" o:title=""/>
            </v:shape>
            <v:shape style="position:absolute;left:5168;top:-895;width:697;height:201" type="#_x0000_t75" stroked="false">
              <v:imagedata r:id="rId256" o:title=""/>
            </v:shape>
            <w10:wrap type="none"/>
          </v:group>
        </w:pict>
      </w:r>
      <w:r>
        <w:rPr>
          <w:sz w:val="20"/>
        </w:rPr>
        <w:t>Heat the vials </w:t>
      </w:r>
      <w:r>
        <w:rPr>
          <w:spacing w:val="-3"/>
          <w:sz w:val="20"/>
        </w:rPr>
        <w:t>for </w:t>
      </w:r>
      <w:r>
        <w:rPr>
          <w:sz w:val="20"/>
        </w:rPr>
        <w:t>two hours.</w:t>
      </w:r>
    </w:p>
    <w:p>
      <w:pPr>
        <w:pStyle w:val="ListParagraph"/>
        <w:numPr>
          <w:ilvl w:val="0"/>
          <w:numId w:val="27"/>
        </w:numPr>
        <w:tabs>
          <w:tab w:pos="486" w:val="left" w:leader="none"/>
        </w:tabs>
        <w:spacing w:line="240" w:lineRule="auto" w:before="35" w:after="0"/>
        <w:ind w:left="485" w:right="0" w:hanging="360"/>
        <w:jc w:val="left"/>
        <w:rPr>
          <w:sz w:val="20"/>
        </w:rPr>
      </w:pPr>
      <w:r>
        <w:rPr>
          <w:spacing w:val="-24"/>
          <w:w w:val="99"/>
          <w:sz w:val="20"/>
        </w:rPr>
        <w:br w:type="column"/>
      </w:r>
      <w:r>
        <w:rPr>
          <w:spacing w:val="-5"/>
          <w:sz w:val="20"/>
        </w:rPr>
        <w:t>Turn </w:t>
      </w:r>
      <w:r>
        <w:rPr>
          <w:sz w:val="20"/>
        </w:rPr>
        <w:t>the reactor</w:t>
      </w:r>
      <w:r>
        <w:rPr>
          <w:spacing w:val="-13"/>
          <w:sz w:val="20"/>
        </w:rPr>
        <w:t> </w:t>
      </w:r>
      <w:r>
        <w:rPr>
          <w:sz w:val="20"/>
        </w:rPr>
        <w:t>off.</w:t>
      </w:r>
    </w:p>
    <w:p>
      <w:pPr>
        <w:spacing w:line="249" w:lineRule="auto" w:before="130"/>
        <w:ind w:left="125" w:right="-6" w:firstLine="0"/>
        <w:jc w:val="left"/>
        <w:rPr>
          <w:sz w:val="20"/>
        </w:rPr>
      </w:pPr>
      <w:r>
        <w:rPr>
          <w:spacing w:val="-3"/>
          <w:sz w:val="20"/>
        </w:rPr>
        <w:t>Wait </w:t>
      </w:r>
      <w:r>
        <w:rPr>
          <w:sz w:val="20"/>
        </w:rPr>
        <w:t>about 20 minutes </w:t>
      </w:r>
      <w:r>
        <w:rPr>
          <w:spacing w:val="-4"/>
          <w:sz w:val="20"/>
        </w:rPr>
        <w:t>for </w:t>
      </w:r>
      <w:r>
        <w:rPr>
          <w:sz w:val="20"/>
        </w:rPr>
        <w:t>the</w:t>
      </w:r>
      <w:r>
        <w:rPr>
          <w:spacing w:val="-26"/>
          <w:sz w:val="20"/>
        </w:rPr>
        <w:t> </w:t>
      </w:r>
      <w:r>
        <w:rPr>
          <w:sz w:val="20"/>
        </w:rPr>
        <w:t>vials</w:t>
      </w:r>
      <w:r>
        <w:rPr>
          <w:spacing w:val="-27"/>
          <w:sz w:val="20"/>
        </w:rPr>
        <w:t> </w:t>
      </w:r>
      <w:r>
        <w:rPr>
          <w:sz w:val="20"/>
        </w:rPr>
        <w:t>to</w:t>
      </w:r>
      <w:r>
        <w:rPr>
          <w:spacing w:val="-27"/>
          <w:sz w:val="20"/>
        </w:rPr>
        <w:t> </w:t>
      </w:r>
      <w:r>
        <w:rPr>
          <w:sz w:val="20"/>
        </w:rPr>
        <w:t>cool</w:t>
      </w:r>
      <w:r>
        <w:rPr>
          <w:spacing w:val="-26"/>
          <w:sz w:val="20"/>
        </w:rPr>
        <w:t> </w:t>
      </w:r>
      <w:r>
        <w:rPr>
          <w:sz w:val="20"/>
        </w:rPr>
        <w:t>to</w:t>
      </w:r>
      <w:r>
        <w:rPr>
          <w:spacing w:val="-26"/>
          <w:sz w:val="20"/>
        </w:rPr>
        <w:t> </w:t>
      </w:r>
      <w:r>
        <w:rPr>
          <w:sz w:val="20"/>
        </w:rPr>
        <w:t>120</w:t>
      </w:r>
      <w:r>
        <w:rPr>
          <w:spacing w:val="-26"/>
          <w:sz w:val="20"/>
        </w:rPr>
        <w:t> </w:t>
      </w:r>
      <w:r>
        <w:rPr>
          <w:sz w:val="20"/>
        </w:rPr>
        <w:t>°C</w:t>
      </w:r>
      <w:r>
        <w:rPr>
          <w:spacing w:val="-26"/>
          <w:sz w:val="20"/>
        </w:rPr>
        <w:t> </w:t>
      </w:r>
      <w:r>
        <w:rPr>
          <w:sz w:val="20"/>
        </w:rPr>
        <w:t>or less.</w:t>
      </w:r>
    </w:p>
    <w:p>
      <w:pPr>
        <w:pStyle w:val="ListParagraph"/>
        <w:numPr>
          <w:ilvl w:val="0"/>
          <w:numId w:val="27"/>
        </w:numPr>
        <w:tabs>
          <w:tab w:pos="486" w:val="left" w:leader="none"/>
        </w:tabs>
        <w:spacing w:line="249" w:lineRule="auto" w:before="35" w:after="0"/>
        <w:ind w:left="125" w:right="2854" w:firstLine="0"/>
        <w:jc w:val="left"/>
        <w:rPr>
          <w:sz w:val="20"/>
        </w:rPr>
      </w:pPr>
      <w:r>
        <w:rPr>
          <w:w w:val="99"/>
          <w:sz w:val="20"/>
        </w:rPr>
        <w:br w:type="column"/>
      </w:r>
      <w:r>
        <w:rPr>
          <w:sz w:val="20"/>
        </w:rPr>
        <w:t>Invert each vial several times while still warm. Place the vials into a rack and cool to room temperature.</w:t>
      </w:r>
    </w:p>
    <w:p>
      <w:pPr>
        <w:spacing w:line="249" w:lineRule="auto" w:before="121"/>
        <w:ind w:left="125" w:right="3014" w:firstLine="0"/>
        <w:jc w:val="left"/>
        <w:rPr>
          <w:sz w:val="20"/>
        </w:rPr>
      </w:pPr>
      <w:r>
        <w:rPr>
          <w:sz w:val="20"/>
        </w:rPr>
        <w:t>Proceed to </w:t>
      </w:r>
      <w:r>
        <w:rPr>
          <w:color w:val="0000FF"/>
          <w:sz w:val="20"/>
        </w:rPr>
        <w:t>Colorimetric Determination Method 8000</w:t>
      </w:r>
      <w:r>
        <w:rPr>
          <w:sz w:val="20"/>
        </w:rPr>
        <w:t>.</w:t>
      </w:r>
    </w:p>
    <w:p>
      <w:pPr>
        <w:spacing w:after="0" w:line="249" w:lineRule="auto"/>
        <w:jc w:val="left"/>
        <w:rPr>
          <w:sz w:val="20"/>
        </w:rPr>
        <w:sectPr>
          <w:type w:val="continuous"/>
          <w:pgSz w:w="11900" w:h="15840"/>
          <w:pgMar w:top="0" w:bottom="0" w:left="960" w:right="560"/>
          <w:cols w:num="3" w:equalWidth="0">
            <w:col w:w="2344" w:space="222"/>
            <w:col w:w="2459" w:space="106"/>
            <w:col w:w="524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BodyText"/>
        <w:ind w:left="126"/>
        <w:rPr>
          <w:sz w:val="20"/>
        </w:rPr>
      </w:pPr>
      <w:r>
        <w:rPr>
          <w:sz w:val="20"/>
        </w:rPr>
        <w:pict>
          <v:shape style="width:504pt;height:19.25pt;mso-position-horizontal-relative:char;mso-position-vertical-relative:line" type="#_x0000_t202" filled="true" fillcolor="#bcbec0" stroked="false">
            <w10:anchorlock/>
            <v:textbox inset="0,0,0,0">
              <w:txbxContent>
                <w:p>
                  <w:pPr>
                    <w:tabs>
                      <w:tab w:pos="8162" w:val="left" w:leader="none"/>
                    </w:tabs>
                    <w:spacing w:before="0"/>
                    <w:ind w:left="138" w:right="0" w:firstLine="0"/>
                    <w:jc w:val="left"/>
                    <w:rPr>
                      <w:b/>
                      <w:sz w:val="28"/>
                    </w:rPr>
                  </w:pPr>
                  <w:r>
                    <w:rPr>
                      <w:b/>
                      <w:color w:val="FFFFFF"/>
                      <w:sz w:val="28"/>
                    </w:rPr>
                    <w:t>Colorimetric</w:t>
                  </w:r>
                  <w:r>
                    <w:rPr>
                      <w:b/>
                      <w:color w:val="FFFFFF"/>
                      <w:spacing w:val="-1"/>
                      <w:sz w:val="28"/>
                    </w:rPr>
                    <w:t> </w:t>
                  </w:r>
                  <w:r>
                    <w:rPr>
                      <w:b/>
                      <w:color w:val="FFFFFF"/>
                      <w:sz w:val="28"/>
                    </w:rPr>
                    <w:t>Determination</w:t>
                    <w:tab/>
                    <w:t>Method</w:t>
                  </w:r>
                  <w:r>
                    <w:rPr>
                      <w:b/>
                      <w:color w:val="FFFFFF"/>
                      <w:spacing w:val="-4"/>
                      <w:sz w:val="28"/>
                    </w:rPr>
                    <w:t> </w:t>
                  </w:r>
                  <w:r>
                    <w:rPr>
                      <w:b/>
                      <w:color w:val="FFFFFF"/>
                      <w:sz w:val="28"/>
                    </w:rPr>
                    <w:t>8000</w:t>
                  </w:r>
                </w:p>
              </w:txbxContent>
            </v:textbox>
            <v:fill type="solid"/>
          </v:shape>
        </w:pict>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3"/>
        </w:rPr>
      </w:pPr>
    </w:p>
    <w:tbl>
      <w:tblPr>
        <w:tblW w:w="0" w:type="auto"/>
        <w:jc w:val="left"/>
        <w:tblInd w:w="2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43"/>
      </w:tblGrid>
      <w:tr>
        <w:trPr>
          <w:trHeight w:val="216" w:hRule="exact"/>
        </w:trPr>
        <w:tc>
          <w:tcPr>
            <w:tcW w:w="2143" w:type="dxa"/>
            <w:tcBorders>
              <w:left w:val="single" w:sz="28" w:space="0" w:color="FFFFFF"/>
            </w:tcBorders>
            <w:shd w:val="clear" w:color="auto" w:fill="231F20"/>
          </w:tcPr>
          <w:p>
            <w:pPr>
              <w:pStyle w:val="TableParagraph"/>
              <w:spacing w:before="5"/>
              <w:ind w:right="0"/>
              <w:jc w:val="left"/>
              <w:rPr>
                <w:rFonts w:ascii="Arial"/>
                <w:sz w:val="4"/>
              </w:rPr>
            </w:pPr>
          </w:p>
          <w:p>
            <w:pPr>
              <w:pStyle w:val="TableParagraph"/>
              <w:spacing w:line="121" w:lineRule="exact" w:before="0"/>
              <w:ind w:left="78" w:right="0"/>
              <w:jc w:val="left"/>
              <w:rPr>
                <w:rFonts w:ascii="Arial"/>
                <w:sz w:val="11"/>
              </w:rPr>
            </w:pPr>
            <w:r>
              <w:rPr>
                <w:rFonts w:ascii="Arial"/>
                <w:position w:val="-1"/>
                <w:sz w:val="11"/>
              </w:rPr>
              <w:drawing>
                <wp:inline distT="0" distB="0" distL="0" distR="0">
                  <wp:extent cx="149838" cy="74675"/>
                  <wp:effectExtent l="0" t="0" r="0" b="0"/>
                  <wp:docPr id="155" name="image214.png" descr=""/>
                  <wp:cNvGraphicFramePr>
                    <a:graphicFrameLocks noChangeAspect="1"/>
                  </wp:cNvGraphicFramePr>
                  <a:graphic>
                    <a:graphicData uri="http://schemas.openxmlformats.org/drawingml/2006/picture">
                      <pic:pic>
                        <pic:nvPicPr>
                          <pic:cNvPr id="156" name="image214.png"/>
                          <pic:cNvPicPr/>
                        </pic:nvPicPr>
                        <pic:blipFill>
                          <a:blip r:embed="rId257" cstate="print"/>
                          <a:stretch>
                            <a:fillRect/>
                          </a:stretch>
                        </pic:blipFill>
                        <pic:spPr>
                          <a:xfrm>
                            <a:off x="0" y="0"/>
                            <a:ext cx="149838" cy="74675"/>
                          </a:xfrm>
                          <a:prstGeom prst="rect">
                            <a:avLst/>
                          </a:prstGeom>
                        </pic:spPr>
                      </pic:pic>
                    </a:graphicData>
                  </a:graphic>
                </wp:inline>
              </w:drawing>
            </w:r>
            <w:r>
              <w:rPr>
                <w:rFonts w:ascii="Arial"/>
                <w:position w:val="-1"/>
                <w:sz w:val="11"/>
              </w:rPr>
            </w:r>
            <w:r>
              <w:rPr>
                <w:rFonts w:ascii="Times New Roman"/>
                <w:spacing w:val="96"/>
                <w:position w:val="-1"/>
                <w:sz w:val="12"/>
              </w:rPr>
              <w:t> </w:t>
            </w:r>
            <w:r>
              <w:rPr>
                <w:rFonts w:ascii="Arial"/>
                <w:spacing w:val="96"/>
                <w:position w:val="-1"/>
                <w:sz w:val="12"/>
              </w:rPr>
              <w:drawing>
                <wp:inline distT="0" distB="0" distL="0" distR="0">
                  <wp:extent cx="215763" cy="76200"/>
                  <wp:effectExtent l="0" t="0" r="0" b="0"/>
                  <wp:docPr id="157" name="image215.png" descr=""/>
                  <wp:cNvGraphicFramePr>
                    <a:graphicFrameLocks noChangeAspect="1"/>
                  </wp:cNvGraphicFramePr>
                  <a:graphic>
                    <a:graphicData uri="http://schemas.openxmlformats.org/drawingml/2006/picture">
                      <pic:pic>
                        <pic:nvPicPr>
                          <pic:cNvPr id="158" name="image215.png"/>
                          <pic:cNvPicPr/>
                        </pic:nvPicPr>
                        <pic:blipFill>
                          <a:blip r:embed="rId258" cstate="print"/>
                          <a:stretch>
                            <a:fillRect/>
                          </a:stretch>
                        </pic:blipFill>
                        <pic:spPr>
                          <a:xfrm>
                            <a:off x="0" y="0"/>
                            <a:ext cx="215763" cy="76200"/>
                          </a:xfrm>
                          <a:prstGeom prst="rect">
                            <a:avLst/>
                          </a:prstGeom>
                        </pic:spPr>
                      </pic:pic>
                    </a:graphicData>
                  </a:graphic>
                </wp:inline>
              </w:drawing>
            </w:r>
            <w:r>
              <w:rPr>
                <w:rFonts w:ascii="Arial"/>
                <w:spacing w:val="96"/>
                <w:position w:val="-1"/>
                <w:sz w:val="12"/>
              </w:rPr>
            </w:r>
            <w:r>
              <w:rPr>
                <w:rFonts w:ascii="Times New Roman"/>
                <w:spacing w:val="37"/>
                <w:position w:val="-1"/>
                <w:sz w:val="11"/>
              </w:rPr>
              <w:t> </w:t>
            </w:r>
            <w:r>
              <w:rPr>
                <w:rFonts w:ascii="Arial"/>
                <w:spacing w:val="37"/>
                <w:position w:val="-1"/>
                <w:sz w:val="11"/>
              </w:rPr>
              <w:drawing>
                <wp:inline distT="0" distB="0" distL="0" distR="0">
                  <wp:extent cx="196333" cy="74675"/>
                  <wp:effectExtent l="0" t="0" r="0" b="0"/>
                  <wp:docPr id="159" name="image216.png" descr=""/>
                  <wp:cNvGraphicFramePr>
                    <a:graphicFrameLocks noChangeAspect="1"/>
                  </wp:cNvGraphicFramePr>
                  <a:graphic>
                    <a:graphicData uri="http://schemas.openxmlformats.org/drawingml/2006/picture">
                      <pic:pic>
                        <pic:nvPicPr>
                          <pic:cNvPr id="160" name="image216.png"/>
                          <pic:cNvPicPr/>
                        </pic:nvPicPr>
                        <pic:blipFill>
                          <a:blip r:embed="rId259" cstate="print"/>
                          <a:stretch>
                            <a:fillRect/>
                          </a:stretch>
                        </pic:blipFill>
                        <pic:spPr>
                          <a:xfrm>
                            <a:off x="0" y="0"/>
                            <a:ext cx="196333" cy="74675"/>
                          </a:xfrm>
                          <a:prstGeom prst="rect">
                            <a:avLst/>
                          </a:prstGeom>
                        </pic:spPr>
                      </pic:pic>
                    </a:graphicData>
                  </a:graphic>
                </wp:inline>
              </w:drawing>
            </w:r>
            <w:r>
              <w:rPr>
                <w:rFonts w:ascii="Arial"/>
                <w:spacing w:val="37"/>
                <w:position w:val="-1"/>
                <w:sz w:val="11"/>
              </w:rPr>
            </w:r>
          </w:p>
        </w:tc>
      </w:tr>
      <w:tr>
        <w:trPr>
          <w:trHeight w:val="96" w:hRule="exact"/>
        </w:trPr>
        <w:tc>
          <w:tcPr>
            <w:tcW w:w="2143" w:type="dxa"/>
            <w:tcBorders>
              <w:left w:val="single" w:sz="28" w:space="0" w:color="FFFFFF"/>
            </w:tcBorders>
            <w:shd w:val="clear" w:color="auto" w:fill="231F20"/>
          </w:tcPr>
          <w:p>
            <w:pPr/>
          </w:p>
        </w:tc>
      </w:tr>
      <w:tr>
        <w:trPr>
          <w:trHeight w:val="216" w:hRule="exact"/>
        </w:trPr>
        <w:tc>
          <w:tcPr>
            <w:tcW w:w="2143" w:type="dxa"/>
            <w:tcBorders>
              <w:left w:val="single" w:sz="28" w:space="0" w:color="FFFFFF"/>
            </w:tcBorders>
            <w:shd w:val="clear" w:color="auto" w:fill="231F20"/>
          </w:tcPr>
          <w:p>
            <w:pPr>
              <w:pStyle w:val="TableParagraph"/>
              <w:spacing w:before="2"/>
              <w:ind w:right="0"/>
              <w:jc w:val="left"/>
              <w:rPr>
                <w:rFonts w:ascii="Arial"/>
                <w:sz w:val="4"/>
              </w:rPr>
            </w:pPr>
          </w:p>
          <w:p>
            <w:pPr>
              <w:pStyle w:val="TableParagraph"/>
              <w:spacing w:line="121" w:lineRule="exact" w:before="0"/>
              <w:ind w:left="84" w:right="0"/>
              <w:jc w:val="left"/>
              <w:rPr>
                <w:rFonts w:ascii="Arial"/>
                <w:sz w:val="11"/>
              </w:rPr>
            </w:pPr>
            <w:r>
              <w:rPr>
                <w:rFonts w:ascii="Arial"/>
                <w:position w:val="-1"/>
                <w:sz w:val="11"/>
              </w:rPr>
              <w:drawing>
                <wp:inline distT="0" distB="0" distL="0" distR="0">
                  <wp:extent cx="164763" cy="74675"/>
                  <wp:effectExtent l="0" t="0" r="0" b="0"/>
                  <wp:docPr id="161" name="image217.png" descr=""/>
                  <wp:cNvGraphicFramePr>
                    <a:graphicFrameLocks noChangeAspect="1"/>
                  </wp:cNvGraphicFramePr>
                  <a:graphic>
                    <a:graphicData uri="http://schemas.openxmlformats.org/drawingml/2006/picture">
                      <pic:pic>
                        <pic:nvPicPr>
                          <pic:cNvPr id="162" name="image217.png"/>
                          <pic:cNvPicPr/>
                        </pic:nvPicPr>
                        <pic:blipFill>
                          <a:blip r:embed="rId260" cstate="print"/>
                          <a:stretch>
                            <a:fillRect/>
                          </a:stretch>
                        </pic:blipFill>
                        <pic:spPr>
                          <a:xfrm>
                            <a:off x="0" y="0"/>
                            <a:ext cx="164763" cy="74675"/>
                          </a:xfrm>
                          <a:prstGeom prst="rect">
                            <a:avLst/>
                          </a:prstGeom>
                        </pic:spPr>
                      </pic:pic>
                    </a:graphicData>
                  </a:graphic>
                </wp:inline>
              </w:drawing>
            </w:r>
            <w:r>
              <w:rPr>
                <w:rFonts w:ascii="Arial"/>
                <w:position w:val="-1"/>
                <w:sz w:val="11"/>
              </w:rPr>
            </w:r>
            <w:r>
              <w:rPr>
                <w:rFonts w:ascii="Times New Roman"/>
                <w:spacing w:val="24"/>
                <w:position w:val="-1"/>
                <w:sz w:val="12"/>
              </w:rPr>
              <w:t> </w:t>
            </w:r>
            <w:r>
              <w:rPr>
                <w:rFonts w:ascii="Arial"/>
                <w:spacing w:val="24"/>
                <w:position w:val="-1"/>
                <w:sz w:val="12"/>
              </w:rPr>
              <w:drawing>
                <wp:inline distT="0" distB="0" distL="0" distR="0">
                  <wp:extent cx="215727" cy="76200"/>
                  <wp:effectExtent l="0" t="0" r="0" b="0"/>
                  <wp:docPr id="163" name="image218.png" descr=""/>
                  <wp:cNvGraphicFramePr>
                    <a:graphicFrameLocks noChangeAspect="1"/>
                  </wp:cNvGraphicFramePr>
                  <a:graphic>
                    <a:graphicData uri="http://schemas.openxmlformats.org/drawingml/2006/picture">
                      <pic:pic>
                        <pic:nvPicPr>
                          <pic:cNvPr id="164" name="image218.png"/>
                          <pic:cNvPicPr/>
                        </pic:nvPicPr>
                        <pic:blipFill>
                          <a:blip r:embed="rId261" cstate="print"/>
                          <a:stretch>
                            <a:fillRect/>
                          </a:stretch>
                        </pic:blipFill>
                        <pic:spPr>
                          <a:xfrm>
                            <a:off x="0" y="0"/>
                            <a:ext cx="215727" cy="76200"/>
                          </a:xfrm>
                          <a:prstGeom prst="rect">
                            <a:avLst/>
                          </a:prstGeom>
                        </pic:spPr>
                      </pic:pic>
                    </a:graphicData>
                  </a:graphic>
                </wp:inline>
              </w:drawing>
            </w:r>
            <w:r>
              <w:rPr>
                <w:rFonts w:ascii="Arial"/>
                <w:spacing w:val="24"/>
                <w:position w:val="-1"/>
                <w:sz w:val="12"/>
              </w:rPr>
            </w:r>
            <w:r>
              <w:rPr>
                <w:rFonts w:ascii="Times New Roman"/>
                <w:spacing w:val="37"/>
                <w:position w:val="-1"/>
                <w:sz w:val="11"/>
              </w:rPr>
              <w:t> </w:t>
            </w:r>
            <w:r>
              <w:rPr>
                <w:rFonts w:ascii="Arial"/>
                <w:spacing w:val="37"/>
                <w:position w:val="-1"/>
                <w:sz w:val="11"/>
              </w:rPr>
              <w:drawing>
                <wp:inline distT="0" distB="0" distL="0" distR="0">
                  <wp:extent cx="123482" cy="73151"/>
                  <wp:effectExtent l="0" t="0" r="0" b="0"/>
                  <wp:docPr id="165" name="image219.png" descr=""/>
                  <wp:cNvGraphicFramePr>
                    <a:graphicFrameLocks noChangeAspect="1"/>
                  </wp:cNvGraphicFramePr>
                  <a:graphic>
                    <a:graphicData uri="http://schemas.openxmlformats.org/drawingml/2006/picture">
                      <pic:pic>
                        <pic:nvPicPr>
                          <pic:cNvPr id="166" name="image219.png"/>
                          <pic:cNvPicPr/>
                        </pic:nvPicPr>
                        <pic:blipFill>
                          <a:blip r:embed="rId262" cstate="print"/>
                          <a:stretch>
                            <a:fillRect/>
                          </a:stretch>
                        </pic:blipFill>
                        <pic:spPr>
                          <a:xfrm>
                            <a:off x="0" y="0"/>
                            <a:ext cx="123482" cy="73151"/>
                          </a:xfrm>
                          <a:prstGeom prst="rect">
                            <a:avLst/>
                          </a:prstGeom>
                        </pic:spPr>
                      </pic:pic>
                    </a:graphicData>
                  </a:graphic>
                </wp:inline>
              </w:drawing>
            </w:r>
            <w:r>
              <w:rPr>
                <w:rFonts w:ascii="Arial"/>
                <w:spacing w:val="37"/>
                <w:position w:val="-1"/>
                <w:sz w:val="11"/>
              </w:rPr>
            </w:r>
          </w:p>
        </w:tc>
      </w:tr>
      <w:tr>
        <w:trPr>
          <w:trHeight w:val="92" w:hRule="exact"/>
        </w:trPr>
        <w:tc>
          <w:tcPr>
            <w:tcW w:w="2143" w:type="dxa"/>
            <w:tcBorders>
              <w:left w:val="single" w:sz="28" w:space="0" w:color="FFFFFF"/>
              <w:bottom w:val="single" w:sz="0" w:space="0" w:color="FFFFFF"/>
            </w:tcBorders>
            <w:shd w:val="clear" w:color="auto" w:fill="231F20"/>
          </w:tcPr>
          <w:p>
            <w:pPr/>
          </w:p>
        </w:tc>
      </w:tr>
      <w:tr>
        <w:trPr>
          <w:trHeight w:val="238" w:hRule="exact"/>
        </w:trPr>
        <w:tc>
          <w:tcPr>
            <w:tcW w:w="2143" w:type="dxa"/>
            <w:tcBorders>
              <w:top w:val="single" w:sz="0" w:space="0" w:color="FFFFFF"/>
              <w:left w:val="single" w:sz="28" w:space="0" w:color="FFFFFF"/>
              <w:bottom w:val="single" w:sz="17" w:space="0" w:color="FFFFFF"/>
            </w:tcBorders>
            <w:shd w:val="clear" w:color="auto" w:fill="231F20"/>
          </w:tcPr>
          <w:p>
            <w:pPr>
              <w:pStyle w:val="TableParagraph"/>
              <w:spacing w:before="3"/>
              <w:ind w:right="0"/>
              <w:jc w:val="left"/>
              <w:rPr>
                <w:rFonts w:ascii="Arial"/>
                <w:sz w:val="4"/>
              </w:rPr>
            </w:pPr>
          </w:p>
          <w:p>
            <w:pPr>
              <w:pStyle w:val="TableParagraph"/>
              <w:spacing w:line="121" w:lineRule="exact" w:before="0"/>
              <w:ind w:left="90" w:right="0"/>
              <w:jc w:val="left"/>
              <w:rPr>
                <w:rFonts w:ascii="Arial"/>
                <w:sz w:val="11"/>
              </w:rPr>
            </w:pPr>
            <w:r>
              <w:rPr>
                <w:rFonts w:ascii="Arial"/>
                <w:position w:val="-1"/>
                <w:sz w:val="11"/>
              </w:rPr>
              <w:pict>
                <v:group style="width:15.35pt;height:5.85pt;mso-position-horizontal-relative:char;mso-position-vertical-relative:line" coordorigin="0,0" coordsize="307,117">
                  <v:shape style="position:absolute;left:38;top:0;width:269;height:117" type="#_x0000_t75" stroked="false">
                    <v:imagedata r:id="rId263" o:title=""/>
                  </v:shape>
                  <v:shape style="position:absolute;left:0;top:0;width:256;height:117" type="#_x0000_t75" stroked="false">
                    <v:imagedata r:id="rId264" o:title=""/>
                  </v:shape>
                </v:group>
              </w:pict>
            </w:r>
            <w:r>
              <w:rPr>
                <w:rFonts w:ascii="Arial"/>
                <w:position w:val="-1"/>
                <w:sz w:val="11"/>
              </w:rPr>
            </w:r>
            <w:r>
              <w:rPr>
                <w:rFonts w:ascii="Times New Roman"/>
                <w:spacing w:val="16"/>
                <w:position w:val="-1"/>
                <w:sz w:val="12"/>
              </w:rPr>
              <w:t> </w:t>
            </w:r>
            <w:r>
              <w:rPr>
                <w:rFonts w:ascii="Arial"/>
                <w:spacing w:val="16"/>
                <w:position w:val="-1"/>
                <w:sz w:val="12"/>
              </w:rPr>
              <w:pict>
                <v:group style="width:19.650pt;height:6.05pt;mso-position-horizontal-relative:char;mso-position-vertical-relative:line" coordorigin="0,0" coordsize="393,121">
                  <v:shape style="position:absolute;left:38;top:0;width:355;height:121" type="#_x0000_t75" stroked="false">
                    <v:imagedata r:id="rId265" o:title=""/>
                  </v:shape>
                  <v:shape style="position:absolute;left:0;top:0;width:343;height:121" type="#_x0000_t75" stroked="false">
                    <v:imagedata r:id="rId266" o:title=""/>
                  </v:shape>
                </v:group>
              </w:pict>
            </w:r>
            <w:r>
              <w:rPr>
                <w:rFonts w:ascii="Arial"/>
                <w:spacing w:val="16"/>
                <w:position w:val="-1"/>
                <w:sz w:val="12"/>
              </w:rPr>
            </w:r>
            <w:r>
              <w:rPr>
                <w:rFonts w:ascii="Times New Roman"/>
                <w:spacing w:val="-26"/>
                <w:position w:val="-1"/>
                <w:sz w:val="11"/>
              </w:rPr>
              <w:t> </w:t>
            </w:r>
            <w:r>
              <w:rPr>
                <w:rFonts w:ascii="Arial"/>
                <w:spacing w:val="-26"/>
                <w:position w:val="-1"/>
                <w:sz w:val="11"/>
              </w:rPr>
              <w:pict>
                <v:group style="width:13.15pt;height:5.75pt;mso-position-horizontal-relative:char;mso-position-vertical-relative:line" coordorigin="0,0" coordsize="263,115">
                  <v:shape style="position:absolute;left:38;top:0;width:225;height:115" type="#_x0000_t75" stroked="false">
                    <v:imagedata r:id="rId267" o:title=""/>
                  </v:shape>
                  <v:shape style="position:absolute;left:0;top:0;width:212;height:115" type="#_x0000_t75" stroked="false">
                    <v:imagedata r:id="rId199" o:title=""/>
                  </v:shape>
                </v:group>
              </w:pict>
            </w:r>
            <w:r>
              <w:rPr>
                <w:rFonts w:ascii="Arial"/>
                <w:spacing w:val="-26"/>
                <w:position w:val="-1"/>
                <w:sz w:val="11"/>
              </w:rPr>
            </w:r>
          </w:p>
        </w:tc>
      </w:tr>
    </w:tbl>
    <w:p>
      <w:pPr>
        <w:pStyle w:val="BodyText"/>
        <w:rPr>
          <w:sz w:val="20"/>
        </w:rPr>
      </w:pPr>
    </w:p>
    <w:p>
      <w:pPr>
        <w:pStyle w:val="BodyText"/>
        <w:rPr>
          <w:sz w:val="20"/>
        </w:rPr>
      </w:pPr>
    </w:p>
    <w:p>
      <w:pPr>
        <w:pStyle w:val="BodyText"/>
        <w:rPr>
          <w:sz w:val="20"/>
        </w:rPr>
      </w:pPr>
    </w:p>
    <w:p>
      <w:pPr>
        <w:spacing w:after="0"/>
        <w:rPr>
          <w:sz w:val="20"/>
        </w:rPr>
        <w:sectPr>
          <w:type w:val="continuous"/>
          <w:pgSz w:w="11900" w:h="15840"/>
          <w:pgMar w:top="0" w:bottom="0" w:left="960" w:right="560"/>
        </w:sectPr>
      </w:pPr>
    </w:p>
    <w:p>
      <w:pPr>
        <w:pStyle w:val="BodyText"/>
        <w:spacing w:before="4"/>
        <w:rPr>
          <w:sz w:val="19"/>
        </w:rPr>
      </w:pPr>
    </w:p>
    <w:p>
      <w:pPr>
        <w:pStyle w:val="ListParagraph"/>
        <w:numPr>
          <w:ilvl w:val="0"/>
          <w:numId w:val="28"/>
        </w:numPr>
        <w:tabs>
          <w:tab w:pos="486" w:val="left" w:leader="none"/>
        </w:tabs>
        <w:spacing w:line="249" w:lineRule="auto" w:before="0" w:after="0"/>
        <w:ind w:left="126" w:right="0" w:firstLine="0"/>
        <w:jc w:val="left"/>
        <w:rPr>
          <w:sz w:val="20"/>
        </w:rPr>
      </w:pPr>
      <w:r>
        <w:rPr/>
        <w:pict>
          <v:group style="position:absolute;margin-left:54.299999pt;margin-top:-127.720016pt;width:122.4pt;height:122.4pt;mso-position-horizontal-relative:page;mso-position-vertical-relative:paragraph;z-index:-1517752" coordorigin="1086,-2554" coordsize="2448,2448">
            <v:shape style="position:absolute;left:1315;top:-2389;width:1991;height:488" type="#_x0000_t75" stroked="false">
              <v:imagedata r:id="rId144" o:title=""/>
            </v:shape>
            <v:shape style="position:absolute;left:1086;top:-2554;width:2448;height:2448" coordorigin="1086,-2554" coordsize="2448,2448" path="m3534,-2554l3414,-2554,3414,-2434,3414,-226,1206,-226,1206,-2434,3414,-2434,3414,-2554,1206,-2554,1086,-2554,1086,-226,1086,-166,1086,-106,3414,-106,3474,-106,3534,-106,3534,-2434,3534,-2494,3534,-2554e" filled="true" fillcolor="#b3b3b3" stroked="false">
              <v:path arrowok="t"/>
              <v:fill type="solid"/>
            </v:shape>
            <w10:wrap type="none"/>
          </v:group>
        </w:pict>
      </w:r>
      <w:r>
        <w:rPr/>
        <w:drawing>
          <wp:anchor distT="0" distB="0" distL="0" distR="0" allowOverlap="1" layoutInCell="1" locked="0" behindDoc="0" simplePos="0" relativeHeight="14080">
            <wp:simplePos x="0" y="0"/>
            <wp:positionH relativeFrom="page">
              <wp:posOffset>1168908</wp:posOffset>
            </wp:positionH>
            <wp:positionV relativeFrom="paragraph">
              <wp:posOffset>-492760</wp:posOffset>
            </wp:positionV>
            <wp:extent cx="592824" cy="276701"/>
            <wp:effectExtent l="0" t="0" r="0" b="0"/>
            <wp:wrapNone/>
            <wp:docPr id="167" name="image131.png" descr=""/>
            <wp:cNvGraphicFramePr>
              <a:graphicFrameLocks noChangeAspect="1"/>
            </wp:cNvGraphicFramePr>
            <a:graphic>
              <a:graphicData uri="http://schemas.openxmlformats.org/drawingml/2006/picture">
                <pic:pic>
                  <pic:nvPicPr>
                    <pic:cNvPr id="168" name="image131.png"/>
                    <pic:cNvPicPr/>
                  </pic:nvPicPr>
                  <pic:blipFill>
                    <a:blip r:embed="rId145" cstate="print"/>
                    <a:stretch>
                      <a:fillRect/>
                    </a:stretch>
                  </pic:blipFill>
                  <pic:spPr>
                    <a:xfrm>
                      <a:off x="0" y="0"/>
                      <a:ext cx="592824" cy="276701"/>
                    </a:xfrm>
                    <a:prstGeom prst="rect">
                      <a:avLst/>
                    </a:prstGeom>
                  </pic:spPr>
                </pic:pic>
              </a:graphicData>
            </a:graphic>
          </wp:anchor>
        </w:drawing>
      </w:r>
      <w:r>
        <w:rPr>
          <w:sz w:val="20"/>
        </w:rPr>
        <w:t>Select the ultra-low range, low range, or</w:t>
      </w:r>
      <w:r>
        <w:rPr>
          <w:spacing w:val="-27"/>
          <w:sz w:val="20"/>
        </w:rPr>
        <w:t> </w:t>
      </w:r>
      <w:r>
        <w:rPr>
          <w:sz w:val="20"/>
        </w:rPr>
        <w:t>high range</w:t>
      </w:r>
      <w:r>
        <w:rPr>
          <w:spacing w:val="-9"/>
          <w:sz w:val="20"/>
        </w:rPr>
        <w:t> </w:t>
      </w:r>
      <w:r>
        <w:rPr>
          <w:sz w:val="20"/>
        </w:rPr>
        <w:t>test.</w:t>
      </w:r>
    </w:p>
    <w:p>
      <w:pPr>
        <w:pStyle w:val="BodyText"/>
        <w:spacing w:before="4"/>
        <w:rPr>
          <w:sz w:val="19"/>
        </w:rPr>
      </w:pPr>
      <w:r>
        <w:rPr/>
        <w:br w:type="column"/>
      </w:r>
      <w:r>
        <w:rPr>
          <w:sz w:val="19"/>
        </w:rPr>
      </w:r>
    </w:p>
    <w:p>
      <w:pPr>
        <w:pStyle w:val="ListParagraph"/>
        <w:numPr>
          <w:ilvl w:val="0"/>
          <w:numId w:val="28"/>
        </w:numPr>
        <w:tabs>
          <w:tab w:pos="486" w:val="left" w:leader="none"/>
        </w:tabs>
        <w:spacing w:line="249" w:lineRule="auto" w:before="0" w:after="0"/>
        <w:ind w:left="126" w:right="0" w:firstLine="0"/>
        <w:jc w:val="left"/>
        <w:rPr>
          <w:sz w:val="20"/>
        </w:rPr>
      </w:pPr>
      <w:r>
        <w:rPr/>
        <w:pict>
          <v:group style="position:absolute;margin-left:220.421997pt;margin-top:-112.432014pt;width:46.2pt;height:86.45pt;mso-position-horizontal-relative:page;mso-position-vertical-relative:paragraph;z-index:14104" coordorigin="4408,-2249" coordsize="924,1729">
            <v:shape style="position:absolute;left:4789;top:-1765;width:533;height:1029" coordorigin="4789,-1765" coordsize="533,1029" path="m4814,-1758l4789,-1326,5138,-737,5132,-794,5131,-866,5134,-950,5141,-1044,5153,-1143,5169,-1247,5187,-1341,5206,-1431,5228,-1516,5251,-1593,5275,-1661,5298,-1719,5322,-1765,5264,-1757,5194,-1751,5116,-1746,5034,-1745,4977,-1746,4921,-1749,4867,-1753,4814,-1758xe" filled="false" stroked="true" strokeweight=".99pt" strokecolor="#231f20">
              <v:path arrowok="t"/>
            </v:shape>
            <v:shape style="position:absolute;left:4501;top:-2053;width:699;height:1519" coordorigin="4501,-2053" coordsize="699,1519" path="m4625,-2053l4554,-2028,4509,-1968,4501,-1931,4969,-613,4993,-573,5030,-546,5074,-534,5120,-541,5160,-565,5188,-602,5200,-645,5194,-691,4726,-2012,4697,-2035,4662,-2049,4625,-2053xe" filled="true" fillcolor="#ffffff" stroked="false">
              <v:path arrowok="t"/>
              <v:fill type="solid"/>
            </v:shape>
            <v:shape style="position:absolute;left:4501;top:-2053;width:699;height:1519" coordorigin="4501,-2053" coordsize="699,1519" path="m5194,-691l4726,-2012,4697,-2035,4662,-2049,4625,-2053,4587,-2046,4554,-2028,4527,-2001,4509,-1968,4501,-1931,4969,-613,4993,-573,5030,-546,5074,-534,5120,-541,5160,-565,5188,-602,5200,-645,5194,-691xe" filled="false" stroked="true" strokeweight="1.35pt" strokecolor="#231f20">
              <v:path arrowok="t"/>
            </v:shape>
            <v:shape style="position:absolute;left:4408;top:-2249;width:313;height:277" type="#_x0000_t75" stroked="false">
              <v:imagedata r:id="rId268" o:title=""/>
            </v:shape>
            <v:shape style="position:absolute;left:4478;top:-1774;width:762;height:1119" coordorigin="4478,-1774" coordsize="762,1119" path="m4560,-1763l4479,-896,4489,-865,4524,-832,4581,-799,4658,-767,4752,-738,4859,-712,4976,-691,4988,-689,5005,-684,5031,-674,5068,-656,5062,-672,5057,-714,5052,-778,5050,-860,5051,-956,5057,-1063,5068,-1177,5085,-1287,5106,-1386,5130,-1470,5157,-1538,5184,-1585,5212,-1610,5239,-1610,5207,-1631,5170,-1649,5128,-1664,5084,-1675,5052,-1682,5021,-1687,4994,-1689,4974,-1690,4970,-1691,4958,-1692,4943,-1693,4926,-1693,4699,-1704,4698,-1705,4633,-1705,4596,-1711,4573,-1725,4564,-1744,4562,-1756,4560,-1763xm4478,-899l4479,-896,4479,-898,4478,-899xm4695,-1708l4690,-1706,4686,-1706,4633,-1705,4698,-1705,4695,-1708xm4555,-1774l4560,-1763,4560,-1771,4555,-1774xe" filled="true" fillcolor="#ffffff" stroked="false">
              <v:path arrowok="t"/>
              <v:fill type="solid"/>
            </v:shape>
            <v:shape style="position:absolute;left:4478;top:-1774;width:762;height:1119" coordorigin="4478,-1774" coordsize="762,1119" path="m4479,-896l4560,-1771,4555,-1774,4562,-1756,4564,-1744,4573,-1725,4596,-1711,4633,-1705,4686,-1706,4690,-1706,4695,-1708,4699,-1704,4753,-1701,4810,-1699,4868,-1696,4926,-1693,4943,-1693,4958,-1692,4970,-1691,4974,-1690,4994,-1689,5084,-1675,5170,-1649,5239,-1610,5212,-1610,5184,-1585,5130,-1470,5106,-1386,5085,-1287,5068,-1177,5057,-1063,5051,-956,5050,-860,5052,-778,5057,-714,5062,-672,5068,-656,5031,-674,5005,-684,4988,-689,4976,-691,4859,-712,4752,-738,4658,-767,4581,-799,4524,-832,4479,-896,4479,-898,4478,-899,4479,-896xe" filled="false" stroked="true" strokeweight=".99pt" strokecolor="#231f20">
              <v:path arrowok="t"/>
            </v:shape>
            <w10:wrap type="none"/>
          </v:group>
        </w:pict>
      </w:r>
      <w:r>
        <w:rPr/>
        <w:pict>
          <v:shape style="position:absolute;margin-left:182.580002pt;margin-top:-127.180038pt;width:121.35pt;height:121.35pt;mso-position-horizontal-relative:page;mso-position-vertical-relative:paragraph;z-index:14128" coordorigin="3652,-2544" coordsize="2427,2427" path="m6078,-2544l5958,-2544,5958,-2424,5958,-237,3772,-237,3772,-2424,5958,-2424,5958,-2544,3772,-2544,3652,-2544,3652,-237,3652,-177,3652,-117,5958,-117,6018,-117,6078,-117,6078,-2424,6078,-2484,6078,-2544e" filled="true" fillcolor="#b3b3b3" stroked="false">
            <v:path arrowok="t"/>
            <v:fill type="solid"/>
            <w10:wrap type="none"/>
          </v:shape>
        </w:pict>
      </w:r>
      <w:r>
        <w:rPr>
          <w:sz w:val="20"/>
        </w:rPr>
        <w:t>Clean the outside of the</w:t>
      </w:r>
      <w:r>
        <w:rPr>
          <w:spacing w:val="-17"/>
          <w:sz w:val="20"/>
        </w:rPr>
        <w:t> </w:t>
      </w:r>
      <w:r>
        <w:rPr>
          <w:sz w:val="20"/>
        </w:rPr>
        <w:t>vials</w:t>
      </w:r>
      <w:r>
        <w:rPr>
          <w:spacing w:val="-17"/>
          <w:sz w:val="20"/>
        </w:rPr>
        <w:t> </w:t>
      </w:r>
      <w:r>
        <w:rPr>
          <w:sz w:val="20"/>
        </w:rPr>
        <w:t>with</w:t>
      </w:r>
      <w:r>
        <w:rPr>
          <w:spacing w:val="-17"/>
          <w:sz w:val="20"/>
        </w:rPr>
        <w:t> </w:t>
      </w:r>
      <w:r>
        <w:rPr>
          <w:sz w:val="20"/>
        </w:rPr>
        <w:t>a</w:t>
      </w:r>
      <w:r>
        <w:rPr>
          <w:spacing w:val="-17"/>
          <w:sz w:val="20"/>
        </w:rPr>
        <w:t> </w:t>
      </w:r>
      <w:r>
        <w:rPr>
          <w:sz w:val="20"/>
        </w:rPr>
        <w:t>damp</w:t>
      </w:r>
      <w:r>
        <w:rPr>
          <w:spacing w:val="-18"/>
          <w:sz w:val="20"/>
        </w:rPr>
        <w:t> </w:t>
      </w:r>
      <w:r>
        <w:rPr>
          <w:sz w:val="20"/>
        </w:rPr>
        <w:t>towel followed by a dry</w:t>
      </w:r>
      <w:r>
        <w:rPr>
          <w:spacing w:val="-22"/>
          <w:sz w:val="20"/>
        </w:rPr>
        <w:t> </w:t>
      </w:r>
      <w:r>
        <w:rPr>
          <w:sz w:val="20"/>
        </w:rPr>
        <w:t>one.</w:t>
      </w:r>
    </w:p>
    <w:p>
      <w:pPr>
        <w:pStyle w:val="BodyText"/>
        <w:spacing w:before="4"/>
        <w:rPr>
          <w:sz w:val="19"/>
        </w:rPr>
      </w:pPr>
      <w:r>
        <w:rPr/>
        <w:br w:type="column"/>
      </w:r>
      <w:r>
        <w:rPr>
          <w:sz w:val="19"/>
        </w:rPr>
      </w:r>
    </w:p>
    <w:p>
      <w:pPr>
        <w:pStyle w:val="ListParagraph"/>
        <w:numPr>
          <w:ilvl w:val="0"/>
          <w:numId w:val="28"/>
        </w:numPr>
        <w:tabs>
          <w:tab w:pos="486" w:val="left" w:leader="none"/>
        </w:tabs>
        <w:spacing w:line="249" w:lineRule="auto" w:before="0" w:after="0"/>
        <w:ind w:left="126" w:right="0" w:firstLine="0"/>
        <w:jc w:val="left"/>
        <w:rPr>
          <w:sz w:val="20"/>
        </w:rPr>
      </w:pPr>
      <w:r>
        <w:rPr/>
        <w:pict>
          <v:group style="position:absolute;margin-left:333.677002pt;margin-top:-104.475014pt;width:75.650pt;height:76pt;mso-position-horizontal-relative:page;mso-position-vertical-relative:paragraph;z-index:14152" coordorigin="6674,-2090" coordsize="1513,1520">
            <v:shape style="position:absolute;left:6674;top:-2090;width:1513;height:1520" coordorigin="6674,-2090" coordsize="1513,1520" path="m8186,-1045l6674,-1045,7430,-570,8186,-1045xm7908,-2090l6951,-2090,6951,-1045,7908,-1045,7908,-2090xe" filled="true" fillcolor="#231f20" stroked="false">
              <v:path arrowok="t"/>
              <v:fill type="solid"/>
            </v:shape>
            <v:shape style="position:absolute;left:7294;top:-1925;width:272;height:1199" coordorigin="7294,-1925" coordsize="272,1199" path="m7565,-846l7564,-1693,7559,-1715,7550,-1730,7549,-1925,7307,-1925,7305,-1726,7300,-1718,7295,-1693,7294,-846,7302,-808,7327,-769,7369,-738,7428,-726,7489,-737,7531,-764,7556,-803,7565,-846e" filled="true" fillcolor="#ffffff" stroked="false">
              <v:path arrowok="t"/>
              <v:fill type="solid"/>
            </v:shape>
            <v:shape style="position:absolute;left:7317;top:-1819;width:227;height:1067" coordorigin="7317,-1819" coordsize="227,1067" path="m7489,-1819l7373,-1819,7374,-1742,7351,-1733,7334,-1718,7322,-1697,7318,-1674,7317,-867,7323,-831,7344,-793,7379,-764,7429,-753,7479,-763,7514,-789,7535,-826,7543,-867,7542,-1674,7537,-1695,7526,-1715,7509,-1732,7488,-1742,7489,-1819xe" filled="true" fillcolor="#231f20" stroked="false">
              <v:path arrowok="t"/>
              <v:fill type="solid"/>
            </v:shape>
            <v:shape style="position:absolute;left:7342;top:-1795;width:177;height:1014" coordorigin="7342,-1795" coordsize="177,1014" path="m7465,-1795l7392,-1795,7391,-1723,7371,-1717,7356,-1706,7346,-1689,7342,-1664,7343,-871,7348,-843,7364,-814,7391,-791,7430,-782,7469,-790,7496,-811,7512,-839,7518,-871,7517,-1664,7513,-1689,7501,-1707,7484,-1718,7465,-1724,7465,-1795xe" filled="true" fillcolor="#ffffff" stroked="false">
              <v:path arrowok="t"/>
              <v:fill type="solid"/>
            </v:shape>
            <v:shape style="position:absolute;left:7342;top:-1795;width:177;height:1014" coordorigin="7342,-1795" coordsize="177,1014" path="m7391,-1723l7371,-1717,7356,-1706,7346,-1689,7342,-1664,7343,-871,7348,-843,7364,-814,7391,-791,7430,-782,7469,-790,7496,-811,7512,-839,7518,-871,7517,-1664,7513,-1689,7501,-1707,7484,-1718,7465,-1724,7465,-1795,7392,-1795,7391,-1723xe" filled="false" stroked="true" strokeweight=".5pt" strokecolor="#231f20">
              <v:path arrowok="t"/>
            </v:shape>
            <v:shape style="position:absolute;left:7326;top:-1907;width:204;height:166" type="#_x0000_t75" stroked="false">
              <v:imagedata r:id="rId269" o:title=""/>
            </v:shape>
            <w10:wrap type="none"/>
          </v:group>
        </w:pict>
      </w:r>
      <w:r>
        <w:rPr/>
        <w:pict>
          <v:shape style="position:absolute;margin-left:310.800018pt;margin-top:-127.180038pt;width:121.35pt;height:121.35pt;mso-position-horizontal-relative:page;mso-position-vertical-relative:paragraph;z-index:14176" coordorigin="6216,-2544" coordsize="2427,2427" path="m8642,-2544l8522,-2544,8522,-2424,8522,-237,6336,-237,6336,-2424,8522,-2424,8522,-2544,6336,-2544,6216,-2544,6216,-237,6216,-177,6216,-117,8522,-117,8582,-117,8642,-117,8642,-2424,8642,-2484,8642,-2544e" filled="true" fillcolor="#b3b3b3" stroked="false">
            <v:path arrowok="t"/>
            <v:fill type="solid"/>
            <w10:wrap type="none"/>
          </v:shape>
        </w:pict>
      </w:r>
      <w:r>
        <w:rPr>
          <w:sz w:val="20"/>
        </w:rPr>
        <w:t>Insert the blank into the 16-mm cell</w:t>
      </w:r>
      <w:r>
        <w:rPr>
          <w:spacing w:val="-22"/>
          <w:sz w:val="20"/>
        </w:rPr>
        <w:t> </w:t>
      </w:r>
      <w:r>
        <w:rPr>
          <w:sz w:val="20"/>
        </w:rPr>
        <w:t>holder.</w:t>
      </w:r>
    </w:p>
    <w:p>
      <w:pPr>
        <w:pStyle w:val="BodyText"/>
        <w:spacing w:before="4"/>
        <w:rPr>
          <w:sz w:val="19"/>
        </w:rPr>
      </w:pPr>
      <w:r>
        <w:rPr/>
        <w:br w:type="column"/>
      </w:r>
      <w:r>
        <w:rPr>
          <w:sz w:val="19"/>
        </w:rPr>
      </w:r>
    </w:p>
    <w:p>
      <w:pPr>
        <w:pStyle w:val="ListParagraph"/>
        <w:numPr>
          <w:ilvl w:val="0"/>
          <w:numId w:val="28"/>
        </w:numPr>
        <w:tabs>
          <w:tab w:pos="487" w:val="left" w:leader="none"/>
        </w:tabs>
        <w:spacing w:line="240" w:lineRule="auto" w:before="0" w:after="0"/>
        <w:ind w:left="486" w:right="0" w:hanging="360"/>
        <w:jc w:val="left"/>
        <w:rPr>
          <w:sz w:val="20"/>
        </w:rPr>
      </w:pPr>
      <w:r>
        <w:rPr/>
        <w:drawing>
          <wp:anchor distT="0" distB="0" distL="0" distR="0" allowOverlap="1" layoutInCell="1" locked="0" behindDoc="0" simplePos="0" relativeHeight="14200">
            <wp:simplePos x="0" y="0"/>
            <wp:positionH relativeFrom="page">
              <wp:posOffset>5876544</wp:posOffset>
            </wp:positionH>
            <wp:positionV relativeFrom="paragraph">
              <wp:posOffset>-1083310</wp:posOffset>
            </wp:positionV>
            <wp:extent cx="952500" cy="476250"/>
            <wp:effectExtent l="0" t="0" r="0" b="0"/>
            <wp:wrapNone/>
            <wp:docPr id="169" name="image143.png" descr=""/>
            <wp:cNvGraphicFramePr>
              <a:graphicFrameLocks noChangeAspect="1"/>
            </wp:cNvGraphicFramePr>
            <a:graphic>
              <a:graphicData uri="http://schemas.openxmlformats.org/drawingml/2006/picture">
                <pic:pic>
                  <pic:nvPicPr>
                    <pic:cNvPr id="170" name="image143.png"/>
                    <pic:cNvPicPr/>
                  </pic:nvPicPr>
                  <pic:blipFill>
                    <a:blip r:embed="rId159" cstate="print"/>
                    <a:stretch>
                      <a:fillRect/>
                    </a:stretch>
                  </pic:blipFill>
                  <pic:spPr>
                    <a:xfrm>
                      <a:off x="0" y="0"/>
                      <a:ext cx="952500" cy="476250"/>
                    </a:xfrm>
                    <a:prstGeom prst="rect">
                      <a:avLst/>
                    </a:prstGeom>
                  </pic:spPr>
                </pic:pic>
              </a:graphicData>
            </a:graphic>
          </wp:anchor>
        </w:drawing>
      </w:r>
      <w:r>
        <w:rPr/>
        <w:pict>
          <v:shape style="position:absolute;margin-left:439.080017pt;margin-top:-127.720032pt;width:122.4pt;height:122.4pt;mso-position-horizontal-relative:page;mso-position-vertical-relative:paragraph;z-index:14224" coordorigin="8782,-2554" coordsize="2448,2448" path="m11230,-2554l11110,-2554,11110,-2434,11110,-226,8902,-226,8902,-2434,11110,-2434,11110,-2554,8902,-2554,8782,-2554,8782,-226,8782,-166,8782,-106,11110,-106,11170,-106,11230,-106,11230,-2434,11230,-2494,11230,-2554e" filled="true" fillcolor="#b3b3b3" stroked="false">
            <v:path arrowok="t"/>
            <v:fill type="solid"/>
            <w10:wrap type="none"/>
          </v:shape>
        </w:pict>
      </w:r>
      <w:r>
        <w:rPr>
          <w:sz w:val="20"/>
        </w:rPr>
        <w:t>Press</w:t>
      </w:r>
      <w:r>
        <w:rPr>
          <w:spacing w:val="-2"/>
          <w:sz w:val="20"/>
        </w:rPr>
        <w:t> </w:t>
      </w:r>
      <w:r>
        <w:rPr>
          <w:b/>
          <w:spacing w:val="-3"/>
          <w:sz w:val="18"/>
        </w:rPr>
        <w:t>ZERO</w:t>
      </w:r>
      <w:r>
        <w:rPr>
          <w:spacing w:val="-3"/>
          <w:sz w:val="20"/>
        </w:rPr>
        <w:t>.</w:t>
      </w:r>
    </w:p>
    <w:p>
      <w:pPr>
        <w:spacing w:before="130"/>
        <w:ind w:left="126" w:right="0" w:firstLine="0"/>
        <w:jc w:val="left"/>
        <w:rPr>
          <w:sz w:val="20"/>
        </w:rPr>
      </w:pPr>
      <w:r>
        <w:rPr>
          <w:sz w:val="20"/>
        </w:rPr>
        <w:t>The display will show:</w:t>
      </w:r>
    </w:p>
    <w:p>
      <w:pPr>
        <w:spacing w:before="130"/>
        <w:ind w:left="651" w:right="0" w:firstLine="0"/>
        <w:jc w:val="left"/>
        <w:rPr>
          <w:sz w:val="20"/>
        </w:rPr>
      </w:pPr>
      <w:r>
        <w:rPr>
          <w:sz w:val="20"/>
        </w:rPr>
        <w:t>0.0 mg/L COD</w:t>
      </w:r>
    </w:p>
    <w:p>
      <w:pPr>
        <w:spacing w:after="0"/>
        <w:jc w:val="left"/>
        <w:rPr>
          <w:sz w:val="20"/>
        </w:rPr>
        <w:sectPr>
          <w:type w:val="continuous"/>
          <w:pgSz w:w="11900" w:h="15840"/>
          <w:pgMar w:top="0" w:bottom="0" w:left="960" w:right="560"/>
          <w:cols w:num="4" w:equalWidth="0">
            <w:col w:w="2324" w:space="242"/>
            <w:col w:w="2448" w:space="116"/>
            <w:col w:w="2234" w:space="331"/>
            <w:col w:w="2685"/>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5"/>
        </w:rPr>
      </w:pPr>
    </w:p>
    <w:p>
      <w:pPr>
        <w:pStyle w:val="BodyText"/>
        <w:spacing w:line="21" w:lineRule="exact"/>
        <w:ind w:left="109"/>
        <w:rPr>
          <w:sz w:val="2"/>
        </w:rPr>
      </w:pPr>
      <w:r>
        <w:rPr>
          <w:sz w:val="2"/>
        </w:rPr>
        <w:pict>
          <v:group style="width:505.05pt;height:1.05pt;mso-position-horizontal-relative:char;mso-position-vertical-relative:line" coordorigin="0,0" coordsize="10101,21">
            <v:line style="position:absolute" from="10,10" to="10,10" stroked="true" strokeweight="1.02pt" strokecolor="#000000"/>
            <v:line style="position:absolute" from="10,10" to="10090,10" stroked="true" strokeweight="1.02pt" strokecolor="#000000"/>
          </v:group>
        </w:pict>
      </w:r>
      <w:r>
        <w:rPr>
          <w:sz w:val="2"/>
        </w:rPr>
      </w:r>
    </w:p>
    <w:p>
      <w:pPr>
        <w:spacing w:before="6"/>
        <w:ind w:left="0" w:right="203" w:firstLine="0"/>
        <w:jc w:val="right"/>
        <w:rPr>
          <w:b/>
          <w:sz w:val="20"/>
        </w:rPr>
      </w:pPr>
      <w:r>
        <w:rPr>
          <w:b/>
          <w:sz w:val="20"/>
        </w:rPr>
        <w:t>Oxygen Demand, Chemical</w:t>
      </w:r>
    </w:p>
    <w:p>
      <w:pPr>
        <w:tabs>
          <w:tab w:pos="9004" w:val="left" w:leader="none"/>
        </w:tabs>
        <w:spacing w:before="10"/>
        <w:ind w:left="0" w:right="203" w:firstLine="0"/>
        <w:jc w:val="right"/>
        <w:rPr>
          <w:b/>
          <w:sz w:val="20"/>
        </w:rPr>
      </w:pPr>
      <w:r>
        <w:rPr>
          <w:sz w:val="14"/>
        </w:rPr>
        <w:t>OxygenCOD_8000_RCD_MR.fm</w:t>
        <w:tab/>
      </w:r>
      <w:r>
        <w:rPr>
          <w:b/>
          <w:sz w:val="20"/>
        </w:rPr>
        <w:t>Page 3 of</w:t>
      </w:r>
      <w:r>
        <w:rPr>
          <w:b/>
          <w:spacing w:val="-11"/>
          <w:sz w:val="20"/>
        </w:rPr>
        <w:t> </w:t>
      </w:r>
      <w:r>
        <w:rPr>
          <w:b/>
          <w:sz w:val="20"/>
        </w:rPr>
        <w:t>8</w:t>
      </w:r>
    </w:p>
    <w:p>
      <w:pPr>
        <w:spacing w:after="0"/>
        <w:jc w:val="right"/>
        <w:rPr>
          <w:sz w:val="20"/>
        </w:rPr>
        <w:sectPr>
          <w:type w:val="continuous"/>
          <w:pgSz w:w="11900" w:h="15840"/>
          <w:pgMar w:top="0" w:bottom="0" w:left="960" w:right="560"/>
        </w:sectPr>
      </w:pPr>
    </w:p>
    <w:p>
      <w:pPr>
        <w:pStyle w:val="Heading4"/>
        <w:ind w:right="80"/>
      </w:pPr>
      <w:r>
        <w:rPr/>
        <w:pict>
          <v:group style="position:absolute;margin-left:35.715pt;margin-top:21.080879pt;width:505.15pt;height:1.05pt;mso-position-horizontal-relative:page;mso-position-vertical-relative:paragraph;z-index:14248;mso-wrap-distance-left:0;mso-wrap-distance-right:0" coordorigin="714,422" coordsize="10103,21">
            <v:line style="position:absolute" from="725,432" to="725,432" stroked="true" strokeweight="1.02pt" strokecolor="#000000"/>
            <v:line style="position:absolute" from="725,432" to="10806,432" stroked="true" strokeweight="1.02pt" strokecolor="#000000"/>
            <w10:wrap type="topAndBottom"/>
          </v:group>
        </w:pict>
      </w:r>
      <w:r>
        <w:rPr/>
        <w:pict>
          <v:group style="position:absolute;margin-left:36.240002pt;margin-top:41.97588pt;width:122.5pt;height:122.4pt;mso-position-horizontal-relative:page;mso-position-vertical-relative:paragraph;z-index:14272;mso-wrap-distance-left:0;mso-wrap-distance-right:0" coordorigin="725,840" coordsize="2450,2448">
            <v:rect style="position:absolute;left:845;top:840;width:2329;height:120" filled="true" fillcolor="#b3b3b3" stroked="false">
              <v:fill type="solid"/>
            </v:rect>
            <v:rect style="position:absolute;left:3054;top:900;width:120;height:2388" filled="true" fillcolor="#b3b3b3" stroked="false">
              <v:fill type="solid"/>
            </v:rect>
            <v:rect style="position:absolute;left:725;top:3168;width:2389;height:120" filled="true" fillcolor="#b3b3b3" stroked="false">
              <v:fill type="solid"/>
            </v:rect>
            <v:rect style="position:absolute;left:725;top:840;width:120;height:2388" filled="true" fillcolor="#b3b3b3" stroked="false">
              <v:fill type="solid"/>
            </v:rect>
            <w10:wrap type="topAndBottom"/>
          </v:group>
        </w:pict>
      </w:r>
      <w:r>
        <w:rPr/>
        <w:pict>
          <v:group style="position:absolute;margin-left:164.520004pt;margin-top:42.515881pt;width:121.35pt;height:121.35pt;mso-position-horizontal-relative:page;mso-position-vertical-relative:paragraph;z-index:14296;mso-wrap-distance-left:0;mso-wrap-distance-right:0" coordorigin="3290,850" coordsize="2427,2427">
            <v:rect style="position:absolute;left:3410;top:850;width:2306;height:120" filled="true" fillcolor="#b3b3b3" stroked="false">
              <v:fill type="solid"/>
            </v:rect>
            <v:rect style="position:absolute;left:5597;top:910;width:120;height:2366" filled="true" fillcolor="#b3b3b3" stroked="false">
              <v:fill type="solid"/>
            </v:rect>
            <v:rect style="position:absolute;left:3290;top:3157;width:2366;height:120" filled="true" fillcolor="#b3b3b3" stroked="false">
              <v:fill type="solid"/>
            </v:rect>
            <v:rect style="position:absolute;left:3290;top:850;width:120;height:2366" filled="true" fillcolor="#b3b3b3" stroked="false">
              <v:fill type="solid"/>
            </v:rect>
            <w10:wrap type="topAndBottom"/>
          </v:group>
        </w:pict>
      </w:r>
      <w:r>
        <w:rPr/>
        <w:t>Oxygen Demand, Chemical (3 to 150, 20 to 1500, and 200 to 15,000 mg/L COD)</w:t>
      </w:r>
    </w:p>
    <w:p>
      <w:pPr>
        <w:pStyle w:val="BodyText"/>
        <w:spacing w:before="6"/>
        <w:rPr>
          <w:b/>
          <w:sz w:val="28"/>
        </w:rPr>
      </w:pPr>
    </w:p>
    <w:p>
      <w:pPr>
        <w:pStyle w:val="BodyText"/>
        <w:spacing w:before="1"/>
        <w:rPr>
          <w:b/>
          <w:sz w:val="6"/>
        </w:rPr>
      </w:pPr>
    </w:p>
    <w:p>
      <w:pPr>
        <w:spacing w:after="0"/>
        <w:rPr>
          <w:sz w:val="6"/>
        </w:rPr>
        <w:sectPr>
          <w:headerReference w:type="default" r:id="rId270"/>
          <w:footerReference w:type="default" r:id="rId271"/>
          <w:pgSz w:w="11900" w:h="15840"/>
          <w:pgMar w:header="0" w:footer="0" w:top="240" w:bottom="0" w:left="600" w:right="980"/>
        </w:sectPr>
      </w:pPr>
    </w:p>
    <w:p>
      <w:pPr>
        <w:pStyle w:val="ListParagraph"/>
        <w:numPr>
          <w:ilvl w:val="0"/>
          <w:numId w:val="28"/>
        </w:numPr>
        <w:tabs>
          <w:tab w:pos="485" w:val="left" w:leader="none"/>
        </w:tabs>
        <w:spacing w:line="249" w:lineRule="auto" w:before="6" w:after="0"/>
        <w:ind w:left="124" w:right="0" w:firstLine="0"/>
        <w:jc w:val="left"/>
        <w:rPr>
          <w:sz w:val="20"/>
        </w:rPr>
      </w:pPr>
      <w:r>
        <w:rPr/>
        <w:pict>
          <v:group style="position:absolute;margin-left:59.667999pt;margin-top:-104.155411pt;width:75.650pt;height:76pt;mso-position-horizontal-relative:page;mso-position-vertical-relative:paragraph;z-index:-1517440" coordorigin="1193,-2083" coordsize="1513,1520">
            <v:shape style="position:absolute;left:1193;top:-2083;width:1513;height:1520" coordorigin="1193,-2083" coordsize="1513,1520" path="m2705,-1039l1193,-1039,1949,-564,2705,-1039xm2428,-2083l1471,-2083,1471,-1039,2428,-1039,2428,-2083xe" filled="true" fillcolor="#231f20" stroked="false">
              <v:path arrowok="t"/>
              <v:fill type="solid"/>
            </v:shape>
            <v:shape style="position:absolute;left:1814;top:-1918;width:272;height:1199" coordorigin="1814,-1918" coordsize="272,1199" path="m2085,-839l2084,-1687,2079,-1709,2070,-1723,2068,-1918,1826,-1918,1825,-1719,1820,-1712,1815,-1687,1814,-839,1822,-802,1847,-762,1889,-732,1948,-719,2009,-730,2051,-758,2076,-797,2085,-839e" filled="true" fillcolor="#ffffff" stroked="false">
              <v:path arrowok="t"/>
              <v:fill type="solid"/>
            </v:shape>
            <v:shape style="position:absolute;left:1836;top:-1812;width:227;height:1067" coordorigin="1836,-1812" coordsize="227,1067" path="m2008,-1812l1892,-1812,1893,-1736,1871,-1727,1854,-1711,1842,-1691,1837,-1668,1836,-860,1843,-824,1864,-787,1899,-758,1948,-746,1999,-756,2034,-783,2055,-820,2062,-860,2061,-1668,2057,-1688,2046,-1709,2029,-1726,2007,-1736,2008,-1812xe" filled="true" fillcolor="#231f20" stroked="false">
              <v:path arrowok="t"/>
              <v:fill type="solid"/>
            </v:shape>
            <v:shape style="position:absolute;left:1862;top:-1789;width:177;height:1014" coordorigin="1862,-1789" coordsize="177,1014" path="m1985,-1789l1912,-1789,1911,-1717,1891,-1711,1876,-1700,1866,-1683,1862,-1657,1863,-864,1868,-837,1884,-808,1911,-785,1949,-776,1989,-784,2016,-804,2032,-833,2038,-864,2037,-1657,2033,-1682,2021,-1700,2004,-1712,1985,-1718,1985,-1789xe" filled="true" fillcolor="#ffffff" stroked="false">
              <v:path arrowok="t"/>
              <v:fill type="solid"/>
            </v:shape>
            <v:shape style="position:absolute;left:1862;top:-1789;width:177;height:1014" coordorigin="1862,-1789" coordsize="177,1014" path="m1911,-1717l1891,-1711,1876,-1700,1866,-1683,1862,-1657,1863,-864,1868,-837,1884,-808,1911,-785,1949,-776,1989,-784,2016,-804,2032,-833,2038,-864,2037,-1657,2033,-1682,2021,-1700,2004,-1712,1985,-1718,1985,-1789,1912,-1789,1911,-1717xe" filled="false" stroked="true" strokeweight=".5pt" strokecolor="#231f20">
              <v:path arrowok="t"/>
            </v:shape>
            <v:shape style="position:absolute;left:1846;top:-1901;width:204;height:166" type="#_x0000_t75" stroked="false">
              <v:imagedata r:id="rId272" o:title=""/>
            </v:shape>
            <w10:wrap type="none"/>
          </v:group>
        </w:pict>
      </w:r>
      <w:r>
        <w:rPr/>
        <w:pict>
          <v:group style="position:absolute;margin-left:201.932419pt;margin-top:-109.590157pt;width:46.7pt;height:86.65pt;mso-position-horizontal-relative:page;mso-position-vertical-relative:paragraph;z-index:-1517416" coordorigin="4039,-2192" coordsize="934,1733">
            <v:rect style="position:absolute;left:4041;top:-2190;width:930;height:1729" filled="true" fillcolor="#231f20" stroked="false">
              <v:fill type="solid"/>
            </v:rect>
            <v:rect style="position:absolute;left:4041;top:-2190;width:930;height:1729" filled="false" stroked="true" strokeweight=".168292pt" strokecolor="#231f20"/>
            <v:rect style="position:absolute;left:4076;top:-2157;width:859;height:1650" filled="true" fillcolor="#ffffff" stroked="false">
              <v:fill type="solid"/>
            </v:rect>
            <v:rect style="position:absolute;left:4076;top:-2157;width:859;height:1650" filled="false" stroked="true" strokeweight=".159779pt" strokecolor="#231f20"/>
            <v:rect style="position:absolute;left:4123;top:-2086;width:768;height:263" filled="true" fillcolor="#231f20" stroked="false">
              <v:fill type="solid"/>
            </v:rect>
            <v:rect style="position:absolute;left:4147;top:-2055;width:719;height:199" filled="true" fillcolor="#ffffff" stroked="false">
              <v:fill type="solid"/>
            </v:rect>
            <v:rect style="position:absolute;left:4147;top:-2055;width:719;height:199" filled="false" stroked="true" strokeweight=".152pt" strokecolor="#231f20"/>
            <v:rect style="position:absolute;left:4121;top:-1744;width:768;height:262" filled="true" fillcolor="#231f20" stroked="false">
              <v:fill type="solid"/>
            </v:rect>
            <v:rect style="position:absolute;left:4121;top:-1744;width:768;height:262" filled="false" stroked="true" strokeweight=".153846pt" strokecolor="#231f20"/>
            <v:shape style="position:absolute;left:4428;top:-1708;width:430;height:192" type="#_x0000_t75" stroked="false">
              <v:imagedata r:id="rId273" o:title=""/>
            </v:shape>
            <v:shape style="position:absolute;left:4121;top:-1421;width:767;height:867" type="#_x0000_t75" stroked="false">
              <v:imagedata r:id="rId274" o:title=""/>
            </v:shape>
            <w10:wrap type="none"/>
          </v:group>
        </w:pict>
      </w:r>
      <w:r>
        <w:rPr>
          <w:sz w:val="20"/>
        </w:rPr>
        <w:t>Insert the sample vial into the 16-mm cell</w:t>
      </w:r>
      <w:r>
        <w:rPr>
          <w:spacing w:val="-25"/>
          <w:sz w:val="20"/>
        </w:rPr>
        <w:t> </w:t>
      </w:r>
      <w:r>
        <w:rPr>
          <w:sz w:val="20"/>
        </w:rPr>
        <w:t>holder.</w:t>
      </w:r>
    </w:p>
    <w:p>
      <w:pPr>
        <w:spacing w:before="121"/>
        <w:ind w:left="124" w:right="0" w:firstLine="0"/>
        <w:jc w:val="left"/>
        <w:rPr>
          <w:sz w:val="20"/>
        </w:rPr>
      </w:pPr>
      <w:r>
        <w:rPr>
          <w:sz w:val="20"/>
        </w:rPr>
        <w:t>Results are in mg/L COD.</w:t>
      </w:r>
    </w:p>
    <w:p>
      <w:pPr>
        <w:pStyle w:val="ListParagraph"/>
        <w:numPr>
          <w:ilvl w:val="0"/>
          <w:numId w:val="28"/>
        </w:numPr>
        <w:tabs>
          <w:tab w:pos="485" w:val="left" w:leader="none"/>
        </w:tabs>
        <w:spacing w:line="249" w:lineRule="auto" w:before="6" w:after="0"/>
        <w:ind w:left="124" w:right="5304" w:firstLine="0"/>
        <w:jc w:val="left"/>
        <w:rPr>
          <w:sz w:val="20"/>
        </w:rPr>
      </w:pPr>
      <w:r>
        <w:rPr>
          <w:w w:val="99"/>
          <w:sz w:val="20"/>
        </w:rPr>
        <w:br w:type="column"/>
      </w:r>
      <w:r>
        <w:rPr>
          <w:sz w:val="20"/>
        </w:rPr>
        <w:t>If using High Range Plus COD Digestion Reagent</w:t>
      </w:r>
      <w:r>
        <w:rPr>
          <w:spacing w:val="-20"/>
          <w:sz w:val="20"/>
        </w:rPr>
        <w:t> </w:t>
      </w:r>
      <w:r>
        <w:rPr>
          <w:sz w:val="20"/>
        </w:rPr>
        <w:t>Vials,</w:t>
      </w:r>
      <w:r>
        <w:rPr>
          <w:spacing w:val="-19"/>
          <w:sz w:val="20"/>
        </w:rPr>
        <w:t> </w:t>
      </w:r>
      <w:r>
        <w:rPr>
          <w:sz w:val="20"/>
        </w:rPr>
        <w:t>multiply</w:t>
      </w:r>
      <w:r>
        <w:rPr>
          <w:spacing w:val="-19"/>
          <w:sz w:val="20"/>
        </w:rPr>
        <w:t> </w:t>
      </w:r>
      <w:r>
        <w:rPr>
          <w:sz w:val="20"/>
        </w:rPr>
        <w:t>the result by</w:t>
      </w:r>
      <w:r>
        <w:rPr>
          <w:spacing w:val="-11"/>
          <w:sz w:val="20"/>
        </w:rPr>
        <w:t> </w:t>
      </w:r>
      <w:r>
        <w:rPr>
          <w:sz w:val="20"/>
        </w:rPr>
        <w:t>10.</w:t>
      </w:r>
    </w:p>
    <w:p>
      <w:pPr>
        <w:spacing w:line="249" w:lineRule="auto" w:before="121"/>
        <w:ind w:left="124" w:right="5082" w:firstLine="0"/>
        <w:jc w:val="left"/>
        <w:rPr>
          <w:sz w:val="20"/>
        </w:rPr>
      </w:pPr>
      <w:r>
        <w:rPr>
          <w:sz w:val="20"/>
        </w:rPr>
        <w:t>For most accurate results with samples near 1500 or 15,000 mg/L COD, repeat the analysis with a diluted sample.</w:t>
      </w:r>
    </w:p>
    <w:p>
      <w:pPr>
        <w:spacing w:after="0" w:line="249" w:lineRule="auto"/>
        <w:jc w:val="left"/>
        <w:rPr>
          <w:sz w:val="20"/>
        </w:rPr>
        <w:sectPr>
          <w:type w:val="continuous"/>
          <w:pgSz w:w="11900" w:h="15840"/>
          <w:pgMar w:top="0" w:bottom="0" w:left="600" w:right="980"/>
          <w:cols w:num="2" w:equalWidth="0">
            <w:col w:w="2471" w:space="94"/>
            <w:col w:w="7755"/>
          </w:cols>
        </w:sectPr>
      </w:pPr>
    </w:p>
    <w:p>
      <w:pPr>
        <w:pStyle w:val="BodyText"/>
        <w:spacing w:before="7"/>
        <w:rPr>
          <w:sz w:val="20"/>
        </w:rPr>
      </w:pPr>
    </w:p>
    <w:p>
      <w:pPr>
        <w:pStyle w:val="BodyText"/>
        <w:spacing w:line="21" w:lineRule="exact"/>
        <w:ind w:left="114"/>
        <w:rPr>
          <w:sz w:val="2"/>
        </w:rPr>
      </w:pPr>
      <w:r>
        <w:rPr>
          <w:sz w:val="2"/>
        </w:rPr>
        <w:pict>
          <v:group style="width:505.15pt;height:1.05pt;mso-position-horizontal-relative:char;mso-position-vertical-relative:line" coordorigin="0,0" coordsize="10103,21">
            <v:line style="position:absolute" from="10,10" to="10,10" stroked="true" strokeweight="1.02pt" strokecolor="#000000"/>
            <v:line style="position:absolute" from="10,10" to="10092,10" stroked="true" strokeweight="1.02pt" strokecolor="#000000"/>
          </v:group>
        </w:pict>
      </w:r>
      <w:r>
        <w:rPr>
          <w:sz w:val="2"/>
        </w:rPr>
      </w:r>
    </w:p>
    <w:p>
      <w:pPr>
        <w:pStyle w:val="BodyText"/>
        <w:spacing w:before="8"/>
        <w:rPr>
          <w:sz w:val="29"/>
        </w:rPr>
      </w:pPr>
    </w:p>
    <w:p>
      <w:pPr>
        <w:pStyle w:val="Heading3"/>
        <w:spacing w:before="64"/>
        <w:ind w:left="124" w:right="80"/>
      </w:pPr>
      <w:r>
        <w:rPr/>
        <w:t>Blanks for Colorimetric Determination</w:t>
      </w:r>
    </w:p>
    <w:p>
      <w:pPr>
        <w:spacing w:line="249" w:lineRule="auto" w:before="179"/>
        <w:ind w:left="1925" w:right="80" w:firstLine="0"/>
        <w:jc w:val="left"/>
        <w:rPr>
          <w:sz w:val="20"/>
        </w:rPr>
      </w:pPr>
      <w:r>
        <w:rPr>
          <w:sz w:val="20"/>
        </w:rPr>
        <w:t>The</w:t>
      </w:r>
      <w:r>
        <w:rPr>
          <w:spacing w:val="-10"/>
          <w:sz w:val="20"/>
        </w:rPr>
        <w:t> </w:t>
      </w:r>
      <w:r>
        <w:rPr>
          <w:sz w:val="20"/>
        </w:rPr>
        <w:t>blank</w:t>
      </w:r>
      <w:r>
        <w:rPr>
          <w:spacing w:val="-10"/>
          <w:sz w:val="20"/>
        </w:rPr>
        <w:t> </w:t>
      </w:r>
      <w:r>
        <w:rPr>
          <w:spacing w:val="-3"/>
          <w:sz w:val="20"/>
        </w:rPr>
        <w:t>may</w:t>
      </w:r>
      <w:r>
        <w:rPr>
          <w:spacing w:val="-10"/>
          <w:sz w:val="20"/>
        </w:rPr>
        <w:t> </w:t>
      </w:r>
      <w:r>
        <w:rPr>
          <w:sz w:val="20"/>
        </w:rPr>
        <w:t>be</w:t>
      </w:r>
      <w:r>
        <w:rPr>
          <w:spacing w:val="-10"/>
          <w:sz w:val="20"/>
        </w:rPr>
        <w:t> </w:t>
      </w:r>
      <w:r>
        <w:rPr>
          <w:sz w:val="20"/>
        </w:rPr>
        <w:t>used</w:t>
      </w:r>
      <w:r>
        <w:rPr>
          <w:spacing w:val="-11"/>
          <w:sz w:val="20"/>
        </w:rPr>
        <w:t> </w:t>
      </w:r>
      <w:r>
        <w:rPr>
          <w:sz w:val="20"/>
        </w:rPr>
        <w:t>repeatedly</w:t>
      </w:r>
      <w:r>
        <w:rPr>
          <w:spacing w:val="-10"/>
          <w:sz w:val="20"/>
        </w:rPr>
        <w:t> </w:t>
      </w:r>
      <w:r>
        <w:rPr>
          <w:spacing w:val="-3"/>
          <w:sz w:val="20"/>
        </w:rPr>
        <w:t>for</w:t>
      </w:r>
      <w:r>
        <w:rPr>
          <w:spacing w:val="-10"/>
          <w:sz w:val="20"/>
        </w:rPr>
        <w:t> </w:t>
      </w:r>
      <w:r>
        <w:rPr>
          <w:sz w:val="20"/>
        </w:rPr>
        <w:t>measurements</w:t>
      </w:r>
      <w:r>
        <w:rPr>
          <w:spacing w:val="-10"/>
          <w:sz w:val="20"/>
        </w:rPr>
        <w:t> </w:t>
      </w:r>
      <w:r>
        <w:rPr>
          <w:sz w:val="20"/>
        </w:rPr>
        <w:t>using</w:t>
      </w:r>
      <w:r>
        <w:rPr>
          <w:spacing w:val="-10"/>
          <w:sz w:val="20"/>
        </w:rPr>
        <w:t> </w:t>
      </w:r>
      <w:r>
        <w:rPr>
          <w:sz w:val="20"/>
        </w:rPr>
        <w:t>the</w:t>
      </w:r>
      <w:r>
        <w:rPr>
          <w:spacing w:val="-11"/>
          <w:sz w:val="20"/>
        </w:rPr>
        <w:t> </w:t>
      </w:r>
      <w:r>
        <w:rPr>
          <w:sz w:val="20"/>
        </w:rPr>
        <w:t>same</w:t>
      </w:r>
      <w:r>
        <w:rPr>
          <w:spacing w:val="-10"/>
          <w:sz w:val="20"/>
        </w:rPr>
        <w:t> </w:t>
      </w:r>
      <w:r>
        <w:rPr>
          <w:sz w:val="20"/>
        </w:rPr>
        <w:t>lot</w:t>
      </w:r>
      <w:r>
        <w:rPr>
          <w:spacing w:val="-10"/>
          <w:sz w:val="20"/>
        </w:rPr>
        <w:t> </w:t>
      </w:r>
      <w:r>
        <w:rPr>
          <w:sz w:val="20"/>
        </w:rPr>
        <w:t>of</w:t>
      </w:r>
      <w:r>
        <w:rPr>
          <w:spacing w:val="-10"/>
          <w:sz w:val="20"/>
        </w:rPr>
        <w:t> </w:t>
      </w:r>
      <w:r>
        <w:rPr>
          <w:sz w:val="20"/>
        </w:rPr>
        <w:t>vials.</w:t>
      </w:r>
      <w:r>
        <w:rPr>
          <w:spacing w:val="-11"/>
          <w:sz w:val="20"/>
        </w:rPr>
        <w:t> </w:t>
      </w:r>
      <w:r>
        <w:rPr>
          <w:sz w:val="20"/>
        </w:rPr>
        <w:t>Store</w:t>
      </w:r>
      <w:r>
        <w:rPr>
          <w:spacing w:val="-10"/>
          <w:sz w:val="20"/>
        </w:rPr>
        <w:t> </w:t>
      </w:r>
      <w:r>
        <w:rPr>
          <w:sz w:val="20"/>
        </w:rPr>
        <w:t>it</w:t>
      </w:r>
      <w:r>
        <w:rPr>
          <w:spacing w:val="-10"/>
          <w:sz w:val="20"/>
        </w:rPr>
        <w:t> </w:t>
      </w:r>
      <w:r>
        <w:rPr>
          <w:sz w:val="20"/>
        </w:rPr>
        <w:t>in</w:t>
      </w:r>
      <w:r>
        <w:rPr>
          <w:spacing w:val="-11"/>
          <w:sz w:val="20"/>
        </w:rPr>
        <w:t> </w:t>
      </w:r>
      <w:r>
        <w:rPr>
          <w:sz w:val="20"/>
        </w:rPr>
        <w:t>the dark. Monitor decomposition </w:t>
      </w:r>
      <w:r>
        <w:rPr>
          <w:spacing w:val="-3"/>
          <w:sz w:val="20"/>
        </w:rPr>
        <w:t>by </w:t>
      </w:r>
      <w:r>
        <w:rPr>
          <w:sz w:val="20"/>
        </w:rPr>
        <w:t>measuring the absorbance at the appropriate wavelength (356, 420, or 620 nm). Zero the instrument in the absorbance mode, using a vial containing 5 mL</w:t>
      </w:r>
      <w:r>
        <w:rPr>
          <w:spacing w:val="-10"/>
          <w:sz w:val="20"/>
        </w:rPr>
        <w:t> </w:t>
      </w:r>
      <w:r>
        <w:rPr>
          <w:sz w:val="20"/>
        </w:rPr>
        <w:t>of</w:t>
      </w:r>
      <w:r>
        <w:rPr>
          <w:spacing w:val="-10"/>
          <w:sz w:val="20"/>
        </w:rPr>
        <w:t> </w:t>
      </w:r>
      <w:r>
        <w:rPr>
          <w:sz w:val="20"/>
        </w:rPr>
        <w:t>deionized</w:t>
      </w:r>
      <w:r>
        <w:rPr>
          <w:spacing w:val="-9"/>
          <w:sz w:val="20"/>
        </w:rPr>
        <w:t> </w:t>
      </w:r>
      <w:r>
        <w:rPr>
          <w:sz w:val="20"/>
        </w:rPr>
        <w:t>water</w:t>
      </w:r>
      <w:r>
        <w:rPr>
          <w:spacing w:val="-10"/>
          <w:sz w:val="20"/>
        </w:rPr>
        <w:t> </w:t>
      </w:r>
      <w:r>
        <w:rPr>
          <w:sz w:val="20"/>
        </w:rPr>
        <w:t>and</w:t>
      </w:r>
      <w:r>
        <w:rPr>
          <w:spacing w:val="-10"/>
          <w:sz w:val="20"/>
        </w:rPr>
        <w:t> </w:t>
      </w:r>
      <w:r>
        <w:rPr>
          <w:sz w:val="20"/>
        </w:rPr>
        <w:t>measure</w:t>
      </w:r>
      <w:r>
        <w:rPr>
          <w:spacing w:val="-9"/>
          <w:sz w:val="20"/>
        </w:rPr>
        <w:t> </w:t>
      </w:r>
      <w:r>
        <w:rPr>
          <w:sz w:val="20"/>
        </w:rPr>
        <w:t>the</w:t>
      </w:r>
      <w:r>
        <w:rPr>
          <w:spacing w:val="-10"/>
          <w:sz w:val="20"/>
        </w:rPr>
        <w:t> </w:t>
      </w:r>
      <w:r>
        <w:rPr>
          <w:sz w:val="20"/>
        </w:rPr>
        <w:t>absorbance</w:t>
      </w:r>
      <w:r>
        <w:rPr>
          <w:spacing w:val="-10"/>
          <w:sz w:val="20"/>
        </w:rPr>
        <w:t> </w:t>
      </w:r>
      <w:r>
        <w:rPr>
          <w:sz w:val="20"/>
        </w:rPr>
        <w:t>of</w:t>
      </w:r>
      <w:r>
        <w:rPr>
          <w:spacing w:val="-10"/>
          <w:sz w:val="20"/>
        </w:rPr>
        <w:t> </w:t>
      </w:r>
      <w:r>
        <w:rPr>
          <w:sz w:val="20"/>
        </w:rPr>
        <w:t>the</w:t>
      </w:r>
      <w:r>
        <w:rPr>
          <w:spacing w:val="-10"/>
          <w:sz w:val="20"/>
        </w:rPr>
        <w:t> </w:t>
      </w:r>
      <w:r>
        <w:rPr>
          <w:sz w:val="20"/>
        </w:rPr>
        <w:t>blank.</w:t>
      </w:r>
      <w:r>
        <w:rPr>
          <w:spacing w:val="-10"/>
          <w:sz w:val="20"/>
        </w:rPr>
        <w:t> </w:t>
      </w:r>
      <w:r>
        <w:rPr>
          <w:sz w:val="20"/>
        </w:rPr>
        <w:t>Record</w:t>
      </w:r>
      <w:r>
        <w:rPr>
          <w:spacing w:val="-9"/>
          <w:sz w:val="20"/>
        </w:rPr>
        <w:t> </w:t>
      </w:r>
      <w:r>
        <w:rPr>
          <w:sz w:val="20"/>
        </w:rPr>
        <w:t>the</w:t>
      </w:r>
      <w:r>
        <w:rPr>
          <w:spacing w:val="-10"/>
          <w:sz w:val="20"/>
        </w:rPr>
        <w:t> </w:t>
      </w:r>
      <w:r>
        <w:rPr>
          <w:sz w:val="20"/>
        </w:rPr>
        <w:t>value.</w:t>
      </w:r>
      <w:r>
        <w:rPr>
          <w:spacing w:val="-10"/>
          <w:sz w:val="20"/>
        </w:rPr>
        <w:t> </w:t>
      </w:r>
      <w:r>
        <w:rPr>
          <w:sz w:val="20"/>
        </w:rPr>
        <w:t>Prepare</w:t>
      </w:r>
      <w:r>
        <w:rPr>
          <w:spacing w:val="-9"/>
          <w:sz w:val="20"/>
        </w:rPr>
        <w:t> </w:t>
      </w:r>
      <w:r>
        <w:rPr>
          <w:sz w:val="20"/>
        </w:rPr>
        <w:t>a new</w:t>
      </w:r>
      <w:r>
        <w:rPr>
          <w:spacing w:val="-5"/>
          <w:sz w:val="20"/>
        </w:rPr>
        <w:t> </w:t>
      </w:r>
      <w:r>
        <w:rPr>
          <w:sz w:val="20"/>
        </w:rPr>
        <w:t>blank</w:t>
      </w:r>
      <w:r>
        <w:rPr>
          <w:spacing w:val="-5"/>
          <w:sz w:val="20"/>
        </w:rPr>
        <w:t> </w:t>
      </w:r>
      <w:r>
        <w:rPr>
          <w:sz w:val="20"/>
        </w:rPr>
        <w:t>when</w:t>
      </w:r>
      <w:r>
        <w:rPr>
          <w:spacing w:val="-5"/>
          <w:sz w:val="20"/>
        </w:rPr>
        <w:t> </w:t>
      </w:r>
      <w:r>
        <w:rPr>
          <w:sz w:val="20"/>
        </w:rPr>
        <w:t>the</w:t>
      </w:r>
      <w:r>
        <w:rPr>
          <w:spacing w:val="-5"/>
          <w:sz w:val="20"/>
        </w:rPr>
        <w:t> </w:t>
      </w:r>
      <w:r>
        <w:rPr>
          <w:sz w:val="20"/>
        </w:rPr>
        <w:t>absorbance</w:t>
      </w:r>
      <w:r>
        <w:rPr>
          <w:spacing w:val="-5"/>
          <w:sz w:val="20"/>
        </w:rPr>
        <w:t> </w:t>
      </w:r>
      <w:r>
        <w:rPr>
          <w:sz w:val="20"/>
        </w:rPr>
        <w:t>has</w:t>
      </w:r>
      <w:r>
        <w:rPr>
          <w:spacing w:val="-5"/>
          <w:sz w:val="20"/>
        </w:rPr>
        <w:t> </w:t>
      </w:r>
      <w:r>
        <w:rPr>
          <w:sz w:val="20"/>
        </w:rPr>
        <w:t>changed</w:t>
      </w:r>
      <w:r>
        <w:rPr>
          <w:spacing w:val="-5"/>
          <w:sz w:val="20"/>
        </w:rPr>
        <w:t> </w:t>
      </w:r>
      <w:r>
        <w:rPr>
          <w:spacing w:val="-3"/>
          <w:sz w:val="20"/>
        </w:rPr>
        <w:t>by</w:t>
      </w:r>
      <w:r>
        <w:rPr>
          <w:spacing w:val="-6"/>
          <w:sz w:val="20"/>
        </w:rPr>
        <w:t> </w:t>
      </w:r>
      <w:r>
        <w:rPr>
          <w:sz w:val="20"/>
        </w:rPr>
        <w:t>about</w:t>
      </w:r>
      <w:r>
        <w:rPr>
          <w:spacing w:val="-5"/>
          <w:sz w:val="20"/>
        </w:rPr>
        <w:t> </w:t>
      </w:r>
      <w:r>
        <w:rPr>
          <w:sz w:val="20"/>
        </w:rPr>
        <w:t>0.01</w:t>
      </w:r>
      <w:r>
        <w:rPr>
          <w:spacing w:val="-5"/>
          <w:sz w:val="20"/>
        </w:rPr>
        <w:t> </w:t>
      </w:r>
      <w:r>
        <w:rPr>
          <w:sz w:val="20"/>
        </w:rPr>
        <w:t>absorbance</w:t>
      </w:r>
      <w:r>
        <w:rPr>
          <w:spacing w:val="-5"/>
          <w:sz w:val="20"/>
        </w:rPr>
        <w:t> </w:t>
      </w:r>
      <w:r>
        <w:rPr>
          <w:sz w:val="20"/>
        </w:rPr>
        <w:t>units.</w:t>
      </w:r>
    </w:p>
    <w:p>
      <w:pPr>
        <w:pStyle w:val="BodyText"/>
        <w:rPr>
          <w:sz w:val="26"/>
        </w:rPr>
      </w:pPr>
    </w:p>
    <w:p>
      <w:pPr>
        <w:pStyle w:val="Heading3"/>
        <w:ind w:left="124" w:right="80"/>
      </w:pPr>
      <w:r>
        <w:rPr/>
        <w:t>Interferences</w:t>
      </w:r>
    </w:p>
    <w:p>
      <w:pPr>
        <w:spacing w:line="249" w:lineRule="auto" w:before="180"/>
        <w:ind w:left="1926" w:right="80" w:firstLine="0"/>
        <w:jc w:val="left"/>
        <w:rPr>
          <w:sz w:val="20"/>
        </w:rPr>
      </w:pPr>
      <w:r>
        <w:rPr>
          <w:sz w:val="20"/>
        </w:rPr>
        <w:t>Chloride is the primary interference when determining COD concentration. Each COD vial contains mercuric sulfate that will eliminate chloride interference up to the level specified in column 1 in </w:t>
      </w:r>
      <w:r>
        <w:rPr>
          <w:color w:val="0000FF"/>
          <w:sz w:val="20"/>
        </w:rPr>
        <w:t>Table 1</w:t>
      </w:r>
      <w:r>
        <w:rPr>
          <w:sz w:val="20"/>
        </w:rPr>
        <w:t>. Samples with higher chloride concentrations should be diluted. Dilute the sample enough to reduce the chloride concentration to the level given in column 3.</w:t>
      </w:r>
    </w:p>
    <w:p>
      <w:pPr>
        <w:pStyle w:val="BodyText"/>
        <w:spacing w:before="6"/>
        <w:rPr>
          <w:sz w:val="20"/>
        </w:rPr>
      </w:pPr>
    </w:p>
    <w:p>
      <w:pPr>
        <w:spacing w:line="240" w:lineRule="exact" w:before="0"/>
        <w:ind w:left="1925" w:right="88" w:firstLine="0"/>
        <w:jc w:val="left"/>
        <w:rPr>
          <w:sz w:val="20"/>
        </w:rPr>
      </w:pPr>
      <w:r>
        <w:rPr>
          <w:sz w:val="20"/>
        </w:rPr>
        <w:t>If sample dilution will cause the COD concentration to be too low for accurate determination, add 0.50 g of mercuric sulfate (HgSO</w:t>
      </w:r>
      <w:r>
        <w:rPr>
          <w:position w:val="-4"/>
          <w:sz w:val="16"/>
        </w:rPr>
        <w:t>4</w:t>
      </w:r>
      <w:r>
        <w:rPr>
          <w:sz w:val="20"/>
        </w:rPr>
        <w:t>) (Cat. No. 1915-20) to each COD vial before the sample is added. The additional mercuric sulfate will raise the maximum chloride concentration allowable to the level given in column 4 of </w:t>
      </w:r>
      <w:r>
        <w:rPr>
          <w:color w:val="0000FF"/>
          <w:sz w:val="20"/>
        </w:rPr>
        <w:t>Table 1</w:t>
      </w:r>
      <w:r>
        <w:rPr>
          <w:sz w:val="20"/>
        </w:rPr>
        <w:t>.</w:t>
      </w:r>
    </w:p>
    <w:p>
      <w:pPr>
        <w:pStyle w:val="BodyText"/>
        <w:spacing w:before="9"/>
        <w:rPr>
          <w:sz w:val="14"/>
        </w:rPr>
      </w:pPr>
    </w:p>
    <w:p>
      <w:pPr>
        <w:spacing w:before="74"/>
        <w:ind w:left="3572" w:right="3561" w:firstLine="0"/>
        <w:jc w:val="center"/>
        <w:rPr>
          <w:b/>
          <w:sz w:val="20"/>
        </w:rPr>
      </w:pPr>
      <w:r>
        <w:rPr>
          <w:b/>
          <w:sz w:val="20"/>
        </w:rPr>
        <w:t>Table  1 Interferences and Levels</w:t>
      </w:r>
    </w:p>
    <w:p>
      <w:pPr>
        <w:pStyle w:val="BodyText"/>
        <w:spacing w:before="7"/>
        <w:rPr>
          <w:b/>
          <w:sz w:val="8"/>
        </w:rPr>
      </w:pPr>
    </w:p>
    <w:tbl>
      <w:tblPr>
        <w:tblW w:w="0" w:type="auto"/>
        <w:jc w:val="left"/>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1"/>
        <w:gridCol w:w="2520"/>
        <w:gridCol w:w="2520"/>
        <w:gridCol w:w="2520"/>
      </w:tblGrid>
      <w:tr>
        <w:trPr>
          <w:trHeight w:val="821" w:hRule="exact"/>
        </w:trPr>
        <w:tc>
          <w:tcPr>
            <w:tcW w:w="2521" w:type="dxa"/>
          </w:tcPr>
          <w:p>
            <w:pPr>
              <w:pStyle w:val="TableParagraph"/>
              <w:spacing w:before="11"/>
              <w:ind w:right="0"/>
              <w:jc w:val="left"/>
              <w:rPr>
                <w:rFonts w:ascii="Arial"/>
                <w:b/>
                <w:sz w:val="24"/>
              </w:rPr>
            </w:pPr>
          </w:p>
          <w:p>
            <w:pPr>
              <w:pStyle w:val="TableParagraph"/>
              <w:spacing w:before="0"/>
              <w:ind w:left="621" w:right="474"/>
              <w:jc w:val="left"/>
              <w:rPr>
                <w:rFonts w:ascii="Arial"/>
                <w:b/>
                <w:sz w:val="18"/>
              </w:rPr>
            </w:pPr>
            <w:r>
              <w:rPr>
                <w:rFonts w:ascii="Arial"/>
                <w:b/>
                <w:sz w:val="18"/>
              </w:rPr>
              <w:t>Vial Type Used</w:t>
            </w:r>
          </w:p>
        </w:tc>
        <w:tc>
          <w:tcPr>
            <w:tcW w:w="2520" w:type="dxa"/>
          </w:tcPr>
          <w:p>
            <w:pPr>
              <w:pStyle w:val="TableParagraph"/>
              <w:spacing w:line="254" w:lineRule="auto" w:before="64"/>
              <w:ind w:left="220" w:right="220" w:firstLine="1"/>
              <w:jc w:val="center"/>
              <w:rPr>
                <w:rFonts w:ascii="Arial" w:hAnsi="Arial"/>
                <w:b/>
                <w:sz w:val="18"/>
              </w:rPr>
            </w:pPr>
            <w:r>
              <w:rPr>
                <w:rFonts w:ascii="Arial" w:hAnsi="Arial"/>
                <w:b/>
                <w:sz w:val="18"/>
              </w:rPr>
              <w:t>Maximum Cl</w:t>
            </w:r>
            <w:r>
              <w:rPr>
                <w:rFonts w:ascii="Arial" w:hAnsi="Arial"/>
                <w:b/>
                <w:position w:val="4"/>
                <w:sz w:val="14"/>
              </w:rPr>
              <w:t>– </w:t>
            </w:r>
            <w:r>
              <w:rPr>
                <w:rFonts w:ascii="Arial" w:hAnsi="Arial"/>
                <w:b/>
                <w:sz w:val="18"/>
              </w:rPr>
              <w:t>concentration in</w:t>
            </w:r>
            <w:r>
              <w:rPr>
                <w:rFonts w:ascii="Arial" w:hAnsi="Arial"/>
                <w:b/>
                <w:spacing w:val="-19"/>
                <w:sz w:val="18"/>
              </w:rPr>
              <w:t> </w:t>
            </w:r>
            <w:r>
              <w:rPr>
                <w:rFonts w:ascii="Arial" w:hAnsi="Arial"/>
                <w:b/>
                <w:sz w:val="18"/>
              </w:rPr>
              <w:t>sample (mg/L)</w:t>
            </w:r>
          </w:p>
        </w:tc>
        <w:tc>
          <w:tcPr>
            <w:tcW w:w="2520" w:type="dxa"/>
          </w:tcPr>
          <w:p>
            <w:pPr>
              <w:pStyle w:val="TableParagraph"/>
              <w:spacing w:line="254" w:lineRule="auto" w:before="64"/>
              <w:ind w:left="231" w:right="231" w:firstLine="1"/>
              <w:jc w:val="center"/>
              <w:rPr>
                <w:rFonts w:ascii="Arial" w:hAnsi="Arial"/>
                <w:b/>
                <w:sz w:val="18"/>
              </w:rPr>
            </w:pPr>
            <w:r>
              <w:rPr>
                <w:rFonts w:ascii="Arial" w:hAnsi="Arial"/>
                <w:b/>
                <w:sz w:val="18"/>
              </w:rPr>
              <w:t>Suggested Cl</w:t>
            </w:r>
            <w:r>
              <w:rPr>
                <w:rFonts w:ascii="Arial" w:hAnsi="Arial"/>
                <w:b/>
                <w:position w:val="4"/>
                <w:sz w:val="14"/>
              </w:rPr>
              <w:t>– </w:t>
            </w:r>
            <w:r>
              <w:rPr>
                <w:rFonts w:ascii="Arial" w:hAnsi="Arial"/>
                <w:b/>
                <w:sz w:val="18"/>
              </w:rPr>
              <w:t>concentration of</w:t>
            </w:r>
            <w:r>
              <w:rPr>
                <w:rFonts w:ascii="Arial" w:hAnsi="Arial"/>
                <w:b/>
                <w:spacing w:val="-15"/>
                <w:sz w:val="18"/>
              </w:rPr>
              <w:t> </w:t>
            </w:r>
            <w:r>
              <w:rPr>
                <w:rFonts w:ascii="Arial" w:hAnsi="Arial"/>
                <w:b/>
                <w:sz w:val="18"/>
              </w:rPr>
              <w:t>diluted samples</w:t>
            </w:r>
            <w:r>
              <w:rPr>
                <w:rFonts w:ascii="Arial" w:hAnsi="Arial"/>
                <w:b/>
                <w:spacing w:val="-10"/>
                <w:sz w:val="18"/>
              </w:rPr>
              <w:t> </w:t>
            </w:r>
            <w:r>
              <w:rPr>
                <w:rFonts w:ascii="Arial" w:hAnsi="Arial"/>
                <w:b/>
                <w:sz w:val="18"/>
              </w:rPr>
              <w:t>(mg/L)</w:t>
            </w:r>
          </w:p>
        </w:tc>
        <w:tc>
          <w:tcPr>
            <w:tcW w:w="2520" w:type="dxa"/>
          </w:tcPr>
          <w:p>
            <w:pPr>
              <w:pStyle w:val="TableParagraph"/>
              <w:spacing w:line="237" w:lineRule="auto" w:before="65"/>
              <w:ind w:left="45" w:right="74"/>
              <w:jc w:val="center"/>
              <w:rPr>
                <w:rFonts w:ascii="Arial" w:hAnsi="Arial"/>
                <w:b/>
                <w:sz w:val="18"/>
              </w:rPr>
            </w:pPr>
            <w:r>
              <w:rPr>
                <w:rFonts w:ascii="Arial" w:hAnsi="Arial"/>
                <w:b/>
                <w:sz w:val="18"/>
              </w:rPr>
              <w:t>Maximum Cl</w:t>
            </w:r>
            <w:r>
              <w:rPr>
                <w:rFonts w:ascii="Arial" w:hAnsi="Arial"/>
                <w:b/>
                <w:position w:val="4"/>
                <w:sz w:val="14"/>
              </w:rPr>
              <w:t>– </w:t>
            </w:r>
            <w:r>
              <w:rPr>
                <w:rFonts w:ascii="Arial" w:hAnsi="Arial"/>
                <w:b/>
                <w:sz w:val="18"/>
              </w:rPr>
              <w:t>concentration in sample when 0.50 HgSO</w:t>
            </w:r>
            <w:r>
              <w:rPr>
                <w:rFonts w:ascii="Arial" w:hAnsi="Arial"/>
                <w:b/>
                <w:position w:val="-3"/>
                <w:sz w:val="14"/>
              </w:rPr>
              <w:t>4 </w:t>
            </w:r>
            <w:r>
              <w:rPr>
                <w:rFonts w:ascii="Arial" w:hAnsi="Arial"/>
                <w:b/>
                <w:sz w:val="18"/>
              </w:rPr>
              <w:t>added</w:t>
            </w:r>
          </w:p>
        </w:tc>
      </w:tr>
      <w:tr>
        <w:trPr>
          <w:trHeight w:val="520" w:hRule="exact"/>
        </w:trPr>
        <w:tc>
          <w:tcPr>
            <w:tcW w:w="2521" w:type="dxa"/>
          </w:tcPr>
          <w:p>
            <w:pPr>
              <w:pStyle w:val="TableParagraph"/>
              <w:spacing w:line="256" w:lineRule="auto" w:before="25"/>
              <w:ind w:left="621" w:right="474" w:hanging="33"/>
              <w:jc w:val="left"/>
              <w:rPr>
                <w:rFonts w:ascii="Arial" w:hAnsi="Arial"/>
                <w:sz w:val="18"/>
              </w:rPr>
            </w:pPr>
            <w:r>
              <w:rPr>
                <w:rFonts w:ascii="Arial" w:hAnsi="Arial"/>
                <w:sz w:val="18"/>
              </w:rPr>
              <w:t>Ultra Low Range (0.7–40.0 mg/L)</w:t>
            </w:r>
          </w:p>
        </w:tc>
        <w:tc>
          <w:tcPr>
            <w:tcW w:w="2520" w:type="dxa"/>
          </w:tcPr>
          <w:p>
            <w:pPr>
              <w:pStyle w:val="TableParagraph"/>
              <w:spacing w:before="136"/>
              <w:ind w:left="45" w:right="45"/>
              <w:jc w:val="center"/>
              <w:rPr>
                <w:rFonts w:ascii="Arial"/>
                <w:sz w:val="18"/>
              </w:rPr>
            </w:pPr>
            <w:r>
              <w:rPr>
                <w:rFonts w:ascii="Arial"/>
                <w:sz w:val="18"/>
              </w:rPr>
              <w:t>2000</w:t>
            </w:r>
          </w:p>
        </w:tc>
        <w:tc>
          <w:tcPr>
            <w:tcW w:w="2520" w:type="dxa"/>
          </w:tcPr>
          <w:p>
            <w:pPr>
              <w:pStyle w:val="TableParagraph"/>
              <w:spacing w:before="136"/>
              <w:ind w:left="45" w:right="45"/>
              <w:jc w:val="center"/>
              <w:rPr>
                <w:rFonts w:ascii="Arial"/>
                <w:sz w:val="18"/>
              </w:rPr>
            </w:pPr>
            <w:r>
              <w:rPr>
                <w:rFonts w:ascii="Arial"/>
                <w:sz w:val="18"/>
              </w:rPr>
              <w:t>1000</w:t>
            </w:r>
          </w:p>
        </w:tc>
        <w:tc>
          <w:tcPr>
            <w:tcW w:w="2520" w:type="dxa"/>
          </w:tcPr>
          <w:p>
            <w:pPr>
              <w:pStyle w:val="TableParagraph"/>
              <w:spacing w:before="136"/>
              <w:ind w:left="45" w:right="45"/>
              <w:jc w:val="center"/>
              <w:rPr>
                <w:rFonts w:ascii="Arial"/>
                <w:sz w:val="18"/>
              </w:rPr>
            </w:pPr>
            <w:r>
              <w:rPr>
                <w:rFonts w:ascii="Arial"/>
                <w:sz w:val="18"/>
              </w:rPr>
              <w:t>N/A</w:t>
            </w:r>
          </w:p>
        </w:tc>
      </w:tr>
      <w:tr>
        <w:trPr>
          <w:trHeight w:val="520" w:hRule="exact"/>
        </w:trPr>
        <w:tc>
          <w:tcPr>
            <w:tcW w:w="2521" w:type="dxa"/>
          </w:tcPr>
          <w:p>
            <w:pPr>
              <w:pStyle w:val="TableParagraph"/>
              <w:spacing w:line="254" w:lineRule="auto" w:before="27"/>
              <w:ind w:left="721" w:right="700" w:firstLine="81"/>
              <w:jc w:val="left"/>
              <w:rPr>
                <w:rFonts w:ascii="Arial" w:hAnsi="Arial"/>
                <w:sz w:val="18"/>
              </w:rPr>
            </w:pPr>
            <w:r>
              <w:rPr>
                <w:rFonts w:ascii="Arial" w:hAnsi="Arial"/>
                <w:sz w:val="18"/>
              </w:rPr>
              <w:t>Low Range (3–150 mg/L)</w:t>
            </w:r>
          </w:p>
        </w:tc>
        <w:tc>
          <w:tcPr>
            <w:tcW w:w="2520" w:type="dxa"/>
          </w:tcPr>
          <w:p>
            <w:pPr>
              <w:pStyle w:val="TableParagraph"/>
              <w:spacing w:before="136"/>
              <w:ind w:left="45" w:right="46"/>
              <w:jc w:val="center"/>
              <w:rPr>
                <w:rFonts w:ascii="Arial"/>
                <w:sz w:val="18"/>
              </w:rPr>
            </w:pPr>
            <w:r>
              <w:rPr>
                <w:rFonts w:ascii="Arial"/>
                <w:sz w:val="18"/>
              </w:rPr>
              <w:t>2000</w:t>
            </w:r>
          </w:p>
        </w:tc>
        <w:tc>
          <w:tcPr>
            <w:tcW w:w="2520" w:type="dxa"/>
          </w:tcPr>
          <w:p>
            <w:pPr>
              <w:pStyle w:val="TableParagraph"/>
              <w:spacing w:before="136"/>
              <w:ind w:left="45" w:right="46"/>
              <w:jc w:val="center"/>
              <w:rPr>
                <w:rFonts w:ascii="Arial"/>
                <w:sz w:val="18"/>
              </w:rPr>
            </w:pPr>
            <w:r>
              <w:rPr>
                <w:rFonts w:ascii="Arial"/>
                <w:sz w:val="18"/>
              </w:rPr>
              <w:t>1000</w:t>
            </w:r>
          </w:p>
        </w:tc>
        <w:tc>
          <w:tcPr>
            <w:tcW w:w="2520" w:type="dxa"/>
          </w:tcPr>
          <w:p>
            <w:pPr>
              <w:pStyle w:val="TableParagraph"/>
              <w:spacing w:before="136"/>
              <w:ind w:left="45" w:right="46"/>
              <w:jc w:val="center"/>
              <w:rPr>
                <w:rFonts w:ascii="Arial"/>
                <w:sz w:val="18"/>
              </w:rPr>
            </w:pPr>
            <w:r>
              <w:rPr>
                <w:rFonts w:ascii="Arial"/>
                <w:sz w:val="18"/>
              </w:rPr>
              <w:t>8000</w:t>
            </w:r>
          </w:p>
        </w:tc>
      </w:tr>
      <w:tr>
        <w:trPr>
          <w:trHeight w:val="521" w:hRule="exact"/>
        </w:trPr>
        <w:tc>
          <w:tcPr>
            <w:tcW w:w="2521" w:type="dxa"/>
          </w:tcPr>
          <w:p>
            <w:pPr>
              <w:pStyle w:val="TableParagraph"/>
              <w:spacing w:line="254" w:lineRule="auto" w:before="27"/>
              <w:ind w:left="621" w:right="599" w:firstLine="159"/>
              <w:jc w:val="left"/>
              <w:rPr>
                <w:rFonts w:ascii="Arial" w:hAnsi="Arial"/>
                <w:sz w:val="18"/>
              </w:rPr>
            </w:pPr>
            <w:r>
              <w:rPr>
                <w:rFonts w:ascii="Arial" w:hAnsi="Arial"/>
                <w:sz w:val="18"/>
              </w:rPr>
              <w:t>High Range (20–1500 mg/L)</w:t>
            </w:r>
          </w:p>
        </w:tc>
        <w:tc>
          <w:tcPr>
            <w:tcW w:w="2520" w:type="dxa"/>
          </w:tcPr>
          <w:p>
            <w:pPr>
              <w:pStyle w:val="TableParagraph"/>
              <w:spacing w:before="137"/>
              <w:ind w:left="45" w:right="46"/>
              <w:jc w:val="center"/>
              <w:rPr>
                <w:rFonts w:ascii="Arial"/>
                <w:sz w:val="18"/>
              </w:rPr>
            </w:pPr>
            <w:r>
              <w:rPr>
                <w:rFonts w:ascii="Arial"/>
                <w:sz w:val="18"/>
              </w:rPr>
              <w:t>2000</w:t>
            </w:r>
          </w:p>
        </w:tc>
        <w:tc>
          <w:tcPr>
            <w:tcW w:w="2520" w:type="dxa"/>
          </w:tcPr>
          <w:p>
            <w:pPr>
              <w:pStyle w:val="TableParagraph"/>
              <w:spacing w:before="137"/>
              <w:ind w:left="45" w:right="46"/>
              <w:jc w:val="center"/>
              <w:rPr>
                <w:rFonts w:ascii="Arial"/>
                <w:sz w:val="18"/>
              </w:rPr>
            </w:pPr>
            <w:r>
              <w:rPr>
                <w:rFonts w:ascii="Arial"/>
                <w:sz w:val="18"/>
              </w:rPr>
              <w:t>1000</w:t>
            </w:r>
          </w:p>
        </w:tc>
        <w:tc>
          <w:tcPr>
            <w:tcW w:w="2520" w:type="dxa"/>
          </w:tcPr>
          <w:p>
            <w:pPr>
              <w:pStyle w:val="TableParagraph"/>
              <w:spacing w:before="137"/>
              <w:ind w:left="45" w:right="46"/>
              <w:jc w:val="center"/>
              <w:rPr>
                <w:rFonts w:ascii="Arial"/>
                <w:sz w:val="18"/>
              </w:rPr>
            </w:pPr>
            <w:r>
              <w:rPr>
                <w:rFonts w:ascii="Arial"/>
                <w:sz w:val="18"/>
              </w:rPr>
              <w:t>4000</w:t>
            </w:r>
          </w:p>
        </w:tc>
      </w:tr>
      <w:tr>
        <w:trPr>
          <w:trHeight w:val="520" w:hRule="exact"/>
        </w:trPr>
        <w:tc>
          <w:tcPr>
            <w:tcW w:w="2521" w:type="dxa"/>
          </w:tcPr>
          <w:p>
            <w:pPr>
              <w:pStyle w:val="TableParagraph"/>
              <w:spacing w:line="256" w:lineRule="auto" w:before="25"/>
              <w:ind w:left="496" w:right="474" w:firstLine="85"/>
              <w:jc w:val="left"/>
              <w:rPr>
                <w:rFonts w:ascii="Arial" w:hAnsi="Arial"/>
                <w:sz w:val="18"/>
              </w:rPr>
            </w:pPr>
            <w:r>
              <w:rPr>
                <w:rFonts w:ascii="Arial" w:hAnsi="Arial"/>
                <w:sz w:val="18"/>
              </w:rPr>
              <w:t>High Range Plus (200–15,000 mg/L)</w:t>
            </w:r>
          </w:p>
        </w:tc>
        <w:tc>
          <w:tcPr>
            <w:tcW w:w="2520" w:type="dxa"/>
          </w:tcPr>
          <w:p>
            <w:pPr>
              <w:pStyle w:val="TableParagraph"/>
              <w:spacing w:before="136"/>
              <w:ind w:left="45" w:right="45"/>
              <w:jc w:val="center"/>
              <w:rPr>
                <w:rFonts w:ascii="Arial"/>
                <w:sz w:val="18"/>
              </w:rPr>
            </w:pPr>
            <w:r>
              <w:rPr>
                <w:rFonts w:ascii="Arial"/>
                <w:sz w:val="18"/>
              </w:rPr>
              <w:t>20,000</w:t>
            </w:r>
          </w:p>
        </w:tc>
        <w:tc>
          <w:tcPr>
            <w:tcW w:w="2520" w:type="dxa"/>
          </w:tcPr>
          <w:p>
            <w:pPr>
              <w:pStyle w:val="TableParagraph"/>
              <w:spacing w:before="136"/>
              <w:ind w:left="45" w:right="45"/>
              <w:jc w:val="center"/>
              <w:rPr>
                <w:rFonts w:ascii="Arial"/>
                <w:sz w:val="18"/>
              </w:rPr>
            </w:pPr>
            <w:r>
              <w:rPr>
                <w:rFonts w:ascii="Arial"/>
                <w:sz w:val="18"/>
              </w:rPr>
              <w:t>10,000</w:t>
            </w:r>
          </w:p>
        </w:tc>
        <w:tc>
          <w:tcPr>
            <w:tcW w:w="2520" w:type="dxa"/>
          </w:tcPr>
          <w:p>
            <w:pPr>
              <w:pStyle w:val="TableParagraph"/>
              <w:spacing w:before="136"/>
              <w:ind w:left="45" w:right="45"/>
              <w:jc w:val="center"/>
              <w:rPr>
                <w:rFonts w:ascii="Arial"/>
                <w:sz w:val="18"/>
              </w:rPr>
            </w:pPr>
            <w:r>
              <w:rPr>
                <w:rFonts w:ascii="Arial"/>
                <w:sz w:val="18"/>
              </w:rPr>
              <w:t>40,000</w:t>
            </w:r>
          </w:p>
        </w:tc>
      </w:tr>
    </w:tbl>
    <w:p>
      <w:pPr>
        <w:pStyle w:val="BodyText"/>
        <w:spacing w:before="5"/>
        <w:rPr>
          <w:b/>
          <w:sz w:val="21"/>
        </w:rPr>
      </w:pPr>
      <w:r>
        <w:rPr/>
        <w:pict>
          <v:group style="position:absolute;margin-left:35.715pt;margin-top:14.276347pt;width:505.15pt;height:1.05pt;mso-position-horizontal-relative:page;mso-position-vertical-relative:paragraph;z-index:14344;mso-wrap-distance-left:0;mso-wrap-distance-right:0" coordorigin="714,286" coordsize="10103,21">
            <v:line style="position:absolute" from="725,296" to="725,296" stroked="true" strokeweight="1.02pt" strokecolor="#000000"/>
            <v:line style="position:absolute" from="725,296" to="10806,296" stroked="true" strokeweight="1.02pt" strokecolor="#000000"/>
            <w10:wrap type="topAndBottom"/>
          </v:group>
        </w:pict>
      </w:r>
    </w:p>
    <w:p>
      <w:pPr>
        <w:spacing w:line="207" w:lineRule="exact" w:before="0"/>
        <w:ind w:left="124" w:right="80" w:firstLine="0"/>
        <w:jc w:val="left"/>
        <w:rPr>
          <w:b/>
          <w:sz w:val="20"/>
        </w:rPr>
      </w:pPr>
      <w:r>
        <w:rPr>
          <w:b/>
          <w:sz w:val="20"/>
        </w:rPr>
        <w:t>Oxygen Demand, Chemical</w:t>
      </w:r>
    </w:p>
    <w:p>
      <w:pPr>
        <w:tabs>
          <w:tab w:pos="8128" w:val="left" w:leader="none"/>
        </w:tabs>
        <w:spacing w:before="10"/>
        <w:ind w:left="124" w:right="80" w:firstLine="0"/>
        <w:jc w:val="left"/>
        <w:rPr>
          <w:sz w:val="14"/>
        </w:rPr>
      </w:pPr>
      <w:r>
        <w:rPr>
          <w:b/>
          <w:sz w:val="20"/>
        </w:rPr>
        <w:t>Page 4</w:t>
      </w:r>
      <w:r>
        <w:rPr>
          <w:b/>
          <w:spacing w:val="-5"/>
          <w:sz w:val="20"/>
        </w:rPr>
        <w:t> </w:t>
      </w:r>
      <w:r>
        <w:rPr>
          <w:b/>
          <w:sz w:val="20"/>
        </w:rPr>
        <w:t>of</w:t>
      </w:r>
      <w:r>
        <w:rPr>
          <w:b/>
          <w:spacing w:val="-3"/>
          <w:sz w:val="20"/>
        </w:rPr>
        <w:t> </w:t>
      </w:r>
      <w:r>
        <w:rPr>
          <w:b/>
          <w:sz w:val="20"/>
        </w:rPr>
        <w:t>8</w:t>
        <w:tab/>
      </w:r>
      <w:r>
        <w:rPr>
          <w:sz w:val="14"/>
        </w:rPr>
        <w:t>OxygenCOD_8000_RCD_MR.fm</w:t>
      </w:r>
    </w:p>
    <w:p>
      <w:pPr>
        <w:spacing w:after="0"/>
        <w:jc w:val="left"/>
        <w:rPr>
          <w:sz w:val="14"/>
        </w:rPr>
        <w:sectPr>
          <w:type w:val="continuous"/>
          <w:pgSz w:w="11900" w:h="15840"/>
          <w:pgMar w:top="0" w:bottom="0" w:left="600" w:right="980"/>
        </w:sectPr>
      </w:pPr>
    </w:p>
    <w:p>
      <w:pPr>
        <w:pStyle w:val="Heading4"/>
        <w:ind w:left="1312" w:right="80"/>
      </w:pPr>
      <w:r>
        <w:rPr/>
        <w:pict>
          <v:group style="position:absolute;margin-left:53.775002pt;margin-top:21.080879pt;width:505.05pt;height:1.05pt;mso-position-horizontal-relative:page;mso-position-vertical-relative:paragraph;z-index:14416;mso-wrap-distance-left:0;mso-wrap-distance-right:0" coordorigin="1076,422" coordsize="10101,21">
            <v:line style="position:absolute" from="1086,432" to="1086,432" stroked="true" strokeweight="1.02pt" strokecolor="#000000"/>
            <v:line style="position:absolute" from="1086,432" to="11166,432" stroked="true" strokeweight="1.02pt" strokecolor="#000000"/>
            <w10:wrap type="topAndBottom"/>
          </v:group>
        </w:pict>
      </w:r>
      <w:r>
        <w:rPr/>
        <w:t>Oxygen Demand, Chemical (3 to 150, 20 to 1500, and 200 to 15,000 mg/L COD)</w:t>
      </w:r>
    </w:p>
    <w:p>
      <w:pPr>
        <w:pStyle w:val="BodyText"/>
        <w:spacing w:before="8"/>
        <w:rPr>
          <w:b/>
          <w:sz w:val="19"/>
        </w:rPr>
      </w:pPr>
    </w:p>
    <w:p>
      <w:pPr>
        <w:spacing w:before="64"/>
        <w:ind w:left="125" w:right="80" w:firstLine="0"/>
        <w:jc w:val="left"/>
        <w:rPr>
          <w:b/>
          <w:sz w:val="28"/>
        </w:rPr>
      </w:pPr>
      <w:r>
        <w:rPr>
          <w:b/>
          <w:sz w:val="28"/>
        </w:rPr>
        <w:t>Sampling and Storage</w:t>
      </w:r>
    </w:p>
    <w:p>
      <w:pPr>
        <w:spacing w:line="249" w:lineRule="auto" w:before="180"/>
        <w:ind w:left="1926" w:right="80" w:firstLine="0"/>
        <w:jc w:val="left"/>
        <w:rPr>
          <w:sz w:val="20"/>
        </w:rPr>
      </w:pPr>
      <w:r>
        <w:rPr>
          <w:sz w:val="20"/>
        </w:rPr>
        <w:t>Collect</w:t>
      </w:r>
      <w:r>
        <w:rPr>
          <w:spacing w:val="-10"/>
          <w:sz w:val="20"/>
        </w:rPr>
        <w:t> </w:t>
      </w:r>
      <w:r>
        <w:rPr>
          <w:sz w:val="20"/>
        </w:rPr>
        <w:t>samples</w:t>
      </w:r>
      <w:r>
        <w:rPr>
          <w:spacing w:val="-10"/>
          <w:sz w:val="20"/>
        </w:rPr>
        <w:t> </w:t>
      </w:r>
      <w:r>
        <w:rPr>
          <w:sz w:val="20"/>
        </w:rPr>
        <w:t>in</w:t>
      </w:r>
      <w:r>
        <w:rPr>
          <w:spacing w:val="-10"/>
          <w:sz w:val="20"/>
        </w:rPr>
        <w:t> </w:t>
      </w:r>
      <w:r>
        <w:rPr>
          <w:sz w:val="20"/>
        </w:rPr>
        <w:t>glass</w:t>
      </w:r>
      <w:r>
        <w:rPr>
          <w:spacing w:val="-10"/>
          <w:sz w:val="20"/>
        </w:rPr>
        <w:t> </w:t>
      </w:r>
      <w:r>
        <w:rPr>
          <w:sz w:val="20"/>
        </w:rPr>
        <w:t>bottles.</w:t>
      </w:r>
      <w:r>
        <w:rPr>
          <w:spacing w:val="-10"/>
          <w:sz w:val="20"/>
        </w:rPr>
        <w:t> </w:t>
      </w:r>
      <w:r>
        <w:rPr>
          <w:sz w:val="20"/>
        </w:rPr>
        <w:t>Use</w:t>
      </w:r>
      <w:r>
        <w:rPr>
          <w:spacing w:val="-11"/>
          <w:sz w:val="20"/>
        </w:rPr>
        <w:t> </w:t>
      </w:r>
      <w:r>
        <w:rPr>
          <w:sz w:val="20"/>
        </w:rPr>
        <w:t>plastic</w:t>
      </w:r>
      <w:r>
        <w:rPr>
          <w:spacing w:val="-9"/>
          <w:sz w:val="20"/>
        </w:rPr>
        <w:t> </w:t>
      </w:r>
      <w:r>
        <w:rPr>
          <w:sz w:val="20"/>
        </w:rPr>
        <w:t>bottles</w:t>
      </w:r>
      <w:r>
        <w:rPr>
          <w:spacing w:val="-9"/>
          <w:sz w:val="20"/>
        </w:rPr>
        <w:t> </w:t>
      </w:r>
      <w:r>
        <w:rPr>
          <w:sz w:val="20"/>
        </w:rPr>
        <w:t>only</w:t>
      </w:r>
      <w:r>
        <w:rPr>
          <w:spacing w:val="-9"/>
          <w:sz w:val="20"/>
        </w:rPr>
        <w:t> </w:t>
      </w:r>
      <w:r>
        <w:rPr>
          <w:sz w:val="20"/>
        </w:rPr>
        <w:t>if</w:t>
      </w:r>
      <w:r>
        <w:rPr>
          <w:spacing w:val="-11"/>
          <w:sz w:val="20"/>
        </w:rPr>
        <w:t> </w:t>
      </w:r>
      <w:r>
        <w:rPr>
          <w:sz w:val="20"/>
        </w:rPr>
        <w:t>they</w:t>
      </w:r>
      <w:r>
        <w:rPr>
          <w:spacing w:val="-10"/>
          <w:sz w:val="20"/>
        </w:rPr>
        <w:t> </w:t>
      </w:r>
      <w:r>
        <w:rPr>
          <w:sz w:val="20"/>
        </w:rPr>
        <w:t>are</w:t>
      </w:r>
      <w:r>
        <w:rPr>
          <w:spacing w:val="-10"/>
          <w:sz w:val="20"/>
        </w:rPr>
        <w:t> </w:t>
      </w:r>
      <w:r>
        <w:rPr>
          <w:sz w:val="20"/>
        </w:rPr>
        <w:t>known</w:t>
      </w:r>
      <w:r>
        <w:rPr>
          <w:spacing w:val="-10"/>
          <w:sz w:val="20"/>
        </w:rPr>
        <w:t> </w:t>
      </w:r>
      <w:r>
        <w:rPr>
          <w:sz w:val="20"/>
        </w:rPr>
        <w:t>to</w:t>
      </w:r>
      <w:r>
        <w:rPr>
          <w:spacing w:val="-10"/>
          <w:sz w:val="20"/>
        </w:rPr>
        <w:t> </w:t>
      </w:r>
      <w:r>
        <w:rPr>
          <w:sz w:val="20"/>
        </w:rPr>
        <w:t>be</w:t>
      </w:r>
      <w:r>
        <w:rPr>
          <w:spacing w:val="-10"/>
          <w:sz w:val="20"/>
        </w:rPr>
        <w:t> </w:t>
      </w:r>
      <w:r>
        <w:rPr>
          <w:sz w:val="20"/>
        </w:rPr>
        <w:t>free</w:t>
      </w:r>
      <w:r>
        <w:rPr>
          <w:spacing w:val="-10"/>
          <w:sz w:val="20"/>
        </w:rPr>
        <w:t> </w:t>
      </w:r>
      <w:r>
        <w:rPr>
          <w:sz w:val="20"/>
        </w:rPr>
        <w:t>of</w:t>
      </w:r>
      <w:r>
        <w:rPr>
          <w:spacing w:val="-11"/>
          <w:sz w:val="20"/>
        </w:rPr>
        <w:t> </w:t>
      </w:r>
      <w:r>
        <w:rPr>
          <w:sz w:val="20"/>
        </w:rPr>
        <w:t>organic contamination. </w:t>
      </w:r>
      <w:r>
        <w:rPr>
          <w:spacing w:val="-7"/>
          <w:sz w:val="20"/>
        </w:rPr>
        <w:t>Test </w:t>
      </w:r>
      <w:r>
        <w:rPr>
          <w:sz w:val="20"/>
        </w:rPr>
        <w:t>biologically active samples as soon as possible. Homogenize samples containing</w:t>
      </w:r>
      <w:r>
        <w:rPr>
          <w:spacing w:val="-13"/>
          <w:sz w:val="20"/>
        </w:rPr>
        <w:t> </w:t>
      </w:r>
      <w:r>
        <w:rPr>
          <w:sz w:val="20"/>
        </w:rPr>
        <w:t>solids</w:t>
      </w:r>
      <w:r>
        <w:rPr>
          <w:spacing w:val="-12"/>
          <w:sz w:val="20"/>
        </w:rPr>
        <w:t> </w:t>
      </w:r>
      <w:r>
        <w:rPr>
          <w:sz w:val="20"/>
        </w:rPr>
        <w:t>to</w:t>
      </w:r>
      <w:r>
        <w:rPr>
          <w:spacing w:val="-12"/>
          <w:sz w:val="20"/>
        </w:rPr>
        <w:t> </w:t>
      </w:r>
      <w:r>
        <w:rPr>
          <w:sz w:val="20"/>
        </w:rPr>
        <w:t>assure</w:t>
      </w:r>
      <w:r>
        <w:rPr>
          <w:spacing w:val="-12"/>
          <w:sz w:val="20"/>
        </w:rPr>
        <w:t> </w:t>
      </w:r>
      <w:r>
        <w:rPr>
          <w:sz w:val="20"/>
        </w:rPr>
        <w:t>representative</w:t>
      </w:r>
      <w:r>
        <w:rPr>
          <w:spacing w:val="-12"/>
          <w:sz w:val="20"/>
        </w:rPr>
        <w:t> </w:t>
      </w:r>
      <w:r>
        <w:rPr>
          <w:sz w:val="20"/>
        </w:rPr>
        <w:t>samples.</w:t>
      </w:r>
      <w:r>
        <w:rPr>
          <w:spacing w:val="-12"/>
          <w:sz w:val="20"/>
        </w:rPr>
        <w:t> </w:t>
      </w:r>
      <w:r>
        <w:rPr>
          <w:sz w:val="20"/>
        </w:rPr>
        <w:t>Samples</w:t>
      </w:r>
      <w:r>
        <w:rPr>
          <w:spacing w:val="-13"/>
          <w:sz w:val="20"/>
        </w:rPr>
        <w:t> </w:t>
      </w:r>
      <w:r>
        <w:rPr>
          <w:sz w:val="20"/>
        </w:rPr>
        <w:t>treated</w:t>
      </w:r>
      <w:r>
        <w:rPr>
          <w:spacing w:val="-13"/>
          <w:sz w:val="20"/>
        </w:rPr>
        <w:t> </w:t>
      </w:r>
      <w:r>
        <w:rPr>
          <w:sz w:val="20"/>
        </w:rPr>
        <w:t>with</w:t>
      </w:r>
      <w:r>
        <w:rPr>
          <w:spacing w:val="-12"/>
          <w:sz w:val="20"/>
        </w:rPr>
        <w:t> </w:t>
      </w:r>
      <w:r>
        <w:rPr>
          <w:sz w:val="20"/>
        </w:rPr>
        <w:t>sulfuric</w:t>
      </w:r>
      <w:r>
        <w:rPr>
          <w:spacing w:val="-12"/>
          <w:sz w:val="20"/>
        </w:rPr>
        <w:t> </w:t>
      </w:r>
      <w:r>
        <w:rPr>
          <w:sz w:val="20"/>
        </w:rPr>
        <w:t>acid*</w:t>
      </w:r>
      <w:r>
        <w:rPr>
          <w:spacing w:val="-12"/>
          <w:sz w:val="20"/>
        </w:rPr>
        <w:t> </w:t>
      </w:r>
      <w:r>
        <w:rPr>
          <w:sz w:val="20"/>
        </w:rPr>
        <w:t>to</w:t>
      </w:r>
      <w:r>
        <w:rPr>
          <w:spacing w:val="-12"/>
          <w:sz w:val="20"/>
        </w:rPr>
        <w:t> </w:t>
      </w:r>
      <w:r>
        <w:rPr>
          <w:sz w:val="20"/>
        </w:rPr>
        <w:t>a</w:t>
      </w:r>
      <w:r>
        <w:rPr>
          <w:spacing w:val="-13"/>
          <w:sz w:val="20"/>
        </w:rPr>
        <w:t> </w:t>
      </w:r>
      <w:r>
        <w:rPr>
          <w:sz w:val="20"/>
        </w:rPr>
        <w:t>pH of</w:t>
      </w:r>
      <w:r>
        <w:rPr>
          <w:spacing w:val="-3"/>
          <w:sz w:val="20"/>
        </w:rPr>
        <w:t> </w:t>
      </w:r>
      <w:r>
        <w:rPr>
          <w:sz w:val="20"/>
        </w:rPr>
        <w:t>less</w:t>
      </w:r>
      <w:r>
        <w:rPr>
          <w:spacing w:val="-3"/>
          <w:sz w:val="20"/>
        </w:rPr>
        <w:t> </w:t>
      </w:r>
      <w:r>
        <w:rPr>
          <w:sz w:val="20"/>
        </w:rPr>
        <w:t>than</w:t>
      </w:r>
      <w:r>
        <w:rPr>
          <w:spacing w:val="-3"/>
          <w:sz w:val="20"/>
        </w:rPr>
        <w:t> </w:t>
      </w:r>
      <w:r>
        <w:rPr>
          <w:sz w:val="20"/>
        </w:rPr>
        <w:t>2</w:t>
      </w:r>
      <w:r>
        <w:rPr>
          <w:spacing w:val="-3"/>
          <w:sz w:val="20"/>
        </w:rPr>
        <w:t> </w:t>
      </w:r>
      <w:r>
        <w:rPr>
          <w:sz w:val="20"/>
        </w:rPr>
        <w:t>(about</w:t>
      </w:r>
      <w:r>
        <w:rPr>
          <w:spacing w:val="-3"/>
          <w:sz w:val="20"/>
        </w:rPr>
        <w:t> </w:t>
      </w:r>
      <w:r>
        <w:rPr>
          <w:sz w:val="20"/>
        </w:rPr>
        <w:t>2</w:t>
      </w:r>
      <w:r>
        <w:rPr>
          <w:spacing w:val="-3"/>
          <w:sz w:val="20"/>
        </w:rPr>
        <w:t> </w:t>
      </w:r>
      <w:r>
        <w:rPr>
          <w:sz w:val="20"/>
        </w:rPr>
        <w:t>mL</w:t>
      </w:r>
      <w:r>
        <w:rPr>
          <w:spacing w:val="-3"/>
          <w:sz w:val="20"/>
        </w:rPr>
        <w:t> </w:t>
      </w:r>
      <w:r>
        <w:rPr>
          <w:sz w:val="20"/>
        </w:rPr>
        <w:t>per</w:t>
      </w:r>
      <w:r>
        <w:rPr>
          <w:spacing w:val="-3"/>
          <w:sz w:val="20"/>
        </w:rPr>
        <w:t> </w:t>
      </w:r>
      <w:r>
        <w:rPr>
          <w:sz w:val="20"/>
        </w:rPr>
        <w:t>liter)</w:t>
      </w:r>
      <w:r>
        <w:rPr>
          <w:spacing w:val="-3"/>
          <w:sz w:val="20"/>
        </w:rPr>
        <w:t> </w:t>
      </w:r>
      <w:r>
        <w:rPr>
          <w:sz w:val="20"/>
        </w:rPr>
        <w:t>and</w:t>
      </w:r>
      <w:r>
        <w:rPr>
          <w:spacing w:val="-3"/>
          <w:sz w:val="20"/>
        </w:rPr>
        <w:t> </w:t>
      </w:r>
      <w:r>
        <w:rPr>
          <w:sz w:val="20"/>
        </w:rPr>
        <w:t>refrigerated</w:t>
      </w:r>
      <w:r>
        <w:rPr>
          <w:spacing w:val="-3"/>
          <w:sz w:val="20"/>
        </w:rPr>
        <w:t> </w:t>
      </w:r>
      <w:r>
        <w:rPr>
          <w:sz w:val="20"/>
        </w:rPr>
        <w:t>at</w:t>
      </w:r>
      <w:r>
        <w:rPr>
          <w:spacing w:val="-4"/>
          <w:sz w:val="20"/>
        </w:rPr>
        <w:t> </w:t>
      </w:r>
      <w:r>
        <w:rPr>
          <w:sz w:val="20"/>
        </w:rPr>
        <w:t>4</w:t>
      </w:r>
      <w:r>
        <w:rPr>
          <w:spacing w:val="-3"/>
          <w:sz w:val="20"/>
        </w:rPr>
        <w:t> </w:t>
      </w:r>
      <w:r>
        <w:rPr>
          <w:sz w:val="20"/>
        </w:rPr>
        <w:t>°C</w:t>
      </w:r>
      <w:r>
        <w:rPr>
          <w:spacing w:val="-3"/>
          <w:sz w:val="20"/>
        </w:rPr>
        <w:t> </w:t>
      </w:r>
      <w:r>
        <w:rPr>
          <w:sz w:val="20"/>
        </w:rPr>
        <w:t>can</w:t>
      </w:r>
      <w:r>
        <w:rPr>
          <w:spacing w:val="-3"/>
          <w:sz w:val="20"/>
        </w:rPr>
        <w:t> </w:t>
      </w:r>
      <w:r>
        <w:rPr>
          <w:sz w:val="20"/>
        </w:rPr>
        <w:t>be</w:t>
      </w:r>
      <w:r>
        <w:rPr>
          <w:spacing w:val="-3"/>
          <w:sz w:val="20"/>
        </w:rPr>
        <w:t> </w:t>
      </w:r>
      <w:r>
        <w:rPr>
          <w:sz w:val="20"/>
        </w:rPr>
        <w:t>stored</w:t>
      </w:r>
      <w:r>
        <w:rPr>
          <w:spacing w:val="-3"/>
          <w:sz w:val="20"/>
        </w:rPr>
        <w:t> </w:t>
      </w:r>
      <w:r>
        <w:rPr>
          <w:sz w:val="20"/>
        </w:rPr>
        <w:t>up</w:t>
      </w:r>
      <w:r>
        <w:rPr>
          <w:spacing w:val="-3"/>
          <w:sz w:val="20"/>
        </w:rPr>
        <w:t> </w:t>
      </w:r>
      <w:r>
        <w:rPr>
          <w:sz w:val="20"/>
        </w:rPr>
        <w:t>to</w:t>
      </w:r>
      <w:r>
        <w:rPr>
          <w:spacing w:val="-3"/>
          <w:sz w:val="20"/>
        </w:rPr>
        <w:t> </w:t>
      </w:r>
      <w:r>
        <w:rPr>
          <w:sz w:val="20"/>
        </w:rPr>
        <w:t>28</w:t>
      </w:r>
      <w:r>
        <w:rPr>
          <w:spacing w:val="-3"/>
          <w:sz w:val="20"/>
        </w:rPr>
        <w:t> </w:t>
      </w:r>
      <w:r>
        <w:rPr>
          <w:sz w:val="20"/>
        </w:rPr>
        <w:t>days.</w:t>
      </w:r>
    </w:p>
    <w:p>
      <w:pPr>
        <w:spacing w:before="1"/>
        <w:ind w:left="1926" w:right="80" w:firstLine="0"/>
        <w:jc w:val="left"/>
        <w:rPr>
          <w:sz w:val="20"/>
        </w:rPr>
      </w:pPr>
      <w:r>
        <w:rPr>
          <w:sz w:val="20"/>
        </w:rPr>
        <w:t>Correct results for volume additions.</w:t>
      </w:r>
    </w:p>
    <w:p>
      <w:pPr>
        <w:pStyle w:val="BodyText"/>
        <w:spacing w:before="9"/>
        <w:rPr>
          <w:sz w:val="26"/>
        </w:rPr>
      </w:pPr>
    </w:p>
    <w:p>
      <w:pPr>
        <w:pStyle w:val="Heading3"/>
        <w:ind w:right="80"/>
      </w:pPr>
      <w:r>
        <w:rPr/>
        <w:t>Accuracy Check</w:t>
      </w:r>
    </w:p>
    <w:p>
      <w:pPr>
        <w:pStyle w:val="BodyText"/>
        <w:spacing w:before="6"/>
        <w:rPr>
          <w:b/>
        </w:rPr>
      </w:pPr>
    </w:p>
    <w:p>
      <w:pPr>
        <w:spacing w:before="0"/>
        <w:ind w:left="1926" w:right="80" w:firstLine="0"/>
        <w:jc w:val="left"/>
        <w:rPr>
          <w:b/>
          <w:sz w:val="20"/>
        </w:rPr>
      </w:pPr>
      <w:r>
        <w:rPr>
          <w:b/>
          <w:sz w:val="20"/>
        </w:rPr>
        <w:t>Standard Solution Method</w:t>
      </w:r>
    </w:p>
    <w:p>
      <w:pPr>
        <w:pStyle w:val="BodyText"/>
        <w:spacing w:before="8"/>
        <w:rPr>
          <w:b/>
          <w:sz w:val="21"/>
        </w:rPr>
      </w:pPr>
    </w:p>
    <w:p>
      <w:pPr>
        <w:pStyle w:val="ListParagraph"/>
        <w:numPr>
          <w:ilvl w:val="1"/>
          <w:numId w:val="28"/>
        </w:numPr>
        <w:tabs>
          <w:tab w:pos="2286" w:val="left" w:leader="none"/>
        </w:tabs>
        <w:spacing w:line="249" w:lineRule="auto" w:before="0" w:after="0"/>
        <w:ind w:left="2285" w:right="165" w:hanging="359"/>
        <w:jc w:val="left"/>
        <w:rPr>
          <w:sz w:val="20"/>
        </w:rPr>
      </w:pPr>
      <w:r>
        <w:rPr>
          <w:sz w:val="20"/>
        </w:rPr>
        <w:t>Check</w:t>
      </w:r>
      <w:r>
        <w:rPr>
          <w:spacing w:val="-4"/>
          <w:sz w:val="20"/>
        </w:rPr>
        <w:t> </w:t>
      </w:r>
      <w:r>
        <w:rPr>
          <w:sz w:val="20"/>
        </w:rPr>
        <w:t>the</w:t>
      </w:r>
      <w:r>
        <w:rPr>
          <w:spacing w:val="-3"/>
          <w:sz w:val="20"/>
        </w:rPr>
        <w:t> </w:t>
      </w:r>
      <w:r>
        <w:rPr>
          <w:sz w:val="20"/>
        </w:rPr>
        <w:t>accuracy</w:t>
      </w:r>
      <w:r>
        <w:rPr>
          <w:spacing w:val="-4"/>
          <w:sz w:val="20"/>
        </w:rPr>
        <w:t> </w:t>
      </w:r>
      <w:r>
        <w:rPr>
          <w:sz w:val="20"/>
        </w:rPr>
        <w:t>of</w:t>
      </w:r>
      <w:r>
        <w:rPr>
          <w:spacing w:val="-3"/>
          <w:sz w:val="20"/>
        </w:rPr>
        <w:t> </w:t>
      </w:r>
      <w:r>
        <w:rPr>
          <w:sz w:val="20"/>
        </w:rPr>
        <w:t>the</w:t>
      </w:r>
      <w:r>
        <w:rPr>
          <w:spacing w:val="-3"/>
          <w:sz w:val="20"/>
        </w:rPr>
        <w:t> </w:t>
      </w:r>
      <w:r>
        <w:rPr>
          <w:sz w:val="20"/>
        </w:rPr>
        <w:t>0.7</w:t>
      </w:r>
      <w:r>
        <w:rPr>
          <w:spacing w:val="-4"/>
          <w:sz w:val="20"/>
        </w:rPr>
        <w:t> </w:t>
      </w:r>
      <w:r>
        <w:rPr>
          <w:sz w:val="20"/>
        </w:rPr>
        <w:t>to</w:t>
      </w:r>
      <w:r>
        <w:rPr>
          <w:spacing w:val="-3"/>
          <w:sz w:val="20"/>
        </w:rPr>
        <w:t> </w:t>
      </w:r>
      <w:r>
        <w:rPr>
          <w:sz w:val="20"/>
        </w:rPr>
        <w:t>40.0</w:t>
      </w:r>
      <w:r>
        <w:rPr>
          <w:spacing w:val="-3"/>
          <w:sz w:val="20"/>
        </w:rPr>
        <w:t> </w:t>
      </w:r>
      <w:r>
        <w:rPr>
          <w:sz w:val="20"/>
        </w:rPr>
        <w:t>mg/L</w:t>
      </w:r>
      <w:r>
        <w:rPr>
          <w:spacing w:val="-3"/>
          <w:sz w:val="20"/>
        </w:rPr>
        <w:t> </w:t>
      </w:r>
      <w:r>
        <w:rPr>
          <w:sz w:val="20"/>
        </w:rPr>
        <w:t>range</w:t>
      </w:r>
      <w:r>
        <w:rPr>
          <w:spacing w:val="-3"/>
          <w:sz w:val="20"/>
        </w:rPr>
        <w:t> </w:t>
      </w:r>
      <w:r>
        <w:rPr>
          <w:sz w:val="20"/>
        </w:rPr>
        <w:t>with</w:t>
      </w:r>
      <w:r>
        <w:rPr>
          <w:spacing w:val="-3"/>
          <w:sz w:val="20"/>
        </w:rPr>
        <w:t> </w:t>
      </w:r>
      <w:r>
        <w:rPr>
          <w:sz w:val="20"/>
        </w:rPr>
        <w:t>a</w:t>
      </w:r>
      <w:r>
        <w:rPr>
          <w:spacing w:val="-3"/>
          <w:sz w:val="20"/>
        </w:rPr>
        <w:t> </w:t>
      </w:r>
      <w:r>
        <w:rPr>
          <w:sz w:val="20"/>
        </w:rPr>
        <w:t>30</w:t>
      </w:r>
      <w:r>
        <w:rPr>
          <w:spacing w:val="-3"/>
          <w:sz w:val="20"/>
        </w:rPr>
        <w:t> </w:t>
      </w:r>
      <w:r>
        <w:rPr>
          <w:sz w:val="20"/>
        </w:rPr>
        <w:t>mg/L</w:t>
      </w:r>
      <w:r>
        <w:rPr>
          <w:spacing w:val="-3"/>
          <w:sz w:val="20"/>
        </w:rPr>
        <w:t> </w:t>
      </w:r>
      <w:r>
        <w:rPr>
          <w:sz w:val="20"/>
        </w:rPr>
        <w:t>COD</w:t>
      </w:r>
      <w:r>
        <w:rPr>
          <w:spacing w:val="-4"/>
          <w:sz w:val="20"/>
        </w:rPr>
        <w:t> </w:t>
      </w:r>
      <w:r>
        <w:rPr>
          <w:sz w:val="20"/>
        </w:rPr>
        <w:t>standard</w:t>
      </w:r>
      <w:r>
        <w:rPr>
          <w:spacing w:val="-3"/>
          <w:sz w:val="20"/>
        </w:rPr>
        <w:t> </w:t>
      </w:r>
      <w:r>
        <w:rPr>
          <w:sz w:val="20"/>
        </w:rPr>
        <w:t>solution. Using class A glassware, prepare a 1000 mg/L solution by diluting 850 mg dried (120 °C, overnight) potassium acid phthalate (KHP) in 1000 mL of organic–free deionized </w:t>
      </w:r>
      <w:r>
        <w:rPr>
          <w:spacing w:val="-3"/>
          <w:sz w:val="20"/>
        </w:rPr>
        <w:t>water. </w:t>
      </w:r>
      <w:r>
        <w:rPr>
          <w:sz w:val="20"/>
        </w:rPr>
        <w:t>Prepare a 30 mg/L dilution by diluting 3.00 mL of this solution into a 100.0 mL volumetric flask.</w:t>
      </w:r>
      <w:r>
        <w:rPr>
          <w:spacing w:val="-7"/>
          <w:sz w:val="20"/>
        </w:rPr>
        <w:t> </w:t>
      </w:r>
      <w:r>
        <w:rPr>
          <w:sz w:val="20"/>
        </w:rPr>
        <w:t>Dilute</w:t>
      </w:r>
      <w:r>
        <w:rPr>
          <w:spacing w:val="-7"/>
          <w:sz w:val="20"/>
        </w:rPr>
        <w:t> </w:t>
      </w:r>
      <w:r>
        <w:rPr>
          <w:sz w:val="20"/>
        </w:rPr>
        <w:t>to</w:t>
      </w:r>
      <w:r>
        <w:rPr>
          <w:spacing w:val="-8"/>
          <w:sz w:val="20"/>
        </w:rPr>
        <w:t> </w:t>
      </w:r>
      <w:r>
        <w:rPr>
          <w:sz w:val="20"/>
        </w:rPr>
        <w:t>volume</w:t>
      </w:r>
      <w:r>
        <w:rPr>
          <w:spacing w:val="-7"/>
          <w:sz w:val="20"/>
        </w:rPr>
        <w:t> </w:t>
      </w:r>
      <w:r>
        <w:rPr>
          <w:sz w:val="20"/>
        </w:rPr>
        <w:t>with</w:t>
      </w:r>
      <w:r>
        <w:rPr>
          <w:spacing w:val="-8"/>
          <w:sz w:val="20"/>
        </w:rPr>
        <w:t> </w:t>
      </w:r>
      <w:r>
        <w:rPr>
          <w:sz w:val="20"/>
        </w:rPr>
        <w:t>deionized</w:t>
      </w:r>
      <w:r>
        <w:rPr>
          <w:spacing w:val="-8"/>
          <w:sz w:val="20"/>
        </w:rPr>
        <w:t> </w:t>
      </w:r>
      <w:r>
        <w:rPr>
          <w:sz w:val="20"/>
        </w:rPr>
        <w:t>water,</w:t>
      </w:r>
      <w:r>
        <w:rPr>
          <w:spacing w:val="-9"/>
          <w:sz w:val="20"/>
        </w:rPr>
        <w:t> </w:t>
      </w:r>
      <w:r>
        <w:rPr>
          <w:sz w:val="20"/>
        </w:rPr>
        <w:t>stopper,</w:t>
      </w:r>
      <w:r>
        <w:rPr>
          <w:spacing w:val="-9"/>
          <w:sz w:val="20"/>
        </w:rPr>
        <w:t> </w:t>
      </w:r>
      <w:r>
        <w:rPr>
          <w:sz w:val="20"/>
        </w:rPr>
        <w:t>and</w:t>
      </w:r>
      <w:r>
        <w:rPr>
          <w:spacing w:val="-7"/>
          <w:sz w:val="20"/>
        </w:rPr>
        <w:t> </w:t>
      </w:r>
      <w:r>
        <w:rPr>
          <w:sz w:val="20"/>
        </w:rPr>
        <w:t>invert</w:t>
      </w:r>
      <w:r>
        <w:rPr>
          <w:spacing w:val="-7"/>
          <w:sz w:val="20"/>
        </w:rPr>
        <w:t> </w:t>
      </w:r>
      <w:r>
        <w:rPr>
          <w:sz w:val="20"/>
        </w:rPr>
        <w:t>10</w:t>
      </w:r>
      <w:r>
        <w:rPr>
          <w:spacing w:val="-8"/>
          <w:sz w:val="20"/>
        </w:rPr>
        <w:t> </w:t>
      </w:r>
      <w:r>
        <w:rPr>
          <w:sz w:val="20"/>
        </w:rPr>
        <w:t>times</w:t>
      </w:r>
      <w:r>
        <w:rPr>
          <w:spacing w:val="-7"/>
          <w:sz w:val="20"/>
        </w:rPr>
        <w:t> </w:t>
      </w:r>
      <w:r>
        <w:rPr>
          <w:sz w:val="20"/>
        </w:rPr>
        <w:t>to</w:t>
      </w:r>
      <w:r>
        <w:rPr>
          <w:spacing w:val="-8"/>
          <w:sz w:val="20"/>
        </w:rPr>
        <w:t> </w:t>
      </w:r>
      <w:r>
        <w:rPr>
          <w:sz w:val="20"/>
        </w:rPr>
        <w:t>mix.</w:t>
      </w:r>
      <w:r>
        <w:rPr>
          <w:spacing w:val="-8"/>
          <w:sz w:val="20"/>
        </w:rPr>
        <w:t> </w:t>
      </w:r>
      <w:r>
        <w:rPr>
          <w:sz w:val="20"/>
        </w:rPr>
        <w:t>Use</w:t>
      </w:r>
      <w:r>
        <w:rPr>
          <w:spacing w:val="-7"/>
          <w:sz w:val="20"/>
        </w:rPr>
        <w:t> </w:t>
      </w:r>
      <w:r>
        <w:rPr>
          <w:sz w:val="20"/>
        </w:rPr>
        <w:t>2</w:t>
      </w:r>
      <w:r>
        <w:rPr>
          <w:spacing w:val="-7"/>
          <w:sz w:val="20"/>
        </w:rPr>
        <w:t> </w:t>
      </w:r>
      <w:r>
        <w:rPr>
          <w:sz w:val="20"/>
        </w:rPr>
        <w:t>mL as the sample volume. The result should be 30 mg/L</w:t>
      </w:r>
      <w:r>
        <w:rPr>
          <w:spacing w:val="-36"/>
          <w:sz w:val="20"/>
        </w:rPr>
        <w:t> </w:t>
      </w:r>
      <w:r>
        <w:rPr>
          <w:spacing w:val="-4"/>
          <w:sz w:val="20"/>
        </w:rPr>
        <w:t>COD.</w:t>
      </w:r>
    </w:p>
    <w:p>
      <w:pPr>
        <w:pStyle w:val="BodyText"/>
        <w:spacing w:before="11"/>
        <w:rPr>
          <w:sz w:val="20"/>
        </w:rPr>
      </w:pPr>
    </w:p>
    <w:p>
      <w:pPr>
        <w:pStyle w:val="ListParagraph"/>
        <w:numPr>
          <w:ilvl w:val="2"/>
          <w:numId w:val="28"/>
        </w:numPr>
        <w:tabs>
          <w:tab w:pos="2645" w:val="left" w:leader="none"/>
          <w:tab w:pos="2646" w:val="left" w:leader="none"/>
        </w:tabs>
        <w:spacing w:line="249" w:lineRule="auto" w:before="0" w:after="0"/>
        <w:ind w:left="2645" w:right="597" w:hanging="360"/>
        <w:jc w:val="left"/>
        <w:rPr>
          <w:sz w:val="20"/>
        </w:rPr>
      </w:pPr>
      <w:r>
        <w:rPr>
          <w:spacing w:val="-12"/>
          <w:sz w:val="20"/>
        </w:rPr>
        <w:t>To </w:t>
      </w:r>
      <w:r>
        <w:rPr>
          <w:sz w:val="20"/>
        </w:rPr>
        <w:t>adjust the calibration curve using the reading obtained with the 30 mg/L COD standard solution, press </w:t>
      </w:r>
      <w:r>
        <w:rPr>
          <w:b/>
          <w:sz w:val="18"/>
        </w:rPr>
        <w:t>OPTIONS&gt;MORE </w:t>
      </w:r>
      <w:r>
        <w:rPr>
          <w:sz w:val="20"/>
        </w:rPr>
        <w:t>on the current program menu. Press </w:t>
      </w:r>
      <w:r>
        <w:rPr>
          <w:b/>
          <w:sz w:val="18"/>
        </w:rPr>
        <w:t>STANDARD</w:t>
      </w:r>
      <w:r>
        <w:rPr>
          <w:b/>
          <w:spacing w:val="-17"/>
          <w:sz w:val="18"/>
        </w:rPr>
        <w:t> </w:t>
      </w:r>
      <w:r>
        <w:rPr>
          <w:b/>
          <w:sz w:val="18"/>
        </w:rPr>
        <w:t>ADJUST</w:t>
      </w:r>
      <w:r>
        <w:rPr>
          <w:sz w:val="20"/>
        </w:rPr>
        <w:t>.</w:t>
      </w:r>
    </w:p>
    <w:p>
      <w:pPr>
        <w:pStyle w:val="ListParagraph"/>
        <w:numPr>
          <w:ilvl w:val="2"/>
          <w:numId w:val="28"/>
        </w:numPr>
        <w:tabs>
          <w:tab w:pos="2645" w:val="left" w:leader="none"/>
          <w:tab w:pos="2646" w:val="left" w:leader="none"/>
        </w:tabs>
        <w:spacing w:line="249" w:lineRule="auto" w:before="121" w:after="0"/>
        <w:ind w:left="2645" w:right="238" w:hanging="360"/>
        <w:jc w:val="left"/>
        <w:rPr>
          <w:b/>
          <w:sz w:val="20"/>
        </w:rPr>
      </w:pPr>
      <w:r>
        <w:rPr>
          <w:sz w:val="20"/>
        </w:rPr>
        <w:t>Press </w:t>
      </w:r>
      <w:r>
        <w:rPr>
          <w:b/>
          <w:sz w:val="18"/>
        </w:rPr>
        <w:t>ON</w:t>
      </w:r>
      <w:r>
        <w:rPr>
          <w:sz w:val="20"/>
        </w:rPr>
        <w:t>. Press </w:t>
      </w:r>
      <w:r>
        <w:rPr>
          <w:b/>
          <w:sz w:val="18"/>
        </w:rPr>
        <w:t>ADJUST </w:t>
      </w:r>
      <w:r>
        <w:rPr>
          <w:sz w:val="20"/>
        </w:rPr>
        <w:t>to accept the displayed concentration. If an alternate concentration</w:t>
      </w:r>
      <w:r>
        <w:rPr>
          <w:spacing w:val="-4"/>
          <w:sz w:val="20"/>
        </w:rPr>
        <w:t> </w:t>
      </w:r>
      <w:r>
        <w:rPr>
          <w:sz w:val="20"/>
        </w:rPr>
        <w:t>is</w:t>
      </w:r>
      <w:r>
        <w:rPr>
          <w:spacing w:val="-3"/>
          <w:sz w:val="20"/>
        </w:rPr>
        <w:t> </w:t>
      </w:r>
      <w:r>
        <w:rPr>
          <w:sz w:val="20"/>
        </w:rPr>
        <w:t>used,</w:t>
      </w:r>
      <w:r>
        <w:rPr>
          <w:spacing w:val="-5"/>
          <w:sz w:val="20"/>
        </w:rPr>
        <w:t> </w:t>
      </w:r>
      <w:r>
        <w:rPr>
          <w:sz w:val="20"/>
        </w:rPr>
        <w:t>press</w:t>
      </w:r>
      <w:r>
        <w:rPr>
          <w:spacing w:val="-4"/>
          <w:sz w:val="20"/>
        </w:rPr>
        <w:t> </w:t>
      </w:r>
      <w:r>
        <w:rPr>
          <w:sz w:val="20"/>
        </w:rPr>
        <w:t>the</w:t>
      </w:r>
      <w:r>
        <w:rPr>
          <w:spacing w:val="-4"/>
          <w:sz w:val="20"/>
        </w:rPr>
        <w:t> </w:t>
      </w:r>
      <w:r>
        <w:rPr>
          <w:sz w:val="20"/>
        </w:rPr>
        <w:t>number</w:t>
      </w:r>
      <w:r>
        <w:rPr>
          <w:spacing w:val="-4"/>
          <w:sz w:val="20"/>
        </w:rPr>
        <w:t> </w:t>
      </w:r>
      <w:r>
        <w:rPr>
          <w:sz w:val="20"/>
        </w:rPr>
        <w:t>in</w:t>
      </w:r>
      <w:r>
        <w:rPr>
          <w:spacing w:val="-4"/>
          <w:sz w:val="20"/>
        </w:rPr>
        <w:t> </w:t>
      </w:r>
      <w:r>
        <w:rPr>
          <w:sz w:val="20"/>
        </w:rPr>
        <w:t>the</w:t>
      </w:r>
      <w:r>
        <w:rPr>
          <w:spacing w:val="-4"/>
          <w:sz w:val="20"/>
        </w:rPr>
        <w:t> </w:t>
      </w:r>
      <w:r>
        <w:rPr>
          <w:spacing w:val="-3"/>
          <w:sz w:val="20"/>
        </w:rPr>
        <w:t>box</w:t>
      </w:r>
      <w:r>
        <w:rPr>
          <w:spacing w:val="-4"/>
          <w:sz w:val="20"/>
        </w:rPr>
        <w:t> </w:t>
      </w:r>
      <w:r>
        <w:rPr>
          <w:sz w:val="20"/>
        </w:rPr>
        <w:t>to</w:t>
      </w:r>
      <w:r>
        <w:rPr>
          <w:spacing w:val="-4"/>
          <w:sz w:val="20"/>
        </w:rPr>
        <w:t> </w:t>
      </w:r>
      <w:r>
        <w:rPr>
          <w:sz w:val="20"/>
        </w:rPr>
        <w:t>enter</w:t>
      </w:r>
      <w:r>
        <w:rPr>
          <w:spacing w:val="-4"/>
          <w:sz w:val="20"/>
        </w:rPr>
        <w:t> </w:t>
      </w:r>
      <w:r>
        <w:rPr>
          <w:sz w:val="20"/>
        </w:rPr>
        <w:t>the</w:t>
      </w:r>
      <w:r>
        <w:rPr>
          <w:spacing w:val="-4"/>
          <w:sz w:val="20"/>
        </w:rPr>
        <w:t> </w:t>
      </w:r>
      <w:r>
        <w:rPr>
          <w:sz w:val="20"/>
        </w:rPr>
        <w:t>actual</w:t>
      </w:r>
      <w:r>
        <w:rPr>
          <w:spacing w:val="-4"/>
          <w:sz w:val="20"/>
        </w:rPr>
        <w:t> </w:t>
      </w:r>
      <w:r>
        <w:rPr>
          <w:sz w:val="20"/>
        </w:rPr>
        <w:t>concentration, then press </w:t>
      </w:r>
      <w:r>
        <w:rPr>
          <w:b/>
          <w:sz w:val="18"/>
        </w:rPr>
        <w:t>OK</w:t>
      </w:r>
      <w:r>
        <w:rPr>
          <w:sz w:val="20"/>
        </w:rPr>
        <w:t>. Press</w:t>
      </w:r>
      <w:r>
        <w:rPr>
          <w:spacing w:val="-15"/>
          <w:sz w:val="20"/>
        </w:rPr>
        <w:t> </w:t>
      </w:r>
      <w:r>
        <w:rPr>
          <w:b/>
          <w:sz w:val="18"/>
        </w:rPr>
        <w:t>ADJUST</w:t>
      </w:r>
      <w:r>
        <w:rPr>
          <w:b/>
          <w:sz w:val="20"/>
        </w:rPr>
        <w:t>.</w:t>
      </w:r>
    </w:p>
    <w:p>
      <w:pPr>
        <w:pStyle w:val="BodyText"/>
        <w:spacing w:before="11"/>
        <w:rPr>
          <w:b/>
          <w:sz w:val="20"/>
        </w:rPr>
      </w:pPr>
    </w:p>
    <w:p>
      <w:pPr>
        <w:pStyle w:val="ListParagraph"/>
        <w:numPr>
          <w:ilvl w:val="1"/>
          <w:numId w:val="28"/>
        </w:numPr>
        <w:tabs>
          <w:tab w:pos="2286" w:val="left" w:leader="none"/>
        </w:tabs>
        <w:spacing w:line="249" w:lineRule="auto" w:before="0" w:after="0"/>
        <w:ind w:left="2285" w:right="159" w:hanging="360"/>
        <w:jc w:val="left"/>
        <w:rPr>
          <w:sz w:val="20"/>
        </w:rPr>
      </w:pPr>
      <w:r>
        <w:rPr>
          <w:sz w:val="20"/>
        </w:rPr>
        <w:t>Check the accuracy of the 3 to 150 mg/L range with a 100 mg/L standard. Prepare </w:t>
      </w:r>
      <w:r>
        <w:rPr>
          <w:spacing w:val="-3"/>
          <w:sz w:val="20"/>
        </w:rPr>
        <w:t>by </w:t>
      </w:r>
      <w:r>
        <w:rPr>
          <w:sz w:val="20"/>
        </w:rPr>
        <w:t>dissolving 85 mg of dried (120 °C, overnight) potassium acid phthalate (KHP) in 1 liter of deionized</w:t>
      </w:r>
      <w:r>
        <w:rPr>
          <w:spacing w:val="-9"/>
          <w:sz w:val="20"/>
        </w:rPr>
        <w:t> </w:t>
      </w:r>
      <w:r>
        <w:rPr>
          <w:spacing w:val="-3"/>
          <w:sz w:val="20"/>
        </w:rPr>
        <w:t>water.</w:t>
      </w:r>
      <w:r>
        <w:rPr>
          <w:spacing w:val="-9"/>
          <w:sz w:val="20"/>
        </w:rPr>
        <w:t> </w:t>
      </w:r>
      <w:r>
        <w:rPr>
          <w:sz w:val="20"/>
        </w:rPr>
        <w:t>Use</w:t>
      </w:r>
      <w:r>
        <w:rPr>
          <w:spacing w:val="-9"/>
          <w:sz w:val="20"/>
        </w:rPr>
        <w:t> </w:t>
      </w:r>
      <w:r>
        <w:rPr>
          <w:sz w:val="20"/>
        </w:rPr>
        <w:t>2</w:t>
      </w:r>
      <w:r>
        <w:rPr>
          <w:spacing w:val="-9"/>
          <w:sz w:val="20"/>
        </w:rPr>
        <w:t> </w:t>
      </w:r>
      <w:r>
        <w:rPr>
          <w:sz w:val="20"/>
        </w:rPr>
        <w:t>mL</w:t>
      </w:r>
      <w:r>
        <w:rPr>
          <w:spacing w:val="-9"/>
          <w:sz w:val="20"/>
        </w:rPr>
        <w:t> </w:t>
      </w:r>
      <w:r>
        <w:rPr>
          <w:sz w:val="20"/>
        </w:rPr>
        <w:t>as</w:t>
      </w:r>
      <w:r>
        <w:rPr>
          <w:spacing w:val="-9"/>
          <w:sz w:val="20"/>
        </w:rPr>
        <w:t> </w:t>
      </w:r>
      <w:r>
        <w:rPr>
          <w:sz w:val="20"/>
        </w:rPr>
        <w:t>the</w:t>
      </w:r>
      <w:r>
        <w:rPr>
          <w:spacing w:val="-9"/>
          <w:sz w:val="20"/>
        </w:rPr>
        <w:t> </w:t>
      </w:r>
      <w:r>
        <w:rPr>
          <w:sz w:val="20"/>
        </w:rPr>
        <w:t>sample</w:t>
      </w:r>
      <w:r>
        <w:rPr>
          <w:spacing w:val="-10"/>
          <w:sz w:val="20"/>
        </w:rPr>
        <w:t> </w:t>
      </w:r>
      <w:r>
        <w:rPr>
          <w:sz w:val="20"/>
        </w:rPr>
        <w:t>volume.</w:t>
      </w:r>
      <w:r>
        <w:rPr>
          <w:spacing w:val="-10"/>
          <w:sz w:val="20"/>
        </w:rPr>
        <w:t> </w:t>
      </w:r>
      <w:r>
        <w:rPr>
          <w:sz w:val="20"/>
        </w:rPr>
        <w:t>The</w:t>
      </w:r>
      <w:r>
        <w:rPr>
          <w:spacing w:val="-9"/>
          <w:sz w:val="20"/>
        </w:rPr>
        <w:t> </w:t>
      </w:r>
      <w:r>
        <w:rPr>
          <w:sz w:val="20"/>
        </w:rPr>
        <w:t>result</w:t>
      </w:r>
      <w:r>
        <w:rPr>
          <w:spacing w:val="-10"/>
          <w:sz w:val="20"/>
        </w:rPr>
        <w:t> </w:t>
      </w:r>
      <w:r>
        <w:rPr>
          <w:sz w:val="20"/>
        </w:rPr>
        <w:t>should</w:t>
      </w:r>
      <w:r>
        <w:rPr>
          <w:spacing w:val="-10"/>
          <w:sz w:val="20"/>
        </w:rPr>
        <w:t> </w:t>
      </w:r>
      <w:r>
        <w:rPr>
          <w:sz w:val="20"/>
        </w:rPr>
        <w:t>be</w:t>
      </w:r>
      <w:r>
        <w:rPr>
          <w:spacing w:val="-9"/>
          <w:sz w:val="20"/>
        </w:rPr>
        <w:t> </w:t>
      </w:r>
      <w:r>
        <w:rPr>
          <w:sz w:val="20"/>
        </w:rPr>
        <w:t>100</w:t>
      </w:r>
      <w:r>
        <w:rPr>
          <w:spacing w:val="-10"/>
          <w:sz w:val="20"/>
        </w:rPr>
        <w:t> </w:t>
      </w:r>
      <w:r>
        <w:rPr>
          <w:sz w:val="20"/>
        </w:rPr>
        <w:t>mg/L</w:t>
      </w:r>
      <w:r>
        <w:rPr>
          <w:spacing w:val="-9"/>
          <w:sz w:val="20"/>
        </w:rPr>
        <w:t> </w:t>
      </w:r>
      <w:r>
        <w:rPr>
          <w:spacing w:val="-4"/>
          <w:sz w:val="20"/>
        </w:rPr>
        <w:t>COD.</w:t>
      </w:r>
      <w:r>
        <w:rPr>
          <w:spacing w:val="-9"/>
          <w:sz w:val="20"/>
        </w:rPr>
        <w:t> </w:t>
      </w:r>
      <w:r>
        <w:rPr>
          <w:sz w:val="20"/>
        </w:rPr>
        <w:t>Or dilute 10 mL of 1000-mg/L COD Standard Solution to 100 mL to produce a 100-mg/L standard.</w:t>
      </w:r>
    </w:p>
    <w:p>
      <w:pPr>
        <w:pStyle w:val="BodyText"/>
        <w:spacing w:before="11"/>
        <w:rPr>
          <w:sz w:val="20"/>
        </w:rPr>
      </w:pPr>
    </w:p>
    <w:p>
      <w:pPr>
        <w:pStyle w:val="ListParagraph"/>
        <w:numPr>
          <w:ilvl w:val="2"/>
          <w:numId w:val="28"/>
        </w:numPr>
        <w:tabs>
          <w:tab w:pos="2645" w:val="left" w:leader="none"/>
          <w:tab w:pos="2646" w:val="left" w:leader="none"/>
        </w:tabs>
        <w:spacing w:line="249" w:lineRule="auto" w:before="0" w:after="0"/>
        <w:ind w:left="2645" w:right="485" w:hanging="360"/>
        <w:jc w:val="left"/>
        <w:rPr>
          <w:sz w:val="20"/>
        </w:rPr>
      </w:pPr>
      <w:r>
        <w:rPr>
          <w:spacing w:val="-12"/>
          <w:sz w:val="20"/>
        </w:rPr>
        <w:t>To </w:t>
      </w:r>
      <w:r>
        <w:rPr>
          <w:sz w:val="20"/>
        </w:rPr>
        <w:t>adjust the calibration curve using the reading obtained with the 100 mg/L COD standard solution, press </w:t>
      </w:r>
      <w:r>
        <w:rPr>
          <w:b/>
          <w:sz w:val="18"/>
        </w:rPr>
        <w:t>OPTIONS&gt;MORE </w:t>
      </w:r>
      <w:r>
        <w:rPr>
          <w:sz w:val="20"/>
        </w:rPr>
        <w:t>on the current program menu. Press </w:t>
      </w:r>
      <w:r>
        <w:rPr>
          <w:b/>
          <w:sz w:val="18"/>
        </w:rPr>
        <w:t>STANDARD</w:t>
      </w:r>
      <w:r>
        <w:rPr>
          <w:b/>
          <w:spacing w:val="-17"/>
          <w:sz w:val="18"/>
        </w:rPr>
        <w:t> </w:t>
      </w:r>
      <w:r>
        <w:rPr>
          <w:b/>
          <w:sz w:val="18"/>
        </w:rPr>
        <w:t>ADJUST</w:t>
      </w:r>
      <w:r>
        <w:rPr>
          <w:sz w:val="20"/>
        </w:rPr>
        <w:t>.</w:t>
      </w:r>
    </w:p>
    <w:p>
      <w:pPr>
        <w:pStyle w:val="ListParagraph"/>
        <w:numPr>
          <w:ilvl w:val="2"/>
          <w:numId w:val="28"/>
        </w:numPr>
        <w:tabs>
          <w:tab w:pos="2645" w:val="left" w:leader="none"/>
          <w:tab w:pos="2646" w:val="left" w:leader="none"/>
        </w:tabs>
        <w:spacing w:line="249" w:lineRule="auto" w:before="122" w:after="0"/>
        <w:ind w:left="2645" w:right="238" w:hanging="360"/>
        <w:jc w:val="left"/>
        <w:rPr>
          <w:b/>
          <w:sz w:val="20"/>
        </w:rPr>
      </w:pPr>
      <w:r>
        <w:rPr>
          <w:sz w:val="20"/>
        </w:rPr>
        <w:t>Press </w:t>
      </w:r>
      <w:r>
        <w:rPr>
          <w:b/>
          <w:sz w:val="18"/>
        </w:rPr>
        <w:t>ON</w:t>
      </w:r>
      <w:r>
        <w:rPr>
          <w:sz w:val="20"/>
        </w:rPr>
        <w:t>. Press </w:t>
      </w:r>
      <w:r>
        <w:rPr>
          <w:b/>
          <w:sz w:val="18"/>
        </w:rPr>
        <w:t>ADJUST </w:t>
      </w:r>
      <w:r>
        <w:rPr>
          <w:sz w:val="20"/>
        </w:rPr>
        <w:t>to accept the displayed concentration. If an alternate concentration</w:t>
      </w:r>
      <w:r>
        <w:rPr>
          <w:spacing w:val="-4"/>
          <w:sz w:val="20"/>
        </w:rPr>
        <w:t> </w:t>
      </w:r>
      <w:r>
        <w:rPr>
          <w:sz w:val="20"/>
        </w:rPr>
        <w:t>is</w:t>
      </w:r>
      <w:r>
        <w:rPr>
          <w:spacing w:val="-3"/>
          <w:sz w:val="20"/>
        </w:rPr>
        <w:t> </w:t>
      </w:r>
      <w:r>
        <w:rPr>
          <w:sz w:val="20"/>
        </w:rPr>
        <w:t>used,</w:t>
      </w:r>
      <w:r>
        <w:rPr>
          <w:spacing w:val="-5"/>
          <w:sz w:val="20"/>
        </w:rPr>
        <w:t> </w:t>
      </w:r>
      <w:r>
        <w:rPr>
          <w:sz w:val="20"/>
        </w:rPr>
        <w:t>press</w:t>
      </w:r>
      <w:r>
        <w:rPr>
          <w:spacing w:val="-4"/>
          <w:sz w:val="20"/>
        </w:rPr>
        <w:t> </w:t>
      </w:r>
      <w:r>
        <w:rPr>
          <w:sz w:val="20"/>
        </w:rPr>
        <w:t>the</w:t>
      </w:r>
      <w:r>
        <w:rPr>
          <w:spacing w:val="-4"/>
          <w:sz w:val="20"/>
        </w:rPr>
        <w:t> </w:t>
      </w:r>
      <w:r>
        <w:rPr>
          <w:sz w:val="20"/>
        </w:rPr>
        <w:t>number</w:t>
      </w:r>
      <w:r>
        <w:rPr>
          <w:spacing w:val="-4"/>
          <w:sz w:val="20"/>
        </w:rPr>
        <w:t> </w:t>
      </w:r>
      <w:r>
        <w:rPr>
          <w:sz w:val="20"/>
        </w:rPr>
        <w:t>in</w:t>
      </w:r>
      <w:r>
        <w:rPr>
          <w:spacing w:val="-4"/>
          <w:sz w:val="20"/>
        </w:rPr>
        <w:t> </w:t>
      </w:r>
      <w:r>
        <w:rPr>
          <w:sz w:val="20"/>
        </w:rPr>
        <w:t>the</w:t>
      </w:r>
      <w:r>
        <w:rPr>
          <w:spacing w:val="-4"/>
          <w:sz w:val="20"/>
        </w:rPr>
        <w:t> </w:t>
      </w:r>
      <w:r>
        <w:rPr>
          <w:spacing w:val="-3"/>
          <w:sz w:val="20"/>
        </w:rPr>
        <w:t>box</w:t>
      </w:r>
      <w:r>
        <w:rPr>
          <w:spacing w:val="-4"/>
          <w:sz w:val="20"/>
        </w:rPr>
        <w:t> </w:t>
      </w:r>
      <w:r>
        <w:rPr>
          <w:sz w:val="20"/>
        </w:rPr>
        <w:t>to</w:t>
      </w:r>
      <w:r>
        <w:rPr>
          <w:spacing w:val="-4"/>
          <w:sz w:val="20"/>
        </w:rPr>
        <w:t> </w:t>
      </w:r>
      <w:r>
        <w:rPr>
          <w:sz w:val="20"/>
        </w:rPr>
        <w:t>enter</w:t>
      </w:r>
      <w:r>
        <w:rPr>
          <w:spacing w:val="-4"/>
          <w:sz w:val="20"/>
        </w:rPr>
        <w:t> </w:t>
      </w:r>
      <w:r>
        <w:rPr>
          <w:sz w:val="20"/>
        </w:rPr>
        <w:t>the</w:t>
      </w:r>
      <w:r>
        <w:rPr>
          <w:spacing w:val="-4"/>
          <w:sz w:val="20"/>
        </w:rPr>
        <w:t> </w:t>
      </w:r>
      <w:r>
        <w:rPr>
          <w:sz w:val="20"/>
        </w:rPr>
        <w:t>actual</w:t>
      </w:r>
      <w:r>
        <w:rPr>
          <w:spacing w:val="-4"/>
          <w:sz w:val="20"/>
        </w:rPr>
        <w:t> </w:t>
      </w:r>
      <w:r>
        <w:rPr>
          <w:sz w:val="20"/>
        </w:rPr>
        <w:t>concentration, then press </w:t>
      </w:r>
      <w:r>
        <w:rPr>
          <w:b/>
          <w:sz w:val="18"/>
        </w:rPr>
        <w:t>OK</w:t>
      </w:r>
      <w:r>
        <w:rPr>
          <w:sz w:val="20"/>
        </w:rPr>
        <w:t>. Press</w:t>
      </w:r>
      <w:r>
        <w:rPr>
          <w:spacing w:val="-15"/>
          <w:sz w:val="20"/>
        </w:rPr>
        <w:t> </w:t>
      </w:r>
      <w:r>
        <w:rPr>
          <w:b/>
          <w:sz w:val="18"/>
        </w:rPr>
        <w:t>ADJUST</w:t>
      </w:r>
      <w:r>
        <w:rPr>
          <w:b/>
          <w:sz w:val="20"/>
        </w:rPr>
        <w:t>.</w:t>
      </w:r>
    </w:p>
    <w:p>
      <w:pPr>
        <w:pStyle w:val="BodyText"/>
        <w:spacing w:before="11"/>
        <w:rPr>
          <w:b/>
          <w:sz w:val="20"/>
        </w:rPr>
      </w:pPr>
    </w:p>
    <w:p>
      <w:pPr>
        <w:pStyle w:val="ListParagraph"/>
        <w:numPr>
          <w:ilvl w:val="1"/>
          <w:numId w:val="28"/>
        </w:numPr>
        <w:tabs>
          <w:tab w:pos="2286" w:val="left" w:leader="none"/>
        </w:tabs>
        <w:spacing w:line="249" w:lineRule="auto" w:before="0" w:after="0"/>
        <w:ind w:left="2285" w:right="203" w:hanging="360"/>
        <w:jc w:val="left"/>
        <w:rPr>
          <w:sz w:val="20"/>
        </w:rPr>
      </w:pPr>
      <w:r>
        <w:rPr>
          <w:sz w:val="20"/>
        </w:rPr>
        <w:t>Check the accuracy of the 20 to 1,500 mg/L range </w:t>
      </w:r>
      <w:r>
        <w:rPr>
          <w:spacing w:val="-3"/>
          <w:sz w:val="20"/>
        </w:rPr>
        <w:t>by </w:t>
      </w:r>
      <w:r>
        <w:rPr>
          <w:sz w:val="20"/>
        </w:rPr>
        <w:t>using either a 300 mg/L or 1000 mg/L</w:t>
      </w:r>
      <w:r>
        <w:rPr>
          <w:spacing w:val="-4"/>
          <w:sz w:val="20"/>
        </w:rPr>
        <w:t> </w:t>
      </w:r>
      <w:r>
        <w:rPr>
          <w:sz w:val="20"/>
        </w:rPr>
        <w:t>COD</w:t>
      </w:r>
      <w:r>
        <w:rPr>
          <w:spacing w:val="-5"/>
          <w:sz w:val="20"/>
        </w:rPr>
        <w:t> </w:t>
      </w:r>
      <w:r>
        <w:rPr>
          <w:sz w:val="20"/>
        </w:rPr>
        <w:t>Standard</w:t>
      </w:r>
      <w:r>
        <w:rPr>
          <w:spacing w:val="-4"/>
          <w:sz w:val="20"/>
        </w:rPr>
        <w:t> </w:t>
      </w:r>
      <w:r>
        <w:rPr>
          <w:sz w:val="20"/>
        </w:rPr>
        <w:t>Solution.</w:t>
      </w:r>
      <w:r>
        <w:rPr>
          <w:spacing w:val="-5"/>
          <w:sz w:val="20"/>
        </w:rPr>
        <w:t> </w:t>
      </w:r>
      <w:r>
        <w:rPr>
          <w:sz w:val="20"/>
        </w:rPr>
        <w:t>Use</w:t>
      </w:r>
      <w:r>
        <w:rPr>
          <w:spacing w:val="-4"/>
          <w:sz w:val="20"/>
        </w:rPr>
        <w:t> </w:t>
      </w:r>
      <w:r>
        <w:rPr>
          <w:sz w:val="20"/>
        </w:rPr>
        <w:t>2</w:t>
      </w:r>
      <w:r>
        <w:rPr>
          <w:spacing w:val="-4"/>
          <w:sz w:val="20"/>
        </w:rPr>
        <w:t> </w:t>
      </w:r>
      <w:r>
        <w:rPr>
          <w:sz w:val="20"/>
        </w:rPr>
        <w:t>mL</w:t>
      </w:r>
      <w:r>
        <w:rPr>
          <w:spacing w:val="-4"/>
          <w:sz w:val="20"/>
        </w:rPr>
        <w:t> </w:t>
      </w:r>
      <w:r>
        <w:rPr>
          <w:sz w:val="20"/>
        </w:rPr>
        <w:t>of</w:t>
      </w:r>
      <w:r>
        <w:rPr>
          <w:spacing w:val="-4"/>
          <w:sz w:val="20"/>
        </w:rPr>
        <w:t> </w:t>
      </w:r>
      <w:r>
        <w:rPr>
          <w:sz w:val="20"/>
        </w:rPr>
        <w:t>one</w:t>
      </w:r>
      <w:r>
        <w:rPr>
          <w:spacing w:val="-4"/>
          <w:sz w:val="20"/>
        </w:rPr>
        <w:t> </w:t>
      </w:r>
      <w:r>
        <w:rPr>
          <w:sz w:val="20"/>
        </w:rPr>
        <w:t>of</w:t>
      </w:r>
      <w:r>
        <w:rPr>
          <w:spacing w:val="-4"/>
          <w:sz w:val="20"/>
        </w:rPr>
        <w:t> </w:t>
      </w:r>
      <w:r>
        <w:rPr>
          <w:sz w:val="20"/>
        </w:rPr>
        <w:t>these</w:t>
      </w:r>
      <w:r>
        <w:rPr>
          <w:spacing w:val="-4"/>
          <w:sz w:val="20"/>
        </w:rPr>
        <w:t> </w:t>
      </w:r>
      <w:r>
        <w:rPr>
          <w:sz w:val="20"/>
        </w:rPr>
        <w:t>solutions</w:t>
      </w:r>
      <w:r>
        <w:rPr>
          <w:spacing w:val="-5"/>
          <w:sz w:val="20"/>
        </w:rPr>
        <w:t> </w:t>
      </w:r>
      <w:r>
        <w:rPr>
          <w:sz w:val="20"/>
        </w:rPr>
        <w:t>as</w:t>
      </w:r>
      <w:r>
        <w:rPr>
          <w:spacing w:val="-4"/>
          <w:sz w:val="20"/>
        </w:rPr>
        <w:t> </w:t>
      </w:r>
      <w:r>
        <w:rPr>
          <w:sz w:val="20"/>
        </w:rPr>
        <w:t>the</w:t>
      </w:r>
      <w:r>
        <w:rPr>
          <w:spacing w:val="-4"/>
          <w:sz w:val="20"/>
        </w:rPr>
        <w:t> </w:t>
      </w:r>
      <w:r>
        <w:rPr>
          <w:sz w:val="20"/>
        </w:rPr>
        <w:t>sample</w:t>
      </w:r>
      <w:r>
        <w:rPr>
          <w:spacing w:val="-4"/>
          <w:sz w:val="20"/>
        </w:rPr>
        <w:t> </w:t>
      </w:r>
      <w:r>
        <w:rPr>
          <w:sz w:val="20"/>
        </w:rPr>
        <w:t>volume; the expected result will be 300 or 1000 mg/L COD respectively. </w:t>
      </w:r>
      <w:r>
        <w:rPr>
          <w:spacing w:val="-3"/>
          <w:sz w:val="20"/>
        </w:rPr>
        <w:t>Or, </w:t>
      </w:r>
      <w:r>
        <w:rPr>
          <w:sz w:val="20"/>
        </w:rPr>
        <w:t>prepare a 500 mg/L standard </w:t>
      </w:r>
      <w:r>
        <w:rPr>
          <w:spacing w:val="-3"/>
          <w:sz w:val="20"/>
        </w:rPr>
        <w:t>by </w:t>
      </w:r>
      <w:r>
        <w:rPr>
          <w:sz w:val="20"/>
        </w:rPr>
        <w:t>dissolving 425 mg of dried (120 °C, overnight) </w:t>
      </w:r>
      <w:r>
        <w:rPr>
          <w:spacing w:val="-9"/>
          <w:sz w:val="20"/>
        </w:rPr>
        <w:t>KHP. </w:t>
      </w:r>
      <w:r>
        <w:rPr>
          <w:sz w:val="20"/>
        </w:rPr>
        <w:t>Dilute to 1 liter with deionized</w:t>
      </w:r>
      <w:r>
        <w:rPr>
          <w:spacing w:val="-8"/>
          <w:sz w:val="20"/>
        </w:rPr>
        <w:t> </w:t>
      </w:r>
      <w:r>
        <w:rPr>
          <w:spacing w:val="-3"/>
          <w:sz w:val="20"/>
        </w:rPr>
        <w:t>water.</w:t>
      </w:r>
    </w:p>
    <w:p>
      <w:pPr>
        <w:pStyle w:val="BodyText"/>
        <w:spacing w:before="11"/>
        <w:rPr>
          <w:sz w:val="20"/>
        </w:rPr>
      </w:pPr>
    </w:p>
    <w:p>
      <w:pPr>
        <w:pStyle w:val="ListParagraph"/>
        <w:numPr>
          <w:ilvl w:val="2"/>
          <w:numId w:val="28"/>
        </w:numPr>
        <w:tabs>
          <w:tab w:pos="2645" w:val="left" w:leader="none"/>
          <w:tab w:pos="2646" w:val="left" w:leader="none"/>
        </w:tabs>
        <w:spacing w:line="249" w:lineRule="auto" w:before="0" w:after="0"/>
        <w:ind w:left="2645" w:right="249" w:hanging="360"/>
        <w:jc w:val="left"/>
        <w:rPr>
          <w:sz w:val="20"/>
        </w:rPr>
      </w:pPr>
      <w:r>
        <w:rPr>
          <w:spacing w:val="-12"/>
          <w:sz w:val="20"/>
        </w:rPr>
        <w:t>To </w:t>
      </w:r>
      <w:r>
        <w:rPr>
          <w:sz w:val="20"/>
        </w:rPr>
        <w:t>adjust the calibration curve using the reading obtained with the 300 mg/L or 1000 mg/L COD standard solution, press </w:t>
      </w:r>
      <w:r>
        <w:rPr>
          <w:b/>
          <w:sz w:val="18"/>
        </w:rPr>
        <w:t>OPTIONS&gt;MORE </w:t>
      </w:r>
      <w:r>
        <w:rPr>
          <w:sz w:val="20"/>
        </w:rPr>
        <w:t>on the current program menu. Press </w:t>
      </w:r>
      <w:r>
        <w:rPr>
          <w:b/>
          <w:sz w:val="18"/>
        </w:rPr>
        <w:t>STANDARD</w:t>
      </w:r>
      <w:r>
        <w:rPr>
          <w:b/>
          <w:spacing w:val="-18"/>
          <w:sz w:val="18"/>
        </w:rPr>
        <w:t> </w:t>
      </w:r>
      <w:r>
        <w:rPr>
          <w:b/>
          <w:sz w:val="18"/>
        </w:rPr>
        <w:t>ADJUST</w:t>
      </w:r>
      <w:r>
        <w:rPr>
          <w:sz w:val="20"/>
        </w:rPr>
        <w:t>.</w:t>
      </w:r>
    </w:p>
    <w:p>
      <w:pPr>
        <w:pStyle w:val="ListParagraph"/>
        <w:numPr>
          <w:ilvl w:val="2"/>
          <w:numId w:val="28"/>
        </w:numPr>
        <w:tabs>
          <w:tab w:pos="2645" w:val="left" w:leader="none"/>
          <w:tab w:pos="2646" w:val="left" w:leader="none"/>
        </w:tabs>
        <w:spacing w:line="249" w:lineRule="auto" w:before="121" w:after="0"/>
        <w:ind w:left="2645" w:right="238" w:hanging="359"/>
        <w:jc w:val="left"/>
        <w:rPr>
          <w:b/>
          <w:sz w:val="20"/>
        </w:rPr>
      </w:pPr>
      <w:r>
        <w:rPr>
          <w:sz w:val="20"/>
        </w:rPr>
        <w:t>Press </w:t>
      </w:r>
      <w:r>
        <w:rPr>
          <w:b/>
          <w:sz w:val="18"/>
        </w:rPr>
        <w:t>ON</w:t>
      </w:r>
      <w:r>
        <w:rPr>
          <w:sz w:val="20"/>
        </w:rPr>
        <w:t>. Press </w:t>
      </w:r>
      <w:r>
        <w:rPr>
          <w:b/>
          <w:sz w:val="18"/>
        </w:rPr>
        <w:t>ADJUST </w:t>
      </w:r>
      <w:r>
        <w:rPr>
          <w:sz w:val="20"/>
        </w:rPr>
        <w:t>to accept the displayed concentration. If an alternate concentration</w:t>
      </w:r>
      <w:r>
        <w:rPr>
          <w:spacing w:val="-4"/>
          <w:sz w:val="20"/>
        </w:rPr>
        <w:t> </w:t>
      </w:r>
      <w:r>
        <w:rPr>
          <w:sz w:val="20"/>
        </w:rPr>
        <w:t>is</w:t>
      </w:r>
      <w:r>
        <w:rPr>
          <w:spacing w:val="-3"/>
          <w:sz w:val="20"/>
        </w:rPr>
        <w:t> </w:t>
      </w:r>
      <w:r>
        <w:rPr>
          <w:sz w:val="20"/>
        </w:rPr>
        <w:t>used,</w:t>
      </w:r>
      <w:r>
        <w:rPr>
          <w:spacing w:val="-5"/>
          <w:sz w:val="20"/>
        </w:rPr>
        <w:t> </w:t>
      </w:r>
      <w:r>
        <w:rPr>
          <w:sz w:val="20"/>
        </w:rPr>
        <w:t>press</w:t>
      </w:r>
      <w:r>
        <w:rPr>
          <w:spacing w:val="-4"/>
          <w:sz w:val="20"/>
        </w:rPr>
        <w:t> </w:t>
      </w:r>
      <w:r>
        <w:rPr>
          <w:sz w:val="20"/>
        </w:rPr>
        <w:t>the</w:t>
      </w:r>
      <w:r>
        <w:rPr>
          <w:spacing w:val="-4"/>
          <w:sz w:val="20"/>
        </w:rPr>
        <w:t> </w:t>
      </w:r>
      <w:r>
        <w:rPr>
          <w:sz w:val="20"/>
        </w:rPr>
        <w:t>number</w:t>
      </w:r>
      <w:r>
        <w:rPr>
          <w:spacing w:val="-4"/>
          <w:sz w:val="20"/>
        </w:rPr>
        <w:t> </w:t>
      </w:r>
      <w:r>
        <w:rPr>
          <w:sz w:val="20"/>
        </w:rPr>
        <w:t>in</w:t>
      </w:r>
      <w:r>
        <w:rPr>
          <w:spacing w:val="-4"/>
          <w:sz w:val="20"/>
        </w:rPr>
        <w:t> </w:t>
      </w:r>
      <w:r>
        <w:rPr>
          <w:sz w:val="20"/>
        </w:rPr>
        <w:t>the</w:t>
      </w:r>
      <w:r>
        <w:rPr>
          <w:spacing w:val="-4"/>
          <w:sz w:val="20"/>
        </w:rPr>
        <w:t> </w:t>
      </w:r>
      <w:r>
        <w:rPr>
          <w:spacing w:val="-3"/>
          <w:sz w:val="20"/>
        </w:rPr>
        <w:t>box</w:t>
      </w:r>
      <w:r>
        <w:rPr>
          <w:spacing w:val="-4"/>
          <w:sz w:val="20"/>
        </w:rPr>
        <w:t> </w:t>
      </w:r>
      <w:r>
        <w:rPr>
          <w:sz w:val="20"/>
        </w:rPr>
        <w:t>to</w:t>
      </w:r>
      <w:r>
        <w:rPr>
          <w:spacing w:val="-4"/>
          <w:sz w:val="20"/>
        </w:rPr>
        <w:t> </w:t>
      </w:r>
      <w:r>
        <w:rPr>
          <w:sz w:val="20"/>
        </w:rPr>
        <w:t>enter</w:t>
      </w:r>
      <w:r>
        <w:rPr>
          <w:spacing w:val="-4"/>
          <w:sz w:val="20"/>
        </w:rPr>
        <w:t> </w:t>
      </w:r>
      <w:r>
        <w:rPr>
          <w:sz w:val="20"/>
        </w:rPr>
        <w:t>the</w:t>
      </w:r>
      <w:r>
        <w:rPr>
          <w:spacing w:val="-4"/>
          <w:sz w:val="20"/>
        </w:rPr>
        <w:t> </w:t>
      </w:r>
      <w:r>
        <w:rPr>
          <w:sz w:val="20"/>
        </w:rPr>
        <w:t>actual</w:t>
      </w:r>
      <w:r>
        <w:rPr>
          <w:spacing w:val="-4"/>
          <w:sz w:val="20"/>
        </w:rPr>
        <w:t> </w:t>
      </w:r>
      <w:r>
        <w:rPr>
          <w:sz w:val="20"/>
        </w:rPr>
        <w:t>concentration, then press </w:t>
      </w:r>
      <w:r>
        <w:rPr>
          <w:b/>
          <w:sz w:val="18"/>
        </w:rPr>
        <w:t>OK</w:t>
      </w:r>
      <w:r>
        <w:rPr>
          <w:sz w:val="20"/>
        </w:rPr>
        <w:t>. Press</w:t>
      </w:r>
      <w:r>
        <w:rPr>
          <w:spacing w:val="-15"/>
          <w:sz w:val="20"/>
        </w:rPr>
        <w:t> </w:t>
      </w:r>
      <w:r>
        <w:rPr>
          <w:b/>
          <w:sz w:val="18"/>
        </w:rPr>
        <w:t>ADJUST</w:t>
      </w:r>
      <w:r>
        <w:rPr>
          <w:b/>
          <w:sz w:val="20"/>
        </w:rPr>
        <w:t>.</w:t>
      </w:r>
    </w:p>
    <w:p>
      <w:pPr>
        <w:pStyle w:val="BodyText"/>
        <w:rPr>
          <w:b/>
          <w:sz w:val="20"/>
        </w:rPr>
      </w:pPr>
    </w:p>
    <w:p>
      <w:pPr>
        <w:pStyle w:val="BodyText"/>
        <w:rPr>
          <w:b/>
          <w:sz w:val="20"/>
        </w:rPr>
      </w:pPr>
    </w:p>
    <w:p>
      <w:pPr>
        <w:pStyle w:val="BodyText"/>
        <w:spacing w:before="7"/>
        <w:rPr>
          <w:b/>
          <w:sz w:val="16"/>
        </w:rPr>
      </w:pPr>
      <w:r>
        <w:rPr/>
        <w:pict>
          <v:group style="position:absolute;margin-left:54.049999pt;margin-top:11.502339pt;width:180.75pt;height:.5pt;mso-position-horizontal-relative:page;mso-position-vertical-relative:paragraph;z-index:14440;mso-wrap-distance-left:0;mso-wrap-distance-right:0" coordorigin="1081,230" coordsize="3615,10">
            <v:line style="position:absolute" from="1086,235" to="1086,235" stroked="true" strokeweight=".48pt" strokecolor="#000000"/>
            <v:line style="position:absolute" from="1086,235" to="4691,235" stroked="true" strokeweight=".48pt" strokecolor="#000000"/>
            <w10:wrap type="topAndBottom"/>
          </v:group>
        </w:pict>
      </w:r>
    </w:p>
    <w:p>
      <w:pPr>
        <w:pStyle w:val="ListParagraph"/>
        <w:numPr>
          <w:ilvl w:val="0"/>
          <w:numId w:val="26"/>
        </w:numPr>
        <w:tabs>
          <w:tab w:pos="233" w:val="left" w:leader="none"/>
        </w:tabs>
        <w:spacing w:line="240" w:lineRule="auto" w:before="2" w:after="0"/>
        <w:ind w:left="232" w:right="0" w:hanging="106"/>
        <w:jc w:val="left"/>
        <w:rPr>
          <w:sz w:val="16"/>
        </w:rPr>
      </w:pPr>
      <w:r>
        <w:rPr>
          <w:sz w:val="16"/>
        </w:rPr>
        <w:t>See </w:t>
      </w:r>
      <w:r>
        <w:rPr>
          <w:color w:val="0000FF"/>
          <w:sz w:val="16"/>
        </w:rPr>
        <w:t>Optional Reagents on page</w:t>
      </w:r>
      <w:r>
        <w:rPr>
          <w:color w:val="0000FF"/>
          <w:spacing w:val="-7"/>
          <w:sz w:val="16"/>
        </w:rPr>
        <w:t> </w:t>
      </w:r>
      <w:r>
        <w:rPr>
          <w:color w:val="0000FF"/>
          <w:sz w:val="16"/>
        </w:rPr>
        <w:t>8</w:t>
      </w:r>
      <w:r>
        <w:rPr>
          <w:sz w:val="16"/>
        </w:rPr>
        <w:t>.</w:t>
      </w:r>
    </w:p>
    <w:p>
      <w:pPr>
        <w:pStyle w:val="BodyText"/>
        <w:spacing w:before="9"/>
      </w:pPr>
      <w:r>
        <w:rPr/>
        <w:pict>
          <v:group style="position:absolute;margin-left:53.474998pt;margin-top:15.089787pt;width:505.05pt;height:1.05pt;mso-position-horizontal-relative:page;mso-position-vertical-relative:paragraph;z-index:14464;mso-wrap-distance-left:0;mso-wrap-distance-right:0" coordorigin="1069,302" coordsize="10101,21">
            <v:line style="position:absolute" from="1080,312" to="1080,312" stroked="true" strokeweight="1.02pt" strokecolor="#000000"/>
            <v:line style="position:absolute" from="1080,312" to="11160,312" stroked="true" strokeweight="1.02pt" strokecolor="#000000"/>
            <w10:wrap type="topAndBottom"/>
          </v:group>
        </w:pict>
      </w:r>
    </w:p>
    <w:p>
      <w:pPr>
        <w:spacing w:line="207" w:lineRule="exact" w:before="0"/>
        <w:ind w:left="0" w:right="143" w:firstLine="0"/>
        <w:jc w:val="right"/>
        <w:rPr>
          <w:b/>
          <w:sz w:val="20"/>
        </w:rPr>
      </w:pPr>
      <w:r>
        <w:rPr>
          <w:b/>
          <w:sz w:val="20"/>
        </w:rPr>
        <w:t>Oxygen Demand, Chemical</w:t>
      </w:r>
    </w:p>
    <w:p>
      <w:pPr>
        <w:tabs>
          <w:tab w:pos="9004" w:val="left" w:leader="none"/>
        </w:tabs>
        <w:spacing w:before="10"/>
        <w:ind w:left="0" w:right="143" w:firstLine="0"/>
        <w:jc w:val="right"/>
        <w:rPr>
          <w:b/>
          <w:sz w:val="20"/>
        </w:rPr>
      </w:pPr>
      <w:r>
        <w:rPr>
          <w:sz w:val="14"/>
        </w:rPr>
        <w:t>OxygenCOD_8000_RCD_MR.fm</w:t>
        <w:tab/>
      </w:r>
      <w:r>
        <w:rPr>
          <w:b/>
          <w:sz w:val="20"/>
        </w:rPr>
        <w:t>Page 5 of</w:t>
      </w:r>
      <w:r>
        <w:rPr>
          <w:b/>
          <w:spacing w:val="-11"/>
          <w:sz w:val="20"/>
        </w:rPr>
        <w:t> </w:t>
      </w:r>
      <w:r>
        <w:rPr>
          <w:b/>
          <w:sz w:val="20"/>
        </w:rPr>
        <w:t>8</w:t>
      </w:r>
    </w:p>
    <w:p>
      <w:pPr>
        <w:spacing w:after="0"/>
        <w:jc w:val="right"/>
        <w:rPr>
          <w:sz w:val="20"/>
        </w:rPr>
        <w:sectPr>
          <w:headerReference w:type="default" r:id="rId275"/>
          <w:footerReference w:type="default" r:id="rId276"/>
          <w:pgSz w:w="11900" w:h="15840"/>
          <w:pgMar w:header="0" w:footer="0" w:top="240" w:bottom="0" w:left="960" w:right="620"/>
        </w:sectPr>
      </w:pPr>
    </w:p>
    <w:p>
      <w:pPr>
        <w:pStyle w:val="Heading4"/>
      </w:pPr>
      <w:r>
        <w:rPr/>
        <w:pict>
          <v:group style="position:absolute;margin-left:35.715pt;margin-top:21.080879pt;width:505.15pt;height:1.05pt;mso-position-horizontal-relative:page;mso-position-vertical-relative:paragraph;z-index:14488;mso-wrap-distance-left:0;mso-wrap-distance-right:0" coordorigin="714,422" coordsize="10103,21">
            <v:line style="position:absolute" from="725,432" to="725,432" stroked="true" strokeweight="1.02pt" strokecolor="#000000"/>
            <v:line style="position:absolute" from="725,432" to="10806,432" stroked="true" strokeweight="1.02pt" strokecolor="#000000"/>
            <w10:wrap type="topAndBottom"/>
          </v:group>
        </w:pict>
      </w:r>
      <w:r>
        <w:rPr/>
        <w:t>Oxygen Demand, Chemical (3 to 150, 20 to 1500, and 200 to 15,000 mg/L COD)</w:t>
      </w:r>
    </w:p>
    <w:p>
      <w:pPr>
        <w:pStyle w:val="BodyText"/>
        <w:spacing w:before="3"/>
        <w:rPr>
          <w:b/>
          <w:sz w:val="27"/>
        </w:rPr>
      </w:pPr>
    </w:p>
    <w:p>
      <w:pPr>
        <w:pStyle w:val="ListParagraph"/>
        <w:numPr>
          <w:ilvl w:val="1"/>
          <w:numId w:val="28"/>
        </w:numPr>
        <w:tabs>
          <w:tab w:pos="2286" w:val="left" w:leader="none"/>
        </w:tabs>
        <w:spacing w:line="249" w:lineRule="auto" w:before="0" w:after="0"/>
        <w:ind w:left="2285" w:right="428" w:hanging="359"/>
        <w:jc w:val="left"/>
        <w:rPr>
          <w:sz w:val="20"/>
        </w:rPr>
      </w:pPr>
      <w:r>
        <w:rPr>
          <w:sz w:val="20"/>
        </w:rPr>
        <w:t>Check the accuracy of the 200 to 15,000 mg/L range by using a 10,000 mg/L COD standard solution. Prepare the 10,000 mg/L solution by dissolving 8.500 g of dried (120</w:t>
      </w:r>
      <w:r>
        <w:rPr>
          <w:spacing w:val="-3"/>
          <w:sz w:val="20"/>
        </w:rPr>
        <w:t> </w:t>
      </w:r>
      <w:r>
        <w:rPr>
          <w:sz w:val="20"/>
        </w:rPr>
        <w:t>°C,</w:t>
      </w:r>
      <w:r>
        <w:rPr>
          <w:spacing w:val="-3"/>
          <w:sz w:val="20"/>
        </w:rPr>
        <w:t> </w:t>
      </w:r>
      <w:r>
        <w:rPr>
          <w:sz w:val="20"/>
        </w:rPr>
        <w:t>overnight)</w:t>
      </w:r>
      <w:r>
        <w:rPr>
          <w:spacing w:val="-4"/>
          <w:sz w:val="20"/>
        </w:rPr>
        <w:t> </w:t>
      </w:r>
      <w:r>
        <w:rPr>
          <w:sz w:val="20"/>
        </w:rPr>
        <w:t>KHP</w:t>
      </w:r>
      <w:r>
        <w:rPr>
          <w:spacing w:val="-3"/>
          <w:sz w:val="20"/>
        </w:rPr>
        <w:t> </w:t>
      </w:r>
      <w:r>
        <w:rPr>
          <w:sz w:val="20"/>
        </w:rPr>
        <w:t>in</w:t>
      </w:r>
      <w:r>
        <w:rPr>
          <w:spacing w:val="-3"/>
          <w:sz w:val="20"/>
        </w:rPr>
        <w:t> </w:t>
      </w:r>
      <w:r>
        <w:rPr>
          <w:sz w:val="20"/>
        </w:rPr>
        <w:t>1</w:t>
      </w:r>
      <w:r>
        <w:rPr>
          <w:spacing w:val="-3"/>
          <w:sz w:val="20"/>
        </w:rPr>
        <w:t> </w:t>
      </w:r>
      <w:r>
        <w:rPr>
          <w:sz w:val="20"/>
        </w:rPr>
        <w:t>liter</w:t>
      </w:r>
      <w:r>
        <w:rPr>
          <w:spacing w:val="-3"/>
          <w:sz w:val="20"/>
        </w:rPr>
        <w:t> </w:t>
      </w:r>
      <w:r>
        <w:rPr>
          <w:sz w:val="20"/>
        </w:rPr>
        <w:t>of</w:t>
      </w:r>
      <w:r>
        <w:rPr>
          <w:spacing w:val="-3"/>
          <w:sz w:val="20"/>
        </w:rPr>
        <w:t> </w:t>
      </w:r>
      <w:r>
        <w:rPr>
          <w:sz w:val="20"/>
        </w:rPr>
        <w:t>deionized</w:t>
      </w:r>
      <w:r>
        <w:rPr>
          <w:spacing w:val="-3"/>
          <w:sz w:val="20"/>
        </w:rPr>
        <w:t> water. </w:t>
      </w:r>
      <w:r>
        <w:rPr>
          <w:sz w:val="20"/>
        </w:rPr>
        <w:t>Use</w:t>
      </w:r>
      <w:r>
        <w:rPr>
          <w:spacing w:val="-3"/>
          <w:sz w:val="20"/>
        </w:rPr>
        <w:t> </w:t>
      </w:r>
      <w:r>
        <w:rPr>
          <w:sz w:val="20"/>
        </w:rPr>
        <w:t>0.2</w:t>
      </w:r>
      <w:r>
        <w:rPr>
          <w:spacing w:val="-3"/>
          <w:sz w:val="20"/>
        </w:rPr>
        <w:t> </w:t>
      </w:r>
      <w:r>
        <w:rPr>
          <w:sz w:val="20"/>
        </w:rPr>
        <w:t>mL</w:t>
      </w:r>
      <w:r>
        <w:rPr>
          <w:spacing w:val="-3"/>
          <w:sz w:val="20"/>
        </w:rPr>
        <w:t> </w:t>
      </w:r>
      <w:r>
        <w:rPr>
          <w:sz w:val="20"/>
        </w:rPr>
        <w:t>of</w:t>
      </w:r>
      <w:r>
        <w:rPr>
          <w:spacing w:val="-3"/>
          <w:sz w:val="20"/>
        </w:rPr>
        <w:t> </w:t>
      </w:r>
      <w:r>
        <w:rPr>
          <w:sz w:val="20"/>
        </w:rPr>
        <w:t>this</w:t>
      </w:r>
      <w:r>
        <w:rPr>
          <w:spacing w:val="-2"/>
          <w:sz w:val="20"/>
        </w:rPr>
        <w:t> </w:t>
      </w:r>
      <w:r>
        <w:rPr>
          <w:sz w:val="20"/>
        </w:rPr>
        <w:t>solution</w:t>
      </w:r>
      <w:r>
        <w:rPr>
          <w:spacing w:val="-3"/>
          <w:sz w:val="20"/>
        </w:rPr>
        <w:t> </w:t>
      </w:r>
      <w:r>
        <w:rPr>
          <w:sz w:val="20"/>
        </w:rPr>
        <w:t>as</w:t>
      </w:r>
      <w:r>
        <w:rPr>
          <w:spacing w:val="-3"/>
          <w:sz w:val="20"/>
        </w:rPr>
        <w:t> </w:t>
      </w:r>
      <w:r>
        <w:rPr>
          <w:sz w:val="20"/>
        </w:rPr>
        <w:t>the sample volume; the expected result will be 10,000 mg/L</w:t>
      </w:r>
      <w:r>
        <w:rPr>
          <w:spacing w:val="-31"/>
          <w:sz w:val="20"/>
        </w:rPr>
        <w:t> </w:t>
      </w:r>
      <w:r>
        <w:rPr>
          <w:spacing w:val="-4"/>
          <w:sz w:val="20"/>
        </w:rPr>
        <w:t>COD.</w:t>
      </w:r>
    </w:p>
    <w:p>
      <w:pPr>
        <w:pStyle w:val="BodyText"/>
        <w:spacing w:before="11"/>
        <w:rPr>
          <w:sz w:val="20"/>
        </w:rPr>
      </w:pPr>
    </w:p>
    <w:p>
      <w:pPr>
        <w:pStyle w:val="ListParagraph"/>
        <w:numPr>
          <w:ilvl w:val="2"/>
          <w:numId w:val="28"/>
        </w:numPr>
        <w:tabs>
          <w:tab w:pos="2645" w:val="left" w:leader="none"/>
          <w:tab w:pos="2646" w:val="left" w:leader="none"/>
        </w:tabs>
        <w:spacing w:line="249" w:lineRule="auto" w:before="0" w:after="0"/>
        <w:ind w:left="2645" w:right="228" w:hanging="360"/>
        <w:jc w:val="left"/>
        <w:rPr>
          <w:sz w:val="20"/>
        </w:rPr>
      </w:pPr>
      <w:r>
        <w:rPr>
          <w:spacing w:val="-12"/>
          <w:sz w:val="20"/>
        </w:rPr>
        <w:t>To </w:t>
      </w:r>
      <w:r>
        <w:rPr>
          <w:sz w:val="20"/>
        </w:rPr>
        <w:t>adjust the calibration curve using the reading obtained with the 10,000 mg/L COD standard solution, press </w:t>
      </w:r>
      <w:r>
        <w:rPr>
          <w:b/>
          <w:sz w:val="18"/>
        </w:rPr>
        <w:t>OPTIONS&gt;MORE </w:t>
      </w:r>
      <w:r>
        <w:rPr>
          <w:sz w:val="20"/>
        </w:rPr>
        <w:t>on the current program menu. Press </w:t>
      </w:r>
      <w:r>
        <w:rPr>
          <w:b/>
          <w:sz w:val="18"/>
        </w:rPr>
        <w:t>STANDARD</w:t>
      </w:r>
      <w:r>
        <w:rPr>
          <w:b/>
          <w:spacing w:val="-15"/>
          <w:sz w:val="18"/>
        </w:rPr>
        <w:t> </w:t>
      </w:r>
      <w:r>
        <w:rPr>
          <w:b/>
          <w:sz w:val="18"/>
        </w:rPr>
        <w:t>ADJUST</w:t>
      </w:r>
      <w:r>
        <w:rPr>
          <w:sz w:val="20"/>
        </w:rPr>
        <w:t>.</w:t>
      </w:r>
    </w:p>
    <w:p>
      <w:pPr>
        <w:pStyle w:val="ListParagraph"/>
        <w:numPr>
          <w:ilvl w:val="2"/>
          <w:numId w:val="28"/>
        </w:numPr>
        <w:tabs>
          <w:tab w:pos="2645" w:val="left" w:leader="none"/>
          <w:tab w:pos="2646" w:val="left" w:leader="none"/>
        </w:tabs>
        <w:spacing w:line="249" w:lineRule="auto" w:before="121" w:after="0"/>
        <w:ind w:left="2645" w:right="258" w:hanging="360"/>
        <w:jc w:val="left"/>
        <w:rPr>
          <w:b/>
          <w:sz w:val="20"/>
        </w:rPr>
      </w:pPr>
      <w:r>
        <w:rPr>
          <w:sz w:val="20"/>
        </w:rPr>
        <w:t>Press </w:t>
      </w:r>
      <w:r>
        <w:rPr>
          <w:b/>
          <w:sz w:val="18"/>
        </w:rPr>
        <w:t>ON</w:t>
      </w:r>
      <w:r>
        <w:rPr>
          <w:sz w:val="20"/>
        </w:rPr>
        <w:t>. Press </w:t>
      </w:r>
      <w:r>
        <w:rPr>
          <w:b/>
          <w:sz w:val="18"/>
        </w:rPr>
        <w:t>ADJUST </w:t>
      </w:r>
      <w:r>
        <w:rPr>
          <w:sz w:val="20"/>
        </w:rPr>
        <w:t>to accept the displayed concentration. If an alternate concentration</w:t>
      </w:r>
      <w:r>
        <w:rPr>
          <w:spacing w:val="-5"/>
          <w:sz w:val="20"/>
        </w:rPr>
        <w:t> </w:t>
      </w:r>
      <w:r>
        <w:rPr>
          <w:sz w:val="20"/>
        </w:rPr>
        <w:t>is</w:t>
      </w:r>
      <w:r>
        <w:rPr>
          <w:spacing w:val="-5"/>
          <w:sz w:val="20"/>
        </w:rPr>
        <w:t> </w:t>
      </w:r>
      <w:r>
        <w:rPr>
          <w:sz w:val="20"/>
        </w:rPr>
        <w:t>used,</w:t>
      </w:r>
      <w:r>
        <w:rPr>
          <w:spacing w:val="-5"/>
          <w:sz w:val="20"/>
        </w:rPr>
        <w:t> </w:t>
      </w:r>
      <w:r>
        <w:rPr>
          <w:sz w:val="20"/>
        </w:rPr>
        <w:t>press</w:t>
      </w:r>
      <w:r>
        <w:rPr>
          <w:spacing w:val="-5"/>
          <w:sz w:val="20"/>
        </w:rPr>
        <w:t> </w:t>
      </w:r>
      <w:r>
        <w:rPr>
          <w:sz w:val="20"/>
        </w:rPr>
        <w:t>the</w:t>
      </w:r>
      <w:r>
        <w:rPr>
          <w:spacing w:val="-5"/>
          <w:sz w:val="20"/>
        </w:rPr>
        <w:t> </w:t>
      </w:r>
      <w:r>
        <w:rPr>
          <w:sz w:val="20"/>
        </w:rPr>
        <w:t>number</w:t>
      </w:r>
      <w:r>
        <w:rPr>
          <w:spacing w:val="-5"/>
          <w:sz w:val="20"/>
        </w:rPr>
        <w:t> </w:t>
      </w:r>
      <w:r>
        <w:rPr>
          <w:sz w:val="20"/>
        </w:rPr>
        <w:t>in</w:t>
      </w:r>
      <w:r>
        <w:rPr>
          <w:spacing w:val="-5"/>
          <w:sz w:val="20"/>
        </w:rPr>
        <w:t> </w:t>
      </w:r>
      <w:r>
        <w:rPr>
          <w:sz w:val="20"/>
        </w:rPr>
        <w:t>the</w:t>
      </w:r>
      <w:r>
        <w:rPr>
          <w:spacing w:val="-5"/>
          <w:sz w:val="20"/>
        </w:rPr>
        <w:t> </w:t>
      </w:r>
      <w:r>
        <w:rPr>
          <w:sz w:val="20"/>
        </w:rPr>
        <w:t>box</w:t>
      </w:r>
      <w:r>
        <w:rPr>
          <w:spacing w:val="-5"/>
          <w:sz w:val="20"/>
        </w:rPr>
        <w:t> </w:t>
      </w:r>
      <w:r>
        <w:rPr>
          <w:sz w:val="20"/>
        </w:rPr>
        <w:t>to</w:t>
      </w:r>
      <w:r>
        <w:rPr>
          <w:spacing w:val="-5"/>
          <w:sz w:val="20"/>
        </w:rPr>
        <w:t> </w:t>
      </w:r>
      <w:r>
        <w:rPr>
          <w:sz w:val="20"/>
        </w:rPr>
        <w:t>enter</w:t>
      </w:r>
      <w:r>
        <w:rPr>
          <w:spacing w:val="-5"/>
          <w:sz w:val="20"/>
        </w:rPr>
        <w:t> </w:t>
      </w:r>
      <w:r>
        <w:rPr>
          <w:sz w:val="20"/>
        </w:rPr>
        <w:t>the</w:t>
      </w:r>
      <w:r>
        <w:rPr>
          <w:spacing w:val="-5"/>
          <w:sz w:val="20"/>
        </w:rPr>
        <w:t> </w:t>
      </w:r>
      <w:r>
        <w:rPr>
          <w:sz w:val="20"/>
        </w:rPr>
        <w:t>actual</w:t>
      </w:r>
      <w:r>
        <w:rPr>
          <w:spacing w:val="-5"/>
          <w:sz w:val="20"/>
        </w:rPr>
        <w:t> </w:t>
      </w:r>
      <w:r>
        <w:rPr>
          <w:sz w:val="20"/>
        </w:rPr>
        <w:t>concentration, then press </w:t>
      </w:r>
      <w:r>
        <w:rPr>
          <w:b/>
          <w:sz w:val="18"/>
        </w:rPr>
        <w:t>OK</w:t>
      </w:r>
      <w:r>
        <w:rPr>
          <w:sz w:val="20"/>
        </w:rPr>
        <w:t>. Press</w:t>
      </w:r>
      <w:r>
        <w:rPr>
          <w:spacing w:val="-18"/>
          <w:sz w:val="20"/>
        </w:rPr>
        <w:t> </w:t>
      </w:r>
      <w:r>
        <w:rPr>
          <w:b/>
          <w:sz w:val="18"/>
        </w:rPr>
        <w:t>ADJUST</w:t>
      </w:r>
      <w:r>
        <w:rPr>
          <w:b/>
          <w:sz w:val="20"/>
        </w:rPr>
        <w:t>.</w:t>
      </w:r>
    </w:p>
    <w:p>
      <w:pPr>
        <w:pStyle w:val="BodyText"/>
        <w:rPr>
          <w:b/>
          <w:sz w:val="26"/>
        </w:rPr>
      </w:pPr>
    </w:p>
    <w:p>
      <w:pPr>
        <w:pStyle w:val="Heading3"/>
        <w:ind w:left="124"/>
      </w:pPr>
      <w:r>
        <w:rPr/>
        <w:t>Method Performance</w:t>
      </w:r>
    </w:p>
    <w:p>
      <w:pPr>
        <w:pStyle w:val="BodyText"/>
        <w:spacing w:before="6"/>
        <w:rPr>
          <w:b/>
        </w:rPr>
      </w:pPr>
    </w:p>
    <w:p>
      <w:pPr>
        <w:spacing w:before="0"/>
        <w:ind w:left="1926" w:right="101" w:firstLine="0"/>
        <w:jc w:val="left"/>
        <w:rPr>
          <w:b/>
          <w:sz w:val="20"/>
        </w:rPr>
      </w:pPr>
      <w:r>
        <w:rPr>
          <w:b/>
          <w:sz w:val="20"/>
        </w:rPr>
        <w:t>Precision</w:t>
      </w:r>
    </w:p>
    <w:p>
      <w:pPr>
        <w:spacing w:line="249" w:lineRule="auto" w:before="10"/>
        <w:ind w:left="1926" w:right="101" w:firstLine="0"/>
        <w:jc w:val="left"/>
        <w:rPr>
          <w:sz w:val="20"/>
        </w:rPr>
      </w:pPr>
      <w:r>
        <w:rPr>
          <w:sz w:val="20"/>
        </w:rPr>
        <w:t>Standard: 30 mg/L COD (Utra Low Range), 80 mg/L COD (Low Range), 800 mg/L COD (High Range), and 10,000mg/L COD (High Range Plus)</w:t>
      </w:r>
    </w:p>
    <w:p>
      <w:pPr>
        <w:pStyle w:val="BodyText"/>
        <w:spacing w:before="9"/>
        <w:rPr>
          <w:sz w:val="21"/>
        </w:rPr>
      </w:pPr>
    </w:p>
    <w:tbl>
      <w:tblPr>
        <w:tblW w:w="0" w:type="auto"/>
        <w:jc w:val="left"/>
        <w:tblInd w:w="1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18"/>
        <w:gridCol w:w="1853"/>
        <w:gridCol w:w="5122"/>
      </w:tblGrid>
      <w:tr>
        <w:trPr>
          <w:trHeight w:val="380" w:hRule="exact"/>
        </w:trPr>
        <w:tc>
          <w:tcPr>
            <w:tcW w:w="1318" w:type="dxa"/>
          </w:tcPr>
          <w:p>
            <w:pPr>
              <w:pStyle w:val="TableParagraph"/>
              <w:spacing w:before="66"/>
              <w:ind w:left="263" w:right="263"/>
              <w:jc w:val="center"/>
              <w:rPr>
                <w:rFonts w:ascii="Arial"/>
                <w:b/>
                <w:sz w:val="18"/>
              </w:rPr>
            </w:pPr>
            <w:r>
              <w:rPr>
                <w:rFonts w:ascii="Arial"/>
                <w:b/>
                <w:sz w:val="18"/>
              </w:rPr>
              <w:t>Program</w:t>
            </w:r>
          </w:p>
        </w:tc>
        <w:tc>
          <w:tcPr>
            <w:tcW w:w="1853" w:type="dxa"/>
          </w:tcPr>
          <w:p>
            <w:pPr>
              <w:pStyle w:val="TableParagraph"/>
              <w:spacing w:before="66"/>
              <w:ind w:left="326" w:right="326"/>
              <w:jc w:val="center"/>
              <w:rPr>
                <w:rFonts w:ascii="Arial"/>
                <w:b/>
                <w:sz w:val="18"/>
              </w:rPr>
            </w:pPr>
            <w:r>
              <w:rPr>
                <w:rFonts w:ascii="Arial"/>
                <w:b/>
                <w:sz w:val="18"/>
              </w:rPr>
              <w:t>Range (mg/L)</w:t>
            </w:r>
          </w:p>
        </w:tc>
        <w:tc>
          <w:tcPr>
            <w:tcW w:w="5122" w:type="dxa"/>
          </w:tcPr>
          <w:p>
            <w:pPr>
              <w:pStyle w:val="TableParagraph"/>
              <w:spacing w:before="66"/>
              <w:ind w:left="910" w:right="910"/>
              <w:jc w:val="center"/>
              <w:rPr>
                <w:rFonts w:ascii="Arial"/>
                <w:b/>
                <w:sz w:val="18"/>
              </w:rPr>
            </w:pPr>
            <w:r>
              <w:rPr>
                <w:rFonts w:ascii="Arial"/>
                <w:b/>
                <w:sz w:val="18"/>
              </w:rPr>
              <w:t>95% Confidence Limits of Distribution</w:t>
            </w:r>
          </w:p>
        </w:tc>
      </w:tr>
      <w:tr>
        <w:trPr>
          <w:trHeight w:val="300" w:hRule="exact"/>
        </w:trPr>
        <w:tc>
          <w:tcPr>
            <w:tcW w:w="1318" w:type="dxa"/>
          </w:tcPr>
          <w:p>
            <w:pPr>
              <w:pStyle w:val="TableParagraph"/>
              <w:spacing w:before="25"/>
              <w:ind w:left="263" w:right="263"/>
              <w:jc w:val="center"/>
              <w:rPr>
                <w:rFonts w:ascii="Arial"/>
                <w:sz w:val="18"/>
              </w:rPr>
            </w:pPr>
            <w:r>
              <w:rPr>
                <w:rFonts w:ascii="Arial"/>
                <w:sz w:val="18"/>
              </w:rPr>
              <w:t>430</w:t>
            </w:r>
          </w:p>
        </w:tc>
        <w:tc>
          <w:tcPr>
            <w:tcW w:w="1853" w:type="dxa"/>
          </w:tcPr>
          <w:p>
            <w:pPr>
              <w:pStyle w:val="TableParagraph"/>
              <w:spacing w:before="25"/>
              <w:ind w:left="326" w:right="326"/>
              <w:jc w:val="center"/>
              <w:rPr>
                <w:rFonts w:ascii="Arial" w:hAnsi="Arial"/>
                <w:sz w:val="18"/>
              </w:rPr>
            </w:pPr>
            <w:r>
              <w:rPr>
                <w:rFonts w:ascii="Arial" w:hAnsi="Arial"/>
                <w:sz w:val="18"/>
              </w:rPr>
              <w:t>3–150</w:t>
            </w:r>
          </w:p>
        </w:tc>
        <w:tc>
          <w:tcPr>
            <w:tcW w:w="5122" w:type="dxa"/>
          </w:tcPr>
          <w:p>
            <w:pPr>
              <w:pStyle w:val="TableParagraph"/>
              <w:spacing w:before="25"/>
              <w:ind w:left="910" w:right="910"/>
              <w:jc w:val="center"/>
              <w:rPr>
                <w:rFonts w:ascii="Arial" w:hAnsi="Arial"/>
                <w:sz w:val="18"/>
              </w:rPr>
            </w:pPr>
            <w:r>
              <w:rPr>
                <w:rFonts w:ascii="Arial" w:hAnsi="Arial"/>
                <w:sz w:val="18"/>
              </w:rPr>
              <w:t>77–83 mg/L COD</w:t>
            </w:r>
          </w:p>
        </w:tc>
      </w:tr>
      <w:tr>
        <w:trPr>
          <w:trHeight w:val="300" w:hRule="exact"/>
        </w:trPr>
        <w:tc>
          <w:tcPr>
            <w:tcW w:w="1318" w:type="dxa"/>
          </w:tcPr>
          <w:p>
            <w:pPr>
              <w:pStyle w:val="TableParagraph"/>
              <w:spacing w:before="26"/>
              <w:ind w:left="263" w:right="263"/>
              <w:jc w:val="center"/>
              <w:rPr>
                <w:rFonts w:ascii="Arial"/>
                <w:sz w:val="18"/>
              </w:rPr>
            </w:pPr>
            <w:r>
              <w:rPr>
                <w:rFonts w:ascii="Arial"/>
                <w:sz w:val="18"/>
              </w:rPr>
              <w:t>431</w:t>
            </w:r>
          </w:p>
        </w:tc>
        <w:tc>
          <w:tcPr>
            <w:tcW w:w="1853" w:type="dxa"/>
          </w:tcPr>
          <w:p>
            <w:pPr>
              <w:pStyle w:val="TableParagraph"/>
              <w:spacing w:before="26"/>
              <w:ind w:left="326" w:right="326"/>
              <w:jc w:val="center"/>
              <w:rPr>
                <w:rFonts w:ascii="Arial" w:hAnsi="Arial"/>
                <w:sz w:val="18"/>
              </w:rPr>
            </w:pPr>
            <w:r>
              <w:rPr>
                <w:rFonts w:ascii="Arial" w:hAnsi="Arial"/>
                <w:sz w:val="18"/>
              </w:rPr>
              <w:t>0.5–40.0</w:t>
            </w:r>
          </w:p>
        </w:tc>
        <w:tc>
          <w:tcPr>
            <w:tcW w:w="5122" w:type="dxa"/>
          </w:tcPr>
          <w:p>
            <w:pPr>
              <w:pStyle w:val="TableParagraph"/>
              <w:spacing w:before="26"/>
              <w:ind w:left="910" w:right="910"/>
              <w:jc w:val="center"/>
              <w:rPr>
                <w:rFonts w:ascii="Arial" w:hAnsi="Arial"/>
                <w:sz w:val="18"/>
              </w:rPr>
            </w:pPr>
            <w:r>
              <w:rPr>
                <w:rFonts w:ascii="Arial" w:hAnsi="Arial"/>
                <w:sz w:val="18"/>
              </w:rPr>
              <w:t>28.8–31.2 mg/L COD</w:t>
            </w:r>
          </w:p>
        </w:tc>
      </w:tr>
      <w:tr>
        <w:trPr>
          <w:trHeight w:val="300" w:hRule="exact"/>
        </w:trPr>
        <w:tc>
          <w:tcPr>
            <w:tcW w:w="1318" w:type="dxa"/>
          </w:tcPr>
          <w:p>
            <w:pPr>
              <w:pStyle w:val="TableParagraph"/>
              <w:spacing w:before="26"/>
              <w:ind w:left="263" w:right="263"/>
              <w:jc w:val="center"/>
              <w:rPr>
                <w:rFonts w:ascii="Arial"/>
                <w:sz w:val="18"/>
              </w:rPr>
            </w:pPr>
            <w:r>
              <w:rPr>
                <w:rFonts w:ascii="Arial"/>
                <w:sz w:val="18"/>
              </w:rPr>
              <w:t>435</w:t>
            </w:r>
          </w:p>
        </w:tc>
        <w:tc>
          <w:tcPr>
            <w:tcW w:w="1853" w:type="dxa"/>
          </w:tcPr>
          <w:p>
            <w:pPr>
              <w:pStyle w:val="TableParagraph"/>
              <w:spacing w:before="26"/>
              <w:ind w:left="325" w:right="326"/>
              <w:jc w:val="center"/>
              <w:rPr>
                <w:rFonts w:ascii="Arial" w:hAnsi="Arial"/>
                <w:sz w:val="18"/>
              </w:rPr>
            </w:pPr>
            <w:r>
              <w:rPr>
                <w:rFonts w:ascii="Arial" w:hAnsi="Arial"/>
                <w:sz w:val="18"/>
              </w:rPr>
              <w:t>20–1500</w:t>
            </w:r>
          </w:p>
        </w:tc>
        <w:tc>
          <w:tcPr>
            <w:tcW w:w="5122" w:type="dxa"/>
          </w:tcPr>
          <w:p>
            <w:pPr>
              <w:pStyle w:val="TableParagraph"/>
              <w:spacing w:before="26"/>
              <w:ind w:left="910" w:right="910"/>
              <w:jc w:val="center"/>
              <w:rPr>
                <w:rFonts w:ascii="Arial" w:hAnsi="Arial"/>
                <w:sz w:val="18"/>
              </w:rPr>
            </w:pPr>
            <w:r>
              <w:rPr>
                <w:rFonts w:ascii="Arial" w:hAnsi="Arial"/>
                <w:sz w:val="18"/>
              </w:rPr>
              <w:t>785–815 mg/L COD</w:t>
            </w:r>
          </w:p>
        </w:tc>
      </w:tr>
      <w:tr>
        <w:trPr>
          <w:trHeight w:val="300" w:hRule="exact"/>
        </w:trPr>
        <w:tc>
          <w:tcPr>
            <w:tcW w:w="1318" w:type="dxa"/>
          </w:tcPr>
          <w:p>
            <w:pPr>
              <w:pStyle w:val="TableParagraph"/>
              <w:spacing w:before="26"/>
              <w:ind w:left="263" w:right="263"/>
              <w:jc w:val="center"/>
              <w:rPr>
                <w:rFonts w:ascii="Arial"/>
                <w:sz w:val="18"/>
              </w:rPr>
            </w:pPr>
            <w:r>
              <w:rPr>
                <w:rFonts w:ascii="Arial"/>
                <w:sz w:val="18"/>
              </w:rPr>
              <w:t>435</w:t>
            </w:r>
          </w:p>
        </w:tc>
        <w:tc>
          <w:tcPr>
            <w:tcW w:w="1853" w:type="dxa"/>
          </w:tcPr>
          <w:p>
            <w:pPr>
              <w:pStyle w:val="TableParagraph"/>
              <w:spacing w:before="26"/>
              <w:ind w:left="326" w:right="326"/>
              <w:jc w:val="center"/>
              <w:rPr>
                <w:rFonts w:ascii="Arial" w:hAnsi="Arial"/>
                <w:sz w:val="18"/>
              </w:rPr>
            </w:pPr>
            <w:r>
              <w:rPr>
                <w:rFonts w:ascii="Arial" w:hAnsi="Arial"/>
                <w:sz w:val="18"/>
              </w:rPr>
              <w:t>200–15,000</w:t>
            </w:r>
          </w:p>
        </w:tc>
        <w:tc>
          <w:tcPr>
            <w:tcW w:w="5122" w:type="dxa"/>
          </w:tcPr>
          <w:p>
            <w:pPr>
              <w:pStyle w:val="TableParagraph"/>
              <w:spacing w:before="26"/>
              <w:ind w:left="910" w:right="910"/>
              <w:jc w:val="center"/>
              <w:rPr>
                <w:rFonts w:ascii="Arial" w:hAnsi="Arial"/>
                <w:sz w:val="18"/>
              </w:rPr>
            </w:pPr>
            <w:r>
              <w:rPr>
                <w:rFonts w:ascii="Arial" w:hAnsi="Arial"/>
                <w:sz w:val="18"/>
              </w:rPr>
              <w:t>7850–8150 mg/L COD</w:t>
            </w:r>
          </w:p>
        </w:tc>
      </w:tr>
    </w:tbl>
    <w:p>
      <w:pPr>
        <w:pStyle w:val="BodyText"/>
        <w:spacing w:before="1"/>
        <w:rPr>
          <w:sz w:val="19"/>
        </w:rPr>
      </w:pPr>
    </w:p>
    <w:p>
      <w:pPr>
        <w:spacing w:before="1"/>
        <w:ind w:left="1926" w:right="101" w:firstLine="0"/>
        <w:jc w:val="left"/>
        <w:rPr>
          <w:b/>
          <w:sz w:val="20"/>
        </w:rPr>
      </w:pPr>
      <w:r>
        <w:rPr>
          <w:b/>
          <w:sz w:val="20"/>
        </w:rPr>
        <w:t>Sensitivity</w:t>
      </w:r>
    </w:p>
    <w:p>
      <w:pPr>
        <w:pStyle w:val="BodyText"/>
        <w:spacing w:before="7"/>
        <w:rPr>
          <w:b/>
        </w:rPr>
      </w:pPr>
    </w:p>
    <w:tbl>
      <w:tblPr>
        <w:tblW w:w="0" w:type="auto"/>
        <w:jc w:val="left"/>
        <w:tblInd w:w="19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9"/>
        <w:gridCol w:w="2069"/>
        <w:gridCol w:w="2070"/>
        <w:gridCol w:w="2069"/>
      </w:tblGrid>
      <w:tr>
        <w:trPr>
          <w:trHeight w:val="379" w:hRule="exact"/>
        </w:trPr>
        <w:tc>
          <w:tcPr>
            <w:tcW w:w="2069" w:type="dxa"/>
          </w:tcPr>
          <w:p>
            <w:pPr>
              <w:pStyle w:val="TableParagraph"/>
              <w:spacing w:before="66"/>
              <w:ind w:left="304" w:right="304"/>
              <w:jc w:val="center"/>
              <w:rPr>
                <w:rFonts w:ascii="Arial"/>
                <w:b/>
                <w:sz w:val="18"/>
              </w:rPr>
            </w:pPr>
            <w:r>
              <w:rPr>
                <w:rFonts w:ascii="Arial"/>
                <w:b/>
                <w:sz w:val="18"/>
              </w:rPr>
              <w:t>Program</w:t>
            </w:r>
          </w:p>
        </w:tc>
        <w:tc>
          <w:tcPr>
            <w:tcW w:w="2069" w:type="dxa"/>
          </w:tcPr>
          <w:p>
            <w:pPr>
              <w:pStyle w:val="TableParagraph"/>
              <w:spacing w:before="66"/>
              <w:ind w:left="304" w:right="304"/>
              <w:jc w:val="center"/>
              <w:rPr>
                <w:rFonts w:ascii="Arial"/>
                <w:b/>
                <w:sz w:val="18"/>
              </w:rPr>
            </w:pPr>
            <w:r>
              <w:rPr>
                <w:rFonts w:ascii="Arial"/>
                <w:b/>
                <w:sz w:val="18"/>
              </w:rPr>
              <w:t>Portion of Curve</w:t>
            </w:r>
          </w:p>
        </w:tc>
        <w:tc>
          <w:tcPr>
            <w:tcW w:w="2070" w:type="dxa"/>
          </w:tcPr>
          <w:p>
            <w:pPr>
              <w:pStyle w:val="TableParagraph"/>
              <w:spacing w:before="64"/>
              <w:ind w:left="778" w:right="778"/>
              <w:jc w:val="center"/>
              <w:rPr>
                <w:rFonts w:ascii="Arial" w:hAnsi="Arial"/>
                <w:b/>
                <w:sz w:val="18"/>
              </w:rPr>
            </w:pPr>
            <w:r>
              <w:rPr>
                <w:w w:val="105"/>
                <w:sz w:val="18"/>
              </w:rPr>
              <w:t>Δ</w:t>
            </w:r>
            <w:r>
              <w:rPr>
                <w:rFonts w:ascii="Arial" w:hAnsi="Arial"/>
                <w:b/>
                <w:w w:val="105"/>
                <w:sz w:val="18"/>
              </w:rPr>
              <w:t>Abs</w:t>
            </w:r>
          </w:p>
        </w:tc>
        <w:tc>
          <w:tcPr>
            <w:tcW w:w="2069" w:type="dxa"/>
          </w:tcPr>
          <w:p>
            <w:pPr>
              <w:pStyle w:val="TableParagraph"/>
              <w:spacing w:before="64"/>
              <w:ind w:left="304" w:right="304"/>
              <w:jc w:val="center"/>
              <w:rPr>
                <w:rFonts w:ascii="Arial" w:hAnsi="Arial"/>
                <w:b/>
                <w:sz w:val="18"/>
              </w:rPr>
            </w:pPr>
            <w:r>
              <w:rPr>
                <w:sz w:val="18"/>
              </w:rPr>
              <w:t>Δ</w:t>
            </w:r>
            <w:r>
              <w:rPr>
                <w:rFonts w:ascii="Arial" w:hAnsi="Arial"/>
                <w:b/>
                <w:sz w:val="18"/>
              </w:rPr>
              <w:t>Concentration</w:t>
            </w:r>
          </w:p>
        </w:tc>
      </w:tr>
      <w:tr>
        <w:trPr>
          <w:trHeight w:val="300" w:hRule="exact"/>
        </w:trPr>
        <w:tc>
          <w:tcPr>
            <w:tcW w:w="2069" w:type="dxa"/>
          </w:tcPr>
          <w:p>
            <w:pPr>
              <w:pStyle w:val="TableParagraph"/>
              <w:spacing w:before="27"/>
              <w:ind w:left="304" w:right="304"/>
              <w:jc w:val="center"/>
              <w:rPr>
                <w:rFonts w:ascii="Arial"/>
                <w:sz w:val="18"/>
              </w:rPr>
            </w:pPr>
            <w:r>
              <w:rPr>
                <w:rFonts w:ascii="Arial"/>
                <w:sz w:val="18"/>
              </w:rPr>
              <w:t>430</w:t>
            </w:r>
          </w:p>
        </w:tc>
        <w:tc>
          <w:tcPr>
            <w:tcW w:w="2069" w:type="dxa"/>
          </w:tcPr>
          <w:p>
            <w:pPr>
              <w:pStyle w:val="TableParagraph"/>
              <w:spacing w:before="27"/>
              <w:ind w:left="304" w:right="303"/>
              <w:jc w:val="center"/>
              <w:rPr>
                <w:rFonts w:ascii="Arial"/>
                <w:sz w:val="18"/>
              </w:rPr>
            </w:pPr>
            <w:r>
              <w:rPr>
                <w:rFonts w:ascii="Arial"/>
                <w:sz w:val="18"/>
              </w:rPr>
              <w:t>Entire range</w:t>
            </w:r>
          </w:p>
        </w:tc>
        <w:tc>
          <w:tcPr>
            <w:tcW w:w="2070" w:type="dxa"/>
          </w:tcPr>
          <w:p>
            <w:pPr>
              <w:pStyle w:val="TableParagraph"/>
              <w:spacing w:before="27"/>
              <w:ind w:left="778" w:right="777"/>
              <w:jc w:val="center"/>
              <w:rPr>
                <w:rFonts w:ascii="Arial"/>
                <w:sz w:val="18"/>
              </w:rPr>
            </w:pPr>
            <w:r>
              <w:rPr>
                <w:rFonts w:ascii="Arial"/>
                <w:sz w:val="18"/>
              </w:rPr>
              <w:t>0.010</w:t>
            </w:r>
          </w:p>
        </w:tc>
        <w:tc>
          <w:tcPr>
            <w:tcW w:w="2069" w:type="dxa"/>
          </w:tcPr>
          <w:p>
            <w:pPr>
              <w:pStyle w:val="TableParagraph"/>
              <w:spacing w:before="27"/>
              <w:ind w:left="304" w:right="303"/>
              <w:jc w:val="center"/>
              <w:rPr>
                <w:rFonts w:ascii="Arial"/>
                <w:sz w:val="18"/>
              </w:rPr>
            </w:pPr>
            <w:r>
              <w:rPr>
                <w:rFonts w:ascii="Arial"/>
                <w:sz w:val="18"/>
              </w:rPr>
              <w:t>3 mg/L COD</w:t>
            </w:r>
          </w:p>
        </w:tc>
      </w:tr>
      <w:tr>
        <w:trPr>
          <w:trHeight w:val="300" w:hRule="exact"/>
        </w:trPr>
        <w:tc>
          <w:tcPr>
            <w:tcW w:w="2069" w:type="dxa"/>
          </w:tcPr>
          <w:p>
            <w:pPr>
              <w:pStyle w:val="TableParagraph"/>
              <w:spacing w:before="27"/>
              <w:ind w:left="304" w:right="304"/>
              <w:jc w:val="center"/>
              <w:rPr>
                <w:rFonts w:ascii="Arial"/>
                <w:sz w:val="18"/>
              </w:rPr>
            </w:pPr>
            <w:r>
              <w:rPr>
                <w:rFonts w:ascii="Arial"/>
                <w:sz w:val="18"/>
              </w:rPr>
              <w:t>431</w:t>
            </w:r>
          </w:p>
        </w:tc>
        <w:tc>
          <w:tcPr>
            <w:tcW w:w="2069" w:type="dxa"/>
          </w:tcPr>
          <w:p>
            <w:pPr>
              <w:pStyle w:val="TableParagraph"/>
              <w:spacing w:before="27"/>
              <w:ind w:left="304" w:right="304"/>
              <w:jc w:val="center"/>
              <w:rPr>
                <w:rFonts w:ascii="Arial"/>
                <w:sz w:val="18"/>
              </w:rPr>
            </w:pPr>
            <w:r>
              <w:rPr>
                <w:rFonts w:ascii="Arial"/>
                <w:sz w:val="18"/>
              </w:rPr>
              <w:t>Entire range</w:t>
            </w:r>
          </w:p>
        </w:tc>
        <w:tc>
          <w:tcPr>
            <w:tcW w:w="2070" w:type="dxa"/>
          </w:tcPr>
          <w:p>
            <w:pPr>
              <w:pStyle w:val="TableParagraph"/>
              <w:spacing w:before="27"/>
              <w:ind w:left="777" w:right="778"/>
              <w:jc w:val="center"/>
              <w:rPr>
                <w:rFonts w:ascii="Arial"/>
                <w:sz w:val="18"/>
              </w:rPr>
            </w:pPr>
            <w:r>
              <w:rPr>
                <w:rFonts w:ascii="Arial"/>
                <w:sz w:val="18"/>
              </w:rPr>
              <w:t>0.010</w:t>
            </w:r>
          </w:p>
        </w:tc>
        <w:tc>
          <w:tcPr>
            <w:tcW w:w="2069" w:type="dxa"/>
          </w:tcPr>
          <w:p>
            <w:pPr>
              <w:pStyle w:val="TableParagraph"/>
              <w:spacing w:before="27"/>
              <w:ind w:left="453" w:right="0"/>
              <w:jc w:val="left"/>
              <w:rPr>
                <w:rFonts w:ascii="Arial"/>
                <w:sz w:val="18"/>
              </w:rPr>
            </w:pPr>
            <w:r>
              <w:rPr>
                <w:rFonts w:ascii="Arial"/>
                <w:sz w:val="18"/>
              </w:rPr>
              <w:t>0.5 mg/L COD</w:t>
            </w:r>
          </w:p>
        </w:tc>
      </w:tr>
      <w:tr>
        <w:trPr>
          <w:trHeight w:val="300" w:hRule="exact"/>
        </w:trPr>
        <w:tc>
          <w:tcPr>
            <w:tcW w:w="2069" w:type="dxa"/>
          </w:tcPr>
          <w:p>
            <w:pPr>
              <w:pStyle w:val="TableParagraph"/>
              <w:spacing w:before="27"/>
              <w:ind w:left="304" w:right="304"/>
              <w:jc w:val="center"/>
              <w:rPr>
                <w:rFonts w:ascii="Arial"/>
                <w:sz w:val="18"/>
              </w:rPr>
            </w:pPr>
            <w:r>
              <w:rPr>
                <w:rFonts w:ascii="Arial"/>
                <w:sz w:val="18"/>
              </w:rPr>
              <w:t>435</w:t>
            </w:r>
          </w:p>
        </w:tc>
        <w:tc>
          <w:tcPr>
            <w:tcW w:w="2069" w:type="dxa"/>
          </w:tcPr>
          <w:p>
            <w:pPr>
              <w:pStyle w:val="TableParagraph"/>
              <w:spacing w:before="27"/>
              <w:ind w:left="303" w:right="304"/>
              <w:jc w:val="center"/>
              <w:rPr>
                <w:rFonts w:ascii="Arial"/>
                <w:sz w:val="18"/>
              </w:rPr>
            </w:pPr>
            <w:r>
              <w:rPr>
                <w:rFonts w:ascii="Arial"/>
                <w:sz w:val="18"/>
              </w:rPr>
              <w:t>Entire range</w:t>
            </w:r>
          </w:p>
        </w:tc>
        <w:tc>
          <w:tcPr>
            <w:tcW w:w="2070" w:type="dxa"/>
          </w:tcPr>
          <w:p>
            <w:pPr>
              <w:pStyle w:val="TableParagraph"/>
              <w:spacing w:before="27"/>
              <w:ind w:left="778" w:right="778"/>
              <w:jc w:val="center"/>
              <w:rPr>
                <w:rFonts w:ascii="Arial"/>
                <w:sz w:val="18"/>
              </w:rPr>
            </w:pPr>
            <w:r>
              <w:rPr>
                <w:rFonts w:ascii="Arial"/>
                <w:sz w:val="18"/>
              </w:rPr>
              <w:t>0.010</w:t>
            </w:r>
          </w:p>
        </w:tc>
        <w:tc>
          <w:tcPr>
            <w:tcW w:w="2069" w:type="dxa"/>
          </w:tcPr>
          <w:p>
            <w:pPr>
              <w:pStyle w:val="TableParagraph"/>
              <w:spacing w:before="27"/>
              <w:ind w:left="303" w:right="304"/>
              <w:jc w:val="center"/>
              <w:rPr>
                <w:rFonts w:ascii="Arial"/>
                <w:sz w:val="18"/>
              </w:rPr>
            </w:pPr>
            <w:r>
              <w:rPr>
                <w:rFonts w:ascii="Arial"/>
                <w:sz w:val="18"/>
              </w:rPr>
              <w:t>23 mg/L COD</w:t>
            </w:r>
          </w:p>
        </w:tc>
      </w:tr>
    </w:tbl>
    <w:p>
      <w:pPr>
        <w:pStyle w:val="BodyText"/>
        <w:spacing w:before="3"/>
        <w:rPr>
          <w:b/>
          <w:sz w:val="24"/>
        </w:rPr>
      </w:pPr>
    </w:p>
    <w:p>
      <w:pPr>
        <w:pStyle w:val="Heading3"/>
        <w:ind w:left="124"/>
      </w:pPr>
      <w:r>
        <w:rPr/>
        <w:t>Alternate Reagents</w:t>
      </w:r>
    </w:p>
    <w:p>
      <w:pPr>
        <w:spacing w:line="249" w:lineRule="auto" w:before="180"/>
        <w:ind w:left="1925" w:right="101" w:firstLine="0"/>
        <w:jc w:val="left"/>
        <w:rPr>
          <w:sz w:val="20"/>
        </w:rPr>
      </w:pPr>
      <w:r>
        <w:rPr>
          <w:sz w:val="20"/>
        </w:rPr>
        <w:t>Mercury-free COD2 Reagents can provide a mercury-free testing option for non-reporting purposes. For process control applications, COD2 Reagents will eliminate mercury waste and save on disposal costs. These reagents are fully compatible with test procedures and calibration curves programmed into the spectrophotometer. Determine chloride and ammonia for accurate results.</w:t>
      </w:r>
    </w:p>
    <w:p>
      <w:pPr>
        <w:pStyle w:val="BodyText"/>
        <w:spacing w:before="3"/>
        <w:rPr>
          <w:sz w:val="21"/>
        </w:rPr>
      </w:pPr>
    </w:p>
    <w:p>
      <w:pPr>
        <w:spacing w:line="256" w:lineRule="auto" w:before="1"/>
        <w:ind w:left="1926" w:right="101" w:firstLine="0"/>
        <w:jc w:val="left"/>
        <w:rPr>
          <w:i/>
          <w:sz w:val="18"/>
        </w:rPr>
      </w:pPr>
      <w:r>
        <w:rPr>
          <w:b/>
          <w:i/>
          <w:sz w:val="18"/>
        </w:rPr>
        <w:t>Note: </w:t>
      </w:r>
      <w:r>
        <w:rPr>
          <w:i/>
          <w:sz w:val="18"/>
        </w:rPr>
        <w:t>These reagents are not approved for USEPA reporting purposes. Request a copy of the COD </w:t>
      </w:r>
      <w:r>
        <w:rPr>
          <w:i/>
          <w:sz w:val="18"/>
        </w:rPr>
        <w:t>Reagent Vial Information Brochure, Lit. No. 1356, for more information about specific applications.</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7"/>
        </w:rPr>
      </w:pPr>
      <w:r>
        <w:rPr/>
        <w:pict>
          <v:group style="position:absolute;margin-left:35.715pt;margin-top:17.482761pt;width:505.15pt;height:1.05pt;mso-position-horizontal-relative:page;mso-position-vertical-relative:paragraph;z-index:14512;mso-wrap-distance-left:0;mso-wrap-distance-right:0" coordorigin="714,350" coordsize="10103,21">
            <v:line style="position:absolute" from="725,360" to="725,360" stroked="true" strokeweight="1.02pt" strokecolor="#000000"/>
            <v:line style="position:absolute" from="725,360" to="10806,360" stroked="true" strokeweight="1.02pt" strokecolor="#000000"/>
            <w10:wrap type="topAndBottom"/>
          </v:group>
        </w:pict>
      </w:r>
    </w:p>
    <w:p>
      <w:pPr>
        <w:spacing w:line="207" w:lineRule="exact" w:before="0"/>
        <w:ind w:left="124" w:right="101" w:firstLine="0"/>
        <w:jc w:val="left"/>
        <w:rPr>
          <w:b/>
          <w:sz w:val="20"/>
        </w:rPr>
      </w:pPr>
      <w:r>
        <w:rPr>
          <w:b/>
          <w:sz w:val="20"/>
        </w:rPr>
        <w:t>Oxygen Demand, Chemical</w:t>
      </w:r>
    </w:p>
    <w:p>
      <w:pPr>
        <w:tabs>
          <w:tab w:pos="8128" w:val="left" w:leader="none"/>
        </w:tabs>
        <w:spacing w:before="10"/>
        <w:ind w:left="124" w:right="101" w:firstLine="0"/>
        <w:jc w:val="left"/>
        <w:rPr>
          <w:sz w:val="14"/>
        </w:rPr>
      </w:pPr>
      <w:r>
        <w:rPr>
          <w:b/>
          <w:sz w:val="20"/>
        </w:rPr>
        <w:t>Page 6</w:t>
      </w:r>
      <w:r>
        <w:rPr>
          <w:b/>
          <w:spacing w:val="-5"/>
          <w:sz w:val="20"/>
        </w:rPr>
        <w:t> </w:t>
      </w:r>
      <w:r>
        <w:rPr>
          <w:b/>
          <w:sz w:val="20"/>
        </w:rPr>
        <w:t>of</w:t>
      </w:r>
      <w:r>
        <w:rPr>
          <w:b/>
          <w:spacing w:val="-3"/>
          <w:sz w:val="20"/>
        </w:rPr>
        <w:t> </w:t>
      </w:r>
      <w:r>
        <w:rPr>
          <w:b/>
          <w:sz w:val="20"/>
        </w:rPr>
        <w:t>8</w:t>
        <w:tab/>
      </w:r>
      <w:r>
        <w:rPr>
          <w:sz w:val="14"/>
        </w:rPr>
        <w:t>OxygenCOD_8000_RCD_MR.fm</w:t>
      </w:r>
    </w:p>
    <w:p>
      <w:pPr>
        <w:spacing w:after="0"/>
        <w:jc w:val="left"/>
        <w:rPr>
          <w:sz w:val="14"/>
        </w:rPr>
        <w:sectPr>
          <w:headerReference w:type="default" r:id="rId277"/>
          <w:footerReference w:type="default" r:id="rId278"/>
          <w:pgSz w:w="11900" w:h="15840"/>
          <w:pgMar w:header="0" w:footer="0" w:top="240" w:bottom="0" w:left="600" w:right="960"/>
        </w:sectPr>
      </w:pPr>
    </w:p>
    <w:p>
      <w:pPr>
        <w:pStyle w:val="Heading4"/>
        <w:ind w:left="1312"/>
      </w:pPr>
      <w:r>
        <w:rPr/>
        <w:pict>
          <v:group style="position:absolute;margin-left:53.775002pt;margin-top:21.080879pt;width:505.05pt;height:1.05pt;mso-position-horizontal-relative:page;mso-position-vertical-relative:paragraph;z-index:14536;mso-wrap-distance-left:0;mso-wrap-distance-right:0" coordorigin="1076,422" coordsize="10101,21">
            <v:line style="position:absolute" from="1086,432" to="1086,432" stroked="true" strokeweight="1.02pt" strokecolor="#000000"/>
            <v:line style="position:absolute" from="1086,432" to="11166,432" stroked="true" strokeweight="1.02pt" strokecolor="#000000"/>
            <w10:wrap type="topAndBottom"/>
          </v:group>
        </w:pict>
      </w:r>
      <w:r>
        <w:rPr/>
        <w:t>Oxygen Demand, Chemical (3 to 150, 20 to 1500, and 200 to 15,000 mg/L COD)</w:t>
      </w:r>
    </w:p>
    <w:p>
      <w:pPr>
        <w:pStyle w:val="BodyText"/>
        <w:spacing w:before="8"/>
        <w:rPr>
          <w:b/>
          <w:sz w:val="19"/>
        </w:rPr>
      </w:pPr>
    </w:p>
    <w:p>
      <w:pPr>
        <w:spacing w:before="64"/>
        <w:ind w:left="125" w:right="101" w:firstLine="0"/>
        <w:jc w:val="left"/>
        <w:rPr>
          <w:b/>
          <w:sz w:val="28"/>
        </w:rPr>
      </w:pPr>
      <w:r>
        <w:rPr>
          <w:b/>
          <w:sz w:val="28"/>
        </w:rPr>
        <w:t>Summary of Method</w:t>
      </w:r>
    </w:p>
    <w:p>
      <w:pPr>
        <w:spacing w:line="240" w:lineRule="exact" w:before="176"/>
        <w:ind w:left="1926" w:right="101" w:hanging="1"/>
        <w:jc w:val="left"/>
        <w:rPr>
          <w:sz w:val="20"/>
        </w:rPr>
      </w:pPr>
      <w:r>
        <w:rPr>
          <w:sz w:val="20"/>
        </w:rPr>
        <w:t>The mg/L COD results are defined as the mg of O</w:t>
      </w:r>
      <w:r>
        <w:rPr>
          <w:position w:val="-4"/>
          <w:sz w:val="16"/>
        </w:rPr>
        <w:t>2 </w:t>
      </w:r>
      <w:r>
        <w:rPr>
          <w:sz w:val="20"/>
        </w:rPr>
        <w:t>consumed per liter of sample under conditions of this procedure. In this procedure, the sample is heated for two hours with a strong oxidizing agent, potassium dichromate. Oxidizable organic compounds react, reducing</w:t>
      </w:r>
    </w:p>
    <w:p>
      <w:pPr>
        <w:spacing w:line="252" w:lineRule="exact" w:before="0"/>
        <w:ind w:left="1926" w:right="101" w:firstLine="0"/>
        <w:jc w:val="left"/>
        <w:rPr>
          <w:sz w:val="20"/>
        </w:rPr>
      </w:pPr>
      <w:r>
        <w:rPr/>
        <w:pict>
          <v:shape style="position:absolute;margin-left:255.419998pt;margin-top:5.650014pt;width:4.45pt;height:8pt;mso-position-horizontal-relative:page;mso-position-vertical-relative:paragraph;z-index:-1517224" type="#_x0000_t202" filled="false" stroked="false">
            <v:textbox inset="0,0,0,0">
              <w:txbxContent>
                <w:p>
                  <w:pPr>
                    <w:spacing w:line="160" w:lineRule="exact" w:before="0"/>
                    <w:ind w:left="0" w:right="0" w:firstLine="0"/>
                    <w:jc w:val="left"/>
                    <w:rPr>
                      <w:sz w:val="16"/>
                    </w:rPr>
                  </w:pPr>
                  <w:r>
                    <w:rPr>
                      <w:w w:val="99"/>
                      <w:sz w:val="16"/>
                    </w:rPr>
                    <w:t>7</w:t>
                  </w:r>
                </w:p>
              </w:txbxContent>
            </v:textbox>
            <w10:wrap type="none"/>
          </v:shape>
        </w:pict>
      </w:r>
      <w:r>
        <w:rPr>
          <w:sz w:val="20"/>
        </w:rPr>
        <w:t>the dichromate ion (Cr</w:t>
      </w:r>
      <w:r>
        <w:rPr>
          <w:position w:val="-4"/>
          <w:sz w:val="16"/>
        </w:rPr>
        <w:t>2</w:t>
      </w:r>
      <w:r>
        <w:rPr>
          <w:sz w:val="20"/>
        </w:rPr>
        <w:t>O </w:t>
      </w:r>
      <w:r>
        <w:rPr>
          <w:position w:val="5"/>
          <w:sz w:val="16"/>
        </w:rPr>
        <w:t>2–</w:t>
      </w:r>
      <w:r>
        <w:rPr>
          <w:sz w:val="20"/>
        </w:rPr>
        <w:t>) to green chromic ion (Cr</w:t>
      </w:r>
      <w:r>
        <w:rPr>
          <w:position w:val="5"/>
          <w:sz w:val="16"/>
        </w:rPr>
        <w:t>3+</w:t>
      </w:r>
      <w:r>
        <w:rPr>
          <w:sz w:val="20"/>
        </w:rPr>
        <w:t>). When the 0.7–40.0 or the 3–150</w:t>
      </w:r>
    </w:p>
    <w:p>
      <w:pPr>
        <w:spacing w:line="221" w:lineRule="exact" w:before="0"/>
        <w:ind w:left="1926" w:right="101" w:firstLine="0"/>
        <w:jc w:val="left"/>
        <w:rPr>
          <w:sz w:val="20"/>
        </w:rPr>
      </w:pPr>
      <w:r>
        <w:rPr>
          <w:sz w:val="20"/>
        </w:rPr>
        <w:t>mg/L colorimetric method is used, the amount of Cr</w:t>
      </w:r>
      <w:r>
        <w:rPr>
          <w:position w:val="5"/>
          <w:sz w:val="16"/>
        </w:rPr>
        <w:t>6+ </w:t>
      </w:r>
      <w:r>
        <w:rPr>
          <w:sz w:val="20"/>
        </w:rPr>
        <w:t>remaining is determined. When the</w:t>
      </w:r>
    </w:p>
    <w:p>
      <w:pPr>
        <w:spacing w:line="249" w:lineRule="auto" w:before="0"/>
        <w:ind w:left="1925" w:right="118" w:firstLine="0"/>
        <w:jc w:val="left"/>
        <w:rPr>
          <w:sz w:val="20"/>
        </w:rPr>
      </w:pPr>
      <w:r>
        <w:rPr>
          <w:sz w:val="20"/>
        </w:rPr>
        <w:t>20–1500 mg/L or 200–15,000 mg/L colorimetric method is used, the amount of Cr</w:t>
      </w:r>
      <w:r>
        <w:rPr>
          <w:position w:val="5"/>
          <w:sz w:val="16"/>
        </w:rPr>
        <w:t>3+ </w:t>
      </w:r>
      <w:r>
        <w:rPr>
          <w:sz w:val="20"/>
        </w:rPr>
        <w:t>produced is determined. The COD reagent also contains silver and mercury ions. Silver is a catalyst, and mercury is used to complex chloride interferences. Test results for the 0.7 to 40.0 mg/L range are measured at 350 nm. Test results for the 3 to 150 mg/L range are measured at</w:t>
      </w:r>
    </w:p>
    <w:p>
      <w:pPr>
        <w:spacing w:line="249" w:lineRule="auto" w:before="1"/>
        <w:ind w:left="1925" w:right="101" w:firstLine="0"/>
        <w:jc w:val="left"/>
        <w:rPr>
          <w:sz w:val="20"/>
        </w:rPr>
      </w:pPr>
      <w:r>
        <w:rPr>
          <w:sz w:val="20"/>
        </w:rPr>
        <w:t>420</w:t>
      </w:r>
      <w:r>
        <w:rPr>
          <w:spacing w:val="-3"/>
          <w:sz w:val="20"/>
        </w:rPr>
        <w:t> </w:t>
      </w:r>
      <w:r>
        <w:rPr>
          <w:sz w:val="20"/>
        </w:rPr>
        <w:t>nm.</w:t>
      </w:r>
      <w:r>
        <w:rPr>
          <w:spacing w:val="-11"/>
          <w:sz w:val="20"/>
        </w:rPr>
        <w:t> </w:t>
      </w:r>
      <w:r>
        <w:rPr>
          <w:spacing w:val="-7"/>
          <w:sz w:val="20"/>
        </w:rPr>
        <w:t>Test</w:t>
      </w:r>
      <w:r>
        <w:rPr>
          <w:spacing w:val="-11"/>
          <w:sz w:val="20"/>
        </w:rPr>
        <w:t> </w:t>
      </w:r>
      <w:r>
        <w:rPr>
          <w:sz w:val="20"/>
        </w:rPr>
        <w:t>results</w:t>
      </w:r>
      <w:r>
        <w:rPr>
          <w:spacing w:val="-10"/>
          <w:sz w:val="20"/>
        </w:rPr>
        <w:t> </w:t>
      </w:r>
      <w:r>
        <w:rPr>
          <w:spacing w:val="-3"/>
          <w:sz w:val="20"/>
        </w:rPr>
        <w:t>for</w:t>
      </w:r>
      <w:r>
        <w:rPr>
          <w:spacing w:val="-11"/>
          <w:sz w:val="20"/>
        </w:rPr>
        <w:t> </w:t>
      </w:r>
      <w:r>
        <w:rPr>
          <w:sz w:val="20"/>
        </w:rPr>
        <w:t>the</w:t>
      </w:r>
      <w:r>
        <w:rPr>
          <w:spacing w:val="-11"/>
          <w:sz w:val="20"/>
        </w:rPr>
        <w:t> </w:t>
      </w:r>
      <w:r>
        <w:rPr>
          <w:sz w:val="20"/>
        </w:rPr>
        <w:t>20</w:t>
      </w:r>
      <w:r>
        <w:rPr>
          <w:spacing w:val="-11"/>
          <w:sz w:val="20"/>
        </w:rPr>
        <w:t> </w:t>
      </w:r>
      <w:r>
        <w:rPr>
          <w:sz w:val="20"/>
        </w:rPr>
        <w:t>to</w:t>
      </w:r>
      <w:r>
        <w:rPr>
          <w:spacing w:val="-10"/>
          <w:sz w:val="20"/>
        </w:rPr>
        <w:t> </w:t>
      </w:r>
      <w:r>
        <w:rPr>
          <w:sz w:val="20"/>
        </w:rPr>
        <w:t>1500</w:t>
      </w:r>
      <w:r>
        <w:rPr>
          <w:spacing w:val="-10"/>
          <w:sz w:val="20"/>
        </w:rPr>
        <w:t> </w:t>
      </w:r>
      <w:r>
        <w:rPr>
          <w:sz w:val="20"/>
        </w:rPr>
        <w:t>and</w:t>
      </w:r>
      <w:r>
        <w:rPr>
          <w:spacing w:val="-11"/>
          <w:sz w:val="20"/>
        </w:rPr>
        <w:t> </w:t>
      </w:r>
      <w:r>
        <w:rPr>
          <w:sz w:val="20"/>
        </w:rPr>
        <w:t>the</w:t>
      </w:r>
      <w:r>
        <w:rPr>
          <w:spacing w:val="-11"/>
          <w:sz w:val="20"/>
        </w:rPr>
        <w:t> </w:t>
      </w:r>
      <w:r>
        <w:rPr>
          <w:sz w:val="20"/>
        </w:rPr>
        <w:t>2000</w:t>
      </w:r>
      <w:r>
        <w:rPr>
          <w:spacing w:val="-10"/>
          <w:sz w:val="20"/>
        </w:rPr>
        <w:t> </w:t>
      </w:r>
      <w:r>
        <w:rPr>
          <w:sz w:val="20"/>
        </w:rPr>
        <w:t>to</w:t>
      </w:r>
      <w:r>
        <w:rPr>
          <w:spacing w:val="-11"/>
          <w:sz w:val="20"/>
        </w:rPr>
        <w:t> </w:t>
      </w:r>
      <w:r>
        <w:rPr>
          <w:sz w:val="20"/>
        </w:rPr>
        <w:t>15,000</w:t>
      </w:r>
      <w:r>
        <w:rPr>
          <w:spacing w:val="-11"/>
          <w:sz w:val="20"/>
        </w:rPr>
        <w:t> </w:t>
      </w:r>
      <w:r>
        <w:rPr>
          <w:sz w:val="20"/>
        </w:rPr>
        <w:t>mg/L</w:t>
      </w:r>
      <w:r>
        <w:rPr>
          <w:spacing w:val="-11"/>
          <w:sz w:val="20"/>
        </w:rPr>
        <w:t> </w:t>
      </w:r>
      <w:r>
        <w:rPr>
          <w:sz w:val="20"/>
        </w:rPr>
        <w:t>COD</w:t>
      </w:r>
      <w:r>
        <w:rPr>
          <w:spacing w:val="-10"/>
          <w:sz w:val="20"/>
        </w:rPr>
        <w:t> </w:t>
      </w:r>
      <w:r>
        <w:rPr>
          <w:sz w:val="20"/>
        </w:rPr>
        <w:t>range</w:t>
      </w:r>
      <w:r>
        <w:rPr>
          <w:spacing w:val="-11"/>
          <w:sz w:val="20"/>
        </w:rPr>
        <w:t> </w:t>
      </w:r>
      <w:r>
        <w:rPr>
          <w:sz w:val="20"/>
        </w:rPr>
        <w:t>are</w:t>
      </w:r>
      <w:r>
        <w:rPr>
          <w:spacing w:val="-11"/>
          <w:sz w:val="20"/>
        </w:rPr>
        <w:t> </w:t>
      </w:r>
      <w:r>
        <w:rPr>
          <w:sz w:val="20"/>
        </w:rPr>
        <w:t>measured at 620</w:t>
      </w:r>
      <w:r>
        <w:rPr>
          <w:spacing w:val="-6"/>
          <w:sz w:val="20"/>
        </w:rPr>
        <w:t> </w:t>
      </w:r>
      <w:r>
        <w:rPr>
          <w:sz w:val="20"/>
        </w:rPr>
        <w:t>nm.</w:t>
      </w:r>
    </w:p>
    <w:p>
      <w:pPr>
        <w:pStyle w:val="BodyText"/>
        <w:rPr>
          <w:sz w:val="26"/>
        </w:rPr>
      </w:pPr>
    </w:p>
    <w:p>
      <w:pPr>
        <w:pStyle w:val="Heading3"/>
      </w:pPr>
      <w:r>
        <w:rPr/>
        <w:t>Consumables and Replacement Items</w:t>
      </w:r>
    </w:p>
    <w:p>
      <w:pPr>
        <w:spacing w:before="220"/>
        <w:ind w:left="125" w:right="101" w:firstLine="0"/>
        <w:jc w:val="left"/>
        <w:rPr>
          <w:b/>
          <w:sz w:val="20"/>
        </w:rPr>
      </w:pPr>
      <w:r>
        <w:rPr>
          <w:b/>
          <w:sz w:val="20"/>
        </w:rPr>
        <w:t>Required Reagents</w:t>
      </w:r>
    </w:p>
    <w:p>
      <w:pPr>
        <w:pStyle w:val="BodyText"/>
        <w:spacing w:before="7"/>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54"/>
        <w:gridCol w:w="2257"/>
        <w:gridCol w:w="1290"/>
        <w:gridCol w:w="1490"/>
      </w:tblGrid>
      <w:tr>
        <w:trPr>
          <w:trHeight w:val="380" w:hRule="exact"/>
        </w:trPr>
        <w:tc>
          <w:tcPr>
            <w:tcW w:w="10091" w:type="dxa"/>
            <w:gridSpan w:val="4"/>
            <w:tcBorders>
              <w:left w:val="single" w:sz="2" w:space="0" w:color="000000"/>
              <w:right w:val="single" w:sz="2" w:space="0" w:color="000000"/>
            </w:tcBorders>
          </w:tcPr>
          <w:p>
            <w:pPr>
              <w:pStyle w:val="TableParagraph"/>
              <w:tabs>
                <w:tab w:pos="6008" w:val="left" w:leader="none"/>
                <w:tab w:pos="7778" w:val="left" w:leader="none"/>
                <w:tab w:pos="9010" w:val="left" w:leader="none"/>
              </w:tabs>
              <w:spacing w:before="66"/>
              <w:ind w:left="77" w:right="0"/>
              <w:jc w:val="left"/>
              <w:rPr>
                <w:rFonts w:ascii="Arial"/>
                <w:b/>
                <w:sz w:val="18"/>
              </w:rPr>
            </w:pPr>
            <w:r>
              <w:rPr>
                <w:rFonts w:ascii="Arial"/>
                <w:b/>
                <w:sz w:val="18"/>
              </w:rPr>
              <w:t>Description</w:t>
              <w:tab/>
              <w:t>Quantity/Test</w:t>
              <w:tab/>
              <w:t>Unit</w:t>
              <w:tab/>
              <w:t>Cat.</w:t>
            </w:r>
            <w:r>
              <w:rPr>
                <w:rFonts w:ascii="Arial"/>
                <w:b/>
                <w:spacing w:val="-7"/>
                <w:sz w:val="18"/>
              </w:rPr>
              <w:t> </w:t>
            </w:r>
            <w:r>
              <w:rPr>
                <w:rFonts w:ascii="Arial"/>
                <w:b/>
                <w:sz w:val="18"/>
              </w:rPr>
              <w:t>No.</w:t>
            </w:r>
          </w:p>
        </w:tc>
      </w:tr>
      <w:tr>
        <w:trPr>
          <w:trHeight w:val="300" w:hRule="exact"/>
        </w:trPr>
        <w:tc>
          <w:tcPr>
            <w:tcW w:w="10091" w:type="dxa"/>
            <w:gridSpan w:val="4"/>
            <w:tcBorders>
              <w:left w:val="single" w:sz="2" w:space="0" w:color="000000"/>
              <w:bottom w:val="nil"/>
              <w:right w:val="single" w:sz="2" w:space="0" w:color="000000"/>
            </w:tcBorders>
            <w:shd w:val="clear" w:color="auto" w:fill="E6E6FF"/>
          </w:tcPr>
          <w:p>
            <w:pPr>
              <w:pStyle w:val="TableParagraph"/>
              <w:spacing w:before="26"/>
              <w:ind w:left="77" w:right="0"/>
              <w:jc w:val="left"/>
              <w:rPr>
                <w:rFonts w:ascii="Arial"/>
                <w:sz w:val="18"/>
              </w:rPr>
            </w:pPr>
            <w:r>
              <w:rPr>
                <w:rFonts w:ascii="Arial"/>
                <w:sz w:val="18"/>
              </w:rPr>
              <w:t>Select the appropriate COD Digestion Reagent Vial:</w:t>
            </w:r>
          </w:p>
        </w:tc>
      </w:tr>
      <w:tr>
        <w:trPr>
          <w:trHeight w:val="300" w:hRule="exact"/>
        </w:trPr>
        <w:tc>
          <w:tcPr>
            <w:tcW w:w="5054" w:type="dxa"/>
            <w:tcBorders>
              <w:top w:val="nil"/>
              <w:left w:val="single" w:sz="2" w:space="0" w:color="000000"/>
              <w:bottom w:val="nil"/>
              <w:right w:val="nil"/>
            </w:tcBorders>
          </w:tcPr>
          <w:p>
            <w:pPr>
              <w:pStyle w:val="TableParagraph"/>
              <w:spacing w:before="31"/>
              <w:ind w:left="437" w:right="0"/>
              <w:jc w:val="left"/>
              <w:rPr>
                <w:rFonts w:ascii="Arial"/>
                <w:sz w:val="18"/>
              </w:rPr>
            </w:pPr>
            <w:r>
              <w:rPr>
                <w:rFonts w:ascii="Arial"/>
                <w:sz w:val="18"/>
              </w:rPr>
              <w:t>Ultra Low Range, 0.7 to 40 mg/L COD</w:t>
            </w:r>
          </w:p>
        </w:tc>
        <w:tc>
          <w:tcPr>
            <w:tcW w:w="2257" w:type="dxa"/>
            <w:tcBorders>
              <w:top w:val="nil"/>
              <w:left w:val="nil"/>
              <w:bottom w:val="nil"/>
              <w:right w:val="nil"/>
            </w:tcBorders>
          </w:tcPr>
          <w:p>
            <w:pPr>
              <w:pStyle w:val="TableParagraph"/>
              <w:spacing w:before="31"/>
              <w:ind w:right="374"/>
              <w:rPr>
                <w:rFonts w:ascii="Arial" w:hAnsi="Arial"/>
                <w:sz w:val="18"/>
              </w:rPr>
            </w:pPr>
            <w:r>
              <w:rPr>
                <w:rFonts w:ascii="Arial" w:hAnsi="Arial"/>
                <w:sz w:val="18"/>
              </w:rPr>
              <w:t>1–2 vials</w:t>
            </w:r>
          </w:p>
        </w:tc>
        <w:tc>
          <w:tcPr>
            <w:tcW w:w="1290" w:type="dxa"/>
            <w:tcBorders>
              <w:top w:val="nil"/>
              <w:left w:val="nil"/>
              <w:bottom w:val="nil"/>
              <w:right w:val="nil"/>
            </w:tcBorders>
          </w:tcPr>
          <w:p>
            <w:pPr>
              <w:pStyle w:val="TableParagraph"/>
              <w:spacing w:before="31"/>
              <w:ind w:left="356" w:right="353"/>
              <w:jc w:val="center"/>
              <w:rPr>
                <w:rFonts w:ascii="Arial"/>
                <w:sz w:val="18"/>
              </w:rPr>
            </w:pPr>
            <w:r>
              <w:rPr>
                <w:rFonts w:ascii="Arial"/>
                <w:sz w:val="18"/>
              </w:rPr>
              <w:t>25/pkg</w:t>
            </w:r>
          </w:p>
        </w:tc>
        <w:tc>
          <w:tcPr>
            <w:tcW w:w="1490" w:type="dxa"/>
            <w:tcBorders>
              <w:top w:val="nil"/>
              <w:left w:val="nil"/>
              <w:bottom w:val="nil"/>
              <w:right w:val="single" w:sz="2" w:space="0" w:color="000000"/>
            </w:tcBorders>
          </w:tcPr>
          <w:p>
            <w:pPr>
              <w:pStyle w:val="TableParagraph"/>
              <w:spacing w:before="31"/>
              <w:ind w:left="351" w:right="334"/>
              <w:jc w:val="center"/>
              <w:rPr>
                <w:rFonts w:ascii="Arial"/>
                <w:sz w:val="18"/>
              </w:rPr>
            </w:pPr>
            <w:r>
              <w:rPr>
                <w:rFonts w:ascii="Arial"/>
                <w:sz w:val="18"/>
              </w:rPr>
              <w:t>24158-25</w:t>
            </w:r>
          </w:p>
        </w:tc>
      </w:tr>
      <w:tr>
        <w:trPr>
          <w:trHeight w:val="300" w:hRule="exact"/>
        </w:trPr>
        <w:tc>
          <w:tcPr>
            <w:tcW w:w="5054" w:type="dxa"/>
            <w:tcBorders>
              <w:top w:val="nil"/>
              <w:left w:val="single" w:sz="2" w:space="0" w:color="000000"/>
              <w:bottom w:val="nil"/>
              <w:right w:val="nil"/>
            </w:tcBorders>
            <w:shd w:val="clear" w:color="auto" w:fill="E6E6FF"/>
          </w:tcPr>
          <w:p>
            <w:pPr>
              <w:pStyle w:val="TableParagraph"/>
              <w:spacing w:before="31"/>
              <w:ind w:left="437" w:right="0"/>
              <w:jc w:val="left"/>
              <w:rPr>
                <w:rFonts w:ascii="Arial"/>
                <w:sz w:val="18"/>
              </w:rPr>
            </w:pPr>
            <w:r>
              <w:rPr>
                <w:rFonts w:ascii="Arial"/>
                <w:sz w:val="18"/>
              </w:rPr>
              <w:t>Low Range, 3 to 150 mg/L COD</w:t>
            </w:r>
          </w:p>
        </w:tc>
        <w:tc>
          <w:tcPr>
            <w:tcW w:w="2257" w:type="dxa"/>
            <w:tcBorders>
              <w:top w:val="nil"/>
              <w:left w:val="nil"/>
              <w:bottom w:val="nil"/>
              <w:right w:val="nil"/>
            </w:tcBorders>
            <w:shd w:val="clear" w:color="auto" w:fill="E6E6FF"/>
          </w:tcPr>
          <w:p>
            <w:pPr>
              <w:pStyle w:val="TableParagraph"/>
              <w:spacing w:before="31"/>
              <w:ind w:right="376"/>
              <w:rPr>
                <w:rFonts w:ascii="Arial" w:hAnsi="Arial"/>
                <w:sz w:val="18"/>
              </w:rPr>
            </w:pPr>
            <w:r>
              <w:rPr>
                <w:rFonts w:ascii="Arial" w:hAnsi="Arial"/>
                <w:sz w:val="18"/>
              </w:rPr>
              <w:t>1–2 vials</w:t>
            </w:r>
          </w:p>
        </w:tc>
        <w:tc>
          <w:tcPr>
            <w:tcW w:w="1290" w:type="dxa"/>
            <w:tcBorders>
              <w:top w:val="nil"/>
              <w:left w:val="nil"/>
              <w:bottom w:val="nil"/>
              <w:right w:val="nil"/>
            </w:tcBorders>
            <w:shd w:val="clear" w:color="auto" w:fill="E6E6FF"/>
          </w:tcPr>
          <w:p>
            <w:pPr>
              <w:pStyle w:val="TableParagraph"/>
              <w:spacing w:before="31"/>
              <w:ind w:left="356" w:right="353"/>
              <w:jc w:val="center"/>
              <w:rPr>
                <w:rFonts w:ascii="Arial"/>
                <w:sz w:val="18"/>
              </w:rPr>
            </w:pPr>
            <w:r>
              <w:rPr>
                <w:rFonts w:ascii="Arial"/>
                <w:sz w:val="18"/>
              </w:rPr>
              <w:t>25/pkg</w:t>
            </w:r>
          </w:p>
        </w:tc>
        <w:tc>
          <w:tcPr>
            <w:tcW w:w="1490" w:type="dxa"/>
            <w:tcBorders>
              <w:top w:val="nil"/>
              <w:left w:val="nil"/>
              <w:bottom w:val="nil"/>
              <w:right w:val="single" w:sz="2" w:space="0" w:color="000000"/>
            </w:tcBorders>
            <w:shd w:val="clear" w:color="auto" w:fill="E6E6FF"/>
          </w:tcPr>
          <w:p>
            <w:pPr>
              <w:pStyle w:val="TableParagraph"/>
              <w:spacing w:before="31"/>
              <w:ind w:left="351" w:right="334"/>
              <w:jc w:val="center"/>
              <w:rPr>
                <w:rFonts w:ascii="Arial"/>
                <w:sz w:val="18"/>
              </w:rPr>
            </w:pPr>
            <w:r>
              <w:rPr>
                <w:rFonts w:ascii="Arial"/>
                <w:sz w:val="18"/>
              </w:rPr>
              <w:t>21258-25</w:t>
            </w:r>
          </w:p>
        </w:tc>
      </w:tr>
      <w:tr>
        <w:trPr>
          <w:trHeight w:val="300" w:hRule="exact"/>
        </w:trPr>
        <w:tc>
          <w:tcPr>
            <w:tcW w:w="5054" w:type="dxa"/>
            <w:tcBorders>
              <w:top w:val="nil"/>
              <w:left w:val="single" w:sz="2" w:space="0" w:color="000000"/>
              <w:bottom w:val="nil"/>
              <w:right w:val="nil"/>
            </w:tcBorders>
          </w:tcPr>
          <w:p>
            <w:pPr>
              <w:pStyle w:val="TableParagraph"/>
              <w:spacing w:before="31"/>
              <w:ind w:left="437" w:right="0"/>
              <w:jc w:val="left"/>
              <w:rPr>
                <w:rFonts w:ascii="Arial"/>
                <w:sz w:val="18"/>
              </w:rPr>
            </w:pPr>
            <w:r>
              <w:rPr>
                <w:rFonts w:ascii="Arial"/>
                <w:sz w:val="18"/>
              </w:rPr>
              <w:t>High Range, 20 to 1500 mg/L COD</w:t>
            </w:r>
          </w:p>
        </w:tc>
        <w:tc>
          <w:tcPr>
            <w:tcW w:w="2257" w:type="dxa"/>
            <w:tcBorders>
              <w:top w:val="nil"/>
              <w:left w:val="nil"/>
              <w:bottom w:val="nil"/>
              <w:right w:val="nil"/>
            </w:tcBorders>
          </w:tcPr>
          <w:p>
            <w:pPr>
              <w:pStyle w:val="TableParagraph"/>
              <w:spacing w:before="31"/>
              <w:ind w:right="374"/>
              <w:rPr>
                <w:rFonts w:ascii="Arial" w:hAnsi="Arial"/>
                <w:sz w:val="18"/>
              </w:rPr>
            </w:pPr>
            <w:r>
              <w:rPr>
                <w:rFonts w:ascii="Arial" w:hAnsi="Arial"/>
                <w:sz w:val="18"/>
              </w:rPr>
              <w:t>1–2 vials</w:t>
            </w:r>
          </w:p>
        </w:tc>
        <w:tc>
          <w:tcPr>
            <w:tcW w:w="1290" w:type="dxa"/>
            <w:tcBorders>
              <w:top w:val="nil"/>
              <w:left w:val="nil"/>
              <w:bottom w:val="nil"/>
              <w:right w:val="nil"/>
            </w:tcBorders>
          </w:tcPr>
          <w:p>
            <w:pPr>
              <w:pStyle w:val="TableParagraph"/>
              <w:spacing w:before="31"/>
              <w:ind w:left="356" w:right="353"/>
              <w:jc w:val="center"/>
              <w:rPr>
                <w:rFonts w:ascii="Arial"/>
                <w:sz w:val="18"/>
              </w:rPr>
            </w:pPr>
            <w:r>
              <w:rPr>
                <w:rFonts w:ascii="Arial"/>
                <w:sz w:val="18"/>
              </w:rPr>
              <w:t>25/pkg</w:t>
            </w:r>
          </w:p>
        </w:tc>
        <w:tc>
          <w:tcPr>
            <w:tcW w:w="1490" w:type="dxa"/>
            <w:tcBorders>
              <w:top w:val="nil"/>
              <w:left w:val="nil"/>
              <w:bottom w:val="nil"/>
              <w:right w:val="single" w:sz="2" w:space="0" w:color="000000"/>
            </w:tcBorders>
          </w:tcPr>
          <w:p>
            <w:pPr>
              <w:pStyle w:val="TableParagraph"/>
              <w:spacing w:before="31"/>
              <w:ind w:left="351" w:right="333"/>
              <w:jc w:val="center"/>
              <w:rPr>
                <w:rFonts w:ascii="Arial"/>
                <w:sz w:val="18"/>
              </w:rPr>
            </w:pPr>
            <w:r>
              <w:rPr>
                <w:rFonts w:ascii="Arial"/>
                <w:sz w:val="18"/>
              </w:rPr>
              <w:t>21259-25</w:t>
            </w:r>
          </w:p>
        </w:tc>
      </w:tr>
      <w:tr>
        <w:trPr>
          <w:trHeight w:val="300" w:hRule="exact"/>
        </w:trPr>
        <w:tc>
          <w:tcPr>
            <w:tcW w:w="5054" w:type="dxa"/>
            <w:tcBorders>
              <w:top w:val="nil"/>
              <w:left w:val="single" w:sz="2" w:space="0" w:color="000000"/>
              <w:bottom w:val="nil"/>
              <w:right w:val="nil"/>
            </w:tcBorders>
            <w:shd w:val="clear" w:color="auto" w:fill="E6E6FF"/>
          </w:tcPr>
          <w:p>
            <w:pPr>
              <w:pStyle w:val="TableParagraph"/>
              <w:spacing w:before="31"/>
              <w:ind w:left="437" w:right="0"/>
              <w:jc w:val="left"/>
              <w:rPr>
                <w:rFonts w:ascii="Arial"/>
                <w:sz w:val="18"/>
              </w:rPr>
            </w:pPr>
            <w:r>
              <w:rPr>
                <w:rFonts w:ascii="Arial"/>
                <w:sz w:val="18"/>
              </w:rPr>
              <w:t>High Range Plus, 200 to 15,000 mg/L COD</w:t>
            </w:r>
          </w:p>
        </w:tc>
        <w:tc>
          <w:tcPr>
            <w:tcW w:w="2257" w:type="dxa"/>
            <w:tcBorders>
              <w:top w:val="nil"/>
              <w:left w:val="nil"/>
              <w:bottom w:val="nil"/>
              <w:right w:val="nil"/>
            </w:tcBorders>
            <w:shd w:val="clear" w:color="auto" w:fill="E6E6FF"/>
          </w:tcPr>
          <w:p>
            <w:pPr>
              <w:pStyle w:val="TableParagraph"/>
              <w:spacing w:before="31"/>
              <w:ind w:right="376"/>
              <w:rPr>
                <w:rFonts w:ascii="Arial" w:hAnsi="Arial"/>
                <w:sz w:val="18"/>
              </w:rPr>
            </w:pPr>
            <w:r>
              <w:rPr>
                <w:rFonts w:ascii="Arial" w:hAnsi="Arial"/>
                <w:sz w:val="18"/>
              </w:rPr>
              <w:t>1–2 vials</w:t>
            </w:r>
          </w:p>
        </w:tc>
        <w:tc>
          <w:tcPr>
            <w:tcW w:w="1290" w:type="dxa"/>
            <w:tcBorders>
              <w:top w:val="nil"/>
              <w:left w:val="nil"/>
              <w:bottom w:val="nil"/>
              <w:right w:val="nil"/>
            </w:tcBorders>
            <w:shd w:val="clear" w:color="auto" w:fill="E6E6FF"/>
          </w:tcPr>
          <w:p>
            <w:pPr>
              <w:pStyle w:val="TableParagraph"/>
              <w:spacing w:before="31"/>
              <w:ind w:left="356" w:right="353"/>
              <w:jc w:val="center"/>
              <w:rPr>
                <w:rFonts w:ascii="Arial"/>
                <w:sz w:val="18"/>
              </w:rPr>
            </w:pPr>
            <w:r>
              <w:rPr>
                <w:rFonts w:ascii="Arial"/>
                <w:sz w:val="18"/>
              </w:rPr>
              <w:t>25/pkg</w:t>
            </w:r>
          </w:p>
        </w:tc>
        <w:tc>
          <w:tcPr>
            <w:tcW w:w="1490" w:type="dxa"/>
            <w:tcBorders>
              <w:top w:val="nil"/>
              <w:left w:val="nil"/>
              <w:bottom w:val="nil"/>
              <w:right w:val="single" w:sz="2" w:space="0" w:color="000000"/>
            </w:tcBorders>
            <w:shd w:val="clear" w:color="auto" w:fill="E6E6FF"/>
          </w:tcPr>
          <w:p>
            <w:pPr>
              <w:pStyle w:val="TableParagraph"/>
              <w:spacing w:before="31"/>
              <w:ind w:left="351" w:right="334"/>
              <w:jc w:val="center"/>
              <w:rPr>
                <w:rFonts w:ascii="Arial"/>
                <w:sz w:val="18"/>
              </w:rPr>
            </w:pPr>
            <w:r>
              <w:rPr>
                <w:rFonts w:ascii="Arial"/>
                <w:sz w:val="18"/>
              </w:rPr>
              <w:t>24159-25</w:t>
            </w:r>
          </w:p>
        </w:tc>
      </w:tr>
      <w:tr>
        <w:trPr>
          <w:trHeight w:val="300" w:hRule="exact"/>
        </w:trPr>
        <w:tc>
          <w:tcPr>
            <w:tcW w:w="5054" w:type="dxa"/>
            <w:tcBorders>
              <w:top w:val="nil"/>
              <w:left w:val="single" w:sz="2" w:space="0" w:color="000000"/>
              <w:right w:val="nil"/>
            </w:tcBorders>
          </w:tcPr>
          <w:p>
            <w:pPr>
              <w:pStyle w:val="TableParagraph"/>
              <w:spacing w:before="31"/>
              <w:ind w:left="77" w:right="0"/>
              <w:jc w:val="left"/>
              <w:rPr>
                <w:rFonts w:ascii="Arial"/>
                <w:sz w:val="18"/>
              </w:rPr>
            </w:pPr>
            <w:r>
              <w:rPr>
                <w:rFonts w:ascii="Arial"/>
                <w:sz w:val="18"/>
              </w:rPr>
              <w:t>Water, deionized</w:t>
            </w:r>
          </w:p>
        </w:tc>
        <w:tc>
          <w:tcPr>
            <w:tcW w:w="2257" w:type="dxa"/>
            <w:tcBorders>
              <w:top w:val="nil"/>
              <w:left w:val="nil"/>
              <w:right w:val="nil"/>
            </w:tcBorders>
          </w:tcPr>
          <w:p>
            <w:pPr>
              <w:pStyle w:val="TableParagraph"/>
              <w:spacing w:before="31"/>
              <w:ind w:right="490"/>
              <w:rPr>
                <w:rFonts w:ascii="Arial"/>
                <w:sz w:val="18"/>
              </w:rPr>
            </w:pPr>
            <w:r>
              <w:rPr>
                <w:rFonts w:ascii="Arial"/>
                <w:sz w:val="18"/>
              </w:rPr>
              <w:t>varies</w:t>
            </w:r>
          </w:p>
        </w:tc>
        <w:tc>
          <w:tcPr>
            <w:tcW w:w="1290" w:type="dxa"/>
            <w:tcBorders>
              <w:top w:val="nil"/>
              <w:left w:val="nil"/>
              <w:right w:val="nil"/>
            </w:tcBorders>
          </w:tcPr>
          <w:p>
            <w:pPr>
              <w:pStyle w:val="TableParagraph"/>
              <w:spacing w:before="31"/>
              <w:ind w:left="355" w:right="353"/>
              <w:jc w:val="center"/>
              <w:rPr>
                <w:rFonts w:ascii="Arial"/>
                <w:sz w:val="18"/>
              </w:rPr>
            </w:pPr>
            <w:r>
              <w:rPr>
                <w:rFonts w:ascii="Arial"/>
                <w:sz w:val="18"/>
              </w:rPr>
              <w:t>4 L</w:t>
            </w:r>
          </w:p>
        </w:tc>
        <w:tc>
          <w:tcPr>
            <w:tcW w:w="1490" w:type="dxa"/>
            <w:tcBorders>
              <w:top w:val="nil"/>
              <w:left w:val="nil"/>
              <w:right w:val="single" w:sz="2" w:space="0" w:color="000000"/>
            </w:tcBorders>
          </w:tcPr>
          <w:p>
            <w:pPr>
              <w:pStyle w:val="TableParagraph"/>
              <w:spacing w:before="31"/>
              <w:ind w:left="349" w:right="334"/>
              <w:jc w:val="center"/>
              <w:rPr>
                <w:rFonts w:ascii="Arial"/>
                <w:sz w:val="18"/>
              </w:rPr>
            </w:pPr>
            <w:r>
              <w:rPr>
                <w:rFonts w:ascii="Arial"/>
                <w:sz w:val="18"/>
              </w:rPr>
              <w:t>272-56</w:t>
            </w:r>
          </w:p>
        </w:tc>
      </w:tr>
    </w:tbl>
    <w:p>
      <w:pPr>
        <w:pStyle w:val="BodyText"/>
        <w:spacing w:before="8"/>
        <w:rPr>
          <w:b/>
          <w:sz w:val="7"/>
        </w:rPr>
      </w:pPr>
    </w:p>
    <w:p>
      <w:pPr>
        <w:spacing w:before="80"/>
        <w:ind w:left="125" w:right="101" w:firstLine="0"/>
        <w:jc w:val="left"/>
        <w:rPr>
          <w:b/>
          <w:sz w:val="16"/>
        </w:rPr>
      </w:pPr>
      <w:r>
        <w:rPr>
          <w:b/>
          <w:sz w:val="20"/>
        </w:rPr>
        <w:t>Alternate Reagents</w:t>
      </w:r>
      <w:r>
        <w:rPr>
          <w:b/>
          <w:position w:val="5"/>
          <w:sz w:val="16"/>
        </w:rPr>
        <w:t>1</w:t>
      </w:r>
    </w:p>
    <w:p>
      <w:pPr>
        <w:pStyle w:val="BodyText"/>
        <w:spacing w:before="7"/>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51"/>
        <w:gridCol w:w="2028"/>
        <w:gridCol w:w="1337"/>
        <w:gridCol w:w="1464"/>
      </w:tblGrid>
      <w:tr>
        <w:trPr>
          <w:trHeight w:val="380" w:hRule="exact"/>
        </w:trPr>
        <w:tc>
          <w:tcPr>
            <w:tcW w:w="10080" w:type="dxa"/>
            <w:gridSpan w:val="4"/>
            <w:tcBorders>
              <w:left w:val="single" w:sz="2" w:space="0" w:color="000000"/>
              <w:right w:val="single" w:sz="2" w:space="0" w:color="000000"/>
            </w:tcBorders>
          </w:tcPr>
          <w:p>
            <w:pPr>
              <w:pStyle w:val="TableParagraph"/>
              <w:tabs>
                <w:tab w:pos="6001" w:val="left" w:leader="none"/>
                <w:tab w:pos="7772" w:val="left" w:leader="none"/>
                <w:tab w:pos="9002" w:val="left" w:leader="none"/>
              </w:tabs>
              <w:spacing w:before="66"/>
              <w:ind w:left="77" w:right="64"/>
              <w:jc w:val="left"/>
              <w:rPr>
                <w:rFonts w:ascii="Arial"/>
                <w:b/>
                <w:sz w:val="18"/>
              </w:rPr>
            </w:pPr>
            <w:r>
              <w:rPr>
                <w:rFonts w:ascii="Arial"/>
                <w:b/>
                <w:sz w:val="18"/>
              </w:rPr>
              <w:t>Description</w:t>
              <w:tab/>
              <w:t>Quantity/Test</w:t>
              <w:tab/>
              <w:t>Unit</w:t>
              <w:tab/>
              <w:t>Cat.</w:t>
            </w:r>
            <w:r>
              <w:rPr>
                <w:rFonts w:ascii="Arial"/>
                <w:b/>
                <w:spacing w:val="-6"/>
                <w:sz w:val="18"/>
              </w:rPr>
              <w:t> </w:t>
            </w:r>
            <w:r>
              <w:rPr>
                <w:rFonts w:ascii="Arial"/>
                <w:b/>
                <w:sz w:val="18"/>
              </w:rPr>
              <w:t>No.</w:t>
            </w:r>
          </w:p>
        </w:tc>
      </w:tr>
      <w:tr>
        <w:trPr>
          <w:trHeight w:val="300" w:hRule="exact"/>
        </w:trPr>
        <w:tc>
          <w:tcPr>
            <w:tcW w:w="10080" w:type="dxa"/>
            <w:gridSpan w:val="4"/>
            <w:tcBorders>
              <w:left w:val="single" w:sz="2" w:space="0" w:color="000000"/>
              <w:bottom w:val="nil"/>
              <w:right w:val="nil"/>
            </w:tcBorders>
            <w:shd w:val="clear" w:color="auto" w:fill="E6E6FF"/>
          </w:tcPr>
          <w:p>
            <w:pPr>
              <w:pStyle w:val="TableParagraph"/>
              <w:spacing w:before="26"/>
              <w:ind w:left="77" w:right="0"/>
              <w:jc w:val="left"/>
              <w:rPr>
                <w:rFonts w:ascii="Arial"/>
                <w:sz w:val="18"/>
              </w:rPr>
            </w:pPr>
            <w:r>
              <w:rPr>
                <w:rFonts w:ascii="Arial"/>
                <w:sz w:val="18"/>
              </w:rPr>
              <w:t>Select the appropriate COD Digestion Reagent Vial:</w:t>
            </w:r>
          </w:p>
        </w:tc>
      </w:tr>
      <w:tr>
        <w:trPr>
          <w:trHeight w:val="300" w:hRule="exact"/>
        </w:trPr>
        <w:tc>
          <w:tcPr>
            <w:tcW w:w="5251" w:type="dxa"/>
            <w:tcBorders>
              <w:top w:val="nil"/>
              <w:left w:val="single" w:sz="2" w:space="0" w:color="000000"/>
              <w:bottom w:val="nil"/>
              <w:right w:val="nil"/>
            </w:tcBorders>
          </w:tcPr>
          <w:p>
            <w:pPr>
              <w:pStyle w:val="TableParagraph"/>
              <w:spacing w:before="31"/>
              <w:ind w:left="437" w:right="0"/>
              <w:jc w:val="left"/>
              <w:rPr>
                <w:rFonts w:ascii="Arial"/>
                <w:sz w:val="18"/>
              </w:rPr>
            </w:pPr>
            <w:r>
              <w:rPr>
                <w:rFonts w:ascii="Arial"/>
                <w:sz w:val="18"/>
              </w:rPr>
              <w:t>COD2, Low Range, 0 to 150 mg/L COD</w:t>
            </w:r>
          </w:p>
        </w:tc>
        <w:tc>
          <w:tcPr>
            <w:tcW w:w="2028" w:type="dxa"/>
            <w:tcBorders>
              <w:top w:val="nil"/>
              <w:left w:val="nil"/>
              <w:bottom w:val="nil"/>
              <w:right w:val="nil"/>
            </w:tcBorders>
          </w:tcPr>
          <w:p>
            <w:pPr>
              <w:pStyle w:val="TableParagraph"/>
              <w:spacing w:before="31"/>
              <w:ind w:right="349"/>
              <w:rPr>
                <w:rFonts w:ascii="Arial" w:hAnsi="Arial"/>
                <w:sz w:val="18"/>
              </w:rPr>
            </w:pPr>
            <w:r>
              <w:rPr>
                <w:rFonts w:ascii="Arial" w:hAnsi="Arial"/>
                <w:sz w:val="18"/>
              </w:rPr>
              <w:t>1–2 vials</w:t>
            </w:r>
          </w:p>
        </w:tc>
        <w:tc>
          <w:tcPr>
            <w:tcW w:w="1337" w:type="dxa"/>
            <w:tcBorders>
              <w:top w:val="nil"/>
              <w:left w:val="nil"/>
              <w:bottom w:val="nil"/>
              <w:right w:val="nil"/>
            </w:tcBorders>
          </w:tcPr>
          <w:p>
            <w:pPr>
              <w:pStyle w:val="TableParagraph"/>
              <w:spacing w:before="31"/>
              <w:ind w:right="396"/>
              <w:rPr>
                <w:rFonts w:ascii="Arial"/>
                <w:sz w:val="18"/>
              </w:rPr>
            </w:pPr>
            <w:r>
              <w:rPr>
                <w:rFonts w:ascii="Arial"/>
                <w:sz w:val="18"/>
              </w:rPr>
              <w:t>25/pkg</w:t>
            </w:r>
          </w:p>
        </w:tc>
        <w:tc>
          <w:tcPr>
            <w:tcW w:w="1464" w:type="dxa"/>
            <w:tcBorders>
              <w:top w:val="nil"/>
              <w:left w:val="nil"/>
              <w:bottom w:val="nil"/>
              <w:right w:val="single" w:sz="2" w:space="0" w:color="000000"/>
            </w:tcBorders>
          </w:tcPr>
          <w:p>
            <w:pPr>
              <w:pStyle w:val="TableParagraph"/>
              <w:spacing w:before="31"/>
              <w:ind w:left="327" w:right="332"/>
              <w:jc w:val="center"/>
              <w:rPr>
                <w:rFonts w:ascii="Arial"/>
                <w:sz w:val="18"/>
              </w:rPr>
            </w:pPr>
            <w:r>
              <w:rPr>
                <w:rFonts w:ascii="Arial"/>
                <w:sz w:val="18"/>
              </w:rPr>
              <w:t>25650-25</w:t>
            </w:r>
          </w:p>
        </w:tc>
      </w:tr>
      <w:tr>
        <w:trPr>
          <w:trHeight w:val="300" w:hRule="exact"/>
        </w:trPr>
        <w:tc>
          <w:tcPr>
            <w:tcW w:w="5251" w:type="dxa"/>
            <w:tcBorders>
              <w:top w:val="nil"/>
              <w:left w:val="single" w:sz="2" w:space="0" w:color="000000"/>
              <w:bottom w:val="nil"/>
              <w:right w:val="nil"/>
            </w:tcBorders>
            <w:shd w:val="clear" w:color="auto" w:fill="E6E6FF"/>
          </w:tcPr>
          <w:p>
            <w:pPr>
              <w:pStyle w:val="TableParagraph"/>
              <w:spacing w:before="31"/>
              <w:ind w:left="437" w:right="0"/>
              <w:jc w:val="left"/>
              <w:rPr>
                <w:rFonts w:ascii="Arial"/>
                <w:sz w:val="18"/>
              </w:rPr>
            </w:pPr>
            <w:r>
              <w:rPr>
                <w:rFonts w:ascii="Arial"/>
                <w:sz w:val="18"/>
              </w:rPr>
              <w:t>COD2, High Range, 0 to 1500 mg/L COD</w:t>
            </w:r>
          </w:p>
        </w:tc>
        <w:tc>
          <w:tcPr>
            <w:tcW w:w="2028" w:type="dxa"/>
            <w:tcBorders>
              <w:top w:val="nil"/>
              <w:left w:val="nil"/>
              <w:bottom w:val="nil"/>
              <w:right w:val="nil"/>
            </w:tcBorders>
            <w:shd w:val="clear" w:color="auto" w:fill="E6E6FF"/>
          </w:tcPr>
          <w:p>
            <w:pPr>
              <w:pStyle w:val="TableParagraph"/>
              <w:spacing w:before="31"/>
              <w:ind w:right="351"/>
              <w:rPr>
                <w:rFonts w:ascii="Arial" w:hAnsi="Arial"/>
                <w:sz w:val="18"/>
              </w:rPr>
            </w:pPr>
            <w:r>
              <w:rPr>
                <w:rFonts w:ascii="Arial" w:hAnsi="Arial"/>
                <w:sz w:val="18"/>
              </w:rPr>
              <w:t>1–2 vials</w:t>
            </w:r>
          </w:p>
        </w:tc>
        <w:tc>
          <w:tcPr>
            <w:tcW w:w="1337" w:type="dxa"/>
            <w:tcBorders>
              <w:top w:val="nil"/>
              <w:left w:val="nil"/>
              <w:bottom w:val="nil"/>
              <w:right w:val="nil"/>
            </w:tcBorders>
            <w:shd w:val="clear" w:color="auto" w:fill="E6E6FF"/>
          </w:tcPr>
          <w:p>
            <w:pPr>
              <w:pStyle w:val="TableParagraph"/>
              <w:spacing w:before="31"/>
              <w:ind w:right="396"/>
              <w:rPr>
                <w:rFonts w:ascii="Arial"/>
                <w:sz w:val="18"/>
              </w:rPr>
            </w:pPr>
            <w:r>
              <w:rPr>
                <w:rFonts w:ascii="Arial"/>
                <w:sz w:val="18"/>
              </w:rPr>
              <w:t>25/pkg</w:t>
            </w:r>
          </w:p>
        </w:tc>
        <w:tc>
          <w:tcPr>
            <w:tcW w:w="1464" w:type="dxa"/>
            <w:tcBorders>
              <w:top w:val="nil"/>
              <w:left w:val="nil"/>
              <w:bottom w:val="nil"/>
              <w:right w:val="single" w:sz="2" w:space="0" w:color="000000"/>
            </w:tcBorders>
            <w:shd w:val="clear" w:color="auto" w:fill="E6E6FF"/>
          </w:tcPr>
          <w:p>
            <w:pPr>
              <w:pStyle w:val="TableParagraph"/>
              <w:spacing w:before="31"/>
              <w:ind w:left="327" w:right="332"/>
              <w:jc w:val="center"/>
              <w:rPr>
                <w:rFonts w:ascii="Arial"/>
                <w:sz w:val="18"/>
              </w:rPr>
            </w:pPr>
            <w:r>
              <w:rPr>
                <w:rFonts w:ascii="Arial"/>
                <w:sz w:val="18"/>
              </w:rPr>
              <w:t>25651-25</w:t>
            </w:r>
          </w:p>
        </w:tc>
      </w:tr>
      <w:tr>
        <w:trPr>
          <w:trHeight w:val="300" w:hRule="exact"/>
        </w:trPr>
        <w:tc>
          <w:tcPr>
            <w:tcW w:w="5251" w:type="dxa"/>
            <w:tcBorders>
              <w:top w:val="nil"/>
              <w:left w:val="single" w:sz="2" w:space="0" w:color="000000"/>
              <w:bottom w:val="nil"/>
              <w:right w:val="nil"/>
            </w:tcBorders>
          </w:tcPr>
          <w:p>
            <w:pPr>
              <w:pStyle w:val="TableParagraph"/>
              <w:spacing w:before="31"/>
              <w:ind w:left="438" w:right="0"/>
              <w:jc w:val="left"/>
              <w:rPr>
                <w:rFonts w:ascii="Arial"/>
                <w:sz w:val="18"/>
              </w:rPr>
            </w:pPr>
            <w:r>
              <w:rPr>
                <w:rFonts w:ascii="Arial"/>
                <w:sz w:val="18"/>
              </w:rPr>
              <w:t>COD2, High Range, 0 to 1500 mg/L COD</w:t>
            </w:r>
          </w:p>
        </w:tc>
        <w:tc>
          <w:tcPr>
            <w:tcW w:w="2028" w:type="dxa"/>
            <w:tcBorders>
              <w:top w:val="nil"/>
              <w:left w:val="nil"/>
              <w:bottom w:val="nil"/>
              <w:right w:val="nil"/>
            </w:tcBorders>
          </w:tcPr>
          <w:p>
            <w:pPr>
              <w:pStyle w:val="TableParagraph"/>
              <w:spacing w:before="31"/>
              <w:ind w:right="349"/>
              <w:rPr>
                <w:rFonts w:ascii="Arial" w:hAnsi="Arial"/>
                <w:sz w:val="18"/>
              </w:rPr>
            </w:pPr>
            <w:r>
              <w:rPr>
                <w:rFonts w:ascii="Arial" w:hAnsi="Arial"/>
                <w:sz w:val="18"/>
              </w:rPr>
              <w:t>1–2 vials</w:t>
            </w:r>
          </w:p>
        </w:tc>
        <w:tc>
          <w:tcPr>
            <w:tcW w:w="1337" w:type="dxa"/>
            <w:tcBorders>
              <w:top w:val="nil"/>
              <w:left w:val="nil"/>
              <w:bottom w:val="nil"/>
              <w:right w:val="nil"/>
            </w:tcBorders>
          </w:tcPr>
          <w:p>
            <w:pPr>
              <w:pStyle w:val="TableParagraph"/>
              <w:spacing w:before="31"/>
              <w:ind w:right="345"/>
              <w:rPr>
                <w:rFonts w:ascii="Arial"/>
                <w:sz w:val="18"/>
              </w:rPr>
            </w:pPr>
            <w:r>
              <w:rPr>
                <w:rFonts w:ascii="Arial"/>
                <w:sz w:val="18"/>
              </w:rPr>
              <w:t>150/pkg</w:t>
            </w:r>
          </w:p>
        </w:tc>
        <w:tc>
          <w:tcPr>
            <w:tcW w:w="1464" w:type="dxa"/>
            <w:tcBorders>
              <w:top w:val="nil"/>
              <w:left w:val="nil"/>
              <w:bottom w:val="nil"/>
              <w:right w:val="single" w:sz="2" w:space="0" w:color="000000"/>
            </w:tcBorders>
          </w:tcPr>
          <w:p>
            <w:pPr>
              <w:pStyle w:val="TableParagraph"/>
              <w:spacing w:before="31"/>
              <w:ind w:left="326" w:right="332"/>
              <w:jc w:val="center"/>
              <w:rPr>
                <w:rFonts w:ascii="Arial"/>
                <w:sz w:val="18"/>
              </w:rPr>
            </w:pPr>
            <w:r>
              <w:rPr>
                <w:rFonts w:ascii="Arial"/>
                <w:sz w:val="18"/>
              </w:rPr>
              <w:t>25651-15</w:t>
            </w:r>
          </w:p>
        </w:tc>
      </w:tr>
      <w:tr>
        <w:trPr>
          <w:trHeight w:val="300" w:hRule="exact"/>
        </w:trPr>
        <w:tc>
          <w:tcPr>
            <w:tcW w:w="5251" w:type="dxa"/>
            <w:tcBorders>
              <w:top w:val="nil"/>
              <w:left w:val="single" w:sz="2" w:space="0" w:color="000000"/>
              <w:right w:val="nil"/>
            </w:tcBorders>
            <w:shd w:val="clear" w:color="auto" w:fill="E6E6FF"/>
          </w:tcPr>
          <w:p>
            <w:pPr>
              <w:pStyle w:val="TableParagraph"/>
              <w:spacing w:before="31"/>
              <w:ind w:left="437" w:right="0"/>
              <w:jc w:val="left"/>
              <w:rPr>
                <w:rFonts w:ascii="Arial"/>
                <w:sz w:val="18"/>
              </w:rPr>
            </w:pPr>
            <w:r>
              <w:rPr>
                <w:rFonts w:ascii="Arial"/>
                <w:sz w:val="18"/>
              </w:rPr>
              <w:t>COD2, High Range Plus, 0 to 15,000 mg/L COD</w:t>
            </w:r>
          </w:p>
        </w:tc>
        <w:tc>
          <w:tcPr>
            <w:tcW w:w="2028" w:type="dxa"/>
            <w:tcBorders>
              <w:top w:val="nil"/>
              <w:left w:val="nil"/>
              <w:right w:val="nil"/>
            </w:tcBorders>
            <w:shd w:val="clear" w:color="auto" w:fill="E6E6FF"/>
          </w:tcPr>
          <w:p>
            <w:pPr>
              <w:pStyle w:val="TableParagraph"/>
              <w:spacing w:before="31"/>
              <w:ind w:right="351"/>
              <w:rPr>
                <w:rFonts w:ascii="Arial" w:hAnsi="Arial"/>
                <w:sz w:val="18"/>
              </w:rPr>
            </w:pPr>
            <w:r>
              <w:rPr>
                <w:rFonts w:ascii="Arial" w:hAnsi="Arial"/>
                <w:sz w:val="18"/>
              </w:rPr>
              <w:t>1–2 vials</w:t>
            </w:r>
          </w:p>
        </w:tc>
        <w:tc>
          <w:tcPr>
            <w:tcW w:w="1337" w:type="dxa"/>
            <w:tcBorders>
              <w:top w:val="nil"/>
              <w:left w:val="nil"/>
              <w:right w:val="nil"/>
            </w:tcBorders>
            <w:shd w:val="clear" w:color="auto" w:fill="E6E6FF"/>
          </w:tcPr>
          <w:p>
            <w:pPr>
              <w:pStyle w:val="TableParagraph"/>
              <w:spacing w:before="31"/>
              <w:ind w:right="396"/>
              <w:rPr>
                <w:rFonts w:ascii="Arial"/>
                <w:sz w:val="18"/>
              </w:rPr>
            </w:pPr>
            <w:r>
              <w:rPr>
                <w:rFonts w:ascii="Arial"/>
                <w:sz w:val="18"/>
              </w:rPr>
              <w:t>25/pkg</w:t>
            </w:r>
          </w:p>
        </w:tc>
        <w:tc>
          <w:tcPr>
            <w:tcW w:w="1464" w:type="dxa"/>
            <w:tcBorders>
              <w:top w:val="nil"/>
              <w:left w:val="nil"/>
              <w:right w:val="single" w:sz="2" w:space="0" w:color="000000"/>
            </w:tcBorders>
            <w:shd w:val="clear" w:color="auto" w:fill="E6E6FF"/>
          </w:tcPr>
          <w:p>
            <w:pPr>
              <w:pStyle w:val="TableParagraph"/>
              <w:spacing w:before="31"/>
              <w:ind w:left="327" w:right="332"/>
              <w:jc w:val="center"/>
              <w:rPr>
                <w:rFonts w:ascii="Arial"/>
                <w:sz w:val="18"/>
              </w:rPr>
            </w:pPr>
            <w:r>
              <w:rPr>
                <w:rFonts w:ascii="Arial"/>
                <w:sz w:val="18"/>
              </w:rPr>
              <w:t>28343-25</w:t>
            </w:r>
          </w:p>
        </w:tc>
      </w:tr>
    </w:tbl>
    <w:p>
      <w:pPr>
        <w:spacing w:line="259" w:lineRule="auto" w:before="150"/>
        <w:ind w:left="125" w:right="1027" w:firstLine="0"/>
        <w:jc w:val="left"/>
        <w:rPr>
          <w:sz w:val="16"/>
        </w:rPr>
      </w:pPr>
      <w:r>
        <w:rPr>
          <w:position w:val="4"/>
          <w:sz w:val="12"/>
        </w:rPr>
        <w:t>1 </w:t>
      </w:r>
      <w:r>
        <w:rPr>
          <w:sz w:val="16"/>
        </w:rPr>
        <w:t>These reagents are not approved for USEPA reporting purposes. Request a copy of the COD Reagent Vial Information Brochure, Lit. No. 1356, for more information about specific applications</w:t>
      </w:r>
    </w:p>
    <w:p>
      <w:pPr>
        <w:pStyle w:val="BodyText"/>
        <w:spacing w:before="7"/>
        <w:rPr>
          <w:sz w:val="13"/>
        </w:rPr>
      </w:pPr>
    </w:p>
    <w:p>
      <w:pPr>
        <w:spacing w:before="74"/>
        <w:ind w:left="125" w:right="101" w:firstLine="0"/>
        <w:jc w:val="left"/>
        <w:rPr>
          <w:b/>
          <w:sz w:val="20"/>
        </w:rPr>
      </w:pPr>
      <w:r>
        <w:rPr>
          <w:b/>
          <w:sz w:val="20"/>
        </w:rPr>
        <w:t>Required Apparatus</w:t>
      </w:r>
    </w:p>
    <w:p>
      <w:pPr>
        <w:pStyle w:val="BodyText"/>
        <w:spacing w:before="7"/>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15"/>
        <w:gridCol w:w="2962"/>
        <w:gridCol w:w="812"/>
        <w:gridCol w:w="1692"/>
      </w:tblGrid>
      <w:tr>
        <w:trPr>
          <w:trHeight w:val="380" w:hRule="exact"/>
        </w:trPr>
        <w:tc>
          <w:tcPr>
            <w:tcW w:w="4615"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2962" w:type="dxa"/>
            <w:tcBorders>
              <w:left w:val="nil"/>
              <w:bottom w:val="single" w:sz="2" w:space="0" w:color="000000"/>
              <w:right w:val="nil"/>
            </w:tcBorders>
          </w:tcPr>
          <w:p>
            <w:pPr>
              <w:pStyle w:val="TableParagraph"/>
              <w:spacing w:before="66"/>
              <w:ind w:left="1571" w:right="200"/>
              <w:jc w:val="center"/>
              <w:rPr>
                <w:rFonts w:ascii="Arial"/>
                <w:b/>
                <w:sz w:val="18"/>
              </w:rPr>
            </w:pPr>
            <w:r>
              <w:rPr>
                <w:rFonts w:ascii="Arial"/>
                <w:b/>
                <w:sz w:val="18"/>
              </w:rPr>
              <w:t>Quantity/Test</w:t>
            </w:r>
          </w:p>
        </w:tc>
        <w:tc>
          <w:tcPr>
            <w:tcW w:w="812" w:type="dxa"/>
            <w:tcBorders>
              <w:left w:val="nil"/>
              <w:bottom w:val="single" w:sz="2" w:space="0" w:color="000000"/>
              <w:right w:val="nil"/>
            </w:tcBorders>
          </w:tcPr>
          <w:p>
            <w:pPr>
              <w:pStyle w:val="TableParagraph"/>
              <w:spacing w:before="66"/>
              <w:ind w:right="214"/>
              <w:rPr>
                <w:rFonts w:ascii="Arial"/>
                <w:b/>
                <w:sz w:val="18"/>
              </w:rPr>
            </w:pPr>
            <w:r>
              <w:rPr>
                <w:rFonts w:ascii="Arial"/>
                <w:b/>
                <w:sz w:val="18"/>
              </w:rPr>
              <w:t>Unit</w:t>
            </w:r>
          </w:p>
        </w:tc>
        <w:tc>
          <w:tcPr>
            <w:tcW w:w="1692" w:type="dxa"/>
            <w:tcBorders>
              <w:left w:val="nil"/>
              <w:bottom w:val="single" w:sz="2" w:space="0" w:color="000000"/>
              <w:right w:val="single" w:sz="2" w:space="0" w:color="000000"/>
            </w:tcBorders>
          </w:tcPr>
          <w:p>
            <w:pPr>
              <w:pStyle w:val="TableParagraph"/>
              <w:spacing w:before="66"/>
              <w:ind w:left="164" w:right="51"/>
              <w:jc w:val="center"/>
              <w:rPr>
                <w:rFonts w:ascii="Arial"/>
                <w:b/>
                <w:sz w:val="18"/>
              </w:rPr>
            </w:pPr>
            <w:r>
              <w:rPr>
                <w:rFonts w:ascii="Arial"/>
                <w:b/>
                <w:sz w:val="18"/>
              </w:rPr>
              <w:t>Cat. No.</w:t>
            </w:r>
          </w:p>
        </w:tc>
      </w:tr>
      <w:tr>
        <w:trPr>
          <w:trHeight w:val="300" w:hRule="exact"/>
        </w:trPr>
        <w:tc>
          <w:tcPr>
            <w:tcW w:w="4615"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Blender, 2-speed, 120 VAC</w:t>
            </w:r>
          </w:p>
        </w:tc>
        <w:tc>
          <w:tcPr>
            <w:tcW w:w="2962" w:type="dxa"/>
            <w:tcBorders>
              <w:top w:val="single" w:sz="2" w:space="0" w:color="000000"/>
              <w:left w:val="nil"/>
              <w:bottom w:val="nil"/>
              <w:right w:val="nil"/>
            </w:tcBorders>
            <w:shd w:val="clear" w:color="auto" w:fill="E6E6FF"/>
          </w:tcPr>
          <w:p>
            <w:pPr>
              <w:pStyle w:val="TableParagraph"/>
              <w:spacing w:before="29"/>
              <w:ind w:left="1372" w:right="0"/>
              <w:jc w:val="center"/>
              <w:rPr>
                <w:rFonts w:ascii="Arial"/>
                <w:sz w:val="18"/>
              </w:rPr>
            </w:pPr>
            <w:r>
              <w:rPr>
                <w:rFonts w:ascii="Arial"/>
                <w:sz w:val="18"/>
              </w:rPr>
              <w:t>1</w:t>
            </w:r>
          </w:p>
        </w:tc>
        <w:tc>
          <w:tcPr>
            <w:tcW w:w="812" w:type="dxa"/>
            <w:tcBorders>
              <w:top w:val="single" w:sz="2" w:space="0" w:color="000000"/>
              <w:left w:val="nil"/>
              <w:bottom w:val="nil"/>
              <w:right w:val="nil"/>
            </w:tcBorders>
            <w:shd w:val="clear" w:color="auto" w:fill="E6E6FF"/>
          </w:tcPr>
          <w:p>
            <w:pPr>
              <w:pStyle w:val="TableParagraph"/>
              <w:spacing w:before="29"/>
              <w:ind w:right="193"/>
              <w:rPr>
                <w:rFonts w:ascii="Arial"/>
                <w:sz w:val="18"/>
              </w:rPr>
            </w:pPr>
            <w:r>
              <w:rPr>
                <w:rFonts w:ascii="Arial"/>
                <w:sz w:val="18"/>
              </w:rPr>
              <w:t>each</w:t>
            </w:r>
          </w:p>
        </w:tc>
        <w:tc>
          <w:tcPr>
            <w:tcW w:w="1692" w:type="dxa"/>
            <w:tcBorders>
              <w:top w:val="single" w:sz="2" w:space="0" w:color="000000"/>
              <w:left w:val="nil"/>
              <w:bottom w:val="nil"/>
              <w:right w:val="single" w:sz="2" w:space="0" w:color="000000"/>
            </w:tcBorders>
            <w:shd w:val="clear" w:color="auto" w:fill="E6E6FF"/>
          </w:tcPr>
          <w:p>
            <w:pPr>
              <w:pStyle w:val="TableParagraph"/>
              <w:spacing w:before="29"/>
              <w:ind w:left="164" w:right="51"/>
              <w:jc w:val="center"/>
              <w:rPr>
                <w:rFonts w:ascii="Arial"/>
                <w:sz w:val="18"/>
              </w:rPr>
            </w:pPr>
            <w:r>
              <w:rPr>
                <w:rFonts w:ascii="Arial"/>
                <w:sz w:val="18"/>
              </w:rPr>
              <w:t>26161-00</w:t>
            </w:r>
          </w:p>
        </w:tc>
      </w:tr>
      <w:tr>
        <w:trPr>
          <w:trHeight w:val="300" w:hRule="exact"/>
        </w:trPr>
        <w:tc>
          <w:tcPr>
            <w:tcW w:w="4615" w:type="dxa"/>
            <w:tcBorders>
              <w:top w:val="nil"/>
              <w:left w:val="single" w:sz="2" w:space="0" w:color="000000"/>
              <w:bottom w:val="nil"/>
              <w:right w:val="nil"/>
            </w:tcBorders>
          </w:tcPr>
          <w:p>
            <w:pPr>
              <w:pStyle w:val="TableParagraph"/>
              <w:spacing w:before="31"/>
              <w:ind w:left="78" w:right="0"/>
              <w:jc w:val="left"/>
              <w:rPr>
                <w:rFonts w:ascii="Arial"/>
                <w:sz w:val="18"/>
              </w:rPr>
            </w:pPr>
            <w:r>
              <w:rPr>
                <w:rFonts w:ascii="Arial"/>
                <w:sz w:val="18"/>
              </w:rPr>
              <w:t>Blender, 2-speed, 240 VAC</w:t>
            </w:r>
          </w:p>
        </w:tc>
        <w:tc>
          <w:tcPr>
            <w:tcW w:w="2962" w:type="dxa"/>
            <w:tcBorders>
              <w:top w:val="nil"/>
              <w:left w:val="nil"/>
              <w:bottom w:val="nil"/>
              <w:right w:val="nil"/>
            </w:tcBorders>
          </w:tcPr>
          <w:p>
            <w:pPr>
              <w:pStyle w:val="TableParagraph"/>
              <w:spacing w:before="31"/>
              <w:ind w:left="1372" w:right="0"/>
              <w:jc w:val="center"/>
              <w:rPr>
                <w:rFonts w:ascii="Arial"/>
                <w:sz w:val="18"/>
              </w:rPr>
            </w:pPr>
            <w:r>
              <w:rPr>
                <w:rFonts w:ascii="Arial"/>
                <w:sz w:val="18"/>
              </w:rPr>
              <w:t>1</w:t>
            </w:r>
          </w:p>
        </w:tc>
        <w:tc>
          <w:tcPr>
            <w:tcW w:w="812" w:type="dxa"/>
            <w:tcBorders>
              <w:top w:val="nil"/>
              <w:left w:val="nil"/>
              <w:bottom w:val="nil"/>
              <w:right w:val="nil"/>
            </w:tcBorders>
          </w:tcPr>
          <w:p>
            <w:pPr>
              <w:pStyle w:val="TableParagraph"/>
              <w:spacing w:before="31"/>
              <w:ind w:right="194"/>
              <w:rPr>
                <w:rFonts w:ascii="Arial"/>
                <w:sz w:val="18"/>
              </w:rPr>
            </w:pPr>
            <w:r>
              <w:rPr>
                <w:rFonts w:ascii="Arial"/>
                <w:sz w:val="18"/>
              </w:rPr>
              <w:t>each</w:t>
            </w:r>
          </w:p>
        </w:tc>
        <w:tc>
          <w:tcPr>
            <w:tcW w:w="1692" w:type="dxa"/>
            <w:tcBorders>
              <w:top w:val="nil"/>
              <w:left w:val="nil"/>
              <w:bottom w:val="nil"/>
              <w:right w:val="single" w:sz="2" w:space="0" w:color="000000"/>
            </w:tcBorders>
          </w:tcPr>
          <w:p>
            <w:pPr>
              <w:pStyle w:val="TableParagraph"/>
              <w:spacing w:before="31"/>
              <w:ind w:left="164" w:right="51"/>
              <w:jc w:val="center"/>
              <w:rPr>
                <w:rFonts w:ascii="Arial"/>
                <w:sz w:val="18"/>
              </w:rPr>
            </w:pPr>
            <w:r>
              <w:rPr>
                <w:rFonts w:ascii="Arial"/>
                <w:sz w:val="18"/>
              </w:rPr>
              <w:t>26161-02</w:t>
            </w:r>
          </w:p>
        </w:tc>
      </w:tr>
      <w:tr>
        <w:trPr>
          <w:trHeight w:val="300" w:hRule="exact"/>
        </w:trPr>
        <w:tc>
          <w:tcPr>
            <w:tcW w:w="4615"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DRB200 Reactor, 110 V, 15 x 16 mm</w:t>
            </w:r>
          </w:p>
        </w:tc>
        <w:tc>
          <w:tcPr>
            <w:tcW w:w="2962" w:type="dxa"/>
            <w:tcBorders>
              <w:top w:val="nil"/>
              <w:left w:val="nil"/>
              <w:bottom w:val="nil"/>
              <w:right w:val="nil"/>
            </w:tcBorders>
            <w:shd w:val="clear" w:color="auto" w:fill="E6E6FF"/>
          </w:tcPr>
          <w:p>
            <w:pPr>
              <w:pStyle w:val="TableParagraph"/>
              <w:spacing w:before="31"/>
              <w:ind w:left="1372" w:right="0"/>
              <w:jc w:val="center"/>
              <w:rPr>
                <w:rFonts w:ascii="Arial"/>
                <w:sz w:val="18"/>
              </w:rPr>
            </w:pPr>
            <w:r>
              <w:rPr>
                <w:rFonts w:ascii="Arial"/>
                <w:sz w:val="18"/>
              </w:rPr>
              <w:t>1</w:t>
            </w:r>
          </w:p>
        </w:tc>
        <w:tc>
          <w:tcPr>
            <w:tcW w:w="812" w:type="dxa"/>
            <w:tcBorders>
              <w:top w:val="nil"/>
              <w:left w:val="nil"/>
              <w:bottom w:val="nil"/>
              <w:right w:val="nil"/>
            </w:tcBorders>
            <w:shd w:val="clear" w:color="auto" w:fill="E6E6FF"/>
          </w:tcPr>
          <w:p>
            <w:pPr>
              <w:pStyle w:val="TableParagraph"/>
              <w:spacing w:before="31"/>
              <w:ind w:right="193"/>
              <w:rPr>
                <w:rFonts w:ascii="Arial"/>
                <w:sz w:val="18"/>
              </w:rPr>
            </w:pPr>
            <w:r>
              <w:rPr>
                <w:rFonts w:ascii="Arial"/>
                <w:sz w:val="18"/>
              </w:rPr>
              <w:t>each</w:t>
            </w:r>
          </w:p>
        </w:tc>
        <w:tc>
          <w:tcPr>
            <w:tcW w:w="1692" w:type="dxa"/>
            <w:tcBorders>
              <w:top w:val="nil"/>
              <w:left w:val="nil"/>
              <w:bottom w:val="nil"/>
              <w:right w:val="single" w:sz="2" w:space="0" w:color="000000"/>
            </w:tcBorders>
            <w:shd w:val="clear" w:color="auto" w:fill="E6E6FF"/>
          </w:tcPr>
          <w:p>
            <w:pPr>
              <w:pStyle w:val="TableParagraph"/>
              <w:spacing w:before="31"/>
              <w:ind w:left="164" w:right="52"/>
              <w:jc w:val="center"/>
              <w:rPr>
                <w:rFonts w:ascii="Arial"/>
                <w:sz w:val="18"/>
              </w:rPr>
            </w:pPr>
            <w:r>
              <w:rPr>
                <w:rFonts w:ascii="Arial"/>
                <w:sz w:val="18"/>
              </w:rPr>
              <w:t>LTV082.53.40001</w:t>
            </w:r>
          </w:p>
        </w:tc>
      </w:tr>
      <w:tr>
        <w:trPr>
          <w:trHeight w:val="300" w:hRule="exact"/>
        </w:trPr>
        <w:tc>
          <w:tcPr>
            <w:tcW w:w="4615" w:type="dxa"/>
            <w:tcBorders>
              <w:top w:val="nil"/>
              <w:left w:val="single" w:sz="2" w:space="0" w:color="000000"/>
              <w:bottom w:val="single" w:sz="2" w:space="0" w:color="000000"/>
              <w:right w:val="nil"/>
            </w:tcBorders>
          </w:tcPr>
          <w:p>
            <w:pPr>
              <w:pStyle w:val="TableParagraph"/>
              <w:spacing w:before="31"/>
              <w:ind w:left="77" w:right="0"/>
              <w:jc w:val="left"/>
              <w:rPr>
                <w:rFonts w:ascii="Arial"/>
                <w:sz w:val="18"/>
              </w:rPr>
            </w:pPr>
            <w:r>
              <w:rPr>
                <w:rFonts w:ascii="Arial"/>
                <w:sz w:val="18"/>
              </w:rPr>
              <w:t>DRB200 Reactor, 220 V, 15 x 16 mm</w:t>
            </w:r>
          </w:p>
        </w:tc>
        <w:tc>
          <w:tcPr>
            <w:tcW w:w="2962" w:type="dxa"/>
            <w:tcBorders>
              <w:top w:val="nil"/>
              <w:left w:val="nil"/>
              <w:bottom w:val="single" w:sz="2" w:space="0" w:color="000000"/>
              <w:right w:val="nil"/>
            </w:tcBorders>
          </w:tcPr>
          <w:p>
            <w:pPr>
              <w:pStyle w:val="TableParagraph"/>
              <w:spacing w:before="31"/>
              <w:ind w:left="1371" w:right="0"/>
              <w:jc w:val="center"/>
              <w:rPr>
                <w:rFonts w:ascii="Arial"/>
                <w:sz w:val="18"/>
              </w:rPr>
            </w:pPr>
            <w:r>
              <w:rPr>
                <w:rFonts w:ascii="Arial"/>
                <w:sz w:val="18"/>
              </w:rPr>
              <w:t>1</w:t>
            </w:r>
          </w:p>
        </w:tc>
        <w:tc>
          <w:tcPr>
            <w:tcW w:w="812" w:type="dxa"/>
            <w:tcBorders>
              <w:top w:val="nil"/>
              <w:left w:val="nil"/>
              <w:bottom w:val="single" w:sz="2" w:space="0" w:color="000000"/>
              <w:right w:val="nil"/>
            </w:tcBorders>
          </w:tcPr>
          <w:p>
            <w:pPr>
              <w:pStyle w:val="TableParagraph"/>
              <w:spacing w:before="31"/>
              <w:ind w:right="194"/>
              <w:rPr>
                <w:rFonts w:ascii="Arial"/>
                <w:sz w:val="18"/>
              </w:rPr>
            </w:pPr>
            <w:r>
              <w:rPr>
                <w:rFonts w:ascii="Arial"/>
                <w:sz w:val="18"/>
              </w:rPr>
              <w:t>each</w:t>
            </w:r>
          </w:p>
        </w:tc>
        <w:tc>
          <w:tcPr>
            <w:tcW w:w="1692" w:type="dxa"/>
            <w:tcBorders>
              <w:top w:val="nil"/>
              <w:left w:val="nil"/>
              <w:bottom w:val="single" w:sz="2" w:space="0" w:color="000000"/>
              <w:right w:val="single" w:sz="2" w:space="0" w:color="000000"/>
            </w:tcBorders>
          </w:tcPr>
          <w:p>
            <w:pPr>
              <w:pStyle w:val="TableParagraph"/>
              <w:spacing w:before="31"/>
              <w:ind w:left="163" w:right="52"/>
              <w:jc w:val="center"/>
              <w:rPr>
                <w:rFonts w:ascii="Arial"/>
                <w:sz w:val="18"/>
              </w:rPr>
            </w:pPr>
            <w:r>
              <w:rPr>
                <w:rFonts w:ascii="Arial"/>
                <w:sz w:val="18"/>
              </w:rPr>
              <w:t>LTV082.52.40001</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25"/>
        </w:rPr>
      </w:pPr>
      <w:r>
        <w:rPr/>
        <w:pict>
          <v:group style="position:absolute;margin-left:53.474998pt;margin-top:16.505142pt;width:505.05pt;height:1.05pt;mso-position-horizontal-relative:page;mso-position-vertical-relative:paragraph;z-index:14560;mso-wrap-distance-left:0;mso-wrap-distance-right:0" coordorigin="1069,330" coordsize="10101,21">
            <v:line style="position:absolute" from="1080,341" to="1080,341" stroked="true" strokeweight="1.02pt" strokecolor="#000000"/>
            <v:line style="position:absolute" from="1080,341" to="11160,341" stroked="true" strokeweight="1.02pt" strokecolor="#000000"/>
            <w10:wrap type="topAndBottom"/>
          </v:group>
        </w:pict>
      </w:r>
    </w:p>
    <w:p>
      <w:pPr>
        <w:spacing w:line="207" w:lineRule="exact" w:before="0"/>
        <w:ind w:left="0" w:right="163" w:firstLine="0"/>
        <w:jc w:val="right"/>
        <w:rPr>
          <w:b/>
          <w:sz w:val="20"/>
        </w:rPr>
      </w:pPr>
      <w:r>
        <w:rPr>
          <w:b/>
          <w:sz w:val="20"/>
        </w:rPr>
        <w:t>Oxygen Demand, Chemical</w:t>
      </w:r>
    </w:p>
    <w:p>
      <w:pPr>
        <w:tabs>
          <w:tab w:pos="9004" w:val="left" w:leader="none"/>
        </w:tabs>
        <w:spacing w:before="10"/>
        <w:ind w:left="0" w:right="163" w:firstLine="0"/>
        <w:jc w:val="right"/>
        <w:rPr>
          <w:b/>
          <w:sz w:val="20"/>
        </w:rPr>
      </w:pPr>
      <w:r>
        <w:rPr>
          <w:sz w:val="14"/>
        </w:rPr>
        <w:t>OxygenCOD_8000_RCD_MR.fm</w:t>
        <w:tab/>
      </w:r>
      <w:r>
        <w:rPr>
          <w:b/>
          <w:sz w:val="20"/>
        </w:rPr>
        <w:t>Page 7 of</w:t>
      </w:r>
      <w:r>
        <w:rPr>
          <w:b/>
          <w:spacing w:val="-11"/>
          <w:sz w:val="20"/>
        </w:rPr>
        <w:t> </w:t>
      </w:r>
      <w:r>
        <w:rPr>
          <w:b/>
          <w:sz w:val="20"/>
        </w:rPr>
        <w:t>8</w:t>
      </w:r>
    </w:p>
    <w:p>
      <w:pPr>
        <w:spacing w:after="0"/>
        <w:jc w:val="right"/>
        <w:rPr>
          <w:sz w:val="20"/>
        </w:rPr>
        <w:sectPr>
          <w:headerReference w:type="default" r:id="rId279"/>
          <w:footerReference w:type="default" r:id="rId280"/>
          <w:pgSz w:w="11900" w:h="15840"/>
          <w:pgMar w:header="0" w:footer="0" w:top="240" w:bottom="0" w:left="960" w:right="600"/>
        </w:sectPr>
      </w:pPr>
    </w:p>
    <w:p>
      <w:pPr>
        <w:pStyle w:val="Heading4"/>
        <w:ind w:left="118" w:right="22"/>
      </w:pPr>
      <w:r>
        <w:rPr/>
        <w:pict>
          <v:group style="position:absolute;margin-left:35.415001pt;margin-top:21.080879pt;width:505.05pt;height:1.05pt;mso-position-horizontal-relative:page;mso-position-vertical-relative:paragraph;z-index:14608;mso-wrap-distance-left:0;mso-wrap-distance-right:0" coordorigin="708,422" coordsize="10101,21">
            <v:line style="position:absolute" from="719,432" to="719,432" stroked="true" strokeweight="1.02pt" strokecolor="#000000"/>
            <v:line style="position:absolute" from="719,432" to="10799,432" stroked="true" strokeweight="1.02pt" strokecolor="#000000"/>
            <w10:wrap type="topAndBottom"/>
          </v:group>
        </w:pict>
      </w:r>
      <w:r>
        <w:rPr/>
        <w:t>Oxygen Demand, Chemical (3 to 150, 20 to 1500, and 200 to 15,000 mg/L COD)</w:t>
      </w:r>
    </w:p>
    <w:p>
      <w:pPr>
        <w:pStyle w:val="BodyText"/>
        <w:rPr>
          <w:b/>
          <w:sz w:val="20"/>
        </w:rPr>
      </w:pPr>
    </w:p>
    <w:p>
      <w:pPr>
        <w:pStyle w:val="BodyText"/>
        <w:rPr>
          <w:b/>
          <w:sz w:val="20"/>
        </w:rPr>
      </w:pPr>
    </w:p>
    <w:p>
      <w:pPr>
        <w:pStyle w:val="BodyText"/>
        <w:spacing w:before="2"/>
        <w:rPr>
          <w:b/>
          <w:sz w:val="21"/>
        </w:rPr>
      </w:pPr>
    </w:p>
    <w:p>
      <w:pPr>
        <w:spacing w:before="0"/>
        <w:ind w:left="120" w:right="22" w:firstLine="0"/>
        <w:jc w:val="left"/>
        <w:rPr>
          <w:b/>
          <w:sz w:val="20"/>
        </w:rPr>
      </w:pPr>
      <w:r>
        <w:rPr>
          <w:b/>
          <w:sz w:val="20"/>
        </w:rPr>
        <w:t>Recommended Standards</w:t>
      </w:r>
    </w:p>
    <w:p>
      <w:pPr>
        <w:pStyle w:val="BodyText"/>
        <w:spacing w:before="7"/>
        <w:rPr>
          <w:b/>
          <w:sz w:val="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86"/>
        <w:gridCol w:w="3007"/>
        <w:gridCol w:w="1487"/>
      </w:tblGrid>
      <w:tr>
        <w:trPr>
          <w:trHeight w:val="380" w:hRule="exact"/>
        </w:trPr>
        <w:tc>
          <w:tcPr>
            <w:tcW w:w="5586"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3007" w:type="dxa"/>
            <w:tcBorders>
              <w:left w:val="nil"/>
              <w:bottom w:val="single" w:sz="2" w:space="0" w:color="000000"/>
              <w:right w:val="nil"/>
            </w:tcBorders>
          </w:tcPr>
          <w:p>
            <w:pPr>
              <w:pStyle w:val="TableParagraph"/>
              <w:spacing w:before="66"/>
              <w:ind w:left="1124" w:right="349"/>
              <w:jc w:val="center"/>
              <w:rPr>
                <w:rFonts w:ascii="Arial"/>
                <w:b/>
                <w:sz w:val="18"/>
              </w:rPr>
            </w:pPr>
            <w:r>
              <w:rPr>
                <w:rFonts w:ascii="Arial"/>
                <w:b/>
                <w:sz w:val="18"/>
              </w:rPr>
              <w:t>Unit</w:t>
            </w:r>
          </w:p>
        </w:tc>
        <w:tc>
          <w:tcPr>
            <w:tcW w:w="1487" w:type="dxa"/>
            <w:tcBorders>
              <w:left w:val="nil"/>
              <w:bottom w:val="single" w:sz="2" w:space="0" w:color="000000"/>
              <w:right w:val="single" w:sz="2" w:space="0" w:color="000000"/>
            </w:tcBorders>
          </w:tcPr>
          <w:p>
            <w:pPr>
              <w:pStyle w:val="TableParagraph"/>
              <w:spacing w:before="66"/>
              <w:ind w:left="351" w:right="332"/>
              <w:jc w:val="center"/>
              <w:rPr>
                <w:rFonts w:ascii="Arial"/>
                <w:b/>
                <w:sz w:val="18"/>
              </w:rPr>
            </w:pPr>
            <w:r>
              <w:rPr>
                <w:rFonts w:ascii="Arial"/>
                <w:b/>
                <w:sz w:val="18"/>
              </w:rPr>
              <w:t>Cat. No.</w:t>
            </w:r>
          </w:p>
        </w:tc>
      </w:tr>
      <w:tr>
        <w:trPr>
          <w:trHeight w:val="300" w:hRule="exact"/>
        </w:trPr>
        <w:tc>
          <w:tcPr>
            <w:tcW w:w="5586" w:type="dxa"/>
            <w:tcBorders>
              <w:top w:val="single" w:sz="2" w:space="0" w:color="000000"/>
              <w:left w:val="single" w:sz="2" w:space="0" w:color="000000"/>
              <w:bottom w:val="nil"/>
              <w:right w:val="nil"/>
            </w:tcBorders>
            <w:shd w:val="clear" w:color="auto" w:fill="E6E6FF"/>
          </w:tcPr>
          <w:p>
            <w:pPr>
              <w:pStyle w:val="TableParagraph"/>
              <w:ind w:left="77" w:right="0"/>
              <w:jc w:val="left"/>
              <w:rPr>
                <w:rFonts w:ascii="Arial"/>
                <w:sz w:val="18"/>
              </w:rPr>
            </w:pPr>
            <w:r>
              <w:rPr>
                <w:rFonts w:ascii="Arial"/>
                <w:sz w:val="18"/>
              </w:rPr>
              <w:t>COD Standard Solution, 300-mg/L</w:t>
            </w:r>
          </w:p>
        </w:tc>
        <w:tc>
          <w:tcPr>
            <w:tcW w:w="3007" w:type="dxa"/>
            <w:tcBorders>
              <w:top w:val="single" w:sz="2" w:space="0" w:color="000000"/>
              <w:left w:val="nil"/>
              <w:bottom w:val="nil"/>
              <w:right w:val="nil"/>
            </w:tcBorders>
            <w:shd w:val="clear" w:color="auto" w:fill="E6E6FF"/>
          </w:tcPr>
          <w:p>
            <w:pPr>
              <w:pStyle w:val="TableParagraph"/>
              <w:ind w:left="1124" w:right="350"/>
              <w:jc w:val="center"/>
              <w:rPr>
                <w:rFonts w:ascii="Arial"/>
                <w:sz w:val="18"/>
              </w:rPr>
            </w:pPr>
            <w:r>
              <w:rPr>
                <w:rFonts w:ascii="Arial"/>
                <w:sz w:val="18"/>
              </w:rPr>
              <w:t>200 mL</w:t>
            </w:r>
          </w:p>
        </w:tc>
        <w:tc>
          <w:tcPr>
            <w:tcW w:w="1487" w:type="dxa"/>
            <w:tcBorders>
              <w:top w:val="single" w:sz="2" w:space="0" w:color="000000"/>
              <w:left w:val="nil"/>
              <w:bottom w:val="nil"/>
              <w:right w:val="single" w:sz="2" w:space="0" w:color="000000"/>
            </w:tcBorders>
            <w:shd w:val="clear" w:color="auto" w:fill="E6E6FF"/>
          </w:tcPr>
          <w:p>
            <w:pPr>
              <w:pStyle w:val="TableParagraph"/>
              <w:ind w:left="351" w:right="332"/>
              <w:jc w:val="center"/>
              <w:rPr>
                <w:rFonts w:ascii="Arial"/>
                <w:sz w:val="18"/>
              </w:rPr>
            </w:pPr>
            <w:r>
              <w:rPr>
                <w:rFonts w:ascii="Arial"/>
                <w:sz w:val="18"/>
              </w:rPr>
              <w:t>12186-29</w:t>
            </w:r>
          </w:p>
        </w:tc>
      </w:tr>
      <w:tr>
        <w:trPr>
          <w:trHeight w:val="300" w:hRule="exact"/>
        </w:trPr>
        <w:tc>
          <w:tcPr>
            <w:tcW w:w="5586" w:type="dxa"/>
            <w:tcBorders>
              <w:top w:val="nil"/>
              <w:left w:val="single" w:sz="2" w:space="0" w:color="000000"/>
              <w:bottom w:val="nil"/>
              <w:right w:val="nil"/>
            </w:tcBorders>
          </w:tcPr>
          <w:p>
            <w:pPr>
              <w:pStyle w:val="TableParagraph"/>
              <w:spacing w:before="30"/>
              <w:ind w:left="77" w:right="0"/>
              <w:jc w:val="left"/>
              <w:rPr>
                <w:rFonts w:ascii="Arial"/>
                <w:sz w:val="18"/>
              </w:rPr>
            </w:pPr>
            <w:r>
              <w:rPr>
                <w:rFonts w:ascii="Arial"/>
                <w:sz w:val="18"/>
              </w:rPr>
              <w:t>COD Standard Solution, 1000-mg/L</w:t>
            </w:r>
          </w:p>
        </w:tc>
        <w:tc>
          <w:tcPr>
            <w:tcW w:w="3007" w:type="dxa"/>
            <w:tcBorders>
              <w:top w:val="nil"/>
              <w:left w:val="nil"/>
              <w:bottom w:val="nil"/>
              <w:right w:val="nil"/>
            </w:tcBorders>
          </w:tcPr>
          <w:p>
            <w:pPr>
              <w:pStyle w:val="TableParagraph"/>
              <w:spacing w:before="30"/>
              <w:ind w:left="1124" w:right="350"/>
              <w:jc w:val="center"/>
              <w:rPr>
                <w:rFonts w:ascii="Arial"/>
                <w:sz w:val="18"/>
              </w:rPr>
            </w:pPr>
            <w:r>
              <w:rPr>
                <w:rFonts w:ascii="Arial"/>
                <w:sz w:val="18"/>
              </w:rPr>
              <w:t>200 mL</w:t>
            </w:r>
          </w:p>
        </w:tc>
        <w:tc>
          <w:tcPr>
            <w:tcW w:w="1487" w:type="dxa"/>
            <w:tcBorders>
              <w:top w:val="nil"/>
              <w:left w:val="nil"/>
              <w:bottom w:val="nil"/>
              <w:right w:val="single" w:sz="2" w:space="0" w:color="000000"/>
            </w:tcBorders>
          </w:tcPr>
          <w:p>
            <w:pPr>
              <w:pStyle w:val="TableParagraph"/>
              <w:spacing w:before="30"/>
              <w:ind w:left="351" w:right="332"/>
              <w:jc w:val="center"/>
              <w:rPr>
                <w:rFonts w:ascii="Arial"/>
                <w:sz w:val="18"/>
              </w:rPr>
            </w:pPr>
            <w:r>
              <w:rPr>
                <w:rFonts w:ascii="Arial"/>
                <w:sz w:val="18"/>
              </w:rPr>
              <w:t>22539-29</w:t>
            </w:r>
          </w:p>
        </w:tc>
      </w:tr>
      <w:tr>
        <w:trPr>
          <w:trHeight w:val="300" w:hRule="exact"/>
        </w:trPr>
        <w:tc>
          <w:tcPr>
            <w:tcW w:w="5586" w:type="dxa"/>
            <w:tcBorders>
              <w:top w:val="nil"/>
              <w:left w:val="single" w:sz="2" w:space="0" w:color="000000"/>
              <w:bottom w:val="nil"/>
              <w:right w:val="nil"/>
            </w:tcBorders>
            <w:shd w:val="clear" w:color="auto" w:fill="E6E6FF"/>
          </w:tcPr>
          <w:p>
            <w:pPr>
              <w:pStyle w:val="TableParagraph"/>
              <w:spacing w:before="30"/>
              <w:ind w:left="77" w:right="0"/>
              <w:jc w:val="left"/>
              <w:rPr>
                <w:rFonts w:ascii="Arial"/>
                <w:sz w:val="18"/>
              </w:rPr>
            </w:pPr>
            <w:r>
              <w:rPr>
                <w:rFonts w:ascii="Arial"/>
                <w:sz w:val="18"/>
              </w:rPr>
              <w:t>Oxygen Demand Standard (BOD, COD, TOC)</w:t>
            </w:r>
          </w:p>
        </w:tc>
        <w:tc>
          <w:tcPr>
            <w:tcW w:w="3007" w:type="dxa"/>
            <w:tcBorders>
              <w:top w:val="nil"/>
              <w:left w:val="nil"/>
              <w:bottom w:val="nil"/>
              <w:right w:val="nil"/>
            </w:tcBorders>
            <w:shd w:val="clear" w:color="auto" w:fill="E6E6FF"/>
          </w:tcPr>
          <w:p>
            <w:pPr>
              <w:pStyle w:val="TableParagraph"/>
              <w:spacing w:before="30"/>
              <w:ind w:left="1124" w:right="351"/>
              <w:jc w:val="center"/>
              <w:rPr>
                <w:rFonts w:ascii="Arial"/>
                <w:sz w:val="18"/>
              </w:rPr>
            </w:pPr>
            <w:r>
              <w:rPr>
                <w:rFonts w:ascii="Arial"/>
                <w:sz w:val="18"/>
              </w:rPr>
              <w:t>16 10-mL ampules</w:t>
            </w:r>
          </w:p>
        </w:tc>
        <w:tc>
          <w:tcPr>
            <w:tcW w:w="1487" w:type="dxa"/>
            <w:tcBorders>
              <w:top w:val="nil"/>
              <w:left w:val="nil"/>
              <w:bottom w:val="nil"/>
              <w:right w:val="single" w:sz="2" w:space="0" w:color="000000"/>
            </w:tcBorders>
            <w:shd w:val="clear" w:color="auto" w:fill="E6E6FF"/>
          </w:tcPr>
          <w:p>
            <w:pPr>
              <w:pStyle w:val="TableParagraph"/>
              <w:spacing w:before="30"/>
              <w:ind w:left="351" w:right="332"/>
              <w:jc w:val="center"/>
              <w:rPr>
                <w:rFonts w:ascii="Arial"/>
                <w:sz w:val="18"/>
              </w:rPr>
            </w:pPr>
            <w:r>
              <w:rPr>
                <w:rFonts w:ascii="Arial"/>
                <w:sz w:val="18"/>
              </w:rPr>
              <w:t>28335-10</w:t>
            </w:r>
          </w:p>
        </w:tc>
      </w:tr>
      <w:tr>
        <w:trPr>
          <w:trHeight w:val="300" w:hRule="exact"/>
        </w:trPr>
        <w:tc>
          <w:tcPr>
            <w:tcW w:w="5586" w:type="dxa"/>
            <w:tcBorders>
              <w:top w:val="nil"/>
              <w:left w:val="single" w:sz="2" w:space="0" w:color="000000"/>
              <w:bottom w:val="nil"/>
              <w:right w:val="nil"/>
            </w:tcBorders>
          </w:tcPr>
          <w:p>
            <w:pPr>
              <w:pStyle w:val="TableParagraph"/>
              <w:spacing w:before="31"/>
              <w:ind w:left="77" w:right="0"/>
              <w:jc w:val="left"/>
              <w:rPr>
                <w:rFonts w:ascii="Arial"/>
                <w:sz w:val="18"/>
              </w:rPr>
            </w:pPr>
            <w:r>
              <w:rPr>
                <w:rFonts w:ascii="Arial"/>
                <w:sz w:val="18"/>
              </w:rPr>
              <w:t>Pipet Filler, safety bulb</w:t>
            </w:r>
          </w:p>
        </w:tc>
        <w:tc>
          <w:tcPr>
            <w:tcW w:w="3007" w:type="dxa"/>
            <w:tcBorders>
              <w:top w:val="nil"/>
              <w:left w:val="nil"/>
              <w:bottom w:val="nil"/>
              <w:right w:val="nil"/>
            </w:tcBorders>
          </w:tcPr>
          <w:p>
            <w:pPr>
              <w:pStyle w:val="TableParagraph"/>
              <w:spacing w:before="31"/>
              <w:ind w:left="773" w:right="0"/>
              <w:jc w:val="center"/>
              <w:rPr>
                <w:rFonts w:ascii="Arial"/>
                <w:sz w:val="18"/>
              </w:rPr>
            </w:pPr>
            <w:r>
              <w:rPr>
                <w:rFonts w:ascii="Arial"/>
                <w:sz w:val="18"/>
              </w:rPr>
              <w:t>1</w:t>
            </w:r>
          </w:p>
        </w:tc>
        <w:tc>
          <w:tcPr>
            <w:tcW w:w="1487" w:type="dxa"/>
            <w:tcBorders>
              <w:top w:val="nil"/>
              <w:left w:val="nil"/>
              <w:bottom w:val="nil"/>
              <w:right w:val="single" w:sz="2" w:space="0" w:color="000000"/>
            </w:tcBorders>
          </w:tcPr>
          <w:p>
            <w:pPr>
              <w:pStyle w:val="TableParagraph"/>
              <w:spacing w:before="31"/>
              <w:ind w:left="348" w:right="332"/>
              <w:jc w:val="center"/>
              <w:rPr>
                <w:rFonts w:ascii="Arial"/>
                <w:sz w:val="18"/>
              </w:rPr>
            </w:pPr>
            <w:r>
              <w:rPr>
                <w:rFonts w:ascii="Arial"/>
                <w:sz w:val="18"/>
              </w:rPr>
              <w:t>each</w:t>
            </w:r>
          </w:p>
        </w:tc>
      </w:tr>
      <w:tr>
        <w:trPr>
          <w:trHeight w:val="300" w:hRule="exact"/>
        </w:trPr>
        <w:tc>
          <w:tcPr>
            <w:tcW w:w="5586" w:type="dxa"/>
            <w:tcBorders>
              <w:top w:val="nil"/>
              <w:left w:val="single" w:sz="2" w:space="0" w:color="000000"/>
              <w:bottom w:val="nil"/>
              <w:right w:val="nil"/>
            </w:tcBorders>
            <w:shd w:val="clear" w:color="auto" w:fill="E6E6FF"/>
          </w:tcPr>
          <w:p>
            <w:pPr>
              <w:pStyle w:val="TableParagraph"/>
              <w:spacing w:before="19"/>
              <w:ind w:left="77" w:right="0"/>
              <w:jc w:val="left"/>
              <w:rPr>
                <w:rFonts w:ascii="Arial" w:hAnsi="Arial"/>
                <w:sz w:val="18"/>
              </w:rPr>
            </w:pPr>
            <w:r>
              <w:rPr>
                <w:rFonts w:ascii="Arial" w:hAnsi="Arial"/>
                <w:sz w:val="18"/>
              </w:rPr>
              <w:t>Pipet, TenSette</w:t>
            </w:r>
            <w:r>
              <w:rPr>
                <w:rFonts w:ascii="Arial" w:hAnsi="Arial"/>
                <w:position w:val="5"/>
                <w:sz w:val="14"/>
              </w:rPr>
              <w:t>®</w:t>
            </w:r>
            <w:r>
              <w:rPr>
                <w:rFonts w:ascii="Arial" w:hAnsi="Arial"/>
                <w:sz w:val="18"/>
              </w:rPr>
              <w:t>, 0.1 to 1.0 mL</w:t>
            </w:r>
          </w:p>
        </w:tc>
        <w:tc>
          <w:tcPr>
            <w:tcW w:w="3007" w:type="dxa"/>
            <w:tcBorders>
              <w:top w:val="nil"/>
              <w:left w:val="nil"/>
              <w:bottom w:val="nil"/>
              <w:right w:val="nil"/>
            </w:tcBorders>
            <w:shd w:val="clear" w:color="auto" w:fill="E6E6FF"/>
          </w:tcPr>
          <w:p>
            <w:pPr>
              <w:pStyle w:val="TableParagraph"/>
              <w:spacing w:before="31"/>
              <w:ind w:left="775" w:right="0"/>
              <w:jc w:val="center"/>
              <w:rPr>
                <w:rFonts w:ascii="Arial"/>
                <w:sz w:val="18"/>
              </w:rPr>
            </w:pPr>
            <w:r>
              <w:rPr>
                <w:rFonts w:ascii="Arial"/>
                <w:sz w:val="18"/>
              </w:rPr>
              <w:t>1</w:t>
            </w:r>
          </w:p>
        </w:tc>
        <w:tc>
          <w:tcPr>
            <w:tcW w:w="1487" w:type="dxa"/>
            <w:tcBorders>
              <w:top w:val="nil"/>
              <w:left w:val="nil"/>
              <w:bottom w:val="nil"/>
              <w:right w:val="single" w:sz="2" w:space="0" w:color="000000"/>
            </w:tcBorders>
            <w:shd w:val="clear" w:color="auto" w:fill="E6E6FF"/>
          </w:tcPr>
          <w:p>
            <w:pPr>
              <w:pStyle w:val="TableParagraph"/>
              <w:spacing w:before="31"/>
              <w:ind w:left="350" w:right="332"/>
              <w:jc w:val="center"/>
              <w:rPr>
                <w:rFonts w:ascii="Arial"/>
                <w:sz w:val="18"/>
              </w:rPr>
            </w:pPr>
            <w:r>
              <w:rPr>
                <w:rFonts w:ascii="Arial"/>
                <w:sz w:val="18"/>
              </w:rPr>
              <w:t>each</w:t>
            </w:r>
          </w:p>
        </w:tc>
      </w:tr>
      <w:tr>
        <w:trPr>
          <w:trHeight w:val="300" w:hRule="exact"/>
        </w:trPr>
        <w:tc>
          <w:tcPr>
            <w:tcW w:w="5586" w:type="dxa"/>
            <w:tcBorders>
              <w:top w:val="nil"/>
              <w:left w:val="single" w:sz="2" w:space="0" w:color="000000"/>
              <w:bottom w:val="nil"/>
              <w:right w:val="nil"/>
            </w:tcBorders>
          </w:tcPr>
          <w:p>
            <w:pPr>
              <w:pStyle w:val="TableParagraph"/>
              <w:spacing w:before="31"/>
              <w:ind w:left="77" w:right="0"/>
              <w:jc w:val="left"/>
              <w:rPr>
                <w:rFonts w:ascii="Arial"/>
                <w:sz w:val="18"/>
              </w:rPr>
            </w:pPr>
            <w:r>
              <w:rPr>
                <w:rFonts w:ascii="Arial"/>
                <w:sz w:val="18"/>
              </w:rPr>
              <w:t>Pipet Tips, for TenSette Pipet 19700-01</w:t>
            </w:r>
          </w:p>
        </w:tc>
        <w:tc>
          <w:tcPr>
            <w:tcW w:w="3007" w:type="dxa"/>
            <w:tcBorders>
              <w:top w:val="nil"/>
              <w:left w:val="nil"/>
              <w:bottom w:val="nil"/>
              <w:right w:val="nil"/>
            </w:tcBorders>
          </w:tcPr>
          <w:p>
            <w:pPr>
              <w:pStyle w:val="TableParagraph"/>
              <w:spacing w:before="31"/>
              <w:ind w:left="774" w:right="0"/>
              <w:jc w:val="center"/>
              <w:rPr>
                <w:rFonts w:ascii="Arial"/>
                <w:sz w:val="18"/>
              </w:rPr>
            </w:pPr>
            <w:r>
              <w:rPr>
                <w:rFonts w:ascii="Arial"/>
                <w:sz w:val="18"/>
              </w:rPr>
              <w:t>1</w:t>
            </w:r>
          </w:p>
        </w:tc>
        <w:tc>
          <w:tcPr>
            <w:tcW w:w="1487" w:type="dxa"/>
            <w:tcBorders>
              <w:top w:val="nil"/>
              <w:left w:val="nil"/>
              <w:bottom w:val="nil"/>
              <w:right w:val="single" w:sz="2" w:space="0" w:color="000000"/>
            </w:tcBorders>
          </w:tcPr>
          <w:p>
            <w:pPr>
              <w:pStyle w:val="TableParagraph"/>
              <w:spacing w:before="31"/>
              <w:ind w:left="348" w:right="332"/>
              <w:jc w:val="center"/>
              <w:rPr>
                <w:rFonts w:ascii="Arial"/>
                <w:sz w:val="18"/>
              </w:rPr>
            </w:pPr>
            <w:r>
              <w:rPr>
                <w:rFonts w:ascii="Arial"/>
                <w:sz w:val="18"/>
              </w:rPr>
              <w:t>50/pkg</w:t>
            </w:r>
          </w:p>
        </w:tc>
      </w:tr>
      <w:tr>
        <w:trPr>
          <w:trHeight w:val="300" w:hRule="exact"/>
        </w:trPr>
        <w:tc>
          <w:tcPr>
            <w:tcW w:w="5586"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Pipet, Volumetric, Class A, 2.00 mL</w:t>
            </w:r>
          </w:p>
        </w:tc>
        <w:tc>
          <w:tcPr>
            <w:tcW w:w="3007" w:type="dxa"/>
            <w:tcBorders>
              <w:top w:val="nil"/>
              <w:left w:val="nil"/>
              <w:bottom w:val="nil"/>
              <w:right w:val="nil"/>
            </w:tcBorders>
            <w:shd w:val="clear" w:color="auto" w:fill="E6E6FF"/>
          </w:tcPr>
          <w:p>
            <w:pPr>
              <w:pStyle w:val="TableParagraph"/>
              <w:spacing w:before="31"/>
              <w:ind w:left="775" w:right="0"/>
              <w:jc w:val="center"/>
              <w:rPr>
                <w:rFonts w:ascii="Arial"/>
                <w:sz w:val="18"/>
              </w:rPr>
            </w:pPr>
            <w:r>
              <w:rPr>
                <w:rFonts w:ascii="Arial"/>
                <w:sz w:val="18"/>
              </w:rPr>
              <w:t>1</w:t>
            </w:r>
          </w:p>
        </w:tc>
        <w:tc>
          <w:tcPr>
            <w:tcW w:w="1487" w:type="dxa"/>
            <w:tcBorders>
              <w:top w:val="nil"/>
              <w:left w:val="nil"/>
              <w:bottom w:val="nil"/>
              <w:right w:val="single" w:sz="2" w:space="0" w:color="000000"/>
            </w:tcBorders>
            <w:shd w:val="clear" w:color="auto" w:fill="E6E6FF"/>
          </w:tcPr>
          <w:p>
            <w:pPr>
              <w:pStyle w:val="TableParagraph"/>
              <w:spacing w:before="31"/>
              <w:ind w:left="350" w:right="332"/>
              <w:jc w:val="center"/>
              <w:rPr>
                <w:rFonts w:ascii="Arial"/>
                <w:sz w:val="18"/>
              </w:rPr>
            </w:pPr>
            <w:r>
              <w:rPr>
                <w:rFonts w:ascii="Arial"/>
                <w:sz w:val="18"/>
              </w:rPr>
              <w:t>each</w:t>
            </w:r>
          </w:p>
        </w:tc>
      </w:tr>
      <w:tr>
        <w:trPr>
          <w:trHeight w:val="300" w:hRule="exact"/>
        </w:trPr>
        <w:tc>
          <w:tcPr>
            <w:tcW w:w="5586" w:type="dxa"/>
            <w:tcBorders>
              <w:top w:val="nil"/>
              <w:left w:val="single" w:sz="2" w:space="0" w:color="000000"/>
              <w:bottom w:val="nil"/>
              <w:right w:val="nil"/>
            </w:tcBorders>
          </w:tcPr>
          <w:p>
            <w:pPr>
              <w:pStyle w:val="TableParagraph"/>
              <w:spacing w:before="31"/>
              <w:ind w:left="77" w:right="0"/>
              <w:jc w:val="left"/>
              <w:rPr>
                <w:rFonts w:ascii="Arial"/>
                <w:sz w:val="18"/>
              </w:rPr>
            </w:pPr>
            <w:r>
              <w:rPr>
                <w:rFonts w:ascii="Arial"/>
                <w:sz w:val="18"/>
              </w:rPr>
              <w:t>Potassium Acid Phthalate, ACS</w:t>
            </w:r>
          </w:p>
        </w:tc>
        <w:tc>
          <w:tcPr>
            <w:tcW w:w="3007" w:type="dxa"/>
            <w:tcBorders>
              <w:top w:val="nil"/>
              <w:left w:val="nil"/>
              <w:bottom w:val="nil"/>
              <w:right w:val="nil"/>
            </w:tcBorders>
          </w:tcPr>
          <w:p>
            <w:pPr>
              <w:pStyle w:val="TableParagraph"/>
              <w:spacing w:before="31"/>
              <w:ind w:left="1121" w:right="351"/>
              <w:jc w:val="center"/>
              <w:rPr>
                <w:rFonts w:ascii="Arial"/>
                <w:sz w:val="18"/>
              </w:rPr>
            </w:pPr>
            <w:r>
              <w:rPr>
                <w:rFonts w:ascii="Arial"/>
                <w:sz w:val="18"/>
              </w:rPr>
              <w:t>500 g</w:t>
            </w:r>
          </w:p>
        </w:tc>
        <w:tc>
          <w:tcPr>
            <w:tcW w:w="1487" w:type="dxa"/>
            <w:tcBorders>
              <w:top w:val="nil"/>
              <w:left w:val="nil"/>
              <w:bottom w:val="nil"/>
              <w:right w:val="single" w:sz="2" w:space="0" w:color="000000"/>
            </w:tcBorders>
          </w:tcPr>
          <w:p>
            <w:pPr>
              <w:pStyle w:val="TableParagraph"/>
              <w:spacing w:before="31"/>
              <w:ind w:left="347" w:right="332"/>
              <w:jc w:val="center"/>
              <w:rPr>
                <w:rFonts w:ascii="Arial"/>
                <w:sz w:val="18"/>
              </w:rPr>
            </w:pPr>
            <w:r>
              <w:rPr>
                <w:rFonts w:ascii="Arial"/>
                <w:sz w:val="18"/>
              </w:rPr>
              <w:t>315-34</w:t>
            </w:r>
          </w:p>
        </w:tc>
      </w:tr>
      <w:tr>
        <w:trPr>
          <w:trHeight w:val="300" w:hRule="exact"/>
        </w:trPr>
        <w:tc>
          <w:tcPr>
            <w:tcW w:w="5586"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Stirrer, Electromagnetic, 120 VAC, with electrode stand</w:t>
            </w:r>
          </w:p>
        </w:tc>
        <w:tc>
          <w:tcPr>
            <w:tcW w:w="3007" w:type="dxa"/>
            <w:tcBorders>
              <w:top w:val="nil"/>
              <w:left w:val="nil"/>
              <w:bottom w:val="nil"/>
              <w:right w:val="nil"/>
            </w:tcBorders>
            <w:shd w:val="clear" w:color="auto" w:fill="E6E6FF"/>
          </w:tcPr>
          <w:p>
            <w:pPr>
              <w:pStyle w:val="TableParagraph"/>
              <w:spacing w:before="31"/>
              <w:ind w:left="775" w:right="0"/>
              <w:jc w:val="center"/>
              <w:rPr>
                <w:rFonts w:ascii="Arial"/>
                <w:sz w:val="18"/>
              </w:rPr>
            </w:pPr>
            <w:r>
              <w:rPr>
                <w:rFonts w:ascii="Arial"/>
                <w:sz w:val="18"/>
              </w:rPr>
              <w:t>1</w:t>
            </w:r>
          </w:p>
        </w:tc>
        <w:tc>
          <w:tcPr>
            <w:tcW w:w="1487" w:type="dxa"/>
            <w:tcBorders>
              <w:top w:val="nil"/>
              <w:left w:val="nil"/>
              <w:bottom w:val="nil"/>
              <w:right w:val="single" w:sz="2" w:space="0" w:color="000000"/>
            </w:tcBorders>
            <w:shd w:val="clear" w:color="auto" w:fill="E6E6FF"/>
          </w:tcPr>
          <w:p>
            <w:pPr>
              <w:pStyle w:val="TableParagraph"/>
              <w:spacing w:before="31"/>
              <w:ind w:left="350" w:right="332"/>
              <w:jc w:val="center"/>
              <w:rPr>
                <w:rFonts w:ascii="Arial"/>
                <w:sz w:val="18"/>
              </w:rPr>
            </w:pPr>
            <w:r>
              <w:rPr>
                <w:rFonts w:ascii="Arial"/>
                <w:sz w:val="18"/>
              </w:rPr>
              <w:t>each</w:t>
            </w:r>
          </w:p>
        </w:tc>
      </w:tr>
      <w:tr>
        <w:trPr>
          <w:trHeight w:val="300" w:hRule="exact"/>
        </w:trPr>
        <w:tc>
          <w:tcPr>
            <w:tcW w:w="5586" w:type="dxa"/>
            <w:tcBorders>
              <w:top w:val="nil"/>
              <w:left w:val="single" w:sz="2" w:space="0" w:color="000000"/>
              <w:bottom w:val="nil"/>
              <w:right w:val="nil"/>
            </w:tcBorders>
          </w:tcPr>
          <w:p>
            <w:pPr>
              <w:pStyle w:val="TableParagraph"/>
              <w:spacing w:before="31"/>
              <w:ind w:left="77" w:right="0"/>
              <w:jc w:val="left"/>
              <w:rPr>
                <w:rFonts w:ascii="Arial"/>
                <w:sz w:val="18"/>
              </w:rPr>
            </w:pPr>
            <w:r>
              <w:rPr>
                <w:rFonts w:ascii="Arial"/>
                <w:sz w:val="18"/>
              </w:rPr>
              <w:t>Stirrer, Electromagnetic, 230 VAC, with electrode stand</w:t>
            </w:r>
          </w:p>
        </w:tc>
        <w:tc>
          <w:tcPr>
            <w:tcW w:w="3007" w:type="dxa"/>
            <w:tcBorders>
              <w:top w:val="nil"/>
              <w:left w:val="nil"/>
              <w:bottom w:val="nil"/>
              <w:right w:val="nil"/>
            </w:tcBorders>
          </w:tcPr>
          <w:p>
            <w:pPr>
              <w:pStyle w:val="TableParagraph"/>
              <w:spacing w:before="31"/>
              <w:ind w:left="771" w:right="0"/>
              <w:jc w:val="center"/>
              <w:rPr>
                <w:rFonts w:ascii="Arial"/>
                <w:sz w:val="18"/>
              </w:rPr>
            </w:pPr>
            <w:r>
              <w:rPr>
                <w:rFonts w:ascii="Arial"/>
                <w:sz w:val="18"/>
              </w:rPr>
              <w:t>1</w:t>
            </w:r>
          </w:p>
        </w:tc>
        <w:tc>
          <w:tcPr>
            <w:tcW w:w="1487" w:type="dxa"/>
            <w:tcBorders>
              <w:top w:val="nil"/>
              <w:left w:val="nil"/>
              <w:bottom w:val="nil"/>
              <w:right w:val="single" w:sz="2" w:space="0" w:color="000000"/>
            </w:tcBorders>
          </w:tcPr>
          <w:p>
            <w:pPr>
              <w:pStyle w:val="TableParagraph"/>
              <w:spacing w:before="31"/>
              <w:ind w:left="347" w:right="332"/>
              <w:jc w:val="center"/>
              <w:rPr>
                <w:rFonts w:ascii="Arial"/>
                <w:sz w:val="18"/>
              </w:rPr>
            </w:pPr>
            <w:r>
              <w:rPr>
                <w:rFonts w:ascii="Arial"/>
                <w:sz w:val="18"/>
              </w:rPr>
              <w:t>each</w:t>
            </w:r>
          </w:p>
        </w:tc>
      </w:tr>
      <w:tr>
        <w:trPr>
          <w:trHeight w:val="300" w:hRule="exact"/>
        </w:trPr>
        <w:tc>
          <w:tcPr>
            <w:tcW w:w="5586" w:type="dxa"/>
            <w:tcBorders>
              <w:top w:val="nil"/>
              <w:left w:val="single" w:sz="2" w:space="0" w:color="000000"/>
              <w:bottom w:val="single" w:sz="2" w:space="0" w:color="000000"/>
              <w:right w:val="nil"/>
            </w:tcBorders>
            <w:shd w:val="clear" w:color="auto" w:fill="E6E6FF"/>
          </w:tcPr>
          <w:p>
            <w:pPr>
              <w:pStyle w:val="TableParagraph"/>
              <w:spacing w:before="31"/>
              <w:ind w:left="77" w:right="0"/>
              <w:jc w:val="left"/>
              <w:rPr>
                <w:rFonts w:ascii="Arial"/>
                <w:sz w:val="18"/>
              </w:rPr>
            </w:pPr>
            <w:r>
              <w:rPr>
                <w:rFonts w:ascii="Arial"/>
                <w:sz w:val="18"/>
              </w:rPr>
              <w:t>Test Tube Rack</w:t>
            </w:r>
          </w:p>
        </w:tc>
        <w:tc>
          <w:tcPr>
            <w:tcW w:w="3007" w:type="dxa"/>
            <w:tcBorders>
              <w:top w:val="nil"/>
              <w:left w:val="nil"/>
              <w:bottom w:val="single" w:sz="2" w:space="0" w:color="000000"/>
              <w:right w:val="nil"/>
            </w:tcBorders>
            <w:shd w:val="clear" w:color="auto" w:fill="E6E6FF"/>
          </w:tcPr>
          <w:p>
            <w:pPr>
              <w:pStyle w:val="TableParagraph"/>
              <w:spacing w:before="31"/>
              <w:ind w:left="1124" w:right="348"/>
              <w:jc w:val="center"/>
              <w:rPr>
                <w:rFonts w:ascii="Arial" w:hAnsi="Arial"/>
                <w:sz w:val="18"/>
              </w:rPr>
            </w:pPr>
            <w:r>
              <w:rPr>
                <w:rFonts w:ascii="Arial" w:hAnsi="Arial"/>
                <w:sz w:val="18"/>
              </w:rPr>
              <w:t>1–2</w:t>
            </w:r>
          </w:p>
        </w:tc>
        <w:tc>
          <w:tcPr>
            <w:tcW w:w="1487" w:type="dxa"/>
            <w:tcBorders>
              <w:top w:val="nil"/>
              <w:left w:val="nil"/>
              <w:bottom w:val="single" w:sz="2" w:space="0" w:color="000000"/>
              <w:right w:val="single" w:sz="2" w:space="0" w:color="000000"/>
            </w:tcBorders>
            <w:shd w:val="clear" w:color="auto" w:fill="E6E6FF"/>
          </w:tcPr>
          <w:p>
            <w:pPr>
              <w:pStyle w:val="TableParagraph"/>
              <w:spacing w:before="31"/>
              <w:ind w:left="350" w:right="332"/>
              <w:jc w:val="center"/>
              <w:rPr>
                <w:rFonts w:ascii="Arial"/>
                <w:sz w:val="18"/>
              </w:rPr>
            </w:pPr>
            <w:r>
              <w:rPr>
                <w:rFonts w:ascii="Arial"/>
                <w:sz w:val="18"/>
              </w:rPr>
              <w:t>each</w:t>
            </w:r>
          </w:p>
        </w:tc>
      </w:tr>
    </w:tbl>
    <w:p>
      <w:pPr>
        <w:pStyle w:val="BodyText"/>
        <w:spacing w:before="6"/>
        <w:rPr>
          <w:b/>
          <w:sz w:val="9"/>
        </w:rPr>
      </w:pPr>
    </w:p>
    <w:p>
      <w:pPr>
        <w:spacing w:before="74"/>
        <w:ind w:left="120" w:right="22" w:firstLine="0"/>
        <w:jc w:val="left"/>
        <w:rPr>
          <w:b/>
          <w:sz w:val="20"/>
        </w:rPr>
      </w:pPr>
      <w:r>
        <w:rPr>
          <w:b/>
          <w:sz w:val="20"/>
        </w:rPr>
        <w:t>Optional Reagents</w:t>
      </w:r>
    </w:p>
    <w:p>
      <w:pPr>
        <w:pStyle w:val="BodyText"/>
        <w:spacing w:before="7"/>
        <w:rPr>
          <w:b/>
          <w:sz w:val="8"/>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89"/>
        <w:gridCol w:w="2633"/>
        <w:gridCol w:w="1708"/>
      </w:tblGrid>
      <w:tr>
        <w:trPr>
          <w:trHeight w:val="380" w:hRule="exact"/>
        </w:trPr>
        <w:tc>
          <w:tcPr>
            <w:tcW w:w="5789" w:type="dxa"/>
            <w:tcBorders>
              <w:left w:val="single" w:sz="2" w:space="0" w:color="000000"/>
              <w:bottom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2633" w:type="dxa"/>
            <w:tcBorders>
              <w:left w:val="nil"/>
              <w:bottom w:val="single" w:sz="2" w:space="0" w:color="000000"/>
              <w:right w:val="nil"/>
            </w:tcBorders>
          </w:tcPr>
          <w:p>
            <w:pPr>
              <w:pStyle w:val="TableParagraph"/>
              <w:spacing w:before="66"/>
              <w:ind w:left="1376" w:right="573"/>
              <w:jc w:val="center"/>
              <w:rPr>
                <w:rFonts w:ascii="Arial"/>
                <w:b/>
                <w:sz w:val="18"/>
              </w:rPr>
            </w:pPr>
            <w:r>
              <w:rPr>
                <w:rFonts w:ascii="Arial"/>
                <w:b/>
                <w:sz w:val="18"/>
              </w:rPr>
              <w:t>Unit</w:t>
            </w:r>
          </w:p>
        </w:tc>
        <w:tc>
          <w:tcPr>
            <w:tcW w:w="1708" w:type="dxa"/>
            <w:tcBorders>
              <w:left w:val="nil"/>
              <w:bottom w:val="single" w:sz="2" w:space="0" w:color="000000"/>
              <w:right w:val="single" w:sz="2" w:space="0" w:color="000000"/>
            </w:tcBorders>
          </w:tcPr>
          <w:p>
            <w:pPr>
              <w:pStyle w:val="TableParagraph"/>
              <w:spacing w:before="66"/>
              <w:ind w:left="635" w:right="0"/>
              <w:jc w:val="left"/>
              <w:rPr>
                <w:rFonts w:ascii="Arial"/>
                <w:b/>
                <w:sz w:val="18"/>
              </w:rPr>
            </w:pPr>
            <w:r>
              <w:rPr>
                <w:rFonts w:ascii="Arial"/>
                <w:b/>
                <w:sz w:val="18"/>
              </w:rPr>
              <w:t>Cat. No.</w:t>
            </w:r>
          </w:p>
        </w:tc>
      </w:tr>
      <w:tr>
        <w:trPr>
          <w:trHeight w:val="300" w:hRule="exact"/>
        </w:trPr>
        <w:tc>
          <w:tcPr>
            <w:tcW w:w="5789" w:type="dxa"/>
            <w:tcBorders>
              <w:top w:val="single" w:sz="2" w:space="0" w:color="000000"/>
              <w:left w:val="single" w:sz="2" w:space="0" w:color="000000"/>
              <w:bottom w:val="nil"/>
              <w:right w:val="nil"/>
            </w:tcBorders>
            <w:shd w:val="clear" w:color="auto" w:fill="E6E6FF"/>
          </w:tcPr>
          <w:p>
            <w:pPr>
              <w:pStyle w:val="TableParagraph"/>
              <w:spacing w:before="29"/>
              <w:ind w:left="77" w:right="0"/>
              <w:jc w:val="left"/>
              <w:rPr>
                <w:rFonts w:ascii="Arial"/>
                <w:sz w:val="18"/>
              </w:rPr>
            </w:pPr>
            <w:r>
              <w:rPr>
                <w:rFonts w:ascii="Arial"/>
                <w:sz w:val="18"/>
              </w:rPr>
              <w:t>COD Digestion Reagent Vials, 3 to 150 mg/L COD</w:t>
            </w:r>
          </w:p>
        </w:tc>
        <w:tc>
          <w:tcPr>
            <w:tcW w:w="2633" w:type="dxa"/>
            <w:tcBorders>
              <w:top w:val="single" w:sz="2" w:space="0" w:color="000000"/>
              <w:left w:val="nil"/>
              <w:bottom w:val="nil"/>
              <w:right w:val="nil"/>
            </w:tcBorders>
            <w:shd w:val="clear" w:color="auto" w:fill="E6E6FF"/>
          </w:tcPr>
          <w:p>
            <w:pPr>
              <w:pStyle w:val="TableParagraph"/>
              <w:spacing w:before="29"/>
              <w:ind w:left="1376" w:right="572"/>
              <w:jc w:val="center"/>
              <w:rPr>
                <w:rFonts w:ascii="Arial"/>
                <w:sz w:val="18"/>
              </w:rPr>
            </w:pPr>
            <w:r>
              <w:rPr>
                <w:rFonts w:ascii="Arial"/>
                <w:sz w:val="18"/>
              </w:rPr>
              <w:t>150/pkg</w:t>
            </w:r>
          </w:p>
        </w:tc>
        <w:tc>
          <w:tcPr>
            <w:tcW w:w="1708" w:type="dxa"/>
            <w:tcBorders>
              <w:top w:val="single" w:sz="2" w:space="0" w:color="000000"/>
              <w:left w:val="nil"/>
              <w:bottom w:val="nil"/>
              <w:right w:val="single" w:sz="2" w:space="0" w:color="000000"/>
            </w:tcBorders>
            <w:shd w:val="clear" w:color="auto" w:fill="E6E6FF"/>
          </w:tcPr>
          <w:p>
            <w:pPr>
              <w:pStyle w:val="TableParagraph"/>
              <w:spacing w:before="29"/>
              <w:ind w:left="596" w:right="0"/>
              <w:jc w:val="left"/>
              <w:rPr>
                <w:rFonts w:ascii="Arial"/>
                <w:sz w:val="18"/>
              </w:rPr>
            </w:pPr>
            <w:r>
              <w:rPr>
                <w:rFonts w:ascii="Arial"/>
                <w:sz w:val="18"/>
              </w:rPr>
              <w:t>21258-15</w:t>
            </w:r>
          </w:p>
        </w:tc>
      </w:tr>
      <w:tr>
        <w:trPr>
          <w:trHeight w:val="300" w:hRule="exact"/>
        </w:trPr>
        <w:tc>
          <w:tcPr>
            <w:tcW w:w="5789" w:type="dxa"/>
            <w:tcBorders>
              <w:top w:val="nil"/>
              <w:left w:val="single" w:sz="2" w:space="0" w:color="000000"/>
              <w:bottom w:val="nil"/>
              <w:right w:val="nil"/>
            </w:tcBorders>
          </w:tcPr>
          <w:p>
            <w:pPr>
              <w:pStyle w:val="TableParagraph"/>
              <w:spacing w:before="31"/>
              <w:ind w:left="78" w:right="0"/>
              <w:jc w:val="left"/>
              <w:rPr>
                <w:rFonts w:ascii="Arial"/>
                <w:sz w:val="18"/>
              </w:rPr>
            </w:pPr>
            <w:r>
              <w:rPr>
                <w:rFonts w:ascii="Arial"/>
                <w:sz w:val="18"/>
              </w:rPr>
              <w:t>COD Digestion Reagent Vials, 200 to 1500 mg/L COD</w:t>
            </w:r>
          </w:p>
        </w:tc>
        <w:tc>
          <w:tcPr>
            <w:tcW w:w="2633" w:type="dxa"/>
            <w:tcBorders>
              <w:top w:val="nil"/>
              <w:left w:val="nil"/>
              <w:bottom w:val="nil"/>
              <w:right w:val="nil"/>
            </w:tcBorders>
          </w:tcPr>
          <w:p>
            <w:pPr>
              <w:pStyle w:val="TableParagraph"/>
              <w:spacing w:before="31"/>
              <w:ind w:left="1374" w:right="574"/>
              <w:jc w:val="center"/>
              <w:rPr>
                <w:rFonts w:ascii="Arial"/>
                <w:sz w:val="18"/>
              </w:rPr>
            </w:pPr>
            <w:r>
              <w:rPr>
                <w:rFonts w:ascii="Arial"/>
                <w:sz w:val="18"/>
              </w:rPr>
              <w:t>150/pkg</w:t>
            </w:r>
          </w:p>
        </w:tc>
        <w:tc>
          <w:tcPr>
            <w:tcW w:w="1708" w:type="dxa"/>
            <w:tcBorders>
              <w:top w:val="nil"/>
              <w:left w:val="nil"/>
              <w:bottom w:val="nil"/>
              <w:right w:val="single" w:sz="2" w:space="0" w:color="000000"/>
            </w:tcBorders>
          </w:tcPr>
          <w:p>
            <w:pPr>
              <w:pStyle w:val="TableParagraph"/>
              <w:spacing w:before="31"/>
              <w:ind w:left="593" w:right="0"/>
              <w:jc w:val="left"/>
              <w:rPr>
                <w:rFonts w:ascii="Arial"/>
                <w:sz w:val="18"/>
              </w:rPr>
            </w:pPr>
            <w:r>
              <w:rPr>
                <w:rFonts w:ascii="Arial"/>
                <w:sz w:val="18"/>
              </w:rPr>
              <w:t>21259-15</w:t>
            </w:r>
          </w:p>
        </w:tc>
      </w:tr>
      <w:tr>
        <w:trPr>
          <w:trHeight w:val="300" w:hRule="exact"/>
        </w:trPr>
        <w:tc>
          <w:tcPr>
            <w:tcW w:w="5789"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Mercuric Sulfate, 28 g</w:t>
            </w:r>
          </w:p>
        </w:tc>
        <w:tc>
          <w:tcPr>
            <w:tcW w:w="2633" w:type="dxa"/>
            <w:tcBorders>
              <w:top w:val="nil"/>
              <w:left w:val="nil"/>
              <w:bottom w:val="nil"/>
              <w:right w:val="nil"/>
            </w:tcBorders>
            <w:shd w:val="clear" w:color="auto" w:fill="E6E6FF"/>
          </w:tcPr>
          <w:p>
            <w:pPr>
              <w:pStyle w:val="TableParagraph"/>
              <w:spacing w:before="31"/>
              <w:ind w:left="805" w:right="0"/>
              <w:jc w:val="center"/>
              <w:rPr>
                <w:rFonts w:ascii="Arial" w:hAnsi="Arial"/>
                <w:sz w:val="18"/>
              </w:rPr>
            </w:pPr>
            <w:r>
              <w:rPr>
                <w:rFonts w:ascii="Arial" w:hAnsi="Arial"/>
                <w:sz w:val="18"/>
              </w:rPr>
              <w:t>—</w:t>
            </w:r>
          </w:p>
        </w:tc>
        <w:tc>
          <w:tcPr>
            <w:tcW w:w="1708" w:type="dxa"/>
            <w:tcBorders>
              <w:top w:val="nil"/>
              <w:left w:val="nil"/>
              <w:bottom w:val="nil"/>
              <w:right w:val="single" w:sz="2" w:space="0" w:color="000000"/>
            </w:tcBorders>
            <w:shd w:val="clear" w:color="auto" w:fill="E6E6FF"/>
          </w:tcPr>
          <w:p>
            <w:pPr>
              <w:pStyle w:val="TableParagraph"/>
              <w:spacing w:before="31"/>
              <w:ind w:left="645" w:right="0"/>
              <w:jc w:val="left"/>
              <w:rPr>
                <w:rFonts w:ascii="Arial"/>
                <w:sz w:val="18"/>
              </w:rPr>
            </w:pPr>
            <w:r>
              <w:rPr>
                <w:rFonts w:ascii="Arial"/>
                <w:sz w:val="18"/>
              </w:rPr>
              <w:t>1915-20</w:t>
            </w:r>
          </w:p>
        </w:tc>
      </w:tr>
      <w:tr>
        <w:trPr>
          <w:trHeight w:val="300" w:hRule="exact"/>
        </w:trPr>
        <w:tc>
          <w:tcPr>
            <w:tcW w:w="5789" w:type="dxa"/>
            <w:tcBorders>
              <w:top w:val="nil"/>
              <w:left w:val="single" w:sz="2" w:space="0" w:color="000000"/>
              <w:bottom w:val="single" w:sz="2" w:space="0" w:color="000000"/>
              <w:right w:val="nil"/>
            </w:tcBorders>
          </w:tcPr>
          <w:p>
            <w:pPr>
              <w:pStyle w:val="TableParagraph"/>
              <w:spacing w:before="31"/>
              <w:ind w:left="77" w:right="0"/>
              <w:jc w:val="left"/>
              <w:rPr>
                <w:rFonts w:ascii="Arial"/>
                <w:sz w:val="18"/>
              </w:rPr>
            </w:pPr>
            <w:r>
              <w:rPr>
                <w:rFonts w:ascii="Arial"/>
                <w:sz w:val="18"/>
              </w:rPr>
              <w:t>Sulfuric Acid, 500 mL</w:t>
            </w:r>
          </w:p>
        </w:tc>
        <w:tc>
          <w:tcPr>
            <w:tcW w:w="2633" w:type="dxa"/>
            <w:tcBorders>
              <w:top w:val="nil"/>
              <w:left w:val="nil"/>
              <w:bottom w:val="single" w:sz="2" w:space="0" w:color="000000"/>
              <w:right w:val="nil"/>
            </w:tcBorders>
          </w:tcPr>
          <w:p>
            <w:pPr>
              <w:pStyle w:val="TableParagraph"/>
              <w:spacing w:before="31"/>
              <w:ind w:left="803" w:right="0"/>
              <w:jc w:val="center"/>
              <w:rPr>
                <w:rFonts w:ascii="Arial" w:hAnsi="Arial"/>
                <w:sz w:val="18"/>
              </w:rPr>
            </w:pPr>
            <w:r>
              <w:rPr>
                <w:rFonts w:ascii="Arial" w:hAnsi="Arial"/>
                <w:sz w:val="18"/>
              </w:rPr>
              <w:t>—</w:t>
            </w:r>
          </w:p>
        </w:tc>
        <w:tc>
          <w:tcPr>
            <w:tcW w:w="1708" w:type="dxa"/>
            <w:tcBorders>
              <w:top w:val="nil"/>
              <w:left w:val="nil"/>
              <w:bottom w:val="single" w:sz="2" w:space="0" w:color="000000"/>
              <w:right w:val="single" w:sz="2" w:space="0" w:color="000000"/>
            </w:tcBorders>
          </w:tcPr>
          <w:p>
            <w:pPr>
              <w:pStyle w:val="TableParagraph"/>
              <w:spacing w:before="31"/>
              <w:ind w:left="694" w:right="0"/>
              <w:jc w:val="left"/>
              <w:rPr>
                <w:rFonts w:ascii="Arial"/>
                <w:sz w:val="18"/>
              </w:rPr>
            </w:pPr>
            <w:r>
              <w:rPr>
                <w:rFonts w:ascii="Arial"/>
                <w:sz w:val="18"/>
              </w:rPr>
              <w:t>979-49</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rPr>
      </w:pPr>
    </w:p>
    <w:p>
      <w:pPr>
        <w:pStyle w:val="BodyText"/>
        <w:spacing w:line="34" w:lineRule="exact"/>
        <w:ind w:left="134"/>
        <w:rPr>
          <w:sz w:val="3"/>
        </w:rPr>
      </w:pPr>
      <w:r>
        <w:rPr>
          <w:position w:val="0"/>
          <w:sz w:val="3"/>
        </w:rPr>
        <w:pict>
          <v:group style="width:502.8pt;height:1.7pt;mso-position-horizontal-relative:char;mso-position-vertical-relative:line" coordorigin="0,0" coordsize="10056,34">
            <v:line style="position:absolute" from="17,17" to="10039,17" stroked="true" strokeweight="1.681pt" strokecolor="#231f20"/>
          </v:group>
        </w:pict>
      </w:r>
      <w:r>
        <w:rPr>
          <w:position w:val="0"/>
          <w:sz w:val="3"/>
        </w:rPr>
      </w:r>
    </w:p>
    <w:p>
      <w:pPr>
        <w:spacing w:after="0" w:line="34" w:lineRule="exact"/>
        <w:rPr>
          <w:sz w:val="3"/>
        </w:rPr>
        <w:sectPr>
          <w:headerReference w:type="default" r:id="rId281"/>
          <w:footerReference w:type="default" r:id="rId282"/>
          <w:pgSz w:w="11900" w:h="15840"/>
          <w:pgMar w:header="0" w:footer="0" w:top="240" w:bottom="280" w:left="600" w:right="940"/>
        </w:sectPr>
      </w:pPr>
    </w:p>
    <w:p>
      <w:pPr>
        <w:spacing w:before="17"/>
        <w:ind w:left="1666" w:right="-2" w:firstLine="0"/>
        <w:jc w:val="left"/>
        <w:rPr>
          <w:b/>
          <w:sz w:val="15"/>
        </w:rPr>
      </w:pPr>
      <w:r>
        <w:rPr/>
        <w:pict>
          <v:group style="position:absolute;margin-left:37.452pt;margin-top:3.907314pt;width:66.45pt;height:31.3pt;mso-position-horizontal-relative:page;mso-position-vertical-relative:paragraph;z-index:14680" coordorigin="749,78" coordsize="1329,626">
            <v:shape style="position:absolute;left:761;top:90;width:1233;height:603" coordorigin="761,90" coordsize="1233,603" path="m1377,90l1277,94,1182,105,1094,123,1013,148,941,178,879,213,829,253,769,342,761,391,769,440,829,530,879,569,941,604,1013,634,1094,659,1182,677,1277,688,1377,692,1477,688,1572,677,1660,659,1741,634,1813,604,1875,569,1925,530,1985,440,1993,391,1985,342,1925,253,1875,213,1813,178,1741,148,1660,123,1572,105,1477,94,1377,90xe" filled="true" fillcolor="#231f20" stroked="false">
              <v:path arrowok="t"/>
              <v:fill type="solid"/>
            </v:shape>
            <v:shape style="position:absolute;left:761;top:90;width:1233;height:603" coordorigin="761,90" coordsize="1233,603" path="m1377,90l1477,94,1572,105,1660,123,1741,148,1813,178,1875,213,1925,253,1985,342,1993,391,1985,440,1925,530,1875,569,1813,604,1741,634,1660,659,1572,677,1477,688,1377,692,1277,688,1182,677,1094,659,1013,634,941,604,879,569,829,530,769,440,761,391,769,342,829,253,879,213,941,178,1013,148,1094,123,1182,105,1277,94,1377,90xe" filled="false" stroked="true" strokeweight="1.108pt" strokecolor="#231f20">
              <v:path arrowok="t"/>
            </v:shape>
            <v:shape style="position:absolute;left:1584;top:296;width:256;height:183" type="#_x0000_t75" stroked="false">
              <v:imagedata r:id="rId221" o:title=""/>
            </v:shape>
            <v:shape style="position:absolute;left:1996;top:213;width:82;height:82" coordorigin="1996,213" coordsize="82,82" path="m2037,213l2020,216,2007,224,1999,237,1996,254,1999,270,2007,283,2020,291,2037,294,2053,291,2057,289,2037,289,2023,286,2012,278,2005,267,2002,254,2005,240,2012,229,2023,221,2037,218,2057,218,2053,216,2037,213xm2057,218l2037,218,2050,221,2061,229,2068,240,2071,254,2068,267,2061,278,2050,286,2037,289,2057,289,2066,283,2074,270,2077,254,2074,237,2066,224,2057,218xm2051,230l2022,230,2022,277,2028,277,2028,256,2043,256,2050,255,2055,251,2055,251,2028,251,2028,235,2055,235,2055,235,2051,230xm2043,256l2037,256,2051,277,2057,277,2043,256xm2055,235l2044,235,2049,236,2049,251,2042,251,2055,251,2055,235xe" filled="true" fillcolor="#231f20" stroked="false">
              <v:path arrowok="t"/>
              <v:fill type="solid"/>
            </v:shape>
            <v:shape style="position:absolute;left:761;top:90;width:1233;height:603" coordorigin="761,90" coordsize="1233,603" path="m1377,90l1277,94,1182,105,1094,123,1013,148,941,178,879,213,829,253,792,296,769,342,761,391,769,440,792,486,829,530,879,569,941,604,1013,634,1094,659,1182,677,1277,688,1377,692,1477,688,1572,677,1626,666,1377,666,1281,661,1190,649,1107,628,1032,601,968,568,915,530,875,487,850,440,842,391,850,342,875,295,915,252,968,214,1032,181,1107,154,1190,133,1281,121,1377,116,1626,116,1572,105,1477,94,1377,90xm1626,116l1377,116,1473,121,1564,133,1647,154,1722,181,1786,214,1839,252,1879,295,1904,342,1912,391,1904,440,1879,487,1839,530,1786,568,1722,601,1647,628,1564,649,1473,661,1377,666,1626,666,1660,659,1741,634,1813,604,1875,569,1925,530,1962,486,1985,440,1993,391,1985,342,1962,296,1925,253,1875,213,1813,178,1741,148,1660,123,1626,116xe" filled="true" fillcolor="#ffffff" stroked="false">
              <v:path arrowok="t"/>
              <v:fill type="solid"/>
            </v:shape>
            <v:shape style="position:absolute;left:913;top:288;width:680;height:194" type="#_x0000_t75" stroked="false">
              <v:imagedata r:id="rId222" o:title=""/>
            </v:shape>
            <w10:wrap type="none"/>
          </v:group>
        </w:pict>
      </w:r>
      <w:r>
        <w:rPr>
          <w:b/>
          <w:color w:val="231F20"/>
          <w:w w:val="85"/>
          <w:sz w:val="15"/>
        </w:rPr>
        <w:t>FOR</w:t>
      </w:r>
      <w:r>
        <w:rPr>
          <w:b/>
          <w:color w:val="231F20"/>
          <w:spacing w:val="-14"/>
          <w:w w:val="85"/>
          <w:sz w:val="15"/>
        </w:rPr>
        <w:t> </w:t>
      </w:r>
      <w:r>
        <w:rPr>
          <w:b/>
          <w:color w:val="231F20"/>
          <w:w w:val="85"/>
          <w:sz w:val="15"/>
        </w:rPr>
        <w:t>TECHNICAL</w:t>
      </w:r>
      <w:r>
        <w:rPr>
          <w:b/>
          <w:color w:val="231F20"/>
          <w:spacing w:val="-3"/>
          <w:w w:val="85"/>
          <w:sz w:val="15"/>
        </w:rPr>
        <w:t> </w:t>
      </w:r>
      <w:r>
        <w:rPr>
          <w:b/>
          <w:color w:val="231F20"/>
          <w:w w:val="85"/>
          <w:sz w:val="15"/>
        </w:rPr>
        <w:t>ASSISTANCE,</w:t>
      </w:r>
      <w:r>
        <w:rPr>
          <w:b/>
          <w:color w:val="231F20"/>
          <w:spacing w:val="-8"/>
          <w:w w:val="85"/>
          <w:sz w:val="15"/>
        </w:rPr>
        <w:t> </w:t>
      </w:r>
      <w:r>
        <w:rPr>
          <w:b/>
          <w:color w:val="231F20"/>
          <w:w w:val="85"/>
          <w:sz w:val="15"/>
        </w:rPr>
        <w:t>PRICE</w:t>
      </w:r>
      <w:r>
        <w:rPr>
          <w:b/>
          <w:color w:val="231F20"/>
          <w:spacing w:val="-3"/>
          <w:w w:val="85"/>
          <w:sz w:val="15"/>
        </w:rPr>
        <w:t> </w:t>
      </w:r>
      <w:r>
        <w:rPr>
          <w:b/>
          <w:color w:val="231F20"/>
          <w:w w:val="85"/>
          <w:sz w:val="15"/>
        </w:rPr>
        <w:t>INFORMATION</w:t>
      </w:r>
      <w:r>
        <w:rPr>
          <w:b/>
          <w:color w:val="231F20"/>
          <w:spacing w:val="-3"/>
          <w:w w:val="85"/>
          <w:sz w:val="15"/>
        </w:rPr>
        <w:t> </w:t>
      </w:r>
      <w:r>
        <w:rPr>
          <w:b/>
          <w:color w:val="231F20"/>
          <w:w w:val="85"/>
          <w:sz w:val="15"/>
        </w:rPr>
        <w:t>AND</w:t>
      </w:r>
      <w:r>
        <w:rPr>
          <w:b/>
          <w:color w:val="231F20"/>
          <w:spacing w:val="-2"/>
          <w:w w:val="85"/>
          <w:sz w:val="15"/>
        </w:rPr>
        <w:t> </w:t>
      </w:r>
      <w:r>
        <w:rPr>
          <w:b/>
          <w:color w:val="231F20"/>
          <w:w w:val="85"/>
          <w:sz w:val="15"/>
        </w:rPr>
        <w:t>ORDERING:</w:t>
      </w:r>
    </w:p>
    <w:p>
      <w:pPr>
        <w:spacing w:before="8"/>
        <w:ind w:left="1666" w:right="-2" w:firstLine="0"/>
        <w:jc w:val="left"/>
        <w:rPr>
          <w:b/>
          <w:sz w:val="15"/>
        </w:rPr>
      </w:pPr>
      <w:r>
        <w:rPr>
          <w:color w:val="231F20"/>
          <w:w w:val="90"/>
          <w:sz w:val="15"/>
        </w:rPr>
        <w:t>In the U.S.A. – </w:t>
      </w:r>
      <w:r>
        <w:rPr>
          <w:b/>
          <w:color w:val="231F20"/>
          <w:w w:val="90"/>
          <w:sz w:val="15"/>
        </w:rPr>
        <w:t>Call toll-free 800-227-4224</w:t>
      </w:r>
    </w:p>
    <w:p>
      <w:pPr>
        <w:spacing w:before="8"/>
        <w:ind w:left="1666" w:right="-2" w:firstLine="0"/>
        <w:jc w:val="left"/>
        <w:rPr>
          <w:b/>
          <w:sz w:val="15"/>
        </w:rPr>
      </w:pPr>
      <w:r>
        <w:rPr>
          <w:color w:val="231F20"/>
          <w:w w:val="90"/>
          <w:sz w:val="15"/>
        </w:rPr>
        <w:t>Outside</w:t>
      </w:r>
      <w:r>
        <w:rPr>
          <w:color w:val="231F20"/>
          <w:spacing w:val="-25"/>
          <w:w w:val="90"/>
          <w:sz w:val="15"/>
        </w:rPr>
        <w:t> </w:t>
      </w:r>
      <w:r>
        <w:rPr>
          <w:color w:val="231F20"/>
          <w:w w:val="90"/>
          <w:sz w:val="15"/>
        </w:rPr>
        <w:t>the</w:t>
      </w:r>
      <w:r>
        <w:rPr>
          <w:color w:val="231F20"/>
          <w:spacing w:val="-25"/>
          <w:w w:val="90"/>
          <w:sz w:val="15"/>
        </w:rPr>
        <w:t> </w:t>
      </w:r>
      <w:r>
        <w:rPr>
          <w:color w:val="231F20"/>
          <w:w w:val="90"/>
          <w:sz w:val="15"/>
        </w:rPr>
        <w:t>U.S.A.</w:t>
      </w:r>
      <w:r>
        <w:rPr>
          <w:color w:val="231F20"/>
          <w:spacing w:val="-28"/>
          <w:w w:val="90"/>
          <w:sz w:val="15"/>
        </w:rPr>
        <w:t> </w:t>
      </w:r>
      <w:r>
        <w:rPr>
          <w:color w:val="231F20"/>
          <w:w w:val="90"/>
          <w:sz w:val="15"/>
        </w:rPr>
        <w:t>–</w:t>
      </w:r>
      <w:r>
        <w:rPr>
          <w:color w:val="231F20"/>
          <w:spacing w:val="-25"/>
          <w:w w:val="90"/>
          <w:sz w:val="15"/>
        </w:rPr>
        <w:t> </w:t>
      </w:r>
      <w:r>
        <w:rPr>
          <w:b/>
          <w:color w:val="231F20"/>
          <w:w w:val="90"/>
          <w:sz w:val="15"/>
        </w:rPr>
        <w:t>Contact</w:t>
      </w:r>
      <w:r>
        <w:rPr>
          <w:b/>
          <w:color w:val="231F20"/>
          <w:spacing w:val="-25"/>
          <w:w w:val="90"/>
          <w:sz w:val="15"/>
        </w:rPr>
        <w:t> </w:t>
      </w:r>
      <w:r>
        <w:rPr>
          <w:b/>
          <w:color w:val="231F20"/>
          <w:w w:val="90"/>
          <w:sz w:val="15"/>
        </w:rPr>
        <w:t>the</w:t>
      </w:r>
      <w:r>
        <w:rPr>
          <w:b/>
          <w:color w:val="231F20"/>
          <w:spacing w:val="-25"/>
          <w:w w:val="90"/>
          <w:sz w:val="15"/>
        </w:rPr>
        <w:t> </w:t>
      </w:r>
      <w:r>
        <w:rPr>
          <w:b/>
          <w:color w:val="231F20"/>
          <w:w w:val="90"/>
          <w:sz w:val="15"/>
        </w:rPr>
        <w:t>HACH</w:t>
      </w:r>
      <w:r>
        <w:rPr>
          <w:b/>
          <w:color w:val="231F20"/>
          <w:spacing w:val="-25"/>
          <w:w w:val="90"/>
          <w:sz w:val="15"/>
        </w:rPr>
        <w:t> </w:t>
      </w:r>
      <w:r>
        <w:rPr>
          <w:b/>
          <w:color w:val="231F20"/>
          <w:w w:val="90"/>
          <w:sz w:val="15"/>
        </w:rPr>
        <w:t>office</w:t>
      </w:r>
      <w:r>
        <w:rPr>
          <w:b/>
          <w:color w:val="231F20"/>
          <w:spacing w:val="-25"/>
          <w:w w:val="90"/>
          <w:sz w:val="15"/>
        </w:rPr>
        <w:t> </w:t>
      </w:r>
      <w:r>
        <w:rPr>
          <w:b/>
          <w:color w:val="231F20"/>
          <w:w w:val="90"/>
          <w:sz w:val="15"/>
        </w:rPr>
        <w:t>or</w:t>
      </w:r>
      <w:r>
        <w:rPr>
          <w:b/>
          <w:color w:val="231F20"/>
          <w:spacing w:val="-25"/>
          <w:w w:val="90"/>
          <w:sz w:val="15"/>
        </w:rPr>
        <w:t> </w:t>
      </w:r>
      <w:r>
        <w:rPr>
          <w:b/>
          <w:color w:val="231F20"/>
          <w:w w:val="90"/>
          <w:sz w:val="15"/>
        </w:rPr>
        <w:t>distributor</w:t>
      </w:r>
      <w:r>
        <w:rPr>
          <w:b/>
          <w:color w:val="231F20"/>
          <w:spacing w:val="-25"/>
          <w:w w:val="90"/>
          <w:sz w:val="15"/>
        </w:rPr>
        <w:t> </w:t>
      </w:r>
      <w:r>
        <w:rPr>
          <w:b/>
          <w:color w:val="231F20"/>
          <w:w w:val="90"/>
          <w:sz w:val="15"/>
        </w:rPr>
        <w:t>serving</w:t>
      </w:r>
      <w:r>
        <w:rPr>
          <w:b/>
          <w:color w:val="231F20"/>
          <w:spacing w:val="-25"/>
          <w:w w:val="90"/>
          <w:sz w:val="15"/>
        </w:rPr>
        <w:t> </w:t>
      </w:r>
      <w:r>
        <w:rPr>
          <w:b/>
          <w:color w:val="231F20"/>
          <w:w w:val="90"/>
          <w:sz w:val="15"/>
        </w:rPr>
        <w:t>you.</w:t>
      </w:r>
    </w:p>
    <w:p>
      <w:pPr>
        <w:spacing w:before="8"/>
        <w:ind w:left="1666" w:right="-2" w:firstLine="0"/>
        <w:jc w:val="left"/>
        <w:rPr>
          <w:b/>
          <w:sz w:val="15"/>
        </w:rPr>
      </w:pPr>
      <w:r>
        <w:rPr>
          <w:color w:val="231F20"/>
          <w:w w:val="85"/>
          <w:sz w:val="15"/>
        </w:rPr>
        <w:t>On the Worldwide Web – </w:t>
      </w:r>
      <w:r>
        <w:rPr>
          <w:b/>
          <w:color w:val="231F20"/>
          <w:w w:val="85"/>
          <w:sz w:val="15"/>
        </w:rPr>
        <w:t>www.hach.com</w:t>
      </w:r>
      <w:r>
        <w:rPr>
          <w:color w:val="231F20"/>
          <w:w w:val="85"/>
          <w:sz w:val="15"/>
        </w:rPr>
        <w:t>; E-mail – </w:t>
      </w:r>
      <w:hyperlink r:id="rId223">
        <w:r>
          <w:rPr>
            <w:b/>
            <w:color w:val="231F20"/>
            <w:w w:val="85"/>
            <w:sz w:val="15"/>
          </w:rPr>
          <w:t>techhelp@hach.com</w:t>
        </w:r>
      </w:hyperlink>
    </w:p>
    <w:p>
      <w:pPr>
        <w:spacing w:before="25"/>
        <w:ind w:left="1666" w:right="0" w:firstLine="0"/>
        <w:jc w:val="left"/>
        <w:rPr>
          <w:sz w:val="15"/>
        </w:rPr>
      </w:pPr>
      <w:r>
        <w:rPr/>
        <w:br w:type="column"/>
      </w:r>
      <w:r>
        <w:rPr>
          <w:b/>
          <w:color w:val="231F20"/>
          <w:w w:val="95"/>
          <w:sz w:val="15"/>
        </w:rPr>
        <w:t>HACH </w:t>
      </w:r>
      <w:r>
        <w:rPr>
          <w:color w:val="231F20"/>
          <w:w w:val="95"/>
          <w:sz w:val="15"/>
        </w:rPr>
        <w:t>COMPANY</w:t>
      </w:r>
    </w:p>
    <w:p>
      <w:pPr>
        <w:spacing w:before="4"/>
        <w:ind w:left="1666" w:right="0" w:firstLine="0"/>
        <w:jc w:val="left"/>
        <w:rPr>
          <w:sz w:val="15"/>
        </w:rPr>
      </w:pPr>
      <w:r>
        <w:rPr>
          <w:color w:val="231F20"/>
          <w:w w:val="95"/>
          <w:sz w:val="15"/>
        </w:rPr>
        <w:t>WORLD HEADQUARTERS</w:t>
      </w:r>
    </w:p>
    <w:p>
      <w:pPr>
        <w:spacing w:before="3"/>
        <w:ind w:left="1666" w:right="0" w:firstLine="0"/>
        <w:jc w:val="left"/>
        <w:rPr>
          <w:sz w:val="15"/>
        </w:rPr>
      </w:pPr>
      <w:r>
        <w:rPr>
          <w:color w:val="231F20"/>
          <w:sz w:val="15"/>
        </w:rPr>
        <w:t>Telephone: (970) 669-3050</w:t>
      </w:r>
    </w:p>
    <w:p>
      <w:pPr>
        <w:spacing w:before="3"/>
        <w:ind w:left="1666" w:right="0" w:firstLine="0"/>
        <w:jc w:val="left"/>
        <w:rPr>
          <w:sz w:val="15"/>
        </w:rPr>
      </w:pPr>
      <w:r>
        <w:rPr>
          <w:color w:val="231F20"/>
          <w:sz w:val="15"/>
        </w:rPr>
        <w:t>FAX: (970) 669-2932</w:t>
      </w:r>
    </w:p>
    <w:p>
      <w:pPr>
        <w:spacing w:after="0"/>
        <w:jc w:val="left"/>
        <w:rPr>
          <w:sz w:val="15"/>
        </w:rPr>
        <w:sectPr>
          <w:type w:val="continuous"/>
          <w:pgSz w:w="11900" w:h="15840"/>
          <w:pgMar w:top="0" w:bottom="0" w:left="600" w:right="940"/>
          <w:cols w:num="2" w:equalWidth="0">
            <w:col w:w="6022" w:space="708"/>
            <w:col w:w="3630"/>
          </w:cols>
        </w:sectPr>
      </w:pPr>
    </w:p>
    <w:p>
      <w:pPr>
        <w:pStyle w:val="BodyText"/>
        <w:spacing w:before="8"/>
        <w:rPr>
          <w:sz w:val="3"/>
        </w:rPr>
      </w:pPr>
    </w:p>
    <w:p>
      <w:pPr>
        <w:pStyle w:val="BodyText"/>
        <w:spacing w:line="34" w:lineRule="exact"/>
        <w:ind w:left="134"/>
        <w:rPr>
          <w:sz w:val="3"/>
        </w:rPr>
      </w:pPr>
      <w:r>
        <w:rPr>
          <w:position w:val="0"/>
          <w:sz w:val="3"/>
        </w:rPr>
        <w:pict>
          <v:group style="width:502.8pt;height:1.7pt;mso-position-horizontal-relative:char;mso-position-vertical-relative:line" coordorigin="0,0" coordsize="10056,34">
            <v:line style="position:absolute" from="17,17" to="10039,17" stroked="true" strokeweight="1.681pt" strokecolor="#231f20"/>
          </v:group>
        </w:pict>
      </w:r>
      <w:r>
        <w:rPr>
          <w:position w:val="0"/>
          <w:sz w:val="3"/>
        </w:rPr>
      </w:r>
    </w:p>
    <w:p>
      <w:pPr>
        <w:pStyle w:val="BodyText"/>
        <w:spacing w:before="6"/>
        <w:rPr>
          <w:sz w:val="12"/>
        </w:rPr>
      </w:pPr>
    </w:p>
    <w:p>
      <w:pPr>
        <w:tabs>
          <w:tab w:pos="7571" w:val="left" w:leader="none"/>
        </w:tabs>
        <w:spacing w:before="78"/>
        <w:ind w:left="120" w:right="22" w:firstLine="0"/>
        <w:jc w:val="left"/>
        <w:rPr>
          <w:sz w:val="18"/>
        </w:rPr>
      </w:pPr>
      <w:r>
        <w:rPr>
          <w:color w:val="0000FF"/>
          <w:sz w:val="18"/>
        </w:rPr>
        <w:t>© Hach Company, 2005. All rights reserved. Printed</w:t>
      </w:r>
      <w:r>
        <w:rPr>
          <w:color w:val="0000FF"/>
          <w:spacing w:val="-31"/>
          <w:sz w:val="18"/>
        </w:rPr>
        <w:t> </w:t>
      </w:r>
      <w:r>
        <w:rPr>
          <w:color w:val="0000FF"/>
          <w:sz w:val="18"/>
        </w:rPr>
        <w:t>in</w:t>
      </w:r>
      <w:r>
        <w:rPr>
          <w:color w:val="0000FF"/>
          <w:spacing w:val="-4"/>
          <w:sz w:val="18"/>
        </w:rPr>
        <w:t> </w:t>
      </w:r>
      <w:r>
        <w:rPr>
          <w:color w:val="0000FF"/>
          <w:sz w:val="18"/>
        </w:rPr>
        <w:t>Germany.</w:t>
        <w:tab/>
      </w:r>
      <w:r>
        <w:rPr>
          <w:sz w:val="18"/>
        </w:rPr>
        <w:t>Updated </w:t>
      </w:r>
      <w:r>
        <w:rPr>
          <w:color w:val="0000FF"/>
          <w:sz w:val="18"/>
        </w:rPr>
        <w:t>November  05 Edition</w:t>
      </w:r>
      <w:r>
        <w:rPr>
          <w:color w:val="0000FF"/>
          <w:spacing w:val="-15"/>
          <w:sz w:val="18"/>
        </w:rPr>
        <w:t> </w:t>
      </w:r>
      <w:r>
        <w:rPr>
          <w:color w:val="0000FF"/>
          <w:sz w:val="18"/>
        </w:rPr>
        <w:t>2</w:t>
      </w:r>
    </w:p>
    <w:p>
      <w:pPr>
        <w:spacing w:after="0"/>
        <w:jc w:val="left"/>
        <w:rPr>
          <w:sz w:val="18"/>
        </w:rPr>
        <w:sectPr>
          <w:type w:val="continuous"/>
          <w:pgSz w:w="11900" w:h="15840"/>
          <w:pgMar w:top="0" w:bottom="0" w:left="600" w:right="940"/>
        </w:sectPr>
      </w:pPr>
    </w:p>
    <w:p>
      <w:pPr>
        <w:pStyle w:val="BodyText"/>
        <w:spacing w:line="60" w:lineRule="exact"/>
        <w:ind w:left="110"/>
        <w:rPr>
          <w:sz w:val="6"/>
        </w:rPr>
      </w:pPr>
      <w:r>
        <w:rPr>
          <w:position w:val="0"/>
          <w:sz w:val="6"/>
        </w:rPr>
        <w:pict>
          <v:group style="width:507pt;height:3pt;mso-position-horizontal-relative:char;mso-position-vertical-relative:line" coordorigin="0,0" coordsize="10140,60">
            <v:line style="position:absolute" from="30,30" to="30,30" stroked="true" strokeweight="3pt" strokecolor="#b3b3b3"/>
            <v:line style="position:absolute" from="30,30" to="10110,30" stroked="true" strokeweight="3pt" strokecolor="#b3b3b3"/>
          </v:group>
        </w:pict>
      </w:r>
      <w:r>
        <w:rPr>
          <w:position w:val="0"/>
          <w:sz w:val="6"/>
        </w:rPr>
      </w:r>
    </w:p>
    <w:p>
      <w:pPr>
        <w:pStyle w:val="Heading1"/>
        <w:ind w:right="156"/>
      </w:pPr>
      <w:r>
        <w:rPr/>
        <w:pict>
          <v:line style="position:absolute;mso-position-horizontal-relative:page;mso-position-vertical-relative:paragraph;z-index:14728;mso-wrap-distance-left:0;mso-wrap-distance-right:0" from="54pt,33.5317pt" to="558pt,33.5317pt" stroked="true" strokeweight="3pt" strokecolor="#b3b3b3">
            <w10:wrap type="topAndBottom"/>
          </v:line>
        </w:pict>
      </w:r>
      <w:r>
        <w:rPr/>
        <w:t>Suspended Solids</w:t>
      </w:r>
    </w:p>
    <w:p>
      <w:pPr>
        <w:tabs>
          <w:tab w:pos="7649" w:val="left" w:leader="none"/>
        </w:tabs>
        <w:spacing w:before="0"/>
        <w:ind w:left="0" w:right="171" w:firstLine="0"/>
        <w:jc w:val="right"/>
        <w:rPr>
          <w:b/>
          <w:sz w:val="22"/>
        </w:rPr>
      </w:pPr>
      <w:r>
        <w:rPr>
          <w:b/>
          <w:spacing w:val="-10"/>
          <w:sz w:val="26"/>
        </w:rPr>
        <w:t>Method8006</w:t>
        <w:tab/>
      </w:r>
      <w:r>
        <w:rPr>
          <w:b/>
          <w:spacing w:val="-21"/>
          <w:position w:val="1"/>
          <w:sz w:val="28"/>
        </w:rPr>
        <w:t>Photometric</w:t>
      </w:r>
      <w:r>
        <w:rPr>
          <w:b/>
          <w:spacing w:val="-24"/>
          <w:position w:val="1"/>
          <w:sz w:val="28"/>
        </w:rPr>
        <w:t> </w:t>
      </w:r>
      <w:r>
        <w:rPr>
          <w:b/>
          <w:spacing w:val="-20"/>
          <w:position w:val="1"/>
          <w:sz w:val="28"/>
        </w:rPr>
        <w:t>Method</w:t>
      </w:r>
      <w:r>
        <w:rPr>
          <w:b/>
          <w:spacing w:val="-20"/>
          <w:position w:val="8"/>
          <w:sz w:val="22"/>
        </w:rPr>
        <w:t>1</w:t>
      </w:r>
    </w:p>
    <w:p>
      <w:pPr>
        <w:pStyle w:val="Heading3"/>
        <w:spacing w:before="96"/>
        <w:ind w:left="0" w:right="191"/>
        <w:jc w:val="right"/>
      </w:pPr>
      <w:r>
        <w:rPr/>
        <w:t>(5 to 750 mg/L)</w:t>
      </w:r>
    </w:p>
    <w:p>
      <w:pPr>
        <w:spacing w:before="160"/>
        <w:ind w:left="128" w:right="0" w:firstLine="0"/>
        <w:jc w:val="left"/>
        <w:rPr>
          <w:sz w:val="20"/>
        </w:rPr>
      </w:pPr>
      <w:r>
        <w:rPr>
          <w:b/>
          <w:sz w:val="20"/>
        </w:rPr>
        <w:t>Scope andApplication: </w:t>
      </w:r>
      <w:r>
        <w:rPr>
          <w:sz w:val="20"/>
        </w:rPr>
        <w:t>For water and wastewater</w:t>
      </w:r>
    </w:p>
    <w:p>
      <w:pPr>
        <w:spacing w:before="18"/>
        <w:ind w:left="140" w:right="0" w:firstLine="0"/>
        <w:jc w:val="left"/>
        <w:rPr>
          <w:sz w:val="16"/>
        </w:rPr>
      </w:pPr>
      <w:r>
        <w:rPr>
          <w:position w:val="4"/>
          <w:sz w:val="12"/>
        </w:rPr>
        <w:t>1 </w:t>
      </w:r>
      <w:r>
        <w:rPr>
          <w:sz w:val="16"/>
        </w:rPr>
        <w:t>Adapted from </w:t>
      </w:r>
      <w:r>
        <w:rPr>
          <w:i/>
          <w:sz w:val="16"/>
        </w:rPr>
        <w:t>Sewage and Industrial Wastes</w:t>
      </w:r>
      <w:r>
        <w:rPr>
          <w:sz w:val="16"/>
        </w:rPr>
        <w:t>, 31, 1159 (1959).</w:t>
      </w:r>
    </w:p>
    <w:p>
      <w:pPr>
        <w:pStyle w:val="BodyText"/>
        <w:rPr>
          <w:sz w:val="20"/>
        </w:rPr>
      </w:pPr>
    </w:p>
    <w:p>
      <w:pPr>
        <w:pStyle w:val="BodyText"/>
        <w:spacing w:before="8"/>
        <w:rPr>
          <w:sz w:val="21"/>
        </w:rPr>
      </w:pPr>
      <w:r>
        <w:rPr/>
        <w:pict>
          <v:group style="position:absolute;margin-left:54.327pt;margin-top:14.454783pt;width:503.7pt;height:40.85pt;mso-position-horizontal-relative:page;mso-position-vertical-relative:paragraph;z-index:14776;mso-wrap-distance-left:0;mso-wrap-distance-right:0" coordorigin="1087,289" coordsize="10074,817">
            <v:rect style="position:absolute;left:1087;top:422;width:10073;height:385" filled="true" fillcolor="#bcbec0" stroked="false">
              <v:fill type="solid"/>
            </v:rect>
            <v:shape style="position:absolute;left:1442;top:289;width:781;height:817" coordorigin="1442,289" coordsize="781,817" path="m2222,289l1442,289,1442,891,1835,891,2039,1106,2039,892,2221,892,2222,289xe" filled="true" fillcolor="#ffffff" stroked="false">
              <v:path arrowok="t"/>
              <v:fill type="solid"/>
            </v:shape>
            <v:shape style="position:absolute;left:1471;top:338;width:723;height:720" coordorigin="1471,338" coordsize="723,720" path="m2193,338l1471,338,1471,868,1835,868,2025,1058,2025,869,2191,869,2193,338xe" filled="true" fillcolor="#ffffff" stroked="false">
              <v:path arrowok="t"/>
              <v:fill type="solid"/>
            </v:shape>
            <v:shape style="position:absolute;left:1471;top:338;width:723;height:720" coordorigin="1471,338" coordsize="723,720" path="m2193,338l1471,338,1471,868,1835,868,2025,1058,2025,869,2191,869,2193,338xe" filled="false" stroked="true" strokeweight="1.5pt" strokecolor="#231f20">
              <v:path arrowok="t"/>
            </v:shape>
            <v:shape style="position:absolute;left:1782;top:701;width:101;height:101" type="#_x0000_t75" stroked="false">
              <v:imagedata r:id="rId134" o:title=""/>
            </v:shape>
            <v:shape style="position:absolute;left:1776;top:399;width:112;height:268" type="#_x0000_t75" stroked="false">
              <v:imagedata r:id="rId173" o:title=""/>
            </v:shape>
            <v:shape style="position:absolute;left:1087;top:289;width:10074;height:817" type="#_x0000_t202" filled="false" stroked="false">
              <v:textbox inset="0,0,0,0">
                <w:txbxContent>
                  <w:p>
                    <w:pPr>
                      <w:spacing w:before="140"/>
                      <w:ind w:left="1530" w:right="0" w:firstLine="0"/>
                      <w:jc w:val="left"/>
                      <w:rPr>
                        <w:b/>
                        <w:sz w:val="28"/>
                      </w:rPr>
                    </w:pPr>
                    <w:r>
                      <w:rPr>
                        <w:b/>
                        <w:color w:val="FFFFFF"/>
                        <w:sz w:val="28"/>
                      </w:rPr>
                      <w:t>Test Preparation</w:t>
                    </w:r>
                  </w:p>
                </w:txbxContent>
              </v:textbox>
              <w10:wrap type="none"/>
            </v:shape>
            <w10:wrap type="topAndBottom"/>
          </v:group>
        </w:pict>
      </w:r>
    </w:p>
    <w:p>
      <w:pPr>
        <w:pStyle w:val="BodyText"/>
        <w:rPr>
          <w:sz w:val="16"/>
        </w:rPr>
      </w:pPr>
    </w:p>
    <w:p>
      <w:pPr>
        <w:pStyle w:val="BodyText"/>
        <w:spacing w:before="3"/>
      </w:pPr>
    </w:p>
    <w:p>
      <w:pPr>
        <w:tabs>
          <w:tab w:pos="9135" w:val="left" w:leader="none"/>
        </w:tabs>
        <w:spacing w:before="0"/>
        <w:ind w:left="219" w:right="0" w:firstLine="0"/>
        <w:jc w:val="left"/>
        <w:rPr>
          <w:b/>
          <w:sz w:val="18"/>
        </w:rPr>
      </w:pPr>
      <w:r>
        <w:rPr>
          <w:b/>
          <w:sz w:val="18"/>
        </w:rPr>
        <w:t>Collect the</w:t>
      </w:r>
      <w:r>
        <w:rPr>
          <w:b/>
          <w:spacing w:val="-6"/>
          <w:sz w:val="18"/>
        </w:rPr>
        <w:t> </w:t>
      </w:r>
      <w:r>
        <w:rPr>
          <w:b/>
          <w:sz w:val="18"/>
        </w:rPr>
        <w:t>following</w:t>
      </w:r>
      <w:r>
        <w:rPr>
          <w:b/>
          <w:spacing w:val="-4"/>
          <w:sz w:val="18"/>
        </w:rPr>
        <w:t> </w:t>
      </w:r>
      <w:r>
        <w:rPr>
          <w:b/>
          <w:sz w:val="18"/>
        </w:rPr>
        <w:t>items:</w:t>
        <w:tab/>
        <w:t>Quantity</w:t>
      </w:r>
    </w:p>
    <w:p>
      <w:pPr>
        <w:pStyle w:val="BodyText"/>
        <w:spacing w:before="4"/>
        <w:rPr>
          <w:b/>
          <w:sz w:val="8"/>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08"/>
        <w:gridCol w:w="3672"/>
      </w:tblGrid>
      <w:tr>
        <w:trPr>
          <w:trHeight w:val="300" w:hRule="exact"/>
        </w:trPr>
        <w:tc>
          <w:tcPr>
            <w:tcW w:w="6408" w:type="dxa"/>
            <w:tcBorders>
              <w:left w:val="single" w:sz="2" w:space="0" w:color="000000"/>
              <w:bottom w:val="nil"/>
              <w:right w:val="nil"/>
            </w:tcBorders>
          </w:tcPr>
          <w:p>
            <w:pPr>
              <w:pStyle w:val="TableParagraph"/>
              <w:spacing w:before="27"/>
              <w:ind w:left="76" w:right="0"/>
              <w:jc w:val="left"/>
              <w:rPr>
                <w:rFonts w:ascii="Arial"/>
                <w:sz w:val="18"/>
              </w:rPr>
            </w:pPr>
            <w:r>
              <w:rPr>
                <w:rFonts w:ascii="Arial"/>
                <w:sz w:val="18"/>
              </w:rPr>
              <w:t>Beaker, 600-mL, polypropylene</w:t>
            </w:r>
          </w:p>
        </w:tc>
        <w:tc>
          <w:tcPr>
            <w:tcW w:w="3672" w:type="dxa"/>
            <w:tcBorders>
              <w:left w:val="nil"/>
              <w:bottom w:val="nil"/>
              <w:right w:val="single" w:sz="2" w:space="0" w:color="000000"/>
            </w:tcBorders>
          </w:tcPr>
          <w:p>
            <w:pPr>
              <w:pStyle w:val="TableParagraph"/>
              <w:spacing w:before="27"/>
              <w:ind w:right="665"/>
              <w:rPr>
                <w:rFonts w:ascii="Arial"/>
                <w:sz w:val="18"/>
              </w:rPr>
            </w:pPr>
            <w:r>
              <w:rPr>
                <w:rFonts w:ascii="Arial"/>
                <w:sz w:val="18"/>
              </w:rPr>
              <w:t>1</w:t>
            </w:r>
          </w:p>
        </w:tc>
      </w:tr>
      <w:tr>
        <w:trPr>
          <w:trHeight w:val="300" w:hRule="exact"/>
        </w:trPr>
        <w:tc>
          <w:tcPr>
            <w:tcW w:w="6408" w:type="dxa"/>
            <w:tcBorders>
              <w:top w:val="nil"/>
              <w:left w:val="single" w:sz="2" w:space="0" w:color="000000"/>
              <w:bottom w:val="nil"/>
              <w:right w:val="nil"/>
            </w:tcBorders>
            <w:shd w:val="clear" w:color="auto" w:fill="E6E6FF"/>
          </w:tcPr>
          <w:p>
            <w:pPr>
              <w:pStyle w:val="TableParagraph"/>
              <w:spacing w:before="31"/>
              <w:ind w:left="76" w:right="0"/>
              <w:jc w:val="left"/>
              <w:rPr>
                <w:rFonts w:ascii="Arial"/>
                <w:sz w:val="18"/>
              </w:rPr>
            </w:pPr>
            <w:r>
              <w:rPr>
                <w:rFonts w:ascii="Arial"/>
                <w:sz w:val="18"/>
              </w:rPr>
              <w:t>Blender</w:t>
            </w:r>
          </w:p>
        </w:tc>
        <w:tc>
          <w:tcPr>
            <w:tcW w:w="3672" w:type="dxa"/>
            <w:tcBorders>
              <w:top w:val="nil"/>
              <w:left w:val="nil"/>
              <w:bottom w:val="nil"/>
              <w:right w:val="single" w:sz="2" w:space="0" w:color="000000"/>
            </w:tcBorders>
            <w:shd w:val="clear" w:color="auto" w:fill="E6E6FF"/>
          </w:tcPr>
          <w:p>
            <w:pPr>
              <w:pStyle w:val="TableParagraph"/>
              <w:spacing w:before="31"/>
              <w:ind w:right="665"/>
              <w:rPr>
                <w:rFonts w:ascii="Arial"/>
                <w:sz w:val="18"/>
              </w:rPr>
            </w:pPr>
            <w:r>
              <w:rPr>
                <w:rFonts w:ascii="Arial"/>
                <w:sz w:val="18"/>
              </w:rPr>
              <w:t>1</w:t>
            </w:r>
          </w:p>
        </w:tc>
      </w:tr>
      <w:tr>
        <w:trPr>
          <w:trHeight w:val="300" w:hRule="exact"/>
        </w:trPr>
        <w:tc>
          <w:tcPr>
            <w:tcW w:w="6408" w:type="dxa"/>
            <w:tcBorders>
              <w:top w:val="nil"/>
              <w:left w:val="single" w:sz="2" w:space="0" w:color="000000"/>
              <w:bottom w:val="nil"/>
              <w:right w:val="nil"/>
            </w:tcBorders>
          </w:tcPr>
          <w:p>
            <w:pPr>
              <w:pStyle w:val="TableParagraph"/>
              <w:spacing w:before="31"/>
              <w:ind w:left="76" w:right="0"/>
              <w:jc w:val="left"/>
              <w:rPr>
                <w:rFonts w:ascii="Arial"/>
                <w:sz w:val="18"/>
              </w:rPr>
            </w:pPr>
            <w:r>
              <w:rPr>
                <w:rFonts w:ascii="Arial"/>
                <w:sz w:val="18"/>
              </w:rPr>
              <w:t>Cylinder, 500-mL polypropylene, graduated</w:t>
            </w:r>
          </w:p>
        </w:tc>
        <w:tc>
          <w:tcPr>
            <w:tcW w:w="3672" w:type="dxa"/>
            <w:tcBorders>
              <w:top w:val="nil"/>
              <w:left w:val="nil"/>
              <w:bottom w:val="nil"/>
              <w:right w:val="single" w:sz="2" w:space="0" w:color="000000"/>
            </w:tcBorders>
          </w:tcPr>
          <w:p>
            <w:pPr>
              <w:pStyle w:val="TableParagraph"/>
              <w:spacing w:before="31"/>
              <w:ind w:right="665"/>
              <w:rPr>
                <w:rFonts w:ascii="Arial"/>
                <w:sz w:val="18"/>
              </w:rPr>
            </w:pPr>
            <w:r>
              <w:rPr>
                <w:rFonts w:ascii="Arial"/>
                <w:sz w:val="18"/>
              </w:rPr>
              <w:t>1</w:t>
            </w:r>
          </w:p>
        </w:tc>
      </w:tr>
      <w:tr>
        <w:trPr>
          <w:trHeight w:val="300" w:hRule="exact"/>
        </w:trPr>
        <w:tc>
          <w:tcPr>
            <w:tcW w:w="6408" w:type="dxa"/>
            <w:tcBorders>
              <w:top w:val="nil"/>
              <w:left w:val="single" w:sz="2" w:space="0" w:color="000000"/>
              <w:bottom w:val="nil"/>
              <w:right w:val="nil"/>
            </w:tcBorders>
            <w:shd w:val="clear" w:color="auto" w:fill="E6E6FF"/>
          </w:tcPr>
          <w:p>
            <w:pPr>
              <w:pStyle w:val="TableParagraph"/>
              <w:spacing w:before="31"/>
              <w:ind w:left="76" w:right="0"/>
              <w:jc w:val="left"/>
              <w:rPr>
                <w:rFonts w:ascii="Arial"/>
                <w:sz w:val="18"/>
              </w:rPr>
            </w:pPr>
            <w:r>
              <w:rPr>
                <w:rFonts w:ascii="Arial"/>
                <w:sz w:val="18"/>
              </w:rPr>
              <w:t>Pipet, serological, 25-mL</w:t>
            </w:r>
          </w:p>
        </w:tc>
        <w:tc>
          <w:tcPr>
            <w:tcW w:w="3672" w:type="dxa"/>
            <w:tcBorders>
              <w:top w:val="nil"/>
              <w:left w:val="nil"/>
              <w:bottom w:val="nil"/>
              <w:right w:val="single" w:sz="2" w:space="0" w:color="000000"/>
            </w:tcBorders>
            <w:shd w:val="clear" w:color="auto" w:fill="E6E6FF"/>
          </w:tcPr>
          <w:p>
            <w:pPr>
              <w:pStyle w:val="TableParagraph"/>
              <w:spacing w:before="31"/>
              <w:ind w:right="665"/>
              <w:rPr>
                <w:rFonts w:ascii="Arial"/>
                <w:sz w:val="18"/>
              </w:rPr>
            </w:pPr>
            <w:r>
              <w:rPr>
                <w:rFonts w:ascii="Arial"/>
                <w:sz w:val="18"/>
              </w:rPr>
              <w:t>1</w:t>
            </w:r>
          </w:p>
        </w:tc>
      </w:tr>
      <w:tr>
        <w:trPr>
          <w:trHeight w:val="300" w:hRule="exact"/>
        </w:trPr>
        <w:tc>
          <w:tcPr>
            <w:tcW w:w="6408" w:type="dxa"/>
            <w:tcBorders>
              <w:top w:val="nil"/>
              <w:left w:val="single" w:sz="2" w:space="0" w:color="000000"/>
              <w:bottom w:val="nil"/>
              <w:right w:val="nil"/>
            </w:tcBorders>
          </w:tcPr>
          <w:p>
            <w:pPr>
              <w:pStyle w:val="TableParagraph"/>
              <w:spacing w:before="31"/>
              <w:ind w:left="76" w:right="0"/>
              <w:jc w:val="left"/>
              <w:rPr>
                <w:rFonts w:ascii="Arial"/>
                <w:sz w:val="18"/>
              </w:rPr>
            </w:pPr>
            <w:r>
              <w:rPr>
                <w:rFonts w:ascii="Arial"/>
                <w:sz w:val="18"/>
              </w:rPr>
              <w:t>Pipet Filler, safety bulb</w:t>
            </w:r>
          </w:p>
        </w:tc>
        <w:tc>
          <w:tcPr>
            <w:tcW w:w="3672" w:type="dxa"/>
            <w:tcBorders>
              <w:top w:val="nil"/>
              <w:left w:val="nil"/>
              <w:bottom w:val="nil"/>
              <w:right w:val="single" w:sz="2" w:space="0" w:color="000000"/>
            </w:tcBorders>
          </w:tcPr>
          <w:p>
            <w:pPr>
              <w:pStyle w:val="TableParagraph"/>
              <w:spacing w:before="31"/>
              <w:ind w:right="665"/>
              <w:rPr>
                <w:rFonts w:ascii="Arial"/>
                <w:sz w:val="18"/>
              </w:rPr>
            </w:pPr>
            <w:r>
              <w:rPr>
                <w:rFonts w:ascii="Arial"/>
                <w:sz w:val="18"/>
              </w:rPr>
              <w:t>1</w:t>
            </w:r>
          </w:p>
        </w:tc>
      </w:tr>
      <w:tr>
        <w:trPr>
          <w:trHeight w:val="301" w:hRule="exact"/>
        </w:trPr>
        <w:tc>
          <w:tcPr>
            <w:tcW w:w="6408" w:type="dxa"/>
            <w:tcBorders>
              <w:top w:val="nil"/>
              <w:left w:val="single" w:sz="2" w:space="0" w:color="000000"/>
              <w:bottom w:val="single" w:sz="2" w:space="0" w:color="000000"/>
              <w:right w:val="nil"/>
            </w:tcBorders>
            <w:shd w:val="clear" w:color="auto" w:fill="E6E6FF"/>
          </w:tcPr>
          <w:p>
            <w:pPr>
              <w:pStyle w:val="TableParagraph"/>
              <w:spacing w:before="31"/>
              <w:ind w:left="76" w:right="0"/>
              <w:jc w:val="left"/>
              <w:rPr>
                <w:rFonts w:ascii="Arial"/>
                <w:sz w:val="18"/>
              </w:rPr>
            </w:pPr>
            <w:r>
              <w:rPr>
                <w:rFonts w:ascii="Arial"/>
                <w:sz w:val="18"/>
              </w:rPr>
              <w:t>Sample Cells, 1-inch square, 10 mL</w:t>
            </w:r>
          </w:p>
        </w:tc>
        <w:tc>
          <w:tcPr>
            <w:tcW w:w="3672" w:type="dxa"/>
            <w:tcBorders>
              <w:top w:val="nil"/>
              <w:left w:val="nil"/>
              <w:bottom w:val="single" w:sz="2" w:space="0" w:color="000000"/>
              <w:right w:val="single" w:sz="2" w:space="0" w:color="000000"/>
            </w:tcBorders>
            <w:shd w:val="clear" w:color="auto" w:fill="E6E6FF"/>
          </w:tcPr>
          <w:p>
            <w:pPr>
              <w:pStyle w:val="TableParagraph"/>
              <w:spacing w:before="31"/>
              <w:ind w:right="665"/>
              <w:rPr>
                <w:rFonts w:ascii="Arial"/>
                <w:sz w:val="18"/>
              </w:rPr>
            </w:pPr>
            <w:r>
              <w:rPr>
                <w:rFonts w:ascii="Arial"/>
                <w:sz w:val="18"/>
              </w:rPr>
              <w:t>2</w:t>
            </w:r>
          </w:p>
        </w:tc>
      </w:tr>
    </w:tbl>
    <w:p>
      <w:pPr>
        <w:spacing w:before="28"/>
        <w:ind w:left="219" w:right="0" w:firstLine="0"/>
        <w:jc w:val="left"/>
        <w:rPr>
          <w:i/>
          <w:sz w:val="18"/>
        </w:rPr>
      </w:pPr>
      <w:r>
        <w:rPr>
          <w:b/>
          <w:i/>
          <w:sz w:val="18"/>
        </w:rPr>
        <w:t>Note: </w:t>
      </w:r>
      <w:r>
        <w:rPr>
          <w:i/>
          <w:sz w:val="18"/>
        </w:rPr>
        <w:t>Reorder information for consumables and replacement items is on page </w:t>
      </w:r>
      <w:r>
        <w:rPr>
          <w:i/>
          <w:color w:val="0000FF"/>
          <w:sz w:val="18"/>
        </w:rPr>
        <w:t>3</w:t>
      </w:r>
      <w:r>
        <w:rPr>
          <w:i/>
          <w:sz w:val="18"/>
        </w:rPr>
        <w:t>.</w:t>
      </w:r>
    </w:p>
    <w:p>
      <w:pPr>
        <w:pStyle w:val="BodyText"/>
        <w:rPr>
          <w:i/>
          <w:sz w:val="20"/>
        </w:rPr>
      </w:pPr>
    </w:p>
    <w:p>
      <w:pPr>
        <w:pStyle w:val="BodyText"/>
        <w:rPr>
          <w:i/>
          <w:sz w:val="20"/>
        </w:rPr>
      </w:pPr>
    </w:p>
    <w:p>
      <w:pPr>
        <w:pStyle w:val="Heading3"/>
        <w:tabs>
          <w:tab w:pos="8382" w:val="left" w:leader="none"/>
        </w:tabs>
        <w:spacing w:before="205"/>
        <w:ind w:left="140" w:right="0"/>
      </w:pPr>
      <w:r>
        <w:rPr/>
        <w:drawing>
          <wp:anchor distT="0" distB="0" distL="0" distR="0" allowOverlap="1" layoutInCell="1" locked="0" behindDoc="1" simplePos="0" relativeHeight="266918567">
            <wp:simplePos x="0" y="0"/>
            <wp:positionH relativeFrom="page">
              <wp:posOffset>822960</wp:posOffset>
            </wp:positionH>
            <wp:positionV relativeFrom="paragraph">
              <wp:posOffset>829587</wp:posOffset>
            </wp:positionV>
            <wp:extent cx="1256780" cy="308324"/>
            <wp:effectExtent l="0" t="0" r="0" b="0"/>
            <wp:wrapNone/>
            <wp:docPr id="171" name="image130.png" descr=""/>
            <wp:cNvGraphicFramePr>
              <a:graphicFrameLocks noChangeAspect="1"/>
            </wp:cNvGraphicFramePr>
            <a:graphic>
              <a:graphicData uri="http://schemas.openxmlformats.org/drawingml/2006/picture">
                <pic:pic>
                  <pic:nvPicPr>
                    <pic:cNvPr id="172" name="image130.png"/>
                    <pic:cNvPicPr/>
                  </pic:nvPicPr>
                  <pic:blipFill>
                    <a:blip r:embed="rId144" cstate="print"/>
                    <a:stretch>
                      <a:fillRect/>
                    </a:stretch>
                  </pic:blipFill>
                  <pic:spPr>
                    <a:xfrm>
                      <a:off x="0" y="0"/>
                      <a:ext cx="1256780" cy="308324"/>
                    </a:xfrm>
                    <a:prstGeom prst="rect">
                      <a:avLst/>
                    </a:prstGeom>
                  </pic:spPr>
                </pic:pic>
              </a:graphicData>
            </a:graphic>
          </wp:anchor>
        </w:drawing>
      </w:r>
      <w:r>
        <w:rPr/>
        <w:pict>
          <v:group style="position:absolute;margin-left:321.889008pt;margin-top:55.174831pt;width:45.95pt;height:39.4pt;mso-position-horizontal-relative:page;mso-position-vertical-relative:paragraph;z-index:-1516768" coordorigin="6438,1103" coordsize="919,788">
            <v:shape style="position:absolute;left:6438;top:1103;width:919;height:788" coordorigin="6438,1103" coordsize="919,788" path="m7295,1103l6499,1103,6475,1110,6456,1128,6443,1155,6438,1187,6438,1808,6443,1840,6456,1867,6475,1885,6499,1891,7295,1891,7318,1885,7338,1867,7351,1840,7356,1808,7356,1187,7351,1155,7338,1128,7318,1110,7295,1103xe" filled="true" fillcolor="#231f20" stroked="false">
              <v:path arrowok="t"/>
              <v:fill type="solid"/>
            </v:shape>
            <v:shape style="position:absolute;left:6489;top:1169;width:804;height:228" coordorigin="6489,1169" coordsize="804,228" path="m7266,1169l6516,1169,6506,1172,6497,1180,6491,1190,6489,1204,6489,1363,6491,1376,6497,1387,6506,1394,6516,1397,7266,1397,7276,1394,7285,1387,7291,1376,7293,1363,7293,1204,7291,1190,7285,1180,7276,1172,7266,1169xe" filled="true" fillcolor="#ffffff" stroked="false">
              <v:path arrowok="t"/>
              <v:fill type="solid"/>
            </v:shape>
            <v:shape style="position:absolute;left:7047;top:1675;width:241;height:126" type="#_x0000_t75" stroked="false">
              <v:imagedata r:id="rId285" o:title=""/>
            </v:shape>
            <v:shape style="position:absolute;left:6771;top:1675;width:241;height:126" type="#_x0000_t75" stroked="false">
              <v:imagedata r:id="rId285" o:title=""/>
            </v:shape>
            <v:shape style="position:absolute;left:6496;top:1675;width:241;height:126" type="#_x0000_t75" stroked="false">
              <v:imagedata r:id="rId285" o:title=""/>
            </v:shape>
            <v:shape style="position:absolute;left:6438;top:1103;width:919;height:788" coordorigin="6438,1103" coordsize="919,788" path="m7295,1103l6499,1103,6475,1110,6456,1128,6443,1155,6438,1187,6438,1808,6443,1840,6456,1867,6475,1885,6499,1891,7295,1891,7318,1885,7338,1867,7351,1840,7356,1808,7356,1187,7351,1155,7338,1128,7318,1110,7295,1103xe" filled="true" fillcolor="#231f20" stroked="false">
              <v:path arrowok="t"/>
              <v:fill type="solid"/>
            </v:shape>
            <v:shape style="position:absolute;left:7047;top:1675;width:241;height:126" type="#_x0000_t75" stroked="false">
              <v:imagedata r:id="rId285" o:title=""/>
            </v:shape>
            <v:shape style="position:absolute;left:6771;top:1675;width:241;height:126" type="#_x0000_t75" stroked="false">
              <v:imagedata r:id="rId285" o:title=""/>
            </v:shape>
            <v:shape style="position:absolute;left:6496;top:1675;width:241;height:126" type="#_x0000_t75" stroked="false">
              <v:imagedata r:id="rId285" o:title=""/>
            </v:shape>
            <v:shape style="position:absolute;left:6489;top:1169;width:804;height:227" type="#_x0000_t75" stroked="false">
              <v:imagedata r:id="rId286" o:title=""/>
            </v:shape>
            <v:shape style="position:absolute;left:6438;top:1103;width:919;height:788" type="#_x0000_t202" filled="false" stroked="false">
              <v:textbox inset="0,0,0,0">
                <w:txbxContent>
                  <w:p>
                    <w:pPr>
                      <w:spacing w:line="240" w:lineRule="auto" w:before="0"/>
                      <w:rPr>
                        <w:b/>
                        <w:sz w:val="10"/>
                      </w:rPr>
                    </w:pPr>
                  </w:p>
                  <w:p>
                    <w:pPr>
                      <w:spacing w:line="240" w:lineRule="auto" w:before="0"/>
                      <w:rPr>
                        <w:b/>
                        <w:sz w:val="10"/>
                      </w:rPr>
                    </w:pPr>
                  </w:p>
                  <w:p>
                    <w:pPr>
                      <w:spacing w:line="240" w:lineRule="auto" w:before="4"/>
                      <w:rPr>
                        <w:b/>
                        <w:sz w:val="13"/>
                      </w:rPr>
                    </w:pPr>
                  </w:p>
                  <w:p>
                    <w:pPr>
                      <w:spacing w:before="1"/>
                      <w:ind w:left="69" w:right="0" w:firstLine="0"/>
                      <w:jc w:val="left"/>
                      <w:rPr>
                        <w:b/>
                        <w:sz w:val="10"/>
                      </w:rPr>
                    </w:pPr>
                    <w:r>
                      <w:rPr>
                        <w:b/>
                        <w:color w:val="FFFFFF"/>
                        <w:w w:val="105"/>
                        <w:sz w:val="10"/>
                      </w:rPr>
                      <w:t>HRS  MIN  SEC</w:t>
                    </w:r>
                  </w:p>
                </w:txbxContent>
              </v:textbox>
              <w10:wrap type="none"/>
            </v:shape>
            <w10:wrap type="none"/>
          </v:group>
        </w:pict>
      </w:r>
      <w:r>
        <w:rPr>
          <w:color w:val="FFFFFF"/>
          <w:w w:val="99"/>
          <w:shd w:fill="BCBEC0" w:color="auto" w:val="clear"/>
        </w:rPr>
        <w:t> </w:t>
      </w:r>
      <w:r>
        <w:rPr>
          <w:color w:val="FFFFFF"/>
          <w:shd w:fill="BCBEC0" w:color="auto" w:val="clear"/>
        </w:rPr>
        <w:tab/>
        <w:t>Method</w:t>
      </w:r>
      <w:r>
        <w:rPr>
          <w:color w:val="FFFFFF"/>
          <w:spacing w:val="-5"/>
          <w:shd w:fill="BCBEC0" w:color="auto" w:val="clear"/>
        </w:rPr>
        <w:t> </w:t>
      </w:r>
      <w:r>
        <w:rPr>
          <w:color w:val="FFFFFF"/>
          <w:shd w:fill="BCBEC0" w:color="auto" w:val="clear"/>
        </w:rPr>
        <w:t>8006</w:t>
      </w:r>
      <w:r>
        <w:rPr>
          <w:color w:val="FFFFFF"/>
          <w:spacing w:val="-13"/>
          <w:shd w:fill="BCBEC0" w:color="auto" w:val="clear"/>
        </w:rPr>
        <w:t> </w:t>
      </w:r>
    </w:p>
    <w:p>
      <w:pPr>
        <w:pStyle w:val="BodyText"/>
        <w:spacing w:before="8"/>
        <w:rPr>
          <w:b/>
          <w:sz w:val="26"/>
        </w:rPr>
      </w:pPr>
      <w:r>
        <w:rPr/>
        <w:pict>
          <v:group style="position:absolute;margin-left:54pt;margin-top:17.313196pt;width:122.4pt;height:122.5pt;mso-position-horizontal-relative:page;mso-position-vertical-relative:paragraph;z-index:14800;mso-wrap-distance-left:0;mso-wrap-distance-right:0" coordorigin="1080,346" coordsize="2448,2450">
            <v:rect style="position:absolute;left:1256;top:1446;width:2091;height:216" filled="true" fillcolor="#231f20" stroked="false">
              <v:fill type="solid"/>
            </v:rect>
            <v:shape style="position:absolute;left:1353;top:1499;width:257;height:117" type="#_x0000_t75" stroked="false">
              <v:imagedata r:id="rId287" o:title=""/>
            </v:shape>
            <v:shape style="position:absolute;left:1666;top:1495;width:95;height:121" coordorigin="1666,1495" coordsize="95,121" path="m1689,1577l1666,1577,1667,1589,1675,1602,1689,1612,1715,1616,1726,1615,1741,1610,1754,1599,1755,1596,1692,1596,1689,1584,1689,1577xm1712,1495l1689,1499,1676,1508,1669,1519,1667,1530,1671,1546,1679,1555,1690,1560,1704,1564,1728,1570,1737,1572,1737,1593,1724,1596,1755,1596,1760,1578,1758,1565,1751,1556,1741,1551,1730,1547,1702,1540,1697,1539,1690,1537,1690,1518,1701,1515,1751,1515,1747,1508,1733,1499,1712,1495xm1751,1515l1731,1515,1733,1527,1733,1532,1756,1532,1754,1520,1751,1515xe" filled="true" fillcolor="#ffffff" stroked="false">
              <v:path arrowok="t"/>
              <v:fill type="solid"/>
            </v:shape>
            <v:shape style="position:absolute;left:1777;top:1528;width:77;height:88" coordorigin="1777,1528" coordsize="77,88" path="m1799,1528l1777,1528,1777,1584,1779,1598,1785,1607,1794,1613,1806,1615,1818,1615,1826,1610,1832,1601,1853,1601,1853,1596,1807,1596,1799,1594,1799,1528xm1853,1601l1832,1601,1832,1613,1853,1613,1853,1601xm1853,1528l1831,1528,1831,1592,1821,1596,1853,1596,1853,1528xe" filled="true" fillcolor="#ffffff" stroked="false">
              <v:path arrowok="t"/>
              <v:fill type="solid"/>
            </v:shape>
            <v:shape style="position:absolute;left:1869;top:1525;width:79;height:90" coordorigin="1869,1525" coordsize="79,90" path="m1892,1586l1869,1586,1873,1600,1882,1609,1895,1614,1910,1615,1921,1614,1933,1610,1943,1601,1944,1598,1896,1598,1892,1593,1892,1586xm1906,1525l1890,1528,1879,1535,1873,1544,1872,1554,1880,1571,1898,1578,1916,1582,1925,1589,1924,1593,1922,1598,1944,1598,1947,1586,1939,1569,1920,1561,1902,1557,1894,1551,1894,1547,1895,1542,1941,1542,1940,1539,1931,1530,1919,1526,1906,1525xm1941,1542l1920,1542,1922,1548,1922,1554,1944,1554,1941,1542xe" filled="true" fillcolor="#ffffff" stroked="false">
              <v:path arrowok="t"/>
              <v:fill type="solid"/>
            </v:shape>
            <v:shape style="position:absolute;left:1963;top:1525;width:83;height:121" coordorigin="1963,1525" coordsize="83,121" path="m1984,1528l1963,1528,1963,1646,1985,1646,1985,1602,2036,1602,2037,1601,2039,1597,1990,1597,1984,1585,1984,1559,1988,1545,2040,1545,2037,1540,1984,1540,1984,1528xm2036,1602l1986,1602,1988,1607,1994,1615,2010,1615,2026,1611,2036,1602xm2040,1545l2018,1545,2022,1557,2022,1581,2018,1597,2039,1597,2043,1586,2045,1569,2042,1550,2040,1545xm2010,1525l1995,1525,1989,1533,1985,1540,2037,1540,2035,1536,2023,1528,2010,1525xe" filled="true" fillcolor="#ffffff" stroked="false">
              <v:path arrowok="t"/>
              <v:fill type="solid"/>
            </v:shape>
            <v:shape style="position:absolute;left:2054;top:1525;width:81;height:90" coordorigin="2054,1525" coordsize="81,90" path="m2095,1525l2073,1531,2061,1543,2055,1557,2054,1568,2058,1590,2067,1605,2080,1613,2097,1615,2108,1614,2119,1609,2128,1601,2130,1597,2079,1597,2077,1583,2077,1576,2135,1576,2135,1572,2133,1562,2077,1562,2079,1551,2084,1544,2128,1544,2121,1534,2108,1527,2095,1525xm2134,1588l2111,1588,2109,1594,2103,1597,2130,1597,2134,1588xm2128,1544l2102,1544,2111,1548,2112,1562,2133,1562,2131,1549,2128,1544xe" filled="true" fillcolor="#ffffff" stroked="false">
              <v:path arrowok="t"/>
              <v:fill type="solid"/>
            </v:shape>
            <v:shape style="position:absolute;left:2150;top:1525;width:77;height:88" coordorigin="2150,1525" coordsize="77,88" path="m2171,1528l2150,1528,2150,1613,2172,1613,2172,1551,2180,1544,2225,1544,2225,1542,2224,1540,2171,1540,2171,1528xm2225,1544l2204,1544,2204,1551,2205,1613,2227,1613,2227,1554,2225,1544xm2197,1525l2181,1525,2175,1535,2172,1540,2224,1540,2218,1533,2209,1527,2197,1525xe" filled="true" fillcolor="#ffffff" stroked="false">
              <v:path arrowok="t"/>
              <v:fill type="solid"/>
            </v:shape>
            <v:shape style="position:absolute;left:2243;top:1498;width:83;height:118" coordorigin="2243,1498" coordsize="83,118" path="m2293,1525l2278,1525,2265,1528,2253,1536,2246,1550,2243,1569,2245,1586,2251,1601,2262,1611,2279,1615,2288,1615,2298,1612,2303,1602,2326,1602,2326,1597,2270,1597,2266,1581,2266,1557,2271,1545,2326,1545,2326,1539,2303,1539,2299,1533,2293,1525xm2326,1602l2304,1602,2304,1613,2326,1613,2326,1602xm2326,1545l2300,1545,2304,1559,2304,1585,2298,1597,2326,1597,2326,1545xm2326,1498l2303,1498,2303,1539,2326,1539,2326,1498xe" filled="true" fillcolor="#ffffff" stroked="false">
              <v:path arrowok="t"/>
              <v:fill type="solid"/>
            </v:shape>
            <v:shape style="position:absolute;left:2339;top:1525;width:81;height:90" coordorigin="2339,1525" coordsize="81,90" path="m2380,1525l2358,1531,2345,1543,2340,1557,2339,1568,2342,1590,2351,1605,2364,1613,2381,1615,2392,1614,2403,1609,2412,1601,2414,1597,2363,1597,2362,1583,2361,1576,2420,1576,2420,1572,2418,1562,2362,1562,2363,1551,2369,1544,2412,1544,2406,1534,2393,1527,2380,1525xm2419,1588l2396,1588,2394,1594,2387,1597,2414,1597,2419,1588xm2412,1544l2387,1544,2395,1548,2397,1562,2418,1562,2416,1549,2412,1544xe" filled="true" fillcolor="#ffffff" stroked="false">
              <v:path arrowok="t"/>
              <v:fill type="solid"/>
            </v:shape>
            <v:shape style="position:absolute;left:2430;top:1498;width:83;height:118" coordorigin="2430,1498" coordsize="83,118" path="m2479,1525l2465,1525,2451,1528,2440,1536,2432,1550,2430,1569,2432,1586,2438,1601,2449,1611,2465,1615,2475,1615,2485,1612,2490,1602,2512,1602,2512,1597,2457,1597,2453,1581,2453,1557,2457,1545,2512,1545,2512,1539,2490,1539,2486,1533,2479,1525xm2512,1602l2490,1602,2490,1613,2512,1613,2512,1602xm2512,1545l2487,1545,2491,1559,2491,1585,2485,1597,2512,1597,2512,1545xm2512,1498l2490,1498,2490,1539,2512,1539,2512,1498xe" filled="true" fillcolor="#ffffff" stroked="false">
              <v:path arrowok="t"/>
              <v:fill type="solid"/>
            </v:shape>
            <v:shape style="position:absolute;left:2573;top:1487;width:468;height:137" type="#_x0000_t75" stroked="false">
              <v:imagedata r:id="rId288" o:title=""/>
            </v:shape>
            <v:rect style="position:absolute;left:1200;top:346;width:2328;height:120" filled="true" fillcolor="#b3b3b3" stroked="false">
              <v:fill type="solid"/>
            </v:rect>
            <v:rect style="position:absolute;left:3408;top:406;width:120;height:2389" filled="true" fillcolor="#b3b3b3" stroked="false">
              <v:fill type="solid"/>
            </v:rect>
            <v:rect style="position:absolute;left:1080;top:2675;width:2388;height:120" filled="true" fillcolor="#b3b3b3" stroked="false">
              <v:fill type="solid"/>
            </v:rect>
            <v:rect style="position:absolute;left:1080;top:346;width:120;height:2389" filled="true" fillcolor="#b3b3b3" stroked="false">
              <v:fill type="solid"/>
            </v:rect>
            <w10:wrap type="topAndBottom"/>
          </v:group>
        </w:pict>
      </w:r>
      <w:r>
        <w:rPr/>
        <w:pict>
          <v:group style="position:absolute;margin-left:182.220001pt;margin-top:17.313196pt;width:122.4pt;height:122.5pt;mso-position-horizontal-relative:page;mso-position-vertical-relative:paragraph;z-index:14824;mso-wrap-distance-left:0;mso-wrap-distance-right:0" coordorigin="3644,346" coordsize="2448,2450">
            <v:rect style="position:absolute;left:3764;top:346;width:2328;height:120" filled="true" fillcolor="#b3b3b3" stroked="false">
              <v:fill type="solid"/>
            </v:rect>
            <v:rect style="position:absolute;left:5972;top:406;width:120;height:2389" filled="true" fillcolor="#b3b3b3" stroked="false">
              <v:fill type="solid"/>
            </v:rect>
            <v:rect style="position:absolute;left:3644;top:2675;width:2388;height:120" filled="true" fillcolor="#b3b3b3" stroked="false">
              <v:fill type="solid"/>
            </v:rect>
            <v:rect style="position:absolute;left:3644;top:346;width:120;height:2389" filled="true" fillcolor="#b3b3b3" stroked="false">
              <v:fill type="solid"/>
            </v:rect>
            <w10:wrap type="topAndBottom"/>
          </v:group>
        </w:pict>
      </w:r>
      <w:r>
        <w:rPr/>
        <w:pict>
          <v:group style="position:absolute;margin-left:310.5pt;margin-top:17.313196pt;width:122.4pt;height:122.5pt;mso-position-horizontal-relative:page;mso-position-vertical-relative:paragraph;z-index:14848;mso-wrap-distance-left:0;mso-wrap-distance-right:0" coordorigin="6210,346" coordsize="2448,2450">
            <v:rect style="position:absolute;left:6330;top:346;width:2328;height:120" filled="true" fillcolor="#b3b3b3" stroked="false">
              <v:fill type="solid"/>
            </v:rect>
            <v:rect style="position:absolute;left:8538;top:406;width:120;height:2389" filled="true" fillcolor="#b3b3b3" stroked="false">
              <v:fill type="solid"/>
            </v:rect>
            <v:rect style="position:absolute;left:6210;top:2675;width:2388;height:120" filled="true" fillcolor="#b3b3b3" stroked="false">
              <v:fill type="solid"/>
            </v:rect>
            <v:rect style="position:absolute;left:6210;top:346;width:120;height:2389" filled="true" fillcolor="#b3b3b3" stroked="false">
              <v:fill type="solid"/>
            </v:rect>
            <w10:wrap type="topAndBottom"/>
          </v:group>
        </w:pict>
      </w:r>
      <w:r>
        <w:rPr/>
        <w:pict>
          <v:group style="position:absolute;margin-left:438.720001pt;margin-top:17.313196pt;width:122.4pt;height:122.5pt;mso-position-horizontal-relative:page;mso-position-vertical-relative:paragraph;z-index:14872;mso-wrap-distance-left:0;mso-wrap-distance-right:0" coordorigin="8774,346" coordsize="2448,2450">
            <v:rect style="position:absolute;left:8894;top:346;width:2328;height:120" filled="true" fillcolor="#b3b3b3" stroked="false">
              <v:fill type="solid"/>
            </v:rect>
            <v:rect style="position:absolute;left:11102;top:406;width:120;height:2389" filled="true" fillcolor="#b3b3b3" stroked="false">
              <v:fill type="solid"/>
            </v:rect>
            <v:rect style="position:absolute;left:8774;top:2675;width:2388;height:120" filled="true" fillcolor="#b3b3b3" stroked="false">
              <v:fill type="solid"/>
            </v:rect>
            <v:rect style="position:absolute;left:8774;top:346;width:120;height:2389" filled="true" fillcolor="#b3b3b3" stroked="false">
              <v:fill type="solid"/>
            </v:rect>
            <w10:wrap type="topAndBottom"/>
          </v:group>
        </w:pict>
      </w:r>
    </w:p>
    <w:p>
      <w:pPr>
        <w:pStyle w:val="BodyText"/>
        <w:spacing w:before="1"/>
        <w:rPr>
          <w:b/>
          <w:sz w:val="6"/>
        </w:rPr>
      </w:pPr>
    </w:p>
    <w:p>
      <w:pPr>
        <w:spacing w:after="0"/>
        <w:rPr>
          <w:sz w:val="6"/>
        </w:rPr>
        <w:sectPr>
          <w:headerReference w:type="default" r:id="rId283"/>
          <w:footerReference w:type="default" r:id="rId284"/>
          <w:pgSz w:w="11900" w:h="15840"/>
          <w:pgMar w:header="0" w:footer="0" w:top="540" w:bottom="0" w:left="940" w:right="560"/>
        </w:sectPr>
      </w:pPr>
    </w:p>
    <w:p>
      <w:pPr>
        <w:tabs>
          <w:tab w:pos="2704" w:val="left" w:leader="none"/>
        </w:tabs>
        <w:spacing w:before="6"/>
        <w:ind w:left="140" w:right="0" w:firstLine="0"/>
        <w:jc w:val="left"/>
        <w:rPr>
          <w:sz w:val="20"/>
        </w:rPr>
      </w:pPr>
      <w:r>
        <w:rPr/>
        <w:drawing>
          <wp:anchor distT="0" distB="0" distL="0" distR="0" allowOverlap="1" layoutInCell="1" locked="0" behindDoc="1" simplePos="0" relativeHeight="266918591">
            <wp:simplePos x="0" y="0"/>
            <wp:positionH relativeFrom="page">
              <wp:posOffset>1148333</wp:posOffset>
            </wp:positionH>
            <wp:positionV relativeFrom="paragraph">
              <wp:posOffset>-655828</wp:posOffset>
            </wp:positionV>
            <wp:extent cx="593581" cy="276701"/>
            <wp:effectExtent l="0" t="0" r="0" b="0"/>
            <wp:wrapNone/>
            <wp:docPr id="173" name="image131.png" descr=""/>
            <wp:cNvGraphicFramePr>
              <a:graphicFrameLocks noChangeAspect="1"/>
            </wp:cNvGraphicFramePr>
            <a:graphic>
              <a:graphicData uri="http://schemas.openxmlformats.org/drawingml/2006/picture">
                <pic:pic>
                  <pic:nvPicPr>
                    <pic:cNvPr id="174" name="image131.png"/>
                    <pic:cNvPicPr/>
                  </pic:nvPicPr>
                  <pic:blipFill>
                    <a:blip r:embed="rId145" cstate="print"/>
                    <a:stretch>
                      <a:fillRect/>
                    </a:stretch>
                  </pic:blipFill>
                  <pic:spPr>
                    <a:xfrm>
                      <a:off x="0" y="0"/>
                      <a:ext cx="593581" cy="276701"/>
                    </a:xfrm>
                    <a:prstGeom prst="rect">
                      <a:avLst/>
                    </a:prstGeom>
                  </pic:spPr>
                </pic:pic>
              </a:graphicData>
            </a:graphic>
          </wp:anchor>
        </w:drawing>
      </w:r>
      <w:r>
        <w:rPr/>
        <w:pict>
          <v:group style="position:absolute;margin-left:193.251999pt;margin-top:-115.701019pt;width:100.8pt;height:99.3pt;mso-position-horizontal-relative:page;mso-position-vertical-relative:paragraph;z-index:-1516840" coordorigin="3865,-2314" coordsize="2016,1986">
            <v:shape style="position:absolute;left:4589;top:-1139;width:182;height:182" type="#_x0000_t75" stroked="false">
              <v:imagedata r:id="rId289" o:title=""/>
            </v:shape>
            <v:shape style="position:absolute;left:4589;top:-753;width:182;height:182" type="#_x0000_t75" stroked="false">
              <v:imagedata r:id="rId290" o:title=""/>
            </v:shape>
            <v:shape style="position:absolute;left:4975;top:-1139;width:181;height:182" type="#_x0000_t75" stroked="false">
              <v:imagedata r:id="rId291" o:title=""/>
            </v:shape>
            <v:shape style="position:absolute;left:4975;top:-753;width:181;height:182" type="#_x0000_t75" stroked="false">
              <v:imagedata r:id="rId292" o:title=""/>
            </v:shape>
            <v:shape style="position:absolute;left:3865;top:-2314;width:2016;height:1986" coordorigin="3865,-2314" coordsize="2016,1986" path="m5691,-1326l4064,-1326,4139,-1324,4210,-1308,4277,-1274,4339,-1228,4347,-1226,4364,-1208,4393,-1170,4405,-1150,4417,-1128,4427,-1106,4435,-1084,4442,-1060,4439,-1054,4449,-972,4441,-896,4418,-822,4381,-758,4333,-704,4311,-666,4307,-624,4321,-586,4353,-556,4430,-512,4505,-468,4579,-426,4653,-382,4728,-340,4739,-334,4752,-330,4764,-328,4775,-328,4777,-330,4779,-332,5000,-332,5007,-334,5017,-340,5094,-384,5168,-426,5241,-470,5316,-512,5392,-556,5406,-570,4589,-570,4589,-586,4400,-586,4380,-590,4364,-600,4353,-618,4349,-638,4353,-658,4364,-674,4380,-686,4400,-690,4589,-690,4589,-718,4590,-720,4597,-720,4598,-722,4598,-738,4590,-738,4589,-740,4589,-968,4597,-968,4598,-970,4598,-986,4597,-988,4589,-988,4589,-1138,5334,-1138,5340,-1150,5353,-1170,5367,-1190,5383,-1208,5399,-1226,5407,-1228,5472,-1276,5543,-1308,5617,-1324,5691,-1326xm5000,-332l4967,-332,4971,-328,4982,-328,4994,-330,5000,-332xm4755,-578l4726,-578,4725,-570,4755,-570,4755,-578xm5020,-578l4990,-578,4990,-570,5020,-570,5020,-578xm5334,-1138l5157,-1138,5157,-988,5149,-988,5147,-986,5147,-970,5149,-968,5157,-968,5157,-740,5155,-738,5147,-738,5147,-722,5149,-720,5156,-720,5157,-718,5157,-570,5406,-570,5422,-586,5343,-586,5323,-590,5307,-600,5296,-618,5291,-638,5296,-658,5307,-674,5323,-686,5343,-690,5420,-690,5409,-706,5358,-766,5322,-832,5302,-902,5296,-976,5306,-1054,5303,-1060,5311,-1084,5320,-1108,5329,-1130,5334,-1138xm4728,-580l4726,-578,4754,-578,4728,-580xm5017,-580l4991,-578,5019,-578,5017,-580xm4589,-690l4400,-690,4420,-686,4437,-674,4448,-658,4452,-638,4448,-618,4437,-600,4420,-590,4400,-586,4589,-586,4589,-690xm5420,-690l5343,-690,5363,-686,5380,-674,5391,-658,5395,-638,5391,-618,5380,-600,5363,-590,5343,-586,5422,-586,5426,-590,5439,-630,5433,-672,5420,-690xm4755,-1138l4724,-1138,4725,-1136,4726,-1130,4726,-1128,4754,-1128,4755,-1130,4755,-1138xm5021,-1138l4990,-1138,4990,-1130,4991,-1128,5019,-1128,5020,-1130,5020,-1136,5021,-1138xm4427,-2314l4384,-2302,4308,-2258,4233,-2214,4159,-2172,4085,-2128,4010,-2086,3999,-2078,3989,-2070,3981,-2060,3976,-2052,3976,-2050,3977,-2048,3978,-2046,3884,-1882,3877,-1880,3872,-1872,3868,-1860,3866,-1846,3865,-1834,3865,-1402,3878,-1356,3906,-1324,3945,-1308,3987,-1312,4064,-1326,5840,-1326,5844,-1328,5863,-1350,5793,-1350,5773,-1352,3954,-1352,3934,-1358,3919,-1372,3910,-1390,3909,-1410,3915,-1430,3929,-1444,3947,-1454,5881,-1454,5881,-1544,4225,-1544,4154,-1560,4093,-1594,4045,-1642,4013,-1704,3999,-1776,4005,-1776,4005,-1800,3999,-1800,4001,-1820,4005,-1840,4011,-1860,4018,-1878,4020,-1884,4018,-1888,4014,-1890,3995,-1902,4015,-1936,4053,-1936,4059,-1944,4073,-1958,4089,-1972,4105,-1982,4115,-1982,4129,-1990,4126,-1996,4197,-2020,4267,-2022,4681,-2022,4634,-2056,4583,-2112,4550,-2168,4425,-2168,4406,-2176,4390,-2188,4382,-2206,4380,-2226,4387,-2246,4400,-2262,4418,-2270,4438,-2272,4507,-2272,4501,-2284,4467,-2308,4427,-2314xm5840,-1326l5691,-1326,5763,-1310,5807,-1310,5840,-1326xm5881,-1454l5780,-1454,5800,-1452,5818,-1444,5831,-1428,5838,-1408,5836,-1388,5828,-1370,5812,-1358,5793,-1350,5863,-1350,5870,-1358,5881,-1402,5881,-1454xm5780,-1454l3966,-1454,3986,-1448,4001,-1434,4010,-1416,4011,-1398,4005,-1378,3991,-1362,3973,-1354,3954,-1352,5773,-1352,5755,-1360,5742,-1376,5735,-1396,5737,-1416,5745,-1432,5761,-1446,5780,-1454xm4377,-1848l4252,-1632,4264,-1626,4246,-1596,4239,-1580,4232,-1566,4228,-1554,4225,-1544,5881,-1544,5881,-1642,5881,-1800,5881,-1834,5880,-1842,4389,-1842,4377,-1848xm4681,-2022l4267,-2022,4334,-2004,4392,-1968,4439,-1914,4430,-1906,4423,-1898,4416,-1888,4389,-1842,5880,-1842,5880,-1848,5877,-1860,5873,-1872,5869,-1880,5867,-1882,5862,-1882,5817,-1960,4848,-1960,4824,-1962,4801,-1966,4777,-1972,4772,-1978,4698,-2010,4681,-2022xm4053,-1936l4015,-1936,4034,-1924,4038,-1922,4042,-1924,4046,-1926,4053,-1936xm5314,-2314l5273,-2304,5241,-2278,5222,-2242,5196,-2168,5157,-2104,5107,-2050,5045,-2008,4973,-1978,4968,-1972,4944,-1966,4920,-1962,4896,-1960,5817,-1960,5768,-2046,5770,-2052,5764,-2060,5756,-2070,5746,-2078,5736,-2086,5660,-2130,5596,-2166,5321,-2166,5302,-2168,5284,-2178,5270,-2192,5264,-2212,5265,-2232,5274,-2250,5289,-2264,5309,-2270,5417,-2270,5361,-2302,5314,-2314xm4115,-1982l4105,-1982,4108,-1978,4115,-1982xm5417,-2270l5309,-2270,5328,-2268,5346,-2260,5360,-2244,5366,-2224,5365,-2204,5356,-2188,5341,-2174,5321,-2166,5596,-2166,5512,-2214,5437,-2258,5417,-2270xm4507,-2272l4438,-2272,4457,-2264,4473,-2252,4481,-2234,4483,-2214,4476,-2194,4463,-2178,4445,-2170,4425,-2168,4550,-2168,4545,-2176,4522,-2244,4507,-2272xe" filled="true" fillcolor="#231f20" stroked="false">
              <v:path arrowok="t"/>
              <v:fill type="solid"/>
            </v:shape>
            <v:shape style="position:absolute;left:4416;top:-939;width:74;height:129" coordorigin="4416,-939" coordsize="74,129" path="m4416,-817l4419,-820,4423,-822,4427,-821,4452,-814,4461,-811,4490,-920,4481,-922,4456,-928,4452,-930,4449,-934,4447,-939e" filled="false" stroked="true" strokeweight=".143pt" strokecolor="#ffffff">
              <v:path arrowok="t"/>
            </v:shape>
            <v:shape style="position:absolute;left:4549;top:-2120;width:121;height:119" type="#_x0000_t75" stroked="false">
              <v:imagedata r:id="rId293" o:title=""/>
            </v:shape>
            <v:shape style="position:absolute;left:5498;top:-1369;width:127;height:76" coordorigin="5498,-1369" coordsize="127,76" path="m5624,-1327l5607,-1369,5498,-1340,5501,-1331,5508,-1306,5508,-1301,5506,-1297,5503,-1293e" filled="false" stroked="true" strokeweight=".143pt" strokecolor="#ffffff">
              <v:path arrowok="t"/>
            </v:shape>
            <v:shape style="position:absolute;left:5253;top:-939;width:74;height:129" coordorigin="5253,-939" coordsize="74,129" path="m5327,-817l5325,-820,5321,-822,5316,-821,5291,-814,5283,-811,5253,-920,5263,-922,5287,-928,5292,-930,5294,-934,5296,-939e" filled="false" stroked="true" strokeweight=".143pt" strokecolor="#ffffff">
              <v:path arrowok="t"/>
            </v:shape>
            <v:shape style="position:absolute;left:4122;top:-1371;width:127;height:76" coordorigin="4122,-1371" coordsize="127,76" path="m4122,-1329l4140,-1371,4249,-1342,4245,-1333,4239,-1308,4239,-1303,4241,-1299,4244,-1295e" filled="false" stroked="true" strokeweight=".143pt" strokecolor="#ffffff">
              <v:path arrowok="t"/>
            </v:shape>
            <v:shape style="position:absolute;left:5077;top:-2118;width:121;height:119" type="#_x0000_t75" stroked="false">
              <v:imagedata r:id="rId294" o:title=""/>
            </v:shape>
            <v:shape style="position:absolute;left:4322;top:-717;width:157;height:157" type="#_x0000_t75" stroked="false">
              <v:imagedata r:id="rId295" o:title=""/>
            </v:shape>
            <v:shape style="position:absolute;left:4354;top:-2299;width:155;height:155" type="#_x0000_t75" stroked="false">
              <v:imagedata r:id="rId296" o:title=""/>
            </v:shape>
            <v:shape style="position:absolute;left:5709;top:-1481;width:155;height:155" type="#_x0000_t75" stroked="false">
              <v:imagedata r:id="rId297" o:title=""/>
            </v:shape>
            <v:shape style="position:absolute;left:5265;top:-717;width:157;height:157" type="#_x0000_t75" stroked="false">
              <v:imagedata r:id="rId298" o:title=""/>
            </v:shape>
            <v:shape style="position:absolute;left:3882;top:-1482;width:155;height:155" type="#_x0000_t75" stroked="false">
              <v:imagedata r:id="rId299" o:title=""/>
            </v:shape>
            <v:shape style="position:absolute;left:5237;top:-2297;width:155;height:155" type="#_x0000_t75" stroked="false">
              <v:imagedata r:id="rId300" o:title=""/>
            </v:shape>
            <v:shape style="position:absolute;left:4808;top:-1222;width:135;height:66" coordorigin="4808,-1222" coordsize="135,66" path="m4829,-1157l4829,-1208,4829,-1221,4825,-1222,4823,-1220,4808,-1205,4813,-1200,4822,-1208,4822,-1157,4829,-1157m4848,-1220l4841,-1222,4836,-1202,4843,-1201,4848,-1220m4867,-1220l4860,-1222,4855,-1202,4862,-1201,4867,-1220m4943,-1219l4941,-1221,4935,-1221,4935,-1214,4935,-1165,4883,-1165,4883,-1214,4935,-1214,4935,-1221,4877,-1221,4875,-1219,4875,-1159,4877,-1157,4941,-1157,4943,-1159,4943,-1165,4943,-1214,4943,-1219e" filled="true" fillcolor="#ffffff" stroked="false">
              <v:path arrowok="t"/>
              <v:fill type="solid"/>
            </v:shape>
            <v:shape style="position:absolute;left:4225;top:-1916;width:313;height:371" type="#_x0000_t75" stroked="false">
              <v:imagedata r:id="rId301" o:title=""/>
            </v:shape>
            <w10:wrap type="none"/>
          </v:group>
        </w:pict>
      </w:r>
      <w:r>
        <w:rPr/>
        <w:pict>
          <v:group style="position:absolute;margin-left:376.701996pt;margin-top:-101.279022pt;width:42.25pt;height:81.05pt;mso-position-horizontal-relative:page;mso-position-vertical-relative:paragraph;z-index:-1516816" coordorigin="7534,-2026" coordsize="845,1621">
            <v:shape style="position:absolute;left:7555;top:-1015;width:635;height:611" coordorigin="7555,-1015" coordsize="635,611" path="m7691,-1015l7675,-855,7581,-749,7555,-520,7583,-405,8161,-405,8189,-520,8161,-749,8069,-853,8053,-1013,7691,-1015xe" filled="true" fillcolor="#231f20" stroked="false">
              <v:path arrowok="t"/>
              <v:fill type="solid"/>
            </v:shape>
            <v:shape style="position:absolute;left:7587;top:-981;width:566;height:539" coordorigin="7587,-981" coordsize="566,539" path="m8020,-981l7720,-981,7709,-843,7611,-738,7587,-526,7603,-442,8139,-442,8153,-526,8129,-736,8033,-841,8020,-981xe" filled="true" fillcolor="#ffffff" stroked="false">
              <v:path arrowok="t"/>
              <v:fill type="solid"/>
            </v:shape>
            <v:shape style="position:absolute;left:7623;top:-741;width:489;height:214" coordorigin="7623,-741" coordsize="489,214" path="m8091,-646l8083,-741,7655,-741,7643,-646,8091,-646m8111,-528l8101,-624,7635,-624,7623,-528,8111,-528e" filled="true" fillcolor="#231f20" stroked="false">
              <v:path arrowok="t"/>
              <v:fill type="solid"/>
            </v:shape>
            <v:shape style="position:absolute;left:7659;top:-577;width:413;height:2" coordorigin="7659,-577" coordsize="413,0" path="m7659,-577l7671,-577m7717,-577l7730,-577m7768,-577l7784,-577m7822,-577l7836,-577m7876,-577l7892,-577m7924,-577l7940,-577m7974,-577l7988,-577m8013,-577l8031,-577m8059,-577l8071,-577e" filled="false" stroked="true" strokeweight="2.091pt" strokecolor="#ffffff">
              <v:path arrowok="t"/>
            </v:shape>
            <v:shape style="position:absolute;left:-704;top:5030;width:782;height:854" coordorigin="-704,5030" coordsize="782,854" path="m8287,-1776l8287,-1780,8287,-1780,8287,-1782,8284,-1795,8276,-1806,8266,-1813,8253,-1816,8137,-1816,8066,-1278,8185,-1392,8287,-1776xm8365,-1816l8245,-1358,8049,-1184,8033,-1075,8048,-1075,8057,-1065,8057,-1050,8057,-1039,8048,-1027,8033,-1027,7701,-1027,7687,-1027,7675,-1037,7675,-1050,7675,-1063,7687,-1075,7699,-1075,7583,-1880,8313,-1880,8332,-1876,8349,-1865,8360,-1848,8365,-1828,8365,-1824,8365,-1820,8365,-1816xe" filled="false" stroked="true" strokeweight="1.396pt" strokecolor="#231f20">
              <v:path arrowok="t"/>
            </v:shape>
            <v:shape style="position:absolute;left:-229;top:5098;width:541;height:782" coordorigin="-229,5098" coordsize="541,782" path="m7824,-1800l7827,-1814,7836,-1826,7848,-1833,7862,-1836,7877,-1833,7889,-1826,7897,-1814,7900,-1800,7900,-1798m7824,-1090l7827,-1076,7836,-1065,7848,-1057,7862,-1055,7877,-1057,7889,-1065,7897,-1076,7900,-1090,7900,-1093m7900,-1800l7900,-1086m7824,-1800l7824,-1088m8033,-1075l7894,-1075m7699,-1075l7828,-1075m7685,-1176l7824,-1176m7671,-1296l7824,-1296m7649,-1421l7824,-1421m7631,-1553l7824,-1551m7611,-1677l7824,-1677m7595,-1806l7824,-1806m7900,-1176l8046,-1176m7900,-1296l8059,-1296m7900,-1421l8079,-1421m7900,-1551l8095,-1553m7900,-1677l8115,-1677m7900,-1806l8135,-1806e" filled="false" stroked="true" strokeweight=".299pt" strokecolor="#231f20">
              <v:path arrowok="t"/>
            </v:shape>
            <v:line style="position:absolute" from="7559,-1919" to="8155,-1919" stroked="true" strokeweight="2.492pt" strokecolor="#231f20"/>
            <v:rect style="position:absolute;left:7786;top:-2012;width:141;height:68" filled="false" stroked="true" strokeweight="1.396pt" strokecolor="#231f20"/>
            <v:shape style="position:absolute;left:0;top:5134;width:114;height:72" coordorigin="0,5134" coordsize="114,72" path="m7802,-2012l7802,-1944m7838,-2012l7838,-1944m7876,-2012l7876,-1940m7916,-2012l7916,-1940e" filled="false" stroked="true" strokeweight=".299pt" strokecolor="#231f20">
              <v:path arrowok="t"/>
            </v:shape>
            <w10:wrap type="none"/>
          </v:group>
        </w:pict>
      </w:r>
      <w:r>
        <w:rPr/>
        <w:pict>
          <v:group style="position:absolute;margin-left:458.628998pt;margin-top:-107.368446pt;width:86.3pt;height:81.1pt;mso-position-horizontal-relative:page;mso-position-vertical-relative:paragraph;z-index:-1516744" coordorigin="9173,-2147" coordsize="1726,1622">
            <v:shape style="position:absolute;left:-427;top:5091;width:448;height:99" coordorigin="-427,5091" coordsize="448,99" path="m9608,-985l9609,-995,9610,-1007,9615,-1019,9627,-1028,9625,-1028m9196,-1004l9221,-991,9234,-977,9239,-958,9239,-929m9277,-1028l9254,-1027,9227,-1025,9201,-1020,9180,-1010,9187,-1008,9193,-1006,9196,-1004e" filled="false" stroked="true" strokeweight=".718pt" strokecolor="#231f20">
              <v:path arrowok="t"/>
            </v:shape>
            <v:line style="position:absolute" from="9277,-1030" to="9629,-1030" stroked="true" strokeweight=".718pt" strokecolor="#231f20"/>
            <v:shape style="position:absolute;left:9552;top:-591;width:60;height:58" coordorigin="9552,-591" coordsize="60,58" path="m9552,-534l9575,-538,9594,-551,9606,-569,9611,-591e" filled="false" stroked="true" strokeweight=".718pt" strokecolor="#231f20">
              <v:path arrowok="t"/>
            </v:shape>
            <v:shape style="position:absolute;left:-2;top:5134;width:88;height:327" coordorigin="-2,5134" coordsize="88,327" path="m9419,-927l9503,-927m9419,-897l9503,-897m9421,-868l9503,-871m9419,-839l9503,-836m9421,-809l9505,-809m9421,-780l9505,-780m9421,-751l9505,-751m9419,-721l9503,-721m9417,-690l9502,-688m9421,-659l9505,-656m9417,-633l9498,-635m9419,-600l9505,-604m9419,-925l9419,-600e" filled="false" stroked="true" strokeweight=".269pt" strokecolor="#231f20">
              <v:path arrowok="t"/>
            </v:shape>
            <v:line style="position:absolute" from="9611,-986" to="9611,-588" stroked="true" strokeweight=".718pt" strokecolor="#231f20"/>
            <v:shape style="position:absolute;left:9236;top:-595;width:62;height:62" coordorigin="9236,-595" coordsize="62,62" path="m9236,-595l9240,-571,9253,-552,9273,-539,9297,-534e" filled="false" stroked="true" strokeweight=".718pt" strokecolor="#231f20">
              <v:path arrowok="t"/>
            </v:shape>
            <v:shape style="position:absolute;left:-36;top:5233;width:313;height:395" coordorigin="-36,5233" coordsize="313,395" path="m9554,-536l9297,-536m9241,-591l9241,-931e" filled="false" stroked="true" strokeweight=".718pt" strokecolor="#231f20">
              <v:path arrowok="t"/>
            </v:shape>
            <v:shape style="position:absolute;left:-429;top:5015;width:1225;height:1173" coordorigin="-429,5015" coordsize="1225,1173" path="m9977,-2015l9979,-2013,9976,-2019,9974,-2019,9956,-2022,9939,-2017,9926,-2006,9916,-1990,9866,-1852,10480,-1530,10399,-1726,9977,-2015xm9965,-2125l10466,-1784,10590,-1473,10714,-1403,10720,-1415,10729,-1422,10741,-1426,10753,-1425,10763,-1418,10770,-1408,10773,-1396,10771,-1383,10627,-985,10620,-972,10611,-964,10599,-961,10586,-963,10576,-970,10569,-979,10566,-990,10568,-1001,9548,-1213,9866,-2092,9880,-2115,9901,-2129,9925,-2134,9950,-2130,9956,-2128,9961,-2127,9965,-2125xe" filled="false" stroked="true" strokeweight="1.257pt" strokecolor="#231f20">
              <v:path arrowok="t"/>
            </v:shape>
            <v:shape style="position:absolute;left:-110;top:4755;width:1076;height:846" coordorigin="-110,4755" coordsize="1076,846" path="m9749,-1469l9733,-1481,9722,-1496,9718,-1514,9721,-1532,9730,-1548,9745,-1558,9763,-1562,9782,-1559m10602,-1162l10620,-1159,10638,-1164,10653,-1175,10663,-1191,10666,-1209,10661,-1226,10650,-1241,10634,-1250,10631,-1252m9780,-1559l10642,-1249m9747,-1471l10604,-1161m10715,-1407l10652,-1236m10568,-1003l10624,-1157m10441,-1030l10502,-1198m10290,-1063l10354,-1250m10127,-1094l10204,-1306m9961,-1130l10047,-1362m9800,-1159l9897,-1417m9640,-1198l9740,-1473m10532,-1286l10597,-1464m10387,-1340l10459,-1534m10236,-1394l10313,-1611m10080,-1452l10162,-1690m9929,-1505l10021,-1766m9773,-1563l9875,-1848e" filled="false" stroked="true" strokeweight=".269pt" strokecolor="#231f20">
              <v:path arrowok="t"/>
            </v:shape>
            <v:shape style="position:absolute;left:10633;top:-1376;width:266;height:433" type="#_x0000_t75" stroked="false">
              <v:imagedata r:id="rId302" o:title=""/>
            </v:shape>
            <w10:wrap type="none"/>
          </v:group>
        </w:pict>
      </w:r>
      <w:r>
        <w:rPr>
          <w:b/>
          <w:sz w:val="20"/>
        </w:rPr>
        <w:t>1.   </w:t>
      </w:r>
      <w:r>
        <w:rPr>
          <w:sz w:val="20"/>
        </w:rPr>
        <w:t>Select</w:t>
      </w:r>
      <w:r>
        <w:rPr>
          <w:spacing w:val="23"/>
          <w:sz w:val="20"/>
        </w:rPr>
        <w:t> </w:t>
      </w:r>
      <w:r>
        <w:rPr>
          <w:sz w:val="20"/>
        </w:rPr>
        <w:t>the</w:t>
      </w:r>
      <w:r>
        <w:rPr>
          <w:spacing w:val="-2"/>
          <w:sz w:val="20"/>
        </w:rPr>
        <w:t> </w:t>
      </w:r>
      <w:r>
        <w:rPr>
          <w:sz w:val="20"/>
        </w:rPr>
        <w:t>test.</w:t>
        <w:tab/>
      </w:r>
      <w:r>
        <w:rPr>
          <w:b/>
          <w:sz w:val="20"/>
        </w:rPr>
        <w:t>2.   </w:t>
      </w:r>
      <w:r>
        <w:rPr>
          <w:sz w:val="20"/>
        </w:rPr>
        <w:t>Insert the</w:t>
      </w:r>
      <w:r>
        <w:rPr>
          <w:spacing w:val="24"/>
          <w:sz w:val="20"/>
        </w:rPr>
        <w:t> </w:t>
      </w:r>
      <w:r>
        <w:rPr>
          <w:sz w:val="20"/>
        </w:rPr>
        <w:t>Multi-cell</w:t>
      </w:r>
    </w:p>
    <w:p>
      <w:pPr>
        <w:spacing w:line="249" w:lineRule="auto" w:before="10"/>
        <w:ind w:left="2704" w:right="-8" w:firstLine="0"/>
        <w:jc w:val="left"/>
        <w:rPr>
          <w:sz w:val="20"/>
        </w:rPr>
      </w:pPr>
      <w:r>
        <w:rPr>
          <w:sz w:val="20"/>
        </w:rPr>
        <w:t>Adapter with the 1-inch square cell holder</w:t>
      </w:r>
      <w:r>
        <w:rPr>
          <w:spacing w:val="-18"/>
          <w:sz w:val="20"/>
        </w:rPr>
        <w:t> </w:t>
      </w:r>
      <w:r>
        <w:rPr>
          <w:sz w:val="20"/>
        </w:rPr>
        <w:t>facing the</w:t>
      </w:r>
      <w:r>
        <w:rPr>
          <w:spacing w:val="-14"/>
          <w:sz w:val="20"/>
        </w:rPr>
        <w:t> </w:t>
      </w:r>
      <w:r>
        <w:rPr>
          <w:sz w:val="20"/>
        </w:rPr>
        <w:t>user.</w:t>
      </w:r>
    </w:p>
    <w:p>
      <w:pPr>
        <w:pStyle w:val="ListParagraph"/>
        <w:numPr>
          <w:ilvl w:val="0"/>
          <w:numId w:val="29"/>
        </w:numPr>
        <w:tabs>
          <w:tab w:pos="500" w:val="left" w:leader="none"/>
        </w:tabs>
        <w:spacing w:line="249" w:lineRule="auto" w:before="6" w:after="0"/>
        <w:ind w:left="140" w:right="0" w:firstLine="0"/>
        <w:jc w:val="left"/>
        <w:rPr>
          <w:sz w:val="20"/>
        </w:rPr>
      </w:pPr>
      <w:r>
        <w:rPr>
          <w:w w:val="99"/>
          <w:sz w:val="20"/>
        </w:rPr>
        <w:br w:type="column"/>
      </w:r>
      <w:r>
        <w:rPr>
          <w:sz w:val="20"/>
        </w:rPr>
        <w:t>Blend 500 mL of sample in a blender at high speed for exactly</w:t>
      </w:r>
      <w:r>
        <w:rPr>
          <w:spacing w:val="-25"/>
          <w:sz w:val="20"/>
        </w:rPr>
        <w:t> </w:t>
      </w:r>
      <w:r>
        <w:rPr>
          <w:sz w:val="20"/>
        </w:rPr>
        <w:t>two minutes.</w:t>
      </w:r>
    </w:p>
    <w:p>
      <w:pPr>
        <w:pStyle w:val="ListParagraph"/>
        <w:numPr>
          <w:ilvl w:val="0"/>
          <w:numId w:val="29"/>
        </w:numPr>
        <w:tabs>
          <w:tab w:pos="500" w:val="left" w:leader="none"/>
        </w:tabs>
        <w:spacing w:line="249" w:lineRule="auto" w:before="6" w:after="0"/>
        <w:ind w:left="140" w:right="642" w:firstLine="0"/>
        <w:jc w:val="both"/>
        <w:rPr>
          <w:sz w:val="20"/>
        </w:rPr>
      </w:pPr>
      <w:r>
        <w:rPr>
          <w:spacing w:val="-11"/>
          <w:w w:val="99"/>
          <w:sz w:val="20"/>
        </w:rPr>
        <w:br w:type="column"/>
      </w:r>
      <w:r>
        <w:rPr>
          <w:spacing w:val="-3"/>
          <w:sz w:val="20"/>
        </w:rPr>
        <w:t>Pour </w:t>
      </w:r>
      <w:r>
        <w:rPr>
          <w:sz w:val="20"/>
        </w:rPr>
        <w:t>the blended sample into a</w:t>
      </w:r>
      <w:r>
        <w:rPr>
          <w:spacing w:val="-12"/>
          <w:sz w:val="20"/>
        </w:rPr>
        <w:t> </w:t>
      </w:r>
      <w:r>
        <w:rPr>
          <w:sz w:val="20"/>
        </w:rPr>
        <w:t>600-mL </w:t>
      </w:r>
      <w:r>
        <w:rPr>
          <w:spacing w:val="-3"/>
          <w:sz w:val="20"/>
        </w:rPr>
        <w:t>beaker.</w:t>
      </w:r>
    </w:p>
    <w:p>
      <w:pPr>
        <w:spacing w:after="0" w:line="249" w:lineRule="auto"/>
        <w:jc w:val="both"/>
        <w:rPr>
          <w:sz w:val="20"/>
        </w:rPr>
        <w:sectPr>
          <w:type w:val="continuous"/>
          <w:pgSz w:w="11900" w:h="15840"/>
          <w:pgMar w:top="0" w:bottom="0" w:left="940" w:right="560"/>
          <w:cols w:num="3" w:equalWidth="0">
            <w:col w:w="4866" w:space="264"/>
            <w:col w:w="2437" w:space="127"/>
            <w:col w:w="270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after="1"/>
        <w:rPr>
          <w:sz w:val="29"/>
        </w:rPr>
      </w:pPr>
    </w:p>
    <w:p>
      <w:pPr>
        <w:pStyle w:val="BodyText"/>
        <w:spacing w:line="21" w:lineRule="exact"/>
        <w:ind w:left="129"/>
        <w:rPr>
          <w:sz w:val="2"/>
        </w:rPr>
      </w:pPr>
      <w:r>
        <w:rPr>
          <w:sz w:val="2"/>
        </w:rPr>
        <w:pict>
          <v:group style="width:505.05pt;height:1.05pt;mso-position-horizontal-relative:char;mso-position-vertical-relative:line" coordorigin="0,0" coordsize="10101,21">
            <v:line style="position:absolute" from="10,10" to="10,10" stroked="true" strokeweight="1.02pt" strokecolor="#000000"/>
            <v:line style="position:absolute" from="10,10" to="10090,10" stroked="true" strokeweight="1.02pt" strokecolor="#000000"/>
          </v:group>
        </w:pict>
      </w:r>
      <w:r>
        <w:rPr>
          <w:sz w:val="2"/>
        </w:rPr>
      </w:r>
    </w:p>
    <w:p>
      <w:pPr>
        <w:spacing w:before="6"/>
        <w:ind w:left="0" w:right="202" w:firstLine="0"/>
        <w:jc w:val="right"/>
        <w:rPr>
          <w:b/>
          <w:sz w:val="20"/>
        </w:rPr>
      </w:pPr>
      <w:r>
        <w:rPr>
          <w:b/>
          <w:sz w:val="20"/>
        </w:rPr>
        <w:t>Suspended Solids</w:t>
      </w:r>
    </w:p>
    <w:p>
      <w:pPr>
        <w:tabs>
          <w:tab w:pos="9004" w:val="left" w:leader="none"/>
        </w:tabs>
        <w:spacing w:before="10"/>
        <w:ind w:left="0" w:right="203" w:firstLine="0"/>
        <w:jc w:val="right"/>
        <w:rPr>
          <w:b/>
          <w:sz w:val="20"/>
        </w:rPr>
      </w:pPr>
      <w:r>
        <w:rPr>
          <w:sz w:val="14"/>
        </w:rPr>
        <w:t>SuspendedSolids_8006_Photometric.fm</w:t>
        <w:tab/>
      </w:r>
      <w:r>
        <w:rPr>
          <w:b/>
          <w:sz w:val="20"/>
        </w:rPr>
        <w:t>Page 1 of</w:t>
      </w:r>
      <w:r>
        <w:rPr>
          <w:b/>
          <w:spacing w:val="-11"/>
          <w:sz w:val="20"/>
        </w:rPr>
        <w:t> </w:t>
      </w:r>
      <w:r>
        <w:rPr>
          <w:b/>
          <w:sz w:val="20"/>
        </w:rPr>
        <w:t>4</w:t>
      </w:r>
    </w:p>
    <w:p>
      <w:pPr>
        <w:spacing w:after="0"/>
        <w:jc w:val="right"/>
        <w:rPr>
          <w:sz w:val="20"/>
        </w:rPr>
        <w:sectPr>
          <w:type w:val="continuous"/>
          <w:pgSz w:w="11900" w:h="15840"/>
          <w:pgMar w:top="0" w:bottom="0" w:left="940" w:right="560"/>
        </w:sectPr>
      </w:pPr>
    </w:p>
    <w:p>
      <w:pPr>
        <w:pStyle w:val="Heading4"/>
        <w:ind w:right="1109"/>
      </w:pPr>
      <w:r>
        <w:rPr/>
        <w:pict>
          <v:group style="position:absolute;margin-left:35.715pt;margin-top:21.080879pt;width:505.15pt;height:1.05pt;mso-position-horizontal-relative:page;mso-position-vertical-relative:paragraph;z-index:15088;mso-wrap-distance-left:0;mso-wrap-distance-right:0" coordorigin="714,422" coordsize="10103,21">
            <v:line style="position:absolute" from="725,432" to="725,432" stroked="true" strokeweight="1.02pt" strokecolor="#000000"/>
            <v:line style="position:absolute" from="725,432" to="10806,432" stroked="true" strokeweight="1.02pt" strokecolor="#000000"/>
            <w10:wrap type="topAndBottom"/>
          </v:group>
        </w:pict>
      </w:r>
      <w:r>
        <w:rPr/>
        <w:pict>
          <v:group style="position:absolute;margin-left:36.240002pt;margin-top:41.825897pt;width:122.5pt;height:122.55pt;mso-position-horizontal-relative:page;mso-position-vertical-relative:paragraph;z-index:15112;mso-wrap-distance-left:0;mso-wrap-distance-right:0" coordorigin="725,837" coordsize="2450,2451">
            <v:shape style="position:absolute;left:1578;top:840;width:1393;height:1019" coordorigin="1578,840" coordsize="1393,1019" path="m1662,1401l1623,1468,1628,1460,1634,1453,1663,1425,1684,1414,1705,1418,1736,1434,2434,1837,2498,1858,2564,1852,2624,1821,2670,1768,2948,1287,2970,1220,2968,1166,2645,1724,2605,1772,2555,1799,2499,1805,2443,1786,1776,1401,1735,1379,1710,1373,1690,1381,1666,1402,1662,1401xm2864,1033l2841,1073,2862,1084,2902,1121,2927,1187,2898,1286,2968,1166,2967,1153,2940,1093,2890,1048,2864,1033xm2435,840l2692,987,2854,1081,2841,1073,2864,1033,2528,840,2435,840xm1883,840l1611,1312,1589,1366,1578,1428,1583,1475,1613,1487,1619,1477,1623,1468,1662,1401,1647,1399,1640,1385,1645,1362,1659,1334,1942,840,1883,840xe" filled="true" fillcolor="#231f20" stroked="false">
              <v:path arrowok="t"/>
              <v:fill type="solid"/>
            </v:shape>
            <v:shape style="position:absolute;left:1640;top:840;width:1287;height:966" coordorigin="1640,840" coordsize="1287,966" path="m1776,1401l1735,1379,1710,1373,1690,1381,1666,1402,1647,1399,1640,1385,1645,1362,1659,1334,1942,840,2435,840,2483,867,2557,910,2627,950,2692,987,2748,1020,2829,1066,2854,1081,2841,1073,2862,1084,2902,1121,2927,1187,2898,1286,2645,1724,2605,1772,2555,1799,2499,1805,2443,1786,2365,1741,2287,1696,2209,1651,2134,1607,2061,1565,1992,1526,1928,1489,1870,1455,1819,1426,1776,1401e" filled="false" stroked="true" strokeweight=".265272pt" strokecolor="#ffffff">
              <v:path arrowok="t"/>
            </v:shape>
            <v:line style="position:absolute" from="1998,1167" to="2621,1527" stroked="true" strokeweight=".256742pt" strokecolor="#231f20"/>
            <v:line style="position:absolute" from="1998,1167" to="2073,1036" stroked="true" strokeweight=".259529pt" strokecolor="#231f20"/>
            <v:line style="position:absolute" from="2122,1239" to="2198,1108" stroked="true" strokeweight=".259529pt" strokecolor="#231f20"/>
            <v:line style="position:absolute" from="2247,1311" to="2323,1180" stroked="true" strokeweight=".259528pt" strokecolor="#231f20"/>
            <v:line style="position:absolute" from="2372,1383" to="2447,1252" stroked="true" strokeweight=".259529pt" strokecolor="#231f20"/>
            <v:line style="position:absolute" from="2497,1455" to="2572,1324" stroked="true" strokeweight=".259529pt" strokecolor="#231f20"/>
            <v:line style="position:absolute" from="2621,1527" to="2697,1396" stroked="true" strokeweight=".259529pt" strokecolor="#231f20"/>
            <v:rect style="position:absolute;left:845;top:840;width:2329;height:120" filled="true" fillcolor="#b3b3b3" stroked="false">
              <v:fill type="solid"/>
            </v:rect>
            <v:rect style="position:absolute;left:3054;top:900;width:120;height:2388" filled="true" fillcolor="#b3b3b3" stroked="false">
              <v:fill type="solid"/>
            </v:rect>
            <v:rect style="position:absolute;left:725;top:3168;width:2389;height:120" filled="true" fillcolor="#b3b3b3" stroked="false">
              <v:fill type="solid"/>
            </v:rect>
            <v:rect style="position:absolute;left:725;top:840;width:120;height:2388" filled="true" fillcolor="#b3b3b3" stroked="false">
              <v:fill type="solid"/>
            </v:rect>
            <w10:wrap type="topAndBottom"/>
          </v:group>
        </w:pict>
      </w:r>
      <w:r>
        <w:rPr/>
        <w:pict>
          <v:group style="position:absolute;margin-left:164.520004pt;margin-top:41.800858pt;width:122.6pt;height:122.6pt;mso-position-horizontal-relative:page;mso-position-vertical-relative:paragraph;z-index:15136;mso-wrap-distance-left:0;mso-wrap-distance-right:0" coordorigin="3290,836" coordsize="2452,2452">
            <v:shape style="position:absolute;left:4411;top:840;width:6;height:3" coordorigin="4411,840" coordsize="6,3" path="m4414,842l4411,840,4416,840,4414,842xe" filled="true" fillcolor="#231f20" stroked="false">
              <v:path arrowok="t"/>
              <v:fill type="solid"/>
            </v:shape>
            <v:shape style="position:absolute;left:4350;top:840;width:29;height:15" coordorigin="4350,840" coordsize="29,15" path="m4378,840l4350,840,4364,854,4378,840xe" filled="true" fillcolor="#231f20" stroked="false">
              <v:path arrowok="t"/>
              <v:fill type="solid"/>
            </v:shape>
            <v:shape style="position:absolute;left:4337;top:1415;width:88;height:408" coordorigin="4337,1415" coordsize="88,408" path="m4337,1415l4385,1821,4425,1823,4423,1422,4337,1415xe" filled="true" fillcolor="#231f20" stroked="false">
              <v:path arrowok="t"/>
              <v:fill type="solid"/>
            </v:shape>
            <v:shape style="position:absolute;left:4365;top:1444;width:39;height:344" coordorigin="4365,1444" coordsize="39,344" path="m4365,1444l4396,1786,4403,1787,4401,1446,4365,1444xe" filled="true" fillcolor="#ffffff" stroked="false">
              <v:path arrowok="t"/>
              <v:fill type="solid"/>
            </v:shape>
            <v:shape style="position:absolute;left:4365;top:1444;width:39;height:344" coordorigin="4365,1444" coordsize="39,344" path="m4401,1446l4365,1444,4396,1786,4403,1787,4401,1446e" filled="false" stroked="true" strokeweight=".047pt" strokecolor="#231f20">
              <v:path arrowok="t"/>
            </v:shape>
            <v:shape style="position:absolute;left:4308;top:840;width:1431;height:1339" coordorigin="4308,840" coordsize="1431,1339" path="m5738,1312l4479,1312,4497,1314,4515,1323,5307,2114,5376,2161,5454,2178,5531,2165,5598,2123,5738,1982,5738,1312xm5317,840l4485,840,4449,876,4501,929,4510,953,4511,979,4506,1002,4495,1020,4479,1037,4465,1055,4454,1074,4446,1095,4395,1098,4360,1111,4336,1130,4320,1151,4308,1203,4309,1277,4317,1356,4326,1422,4432,1432,4432,1415,4435,1380,4442,1342,4455,1319,4465,1315,4479,1312,5738,1312,5738,1261,5317,840xe" filled="true" fillcolor="#231f20" stroked="false">
              <v:path arrowok="t"/>
              <v:fill type="solid"/>
            </v:shape>
            <v:shape style="position:absolute;left:4343;top:840;width:1396;height:1291" coordorigin="4343,840" coordsize="1396,1291" path="m5686,1268l4474,1268,4504,1271,4537,1289,5321,2073,5382,2115,5451,2130,5521,2116,5587,2072,5738,1920,5738,1321,5686,1268xm4436,1132l4406,1135,4382,1146,4358,1168,4345,1207,4343,1267,4347,1331,4354,1384,4399,1390,4400,1375,4404,1343,4414,1308,4432,1283,4450,1274,4474,1268,5686,1268,5551,1133,4477,1133,4436,1132xm5258,840l4540,840,4508,872,4536,901,4554,935,4558,975,4551,1013,4536,1042,4516,1066,4498,1089,4484,1111,4477,1133,5551,1133,5258,840xe" filled="true" fillcolor="#ffffff" stroked="false">
              <v:path arrowok="t"/>
              <v:fill type="solid"/>
            </v:shape>
            <v:shape style="position:absolute;left:4343;top:840;width:1396;height:1291" coordorigin="4343,840" coordsize="1396,1291" path="m4477,1133l4406,1135,4345,1207,4343,1267,4347,1331,4354,1384,4399,1390,4400,1375,4404,1343,4414,1308,4432,1283,4450,1274,4474,1268,4504,1271,4561,1313,4565,1318,5321,2073,5382,2115,5451,2130,5521,2116,5587,2072,5738,1920,5738,1321,5258,840,4540,840,4508,872,4536,901,4554,935,4558,975,4551,1013,4536,1042,4516,1066,4498,1089,4484,1111,4477,1133e" filled="false" stroked="true" strokeweight=".311pt" strokecolor="#ffffff">
              <v:path arrowok="t"/>
            </v:shape>
            <v:line style="position:absolute" from="5015,840" to="4591,1263" stroked="true" strokeweight=".311pt" strokecolor="#231f20"/>
            <v:shape style="position:absolute;left:4381;top:840;width:105;height:70" coordorigin="4381,840" coordsize="105,70" path="m4415,909l4381,875,4416,840,4485,840,4415,909xe" filled="true" fillcolor="#231f20" stroked="false">
              <v:path arrowok="t"/>
              <v:fill type="solid"/>
            </v:shape>
            <v:shape style="position:absolute;left:4381;top:840;width:105;height:70" coordorigin="4381,840" coordsize="105,70" path="m4416,840l4381,875,4415,909,4485,840,4416,840e" filled="false" stroked="true" strokeweight=".307866pt" strokecolor="#ffffff">
              <v:path arrowok="t"/>
            </v:shape>
            <v:rect style="position:absolute;left:3572;top:1956;width:845;height:1025" filled="true" fillcolor="#ffffff" stroked="false">
              <v:fill type="solid"/>
            </v:rect>
            <v:shape style="position:absolute;left:3585;top:1972;width:569;height:993" coordorigin="3585,1972" coordsize="569,993" path="m3869,2964l3657,2964,3631,2961,3608,2953,3591,2940,3585,2920,3585,2845,3585,2769,3585,2316,3592,2294,3608,2274,3631,2261,3657,2256,3657,2208,3657,2160,3657,2112,3657,2064,3633,2049,3625,2018,3634,1986,3657,1972,3710,1972,3763,1972,4081,1972,4105,1986,4113,2018,4106,2049,4081,2064,4081,2112,4081,2160,4081,2208,4081,2256,4107,2261,4130,2274,4147,2294,4153,2316,4153,2392,4153,2467,4153,2920,4147,2940,4131,2953,4108,2961,4081,2964,3869,2964xe" filled="false" stroked="true" strokeweight=".792pt" strokecolor="#231f20">
              <v:path arrowok="t"/>
            </v:shape>
            <v:line style="position:absolute" from="3869,2064" to="4081,2064" stroked="true" strokeweight=".396pt" strokecolor="#231f20"/>
            <v:line style="position:absolute" from="3869,2064" to="3657,2064" stroked="true" strokeweight=".396pt" strokecolor="#231f20"/>
            <v:line style="position:absolute" from="3869,2256" to="4081,2256" stroked="true" strokeweight=".396pt" strokecolor="#231f20"/>
            <v:line style="position:absolute" from="3869,2256" to="3657,2256" stroked="true" strokeweight=".396pt" strokecolor="#231f20"/>
            <v:shape style="position:absolute;left:3680;top:2452;width:378;height:117" type="#_x0000_t75" stroked="false">
              <v:imagedata r:id="rId305" o:title=""/>
            </v:shape>
            <v:shape style="position:absolute;left:4162;top:2496;width:246;height:127" type="#_x0000_t75" stroked="false">
              <v:imagedata r:id="rId306" o:title=""/>
            </v:shape>
            <v:rect style="position:absolute;left:3410;top:840;width:2328;height:120" filled="true" fillcolor="#b3b3b3" stroked="false">
              <v:fill type="solid"/>
            </v:rect>
            <v:rect style="position:absolute;left:5618;top:900;width:120;height:2388" filled="true" fillcolor="#b3b3b3" stroked="false">
              <v:fill type="solid"/>
            </v:rect>
            <v:rect style="position:absolute;left:3290;top:3168;width:2388;height:120" filled="true" fillcolor="#b3b3b3" stroked="false">
              <v:fill type="solid"/>
            </v:rect>
            <v:rect style="position:absolute;left:3290;top:840;width:120;height:2388" filled="true" fillcolor="#b3b3b3" stroked="false">
              <v:fill type="solid"/>
            </v:rect>
            <w10:wrap type="topAndBottom"/>
          </v:group>
        </w:pict>
      </w:r>
      <w:r>
        <w:rPr/>
        <w:pict>
          <v:group style="position:absolute;margin-left:292.799988pt;margin-top:41.97588pt;width:122.4pt;height:122.4pt;mso-position-horizontal-relative:page;mso-position-vertical-relative:paragraph;z-index:15160;mso-wrap-distance-left:0;mso-wrap-distance-right:0" coordorigin="5856,840" coordsize="2448,2448">
            <v:shape style="position:absolute;left:6835;top:1798;width:1298;height:1304" coordorigin="6835,1798" coordsize="1298,1304" path="m8133,2694l6835,2694,7484,3101,8133,2694xm7895,1798l7073,1798,7073,2694,7895,2694,7895,1798xe" filled="true" fillcolor="#231f20" stroked="false">
              <v:path arrowok="t"/>
              <v:fill type="solid"/>
            </v:shape>
            <v:shape style="position:absolute;left:7293;top:2020;width:382;height:666" coordorigin="7293,2020" coordsize="382,666" path="m7484,2685l7342,2685,7324,2683,7309,2678,7298,2669,7293,2656,7293,2575,7293,2494,7293,2413,7293,2332,7293,2251,7298,2235,7309,2222,7324,2213,7342,2210,7342,2178,7342,2146,7342,2114,7342,2081,7325,2072,7320,2051,7326,2029,7342,2020,7377,2020,7413,2020,7626,2020,7642,2029,7647,2051,7642,2072,7626,2081,7626,2114,7626,2146,7626,2178,7626,2210,7643,2213,7659,2222,7670,2235,7674,2251,7674,2332,7674,2413,7674,2494,7674,2575,7674,2656,7670,2669,7659,2678,7644,2683,7626,2685,7484,2685xe" filled="false" stroked="true" strokeweight="2.31pt" strokecolor="#ffffff">
              <v:path arrowok="t"/>
            </v:shape>
            <v:line style="position:absolute" from="7484,2081" to="7626,2081" stroked="true" strokeweight=".495pt" strokecolor="#231f20"/>
            <v:line style="position:absolute" from="7484,2081" to="7342,2081" stroked="true" strokeweight=".495pt" strokecolor="#231f20"/>
            <v:line style="position:absolute" from="7484,2210" to="7626,2210" stroked="true" strokeweight=".495pt" strokecolor="#231f20"/>
            <v:line style="position:absolute" from="7484,2210" to="7342,2210" stroked="true" strokeweight=".495pt" strokecolor="#231f20"/>
            <v:line style="position:absolute" from="7363,2414" to="7604,2414" stroked="true" strokeweight=".622pt" strokecolor="#231f20"/>
            <v:shape style="position:absolute;left:7396;top:2342;width:183;height:49" coordorigin="7396,2342" coordsize="183,49" path="m7417,2342l7409,2342,7409,2346,7407,2351,7396,2351,7396,2357,7408,2357,7408,2389,7417,2389,7417,2342xm7457,2342l7436,2342,7431,2350,7431,2383,7436,2390,7457,2390,7462,2383,7441,2383,7440,2378,7440,2354,7441,2350,7462,2350,7457,2342xm7462,2350l7452,2350,7453,2354,7453,2378,7452,2383,7462,2383,7462,2350xm7496,2354l7487,2354,7487,2389,7496,2389,7496,2364,7498,2361,7537,2361,7537,2359,7496,2359,7496,2354xm7518,2361l7507,2361,7507,2389,7517,2389,7517,2364,7518,2361xm7537,2361l7525,2361,7528,2363,7528,2389,7537,2389,7537,2361xm7511,2353l7500,2353,7497,2357,7496,2359,7537,2359,7537,2359,7515,2359,7513,2355,7511,2353xm7532,2353l7519,2353,7517,2357,7515,2359,7537,2359,7537,2357,7532,2353xm7556,2342l7546,2342,7546,2389,7579,2389,7579,2380,7556,2380,7556,2342xe" filled="true" fillcolor="#231f20" stroked="false">
              <v:path arrowok="t"/>
              <v:fill type="solid"/>
            </v:shape>
            <v:shape style="position:absolute;left:7293;top:2020;width:382;height:666" coordorigin="7293,2020" coordsize="382,666" path="m7626,2020l7342,2020,7326,2029,7320,2051,7325,2072,7342,2081,7342,2210,7324,2213,7309,2222,7298,2235,7293,2251,7293,2656,7298,2669,7309,2678,7324,2683,7342,2685,7626,2685,7644,2683,7659,2678,7670,2669,7674,2656,7674,2251,7670,2235,7659,2222,7643,2213,7626,2210,7626,2081,7642,2072,7647,2051,7642,2029,7626,2020xe" filled="true" fillcolor="#ffffff" stroked="false">
              <v:path arrowok="t"/>
              <v:fill type="solid"/>
            </v:shape>
            <v:shape style="position:absolute;left:7293;top:2020;width:382;height:666" coordorigin="7293,2020" coordsize="382,666" path="m7484,2685l7342,2685,7324,2683,7309,2678,7298,2669,7293,2656,7293,2575,7293,2494,7293,2413,7293,2332,7293,2251,7298,2235,7309,2222,7324,2213,7342,2210,7342,2178,7342,2146,7342,2114,7342,2081,7325,2072,7320,2051,7326,2029,7342,2020,7377,2020,7413,2020,7626,2020,7642,2029,7647,2051,7642,2072,7626,2081,7626,2114,7626,2146,7626,2178,7626,2210,7643,2213,7659,2222,7670,2235,7674,2251,7674,2332,7674,2413,7674,2494,7674,2575,7674,2656,7670,2669,7659,2678,7644,2683,7626,2685,7484,2685xe" filled="false" stroked="true" strokeweight=".99pt" strokecolor="#231f20">
              <v:path arrowok="t"/>
            </v:shape>
            <v:line style="position:absolute" from="7484,2081" to="7626,2081" stroked="true" strokeweight=".495pt" strokecolor="#231f20"/>
            <v:line style="position:absolute" from="7484,2081" to="7342,2081" stroked="true" strokeweight=".495pt" strokecolor="#231f20"/>
            <v:line style="position:absolute" from="7484,2210" to="7626,2210" stroked="true" strokeweight=".495pt" strokecolor="#231f20"/>
            <v:line style="position:absolute" from="7484,2210" to="7342,2210" stroked="true" strokeweight=".495pt" strokecolor="#231f20"/>
            <v:line style="position:absolute" from="7363,2414" to="7604,2414" stroked="true" strokeweight=".622pt" strokecolor="#231f20"/>
            <v:shape style="position:absolute;left:7396;top:2342;width:183;height:49" coordorigin="7396,2342" coordsize="183,49" path="m7417,2342l7409,2342,7409,2346,7407,2351,7396,2351,7396,2357,7408,2357,7408,2389,7417,2389,7417,2342xm7457,2342l7436,2342,7431,2350,7431,2383,7436,2390,7457,2390,7462,2383,7441,2383,7440,2378,7440,2354,7441,2350,7462,2350,7457,2342xm7462,2350l7452,2350,7453,2354,7453,2378,7452,2383,7462,2383,7462,2350xm7496,2354l7487,2354,7487,2389,7496,2389,7496,2364,7498,2361,7537,2361,7537,2359,7496,2359,7496,2354xm7518,2361l7507,2361,7507,2389,7517,2389,7517,2364,7518,2361xm7537,2361l7525,2361,7528,2363,7528,2389,7537,2389,7537,2361xm7511,2353l7500,2353,7497,2357,7496,2359,7537,2359,7537,2359,7515,2359,7513,2355,7511,2353xm7532,2353l7519,2353,7517,2357,7515,2359,7537,2359,7537,2357,7532,2353xm7556,2342l7546,2342,7546,2389,7579,2389,7579,2380,7556,2380,7556,2342xe" filled="true" fillcolor="#231f20" stroked="false">
              <v:path arrowok="t"/>
              <v:fill type="solid"/>
            </v:shape>
            <v:rect style="position:absolute;left:6082;top:1086;width:911;height:1412" filled="true" fillcolor="#ffffff" stroked="false">
              <v:fill type="solid"/>
            </v:rect>
            <v:shape style="position:absolute;left:6421;top:1321;width:558;height:1075" coordorigin="6421,1321" coordsize="558,1075" path="m6449,1328l6421,1781,6787,2396,6781,2345,6779,2284,6780,2212,6784,2132,6792,2046,6804,1956,6818,1862,6836,1764,6857,1670,6880,1582,6904,1501,6929,1429,6954,1369,6968,1342,6678,1342,6619,1341,6560,1338,6503,1334,6449,1328xm6979,1321l6918,1329,6845,1336,6764,1341,6678,1342,6968,1342,6979,1321xe" filled="true" fillcolor="#ffffff" stroked="false">
              <v:path arrowok="t"/>
              <v:fill type="solid"/>
            </v:shape>
            <v:shape style="position:absolute;left:6421;top:1321;width:558;height:1075" coordorigin="6421,1321" coordsize="558,1075" path="m6449,1328l6421,1781,6787,2396,6781,2345,6779,2284,6780,2212,6784,2132,6792,2046,6804,1956,6818,1862,6836,1764,6857,1670,6880,1582,6904,1501,6929,1429,6954,1369,6979,1321,6918,1329,6845,1336,6764,1341,6678,1342,6619,1341,6560,1338,6503,1334,6449,1328xe" filled="false" stroked="true" strokeweight=".99pt" strokecolor="#231f20">
              <v:path arrowok="t"/>
            </v:shape>
            <v:shape style="position:absolute;left:6138;top:1099;width:614;height:885" coordorigin="6138,1099" coordsize="614,885" path="m6491,1099l6153,1189,6138,1206,6138,1233,6151,1256,6173,1263,6214,1416,6194,1425,6179,1441,6170,1460,6169,1480,6298,1961,6307,1975,6323,1982,6343,1984,6365,1980,6703,1890,6724,1882,6740,1871,6750,1856,6751,1839,6622,1358,6612,1341,6595,1329,6579,1325,6552,1325,6511,1172,6527,1156,6526,1129,6513,1105,6491,1099xm6573,1324l6552,1325,6579,1325,6573,1324xe" filled="true" fillcolor="#ffffff" stroked="false">
              <v:path arrowok="t"/>
              <v:fill type="solid"/>
            </v:shape>
            <v:shape style="position:absolute;left:6138;top:1099;width:614;height:885" coordorigin="6138,1099" coordsize="614,885" path="m6534,1935l6365,1980,6343,1984,6323,1982,6277,1881,6255,1800,6234,1720,6212,1640,6191,1560,6169,1480,6170,1460,6179,1441,6194,1425,6214,1416,6204,1377,6193,1339,6183,1301,6173,1263,6151,1256,6138,1233,6138,1206,6153,1189,6195,1178,6238,1167,6280,1155,6322,1144,6365,1133,6407,1121,6449,1110,6491,1099,6513,1105,6526,1129,6527,1156,6511,1172,6521,1210,6531,1249,6542,1287,6552,1325,6573,1324,6595,1329,6612,1341,6622,1358,6644,1438,6665,1519,6687,1599,6708,1679,6730,1759,6751,1839,6750,1856,6740,1871,6724,1882,6703,1890,6534,1935xe" filled="false" stroked="true" strokeweight=".99pt" strokecolor="#231f20">
              <v:path arrowok="t"/>
            </v:shape>
            <v:line style="position:absolute" from="6342,1217" to="6511,1172" stroked="true" strokeweight=".495pt" strokecolor="#231f20"/>
            <v:line style="position:absolute" from="6342,1217" to="6173,1263" stroked="true" strokeweight=".495pt" strokecolor="#231f20"/>
            <v:line style="position:absolute" from="6383,1370" to="6552,1325" stroked="true" strokeweight=".495pt" strokecolor="#231f20"/>
            <v:line style="position:absolute" from="6383,1370" to="6214,1416" stroked="true" strokeweight=".495pt" strokecolor="#231f20"/>
            <v:shape style="position:absolute;left:6303;top:1504;width:291;height:154" type="#_x0000_t75" stroked="false">
              <v:imagedata r:id="rId307" o:title=""/>
            </v:shape>
            <v:shape style="position:absolute;left:6097;top:1315;width:796;height:1165" coordorigin="6097,1315" coordsize="796,1165" path="m6182,1315l6099,2230,6098,2230,6105,2258,6133,2288,6179,2318,6242,2348,6320,2376,6409,2402,6510,2425,6618,2444,6632,2446,6652,2451,6679,2461,6713,2479,6708,2455,6703,2408,6698,2342,6695,2259,6696,2162,6702,2054,6713,1936,6731,1821,6753,1717,6779,1629,6806,1559,6835,1509,6864,1483,6892,1483,6892,1482,6829,1446,6760,1421,6688,1405,6616,1395,6543,1387,6473,1383,6314,1383,6223,1376,6188,1350,6182,1324,6182,1315xm6098,2229l6098,2230,6099,2230,6098,2229xm6097,2226l6098,2229,6099,2228,6097,2226xm6892,1483l6864,1483,6891,1483,6892,1483,6892,1483xm6387,1380l6314,1383,6473,1383,6465,1382,6387,1380xe" filled="true" fillcolor="#ffffff" stroked="false">
              <v:path arrowok="t"/>
              <v:fill type="solid"/>
            </v:shape>
            <v:shape style="position:absolute;left:6097;top:1315;width:796;height:1165" coordorigin="6097,1315" coordsize="796,1165" path="m6099,2230l6182,1315,6182,1324,6188,1350,6223,1376,6314,1383,6387,1380,6465,1382,6543,1387,6616,1395,6688,1405,6760,1421,6829,1446,6892,1482,6892,1483,6891,1483,6835,1509,6779,1629,6753,1717,6731,1821,6713,1936,6702,2054,6696,2162,6695,2259,6698,2342,6703,2408,6708,2455,6713,2479,6679,2461,6652,2451,6632,2446,6618,2444,6510,2425,6409,2402,6320,2376,6242,2348,6179,2318,6105,2258,6098,2229,6099,2228,6097,2226,6099,2230xe" filled="false" stroked="true" strokeweight=".99pt" strokecolor="#231f20">
              <v:path arrowok="t"/>
            </v:shape>
            <v:rect style="position:absolute;left:5976;top:840;width:2328;height:120" filled="true" fillcolor="#b3b3b3" stroked="false">
              <v:fill type="solid"/>
            </v:rect>
            <v:rect style="position:absolute;left:8184;top:900;width:120;height:2388" filled="true" fillcolor="#b3b3b3" stroked="false">
              <v:fill type="solid"/>
            </v:rect>
            <v:rect style="position:absolute;left:5856;top:3168;width:2388;height:120" filled="true" fillcolor="#b3b3b3" stroked="false">
              <v:fill type="solid"/>
            </v:rect>
            <v:rect style="position:absolute;left:5856;top:840;width:120;height:2388" filled="true" fillcolor="#b3b3b3" stroked="false">
              <v:fill type="solid"/>
            </v:rect>
            <w10:wrap type="topAndBottom"/>
          </v:group>
        </w:pict>
      </w:r>
      <w:r>
        <w:rPr/>
        <w:pict>
          <v:group style="position:absolute;margin-left:421.019989pt;margin-top:41.97588pt;width:122.4pt;height:122.4pt;mso-position-horizontal-relative:page;mso-position-vertical-relative:paragraph;z-index:15184;mso-wrap-distance-left:0;mso-wrap-distance-right:0" coordorigin="8420,840" coordsize="2448,2448">
            <v:rect style="position:absolute;left:8540;top:840;width:2328;height:120" filled="true" fillcolor="#b3b3b3" stroked="false">
              <v:fill type="solid"/>
            </v:rect>
            <v:rect style="position:absolute;left:10748;top:900;width:120;height:2388" filled="true" fillcolor="#b3b3b3" stroked="false">
              <v:fill type="solid"/>
            </v:rect>
            <v:rect style="position:absolute;left:8420;top:3168;width:2388;height:120" filled="true" fillcolor="#b3b3b3" stroked="false">
              <v:fill type="solid"/>
            </v:rect>
            <v:rect style="position:absolute;left:8420;top:840;width:120;height:2388" filled="true" fillcolor="#b3b3b3" stroked="false">
              <v:fill type="solid"/>
            </v:rect>
            <w10:wrap type="topAndBottom"/>
          </v:group>
        </w:pict>
      </w:r>
      <w:r>
        <w:rPr/>
        <w:t>Suspended Solids (5 to 750 mg/L)</w:t>
      </w:r>
    </w:p>
    <w:p>
      <w:pPr>
        <w:pStyle w:val="BodyText"/>
        <w:spacing w:before="3"/>
        <w:rPr>
          <w:b/>
          <w:sz w:val="28"/>
        </w:rPr>
      </w:pPr>
    </w:p>
    <w:p>
      <w:pPr>
        <w:pStyle w:val="BodyText"/>
        <w:spacing w:before="1"/>
        <w:rPr>
          <w:b/>
          <w:sz w:val="6"/>
        </w:rPr>
      </w:pPr>
    </w:p>
    <w:p>
      <w:pPr>
        <w:spacing w:after="0"/>
        <w:rPr>
          <w:sz w:val="6"/>
        </w:rPr>
        <w:sectPr>
          <w:headerReference w:type="default" r:id="rId303"/>
          <w:footerReference w:type="default" r:id="rId304"/>
          <w:pgSz w:w="11900" w:h="15840"/>
          <w:pgMar w:header="0" w:footer="0" w:top="240" w:bottom="0" w:left="600" w:right="920"/>
        </w:sectPr>
      </w:pPr>
    </w:p>
    <w:p>
      <w:pPr>
        <w:pStyle w:val="ListParagraph"/>
        <w:numPr>
          <w:ilvl w:val="0"/>
          <w:numId w:val="29"/>
        </w:numPr>
        <w:tabs>
          <w:tab w:pos="486" w:val="left" w:leader="none"/>
        </w:tabs>
        <w:spacing w:line="249" w:lineRule="auto" w:before="6" w:after="0"/>
        <w:ind w:left="124" w:right="0" w:firstLine="0"/>
        <w:jc w:val="left"/>
        <w:rPr>
          <w:sz w:val="20"/>
        </w:rPr>
      </w:pPr>
      <w:r>
        <w:rPr/>
        <w:pict>
          <v:group style="position:absolute;margin-left:77.056pt;margin-top:-67.397614pt;width:41.55pt;height:50.45pt;mso-position-horizontal-relative:page;mso-position-vertical-relative:paragraph;z-index:-1516504" coordorigin="1541,-1348" coordsize="831,1009">
            <v:shape style="position:absolute;left:1549;top:-1340;width:569;height:993" coordorigin="1549,-1340" coordsize="569,993" path="m1833,-348l1621,-348,1595,-350,1572,-358,1555,-372,1549,-391,1549,-467,1549,-542,1549,-995,1556,-1018,1572,-1038,1596,-1051,1621,-1056,1621,-1104,1621,-1152,1621,-1200,1621,-1248,1597,-1262,1589,-1294,1598,-1326,1621,-1340,1674,-1340,1727,-1340,2045,-1340,2069,-1326,2077,-1294,2070,-1262,2045,-1248,2045,-1200,2045,-1152,2045,-1104,2045,-1056,2071,-1051,2094,-1038,2111,-1018,2117,-995,2117,-920,2117,-844,2117,-391,2111,-372,2095,-358,2072,-350,2045,-348,1833,-348xe" filled="false" stroked="true" strokeweight=".792pt" strokecolor="#231f20">
              <v:path arrowok="t"/>
            </v:shape>
            <v:shape style="position:absolute;left:-212;top:12213;width:425;height:192" coordorigin="-212,12213" coordsize="425,192" path="m1833,-1248l2045,-1248m1833,-1248l1621,-1248m1833,-1056l2045,-1056m1833,-1056l1621,-1056e" filled="false" stroked="true" strokeweight=".396pt" strokecolor="#231f20">
              <v:path arrowok="t"/>
            </v:shape>
            <v:shape style="position:absolute;left:1644;top:-859;width:378;height:117" type="#_x0000_t75" stroked="false">
              <v:imagedata r:id="rId308" o:title=""/>
            </v:shape>
            <v:shape style="position:absolute;left:2126;top:-815;width:246;height:127" type="#_x0000_t75" stroked="false">
              <v:imagedata r:id="rId306" o:title=""/>
            </v:shape>
            <w10:wrap type="none"/>
          </v:group>
        </w:pict>
      </w:r>
      <w:r>
        <w:rPr>
          <w:b/>
          <w:sz w:val="20"/>
        </w:rPr>
        <w:t>Prepared Sample: </w:t>
      </w:r>
      <w:r>
        <w:rPr>
          <w:sz w:val="20"/>
        </w:rPr>
        <w:t>Stir the sample and immediately</w:t>
      </w:r>
      <w:r>
        <w:rPr>
          <w:spacing w:val="-12"/>
          <w:sz w:val="20"/>
        </w:rPr>
        <w:t> </w:t>
      </w:r>
      <w:r>
        <w:rPr>
          <w:sz w:val="20"/>
        </w:rPr>
        <w:t>pour</w:t>
      </w:r>
      <w:r>
        <w:rPr>
          <w:spacing w:val="-13"/>
          <w:sz w:val="20"/>
        </w:rPr>
        <w:t> </w:t>
      </w:r>
      <w:r>
        <w:rPr>
          <w:sz w:val="20"/>
        </w:rPr>
        <w:t>10</w:t>
      </w:r>
      <w:r>
        <w:rPr>
          <w:spacing w:val="-13"/>
          <w:sz w:val="20"/>
        </w:rPr>
        <w:t> </w:t>
      </w:r>
      <w:r>
        <w:rPr>
          <w:sz w:val="20"/>
        </w:rPr>
        <w:t>mL</w:t>
      </w:r>
      <w:r>
        <w:rPr>
          <w:spacing w:val="-13"/>
          <w:sz w:val="20"/>
        </w:rPr>
        <w:t> </w:t>
      </w:r>
      <w:r>
        <w:rPr>
          <w:sz w:val="20"/>
        </w:rPr>
        <w:t>of the blended sample into a sample</w:t>
      </w:r>
      <w:r>
        <w:rPr>
          <w:spacing w:val="-5"/>
          <w:sz w:val="20"/>
        </w:rPr>
        <w:t> </w:t>
      </w:r>
      <w:r>
        <w:rPr>
          <w:sz w:val="20"/>
        </w:rPr>
        <w:t>cell.</w:t>
      </w:r>
    </w:p>
    <w:p>
      <w:pPr>
        <w:pStyle w:val="ListParagraph"/>
        <w:numPr>
          <w:ilvl w:val="0"/>
          <w:numId w:val="29"/>
        </w:numPr>
        <w:tabs>
          <w:tab w:pos="485" w:val="left" w:leader="none"/>
        </w:tabs>
        <w:spacing w:line="249" w:lineRule="auto" w:before="6" w:after="0"/>
        <w:ind w:left="124" w:right="26" w:firstLine="0"/>
        <w:jc w:val="left"/>
        <w:rPr>
          <w:sz w:val="20"/>
        </w:rPr>
      </w:pPr>
      <w:r>
        <w:rPr>
          <w:b/>
          <w:w w:val="99"/>
          <w:sz w:val="20"/>
        </w:rPr>
        <w:br w:type="column"/>
      </w:r>
      <w:r>
        <w:rPr>
          <w:b/>
          <w:sz w:val="20"/>
        </w:rPr>
        <w:t>Blank Preparation: </w:t>
      </w:r>
      <w:r>
        <w:rPr>
          <w:sz w:val="20"/>
        </w:rPr>
        <w:t>Fill a second sample cell with 10 mL of tap water</w:t>
      </w:r>
      <w:r>
        <w:rPr>
          <w:spacing w:val="-16"/>
          <w:sz w:val="20"/>
        </w:rPr>
        <w:t> </w:t>
      </w:r>
      <w:r>
        <w:rPr>
          <w:sz w:val="20"/>
        </w:rPr>
        <w:t>or deionized</w:t>
      </w:r>
      <w:r>
        <w:rPr>
          <w:spacing w:val="-7"/>
          <w:sz w:val="20"/>
        </w:rPr>
        <w:t> </w:t>
      </w:r>
      <w:r>
        <w:rPr>
          <w:spacing w:val="-3"/>
          <w:sz w:val="20"/>
        </w:rPr>
        <w:t>water.</w:t>
      </w:r>
    </w:p>
    <w:p>
      <w:pPr>
        <w:spacing w:line="249" w:lineRule="auto" w:before="121"/>
        <w:ind w:left="124" w:right="0" w:firstLine="0"/>
        <w:jc w:val="both"/>
        <w:rPr>
          <w:sz w:val="20"/>
        </w:rPr>
      </w:pPr>
      <w:r>
        <w:rPr>
          <w:sz w:val="20"/>
        </w:rPr>
        <w:t>Remove</w:t>
      </w:r>
      <w:r>
        <w:rPr>
          <w:spacing w:val="-22"/>
          <w:sz w:val="20"/>
        </w:rPr>
        <w:t> </w:t>
      </w:r>
      <w:r>
        <w:rPr>
          <w:sz w:val="20"/>
        </w:rPr>
        <w:t>gas</w:t>
      </w:r>
      <w:r>
        <w:rPr>
          <w:spacing w:val="-21"/>
          <w:sz w:val="20"/>
        </w:rPr>
        <w:t> </w:t>
      </w:r>
      <w:r>
        <w:rPr>
          <w:spacing w:val="-3"/>
          <w:sz w:val="20"/>
        </w:rPr>
        <w:t>bubbles</w:t>
      </w:r>
      <w:r>
        <w:rPr>
          <w:spacing w:val="-22"/>
          <w:sz w:val="20"/>
        </w:rPr>
        <w:t> </w:t>
      </w:r>
      <w:r>
        <w:rPr>
          <w:sz w:val="20"/>
        </w:rPr>
        <w:t>in</w:t>
      </w:r>
      <w:r>
        <w:rPr>
          <w:spacing w:val="-22"/>
          <w:sz w:val="20"/>
        </w:rPr>
        <w:t> </w:t>
      </w:r>
      <w:r>
        <w:rPr>
          <w:sz w:val="20"/>
        </w:rPr>
        <w:t>the water</w:t>
      </w:r>
      <w:r>
        <w:rPr>
          <w:spacing w:val="-26"/>
          <w:sz w:val="20"/>
        </w:rPr>
        <w:t> </w:t>
      </w:r>
      <w:r>
        <w:rPr>
          <w:sz w:val="20"/>
        </w:rPr>
        <w:t>by</w:t>
      </w:r>
      <w:r>
        <w:rPr>
          <w:spacing w:val="-27"/>
          <w:sz w:val="20"/>
        </w:rPr>
        <w:t> </w:t>
      </w:r>
      <w:r>
        <w:rPr>
          <w:sz w:val="20"/>
        </w:rPr>
        <w:t>swirling</w:t>
      </w:r>
      <w:r>
        <w:rPr>
          <w:spacing w:val="-25"/>
          <w:sz w:val="20"/>
        </w:rPr>
        <w:t> </w:t>
      </w:r>
      <w:r>
        <w:rPr>
          <w:sz w:val="20"/>
        </w:rPr>
        <w:t>or</w:t>
      </w:r>
      <w:r>
        <w:rPr>
          <w:spacing w:val="-26"/>
          <w:sz w:val="20"/>
        </w:rPr>
        <w:t> </w:t>
      </w:r>
      <w:r>
        <w:rPr>
          <w:sz w:val="20"/>
        </w:rPr>
        <w:t>tapping the bottom of the cell on a </w:t>
      </w:r>
      <w:r>
        <w:rPr>
          <w:spacing w:val="-3"/>
          <w:sz w:val="20"/>
        </w:rPr>
        <w:t>table.</w:t>
      </w:r>
    </w:p>
    <w:p>
      <w:pPr>
        <w:pStyle w:val="ListParagraph"/>
        <w:numPr>
          <w:ilvl w:val="0"/>
          <w:numId w:val="29"/>
        </w:numPr>
        <w:tabs>
          <w:tab w:pos="485" w:val="left" w:leader="none"/>
        </w:tabs>
        <w:spacing w:line="240" w:lineRule="auto" w:before="6" w:after="0"/>
        <w:ind w:left="484" w:right="0" w:hanging="360"/>
        <w:jc w:val="left"/>
        <w:rPr>
          <w:sz w:val="20"/>
        </w:rPr>
      </w:pPr>
      <w:r>
        <w:rPr>
          <w:w w:val="99"/>
          <w:sz w:val="20"/>
        </w:rPr>
        <w:br w:type="column"/>
      </w:r>
      <w:r>
        <w:rPr>
          <w:sz w:val="20"/>
        </w:rPr>
        <w:t>Insert the</w:t>
      </w:r>
      <w:r>
        <w:rPr>
          <w:spacing w:val="-4"/>
          <w:sz w:val="20"/>
        </w:rPr>
        <w:t> </w:t>
      </w:r>
      <w:r>
        <w:rPr>
          <w:sz w:val="20"/>
        </w:rPr>
        <w:t>blank</w:t>
      </w:r>
    </w:p>
    <w:p>
      <w:pPr>
        <w:spacing w:line="249" w:lineRule="auto" w:before="10"/>
        <w:ind w:left="124" w:right="-10" w:firstLine="0"/>
        <w:jc w:val="left"/>
        <w:rPr>
          <w:sz w:val="20"/>
        </w:rPr>
      </w:pPr>
      <w:r>
        <w:rPr/>
        <w:drawing>
          <wp:anchor distT="0" distB="0" distL="0" distR="0" allowOverlap="1" layoutInCell="1" locked="0" behindDoc="1" simplePos="0" relativeHeight="266918975">
            <wp:simplePos x="0" y="0"/>
            <wp:positionH relativeFrom="page">
              <wp:posOffset>5647182</wp:posOffset>
            </wp:positionH>
            <wp:positionV relativeFrom="paragraph">
              <wp:posOffset>-1228831</wp:posOffset>
            </wp:positionV>
            <wp:extent cx="952500" cy="476250"/>
            <wp:effectExtent l="0" t="0" r="0" b="0"/>
            <wp:wrapNone/>
            <wp:docPr id="175" name="image143.png" descr=""/>
            <wp:cNvGraphicFramePr>
              <a:graphicFrameLocks noChangeAspect="1"/>
            </wp:cNvGraphicFramePr>
            <a:graphic>
              <a:graphicData uri="http://schemas.openxmlformats.org/drawingml/2006/picture">
                <pic:pic>
                  <pic:nvPicPr>
                    <pic:cNvPr id="176" name="image143.png"/>
                    <pic:cNvPicPr/>
                  </pic:nvPicPr>
                  <pic:blipFill>
                    <a:blip r:embed="rId159" cstate="print"/>
                    <a:stretch>
                      <a:fillRect/>
                    </a:stretch>
                  </pic:blipFill>
                  <pic:spPr>
                    <a:xfrm>
                      <a:off x="0" y="0"/>
                      <a:ext cx="952500" cy="476250"/>
                    </a:xfrm>
                    <a:prstGeom prst="rect">
                      <a:avLst/>
                    </a:prstGeom>
                  </pic:spPr>
                </pic:pic>
              </a:graphicData>
            </a:graphic>
          </wp:anchor>
        </w:drawing>
      </w:r>
      <w:r>
        <w:rPr>
          <w:sz w:val="20"/>
        </w:rPr>
        <w:t>into</w:t>
      </w:r>
      <w:r>
        <w:rPr>
          <w:spacing w:val="-2"/>
          <w:sz w:val="20"/>
        </w:rPr>
        <w:t> </w:t>
      </w:r>
      <w:r>
        <w:rPr>
          <w:sz w:val="20"/>
        </w:rPr>
        <w:t>the</w:t>
      </w:r>
      <w:r>
        <w:rPr>
          <w:spacing w:val="-13"/>
          <w:sz w:val="20"/>
        </w:rPr>
        <w:t> </w:t>
      </w:r>
      <w:r>
        <w:rPr>
          <w:sz w:val="20"/>
        </w:rPr>
        <w:t>cell</w:t>
      </w:r>
      <w:r>
        <w:rPr>
          <w:spacing w:val="-13"/>
          <w:sz w:val="20"/>
        </w:rPr>
        <w:t> </w:t>
      </w:r>
      <w:r>
        <w:rPr>
          <w:sz w:val="20"/>
        </w:rPr>
        <w:t>holder</w:t>
      </w:r>
      <w:r>
        <w:rPr>
          <w:spacing w:val="-14"/>
          <w:sz w:val="20"/>
        </w:rPr>
        <w:t> </w:t>
      </w:r>
      <w:r>
        <w:rPr>
          <w:sz w:val="20"/>
        </w:rPr>
        <w:t>with</w:t>
      </w:r>
      <w:r>
        <w:rPr>
          <w:spacing w:val="-15"/>
          <w:sz w:val="20"/>
        </w:rPr>
        <w:t> </w:t>
      </w:r>
      <w:r>
        <w:rPr>
          <w:sz w:val="20"/>
        </w:rPr>
        <w:t>the fill line facing the</w:t>
      </w:r>
      <w:r>
        <w:rPr>
          <w:spacing w:val="-24"/>
          <w:sz w:val="20"/>
        </w:rPr>
        <w:t> </w:t>
      </w:r>
      <w:r>
        <w:rPr>
          <w:sz w:val="20"/>
        </w:rPr>
        <w:t>user.</w:t>
      </w:r>
    </w:p>
    <w:p>
      <w:pPr>
        <w:pStyle w:val="ListParagraph"/>
        <w:numPr>
          <w:ilvl w:val="0"/>
          <w:numId w:val="29"/>
        </w:numPr>
        <w:tabs>
          <w:tab w:pos="485" w:val="left" w:leader="none"/>
        </w:tabs>
        <w:spacing w:line="240" w:lineRule="auto" w:before="6" w:after="0"/>
        <w:ind w:left="484" w:right="0" w:hanging="360"/>
        <w:jc w:val="left"/>
        <w:rPr>
          <w:sz w:val="20"/>
        </w:rPr>
      </w:pPr>
      <w:r>
        <w:rPr>
          <w:spacing w:val="1"/>
          <w:w w:val="99"/>
          <w:sz w:val="20"/>
        </w:rPr>
        <w:br w:type="column"/>
      </w:r>
      <w:r>
        <w:rPr>
          <w:sz w:val="20"/>
        </w:rPr>
        <w:t>Press</w:t>
      </w:r>
      <w:r>
        <w:rPr>
          <w:spacing w:val="-2"/>
          <w:sz w:val="20"/>
        </w:rPr>
        <w:t> </w:t>
      </w:r>
      <w:r>
        <w:rPr>
          <w:b/>
          <w:spacing w:val="-3"/>
          <w:sz w:val="18"/>
        </w:rPr>
        <w:t>ZERO</w:t>
      </w:r>
      <w:r>
        <w:rPr>
          <w:spacing w:val="-3"/>
          <w:sz w:val="20"/>
        </w:rPr>
        <w:t>.</w:t>
      </w:r>
    </w:p>
    <w:p>
      <w:pPr>
        <w:spacing w:before="129"/>
        <w:ind w:left="124" w:right="0" w:firstLine="0"/>
        <w:jc w:val="left"/>
        <w:rPr>
          <w:sz w:val="20"/>
        </w:rPr>
      </w:pPr>
      <w:r>
        <w:rPr>
          <w:sz w:val="20"/>
        </w:rPr>
        <w:t>The display will show:</w:t>
      </w:r>
    </w:p>
    <w:p>
      <w:pPr>
        <w:spacing w:before="130"/>
        <w:ind w:left="760" w:right="0" w:firstLine="0"/>
        <w:jc w:val="left"/>
        <w:rPr>
          <w:sz w:val="20"/>
        </w:rPr>
      </w:pPr>
      <w:r>
        <w:rPr>
          <w:sz w:val="20"/>
        </w:rPr>
        <w:t>0 mg/L TSS</w:t>
      </w:r>
    </w:p>
    <w:p>
      <w:pPr>
        <w:spacing w:after="0"/>
        <w:jc w:val="left"/>
        <w:rPr>
          <w:sz w:val="20"/>
        </w:rPr>
        <w:sectPr>
          <w:type w:val="continuous"/>
          <w:pgSz w:w="11900" w:h="15840"/>
          <w:pgMar w:top="0" w:bottom="0" w:left="600" w:right="920"/>
          <w:cols w:num="4" w:equalWidth="0">
            <w:col w:w="2444" w:space="121"/>
            <w:col w:w="2451" w:space="115"/>
            <w:col w:w="2446" w:space="118"/>
            <w:col w:w="2685"/>
          </w:cols>
        </w:sectPr>
      </w:pPr>
    </w:p>
    <w:p>
      <w:pPr>
        <w:pStyle w:val="BodyText"/>
        <w:spacing w:before="7"/>
        <w:rPr>
          <w:sz w:val="25"/>
        </w:rPr>
      </w:pPr>
    </w:p>
    <w:p>
      <w:pPr>
        <w:spacing w:line="240" w:lineRule="auto"/>
        <w:ind w:left="124" w:right="0" w:firstLine="0"/>
        <w:rPr>
          <w:sz w:val="20"/>
        </w:rPr>
      </w:pPr>
      <w:r>
        <w:rPr>
          <w:sz w:val="20"/>
        </w:rPr>
        <w:pict>
          <v:group style="width:122.5pt;height:122.4pt;mso-position-horizontal-relative:char;mso-position-vertical-relative:line" coordorigin="0,0" coordsize="2450,2448">
            <v:rect style="position:absolute;left:120;top:0;width:2329;height:120" filled="true" fillcolor="#b3b3b3" stroked="false">
              <v:fill type="solid"/>
            </v:rect>
            <v:rect style="position:absolute;left:2329;top:60;width:120;height:2388" filled="true" fillcolor="#b3b3b3" stroked="false">
              <v:fill type="solid"/>
            </v:rect>
            <v:rect style="position:absolute;left:0;top:2328;width:2389;height:120" filled="true" fillcolor="#b3b3b3" stroked="false">
              <v:fill type="solid"/>
            </v:rect>
            <v:rect style="position:absolute;left:0;top:0;width:120;height:2388" filled="true" fillcolor="#b3b3b3" stroked="false">
              <v:fill type="solid"/>
            </v:rect>
          </v:group>
        </w:pict>
      </w:r>
      <w:r>
        <w:rPr>
          <w:sz w:val="20"/>
        </w:rPr>
      </w:r>
      <w:r>
        <w:rPr>
          <w:rFonts w:ascii="Times New Roman"/>
          <w:spacing w:val="45"/>
          <w:sz w:val="20"/>
        </w:rPr>
        <w:t> </w:t>
      </w:r>
      <w:r>
        <w:rPr>
          <w:spacing w:val="45"/>
          <w:sz w:val="20"/>
        </w:rPr>
        <w:pict>
          <v:group style="width:122.4pt;height:122.4pt;mso-position-horizontal-relative:char;mso-position-vertical-relative:line" coordorigin="0,0" coordsize="2448,2448">
            <v:shape style="position:absolute;left:980;top:959;width:1298;height:1304" coordorigin="980,959" coordsize="1298,1304" path="m2277,1855l980,1855,1628,2262,2277,1855xm2039,959l1218,959,1218,1855,2039,1855,2039,959xe" filled="true" fillcolor="#231f20" stroked="false">
              <v:path arrowok="t"/>
              <v:fill type="solid"/>
            </v:shape>
            <v:shape style="position:absolute;left:1438;top:1181;width:382;height:666" coordorigin="1438,1181" coordsize="382,666" path="m1628,1846l1486,1846,1468,1844,1453,1839,1442,1830,1438,1817,1438,1736,1438,1655,1438,1574,1438,1493,1438,1412,1442,1397,1453,1384,1469,1374,1486,1371,1486,1339,1486,1307,1486,1275,1486,1242,1470,1233,1465,1212,1470,1190,1486,1181,1522,1181,1557,1181,1771,1181,1786,1190,1792,1212,1787,1233,1771,1242,1771,1275,1771,1307,1771,1339,1771,1371,1788,1374,1803,1384,1815,1397,1819,1412,1819,1493,1819,1574,1819,1655,1819,1736,1819,1817,1815,1830,1804,1839,1788,1844,1771,1846,1628,1846xe" filled="false" stroked="true" strokeweight="2.31pt" strokecolor="#ffffff">
              <v:path arrowok="t"/>
            </v:shape>
            <v:line style="position:absolute" from="1628,1242" to="1771,1242" stroked="true" strokeweight=".495pt" strokecolor="#231f20"/>
            <v:line style="position:absolute" from="1628,1242" to="1486,1242" stroked="true" strokeweight=".495pt" strokecolor="#231f20"/>
            <v:line style="position:absolute" from="1628,1371" to="1771,1371" stroked="true" strokeweight=".495pt" strokecolor="#231f20"/>
            <v:line style="position:absolute" from="1628,1371" to="1486,1371" stroked="true" strokeweight=".495pt" strokecolor="#231f20"/>
            <v:line style="position:absolute" from="1508,1575" to="1749,1575" stroked="true" strokeweight=".622pt" strokecolor="#231f20"/>
            <v:shape style="position:absolute;left:1541;top:1503;width:183;height:49" coordorigin="1541,1503" coordsize="183,49" path="m1561,1504l1554,1504,1553,1507,1551,1512,1541,1512,1541,1518,1552,1518,1552,1550,1561,1550,1561,1504xm1602,1504l1580,1504,1575,1511,1575,1544,1580,1551,1602,1551,1607,1544,1586,1544,1584,1539,1584,1515,1586,1511,1607,1511,1602,1504xm1607,1511l1596,1511,1598,1515,1598,1539,1596,1544,1607,1544,1607,1511xm1640,1515l1632,1515,1632,1550,1641,1550,1641,1525,1642,1522,1681,1522,1681,1520,1640,1520,1640,1515xm1663,1522l1652,1522,1652,1550,1661,1550,1661,1525,1663,1522xm1681,1522l1670,1522,1672,1524,1672,1550,1681,1550,1681,1522xm1655,1514l1644,1514,1642,1518,1640,1520,1681,1520,1681,1520,1660,1520,1658,1516,1655,1514xm1676,1514l1664,1514,1660,1520,1681,1520,1681,1518,1676,1514xm1700,1503l1690,1503,1690,1550,1724,1550,1724,1542,1700,1542,1700,1503xe" filled="true" fillcolor="#231f20" stroked="false">
              <v:path arrowok="t"/>
              <v:fill type="solid"/>
            </v:shape>
            <v:shape style="position:absolute;left:1438;top:1181;width:382;height:666" coordorigin="1438,1181" coordsize="382,666" path="m1771,1181l1486,1181,1470,1190,1465,1212,1470,1233,1486,1242,1486,1371,1469,1374,1453,1384,1442,1397,1438,1412,1438,1817,1442,1830,1453,1839,1468,1844,1486,1846,1771,1846,1788,1844,1804,1839,1815,1830,1819,1817,1819,1412,1815,1397,1803,1384,1788,1374,1771,1371,1771,1242,1787,1233,1792,1212,1786,1190,1771,1181xe" filled="true" fillcolor="#ffffff" stroked="false">
              <v:path arrowok="t"/>
              <v:fill type="solid"/>
            </v:shape>
            <v:shape style="position:absolute;left:1438;top:1181;width:382;height:666" coordorigin="1438,1181" coordsize="382,666" path="m1628,1846l1486,1846,1468,1844,1453,1839,1442,1830,1438,1817,1438,1736,1438,1655,1438,1574,1438,1493,1438,1412,1442,1397,1453,1384,1469,1374,1486,1371,1486,1339,1486,1307,1486,1275,1486,1242,1470,1233,1465,1212,1470,1190,1486,1181,1522,1181,1557,1181,1771,1181,1786,1190,1792,1212,1787,1233,1771,1242,1771,1275,1771,1307,1771,1339,1771,1371,1788,1374,1803,1384,1815,1397,1819,1412,1819,1493,1819,1574,1819,1655,1819,1736,1819,1817,1815,1830,1804,1839,1788,1844,1771,1846,1628,1846xe" filled="false" stroked="true" strokeweight=".99pt" strokecolor="#231f20">
              <v:path arrowok="t"/>
            </v:shape>
            <v:line style="position:absolute" from="1628,1242" to="1771,1242" stroked="true" strokeweight=".495pt" strokecolor="#231f20"/>
            <v:line style="position:absolute" from="1628,1242" to="1486,1242" stroked="true" strokeweight=".495pt" strokecolor="#231f20"/>
            <v:line style="position:absolute" from="1628,1371" to="1771,1371" stroked="true" strokeweight=".495pt" strokecolor="#231f20"/>
            <v:line style="position:absolute" from="1628,1371" to="1486,1371" stroked="true" strokeweight=".495pt" strokecolor="#231f20"/>
            <v:line style="position:absolute" from="1508,1575" to="1749,1575" stroked="true" strokeweight=".622pt" strokecolor="#231f20"/>
            <v:shape style="position:absolute;left:1541;top:1503;width:183;height:49" coordorigin="1541,1503" coordsize="183,49" path="m1561,1504l1554,1504,1553,1507,1551,1512,1541,1512,1541,1518,1552,1518,1552,1550,1561,1550,1561,1504xm1602,1504l1580,1504,1575,1511,1575,1544,1580,1551,1602,1551,1607,1544,1586,1544,1584,1539,1584,1515,1586,1511,1607,1511,1602,1504xm1607,1511l1596,1511,1598,1515,1598,1539,1596,1544,1607,1544,1607,1511xm1640,1515l1632,1515,1632,1550,1641,1550,1641,1525,1642,1522,1681,1522,1681,1520,1640,1520,1640,1515xm1663,1522l1652,1522,1652,1550,1661,1550,1661,1525,1663,1522xm1681,1522l1670,1522,1672,1524,1672,1550,1681,1550,1681,1522xm1655,1514l1644,1514,1642,1518,1640,1520,1681,1520,1681,1520,1660,1520,1658,1516,1655,1514xm1676,1514l1664,1514,1660,1520,1681,1520,1681,1518,1676,1514xm1700,1503l1690,1503,1690,1550,1724,1550,1724,1542,1700,1542,1700,1503xe" filled="true" fillcolor="#231f20" stroked="false">
              <v:path arrowok="t"/>
              <v:fill type="solid"/>
            </v:shape>
            <v:rect style="position:absolute;left:227;top:247;width:911;height:1412" filled="true" fillcolor="#ffffff" stroked="false">
              <v:fill type="solid"/>
            </v:rect>
            <v:shape style="position:absolute;left:566;top:482;width:558;height:1075" coordorigin="566,482" coordsize="558,1075" path="m593,489l566,942,931,1557,925,1507,923,1445,924,1373,929,1293,937,1207,948,1117,962,1023,981,925,1002,831,1025,743,1049,662,1074,591,1099,530,1112,503,823,503,763,502,705,499,648,495,593,489xm1123,482l1063,490,990,497,909,502,823,503,1112,503,1123,482xe" filled="true" fillcolor="#ffffff" stroked="false">
              <v:path arrowok="t"/>
              <v:fill type="solid"/>
            </v:shape>
            <v:shape style="position:absolute;left:566;top:482;width:558;height:1075" coordorigin="566,482" coordsize="558,1075" path="m593,489l566,942,931,1557,925,1507,923,1445,924,1373,929,1293,937,1207,948,1117,962,1023,981,925,1002,831,1025,743,1049,662,1074,591,1099,530,1123,482,1063,490,990,497,909,502,823,503,763,502,705,499,648,495,593,489xe" filled="false" stroked="true" strokeweight=".99pt" strokecolor="#231f20">
              <v:path arrowok="t"/>
            </v:shape>
            <v:shape style="position:absolute;left:282;top:260;width:614;height:885" coordorigin="282,260" coordsize="614,885" path="m636,260l298,350,282,367,282,394,295,418,317,424,358,577,339,586,323,602,314,621,314,641,443,1122,452,1136,468,1143,488,1145,510,1141,848,1051,868,1043,885,1032,895,1017,896,1000,767,519,757,502,739,490,723,486,696,486,655,333,672,317,671,290,658,266,636,260xm718,485l696,486,723,486,718,485xe" filled="true" fillcolor="#ffffff" stroked="false">
              <v:path arrowok="t"/>
              <v:fill type="solid"/>
            </v:shape>
            <v:shape style="position:absolute;left:282;top:260;width:614;height:885" coordorigin="282,260" coordsize="614,885" path="m679,1096l510,1141,488,1145,468,1143,421,1042,400,961,378,881,357,801,335,721,314,641,314,621,323,602,339,586,358,577,348,539,338,500,328,462,317,424,295,418,282,394,282,367,298,350,340,339,382,328,424,317,467,305,509,294,551,283,594,271,636,260,658,266,671,290,672,317,655,333,666,371,676,410,686,448,696,486,718,485,739,490,788,599,810,680,831,760,853,840,874,920,896,1000,895,1017,885,1032,868,1043,848,1051,679,1096xe" filled="false" stroked="true" strokeweight=".99pt" strokecolor="#231f20">
              <v:path arrowok="t"/>
            </v:shape>
            <v:line style="position:absolute" from="486,379" to="655,333" stroked="true" strokeweight=".495pt" strokecolor="#231f20"/>
            <v:line style="position:absolute" from="486,379" to="317,424" stroked="true" strokeweight=".495pt" strokecolor="#231f20"/>
            <v:line style="position:absolute" from="527,531" to="696,486" stroked="true" strokeweight=".495pt" strokecolor="#231f20"/>
            <v:line style="position:absolute" from="527,531" to="358,577" stroked="true" strokeweight=".495pt" strokecolor="#231f20"/>
            <v:shape style="position:absolute;left:447;top:665;width:291;height:154" type="#_x0000_t75" stroked="false">
              <v:imagedata r:id="rId309" o:title=""/>
            </v:shape>
            <v:shape style="position:absolute;left:241;top:476;width:796;height:1165" coordorigin="241,476" coordsize="796,1165" path="m327,476l243,1391,243,1391,250,1419,278,1449,324,1479,387,1509,464,1537,554,1563,654,1586,762,1605,777,1607,797,1612,824,1622,858,1640,853,1616,847,1569,842,1503,840,1420,841,1323,846,1215,858,1097,876,982,898,878,923,790,951,720,979,670,1008,644,1037,644,1037,643,973,607,905,582,833,566,761,556,687,549,617,544,459,544,368,537,332,512,327,485,327,476xm243,1390l243,1391,243,1391,243,1390xm241,1387l243,1390,243,1389,241,1387xm1037,644l1008,644,1036,644,1037,644,1037,644xm532,541l459,544,617,544,609,543,532,541xe" filled="true" fillcolor="#ffffff" stroked="false">
              <v:path arrowok="t"/>
              <v:fill type="solid"/>
            </v:shape>
            <v:shape style="position:absolute;left:241;top:476;width:796;height:1165" coordorigin="241,476" coordsize="796,1165" path="m243,1391l327,476,327,485,332,512,368,537,459,544,532,541,609,543,687,549,761,556,833,566,905,582,973,607,1037,643,1037,644,1036,644,979,670,923,790,898,878,876,982,858,1097,846,1215,841,1323,840,1420,842,1503,847,1569,853,1616,858,1640,824,1622,797,1612,777,1607,762,1605,654,1586,554,1563,464,1537,387,1509,324,1479,250,1419,243,1390,243,1389,241,1387,243,1391xe" filled="false" stroked="true" strokeweight=".99pt" strokecolor="#231f20">
              <v:path arrowok="t"/>
            </v:shape>
            <v:rect style="position:absolute;left:120;top:0;width:2328;height:120" filled="true" fillcolor="#b3b3b3" stroked="false">
              <v:fill type="solid"/>
            </v:rect>
            <v:rect style="position:absolute;left:2328;top:60;width:120;height:2388" filled="true" fillcolor="#b3b3b3" stroked="false">
              <v:fill type="solid"/>
            </v:rect>
            <v:rect style="position:absolute;left:0;top:2328;width:2388;height:120" filled="true" fillcolor="#b3b3b3" stroked="false">
              <v:fill type="solid"/>
            </v:rect>
            <v:rect style="position:absolute;left:0;top:0;width:120;height:2388" filled="true" fillcolor="#b3b3b3" stroked="false">
              <v:fill type="solid"/>
            </v:rect>
          </v:group>
        </w:pict>
      </w:r>
      <w:r>
        <w:rPr>
          <w:spacing w:val="45"/>
          <w:sz w:val="20"/>
        </w:rPr>
      </w:r>
    </w:p>
    <w:p>
      <w:pPr>
        <w:spacing w:after="0" w:line="240" w:lineRule="auto"/>
        <w:rPr>
          <w:sz w:val="20"/>
        </w:rPr>
        <w:sectPr>
          <w:type w:val="continuous"/>
          <w:pgSz w:w="11900" w:h="15840"/>
          <w:pgMar w:top="0" w:bottom="0" w:left="600" w:right="920"/>
        </w:sectPr>
      </w:pPr>
    </w:p>
    <w:p>
      <w:pPr>
        <w:pStyle w:val="ListParagraph"/>
        <w:numPr>
          <w:ilvl w:val="0"/>
          <w:numId w:val="29"/>
        </w:numPr>
        <w:tabs>
          <w:tab w:pos="485" w:val="left" w:leader="none"/>
        </w:tabs>
        <w:spacing w:line="249" w:lineRule="auto" w:before="69" w:after="0"/>
        <w:ind w:left="125" w:right="0" w:firstLine="0"/>
        <w:jc w:val="left"/>
        <w:rPr>
          <w:sz w:val="20"/>
        </w:rPr>
      </w:pPr>
      <w:r>
        <w:rPr/>
        <w:pict>
          <v:group style="position:absolute;margin-left:64.464249pt;margin-top:-91.95945pt;width:65.7pt;height:57.8pt;mso-position-horizontal-relative:page;mso-position-vertical-relative:paragraph;z-index:-1516456" coordorigin="1289,-1839" coordsize="1314,1156">
            <v:shape style="position:absolute;left:1662;top:-1830;width:652;height:1137" coordorigin="1662,-1830" coordsize="652,1137" path="m1987,-693l1744,-693,1714,-696,1687,-705,1669,-721,1662,-743,1662,-820,1662,-897,1662,-1435,1669,-1461,1688,-1483,1715,-1499,1744,-1504,1744,-1559,1744,-1614,1744,-1669,1744,-1724,1716,-1741,1708,-1777,1717,-1813,1744,-1830,1805,-1830,1866,-1830,2230,-1830,2257,-1813,2267,-1777,2258,-1741,2230,-1724,2230,-1669,2230,-1614,2230,-1559,2230,-1504,2260,-1499,2286,-1483,2305,-1461,2313,-1435,2313,-1358,2313,-1281,2313,-743,2306,-721,2287,-705,2260,-696,2230,-693,1987,-693xe" filled="false" stroked="true" strokeweight=".908pt" strokecolor="#231f20">
              <v:path arrowok="t"/>
            </v:shape>
            <v:shape style="position:absolute;left:-243;top:7387;width:487;height:220" coordorigin="-243,7387" coordsize="487,220" path="m1987,-1724l2230,-1724m1987,-1724l1744,-1724m1987,-1504l2230,-1504m1987,-1504l1744,-1504e" filled="false" stroked="true" strokeweight=".454pt" strokecolor="#231f20">
              <v:path arrowok="t"/>
            </v:shape>
            <v:line style="position:absolute" from="1781,-1156" to="2193,-1156" stroked="true" strokeweight="1.063pt" strokecolor="#231f20"/>
            <v:shape style="position:absolute;left:1289;top:-1279;width:1314;height:512" coordorigin="1289,-1279" coordsize="1314,512" path="m1837,-835l1754,-838,1669,-848,1585,-863,1502,-884,1423,-909,1383,-924,1338,-949,1316,-980,1341,-1015,1378,-1034,1419,-1050,1461,-1062,1505,-1072,1506,-1057,1505,-1041,1503,-1026,1499,-1010,1590,-1072,1650,-1111,1473,-1151,1482,-1138,1489,-1124,1496,-1110,1500,-1095,1451,-1084,1402,-1070,1357,-1051,1317,-1027,1289,-985,1305,-947,1350,-915,1407,-889,1463,-871,1501,-860,1584,-841,1668,-825,1753,-815,1837,-811,1837,-835m1872,-1278l1859,-1278,1859,-1272,1855,-1264,1838,-1264,1838,-1253,1857,-1253,1857,-1199,1872,-1199,1872,-1278m1951,-1237l1949,-1255,1945,-1266,1944,-1268,1935,-1276,1935,-1276,1935,-1258,1935,-1217,1932,-1209,1914,-1209,1912,-1217,1912,-1258,1914,-1266,1932,-1266,1935,-1258,1935,-1276,1923,-1278,1911,-1276,1903,-1268,1897,-1255,1896,-1237,1897,-1219,1903,-1206,1911,-1199,1923,-1197,1935,-1199,1944,-1206,1945,-1209,1949,-1219,1951,-1237m2078,-1253l2069,-1260,2048,-1260,2043,-1253,2041,-1250,2037,-1257,2033,-1260,2014,-1260,2010,-1253,2008,-1249,2008,-1249,2008,-1258,1993,-1258,1993,-1199,2008,-1199,2008,-1241,2011,-1247,2027,-1247,2027,-1199,2043,-1199,2043,-1241,2046,-1247,2058,-1247,2062,-1244,2062,-1199,2078,-1199,2078,-1247,2078,-1249,2078,-1250,2078,-1253m2150,-1213l2110,-1213,2110,-1279,2093,-1279,2093,-1199,2150,-1199,2150,-1213m2603,-985l2601,-1019,2561,-1055,2507,-1080,2448,-1099,2388,-1113,2329,-1124,2325,-1101,2376,-1091,2428,-1079,2478,-1064,2527,-1045,2574,-1010,2567,-976,2524,-947,2462,-922,2402,-904,2360,-893,2302,-880,2243,-869,2183,-860,2123,-854,2126,-868,2129,-883,2134,-897,2140,-911,1973,-839,2140,-768,2133,-783,2128,-799,2125,-814,2123,-830,2156,-833,2188,-837,2221,-842,2253,-847,2283,-853,2288,-854,2333,-864,2396,-880,2463,-900,2526,-925,2575,-953,2603,-985e" filled="true" fillcolor="#231f20" stroked="false">
              <v:path arrowok="t"/>
              <v:fill type="solid"/>
            </v:shape>
            <w10:wrap type="none"/>
          </v:group>
        </w:pict>
      </w:r>
      <w:r>
        <w:rPr>
          <w:sz w:val="20"/>
        </w:rPr>
        <w:t>Swirl the prepared sample to remove any</w:t>
      </w:r>
      <w:r>
        <w:rPr>
          <w:spacing w:val="-38"/>
          <w:sz w:val="20"/>
        </w:rPr>
        <w:t> </w:t>
      </w:r>
      <w:r>
        <w:rPr>
          <w:sz w:val="20"/>
        </w:rPr>
        <w:t>gas bubbles and uniformly suspend any</w:t>
      </w:r>
      <w:r>
        <w:rPr>
          <w:spacing w:val="-14"/>
          <w:sz w:val="20"/>
        </w:rPr>
        <w:t> </w:t>
      </w:r>
      <w:r>
        <w:rPr>
          <w:sz w:val="20"/>
        </w:rPr>
        <w:t>residue.</w:t>
      </w:r>
    </w:p>
    <w:p>
      <w:pPr>
        <w:pStyle w:val="ListParagraph"/>
        <w:numPr>
          <w:ilvl w:val="0"/>
          <w:numId w:val="29"/>
        </w:numPr>
        <w:tabs>
          <w:tab w:pos="485" w:val="left" w:leader="none"/>
        </w:tabs>
        <w:spacing w:line="249" w:lineRule="auto" w:before="69" w:after="0"/>
        <w:ind w:left="125" w:right="5375" w:firstLine="0"/>
        <w:jc w:val="left"/>
        <w:rPr>
          <w:sz w:val="20"/>
        </w:rPr>
      </w:pPr>
      <w:r>
        <w:rPr>
          <w:spacing w:val="1"/>
          <w:w w:val="99"/>
          <w:sz w:val="20"/>
        </w:rPr>
        <w:br w:type="column"/>
      </w:r>
      <w:r>
        <w:rPr>
          <w:sz w:val="20"/>
        </w:rPr>
        <w:t>Insert the prepared sample into the cell</w:t>
      </w:r>
      <w:r>
        <w:rPr>
          <w:spacing w:val="-20"/>
          <w:sz w:val="20"/>
        </w:rPr>
        <w:t> </w:t>
      </w:r>
      <w:r>
        <w:rPr>
          <w:sz w:val="20"/>
        </w:rPr>
        <w:t>holder with the fill line facing the user.</w:t>
      </w:r>
    </w:p>
    <w:p>
      <w:pPr>
        <w:spacing w:before="121"/>
        <w:ind w:left="124" w:right="0" w:firstLine="0"/>
        <w:jc w:val="left"/>
        <w:rPr>
          <w:sz w:val="20"/>
        </w:rPr>
      </w:pPr>
      <w:r>
        <w:rPr>
          <w:sz w:val="20"/>
        </w:rPr>
        <w:t>Results are in mg/L TSS.</w:t>
      </w:r>
    </w:p>
    <w:p>
      <w:pPr>
        <w:spacing w:after="0"/>
        <w:jc w:val="left"/>
        <w:rPr>
          <w:sz w:val="20"/>
        </w:rPr>
        <w:sectPr>
          <w:type w:val="continuous"/>
          <w:pgSz w:w="11900" w:h="15840"/>
          <w:pgMar w:top="0" w:bottom="0" w:left="600" w:right="920"/>
          <w:cols w:num="2" w:equalWidth="0">
            <w:col w:w="2439" w:space="127"/>
            <w:col w:w="7814"/>
          </w:cols>
        </w:sectPr>
      </w:pPr>
    </w:p>
    <w:p>
      <w:pPr>
        <w:pStyle w:val="BodyText"/>
        <w:spacing w:before="5"/>
        <w:rPr>
          <w:sz w:val="21"/>
        </w:rPr>
      </w:pPr>
    </w:p>
    <w:p>
      <w:pPr>
        <w:pStyle w:val="BodyText"/>
        <w:spacing w:line="21" w:lineRule="exact"/>
        <w:ind w:left="114"/>
        <w:rPr>
          <w:sz w:val="2"/>
        </w:rPr>
      </w:pPr>
      <w:r>
        <w:rPr>
          <w:sz w:val="2"/>
        </w:rPr>
        <w:pict>
          <v:group style="width:505.15pt;height:1.05pt;mso-position-horizontal-relative:char;mso-position-vertical-relative:line" coordorigin="0,0" coordsize="10103,21">
            <v:line style="position:absolute" from="10,10" to="10,10" stroked="true" strokeweight="1.02pt" strokecolor="#000000"/>
            <v:line style="position:absolute" from="10,10" to="10092,10" stroked="true" strokeweight="1.02pt" strokecolor="#000000"/>
          </v:group>
        </w:pict>
      </w:r>
      <w:r>
        <w:rPr>
          <w:sz w:val="2"/>
        </w:rPr>
      </w:r>
    </w:p>
    <w:p>
      <w:pPr>
        <w:pStyle w:val="BodyText"/>
        <w:spacing w:before="6"/>
        <w:rPr>
          <w:sz w:val="29"/>
        </w:rPr>
      </w:pPr>
    </w:p>
    <w:p>
      <w:pPr>
        <w:pStyle w:val="Heading3"/>
        <w:spacing w:before="64"/>
        <w:ind w:left="124" w:right="1109"/>
      </w:pPr>
      <w:r>
        <w:rPr/>
        <w:t>Interferences</w:t>
      </w:r>
    </w:p>
    <w:p>
      <w:pPr>
        <w:pStyle w:val="BodyText"/>
        <w:spacing w:before="2"/>
        <w:rPr>
          <w:b/>
          <w:sz w:val="9"/>
        </w:rPr>
      </w:pPr>
    </w:p>
    <w:p>
      <w:pPr>
        <w:spacing w:line="249" w:lineRule="auto" w:before="74"/>
        <w:ind w:left="1926" w:right="125" w:firstLine="0"/>
        <w:jc w:val="left"/>
        <w:rPr>
          <w:sz w:val="20"/>
        </w:rPr>
      </w:pPr>
      <w:r>
        <w:rPr>
          <w:sz w:val="20"/>
        </w:rPr>
        <w:t>Samples that absorb strongly at 810 nm, such as blue dyes, may give false, high-bias readings. A user-entered calibration is advised for these samples.</w:t>
      </w:r>
    </w:p>
    <w:p>
      <w:pPr>
        <w:pStyle w:val="BodyText"/>
        <w:spacing w:before="11"/>
        <w:rPr>
          <w:sz w:val="20"/>
        </w:rPr>
      </w:pPr>
    </w:p>
    <w:p>
      <w:pPr>
        <w:spacing w:line="249" w:lineRule="auto" w:before="0"/>
        <w:ind w:left="1926" w:right="125" w:firstLine="0"/>
        <w:jc w:val="left"/>
        <w:rPr>
          <w:sz w:val="20"/>
        </w:rPr>
      </w:pPr>
      <w:r>
        <w:rPr>
          <w:sz w:val="20"/>
        </w:rPr>
        <w:t>Calibration </w:t>
      </w:r>
      <w:r>
        <w:rPr>
          <w:spacing w:val="-3"/>
          <w:sz w:val="20"/>
        </w:rPr>
        <w:t>for </w:t>
      </w:r>
      <w:r>
        <w:rPr>
          <w:sz w:val="20"/>
        </w:rPr>
        <w:t>this test is based on parallel samples using the gravimetric technique on sewage</w:t>
      </w:r>
      <w:r>
        <w:rPr>
          <w:spacing w:val="-13"/>
          <w:sz w:val="20"/>
        </w:rPr>
        <w:t> </w:t>
      </w:r>
      <w:r>
        <w:rPr>
          <w:sz w:val="20"/>
        </w:rPr>
        <w:t>samples</w:t>
      </w:r>
      <w:r>
        <w:rPr>
          <w:spacing w:val="-13"/>
          <w:sz w:val="20"/>
        </w:rPr>
        <w:t> </w:t>
      </w:r>
      <w:r>
        <w:rPr>
          <w:sz w:val="20"/>
        </w:rPr>
        <w:t>from</w:t>
      </w:r>
      <w:r>
        <w:rPr>
          <w:spacing w:val="-12"/>
          <w:sz w:val="20"/>
        </w:rPr>
        <w:t> </w:t>
      </w:r>
      <w:r>
        <w:rPr>
          <w:sz w:val="20"/>
        </w:rPr>
        <w:t>a</w:t>
      </w:r>
      <w:r>
        <w:rPr>
          <w:spacing w:val="-13"/>
          <w:sz w:val="20"/>
        </w:rPr>
        <w:t> </w:t>
      </w:r>
      <w:r>
        <w:rPr>
          <w:sz w:val="20"/>
        </w:rPr>
        <w:t>municipal</w:t>
      </w:r>
      <w:r>
        <w:rPr>
          <w:spacing w:val="-13"/>
          <w:sz w:val="20"/>
        </w:rPr>
        <w:t> </w:t>
      </w:r>
      <w:r>
        <w:rPr>
          <w:sz w:val="20"/>
        </w:rPr>
        <w:t>sewage</w:t>
      </w:r>
      <w:r>
        <w:rPr>
          <w:spacing w:val="-13"/>
          <w:sz w:val="20"/>
        </w:rPr>
        <w:t> </w:t>
      </w:r>
      <w:r>
        <w:rPr>
          <w:sz w:val="20"/>
        </w:rPr>
        <w:t>plant.</w:t>
      </w:r>
      <w:r>
        <w:rPr>
          <w:spacing w:val="-11"/>
          <w:sz w:val="20"/>
        </w:rPr>
        <w:t> </w:t>
      </w:r>
      <w:r>
        <w:rPr>
          <w:spacing w:val="-3"/>
          <w:sz w:val="20"/>
        </w:rPr>
        <w:t>For</w:t>
      </w:r>
      <w:r>
        <w:rPr>
          <w:spacing w:val="-13"/>
          <w:sz w:val="20"/>
        </w:rPr>
        <w:t> </w:t>
      </w:r>
      <w:r>
        <w:rPr>
          <w:sz w:val="20"/>
        </w:rPr>
        <w:t>most</w:t>
      </w:r>
      <w:r>
        <w:rPr>
          <w:spacing w:val="-13"/>
          <w:sz w:val="20"/>
        </w:rPr>
        <w:t> </w:t>
      </w:r>
      <w:r>
        <w:rPr>
          <w:sz w:val="20"/>
        </w:rPr>
        <w:t>samples,</w:t>
      </w:r>
      <w:r>
        <w:rPr>
          <w:spacing w:val="-13"/>
          <w:sz w:val="20"/>
        </w:rPr>
        <w:t> </w:t>
      </w:r>
      <w:r>
        <w:rPr>
          <w:sz w:val="20"/>
        </w:rPr>
        <w:t>this</w:t>
      </w:r>
      <w:r>
        <w:rPr>
          <w:spacing w:val="-13"/>
          <w:sz w:val="20"/>
        </w:rPr>
        <w:t> </w:t>
      </w:r>
      <w:r>
        <w:rPr>
          <w:sz w:val="20"/>
        </w:rPr>
        <w:t>calibration</w:t>
      </w:r>
      <w:r>
        <w:rPr>
          <w:spacing w:val="-13"/>
          <w:sz w:val="20"/>
        </w:rPr>
        <w:t> </w:t>
      </w:r>
      <w:r>
        <w:rPr>
          <w:sz w:val="20"/>
        </w:rPr>
        <w:t>will</w:t>
      </w:r>
      <w:r>
        <w:rPr>
          <w:spacing w:val="-13"/>
          <w:sz w:val="20"/>
        </w:rPr>
        <w:t> </w:t>
      </w:r>
      <w:r>
        <w:rPr>
          <w:sz w:val="20"/>
        </w:rPr>
        <w:t>provide satisfactory results. When higher accuracy is required, run parallel spectrophotometric and gravimetric determinations with portions of the same sample. The new calibration should be made</w:t>
      </w:r>
      <w:r>
        <w:rPr>
          <w:spacing w:val="-4"/>
          <w:sz w:val="20"/>
        </w:rPr>
        <w:t> </w:t>
      </w:r>
      <w:r>
        <w:rPr>
          <w:sz w:val="20"/>
        </w:rPr>
        <w:t>on</w:t>
      </w:r>
      <w:r>
        <w:rPr>
          <w:spacing w:val="-4"/>
          <w:sz w:val="20"/>
        </w:rPr>
        <w:t> </w:t>
      </w:r>
      <w:r>
        <w:rPr>
          <w:sz w:val="20"/>
        </w:rPr>
        <w:t>your</w:t>
      </w:r>
      <w:r>
        <w:rPr>
          <w:spacing w:val="-4"/>
          <w:sz w:val="20"/>
        </w:rPr>
        <w:t> </w:t>
      </w:r>
      <w:r>
        <w:rPr>
          <w:sz w:val="20"/>
        </w:rPr>
        <w:t>particular</w:t>
      </w:r>
      <w:r>
        <w:rPr>
          <w:spacing w:val="-4"/>
          <w:sz w:val="20"/>
        </w:rPr>
        <w:t> </w:t>
      </w:r>
      <w:r>
        <w:rPr>
          <w:sz w:val="20"/>
        </w:rPr>
        <w:t>sample</w:t>
      </w:r>
      <w:r>
        <w:rPr>
          <w:spacing w:val="-4"/>
          <w:sz w:val="20"/>
        </w:rPr>
        <w:t> </w:t>
      </w:r>
      <w:r>
        <w:rPr>
          <w:sz w:val="20"/>
        </w:rPr>
        <w:t>using</w:t>
      </w:r>
      <w:r>
        <w:rPr>
          <w:spacing w:val="-4"/>
          <w:sz w:val="20"/>
        </w:rPr>
        <w:t> </w:t>
      </w:r>
      <w:r>
        <w:rPr>
          <w:sz w:val="20"/>
        </w:rPr>
        <w:t>a</w:t>
      </w:r>
      <w:r>
        <w:rPr>
          <w:spacing w:val="-4"/>
          <w:sz w:val="20"/>
        </w:rPr>
        <w:t> </w:t>
      </w:r>
      <w:r>
        <w:rPr>
          <w:sz w:val="20"/>
        </w:rPr>
        <w:t>gravimetric</w:t>
      </w:r>
      <w:r>
        <w:rPr>
          <w:spacing w:val="-4"/>
          <w:sz w:val="20"/>
        </w:rPr>
        <w:t> </w:t>
      </w:r>
      <w:r>
        <w:rPr>
          <w:sz w:val="20"/>
        </w:rPr>
        <w:t>technique</w:t>
      </w:r>
      <w:r>
        <w:rPr>
          <w:spacing w:val="-4"/>
          <w:sz w:val="20"/>
        </w:rPr>
        <w:t> </w:t>
      </w:r>
      <w:r>
        <w:rPr>
          <w:sz w:val="20"/>
        </w:rPr>
        <w:t>as</w:t>
      </w:r>
      <w:r>
        <w:rPr>
          <w:spacing w:val="-4"/>
          <w:sz w:val="20"/>
        </w:rPr>
        <w:t> </w:t>
      </w:r>
      <w:r>
        <w:rPr>
          <w:sz w:val="20"/>
        </w:rPr>
        <w:t>a</w:t>
      </w:r>
      <w:r>
        <w:rPr>
          <w:spacing w:val="-4"/>
          <w:sz w:val="20"/>
        </w:rPr>
        <w:t> </w:t>
      </w:r>
      <w:r>
        <w:rPr>
          <w:sz w:val="20"/>
        </w:rPr>
        <w:t>basis.</w:t>
      </w:r>
    </w:p>
    <w:p>
      <w:pPr>
        <w:pStyle w:val="BodyText"/>
        <w:rPr>
          <w:sz w:val="26"/>
        </w:rPr>
      </w:pPr>
    </w:p>
    <w:p>
      <w:pPr>
        <w:pStyle w:val="Heading3"/>
        <w:ind w:left="124" w:right="1109"/>
      </w:pPr>
      <w:r>
        <w:rPr/>
        <w:t>Sampling and Storage</w:t>
      </w:r>
    </w:p>
    <w:p>
      <w:pPr>
        <w:spacing w:line="249" w:lineRule="auto" w:before="179"/>
        <w:ind w:left="1926" w:right="125" w:firstLine="0"/>
        <w:jc w:val="left"/>
        <w:rPr>
          <w:sz w:val="20"/>
        </w:rPr>
      </w:pPr>
      <w:r>
        <w:rPr>
          <w:sz w:val="20"/>
        </w:rPr>
        <w:t>Collect samples in clean plastic or glass bottles. Analyze samples as soon as possible after collection. The sample may be stored seven days by cooling to 4 °C (39 °F).</w:t>
      </w:r>
    </w:p>
    <w:p>
      <w:pPr>
        <w:pStyle w:val="BodyText"/>
        <w:rPr>
          <w:sz w:val="20"/>
        </w:rPr>
      </w:pPr>
    </w:p>
    <w:p>
      <w:pPr>
        <w:pStyle w:val="BodyText"/>
        <w:rPr>
          <w:sz w:val="20"/>
        </w:rPr>
      </w:pPr>
    </w:p>
    <w:p>
      <w:pPr>
        <w:pStyle w:val="BodyText"/>
        <w:rPr>
          <w:sz w:val="26"/>
        </w:rPr>
      </w:pPr>
      <w:r>
        <w:rPr/>
        <w:pict>
          <v:group style="position:absolute;margin-left:35.715pt;margin-top:16.899137pt;width:505.15pt;height:1.05pt;mso-position-horizontal-relative:page;mso-position-vertical-relative:paragraph;z-index:15280;mso-wrap-distance-left:0;mso-wrap-distance-right:0" coordorigin="714,338" coordsize="10103,21">
            <v:line style="position:absolute" from="725,348" to="725,348" stroked="true" strokeweight="1.02pt" strokecolor="#000000"/>
            <v:line style="position:absolute" from="725,348" to="10806,348" stroked="true" strokeweight="1.02pt" strokecolor="#000000"/>
            <w10:wrap type="topAndBottom"/>
          </v:group>
        </w:pict>
      </w:r>
    </w:p>
    <w:p>
      <w:pPr>
        <w:spacing w:line="207" w:lineRule="exact" w:before="0"/>
        <w:ind w:left="124" w:right="1109" w:firstLine="0"/>
        <w:jc w:val="left"/>
        <w:rPr>
          <w:b/>
          <w:sz w:val="20"/>
        </w:rPr>
      </w:pPr>
      <w:r>
        <w:rPr>
          <w:b/>
          <w:sz w:val="20"/>
        </w:rPr>
        <w:t>Suspended Solids</w:t>
      </w:r>
    </w:p>
    <w:p>
      <w:pPr>
        <w:tabs>
          <w:tab w:pos="7683" w:val="left" w:leader="none"/>
        </w:tabs>
        <w:spacing w:before="10"/>
        <w:ind w:left="124" w:right="125" w:firstLine="0"/>
        <w:jc w:val="left"/>
        <w:rPr>
          <w:sz w:val="14"/>
        </w:rPr>
      </w:pPr>
      <w:r>
        <w:rPr>
          <w:b/>
          <w:sz w:val="20"/>
        </w:rPr>
        <w:t>Page 2</w:t>
      </w:r>
      <w:r>
        <w:rPr>
          <w:b/>
          <w:spacing w:val="-5"/>
          <w:sz w:val="20"/>
        </w:rPr>
        <w:t> </w:t>
      </w:r>
      <w:r>
        <w:rPr>
          <w:b/>
          <w:sz w:val="20"/>
        </w:rPr>
        <w:t>of</w:t>
      </w:r>
      <w:r>
        <w:rPr>
          <w:b/>
          <w:spacing w:val="-3"/>
          <w:sz w:val="20"/>
        </w:rPr>
        <w:t> </w:t>
      </w:r>
      <w:r>
        <w:rPr>
          <w:b/>
          <w:sz w:val="20"/>
        </w:rPr>
        <w:t>4</w:t>
        <w:tab/>
      </w:r>
      <w:r>
        <w:rPr>
          <w:sz w:val="14"/>
        </w:rPr>
        <w:t>SuspendedSolids_8006_Photometric.fm</w:t>
      </w:r>
    </w:p>
    <w:p>
      <w:pPr>
        <w:spacing w:after="0"/>
        <w:jc w:val="left"/>
        <w:rPr>
          <w:sz w:val="14"/>
        </w:rPr>
        <w:sectPr>
          <w:type w:val="continuous"/>
          <w:pgSz w:w="11900" w:h="15840"/>
          <w:pgMar w:top="0" w:bottom="0" w:left="600" w:right="920"/>
        </w:sectPr>
      </w:pPr>
    </w:p>
    <w:p>
      <w:pPr>
        <w:pStyle w:val="Heading4"/>
        <w:ind w:left="6342" w:right="80"/>
      </w:pPr>
      <w:r>
        <w:rPr/>
        <w:pict>
          <v:group style="position:absolute;margin-left:53.775002pt;margin-top:21.080879pt;width:505.05pt;height:1.05pt;mso-position-horizontal-relative:page;mso-position-vertical-relative:paragraph;z-index:15376;mso-wrap-distance-left:0;mso-wrap-distance-right:0" coordorigin="1076,422" coordsize="10101,21">
            <v:line style="position:absolute" from="1086,432" to="1086,432" stroked="true" strokeweight="1.02pt" strokecolor="#000000"/>
            <v:line style="position:absolute" from="1086,432" to="11166,432" stroked="true" strokeweight="1.02pt" strokecolor="#000000"/>
            <w10:wrap type="topAndBottom"/>
          </v:group>
        </w:pict>
      </w:r>
      <w:r>
        <w:rPr/>
        <w:t>Suspended Solids (5 to 750 mg/L)</w:t>
      </w:r>
    </w:p>
    <w:p>
      <w:pPr>
        <w:pStyle w:val="BodyText"/>
        <w:spacing w:before="8"/>
        <w:rPr>
          <w:b/>
          <w:sz w:val="19"/>
        </w:rPr>
      </w:pPr>
    </w:p>
    <w:p>
      <w:pPr>
        <w:spacing w:before="64"/>
        <w:ind w:left="125" w:right="80" w:firstLine="0"/>
        <w:jc w:val="left"/>
        <w:rPr>
          <w:b/>
          <w:sz w:val="28"/>
        </w:rPr>
      </w:pPr>
      <w:r>
        <w:rPr>
          <w:b/>
          <w:sz w:val="28"/>
        </w:rPr>
        <w:t>Summary of Method</w:t>
      </w:r>
    </w:p>
    <w:p>
      <w:pPr>
        <w:spacing w:line="249" w:lineRule="auto" w:before="180"/>
        <w:ind w:left="1926" w:right="80" w:firstLine="0"/>
        <w:jc w:val="left"/>
        <w:rPr>
          <w:sz w:val="20"/>
        </w:rPr>
      </w:pPr>
      <w:r>
        <w:rPr>
          <w:sz w:val="20"/>
        </w:rPr>
        <w:t>This method of determining suspended solids is a simple, direct measurement which does not require the filtration or ignition/weighing steps that gravimetric procedures do. The USEPA specifies the gravimetric method for solids determinations, while this method is often used for checking in-plant processes. Test results as mg/L total suspended solids (TSS) are measured at 810 nm.</w:t>
      </w:r>
    </w:p>
    <w:p>
      <w:pPr>
        <w:pStyle w:val="BodyText"/>
        <w:rPr>
          <w:sz w:val="26"/>
        </w:rPr>
      </w:pPr>
    </w:p>
    <w:p>
      <w:pPr>
        <w:pStyle w:val="Heading3"/>
        <w:ind w:right="80"/>
      </w:pPr>
      <w:r>
        <w:rPr/>
        <w:t>Consumables and Replacement Items</w:t>
      </w:r>
    </w:p>
    <w:p>
      <w:pPr>
        <w:pStyle w:val="BodyText"/>
        <w:spacing w:before="11"/>
        <w:rPr>
          <w:b/>
          <w:sz w:val="39"/>
        </w:rPr>
      </w:pPr>
    </w:p>
    <w:p>
      <w:pPr>
        <w:spacing w:before="0"/>
        <w:ind w:left="125" w:right="80" w:firstLine="0"/>
        <w:jc w:val="left"/>
        <w:rPr>
          <w:b/>
          <w:sz w:val="20"/>
        </w:rPr>
      </w:pPr>
      <w:r>
        <w:rPr>
          <w:b/>
          <w:sz w:val="20"/>
        </w:rPr>
        <w:t>Required Apparatus</w:t>
      </w:r>
    </w:p>
    <w:p>
      <w:pPr>
        <w:pStyle w:val="BodyText"/>
        <w:spacing w:before="7"/>
        <w:rPr>
          <w:b/>
          <w:sz w:val="8"/>
        </w:rPr>
      </w:pPr>
    </w:p>
    <w:tbl>
      <w:tblPr>
        <w:tblW w:w="0" w:type="auto"/>
        <w:jc w:val="left"/>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32"/>
        <w:gridCol w:w="2403"/>
        <w:gridCol w:w="1130"/>
        <w:gridCol w:w="1514"/>
      </w:tblGrid>
      <w:tr>
        <w:trPr>
          <w:trHeight w:val="380" w:hRule="exact"/>
        </w:trPr>
        <w:tc>
          <w:tcPr>
            <w:tcW w:w="5032" w:type="dxa"/>
            <w:tcBorders>
              <w:left w:val="single" w:sz="2" w:space="0" w:color="000000"/>
              <w:right w:val="nil"/>
            </w:tcBorders>
          </w:tcPr>
          <w:p>
            <w:pPr>
              <w:pStyle w:val="TableParagraph"/>
              <w:spacing w:before="66"/>
              <w:ind w:left="77" w:right="0"/>
              <w:jc w:val="left"/>
              <w:rPr>
                <w:rFonts w:ascii="Arial"/>
                <w:b/>
                <w:sz w:val="18"/>
              </w:rPr>
            </w:pPr>
            <w:r>
              <w:rPr>
                <w:rFonts w:ascii="Arial"/>
                <w:b/>
                <w:sz w:val="18"/>
              </w:rPr>
              <w:t>Description</w:t>
            </w:r>
          </w:p>
        </w:tc>
        <w:tc>
          <w:tcPr>
            <w:tcW w:w="2403" w:type="dxa"/>
            <w:tcBorders>
              <w:left w:val="nil"/>
              <w:right w:val="nil"/>
            </w:tcBorders>
          </w:tcPr>
          <w:p>
            <w:pPr>
              <w:pStyle w:val="TableParagraph"/>
              <w:spacing w:before="66"/>
              <w:ind w:left="945" w:right="268"/>
              <w:jc w:val="center"/>
              <w:rPr>
                <w:rFonts w:ascii="Arial"/>
                <w:b/>
                <w:sz w:val="18"/>
              </w:rPr>
            </w:pPr>
            <w:r>
              <w:rPr>
                <w:rFonts w:ascii="Arial"/>
                <w:b/>
                <w:sz w:val="18"/>
              </w:rPr>
              <w:t>Quantity/Test</w:t>
            </w:r>
          </w:p>
        </w:tc>
        <w:tc>
          <w:tcPr>
            <w:tcW w:w="1130" w:type="dxa"/>
            <w:tcBorders>
              <w:left w:val="nil"/>
              <w:right w:val="nil"/>
            </w:tcBorders>
          </w:tcPr>
          <w:p>
            <w:pPr>
              <w:pStyle w:val="TableParagraph"/>
              <w:spacing w:before="66"/>
              <w:ind w:left="338" w:right="0"/>
              <w:jc w:val="left"/>
              <w:rPr>
                <w:rFonts w:ascii="Arial"/>
                <w:b/>
                <w:sz w:val="18"/>
              </w:rPr>
            </w:pPr>
            <w:r>
              <w:rPr>
                <w:rFonts w:ascii="Arial"/>
                <w:b/>
                <w:sz w:val="18"/>
              </w:rPr>
              <w:t>Unit</w:t>
            </w:r>
          </w:p>
        </w:tc>
        <w:tc>
          <w:tcPr>
            <w:tcW w:w="1514" w:type="dxa"/>
            <w:tcBorders>
              <w:left w:val="nil"/>
              <w:right w:val="single" w:sz="2" w:space="0" w:color="000000"/>
            </w:tcBorders>
          </w:tcPr>
          <w:p>
            <w:pPr>
              <w:pStyle w:val="TableParagraph"/>
              <w:spacing w:before="66"/>
              <w:ind w:left="375" w:right="333"/>
              <w:jc w:val="center"/>
              <w:rPr>
                <w:rFonts w:ascii="Arial"/>
                <w:b/>
                <w:sz w:val="18"/>
              </w:rPr>
            </w:pPr>
            <w:r>
              <w:rPr>
                <w:rFonts w:ascii="Arial"/>
                <w:b/>
                <w:sz w:val="18"/>
              </w:rPr>
              <w:t>Cat. No.</w:t>
            </w:r>
          </w:p>
        </w:tc>
      </w:tr>
      <w:tr>
        <w:trPr>
          <w:trHeight w:val="300" w:hRule="exact"/>
        </w:trPr>
        <w:tc>
          <w:tcPr>
            <w:tcW w:w="5032" w:type="dxa"/>
            <w:tcBorders>
              <w:left w:val="single" w:sz="2" w:space="0" w:color="000000"/>
              <w:bottom w:val="nil"/>
              <w:right w:val="nil"/>
            </w:tcBorders>
            <w:shd w:val="clear" w:color="auto" w:fill="E6E6FF"/>
          </w:tcPr>
          <w:p>
            <w:pPr>
              <w:pStyle w:val="TableParagraph"/>
              <w:spacing w:before="26"/>
              <w:ind w:left="77" w:right="0"/>
              <w:jc w:val="left"/>
              <w:rPr>
                <w:rFonts w:ascii="Arial"/>
                <w:sz w:val="18"/>
              </w:rPr>
            </w:pPr>
            <w:r>
              <w:rPr>
                <w:rFonts w:ascii="Arial"/>
                <w:sz w:val="18"/>
              </w:rPr>
              <w:t>Beaker, 600-mL, polypropylene</w:t>
            </w:r>
          </w:p>
        </w:tc>
        <w:tc>
          <w:tcPr>
            <w:tcW w:w="2403" w:type="dxa"/>
            <w:tcBorders>
              <w:left w:val="nil"/>
              <w:bottom w:val="nil"/>
              <w:right w:val="nil"/>
            </w:tcBorders>
            <w:shd w:val="clear" w:color="auto" w:fill="E6E6FF"/>
          </w:tcPr>
          <w:p>
            <w:pPr>
              <w:pStyle w:val="TableParagraph"/>
              <w:spacing w:before="26"/>
              <w:ind w:left="679" w:right="0"/>
              <w:jc w:val="center"/>
              <w:rPr>
                <w:rFonts w:ascii="Arial"/>
                <w:sz w:val="18"/>
              </w:rPr>
            </w:pPr>
            <w:r>
              <w:rPr>
                <w:rFonts w:ascii="Arial"/>
                <w:sz w:val="18"/>
              </w:rPr>
              <w:t>1</w:t>
            </w:r>
          </w:p>
        </w:tc>
        <w:tc>
          <w:tcPr>
            <w:tcW w:w="1130" w:type="dxa"/>
            <w:tcBorders>
              <w:left w:val="nil"/>
              <w:bottom w:val="nil"/>
              <w:right w:val="nil"/>
            </w:tcBorders>
            <w:shd w:val="clear" w:color="auto" w:fill="E6E6FF"/>
          </w:tcPr>
          <w:p>
            <w:pPr>
              <w:pStyle w:val="TableParagraph"/>
              <w:spacing w:before="26"/>
              <w:ind w:left="319" w:right="0"/>
              <w:jc w:val="left"/>
              <w:rPr>
                <w:rFonts w:ascii="Arial"/>
                <w:sz w:val="18"/>
              </w:rPr>
            </w:pPr>
            <w:r>
              <w:rPr>
                <w:rFonts w:ascii="Arial"/>
                <w:sz w:val="18"/>
              </w:rPr>
              <w:t>each</w:t>
            </w:r>
          </w:p>
        </w:tc>
        <w:tc>
          <w:tcPr>
            <w:tcW w:w="1514" w:type="dxa"/>
            <w:tcBorders>
              <w:left w:val="nil"/>
              <w:bottom w:val="nil"/>
              <w:right w:val="single" w:sz="2" w:space="0" w:color="000000"/>
            </w:tcBorders>
            <w:shd w:val="clear" w:color="auto" w:fill="E6E6FF"/>
          </w:tcPr>
          <w:p>
            <w:pPr>
              <w:pStyle w:val="TableParagraph"/>
              <w:spacing w:before="26"/>
              <w:ind w:left="375" w:right="332"/>
              <w:jc w:val="center"/>
              <w:rPr>
                <w:rFonts w:ascii="Arial"/>
                <w:sz w:val="18"/>
              </w:rPr>
            </w:pPr>
            <w:r>
              <w:rPr>
                <w:rFonts w:ascii="Arial"/>
                <w:sz w:val="18"/>
              </w:rPr>
              <w:t>1080-52</w:t>
            </w:r>
          </w:p>
        </w:tc>
      </w:tr>
      <w:tr>
        <w:trPr>
          <w:trHeight w:val="300" w:hRule="exact"/>
        </w:trPr>
        <w:tc>
          <w:tcPr>
            <w:tcW w:w="5032" w:type="dxa"/>
            <w:tcBorders>
              <w:top w:val="nil"/>
              <w:left w:val="single" w:sz="2" w:space="0" w:color="000000"/>
              <w:bottom w:val="nil"/>
              <w:right w:val="nil"/>
            </w:tcBorders>
          </w:tcPr>
          <w:p>
            <w:pPr>
              <w:pStyle w:val="TableParagraph"/>
              <w:spacing w:before="31"/>
              <w:ind w:left="78" w:right="0"/>
              <w:jc w:val="left"/>
              <w:rPr>
                <w:rFonts w:ascii="Arial"/>
                <w:sz w:val="18"/>
              </w:rPr>
            </w:pPr>
            <w:r>
              <w:rPr>
                <w:rFonts w:ascii="Arial"/>
                <w:sz w:val="18"/>
              </w:rPr>
              <w:t>Blender, 1.2-L, 120 VAC</w:t>
            </w:r>
          </w:p>
        </w:tc>
        <w:tc>
          <w:tcPr>
            <w:tcW w:w="2403" w:type="dxa"/>
            <w:tcBorders>
              <w:top w:val="nil"/>
              <w:left w:val="nil"/>
              <w:bottom w:val="nil"/>
              <w:right w:val="nil"/>
            </w:tcBorders>
          </w:tcPr>
          <w:p>
            <w:pPr>
              <w:pStyle w:val="TableParagraph"/>
              <w:spacing w:before="31"/>
              <w:ind w:left="677" w:right="0"/>
              <w:jc w:val="center"/>
              <w:rPr>
                <w:rFonts w:ascii="Arial"/>
                <w:sz w:val="18"/>
              </w:rPr>
            </w:pPr>
            <w:r>
              <w:rPr>
                <w:rFonts w:ascii="Arial"/>
                <w:sz w:val="18"/>
              </w:rPr>
              <w:t>1</w:t>
            </w:r>
          </w:p>
        </w:tc>
        <w:tc>
          <w:tcPr>
            <w:tcW w:w="1130" w:type="dxa"/>
            <w:tcBorders>
              <w:top w:val="nil"/>
              <w:left w:val="nil"/>
              <w:bottom w:val="nil"/>
              <w:right w:val="nil"/>
            </w:tcBorders>
          </w:tcPr>
          <w:p>
            <w:pPr>
              <w:pStyle w:val="TableParagraph"/>
              <w:spacing w:before="31"/>
              <w:ind w:left="318" w:right="0"/>
              <w:jc w:val="left"/>
              <w:rPr>
                <w:rFonts w:ascii="Arial"/>
                <w:sz w:val="18"/>
              </w:rPr>
            </w:pPr>
            <w:r>
              <w:rPr>
                <w:rFonts w:ascii="Arial"/>
                <w:sz w:val="18"/>
              </w:rPr>
              <w:t>each</w:t>
            </w:r>
          </w:p>
        </w:tc>
        <w:tc>
          <w:tcPr>
            <w:tcW w:w="1514" w:type="dxa"/>
            <w:tcBorders>
              <w:top w:val="nil"/>
              <w:left w:val="nil"/>
              <w:bottom w:val="nil"/>
              <w:right w:val="single" w:sz="2" w:space="0" w:color="000000"/>
            </w:tcBorders>
          </w:tcPr>
          <w:p>
            <w:pPr>
              <w:pStyle w:val="TableParagraph"/>
              <w:spacing w:before="31"/>
              <w:ind w:left="375" w:right="334"/>
              <w:jc w:val="center"/>
              <w:rPr>
                <w:rFonts w:ascii="Arial"/>
                <w:sz w:val="18"/>
              </w:rPr>
            </w:pPr>
            <w:r>
              <w:rPr>
                <w:rFonts w:ascii="Arial"/>
                <w:sz w:val="18"/>
              </w:rPr>
              <w:t>26161-00</w:t>
            </w:r>
          </w:p>
        </w:tc>
      </w:tr>
      <w:tr>
        <w:trPr>
          <w:trHeight w:val="300" w:hRule="exact"/>
        </w:trPr>
        <w:tc>
          <w:tcPr>
            <w:tcW w:w="5032"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Blender, 1.2 L, 240 VAC</w:t>
            </w:r>
          </w:p>
        </w:tc>
        <w:tc>
          <w:tcPr>
            <w:tcW w:w="2403" w:type="dxa"/>
            <w:tcBorders>
              <w:top w:val="nil"/>
              <w:left w:val="nil"/>
              <w:bottom w:val="nil"/>
              <w:right w:val="nil"/>
            </w:tcBorders>
            <w:shd w:val="clear" w:color="auto" w:fill="E6E6FF"/>
          </w:tcPr>
          <w:p>
            <w:pPr>
              <w:pStyle w:val="TableParagraph"/>
              <w:spacing w:before="31"/>
              <w:ind w:left="679" w:right="0"/>
              <w:jc w:val="center"/>
              <w:rPr>
                <w:rFonts w:ascii="Arial"/>
                <w:sz w:val="18"/>
              </w:rPr>
            </w:pPr>
            <w:r>
              <w:rPr>
                <w:rFonts w:ascii="Arial"/>
                <w:sz w:val="18"/>
              </w:rPr>
              <w:t>1</w:t>
            </w:r>
          </w:p>
        </w:tc>
        <w:tc>
          <w:tcPr>
            <w:tcW w:w="1130" w:type="dxa"/>
            <w:tcBorders>
              <w:top w:val="nil"/>
              <w:left w:val="nil"/>
              <w:bottom w:val="nil"/>
              <w:right w:val="nil"/>
            </w:tcBorders>
            <w:shd w:val="clear" w:color="auto" w:fill="E6E6FF"/>
          </w:tcPr>
          <w:p>
            <w:pPr>
              <w:pStyle w:val="TableParagraph"/>
              <w:spacing w:before="31"/>
              <w:ind w:left="319" w:right="0"/>
              <w:jc w:val="left"/>
              <w:rPr>
                <w:rFonts w:ascii="Arial"/>
                <w:sz w:val="18"/>
              </w:rPr>
            </w:pPr>
            <w:r>
              <w:rPr>
                <w:rFonts w:ascii="Arial"/>
                <w:sz w:val="18"/>
              </w:rPr>
              <w:t>each</w:t>
            </w:r>
          </w:p>
        </w:tc>
        <w:tc>
          <w:tcPr>
            <w:tcW w:w="1514" w:type="dxa"/>
            <w:tcBorders>
              <w:top w:val="nil"/>
              <w:left w:val="nil"/>
              <w:bottom w:val="nil"/>
              <w:right w:val="single" w:sz="2" w:space="0" w:color="000000"/>
            </w:tcBorders>
            <w:shd w:val="clear" w:color="auto" w:fill="E6E6FF"/>
          </w:tcPr>
          <w:p>
            <w:pPr>
              <w:pStyle w:val="TableParagraph"/>
              <w:spacing w:before="31"/>
              <w:ind w:left="375" w:right="333"/>
              <w:jc w:val="center"/>
              <w:rPr>
                <w:rFonts w:ascii="Arial"/>
                <w:sz w:val="18"/>
              </w:rPr>
            </w:pPr>
            <w:r>
              <w:rPr>
                <w:rFonts w:ascii="Arial"/>
                <w:sz w:val="18"/>
              </w:rPr>
              <w:t>26161-02</w:t>
            </w:r>
          </w:p>
        </w:tc>
      </w:tr>
      <w:tr>
        <w:trPr>
          <w:trHeight w:val="300" w:hRule="exact"/>
        </w:trPr>
        <w:tc>
          <w:tcPr>
            <w:tcW w:w="5032" w:type="dxa"/>
            <w:tcBorders>
              <w:top w:val="nil"/>
              <w:left w:val="single" w:sz="2" w:space="0" w:color="000000"/>
              <w:bottom w:val="nil"/>
              <w:right w:val="nil"/>
            </w:tcBorders>
          </w:tcPr>
          <w:p>
            <w:pPr>
              <w:pStyle w:val="TableParagraph"/>
              <w:spacing w:before="31"/>
              <w:ind w:left="78" w:right="0"/>
              <w:jc w:val="left"/>
              <w:rPr>
                <w:rFonts w:ascii="Arial"/>
                <w:sz w:val="18"/>
              </w:rPr>
            </w:pPr>
            <w:r>
              <w:rPr>
                <w:rFonts w:ascii="Arial"/>
                <w:sz w:val="18"/>
              </w:rPr>
              <w:t>Cylinder, 500-mL graduated, polypropylene</w:t>
            </w:r>
          </w:p>
        </w:tc>
        <w:tc>
          <w:tcPr>
            <w:tcW w:w="2403" w:type="dxa"/>
            <w:tcBorders>
              <w:top w:val="nil"/>
              <w:left w:val="nil"/>
              <w:bottom w:val="nil"/>
              <w:right w:val="nil"/>
            </w:tcBorders>
          </w:tcPr>
          <w:p>
            <w:pPr>
              <w:pStyle w:val="TableParagraph"/>
              <w:spacing w:before="31"/>
              <w:ind w:left="677" w:right="0"/>
              <w:jc w:val="center"/>
              <w:rPr>
                <w:rFonts w:ascii="Arial"/>
                <w:sz w:val="18"/>
              </w:rPr>
            </w:pPr>
            <w:r>
              <w:rPr>
                <w:rFonts w:ascii="Arial"/>
                <w:sz w:val="18"/>
              </w:rPr>
              <w:t>1</w:t>
            </w:r>
          </w:p>
        </w:tc>
        <w:tc>
          <w:tcPr>
            <w:tcW w:w="1130" w:type="dxa"/>
            <w:tcBorders>
              <w:top w:val="nil"/>
              <w:left w:val="nil"/>
              <w:bottom w:val="nil"/>
              <w:right w:val="nil"/>
            </w:tcBorders>
          </w:tcPr>
          <w:p>
            <w:pPr>
              <w:pStyle w:val="TableParagraph"/>
              <w:spacing w:before="31"/>
              <w:ind w:left="318" w:right="0"/>
              <w:jc w:val="left"/>
              <w:rPr>
                <w:rFonts w:ascii="Arial"/>
                <w:sz w:val="18"/>
              </w:rPr>
            </w:pPr>
            <w:r>
              <w:rPr>
                <w:rFonts w:ascii="Arial"/>
                <w:sz w:val="18"/>
              </w:rPr>
              <w:t>each</w:t>
            </w:r>
          </w:p>
        </w:tc>
        <w:tc>
          <w:tcPr>
            <w:tcW w:w="1514" w:type="dxa"/>
            <w:tcBorders>
              <w:top w:val="nil"/>
              <w:left w:val="nil"/>
              <w:bottom w:val="nil"/>
              <w:right w:val="single" w:sz="2" w:space="0" w:color="000000"/>
            </w:tcBorders>
          </w:tcPr>
          <w:p>
            <w:pPr>
              <w:pStyle w:val="TableParagraph"/>
              <w:spacing w:before="31"/>
              <w:ind w:left="375" w:right="333"/>
              <w:jc w:val="center"/>
              <w:rPr>
                <w:rFonts w:ascii="Arial"/>
                <w:sz w:val="18"/>
              </w:rPr>
            </w:pPr>
            <w:r>
              <w:rPr>
                <w:rFonts w:ascii="Arial"/>
                <w:sz w:val="18"/>
              </w:rPr>
              <w:t>1081-49</w:t>
            </w:r>
          </w:p>
        </w:tc>
      </w:tr>
      <w:tr>
        <w:trPr>
          <w:trHeight w:val="300" w:hRule="exact"/>
        </w:trPr>
        <w:tc>
          <w:tcPr>
            <w:tcW w:w="5032" w:type="dxa"/>
            <w:tcBorders>
              <w:top w:val="nil"/>
              <w:left w:val="single" w:sz="2" w:space="0" w:color="000000"/>
              <w:bottom w:val="nil"/>
              <w:right w:val="nil"/>
            </w:tcBorders>
            <w:shd w:val="clear" w:color="auto" w:fill="E6E6FF"/>
          </w:tcPr>
          <w:p>
            <w:pPr>
              <w:pStyle w:val="TableParagraph"/>
              <w:spacing w:before="31"/>
              <w:ind w:left="77" w:right="0"/>
              <w:jc w:val="left"/>
              <w:rPr>
                <w:rFonts w:ascii="Arial"/>
                <w:sz w:val="18"/>
              </w:rPr>
            </w:pPr>
            <w:r>
              <w:rPr>
                <w:rFonts w:ascii="Arial"/>
                <w:sz w:val="18"/>
              </w:rPr>
              <w:t>Pipet, serological, 25-mL</w:t>
            </w:r>
          </w:p>
        </w:tc>
        <w:tc>
          <w:tcPr>
            <w:tcW w:w="2403" w:type="dxa"/>
            <w:tcBorders>
              <w:top w:val="nil"/>
              <w:left w:val="nil"/>
              <w:bottom w:val="nil"/>
              <w:right w:val="nil"/>
            </w:tcBorders>
            <w:shd w:val="clear" w:color="auto" w:fill="E6E6FF"/>
          </w:tcPr>
          <w:p>
            <w:pPr>
              <w:pStyle w:val="TableParagraph"/>
              <w:spacing w:before="31"/>
              <w:ind w:left="679" w:right="0"/>
              <w:jc w:val="center"/>
              <w:rPr>
                <w:rFonts w:ascii="Arial"/>
                <w:sz w:val="18"/>
              </w:rPr>
            </w:pPr>
            <w:r>
              <w:rPr>
                <w:rFonts w:ascii="Arial"/>
                <w:sz w:val="18"/>
              </w:rPr>
              <w:t>1</w:t>
            </w:r>
          </w:p>
        </w:tc>
        <w:tc>
          <w:tcPr>
            <w:tcW w:w="1130" w:type="dxa"/>
            <w:tcBorders>
              <w:top w:val="nil"/>
              <w:left w:val="nil"/>
              <w:bottom w:val="nil"/>
              <w:right w:val="nil"/>
            </w:tcBorders>
            <w:shd w:val="clear" w:color="auto" w:fill="E6E6FF"/>
          </w:tcPr>
          <w:p>
            <w:pPr>
              <w:pStyle w:val="TableParagraph"/>
              <w:spacing w:before="31"/>
              <w:ind w:left="319" w:right="0"/>
              <w:jc w:val="left"/>
              <w:rPr>
                <w:rFonts w:ascii="Arial"/>
                <w:sz w:val="18"/>
              </w:rPr>
            </w:pPr>
            <w:r>
              <w:rPr>
                <w:rFonts w:ascii="Arial"/>
                <w:sz w:val="18"/>
              </w:rPr>
              <w:t>each</w:t>
            </w:r>
          </w:p>
        </w:tc>
        <w:tc>
          <w:tcPr>
            <w:tcW w:w="1514" w:type="dxa"/>
            <w:tcBorders>
              <w:top w:val="nil"/>
              <w:left w:val="nil"/>
              <w:bottom w:val="nil"/>
              <w:right w:val="single" w:sz="2" w:space="0" w:color="000000"/>
            </w:tcBorders>
            <w:shd w:val="clear" w:color="auto" w:fill="E6E6FF"/>
          </w:tcPr>
          <w:p>
            <w:pPr>
              <w:pStyle w:val="TableParagraph"/>
              <w:spacing w:before="31"/>
              <w:ind w:left="375" w:right="332"/>
              <w:jc w:val="center"/>
              <w:rPr>
                <w:rFonts w:ascii="Arial"/>
                <w:sz w:val="18"/>
              </w:rPr>
            </w:pPr>
            <w:r>
              <w:rPr>
                <w:rFonts w:ascii="Arial"/>
                <w:sz w:val="18"/>
              </w:rPr>
              <w:t>2066-40</w:t>
            </w:r>
          </w:p>
        </w:tc>
      </w:tr>
      <w:tr>
        <w:trPr>
          <w:trHeight w:val="300" w:hRule="exact"/>
        </w:trPr>
        <w:tc>
          <w:tcPr>
            <w:tcW w:w="5032" w:type="dxa"/>
            <w:tcBorders>
              <w:top w:val="nil"/>
              <w:left w:val="single" w:sz="2" w:space="0" w:color="000000"/>
              <w:bottom w:val="nil"/>
              <w:right w:val="nil"/>
            </w:tcBorders>
          </w:tcPr>
          <w:p>
            <w:pPr>
              <w:pStyle w:val="TableParagraph"/>
              <w:spacing w:before="31"/>
              <w:ind w:left="78" w:right="0"/>
              <w:jc w:val="left"/>
              <w:rPr>
                <w:rFonts w:ascii="Arial"/>
                <w:sz w:val="18"/>
              </w:rPr>
            </w:pPr>
            <w:r>
              <w:rPr>
                <w:rFonts w:ascii="Arial"/>
                <w:sz w:val="18"/>
              </w:rPr>
              <w:t>Pipet Filler, safety bulb</w:t>
            </w:r>
          </w:p>
        </w:tc>
        <w:tc>
          <w:tcPr>
            <w:tcW w:w="2403" w:type="dxa"/>
            <w:tcBorders>
              <w:top w:val="nil"/>
              <w:left w:val="nil"/>
              <w:bottom w:val="nil"/>
              <w:right w:val="nil"/>
            </w:tcBorders>
          </w:tcPr>
          <w:p>
            <w:pPr>
              <w:pStyle w:val="TableParagraph"/>
              <w:spacing w:before="31"/>
              <w:ind w:left="676" w:right="0"/>
              <w:jc w:val="center"/>
              <w:rPr>
                <w:rFonts w:ascii="Arial"/>
                <w:sz w:val="18"/>
              </w:rPr>
            </w:pPr>
            <w:r>
              <w:rPr>
                <w:rFonts w:ascii="Arial"/>
                <w:sz w:val="18"/>
              </w:rPr>
              <w:t>1</w:t>
            </w:r>
          </w:p>
        </w:tc>
        <w:tc>
          <w:tcPr>
            <w:tcW w:w="1130" w:type="dxa"/>
            <w:tcBorders>
              <w:top w:val="nil"/>
              <w:left w:val="nil"/>
              <w:bottom w:val="nil"/>
              <w:right w:val="nil"/>
            </w:tcBorders>
          </w:tcPr>
          <w:p>
            <w:pPr>
              <w:pStyle w:val="TableParagraph"/>
              <w:spacing w:before="31"/>
              <w:ind w:left="317" w:right="0"/>
              <w:jc w:val="left"/>
              <w:rPr>
                <w:rFonts w:ascii="Arial"/>
                <w:sz w:val="18"/>
              </w:rPr>
            </w:pPr>
            <w:r>
              <w:rPr>
                <w:rFonts w:ascii="Arial"/>
                <w:sz w:val="18"/>
              </w:rPr>
              <w:t>each</w:t>
            </w:r>
          </w:p>
        </w:tc>
        <w:tc>
          <w:tcPr>
            <w:tcW w:w="1514" w:type="dxa"/>
            <w:tcBorders>
              <w:top w:val="nil"/>
              <w:left w:val="nil"/>
              <w:bottom w:val="nil"/>
              <w:right w:val="single" w:sz="2" w:space="0" w:color="000000"/>
            </w:tcBorders>
          </w:tcPr>
          <w:p>
            <w:pPr>
              <w:pStyle w:val="TableParagraph"/>
              <w:spacing w:before="31"/>
              <w:ind w:left="374" w:right="334"/>
              <w:jc w:val="center"/>
              <w:rPr>
                <w:rFonts w:ascii="Arial"/>
                <w:sz w:val="18"/>
              </w:rPr>
            </w:pPr>
            <w:r>
              <w:rPr>
                <w:rFonts w:ascii="Arial"/>
                <w:sz w:val="18"/>
              </w:rPr>
              <w:t>14651-00</w:t>
            </w:r>
          </w:p>
        </w:tc>
      </w:tr>
      <w:tr>
        <w:trPr>
          <w:trHeight w:val="300" w:hRule="exact"/>
        </w:trPr>
        <w:tc>
          <w:tcPr>
            <w:tcW w:w="5032" w:type="dxa"/>
            <w:tcBorders>
              <w:top w:val="nil"/>
              <w:left w:val="single" w:sz="2" w:space="0" w:color="000000"/>
              <w:bottom w:val="single" w:sz="2" w:space="0" w:color="000000"/>
              <w:right w:val="nil"/>
            </w:tcBorders>
            <w:shd w:val="clear" w:color="auto" w:fill="E6E6FF"/>
          </w:tcPr>
          <w:p>
            <w:pPr>
              <w:pStyle w:val="TableParagraph"/>
              <w:spacing w:before="31"/>
              <w:ind w:left="77" w:right="0"/>
              <w:jc w:val="left"/>
              <w:rPr>
                <w:rFonts w:ascii="Arial"/>
                <w:sz w:val="18"/>
              </w:rPr>
            </w:pPr>
            <w:r>
              <w:rPr>
                <w:rFonts w:ascii="Arial"/>
                <w:sz w:val="18"/>
              </w:rPr>
              <w:t>Sample Cells, 1-inch square, 10 mL, matched pair</w:t>
            </w:r>
          </w:p>
        </w:tc>
        <w:tc>
          <w:tcPr>
            <w:tcW w:w="2403" w:type="dxa"/>
            <w:tcBorders>
              <w:top w:val="nil"/>
              <w:left w:val="nil"/>
              <w:bottom w:val="single" w:sz="2" w:space="0" w:color="000000"/>
              <w:right w:val="nil"/>
            </w:tcBorders>
            <w:shd w:val="clear" w:color="auto" w:fill="E6E6FF"/>
          </w:tcPr>
          <w:p>
            <w:pPr>
              <w:pStyle w:val="TableParagraph"/>
              <w:spacing w:before="31"/>
              <w:ind w:left="679" w:right="0"/>
              <w:jc w:val="center"/>
              <w:rPr>
                <w:rFonts w:ascii="Arial"/>
                <w:sz w:val="18"/>
              </w:rPr>
            </w:pPr>
            <w:r>
              <w:rPr>
                <w:rFonts w:ascii="Arial"/>
                <w:sz w:val="18"/>
              </w:rPr>
              <w:t>2</w:t>
            </w:r>
          </w:p>
        </w:tc>
        <w:tc>
          <w:tcPr>
            <w:tcW w:w="1130" w:type="dxa"/>
            <w:tcBorders>
              <w:top w:val="nil"/>
              <w:left w:val="nil"/>
              <w:bottom w:val="single" w:sz="2" w:space="0" w:color="000000"/>
              <w:right w:val="nil"/>
            </w:tcBorders>
            <w:shd w:val="clear" w:color="auto" w:fill="E6E6FF"/>
          </w:tcPr>
          <w:p>
            <w:pPr>
              <w:pStyle w:val="TableParagraph"/>
              <w:spacing w:before="31"/>
              <w:ind w:left="293" w:right="0"/>
              <w:jc w:val="left"/>
              <w:rPr>
                <w:rFonts w:ascii="Arial"/>
                <w:sz w:val="18"/>
              </w:rPr>
            </w:pPr>
            <w:r>
              <w:rPr>
                <w:rFonts w:ascii="Arial"/>
                <w:sz w:val="18"/>
              </w:rPr>
              <w:t>2/pkg</w:t>
            </w:r>
          </w:p>
        </w:tc>
        <w:tc>
          <w:tcPr>
            <w:tcW w:w="1514" w:type="dxa"/>
            <w:tcBorders>
              <w:top w:val="nil"/>
              <w:left w:val="nil"/>
              <w:bottom w:val="single" w:sz="2" w:space="0" w:color="000000"/>
              <w:right w:val="single" w:sz="2" w:space="0" w:color="000000"/>
            </w:tcBorders>
            <w:shd w:val="clear" w:color="auto" w:fill="E6E6FF"/>
          </w:tcPr>
          <w:p>
            <w:pPr>
              <w:pStyle w:val="TableParagraph"/>
              <w:spacing w:before="31"/>
              <w:ind w:left="375" w:right="333"/>
              <w:jc w:val="center"/>
              <w:rPr>
                <w:rFonts w:ascii="Arial"/>
                <w:sz w:val="18"/>
              </w:rPr>
            </w:pPr>
            <w:r>
              <w:rPr>
                <w:rFonts w:ascii="Arial"/>
                <w:sz w:val="18"/>
              </w:rPr>
              <w:t>24954-02</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7"/>
        </w:rPr>
      </w:pPr>
      <w:r>
        <w:rPr/>
        <w:pict>
          <v:group style="position:absolute;margin-left:53.474998pt;margin-top:17.530457pt;width:505.05pt;height:1.05pt;mso-position-horizontal-relative:page;mso-position-vertical-relative:paragraph;z-index:15400;mso-wrap-distance-left:0;mso-wrap-distance-right:0" coordorigin="1069,351" coordsize="10101,21">
            <v:line style="position:absolute" from="1080,361" to="1080,361" stroked="true" strokeweight="1.02pt" strokecolor="#000000"/>
            <v:line style="position:absolute" from="1080,361" to="11160,361" stroked="true" strokeweight="1.02pt" strokecolor="#000000"/>
            <w10:wrap type="topAndBottom"/>
          </v:group>
        </w:pict>
      </w:r>
    </w:p>
    <w:p>
      <w:pPr>
        <w:spacing w:line="207" w:lineRule="exact" w:before="0"/>
        <w:ind w:left="0" w:right="142" w:firstLine="0"/>
        <w:jc w:val="right"/>
        <w:rPr>
          <w:b/>
          <w:sz w:val="20"/>
        </w:rPr>
      </w:pPr>
      <w:r>
        <w:rPr>
          <w:b/>
          <w:sz w:val="20"/>
        </w:rPr>
        <w:t>Suspended Solids</w:t>
      </w:r>
    </w:p>
    <w:p>
      <w:pPr>
        <w:tabs>
          <w:tab w:pos="9004" w:val="left" w:leader="none"/>
        </w:tabs>
        <w:spacing w:before="10"/>
        <w:ind w:left="0" w:right="143" w:firstLine="0"/>
        <w:jc w:val="right"/>
        <w:rPr>
          <w:b/>
          <w:sz w:val="20"/>
        </w:rPr>
      </w:pPr>
      <w:r>
        <w:rPr>
          <w:sz w:val="14"/>
        </w:rPr>
        <w:t>SuspendedSolids_8006_Photometric.fm</w:t>
        <w:tab/>
      </w:r>
      <w:r>
        <w:rPr>
          <w:b/>
          <w:sz w:val="20"/>
        </w:rPr>
        <w:t>Page 3 of</w:t>
      </w:r>
      <w:r>
        <w:rPr>
          <w:b/>
          <w:spacing w:val="-11"/>
          <w:sz w:val="20"/>
        </w:rPr>
        <w:t> </w:t>
      </w:r>
      <w:r>
        <w:rPr>
          <w:b/>
          <w:sz w:val="20"/>
        </w:rPr>
        <w:t>4</w:t>
      </w:r>
    </w:p>
    <w:p>
      <w:pPr>
        <w:spacing w:after="0"/>
        <w:jc w:val="right"/>
        <w:rPr>
          <w:sz w:val="20"/>
        </w:rPr>
        <w:sectPr>
          <w:headerReference w:type="default" r:id="rId310"/>
          <w:footerReference w:type="default" r:id="rId311"/>
          <w:pgSz w:w="11900" w:h="15840"/>
          <w:pgMar w:header="0" w:footer="0" w:top="240" w:bottom="0" w:left="960" w:right="620"/>
        </w:sectPr>
      </w:pPr>
    </w:p>
    <w:p>
      <w:pPr>
        <w:spacing w:before="294"/>
        <w:ind w:left="120" w:right="-8" w:firstLine="0"/>
        <w:jc w:val="left"/>
        <w:rPr>
          <w:rFonts w:ascii="Times New Roman"/>
          <w:b/>
          <w:sz w:val="22"/>
        </w:rPr>
      </w:pPr>
      <w:r>
        <w:rPr>
          <w:rFonts w:ascii="Times New Roman"/>
          <w:b/>
          <w:sz w:val="32"/>
        </w:rPr>
        <w:t>ALKALINITY </w:t>
      </w:r>
      <w:r>
        <w:rPr>
          <w:rFonts w:ascii="Times New Roman"/>
          <w:b/>
          <w:sz w:val="22"/>
        </w:rPr>
        <w:t>(10 to 4000 mg/L as</w:t>
      </w:r>
      <w:r>
        <w:rPr>
          <w:rFonts w:ascii="Times New Roman"/>
          <w:b/>
          <w:spacing w:val="-14"/>
          <w:sz w:val="22"/>
        </w:rPr>
        <w:t> </w:t>
      </w:r>
      <w:r>
        <w:rPr>
          <w:rFonts w:ascii="Times New Roman"/>
          <w:b/>
          <w:sz w:val="22"/>
        </w:rPr>
        <w:t>CaCO</w:t>
      </w:r>
      <w:r>
        <w:rPr>
          <w:rFonts w:ascii="Times New Roman"/>
          <w:b/>
          <w:position w:val="-5"/>
          <w:sz w:val="17"/>
        </w:rPr>
        <w:t>3</w:t>
      </w:r>
      <w:r>
        <w:rPr>
          <w:rFonts w:ascii="Times New Roman"/>
          <w:b/>
          <w:sz w:val="22"/>
        </w:rPr>
        <w:t>)</w:t>
      </w:r>
    </w:p>
    <w:p>
      <w:pPr>
        <w:pStyle w:val="Heading5"/>
        <w:spacing w:before="78"/>
        <w:ind w:left="120" w:right="-8"/>
        <w:jc w:val="left"/>
        <w:rPr>
          <w:rFonts w:ascii="Times New Roman"/>
        </w:rPr>
      </w:pPr>
      <w:r>
        <w:rPr/>
        <w:pict>
          <v:shape style="position:absolute;margin-left:54pt;margin-top:3.042183pt;width:414pt;height:.1pt;mso-position-horizontal-relative:page;mso-position-vertical-relative:paragraph;z-index:15520" coordorigin="1080,61" coordsize="8280,0" path="m1080,61l1080,61m9360,61l9360,61m1080,61l9360,61e" filled="false" stroked="true" strokeweight="1.02pt" strokecolor="#000000">
            <v:path arrowok="t"/>
            <w10:wrap type="none"/>
          </v:shape>
        </w:pict>
      </w:r>
      <w:r>
        <w:rPr/>
        <w:pict>
          <v:group style="position:absolute;margin-left:389.647369pt;margin-top:64.822182pt;width:29.05pt;height:45.75pt;mso-position-horizontal-relative:page;mso-position-vertical-relative:paragraph;z-index:-1516216" coordorigin="7793,1296" coordsize="581,915">
            <v:shape style="position:absolute;left:7793;top:1303;width:581;height:908" coordorigin="7793,1303" coordsize="581,908" path="m8177,1303l7991,1303,7991,1529,7800,2086,7793,2136,7804,2175,7826,2201,7853,2211,8314,2209,8341,2199,8363,2172,8373,2133,8367,2086,8177,1529,8177,1303xe" filled="true" fillcolor="#231f20" stroked="false">
              <v:path arrowok="t"/>
              <v:fill type="solid"/>
            </v:shape>
            <v:shape style="position:absolute;left:7822;top:1316;width:518;height:863" coordorigin="7822,1316" coordsize="518,863" path="m8148,1316l8017,1317,8017,1532,7836,2065,7822,2117,7823,2152,7839,2172,7872,2178,8291,2177,8325,2168,8340,2143,8339,2107,8327,2063,8148,1531,8148,1316xe" filled="true" fillcolor="#ffffff" stroked="false">
              <v:path arrowok="t"/>
              <v:fill type="solid"/>
            </v:shape>
            <v:shape style="position:absolute;left:7975;top:1296;width:224;height:38" coordorigin="7975,1296" coordsize="224,38" path="m8192,1296l7984,1296,7975,1303,7975,1315,7976,1327,7983,1334,8193,1334,8199,1326,8199,1303,8192,1296xe" filled="true" fillcolor="#231f20" stroked="false">
              <v:path arrowok="t"/>
              <v:fill type="solid"/>
            </v:shape>
            <v:line style="position:absolute" from="7985,1323" to="7986,1323" stroked="true" strokeweight=".1pt" strokecolor="#ffffff"/>
            <v:line style="position:absolute" from="7985,1318" to="8189,1318" stroked="true" strokeweight=".4pt" strokecolor="#ffffff"/>
            <v:line style="position:absolute" from="7985,1311" to="8189,1311" stroked="true" strokeweight=".3pt" strokecolor="#ffffff"/>
            <v:line style="position:absolute" from="7984,1307" to="7985,1307" stroked="true" strokeweight=".1pt" strokecolor="#ffffff"/>
            <v:line style="position:absolute" from="8185,1322" to="8189,1322" stroked="true" strokeweight=".017pt" strokecolor="#ffffff"/>
            <v:shape style="position:absolute;left:0;top:11670;width:81;height:432" coordorigin="0,11670" coordsize="81,432" path="m8107,1660l8187,2091m8107,1660l8151,1660e" filled="false" stroked="true" strokeweight=".15pt" strokecolor="#231f20">
              <v:path arrowok="t"/>
            </v:shape>
            <v:shape style="position:absolute;left:-17;top:11577;width:92;height:351" coordorigin="-17,11577" coordsize="92,351" path="m8132,1795l8158,1794m8149,1884l8173,1884m8164,1968l8190,1969m8180,2052l8206,2052m8115,1702l8140,1701e" filled="false" stroked="true" strokeweight=".085pt" strokecolor="#231f20">
              <v:path arrowok="t"/>
            </v:shape>
            <v:shape style="position:absolute;left:0;top:11670;width:110;height:345" coordorigin="0,11670" coordsize="110,345" path="m8122,1746l8168,1747m8187,2091l8232,2091m8171,2005l8218,2005m8155,1921l8200,1921m8140,1837l8183,1837e" filled="false" stroked="true" strokeweight=".15pt" strokecolor="#231f20">
              <v:path arrowok="t"/>
            </v:shape>
            <w10:wrap type="none"/>
          </v:group>
        </w:pict>
      </w:r>
      <w:r>
        <w:rPr>
          <w:rFonts w:ascii="Times New Roman"/>
        </w:rPr>
        <w:t>Phenolphthalein and Total Method</w:t>
      </w:r>
    </w:p>
    <w:p>
      <w:pPr>
        <w:spacing w:before="61"/>
        <w:ind w:left="120" w:right="0" w:firstLine="0"/>
        <w:jc w:val="left"/>
        <w:rPr>
          <w:rFonts w:ascii="Times New Roman"/>
          <w:b/>
          <w:sz w:val="22"/>
        </w:rPr>
      </w:pPr>
      <w:r>
        <w:rPr/>
        <w:br w:type="column"/>
      </w:r>
      <w:r>
        <w:rPr>
          <w:rFonts w:ascii="Times New Roman"/>
          <w:b/>
          <w:sz w:val="22"/>
        </w:rPr>
        <w:t>Method 8203</w:t>
      </w:r>
    </w:p>
    <w:p>
      <w:pPr>
        <w:spacing w:after="0"/>
        <w:jc w:val="left"/>
        <w:rPr>
          <w:rFonts w:ascii="Times New Roman"/>
          <w:sz w:val="22"/>
        </w:rPr>
        <w:sectPr>
          <w:headerReference w:type="default" r:id="rId312"/>
          <w:footerReference w:type="default" r:id="rId313"/>
          <w:pgSz w:w="10080" w:h="12960"/>
          <w:pgMar w:header="0" w:footer="0" w:top="600" w:bottom="0" w:left="960" w:right="580"/>
          <w:cols w:num="2" w:equalWidth="0">
            <w:col w:w="4907" w:space="2146"/>
            <w:col w:w="1487"/>
          </w:cols>
        </w:sectPr>
      </w:pPr>
    </w:p>
    <w:p>
      <w:pPr>
        <w:pStyle w:val="BodyText"/>
        <w:spacing w:before="10"/>
        <w:rPr>
          <w:rFonts w:ascii="Times New Roman"/>
          <w:b/>
          <w:sz w:val="17"/>
        </w:rPr>
      </w:pPr>
    </w:p>
    <w:p>
      <w:pPr>
        <w:tabs>
          <w:tab w:pos="2308" w:val="left" w:leader="none"/>
          <w:tab w:pos="4424" w:val="left" w:leader="none"/>
          <w:tab w:pos="6541" w:val="left" w:leader="none"/>
        </w:tabs>
        <w:spacing w:line="240" w:lineRule="auto"/>
        <w:ind w:left="192" w:right="81" w:firstLine="0"/>
        <w:rPr>
          <w:rFonts w:ascii="Times New Roman"/>
          <w:sz w:val="20"/>
        </w:rPr>
      </w:pPr>
      <w:r>
        <w:rPr>
          <w:rFonts w:ascii="Times New Roman"/>
          <w:sz w:val="20"/>
        </w:rPr>
        <w:pict>
          <v:group style="width:93.6pt;height:93.6pt;mso-position-horizontal-relative:char;mso-position-vertical-relative:line" coordorigin="0,0" coordsize="1872,1872">
            <v:rect style="position:absolute;left:120;top:0;width:1752;height:120" filled="true" fillcolor="#000000" stroked="false">
              <v:fill type="solid"/>
            </v:rect>
            <v:rect style="position:absolute;left:1752;top:60;width:120;height:1812" filled="true" fillcolor="#000000" stroked="false">
              <v:fill type="solid"/>
            </v:rect>
            <v:rect style="position:absolute;left:0;top:1752;width:1812;height:120" filled="true" fillcolor="#000000" stroked="false">
              <v:fill type="solid"/>
            </v:rect>
            <v:rect style="position:absolute;left:0;top:0;width:120;height:1812" filled="true" fillcolor="#000000" stroked="false">
              <v:fill type="solid"/>
            </v:rect>
          </v:group>
        </w:pict>
      </w:r>
      <w:r>
        <w:rPr>
          <w:rFonts w:ascii="Times New Roman"/>
          <w:sz w:val="20"/>
        </w:rPr>
      </w:r>
      <w:r>
        <w:rPr>
          <w:rFonts w:ascii="Times New Roman"/>
          <w:sz w:val="20"/>
        </w:rPr>
        <w:tab/>
      </w:r>
      <w:r>
        <w:rPr>
          <w:rFonts w:ascii="Times New Roman"/>
          <w:sz w:val="20"/>
        </w:rPr>
        <w:pict>
          <v:group style="width:93.6pt;height:93.6pt;mso-position-horizontal-relative:char;mso-position-vertical-relative:line" coordorigin="0,0" coordsize="1872,1872">
            <v:rect style="position:absolute;left:120;top:0;width:1752;height:120" filled="true" fillcolor="#000000" stroked="false">
              <v:fill type="solid"/>
            </v:rect>
            <v:rect style="position:absolute;left:1752;top:60;width:120;height:1812" filled="true" fillcolor="#000000" stroked="false">
              <v:fill type="solid"/>
            </v:rect>
            <v:rect style="position:absolute;left:0;top:1752;width:1812;height:120" filled="true" fillcolor="#000000" stroked="false">
              <v:fill type="solid"/>
            </v:rect>
            <v:rect style="position:absolute;left:0;top:0;width:120;height:1812" filled="true" fillcolor="#000000" stroked="false">
              <v:fill type="solid"/>
            </v:rect>
          </v:group>
        </w:pict>
      </w:r>
      <w:r>
        <w:rPr>
          <w:rFonts w:ascii="Times New Roman"/>
          <w:sz w:val="20"/>
        </w:rPr>
      </w:r>
      <w:r>
        <w:rPr>
          <w:rFonts w:ascii="Times New Roman"/>
          <w:sz w:val="20"/>
        </w:rPr>
        <w:tab/>
      </w:r>
      <w:r>
        <w:rPr>
          <w:rFonts w:ascii="Times New Roman"/>
          <w:sz w:val="20"/>
        </w:rPr>
        <w:pict>
          <v:group style="width:93.6pt;height:93.6pt;mso-position-horizontal-relative:char;mso-position-vertical-relative:line" coordorigin="0,0" coordsize="1872,1872">
            <v:shape style="position:absolute;left:563;top:618;width:1143;height:955" type="#_x0000_t75" stroked="false">
              <v:imagedata r:id="rId314" o:title=""/>
            </v:shape>
            <v:shape style="position:absolute;left:645;top:675;width:264;height:256" type="#_x0000_t75" stroked="false">
              <v:imagedata r:id="rId315" o:title=""/>
            </v:shape>
            <v:shape style="position:absolute;left:172;top:295;width:409;height:346" coordorigin="172,295" coordsize="409,346" path="m215,301l202,301,208,307,575,640,580,634,215,301xm196,295l187,297,179,303,174,311,172,321,174,330,180,338,186,332,179,326,179,315,191,301,202,301,215,301,214,301,206,296,196,295xe" filled="true" fillcolor="#231f20" stroked="false">
              <v:path arrowok="t"/>
              <v:fill type="solid"/>
            </v:shape>
            <v:shape style="position:absolute;left:172;top:295;width:409;height:346" coordorigin="172,295" coordsize="409,346" path="m214,301l580,634,575,640,208,307,202,301,191,301,185,308,179,315,179,326,186,332,180,338,174,330,172,321,174,311,179,303,187,297,196,295,206,296,214,301xe" filled="false" stroked="true" strokeweight=".109pt" strokecolor="#231f20">
              <v:path arrowok="t"/>
            </v:shape>
            <v:shape style="position:absolute;left:175;top:499;width:28;height:18" coordorigin="175,499" coordsize="28,18" path="m202,500l202,500,202,501,202,501,202,510,196,517,189,517,181,517,175,510,175,501,175,500,175,500,175,499e" filled="false" stroked="true" strokeweight=".042pt" strokecolor="#231f20">
              <v:path arrowok="t"/>
            </v:shape>
            <v:shape style="position:absolute;left:175;top:461;width:15;height:38" coordorigin="175,461" coordsize="15,38" path="m189,461l187,471,182,481,177,490,175,499e" filled="false" stroked="true" strokeweight=".042pt" strokecolor="#231f20">
              <v:path arrowok="t"/>
            </v:shape>
            <v:shape style="position:absolute;left:190;top:461;width:13;height:39" coordorigin="190,461" coordsize="13,39" path="m190,461l192,471,196,481,200,491,202,500e" filled="false" stroked="true" strokeweight=".042pt" strokecolor="#231f20">
              <v:path arrowok="t"/>
            </v:shape>
            <v:shape style="position:absolute;left:173;top:431;width:28;height:18" coordorigin="173,431" coordsize="28,18" path="m200,432l200,432,200,433,200,433,200,442,194,449,186,449,179,449,173,442,173,433,173,433,173,432,173,431e" filled="false" stroked="true" strokeweight=".042pt" strokecolor="#231f20">
              <v:path arrowok="t"/>
            </v:shape>
            <v:shape style="position:absolute;left:173;top:394;width:15;height:38" coordorigin="173,394" coordsize="15,38" path="m187,394l185,403,180,413,175,422,173,431e" filled="false" stroked="true" strokeweight=".042pt" strokecolor="#231f20">
              <v:path arrowok="t"/>
            </v:shape>
            <v:shape style="position:absolute;left:187;top:394;width:13;height:39" coordorigin="187,394" coordsize="13,39" path="m187,394l189,403,194,413,198,423,200,432e" filled="false" stroked="true" strokeweight=".042pt" strokecolor="#231f20">
              <v:path arrowok="t"/>
            </v:shape>
            <v:shape style="position:absolute;left:169;top:365;width:28;height:18" coordorigin="169,365" coordsize="28,18" path="m196,366l196,366,196,367,196,367,196,376,190,383,183,383,175,383,169,376,169,367,169,366,169,366,169,365e" filled="false" stroked="true" strokeweight=".042pt" strokecolor="#231f20">
              <v:path arrowok="t"/>
            </v:shape>
            <v:shape style="position:absolute;left:169;top:328;width:15;height:38" coordorigin="169,328" coordsize="15,38" path="m183,328l181,337,176,347,171,356,169,365e" filled="false" stroked="true" strokeweight=".042pt" strokecolor="#231f20">
              <v:path arrowok="t"/>
            </v:shape>
            <v:shape style="position:absolute;left:184;top:328;width:13;height:39" coordorigin="184,328" coordsize="13,39" path="m184,328l186,337,190,347,195,357,197,366e" filled="false" stroked="true" strokeweight=".042pt" strokecolor="#231f20">
              <v:path arrowok="t"/>
            </v:shape>
            <v:rect style="position:absolute;left:120;top:0;width:1752;height:120" filled="true" fillcolor="#000000" stroked="false">
              <v:fill type="solid"/>
            </v:rect>
            <v:rect style="position:absolute;left:1752;top:60;width:120;height:1812" filled="true" fillcolor="#000000" stroked="false">
              <v:fill type="solid"/>
            </v:rect>
            <v:rect style="position:absolute;left:0;top:1752;width:1812;height:120" filled="true" fillcolor="#000000" stroked="false">
              <v:fill type="solid"/>
            </v:rect>
            <v:rect style="position:absolute;left:0;top:0;width:120;height:1812" filled="true" fillcolor="#000000" stroked="false">
              <v:fill type="solid"/>
            </v:rect>
          </v:group>
        </w:pict>
      </w:r>
      <w:r>
        <w:rPr>
          <w:rFonts w:ascii="Times New Roman"/>
          <w:sz w:val="20"/>
        </w:rPr>
      </w:r>
      <w:r>
        <w:rPr>
          <w:rFonts w:ascii="Times New Roman"/>
          <w:sz w:val="20"/>
        </w:rPr>
        <w:tab/>
      </w:r>
      <w:r>
        <w:rPr>
          <w:rFonts w:ascii="Times New Roman"/>
          <w:sz w:val="20"/>
        </w:rPr>
        <w:pict>
          <v:group style="width:93.6pt;height:93.6pt;mso-position-horizontal-relative:char;mso-position-vertical-relative:line" coordorigin="0,0" coordsize="1872,1872">
            <v:shape style="position:absolute;left:579;top:189;width:1009;height:499" coordorigin="579,189" coordsize="1009,499" path="m1506,189l1464,197,1389,361,579,509,612,687,645,654,1417,511,1566,511,1506,189xm1566,511l1417,511,1545,637,1587,629,1566,511xe" filled="true" fillcolor="#231f20" stroked="false">
              <v:path arrowok="t"/>
              <v:fill type="solid"/>
            </v:shape>
            <v:shape style="position:absolute;left:599;top:225;width:964;height:424" coordorigin="599,225" coordsize="964,424" path="m1494,225l1468,229,1404,382,599,530,621,649,641,630,1424,487,1542,487,1494,225xm1542,487l1424,487,1536,601,1562,596,1542,487xe" filled="true" fillcolor="#ffffff" stroked="false">
              <v:path arrowok="t"/>
              <v:fill type="solid"/>
            </v:shape>
            <v:line style="position:absolute" from="1502,229" to="1502,602" stroked="true" strokeweight="3.419429pt" strokecolor="#231f20"/>
            <v:line style="position:absolute" from="1414,382" to="1414,488" stroked="true" strokeweight=".99065pt" strokecolor="#231f20"/>
            <v:line style="position:absolute" from="720,532" to="1308,532" stroked="true" strokeweight="5.382544pt" strokecolor="#231f20"/>
            <v:line style="position:absolute" from="716,540" to="716,586" stroked="true" strokeweight=".431651pt" strokecolor="#231f20"/>
            <v:shape style="position:absolute;left:776;top:428;width:537;height:148" type="#_x0000_t75" stroked="false">
              <v:imagedata r:id="rId316" o:title=""/>
            </v:shape>
            <v:line style="position:absolute" from="757,580" to="753,558" stroked="true" strokeweight=".130149pt" strokecolor="#231f20"/>
            <v:rect style="position:absolute;left:120;top:0;width:1752;height:120" filled="true" fillcolor="#000000" stroked="false">
              <v:fill type="solid"/>
            </v:rect>
            <v:rect style="position:absolute;left:1752;top:60;width:120;height:1812" filled="true" fillcolor="#000000" stroked="false">
              <v:fill type="solid"/>
            </v:rect>
            <v:rect style="position:absolute;left:0;top:1752;width:1812;height:120" filled="true" fillcolor="#000000" stroked="false">
              <v:fill type="solid"/>
            </v:rect>
            <v:rect style="position:absolute;left:0;top:0;width:120;height:1812" filled="true" fillcolor="#000000" stroked="false">
              <v:fill type="solid"/>
            </v:rect>
          </v:group>
        </w:pict>
      </w:r>
      <w:r>
        <w:rPr>
          <w:rFonts w:ascii="Times New Roman"/>
          <w:sz w:val="20"/>
        </w:rPr>
      </w:r>
    </w:p>
    <w:p>
      <w:pPr>
        <w:pStyle w:val="BodyText"/>
        <w:spacing w:before="1"/>
        <w:rPr>
          <w:rFonts w:ascii="Times New Roman"/>
          <w:b/>
          <w:sz w:val="6"/>
        </w:rPr>
      </w:pPr>
    </w:p>
    <w:p>
      <w:pPr>
        <w:spacing w:after="0"/>
        <w:rPr>
          <w:rFonts w:ascii="Times New Roman"/>
          <w:sz w:val="6"/>
        </w:rPr>
        <w:sectPr>
          <w:type w:val="continuous"/>
          <w:pgSz w:w="10080" w:h="12960"/>
          <w:pgMar w:top="0" w:bottom="0" w:left="960" w:right="580"/>
        </w:sectPr>
      </w:pPr>
    </w:p>
    <w:p>
      <w:pPr>
        <w:pStyle w:val="ListParagraph"/>
        <w:numPr>
          <w:ilvl w:val="0"/>
          <w:numId w:val="30"/>
        </w:numPr>
        <w:tabs>
          <w:tab w:pos="420" w:val="left" w:leader="none"/>
        </w:tabs>
        <w:spacing w:line="240" w:lineRule="exact" w:before="41" w:after="0"/>
        <w:ind w:left="120" w:right="7" w:firstLine="0"/>
        <w:jc w:val="left"/>
        <w:rPr>
          <w:rFonts w:ascii="Times New Roman"/>
          <w:sz w:val="20"/>
        </w:rPr>
      </w:pPr>
      <w:r>
        <w:rPr/>
        <w:pict>
          <v:group style="position:absolute;margin-left:80.816002pt;margin-top:-87.764992pt;width:48.05pt;height:72.2pt;mso-position-horizontal-relative:page;mso-position-vertical-relative:paragraph;z-index:-1516264" coordorigin="1616,-1755" coordsize="961,1444">
            <v:shape style="position:absolute;left:1616;top:-1135;width:378;height:819" coordorigin="1616,-1135" coordsize="378,819" path="m1869,-1135l1716,-1135,1739,-1102,1739,-439,1616,-353,1616,-316,1994,-316,1994,-353,1869,-439,1869,-1135xe" filled="true" fillcolor="#231f20" stroked="false">
              <v:path arrowok="t"/>
              <v:fill type="solid"/>
            </v:shape>
            <v:shape style="position:absolute;left:1647;top:-1121;width:320;height:789" coordorigin="1647,-1121" coordsize="320,789" path="m1849,-1121l1747,-1121,1759,-1101,1759,-430,1647,-354,1647,-332,1966,-332,1966,-354,1849,-430,1849,-1121xe" filled="true" fillcolor="#ffffff" stroked="false">
              <v:path arrowok="t"/>
              <v:fill type="solid"/>
            </v:shape>
            <v:shape style="position:absolute;left:-641;top:8819;width:642;height:337" coordorigin="-641,8819" coordsize="642,337" path="m1646,-354l1966,-354m1758,-430l1849,-430m1784,-1029l1784,-525m1784,-1029l1823,-1029m1784,-973l1823,-973m1784,-917l1823,-917m1784,-861l1823,-861m1784,-805l1823,-805m1784,-749l1823,-749m1784,-693l1823,-693m1784,-636l1823,-636m1784,-581l1823,-581m1784,-525l1823,-525e" filled="false" stroked="true" strokeweight=".107137pt" strokecolor="#231f20">
              <v:path arrowok="t"/>
            </v:shape>
            <v:shape style="position:absolute;left:-292;top:9127;width:292;height:29" coordorigin="-292,9127" coordsize="292,29" path="m1784,-549l1802,-549m1784,-605l1802,-605m1784,-661l1802,-661m1784,-717l1802,-717m1784,-773l1802,-773m1784,-829l1802,-829m1784,-886l1802,-886m1784,-942l1802,-942m1784,-998l1802,-998e" filled="false" stroked="true" strokeweight=".079861pt" strokecolor="#231f20">
              <v:path arrowok="t"/>
            </v:shape>
            <v:shape style="position:absolute;left:1821;top:-1750;width:626;height:581" coordorigin="1821,-1750" coordsize="626,581" path="m1850,-1416l1839,-1393,1828,-1367,1821,-1341,1821,-1319,1852,-1342,1873,-1351,1895,-1348,1925,-1335,2232,-1176,2256,-1169,2316,-1201,2440,-1439,2446,-1463,2444,-1487,2432,-1508,2414,-1524,2054,-1711,2043,-1716,2031,-1723,2023,-1734,2022,-1750,1850,-1416xe" filled="false" stroked="true" strokeweight=".515pt" strokecolor="#231f20">
              <v:path arrowok="t"/>
            </v:shape>
            <v:shape style="position:absolute;left:2007;top:-1582;width:350;height:243" type="#_x0000_t75" stroked="false">
              <v:imagedata r:id="rId317" o:title=""/>
            </v:shape>
            <v:shape style="position:absolute;left:2377;top:-872;width:200;height:560" type="#_x0000_t75" stroked="false">
              <v:imagedata r:id="rId318" o:title=""/>
            </v:shape>
            <w10:wrap type="none"/>
          </v:group>
        </w:pict>
      </w:r>
      <w:r>
        <w:rPr/>
        <w:pict>
          <v:group style="position:absolute;margin-left:174.606369pt;margin-top:-84.455742pt;width:71.350pt;height:64.4pt;mso-position-horizontal-relative:page;mso-position-vertical-relative:paragraph;z-index:-1516240" coordorigin="3492,-1689" coordsize="1427,1288">
            <v:shape style="position:absolute;left:4318;top:-972;width:418;height:416" type="#_x0000_t75" stroked="false">
              <v:imagedata r:id="rId319" o:title=""/>
            </v:shape>
            <v:shape style="position:absolute;left:4188;top:-1102;width:691;height:653" coordorigin="4188,-1102" coordsize="691,653" path="m4755,-449l4251,-920,4248,-1012,4188,-1068,4219,-1102,4275,-1049,4375,-1053,4878,-581e" filled="false" stroked="true" strokeweight=".312pt" strokecolor="#231f20">
              <v:path arrowok="t"/>
            </v:shape>
            <v:shape style="position:absolute;left:4716;top:-616;width:203;height:214" type="#_x0000_t75" stroked="false">
              <v:imagedata r:id="rId320" o:title=""/>
            </v:shape>
            <v:shape style="position:absolute;left:3494;top:-1687;width:713;height:605" coordorigin="3494,-1687" coordsize="713,605" path="m3571,-1672l3537,-1672,3548,-1671,3558,-1665,4197,-1083,4207,-1094,3571,-1672xm3536,-1687l3520,-1683,3506,-1673,3497,-1658,3494,-1641,3498,-1625,3509,-1611,3518,-1622,3512,-1631,3509,-1642,3510,-1653,3516,-1663,3526,-1670,3537,-1672,3571,-1672,3568,-1676,3553,-1685,3536,-1687xe" filled="true" fillcolor="#231f20" stroked="false">
              <v:path arrowok="t"/>
              <v:fill type="solid"/>
            </v:shape>
            <v:shape style="position:absolute;left:3494;top:-1687;width:713;height:605" coordorigin="3494,-1687" coordsize="713,605" path="m3568,-1676l4207,-1094,4197,-1083,3558,-1665,3548,-1671,3509,-1642,3512,-1631,3518,-1622,3509,-1611,3498,-1625,3494,-1641,3497,-1658,3506,-1673,3520,-1683,3536,-1687,3553,-1685,3568,-1676xe" filled="false" stroked="true" strokeweight=".19pt" strokecolor="#231f20">
              <v:path arrowok="t"/>
            </v:shape>
            <w10:wrap type="none"/>
          </v:group>
        </w:pict>
      </w:r>
      <w:r>
        <w:rPr>
          <w:rFonts w:ascii="Times New Roman"/>
          <w:sz w:val="20"/>
        </w:rPr>
        <w:t>Select the sample volume and Sulfuric Acid (H</w:t>
      </w:r>
      <w:r>
        <w:rPr>
          <w:rFonts w:ascii="Times New Roman"/>
          <w:position w:val="-4"/>
          <w:sz w:val="16"/>
        </w:rPr>
        <w:t>2</w:t>
      </w:r>
      <w:r>
        <w:rPr>
          <w:rFonts w:ascii="Times New Roman"/>
          <w:sz w:val="20"/>
        </w:rPr>
        <w:t>SO</w:t>
      </w:r>
      <w:r>
        <w:rPr>
          <w:rFonts w:ascii="Times New Roman"/>
          <w:position w:val="-4"/>
          <w:sz w:val="16"/>
        </w:rPr>
        <w:t>4</w:t>
      </w:r>
      <w:r>
        <w:rPr>
          <w:rFonts w:ascii="Times New Roman"/>
          <w:sz w:val="20"/>
        </w:rPr>
        <w:t>) Titration Cartridge</w:t>
      </w:r>
      <w:r>
        <w:rPr>
          <w:rFonts w:ascii="Times New Roman"/>
          <w:spacing w:val="-6"/>
          <w:sz w:val="20"/>
        </w:rPr>
        <w:t> </w:t>
      </w:r>
      <w:r>
        <w:rPr>
          <w:rFonts w:ascii="Times New Roman"/>
          <w:sz w:val="20"/>
        </w:rPr>
        <w:t>corresponding</w:t>
      </w:r>
    </w:p>
    <w:p>
      <w:pPr>
        <w:spacing w:line="240" w:lineRule="exact" w:before="1"/>
        <w:ind w:left="120" w:right="-10" w:firstLine="0"/>
        <w:jc w:val="left"/>
        <w:rPr>
          <w:rFonts w:ascii="Times New Roman"/>
          <w:sz w:val="20"/>
        </w:rPr>
      </w:pPr>
      <w:r>
        <w:rPr>
          <w:rFonts w:ascii="Times New Roman"/>
          <w:sz w:val="20"/>
        </w:rPr>
        <w:t>to the expected alkalinity concentration as mg/L calcium carbonate (CaCO</w:t>
      </w:r>
      <w:r>
        <w:rPr>
          <w:rFonts w:ascii="Times New Roman"/>
          <w:position w:val="-4"/>
          <w:sz w:val="16"/>
        </w:rPr>
        <w:t>3</w:t>
      </w:r>
      <w:r>
        <w:rPr>
          <w:rFonts w:ascii="Times New Roman"/>
          <w:sz w:val="20"/>
        </w:rPr>
        <w:t>)</w:t>
      </w:r>
      <w:r>
        <w:rPr>
          <w:rFonts w:ascii="Times New Roman"/>
          <w:spacing w:val="-32"/>
          <w:sz w:val="20"/>
        </w:rPr>
        <w:t> </w:t>
      </w:r>
      <w:r>
        <w:rPr>
          <w:rFonts w:ascii="Times New Roman"/>
          <w:sz w:val="20"/>
        </w:rPr>
        <w:t>from </w:t>
      </w:r>
      <w:r>
        <w:rPr>
          <w:rFonts w:ascii="Times New Roman"/>
          <w:i/>
          <w:spacing w:val="-4"/>
          <w:sz w:val="20"/>
        </w:rPr>
        <w:t>Table</w:t>
      </w:r>
      <w:r>
        <w:rPr>
          <w:rFonts w:ascii="Times New Roman"/>
          <w:i/>
          <w:spacing w:val="-2"/>
          <w:sz w:val="20"/>
        </w:rPr>
        <w:t> </w:t>
      </w:r>
      <w:r>
        <w:rPr>
          <w:rFonts w:ascii="Times New Roman"/>
          <w:i/>
          <w:sz w:val="20"/>
        </w:rPr>
        <w:t>1</w:t>
      </w:r>
      <w:r>
        <w:rPr>
          <w:rFonts w:ascii="Times New Roman"/>
          <w:sz w:val="20"/>
        </w:rPr>
        <w:t>.</w:t>
      </w:r>
    </w:p>
    <w:p>
      <w:pPr>
        <w:spacing w:line="256" w:lineRule="auto" w:before="132"/>
        <w:ind w:left="119" w:right="-10" w:firstLine="0"/>
        <w:jc w:val="left"/>
        <w:rPr>
          <w:i/>
          <w:sz w:val="17"/>
        </w:rPr>
      </w:pPr>
      <w:r>
        <w:rPr>
          <w:b/>
          <w:i/>
          <w:sz w:val="17"/>
        </w:rPr>
        <w:t>Note: </w:t>
      </w:r>
      <w:r>
        <w:rPr>
          <w:i/>
          <w:sz w:val="17"/>
        </w:rPr>
        <w:t>See Sampling and </w:t>
      </w:r>
      <w:r>
        <w:rPr>
          <w:i/>
          <w:sz w:val="17"/>
        </w:rPr>
        <w:t>Storage following</w:t>
      </w:r>
    </w:p>
    <w:p>
      <w:pPr>
        <w:spacing w:before="1"/>
        <w:ind w:left="119" w:right="-10" w:firstLine="0"/>
        <w:jc w:val="left"/>
        <w:rPr>
          <w:i/>
          <w:sz w:val="17"/>
        </w:rPr>
      </w:pPr>
      <w:r>
        <w:rPr>
          <w:i/>
          <w:sz w:val="17"/>
        </w:rPr>
        <w:t>these steps.</w:t>
      </w:r>
    </w:p>
    <w:p>
      <w:pPr>
        <w:pStyle w:val="ListParagraph"/>
        <w:numPr>
          <w:ilvl w:val="0"/>
          <w:numId w:val="30"/>
        </w:numPr>
        <w:tabs>
          <w:tab w:pos="419" w:val="left" w:leader="none"/>
        </w:tabs>
        <w:spacing w:line="249" w:lineRule="auto" w:before="9" w:after="0"/>
        <w:ind w:left="120" w:right="0" w:firstLine="0"/>
        <w:jc w:val="left"/>
        <w:rPr>
          <w:rFonts w:ascii="Times New Roman"/>
          <w:sz w:val="20"/>
        </w:rPr>
      </w:pPr>
      <w:r>
        <w:rPr>
          <w:rFonts w:ascii="Times New Roman"/>
          <w:w w:val="99"/>
          <w:sz w:val="20"/>
        </w:rPr>
        <w:br w:type="column"/>
      </w:r>
      <w:r>
        <w:rPr>
          <w:rFonts w:ascii="Times New Roman"/>
          <w:sz w:val="20"/>
        </w:rPr>
        <w:t>Insert a clean delivery tube into the titration cartridge. Attach the cartridge</w:t>
      </w:r>
      <w:r>
        <w:rPr>
          <w:rFonts w:ascii="Times New Roman"/>
          <w:spacing w:val="-6"/>
          <w:sz w:val="20"/>
        </w:rPr>
        <w:t> </w:t>
      </w:r>
      <w:r>
        <w:rPr>
          <w:rFonts w:ascii="Times New Roman"/>
          <w:sz w:val="20"/>
        </w:rPr>
        <w:t>to the titrator </w:t>
      </w:r>
      <w:r>
        <w:rPr>
          <w:rFonts w:ascii="Times New Roman"/>
          <w:spacing w:val="-3"/>
          <w:sz w:val="20"/>
        </w:rPr>
        <w:t>body. </w:t>
      </w:r>
      <w:r>
        <w:rPr>
          <w:rFonts w:ascii="Times New Roman"/>
          <w:sz w:val="20"/>
        </w:rPr>
        <w:t>See </w:t>
      </w:r>
      <w:r>
        <w:rPr>
          <w:rFonts w:ascii="Times New Roman"/>
          <w:i/>
          <w:sz w:val="20"/>
        </w:rPr>
        <w:t>General Description, </w:t>
      </w:r>
      <w:r>
        <w:rPr>
          <w:rFonts w:ascii="Times New Roman"/>
          <w:i/>
          <w:sz w:val="20"/>
        </w:rPr>
        <w:t>Step-by-Step </w:t>
      </w:r>
      <w:r>
        <w:rPr>
          <w:rFonts w:ascii="Times New Roman"/>
          <w:sz w:val="20"/>
        </w:rPr>
        <w:t>for assembly instructions, if</w:t>
      </w:r>
      <w:r>
        <w:rPr>
          <w:rFonts w:ascii="Times New Roman"/>
          <w:spacing w:val="-18"/>
          <w:sz w:val="20"/>
        </w:rPr>
        <w:t> </w:t>
      </w:r>
      <w:r>
        <w:rPr>
          <w:rFonts w:ascii="Times New Roman"/>
          <w:sz w:val="20"/>
        </w:rPr>
        <w:t>necessary.</w:t>
      </w:r>
    </w:p>
    <w:p>
      <w:pPr>
        <w:pStyle w:val="ListParagraph"/>
        <w:numPr>
          <w:ilvl w:val="0"/>
          <w:numId w:val="30"/>
        </w:numPr>
        <w:tabs>
          <w:tab w:pos="420" w:val="left" w:leader="none"/>
        </w:tabs>
        <w:spacing w:line="247" w:lineRule="auto" w:before="9" w:after="0"/>
        <w:ind w:left="120" w:right="0" w:firstLine="0"/>
        <w:jc w:val="left"/>
        <w:rPr>
          <w:rFonts w:ascii="Times New Roman"/>
          <w:sz w:val="20"/>
        </w:rPr>
      </w:pPr>
      <w:r>
        <w:rPr>
          <w:rFonts w:ascii="Times New Roman"/>
          <w:spacing w:val="-9"/>
          <w:w w:val="99"/>
          <w:sz w:val="20"/>
        </w:rPr>
        <w:br w:type="column"/>
      </w:r>
      <w:r>
        <w:rPr>
          <w:rFonts w:ascii="Times New Roman"/>
          <w:spacing w:val="-3"/>
          <w:sz w:val="20"/>
        </w:rPr>
        <w:t>Turn </w:t>
      </w:r>
      <w:r>
        <w:rPr>
          <w:rFonts w:ascii="Times New Roman"/>
          <w:sz w:val="20"/>
        </w:rPr>
        <w:t>the delivery knob</w:t>
      </w:r>
      <w:r>
        <w:rPr>
          <w:rFonts w:ascii="Times New Roman"/>
          <w:spacing w:val="-13"/>
          <w:sz w:val="20"/>
        </w:rPr>
        <w:t> </w:t>
      </w:r>
      <w:r>
        <w:rPr>
          <w:rFonts w:ascii="Times New Roman"/>
          <w:sz w:val="20"/>
        </w:rPr>
        <w:t>to</w:t>
      </w:r>
      <w:r>
        <w:rPr>
          <w:rFonts w:ascii="Times New Roman"/>
          <w:spacing w:val="-13"/>
          <w:sz w:val="20"/>
        </w:rPr>
        <w:t> </w:t>
      </w:r>
      <w:r>
        <w:rPr>
          <w:rFonts w:ascii="Times New Roman"/>
          <w:sz w:val="20"/>
        </w:rPr>
        <w:t>eject</w:t>
      </w:r>
      <w:r>
        <w:rPr>
          <w:rFonts w:ascii="Times New Roman"/>
          <w:spacing w:val="-13"/>
          <w:sz w:val="20"/>
        </w:rPr>
        <w:t> </w:t>
      </w:r>
      <w:r>
        <w:rPr>
          <w:rFonts w:ascii="Times New Roman"/>
          <w:sz w:val="20"/>
        </w:rPr>
        <w:t>a</w:t>
      </w:r>
      <w:r>
        <w:rPr>
          <w:rFonts w:ascii="Times New Roman"/>
          <w:spacing w:val="-14"/>
          <w:sz w:val="20"/>
        </w:rPr>
        <w:t> </w:t>
      </w:r>
      <w:r>
        <w:rPr>
          <w:rFonts w:ascii="Times New Roman"/>
          <w:sz w:val="20"/>
        </w:rPr>
        <w:t>few</w:t>
      </w:r>
      <w:r>
        <w:rPr>
          <w:rFonts w:ascii="Times New Roman"/>
          <w:spacing w:val="-13"/>
          <w:sz w:val="20"/>
        </w:rPr>
        <w:t> </w:t>
      </w:r>
      <w:r>
        <w:rPr>
          <w:rFonts w:ascii="Times New Roman"/>
          <w:sz w:val="20"/>
        </w:rPr>
        <w:t>drops of titrant. Reset the counter to zero and</w:t>
      </w:r>
      <w:r>
        <w:rPr>
          <w:rFonts w:ascii="Times New Roman"/>
          <w:spacing w:val="-33"/>
          <w:sz w:val="20"/>
        </w:rPr>
        <w:t> </w:t>
      </w:r>
      <w:r>
        <w:rPr>
          <w:rFonts w:ascii="Times New Roman"/>
          <w:sz w:val="20"/>
        </w:rPr>
        <w:t>wipe the</w:t>
      </w:r>
      <w:r>
        <w:rPr>
          <w:rFonts w:ascii="Times New Roman"/>
          <w:spacing w:val="-2"/>
          <w:sz w:val="20"/>
        </w:rPr>
        <w:t> </w:t>
      </w:r>
      <w:r>
        <w:rPr>
          <w:rFonts w:ascii="Times New Roman"/>
          <w:sz w:val="20"/>
        </w:rPr>
        <w:t>tip.</w:t>
      </w:r>
    </w:p>
    <w:p>
      <w:pPr>
        <w:spacing w:line="256" w:lineRule="auto" w:before="130"/>
        <w:ind w:left="120" w:right="124" w:firstLine="0"/>
        <w:jc w:val="left"/>
        <w:rPr>
          <w:i/>
          <w:sz w:val="17"/>
        </w:rPr>
      </w:pPr>
      <w:r>
        <w:rPr>
          <w:b/>
          <w:i/>
          <w:sz w:val="17"/>
        </w:rPr>
        <w:t>Note: </w:t>
      </w:r>
      <w:r>
        <w:rPr>
          <w:i/>
          <w:sz w:val="17"/>
        </w:rPr>
        <w:t>For added </w:t>
      </w:r>
      <w:r>
        <w:rPr>
          <w:i/>
          <w:sz w:val="17"/>
        </w:rPr>
        <w:t>convenience use the TitraStir</w:t>
      </w:r>
      <w:r>
        <w:rPr>
          <w:i/>
          <w:position w:val="4"/>
          <w:sz w:val="13"/>
        </w:rPr>
        <w:t>® </w:t>
      </w:r>
      <w:r>
        <w:rPr>
          <w:i/>
          <w:sz w:val="17"/>
        </w:rPr>
        <w:t>Stir Plate. See General Description, Step 3 in Step-by-Step.</w:t>
      </w:r>
    </w:p>
    <w:p>
      <w:pPr>
        <w:pStyle w:val="ListParagraph"/>
        <w:numPr>
          <w:ilvl w:val="0"/>
          <w:numId w:val="30"/>
        </w:numPr>
        <w:tabs>
          <w:tab w:pos="420" w:val="left" w:leader="none"/>
        </w:tabs>
        <w:spacing w:line="249" w:lineRule="auto" w:before="9" w:after="0"/>
        <w:ind w:left="119" w:right="369" w:firstLine="0"/>
        <w:jc w:val="left"/>
        <w:rPr>
          <w:rFonts w:ascii="Times New Roman"/>
          <w:sz w:val="20"/>
        </w:rPr>
      </w:pPr>
      <w:r>
        <w:rPr>
          <w:rFonts w:ascii="Times New Roman"/>
          <w:w w:val="99"/>
          <w:sz w:val="20"/>
        </w:rPr>
        <w:br w:type="column"/>
      </w:r>
      <w:r>
        <w:rPr>
          <w:rFonts w:ascii="Times New Roman"/>
          <w:sz w:val="20"/>
        </w:rPr>
        <w:t>Use a graduated cylinder or pipet to measure the sample volume from </w:t>
      </w:r>
      <w:r>
        <w:rPr>
          <w:rFonts w:ascii="Times New Roman"/>
          <w:i/>
          <w:spacing w:val="-7"/>
          <w:sz w:val="20"/>
        </w:rPr>
        <w:t>Table</w:t>
      </w:r>
      <w:r>
        <w:rPr>
          <w:rFonts w:ascii="Times New Roman"/>
          <w:i/>
          <w:spacing w:val="-14"/>
          <w:sz w:val="20"/>
        </w:rPr>
        <w:t> </w:t>
      </w:r>
      <w:r>
        <w:rPr>
          <w:rFonts w:ascii="Times New Roman"/>
          <w:i/>
          <w:sz w:val="20"/>
        </w:rPr>
        <w:t>1</w:t>
      </w:r>
      <w:r>
        <w:rPr>
          <w:rFonts w:ascii="Times New Roman"/>
          <w:sz w:val="20"/>
        </w:rPr>
        <w:t>. Transfer the sample into a clean</w:t>
      </w:r>
      <w:r>
        <w:rPr>
          <w:rFonts w:ascii="Times New Roman"/>
          <w:spacing w:val="-8"/>
          <w:sz w:val="20"/>
        </w:rPr>
        <w:t> </w:t>
      </w:r>
      <w:r>
        <w:rPr>
          <w:rFonts w:ascii="Times New Roman"/>
          <w:sz w:val="20"/>
        </w:rPr>
        <w:t>250-mL</w:t>
      </w:r>
    </w:p>
    <w:p>
      <w:pPr>
        <w:spacing w:line="249" w:lineRule="auto" w:before="1"/>
        <w:ind w:left="119" w:right="0" w:firstLine="0"/>
        <w:jc w:val="left"/>
        <w:rPr>
          <w:rFonts w:ascii="Times New Roman"/>
          <w:sz w:val="20"/>
        </w:rPr>
      </w:pPr>
      <w:r>
        <w:rPr>
          <w:rFonts w:ascii="Times New Roman"/>
          <w:sz w:val="20"/>
        </w:rPr>
        <w:t>Erlenmeyer flask. Dilute to about the</w:t>
      </w:r>
    </w:p>
    <w:p>
      <w:pPr>
        <w:spacing w:line="249" w:lineRule="auto" w:before="1"/>
        <w:ind w:left="119" w:right="558" w:firstLine="0"/>
        <w:jc w:val="both"/>
        <w:rPr>
          <w:rFonts w:ascii="Times New Roman"/>
          <w:sz w:val="20"/>
        </w:rPr>
      </w:pPr>
      <w:r>
        <w:rPr>
          <w:rFonts w:ascii="Times New Roman"/>
          <w:sz w:val="20"/>
        </w:rPr>
        <w:t>100-mL mark with deionized water, if necessary.</w:t>
      </w:r>
    </w:p>
    <w:p>
      <w:pPr>
        <w:spacing w:after="0" w:line="249" w:lineRule="auto"/>
        <w:jc w:val="both"/>
        <w:rPr>
          <w:rFonts w:ascii="Times New Roman"/>
          <w:sz w:val="20"/>
        </w:rPr>
        <w:sectPr>
          <w:type w:val="continuous"/>
          <w:pgSz w:w="10080" w:h="12960"/>
          <w:pgMar w:top="0" w:bottom="0" w:left="960" w:right="580"/>
          <w:cols w:num="4" w:equalWidth="0">
            <w:col w:w="2076" w:space="40"/>
            <w:col w:w="1913" w:space="202"/>
            <w:col w:w="2078" w:space="40"/>
            <w:col w:w="2191"/>
          </w:cols>
        </w:sectPr>
      </w:pPr>
    </w:p>
    <w:p>
      <w:pPr>
        <w:spacing w:before="151"/>
        <w:ind w:left="2921" w:right="2876" w:firstLine="0"/>
        <w:jc w:val="center"/>
        <w:rPr>
          <w:b/>
          <w:sz w:val="18"/>
        </w:rPr>
      </w:pPr>
      <w:r>
        <w:rPr>
          <w:b/>
          <w:sz w:val="18"/>
        </w:rPr>
        <w:t>Table 1</w:t>
      </w:r>
    </w:p>
    <w:p>
      <w:pPr>
        <w:pStyle w:val="BodyText"/>
        <w:spacing w:before="5"/>
        <w:rPr>
          <w:b/>
          <w:sz w:val="8"/>
        </w:rPr>
      </w:pPr>
    </w:p>
    <w:tbl>
      <w:tblPr>
        <w:tblW w:w="0" w:type="auto"/>
        <w:jc w:val="left"/>
        <w:tblInd w:w="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11"/>
        <w:gridCol w:w="1261"/>
        <w:gridCol w:w="1513"/>
        <w:gridCol w:w="1206"/>
        <w:gridCol w:w="1056"/>
      </w:tblGrid>
      <w:tr>
        <w:trPr>
          <w:trHeight w:val="820" w:hRule="exact"/>
        </w:trPr>
        <w:tc>
          <w:tcPr>
            <w:tcW w:w="1811" w:type="dxa"/>
          </w:tcPr>
          <w:p>
            <w:pPr>
              <w:pStyle w:val="TableParagraph"/>
              <w:spacing w:line="256" w:lineRule="auto" w:before="175"/>
              <w:ind w:left="185" w:right="168" w:firstLine="439"/>
              <w:jc w:val="left"/>
              <w:rPr>
                <w:rFonts w:ascii="Arial"/>
                <w:b/>
                <w:sz w:val="18"/>
              </w:rPr>
            </w:pPr>
            <w:r>
              <w:rPr>
                <w:rFonts w:ascii="Arial"/>
                <w:b/>
                <w:sz w:val="18"/>
              </w:rPr>
              <w:t>Range (mg/L as CaCO</w:t>
            </w:r>
            <w:r>
              <w:rPr>
                <w:rFonts w:ascii="Arial"/>
                <w:b/>
                <w:position w:val="-3"/>
                <w:sz w:val="14"/>
              </w:rPr>
              <w:t>3</w:t>
            </w:r>
            <w:r>
              <w:rPr>
                <w:rFonts w:ascii="Arial"/>
                <w:b/>
                <w:sz w:val="18"/>
              </w:rPr>
              <w:t>)</w:t>
            </w:r>
          </w:p>
        </w:tc>
        <w:tc>
          <w:tcPr>
            <w:tcW w:w="1261" w:type="dxa"/>
          </w:tcPr>
          <w:p>
            <w:pPr>
              <w:pStyle w:val="TableParagraph"/>
              <w:spacing w:before="3"/>
              <w:ind w:right="0"/>
              <w:jc w:val="left"/>
              <w:rPr>
                <w:rFonts w:ascii="Arial"/>
                <w:b/>
                <w:sz w:val="15"/>
              </w:rPr>
            </w:pPr>
          </w:p>
          <w:p>
            <w:pPr>
              <w:pStyle w:val="TableParagraph"/>
              <w:spacing w:line="256" w:lineRule="auto" w:before="0"/>
              <w:ind w:left="89" w:right="0" w:firstLine="216"/>
              <w:jc w:val="left"/>
              <w:rPr>
                <w:rFonts w:ascii="Arial"/>
                <w:b/>
                <w:sz w:val="18"/>
              </w:rPr>
            </w:pPr>
            <w:r>
              <w:rPr>
                <w:rFonts w:ascii="Arial"/>
                <w:b/>
                <w:sz w:val="18"/>
              </w:rPr>
              <w:t>Sample Volume (mL)</w:t>
            </w:r>
          </w:p>
        </w:tc>
        <w:tc>
          <w:tcPr>
            <w:tcW w:w="1513" w:type="dxa"/>
          </w:tcPr>
          <w:p>
            <w:pPr>
              <w:pStyle w:val="TableParagraph"/>
              <w:spacing w:line="254" w:lineRule="auto" w:before="66"/>
              <w:ind w:left="350" w:right="346" w:firstLine="41"/>
              <w:jc w:val="both"/>
              <w:rPr>
                <w:rFonts w:ascii="Arial"/>
                <w:b/>
                <w:sz w:val="18"/>
              </w:rPr>
            </w:pPr>
            <w:r>
              <w:rPr>
                <w:rFonts w:ascii="Arial"/>
                <w:b/>
                <w:sz w:val="18"/>
              </w:rPr>
              <w:t>Titration Cartridge (H</w:t>
            </w:r>
            <w:r>
              <w:rPr>
                <w:rFonts w:ascii="Arial"/>
                <w:b/>
                <w:position w:val="-4"/>
                <w:sz w:val="14"/>
              </w:rPr>
              <w:t>2</w:t>
            </w:r>
            <w:r>
              <w:rPr>
                <w:rFonts w:ascii="Arial"/>
                <w:b/>
                <w:sz w:val="18"/>
              </w:rPr>
              <w:t>SO</w:t>
            </w:r>
            <w:r>
              <w:rPr>
                <w:rFonts w:ascii="Arial"/>
                <w:b/>
                <w:position w:val="-4"/>
                <w:sz w:val="14"/>
              </w:rPr>
              <w:t>4</w:t>
            </w:r>
            <w:r>
              <w:rPr>
                <w:rFonts w:ascii="Arial"/>
                <w:b/>
                <w:sz w:val="18"/>
              </w:rPr>
              <w:t>)</w:t>
            </w:r>
          </w:p>
        </w:tc>
        <w:tc>
          <w:tcPr>
            <w:tcW w:w="1206" w:type="dxa"/>
          </w:tcPr>
          <w:p>
            <w:pPr>
              <w:pStyle w:val="TableParagraph"/>
              <w:spacing w:before="3"/>
              <w:ind w:right="0"/>
              <w:jc w:val="left"/>
              <w:rPr>
                <w:rFonts w:ascii="Arial"/>
                <w:b/>
                <w:sz w:val="15"/>
              </w:rPr>
            </w:pPr>
          </w:p>
          <w:p>
            <w:pPr>
              <w:pStyle w:val="TableParagraph"/>
              <w:spacing w:line="256" w:lineRule="auto" w:before="0"/>
              <w:ind w:left="259" w:right="237" w:firstLine="9"/>
              <w:jc w:val="left"/>
              <w:rPr>
                <w:rFonts w:ascii="Arial"/>
                <w:b/>
                <w:sz w:val="18"/>
              </w:rPr>
            </w:pPr>
            <w:r>
              <w:rPr>
                <w:rFonts w:ascii="Arial"/>
                <w:b/>
                <w:sz w:val="18"/>
              </w:rPr>
              <w:t>Catalog Number</w:t>
            </w:r>
          </w:p>
        </w:tc>
        <w:tc>
          <w:tcPr>
            <w:tcW w:w="1056" w:type="dxa"/>
          </w:tcPr>
          <w:p>
            <w:pPr>
              <w:pStyle w:val="TableParagraph"/>
              <w:spacing w:before="3"/>
              <w:ind w:right="0"/>
              <w:jc w:val="left"/>
              <w:rPr>
                <w:rFonts w:ascii="Arial"/>
                <w:b/>
                <w:sz w:val="15"/>
              </w:rPr>
            </w:pPr>
          </w:p>
          <w:p>
            <w:pPr>
              <w:pStyle w:val="TableParagraph"/>
              <w:spacing w:line="256" w:lineRule="auto" w:before="0"/>
              <w:ind w:left="123" w:right="103" w:firstLine="199"/>
              <w:jc w:val="left"/>
              <w:rPr>
                <w:rFonts w:ascii="Arial"/>
                <w:b/>
                <w:sz w:val="18"/>
              </w:rPr>
            </w:pPr>
            <w:r>
              <w:rPr>
                <w:rFonts w:ascii="Arial"/>
                <w:b/>
                <w:sz w:val="18"/>
              </w:rPr>
              <w:t>Digit Multiplier</w:t>
            </w:r>
          </w:p>
        </w:tc>
      </w:tr>
      <w:tr>
        <w:trPr>
          <w:trHeight w:val="255" w:hRule="exact"/>
        </w:trPr>
        <w:tc>
          <w:tcPr>
            <w:tcW w:w="1811" w:type="dxa"/>
            <w:tcBorders>
              <w:bottom w:val="nil"/>
            </w:tcBorders>
          </w:tcPr>
          <w:p>
            <w:pPr>
              <w:pStyle w:val="TableParagraph"/>
              <w:spacing w:before="27"/>
              <w:ind w:left="449" w:right="449"/>
              <w:jc w:val="center"/>
              <w:rPr>
                <w:rFonts w:ascii="Arial"/>
                <w:sz w:val="18"/>
              </w:rPr>
            </w:pPr>
            <w:r>
              <w:rPr>
                <w:rFonts w:ascii="Arial"/>
                <w:sz w:val="18"/>
              </w:rPr>
              <w:t>10-40</w:t>
            </w:r>
          </w:p>
        </w:tc>
        <w:tc>
          <w:tcPr>
            <w:tcW w:w="1261" w:type="dxa"/>
            <w:tcBorders>
              <w:bottom w:val="nil"/>
            </w:tcBorders>
          </w:tcPr>
          <w:p>
            <w:pPr>
              <w:pStyle w:val="TableParagraph"/>
              <w:spacing w:before="27"/>
              <w:ind w:left="476" w:right="0"/>
              <w:jc w:val="left"/>
              <w:rPr>
                <w:rFonts w:ascii="Arial"/>
                <w:sz w:val="18"/>
              </w:rPr>
            </w:pPr>
            <w:r>
              <w:rPr>
                <w:rFonts w:ascii="Arial"/>
                <w:sz w:val="18"/>
              </w:rPr>
              <w:t>100</w:t>
            </w:r>
          </w:p>
        </w:tc>
        <w:tc>
          <w:tcPr>
            <w:tcW w:w="1513" w:type="dxa"/>
            <w:tcBorders>
              <w:bottom w:val="nil"/>
            </w:tcBorders>
          </w:tcPr>
          <w:p>
            <w:pPr>
              <w:pStyle w:val="TableParagraph"/>
              <w:spacing w:before="27"/>
              <w:ind w:left="477" w:right="0"/>
              <w:jc w:val="left"/>
              <w:rPr>
                <w:rFonts w:ascii="Arial"/>
                <w:sz w:val="18"/>
              </w:rPr>
            </w:pPr>
            <w:r>
              <w:rPr>
                <w:rFonts w:ascii="Arial"/>
                <w:sz w:val="18"/>
              </w:rPr>
              <w:t>0.1600</w:t>
            </w:r>
          </w:p>
        </w:tc>
        <w:tc>
          <w:tcPr>
            <w:tcW w:w="1206" w:type="dxa"/>
            <w:tcBorders>
              <w:bottom w:val="nil"/>
            </w:tcBorders>
          </w:tcPr>
          <w:p>
            <w:pPr>
              <w:pStyle w:val="TableParagraph"/>
              <w:spacing w:before="27"/>
              <w:ind w:left="197" w:right="197"/>
              <w:jc w:val="center"/>
              <w:rPr>
                <w:rFonts w:ascii="Arial"/>
                <w:sz w:val="18"/>
              </w:rPr>
            </w:pPr>
            <w:r>
              <w:rPr>
                <w:rFonts w:ascii="Arial"/>
                <w:sz w:val="18"/>
              </w:rPr>
              <w:t>14388-01</w:t>
            </w:r>
          </w:p>
        </w:tc>
        <w:tc>
          <w:tcPr>
            <w:tcW w:w="1056" w:type="dxa"/>
            <w:tcBorders>
              <w:bottom w:val="nil"/>
            </w:tcBorders>
          </w:tcPr>
          <w:p>
            <w:pPr>
              <w:pStyle w:val="TableParagraph"/>
              <w:spacing w:before="27"/>
              <w:ind w:left="327" w:right="328"/>
              <w:jc w:val="center"/>
              <w:rPr>
                <w:rFonts w:ascii="Arial"/>
                <w:sz w:val="18"/>
              </w:rPr>
            </w:pPr>
            <w:r>
              <w:rPr>
                <w:rFonts w:ascii="Arial"/>
                <w:sz w:val="18"/>
              </w:rPr>
              <w:t>0.1</w:t>
            </w:r>
          </w:p>
        </w:tc>
      </w:tr>
      <w:tr>
        <w:trPr>
          <w:trHeight w:val="220" w:hRule="exact"/>
        </w:trPr>
        <w:tc>
          <w:tcPr>
            <w:tcW w:w="1811" w:type="dxa"/>
            <w:tcBorders>
              <w:top w:val="nil"/>
              <w:bottom w:val="nil"/>
            </w:tcBorders>
          </w:tcPr>
          <w:p>
            <w:pPr>
              <w:pStyle w:val="TableParagraph"/>
              <w:spacing w:line="203" w:lineRule="exact" w:before="0"/>
              <w:ind w:left="449" w:right="450"/>
              <w:jc w:val="center"/>
              <w:rPr>
                <w:rFonts w:ascii="Arial"/>
                <w:sz w:val="18"/>
              </w:rPr>
            </w:pPr>
            <w:r>
              <w:rPr>
                <w:rFonts w:ascii="Arial"/>
                <w:sz w:val="18"/>
              </w:rPr>
              <w:t>40-160</w:t>
            </w:r>
          </w:p>
        </w:tc>
        <w:tc>
          <w:tcPr>
            <w:tcW w:w="1261" w:type="dxa"/>
            <w:tcBorders>
              <w:top w:val="nil"/>
              <w:bottom w:val="nil"/>
            </w:tcBorders>
          </w:tcPr>
          <w:p>
            <w:pPr>
              <w:pStyle w:val="TableParagraph"/>
              <w:spacing w:line="204" w:lineRule="exact" w:before="0"/>
              <w:ind w:left="525" w:right="0"/>
              <w:jc w:val="left"/>
              <w:rPr>
                <w:rFonts w:ascii="Arial"/>
                <w:sz w:val="18"/>
              </w:rPr>
            </w:pPr>
            <w:r>
              <w:rPr>
                <w:rFonts w:ascii="Arial"/>
                <w:sz w:val="18"/>
              </w:rPr>
              <w:t>25</w:t>
            </w:r>
          </w:p>
        </w:tc>
        <w:tc>
          <w:tcPr>
            <w:tcW w:w="1513" w:type="dxa"/>
            <w:tcBorders>
              <w:top w:val="nil"/>
              <w:bottom w:val="nil"/>
            </w:tcBorders>
          </w:tcPr>
          <w:p>
            <w:pPr>
              <w:pStyle w:val="TableParagraph"/>
              <w:spacing w:line="204" w:lineRule="exact" w:before="0"/>
              <w:ind w:left="477" w:right="0"/>
              <w:jc w:val="left"/>
              <w:rPr>
                <w:rFonts w:ascii="Arial"/>
                <w:sz w:val="18"/>
              </w:rPr>
            </w:pPr>
            <w:r>
              <w:rPr>
                <w:rFonts w:ascii="Arial"/>
                <w:sz w:val="18"/>
              </w:rPr>
              <w:t>0.1600</w:t>
            </w:r>
          </w:p>
        </w:tc>
        <w:tc>
          <w:tcPr>
            <w:tcW w:w="1206" w:type="dxa"/>
            <w:tcBorders>
              <w:top w:val="nil"/>
              <w:bottom w:val="nil"/>
            </w:tcBorders>
          </w:tcPr>
          <w:p>
            <w:pPr>
              <w:pStyle w:val="TableParagraph"/>
              <w:spacing w:line="204" w:lineRule="exact" w:before="0"/>
              <w:ind w:left="197" w:right="197"/>
              <w:jc w:val="center"/>
              <w:rPr>
                <w:rFonts w:ascii="Arial"/>
                <w:sz w:val="18"/>
              </w:rPr>
            </w:pPr>
            <w:r>
              <w:rPr>
                <w:rFonts w:ascii="Arial"/>
                <w:sz w:val="18"/>
              </w:rPr>
              <w:t>14388-01</w:t>
            </w:r>
          </w:p>
        </w:tc>
        <w:tc>
          <w:tcPr>
            <w:tcW w:w="1056" w:type="dxa"/>
            <w:tcBorders>
              <w:top w:val="nil"/>
              <w:bottom w:val="nil"/>
            </w:tcBorders>
          </w:tcPr>
          <w:p>
            <w:pPr>
              <w:pStyle w:val="TableParagraph"/>
              <w:spacing w:line="204" w:lineRule="exact" w:before="0"/>
              <w:ind w:left="327" w:right="328"/>
              <w:jc w:val="center"/>
              <w:rPr>
                <w:rFonts w:ascii="Arial"/>
                <w:sz w:val="18"/>
              </w:rPr>
            </w:pPr>
            <w:r>
              <w:rPr>
                <w:rFonts w:ascii="Arial"/>
                <w:sz w:val="18"/>
              </w:rPr>
              <w:t>0.4</w:t>
            </w:r>
          </w:p>
        </w:tc>
      </w:tr>
      <w:tr>
        <w:trPr>
          <w:trHeight w:val="220" w:hRule="exact"/>
        </w:trPr>
        <w:tc>
          <w:tcPr>
            <w:tcW w:w="1811" w:type="dxa"/>
            <w:tcBorders>
              <w:top w:val="nil"/>
              <w:bottom w:val="nil"/>
            </w:tcBorders>
          </w:tcPr>
          <w:p>
            <w:pPr>
              <w:pStyle w:val="TableParagraph"/>
              <w:spacing w:line="204" w:lineRule="exact" w:before="0"/>
              <w:ind w:left="449" w:right="449"/>
              <w:jc w:val="center"/>
              <w:rPr>
                <w:rFonts w:ascii="Arial"/>
                <w:sz w:val="18"/>
              </w:rPr>
            </w:pPr>
            <w:r>
              <w:rPr>
                <w:rFonts w:ascii="Arial"/>
                <w:sz w:val="18"/>
              </w:rPr>
              <w:t>100-400</w:t>
            </w:r>
          </w:p>
        </w:tc>
        <w:tc>
          <w:tcPr>
            <w:tcW w:w="1261" w:type="dxa"/>
            <w:tcBorders>
              <w:top w:val="nil"/>
              <w:bottom w:val="nil"/>
            </w:tcBorders>
          </w:tcPr>
          <w:p>
            <w:pPr>
              <w:pStyle w:val="TableParagraph"/>
              <w:spacing w:line="204" w:lineRule="exact" w:before="0"/>
              <w:ind w:left="476" w:right="0"/>
              <w:jc w:val="left"/>
              <w:rPr>
                <w:rFonts w:ascii="Arial"/>
                <w:sz w:val="18"/>
              </w:rPr>
            </w:pPr>
            <w:r>
              <w:rPr>
                <w:rFonts w:ascii="Arial"/>
                <w:sz w:val="18"/>
              </w:rPr>
              <w:t>100</w:t>
            </w:r>
          </w:p>
        </w:tc>
        <w:tc>
          <w:tcPr>
            <w:tcW w:w="1513" w:type="dxa"/>
            <w:tcBorders>
              <w:top w:val="nil"/>
              <w:bottom w:val="nil"/>
            </w:tcBorders>
          </w:tcPr>
          <w:p>
            <w:pPr>
              <w:pStyle w:val="TableParagraph"/>
              <w:spacing w:line="204" w:lineRule="exact" w:before="0"/>
              <w:ind w:left="526" w:right="0"/>
              <w:jc w:val="left"/>
              <w:rPr>
                <w:rFonts w:ascii="Arial"/>
                <w:sz w:val="18"/>
              </w:rPr>
            </w:pPr>
            <w:r>
              <w:rPr>
                <w:rFonts w:ascii="Arial"/>
                <w:sz w:val="18"/>
              </w:rPr>
              <w:t>1.600</w:t>
            </w:r>
          </w:p>
        </w:tc>
        <w:tc>
          <w:tcPr>
            <w:tcW w:w="1206" w:type="dxa"/>
            <w:tcBorders>
              <w:top w:val="nil"/>
              <w:bottom w:val="nil"/>
            </w:tcBorders>
          </w:tcPr>
          <w:p>
            <w:pPr>
              <w:pStyle w:val="TableParagraph"/>
              <w:spacing w:line="205" w:lineRule="exact" w:before="0"/>
              <w:ind w:left="197" w:right="197"/>
              <w:jc w:val="center"/>
              <w:rPr>
                <w:rFonts w:ascii="Arial"/>
                <w:sz w:val="18"/>
              </w:rPr>
            </w:pPr>
            <w:r>
              <w:rPr>
                <w:rFonts w:ascii="Arial"/>
                <w:sz w:val="18"/>
              </w:rPr>
              <w:t>14389-01</w:t>
            </w:r>
          </w:p>
        </w:tc>
        <w:tc>
          <w:tcPr>
            <w:tcW w:w="1056" w:type="dxa"/>
            <w:tcBorders>
              <w:top w:val="nil"/>
              <w:bottom w:val="nil"/>
            </w:tcBorders>
          </w:tcPr>
          <w:p>
            <w:pPr>
              <w:pStyle w:val="TableParagraph"/>
              <w:spacing w:line="205" w:lineRule="exact" w:before="0"/>
              <w:ind w:left="327" w:right="328"/>
              <w:jc w:val="center"/>
              <w:rPr>
                <w:rFonts w:ascii="Arial"/>
                <w:sz w:val="18"/>
              </w:rPr>
            </w:pPr>
            <w:r>
              <w:rPr>
                <w:rFonts w:ascii="Arial"/>
                <w:sz w:val="18"/>
              </w:rPr>
              <w:t>1.0</w:t>
            </w:r>
          </w:p>
        </w:tc>
      </w:tr>
      <w:tr>
        <w:trPr>
          <w:trHeight w:val="220" w:hRule="exact"/>
        </w:trPr>
        <w:tc>
          <w:tcPr>
            <w:tcW w:w="1811" w:type="dxa"/>
            <w:tcBorders>
              <w:top w:val="nil"/>
              <w:bottom w:val="nil"/>
            </w:tcBorders>
          </w:tcPr>
          <w:p>
            <w:pPr>
              <w:pStyle w:val="TableParagraph"/>
              <w:spacing w:line="203" w:lineRule="exact" w:before="0"/>
              <w:ind w:left="449" w:right="449"/>
              <w:jc w:val="center"/>
              <w:rPr>
                <w:rFonts w:ascii="Arial"/>
                <w:sz w:val="18"/>
              </w:rPr>
            </w:pPr>
            <w:r>
              <w:rPr>
                <w:rFonts w:ascii="Arial"/>
                <w:sz w:val="18"/>
              </w:rPr>
              <w:t>200-800</w:t>
            </w:r>
          </w:p>
        </w:tc>
        <w:tc>
          <w:tcPr>
            <w:tcW w:w="1261" w:type="dxa"/>
            <w:tcBorders>
              <w:top w:val="nil"/>
              <w:bottom w:val="nil"/>
            </w:tcBorders>
          </w:tcPr>
          <w:p>
            <w:pPr>
              <w:pStyle w:val="TableParagraph"/>
              <w:spacing w:line="204" w:lineRule="exact" w:before="0"/>
              <w:ind w:left="525" w:right="0"/>
              <w:jc w:val="left"/>
              <w:rPr>
                <w:rFonts w:ascii="Arial"/>
                <w:sz w:val="18"/>
              </w:rPr>
            </w:pPr>
            <w:r>
              <w:rPr>
                <w:rFonts w:ascii="Arial"/>
                <w:sz w:val="18"/>
              </w:rPr>
              <w:t>50</w:t>
            </w:r>
          </w:p>
        </w:tc>
        <w:tc>
          <w:tcPr>
            <w:tcW w:w="1513" w:type="dxa"/>
            <w:tcBorders>
              <w:top w:val="nil"/>
              <w:bottom w:val="nil"/>
            </w:tcBorders>
          </w:tcPr>
          <w:p>
            <w:pPr>
              <w:pStyle w:val="TableParagraph"/>
              <w:spacing w:line="204" w:lineRule="exact" w:before="0"/>
              <w:ind w:left="526" w:right="0"/>
              <w:jc w:val="left"/>
              <w:rPr>
                <w:rFonts w:ascii="Arial"/>
                <w:sz w:val="18"/>
              </w:rPr>
            </w:pPr>
            <w:r>
              <w:rPr>
                <w:rFonts w:ascii="Arial"/>
                <w:sz w:val="18"/>
              </w:rPr>
              <w:t>1.600</w:t>
            </w:r>
          </w:p>
        </w:tc>
        <w:tc>
          <w:tcPr>
            <w:tcW w:w="1206" w:type="dxa"/>
            <w:tcBorders>
              <w:top w:val="nil"/>
              <w:bottom w:val="nil"/>
            </w:tcBorders>
          </w:tcPr>
          <w:p>
            <w:pPr>
              <w:pStyle w:val="TableParagraph"/>
              <w:spacing w:line="204" w:lineRule="exact" w:before="0"/>
              <w:ind w:left="197" w:right="197"/>
              <w:jc w:val="center"/>
              <w:rPr>
                <w:rFonts w:ascii="Arial"/>
                <w:sz w:val="18"/>
              </w:rPr>
            </w:pPr>
            <w:r>
              <w:rPr>
                <w:rFonts w:ascii="Arial"/>
                <w:sz w:val="18"/>
              </w:rPr>
              <w:t>14389-01</w:t>
            </w:r>
          </w:p>
        </w:tc>
        <w:tc>
          <w:tcPr>
            <w:tcW w:w="1056" w:type="dxa"/>
            <w:tcBorders>
              <w:top w:val="nil"/>
              <w:bottom w:val="nil"/>
            </w:tcBorders>
          </w:tcPr>
          <w:p>
            <w:pPr>
              <w:pStyle w:val="TableParagraph"/>
              <w:spacing w:line="204" w:lineRule="exact" w:before="0"/>
              <w:ind w:left="327" w:right="328"/>
              <w:jc w:val="center"/>
              <w:rPr>
                <w:rFonts w:ascii="Arial"/>
                <w:sz w:val="18"/>
              </w:rPr>
            </w:pPr>
            <w:r>
              <w:rPr>
                <w:rFonts w:ascii="Arial"/>
                <w:sz w:val="18"/>
              </w:rPr>
              <w:t>2.0</w:t>
            </w:r>
          </w:p>
        </w:tc>
      </w:tr>
      <w:tr>
        <w:trPr>
          <w:trHeight w:val="220" w:hRule="exact"/>
        </w:trPr>
        <w:tc>
          <w:tcPr>
            <w:tcW w:w="1811" w:type="dxa"/>
            <w:tcBorders>
              <w:top w:val="nil"/>
              <w:bottom w:val="nil"/>
            </w:tcBorders>
          </w:tcPr>
          <w:p>
            <w:pPr>
              <w:pStyle w:val="TableParagraph"/>
              <w:spacing w:line="203" w:lineRule="exact" w:before="0"/>
              <w:ind w:left="449" w:right="449"/>
              <w:jc w:val="center"/>
              <w:rPr>
                <w:rFonts w:ascii="Arial"/>
                <w:sz w:val="18"/>
              </w:rPr>
            </w:pPr>
            <w:r>
              <w:rPr>
                <w:rFonts w:ascii="Arial"/>
                <w:sz w:val="18"/>
              </w:rPr>
              <w:t>500-2000</w:t>
            </w:r>
          </w:p>
        </w:tc>
        <w:tc>
          <w:tcPr>
            <w:tcW w:w="1261" w:type="dxa"/>
            <w:tcBorders>
              <w:top w:val="nil"/>
              <w:bottom w:val="nil"/>
            </w:tcBorders>
          </w:tcPr>
          <w:p>
            <w:pPr>
              <w:pStyle w:val="TableParagraph"/>
              <w:spacing w:line="204" w:lineRule="exact" w:before="0"/>
              <w:ind w:left="525" w:right="0"/>
              <w:jc w:val="left"/>
              <w:rPr>
                <w:rFonts w:ascii="Arial"/>
                <w:sz w:val="18"/>
              </w:rPr>
            </w:pPr>
            <w:r>
              <w:rPr>
                <w:rFonts w:ascii="Arial"/>
                <w:sz w:val="18"/>
              </w:rPr>
              <w:t>20</w:t>
            </w:r>
          </w:p>
        </w:tc>
        <w:tc>
          <w:tcPr>
            <w:tcW w:w="1513" w:type="dxa"/>
            <w:tcBorders>
              <w:top w:val="nil"/>
              <w:bottom w:val="nil"/>
            </w:tcBorders>
          </w:tcPr>
          <w:p>
            <w:pPr>
              <w:pStyle w:val="TableParagraph"/>
              <w:spacing w:line="204" w:lineRule="exact" w:before="0"/>
              <w:ind w:left="526" w:right="0"/>
              <w:jc w:val="left"/>
              <w:rPr>
                <w:rFonts w:ascii="Arial"/>
                <w:sz w:val="18"/>
              </w:rPr>
            </w:pPr>
            <w:r>
              <w:rPr>
                <w:rFonts w:ascii="Arial"/>
                <w:sz w:val="18"/>
              </w:rPr>
              <w:t>1.600</w:t>
            </w:r>
          </w:p>
        </w:tc>
        <w:tc>
          <w:tcPr>
            <w:tcW w:w="1206" w:type="dxa"/>
            <w:tcBorders>
              <w:top w:val="nil"/>
              <w:bottom w:val="nil"/>
            </w:tcBorders>
          </w:tcPr>
          <w:p>
            <w:pPr>
              <w:pStyle w:val="TableParagraph"/>
              <w:spacing w:line="204" w:lineRule="exact" w:before="0"/>
              <w:ind w:left="197" w:right="197"/>
              <w:jc w:val="center"/>
              <w:rPr>
                <w:rFonts w:ascii="Arial"/>
                <w:sz w:val="18"/>
              </w:rPr>
            </w:pPr>
            <w:r>
              <w:rPr>
                <w:rFonts w:ascii="Arial"/>
                <w:sz w:val="18"/>
              </w:rPr>
              <w:t>14389-01</w:t>
            </w:r>
          </w:p>
        </w:tc>
        <w:tc>
          <w:tcPr>
            <w:tcW w:w="1056" w:type="dxa"/>
            <w:tcBorders>
              <w:top w:val="nil"/>
              <w:bottom w:val="nil"/>
            </w:tcBorders>
          </w:tcPr>
          <w:p>
            <w:pPr>
              <w:pStyle w:val="TableParagraph"/>
              <w:spacing w:line="204" w:lineRule="exact" w:before="0"/>
              <w:ind w:left="327" w:right="328"/>
              <w:jc w:val="center"/>
              <w:rPr>
                <w:rFonts w:ascii="Arial"/>
                <w:sz w:val="18"/>
              </w:rPr>
            </w:pPr>
            <w:r>
              <w:rPr>
                <w:rFonts w:ascii="Arial"/>
                <w:sz w:val="18"/>
              </w:rPr>
              <w:t>5.0</w:t>
            </w:r>
          </w:p>
        </w:tc>
      </w:tr>
      <w:tr>
        <w:trPr>
          <w:trHeight w:val="265" w:hRule="exact"/>
        </w:trPr>
        <w:tc>
          <w:tcPr>
            <w:tcW w:w="1811" w:type="dxa"/>
            <w:tcBorders>
              <w:top w:val="nil"/>
            </w:tcBorders>
          </w:tcPr>
          <w:p>
            <w:pPr>
              <w:pStyle w:val="TableParagraph"/>
              <w:spacing w:line="204" w:lineRule="exact" w:before="0"/>
              <w:ind w:left="449" w:right="450"/>
              <w:jc w:val="center"/>
              <w:rPr>
                <w:rFonts w:ascii="Arial"/>
                <w:sz w:val="18"/>
              </w:rPr>
            </w:pPr>
            <w:r>
              <w:rPr>
                <w:rFonts w:ascii="Arial"/>
                <w:sz w:val="18"/>
              </w:rPr>
              <w:t>1000-4000</w:t>
            </w:r>
          </w:p>
        </w:tc>
        <w:tc>
          <w:tcPr>
            <w:tcW w:w="1261" w:type="dxa"/>
            <w:tcBorders>
              <w:top w:val="nil"/>
            </w:tcBorders>
          </w:tcPr>
          <w:p>
            <w:pPr>
              <w:pStyle w:val="TableParagraph"/>
              <w:spacing w:line="204" w:lineRule="exact" w:before="0"/>
              <w:ind w:left="525" w:right="0"/>
              <w:jc w:val="left"/>
              <w:rPr>
                <w:rFonts w:ascii="Arial"/>
                <w:sz w:val="18"/>
              </w:rPr>
            </w:pPr>
            <w:r>
              <w:rPr>
                <w:rFonts w:ascii="Arial"/>
                <w:sz w:val="18"/>
              </w:rPr>
              <w:t>10</w:t>
            </w:r>
          </w:p>
        </w:tc>
        <w:tc>
          <w:tcPr>
            <w:tcW w:w="1513" w:type="dxa"/>
            <w:tcBorders>
              <w:top w:val="nil"/>
            </w:tcBorders>
          </w:tcPr>
          <w:p>
            <w:pPr>
              <w:pStyle w:val="TableParagraph"/>
              <w:spacing w:line="204" w:lineRule="exact" w:before="0"/>
              <w:ind w:left="526" w:right="0"/>
              <w:jc w:val="left"/>
              <w:rPr>
                <w:rFonts w:ascii="Arial"/>
                <w:sz w:val="18"/>
              </w:rPr>
            </w:pPr>
            <w:r>
              <w:rPr>
                <w:rFonts w:ascii="Arial"/>
                <w:sz w:val="18"/>
              </w:rPr>
              <w:t>1.600</w:t>
            </w:r>
          </w:p>
        </w:tc>
        <w:tc>
          <w:tcPr>
            <w:tcW w:w="1206" w:type="dxa"/>
            <w:tcBorders>
              <w:top w:val="nil"/>
            </w:tcBorders>
          </w:tcPr>
          <w:p>
            <w:pPr>
              <w:pStyle w:val="TableParagraph"/>
              <w:spacing w:line="205" w:lineRule="exact" w:before="0"/>
              <w:ind w:left="197" w:right="197"/>
              <w:jc w:val="center"/>
              <w:rPr>
                <w:rFonts w:ascii="Arial"/>
                <w:sz w:val="18"/>
              </w:rPr>
            </w:pPr>
            <w:r>
              <w:rPr>
                <w:rFonts w:ascii="Arial"/>
                <w:sz w:val="18"/>
              </w:rPr>
              <w:t>14389-01</w:t>
            </w:r>
          </w:p>
        </w:tc>
        <w:tc>
          <w:tcPr>
            <w:tcW w:w="1056" w:type="dxa"/>
            <w:tcBorders>
              <w:top w:val="nil"/>
            </w:tcBorders>
          </w:tcPr>
          <w:p>
            <w:pPr>
              <w:pStyle w:val="TableParagraph"/>
              <w:spacing w:line="205" w:lineRule="exact" w:before="0"/>
              <w:ind w:left="327" w:right="328"/>
              <w:jc w:val="center"/>
              <w:rPr>
                <w:rFonts w:ascii="Arial"/>
                <w:sz w:val="18"/>
              </w:rPr>
            </w:pPr>
            <w:r>
              <w:rPr>
                <w:rFonts w:ascii="Arial"/>
                <w:sz w:val="18"/>
              </w:rPr>
              <w:t>10.0</w:t>
            </w: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7"/>
        </w:rPr>
      </w:pPr>
    </w:p>
    <w:p>
      <w:pPr>
        <w:pStyle w:val="Heading5"/>
        <w:spacing w:before="73"/>
        <w:ind w:left="2909" w:right="2927"/>
        <w:jc w:val="center"/>
        <w:rPr>
          <w:rFonts w:ascii="Times New Roman"/>
        </w:rPr>
      </w:pPr>
      <w:r>
        <w:rPr>
          <w:rFonts w:ascii="Times New Roman"/>
        </w:rPr>
        <w:t>41</w:t>
      </w:r>
    </w:p>
    <w:p>
      <w:pPr>
        <w:spacing w:after="0"/>
        <w:jc w:val="center"/>
        <w:rPr>
          <w:rFonts w:ascii="Times New Roman"/>
        </w:rPr>
        <w:sectPr>
          <w:type w:val="continuous"/>
          <w:pgSz w:w="10080" w:h="12960"/>
          <w:pgMar w:top="0" w:bottom="0" w:left="960" w:right="580"/>
        </w:sectPr>
      </w:pPr>
    </w:p>
    <w:p>
      <w:pPr>
        <w:spacing w:before="44"/>
        <w:ind w:left="120" w:right="138" w:firstLine="0"/>
        <w:jc w:val="left"/>
        <w:rPr>
          <w:rFonts w:ascii="Times New Roman"/>
          <w:b/>
          <w:sz w:val="24"/>
        </w:rPr>
      </w:pPr>
      <w:r>
        <w:rPr/>
        <w:pict>
          <v:group style="position:absolute;margin-left:35.474998pt;margin-top:21.975325pt;width:415.05pt;height:1.05pt;mso-position-horizontal-relative:page;mso-position-vertical-relative:paragraph;z-index:15616;mso-wrap-distance-left:0;mso-wrap-distance-right:0" coordorigin="709,440" coordsize="8301,21">
            <v:line style="position:absolute" from="720,450" to="720,450" stroked="true" strokeweight="1.02pt" strokecolor="#000000"/>
            <v:line style="position:absolute" from="9000,450" to="9000,450" stroked="true" strokeweight="1.02pt" strokecolor="#000000"/>
            <v:line style="position:absolute" from="720,450" to="9000,450" stroked="true" strokeweight="1.02pt" strokecolor="#000000"/>
            <w10:wrap type="topAndBottom"/>
          </v:group>
        </w:pict>
      </w:r>
      <w:r>
        <w:rPr/>
        <w:pict>
          <v:group style="position:absolute;margin-left:39.599998pt;margin-top:40.170326pt;width:93.6pt;height:93.6pt;mso-position-horizontal-relative:page;mso-position-vertical-relative:paragraph;z-index:15640;mso-wrap-distance-left:0;mso-wrap-distance-right:0" coordorigin="792,803" coordsize="1872,1872">
            <v:rect style="position:absolute;left:912;top:803;width:1752;height:120" filled="true" fillcolor="#000000" stroked="false">
              <v:fill type="solid"/>
            </v:rect>
            <v:rect style="position:absolute;left:2544;top:863;width:120;height:1812" filled="true" fillcolor="#000000" stroked="false">
              <v:fill type="solid"/>
            </v:rect>
            <v:rect style="position:absolute;left:792;top:2555;width:1812;height:120" filled="true" fillcolor="#000000" stroked="false">
              <v:fill type="solid"/>
            </v:rect>
            <v:rect style="position:absolute;left:792;top:803;width:120;height:1812" filled="true" fillcolor="#000000" stroked="false">
              <v:fill type="solid"/>
            </v:rect>
            <w10:wrap type="topAndBottom"/>
          </v:group>
        </w:pict>
      </w:r>
      <w:r>
        <w:rPr/>
        <w:pict>
          <v:group style="position:absolute;margin-left:145.380005pt;margin-top:40.170326pt;width:93.7pt;height:93.6pt;mso-position-horizontal-relative:page;mso-position-vertical-relative:paragraph;z-index:15664;mso-wrap-distance-left:0;mso-wrap-distance-right:0" coordorigin="2908,803" coordsize="1874,1872">
            <v:shape style="position:absolute;left:3687;top:984;width:302;height:1508" type="#_x0000_t75" stroked="false">
              <v:imagedata r:id="rId323" o:title=""/>
            </v:shape>
            <v:shape style="position:absolute;left:3637;top:2177;width:417;height:288" type="#_x0000_t75" stroked="false">
              <v:imagedata r:id="rId324" o:title=""/>
            </v:shape>
            <v:rect style="position:absolute;left:3028;top:803;width:1753;height:120" filled="true" fillcolor="#000000" stroked="false">
              <v:fill type="solid"/>
            </v:rect>
            <v:rect style="position:absolute;left:4661;top:863;width:120;height:1812" filled="true" fillcolor="#000000" stroked="false">
              <v:fill type="solid"/>
            </v:rect>
            <v:rect style="position:absolute;left:2908;top:2555;width:1813;height:120" filled="true" fillcolor="#000000" stroked="false">
              <v:fill type="solid"/>
            </v:rect>
            <v:rect style="position:absolute;left:2908;top:803;width:120;height:1812" filled="true" fillcolor="#000000" stroked="false">
              <v:fill type="solid"/>
            </v:rect>
            <w10:wrap type="topAndBottom"/>
          </v:group>
        </w:pict>
      </w:r>
      <w:r>
        <w:rPr/>
        <w:pict>
          <v:group style="position:absolute;margin-left:251.220001pt;margin-top:40.170326pt;width:93.6pt;height:93.6pt;mso-position-horizontal-relative:page;mso-position-vertical-relative:paragraph;z-index:15688;mso-wrap-distance-left:0;mso-wrap-distance-right:0" coordorigin="5024,803" coordsize="1872,1872">
            <v:shape style="position:absolute;left:5321;top:1375;width:367;height:130" type="#_x0000_t75" stroked="false">
              <v:imagedata r:id="rId325" o:title=""/>
            </v:shape>
            <v:shape style="position:absolute;left:5213;top:1539;width:579;height:129" type="#_x0000_t75" stroked="false">
              <v:imagedata r:id="rId326" o:title=""/>
            </v:shape>
            <v:shape style="position:absolute;left:6274;top:1372;width:292;height:130" type="#_x0000_t75" stroked="false">
              <v:imagedata r:id="rId327" o:title=""/>
            </v:shape>
            <v:shape style="position:absolute;left:6120;top:1527;width:601;height:137" type="#_x0000_t75" stroked="false">
              <v:imagedata r:id="rId328" o:title=""/>
            </v:shape>
            <v:rect style="position:absolute;left:5144;top:803;width:1752;height:120" filled="true" fillcolor="#000000" stroked="false">
              <v:fill type="solid"/>
            </v:rect>
            <v:rect style="position:absolute;left:6776;top:863;width:120;height:1812" filled="true" fillcolor="#000000" stroked="false">
              <v:fill type="solid"/>
            </v:rect>
            <v:rect style="position:absolute;left:5024;top:2555;width:1812;height:120" filled="true" fillcolor="#000000" stroked="false">
              <v:fill type="solid"/>
            </v:rect>
            <v:rect style="position:absolute;left:5024;top:803;width:120;height:1812" filled="true" fillcolor="#000000" stroked="false">
              <v:fill type="solid"/>
            </v:rect>
            <w10:wrap type="topAndBottom"/>
          </v:group>
        </w:pict>
      </w:r>
      <w:r>
        <w:rPr/>
        <w:pict>
          <v:group style="position:absolute;margin-left:357.059998pt;margin-top:40.170326pt;width:93.6pt;height:93.6pt;mso-position-horizontal-relative:page;mso-position-vertical-relative:paragraph;z-index:15712;mso-wrap-distance-left:0;mso-wrap-distance-right:0" coordorigin="7141,803" coordsize="1872,1872">
            <v:shape style="position:absolute;left:7750;top:1458;width:659;height:1031" coordorigin="7750,1458" coordsize="659,1031" path="m8185,1458l7974,1458,7974,1714,7757,2347,7750,2403,7762,2448,7787,2478,7817,2488,8341,2486,8372,2475,8397,2445,8408,2400,8401,2347,8185,1714,8185,1458xe" filled="true" fillcolor="#231f20" stroked="false">
              <v:path arrowok="t"/>
              <v:fill type="solid"/>
            </v:shape>
            <v:shape style="position:absolute;left:7783;top:1472;width:588;height:980" coordorigin="7783,1472" coordsize="588,980" path="m8153,1472l8004,1473,8004,1718,7799,2323,7783,2382,7784,2422,7802,2444,7839,2451,8316,2450,8354,2439,8371,2411,8370,2370,8357,2320,8153,1716,8153,1472xe" filled="true" fillcolor="#ffffff" stroked="false">
              <v:path arrowok="t"/>
              <v:fill type="solid"/>
            </v:shape>
            <v:shape style="position:absolute;left:7956;top:1450;width:254;height:43" coordorigin="7956,1450" coordsize="254,43" path="m8202,1450l7966,1450,7956,1458,7956,1471,7957,1485,7966,1493,8204,1493,8210,1484,8210,1458,8202,1450xe" filled="true" fillcolor="#231f20" stroked="false">
              <v:path arrowok="t"/>
              <v:fill type="solid"/>
            </v:shape>
            <v:line style="position:absolute" from="7968,1480" to="7969,1480" stroked="true" strokeweight=".1pt" strokecolor="#ffffff"/>
            <v:line style="position:absolute" from="7968,1475" to="8199,1475" stroked="true" strokeweight=".4pt" strokecolor="#ffffff"/>
            <v:line style="position:absolute" from="7968,1467" to="8199,1467" stroked="true" strokeweight=".4pt" strokecolor="#ffffff"/>
            <v:line style="position:absolute" from="7967,1462" to="7969,1462" stroked="true" strokeweight=".1pt" strokecolor="#ffffff"/>
            <v:shape style="position:absolute;left:8195;top:1479;width:5;height:2" coordorigin="8195,1479" coordsize="5,1" path="m8199,1479l8195,1479,8199,1480,8199,1479xe" filled="true" fillcolor="#ffffff" stroked="false">
              <v:path arrowok="t"/>
              <v:fill type="solid"/>
            </v:shape>
            <v:line style="position:absolute" from="8106,1863" to="8197,2353" stroked="true" strokeweight=".17pt" strokecolor="#231f20"/>
            <v:line style="position:absolute" from="8106,1863" to="8157,1863" stroked="true" strokeweight=".17pt" strokecolor="#231f20"/>
            <v:line style="position:absolute" from="8134,2016" to="8164,2016" stroked="true" strokeweight=".097pt" strokecolor="#231f20"/>
            <v:line style="position:absolute" from="8153,2117" to="8182,2117" stroked="true" strokeweight=".097pt" strokecolor="#231f20"/>
            <v:line style="position:absolute" from="8171,2213" to="8200,2214" stroked="true" strokeweight=".097pt" strokecolor="#231f20"/>
            <v:line style="position:absolute" from="8189,2309" to="8219,2309" stroked="true" strokeweight=".097pt" strokecolor="#231f20"/>
            <v:line style="position:absolute" from="8115,1910" to="8144,1910" stroked="true" strokeweight=".097pt" strokecolor="#231f20"/>
            <v:line style="position:absolute" from="8124,1961" to="8175,1962" stroked="true" strokeweight=".17pt" strokecolor="#231f20"/>
            <v:line style="position:absolute" from="8197,2353" to="8248,2353" stroked="true" strokeweight=".17pt" strokecolor="#231f20"/>
            <v:line style="position:absolute" from="8178,2254" to="8232,2254" stroked="true" strokeweight=".17pt" strokecolor="#231f20"/>
            <v:line style="position:absolute" from="8160,2160" to="8212,2160" stroked="true" strokeweight=".17pt" strokecolor="#231f20"/>
            <v:line style="position:absolute" from="8143,2064" to="8193,2064" stroked="true" strokeweight=".17pt" strokecolor="#231f20"/>
            <v:shape style="position:absolute;left:8036;top:1007;width:372;height:385" type="#_x0000_t75" stroked="false">
              <v:imagedata r:id="rId329" o:title=""/>
            </v:shape>
            <v:rect style="position:absolute;left:7261;top:803;width:1752;height:120" filled="true" fillcolor="#000000" stroked="false">
              <v:fill type="solid"/>
            </v:rect>
            <v:rect style="position:absolute;left:8893;top:863;width:120;height:1812" filled="true" fillcolor="#000000" stroked="false">
              <v:fill type="solid"/>
            </v:rect>
            <v:rect style="position:absolute;left:7141;top:2555;width:1812;height:120" filled="true" fillcolor="#000000" stroked="false">
              <v:fill type="solid"/>
            </v:rect>
            <v:rect style="position:absolute;left:7141;top:803;width:120;height:1812" filled="true" fillcolor="#000000" stroked="false">
              <v:fill type="solid"/>
            </v:rect>
            <w10:wrap type="topAndBottom"/>
          </v:group>
        </w:pict>
      </w:r>
      <w:r>
        <w:rPr/>
        <w:pict>
          <v:shape style="position:absolute;margin-left:296.787994pt;margin-top:73.664322pt;width:2.35pt;height:2.4pt;mso-position-horizontal-relative:page;mso-position-vertical-relative:paragraph;z-index:-1516048" coordorigin="5936,1473" coordsize="47,48" path="m5952,1473l5936,1473,5952,1497,5936,1521,5951,1521,5959,1507,5973,1507,5967,1497,5973,1487,5959,1487,5952,1473xm5973,1507l5959,1507,5967,1521,5983,1521,5973,1507xm5982,1473l5967,1473,5959,1487,5973,1487,5982,1473xe" filled="true" fillcolor="#231f20" stroked="false">
            <v:path arrowok="t"/>
            <v:fill type="solid"/>
            <w10:wrap type="none"/>
          </v:shape>
        </w:pict>
      </w:r>
      <w:r>
        <w:rPr>
          <w:rFonts w:ascii="Times New Roman"/>
          <w:b/>
          <w:sz w:val="28"/>
        </w:rPr>
        <w:t>ALKALINITY, </w:t>
      </w:r>
      <w:r>
        <w:rPr>
          <w:rFonts w:ascii="Times New Roman"/>
          <w:b/>
          <w:sz w:val="24"/>
        </w:rPr>
        <w:t>continued</w:t>
      </w:r>
    </w:p>
    <w:p>
      <w:pPr>
        <w:pStyle w:val="BodyText"/>
        <w:spacing w:before="10"/>
        <w:rPr>
          <w:rFonts w:ascii="Times New Roman"/>
          <w:b/>
          <w:sz w:val="23"/>
        </w:rPr>
      </w:pPr>
    </w:p>
    <w:p>
      <w:pPr>
        <w:pStyle w:val="BodyText"/>
        <w:spacing w:before="1"/>
        <w:rPr>
          <w:rFonts w:ascii="Times New Roman"/>
          <w:b/>
          <w:sz w:val="6"/>
        </w:rPr>
      </w:pPr>
    </w:p>
    <w:p>
      <w:pPr>
        <w:spacing w:after="0"/>
        <w:rPr>
          <w:rFonts w:ascii="Times New Roman"/>
          <w:sz w:val="6"/>
        </w:rPr>
        <w:sectPr>
          <w:headerReference w:type="default" r:id="rId321"/>
          <w:footerReference w:type="default" r:id="rId322"/>
          <w:pgSz w:w="10080" w:h="12960"/>
          <w:pgMar w:header="0" w:footer="0" w:top="600" w:bottom="0" w:left="600" w:right="960"/>
        </w:sectPr>
      </w:pPr>
    </w:p>
    <w:p>
      <w:pPr>
        <w:pStyle w:val="ListParagraph"/>
        <w:numPr>
          <w:ilvl w:val="0"/>
          <w:numId w:val="30"/>
        </w:numPr>
        <w:tabs>
          <w:tab w:pos="420" w:val="left" w:leader="none"/>
        </w:tabs>
        <w:spacing w:line="247" w:lineRule="auto" w:before="16" w:after="0"/>
        <w:ind w:left="120" w:right="15" w:firstLine="0"/>
        <w:jc w:val="left"/>
        <w:rPr>
          <w:rFonts w:ascii="Times New Roman"/>
          <w:sz w:val="20"/>
        </w:rPr>
      </w:pPr>
      <w:r>
        <w:rPr/>
        <w:pict>
          <v:group style="position:absolute;margin-left:70.263748pt;margin-top:-87.871651pt;width:32.5pt;height:73.05pt;mso-position-horizontal-relative:page;mso-position-vertical-relative:paragraph;z-index:-1516072" coordorigin="1405,-1757" coordsize="650,1461">
            <v:shape style="position:absolute;left:1405;top:-1313;width:650;height:1016" coordorigin="1405,-1313" coordsize="650,1016" path="m1835,-1313l1626,-1313,1626,-1061,1413,-437,1405,-381,1418,-337,1442,-308,1472,-297,1989,-299,2019,-310,2043,-340,2054,-384,2047,-437,1835,-1061,1835,-1313xe" filled="true" fillcolor="#231f20" stroked="false">
              <v:path arrowok="t"/>
              <v:fill type="solid"/>
            </v:shape>
            <v:shape style="position:absolute;left:1438;top:-1299;width:580;height:966" coordorigin="1438,-1299" coordsize="580,966" path="m1802,-1299l1656,-1298,1656,-1057,1454,-461,1438,-403,1439,-363,1457,-341,1493,-334,1963,-336,2001,-346,2017,-373,2017,-414,2003,-463,1802,-1058,1802,-1299xe" filled="true" fillcolor="#ffffff" stroked="false">
              <v:path arrowok="t"/>
              <v:fill type="solid"/>
            </v:shape>
            <v:shape style="position:absolute;left:1609;top:-1321;width:251;height:42" coordorigin="1609,-1321" coordsize="251,42" path="m1852,-1321l1619,-1321,1609,-1313,1609,-1300,1610,-1286,1618,-1279,1853,-1279,1859,-1288,1859,-1313,1852,-1321xe" filled="true" fillcolor="#231f20" stroked="false">
              <v:path arrowok="t"/>
              <v:fill type="solid"/>
            </v:shape>
            <v:line style="position:absolute" from="1620,-1296" to="1848,-1296" stroked="true" strokeweight=".4pt" strokecolor="#ffffff"/>
            <v:line style="position:absolute" from="1620,-1304" to="1848,-1304" stroked="true" strokeweight=".4pt" strokecolor="#ffffff"/>
            <v:line style="position:absolute" from="1620,-1309" to="1621,-1309" stroked="true" strokeweight=".1pt" strokecolor="#ffffff"/>
            <v:shape style="position:absolute;left:1844;top:-1292;width:5;height:2" coordorigin="1844,-1292" coordsize="5,1" path="m1848,-1292l1844,-1292,1848,-1292,1848,-1292xe" filled="true" fillcolor="#ffffff" stroked="false">
              <v:path arrowok="t"/>
              <v:fill type="solid"/>
            </v:shape>
            <v:shape style="position:absolute;left:0;top:9584;width:90;height:483" coordorigin="0,9584" coordsize="90,483" path="m1757,-914l1846,-431m1757,-914l1806,-914e" filled="false" stroked="true" strokeweight=".168pt" strokecolor="#231f20">
              <v:path arrowok="t"/>
            </v:shape>
            <v:shape style="position:absolute;left:-19;top:9480;width:102;height:393" coordorigin="-19,9480" coordsize="102,393" path="m1784,-763l1813,-763m1803,-663l1831,-663m1821,-569l1849,-568m1838,-475l1868,-475m1766,-867l1794,-867e" filled="false" stroked="true" strokeweight=".095pt" strokecolor="#231f20">
              <v:path arrowok="t"/>
            </v:shape>
            <v:shape style="position:absolute;left:0;top:9584;width:123;height:386" coordorigin="0,9584" coordsize="123,386" path="m1774,-817l1825,-816m1846,-431l1897,-431m1828,-528l1881,-528m1810,-621l1860,-621m1793,-715l1842,-715e" filled="false" stroked="true" strokeweight=".168pt" strokecolor="#231f20">
              <v:path arrowok="t"/>
            </v:shape>
            <v:shape style="position:absolute;left:1687;top:-1757;width:367;height:380" type="#_x0000_t75" stroked="false">
              <v:imagedata r:id="rId330" o:title=""/>
            </v:shape>
            <w10:wrap type="none"/>
          </v:group>
        </w:pict>
      </w:r>
      <w:r>
        <w:rPr>
          <w:rFonts w:ascii="Times New Roman"/>
          <w:sz w:val="20"/>
        </w:rPr>
        <w:t>Add the contents of one Phenolphthalein Indicator Powder</w:t>
      </w:r>
      <w:r>
        <w:rPr>
          <w:rFonts w:ascii="Times New Roman"/>
          <w:spacing w:val="-17"/>
          <w:sz w:val="20"/>
        </w:rPr>
        <w:t> </w:t>
      </w:r>
      <w:r>
        <w:rPr>
          <w:rFonts w:ascii="Times New Roman"/>
          <w:sz w:val="20"/>
        </w:rPr>
        <w:t>Pillow and swirl to</w:t>
      </w:r>
      <w:r>
        <w:rPr>
          <w:rFonts w:ascii="Times New Roman"/>
          <w:spacing w:val="-5"/>
          <w:sz w:val="20"/>
        </w:rPr>
        <w:t> </w:t>
      </w:r>
      <w:r>
        <w:rPr>
          <w:rFonts w:ascii="Times New Roman"/>
          <w:sz w:val="20"/>
        </w:rPr>
        <w:t>mix.</w:t>
      </w:r>
    </w:p>
    <w:p>
      <w:pPr>
        <w:spacing w:before="131"/>
        <w:ind w:left="120" w:right="-4" w:firstLine="0"/>
        <w:jc w:val="left"/>
        <w:rPr>
          <w:i/>
          <w:sz w:val="17"/>
        </w:rPr>
      </w:pPr>
      <w:r>
        <w:rPr>
          <w:b/>
          <w:i/>
          <w:sz w:val="17"/>
        </w:rPr>
        <w:t>Note:</w:t>
      </w:r>
      <w:r>
        <w:rPr>
          <w:b/>
          <w:i/>
          <w:spacing w:val="-14"/>
          <w:sz w:val="17"/>
        </w:rPr>
        <w:t> </w:t>
      </w:r>
      <w:r>
        <w:rPr>
          <w:i/>
          <w:sz w:val="17"/>
        </w:rPr>
        <w:t>A</w:t>
      </w:r>
      <w:r>
        <w:rPr>
          <w:i/>
          <w:spacing w:val="-14"/>
          <w:sz w:val="17"/>
        </w:rPr>
        <w:t> </w:t>
      </w:r>
      <w:r>
        <w:rPr>
          <w:i/>
          <w:sz w:val="17"/>
        </w:rPr>
        <w:t>solution</w:t>
      </w:r>
      <w:r>
        <w:rPr>
          <w:i/>
          <w:spacing w:val="-14"/>
          <w:sz w:val="17"/>
        </w:rPr>
        <w:t> </w:t>
      </w:r>
      <w:r>
        <w:rPr>
          <w:i/>
          <w:sz w:val="17"/>
        </w:rPr>
        <w:t>of</w:t>
      </w:r>
      <w:r>
        <w:rPr>
          <w:i/>
          <w:spacing w:val="-14"/>
          <w:sz w:val="17"/>
        </w:rPr>
        <w:t> </w:t>
      </w:r>
      <w:r>
        <w:rPr>
          <w:i/>
          <w:sz w:val="17"/>
        </w:rPr>
        <w:t>one</w:t>
      </w:r>
      <w:r>
        <w:rPr>
          <w:i/>
          <w:spacing w:val="-13"/>
          <w:sz w:val="17"/>
        </w:rPr>
        <w:t> </w:t>
      </w:r>
      <w:r>
        <w:rPr>
          <w:i/>
          <w:sz w:val="17"/>
        </w:rPr>
        <w:t>pH</w:t>
      </w:r>
    </w:p>
    <w:p>
      <w:pPr>
        <w:spacing w:line="256" w:lineRule="auto" w:before="14"/>
        <w:ind w:left="120" w:right="-16" w:firstLine="0"/>
        <w:jc w:val="left"/>
        <w:rPr>
          <w:i/>
          <w:sz w:val="17"/>
        </w:rPr>
      </w:pPr>
      <w:r>
        <w:rPr>
          <w:i/>
          <w:sz w:val="17"/>
        </w:rPr>
        <w:t>8.3 Buffer Powder Pillow </w:t>
      </w:r>
      <w:r>
        <w:rPr>
          <w:i/>
          <w:sz w:val="17"/>
        </w:rPr>
        <w:t>and one Phenolphthalein Powder Pillow in 50 mL of deionized water is recommended as a comparison for determining the proper end point color.</w:t>
      </w:r>
    </w:p>
    <w:p>
      <w:pPr>
        <w:pStyle w:val="BodyText"/>
        <w:spacing w:before="11"/>
        <w:rPr>
          <w:i/>
          <w:sz w:val="13"/>
        </w:rPr>
      </w:pPr>
    </w:p>
    <w:p>
      <w:pPr>
        <w:spacing w:line="256" w:lineRule="auto" w:before="0"/>
        <w:ind w:left="120" w:right="21" w:firstLine="0"/>
        <w:jc w:val="left"/>
        <w:rPr>
          <w:i/>
          <w:sz w:val="17"/>
        </w:rPr>
      </w:pPr>
      <w:r>
        <w:rPr>
          <w:b/>
          <w:i/>
          <w:sz w:val="17"/>
        </w:rPr>
        <w:t>Note: </w:t>
      </w:r>
      <w:r>
        <w:rPr>
          <w:i/>
          <w:sz w:val="17"/>
        </w:rPr>
        <w:t>Four drops of </w:t>
      </w:r>
      <w:r>
        <w:rPr>
          <w:i/>
          <w:sz w:val="17"/>
        </w:rPr>
        <w:t>Phenolphthalein Indicator Solution may be substituted for the Phenolphthalein Indicator Powder Pillow.</w:t>
      </w:r>
    </w:p>
    <w:p>
      <w:pPr>
        <w:pStyle w:val="ListParagraph"/>
        <w:numPr>
          <w:ilvl w:val="0"/>
          <w:numId w:val="30"/>
        </w:numPr>
        <w:tabs>
          <w:tab w:pos="416" w:val="left" w:leader="none"/>
        </w:tabs>
        <w:spacing w:line="249" w:lineRule="auto" w:before="16" w:after="0"/>
        <w:ind w:left="115" w:right="0" w:firstLine="0"/>
        <w:jc w:val="left"/>
        <w:rPr>
          <w:rFonts w:ascii="Times New Roman"/>
          <w:sz w:val="20"/>
        </w:rPr>
      </w:pPr>
      <w:r>
        <w:rPr>
          <w:rFonts w:ascii="Times New Roman"/>
          <w:w w:val="99"/>
          <w:sz w:val="20"/>
        </w:rPr>
        <w:br w:type="column"/>
      </w:r>
      <w:r>
        <w:rPr>
          <w:rFonts w:ascii="Times New Roman"/>
          <w:sz w:val="20"/>
        </w:rPr>
        <w:t>If the solution turns pink, titrate to a colorless end point. Place the delivery tube tip into the solution and swirl the flask while titrating with sulfuric acid. Record the</w:t>
      </w:r>
      <w:r>
        <w:rPr>
          <w:rFonts w:ascii="Times New Roman"/>
          <w:spacing w:val="-23"/>
          <w:sz w:val="20"/>
        </w:rPr>
        <w:t> </w:t>
      </w:r>
      <w:r>
        <w:rPr>
          <w:rFonts w:ascii="Times New Roman"/>
          <w:sz w:val="20"/>
        </w:rPr>
        <w:t>number of digits</w:t>
      </w:r>
      <w:r>
        <w:rPr>
          <w:rFonts w:ascii="Times New Roman"/>
          <w:spacing w:val="-11"/>
          <w:sz w:val="20"/>
        </w:rPr>
        <w:t> </w:t>
      </w:r>
      <w:r>
        <w:rPr>
          <w:rFonts w:ascii="Times New Roman"/>
          <w:sz w:val="20"/>
        </w:rPr>
        <w:t>required.</w:t>
      </w:r>
    </w:p>
    <w:p>
      <w:pPr>
        <w:spacing w:line="256" w:lineRule="auto" w:before="129"/>
        <w:ind w:left="115" w:right="5" w:firstLine="0"/>
        <w:jc w:val="left"/>
        <w:rPr>
          <w:i/>
          <w:sz w:val="17"/>
        </w:rPr>
      </w:pPr>
      <w:r>
        <w:rPr>
          <w:b/>
          <w:i/>
          <w:sz w:val="17"/>
        </w:rPr>
        <w:t>Note: </w:t>
      </w:r>
      <w:r>
        <w:rPr>
          <w:i/>
          <w:sz w:val="17"/>
        </w:rPr>
        <w:t>If the solution is </w:t>
      </w:r>
      <w:r>
        <w:rPr>
          <w:i/>
          <w:sz w:val="17"/>
        </w:rPr>
        <w:t>colorless before titrating with sulfuric acid, the Phenolphthalein (P) Alkalinity is zero; proceed with step 8.</w:t>
      </w:r>
    </w:p>
    <w:p>
      <w:pPr>
        <w:pStyle w:val="ListParagraph"/>
        <w:numPr>
          <w:ilvl w:val="0"/>
          <w:numId w:val="30"/>
        </w:numPr>
        <w:tabs>
          <w:tab w:pos="420" w:val="left" w:leader="none"/>
        </w:tabs>
        <w:spacing w:line="240" w:lineRule="auto" w:before="16" w:after="0"/>
        <w:ind w:left="420" w:right="0" w:hanging="300"/>
        <w:jc w:val="left"/>
        <w:rPr>
          <w:rFonts w:ascii="Times New Roman"/>
          <w:sz w:val="20"/>
        </w:rPr>
      </w:pPr>
      <w:r>
        <w:rPr>
          <w:rFonts w:ascii="Times New Roman"/>
          <w:w w:val="99"/>
          <w:sz w:val="20"/>
        </w:rPr>
        <w:br w:type="column"/>
      </w:r>
      <w:r>
        <w:rPr>
          <w:rFonts w:ascii="Times New Roman"/>
          <w:sz w:val="20"/>
        </w:rPr>
        <w:t>Calculate:</w:t>
      </w:r>
    </w:p>
    <w:p>
      <w:pPr>
        <w:spacing w:line="254" w:lineRule="auto" w:before="146"/>
        <w:ind w:left="120" w:right="250" w:firstLine="0"/>
        <w:jc w:val="left"/>
        <w:rPr>
          <w:sz w:val="18"/>
        </w:rPr>
      </w:pPr>
      <w:r>
        <w:rPr/>
        <w:pict>
          <v:group style="position:absolute;margin-left:270.958008pt;margin-top:-62.974121pt;width:55.6pt;height:14.8pt;mso-position-horizontal-relative:page;mso-position-vertical-relative:paragraph;z-index:-1516024" coordorigin="5419,-1259" coordsize="1112,296">
            <v:shape style="position:absolute;left:5419;top:-1216;width:70;height:46" coordorigin="5419,-1216" coordsize="70,46" path="m5488,-1216l5419,-1216,5419,-1201,5488,-1201,5488,-1216xm5488,-1186l5419,-1186,5419,-1170,5488,-1170,5488,-1186xe" filled="true" fillcolor="#231f20" stroked="false">
              <v:path arrowok="t"/>
              <v:fill type="solid"/>
            </v:shape>
            <v:shape style="position:absolute;left:5553;top:-1259;width:317;height:131" type="#_x0000_t75" stroked="false">
              <v:imagedata r:id="rId331" o:title=""/>
            </v:shape>
            <v:shape style="position:absolute;left:5554;top:-1259;width:926;height:266" coordorigin="5554,-1259" coordsize="926,266" path="m5630,-1061l5628,-1074,5627,-1076,5622,-1084,5612,-1091,5610,-1091,5610,-1072,5610,-1047,5575,-1047,5575,-1076,5604,-1076,5610,-1072,5610,-1091,5599,-1093,5554,-1093,5554,-994,5575,-994,5575,-1030,5599,-1030,5615,-1033,5624,-1042,5626,-1047,5629,-1053,5630,-1061m5984,-1161l5982,-1162,5980,-1164,5980,-1167,5980,-1170,5980,-1194,5980,-1218,5980,-1230,5961,-1233,5950,-1233,5939,-1232,5929,-1229,5922,-1221,5918,-1208,5936,-1208,5937,-1212,5938,-1218,5953,-1218,5961,-1217,5961,-1205,5961,-1194,5961,-1175,5952,-1170,5940,-1170,5935,-1172,5935,-1187,5941,-1189,5948,-1190,5956,-1191,5959,-1192,5961,-1194,5961,-1205,5957,-1204,5954,-1204,5924,-1199,5915,-1192,5915,-1162,5927,-1156,5951,-1156,5957,-1162,5961,-1167,5962,-1164,5962,-1162,5962,-1161,5963,-1158,5984,-1158,5984,-1161m6059,-1181l6052,-1196,6036,-1202,6021,-1206,6013,-1212,6013,-1215,6015,-1219,6036,-1219,6038,-1214,6038,-1209,6057,-1209,6055,-1219,6054,-1222,6046,-1229,6035,-1232,6024,-1233,6001,-1233,5995,-1220,5995,-1209,6002,-1194,6017,-1188,6033,-1185,6040,-1179,6040,-1175,6038,-1171,6016,-1171,6012,-1175,6012,-1182,5992,-1182,5996,-1169,6004,-1161,6015,-1157,6027,-1156,6037,-1157,6048,-1161,6056,-1168,6057,-1171,6059,-1181m6197,-1225l6194,-1236,6191,-1242,6187,-1248,6174,-1256,6155,-1259,6137,-1256,6122,-1246,6112,-1230,6109,-1207,6112,-1185,6122,-1169,6136,-1159,6155,-1155,6171,-1158,6184,-1166,6189,-1173,6192,-1177,6197,-1192,6177,-1192,6174,-1180,6166,-1173,6155,-1173,6143,-1176,6136,-1184,6131,-1194,6130,-1207,6133,-1224,6139,-1235,6147,-1240,6155,-1242,6172,-1242,6175,-1230,6177,-1225,6197,-1225m6275,-1161l6273,-1162,6271,-1164,6271,-1167,6271,-1170,6271,-1194,6271,-1218,6271,-1230,6252,-1233,6242,-1233,6230,-1232,6220,-1229,6213,-1221,6209,-1208,6227,-1208,6228,-1212,6230,-1218,6244,-1218,6252,-1217,6252,-1205,6252,-1194,6252,-1175,6243,-1170,6231,-1170,6226,-1172,6226,-1187,6232,-1189,6239,-1190,6247,-1191,6250,-1192,6252,-1194,6252,-1205,6248,-1204,6245,-1204,6216,-1199,6207,-1192,6207,-1162,6218,-1156,6242,-1156,6248,-1162,6253,-1167,6253,-1164,6253,-1162,6253,-1162,6254,-1158,6275,-1158,6275,-1161m6373,-1225l6370,-1236,6367,-1242,6363,-1248,6350,-1256,6331,-1259,6313,-1256,6298,-1246,6289,-1230,6285,-1207,6288,-1185,6298,-1169,6312,-1159,6331,-1155,6347,-1158,6360,-1166,6365,-1173,6368,-1177,6373,-1192,6353,-1192,6350,-1180,6342,-1173,6331,-1173,6320,-1176,6312,-1184,6308,-1194,6306,-1207,6309,-1224,6315,-1235,6323,-1240,6331,-1242,6348,-1242,6351,-1230,6353,-1225,6373,-1225m6480,-1207l6474,-1235,6468,-1242,6461,-1251,6459,-1252,6459,-1207,6456,-1190,6450,-1180,6441,-1174,6432,-1173,6423,-1174,6415,-1180,6408,-1190,6405,-1207,6408,-1225,6415,-1235,6423,-1241,6432,-1242,6441,-1241,6450,-1235,6456,-1225,6459,-1207,6459,-1252,6445,-1258,6432,-1259,6419,-1258,6403,-1251,6390,-1235,6385,-1207,6390,-1180,6403,-1164,6419,-1157,6432,-1155,6445,-1157,6461,-1164,6468,-1173,6474,-1180,6480,-1207e" filled="true" fillcolor="#231f20" stroked="false">
              <v:path arrowok="t"/>
              <v:fill type="solid"/>
            </v:shape>
            <v:shape style="position:absolute;left:5677;top:-1103;width:608;height:138" type="#_x0000_t75" stroked="false">
              <v:imagedata r:id="rId332" o:title=""/>
            </v:shape>
            <v:shape style="position:absolute;left:6487;top:-1192;width:44;height:66" coordorigin="6487,-1192" coordsize="44,66" path="m6499,-1149l6487,-1149,6487,-1129,6503,-1127,6522,-1127,6531,-1136,6531,-1138,6500,-1138,6499,-1145,6499,-1149xm6529,-1183l6515,-1183,6516,-1177,6516,-1166,6509,-1166,6504,-1166,6504,-1157,6509,-1157,6518,-1157,6518,-1141,6513,-1138,6531,-1138,6531,-1159,6523,-1162,6521,-1163,6525,-1165,6529,-1169,6529,-1183xm6517,-1192l6495,-1192,6488,-1184,6488,-1172,6500,-1172,6500,-1183,6529,-1183,6529,-1188,6517,-1192xe" filled="true" fillcolor="#231f20" stroked="false">
              <v:path arrowok="t"/>
              <v:fill type="solid"/>
            </v:shape>
            <w10:wrap type="none"/>
          </v:group>
        </w:pict>
      </w:r>
      <w:r>
        <w:rPr>
          <w:sz w:val="18"/>
        </w:rPr>
        <w:t>Digits Required x Digit Multiplier =</w:t>
      </w:r>
    </w:p>
    <w:p>
      <w:pPr>
        <w:spacing w:before="0"/>
        <w:ind w:left="120" w:right="-7" w:firstLine="0"/>
        <w:jc w:val="left"/>
        <w:rPr>
          <w:sz w:val="18"/>
        </w:rPr>
      </w:pPr>
      <w:r>
        <w:rPr>
          <w:sz w:val="18"/>
        </w:rPr>
        <w:t>mg/L CaCO</w:t>
      </w:r>
      <w:r>
        <w:rPr>
          <w:position w:val="-4"/>
          <w:sz w:val="14"/>
        </w:rPr>
        <w:t>3 </w:t>
      </w:r>
      <w:r>
        <w:rPr>
          <w:sz w:val="18"/>
        </w:rPr>
        <w:t>P Alkalinity</w:t>
      </w:r>
    </w:p>
    <w:p>
      <w:pPr>
        <w:pStyle w:val="ListParagraph"/>
        <w:numPr>
          <w:ilvl w:val="0"/>
          <w:numId w:val="30"/>
        </w:numPr>
        <w:tabs>
          <w:tab w:pos="417" w:val="left" w:leader="none"/>
        </w:tabs>
        <w:spacing w:line="247" w:lineRule="auto" w:before="16" w:after="0"/>
        <w:ind w:left="116" w:right="171" w:firstLine="0"/>
        <w:jc w:val="left"/>
        <w:rPr>
          <w:rFonts w:ascii="Times New Roman"/>
          <w:sz w:val="20"/>
        </w:rPr>
      </w:pPr>
      <w:r>
        <w:rPr>
          <w:rFonts w:ascii="Times New Roman"/>
          <w:w w:val="99"/>
          <w:sz w:val="20"/>
        </w:rPr>
        <w:br w:type="column"/>
      </w:r>
      <w:r>
        <w:rPr>
          <w:rFonts w:ascii="Times New Roman"/>
          <w:sz w:val="20"/>
        </w:rPr>
        <w:t>Add the contents of one Bromcresol</w:t>
      </w:r>
      <w:r>
        <w:rPr>
          <w:rFonts w:ascii="Times New Roman"/>
          <w:spacing w:val="-8"/>
          <w:sz w:val="20"/>
        </w:rPr>
        <w:t> </w:t>
      </w:r>
      <w:r>
        <w:rPr>
          <w:rFonts w:ascii="Times New Roman"/>
          <w:sz w:val="20"/>
        </w:rPr>
        <w:t>Green- Methyl Red Indicator Powder Pillow to the flask and swirl to</w:t>
      </w:r>
      <w:r>
        <w:rPr>
          <w:rFonts w:ascii="Times New Roman"/>
          <w:spacing w:val="-12"/>
          <w:sz w:val="20"/>
        </w:rPr>
        <w:t> </w:t>
      </w:r>
      <w:r>
        <w:rPr>
          <w:rFonts w:ascii="Times New Roman"/>
          <w:sz w:val="20"/>
        </w:rPr>
        <w:t>mix.</w:t>
      </w:r>
    </w:p>
    <w:p>
      <w:pPr>
        <w:spacing w:line="256" w:lineRule="auto" w:before="131"/>
        <w:ind w:left="116" w:right="76" w:firstLine="0"/>
        <w:jc w:val="left"/>
        <w:rPr>
          <w:i/>
          <w:sz w:val="17"/>
        </w:rPr>
      </w:pPr>
      <w:r>
        <w:rPr>
          <w:b/>
          <w:i/>
          <w:sz w:val="17"/>
        </w:rPr>
        <w:t>Note: </w:t>
      </w:r>
      <w:r>
        <w:rPr>
          <w:i/>
          <w:sz w:val="17"/>
        </w:rPr>
        <w:t>Four drops of </w:t>
      </w:r>
      <w:r>
        <w:rPr>
          <w:i/>
          <w:sz w:val="17"/>
        </w:rPr>
        <w:t>Methyl Purple Indicator Solution may be substituted for the Bromcresol Green-Methyl Red Indicator Powder Pillow. Titrate from green to a gray end point (pH 5.1).</w:t>
      </w:r>
    </w:p>
    <w:p>
      <w:pPr>
        <w:pStyle w:val="BodyText"/>
        <w:spacing w:before="11"/>
        <w:rPr>
          <w:i/>
          <w:sz w:val="13"/>
        </w:rPr>
      </w:pPr>
    </w:p>
    <w:p>
      <w:pPr>
        <w:spacing w:line="256" w:lineRule="auto" w:before="0"/>
        <w:ind w:left="116" w:right="73" w:firstLine="0"/>
        <w:jc w:val="left"/>
        <w:rPr>
          <w:i/>
          <w:sz w:val="17"/>
        </w:rPr>
      </w:pPr>
      <w:r>
        <w:rPr>
          <w:b/>
          <w:i/>
          <w:sz w:val="17"/>
        </w:rPr>
        <w:t>Note: </w:t>
      </w:r>
      <w:r>
        <w:rPr>
          <w:i/>
          <w:sz w:val="17"/>
        </w:rPr>
        <w:t>Four drops of </w:t>
      </w:r>
      <w:r>
        <w:rPr>
          <w:i/>
          <w:sz w:val="17"/>
        </w:rPr>
        <w:t>Bromcresol Green-Methyl Red Indicator Solution may be substituted for the Bromcresol Green-Methyl Red Indicator Powder Pillow.</w:t>
      </w:r>
    </w:p>
    <w:p>
      <w:pPr>
        <w:spacing w:after="0" w:line="256" w:lineRule="auto"/>
        <w:jc w:val="left"/>
        <w:rPr>
          <w:sz w:val="17"/>
        </w:rPr>
        <w:sectPr>
          <w:type w:val="continuous"/>
          <w:pgSz w:w="10080" w:h="12960"/>
          <w:pgMar w:top="0" w:bottom="0" w:left="600" w:right="960"/>
          <w:cols w:num="4" w:equalWidth="0">
            <w:col w:w="2080" w:space="40"/>
            <w:col w:w="2068" w:space="45"/>
            <w:col w:w="2081" w:space="40"/>
            <w:col w:w="2166"/>
          </w:cols>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9"/>
        </w:rPr>
      </w:pPr>
    </w:p>
    <w:p>
      <w:pPr>
        <w:pStyle w:val="Heading5"/>
        <w:spacing w:before="73"/>
        <w:ind w:left="2484" w:right="2484"/>
        <w:jc w:val="center"/>
        <w:rPr>
          <w:rFonts w:ascii="Times New Roman"/>
        </w:rPr>
      </w:pPr>
      <w:r>
        <w:rPr>
          <w:rFonts w:ascii="Times New Roman"/>
        </w:rPr>
        <w:t>42</w:t>
      </w:r>
    </w:p>
    <w:p>
      <w:pPr>
        <w:spacing w:after="0"/>
        <w:jc w:val="center"/>
        <w:rPr>
          <w:rFonts w:ascii="Times New Roman"/>
        </w:rPr>
        <w:sectPr>
          <w:type w:val="continuous"/>
          <w:pgSz w:w="10080" w:h="12960"/>
          <w:pgMar w:top="0" w:bottom="0" w:left="600" w:right="960"/>
        </w:sectPr>
      </w:pPr>
    </w:p>
    <w:p>
      <w:pPr>
        <w:spacing w:before="44"/>
        <w:ind w:left="120" w:right="138" w:firstLine="0"/>
        <w:jc w:val="left"/>
        <w:rPr>
          <w:rFonts w:ascii="Times New Roman"/>
          <w:b/>
          <w:sz w:val="24"/>
        </w:rPr>
      </w:pPr>
      <w:r>
        <w:rPr/>
        <w:pict>
          <v:group style="position:absolute;margin-left:53.474998pt;margin-top:21.975325pt;width:415.05pt;height:1.05pt;mso-position-horizontal-relative:page;mso-position-vertical-relative:paragraph;z-index:15808;mso-wrap-distance-left:0;mso-wrap-distance-right:0" coordorigin="1069,440" coordsize="8301,21">
            <v:line style="position:absolute" from="1080,450" to="1080,450" stroked="true" strokeweight="1.02pt" strokecolor="#000000"/>
            <v:line style="position:absolute" from="9360,450" to="9360,450" stroked="true" strokeweight="1.02pt" strokecolor="#000000"/>
            <v:line style="position:absolute" from="1080,450" to="9360,450" stroked="true" strokeweight="1.02pt" strokecolor="#000000"/>
            <w10:wrap type="topAndBottom"/>
          </v:group>
        </w:pict>
      </w:r>
      <w:r>
        <w:rPr/>
        <w:pict>
          <v:group style="position:absolute;margin-left:57.599998pt;margin-top:40.110325pt;width:93.6pt;height:93.6pt;mso-position-horizontal-relative:page;mso-position-vertical-relative:paragraph;z-index:15832;mso-wrap-distance-left:0;mso-wrap-distance-right:0" coordorigin="1152,802" coordsize="1872,1872">
            <v:shape style="position:absolute;left:1925;top:959;width:312;height:1558" type="#_x0000_t75" stroked="false">
              <v:imagedata r:id="rId335" o:title=""/>
            </v:shape>
            <v:shape style="position:absolute;left:1876;top:2191;width:426;height:298" type="#_x0000_t75" stroked="false">
              <v:imagedata r:id="rId336" o:title=""/>
            </v:shape>
            <v:rect style="position:absolute;left:1272;top:802;width:1752;height:120" filled="true" fillcolor="#000000" stroked="false">
              <v:fill type="solid"/>
            </v:rect>
            <v:rect style="position:absolute;left:2904;top:862;width:120;height:1812" filled="true" fillcolor="#000000" stroked="false">
              <v:fill type="solid"/>
            </v:rect>
            <v:rect style="position:absolute;left:1152;top:2554;width:1812;height:120" filled="true" fillcolor="#000000" stroked="false">
              <v:fill type="solid"/>
            </v:rect>
            <v:rect style="position:absolute;left:1152;top:802;width:120;height:1812" filled="true" fillcolor="#000000" stroked="false">
              <v:fill type="solid"/>
            </v:rect>
            <w10:wrap type="topAndBottom"/>
          </v:group>
        </w:pict>
      </w:r>
      <w:r>
        <w:rPr/>
        <w:pict>
          <v:group style="position:absolute;margin-left:163.440002pt;margin-top:40.110325pt;width:93.6pt;height:93.6pt;mso-position-horizontal-relative:page;mso-position-vertical-relative:paragraph;z-index:15856;mso-wrap-distance-left:0;mso-wrap-distance-right:0" coordorigin="3269,802" coordsize="1872,1872">
            <v:rect style="position:absolute;left:3389;top:802;width:1752;height:120" filled="true" fillcolor="#000000" stroked="false">
              <v:fill type="solid"/>
            </v:rect>
            <v:rect style="position:absolute;left:5021;top:862;width:120;height:1812" filled="true" fillcolor="#000000" stroked="false">
              <v:fill type="solid"/>
            </v:rect>
            <v:rect style="position:absolute;left:3269;top:2554;width:1812;height:120" filled="true" fillcolor="#000000" stroked="false">
              <v:fill type="solid"/>
            </v:rect>
            <v:rect style="position:absolute;left:3269;top:802;width:120;height:1812" filled="true" fillcolor="#000000" stroked="false">
              <v:fill type="solid"/>
            </v:rect>
            <w10:wrap type="topAndBottom"/>
          </v:group>
        </w:pict>
      </w:r>
      <w:r>
        <w:rPr/>
        <w:pict>
          <v:group style="position:absolute;margin-left:218.828995pt;margin-top:69.556328pt;width:26pt;height:15.8pt;mso-position-horizontal-relative:page;mso-position-vertical-relative:paragraph;z-index:-1515928" coordorigin="4377,1391" coordsize="520,316">
            <v:shape style="position:absolute;left:4510;top:1391;width:253;height:140" type="#_x0000_t75" stroked="false">
              <v:imagedata r:id="rId337" o:title=""/>
            </v:shape>
            <v:shape style="position:absolute;left:4377;top:1561;width:519;height:146" type="#_x0000_t75" stroked="false">
              <v:imagedata r:id="rId338" o:title=""/>
            </v:shape>
            <w10:wrap type="none"/>
          </v:group>
        </w:pict>
      </w:r>
      <w:r>
        <w:rPr/>
        <w:pict>
          <v:group style="position:absolute;margin-left:179.774994pt;margin-top:63.796825pt;width:25.05pt;height:25pt;mso-position-horizontal-relative:page;mso-position-vertical-relative:paragraph;z-index:-1515904" coordorigin="3595,1276" coordsize="501,500">
            <v:shape style="position:absolute;left:3709;top:1276;width:265;height:123" type="#_x0000_t75" stroked="false">
              <v:imagedata r:id="rId339" o:title=""/>
            </v:shape>
            <v:shape style="position:absolute;left:3688;top:1460;width:317;height:140" type="#_x0000_t75" stroked="false">
              <v:imagedata r:id="rId340" o:title=""/>
            </v:shape>
            <v:shape style="position:absolute;left:3595;top:1637;width:500;height:139" type="#_x0000_t75" stroked="false">
              <v:imagedata r:id="rId341" o:title=""/>
            </v:shape>
            <w10:wrap type="none"/>
          </v:group>
        </w:pict>
      </w:r>
      <w:r>
        <w:rPr/>
        <w:pict>
          <v:shape style="position:absolute;margin-left:210.867996pt;margin-top:75.036324pt;width:2.050pt;height:2.6pt;mso-position-horizontal-relative:page;mso-position-vertical-relative:paragraph;z-index:-1515880" coordorigin="4217,1501" coordsize="41,52" path="m4231,1501l4218,1501,4231,1526,4217,1552,4231,1552,4238,1537,4250,1537,4244,1526,4249,1516,4238,1516,4231,1501xm4250,1537l4238,1537,4244,1552,4258,1552,4250,1537xm4257,1501l4245,1501,4238,1516,4249,1516,4257,1501xe" filled="true" fillcolor="#231f20" stroked="false">
            <v:path arrowok="t"/>
            <v:fill type="solid"/>
            <w10:wrap type="none"/>
          </v:shape>
        </w:pict>
      </w:r>
      <w:r>
        <w:rPr>
          <w:rFonts w:ascii="Times New Roman"/>
          <w:b/>
          <w:sz w:val="28"/>
        </w:rPr>
        <w:t>ALKALINITY, </w:t>
      </w:r>
      <w:r>
        <w:rPr>
          <w:rFonts w:ascii="Times New Roman"/>
          <w:b/>
          <w:sz w:val="24"/>
        </w:rPr>
        <w:t>continued</w:t>
      </w:r>
    </w:p>
    <w:p>
      <w:pPr>
        <w:pStyle w:val="BodyText"/>
        <w:spacing w:before="9"/>
        <w:rPr>
          <w:rFonts w:ascii="Times New Roman"/>
          <w:b/>
          <w:sz w:val="23"/>
        </w:rPr>
      </w:pPr>
    </w:p>
    <w:p>
      <w:pPr>
        <w:pStyle w:val="BodyText"/>
        <w:spacing w:before="1"/>
        <w:rPr>
          <w:rFonts w:ascii="Times New Roman"/>
          <w:b/>
          <w:sz w:val="6"/>
        </w:rPr>
      </w:pPr>
    </w:p>
    <w:p>
      <w:pPr>
        <w:spacing w:after="0"/>
        <w:rPr>
          <w:rFonts w:ascii="Times New Roman"/>
          <w:sz w:val="6"/>
        </w:rPr>
        <w:sectPr>
          <w:headerReference w:type="default" r:id="rId333"/>
          <w:footerReference w:type="default" r:id="rId334"/>
          <w:pgSz w:w="10080" w:h="12960"/>
          <w:pgMar w:header="0" w:footer="0" w:top="600" w:bottom="0" w:left="960" w:right="600"/>
        </w:sectPr>
      </w:pPr>
    </w:p>
    <w:p>
      <w:pPr>
        <w:pStyle w:val="ListParagraph"/>
        <w:numPr>
          <w:ilvl w:val="0"/>
          <w:numId w:val="30"/>
        </w:numPr>
        <w:tabs>
          <w:tab w:pos="420" w:val="left" w:leader="none"/>
        </w:tabs>
        <w:spacing w:line="249" w:lineRule="auto" w:before="17" w:after="0"/>
        <w:ind w:left="120" w:right="2" w:firstLine="0"/>
        <w:jc w:val="left"/>
        <w:rPr>
          <w:rFonts w:ascii="Times New Roman"/>
          <w:sz w:val="20"/>
        </w:rPr>
      </w:pPr>
      <w:r>
        <w:rPr/>
        <w:pict>
          <v:group style="position:absolute;margin-left:175.917007pt;margin-top:-45.657875pt;width:70.7pt;height:16.6pt;mso-position-horizontal-relative:page;mso-position-vertical-relative:paragraph;z-index:-1515856" coordorigin="3518,-913" coordsize="1414,332">
            <v:shape style="position:absolute;left:3518;top:-866;width:60;height:50" coordorigin="3518,-866" coordsize="60,50" path="m3578,-866l3518,-866,3518,-850,3578,-850,3578,-866xm3578,-833l3518,-833,3518,-817,3578,-817,3578,-833xe" filled="true" fillcolor="#231f20" stroked="false">
              <v:path arrowok="t"/>
              <v:fill type="solid"/>
            </v:shape>
            <v:shape style="position:absolute;left:3634;top:-913;width:274;height:142" type="#_x0000_t75" stroked="false">
              <v:imagedata r:id="rId342" o:title=""/>
            </v:shape>
            <v:shape style="position:absolute;left:3947;top:-913;width:488;height:113" coordorigin="3947,-913" coordsize="488,113" path="m4007,-807l4005,-808,4003,-810,4003,-813,4003,-817,4003,-842,4003,-868,4003,-882,3986,-885,3965,-885,3951,-882,3949,-857,3965,-857,3966,-862,3967,-868,3980,-868,3986,-868,3986,-855,3986,-842,3986,-822,3979,-817,3969,-817,3964,-819,3964,-835,3969,-837,3975,-838,3982,-839,3985,-841,3986,-842,3986,-855,3983,-853,3981,-853,3955,-848,3947,-840,3947,-808,3957,-802,3978,-802,3983,-808,3987,-813,3987,-809,3988,-807,3988,-804,4007,-804,4007,-807m4072,-818l4072,-829,4065,-845,4052,-851,4038,-855,4032,-861,4032,-865,4033,-869,4051,-869,4053,-864,4054,-859,4070,-859,4069,-869,4069,-881,4054,-885,4022,-885,4016,-870,4016,-859,4022,-843,4035,-836,4049,-832,4055,-826,4055,-822,4053,-818,4034,-818,4031,-822,4031,-829,4014,-829,4017,-816,4024,-807,4033,-803,4044,-802,4054,-802,4072,-806,4072,-818m4191,-876l4188,-888,4185,-894,4182,-900,4171,-910,4154,-913,4139,-910,4126,-899,4118,-882,4115,-857,4117,-833,4126,-815,4138,-805,4154,-801,4168,-804,4179,-812,4184,-820,4187,-825,4191,-840,4173,-840,4171,-827,4164,-820,4154,-820,4144,-823,4138,-831,4134,-843,4133,-857,4135,-875,4140,-887,4147,-892,4154,-894,4169,-894,4172,-882,4173,-876,4191,-876m4258,-807l4256,-808,4254,-810,4254,-813,4254,-817,4254,-842,4254,-868,4254,-882,4238,-885,4216,-885,4203,-882,4201,-857,4217,-857,4217,-862,4219,-868,4232,-868,4238,-868,4238,-855,4238,-842,4238,-822,4231,-817,4220,-817,4216,-819,4216,-835,4221,-837,4227,-838,4234,-839,4237,-841,4238,-842,4238,-855,4235,-853,4232,-853,4207,-848,4199,-840,4199,-808,4209,-802,4229,-802,4235,-808,4239,-813,4239,-809,4239,-807,4240,-804,4258,-804,4258,-807m4343,-876l4341,-888,4337,-894,4334,-900,4323,-910,4306,-913,4291,-910,4278,-899,4270,-882,4267,-857,4270,-833,4278,-815,4290,-805,4306,-801,4320,-804,4331,-812,4336,-820,4339,-825,4343,-840,4325,-840,4323,-827,4316,-820,4306,-820,4297,-823,4290,-831,4286,-843,4285,-857,4287,-875,4293,-887,4299,-892,4306,-894,4321,-894,4324,-882,4325,-876,4343,-876m4435,-857l4430,-887,4425,-895,4419,-904,4417,-905,4417,-857,4415,-839,4409,-827,4402,-821,4394,-820,4386,-821,4379,-827,4373,-839,4371,-857,4373,-876,4379,-887,4386,-893,4394,-895,4402,-893,4409,-887,4415,-876,4417,-857,4417,-905,4405,-911,4394,-913,4383,-911,4369,-904,4358,-887,4353,-857,4358,-827,4369,-810,4383,-803,4394,-801,4405,-803,4419,-810,4425,-820,4430,-827,4435,-857e" filled="true" fillcolor="#231f20" stroked="false">
              <v:path arrowok="t"/>
              <v:fill type="solid"/>
            </v:shape>
            <v:shape style="position:absolute;left:3628;top:-729;width:265;height:123" type="#_x0000_t75" stroked="false">
              <v:imagedata r:id="rId343" o:title=""/>
            </v:shape>
            <v:shape style="position:absolute;left:3938;top:-723;width:107;height:140" type="#_x0000_t75" stroked="false">
              <v:imagedata r:id="rId344" o:title=""/>
            </v:shape>
            <v:shape style="position:absolute;left:4084;top:-695;width:114;height:84" coordorigin="4084,-695" coordsize="114,84" path="m4149,-653l4146,-672,4143,-678,4139,-685,4131,-690,4131,-664,4131,-644,4129,-629,4103,-629,4101,-644,4101,-664,4103,-678,4129,-678,4131,-664,4131,-690,4128,-693,4116,-695,4104,-693,4094,-685,4087,-672,4084,-653,4087,-635,4094,-622,4104,-614,4116,-612,4128,-614,4139,-622,4143,-629,4146,-635,4149,-653m4197,-695l4196,-695,4184,-695,4180,-688,4176,-680,4176,-680,4176,-693,4160,-693,4160,-614,4177,-614,4177,-664,4179,-674,4197,-674,4197,-680,4197,-695e" filled="true" fillcolor="#231f20" stroked="false">
              <v:path arrowok="t"/>
              <v:fill type="solid"/>
            </v:shape>
            <v:shape style="position:absolute;left:4240;top:-723;width:126;height:140" type="#_x0000_t75" stroked="false">
              <v:imagedata r:id="rId345" o:title=""/>
            </v:shape>
            <v:shape style="position:absolute;left:4406;top:-729;width:525;height:147" type="#_x0000_t75" stroked="false">
              <v:imagedata r:id="rId346" o:title=""/>
            </v:shape>
            <v:shape style="position:absolute;left:4442;top:-827;width:30;height:55" coordorigin="4442,-827" coordsize="30,55" path="m4450,-791l4442,-791,4442,-774,4453,-773,4465,-773,4471,-780,4471,-781,4451,-781,4450,-788,4450,-791xm4470,-819l4461,-819,4461,-814,4461,-805,4457,-805,4453,-805,4453,-798,4457,-798,4462,-797,4462,-784,4460,-781,4471,-781,4471,-799,4466,-802,4465,-802,4465,-802,4467,-804,4470,-807,4470,-819xm4462,-827l4447,-827,4443,-820,4443,-810,4450,-810,4450,-819,4470,-819,4470,-824,4462,-827xe" filled="true" fillcolor="#231f20" stroked="false">
              <v:path arrowok="t"/>
              <v:fill type="solid"/>
            </v:shape>
            <w10:wrap type="none"/>
          </v:group>
        </w:pict>
      </w:r>
      <w:r>
        <w:rPr>
          <w:rFonts w:ascii="Times New Roman"/>
          <w:sz w:val="20"/>
        </w:rPr>
        <w:t>Continue the titration with sulfuric acid to a light greenish blue-gray (pH 5.1), a light violet-gray (pH 4.8), or a light pink (pH 4.5)</w:t>
      </w:r>
      <w:r>
        <w:rPr>
          <w:rFonts w:ascii="Times New Roman"/>
          <w:spacing w:val="-15"/>
          <w:sz w:val="20"/>
        </w:rPr>
        <w:t> </w:t>
      </w:r>
      <w:r>
        <w:rPr>
          <w:rFonts w:ascii="Times New Roman"/>
          <w:sz w:val="20"/>
        </w:rPr>
        <w:t>color,</w:t>
      </w:r>
      <w:r>
        <w:rPr>
          <w:rFonts w:ascii="Times New Roman"/>
          <w:spacing w:val="-16"/>
          <w:sz w:val="20"/>
        </w:rPr>
        <w:t> </w:t>
      </w:r>
      <w:r>
        <w:rPr>
          <w:rFonts w:ascii="Times New Roman"/>
          <w:sz w:val="20"/>
        </w:rPr>
        <w:t>as</w:t>
      </w:r>
      <w:r>
        <w:rPr>
          <w:rFonts w:ascii="Times New Roman"/>
          <w:spacing w:val="-16"/>
          <w:sz w:val="20"/>
        </w:rPr>
        <w:t> </w:t>
      </w:r>
      <w:r>
        <w:rPr>
          <w:rFonts w:ascii="Times New Roman"/>
          <w:sz w:val="20"/>
        </w:rPr>
        <w:t>required</w:t>
      </w:r>
      <w:r>
        <w:rPr>
          <w:rFonts w:ascii="Times New Roman"/>
          <w:spacing w:val="-16"/>
          <w:sz w:val="20"/>
        </w:rPr>
        <w:t> </w:t>
      </w:r>
      <w:r>
        <w:rPr>
          <w:rFonts w:ascii="Times New Roman"/>
          <w:sz w:val="20"/>
        </w:rPr>
        <w:t>by the sample composition; see </w:t>
      </w:r>
      <w:r>
        <w:rPr>
          <w:rFonts w:ascii="Times New Roman"/>
          <w:i/>
          <w:spacing w:val="-4"/>
          <w:sz w:val="20"/>
        </w:rPr>
        <w:t>Table </w:t>
      </w:r>
      <w:r>
        <w:rPr>
          <w:rFonts w:ascii="Times New Roman"/>
          <w:i/>
          <w:sz w:val="20"/>
        </w:rPr>
        <w:t>2. </w:t>
      </w:r>
      <w:r>
        <w:rPr>
          <w:rFonts w:ascii="Times New Roman"/>
          <w:sz w:val="20"/>
        </w:rPr>
        <w:t>Record the number of digits required.</w:t>
      </w:r>
    </w:p>
    <w:p>
      <w:pPr>
        <w:spacing w:line="256" w:lineRule="auto" w:before="127"/>
        <w:ind w:left="119" w:right="0" w:firstLine="0"/>
        <w:jc w:val="left"/>
        <w:rPr>
          <w:i/>
          <w:sz w:val="17"/>
        </w:rPr>
      </w:pPr>
      <w:r>
        <w:rPr>
          <w:b/>
          <w:i/>
          <w:sz w:val="17"/>
        </w:rPr>
        <w:t>Note: </w:t>
      </w:r>
      <w:r>
        <w:rPr>
          <w:i/>
          <w:sz w:val="17"/>
        </w:rPr>
        <w:t>A solution of one </w:t>
      </w:r>
      <w:r>
        <w:rPr>
          <w:i/>
          <w:sz w:val="17"/>
        </w:rPr>
        <w:t>Bromcresol Green-Methyl Red Powder Pillow and one pillow of the appropriate pH buffer in 50 mL of deionized water is recommended as a comparison</w:t>
      </w:r>
      <w:r>
        <w:rPr>
          <w:i/>
          <w:spacing w:val="-18"/>
          <w:sz w:val="17"/>
        </w:rPr>
        <w:t> </w:t>
      </w:r>
      <w:r>
        <w:rPr>
          <w:i/>
          <w:sz w:val="17"/>
        </w:rPr>
        <w:t>for</w:t>
      </w:r>
      <w:r>
        <w:rPr>
          <w:i/>
          <w:spacing w:val="-19"/>
          <w:sz w:val="17"/>
        </w:rPr>
        <w:t> </w:t>
      </w:r>
      <w:r>
        <w:rPr>
          <w:i/>
          <w:sz w:val="17"/>
        </w:rPr>
        <w:t>judging</w:t>
      </w:r>
      <w:r>
        <w:rPr>
          <w:i/>
          <w:spacing w:val="-18"/>
          <w:sz w:val="17"/>
        </w:rPr>
        <w:t> </w:t>
      </w:r>
      <w:r>
        <w:rPr>
          <w:i/>
          <w:sz w:val="17"/>
        </w:rPr>
        <w:t>the proper end point color. If the pH 3.7 end point is used, use a Bromphenol Blue </w:t>
      </w:r>
      <w:r>
        <w:rPr>
          <w:i/>
          <w:spacing w:val="-3"/>
          <w:sz w:val="17"/>
        </w:rPr>
        <w:t>Powder </w:t>
      </w:r>
      <w:r>
        <w:rPr>
          <w:i/>
          <w:sz w:val="17"/>
        </w:rPr>
        <w:t>Pillow instead of a Bromcresol Green-Methyl Red and titrate to a green end point.</w:t>
      </w:r>
    </w:p>
    <w:p>
      <w:pPr>
        <w:pStyle w:val="ListParagraph"/>
        <w:numPr>
          <w:ilvl w:val="0"/>
          <w:numId w:val="30"/>
        </w:numPr>
        <w:tabs>
          <w:tab w:pos="535" w:val="left" w:leader="none"/>
        </w:tabs>
        <w:spacing w:line="240" w:lineRule="auto" w:before="17" w:after="0"/>
        <w:ind w:left="534" w:right="0" w:hanging="419"/>
        <w:jc w:val="left"/>
        <w:rPr>
          <w:rFonts w:ascii="Times New Roman"/>
          <w:sz w:val="20"/>
        </w:rPr>
      </w:pPr>
      <w:r>
        <w:rPr>
          <w:rFonts w:ascii="Times New Roman"/>
          <w:w w:val="99"/>
          <w:sz w:val="20"/>
        </w:rPr>
        <w:br w:type="column"/>
      </w:r>
      <w:r>
        <w:rPr>
          <w:rFonts w:ascii="Times New Roman"/>
          <w:sz w:val="20"/>
        </w:rPr>
        <w:t>Calculate:</w:t>
      </w:r>
    </w:p>
    <w:p>
      <w:pPr>
        <w:spacing w:line="256" w:lineRule="auto" w:before="145"/>
        <w:ind w:left="115" w:right="4392" w:firstLine="0"/>
        <w:jc w:val="left"/>
        <w:rPr>
          <w:sz w:val="18"/>
        </w:rPr>
      </w:pPr>
      <w:r>
        <w:rPr>
          <w:sz w:val="18"/>
        </w:rPr>
        <w:t>Total Digits Required x Digit Multiplier =</w:t>
      </w:r>
    </w:p>
    <w:p>
      <w:pPr>
        <w:spacing w:line="254" w:lineRule="auto" w:before="0"/>
        <w:ind w:left="115" w:right="4392" w:firstLine="0"/>
        <w:jc w:val="left"/>
        <w:rPr>
          <w:sz w:val="18"/>
        </w:rPr>
      </w:pPr>
      <w:r>
        <w:rPr>
          <w:sz w:val="18"/>
        </w:rPr>
        <w:t>mg/L as CaCO3 Total (T or M) Alkalinity</w:t>
      </w:r>
    </w:p>
    <w:p>
      <w:pPr>
        <w:spacing w:line="256" w:lineRule="auto" w:before="144"/>
        <w:ind w:left="115" w:right="4233" w:firstLine="0"/>
        <w:jc w:val="left"/>
        <w:rPr>
          <w:i/>
          <w:sz w:val="17"/>
        </w:rPr>
      </w:pPr>
      <w:r>
        <w:rPr>
          <w:b/>
          <w:i/>
          <w:sz w:val="17"/>
        </w:rPr>
        <w:t>Note: </w:t>
      </w:r>
      <w:r>
        <w:rPr>
          <w:i/>
          <w:sz w:val="17"/>
        </w:rPr>
        <w:t>Carbonate, </w:t>
      </w:r>
      <w:r>
        <w:rPr>
          <w:i/>
          <w:sz w:val="17"/>
        </w:rPr>
        <w:t>bicarbonate and hydroxide concentrations may be expressed individually using the relationships shown in Table 3.</w:t>
      </w:r>
    </w:p>
    <w:p>
      <w:pPr>
        <w:pStyle w:val="BodyText"/>
        <w:spacing w:before="11"/>
        <w:rPr>
          <w:i/>
          <w:sz w:val="13"/>
        </w:rPr>
      </w:pPr>
    </w:p>
    <w:p>
      <w:pPr>
        <w:spacing w:line="259" w:lineRule="auto" w:before="0"/>
        <w:ind w:left="115" w:right="4444" w:firstLine="0"/>
        <w:jc w:val="left"/>
        <w:rPr>
          <w:i/>
          <w:sz w:val="17"/>
        </w:rPr>
      </w:pPr>
      <w:r>
        <w:rPr>
          <w:b/>
          <w:i/>
          <w:sz w:val="17"/>
        </w:rPr>
        <w:t>Note: </w:t>
      </w:r>
      <w:r>
        <w:rPr>
          <w:i/>
          <w:sz w:val="17"/>
        </w:rPr>
        <w:t>meq/L Alkalinity = </w:t>
      </w:r>
      <w:r>
        <w:rPr>
          <w:i/>
          <w:sz w:val="17"/>
        </w:rPr>
        <w:t>mg/L as CaCO</w:t>
      </w:r>
      <w:r>
        <w:rPr>
          <w:i/>
          <w:position w:val="-3"/>
          <w:sz w:val="13"/>
        </w:rPr>
        <w:t>3 </w:t>
      </w:r>
      <w:r>
        <w:rPr>
          <w:i/>
          <w:sz w:val="17"/>
        </w:rPr>
        <w:t>÷ 50.</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9"/>
        <w:rPr>
          <w:i/>
          <w:sz w:val="23"/>
        </w:rPr>
      </w:pPr>
    </w:p>
    <w:p>
      <w:pPr>
        <w:spacing w:before="0"/>
        <w:ind w:left="1869" w:right="0" w:firstLine="0"/>
        <w:jc w:val="left"/>
        <w:rPr>
          <w:b/>
          <w:sz w:val="18"/>
        </w:rPr>
      </w:pPr>
      <w:r>
        <w:rPr>
          <w:b/>
          <w:sz w:val="18"/>
        </w:rPr>
        <w:t>Table 2</w:t>
      </w:r>
    </w:p>
    <w:p>
      <w:pPr>
        <w:spacing w:after="0"/>
        <w:jc w:val="left"/>
        <w:rPr>
          <w:sz w:val="18"/>
        </w:rPr>
        <w:sectPr>
          <w:type w:val="continuous"/>
          <w:pgSz w:w="10080" w:h="12960"/>
          <w:pgMar w:top="0" w:bottom="0" w:left="960" w:right="600"/>
          <w:cols w:num="2" w:equalWidth="0">
            <w:col w:w="2082" w:space="40"/>
            <w:col w:w="6398"/>
          </w:cols>
        </w:sectPr>
      </w:pPr>
    </w:p>
    <w:p>
      <w:pPr>
        <w:pStyle w:val="BodyText"/>
        <w:spacing w:before="4"/>
        <w:rPr>
          <w:b/>
          <w:sz w:val="8"/>
        </w:rPr>
      </w:pPr>
    </w:p>
    <w:tbl>
      <w:tblPr>
        <w:tblW w:w="0" w:type="auto"/>
        <w:jc w:val="left"/>
        <w:tblInd w:w="2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50"/>
        <w:gridCol w:w="974"/>
      </w:tblGrid>
      <w:tr>
        <w:trPr>
          <w:trHeight w:val="600" w:hRule="exact"/>
        </w:trPr>
        <w:tc>
          <w:tcPr>
            <w:tcW w:w="3250" w:type="dxa"/>
          </w:tcPr>
          <w:p>
            <w:pPr>
              <w:pStyle w:val="TableParagraph"/>
              <w:spacing w:before="4"/>
              <w:ind w:right="0"/>
              <w:jc w:val="left"/>
              <w:rPr>
                <w:rFonts w:ascii="Arial"/>
                <w:b/>
                <w:sz w:val="15"/>
              </w:rPr>
            </w:pPr>
          </w:p>
          <w:p>
            <w:pPr>
              <w:pStyle w:val="TableParagraph"/>
              <w:spacing w:before="0"/>
              <w:ind w:left="726" w:right="0"/>
              <w:jc w:val="left"/>
              <w:rPr>
                <w:rFonts w:ascii="Arial"/>
                <w:b/>
                <w:sz w:val="18"/>
              </w:rPr>
            </w:pPr>
            <w:r>
              <w:rPr>
                <w:rFonts w:ascii="Arial"/>
                <w:b/>
                <w:sz w:val="18"/>
              </w:rPr>
              <w:t>Sample Composition</w:t>
            </w:r>
          </w:p>
        </w:tc>
        <w:tc>
          <w:tcPr>
            <w:tcW w:w="974" w:type="dxa"/>
          </w:tcPr>
          <w:p>
            <w:pPr>
              <w:pStyle w:val="TableParagraph"/>
              <w:spacing w:line="256" w:lineRule="auto" w:before="66"/>
              <w:ind w:left="261" w:right="0" w:firstLine="51"/>
              <w:jc w:val="left"/>
              <w:rPr>
                <w:rFonts w:ascii="Arial"/>
                <w:b/>
                <w:sz w:val="18"/>
              </w:rPr>
            </w:pPr>
            <w:r>
              <w:rPr>
                <w:rFonts w:ascii="Arial"/>
                <w:b/>
                <w:sz w:val="18"/>
              </w:rPr>
              <w:t>End Point</w:t>
            </w:r>
          </w:p>
        </w:tc>
      </w:tr>
      <w:tr>
        <w:trPr>
          <w:trHeight w:val="255" w:hRule="exact"/>
        </w:trPr>
        <w:tc>
          <w:tcPr>
            <w:tcW w:w="3250" w:type="dxa"/>
            <w:tcBorders>
              <w:bottom w:val="nil"/>
            </w:tcBorders>
          </w:tcPr>
          <w:p>
            <w:pPr>
              <w:pStyle w:val="TableParagraph"/>
              <w:spacing w:before="27"/>
              <w:ind w:left="75" w:right="0"/>
              <w:jc w:val="left"/>
              <w:rPr>
                <w:rFonts w:ascii="Arial"/>
                <w:sz w:val="18"/>
              </w:rPr>
            </w:pPr>
            <w:r>
              <w:rPr>
                <w:rFonts w:ascii="Arial"/>
                <w:sz w:val="18"/>
              </w:rPr>
              <w:t>Alkalinity about 30 mg/L</w:t>
            </w:r>
          </w:p>
        </w:tc>
        <w:tc>
          <w:tcPr>
            <w:tcW w:w="974" w:type="dxa"/>
            <w:tcBorders>
              <w:bottom w:val="nil"/>
            </w:tcBorders>
          </w:tcPr>
          <w:p>
            <w:pPr>
              <w:pStyle w:val="TableParagraph"/>
              <w:spacing w:before="27"/>
              <w:ind w:right="215"/>
              <w:rPr>
                <w:rFonts w:ascii="Arial"/>
                <w:sz w:val="18"/>
              </w:rPr>
            </w:pPr>
            <w:r>
              <w:rPr>
                <w:rFonts w:ascii="Arial"/>
                <w:sz w:val="18"/>
              </w:rPr>
              <w:t>pH 4.9</w:t>
            </w:r>
          </w:p>
        </w:tc>
      </w:tr>
      <w:tr>
        <w:trPr>
          <w:trHeight w:val="220" w:hRule="exact"/>
        </w:trPr>
        <w:tc>
          <w:tcPr>
            <w:tcW w:w="3250" w:type="dxa"/>
            <w:tcBorders>
              <w:top w:val="nil"/>
              <w:bottom w:val="nil"/>
            </w:tcBorders>
          </w:tcPr>
          <w:p>
            <w:pPr>
              <w:pStyle w:val="TableParagraph"/>
              <w:spacing w:line="204" w:lineRule="exact" w:before="0"/>
              <w:ind w:left="75" w:right="0"/>
              <w:jc w:val="left"/>
              <w:rPr>
                <w:rFonts w:ascii="Arial"/>
                <w:sz w:val="18"/>
              </w:rPr>
            </w:pPr>
            <w:r>
              <w:rPr>
                <w:rFonts w:ascii="Arial"/>
                <w:sz w:val="18"/>
              </w:rPr>
              <w:t>Alkalinity about 150 mg/L</w:t>
            </w:r>
          </w:p>
        </w:tc>
        <w:tc>
          <w:tcPr>
            <w:tcW w:w="974" w:type="dxa"/>
            <w:tcBorders>
              <w:top w:val="nil"/>
              <w:bottom w:val="nil"/>
            </w:tcBorders>
          </w:tcPr>
          <w:p>
            <w:pPr>
              <w:pStyle w:val="TableParagraph"/>
              <w:spacing w:line="204" w:lineRule="exact" w:before="0"/>
              <w:ind w:right="215"/>
              <w:rPr>
                <w:rFonts w:ascii="Arial"/>
                <w:sz w:val="18"/>
              </w:rPr>
            </w:pPr>
            <w:r>
              <w:rPr>
                <w:rFonts w:ascii="Arial"/>
                <w:sz w:val="18"/>
              </w:rPr>
              <w:t>pH 4.6</w:t>
            </w:r>
          </w:p>
        </w:tc>
      </w:tr>
      <w:tr>
        <w:trPr>
          <w:trHeight w:val="220" w:hRule="exact"/>
        </w:trPr>
        <w:tc>
          <w:tcPr>
            <w:tcW w:w="3250" w:type="dxa"/>
            <w:tcBorders>
              <w:top w:val="nil"/>
              <w:bottom w:val="nil"/>
            </w:tcBorders>
          </w:tcPr>
          <w:p>
            <w:pPr>
              <w:pStyle w:val="TableParagraph"/>
              <w:spacing w:line="204" w:lineRule="exact" w:before="0"/>
              <w:ind w:left="75" w:right="0"/>
              <w:jc w:val="left"/>
              <w:rPr>
                <w:rFonts w:ascii="Arial"/>
                <w:sz w:val="18"/>
              </w:rPr>
            </w:pPr>
            <w:r>
              <w:rPr>
                <w:rFonts w:ascii="Arial"/>
                <w:sz w:val="18"/>
              </w:rPr>
              <w:t>Alkalinity about 500 mg/L</w:t>
            </w:r>
          </w:p>
        </w:tc>
        <w:tc>
          <w:tcPr>
            <w:tcW w:w="974" w:type="dxa"/>
            <w:tcBorders>
              <w:top w:val="nil"/>
              <w:bottom w:val="nil"/>
            </w:tcBorders>
          </w:tcPr>
          <w:p>
            <w:pPr>
              <w:pStyle w:val="TableParagraph"/>
              <w:spacing w:line="204" w:lineRule="exact" w:before="0"/>
              <w:ind w:right="215"/>
              <w:rPr>
                <w:rFonts w:ascii="Arial"/>
                <w:sz w:val="18"/>
              </w:rPr>
            </w:pPr>
            <w:r>
              <w:rPr>
                <w:rFonts w:ascii="Arial"/>
                <w:sz w:val="18"/>
              </w:rPr>
              <w:t>pH 4.3</w:t>
            </w:r>
          </w:p>
        </w:tc>
      </w:tr>
      <w:tr>
        <w:trPr>
          <w:trHeight w:val="220" w:hRule="exact"/>
        </w:trPr>
        <w:tc>
          <w:tcPr>
            <w:tcW w:w="3250" w:type="dxa"/>
            <w:tcBorders>
              <w:top w:val="nil"/>
              <w:bottom w:val="nil"/>
            </w:tcBorders>
          </w:tcPr>
          <w:p>
            <w:pPr>
              <w:pStyle w:val="TableParagraph"/>
              <w:spacing w:line="204" w:lineRule="exact" w:before="0"/>
              <w:ind w:left="75" w:right="0"/>
              <w:jc w:val="left"/>
              <w:rPr>
                <w:rFonts w:ascii="Arial"/>
                <w:sz w:val="18"/>
              </w:rPr>
            </w:pPr>
            <w:r>
              <w:rPr>
                <w:rFonts w:ascii="Arial"/>
                <w:sz w:val="18"/>
              </w:rPr>
              <w:t>Silicates or Phosphates present</w:t>
            </w:r>
          </w:p>
        </w:tc>
        <w:tc>
          <w:tcPr>
            <w:tcW w:w="974" w:type="dxa"/>
            <w:tcBorders>
              <w:top w:val="nil"/>
              <w:bottom w:val="nil"/>
            </w:tcBorders>
          </w:tcPr>
          <w:p>
            <w:pPr>
              <w:pStyle w:val="TableParagraph"/>
              <w:spacing w:line="204" w:lineRule="exact" w:before="0"/>
              <w:ind w:right="215"/>
              <w:rPr>
                <w:rFonts w:ascii="Arial"/>
                <w:sz w:val="18"/>
              </w:rPr>
            </w:pPr>
            <w:r>
              <w:rPr>
                <w:rFonts w:ascii="Arial"/>
                <w:sz w:val="18"/>
              </w:rPr>
              <w:t>pH 4.5</w:t>
            </w:r>
          </w:p>
        </w:tc>
      </w:tr>
      <w:tr>
        <w:trPr>
          <w:trHeight w:val="266" w:hRule="exact"/>
        </w:trPr>
        <w:tc>
          <w:tcPr>
            <w:tcW w:w="3250" w:type="dxa"/>
            <w:tcBorders>
              <w:top w:val="nil"/>
            </w:tcBorders>
          </w:tcPr>
          <w:p>
            <w:pPr>
              <w:pStyle w:val="TableParagraph"/>
              <w:spacing w:line="204" w:lineRule="exact" w:before="0"/>
              <w:ind w:left="75" w:right="0"/>
              <w:jc w:val="left"/>
              <w:rPr>
                <w:rFonts w:ascii="Arial"/>
                <w:sz w:val="18"/>
              </w:rPr>
            </w:pPr>
            <w:r>
              <w:rPr>
                <w:rFonts w:ascii="Arial"/>
                <w:sz w:val="18"/>
              </w:rPr>
              <w:t>Industrial waste or complex system</w:t>
            </w:r>
          </w:p>
        </w:tc>
        <w:tc>
          <w:tcPr>
            <w:tcW w:w="974" w:type="dxa"/>
            <w:tcBorders>
              <w:top w:val="nil"/>
            </w:tcBorders>
          </w:tcPr>
          <w:p>
            <w:pPr>
              <w:pStyle w:val="TableParagraph"/>
              <w:spacing w:line="204" w:lineRule="exact" w:before="0"/>
              <w:ind w:right="215"/>
              <w:rPr>
                <w:rFonts w:ascii="Arial"/>
                <w:sz w:val="18"/>
              </w:rPr>
            </w:pPr>
            <w:r>
              <w:rPr>
                <w:rFonts w:ascii="Arial"/>
                <w:sz w:val="18"/>
              </w:rPr>
              <w:t>pH 4.5</w:t>
            </w:r>
          </w:p>
        </w:tc>
      </w:tr>
    </w:tbl>
    <w:p>
      <w:pPr>
        <w:pStyle w:val="BodyText"/>
        <w:rPr>
          <w:b/>
          <w:sz w:val="20"/>
        </w:rPr>
      </w:pPr>
    </w:p>
    <w:p>
      <w:pPr>
        <w:pStyle w:val="BodyText"/>
        <w:rPr>
          <w:b/>
          <w:sz w:val="20"/>
        </w:rPr>
      </w:pPr>
    </w:p>
    <w:p>
      <w:pPr>
        <w:pStyle w:val="BodyText"/>
        <w:spacing w:before="2"/>
        <w:rPr>
          <w:b/>
          <w:sz w:val="19"/>
        </w:rPr>
      </w:pPr>
    </w:p>
    <w:p>
      <w:pPr>
        <w:pStyle w:val="Heading5"/>
        <w:spacing w:before="73"/>
        <w:ind w:left="2484" w:right="2484"/>
        <w:jc w:val="center"/>
        <w:rPr>
          <w:rFonts w:ascii="Times New Roman"/>
        </w:rPr>
      </w:pPr>
      <w:r>
        <w:rPr>
          <w:rFonts w:ascii="Times New Roman"/>
        </w:rPr>
        <w:t>43</w:t>
      </w:r>
    </w:p>
    <w:p>
      <w:pPr>
        <w:spacing w:after="0"/>
        <w:jc w:val="center"/>
        <w:rPr>
          <w:rFonts w:ascii="Times New Roman"/>
        </w:rPr>
        <w:sectPr>
          <w:type w:val="continuous"/>
          <w:pgSz w:w="10080" w:h="12960"/>
          <w:pgMar w:top="0" w:bottom="0" w:left="960" w:right="600"/>
        </w:sectPr>
      </w:pPr>
    </w:p>
    <w:p>
      <w:pPr>
        <w:spacing w:before="44"/>
        <w:ind w:left="120" w:right="81" w:firstLine="0"/>
        <w:jc w:val="left"/>
        <w:rPr>
          <w:rFonts w:ascii="Times New Roman"/>
          <w:b/>
          <w:sz w:val="24"/>
        </w:rPr>
      </w:pPr>
      <w:r>
        <w:rPr/>
        <w:pict>
          <v:group style="position:absolute;margin-left:35.474998pt;margin-top:21.975325pt;width:415.05pt;height:1.05pt;mso-position-horizontal-relative:page;mso-position-vertical-relative:paragraph;z-index:15976;mso-wrap-distance-left:0;mso-wrap-distance-right:0" coordorigin="709,440" coordsize="8301,21">
            <v:line style="position:absolute" from="720,450" to="720,450" stroked="true" strokeweight="1.02pt" strokecolor="#000000"/>
            <v:line style="position:absolute" from="9000,450" to="9000,450" stroked="true" strokeweight="1.02pt" strokecolor="#000000"/>
            <v:line style="position:absolute" from="720,450" to="9000,450" stroked="true" strokeweight="1.02pt" strokecolor="#000000"/>
            <w10:wrap type="topAndBottom"/>
          </v:group>
        </w:pict>
      </w:r>
      <w:r>
        <w:rPr>
          <w:rFonts w:ascii="Times New Roman"/>
          <w:b/>
          <w:sz w:val="28"/>
        </w:rPr>
        <w:t>ALKALINITY, </w:t>
      </w:r>
      <w:r>
        <w:rPr>
          <w:rFonts w:ascii="Times New Roman"/>
          <w:b/>
          <w:sz w:val="24"/>
        </w:rPr>
        <w:t>continued</w:t>
      </w:r>
    </w:p>
    <w:p>
      <w:pPr>
        <w:pStyle w:val="Heading3"/>
        <w:spacing w:before="178"/>
        <w:ind w:left="120" w:right="81"/>
        <w:rPr>
          <w:rFonts w:ascii="Times New Roman"/>
        </w:rPr>
      </w:pPr>
      <w:r>
        <w:rPr>
          <w:rFonts w:ascii="Times New Roman"/>
        </w:rPr>
        <w:t>Sampling and Storage</w:t>
      </w:r>
    </w:p>
    <w:p>
      <w:pPr>
        <w:pStyle w:val="BodyText"/>
        <w:spacing w:before="15"/>
        <w:ind w:left="2640" w:right="155"/>
        <w:rPr>
          <w:rFonts w:ascii="Times New Roman" w:hAnsi="Times New Roman"/>
        </w:rPr>
      </w:pPr>
      <w:r>
        <w:rPr>
          <w:rFonts w:ascii="Times New Roman" w:hAnsi="Times New Roman"/>
        </w:rPr>
        <w:t>Collect samples in clean plastic or glass bottles. Fill completely and cap tightly. Avoid excessive agitation or prolonged exposure to air. Samples should be analyzed as soon as possible after collection but can be stored at least 24 hours by cooling to 4 </w:t>
      </w:r>
      <w:r>
        <w:rPr>
          <w:rFonts w:ascii="Symbol" w:hAnsi="Symbol"/>
        </w:rPr>
        <w:t></w:t>
      </w:r>
      <w:r>
        <w:rPr>
          <w:rFonts w:ascii="Times New Roman" w:hAnsi="Times New Roman"/>
        </w:rPr>
        <w:t>C (39 </w:t>
      </w:r>
      <w:r>
        <w:rPr>
          <w:rFonts w:ascii="Symbol" w:hAnsi="Symbol"/>
        </w:rPr>
        <w:t></w:t>
      </w:r>
      <w:r>
        <w:rPr>
          <w:rFonts w:ascii="Times New Roman" w:hAnsi="Times New Roman"/>
        </w:rPr>
        <w:t>F) or below. Warm to room temperature before analyzing.</w:t>
      </w:r>
    </w:p>
    <w:p>
      <w:pPr>
        <w:pStyle w:val="BodyText"/>
        <w:spacing w:before="6"/>
        <w:rPr>
          <w:rFonts w:ascii="Times New Roman"/>
          <w:sz w:val="23"/>
        </w:rPr>
      </w:pPr>
    </w:p>
    <w:p>
      <w:pPr>
        <w:pStyle w:val="Heading3"/>
        <w:ind w:left="120" w:right="81"/>
        <w:rPr>
          <w:rFonts w:ascii="Times New Roman"/>
        </w:rPr>
      </w:pPr>
      <w:r>
        <w:rPr>
          <w:rFonts w:ascii="Times New Roman"/>
        </w:rPr>
        <w:t>Alkalinity Relationship Table</w:t>
      </w:r>
    </w:p>
    <w:p>
      <w:pPr>
        <w:pStyle w:val="BodyText"/>
        <w:spacing w:line="247" w:lineRule="auto" w:before="13"/>
        <w:ind w:left="2639" w:right="81"/>
        <w:rPr>
          <w:rFonts w:ascii="Times New Roman"/>
        </w:rPr>
      </w:pPr>
      <w:r>
        <w:rPr>
          <w:rFonts w:ascii="Times New Roman"/>
        </w:rPr>
        <w:t>Total alkalinity primarily includes hydroxide, carbonate and bicarbonate alkalinities. The concentration of these alkalinities in a sample may be determined when the phenolphthalein and total alkalinities are known (see </w:t>
      </w:r>
      <w:r>
        <w:rPr>
          <w:rFonts w:ascii="Times New Roman"/>
          <w:i/>
        </w:rPr>
        <w:t>Table 3</w:t>
      </w:r>
      <w:r>
        <w:rPr>
          <w:rFonts w:ascii="Times New Roman"/>
        </w:rPr>
        <w:t>).</w:t>
      </w:r>
    </w:p>
    <w:p>
      <w:pPr>
        <w:pStyle w:val="BodyText"/>
        <w:spacing w:before="6"/>
        <w:rPr>
          <w:rFonts w:ascii="Times New Roman"/>
          <w:sz w:val="11"/>
        </w:rPr>
      </w:pPr>
    </w:p>
    <w:p>
      <w:pPr>
        <w:spacing w:before="77"/>
        <w:ind w:left="2921" w:right="2927" w:firstLine="0"/>
        <w:jc w:val="center"/>
        <w:rPr>
          <w:b/>
          <w:sz w:val="18"/>
        </w:rPr>
      </w:pPr>
      <w:r>
        <w:rPr>
          <w:b/>
          <w:sz w:val="18"/>
        </w:rPr>
        <w:t>Table 3  Alkalinity Relationship</w:t>
      </w:r>
    </w:p>
    <w:p>
      <w:pPr>
        <w:pStyle w:val="BodyText"/>
        <w:spacing w:before="5"/>
        <w:rPr>
          <w:b/>
          <w:sz w:val="8"/>
        </w:rPr>
      </w:pPr>
    </w:p>
    <w:tbl>
      <w:tblPr>
        <w:tblW w:w="0" w:type="auto"/>
        <w:jc w:val="left"/>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4"/>
        <w:gridCol w:w="2016"/>
        <w:gridCol w:w="1860"/>
        <w:gridCol w:w="1920"/>
        <w:gridCol w:w="1913"/>
      </w:tblGrid>
      <w:tr>
        <w:trPr>
          <w:trHeight w:val="820" w:hRule="exact"/>
        </w:trPr>
        <w:tc>
          <w:tcPr>
            <w:tcW w:w="584" w:type="dxa"/>
          </w:tcPr>
          <w:p>
            <w:pPr>
              <w:pStyle w:val="TableParagraph"/>
              <w:spacing w:before="9"/>
              <w:ind w:right="0"/>
              <w:jc w:val="left"/>
              <w:rPr>
                <w:rFonts w:ascii="Arial"/>
                <w:b/>
                <w:sz w:val="24"/>
              </w:rPr>
            </w:pPr>
          </w:p>
          <w:p>
            <w:pPr>
              <w:pStyle w:val="TableParagraph"/>
              <w:spacing w:before="1"/>
              <w:ind w:left="77" w:right="77"/>
              <w:jc w:val="center"/>
              <w:rPr>
                <w:rFonts w:ascii="Arial"/>
                <w:b/>
                <w:sz w:val="18"/>
              </w:rPr>
            </w:pPr>
            <w:r>
              <w:rPr>
                <w:rFonts w:ascii="Arial"/>
                <w:b/>
                <w:sz w:val="18"/>
              </w:rPr>
              <w:t>Row</w:t>
            </w:r>
          </w:p>
        </w:tc>
        <w:tc>
          <w:tcPr>
            <w:tcW w:w="2016" w:type="dxa"/>
          </w:tcPr>
          <w:p>
            <w:pPr>
              <w:pStyle w:val="TableParagraph"/>
              <w:spacing w:before="9"/>
              <w:ind w:right="0"/>
              <w:jc w:val="left"/>
              <w:rPr>
                <w:rFonts w:ascii="Arial"/>
                <w:b/>
                <w:sz w:val="24"/>
              </w:rPr>
            </w:pPr>
          </w:p>
          <w:p>
            <w:pPr>
              <w:pStyle w:val="TableParagraph"/>
              <w:spacing w:before="1"/>
              <w:ind w:left="234" w:right="0"/>
              <w:jc w:val="left"/>
              <w:rPr>
                <w:rFonts w:ascii="Arial"/>
                <w:b/>
                <w:sz w:val="18"/>
              </w:rPr>
            </w:pPr>
            <w:r>
              <w:rPr>
                <w:rFonts w:ascii="Arial"/>
                <w:b/>
                <w:sz w:val="18"/>
              </w:rPr>
              <w:t>Result of Titration</w:t>
            </w:r>
          </w:p>
        </w:tc>
        <w:tc>
          <w:tcPr>
            <w:tcW w:w="1860" w:type="dxa"/>
          </w:tcPr>
          <w:p>
            <w:pPr>
              <w:pStyle w:val="TableParagraph"/>
              <w:spacing w:line="254" w:lineRule="auto" w:before="66"/>
              <w:ind w:left="450" w:right="449" w:firstLine="39"/>
              <w:jc w:val="both"/>
              <w:rPr>
                <w:rFonts w:ascii="Arial"/>
                <w:b/>
                <w:sz w:val="18"/>
              </w:rPr>
            </w:pPr>
            <w:r>
              <w:rPr>
                <w:rFonts w:ascii="Arial"/>
                <w:b/>
                <w:sz w:val="18"/>
              </w:rPr>
              <w:t>Hydroxide Alkalinity is equal</w:t>
            </w:r>
            <w:r>
              <w:rPr>
                <w:rFonts w:ascii="Arial"/>
                <w:b/>
                <w:spacing w:val="-3"/>
                <w:sz w:val="18"/>
              </w:rPr>
              <w:t> </w:t>
            </w:r>
            <w:r>
              <w:rPr>
                <w:rFonts w:ascii="Arial"/>
                <w:b/>
                <w:sz w:val="18"/>
              </w:rPr>
              <w:t>to:</w:t>
            </w:r>
          </w:p>
        </w:tc>
        <w:tc>
          <w:tcPr>
            <w:tcW w:w="1920" w:type="dxa"/>
          </w:tcPr>
          <w:p>
            <w:pPr>
              <w:pStyle w:val="TableParagraph"/>
              <w:spacing w:before="4"/>
              <w:ind w:right="0"/>
              <w:jc w:val="left"/>
              <w:rPr>
                <w:rFonts w:ascii="Arial"/>
                <w:b/>
                <w:sz w:val="15"/>
              </w:rPr>
            </w:pPr>
          </w:p>
          <w:p>
            <w:pPr>
              <w:pStyle w:val="TableParagraph"/>
              <w:spacing w:line="254" w:lineRule="auto" w:before="0"/>
              <w:ind w:left="480" w:right="0" w:hanging="394"/>
              <w:jc w:val="left"/>
              <w:rPr>
                <w:rFonts w:ascii="Arial"/>
                <w:b/>
                <w:sz w:val="18"/>
              </w:rPr>
            </w:pPr>
            <w:r>
              <w:rPr>
                <w:rFonts w:ascii="Arial"/>
                <w:b/>
                <w:sz w:val="18"/>
              </w:rPr>
              <w:t>Carbonate Alkalinity is equal to:</w:t>
            </w:r>
          </w:p>
        </w:tc>
        <w:tc>
          <w:tcPr>
            <w:tcW w:w="1913" w:type="dxa"/>
          </w:tcPr>
          <w:p>
            <w:pPr>
              <w:pStyle w:val="TableParagraph"/>
              <w:spacing w:line="254" w:lineRule="auto" w:before="66"/>
              <w:ind w:left="476" w:right="430" w:hanging="45"/>
              <w:jc w:val="left"/>
              <w:rPr>
                <w:rFonts w:ascii="Arial"/>
                <w:b/>
                <w:sz w:val="18"/>
              </w:rPr>
            </w:pPr>
            <w:r>
              <w:rPr>
                <w:rFonts w:ascii="Arial"/>
                <w:b/>
                <w:spacing w:val="-1"/>
                <w:sz w:val="18"/>
              </w:rPr>
              <w:t>Bicarbonate </w:t>
            </w:r>
            <w:r>
              <w:rPr>
                <w:rFonts w:ascii="Arial"/>
                <w:b/>
                <w:sz w:val="18"/>
              </w:rPr>
              <w:t>Alkalinity is equal</w:t>
            </w:r>
            <w:r>
              <w:rPr>
                <w:rFonts w:ascii="Arial"/>
                <w:b/>
                <w:spacing w:val="-3"/>
                <w:sz w:val="18"/>
              </w:rPr>
              <w:t> </w:t>
            </w:r>
            <w:r>
              <w:rPr>
                <w:rFonts w:ascii="Arial"/>
                <w:b/>
                <w:sz w:val="18"/>
              </w:rPr>
              <w:t>to:</w:t>
            </w:r>
          </w:p>
        </w:tc>
      </w:tr>
      <w:tr>
        <w:trPr>
          <w:trHeight w:val="521" w:hRule="exact"/>
        </w:trPr>
        <w:tc>
          <w:tcPr>
            <w:tcW w:w="584" w:type="dxa"/>
          </w:tcPr>
          <w:p>
            <w:pPr>
              <w:pStyle w:val="TableParagraph"/>
              <w:spacing w:before="137"/>
              <w:ind w:right="0"/>
              <w:jc w:val="center"/>
              <w:rPr>
                <w:rFonts w:ascii="Arial"/>
                <w:b/>
                <w:sz w:val="18"/>
              </w:rPr>
            </w:pPr>
            <w:r>
              <w:rPr>
                <w:rFonts w:ascii="Arial"/>
                <w:b/>
                <w:w w:val="99"/>
                <w:sz w:val="18"/>
              </w:rPr>
              <w:t>1</w:t>
            </w:r>
          </w:p>
        </w:tc>
        <w:tc>
          <w:tcPr>
            <w:tcW w:w="2016" w:type="dxa"/>
          </w:tcPr>
          <w:p>
            <w:pPr>
              <w:pStyle w:val="TableParagraph"/>
              <w:spacing w:line="254" w:lineRule="auto" w:before="27"/>
              <w:ind w:left="495" w:right="0" w:hanging="137"/>
              <w:jc w:val="left"/>
              <w:rPr>
                <w:rFonts w:ascii="Arial"/>
                <w:sz w:val="18"/>
              </w:rPr>
            </w:pPr>
            <w:r>
              <w:rPr>
                <w:rFonts w:ascii="Arial"/>
                <w:sz w:val="18"/>
              </w:rPr>
              <w:t>Phenolphthalein Alkalinity = 0</w:t>
            </w:r>
          </w:p>
        </w:tc>
        <w:tc>
          <w:tcPr>
            <w:tcW w:w="1860" w:type="dxa"/>
          </w:tcPr>
          <w:p>
            <w:pPr>
              <w:pStyle w:val="TableParagraph"/>
              <w:spacing w:before="27"/>
              <w:ind w:right="0"/>
              <w:jc w:val="center"/>
              <w:rPr>
                <w:rFonts w:ascii="Arial"/>
                <w:sz w:val="18"/>
              </w:rPr>
            </w:pPr>
            <w:r>
              <w:rPr>
                <w:rFonts w:ascii="Arial"/>
                <w:w w:val="99"/>
                <w:sz w:val="18"/>
              </w:rPr>
              <w:t>0</w:t>
            </w:r>
          </w:p>
        </w:tc>
        <w:tc>
          <w:tcPr>
            <w:tcW w:w="1920" w:type="dxa"/>
          </w:tcPr>
          <w:p>
            <w:pPr>
              <w:pStyle w:val="TableParagraph"/>
              <w:spacing w:before="27"/>
              <w:ind w:right="0"/>
              <w:jc w:val="center"/>
              <w:rPr>
                <w:rFonts w:ascii="Arial"/>
                <w:sz w:val="18"/>
              </w:rPr>
            </w:pPr>
            <w:r>
              <w:rPr>
                <w:rFonts w:ascii="Arial"/>
                <w:w w:val="99"/>
                <w:sz w:val="18"/>
              </w:rPr>
              <w:t>0</w:t>
            </w:r>
          </w:p>
        </w:tc>
        <w:tc>
          <w:tcPr>
            <w:tcW w:w="1913" w:type="dxa"/>
          </w:tcPr>
          <w:p>
            <w:pPr>
              <w:pStyle w:val="TableParagraph"/>
              <w:spacing w:line="254" w:lineRule="auto" w:before="27"/>
              <w:ind w:left="596" w:right="576" w:firstLine="166"/>
              <w:jc w:val="left"/>
              <w:rPr>
                <w:rFonts w:ascii="Arial"/>
                <w:sz w:val="18"/>
              </w:rPr>
            </w:pPr>
            <w:r>
              <w:rPr>
                <w:rFonts w:ascii="Arial"/>
                <w:sz w:val="18"/>
              </w:rPr>
              <w:t>Total Alkalinity</w:t>
            </w:r>
          </w:p>
        </w:tc>
      </w:tr>
      <w:tr>
        <w:trPr>
          <w:trHeight w:val="739" w:hRule="exact"/>
        </w:trPr>
        <w:tc>
          <w:tcPr>
            <w:tcW w:w="584" w:type="dxa"/>
          </w:tcPr>
          <w:p>
            <w:pPr>
              <w:pStyle w:val="TableParagraph"/>
              <w:spacing w:before="5"/>
              <w:ind w:right="0"/>
              <w:jc w:val="left"/>
              <w:rPr>
                <w:rFonts w:ascii="Arial"/>
                <w:b/>
                <w:sz w:val="21"/>
              </w:rPr>
            </w:pPr>
          </w:p>
          <w:p>
            <w:pPr>
              <w:pStyle w:val="TableParagraph"/>
              <w:spacing w:before="0"/>
              <w:ind w:right="0"/>
              <w:jc w:val="center"/>
              <w:rPr>
                <w:rFonts w:ascii="Arial"/>
                <w:b/>
                <w:sz w:val="18"/>
              </w:rPr>
            </w:pPr>
            <w:r>
              <w:rPr>
                <w:rFonts w:ascii="Arial"/>
                <w:b/>
                <w:w w:val="99"/>
                <w:sz w:val="18"/>
              </w:rPr>
              <w:t>2</w:t>
            </w:r>
          </w:p>
        </w:tc>
        <w:tc>
          <w:tcPr>
            <w:tcW w:w="2016" w:type="dxa"/>
          </w:tcPr>
          <w:p>
            <w:pPr>
              <w:pStyle w:val="TableParagraph"/>
              <w:spacing w:line="254" w:lineRule="auto" w:before="25"/>
              <w:ind w:left="90" w:right="115" w:firstLine="25"/>
              <w:jc w:val="center"/>
              <w:rPr>
                <w:rFonts w:ascii="Arial"/>
                <w:sz w:val="18"/>
              </w:rPr>
            </w:pPr>
            <w:r>
              <w:rPr>
                <w:rFonts w:ascii="Arial"/>
                <w:sz w:val="18"/>
              </w:rPr>
              <w:t>Phenolphthalein Alkalinity</w:t>
            </w:r>
            <w:r>
              <w:rPr>
                <w:rFonts w:ascii="Arial"/>
                <w:spacing w:val="-14"/>
                <w:sz w:val="18"/>
              </w:rPr>
              <w:t> </w:t>
            </w:r>
            <w:r>
              <w:rPr>
                <w:rFonts w:ascii="Arial"/>
                <w:sz w:val="18"/>
              </w:rPr>
              <w:t>equal</w:t>
            </w:r>
            <w:r>
              <w:rPr>
                <w:rFonts w:ascii="Arial"/>
                <w:spacing w:val="-13"/>
                <w:sz w:val="18"/>
              </w:rPr>
              <w:t> </w:t>
            </w:r>
            <w:r>
              <w:rPr>
                <w:rFonts w:ascii="Arial"/>
                <w:sz w:val="18"/>
              </w:rPr>
              <w:t>to</w:t>
            </w:r>
            <w:r>
              <w:rPr>
                <w:rFonts w:ascii="Arial"/>
                <w:spacing w:val="-14"/>
                <w:sz w:val="18"/>
              </w:rPr>
              <w:t> </w:t>
            </w:r>
            <w:r>
              <w:rPr>
                <w:rFonts w:ascii="Arial"/>
                <w:spacing w:val="-5"/>
                <w:sz w:val="18"/>
              </w:rPr>
              <w:t>Total </w:t>
            </w:r>
            <w:r>
              <w:rPr>
                <w:rFonts w:ascii="Arial"/>
                <w:sz w:val="18"/>
              </w:rPr>
              <w:t>Alkalinity</w:t>
            </w:r>
          </w:p>
        </w:tc>
        <w:tc>
          <w:tcPr>
            <w:tcW w:w="1860" w:type="dxa"/>
          </w:tcPr>
          <w:p>
            <w:pPr>
              <w:pStyle w:val="TableParagraph"/>
              <w:spacing w:before="25"/>
              <w:ind w:left="324" w:right="325"/>
              <w:jc w:val="center"/>
              <w:rPr>
                <w:rFonts w:ascii="Arial"/>
                <w:sz w:val="18"/>
              </w:rPr>
            </w:pPr>
            <w:r>
              <w:rPr>
                <w:rFonts w:ascii="Arial"/>
                <w:sz w:val="18"/>
              </w:rPr>
              <w:t>Total Alkalinity</w:t>
            </w:r>
          </w:p>
        </w:tc>
        <w:tc>
          <w:tcPr>
            <w:tcW w:w="1920" w:type="dxa"/>
          </w:tcPr>
          <w:p>
            <w:pPr>
              <w:pStyle w:val="TableParagraph"/>
              <w:spacing w:before="25"/>
              <w:ind w:right="0"/>
              <w:jc w:val="center"/>
              <w:rPr>
                <w:rFonts w:ascii="Arial"/>
                <w:sz w:val="18"/>
              </w:rPr>
            </w:pPr>
            <w:r>
              <w:rPr>
                <w:rFonts w:ascii="Arial"/>
                <w:w w:val="99"/>
                <w:sz w:val="18"/>
              </w:rPr>
              <w:t>0</w:t>
            </w:r>
          </w:p>
        </w:tc>
        <w:tc>
          <w:tcPr>
            <w:tcW w:w="1913" w:type="dxa"/>
          </w:tcPr>
          <w:p>
            <w:pPr>
              <w:pStyle w:val="TableParagraph"/>
              <w:spacing w:before="25"/>
              <w:ind w:left="901" w:right="0"/>
              <w:jc w:val="left"/>
              <w:rPr>
                <w:rFonts w:ascii="Arial"/>
                <w:sz w:val="18"/>
              </w:rPr>
            </w:pPr>
            <w:r>
              <w:rPr>
                <w:rFonts w:ascii="Arial"/>
                <w:w w:val="99"/>
                <w:sz w:val="18"/>
              </w:rPr>
              <w:t>0</w:t>
            </w:r>
          </w:p>
        </w:tc>
      </w:tr>
      <w:tr>
        <w:trPr>
          <w:trHeight w:val="960" w:hRule="exact"/>
        </w:trPr>
        <w:tc>
          <w:tcPr>
            <w:tcW w:w="584" w:type="dxa"/>
          </w:tcPr>
          <w:p>
            <w:pPr>
              <w:pStyle w:val="TableParagraph"/>
              <w:spacing w:before="0"/>
              <w:ind w:right="0"/>
              <w:jc w:val="left"/>
              <w:rPr>
                <w:rFonts w:ascii="Arial"/>
                <w:b/>
                <w:sz w:val="18"/>
              </w:rPr>
            </w:pPr>
          </w:p>
          <w:p>
            <w:pPr>
              <w:pStyle w:val="TableParagraph"/>
              <w:spacing w:before="150"/>
              <w:ind w:left="1" w:right="0"/>
              <w:jc w:val="center"/>
              <w:rPr>
                <w:rFonts w:ascii="Arial"/>
                <w:b/>
                <w:sz w:val="18"/>
              </w:rPr>
            </w:pPr>
            <w:r>
              <w:rPr>
                <w:rFonts w:ascii="Arial"/>
                <w:b/>
                <w:w w:val="99"/>
                <w:sz w:val="18"/>
              </w:rPr>
              <w:t>3</w:t>
            </w:r>
          </w:p>
        </w:tc>
        <w:tc>
          <w:tcPr>
            <w:tcW w:w="2016" w:type="dxa"/>
          </w:tcPr>
          <w:p>
            <w:pPr>
              <w:pStyle w:val="TableParagraph"/>
              <w:spacing w:line="254" w:lineRule="auto" w:before="27"/>
              <w:ind w:left="89" w:right="114" w:firstLine="25"/>
              <w:jc w:val="center"/>
              <w:rPr>
                <w:rFonts w:ascii="Arial"/>
                <w:sz w:val="18"/>
              </w:rPr>
            </w:pPr>
            <w:r>
              <w:rPr>
                <w:rFonts w:ascii="Arial"/>
                <w:sz w:val="18"/>
              </w:rPr>
              <w:t>Phenolphthalein Alkalinity</w:t>
            </w:r>
            <w:r>
              <w:rPr>
                <w:rFonts w:ascii="Arial"/>
                <w:spacing w:val="-15"/>
                <w:sz w:val="18"/>
              </w:rPr>
              <w:t> </w:t>
            </w:r>
            <w:r>
              <w:rPr>
                <w:rFonts w:ascii="Arial"/>
                <w:sz w:val="18"/>
              </w:rPr>
              <w:t>less</w:t>
            </w:r>
            <w:r>
              <w:rPr>
                <w:rFonts w:ascii="Arial"/>
                <w:spacing w:val="-15"/>
                <w:sz w:val="18"/>
              </w:rPr>
              <w:t> </w:t>
            </w:r>
            <w:r>
              <w:rPr>
                <w:rFonts w:ascii="Arial"/>
                <w:sz w:val="18"/>
              </w:rPr>
              <w:t>than</w:t>
            </w:r>
            <w:r>
              <w:rPr>
                <w:rFonts w:ascii="Arial"/>
                <w:spacing w:val="-15"/>
                <w:sz w:val="18"/>
              </w:rPr>
              <w:t> </w:t>
            </w:r>
            <w:r>
              <w:rPr>
                <w:rFonts w:ascii="Arial"/>
                <w:sz w:val="18"/>
              </w:rPr>
              <w:t>one half of</w:t>
            </w:r>
            <w:r>
              <w:rPr>
                <w:rFonts w:ascii="Arial"/>
                <w:spacing w:val="-7"/>
                <w:sz w:val="18"/>
              </w:rPr>
              <w:t> </w:t>
            </w:r>
            <w:r>
              <w:rPr>
                <w:rFonts w:ascii="Arial"/>
                <w:spacing w:val="-5"/>
                <w:sz w:val="18"/>
              </w:rPr>
              <w:t>Total</w:t>
            </w:r>
          </w:p>
          <w:p>
            <w:pPr>
              <w:pStyle w:val="TableParagraph"/>
              <w:spacing w:before="0"/>
              <w:ind w:left="628" w:right="628"/>
              <w:jc w:val="center"/>
              <w:rPr>
                <w:rFonts w:ascii="Arial"/>
                <w:sz w:val="18"/>
              </w:rPr>
            </w:pPr>
            <w:r>
              <w:rPr>
                <w:rFonts w:ascii="Arial"/>
                <w:sz w:val="18"/>
              </w:rPr>
              <w:t>Alkalinity</w:t>
            </w:r>
          </w:p>
        </w:tc>
        <w:tc>
          <w:tcPr>
            <w:tcW w:w="1860" w:type="dxa"/>
          </w:tcPr>
          <w:p>
            <w:pPr>
              <w:pStyle w:val="TableParagraph"/>
              <w:spacing w:before="27"/>
              <w:ind w:right="0"/>
              <w:jc w:val="center"/>
              <w:rPr>
                <w:rFonts w:ascii="Arial"/>
                <w:sz w:val="18"/>
              </w:rPr>
            </w:pPr>
            <w:r>
              <w:rPr>
                <w:rFonts w:ascii="Arial"/>
                <w:w w:val="99"/>
                <w:sz w:val="18"/>
              </w:rPr>
              <w:t>0</w:t>
            </w:r>
          </w:p>
        </w:tc>
        <w:tc>
          <w:tcPr>
            <w:tcW w:w="1920" w:type="dxa"/>
          </w:tcPr>
          <w:p>
            <w:pPr>
              <w:pStyle w:val="TableParagraph"/>
              <w:spacing w:line="254" w:lineRule="auto" w:before="27"/>
              <w:ind w:left="310" w:right="308" w:firstLine="1"/>
              <w:jc w:val="center"/>
              <w:rPr>
                <w:rFonts w:ascii="Arial"/>
                <w:sz w:val="18"/>
              </w:rPr>
            </w:pPr>
            <w:r>
              <w:rPr>
                <w:rFonts w:ascii="Arial"/>
                <w:sz w:val="18"/>
              </w:rPr>
              <w:t>2 times the Phenolphthalein Alkalinity</w:t>
            </w:r>
          </w:p>
        </w:tc>
        <w:tc>
          <w:tcPr>
            <w:tcW w:w="1913" w:type="dxa"/>
          </w:tcPr>
          <w:p>
            <w:pPr>
              <w:pStyle w:val="TableParagraph"/>
              <w:spacing w:line="254" w:lineRule="auto" w:before="27"/>
              <w:ind w:left="91" w:right="95"/>
              <w:jc w:val="center"/>
              <w:rPr>
                <w:rFonts w:ascii="Arial"/>
                <w:sz w:val="18"/>
              </w:rPr>
            </w:pPr>
            <w:r>
              <w:rPr>
                <w:rFonts w:ascii="Arial"/>
                <w:sz w:val="18"/>
              </w:rPr>
              <w:t>Total Alkalinity minus two times Phenolphthalein Alkalinity</w:t>
            </w:r>
          </w:p>
        </w:tc>
      </w:tr>
      <w:tr>
        <w:trPr>
          <w:trHeight w:val="740" w:hRule="exact"/>
        </w:trPr>
        <w:tc>
          <w:tcPr>
            <w:tcW w:w="584" w:type="dxa"/>
          </w:tcPr>
          <w:p>
            <w:pPr>
              <w:pStyle w:val="TableParagraph"/>
              <w:spacing w:before="5"/>
              <w:ind w:right="0"/>
              <w:jc w:val="left"/>
              <w:rPr>
                <w:rFonts w:ascii="Arial"/>
                <w:b/>
                <w:sz w:val="21"/>
              </w:rPr>
            </w:pPr>
          </w:p>
          <w:p>
            <w:pPr>
              <w:pStyle w:val="TableParagraph"/>
              <w:spacing w:before="0"/>
              <w:ind w:right="0"/>
              <w:jc w:val="center"/>
              <w:rPr>
                <w:rFonts w:ascii="Arial"/>
                <w:b/>
                <w:sz w:val="18"/>
              </w:rPr>
            </w:pPr>
            <w:r>
              <w:rPr>
                <w:rFonts w:ascii="Arial"/>
                <w:b/>
                <w:w w:val="99"/>
                <w:sz w:val="18"/>
              </w:rPr>
              <w:t>4</w:t>
            </w:r>
          </w:p>
        </w:tc>
        <w:tc>
          <w:tcPr>
            <w:tcW w:w="2016" w:type="dxa"/>
          </w:tcPr>
          <w:p>
            <w:pPr>
              <w:pStyle w:val="TableParagraph"/>
              <w:spacing w:line="254" w:lineRule="auto" w:before="27"/>
              <w:ind w:left="128" w:right="127" w:hanging="2"/>
              <w:jc w:val="center"/>
              <w:rPr>
                <w:rFonts w:ascii="Arial"/>
                <w:sz w:val="18"/>
              </w:rPr>
            </w:pPr>
            <w:r>
              <w:rPr>
                <w:rFonts w:ascii="Arial"/>
                <w:sz w:val="18"/>
              </w:rPr>
              <w:t>Phenolphthalein Alkalinity equal to one half of Total Alkalinity</w:t>
            </w:r>
          </w:p>
        </w:tc>
        <w:tc>
          <w:tcPr>
            <w:tcW w:w="1860" w:type="dxa"/>
          </w:tcPr>
          <w:p>
            <w:pPr>
              <w:pStyle w:val="TableParagraph"/>
              <w:spacing w:before="27"/>
              <w:ind w:right="0"/>
              <w:jc w:val="center"/>
              <w:rPr>
                <w:rFonts w:ascii="Arial"/>
                <w:sz w:val="18"/>
              </w:rPr>
            </w:pPr>
            <w:r>
              <w:rPr>
                <w:rFonts w:ascii="Arial"/>
                <w:w w:val="99"/>
                <w:sz w:val="18"/>
              </w:rPr>
              <w:t>0</w:t>
            </w:r>
          </w:p>
        </w:tc>
        <w:tc>
          <w:tcPr>
            <w:tcW w:w="1920" w:type="dxa"/>
          </w:tcPr>
          <w:p>
            <w:pPr>
              <w:pStyle w:val="TableParagraph"/>
              <w:spacing w:before="27"/>
              <w:ind w:left="354" w:right="355"/>
              <w:jc w:val="center"/>
              <w:rPr>
                <w:rFonts w:ascii="Arial"/>
                <w:sz w:val="18"/>
              </w:rPr>
            </w:pPr>
            <w:r>
              <w:rPr>
                <w:rFonts w:ascii="Arial"/>
                <w:sz w:val="18"/>
              </w:rPr>
              <w:t>Total Alkalinity</w:t>
            </w:r>
          </w:p>
        </w:tc>
        <w:tc>
          <w:tcPr>
            <w:tcW w:w="1913" w:type="dxa"/>
          </w:tcPr>
          <w:p>
            <w:pPr>
              <w:pStyle w:val="TableParagraph"/>
              <w:spacing w:before="27"/>
              <w:ind w:left="900" w:right="0"/>
              <w:jc w:val="left"/>
              <w:rPr>
                <w:rFonts w:ascii="Arial"/>
                <w:sz w:val="18"/>
              </w:rPr>
            </w:pPr>
            <w:r>
              <w:rPr>
                <w:rFonts w:ascii="Arial"/>
                <w:w w:val="99"/>
                <w:sz w:val="18"/>
              </w:rPr>
              <w:t>0</w:t>
            </w:r>
          </w:p>
        </w:tc>
      </w:tr>
      <w:tr>
        <w:trPr>
          <w:trHeight w:val="1180" w:hRule="exact"/>
        </w:trPr>
        <w:tc>
          <w:tcPr>
            <w:tcW w:w="584" w:type="dxa"/>
          </w:tcPr>
          <w:p>
            <w:pPr>
              <w:pStyle w:val="TableParagraph"/>
              <w:spacing w:before="0"/>
              <w:ind w:right="0"/>
              <w:jc w:val="left"/>
              <w:rPr>
                <w:rFonts w:ascii="Arial"/>
                <w:b/>
                <w:sz w:val="18"/>
              </w:rPr>
            </w:pPr>
          </w:p>
          <w:p>
            <w:pPr>
              <w:pStyle w:val="TableParagraph"/>
              <w:spacing w:before="6"/>
              <w:ind w:right="0"/>
              <w:jc w:val="left"/>
              <w:rPr>
                <w:rFonts w:ascii="Arial"/>
                <w:b/>
                <w:sz w:val="22"/>
              </w:rPr>
            </w:pPr>
          </w:p>
          <w:p>
            <w:pPr>
              <w:pStyle w:val="TableParagraph"/>
              <w:spacing w:before="0"/>
              <w:ind w:right="0"/>
              <w:jc w:val="center"/>
              <w:rPr>
                <w:rFonts w:ascii="Arial"/>
                <w:b/>
                <w:sz w:val="18"/>
              </w:rPr>
            </w:pPr>
            <w:r>
              <w:rPr>
                <w:rFonts w:ascii="Arial"/>
                <w:b/>
                <w:w w:val="99"/>
                <w:sz w:val="18"/>
              </w:rPr>
              <w:t>5</w:t>
            </w:r>
          </w:p>
        </w:tc>
        <w:tc>
          <w:tcPr>
            <w:tcW w:w="2016" w:type="dxa"/>
          </w:tcPr>
          <w:p>
            <w:pPr>
              <w:pStyle w:val="TableParagraph"/>
              <w:spacing w:line="254" w:lineRule="auto" w:before="27"/>
              <w:ind w:left="139" w:right="138" w:hanging="1"/>
              <w:jc w:val="center"/>
              <w:rPr>
                <w:rFonts w:ascii="Arial"/>
                <w:sz w:val="18"/>
              </w:rPr>
            </w:pPr>
            <w:r>
              <w:rPr>
                <w:rFonts w:ascii="Arial"/>
                <w:sz w:val="18"/>
              </w:rPr>
              <w:t>Phenolphthalein Alkalinity greater</w:t>
            </w:r>
            <w:r>
              <w:rPr>
                <w:rFonts w:ascii="Arial"/>
                <w:spacing w:val="-16"/>
                <w:sz w:val="18"/>
              </w:rPr>
              <w:t> </w:t>
            </w:r>
            <w:r>
              <w:rPr>
                <w:rFonts w:ascii="Arial"/>
                <w:sz w:val="18"/>
              </w:rPr>
              <w:t>than one half of </w:t>
            </w:r>
            <w:r>
              <w:rPr>
                <w:rFonts w:ascii="Arial"/>
                <w:spacing w:val="-5"/>
                <w:sz w:val="18"/>
              </w:rPr>
              <w:t>Total </w:t>
            </w:r>
            <w:r>
              <w:rPr>
                <w:rFonts w:ascii="Arial"/>
                <w:sz w:val="18"/>
              </w:rPr>
              <w:t>Alkalinity</w:t>
            </w:r>
          </w:p>
        </w:tc>
        <w:tc>
          <w:tcPr>
            <w:tcW w:w="1860" w:type="dxa"/>
          </w:tcPr>
          <w:p>
            <w:pPr>
              <w:pStyle w:val="TableParagraph"/>
              <w:spacing w:line="254" w:lineRule="auto" w:before="27"/>
              <w:ind w:left="280" w:right="278" w:hanging="1"/>
              <w:jc w:val="center"/>
              <w:rPr>
                <w:rFonts w:ascii="Arial"/>
                <w:sz w:val="18"/>
              </w:rPr>
            </w:pPr>
            <w:r>
              <w:rPr>
                <w:rFonts w:ascii="Arial"/>
                <w:sz w:val="18"/>
              </w:rPr>
              <w:t>2 times the Phenolphthalein minus Total Alkalinity</w:t>
            </w:r>
          </w:p>
        </w:tc>
        <w:tc>
          <w:tcPr>
            <w:tcW w:w="1920" w:type="dxa"/>
          </w:tcPr>
          <w:p>
            <w:pPr>
              <w:pStyle w:val="TableParagraph"/>
              <w:spacing w:line="254" w:lineRule="auto" w:before="27"/>
              <w:ind w:left="197" w:right="196" w:firstLine="3"/>
              <w:jc w:val="center"/>
              <w:rPr>
                <w:rFonts w:ascii="Arial"/>
                <w:sz w:val="18"/>
              </w:rPr>
            </w:pPr>
            <w:r>
              <w:rPr>
                <w:rFonts w:ascii="Arial"/>
                <w:sz w:val="18"/>
              </w:rPr>
              <w:t>2 times the difference</w:t>
            </w:r>
            <w:r>
              <w:rPr>
                <w:rFonts w:ascii="Arial"/>
                <w:spacing w:val="-14"/>
                <w:sz w:val="18"/>
              </w:rPr>
              <w:t> </w:t>
            </w:r>
            <w:r>
              <w:rPr>
                <w:rFonts w:ascii="Arial"/>
                <w:sz w:val="18"/>
              </w:rPr>
              <w:t>between </w:t>
            </w:r>
            <w:r>
              <w:rPr>
                <w:rFonts w:ascii="Arial"/>
                <w:spacing w:val="-5"/>
                <w:sz w:val="18"/>
              </w:rPr>
              <w:t>Total </w:t>
            </w:r>
            <w:r>
              <w:rPr>
                <w:rFonts w:ascii="Arial"/>
                <w:sz w:val="18"/>
              </w:rPr>
              <w:t>and Phenolphthalein Alkalinity</w:t>
            </w:r>
          </w:p>
        </w:tc>
        <w:tc>
          <w:tcPr>
            <w:tcW w:w="1913" w:type="dxa"/>
          </w:tcPr>
          <w:p>
            <w:pPr>
              <w:pStyle w:val="TableParagraph"/>
              <w:spacing w:before="27"/>
              <w:ind w:left="901" w:right="0"/>
              <w:jc w:val="left"/>
              <w:rPr>
                <w:rFonts w:ascii="Arial"/>
                <w:sz w:val="18"/>
              </w:rPr>
            </w:pPr>
            <w:r>
              <w:rPr>
                <w:rFonts w:ascii="Arial"/>
                <w:w w:val="99"/>
                <w:sz w:val="18"/>
              </w:rPr>
              <w:t>0</w:t>
            </w:r>
          </w:p>
        </w:tc>
      </w:tr>
    </w:tbl>
    <w:p>
      <w:pPr>
        <w:pStyle w:val="BodyText"/>
        <w:spacing w:before="137"/>
        <w:ind w:left="2640" w:right="81"/>
        <w:rPr>
          <w:rFonts w:ascii="Times New Roman"/>
        </w:rPr>
      </w:pPr>
      <w:r>
        <w:rPr>
          <w:rFonts w:ascii="Times New Roman"/>
        </w:rPr>
        <w:t>To use the table follow these steps:</w:t>
      </w:r>
    </w:p>
    <w:p>
      <w:pPr>
        <w:pStyle w:val="BodyText"/>
        <w:rPr>
          <w:rFonts w:ascii="Times New Roman"/>
          <w:sz w:val="18"/>
        </w:rPr>
      </w:pPr>
    </w:p>
    <w:p>
      <w:pPr>
        <w:pStyle w:val="ListParagraph"/>
        <w:numPr>
          <w:ilvl w:val="1"/>
          <w:numId w:val="30"/>
        </w:numPr>
        <w:tabs>
          <w:tab w:pos="3361" w:val="left" w:leader="none"/>
        </w:tabs>
        <w:spacing w:line="244" w:lineRule="auto" w:before="0" w:after="0"/>
        <w:ind w:left="3360" w:right="381" w:hanging="360"/>
        <w:jc w:val="left"/>
        <w:rPr>
          <w:rFonts w:ascii="Times New Roman"/>
          <w:sz w:val="22"/>
        </w:rPr>
      </w:pPr>
      <w:r>
        <w:rPr>
          <w:rFonts w:ascii="Times New Roman"/>
          <w:sz w:val="22"/>
        </w:rPr>
        <w:t>Does the phenolphthalein alkalinity equal zero? If</w:t>
      </w:r>
      <w:r>
        <w:rPr>
          <w:rFonts w:ascii="Times New Roman"/>
          <w:spacing w:val="-27"/>
          <w:sz w:val="22"/>
        </w:rPr>
        <w:t> </w:t>
      </w:r>
      <w:r>
        <w:rPr>
          <w:rFonts w:ascii="Times New Roman"/>
          <w:sz w:val="22"/>
        </w:rPr>
        <w:t>yes, use </w:t>
      </w:r>
      <w:r>
        <w:rPr>
          <w:rFonts w:ascii="Times New Roman"/>
          <w:spacing w:val="-3"/>
          <w:sz w:val="22"/>
        </w:rPr>
        <w:t>Row</w:t>
      </w:r>
      <w:r>
        <w:rPr>
          <w:rFonts w:ascii="Times New Roman"/>
          <w:spacing w:val="-5"/>
          <w:sz w:val="22"/>
        </w:rPr>
        <w:t> </w:t>
      </w:r>
      <w:r>
        <w:rPr>
          <w:rFonts w:ascii="Times New Roman"/>
          <w:sz w:val="22"/>
        </w:rPr>
        <w:t>1.</w:t>
      </w:r>
    </w:p>
    <w:p>
      <w:pPr>
        <w:pStyle w:val="BodyText"/>
        <w:spacing w:before="7"/>
        <w:rPr>
          <w:rFonts w:ascii="Times New Roman"/>
          <w:sz w:val="17"/>
        </w:rPr>
      </w:pPr>
    </w:p>
    <w:p>
      <w:pPr>
        <w:pStyle w:val="ListParagraph"/>
        <w:numPr>
          <w:ilvl w:val="1"/>
          <w:numId w:val="30"/>
        </w:numPr>
        <w:tabs>
          <w:tab w:pos="3361" w:val="left" w:leader="none"/>
        </w:tabs>
        <w:spacing w:line="244" w:lineRule="auto" w:before="0" w:after="0"/>
        <w:ind w:left="3360" w:right="1070" w:hanging="360"/>
        <w:jc w:val="left"/>
        <w:rPr>
          <w:rFonts w:ascii="Times New Roman"/>
          <w:sz w:val="22"/>
        </w:rPr>
      </w:pPr>
      <w:r>
        <w:rPr>
          <w:rFonts w:ascii="Times New Roman"/>
          <w:sz w:val="22"/>
        </w:rPr>
        <w:t>Does the phenolphthalein alkalinity equal</w:t>
      </w:r>
      <w:r>
        <w:rPr>
          <w:rFonts w:ascii="Times New Roman"/>
          <w:spacing w:val="-9"/>
          <w:sz w:val="22"/>
        </w:rPr>
        <w:t> </w:t>
      </w:r>
      <w:r>
        <w:rPr>
          <w:rFonts w:ascii="Times New Roman"/>
          <w:sz w:val="22"/>
        </w:rPr>
        <w:t>total alkalinity? If yes, use Row</w:t>
      </w:r>
      <w:r>
        <w:rPr>
          <w:rFonts w:ascii="Times New Roman"/>
          <w:spacing w:val="-13"/>
          <w:sz w:val="22"/>
        </w:rPr>
        <w:t> </w:t>
      </w:r>
      <w:r>
        <w:rPr>
          <w:rFonts w:ascii="Times New Roman"/>
          <w:sz w:val="22"/>
        </w:rPr>
        <w:t>2.</w:t>
      </w:r>
    </w:p>
    <w:p>
      <w:pPr>
        <w:pStyle w:val="BodyText"/>
        <w:rPr>
          <w:rFonts w:ascii="Times New Roman"/>
          <w:sz w:val="20"/>
        </w:rPr>
      </w:pPr>
    </w:p>
    <w:p>
      <w:pPr>
        <w:pStyle w:val="BodyText"/>
        <w:rPr>
          <w:rFonts w:ascii="Times New Roman"/>
          <w:sz w:val="17"/>
        </w:rPr>
      </w:pPr>
    </w:p>
    <w:p>
      <w:pPr>
        <w:pStyle w:val="Heading5"/>
        <w:spacing w:before="73"/>
        <w:ind w:left="2909" w:right="2927"/>
        <w:jc w:val="center"/>
        <w:rPr>
          <w:rFonts w:ascii="Times New Roman"/>
        </w:rPr>
      </w:pPr>
      <w:r>
        <w:rPr>
          <w:rFonts w:ascii="Times New Roman"/>
        </w:rPr>
        <w:t>44</w:t>
      </w:r>
    </w:p>
    <w:p>
      <w:pPr>
        <w:spacing w:after="0"/>
        <w:jc w:val="center"/>
        <w:rPr>
          <w:rFonts w:ascii="Times New Roman"/>
        </w:rPr>
        <w:sectPr>
          <w:headerReference w:type="default" r:id="rId347"/>
          <w:footerReference w:type="default" r:id="rId348"/>
          <w:pgSz w:w="10080" w:h="12960"/>
          <w:pgMar w:header="0" w:footer="0" w:top="600" w:bottom="0" w:left="600" w:right="940"/>
        </w:sectPr>
      </w:pPr>
    </w:p>
    <w:p>
      <w:pPr>
        <w:spacing w:before="44"/>
        <w:ind w:left="120" w:right="138" w:firstLine="0"/>
        <w:jc w:val="left"/>
        <w:rPr>
          <w:rFonts w:ascii="Times New Roman"/>
          <w:b/>
          <w:sz w:val="24"/>
        </w:rPr>
      </w:pPr>
      <w:r>
        <w:rPr/>
        <w:pict>
          <v:group style="position:absolute;margin-left:53.474998pt;margin-top:21.975325pt;width:415.05pt;height:1.05pt;mso-position-horizontal-relative:page;mso-position-vertical-relative:paragraph;z-index:16000;mso-wrap-distance-left:0;mso-wrap-distance-right:0" coordorigin="1069,440" coordsize="8301,21">
            <v:line style="position:absolute" from="1080,450" to="1080,450" stroked="true" strokeweight="1.02pt" strokecolor="#000000"/>
            <v:line style="position:absolute" from="9360,450" to="9360,450" stroked="true" strokeweight="1.02pt" strokecolor="#000000"/>
            <v:line style="position:absolute" from="1080,450" to="9360,450" stroked="true" strokeweight="1.02pt" strokecolor="#000000"/>
            <w10:wrap type="topAndBottom"/>
          </v:group>
        </w:pict>
      </w:r>
      <w:r>
        <w:rPr>
          <w:rFonts w:ascii="Times New Roman"/>
          <w:b/>
          <w:sz w:val="28"/>
        </w:rPr>
        <w:t>ALKALINITY, </w:t>
      </w:r>
      <w:r>
        <w:rPr>
          <w:rFonts w:ascii="Times New Roman"/>
          <w:b/>
          <w:sz w:val="24"/>
        </w:rPr>
        <w:t>continued</w:t>
      </w:r>
    </w:p>
    <w:p>
      <w:pPr>
        <w:pStyle w:val="ListParagraph"/>
        <w:numPr>
          <w:ilvl w:val="1"/>
          <w:numId w:val="30"/>
        </w:numPr>
        <w:tabs>
          <w:tab w:pos="3359" w:val="left" w:leader="none"/>
          <w:tab w:pos="3360" w:val="left" w:leader="none"/>
        </w:tabs>
        <w:spacing w:line="240" w:lineRule="auto" w:before="195" w:after="0"/>
        <w:ind w:left="3359" w:right="0" w:hanging="359"/>
        <w:jc w:val="left"/>
        <w:rPr>
          <w:rFonts w:ascii="Times New Roman"/>
          <w:sz w:val="22"/>
        </w:rPr>
      </w:pPr>
      <w:r>
        <w:rPr>
          <w:rFonts w:ascii="Times New Roman"/>
          <w:sz w:val="22"/>
        </w:rPr>
        <w:t>Multiply the phenolphthalein alkalinity by</w:t>
      </w:r>
      <w:r>
        <w:rPr>
          <w:rFonts w:ascii="Times New Roman"/>
          <w:spacing w:val="-10"/>
          <w:sz w:val="22"/>
        </w:rPr>
        <w:t> </w:t>
      </w:r>
      <w:r>
        <w:rPr>
          <w:rFonts w:ascii="Times New Roman"/>
          <w:sz w:val="22"/>
        </w:rPr>
        <w:t>2.</w:t>
      </w:r>
    </w:p>
    <w:p>
      <w:pPr>
        <w:pStyle w:val="BodyText"/>
        <w:spacing w:before="11"/>
        <w:rPr>
          <w:rFonts w:ascii="Times New Roman"/>
          <w:sz w:val="17"/>
        </w:rPr>
      </w:pPr>
    </w:p>
    <w:p>
      <w:pPr>
        <w:pStyle w:val="ListParagraph"/>
        <w:numPr>
          <w:ilvl w:val="1"/>
          <w:numId w:val="30"/>
        </w:numPr>
        <w:tabs>
          <w:tab w:pos="3360" w:val="left" w:leader="none"/>
        </w:tabs>
        <w:spacing w:line="240" w:lineRule="auto" w:before="0" w:after="0"/>
        <w:ind w:left="3359" w:right="0" w:hanging="359"/>
        <w:jc w:val="left"/>
        <w:rPr>
          <w:rFonts w:ascii="Times New Roman"/>
          <w:sz w:val="22"/>
        </w:rPr>
      </w:pPr>
      <w:r>
        <w:rPr>
          <w:rFonts w:ascii="Times New Roman"/>
          <w:sz w:val="22"/>
        </w:rPr>
        <w:t>Select </w:t>
      </w:r>
      <w:r>
        <w:rPr>
          <w:rFonts w:ascii="Times New Roman"/>
          <w:spacing w:val="-3"/>
          <w:sz w:val="22"/>
        </w:rPr>
        <w:t>Row </w:t>
      </w:r>
      <w:r>
        <w:rPr>
          <w:rFonts w:ascii="Times New Roman"/>
          <w:sz w:val="22"/>
        </w:rPr>
        <w:t>3, 4, or 5 based on comparing the result</w:t>
      </w:r>
      <w:r>
        <w:rPr>
          <w:rFonts w:ascii="Times New Roman"/>
          <w:spacing w:val="-28"/>
          <w:sz w:val="22"/>
        </w:rPr>
        <w:t> </w:t>
      </w:r>
      <w:r>
        <w:rPr>
          <w:rFonts w:ascii="Times New Roman"/>
          <w:sz w:val="22"/>
        </w:rPr>
        <w:t>of</w:t>
      </w:r>
    </w:p>
    <w:p>
      <w:pPr>
        <w:spacing w:before="7"/>
        <w:ind w:left="2979" w:right="2132" w:firstLine="0"/>
        <w:jc w:val="center"/>
        <w:rPr>
          <w:rFonts w:ascii="Times New Roman"/>
          <w:sz w:val="22"/>
        </w:rPr>
      </w:pPr>
      <w:r>
        <w:rPr>
          <w:rFonts w:ascii="Times New Roman"/>
          <w:i/>
          <w:sz w:val="22"/>
        </w:rPr>
        <w:t>step c </w:t>
      </w:r>
      <w:r>
        <w:rPr>
          <w:rFonts w:ascii="Times New Roman"/>
          <w:sz w:val="22"/>
        </w:rPr>
        <w:t>with the total alkalinity.</w:t>
      </w:r>
    </w:p>
    <w:p>
      <w:pPr>
        <w:pStyle w:val="BodyText"/>
        <w:spacing w:before="11"/>
        <w:rPr>
          <w:rFonts w:ascii="Times New Roman"/>
          <w:sz w:val="17"/>
        </w:rPr>
      </w:pPr>
    </w:p>
    <w:p>
      <w:pPr>
        <w:pStyle w:val="ListParagraph"/>
        <w:numPr>
          <w:ilvl w:val="1"/>
          <w:numId w:val="30"/>
        </w:numPr>
        <w:tabs>
          <w:tab w:pos="3359" w:val="left" w:leader="none"/>
          <w:tab w:pos="3360" w:val="left" w:leader="none"/>
        </w:tabs>
        <w:spacing w:line="247" w:lineRule="auto" w:before="0" w:after="0"/>
        <w:ind w:left="3359" w:right="186" w:hanging="359"/>
        <w:jc w:val="left"/>
        <w:rPr>
          <w:rFonts w:ascii="Times New Roman"/>
          <w:sz w:val="22"/>
        </w:rPr>
      </w:pPr>
      <w:r>
        <w:rPr>
          <w:rFonts w:ascii="Times New Roman"/>
          <w:sz w:val="22"/>
        </w:rPr>
        <w:t>Perform the required calculations in the appropriate</w:t>
      </w:r>
      <w:r>
        <w:rPr>
          <w:rFonts w:ascii="Times New Roman"/>
          <w:spacing w:val="-10"/>
          <w:sz w:val="22"/>
        </w:rPr>
        <w:t> </w:t>
      </w:r>
      <w:r>
        <w:rPr>
          <w:rFonts w:ascii="Times New Roman"/>
          <w:spacing w:val="-6"/>
          <w:sz w:val="22"/>
        </w:rPr>
        <w:t>row, </w:t>
      </w:r>
      <w:r>
        <w:rPr>
          <w:rFonts w:ascii="Times New Roman"/>
          <w:sz w:val="22"/>
        </w:rPr>
        <w:t>if</w:t>
      </w:r>
      <w:r>
        <w:rPr>
          <w:rFonts w:ascii="Times New Roman"/>
          <w:spacing w:val="-2"/>
          <w:sz w:val="22"/>
        </w:rPr>
        <w:t> </w:t>
      </w:r>
      <w:r>
        <w:rPr>
          <w:rFonts w:ascii="Times New Roman"/>
          <w:spacing w:val="-5"/>
          <w:sz w:val="22"/>
        </w:rPr>
        <w:t>any.</w:t>
      </w:r>
    </w:p>
    <w:p>
      <w:pPr>
        <w:pStyle w:val="BodyText"/>
        <w:spacing w:before="3"/>
        <w:rPr>
          <w:rFonts w:ascii="Times New Roman"/>
          <w:sz w:val="17"/>
        </w:rPr>
      </w:pPr>
    </w:p>
    <w:p>
      <w:pPr>
        <w:pStyle w:val="ListParagraph"/>
        <w:numPr>
          <w:ilvl w:val="1"/>
          <w:numId w:val="30"/>
        </w:numPr>
        <w:tabs>
          <w:tab w:pos="3359" w:val="left" w:leader="none"/>
          <w:tab w:pos="3360" w:val="left" w:leader="none"/>
        </w:tabs>
        <w:spacing w:line="247" w:lineRule="auto" w:before="1" w:after="0"/>
        <w:ind w:left="3359" w:right="182" w:hanging="359"/>
        <w:jc w:val="left"/>
        <w:rPr>
          <w:rFonts w:ascii="Times New Roman"/>
          <w:sz w:val="22"/>
        </w:rPr>
      </w:pPr>
      <w:r>
        <w:rPr>
          <w:rFonts w:ascii="Times New Roman"/>
          <w:sz w:val="22"/>
        </w:rPr>
        <w:t>Check your results. The sum of the three alkalinity</w:t>
      </w:r>
      <w:r>
        <w:rPr>
          <w:rFonts w:ascii="Times New Roman"/>
          <w:spacing w:val="-31"/>
          <w:sz w:val="22"/>
        </w:rPr>
        <w:t> </w:t>
      </w:r>
      <w:r>
        <w:rPr>
          <w:rFonts w:ascii="Times New Roman"/>
          <w:sz w:val="22"/>
        </w:rPr>
        <w:t>types will equal the total</w:t>
      </w:r>
      <w:r>
        <w:rPr>
          <w:rFonts w:ascii="Times New Roman"/>
          <w:spacing w:val="-20"/>
          <w:sz w:val="22"/>
        </w:rPr>
        <w:t> </w:t>
      </w:r>
      <w:r>
        <w:rPr>
          <w:rFonts w:ascii="Times New Roman"/>
          <w:sz w:val="22"/>
        </w:rPr>
        <w:t>alkalinity.</w:t>
      </w:r>
    </w:p>
    <w:p>
      <w:pPr>
        <w:pStyle w:val="BodyText"/>
        <w:spacing w:before="3"/>
        <w:rPr>
          <w:rFonts w:ascii="Times New Roman"/>
          <w:sz w:val="17"/>
        </w:rPr>
      </w:pPr>
    </w:p>
    <w:p>
      <w:pPr>
        <w:pStyle w:val="Heading5"/>
        <w:spacing w:before="1"/>
        <w:ind w:left="2639"/>
        <w:rPr>
          <w:rFonts w:ascii="Times New Roman"/>
        </w:rPr>
      </w:pPr>
      <w:r>
        <w:rPr>
          <w:rFonts w:ascii="Times New Roman"/>
        </w:rPr>
        <w:t>For example:</w:t>
      </w:r>
    </w:p>
    <w:p>
      <w:pPr>
        <w:pStyle w:val="BodyText"/>
        <w:spacing w:line="204" w:lineRule="auto" w:before="38"/>
        <w:ind w:left="2640" w:right="166" w:hanging="1"/>
        <w:jc w:val="both"/>
        <w:rPr>
          <w:rFonts w:ascii="Times New Roman"/>
        </w:rPr>
      </w:pPr>
      <w:r>
        <w:rPr>
          <w:rFonts w:ascii="Times New Roman"/>
        </w:rPr>
        <w:t>A</w:t>
      </w:r>
      <w:r>
        <w:rPr>
          <w:rFonts w:ascii="Times New Roman"/>
          <w:spacing w:val="-8"/>
        </w:rPr>
        <w:t> </w:t>
      </w:r>
      <w:r>
        <w:rPr>
          <w:rFonts w:ascii="Times New Roman"/>
        </w:rPr>
        <w:t>sample</w:t>
      </w:r>
      <w:r>
        <w:rPr>
          <w:rFonts w:ascii="Times New Roman"/>
          <w:spacing w:val="-8"/>
        </w:rPr>
        <w:t> </w:t>
      </w:r>
      <w:r>
        <w:rPr>
          <w:rFonts w:ascii="Times New Roman"/>
        </w:rPr>
        <w:t>has</w:t>
      </w:r>
      <w:r>
        <w:rPr>
          <w:rFonts w:ascii="Times New Roman"/>
          <w:spacing w:val="-8"/>
        </w:rPr>
        <w:t> </w:t>
      </w:r>
      <w:r>
        <w:rPr>
          <w:rFonts w:ascii="Times New Roman"/>
        </w:rPr>
        <w:t>170</w:t>
      </w:r>
      <w:r>
        <w:rPr>
          <w:rFonts w:ascii="Times New Roman"/>
          <w:spacing w:val="-8"/>
        </w:rPr>
        <w:t> </w:t>
      </w:r>
      <w:r>
        <w:rPr>
          <w:rFonts w:ascii="Times New Roman"/>
        </w:rPr>
        <w:t>mg/L</w:t>
      </w:r>
      <w:r>
        <w:rPr>
          <w:rFonts w:ascii="Times New Roman"/>
          <w:spacing w:val="-8"/>
        </w:rPr>
        <w:t> </w:t>
      </w:r>
      <w:r>
        <w:rPr>
          <w:rFonts w:ascii="Times New Roman"/>
        </w:rPr>
        <w:t>as</w:t>
      </w:r>
      <w:r>
        <w:rPr>
          <w:rFonts w:ascii="Times New Roman"/>
          <w:spacing w:val="-9"/>
        </w:rPr>
        <w:t> </w:t>
      </w:r>
      <w:r>
        <w:rPr>
          <w:rFonts w:ascii="Times New Roman"/>
        </w:rPr>
        <w:t>CaCO</w:t>
      </w:r>
      <w:r>
        <w:rPr>
          <w:rFonts w:ascii="Times New Roman"/>
          <w:position w:val="-4"/>
          <w:sz w:val="17"/>
        </w:rPr>
        <w:t>3</w:t>
      </w:r>
      <w:r>
        <w:rPr>
          <w:rFonts w:ascii="Times New Roman"/>
          <w:spacing w:val="5"/>
          <w:position w:val="-4"/>
          <w:sz w:val="17"/>
        </w:rPr>
        <w:t> </w:t>
      </w:r>
      <w:r>
        <w:rPr>
          <w:rFonts w:ascii="Times New Roman"/>
        </w:rPr>
        <w:t>phenolphthalein</w:t>
      </w:r>
      <w:r>
        <w:rPr>
          <w:rFonts w:ascii="Times New Roman"/>
          <w:spacing w:val="-8"/>
        </w:rPr>
        <w:t> </w:t>
      </w:r>
      <w:r>
        <w:rPr>
          <w:rFonts w:ascii="Times New Roman"/>
        </w:rPr>
        <w:t>alkalinity</w:t>
      </w:r>
      <w:r>
        <w:rPr>
          <w:rFonts w:ascii="Times New Roman"/>
          <w:spacing w:val="-8"/>
        </w:rPr>
        <w:t> </w:t>
      </w:r>
      <w:r>
        <w:rPr>
          <w:rFonts w:ascii="Times New Roman"/>
        </w:rPr>
        <w:t>and 250 mg/L as CaCO</w:t>
      </w:r>
      <w:r>
        <w:rPr>
          <w:rFonts w:ascii="Times New Roman"/>
          <w:position w:val="-5"/>
          <w:sz w:val="17"/>
        </w:rPr>
        <w:t>3 </w:t>
      </w:r>
      <w:r>
        <w:rPr>
          <w:rFonts w:ascii="Times New Roman"/>
        </w:rPr>
        <w:t>total </w:t>
      </w:r>
      <w:r>
        <w:rPr>
          <w:rFonts w:ascii="Times New Roman"/>
          <w:spacing w:val="-3"/>
        </w:rPr>
        <w:t>alkalinity. </w:t>
      </w:r>
      <w:r>
        <w:rPr>
          <w:rFonts w:ascii="Times New Roman"/>
        </w:rPr>
        <w:t>What is the concentration of hydroxide, carbonate and bicarbonate</w:t>
      </w:r>
      <w:r>
        <w:rPr>
          <w:rFonts w:ascii="Times New Roman"/>
          <w:spacing w:val="-33"/>
        </w:rPr>
        <w:t> </w:t>
      </w:r>
      <w:r>
        <w:rPr>
          <w:rFonts w:ascii="Times New Roman"/>
        </w:rPr>
        <w:t>alkalinities?</w:t>
      </w:r>
    </w:p>
    <w:p>
      <w:pPr>
        <w:pStyle w:val="BodyText"/>
        <w:spacing w:before="6"/>
        <w:rPr>
          <w:rFonts w:ascii="Times New Roman"/>
          <w:sz w:val="18"/>
        </w:rPr>
      </w:pPr>
    </w:p>
    <w:p>
      <w:pPr>
        <w:pStyle w:val="BodyText"/>
        <w:spacing w:line="247" w:lineRule="auto" w:before="1"/>
        <w:ind w:left="2640" w:right="138"/>
        <w:rPr>
          <w:rFonts w:ascii="Times New Roman"/>
        </w:rPr>
      </w:pPr>
      <w:r>
        <w:rPr>
          <w:rFonts w:ascii="Times New Roman"/>
        </w:rPr>
        <w:t>The phenolphthalein alkalinity does not equal 0 (it is 170 mg/L), see </w:t>
      </w:r>
      <w:r>
        <w:rPr>
          <w:rFonts w:ascii="Times New Roman"/>
          <w:i/>
        </w:rPr>
        <w:t>step a</w:t>
      </w:r>
      <w:r>
        <w:rPr>
          <w:rFonts w:ascii="Times New Roman"/>
        </w:rPr>
        <w:t>.</w:t>
      </w:r>
    </w:p>
    <w:p>
      <w:pPr>
        <w:pStyle w:val="BodyText"/>
        <w:spacing w:before="3"/>
        <w:rPr>
          <w:rFonts w:ascii="Times New Roman"/>
          <w:sz w:val="17"/>
        </w:rPr>
      </w:pPr>
    </w:p>
    <w:p>
      <w:pPr>
        <w:pStyle w:val="BodyText"/>
        <w:spacing w:line="247" w:lineRule="auto" w:before="1"/>
        <w:ind w:left="2640" w:right="138"/>
        <w:rPr>
          <w:rFonts w:ascii="Times New Roman"/>
        </w:rPr>
      </w:pPr>
      <w:r>
        <w:rPr>
          <w:rFonts w:ascii="Times New Roman"/>
        </w:rPr>
        <w:t>The phenolphthalein alkalinity does not equal total alkalinity (170 mg/L vs. 250 mg/L), see </w:t>
      </w:r>
      <w:r>
        <w:rPr>
          <w:rFonts w:ascii="Times New Roman"/>
          <w:i/>
        </w:rPr>
        <w:t>step b</w:t>
      </w:r>
      <w:r>
        <w:rPr>
          <w:rFonts w:ascii="Times New Roman"/>
        </w:rPr>
        <w:t>.</w:t>
      </w:r>
    </w:p>
    <w:p>
      <w:pPr>
        <w:pStyle w:val="BodyText"/>
        <w:spacing w:before="3"/>
        <w:rPr>
          <w:rFonts w:ascii="Times New Roman"/>
          <w:sz w:val="17"/>
        </w:rPr>
      </w:pPr>
    </w:p>
    <w:p>
      <w:pPr>
        <w:pStyle w:val="BodyText"/>
        <w:spacing w:before="1"/>
        <w:ind w:left="2640"/>
        <w:jc w:val="both"/>
        <w:rPr>
          <w:rFonts w:ascii="Times New Roman"/>
        </w:rPr>
      </w:pPr>
      <w:r>
        <w:rPr>
          <w:rFonts w:ascii="Times New Roman"/>
        </w:rPr>
        <w:t>The phenolphthalein alkalinity multiplied by 2 = 340 mg/L, see</w:t>
      </w:r>
    </w:p>
    <w:p>
      <w:pPr>
        <w:spacing w:before="7"/>
        <w:ind w:left="2640" w:right="0" w:firstLine="0"/>
        <w:jc w:val="both"/>
        <w:rPr>
          <w:rFonts w:ascii="Times New Roman"/>
          <w:sz w:val="22"/>
        </w:rPr>
      </w:pPr>
      <w:r>
        <w:rPr>
          <w:rFonts w:ascii="Times New Roman"/>
          <w:i/>
          <w:sz w:val="22"/>
        </w:rPr>
        <w:t>step c</w:t>
      </w:r>
      <w:r>
        <w:rPr>
          <w:rFonts w:ascii="Times New Roman"/>
          <w:sz w:val="22"/>
        </w:rPr>
        <w:t>.</w:t>
      </w:r>
    </w:p>
    <w:p>
      <w:pPr>
        <w:pStyle w:val="BodyText"/>
        <w:rPr>
          <w:rFonts w:ascii="Times New Roman"/>
          <w:sz w:val="18"/>
        </w:rPr>
      </w:pPr>
    </w:p>
    <w:p>
      <w:pPr>
        <w:pStyle w:val="BodyText"/>
        <w:ind w:left="2640"/>
        <w:jc w:val="both"/>
        <w:rPr>
          <w:rFonts w:ascii="Times New Roman"/>
        </w:rPr>
      </w:pPr>
      <w:r>
        <w:rPr>
          <w:rFonts w:ascii="Times New Roman"/>
        </w:rPr>
        <w:t>Because 340 mg/L is greater than 250 mg/L, select Row 5, see</w:t>
      </w:r>
    </w:p>
    <w:p>
      <w:pPr>
        <w:spacing w:before="6"/>
        <w:ind w:left="2640" w:right="0" w:firstLine="0"/>
        <w:jc w:val="both"/>
        <w:rPr>
          <w:rFonts w:ascii="Times New Roman"/>
          <w:sz w:val="22"/>
        </w:rPr>
      </w:pPr>
      <w:r>
        <w:rPr>
          <w:rFonts w:ascii="Times New Roman"/>
          <w:i/>
          <w:sz w:val="22"/>
        </w:rPr>
        <w:t>step d</w:t>
      </w:r>
      <w:r>
        <w:rPr>
          <w:rFonts w:ascii="Times New Roman"/>
          <w:sz w:val="22"/>
        </w:rPr>
        <w:t>.</w:t>
      </w:r>
    </w:p>
    <w:p>
      <w:pPr>
        <w:pStyle w:val="BodyText"/>
        <w:rPr>
          <w:rFonts w:ascii="Times New Roman"/>
          <w:sz w:val="18"/>
        </w:rPr>
      </w:pPr>
    </w:p>
    <w:p>
      <w:pPr>
        <w:pStyle w:val="BodyText"/>
        <w:ind w:left="2640"/>
        <w:jc w:val="both"/>
        <w:rPr>
          <w:rFonts w:ascii="Times New Roman"/>
        </w:rPr>
      </w:pPr>
      <w:r>
        <w:rPr>
          <w:rFonts w:ascii="Times New Roman"/>
        </w:rPr>
        <w:t>The hydroxide alkalinity is equal to: (see </w:t>
      </w:r>
      <w:r>
        <w:rPr>
          <w:rFonts w:ascii="Times New Roman"/>
          <w:i/>
        </w:rPr>
        <w:t>step e</w:t>
      </w:r>
      <w:r>
        <w:rPr>
          <w:rFonts w:ascii="Times New Roman"/>
        </w:rPr>
        <w:t>).</w:t>
      </w:r>
    </w:p>
    <w:p>
      <w:pPr>
        <w:pStyle w:val="BodyText"/>
        <w:spacing w:before="9"/>
        <w:rPr>
          <w:rFonts w:ascii="Times New Roman"/>
          <w:sz w:val="18"/>
        </w:rPr>
      </w:pPr>
    </w:p>
    <w:p>
      <w:pPr>
        <w:spacing w:before="0"/>
        <w:ind w:left="3000" w:right="138" w:firstLine="0"/>
        <w:jc w:val="left"/>
        <w:rPr>
          <w:sz w:val="18"/>
        </w:rPr>
      </w:pPr>
      <w:r>
        <w:rPr>
          <w:sz w:val="18"/>
        </w:rPr>
        <w:t>340 – 250 = 90 mg/L hydroxide alkalinity</w:t>
      </w:r>
    </w:p>
    <w:p>
      <w:pPr>
        <w:pStyle w:val="BodyText"/>
        <w:spacing w:before="9"/>
        <w:rPr>
          <w:sz w:val="15"/>
        </w:rPr>
      </w:pPr>
    </w:p>
    <w:p>
      <w:pPr>
        <w:pStyle w:val="BodyText"/>
        <w:spacing w:before="1"/>
        <w:ind w:left="2640"/>
        <w:jc w:val="both"/>
        <w:rPr>
          <w:rFonts w:ascii="Times New Roman"/>
        </w:rPr>
      </w:pPr>
      <w:r>
        <w:rPr>
          <w:rFonts w:ascii="Times New Roman"/>
        </w:rPr>
        <w:t>The carbonate alkalinity is equal to:</w:t>
      </w:r>
    </w:p>
    <w:p>
      <w:pPr>
        <w:pStyle w:val="BodyText"/>
        <w:spacing w:before="9"/>
        <w:rPr>
          <w:rFonts w:ascii="Times New Roman"/>
          <w:sz w:val="18"/>
        </w:rPr>
      </w:pPr>
    </w:p>
    <w:p>
      <w:pPr>
        <w:spacing w:before="0"/>
        <w:ind w:left="1170" w:right="2484" w:firstLine="0"/>
        <w:jc w:val="center"/>
        <w:rPr>
          <w:sz w:val="18"/>
        </w:rPr>
      </w:pPr>
      <w:r>
        <w:rPr>
          <w:sz w:val="18"/>
        </w:rPr>
        <w:t>250 – 170 = 80</w:t>
      </w:r>
    </w:p>
    <w:p>
      <w:pPr>
        <w:spacing w:line="444" w:lineRule="auto" w:before="14"/>
        <w:ind w:left="2640" w:right="2182" w:firstLine="360"/>
        <w:jc w:val="left"/>
        <w:rPr>
          <w:rFonts w:ascii="Times New Roman"/>
          <w:sz w:val="22"/>
        </w:rPr>
      </w:pPr>
      <w:r>
        <w:rPr>
          <w:sz w:val="18"/>
        </w:rPr>
        <w:t>80 x 2 = 160 mg/L carbonate alkalinity </w:t>
      </w:r>
      <w:r>
        <w:rPr>
          <w:rFonts w:ascii="Times New Roman"/>
          <w:sz w:val="22"/>
        </w:rPr>
        <w:t>The bicarbonate alkalinity equals 0 mg/L. Check: (see </w:t>
      </w:r>
      <w:r>
        <w:rPr>
          <w:rFonts w:ascii="Times New Roman"/>
          <w:i/>
          <w:sz w:val="22"/>
        </w:rPr>
        <w:t>step f</w:t>
      </w:r>
      <w:r>
        <w:rPr>
          <w:rFonts w:ascii="Times New Roman"/>
          <w:sz w:val="22"/>
        </w:rPr>
        <w:t>).</w:t>
      </w:r>
    </w:p>
    <w:p>
      <w:pPr>
        <w:spacing w:line="254" w:lineRule="auto" w:before="9"/>
        <w:ind w:left="3000" w:right="517" w:firstLine="0"/>
        <w:jc w:val="left"/>
        <w:rPr>
          <w:sz w:val="18"/>
        </w:rPr>
      </w:pPr>
      <w:r>
        <w:rPr>
          <w:sz w:val="18"/>
        </w:rPr>
        <w:t>90 mg/L hydroxide alkalinity + 160 mg/L carbonate alkalinity + 0 mg/L bicarbonate alkalinity = 250 mg/L</w:t>
      </w:r>
    </w:p>
    <w:p>
      <w:pPr>
        <w:pStyle w:val="BodyText"/>
        <w:spacing w:before="10"/>
        <w:rPr>
          <w:sz w:val="14"/>
        </w:rPr>
      </w:pPr>
    </w:p>
    <w:p>
      <w:pPr>
        <w:pStyle w:val="BodyText"/>
        <w:spacing w:line="244" w:lineRule="auto"/>
        <w:ind w:left="2640" w:right="68"/>
        <w:rPr>
          <w:rFonts w:ascii="Times New Roman"/>
        </w:rPr>
      </w:pPr>
      <w:r>
        <w:rPr>
          <w:rFonts w:ascii="Times New Roman"/>
        </w:rPr>
        <w:t>The above answer is correct; the sum of each type equals the total alkalinity.</w:t>
      </w:r>
    </w:p>
    <w:p>
      <w:pPr>
        <w:pStyle w:val="BodyText"/>
        <w:spacing w:before="1"/>
        <w:rPr>
          <w:rFonts w:ascii="Times New Roman"/>
          <w:sz w:val="23"/>
        </w:rPr>
      </w:pPr>
    </w:p>
    <w:p>
      <w:pPr>
        <w:pStyle w:val="Heading5"/>
        <w:spacing w:before="73"/>
        <w:ind w:left="2484" w:right="2484"/>
        <w:jc w:val="center"/>
        <w:rPr>
          <w:rFonts w:ascii="Times New Roman"/>
        </w:rPr>
      </w:pPr>
      <w:r>
        <w:rPr>
          <w:rFonts w:ascii="Times New Roman"/>
        </w:rPr>
        <w:t>45</w:t>
      </w:r>
    </w:p>
    <w:p>
      <w:pPr>
        <w:spacing w:after="0"/>
        <w:jc w:val="center"/>
        <w:rPr>
          <w:rFonts w:ascii="Times New Roman"/>
        </w:rPr>
        <w:sectPr>
          <w:headerReference w:type="default" r:id="rId349"/>
          <w:footerReference w:type="default" r:id="rId350"/>
          <w:pgSz w:w="10080" w:h="12960"/>
          <w:pgMar w:header="0" w:footer="0" w:top="600" w:bottom="0" w:left="960" w:right="600"/>
        </w:sectPr>
      </w:pPr>
    </w:p>
    <w:p>
      <w:pPr>
        <w:spacing w:before="44"/>
        <w:ind w:left="120" w:right="138" w:firstLine="0"/>
        <w:jc w:val="left"/>
        <w:rPr>
          <w:rFonts w:ascii="Times New Roman"/>
          <w:b/>
          <w:sz w:val="24"/>
        </w:rPr>
      </w:pPr>
      <w:r>
        <w:rPr/>
        <w:pict>
          <v:group style="position:absolute;margin-left:35.474998pt;margin-top:21.975325pt;width:415.05pt;height:1.05pt;mso-position-horizontal-relative:page;mso-position-vertical-relative:paragraph;z-index:16024;mso-wrap-distance-left:0;mso-wrap-distance-right:0" coordorigin="709,440" coordsize="8301,21">
            <v:line style="position:absolute" from="720,450" to="720,450" stroked="true" strokeweight="1.02pt" strokecolor="#000000"/>
            <v:line style="position:absolute" from="9000,450" to="9000,450" stroked="true" strokeweight="1.02pt" strokecolor="#000000"/>
            <v:line style="position:absolute" from="720,450" to="9000,450" stroked="true" strokeweight="1.02pt" strokecolor="#000000"/>
            <w10:wrap type="topAndBottom"/>
          </v:group>
        </w:pict>
      </w:r>
      <w:r>
        <w:rPr>
          <w:rFonts w:ascii="Times New Roman"/>
          <w:b/>
          <w:sz w:val="28"/>
        </w:rPr>
        <w:t>ALKALINITY, </w:t>
      </w:r>
      <w:r>
        <w:rPr>
          <w:rFonts w:ascii="Times New Roman"/>
          <w:b/>
          <w:sz w:val="24"/>
        </w:rPr>
        <w:t>continued</w:t>
      </w:r>
    </w:p>
    <w:p>
      <w:pPr>
        <w:pStyle w:val="Heading3"/>
        <w:spacing w:before="178"/>
        <w:ind w:left="120" w:right="138"/>
        <w:rPr>
          <w:rFonts w:ascii="Times New Roman"/>
        </w:rPr>
      </w:pPr>
      <w:r>
        <w:rPr>
          <w:rFonts w:ascii="Times New Roman"/>
        </w:rPr>
        <w:t>Accuracy Check</w:t>
      </w:r>
    </w:p>
    <w:p>
      <w:pPr>
        <w:pStyle w:val="Heading5"/>
        <w:spacing w:before="214"/>
        <w:ind w:left="2640" w:right="138"/>
        <w:jc w:val="left"/>
        <w:rPr>
          <w:rFonts w:ascii="Times New Roman"/>
        </w:rPr>
      </w:pPr>
      <w:r>
        <w:rPr>
          <w:rFonts w:ascii="Times New Roman"/>
        </w:rPr>
        <w:t>Standard Additions Method</w:t>
      </w:r>
    </w:p>
    <w:p>
      <w:pPr>
        <w:pStyle w:val="BodyText"/>
        <w:spacing w:line="247" w:lineRule="auto" w:before="7"/>
        <w:ind w:left="2640" w:right="68"/>
        <w:rPr>
          <w:rFonts w:ascii="Times New Roman"/>
        </w:rPr>
      </w:pPr>
      <w:r>
        <w:rPr>
          <w:rFonts w:ascii="Times New Roman"/>
        </w:rPr>
        <w:t>This accuracy check should be performed when interferences are suspected or to verify analytical technique.</w:t>
      </w:r>
    </w:p>
    <w:p>
      <w:pPr>
        <w:pStyle w:val="ListParagraph"/>
        <w:numPr>
          <w:ilvl w:val="0"/>
          <w:numId w:val="31"/>
        </w:numPr>
        <w:tabs>
          <w:tab w:pos="3000" w:val="left" w:leader="none"/>
        </w:tabs>
        <w:spacing w:line="247" w:lineRule="auto" w:before="186" w:after="0"/>
        <w:ind w:left="3000" w:right="218" w:hanging="360"/>
        <w:jc w:val="left"/>
        <w:rPr>
          <w:rFonts w:ascii="Times New Roman" w:hAnsi="Times New Roman"/>
          <w:sz w:val="22"/>
        </w:rPr>
      </w:pPr>
      <w:r>
        <w:rPr>
          <w:rFonts w:ascii="Times New Roman" w:hAnsi="Times New Roman"/>
          <w:sz w:val="22"/>
        </w:rPr>
        <w:t>Snap the neck off an Alkalinity Standard Solution </w:t>
      </w:r>
      <w:r>
        <w:rPr>
          <w:rFonts w:ascii="Times New Roman" w:hAnsi="Times New Roman"/>
          <w:spacing w:val="-4"/>
          <w:sz w:val="22"/>
        </w:rPr>
        <w:t>Voluette</w:t>
      </w:r>
      <w:r>
        <w:rPr>
          <w:rFonts w:ascii="Times New Roman" w:hAnsi="Times New Roman"/>
          <w:spacing w:val="-4"/>
          <w:position w:val="6"/>
          <w:sz w:val="17"/>
        </w:rPr>
        <w:t>® </w:t>
      </w:r>
      <w:r>
        <w:rPr>
          <w:rFonts w:ascii="Times New Roman" w:hAnsi="Times New Roman"/>
          <w:sz w:val="22"/>
        </w:rPr>
        <w:t>Ampule, 0.500</w:t>
      </w:r>
      <w:r>
        <w:rPr>
          <w:rFonts w:ascii="Times New Roman" w:hAnsi="Times New Roman"/>
          <w:spacing w:val="-13"/>
          <w:sz w:val="22"/>
        </w:rPr>
        <w:t> </w:t>
      </w:r>
      <w:r>
        <w:rPr>
          <w:rFonts w:ascii="Times New Roman" w:hAnsi="Times New Roman"/>
          <w:sz w:val="22"/>
        </w:rPr>
        <w:t>N.</w:t>
      </w:r>
    </w:p>
    <w:p>
      <w:pPr>
        <w:pStyle w:val="ListParagraph"/>
        <w:numPr>
          <w:ilvl w:val="0"/>
          <w:numId w:val="31"/>
        </w:numPr>
        <w:tabs>
          <w:tab w:pos="3000" w:val="left" w:leader="none"/>
        </w:tabs>
        <w:spacing w:line="247" w:lineRule="auto" w:before="186" w:after="0"/>
        <w:ind w:left="2999" w:right="308" w:hanging="359"/>
        <w:jc w:val="left"/>
        <w:rPr>
          <w:rFonts w:ascii="Times New Roman" w:hAnsi="Times New Roman"/>
          <w:sz w:val="22"/>
        </w:rPr>
      </w:pPr>
      <w:r>
        <w:rPr>
          <w:rFonts w:ascii="Times New Roman" w:hAnsi="Times New Roman"/>
          <w:sz w:val="22"/>
        </w:rPr>
        <w:t>Use a </w:t>
      </w:r>
      <w:r>
        <w:rPr>
          <w:rFonts w:ascii="Times New Roman" w:hAnsi="Times New Roman"/>
          <w:spacing w:val="-2"/>
          <w:sz w:val="22"/>
        </w:rPr>
        <w:t>TenSette</w:t>
      </w:r>
      <w:r>
        <w:rPr>
          <w:rFonts w:ascii="Times New Roman" w:hAnsi="Times New Roman"/>
          <w:spacing w:val="-2"/>
          <w:position w:val="6"/>
          <w:sz w:val="17"/>
        </w:rPr>
        <w:t>® </w:t>
      </w:r>
      <w:r>
        <w:rPr>
          <w:rFonts w:ascii="Times New Roman" w:hAnsi="Times New Roman"/>
          <w:sz w:val="22"/>
        </w:rPr>
        <w:t>Pipet to add 0.1 mL of standard to the sample titrated in Steps 6 or 9. Resume titration back to</w:t>
      </w:r>
      <w:r>
        <w:rPr>
          <w:rFonts w:ascii="Times New Roman" w:hAnsi="Times New Roman"/>
          <w:spacing w:val="-33"/>
          <w:sz w:val="22"/>
        </w:rPr>
        <w:t> </w:t>
      </w:r>
      <w:r>
        <w:rPr>
          <w:rFonts w:ascii="Times New Roman" w:hAnsi="Times New Roman"/>
          <w:sz w:val="22"/>
        </w:rPr>
        <w:t>the same end point. Record the number of digits</w:t>
      </w:r>
      <w:r>
        <w:rPr>
          <w:rFonts w:ascii="Times New Roman" w:hAnsi="Times New Roman"/>
          <w:spacing w:val="-21"/>
          <w:sz w:val="22"/>
        </w:rPr>
        <w:t> </w:t>
      </w:r>
      <w:r>
        <w:rPr>
          <w:rFonts w:ascii="Times New Roman" w:hAnsi="Times New Roman"/>
          <w:sz w:val="22"/>
        </w:rPr>
        <w:t>needed.</w:t>
      </w:r>
    </w:p>
    <w:p>
      <w:pPr>
        <w:pStyle w:val="BodyText"/>
        <w:spacing w:before="4"/>
        <w:rPr>
          <w:rFonts w:ascii="Times New Roman"/>
          <w:sz w:val="17"/>
        </w:rPr>
      </w:pPr>
    </w:p>
    <w:p>
      <w:pPr>
        <w:pStyle w:val="ListParagraph"/>
        <w:numPr>
          <w:ilvl w:val="0"/>
          <w:numId w:val="31"/>
        </w:numPr>
        <w:tabs>
          <w:tab w:pos="3000" w:val="left" w:leader="none"/>
        </w:tabs>
        <w:spacing w:line="244" w:lineRule="auto" w:before="1" w:after="0"/>
        <w:ind w:left="2999" w:right="406" w:hanging="360"/>
        <w:jc w:val="left"/>
        <w:rPr>
          <w:rFonts w:ascii="Times New Roman"/>
          <w:sz w:val="22"/>
        </w:rPr>
      </w:pPr>
      <w:r>
        <w:rPr>
          <w:rFonts w:ascii="Times New Roman"/>
          <w:sz w:val="22"/>
        </w:rPr>
        <w:t>Repeat, using two more additions of 0.1 mL. Titrate to</w:t>
      </w:r>
      <w:r>
        <w:rPr>
          <w:rFonts w:ascii="Times New Roman"/>
          <w:spacing w:val="-31"/>
          <w:sz w:val="22"/>
        </w:rPr>
        <w:t> </w:t>
      </w:r>
      <w:r>
        <w:rPr>
          <w:rFonts w:ascii="Times New Roman"/>
          <w:sz w:val="22"/>
        </w:rPr>
        <w:t>the end point after each</w:t>
      </w:r>
      <w:r>
        <w:rPr>
          <w:rFonts w:ascii="Times New Roman"/>
          <w:spacing w:val="-6"/>
          <w:sz w:val="22"/>
        </w:rPr>
        <w:t> </w:t>
      </w:r>
      <w:r>
        <w:rPr>
          <w:rFonts w:ascii="Times New Roman"/>
          <w:sz w:val="22"/>
        </w:rPr>
        <w:t>addition.</w:t>
      </w:r>
    </w:p>
    <w:p>
      <w:pPr>
        <w:pStyle w:val="BodyText"/>
        <w:spacing w:before="7"/>
        <w:rPr>
          <w:rFonts w:ascii="Times New Roman"/>
          <w:sz w:val="17"/>
        </w:rPr>
      </w:pPr>
    </w:p>
    <w:p>
      <w:pPr>
        <w:pStyle w:val="ListParagraph"/>
        <w:numPr>
          <w:ilvl w:val="0"/>
          <w:numId w:val="31"/>
        </w:numPr>
        <w:tabs>
          <w:tab w:pos="3000" w:val="left" w:leader="none"/>
        </w:tabs>
        <w:spacing w:line="247" w:lineRule="auto" w:before="0" w:after="0"/>
        <w:ind w:left="2999" w:right="237" w:hanging="360"/>
        <w:jc w:val="left"/>
        <w:rPr>
          <w:rFonts w:ascii="Times New Roman"/>
          <w:sz w:val="22"/>
        </w:rPr>
      </w:pPr>
      <w:r>
        <w:rPr>
          <w:rFonts w:ascii="Times New Roman"/>
          <w:sz w:val="22"/>
        </w:rPr>
        <w:t>Each 0.1 mL addition of standard should require 25 additional digits of 1.600 N titrant or 250 digits of 0.1600</w:t>
      </w:r>
      <w:r>
        <w:rPr>
          <w:rFonts w:ascii="Times New Roman"/>
          <w:spacing w:val="-11"/>
          <w:sz w:val="22"/>
        </w:rPr>
        <w:t> </w:t>
      </w:r>
      <w:r>
        <w:rPr>
          <w:rFonts w:ascii="Times New Roman"/>
          <w:sz w:val="22"/>
        </w:rPr>
        <w:t>N titrant. If these uniform increases do not occur, refer to </w:t>
      </w:r>
      <w:r>
        <w:rPr>
          <w:rFonts w:ascii="Times New Roman"/>
          <w:i/>
          <w:sz w:val="22"/>
        </w:rPr>
        <w:t>Appendix A, Accuracy Check and Standard</w:t>
      </w:r>
      <w:r>
        <w:rPr>
          <w:rFonts w:ascii="Times New Roman"/>
          <w:i/>
          <w:spacing w:val="-28"/>
          <w:sz w:val="22"/>
        </w:rPr>
        <w:t> </w:t>
      </w:r>
      <w:r>
        <w:rPr>
          <w:rFonts w:ascii="Times New Roman"/>
          <w:i/>
          <w:sz w:val="22"/>
        </w:rPr>
        <w:t>Additions</w:t>
      </w:r>
      <w:r>
        <w:rPr>
          <w:rFonts w:ascii="Times New Roman"/>
          <w:sz w:val="22"/>
        </w:rPr>
        <w:t>.</w:t>
      </w:r>
    </w:p>
    <w:p>
      <w:pPr>
        <w:pStyle w:val="BodyText"/>
        <w:spacing w:before="2"/>
        <w:rPr>
          <w:rFonts w:ascii="Times New Roman"/>
          <w:sz w:val="17"/>
        </w:rPr>
      </w:pPr>
    </w:p>
    <w:p>
      <w:pPr>
        <w:spacing w:after="0"/>
        <w:rPr>
          <w:rFonts w:ascii="Times New Roman"/>
          <w:sz w:val="17"/>
        </w:rPr>
        <w:sectPr>
          <w:headerReference w:type="default" r:id="rId351"/>
          <w:footerReference w:type="default" r:id="rId352"/>
          <w:pgSz w:w="10080" w:h="12960"/>
          <w:pgMar w:header="0" w:footer="0" w:top="600" w:bottom="0" w:left="600" w:right="960"/>
        </w:sectPr>
      </w:pPr>
    </w:p>
    <w:p>
      <w:pPr>
        <w:pStyle w:val="Heading3"/>
        <w:spacing w:before="66"/>
        <w:ind w:left="120" w:right="-13"/>
        <w:rPr>
          <w:rFonts w:ascii="Times New Roman"/>
        </w:rPr>
      </w:pPr>
      <w:r>
        <w:rPr>
          <w:rFonts w:ascii="Times New Roman"/>
          <w:spacing w:val="-1"/>
        </w:rPr>
        <w:t>Interferences</w:t>
      </w:r>
    </w:p>
    <w:p>
      <w:pPr>
        <w:pStyle w:val="BodyText"/>
        <w:rPr>
          <w:rFonts w:ascii="Times New Roman"/>
          <w:b/>
        </w:rPr>
      </w:pPr>
      <w:r>
        <w:rPr/>
        <w:br w:type="column"/>
      </w:r>
      <w:r>
        <w:rPr>
          <w:rFonts w:ascii="Times New Roman"/>
          <w:b/>
        </w:rPr>
      </w:r>
    </w:p>
    <w:p>
      <w:pPr>
        <w:pStyle w:val="BodyText"/>
        <w:spacing w:before="1"/>
        <w:rPr>
          <w:rFonts w:ascii="Times New Roman"/>
          <w:b/>
          <w:sz w:val="27"/>
        </w:rPr>
      </w:pPr>
    </w:p>
    <w:p>
      <w:pPr>
        <w:pStyle w:val="ListParagraph"/>
        <w:numPr>
          <w:ilvl w:val="0"/>
          <w:numId w:val="32"/>
        </w:numPr>
        <w:tabs>
          <w:tab w:pos="479" w:val="left" w:leader="none"/>
          <w:tab w:pos="480" w:val="left" w:leader="none"/>
        </w:tabs>
        <w:spacing w:line="240" w:lineRule="auto" w:before="0" w:after="0"/>
        <w:ind w:left="480" w:right="169" w:hanging="360"/>
        <w:jc w:val="left"/>
        <w:rPr>
          <w:rFonts w:ascii="Times New Roman"/>
          <w:sz w:val="22"/>
        </w:rPr>
      </w:pPr>
      <w:r>
        <w:rPr>
          <w:rFonts w:ascii="Times New Roman"/>
          <w:sz w:val="22"/>
        </w:rPr>
        <w:t>Highly colored or turbid samples may mask the color</w:t>
      </w:r>
      <w:r>
        <w:rPr>
          <w:rFonts w:ascii="Times New Roman"/>
          <w:spacing w:val="-33"/>
          <w:sz w:val="22"/>
        </w:rPr>
        <w:t> </w:t>
      </w:r>
      <w:r>
        <w:rPr>
          <w:rFonts w:ascii="Times New Roman"/>
          <w:sz w:val="22"/>
        </w:rPr>
        <w:t>change at the end point. Use a pH meter for these</w:t>
      </w:r>
      <w:r>
        <w:rPr>
          <w:rFonts w:ascii="Times New Roman"/>
          <w:spacing w:val="-14"/>
          <w:sz w:val="22"/>
        </w:rPr>
        <w:t> </w:t>
      </w:r>
      <w:r>
        <w:rPr>
          <w:rFonts w:ascii="Times New Roman"/>
          <w:sz w:val="22"/>
        </w:rPr>
        <w:t>samples.</w:t>
      </w:r>
    </w:p>
    <w:p>
      <w:pPr>
        <w:pStyle w:val="ListParagraph"/>
        <w:numPr>
          <w:ilvl w:val="0"/>
          <w:numId w:val="32"/>
        </w:numPr>
        <w:tabs>
          <w:tab w:pos="479" w:val="left" w:leader="none"/>
          <w:tab w:pos="480" w:val="left" w:leader="none"/>
        </w:tabs>
        <w:spacing w:line="298" w:lineRule="exact" w:before="169" w:after="0"/>
        <w:ind w:left="480" w:right="0" w:hanging="360"/>
        <w:jc w:val="left"/>
        <w:rPr>
          <w:rFonts w:ascii="Times New Roman"/>
          <w:sz w:val="22"/>
        </w:rPr>
      </w:pPr>
      <w:r>
        <w:rPr>
          <w:rFonts w:ascii="Times New Roman"/>
          <w:sz w:val="22"/>
        </w:rPr>
        <w:t>Chlorine may interfere with the indicators. Add one drop</w:t>
      </w:r>
      <w:r>
        <w:rPr>
          <w:rFonts w:ascii="Times New Roman"/>
          <w:spacing w:val="-21"/>
          <w:sz w:val="22"/>
        </w:rPr>
        <w:t> </w:t>
      </w:r>
      <w:r>
        <w:rPr>
          <w:rFonts w:ascii="Times New Roman"/>
          <w:sz w:val="22"/>
        </w:rPr>
        <w:t>of</w:t>
      </w:r>
    </w:p>
    <w:p>
      <w:pPr>
        <w:pStyle w:val="BodyText"/>
        <w:spacing w:line="252" w:lineRule="exact"/>
        <w:ind w:left="480"/>
        <w:rPr>
          <w:rFonts w:ascii="Times New Roman"/>
        </w:rPr>
      </w:pPr>
      <w:r>
        <w:rPr>
          <w:rFonts w:ascii="Times New Roman"/>
        </w:rPr>
        <w:t>0.1 N Sodium Thiosulfate to eliminate this interference.</w:t>
      </w:r>
    </w:p>
    <w:p>
      <w:pPr>
        <w:spacing w:after="0" w:line="252" w:lineRule="exact"/>
        <w:rPr>
          <w:rFonts w:ascii="Times New Roman"/>
        </w:rPr>
        <w:sectPr>
          <w:type w:val="continuous"/>
          <w:pgSz w:w="10080" w:h="12960"/>
          <w:pgMar w:top="0" w:bottom="0" w:left="600" w:right="960"/>
          <w:cols w:num="2" w:equalWidth="0">
            <w:col w:w="1700" w:space="820"/>
            <w:col w:w="6000"/>
          </w:cols>
        </w:sectPr>
      </w:pPr>
    </w:p>
    <w:p>
      <w:pPr>
        <w:pStyle w:val="BodyText"/>
        <w:spacing w:before="9"/>
        <w:rPr>
          <w:rFonts w:ascii="Times New Roman"/>
          <w:sz w:val="17"/>
        </w:rPr>
      </w:pPr>
    </w:p>
    <w:p>
      <w:pPr>
        <w:spacing w:after="0"/>
        <w:rPr>
          <w:rFonts w:ascii="Times New Roman"/>
          <w:sz w:val="17"/>
        </w:rPr>
        <w:sectPr>
          <w:type w:val="continuous"/>
          <w:pgSz w:w="10080" w:h="12960"/>
          <w:pgMar w:top="0" w:bottom="0" w:left="600" w:right="960"/>
        </w:sectPr>
      </w:pPr>
    </w:p>
    <w:p>
      <w:pPr>
        <w:pStyle w:val="Heading3"/>
        <w:spacing w:before="66"/>
        <w:ind w:left="120" w:right="-19"/>
        <w:rPr>
          <w:rFonts w:ascii="Times New Roman"/>
        </w:rPr>
      </w:pPr>
      <w:r>
        <w:rPr>
          <w:rFonts w:ascii="Times New Roman"/>
        </w:rPr>
        <w:t>Summary of</w:t>
      </w:r>
      <w:r>
        <w:rPr>
          <w:rFonts w:ascii="Times New Roman"/>
          <w:spacing w:val="-3"/>
        </w:rPr>
        <w:t> </w:t>
      </w:r>
      <w:r>
        <w:rPr>
          <w:rFonts w:ascii="Times New Roman"/>
        </w:rPr>
        <w:t>Method</w:t>
      </w:r>
    </w:p>
    <w:p>
      <w:pPr>
        <w:pStyle w:val="BodyText"/>
        <w:rPr>
          <w:rFonts w:ascii="Times New Roman"/>
          <w:b/>
        </w:rPr>
      </w:pPr>
      <w:r>
        <w:rPr/>
        <w:br w:type="column"/>
      </w:r>
      <w:r>
        <w:rPr>
          <w:rFonts w:ascii="Times New Roman"/>
          <w:b/>
        </w:rPr>
      </w:r>
    </w:p>
    <w:p>
      <w:pPr>
        <w:pStyle w:val="BodyText"/>
        <w:spacing w:line="247" w:lineRule="auto" w:before="150"/>
        <w:ind w:left="-7" w:right="120"/>
        <w:rPr>
          <w:rFonts w:ascii="Times New Roman"/>
        </w:rPr>
      </w:pPr>
      <w:r>
        <w:rPr>
          <w:rFonts w:ascii="Times New Roman"/>
        </w:rPr>
        <w:t>The sample is titrated with sulfuric acid to a colorimetric end point corresponding to a specific pH. Phenolphthalein alkalinity is</w:t>
      </w:r>
      <w:r>
        <w:rPr>
          <w:rFonts w:ascii="Times New Roman"/>
          <w:spacing w:val="-11"/>
        </w:rPr>
        <w:t> </w:t>
      </w:r>
      <w:r>
        <w:rPr>
          <w:rFonts w:ascii="Times New Roman"/>
        </w:rPr>
        <w:t>determined</w:t>
      </w:r>
      <w:r>
        <w:rPr>
          <w:rFonts w:ascii="Times New Roman"/>
          <w:spacing w:val="-12"/>
        </w:rPr>
        <w:t> </w:t>
      </w:r>
      <w:r>
        <w:rPr>
          <w:rFonts w:ascii="Times New Roman"/>
        </w:rPr>
        <w:t>by</w:t>
      </w:r>
      <w:r>
        <w:rPr>
          <w:rFonts w:ascii="Times New Roman"/>
          <w:spacing w:val="-12"/>
        </w:rPr>
        <w:t> </w:t>
      </w:r>
      <w:r>
        <w:rPr>
          <w:rFonts w:ascii="Times New Roman"/>
        </w:rPr>
        <w:t>titration</w:t>
      </w:r>
      <w:r>
        <w:rPr>
          <w:rFonts w:ascii="Times New Roman"/>
          <w:spacing w:val="-11"/>
        </w:rPr>
        <w:t> </w:t>
      </w:r>
      <w:r>
        <w:rPr>
          <w:rFonts w:ascii="Times New Roman"/>
        </w:rPr>
        <w:t>to</w:t>
      </w:r>
      <w:r>
        <w:rPr>
          <w:rFonts w:ascii="Times New Roman"/>
          <w:spacing w:val="-11"/>
        </w:rPr>
        <w:t> </w:t>
      </w:r>
      <w:r>
        <w:rPr>
          <w:rFonts w:ascii="Times New Roman"/>
        </w:rPr>
        <w:t>a</w:t>
      </w:r>
      <w:r>
        <w:rPr>
          <w:rFonts w:ascii="Times New Roman"/>
          <w:spacing w:val="-12"/>
        </w:rPr>
        <w:t> </w:t>
      </w:r>
      <w:r>
        <w:rPr>
          <w:rFonts w:ascii="Times New Roman"/>
        </w:rPr>
        <w:t>pH</w:t>
      </w:r>
      <w:r>
        <w:rPr>
          <w:rFonts w:ascii="Times New Roman"/>
          <w:spacing w:val="-11"/>
        </w:rPr>
        <w:t> </w:t>
      </w:r>
      <w:r>
        <w:rPr>
          <w:rFonts w:ascii="Times New Roman"/>
        </w:rPr>
        <w:t>of</w:t>
      </w:r>
      <w:r>
        <w:rPr>
          <w:rFonts w:ascii="Times New Roman"/>
          <w:spacing w:val="-10"/>
        </w:rPr>
        <w:t> </w:t>
      </w:r>
      <w:r>
        <w:rPr>
          <w:rFonts w:ascii="Times New Roman"/>
        </w:rPr>
        <w:t>8.3,</w:t>
      </w:r>
      <w:r>
        <w:rPr>
          <w:rFonts w:ascii="Times New Roman"/>
          <w:spacing w:val="-11"/>
        </w:rPr>
        <w:t> </w:t>
      </w:r>
      <w:r>
        <w:rPr>
          <w:rFonts w:ascii="Times New Roman"/>
        </w:rPr>
        <w:t>as</w:t>
      </w:r>
      <w:r>
        <w:rPr>
          <w:rFonts w:ascii="Times New Roman"/>
          <w:spacing w:val="-11"/>
        </w:rPr>
        <w:t> </w:t>
      </w:r>
      <w:r>
        <w:rPr>
          <w:rFonts w:ascii="Times New Roman"/>
        </w:rPr>
        <w:t>evidenced</w:t>
      </w:r>
      <w:r>
        <w:rPr>
          <w:rFonts w:ascii="Times New Roman"/>
          <w:spacing w:val="-11"/>
        </w:rPr>
        <w:t> </w:t>
      </w:r>
      <w:r>
        <w:rPr>
          <w:rFonts w:ascii="Times New Roman"/>
        </w:rPr>
        <w:t>by</w:t>
      </w:r>
      <w:r>
        <w:rPr>
          <w:rFonts w:ascii="Times New Roman"/>
          <w:spacing w:val="-12"/>
        </w:rPr>
        <w:t> </w:t>
      </w:r>
      <w:r>
        <w:rPr>
          <w:rFonts w:ascii="Times New Roman"/>
        </w:rPr>
        <w:t>the</w:t>
      </w:r>
      <w:r>
        <w:rPr>
          <w:rFonts w:ascii="Times New Roman"/>
          <w:spacing w:val="-11"/>
        </w:rPr>
        <w:t> </w:t>
      </w:r>
      <w:r>
        <w:rPr>
          <w:rFonts w:ascii="Times New Roman"/>
        </w:rPr>
        <w:t>color change of phenolphthalein indicator, and indicates the total hydroxide</w:t>
      </w:r>
      <w:r>
        <w:rPr>
          <w:rFonts w:ascii="Times New Roman"/>
          <w:spacing w:val="-5"/>
        </w:rPr>
        <w:t> </w:t>
      </w:r>
      <w:r>
        <w:rPr>
          <w:rFonts w:ascii="Times New Roman"/>
        </w:rPr>
        <w:t>and</w:t>
      </w:r>
      <w:r>
        <w:rPr>
          <w:rFonts w:ascii="Times New Roman"/>
          <w:spacing w:val="-5"/>
        </w:rPr>
        <w:t> </w:t>
      </w:r>
      <w:r>
        <w:rPr>
          <w:rFonts w:ascii="Times New Roman"/>
        </w:rPr>
        <w:t>one</w:t>
      </w:r>
      <w:r>
        <w:rPr>
          <w:rFonts w:ascii="Times New Roman"/>
          <w:spacing w:val="-5"/>
        </w:rPr>
        <w:t> </w:t>
      </w:r>
      <w:r>
        <w:rPr>
          <w:rFonts w:ascii="Times New Roman"/>
        </w:rPr>
        <w:t>half</w:t>
      </w:r>
      <w:r>
        <w:rPr>
          <w:rFonts w:ascii="Times New Roman"/>
          <w:spacing w:val="-5"/>
        </w:rPr>
        <w:t> </w:t>
      </w:r>
      <w:r>
        <w:rPr>
          <w:rFonts w:ascii="Times New Roman"/>
        </w:rPr>
        <w:t>the</w:t>
      </w:r>
      <w:r>
        <w:rPr>
          <w:rFonts w:ascii="Times New Roman"/>
          <w:spacing w:val="-5"/>
        </w:rPr>
        <w:t> </w:t>
      </w:r>
      <w:r>
        <w:rPr>
          <w:rFonts w:ascii="Times New Roman"/>
        </w:rPr>
        <w:t>carbonate</w:t>
      </w:r>
      <w:r>
        <w:rPr>
          <w:rFonts w:ascii="Times New Roman"/>
          <w:spacing w:val="-5"/>
        </w:rPr>
        <w:t> </w:t>
      </w:r>
      <w:r>
        <w:rPr>
          <w:rFonts w:ascii="Times New Roman"/>
        </w:rPr>
        <w:t>present.</w:t>
      </w:r>
      <w:r>
        <w:rPr>
          <w:rFonts w:ascii="Times New Roman"/>
          <w:spacing w:val="-6"/>
        </w:rPr>
        <w:t> </w:t>
      </w:r>
      <w:r>
        <w:rPr>
          <w:rFonts w:ascii="Times New Roman"/>
        </w:rPr>
        <w:t>M</w:t>
      </w:r>
      <w:r>
        <w:rPr>
          <w:rFonts w:ascii="Times New Roman"/>
          <w:spacing w:val="-6"/>
        </w:rPr>
        <w:t> </w:t>
      </w:r>
      <w:r>
        <w:rPr>
          <w:rFonts w:ascii="Times New Roman"/>
        </w:rPr>
        <w:t>(methyl</w:t>
      </w:r>
      <w:r>
        <w:rPr>
          <w:rFonts w:ascii="Times New Roman"/>
          <w:spacing w:val="-6"/>
        </w:rPr>
        <w:t> </w:t>
      </w:r>
      <w:r>
        <w:rPr>
          <w:rFonts w:ascii="Times New Roman"/>
        </w:rPr>
        <w:t>orange) or T (total) alkalinity is determined by titration to a pH</w:t>
      </w:r>
      <w:r>
        <w:rPr>
          <w:rFonts w:ascii="Times New Roman"/>
          <w:spacing w:val="-13"/>
        </w:rPr>
        <w:t> </w:t>
      </w:r>
      <w:r>
        <w:rPr>
          <w:rFonts w:ascii="Times New Roman"/>
        </w:rPr>
        <w:t>between</w:t>
      </w:r>
    </w:p>
    <w:p>
      <w:pPr>
        <w:pStyle w:val="BodyText"/>
        <w:spacing w:line="244" w:lineRule="auto"/>
        <w:ind w:left="-7" w:right="1067"/>
        <w:rPr>
          <w:rFonts w:ascii="Times New Roman"/>
        </w:rPr>
      </w:pPr>
      <w:r>
        <w:rPr>
          <w:rFonts w:ascii="Times New Roman"/>
        </w:rPr>
        <w:t>3.7 and 5.1, and includes all carbonate, bicarbonate and hydroxide.</w:t>
      </w:r>
    </w:p>
    <w:p>
      <w:pPr>
        <w:spacing w:after="0" w:line="244" w:lineRule="auto"/>
        <w:rPr>
          <w:rFonts w:ascii="Times New Roman"/>
        </w:rPr>
        <w:sectPr>
          <w:type w:val="continuous"/>
          <w:pgSz w:w="10080" w:h="12960"/>
          <w:pgMar w:top="0" w:bottom="0" w:left="600" w:right="960"/>
          <w:cols w:num="2" w:equalWidth="0">
            <w:col w:w="2607" w:space="40"/>
            <w:col w:w="5873"/>
          </w:cols>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1"/>
        </w:rPr>
      </w:pPr>
    </w:p>
    <w:p>
      <w:pPr>
        <w:pStyle w:val="Heading5"/>
        <w:spacing w:before="1"/>
        <w:ind w:left="2484" w:right="2484"/>
        <w:jc w:val="center"/>
        <w:rPr>
          <w:rFonts w:ascii="Times New Roman"/>
        </w:rPr>
      </w:pPr>
      <w:r>
        <w:rPr>
          <w:rFonts w:ascii="Times New Roman"/>
        </w:rPr>
        <w:t>46</w:t>
      </w:r>
    </w:p>
    <w:p>
      <w:pPr>
        <w:spacing w:after="0"/>
        <w:jc w:val="center"/>
        <w:rPr>
          <w:rFonts w:ascii="Times New Roman"/>
        </w:rPr>
        <w:sectPr>
          <w:type w:val="continuous"/>
          <w:pgSz w:w="10080" w:h="12960"/>
          <w:pgMar w:top="0" w:bottom="0" w:left="600" w:right="960"/>
        </w:sectPr>
      </w:pPr>
    </w:p>
    <w:p>
      <w:pPr>
        <w:spacing w:before="44"/>
        <w:ind w:left="120" w:right="138" w:firstLine="0"/>
        <w:jc w:val="left"/>
        <w:rPr>
          <w:rFonts w:ascii="Times New Roman"/>
          <w:b/>
          <w:sz w:val="24"/>
        </w:rPr>
      </w:pPr>
      <w:r>
        <w:rPr/>
        <w:pict>
          <v:group style="position:absolute;margin-left:53.474998pt;margin-top:21.975325pt;width:415.05pt;height:1.05pt;mso-position-horizontal-relative:page;mso-position-vertical-relative:paragraph;z-index:16048;mso-wrap-distance-left:0;mso-wrap-distance-right:0" coordorigin="1069,440" coordsize="8301,21">
            <v:line style="position:absolute" from="1080,450" to="1080,450" stroked="true" strokeweight="1.02pt" strokecolor="#000000"/>
            <v:line style="position:absolute" from="9360,450" to="9360,450" stroked="true" strokeweight="1.02pt" strokecolor="#000000"/>
            <v:line style="position:absolute" from="1080,450" to="9360,450" stroked="true" strokeweight="1.02pt" strokecolor="#000000"/>
            <w10:wrap type="topAndBottom"/>
          </v:group>
        </w:pict>
      </w:r>
      <w:r>
        <w:rPr>
          <w:rFonts w:ascii="Times New Roman"/>
          <w:b/>
          <w:sz w:val="28"/>
        </w:rPr>
        <w:t>ALKALINITY, </w:t>
      </w:r>
      <w:r>
        <w:rPr>
          <w:rFonts w:ascii="Times New Roman"/>
          <w:b/>
          <w:sz w:val="24"/>
        </w:rPr>
        <w:t>continued</w:t>
      </w:r>
    </w:p>
    <w:p>
      <w:pPr>
        <w:spacing w:line="270" w:lineRule="exact" w:before="189"/>
        <w:ind w:left="120" w:right="138" w:firstLine="0"/>
        <w:jc w:val="left"/>
        <w:rPr>
          <w:rFonts w:ascii="Times New Roman"/>
          <w:b/>
          <w:sz w:val="24"/>
        </w:rPr>
      </w:pPr>
      <w:r>
        <w:rPr>
          <w:rFonts w:ascii="Times New Roman"/>
          <w:b/>
          <w:sz w:val="24"/>
        </w:rPr>
        <w:t>REQUIRED REAGENTS</w:t>
      </w:r>
    </w:p>
    <w:p>
      <w:pPr>
        <w:pStyle w:val="BodyText"/>
        <w:spacing w:line="247" w:lineRule="exact"/>
        <w:ind w:left="120" w:right="138"/>
        <w:rPr>
          <w:rFonts w:ascii="Times New Roman"/>
        </w:rPr>
      </w:pPr>
      <w:r>
        <w:rPr>
          <w:rFonts w:ascii="Times New Roman"/>
        </w:rPr>
        <w:t>(varies with sample characteristics)</w:t>
      </w:r>
    </w:p>
    <w:p>
      <w:pPr>
        <w:pStyle w:val="BodyText"/>
        <w:spacing w:before="1"/>
        <w:rPr>
          <w:rFonts w:ascii="Times New Roman"/>
          <w:sz w:val="24"/>
        </w:rPr>
      </w:pPr>
    </w:p>
    <w:p>
      <w:pPr>
        <w:tabs>
          <w:tab w:pos="6800" w:val="left" w:leader="none"/>
          <w:tab w:pos="7810" w:val="left" w:leader="none"/>
        </w:tabs>
        <w:spacing w:before="0"/>
        <w:ind w:left="120" w:right="68" w:firstLine="0"/>
        <w:jc w:val="left"/>
        <w:rPr>
          <w:rFonts w:ascii="Times New Roman"/>
          <w:b/>
          <w:sz w:val="18"/>
        </w:rPr>
      </w:pPr>
      <w:r>
        <w:rPr>
          <w:rFonts w:ascii="Times New Roman"/>
          <w:b/>
          <w:sz w:val="18"/>
        </w:rPr>
        <w:t>Description</w:t>
        <w:tab/>
        <w:t>Unit</w:t>
        <w:tab/>
        <w:t>Cat.</w:t>
      </w:r>
      <w:r>
        <w:rPr>
          <w:rFonts w:ascii="Times New Roman"/>
          <w:b/>
          <w:spacing w:val="-6"/>
          <w:sz w:val="18"/>
        </w:rPr>
        <w:t> </w:t>
      </w:r>
      <w:r>
        <w:rPr>
          <w:rFonts w:ascii="Times New Roman"/>
          <w:b/>
          <w:sz w:val="18"/>
        </w:rPr>
        <w:t>No</w:t>
      </w:r>
    </w:p>
    <w:p>
      <w:pPr>
        <w:pStyle w:val="BodyText"/>
        <w:tabs>
          <w:tab w:pos="7556" w:val="left" w:leader="dot"/>
        </w:tabs>
        <w:spacing w:before="3"/>
        <w:ind w:left="120" w:right="68"/>
        <w:rPr>
          <w:rFonts w:ascii="Times New Roman"/>
        </w:rPr>
      </w:pPr>
      <w:r>
        <w:rPr>
          <w:rFonts w:ascii="Times New Roman"/>
        </w:rPr>
        <w:t>Alkalinity Reagent Set (about</w:t>
      </w:r>
      <w:r>
        <w:rPr>
          <w:rFonts w:ascii="Times New Roman"/>
          <w:spacing w:val="-3"/>
        </w:rPr>
        <w:t> </w:t>
      </w:r>
      <w:r>
        <w:rPr>
          <w:rFonts w:ascii="Times New Roman"/>
        </w:rPr>
        <w:t>100</w:t>
      </w:r>
      <w:r>
        <w:rPr>
          <w:rFonts w:ascii="Times New Roman"/>
          <w:spacing w:val="-1"/>
        </w:rPr>
        <w:t> </w:t>
      </w:r>
      <w:r>
        <w:rPr>
          <w:rFonts w:ascii="Times New Roman"/>
        </w:rPr>
        <w:t>tests)</w:t>
        <w:tab/>
        <w:t>22719-00</w:t>
      </w:r>
    </w:p>
    <w:p>
      <w:pPr>
        <w:pStyle w:val="BodyText"/>
        <w:spacing w:before="7"/>
        <w:ind w:left="299" w:right="138"/>
        <w:rPr>
          <w:rFonts w:ascii="Times New Roman"/>
        </w:rPr>
      </w:pPr>
      <w:r>
        <w:rPr>
          <w:rFonts w:ascii="Times New Roman"/>
        </w:rPr>
        <w:t>Includes: (1) 942-99, (1) 943-99, (1) 14388-01, (1) 14389-01</w:t>
      </w:r>
    </w:p>
    <w:p>
      <w:pPr>
        <w:pStyle w:val="BodyText"/>
        <w:tabs>
          <w:tab w:pos="8402" w:val="right" w:leader="dot"/>
        </w:tabs>
        <w:spacing w:before="227"/>
        <w:ind w:left="119"/>
        <w:rPr>
          <w:rFonts w:ascii="Times New Roman"/>
        </w:rPr>
      </w:pPr>
      <w:r>
        <w:rPr>
          <w:rFonts w:ascii="Times New Roman"/>
        </w:rPr>
        <w:t>Bromcresol Green-Methyl Red Powder</w:t>
      </w:r>
      <w:r>
        <w:rPr>
          <w:rFonts w:ascii="Times New Roman"/>
          <w:spacing w:val="-4"/>
        </w:rPr>
        <w:t> </w:t>
      </w:r>
      <w:r>
        <w:rPr>
          <w:rFonts w:ascii="Times New Roman"/>
        </w:rPr>
        <w:t>Pillows</w:t>
      </w:r>
      <w:r>
        <w:rPr>
          <w:rFonts w:ascii="Times New Roman"/>
          <w:spacing w:val="-24"/>
        </w:rPr>
        <w:t> </w:t>
      </w:r>
      <w:r>
        <w:rPr>
          <w:rFonts w:ascii="Times New Roman"/>
        </w:rPr>
        <w:t>......................................100/pkg</w:t>
        <w:tab/>
        <w:t>943-99</w:t>
      </w:r>
    </w:p>
    <w:p>
      <w:pPr>
        <w:pStyle w:val="BodyText"/>
        <w:tabs>
          <w:tab w:pos="8401" w:val="right" w:leader="dot"/>
        </w:tabs>
        <w:spacing w:before="6"/>
        <w:ind w:left="119"/>
        <w:rPr>
          <w:rFonts w:ascii="Times New Roman"/>
        </w:rPr>
      </w:pPr>
      <w:r>
        <w:rPr>
          <w:rFonts w:ascii="Times New Roman"/>
        </w:rPr>
        <w:t>Phenolphthalein Powder</w:t>
      </w:r>
      <w:r>
        <w:rPr>
          <w:rFonts w:ascii="Times New Roman"/>
          <w:spacing w:val="-6"/>
        </w:rPr>
        <w:t> </w:t>
      </w:r>
      <w:r>
        <w:rPr>
          <w:rFonts w:ascii="Times New Roman"/>
        </w:rPr>
        <w:t>Pillows..............................................................</w:t>
      </w:r>
      <w:r>
        <w:rPr>
          <w:rFonts w:ascii="Times New Roman"/>
          <w:spacing w:val="-37"/>
        </w:rPr>
        <w:t> </w:t>
      </w:r>
      <w:r>
        <w:rPr>
          <w:rFonts w:ascii="Times New Roman"/>
        </w:rPr>
        <w:t>100/pkg</w:t>
        <w:tab/>
        <w:t>942-99</w:t>
      </w:r>
    </w:p>
    <w:p>
      <w:pPr>
        <w:pStyle w:val="BodyText"/>
        <w:tabs>
          <w:tab w:pos="8401" w:val="right" w:leader="dot"/>
        </w:tabs>
        <w:spacing w:before="7"/>
        <w:ind w:left="119"/>
        <w:rPr>
          <w:rFonts w:ascii="Times New Roman"/>
        </w:rPr>
      </w:pPr>
      <w:r>
        <w:rPr>
          <w:rFonts w:ascii="Times New Roman"/>
        </w:rPr>
        <w:t>Sulfuric Acid Titration Cartridge, 1.600</w:t>
      </w:r>
      <w:r>
        <w:rPr>
          <w:rFonts w:ascii="Times New Roman"/>
          <w:spacing w:val="-9"/>
        </w:rPr>
        <w:t> </w:t>
      </w:r>
      <w:r>
        <w:rPr>
          <w:rFonts w:ascii="Times New Roman"/>
        </w:rPr>
        <w:t>N</w:t>
      </w:r>
      <w:r>
        <w:rPr>
          <w:rFonts w:ascii="Times New Roman"/>
          <w:spacing w:val="-13"/>
        </w:rPr>
        <w:t> </w:t>
      </w:r>
      <w:r>
        <w:rPr>
          <w:rFonts w:ascii="Times New Roman"/>
        </w:rPr>
        <w:t>....................................................each</w:t>
        <w:tab/>
        <w:t>14389-01</w:t>
      </w:r>
    </w:p>
    <w:p>
      <w:pPr>
        <w:pStyle w:val="BodyText"/>
        <w:tabs>
          <w:tab w:pos="8401" w:val="right" w:leader="dot"/>
        </w:tabs>
        <w:spacing w:before="7"/>
        <w:ind w:left="119"/>
        <w:rPr>
          <w:rFonts w:ascii="Times New Roman"/>
        </w:rPr>
      </w:pPr>
      <w:r>
        <w:rPr>
          <w:rFonts w:ascii="Times New Roman"/>
        </w:rPr>
        <w:t>Sulfuric Acid Titration Cartridge, 0.1600</w:t>
      </w:r>
      <w:r>
        <w:rPr>
          <w:rFonts w:ascii="Times New Roman"/>
          <w:spacing w:val="-10"/>
        </w:rPr>
        <w:t> </w:t>
      </w:r>
      <w:r>
        <w:rPr>
          <w:rFonts w:ascii="Times New Roman"/>
        </w:rPr>
        <w:t>N</w:t>
      </w:r>
      <w:r>
        <w:rPr>
          <w:rFonts w:ascii="Times New Roman"/>
          <w:spacing w:val="-11"/>
        </w:rPr>
        <w:t> </w:t>
      </w:r>
      <w:r>
        <w:rPr>
          <w:rFonts w:ascii="Times New Roman"/>
        </w:rPr>
        <w:t>..................................................each</w:t>
        <w:tab/>
        <w:t>14388-01</w:t>
      </w:r>
    </w:p>
    <w:p>
      <w:pPr>
        <w:pStyle w:val="BodyText"/>
        <w:tabs>
          <w:tab w:pos="8400" w:val="right" w:leader="dot"/>
        </w:tabs>
        <w:spacing w:before="6"/>
        <w:ind w:left="120"/>
        <w:rPr>
          <w:rFonts w:ascii="Times New Roman"/>
        </w:rPr>
      </w:pPr>
      <w:r>
        <w:rPr>
          <w:rFonts w:ascii="Times New Roman"/>
          <w:spacing w:val="-5"/>
        </w:rPr>
        <w:t>Water, </w:t>
      </w:r>
      <w:r>
        <w:rPr>
          <w:rFonts w:ascii="Times New Roman"/>
        </w:rPr>
        <w:t>deionized</w:t>
      </w:r>
      <w:r>
        <w:rPr>
          <w:rFonts w:ascii="Times New Roman"/>
          <w:spacing w:val="-28"/>
        </w:rPr>
        <w:t> </w:t>
      </w:r>
      <w:r>
        <w:rPr>
          <w:rFonts w:ascii="Times New Roman"/>
        </w:rPr>
        <w:t>...............................................................................................4</w:t>
      </w:r>
      <w:r>
        <w:rPr>
          <w:rFonts w:ascii="Times New Roman"/>
          <w:spacing w:val="-31"/>
        </w:rPr>
        <w:t> </w:t>
      </w:r>
      <w:r>
        <w:rPr>
          <w:rFonts w:ascii="Times New Roman"/>
        </w:rPr>
        <w:t>L</w:t>
        <w:tab/>
        <w:t>272-56</w:t>
      </w:r>
    </w:p>
    <w:p>
      <w:pPr>
        <w:pStyle w:val="Heading4"/>
        <w:spacing w:line="270" w:lineRule="exact" w:before="202"/>
        <w:ind w:left="120" w:right="138"/>
        <w:rPr>
          <w:rFonts w:ascii="Times New Roman"/>
        </w:rPr>
      </w:pPr>
      <w:r>
        <w:rPr>
          <w:rFonts w:ascii="Times New Roman"/>
        </w:rPr>
        <w:t>REQUIRED APPARATUS</w:t>
      </w:r>
    </w:p>
    <w:p>
      <w:pPr>
        <w:pStyle w:val="BodyText"/>
        <w:tabs>
          <w:tab w:pos="8400" w:val="right" w:leader="dot"/>
        </w:tabs>
        <w:spacing w:line="247" w:lineRule="exact"/>
        <w:ind w:left="120"/>
        <w:rPr>
          <w:rFonts w:ascii="Times New Roman"/>
        </w:rPr>
      </w:pPr>
      <w:r>
        <w:rPr>
          <w:rFonts w:ascii="Times New Roman"/>
        </w:rPr>
        <w:t>Digital</w:t>
      </w:r>
      <w:r>
        <w:rPr>
          <w:rFonts w:ascii="Times New Roman"/>
          <w:spacing w:val="-5"/>
        </w:rPr>
        <w:t> </w:t>
      </w:r>
      <w:r>
        <w:rPr>
          <w:rFonts w:ascii="Times New Roman"/>
        </w:rPr>
        <w:t>Titrator................................................................................................each</w:t>
        <w:tab/>
        <w:t>16900-01</w:t>
      </w:r>
    </w:p>
    <w:p>
      <w:pPr>
        <w:pStyle w:val="BodyText"/>
        <w:tabs>
          <w:tab w:pos="8401" w:val="right" w:leader="dot"/>
        </w:tabs>
        <w:spacing w:before="7"/>
        <w:ind w:left="119"/>
        <w:rPr>
          <w:rFonts w:ascii="Times New Roman"/>
        </w:rPr>
      </w:pPr>
      <w:r>
        <w:rPr>
          <w:rFonts w:ascii="Times New Roman"/>
        </w:rPr>
        <w:t>Flask,</w:t>
      </w:r>
      <w:r>
        <w:rPr>
          <w:rFonts w:ascii="Times New Roman"/>
          <w:spacing w:val="-1"/>
        </w:rPr>
        <w:t> </w:t>
      </w:r>
      <w:r>
        <w:rPr>
          <w:rFonts w:ascii="Times New Roman"/>
        </w:rPr>
        <w:t>Erlenmeyer,</w:t>
      </w:r>
      <w:r>
        <w:rPr>
          <w:rFonts w:ascii="Times New Roman"/>
          <w:spacing w:val="-1"/>
        </w:rPr>
        <w:t> </w:t>
      </w:r>
      <w:r>
        <w:rPr>
          <w:rFonts w:ascii="Times New Roman"/>
        </w:rPr>
        <w:t>250-mL............................................................................each</w:t>
        <w:tab/>
        <w:t>505-46</w:t>
      </w:r>
    </w:p>
    <w:p>
      <w:pPr>
        <w:spacing w:before="18"/>
        <w:ind w:left="120" w:right="138" w:firstLine="0"/>
        <w:jc w:val="left"/>
        <w:rPr>
          <w:rFonts w:ascii="Times New Roman"/>
          <w:b/>
          <w:sz w:val="18"/>
        </w:rPr>
      </w:pPr>
      <w:r>
        <w:rPr>
          <w:rFonts w:ascii="Times New Roman"/>
          <w:b/>
          <w:sz w:val="18"/>
        </w:rPr>
        <w:t>Select one or more based on sample concentration:</w:t>
      </w:r>
    </w:p>
    <w:p>
      <w:pPr>
        <w:pStyle w:val="BodyText"/>
        <w:tabs>
          <w:tab w:pos="8401" w:val="right" w:leader="dot"/>
        </w:tabs>
        <w:spacing w:before="1"/>
        <w:ind w:left="120"/>
        <w:rPr>
          <w:rFonts w:ascii="Times New Roman"/>
        </w:rPr>
      </w:pPr>
      <w:r>
        <w:rPr>
          <w:rFonts w:ascii="Times New Roman"/>
        </w:rPr>
        <w:t>Cylinder, graduated,</w:t>
      </w:r>
      <w:r>
        <w:rPr>
          <w:rFonts w:ascii="Times New Roman"/>
          <w:spacing w:val="-5"/>
        </w:rPr>
        <w:t> </w:t>
      </w:r>
      <w:r>
        <w:rPr>
          <w:rFonts w:ascii="Times New Roman"/>
        </w:rPr>
        <w:t>10-mL</w:t>
      </w:r>
      <w:r>
        <w:rPr>
          <w:rFonts w:ascii="Times New Roman"/>
          <w:spacing w:val="-10"/>
        </w:rPr>
        <w:t> </w:t>
      </w:r>
      <w:r>
        <w:rPr>
          <w:rFonts w:ascii="Times New Roman"/>
        </w:rPr>
        <w:t>...........................................................................each</w:t>
        <w:tab/>
        <w:t>508-38</w:t>
      </w:r>
    </w:p>
    <w:p>
      <w:pPr>
        <w:pStyle w:val="BodyText"/>
        <w:tabs>
          <w:tab w:pos="8401" w:val="right" w:leader="dot"/>
        </w:tabs>
        <w:spacing w:before="7"/>
        <w:ind w:left="120"/>
        <w:rPr>
          <w:rFonts w:ascii="Times New Roman"/>
        </w:rPr>
      </w:pPr>
      <w:r>
        <w:rPr>
          <w:rFonts w:ascii="Times New Roman"/>
        </w:rPr>
        <w:t>Cylinder, graduated,</w:t>
      </w:r>
      <w:r>
        <w:rPr>
          <w:rFonts w:ascii="Times New Roman"/>
          <w:spacing w:val="-5"/>
        </w:rPr>
        <w:t> </w:t>
      </w:r>
      <w:r>
        <w:rPr>
          <w:rFonts w:ascii="Times New Roman"/>
        </w:rPr>
        <w:t>25-mL</w:t>
      </w:r>
      <w:r>
        <w:rPr>
          <w:rFonts w:ascii="Times New Roman"/>
          <w:spacing w:val="-10"/>
        </w:rPr>
        <w:t> </w:t>
      </w:r>
      <w:r>
        <w:rPr>
          <w:rFonts w:ascii="Times New Roman"/>
        </w:rPr>
        <w:t>...........................................................................each</w:t>
        <w:tab/>
        <w:t>508-40</w:t>
      </w:r>
    </w:p>
    <w:p>
      <w:pPr>
        <w:pStyle w:val="BodyText"/>
        <w:tabs>
          <w:tab w:pos="8401" w:val="right" w:leader="dot"/>
        </w:tabs>
        <w:spacing w:before="6"/>
        <w:ind w:left="120"/>
        <w:rPr>
          <w:rFonts w:ascii="Times New Roman"/>
        </w:rPr>
      </w:pPr>
      <w:r>
        <w:rPr>
          <w:rFonts w:ascii="Times New Roman"/>
        </w:rPr>
        <w:t>Cylinder, graduated,</w:t>
      </w:r>
      <w:r>
        <w:rPr>
          <w:rFonts w:ascii="Times New Roman"/>
          <w:spacing w:val="-5"/>
        </w:rPr>
        <w:t> </w:t>
      </w:r>
      <w:r>
        <w:rPr>
          <w:rFonts w:ascii="Times New Roman"/>
        </w:rPr>
        <w:t>50-mL</w:t>
      </w:r>
      <w:r>
        <w:rPr>
          <w:rFonts w:ascii="Times New Roman"/>
          <w:spacing w:val="-10"/>
        </w:rPr>
        <w:t> </w:t>
      </w:r>
      <w:r>
        <w:rPr>
          <w:rFonts w:ascii="Times New Roman"/>
        </w:rPr>
        <w:t>...........................................................................each</w:t>
        <w:tab/>
        <w:t>508-41</w:t>
      </w:r>
    </w:p>
    <w:p>
      <w:pPr>
        <w:pStyle w:val="BodyText"/>
        <w:tabs>
          <w:tab w:pos="8401" w:val="right" w:leader="dot"/>
        </w:tabs>
        <w:spacing w:before="7"/>
        <w:ind w:left="120"/>
        <w:rPr>
          <w:rFonts w:ascii="Times New Roman"/>
        </w:rPr>
      </w:pPr>
      <w:r>
        <w:rPr>
          <w:rFonts w:ascii="Times New Roman"/>
        </w:rPr>
        <w:t>Cylinder, graduated,</w:t>
      </w:r>
      <w:r>
        <w:rPr>
          <w:rFonts w:ascii="Times New Roman"/>
          <w:spacing w:val="-4"/>
        </w:rPr>
        <w:t> </w:t>
      </w:r>
      <w:r>
        <w:rPr>
          <w:rFonts w:ascii="Times New Roman"/>
        </w:rPr>
        <w:t>100-mL</w:t>
      </w:r>
      <w:r>
        <w:rPr>
          <w:rFonts w:ascii="Times New Roman"/>
          <w:spacing w:val="-12"/>
        </w:rPr>
        <w:t> </w:t>
      </w:r>
      <w:r>
        <w:rPr>
          <w:rFonts w:ascii="Times New Roman"/>
        </w:rPr>
        <w:t>.........................................................................each</w:t>
        <w:tab/>
        <w:t>508-42</w:t>
      </w:r>
    </w:p>
    <w:p>
      <w:pPr>
        <w:pStyle w:val="Heading4"/>
        <w:spacing w:line="264" w:lineRule="exact" w:before="202"/>
        <w:ind w:left="120" w:right="138"/>
        <w:rPr>
          <w:rFonts w:ascii="Times New Roman"/>
        </w:rPr>
      </w:pPr>
      <w:r>
        <w:rPr>
          <w:rFonts w:ascii="Times New Roman"/>
        </w:rPr>
        <w:t>OPTIONAL REAGENTS</w:t>
      </w:r>
    </w:p>
    <w:p>
      <w:pPr>
        <w:pStyle w:val="BodyText"/>
        <w:spacing w:line="254" w:lineRule="exact"/>
        <w:ind w:left="120" w:right="138"/>
        <w:rPr>
          <w:rFonts w:ascii="Times New Roman" w:hAnsi="Times New Roman"/>
        </w:rPr>
      </w:pPr>
      <w:r>
        <w:rPr>
          <w:rFonts w:ascii="Times New Roman" w:hAnsi="Times New Roman"/>
        </w:rPr>
        <w:t>Alkalinity Standard Solution Voluette</w:t>
      </w:r>
      <w:r>
        <w:rPr>
          <w:rFonts w:ascii="Times New Roman" w:hAnsi="Times New Roman"/>
          <w:position w:val="6"/>
          <w:sz w:val="17"/>
        </w:rPr>
        <w:t>® </w:t>
      </w:r>
      <w:r>
        <w:rPr>
          <w:rFonts w:ascii="Times New Roman" w:hAnsi="Times New Roman"/>
        </w:rPr>
        <w:t>Ampules,</w:t>
      </w:r>
    </w:p>
    <w:p>
      <w:pPr>
        <w:pStyle w:val="BodyText"/>
        <w:tabs>
          <w:tab w:pos="8283" w:val="right" w:leader="dot"/>
        </w:tabs>
        <w:spacing w:line="281" w:lineRule="exact" w:before="7"/>
        <w:ind w:left="181"/>
        <w:jc w:val="center"/>
        <w:rPr>
          <w:rFonts w:ascii="Times New Roman"/>
        </w:rPr>
      </w:pPr>
      <w:r>
        <w:rPr>
          <w:rFonts w:ascii="Times New Roman"/>
        </w:rPr>
        <w:t>0.500 N Na</w:t>
      </w:r>
      <w:r>
        <w:rPr>
          <w:rFonts w:ascii="Times New Roman"/>
          <w:position w:val="-5"/>
          <w:sz w:val="17"/>
        </w:rPr>
        <w:t>2</w:t>
      </w:r>
      <w:r>
        <w:rPr>
          <w:rFonts w:ascii="Times New Roman"/>
        </w:rPr>
        <w:t>CO</w:t>
      </w:r>
      <w:r>
        <w:rPr>
          <w:rFonts w:ascii="Times New Roman"/>
          <w:position w:val="-5"/>
          <w:sz w:val="17"/>
        </w:rPr>
        <w:t>3</w:t>
      </w:r>
      <w:r>
        <w:rPr>
          <w:rFonts w:ascii="Times New Roman"/>
        </w:rPr>
        <w:t>,</w:t>
      </w:r>
      <w:r>
        <w:rPr>
          <w:rFonts w:ascii="Times New Roman"/>
          <w:spacing w:val="-4"/>
        </w:rPr>
        <w:t> </w:t>
      </w:r>
      <w:r>
        <w:rPr>
          <w:rFonts w:ascii="Times New Roman"/>
        </w:rPr>
        <w:t>10-mL</w:t>
      </w:r>
      <w:r>
        <w:rPr>
          <w:rFonts w:ascii="Times New Roman"/>
          <w:spacing w:val="-8"/>
        </w:rPr>
        <w:t> </w:t>
      </w:r>
      <w:r>
        <w:rPr>
          <w:rFonts w:ascii="Times New Roman"/>
        </w:rPr>
        <w:t>........................................................................16/pkg</w:t>
        <w:tab/>
        <w:t>14278-10</w:t>
      </w:r>
    </w:p>
    <w:p>
      <w:pPr>
        <w:pStyle w:val="BodyText"/>
        <w:tabs>
          <w:tab w:pos="8402" w:val="right" w:leader="dot"/>
        </w:tabs>
        <w:spacing w:line="232" w:lineRule="exact"/>
        <w:ind w:left="120"/>
        <w:rPr>
          <w:rFonts w:ascii="Times New Roman"/>
        </w:rPr>
      </w:pPr>
      <w:r>
        <w:rPr>
          <w:rFonts w:ascii="Times New Roman"/>
        </w:rPr>
        <w:t>Bromcresol</w:t>
      </w:r>
      <w:r>
        <w:rPr>
          <w:rFonts w:ascii="Times New Roman"/>
          <w:spacing w:val="-2"/>
        </w:rPr>
        <w:t> </w:t>
      </w:r>
      <w:r>
        <w:rPr>
          <w:rFonts w:ascii="Times New Roman"/>
        </w:rPr>
        <w:t>Green-Methyl</w:t>
      </w:r>
      <w:r>
        <w:rPr>
          <w:rFonts w:ascii="Times New Roman"/>
          <w:spacing w:val="-2"/>
        </w:rPr>
        <w:t> </w:t>
      </w:r>
      <w:r>
        <w:rPr>
          <w:rFonts w:ascii="Times New Roman"/>
        </w:rPr>
        <w:t>Red</w:t>
      </w:r>
      <w:r>
        <w:rPr>
          <w:rFonts w:ascii="Times New Roman"/>
          <w:spacing w:val="-2"/>
        </w:rPr>
        <w:t> </w:t>
      </w:r>
      <w:r>
        <w:rPr>
          <w:rFonts w:ascii="Times New Roman"/>
        </w:rPr>
        <w:t>Indicator</w:t>
      </w:r>
      <w:r>
        <w:rPr>
          <w:rFonts w:ascii="Times New Roman"/>
          <w:spacing w:val="-2"/>
        </w:rPr>
        <w:t> </w:t>
      </w:r>
      <w:r>
        <w:rPr>
          <w:rFonts w:ascii="Times New Roman"/>
        </w:rPr>
        <w:t>Solution</w:t>
      </w:r>
      <w:r>
        <w:rPr>
          <w:rFonts w:ascii="Times New Roman"/>
          <w:spacing w:val="-24"/>
        </w:rPr>
        <w:t> </w:t>
      </w:r>
      <w:r>
        <w:rPr>
          <w:rFonts w:ascii="Times New Roman"/>
        </w:rPr>
        <w:t>........................</w:t>
      </w:r>
      <w:r>
        <w:rPr>
          <w:rFonts w:ascii="Times New Roman"/>
          <w:spacing w:val="-14"/>
        </w:rPr>
        <w:t> </w:t>
      </w:r>
      <w:r>
        <w:rPr>
          <w:rFonts w:ascii="Times New Roman"/>
        </w:rPr>
        <w:t>100</w:t>
      </w:r>
      <w:r>
        <w:rPr>
          <w:rFonts w:ascii="Times New Roman"/>
          <w:spacing w:val="-2"/>
        </w:rPr>
        <w:t> </w:t>
      </w:r>
      <w:r>
        <w:rPr>
          <w:rFonts w:ascii="Times New Roman"/>
        </w:rPr>
        <w:t>mL</w:t>
      </w:r>
      <w:r>
        <w:rPr>
          <w:rFonts w:ascii="Times New Roman"/>
          <w:spacing w:val="-2"/>
        </w:rPr>
        <w:t> </w:t>
      </w:r>
      <w:r>
        <w:rPr>
          <w:rFonts w:ascii="Times New Roman"/>
        </w:rPr>
        <w:t>MDB</w:t>
        <w:tab/>
        <w:t>23292-32</w:t>
      </w:r>
    </w:p>
    <w:p>
      <w:pPr>
        <w:pStyle w:val="BodyText"/>
        <w:tabs>
          <w:tab w:pos="8402" w:val="right" w:leader="dot"/>
        </w:tabs>
        <w:spacing w:before="6"/>
        <w:ind w:left="120"/>
        <w:rPr>
          <w:rFonts w:ascii="Times New Roman"/>
        </w:rPr>
      </w:pPr>
      <w:r>
        <w:rPr>
          <w:rFonts w:ascii="Times New Roman"/>
        </w:rPr>
        <w:t>Bromphenol Blue Indicator Solution ............................................. 100</w:t>
      </w:r>
      <w:r>
        <w:rPr>
          <w:rFonts w:ascii="Times New Roman"/>
          <w:spacing w:val="-35"/>
        </w:rPr>
        <w:t> </w:t>
      </w:r>
      <w:r>
        <w:rPr>
          <w:rFonts w:ascii="Times New Roman"/>
        </w:rPr>
        <w:t>mL</w:t>
      </w:r>
      <w:r>
        <w:rPr>
          <w:rFonts w:ascii="Times New Roman"/>
          <w:spacing w:val="-2"/>
        </w:rPr>
        <w:t> </w:t>
      </w:r>
      <w:r>
        <w:rPr>
          <w:rFonts w:ascii="Times New Roman"/>
        </w:rPr>
        <w:t>MDB</w:t>
        <w:tab/>
        <w:t>14552-32</w:t>
      </w:r>
    </w:p>
    <w:p>
      <w:pPr>
        <w:pStyle w:val="BodyText"/>
        <w:tabs>
          <w:tab w:pos="8402" w:val="right" w:leader="dot"/>
        </w:tabs>
        <w:spacing w:before="7"/>
        <w:ind w:left="120"/>
        <w:rPr>
          <w:rFonts w:ascii="Times New Roman"/>
        </w:rPr>
      </w:pPr>
      <w:r>
        <w:rPr>
          <w:rFonts w:ascii="Times New Roman"/>
        </w:rPr>
        <w:t>Bromphenol Blue Powder Pillows</w:t>
      </w:r>
      <w:r>
        <w:rPr>
          <w:rFonts w:ascii="Times New Roman"/>
          <w:spacing w:val="-28"/>
        </w:rPr>
        <w:t> </w:t>
      </w:r>
      <w:r>
        <w:rPr>
          <w:rFonts w:ascii="Times New Roman"/>
        </w:rPr>
        <w:t>...........................................................</w:t>
      </w:r>
      <w:r>
        <w:rPr>
          <w:rFonts w:ascii="Times New Roman"/>
          <w:spacing w:val="-38"/>
        </w:rPr>
        <w:t> </w:t>
      </w:r>
      <w:r>
        <w:rPr>
          <w:rFonts w:ascii="Times New Roman"/>
        </w:rPr>
        <w:t>100/pkg</w:t>
        <w:tab/>
        <w:t>14550-99</w:t>
      </w:r>
    </w:p>
    <w:p>
      <w:pPr>
        <w:pStyle w:val="BodyText"/>
        <w:tabs>
          <w:tab w:pos="8401" w:val="right" w:leader="dot"/>
        </w:tabs>
        <w:spacing w:before="7"/>
        <w:ind w:left="120"/>
        <w:rPr>
          <w:rFonts w:ascii="Times New Roman"/>
        </w:rPr>
      </w:pPr>
      <w:r>
        <w:rPr>
          <w:rFonts w:ascii="Times New Roman"/>
        </w:rPr>
        <w:t>Buffer Powder Pillows,</w:t>
      </w:r>
      <w:r>
        <w:rPr>
          <w:rFonts w:ascii="Times New Roman"/>
          <w:spacing w:val="-7"/>
        </w:rPr>
        <w:t> </w:t>
      </w:r>
      <w:r>
        <w:rPr>
          <w:rFonts w:ascii="Times New Roman"/>
        </w:rPr>
        <w:t>pH</w:t>
      </w:r>
      <w:r>
        <w:rPr>
          <w:rFonts w:ascii="Times New Roman"/>
          <w:spacing w:val="-3"/>
        </w:rPr>
        <w:t> </w:t>
      </w:r>
      <w:r>
        <w:rPr>
          <w:rFonts w:ascii="Times New Roman"/>
        </w:rPr>
        <w:t>3.7...................................................................25/pkg</w:t>
        <w:tab/>
        <w:t>14551-68</w:t>
      </w:r>
    </w:p>
    <w:p>
      <w:pPr>
        <w:pStyle w:val="BodyText"/>
        <w:tabs>
          <w:tab w:pos="8402" w:val="right" w:leader="dot"/>
        </w:tabs>
        <w:spacing w:before="6"/>
        <w:ind w:left="120"/>
        <w:rPr>
          <w:rFonts w:ascii="Times New Roman"/>
        </w:rPr>
      </w:pPr>
      <w:r>
        <w:rPr>
          <w:rFonts w:ascii="Times New Roman"/>
        </w:rPr>
        <w:t>Buffer Powder Pillows,</w:t>
      </w:r>
      <w:r>
        <w:rPr>
          <w:rFonts w:ascii="Times New Roman"/>
          <w:spacing w:val="-5"/>
        </w:rPr>
        <w:t> </w:t>
      </w:r>
      <w:r>
        <w:rPr>
          <w:rFonts w:ascii="Times New Roman"/>
        </w:rPr>
        <w:t>pH</w:t>
      </w:r>
      <w:r>
        <w:rPr>
          <w:rFonts w:ascii="Times New Roman"/>
          <w:spacing w:val="-2"/>
        </w:rPr>
        <w:t> </w:t>
      </w:r>
      <w:r>
        <w:rPr>
          <w:rFonts w:ascii="Times New Roman"/>
        </w:rPr>
        <w:t>4.5...................................................................25/pkg</w:t>
        <w:tab/>
        <w:t>895-68</w:t>
      </w:r>
    </w:p>
    <w:p>
      <w:pPr>
        <w:pStyle w:val="BodyText"/>
        <w:tabs>
          <w:tab w:pos="8402" w:val="right" w:leader="dot"/>
        </w:tabs>
        <w:spacing w:before="7"/>
        <w:ind w:left="120"/>
        <w:rPr>
          <w:rFonts w:ascii="Times New Roman"/>
        </w:rPr>
      </w:pPr>
      <w:r>
        <w:rPr>
          <w:rFonts w:ascii="Times New Roman"/>
        </w:rPr>
        <w:t>Buffer Powder Pillows,</w:t>
      </w:r>
      <w:r>
        <w:rPr>
          <w:rFonts w:ascii="Times New Roman"/>
          <w:spacing w:val="-5"/>
        </w:rPr>
        <w:t> </w:t>
      </w:r>
      <w:r>
        <w:rPr>
          <w:rFonts w:ascii="Times New Roman"/>
        </w:rPr>
        <w:t>pH</w:t>
      </w:r>
      <w:r>
        <w:rPr>
          <w:rFonts w:ascii="Times New Roman"/>
          <w:spacing w:val="-2"/>
        </w:rPr>
        <w:t> </w:t>
      </w:r>
      <w:r>
        <w:rPr>
          <w:rFonts w:ascii="Times New Roman"/>
        </w:rPr>
        <w:t>4.8...................................................................25/pkg</w:t>
        <w:tab/>
        <w:t>896-68</w:t>
      </w:r>
    </w:p>
    <w:p>
      <w:pPr>
        <w:pStyle w:val="BodyText"/>
        <w:tabs>
          <w:tab w:pos="8402" w:val="right" w:leader="dot"/>
        </w:tabs>
        <w:spacing w:before="7"/>
        <w:ind w:left="120"/>
        <w:rPr>
          <w:rFonts w:ascii="Times New Roman"/>
        </w:rPr>
      </w:pPr>
      <w:r>
        <w:rPr>
          <w:rFonts w:ascii="Times New Roman"/>
        </w:rPr>
        <w:t>Buffer Powder Pillows,</w:t>
      </w:r>
      <w:r>
        <w:rPr>
          <w:rFonts w:ascii="Times New Roman"/>
          <w:spacing w:val="-5"/>
        </w:rPr>
        <w:t> </w:t>
      </w:r>
      <w:r>
        <w:rPr>
          <w:rFonts w:ascii="Times New Roman"/>
        </w:rPr>
        <w:t>pH</w:t>
      </w:r>
      <w:r>
        <w:rPr>
          <w:rFonts w:ascii="Times New Roman"/>
          <w:spacing w:val="-2"/>
        </w:rPr>
        <w:t> </w:t>
      </w:r>
      <w:r>
        <w:rPr>
          <w:rFonts w:ascii="Times New Roman"/>
        </w:rPr>
        <w:t>5.1...................................................................25/pkg</w:t>
        <w:tab/>
        <w:t>897-68</w:t>
      </w:r>
    </w:p>
    <w:p>
      <w:pPr>
        <w:pStyle w:val="BodyText"/>
        <w:tabs>
          <w:tab w:pos="8402" w:val="right" w:leader="dot"/>
        </w:tabs>
        <w:spacing w:before="6"/>
        <w:ind w:left="120"/>
        <w:rPr>
          <w:rFonts w:ascii="Times New Roman"/>
        </w:rPr>
      </w:pPr>
      <w:r>
        <w:rPr>
          <w:rFonts w:ascii="Times New Roman"/>
        </w:rPr>
        <w:t>Buffer Powder Pillows,</w:t>
      </w:r>
      <w:r>
        <w:rPr>
          <w:rFonts w:ascii="Times New Roman"/>
          <w:spacing w:val="-5"/>
        </w:rPr>
        <w:t> </w:t>
      </w:r>
      <w:r>
        <w:rPr>
          <w:rFonts w:ascii="Times New Roman"/>
        </w:rPr>
        <w:t>pH</w:t>
      </w:r>
      <w:r>
        <w:rPr>
          <w:rFonts w:ascii="Times New Roman"/>
          <w:spacing w:val="-2"/>
        </w:rPr>
        <w:t> </w:t>
      </w:r>
      <w:r>
        <w:rPr>
          <w:rFonts w:ascii="Times New Roman"/>
        </w:rPr>
        <w:t>8.3...................................................................25/pkg</w:t>
        <w:tab/>
        <w:t>898-68</w:t>
      </w:r>
    </w:p>
    <w:p>
      <w:pPr>
        <w:pStyle w:val="BodyText"/>
        <w:tabs>
          <w:tab w:pos="8402" w:val="right" w:leader="dot"/>
        </w:tabs>
        <w:spacing w:before="7"/>
        <w:ind w:left="120"/>
        <w:rPr>
          <w:rFonts w:ascii="Times New Roman"/>
        </w:rPr>
      </w:pPr>
      <w:r>
        <w:rPr>
          <w:rFonts w:ascii="Times New Roman"/>
        </w:rPr>
        <w:t>Methyl Purple Indicator Solution................................................... 100</w:t>
      </w:r>
      <w:r>
        <w:rPr>
          <w:rFonts w:ascii="Times New Roman"/>
          <w:spacing w:val="-17"/>
        </w:rPr>
        <w:t> </w:t>
      </w:r>
      <w:r>
        <w:rPr>
          <w:rFonts w:ascii="Times New Roman"/>
        </w:rPr>
        <w:t>mL</w:t>
      </w:r>
      <w:r>
        <w:rPr>
          <w:rFonts w:ascii="Times New Roman"/>
          <w:spacing w:val="-1"/>
        </w:rPr>
        <w:t> </w:t>
      </w:r>
      <w:r>
        <w:rPr>
          <w:rFonts w:ascii="Times New Roman"/>
        </w:rPr>
        <w:t>MDB</w:t>
        <w:tab/>
        <w:t>21934-32</w:t>
      </w:r>
    </w:p>
    <w:p>
      <w:pPr>
        <w:pStyle w:val="BodyText"/>
        <w:tabs>
          <w:tab w:pos="8401" w:val="right" w:leader="dot"/>
        </w:tabs>
        <w:spacing w:before="7"/>
        <w:ind w:left="120"/>
        <w:rPr>
          <w:rFonts w:ascii="Times New Roman"/>
        </w:rPr>
      </w:pPr>
      <w:r>
        <w:rPr>
          <w:rFonts w:ascii="Times New Roman"/>
        </w:rPr>
        <w:t>Phenolphthalein Indicator Solution, 5 g/L ................................... 100</w:t>
      </w:r>
      <w:r>
        <w:rPr>
          <w:rFonts w:ascii="Times New Roman"/>
          <w:spacing w:val="-34"/>
        </w:rPr>
        <w:t> </w:t>
      </w:r>
      <w:r>
        <w:rPr>
          <w:rFonts w:ascii="Times New Roman"/>
        </w:rPr>
        <w:t>mL</w:t>
      </w:r>
      <w:r>
        <w:rPr>
          <w:rFonts w:ascii="Times New Roman"/>
          <w:spacing w:val="-3"/>
        </w:rPr>
        <w:t> </w:t>
      </w:r>
      <w:r>
        <w:rPr>
          <w:rFonts w:ascii="Times New Roman"/>
        </w:rPr>
        <w:t>MDB*</w:t>
        <w:tab/>
        <w:t>162-32</w:t>
      </w:r>
    </w:p>
    <w:p>
      <w:pPr>
        <w:pStyle w:val="BodyText"/>
        <w:tabs>
          <w:tab w:pos="8401" w:val="right" w:leader="dot"/>
        </w:tabs>
        <w:spacing w:before="6"/>
        <w:ind w:left="120"/>
        <w:rPr>
          <w:rFonts w:ascii="Times New Roman"/>
        </w:rPr>
      </w:pPr>
      <w:r>
        <w:rPr>
          <w:rFonts w:ascii="Times New Roman"/>
        </w:rPr>
        <w:t>Sodium Thiosulfate Standard Solution, 0.1 N................................ 100</w:t>
      </w:r>
      <w:r>
        <w:rPr>
          <w:rFonts w:ascii="Times New Roman"/>
          <w:spacing w:val="-24"/>
        </w:rPr>
        <w:t> </w:t>
      </w:r>
      <w:r>
        <w:rPr>
          <w:rFonts w:ascii="Times New Roman"/>
        </w:rPr>
        <w:t>mL</w:t>
      </w:r>
      <w:r>
        <w:rPr>
          <w:rFonts w:ascii="Times New Roman"/>
          <w:spacing w:val="-2"/>
        </w:rPr>
        <w:t> </w:t>
      </w:r>
      <w:r>
        <w:rPr>
          <w:rFonts w:ascii="Times New Roman"/>
        </w:rPr>
        <w:t>MDB</w:t>
        <w:tab/>
        <w:t>323-32</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8"/>
        </w:rPr>
      </w:pPr>
      <w:r>
        <w:rPr/>
        <w:pict>
          <v:group style="position:absolute;margin-left:53.75pt;margin-top:12.413932pt;width:126.75pt;height:.5pt;mso-position-horizontal-relative:page;mso-position-vertical-relative:paragraph;z-index:16072;mso-wrap-distance-left:0;mso-wrap-distance-right:0" coordorigin="1075,248" coordsize="2535,10">
            <v:line style="position:absolute" from="1080,253" to="1080,253" stroked="true" strokeweight=".48pt" strokecolor="#000000"/>
            <v:line style="position:absolute" from="3600,253" to="3605,253" stroked="true" strokeweight=".48pt" strokecolor="#000000"/>
            <v:line style="position:absolute" from="1080,253" to="3600,253" stroked="true" strokeweight=".48pt" strokecolor="#000000"/>
            <v:line style="position:absolute" from="1080,253" to="1080,253" stroked="true" strokeweight=".48pt" strokecolor="#000000"/>
            <v:line style="position:absolute" from="1080,253" to="3605,253" stroked="true" strokeweight=".48pt" strokecolor="#000000"/>
            <w10:wrap type="topAndBottom"/>
          </v:group>
        </w:pict>
      </w:r>
    </w:p>
    <w:p>
      <w:pPr>
        <w:spacing w:before="111"/>
        <w:ind w:left="120" w:right="138" w:firstLine="0"/>
        <w:jc w:val="left"/>
        <w:rPr>
          <w:rFonts w:ascii="Times New Roman"/>
          <w:sz w:val="20"/>
        </w:rPr>
      </w:pPr>
      <w:r>
        <w:rPr>
          <w:rFonts w:ascii="Times New Roman"/>
          <w:sz w:val="20"/>
        </w:rPr>
        <w:t>* Contact Hach for larger sizes.</w:t>
      </w:r>
    </w:p>
    <w:p>
      <w:pPr>
        <w:pStyle w:val="BodyText"/>
        <w:rPr>
          <w:rFonts w:ascii="Times New Roman"/>
          <w:sz w:val="16"/>
        </w:rPr>
      </w:pPr>
    </w:p>
    <w:p>
      <w:pPr>
        <w:pStyle w:val="Heading5"/>
        <w:ind w:left="2484" w:right="2484"/>
        <w:jc w:val="center"/>
        <w:rPr>
          <w:rFonts w:ascii="Times New Roman"/>
        </w:rPr>
      </w:pPr>
      <w:r>
        <w:rPr>
          <w:rFonts w:ascii="Times New Roman"/>
        </w:rPr>
        <w:t>47</w:t>
      </w:r>
    </w:p>
    <w:p>
      <w:pPr>
        <w:spacing w:after="0"/>
        <w:jc w:val="center"/>
        <w:rPr>
          <w:rFonts w:ascii="Times New Roman"/>
        </w:rPr>
        <w:sectPr>
          <w:headerReference w:type="default" r:id="rId353"/>
          <w:footerReference w:type="default" r:id="rId354"/>
          <w:pgSz w:w="10080" w:h="12960"/>
          <w:pgMar w:header="0" w:footer="0" w:top="600" w:bottom="0" w:left="960" w:right="600"/>
        </w:sectPr>
      </w:pPr>
    </w:p>
    <w:p>
      <w:pPr>
        <w:spacing w:before="44"/>
        <w:ind w:left="120" w:right="138" w:firstLine="0"/>
        <w:jc w:val="left"/>
        <w:rPr>
          <w:rFonts w:ascii="Times New Roman"/>
          <w:b/>
          <w:sz w:val="24"/>
        </w:rPr>
      </w:pPr>
      <w:r>
        <w:rPr/>
        <w:pict>
          <v:group style="position:absolute;margin-left:35.474998pt;margin-top:21.975325pt;width:415.05pt;height:1.05pt;mso-position-horizontal-relative:page;mso-position-vertical-relative:paragraph;z-index:16096;mso-wrap-distance-left:0;mso-wrap-distance-right:0" coordorigin="709,440" coordsize="8301,21">
            <v:line style="position:absolute" from="720,450" to="720,450" stroked="true" strokeweight="1.02pt" strokecolor="#000000"/>
            <v:line style="position:absolute" from="9000,450" to="9000,450" stroked="true" strokeweight="1.02pt" strokecolor="#000000"/>
            <v:line style="position:absolute" from="720,450" to="9000,450" stroked="true" strokeweight="1.02pt" strokecolor="#000000"/>
            <w10:wrap type="topAndBottom"/>
          </v:group>
        </w:pict>
      </w:r>
      <w:r>
        <w:rPr>
          <w:rFonts w:ascii="Times New Roman"/>
          <w:b/>
          <w:sz w:val="28"/>
        </w:rPr>
        <w:t>ALKALINITY, </w:t>
      </w:r>
      <w:r>
        <w:rPr>
          <w:rFonts w:ascii="Times New Roman"/>
          <w:b/>
          <w:sz w:val="24"/>
        </w:rPr>
        <w:t>continued</w:t>
      </w:r>
    </w:p>
    <w:p>
      <w:pPr>
        <w:pStyle w:val="Heading4"/>
        <w:spacing w:before="189"/>
        <w:ind w:left="120" w:right="138"/>
        <w:rPr>
          <w:rFonts w:ascii="Times New Roman"/>
        </w:rPr>
      </w:pPr>
      <w:r>
        <w:rPr>
          <w:rFonts w:ascii="Times New Roman"/>
        </w:rPr>
        <w:t>OPTIONAL APPARATUS</w:t>
      </w:r>
    </w:p>
    <w:p>
      <w:pPr>
        <w:tabs>
          <w:tab w:pos="6800" w:val="left" w:leader="none"/>
          <w:tab w:pos="7810" w:val="left" w:leader="none"/>
        </w:tabs>
        <w:spacing w:before="1"/>
        <w:ind w:left="120" w:right="68" w:firstLine="0"/>
        <w:jc w:val="left"/>
        <w:rPr>
          <w:rFonts w:ascii="Times New Roman"/>
          <w:b/>
          <w:sz w:val="18"/>
        </w:rPr>
      </w:pPr>
      <w:r>
        <w:rPr>
          <w:rFonts w:ascii="Times New Roman"/>
          <w:b/>
          <w:sz w:val="18"/>
        </w:rPr>
        <w:t>Description</w:t>
        <w:tab/>
        <w:t>Unit</w:t>
        <w:tab/>
        <w:t>Cat.</w:t>
      </w:r>
      <w:r>
        <w:rPr>
          <w:rFonts w:ascii="Times New Roman"/>
          <w:b/>
          <w:spacing w:val="-6"/>
          <w:sz w:val="18"/>
        </w:rPr>
        <w:t> </w:t>
      </w:r>
      <w:r>
        <w:rPr>
          <w:rFonts w:ascii="Times New Roman"/>
          <w:b/>
          <w:sz w:val="18"/>
        </w:rPr>
        <w:t>No</w:t>
      </w:r>
    </w:p>
    <w:p>
      <w:pPr>
        <w:pStyle w:val="BodyText"/>
        <w:tabs>
          <w:tab w:pos="8399" w:val="right" w:leader="dot"/>
        </w:tabs>
        <w:spacing w:before="1"/>
        <w:ind w:left="120"/>
        <w:rPr>
          <w:rFonts w:ascii="Times New Roman"/>
        </w:rPr>
      </w:pPr>
      <w:r>
        <w:rPr>
          <w:rFonts w:ascii="Times New Roman"/>
        </w:rPr>
        <w:t>Bottle, wash, </w:t>
      </w:r>
      <w:r>
        <w:rPr>
          <w:rFonts w:ascii="Times New Roman"/>
          <w:spacing w:val="-3"/>
        </w:rPr>
        <w:t>poly,</w:t>
      </w:r>
      <w:r>
        <w:rPr>
          <w:rFonts w:ascii="Times New Roman"/>
          <w:spacing w:val="-7"/>
        </w:rPr>
        <w:t> </w:t>
      </w:r>
      <w:r>
        <w:rPr>
          <w:rFonts w:ascii="Times New Roman"/>
        </w:rPr>
        <w:t>500-mL............................................................................</w:t>
      </w:r>
      <w:r>
        <w:rPr>
          <w:rFonts w:ascii="Times New Roman"/>
          <w:spacing w:val="-24"/>
        </w:rPr>
        <w:t> </w:t>
      </w:r>
      <w:r>
        <w:rPr>
          <w:rFonts w:ascii="Times New Roman"/>
        </w:rPr>
        <w:t>each</w:t>
        <w:tab/>
        <w:t>620-11</w:t>
      </w:r>
    </w:p>
    <w:p>
      <w:pPr>
        <w:pStyle w:val="BodyText"/>
        <w:tabs>
          <w:tab w:pos="7557" w:val="left" w:leader="dot"/>
        </w:tabs>
        <w:spacing w:before="7"/>
        <w:ind w:left="119" w:right="68"/>
        <w:rPr>
          <w:rFonts w:ascii="Times New Roman"/>
        </w:rPr>
      </w:pPr>
      <w:r>
        <w:rPr>
          <w:rFonts w:ascii="Times New Roman"/>
        </w:rPr>
        <w:t>Clamp, 2-prong extension, 38-mm</w:t>
      </w:r>
      <w:r>
        <w:rPr>
          <w:rFonts w:ascii="Times New Roman"/>
          <w:spacing w:val="-30"/>
        </w:rPr>
        <w:t> </w:t>
      </w:r>
      <w:r>
        <w:rPr>
          <w:rFonts w:ascii="Times New Roman"/>
        </w:rPr>
        <w:t>................................................................</w:t>
      </w:r>
      <w:r>
        <w:rPr>
          <w:rFonts w:ascii="Times New Roman"/>
          <w:spacing w:val="-27"/>
        </w:rPr>
        <w:t> </w:t>
      </w:r>
      <w:r>
        <w:rPr>
          <w:rFonts w:ascii="Times New Roman"/>
        </w:rPr>
        <w:t>each</w:t>
        <w:tab/>
        <w:t>21145-00</w:t>
      </w:r>
    </w:p>
    <w:p>
      <w:pPr>
        <w:pStyle w:val="BodyText"/>
        <w:tabs>
          <w:tab w:pos="7776" w:val="left" w:leader="dot"/>
        </w:tabs>
        <w:spacing w:before="6"/>
        <w:ind w:left="119" w:right="68"/>
        <w:rPr>
          <w:rFonts w:ascii="Times New Roman"/>
        </w:rPr>
      </w:pPr>
      <w:r>
        <w:rPr>
          <w:rFonts w:ascii="Times New Roman"/>
        </w:rPr>
        <w:t>Clamp</w:t>
      </w:r>
      <w:r>
        <w:rPr>
          <w:rFonts w:ascii="Times New Roman"/>
          <w:spacing w:val="-11"/>
        </w:rPr>
        <w:t> </w:t>
      </w:r>
      <w:r>
        <w:rPr>
          <w:rFonts w:ascii="Times New Roman"/>
        </w:rPr>
        <w:t>Holder.................................................................................................</w:t>
      </w:r>
      <w:r>
        <w:rPr>
          <w:rFonts w:ascii="Times New Roman"/>
          <w:spacing w:val="-29"/>
        </w:rPr>
        <w:t> </w:t>
      </w:r>
      <w:r>
        <w:rPr>
          <w:rFonts w:ascii="Times New Roman"/>
        </w:rPr>
        <w:t>each</w:t>
        <w:tab/>
        <w:t>326-00</w:t>
      </w:r>
    </w:p>
    <w:p>
      <w:pPr>
        <w:pStyle w:val="BodyText"/>
        <w:tabs>
          <w:tab w:pos="7557" w:val="left" w:leader="dot"/>
        </w:tabs>
        <w:spacing w:line="249" w:lineRule="exact" w:before="7"/>
        <w:ind w:left="119" w:right="68"/>
        <w:rPr>
          <w:rFonts w:ascii="Times New Roman"/>
        </w:rPr>
      </w:pPr>
      <w:r>
        <w:rPr>
          <w:rFonts w:ascii="Times New Roman"/>
        </w:rPr>
        <w:t>Demineralizer Assembly,</w:t>
      </w:r>
      <w:r>
        <w:rPr>
          <w:rFonts w:ascii="Times New Roman"/>
          <w:spacing w:val="-8"/>
        </w:rPr>
        <w:t> </w:t>
      </w:r>
      <w:r>
        <w:rPr>
          <w:rFonts w:ascii="Times New Roman"/>
        </w:rPr>
        <w:t>473-mL.................................................................</w:t>
      </w:r>
      <w:r>
        <w:rPr>
          <w:rFonts w:ascii="Times New Roman"/>
          <w:spacing w:val="-26"/>
        </w:rPr>
        <w:t> </w:t>
      </w:r>
      <w:r>
        <w:rPr>
          <w:rFonts w:ascii="Times New Roman"/>
        </w:rPr>
        <w:t>each</w:t>
        <w:tab/>
        <w:t>21846-00</w:t>
      </w:r>
    </w:p>
    <w:p>
      <w:pPr>
        <w:pStyle w:val="BodyText"/>
        <w:tabs>
          <w:tab w:pos="7555" w:val="left" w:leader="dot"/>
        </w:tabs>
        <w:spacing w:line="260" w:lineRule="exact"/>
        <w:ind w:left="119" w:right="68"/>
        <w:rPr>
          <w:rFonts w:ascii="Times New Roman" w:hAnsi="Times New Roman"/>
        </w:rPr>
      </w:pPr>
      <w:r>
        <w:rPr>
          <w:rFonts w:ascii="Times New Roman" w:hAnsi="Times New Roman"/>
        </w:rPr>
        <w:t>Delivery Tubes, with 180</w:t>
      </w:r>
      <w:r>
        <w:rPr>
          <w:rFonts w:ascii="Symbol" w:hAnsi="Symbol"/>
        </w:rPr>
        <w:t></w:t>
      </w:r>
      <w:r>
        <w:rPr>
          <w:rFonts w:ascii="Times New Roman" w:hAnsi="Times New Roman"/>
        </w:rPr>
        <w:t> hook</w:t>
      </w:r>
      <w:r>
        <w:rPr>
          <w:rFonts w:ascii="Times New Roman" w:hAnsi="Times New Roman"/>
          <w:spacing w:val="-43"/>
        </w:rPr>
        <w:t> </w:t>
      </w:r>
      <w:r>
        <w:rPr>
          <w:rFonts w:ascii="Times New Roman" w:hAnsi="Times New Roman"/>
        </w:rPr>
        <w:t>..................................................................</w:t>
      </w:r>
      <w:r>
        <w:rPr>
          <w:rFonts w:ascii="Times New Roman" w:hAnsi="Times New Roman"/>
          <w:spacing w:val="-17"/>
        </w:rPr>
        <w:t> </w:t>
      </w:r>
      <w:r>
        <w:rPr>
          <w:rFonts w:ascii="Times New Roman" w:hAnsi="Times New Roman"/>
        </w:rPr>
        <w:t>5/pkg</w:t>
        <w:tab/>
        <w:t>17205-00</w:t>
      </w:r>
    </w:p>
    <w:p>
      <w:pPr>
        <w:pStyle w:val="BodyText"/>
        <w:tabs>
          <w:tab w:pos="7556" w:val="left" w:leader="dot"/>
        </w:tabs>
        <w:spacing w:line="261" w:lineRule="exact"/>
        <w:ind w:left="119" w:right="68"/>
        <w:rPr>
          <w:rFonts w:ascii="Times New Roman" w:hAnsi="Times New Roman"/>
        </w:rPr>
      </w:pPr>
      <w:r>
        <w:rPr>
          <w:rFonts w:ascii="Times New Roman" w:hAnsi="Times New Roman"/>
        </w:rPr>
        <w:t>Delivery </w:t>
      </w:r>
      <w:r>
        <w:rPr>
          <w:rFonts w:ascii="Times New Roman" w:hAnsi="Times New Roman"/>
          <w:spacing w:val="-3"/>
        </w:rPr>
        <w:t>Tubes, </w:t>
      </w:r>
      <w:r>
        <w:rPr>
          <w:rFonts w:ascii="Times New Roman" w:hAnsi="Times New Roman"/>
        </w:rPr>
        <w:t>90</w:t>
      </w:r>
      <w:r>
        <w:rPr>
          <w:rFonts w:ascii="Symbol" w:hAnsi="Symbol"/>
        </w:rPr>
        <w:t></w:t>
      </w:r>
      <w:r>
        <w:rPr>
          <w:rFonts w:ascii="Times New Roman" w:hAnsi="Times New Roman"/>
        </w:rPr>
        <w:t> with hook for TitraStir</w:t>
      </w:r>
      <w:r>
        <w:rPr>
          <w:rFonts w:ascii="Times New Roman" w:hAnsi="Times New Roman"/>
          <w:position w:val="5"/>
          <w:sz w:val="17"/>
        </w:rPr>
        <w:t>® </w:t>
      </w:r>
      <w:r>
        <w:rPr>
          <w:rFonts w:ascii="Times New Roman" w:hAnsi="Times New Roman"/>
        </w:rPr>
        <w:t>Stir Plate</w:t>
      </w:r>
      <w:r>
        <w:rPr>
          <w:rFonts w:ascii="Times New Roman" w:hAnsi="Times New Roman"/>
          <w:spacing w:val="-43"/>
        </w:rPr>
        <w:t> </w:t>
      </w:r>
      <w:r>
        <w:rPr>
          <w:rFonts w:ascii="Times New Roman" w:hAnsi="Times New Roman"/>
        </w:rPr>
        <w:t>..............................</w:t>
      </w:r>
      <w:r>
        <w:rPr>
          <w:rFonts w:ascii="Times New Roman" w:hAnsi="Times New Roman"/>
          <w:spacing w:val="-15"/>
        </w:rPr>
        <w:t> </w:t>
      </w:r>
      <w:r>
        <w:rPr>
          <w:rFonts w:ascii="Times New Roman" w:hAnsi="Times New Roman"/>
        </w:rPr>
        <w:t>5/pkg</w:t>
        <w:tab/>
        <w:t>41578-00</w:t>
      </w:r>
    </w:p>
    <w:p>
      <w:pPr>
        <w:pStyle w:val="BodyText"/>
        <w:tabs>
          <w:tab w:pos="8398" w:val="right" w:leader="dot"/>
        </w:tabs>
        <w:spacing w:line="260" w:lineRule="exact"/>
        <w:ind w:left="120"/>
        <w:rPr>
          <w:rFonts w:ascii="Times New Roman" w:hAnsi="Times New Roman"/>
        </w:rPr>
      </w:pPr>
      <w:r>
        <w:rPr>
          <w:rFonts w:ascii="Times New Roman" w:hAnsi="Times New Roman"/>
        </w:rPr>
        <w:t>Pipet, </w:t>
      </w:r>
      <w:r>
        <w:rPr>
          <w:rFonts w:ascii="Times New Roman" w:hAnsi="Times New Roman"/>
          <w:spacing w:val="-2"/>
        </w:rPr>
        <w:t>TenSette</w:t>
      </w:r>
      <w:r>
        <w:rPr>
          <w:rFonts w:ascii="Times New Roman" w:hAnsi="Times New Roman"/>
          <w:spacing w:val="-2"/>
          <w:position w:val="6"/>
          <w:sz w:val="17"/>
        </w:rPr>
        <w:t>® </w:t>
      </w:r>
      <w:r>
        <w:rPr>
          <w:rFonts w:ascii="Times New Roman" w:hAnsi="Times New Roman"/>
        </w:rPr>
        <w:t>0.1 to 1.0 mL</w:t>
      </w:r>
      <w:r>
        <w:rPr>
          <w:rFonts w:ascii="Times New Roman" w:hAnsi="Times New Roman"/>
          <w:spacing w:val="-20"/>
        </w:rPr>
        <w:t> </w:t>
      </w:r>
      <w:r>
        <w:rPr>
          <w:rFonts w:ascii="Times New Roman" w:hAnsi="Times New Roman"/>
        </w:rPr>
        <w:t>......................................................................</w:t>
      </w:r>
      <w:r>
        <w:rPr>
          <w:rFonts w:ascii="Times New Roman" w:hAnsi="Times New Roman"/>
          <w:spacing w:val="-25"/>
        </w:rPr>
        <w:t> </w:t>
      </w:r>
      <w:r>
        <w:rPr>
          <w:rFonts w:ascii="Times New Roman" w:hAnsi="Times New Roman"/>
        </w:rPr>
        <w:t>each</w:t>
        <w:tab/>
        <w:t>19700-01</w:t>
      </w:r>
    </w:p>
    <w:p>
      <w:pPr>
        <w:pStyle w:val="BodyText"/>
        <w:tabs>
          <w:tab w:pos="8400" w:val="right" w:leader="dot"/>
        </w:tabs>
        <w:spacing w:line="263" w:lineRule="exact"/>
        <w:ind w:left="120"/>
        <w:rPr>
          <w:rFonts w:ascii="Times New Roman" w:hAnsi="Times New Roman"/>
        </w:rPr>
      </w:pPr>
      <w:r>
        <w:rPr>
          <w:rFonts w:ascii="Times New Roman" w:hAnsi="Times New Roman"/>
        </w:rPr>
        <w:t>Pipet Tips for 19700-01 </w:t>
      </w:r>
      <w:r>
        <w:rPr>
          <w:rFonts w:ascii="Times New Roman" w:hAnsi="Times New Roman"/>
          <w:spacing w:val="-2"/>
        </w:rPr>
        <w:t>TenSette</w:t>
      </w:r>
      <w:r>
        <w:rPr>
          <w:rFonts w:ascii="Times New Roman" w:hAnsi="Times New Roman"/>
          <w:spacing w:val="-2"/>
          <w:position w:val="6"/>
          <w:sz w:val="17"/>
        </w:rPr>
        <w:t>®</w:t>
      </w:r>
      <w:r>
        <w:rPr>
          <w:rFonts w:ascii="Times New Roman" w:hAnsi="Times New Roman"/>
          <w:position w:val="6"/>
          <w:sz w:val="17"/>
        </w:rPr>
        <w:t> </w:t>
      </w:r>
      <w:r>
        <w:rPr>
          <w:rFonts w:ascii="Times New Roman" w:hAnsi="Times New Roman"/>
        </w:rPr>
        <w:t>Pipet...................................................</w:t>
      </w:r>
      <w:r>
        <w:rPr>
          <w:rFonts w:ascii="Times New Roman" w:hAnsi="Times New Roman"/>
          <w:spacing w:val="-15"/>
        </w:rPr>
        <w:t> </w:t>
      </w:r>
      <w:r>
        <w:rPr>
          <w:rFonts w:ascii="Times New Roman" w:hAnsi="Times New Roman"/>
        </w:rPr>
        <w:t>50/pkg</w:t>
        <w:tab/>
        <w:t>21856-96</w:t>
      </w:r>
    </w:p>
    <w:p>
      <w:pPr>
        <w:pStyle w:val="BodyText"/>
        <w:tabs>
          <w:tab w:pos="8398" w:val="right" w:leader="dot"/>
        </w:tabs>
        <w:spacing w:before="6"/>
        <w:ind w:left="120"/>
        <w:rPr>
          <w:rFonts w:ascii="Times New Roman"/>
        </w:rPr>
      </w:pPr>
      <w:r>
        <w:rPr>
          <w:rFonts w:ascii="Times New Roman"/>
        </w:rPr>
        <w:t>Pipet, volumetric, Class A, 10-mL</w:t>
      </w:r>
      <w:r>
        <w:rPr>
          <w:rFonts w:ascii="Times New Roman"/>
          <w:spacing w:val="-17"/>
        </w:rPr>
        <w:t> </w:t>
      </w:r>
      <w:r>
        <w:rPr>
          <w:rFonts w:ascii="Times New Roman"/>
        </w:rPr>
        <w:t>................................................................</w:t>
      </w:r>
      <w:r>
        <w:rPr>
          <w:rFonts w:ascii="Times New Roman"/>
          <w:spacing w:val="-26"/>
        </w:rPr>
        <w:t> </w:t>
      </w:r>
      <w:r>
        <w:rPr>
          <w:rFonts w:ascii="Times New Roman"/>
        </w:rPr>
        <w:t>each</w:t>
        <w:tab/>
        <w:t>14515-38</w:t>
      </w:r>
    </w:p>
    <w:p>
      <w:pPr>
        <w:pStyle w:val="BodyText"/>
        <w:tabs>
          <w:tab w:pos="8398" w:val="right" w:leader="dot"/>
        </w:tabs>
        <w:spacing w:before="7"/>
        <w:ind w:left="120"/>
        <w:rPr>
          <w:rFonts w:ascii="Times New Roman"/>
        </w:rPr>
      </w:pPr>
      <w:r>
        <w:rPr>
          <w:rFonts w:ascii="Times New Roman"/>
        </w:rPr>
        <w:t>Pipet, volumetric, Class A, 20-mL</w:t>
      </w:r>
      <w:r>
        <w:rPr>
          <w:rFonts w:ascii="Times New Roman"/>
          <w:spacing w:val="-17"/>
        </w:rPr>
        <w:t> </w:t>
      </w:r>
      <w:r>
        <w:rPr>
          <w:rFonts w:ascii="Times New Roman"/>
        </w:rPr>
        <w:t>................................................................</w:t>
      </w:r>
      <w:r>
        <w:rPr>
          <w:rFonts w:ascii="Times New Roman"/>
          <w:spacing w:val="-26"/>
        </w:rPr>
        <w:t> </w:t>
      </w:r>
      <w:r>
        <w:rPr>
          <w:rFonts w:ascii="Times New Roman"/>
        </w:rPr>
        <w:t>each</w:t>
        <w:tab/>
        <w:t>14515-20</w:t>
      </w:r>
    </w:p>
    <w:p>
      <w:pPr>
        <w:pStyle w:val="BodyText"/>
        <w:tabs>
          <w:tab w:pos="8398" w:val="right" w:leader="dot"/>
        </w:tabs>
        <w:spacing w:before="7"/>
        <w:ind w:left="120"/>
        <w:rPr>
          <w:rFonts w:ascii="Times New Roman"/>
        </w:rPr>
      </w:pPr>
      <w:r>
        <w:rPr>
          <w:rFonts w:ascii="Times New Roman"/>
        </w:rPr>
        <w:t>Pipet, volumetric, Class A, 25-mL</w:t>
      </w:r>
      <w:r>
        <w:rPr>
          <w:rFonts w:ascii="Times New Roman"/>
          <w:spacing w:val="-17"/>
        </w:rPr>
        <w:t> </w:t>
      </w:r>
      <w:r>
        <w:rPr>
          <w:rFonts w:ascii="Times New Roman"/>
        </w:rPr>
        <w:t>................................................................</w:t>
      </w:r>
      <w:r>
        <w:rPr>
          <w:rFonts w:ascii="Times New Roman"/>
          <w:spacing w:val="-26"/>
        </w:rPr>
        <w:t> </w:t>
      </w:r>
      <w:r>
        <w:rPr>
          <w:rFonts w:ascii="Times New Roman"/>
        </w:rPr>
        <w:t>each</w:t>
        <w:tab/>
        <w:t>14515-40</w:t>
      </w:r>
    </w:p>
    <w:p>
      <w:pPr>
        <w:pStyle w:val="BodyText"/>
        <w:tabs>
          <w:tab w:pos="8398" w:val="right" w:leader="dot"/>
        </w:tabs>
        <w:spacing w:before="6"/>
        <w:ind w:left="120"/>
        <w:rPr>
          <w:rFonts w:ascii="Times New Roman"/>
        </w:rPr>
      </w:pPr>
      <w:r>
        <w:rPr>
          <w:rFonts w:ascii="Times New Roman"/>
        </w:rPr>
        <w:t>Pipet, volumetric, Class A, 50-mL</w:t>
      </w:r>
      <w:r>
        <w:rPr>
          <w:rFonts w:ascii="Times New Roman"/>
          <w:spacing w:val="-17"/>
        </w:rPr>
        <w:t> </w:t>
      </w:r>
      <w:r>
        <w:rPr>
          <w:rFonts w:ascii="Times New Roman"/>
        </w:rPr>
        <w:t>................................................................</w:t>
      </w:r>
      <w:r>
        <w:rPr>
          <w:rFonts w:ascii="Times New Roman"/>
          <w:spacing w:val="-26"/>
        </w:rPr>
        <w:t> </w:t>
      </w:r>
      <w:r>
        <w:rPr>
          <w:rFonts w:ascii="Times New Roman"/>
        </w:rPr>
        <w:t>each</w:t>
        <w:tab/>
        <w:t>14515-41</w:t>
      </w:r>
    </w:p>
    <w:p>
      <w:pPr>
        <w:pStyle w:val="BodyText"/>
        <w:tabs>
          <w:tab w:pos="8398" w:val="right" w:leader="dot"/>
        </w:tabs>
        <w:spacing w:before="7"/>
        <w:ind w:left="120"/>
        <w:rPr>
          <w:rFonts w:ascii="Times New Roman"/>
        </w:rPr>
      </w:pPr>
      <w:r>
        <w:rPr>
          <w:rFonts w:ascii="Times New Roman"/>
        </w:rPr>
        <w:t>Pipet, volumetric, Class A, 100-mL</w:t>
      </w:r>
      <w:r>
        <w:rPr>
          <w:rFonts w:ascii="Times New Roman"/>
          <w:spacing w:val="-21"/>
        </w:rPr>
        <w:t> </w:t>
      </w:r>
      <w:r>
        <w:rPr>
          <w:rFonts w:ascii="Times New Roman"/>
        </w:rPr>
        <w:t>..............................................................</w:t>
      </w:r>
      <w:r>
        <w:rPr>
          <w:rFonts w:ascii="Times New Roman"/>
          <w:spacing w:val="-25"/>
        </w:rPr>
        <w:t> </w:t>
      </w:r>
      <w:r>
        <w:rPr>
          <w:rFonts w:ascii="Times New Roman"/>
        </w:rPr>
        <w:t>each</w:t>
        <w:tab/>
        <w:t>14515-42</w:t>
      </w:r>
    </w:p>
    <w:p>
      <w:pPr>
        <w:pStyle w:val="BodyText"/>
        <w:tabs>
          <w:tab w:pos="7557" w:val="left" w:leader="dot"/>
        </w:tabs>
        <w:spacing w:line="229" w:lineRule="exact" w:before="7"/>
        <w:ind w:left="120" w:right="68"/>
        <w:rPr>
          <w:rFonts w:ascii="Times New Roman"/>
        </w:rPr>
      </w:pPr>
      <w:r>
        <w:rPr>
          <w:rFonts w:ascii="Times New Roman"/>
        </w:rPr>
        <w:t>Pipet</w:t>
      </w:r>
      <w:r>
        <w:rPr>
          <w:rFonts w:ascii="Times New Roman"/>
          <w:spacing w:val="-11"/>
        </w:rPr>
        <w:t> </w:t>
      </w:r>
      <w:r>
        <w:rPr>
          <w:rFonts w:ascii="Times New Roman"/>
        </w:rPr>
        <w:t>Filler,</w:t>
      </w:r>
      <w:r>
        <w:rPr>
          <w:rFonts w:ascii="Times New Roman"/>
          <w:spacing w:val="-12"/>
        </w:rPr>
        <w:t> </w:t>
      </w:r>
      <w:r>
        <w:rPr>
          <w:rFonts w:ascii="Times New Roman"/>
        </w:rPr>
        <w:t>safety</w:t>
      </w:r>
      <w:r>
        <w:rPr>
          <w:rFonts w:ascii="Times New Roman"/>
          <w:spacing w:val="-11"/>
        </w:rPr>
        <w:t> </w:t>
      </w:r>
      <w:r>
        <w:rPr>
          <w:rFonts w:ascii="Times New Roman"/>
        </w:rPr>
        <w:t>bulb</w:t>
      </w:r>
      <w:r>
        <w:rPr>
          <w:rFonts w:ascii="Times New Roman"/>
          <w:spacing w:val="-29"/>
        </w:rPr>
        <w:t> </w:t>
      </w:r>
      <w:r>
        <w:rPr>
          <w:rFonts w:ascii="Times New Roman"/>
        </w:rPr>
        <w:t>..................................................................................</w:t>
      </w:r>
      <w:r>
        <w:rPr>
          <w:rFonts w:ascii="Times New Roman"/>
          <w:spacing w:val="-30"/>
        </w:rPr>
        <w:t> </w:t>
      </w:r>
      <w:r>
        <w:rPr>
          <w:rFonts w:ascii="Times New Roman"/>
        </w:rPr>
        <w:t>each</w:t>
        <w:tab/>
        <w:t>14651-00</w:t>
      </w:r>
    </w:p>
    <w:p>
      <w:pPr>
        <w:pStyle w:val="BodyText"/>
        <w:tabs>
          <w:tab w:pos="8399" w:val="right" w:leader="dot"/>
        </w:tabs>
        <w:spacing w:line="294" w:lineRule="exact"/>
        <w:ind w:left="120"/>
        <w:rPr>
          <w:rFonts w:ascii="Times New Roman" w:hAnsi="Times New Roman"/>
        </w:rPr>
      </w:pPr>
      <w:r>
        <w:rPr>
          <w:rFonts w:ascii="Times New Roman" w:hAnsi="Times New Roman"/>
          <w:i/>
        </w:rPr>
        <w:t>sens</w:t>
      </w:r>
      <w:r>
        <w:rPr>
          <w:rFonts w:ascii="Times New Roman" w:hAnsi="Times New Roman"/>
          <w:b/>
          <w:i/>
          <w:sz w:val="28"/>
        </w:rPr>
        <w:t>ion</w:t>
      </w:r>
      <w:r>
        <w:rPr>
          <w:rFonts w:ascii="Times New Roman" w:hAnsi="Times New Roman"/>
          <w:i/>
        </w:rPr>
        <w:t>™</w:t>
      </w:r>
      <w:r>
        <w:rPr>
          <w:rFonts w:ascii="Times New Roman" w:hAnsi="Times New Roman"/>
          <w:b/>
          <w:i/>
        </w:rPr>
        <w:t>1 </w:t>
      </w:r>
      <w:r>
        <w:rPr>
          <w:rFonts w:ascii="Times New Roman" w:hAnsi="Times New Roman"/>
        </w:rPr>
        <w:t>Basic Portable pH Meter with electrode</w:t>
      </w:r>
      <w:r>
        <w:rPr>
          <w:rFonts w:ascii="Times New Roman" w:hAnsi="Times New Roman"/>
          <w:spacing w:val="-30"/>
        </w:rPr>
        <w:t> </w:t>
      </w:r>
      <w:r>
        <w:rPr>
          <w:rFonts w:ascii="Times New Roman" w:hAnsi="Times New Roman"/>
        </w:rPr>
        <w:t>...................................</w:t>
      </w:r>
      <w:r>
        <w:rPr>
          <w:rFonts w:ascii="Times New Roman" w:hAnsi="Times New Roman"/>
          <w:spacing w:val="-25"/>
        </w:rPr>
        <w:t> </w:t>
      </w:r>
      <w:r>
        <w:rPr>
          <w:rFonts w:ascii="Times New Roman" w:hAnsi="Times New Roman"/>
        </w:rPr>
        <w:t>each</w:t>
        <w:tab/>
        <w:t>51700-10</w:t>
      </w:r>
    </w:p>
    <w:p>
      <w:pPr>
        <w:pStyle w:val="BodyText"/>
        <w:tabs>
          <w:tab w:pos="7776" w:val="left" w:leader="dot"/>
        </w:tabs>
        <w:spacing w:line="247" w:lineRule="exact"/>
        <w:ind w:left="120" w:right="68"/>
        <w:rPr>
          <w:rFonts w:ascii="Times New Roman"/>
        </w:rPr>
      </w:pPr>
      <w:r>
        <w:rPr>
          <w:rFonts w:ascii="Times New Roman"/>
        </w:rPr>
        <w:t>Support Ring</w:t>
      </w:r>
      <w:r>
        <w:rPr>
          <w:rFonts w:ascii="Times New Roman"/>
          <w:spacing w:val="-7"/>
        </w:rPr>
        <w:t> </w:t>
      </w:r>
      <w:r>
        <w:rPr>
          <w:rFonts w:ascii="Times New Roman"/>
        </w:rPr>
        <w:t>Stand........................................................................................</w:t>
      </w:r>
      <w:r>
        <w:rPr>
          <w:rFonts w:ascii="Times New Roman"/>
          <w:spacing w:val="-25"/>
        </w:rPr>
        <w:t> </w:t>
      </w:r>
      <w:r>
        <w:rPr>
          <w:rFonts w:ascii="Times New Roman"/>
        </w:rPr>
        <w:t>each</w:t>
        <w:tab/>
        <w:t>563-00</w:t>
      </w:r>
    </w:p>
    <w:p>
      <w:pPr>
        <w:pStyle w:val="BodyText"/>
        <w:tabs>
          <w:tab w:pos="7557" w:val="left" w:leader="dot"/>
        </w:tabs>
        <w:spacing w:line="260" w:lineRule="exact"/>
        <w:ind w:left="120" w:right="68"/>
        <w:rPr>
          <w:rFonts w:ascii="Times New Roman" w:hAnsi="Times New Roman"/>
        </w:rPr>
      </w:pPr>
      <w:r>
        <w:rPr>
          <w:rFonts w:ascii="Times New Roman" w:hAnsi="Times New Roman"/>
        </w:rPr>
        <w:t>TitraStir</w:t>
      </w:r>
      <w:r>
        <w:rPr>
          <w:rFonts w:ascii="Times New Roman" w:hAnsi="Times New Roman"/>
          <w:position w:val="6"/>
          <w:sz w:val="17"/>
        </w:rPr>
        <w:t>® </w:t>
      </w:r>
      <w:r>
        <w:rPr>
          <w:rFonts w:ascii="Times New Roman" w:hAnsi="Times New Roman"/>
        </w:rPr>
        <w:t>Stir Plate, 115</w:t>
      </w:r>
      <w:r>
        <w:rPr>
          <w:rFonts w:ascii="Times New Roman" w:hAnsi="Times New Roman"/>
          <w:spacing w:val="-13"/>
        </w:rPr>
        <w:t> </w:t>
      </w:r>
      <w:r>
        <w:rPr>
          <w:rFonts w:ascii="Times New Roman" w:hAnsi="Times New Roman"/>
        </w:rPr>
        <w:t>Vac.........................................................................</w:t>
      </w:r>
      <w:r>
        <w:rPr>
          <w:rFonts w:ascii="Times New Roman" w:hAnsi="Times New Roman"/>
          <w:spacing w:val="-28"/>
        </w:rPr>
        <w:t> </w:t>
      </w:r>
      <w:r>
        <w:rPr>
          <w:rFonts w:ascii="Times New Roman" w:hAnsi="Times New Roman"/>
        </w:rPr>
        <w:t>each</w:t>
        <w:tab/>
        <w:t>19400-00</w:t>
      </w:r>
    </w:p>
    <w:p>
      <w:pPr>
        <w:pStyle w:val="BodyText"/>
        <w:tabs>
          <w:tab w:pos="8398" w:val="right" w:leader="dot"/>
        </w:tabs>
        <w:spacing w:line="260" w:lineRule="exact"/>
        <w:ind w:left="119"/>
        <w:rPr>
          <w:rFonts w:ascii="Times New Roman" w:hAnsi="Times New Roman"/>
        </w:rPr>
      </w:pPr>
      <w:r>
        <w:rPr>
          <w:rFonts w:ascii="Times New Roman" w:hAnsi="Times New Roman"/>
        </w:rPr>
        <w:t>TitraStir</w:t>
      </w:r>
      <w:r>
        <w:rPr>
          <w:rFonts w:ascii="Times New Roman" w:hAnsi="Times New Roman"/>
          <w:position w:val="6"/>
          <w:sz w:val="17"/>
        </w:rPr>
        <w:t>® </w:t>
      </w:r>
      <w:r>
        <w:rPr>
          <w:rFonts w:ascii="Times New Roman" w:hAnsi="Times New Roman"/>
        </w:rPr>
        <w:t>Stir Plate, 230</w:t>
      </w:r>
      <w:r>
        <w:rPr>
          <w:rFonts w:ascii="Times New Roman" w:hAnsi="Times New Roman"/>
          <w:spacing w:val="-5"/>
        </w:rPr>
        <w:t> </w:t>
      </w:r>
      <w:r>
        <w:rPr>
          <w:rFonts w:ascii="Times New Roman" w:hAnsi="Times New Roman"/>
        </w:rPr>
        <w:t>Vac.........................................................................</w:t>
      </w:r>
      <w:r>
        <w:rPr>
          <w:rFonts w:ascii="Times New Roman" w:hAnsi="Times New Roman"/>
          <w:spacing w:val="-27"/>
        </w:rPr>
        <w:t> </w:t>
      </w:r>
      <w:r>
        <w:rPr>
          <w:rFonts w:ascii="Times New Roman" w:hAnsi="Times New Roman"/>
        </w:rPr>
        <w:t>each</w:t>
        <w:tab/>
        <w:t>19400-10</w:t>
      </w:r>
    </w:p>
    <w:p>
      <w:pPr>
        <w:pStyle w:val="BodyText"/>
        <w:tabs>
          <w:tab w:pos="7557" w:val="left" w:leader="dot"/>
        </w:tabs>
        <w:spacing w:line="263" w:lineRule="exact"/>
        <w:ind w:left="119" w:right="68"/>
        <w:rPr>
          <w:rFonts w:ascii="Times New Roman" w:hAnsi="Times New Roman"/>
        </w:rPr>
      </w:pPr>
      <w:r>
        <w:rPr>
          <w:rFonts w:ascii="Times New Roman" w:hAnsi="Times New Roman"/>
          <w:spacing w:val="-4"/>
        </w:rPr>
        <w:t>Voluette</w:t>
      </w:r>
      <w:r>
        <w:rPr>
          <w:rFonts w:ascii="Times New Roman" w:hAnsi="Times New Roman"/>
          <w:spacing w:val="-4"/>
          <w:position w:val="6"/>
          <w:sz w:val="17"/>
        </w:rPr>
        <w:t>® </w:t>
      </w:r>
      <w:r>
        <w:rPr>
          <w:rFonts w:ascii="Times New Roman" w:hAnsi="Times New Roman"/>
        </w:rPr>
        <w:t>Ampule Breaker Kit</w:t>
      </w:r>
      <w:r>
        <w:rPr>
          <w:rFonts w:ascii="Times New Roman" w:hAnsi="Times New Roman"/>
          <w:spacing w:val="-33"/>
        </w:rPr>
        <w:t> </w:t>
      </w:r>
      <w:r>
        <w:rPr>
          <w:rFonts w:ascii="Times New Roman" w:hAnsi="Times New Roman"/>
        </w:rPr>
        <w:t>......................................................................</w:t>
      </w:r>
      <w:r>
        <w:rPr>
          <w:rFonts w:ascii="Times New Roman" w:hAnsi="Times New Roman"/>
          <w:spacing w:val="-28"/>
        </w:rPr>
        <w:t> </w:t>
      </w:r>
      <w:r>
        <w:rPr>
          <w:rFonts w:ascii="Times New Roman" w:hAnsi="Times New Roman"/>
        </w:rPr>
        <w:t>each</w:t>
        <w:tab/>
        <w:t>21968-00</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5"/>
        <w:rPr>
          <w:rFonts w:ascii="Times New Roman"/>
          <w:sz w:val="30"/>
        </w:rPr>
      </w:pPr>
    </w:p>
    <w:p>
      <w:pPr>
        <w:pStyle w:val="Heading5"/>
        <w:ind w:left="2484" w:right="2484"/>
        <w:jc w:val="center"/>
        <w:rPr>
          <w:rFonts w:ascii="Times New Roman"/>
        </w:rPr>
      </w:pPr>
      <w:r>
        <w:rPr>
          <w:rFonts w:ascii="Times New Roman"/>
        </w:rPr>
        <w:t>48</w:t>
      </w:r>
    </w:p>
    <w:sectPr>
      <w:headerReference w:type="default" r:id="rId355"/>
      <w:footerReference w:type="default" r:id="rId356"/>
      <w:pgSz w:w="10080" w:h="12960"/>
      <w:pgMar w:header="0" w:footer="0" w:top="600" w:bottom="0" w:left="60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 w:name="Segoe UI Symbol">
    <w:altName w:val="Segoe UI Symbo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30712" from="72.480003pt,727.200012pt" to="546.479993pt,727.200012pt" stroked="true" strokeweight=".99996pt" strokecolor="#858585">
          <w10:wrap type="none"/>
        </v:line>
      </w:pict>
    </w:r>
    <w:r>
      <w:rPr/>
      <w:pict>
        <v:line style="position:absolute;mso-position-horizontal-relative:page;mso-position-vertical-relative:page;z-index:-1530688" from="70.440002pt,725.280029pt" to="544.439992pt,725.280029pt" stroked="true" strokeweight=".99996pt" strokecolor="#000000">
          <w10:wrap type="none"/>
        </v:line>
      </w:pict>
    </w:r>
    <w:r>
      <w:rPr/>
      <w:pict>
        <v:shape style="position:absolute;margin-left:298.9599pt;margin-top:731.570007pt;width:14.1pt;height:12pt;mso-position-horizontal-relative:page;mso-position-vertical-relative:page;z-index:-1530664" type="#_x0000_t202" filled="false" stroked="false">
          <v:textbox inset="0,0,0,0">
            <w:txbxContent>
              <w:p>
                <w:pPr>
                  <w:spacing w:line="223" w:lineRule="exact" w:before="0"/>
                  <w:ind w:left="40" w:right="-16" w:firstLine="0"/>
                  <w:jc w:val="left"/>
                  <w:rPr>
                    <w:rFonts w:ascii="Calibri"/>
                    <w:sz w:val="20"/>
                  </w:rPr>
                </w:pPr>
                <w:r>
                  <w:rPr/>
                  <w:fldChar w:fldCharType="begin"/>
                </w:r>
                <w:r>
                  <w:rPr>
                    <w:rFonts w:ascii="Calibri"/>
                    <w:sz w:val="20"/>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30640" from="72.480003pt,727.200012pt" to="546.479993pt,727.200012pt" stroked="true" strokeweight=".99996pt" strokecolor="#858585">
          <w10:wrap type="none"/>
        </v:line>
      </w:pict>
    </w:r>
    <w:r>
      <w:rPr/>
      <w:pict>
        <v:line style="position:absolute;mso-position-horizontal-relative:page;mso-position-vertical-relative:page;z-index:-1530616" from="70.440002pt,725.280029pt" to="544.439992pt,725.280029pt" stroked="true" strokeweight=".99996pt" strokecolor="#000000">
          <w10:wrap type="none"/>
        </v:line>
      </w:pict>
    </w:r>
    <w:r>
      <w:rPr/>
      <w:pict>
        <v:shape style="position:absolute;margin-left:297.319885pt;margin-top:731.570007pt;width:17.150pt;height:12pt;mso-position-horizontal-relative:page;mso-position-vertical-relative:page;z-index:-1530592" type="#_x0000_t202" filled="false" stroked="false">
          <v:textbox inset="0,0,0,0">
            <w:txbxContent>
              <w:p>
                <w:pPr>
                  <w:spacing w:line="223" w:lineRule="exact" w:before="0"/>
                  <w:ind w:left="20" w:right="-2" w:firstLine="0"/>
                  <w:jc w:val="left"/>
                  <w:rPr>
                    <w:rFonts w:ascii="Calibri"/>
                    <w:sz w:val="20"/>
                  </w:rPr>
                </w:pPr>
                <w:r>
                  <w:rPr>
                    <w:rFonts w:ascii="Calibri"/>
                    <w:sz w:val="20"/>
                  </w:rPr>
                  <w:t>100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30568" from="72.480003pt,727.200012pt" to="546.479993pt,727.200012pt" stroked="true" strokeweight=".99996pt" strokecolor="#858585">
          <w10:wrap type="none"/>
        </v:line>
      </w:pict>
    </w:r>
    <w:r>
      <w:rPr/>
      <w:pict>
        <v:line style="position:absolute;mso-position-horizontal-relative:page;mso-position-vertical-relative:page;z-index:-1530544" from="70.440002pt,725.280029pt" to="544.439992pt,725.280029pt" stroked="true" strokeweight=".99996pt" strokecolor="#000000">
          <w10:wrap type="none"/>
        </v:line>
      </w:pict>
    </w:r>
    <w:r>
      <w:rPr/>
      <w:pict>
        <v:shape style="position:absolute;margin-left:296.319885pt;margin-top:731.570007pt;width:19.150pt;height:12pt;mso-position-horizontal-relative:page;mso-position-vertical-relative:page;z-index:-1530520"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101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30496" from="72.480003pt,727.200012pt" to="546.479993pt,727.200012pt" stroked="true" strokeweight=".99996pt" strokecolor="#858585">
          <w10:wrap type="none"/>
        </v:line>
      </w:pict>
    </w:r>
    <w:r>
      <w:rPr/>
      <w:pict>
        <v:line style="position:absolute;mso-position-horizontal-relative:page;mso-position-vertical-relative:page;z-index:-1530472" from="70.440002pt,725.280029pt" to="544.439992pt,725.280029pt" stroked="true" strokeweight=".99996pt" strokecolor="#000000">
          <w10:wrap type="none"/>
        </v:line>
      </w:pict>
    </w:r>
    <w:r>
      <w:rPr/>
      <w:pict>
        <v:shape style="position:absolute;margin-left:297.319885pt;margin-top:731.570007pt;width:17.150pt;height:12pt;mso-position-horizontal-relative:page;mso-position-vertical-relative:page;z-index:-1530448" type="#_x0000_t202" filled="false" stroked="false">
          <v:textbox inset="0,0,0,0">
            <w:txbxContent>
              <w:p>
                <w:pPr>
                  <w:spacing w:line="223" w:lineRule="exact" w:before="0"/>
                  <w:ind w:left="20" w:right="-2" w:firstLine="0"/>
                  <w:jc w:val="left"/>
                  <w:rPr>
                    <w:rFonts w:ascii="Calibri"/>
                    <w:sz w:val="20"/>
                  </w:rPr>
                </w:pPr>
                <w:r>
                  <w:rPr>
                    <w:rFonts w:ascii="Calibri"/>
                    <w:sz w:val="20"/>
                  </w:rPr>
                  <w:t>200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30424" from="72.480003pt,727.200012pt" to="546.479993pt,727.200012pt" stroked="true" strokeweight=".99996pt" strokecolor="#858585">
          <w10:wrap type="none"/>
        </v:line>
      </w:pict>
    </w:r>
    <w:r>
      <w:rPr/>
      <w:pict>
        <v:line style="position:absolute;mso-position-horizontal-relative:page;mso-position-vertical-relative:page;z-index:-1530400" from="70.440002pt,725.280029pt" to="544.439992pt,725.280029pt" stroked="true" strokeweight=".99996pt" strokecolor="#000000">
          <w10:wrap type="none"/>
        </v:line>
      </w:pict>
    </w:r>
    <w:r>
      <w:rPr/>
      <w:pict>
        <v:shape style="position:absolute;margin-left:296.319885pt;margin-top:731.570007pt;width:19.150pt;height:12pt;mso-position-horizontal-relative:page;mso-position-vertical-relative:page;z-index:-1530376" type="#_x0000_t202" filled="false" stroked="false">
          <v:textbox inset="0,0,0,0">
            <w:txbxContent>
              <w:p>
                <w:pPr>
                  <w:spacing w:line="223" w:lineRule="exact" w:before="0"/>
                  <w:ind w:left="40" w:right="0" w:firstLine="0"/>
                  <w:jc w:val="left"/>
                  <w:rPr>
                    <w:rFonts w:ascii="Calibri"/>
                    <w:sz w:val="20"/>
                  </w:rPr>
                </w:pPr>
                <w:r>
                  <w:rPr/>
                  <w:fldChar w:fldCharType="begin"/>
                </w:r>
                <w:r>
                  <w:rPr>
                    <w:rFonts w:ascii="Calibri"/>
                    <w:sz w:val="20"/>
                  </w:rPr>
                  <w:instrText> PAGE </w:instrText>
                </w:r>
                <w:r>
                  <w:rPr/>
                  <w:fldChar w:fldCharType="separate"/>
                </w:r>
                <w:r>
                  <w:rPr/>
                  <w:t>201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30784" from="51.720001pt,65.400002pt" to="544.43999pt,65.400002pt" stroked="true" strokeweight=".99996pt" strokecolor="#000000">
          <w10:wrap type="none"/>
        </v:line>
      </w:pict>
    </w:r>
    <w:r>
      <w:rPr/>
      <w:pict>
        <v:line style="position:absolute;mso-position-horizontal-relative:page;mso-position-vertical-relative:page;z-index:-1530760" from="53.759998pt,67.440002pt" to="546.479987pt,67.440002pt" stroked="true" strokeweight=".99996pt" strokecolor="#7e7e7e">
          <w10:wrap type="none"/>
        </v:line>
      </w:pict>
    </w:r>
    <w:r>
      <w:rPr/>
      <w:pict>
        <v:shapetype id="_x0000_t202" o:spt="202" coordsize="21600,21600" path="m,l,21600r21600,l21600,xe">
          <v:stroke joinstyle="miter"/>
          <v:path gradientshapeok="t" o:connecttype="rect"/>
        </v:shapetype>
        <v:shape style="position:absolute;margin-left:86.239998pt;margin-top:35.267467pt;width:439.6pt;height:21.35pt;mso-position-horizontal-relative:page;mso-position-vertical-relative:page;z-index:-1530736" type="#_x0000_t202" filled="false" stroked="false">
          <v:textbox inset="0,0,0,0">
            <w:txbxContent>
              <w:p>
                <w:pPr>
                  <w:spacing w:line="206" w:lineRule="exact" w:before="1"/>
                  <w:ind w:left="154" w:right="2" w:hanging="135"/>
                  <w:jc w:val="left"/>
                  <w:rPr>
                    <w:b/>
                    <w:sz w:val="18"/>
                  </w:rPr>
                </w:pPr>
                <w:r>
                  <w:rPr>
                    <w:b/>
                    <w:sz w:val="18"/>
                  </w:rPr>
                  <w:t>EVALUACIÓN Y MODELACIÓN DE UN TREN DE TRATAMIENTO DE AGUA RESIDUAL ACUÍCOLA CON RECIRCULACIÓN Y DEL CULTIVO DE TRUCHA ARCO IRIS ALIMENTADO POR COSECHA PLUVIAL</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0">
    <w:multiLevelType w:val="hybridMultilevel"/>
    <w:lvl w:ilvl="0">
      <w:start w:val="1"/>
      <w:numFmt w:val="decimal"/>
      <w:lvlText w:val="%1."/>
      <w:lvlJc w:val="left"/>
      <w:pPr>
        <w:ind w:left="3000" w:hanging="360"/>
        <w:jc w:val="left"/>
      </w:pPr>
      <w:rPr>
        <w:rFonts w:hint="default" w:ascii="Times New Roman" w:hAnsi="Times New Roman" w:eastAsia="Times New Roman" w:cs="Times New Roman"/>
        <w:b/>
        <w:bCs/>
        <w:spacing w:val="-1"/>
        <w:w w:val="99"/>
        <w:sz w:val="22"/>
        <w:szCs w:val="22"/>
      </w:rPr>
    </w:lvl>
    <w:lvl w:ilvl="1">
      <w:start w:val="1"/>
      <w:numFmt w:val="bullet"/>
      <w:lvlText w:val="•"/>
      <w:lvlJc w:val="left"/>
      <w:pPr>
        <w:ind w:left="3552" w:hanging="360"/>
      </w:pPr>
      <w:rPr>
        <w:rFonts w:hint="default"/>
      </w:rPr>
    </w:lvl>
    <w:lvl w:ilvl="2">
      <w:start w:val="1"/>
      <w:numFmt w:val="bullet"/>
      <w:lvlText w:val="•"/>
      <w:lvlJc w:val="left"/>
      <w:pPr>
        <w:ind w:left="4104" w:hanging="360"/>
      </w:pPr>
      <w:rPr>
        <w:rFonts w:hint="default"/>
      </w:rPr>
    </w:lvl>
    <w:lvl w:ilvl="3">
      <w:start w:val="1"/>
      <w:numFmt w:val="bullet"/>
      <w:lvlText w:val="•"/>
      <w:lvlJc w:val="left"/>
      <w:pPr>
        <w:ind w:left="4656" w:hanging="360"/>
      </w:pPr>
      <w:rPr>
        <w:rFonts w:hint="default"/>
      </w:rPr>
    </w:lvl>
    <w:lvl w:ilvl="4">
      <w:start w:val="1"/>
      <w:numFmt w:val="bullet"/>
      <w:lvlText w:val="•"/>
      <w:lvlJc w:val="left"/>
      <w:pPr>
        <w:ind w:left="5208" w:hanging="360"/>
      </w:pPr>
      <w:rPr>
        <w:rFonts w:hint="default"/>
      </w:rPr>
    </w:lvl>
    <w:lvl w:ilvl="5">
      <w:start w:val="1"/>
      <w:numFmt w:val="bullet"/>
      <w:lvlText w:val="•"/>
      <w:lvlJc w:val="left"/>
      <w:pPr>
        <w:ind w:left="5760" w:hanging="360"/>
      </w:pPr>
      <w:rPr>
        <w:rFonts w:hint="default"/>
      </w:rPr>
    </w:lvl>
    <w:lvl w:ilvl="6">
      <w:start w:val="1"/>
      <w:numFmt w:val="bullet"/>
      <w:lvlText w:val="•"/>
      <w:lvlJc w:val="left"/>
      <w:pPr>
        <w:ind w:left="6312" w:hanging="360"/>
      </w:pPr>
      <w:rPr>
        <w:rFonts w:hint="default"/>
      </w:rPr>
    </w:lvl>
    <w:lvl w:ilvl="7">
      <w:start w:val="1"/>
      <w:numFmt w:val="bullet"/>
      <w:lvlText w:val="•"/>
      <w:lvlJc w:val="left"/>
      <w:pPr>
        <w:ind w:left="6864" w:hanging="360"/>
      </w:pPr>
      <w:rPr>
        <w:rFonts w:hint="default"/>
      </w:rPr>
    </w:lvl>
    <w:lvl w:ilvl="8">
      <w:start w:val="1"/>
      <w:numFmt w:val="bullet"/>
      <w:lvlText w:val="•"/>
      <w:lvlJc w:val="left"/>
      <w:pPr>
        <w:ind w:left="7416" w:hanging="360"/>
      </w:pPr>
      <w:rPr>
        <w:rFonts w:hint="default"/>
      </w:rPr>
    </w:lvl>
  </w:abstractNum>
  <w:abstractNum w:abstractNumId="31">
    <w:multiLevelType w:val="hybridMultilevel"/>
    <w:lvl w:ilvl="0">
      <w:start w:val="1"/>
      <w:numFmt w:val="bullet"/>
      <w:lvlText w:val="•"/>
      <w:lvlJc w:val="left"/>
      <w:pPr>
        <w:ind w:left="480" w:hanging="360"/>
      </w:pPr>
      <w:rPr>
        <w:rFonts w:hint="default" w:ascii="Times New Roman" w:hAnsi="Times New Roman" w:eastAsia="Times New Roman" w:cs="Times New Roman"/>
        <w:b/>
        <w:bCs/>
        <w:w w:val="99"/>
        <w:sz w:val="26"/>
        <w:szCs w:val="26"/>
      </w:rPr>
    </w:lvl>
    <w:lvl w:ilvl="1">
      <w:start w:val="1"/>
      <w:numFmt w:val="bullet"/>
      <w:lvlText w:val="•"/>
      <w:lvlJc w:val="left"/>
      <w:pPr>
        <w:ind w:left="1032" w:hanging="360"/>
      </w:pPr>
      <w:rPr>
        <w:rFonts w:hint="default"/>
      </w:rPr>
    </w:lvl>
    <w:lvl w:ilvl="2">
      <w:start w:val="1"/>
      <w:numFmt w:val="bullet"/>
      <w:lvlText w:val="•"/>
      <w:lvlJc w:val="left"/>
      <w:pPr>
        <w:ind w:left="1584" w:hanging="360"/>
      </w:pPr>
      <w:rPr>
        <w:rFonts w:hint="default"/>
      </w:rPr>
    </w:lvl>
    <w:lvl w:ilvl="3">
      <w:start w:val="1"/>
      <w:numFmt w:val="bullet"/>
      <w:lvlText w:val="•"/>
      <w:lvlJc w:val="left"/>
      <w:pPr>
        <w:ind w:left="2136" w:hanging="360"/>
      </w:pPr>
      <w:rPr>
        <w:rFonts w:hint="default"/>
      </w:rPr>
    </w:lvl>
    <w:lvl w:ilvl="4">
      <w:start w:val="1"/>
      <w:numFmt w:val="bullet"/>
      <w:lvlText w:val="•"/>
      <w:lvlJc w:val="left"/>
      <w:pPr>
        <w:ind w:left="2688" w:hanging="360"/>
      </w:pPr>
      <w:rPr>
        <w:rFonts w:hint="default"/>
      </w:rPr>
    </w:lvl>
    <w:lvl w:ilvl="5">
      <w:start w:val="1"/>
      <w:numFmt w:val="bullet"/>
      <w:lvlText w:val="•"/>
      <w:lvlJc w:val="left"/>
      <w:pPr>
        <w:ind w:left="3240" w:hanging="360"/>
      </w:pPr>
      <w:rPr>
        <w:rFonts w:hint="default"/>
      </w:rPr>
    </w:lvl>
    <w:lvl w:ilvl="6">
      <w:start w:val="1"/>
      <w:numFmt w:val="bullet"/>
      <w:lvlText w:val="•"/>
      <w:lvlJc w:val="left"/>
      <w:pPr>
        <w:ind w:left="3792" w:hanging="360"/>
      </w:pPr>
      <w:rPr>
        <w:rFonts w:hint="default"/>
      </w:rPr>
    </w:lvl>
    <w:lvl w:ilvl="7">
      <w:start w:val="1"/>
      <w:numFmt w:val="bullet"/>
      <w:lvlText w:val="•"/>
      <w:lvlJc w:val="left"/>
      <w:pPr>
        <w:ind w:left="4344" w:hanging="360"/>
      </w:pPr>
      <w:rPr>
        <w:rFonts w:hint="default"/>
      </w:rPr>
    </w:lvl>
    <w:lvl w:ilvl="8">
      <w:start w:val="1"/>
      <w:numFmt w:val="bullet"/>
      <w:lvlText w:val="•"/>
      <w:lvlJc w:val="left"/>
      <w:pPr>
        <w:ind w:left="4896" w:hanging="360"/>
      </w:pPr>
      <w:rPr>
        <w:rFonts w:hint="default"/>
      </w:rPr>
    </w:lvl>
  </w:abstractNum>
  <w:abstractNum w:abstractNumId="29">
    <w:multiLevelType w:val="hybridMultilevel"/>
    <w:lvl w:ilvl="0">
      <w:start w:val="1"/>
      <w:numFmt w:val="decimal"/>
      <w:lvlText w:val="%1."/>
      <w:lvlJc w:val="left"/>
      <w:pPr>
        <w:ind w:left="120" w:hanging="300"/>
        <w:jc w:val="left"/>
      </w:pPr>
      <w:rPr>
        <w:rFonts w:hint="default" w:ascii="Times New Roman" w:hAnsi="Times New Roman" w:eastAsia="Times New Roman" w:cs="Times New Roman"/>
        <w:b/>
        <w:bCs/>
        <w:spacing w:val="-7"/>
        <w:w w:val="99"/>
        <w:sz w:val="24"/>
        <w:szCs w:val="24"/>
      </w:rPr>
    </w:lvl>
    <w:lvl w:ilvl="1">
      <w:start w:val="1"/>
      <w:numFmt w:val="lowerLetter"/>
      <w:lvlText w:val="%2."/>
      <w:lvlJc w:val="left"/>
      <w:pPr>
        <w:ind w:left="3360" w:hanging="360"/>
        <w:jc w:val="left"/>
      </w:pPr>
      <w:rPr>
        <w:rFonts w:hint="default" w:ascii="Times New Roman" w:hAnsi="Times New Roman" w:eastAsia="Times New Roman" w:cs="Times New Roman"/>
        <w:b/>
        <w:bCs/>
        <w:spacing w:val="-1"/>
        <w:w w:val="99"/>
        <w:sz w:val="22"/>
        <w:szCs w:val="22"/>
      </w:rPr>
    </w:lvl>
    <w:lvl w:ilvl="2">
      <w:start w:val="1"/>
      <w:numFmt w:val="bullet"/>
      <w:lvlText w:val="•"/>
      <w:lvlJc w:val="left"/>
      <w:pPr>
        <w:ind w:left="3217" w:hanging="360"/>
      </w:pPr>
      <w:rPr>
        <w:rFonts w:hint="default"/>
      </w:rPr>
    </w:lvl>
    <w:lvl w:ilvl="3">
      <w:start w:val="1"/>
      <w:numFmt w:val="bullet"/>
      <w:lvlText w:val="•"/>
      <w:lvlJc w:val="left"/>
      <w:pPr>
        <w:ind w:left="3074" w:hanging="360"/>
      </w:pPr>
      <w:rPr>
        <w:rFonts w:hint="default"/>
      </w:rPr>
    </w:lvl>
    <w:lvl w:ilvl="4">
      <w:start w:val="1"/>
      <w:numFmt w:val="bullet"/>
      <w:lvlText w:val="•"/>
      <w:lvlJc w:val="left"/>
      <w:pPr>
        <w:ind w:left="2931" w:hanging="360"/>
      </w:pPr>
      <w:rPr>
        <w:rFonts w:hint="default"/>
      </w:rPr>
    </w:lvl>
    <w:lvl w:ilvl="5">
      <w:start w:val="1"/>
      <w:numFmt w:val="bullet"/>
      <w:lvlText w:val="•"/>
      <w:lvlJc w:val="left"/>
      <w:pPr>
        <w:ind w:left="2789" w:hanging="360"/>
      </w:pPr>
      <w:rPr>
        <w:rFonts w:hint="default"/>
      </w:rPr>
    </w:lvl>
    <w:lvl w:ilvl="6">
      <w:start w:val="1"/>
      <w:numFmt w:val="bullet"/>
      <w:lvlText w:val="•"/>
      <w:lvlJc w:val="left"/>
      <w:pPr>
        <w:ind w:left="2646" w:hanging="360"/>
      </w:pPr>
      <w:rPr>
        <w:rFonts w:hint="default"/>
      </w:rPr>
    </w:lvl>
    <w:lvl w:ilvl="7">
      <w:start w:val="1"/>
      <w:numFmt w:val="bullet"/>
      <w:lvlText w:val="•"/>
      <w:lvlJc w:val="left"/>
      <w:pPr>
        <w:ind w:left="2503" w:hanging="360"/>
      </w:pPr>
      <w:rPr>
        <w:rFonts w:hint="default"/>
      </w:rPr>
    </w:lvl>
    <w:lvl w:ilvl="8">
      <w:start w:val="1"/>
      <w:numFmt w:val="bullet"/>
      <w:lvlText w:val="•"/>
      <w:lvlJc w:val="left"/>
      <w:pPr>
        <w:ind w:left="2361" w:hanging="360"/>
      </w:pPr>
      <w:rPr>
        <w:rFonts w:hint="default"/>
      </w:rPr>
    </w:lvl>
  </w:abstractNum>
  <w:abstractNum w:abstractNumId="28">
    <w:multiLevelType w:val="hybridMultilevel"/>
    <w:lvl w:ilvl="0">
      <w:start w:val="3"/>
      <w:numFmt w:val="decimal"/>
      <w:lvlText w:val="%1."/>
      <w:lvlJc w:val="left"/>
      <w:pPr>
        <w:ind w:left="140" w:hanging="360"/>
        <w:jc w:val="left"/>
      </w:pPr>
      <w:rPr>
        <w:rFonts w:hint="default" w:ascii="Arial" w:hAnsi="Arial" w:eastAsia="Arial" w:cs="Arial"/>
        <w:b/>
        <w:bCs/>
        <w:w w:val="99"/>
        <w:sz w:val="20"/>
        <w:szCs w:val="20"/>
      </w:rPr>
    </w:lvl>
    <w:lvl w:ilvl="1">
      <w:start w:val="1"/>
      <w:numFmt w:val="bullet"/>
      <w:lvlText w:val="•"/>
      <w:lvlJc w:val="left"/>
      <w:pPr>
        <w:ind w:left="369" w:hanging="360"/>
      </w:pPr>
      <w:rPr>
        <w:rFonts w:hint="default"/>
      </w:rPr>
    </w:lvl>
    <w:lvl w:ilvl="2">
      <w:start w:val="1"/>
      <w:numFmt w:val="bullet"/>
      <w:lvlText w:val="•"/>
      <w:lvlJc w:val="left"/>
      <w:pPr>
        <w:ind w:left="599" w:hanging="360"/>
      </w:pPr>
      <w:rPr>
        <w:rFonts w:hint="default"/>
      </w:rPr>
    </w:lvl>
    <w:lvl w:ilvl="3">
      <w:start w:val="1"/>
      <w:numFmt w:val="bullet"/>
      <w:lvlText w:val="•"/>
      <w:lvlJc w:val="left"/>
      <w:pPr>
        <w:ind w:left="829" w:hanging="360"/>
      </w:pPr>
      <w:rPr>
        <w:rFonts w:hint="default"/>
      </w:rPr>
    </w:lvl>
    <w:lvl w:ilvl="4">
      <w:start w:val="1"/>
      <w:numFmt w:val="bullet"/>
      <w:lvlText w:val="•"/>
      <w:lvlJc w:val="left"/>
      <w:pPr>
        <w:ind w:left="1058" w:hanging="360"/>
      </w:pPr>
      <w:rPr>
        <w:rFonts w:hint="default"/>
      </w:rPr>
    </w:lvl>
    <w:lvl w:ilvl="5">
      <w:start w:val="1"/>
      <w:numFmt w:val="bullet"/>
      <w:lvlText w:val="•"/>
      <w:lvlJc w:val="left"/>
      <w:pPr>
        <w:ind w:left="1288" w:hanging="360"/>
      </w:pPr>
      <w:rPr>
        <w:rFonts w:hint="default"/>
      </w:rPr>
    </w:lvl>
    <w:lvl w:ilvl="6">
      <w:start w:val="1"/>
      <w:numFmt w:val="bullet"/>
      <w:lvlText w:val="•"/>
      <w:lvlJc w:val="left"/>
      <w:pPr>
        <w:ind w:left="1518" w:hanging="360"/>
      </w:pPr>
      <w:rPr>
        <w:rFonts w:hint="default"/>
      </w:rPr>
    </w:lvl>
    <w:lvl w:ilvl="7">
      <w:start w:val="1"/>
      <w:numFmt w:val="bullet"/>
      <w:lvlText w:val="•"/>
      <w:lvlJc w:val="left"/>
      <w:pPr>
        <w:ind w:left="1747" w:hanging="360"/>
      </w:pPr>
      <w:rPr>
        <w:rFonts w:hint="default"/>
      </w:rPr>
    </w:lvl>
    <w:lvl w:ilvl="8">
      <w:start w:val="1"/>
      <w:numFmt w:val="bullet"/>
      <w:lvlText w:val="•"/>
      <w:lvlJc w:val="left"/>
      <w:pPr>
        <w:ind w:left="1977" w:hanging="360"/>
      </w:pPr>
      <w:rPr>
        <w:rFonts w:hint="default"/>
      </w:rPr>
    </w:lvl>
  </w:abstractNum>
  <w:abstractNum w:abstractNumId="27">
    <w:multiLevelType w:val="hybridMultilevel"/>
    <w:lvl w:ilvl="0">
      <w:start w:val="1"/>
      <w:numFmt w:val="decimal"/>
      <w:lvlText w:val="%1."/>
      <w:lvlJc w:val="left"/>
      <w:pPr>
        <w:ind w:left="126" w:hanging="360"/>
        <w:jc w:val="left"/>
      </w:pPr>
      <w:rPr>
        <w:rFonts w:hint="default" w:ascii="Arial" w:hAnsi="Arial" w:eastAsia="Arial" w:cs="Arial"/>
        <w:b/>
        <w:bCs/>
        <w:w w:val="99"/>
        <w:sz w:val="20"/>
        <w:szCs w:val="20"/>
      </w:rPr>
    </w:lvl>
    <w:lvl w:ilvl="1">
      <w:start w:val="1"/>
      <w:numFmt w:val="decimal"/>
      <w:lvlText w:val="%2."/>
      <w:lvlJc w:val="left"/>
      <w:pPr>
        <w:ind w:left="2285" w:hanging="360"/>
        <w:jc w:val="left"/>
      </w:pPr>
      <w:rPr>
        <w:rFonts w:hint="default" w:ascii="Arial" w:hAnsi="Arial" w:eastAsia="Arial" w:cs="Arial"/>
        <w:b/>
        <w:bCs/>
        <w:w w:val="99"/>
        <w:sz w:val="20"/>
        <w:szCs w:val="20"/>
      </w:rPr>
    </w:lvl>
    <w:lvl w:ilvl="2">
      <w:start w:val="1"/>
      <w:numFmt w:val="bullet"/>
      <w:lvlText w:val="•"/>
      <w:lvlJc w:val="left"/>
      <w:pPr>
        <w:ind w:left="2645" w:hanging="360"/>
      </w:pPr>
      <w:rPr>
        <w:rFonts w:hint="default" w:ascii="Arial" w:hAnsi="Arial" w:eastAsia="Arial" w:cs="Arial"/>
        <w:b/>
        <w:bCs/>
        <w:w w:val="99"/>
        <w:sz w:val="20"/>
        <w:szCs w:val="20"/>
      </w:rPr>
    </w:lvl>
    <w:lvl w:ilvl="3">
      <w:start w:val="1"/>
      <w:numFmt w:val="bullet"/>
      <w:lvlText w:val="•"/>
      <w:lvlJc w:val="left"/>
      <w:pPr>
        <w:ind w:left="2600" w:hanging="360"/>
      </w:pPr>
      <w:rPr>
        <w:rFonts w:hint="default"/>
      </w:rPr>
    </w:lvl>
    <w:lvl w:ilvl="4">
      <w:start w:val="1"/>
      <w:numFmt w:val="bullet"/>
      <w:lvlText w:val="•"/>
      <w:lvlJc w:val="left"/>
      <w:pPr>
        <w:ind w:left="2560" w:hanging="360"/>
      </w:pPr>
      <w:rPr>
        <w:rFonts w:hint="default"/>
      </w:rPr>
    </w:lvl>
    <w:lvl w:ilvl="5">
      <w:start w:val="1"/>
      <w:numFmt w:val="bullet"/>
      <w:lvlText w:val="•"/>
      <w:lvlJc w:val="left"/>
      <w:pPr>
        <w:ind w:left="2521" w:hanging="360"/>
      </w:pPr>
      <w:rPr>
        <w:rFonts w:hint="default"/>
      </w:rPr>
    </w:lvl>
    <w:lvl w:ilvl="6">
      <w:start w:val="1"/>
      <w:numFmt w:val="bullet"/>
      <w:lvlText w:val="•"/>
      <w:lvlJc w:val="left"/>
      <w:pPr>
        <w:ind w:left="2481" w:hanging="360"/>
      </w:pPr>
      <w:rPr>
        <w:rFonts w:hint="default"/>
      </w:rPr>
    </w:lvl>
    <w:lvl w:ilvl="7">
      <w:start w:val="1"/>
      <w:numFmt w:val="bullet"/>
      <w:lvlText w:val="•"/>
      <w:lvlJc w:val="left"/>
      <w:pPr>
        <w:ind w:left="2441" w:hanging="360"/>
      </w:pPr>
      <w:rPr>
        <w:rFonts w:hint="default"/>
      </w:rPr>
    </w:lvl>
    <w:lvl w:ilvl="8">
      <w:start w:val="1"/>
      <w:numFmt w:val="bullet"/>
      <w:lvlText w:val="•"/>
      <w:lvlJc w:val="left"/>
      <w:pPr>
        <w:ind w:left="2402" w:hanging="360"/>
      </w:pPr>
      <w:rPr>
        <w:rFonts w:hint="default"/>
      </w:rPr>
    </w:lvl>
  </w:abstractNum>
  <w:abstractNum w:abstractNumId="26">
    <w:multiLevelType w:val="hybridMultilevel"/>
    <w:lvl w:ilvl="0">
      <w:start w:val="1"/>
      <w:numFmt w:val="decimal"/>
      <w:lvlText w:val="%1."/>
      <w:lvlJc w:val="left"/>
      <w:pPr>
        <w:ind w:left="124" w:hanging="360"/>
        <w:jc w:val="left"/>
      </w:pPr>
      <w:rPr>
        <w:rFonts w:hint="default" w:ascii="Arial" w:hAnsi="Arial" w:eastAsia="Arial" w:cs="Arial"/>
        <w:b/>
        <w:bCs/>
        <w:spacing w:val="-1"/>
        <w:w w:val="99"/>
        <w:sz w:val="20"/>
        <w:szCs w:val="20"/>
      </w:rPr>
    </w:lvl>
    <w:lvl w:ilvl="1">
      <w:start w:val="1"/>
      <w:numFmt w:val="bullet"/>
      <w:lvlText w:val="•"/>
      <w:lvlJc w:val="left"/>
      <w:pPr>
        <w:ind w:left="347" w:hanging="360"/>
      </w:pPr>
      <w:rPr>
        <w:rFonts w:hint="default"/>
      </w:rPr>
    </w:lvl>
    <w:lvl w:ilvl="2">
      <w:start w:val="1"/>
      <w:numFmt w:val="bullet"/>
      <w:lvlText w:val="•"/>
      <w:lvlJc w:val="left"/>
      <w:pPr>
        <w:ind w:left="575" w:hanging="360"/>
      </w:pPr>
      <w:rPr>
        <w:rFonts w:hint="default"/>
      </w:rPr>
    </w:lvl>
    <w:lvl w:ilvl="3">
      <w:start w:val="1"/>
      <w:numFmt w:val="bullet"/>
      <w:lvlText w:val="•"/>
      <w:lvlJc w:val="left"/>
      <w:pPr>
        <w:ind w:left="803" w:hanging="360"/>
      </w:pPr>
      <w:rPr>
        <w:rFonts w:hint="default"/>
      </w:rPr>
    </w:lvl>
    <w:lvl w:ilvl="4">
      <w:start w:val="1"/>
      <w:numFmt w:val="bullet"/>
      <w:lvlText w:val="•"/>
      <w:lvlJc w:val="left"/>
      <w:pPr>
        <w:ind w:left="1031" w:hanging="360"/>
      </w:pPr>
      <w:rPr>
        <w:rFonts w:hint="default"/>
      </w:rPr>
    </w:lvl>
    <w:lvl w:ilvl="5">
      <w:start w:val="1"/>
      <w:numFmt w:val="bullet"/>
      <w:lvlText w:val="•"/>
      <w:lvlJc w:val="left"/>
      <w:pPr>
        <w:ind w:left="1259" w:hanging="360"/>
      </w:pPr>
      <w:rPr>
        <w:rFonts w:hint="default"/>
      </w:rPr>
    </w:lvl>
    <w:lvl w:ilvl="6">
      <w:start w:val="1"/>
      <w:numFmt w:val="bullet"/>
      <w:lvlText w:val="•"/>
      <w:lvlJc w:val="left"/>
      <w:pPr>
        <w:ind w:left="1487" w:hanging="360"/>
      </w:pPr>
      <w:rPr>
        <w:rFonts w:hint="default"/>
      </w:rPr>
    </w:lvl>
    <w:lvl w:ilvl="7">
      <w:start w:val="1"/>
      <w:numFmt w:val="bullet"/>
      <w:lvlText w:val="•"/>
      <w:lvlJc w:val="left"/>
      <w:pPr>
        <w:ind w:left="1714" w:hanging="360"/>
      </w:pPr>
      <w:rPr>
        <w:rFonts w:hint="default"/>
      </w:rPr>
    </w:lvl>
    <w:lvl w:ilvl="8">
      <w:start w:val="1"/>
      <w:numFmt w:val="bullet"/>
      <w:lvlText w:val="•"/>
      <w:lvlJc w:val="left"/>
      <w:pPr>
        <w:ind w:left="1942" w:hanging="360"/>
      </w:pPr>
      <w:rPr>
        <w:rFonts w:hint="default"/>
      </w:rPr>
    </w:lvl>
  </w:abstractNum>
  <w:abstractNum w:abstractNumId="25">
    <w:multiLevelType w:val="hybridMultilevel"/>
    <w:lvl w:ilvl="0">
      <w:start w:val="1"/>
      <w:numFmt w:val="bullet"/>
      <w:lvlText w:val="*"/>
      <w:lvlJc w:val="left"/>
      <w:pPr>
        <w:ind w:left="232" w:hanging="107"/>
      </w:pPr>
      <w:rPr>
        <w:rFonts w:hint="default" w:ascii="Arial" w:hAnsi="Arial" w:eastAsia="Arial" w:cs="Arial"/>
        <w:w w:val="99"/>
        <w:sz w:val="16"/>
        <w:szCs w:val="16"/>
      </w:rPr>
    </w:lvl>
    <w:lvl w:ilvl="1">
      <w:start w:val="1"/>
      <w:numFmt w:val="bullet"/>
      <w:lvlText w:val="•"/>
      <w:lvlJc w:val="left"/>
      <w:pPr>
        <w:ind w:left="1248" w:hanging="107"/>
      </w:pPr>
      <w:rPr>
        <w:rFonts w:hint="default"/>
      </w:rPr>
    </w:lvl>
    <w:lvl w:ilvl="2">
      <w:start w:val="1"/>
      <w:numFmt w:val="bullet"/>
      <w:lvlText w:val="•"/>
      <w:lvlJc w:val="left"/>
      <w:pPr>
        <w:ind w:left="2256" w:hanging="107"/>
      </w:pPr>
      <w:rPr>
        <w:rFonts w:hint="default"/>
      </w:rPr>
    </w:lvl>
    <w:lvl w:ilvl="3">
      <w:start w:val="1"/>
      <w:numFmt w:val="bullet"/>
      <w:lvlText w:val="•"/>
      <w:lvlJc w:val="left"/>
      <w:pPr>
        <w:ind w:left="3264" w:hanging="107"/>
      </w:pPr>
      <w:rPr>
        <w:rFonts w:hint="default"/>
      </w:rPr>
    </w:lvl>
    <w:lvl w:ilvl="4">
      <w:start w:val="1"/>
      <w:numFmt w:val="bullet"/>
      <w:lvlText w:val="•"/>
      <w:lvlJc w:val="left"/>
      <w:pPr>
        <w:ind w:left="4272" w:hanging="107"/>
      </w:pPr>
      <w:rPr>
        <w:rFonts w:hint="default"/>
      </w:rPr>
    </w:lvl>
    <w:lvl w:ilvl="5">
      <w:start w:val="1"/>
      <w:numFmt w:val="bullet"/>
      <w:lvlText w:val="•"/>
      <w:lvlJc w:val="left"/>
      <w:pPr>
        <w:ind w:left="5280" w:hanging="107"/>
      </w:pPr>
      <w:rPr>
        <w:rFonts w:hint="default"/>
      </w:rPr>
    </w:lvl>
    <w:lvl w:ilvl="6">
      <w:start w:val="1"/>
      <w:numFmt w:val="bullet"/>
      <w:lvlText w:val="•"/>
      <w:lvlJc w:val="left"/>
      <w:pPr>
        <w:ind w:left="6288" w:hanging="107"/>
      </w:pPr>
      <w:rPr>
        <w:rFonts w:hint="default"/>
      </w:rPr>
    </w:lvl>
    <w:lvl w:ilvl="7">
      <w:start w:val="1"/>
      <w:numFmt w:val="bullet"/>
      <w:lvlText w:val="•"/>
      <w:lvlJc w:val="left"/>
      <w:pPr>
        <w:ind w:left="7296" w:hanging="107"/>
      </w:pPr>
      <w:rPr>
        <w:rFonts w:hint="default"/>
      </w:rPr>
    </w:lvl>
    <w:lvl w:ilvl="8">
      <w:start w:val="1"/>
      <w:numFmt w:val="bullet"/>
      <w:lvlText w:val="•"/>
      <w:lvlJc w:val="left"/>
      <w:pPr>
        <w:ind w:left="8304" w:hanging="107"/>
      </w:pPr>
      <w:rPr>
        <w:rFonts w:hint="default"/>
      </w:rPr>
    </w:lvl>
  </w:abstractNum>
  <w:abstractNum w:abstractNumId="24">
    <w:multiLevelType w:val="hybridMultilevel"/>
    <w:lvl w:ilvl="0">
      <w:start w:val="1"/>
      <w:numFmt w:val="decimal"/>
      <w:lvlText w:val="%1."/>
      <w:lvlJc w:val="left"/>
      <w:pPr>
        <w:ind w:left="2285" w:hanging="360"/>
        <w:jc w:val="left"/>
      </w:pPr>
      <w:rPr>
        <w:rFonts w:hint="default" w:ascii="Arial" w:hAnsi="Arial" w:eastAsia="Arial" w:cs="Arial"/>
        <w:b/>
        <w:bCs/>
        <w:w w:val="99"/>
        <w:sz w:val="20"/>
        <w:szCs w:val="20"/>
      </w:rPr>
    </w:lvl>
    <w:lvl w:ilvl="1">
      <w:start w:val="1"/>
      <w:numFmt w:val="bullet"/>
      <w:lvlText w:val="•"/>
      <w:lvlJc w:val="left"/>
      <w:pPr>
        <w:ind w:left="3084" w:hanging="360"/>
      </w:pPr>
      <w:rPr>
        <w:rFonts w:hint="default"/>
      </w:rPr>
    </w:lvl>
    <w:lvl w:ilvl="2">
      <w:start w:val="1"/>
      <w:numFmt w:val="bullet"/>
      <w:lvlText w:val="•"/>
      <w:lvlJc w:val="left"/>
      <w:pPr>
        <w:ind w:left="3888" w:hanging="360"/>
      </w:pPr>
      <w:rPr>
        <w:rFonts w:hint="default"/>
      </w:rPr>
    </w:lvl>
    <w:lvl w:ilvl="3">
      <w:start w:val="1"/>
      <w:numFmt w:val="bullet"/>
      <w:lvlText w:val="•"/>
      <w:lvlJc w:val="left"/>
      <w:pPr>
        <w:ind w:left="4692" w:hanging="360"/>
      </w:pPr>
      <w:rPr>
        <w:rFonts w:hint="default"/>
      </w:rPr>
    </w:lvl>
    <w:lvl w:ilvl="4">
      <w:start w:val="1"/>
      <w:numFmt w:val="bullet"/>
      <w:lvlText w:val="•"/>
      <w:lvlJc w:val="left"/>
      <w:pPr>
        <w:ind w:left="5496" w:hanging="360"/>
      </w:pPr>
      <w:rPr>
        <w:rFonts w:hint="default"/>
      </w:rPr>
    </w:lvl>
    <w:lvl w:ilvl="5">
      <w:start w:val="1"/>
      <w:numFmt w:val="bullet"/>
      <w:lvlText w:val="•"/>
      <w:lvlJc w:val="left"/>
      <w:pPr>
        <w:ind w:left="6300" w:hanging="360"/>
      </w:pPr>
      <w:rPr>
        <w:rFonts w:hint="default"/>
      </w:rPr>
    </w:lvl>
    <w:lvl w:ilvl="6">
      <w:start w:val="1"/>
      <w:numFmt w:val="bullet"/>
      <w:lvlText w:val="•"/>
      <w:lvlJc w:val="left"/>
      <w:pPr>
        <w:ind w:left="7104" w:hanging="360"/>
      </w:pPr>
      <w:rPr>
        <w:rFonts w:hint="default"/>
      </w:rPr>
    </w:lvl>
    <w:lvl w:ilvl="7">
      <w:start w:val="1"/>
      <w:numFmt w:val="bullet"/>
      <w:lvlText w:val="•"/>
      <w:lvlJc w:val="left"/>
      <w:pPr>
        <w:ind w:left="7908" w:hanging="360"/>
      </w:pPr>
      <w:rPr>
        <w:rFonts w:hint="default"/>
      </w:rPr>
    </w:lvl>
    <w:lvl w:ilvl="8">
      <w:start w:val="1"/>
      <w:numFmt w:val="bullet"/>
      <w:lvlText w:val="•"/>
      <w:lvlJc w:val="left"/>
      <w:pPr>
        <w:ind w:left="8712" w:hanging="360"/>
      </w:pPr>
      <w:rPr>
        <w:rFonts w:hint="default"/>
      </w:rPr>
    </w:lvl>
  </w:abstractNum>
  <w:abstractNum w:abstractNumId="23">
    <w:multiLevelType w:val="hybridMultilevel"/>
    <w:lvl w:ilvl="0">
      <w:start w:val="3"/>
      <w:numFmt w:val="decimal"/>
      <w:lvlText w:val="%1."/>
      <w:lvlJc w:val="left"/>
      <w:pPr>
        <w:ind w:left="140" w:hanging="360"/>
        <w:jc w:val="left"/>
      </w:pPr>
      <w:rPr>
        <w:rFonts w:hint="default" w:ascii="Arial" w:hAnsi="Arial" w:eastAsia="Arial" w:cs="Arial"/>
        <w:b/>
        <w:bCs/>
        <w:w w:val="99"/>
        <w:sz w:val="20"/>
        <w:szCs w:val="20"/>
      </w:rPr>
    </w:lvl>
    <w:lvl w:ilvl="1">
      <w:start w:val="1"/>
      <w:numFmt w:val="decimal"/>
      <w:lvlText w:val="%2."/>
      <w:lvlJc w:val="left"/>
      <w:pPr>
        <w:ind w:left="2285" w:hanging="360"/>
        <w:jc w:val="left"/>
      </w:pPr>
      <w:rPr>
        <w:rFonts w:hint="default" w:ascii="Arial" w:hAnsi="Arial" w:eastAsia="Arial" w:cs="Arial"/>
        <w:b/>
        <w:bCs/>
        <w:w w:val="99"/>
        <w:sz w:val="20"/>
        <w:szCs w:val="20"/>
      </w:rPr>
    </w:lvl>
    <w:lvl w:ilvl="2">
      <w:start w:val="1"/>
      <w:numFmt w:val="bullet"/>
      <w:lvlText w:val="•"/>
      <w:lvlJc w:val="left"/>
      <w:pPr>
        <w:ind w:left="2264" w:hanging="360"/>
      </w:pPr>
      <w:rPr>
        <w:rFonts w:hint="default"/>
      </w:rPr>
    </w:lvl>
    <w:lvl w:ilvl="3">
      <w:start w:val="1"/>
      <w:numFmt w:val="bullet"/>
      <w:lvlText w:val="•"/>
      <w:lvlJc w:val="left"/>
      <w:pPr>
        <w:ind w:left="2248" w:hanging="360"/>
      </w:pPr>
      <w:rPr>
        <w:rFonts w:hint="default"/>
      </w:rPr>
    </w:lvl>
    <w:lvl w:ilvl="4">
      <w:start w:val="1"/>
      <w:numFmt w:val="bullet"/>
      <w:lvlText w:val="•"/>
      <w:lvlJc w:val="left"/>
      <w:pPr>
        <w:ind w:left="2232" w:hanging="360"/>
      </w:pPr>
      <w:rPr>
        <w:rFonts w:hint="default"/>
      </w:rPr>
    </w:lvl>
    <w:lvl w:ilvl="5">
      <w:start w:val="1"/>
      <w:numFmt w:val="bullet"/>
      <w:lvlText w:val="•"/>
      <w:lvlJc w:val="left"/>
      <w:pPr>
        <w:ind w:left="2216" w:hanging="360"/>
      </w:pPr>
      <w:rPr>
        <w:rFonts w:hint="default"/>
      </w:rPr>
    </w:lvl>
    <w:lvl w:ilvl="6">
      <w:start w:val="1"/>
      <w:numFmt w:val="bullet"/>
      <w:lvlText w:val="•"/>
      <w:lvlJc w:val="left"/>
      <w:pPr>
        <w:ind w:left="2201" w:hanging="360"/>
      </w:pPr>
      <w:rPr>
        <w:rFonts w:hint="default"/>
      </w:rPr>
    </w:lvl>
    <w:lvl w:ilvl="7">
      <w:start w:val="1"/>
      <w:numFmt w:val="bullet"/>
      <w:lvlText w:val="•"/>
      <w:lvlJc w:val="left"/>
      <w:pPr>
        <w:ind w:left="2185" w:hanging="360"/>
      </w:pPr>
      <w:rPr>
        <w:rFonts w:hint="default"/>
      </w:rPr>
    </w:lvl>
    <w:lvl w:ilvl="8">
      <w:start w:val="1"/>
      <w:numFmt w:val="bullet"/>
      <w:lvlText w:val="•"/>
      <w:lvlJc w:val="left"/>
      <w:pPr>
        <w:ind w:left="2169" w:hanging="360"/>
      </w:pPr>
      <w:rPr>
        <w:rFonts w:hint="default"/>
      </w:rPr>
    </w:lvl>
  </w:abstractNum>
  <w:abstractNum w:abstractNumId="22">
    <w:multiLevelType w:val="hybridMultilevel"/>
    <w:lvl w:ilvl="0">
      <w:start w:val="3"/>
      <w:numFmt w:val="decimal"/>
      <w:lvlText w:val="%1."/>
      <w:lvlJc w:val="left"/>
      <w:pPr>
        <w:ind w:left="140" w:hanging="360"/>
        <w:jc w:val="left"/>
      </w:pPr>
      <w:rPr>
        <w:rFonts w:hint="default" w:ascii="Arial" w:hAnsi="Arial" w:eastAsia="Arial" w:cs="Arial"/>
        <w:b/>
        <w:bCs/>
        <w:w w:val="99"/>
        <w:sz w:val="20"/>
        <w:szCs w:val="20"/>
      </w:rPr>
    </w:lvl>
    <w:lvl w:ilvl="1">
      <w:start w:val="1"/>
      <w:numFmt w:val="bullet"/>
      <w:lvlText w:val="•"/>
      <w:lvlJc w:val="left"/>
      <w:pPr>
        <w:ind w:left="371" w:hanging="360"/>
      </w:pPr>
      <w:rPr>
        <w:rFonts w:hint="default"/>
      </w:rPr>
    </w:lvl>
    <w:lvl w:ilvl="2">
      <w:start w:val="1"/>
      <w:numFmt w:val="bullet"/>
      <w:lvlText w:val="•"/>
      <w:lvlJc w:val="left"/>
      <w:pPr>
        <w:ind w:left="602" w:hanging="360"/>
      </w:pPr>
      <w:rPr>
        <w:rFonts w:hint="default"/>
      </w:rPr>
    </w:lvl>
    <w:lvl w:ilvl="3">
      <w:start w:val="1"/>
      <w:numFmt w:val="bullet"/>
      <w:lvlText w:val="•"/>
      <w:lvlJc w:val="left"/>
      <w:pPr>
        <w:ind w:left="834" w:hanging="360"/>
      </w:pPr>
      <w:rPr>
        <w:rFonts w:hint="default"/>
      </w:rPr>
    </w:lvl>
    <w:lvl w:ilvl="4">
      <w:start w:val="1"/>
      <w:numFmt w:val="bullet"/>
      <w:lvlText w:val="•"/>
      <w:lvlJc w:val="left"/>
      <w:pPr>
        <w:ind w:left="1065" w:hanging="360"/>
      </w:pPr>
      <w:rPr>
        <w:rFonts w:hint="default"/>
      </w:rPr>
    </w:lvl>
    <w:lvl w:ilvl="5">
      <w:start w:val="1"/>
      <w:numFmt w:val="bullet"/>
      <w:lvlText w:val="•"/>
      <w:lvlJc w:val="left"/>
      <w:pPr>
        <w:ind w:left="1297" w:hanging="360"/>
      </w:pPr>
      <w:rPr>
        <w:rFonts w:hint="default"/>
      </w:rPr>
    </w:lvl>
    <w:lvl w:ilvl="6">
      <w:start w:val="1"/>
      <w:numFmt w:val="bullet"/>
      <w:lvlText w:val="•"/>
      <w:lvlJc w:val="left"/>
      <w:pPr>
        <w:ind w:left="1528" w:hanging="360"/>
      </w:pPr>
      <w:rPr>
        <w:rFonts w:hint="default"/>
      </w:rPr>
    </w:lvl>
    <w:lvl w:ilvl="7">
      <w:start w:val="1"/>
      <w:numFmt w:val="bullet"/>
      <w:lvlText w:val="•"/>
      <w:lvlJc w:val="left"/>
      <w:pPr>
        <w:ind w:left="1760" w:hanging="360"/>
      </w:pPr>
      <w:rPr>
        <w:rFonts w:hint="default"/>
      </w:rPr>
    </w:lvl>
    <w:lvl w:ilvl="8">
      <w:start w:val="1"/>
      <w:numFmt w:val="bullet"/>
      <w:lvlText w:val="•"/>
      <w:lvlJc w:val="left"/>
      <w:pPr>
        <w:ind w:left="1991" w:hanging="360"/>
      </w:pPr>
      <w:rPr>
        <w:rFonts w:hint="default"/>
      </w:rPr>
    </w:lvl>
  </w:abstractNum>
  <w:abstractNum w:abstractNumId="21">
    <w:multiLevelType w:val="hybridMultilevel"/>
    <w:lvl w:ilvl="0">
      <w:start w:val="1"/>
      <w:numFmt w:val="decimal"/>
      <w:lvlText w:val="%1."/>
      <w:lvlJc w:val="left"/>
      <w:pPr>
        <w:ind w:left="2285" w:hanging="360"/>
        <w:jc w:val="left"/>
      </w:pPr>
      <w:rPr>
        <w:rFonts w:hint="default" w:ascii="Arial" w:hAnsi="Arial" w:eastAsia="Arial" w:cs="Arial"/>
        <w:b/>
        <w:bCs/>
        <w:spacing w:val="-1"/>
        <w:w w:val="99"/>
        <w:sz w:val="20"/>
        <w:szCs w:val="20"/>
      </w:rPr>
    </w:lvl>
    <w:lvl w:ilvl="1">
      <w:start w:val="1"/>
      <w:numFmt w:val="bullet"/>
      <w:lvlText w:val="•"/>
      <w:lvlJc w:val="left"/>
      <w:pPr>
        <w:ind w:left="3088" w:hanging="360"/>
      </w:pPr>
      <w:rPr>
        <w:rFonts w:hint="default"/>
      </w:rPr>
    </w:lvl>
    <w:lvl w:ilvl="2">
      <w:start w:val="1"/>
      <w:numFmt w:val="bullet"/>
      <w:lvlText w:val="•"/>
      <w:lvlJc w:val="left"/>
      <w:pPr>
        <w:ind w:left="3896" w:hanging="360"/>
      </w:pPr>
      <w:rPr>
        <w:rFonts w:hint="default"/>
      </w:rPr>
    </w:lvl>
    <w:lvl w:ilvl="3">
      <w:start w:val="1"/>
      <w:numFmt w:val="bullet"/>
      <w:lvlText w:val="•"/>
      <w:lvlJc w:val="left"/>
      <w:pPr>
        <w:ind w:left="4704" w:hanging="360"/>
      </w:pPr>
      <w:rPr>
        <w:rFonts w:hint="default"/>
      </w:rPr>
    </w:lvl>
    <w:lvl w:ilvl="4">
      <w:start w:val="1"/>
      <w:numFmt w:val="bullet"/>
      <w:lvlText w:val="•"/>
      <w:lvlJc w:val="left"/>
      <w:pPr>
        <w:ind w:left="5512" w:hanging="360"/>
      </w:pPr>
      <w:rPr>
        <w:rFonts w:hint="default"/>
      </w:rPr>
    </w:lvl>
    <w:lvl w:ilvl="5">
      <w:start w:val="1"/>
      <w:numFmt w:val="bullet"/>
      <w:lvlText w:val="•"/>
      <w:lvlJc w:val="left"/>
      <w:pPr>
        <w:ind w:left="6320" w:hanging="360"/>
      </w:pPr>
      <w:rPr>
        <w:rFonts w:hint="default"/>
      </w:rPr>
    </w:lvl>
    <w:lvl w:ilvl="6">
      <w:start w:val="1"/>
      <w:numFmt w:val="bullet"/>
      <w:lvlText w:val="•"/>
      <w:lvlJc w:val="left"/>
      <w:pPr>
        <w:ind w:left="7128" w:hanging="360"/>
      </w:pPr>
      <w:rPr>
        <w:rFonts w:hint="default"/>
      </w:rPr>
    </w:lvl>
    <w:lvl w:ilvl="7">
      <w:start w:val="1"/>
      <w:numFmt w:val="bullet"/>
      <w:lvlText w:val="•"/>
      <w:lvlJc w:val="left"/>
      <w:pPr>
        <w:ind w:left="7936" w:hanging="360"/>
      </w:pPr>
      <w:rPr>
        <w:rFonts w:hint="default"/>
      </w:rPr>
    </w:lvl>
    <w:lvl w:ilvl="8">
      <w:start w:val="1"/>
      <w:numFmt w:val="bullet"/>
      <w:lvlText w:val="•"/>
      <w:lvlJc w:val="left"/>
      <w:pPr>
        <w:ind w:left="8744" w:hanging="360"/>
      </w:pPr>
      <w:rPr>
        <w:rFonts w:hint="default"/>
      </w:rPr>
    </w:lvl>
  </w:abstractNum>
  <w:abstractNum w:abstractNumId="20">
    <w:multiLevelType w:val="hybridMultilevel"/>
    <w:lvl w:ilvl="0">
      <w:start w:val="1"/>
      <w:numFmt w:val="decimal"/>
      <w:lvlText w:val="%1."/>
      <w:lvlJc w:val="left"/>
      <w:pPr>
        <w:ind w:left="434" w:hanging="360"/>
        <w:jc w:val="left"/>
      </w:pPr>
      <w:rPr>
        <w:rFonts w:hint="default" w:ascii="Arial" w:hAnsi="Arial" w:eastAsia="Arial" w:cs="Arial"/>
        <w:b/>
        <w:bCs/>
        <w:spacing w:val="-5"/>
        <w:w w:val="100"/>
        <w:sz w:val="18"/>
        <w:szCs w:val="18"/>
      </w:rPr>
    </w:lvl>
    <w:lvl w:ilvl="1">
      <w:start w:val="1"/>
      <w:numFmt w:val="bullet"/>
      <w:lvlText w:val="•"/>
      <w:lvlJc w:val="left"/>
      <w:pPr>
        <w:ind w:left="1195" w:hanging="360"/>
      </w:pPr>
      <w:rPr>
        <w:rFonts w:hint="default"/>
      </w:rPr>
    </w:lvl>
    <w:lvl w:ilvl="2">
      <w:start w:val="1"/>
      <w:numFmt w:val="bullet"/>
      <w:lvlText w:val="•"/>
      <w:lvlJc w:val="left"/>
      <w:pPr>
        <w:ind w:left="1950" w:hanging="360"/>
      </w:pPr>
      <w:rPr>
        <w:rFonts w:hint="default"/>
      </w:rPr>
    </w:lvl>
    <w:lvl w:ilvl="3">
      <w:start w:val="1"/>
      <w:numFmt w:val="bullet"/>
      <w:lvlText w:val="•"/>
      <w:lvlJc w:val="left"/>
      <w:pPr>
        <w:ind w:left="2706" w:hanging="360"/>
      </w:pPr>
      <w:rPr>
        <w:rFonts w:hint="default"/>
      </w:rPr>
    </w:lvl>
    <w:lvl w:ilvl="4">
      <w:start w:val="1"/>
      <w:numFmt w:val="bullet"/>
      <w:lvlText w:val="•"/>
      <w:lvlJc w:val="left"/>
      <w:pPr>
        <w:ind w:left="3461" w:hanging="360"/>
      </w:pPr>
      <w:rPr>
        <w:rFonts w:hint="default"/>
      </w:rPr>
    </w:lvl>
    <w:lvl w:ilvl="5">
      <w:start w:val="1"/>
      <w:numFmt w:val="bullet"/>
      <w:lvlText w:val="•"/>
      <w:lvlJc w:val="left"/>
      <w:pPr>
        <w:ind w:left="4217" w:hanging="360"/>
      </w:pPr>
      <w:rPr>
        <w:rFonts w:hint="default"/>
      </w:rPr>
    </w:lvl>
    <w:lvl w:ilvl="6">
      <w:start w:val="1"/>
      <w:numFmt w:val="bullet"/>
      <w:lvlText w:val="•"/>
      <w:lvlJc w:val="left"/>
      <w:pPr>
        <w:ind w:left="4972" w:hanging="360"/>
      </w:pPr>
      <w:rPr>
        <w:rFonts w:hint="default"/>
      </w:rPr>
    </w:lvl>
    <w:lvl w:ilvl="7">
      <w:start w:val="1"/>
      <w:numFmt w:val="bullet"/>
      <w:lvlText w:val="•"/>
      <w:lvlJc w:val="left"/>
      <w:pPr>
        <w:ind w:left="5728" w:hanging="360"/>
      </w:pPr>
      <w:rPr>
        <w:rFonts w:hint="default"/>
      </w:rPr>
    </w:lvl>
    <w:lvl w:ilvl="8">
      <w:start w:val="1"/>
      <w:numFmt w:val="bullet"/>
      <w:lvlText w:val="•"/>
      <w:lvlJc w:val="left"/>
      <w:pPr>
        <w:ind w:left="6483" w:hanging="360"/>
      </w:pPr>
      <w:rPr>
        <w:rFonts w:hint="default"/>
      </w:rPr>
    </w:lvl>
  </w:abstractNum>
  <w:abstractNum w:abstractNumId="19">
    <w:multiLevelType w:val="hybridMultilevel"/>
    <w:lvl w:ilvl="0">
      <w:start w:val="1"/>
      <w:numFmt w:val="decimal"/>
      <w:lvlText w:val="%1."/>
      <w:lvlJc w:val="left"/>
      <w:pPr>
        <w:ind w:left="74" w:hanging="360"/>
        <w:jc w:val="left"/>
      </w:pPr>
      <w:rPr>
        <w:rFonts w:hint="default" w:ascii="Arial" w:hAnsi="Arial" w:eastAsia="Arial" w:cs="Arial"/>
        <w:b/>
        <w:bCs/>
        <w:spacing w:val="-4"/>
        <w:w w:val="100"/>
        <w:sz w:val="18"/>
        <w:szCs w:val="18"/>
      </w:rPr>
    </w:lvl>
    <w:lvl w:ilvl="1">
      <w:start w:val="1"/>
      <w:numFmt w:val="bullet"/>
      <w:lvlText w:val="•"/>
      <w:lvlJc w:val="left"/>
      <w:pPr>
        <w:ind w:left="871" w:hanging="360"/>
      </w:pPr>
      <w:rPr>
        <w:rFonts w:hint="default"/>
      </w:rPr>
    </w:lvl>
    <w:lvl w:ilvl="2">
      <w:start w:val="1"/>
      <w:numFmt w:val="bullet"/>
      <w:lvlText w:val="•"/>
      <w:lvlJc w:val="left"/>
      <w:pPr>
        <w:ind w:left="1662" w:hanging="360"/>
      </w:pPr>
      <w:rPr>
        <w:rFonts w:hint="default"/>
      </w:rPr>
    </w:lvl>
    <w:lvl w:ilvl="3">
      <w:start w:val="1"/>
      <w:numFmt w:val="bullet"/>
      <w:lvlText w:val="•"/>
      <w:lvlJc w:val="left"/>
      <w:pPr>
        <w:ind w:left="2454" w:hanging="360"/>
      </w:pPr>
      <w:rPr>
        <w:rFonts w:hint="default"/>
      </w:rPr>
    </w:lvl>
    <w:lvl w:ilvl="4">
      <w:start w:val="1"/>
      <w:numFmt w:val="bullet"/>
      <w:lvlText w:val="•"/>
      <w:lvlJc w:val="left"/>
      <w:pPr>
        <w:ind w:left="3245" w:hanging="360"/>
      </w:pPr>
      <w:rPr>
        <w:rFonts w:hint="default"/>
      </w:rPr>
    </w:lvl>
    <w:lvl w:ilvl="5">
      <w:start w:val="1"/>
      <w:numFmt w:val="bullet"/>
      <w:lvlText w:val="•"/>
      <w:lvlJc w:val="left"/>
      <w:pPr>
        <w:ind w:left="4037" w:hanging="360"/>
      </w:pPr>
      <w:rPr>
        <w:rFonts w:hint="default"/>
      </w:rPr>
    </w:lvl>
    <w:lvl w:ilvl="6">
      <w:start w:val="1"/>
      <w:numFmt w:val="bullet"/>
      <w:lvlText w:val="•"/>
      <w:lvlJc w:val="left"/>
      <w:pPr>
        <w:ind w:left="4828" w:hanging="360"/>
      </w:pPr>
      <w:rPr>
        <w:rFonts w:hint="default"/>
      </w:rPr>
    </w:lvl>
    <w:lvl w:ilvl="7">
      <w:start w:val="1"/>
      <w:numFmt w:val="bullet"/>
      <w:lvlText w:val="•"/>
      <w:lvlJc w:val="left"/>
      <w:pPr>
        <w:ind w:left="5620" w:hanging="360"/>
      </w:pPr>
      <w:rPr>
        <w:rFonts w:hint="default"/>
      </w:rPr>
    </w:lvl>
    <w:lvl w:ilvl="8">
      <w:start w:val="1"/>
      <w:numFmt w:val="bullet"/>
      <w:lvlText w:val="•"/>
      <w:lvlJc w:val="left"/>
      <w:pPr>
        <w:ind w:left="6411" w:hanging="360"/>
      </w:pPr>
      <w:rPr>
        <w:rFonts w:hint="default"/>
      </w:rPr>
    </w:lvl>
  </w:abstractNum>
  <w:abstractNum w:abstractNumId="18">
    <w:multiLevelType w:val="hybridMultilevel"/>
    <w:lvl w:ilvl="0">
      <w:start w:val="16"/>
      <w:numFmt w:val="decimal"/>
      <w:lvlText w:val="%1-"/>
      <w:lvlJc w:val="left"/>
      <w:pPr>
        <w:ind w:left="124" w:hanging="291"/>
        <w:jc w:val="left"/>
      </w:pPr>
      <w:rPr>
        <w:rFonts w:hint="default" w:ascii="Arial" w:hAnsi="Arial" w:eastAsia="Arial" w:cs="Arial"/>
        <w:spacing w:val="-1"/>
        <w:w w:val="99"/>
        <w:sz w:val="20"/>
        <w:szCs w:val="20"/>
      </w:rPr>
    </w:lvl>
    <w:lvl w:ilvl="1">
      <w:start w:val="1"/>
      <w:numFmt w:val="decimal"/>
      <w:lvlText w:val="%2."/>
      <w:lvlJc w:val="left"/>
      <w:pPr>
        <w:ind w:left="2286" w:hanging="360"/>
        <w:jc w:val="left"/>
      </w:pPr>
      <w:rPr>
        <w:rFonts w:hint="default" w:ascii="Arial" w:hAnsi="Arial" w:eastAsia="Arial" w:cs="Arial"/>
        <w:b/>
        <w:bCs/>
        <w:w w:val="99"/>
        <w:sz w:val="20"/>
        <w:szCs w:val="20"/>
      </w:rPr>
    </w:lvl>
    <w:lvl w:ilvl="2">
      <w:start w:val="1"/>
      <w:numFmt w:val="bullet"/>
      <w:lvlText w:val="•"/>
      <w:lvlJc w:val="left"/>
      <w:pPr>
        <w:ind w:left="2894" w:hanging="360"/>
      </w:pPr>
      <w:rPr>
        <w:rFonts w:hint="default"/>
      </w:rPr>
    </w:lvl>
    <w:lvl w:ilvl="3">
      <w:start w:val="1"/>
      <w:numFmt w:val="bullet"/>
      <w:lvlText w:val="•"/>
      <w:lvlJc w:val="left"/>
      <w:pPr>
        <w:ind w:left="3509" w:hanging="360"/>
      </w:pPr>
      <w:rPr>
        <w:rFonts w:hint="default"/>
      </w:rPr>
    </w:lvl>
    <w:lvl w:ilvl="4">
      <w:start w:val="1"/>
      <w:numFmt w:val="bullet"/>
      <w:lvlText w:val="•"/>
      <w:lvlJc w:val="left"/>
      <w:pPr>
        <w:ind w:left="4124" w:hanging="360"/>
      </w:pPr>
      <w:rPr>
        <w:rFonts w:hint="default"/>
      </w:rPr>
    </w:lvl>
    <w:lvl w:ilvl="5">
      <w:start w:val="1"/>
      <w:numFmt w:val="bullet"/>
      <w:lvlText w:val="•"/>
      <w:lvlJc w:val="left"/>
      <w:pPr>
        <w:ind w:left="4739" w:hanging="360"/>
      </w:pPr>
      <w:rPr>
        <w:rFonts w:hint="default"/>
      </w:rPr>
    </w:lvl>
    <w:lvl w:ilvl="6">
      <w:start w:val="1"/>
      <w:numFmt w:val="bullet"/>
      <w:lvlText w:val="•"/>
      <w:lvlJc w:val="left"/>
      <w:pPr>
        <w:ind w:left="5354" w:hanging="360"/>
      </w:pPr>
      <w:rPr>
        <w:rFonts w:hint="default"/>
      </w:rPr>
    </w:lvl>
    <w:lvl w:ilvl="7">
      <w:start w:val="1"/>
      <w:numFmt w:val="bullet"/>
      <w:lvlText w:val="•"/>
      <w:lvlJc w:val="left"/>
      <w:pPr>
        <w:ind w:left="5969" w:hanging="360"/>
      </w:pPr>
      <w:rPr>
        <w:rFonts w:hint="default"/>
      </w:rPr>
    </w:lvl>
    <w:lvl w:ilvl="8">
      <w:start w:val="1"/>
      <w:numFmt w:val="bullet"/>
      <w:lvlText w:val="•"/>
      <w:lvlJc w:val="left"/>
      <w:pPr>
        <w:ind w:left="6584" w:hanging="360"/>
      </w:pPr>
      <w:rPr>
        <w:rFonts w:hint="default"/>
      </w:rPr>
    </w:lvl>
  </w:abstractNum>
  <w:abstractNum w:abstractNumId="17">
    <w:multiLevelType w:val="hybridMultilevel"/>
    <w:lvl w:ilvl="0">
      <w:start w:val="3"/>
      <w:numFmt w:val="decimal"/>
      <w:lvlText w:val="%1."/>
      <w:lvlJc w:val="left"/>
      <w:pPr>
        <w:ind w:left="140" w:hanging="360"/>
        <w:jc w:val="left"/>
      </w:pPr>
      <w:rPr>
        <w:rFonts w:hint="default" w:ascii="Arial" w:hAnsi="Arial" w:eastAsia="Arial" w:cs="Arial"/>
        <w:b/>
        <w:bCs/>
        <w:w w:val="99"/>
        <w:sz w:val="20"/>
        <w:szCs w:val="20"/>
      </w:rPr>
    </w:lvl>
    <w:lvl w:ilvl="1">
      <w:start w:val="1"/>
      <w:numFmt w:val="bullet"/>
      <w:lvlText w:val="•"/>
      <w:lvlJc w:val="left"/>
      <w:pPr>
        <w:ind w:left="363" w:hanging="360"/>
      </w:pPr>
      <w:rPr>
        <w:rFonts w:hint="default"/>
      </w:rPr>
    </w:lvl>
    <w:lvl w:ilvl="2">
      <w:start w:val="1"/>
      <w:numFmt w:val="bullet"/>
      <w:lvlText w:val="•"/>
      <w:lvlJc w:val="left"/>
      <w:pPr>
        <w:ind w:left="587" w:hanging="360"/>
      </w:pPr>
      <w:rPr>
        <w:rFonts w:hint="default"/>
      </w:rPr>
    </w:lvl>
    <w:lvl w:ilvl="3">
      <w:start w:val="1"/>
      <w:numFmt w:val="bullet"/>
      <w:lvlText w:val="•"/>
      <w:lvlJc w:val="left"/>
      <w:pPr>
        <w:ind w:left="811" w:hanging="360"/>
      </w:pPr>
      <w:rPr>
        <w:rFonts w:hint="default"/>
      </w:rPr>
    </w:lvl>
    <w:lvl w:ilvl="4">
      <w:start w:val="1"/>
      <w:numFmt w:val="bullet"/>
      <w:lvlText w:val="•"/>
      <w:lvlJc w:val="left"/>
      <w:pPr>
        <w:ind w:left="1035" w:hanging="360"/>
      </w:pPr>
      <w:rPr>
        <w:rFonts w:hint="default"/>
      </w:rPr>
    </w:lvl>
    <w:lvl w:ilvl="5">
      <w:start w:val="1"/>
      <w:numFmt w:val="bullet"/>
      <w:lvlText w:val="•"/>
      <w:lvlJc w:val="left"/>
      <w:pPr>
        <w:ind w:left="1258" w:hanging="360"/>
      </w:pPr>
      <w:rPr>
        <w:rFonts w:hint="default"/>
      </w:rPr>
    </w:lvl>
    <w:lvl w:ilvl="6">
      <w:start w:val="1"/>
      <w:numFmt w:val="bullet"/>
      <w:lvlText w:val="•"/>
      <w:lvlJc w:val="left"/>
      <w:pPr>
        <w:ind w:left="1482" w:hanging="360"/>
      </w:pPr>
      <w:rPr>
        <w:rFonts w:hint="default"/>
      </w:rPr>
    </w:lvl>
    <w:lvl w:ilvl="7">
      <w:start w:val="1"/>
      <w:numFmt w:val="bullet"/>
      <w:lvlText w:val="•"/>
      <w:lvlJc w:val="left"/>
      <w:pPr>
        <w:ind w:left="1706" w:hanging="360"/>
      </w:pPr>
      <w:rPr>
        <w:rFonts w:hint="default"/>
      </w:rPr>
    </w:lvl>
    <w:lvl w:ilvl="8">
      <w:start w:val="1"/>
      <w:numFmt w:val="bullet"/>
      <w:lvlText w:val="•"/>
      <w:lvlJc w:val="left"/>
      <w:pPr>
        <w:ind w:left="1930" w:hanging="360"/>
      </w:pPr>
      <w:rPr>
        <w:rFonts w:hint="default"/>
      </w:rPr>
    </w:lvl>
  </w:abstractNum>
  <w:abstractNum w:abstractNumId="16">
    <w:multiLevelType w:val="hybridMultilevel"/>
    <w:lvl w:ilvl="0">
      <w:start w:val="1"/>
      <w:numFmt w:val="bullet"/>
      <w:lvlText w:val=""/>
      <w:lvlJc w:val="left"/>
      <w:pPr>
        <w:ind w:left="1501" w:hanging="360"/>
      </w:pPr>
      <w:rPr>
        <w:rFonts w:hint="default" w:ascii="Symbol" w:hAnsi="Symbol" w:eastAsia="Symbol" w:cs="Symbol"/>
        <w:w w:val="100"/>
        <w:sz w:val="22"/>
        <w:szCs w:val="22"/>
      </w:rPr>
    </w:lvl>
    <w:lvl w:ilvl="1">
      <w:start w:val="1"/>
      <w:numFmt w:val="bullet"/>
      <w:lvlText w:val="•"/>
      <w:lvlJc w:val="left"/>
      <w:pPr>
        <w:ind w:left="2362" w:hanging="360"/>
      </w:pPr>
      <w:rPr>
        <w:rFonts w:hint="default"/>
      </w:rPr>
    </w:lvl>
    <w:lvl w:ilvl="2">
      <w:start w:val="1"/>
      <w:numFmt w:val="bullet"/>
      <w:lvlText w:val="•"/>
      <w:lvlJc w:val="left"/>
      <w:pPr>
        <w:ind w:left="3224" w:hanging="360"/>
      </w:pPr>
      <w:rPr>
        <w:rFonts w:hint="default"/>
      </w:rPr>
    </w:lvl>
    <w:lvl w:ilvl="3">
      <w:start w:val="1"/>
      <w:numFmt w:val="bullet"/>
      <w:lvlText w:val="•"/>
      <w:lvlJc w:val="left"/>
      <w:pPr>
        <w:ind w:left="4086" w:hanging="360"/>
      </w:pPr>
      <w:rPr>
        <w:rFonts w:hint="default"/>
      </w:rPr>
    </w:lvl>
    <w:lvl w:ilvl="4">
      <w:start w:val="1"/>
      <w:numFmt w:val="bullet"/>
      <w:lvlText w:val="•"/>
      <w:lvlJc w:val="left"/>
      <w:pPr>
        <w:ind w:left="4948" w:hanging="360"/>
      </w:pPr>
      <w:rPr>
        <w:rFonts w:hint="default"/>
      </w:rPr>
    </w:lvl>
    <w:lvl w:ilvl="5">
      <w:start w:val="1"/>
      <w:numFmt w:val="bullet"/>
      <w:lvlText w:val="•"/>
      <w:lvlJc w:val="left"/>
      <w:pPr>
        <w:ind w:left="5810" w:hanging="360"/>
      </w:pPr>
      <w:rPr>
        <w:rFonts w:hint="default"/>
      </w:rPr>
    </w:lvl>
    <w:lvl w:ilvl="6">
      <w:start w:val="1"/>
      <w:numFmt w:val="bullet"/>
      <w:lvlText w:val="•"/>
      <w:lvlJc w:val="left"/>
      <w:pPr>
        <w:ind w:left="6672" w:hanging="360"/>
      </w:pPr>
      <w:rPr>
        <w:rFonts w:hint="default"/>
      </w:rPr>
    </w:lvl>
    <w:lvl w:ilvl="7">
      <w:start w:val="1"/>
      <w:numFmt w:val="bullet"/>
      <w:lvlText w:val="•"/>
      <w:lvlJc w:val="left"/>
      <w:pPr>
        <w:ind w:left="7534" w:hanging="360"/>
      </w:pPr>
      <w:rPr>
        <w:rFonts w:hint="default"/>
      </w:rPr>
    </w:lvl>
    <w:lvl w:ilvl="8">
      <w:start w:val="1"/>
      <w:numFmt w:val="bullet"/>
      <w:lvlText w:val="•"/>
      <w:lvlJc w:val="left"/>
      <w:pPr>
        <w:ind w:left="8396" w:hanging="360"/>
      </w:pPr>
      <w:rPr>
        <w:rFonts w:hint="default"/>
      </w:rPr>
    </w:lvl>
  </w:abstractNum>
  <w:abstractNum w:abstractNumId="15">
    <w:multiLevelType w:val="hybridMultilevel"/>
    <w:lvl w:ilvl="0">
      <w:start w:val="5"/>
      <w:numFmt w:val="decimal"/>
      <w:lvlText w:val="%1"/>
      <w:lvlJc w:val="left"/>
      <w:pPr>
        <w:ind w:left="1210" w:hanging="430"/>
        <w:jc w:val="left"/>
      </w:pPr>
      <w:rPr>
        <w:rFonts w:hint="default"/>
      </w:rPr>
    </w:lvl>
    <w:lvl w:ilvl="1">
      <w:start w:val="7"/>
      <w:numFmt w:val="decimal"/>
      <w:lvlText w:val="%1.%2."/>
      <w:lvlJc w:val="left"/>
      <w:pPr>
        <w:ind w:left="1210" w:hanging="430"/>
        <w:jc w:val="left"/>
      </w:pPr>
      <w:rPr>
        <w:rFonts w:hint="default" w:ascii="Arial" w:hAnsi="Arial" w:eastAsia="Arial" w:cs="Arial"/>
        <w:b/>
        <w:bCs/>
        <w:spacing w:val="-1"/>
        <w:w w:val="100"/>
        <w:sz w:val="22"/>
        <w:szCs w:val="22"/>
      </w:rPr>
    </w:lvl>
    <w:lvl w:ilvl="2">
      <w:start w:val="1"/>
      <w:numFmt w:val="decimal"/>
      <w:lvlText w:val="%1.%2.%3."/>
      <w:lvlJc w:val="left"/>
      <w:pPr>
        <w:ind w:left="1395" w:hanging="614"/>
        <w:jc w:val="left"/>
      </w:pPr>
      <w:rPr>
        <w:rFonts w:hint="default" w:ascii="Arial" w:hAnsi="Arial" w:eastAsia="Arial" w:cs="Arial"/>
        <w:b/>
        <w:bCs/>
        <w:spacing w:val="-3"/>
        <w:w w:val="100"/>
        <w:sz w:val="22"/>
        <w:szCs w:val="22"/>
      </w:rPr>
    </w:lvl>
    <w:lvl w:ilvl="3">
      <w:start w:val="1"/>
      <w:numFmt w:val="decimal"/>
      <w:lvlText w:val="%1.%2.%3.%4."/>
      <w:lvlJc w:val="left"/>
      <w:pPr>
        <w:ind w:left="1577" w:hanging="797"/>
        <w:jc w:val="left"/>
      </w:pPr>
      <w:rPr>
        <w:rFonts w:hint="default" w:ascii="Arial" w:hAnsi="Arial" w:eastAsia="Arial" w:cs="Arial"/>
        <w:b/>
        <w:bCs/>
        <w:spacing w:val="-3"/>
        <w:w w:val="100"/>
        <w:sz w:val="22"/>
        <w:szCs w:val="22"/>
      </w:rPr>
    </w:lvl>
    <w:lvl w:ilvl="4">
      <w:start w:val="1"/>
      <w:numFmt w:val="bullet"/>
      <w:lvlText w:val="•"/>
      <w:lvlJc w:val="left"/>
      <w:pPr>
        <w:ind w:left="3715" w:hanging="797"/>
      </w:pPr>
      <w:rPr>
        <w:rFonts w:hint="default"/>
      </w:rPr>
    </w:lvl>
    <w:lvl w:ilvl="5">
      <w:start w:val="1"/>
      <w:numFmt w:val="bullet"/>
      <w:lvlText w:val="•"/>
      <w:lvlJc w:val="left"/>
      <w:pPr>
        <w:ind w:left="4782" w:hanging="797"/>
      </w:pPr>
      <w:rPr>
        <w:rFonts w:hint="default"/>
      </w:rPr>
    </w:lvl>
    <w:lvl w:ilvl="6">
      <w:start w:val="1"/>
      <w:numFmt w:val="bullet"/>
      <w:lvlText w:val="•"/>
      <w:lvlJc w:val="left"/>
      <w:pPr>
        <w:ind w:left="5850" w:hanging="797"/>
      </w:pPr>
      <w:rPr>
        <w:rFonts w:hint="default"/>
      </w:rPr>
    </w:lvl>
    <w:lvl w:ilvl="7">
      <w:start w:val="1"/>
      <w:numFmt w:val="bullet"/>
      <w:lvlText w:val="•"/>
      <w:lvlJc w:val="left"/>
      <w:pPr>
        <w:ind w:left="6917" w:hanging="797"/>
      </w:pPr>
      <w:rPr>
        <w:rFonts w:hint="default"/>
      </w:rPr>
    </w:lvl>
    <w:lvl w:ilvl="8">
      <w:start w:val="1"/>
      <w:numFmt w:val="bullet"/>
      <w:lvlText w:val="•"/>
      <w:lvlJc w:val="left"/>
      <w:pPr>
        <w:ind w:left="7985" w:hanging="797"/>
      </w:pPr>
      <w:rPr>
        <w:rFonts w:hint="default"/>
      </w:rPr>
    </w:lvl>
  </w:abstractNum>
  <w:abstractNum w:abstractNumId="14">
    <w:multiLevelType w:val="hybridMultilevel"/>
    <w:lvl w:ilvl="0">
      <w:start w:val="5"/>
      <w:numFmt w:val="decimal"/>
      <w:lvlText w:val="%1"/>
      <w:lvlJc w:val="left"/>
      <w:pPr>
        <w:ind w:left="1210" w:hanging="430"/>
        <w:jc w:val="left"/>
      </w:pPr>
      <w:rPr>
        <w:rFonts w:hint="default"/>
      </w:rPr>
    </w:lvl>
    <w:lvl w:ilvl="1">
      <w:start w:val="6"/>
      <w:numFmt w:val="decimal"/>
      <w:lvlText w:val="%1.%2."/>
      <w:lvlJc w:val="left"/>
      <w:pPr>
        <w:ind w:left="1210" w:hanging="430"/>
        <w:jc w:val="left"/>
      </w:pPr>
      <w:rPr>
        <w:rFonts w:hint="default" w:ascii="Arial" w:hAnsi="Arial" w:eastAsia="Arial" w:cs="Arial"/>
        <w:b/>
        <w:bCs/>
        <w:spacing w:val="-1"/>
        <w:w w:val="100"/>
        <w:sz w:val="22"/>
        <w:szCs w:val="22"/>
      </w:rPr>
    </w:lvl>
    <w:lvl w:ilvl="2">
      <w:start w:val="1"/>
      <w:numFmt w:val="decimal"/>
      <w:lvlText w:val="%1.%2.%3."/>
      <w:lvlJc w:val="left"/>
      <w:pPr>
        <w:ind w:left="1395" w:hanging="614"/>
        <w:jc w:val="left"/>
      </w:pPr>
      <w:rPr>
        <w:rFonts w:hint="default" w:ascii="Arial" w:hAnsi="Arial" w:eastAsia="Arial" w:cs="Arial"/>
        <w:b/>
        <w:bCs/>
        <w:spacing w:val="-3"/>
        <w:w w:val="100"/>
        <w:sz w:val="22"/>
        <w:szCs w:val="22"/>
      </w:rPr>
    </w:lvl>
    <w:lvl w:ilvl="3">
      <w:start w:val="1"/>
      <w:numFmt w:val="decimal"/>
      <w:lvlText w:val="%1.%2.%3.%4."/>
      <w:lvlJc w:val="left"/>
      <w:pPr>
        <w:ind w:left="1577" w:hanging="797"/>
        <w:jc w:val="left"/>
      </w:pPr>
      <w:rPr>
        <w:rFonts w:hint="default" w:ascii="Arial" w:hAnsi="Arial" w:eastAsia="Arial" w:cs="Arial"/>
        <w:b/>
        <w:bCs/>
        <w:spacing w:val="-3"/>
        <w:w w:val="100"/>
        <w:sz w:val="22"/>
        <w:szCs w:val="22"/>
      </w:rPr>
    </w:lvl>
    <w:lvl w:ilvl="4">
      <w:start w:val="1"/>
      <w:numFmt w:val="bullet"/>
      <w:lvlText w:val="•"/>
      <w:lvlJc w:val="left"/>
      <w:pPr>
        <w:ind w:left="3715" w:hanging="797"/>
      </w:pPr>
      <w:rPr>
        <w:rFonts w:hint="default"/>
      </w:rPr>
    </w:lvl>
    <w:lvl w:ilvl="5">
      <w:start w:val="1"/>
      <w:numFmt w:val="bullet"/>
      <w:lvlText w:val="•"/>
      <w:lvlJc w:val="left"/>
      <w:pPr>
        <w:ind w:left="4782" w:hanging="797"/>
      </w:pPr>
      <w:rPr>
        <w:rFonts w:hint="default"/>
      </w:rPr>
    </w:lvl>
    <w:lvl w:ilvl="6">
      <w:start w:val="1"/>
      <w:numFmt w:val="bullet"/>
      <w:lvlText w:val="•"/>
      <w:lvlJc w:val="left"/>
      <w:pPr>
        <w:ind w:left="5850" w:hanging="797"/>
      </w:pPr>
      <w:rPr>
        <w:rFonts w:hint="default"/>
      </w:rPr>
    </w:lvl>
    <w:lvl w:ilvl="7">
      <w:start w:val="1"/>
      <w:numFmt w:val="bullet"/>
      <w:lvlText w:val="•"/>
      <w:lvlJc w:val="left"/>
      <w:pPr>
        <w:ind w:left="6917" w:hanging="797"/>
      </w:pPr>
      <w:rPr>
        <w:rFonts w:hint="default"/>
      </w:rPr>
    </w:lvl>
    <w:lvl w:ilvl="8">
      <w:start w:val="1"/>
      <w:numFmt w:val="bullet"/>
      <w:lvlText w:val="•"/>
      <w:lvlJc w:val="left"/>
      <w:pPr>
        <w:ind w:left="7985" w:hanging="797"/>
      </w:pPr>
      <w:rPr>
        <w:rFonts w:hint="default"/>
      </w:rPr>
    </w:lvl>
  </w:abstractNum>
  <w:abstractNum w:abstractNumId="13">
    <w:multiLevelType w:val="hybridMultilevel"/>
    <w:lvl w:ilvl="0">
      <w:start w:val="5"/>
      <w:numFmt w:val="decimal"/>
      <w:lvlText w:val="%1"/>
      <w:lvlJc w:val="left"/>
      <w:pPr>
        <w:ind w:left="1210" w:hanging="430"/>
        <w:jc w:val="left"/>
      </w:pPr>
      <w:rPr>
        <w:rFonts w:hint="default"/>
      </w:rPr>
    </w:lvl>
    <w:lvl w:ilvl="1">
      <w:start w:val="2"/>
      <w:numFmt w:val="decimal"/>
      <w:lvlText w:val="%1.%2."/>
      <w:lvlJc w:val="left"/>
      <w:pPr>
        <w:ind w:left="1210" w:hanging="430"/>
        <w:jc w:val="left"/>
      </w:pPr>
      <w:rPr>
        <w:rFonts w:hint="default" w:ascii="Arial" w:hAnsi="Arial" w:eastAsia="Arial" w:cs="Arial"/>
        <w:b/>
        <w:bCs/>
        <w:spacing w:val="-1"/>
        <w:w w:val="100"/>
        <w:sz w:val="22"/>
        <w:szCs w:val="22"/>
      </w:rPr>
    </w:lvl>
    <w:lvl w:ilvl="2">
      <w:start w:val="1"/>
      <w:numFmt w:val="decimal"/>
      <w:lvlText w:val="%1.%2.%3."/>
      <w:lvlJc w:val="left"/>
      <w:pPr>
        <w:ind w:left="1395" w:hanging="614"/>
        <w:jc w:val="left"/>
      </w:pPr>
      <w:rPr>
        <w:rFonts w:hint="default" w:ascii="Arial" w:hAnsi="Arial" w:eastAsia="Arial" w:cs="Arial"/>
        <w:b/>
        <w:bCs/>
        <w:spacing w:val="-3"/>
        <w:w w:val="100"/>
        <w:sz w:val="22"/>
        <w:szCs w:val="22"/>
      </w:rPr>
    </w:lvl>
    <w:lvl w:ilvl="3">
      <w:start w:val="1"/>
      <w:numFmt w:val="decimal"/>
      <w:lvlText w:val="%1.%2.%3.%4."/>
      <w:lvlJc w:val="left"/>
      <w:pPr>
        <w:ind w:left="1577" w:hanging="797"/>
        <w:jc w:val="right"/>
      </w:pPr>
      <w:rPr>
        <w:rFonts w:hint="default" w:ascii="Arial" w:hAnsi="Arial" w:eastAsia="Arial" w:cs="Arial"/>
        <w:b/>
        <w:bCs/>
        <w:spacing w:val="-3"/>
        <w:w w:val="100"/>
        <w:sz w:val="22"/>
        <w:szCs w:val="22"/>
      </w:rPr>
    </w:lvl>
    <w:lvl w:ilvl="4">
      <w:start w:val="1"/>
      <w:numFmt w:val="bullet"/>
      <w:lvlText w:val="•"/>
      <w:lvlJc w:val="left"/>
      <w:pPr>
        <w:ind w:left="3715" w:hanging="797"/>
      </w:pPr>
      <w:rPr>
        <w:rFonts w:hint="default"/>
      </w:rPr>
    </w:lvl>
    <w:lvl w:ilvl="5">
      <w:start w:val="1"/>
      <w:numFmt w:val="bullet"/>
      <w:lvlText w:val="•"/>
      <w:lvlJc w:val="left"/>
      <w:pPr>
        <w:ind w:left="4782" w:hanging="797"/>
      </w:pPr>
      <w:rPr>
        <w:rFonts w:hint="default"/>
      </w:rPr>
    </w:lvl>
    <w:lvl w:ilvl="6">
      <w:start w:val="1"/>
      <w:numFmt w:val="bullet"/>
      <w:lvlText w:val="•"/>
      <w:lvlJc w:val="left"/>
      <w:pPr>
        <w:ind w:left="5850" w:hanging="797"/>
      </w:pPr>
      <w:rPr>
        <w:rFonts w:hint="default"/>
      </w:rPr>
    </w:lvl>
    <w:lvl w:ilvl="7">
      <w:start w:val="1"/>
      <w:numFmt w:val="bullet"/>
      <w:lvlText w:val="•"/>
      <w:lvlJc w:val="left"/>
      <w:pPr>
        <w:ind w:left="6917" w:hanging="797"/>
      </w:pPr>
      <w:rPr>
        <w:rFonts w:hint="default"/>
      </w:rPr>
    </w:lvl>
    <w:lvl w:ilvl="8">
      <w:start w:val="1"/>
      <w:numFmt w:val="bullet"/>
      <w:lvlText w:val="•"/>
      <w:lvlJc w:val="left"/>
      <w:pPr>
        <w:ind w:left="7985" w:hanging="797"/>
      </w:pPr>
      <w:rPr>
        <w:rFonts w:hint="default"/>
      </w:rPr>
    </w:lvl>
  </w:abstractNum>
  <w:abstractNum w:abstractNumId="12">
    <w:multiLevelType w:val="hybridMultilevel"/>
    <w:lvl w:ilvl="0">
      <w:start w:val="4"/>
      <w:numFmt w:val="decimal"/>
      <w:lvlText w:val="%1"/>
      <w:lvlJc w:val="left"/>
      <w:pPr>
        <w:ind w:left="1395" w:hanging="614"/>
        <w:jc w:val="left"/>
      </w:pPr>
      <w:rPr>
        <w:rFonts w:hint="default"/>
      </w:rPr>
    </w:lvl>
    <w:lvl w:ilvl="1">
      <w:start w:val="6"/>
      <w:numFmt w:val="decimal"/>
      <w:lvlText w:val="%1.%2"/>
      <w:lvlJc w:val="left"/>
      <w:pPr>
        <w:ind w:left="1395" w:hanging="614"/>
        <w:jc w:val="left"/>
      </w:pPr>
      <w:rPr>
        <w:rFonts w:hint="default"/>
      </w:rPr>
    </w:lvl>
    <w:lvl w:ilvl="2">
      <w:start w:val="2"/>
      <w:numFmt w:val="decimal"/>
      <w:lvlText w:val="%1.%2.%3."/>
      <w:lvlJc w:val="left"/>
      <w:pPr>
        <w:ind w:left="1395" w:hanging="614"/>
        <w:jc w:val="left"/>
      </w:pPr>
      <w:rPr>
        <w:rFonts w:hint="default" w:ascii="Arial" w:hAnsi="Arial" w:eastAsia="Arial" w:cs="Arial"/>
        <w:b/>
        <w:bCs/>
        <w:spacing w:val="-3"/>
        <w:w w:val="100"/>
        <w:sz w:val="22"/>
        <w:szCs w:val="22"/>
      </w:rPr>
    </w:lvl>
    <w:lvl w:ilvl="3">
      <w:start w:val="1"/>
      <w:numFmt w:val="bullet"/>
      <w:lvlText w:val="•"/>
      <w:lvlJc w:val="left"/>
      <w:pPr>
        <w:ind w:left="4016" w:hanging="614"/>
      </w:pPr>
      <w:rPr>
        <w:rFonts w:hint="default"/>
      </w:rPr>
    </w:lvl>
    <w:lvl w:ilvl="4">
      <w:start w:val="1"/>
      <w:numFmt w:val="bullet"/>
      <w:lvlText w:val="•"/>
      <w:lvlJc w:val="left"/>
      <w:pPr>
        <w:ind w:left="4888" w:hanging="614"/>
      </w:pPr>
      <w:rPr>
        <w:rFonts w:hint="default"/>
      </w:rPr>
    </w:lvl>
    <w:lvl w:ilvl="5">
      <w:start w:val="1"/>
      <w:numFmt w:val="bullet"/>
      <w:lvlText w:val="•"/>
      <w:lvlJc w:val="left"/>
      <w:pPr>
        <w:ind w:left="5760" w:hanging="614"/>
      </w:pPr>
      <w:rPr>
        <w:rFonts w:hint="default"/>
      </w:rPr>
    </w:lvl>
    <w:lvl w:ilvl="6">
      <w:start w:val="1"/>
      <w:numFmt w:val="bullet"/>
      <w:lvlText w:val="•"/>
      <w:lvlJc w:val="left"/>
      <w:pPr>
        <w:ind w:left="6632" w:hanging="614"/>
      </w:pPr>
      <w:rPr>
        <w:rFonts w:hint="default"/>
      </w:rPr>
    </w:lvl>
    <w:lvl w:ilvl="7">
      <w:start w:val="1"/>
      <w:numFmt w:val="bullet"/>
      <w:lvlText w:val="•"/>
      <w:lvlJc w:val="left"/>
      <w:pPr>
        <w:ind w:left="7504" w:hanging="614"/>
      </w:pPr>
      <w:rPr>
        <w:rFonts w:hint="default"/>
      </w:rPr>
    </w:lvl>
    <w:lvl w:ilvl="8">
      <w:start w:val="1"/>
      <w:numFmt w:val="bullet"/>
      <w:lvlText w:val="•"/>
      <w:lvlJc w:val="left"/>
      <w:pPr>
        <w:ind w:left="8376" w:hanging="614"/>
      </w:pPr>
      <w:rPr>
        <w:rFonts w:hint="default"/>
      </w:rPr>
    </w:lvl>
  </w:abstractNum>
  <w:abstractNum w:abstractNumId="11">
    <w:multiLevelType w:val="hybridMultilevel"/>
    <w:lvl w:ilvl="0">
      <w:start w:val="4"/>
      <w:numFmt w:val="decimal"/>
      <w:lvlText w:val="%1"/>
      <w:lvlJc w:val="left"/>
      <w:pPr>
        <w:ind w:left="1577" w:hanging="797"/>
        <w:jc w:val="left"/>
      </w:pPr>
      <w:rPr>
        <w:rFonts w:hint="default"/>
      </w:rPr>
    </w:lvl>
    <w:lvl w:ilvl="1">
      <w:start w:val="6"/>
      <w:numFmt w:val="decimal"/>
      <w:lvlText w:val="%1.%2"/>
      <w:lvlJc w:val="left"/>
      <w:pPr>
        <w:ind w:left="1577" w:hanging="797"/>
        <w:jc w:val="left"/>
      </w:pPr>
      <w:rPr>
        <w:rFonts w:hint="default"/>
      </w:rPr>
    </w:lvl>
    <w:lvl w:ilvl="2">
      <w:start w:val="1"/>
      <w:numFmt w:val="decimal"/>
      <w:lvlText w:val="%1.%2.%3"/>
      <w:lvlJc w:val="left"/>
      <w:pPr>
        <w:ind w:left="1577" w:hanging="797"/>
        <w:jc w:val="left"/>
      </w:pPr>
      <w:rPr>
        <w:rFonts w:hint="default"/>
      </w:rPr>
    </w:lvl>
    <w:lvl w:ilvl="3">
      <w:start w:val="1"/>
      <w:numFmt w:val="decimal"/>
      <w:lvlText w:val="%1.%2.%3.%4."/>
      <w:lvlJc w:val="left"/>
      <w:pPr>
        <w:ind w:left="1577" w:hanging="797"/>
        <w:jc w:val="left"/>
      </w:pPr>
      <w:rPr>
        <w:rFonts w:hint="default" w:ascii="Arial" w:hAnsi="Arial" w:eastAsia="Arial" w:cs="Arial"/>
        <w:b/>
        <w:bCs/>
        <w:spacing w:val="-3"/>
        <w:w w:val="100"/>
        <w:sz w:val="22"/>
        <w:szCs w:val="22"/>
      </w:rPr>
    </w:lvl>
    <w:lvl w:ilvl="4">
      <w:start w:val="1"/>
      <w:numFmt w:val="bullet"/>
      <w:lvlText w:val="•"/>
      <w:lvlJc w:val="left"/>
      <w:pPr>
        <w:ind w:left="4996" w:hanging="797"/>
      </w:pPr>
      <w:rPr>
        <w:rFonts w:hint="default"/>
      </w:rPr>
    </w:lvl>
    <w:lvl w:ilvl="5">
      <w:start w:val="1"/>
      <w:numFmt w:val="bullet"/>
      <w:lvlText w:val="•"/>
      <w:lvlJc w:val="left"/>
      <w:pPr>
        <w:ind w:left="5850" w:hanging="797"/>
      </w:pPr>
      <w:rPr>
        <w:rFonts w:hint="default"/>
      </w:rPr>
    </w:lvl>
    <w:lvl w:ilvl="6">
      <w:start w:val="1"/>
      <w:numFmt w:val="bullet"/>
      <w:lvlText w:val="•"/>
      <w:lvlJc w:val="left"/>
      <w:pPr>
        <w:ind w:left="6704" w:hanging="797"/>
      </w:pPr>
      <w:rPr>
        <w:rFonts w:hint="default"/>
      </w:rPr>
    </w:lvl>
    <w:lvl w:ilvl="7">
      <w:start w:val="1"/>
      <w:numFmt w:val="bullet"/>
      <w:lvlText w:val="•"/>
      <w:lvlJc w:val="left"/>
      <w:pPr>
        <w:ind w:left="7558" w:hanging="797"/>
      </w:pPr>
      <w:rPr>
        <w:rFonts w:hint="default"/>
      </w:rPr>
    </w:lvl>
    <w:lvl w:ilvl="8">
      <w:start w:val="1"/>
      <w:numFmt w:val="bullet"/>
      <w:lvlText w:val="•"/>
      <w:lvlJc w:val="left"/>
      <w:pPr>
        <w:ind w:left="8412" w:hanging="797"/>
      </w:pPr>
      <w:rPr>
        <w:rFonts w:hint="default"/>
      </w:rPr>
    </w:lvl>
  </w:abstractNum>
  <w:abstractNum w:abstractNumId="10">
    <w:multiLevelType w:val="hybridMultilevel"/>
    <w:lvl w:ilvl="0">
      <w:start w:val="1"/>
      <w:numFmt w:val="decimal"/>
      <w:lvlText w:val="%1."/>
      <w:lvlJc w:val="left"/>
      <w:pPr>
        <w:ind w:left="1501" w:hanging="360"/>
        <w:jc w:val="left"/>
      </w:pPr>
      <w:rPr>
        <w:rFonts w:hint="default" w:ascii="Calibri" w:hAnsi="Calibri" w:eastAsia="Calibri" w:cs="Calibri"/>
        <w:w w:val="99"/>
        <w:sz w:val="20"/>
        <w:szCs w:val="20"/>
      </w:rPr>
    </w:lvl>
    <w:lvl w:ilvl="1">
      <w:start w:val="1"/>
      <w:numFmt w:val="bullet"/>
      <w:lvlText w:val="•"/>
      <w:lvlJc w:val="left"/>
      <w:pPr>
        <w:ind w:left="2058" w:hanging="360"/>
      </w:pPr>
      <w:rPr>
        <w:rFonts w:hint="default"/>
      </w:rPr>
    </w:lvl>
    <w:lvl w:ilvl="2">
      <w:start w:val="1"/>
      <w:numFmt w:val="bullet"/>
      <w:lvlText w:val="•"/>
      <w:lvlJc w:val="left"/>
      <w:pPr>
        <w:ind w:left="2617" w:hanging="360"/>
      </w:pPr>
      <w:rPr>
        <w:rFonts w:hint="default"/>
      </w:rPr>
    </w:lvl>
    <w:lvl w:ilvl="3">
      <w:start w:val="1"/>
      <w:numFmt w:val="bullet"/>
      <w:lvlText w:val="•"/>
      <w:lvlJc w:val="left"/>
      <w:pPr>
        <w:ind w:left="3176" w:hanging="360"/>
      </w:pPr>
      <w:rPr>
        <w:rFonts w:hint="default"/>
      </w:rPr>
    </w:lvl>
    <w:lvl w:ilvl="4">
      <w:start w:val="1"/>
      <w:numFmt w:val="bullet"/>
      <w:lvlText w:val="•"/>
      <w:lvlJc w:val="left"/>
      <w:pPr>
        <w:ind w:left="3735" w:hanging="360"/>
      </w:pPr>
      <w:rPr>
        <w:rFonts w:hint="default"/>
      </w:rPr>
    </w:lvl>
    <w:lvl w:ilvl="5">
      <w:start w:val="1"/>
      <w:numFmt w:val="bullet"/>
      <w:lvlText w:val="•"/>
      <w:lvlJc w:val="left"/>
      <w:pPr>
        <w:ind w:left="4294" w:hanging="360"/>
      </w:pPr>
      <w:rPr>
        <w:rFonts w:hint="default"/>
      </w:rPr>
    </w:lvl>
    <w:lvl w:ilvl="6">
      <w:start w:val="1"/>
      <w:numFmt w:val="bullet"/>
      <w:lvlText w:val="•"/>
      <w:lvlJc w:val="left"/>
      <w:pPr>
        <w:ind w:left="4853" w:hanging="360"/>
      </w:pPr>
      <w:rPr>
        <w:rFonts w:hint="default"/>
      </w:rPr>
    </w:lvl>
    <w:lvl w:ilvl="7">
      <w:start w:val="1"/>
      <w:numFmt w:val="bullet"/>
      <w:lvlText w:val="•"/>
      <w:lvlJc w:val="left"/>
      <w:pPr>
        <w:ind w:left="5412" w:hanging="360"/>
      </w:pPr>
      <w:rPr>
        <w:rFonts w:hint="default"/>
      </w:rPr>
    </w:lvl>
    <w:lvl w:ilvl="8">
      <w:start w:val="1"/>
      <w:numFmt w:val="bullet"/>
      <w:lvlText w:val="•"/>
      <w:lvlJc w:val="left"/>
      <w:pPr>
        <w:ind w:left="5971" w:hanging="360"/>
      </w:pPr>
      <w:rPr>
        <w:rFonts w:hint="default"/>
      </w:rPr>
    </w:lvl>
  </w:abstractNum>
  <w:abstractNum w:abstractNumId="9">
    <w:multiLevelType w:val="hybridMultilevel"/>
    <w:lvl w:ilvl="0">
      <w:start w:val="3"/>
      <w:numFmt w:val="decimal"/>
      <w:lvlText w:val="%1"/>
      <w:lvlJc w:val="left"/>
      <w:pPr>
        <w:ind w:left="1210" w:hanging="430"/>
        <w:jc w:val="left"/>
      </w:pPr>
      <w:rPr>
        <w:rFonts w:hint="default"/>
      </w:rPr>
    </w:lvl>
    <w:lvl w:ilvl="1">
      <w:start w:val="4"/>
      <w:numFmt w:val="decimal"/>
      <w:lvlText w:val="%1.%2."/>
      <w:lvlJc w:val="left"/>
      <w:pPr>
        <w:ind w:left="1210" w:hanging="430"/>
        <w:jc w:val="left"/>
      </w:pPr>
      <w:rPr>
        <w:rFonts w:hint="default" w:ascii="Arial" w:hAnsi="Arial" w:eastAsia="Arial" w:cs="Arial"/>
        <w:b/>
        <w:bCs/>
        <w:spacing w:val="-1"/>
        <w:w w:val="100"/>
        <w:sz w:val="22"/>
        <w:szCs w:val="22"/>
      </w:rPr>
    </w:lvl>
    <w:lvl w:ilvl="2">
      <w:start w:val="1"/>
      <w:numFmt w:val="upperRoman"/>
      <w:lvlText w:val="%3."/>
      <w:lvlJc w:val="left"/>
      <w:pPr>
        <w:ind w:left="1348" w:hanging="406"/>
        <w:jc w:val="right"/>
      </w:pPr>
      <w:rPr>
        <w:rFonts w:hint="default" w:ascii="Arial" w:hAnsi="Arial" w:eastAsia="Arial" w:cs="Arial"/>
        <w:spacing w:val="0"/>
        <w:w w:val="100"/>
        <w:sz w:val="22"/>
        <w:szCs w:val="22"/>
      </w:rPr>
    </w:lvl>
    <w:lvl w:ilvl="3">
      <w:start w:val="1"/>
      <w:numFmt w:val="bullet"/>
      <w:lvlText w:val="•"/>
      <w:lvlJc w:val="left"/>
      <w:pPr>
        <w:ind w:left="3291" w:hanging="406"/>
      </w:pPr>
      <w:rPr>
        <w:rFonts w:hint="default"/>
      </w:rPr>
    </w:lvl>
    <w:lvl w:ilvl="4">
      <w:start w:val="1"/>
      <w:numFmt w:val="bullet"/>
      <w:lvlText w:val="•"/>
      <w:lvlJc w:val="left"/>
      <w:pPr>
        <w:ind w:left="4266" w:hanging="406"/>
      </w:pPr>
      <w:rPr>
        <w:rFonts w:hint="default"/>
      </w:rPr>
    </w:lvl>
    <w:lvl w:ilvl="5">
      <w:start w:val="1"/>
      <w:numFmt w:val="bullet"/>
      <w:lvlText w:val="•"/>
      <w:lvlJc w:val="left"/>
      <w:pPr>
        <w:ind w:left="5242" w:hanging="406"/>
      </w:pPr>
      <w:rPr>
        <w:rFonts w:hint="default"/>
      </w:rPr>
    </w:lvl>
    <w:lvl w:ilvl="6">
      <w:start w:val="1"/>
      <w:numFmt w:val="bullet"/>
      <w:lvlText w:val="•"/>
      <w:lvlJc w:val="left"/>
      <w:pPr>
        <w:ind w:left="6217" w:hanging="406"/>
      </w:pPr>
      <w:rPr>
        <w:rFonts w:hint="default"/>
      </w:rPr>
    </w:lvl>
    <w:lvl w:ilvl="7">
      <w:start w:val="1"/>
      <w:numFmt w:val="bullet"/>
      <w:lvlText w:val="•"/>
      <w:lvlJc w:val="left"/>
      <w:pPr>
        <w:ind w:left="7193" w:hanging="406"/>
      </w:pPr>
      <w:rPr>
        <w:rFonts w:hint="default"/>
      </w:rPr>
    </w:lvl>
    <w:lvl w:ilvl="8">
      <w:start w:val="1"/>
      <w:numFmt w:val="bullet"/>
      <w:lvlText w:val="•"/>
      <w:lvlJc w:val="left"/>
      <w:pPr>
        <w:ind w:left="8168" w:hanging="406"/>
      </w:pPr>
      <w:rPr>
        <w:rFonts w:hint="default"/>
      </w:rPr>
    </w:lvl>
  </w:abstractNum>
  <w:abstractNum w:abstractNumId="8">
    <w:multiLevelType w:val="hybridMultilevel"/>
    <w:lvl w:ilvl="0">
      <w:start w:val="1"/>
      <w:numFmt w:val="decimal"/>
      <w:lvlText w:val="%1."/>
      <w:lvlJc w:val="left"/>
      <w:pPr>
        <w:ind w:left="1501" w:hanging="360"/>
        <w:jc w:val="left"/>
      </w:pPr>
      <w:rPr>
        <w:rFonts w:hint="default" w:ascii="Arial" w:hAnsi="Arial" w:eastAsia="Arial" w:cs="Arial"/>
        <w:spacing w:val="-1"/>
        <w:w w:val="100"/>
        <w:sz w:val="22"/>
        <w:szCs w:val="22"/>
      </w:rPr>
    </w:lvl>
    <w:lvl w:ilvl="1">
      <w:start w:val="1"/>
      <w:numFmt w:val="bullet"/>
      <w:lvlText w:val="•"/>
      <w:lvlJc w:val="left"/>
      <w:pPr>
        <w:ind w:left="2362" w:hanging="360"/>
      </w:pPr>
      <w:rPr>
        <w:rFonts w:hint="default"/>
      </w:rPr>
    </w:lvl>
    <w:lvl w:ilvl="2">
      <w:start w:val="1"/>
      <w:numFmt w:val="bullet"/>
      <w:lvlText w:val="•"/>
      <w:lvlJc w:val="left"/>
      <w:pPr>
        <w:ind w:left="3224" w:hanging="360"/>
      </w:pPr>
      <w:rPr>
        <w:rFonts w:hint="default"/>
      </w:rPr>
    </w:lvl>
    <w:lvl w:ilvl="3">
      <w:start w:val="1"/>
      <w:numFmt w:val="bullet"/>
      <w:lvlText w:val="•"/>
      <w:lvlJc w:val="left"/>
      <w:pPr>
        <w:ind w:left="4086" w:hanging="360"/>
      </w:pPr>
      <w:rPr>
        <w:rFonts w:hint="default"/>
      </w:rPr>
    </w:lvl>
    <w:lvl w:ilvl="4">
      <w:start w:val="1"/>
      <w:numFmt w:val="bullet"/>
      <w:lvlText w:val="•"/>
      <w:lvlJc w:val="left"/>
      <w:pPr>
        <w:ind w:left="4948" w:hanging="360"/>
      </w:pPr>
      <w:rPr>
        <w:rFonts w:hint="default"/>
      </w:rPr>
    </w:lvl>
    <w:lvl w:ilvl="5">
      <w:start w:val="1"/>
      <w:numFmt w:val="bullet"/>
      <w:lvlText w:val="•"/>
      <w:lvlJc w:val="left"/>
      <w:pPr>
        <w:ind w:left="5810" w:hanging="360"/>
      </w:pPr>
      <w:rPr>
        <w:rFonts w:hint="default"/>
      </w:rPr>
    </w:lvl>
    <w:lvl w:ilvl="6">
      <w:start w:val="1"/>
      <w:numFmt w:val="bullet"/>
      <w:lvlText w:val="•"/>
      <w:lvlJc w:val="left"/>
      <w:pPr>
        <w:ind w:left="6672" w:hanging="360"/>
      </w:pPr>
      <w:rPr>
        <w:rFonts w:hint="default"/>
      </w:rPr>
    </w:lvl>
    <w:lvl w:ilvl="7">
      <w:start w:val="1"/>
      <w:numFmt w:val="bullet"/>
      <w:lvlText w:val="•"/>
      <w:lvlJc w:val="left"/>
      <w:pPr>
        <w:ind w:left="7534" w:hanging="360"/>
      </w:pPr>
      <w:rPr>
        <w:rFonts w:hint="default"/>
      </w:rPr>
    </w:lvl>
    <w:lvl w:ilvl="8">
      <w:start w:val="1"/>
      <w:numFmt w:val="bullet"/>
      <w:lvlText w:val="•"/>
      <w:lvlJc w:val="left"/>
      <w:pPr>
        <w:ind w:left="8396" w:hanging="360"/>
      </w:pPr>
      <w:rPr>
        <w:rFonts w:hint="default"/>
      </w:rPr>
    </w:lvl>
  </w:abstractNum>
  <w:abstractNum w:abstractNumId="7">
    <w:multiLevelType w:val="hybridMultilevel"/>
    <w:lvl w:ilvl="0">
      <w:start w:val="1"/>
      <w:numFmt w:val="decimal"/>
      <w:lvlText w:val="%1)"/>
      <w:lvlJc w:val="left"/>
      <w:pPr>
        <w:ind w:left="781" w:hanging="310"/>
        <w:jc w:val="left"/>
      </w:pPr>
      <w:rPr>
        <w:rFonts w:hint="default" w:ascii="Arial" w:hAnsi="Arial" w:eastAsia="Arial" w:cs="Arial"/>
        <w:spacing w:val="-1"/>
        <w:w w:val="100"/>
        <w:sz w:val="22"/>
        <w:szCs w:val="22"/>
      </w:rPr>
    </w:lvl>
    <w:lvl w:ilvl="1">
      <w:start w:val="1"/>
      <w:numFmt w:val="bullet"/>
      <w:lvlText w:val="•"/>
      <w:lvlJc w:val="left"/>
      <w:pPr>
        <w:ind w:left="1714" w:hanging="310"/>
      </w:pPr>
      <w:rPr>
        <w:rFonts w:hint="default"/>
      </w:rPr>
    </w:lvl>
    <w:lvl w:ilvl="2">
      <w:start w:val="1"/>
      <w:numFmt w:val="bullet"/>
      <w:lvlText w:val="•"/>
      <w:lvlJc w:val="left"/>
      <w:pPr>
        <w:ind w:left="2648" w:hanging="310"/>
      </w:pPr>
      <w:rPr>
        <w:rFonts w:hint="default"/>
      </w:rPr>
    </w:lvl>
    <w:lvl w:ilvl="3">
      <w:start w:val="1"/>
      <w:numFmt w:val="bullet"/>
      <w:lvlText w:val="•"/>
      <w:lvlJc w:val="left"/>
      <w:pPr>
        <w:ind w:left="3582" w:hanging="310"/>
      </w:pPr>
      <w:rPr>
        <w:rFonts w:hint="default"/>
      </w:rPr>
    </w:lvl>
    <w:lvl w:ilvl="4">
      <w:start w:val="1"/>
      <w:numFmt w:val="bullet"/>
      <w:lvlText w:val="•"/>
      <w:lvlJc w:val="left"/>
      <w:pPr>
        <w:ind w:left="4516" w:hanging="310"/>
      </w:pPr>
      <w:rPr>
        <w:rFonts w:hint="default"/>
      </w:rPr>
    </w:lvl>
    <w:lvl w:ilvl="5">
      <w:start w:val="1"/>
      <w:numFmt w:val="bullet"/>
      <w:lvlText w:val="•"/>
      <w:lvlJc w:val="left"/>
      <w:pPr>
        <w:ind w:left="5450" w:hanging="310"/>
      </w:pPr>
      <w:rPr>
        <w:rFonts w:hint="default"/>
      </w:rPr>
    </w:lvl>
    <w:lvl w:ilvl="6">
      <w:start w:val="1"/>
      <w:numFmt w:val="bullet"/>
      <w:lvlText w:val="•"/>
      <w:lvlJc w:val="left"/>
      <w:pPr>
        <w:ind w:left="6384" w:hanging="310"/>
      </w:pPr>
      <w:rPr>
        <w:rFonts w:hint="default"/>
      </w:rPr>
    </w:lvl>
    <w:lvl w:ilvl="7">
      <w:start w:val="1"/>
      <w:numFmt w:val="bullet"/>
      <w:lvlText w:val="•"/>
      <w:lvlJc w:val="left"/>
      <w:pPr>
        <w:ind w:left="7318" w:hanging="310"/>
      </w:pPr>
      <w:rPr>
        <w:rFonts w:hint="default"/>
      </w:rPr>
    </w:lvl>
    <w:lvl w:ilvl="8">
      <w:start w:val="1"/>
      <w:numFmt w:val="bullet"/>
      <w:lvlText w:val="•"/>
      <w:lvlJc w:val="left"/>
      <w:pPr>
        <w:ind w:left="8252" w:hanging="310"/>
      </w:pPr>
      <w:rPr>
        <w:rFonts w:hint="default"/>
      </w:rPr>
    </w:lvl>
  </w:abstractNum>
  <w:abstractNum w:abstractNumId="6">
    <w:multiLevelType w:val="hybridMultilevel"/>
    <w:lvl w:ilvl="0">
      <w:start w:val="1"/>
      <w:numFmt w:val="decimal"/>
      <w:lvlText w:val="%1."/>
      <w:lvlJc w:val="left"/>
      <w:pPr>
        <w:ind w:left="1026" w:hanging="245"/>
        <w:jc w:val="left"/>
      </w:pPr>
      <w:rPr>
        <w:rFonts w:hint="default" w:ascii="Arial" w:hAnsi="Arial" w:eastAsia="Arial" w:cs="Arial"/>
        <w:b/>
        <w:bCs/>
        <w:spacing w:val="-1"/>
        <w:w w:val="100"/>
        <w:sz w:val="22"/>
        <w:szCs w:val="22"/>
      </w:rPr>
    </w:lvl>
    <w:lvl w:ilvl="1">
      <w:start w:val="1"/>
      <w:numFmt w:val="decimal"/>
      <w:lvlText w:val="%1.%2."/>
      <w:lvlJc w:val="left"/>
      <w:pPr>
        <w:ind w:left="1210" w:hanging="430"/>
        <w:jc w:val="left"/>
      </w:pPr>
      <w:rPr>
        <w:rFonts w:hint="default" w:ascii="Arial" w:hAnsi="Arial" w:eastAsia="Arial" w:cs="Arial"/>
        <w:b/>
        <w:bCs/>
        <w:spacing w:val="-1"/>
        <w:w w:val="100"/>
        <w:sz w:val="22"/>
        <w:szCs w:val="22"/>
      </w:rPr>
    </w:lvl>
    <w:lvl w:ilvl="2">
      <w:start w:val="1"/>
      <w:numFmt w:val="decimal"/>
      <w:lvlText w:val="%1.%2.%3."/>
      <w:lvlJc w:val="left"/>
      <w:pPr>
        <w:ind w:left="1393" w:hanging="612"/>
        <w:jc w:val="left"/>
      </w:pPr>
      <w:rPr>
        <w:rFonts w:hint="default" w:ascii="Arial" w:hAnsi="Arial" w:eastAsia="Arial" w:cs="Arial"/>
        <w:b/>
        <w:bCs/>
        <w:spacing w:val="-3"/>
        <w:w w:val="100"/>
        <w:sz w:val="22"/>
        <w:szCs w:val="22"/>
      </w:rPr>
    </w:lvl>
    <w:lvl w:ilvl="3">
      <w:start w:val="1"/>
      <w:numFmt w:val="upperRoman"/>
      <w:lvlText w:val="%4."/>
      <w:lvlJc w:val="left"/>
      <w:pPr>
        <w:ind w:left="1348" w:hanging="406"/>
        <w:jc w:val="right"/>
      </w:pPr>
      <w:rPr>
        <w:rFonts w:hint="default" w:ascii="Arial" w:hAnsi="Arial" w:eastAsia="Arial" w:cs="Arial"/>
        <w:spacing w:val="0"/>
        <w:w w:val="100"/>
        <w:sz w:val="22"/>
        <w:szCs w:val="22"/>
      </w:rPr>
    </w:lvl>
    <w:lvl w:ilvl="4">
      <w:start w:val="1"/>
      <w:numFmt w:val="bullet"/>
      <w:lvlText w:val="•"/>
      <w:lvlJc w:val="left"/>
      <w:pPr>
        <w:ind w:left="1400" w:hanging="406"/>
      </w:pPr>
      <w:rPr>
        <w:rFonts w:hint="default"/>
      </w:rPr>
    </w:lvl>
    <w:lvl w:ilvl="5">
      <w:start w:val="1"/>
      <w:numFmt w:val="bullet"/>
      <w:lvlText w:val="•"/>
      <w:lvlJc w:val="left"/>
      <w:pPr>
        <w:ind w:left="2853" w:hanging="406"/>
      </w:pPr>
      <w:rPr>
        <w:rFonts w:hint="default"/>
      </w:rPr>
    </w:lvl>
    <w:lvl w:ilvl="6">
      <w:start w:val="1"/>
      <w:numFmt w:val="bullet"/>
      <w:lvlText w:val="•"/>
      <w:lvlJc w:val="left"/>
      <w:pPr>
        <w:ind w:left="4306" w:hanging="406"/>
      </w:pPr>
      <w:rPr>
        <w:rFonts w:hint="default"/>
      </w:rPr>
    </w:lvl>
    <w:lvl w:ilvl="7">
      <w:start w:val="1"/>
      <w:numFmt w:val="bullet"/>
      <w:lvlText w:val="•"/>
      <w:lvlJc w:val="left"/>
      <w:pPr>
        <w:ind w:left="5760" w:hanging="406"/>
      </w:pPr>
      <w:rPr>
        <w:rFonts w:hint="default"/>
      </w:rPr>
    </w:lvl>
    <w:lvl w:ilvl="8">
      <w:start w:val="1"/>
      <w:numFmt w:val="bullet"/>
      <w:lvlText w:val="•"/>
      <w:lvlJc w:val="left"/>
      <w:pPr>
        <w:ind w:left="7213" w:hanging="406"/>
      </w:pPr>
      <w:rPr>
        <w:rFonts w:hint="default"/>
      </w:rPr>
    </w:lvl>
  </w:abstractNum>
  <w:abstractNum w:abstractNumId="5">
    <w:multiLevelType w:val="hybridMultilevel"/>
    <w:lvl w:ilvl="0">
      <w:start w:val="2"/>
      <w:numFmt w:val="decimal"/>
      <w:lvlText w:val="%1"/>
      <w:lvlJc w:val="left"/>
      <w:pPr>
        <w:ind w:left="1468" w:hanging="123"/>
        <w:jc w:val="left"/>
      </w:pPr>
      <w:rPr>
        <w:rFonts w:hint="default" w:ascii="Arial" w:hAnsi="Arial" w:eastAsia="Arial" w:cs="Arial"/>
        <w:i/>
        <w:w w:val="99"/>
        <w:sz w:val="14"/>
        <w:szCs w:val="14"/>
      </w:rPr>
    </w:lvl>
    <w:lvl w:ilvl="1">
      <w:start w:val="1"/>
      <w:numFmt w:val="bullet"/>
      <w:lvlText w:val="•"/>
      <w:lvlJc w:val="left"/>
      <w:pPr>
        <w:ind w:left="2326" w:hanging="123"/>
      </w:pPr>
      <w:rPr>
        <w:rFonts w:hint="default"/>
      </w:rPr>
    </w:lvl>
    <w:lvl w:ilvl="2">
      <w:start w:val="1"/>
      <w:numFmt w:val="bullet"/>
      <w:lvlText w:val="•"/>
      <w:lvlJc w:val="left"/>
      <w:pPr>
        <w:ind w:left="3192" w:hanging="123"/>
      </w:pPr>
      <w:rPr>
        <w:rFonts w:hint="default"/>
      </w:rPr>
    </w:lvl>
    <w:lvl w:ilvl="3">
      <w:start w:val="1"/>
      <w:numFmt w:val="bullet"/>
      <w:lvlText w:val="•"/>
      <w:lvlJc w:val="left"/>
      <w:pPr>
        <w:ind w:left="4058" w:hanging="123"/>
      </w:pPr>
      <w:rPr>
        <w:rFonts w:hint="default"/>
      </w:rPr>
    </w:lvl>
    <w:lvl w:ilvl="4">
      <w:start w:val="1"/>
      <w:numFmt w:val="bullet"/>
      <w:lvlText w:val="•"/>
      <w:lvlJc w:val="left"/>
      <w:pPr>
        <w:ind w:left="4924" w:hanging="123"/>
      </w:pPr>
      <w:rPr>
        <w:rFonts w:hint="default"/>
      </w:rPr>
    </w:lvl>
    <w:lvl w:ilvl="5">
      <w:start w:val="1"/>
      <w:numFmt w:val="bullet"/>
      <w:lvlText w:val="•"/>
      <w:lvlJc w:val="left"/>
      <w:pPr>
        <w:ind w:left="5790" w:hanging="123"/>
      </w:pPr>
      <w:rPr>
        <w:rFonts w:hint="default"/>
      </w:rPr>
    </w:lvl>
    <w:lvl w:ilvl="6">
      <w:start w:val="1"/>
      <w:numFmt w:val="bullet"/>
      <w:lvlText w:val="•"/>
      <w:lvlJc w:val="left"/>
      <w:pPr>
        <w:ind w:left="6656" w:hanging="123"/>
      </w:pPr>
      <w:rPr>
        <w:rFonts w:hint="default"/>
      </w:rPr>
    </w:lvl>
    <w:lvl w:ilvl="7">
      <w:start w:val="1"/>
      <w:numFmt w:val="bullet"/>
      <w:lvlText w:val="•"/>
      <w:lvlJc w:val="left"/>
      <w:pPr>
        <w:ind w:left="7522" w:hanging="123"/>
      </w:pPr>
      <w:rPr>
        <w:rFonts w:hint="default"/>
      </w:rPr>
    </w:lvl>
    <w:lvl w:ilvl="8">
      <w:start w:val="1"/>
      <w:numFmt w:val="bullet"/>
      <w:lvlText w:val="•"/>
      <w:lvlJc w:val="left"/>
      <w:pPr>
        <w:ind w:left="8388" w:hanging="123"/>
      </w:pPr>
      <w:rPr>
        <w:rFonts w:hint="default"/>
      </w:rPr>
    </w:lvl>
  </w:abstractNum>
  <w:abstractNum w:abstractNumId="4">
    <w:multiLevelType w:val="hybridMultilevel"/>
    <w:lvl w:ilvl="0">
      <w:start w:val="6"/>
      <w:numFmt w:val="decimal"/>
      <w:lvlText w:val="%1"/>
      <w:lvlJc w:val="left"/>
      <w:pPr>
        <w:ind w:left="1450" w:hanging="430"/>
        <w:jc w:val="left"/>
      </w:pPr>
      <w:rPr>
        <w:rFonts w:hint="default"/>
      </w:rPr>
    </w:lvl>
    <w:lvl w:ilvl="1">
      <w:start w:val="1"/>
      <w:numFmt w:val="decimal"/>
      <w:lvlText w:val="%1.%2."/>
      <w:lvlJc w:val="left"/>
      <w:pPr>
        <w:ind w:left="1450" w:hanging="430"/>
        <w:jc w:val="left"/>
      </w:pPr>
      <w:rPr>
        <w:rFonts w:hint="default" w:ascii="Arial" w:hAnsi="Arial" w:eastAsia="Arial" w:cs="Arial"/>
        <w:spacing w:val="-1"/>
        <w:w w:val="100"/>
        <w:sz w:val="22"/>
        <w:szCs w:val="22"/>
      </w:rPr>
    </w:lvl>
    <w:lvl w:ilvl="2">
      <w:start w:val="1"/>
      <w:numFmt w:val="decimal"/>
      <w:lvlText w:val="%1.%2.%3."/>
      <w:lvlJc w:val="left"/>
      <w:pPr>
        <w:ind w:left="1875" w:hanging="614"/>
        <w:jc w:val="left"/>
      </w:pPr>
      <w:rPr>
        <w:rFonts w:hint="default" w:ascii="Arial" w:hAnsi="Arial" w:eastAsia="Arial" w:cs="Arial"/>
        <w:spacing w:val="-3"/>
        <w:w w:val="100"/>
        <w:sz w:val="22"/>
        <w:szCs w:val="22"/>
      </w:rPr>
    </w:lvl>
    <w:lvl w:ilvl="3">
      <w:start w:val="1"/>
      <w:numFmt w:val="bullet"/>
      <w:lvlText w:val="•"/>
      <w:lvlJc w:val="left"/>
      <w:pPr>
        <w:ind w:left="3711" w:hanging="614"/>
      </w:pPr>
      <w:rPr>
        <w:rFonts w:hint="default"/>
      </w:rPr>
    </w:lvl>
    <w:lvl w:ilvl="4">
      <w:start w:val="1"/>
      <w:numFmt w:val="bullet"/>
      <w:lvlText w:val="•"/>
      <w:lvlJc w:val="left"/>
      <w:pPr>
        <w:ind w:left="4626" w:hanging="614"/>
      </w:pPr>
      <w:rPr>
        <w:rFonts w:hint="default"/>
      </w:rPr>
    </w:lvl>
    <w:lvl w:ilvl="5">
      <w:start w:val="1"/>
      <w:numFmt w:val="bullet"/>
      <w:lvlText w:val="•"/>
      <w:lvlJc w:val="left"/>
      <w:pPr>
        <w:ind w:left="5542" w:hanging="614"/>
      </w:pPr>
      <w:rPr>
        <w:rFonts w:hint="default"/>
      </w:rPr>
    </w:lvl>
    <w:lvl w:ilvl="6">
      <w:start w:val="1"/>
      <w:numFmt w:val="bullet"/>
      <w:lvlText w:val="•"/>
      <w:lvlJc w:val="left"/>
      <w:pPr>
        <w:ind w:left="6457" w:hanging="614"/>
      </w:pPr>
      <w:rPr>
        <w:rFonts w:hint="default"/>
      </w:rPr>
    </w:lvl>
    <w:lvl w:ilvl="7">
      <w:start w:val="1"/>
      <w:numFmt w:val="bullet"/>
      <w:lvlText w:val="•"/>
      <w:lvlJc w:val="left"/>
      <w:pPr>
        <w:ind w:left="7373" w:hanging="614"/>
      </w:pPr>
      <w:rPr>
        <w:rFonts w:hint="default"/>
      </w:rPr>
    </w:lvl>
    <w:lvl w:ilvl="8">
      <w:start w:val="1"/>
      <w:numFmt w:val="bullet"/>
      <w:lvlText w:val="•"/>
      <w:lvlJc w:val="left"/>
      <w:pPr>
        <w:ind w:left="8288" w:hanging="614"/>
      </w:pPr>
      <w:rPr>
        <w:rFonts w:hint="default"/>
      </w:rPr>
    </w:lvl>
  </w:abstractNum>
  <w:abstractNum w:abstractNumId="3">
    <w:multiLevelType w:val="hybridMultilevel"/>
    <w:lvl w:ilvl="0">
      <w:start w:val="5"/>
      <w:numFmt w:val="decimal"/>
      <w:lvlText w:val="%1"/>
      <w:lvlJc w:val="left"/>
      <w:pPr>
        <w:ind w:left="1450" w:hanging="430"/>
        <w:jc w:val="left"/>
      </w:pPr>
      <w:rPr>
        <w:rFonts w:hint="default"/>
      </w:rPr>
    </w:lvl>
    <w:lvl w:ilvl="1">
      <w:start w:val="1"/>
      <w:numFmt w:val="decimal"/>
      <w:lvlText w:val="%1.%2."/>
      <w:lvlJc w:val="left"/>
      <w:pPr>
        <w:ind w:left="1450" w:hanging="430"/>
        <w:jc w:val="left"/>
      </w:pPr>
      <w:rPr>
        <w:rFonts w:hint="default" w:ascii="Arial" w:hAnsi="Arial" w:eastAsia="Arial" w:cs="Arial"/>
        <w:spacing w:val="-1"/>
        <w:w w:val="100"/>
        <w:sz w:val="22"/>
        <w:szCs w:val="22"/>
      </w:rPr>
    </w:lvl>
    <w:lvl w:ilvl="2">
      <w:start w:val="1"/>
      <w:numFmt w:val="decimal"/>
      <w:lvlText w:val="%1.%2.%3."/>
      <w:lvlJc w:val="left"/>
      <w:pPr>
        <w:ind w:left="1875" w:hanging="614"/>
        <w:jc w:val="left"/>
      </w:pPr>
      <w:rPr>
        <w:rFonts w:hint="default" w:ascii="Arial" w:hAnsi="Arial" w:eastAsia="Arial" w:cs="Arial"/>
        <w:spacing w:val="-3"/>
        <w:w w:val="100"/>
        <w:sz w:val="22"/>
        <w:szCs w:val="22"/>
      </w:rPr>
    </w:lvl>
    <w:lvl w:ilvl="3">
      <w:start w:val="1"/>
      <w:numFmt w:val="decimal"/>
      <w:lvlText w:val="%1.%2.%3.%4."/>
      <w:lvlJc w:val="left"/>
      <w:pPr>
        <w:ind w:left="2297" w:hanging="797"/>
        <w:jc w:val="left"/>
      </w:pPr>
      <w:rPr>
        <w:rFonts w:hint="default" w:ascii="Arial" w:hAnsi="Arial" w:eastAsia="Arial" w:cs="Arial"/>
        <w:spacing w:val="-3"/>
        <w:w w:val="100"/>
        <w:sz w:val="22"/>
        <w:szCs w:val="22"/>
      </w:rPr>
    </w:lvl>
    <w:lvl w:ilvl="4">
      <w:start w:val="1"/>
      <w:numFmt w:val="bullet"/>
      <w:lvlText w:val="•"/>
      <w:lvlJc w:val="left"/>
      <w:pPr>
        <w:ind w:left="4255" w:hanging="797"/>
      </w:pPr>
      <w:rPr>
        <w:rFonts w:hint="default"/>
      </w:rPr>
    </w:lvl>
    <w:lvl w:ilvl="5">
      <w:start w:val="1"/>
      <w:numFmt w:val="bullet"/>
      <w:lvlText w:val="•"/>
      <w:lvlJc w:val="left"/>
      <w:pPr>
        <w:ind w:left="5232" w:hanging="797"/>
      </w:pPr>
      <w:rPr>
        <w:rFonts w:hint="default"/>
      </w:rPr>
    </w:lvl>
    <w:lvl w:ilvl="6">
      <w:start w:val="1"/>
      <w:numFmt w:val="bullet"/>
      <w:lvlText w:val="•"/>
      <w:lvlJc w:val="left"/>
      <w:pPr>
        <w:ind w:left="6210" w:hanging="797"/>
      </w:pPr>
      <w:rPr>
        <w:rFonts w:hint="default"/>
      </w:rPr>
    </w:lvl>
    <w:lvl w:ilvl="7">
      <w:start w:val="1"/>
      <w:numFmt w:val="bullet"/>
      <w:lvlText w:val="•"/>
      <w:lvlJc w:val="left"/>
      <w:pPr>
        <w:ind w:left="7187" w:hanging="797"/>
      </w:pPr>
      <w:rPr>
        <w:rFonts w:hint="default"/>
      </w:rPr>
    </w:lvl>
    <w:lvl w:ilvl="8">
      <w:start w:val="1"/>
      <w:numFmt w:val="bullet"/>
      <w:lvlText w:val="•"/>
      <w:lvlJc w:val="left"/>
      <w:pPr>
        <w:ind w:left="8165" w:hanging="797"/>
      </w:pPr>
      <w:rPr>
        <w:rFonts w:hint="default"/>
      </w:rPr>
    </w:lvl>
  </w:abstractNum>
  <w:abstractNum w:abstractNumId="2">
    <w:multiLevelType w:val="hybridMultilevel"/>
    <w:lvl w:ilvl="0">
      <w:start w:val="4"/>
      <w:numFmt w:val="decimal"/>
      <w:lvlText w:val="%1"/>
      <w:lvlJc w:val="left"/>
      <w:pPr>
        <w:ind w:left="1450" w:hanging="430"/>
        <w:jc w:val="left"/>
      </w:pPr>
      <w:rPr>
        <w:rFonts w:hint="default"/>
      </w:rPr>
    </w:lvl>
    <w:lvl w:ilvl="1">
      <w:start w:val="1"/>
      <w:numFmt w:val="decimal"/>
      <w:lvlText w:val="%1.%2."/>
      <w:lvlJc w:val="left"/>
      <w:pPr>
        <w:ind w:left="1450" w:hanging="430"/>
        <w:jc w:val="left"/>
      </w:pPr>
      <w:rPr>
        <w:rFonts w:hint="default" w:ascii="Arial" w:hAnsi="Arial" w:eastAsia="Arial" w:cs="Arial"/>
        <w:spacing w:val="-1"/>
        <w:w w:val="100"/>
        <w:sz w:val="22"/>
        <w:szCs w:val="22"/>
      </w:rPr>
    </w:lvl>
    <w:lvl w:ilvl="2">
      <w:start w:val="1"/>
      <w:numFmt w:val="decimal"/>
      <w:lvlText w:val="%1.%2.%3."/>
      <w:lvlJc w:val="left"/>
      <w:pPr>
        <w:ind w:left="1875" w:hanging="614"/>
        <w:jc w:val="left"/>
      </w:pPr>
      <w:rPr>
        <w:rFonts w:hint="default" w:ascii="Arial" w:hAnsi="Arial" w:eastAsia="Arial" w:cs="Arial"/>
        <w:spacing w:val="-3"/>
        <w:w w:val="100"/>
        <w:sz w:val="22"/>
        <w:szCs w:val="22"/>
      </w:rPr>
    </w:lvl>
    <w:lvl w:ilvl="3">
      <w:start w:val="1"/>
      <w:numFmt w:val="decimal"/>
      <w:lvlText w:val="%1.%2.%3.%4."/>
      <w:lvlJc w:val="left"/>
      <w:pPr>
        <w:ind w:left="2297" w:hanging="797"/>
        <w:jc w:val="left"/>
      </w:pPr>
      <w:rPr>
        <w:rFonts w:hint="default" w:ascii="Arial" w:hAnsi="Arial" w:eastAsia="Arial" w:cs="Arial"/>
        <w:spacing w:val="-3"/>
        <w:w w:val="100"/>
        <w:sz w:val="22"/>
        <w:szCs w:val="22"/>
      </w:rPr>
    </w:lvl>
    <w:lvl w:ilvl="4">
      <w:start w:val="1"/>
      <w:numFmt w:val="bullet"/>
      <w:lvlText w:val="•"/>
      <w:lvlJc w:val="left"/>
      <w:pPr>
        <w:ind w:left="4255" w:hanging="797"/>
      </w:pPr>
      <w:rPr>
        <w:rFonts w:hint="default"/>
      </w:rPr>
    </w:lvl>
    <w:lvl w:ilvl="5">
      <w:start w:val="1"/>
      <w:numFmt w:val="bullet"/>
      <w:lvlText w:val="•"/>
      <w:lvlJc w:val="left"/>
      <w:pPr>
        <w:ind w:left="5232" w:hanging="797"/>
      </w:pPr>
      <w:rPr>
        <w:rFonts w:hint="default"/>
      </w:rPr>
    </w:lvl>
    <w:lvl w:ilvl="6">
      <w:start w:val="1"/>
      <w:numFmt w:val="bullet"/>
      <w:lvlText w:val="•"/>
      <w:lvlJc w:val="left"/>
      <w:pPr>
        <w:ind w:left="6210" w:hanging="797"/>
      </w:pPr>
      <w:rPr>
        <w:rFonts w:hint="default"/>
      </w:rPr>
    </w:lvl>
    <w:lvl w:ilvl="7">
      <w:start w:val="1"/>
      <w:numFmt w:val="bullet"/>
      <w:lvlText w:val="•"/>
      <w:lvlJc w:val="left"/>
      <w:pPr>
        <w:ind w:left="7187" w:hanging="797"/>
      </w:pPr>
      <w:rPr>
        <w:rFonts w:hint="default"/>
      </w:rPr>
    </w:lvl>
    <w:lvl w:ilvl="8">
      <w:start w:val="1"/>
      <w:numFmt w:val="bullet"/>
      <w:lvlText w:val="•"/>
      <w:lvlJc w:val="left"/>
      <w:pPr>
        <w:ind w:left="8165" w:hanging="797"/>
      </w:pPr>
      <w:rPr>
        <w:rFonts w:hint="default"/>
      </w:rPr>
    </w:lvl>
  </w:abstractNum>
  <w:abstractNum w:abstractNumId="1">
    <w:multiLevelType w:val="hybridMultilevel"/>
    <w:lvl w:ilvl="0">
      <w:start w:val="3"/>
      <w:numFmt w:val="decimal"/>
      <w:lvlText w:val="%1"/>
      <w:lvlJc w:val="left"/>
      <w:pPr>
        <w:ind w:left="1450" w:hanging="430"/>
        <w:jc w:val="left"/>
      </w:pPr>
      <w:rPr>
        <w:rFonts w:hint="default"/>
      </w:rPr>
    </w:lvl>
    <w:lvl w:ilvl="1">
      <w:start w:val="1"/>
      <w:numFmt w:val="decimal"/>
      <w:lvlText w:val="%1.%2."/>
      <w:lvlJc w:val="left"/>
      <w:pPr>
        <w:ind w:left="1450" w:hanging="430"/>
        <w:jc w:val="left"/>
      </w:pPr>
      <w:rPr>
        <w:rFonts w:hint="default" w:ascii="Arial" w:hAnsi="Arial" w:eastAsia="Arial" w:cs="Arial"/>
        <w:spacing w:val="-1"/>
        <w:w w:val="100"/>
        <w:sz w:val="22"/>
        <w:szCs w:val="22"/>
      </w:rPr>
    </w:lvl>
    <w:lvl w:ilvl="2">
      <w:start w:val="1"/>
      <w:numFmt w:val="decimal"/>
      <w:lvlText w:val="%1.%2.%3."/>
      <w:lvlJc w:val="left"/>
      <w:pPr>
        <w:ind w:left="1873" w:hanging="612"/>
        <w:jc w:val="left"/>
      </w:pPr>
      <w:rPr>
        <w:rFonts w:hint="default" w:ascii="Arial" w:hAnsi="Arial" w:eastAsia="Arial" w:cs="Arial"/>
        <w:spacing w:val="-3"/>
        <w:w w:val="100"/>
        <w:sz w:val="22"/>
        <w:szCs w:val="22"/>
      </w:rPr>
    </w:lvl>
    <w:lvl w:ilvl="3">
      <w:start w:val="1"/>
      <w:numFmt w:val="bullet"/>
      <w:lvlText w:val="•"/>
      <w:lvlJc w:val="left"/>
      <w:pPr>
        <w:ind w:left="3711" w:hanging="612"/>
      </w:pPr>
      <w:rPr>
        <w:rFonts w:hint="default"/>
      </w:rPr>
    </w:lvl>
    <w:lvl w:ilvl="4">
      <w:start w:val="1"/>
      <w:numFmt w:val="bullet"/>
      <w:lvlText w:val="•"/>
      <w:lvlJc w:val="left"/>
      <w:pPr>
        <w:ind w:left="4626" w:hanging="612"/>
      </w:pPr>
      <w:rPr>
        <w:rFonts w:hint="default"/>
      </w:rPr>
    </w:lvl>
    <w:lvl w:ilvl="5">
      <w:start w:val="1"/>
      <w:numFmt w:val="bullet"/>
      <w:lvlText w:val="•"/>
      <w:lvlJc w:val="left"/>
      <w:pPr>
        <w:ind w:left="5542" w:hanging="612"/>
      </w:pPr>
      <w:rPr>
        <w:rFonts w:hint="default"/>
      </w:rPr>
    </w:lvl>
    <w:lvl w:ilvl="6">
      <w:start w:val="1"/>
      <w:numFmt w:val="bullet"/>
      <w:lvlText w:val="•"/>
      <w:lvlJc w:val="left"/>
      <w:pPr>
        <w:ind w:left="6457" w:hanging="612"/>
      </w:pPr>
      <w:rPr>
        <w:rFonts w:hint="default"/>
      </w:rPr>
    </w:lvl>
    <w:lvl w:ilvl="7">
      <w:start w:val="1"/>
      <w:numFmt w:val="bullet"/>
      <w:lvlText w:val="•"/>
      <w:lvlJc w:val="left"/>
      <w:pPr>
        <w:ind w:left="7373" w:hanging="612"/>
      </w:pPr>
      <w:rPr>
        <w:rFonts w:hint="default"/>
      </w:rPr>
    </w:lvl>
    <w:lvl w:ilvl="8">
      <w:start w:val="1"/>
      <w:numFmt w:val="bullet"/>
      <w:lvlText w:val="•"/>
      <w:lvlJc w:val="left"/>
      <w:pPr>
        <w:ind w:left="8288" w:hanging="612"/>
      </w:pPr>
      <w:rPr>
        <w:rFonts w:hint="default"/>
      </w:rPr>
    </w:lvl>
  </w:abstractNum>
  <w:abstractNum w:abstractNumId="0">
    <w:multiLevelType w:val="hybridMultilevel"/>
    <w:lvl w:ilvl="0">
      <w:start w:val="2"/>
      <w:numFmt w:val="decimal"/>
      <w:lvlText w:val="%1"/>
      <w:lvlJc w:val="left"/>
      <w:pPr>
        <w:ind w:left="1448" w:hanging="427"/>
        <w:jc w:val="left"/>
      </w:pPr>
      <w:rPr>
        <w:rFonts w:hint="default"/>
      </w:rPr>
    </w:lvl>
    <w:lvl w:ilvl="1">
      <w:start w:val="1"/>
      <w:numFmt w:val="decimal"/>
      <w:lvlText w:val="%1.%2."/>
      <w:lvlJc w:val="left"/>
      <w:pPr>
        <w:ind w:left="1448" w:hanging="427"/>
        <w:jc w:val="left"/>
      </w:pPr>
      <w:rPr>
        <w:rFonts w:hint="default" w:ascii="Arial" w:hAnsi="Arial" w:eastAsia="Arial" w:cs="Arial"/>
        <w:spacing w:val="-1"/>
        <w:w w:val="100"/>
        <w:sz w:val="22"/>
        <w:szCs w:val="22"/>
      </w:rPr>
    </w:lvl>
    <w:lvl w:ilvl="2">
      <w:start w:val="1"/>
      <w:numFmt w:val="bullet"/>
      <w:lvlText w:val="•"/>
      <w:lvlJc w:val="left"/>
      <w:pPr>
        <w:ind w:left="3176" w:hanging="427"/>
      </w:pPr>
      <w:rPr>
        <w:rFonts w:hint="default"/>
      </w:rPr>
    </w:lvl>
    <w:lvl w:ilvl="3">
      <w:start w:val="1"/>
      <w:numFmt w:val="bullet"/>
      <w:lvlText w:val="•"/>
      <w:lvlJc w:val="left"/>
      <w:pPr>
        <w:ind w:left="4044" w:hanging="427"/>
      </w:pPr>
      <w:rPr>
        <w:rFonts w:hint="default"/>
      </w:rPr>
    </w:lvl>
    <w:lvl w:ilvl="4">
      <w:start w:val="1"/>
      <w:numFmt w:val="bullet"/>
      <w:lvlText w:val="•"/>
      <w:lvlJc w:val="left"/>
      <w:pPr>
        <w:ind w:left="4912" w:hanging="427"/>
      </w:pPr>
      <w:rPr>
        <w:rFonts w:hint="default"/>
      </w:rPr>
    </w:lvl>
    <w:lvl w:ilvl="5">
      <w:start w:val="1"/>
      <w:numFmt w:val="bullet"/>
      <w:lvlText w:val="•"/>
      <w:lvlJc w:val="left"/>
      <w:pPr>
        <w:ind w:left="5780" w:hanging="427"/>
      </w:pPr>
      <w:rPr>
        <w:rFonts w:hint="default"/>
      </w:rPr>
    </w:lvl>
    <w:lvl w:ilvl="6">
      <w:start w:val="1"/>
      <w:numFmt w:val="bullet"/>
      <w:lvlText w:val="•"/>
      <w:lvlJc w:val="left"/>
      <w:pPr>
        <w:ind w:left="6648" w:hanging="427"/>
      </w:pPr>
      <w:rPr>
        <w:rFonts w:hint="default"/>
      </w:rPr>
    </w:lvl>
    <w:lvl w:ilvl="7">
      <w:start w:val="1"/>
      <w:numFmt w:val="bullet"/>
      <w:lvlText w:val="•"/>
      <w:lvlJc w:val="left"/>
      <w:pPr>
        <w:ind w:left="7516" w:hanging="427"/>
      </w:pPr>
      <w:rPr>
        <w:rFonts w:hint="default"/>
      </w:rPr>
    </w:lvl>
    <w:lvl w:ilvl="8">
      <w:start w:val="1"/>
      <w:numFmt w:val="bullet"/>
      <w:lvlText w:val="•"/>
      <w:lvlJc w:val="left"/>
      <w:pPr>
        <w:ind w:left="8384" w:hanging="427"/>
      </w:pPr>
      <w:rPr>
        <w:rFonts w:hint="default"/>
      </w:rPr>
    </w:lvl>
  </w:abstractNum>
  <w:num w:numId="31">
    <w:abstractNumId w:val="30"/>
  </w:num>
  <w:num w:numId="32">
    <w:abstractNumId w:val="31"/>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6"/>
      <w:ind w:left="781"/>
    </w:pPr>
    <w:rPr>
      <w:rFonts w:ascii="Arial" w:hAnsi="Arial" w:eastAsia="Arial" w:cs="Arial"/>
      <w:sz w:val="22"/>
      <w:szCs w:val="22"/>
    </w:rPr>
  </w:style>
  <w:style w:styleId="TOC2" w:type="paragraph">
    <w:name w:val="TOC 2"/>
    <w:basedOn w:val="Normal"/>
    <w:uiPriority w:val="1"/>
    <w:qFormat/>
    <w:pPr>
      <w:spacing w:before="126"/>
      <w:ind w:left="1450" w:hanging="429"/>
    </w:pPr>
    <w:rPr>
      <w:rFonts w:ascii="Arial" w:hAnsi="Arial" w:eastAsia="Arial" w:cs="Arial"/>
      <w:sz w:val="22"/>
      <w:szCs w:val="22"/>
    </w:rPr>
  </w:style>
  <w:style w:styleId="TOC3" w:type="paragraph">
    <w:name w:val="TOC 3"/>
    <w:basedOn w:val="Normal"/>
    <w:uiPriority w:val="1"/>
    <w:qFormat/>
    <w:pPr>
      <w:spacing w:before="126"/>
      <w:ind w:left="1875" w:hanging="614"/>
    </w:pPr>
    <w:rPr>
      <w:rFonts w:ascii="Arial" w:hAnsi="Arial" w:eastAsia="Arial" w:cs="Arial"/>
      <w:sz w:val="22"/>
      <w:szCs w:val="22"/>
    </w:rPr>
  </w:style>
  <w:style w:styleId="TOC4" w:type="paragraph">
    <w:name w:val="TOC 4"/>
    <w:basedOn w:val="Normal"/>
    <w:uiPriority w:val="1"/>
    <w:qFormat/>
    <w:pPr>
      <w:spacing w:before="126"/>
      <w:ind w:left="2297" w:hanging="796"/>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20"/>
      <w:jc w:val="right"/>
      <w:outlineLvl w:val="1"/>
    </w:pPr>
    <w:rPr>
      <w:rFonts w:ascii="Arial" w:hAnsi="Arial" w:eastAsia="Arial" w:cs="Arial"/>
      <w:b/>
      <w:bCs/>
      <w:sz w:val="48"/>
      <w:szCs w:val="48"/>
    </w:rPr>
  </w:style>
  <w:style w:styleId="Heading2" w:type="paragraph">
    <w:name w:val="Heading 2"/>
    <w:basedOn w:val="Normal"/>
    <w:uiPriority w:val="1"/>
    <w:qFormat/>
    <w:pPr>
      <w:spacing w:before="209"/>
      <w:ind w:left="2432" w:right="2707" w:hanging="1"/>
      <w:outlineLvl w:val="2"/>
    </w:pPr>
    <w:rPr>
      <w:rFonts w:ascii="Arial" w:hAnsi="Arial" w:eastAsia="Arial" w:cs="Arial"/>
      <w:sz w:val="40"/>
      <w:szCs w:val="40"/>
    </w:rPr>
  </w:style>
  <w:style w:styleId="Heading3" w:type="paragraph">
    <w:name w:val="Heading 3"/>
    <w:basedOn w:val="Normal"/>
    <w:uiPriority w:val="1"/>
    <w:qFormat/>
    <w:pPr>
      <w:ind w:left="125" w:right="101"/>
      <w:outlineLvl w:val="3"/>
    </w:pPr>
    <w:rPr>
      <w:rFonts w:ascii="Arial" w:hAnsi="Arial" w:eastAsia="Arial" w:cs="Arial"/>
      <w:b/>
      <w:bCs/>
      <w:sz w:val="28"/>
      <w:szCs w:val="28"/>
    </w:rPr>
  </w:style>
  <w:style w:styleId="Heading4" w:type="paragraph">
    <w:name w:val="Heading 4"/>
    <w:basedOn w:val="Normal"/>
    <w:uiPriority w:val="1"/>
    <w:qFormat/>
    <w:pPr>
      <w:spacing w:before="54"/>
      <w:ind w:left="124" w:right="101"/>
      <w:outlineLvl w:val="4"/>
    </w:pPr>
    <w:rPr>
      <w:rFonts w:ascii="Arial" w:hAnsi="Arial" w:eastAsia="Arial" w:cs="Arial"/>
      <w:b/>
      <w:bCs/>
      <w:sz w:val="24"/>
      <w:szCs w:val="24"/>
    </w:rPr>
  </w:style>
  <w:style w:styleId="Heading5" w:type="paragraph">
    <w:name w:val="Heading 5"/>
    <w:basedOn w:val="Normal"/>
    <w:uiPriority w:val="1"/>
    <w:qFormat/>
    <w:pPr>
      <w:ind w:left="1210"/>
      <w:jc w:val="both"/>
      <w:outlineLvl w:val="5"/>
    </w:pPr>
    <w:rPr>
      <w:rFonts w:ascii="Arial" w:hAnsi="Arial" w:eastAsia="Arial" w:cs="Arial"/>
      <w:b/>
      <w:bCs/>
      <w:sz w:val="22"/>
      <w:szCs w:val="22"/>
    </w:rPr>
  </w:style>
  <w:style w:styleId="ListParagraph" w:type="paragraph">
    <w:name w:val="List Paragraph"/>
    <w:basedOn w:val="Normal"/>
    <w:uiPriority w:val="1"/>
    <w:qFormat/>
    <w:pPr>
      <w:ind w:left="1450"/>
    </w:pPr>
    <w:rPr>
      <w:rFonts w:ascii="Arial" w:hAnsi="Arial" w:eastAsia="Arial" w:cs="Arial"/>
    </w:rPr>
  </w:style>
  <w:style w:styleId="TableParagraph" w:type="paragraph">
    <w:name w:val="Table Paragraph"/>
    <w:basedOn w:val="Normal"/>
    <w:uiPriority w:val="1"/>
    <w:qFormat/>
    <w:pPr>
      <w:spacing w:before="28"/>
      <w:ind w:right="61"/>
      <w:jc w:val="righ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image" Target="media/image2.jpeg"/><Relationship Id="rId9" Type="http://schemas.openxmlformats.org/officeDocument/2006/relationships/image" Target="media/image3.png"/><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jpe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jpe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png"/><Relationship Id="rId23" Type="http://schemas.openxmlformats.org/officeDocument/2006/relationships/image" Target="media/image17.png"/><Relationship Id="rId24" Type="http://schemas.openxmlformats.org/officeDocument/2006/relationships/image" Target="media/image18.png"/><Relationship Id="rId25" Type="http://schemas.openxmlformats.org/officeDocument/2006/relationships/image" Target="media/image19.jpeg"/><Relationship Id="rId26" Type="http://schemas.openxmlformats.org/officeDocument/2006/relationships/image" Target="media/image20.jpeg"/><Relationship Id="rId27" Type="http://schemas.openxmlformats.org/officeDocument/2006/relationships/image" Target="media/image21.jpeg"/><Relationship Id="rId28" Type="http://schemas.openxmlformats.org/officeDocument/2006/relationships/image" Target="media/image22.jpeg"/><Relationship Id="rId29" Type="http://schemas.openxmlformats.org/officeDocument/2006/relationships/image" Target="media/image23.jpeg"/><Relationship Id="rId30" Type="http://schemas.openxmlformats.org/officeDocument/2006/relationships/image" Target="media/image24.jpeg"/><Relationship Id="rId31" Type="http://schemas.openxmlformats.org/officeDocument/2006/relationships/image" Target="media/image25.jpeg"/><Relationship Id="rId32" Type="http://schemas.openxmlformats.org/officeDocument/2006/relationships/image" Target="media/image26.jpe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jpeg"/><Relationship Id="rId38" Type="http://schemas.openxmlformats.org/officeDocument/2006/relationships/image" Target="media/image32.jpeg"/><Relationship Id="rId39" Type="http://schemas.openxmlformats.org/officeDocument/2006/relationships/image" Target="media/image33.jpe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jpeg"/><Relationship Id="rId54" Type="http://schemas.openxmlformats.org/officeDocument/2006/relationships/image" Target="media/image48.jpeg"/><Relationship Id="rId55" Type="http://schemas.openxmlformats.org/officeDocument/2006/relationships/image" Target="media/image49.jpeg"/><Relationship Id="rId56" Type="http://schemas.openxmlformats.org/officeDocument/2006/relationships/image" Target="media/image50.png"/><Relationship Id="rId57" Type="http://schemas.openxmlformats.org/officeDocument/2006/relationships/image" Target="media/image51.jpeg"/><Relationship Id="rId58" Type="http://schemas.openxmlformats.org/officeDocument/2006/relationships/image" Target="media/image52.jpeg"/><Relationship Id="rId59" Type="http://schemas.openxmlformats.org/officeDocument/2006/relationships/image" Target="media/image53.jpeg"/><Relationship Id="rId60" Type="http://schemas.openxmlformats.org/officeDocument/2006/relationships/image" Target="media/image54.jpeg"/><Relationship Id="rId61" Type="http://schemas.openxmlformats.org/officeDocument/2006/relationships/image" Target="media/image55.jpeg"/><Relationship Id="rId62" Type="http://schemas.openxmlformats.org/officeDocument/2006/relationships/image" Target="media/image56.jpeg"/><Relationship Id="rId63" Type="http://schemas.openxmlformats.org/officeDocument/2006/relationships/image" Target="media/image57.png"/><Relationship Id="rId64" Type="http://schemas.openxmlformats.org/officeDocument/2006/relationships/image" Target="media/image58.png"/><Relationship Id="rId65" Type="http://schemas.openxmlformats.org/officeDocument/2006/relationships/image" Target="media/image59.png"/><Relationship Id="rId66" Type="http://schemas.openxmlformats.org/officeDocument/2006/relationships/image" Target="media/image60.png"/><Relationship Id="rId67" Type="http://schemas.openxmlformats.org/officeDocument/2006/relationships/image" Target="media/image61.png"/><Relationship Id="rId68" Type="http://schemas.openxmlformats.org/officeDocument/2006/relationships/image" Target="media/image62.png"/><Relationship Id="rId69" Type="http://schemas.openxmlformats.org/officeDocument/2006/relationships/image" Target="media/image63.png"/><Relationship Id="rId70" Type="http://schemas.openxmlformats.org/officeDocument/2006/relationships/image" Target="media/image64.png"/><Relationship Id="rId71" Type="http://schemas.openxmlformats.org/officeDocument/2006/relationships/image" Target="media/image65.png"/><Relationship Id="rId72" Type="http://schemas.openxmlformats.org/officeDocument/2006/relationships/image" Target="media/image66.png"/><Relationship Id="rId73" Type="http://schemas.openxmlformats.org/officeDocument/2006/relationships/image" Target="media/image67.png"/><Relationship Id="rId74" Type="http://schemas.openxmlformats.org/officeDocument/2006/relationships/footer" Target="footer2.xml"/><Relationship Id="rId75" Type="http://schemas.openxmlformats.org/officeDocument/2006/relationships/image" Target="media/image68.png"/><Relationship Id="rId76" Type="http://schemas.openxmlformats.org/officeDocument/2006/relationships/footer" Target="footer3.xml"/><Relationship Id="rId77" Type="http://schemas.openxmlformats.org/officeDocument/2006/relationships/image" Target="media/image69.png"/><Relationship Id="rId78" Type="http://schemas.openxmlformats.org/officeDocument/2006/relationships/image" Target="media/image70.jpeg"/><Relationship Id="rId79" Type="http://schemas.openxmlformats.org/officeDocument/2006/relationships/image" Target="media/image71.png"/><Relationship Id="rId80" Type="http://schemas.openxmlformats.org/officeDocument/2006/relationships/image" Target="media/image72.png"/><Relationship Id="rId81" Type="http://schemas.openxmlformats.org/officeDocument/2006/relationships/image" Target="media/image73.jpeg"/><Relationship Id="rId82" Type="http://schemas.openxmlformats.org/officeDocument/2006/relationships/image" Target="media/image74.jpeg"/><Relationship Id="rId83" Type="http://schemas.openxmlformats.org/officeDocument/2006/relationships/image" Target="media/image75.png"/><Relationship Id="rId84" Type="http://schemas.openxmlformats.org/officeDocument/2006/relationships/image" Target="media/image76.png"/><Relationship Id="rId85" Type="http://schemas.openxmlformats.org/officeDocument/2006/relationships/image" Target="media/image77.png"/><Relationship Id="rId86" Type="http://schemas.openxmlformats.org/officeDocument/2006/relationships/image" Target="media/image78.png"/><Relationship Id="rId87" Type="http://schemas.openxmlformats.org/officeDocument/2006/relationships/image" Target="media/image79.png"/><Relationship Id="rId88" Type="http://schemas.openxmlformats.org/officeDocument/2006/relationships/image" Target="media/image80.png"/><Relationship Id="rId89" Type="http://schemas.openxmlformats.org/officeDocument/2006/relationships/image" Target="media/image81.png"/><Relationship Id="rId90" Type="http://schemas.openxmlformats.org/officeDocument/2006/relationships/image" Target="media/image82.png"/><Relationship Id="rId91" Type="http://schemas.openxmlformats.org/officeDocument/2006/relationships/image" Target="media/image83.png"/><Relationship Id="rId92" Type="http://schemas.openxmlformats.org/officeDocument/2006/relationships/image" Target="media/image84.png"/><Relationship Id="rId93" Type="http://schemas.openxmlformats.org/officeDocument/2006/relationships/image" Target="media/image85.png"/><Relationship Id="rId94" Type="http://schemas.openxmlformats.org/officeDocument/2006/relationships/image" Target="media/image86.png"/><Relationship Id="rId95" Type="http://schemas.openxmlformats.org/officeDocument/2006/relationships/image" Target="media/image87.png"/><Relationship Id="rId96" Type="http://schemas.openxmlformats.org/officeDocument/2006/relationships/image" Target="media/image88.png"/><Relationship Id="rId97" Type="http://schemas.openxmlformats.org/officeDocument/2006/relationships/image" Target="media/image89.png"/><Relationship Id="rId98" Type="http://schemas.openxmlformats.org/officeDocument/2006/relationships/image" Target="media/image90.png"/><Relationship Id="rId99" Type="http://schemas.openxmlformats.org/officeDocument/2006/relationships/image" Target="media/image91.png"/><Relationship Id="rId100" Type="http://schemas.openxmlformats.org/officeDocument/2006/relationships/image" Target="media/image92.png"/><Relationship Id="rId101" Type="http://schemas.openxmlformats.org/officeDocument/2006/relationships/image" Target="media/image93.png"/><Relationship Id="rId102" Type="http://schemas.openxmlformats.org/officeDocument/2006/relationships/image" Target="media/image94.png"/><Relationship Id="rId103" Type="http://schemas.openxmlformats.org/officeDocument/2006/relationships/image" Target="media/image95.png"/><Relationship Id="rId104" Type="http://schemas.openxmlformats.org/officeDocument/2006/relationships/image" Target="media/image96.png"/><Relationship Id="rId105" Type="http://schemas.openxmlformats.org/officeDocument/2006/relationships/image" Target="media/image97.png"/><Relationship Id="rId106" Type="http://schemas.openxmlformats.org/officeDocument/2006/relationships/image" Target="media/image98.png"/><Relationship Id="rId107" Type="http://schemas.openxmlformats.org/officeDocument/2006/relationships/image" Target="media/image99.png"/><Relationship Id="rId108" Type="http://schemas.openxmlformats.org/officeDocument/2006/relationships/image" Target="media/image100.png"/><Relationship Id="rId109" Type="http://schemas.openxmlformats.org/officeDocument/2006/relationships/image" Target="media/image101.png"/><Relationship Id="rId110" Type="http://schemas.openxmlformats.org/officeDocument/2006/relationships/image" Target="media/image102.jpeg"/><Relationship Id="rId111" Type="http://schemas.openxmlformats.org/officeDocument/2006/relationships/image" Target="media/image103.jpeg"/><Relationship Id="rId112" Type="http://schemas.openxmlformats.org/officeDocument/2006/relationships/image" Target="media/image104.jpeg"/><Relationship Id="rId113" Type="http://schemas.openxmlformats.org/officeDocument/2006/relationships/image" Target="media/image105.jpeg"/><Relationship Id="rId114" Type="http://schemas.openxmlformats.org/officeDocument/2006/relationships/image" Target="media/image106.png"/><Relationship Id="rId115" Type="http://schemas.openxmlformats.org/officeDocument/2006/relationships/image" Target="media/image107.png"/><Relationship Id="rId116" Type="http://schemas.openxmlformats.org/officeDocument/2006/relationships/image" Target="media/image108.jpeg"/><Relationship Id="rId117" Type="http://schemas.openxmlformats.org/officeDocument/2006/relationships/image" Target="media/image109.jpeg"/><Relationship Id="rId118" Type="http://schemas.openxmlformats.org/officeDocument/2006/relationships/image" Target="media/image110.jpeg"/><Relationship Id="rId119" Type="http://schemas.openxmlformats.org/officeDocument/2006/relationships/image" Target="media/image111.jpeg"/><Relationship Id="rId120" Type="http://schemas.openxmlformats.org/officeDocument/2006/relationships/image" Target="media/image112.jpeg"/><Relationship Id="rId121" Type="http://schemas.openxmlformats.org/officeDocument/2006/relationships/image" Target="media/image113.jpeg"/><Relationship Id="rId122" Type="http://schemas.openxmlformats.org/officeDocument/2006/relationships/image" Target="media/image114.jpeg"/><Relationship Id="rId123" Type="http://schemas.openxmlformats.org/officeDocument/2006/relationships/hyperlink" Target="http://www.cofemertramites.gob.mx/intranet/" TargetMode="External"/><Relationship Id="rId124" Type="http://schemas.openxmlformats.org/officeDocument/2006/relationships/hyperlink" Target="http://www.inegi.gob.mx/" TargetMode="External"/><Relationship Id="rId125" Type="http://schemas.openxmlformats.org/officeDocument/2006/relationships/image" Target="media/image115.jpeg"/><Relationship Id="rId126" Type="http://schemas.openxmlformats.org/officeDocument/2006/relationships/image" Target="media/image116.png"/><Relationship Id="rId127" Type="http://schemas.openxmlformats.org/officeDocument/2006/relationships/image" Target="media/image117.png"/><Relationship Id="rId128" Type="http://schemas.openxmlformats.org/officeDocument/2006/relationships/image" Target="media/image118.png"/><Relationship Id="rId129" Type="http://schemas.openxmlformats.org/officeDocument/2006/relationships/image" Target="media/image119.png"/><Relationship Id="rId130" Type="http://schemas.openxmlformats.org/officeDocument/2006/relationships/footer" Target="footer4.xml"/><Relationship Id="rId131" Type="http://schemas.openxmlformats.org/officeDocument/2006/relationships/footer" Target="footer5.xml"/><Relationship Id="rId132" Type="http://schemas.openxmlformats.org/officeDocument/2006/relationships/header" Target="header2.xml"/><Relationship Id="rId133" Type="http://schemas.openxmlformats.org/officeDocument/2006/relationships/footer" Target="footer6.xml"/><Relationship Id="rId134" Type="http://schemas.openxmlformats.org/officeDocument/2006/relationships/image" Target="media/image120.png"/><Relationship Id="rId135" Type="http://schemas.openxmlformats.org/officeDocument/2006/relationships/image" Target="media/image121.png"/><Relationship Id="rId136" Type="http://schemas.openxmlformats.org/officeDocument/2006/relationships/image" Target="media/image122.png"/><Relationship Id="rId137" Type="http://schemas.openxmlformats.org/officeDocument/2006/relationships/image" Target="media/image123.png"/><Relationship Id="rId138" Type="http://schemas.openxmlformats.org/officeDocument/2006/relationships/image" Target="media/image124.png"/><Relationship Id="rId139" Type="http://schemas.openxmlformats.org/officeDocument/2006/relationships/image" Target="media/image125.png"/><Relationship Id="rId140" Type="http://schemas.openxmlformats.org/officeDocument/2006/relationships/image" Target="media/image126.png"/><Relationship Id="rId141" Type="http://schemas.openxmlformats.org/officeDocument/2006/relationships/image" Target="media/image127.png"/><Relationship Id="rId142" Type="http://schemas.openxmlformats.org/officeDocument/2006/relationships/image" Target="media/image128.png"/><Relationship Id="rId143" Type="http://schemas.openxmlformats.org/officeDocument/2006/relationships/image" Target="media/image129.png"/><Relationship Id="rId144" Type="http://schemas.openxmlformats.org/officeDocument/2006/relationships/image" Target="media/image130.png"/><Relationship Id="rId145" Type="http://schemas.openxmlformats.org/officeDocument/2006/relationships/image" Target="media/image131.png"/><Relationship Id="rId146" Type="http://schemas.openxmlformats.org/officeDocument/2006/relationships/header" Target="header3.xml"/><Relationship Id="rId147" Type="http://schemas.openxmlformats.org/officeDocument/2006/relationships/footer" Target="footer7.xml"/><Relationship Id="rId148" Type="http://schemas.openxmlformats.org/officeDocument/2006/relationships/image" Target="media/image132.png"/><Relationship Id="rId149" Type="http://schemas.openxmlformats.org/officeDocument/2006/relationships/image" Target="media/image133.png"/><Relationship Id="rId150" Type="http://schemas.openxmlformats.org/officeDocument/2006/relationships/image" Target="media/image134.png"/><Relationship Id="rId151" Type="http://schemas.openxmlformats.org/officeDocument/2006/relationships/image" Target="media/image135.png"/><Relationship Id="rId152" Type="http://schemas.openxmlformats.org/officeDocument/2006/relationships/image" Target="media/image136.png"/><Relationship Id="rId153" Type="http://schemas.openxmlformats.org/officeDocument/2006/relationships/image" Target="media/image137.png"/><Relationship Id="rId154" Type="http://schemas.openxmlformats.org/officeDocument/2006/relationships/image" Target="media/image138.png"/><Relationship Id="rId155" Type="http://schemas.openxmlformats.org/officeDocument/2006/relationships/image" Target="media/image139.png"/><Relationship Id="rId156" Type="http://schemas.openxmlformats.org/officeDocument/2006/relationships/image" Target="media/image140.png"/><Relationship Id="rId157" Type="http://schemas.openxmlformats.org/officeDocument/2006/relationships/image" Target="media/image141.png"/><Relationship Id="rId158" Type="http://schemas.openxmlformats.org/officeDocument/2006/relationships/image" Target="media/image142.png"/><Relationship Id="rId159" Type="http://schemas.openxmlformats.org/officeDocument/2006/relationships/image" Target="media/image143.png"/><Relationship Id="rId160" Type="http://schemas.openxmlformats.org/officeDocument/2006/relationships/image" Target="media/image144.png"/><Relationship Id="rId161" Type="http://schemas.openxmlformats.org/officeDocument/2006/relationships/image" Target="media/image145.png"/><Relationship Id="rId162" Type="http://schemas.openxmlformats.org/officeDocument/2006/relationships/image" Target="media/image146.png"/><Relationship Id="rId163" Type="http://schemas.openxmlformats.org/officeDocument/2006/relationships/image" Target="media/image147.png"/><Relationship Id="rId164" Type="http://schemas.openxmlformats.org/officeDocument/2006/relationships/header" Target="header4.xml"/><Relationship Id="rId165" Type="http://schemas.openxmlformats.org/officeDocument/2006/relationships/footer" Target="footer8.xml"/><Relationship Id="rId166" Type="http://schemas.openxmlformats.org/officeDocument/2006/relationships/header" Target="header5.xml"/><Relationship Id="rId167" Type="http://schemas.openxmlformats.org/officeDocument/2006/relationships/footer" Target="footer9.xml"/><Relationship Id="rId168" Type="http://schemas.openxmlformats.org/officeDocument/2006/relationships/header" Target="header6.xml"/><Relationship Id="rId169" Type="http://schemas.openxmlformats.org/officeDocument/2006/relationships/footer" Target="footer10.xml"/><Relationship Id="rId170" Type="http://schemas.openxmlformats.org/officeDocument/2006/relationships/header" Target="header7.xml"/><Relationship Id="rId171" Type="http://schemas.openxmlformats.org/officeDocument/2006/relationships/footer" Target="footer11.xml"/><Relationship Id="rId172" Type="http://schemas.openxmlformats.org/officeDocument/2006/relationships/image" Target="media/image148.png"/><Relationship Id="rId173" Type="http://schemas.openxmlformats.org/officeDocument/2006/relationships/image" Target="media/image149.png"/><Relationship Id="rId174" Type="http://schemas.openxmlformats.org/officeDocument/2006/relationships/image" Target="media/image150.png"/><Relationship Id="rId175" Type="http://schemas.openxmlformats.org/officeDocument/2006/relationships/image" Target="media/image151.png"/><Relationship Id="rId176" Type="http://schemas.openxmlformats.org/officeDocument/2006/relationships/image" Target="media/image152.png"/><Relationship Id="rId177" Type="http://schemas.openxmlformats.org/officeDocument/2006/relationships/image" Target="media/image153.png"/><Relationship Id="rId178" Type="http://schemas.openxmlformats.org/officeDocument/2006/relationships/image" Target="media/image154.png"/><Relationship Id="rId179" Type="http://schemas.openxmlformats.org/officeDocument/2006/relationships/image" Target="media/image155.png"/><Relationship Id="rId180" Type="http://schemas.openxmlformats.org/officeDocument/2006/relationships/image" Target="media/image156.png"/><Relationship Id="rId181" Type="http://schemas.openxmlformats.org/officeDocument/2006/relationships/image" Target="media/image157.png"/><Relationship Id="rId182" Type="http://schemas.openxmlformats.org/officeDocument/2006/relationships/image" Target="media/image158.png"/><Relationship Id="rId183" Type="http://schemas.openxmlformats.org/officeDocument/2006/relationships/image" Target="media/image159.png"/><Relationship Id="rId184" Type="http://schemas.openxmlformats.org/officeDocument/2006/relationships/image" Target="media/image160.png"/><Relationship Id="rId185" Type="http://schemas.openxmlformats.org/officeDocument/2006/relationships/image" Target="media/image161.png"/><Relationship Id="rId186" Type="http://schemas.openxmlformats.org/officeDocument/2006/relationships/header" Target="header8.xml"/><Relationship Id="rId187" Type="http://schemas.openxmlformats.org/officeDocument/2006/relationships/footer" Target="footer12.xml"/><Relationship Id="rId188" Type="http://schemas.openxmlformats.org/officeDocument/2006/relationships/image" Target="media/image162.png"/><Relationship Id="rId189" Type="http://schemas.openxmlformats.org/officeDocument/2006/relationships/image" Target="media/image163.png"/><Relationship Id="rId190" Type="http://schemas.openxmlformats.org/officeDocument/2006/relationships/image" Target="media/image164.png"/><Relationship Id="rId191" Type="http://schemas.openxmlformats.org/officeDocument/2006/relationships/image" Target="media/image165.png"/><Relationship Id="rId192" Type="http://schemas.openxmlformats.org/officeDocument/2006/relationships/header" Target="header9.xml"/><Relationship Id="rId193" Type="http://schemas.openxmlformats.org/officeDocument/2006/relationships/footer" Target="footer13.xml"/><Relationship Id="rId194" Type="http://schemas.openxmlformats.org/officeDocument/2006/relationships/header" Target="header10.xml"/><Relationship Id="rId195" Type="http://schemas.openxmlformats.org/officeDocument/2006/relationships/footer" Target="footer14.xml"/><Relationship Id="rId196" Type="http://schemas.openxmlformats.org/officeDocument/2006/relationships/image" Target="media/image166.png"/><Relationship Id="rId197" Type="http://schemas.openxmlformats.org/officeDocument/2006/relationships/image" Target="media/image167.png"/><Relationship Id="rId198" Type="http://schemas.openxmlformats.org/officeDocument/2006/relationships/image" Target="media/image168.png"/><Relationship Id="rId199" Type="http://schemas.openxmlformats.org/officeDocument/2006/relationships/image" Target="media/image169.png"/><Relationship Id="rId200" Type="http://schemas.openxmlformats.org/officeDocument/2006/relationships/image" Target="media/image170.png"/><Relationship Id="rId201" Type="http://schemas.openxmlformats.org/officeDocument/2006/relationships/image" Target="media/image171.png"/><Relationship Id="rId202" Type="http://schemas.openxmlformats.org/officeDocument/2006/relationships/image" Target="media/image172.png"/><Relationship Id="rId203" Type="http://schemas.openxmlformats.org/officeDocument/2006/relationships/image" Target="media/image173.png"/><Relationship Id="rId204" Type="http://schemas.openxmlformats.org/officeDocument/2006/relationships/image" Target="media/image174.png"/><Relationship Id="rId205" Type="http://schemas.openxmlformats.org/officeDocument/2006/relationships/header" Target="header11.xml"/><Relationship Id="rId206" Type="http://schemas.openxmlformats.org/officeDocument/2006/relationships/footer" Target="footer15.xml"/><Relationship Id="rId207" Type="http://schemas.openxmlformats.org/officeDocument/2006/relationships/image" Target="media/image175.png"/><Relationship Id="rId208" Type="http://schemas.openxmlformats.org/officeDocument/2006/relationships/image" Target="media/image176.png"/><Relationship Id="rId209" Type="http://schemas.openxmlformats.org/officeDocument/2006/relationships/image" Target="media/image177.png"/><Relationship Id="rId210" Type="http://schemas.openxmlformats.org/officeDocument/2006/relationships/image" Target="media/image178.png"/><Relationship Id="rId211" Type="http://schemas.openxmlformats.org/officeDocument/2006/relationships/image" Target="media/image179.png"/><Relationship Id="rId212" Type="http://schemas.openxmlformats.org/officeDocument/2006/relationships/image" Target="media/image180.png"/><Relationship Id="rId213" Type="http://schemas.openxmlformats.org/officeDocument/2006/relationships/image" Target="media/image181.png"/><Relationship Id="rId214" Type="http://schemas.openxmlformats.org/officeDocument/2006/relationships/image" Target="media/image182.png"/><Relationship Id="rId215" Type="http://schemas.openxmlformats.org/officeDocument/2006/relationships/image" Target="media/image183.png"/><Relationship Id="rId216" Type="http://schemas.openxmlformats.org/officeDocument/2006/relationships/image" Target="media/image184.png"/><Relationship Id="rId217" Type="http://schemas.openxmlformats.org/officeDocument/2006/relationships/header" Target="header12.xml"/><Relationship Id="rId218" Type="http://schemas.openxmlformats.org/officeDocument/2006/relationships/footer" Target="footer16.xml"/><Relationship Id="rId219" Type="http://schemas.openxmlformats.org/officeDocument/2006/relationships/header" Target="header13.xml"/><Relationship Id="rId220" Type="http://schemas.openxmlformats.org/officeDocument/2006/relationships/footer" Target="footer17.xml"/><Relationship Id="rId221" Type="http://schemas.openxmlformats.org/officeDocument/2006/relationships/image" Target="media/image185.png"/><Relationship Id="rId222" Type="http://schemas.openxmlformats.org/officeDocument/2006/relationships/image" Target="media/image186.png"/><Relationship Id="rId223" Type="http://schemas.openxmlformats.org/officeDocument/2006/relationships/hyperlink" Target="mailto:techhelp@hach.com" TargetMode="External"/><Relationship Id="rId224" Type="http://schemas.openxmlformats.org/officeDocument/2006/relationships/header" Target="header14.xml"/><Relationship Id="rId225" Type="http://schemas.openxmlformats.org/officeDocument/2006/relationships/footer" Target="footer18.xml"/><Relationship Id="rId226" Type="http://schemas.openxmlformats.org/officeDocument/2006/relationships/header" Target="header15.xml"/><Relationship Id="rId227" Type="http://schemas.openxmlformats.org/officeDocument/2006/relationships/footer" Target="footer19.xml"/><Relationship Id="rId228" Type="http://schemas.openxmlformats.org/officeDocument/2006/relationships/image" Target="media/image187.png"/><Relationship Id="rId229" Type="http://schemas.openxmlformats.org/officeDocument/2006/relationships/image" Target="media/image188.png"/><Relationship Id="rId230" Type="http://schemas.openxmlformats.org/officeDocument/2006/relationships/image" Target="media/image189.png"/><Relationship Id="rId231" Type="http://schemas.openxmlformats.org/officeDocument/2006/relationships/image" Target="media/image190.png"/><Relationship Id="rId232" Type="http://schemas.openxmlformats.org/officeDocument/2006/relationships/image" Target="media/image191.png"/><Relationship Id="rId233" Type="http://schemas.openxmlformats.org/officeDocument/2006/relationships/image" Target="media/image192.png"/><Relationship Id="rId234" Type="http://schemas.openxmlformats.org/officeDocument/2006/relationships/image" Target="media/image193.png"/><Relationship Id="rId235" Type="http://schemas.openxmlformats.org/officeDocument/2006/relationships/image" Target="media/image194.png"/><Relationship Id="rId236" Type="http://schemas.openxmlformats.org/officeDocument/2006/relationships/image" Target="media/image195.png"/><Relationship Id="rId237" Type="http://schemas.openxmlformats.org/officeDocument/2006/relationships/image" Target="media/image196.png"/><Relationship Id="rId238" Type="http://schemas.openxmlformats.org/officeDocument/2006/relationships/image" Target="media/image197.png"/><Relationship Id="rId239" Type="http://schemas.openxmlformats.org/officeDocument/2006/relationships/image" Target="media/image198.png"/><Relationship Id="rId240" Type="http://schemas.openxmlformats.org/officeDocument/2006/relationships/header" Target="header16.xml"/><Relationship Id="rId241" Type="http://schemas.openxmlformats.org/officeDocument/2006/relationships/footer" Target="footer20.xml"/><Relationship Id="rId242" Type="http://schemas.openxmlformats.org/officeDocument/2006/relationships/image" Target="media/image199.png"/><Relationship Id="rId243" Type="http://schemas.openxmlformats.org/officeDocument/2006/relationships/image" Target="media/image200.png"/><Relationship Id="rId244" Type="http://schemas.openxmlformats.org/officeDocument/2006/relationships/image" Target="media/image201.png"/><Relationship Id="rId245" Type="http://schemas.openxmlformats.org/officeDocument/2006/relationships/image" Target="media/image202.png"/><Relationship Id="rId246" Type="http://schemas.openxmlformats.org/officeDocument/2006/relationships/image" Target="media/image203.png"/><Relationship Id="rId247" Type="http://schemas.openxmlformats.org/officeDocument/2006/relationships/image" Target="media/image204.png"/><Relationship Id="rId248" Type="http://schemas.openxmlformats.org/officeDocument/2006/relationships/image" Target="media/image205.png"/><Relationship Id="rId249" Type="http://schemas.openxmlformats.org/officeDocument/2006/relationships/image" Target="media/image206.png"/><Relationship Id="rId250" Type="http://schemas.openxmlformats.org/officeDocument/2006/relationships/image" Target="media/image207.png"/><Relationship Id="rId251" Type="http://schemas.openxmlformats.org/officeDocument/2006/relationships/image" Target="media/image208.png"/><Relationship Id="rId252" Type="http://schemas.openxmlformats.org/officeDocument/2006/relationships/image" Target="media/image209.png"/><Relationship Id="rId253" Type="http://schemas.openxmlformats.org/officeDocument/2006/relationships/image" Target="media/image210.png"/><Relationship Id="rId254" Type="http://schemas.openxmlformats.org/officeDocument/2006/relationships/image" Target="media/image211.png"/><Relationship Id="rId255" Type="http://schemas.openxmlformats.org/officeDocument/2006/relationships/image" Target="media/image212.png"/><Relationship Id="rId256" Type="http://schemas.openxmlformats.org/officeDocument/2006/relationships/image" Target="media/image213.png"/><Relationship Id="rId257" Type="http://schemas.openxmlformats.org/officeDocument/2006/relationships/image" Target="media/image214.png"/><Relationship Id="rId258" Type="http://schemas.openxmlformats.org/officeDocument/2006/relationships/image" Target="media/image215.png"/><Relationship Id="rId259" Type="http://schemas.openxmlformats.org/officeDocument/2006/relationships/image" Target="media/image216.png"/><Relationship Id="rId260" Type="http://schemas.openxmlformats.org/officeDocument/2006/relationships/image" Target="media/image217.png"/><Relationship Id="rId261" Type="http://schemas.openxmlformats.org/officeDocument/2006/relationships/image" Target="media/image218.png"/><Relationship Id="rId262" Type="http://schemas.openxmlformats.org/officeDocument/2006/relationships/image" Target="media/image219.png"/><Relationship Id="rId263" Type="http://schemas.openxmlformats.org/officeDocument/2006/relationships/image" Target="media/image220.png"/><Relationship Id="rId264" Type="http://schemas.openxmlformats.org/officeDocument/2006/relationships/image" Target="media/image221.png"/><Relationship Id="rId265" Type="http://schemas.openxmlformats.org/officeDocument/2006/relationships/image" Target="media/image222.png"/><Relationship Id="rId266" Type="http://schemas.openxmlformats.org/officeDocument/2006/relationships/image" Target="media/image223.png"/><Relationship Id="rId267" Type="http://schemas.openxmlformats.org/officeDocument/2006/relationships/image" Target="media/image224.png"/><Relationship Id="rId268" Type="http://schemas.openxmlformats.org/officeDocument/2006/relationships/image" Target="media/image225.png"/><Relationship Id="rId269" Type="http://schemas.openxmlformats.org/officeDocument/2006/relationships/image" Target="media/image226.png"/><Relationship Id="rId270" Type="http://schemas.openxmlformats.org/officeDocument/2006/relationships/header" Target="header17.xml"/><Relationship Id="rId271" Type="http://schemas.openxmlformats.org/officeDocument/2006/relationships/footer" Target="footer21.xml"/><Relationship Id="rId272" Type="http://schemas.openxmlformats.org/officeDocument/2006/relationships/image" Target="media/image227.png"/><Relationship Id="rId273" Type="http://schemas.openxmlformats.org/officeDocument/2006/relationships/image" Target="media/image228.png"/><Relationship Id="rId274" Type="http://schemas.openxmlformats.org/officeDocument/2006/relationships/image" Target="media/image229.png"/><Relationship Id="rId275" Type="http://schemas.openxmlformats.org/officeDocument/2006/relationships/header" Target="header18.xml"/><Relationship Id="rId276" Type="http://schemas.openxmlformats.org/officeDocument/2006/relationships/footer" Target="footer22.xml"/><Relationship Id="rId277" Type="http://schemas.openxmlformats.org/officeDocument/2006/relationships/header" Target="header19.xml"/><Relationship Id="rId278" Type="http://schemas.openxmlformats.org/officeDocument/2006/relationships/footer" Target="footer23.xml"/><Relationship Id="rId279" Type="http://schemas.openxmlformats.org/officeDocument/2006/relationships/header" Target="header20.xml"/><Relationship Id="rId280" Type="http://schemas.openxmlformats.org/officeDocument/2006/relationships/footer" Target="footer24.xml"/><Relationship Id="rId281" Type="http://schemas.openxmlformats.org/officeDocument/2006/relationships/header" Target="header21.xml"/><Relationship Id="rId282" Type="http://schemas.openxmlformats.org/officeDocument/2006/relationships/footer" Target="footer25.xml"/><Relationship Id="rId283" Type="http://schemas.openxmlformats.org/officeDocument/2006/relationships/header" Target="header22.xml"/><Relationship Id="rId284" Type="http://schemas.openxmlformats.org/officeDocument/2006/relationships/footer" Target="footer26.xml"/><Relationship Id="rId285" Type="http://schemas.openxmlformats.org/officeDocument/2006/relationships/image" Target="media/image230.png"/><Relationship Id="rId286" Type="http://schemas.openxmlformats.org/officeDocument/2006/relationships/image" Target="media/image231.png"/><Relationship Id="rId287" Type="http://schemas.openxmlformats.org/officeDocument/2006/relationships/image" Target="media/image232.png"/><Relationship Id="rId288" Type="http://schemas.openxmlformats.org/officeDocument/2006/relationships/image" Target="media/image233.png"/><Relationship Id="rId289" Type="http://schemas.openxmlformats.org/officeDocument/2006/relationships/image" Target="media/image234.png"/><Relationship Id="rId290" Type="http://schemas.openxmlformats.org/officeDocument/2006/relationships/image" Target="media/image235.png"/><Relationship Id="rId291" Type="http://schemas.openxmlformats.org/officeDocument/2006/relationships/image" Target="media/image236.png"/><Relationship Id="rId292" Type="http://schemas.openxmlformats.org/officeDocument/2006/relationships/image" Target="media/image237.png"/><Relationship Id="rId293" Type="http://schemas.openxmlformats.org/officeDocument/2006/relationships/image" Target="media/image238.png"/><Relationship Id="rId294" Type="http://schemas.openxmlformats.org/officeDocument/2006/relationships/image" Target="media/image239.png"/><Relationship Id="rId295" Type="http://schemas.openxmlformats.org/officeDocument/2006/relationships/image" Target="media/image240.png"/><Relationship Id="rId296" Type="http://schemas.openxmlformats.org/officeDocument/2006/relationships/image" Target="media/image241.png"/><Relationship Id="rId297" Type="http://schemas.openxmlformats.org/officeDocument/2006/relationships/image" Target="media/image242.png"/><Relationship Id="rId298" Type="http://schemas.openxmlformats.org/officeDocument/2006/relationships/image" Target="media/image243.png"/><Relationship Id="rId299" Type="http://schemas.openxmlformats.org/officeDocument/2006/relationships/image" Target="media/image244.png"/><Relationship Id="rId300" Type="http://schemas.openxmlformats.org/officeDocument/2006/relationships/image" Target="media/image245.png"/><Relationship Id="rId301" Type="http://schemas.openxmlformats.org/officeDocument/2006/relationships/image" Target="media/image246.png"/><Relationship Id="rId302" Type="http://schemas.openxmlformats.org/officeDocument/2006/relationships/image" Target="media/image247.png"/><Relationship Id="rId303" Type="http://schemas.openxmlformats.org/officeDocument/2006/relationships/header" Target="header23.xml"/><Relationship Id="rId304" Type="http://schemas.openxmlformats.org/officeDocument/2006/relationships/footer" Target="footer27.xml"/><Relationship Id="rId305" Type="http://schemas.openxmlformats.org/officeDocument/2006/relationships/image" Target="media/image248.png"/><Relationship Id="rId306" Type="http://schemas.openxmlformats.org/officeDocument/2006/relationships/image" Target="media/image249.png"/><Relationship Id="rId307" Type="http://schemas.openxmlformats.org/officeDocument/2006/relationships/image" Target="media/image250.png"/><Relationship Id="rId308" Type="http://schemas.openxmlformats.org/officeDocument/2006/relationships/image" Target="media/image251.png"/><Relationship Id="rId309" Type="http://schemas.openxmlformats.org/officeDocument/2006/relationships/image" Target="media/image252.png"/><Relationship Id="rId310" Type="http://schemas.openxmlformats.org/officeDocument/2006/relationships/header" Target="header24.xml"/><Relationship Id="rId311" Type="http://schemas.openxmlformats.org/officeDocument/2006/relationships/footer" Target="footer28.xml"/><Relationship Id="rId312" Type="http://schemas.openxmlformats.org/officeDocument/2006/relationships/header" Target="header25.xml"/><Relationship Id="rId313" Type="http://schemas.openxmlformats.org/officeDocument/2006/relationships/footer" Target="footer29.xml"/><Relationship Id="rId314" Type="http://schemas.openxmlformats.org/officeDocument/2006/relationships/image" Target="media/image253.png"/><Relationship Id="rId315" Type="http://schemas.openxmlformats.org/officeDocument/2006/relationships/image" Target="media/image254.png"/><Relationship Id="rId316" Type="http://schemas.openxmlformats.org/officeDocument/2006/relationships/image" Target="media/image255.png"/><Relationship Id="rId317" Type="http://schemas.openxmlformats.org/officeDocument/2006/relationships/image" Target="media/image256.png"/><Relationship Id="rId318" Type="http://schemas.openxmlformats.org/officeDocument/2006/relationships/image" Target="media/image257.png"/><Relationship Id="rId319" Type="http://schemas.openxmlformats.org/officeDocument/2006/relationships/image" Target="media/image258.png"/><Relationship Id="rId320" Type="http://schemas.openxmlformats.org/officeDocument/2006/relationships/image" Target="media/image259.png"/><Relationship Id="rId321" Type="http://schemas.openxmlformats.org/officeDocument/2006/relationships/header" Target="header26.xml"/><Relationship Id="rId322" Type="http://schemas.openxmlformats.org/officeDocument/2006/relationships/footer" Target="footer30.xml"/><Relationship Id="rId323" Type="http://schemas.openxmlformats.org/officeDocument/2006/relationships/image" Target="media/image260.png"/><Relationship Id="rId324" Type="http://schemas.openxmlformats.org/officeDocument/2006/relationships/image" Target="media/image261.png"/><Relationship Id="rId325" Type="http://schemas.openxmlformats.org/officeDocument/2006/relationships/image" Target="media/image262.png"/><Relationship Id="rId326" Type="http://schemas.openxmlformats.org/officeDocument/2006/relationships/image" Target="media/image263.png"/><Relationship Id="rId327" Type="http://schemas.openxmlformats.org/officeDocument/2006/relationships/image" Target="media/image264.png"/><Relationship Id="rId328" Type="http://schemas.openxmlformats.org/officeDocument/2006/relationships/image" Target="media/image265.png"/><Relationship Id="rId329" Type="http://schemas.openxmlformats.org/officeDocument/2006/relationships/image" Target="media/image266.png"/><Relationship Id="rId330" Type="http://schemas.openxmlformats.org/officeDocument/2006/relationships/image" Target="media/image267.png"/><Relationship Id="rId331" Type="http://schemas.openxmlformats.org/officeDocument/2006/relationships/image" Target="media/image268.png"/><Relationship Id="rId332" Type="http://schemas.openxmlformats.org/officeDocument/2006/relationships/image" Target="media/image269.png"/><Relationship Id="rId333" Type="http://schemas.openxmlformats.org/officeDocument/2006/relationships/header" Target="header27.xml"/><Relationship Id="rId334" Type="http://schemas.openxmlformats.org/officeDocument/2006/relationships/footer" Target="footer31.xml"/><Relationship Id="rId335" Type="http://schemas.openxmlformats.org/officeDocument/2006/relationships/image" Target="media/image270.png"/><Relationship Id="rId336" Type="http://schemas.openxmlformats.org/officeDocument/2006/relationships/image" Target="media/image271.png"/><Relationship Id="rId337" Type="http://schemas.openxmlformats.org/officeDocument/2006/relationships/image" Target="media/image272.png"/><Relationship Id="rId338" Type="http://schemas.openxmlformats.org/officeDocument/2006/relationships/image" Target="media/image273.png"/><Relationship Id="rId339" Type="http://schemas.openxmlformats.org/officeDocument/2006/relationships/image" Target="media/image274.png"/><Relationship Id="rId340" Type="http://schemas.openxmlformats.org/officeDocument/2006/relationships/image" Target="media/image275.png"/><Relationship Id="rId341" Type="http://schemas.openxmlformats.org/officeDocument/2006/relationships/image" Target="media/image276.png"/><Relationship Id="rId342" Type="http://schemas.openxmlformats.org/officeDocument/2006/relationships/image" Target="media/image277.png"/><Relationship Id="rId343" Type="http://schemas.openxmlformats.org/officeDocument/2006/relationships/image" Target="media/image278.png"/><Relationship Id="rId344" Type="http://schemas.openxmlformats.org/officeDocument/2006/relationships/image" Target="media/image279.png"/><Relationship Id="rId345" Type="http://schemas.openxmlformats.org/officeDocument/2006/relationships/image" Target="media/image280.png"/><Relationship Id="rId346" Type="http://schemas.openxmlformats.org/officeDocument/2006/relationships/image" Target="media/image281.png"/><Relationship Id="rId347" Type="http://schemas.openxmlformats.org/officeDocument/2006/relationships/header" Target="header28.xml"/><Relationship Id="rId348" Type="http://schemas.openxmlformats.org/officeDocument/2006/relationships/footer" Target="footer32.xml"/><Relationship Id="rId349" Type="http://schemas.openxmlformats.org/officeDocument/2006/relationships/header" Target="header29.xml"/><Relationship Id="rId350" Type="http://schemas.openxmlformats.org/officeDocument/2006/relationships/footer" Target="footer33.xml"/><Relationship Id="rId351" Type="http://schemas.openxmlformats.org/officeDocument/2006/relationships/header" Target="header30.xml"/><Relationship Id="rId352" Type="http://schemas.openxmlformats.org/officeDocument/2006/relationships/footer" Target="footer34.xml"/><Relationship Id="rId353" Type="http://schemas.openxmlformats.org/officeDocument/2006/relationships/header" Target="header31.xml"/><Relationship Id="rId354" Type="http://schemas.openxmlformats.org/officeDocument/2006/relationships/footer" Target="footer35.xml"/><Relationship Id="rId355" Type="http://schemas.openxmlformats.org/officeDocument/2006/relationships/header" Target="header32.xml"/><Relationship Id="rId356" Type="http://schemas.openxmlformats.org/officeDocument/2006/relationships/footer" Target="footer36.xml"/><Relationship Id="rId35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 Gallego Alarc\363n)</dc:creator>
  <dc:title>Microsoft Word - tesis final.docx</dc:title>
  <dcterms:created xsi:type="dcterms:W3CDTF">2017-05-25T22:43:44Z</dcterms:created>
  <dcterms:modified xsi:type="dcterms:W3CDTF">2017-05-25T22:43:44Z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2010-10-17T00:00:00Z</vt:filetime>
  </property>
  <property fmtid="{D5CDD505-2E9C-101B-9397-08002B2CF9AE}" pid="3" name="Creator">
    <vt:lpwstr>PrimoPDF http://www.primopdf.com</vt:lpwstr>
  </property>
  <property fmtid="{D5CDD505-2E9C-101B-9397-08002B2CF9AE}" pid="4" name="LastSaved">
    <vt:filetime>2017-05-25T00:00:00Z</vt:filetime>
  </property>
</Properties>
</file>